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85F98" w:rsidR="000A6BCB" w:rsidP="000A6BCB" w:rsidRDefault="000A6BCB" w14:paraId="635B3E60" w14:textId="77777777">
      <w:pPr>
        <w:spacing w:line="276" w:lineRule="auto"/>
        <w:jc w:val="right"/>
        <w:rPr>
          <w:rFonts w:ascii="Arial" w:hAnsi="Arial" w:eastAsia="Calibri" w:cs="Arial"/>
          <w:b/>
          <w:bCs/>
          <w:sz w:val="22"/>
        </w:rPr>
      </w:pPr>
      <w:bookmarkStart w:name="_Hlk29890381" w:id="0"/>
      <w:r w:rsidRPr="00C85F98">
        <w:rPr>
          <w:rFonts w:ascii="Arial" w:hAnsi="Arial" w:eastAsia="Times New Roman" w:cs="Arial"/>
          <w:b/>
          <w:bCs/>
          <w:sz w:val="16"/>
          <w:szCs w:val="16"/>
          <w:lang w:eastAsia="es-ES"/>
        </w:rPr>
        <w:t>CCE-DES-FM-17</w:t>
      </w:r>
    </w:p>
    <w:p w:rsidR="000A6BCB" w:rsidP="000A6BCB" w:rsidRDefault="000A6BCB" w14:paraId="3E74C33D" w14:textId="77777777">
      <w:pPr>
        <w:jc w:val="both"/>
        <w:rPr>
          <w:rFonts w:ascii="Arial" w:hAnsi="Arial" w:eastAsia="Calibri" w:cs="Arial"/>
          <w:b/>
          <w:bCs/>
          <w:sz w:val="22"/>
          <w:highlight w:val="yellow"/>
        </w:rPr>
      </w:pPr>
    </w:p>
    <w:p w:rsidRPr="00CE478D" w:rsidR="000A6BCB" w:rsidP="000A6BCB" w:rsidRDefault="000A6BCB" w14:paraId="2072D740" w14:textId="77777777">
      <w:pPr>
        <w:jc w:val="both"/>
        <w:rPr>
          <w:rFonts w:ascii="Arial" w:hAnsi="Arial" w:eastAsia="Calibri" w:cs="Arial"/>
          <w:b/>
          <w:sz w:val="20"/>
          <w:szCs w:val="20"/>
        </w:rPr>
      </w:pPr>
      <w:r w:rsidRPr="00CE478D">
        <w:rPr>
          <w:rFonts w:ascii="Arial" w:hAnsi="Arial" w:eastAsia="Calibri" w:cs="Arial"/>
          <w:b/>
          <w:bCs/>
          <w:sz w:val="22"/>
        </w:rPr>
        <w:t xml:space="preserve">DOCUMENTOS TIPO – Versión 2 – </w:t>
      </w:r>
      <w:r>
        <w:rPr>
          <w:rFonts w:ascii="Arial" w:hAnsi="Arial" w:eastAsia="Calibri" w:cs="Arial"/>
          <w:b/>
          <w:bCs/>
          <w:sz w:val="22"/>
        </w:rPr>
        <w:t>«</w:t>
      </w:r>
      <w:r w:rsidRPr="00CE478D">
        <w:rPr>
          <w:rFonts w:ascii="Arial" w:hAnsi="Arial" w:eastAsia="Calibri" w:cs="Arial"/>
          <w:b/>
          <w:bCs/>
          <w:sz w:val="22"/>
        </w:rPr>
        <w:t xml:space="preserve">Factor de </w:t>
      </w:r>
      <w:r>
        <w:rPr>
          <w:rFonts w:ascii="Arial" w:hAnsi="Arial" w:eastAsia="Calibri" w:cs="Arial"/>
          <w:b/>
          <w:bCs/>
          <w:sz w:val="22"/>
        </w:rPr>
        <w:t>c</w:t>
      </w:r>
      <w:r w:rsidRPr="00CE478D">
        <w:rPr>
          <w:rFonts w:ascii="Arial" w:hAnsi="Arial" w:eastAsia="Calibri" w:cs="Arial"/>
          <w:b/>
          <w:bCs/>
          <w:sz w:val="22"/>
        </w:rPr>
        <w:t>alidad</w:t>
      </w:r>
      <w:r>
        <w:rPr>
          <w:rFonts w:ascii="Arial" w:hAnsi="Arial" w:eastAsia="Calibri" w:cs="Arial"/>
          <w:b/>
          <w:bCs/>
          <w:sz w:val="22"/>
        </w:rPr>
        <w:t>»</w:t>
      </w:r>
    </w:p>
    <w:p w:rsidR="000A6BCB" w:rsidP="000A6BCB" w:rsidRDefault="000A6BCB" w14:paraId="70B86ECA" w14:textId="77777777">
      <w:pPr>
        <w:jc w:val="both"/>
        <w:rPr>
          <w:rFonts w:ascii="Arial" w:hAnsi="Arial" w:eastAsia="Calibri" w:cs="Arial"/>
          <w:b/>
          <w:sz w:val="22"/>
        </w:rPr>
      </w:pPr>
    </w:p>
    <w:p w:rsidR="000A6BCB" w:rsidP="000A6BCB" w:rsidRDefault="000A6BCB" w14:paraId="6E7F3297" w14:textId="77777777">
      <w:pPr>
        <w:jc w:val="both"/>
        <w:rPr>
          <w:rFonts w:ascii="Arial" w:hAnsi="Arial" w:eastAsia="Calibri" w:cs="Arial"/>
          <w:sz w:val="20"/>
        </w:rPr>
      </w:pPr>
      <w:r w:rsidRPr="006C1E66">
        <w:rPr>
          <w:rFonts w:ascii="Arial" w:hAnsi="Arial" w:eastAsia="Calibri" w:cs="Arial"/>
          <w:sz w:val="20"/>
        </w:rPr>
        <w:t xml:space="preserve">El criterio de puntaje de «Factor de calidad», de acuerdo con el numeral 4.2. del Documento Base, se podrá evaluar con una o algunas de las siguientes opciones que las entidades tienen la posibilidad de elegir: i) la implementación del programa de gerencia de proyectos, </w:t>
      </w:r>
      <w:proofErr w:type="spellStart"/>
      <w:r w:rsidRPr="006C1E66">
        <w:rPr>
          <w:rFonts w:ascii="Arial" w:hAnsi="Arial" w:eastAsia="Calibri" w:cs="Arial"/>
          <w:sz w:val="20"/>
        </w:rPr>
        <w:t>ii</w:t>
      </w:r>
      <w:proofErr w:type="spellEnd"/>
      <w:r w:rsidRPr="006C1E66">
        <w:rPr>
          <w:rFonts w:ascii="Arial" w:hAnsi="Arial" w:eastAsia="Calibri" w:cs="Arial"/>
          <w:sz w:val="20"/>
        </w:rPr>
        <w:t xml:space="preserve">) la disponibilidad y condiciones funcionales para la maquinaria de obra, </w:t>
      </w:r>
      <w:proofErr w:type="spellStart"/>
      <w:r w:rsidRPr="006C1E66">
        <w:rPr>
          <w:rFonts w:ascii="Arial" w:hAnsi="Arial" w:eastAsia="Calibri" w:cs="Arial"/>
          <w:sz w:val="20"/>
        </w:rPr>
        <w:t>iii</w:t>
      </w:r>
      <w:proofErr w:type="spellEnd"/>
      <w:r w:rsidRPr="006C1E66">
        <w:rPr>
          <w:rFonts w:ascii="Arial" w:hAnsi="Arial" w:eastAsia="Calibri" w:cs="Arial"/>
          <w:sz w:val="20"/>
        </w:rPr>
        <w:t xml:space="preserve">) la presentación de un plan de calidad, </w:t>
      </w:r>
      <w:proofErr w:type="spellStart"/>
      <w:r w:rsidRPr="006C1E66">
        <w:rPr>
          <w:rFonts w:ascii="Arial" w:hAnsi="Arial" w:eastAsia="Calibri" w:cs="Arial"/>
          <w:sz w:val="20"/>
        </w:rPr>
        <w:t>iv</w:t>
      </w:r>
      <w:proofErr w:type="spellEnd"/>
      <w:r w:rsidRPr="006C1E66">
        <w:rPr>
          <w:rFonts w:ascii="Arial" w:hAnsi="Arial" w:eastAsia="Calibri" w:cs="Arial"/>
          <w:sz w:val="20"/>
        </w:rPr>
        <w:t>) garantía suplementaria o adicional por cuenta del Contratista, v) cuadrillas de trabajo adicional a costo y riesgo del Contratista y vi) mantenimiento adicional. Por su parte, la entidad definirá el puntaje que se asignará a estos criterios, sin ser superior a 19 puntos, aun si se escogen varios criterios de los 6 establecidos como factor de calidad, sin que la entidad pueda establecer más de 3 criterios; y para que señale el tipo de proyecto según la obra a desarrollar mediante los Documentos Tipo.</w:t>
      </w:r>
    </w:p>
    <w:p w:rsidRPr="00F5359C" w:rsidR="000A6BCB" w:rsidP="000A6BCB" w:rsidRDefault="000A6BCB" w14:paraId="20C4CAC3" w14:textId="77777777">
      <w:pPr>
        <w:jc w:val="both"/>
        <w:rPr>
          <w:rFonts w:ascii="Arial" w:hAnsi="Arial" w:eastAsia="Calibri" w:cs="Arial"/>
          <w:sz w:val="20"/>
        </w:rPr>
      </w:pPr>
    </w:p>
    <w:p w:rsidRPr="009278E9" w:rsidR="000A6BCB" w:rsidP="5B61328C" w:rsidRDefault="000A6BCB" w14:paraId="38A350B7" w14:textId="73DDEDAE">
      <w:pPr>
        <w:jc w:val="both"/>
        <w:rPr>
          <w:rFonts w:ascii="Arial" w:hAnsi="Arial" w:eastAsia="Calibri" w:cs="Arial"/>
          <w:sz w:val="20"/>
          <w:szCs w:val="20"/>
        </w:rPr>
      </w:pPr>
      <w:r w:rsidRPr="5B61328C" w:rsidR="000A6BCB">
        <w:rPr>
          <w:rFonts w:ascii="Arial" w:hAnsi="Arial" w:eastAsia="Calibri" w:cs="Arial"/>
          <w:b w:val="1"/>
          <w:bCs w:val="1"/>
          <w:sz w:val="22"/>
          <w:szCs w:val="22"/>
        </w:rPr>
        <w:t>FACTOR DE CALIDAD</w:t>
      </w:r>
      <w:r w:rsidRPr="5B61328C" w:rsidR="000A6BCB">
        <w:rPr>
          <w:rFonts w:ascii="Arial" w:hAnsi="Arial" w:eastAsia="Calibri" w:cs="Arial"/>
          <w:b w:val="1"/>
          <w:bCs w:val="1"/>
          <w:sz w:val="22"/>
          <w:szCs w:val="22"/>
        </w:rPr>
        <w:t xml:space="preserve"> </w:t>
      </w:r>
      <w:r w:rsidRPr="5B61328C" w:rsidR="000A6BCB">
        <w:rPr>
          <w:rFonts w:ascii="Arial" w:hAnsi="Arial" w:eastAsia="Calibri" w:cs="Arial"/>
          <w:b w:val="1"/>
          <w:bCs w:val="1"/>
          <w:sz w:val="22"/>
          <w:szCs w:val="22"/>
        </w:rPr>
        <w:t>–</w:t>
      </w:r>
      <w:r w:rsidRPr="5B61328C" w:rsidR="000A6BCB">
        <w:rPr>
          <w:rFonts w:ascii="Arial" w:hAnsi="Arial" w:eastAsia="Calibri" w:cs="Arial"/>
          <w:b w:val="1"/>
          <w:bCs w:val="1"/>
          <w:sz w:val="22"/>
          <w:szCs w:val="22"/>
        </w:rPr>
        <w:t xml:space="preserve"> </w:t>
      </w:r>
      <w:r w:rsidRPr="5B61328C" w:rsidR="09C5F236">
        <w:rPr>
          <w:rFonts w:ascii="Arial" w:hAnsi="Arial" w:eastAsia="Calibri" w:cs="Arial"/>
          <w:b w:val="1"/>
          <w:bCs w:val="1"/>
          <w:sz w:val="22"/>
          <w:szCs w:val="22"/>
        </w:rPr>
        <w:t>S</w:t>
      </w:r>
      <w:r w:rsidRPr="5B61328C" w:rsidR="000A6BCB">
        <w:rPr>
          <w:rFonts w:ascii="Arial" w:hAnsi="Arial" w:eastAsia="Calibri" w:cs="Arial"/>
          <w:b w:val="1"/>
          <w:bCs w:val="1"/>
          <w:sz w:val="22"/>
          <w:szCs w:val="22"/>
        </w:rPr>
        <w:t>obre 1</w:t>
      </w:r>
      <w:r w:rsidRPr="5B61328C" w:rsidR="000A6BCB">
        <w:rPr>
          <w:rFonts w:ascii="Arial" w:hAnsi="Arial" w:eastAsia="Calibri" w:cs="Arial"/>
          <w:b w:val="1"/>
          <w:bCs w:val="1"/>
          <w:sz w:val="22"/>
          <w:szCs w:val="22"/>
        </w:rPr>
        <w:t xml:space="preserve"> </w:t>
      </w:r>
      <w:r w:rsidRPr="5B61328C" w:rsidR="000A6BCB">
        <w:rPr>
          <w:rFonts w:ascii="Arial" w:hAnsi="Arial" w:eastAsia="Calibri" w:cs="Arial"/>
          <w:b w:val="1"/>
          <w:bCs w:val="1"/>
          <w:sz w:val="22"/>
          <w:szCs w:val="22"/>
        </w:rPr>
        <w:t>–</w:t>
      </w:r>
      <w:r w:rsidRPr="5B61328C" w:rsidR="000A6BCB">
        <w:rPr>
          <w:rFonts w:ascii="Arial" w:hAnsi="Arial" w:eastAsia="Calibri" w:cs="Arial"/>
          <w:b w:val="1"/>
          <w:bCs w:val="1"/>
          <w:sz w:val="22"/>
          <w:szCs w:val="22"/>
        </w:rPr>
        <w:t xml:space="preserve"> </w:t>
      </w:r>
      <w:r w:rsidRPr="5B61328C" w:rsidR="49D325D4">
        <w:rPr>
          <w:rFonts w:ascii="Arial" w:hAnsi="Arial" w:eastAsia="Calibri" w:cs="Arial"/>
          <w:b w:val="1"/>
          <w:bCs w:val="1"/>
          <w:sz w:val="22"/>
          <w:szCs w:val="22"/>
        </w:rPr>
        <w:t>A</w:t>
      </w:r>
      <w:r w:rsidRPr="5B61328C" w:rsidR="000A6BCB">
        <w:rPr>
          <w:rFonts w:ascii="Arial" w:hAnsi="Arial" w:eastAsia="Calibri" w:cs="Arial"/>
          <w:b w:val="1"/>
          <w:bCs w:val="1"/>
          <w:sz w:val="22"/>
          <w:szCs w:val="22"/>
        </w:rPr>
        <w:t>pertura</w:t>
      </w:r>
    </w:p>
    <w:p w:rsidRPr="009278E9" w:rsidR="000A6BCB" w:rsidP="000A6BCB" w:rsidRDefault="000A6BCB" w14:paraId="6C5C46F5" w14:textId="77777777">
      <w:pPr>
        <w:jc w:val="both"/>
        <w:rPr>
          <w:rFonts w:ascii="Arial" w:hAnsi="Arial" w:eastAsia="Calibri" w:cs="Arial"/>
          <w:sz w:val="20"/>
        </w:rPr>
      </w:pPr>
    </w:p>
    <w:p w:rsidR="000A6BCB" w:rsidP="000A6BCB" w:rsidRDefault="000A6BCB" w14:paraId="2B1B13F9" w14:textId="77777777">
      <w:pPr>
        <w:jc w:val="both"/>
        <w:rPr>
          <w:rFonts w:ascii="Arial" w:hAnsi="Arial" w:eastAsia="Calibri" w:cs="Arial"/>
          <w:sz w:val="20"/>
        </w:rPr>
      </w:pPr>
      <w:r w:rsidRPr="006C1E66">
        <w:rPr>
          <w:rFonts w:ascii="Arial" w:hAnsi="Arial" w:eastAsia="Calibri" w:cs="Arial"/>
          <w:sz w:val="20"/>
        </w:rPr>
        <w:t xml:space="preserve">De esta manera, el «Factor de calidad» es un requisito puntuable que, de acuerdo con el artículo 1 de la Ley 1882 de 2018, está incluido en el sobre 1; y a pesar de que la normativa de contratación pública no regula su apertura, la Agencia Nacional de Contratación Pública - Colombia Compra Eficiente en la Circular Externa Única recomienda que se realice su apertura en presencia de los </w:t>
      </w:r>
      <w:proofErr w:type="gramStart"/>
      <w:r w:rsidRPr="006C1E66">
        <w:rPr>
          <w:rFonts w:ascii="Arial" w:hAnsi="Arial" w:eastAsia="Calibri" w:cs="Arial"/>
          <w:sz w:val="20"/>
        </w:rPr>
        <w:t>asistentes ,</w:t>
      </w:r>
      <w:proofErr w:type="gramEnd"/>
      <w:r w:rsidRPr="006C1E66">
        <w:rPr>
          <w:rFonts w:ascii="Arial" w:hAnsi="Arial" w:eastAsia="Calibri" w:cs="Arial"/>
          <w:sz w:val="20"/>
        </w:rPr>
        <w:t xml:space="preserve"> momento en el cual la oferta en el sobre 1 es pública y los «interesados» en las ofertas recibidas pueden solicitar copia o consultarlas</w:t>
      </w:r>
      <w:r>
        <w:rPr>
          <w:rFonts w:ascii="Arial" w:hAnsi="Arial" w:eastAsia="Calibri" w:cs="Arial"/>
          <w:sz w:val="20"/>
        </w:rPr>
        <w:t>.</w:t>
      </w:r>
    </w:p>
    <w:p w:rsidR="000A6BCB" w:rsidP="000A6BCB" w:rsidRDefault="000A6BCB" w14:paraId="48DA11BF" w14:textId="77777777">
      <w:pPr>
        <w:jc w:val="both"/>
        <w:rPr>
          <w:rFonts w:ascii="Arial" w:hAnsi="Arial" w:eastAsia="Calibri" w:cs="Arial"/>
          <w:b/>
          <w:bCs/>
          <w:sz w:val="22"/>
          <w:highlight w:val="yellow"/>
        </w:rPr>
      </w:pPr>
    </w:p>
    <w:p w:rsidRPr="00CE478D" w:rsidR="000A6BCB" w:rsidP="5B61328C" w:rsidRDefault="000A6BCB" w14:paraId="70E7A181" w14:textId="67F67073">
      <w:pPr>
        <w:pStyle w:val="Normal"/>
        <w:jc w:val="both"/>
        <w:rPr>
          <w:rFonts w:ascii="Arial" w:hAnsi="Arial" w:eastAsia="Calibri" w:cs="Arial"/>
          <w:b w:val="1"/>
          <w:bCs w:val="1"/>
          <w:sz w:val="20"/>
          <w:szCs w:val="20"/>
        </w:rPr>
      </w:pPr>
      <w:r w:rsidRPr="5B61328C" w:rsidR="000A6BCB">
        <w:rPr>
          <w:rFonts w:ascii="Arial" w:hAnsi="Arial" w:eastAsia="Calibri" w:cs="Arial"/>
          <w:b w:val="1"/>
          <w:bCs w:val="1"/>
          <w:sz w:val="22"/>
          <w:szCs w:val="22"/>
        </w:rPr>
        <w:t xml:space="preserve">DOCUMENTOS TIPO – Versión 2 – Factor de </w:t>
      </w:r>
      <w:r w:rsidRPr="5B61328C" w:rsidR="000A6BCB">
        <w:rPr>
          <w:rFonts w:ascii="Arial" w:hAnsi="Arial" w:eastAsia="Calibri" w:cs="Arial"/>
          <w:b w:val="1"/>
          <w:bCs w:val="1"/>
          <w:sz w:val="22"/>
          <w:szCs w:val="22"/>
        </w:rPr>
        <w:t>c</w:t>
      </w:r>
      <w:r w:rsidRPr="5B61328C" w:rsidR="000A6BCB">
        <w:rPr>
          <w:rFonts w:ascii="Arial" w:hAnsi="Arial" w:eastAsia="Calibri" w:cs="Arial"/>
          <w:b w:val="1"/>
          <w:bCs w:val="1"/>
          <w:sz w:val="22"/>
          <w:szCs w:val="22"/>
        </w:rPr>
        <w:t xml:space="preserve">alidad – Número máximo </w:t>
      </w:r>
      <w:r w:rsidRPr="5B61328C" w:rsidR="0E2E79C2">
        <w:rPr>
          <w:rFonts w:ascii="Arial" w:hAnsi="Arial" w:eastAsia="Arial" w:cs="Arial"/>
          <w:b w:val="1"/>
          <w:bCs w:val="1"/>
          <w:noProof w:val="0"/>
          <w:sz w:val="22"/>
          <w:szCs w:val="22"/>
          <w:lang w:val="es-MX"/>
        </w:rPr>
        <w:t>– Ofrecimientos</w:t>
      </w:r>
    </w:p>
    <w:p w:rsidRPr="00CE478D" w:rsidR="000A6BCB" w:rsidP="000A6BCB" w:rsidRDefault="000A6BCB" w14:paraId="012BB8E5" w14:textId="77777777">
      <w:pPr>
        <w:jc w:val="both"/>
        <w:rPr>
          <w:rFonts w:ascii="Arial" w:hAnsi="Arial" w:eastAsia="Calibri" w:cs="Arial"/>
          <w:b/>
          <w:bCs/>
          <w:sz w:val="20"/>
          <w:szCs w:val="20"/>
        </w:rPr>
      </w:pPr>
    </w:p>
    <w:p w:rsidR="000A6BCB" w:rsidP="000A6BCB" w:rsidRDefault="000A6BCB" w14:paraId="0560D361" w14:textId="77777777">
      <w:pPr>
        <w:jc w:val="both"/>
        <w:rPr>
          <w:rFonts w:ascii="Arial" w:hAnsi="Arial" w:cs="Arial"/>
          <w:sz w:val="20"/>
          <w:szCs w:val="20"/>
        </w:rPr>
      </w:pPr>
      <w:r w:rsidRPr="00CE478D">
        <w:rPr>
          <w:rFonts w:ascii="Arial" w:hAnsi="Arial" w:cs="Arial"/>
          <w:sz w:val="20"/>
          <w:szCs w:val="20"/>
        </w:rPr>
        <w:t xml:space="preserve">[…] </w:t>
      </w:r>
      <w:r w:rsidRPr="006C1E66">
        <w:rPr>
          <w:rFonts w:ascii="Arial" w:hAnsi="Arial" w:cs="Arial"/>
          <w:sz w:val="20"/>
          <w:szCs w:val="20"/>
        </w:rPr>
        <w:t>el oferente tiene la libertad y autonomía de ofrecer el número de meses de garantía adicional, el número de cuadrillas de trabajo adicional, o finalmente, definir el término por el cual realiza las labores de mantenimiento rutinario de acuerdo con sus capacidades. Es decir, el Documento Tipo no limita los ofrecimientos realizados por el oferente. No obstante, en el evento que resulte adjudicatario del proceso de contratación, el compromiso del factor de calidad se convierte en una obligación contractual que es de obligatorio cumplimiento, so pena de activarse las consecuencias asociadas al incumplimiento, incluyendo el uso de facultades sancionatorias de las entidades estatales.</w:t>
      </w:r>
    </w:p>
    <w:p w:rsidR="000A6BCB" w:rsidP="000A6BCB" w:rsidRDefault="000A6BCB" w14:paraId="6E99EDD4" w14:textId="77777777">
      <w:pPr>
        <w:jc w:val="both"/>
        <w:rPr>
          <w:rFonts w:ascii="Arial" w:hAnsi="Arial" w:cs="Arial"/>
          <w:sz w:val="20"/>
          <w:szCs w:val="20"/>
        </w:rPr>
      </w:pPr>
    </w:p>
    <w:p w:rsidRPr="009278E9" w:rsidR="000A6BCB" w:rsidP="000A6BCB" w:rsidRDefault="000A6BCB" w14:paraId="2245CF31" w14:textId="77777777">
      <w:pPr>
        <w:jc w:val="both"/>
        <w:rPr>
          <w:rFonts w:ascii="Arial" w:hAnsi="Arial" w:eastAsia="Calibri" w:cs="Arial"/>
          <w:sz w:val="20"/>
        </w:rPr>
      </w:pPr>
      <w:r>
        <w:rPr>
          <w:rFonts w:ascii="Arial" w:hAnsi="Arial" w:eastAsia="Calibri" w:cs="Arial"/>
          <w:b/>
          <w:sz w:val="22"/>
        </w:rPr>
        <w:t>FACTOR DE CALIDAD</w:t>
      </w:r>
      <w:r w:rsidRPr="009278E9">
        <w:rPr>
          <w:rFonts w:ascii="Arial" w:hAnsi="Arial" w:eastAsia="Calibri" w:cs="Arial"/>
          <w:b/>
          <w:sz w:val="22"/>
        </w:rPr>
        <w:t xml:space="preserve"> </w:t>
      </w:r>
      <w:r>
        <w:rPr>
          <w:rFonts w:ascii="Arial" w:hAnsi="Arial" w:eastAsia="Calibri" w:cs="Arial"/>
          <w:b/>
          <w:sz w:val="22"/>
        </w:rPr>
        <w:t>–</w:t>
      </w:r>
      <w:r w:rsidRPr="009278E9">
        <w:rPr>
          <w:rFonts w:ascii="Arial" w:hAnsi="Arial" w:eastAsia="Calibri" w:cs="Arial"/>
          <w:b/>
          <w:sz w:val="22"/>
        </w:rPr>
        <w:t xml:space="preserve"> </w:t>
      </w:r>
      <w:r>
        <w:rPr>
          <w:rFonts w:ascii="Arial" w:hAnsi="Arial" w:eastAsia="Calibri" w:cs="Arial"/>
          <w:b/>
          <w:sz w:val="22"/>
        </w:rPr>
        <w:t>Mantenimiento adicional</w:t>
      </w:r>
      <w:r w:rsidRPr="009278E9">
        <w:rPr>
          <w:rFonts w:ascii="Arial" w:hAnsi="Arial" w:eastAsia="Calibri" w:cs="Arial"/>
          <w:b/>
          <w:sz w:val="22"/>
        </w:rPr>
        <w:t xml:space="preserve"> </w:t>
      </w:r>
      <w:r>
        <w:rPr>
          <w:rFonts w:ascii="Arial" w:hAnsi="Arial" w:eastAsia="Calibri" w:cs="Arial"/>
          <w:b/>
          <w:sz w:val="22"/>
        </w:rPr>
        <w:t>–</w:t>
      </w:r>
      <w:r w:rsidRPr="009278E9">
        <w:rPr>
          <w:rFonts w:ascii="Arial" w:hAnsi="Arial" w:eastAsia="Calibri" w:cs="Arial"/>
          <w:b/>
          <w:sz w:val="22"/>
        </w:rPr>
        <w:t xml:space="preserve"> </w:t>
      </w:r>
      <w:r>
        <w:rPr>
          <w:rFonts w:ascii="Arial" w:hAnsi="Arial" w:eastAsia="Calibri" w:cs="Arial"/>
          <w:b/>
          <w:sz w:val="22"/>
        </w:rPr>
        <w:t>Liquidación del contrato</w:t>
      </w:r>
    </w:p>
    <w:p w:rsidR="000A6BCB" w:rsidP="000A6BCB" w:rsidRDefault="000A6BCB" w14:paraId="6B2A580D" w14:textId="77777777">
      <w:pPr>
        <w:jc w:val="both"/>
        <w:rPr>
          <w:rFonts w:ascii="Arial" w:hAnsi="Arial" w:eastAsia="Calibri" w:cs="Arial"/>
          <w:sz w:val="20"/>
        </w:rPr>
      </w:pPr>
    </w:p>
    <w:p w:rsidR="000A6BCB" w:rsidP="000A6BCB" w:rsidRDefault="000A6BCB" w14:paraId="5280CEFA" w14:textId="77777777">
      <w:pPr>
        <w:jc w:val="both"/>
        <w:rPr>
          <w:rFonts w:ascii="Arial" w:hAnsi="Arial" w:cs="Arial"/>
          <w:sz w:val="22"/>
        </w:rPr>
      </w:pPr>
      <w:r w:rsidRPr="006C1E66">
        <w:rPr>
          <w:rFonts w:ascii="Arial" w:hAnsi="Arial" w:cs="Arial"/>
          <w:sz w:val="20"/>
          <w:szCs w:val="20"/>
        </w:rPr>
        <w:t>El numeral 4.2.6 del «Documento Base» dispone que el ofrecimiento del «Mantenimiento adicional» contará a partir de la terminación de las obras objeto del Proceso de Contratación y «hará parte del periodo de ejecución del contrato». En este sentido, no es posible que este mantenimiento se ofrezca durante o después de la liquidación, ya que se debe realizar en la ejecución del contrato. Una vez finalizado el plazo ofrecido de «Mantenimiento adicional» será posible liquidarlo.</w:t>
      </w:r>
    </w:p>
    <w:p w:rsidR="000A6BCB" w:rsidP="000A6BCB" w:rsidRDefault="000A6BCB" w14:paraId="32912829" w14:textId="77777777">
      <w:pPr>
        <w:rPr>
          <w:rFonts w:ascii="Arial" w:hAnsi="Arial" w:cs="Arial"/>
          <w:sz w:val="22"/>
        </w:rPr>
      </w:pPr>
    </w:p>
    <w:p w:rsidR="000A6BCB" w:rsidP="000A6BCB" w:rsidRDefault="000A6BCB" w14:paraId="05BE707C" w14:textId="77777777">
      <w:pPr>
        <w:rPr>
          <w:rFonts w:ascii="Arial" w:hAnsi="Arial" w:cs="Arial"/>
          <w:sz w:val="22"/>
        </w:rPr>
      </w:pPr>
    </w:p>
    <w:p w:rsidR="000A6BCB" w:rsidP="000A6BCB" w:rsidRDefault="000A6BCB" w14:paraId="75EDF260" w14:textId="4E932A89">
      <w:pPr>
        <w:jc w:val="both"/>
        <w:rPr>
          <w:rFonts w:ascii="Arial" w:hAnsi="Arial" w:cs="Arial"/>
          <w:b/>
          <w:sz w:val="22"/>
        </w:rPr>
      </w:pPr>
      <w:r>
        <w:rPr>
          <w:rFonts w:ascii="Arial" w:hAnsi="Arial" w:cs="Arial"/>
          <w:sz w:val="22"/>
        </w:rPr>
        <w:t xml:space="preserve">Bogotá D.C., </w:t>
      </w:r>
      <w:r w:rsidR="00D672E8">
        <w:rPr>
          <w:rFonts w:ascii="Arial" w:hAnsi="Arial" w:cs="Arial"/>
          <w:b/>
          <w:sz w:val="22"/>
        </w:rPr>
        <w:t>30/06/2020</w:t>
      </w:r>
    </w:p>
    <w:p w:rsidR="000A6BCB" w:rsidP="000A6BCB" w:rsidRDefault="000A6BCB" w14:paraId="447848F5" w14:textId="77777777">
      <w:pPr>
        <w:jc w:val="both"/>
        <w:rPr>
          <w:rFonts w:ascii="Arial" w:hAnsi="Arial" w:eastAsia="Calibri" w:cs="Arial"/>
          <w:sz w:val="20"/>
        </w:rPr>
      </w:pPr>
    </w:p>
    <w:p w:rsidR="000A6BCB" w:rsidP="000A6BCB" w:rsidRDefault="000A6BCB" w14:paraId="5593B10D" w14:textId="1C6327DC">
      <w:pPr>
        <w:jc w:val="right"/>
        <w:rPr>
          <w:rFonts w:ascii="Arial" w:hAnsi="Arial" w:cs="Arial"/>
          <w:b/>
          <w:sz w:val="22"/>
        </w:rPr>
      </w:pPr>
      <w:proofErr w:type="spellStart"/>
      <w:r>
        <w:rPr>
          <w:rFonts w:ascii="Arial" w:hAnsi="Arial" w:cs="Arial"/>
          <w:b/>
          <w:sz w:val="22"/>
        </w:rPr>
        <w:t>N°</w:t>
      </w:r>
      <w:proofErr w:type="spellEnd"/>
      <w:r>
        <w:rPr>
          <w:rFonts w:ascii="Arial" w:hAnsi="Arial" w:cs="Arial"/>
          <w:b/>
          <w:sz w:val="22"/>
        </w:rPr>
        <w:t xml:space="preserve"> Radicado: </w:t>
      </w:r>
      <w:r w:rsidRPr="00D672E8" w:rsidR="00D672E8">
        <w:rPr>
          <w:rFonts w:ascii="Arial" w:hAnsi="Arial" w:cs="Arial"/>
          <w:b/>
          <w:sz w:val="22"/>
        </w:rPr>
        <w:t>2202013000005568</w:t>
      </w:r>
    </w:p>
    <w:p w:rsidR="000A6BCB" w:rsidP="000A6BCB" w:rsidRDefault="000A6BCB" w14:paraId="1DFC1598" w14:textId="77777777">
      <w:pPr>
        <w:tabs>
          <w:tab w:val="left" w:pos="3374"/>
        </w:tabs>
        <w:rPr>
          <w:rFonts w:ascii="Arial" w:hAnsi="Arial" w:eastAsia="Calibri" w:cs="Arial"/>
          <w:sz w:val="22"/>
        </w:rPr>
      </w:pPr>
    </w:p>
    <w:p w:rsidR="000A6BCB" w:rsidP="000A6BCB" w:rsidRDefault="000A6BCB" w14:paraId="6AD521D6" w14:textId="77777777">
      <w:pPr>
        <w:tabs>
          <w:tab w:val="left" w:pos="3374"/>
        </w:tabs>
        <w:rPr>
          <w:rFonts w:ascii="Arial" w:hAnsi="Arial" w:eastAsia="Calibri" w:cs="Arial"/>
          <w:sz w:val="22"/>
        </w:rPr>
      </w:pPr>
      <w:r>
        <w:rPr>
          <w:rFonts w:ascii="Arial" w:hAnsi="Arial" w:eastAsia="Calibri" w:cs="Arial"/>
          <w:sz w:val="22"/>
        </w:rPr>
        <w:tab/>
      </w:r>
    </w:p>
    <w:p w:rsidR="000A6BCB" w:rsidP="000A6BCB" w:rsidRDefault="000A6BCB" w14:paraId="0D8002BC" w14:textId="77777777">
      <w:pPr>
        <w:rPr>
          <w:rFonts w:ascii="Arial" w:hAnsi="Arial" w:eastAsia="Calibri" w:cs="Arial"/>
          <w:sz w:val="22"/>
        </w:rPr>
      </w:pPr>
      <w:r>
        <w:rPr>
          <w:rFonts w:ascii="Arial" w:hAnsi="Arial" w:eastAsia="Calibri" w:cs="Arial"/>
          <w:sz w:val="22"/>
        </w:rPr>
        <w:lastRenderedPageBreak/>
        <w:t>Señor</w:t>
      </w:r>
    </w:p>
    <w:p w:rsidR="000A6BCB" w:rsidP="000A6BCB" w:rsidRDefault="000A6BCB" w14:paraId="02F5A0AC" w14:textId="77777777">
      <w:pPr>
        <w:rPr>
          <w:rFonts w:ascii="Arial" w:hAnsi="Arial" w:eastAsia="Calibri" w:cs="Arial"/>
          <w:b/>
          <w:sz w:val="22"/>
        </w:rPr>
      </w:pPr>
      <w:r>
        <w:rPr>
          <w:rFonts w:ascii="Arial" w:hAnsi="Arial" w:eastAsia="Calibri" w:cs="Arial"/>
          <w:b/>
          <w:sz w:val="22"/>
        </w:rPr>
        <w:t>Cristian Arengas Caro</w:t>
      </w:r>
    </w:p>
    <w:p w:rsidR="000A6BCB" w:rsidP="000A6BCB" w:rsidRDefault="000A6BCB" w14:paraId="242186B5" w14:textId="77777777">
      <w:pPr>
        <w:rPr>
          <w:rFonts w:ascii="Arial" w:hAnsi="Arial" w:eastAsia="Calibri" w:cs="Arial"/>
          <w:sz w:val="22"/>
        </w:rPr>
      </w:pPr>
      <w:r>
        <w:rPr>
          <w:rFonts w:ascii="Arial" w:hAnsi="Arial" w:eastAsia="Calibri" w:cs="Arial"/>
          <w:sz w:val="22"/>
        </w:rPr>
        <w:t>Ciudad</w:t>
      </w:r>
    </w:p>
    <w:p w:rsidR="000A6BCB" w:rsidP="000A6BCB" w:rsidRDefault="000A6BCB" w14:paraId="35398547" w14:textId="77777777">
      <w:pPr>
        <w:rPr>
          <w:rFonts w:ascii="Arial" w:hAnsi="Arial" w:eastAsia="Calibri" w:cs="Arial"/>
          <w:sz w:val="22"/>
        </w:rPr>
      </w:pPr>
    </w:p>
    <w:p w:rsidR="000A6BCB" w:rsidP="000A6BCB" w:rsidRDefault="000A6BCB" w14:paraId="7ABAD61F" w14:textId="77777777">
      <w:pPr>
        <w:rPr>
          <w:rFonts w:ascii="Arial" w:hAnsi="Arial" w:eastAsia="Calibri" w:cs="Arial"/>
          <w:sz w:val="22"/>
        </w:rPr>
      </w:pPr>
    </w:p>
    <w:p w:rsidR="000A6BCB" w:rsidP="000A6BCB" w:rsidRDefault="000A6BCB" w14:paraId="6CB56197" w14:textId="77777777">
      <w:pPr>
        <w:rPr>
          <w:rFonts w:ascii="Arial" w:hAnsi="Arial" w:eastAsia="Calibri" w:cs="Arial"/>
          <w:sz w:val="22"/>
        </w:rPr>
      </w:pPr>
    </w:p>
    <w:p w:rsidR="000A6BCB" w:rsidP="000A6BCB" w:rsidRDefault="000A6BCB" w14:paraId="056DC14A" w14:textId="77777777">
      <w:pPr>
        <w:rPr>
          <w:rFonts w:ascii="Arial" w:hAnsi="Arial" w:eastAsia="Calibri" w:cs="Arial"/>
          <w:sz w:val="22"/>
        </w:rPr>
      </w:pPr>
    </w:p>
    <w:p w:rsidR="000A6BCB" w:rsidP="000A6BCB" w:rsidRDefault="000A6BCB" w14:paraId="5E9CE8DB" w14:textId="77777777">
      <w:pPr>
        <w:rPr>
          <w:rFonts w:ascii="Arial" w:hAnsi="Arial" w:eastAsia="Calibri" w:cs="Arial"/>
          <w:b/>
          <w:sz w:val="22"/>
        </w:rPr>
      </w:pPr>
      <w:r>
        <w:rPr>
          <w:rFonts w:ascii="Arial" w:hAnsi="Arial" w:eastAsia="Calibri" w:cs="Arial"/>
          <w:sz w:val="22"/>
        </w:rPr>
        <w:t xml:space="preserve">                                            </w:t>
      </w:r>
      <w:r>
        <w:rPr>
          <w:rFonts w:ascii="Arial" w:hAnsi="Arial" w:eastAsia="Calibri" w:cs="Arial"/>
          <w:b/>
          <w:sz w:val="22"/>
        </w:rPr>
        <w:t>Concepto C – 352 de 2020</w:t>
      </w:r>
    </w:p>
    <w:p w:rsidR="000A6BCB" w:rsidP="000A6BCB" w:rsidRDefault="000A6BCB" w14:paraId="449E0382"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000A6BCB" w:rsidTr="00BE3F4F" w14:paraId="730AEF4D" w14:textId="77777777">
        <w:tc>
          <w:tcPr>
            <w:tcW w:w="2689" w:type="dxa"/>
            <w:hideMark/>
          </w:tcPr>
          <w:p w:rsidR="000A6BCB" w:rsidP="00BE3F4F" w:rsidRDefault="000A6BCB" w14:paraId="7CF965EB" w14:textId="77777777">
            <w:pPr>
              <w:rPr>
                <w:rFonts w:ascii="Arial" w:hAnsi="Arial" w:eastAsia="Calibri" w:cs="Arial"/>
                <w:sz w:val="22"/>
              </w:rPr>
            </w:pPr>
            <w:r>
              <w:rPr>
                <w:rFonts w:ascii="Arial" w:hAnsi="Arial" w:eastAsia="Calibri" w:cs="Arial"/>
                <w:b/>
                <w:sz w:val="22"/>
              </w:rPr>
              <w:t>Temas:</w:t>
            </w:r>
            <w:r>
              <w:rPr>
                <w:rFonts w:ascii="Arial" w:hAnsi="Arial" w:eastAsia="Calibri" w:cs="Arial"/>
                <w:sz w:val="22"/>
              </w:rPr>
              <w:t xml:space="preserve">           </w:t>
            </w:r>
          </w:p>
          <w:p w:rsidR="000A6BCB" w:rsidP="00BE3F4F" w:rsidRDefault="000A6BCB" w14:paraId="06C7E475" w14:textId="77777777">
            <w:pPr>
              <w:rPr>
                <w:rFonts w:ascii="Arial" w:hAnsi="Arial" w:eastAsia="Calibri" w:cs="Arial"/>
                <w:sz w:val="22"/>
              </w:rPr>
            </w:pPr>
            <w:r>
              <w:rPr>
                <w:rFonts w:ascii="Arial" w:hAnsi="Arial" w:eastAsia="Calibri" w:cs="Arial"/>
                <w:sz w:val="22"/>
              </w:rPr>
              <w:t xml:space="preserve">                           </w:t>
            </w:r>
          </w:p>
        </w:tc>
        <w:tc>
          <w:tcPr>
            <w:tcW w:w="6237" w:type="dxa"/>
            <w:hideMark/>
          </w:tcPr>
          <w:p w:rsidR="000A6BCB" w:rsidP="00BE3F4F" w:rsidRDefault="000A6BCB" w14:paraId="3D940830" w14:textId="77777777">
            <w:pPr>
              <w:jc w:val="both"/>
              <w:rPr>
                <w:rFonts w:ascii="Arial" w:hAnsi="Arial" w:eastAsia="Calibri" w:cs="Arial"/>
                <w:sz w:val="22"/>
                <w:highlight w:val="yellow"/>
              </w:rPr>
            </w:pPr>
            <w:r w:rsidRPr="003F5DE8">
              <w:rPr>
                <w:rFonts w:ascii="Arial" w:hAnsi="Arial" w:eastAsia="Calibri" w:cs="Arial"/>
                <w:sz w:val="22"/>
              </w:rPr>
              <w:t>DOCUMENTOS TIPO – Versión 2 – «Factor de Calidad»</w:t>
            </w:r>
            <w:r>
              <w:rPr>
                <w:rFonts w:ascii="Arial" w:hAnsi="Arial" w:eastAsia="Calibri" w:cs="Arial"/>
                <w:sz w:val="22"/>
              </w:rPr>
              <w:t xml:space="preserve"> / </w:t>
            </w:r>
            <w:r w:rsidRPr="003F5DE8">
              <w:rPr>
                <w:rFonts w:ascii="Arial" w:hAnsi="Arial" w:eastAsia="Calibri" w:cs="Arial"/>
                <w:sz w:val="22"/>
              </w:rPr>
              <w:t xml:space="preserve">FACTOR DE CALIDAD </w:t>
            </w:r>
            <w:r>
              <w:rPr>
                <w:rFonts w:ascii="Arial" w:hAnsi="Arial" w:eastAsia="Calibri" w:cs="Arial"/>
                <w:sz w:val="22"/>
              </w:rPr>
              <w:t>–</w:t>
            </w:r>
            <w:r w:rsidRPr="003F5DE8">
              <w:rPr>
                <w:rFonts w:ascii="Arial" w:hAnsi="Arial" w:eastAsia="Calibri" w:cs="Arial"/>
                <w:sz w:val="22"/>
              </w:rPr>
              <w:t xml:space="preserve"> sobre 1 </w:t>
            </w:r>
            <w:r>
              <w:rPr>
                <w:rFonts w:ascii="Arial" w:hAnsi="Arial" w:eastAsia="Calibri" w:cs="Arial"/>
                <w:sz w:val="22"/>
              </w:rPr>
              <w:t>–</w:t>
            </w:r>
            <w:r w:rsidRPr="003F5DE8">
              <w:rPr>
                <w:rFonts w:ascii="Arial" w:hAnsi="Arial" w:eastAsia="Calibri" w:cs="Arial"/>
                <w:sz w:val="22"/>
              </w:rPr>
              <w:t xml:space="preserve"> apertura</w:t>
            </w:r>
            <w:r>
              <w:rPr>
                <w:rFonts w:ascii="Arial" w:hAnsi="Arial" w:eastAsia="Calibri" w:cs="Arial"/>
                <w:sz w:val="22"/>
              </w:rPr>
              <w:t xml:space="preserve"> / </w:t>
            </w:r>
            <w:r w:rsidRPr="00486E49">
              <w:rPr>
                <w:rFonts w:ascii="Arial" w:hAnsi="Arial" w:eastAsia="Calibri" w:cs="Arial"/>
                <w:sz w:val="22"/>
              </w:rPr>
              <w:t xml:space="preserve">DOCUMENTOS TIPO – Versión 2 – Factor de Calidad – Número máximo para </w:t>
            </w:r>
            <w:r w:rsidRPr="003F5DE8">
              <w:rPr>
                <w:rFonts w:ascii="Arial" w:hAnsi="Arial" w:eastAsia="Calibri" w:cs="Arial"/>
                <w:sz w:val="22"/>
              </w:rPr>
              <w:t xml:space="preserve">ofertar / FACTOR DE CALIDAD </w:t>
            </w:r>
            <w:r>
              <w:rPr>
                <w:rFonts w:ascii="Arial" w:hAnsi="Arial" w:eastAsia="Calibri" w:cs="Arial"/>
                <w:sz w:val="22"/>
              </w:rPr>
              <w:t>–</w:t>
            </w:r>
            <w:r w:rsidRPr="003F5DE8">
              <w:rPr>
                <w:rFonts w:ascii="Arial" w:hAnsi="Arial" w:eastAsia="Calibri" w:cs="Arial"/>
                <w:sz w:val="22"/>
              </w:rPr>
              <w:t xml:space="preserve"> Mantenimiento adicional </w:t>
            </w:r>
            <w:r>
              <w:rPr>
                <w:rFonts w:ascii="Arial" w:hAnsi="Arial" w:eastAsia="Calibri" w:cs="Arial"/>
                <w:sz w:val="22"/>
              </w:rPr>
              <w:t>–</w:t>
            </w:r>
            <w:r w:rsidRPr="003F5DE8">
              <w:rPr>
                <w:rFonts w:ascii="Arial" w:hAnsi="Arial" w:eastAsia="Calibri" w:cs="Arial"/>
                <w:sz w:val="22"/>
              </w:rPr>
              <w:t xml:space="preserve"> Liquidación del contrato</w:t>
            </w:r>
          </w:p>
        </w:tc>
      </w:tr>
      <w:tr w:rsidR="000A6BCB" w:rsidTr="00BE3F4F" w14:paraId="4C2EB91C" w14:textId="77777777">
        <w:tc>
          <w:tcPr>
            <w:tcW w:w="2689" w:type="dxa"/>
            <w:hideMark/>
          </w:tcPr>
          <w:p w:rsidR="000A6BCB" w:rsidP="00BE3F4F" w:rsidRDefault="000A6BCB" w14:paraId="058B6353" w14:textId="77777777">
            <w:pPr>
              <w:rPr>
                <w:rFonts w:ascii="Arial" w:hAnsi="Arial" w:eastAsia="Calibri" w:cs="Arial"/>
                <w:b/>
                <w:sz w:val="22"/>
              </w:rPr>
            </w:pPr>
            <w:r>
              <w:rPr>
                <w:rFonts w:ascii="Arial" w:hAnsi="Arial" w:eastAsia="Calibri" w:cs="Arial"/>
                <w:b/>
                <w:sz w:val="22"/>
              </w:rPr>
              <w:t>Radicación:</w:t>
            </w:r>
            <w:r>
              <w:rPr>
                <w:rFonts w:ascii="Arial" w:hAnsi="Arial" w:eastAsia="Calibri" w:cs="Arial"/>
                <w:sz w:val="22"/>
              </w:rPr>
              <w:t xml:space="preserve">                              </w:t>
            </w:r>
          </w:p>
        </w:tc>
        <w:tc>
          <w:tcPr>
            <w:tcW w:w="6237" w:type="dxa"/>
            <w:hideMark/>
          </w:tcPr>
          <w:p w:rsidR="000A6BCB" w:rsidP="00BE3F4F" w:rsidRDefault="000A6BCB" w14:paraId="4F6E0E7D" w14:textId="77777777">
            <w:pPr>
              <w:jc w:val="both"/>
              <w:rPr>
                <w:rFonts w:ascii="Arial" w:hAnsi="Arial" w:eastAsia="Calibri" w:cs="Arial"/>
                <w:sz w:val="22"/>
              </w:rPr>
            </w:pPr>
            <w:r>
              <w:rPr>
                <w:rFonts w:ascii="Arial" w:hAnsi="Arial" w:eastAsia="Calibri" w:cs="Arial"/>
                <w:sz w:val="22"/>
              </w:rPr>
              <w:t>Respuesta a consulta # 4202013000003774</w:t>
            </w:r>
          </w:p>
        </w:tc>
      </w:tr>
    </w:tbl>
    <w:p w:rsidR="000A6BCB" w:rsidP="000A6BCB" w:rsidRDefault="000A6BCB" w14:paraId="37804FFF" w14:textId="77777777">
      <w:pPr>
        <w:jc w:val="both"/>
        <w:rPr>
          <w:rFonts w:ascii="Arial" w:hAnsi="Arial" w:eastAsia="Calibri" w:cs="Arial"/>
          <w:sz w:val="22"/>
        </w:rPr>
      </w:pPr>
    </w:p>
    <w:p w:rsidR="000A6BCB" w:rsidP="000A6BCB" w:rsidRDefault="000A6BCB" w14:paraId="5089C7E5" w14:textId="77777777">
      <w:pPr>
        <w:rPr>
          <w:rFonts w:ascii="Arial" w:hAnsi="Arial" w:eastAsia="Calibri" w:cs="Arial"/>
          <w:sz w:val="22"/>
        </w:rPr>
      </w:pPr>
    </w:p>
    <w:p w:rsidR="000A6BCB" w:rsidP="000A6BCB" w:rsidRDefault="000A6BCB" w14:paraId="50C6895C" w14:textId="77777777">
      <w:pPr>
        <w:rPr>
          <w:rFonts w:ascii="Arial" w:hAnsi="Arial" w:eastAsia="Calibri" w:cs="Arial"/>
          <w:sz w:val="22"/>
        </w:rPr>
      </w:pPr>
      <w:r>
        <w:rPr>
          <w:rFonts w:ascii="Arial" w:hAnsi="Arial" w:eastAsia="Calibri" w:cs="Arial"/>
          <w:sz w:val="22"/>
        </w:rPr>
        <w:t>Estimado señor Arengas,</w:t>
      </w:r>
    </w:p>
    <w:p w:rsidR="000A6BCB" w:rsidP="000A6BCB" w:rsidRDefault="000A6BCB" w14:paraId="6B908136" w14:textId="77777777">
      <w:pPr>
        <w:rPr>
          <w:rFonts w:ascii="Arial" w:hAnsi="Arial" w:eastAsia="Calibri" w:cs="Arial"/>
          <w:sz w:val="22"/>
        </w:rPr>
      </w:pPr>
    </w:p>
    <w:p w:rsidR="000A6BCB" w:rsidP="000A6BCB" w:rsidRDefault="000A6BCB" w14:paraId="21B9D8F3" w14:textId="77777777">
      <w:pPr>
        <w:spacing w:line="276" w:lineRule="auto"/>
        <w:ind w:right="49"/>
        <w:jc w:val="both"/>
        <w:rPr>
          <w:rFonts w:ascii="Arial" w:hAnsi="Arial" w:eastAsia="Calibri" w:cs="Arial"/>
          <w:sz w:val="22"/>
        </w:rPr>
      </w:pPr>
      <w:r>
        <w:rPr>
          <w:rFonts w:ascii="Arial" w:hAnsi="Arial" w:eastAsia="Calibri" w:cs="Arial"/>
          <w:sz w:val="22"/>
        </w:rPr>
        <w:t xml:space="preserve">En ejercicio de la competencia otorgada por los artículos 11, numeral 8º, y 3º, numeral 5º, del Decreto Ley 4170 de 2011, la Agencia Nacional de Contratación Pública − Colombia Compra Eficiente responde su consulta del 17 de mayo de 2020. </w:t>
      </w:r>
    </w:p>
    <w:p w:rsidR="000A6BCB" w:rsidP="000A6BCB" w:rsidRDefault="000A6BCB" w14:paraId="71C49E24" w14:textId="77777777">
      <w:pPr>
        <w:spacing w:line="276" w:lineRule="auto"/>
        <w:jc w:val="both"/>
        <w:rPr>
          <w:rFonts w:ascii="Arial" w:hAnsi="Arial" w:eastAsia="Calibri" w:cs="Arial"/>
          <w:sz w:val="22"/>
        </w:rPr>
      </w:pPr>
    </w:p>
    <w:p w:rsidR="000A6BCB" w:rsidP="000A6BCB" w:rsidRDefault="000A6BCB" w14:paraId="1EF3D04E" w14:textId="77777777">
      <w:pPr>
        <w:pStyle w:val="Prrafodelista"/>
        <w:tabs>
          <w:tab w:val="left" w:pos="284"/>
        </w:tabs>
        <w:spacing w:line="276" w:lineRule="auto"/>
        <w:ind w:left="0"/>
        <w:jc w:val="both"/>
        <w:rPr>
          <w:rFonts w:ascii="Arial" w:hAnsi="Arial" w:eastAsia="Calibri" w:cs="Arial"/>
          <w:b/>
          <w:sz w:val="22"/>
        </w:rPr>
      </w:pPr>
      <w:r>
        <w:rPr>
          <w:rFonts w:ascii="Arial" w:hAnsi="Arial" w:eastAsia="Calibri" w:cs="Arial"/>
          <w:b/>
          <w:sz w:val="22"/>
        </w:rPr>
        <w:t>1. Problemas planteados</w:t>
      </w:r>
    </w:p>
    <w:p w:rsidR="000A6BCB" w:rsidP="000A6BCB" w:rsidRDefault="000A6BCB" w14:paraId="0A8AF251" w14:textId="77777777">
      <w:pPr>
        <w:tabs>
          <w:tab w:val="left" w:pos="426"/>
        </w:tabs>
        <w:spacing w:line="276" w:lineRule="auto"/>
        <w:jc w:val="both"/>
        <w:rPr>
          <w:rFonts w:ascii="Arial" w:hAnsi="Arial" w:eastAsia="Calibri" w:cs="Arial"/>
          <w:b/>
          <w:sz w:val="22"/>
        </w:rPr>
      </w:pPr>
    </w:p>
    <w:p w:rsidR="000A6BCB" w:rsidP="000A6BCB" w:rsidRDefault="000A6BCB" w14:paraId="0F7EC6D3" w14:textId="77777777">
      <w:pPr>
        <w:tabs>
          <w:tab w:val="left" w:pos="426"/>
        </w:tabs>
        <w:spacing w:line="276" w:lineRule="auto"/>
        <w:jc w:val="both"/>
        <w:rPr>
          <w:rFonts w:ascii="Arial" w:hAnsi="Arial" w:eastAsia="Calibri" w:cs="Arial"/>
          <w:sz w:val="22"/>
        </w:rPr>
      </w:pPr>
      <w:r>
        <w:rPr>
          <w:rFonts w:ascii="Arial" w:hAnsi="Arial" w:eastAsia="Calibri" w:cs="Arial"/>
          <w:sz w:val="22"/>
        </w:rPr>
        <w:t>Usted realiza las siguientes preguntas:</w:t>
      </w:r>
    </w:p>
    <w:p w:rsidR="000A6BCB" w:rsidP="000A6BCB" w:rsidRDefault="000A6BCB" w14:paraId="0D9E4560" w14:textId="77777777">
      <w:pPr>
        <w:tabs>
          <w:tab w:val="left" w:pos="426"/>
        </w:tabs>
        <w:spacing w:line="276" w:lineRule="auto"/>
        <w:jc w:val="both"/>
        <w:rPr>
          <w:rFonts w:ascii="Arial" w:hAnsi="Arial" w:eastAsia="Calibri" w:cs="Arial"/>
          <w:sz w:val="22"/>
        </w:rPr>
      </w:pPr>
      <w:r>
        <w:rPr>
          <w:rFonts w:ascii="Arial" w:hAnsi="Arial" w:eastAsia="Calibri" w:cs="Arial"/>
          <w:sz w:val="22"/>
        </w:rPr>
        <w:t xml:space="preserve"> </w:t>
      </w:r>
    </w:p>
    <w:p w:rsidR="000A6BCB" w:rsidP="000A6BCB" w:rsidRDefault="000A6BCB" w14:paraId="0BD83A9C" w14:textId="77777777">
      <w:pPr>
        <w:tabs>
          <w:tab w:val="left" w:pos="426"/>
        </w:tabs>
        <w:spacing w:line="276" w:lineRule="auto"/>
        <w:jc w:val="both"/>
        <w:rPr>
          <w:rFonts w:ascii="Arial" w:hAnsi="Arial" w:eastAsia="Calibri" w:cs="Arial"/>
          <w:sz w:val="22"/>
        </w:rPr>
      </w:pPr>
      <w:r>
        <w:rPr>
          <w:rFonts w:ascii="Arial" w:hAnsi="Arial" w:eastAsia="Calibri" w:cs="Arial"/>
          <w:sz w:val="22"/>
        </w:rPr>
        <w:t>«[...]</w:t>
      </w:r>
      <w:r w:rsidRPr="00D47340">
        <w:rPr>
          <w:rFonts w:ascii="Arial" w:hAnsi="Arial" w:eastAsia="Calibri" w:cs="Arial"/>
          <w:sz w:val="22"/>
        </w:rPr>
        <w:t>Es válido colocar dentro del sobre No. 2 de la propuesta, los factores de calidad que se ponderan entre los oferentes</w:t>
      </w:r>
      <w:r>
        <w:rPr>
          <w:rFonts w:ascii="Arial" w:hAnsi="Arial" w:eastAsia="Calibri" w:cs="Arial"/>
          <w:sz w:val="22"/>
        </w:rPr>
        <w:t xml:space="preserve"> [...] </w:t>
      </w:r>
      <w:r w:rsidRPr="00D47340">
        <w:rPr>
          <w:rFonts w:ascii="Arial" w:hAnsi="Arial" w:eastAsia="Calibri" w:cs="Arial"/>
          <w:sz w:val="22"/>
        </w:rPr>
        <w:t>En dado caso que no sea v</w:t>
      </w:r>
      <w:r>
        <w:rPr>
          <w:rFonts w:ascii="Arial" w:hAnsi="Arial" w:eastAsia="Calibri" w:cs="Arial"/>
          <w:sz w:val="22"/>
        </w:rPr>
        <w:t>á</w:t>
      </w:r>
      <w:r w:rsidRPr="00D47340">
        <w:rPr>
          <w:rFonts w:ascii="Arial" w:hAnsi="Arial" w:eastAsia="Calibri" w:cs="Arial"/>
          <w:sz w:val="22"/>
        </w:rPr>
        <w:t>lid</w:t>
      </w:r>
      <w:r>
        <w:rPr>
          <w:rFonts w:ascii="Arial" w:hAnsi="Arial" w:eastAsia="Calibri" w:cs="Arial"/>
          <w:sz w:val="22"/>
        </w:rPr>
        <w:t>o</w:t>
      </w:r>
      <w:r w:rsidRPr="00D47340">
        <w:rPr>
          <w:rFonts w:ascii="Arial" w:hAnsi="Arial" w:eastAsia="Calibri" w:cs="Arial"/>
          <w:sz w:val="22"/>
        </w:rPr>
        <w:t xml:space="preserve"> colocar dichos factores dentro del sobre No. 2 de la propuesta, ¿cómo podemos nosotros siendo oferentes de un proceso de contratación evitar ser víctima de fraude? </w:t>
      </w:r>
      <w:r>
        <w:rPr>
          <w:rFonts w:ascii="Arial" w:hAnsi="Arial" w:eastAsia="Calibri" w:cs="Arial"/>
          <w:sz w:val="22"/>
        </w:rPr>
        <w:t>[...]»</w:t>
      </w:r>
    </w:p>
    <w:p w:rsidR="000A6BCB" w:rsidP="000A6BCB" w:rsidRDefault="000A6BCB" w14:paraId="014D3822" w14:textId="77777777">
      <w:pPr>
        <w:tabs>
          <w:tab w:val="left" w:pos="426"/>
        </w:tabs>
        <w:spacing w:line="276" w:lineRule="auto"/>
        <w:jc w:val="both"/>
        <w:rPr>
          <w:rFonts w:ascii="Arial" w:hAnsi="Arial" w:eastAsia="Calibri" w:cs="Arial"/>
          <w:sz w:val="22"/>
        </w:rPr>
      </w:pPr>
    </w:p>
    <w:p w:rsidR="000A6BCB" w:rsidP="000A6BCB" w:rsidRDefault="000A6BCB" w14:paraId="0A6F3271" w14:textId="77777777">
      <w:pPr>
        <w:tabs>
          <w:tab w:val="left" w:pos="426"/>
        </w:tabs>
        <w:spacing w:line="276" w:lineRule="auto"/>
        <w:jc w:val="both"/>
        <w:rPr>
          <w:rFonts w:ascii="Arial" w:hAnsi="Arial" w:eastAsia="Calibri" w:cs="Arial"/>
          <w:sz w:val="22"/>
        </w:rPr>
      </w:pPr>
      <w:r>
        <w:rPr>
          <w:rFonts w:ascii="Arial" w:hAnsi="Arial" w:eastAsia="Calibri" w:cs="Arial"/>
          <w:sz w:val="22"/>
        </w:rPr>
        <w:t xml:space="preserve">Respecto de las opciones del factor de calidad de garantía suplementaria o adicional, </w:t>
      </w:r>
      <w:r w:rsidRPr="00F4155C">
        <w:rPr>
          <w:rFonts w:ascii="Arial" w:hAnsi="Arial" w:eastAsia="Calibri" w:cs="Arial"/>
          <w:sz w:val="22"/>
        </w:rPr>
        <w:t>cuadrillas</w:t>
      </w:r>
      <w:r>
        <w:rPr>
          <w:rFonts w:ascii="Arial" w:hAnsi="Arial" w:eastAsia="Calibri" w:cs="Arial"/>
          <w:sz w:val="22"/>
        </w:rPr>
        <w:t xml:space="preserve"> de</w:t>
      </w:r>
      <w:r w:rsidRPr="00F4155C">
        <w:rPr>
          <w:rFonts w:ascii="Arial" w:hAnsi="Arial" w:eastAsia="Calibri" w:cs="Arial"/>
          <w:sz w:val="22"/>
        </w:rPr>
        <w:t xml:space="preserve"> trabajo</w:t>
      </w:r>
      <w:r>
        <w:rPr>
          <w:rFonts w:ascii="Arial" w:hAnsi="Arial" w:eastAsia="Calibri" w:cs="Arial"/>
          <w:sz w:val="22"/>
        </w:rPr>
        <w:t xml:space="preserve"> adicional</w:t>
      </w:r>
      <w:r w:rsidRPr="00F4155C">
        <w:rPr>
          <w:rFonts w:ascii="Arial" w:hAnsi="Arial" w:eastAsia="Calibri" w:cs="Arial"/>
          <w:sz w:val="22"/>
        </w:rPr>
        <w:t xml:space="preserve"> </w:t>
      </w:r>
      <w:r>
        <w:rPr>
          <w:rFonts w:ascii="Arial" w:hAnsi="Arial" w:eastAsia="Calibri" w:cs="Arial"/>
          <w:sz w:val="22"/>
        </w:rPr>
        <w:t>a</w:t>
      </w:r>
      <w:r w:rsidRPr="00F4155C">
        <w:rPr>
          <w:rFonts w:ascii="Arial" w:hAnsi="Arial" w:eastAsia="Calibri" w:cs="Arial"/>
          <w:sz w:val="22"/>
        </w:rPr>
        <w:t xml:space="preserve"> costo </w:t>
      </w:r>
      <w:r>
        <w:rPr>
          <w:rFonts w:ascii="Arial" w:hAnsi="Arial" w:eastAsia="Calibri" w:cs="Arial"/>
          <w:sz w:val="22"/>
        </w:rPr>
        <w:t>y riesgo</w:t>
      </w:r>
      <w:r w:rsidRPr="00F4155C">
        <w:rPr>
          <w:rFonts w:ascii="Arial" w:hAnsi="Arial" w:eastAsia="Calibri" w:cs="Arial"/>
          <w:sz w:val="22"/>
        </w:rPr>
        <w:t xml:space="preserve"> del contratista</w:t>
      </w:r>
      <w:r>
        <w:rPr>
          <w:rFonts w:ascii="Arial" w:hAnsi="Arial" w:eastAsia="Calibri" w:cs="Arial"/>
          <w:sz w:val="22"/>
        </w:rPr>
        <w:t xml:space="preserve"> y mantenimiento adicional ¿Existe un límite al ofrecimiento o la entidad contratante debería establecerlo? y ¿La Agencia Nacional de Contratación Pública − Colombia Compra Eficiente tuvo en cuenta que esas opciones de factor de calidad pueden ser utilizadas por la entidad contratante para manipular la ponderación y favorecer a algún oferente?</w:t>
      </w:r>
    </w:p>
    <w:p w:rsidR="000A6BCB" w:rsidP="000A6BCB" w:rsidRDefault="000A6BCB" w14:paraId="66EED478" w14:textId="77777777">
      <w:pPr>
        <w:tabs>
          <w:tab w:val="left" w:pos="426"/>
        </w:tabs>
        <w:spacing w:line="276" w:lineRule="auto"/>
        <w:jc w:val="both"/>
        <w:rPr>
          <w:rFonts w:ascii="Arial" w:hAnsi="Arial" w:eastAsia="Calibri" w:cs="Arial"/>
          <w:sz w:val="22"/>
        </w:rPr>
      </w:pPr>
    </w:p>
    <w:p w:rsidR="000A6BCB" w:rsidP="000A6BCB" w:rsidRDefault="000A6BCB" w14:paraId="7359E681" w14:textId="77777777">
      <w:pPr>
        <w:tabs>
          <w:tab w:val="left" w:pos="426"/>
        </w:tabs>
        <w:spacing w:line="276" w:lineRule="auto"/>
        <w:jc w:val="both"/>
        <w:rPr>
          <w:rFonts w:ascii="Arial" w:hAnsi="Arial" w:eastAsia="Calibri" w:cs="Arial"/>
          <w:sz w:val="22"/>
        </w:rPr>
      </w:pPr>
      <w:r>
        <w:rPr>
          <w:rFonts w:ascii="Arial" w:hAnsi="Arial" w:eastAsia="Calibri" w:cs="Arial"/>
          <w:sz w:val="22"/>
        </w:rPr>
        <w:t>Respecto de la opción de factor de calidad de mantenimiento adicional, «</w:t>
      </w:r>
      <w:proofErr w:type="gramStart"/>
      <w:r>
        <w:rPr>
          <w:rFonts w:ascii="Arial" w:hAnsi="Arial" w:eastAsia="Calibri" w:cs="Arial"/>
          <w:sz w:val="22"/>
        </w:rPr>
        <w:t>[...]</w:t>
      </w:r>
      <w:r w:rsidRPr="00F17ED4">
        <w:rPr>
          <w:rFonts w:ascii="Arial" w:hAnsi="Arial" w:eastAsia="Calibri" w:cs="Arial"/>
          <w:sz w:val="22"/>
        </w:rPr>
        <w:t>¿</w:t>
      </w:r>
      <w:proofErr w:type="gramEnd"/>
      <w:r w:rsidRPr="00F17ED4">
        <w:rPr>
          <w:rFonts w:ascii="Arial" w:hAnsi="Arial" w:eastAsia="Calibri" w:cs="Arial"/>
          <w:sz w:val="22"/>
        </w:rPr>
        <w:t xml:space="preserve">se puede entender que el contratista adjudicado a cualquier proceso de contratación de obra pública de Infraestructura de Transporte no puede liquidar y dar por terminado el contrato </w:t>
      </w:r>
      <w:r w:rsidRPr="00F17ED4">
        <w:rPr>
          <w:rFonts w:ascii="Arial" w:hAnsi="Arial" w:eastAsia="Calibri" w:cs="Arial"/>
          <w:sz w:val="22"/>
        </w:rPr>
        <w:lastRenderedPageBreak/>
        <w:t>de obra sino hasta cuando haya transcurrido la totalidad de meses de mantenimiento que ofert</w:t>
      </w:r>
      <w:r>
        <w:rPr>
          <w:rFonts w:ascii="Arial" w:hAnsi="Arial" w:eastAsia="Calibri" w:cs="Arial"/>
          <w:sz w:val="22"/>
        </w:rPr>
        <w:t>ó</w:t>
      </w:r>
      <w:r w:rsidRPr="00F17ED4">
        <w:rPr>
          <w:rFonts w:ascii="Arial" w:hAnsi="Arial" w:eastAsia="Calibri" w:cs="Arial"/>
          <w:sz w:val="22"/>
        </w:rPr>
        <w:t>?</w:t>
      </w:r>
      <w:r>
        <w:rPr>
          <w:rFonts w:ascii="Arial" w:hAnsi="Arial" w:eastAsia="Calibri" w:cs="Arial"/>
          <w:sz w:val="22"/>
        </w:rPr>
        <w:t>[...]»</w:t>
      </w:r>
    </w:p>
    <w:p w:rsidR="000A6BCB" w:rsidP="000A6BCB" w:rsidRDefault="000A6BCB" w14:paraId="5AECE264" w14:textId="77777777">
      <w:pPr>
        <w:tabs>
          <w:tab w:val="left" w:pos="426"/>
        </w:tabs>
        <w:spacing w:line="276" w:lineRule="auto"/>
        <w:jc w:val="both"/>
        <w:rPr>
          <w:rFonts w:ascii="Arial" w:hAnsi="Arial" w:eastAsia="Calibri" w:cs="Arial"/>
          <w:sz w:val="22"/>
        </w:rPr>
      </w:pPr>
    </w:p>
    <w:p w:rsidR="000A6BCB" w:rsidP="000A6BCB" w:rsidRDefault="000A6BCB" w14:paraId="4CB5F629" w14:textId="77777777">
      <w:pPr>
        <w:tabs>
          <w:tab w:val="left" w:pos="426"/>
        </w:tabs>
        <w:spacing w:line="276" w:lineRule="auto"/>
        <w:jc w:val="both"/>
        <w:rPr>
          <w:rFonts w:ascii="Arial" w:hAnsi="Arial" w:eastAsia="Calibri" w:cs="Arial"/>
          <w:b/>
          <w:sz w:val="22"/>
        </w:rPr>
      </w:pPr>
      <w:r>
        <w:rPr>
          <w:rFonts w:ascii="Arial" w:hAnsi="Arial" w:eastAsia="Calibri" w:cs="Arial"/>
          <w:b/>
          <w:sz w:val="22"/>
        </w:rPr>
        <w:t>2. Consideraciones</w:t>
      </w:r>
    </w:p>
    <w:p w:rsidR="000A6BCB" w:rsidP="000A6BCB" w:rsidRDefault="000A6BCB" w14:paraId="7BB168F2" w14:textId="77777777">
      <w:pPr>
        <w:tabs>
          <w:tab w:val="left" w:pos="426"/>
        </w:tabs>
        <w:spacing w:line="276" w:lineRule="auto"/>
        <w:jc w:val="both"/>
        <w:rPr>
          <w:rFonts w:ascii="Arial" w:hAnsi="Arial" w:eastAsia="Calibri" w:cs="Arial"/>
          <w:b/>
          <w:sz w:val="22"/>
        </w:rPr>
      </w:pPr>
    </w:p>
    <w:p w:rsidR="000A6BCB" w:rsidP="000A6BCB" w:rsidRDefault="000A6BCB" w14:paraId="6013F4E3" w14:textId="77777777">
      <w:pPr>
        <w:tabs>
          <w:tab w:val="left" w:pos="426"/>
        </w:tabs>
        <w:spacing w:line="276" w:lineRule="auto"/>
        <w:jc w:val="both"/>
        <w:rPr>
          <w:rFonts w:ascii="Arial" w:hAnsi="Arial" w:eastAsia="Calibri" w:cs="Arial"/>
          <w:b/>
          <w:sz w:val="22"/>
        </w:rPr>
      </w:pPr>
      <w:r w:rsidRPr="00042D39">
        <w:rPr>
          <w:rFonts w:ascii="Arial" w:hAnsi="Arial" w:eastAsia="Calibri" w:cs="Arial"/>
          <w:b/>
          <w:sz w:val="22"/>
        </w:rPr>
        <w:t xml:space="preserve">2.1. Acreditación del </w:t>
      </w:r>
      <w:r w:rsidRPr="006F3B77">
        <w:rPr>
          <w:rFonts w:ascii="Arial" w:hAnsi="Arial" w:eastAsia="Calibri" w:cs="Arial"/>
          <w:b/>
          <w:sz w:val="22"/>
        </w:rPr>
        <w:t xml:space="preserve">«Factor de calidad» </w:t>
      </w:r>
      <w:r w:rsidRPr="00042D39">
        <w:rPr>
          <w:rFonts w:ascii="Arial" w:hAnsi="Arial" w:eastAsia="Calibri" w:cs="Arial"/>
          <w:b/>
          <w:sz w:val="22"/>
        </w:rPr>
        <w:t>en los Documentos Tipo</w:t>
      </w:r>
    </w:p>
    <w:p w:rsidR="000A6BCB" w:rsidP="000A6BCB" w:rsidRDefault="000A6BCB" w14:paraId="78A694BC" w14:textId="77777777">
      <w:pPr>
        <w:tabs>
          <w:tab w:val="left" w:pos="426"/>
        </w:tabs>
        <w:spacing w:line="276" w:lineRule="auto"/>
        <w:jc w:val="both"/>
        <w:rPr>
          <w:rFonts w:ascii="Arial" w:hAnsi="Arial" w:eastAsia="Calibri" w:cs="Arial"/>
          <w:b/>
          <w:sz w:val="22"/>
        </w:rPr>
      </w:pPr>
    </w:p>
    <w:p w:rsidR="000A6BCB" w:rsidP="000A6BCB" w:rsidRDefault="000A6BCB" w14:paraId="29A4DC32" w14:textId="77777777">
      <w:pPr>
        <w:spacing w:after="120" w:line="276" w:lineRule="auto"/>
        <w:jc w:val="both"/>
        <w:rPr>
          <w:rFonts w:ascii="Arial" w:hAnsi="Arial" w:cs="Arial"/>
          <w:sz w:val="22"/>
        </w:rPr>
      </w:pPr>
      <w:r w:rsidRPr="00BD595A">
        <w:rPr>
          <w:rFonts w:ascii="Arial" w:hAnsi="Arial" w:eastAsia="Calibri" w:cs="Arial"/>
          <w:sz w:val="22"/>
        </w:rPr>
        <w:t xml:space="preserve">La Agencia </w:t>
      </w:r>
      <w:r w:rsidRPr="00BD595A">
        <w:rPr>
          <w:rFonts w:ascii="Arial" w:hAnsi="Arial" w:eastAsia="Calibri" w:cs="Arial"/>
          <w:bCs/>
          <w:sz w:val="22"/>
        </w:rPr>
        <w:t>Nacional de Contratación Pública – Colombia Compra Eficiente,</w:t>
      </w:r>
      <w:r w:rsidRPr="00BD595A">
        <w:rPr>
          <w:rFonts w:ascii="Arial" w:hAnsi="Arial" w:cs="Arial"/>
        </w:rPr>
        <w:t xml:space="preserve"> </w:t>
      </w:r>
      <w:r w:rsidRPr="00BD595A">
        <w:rPr>
          <w:rFonts w:ascii="Arial" w:hAnsi="Arial" w:eastAsia="Calibri" w:cs="Arial"/>
          <w:bCs/>
          <w:sz w:val="22"/>
        </w:rPr>
        <w:t>en el concepto con radicado No. 4201912000007341 del 9 de diciembre de 2019, reiterado y desarrollado en los conceptos con radicado</w:t>
      </w:r>
      <w:r>
        <w:rPr>
          <w:rFonts w:ascii="Arial" w:hAnsi="Arial" w:eastAsia="Calibri" w:cs="Arial"/>
          <w:bCs/>
          <w:sz w:val="22"/>
        </w:rPr>
        <w:t>s</w:t>
      </w:r>
      <w:r w:rsidRPr="00BD595A">
        <w:rPr>
          <w:rFonts w:ascii="Arial" w:hAnsi="Arial" w:eastAsia="Calibri" w:cs="Arial"/>
          <w:bCs/>
          <w:sz w:val="22"/>
        </w:rPr>
        <w:t xml:space="preserve"> No. C – 039 de 2020, C – 103 de 2020</w:t>
      </w:r>
      <w:r>
        <w:rPr>
          <w:rFonts w:ascii="Arial" w:hAnsi="Arial" w:eastAsia="Calibri" w:cs="Arial"/>
          <w:bCs/>
          <w:sz w:val="22"/>
        </w:rPr>
        <w:t>,</w:t>
      </w:r>
      <w:r w:rsidRPr="00BD595A">
        <w:rPr>
          <w:rFonts w:ascii="Arial" w:hAnsi="Arial" w:eastAsia="Calibri" w:cs="Arial"/>
          <w:bCs/>
          <w:sz w:val="22"/>
        </w:rPr>
        <w:t xml:space="preserve"> C – 119 de 2020</w:t>
      </w:r>
      <w:r>
        <w:rPr>
          <w:rFonts w:ascii="Arial" w:hAnsi="Arial" w:eastAsia="Calibri" w:cs="Arial"/>
          <w:bCs/>
          <w:sz w:val="22"/>
        </w:rPr>
        <w:t xml:space="preserve"> y C - 145 de 2020</w:t>
      </w:r>
      <w:r w:rsidRPr="00BD595A">
        <w:rPr>
          <w:rFonts w:ascii="Arial" w:hAnsi="Arial" w:eastAsia="Calibri" w:cs="Arial"/>
          <w:bCs/>
          <w:sz w:val="22"/>
        </w:rPr>
        <w:t xml:space="preserve">, estudió el </w:t>
      </w:r>
      <w:r w:rsidRPr="00BD595A">
        <w:rPr>
          <w:rFonts w:ascii="Arial" w:hAnsi="Arial" w:cs="Arial"/>
          <w:sz w:val="22"/>
          <w:lang w:val="es-ES_tradnl"/>
        </w:rPr>
        <w:t>«Factor de calidad»</w:t>
      </w:r>
      <w:r>
        <w:rPr>
          <w:rFonts w:ascii="Arial" w:hAnsi="Arial" w:cs="Arial"/>
          <w:sz w:val="22"/>
          <w:lang w:val="es-ES_tradnl"/>
        </w:rPr>
        <w:t xml:space="preserve"> </w:t>
      </w:r>
      <w:r w:rsidRPr="00BD595A">
        <w:rPr>
          <w:rFonts w:ascii="Arial" w:hAnsi="Arial" w:eastAsia="Calibri" w:cs="Arial"/>
          <w:bCs/>
          <w:sz w:val="22"/>
        </w:rPr>
        <w:t xml:space="preserve">en los Documentos </w:t>
      </w:r>
      <w:r>
        <w:rPr>
          <w:rFonts w:ascii="Arial" w:hAnsi="Arial" w:eastAsia="Calibri" w:cs="Arial"/>
          <w:bCs/>
          <w:sz w:val="22"/>
        </w:rPr>
        <w:t>T</w:t>
      </w:r>
      <w:r w:rsidRPr="00BD595A">
        <w:rPr>
          <w:rFonts w:ascii="Arial" w:hAnsi="Arial" w:eastAsia="Calibri" w:cs="Arial"/>
          <w:bCs/>
          <w:sz w:val="22"/>
        </w:rPr>
        <w:t>ipo versión 1</w:t>
      </w:r>
      <w:r>
        <w:rPr>
          <w:rFonts w:ascii="Arial" w:hAnsi="Arial" w:eastAsia="Calibri" w:cs="Arial"/>
          <w:bCs/>
          <w:sz w:val="22"/>
        </w:rPr>
        <w:t xml:space="preserve"> y versión 2</w:t>
      </w:r>
      <w:r w:rsidRPr="00BD595A">
        <w:rPr>
          <w:rFonts w:ascii="Arial" w:hAnsi="Arial" w:eastAsia="Calibri" w:cs="Arial"/>
          <w:bCs/>
          <w:sz w:val="22"/>
        </w:rPr>
        <w:t xml:space="preserve">. </w:t>
      </w:r>
      <w:r w:rsidRPr="00BD595A">
        <w:rPr>
          <w:rFonts w:ascii="Arial" w:hAnsi="Arial" w:cs="Arial"/>
          <w:sz w:val="22"/>
        </w:rPr>
        <w:t>La tesis desarrollada se expone a continuación</w:t>
      </w:r>
      <w:r>
        <w:rPr>
          <w:rFonts w:ascii="Arial" w:hAnsi="Arial" w:cs="Arial"/>
          <w:sz w:val="22"/>
        </w:rPr>
        <w:t>.</w:t>
      </w:r>
    </w:p>
    <w:p w:rsidR="000A6BCB" w:rsidP="000A6BCB" w:rsidRDefault="000A6BCB" w14:paraId="34A03338" w14:textId="77777777">
      <w:pPr>
        <w:spacing w:after="120" w:line="276" w:lineRule="auto"/>
        <w:ind w:firstLine="709"/>
        <w:jc w:val="both"/>
        <w:rPr>
          <w:rFonts w:ascii="Arial" w:hAnsi="Arial" w:cs="Arial"/>
          <w:sz w:val="22"/>
          <w:lang w:val="es-ES_tradnl"/>
        </w:rPr>
      </w:pPr>
      <w:r>
        <w:rPr>
          <w:rFonts w:ascii="Arial" w:hAnsi="Arial" w:eastAsia="Calibri" w:cs="Arial"/>
          <w:sz w:val="22"/>
        </w:rPr>
        <w:t>L</w:t>
      </w:r>
      <w:r w:rsidRPr="009278E9">
        <w:rPr>
          <w:rFonts w:ascii="Arial" w:hAnsi="Arial" w:eastAsia="Calibri" w:cs="Arial"/>
          <w:sz w:val="22"/>
        </w:rPr>
        <w:t xml:space="preserve">a Ley 1882 de 2018, en el artículo 1, señala que las ofertas deben estar conformadas por dos sobres: i) sobre 1: requisitos habilitantes y requisitos puntuables, diferentes a la oferta económica y </w:t>
      </w:r>
      <w:proofErr w:type="spellStart"/>
      <w:r w:rsidRPr="009278E9">
        <w:rPr>
          <w:rFonts w:ascii="Arial" w:hAnsi="Arial" w:eastAsia="Calibri" w:cs="Arial"/>
          <w:sz w:val="22"/>
        </w:rPr>
        <w:t>ii</w:t>
      </w:r>
      <w:proofErr w:type="spellEnd"/>
      <w:r w:rsidRPr="009278E9">
        <w:rPr>
          <w:rFonts w:ascii="Arial" w:hAnsi="Arial" w:eastAsia="Calibri" w:cs="Arial"/>
          <w:sz w:val="22"/>
        </w:rPr>
        <w:t>) sobre 2: oferta económica</w:t>
      </w:r>
      <w:bookmarkStart w:name="_Hlk42479838" w:id="1"/>
      <w:r w:rsidRPr="009278E9">
        <w:rPr>
          <w:rStyle w:val="Refdenotaalpie"/>
          <w:rFonts w:ascii="Arial" w:hAnsi="Arial" w:eastAsia="Calibri" w:cs="Arial"/>
          <w:sz w:val="22"/>
        </w:rPr>
        <w:footnoteReference w:id="1"/>
      </w:r>
      <w:bookmarkEnd w:id="1"/>
      <w:r w:rsidRPr="009278E9">
        <w:rPr>
          <w:rFonts w:ascii="Arial" w:hAnsi="Arial" w:eastAsia="Calibri" w:cs="Arial"/>
          <w:sz w:val="22"/>
        </w:rPr>
        <w:t>. Para el sobre 1 es aplicable lo</w:t>
      </w:r>
      <w:r>
        <w:rPr>
          <w:rFonts w:ascii="Arial" w:hAnsi="Arial" w:eastAsia="Calibri" w:cs="Arial"/>
          <w:sz w:val="22"/>
        </w:rPr>
        <w:t xml:space="preserve"> relacionado con el </w:t>
      </w:r>
      <w:r w:rsidRPr="00BD595A">
        <w:rPr>
          <w:rFonts w:ascii="Arial" w:hAnsi="Arial" w:cs="Arial"/>
          <w:sz w:val="22"/>
          <w:lang w:val="es-ES_tradnl"/>
        </w:rPr>
        <w:t>«Factor de calidad»</w:t>
      </w:r>
      <w:r>
        <w:rPr>
          <w:rFonts w:ascii="Arial" w:hAnsi="Arial" w:cs="Arial"/>
          <w:sz w:val="22"/>
          <w:lang w:val="es-ES_tradnl"/>
        </w:rPr>
        <w:t xml:space="preserve"> </w:t>
      </w:r>
      <w:r>
        <w:rPr>
          <w:rFonts w:ascii="Arial" w:hAnsi="Arial" w:eastAsia="Calibri" w:cs="Arial"/>
          <w:sz w:val="22"/>
        </w:rPr>
        <w:t>de</w:t>
      </w:r>
      <w:r w:rsidRPr="00BD595A">
        <w:rPr>
          <w:rFonts w:ascii="Arial" w:hAnsi="Arial" w:cs="Arial"/>
          <w:sz w:val="22"/>
          <w:lang w:val="es-ES_tradnl"/>
        </w:rPr>
        <w:t xml:space="preserve">l Pliego Tipo, </w:t>
      </w:r>
      <w:r>
        <w:rPr>
          <w:rFonts w:ascii="Arial" w:hAnsi="Arial" w:cs="Arial"/>
          <w:sz w:val="22"/>
          <w:lang w:val="es-ES_tradnl"/>
        </w:rPr>
        <w:t xml:space="preserve">que </w:t>
      </w:r>
      <w:r w:rsidRPr="00BD595A">
        <w:rPr>
          <w:rFonts w:ascii="Arial" w:hAnsi="Arial" w:cs="Arial"/>
          <w:sz w:val="22"/>
          <w:lang w:val="es-ES_tradnl"/>
        </w:rPr>
        <w:t xml:space="preserve">en el «capítulo IV criterios de evaluación, asignación de puntaje y criterios de desempate» señala que la entidad calificará las ofertas que hayan cumplido con los requisitos habilitantes con los siguientes puntajes: i) oferta económica (70 puntos), </w:t>
      </w:r>
      <w:proofErr w:type="spellStart"/>
      <w:r w:rsidRPr="00BD595A">
        <w:rPr>
          <w:rFonts w:ascii="Arial" w:hAnsi="Arial" w:cs="Arial"/>
          <w:sz w:val="22"/>
          <w:lang w:val="es-ES_tradnl"/>
        </w:rPr>
        <w:t>ii</w:t>
      </w:r>
      <w:proofErr w:type="spellEnd"/>
      <w:r w:rsidRPr="00BD595A">
        <w:rPr>
          <w:rFonts w:ascii="Arial" w:hAnsi="Arial" w:cs="Arial"/>
          <w:sz w:val="22"/>
          <w:lang w:val="es-ES_tradnl"/>
        </w:rPr>
        <w:t xml:space="preserve">) factor de calidad (19 puntos), </w:t>
      </w:r>
      <w:proofErr w:type="spellStart"/>
      <w:r w:rsidRPr="00BD595A">
        <w:rPr>
          <w:rFonts w:ascii="Arial" w:hAnsi="Arial" w:cs="Arial"/>
          <w:sz w:val="22"/>
          <w:lang w:val="es-ES_tradnl"/>
        </w:rPr>
        <w:t>iii</w:t>
      </w:r>
      <w:proofErr w:type="spellEnd"/>
      <w:r w:rsidRPr="00BD595A">
        <w:rPr>
          <w:rFonts w:ascii="Arial" w:hAnsi="Arial" w:cs="Arial"/>
          <w:sz w:val="22"/>
          <w:lang w:val="es-ES_tradnl"/>
        </w:rPr>
        <w:t xml:space="preserve">) apoyo a la industria nacional (10 puntos) y </w:t>
      </w:r>
      <w:proofErr w:type="spellStart"/>
      <w:r w:rsidRPr="00BD595A">
        <w:rPr>
          <w:rFonts w:ascii="Arial" w:hAnsi="Arial" w:cs="Arial"/>
          <w:sz w:val="22"/>
          <w:lang w:val="es-ES_tradnl"/>
        </w:rPr>
        <w:t>iv</w:t>
      </w:r>
      <w:proofErr w:type="spellEnd"/>
      <w:r w:rsidRPr="00BD595A">
        <w:rPr>
          <w:rFonts w:ascii="Arial" w:hAnsi="Arial" w:cs="Arial"/>
          <w:sz w:val="22"/>
          <w:lang w:val="es-ES_tradnl"/>
        </w:rPr>
        <w:t xml:space="preserve">) vinculación de personas con discapacidad (1 punto). </w:t>
      </w:r>
    </w:p>
    <w:p w:rsidRPr="00BD595A" w:rsidR="000A6BCB" w:rsidP="000A6BCB" w:rsidRDefault="000A6BCB" w14:paraId="00D9C902" w14:textId="77777777">
      <w:pPr>
        <w:spacing w:after="120" w:line="276" w:lineRule="auto"/>
        <w:ind w:firstLine="709"/>
        <w:jc w:val="both"/>
        <w:rPr>
          <w:rFonts w:ascii="Arial" w:hAnsi="Arial" w:eastAsia="Calibri" w:cs="Arial"/>
          <w:sz w:val="22"/>
        </w:rPr>
      </w:pPr>
      <w:r>
        <w:rPr>
          <w:rFonts w:ascii="Arial" w:hAnsi="Arial" w:cs="Arial"/>
          <w:sz w:val="22"/>
          <w:lang w:val="es-ES_tradnl"/>
        </w:rPr>
        <w:t>E</w:t>
      </w:r>
      <w:r w:rsidRPr="00BD595A">
        <w:rPr>
          <w:rFonts w:ascii="Arial" w:hAnsi="Arial" w:cs="Arial"/>
          <w:sz w:val="22"/>
          <w:lang w:val="es-ES_tradnl"/>
        </w:rPr>
        <w:t>l criterio de puntaje de «Factor de calidad»</w:t>
      </w:r>
      <w:r>
        <w:rPr>
          <w:rFonts w:ascii="Arial" w:hAnsi="Arial" w:cs="Arial"/>
          <w:sz w:val="22"/>
          <w:lang w:val="es-ES_tradnl"/>
        </w:rPr>
        <w:t>, de acuerdo con el</w:t>
      </w:r>
      <w:r w:rsidRPr="00BD595A">
        <w:rPr>
          <w:rFonts w:ascii="Arial" w:hAnsi="Arial" w:eastAsia="Calibri" w:cs="Arial"/>
          <w:sz w:val="22"/>
        </w:rPr>
        <w:t xml:space="preserve"> numeral 4.2.</w:t>
      </w:r>
      <w:r>
        <w:rPr>
          <w:rFonts w:ascii="Arial" w:hAnsi="Arial" w:eastAsia="Calibri" w:cs="Arial"/>
          <w:sz w:val="22"/>
        </w:rPr>
        <w:t xml:space="preserve"> </w:t>
      </w:r>
      <w:r w:rsidRPr="00BD595A">
        <w:rPr>
          <w:rFonts w:ascii="Arial" w:hAnsi="Arial" w:eastAsia="Calibri" w:cs="Arial"/>
          <w:sz w:val="22"/>
        </w:rPr>
        <w:t>del Documento Base</w:t>
      </w:r>
      <w:r>
        <w:rPr>
          <w:rFonts w:ascii="Arial" w:hAnsi="Arial" w:eastAsia="Calibri" w:cs="Arial"/>
          <w:sz w:val="22"/>
        </w:rPr>
        <w:t>,</w:t>
      </w:r>
      <w:r w:rsidRPr="00BD595A">
        <w:rPr>
          <w:rFonts w:ascii="Arial" w:hAnsi="Arial" w:eastAsia="Calibri" w:cs="Arial"/>
          <w:sz w:val="22"/>
        </w:rPr>
        <w:t xml:space="preserve"> se podrá evaluar con una o algunas de las siguientes opciones que las entidades tienen la posibilidad de elegir: i) la implementación del programa de gerencia de proyectos, </w:t>
      </w:r>
      <w:proofErr w:type="spellStart"/>
      <w:r w:rsidRPr="00BD595A">
        <w:rPr>
          <w:rFonts w:ascii="Arial" w:hAnsi="Arial" w:eastAsia="Calibri" w:cs="Arial"/>
          <w:sz w:val="22"/>
        </w:rPr>
        <w:t>ii</w:t>
      </w:r>
      <w:proofErr w:type="spellEnd"/>
      <w:r w:rsidRPr="00BD595A">
        <w:rPr>
          <w:rFonts w:ascii="Arial" w:hAnsi="Arial" w:eastAsia="Calibri" w:cs="Arial"/>
          <w:sz w:val="22"/>
        </w:rPr>
        <w:t xml:space="preserve">) la disponibilidad y condiciones funcionales para la maquinaria de obra, </w:t>
      </w:r>
      <w:proofErr w:type="spellStart"/>
      <w:r w:rsidRPr="00BD595A">
        <w:rPr>
          <w:rFonts w:ascii="Arial" w:hAnsi="Arial" w:eastAsia="Calibri" w:cs="Arial"/>
          <w:sz w:val="22"/>
        </w:rPr>
        <w:t>iii</w:t>
      </w:r>
      <w:proofErr w:type="spellEnd"/>
      <w:r w:rsidRPr="00BD595A">
        <w:rPr>
          <w:rFonts w:ascii="Arial" w:hAnsi="Arial" w:eastAsia="Calibri" w:cs="Arial"/>
          <w:sz w:val="22"/>
        </w:rPr>
        <w:t xml:space="preserve">) la presentación de un plan de calidad, </w:t>
      </w:r>
      <w:proofErr w:type="spellStart"/>
      <w:r w:rsidRPr="00BD595A">
        <w:rPr>
          <w:rFonts w:ascii="Arial" w:hAnsi="Arial" w:eastAsia="Calibri" w:cs="Arial"/>
          <w:sz w:val="22"/>
        </w:rPr>
        <w:t>iv</w:t>
      </w:r>
      <w:proofErr w:type="spellEnd"/>
      <w:r w:rsidRPr="00BD595A">
        <w:rPr>
          <w:rFonts w:ascii="Arial" w:hAnsi="Arial" w:eastAsia="Calibri" w:cs="Arial"/>
          <w:sz w:val="22"/>
        </w:rPr>
        <w:t>) garantía suplementaria o adicional por cuenta del Contratista, v) cuadrillas de trabajo adicional a costo y riesgo del Contratista y vi) mantenimiento adicional. Por su parte, la entidad definirá el puntaje que se asignará a estos criterios, sin ser superior a 19 puntos, aun si se escogen varios criterios de los 6 establecidos como factor de calidad, sin que la entidad pueda establecer más de 3 criterios; y para que señale el tipo de proyecto según la obra a desarrollar mediante los Documentos Tipo.</w:t>
      </w:r>
    </w:p>
    <w:p w:rsidRPr="009278E9" w:rsidR="000A6BCB" w:rsidP="000A6BCB" w:rsidRDefault="000A6BCB" w14:paraId="3E010727" w14:textId="77777777">
      <w:pPr>
        <w:spacing w:line="276" w:lineRule="auto"/>
        <w:jc w:val="both"/>
        <w:rPr>
          <w:rFonts w:ascii="Arial" w:hAnsi="Arial" w:eastAsia="Calibri" w:cs="Arial"/>
          <w:sz w:val="22"/>
        </w:rPr>
      </w:pPr>
      <w:r>
        <w:rPr>
          <w:rFonts w:ascii="Arial" w:hAnsi="Arial" w:eastAsia="Calibri" w:cs="Arial"/>
          <w:sz w:val="22"/>
        </w:rPr>
        <w:lastRenderedPageBreak/>
        <w:tab/>
      </w:r>
      <w:r>
        <w:rPr>
          <w:rFonts w:ascii="Arial" w:hAnsi="Arial" w:eastAsia="Calibri" w:cs="Arial"/>
          <w:sz w:val="22"/>
        </w:rPr>
        <w:t xml:space="preserve">De esta manera, el </w:t>
      </w:r>
      <w:r w:rsidRPr="00BD595A">
        <w:rPr>
          <w:rFonts w:ascii="Arial" w:hAnsi="Arial" w:cs="Arial"/>
          <w:sz w:val="22"/>
          <w:lang w:val="es-ES_tradnl"/>
        </w:rPr>
        <w:t>«Factor de calidad»</w:t>
      </w:r>
      <w:r>
        <w:rPr>
          <w:rFonts w:ascii="Arial" w:hAnsi="Arial" w:cs="Arial"/>
          <w:sz w:val="22"/>
          <w:lang w:val="es-ES_tradnl"/>
        </w:rPr>
        <w:t xml:space="preserve"> es un requisito puntuable que, de acuerdo con el artículo 1 de la Ley 1882 de 2018, está incluido en el sobre 1</w:t>
      </w:r>
      <w:r>
        <w:rPr>
          <w:rFonts w:ascii="Arial" w:hAnsi="Arial" w:eastAsia="Calibri" w:cs="Arial"/>
          <w:sz w:val="22"/>
          <w:lang w:val="es-ES_tradnl"/>
        </w:rPr>
        <w:t>;</w:t>
      </w:r>
      <w:r w:rsidRPr="009278E9">
        <w:rPr>
          <w:rFonts w:ascii="Arial" w:hAnsi="Arial" w:eastAsia="Calibri" w:cs="Arial"/>
          <w:sz w:val="22"/>
        </w:rPr>
        <w:t xml:space="preserve"> y a pesar de que la normativa de</w:t>
      </w:r>
      <w:r>
        <w:rPr>
          <w:rFonts w:ascii="Arial" w:hAnsi="Arial" w:eastAsia="Calibri" w:cs="Arial"/>
          <w:sz w:val="22"/>
        </w:rPr>
        <w:t xml:space="preserve"> contratación pública </w:t>
      </w:r>
      <w:r w:rsidRPr="009278E9">
        <w:rPr>
          <w:rFonts w:ascii="Arial" w:hAnsi="Arial" w:eastAsia="Calibri" w:cs="Arial"/>
          <w:sz w:val="22"/>
        </w:rPr>
        <w:t>no regula</w:t>
      </w:r>
      <w:r>
        <w:rPr>
          <w:rFonts w:ascii="Arial" w:hAnsi="Arial" w:eastAsia="Calibri" w:cs="Arial"/>
          <w:sz w:val="22"/>
        </w:rPr>
        <w:t xml:space="preserve"> su apertura</w:t>
      </w:r>
      <w:r w:rsidRPr="009278E9">
        <w:rPr>
          <w:rFonts w:ascii="Arial" w:hAnsi="Arial" w:eastAsia="Calibri" w:cs="Arial"/>
          <w:sz w:val="22"/>
        </w:rPr>
        <w:t>, la Agencia Nacional de Contratación Pública - Colombia Compra Eficiente en la Circular Externa Única recomienda que se realice su apertura en presencia de los asistentes</w:t>
      </w:r>
      <w:r>
        <w:rPr>
          <w:rStyle w:val="Refdenotaalpie"/>
          <w:rFonts w:ascii="Arial" w:hAnsi="Arial" w:eastAsia="Calibri" w:cs="Arial"/>
          <w:sz w:val="22"/>
        </w:rPr>
        <w:footnoteReference w:id="2"/>
      </w:r>
      <w:r w:rsidRPr="009278E9">
        <w:rPr>
          <w:rFonts w:ascii="Arial" w:hAnsi="Arial" w:eastAsia="Calibri" w:cs="Arial"/>
          <w:sz w:val="22"/>
        </w:rPr>
        <w:t xml:space="preserve">, momento en el cual la oferta en el sobre 1 es pública y los «interesados» en las ofertas recibidas pueden solicitar copia </w:t>
      </w:r>
      <w:r>
        <w:rPr>
          <w:rFonts w:ascii="Arial" w:hAnsi="Arial" w:eastAsia="Calibri" w:cs="Arial"/>
          <w:sz w:val="22"/>
        </w:rPr>
        <w:t>o consultarlas</w:t>
      </w:r>
      <w:r w:rsidRPr="009278E9">
        <w:rPr>
          <w:rFonts w:ascii="Arial" w:hAnsi="Arial" w:eastAsia="Calibri" w:cs="Arial"/>
          <w:sz w:val="22"/>
        </w:rPr>
        <w:t xml:space="preserve">. Respecto del sobre 2, el artículo 1 de la Ley 1882 de 2018 señala el momento en que se debe dar </w:t>
      </w:r>
      <w:r>
        <w:rPr>
          <w:rFonts w:ascii="Arial" w:hAnsi="Arial" w:eastAsia="Calibri" w:cs="Arial"/>
          <w:sz w:val="22"/>
        </w:rPr>
        <w:t xml:space="preserve">su </w:t>
      </w:r>
      <w:r w:rsidRPr="009278E9">
        <w:rPr>
          <w:rFonts w:ascii="Arial" w:hAnsi="Arial" w:eastAsia="Calibri" w:cs="Arial"/>
          <w:sz w:val="22"/>
        </w:rPr>
        <w:t xml:space="preserve">apertura: </w:t>
      </w:r>
    </w:p>
    <w:p w:rsidRPr="009278E9" w:rsidR="000A6BCB" w:rsidP="000A6BCB" w:rsidRDefault="000A6BCB" w14:paraId="487C2A33" w14:textId="77777777">
      <w:pPr>
        <w:spacing w:line="276" w:lineRule="auto"/>
        <w:ind w:firstLine="708"/>
        <w:jc w:val="both"/>
        <w:rPr>
          <w:rFonts w:ascii="Arial" w:hAnsi="Arial" w:eastAsia="Calibri" w:cs="Arial"/>
          <w:sz w:val="22"/>
        </w:rPr>
      </w:pPr>
    </w:p>
    <w:p w:rsidRPr="009278E9" w:rsidR="000A6BCB" w:rsidP="000A6BCB" w:rsidRDefault="000A6BCB" w14:paraId="5E6BD352" w14:textId="77777777">
      <w:pPr>
        <w:spacing w:after="120"/>
        <w:ind w:left="709" w:right="709"/>
        <w:jc w:val="both"/>
        <w:rPr>
          <w:rFonts w:ascii="Arial" w:hAnsi="Arial" w:eastAsia="Calibri" w:cs="Arial"/>
          <w:sz w:val="21"/>
          <w:szCs w:val="21"/>
        </w:rPr>
      </w:pPr>
      <w:r w:rsidRPr="009278E9">
        <w:rPr>
          <w:rFonts w:ascii="Arial" w:hAnsi="Arial" w:cs="Arial"/>
          <w:sz w:val="21"/>
          <w:szCs w:val="21"/>
        </w:rPr>
        <w:t>[…]</w:t>
      </w:r>
      <w:r>
        <w:rPr>
          <w:rFonts w:ascii="Arial" w:hAnsi="Arial" w:cs="Arial"/>
          <w:sz w:val="21"/>
          <w:szCs w:val="21"/>
        </w:rPr>
        <w:t xml:space="preserve"> </w:t>
      </w:r>
      <w:r w:rsidRPr="009278E9">
        <w:rPr>
          <w:rFonts w:ascii="Arial" w:hAnsi="Arial" w:eastAsia="Calibri" w:cs="Arial"/>
          <w:sz w:val="21"/>
          <w:szCs w:val="21"/>
        </w:rPr>
        <w:t xml:space="preserve">Para estos procesos, el segundo sobre, que contiene la oferta económica, se mantendrá cerrado hasta la audiencia efectiva de adjudicación, momento en el cual se podrán hacer observaciones al informe de evaluación, las cuales se decidirán en la misma. </w:t>
      </w:r>
      <w:r w:rsidRPr="00FA6D49">
        <w:rPr>
          <w:rFonts w:ascii="Arial" w:hAnsi="Arial" w:eastAsia="Calibri" w:cs="Arial"/>
          <w:i/>
          <w:iCs/>
          <w:sz w:val="21"/>
          <w:szCs w:val="21"/>
        </w:rPr>
        <w:t>Durante esta audiencia se dará apertura al sobre</w:t>
      </w:r>
      <w:r w:rsidRPr="009278E9">
        <w:rPr>
          <w:rFonts w:ascii="Arial" w:hAnsi="Arial" w:eastAsia="Calibri" w:cs="Arial"/>
          <w:sz w:val="21"/>
          <w:szCs w:val="21"/>
        </w:rPr>
        <w:t>,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Pr>
          <w:rFonts w:ascii="Arial" w:hAnsi="Arial" w:eastAsia="Calibri" w:cs="Arial"/>
          <w:sz w:val="21"/>
          <w:szCs w:val="21"/>
        </w:rPr>
        <w:t xml:space="preserve"> (Cursiva fuera de texto)</w:t>
      </w:r>
      <w:r w:rsidRPr="009278E9">
        <w:rPr>
          <w:rFonts w:ascii="Arial" w:hAnsi="Arial" w:eastAsia="Calibri" w:cs="Arial"/>
          <w:sz w:val="21"/>
          <w:szCs w:val="21"/>
        </w:rPr>
        <w:t>.</w:t>
      </w:r>
    </w:p>
    <w:p w:rsidR="000A6BCB" w:rsidP="000A6BCB" w:rsidRDefault="000A6BCB" w14:paraId="6996E719" w14:textId="77777777">
      <w:pPr>
        <w:ind w:right="709"/>
        <w:jc w:val="both"/>
        <w:rPr>
          <w:rFonts w:ascii="Arial" w:hAnsi="Arial" w:eastAsia="Calibri" w:cs="Arial"/>
          <w:sz w:val="21"/>
          <w:szCs w:val="21"/>
        </w:rPr>
      </w:pPr>
    </w:p>
    <w:p w:rsidRPr="006C1E66" w:rsidR="000A6BCB" w:rsidP="000A6BCB" w:rsidRDefault="000A6BCB" w14:paraId="5D2CA304" w14:textId="77777777">
      <w:pPr>
        <w:spacing w:after="120" w:line="276" w:lineRule="auto"/>
        <w:ind w:firstLine="709"/>
        <w:jc w:val="both"/>
        <w:rPr>
          <w:rFonts w:ascii="Arial" w:hAnsi="Arial" w:cs="Arial"/>
          <w:sz w:val="22"/>
          <w:lang w:val="es-ES_tradnl"/>
        </w:rPr>
      </w:pPr>
      <w:r w:rsidRPr="00042D39">
        <w:rPr>
          <w:rFonts w:ascii="Arial" w:hAnsi="Arial" w:eastAsia="Calibri" w:cs="Arial"/>
          <w:sz w:val="22"/>
        </w:rPr>
        <w:t>El Documento Base, en el numeral 2.3., da cumplimiento a la ley reiterando lo señalado por el artículo 1 de la Ley 1882 de 2018</w:t>
      </w:r>
      <w:r>
        <w:rPr>
          <w:rFonts w:ascii="Arial" w:hAnsi="Arial" w:eastAsia="Calibri" w:cs="Arial"/>
          <w:sz w:val="22"/>
        </w:rPr>
        <w:t xml:space="preserve"> sobre el contenido de los sobres 1 y 2; y específicamente el numeral 2.3.2. dispone que el sobre 2 «c</w:t>
      </w:r>
      <w:r w:rsidRPr="00042D39">
        <w:rPr>
          <w:rFonts w:ascii="Arial" w:hAnsi="Arial" w:eastAsia="Calibri" w:cs="Arial"/>
          <w:sz w:val="22"/>
        </w:rPr>
        <w:t>ontiene únicamente la oferta económica del Prop</w:t>
      </w:r>
      <w:r w:rsidRPr="006C1E66">
        <w:rPr>
          <w:rFonts w:ascii="Arial" w:hAnsi="Arial" w:eastAsia="Calibri" w:cs="Arial"/>
          <w:sz w:val="22"/>
        </w:rPr>
        <w:t xml:space="preserve">onente». En ese sentido, el </w:t>
      </w:r>
      <w:r w:rsidRPr="006C1E66">
        <w:rPr>
          <w:rFonts w:ascii="Arial" w:hAnsi="Arial" w:cs="Arial"/>
          <w:sz w:val="22"/>
          <w:lang w:val="es-ES_tradnl"/>
        </w:rPr>
        <w:t xml:space="preserve">«Factor de calidad», al ser un requisito puntuable diferente al factor económico, debe acreditarse en el sobre 1, sin que pueda incluirse en el sobre 2, ya que por expresa disposición legal este contiene únicamente la oferta económica y no pueden agregarse documentos o criterios adicionales a dicho sobre. </w:t>
      </w:r>
    </w:p>
    <w:p w:rsidR="000A6BCB" w:rsidP="000A6BCB" w:rsidRDefault="000A6BCB" w14:paraId="1476B0BD" w14:textId="77777777">
      <w:pPr>
        <w:spacing w:line="276" w:lineRule="auto"/>
        <w:ind w:firstLine="708"/>
        <w:jc w:val="both"/>
        <w:rPr>
          <w:rFonts w:ascii="Arial" w:hAnsi="Arial" w:cs="Arial"/>
          <w:sz w:val="22"/>
          <w:lang w:val="es-ES_tradnl"/>
        </w:rPr>
      </w:pPr>
      <w:r w:rsidRPr="006C1E66">
        <w:rPr>
          <w:rFonts w:ascii="Arial" w:hAnsi="Arial" w:cs="Arial"/>
          <w:sz w:val="22"/>
          <w:lang w:val="es-ES_tradnl"/>
        </w:rPr>
        <w:t xml:space="preserve">A su vez, se debe tener en cuenta que la Ley 1882 de 2018 señala que la entidad debe publicar un primer informe de evaluación </w:t>
      </w:r>
      <w:r>
        <w:rPr>
          <w:rFonts w:ascii="Arial" w:hAnsi="Arial" w:cs="Arial"/>
          <w:sz w:val="22"/>
          <w:lang w:val="es-ES_tradnl"/>
        </w:rPr>
        <w:t>construido a partir del contenido del</w:t>
      </w:r>
      <w:r w:rsidRPr="006C1E66">
        <w:rPr>
          <w:rFonts w:ascii="Arial" w:hAnsi="Arial" w:cs="Arial"/>
          <w:sz w:val="22"/>
          <w:lang w:val="es-ES_tradnl"/>
        </w:rPr>
        <w:t xml:space="preserve"> sobre 1</w:t>
      </w:r>
      <w:r>
        <w:rPr>
          <w:rFonts w:ascii="Arial" w:hAnsi="Arial" w:cs="Arial"/>
          <w:sz w:val="22"/>
          <w:lang w:val="es-ES_tradnl"/>
        </w:rPr>
        <w:t xml:space="preserve"> de las ofertas</w:t>
      </w:r>
      <w:r w:rsidRPr="006C1E66">
        <w:rPr>
          <w:rFonts w:ascii="Arial" w:hAnsi="Arial" w:cs="Arial"/>
          <w:sz w:val="22"/>
          <w:lang w:val="es-ES_tradnl"/>
        </w:rPr>
        <w:t xml:space="preserve">, </w:t>
      </w:r>
      <w:r>
        <w:rPr>
          <w:rFonts w:ascii="Arial" w:hAnsi="Arial" w:cs="Arial"/>
          <w:sz w:val="22"/>
          <w:lang w:val="es-ES_tradnl"/>
        </w:rPr>
        <w:t>relacionado con</w:t>
      </w:r>
      <w:r w:rsidRPr="006C1E66">
        <w:rPr>
          <w:rFonts w:ascii="Arial" w:hAnsi="Arial" w:cs="Arial"/>
          <w:sz w:val="22"/>
          <w:lang w:val="es-ES_tradnl"/>
        </w:rPr>
        <w:t xml:space="preserve"> los requisitos habilitantes y los criterios ponderables diferentes a la oferta económica</w:t>
      </w:r>
      <w:r w:rsidRPr="006C1E66">
        <w:rPr>
          <w:rStyle w:val="Refdenotaalpie"/>
          <w:rFonts w:ascii="Arial" w:hAnsi="Arial" w:cs="Arial"/>
          <w:sz w:val="22"/>
          <w:lang w:val="es-ES_tradnl"/>
        </w:rPr>
        <w:footnoteReference w:id="3"/>
      </w:r>
      <w:r w:rsidRPr="006C1E66">
        <w:rPr>
          <w:rFonts w:ascii="Arial" w:hAnsi="Arial" w:cs="Arial"/>
          <w:sz w:val="22"/>
          <w:lang w:val="es-ES_tradnl"/>
        </w:rPr>
        <w:t xml:space="preserve">, y en caso de que el proponente incluyera </w:t>
      </w:r>
      <w:r w:rsidRPr="006C1E66">
        <w:rPr>
          <w:rFonts w:ascii="Arial" w:hAnsi="Arial" w:eastAsia="Calibri" w:cs="Arial"/>
          <w:sz w:val="22"/>
        </w:rPr>
        <w:t xml:space="preserve">el </w:t>
      </w:r>
      <w:r w:rsidRPr="006C1E66">
        <w:rPr>
          <w:rFonts w:ascii="Arial" w:hAnsi="Arial" w:cs="Arial"/>
          <w:sz w:val="22"/>
          <w:lang w:val="es-ES_tradnl"/>
        </w:rPr>
        <w:t xml:space="preserve">«Factor de </w:t>
      </w:r>
      <w:r w:rsidRPr="006C1E66">
        <w:rPr>
          <w:rFonts w:ascii="Arial" w:hAnsi="Arial" w:cs="Arial"/>
          <w:sz w:val="22"/>
          <w:lang w:val="es-ES_tradnl"/>
        </w:rPr>
        <w:lastRenderedPageBreak/>
        <w:t>calidad»</w:t>
      </w:r>
      <w:r>
        <w:rPr>
          <w:rFonts w:ascii="Arial" w:hAnsi="Arial" w:cs="Arial"/>
          <w:sz w:val="22"/>
          <w:lang w:val="es-ES_tradnl"/>
        </w:rPr>
        <w:t xml:space="preserve"> en el sobre 2 de la oferta económica, este no podría ser evaluado y el proponente no obtendría puntaje por dichos factores de asignación de puntaje, ya que el sobre 2 se mantiene cerrado hasta </w:t>
      </w:r>
      <w:r w:rsidRPr="006C1E66">
        <w:rPr>
          <w:rFonts w:ascii="Arial" w:hAnsi="Arial" w:cs="Arial"/>
          <w:sz w:val="22"/>
          <w:lang w:val="es-ES_tradnl"/>
        </w:rPr>
        <w:t>la audiencia efectiva de adjudicación</w:t>
      </w:r>
      <w:r>
        <w:rPr>
          <w:rFonts w:ascii="Arial" w:hAnsi="Arial" w:cs="Arial"/>
          <w:sz w:val="22"/>
          <w:lang w:val="es-ES_tradnl"/>
        </w:rPr>
        <w:t>, donde se da apertura y se otorga el puntaje únicamente a la oferta económica, sin tener en cuenta otros factores puntuables que se hayan incluido allí.</w:t>
      </w:r>
    </w:p>
    <w:p w:rsidR="000A6BCB" w:rsidP="000A6BCB" w:rsidRDefault="000A6BCB" w14:paraId="286705CC" w14:textId="77777777">
      <w:pPr>
        <w:spacing w:before="120" w:after="120" w:line="276" w:lineRule="auto"/>
        <w:ind w:firstLine="708"/>
        <w:jc w:val="both"/>
        <w:rPr>
          <w:rFonts w:ascii="Arial" w:hAnsi="Arial" w:eastAsia="Calibri" w:cs="Arial"/>
          <w:sz w:val="22"/>
        </w:rPr>
      </w:pPr>
      <w:r w:rsidRPr="009278E9">
        <w:rPr>
          <w:rFonts w:ascii="Arial" w:hAnsi="Arial" w:eastAsia="Calibri" w:cs="Arial"/>
          <w:sz w:val="22"/>
        </w:rPr>
        <w:t>A</w:t>
      </w:r>
      <w:r>
        <w:rPr>
          <w:rFonts w:ascii="Arial" w:hAnsi="Arial" w:eastAsia="Calibri" w:cs="Arial"/>
          <w:sz w:val="22"/>
        </w:rPr>
        <w:t>demás,</w:t>
      </w:r>
      <w:r w:rsidRPr="009278E9">
        <w:rPr>
          <w:rFonts w:ascii="Arial" w:hAnsi="Arial" w:eastAsia="Calibri" w:cs="Arial"/>
          <w:sz w:val="22"/>
        </w:rPr>
        <w:t xml:space="preserve"> se puede concluir que </w:t>
      </w:r>
      <w:r>
        <w:rPr>
          <w:rFonts w:ascii="Arial" w:hAnsi="Arial" w:eastAsia="Calibri" w:cs="Arial"/>
          <w:sz w:val="22"/>
        </w:rPr>
        <w:t xml:space="preserve">desde </w:t>
      </w:r>
      <w:r w:rsidRPr="009278E9">
        <w:rPr>
          <w:rFonts w:ascii="Arial" w:hAnsi="Arial" w:eastAsia="Calibri" w:cs="Arial"/>
          <w:sz w:val="22"/>
        </w:rPr>
        <w:t xml:space="preserve">el momento en que los sobres 1 y 2, que contienen las ofertas presentadas en un procedimiento para contratar una obra pública de infraestructura de transporte, se abren </w:t>
      </w:r>
      <w:r>
        <w:rPr>
          <w:rFonts w:ascii="Arial" w:hAnsi="Arial" w:eastAsia="Calibri" w:cs="Arial"/>
          <w:sz w:val="22"/>
        </w:rPr>
        <w:t xml:space="preserve">son </w:t>
      </w:r>
      <w:r w:rsidRPr="009278E9">
        <w:rPr>
          <w:rFonts w:ascii="Arial" w:hAnsi="Arial" w:eastAsia="Calibri" w:cs="Arial"/>
          <w:sz w:val="22"/>
        </w:rPr>
        <w:t xml:space="preserve">públicos, </w:t>
      </w:r>
      <w:r>
        <w:rPr>
          <w:rFonts w:ascii="Arial" w:hAnsi="Arial" w:eastAsia="Calibri" w:cs="Arial"/>
          <w:sz w:val="22"/>
        </w:rPr>
        <w:t>por lo</w:t>
      </w:r>
      <w:r w:rsidRPr="009278E9">
        <w:rPr>
          <w:rFonts w:ascii="Arial" w:hAnsi="Arial" w:eastAsia="Calibri" w:cs="Arial"/>
          <w:sz w:val="22"/>
        </w:rPr>
        <w:t xml:space="preserve"> que</w:t>
      </w:r>
      <w:r>
        <w:rPr>
          <w:rFonts w:ascii="Arial" w:hAnsi="Arial" w:eastAsia="Calibri" w:cs="Arial"/>
          <w:sz w:val="22"/>
        </w:rPr>
        <w:t>,</w:t>
      </w:r>
      <w:r w:rsidRPr="009278E9">
        <w:rPr>
          <w:rFonts w:ascii="Arial" w:hAnsi="Arial" w:eastAsia="Calibri" w:cs="Arial"/>
          <w:sz w:val="22"/>
        </w:rPr>
        <w:t xml:space="preserve"> a partir de ese momento</w:t>
      </w:r>
      <w:r>
        <w:rPr>
          <w:rFonts w:ascii="Arial" w:hAnsi="Arial" w:eastAsia="Calibri" w:cs="Arial"/>
          <w:sz w:val="22"/>
        </w:rPr>
        <w:t>,</w:t>
      </w:r>
      <w:r w:rsidRPr="009278E9">
        <w:rPr>
          <w:rFonts w:ascii="Arial" w:hAnsi="Arial" w:eastAsia="Calibri" w:cs="Arial"/>
          <w:sz w:val="22"/>
        </w:rPr>
        <w:t xml:space="preserve"> los «interesados» pued</w:t>
      </w:r>
      <w:r>
        <w:rPr>
          <w:rFonts w:ascii="Arial" w:hAnsi="Arial" w:eastAsia="Calibri" w:cs="Arial"/>
          <w:sz w:val="22"/>
        </w:rPr>
        <w:t>e</w:t>
      </w:r>
      <w:r w:rsidRPr="009278E9">
        <w:rPr>
          <w:rFonts w:ascii="Arial" w:hAnsi="Arial" w:eastAsia="Calibri" w:cs="Arial"/>
          <w:sz w:val="22"/>
        </w:rPr>
        <w:t>n conocer</w:t>
      </w:r>
      <w:r>
        <w:rPr>
          <w:rFonts w:ascii="Arial" w:hAnsi="Arial" w:eastAsia="Calibri" w:cs="Arial"/>
          <w:sz w:val="22"/>
        </w:rPr>
        <w:t>, consultar</w:t>
      </w:r>
      <w:r w:rsidRPr="009278E9">
        <w:rPr>
          <w:rFonts w:ascii="Arial" w:hAnsi="Arial" w:eastAsia="Calibri" w:cs="Arial"/>
          <w:sz w:val="22"/>
        </w:rPr>
        <w:t xml:space="preserve"> y solicitar copia de las propuestas recibidas, en cumplimiento de las normas aplicables, particularmente, el principio de transparencia regulado en el artículo 24 de la Ley 80 de 1993</w:t>
      </w:r>
      <w:r>
        <w:rPr>
          <w:rStyle w:val="Refdenotaalpie"/>
          <w:rFonts w:ascii="Arial" w:hAnsi="Arial" w:eastAsia="Calibri" w:cs="Arial"/>
          <w:sz w:val="22"/>
        </w:rPr>
        <w:footnoteReference w:id="4"/>
      </w:r>
      <w:r w:rsidRPr="009278E9">
        <w:rPr>
          <w:rFonts w:ascii="Arial" w:hAnsi="Arial" w:eastAsia="Calibri" w:cs="Arial"/>
          <w:sz w:val="22"/>
        </w:rPr>
        <w:t>.</w:t>
      </w:r>
      <w:r>
        <w:rPr>
          <w:rFonts w:ascii="Arial" w:hAnsi="Arial" w:eastAsia="Calibri" w:cs="Arial"/>
          <w:sz w:val="22"/>
        </w:rPr>
        <w:t xml:space="preserve"> </w:t>
      </w:r>
      <w:r w:rsidRPr="009278E9">
        <w:rPr>
          <w:rFonts w:ascii="Arial" w:hAnsi="Arial" w:eastAsia="Calibri" w:cs="Arial"/>
          <w:sz w:val="22"/>
        </w:rPr>
        <w:t>Para el sobre 1, la entidad debe dar apertura después de ocurrido el cierre del procedimiento, es decir, cuando se vence el plazo para presenta</w:t>
      </w:r>
      <w:r>
        <w:rPr>
          <w:rFonts w:ascii="Arial" w:hAnsi="Arial" w:eastAsia="Calibri" w:cs="Arial"/>
          <w:sz w:val="22"/>
        </w:rPr>
        <w:t>r</w:t>
      </w:r>
      <w:r w:rsidRPr="009278E9">
        <w:rPr>
          <w:rFonts w:ascii="Arial" w:hAnsi="Arial" w:eastAsia="Calibri" w:cs="Arial"/>
          <w:sz w:val="22"/>
        </w:rPr>
        <w:t xml:space="preserve"> ofertas señalado en el pliego de condiciones. Para el sobre 2 que es la oferta económica, el artículo 1 de la Ley 1882 de 2018 establece que en la audiencia efectiva de adjudicación se dará apertura a este sobre y </w:t>
      </w:r>
      <w:r>
        <w:rPr>
          <w:rFonts w:ascii="Arial" w:hAnsi="Arial" w:eastAsia="Calibri" w:cs="Arial"/>
          <w:sz w:val="22"/>
        </w:rPr>
        <w:t>es</w:t>
      </w:r>
      <w:r w:rsidRPr="009278E9">
        <w:rPr>
          <w:rFonts w:ascii="Arial" w:hAnsi="Arial" w:eastAsia="Calibri" w:cs="Arial"/>
          <w:sz w:val="22"/>
        </w:rPr>
        <w:t xml:space="preserve"> público</w:t>
      </w:r>
      <w:r>
        <w:rPr>
          <w:rFonts w:ascii="Arial" w:hAnsi="Arial" w:eastAsia="Calibri" w:cs="Arial"/>
          <w:sz w:val="22"/>
        </w:rPr>
        <w:t>.</w:t>
      </w:r>
    </w:p>
    <w:p w:rsidR="000A6BCB" w:rsidP="000A6BCB" w:rsidRDefault="000A6BCB" w14:paraId="1356335C" w14:textId="77777777">
      <w:pPr>
        <w:spacing w:after="120" w:line="276" w:lineRule="auto"/>
        <w:ind w:firstLine="709"/>
        <w:jc w:val="both"/>
        <w:rPr>
          <w:rFonts w:ascii="Arial" w:hAnsi="Arial" w:eastAsia="Calibri" w:cs="Arial"/>
          <w:sz w:val="22"/>
        </w:rPr>
      </w:pPr>
      <w:r>
        <w:rPr>
          <w:rFonts w:ascii="Arial" w:hAnsi="Arial" w:eastAsia="Calibri" w:cs="Arial"/>
          <w:sz w:val="22"/>
        </w:rPr>
        <w:t xml:space="preserve">Por tanto, con la apertura del sobre 1 este es público, lo cual ocurre en presencia de los asistentes, de acuerdo con la recomendación de la Circular Externa Única de Colombia Compra Eficiente citada, y representa una garantía para los proponentes de conocer el contenido del sobre 1, principalmente de los requisitos puntuables como el </w:t>
      </w:r>
      <w:r w:rsidRPr="00BD595A">
        <w:rPr>
          <w:rFonts w:ascii="Arial" w:hAnsi="Arial" w:cs="Arial"/>
          <w:sz w:val="22"/>
          <w:lang w:val="es-ES_tradnl"/>
        </w:rPr>
        <w:t>«Factor de calidad»</w:t>
      </w:r>
      <w:r>
        <w:rPr>
          <w:rFonts w:ascii="Arial" w:hAnsi="Arial" w:cs="Arial"/>
          <w:sz w:val="22"/>
          <w:lang w:val="es-ES_tradnl"/>
        </w:rPr>
        <w:t xml:space="preserve">, evitándose así que pueda ser manipulado o modificado porque es información pública y puede ser consultada en cualquier momento por los </w:t>
      </w:r>
      <w:r w:rsidRPr="009278E9">
        <w:rPr>
          <w:rFonts w:ascii="Arial" w:hAnsi="Arial" w:eastAsia="Calibri" w:cs="Arial"/>
          <w:sz w:val="22"/>
        </w:rPr>
        <w:t>«interesados»</w:t>
      </w:r>
      <w:r>
        <w:rPr>
          <w:rFonts w:ascii="Arial" w:hAnsi="Arial" w:eastAsia="Calibri" w:cs="Arial"/>
          <w:sz w:val="22"/>
        </w:rPr>
        <w:t>, según el artículo 24 de la Ley 80 de 1993 citado</w:t>
      </w:r>
      <w:r>
        <w:rPr>
          <w:rFonts w:ascii="Arial" w:hAnsi="Arial" w:cs="Arial"/>
          <w:sz w:val="22"/>
          <w:lang w:val="es-ES_tradnl"/>
        </w:rPr>
        <w:t>.</w:t>
      </w:r>
      <w:r>
        <w:rPr>
          <w:rFonts w:ascii="Arial" w:hAnsi="Arial" w:eastAsia="Calibri" w:cs="Arial"/>
          <w:sz w:val="22"/>
        </w:rPr>
        <w:t xml:space="preserve">   </w:t>
      </w:r>
    </w:p>
    <w:p w:rsidR="000A6BCB" w:rsidP="000A6BCB" w:rsidRDefault="000A6BCB" w14:paraId="6CFD1880" w14:textId="77777777">
      <w:pPr>
        <w:spacing w:line="276" w:lineRule="auto"/>
        <w:ind w:firstLine="708"/>
        <w:jc w:val="both"/>
        <w:rPr>
          <w:rFonts w:ascii="Arial" w:hAnsi="Arial" w:eastAsia="Calibri" w:cs="Arial"/>
          <w:sz w:val="22"/>
        </w:rPr>
      </w:pPr>
      <w:r>
        <w:rPr>
          <w:rFonts w:ascii="Arial" w:hAnsi="Arial" w:eastAsia="Calibri" w:cs="Arial"/>
          <w:sz w:val="22"/>
        </w:rPr>
        <w:lastRenderedPageBreak/>
        <w:t>Adicionalmente, el Documento Base de los Documentos Tipo establece que cuando el procedimiento de selección se adelante en SECOP I, «</w:t>
      </w:r>
      <w:r w:rsidRPr="00576BA7">
        <w:rPr>
          <w:rFonts w:ascii="Arial" w:hAnsi="Arial" w:eastAsia="Calibri" w:cs="Arial"/>
          <w:sz w:val="22"/>
        </w:rPr>
        <w:t>Una vez vencido el término para presentar ofertas, la Entidad Estatal debe realizar la apertura del Sobre No. 1 en presencia de los Proponentes o veedores que deseen asistir</w:t>
      </w:r>
      <w:r>
        <w:rPr>
          <w:rFonts w:ascii="Arial" w:hAnsi="Arial" w:eastAsia="Calibri" w:cs="Arial"/>
          <w:sz w:val="22"/>
        </w:rPr>
        <w:t>[...]», por lo cual existe una obligación para las entidades de abrir el sobre 1 en el «cierre del proceso».</w:t>
      </w:r>
    </w:p>
    <w:p w:rsidR="000A6BCB" w:rsidP="000A6BCB" w:rsidRDefault="000A6BCB" w14:paraId="44A1DCA9" w14:textId="77777777">
      <w:pPr>
        <w:spacing w:line="276" w:lineRule="auto"/>
        <w:jc w:val="both"/>
        <w:rPr>
          <w:rFonts w:ascii="Arial" w:hAnsi="Arial" w:eastAsia="Calibri" w:cs="Arial"/>
          <w:sz w:val="22"/>
        </w:rPr>
      </w:pPr>
      <w:r>
        <w:rPr>
          <w:rFonts w:ascii="Arial" w:hAnsi="Arial" w:eastAsia="Calibri" w:cs="Arial"/>
          <w:sz w:val="22"/>
        </w:rPr>
        <w:t xml:space="preserve"> </w:t>
      </w:r>
    </w:p>
    <w:p w:rsidRPr="00BD595A" w:rsidR="000A6BCB" w:rsidP="000A6BCB" w:rsidRDefault="000A6BCB" w14:paraId="109B2A78" w14:textId="77777777">
      <w:pPr>
        <w:spacing w:line="276" w:lineRule="auto"/>
        <w:jc w:val="both"/>
        <w:rPr>
          <w:rFonts w:ascii="Arial" w:hAnsi="Arial" w:eastAsia="Calibri" w:cs="Arial"/>
          <w:b/>
          <w:bCs/>
          <w:sz w:val="22"/>
        </w:rPr>
      </w:pPr>
      <w:r w:rsidRPr="00AC2544">
        <w:rPr>
          <w:rFonts w:ascii="Arial" w:hAnsi="Arial" w:eastAsia="Calibri" w:cs="Arial"/>
          <w:b/>
          <w:bCs/>
          <w:sz w:val="22"/>
        </w:rPr>
        <w:t>2.2. Opciones para asigna</w:t>
      </w:r>
      <w:r>
        <w:rPr>
          <w:rFonts w:ascii="Arial" w:hAnsi="Arial" w:eastAsia="Calibri" w:cs="Arial"/>
          <w:b/>
          <w:bCs/>
          <w:sz w:val="22"/>
        </w:rPr>
        <w:t>r</w:t>
      </w:r>
      <w:r w:rsidRPr="00AC2544">
        <w:rPr>
          <w:rFonts w:ascii="Arial" w:hAnsi="Arial" w:eastAsia="Calibri" w:cs="Arial"/>
          <w:b/>
          <w:bCs/>
          <w:sz w:val="22"/>
        </w:rPr>
        <w:t xml:space="preserve"> puntaje por el factor de calidad establecido en los pliegos tipo</w:t>
      </w:r>
    </w:p>
    <w:p w:rsidRPr="00BD595A" w:rsidR="000A6BCB" w:rsidP="000A6BCB" w:rsidRDefault="000A6BCB" w14:paraId="2BB906BA" w14:textId="77777777">
      <w:pPr>
        <w:spacing w:line="276" w:lineRule="auto"/>
        <w:jc w:val="both"/>
        <w:rPr>
          <w:rFonts w:ascii="Arial" w:hAnsi="Arial" w:eastAsia="Calibri" w:cs="Arial"/>
          <w:b/>
          <w:bCs/>
          <w:sz w:val="22"/>
        </w:rPr>
      </w:pPr>
    </w:p>
    <w:p w:rsidRPr="00976B52" w:rsidR="000A6BCB" w:rsidP="000A6BCB" w:rsidRDefault="000A6BCB" w14:paraId="7443CBD5" w14:textId="77777777">
      <w:pPr>
        <w:tabs>
          <w:tab w:val="left" w:pos="426"/>
        </w:tabs>
        <w:spacing w:after="120" w:line="276" w:lineRule="auto"/>
        <w:jc w:val="both"/>
        <w:rPr>
          <w:rFonts w:ascii="Arial" w:hAnsi="Arial" w:eastAsia="Calibri" w:cs="Arial"/>
          <w:bCs/>
          <w:sz w:val="22"/>
        </w:rPr>
      </w:pPr>
      <w:r>
        <w:rPr>
          <w:rFonts w:ascii="Arial" w:hAnsi="Arial" w:eastAsia="Calibri" w:cs="Arial"/>
          <w:bCs/>
          <w:sz w:val="22"/>
        </w:rPr>
        <w:t>Para responder a sus interrogantes se reiteran las consideraciones expuestas en los conceptos C–294 del 18 de mayo de 2020, C–276 del 26 de mayo de 2020, C-277</w:t>
      </w:r>
      <w:r w:rsidRPr="003F4495">
        <w:rPr>
          <w:rFonts w:ascii="Arial" w:hAnsi="Arial" w:eastAsia="Calibri" w:cs="Arial"/>
          <w:bCs/>
          <w:sz w:val="22"/>
        </w:rPr>
        <w:t xml:space="preserve"> </w:t>
      </w:r>
      <w:r>
        <w:rPr>
          <w:rFonts w:ascii="Arial" w:hAnsi="Arial" w:eastAsia="Calibri" w:cs="Arial"/>
          <w:bCs/>
          <w:sz w:val="22"/>
        </w:rPr>
        <w:t>del 26 de mayo de 2020, C-278</w:t>
      </w:r>
      <w:r w:rsidRPr="003F4495">
        <w:rPr>
          <w:rFonts w:ascii="Arial" w:hAnsi="Arial" w:eastAsia="Calibri" w:cs="Arial"/>
          <w:bCs/>
          <w:sz w:val="22"/>
        </w:rPr>
        <w:t xml:space="preserve"> </w:t>
      </w:r>
      <w:r>
        <w:rPr>
          <w:rFonts w:ascii="Arial" w:hAnsi="Arial" w:eastAsia="Calibri" w:cs="Arial"/>
          <w:bCs/>
          <w:sz w:val="22"/>
        </w:rPr>
        <w:t>del 26 de mayo de 2020, C-380 del 1 de junio de 2020 y C-381</w:t>
      </w:r>
      <w:r w:rsidRPr="003F4495">
        <w:rPr>
          <w:rFonts w:ascii="Arial" w:hAnsi="Arial" w:eastAsia="Calibri" w:cs="Arial"/>
          <w:bCs/>
          <w:sz w:val="22"/>
        </w:rPr>
        <w:t xml:space="preserve"> </w:t>
      </w:r>
      <w:r>
        <w:rPr>
          <w:rFonts w:ascii="Arial" w:hAnsi="Arial" w:eastAsia="Calibri" w:cs="Arial"/>
          <w:bCs/>
          <w:sz w:val="22"/>
        </w:rPr>
        <w:t xml:space="preserve">del 1 de junio de 2020, en los que se estudió la posibilidad de establecer topes a los ofrecimientos que se realicen con ocasión de los factores de calidad de garantía suplementaria, cuadrillas de trabajo adicional y mantenimiento rutinario adicional. La tesis expuesta se reitera a continuación. </w:t>
      </w:r>
    </w:p>
    <w:p w:rsidRPr="00564E86" w:rsidR="000A6BCB" w:rsidP="000A6BCB" w:rsidRDefault="000A6BCB" w14:paraId="67EFA868" w14:textId="77777777">
      <w:pPr>
        <w:tabs>
          <w:tab w:val="left" w:pos="426"/>
        </w:tabs>
        <w:spacing w:before="120" w:line="276" w:lineRule="auto"/>
        <w:jc w:val="both"/>
        <w:rPr>
          <w:rFonts w:ascii="Arial" w:hAnsi="Arial" w:cs="Arial"/>
          <w:color w:val="000000" w:themeColor="text1"/>
          <w:sz w:val="22"/>
        </w:rPr>
      </w:pPr>
      <w:r>
        <w:rPr>
          <w:rFonts w:ascii="Arial" w:hAnsi="Arial" w:cs="Arial"/>
          <w:color w:val="000000" w:themeColor="text1"/>
          <w:sz w:val="22"/>
        </w:rPr>
        <w:tab/>
      </w:r>
      <w:r w:rsidRPr="00564E86">
        <w:rPr>
          <w:rFonts w:ascii="Arial" w:hAnsi="Arial" w:cs="Arial"/>
          <w:color w:val="000000" w:themeColor="text1"/>
          <w:sz w:val="22"/>
        </w:rPr>
        <w:t xml:space="preserve">En relación con el «factor de calidad», es preciso aclarar que los Documentos Tipo conservan los tres factores existentes en la Versión 1 de licitación pública, e incluyen como nuevas opciones que podrá </w:t>
      </w:r>
      <w:r>
        <w:rPr>
          <w:rFonts w:ascii="Arial" w:hAnsi="Arial" w:cs="Arial"/>
          <w:color w:val="000000" w:themeColor="text1"/>
          <w:sz w:val="22"/>
        </w:rPr>
        <w:t>elegir</w:t>
      </w:r>
      <w:r w:rsidRPr="00564E86">
        <w:rPr>
          <w:rFonts w:ascii="Arial" w:hAnsi="Arial" w:cs="Arial"/>
          <w:color w:val="000000" w:themeColor="text1"/>
          <w:sz w:val="22"/>
        </w:rPr>
        <w:t xml:space="preserve"> la </w:t>
      </w:r>
      <w:r>
        <w:rPr>
          <w:rFonts w:ascii="Arial" w:hAnsi="Arial" w:cs="Arial"/>
          <w:color w:val="000000" w:themeColor="text1"/>
          <w:sz w:val="22"/>
        </w:rPr>
        <w:t>e</w:t>
      </w:r>
      <w:r w:rsidRPr="00564E86">
        <w:rPr>
          <w:rFonts w:ascii="Arial" w:hAnsi="Arial" w:cs="Arial"/>
          <w:color w:val="000000" w:themeColor="text1"/>
          <w:sz w:val="22"/>
        </w:rPr>
        <w:t xml:space="preserve">ntidad: i) la presentación de una garantía adicional o suplementaria, </w:t>
      </w:r>
      <w:proofErr w:type="spellStart"/>
      <w:r w:rsidRPr="00564E86">
        <w:rPr>
          <w:rFonts w:ascii="Arial" w:hAnsi="Arial" w:cs="Arial"/>
          <w:color w:val="000000" w:themeColor="text1"/>
          <w:sz w:val="22"/>
        </w:rPr>
        <w:t>ii</w:t>
      </w:r>
      <w:proofErr w:type="spellEnd"/>
      <w:r w:rsidRPr="00564E86">
        <w:rPr>
          <w:rFonts w:ascii="Arial" w:hAnsi="Arial" w:cs="Arial"/>
          <w:color w:val="000000" w:themeColor="text1"/>
          <w:sz w:val="22"/>
        </w:rPr>
        <w:t xml:space="preserve">) cuadrillas de trabajo adicional a costo y riesgo del contratista y </w:t>
      </w:r>
      <w:proofErr w:type="spellStart"/>
      <w:r w:rsidRPr="00564E86">
        <w:rPr>
          <w:rFonts w:ascii="Arial" w:hAnsi="Arial" w:cs="Arial"/>
          <w:color w:val="000000" w:themeColor="text1"/>
          <w:sz w:val="22"/>
        </w:rPr>
        <w:t>iii</w:t>
      </w:r>
      <w:proofErr w:type="spellEnd"/>
      <w:r w:rsidRPr="00564E86">
        <w:rPr>
          <w:rFonts w:ascii="Arial" w:hAnsi="Arial" w:cs="Arial"/>
          <w:color w:val="000000" w:themeColor="text1"/>
          <w:sz w:val="22"/>
        </w:rPr>
        <w:t>) el mantenimiento rutinario adicional por cuenta del contratista.</w:t>
      </w:r>
    </w:p>
    <w:p w:rsidRPr="00564E86" w:rsidR="000A6BCB" w:rsidP="000A6BCB" w:rsidRDefault="000A6BCB" w14:paraId="701C8BB3" w14:textId="77777777">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Frente a los nuevos factores es importante resaltar que los Documentos señalan que «</w:t>
      </w:r>
      <w:r>
        <w:rPr>
          <w:rFonts w:ascii="Arial" w:hAnsi="Arial" w:cs="Arial"/>
          <w:color w:val="000000" w:themeColor="text1"/>
          <w:sz w:val="22"/>
        </w:rPr>
        <w:t>d</w:t>
      </w:r>
      <w:r w:rsidRPr="00564E86">
        <w:rPr>
          <w:rFonts w:ascii="Arial" w:hAnsi="Arial" w:cs="Arial"/>
          <w:color w:val="000000" w:themeColor="text1"/>
          <w:sz w:val="22"/>
        </w:rPr>
        <w:t>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este factor resulta pertinente para asegurar mejor calidad en la obra pública contratada</w:t>
      </w:r>
      <w:r>
        <w:rPr>
          <w:rFonts w:ascii="Arial" w:hAnsi="Arial" w:cs="Arial"/>
          <w:color w:val="000000" w:themeColor="text1"/>
          <w:sz w:val="22"/>
        </w:rPr>
        <w:t>, atendiendo a las particularidades de cada proyecto</w:t>
      </w:r>
      <w:r w:rsidRPr="00564E86">
        <w:rPr>
          <w:rFonts w:ascii="Arial" w:hAnsi="Arial" w:cs="Arial"/>
          <w:color w:val="000000" w:themeColor="text1"/>
          <w:sz w:val="22"/>
        </w:rPr>
        <w:t xml:space="preserve"> y, en todo caso, únicamente podrá exigir la acreditación de máximo tres de ellos, lo cual conserva el tope establecido en la </w:t>
      </w:r>
      <w:r>
        <w:rPr>
          <w:rFonts w:ascii="Arial" w:hAnsi="Arial" w:cs="Arial"/>
          <w:color w:val="000000" w:themeColor="text1"/>
          <w:sz w:val="22"/>
        </w:rPr>
        <w:t>V</w:t>
      </w:r>
      <w:r w:rsidRPr="00564E86">
        <w:rPr>
          <w:rFonts w:ascii="Arial" w:hAnsi="Arial" w:cs="Arial"/>
          <w:color w:val="000000" w:themeColor="text1"/>
          <w:sz w:val="22"/>
        </w:rPr>
        <w:t>ersión 1 de los Documentos.</w:t>
      </w:r>
    </w:p>
    <w:p w:rsidRPr="00564E86" w:rsidR="000A6BCB" w:rsidP="000A6BCB" w:rsidRDefault="000A6BCB" w14:paraId="12283DC7" w14:textId="77777777">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Adicionalmente, esta versión de los Documentos Tipo conserva el puntaje establecido para el factor de calidad en la Versión 1, de modo que no se alteró el total de</w:t>
      </w:r>
      <w:r>
        <w:rPr>
          <w:rFonts w:ascii="Arial" w:hAnsi="Arial" w:cs="Arial"/>
          <w:color w:val="000000" w:themeColor="text1"/>
          <w:sz w:val="22"/>
        </w:rPr>
        <w:t xml:space="preserve"> los</w:t>
      </w:r>
      <w:r w:rsidRPr="00564E86">
        <w:rPr>
          <w:rFonts w:ascii="Arial" w:hAnsi="Arial" w:cs="Arial"/>
          <w:color w:val="000000" w:themeColor="text1"/>
          <w:sz w:val="22"/>
        </w:rPr>
        <w:t xml:space="preserve"> 19 puntos que puede otorgar la entidad por </w:t>
      </w:r>
      <w:r>
        <w:rPr>
          <w:rFonts w:ascii="Arial" w:hAnsi="Arial" w:cs="Arial"/>
          <w:color w:val="000000" w:themeColor="text1"/>
          <w:sz w:val="22"/>
        </w:rPr>
        <w:t>este criterio de evaluación</w:t>
      </w:r>
      <w:r w:rsidRPr="00564E86">
        <w:rPr>
          <w:rFonts w:ascii="Arial" w:hAnsi="Arial" w:eastAsia="Calibri" w:cs="Arial"/>
          <w:color w:val="000000" w:themeColor="text1"/>
          <w:lang w:val="es-ES"/>
        </w:rPr>
        <w:t xml:space="preserve">. </w:t>
      </w:r>
      <w:r w:rsidRPr="00564E86">
        <w:rPr>
          <w:rFonts w:ascii="Arial" w:hAnsi="Arial" w:cs="Arial"/>
          <w:color w:val="000000" w:themeColor="text1"/>
          <w:sz w:val="22"/>
        </w:rPr>
        <w:t xml:space="preserve">A continuación, se explicará cada uno de estos factores. </w:t>
      </w:r>
    </w:p>
    <w:p w:rsidRPr="00564E86" w:rsidR="000A6BCB" w:rsidP="000A6BCB" w:rsidRDefault="000A6BCB" w14:paraId="2CD6B690" w14:textId="77777777">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La «Garantía Suplementaria o Adicional» es aquella otorgada por el contratista</w:t>
      </w:r>
      <w:r>
        <w:rPr>
          <w:rFonts w:ascii="Arial" w:hAnsi="Arial" w:cs="Arial"/>
          <w:color w:val="000000" w:themeColor="text1"/>
          <w:sz w:val="22"/>
        </w:rPr>
        <w:t>:</w:t>
      </w:r>
      <w:r w:rsidRPr="00564E86">
        <w:rPr>
          <w:rFonts w:ascii="Arial" w:hAnsi="Arial" w:cs="Arial"/>
          <w:color w:val="000000" w:themeColor="text1"/>
          <w:sz w:val="22"/>
        </w:rPr>
        <w:t xml:space="preserve"> </w:t>
      </w:r>
      <w:r>
        <w:rPr>
          <w:rFonts w:ascii="Arial" w:hAnsi="Arial" w:cs="Arial"/>
          <w:color w:val="000000" w:themeColor="text1"/>
          <w:sz w:val="22"/>
        </w:rPr>
        <w:t xml:space="preserve">i) </w:t>
      </w:r>
      <w:r w:rsidRPr="00564E86">
        <w:rPr>
          <w:rFonts w:ascii="Arial" w:hAnsi="Arial" w:cs="Arial"/>
          <w:color w:val="000000" w:themeColor="text1"/>
          <w:sz w:val="22"/>
        </w:rPr>
        <w:t xml:space="preserve">distinta a la legal, </w:t>
      </w:r>
      <w:proofErr w:type="spellStart"/>
      <w:r>
        <w:rPr>
          <w:rFonts w:ascii="Arial" w:hAnsi="Arial" w:cs="Arial"/>
          <w:color w:val="000000" w:themeColor="text1"/>
          <w:sz w:val="22"/>
        </w:rPr>
        <w:t>ii</w:t>
      </w:r>
      <w:proofErr w:type="spellEnd"/>
      <w:r>
        <w:rPr>
          <w:rFonts w:ascii="Arial" w:hAnsi="Arial" w:cs="Arial"/>
          <w:color w:val="000000" w:themeColor="text1"/>
          <w:sz w:val="22"/>
        </w:rPr>
        <w:t>) que</w:t>
      </w:r>
      <w:r w:rsidRPr="00564E86">
        <w:rPr>
          <w:rFonts w:ascii="Arial" w:hAnsi="Arial" w:cs="Arial"/>
          <w:color w:val="000000" w:themeColor="text1"/>
          <w:sz w:val="22"/>
        </w:rPr>
        <w:t xml:space="preserve"> amplí</w:t>
      </w:r>
      <w:r>
        <w:rPr>
          <w:rFonts w:ascii="Arial" w:hAnsi="Arial" w:cs="Arial"/>
          <w:color w:val="000000" w:themeColor="text1"/>
          <w:sz w:val="22"/>
        </w:rPr>
        <w:t>a</w:t>
      </w:r>
      <w:r w:rsidRPr="00564E86">
        <w:rPr>
          <w:rFonts w:ascii="Arial" w:hAnsi="Arial" w:cs="Arial"/>
          <w:color w:val="000000" w:themeColor="text1"/>
          <w:sz w:val="22"/>
        </w:rPr>
        <w:t xml:space="preserve"> o mejor</w:t>
      </w:r>
      <w:r>
        <w:rPr>
          <w:rFonts w:ascii="Arial" w:hAnsi="Arial" w:cs="Arial"/>
          <w:color w:val="000000" w:themeColor="text1"/>
          <w:sz w:val="22"/>
        </w:rPr>
        <w:t>a</w:t>
      </w:r>
      <w:r w:rsidRPr="00564E86">
        <w:rPr>
          <w:rFonts w:ascii="Arial" w:hAnsi="Arial" w:cs="Arial"/>
          <w:color w:val="000000" w:themeColor="text1"/>
          <w:sz w:val="22"/>
        </w:rPr>
        <w:t xml:space="preserve"> la cobertura de ésta, </w:t>
      </w:r>
      <w:proofErr w:type="spellStart"/>
      <w:r>
        <w:rPr>
          <w:rFonts w:ascii="Arial" w:hAnsi="Arial" w:cs="Arial"/>
          <w:color w:val="000000" w:themeColor="text1"/>
          <w:sz w:val="22"/>
        </w:rPr>
        <w:t>iii</w:t>
      </w:r>
      <w:proofErr w:type="spellEnd"/>
      <w:r>
        <w:rPr>
          <w:rFonts w:ascii="Arial" w:hAnsi="Arial" w:cs="Arial"/>
          <w:color w:val="000000" w:themeColor="text1"/>
          <w:sz w:val="22"/>
        </w:rPr>
        <w:t xml:space="preserve">) </w:t>
      </w:r>
      <w:r w:rsidRPr="00564E86">
        <w:rPr>
          <w:rFonts w:ascii="Arial" w:hAnsi="Arial" w:cs="Arial"/>
          <w:color w:val="000000" w:themeColor="text1"/>
          <w:sz w:val="22"/>
        </w:rPr>
        <w:t>de forma gratuita,</w:t>
      </w:r>
      <w:r>
        <w:rPr>
          <w:rFonts w:ascii="Arial" w:hAnsi="Arial" w:cs="Arial"/>
          <w:color w:val="000000" w:themeColor="text1"/>
          <w:sz w:val="22"/>
        </w:rPr>
        <w:t xml:space="preserve"> </w:t>
      </w:r>
      <w:proofErr w:type="spellStart"/>
      <w:r>
        <w:rPr>
          <w:rFonts w:ascii="Arial" w:hAnsi="Arial" w:cs="Arial"/>
          <w:color w:val="000000" w:themeColor="text1"/>
          <w:sz w:val="22"/>
        </w:rPr>
        <w:t>iv</w:t>
      </w:r>
      <w:proofErr w:type="spellEnd"/>
      <w:r>
        <w:rPr>
          <w:rFonts w:ascii="Arial" w:hAnsi="Arial" w:cs="Arial"/>
          <w:color w:val="000000" w:themeColor="text1"/>
          <w:sz w:val="22"/>
        </w:rPr>
        <w:t>)</w:t>
      </w:r>
      <w:r w:rsidRPr="00564E86">
        <w:rPr>
          <w:rFonts w:ascii="Arial" w:hAnsi="Arial" w:cs="Arial"/>
          <w:color w:val="000000" w:themeColor="text1"/>
          <w:sz w:val="22"/>
        </w:rPr>
        <w:t xml:space="preserve"> asociada a la estabilidad y calidad de la obra. En este sentido, el proponente puede conceder la garantía adicional a través de una aseguradora, o puede hacerlo directamente, como garantía comercial que se da sobre un producto. Es decir, la </w:t>
      </w:r>
      <w:r w:rsidRPr="00564E86">
        <w:rPr>
          <w:rFonts w:ascii="Arial" w:hAnsi="Arial" w:cs="Arial"/>
          <w:color w:val="000000" w:themeColor="text1"/>
          <w:sz w:val="22"/>
        </w:rPr>
        <w:lastRenderedPageBreak/>
        <w:t xml:space="preserve">posibilidad de obtener puntaje por este factor no se encuentra sujeta a la existencia de un seguro que respalde el amparo adicional, dado que el proponente puede otorgar la garantía por sí mismo. </w:t>
      </w:r>
    </w:p>
    <w:p w:rsidRPr="00564E86" w:rsidR="000A6BCB" w:rsidP="000A6BCB" w:rsidRDefault="000A6BCB" w14:paraId="44267FCA" w14:textId="77777777">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Además</w:t>
      </w:r>
      <w:r w:rsidRPr="00564E86">
        <w:rPr>
          <w:rFonts w:ascii="Arial" w:hAnsi="Arial" w:cs="Arial"/>
          <w:color w:val="000000" w:themeColor="text1"/>
          <w:sz w:val="22"/>
        </w:rPr>
        <w:t>, se establece que la entidad otorgará el puntaje que determine para este factor de acuerdo con el número de meses que el proponente ofrezca como vigencia de la garantía adicional. En efecto, este criterio de asignación de puntaje tiene por objeto que las entidades estatales cuenten con una cobertura adicional a la prevista para la estabilidad y calidad de la obra por un término adicional, situación que incide en la idoneidad y mejora de condiciones de la obra</w:t>
      </w:r>
      <w:r>
        <w:rPr>
          <w:rFonts w:ascii="Arial" w:hAnsi="Arial" w:cs="Arial"/>
          <w:color w:val="000000" w:themeColor="text1"/>
          <w:sz w:val="22"/>
        </w:rPr>
        <w:t xml:space="preserve">, además </w:t>
      </w:r>
      <w:proofErr w:type="gramStart"/>
      <w:r>
        <w:rPr>
          <w:rFonts w:ascii="Arial" w:hAnsi="Arial" w:cs="Arial"/>
          <w:color w:val="000000" w:themeColor="text1"/>
          <w:sz w:val="22"/>
        </w:rPr>
        <w:t>que</w:t>
      </w:r>
      <w:proofErr w:type="gramEnd"/>
      <w:r>
        <w:rPr>
          <w:rFonts w:ascii="Arial" w:hAnsi="Arial" w:cs="Arial"/>
          <w:color w:val="000000" w:themeColor="text1"/>
          <w:sz w:val="22"/>
        </w:rPr>
        <w:t xml:space="preserve"> atendiendo a la exigencia de este compromiso adicional, el contratista tenderá a ejecutar mejor el contrato, con el incentivo adicional de que no se haga efectiva la garantía en ese periodo extendido</w:t>
      </w:r>
      <w:r w:rsidRPr="00564E86">
        <w:rPr>
          <w:rFonts w:ascii="Arial" w:hAnsi="Arial" w:cs="Arial"/>
          <w:color w:val="000000" w:themeColor="text1"/>
          <w:sz w:val="22"/>
        </w:rPr>
        <w:t>.</w:t>
      </w:r>
      <w:r>
        <w:rPr>
          <w:rFonts w:ascii="Arial" w:hAnsi="Arial" w:cs="Arial"/>
          <w:color w:val="000000" w:themeColor="text1"/>
          <w:sz w:val="22"/>
        </w:rPr>
        <w:t xml:space="preserve"> E</w:t>
      </w:r>
      <w:r w:rsidRPr="00564E86">
        <w:rPr>
          <w:rFonts w:ascii="Arial" w:hAnsi="Arial" w:cs="Arial"/>
          <w:color w:val="000000" w:themeColor="text1"/>
          <w:sz w:val="22"/>
        </w:rPr>
        <w:t>l ofrecimiento que realice el oferente del número de meses que otorgará como garantía adicional dependerá de las capacidades del oferente.</w:t>
      </w:r>
    </w:p>
    <w:p w:rsidRPr="00564E86" w:rsidR="000A6BCB" w:rsidP="000A6BCB" w:rsidRDefault="000A6BCB" w14:paraId="14013B2E" w14:textId="77777777">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Por su parte, el </w:t>
      </w:r>
      <w:r w:rsidRPr="00564E86">
        <w:rPr>
          <w:rFonts w:ascii="Arial" w:hAnsi="Arial" w:cs="Arial"/>
          <w:color w:val="000000" w:themeColor="text1"/>
          <w:sz w:val="20"/>
          <w:szCs w:val="20"/>
        </w:rPr>
        <w:t>«</w:t>
      </w:r>
      <w:r w:rsidRPr="00564E86">
        <w:rPr>
          <w:rFonts w:ascii="Arial" w:hAnsi="Arial" w:cs="Arial"/>
          <w:color w:val="000000" w:themeColor="text1"/>
          <w:sz w:val="22"/>
        </w:rPr>
        <w:t xml:space="preserve">Factor de Calidad </w:t>
      </w:r>
      <w:r>
        <w:rPr>
          <w:rFonts w:ascii="Arial" w:hAnsi="Arial" w:cs="Arial"/>
          <w:color w:val="000000" w:themeColor="text1"/>
          <w:sz w:val="22"/>
        </w:rPr>
        <w:t>–</w:t>
      </w:r>
      <w:r w:rsidRPr="00564E86">
        <w:rPr>
          <w:rFonts w:ascii="Arial" w:hAnsi="Arial" w:cs="Arial"/>
          <w:color w:val="000000" w:themeColor="text1"/>
          <w:sz w:val="22"/>
        </w:rPr>
        <w:t xml:space="preserve"> Cuadrilla</w:t>
      </w:r>
      <w:r>
        <w:rPr>
          <w:rFonts w:ascii="Arial" w:hAnsi="Arial" w:cs="Arial"/>
          <w:color w:val="000000" w:themeColor="text1"/>
          <w:sz w:val="22"/>
        </w:rPr>
        <w:t>s</w:t>
      </w:r>
      <w:r w:rsidRPr="00564E86">
        <w:rPr>
          <w:rFonts w:ascii="Arial" w:hAnsi="Arial" w:cs="Arial"/>
          <w:color w:val="000000" w:themeColor="text1"/>
          <w:sz w:val="22"/>
        </w:rPr>
        <w:t xml:space="preserve"> de trabajo adicional» tiene por objeto otorgar puntaje al </w:t>
      </w:r>
      <w:r>
        <w:rPr>
          <w:rFonts w:ascii="Arial" w:hAnsi="Arial" w:cs="Arial"/>
          <w:color w:val="000000" w:themeColor="text1"/>
          <w:sz w:val="22"/>
        </w:rPr>
        <w:t>p</w:t>
      </w:r>
      <w:r w:rsidRPr="00564E86">
        <w:rPr>
          <w:rFonts w:ascii="Arial" w:hAnsi="Arial" w:cs="Arial"/>
          <w:color w:val="000000" w:themeColor="text1"/>
          <w:sz w:val="22"/>
        </w:rPr>
        <w:t xml:space="preserve">roponente que se comprometa a ofertar y vincular a la obra cuadrillas de trabajo adicional a costo y riesgo propio. Por cuadrilla se entiende el personal obrero adicional para un frente o unidad de trabajo que requiera el proyecto de infraestructura, la cual deberá ser de 5 obreros. Asimismo, este ofrecimiento será a costo y riesgo del contratista durante la ejecución del contrato y no podrá ser objeto de cobro </w:t>
      </w:r>
      <w:r>
        <w:rPr>
          <w:rFonts w:ascii="Arial" w:hAnsi="Arial" w:cs="Arial"/>
          <w:color w:val="000000" w:themeColor="text1"/>
          <w:sz w:val="22"/>
        </w:rPr>
        <w:t xml:space="preserve">adicional </w:t>
      </w:r>
      <w:r w:rsidRPr="00564E86">
        <w:rPr>
          <w:rFonts w:ascii="Arial" w:hAnsi="Arial" w:cs="Arial"/>
          <w:color w:val="000000" w:themeColor="text1"/>
          <w:sz w:val="22"/>
        </w:rPr>
        <w:t xml:space="preserve">alguno a la </w:t>
      </w:r>
      <w:r>
        <w:rPr>
          <w:rFonts w:ascii="Arial" w:hAnsi="Arial" w:cs="Arial"/>
          <w:color w:val="000000" w:themeColor="text1"/>
          <w:sz w:val="22"/>
        </w:rPr>
        <w:t>e</w:t>
      </w:r>
      <w:r w:rsidRPr="00564E86">
        <w:rPr>
          <w:rFonts w:ascii="Arial" w:hAnsi="Arial" w:cs="Arial"/>
          <w:color w:val="000000" w:themeColor="text1"/>
          <w:sz w:val="22"/>
        </w:rPr>
        <w:t xml:space="preserve">ntidad. </w:t>
      </w:r>
    </w:p>
    <w:p w:rsidRPr="00564E86" w:rsidR="000A6BCB" w:rsidP="000A6BCB" w:rsidRDefault="000A6BCB" w14:paraId="0E48228A" w14:textId="77777777">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De igual manera, es importante señalar que la </w:t>
      </w:r>
      <w:r>
        <w:rPr>
          <w:rFonts w:ascii="Arial" w:hAnsi="Arial" w:cs="Arial"/>
          <w:color w:val="000000" w:themeColor="text1"/>
          <w:sz w:val="22"/>
        </w:rPr>
        <w:t>e</w:t>
      </w:r>
      <w:r w:rsidRPr="00564E86">
        <w:rPr>
          <w:rFonts w:ascii="Arial" w:hAnsi="Arial" w:cs="Arial"/>
          <w:color w:val="000000" w:themeColor="text1"/>
          <w:sz w:val="22"/>
        </w:rPr>
        <w:t xml:space="preserve">ntidad definirá en el Documento Base las actividades y el tiempo que se necesitará para las cuadrillas de trabajo </w:t>
      </w:r>
      <w:r w:rsidRPr="006D791F">
        <w:rPr>
          <w:rFonts w:ascii="Arial" w:hAnsi="Arial" w:cs="Arial"/>
          <w:color w:val="000000" w:themeColor="text1"/>
          <w:sz w:val="22"/>
        </w:rPr>
        <w:t>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w:t>
      </w:r>
      <w:r w:rsidRPr="00564E86">
        <w:rPr>
          <w:rFonts w:ascii="Arial" w:hAnsi="Arial" w:cs="Arial"/>
          <w:color w:val="000000" w:themeColor="text1"/>
          <w:sz w:val="22"/>
        </w:rPr>
        <w:t xml:space="preserve"> disminución de los plazos y en la atención oportuna de</w:t>
      </w:r>
      <w:r>
        <w:rPr>
          <w:rFonts w:ascii="Arial" w:hAnsi="Arial" w:cs="Arial"/>
          <w:color w:val="000000" w:themeColor="text1"/>
          <w:sz w:val="22"/>
        </w:rPr>
        <w:t xml:space="preserve"> las</w:t>
      </w:r>
      <w:r w:rsidRPr="00564E86">
        <w:rPr>
          <w:rFonts w:ascii="Arial" w:hAnsi="Arial" w:cs="Arial"/>
          <w:color w:val="000000" w:themeColor="text1"/>
          <w:sz w:val="22"/>
        </w:rPr>
        <w:t xml:space="preserve"> contingencias </w:t>
      </w:r>
      <w:r>
        <w:rPr>
          <w:rFonts w:ascii="Arial" w:hAnsi="Arial" w:cs="Arial"/>
          <w:color w:val="000000" w:themeColor="text1"/>
          <w:sz w:val="22"/>
        </w:rPr>
        <w:t xml:space="preserve">que surjan </w:t>
      </w:r>
      <w:r w:rsidRPr="00564E86">
        <w:rPr>
          <w:rFonts w:ascii="Arial" w:hAnsi="Arial" w:cs="Arial"/>
          <w:color w:val="000000" w:themeColor="text1"/>
          <w:sz w:val="22"/>
        </w:rPr>
        <w:t>durante la ejecución del contrato</w:t>
      </w:r>
      <w:r>
        <w:rPr>
          <w:rFonts w:ascii="Arial" w:hAnsi="Arial" w:cs="Arial"/>
          <w:color w:val="000000" w:themeColor="text1"/>
          <w:sz w:val="22"/>
        </w:rPr>
        <w:t>.</w:t>
      </w:r>
    </w:p>
    <w:p w:rsidRPr="00564E86" w:rsidR="000A6BCB" w:rsidP="000A6BCB" w:rsidRDefault="000A6BCB" w14:paraId="0061BEE9" w14:textId="77777777">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Finalmente, el «Factor de Calidad </w:t>
      </w:r>
      <w:r>
        <w:rPr>
          <w:rFonts w:ascii="Arial" w:hAnsi="Arial" w:cs="Arial"/>
          <w:color w:val="000000" w:themeColor="text1"/>
          <w:sz w:val="22"/>
        </w:rPr>
        <w:t>–</w:t>
      </w:r>
      <w:r w:rsidRPr="00564E86">
        <w:rPr>
          <w:rFonts w:ascii="Arial" w:hAnsi="Arial" w:cs="Arial"/>
          <w:color w:val="000000" w:themeColor="text1"/>
          <w:sz w:val="22"/>
        </w:rPr>
        <w:t xml:space="preserve"> Mantenimiento adicional» tiene como objeto mejorar la calidad de la obra, ya que se garantiza un mantenimiento rutinario, situación que otorga beneficios a las </w:t>
      </w:r>
      <w:r>
        <w:rPr>
          <w:rFonts w:ascii="Arial" w:hAnsi="Arial" w:cs="Arial"/>
          <w:color w:val="000000" w:themeColor="text1"/>
          <w:sz w:val="22"/>
        </w:rPr>
        <w:t>e</w:t>
      </w:r>
      <w:r w:rsidRPr="00564E86">
        <w:rPr>
          <w:rFonts w:ascii="Arial" w:hAnsi="Arial" w:cs="Arial"/>
          <w:color w:val="000000" w:themeColor="text1"/>
          <w:sz w:val="22"/>
        </w:rPr>
        <w:t xml:space="preserve">ntidades y a la ciudadanía en cuanto a la durabilidad de las condiciones de la infraestructura de transporte. Ahora, el </w:t>
      </w:r>
      <w:r>
        <w:rPr>
          <w:rFonts w:ascii="Arial" w:hAnsi="Arial" w:cs="Arial"/>
          <w:color w:val="000000" w:themeColor="text1"/>
          <w:sz w:val="22"/>
        </w:rPr>
        <w:t>p</w:t>
      </w:r>
      <w:r w:rsidRPr="00564E86">
        <w:rPr>
          <w:rFonts w:ascii="Arial" w:hAnsi="Arial" w:cs="Arial"/>
          <w:color w:val="000000" w:themeColor="text1"/>
          <w:sz w:val="22"/>
        </w:rPr>
        <w:t xml:space="preserve">roponente ofertará el número de meses durante los cuales se compromete a realizar por su propia cuenta y riesgo las labores de mantenimiento rutinario de la obra construida. El término ofertado será contado a partir de la terminación de las obras objeto del </w:t>
      </w:r>
      <w:r>
        <w:rPr>
          <w:rFonts w:ascii="Arial" w:hAnsi="Arial" w:cs="Arial"/>
          <w:color w:val="000000" w:themeColor="text1"/>
          <w:sz w:val="22"/>
        </w:rPr>
        <w:t>p</w:t>
      </w:r>
      <w:r w:rsidRPr="00564E86">
        <w:rPr>
          <w:rFonts w:ascii="Arial" w:hAnsi="Arial" w:cs="Arial"/>
          <w:color w:val="000000" w:themeColor="text1"/>
          <w:sz w:val="22"/>
        </w:rPr>
        <w:t>roce</w:t>
      </w:r>
      <w:r>
        <w:rPr>
          <w:rFonts w:ascii="Arial" w:hAnsi="Arial" w:cs="Arial"/>
          <w:color w:val="000000" w:themeColor="text1"/>
          <w:sz w:val="22"/>
        </w:rPr>
        <w:t>dimiento</w:t>
      </w:r>
      <w:r w:rsidRPr="00564E86">
        <w:rPr>
          <w:rFonts w:ascii="Arial" w:hAnsi="Arial" w:cs="Arial"/>
          <w:color w:val="000000" w:themeColor="text1"/>
          <w:sz w:val="22"/>
        </w:rPr>
        <w:t xml:space="preserve"> de </w:t>
      </w:r>
      <w:r>
        <w:rPr>
          <w:rFonts w:ascii="Arial" w:hAnsi="Arial" w:cs="Arial"/>
          <w:color w:val="000000" w:themeColor="text1"/>
          <w:sz w:val="22"/>
        </w:rPr>
        <w:t>c</w:t>
      </w:r>
      <w:r w:rsidRPr="00564E86">
        <w:rPr>
          <w:rFonts w:ascii="Arial" w:hAnsi="Arial" w:cs="Arial"/>
          <w:color w:val="000000" w:themeColor="text1"/>
          <w:sz w:val="22"/>
        </w:rPr>
        <w:t xml:space="preserve">ontratación. </w:t>
      </w:r>
    </w:p>
    <w:p w:rsidRPr="00564E86" w:rsidR="000A6BCB" w:rsidP="000A6BCB" w:rsidRDefault="000A6BCB" w14:paraId="40E59BA7" w14:textId="77777777">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lastRenderedPageBreak/>
        <w:t>Asimismo, es importante señalar que las labores ofrecidas correspond</w:t>
      </w:r>
      <w:r>
        <w:rPr>
          <w:rFonts w:ascii="Arial" w:hAnsi="Arial" w:cs="Arial"/>
          <w:color w:val="000000" w:themeColor="text1"/>
          <w:sz w:val="22"/>
        </w:rPr>
        <w:t>en</w:t>
      </w:r>
      <w:r w:rsidRPr="00564E86">
        <w:rPr>
          <w:rFonts w:ascii="Arial" w:hAnsi="Arial" w:cs="Arial"/>
          <w:color w:val="000000" w:themeColor="text1"/>
          <w:sz w:val="22"/>
        </w:rPr>
        <w:t xml:space="preserve"> a mantenimientos rutinarios que no estén relacionados con la estabilidad y calidad de las obras, y la </w:t>
      </w:r>
      <w:r>
        <w:rPr>
          <w:rFonts w:ascii="Arial" w:hAnsi="Arial" w:cs="Arial"/>
          <w:color w:val="000000" w:themeColor="text1"/>
          <w:sz w:val="22"/>
        </w:rPr>
        <w:t>e</w:t>
      </w:r>
      <w:r w:rsidRPr="00564E86">
        <w:rPr>
          <w:rFonts w:ascii="Arial" w:hAnsi="Arial" w:cs="Arial"/>
          <w:color w:val="000000" w:themeColor="text1"/>
          <w:sz w:val="22"/>
        </w:rPr>
        <w:t xml:space="preserve">ntidad determinará la forma para llevar a cabo el seguimiento de las labores ofertadas durante la ejecución del contrato. </w:t>
      </w:r>
    </w:p>
    <w:p w:rsidRPr="00564E86" w:rsidR="000A6BCB" w:rsidP="000A6BCB" w:rsidRDefault="000A6BCB" w14:paraId="4391398D" w14:textId="77777777">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Conforme a lo anterior, el puntaje </w:t>
      </w:r>
      <w:r>
        <w:rPr>
          <w:rFonts w:ascii="Arial" w:hAnsi="Arial" w:cs="Arial"/>
          <w:color w:val="000000" w:themeColor="text1"/>
          <w:sz w:val="22"/>
        </w:rPr>
        <w:t xml:space="preserve">otorgado por </w:t>
      </w:r>
      <w:r w:rsidRPr="00564E86">
        <w:rPr>
          <w:rFonts w:ascii="Arial" w:hAnsi="Arial" w:cs="Arial"/>
          <w:color w:val="000000" w:themeColor="text1"/>
          <w:sz w:val="22"/>
        </w:rPr>
        <w:t>estos tres factores de calidad depende del ofrecimiento que realice cada proponente en sus ofertas</w:t>
      </w:r>
      <w:r>
        <w:rPr>
          <w:rFonts w:ascii="Arial" w:hAnsi="Arial" w:cs="Arial"/>
          <w:color w:val="000000" w:themeColor="text1"/>
          <w:sz w:val="22"/>
        </w:rPr>
        <w:t>,</w:t>
      </w:r>
      <w:r w:rsidRPr="00564E86">
        <w:rPr>
          <w:rFonts w:ascii="Arial" w:hAnsi="Arial" w:cs="Arial"/>
          <w:color w:val="000000" w:themeColor="text1"/>
          <w:sz w:val="22"/>
        </w:rPr>
        <w:t xml:space="preserve"> de acuerdo con sus capacidades</w:t>
      </w:r>
      <w:r>
        <w:rPr>
          <w:rFonts w:ascii="Arial" w:hAnsi="Arial" w:cs="Arial"/>
          <w:color w:val="000000" w:themeColor="text1"/>
          <w:sz w:val="22"/>
        </w:rPr>
        <w:t xml:space="preserve"> y competitividad</w:t>
      </w:r>
      <w:r w:rsidRPr="00564E86">
        <w:rPr>
          <w:rFonts w:ascii="Arial" w:hAnsi="Arial" w:cs="Arial"/>
          <w:color w:val="000000" w:themeColor="text1"/>
          <w:sz w:val="22"/>
        </w:rPr>
        <w:t xml:space="preserve">. En este sentido, el mayor puntaje lo recibirá aquel oferente que ofrezca mayor tiempo de garantía adicional, el que ofrezca mayor número de cuadrillas de trabajo adicional y, finalmente, el que se comprometa a realizar durante un plazo mayor labores de mantenimiento rutinario después de </w:t>
      </w:r>
      <w:r>
        <w:rPr>
          <w:rFonts w:ascii="Arial" w:hAnsi="Arial" w:cs="Arial"/>
          <w:color w:val="000000" w:themeColor="text1"/>
          <w:sz w:val="22"/>
        </w:rPr>
        <w:t>terminar</w:t>
      </w:r>
      <w:r w:rsidRPr="00564E86">
        <w:rPr>
          <w:rFonts w:ascii="Arial" w:hAnsi="Arial" w:cs="Arial"/>
          <w:color w:val="000000" w:themeColor="text1"/>
          <w:sz w:val="22"/>
        </w:rPr>
        <w:t xml:space="preserve"> las obras objeto del </w:t>
      </w:r>
      <w:r>
        <w:rPr>
          <w:rFonts w:ascii="Arial" w:hAnsi="Arial" w:cs="Arial"/>
          <w:color w:val="000000" w:themeColor="text1"/>
          <w:sz w:val="22"/>
        </w:rPr>
        <w:t>p</w:t>
      </w:r>
      <w:r w:rsidRPr="00564E86">
        <w:rPr>
          <w:rFonts w:ascii="Arial" w:hAnsi="Arial" w:cs="Arial"/>
          <w:color w:val="000000" w:themeColor="text1"/>
          <w:sz w:val="22"/>
        </w:rPr>
        <w:t>roce</w:t>
      </w:r>
      <w:r>
        <w:rPr>
          <w:rFonts w:ascii="Arial" w:hAnsi="Arial" w:cs="Arial"/>
          <w:color w:val="000000" w:themeColor="text1"/>
          <w:sz w:val="22"/>
        </w:rPr>
        <w:t>dimiento</w:t>
      </w:r>
      <w:r w:rsidRPr="00564E86">
        <w:rPr>
          <w:rFonts w:ascii="Arial" w:hAnsi="Arial" w:cs="Arial"/>
          <w:color w:val="000000" w:themeColor="text1"/>
          <w:sz w:val="22"/>
        </w:rPr>
        <w:t xml:space="preserve"> de </w:t>
      </w:r>
      <w:r>
        <w:rPr>
          <w:rFonts w:ascii="Arial" w:hAnsi="Arial" w:cs="Arial"/>
          <w:color w:val="000000" w:themeColor="text1"/>
          <w:sz w:val="22"/>
        </w:rPr>
        <w:t>c</w:t>
      </w:r>
      <w:r w:rsidRPr="00564E86">
        <w:rPr>
          <w:rFonts w:ascii="Arial" w:hAnsi="Arial" w:cs="Arial"/>
          <w:color w:val="000000" w:themeColor="text1"/>
          <w:sz w:val="22"/>
        </w:rPr>
        <w:t xml:space="preserve">ontratación. </w:t>
      </w:r>
    </w:p>
    <w:p w:rsidRPr="00564E86" w:rsidR="000A6BCB" w:rsidP="000A6BCB" w:rsidRDefault="000A6BCB" w14:paraId="35599CF5" w14:textId="77777777">
      <w:pPr>
        <w:spacing w:before="120" w:line="276" w:lineRule="auto"/>
        <w:jc w:val="both"/>
        <w:rPr>
          <w:rFonts w:ascii="Arial" w:hAnsi="Arial" w:cs="Arial"/>
          <w:color w:val="000000" w:themeColor="text1"/>
          <w:sz w:val="22"/>
        </w:rPr>
      </w:pPr>
      <w:r w:rsidRPr="00564E86">
        <w:rPr>
          <w:rFonts w:ascii="Arial" w:hAnsi="Arial" w:cs="Arial"/>
          <w:color w:val="000000" w:themeColor="text1"/>
          <w:sz w:val="22"/>
        </w:rPr>
        <w:tab/>
      </w:r>
      <w:r w:rsidRPr="00CA2AD9">
        <w:rPr>
          <w:rFonts w:ascii="Arial" w:hAnsi="Arial" w:cs="Arial"/>
          <w:color w:val="000000" w:themeColor="text1"/>
          <w:sz w:val="22"/>
        </w:rPr>
        <w:t xml:space="preserve">En otras palabras, la entidad no puede fijar discrecionalmente un número de meses que den lugar a otorgar todo el puntaje </w:t>
      </w:r>
      <w:r>
        <w:rPr>
          <w:rFonts w:ascii="Arial" w:hAnsi="Arial" w:cs="Arial"/>
          <w:color w:val="000000" w:themeColor="text1"/>
          <w:sz w:val="22"/>
        </w:rPr>
        <w:t xml:space="preserve">por la garantía adicional o por el mantenimiento rutinario adicional, </w:t>
      </w:r>
      <w:r w:rsidRPr="00CA2AD9">
        <w:rPr>
          <w:rFonts w:ascii="Arial" w:hAnsi="Arial" w:cs="Arial"/>
          <w:color w:val="000000" w:themeColor="text1"/>
          <w:sz w:val="22"/>
        </w:rPr>
        <w:t>o defin</w:t>
      </w:r>
      <w:r>
        <w:rPr>
          <w:rFonts w:ascii="Arial" w:hAnsi="Arial" w:cs="Arial"/>
          <w:color w:val="000000" w:themeColor="text1"/>
          <w:sz w:val="22"/>
        </w:rPr>
        <w:t>ir</w:t>
      </w:r>
      <w:r w:rsidRPr="00CA2AD9">
        <w:rPr>
          <w:rFonts w:ascii="Arial" w:hAnsi="Arial" w:cs="Arial"/>
          <w:color w:val="000000" w:themeColor="text1"/>
          <w:sz w:val="22"/>
        </w:rPr>
        <w:t xml:space="preserve"> cuántas cuadrillas de trabajo adicional se necesitan, o los perfiles de los integrantes de la cuadrilla, sino que depende del proponente definir el tiempo y número de cuadrillas de trabajo adicional</w:t>
      </w:r>
      <w:r>
        <w:rPr>
          <w:rFonts w:ascii="Arial" w:hAnsi="Arial" w:cs="Arial"/>
          <w:color w:val="000000" w:themeColor="text1"/>
          <w:sz w:val="22"/>
        </w:rPr>
        <w:t>, respectivamente,</w:t>
      </w:r>
      <w:r w:rsidRPr="00CA2AD9">
        <w:rPr>
          <w:rFonts w:ascii="Arial" w:hAnsi="Arial" w:cs="Arial"/>
          <w:color w:val="000000" w:themeColor="text1"/>
          <w:sz w:val="22"/>
        </w:rPr>
        <w:t xml:space="preserve"> que está en capacidad de ofertar, lo cual reduce el riesgo de direccionamiento, fomenta la competencia e incrementa las condiciones de calidad para la entidad.</w:t>
      </w:r>
      <w:r w:rsidRPr="00564E86">
        <w:rPr>
          <w:rFonts w:ascii="Arial" w:hAnsi="Arial" w:cs="Arial"/>
          <w:color w:val="000000" w:themeColor="text1"/>
          <w:sz w:val="22"/>
        </w:rPr>
        <w:t xml:space="preserve"> </w:t>
      </w:r>
    </w:p>
    <w:p w:rsidRPr="00564E86" w:rsidR="000A6BCB" w:rsidP="000A6BCB" w:rsidRDefault="000A6BCB" w14:paraId="49E72876" w14:textId="77777777">
      <w:pPr>
        <w:tabs>
          <w:tab w:val="left" w:pos="709"/>
        </w:tabs>
        <w:spacing w:before="120" w:line="276" w:lineRule="auto"/>
        <w:jc w:val="both"/>
        <w:rPr>
          <w:rFonts w:ascii="Arial" w:hAnsi="Arial" w:cs="Arial"/>
          <w:color w:val="000000" w:themeColor="text1"/>
          <w:sz w:val="22"/>
        </w:rPr>
      </w:pPr>
      <w:r w:rsidRPr="00564E86">
        <w:rPr>
          <w:rFonts w:ascii="Arial" w:hAnsi="Arial" w:cs="Arial"/>
          <w:color w:val="000000" w:themeColor="text1"/>
          <w:sz w:val="22"/>
        </w:rPr>
        <w:tab/>
      </w:r>
      <w:r>
        <w:rPr>
          <w:rFonts w:ascii="Arial" w:hAnsi="Arial" w:cs="Arial"/>
          <w:color w:val="000000" w:themeColor="text1"/>
          <w:sz w:val="22"/>
        </w:rPr>
        <w:t>E</w:t>
      </w:r>
      <w:r w:rsidRPr="00564E86">
        <w:rPr>
          <w:rFonts w:ascii="Arial" w:hAnsi="Arial" w:cs="Arial"/>
          <w:color w:val="000000" w:themeColor="text1"/>
          <w:sz w:val="22"/>
        </w:rPr>
        <w:t xml:space="preserve">s importante mencionar que para </w:t>
      </w:r>
      <w:r>
        <w:rPr>
          <w:rFonts w:ascii="Arial" w:hAnsi="Arial" w:cs="Arial"/>
          <w:color w:val="000000" w:themeColor="text1"/>
          <w:sz w:val="22"/>
        </w:rPr>
        <w:t xml:space="preserve">otorgar el </w:t>
      </w:r>
      <w:r w:rsidRPr="00564E86">
        <w:rPr>
          <w:rFonts w:ascii="Arial" w:hAnsi="Arial" w:cs="Arial"/>
          <w:color w:val="000000" w:themeColor="text1"/>
          <w:sz w:val="22"/>
        </w:rPr>
        <w:t xml:space="preserve">puntaje basta </w:t>
      </w:r>
      <w:r>
        <w:rPr>
          <w:rFonts w:ascii="Arial" w:hAnsi="Arial" w:cs="Arial"/>
          <w:color w:val="000000" w:themeColor="text1"/>
          <w:sz w:val="22"/>
        </w:rPr>
        <w:t>con</w:t>
      </w:r>
      <w:r w:rsidRPr="00564E86">
        <w:rPr>
          <w:rFonts w:ascii="Arial" w:hAnsi="Arial" w:cs="Arial"/>
          <w:color w:val="000000" w:themeColor="text1"/>
          <w:sz w:val="22"/>
        </w:rPr>
        <w:t xml:space="preserve"> diligencia</w:t>
      </w:r>
      <w:r>
        <w:rPr>
          <w:rFonts w:ascii="Arial" w:hAnsi="Arial" w:cs="Arial"/>
          <w:color w:val="000000" w:themeColor="text1"/>
          <w:sz w:val="22"/>
        </w:rPr>
        <w:t>r</w:t>
      </w:r>
      <w:r w:rsidRPr="00564E86">
        <w:rPr>
          <w:rFonts w:ascii="Arial" w:hAnsi="Arial" w:cs="Arial"/>
          <w:color w:val="000000" w:themeColor="text1"/>
          <w:sz w:val="22"/>
        </w:rPr>
        <w:t xml:space="preserve"> el «Formato 7D – Garantía Suplementaria o Adicional», «Formato 7E – Cuadrillas de trabajo adicional» o el «Formato 7F – Mantenimiento adicional»</w:t>
      </w:r>
      <w:r>
        <w:rPr>
          <w:rFonts w:ascii="Arial" w:hAnsi="Arial" w:cs="Arial"/>
          <w:color w:val="000000" w:themeColor="text1"/>
          <w:sz w:val="22"/>
        </w:rPr>
        <w:t>, dependiendo de los criterios de evaluación seleccionados por la entidad. En efecto, al diligenciarlos el</w:t>
      </w:r>
      <w:r w:rsidRPr="00564E86">
        <w:rPr>
          <w:rFonts w:ascii="Arial" w:hAnsi="Arial" w:cs="Arial"/>
          <w:color w:val="000000" w:themeColor="text1"/>
          <w:sz w:val="22"/>
        </w:rPr>
        <w:t xml:space="preserve"> proponente </w:t>
      </w:r>
      <w:r>
        <w:rPr>
          <w:rFonts w:ascii="Arial" w:hAnsi="Arial" w:cs="Arial"/>
          <w:color w:val="000000" w:themeColor="text1"/>
          <w:sz w:val="22"/>
        </w:rPr>
        <w:t xml:space="preserve">indica </w:t>
      </w:r>
      <w:r w:rsidRPr="00564E86">
        <w:rPr>
          <w:rFonts w:ascii="Arial" w:hAnsi="Arial" w:cs="Arial"/>
          <w:color w:val="000000" w:themeColor="text1"/>
          <w:sz w:val="22"/>
        </w:rPr>
        <w:t xml:space="preserve">bajo la gravedad de juramento cuál es el compromiso que asume, ya sea el tiempo de garantía adicional, el número de </w:t>
      </w:r>
      <w:r>
        <w:rPr>
          <w:rFonts w:ascii="Arial" w:hAnsi="Arial" w:cs="Arial"/>
          <w:color w:val="000000" w:themeColor="text1"/>
          <w:sz w:val="22"/>
        </w:rPr>
        <w:t>c</w:t>
      </w:r>
      <w:r w:rsidRPr="00564E86">
        <w:rPr>
          <w:rFonts w:ascii="Arial" w:hAnsi="Arial" w:cs="Arial"/>
          <w:color w:val="000000" w:themeColor="text1"/>
          <w:sz w:val="22"/>
        </w:rPr>
        <w:t xml:space="preserve">uadrillas de </w:t>
      </w:r>
      <w:r>
        <w:rPr>
          <w:rFonts w:ascii="Arial" w:hAnsi="Arial" w:cs="Arial"/>
          <w:color w:val="000000" w:themeColor="text1"/>
          <w:sz w:val="22"/>
        </w:rPr>
        <w:t>t</w:t>
      </w:r>
      <w:r w:rsidRPr="00564E86">
        <w:rPr>
          <w:rFonts w:ascii="Arial" w:hAnsi="Arial" w:cs="Arial"/>
          <w:color w:val="000000" w:themeColor="text1"/>
          <w:sz w:val="22"/>
        </w:rPr>
        <w:t xml:space="preserve">rabajo </w:t>
      </w:r>
      <w:r>
        <w:rPr>
          <w:rFonts w:ascii="Arial" w:hAnsi="Arial" w:cs="Arial"/>
          <w:color w:val="000000" w:themeColor="text1"/>
          <w:sz w:val="22"/>
        </w:rPr>
        <w:t>a</w:t>
      </w:r>
      <w:r w:rsidRPr="00564E86">
        <w:rPr>
          <w:rFonts w:ascii="Arial" w:hAnsi="Arial" w:cs="Arial"/>
          <w:color w:val="000000" w:themeColor="text1"/>
          <w:sz w:val="22"/>
        </w:rPr>
        <w:t xml:space="preserve">dicional o el tiempo </w:t>
      </w:r>
      <w:r>
        <w:rPr>
          <w:rFonts w:ascii="Arial" w:hAnsi="Arial" w:cs="Arial"/>
          <w:color w:val="000000" w:themeColor="text1"/>
          <w:sz w:val="22"/>
        </w:rPr>
        <w:t xml:space="preserve">por el </w:t>
      </w:r>
      <w:r w:rsidRPr="00564E86">
        <w:rPr>
          <w:rFonts w:ascii="Arial" w:hAnsi="Arial" w:cs="Arial"/>
          <w:color w:val="000000" w:themeColor="text1"/>
          <w:sz w:val="22"/>
        </w:rPr>
        <w:t>que realizará el mantenimiento rutinario.</w:t>
      </w:r>
    </w:p>
    <w:p w:rsidRPr="00564E86" w:rsidR="000A6BCB" w:rsidP="000A6BCB" w:rsidRDefault="000A6BCB" w14:paraId="44081F51" w14:textId="77777777">
      <w:pPr>
        <w:tabs>
          <w:tab w:val="left" w:pos="709"/>
        </w:tabs>
        <w:spacing w:before="120" w:line="276" w:lineRule="auto"/>
        <w:jc w:val="both"/>
        <w:rPr>
          <w:rFonts w:ascii="Arial" w:hAnsi="Arial" w:eastAsia="Calibri" w:cs="Arial"/>
          <w:color w:val="000000" w:themeColor="text1"/>
          <w:sz w:val="22"/>
        </w:rPr>
      </w:pPr>
      <w:r w:rsidRPr="00564E86">
        <w:rPr>
          <w:rFonts w:ascii="Arial" w:hAnsi="Arial" w:cs="Arial"/>
          <w:color w:val="000000" w:themeColor="text1"/>
          <w:sz w:val="22"/>
        </w:rPr>
        <w:tab/>
      </w:r>
      <w:r w:rsidRPr="00564E86">
        <w:rPr>
          <w:rFonts w:ascii="Arial" w:hAnsi="Arial" w:cs="Arial"/>
          <w:color w:val="000000" w:themeColor="text1"/>
          <w:sz w:val="22"/>
        </w:rPr>
        <w:t xml:space="preserve">Explicado que </w:t>
      </w:r>
      <w:r>
        <w:rPr>
          <w:rFonts w:ascii="Arial" w:hAnsi="Arial" w:cs="Arial"/>
          <w:color w:val="000000" w:themeColor="text1"/>
          <w:sz w:val="22"/>
        </w:rPr>
        <w:t>el puntaje otorgado por estos factores de calidad</w:t>
      </w:r>
      <w:r w:rsidRPr="00564E86">
        <w:rPr>
          <w:rFonts w:ascii="Arial" w:hAnsi="Arial" w:cs="Arial"/>
          <w:color w:val="000000" w:themeColor="text1"/>
          <w:sz w:val="22"/>
        </w:rPr>
        <w:t xml:space="preserve"> depende del ofrecimiento realizado por cada proponente, usted pregunta: si existe un </w:t>
      </w:r>
      <w:r>
        <w:rPr>
          <w:rFonts w:ascii="Arial" w:hAnsi="Arial" w:cs="Arial"/>
          <w:color w:val="000000" w:themeColor="text1"/>
          <w:sz w:val="22"/>
        </w:rPr>
        <w:t>límite a esos ofrecimientos</w:t>
      </w:r>
      <w:r>
        <w:rPr>
          <w:rFonts w:ascii="Arial" w:hAnsi="Arial" w:eastAsia="Calibri" w:cs="Arial"/>
          <w:color w:val="000000" w:themeColor="text1"/>
          <w:sz w:val="22"/>
        </w:rPr>
        <w:t>.</w:t>
      </w:r>
      <w:r w:rsidRPr="00564E86">
        <w:rPr>
          <w:rFonts w:ascii="Arial" w:hAnsi="Arial" w:eastAsia="Calibri" w:cs="Arial"/>
          <w:color w:val="000000" w:themeColor="text1"/>
          <w:sz w:val="22"/>
        </w:rPr>
        <w:t xml:space="preserve"> Al respecto, es importante señalar que el Documento Tipo no limita al oferente </w:t>
      </w:r>
      <w:r>
        <w:rPr>
          <w:rFonts w:ascii="Arial" w:hAnsi="Arial" w:eastAsia="Calibri" w:cs="Arial"/>
          <w:color w:val="000000" w:themeColor="text1"/>
          <w:sz w:val="22"/>
        </w:rPr>
        <w:t xml:space="preserve">frente a </w:t>
      </w:r>
      <w:r w:rsidRPr="00564E86">
        <w:rPr>
          <w:rFonts w:ascii="Arial" w:hAnsi="Arial" w:eastAsia="Calibri" w:cs="Arial"/>
          <w:color w:val="000000" w:themeColor="text1"/>
          <w:sz w:val="22"/>
        </w:rPr>
        <w:t>cuántos meses de garantía adicional, distinta a la legal, puede ofrecer, el número de cuadrillas de trabajo adicional que se compromete a otorgar al proyecto de contratación, o finalmente, establezca un plazo máximo para realizar labores de mantenimiento rutinario adicional. Estos ofrecimientos dependen únicamente de las capacidades propias de cada oferente; ya que se realizará dependiendo de su infraestructura y capacidad financiera y la labor de análisis de las condiciones bajo las cuales presentará su propuesta</w:t>
      </w:r>
      <w:r>
        <w:rPr>
          <w:rFonts w:ascii="Arial" w:hAnsi="Arial" w:eastAsia="Calibri" w:cs="Arial"/>
          <w:color w:val="000000" w:themeColor="text1"/>
          <w:sz w:val="22"/>
        </w:rPr>
        <w:t>, además que cumplir estos ofrecimientos constituye una obligación contractual, con todas las consecuencias que ello apareja, de manera que los proponentes ofertarán lo que puedan cumplir.</w:t>
      </w:r>
    </w:p>
    <w:p w:rsidRPr="00564E86" w:rsidR="000A6BCB" w:rsidP="000A6BCB" w:rsidRDefault="000A6BCB" w14:paraId="06A64836" w14:textId="77777777">
      <w:pPr>
        <w:tabs>
          <w:tab w:val="left" w:pos="709"/>
          <w:tab w:val="left" w:pos="7938"/>
        </w:tabs>
        <w:spacing w:before="120" w:line="276" w:lineRule="auto"/>
        <w:jc w:val="both"/>
        <w:rPr>
          <w:rFonts w:ascii="Arial" w:hAnsi="Arial" w:eastAsia="Calibri" w:cs="Arial"/>
          <w:color w:val="000000" w:themeColor="text1"/>
          <w:sz w:val="22"/>
        </w:rPr>
      </w:pPr>
      <w:r w:rsidRPr="00564E86">
        <w:rPr>
          <w:rFonts w:ascii="Arial" w:hAnsi="Arial" w:eastAsia="Calibri" w:cs="Arial"/>
          <w:color w:val="000000" w:themeColor="text1"/>
          <w:sz w:val="22"/>
        </w:rPr>
        <w:lastRenderedPageBreak/>
        <w:tab/>
      </w:r>
      <w:r w:rsidRPr="00564E86">
        <w:rPr>
          <w:rFonts w:ascii="Arial" w:hAnsi="Arial" w:eastAsia="Calibri" w:cs="Arial"/>
          <w:color w:val="000000" w:themeColor="text1"/>
          <w:sz w:val="22"/>
        </w:rPr>
        <w:t xml:space="preserve">La Ley 1150 de 2007, en el artículo 17, establece que en virtud </w:t>
      </w:r>
      <w:r>
        <w:rPr>
          <w:rFonts w:ascii="Arial" w:hAnsi="Arial" w:eastAsia="Calibri" w:cs="Arial"/>
          <w:color w:val="000000" w:themeColor="text1"/>
          <w:sz w:val="22"/>
        </w:rPr>
        <w:t>del</w:t>
      </w:r>
      <w:r w:rsidRPr="00564E86">
        <w:rPr>
          <w:rFonts w:ascii="Arial" w:hAnsi="Arial" w:eastAsia="Calibri" w:cs="Arial"/>
          <w:color w:val="000000" w:themeColor="text1"/>
          <w:sz w:val="22"/>
        </w:rPr>
        <w:t xml:space="preserve"> derecho al debido proceso y del deber de control y vigilancia sobre los contratos que corresponde a las entidades sometidas al Estatuto General de Contratación de la Administración Pública, </w:t>
      </w:r>
      <w:r>
        <w:rPr>
          <w:rFonts w:ascii="Arial" w:hAnsi="Arial" w:eastAsia="Calibri" w:cs="Arial"/>
          <w:color w:val="000000" w:themeColor="text1"/>
          <w:sz w:val="22"/>
        </w:rPr>
        <w:t xml:space="preserve">estas </w:t>
      </w:r>
      <w:r w:rsidRPr="00564E86">
        <w:rPr>
          <w:rFonts w:ascii="Arial" w:hAnsi="Arial" w:eastAsia="Calibri" w:cs="Arial"/>
          <w:color w:val="000000" w:themeColor="text1"/>
          <w:sz w:val="22"/>
        </w:rPr>
        <w:t>tienen la facultad de imponer multas que hayan sido pactadas con el objeto de conminar al contratista a cumplir con sus obligaciones</w:t>
      </w:r>
      <w:r w:rsidRPr="00564E86">
        <w:rPr>
          <w:rStyle w:val="Refdenotaalpie"/>
          <w:rFonts w:ascii="Arial" w:hAnsi="Arial" w:eastAsia="Calibri" w:cs="Arial"/>
          <w:color w:val="000000" w:themeColor="text1"/>
          <w:sz w:val="22"/>
        </w:rPr>
        <w:footnoteReference w:id="5"/>
      </w:r>
      <w:r w:rsidRPr="00564E86">
        <w:rPr>
          <w:rFonts w:ascii="Arial" w:hAnsi="Arial" w:eastAsia="Calibri" w:cs="Arial"/>
          <w:color w:val="000000" w:themeColor="text1"/>
          <w:sz w:val="22"/>
        </w:rPr>
        <w:t>. En razón a lo anterior, en el «Anexo 5 – Minuta del Contrato», en la «</w:t>
      </w:r>
      <w:r>
        <w:rPr>
          <w:rFonts w:ascii="Arial" w:hAnsi="Arial" w:eastAsia="Calibri" w:cs="Arial"/>
          <w:color w:val="000000" w:themeColor="text1"/>
          <w:sz w:val="22"/>
        </w:rPr>
        <w:t>C</w:t>
      </w:r>
      <w:r w:rsidRPr="00564E86">
        <w:rPr>
          <w:rFonts w:ascii="Arial" w:hAnsi="Arial" w:eastAsia="Calibri" w:cs="Arial"/>
          <w:color w:val="000000" w:themeColor="text1"/>
          <w:sz w:val="22"/>
        </w:rPr>
        <w:t>láusula 15. Multas», numeral 7</w:t>
      </w:r>
      <w:r>
        <w:rPr>
          <w:rFonts w:ascii="Arial" w:hAnsi="Arial" w:eastAsia="Calibri" w:cs="Arial"/>
          <w:color w:val="000000" w:themeColor="text1"/>
          <w:sz w:val="22"/>
        </w:rPr>
        <w:t>,</w:t>
      </w:r>
      <w:r w:rsidRPr="00564E86">
        <w:rPr>
          <w:rFonts w:ascii="Arial" w:hAnsi="Arial" w:eastAsia="Calibri" w:cs="Arial"/>
          <w:color w:val="000000" w:themeColor="text1"/>
          <w:sz w:val="22"/>
        </w:rPr>
        <w:t xml:space="preserve"> se prevé</w:t>
      </w:r>
      <w:r>
        <w:rPr>
          <w:rFonts w:ascii="Arial" w:hAnsi="Arial" w:eastAsia="Calibri" w:cs="Arial"/>
          <w:color w:val="000000" w:themeColor="text1"/>
          <w:sz w:val="22"/>
        </w:rPr>
        <w:t>,</w:t>
      </w:r>
      <w:r w:rsidRPr="00564E86">
        <w:rPr>
          <w:rFonts w:ascii="Arial" w:hAnsi="Arial" w:eastAsia="Calibri" w:cs="Arial"/>
          <w:color w:val="000000" w:themeColor="text1"/>
          <w:sz w:val="22"/>
        </w:rPr>
        <w:t xml:space="preserve"> </w:t>
      </w:r>
      <w:r>
        <w:rPr>
          <w:rFonts w:ascii="Arial" w:hAnsi="Arial" w:eastAsia="Calibri" w:cs="Arial"/>
          <w:color w:val="000000" w:themeColor="text1"/>
          <w:sz w:val="22"/>
        </w:rPr>
        <w:t>como uno de los contenidos de las cláusulas que las entidades pueden incorporar en sus contratos, que se</w:t>
      </w:r>
      <w:r w:rsidRPr="00564E86">
        <w:rPr>
          <w:rFonts w:ascii="Arial" w:hAnsi="Arial" w:eastAsia="Calibri" w:cs="Arial"/>
          <w:color w:val="000000" w:themeColor="text1"/>
          <w:sz w:val="22"/>
        </w:rPr>
        <w:t xml:space="preserve"> impondrá una multa por incumplir el ofrecimiento otorgado en cuanto al factor de calidad. Así se indicó en los siguientes términos:</w:t>
      </w:r>
    </w:p>
    <w:p w:rsidRPr="00564E86" w:rsidR="000A6BCB" w:rsidP="000A6BCB" w:rsidRDefault="000A6BCB" w14:paraId="342CF4AB" w14:textId="77777777">
      <w:pPr>
        <w:tabs>
          <w:tab w:val="left" w:pos="426"/>
          <w:tab w:val="left" w:pos="7938"/>
        </w:tabs>
        <w:spacing w:before="120" w:line="276" w:lineRule="auto"/>
        <w:jc w:val="both"/>
        <w:rPr>
          <w:rFonts w:ascii="Arial" w:hAnsi="Arial" w:eastAsia="Calibri" w:cs="Arial"/>
          <w:color w:val="000000" w:themeColor="text1"/>
          <w:sz w:val="22"/>
        </w:rPr>
      </w:pPr>
    </w:p>
    <w:p w:rsidRPr="00564E86" w:rsidR="000A6BCB" w:rsidP="000A6BCB" w:rsidRDefault="000A6BCB" w14:paraId="3BB30EAD" w14:textId="77777777">
      <w:pPr>
        <w:tabs>
          <w:tab w:val="left" w:pos="426"/>
        </w:tabs>
        <w:ind w:left="680" w:right="680"/>
        <w:jc w:val="both"/>
        <w:rPr>
          <w:rFonts w:ascii="Arial" w:hAnsi="Arial" w:eastAsia="Calibri" w:cs="Arial"/>
          <w:b/>
          <w:bCs/>
          <w:color w:val="000000" w:themeColor="text1"/>
          <w:sz w:val="21"/>
          <w:szCs w:val="21"/>
        </w:rPr>
      </w:pPr>
      <w:r w:rsidRPr="00564E86">
        <w:rPr>
          <w:rFonts w:ascii="Arial" w:hAnsi="Arial" w:eastAsia="Calibri" w:cs="Arial"/>
          <w:b/>
          <w:bCs/>
          <w:color w:val="000000" w:themeColor="text1"/>
          <w:sz w:val="22"/>
        </w:rPr>
        <w:tab/>
      </w:r>
      <w:r w:rsidRPr="00564E86">
        <w:rPr>
          <w:rFonts w:ascii="Arial" w:hAnsi="Arial" w:eastAsia="Calibri" w:cs="Arial"/>
          <w:b/>
          <w:bCs/>
          <w:color w:val="000000" w:themeColor="text1"/>
          <w:sz w:val="21"/>
          <w:szCs w:val="21"/>
        </w:rPr>
        <w:t>CLÁUSULA 15. MULTAS</w:t>
      </w:r>
    </w:p>
    <w:p w:rsidRPr="00564E86" w:rsidR="000A6BCB" w:rsidP="000A6BCB" w:rsidRDefault="000A6BCB" w14:paraId="5F46D26B" w14:textId="77777777">
      <w:pPr>
        <w:tabs>
          <w:tab w:val="left" w:pos="426"/>
        </w:tabs>
        <w:ind w:left="680" w:right="680"/>
        <w:jc w:val="both"/>
        <w:rPr>
          <w:rFonts w:ascii="Arial" w:hAnsi="Arial" w:eastAsia="Calibri" w:cs="Arial"/>
          <w:color w:val="000000" w:themeColor="text1"/>
          <w:sz w:val="21"/>
          <w:szCs w:val="21"/>
        </w:rPr>
      </w:pPr>
      <w:r w:rsidRPr="00564E86">
        <w:rPr>
          <w:rFonts w:ascii="Arial" w:hAnsi="Arial" w:eastAsia="Calibri" w:cs="Arial"/>
          <w:b/>
          <w:bCs/>
          <w:color w:val="000000" w:themeColor="text1"/>
          <w:sz w:val="21"/>
          <w:szCs w:val="21"/>
        </w:rPr>
        <w:tab/>
      </w:r>
      <w:r w:rsidRPr="00564E86">
        <w:rPr>
          <w:rFonts w:ascii="Arial" w:hAnsi="Arial" w:eastAsia="Calibri" w:cs="Arial"/>
          <w:color w:val="000000" w:themeColor="text1"/>
          <w:sz w:val="21"/>
          <w:szCs w:val="21"/>
        </w:rPr>
        <w:t>[…]</w:t>
      </w:r>
    </w:p>
    <w:p w:rsidRPr="00564E86" w:rsidR="000A6BCB" w:rsidP="000A6BCB" w:rsidRDefault="000A6BCB" w14:paraId="3B034F54" w14:textId="77777777">
      <w:pPr>
        <w:ind w:left="680" w:right="680"/>
        <w:jc w:val="both"/>
        <w:rPr>
          <w:rFonts w:ascii="Arial" w:hAnsi="Arial" w:eastAsia="Calibri" w:cs="Arial"/>
          <w:color w:val="000000" w:themeColor="text1"/>
          <w:sz w:val="21"/>
          <w:szCs w:val="21"/>
        </w:rPr>
      </w:pPr>
      <w:r w:rsidRPr="00564E86">
        <w:rPr>
          <w:rFonts w:ascii="Arial" w:hAnsi="Arial" w:eastAsia="Calibri" w:cs="Arial"/>
          <w:color w:val="000000" w:themeColor="text1"/>
          <w:sz w:val="21"/>
          <w:szCs w:val="21"/>
        </w:rPr>
        <w:t>Si durante la ejecución del Contrato se generaran incumplimientos del Contratista, se causarán las siguientes multas:</w:t>
      </w:r>
    </w:p>
    <w:p w:rsidRPr="00564E86" w:rsidR="000A6BCB" w:rsidP="000A6BCB" w:rsidRDefault="000A6BCB" w14:paraId="0907180B" w14:textId="77777777">
      <w:pPr>
        <w:ind w:left="680" w:right="680"/>
        <w:rPr>
          <w:rFonts w:ascii="Arial" w:hAnsi="Arial" w:eastAsia="Calibri" w:cs="Arial"/>
          <w:color w:val="000000" w:themeColor="text1"/>
          <w:sz w:val="21"/>
          <w:szCs w:val="21"/>
        </w:rPr>
      </w:pPr>
      <w:r w:rsidRPr="00564E86">
        <w:rPr>
          <w:rFonts w:ascii="Arial" w:hAnsi="Arial" w:eastAsia="Calibri" w:cs="Arial"/>
          <w:color w:val="000000" w:themeColor="text1"/>
          <w:sz w:val="21"/>
          <w:szCs w:val="21"/>
        </w:rPr>
        <w:t>[…]</w:t>
      </w:r>
    </w:p>
    <w:p w:rsidRPr="00564E86" w:rsidR="000A6BCB" w:rsidP="000A6BCB" w:rsidRDefault="000A6BCB" w14:paraId="70321F42" w14:textId="77777777">
      <w:pPr>
        <w:pStyle w:val="Prrafodelista"/>
        <w:numPr>
          <w:ilvl w:val="0"/>
          <w:numId w:val="7"/>
        </w:numPr>
        <w:ind w:left="680" w:right="680" w:firstLine="0"/>
        <w:jc w:val="both"/>
        <w:rPr>
          <w:rFonts w:ascii="Arial" w:hAnsi="Arial" w:eastAsia="Arial" w:cs="Arial"/>
          <w:color w:val="000000" w:themeColor="text1"/>
          <w:sz w:val="20"/>
          <w:szCs w:val="20"/>
          <w:lang w:val="es-CO"/>
        </w:rPr>
      </w:pPr>
      <w:r w:rsidRPr="00564E86">
        <w:rPr>
          <w:rFonts w:ascii="Arial" w:hAnsi="Arial" w:eastAsia="Arial" w:cs="Arial"/>
          <w:color w:val="000000" w:themeColor="text1"/>
          <w:sz w:val="20"/>
          <w:szCs w:val="20"/>
          <w:lang w:val="es-CO"/>
        </w:rPr>
        <w:t xml:space="preserve">Por </w:t>
      </w:r>
      <w:r w:rsidRPr="00564E86">
        <w:rPr>
          <w:rFonts w:ascii="Arial" w:hAnsi="Arial" w:eastAsia="Calibri" w:cs="Arial"/>
          <w:color w:val="000000" w:themeColor="text1"/>
          <w:sz w:val="21"/>
          <w:szCs w:val="21"/>
        </w:rPr>
        <w:t>incumplir el ofrecimiento otorgado en cuanto al factor calidad, al Contratista se le impondrá una multa equivalente al [</w:t>
      </w:r>
      <w:r w:rsidRPr="00564E86">
        <w:rPr>
          <w:rFonts w:ascii="Arial" w:hAnsi="Arial" w:eastAsia="Calibri" w:cs="Arial"/>
          <w:color w:val="000000" w:themeColor="text1"/>
          <w:sz w:val="21"/>
          <w:szCs w:val="21"/>
          <w:highlight w:val="lightGray"/>
        </w:rPr>
        <w:t>0,5%</w:t>
      </w:r>
      <w:r w:rsidRPr="00564E86">
        <w:rPr>
          <w:rFonts w:ascii="Arial" w:hAnsi="Arial" w:eastAsia="Calibri" w:cs="Arial"/>
          <w:color w:val="000000" w:themeColor="text1"/>
          <w:sz w:val="21"/>
          <w:szCs w:val="21"/>
        </w:rPr>
        <w:t xml:space="preserve">] del valor del contrato, </w:t>
      </w:r>
      <w:r w:rsidRPr="00564E86">
        <w:rPr>
          <w:rFonts w:ascii="Arial" w:hAnsi="Arial" w:eastAsia="Calibri" w:cs="Arial"/>
          <w:color w:val="000000" w:themeColor="text1"/>
          <w:sz w:val="21"/>
          <w:szCs w:val="21"/>
          <w:highlight w:val="lightGray"/>
        </w:rPr>
        <w:t>[por cada día calendario de atraso en el cumplimiento de dicha obligación</w:t>
      </w:r>
      <w:r w:rsidRPr="00564E86">
        <w:rPr>
          <w:rFonts w:ascii="Arial" w:hAnsi="Arial" w:eastAsia="Calibri" w:cs="Arial"/>
          <w:color w:val="000000" w:themeColor="text1"/>
          <w:sz w:val="21"/>
          <w:szCs w:val="21"/>
        </w:rPr>
        <w:t>].</w:t>
      </w:r>
    </w:p>
    <w:p w:rsidRPr="00564E86" w:rsidR="000A6BCB" w:rsidP="000A6BCB" w:rsidRDefault="000A6BCB" w14:paraId="4DE608D5" w14:textId="77777777">
      <w:pPr>
        <w:pStyle w:val="Prrafodelista"/>
        <w:ind w:left="680" w:right="680"/>
        <w:jc w:val="both"/>
        <w:rPr>
          <w:rFonts w:ascii="Arial" w:hAnsi="Arial" w:eastAsia="Arial" w:cs="Arial"/>
          <w:color w:val="000000" w:themeColor="text1"/>
          <w:sz w:val="20"/>
          <w:szCs w:val="20"/>
          <w:lang w:val="es-CO"/>
        </w:rPr>
      </w:pPr>
      <w:r w:rsidRPr="00564E86">
        <w:rPr>
          <w:rFonts w:ascii="Arial" w:hAnsi="Arial" w:eastAsia="Calibri" w:cs="Arial"/>
          <w:color w:val="000000" w:themeColor="text1"/>
          <w:sz w:val="22"/>
        </w:rPr>
        <w:t xml:space="preserve"> </w:t>
      </w:r>
    </w:p>
    <w:p w:rsidRPr="00564E86" w:rsidR="000A6BCB" w:rsidP="000A6BCB" w:rsidRDefault="000A6BCB" w14:paraId="0CEDB5EA" w14:textId="77777777">
      <w:pPr>
        <w:tabs>
          <w:tab w:val="left" w:pos="709"/>
        </w:tabs>
        <w:spacing w:before="120" w:line="276" w:lineRule="auto"/>
        <w:jc w:val="both"/>
        <w:rPr>
          <w:rFonts w:ascii="Arial" w:hAnsi="Arial" w:eastAsia="Calibri" w:cs="Arial"/>
          <w:color w:val="000000" w:themeColor="text1"/>
          <w:sz w:val="22"/>
        </w:rPr>
      </w:pPr>
      <w:r w:rsidRPr="00564E86">
        <w:rPr>
          <w:rFonts w:ascii="Arial" w:hAnsi="Arial" w:eastAsia="Calibri" w:cs="Arial"/>
          <w:color w:val="000000" w:themeColor="text1"/>
          <w:sz w:val="22"/>
        </w:rPr>
        <w:tab/>
      </w:r>
      <w:r w:rsidRPr="00564E86">
        <w:rPr>
          <w:rFonts w:ascii="Arial" w:hAnsi="Arial" w:eastAsia="Calibri" w:cs="Arial"/>
          <w:color w:val="000000" w:themeColor="text1"/>
          <w:sz w:val="22"/>
        </w:rPr>
        <w:t>En este sentido, en caso</w:t>
      </w:r>
      <w:r>
        <w:rPr>
          <w:rFonts w:ascii="Arial" w:hAnsi="Arial" w:eastAsia="Calibri" w:cs="Arial"/>
          <w:color w:val="000000" w:themeColor="text1"/>
          <w:sz w:val="22"/>
        </w:rPr>
        <w:t xml:space="preserve"> de</w:t>
      </w:r>
      <w:r w:rsidRPr="00564E86">
        <w:rPr>
          <w:rFonts w:ascii="Arial" w:hAnsi="Arial" w:eastAsia="Calibri" w:cs="Arial"/>
          <w:color w:val="000000" w:themeColor="text1"/>
          <w:sz w:val="22"/>
        </w:rPr>
        <w:t xml:space="preserve"> que el oferente resulte adjudicatario del proce</w:t>
      </w:r>
      <w:r>
        <w:rPr>
          <w:rFonts w:ascii="Arial" w:hAnsi="Arial" w:eastAsia="Calibri" w:cs="Arial"/>
          <w:color w:val="000000" w:themeColor="text1"/>
          <w:sz w:val="22"/>
        </w:rPr>
        <w:t>dimiento de selección</w:t>
      </w:r>
      <w:r w:rsidRPr="00564E86">
        <w:rPr>
          <w:rFonts w:ascii="Arial" w:hAnsi="Arial" w:eastAsia="Calibri" w:cs="Arial"/>
          <w:color w:val="000000" w:themeColor="text1"/>
          <w:sz w:val="22"/>
        </w:rPr>
        <w:t xml:space="preserve">, y en consecuencia celebre el contrato con la </w:t>
      </w:r>
      <w:r>
        <w:rPr>
          <w:rFonts w:ascii="Arial" w:hAnsi="Arial" w:eastAsia="Calibri" w:cs="Arial"/>
          <w:color w:val="000000" w:themeColor="text1"/>
          <w:sz w:val="22"/>
        </w:rPr>
        <w:t>e</w:t>
      </w:r>
      <w:r w:rsidRPr="00564E86">
        <w:rPr>
          <w:rFonts w:ascii="Arial" w:hAnsi="Arial" w:eastAsia="Calibri" w:cs="Arial"/>
          <w:color w:val="000000" w:themeColor="text1"/>
          <w:sz w:val="22"/>
        </w:rPr>
        <w:t xml:space="preserve">ntidad </w:t>
      </w:r>
      <w:r>
        <w:rPr>
          <w:rFonts w:ascii="Arial" w:hAnsi="Arial" w:eastAsia="Calibri" w:cs="Arial"/>
          <w:color w:val="000000" w:themeColor="text1"/>
          <w:sz w:val="22"/>
        </w:rPr>
        <w:t>e</w:t>
      </w:r>
      <w:r w:rsidRPr="00564E86">
        <w:rPr>
          <w:rFonts w:ascii="Arial" w:hAnsi="Arial" w:eastAsia="Calibri" w:cs="Arial"/>
          <w:color w:val="000000" w:themeColor="text1"/>
          <w:sz w:val="22"/>
        </w:rPr>
        <w:t xml:space="preserve">statal, los ofrecimientos realizados en relación con los factores de calidad mencionados se </w:t>
      </w:r>
      <w:r>
        <w:rPr>
          <w:rFonts w:ascii="Arial" w:hAnsi="Arial" w:eastAsia="Calibri" w:cs="Arial"/>
          <w:color w:val="000000" w:themeColor="text1"/>
          <w:sz w:val="22"/>
        </w:rPr>
        <w:t xml:space="preserve">convierten en una obligación contractual y se </w:t>
      </w:r>
      <w:r w:rsidRPr="00564E86">
        <w:rPr>
          <w:rFonts w:ascii="Arial" w:hAnsi="Arial" w:eastAsia="Calibri" w:cs="Arial"/>
          <w:color w:val="000000" w:themeColor="text1"/>
          <w:sz w:val="22"/>
        </w:rPr>
        <w:t xml:space="preserve">deben cumplir, so pena que se impongan </w:t>
      </w:r>
      <w:r>
        <w:rPr>
          <w:rFonts w:ascii="Arial" w:hAnsi="Arial" w:eastAsia="Calibri" w:cs="Arial"/>
          <w:color w:val="000000" w:themeColor="text1"/>
          <w:sz w:val="22"/>
        </w:rPr>
        <w:t xml:space="preserve">las </w:t>
      </w:r>
      <w:r w:rsidRPr="00564E86">
        <w:rPr>
          <w:rFonts w:ascii="Arial" w:hAnsi="Arial" w:eastAsia="Calibri" w:cs="Arial"/>
          <w:color w:val="000000" w:themeColor="text1"/>
          <w:sz w:val="22"/>
        </w:rPr>
        <w:t>sanciones</w:t>
      </w:r>
      <w:r>
        <w:rPr>
          <w:rFonts w:ascii="Arial" w:hAnsi="Arial" w:eastAsia="Calibri" w:cs="Arial"/>
          <w:color w:val="000000" w:themeColor="text1"/>
          <w:sz w:val="22"/>
        </w:rPr>
        <w:t xml:space="preserve"> pactadas en el contrato, como, por ejemplo, la </w:t>
      </w:r>
      <w:r w:rsidRPr="00564E86">
        <w:rPr>
          <w:rFonts w:ascii="Arial" w:hAnsi="Arial" w:eastAsia="Calibri" w:cs="Arial"/>
          <w:color w:val="000000" w:themeColor="text1"/>
          <w:sz w:val="22"/>
        </w:rPr>
        <w:t>multa o</w:t>
      </w:r>
      <w:r>
        <w:rPr>
          <w:rFonts w:ascii="Arial" w:hAnsi="Arial" w:eastAsia="Calibri" w:cs="Arial"/>
          <w:color w:val="000000" w:themeColor="text1"/>
          <w:sz w:val="22"/>
        </w:rPr>
        <w:t xml:space="preserve"> la</w:t>
      </w:r>
      <w:r w:rsidRPr="00564E86">
        <w:rPr>
          <w:rFonts w:ascii="Arial" w:hAnsi="Arial" w:eastAsia="Calibri" w:cs="Arial"/>
          <w:color w:val="000000" w:themeColor="text1"/>
          <w:sz w:val="22"/>
        </w:rPr>
        <w:t xml:space="preserve"> cl</w:t>
      </w:r>
      <w:r>
        <w:rPr>
          <w:rFonts w:ascii="Arial" w:hAnsi="Arial" w:eastAsia="Calibri" w:cs="Arial"/>
          <w:color w:val="000000" w:themeColor="text1"/>
          <w:sz w:val="22"/>
        </w:rPr>
        <w:t>á</w:t>
      </w:r>
      <w:r w:rsidRPr="00564E86">
        <w:rPr>
          <w:rFonts w:ascii="Arial" w:hAnsi="Arial" w:eastAsia="Calibri" w:cs="Arial"/>
          <w:color w:val="000000" w:themeColor="text1"/>
          <w:sz w:val="22"/>
        </w:rPr>
        <w:t xml:space="preserve">usula penal por </w:t>
      </w:r>
      <w:r>
        <w:rPr>
          <w:rFonts w:ascii="Arial" w:hAnsi="Arial" w:eastAsia="Calibri" w:cs="Arial"/>
          <w:color w:val="000000" w:themeColor="text1"/>
          <w:sz w:val="22"/>
        </w:rPr>
        <w:t>este</w:t>
      </w:r>
      <w:r w:rsidRPr="00564E86">
        <w:rPr>
          <w:rFonts w:ascii="Arial" w:hAnsi="Arial" w:eastAsia="Calibri" w:cs="Arial"/>
          <w:color w:val="000000" w:themeColor="text1"/>
          <w:sz w:val="22"/>
        </w:rPr>
        <w:t xml:space="preserve"> incumplimiento. </w:t>
      </w:r>
    </w:p>
    <w:p w:rsidRPr="00564E86" w:rsidR="000A6BCB" w:rsidP="000A6BCB" w:rsidRDefault="000A6BCB" w14:paraId="16688004" w14:textId="77777777">
      <w:pPr>
        <w:tabs>
          <w:tab w:val="left" w:pos="709"/>
          <w:tab w:val="left" w:pos="7938"/>
        </w:tabs>
        <w:spacing w:before="120" w:line="276" w:lineRule="auto"/>
        <w:jc w:val="both"/>
        <w:rPr>
          <w:rFonts w:ascii="Arial" w:hAnsi="Arial" w:eastAsia="Calibri" w:cs="Arial"/>
          <w:color w:val="000000" w:themeColor="text1"/>
          <w:sz w:val="22"/>
        </w:rPr>
      </w:pPr>
      <w:r w:rsidRPr="00564E86">
        <w:rPr>
          <w:rFonts w:ascii="Arial" w:hAnsi="Arial" w:eastAsia="Calibri" w:cs="Arial"/>
          <w:color w:val="000000" w:themeColor="text1"/>
          <w:sz w:val="22"/>
        </w:rPr>
        <w:lastRenderedPageBreak/>
        <w:tab/>
      </w:r>
      <w:r w:rsidRPr="00564E86">
        <w:rPr>
          <w:rFonts w:ascii="Arial" w:hAnsi="Arial" w:eastAsia="Calibri" w:cs="Arial"/>
          <w:color w:val="000000" w:themeColor="text1"/>
          <w:sz w:val="22"/>
        </w:rPr>
        <w:t xml:space="preserve">De este modo, la </w:t>
      </w:r>
      <w:r>
        <w:rPr>
          <w:rFonts w:ascii="Arial" w:hAnsi="Arial" w:eastAsia="Calibri" w:cs="Arial"/>
          <w:color w:val="000000" w:themeColor="text1"/>
          <w:sz w:val="22"/>
        </w:rPr>
        <w:t>e</w:t>
      </w:r>
      <w:r w:rsidRPr="00564E86">
        <w:rPr>
          <w:rFonts w:ascii="Arial" w:hAnsi="Arial" w:eastAsia="Calibri" w:cs="Arial"/>
          <w:color w:val="000000" w:themeColor="text1"/>
          <w:sz w:val="22"/>
        </w:rPr>
        <w:t xml:space="preserve">ntidad en el «Anexo 5 – Minuta del Contrato» determina el valor de la multa en el evento que se incumplan los ofrecimientos realizados en el factor de calidad. La imposición de multas tiene fundamento </w:t>
      </w:r>
      <w:r>
        <w:rPr>
          <w:rFonts w:ascii="Arial" w:hAnsi="Arial" w:eastAsia="Calibri" w:cs="Arial"/>
          <w:color w:val="000000" w:themeColor="text1"/>
          <w:sz w:val="22"/>
        </w:rPr>
        <w:t xml:space="preserve">en </w:t>
      </w:r>
      <w:r w:rsidRPr="00564E86">
        <w:rPr>
          <w:rFonts w:ascii="Arial" w:hAnsi="Arial" w:eastAsia="Calibri" w:cs="Arial"/>
          <w:color w:val="000000" w:themeColor="text1"/>
          <w:sz w:val="22"/>
        </w:rPr>
        <w:t>el artículo 1602 del Código Civil al señalar que todo contrato legalmente celebrado es ley para los contratantes y no puede ser invalidado sino por su consentimiento mutuo o por causas legales</w:t>
      </w:r>
      <w:r w:rsidRPr="00564E86">
        <w:rPr>
          <w:rStyle w:val="Refdenotaalpie"/>
          <w:rFonts w:ascii="Arial" w:hAnsi="Arial" w:eastAsia="Calibri" w:cs="Arial"/>
          <w:color w:val="000000" w:themeColor="text1"/>
          <w:sz w:val="22"/>
        </w:rPr>
        <w:footnoteReference w:id="6"/>
      </w:r>
      <w:r w:rsidRPr="00564E86">
        <w:rPr>
          <w:rFonts w:ascii="Arial" w:hAnsi="Arial" w:eastAsia="Calibri" w:cs="Arial"/>
          <w:color w:val="000000" w:themeColor="text1"/>
          <w:sz w:val="22"/>
        </w:rPr>
        <w:t xml:space="preserve">. En este sentido, si el oferente realiza un ofrecimiento en el «Factor de </w:t>
      </w:r>
      <w:r>
        <w:rPr>
          <w:rFonts w:ascii="Arial" w:hAnsi="Arial" w:eastAsia="Calibri" w:cs="Arial"/>
          <w:color w:val="000000" w:themeColor="text1"/>
          <w:sz w:val="22"/>
        </w:rPr>
        <w:t>c</w:t>
      </w:r>
      <w:r w:rsidRPr="00564E86">
        <w:rPr>
          <w:rFonts w:ascii="Arial" w:hAnsi="Arial" w:eastAsia="Calibri" w:cs="Arial"/>
          <w:color w:val="000000" w:themeColor="text1"/>
          <w:sz w:val="22"/>
        </w:rPr>
        <w:t xml:space="preserve">alidad» y resulta adjudicatario del </w:t>
      </w:r>
      <w:r>
        <w:rPr>
          <w:rFonts w:ascii="Arial" w:hAnsi="Arial" w:eastAsia="Calibri" w:cs="Arial"/>
          <w:color w:val="000000" w:themeColor="text1"/>
          <w:sz w:val="22"/>
        </w:rPr>
        <w:t>p</w:t>
      </w:r>
      <w:r w:rsidRPr="00564E86">
        <w:rPr>
          <w:rFonts w:ascii="Arial" w:hAnsi="Arial" w:eastAsia="Calibri" w:cs="Arial"/>
          <w:color w:val="000000" w:themeColor="text1"/>
          <w:sz w:val="22"/>
        </w:rPr>
        <w:t>roce</w:t>
      </w:r>
      <w:r>
        <w:rPr>
          <w:rFonts w:ascii="Arial" w:hAnsi="Arial" w:eastAsia="Calibri" w:cs="Arial"/>
          <w:color w:val="000000" w:themeColor="text1"/>
          <w:sz w:val="22"/>
        </w:rPr>
        <w:t>dimiento</w:t>
      </w:r>
      <w:r w:rsidRPr="00564E86">
        <w:rPr>
          <w:rFonts w:ascii="Arial" w:hAnsi="Arial" w:eastAsia="Calibri" w:cs="Arial"/>
          <w:color w:val="000000" w:themeColor="text1"/>
          <w:sz w:val="22"/>
        </w:rPr>
        <w:t xml:space="preserve"> de </w:t>
      </w:r>
      <w:r>
        <w:rPr>
          <w:rFonts w:ascii="Arial" w:hAnsi="Arial" w:eastAsia="Calibri" w:cs="Arial"/>
          <w:color w:val="000000" w:themeColor="text1"/>
          <w:sz w:val="22"/>
        </w:rPr>
        <w:t>c</w:t>
      </w:r>
      <w:r w:rsidRPr="00564E86">
        <w:rPr>
          <w:rFonts w:ascii="Arial" w:hAnsi="Arial" w:eastAsia="Calibri" w:cs="Arial"/>
          <w:color w:val="000000" w:themeColor="text1"/>
          <w:sz w:val="22"/>
        </w:rPr>
        <w:t xml:space="preserve">ontratación, su ofrecimiento se convierte en ley para las partes y por lo tanto es de obligatorio cumplimiento. </w:t>
      </w:r>
    </w:p>
    <w:p w:rsidRPr="00564E86" w:rsidR="000A6BCB" w:rsidP="000A6BCB" w:rsidRDefault="000A6BCB" w14:paraId="4203E129" w14:textId="77777777">
      <w:pPr>
        <w:tabs>
          <w:tab w:val="left" w:pos="709"/>
          <w:tab w:val="left" w:pos="7938"/>
        </w:tabs>
        <w:spacing w:before="120" w:line="276" w:lineRule="auto"/>
        <w:jc w:val="both"/>
        <w:rPr>
          <w:rFonts w:ascii="Arial" w:hAnsi="Arial" w:eastAsia="Calibri" w:cs="Arial"/>
          <w:color w:val="000000" w:themeColor="text1"/>
          <w:sz w:val="22"/>
        </w:rPr>
      </w:pPr>
      <w:r w:rsidRPr="00564E86">
        <w:rPr>
          <w:rFonts w:ascii="Arial" w:hAnsi="Arial" w:eastAsia="Calibri" w:cs="Arial"/>
          <w:color w:val="000000" w:themeColor="text1"/>
          <w:sz w:val="22"/>
        </w:rPr>
        <w:tab/>
      </w:r>
      <w:r w:rsidRPr="00564E86">
        <w:rPr>
          <w:rFonts w:ascii="Arial" w:hAnsi="Arial" w:eastAsia="Calibri" w:cs="Arial"/>
          <w:color w:val="000000" w:themeColor="text1"/>
          <w:sz w:val="22"/>
        </w:rPr>
        <w:t>Asimismo, el artículo 1603 del Código Civil indica que los contratos deben ejecutarse de buena fe y</w:t>
      </w:r>
      <w:r>
        <w:rPr>
          <w:rFonts w:ascii="Arial" w:hAnsi="Arial" w:eastAsia="Calibri" w:cs="Arial"/>
          <w:color w:val="000000" w:themeColor="text1"/>
          <w:sz w:val="22"/>
        </w:rPr>
        <w:t>,</w:t>
      </w:r>
      <w:r w:rsidRPr="00564E86">
        <w:rPr>
          <w:rFonts w:ascii="Arial" w:hAnsi="Arial" w:eastAsia="Calibri" w:cs="Arial"/>
          <w:color w:val="000000" w:themeColor="text1"/>
          <w:sz w:val="22"/>
        </w:rPr>
        <w:t xml:space="preserve"> por consiguiente</w:t>
      </w:r>
      <w:r>
        <w:rPr>
          <w:rFonts w:ascii="Arial" w:hAnsi="Arial" w:eastAsia="Calibri" w:cs="Arial"/>
          <w:color w:val="000000" w:themeColor="text1"/>
          <w:sz w:val="22"/>
        </w:rPr>
        <w:t>,</w:t>
      </w:r>
      <w:r w:rsidRPr="00564E86">
        <w:rPr>
          <w:rFonts w:ascii="Arial" w:hAnsi="Arial" w:eastAsia="Calibri" w:cs="Arial"/>
          <w:color w:val="000000" w:themeColor="text1"/>
          <w:sz w:val="22"/>
        </w:rPr>
        <w:t xml:space="preserve"> obligan no s</w:t>
      </w:r>
      <w:r>
        <w:rPr>
          <w:rFonts w:ascii="Arial" w:hAnsi="Arial" w:eastAsia="Calibri" w:cs="Arial"/>
          <w:color w:val="000000" w:themeColor="text1"/>
          <w:sz w:val="22"/>
        </w:rPr>
        <w:t>o</w:t>
      </w:r>
      <w:r w:rsidRPr="00564E86">
        <w:rPr>
          <w:rFonts w:ascii="Arial" w:hAnsi="Arial" w:eastAsia="Calibri" w:cs="Arial"/>
          <w:color w:val="000000" w:themeColor="text1"/>
          <w:sz w:val="22"/>
        </w:rPr>
        <w:t xml:space="preserve">lo a lo que en ellos se expresa, sino a todas cosas que emanan de la naturaleza de la obligación, o que por la ley pertenecen a ella. Es así como </w:t>
      </w:r>
      <w:r>
        <w:rPr>
          <w:rFonts w:ascii="Arial" w:hAnsi="Arial" w:eastAsia="Calibri" w:cs="Arial"/>
          <w:color w:val="000000" w:themeColor="text1"/>
          <w:sz w:val="22"/>
        </w:rPr>
        <w:t>los</w:t>
      </w:r>
      <w:r w:rsidRPr="00564E86">
        <w:rPr>
          <w:rFonts w:ascii="Arial" w:hAnsi="Arial" w:eastAsia="Calibri" w:cs="Arial"/>
          <w:color w:val="000000" w:themeColor="text1"/>
          <w:sz w:val="22"/>
        </w:rPr>
        <w:t xml:space="preserve"> </w:t>
      </w:r>
      <w:r>
        <w:rPr>
          <w:rFonts w:ascii="Arial" w:hAnsi="Arial" w:eastAsia="Calibri" w:cs="Arial"/>
          <w:color w:val="000000" w:themeColor="text1"/>
          <w:sz w:val="22"/>
        </w:rPr>
        <w:t>proponentes –futuros contratistas–</w:t>
      </w:r>
      <w:r w:rsidRPr="00564E86">
        <w:rPr>
          <w:rFonts w:ascii="Arial" w:hAnsi="Arial" w:eastAsia="Calibri" w:cs="Arial"/>
          <w:color w:val="000000" w:themeColor="text1"/>
          <w:sz w:val="22"/>
        </w:rPr>
        <w:t xml:space="preserve"> al comprometerse </w:t>
      </w:r>
      <w:r>
        <w:rPr>
          <w:rFonts w:ascii="Arial" w:hAnsi="Arial" w:eastAsia="Calibri" w:cs="Arial"/>
          <w:color w:val="000000" w:themeColor="text1"/>
          <w:sz w:val="22"/>
        </w:rPr>
        <w:t>con</w:t>
      </w:r>
      <w:r w:rsidRPr="00564E86">
        <w:rPr>
          <w:rFonts w:ascii="Arial" w:hAnsi="Arial" w:eastAsia="Calibri" w:cs="Arial"/>
          <w:color w:val="000000" w:themeColor="text1"/>
          <w:sz w:val="22"/>
        </w:rPr>
        <w:t xml:space="preserve"> su oferta a otorgar</w:t>
      </w:r>
      <w:r>
        <w:rPr>
          <w:rFonts w:ascii="Arial" w:hAnsi="Arial" w:eastAsia="Calibri" w:cs="Arial"/>
          <w:color w:val="000000" w:themeColor="text1"/>
          <w:sz w:val="22"/>
        </w:rPr>
        <w:t xml:space="preserve"> una</w:t>
      </w:r>
      <w:r w:rsidRPr="00564E86">
        <w:rPr>
          <w:rFonts w:ascii="Arial" w:hAnsi="Arial" w:eastAsia="Calibri" w:cs="Arial"/>
          <w:color w:val="000000" w:themeColor="text1"/>
          <w:sz w:val="22"/>
        </w:rPr>
        <w:t xml:space="preserve"> garantía </w:t>
      </w:r>
      <w:r>
        <w:rPr>
          <w:rFonts w:ascii="Arial" w:hAnsi="Arial" w:eastAsia="Calibri" w:cs="Arial"/>
          <w:color w:val="000000" w:themeColor="text1"/>
          <w:sz w:val="22"/>
        </w:rPr>
        <w:t xml:space="preserve">por un tiempo </w:t>
      </w:r>
      <w:r w:rsidRPr="00564E86">
        <w:rPr>
          <w:rFonts w:ascii="Arial" w:hAnsi="Arial" w:eastAsia="Calibri" w:cs="Arial"/>
          <w:color w:val="000000" w:themeColor="text1"/>
          <w:sz w:val="22"/>
        </w:rPr>
        <w:t xml:space="preserve">adicional, </w:t>
      </w:r>
      <w:r>
        <w:rPr>
          <w:rFonts w:ascii="Arial" w:hAnsi="Arial" w:eastAsia="Calibri" w:cs="Arial"/>
          <w:color w:val="000000" w:themeColor="text1"/>
          <w:sz w:val="22"/>
        </w:rPr>
        <w:t>destinar a la ejecución del contrato un</w:t>
      </w:r>
      <w:r w:rsidRPr="00564E86">
        <w:rPr>
          <w:rFonts w:ascii="Arial" w:hAnsi="Arial" w:eastAsia="Calibri" w:cs="Arial"/>
          <w:color w:val="000000" w:themeColor="text1"/>
          <w:sz w:val="22"/>
        </w:rPr>
        <w:t xml:space="preserve"> número de cuadrillas de trabajo adicional</w:t>
      </w:r>
      <w:r>
        <w:rPr>
          <w:rFonts w:ascii="Arial" w:hAnsi="Arial" w:eastAsia="Calibri" w:cs="Arial"/>
          <w:color w:val="000000" w:themeColor="text1"/>
          <w:sz w:val="22"/>
        </w:rPr>
        <w:t xml:space="preserve"> o realizar un mantenimiento adicional,</w:t>
      </w:r>
      <w:r w:rsidRPr="00564E86">
        <w:rPr>
          <w:rFonts w:ascii="Arial" w:hAnsi="Arial" w:eastAsia="Calibri" w:cs="Arial"/>
          <w:color w:val="000000" w:themeColor="text1"/>
          <w:sz w:val="22"/>
        </w:rPr>
        <w:t xml:space="preserve"> </w:t>
      </w:r>
      <w:r>
        <w:rPr>
          <w:rFonts w:ascii="Arial" w:hAnsi="Arial" w:eastAsia="Calibri" w:cs="Arial"/>
          <w:color w:val="000000" w:themeColor="text1"/>
          <w:sz w:val="22"/>
        </w:rPr>
        <w:t>adquieren obligaciones adicionales</w:t>
      </w:r>
      <w:r w:rsidRPr="00564E86">
        <w:rPr>
          <w:rFonts w:ascii="Arial" w:hAnsi="Arial" w:eastAsia="Calibri" w:cs="Arial"/>
          <w:color w:val="000000" w:themeColor="text1"/>
          <w:sz w:val="22"/>
        </w:rPr>
        <w:t xml:space="preserve"> que se debe </w:t>
      </w:r>
      <w:r>
        <w:rPr>
          <w:rFonts w:ascii="Arial" w:hAnsi="Arial" w:eastAsia="Calibri" w:cs="Arial"/>
          <w:color w:val="000000" w:themeColor="text1"/>
          <w:sz w:val="22"/>
        </w:rPr>
        <w:t>cumplir</w:t>
      </w:r>
      <w:r w:rsidRPr="00564E86">
        <w:rPr>
          <w:rFonts w:ascii="Arial" w:hAnsi="Arial" w:eastAsia="Calibri" w:cs="Arial"/>
          <w:color w:val="000000" w:themeColor="text1"/>
          <w:sz w:val="22"/>
        </w:rPr>
        <w:t xml:space="preserve"> </w:t>
      </w:r>
      <w:r>
        <w:rPr>
          <w:rFonts w:ascii="Arial" w:hAnsi="Arial" w:eastAsia="Calibri" w:cs="Arial"/>
          <w:color w:val="000000" w:themeColor="text1"/>
          <w:sz w:val="22"/>
        </w:rPr>
        <w:t>en la ejecución del contrato ajustada a la</w:t>
      </w:r>
      <w:r w:rsidRPr="00564E86">
        <w:rPr>
          <w:rFonts w:ascii="Arial" w:hAnsi="Arial" w:eastAsia="Calibri" w:cs="Arial"/>
          <w:color w:val="000000" w:themeColor="text1"/>
          <w:sz w:val="22"/>
        </w:rPr>
        <w:t xml:space="preserve"> buena fe</w:t>
      </w:r>
      <w:r w:rsidRPr="00564E86">
        <w:rPr>
          <w:rStyle w:val="Refdenotaalpie"/>
          <w:rFonts w:ascii="Arial" w:hAnsi="Arial" w:eastAsia="Calibri" w:cs="Arial"/>
          <w:color w:val="000000" w:themeColor="text1"/>
          <w:sz w:val="22"/>
        </w:rPr>
        <w:footnoteReference w:id="7"/>
      </w:r>
      <w:r w:rsidRPr="00564E86">
        <w:rPr>
          <w:rFonts w:ascii="Arial" w:hAnsi="Arial" w:eastAsia="Calibri" w:cs="Arial"/>
          <w:color w:val="000000" w:themeColor="text1"/>
          <w:sz w:val="22"/>
        </w:rPr>
        <w:t xml:space="preserve">. </w:t>
      </w:r>
    </w:p>
    <w:p w:rsidRPr="00564E86" w:rsidR="000A6BCB" w:rsidP="000A6BCB" w:rsidRDefault="000A6BCB" w14:paraId="29E1B537" w14:textId="77777777">
      <w:pPr>
        <w:tabs>
          <w:tab w:val="left" w:pos="426"/>
        </w:tabs>
        <w:spacing w:before="120" w:line="276" w:lineRule="auto"/>
        <w:jc w:val="both"/>
        <w:rPr>
          <w:rFonts w:ascii="Arial" w:hAnsi="Arial" w:eastAsia="Calibri" w:cs="Arial"/>
          <w:color w:val="000000" w:themeColor="text1"/>
          <w:sz w:val="22"/>
        </w:rPr>
      </w:pPr>
      <w:r w:rsidRPr="00564E86">
        <w:rPr>
          <w:rFonts w:ascii="Arial" w:hAnsi="Arial" w:eastAsia="Calibri" w:cs="Arial"/>
          <w:color w:val="000000" w:themeColor="text1"/>
          <w:sz w:val="22"/>
        </w:rPr>
        <w:tab/>
      </w:r>
      <w:r w:rsidRPr="00564E86">
        <w:rPr>
          <w:rFonts w:ascii="Arial" w:hAnsi="Arial" w:eastAsia="Calibri" w:cs="Arial"/>
          <w:color w:val="000000" w:themeColor="text1"/>
          <w:sz w:val="22"/>
        </w:rPr>
        <w:tab/>
      </w:r>
      <w:r w:rsidRPr="00564E86">
        <w:rPr>
          <w:rFonts w:ascii="Arial" w:hAnsi="Arial" w:eastAsia="Calibri" w:cs="Arial"/>
          <w:color w:val="000000" w:themeColor="text1"/>
          <w:sz w:val="22"/>
        </w:rPr>
        <w:t xml:space="preserve">Conforme a lo anterior, el oferente tiene la libertad y autonomía de ofrecer el número de meses de garantía adicional, el número de cuadrillas de trabajo adicional, o finalmente, definir el término por el cual realiza las labores de mantenimiento rutinario de acuerdo con sus capacidades. Es decir, el Documento Tipo no limita los ofrecimientos realizados por el oferente. No obstante, en el evento que resulte adjudicatario del </w:t>
      </w:r>
      <w:r>
        <w:rPr>
          <w:rFonts w:ascii="Arial" w:hAnsi="Arial" w:eastAsia="Calibri" w:cs="Arial"/>
          <w:color w:val="000000" w:themeColor="text1"/>
          <w:sz w:val="22"/>
        </w:rPr>
        <w:t>p</w:t>
      </w:r>
      <w:r w:rsidRPr="00564E86">
        <w:rPr>
          <w:rFonts w:ascii="Arial" w:hAnsi="Arial" w:eastAsia="Calibri" w:cs="Arial"/>
          <w:color w:val="000000" w:themeColor="text1"/>
          <w:sz w:val="22"/>
        </w:rPr>
        <w:t xml:space="preserve">roceso de </w:t>
      </w:r>
      <w:r>
        <w:rPr>
          <w:rFonts w:ascii="Arial" w:hAnsi="Arial" w:eastAsia="Calibri" w:cs="Arial"/>
          <w:color w:val="000000" w:themeColor="text1"/>
          <w:sz w:val="22"/>
        </w:rPr>
        <w:t>c</w:t>
      </w:r>
      <w:r w:rsidRPr="00564E86">
        <w:rPr>
          <w:rFonts w:ascii="Arial" w:hAnsi="Arial" w:eastAsia="Calibri" w:cs="Arial"/>
          <w:color w:val="000000" w:themeColor="text1"/>
          <w:sz w:val="22"/>
        </w:rPr>
        <w:t xml:space="preserve">ontratación, el compromiso del factor de calidad se convierte en una obligación contractual que es de obligatorio cumplimiento, so pena </w:t>
      </w:r>
      <w:r>
        <w:rPr>
          <w:rFonts w:ascii="Arial" w:hAnsi="Arial" w:eastAsia="Calibri" w:cs="Arial"/>
          <w:color w:val="000000" w:themeColor="text1"/>
          <w:sz w:val="22"/>
        </w:rPr>
        <w:t>de activarse las consecuencias asociadas al incumplimiento, incluyendo el uso de facultades sancionatorias de las entidades estatales.</w:t>
      </w:r>
    </w:p>
    <w:p w:rsidRPr="00564E86" w:rsidR="000A6BCB" w:rsidP="000A6BCB" w:rsidRDefault="000A6BCB" w14:paraId="52F1D838" w14:textId="77777777">
      <w:pPr>
        <w:tabs>
          <w:tab w:val="left" w:pos="426"/>
        </w:tabs>
        <w:spacing w:before="120" w:line="276" w:lineRule="auto"/>
        <w:jc w:val="both"/>
        <w:rPr>
          <w:rFonts w:ascii="Arial" w:hAnsi="Arial" w:eastAsia="Calibri" w:cs="Arial"/>
          <w:color w:val="000000" w:themeColor="text1"/>
          <w:sz w:val="22"/>
        </w:rPr>
      </w:pPr>
      <w:r w:rsidRPr="00564E86">
        <w:rPr>
          <w:rFonts w:ascii="Arial" w:hAnsi="Arial" w:eastAsia="Calibri" w:cs="Arial"/>
          <w:color w:val="000000" w:themeColor="text1"/>
          <w:sz w:val="22"/>
        </w:rPr>
        <w:tab/>
      </w:r>
      <w:r w:rsidRPr="00564E86">
        <w:rPr>
          <w:rFonts w:ascii="Arial" w:hAnsi="Arial" w:eastAsia="Calibri" w:cs="Arial"/>
          <w:color w:val="000000" w:themeColor="text1"/>
          <w:sz w:val="22"/>
        </w:rPr>
        <w:tab/>
      </w:r>
      <w:r w:rsidRPr="00564E86">
        <w:rPr>
          <w:rFonts w:ascii="Arial" w:hAnsi="Arial" w:eastAsia="Calibri" w:cs="Arial"/>
          <w:color w:val="000000" w:themeColor="text1"/>
          <w:sz w:val="22"/>
        </w:rPr>
        <w:t>Por otro lado, es importante señalar que la Agencia Nacional de Contratación Pública – C</w:t>
      </w:r>
      <w:r>
        <w:rPr>
          <w:rFonts w:ascii="Arial" w:hAnsi="Arial" w:eastAsia="Calibri" w:cs="Arial"/>
          <w:color w:val="000000" w:themeColor="text1"/>
          <w:sz w:val="22"/>
        </w:rPr>
        <w:t>olombia Compra Eficiente</w:t>
      </w:r>
      <w:r w:rsidRPr="00564E86">
        <w:rPr>
          <w:rFonts w:ascii="Arial" w:hAnsi="Arial" w:eastAsia="Calibri" w:cs="Arial"/>
          <w:color w:val="000000" w:themeColor="text1"/>
          <w:sz w:val="22"/>
        </w:rPr>
        <w:t xml:space="preserve"> expidió la Resolución No. 080 de 2020, a través de la cual suspende los numerales 3.6 – Visita al sitio de la obra y 4.2.4 – Garantías suplementarias o adicionales, de los Documentos Tipo de </w:t>
      </w:r>
      <w:r>
        <w:rPr>
          <w:rFonts w:ascii="Arial" w:hAnsi="Arial" w:eastAsia="Calibri" w:cs="Arial"/>
          <w:color w:val="000000" w:themeColor="text1"/>
          <w:sz w:val="22"/>
        </w:rPr>
        <w:t>l</w:t>
      </w:r>
      <w:r w:rsidRPr="00564E86">
        <w:rPr>
          <w:rFonts w:ascii="Arial" w:hAnsi="Arial" w:eastAsia="Calibri" w:cs="Arial"/>
          <w:color w:val="000000" w:themeColor="text1"/>
          <w:sz w:val="22"/>
        </w:rPr>
        <w:t xml:space="preserve">icitación de obra pública de infraestructura de </w:t>
      </w:r>
      <w:r>
        <w:rPr>
          <w:rFonts w:ascii="Arial" w:hAnsi="Arial" w:eastAsia="Calibri" w:cs="Arial"/>
          <w:color w:val="000000" w:themeColor="text1"/>
          <w:sz w:val="22"/>
        </w:rPr>
        <w:t>t</w:t>
      </w:r>
      <w:r w:rsidRPr="00564E86">
        <w:rPr>
          <w:rFonts w:ascii="Arial" w:hAnsi="Arial" w:eastAsia="Calibri" w:cs="Arial"/>
          <w:color w:val="000000" w:themeColor="text1"/>
          <w:sz w:val="22"/>
        </w:rPr>
        <w:t xml:space="preserve">ransporte – Versión 2 y de </w:t>
      </w:r>
      <w:r>
        <w:rPr>
          <w:rFonts w:ascii="Arial" w:hAnsi="Arial" w:eastAsia="Calibri" w:cs="Arial"/>
          <w:color w:val="000000" w:themeColor="text1"/>
          <w:sz w:val="22"/>
        </w:rPr>
        <w:t>s</w:t>
      </w:r>
      <w:r w:rsidRPr="00564E86">
        <w:rPr>
          <w:rFonts w:ascii="Arial" w:hAnsi="Arial" w:eastAsia="Calibri" w:cs="Arial"/>
          <w:color w:val="000000" w:themeColor="text1"/>
          <w:sz w:val="22"/>
        </w:rPr>
        <w:t xml:space="preserve">elección </w:t>
      </w:r>
      <w:r>
        <w:rPr>
          <w:rFonts w:ascii="Arial" w:hAnsi="Arial" w:eastAsia="Calibri" w:cs="Arial"/>
          <w:color w:val="000000" w:themeColor="text1"/>
          <w:sz w:val="22"/>
        </w:rPr>
        <w:t>a</w:t>
      </w:r>
      <w:r w:rsidRPr="00564E86">
        <w:rPr>
          <w:rFonts w:ascii="Arial" w:hAnsi="Arial" w:eastAsia="Calibri" w:cs="Arial"/>
          <w:color w:val="000000" w:themeColor="text1"/>
          <w:sz w:val="22"/>
        </w:rPr>
        <w:t xml:space="preserve">breviada de menor cuantía de infraestructura de </w:t>
      </w:r>
      <w:r>
        <w:rPr>
          <w:rFonts w:ascii="Arial" w:hAnsi="Arial" w:eastAsia="Calibri" w:cs="Arial"/>
          <w:color w:val="000000" w:themeColor="text1"/>
          <w:sz w:val="22"/>
        </w:rPr>
        <w:t>t</w:t>
      </w:r>
      <w:r w:rsidRPr="00564E86">
        <w:rPr>
          <w:rFonts w:ascii="Arial" w:hAnsi="Arial" w:eastAsia="Calibri" w:cs="Arial"/>
          <w:color w:val="000000" w:themeColor="text1"/>
          <w:sz w:val="22"/>
        </w:rPr>
        <w:t>ransporte</w:t>
      </w:r>
      <w:r>
        <w:rPr>
          <w:rFonts w:ascii="Arial" w:hAnsi="Arial" w:eastAsia="Calibri" w:cs="Arial"/>
          <w:color w:val="000000" w:themeColor="text1"/>
          <w:sz w:val="22"/>
        </w:rPr>
        <w:t>,</w:t>
      </w:r>
      <w:r w:rsidRPr="00564E86">
        <w:rPr>
          <w:rFonts w:ascii="Arial" w:hAnsi="Arial" w:eastAsia="Calibri" w:cs="Arial"/>
          <w:color w:val="000000" w:themeColor="text1"/>
          <w:sz w:val="22"/>
        </w:rPr>
        <w:t xml:space="preserve"> mientras el Presidente de la República conserva la medida de aislamiento preventivo obligatorio, sin perjuicio del estudio económico que pueda hacer la Agencia Nacional de Contratación Pública al impacto negativo que sufra el </w:t>
      </w:r>
      <w:r w:rsidRPr="00564E86">
        <w:rPr>
          <w:rFonts w:ascii="Arial" w:hAnsi="Arial" w:eastAsia="Calibri" w:cs="Arial"/>
          <w:color w:val="000000" w:themeColor="text1"/>
          <w:sz w:val="22"/>
        </w:rPr>
        <w:lastRenderedPageBreak/>
        <w:t>mercado de obras de infraestructura, para extender esta medida más allá de la declaratoria de</w:t>
      </w:r>
      <w:r>
        <w:rPr>
          <w:rFonts w:ascii="Arial" w:hAnsi="Arial" w:eastAsia="Calibri" w:cs="Arial"/>
          <w:color w:val="000000" w:themeColor="text1"/>
          <w:sz w:val="22"/>
        </w:rPr>
        <w:t xml:space="preserve"> la</w:t>
      </w:r>
      <w:r w:rsidRPr="00564E86">
        <w:rPr>
          <w:rFonts w:ascii="Arial" w:hAnsi="Arial" w:eastAsia="Calibri" w:cs="Arial"/>
          <w:color w:val="000000" w:themeColor="text1"/>
          <w:sz w:val="22"/>
        </w:rPr>
        <w:t xml:space="preserve"> pandemia. </w:t>
      </w:r>
    </w:p>
    <w:p w:rsidR="000A6BCB" w:rsidP="000A6BCB" w:rsidRDefault="000A6BCB" w14:paraId="2300C2FF" w14:textId="77777777">
      <w:pPr>
        <w:tabs>
          <w:tab w:val="left" w:pos="426"/>
        </w:tabs>
        <w:spacing w:before="120" w:after="120" w:line="276" w:lineRule="auto"/>
        <w:jc w:val="both"/>
        <w:rPr>
          <w:rFonts w:ascii="Arial" w:hAnsi="Arial" w:eastAsia="Calibri" w:cs="Arial"/>
          <w:color w:val="000000" w:themeColor="text1"/>
          <w:sz w:val="22"/>
        </w:rPr>
      </w:pPr>
      <w:r w:rsidRPr="00564E86">
        <w:rPr>
          <w:rFonts w:ascii="Arial" w:hAnsi="Arial" w:eastAsia="Calibri" w:cs="Arial"/>
          <w:color w:val="000000" w:themeColor="text1"/>
          <w:sz w:val="22"/>
        </w:rPr>
        <w:tab/>
      </w:r>
      <w:r w:rsidRPr="00564E86">
        <w:rPr>
          <w:rFonts w:ascii="Arial" w:hAnsi="Arial" w:eastAsia="Calibri" w:cs="Arial"/>
          <w:color w:val="000000" w:themeColor="text1"/>
          <w:sz w:val="22"/>
        </w:rPr>
        <w:tab/>
      </w:r>
      <w:r w:rsidRPr="00564E86">
        <w:rPr>
          <w:rFonts w:ascii="Arial" w:hAnsi="Arial" w:eastAsia="Calibri" w:cs="Arial"/>
          <w:color w:val="000000" w:themeColor="text1"/>
          <w:sz w:val="22"/>
        </w:rPr>
        <w:t xml:space="preserve">Esta resolución se expide con motivo a la pandemia del Coronavirus que está enfrentando el país estos últimos meses, y por la restricción de los desplazamientos aéreos y terrestres, generándose así mayores costos y dificultades para las micro, pequeñas, medianas y grandes empresas de construcción de infraestructura. En este orden de ideas, las </w:t>
      </w:r>
      <w:r>
        <w:rPr>
          <w:rFonts w:ascii="Arial" w:hAnsi="Arial" w:eastAsia="Calibri" w:cs="Arial"/>
          <w:color w:val="000000" w:themeColor="text1"/>
          <w:sz w:val="22"/>
        </w:rPr>
        <w:t>e</w:t>
      </w:r>
      <w:r w:rsidRPr="00564E86">
        <w:rPr>
          <w:rFonts w:ascii="Arial" w:hAnsi="Arial" w:eastAsia="Calibri" w:cs="Arial"/>
          <w:color w:val="000000" w:themeColor="text1"/>
          <w:sz w:val="22"/>
        </w:rPr>
        <w:t xml:space="preserve">ntidades no podrán exigir </w:t>
      </w:r>
      <w:r>
        <w:rPr>
          <w:rFonts w:ascii="Arial" w:hAnsi="Arial" w:eastAsia="Calibri" w:cs="Arial"/>
          <w:color w:val="000000" w:themeColor="text1"/>
          <w:sz w:val="22"/>
        </w:rPr>
        <w:t>el factor de calidad de «garantía suplementaria o adicional»</w:t>
      </w:r>
      <w:r w:rsidRPr="00564E86">
        <w:rPr>
          <w:rFonts w:ascii="Arial" w:hAnsi="Arial" w:eastAsia="Calibri" w:cs="Arial"/>
          <w:color w:val="000000" w:themeColor="text1"/>
          <w:sz w:val="22"/>
        </w:rPr>
        <w:t xml:space="preserve"> en los </w:t>
      </w:r>
      <w:r>
        <w:rPr>
          <w:rFonts w:ascii="Arial" w:hAnsi="Arial" w:eastAsia="Calibri" w:cs="Arial"/>
          <w:color w:val="000000" w:themeColor="text1"/>
          <w:sz w:val="22"/>
        </w:rPr>
        <w:t>p</w:t>
      </w:r>
      <w:r w:rsidRPr="00564E86">
        <w:rPr>
          <w:rFonts w:ascii="Arial" w:hAnsi="Arial" w:eastAsia="Calibri" w:cs="Arial"/>
          <w:color w:val="000000" w:themeColor="text1"/>
          <w:sz w:val="22"/>
        </w:rPr>
        <w:t xml:space="preserve">rocesos de </w:t>
      </w:r>
      <w:r>
        <w:rPr>
          <w:rFonts w:ascii="Arial" w:hAnsi="Arial" w:eastAsia="Calibri" w:cs="Arial"/>
          <w:color w:val="000000" w:themeColor="text1"/>
          <w:sz w:val="22"/>
        </w:rPr>
        <w:t>c</w:t>
      </w:r>
      <w:r w:rsidRPr="00564E86">
        <w:rPr>
          <w:rFonts w:ascii="Arial" w:hAnsi="Arial" w:eastAsia="Calibri" w:cs="Arial"/>
          <w:color w:val="000000" w:themeColor="text1"/>
          <w:sz w:val="22"/>
        </w:rPr>
        <w:t>ontratación mient</w:t>
      </w:r>
      <w:r>
        <w:rPr>
          <w:rFonts w:ascii="Arial" w:hAnsi="Arial" w:eastAsia="Calibri" w:cs="Arial"/>
          <w:color w:val="000000" w:themeColor="text1"/>
          <w:sz w:val="22"/>
        </w:rPr>
        <w:t>r</w:t>
      </w:r>
      <w:r w:rsidRPr="00564E86">
        <w:rPr>
          <w:rFonts w:ascii="Arial" w:hAnsi="Arial" w:eastAsia="Calibri" w:cs="Arial"/>
          <w:color w:val="000000" w:themeColor="text1"/>
          <w:sz w:val="22"/>
        </w:rPr>
        <w:t xml:space="preserve">as se encuentran suspendidos estos numerales en los Documentos Tipo de </w:t>
      </w:r>
      <w:r>
        <w:rPr>
          <w:rFonts w:ascii="Arial" w:hAnsi="Arial" w:eastAsia="Calibri" w:cs="Arial"/>
          <w:color w:val="000000" w:themeColor="text1"/>
          <w:sz w:val="22"/>
        </w:rPr>
        <w:t>l</w:t>
      </w:r>
      <w:r w:rsidRPr="00564E86">
        <w:rPr>
          <w:rFonts w:ascii="Arial" w:hAnsi="Arial" w:eastAsia="Calibri" w:cs="Arial"/>
          <w:color w:val="000000" w:themeColor="text1"/>
          <w:sz w:val="22"/>
        </w:rPr>
        <w:t xml:space="preserve">icitación </w:t>
      </w:r>
      <w:r>
        <w:rPr>
          <w:rFonts w:ascii="Arial" w:hAnsi="Arial" w:eastAsia="Calibri" w:cs="Arial"/>
          <w:color w:val="000000" w:themeColor="text1"/>
          <w:sz w:val="22"/>
        </w:rPr>
        <w:t>p</w:t>
      </w:r>
      <w:r w:rsidRPr="00564E86">
        <w:rPr>
          <w:rFonts w:ascii="Arial" w:hAnsi="Arial" w:eastAsia="Calibri" w:cs="Arial"/>
          <w:color w:val="000000" w:themeColor="text1"/>
          <w:sz w:val="22"/>
        </w:rPr>
        <w:t xml:space="preserve">ública de </w:t>
      </w:r>
      <w:r>
        <w:rPr>
          <w:rFonts w:ascii="Arial" w:hAnsi="Arial" w:eastAsia="Calibri" w:cs="Arial"/>
          <w:color w:val="000000" w:themeColor="text1"/>
          <w:sz w:val="22"/>
        </w:rPr>
        <w:t>i</w:t>
      </w:r>
      <w:r w:rsidRPr="00564E86">
        <w:rPr>
          <w:rFonts w:ascii="Arial" w:hAnsi="Arial" w:eastAsia="Calibri" w:cs="Arial"/>
          <w:color w:val="000000" w:themeColor="text1"/>
          <w:sz w:val="22"/>
        </w:rPr>
        <w:t xml:space="preserve">nfraestructura de </w:t>
      </w:r>
      <w:r>
        <w:rPr>
          <w:rFonts w:ascii="Arial" w:hAnsi="Arial" w:eastAsia="Calibri" w:cs="Arial"/>
          <w:color w:val="000000" w:themeColor="text1"/>
          <w:sz w:val="22"/>
        </w:rPr>
        <w:t>t</w:t>
      </w:r>
      <w:r w:rsidRPr="00564E86">
        <w:rPr>
          <w:rFonts w:ascii="Arial" w:hAnsi="Arial" w:eastAsia="Calibri" w:cs="Arial"/>
          <w:color w:val="000000" w:themeColor="text1"/>
          <w:sz w:val="22"/>
        </w:rPr>
        <w:t xml:space="preserve">ransporte Versión 2 y en los procesos de </w:t>
      </w:r>
      <w:r>
        <w:rPr>
          <w:rFonts w:ascii="Arial" w:hAnsi="Arial" w:eastAsia="Calibri" w:cs="Arial"/>
          <w:color w:val="000000" w:themeColor="text1"/>
          <w:sz w:val="22"/>
        </w:rPr>
        <w:t>s</w:t>
      </w:r>
      <w:r w:rsidRPr="00564E86">
        <w:rPr>
          <w:rFonts w:ascii="Arial" w:hAnsi="Arial" w:eastAsia="Calibri" w:cs="Arial"/>
          <w:color w:val="000000" w:themeColor="text1"/>
          <w:sz w:val="22"/>
        </w:rPr>
        <w:t xml:space="preserve">elección abreviada de infraestructura de transporte. </w:t>
      </w:r>
    </w:p>
    <w:p w:rsidRPr="00D6221C" w:rsidR="000A6BCB" w:rsidP="000A6BCB" w:rsidRDefault="000A6BCB" w14:paraId="6F4584A1" w14:textId="77777777">
      <w:pPr>
        <w:pStyle w:val="Prrafodelista"/>
        <w:tabs>
          <w:tab w:val="left" w:pos="284"/>
        </w:tabs>
        <w:spacing w:before="120" w:after="120" w:line="276" w:lineRule="auto"/>
        <w:ind w:left="0"/>
        <w:jc w:val="both"/>
        <w:rPr>
          <w:rFonts w:ascii="Arial" w:hAnsi="Arial" w:eastAsia="Calibri" w:cs="Arial"/>
          <w:bCs/>
          <w:sz w:val="22"/>
        </w:rPr>
      </w:pPr>
      <w:r w:rsidRPr="00D6221C">
        <w:rPr>
          <w:rFonts w:ascii="Arial" w:hAnsi="Arial" w:eastAsia="Calibri" w:cs="Arial"/>
          <w:bCs/>
          <w:sz w:val="22"/>
        </w:rPr>
        <w:tab/>
      </w:r>
      <w:r w:rsidRPr="00D6221C">
        <w:rPr>
          <w:rFonts w:ascii="Arial" w:hAnsi="Arial" w:eastAsia="Calibri" w:cs="Arial"/>
          <w:bCs/>
          <w:sz w:val="22"/>
        </w:rPr>
        <w:tab/>
      </w:r>
      <w:r w:rsidRPr="00D6221C">
        <w:rPr>
          <w:rFonts w:ascii="Arial" w:hAnsi="Arial" w:eastAsia="Calibri" w:cs="Arial"/>
          <w:bCs/>
          <w:sz w:val="22"/>
        </w:rPr>
        <w:t>Con relación a</w:t>
      </w:r>
      <w:r>
        <w:rPr>
          <w:rFonts w:ascii="Arial" w:hAnsi="Arial" w:eastAsia="Calibri" w:cs="Arial"/>
          <w:bCs/>
          <w:sz w:val="22"/>
        </w:rPr>
        <w:t xml:space="preserve"> que las entidades pueden manipular y favorecer oferentes a través de estas opciones del factor de calidad</w:t>
      </w:r>
      <w:r w:rsidRPr="00D6221C">
        <w:rPr>
          <w:rFonts w:ascii="Arial" w:hAnsi="Arial" w:eastAsia="Calibri" w:cs="Arial"/>
          <w:bCs/>
          <w:sz w:val="22"/>
        </w:rPr>
        <w:t xml:space="preserve">, es preciso aclarar que los factores que sirven </w:t>
      </w:r>
      <w:r>
        <w:rPr>
          <w:rFonts w:ascii="Arial" w:hAnsi="Arial" w:eastAsia="Calibri" w:cs="Arial"/>
          <w:bCs/>
          <w:sz w:val="22"/>
        </w:rPr>
        <w:t>para</w:t>
      </w:r>
      <w:r w:rsidRPr="00D6221C">
        <w:rPr>
          <w:rFonts w:ascii="Arial" w:hAnsi="Arial" w:eastAsia="Calibri" w:cs="Arial"/>
          <w:bCs/>
          <w:sz w:val="22"/>
        </w:rPr>
        <w:t xml:space="preserve"> determinar la oferta más favorable para la entidad, como lo son el ofrecimiento de garantía suplementar</w:t>
      </w:r>
      <w:r>
        <w:rPr>
          <w:rFonts w:ascii="Arial" w:hAnsi="Arial" w:eastAsia="Calibri" w:cs="Arial"/>
          <w:bCs/>
          <w:sz w:val="22"/>
        </w:rPr>
        <w:t>i</w:t>
      </w:r>
      <w:r w:rsidRPr="00D6221C">
        <w:rPr>
          <w:rFonts w:ascii="Arial" w:hAnsi="Arial" w:eastAsia="Calibri" w:cs="Arial"/>
          <w:bCs/>
          <w:sz w:val="22"/>
        </w:rPr>
        <w:t xml:space="preserve">a, mantenimiento rutinario y cuadrillas adicionales en procesos de licitación pública adelantados con los </w:t>
      </w:r>
      <w:r>
        <w:rPr>
          <w:rFonts w:ascii="Arial" w:hAnsi="Arial" w:eastAsia="Calibri" w:cs="Arial"/>
          <w:bCs/>
          <w:sz w:val="22"/>
        </w:rPr>
        <w:t>D</w:t>
      </w:r>
      <w:r w:rsidRPr="00D6221C">
        <w:rPr>
          <w:rFonts w:ascii="Arial" w:hAnsi="Arial" w:eastAsia="Calibri" w:cs="Arial"/>
          <w:bCs/>
          <w:sz w:val="22"/>
        </w:rPr>
        <w:t xml:space="preserve">ocumentos </w:t>
      </w:r>
      <w:r>
        <w:rPr>
          <w:rFonts w:ascii="Arial" w:hAnsi="Arial" w:eastAsia="Calibri" w:cs="Arial"/>
          <w:bCs/>
          <w:sz w:val="22"/>
        </w:rPr>
        <w:t>T</w:t>
      </w:r>
      <w:r w:rsidRPr="00D6221C">
        <w:rPr>
          <w:rFonts w:ascii="Arial" w:hAnsi="Arial" w:eastAsia="Calibri" w:cs="Arial"/>
          <w:bCs/>
          <w:sz w:val="22"/>
        </w:rPr>
        <w:t>ipo adoptados mediante la Resolución No 0045 de 2020, en principio, de conformidad con el artículo 2.2.1.1.2.1.1. del Decreto 1082 de 2015</w:t>
      </w:r>
      <w:r w:rsidRPr="00D6221C">
        <w:rPr>
          <w:rStyle w:val="Refdenotaalpie"/>
          <w:rFonts w:ascii="Arial" w:hAnsi="Arial" w:eastAsia="Calibri" w:cs="Arial"/>
          <w:bCs/>
          <w:sz w:val="22"/>
        </w:rPr>
        <w:footnoteReference w:id="8"/>
      </w:r>
      <w:r w:rsidRPr="00D6221C">
        <w:rPr>
          <w:rFonts w:ascii="Arial" w:hAnsi="Arial" w:eastAsia="Calibri" w:cs="Arial"/>
          <w:bCs/>
          <w:sz w:val="22"/>
        </w:rPr>
        <w:t xml:space="preserve">, son aspectos que deben ser definidos en los estudios y documentos previos. A esto se suma el deber de justificar en dichos estudios la elección que hace la entidad, entre las diferentes posibilidades para otorgar el puntaje </w:t>
      </w:r>
      <w:r w:rsidRPr="00D6221C">
        <w:rPr>
          <w:rFonts w:ascii="Arial" w:hAnsi="Arial" w:eastAsia="Calibri" w:cs="Arial"/>
          <w:bCs/>
          <w:sz w:val="22"/>
        </w:rPr>
        <w:lastRenderedPageBreak/>
        <w:t>correspondiente al factor de calidad, establecida en el numeral 4.2</w:t>
      </w:r>
      <w:r>
        <w:rPr>
          <w:rFonts w:ascii="Arial" w:hAnsi="Arial" w:eastAsia="Calibri" w:cs="Arial"/>
          <w:bCs/>
          <w:sz w:val="22"/>
        </w:rPr>
        <w:t>.</w:t>
      </w:r>
      <w:r w:rsidRPr="00D6221C">
        <w:rPr>
          <w:rFonts w:ascii="Arial" w:hAnsi="Arial" w:eastAsia="Calibri" w:cs="Arial"/>
          <w:bCs/>
          <w:sz w:val="22"/>
        </w:rPr>
        <w:t xml:space="preserve"> del Documento Tipo en los siguientes términos:</w:t>
      </w:r>
    </w:p>
    <w:p w:rsidRPr="00D6221C" w:rsidR="000A6BCB" w:rsidP="000A6BCB" w:rsidRDefault="000A6BCB" w14:paraId="58FE0614" w14:textId="77777777">
      <w:pPr>
        <w:pStyle w:val="Prrafodelista"/>
        <w:tabs>
          <w:tab w:val="left" w:pos="284"/>
        </w:tabs>
        <w:spacing w:line="276" w:lineRule="auto"/>
        <w:ind w:left="0"/>
        <w:jc w:val="both"/>
        <w:rPr>
          <w:rFonts w:ascii="Arial" w:hAnsi="Arial" w:eastAsia="Calibri" w:cs="Arial"/>
          <w:bCs/>
          <w:sz w:val="22"/>
        </w:rPr>
      </w:pPr>
    </w:p>
    <w:tbl>
      <w:tblPr>
        <w:tblStyle w:val="Tablaconcuadrcula"/>
        <w:tblW w:w="0" w:type="auto"/>
        <w:jc w:val="center"/>
        <w:tblLook w:val="04A0" w:firstRow="1" w:lastRow="0" w:firstColumn="1" w:lastColumn="0" w:noHBand="0" w:noVBand="1"/>
      </w:tblPr>
      <w:tblGrid>
        <w:gridCol w:w="6642"/>
        <w:gridCol w:w="729"/>
      </w:tblGrid>
      <w:tr w:rsidRPr="00D6221C" w:rsidR="000A6BCB" w:rsidTr="00BE3F4F" w14:paraId="6A0FD384" w14:textId="77777777">
        <w:trPr>
          <w:trHeight w:val="283"/>
          <w:jc w:val="center"/>
        </w:trPr>
        <w:tc>
          <w:tcPr>
            <w:tcW w:w="6642" w:type="dxa"/>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Pr="00D6221C" w:rsidR="000A6BCB" w:rsidP="00BE3F4F" w:rsidRDefault="000A6BCB" w14:paraId="243C1531" w14:textId="77777777">
            <w:pPr>
              <w:spacing w:line="276" w:lineRule="auto"/>
              <w:jc w:val="center"/>
              <w:rPr>
                <w:rFonts w:eastAsia="Arial" w:cs="Arial"/>
                <w:b/>
                <w:bCs/>
                <w:sz w:val="16"/>
                <w:szCs w:val="16"/>
              </w:rPr>
            </w:pPr>
            <w:r w:rsidRPr="00D6221C">
              <w:rPr>
                <w:rFonts w:cs="Arial"/>
                <w:b/>
                <w:bCs/>
                <w:sz w:val="16"/>
                <w:szCs w:val="16"/>
              </w:rPr>
              <w:t>Concepto</w:t>
            </w:r>
          </w:p>
        </w:tc>
        <w:tc>
          <w:tcPr>
            <w:tcW w:w="0" w:type="auto"/>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Pr="00D6221C" w:rsidR="000A6BCB" w:rsidP="00BE3F4F" w:rsidRDefault="000A6BCB" w14:paraId="3005D02B" w14:textId="77777777">
            <w:pPr>
              <w:spacing w:line="276" w:lineRule="auto"/>
              <w:jc w:val="center"/>
              <w:rPr>
                <w:rFonts w:eastAsia="Arial" w:cs="Arial"/>
                <w:b/>
                <w:bCs/>
                <w:sz w:val="16"/>
                <w:szCs w:val="16"/>
              </w:rPr>
            </w:pPr>
            <w:r w:rsidRPr="00D6221C">
              <w:rPr>
                <w:rFonts w:cs="Arial"/>
                <w:b/>
                <w:bCs/>
                <w:sz w:val="16"/>
                <w:szCs w:val="16"/>
              </w:rPr>
              <w:t xml:space="preserve">Puntaje </w:t>
            </w:r>
          </w:p>
        </w:tc>
      </w:tr>
      <w:tr w:rsidRPr="00D6221C" w:rsidR="000A6BCB" w:rsidTr="00BE3F4F" w14:paraId="50CEBA0C" w14:textId="77777777">
        <w:trPr>
          <w:trHeight w:val="569"/>
          <w:jc w:val="center"/>
        </w:trPr>
        <w:tc>
          <w:tcPr>
            <w:tcW w:w="6642" w:type="dxa"/>
            <w:tcBorders>
              <w:top w:val="single" w:color="auto" w:sz="4" w:space="0"/>
              <w:left w:val="double" w:color="auto" w:sz="4" w:space="0"/>
              <w:bottom w:val="single" w:color="auto" w:sz="4" w:space="0"/>
              <w:right w:val="single" w:color="auto" w:sz="4" w:space="0"/>
            </w:tcBorders>
            <w:vAlign w:val="center"/>
            <w:hideMark/>
          </w:tcPr>
          <w:p w:rsidRPr="00D6221C" w:rsidR="000A6BCB" w:rsidP="00BE3F4F" w:rsidRDefault="000A6BCB" w14:paraId="7C325D3F" w14:textId="77777777">
            <w:pPr>
              <w:tabs>
                <w:tab w:val="left" w:pos="1039"/>
              </w:tabs>
              <w:spacing w:line="276" w:lineRule="auto"/>
              <w:jc w:val="center"/>
              <w:rPr>
                <w:rFonts w:ascii="Arial" w:hAnsi="Arial" w:cs="Arial" w:eastAsiaTheme="minorEastAsia"/>
                <w:sz w:val="21"/>
                <w:szCs w:val="21"/>
                <w:lang w:val="es-ES" w:eastAsia="es-CO"/>
              </w:rPr>
            </w:pPr>
            <w:r w:rsidRPr="00D6221C">
              <w:rPr>
                <w:rFonts w:ascii="Arial" w:hAnsi="Arial" w:eastAsia="Arial,Times New Roman" w:cs="Arial"/>
                <w:sz w:val="21"/>
                <w:szCs w:val="21"/>
                <w:highlight w:val="lightGray"/>
                <w:lang w:val="es-ES" w:eastAsia="es-CO"/>
              </w:rPr>
              <w:t>[</w:t>
            </w:r>
            <w:r w:rsidRPr="00D6221C">
              <w:rPr>
                <w:rFonts w:ascii="Arial" w:hAnsi="Arial" w:cs="Arial" w:eastAsiaTheme="minorEastAsia"/>
                <w:sz w:val="21"/>
                <w:szCs w:val="21"/>
                <w:highlight w:val="lightGray"/>
                <w:lang w:val="es-ES" w:eastAsia="es-CO"/>
              </w:rPr>
              <w:t>La Entidad debe elegir una o algunas de las siguientes opciones, de acuerdo con la justificación consignada en el Estudio del Sector y Estudios y Documentos Previos:</w:t>
            </w:r>
          </w:p>
          <w:p w:rsidRPr="00D6221C" w:rsidR="000A6BCB" w:rsidP="00BE3F4F" w:rsidRDefault="000A6BCB" w14:paraId="3330221D" w14:textId="77777777">
            <w:pPr>
              <w:tabs>
                <w:tab w:val="left" w:pos="1039"/>
              </w:tabs>
              <w:spacing w:line="276" w:lineRule="auto"/>
              <w:jc w:val="center"/>
              <w:rPr>
                <w:rFonts w:ascii="Arial" w:hAnsi="Arial" w:eastAsia="Arial" w:cs="Arial"/>
                <w:sz w:val="21"/>
                <w:szCs w:val="21"/>
                <w:highlight w:val="lightGray"/>
              </w:rPr>
            </w:pPr>
            <w:r w:rsidRPr="00D6221C">
              <w:rPr>
                <w:rFonts w:ascii="Arial" w:hAnsi="Arial" w:cs="Arial" w:eastAsiaTheme="minorEastAsia"/>
                <w:sz w:val="21"/>
                <w:szCs w:val="21"/>
                <w:highlight w:val="lightGray"/>
                <w:lang w:val="es-ES" w:eastAsia="es-CO"/>
              </w:rPr>
              <w:t>(i) implementación del programa de gerencia</w:t>
            </w:r>
            <w:r w:rsidRPr="00D6221C">
              <w:rPr>
                <w:rFonts w:ascii="Arial" w:hAnsi="Arial" w:eastAsia="Arial,Times New Roman" w:cs="Arial"/>
                <w:sz w:val="21"/>
                <w:szCs w:val="21"/>
                <w:highlight w:val="lightGray"/>
                <w:lang w:val="es-ES" w:eastAsia="es-CO"/>
              </w:rPr>
              <w:t xml:space="preserve"> </w:t>
            </w:r>
            <w:r w:rsidRPr="00D6221C">
              <w:rPr>
                <w:rFonts w:ascii="Arial" w:hAnsi="Arial" w:cs="Arial" w:eastAsiaTheme="minorEastAsia"/>
                <w:sz w:val="21"/>
                <w:szCs w:val="21"/>
                <w:highlight w:val="lightGray"/>
                <w:lang w:val="es-ES" w:eastAsia="es-CO"/>
              </w:rPr>
              <w:t>de proyectos;</w:t>
            </w:r>
          </w:p>
          <w:p w:rsidRPr="00D6221C" w:rsidR="000A6BCB" w:rsidP="00BE3F4F" w:rsidRDefault="000A6BCB" w14:paraId="58997F7C" w14:textId="77777777">
            <w:pPr>
              <w:tabs>
                <w:tab w:val="left" w:pos="1039"/>
              </w:tabs>
              <w:spacing w:line="276" w:lineRule="auto"/>
              <w:jc w:val="center"/>
              <w:rPr>
                <w:rFonts w:ascii="Arial" w:hAnsi="Arial" w:cs="Arial" w:eastAsiaTheme="minorEastAsia"/>
                <w:sz w:val="21"/>
                <w:szCs w:val="21"/>
                <w:highlight w:val="lightGray"/>
                <w:lang w:val="es-ES" w:eastAsia="es-CO"/>
              </w:rPr>
            </w:pPr>
            <w:r w:rsidRPr="00D6221C">
              <w:rPr>
                <w:rFonts w:ascii="Arial" w:hAnsi="Arial" w:cs="Arial" w:eastAsiaTheme="minorEastAsia"/>
                <w:sz w:val="21"/>
                <w:szCs w:val="21"/>
                <w:highlight w:val="lightGray"/>
                <w:lang w:val="es-ES" w:eastAsia="es-CO"/>
              </w:rPr>
              <w:t>(</w:t>
            </w:r>
            <w:proofErr w:type="spellStart"/>
            <w:r w:rsidRPr="00D6221C">
              <w:rPr>
                <w:rFonts w:ascii="Arial" w:hAnsi="Arial" w:cs="Arial" w:eastAsiaTheme="minorEastAsia"/>
                <w:sz w:val="21"/>
                <w:szCs w:val="21"/>
                <w:highlight w:val="lightGray"/>
                <w:lang w:val="es-ES" w:eastAsia="es-CO"/>
              </w:rPr>
              <w:t>ii</w:t>
            </w:r>
            <w:proofErr w:type="spellEnd"/>
            <w:r w:rsidRPr="00D6221C">
              <w:rPr>
                <w:rFonts w:ascii="Arial" w:hAnsi="Arial" w:cs="Arial" w:eastAsiaTheme="minorEastAsia"/>
                <w:sz w:val="21"/>
                <w:szCs w:val="21"/>
                <w:highlight w:val="lightGray"/>
                <w:lang w:val="es-ES" w:eastAsia="es-CO"/>
              </w:rPr>
              <w:t>) disponibilidad y condiciones funcionales de la maquinaria de obra;</w:t>
            </w:r>
          </w:p>
          <w:p w:rsidRPr="00D6221C" w:rsidR="000A6BCB" w:rsidP="00BE3F4F" w:rsidRDefault="000A6BCB" w14:paraId="13BCA6CB" w14:textId="77777777">
            <w:pPr>
              <w:tabs>
                <w:tab w:val="left" w:pos="1039"/>
              </w:tabs>
              <w:spacing w:line="276" w:lineRule="auto"/>
              <w:jc w:val="center"/>
              <w:rPr>
                <w:rFonts w:ascii="Arial" w:hAnsi="Arial" w:eastAsia="Arial" w:cs="Arial"/>
                <w:sz w:val="21"/>
                <w:szCs w:val="21"/>
                <w:highlight w:val="lightGray"/>
              </w:rPr>
            </w:pPr>
            <w:r w:rsidRPr="00D6221C">
              <w:rPr>
                <w:rFonts w:ascii="Arial" w:hAnsi="Arial" w:cs="Arial" w:eastAsiaTheme="minorEastAsia"/>
                <w:sz w:val="21"/>
                <w:szCs w:val="21"/>
                <w:highlight w:val="lightGray"/>
                <w:lang w:val="es-ES" w:eastAsia="es-CO"/>
              </w:rPr>
              <w:t>(</w:t>
            </w:r>
            <w:proofErr w:type="spellStart"/>
            <w:r w:rsidRPr="00D6221C">
              <w:rPr>
                <w:rFonts w:ascii="Arial" w:hAnsi="Arial" w:cs="Arial" w:eastAsiaTheme="minorEastAsia"/>
                <w:sz w:val="21"/>
                <w:szCs w:val="21"/>
                <w:highlight w:val="lightGray"/>
                <w:lang w:val="es-ES" w:eastAsia="es-CO"/>
              </w:rPr>
              <w:t>iii</w:t>
            </w:r>
            <w:proofErr w:type="spellEnd"/>
            <w:r w:rsidRPr="00D6221C">
              <w:rPr>
                <w:rFonts w:ascii="Arial" w:hAnsi="Arial" w:cs="Arial" w:eastAsiaTheme="minorEastAsia"/>
                <w:sz w:val="21"/>
                <w:szCs w:val="21"/>
                <w:highlight w:val="lightGray"/>
                <w:lang w:val="es-ES" w:eastAsia="es-CO"/>
              </w:rPr>
              <w:t>) presentación de un plan de calidad;</w:t>
            </w:r>
          </w:p>
          <w:p w:rsidRPr="00D6221C" w:rsidR="000A6BCB" w:rsidP="00BE3F4F" w:rsidRDefault="000A6BCB" w14:paraId="47577F0E" w14:textId="77777777">
            <w:pPr>
              <w:tabs>
                <w:tab w:val="left" w:pos="1039"/>
              </w:tabs>
              <w:spacing w:line="276" w:lineRule="auto"/>
              <w:jc w:val="center"/>
              <w:rPr>
                <w:rFonts w:ascii="Arial" w:hAnsi="Arial" w:cs="Arial" w:eastAsiaTheme="minorEastAsia"/>
                <w:sz w:val="21"/>
                <w:szCs w:val="21"/>
                <w:highlight w:val="lightGray"/>
                <w:lang w:val="es-ES" w:eastAsia="es-CO"/>
              </w:rPr>
            </w:pPr>
            <w:r w:rsidRPr="00D6221C">
              <w:rPr>
                <w:rFonts w:ascii="Arial" w:hAnsi="Arial" w:cs="Arial" w:eastAsiaTheme="minorEastAsia"/>
                <w:sz w:val="21"/>
                <w:szCs w:val="21"/>
                <w:highlight w:val="lightGray"/>
                <w:lang w:val="es-ES" w:eastAsia="es-CO"/>
              </w:rPr>
              <w:t>(</w:t>
            </w:r>
            <w:proofErr w:type="spellStart"/>
            <w:r w:rsidRPr="00D6221C">
              <w:rPr>
                <w:rFonts w:ascii="Arial" w:hAnsi="Arial" w:cs="Arial" w:eastAsiaTheme="minorEastAsia"/>
                <w:sz w:val="21"/>
                <w:szCs w:val="21"/>
                <w:highlight w:val="lightGray"/>
                <w:lang w:val="es-ES" w:eastAsia="es-CO"/>
              </w:rPr>
              <w:t>iv</w:t>
            </w:r>
            <w:proofErr w:type="spellEnd"/>
            <w:r w:rsidRPr="00D6221C">
              <w:rPr>
                <w:rFonts w:ascii="Arial" w:hAnsi="Arial" w:cs="Arial" w:eastAsiaTheme="minorEastAsia"/>
                <w:sz w:val="21"/>
                <w:szCs w:val="21"/>
                <w:highlight w:val="lightGray"/>
                <w:lang w:val="es-ES" w:eastAsia="es-CO"/>
              </w:rPr>
              <w:t>) garantía suplementaria o adicional por cuenta del Contratista;</w:t>
            </w:r>
          </w:p>
          <w:p w:rsidRPr="00D6221C" w:rsidR="000A6BCB" w:rsidP="00BE3F4F" w:rsidRDefault="000A6BCB" w14:paraId="02B2169A" w14:textId="77777777">
            <w:pPr>
              <w:tabs>
                <w:tab w:val="left" w:pos="1039"/>
              </w:tabs>
              <w:spacing w:line="276" w:lineRule="auto"/>
              <w:jc w:val="center"/>
              <w:rPr>
                <w:rFonts w:ascii="Arial" w:hAnsi="Arial" w:cs="Arial" w:eastAsiaTheme="minorEastAsia"/>
                <w:sz w:val="21"/>
                <w:szCs w:val="21"/>
                <w:lang w:val="es-ES" w:eastAsia="es-CO"/>
              </w:rPr>
            </w:pPr>
            <w:r w:rsidRPr="00D6221C">
              <w:rPr>
                <w:rFonts w:ascii="Arial" w:hAnsi="Arial" w:cs="Arial" w:eastAsiaTheme="minorEastAsia"/>
                <w:sz w:val="21"/>
                <w:szCs w:val="21"/>
                <w:highlight w:val="lightGray"/>
                <w:lang w:val="es-ES" w:eastAsia="es-CO"/>
              </w:rPr>
              <w:t>(v) cuadrillas de trabajo adicional a costo y riesgo del Contratista;</w:t>
            </w:r>
            <w:r w:rsidRPr="00D6221C">
              <w:rPr>
                <w:rFonts w:ascii="Arial" w:hAnsi="Arial" w:cs="Arial" w:eastAsiaTheme="minorEastAsia"/>
                <w:sz w:val="21"/>
                <w:szCs w:val="21"/>
                <w:lang w:val="es-ES" w:eastAsia="es-CO"/>
              </w:rPr>
              <w:t xml:space="preserve">  </w:t>
            </w:r>
            <w:r w:rsidRPr="00D6221C">
              <w:rPr>
                <w:rFonts w:ascii="Arial" w:hAnsi="Arial" w:cs="Arial" w:eastAsiaTheme="minorEastAsia"/>
                <w:sz w:val="21"/>
                <w:szCs w:val="21"/>
                <w:lang w:val="es-ES" w:eastAsia="es-CO"/>
              </w:rPr>
              <w:br/>
            </w:r>
            <w:r w:rsidRPr="00D6221C">
              <w:rPr>
                <w:rFonts w:ascii="Arial" w:hAnsi="Arial" w:cs="Arial" w:eastAsiaTheme="minorEastAsia"/>
                <w:sz w:val="21"/>
                <w:szCs w:val="21"/>
                <w:highlight w:val="lightGray"/>
                <w:lang w:val="es-ES" w:eastAsia="es-CO"/>
              </w:rPr>
              <w:t>(vi) mantenimiento adicional]</w:t>
            </w:r>
            <w:r w:rsidRPr="00D6221C">
              <w:rPr>
                <w:rFonts w:ascii="Arial" w:hAnsi="Arial" w:cs="Arial" w:eastAsiaTheme="minorEastAsia"/>
                <w:sz w:val="21"/>
                <w:szCs w:val="21"/>
                <w:lang w:val="es-ES" w:eastAsia="es-CO"/>
              </w:rPr>
              <w:t xml:space="preserve"> </w:t>
            </w:r>
          </w:p>
          <w:p w:rsidRPr="00D6221C" w:rsidR="000A6BCB" w:rsidP="00BE3F4F" w:rsidRDefault="000A6BCB" w14:paraId="0519D59C" w14:textId="77777777">
            <w:pPr>
              <w:tabs>
                <w:tab w:val="left" w:pos="1039"/>
              </w:tabs>
              <w:spacing w:line="276" w:lineRule="auto"/>
              <w:jc w:val="both"/>
              <w:rPr>
                <w:rFonts w:ascii="Arial" w:hAnsi="Arial" w:cs="Arial" w:eastAsiaTheme="minorEastAsia"/>
                <w:sz w:val="21"/>
                <w:szCs w:val="21"/>
                <w:lang w:val="es-ES" w:eastAsia="es-CO"/>
              </w:rPr>
            </w:pPr>
          </w:p>
        </w:tc>
        <w:tc>
          <w:tcPr>
            <w:tcW w:w="0" w:type="auto"/>
            <w:tcBorders>
              <w:top w:val="single" w:color="auto" w:sz="4" w:space="0"/>
              <w:left w:val="single" w:color="auto" w:sz="4" w:space="0"/>
              <w:bottom w:val="single" w:color="auto" w:sz="4" w:space="0"/>
              <w:right w:val="double" w:color="auto" w:sz="4" w:space="0"/>
            </w:tcBorders>
            <w:vAlign w:val="center"/>
            <w:hideMark/>
          </w:tcPr>
          <w:p w:rsidRPr="00D6221C" w:rsidR="000A6BCB" w:rsidP="00BE3F4F" w:rsidRDefault="000A6BCB" w14:paraId="4B2475F9" w14:textId="77777777">
            <w:pPr>
              <w:spacing w:line="276" w:lineRule="auto"/>
              <w:jc w:val="center"/>
              <w:rPr>
                <w:rFonts w:ascii="Arial" w:hAnsi="Arial" w:eastAsia="Arial" w:cs="Arial"/>
                <w:sz w:val="21"/>
                <w:szCs w:val="21"/>
              </w:rPr>
            </w:pPr>
            <w:r w:rsidRPr="00D6221C">
              <w:rPr>
                <w:rFonts w:ascii="Arial" w:hAnsi="Arial" w:cs="Arial"/>
                <w:sz w:val="21"/>
                <w:szCs w:val="21"/>
                <w:lang w:val="es-ES" w:eastAsia="es-CO"/>
              </w:rPr>
              <w:t>19</w:t>
            </w:r>
          </w:p>
        </w:tc>
      </w:tr>
      <w:tr w:rsidRPr="00D6221C" w:rsidR="000A6BCB" w:rsidTr="00BE3F4F" w14:paraId="2FA3BA4C" w14:textId="77777777">
        <w:trPr>
          <w:jc w:val="center"/>
        </w:trPr>
        <w:tc>
          <w:tcPr>
            <w:tcW w:w="6642" w:type="dxa"/>
            <w:tcBorders>
              <w:top w:val="single" w:color="auto" w:sz="4" w:space="0"/>
              <w:left w:val="double" w:color="auto" w:sz="4" w:space="0"/>
              <w:bottom w:val="double" w:color="auto" w:sz="4" w:space="0"/>
              <w:right w:val="single" w:color="auto" w:sz="4" w:space="0"/>
            </w:tcBorders>
            <w:vAlign w:val="center"/>
            <w:hideMark/>
          </w:tcPr>
          <w:p w:rsidRPr="00D6221C" w:rsidR="000A6BCB" w:rsidP="00BE3F4F" w:rsidRDefault="000A6BCB" w14:paraId="25C43ECB" w14:textId="77777777">
            <w:pPr>
              <w:spacing w:line="276" w:lineRule="auto"/>
              <w:jc w:val="center"/>
              <w:rPr>
                <w:rFonts w:ascii="Arial" w:hAnsi="Arial" w:eastAsia="Arial" w:cs="Arial"/>
                <w:sz w:val="21"/>
                <w:szCs w:val="21"/>
              </w:rPr>
            </w:pPr>
            <w:r w:rsidRPr="00D6221C">
              <w:rPr>
                <w:rFonts w:ascii="Arial" w:hAnsi="Arial" w:cs="Arial"/>
                <w:sz w:val="21"/>
                <w:szCs w:val="21"/>
                <w:lang w:val="es-ES" w:eastAsia="es-CO"/>
              </w:rPr>
              <w:t>Total</w:t>
            </w:r>
          </w:p>
        </w:tc>
        <w:tc>
          <w:tcPr>
            <w:tcW w:w="0" w:type="auto"/>
            <w:tcBorders>
              <w:top w:val="single" w:color="auto" w:sz="4" w:space="0"/>
              <w:left w:val="single" w:color="auto" w:sz="4" w:space="0"/>
              <w:bottom w:val="double" w:color="auto" w:sz="4" w:space="0"/>
              <w:right w:val="double" w:color="auto" w:sz="4" w:space="0"/>
            </w:tcBorders>
            <w:vAlign w:val="center"/>
            <w:hideMark/>
          </w:tcPr>
          <w:p w:rsidRPr="00D6221C" w:rsidR="000A6BCB" w:rsidP="00BE3F4F" w:rsidRDefault="000A6BCB" w14:paraId="74A9C2D1" w14:textId="77777777">
            <w:pPr>
              <w:spacing w:line="276" w:lineRule="auto"/>
              <w:jc w:val="center"/>
              <w:rPr>
                <w:rFonts w:ascii="Arial" w:hAnsi="Arial" w:eastAsia="Arial" w:cs="Arial"/>
                <w:sz w:val="21"/>
                <w:szCs w:val="21"/>
              </w:rPr>
            </w:pPr>
            <w:r w:rsidRPr="00D6221C">
              <w:rPr>
                <w:rFonts w:ascii="Arial" w:hAnsi="Arial" w:cs="Arial"/>
                <w:sz w:val="21"/>
                <w:szCs w:val="21"/>
                <w:lang w:val="es-ES" w:eastAsia="es-CO"/>
              </w:rPr>
              <w:t>19</w:t>
            </w:r>
          </w:p>
        </w:tc>
      </w:tr>
    </w:tbl>
    <w:p w:rsidRPr="00D6221C" w:rsidR="000A6BCB" w:rsidP="000A6BCB" w:rsidRDefault="000A6BCB" w14:paraId="372EBE84" w14:textId="77777777">
      <w:pPr>
        <w:pStyle w:val="Prrafodelista"/>
        <w:tabs>
          <w:tab w:val="left" w:pos="284"/>
        </w:tabs>
        <w:spacing w:line="276" w:lineRule="auto"/>
        <w:ind w:left="0"/>
        <w:jc w:val="both"/>
        <w:rPr>
          <w:rFonts w:ascii="Arial" w:hAnsi="Arial" w:eastAsia="Calibri" w:cs="Arial"/>
          <w:bCs/>
          <w:sz w:val="22"/>
          <w:lang w:val="es-ES"/>
        </w:rPr>
      </w:pPr>
    </w:p>
    <w:p w:rsidR="000A6BCB" w:rsidP="000A6BCB" w:rsidRDefault="000A6BCB" w14:paraId="174F9DAE" w14:textId="77777777">
      <w:pPr>
        <w:pStyle w:val="Prrafodelista"/>
        <w:tabs>
          <w:tab w:val="left" w:pos="284"/>
        </w:tabs>
        <w:spacing w:line="276" w:lineRule="auto"/>
        <w:ind w:left="0"/>
        <w:contextualSpacing w:val="0"/>
        <w:jc w:val="both"/>
        <w:rPr>
          <w:rFonts w:ascii="Arial" w:hAnsi="Arial" w:eastAsia="Calibri" w:cs="Arial"/>
          <w:b/>
          <w:sz w:val="22"/>
        </w:rPr>
      </w:pPr>
      <w:r>
        <w:rPr>
          <w:rFonts w:ascii="Arial" w:hAnsi="Arial" w:eastAsia="Calibri" w:cs="Arial"/>
          <w:b/>
          <w:sz w:val="22"/>
        </w:rPr>
        <w:t xml:space="preserve">a) </w:t>
      </w:r>
      <w:r w:rsidRPr="00034457">
        <w:rPr>
          <w:rFonts w:ascii="Arial" w:hAnsi="Arial" w:eastAsia="Calibri" w:cs="Arial"/>
          <w:b/>
          <w:sz w:val="22"/>
        </w:rPr>
        <w:t>Mantenimiento adicional</w:t>
      </w:r>
      <w:r>
        <w:rPr>
          <w:rFonts w:ascii="Arial" w:hAnsi="Arial" w:eastAsia="Calibri" w:cs="Arial"/>
          <w:b/>
          <w:sz w:val="22"/>
        </w:rPr>
        <w:t xml:space="preserve"> y liquidación del contrato</w:t>
      </w:r>
    </w:p>
    <w:p w:rsidR="000A6BCB" w:rsidP="000A6BCB" w:rsidRDefault="000A6BCB" w14:paraId="6460D9E0" w14:textId="77777777">
      <w:pPr>
        <w:spacing w:line="276" w:lineRule="auto"/>
        <w:jc w:val="both"/>
        <w:rPr>
          <w:rFonts w:ascii="Arial" w:hAnsi="Arial" w:cs="Arial"/>
          <w:sz w:val="22"/>
        </w:rPr>
      </w:pPr>
    </w:p>
    <w:p w:rsidR="000A6BCB" w:rsidP="000A6BCB" w:rsidRDefault="000A6BCB" w14:paraId="72935305" w14:textId="77777777">
      <w:pPr>
        <w:spacing w:line="276" w:lineRule="auto"/>
        <w:jc w:val="both"/>
        <w:rPr>
          <w:rFonts w:ascii="Arial" w:hAnsi="Arial" w:cs="Arial"/>
          <w:sz w:val="22"/>
        </w:rPr>
      </w:pPr>
      <w:r>
        <w:rPr>
          <w:rFonts w:ascii="Arial" w:hAnsi="Arial" w:cs="Arial"/>
          <w:sz w:val="22"/>
        </w:rPr>
        <w:t>Como se mencionó, para el «Factor de Calidad – Mantenimiento adicional»,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periodo de ejecución del contrato</w:t>
      </w:r>
      <w:r>
        <w:rPr>
          <w:rStyle w:val="Refdenotaalpie"/>
          <w:rFonts w:ascii="Arial" w:hAnsi="Arial" w:cs="Arial"/>
          <w:sz w:val="22"/>
        </w:rPr>
        <w:footnoteReference w:id="9"/>
      </w:r>
      <w:r>
        <w:rPr>
          <w:rFonts w:ascii="Arial" w:hAnsi="Arial" w:cs="Arial"/>
          <w:sz w:val="22"/>
        </w:rPr>
        <w:t xml:space="preserve">. La entidad determinará la forma para llevar a cabo el seguimiento de las labores ofertadas durante la ejecución del contrato. </w:t>
      </w:r>
    </w:p>
    <w:p w:rsidR="000A6BCB" w:rsidP="000A6BCB" w:rsidRDefault="000A6BCB" w14:paraId="18E4CF32" w14:textId="77777777">
      <w:pPr>
        <w:spacing w:before="120" w:line="276" w:lineRule="auto"/>
        <w:jc w:val="both"/>
        <w:rPr>
          <w:rFonts w:ascii="Arial" w:hAnsi="Arial" w:eastAsia="Calibri" w:cs="Arial"/>
          <w:sz w:val="22"/>
        </w:rPr>
      </w:pPr>
      <w:r>
        <w:rPr>
          <w:rFonts w:ascii="Arial" w:hAnsi="Arial" w:cs="Arial"/>
          <w:sz w:val="22"/>
        </w:rPr>
        <w:tab/>
      </w:r>
      <w:r>
        <w:rPr>
          <w:rFonts w:ascii="Arial" w:hAnsi="Arial" w:cs="Arial"/>
          <w:sz w:val="22"/>
        </w:rPr>
        <w:t>Ahora, usted pregunta:</w:t>
      </w:r>
      <w:r w:rsidRPr="00B560D1">
        <w:rPr>
          <w:rFonts w:ascii="Arial" w:hAnsi="Arial" w:eastAsia="Calibri" w:cs="Arial"/>
          <w:sz w:val="22"/>
        </w:rPr>
        <w:t xml:space="preserve"> </w:t>
      </w:r>
      <w:r>
        <w:rPr>
          <w:rFonts w:ascii="Arial" w:hAnsi="Arial" w:eastAsia="Calibri" w:cs="Arial"/>
          <w:sz w:val="22"/>
        </w:rPr>
        <w:t>¿este factor de calidad impide la liquidación del contrato mientras transcurre el tiempo ofrecido de mantenimiento adicional</w:t>
      </w:r>
      <w:r w:rsidRPr="0029798A">
        <w:rPr>
          <w:rFonts w:ascii="Arial" w:hAnsi="Arial" w:eastAsia="Calibri" w:cs="Arial"/>
          <w:sz w:val="22"/>
        </w:rPr>
        <w:t>?</w:t>
      </w:r>
      <w:r>
        <w:rPr>
          <w:rFonts w:ascii="Arial" w:hAnsi="Arial" w:eastAsia="Calibri" w:cs="Arial"/>
          <w:sz w:val="22"/>
        </w:rPr>
        <w:t xml:space="preserve"> De acuerdo con lo anterior, el término ofertado del «Mantenimiento adicional» hace parte de la ejecución del contrato, es decir, no es posible que se realice la liquidación final del contrato, ya que, debido al término de mantenimiento, el contrato continúa vigente y no ha finalizado su plazo de ejecución.</w:t>
      </w:r>
    </w:p>
    <w:p w:rsidRPr="00B1485E" w:rsidR="000A6BCB" w:rsidP="000A6BCB" w:rsidRDefault="000A6BCB" w14:paraId="1CED65B1" w14:textId="77777777">
      <w:pPr>
        <w:spacing w:before="120" w:line="276" w:lineRule="auto"/>
        <w:jc w:val="both"/>
        <w:rPr>
          <w:rFonts w:ascii="Arial" w:hAnsi="Arial" w:cs="Arial"/>
          <w:sz w:val="22"/>
        </w:rPr>
      </w:pPr>
      <w:r>
        <w:rPr>
          <w:rFonts w:ascii="Arial" w:hAnsi="Arial" w:eastAsia="Calibri" w:cs="Arial"/>
          <w:sz w:val="22"/>
        </w:rPr>
        <w:tab/>
      </w:r>
      <w:r>
        <w:rPr>
          <w:rFonts w:ascii="Arial" w:hAnsi="Arial" w:eastAsia="Calibri" w:cs="Arial"/>
          <w:sz w:val="22"/>
        </w:rPr>
        <w:t>La Agencia Nacional de Contratación Pública se pronunció en relación con el alcance de la liquidación en el Concepto CU-028 del 25 de febrero de 2020, explicando que</w:t>
      </w:r>
      <w:r w:rsidRPr="00B1485E">
        <w:rPr>
          <w:rFonts w:ascii="Arial" w:hAnsi="Arial" w:cs="Arial"/>
          <w:sz w:val="22"/>
        </w:rPr>
        <w:t xml:space="preserve"> es el ajuste de cuentas donde las partes hacen un balance económico, técnico y </w:t>
      </w:r>
      <w:r w:rsidRPr="00B1485E">
        <w:rPr>
          <w:rFonts w:ascii="Arial" w:hAnsi="Arial" w:cs="Arial"/>
          <w:sz w:val="22"/>
        </w:rPr>
        <w:lastRenderedPageBreak/>
        <w:t xml:space="preserve">jurídico del cumplimiento de las obligaciones que tienen a su cargo. Así lo manifestó el Consejo de Estado en la </w:t>
      </w:r>
      <w:bookmarkStart w:name="_Hlk39562501" w:id="2"/>
      <w:r>
        <w:rPr>
          <w:rFonts w:ascii="Arial" w:hAnsi="Arial" w:cs="Arial"/>
          <w:sz w:val="22"/>
        </w:rPr>
        <w:t>S</w:t>
      </w:r>
      <w:r w:rsidRPr="00B1485E">
        <w:rPr>
          <w:rFonts w:ascii="Arial" w:hAnsi="Arial" w:cs="Arial"/>
          <w:sz w:val="22"/>
        </w:rPr>
        <w:t>entencia del 20 de octubre de 2014</w:t>
      </w:r>
      <w:bookmarkEnd w:id="2"/>
      <w:r w:rsidRPr="00B1485E">
        <w:rPr>
          <w:rFonts w:ascii="Arial" w:hAnsi="Arial" w:cs="Arial"/>
          <w:sz w:val="22"/>
        </w:rPr>
        <w:t xml:space="preserve">, en la que consideró, por un lado, que </w:t>
      </w:r>
      <w:r w:rsidRPr="00B1485E">
        <w:rPr>
          <w:rFonts w:ascii="Arial" w:hAnsi="Arial" w:cs="Arial"/>
          <w:i/>
          <w:iCs/>
          <w:sz w:val="22"/>
        </w:rPr>
        <w:t>liquidar</w:t>
      </w:r>
      <w:r w:rsidRPr="00B1485E">
        <w:rPr>
          <w:rFonts w:ascii="Arial" w:hAnsi="Arial" w:cs="Arial"/>
          <w:sz w:val="22"/>
        </w:rPr>
        <w:t xml:space="preserve"> supone un ajuste en relación con las cuentas y el estado de cumplimiento del contrato estatal y, por el otro, que la </w:t>
      </w:r>
      <w:r w:rsidRPr="00B1485E">
        <w:rPr>
          <w:rFonts w:ascii="Arial" w:hAnsi="Arial" w:cs="Arial"/>
          <w:i/>
          <w:iCs/>
          <w:sz w:val="22"/>
        </w:rPr>
        <w:t>liquidación</w:t>
      </w:r>
      <w:r w:rsidRPr="00B1485E">
        <w:rPr>
          <w:rFonts w:ascii="Arial" w:hAnsi="Arial" w:cs="Arial"/>
          <w:sz w:val="22"/>
        </w:rPr>
        <w:t xml:space="preserve"> debe incluir el análisis de las condiciones de calidad y oportunidad en la entrega de los bienes, obras o servicios, así como el balance económico y el comportamiento financiero del negocio</w:t>
      </w:r>
      <w:r w:rsidRPr="00B1485E">
        <w:rPr>
          <w:rStyle w:val="Refdenotaalpie"/>
          <w:rFonts w:ascii="Arial" w:hAnsi="Arial" w:cs="Arial"/>
          <w:sz w:val="22"/>
        </w:rPr>
        <w:footnoteReference w:id="10"/>
      </w:r>
      <w:r w:rsidRPr="00B1485E">
        <w:rPr>
          <w:rFonts w:ascii="Arial" w:hAnsi="Arial" w:cs="Arial"/>
          <w:sz w:val="22"/>
        </w:rPr>
        <w:t xml:space="preserve">. </w:t>
      </w:r>
    </w:p>
    <w:p w:rsidRPr="00B1485E" w:rsidR="000A6BCB" w:rsidP="000A6BCB" w:rsidRDefault="000A6BCB" w14:paraId="5A62F770" w14:textId="77777777">
      <w:pPr>
        <w:spacing w:before="120" w:line="276" w:lineRule="auto"/>
        <w:ind w:firstLine="709"/>
        <w:jc w:val="both"/>
        <w:rPr>
          <w:rFonts w:ascii="Arial" w:hAnsi="Arial" w:cs="Arial"/>
          <w:sz w:val="22"/>
        </w:rPr>
      </w:pPr>
      <w:r>
        <w:rPr>
          <w:rFonts w:ascii="Arial" w:hAnsi="Arial" w:cs="Arial"/>
          <w:sz w:val="22"/>
        </w:rPr>
        <w:t>Conforme a</w:t>
      </w:r>
      <w:r w:rsidRPr="00B1485E">
        <w:rPr>
          <w:rFonts w:ascii="Arial" w:hAnsi="Arial" w:cs="Arial"/>
          <w:sz w:val="22"/>
        </w:rPr>
        <w:t xml:space="preserve">l artículo 60 de la Ley 80 de 1993, deben liquidarse los contratos de tracto sucesivo, aquellos cuya ejecución o cumplimiento se prolongue en el tiempo y, en general, los demás que lo requieran. En ese contexto, cuando se alude al acta de liquidación, se hace referencia al documento que materializa los acuerdos a los que, de manera bilateral, llegan las partes en la liquidación del contrato, el cual, según el artículo referido, debe contener «los acuerdos, conciliaciones y transacciones a que </w:t>
      </w:r>
      <w:r w:rsidRPr="00851D31">
        <w:rPr>
          <w:rFonts w:ascii="Arial" w:hAnsi="Arial" w:cs="Arial"/>
          <w:iCs/>
          <w:sz w:val="22"/>
        </w:rPr>
        <w:t>llegaren las partes para poner fin a las divergencias presentadas y poder declararse a paz y salvo</w:t>
      </w:r>
      <w:r>
        <w:rPr>
          <w:rFonts w:ascii="Arial" w:hAnsi="Arial" w:cs="Arial"/>
          <w:iCs/>
          <w:sz w:val="22"/>
        </w:rPr>
        <w:t>»</w:t>
      </w:r>
      <w:r w:rsidRPr="00B1485E">
        <w:rPr>
          <w:rStyle w:val="Refdenotaalpie"/>
          <w:rFonts w:ascii="Arial" w:hAnsi="Arial" w:cs="Arial"/>
          <w:sz w:val="22"/>
        </w:rPr>
        <w:footnoteReference w:id="11"/>
      </w:r>
      <w:r w:rsidRPr="00B1485E">
        <w:rPr>
          <w:rFonts w:ascii="Arial" w:hAnsi="Arial" w:cs="Arial"/>
          <w:sz w:val="22"/>
        </w:rPr>
        <w:t>.</w:t>
      </w:r>
    </w:p>
    <w:p w:rsidR="000A6BCB" w:rsidP="000A6BCB" w:rsidRDefault="000A6BCB" w14:paraId="21BB701C" w14:textId="77777777">
      <w:pPr>
        <w:spacing w:before="120" w:line="276" w:lineRule="auto"/>
        <w:ind w:firstLine="709"/>
        <w:jc w:val="both"/>
        <w:rPr>
          <w:rFonts w:ascii="Arial" w:hAnsi="Arial" w:cs="Arial"/>
          <w:sz w:val="22"/>
        </w:rPr>
      </w:pPr>
      <w:r w:rsidRPr="00B1485E">
        <w:rPr>
          <w:rFonts w:ascii="Arial" w:hAnsi="Arial" w:cs="Arial"/>
          <w:sz w:val="22"/>
        </w:rPr>
        <w:t>De</w:t>
      </w:r>
      <w:r w:rsidRPr="00B1485E">
        <w:rPr>
          <w:rFonts w:ascii="Arial" w:hAnsi="Arial" w:cs="Arial"/>
          <w:iCs/>
          <w:sz w:val="22"/>
        </w:rPr>
        <w:t xml:space="preserve"> acuerdo con el artículo 11 de la Ley 1150 de 2007, existen tres tipos de liquidación: i) bilateral, </w:t>
      </w:r>
      <w:proofErr w:type="spellStart"/>
      <w:r w:rsidRPr="00B1485E">
        <w:rPr>
          <w:rFonts w:ascii="Arial" w:hAnsi="Arial" w:cs="Arial"/>
          <w:iCs/>
          <w:sz w:val="22"/>
        </w:rPr>
        <w:t>ii</w:t>
      </w:r>
      <w:proofErr w:type="spellEnd"/>
      <w:r w:rsidRPr="00B1485E">
        <w:rPr>
          <w:rFonts w:ascii="Arial" w:hAnsi="Arial" w:cs="Arial"/>
          <w:iCs/>
          <w:sz w:val="22"/>
        </w:rPr>
        <w:t xml:space="preserve">) unilateral y </w:t>
      </w:r>
      <w:proofErr w:type="spellStart"/>
      <w:r w:rsidRPr="00B1485E">
        <w:rPr>
          <w:rFonts w:ascii="Arial" w:hAnsi="Arial" w:cs="Arial"/>
          <w:iCs/>
          <w:sz w:val="22"/>
        </w:rPr>
        <w:t>iii</w:t>
      </w:r>
      <w:proofErr w:type="spellEnd"/>
      <w:r w:rsidRPr="00B1485E">
        <w:rPr>
          <w:rFonts w:ascii="Arial" w:hAnsi="Arial" w:cs="Arial"/>
          <w:iCs/>
          <w:sz w:val="22"/>
        </w:rPr>
        <w:t>) judicial. En términos generales, la primera, que puede ser total o parcial</w:t>
      </w:r>
      <w:r w:rsidRPr="00B1485E">
        <w:rPr>
          <w:rStyle w:val="Refdenotaalpie"/>
          <w:rFonts w:ascii="Arial" w:hAnsi="Arial" w:cs="Arial"/>
          <w:iCs/>
          <w:sz w:val="22"/>
        </w:rPr>
        <w:footnoteReference w:id="12"/>
      </w:r>
      <w:r w:rsidRPr="00B1485E">
        <w:rPr>
          <w:rFonts w:ascii="Arial" w:hAnsi="Arial" w:cs="Arial"/>
          <w:iCs/>
          <w:sz w:val="22"/>
        </w:rPr>
        <w:t>, debe hacerse en el término que estipulen las partes o, en su defecto, dentro del término supletivo de cuatro meses; y el documento que la contiene presta mérito ejecutivo. La segunda, se debe practicar d</w:t>
      </w:r>
      <w:r w:rsidRPr="00B1485E">
        <w:rPr>
          <w:rFonts w:ascii="Arial" w:hAnsi="Arial" w:cs="Arial"/>
          <w:sz w:val="22"/>
        </w:rPr>
        <w:t>entro de los dos meses siguientes al vencimiento del término que acuerden las partes</w:t>
      </w:r>
      <w:r w:rsidRPr="00B1485E">
        <w:rPr>
          <w:rStyle w:val="Refdenotaalpie"/>
          <w:rFonts w:ascii="Arial" w:hAnsi="Arial" w:cs="Arial"/>
          <w:sz w:val="22"/>
        </w:rPr>
        <w:footnoteReference w:id="13"/>
      </w:r>
      <w:r w:rsidRPr="00B1485E">
        <w:rPr>
          <w:rFonts w:ascii="Arial" w:hAnsi="Arial" w:cs="Arial"/>
          <w:sz w:val="22"/>
        </w:rPr>
        <w:t>, o ante el silencio de estas de los cuatro meses para realizar la liquidación bilateral, sin que ésta se efectúe</w:t>
      </w:r>
      <w:r w:rsidRPr="00B1485E">
        <w:rPr>
          <w:rStyle w:val="Refdenotaalpie"/>
          <w:rFonts w:ascii="Arial" w:hAnsi="Arial" w:cs="Arial"/>
          <w:sz w:val="22"/>
        </w:rPr>
        <w:footnoteReference w:id="14"/>
      </w:r>
      <w:r w:rsidRPr="00B1485E">
        <w:rPr>
          <w:rFonts w:ascii="Arial" w:hAnsi="Arial" w:cs="Arial"/>
          <w:sz w:val="22"/>
        </w:rPr>
        <w:t xml:space="preserve">; y </w:t>
      </w:r>
      <w:r w:rsidRPr="00B1485E">
        <w:rPr>
          <w:rFonts w:ascii="Arial" w:hAnsi="Arial" w:cs="Arial"/>
          <w:sz w:val="22"/>
        </w:rPr>
        <w:lastRenderedPageBreak/>
        <w:t>el acto administrativo que la contiene es susceptible del recurso de reposición. La tercera la realiza el juez contencioso administrativo dentro de un proceso de controversias contractuales.</w:t>
      </w:r>
      <w:r>
        <w:rPr>
          <w:rFonts w:ascii="Arial" w:hAnsi="Arial" w:cs="Arial"/>
          <w:sz w:val="22"/>
        </w:rPr>
        <w:t xml:space="preserve"> Además, la jurisprudencia explica que para iniciar la liquidación es necesario que finalice el contrato, ya sea por el vencimiento del plazo fijado o por cualquier otra causa. De esta forma, la liquidación únicamente procede una vez terminada la relación contractual. No en vano: </w:t>
      </w:r>
    </w:p>
    <w:p w:rsidR="000A6BCB" w:rsidP="000A6BCB" w:rsidRDefault="000A6BCB" w14:paraId="2EC8B5A5" w14:textId="77777777">
      <w:pPr>
        <w:spacing w:line="276" w:lineRule="auto"/>
        <w:ind w:firstLine="709"/>
        <w:jc w:val="both"/>
        <w:rPr>
          <w:rFonts w:ascii="Arial" w:hAnsi="Arial" w:cs="Arial"/>
          <w:sz w:val="22"/>
        </w:rPr>
      </w:pPr>
    </w:p>
    <w:p w:rsidR="000A6BCB" w:rsidP="000A6BCB" w:rsidRDefault="000A6BCB" w14:paraId="64ED3BC1" w14:textId="77777777">
      <w:pPr>
        <w:ind w:left="708" w:right="709" w:firstLine="1"/>
        <w:jc w:val="both"/>
        <w:rPr>
          <w:rFonts w:ascii="Arial" w:hAnsi="Arial" w:cs="Arial"/>
          <w:sz w:val="21"/>
          <w:szCs w:val="21"/>
          <w:shd w:val="clear" w:color="auto" w:fill="FFFFFF"/>
        </w:rPr>
      </w:pPr>
      <w:r w:rsidRPr="008C2F8D">
        <w:rPr>
          <w:rFonts w:ascii="Arial" w:hAnsi="Arial" w:cs="Arial"/>
          <w:sz w:val="21"/>
          <w:szCs w:val="21"/>
          <w:shd w:val="clear" w:color="auto" w:fill="FFFFFF"/>
        </w:rPr>
        <w:t xml:space="preserve">Se tiene en cuenta como uno de los supuestos de hecho de la procedencia de la liquidación de común acuerdo cuando no hay previsión contractual del término, la de realizarla </w:t>
      </w:r>
      <w:r>
        <w:rPr>
          <w:rFonts w:ascii="Arial" w:hAnsi="Arial" w:cs="Arial"/>
          <w:sz w:val="21"/>
          <w:szCs w:val="21"/>
          <w:shd w:val="clear" w:color="auto" w:fill="FFFFFF"/>
        </w:rPr>
        <w:t>«</w:t>
      </w:r>
      <w:r w:rsidRPr="008C2F8D">
        <w:rPr>
          <w:rFonts w:ascii="Arial" w:hAnsi="Arial" w:cs="Arial"/>
          <w:sz w:val="21"/>
          <w:szCs w:val="21"/>
          <w:shd w:val="clear" w:color="auto" w:fill="FFFFFF"/>
        </w:rPr>
        <w:t>a más tardar antes del vencimiento de los cuatro (4) meses siguientes </w:t>
      </w:r>
      <w:r w:rsidRPr="00034457">
        <w:rPr>
          <w:rFonts w:ascii="Arial" w:hAnsi="Arial" w:cs="Arial"/>
          <w:sz w:val="21"/>
          <w:szCs w:val="21"/>
          <w:shd w:val="clear" w:color="auto" w:fill="FFFFFF"/>
        </w:rPr>
        <w:t>a la finalización del contrato</w:t>
      </w:r>
      <w:r>
        <w:rPr>
          <w:rFonts w:ascii="Arial" w:hAnsi="Arial" w:cs="Arial"/>
          <w:sz w:val="21"/>
          <w:szCs w:val="21"/>
          <w:shd w:val="clear" w:color="auto" w:fill="FFFFFF"/>
        </w:rPr>
        <w:t>»</w:t>
      </w:r>
      <w:r w:rsidRPr="008C2F8D">
        <w:rPr>
          <w:rFonts w:ascii="Arial" w:hAnsi="Arial" w:cs="Arial"/>
          <w:sz w:val="21"/>
          <w:szCs w:val="21"/>
          <w:shd w:val="clear" w:color="auto" w:fill="FFFFFF"/>
        </w:rPr>
        <w:t xml:space="preserve"> (art. 60), de lo cual infiere la Sala que la finalización del contrato es tratada por la ley como un presupuesto previo para la procedencia de esta primera etapa de la liquidación y, por contera, de las subsiguientes, de tal manera que mal podría empezar a correr el termino para dicha liquidación si no se ha producido la finalización del contrato, de acuerdo con los términos pactados, ya sea por concluir su ejecución, por el vencimiento del plazo fijado o por cualquier otra causa</w:t>
      </w:r>
      <w:r>
        <w:rPr>
          <w:rStyle w:val="Refdenotaalpie"/>
          <w:rFonts w:ascii="Arial" w:hAnsi="Arial" w:cs="Arial"/>
          <w:sz w:val="21"/>
          <w:szCs w:val="21"/>
          <w:shd w:val="clear" w:color="auto" w:fill="FFFFFF"/>
        </w:rPr>
        <w:footnoteReference w:id="15"/>
      </w:r>
      <w:r w:rsidRPr="008C2F8D">
        <w:rPr>
          <w:rFonts w:ascii="Arial" w:hAnsi="Arial" w:cs="Arial"/>
          <w:sz w:val="21"/>
          <w:szCs w:val="21"/>
          <w:shd w:val="clear" w:color="auto" w:fill="FFFFFF"/>
        </w:rPr>
        <w:t>.</w:t>
      </w:r>
    </w:p>
    <w:p w:rsidRPr="008C2F8D" w:rsidR="000A6BCB" w:rsidP="000A6BCB" w:rsidRDefault="000A6BCB" w14:paraId="7C1A3985" w14:textId="77777777">
      <w:pPr>
        <w:ind w:left="708" w:right="709" w:firstLine="1"/>
        <w:jc w:val="both"/>
        <w:rPr>
          <w:rFonts w:ascii="Arial" w:hAnsi="Arial" w:eastAsia="Calibri" w:cs="Arial"/>
          <w:sz w:val="21"/>
          <w:szCs w:val="21"/>
        </w:rPr>
      </w:pPr>
    </w:p>
    <w:p w:rsidR="000A6BCB" w:rsidP="000A6BCB" w:rsidRDefault="000A6BCB" w14:paraId="151D9E6D" w14:textId="77777777">
      <w:pPr>
        <w:spacing w:line="276" w:lineRule="auto"/>
        <w:jc w:val="both"/>
        <w:rPr>
          <w:rFonts w:ascii="Arial" w:hAnsi="Arial" w:cs="Arial"/>
          <w:sz w:val="22"/>
        </w:rPr>
      </w:pPr>
      <w:r>
        <w:rPr>
          <w:rFonts w:ascii="Arial" w:hAnsi="Arial" w:cs="Arial"/>
          <w:sz w:val="22"/>
        </w:rPr>
        <w:tab/>
      </w:r>
      <w:bookmarkStart w:name="_Hlk38462775" w:id="3"/>
      <w:r>
        <w:rPr>
          <w:rFonts w:ascii="Arial" w:hAnsi="Arial" w:cs="Arial"/>
          <w:sz w:val="22"/>
        </w:rPr>
        <w:t>El numeral 4.2.6 del «Documento Base» dispone que el ofrecimiento del «Mantenimiento adicional» contará a partir de la terminación de las obras objeto del Proceso de Contratación y «hará parte del periodo de ejecución del contrato». En este sentido, no es posible que este mantenimiento se ofrezca durante o después de la liquidación, ya que se debe realizar en la ejecución del contrato. Una vez finalizado el plazo ofrecido de «Mantenimiento adicional» será posible liquidarlo</w:t>
      </w:r>
      <w:bookmarkEnd w:id="3"/>
      <w:r>
        <w:rPr>
          <w:rFonts w:ascii="Arial" w:hAnsi="Arial" w:cs="Arial"/>
          <w:sz w:val="22"/>
        </w:rPr>
        <w:t xml:space="preserve">. </w:t>
      </w:r>
    </w:p>
    <w:p w:rsidR="000A6BCB" w:rsidP="000A6BCB" w:rsidRDefault="000A6BCB" w14:paraId="2C537FDC" w14:textId="77777777">
      <w:pPr>
        <w:spacing w:before="120" w:line="276" w:lineRule="auto"/>
        <w:jc w:val="both"/>
        <w:rPr>
          <w:rFonts w:ascii="Arial" w:hAnsi="Arial" w:eastAsia="Calibri" w:cs="Arial"/>
          <w:sz w:val="22"/>
        </w:rPr>
      </w:pPr>
      <w:r>
        <w:rPr>
          <w:rFonts w:ascii="Arial" w:hAnsi="Arial" w:cs="Arial"/>
          <w:sz w:val="22"/>
        </w:rPr>
        <w:tab/>
      </w:r>
      <w:r>
        <w:rPr>
          <w:rFonts w:ascii="Arial" w:hAnsi="Arial" w:cs="Arial"/>
          <w:sz w:val="22"/>
        </w:rPr>
        <w:t xml:space="preserve">En conclusión, </w:t>
      </w:r>
      <w:r>
        <w:rPr>
          <w:rFonts w:ascii="Arial" w:hAnsi="Arial" w:eastAsia="Calibri" w:cs="Arial"/>
          <w:sz w:val="22"/>
        </w:rPr>
        <w:t xml:space="preserve">el ofrecimiento relacionado con el «Mantenimiento adicional» hace parte de la ejecución del contrato y, por tanto, la liquidación final solo se puede realizar una vez vencido dicho término. De esta forma, durante la ejecución del contrato es posible imponer las multas o sanciones contractuales para garantizar el mantenimiento adicional. De manera que, las entidades impondrán las multas o sanciones en los casos que se demuestre que el contratista incumple los ofrecimientos del factor de calidad durante la ejecución del contrato, teniendo en cuenta que el contrato no se puede liquidar hasta que finalice el plazo de ejecución, lo cual incluye el término del mantenimiento adicional. </w:t>
      </w:r>
    </w:p>
    <w:p w:rsidR="000A6BCB" w:rsidP="000A6BCB" w:rsidRDefault="000A6BCB" w14:paraId="1A5CE09C" w14:textId="77777777">
      <w:pPr>
        <w:spacing w:line="276" w:lineRule="auto"/>
        <w:jc w:val="both"/>
        <w:rPr>
          <w:rFonts w:ascii="Arial" w:hAnsi="Arial" w:eastAsia="Calibri" w:cs="Arial"/>
          <w:sz w:val="22"/>
        </w:rPr>
      </w:pPr>
    </w:p>
    <w:p w:rsidR="000A6BCB" w:rsidP="000A6BCB" w:rsidRDefault="000A6BCB" w14:paraId="7821714C" w14:textId="77777777">
      <w:pPr>
        <w:pStyle w:val="Prrafodelista"/>
        <w:tabs>
          <w:tab w:val="left" w:pos="284"/>
        </w:tabs>
        <w:spacing w:line="276" w:lineRule="auto"/>
        <w:ind w:left="0"/>
        <w:jc w:val="both"/>
        <w:rPr>
          <w:rFonts w:ascii="Arial" w:hAnsi="Arial" w:eastAsia="Calibri" w:cs="Arial"/>
          <w:sz w:val="22"/>
        </w:rPr>
      </w:pPr>
      <w:r>
        <w:rPr>
          <w:rFonts w:ascii="Arial" w:hAnsi="Arial" w:eastAsia="Calibri" w:cs="Arial"/>
          <w:b/>
          <w:sz w:val="22"/>
        </w:rPr>
        <w:t>3. Respuestas</w:t>
      </w:r>
    </w:p>
    <w:p w:rsidR="000A6BCB" w:rsidP="000A6BCB" w:rsidRDefault="000A6BCB" w14:paraId="36046C64" w14:textId="77777777">
      <w:pPr>
        <w:spacing w:line="276" w:lineRule="auto"/>
        <w:ind w:left="709" w:right="709"/>
        <w:jc w:val="both"/>
        <w:rPr>
          <w:rFonts w:ascii="Arial" w:hAnsi="Arial" w:eastAsia="Calibri" w:cs="Arial"/>
          <w:iCs/>
          <w:sz w:val="22"/>
        </w:rPr>
      </w:pPr>
    </w:p>
    <w:p w:rsidRPr="00F17ED4" w:rsidR="000A6BCB" w:rsidP="000A6BCB" w:rsidRDefault="000A6BCB" w14:paraId="62BF14DD" w14:textId="77777777">
      <w:pPr>
        <w:spacing w:line="276" w:lineRule="auto"/>
        <w:ind w:left="708" w:right="709"/>
        <w:jc w:val="both"/>
        <w:rPr>
          <w:rFonts w:ascii="Arial" w:hAnsi="Arial" w:eastAsia="Calibri" w:cs="Arial"/>
          <w:sz w:val="21"/>
          <w:szCs w:val="21"/>
        </w:rPr>
      </w:pPr>
      <w:r w:rsidRPr="00F5359C">
        <w:rPr>
          <w:rFonts w:ascii="Arial" w:hAnsi="Arial" w:eastAsia="Calibri" w:cs="Arial"/>
          <w:sz w:val="21"/>
          <w:szCs w:val="21"/>
        </w:rPr>
        <w:lastRenderedPageBreak/>
        <w:t>«[...]Es válido colocar dentro del sobre No. 2 de la propuesta, los factores de calidad que se ponderan entre los oferentes [...] En dado caso que no sea validó colocar dichos factores dentro del sobre No. 2 de la propuesta, ¿cómo podemos nosotros siendo oferentes de un proceso de contratación evitar ser víctima de fraude? [...]»</w:t>
      </w:r>
    </w:p>
    <w:p w:rsidR="000A6BCB" w:rsidP="000A6BCB" w:rsidRDefault="000A6BCB" w14:paraId="579048A3" w14:textId="77777777">
      <w:pPr>
        <w:spacing w:line="276" w:lineRule="auto"/>
        <w:ind w:left="708" w:right="709"/>
        <w:jc w:val="both"/>
        <w:rPr>
          <w:rFonts w:ascii="Arial" w:hAnsi="Arial" w:eastAsia="Calibri" w:cs="Arial"/>
          <w:sz w:val="21"/>
          <w:szCs w:val="21"/>
        </w:rPr>
      </w:pPr>
    </w:p>
    <w:p w:rsidR="000A6BCB" w:rsidP="000A6BCB" w:rsidRDefault="000A6BCB" w14:paraId="553F73B3" w14:textId="77777777">
      <w:pPr>
        <w:spacing w:line="276" w:lineRule="auto"/>
        <w:jc w:val="both"/>
        <w:rPr>
          <w:rFonts w:ascii="Arial" w:hAnsi="Arial" w:cs="Arial"/>
          <w:sz w:val="22"/>
        </w:rPr>
      </w:pPr>
      <w:r w:rsidRPr="00F5359C">
        <w:rPr>
          <w:rFonts w:ascii="Arial" w:hAnsi="Arial" w:eastAsia="Calibri" w:cs="Arial"/>
          <w:sz w:val="22"/>
        </w:rPr>
        <w:t>El</w:t>
      </w:r>
      <w:r>
        <w:rPr>
          <w:rFonts w:ascii="Arial" w:hAnsi="Arial" w:eastAsia="Calibri" w:cs="Arial"/>
          <w:sz w:val="22"/>
        </w:rPr>
        <w:t xml:space="preserve"> artículo 1 de la Ley 1882 de 2018 regula el contenido de los sobres 1 y 2, señalando expresamente que el sobre 2 únicamente contiene la oferta económica, por lo cual no es posible incluir el </w:t>
      </w:r>
      <w:r w:rsidRPr="00BD595A">
        <w:rPr>
          <w:rFonts w:ascii="Arial" w:hAnsi="Arial" w:cs="Arial"/>
          <w:sz w:val="22"/>
          <w:lang w:val="es-ES_tradnl"/>
        </w:rPr>
        <w:t>«Factor de calidad»</w:t>
      </w:r>
      <w:r>
        <w:rPr>
          <w:rFonts w:ascii="Arial" w:hAnsi="Arial" w:cs="Arial"/>
          <w:sz w:val="22"/>
          <w:lang w:val="es-ES_tradnl"/>
        </w:rPr>
        <w:t xml:space="preserve"> que, al ser un requisito puntuable diferente al factor económico, debe ser acreditado en el sobre 1, cuya apertura debe realizarse en presencia de los asistentes, de conformidad con el numeral 4.2. del pliego tipo y lo señalado en la </w:t>
      </w:r>
      <w:r w:rsidRPr="00576BA7">
        <w:rPr>
          <w:rFonts w:ascii="Arial" w:hAnsi="Arial" w:cs="Arial"/>
          <w:sz w:val="22"/>
          <w:lang w:val="es-ES_tradnl"/>
        </w:rPr>
        <w:t>Circular Externa Única de esta Agencia</w:t>
      </w:r>
      <w:r>
        <w:rPr>
          <w:rFonts w:ascii="Arial" w:hAnsi="Arial" w:cs="Arial"/>
          <w:sz w:val="22"/>
          <w:lang w:val="es-ES_tradnl"/>
        </w:rPr>
        <w:t xml:space="preserve">, lo que hace que el contenido de las ofertas sea público, impidiendo su alteración. </w:t>
      </w:r>
      <w:r>
        <w:rPr>
          <w:rFonts w:ascii="Arial" w:hAnsi="Arial" w:eastAsia="Calibri" w:cs="Arial"/>
          <w:sz w:val="22"/>
        </w:rPr>
        <w:t xml:space="preserve">  </w:t>
      </w:r>
    </w:p>
    <w:p w:rsidRPr="00F17ED4" w:rsidR="000A6BCB" w:rsidP="000A6BCB" w:rsidRDefault="000A6BCB" w14:paraId="7E4675BC" w14:textId="77777777">
      <w:pPr>
        <w:spacing w:line="276" w:lineRule="auto"/>
        <w:ind w:left="708" w:right="709"/>
        <w:jc w:val="both"/>
        <w:rPr>
          <w:rFonts w:ascii="Arial" w:hAnsi="Arial" w:eastAsia="Calibri" w:cs="Arial"/>
          <w:sz w:val="21"/>
          <w:szCs w:val="21"/>
        </w:rPr>
      </w:pPr>
    </w:p>
    <w:p w:rsidR="000A6BCB" w:rsidP="000A6BCB" w:rsidRDefault="000A6BCB" w14:paraId="701FBA16" w14:textId="77777777">
      <w:pPr>
        <w:spacing w:line="276" w:lineRule="auto"/>
        <w:ind w:left="708" w:right="709"/>
        <w:jc w:val="both"/>
        <w:rPr>
          <w:rFonts w:ascii="Arial" w:hAnsi="Arial" w:eastAsia="Calibri" w:cs="Arial"/>
          <w:sz w:val="21"/>
          <w:szCs w:val="21"/>
        </w:rPr>
      </w:pPr>
      <w:r w:rsidRPr="00ED165B">
        <w:rPr>
          <w:rFonts w:ascii="Arial" w:hAnsi="Arial" w:eastAsia="Calibri" w:cs="Arial"/>
          <w:sz w:val="21"/>
          <w:szCs w:val="21"/>
        </w:rPr>
        <w:t>Respecto de las opciones del factor de calidad de garantía suplementaria o adicional, cuadrillas de trabajo adicional a costo y riesgo del contratista y mantenimiento adicional ¿Existe un límite al ofrecimiento o la entidad contratante debería establecerlo? y ¿La Agencia Nacional de Contratación Pública − Colombia Compra Eficiente tuvo en cuenta que esas opciones de factor de calidad pueden ser utilizadas por la entidad contratante para manipular la ponderación y favorecer a algún oferente?</w:t>
      </w:r>
    </w:p>
    <w:p w:rsidRPr="00F17ED4" w:rsidR="000A6BCB" w:rsidP="000A6BCB" w:rsidRDefault="000A6BCB" w14:paraId="0C32C386" w14:textId="77777777">
      <w:pPr>
        <w:spacing w:line="276" w:lineRule="auto"/>
        <w:ind w:left="708" w:right="709"/>
        <w:jc w:val="both"/>
        <w:rPr>
          <w:rFonts w:ascii="Arial" w:hAnsi="Arial" w:eastAsia="Calibri" w:cs="Arial"/>
          <w:sz w:val="21"/>
          <w:szCs w:val="21"/>
        </w:rPr>
      </w:pPr>
    </w:p>
    <w:p w:rsidRPr="00D6221C" w:rsidR="000A6BCB" w:rsidP="000A6BCB" w:rsidRDefault="000A6BCB" w14:paraId="1283A3F4" w14:textId="77777777">
      <w:pPr>
        <w:spacing w:after="120" w:line="276" w:lineRule="auto"/>
        <w:jc w:val="both"/>
        <w:rPr>
          <w:rFonts w:ascii="Arial" w:hAnsi="Arial" w:eastAsia="Calibri" w:cs="Arial"/>
          <w:sz w:val="22"/>
        </w:rPr>
      </w:pPr>
      <w:r w:rsidRPr="00D6221C">
        <w:rPr>
          <w:rFonts w:ascii="Arial" w:hAnsi="Arial" w:eastAsia="Calibri" w:cs="Arial"/>
          <w:sz w:val="22"/>
        </w:rPr>
        <w:t xml:space="preserve">El Documento Tipo no limita al oferente </w:t>
      </w:r>
      <w:r>
        <w:rPr>
          <w:rFonts w:ascii="Arial" w:hAnsi="Arial" w:eastAsia="Calibri" w:cs="Arial"/>
          <w:sz w:val="22"/>
        </w:rPr>
        <w:t xml:space="preserve">respecto a: </w:t>
      </w:r>
      <w:r w:rsidRPr="00D6221C">
        <w:rPr>
          <w:rFonts w:ascii="Arial" w:hAnsi="Arial" w:eastAsia="Calibri" w:cs="Arial"/>
          <w:sz w:val="22"/>
        </w:rPr>
        <w:t>cuántos meses de garantía adicional, distinta a la legal, puede ofrecer</w:t>
      </w:r>
      <w:r>
        <w:rPr>
          <w:rFonts w:ascii="Arial" w:hAnsi="Arial" w:eastAsia="Calibri" w:cs="Arial"/>
          <w:sz w:val="22"/>
        </w:rPr>
        <w:t>;</w:t>
      </w:r>
      <w:r w:rsidRPr="00D6221C">
        <w:rPr>
          <w:rFonts w:ascii="Arial" w:hAnsi="Arial" w:eastAsia="Calibri" w:cs="Arial"/>
          <w:sz w:val="22"/>
        </w:rPr>
        <w:t xml:space="preserve"> el número de cuadrillas de trabajo adicional que se compromete a </w:t>
      </w:r>
      <w:r>
        <w:rPr>
          <w:rFonts w:ascii="Arial" w:hAnsi="Arial" w:eastAsia="Calibri" w:cs="Arial"/>
          <w:sz w:val="22"/>
        </w:rPr>
        <w:t>emplear en el</w:t>
      </w:r>
      <w:r w:rsidRPr="00D6221C">
        <w:rPr>
          <w:rFonts w:ascii="Arial" w:hAnsi="Arial" w:eastAsia="Calibri" w:cs="Arial"/>
          <w:sz w:val="22"/>
        </w:rPr>
        <w:t xml:space="preserve"> proyecto</w:t>
      </w:r>
      <w:r>
        <w:rPr>
          <w:rFonts w:ascii="Arial" w:hAnsi="Arial" w:eastAsia="Calibri" w:cs="Arial"/>
          <w:sz w:val="22"/>
        </w:rPr>
        <w:t>;</w:t>
      </w:r>
      <w:r w:rsidRPr="00D6221C">
        <w:rPr>
          <w:rFonts w:ascii="Arial" w:hAnsi="Arial" w:eastAsia="Calibri" w:cs="Arial"/>
          <w:sz w:val="22"/>
        </w:rPr>
        <w:t xml:space="preserve"> o un plazo máximo para realizar labores de mantenimiento rutinario adicional. Es decir, el Documento Tipo no limita los ofrecimientos realizados por el oferente. No obstante, en el evento que resulte adjudicatario del Proceso de Contratación, el compromiso del factor de calidad se convierte en una obligación contractual que es de obligatorio cumplimiento, so pena de </w:t>
      </w:r>
      <w:r>
        <w:rPr>
          <w:rFonts w:ascii="Arial" w:hAnsi="Arial" w:eastAsia="Calibri" w:cs="Arial"/>
          <w:color w:val="000000" w:themeColor="text1"/>
          <w:sz w:val="22"/>
        </w:rPr>
        <w:t>las consecuencias asociadas a un incumplimiento contractual, entre otras cosas, la imposición de sanciones contractuales</w:t>
      </w:r>
      <w:r w:rsidRPr="00D6221C">
        <w:rPr>
          <w:rFonts w:ascii="Arial" w:hAnsi="Arial" w:eastAsia="Calibri" w:cs="Arial"/>
          <w:sz w:val="22"/>
        </w:rPr>
        <w:t xml:space="preserve">. </w:t>
      </w:r>
    </w:p>
    <w:p w:rsidRPr="00D6221C" w:rsidR="000A6BCB" w:rsidP="000A6BCB" w:rsidRDefault="000A6BCB" w14:paraId="5F358AED" w14:textId="77777777">
      <w:pPr>
        <w:spacing w:line="276" w:lineRule="auto"/>
        <w:ind w:firstLine="709"/>
        <w:jc w:val="both"/>
        <w:rPr>
          <w:rFonts w:ascii="Arial" w:hAnsi="Arial" w:cs="Arial"/>
          <w:sz w:val="22"/>
        </w:rPr>
      </w:pPr>
      <w:r w:rsidRPr="00D6221C">
        <w:rPr>
          <w:rFonts w:ascii="Arial" w:hAnsi="Arial" w:eastAsia="Calibri" w:cs="Arial"/>
          <w:sz w:val="22"/>
        </w:rPr>
        <w:t>En ese sentido, tampoco existe un deber o una facultad de las entidades para establecer topes a estos factores, ya que esto es dejado por el Documento Tipo a</w:t>
      </w:r>
      <w:r>
        <w:rPr>
          <w:rFonts w:ascii="Arial" w:hAnsi="Arial" w:eastAsia="Calibri" w:cs="Arial"/>
          <w:sz w:val="22"/>
        </w:rPr>
        <w:t xml:space="preserve"> </w:t>
      </w:r>
      <w:r w:rsidRPr="00D6221C">
        <w:rPr>
          <w:rFonts w:ascii="Arial" w:hAnsi="Arial" w:eastAsia="Calibri" w:cs="Arial"/>
          <w:sz w:val="22"/>
        </w:rPr>
        <w:t>l</w:t>
      </w:r>
      <w:r>
        <w:rPr>
          <w:rFonts w:ascii="Arial" w:hAnsi="Arial" w:eastAsia="Calibri" w:cs="Arial"/>
          <w:sz w:val="22"/>
        </w:rPr>
        <w:t>a</w:t>
      </w:r>
      <w:r w:rsidRPr="00D6221C">
        <w:rPr>
          <w:rFonts w:ascii="Arial" w:hAnsi="Arial" w:eastAsia="Calibri" w:cs="Arial"/>
          <w:sz w:val="22"/>
        </w:rPr>
        <w:t xml:space="preserve"> </w:t>
      </w:r>
      <w:r>
        <w:rPr>
          <w:rFonts w:ascii="Arial" w:hAnsi="Arial" w:eastAsia="Calibri" w:cs="Arial"/>
          <w:sz w:val="22"/>
        </w:rPr>
        <w:t>autonomía</w:t>
      </w:r>
      <w:r w:rsidRPr="00D6221C">
        <w:rPr>
          <w:rFonts w:ascii="Arial" w:hAnsi="Arial" w:eastAsia="Calibri" w:cs="Arial"/>
          <w:sz w:val="22"/>
        </w:rPr>
        <w:t xml:space="preserve"> de los oferentes, en la medida que la razonabilidad de los ofrecimientos</w:t>
      </w:r>
      <w:r>
        <w:rPr>
          <w:rFonts w:ascii="Arial" w:hAnsi="Arial" w:eastAsia="Calibri" w:cs="Arial"/>
          <w:sz w:val="22"/>
        </w:rPr>
        <w:t xml:space="preserve"> </w:t>
      </w:r>
      <w:r w:rsidRPr="00D6221C">
        <w:rPr>
          <w:rFonts w:ascii="Arial" w:hAnsi="Arial" w:eastAsia="Calibri" w:cs="Arial"/>
          <w:sz w:val="22"/>
        </w:rPr>
        <w:t xml:space="preserve">será producto de la libre competencia y </w:t>
      </w:r>
      <w:r>
        <w:rPr>
          <w:rFonts w:ascii="Arial" w:hAnsi="Arial" w:eastAsia="Calibri" w:cs="Arial"/>
          <w:sz w:val="22"/>
        </w:rPr>
        <w:t>de</w:t>
      </w:r>
      <w:r w:rsidRPr="00D6221C">
        <w:rPr>
          <w:rFonts w:ascii="Arial" w:hAnsi="Arial" w:eastAsia="Calibri" w:cs="Arial"/>
          <w:sz w:val="22"/>
        </w:rPr>
        <w:t xml:space="preserve"> la capacidad de los participantes del proceso de selección para materializar lo ofertado una vez adjudicado el contrato</w:t>
      </w:r>
      <w:r>
        <w:rPr>
          <w:rFonts w:ascii="Arial" w:hAnsi="Arial" w:eastAsia="Calibri" w:cs="Arial"/>
          <w:sz w:val="22"/>
        </w:rPr>
        <w:t xml:space="preserve">. </w:t>
      </w:r>
      <w:r>
        <w:rPr>
          <w:rFonts w:ascii="Arial" w:hAnsi="Arial" w:cs="Arial"/>
          <w:sz w:val="22"/>
        </w:rPr>
        <w:t>Finalmente, n</w:t>
      </w:r>
      <w:r w:rsidRPr="00D6221C">
        <w:rPr>
          <w:rFonts w:ascii="Arial" w:hAnsi="Arial" w:cs="Arial"/>
          <w:sz w:val="22"/>
        </w:rPr>
        <w:t xml:space="preserve">o hay lugar a </w:t>
      </w:r>
      <w:r>
        <w:rPr>
          <w:rFonts w:ascii="Arial" w:hAnsi="Arial" w:cs="Arial"/>
          <w:sz w:val="22"/>
        </w:rPr>
        <w:t xml:space="preserve">manipular o favorecer indebidamente a un proponente </w:t>
      </w:r>
      <w:r w:rsidRPr="00D6221C">
        <w:rPr>
          <w:rFonts w:ascii="Arial" w:hAnsi="Arial" w:cs="Arial"/>
          <w:sz w:val="22"/>
        </w:rPr>
        <w:t>por</w:t>
      </w:r>
      <w:r>
        <w:rPr>
          <w:rFonts w:ascii="Arial" w:hAnsi="Arial" w:cs="Arial"/>
          <w:sz w:val="22"/>
        </w:rPr>
        <w:t xml:space="preserve"> parte de la entidad contratante, debido a</w:t>
      </w:r>
      <w:r w:rsidRPr="00D6221C">
        <w:rPr>
          <w:rFonts w:ascii="Arial" w:hAnsi="Arial" w:cs="Arial"/>
          <w:sz w:val="22"/>
        </w:rPr>
        <w:t xml:space="preserve"> la justificación que conforme al numeral 4.2 del Documento Tipo se debe incluir en los documentos y estudios previos, y</w:t>
      </w:r>
      <w:r>
        <w:rPr>
          <w:rFonts w:ascii="Arial" w:hAnsi="Arial" w:cs="Arial"/>
          <w:sz w:val="22"/>
        </w:rPr>
        <w:t xml:space="preserve"> teniendo en cuenta que </w:t>
      </w:r>
      <w:r w:rsidRPr="00CA2AD9">
        <w:rPr>
          <w:rFonts w:ascii="Arial" w:hAnsi="Arial" w:cs="Arial"/>
          <w:sz w:val="22"/>
        </w:rPr>
        <w:t xml:space="preserve">depende del proponente definir </w:t>
      </w:r>
      <w:r>
        <w:rPr>
          <w:rFonts w:ascii="Arial" w:hAnsi="Arial" w:cs="Arial"/>
          <w:sz w:val="22"/>
        </w:rPr>
        <w:t>el alcance del factor de calidad</w:t>
      </w:r>
      <w:r w:rsidRPr="00CA2AD9">
        <w:rPr>
          <w:rFonts w:ascii="Arial" w:hAnsi="Arial" w:cs="Arial"/>
          <w:sz w:val="22"/>
        </w:rPr>
        <w:t xml:space="preserve"> que está en capacidad de ofertar, lo </w:t>
      </w:r>
      <w:r w:rsidRPr="00CA2AD9">
        <w:rPr>
          <w:rFonts w:ascii="Arial" w:hAnsi="Arial" w:cs="Arial"/>
          <w:sz w:val="22"/>
        </w:rPr>
        <w:lastRenderedPageBreak/>
        <w:t>cual reduce el riesgo de direccionamiento, fomenta la competencia e incrementa las condiciones de calidad para la entidad.</w:t>
      </w:r>
    </w:p>
    <w:p w:rsidRPr="00F17ED4" w:rsidR="000A6BCB" w:rsidP="000A6BCB" w:rsidRDefault="000A6BCB" w14:paraId="241F8449" w14:textId="77777777">
      <w:pPr>
        <w:spacing w:line="276" w:lineRule="auto"/>
        <w:ind w:left="708" w:right="709"/>
        <w:jc w:val="both"/>
        <w:rPr>
          <w:rFonts w:ascii="Arial" w:hAnsi="Arial" w:eastAsia="Calibri" w:cs="Arial"/>
          <w:sz w:val="21"/>
          <w:szCs w:val="21"/>
        </w:rPr>
      </w:pPr>
    </w:p>
    <w:p w:rsidRPr="00F17ED4" w:rsidR="000A6BCB" w:rsidP="000A6BCB" w:rsidRDefault="000A6BCB" w14:paraId="6822A45B" w14:textId="77777777">
      <w:pPr>
        <w:spacing w:line="276" w:lineRule="auto"/>
        <w:ind w:left="708" w:right="709"/>
        <w:jc w:val="both"/>
        <w:rPr>
          <w:rFonts w:ascii="Arial" w:hAnsi="Arial" w:eastAsia="Calibri" w:cs="Arial"/>
          <w:sz w:val="21"/>
          <w:szCs w:val="21"/>
        </w:rPr>
      </w:pPr>
      <w:r w:rsidRPr="00E70B94">
        <w:rPr>
          <w:rFonts w:ascii="Arial" w:hAnsi="Arial" w:eastAsia="Calibri" w:cs="Arial"/>
          <w:sz w:val="21"/>
          <w:szCs w:val="21"/>
        </w:rPr>
        <w:t>Respecto de la opción de factor de calidad de mantenimiento adicional, «</w:t>
      </w:r>
      <w:proofErr w:type="gramStart"/>
      <w:r w:rsidRPr="00E70B94">
        <w:rPr>
          <w:rFonts w:ascii="Arial" w:hAnsi="Arial" w:eastAsia="Calibri" w:cs="Arial"/>
          <w:sz w:val="21"/>
          <w:szCs w:val="21"/>
        </w:rPr>
        <w:t>[...]¿</w:t>
      </w:r>
      <w:proofErr w:type="gramEnd"/>
      <w:r w:rsidRPr="00E70B94">
        <w:rPr>
          <w:rFonts w:ascii="Arial" w:hAnsi="Arial" w:eastAsia="Calibri" w:cs="Arial"/>
          <w:sz w:val="21"/>
          <w:szCs w:val="21"/>
        </w:rPr>
        <w:t>se puede entender que el contratista adjudicado a cualquier proceso de contratación de obra pública de Infraestructura de Transporte no puede liquidar y dar por terminado el contrato de obra sino hasta cuando haya transcurrido la totalidad de meses de mantenimiento que ofertó? [...]»</w:t>
      </w:r>
    </w:p>
    <w:p w:rsidR="000A6BCB" w:rsidP="000A6BCB" w:rsidRDefault="000A6BCB" w14:paraId="14082DF9" w14:textId="77777777">
      <w:pPr>
        <w:spacing w:line="276" w:lineRule="auto"/>
        <w:ind w:left="708" w:right="709"/>
        <w:jc w:val="both"/>
        <w:rPr>
          <w:rFonts w:ascii="Arial" w:hAnsi="Arial" w:eastAsia="Calibri" w:cs="Arial"/>
          <w:sz w:val="22"/>
          <w:highlight w:val="yellow"/>
        </w:rPr>
      </w:pPr>
    </w:p>
    <w:p w:rsidR="000A6BCB" w:rsidP="000A6BCB" w:rsidRDefault="000A6BCB" w14:paraId="18D8670D" w14:textId="77777777">
      <w:pPr>
        <w:spacing w:line="276" w:lineRule="auto"/>
        <w:jc w:val="both"/>
        <w:rPr>
          <w:rFonts w:ascii="Arial" w:hAnsi="Arial" w:cs="Arial"/>
          <w:sz w:val="22"/>
        </w:rPr>
      </w:pPr>
      <w:r>
        <w:rPr>
          <w:rFonts w:ascii="Arial" w:hAnsi="Arial" w:cs="Arial"/>
          <w:sz w:val="22"/>
        </w:rPr>
        <w:t>En el «Documento Base» se indica que el ofrecimiento del «Mantenimiento adicional» contará a partir de la terminación de las obras objeto del Proceso de Contratación y hará parte del periodo de ejecución del contrato. En este sentido, no es posible que se liquide el contrato sin que haya finalizado el término del mantenimiento, ya que este hace parte del periodo de ejecución de contrato. Una vez finalizado el plazo ofrecido de «Mantenimiento adicional» será posible liquidarlo.</w:t>
      </w:r>
    </w:p>
    <w:p w:rsidRPr="00390862" w:rsidR="000A6BCB" w:rsidP="000A6BCB" w:rsidRDefault="000A6BCB" w14:paraId="40F61D0A" w14:textId="77777777">
      <w:pPr>
        <w:spacing w:line="276" w:lineRule="auto"/>
        <w:jc w:val="both"/>
        <w:rPr>
          <w:rFonts w:ascii="Arial" w:hAnsi="Arial" w:cs="Arial"/>
          <w:sz w:val="22"/>
        </w:rPr>
      </w:pPr>
    </w:p>
    <w:p w:rsidR="000A6BCB" w:rsidP="000A6BCB" w:rsidRDefault="000A6BCB" w14:paraId="3CC4CEC4" w14:textId="77777777">
      <w:pPr>
        <w:spacing w:line="276" w:lineRule="auto"/>
        <w:jc w:val="both"/>
        <w:rPr>
          <w:rFonts w:ascii="Arial" w:hAnsi="Arial" w:eastAsia="Calibri" w:cs="Arial"/>
          <w:sz w:val="22"/>
        </w:rPr>
      </w:pPr>
    </w:p>
    <w:p w:rsidR="000A6BCB" w:rsidP="000A6BCB" w:rsidRDefault="000A6BCB" w14:paraId="653D0FA4" w14:textId="77777777">
      <w:pPr>
        <w:spacing w:line="276" w:lineRule="auto"/>
        <w:jc w:val="both"/>
        <w:rPr>
          <w:rFonts w:ascii="Arial" w:hAnsi="Arial" w:eastAsia="Calibri" w:cs="Arial"/>
          <w:sz w:val="22"/>
        </w:rPr>
      </w:pPr>
      <w:r>
        <w:rPr>
          <w:rFonts w:ascii="Arial" w:hAnsi="Arial" w:eastAsia="Calibri" w:cs="Arial"/>
          <w:sz w:val="22"/>
        </w:rPr>
        <w:t>Este concepto tiene el alcance previsto en el artículo 28 del Código de Procedimiento Administrativo y de lo Contencioso Administrativo.</w:t>
      </w:r>
    </w:p>
    <w:p w:rsidR="000A6BCB" w:rsidP="000A6BCB" w:rsidRDefault="000A6BCB" w14:paraId="728DE9A1" w14:textId="77777777">
      <w:pPr>
        <w:spacing w:line="276" w:lineRule="auto"/>
        <w:jc w:val="both"/>
        <w:rPr>
          <w:rFonts w:ascii="Arial" w:hAnsi="Arial" w:eastAsia="Calibri" w:cs="Arial"/>
          <w:sz w:val="22"/>
        </w:rPr>
      </w:pPr>
    </w:p>
    <w:p w:rsidR="000A6BCB" w:rsidP="000A6BCB" w:rsidRDefault="000A6BCB" w14:paraId="4948CAA3" w14:textId="77777777">
      <w:pPr>
        <w:jc w:val="both"/>
        <w:rPr>
          <w:rFonts w:ascii="Arial" w:hAnsi="Arial" w:eastAsia="Calibri" w:cs="Arial"/>
          <w:sz w:val="22"/>
        </w:rPr>
      </w:pPr>
      <w:r>
        <w:rPr>
          <w:noProof/>
          <w:lang w:val="en-US"/>
        </w:rPr>
        <mc:AlternateContent>
          <mc:Choice Requires="wps">
            <w:drawing>
              <wp:anchor distT="0" distB="0" distL="114300" distR="114300" simplePos="0" relativeHeight="251659264" behindDoc="0" locked="0" layoutInCell="1" allowOverlap="1" wp14:anchorId="31D7C2E5" wp14:editId="3D5C8CAE">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0756DD4D">
              <v:line id="Conector recto 4"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04F77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w10:wrap anchorx="page"/>
              </v:line>
            </w:pict>
          </mc:Fallback>
        </mc:AlternateContent>
      </w:r>
    </w:p>
    <w:p w:rsidR="000A6BCB" w:rsidP="000A6BCB" w:rsidRDefault="000A6BCB" w14:paraId="0892A084" w14:textId="77777777">
      <w:pPr>
        <w:rPr>
          <w:rFonts w:ascii="Arial" w:hAnsi="Arial" w:eastAsia="Times New Roman" w:cs="Arial"/>
          <w:sz w:val="22"/>
          <w:lang w:eastAsia="es-CO"/>
        </w:rPr>
      </w:pPr>
      <w:r>
        <w:rPr>
          <w:rFonts w:ascii="Arial" w:hAnsi="Arial" w:eastAsia="Times New Roman" w:cs="Arial"/>
          <w:sz w:val="22"/>
          <w:lang w:eastAsia="es-CO"/>
        </w:rPr>
        <w:t>Atentamente,</w:t>
      </w:r>
    </w:p>
    <w:p w:rsidR="000A6BCB" w:rsidP="000A6BCB" w:rsidRDefault="000A6BCB" w14:paraId="7C249E7F" w14:textId="77777777">
      <w:pPr>
        <w:rPr>
          <w:rFonts w:ascii="Arial" w:hAnsi="Arial" w:eastAsia="Times New Roman" w:cs="Arial"/>
          <w:sz w:val="22"/>
          <w:lang w:eastAsia="es-CO"/>
        </w:rPr>
      </w:pPr>
    </w:p>
    <w:p w:rsidR="000A6BCB" w:rsidP="000A6BCB" w:rsidRDefault="00C15A1C" w14:paraId="23E17755" w14:textId="54257E30">
      <w:pPr>
        <w:jc w:val="center"/>
        <w:rPr>
          <w:rFonts w:ascii="Arial" w:hAnsi="Arial" w:eastAsia="Times New Roman" w:cs="Arial"/>
          <w:sz w:val="22"/>
          <w:lang w:eastAsia="es-CO"/>
        </w:rPr>
      </w:pPr>
      <w:r w:rsidR="00C15A1C">
        <w:drawing>
          <wp:inline wp14:editId="35429D8D" wp14:anchorId="3D66E2F6">
            <wp:extent cx="2773144" cy="988695"/>
            <wp:effectExtent l="0" t="0" r="0" b="0"/>
            <wp:docPr id="762568660" name="Imagen 20" title=""/>
            <wp:cNvGraphicFramePr>
              <a:graphicFrameLocks noChangeAspect="1"/>
            </wp:cNvGraphicFramePr>
            <a:graphic>
              <a:graphicData uri="http://schemas.openxmlformats.org/drawingml/2006/picture">
                <pic:pic>
                  <pic:nvPicPr>
                    <pic:cNvPr id="0" name="Imagen 20"/>
                    <pic:cNvPicPr/>
                  </pic:nvPicPr>
                  <pic:blipFill>
                    <a:blip r:embed="R3d52536308774f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000A6BCB" w:rsidP="000A6BCB" w:rsidRDefault="000A6BCB" w14:paraId="1BABC1D6"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000A6BCB" w:rsidTr="00BE3F4F" w14:paraId="2EC933B1" w14:textId="77777777">
        <w:trPr>
          <w:trHeight w:val="315"/>
        </w:trPr>
        <w:tc>
          <w:tcPr>
            <w:tcW w:w="488" w:type="dxa"/>
            <w:vAlign w:val="center"/>
            <w:hideMark/>
          </w:tcPr>
          <w:p w:rsidR="000A6BCB" w:rsidP="00BE3F4F" w:rsidRDefault="000A6BCB" w14:paraId="2737ECEF" w14:textId="77777777">
            <w:pPr>
              <w:rPr>
                <w:rFonts w:ascii="Arial" w:hAnsi="Arial" w:eastAsia="Times New Roman" w:cs="Arial"/>
                <w:sz w:val="16"/>
                <w:szCs w:val="16"/>
                <w:lang w:eastAsia="es-ES"/>
              </w:rPr>
            </w:pPr>
            <w:r>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000A6BCB" w:rsidP="00BE3F4F" w:rsidRDefault="000A6BCB" w14:paraId="27895D86" w14:textId="77777777">
            <w:pPr>
              <w:rPr>
                <w:rFonts w:ascii="Arial" w:hAnsi="Arial" w:eastAsia="Times New Roman" w:cs="Arial"/>
                <w:sz w:val="16"/>
                <w:szCs w:val="16"/>
                <w:lang w:eastAsia="es-ES"/>
              </w:rPr>
            </w:pPr>
            <w:r>
              <w:rPr>
                <w:rFonts w:ascii="Arial" w:hAnsi="Arial" w:eastAsia="Times New Roman" w:cs="Arial"/>
                <w:sz w:val="16"/>
                <w:szCs w:val="16"/>
                <w:lang w:eastAsia="es-ES"/>
              </w:rPr>
              <w:t>Ximena Ríos López</w:t>
            </w:r>
          </w:p>
          <w:p w:rsidR="000A6BCB" w:rsidP="00BE3F4F" w:rsidRDefault="000A6BCB" w14:paraId="5BD5A935" w14:textId="77777777">
            <w:pPr>
              <w:rPr>
                <w:rFonts w:ascii="Arial" w:hAnsi="Arial" w:eastAsia="Times New Roman" w:cs="Arial"/>
                <w:sz w:val="16"/>
                <w:szCs w:val="16"/>
                <w:lang w:eastAsia="es-ES"/>
              </w:rPr>
            </w:pPr>
            <w:r>
              <w:rPr>
                <w:rFonts w:ascii="Arial" w:hAnsi="Arial" w:eastAsia="Times New Roman" w:cs="Arial"/>
                <w:sz w:val="16"/>
                <w:szCs w:val="16"/>
                <w:lang w:eastAsia="es-ES"/>
              </w:rPr>
              <w:t>Gestor T1-11</w:t>
            </w:r>
          </w:p>
        </w:tc>
      </w:tr>
      <w:tr w:rsidR="000A6BCB" w:rsidTr="00BE3F4F" w14:paraId="52197BE0" w14:textId="77777777">
        <w:trPr>
          <w:trHeight w:val="330"/>
        </w:trPr>
        <w:tc>
          <w:tcPr>
            <w:tcW w:w="488" w:type="dxa"/>
            <w:vAlign w:val="center"/>
            <w:hideMark/>
          </w:tcPr>
          <w:p w:rsidR="000A6BCB" w:rsidP="00BE3F4F" w:rsidRDefault="000A6BCB" w14:paraId="77D0D42E" w14:textId="77777777">
            <w:pPr>
              <w:rPr>
                <w:rFonts w:ascii="Arial" w:hAnsi="Arial" w:eastAsia="Times New Roman" w:cs="Arial"/>
                <w:sz w:val="16"/>
                <w:szCs w:val="16"/>
                <w:lang w:eastAsia="es-ES"/>
              </w:rPr>
            </w:pPr>
            <w:r>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0A6BCB" w:rsidP="00BE3F4F" w:rsidRDefault="000A6BCB" w14:paraId="2168E279" w14:textId="77777777">
            <w:pPr>
              <w:rPr>
                <w:rFonts w:ascii="Arial" w:hAnsi="Arial" w:eastAsia="Times New Roman" w:cs="Arial"/>
                <w:sz w:val="16"/>
                <w:szCs w:val="16"/>
                <w:lang w:eastAsia="es-ES"/>
              </w:rPr>
            </w:pPr>
            <w:r>
              <w:rPr>
                <w:rFonts w:ascii="Arial" w:hAnsi="Arial" w:eastAsia="Times New Roman" w:cs="Arial"/>
                <w:sz w:val="16"/>
                <w:szCs w:val="16"/>
                <w:lang w:eastAsia="es-ES"/>
              </w:rPr>
              <w:t>Sebastián Ramírez Grisales</w:t>
            </w:r>
          </w:p>
          <w:p w:rsidR="000A6BCB" w:rsidP="00BE3F4F" w:rsidRDefault="000A6BCB" w14:paraId="4FC4F5E0" w14:textId="77777777">
            <w:pPr>
              <w:rPr>
                <w:rFonts w:ascii="Arial" w:hAnsi="Arial" w:eastAsia="Times New Roman" w:cs="Arial"/>
                <w:sz w:val="16"/>
                <w:szCs w:val="16"/>
                <w:lang w:eastAsia="es-ES"/>
              </w:rPr>
            </w:pPr>
            <w:r>
              <w:rPr>
                <w:rFonts w:ascii="Arial" w:hAnsi="Arial" w:eastAsia="Times New Roman" w:cs="Arial"/>
                <w:sz w:val="16"/>
                <w:szCs w:val="16"/>
                <w:lang w:eastAsia="es-ES"/>
              </w:rPr>
              <w:t>Contratista – Subdirección de Gestión Contractual</w:t>
            </w:r>
          </w:p>
        </w:tc>
      </w:tr>
      <w:tr w:rsidR="000A6BCB" w:rsidTr="00BE3F4F" w14:paraId="154F9CB9" w14:textId="77777777">
        <w:trPr>
          <w:trHeight w:val="300"/>
        </w:trPr>
        <w:tc>
          <w:tcPr>
            <w:tcW w:w="488" w:type="dxa"/>
            <w:vAlign w:val="center"/>
            <w:hideMark/>
          </w:tcPr>
          <w:p w:rsidR="000A6BCB" w:rsidP="00BE3F4F" w:rsidRDefault="000A6BCB" w14:paraId="36B210A0" w14:textId="77777777">
            <w:pPr>
              <w:rPr>
                <w:rFonts w:ascii="Arial" w:hAnsi="Arial" w:eastAsia="Times New Roman" w:cs="Arial"/>
                <w:sz w:val="16"/>
                <w:szCs w:val="16"/>
                <w:lang w:eastAsia="es-ES"/>
              </w:rPr>
            </w:pPr>
            <w:r>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0A6BCB" w:rsidP="00BE3F4F" w:rsidRDefault="000A6BCB" w14:paraId="68349234" w14:textId="77777777">
            <w:pPr>
              <w:rPr>
                <w:rFonts w:ascii="Arial" w:hAnsi="Arial" w:eastAsia="Times New Roman" w:cs="Arial"/>
                <w:sz w:val="16"/>
                <w:szCs w:val="16"/>
                <w:lang w:eastAsia="es-ES"/>
              </w:rPr>
            </w:pPr>
            <w:r>
              <w:rPr>
                <w:rFonts w:ascii="Arial" w:hAnsi="Arial" w:eastAsia="Times New Roman" w:cs="Arial"/>
                <w:sz w:val="16"/>
                <w:szCs w:val="16"/>
                <w:lang w:eastAsia="es-ES"/>
              </w:rPr>
              <w:t>Fabián Gonzalo Marín Cortés</w:t>
            </w:r>
          </w:p>
          <w:p w:rsidR="000A6BCB" w:rsidP="00BE3F4F" w:rsidRDefault="000A6BCB" w14:paraId="43D9CB0D" w14:textId="77777777">
            <w:pPr>
              <w:rPr>
                <w:rFonts w:ascii="Arial" w:hAnsi="Arial" w:eastAsia="Times New Roman" w:cs="Arial"/>
                <w:sz w:val="16"/>
                <w:szCs w:val="16"/>
                <w:lang w:eastAsia="es-ES"/>
              </w:rPr>
            </w:pPr>
            <w:r>
              <w:rPr>
                <w:rFonts w:ascii="Arial" w:hAnsi="Arial" w:eastAsia="Times New Roman" w:cs="Arial"/>
                <w:sz w:val="16"/>
                <w:szCs w:val="16"/>
                <w:lang w:eastAsia="es-ES"/>
              </w:rPr>
              <w:t>Subdirector de Gestión Contractual</w:t>
            </w:r>
          </w:p>
        </w:tc>
      </w:tr>
      <w:tr w:rsidR="000A6BCB" w:rsidTr="00BE3F4F" w14:paraId="20B733D9" w14:textId="77777777">
        <w:trPr>
          <w:trHeight w:val="300"/>
        </w:trPr>
        <w:tc>
          <w:tcPr>
            <w:tcW w:w="488" w:type="dxa"/>
            <w:vAlign w:val="center"/>
            <w:hideMark/>
          </w:tcPr>
          <w:p w:rsidR="000A6BCB" w:rsidP="00BE3F4F" w:rsidRDefault="000A6BCB" w14:paraId="2A3C275F" w14:textId="77777777">
            <w:pPr>
              <w:rPr>
                <w:rFonts w:ascii="Arial" w:hAnsi="Arial" w:eastAsia="Times New Roman" w:cs="Arial"/>
                <w:sz w:val="16"/>
                <w:szCs w:val="16"/>
                <w:lang w:eastAsia="es-ES"/>
              </w:rPr>
            </w:pPr>
            <w:r>
              <w:rPr>
                <w:rFonts w:ascii="Arial" w:hAnsi="Arial" w:eastAsia="Times New Roman" w:cs="Arial"/>
                <w:sz w:val="16"/>
                <w:szCs w:val="16"/>
                <w:lang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0A6BCB" w:rsidP="00BE3F4F" w:rsidRDefault="000A6BCB" w14:paraId="60BF29E6" w14:textId="77777777">
            <w:pPr>
              <w:rPr>
                <w:rFonts w:ascii="Arial" w:hAnsi="Arial" w:eastAsia="Times New Roman" w:cs="Arial"/>
                <w:sz w:val="16"/>
                <w:szCs w:val="16"/>
                <w:lang w:eastAsia="es-ES"/>
              </w:rPr>
            </w:pPr>
            <w:r>
              <w:rPr>
                <w:rFonts w:ascii="Arial" w:hAnsi="Arial" w:eastAsia="Times New Roman" w:cs="Arial"/>
                <w:sz w:val="16"/>
                <w:szCs w:val="16"/>
                <w:lang w:eastAsia="es-ES"/>
              </w:rPr>
              <w:t>0</w:t>
            </w:r>
          </w:p>
        </w:tc>
      </w:tr>
    </w:tbl>
    <w:p w:rsidRPr="00AC5C82" w:rsidR="000A6BCB" w:rsidP="000A6BCB" w:rsidRDefault="000A6BCB" w14:paraId="2F4CD6C3" w14:textId="77777777"/>
    <w:bookmarkEnd w:id="0"/>
    <w:p w:rsidRPr="000A6BCB" w:rsidR="007B0854" w:rsidP="000A6BCB" w:rsidRDefault="007B0854" w14:paraId="7EBF297E" w14:textId="77777777"/>
    <w:sectPr w:rsidRPr="000A6BCB" w:rsidR="007B0854"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6E95" w:rsidRDefault="00106E95" w14:paraId="403151D3" w14:textId="77777777">
      <w:r>
        <w:separator/>
      </w:r>
    </w:p>
  </w:endnote>
  <w:endnote w:type="continuationSeparator" w:id="0">
    <w:p w:rsidR="00106E95" w:rsidRDefault="00106E95" w14:paraId="50527E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A34D2" w:rsidP="007B0854" w:rsidRDefault="004A34D2" w14:paraId="6E90F2C9" w14:textId="77777777">
    <w:pPr>
      <w:pStyle w:val="Sinespaciado"/>
      <w:jc w:val="center"/>
      <w:rPr>
        <w:rFonts w:ascii="Arial" w:hAnsi="Arial" w:cs="Arial"/>
        <w:sz w:val="18"/>
        <w:szCs w:val="18"/>
      </w:rPr>
    </w:pPr>
  </w:p>
  <w:p w:rsidRPr="005A79FE" w:rsidR="007B0854" w:rsidP="005A79FE" w:rsidRDefault="005A79FE" w14:paraId="312C4A14" w14:textId="5589270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15A1C">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15A1C">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rsidR="009047C5" w:rsidP="007B0854" w:rsidRDefault="007B0854" w14:paraId="48FC6A04" w14:textId="0E0B8C38">
    <w:pPr>
      <w:pStyle w:val="Piedepgina"/>
      <w:jc w:val="center"/>
      <w:rPr>
        <w:lang w:val="es-ES"/>
      </w:rPr>
    </w:pPr>
    <w:r w:rsidR="5B61328C">
      <w:drawing>
        <wp:inline wp14:editId="7C4E2B02" wp14:anchorId="608B196D">
          <wp:extent cx="4241994" cy="595165"/>
          <wp:effectExtent l="0" t="0" r="6350" b="0"/>
          <wp:docPr id="173127467" name="Imagen 12" title=""/>
          <wp:cNvGraphicFramePr>
            <a:graphicFrameLocks noChangeAspect="1"/>
          </wp:cNvGraphicFramePr>
          <a:graphic>
            <a:graphicData uri="http://schemas.openxmlformats.org/drawingml/2006/picture">
              <pic:pic>
                <pic:nvPicPr>
                  <pic:cNvPr id="0" name="Imagen 12"/>
                  <pic:cNvPicPr/>
                </pic:nvPicPr>
                <pic:blipFill>
                  <a:blip r:embed="R383d4148486e484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6E95" w:rsidRDefault="00106E95" w14:paraId="2321199D" w14:textId="77777777">
      <w:r>
        <w:separator/>
      </w:r>
    </w:p>
  </w:footnote>
  <w:footnote w:type="continuationSeparator" w:id="0">
    <w:p w:rsidR="00106E95" w:rsidRDefault="00106E95" w14:paraId="0609073A" w14:textId="77777777">
      <w:r>
        <w:continuationSeparator/>
      </w:r>
    </w:p>
  </w:footnote>
  <w:footnote w:id="1">
    <w:p w:rsidRPr="00DF492B" w:rsidR="000A6BCB" w:rsidP="000A6BCB" w:rsidRDefault="000A6BCB" w14:paraId="1FA0E2DC" w14:textId="77777777">
      <w:pPr>
        <w:pStyle w:val="Textonotapie"/>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rsidRPr="00DF492B" w:rsidR="000A6BCB" w:rsidP="000A6BCB" w:rsidRDefault="000A6BCB" w14:paraId="7A2BD74D" w14:textId="77777777">
      <w:pPr>
        <w:pStyle w:val="Textonotapie"/>
        <w:ind w:firstLine="708"/>
        <w:jc w:val="both"/>
        <w:rPr>
          <w:rFonts w:ascii="Arial" w:hAnsi="Arial" w:cs="Arial"/>
          <w:sz w:val="19"/>
          <w:szCs w:val="19"/>
        </w:rPr>
      </w:pPr>
      <w:r w:rsidRPr="00DF492B">
        <w:rPr>
          <w:rFonts w:ascii="Arial" w:hAnsi="Arial" w:cs="Arial"/>
          <w:sz w:val="19"/>
          <w:szCs w:val="19"/>
        </w:rPr>
        <w:t>»El segundo sobre deberá incluir únicamente la propuesta económica de conformidad con todos los requisitos exigidos en el pliego de condiciones.</w:t>
      </w:r>
    </w:p>
    <w:p w:rsidRPr="00DF492B" w:rsidR="000A6BCB" w:rsidP="000A6BCB" w:rsidRDefault="000A6BCB" w14:paraId="7EEFACD0" w14:textId="77777777">
      <w:pPr>
        <w:pStyle w:val="Textonotapie"/>
        <w:ind w:firstLine="708"/>
        <w:jc w:val="both"/>
        <w:rPr>
          <w:rFonts w:ascii="Arial" w:hAnsi="Arial" w:cs="Arial"/>
          <w:sz w:val="19"/>
          <w:szCs w:val="19"/>
        </w:rPr>
      </w:pPr>
      <w:r w:rsidRPr="00DF492B">
        <w:rPr>
          <w:rFonts w:ascii="Arial" w:hAnsi="Arial" w:cs="Arial"/>
          <w:sz w:val="19"/>
          <w:szCs w:val="19"/>
        </w:rPr>
        <w:t>[…]</w:t>
      </w:r>
      <w:r w:rsidRPr="00DF492B">
        <w:rPr>
          <w:rFonts w:ascii="Arial" w:hAnsi="Arial" w:eastAsia="Calibri" w:cs="Arial"/>
          <w:sz w:val="19"/>
          <w:szCs w:val="19"/>
        </w:rPr>
        <w:t>»</w:t>
      </w:r>
      <w:r w:rsidRPr="00DF492B">
        <w:rPr>
          <w:rFonts w:ascii="Arial" w:hAnsi="Arial" w:cs="Arial"/>
          <w:sz w:val="19"/>
          <w:szCs w:val="19"/>
        </w:rPr>
        <w:t>.</w:t>
      </w:r>
    </w:p>
    <w:p w:rsidRPr="00DF492B" w:rsidR="000A6BCB" w:rsidP="000A6BCB" w:rsidRDefault="000A6BCB" w14:paraId="4BC5B3E7" w14:textId="77777777">
      <w:pPr>
        <w:pStyle w:val="Textonotapie"/>
        <w:ind w:firstLine="708"/>
        <w:jc w:val="both"/>
        <w:rPr>
          <w:rFonts w:ascii="Arial" w:hAnsi="Arial" w:cs="Arial"/>
          <w:sz w:val="19"/>
          <w:szCs w:val="19"/>
          <w:lang w:val="es-CO"/>
        </w:rPr>
      </w:pPr>
    </w:p>
  </w:footnote>
  <w:footnote w:id="2">
    <w:p w:rsidRPr="00DF492B" w:rsidR="000A6BCB" w:rsidP="000A6BCB" w:rsidRDefault="000A6BCB" w14:paraId="7A9386FF" w14:textId="77777777">
      <w:pPr>
        <w:pStyle w:val="Textonotapie"/>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Colombia Compra Eficiente. Circular Externa Única. Numeral 5: «[...]una vez vencido el término para presentar ofertas, la Entidad Estatal debe realizar la apertura de las propuestas en presencia de los proponentes o veedores que deseen asisti</w:t>
      </w:r>
      <w:r>
        <w:rPr>
          <w:rFonts w:ascii="Arial" w:hAnsi="Arial" w:cs="Arial"/>
          <w:sz w:val="19"/>
          <w:szCs w:val="19"/>
        </w:rPr>
        <w:t>r</w:t>
      </w:r>
      <w:r w:rsidRPr="00DF492B">
        <w:rPr>
          <w:rFonts w:ascii="Arial" w:hAnsi="Arial" w:cs="Arial"/>
          <w:sz w:val="19"/>
          <w:szCs w:val="19"/>
        </w:rPr>
        <w:t>[...]».</w:t>
      </w:r>
    </w:p>
    <w:p w:rsidRPr="00DF492B" w:rsidR="000A6BCB" w:rsidP="000A6BCB" w:rsidRDefault="000A6BCB" w14:paraId="08AEDBED" w14:textId="77777777">
      <w:pPr>
        <w:pStyle w:val="Textonotapie"/>
        <w:ind w:firstLine="708"/>
        <w:jc w:val="both"/>
        <w:rPr>
          <w:rFonts w:ascii="Arial" w:hAnsi="Arial" w:cs="Arial"/>
          <w:sz w:val="19"/>
          <w:szCs w:val="19"/>
          <w:lang w:val="es-ES"/>
        </w:rPr>
      </w:pPr>
      <w:r w:rsidRPr="00DF492B">
        <w:rPr>
          <w:rFonts w:ascii="Arial" w:hAnsi="Arial" w:cs="Arial"/>
          <w:sz w:val="19"/>
          <w:szCs w:val="19"/>
        </w:rPr>
        <w:t xml:space="preserve"> </w:t>
      </w:r>
    </w:p>
  </w:footnote>
  <w:footnote w:id="3">
    <w:p w:rsidRPr="00CE3F73" w:rsidR="000A6BCB" w:rsidP="000A6BCB" w:rsidRDefault="000A6BCB" w14:paraId="3737CD2B" w14:textId="77777777">
      <w:pPr>
        <w:pStyle w:val="Textonotapie"/>
        <w:ind w:firstLine="708"/>
        <w:jc w:val="both"/>
        <w:rPr>
          <w:rFonts w:ascii="Arial" w:hAnsi="Arial" w:cs="Arial"/>
          <w:sz w:val="19"/>
          <w:szCs w:val="19"/>
        </w:rPr>
      </w:pPr>
      <w:r>
        <w:rPr>
          <w:rStyle w:val="Refdenotaalpie"/>
        </w:rPr>
        <w:footnoteRef/>
      </w:r>
      <w:r>
        <w:t xml:space="preserve"> </w:t>
      </w:r>
      <w:r w:rsidRPr="00DF492B">
        <w:rPr>
          <w:rFonts w:ascii="Arial" w:hAnsi="Arial" w:cs="Arial"/>
          <w:sz w:val="19"/>
          <w:szCs w:val="19"/>
        </w:rPr>
        <w:t>Ley 1882 de 2018: «Artículo 1. […]</w:t>
      </w:r>
      <w:r>
        <w:rPr>
          <w:rFonts w:ascii="Arial" w:hAnsi="Arial" w:cs="Arial"/>
          <w:sz w:val="19"/>
          <w:szCs w:val="19"/>
        </w:rPr>
        <w:t xml:space="preserve"> </w:t>
      </w:r>
      <w:r w:rsidRPr="00CE3F73">
        <w:rPr>
          <w:rFonts w:ascii="Arial" w:hAnsi="Arial" w:cs="Arial"/>
          <w:sz w:val="19"/>
          <w:szCs w:val="19"/>
        </w:rPr>
        <w:t>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rsidRPr="00CE3F73" w:rsidR="000A6BCB" w:rsidP="000A6BCB" w:rsidRDefault="000A6BCB" w14:paraId="72C6BBB1" w14:textId="77777777">
      <w:pPr>
        <w:pStyle w:val="Textonotapie"/>
        <w:ind w:firstLine="708"/>
        <w:jc w:val="both"/>
        <w:rPr>
          <w:rFonts w:ascii="Arial" w:hAnsi="Arial" w:cs="Arial"/>
          <w:sz w:val="19"/>
          <w:szCs w:val="19"/>
        </w:rPr>
      </w:pPr>
      <w:r w:rsidRPr="00DF492B">
        <w:rPr>
          <w:rFonts w:ascii="Arial" w:hAnsi="Arial" w:cs="Arial"/>
          <w:sz w:val="19"/>
          <w:szCs w:val="19"/>
        </w:rPr>
        <w:t>»</w:t>
      </w:r>
      <w:r w:rsidRPr="00CE3F73">
        <w:rPr>
          <w:rFonts w:ascii="Arial" w:hAnsi="Arial" w:cs="Arial"/>
          <w:sz w:val="19"/>
          <w:szCs w:val="19"/>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p w:rsidRPr="00DF492B" w:rsidR="000A6BCB" w:rsidP="000A6BCB" w:rsidRDefault="000A6BCB" w14:paraId="4D1B63AB" w14:textId="77777777">
      <w:pPr>
        <w:pStyle w:val="Textonotapie"/>
        <w:ind w:firstLine="708"/>
        <w:jc w:val="both"/>
        <w:rPr>
          <w:rFonts w:ascii="Arial" w:hAnsi="Arial" w:cs="Arial"/>
          <w:sz w:val="19"/>
          <w:szCs w:val="19"/>
        </w:rPr>
      </w:pPr>
      <w:r w:rsidRPr="00DF492B">
        <w:rPr>
          <w:rFonts w:ascii="Arial" w:hAnsi="Arial" w:cs="Arial"/>
          <w:sz w:val="19"/>
          <w:szCs w:val="19"/>
        </w:rPr>
        <w:t>»</w:t>
      </w:r>
      <w:r w:rsidRPr="00CE3F73">
        <w:rPr>
          <w:rFonts w:ascii="Arial" w:hAnsi="Arial" w:cs="Arial"/>
          <w:sz w:val="19"/>
          <w:szCs w:val="19"/>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sidRPr="00DF492B">
        <w:rPr>
          <w:rFonts w:ascii="Arial" w:hAnsi="Arial" w:eastAsia="Calibri" w:cs="Arial"/>
          <w:sz w:val="19"/>
          <w:szCs w:val="19"/>
        </w:rPr>
        <w:t>»</w:t>
      </w:r>
      <w:r w:rsidRPr="00DF492B">
        <w:rPr>
          <w:rFonts w:ascii="Arial" w:hAnsi="Arial" w:cs="Arial"/>
          <w:sz w:val="19"/>
          <w:szCs w:val="19"/>
        </w:rPr>
        <w:t>.</w:t>
      </w:r>
    </w:p>
    <w:p w:rsidRPr="00CE3F73" w:rsidR="000A6BCB" w:rsidP="000A6BCB" w:rsidRDefault="000A6BCB" w14:paraId="2ECB8664" w14:textId="77777777">
      <w:pPr>
        <w:pStyle w:val="Textonotapie"/>
        <w:ind w:firstLine="708"/>
        <w:rPr>
          <w:lang w:val="es-ES"/>
        </w:rPr>
      </w:pPr>
    </w:p>
  </w:footnote>
  <w:footnote w:id="4">
    <w:p w:rsidRPr="0018418C" w:rsidR="000A6BCB" w:rsidP="000A6BCB" w:rsidRDefault="000A6BCB" w14:paraId="50EF7A0D" w14:textId="77777777">
      <w:pPr>
        <w:pStyle w:val="Textonotapie"/>
        <w:ind w:firstLine="708"/>
        <w:jc w:val="both"/>
        <w:rPr>
          <w:rFonts w:ascii="Arial" w:hAnsi="Arial" w:cs="Arial"/>
          <w:sz w:val="19"/>
          <w:szCs w:val="19"/>
        </w:rPr>
      </w:pPr>
      <w:r>
        <w:rPr>
          <w:rStyle w:val="Refdenotaalpie"/>
        </w:rPr>
        <w:footnoteRef/>
      </w:r>
      <w:r>
        <w:t xml:space="preserve"> </w:t>
      </w:r>
      <w:r w:rsidRPr="0018418C">
        <w:rPr>
          <w:rFonts w:ascii="Arial" w:hAnsi="Arial" w:cs="Arial"/>
          <w:sz w:val="19"/>
          <w:szCs w:val="19"/>
        </w:rPr>
        <w:t xml:space="preserve">Ley 80 de 1993: </w:t>
      </w:r>
      <w:r w:rsidRPr="0018418C">
        <w:rPr>
          <w:rFonts w:ascii="Arial" w:hAnsi="Arial" w:eastAsia="Calibri" w:cs="Arial"/>
          <w:sz w:val="19"/>
          <w:szCs w:val="19"/>
        </w:rPr>
        <w:t>«</w:t>
      </w:r>
      <w:r w:rsidRPr="0018418C">
        <w:rPr>
          <w:rFonts w:ascii="Arial" w:hAnsi="Arial" w:cs="Arial"/>
          <w:sz w:val="19"/>
          <w:szCs w:val="19"/>
        </w:rPr>
        <w:t>Articulo 24. Del principio de transparencia. En virtud de este principio:</w:t>
      </w:r>
    </w:p>
    <w:p w:rsidRPr="0018418C" w:rsidR="000A6BCB" w:rsidP="000A6BCB" w:rsidRDefault="000A6BCB" w14:paraId="0E2A28C1" w14:textId="77777777">
      <w:pPr>
        <w:pStyle w:val="Textonotapie"/>
        <w:ind w:firstLine="708"/>
        <w:jc w:val="both"/>
        <w:rPr>
          <w:rFonts w:ascii="Arial" w:hAnsi="Arial" w:cs="Arial"/>
          <w:sz w:val="19"/>
          <w:szCs w:val="19"/>
        </w:rPr>
      </w:pPr>
      <w:r w:rsidRPr="0018418C">
        <w:rPr>
          <w:rFonts w:ascii="Arial" w:hAnsi="Arial" w:eastAsia="Calibri" w:cs="Arial"/>
          <w:sz w:val="19"/>
          <w:szCs w:val="19"/>
        </w:rPr>
        <w:t>»</w:t>
      </w:r>
      <w:r w:rsidRPr="0018418C">
        <w:rPr>
          <w:rFonts w:ascii="Arial" w:hAnsi="Arial" w:cs="Arial"/>
          <w:sz w:val="19"/>
          <w:szCs w:val="19"/>
        </w:rPr>
        <w:t>1. &lt;Numeral derogado por el artículo 32 de la Ley 1150 de 2007&gt;</w:t>
      </w:r>
    </w:p>
    <w:p w:rsidRPr="0018418C" w:rsidR="000A6BCB" w:rsidP="000A6BCB" w:rsidRDefault="000A6BCB" w14:paraId="026A3A66" w14:textId="77777777">
      <w:pPr>
        <w:pStyle w:val="Textonotapie"/>
        <w:ind w:firstLine="708"/>
        <w:jc w:val="both"/>
        <w:rPr>
          <w:rFonts w:ascii="Arial" w:hAnsi="Arial" w:cs="Arial"/>
          <w:sz w:val="19"/>
          <w:szCs w:val="19"/>
        </w:rPr>
      </w:pPr>
      <w:r w:rsidRPr="0018418C">
        <w:rPr>
          <w:rFonts w:ascii="Arial" w:hAnsi="Arial" w:eastAsia="Calibri" w:cs="Arial"/>
          <w:sz w:val="19"/>
          <w:szCs w:val="19"/>
        </w:rPr>
        <w:t>»</w:t>
      </w:r>
      <w:r w:rsidRPr="0018418C">
        <w:rPr>
          <w:rFonts w:ascii="Arial" w:hAnsi="Arial" w:cs="Arial"/>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rsidRPr="0018418C" w:rsidR="000A6BCB" w:rsidP="000A6BCB" w:rsidRDefault="000A6BCB" w14:paraId="404F1D11" w14:textId="77777777">
      <w:pPr>
        <w:pStyle w:val="Textonotapie"/>
        <w:ind w:firstLine="708"/>
        <w:jc w:val="both"/>
        <w:rPr>
          <w:rFonts w:ascii="Arial" w:hAnsi="Arial" w:cs="Arial"/>
          <w:sz w:val="19"/>
          <w:szCs w:val="19"/>
        </w:rPr>
      </w:pPr>
      <w:r w:rsidRPr="0018418C">
        <w:rPr>
          <w:rFonts w:ascii="Arial" w:hAnsi="Arial" w:eastAsia="Calibri" w:cs="Arial"/>
          <w:sz w:val="19"/>
          <w:szCs w:val="19"/>
        </w:rPr>
        <w:t>»</w:t>
      </w:r>
      <w:r w:rsidRPr="0018418C">
        <w:rPr>
          <w:rFonts w:ascii="Arial" w:hAnsi="Arial" w:cs="Arial"/>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rsidRPr="0018418C" w:rsidR="000A6BCB" w:rsidP="000A6BCB" w:rsidRDefault="000A6BCB" w14:paraId="361AEFFE" w14:textId="77777777">
      <w:pPr>
        <w:pStyle w:val="Textonotapie"/>
        <w:ind w:firstLine="708"/>
        <w:jc w:val="both"/>
        <w:rPr>
          <w:rFonts w:ascii="Arial" w:hAnsi="Arial" w:cs="Arial"/>
          <w:sz w:val="19"/>
          <w:szCs w:val="19"/>
        </w:rPr>
      </w:pPr>
      <w:r w:rsidRPr="0018418C">
        <w:rPr>
          <w:rFonts w:ascii="Arial" w:hAnsi="Arial" w:cs="Arial"/>
          <w:sz w:val="19"/>
          <w:szCs w:val="19"/>
        </w:rPr>
        <w:t>[…]</w:t>
      </w:r>
      <w:r w:rsidRPr="0018418C">
        <w:rPr>
          <w:rFonts w:ascii="Arial" w:hAnsi="Arial" w:eastAsia="Calibri" w:cs="Arial"/>
          <w:sz w:val="19"/>
          <w:szCs w:val="19"/>
        </w:rPr>
        <w:t>»</w:t>
      </w:r>
      <w:r w:rsidRPr="0018418C">
        <w:rPr>
          <w:rFonts w:ascii="Arial" w:hAnsi="Arial" w:cs="Arial"/>
          <w:sz w:val="19"/>
          <w:szCs w:val="19"/>
        </w:rPr>
        <w:t>.</w:t>
      </w:r>
    </w:p>
    <w:p w:rsidRPr="00AC2544" w:rsidR="000A6BCB" w:rsidP="000A6BCB" w:rsidRDefault="000A6BCB" w14:paraId="4275B372" w14:textId="77777777">
      <w:pPr>
        <w:pStyle w:val="Textonotapie"/>
        <w:ind w:firstLine="708"/>
        <w:rPr>
          <w:lang w:val="es-ES"/>
        </w:rPr>
      </w:pPr>
    </w:p>
  </w:footnote>
  <w:footnote w:id="5">
    <w:p w:rsidRPr="00DF492B" w:rsidR="000A6BCB" w:rsidP="000A6BCB" w:rsidRDefault="000A6BCB" w14:paraId="387203E4" w14:textId="77777777">
      <w:pPr>
        <w:pStyle w:val="Textonotapie"/>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Ley 1150 de 2007: «Artículo 17. Del derecho al debido proceso.  El debido proceso será un principio rector en materia sancionatoria de las actuaciones contractuales.</w:t>
      </w:r>
    </w:p>
    <w:p w:rsidRPr="00DF492B" w:rsidR="000A6BCB" w:rsidP="000A6BCB" w:rsidRDefault="000A6BCB" w14:paraId="090C15C0" w14:textId="77777777">
      <w:pPr>
        <w:pStyle w:val="Textonotapie"/>
        <w:ind w:firstLine="708"/>
        <w:jc w:val="both"/>
        <w:rPr>
          <w:rFonts w:ascii="Arial" w:hAnsi="Arial" w:cs="Arial"/>
          <w:sz w:val="19"/>
          <w:szCs w:val="19"/>
        </w:rPr>
      </w:pPr>
      <w:r w:rsidRPr="00DF492B">
        <w:rPr>
          <w:rFonts w:ascii="Arial" w:hAnsi="Arial" w:cs="Arial"/>
          <w:sz w:val="19"/>
          <w:szCs w:val="19"/>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rsidRPr="00DF492B" w:rsidR="000A6BCB" w:rsidP="000A6BCB" w:rsidRDefault="000A6BCB" w14:paraId="2FAB2B03" w14:textId="77777777">
      <w:pPr>
        <w:pStyle w:val="Textonotapie"/>
        <w:ind w:firstLine="708"/>
        <w:jc w:val="both"/>
        <w:rPr>
          <w:rFonts w:ascii="Arial" w:hAnsi="Arial" w:cs="Arial"/>
          <w:sz w:val="19"/>
          <w:szCs w:val="19"/>
        </w:rPr>
      </w:pPr>
      <w:r w:rsidRPr="00DF492B">
        <w:rPr>
          <w:rFonts w:ascii="Arial" w:hAnsi="Arial" w:cs="Arial"/>
          <w:sz w:val="19"/>
          <w:szCs w:val="19"/>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rsidRPr="00DF492B" w:rsidR="000A6BCB" w:rsidP="000A6BCB" w:rsidRDefault="000A6BCB" w14:paraId="549DD7C6" w14:textId="77777777">
      <w:pPr>
        <w:pStyle w:val="Textonotapie"/>
        <w:ind w:firstLine="708"/>
        <w:jc w:val="both"/>
        <w:rPr>
          <w:rFonts w:ascii="Arial" w:hAnsi="Arial" w:cs="Arial"/>
          <w:sz w:val="19"/>
          <w:szCs w:val="19"/>
        </w:rPr>
      </w:pPr>
      <w:r w:rsidRPr="00DF492B">
        <w:rPr>
          <w:rFonts w:ascii="Arial" w:hAnsi="Arial" w:cs="Arial"/>
          <w:sz w:val="19"/>
          <w:szCs w:val="19"/>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6">
    <w:p w:rsidRPr="00DF492B" w:rsidR="000A6BCB" w:rsidP="000A6BCB" w:rsidRDefault="000A6BCB" w14:paraId="466B9DEC" w14:textId="77777777">
      <w:pPr>
        <w:pStyle w:val="Textonotapie"/>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Código Civil: «Artículo 1602. Los Contratos son ley para las partes. Todo contrato legalmente celebrado es una ley para los contratantes, y no puede ser invalidado sino por su consentimiento mutuo o por causas legales».</w:t>
      </w:r>
    </w:p>
  </w:footnote>
  <w:footnote w:id="7">
    <w:p w:rsidRPr="00DF492B" w:rsidR="000A6BCB" w:rsidP="000A6BCB" w:rsidRDefault="000A6BCB" w14:paraId="29963C28" w14:textId="77777777">
      <w:pPr>
        <w:pStyle w:val="Textonotapie"/>
        <w:ind w:firstLine="708"/>
        <w:jc w:val="both"/>
        <w:rPr>
          <w:rFonts w:ascii="Arial" w:hAnsi="Arial" w:cs="Arial"/>
          <w:sz w:val="19"/>
          <w:szCs w:val="19"/>
          <w:lang w:val="es-CO"/>
        </w:rPr>
      </w:pPr>
      <w:r w:rsidRPr="00DF492B">
        <w:rPr>
          <w:rStyle w:val="Refdenotaalpie"/>
          <w:rFonts w:ascii="Arial" w:hAnsi="Arial" w:cs="Arial"/>
          <w:sz w:val="19"/>
          <w:szCs w:val="19"/>
        </w:rPr>
        <w:footnoteRef/>
      </w:r>
      <w:r w:rsidRPr="00DF492B">
        <w:rPr>
          <w:rFonts w:ascii="Arial" w:hAnsi="Arial" w:cs="Arial"/>
          <w:sz w:val="19"/>
          <w:szCs w:val="19"/>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footnote>
  <w:footnote w:id="8">
    <w:p w:rsidRPr="00DF492B" w:rsidR="000A6BCB" w:rsidP="000A6BCB" w:rsidRDefault="000A6BCB" w14:paraId="038E80B5" w14:textId="77777777">
      <w:pPr>
        <w:pStyle w:val="NormalWeb"/>
        <w:spacing w:before="0" w:beforeAutospacing="0" w:after="0" w:afterAutospacing="0"/>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w:t>
      </w:r>
      <w:r w:rsidRPr="00DF492B">
        <w:rPr>
          <w:rFonts w:ascii="Arial" w:hAnsi="Arial" w:cs="Arial"/>
          <w:sz w:val="19"/>
          <w:szCs w:val="19"/>
        </w:rPr>
        <w:tab/>
      </w:r>
      <w:r w:rsidRPr="00DF492B">
        <w:rPr>
          <w:rFonts w:ascii="Arial" w:hAnsi="Arial" w:cs="Arial"/>
          <w:sz w:val="19"/>
          <w:szCs w:val="19"/>
        </w:rPr>
        <w:t>«Artículo 2.2.1.1.2.1.1. Estudios y documentos previos</w:t>
      </w:r>
      <w:r w:rsidRPr="00DF492B">
        <w:rPr>
          <w:rFonts w:ascii="Arial" w:hAnsi="Arial" w:cs="Arial"/>
          <w:b/>
          <w:bCs/>
          <w:sz w:val="19"/>
          <w:szCs w:val="19"/>
        </w:rPr>
        <w:t>.</w:t>
      </w:r>
      <w:r w:rsidRPr="00DF492B">
        <w:rPr>
          <w:rFonts w:ascii="Arial" w:hAnsi="Arial" w:cs="Arial"/>
          <w:b/>
          <w:bCs/>
          <w:i/>
          <w:iCs/>
          <w:sz w:val="19"/>
          <w:szCs w:val="19"/>
        </w:rPr>
        <w:t> </w:t>
      </w:r>
      <w:r w:rsidRPr="00DF492B">
        <w:rPr>
          <w:rFonts w:ascii="Arial" w:hAnsi="Arial" w:cs="Arial"/>
          <w:sz w:val="19"/>
          <w:szCs w:val="19"/>
        </w:rPr>
        <w:t>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rsidRPr="00DF492B" w:rsidR="000A6BCB" w:rsidP="000A6BCB" w:rsidRDefault="000A6BCB" w14:paraId="0CEC5FBF" w14:textId="77777777">
      <w:pPr>
        <w:ind w:firstLine="708"/>
        <w:jc w:val="both"/>
        <w:rPr>
          <w:rFonts w:ascii="Arial" w:hAnsi="Arial" w:eastAsia="Times New Roman" w:cs="Arial"/>
          <w:sz w:val="19"/>
          <w:szCs w:val="19"/>
          <w:lang w:val="es-CO" w:eastAsia="es-CO"/>
        </w:rPr>
      </w:pPr>
      <w:r w:rsidRPr="00DF492B">
        <w:rPr>
          <w:rFonts w:ascii="Arial" w:hAnsi="Arial" w:eastAsia="Times New Roman" w:cs="Arial"/>
          <w:sz w:val="19"/>
          <w:szCs w:val="19"/>
          <w:lang w:val="es-CO" w:eastAsia="es-CO"/>
        </w:rPr>
        <w:t>»1. La descripción de la necesidad que la Entidad Estatal pretende satisfacer con el Proceso de Contratación. </w:t>
      </w:r>
    </w:p>
    <w:p w:rsidRPr="00DF492B" w:rsidR="000A6BCB" w:rsidP="000A6BCB" w:rsidRDefault="000A6BCB" w14:paraId="6321DA82" w14:textId="77777777">
      <w:pPr>
        <w:ind w:firstLine="708"/>
        <w:jc w:val="both"/>
        <w:rPr>
          <w:rFonts w:ascii="Arial" w:hAnsi="Arial" w:eastAsia="Times New Roman" w:cs="Arial"/>
          <w:sz w:val="19"/>
          <w:szCs w:val="19"/>
          <w:lang w:val="es-CO" w:eastAsia="es-CO"/>
        </w:rPr>
      </w:pPr>
      <w:r w:rsidRPr="00DF492B">
        <w:rPr>
          <w:rFonts w:ascii="Arial" w:hAnsi="Arial" w:eastAsia="Times New Roman" w:cs="Arial"/>
          <w:sz w:val="19"/>
          <w:szCs w:val="19"/>
          <w:lang w:val="es-CO" w:eastAsia="es-CO"/>
        </w:rPr>
        <w:t>»2. El objeto a contratar, con sus especificaciones, las autorizaciones, permisos y licencias requeridos para su ejecución, y cuando el contrato incluye diseño y construcción, los documentos técnicos para el desarrollo del proyecto. </w:t>
      </w:r>
    </w:p>
    <w:p w:rsidRPr="00DF492B" w:rsidR="000A6BCB" w:rsidP="000A6BCB" w:rsidRDefault="000A6BCB" w14:paraId="24C888F1" w14:textId="77777777">
      <w:pPr>
        <w:ind w:firstLine="708"/>
        <w:jc w:val="both"/>
        <w:rPr>
          <w:rFonts w:ascii="Arial" w:hAnsi="Arial" w:eastAsia="Times New Roman" w:cs="Arial"/>
          <w:sz w:val="19"/>
          <w:szCs w:val="19"/>
          <w:lang w:val="es-CO" w:eastAsia="es-CO"/>
        </w:rPr>
      </w:pPr>
      <w:r w:rsidRPr="00DF492B">
        <w:rPr>
          <w:rFonts w:ascii="Arial" w:hAnsi="Arial" w:eastAsia="Times New Roman" w:cs="Arial"/>
          <w:sz w:val="19"/>
          <w:szCs w:val="19"/>
          <w:lang w:val="es-CO" w:eastAsia="es-CO"/>
        </w:rPr>
        <w:t>»3. La modalidad de selección del contratista y su justificación, incluyendo los fundamentos jurídicos. </w:t>
      </w:r>
    </w:p>
    <w:p w:rsidRPr="00DF492B" w:rsidR="000A6BCB" w:rsidP="000A6BCB" w:rsidRDefault="000A6BCB" w14:paraId="3C3A459D" w14:textId="77777777">
      <w:pPr>
        <w:ind w:firstLine="708"/>
        <w:jc w:val="both"/>
        <w:rPr>
          <w:rFonts w:ascii="Arial" w:hAnsi="Arial" w:eastAsia="Times New Roman" w:cs="Arial"/>
          <w:sz w:val="19"/>
          <w:szCs w:val="19"/>
          <w:lang w:val="es-CO" w:eastAsia="es-CO"/>
        </w:rPr>
      </w:pPr>
      <w:r w:rsidRPr="00DF492B">
        <w:rPr>
          <w:rFonts w:ascii="Arial" w:hAnsi="Arial" w:eastAsia="Times New Roman" w:cs="Arial"/>
          <w:sz w:val="19"/>
          <w:szCs w:val="19"/>
          <w:lang w:val="es-CO" w:eastAsia="es-CO"/>
        </w:rPr>
        <w:t>»4. El valor estimado del contrato y la justificación del mismo.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 </w:t>
      </w:r>
    </w:p>
    <w:p w:rsidRPr="00DF492B" w:rsidR="000A6BCB" w:rsidP="000A6BCB" w:rsidRDefault="000A6BCB" w14:paraId="228D7D7D" w14:textId="77777777">
      <w:pPr>
        <w:ind w:firstLine="708"/>
        <w:jc w:val="both"/>
        <w:rPr>
          <w:rFonts w:ascii="Arial" w:hAnsi="Arial" w:eastAsia="Times New Roman" w:cs="Arial"/>
          <w:sz w:val="19"/>
          <w:szCs w:val="19"/>
          <w:lang w:val="es-CO" w:eastAsia="es-CO"/>
        </w:rPr>
      </w:pPr>
      <w:r w:rsidRPr="00DF492B">
        <w:rPr>
          <w:rFonts w:ascii="Arial" w:hAnsi="Arial" w:eastAsia="Times New Roman" w:cs="Arial"/>
          <w:sz w:val="19"/>
          <w:szCs w:val="19"/>
          <w:lang w:val="es-CO" w:eastAsia="es-CO"/>
        </w:rPr>
        <w:t>»5. Los criterios para seleccionar la oferta más favorable. </w:t>
      </w:r>
    </w:p>
    <w:p w:rsidRPr="00DF492B" w:rsidR="000A6BCB" w:rsidP="000A6BCB" w:rsidRDefault="000A6BCB" w14:paraId="2913FC01" w14:textId="77777777">
      <w:pPr>
        <w:ind w:firstLine="708"/>
        <w:jc w:val="both"/>
        <w:rPr>
          <w:rFonts w:ascii="Arial" w:hAnsi="Arial" w:eastAsia="Times New Roman" w:cs="Arial"/>
          <w:sz w:val="19"/>
          <w:szCs w:val="19"/>
          <w:lang w:val="es-CO" w:eastAsia="es-CO"/>
        </w:rPr>
      </w:pPr>
      <w:r w:rsidRPr="00DF492B">
        <w:rPr>
          <w:rFonts w:ascii="Arial" w:hAnsi="Arial" w:eastAsia="Times New Roman" w:cs="Arial"/>
          <w:sz w:val="19"/>
          <w:szCs w:val="19"/>
          <w:lang w:val="es-CO" w:eastAsia="es-CO"/>
        </w:rPr>
        <w:t>»6. El análisis de Riesgo y la forma de mitigarlo. </w:t>
      </w:r>
    </w:p>
    <w:p w:rsidRPr="00DF492B" w:rsidR="000A6BCB" w:rsidP="000A6BCB" w:rsidRDefault="000A6BCB" w14:paraId="7EB772CC" w14:textId="77777777">
      <w:pPr>
        <w:ind w:firstLine="708"/>
        <w:jc w:val="both"/>
        <w:rPr>
          <w:rFonts w:ascii="Arial" w:hAnsi="Arial" w:eastAsia="Times New Roman" w:cs="Arial"/>
          <w:sz w:val="19"/>
          <w:szCs w:val="19"/>
          <w:lang w:val="es-CO" w:eastAsia="es-CO"/>
        </w:rPr>
      </w:pPr>
      <w:r w:rsidRPr="00DF492B">
        <w:rPr>
          <w:rFonts w:ascii="Arial" w:hAnsi="Arial" w:eastAsia="Times New Roman" w:cs="Arial"/>
          <w:sz w:val="19"/>
          <w:szCs w:val="19"/>
          <w:lang w:val="es-CO" w:eastAsia="es-CO"/>
        </w:rPr>
        <w:t>»7. Las garantías que la Entidad Estatal contempla exigir en el Proceso de Contratación. </w:t>
      </w:r>
    </w:p>
    <w:p w:rsidRPr="00DF492B" w:rsidR="000A6BCB" w:rsidP="000A6BCB" w:rsidRDefault="000A6BCB" w14:paraId="5EBC0467" w14:textId="77777777">
      <w:pPr>
        <w:ind w:firstLine="708"/>
        <w:jc w:val="both"/>
        <w:rPr>
          <w:rFonts w:ascii="Arial" w:hAnsi="Arial" w:eastAsia="Times New Roman" w:cs="Arial"/>
          <w:sz w:val="19"/>
          <w:szCs w:val="19"/>
          <w:lang w:val="es-CO" w:eastAsia="es-CO"/>
        </w:rPr>
      </w:pPr>
      <w:r w:rsidRPr="00DF492B">
        <w:rPr>
          <w:rFonts w:ascii="Arial" w:hAnsi="Arial" w:eastAsia="Times New Roman" w:cs="Arial"/>
          <w:sz w:val="19"/>
          <w:szCs w:val="19"/>
          <w:lang w:val="es-CO" w:eastAsia="es-CO"/>
        </w:rPr>
        <w:t>»8. La indicación de si el Proceso de Contratación está cobijado por un Acuerdo Comercial. </w:t>
      </w:r>
    </w:p>
    <w:p w:rsidRPr="00DF492B" w:rsidR="000A6BCB" w:rsidP="000A6BCB" w:rsidRDefault="000A6BCB" w14:paraId="6E01CCD7" w14:textId="77777777">
      <w:pPr>
        <w:ind w:firstLine="708"/>
        <w:jc w:val="both"/>
        <w:rPr>
          <w:rFonts w:ascii="Arial" w:hAnsi="Arial" w:eastAsia="Times New Roman" w:cs="Arial"/>
          <w:sz w:val="19"/>
          <w:szCs w:val="19"/>
          <w:lang w:val="es-CO" w:eastAsia="es-CO"/>
        </w:rPr>
      </w:pPr>
      <w:r w:rsidRPr="00DF492B">
        <w:rPr>
          <w:rFonts w:ascii="Arial" w:hAnsi="Arial" w:eastAsia="Times New Roman" w:cs="Arial"/>
          <w:sz w:val="19"/>
          <w:szCs w:val="19"/>
          <w:lang w:val="es-CO" w:eastAsia="es-CO"/>
        </w:rPr>
        <w:t>»El presente artículo no es aplicable a la contratación por mínima cuantía». </w:t>
      </w:r>
    </w:p>
    <w:p w:rsidRPr="00DF492B" w:rsidR="000A6BCB" w:rsidP="000A6BCB" w:rsidRDefault="000A6BCB" w14:paraId="561C43BF" w14:textId="77777777">
      <w:pPr>
        <w:pStyle w:val="Textonotapie"/>
        <w:jc w:val="both"/>
        <w:rPr>
          <w:rFonts w:ascii="Arial" w:hAnsi="Arial" w:cs="Arial"/>
          <w:sz w:val="19"/>
          <w:szCs w:val="19"/>
          <w:lang w:val="es-CO"/>
        </w:rPr>
      </w:pPr>
    </w:p>
  </w:footnote>
  <w:footnote w:id="9">
    <w:p w:rsidRPr="00576BA7" w:rsidR="000A6BCB" w:rsidP="000A6BCB" w:rsidRDefault="000A6BCB" w14:paraId="155FE91B" w14:textId="77777777">
      <w:pPr>
        <w:pStyle w:val="Textonotapie"/>
        <w:ind w:firstLine="708"/>
        <w:jc w:val="both"/>
        <w:rPr>
          <w:lang w:val="es-CO"/>
        </w:rPr>
      </w:pPr>
      <w:r>
        <w:rPr>
          <w:rStyle w:val="Refdenotaalpie"/>
        </w:rPr>
        <w:footnoteRef/>
      </w:r>
      <w:r>
        <w:t xml:space="preserve"> </w:t>
      </w:r>
      <w:r w:rsidRPr="00576BA7">
        <w:rPr>
          <w:rFonts w:ascii="Arial" w:hAnsi="Arial" w:eastAsia="Times New Roman" w:cs="Arial"/>
          <w:sz w:val="19"/>
          <w:szCs w:val="19"/>
          <w:lang w:val="es-CO" w:eastAsia="es-CO"/>
        </w:rPr>
        <w:t xml:space="preserve">Así se señala en el numeral 4.2.6. del Documento Base del pliego tipo de licitación de obra pública de infraestructura de transporte Versión 2: I. El Proponente ofertará el número de meses durante los cuales se compromete a realizar por su propia cuenta y riesgo las labores de mantenimiento rutinario de la obra construida. </w:t>
      </w:r>
      <w:r w:rsidRPr="00576BA7">
        <w:rPr>
          <w:rFonts w:ascii="Arial" w:hAnsi="Arial" w:eastAsia="Times New Roman" w:cs="Arial"/>
          <w:i/>
          <w:iCs/>
          <w:sz w:val="19"/>
          <w:szCs w:val="19"/>
          <w:lang w:val="es-CO" w:eastAsia="es-CO"/>
        </w:rPr>
        <w:t>El término ofertado será contado a partir de la terminación de las obras objeto del Proceso de Contratación y hará parte del periodo de ejecución del contrato</w:t>
      </w:r>
      <w:r>
        <w:rPr>
          <w:rFonts w:ascii="Arial" w:hAnsi="Arial" w:eastAsia="Times New Roman" w:cs="Arial"/>
          <w:i/>
          <w:iCs/>
          <w:sz w:val="19"/>
          <w:szCs w:val="19"/>
          <w:lang w:val="es-CO" w:eastAsia="es-CO"/>
        </w:rPr>
        <w:t xml:space="preserve">» </w:t>
      </w:r>
      <w:r>
        <w:rPr>
          <w:rFonts w:ascii="Arial" w:hAnsi="Arial" w:eastAsia="Times New Roman" w:cs="Arial"/>
          <w:sz w:val="19"/>
          <w:szCs w:val="19"/>
          <w:lang w:val="es-CO" w:eastAsia="es-CO"/>
        </w:rPr>
        <w:t>(Cursiva fuera del original).</w:t>
      </w:r>
    </w:p>
  </w:footnote>
  <w:footnote w:id="10">
    <w:p w:rsidRPr="00DF492B" w:rsidR="000A6BCB" w:rsidP="000A6BCB" w:rsidRDefault="000A6BCB" w14:paraId="1B7E67CF" w14:textId="77777777">
      <w:pPr>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CONSEJO DE ESTADO. Sección Tercera. Subsección C. Sentencia del 20 de octubre de 2014. Exp. 27.777. C.P. Enrique Gil Botero. Allí se explicó lo siguiente: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rsidRPr="00DF492B" w:rsidR="000A6BCB" w:rsidP="000A6BCB" w:rsidRDefault="000A6BCB" w14:paraId="5B61301D" w14:textId="77777777">
      <w:pPr>
        <w:pStyle w:val="Textonotapie"/>
        <w:ind w:firstLine="708"/>
        <w:jc w:val="both"/>
        <w:rPr>
          <w:rFonts w:ascii="Arial" w:hAnsi="Arial" w:cs="Arial"/>
          <w:sz w:val="19"/>
          <w:szCs w:val="19"/>
          <w:lang w:val="es-ES"/>
        </w:rPr>
      </w:pPr>
    </w:p>
  </w:footnote>
  <w:footnote w:id="11">
    <w:p w:rsidRPr="00DF492B" w:rsidR="000A6BCB" w:rsidP="000A6BCB" w:rsidRDefault="000A6BCB" w14:paraId="3A7FA00D" w14:textId="77777777">
      <w:pPr>
        <w:pStyle w:val="Textonotapie"/>
        <w:ind w:firstLine="708"/>
        <w:jc w:val="both"/>
        <w:rPr>
          <w:rFonts w:ascii="Arial" w:hAnsi="Arial" w:cs="Arial"/>
          <w:sz w:val="19"/>
          <w:szCs w:val="19"/>
        </w:rPr>
      </w:pPr>
      <w:r w:rsidRPr="00DF492B">
        <w:rPr>
          <w:rFonts w:ascii="Arial" w:hAnsi="Arial" w:cs="Arial"/>
          <w:sz w:val="19"/>
          <w:szCs w:val="19"/>
          <w:vertAlign w:val="superscript"/>
        </w:rPr>
        <w:footnoteRef/>
      </w:r>
      <w:r w:rsidRPr="00DF492B">
        <w:rPr>
          <w:rFonts w:ascii="Arial" w:hAnsi="Arial" w:cs="Arial"/>
          <w:sz w:val="19"/>
          <w:szCs w:val="19"/>
          <w:vertAlign w:val="superscript"/>
        </w:rPr>
        <w:t xml:space="preserve"> «</w:t>
      </w:r>
      <w:r w:rsidRPr="00DF492B">
        <w:rPr>
          <w:rFonts w:ascii="Arial" w:hAnsi="Arial" w:cs="Arial"/>
          <w:sz w:val="19"/>
          <w:szCs w:val="19"/>
        </w:rPr>
        <w:t>Artículo 60. De la ocurrencia y contenido de la liquidación. […]</w:t>
      </w:r>
    </w:p>
    <w:p w:rsidRPr="00DF492B" w:rsidR="000A6BCB" w:rsidP="000A6BCB" w:rsidRDefault="000A6BCB" w14:paraId="4D2BF28E" w14:textId="77777777">
      <w:pPr>
        <w:pStyle w:val="Textonotapie"/>
        <w:ind w:firstLine="708"/>
        <w:jc w:val="both"/>
        <w:rPr>
          <w:rFonts w:ascii="Arial" w:hAnsi="Arial" w:cs="Arial"/>
          <w:sz w:val="19"/>
          <w:szCs w:val="19"/>
        </w:rPr>
      </w:pPr>
      <w:r w:rsidRPr="00DF492B">
        <w:rPr>
          <w:rFonts w:ascii="Arial" w:hAnsi="Arial" w:cs="Arial"/>
          <w:sz w:val="19"/>
          <w:szCs w:val="19"/>
        </w:rPr>
        <w:t>»En el acta de liquidación constarán los acuerdos, conciliaciones y transacciones a que llegaren las partes para poner fin a las divergencias presentadas y poder declararse a paz y salvo».</w:t>
      </w:r>
    </w:p>
    <w:p w:rsidRPr="00DF492B" w:rsidR="000A6BCB" w:rsidP="000A6BCB" w:rsidRDefault="000A6BCB" w14:paraId="2A0517A4" w14:textId="77777777">
      <w:pPr>
        <w:pStyle w:val="Textonotapie"/>
        <w:jc w:val="both"/>
        <w:rPr>
          <w:rFonts w:ascii="Arial" w:hAnsi="Arial" w:cs="Arial"/>
          <w:sz w:val="19"/>
          <w:szCs w:val="19"/>
        </w:rPr>
      </w:pPr>
    </w:p>
  </w:footnote>
  <w:footnote w:id="12">
    <w:p w:rsidRPr="00DF492B" w:rsidR="000A6BCB" w:rsidP="000A6BCB" w:rsidRDefault="000A6BCB" w14:paraId="2068B131" w14:textId="77777777">
      <w:pPr>
        <w:pStyle w:val="Textonotapie"/>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rsidRPr="00DF492B" w:rsidR="000A6BCB" w:rsidP="000A6BCB" w:rsidRDefault="000A6BCB" w14:paraId="6B626AA2" w14:textId="77777777">
      <w:pPr>
        <w:pStyle w:val="Textonotapie"/>
        <w:ind w:firstLine="708"/>
        <w:jc w:val="both"/>
        <w:rPr>
          <w:rFonts w:ascii="Arial" w:hAnsi="Arial" w:cs="Arial"/>
          <w:sz w:val="19"/>
          <w:szCs w:val="19"/>
          <w:lang w:val="es-ES"/>
        </w:rPr>
      </w:pPr>
    </w:p>
  </w:footnote>
  <w:footnote w:id="13">
    <w:p w:rsidRPr="00DF492B" w:rsidR="000A6BCB" w:rsidP="000A6BCB" w:rsidRDefault="000A6BCB" w14:paraId="39A1ADC8" w14:textId="77777777">
      <w:pPr>
        <w:pStyle w:val="Textonotapie"/>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p w:rsidRPr="00DF492B" w:rsidR="000A6BCB" w:rsidP="000A6BCB" w:rsidRDefault="000A6BCB" w14:paraId="0A949EE9" w14:textId="77777777">
      <w:pPr>
        <w:pStyle w:val="Textonotapie"/>
        <w:ind w:firstLine="708"/>
        <w:jc w:val="both"/>
        <w:rPr>
          <w:rFonts w:ascii="Arial" w:hAnsi="Arial" w:cs="Arial"/>
          <w:sz w:val="19"/>
          <w:szCs w:val="19"/>
          <w:lang w:val="es-ES"/>
        </w:rPr>
      </w:pPr>
    </w:p>
  </w:footnote>
  <w:footnote w:id="14">
    <w:p w:rsidRPr="00DF492B" w:rsidR="000A6BCB" w:rsidP="000A6BCB" w:rsidRDefault="000A6BCB" w14:paraId="02A10E8A" w14:textId="77777777">
      <w:pPr>
        <w:jc w:val="both"/>
        <w:rPr>
          <w:rFonts w:ascii="Arial" w:hAnsi="Arial" w:cs="Arial"/>
          <w:sz w:val="19"/>
          <w:szCs w:val="19"/>
          <w:lang w:val="es-CO"/>
        </w:rPr>
      </w:pPr>
      <w:r w:rsidRPr="00DF492B">
        <w:rPr>
          <w:rFonts w:ascii="Arial" w:hAnsi="Arial" w:cs="Arial"/>
          <w:sz w:val="19"/>
          <w:szCs w:val="19"/>
        </w:rPr>
        <w:tab/>
      </w:r>
      <w:r w:rsidRPr="00DF492B">
        <w:rPr>
          <w:rStyle w:val="Refdenotaalpie"/>
          <w:rFonts w:ascii="Arial" w:hAnsi="Arial" w:cs="Arial"/>
          <w:sz w:val="19"/>
          <w:szCs w:val="19"/>
        </w:rPr>
        <w:footnoteRef/>
      </w:r>
      <w:r w:rsidRPr="00DF492B">
        <w:rPr>
          <w:rFonts w:ascii="Arial" w:hAnsi="Arial" w:cs="Arial"/>
          <w:sz w:val="19"/>
          <w:szCs w:val="19"/>
        </w:rPr>
        <w:t xml:space="preserve"> No hay que esperar a que culmine el plazo para liquidar bilateralmente si se materializan los supuestos de hecho contenidos en el artículo 11 de la Ley 1150 de 2007, según los cuales si «[…] el contratista no se present</w:t>
      </w:r>
      <w:r>
        <w:rPr>
          <w:rFonts w:ascii="Arial" w:hAnsi="Arial" w:cs="Arial"/>
          <w:sz w:val="19"/>
          <w:szCs w:val="19"/>
        </w:rPr>
        <w:t>[</w:t>
      </w:r>
      <w:r w:rsidRPr="00DF492B">
        <w:rPr>
          <w:rFonts w:ascii="Arial" w:hAnsi="Arial" w:cs="Arial"/>
          <w:sz w:val="19"/>
          <w:szCs w:val="19"/>
        </w:rPr>
        <w:t>a</w:t>
      </w:r>
      <w:r>
        <w:rPr>
          <w:rFonts w:ascii="Arial" w:hAnsi="Arial" w:cs="Arial"/>
          <w:sz w:val="19"/>
          <w:szCs w:val="19"/>
        </w:rPr>
        <w:t>]</w:t>
      </w:r>
      <w:r w:rsidRPr="00DF492B">
        <w:rPr>
          <w:rFonts w:ascii="Arial" w:hAnsi="Arial" w:cs="Arial"/>
          <w:sz w:val="19"/>
          <w:szCs w:val="19"/>
        </w:rPr>
        <w:t xml:space="preserve"> a la liquidación previa notificación o convocatoria que le haga la entidad, o las partes no lleguen a un acuerdo sobre su contenido, la entidad tendrá la facultad de liquidar en forma unilateral dentro de los dos (2) meses siguientes […]».</w:t>
      </w:r>
    </w:p>
    <w:p w:rsidRPr="00DF492B" w:rsidR="000A6BCB" w:rsidP="000A6BCB" w:rsidRDefault="000A6BCB" w14:paraId="77B778F4" w14:textId="77777777">
      <w:pPr>
        <w:pStyle w:val="Textonotapie"/>
        <w:jc w:val="both"/>
        <w:rPr>
          <w:rFonts w:ascii="Arial" w:hAnsi="Arial" w:cs="Arial"/>
          <w:sz w:val="19"/>
          <w:szCs w:val="19"/>
          <w:lang w:val="es-ES"/>
        </w:rPr>
      </w:pPr>
    </w:p>
  </w:footnote>
  <w:footnote w:id="15">
    <w:p w:rsidRPr="00DF492B" w:rsidR="000A6BCB" w:rsidP="000A6BCB" w:rsidRDefault="000A6BCB" w14:paraId="54A82B04" w14:textId="77777777">
      <w:pPr>
        <w:pStyle w:val="Textonotapie"/>
        <w:ind w:firstLine="708"/>
        <w:jc w:val="both"/>
        <w:rPr>
          <w:rFonts w:ascii="Arial" w:hAnsi="Arial" w:cs="Arial"/>
          <w:sz w:val="19"/>
          <w:szCs w:val="19"/>
          <w:lang w:val="es-CO"/>
        </w:rPr>
      </w:pPr>
      <w:r w:rsidRPr="00DF492B">
        <w:rPr>
          <w:rStyle w:val="Refdenotaalpie"/>
          <w:rFonts w:ascii="Arial" w:hAnsi="Arial" w:cs="Arial"/>
          <w:sz w:val="19"/>
          <w:szCs w:val="19"/>
        </w:rPr>
        <w:footnoteRef/>
      </w:r>
      <w:r w:rsidRPr="00DF492B">
        <w:rPr>
          <w:rFonts w:ascii="Arial" w:hAnsi="Arial" w:cs="Arial"/>
          <w:sz w:val="19"/>
          <w:szCs w:val="19"/>
        </w:rPr>
        <w:t xml:space="preserve"> CONSEJO DE ESTADO. Sala de Consulta y Servicio Civil. Concepto del 9 de marzo de 2000. Exp. 1.254. C.P. Augusto Trejos Jaramillo.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B61328C">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1401D"/>
    <w:rsid w:val="00022B88"/>
    <w:rsid w:val="00042D39"/>
    <w:rsid w:val="000942EB"/>
    <w:rsid w:val="000A6BCB"/>
    <w:rsid w:val="000B103F"/>
    <w:rsid w:val="000D753A"/>
    <w:rsid w:val="000F14E8"/>
    <w:rsid w:val="00103915"/>
    <w:rsid w:val="00106E95"/>
    <w:rsid w:val="00122B23"/>
    <w:rsid w:val="00137FFA"/>
    <w:rsid w:val="001562AE"/>
    <w:rsid w:val="001B43CD"/>
    <w:rsid w:val="001C317D"/>
    <w:rsid w:val="001E71D4"/>
    <w:rsid w:val="00234B84"/>
    <w:rsid w:val="00253787"/>
    <w:rsid w:val="0026117C"/>
    <w:rsid w:val="002E4EF5"/>
    <w:rsid w:val="003033BA"/>
    <w:rsid w:val="0034680A"/>
    <w:rsid w:val="00367973"/>
    <w:rsid w:val="00371E7F"/>
    <w:rsid w:val="00386456"/>
    <w:rsid w:val="003A581E"/>
    <w:rsid w:val="003F4495"/>
    <w:rsid w:val="003F5BB9"/>
    <w:rsid w:val="003F5DE8"/>
    <w:rsid w:val="0041108F"/>
    <w:rsid w:val="004422D6"/>
    <w:rsid w:val="004746BF"/>
    <w:rsid w:val="00486E49"/>
    <w:rsid w:val="004918E6"/>
    <w:rsid w:val="004A34D2"/>
    <w:rsid w:val="0051074C"/>
    <w:rsid w:val="00513AF2"/>
    <w:rsid w:val="0054413A"/>
    <w:rsid w:val="00551535"/>
    <w:rsid w:val="005561AD"/>
    <w:rsid w:val="005564CA"/>
    <w:rsid w:val="005A79FE"/>
    <w:rsid w:val="00610286"/>
    <w:rsid w:val="006126D1"/>
    <w:rsid w:val="00655371"/>
    <w:rsid w:val="00667107"/>
    <w:rsid w:val="00697665"/>
    <w:rsid w:val="006A3704"/>
    <w:rsid w:val="006A7305"/>
    <w:rsid w:val="006A7FD0"/>
    <w:rsid w:val="006D7687"/>
    <w:rsid w:val="006D791F"/>
    <w:rsid w:val="006E0572"/>
    <w:rsid w:val="006F3B77"/>
    <w:rsid w:val="00705631"/>
    <w:rsid w:val="00742DD2"/>
    <w:rsid w:val="0075647A"/>
    <w:rsid w:val="007634AD"/>
    <w:rsid w:val="0078122E"/>
    <w:rsid w:val="007A1714"/>
    <w:rsid w:val="007B0854"/>
    <w:rsid w:val="007D2237"/>
    <w:rsid w:val="007F72CB"/>
    <w:rsid w:val="00803F62"/>
    <w:rsid w:val="0083119B"/>
    <w:rsid w:val="008327C9"/>
    <w:rsid w:val="00836EAB"/>
    <w:rsid w:val="0085092D"/>
    <w:rsid w:val="00880DE0"/>
    <w:rsid w:val="008E1C15"/>
    <w:rsid w:val="008E4CA0"/>
    <w:rsid w:val="009047C5"/>
    <w:rsid w:val="009106EA"/>
    <w:rsid w:val="0095385A"/>
    <w:rsid w:val="009A24D4"/>
    <w:rsid w:val="009C40E4"/>
    <w:rsid w:val="009E5E0D"/>
    <w:rsid w:val="009F2581"/>
    <w:rsid w:val="00A24560"/>
    <w:rsid w:val="00A34538"/>
    <w:rsid w:val="00AA442B"/>
    <w:rsid w:val="00AC2544"/>
    <w:rsid w:val="00AC5C82"/>
    <w:rsid w:val="00B22E22"/>
    <w:rsid w:val="00B232DC"/>
    <w:rsid w:val="00B237E7"/>
    <w:rsid w:val="00B33441"/>
    <w:rsid w:val="00B525CB"/>
    <w:rsid w:val="00B63CB2"/>
    <w:rsid w:val="00BD78FE"/>
    <w:rsid w:val="00C04168"/>
    <w:rsid w:val="00C15A1C"/>
    <w:rsid w:val="00C2691D"/>
    <w:rsid w:val="00C62D16"/>
    <w:rsid w:val="00C85F98"/>
    <w:rsid w:val="00CA287E"/>
    <w:rsid w:val="00CA2AD9"/>
    <w:rsid w:val="00CC00CD"/>
    <w:rsid w:val="00CE478D"/>
    <w:rsid w:val="00D16E39"/>
    <w:rsid w:val="00D30263"/>
    <w:rsid w:val="00D438E1"/>
    <w:rsid w:val="00D47340"/>
    <w:rsid w:val="00D672E8"/>
    <w:rsid w:val="00D72E9D"/>
    <w:rsid w:val="00D82CE5"/>
    <w:rsid w:val="00D8446A"/>
    <w:rsid w:val="00DA5AB1"/>
    <w:rsid w:val="00DC1569"/>
    <w:rsid w:val="00DC62E5"/>
    <w:rsid w:val="00DD735D"/>
    <w:rsid w:val="00DE3119"/>
    <w:rsid w:val="00DF236B"/>
    <w:rsid w:val="00DF492B"/>
    <w:rsid w:val="00DF6DBA"/>
    <w:rsid w:val="00E13AB8"/>
    <w:rsid w:val="00E33B62"/>
    <w:rsid w:val="00E70236"/>
    <w:rsid w:val="00E70B94"/>
    <w:rsid w:val="00EB4B9B"/>
    <w:rsid w:val="00ED165B"/>
    <w:rsid w:val="00EE0DDC"/>
    <w:rsid w:val="00F17ED4"/>
    <w:rsid w:val="00F22A97"/>
    <w:rsid w:val="00F4155C"/>
    <w:rsid w:val="00F5359C"/>
    <w:rsid w:val="00F73864"/>
    <w:rsid w:val="00F76D4C"/>
    <w:rsid w:val="00F81315"/>
    <w:rsid w:val="00F84899"/>
    <w:rsid w:val="00F859F0"/>
    <w:rsid w:val="00FE141E"/>
    <w:rsid w:val="09C5F236"/>
    <w:rsid w:val="0E2E79C2"/>
    <w:rsid w:val="49D325D4"/>
    <w:rsid w:val="5B61328C"/>
    <w:rsid w:val="5CEBB46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d52536308774f4f" /></Relationships>
</file>

<file path=word/_rels/footer1.xml.rels>&#65279;<?xml version="1.0" encoding="utf-8"?><Relationships xmlns="http://schemas.openxmlformats.org/package/2006/relationships"><Relationship Type="http://schemas.openxmlformats.org/officeDocument/2006/relationships/image" Target="/media/image5.png" Id="R383d4148486e484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65F26-5EC3-4055-A232-D2A35C61E1C0}">
  <ds:schemaRefs>
    <ds:schemaRef ds:uri="http://schemas.openxmlformats.org/officeDocument/2006/bibliography"/>
  </ds:schemaRefs>
</ds:datastoreItem>
</file>

<file path=customXml/itemProps2.xml><?xml version="1.0" encoding="utf-8"?>
<ds:datastoreItem xmlns:ds="http://schemas.openxmlformats.org/officeDocument/2006/customXml" ds:itemID="{D199CDD1-52EA-474A-B8CC-2B79017B9BC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B0A3012-9FD7-4CBA-BAC8-CA10B7D85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5</revision>
  <dcterms:created xsi:type="dcterms:W3CDTF">2020-06-30T21:58:00.0000000Z</dcterms:created>
  <dcterms:modified xsi:type="dcterms:W3CDTF">2020-07-29T23:23:07.1287499Z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