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C759C" w:rsidR="000920F0" w:rsidP="000920F0" w:rsidRDefault="000920F0" w14:paraId="6B426F4D" w14:textId="77777777">
      <w:pPr>
        <w:jc w:val="right"/>
        <w:rPr>
          <w:rFonts w:ascii="Arial" w:hAnsi="Arial" w:cs="Arial"/>
          <w:b/>
          <w:sz w:val="16"/>
          <w:szCs w:val="16"/>
          <w:lang w:val="es-ES_tradnl" w:eastAsia="es-ES"/>
        </w:rPr>
      </w:pPr>
      <w:bookmarkStart w:name="_Hlk28946138" w:id="0"/>
      <w:bookmarkStart w:name="_Hlk29548183" w:id="1"/>
      <w:bookmarkStart w:name="_Hlk29890381" w:id="2"/>
      <w:r w:rsidRPr="00DC759C">
        <w:rPr>
          <w:rFonts w:ascii="Arial" w:hAnsi="Arial" w:cs="Arial"/>
          <w:b/>
          <w:sz w:val="21"/>
          <w:szCs w:val="21"/>
          <w:lang w:val="es-ES_tradnl" w:eastAsia="es-ES"/>
        </w:rPr>
        <w:tab/>
      </w:r>
      <w:r w:rsidRPr="00DC759C">
        <w:rPr>
          <w:rFonts w:ascii="Arial" w:hAnsi="Arial" w:cs="Arial"/>
          <w:b/>
          <w:sz w:val="16"/>
          <w:szCs w:val="16"/>
          <w:lang w:val="es-ES_tradnl" w:eastAsia="es-ES"/>
        </w:rPr>
        <w:t>CCE-DES-FM-17</w:t>
      </w:r>
    </w:p>
    <w:p w:rsidRPr="00DC759C" w:rsidR="00111BBD" w:rsidP="000920F0" w:rsidRDefault="00111BBD" w14:paraId="77C0A69C" w14:textId="77777777">
      <w:pPr>
        <w:spacing w:line="276" w:lineRule="auto"/>
        <w:jc w:val="both"/>
        <w:rPr>
          <w:rFonts w:ascii="Arial" w:hAnsi="Arial" w:eastAsia="Calibri" w:cs="Arial"/>
          <w:b/>
          <w:sz w:val="22"/>
        </w:rPr>
      </w:pPr>
    </w:p>
    <w:p w:rsidRPr="00751B9D" w:rsidR="00E612F5" w:rsidP="00E612F5" w:rsidRDefault="00E612F5" w14:paraId="7EB5FB76" w14:textId="77777777">
      <w:pPr>
        <w:jc w:val="both"/>
        <w:rPr>
          <w:rFonts w:ascii="Arial" w:hAnsi="Arial" w:eastAsia="Calibri" w:cs="Arial"/>
          <w:bCs/>
          <w:sz w:val="22"/>
        </w:rPr>
      </w:pPr>
      <w:r w:rsidRPr="00751B9D">
        <w:rPr>
          <w:rFonts w:ascii="Arial" w:hAnsi="Arial" w:eastAsia="Calibri" w:cs="Arial"/>
          <w:b/>
          <w:sz w:val="22"/>
        </w:rPr>
        <w:t xml:space="preserve">CONCEPTOS DE COLOMBIA COMPRA EFICIENTE – </w:t>
      </w:r>
      <w:r>
        <w:rPr>
          <w:rFonts w:ascii="Arial" w:hAnsi="Arial" w:eastAsia="Calibri" w:cs="Arial"/>
          <w:b/>
          <w:sz w:val="22"/>
        </w:rPr>
        <w:t>Obligatoriedad</w:t>
      </w:r>
    </w:p>
    <w:p w:rsidRPr="00751B9D" w:rsidR="00E612F5" w:rsidP="00E612F5" w:rsidRDefault="00E612F5" w14:paraId="267CDB39" w14:textId="77777777">
      <w:pPr>
        <w:jc w:val="both"/>
        <w:rPr>
          <w:rFonts w:ascii="Arial" w:hAnsi="Arial" w:cs="Arial"/>
          <w:sz w:val="22"/>
        </w:rPr>
      </w:pPr>
    </w:p>
    <w:p w:rsidR="00E612F5" w:rsidP="00E612F5" w:rsidRDefault="00E612F5" w14:paraId="1EF2EF34" w14:textId="77777777">
      <w:pPr>
        <w:pStyle w:val="Prrafodelista"/>
        <w:ind w:left="0"/>
        <w:jc w:val="both"/>
        <w:rPr>
          <w:rFonts w:ascii="Arial" w:hAnsi="Arial" w:eastAsia="Calibri" w:cs="Arial"/>
          <w:bCs/>
          <w:sz w:val="20"/>
          <w:szCs w:val="20"/>
          <w:lang w:val="es-ES_tradnl"/>
        </w:rPr>
      </w:pPr>
      <w:r w:rsidRPr="001946FB">
        <w:rPr>
          <w:rFonts w:ascii="Arial" w:hAnsi="Arial" w:eastAsia="Calibri" w:cs="Arial"/>
          <w:sz w:val="20"/>
          <w:szCs w:val="20"/>
        </w:rPr>
        <w:t xml:space="preserve">La </w:t>
      </w:r>
      <w:r w:rsidRPr="00DA338C">
        <w:rPr>
          <w:rFonts w:ascii="Arial" w:hAnsi="Arial" w:eastAsia="Calibri" w:cs="Arial"/>
          <w:bCs/>
          <w:sz w:val="20"/>
          <w:szCs w:val="20"/>
          <w:lang w:val="es-ES_tradnl"/>
        </w:rPr>
        <w:t>ley es clara cuando establece que los conceptos emitidos por las autoridades al responder peticiones realizadas en ejercicio del derecho a formular consultas –como fue el caso de los conceptos objeto de la solicitud de revocatoria– no son de obligatorio cumplimiento o de obligatoria ejecución,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r>
        <w:rPr>
          <w:rFonts w:ascii="Arial" w:hAnsi="Arial" w:eastAsia="Calibri" w:cs="Arial"/>
          <w:bCs/>
          <w:sz w:val="20"/>
          <w:szCs w:val="20"/>
          <w:lang w:val="es-ES_tradnl"/>
        </w:rPr>
        <w:t>.</w:t>
      </w:r>
    </w:p>
    <w:p w:rsidR="00E612F5" w:rsidP="00E612F5" w:rsidRDefault="00E612F5" w14:paraId="68CF5B08" w14:textId="77777777">
      <w:pPr>
        <w:pStyle w:val="Prrafodelista"/>
        <w:ind w:left="0"/>
        <w:jc w:val="both"/>
        <w:rPr>
          <w:rFonts w:ascii="Arial" w:hAnsi="Arial" w:eastAsia="Calibri" w:cs="Arial"/>
          <w:sz w:val="20"/>
          <w:szCs w:val="20"/>
        </w:rPr>
      </w:pPr>
    </w:p>
    <w:p w:rsidRPr="00751B9D" w:rsidR="00E612F5" w:rsidP="00E612F5" w:rsidRDefault="00E612F5" w14:paraId="75E42422" w14:textId="77777777">
      <w:pPr>
        <w:jc w:val="both"/>
        <w:rPr>
          <w:rFonts w:ascii="Arial" w:hAnsi="Arial" w:eastAsia="Calibri" w:cs="Arial"/>
          <w:bCs/>
          <w:sz w:val="22"/>
        </w:rPr>
      </w:pPr>
      <w:r w:rsidRPr="00751B9D">
        <w:rPr>
          <w:rFonts w:ascii="Arial" w:hAnsi="Arial" w:eastAsia="Calibri" w:cs="Arial"/>
          <w:b/>
          <w:sz w:val="22"/>
        </w:rPr>
        <w:t>FUNCIÓN CONSULTIVA - Alcance</w:t>
      </w:r>
    </w:p>
    <w:p w:rsidRPr="004C6821" w:rsidR="00E612F5" w:rsidP="00E612F5" w:rsidRDefault="00E612F5" w14:paraId="4C4B3193" w14:textId="77777777">
      <w:pPr>
        <w:jc w:val="both"/>
        <w:rPr>
          <w:rFonts w:ascii="Arial" w:hAnsi="Arial" w:cs="Arial"/>
          <w:sz w:val="22"/>
        </w:rPr>
      </w:pPr>
    </w:p>
    <w:p w:rsidRPr="00DA338C" w:rsidR="00E612F5" w:rsidP="00E612F5" w:rsidRDefault="00E612F5" w14:paraId="7BB9ACBD" w14:textId="77777777">
      <w:pPr>
        <w:jc w:val="both"/>
        <w:rPr>
          <w:rFonts w:ascii="Arial" w:hAnsi="Arial" w:eastAsia="Calibri" w:cs="Arial"/>
          <w:bCs/>
          <w:sz w:val="20"/>
          <w:szCs w:val="20"/>
          <w:lang w:val="es-ES_tradnl"/>
        </w:rPr>
      </w:pPr>
      <w:r w:rsidRPr="00DA338C">
        <w:rPr>
          <w:rFonts w:ascii="Arial" w:hAnsi="Arial" w:eastAsia="Calibri" w:cs="Arial"/>
          <w:bCs/>
          <w:sz w:val="20"/>
          <w:szCs w:val="20"/>
          <w:lang w:val="es-ES_tradnl"/>
        </w:rPr>
        <w:t xml:space="preserve">A las autoridades que ejercen funciones consultivas no les corresponde darle un alcance o preferir un sentido frente a otro, ya que estas se limitan a expresar su posición hermenéutica respecto a las disposiciones normativas. En tal sentido, no pueden, pues, sobreponer su opinión sobre otras posibles.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 </w:t>
      </w:r>
    </w:p>
    <w:p w:rsidR="00E612F5" w:rsidP="00E612F5" w:rsidRDefault="00E612F5" w14:paraId="1D24D4C9" w14:textId="77777777">
      <w:pPr>
        <w:pStyle w:val="Prrafodelista"/>
        <w:ind w:left="0"/>
        <w:jc w:val="both"/>
        <w:rPr>
          <w:rFonts w:ascii="Arial" w:hAnsi="Arial" w:eastAsia="Calibri" w:cs="Arial"/>
          <w:sz w:val="20"/>
          <w:szCs w:val="20"/>
        </w:rPr>
      </w:pPr>
    </w:p>
    <w:p w:rsidR="00E612F5" w:rsidP="26EF778F" w:rsidRDefault="00E612F5" w14:paraId="7D2DF0BD" w14:textId="44B96C3E">
      <w:pPr>
        <w:pStyle w:val="Normal"/>
        <w:bidi w:val="0"/>
        <w:spacing w:before="0" w:beforeAutospacing="off" w:after="0" w:afterAutospacing="off" w:line="240" w:lineRule="auto"/>
        <w:ind w:left="0" w:right="0"/>
        <w:jc w:val="both"/>
        <w:rPr>
          <w:rFonts w:ascii="Arial" w:hAnsi="Arial" w:eastAsia="Calibri" w:cs="Arial"/>
          <w:sz w:val="22"/>
          <w:szCs w:val="22"/>
        </w:rPr>
      </w:pPr>
      <w:r w:rsidRPr="26EF778F" w:rsidR="00E612F5">
        <w:rPr>
          <w:rFonts w:ascii="Arial" w:hAnsi="Arial" w:eastAsia="Calibri" w:cs="Arial"/>
          <w:b w:val="1"/>
          <w:bCs w:val="1"/>
          <w:sz w:val="22"/>
          <w:szCs w:val="22"/>
        </w:rPr>
        <w:t xml:space="preserve">CONCEPTOS DE COLOMBIA COMPRA EFICIENTE – </w:t>
      </w:r>
      <w:r w:rsidRPr="26EF778F" w:rsidR="211A8ACD">
        <w:rPr>
          <w:rFonts w:ascii="Arial" w:hAnsi="Arial" w:eastAsia="Calibri" w:cs="Arial"/>
          <w:b w:val="1"/>
          <w:bCs w:val="1"/>
          <w:sz w:val="22"/>
          <w:szCs w:val="22"/>
        </w:rPr>
        <w:t xml:space="preserve">Recursos </w:t>
      </w:r>
      <w:r w:rsidRPr="26EF778F" w:rsidR="211A8ACD">
        <w:rPr>
          <w:rFonts w:ascii="Arial" w:hAnsi="Arial" w:eastAsia="Arial" w:cs="Arial"/>
          <w:b w:val="1"/>
          <w:bCs w:val="1"/>
          <w:noProof w:val="0"/>
          <w:sz w:val="22"/>
          <w:szCs w:val="22"/>
          <w:lang w:val="es-MX"/>
        </w:rPr>
        <w:t>– Procedibilidad</w:t>
      </w:r>
    </w:p>
    <w:p w:rsidRPr="004C6821" w:rsidR="00E612F5" w:rsidP="00E612F5" w:rsidRDefault="00E612F5" w14:paraId="14178E80" w14:textId="77777777">
      <w:pPr>
        <w:jc w:val="both"/>
        <w:rPr>
          <w:rFonts w:ascii="Arial" w:hAnsi="Arial" w:cs="Arial"/>
          <w:sz w:val="22"/>
        </w:rPr>
      </w:pPr>
    </w:p>
    <w:p w:rsidR="00E612F5" w:rsidP="00E612F5" w:rsidRDefault="00E612F5" w14:paraId="66C281B7" w14:textId="77777777">
      <w:pPr>
        <w:jc w:val="both"/>
        <w:rPr>
          <w:rFonts w:ascii="Arial" w:hAnsi="Arial" w:eastAsia="Calibri" w:cs="Arial"/>
          <w:sz w:val="20"/>
          <w:szCs w:val="20"/>
          <w:lang w:val="es-ES_tradnl"/>
        </w:rPr>
      </w:pPr>
      <w:r w:rsidRPr="004002F0">
        <w:rPr>
          <w:rFonts w:ascii="Arial" w:hAnsi="Arial" w:eastAsia="Calibri" w:cs="Arial"/>
          <w:sz w:val="20"/>
          <w:szCs w:val="20"/>
        </w:rPr>
        <w:t xml:space="preserve">Colombia Compra Eficiente considera que no hay lugar a acceder a la solicitud de revocatoria de </w:t>
      </w:r>
      <w:r>
        <w:rPr>
          <w:rFonts w:ascii="Arial" w:hAnsi="Arial" w:eastAsia="Calibri" w:cs="Arial"/>
          <w:sz w:val="20"/>
          <w:szCs w:val="20"/>
        </w:rPr>
        <w:t>los conceptos sub examine, pues</w:t>
      </w:r>
      <w:r w:rsidRPr="004002F0">
        <w:rPr>
          <w:rFonts w:ascii="Arial" w:hAnsi="Arial" w:eastAsia="Calibri" w:cs="Arial"/>
          <w:bCs/>
          <w:sz w:val="20"/>
          <w:szCs w:val="20"/>
          <w:lang w:val="es-ES_tradnl"/>
        </w:rPr>
        <w:t xml:space="preserve"> se encuentra que: i) al explicar que el artículo 12 de la Ley 842 de 2003 fue derogado tácitamente, no se desconocen los efectos de la sentencia C-296 de 2012; ii) la providencia del Consejo de Estado tiene efectos provisionales que, aunque eventualmente podrían ser definitivos con la sentencia de fondo, no se extienden a los conceptos de Colombia Compra Eficiente; iii) no existe la contradicción a la que se refirieren los peticionarios frente a la Circular Externa Única de 2019 y, en gracia de discusión, lo que se observa es un cambio de postura en relación con un punto de derecho, el cual, además, está debidamente justificada y sustentada; iv) la tesis de esta Agencia, además de ser razonable y coherente, ha sido expuesta por diferentes entidades, especialmente, por el Departamento Administrativo de la Función Pública, lo que descarta su arbitrariedad o subjetividad; y v) </w:t>
      </w:r>
      <w:r w:rsidRPr="004002F0">
        <w:rPr>
          <w:rFonts w:ascii="Arial" w:hAnsi="Arial" w:eastAsia="Calibri" w:cs="Arial"/>
          <w:sz w:val="20"/>
          <w:szCs w:val="20"/>
          <w:lang w:val="es-ES_tradnl"/>
        </w:rPr>
        <w:t>el COPNIA no es el intérprete «exclusivo y excluyente» de la Ley 842 de 2002, además la Agencia Nacional de Contratación Pública está facultada legalmente para interpretar esa norma.</w:t>
      </w:r>
    </w:p>
    <w:p w:rsidR="00E612F5" w:rsidP="00E612F5" w:rsidRDefault="00E612F5" w14:paraId="4EF732AE" w14:textId="77777777">
      <w:pPr>
        <w:jc w:val="both"/>
        <w:rPr>
          <w:rFonts w:ascii="Arial" w:hAnsi="Arial" w:eastAsia="Calibri" w:cs="Arial"/>
          <w:sz w:val="20"/>
          <w:szCs w:val="20"/>
          <w:lang w:val="es-ES_tradnl"/>
        </w:rPr>
      </w:pPr>
    </w:p>
    <w:p w:rsidRPr="00751B9D" w:rsidR="00E612F5" w:rsidP="00E612F5" w:rsidRDefault="00E612F5" w14:paraId="7C6017F2" w14:textId="77777777">
      <w:pPr>
        <w:jc w:val="both"/>
        <w:rPr>
          <w:rFonts w:ascii="Arial" w:hAnsi="Arial" w:eastAsia="Calibri" w:cs="Arial"/>
          <w:bCs/>
          <w:sz w:val="22"/>
        </w:rPr>
      </w:pPr>
      <w:r>
        <w:rPr>
          <w:rFonts w:ascii="Arial" w:hAnsi="Arial" w:eastAsia="Calibri" w:cs="Arial"/>
          <w:b/>
          <w:sz w:val="22"/>
        </w:rPr>
        <w:lastRenderedPageBreak/>
        <w:t>FUNCIÓN CONSULTIVA</w:t>
      </w:r>
      <w:r w:rsidRPr="00751B9D">
        <w:rPr>
          <w:rFonts w:ascii="Arial" w:hAnsi="Arial" w:eastAsia="Calibri" w:cs="Arial"/>
          <w:b/>
          <w:sz w:val="22"/>
        </w:rPr>
        <w:t xml:space="preserve"> –</w:t>
      </w:r>
      <w:r>
        <w:rPr>
          <w:rFonts w:ascii="Arial" w:hAnsi="Arial" w:eastAsia="Calibri" w:cs="Arial"/>
          <w:b/>
          <w:sz w:val="22"/>
        </w:rPr>
        <w:t xml:space="preserve"> Objeto</w:t>
      </w:r>
    </w:p>
    <w:p w:rsidRPr="004C6821" w:rsidR="00E612F5" w:rsidP="00E612F5" w:rsidRDefault="00E612F5" w14:paraId="0D839DD9" w14:textId="77777777">
      <w:pPr>
        <w:jc w:val="both"/>
        <w:rPr>
          <w:rFonts w:ascii="Arial" w:hAnsi="Arial" w:cs="Arial"/>
          <w:sz w:val="22"/>
        </w:rPr>
      </w:pPr>
    </w:p>
    <w:p w:rsidRPr="00C273E6" w:rsidR="00E612F5" w:rsidP="00E612F5" w:rsidRDefault="00E612F5" w14:paraId="0D4B35EC" w14:textId="77777777">
      <w:pPr>
        <w:jc w:val="both"/>
        <w:rPr>
          <w:rFonts w:ascii="Arial" w:hAnsi="Arial" w:eastAsia="Calibri" w:cs="Arial"/>
          <w:bCs/>
          <w:sz w:val="20"/>
          <w:szCs w:val="20"/>
          <w:lang w:val="es-ES_tradnl"/>
        </w:rPr>
      </w:pPr>
      <w:r w:rsidRPr="00C273E6">
        <w:rPr>
          <w:rFonts w:ascii="Arial" w:hAnsi="Arial" w:eastAsia="Calibri" w:cs="Arial"/>
          <w:bCs/>
          <w:sz w:val="20"/>
          <w:szCs w:val="20"/>
          <w:lang w:val="es-ES_tradnl"/>
        </w:rPr>
        <w:t>[…]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p>
    <w:p w:rsidRPr="00C273E6" w:rsidR="00E612F5" w:rsidP="00E612F5" w:rsidRDefault="00E612F5" w14:paraId="19605908" w14:textId="77777777">
      <w:pPr>
        <w:jc w:val="both"/>
        <w:rPr>
          <w:rFonts w:ascii="Arial" w:hAnsi="Arial" w:eastAsia="Calibri" w:cs="Arial"/>
          <w:bCs/>
          <w:sz w:val="20"/>
          <w:szCs w:val="20"/>
          <w:lang w:val="es-ES_tradnl"/>
        </w:rPr>
      </w:pPr>
      <w:r w:rsidRPr="00C273E6">
        <w:rPr>
          <w:rFonts w:ascii="Arial" w:hAnsi="Arial" w:eastAsia="Calibri" w:cs="Arial"/>
          <w:bCs/>
          <w:sz w:val="20"/>
          <w:szCs w:val="20"/>
          <w:lang w:val="es-ES_tradnl"/>
        </w:rPr>
        <w:t>[…]</w:t>
      </w:r>
    </w:p>
    <w:p w:rsidRPr="00C273E6" w:rsidR="00E612F5" w:rsidP="00E612F5" w:rsidRDefault="00E612F5" w14:paraId="20444786" w14:textId="77777777">
      <w:pPr>
        <w:spacing w:before="120"/>
        <w:jc w:val="both"/>
        <w:rPr>
          <w:rFonts w:ascii="Arial" w:hAnsi="Arial" w:eastAsia="Calibri" w:cs="Arial"/>
          <w:bCs/>
          <w:sz w:val="20"/>
          <w:szCs w:val="20"/>
          <w:lang w:val="es-ES_tradnl"/>
        </w:rPr>
      </w:pPr>
      <w:r w:rsidRPr="00C273E6">
        <w:rPr>
          <w:rFonts w:ascii="Arial" w:hAnsi="Arial" w:eastAsia="Calibri" w:cs="Arial"/>
          <w:bCs/>
          <w:sz w:val="20"/>
          <w:szCs w:val="20"/>
          <w:lang w:val="es-ES_tradnl"/>
        </w:rPr>
        <w:t>En similares términos, el artículo 112 de la Ley 1437 de 2011 establece, en relación con la Sala de Consulta y Servicio Civil, que «los conceptos de la Sala no serán vinculantes, salvo que la ley disponga lo contrario»</w:t>
      </w:r>
      <w:r w:rsidRPr="00C273E6">
        <w:rPr>
          <w:rFonts w:ascii="Arial" w:hAnsi="Arial" w:eastAsia="Calibri" w:cs="Arial"/>
          <w:bCs/>
          <w:sz w:val="20"/>
          <w:szCs w:val="20"/>
          <w:lang w:val="es-ES_tradnl"/>
        </w:rPr>
        <w:footnoteReference w:id="1"/>
      </w:r>
      <w:r w:rsidRPr="00C273E6">
        <w:rPr>
          <w:rFonts w:ascii="Arial" w:hAnsi="Arial" w:eastAsia="Calibri" w:cs="Arial"/>
          <w:bCs/>
          <w:sz w:val="20"/>
          <w:szCs w:val="20"/>
          <w:lang w:val="es-ES_tradnl"/>
        </w:rPr>
        <w:t xml:space="preserve">. Se trata, </w:t>
      </w:r>
      <w:r w:rsidRPr="00C273E6">
        <w:rPr>
          <w:rFonts w:ascii="Arial" w:hAnsi="Arial" w:eastAsia="Calibri" w:cs="Arial"/>
          <w:bCs/>
          <w:i/>
          <w:sz w:val="20"/>
          <w:szCs w:val="20"/>
          <w:lang w:val="es-ES_tradnl"/>
        </w:rPr>
        <w:t xml:space="preserve">mutatis </w:t>
      </w:r>
      <w:proofErr w:type="spellStart"/>
      <w:r w:rsidRPr="00C273E6">
        <w:rPr>
          <w:rFonts w:ascii="Arial" w:hAnsi="Arial" w:eastAsia="Calibri" w:cs="Arial"/>
          <w:bCs/>
          <w:i/>
          <w:sz w:val="20"/>
          <w:szCs w:val="20"/>
          <w:lang w:val="es-ES_tradnl"/>
        </w:rPr>
        <w:t>mutandi</w:t>
      </w:r>
      <w:proofErr w:type="spellEnd"/>
      <w:r w:rsidRPr="00C273E6">
        <w:rPr>
          <w:rFonts w:ascii="Arial" w:hAnsi="Arial" w:eastAsia="Calibri" w:cs="Arial"/>
          <w:bCs/>
          <w:sz w:val="20"/>
          <w:szCs w:val="20"/>
          <w:lang w:val="es-ES_tradnl"/>
        </w:rPr>
        <w:t>, del ejercicio de una función consultiva, cuyos efectos, por ende, serán los mismos: no vinculantes ni de obligatorio cumplimiento.</w:t>
      </w:r>
    </w:p>
    <w:p w:rsidRPr="00E612F5" w:rsidR="00751B9D" w:rsidP="00634FDA" w:rsidRDefault="00751B9D" w14:paraId="4C86C4F8" w14:textId="6705F7E4">
      <w:pPr>
        <w:spacing w:after="200"/>
        <w:jc w:val="both"/>
        <w:rPr>
          <w:rFonts w:ascii="Arial" w:hAnsi="Arial" w:eastAsia="Calibri" w:cs="Arial"/>
          <w:b/>
          <w:sz w:val="20"/>
          <w:szCs w:val="20"/>
          <w:lang w:val="es-ES_tradnl"/>
        </w:rPr>
      </w:pPr>
    </w:p>
    <w:p w:rsidRPr="00DC759C" w:rsidR="000920F0" w:rsidP="000920F0" w:rsidRDefault="000920F0" w14:paraId="693F4604" w14:textId="66167378">
      <w:pPr>
        <w:spacing w:line="276" w:lineRule="auto"/>
        <w:jc w:val="both"/>
        <w:rPr>
          <w:rFonts w:ascii="Arial" w:hAnsi="Arial" w:eastAsia="Calibri" w:cs="Arial"/>
          <w:sz w:val="20"/>
          <w:lang w:val="es-ES_tradnl"/>
        </w:rPr>
      </w:pPr>
      <w:r w:rsidRPr="00DC759C">
        <w:rPr>
          <w:rFonts w:ascii="Arial" w:hAnsi="Arial" w:cs="Arial"/>
          <w:sz w:val="22"/>
          <w:lang w:val="es-ES_tradnl"/>
        </w:rPr>
        <w:t xml:space="preserve">Bogotá D.C., </w:t>
      </w:r>
      <w:r w:rsidRPr="00FA5E8F" w:rsidR="00FA5E8F">
        <w:rPr>
          <w:rFonts w:ascii="Arial" w:hAnsi="Arial" w:cs="Arial"/>
          <w:b/>
          <w:sz w:val="22"/>
          <w:lang w:val="es-ES_tradnl"/>
        </w:rPr>
        <w:t>30/06/2020 Hora 8:37:2s</w:t>
      </w:r>
    </w:p>
    <w:p w:rsidRPr="00DC759C" w:rsidR="000920F0" w:rsidP="000920F0" w:rsidRDefault="000920F0" w14:paraId="3B6E052F" w14:textId="4CCEBB25">
      <w:pPr>
        <w:spacing w:line="276" w:lineRule="auto"/>
        <w:jc w:val="right"/>
        <w:rPr>
          <w:rFonts w:ascii="Arial" w:hAnsi="Arial" w:cs="Arial"/>
          <w:b/>
          <w:sz w:val="22"/>
          <w:lang w:val="es-ES_tradnl"/>
        </w:rPr>
      </w:pPr>
      <w:r w:rsidRPr="00DC759C">
        <w:rPr>
          <w:rFonts w:ascii="Arial" w:hAnsi="Arial" w:cs="Arial"/>
          <w:b/>
          <w:sz w:val="22"/>
          <w:lang w:val="es-ES_tradnl"/>
        </w:rPr>
        <w:t xml:space="preserve">N° Radicado: </w:t>
      </w:r>
      <w:r w:rsidRPr="00FA5E8F" w:rsidR="00FA5E8F">
        <w:rPr>
          <w:rFonts w:ascii="Arial" w:hAnsi="Arial" w:cs="Arial"/>
          <w:b/>
          <w:sz w:val="22"/>
          <w:lang w:val="es-ES_tradnl"/>
        </w:rPr>
        <w:t>2202013000005523</w:t>
      </w:r>
    </w:p>
    <w:p w:rsidRPr="00DC759C" w:rsidR="000920F0" w:rsidP="000920F0" w:rsidRDefault="000920F0" w14:paraId="06C9ADFA" w14:textId="77777777">
      <w:pPr>
        <w:tabs>
          <w:tab w:val="left" w:pos="3374"/>
        </w:tabs>
        <w:spacing w:line="276" w:lineRule="auto"/>
        <w:rPr>
          <w:rFonts w:ascii="Arial" w:hAnsi="Arial" w:eastAsia="Calibri" w:cs="Arial"/>
          <w:sz w:val="22"/>
          <w:lang w:val="es-ES_tradnl"/>
        </w:rPr>
      </w:pPr>
      <w:r w:rsidRPr="00DC759C">
        <w:rPr>
          <w:rFonts w:ascii="Arial" w:hAnsi="Arial" w:eastAsia="Calibri" w:cs="Arial"/>
          <w:sz w:val="22"/>
          <w:lang w:val="es-ES_tradnl"/>
        </w:rPr>
        <w:tab/>
      </w:r>
    </w:p>
    <w:p w:rsidRPr="00DC759C" w:rsidR="00F7146B" w:rsidP="000920F0" w:rsidRDefault="00F7146B" w14:paraId="59496E5E" w14:textId="67AFA6FA">
      <w:pPr>
        <w:spacing w:line="276" w:lineRule="auto"/>
        <w:rPr>
          <w:rFonts w:ascii="Arial" w:hAnsi="Arial" w:eastAsia="Calibri" w:cs="Arial"/>
          <w:sz w:val="22"/>
          <w:lang w:val="es-ES_tradnl"/>
        </w:rPr>
      </w:pPr>
    </w:p>
    <w:p w:rsidRPr="00DC759C" w:rsidR="000920F0" w:rsidP="000920F0" w:rsidRDefault="000920F0" w14:paraId="0223F164" w14:textId="48177DEA">
      <w:pPr>
        <w:spacing w:line="276" w:lineRule="auto"/>
        <w:rPr>
          <w:rFonts w:ascii="Arial" w:hAnsi="Arial" w:eastAsia="Calibri" w:cs="Arial"/>
          <w:sz w:val="22"/>
          <w:lang w:val="es-ES_tradnl"/>
        </w:rPr>
      </w:pPr>
      <w:r w:rsidRPr="00DC759C">
        <w:rPr>
          <w:rFonts w:ascii="Arial" w:hAnsi="Arial" w:eastAsia="Calibri" w:cs="Arial"/>
          <w:sz w:val="22"/>
          <w:lang w:val="es-ES_tradnl"/>
        </w:rPr>
        <w:t>Señor</w:t>
      </w:r>
    </w:p>
    <w:p w:rsidRPr="00DC759C" w:rsidR="00B335CC" w:rsidP="000920F0" w:rsidRDefault="00AB2D8E" w14:paraId="02491F70" w14:textId="6340585A">
      <w:pPr>
        <w:spacing w:line="276" w:lineRule="auto"/>
        <w:rPr>
          <w:rFonts w:ascii="Arial" w:hAnsi="Arial" w:eastAsia="Calibri" w:cs="Arial"/>
          <w:b/>
          <w:sz w:val="22"/>
          <w:lang w:val="es-ES_tradnl"/>
        </w:rPr>
      </w:pPr>
      <w:r>
        <w:rPr>
          <w:rFonts w:ascii="Arial" w:hAnsi="Arial" w:eastAsia="Calibri" w:cs="Arial"/>
          <w:b/>
          <w:sz w:val="22"/>
          <w:lang w:val="es-ES_tradnl"/>
        </w:rPr>
        <w:t>Marco Antonio Gómez Albornoz</w:t>
      </w:r>
    </w:p>
    <w:p w:rsidR="004748DE" w:rsidP="000920F0" w:rsidRDefault="004233F3" w14:paraId="3D7B714B" w14:textId="77777777">
      <w:pPr>
        <w:spacing w:line="276" w:lineRule="auto"/>
        <w:rPr>
          <w:rFonts w:ascii="Arial" w:hAnsi="Arial" w:eastAsia="Calibri" w:cs="Arial"/>
          <w:b/>
          <w:sz w:val="22"/>
          <w:lang w:val="es-ES_tradnl"/>
        </w:rPr>
      </w:pPr>
      <w:r w:rsidRPr="00DC759C">
        <w:rPr>
          <w:rFonts w:ascii="Arial" w:hAnsi="Arial" w:eastAsia="Calibri" w:cs="Arial"/>
          <w:b/>
          <w:sz w:val="22"/>
          <w:lang w:val="es-ES_tradnl"/>
        </w:rPr>
        <w:t xml:space="preserve">Consejo Profesional </w:t>
      </w:r>
      <w:r w:rsidR="00AB2D8E">
        <w:rPr>
          <w:rFonts w:ascii="Arial" w:hAnsi="Arial" w:eastAsia="Calibri" w:cs="Arial"/>
          <w:b/>
          <w:sz w:val="22"/>
          <w:lang w:val="es-ES_tradnl"/>
        </w:rPr>
        <w:t xml:space="preserve">Nacional de Ingenierías Eléctrica, </w:t>
      </w:r>
    </w:p>
    <w:p w:rsidRPr="00DC759C" w:rsidR="004233F3" w:rsidP="000920F0" w:rsidRDefault="00AB2D8E" w14:paraId="380B30F4" w14:textId="1BC7079A">
      <w:pPr>
        <w:spacing w:line="276" w:lineRule="auto"/>
        <w:rPr>
          <w:rFonts w:ascii="Arial" w:hAnsi="Arial" w:eastAsia="Calibri" w:cs="Arial"/>
          <w:b/>
          <w:sz w:val="22"/>
          <w:lang w:val="es-ES_tradnl"/>
        </w:rPr>
      </w:pPr>
      <w:r>
        <w:rPr>
          <w:rFonts w:ascii="Arial" w:hAnsi="Arial" w:eastAsia="Calibri" w:cs="Arial"/>
          <w:b/>
          <w:sz w:val="22"/>
          <w:lang w:val="es-ES_tradnl"/>
        </w:rPr>
        <w:t>Mecánica y Profesiones Afines</w:t>
      </w:r>
      <w:r w:rsidRPr="00DC759C" w:rsidR="004233F3">
        <w:rPr>
          <w:rFonts w:ascii="Arial" w:hAnsi="Arial" w:eastAsia="Calibri" w:cs="Arial"/>
          <w:b/>
          <w:sz w:val="22"/>
          <w:lang w:val="es-ES_tradnl"/>
        </w:rPr>
        <w:t xml:space="preserve"> </w:t>
      </w:r>
    </w:p>
    <w:p w:rsidRPr="00DC759C" w:rsidR="000920F0" w:rsidP="000920F0" w:rsidRDefault="00B335CC" w14:paraId="188163AF" w14:textId="1348B387">
      <w:pPr>
        <w:spacing w:line="276" w:lineRule="auto"/>
        <w:rPr>
          <w:rFonts w:ascii="Arial" w:hAnsi="Arial" w:eastAsia="Calibri" w:cs="Arial"/>
          <w:sz w:val="22"/>
          <w:lang w:val="es-ES_tradnl"/>
        </w:rPr>
      </w:pPr>
      <w:r w:rsidRPr="00DC759C">
        <w:rPr>
          <w:rFonts w:ascii="Arial" w:hAnsi="Arial" w:eastAsia="Calibri" w:cs="Arial"/>
          <w:sz w:val="22"/>
          <w:lang w:val="es-ES_tradnl"/>
        </w:rPr>
        <w:t>Bogotá</w:t>
      </w:r>
    </w:p>
    <w:p w:rsidR="001A7B0C" w:rsidP="000920F0" w:rsidRDefault="001A7B0C" w14:paraId="699D893C" w14:textId="7E1FC6B6">
      <w:pPr>
        <w:spacing w:line="276" w:lineRule="auto"/>
        <w:jc w:val="center"/>
        <w:rPr>
          <w:rFonts w:ascii="Arial" w:hAnsi="Arial" w:eastAsia="Calibri" w:cs="Arial"/>
          <w:b/>
          <w:sz w:val="22"/>
          <w:lang w:val="es-ES_tradnl"/>
        </w:rPr>
      </w:pPr>
    </w:p>
    <w:p w:rsidRPr="00DC759C" w:rsidR="00E71A51" w:rsidP="000920F0" w:rsidRDefault="00E71A51" w14:paraId="2417372B" w14:textId="77777777">
      <w:pPr>
        <w:spacing w:line="276" w:lineRule="auto"/>
        <w:jc w:val="center"/>
        <w:rPr>
          <w:rFonts w:ascii="Arial" w:hAnsi="Arial" w:eastAsia="Calibri" w:cs="Arial"/>
          <w:b/>
          <w:sz w:val="22"/>
          <w:lang w:val="es-ES_tradnl"/>
        </w:rPr>
      </w:pPr>
    </w:p>
    <w:p w:rsidRPr="00DC759C" w:rsidR="000920F0" w:rsidP="000920F0" w:rsidRDefault="000920F0" w14:paraId="36D9E2A1" w14:textId="68C3C770">
      <w:pPr>
        <w:spacing w:line="276" w:lineRule="auto"/>
        <w:jc w:val="center"/>
        <w:rPr>
          <w:rFonts w:ascii="Arial" w:hAnsi="Arial" w:eastAsia="Calibri" w:cs="Arial"/>
          <w:b/>
          <w:sz w:val="22"/>
          <w:lang w:val="es-ES_tradnl"/>
        </w:rPr>
      </w:pPr>
      <w:r w:rsidRPr="00DC759C">
        <w:rPr>
          <w:rFonts w:ascii="Arial" w:hAnsi="Arial" w:eastAsia="Calibri" w:cs="Arial"/>
          <w:b/>
          <w:sz w:val="22"/>
          <w:lang w:val="es-ES_tradnl"/>
        </w:rPr>
        <w:t>Concepto C─</w:t>
      </w:r>
      <w:r w:rsidR="00AB2D8E">
        <w:rPr>
          <w:rFonts w:ascii="Arial" w:hAnsi="Arial" w:eastAsia="Calibri" w:cs="Arial"/>
          <w:b/>
          <w:sz w:val="22"/>
          <w:lang w:val="es-ES_tradnl"/>
        </w:rPr>
        <w:t xml:space="preserve"> 353</w:t>
      </w:r>
      <w:r w:rsidRPr="00DC759C">
        <w:rPr>
          <w:rFonts w:ascii="Arial" w:hAnsi="Arial" w:eastAsia="Calibri" w:cs="Arial"/>
          <w:b/>
          <w:sz w:val="22"/>
          <w:lang w:val="es-ES_tradnl"/>
        </w:rPr>
        <w:t xml:space="preserve"> de 2020</w:t>
      </w:r>
    </w:p>
    <w:p w:rsidRPr="00DC759C" w:rsidR="000920F0" w:rsidP="000920F0" w:rsidRDefault="000920F0" w14:paraId="5FD7FADA" w14:textId="77777777">
      <w:pPr>
        <w:spacing w:line="276" w:lineRule="auto"/>
        <w:rPr>
          <w:rFonts w:ascii="Arial" w:hAnsi="Arial" w:eastAsia="Calibri" w:cs="Arial"/>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C759C" w:rsidR="00DC759C" w:rsidTr="00FC16B2" w14:paraId="16CF89C4" w14:textId="77777777">
        <w:tc>
          <w:tcPr>
            <w:tcW w:w="2689" w:type="dxa"/>
            <w:hideMark/>
          </w:tcPr>
          <w:p w:rsidRPr="00DC759C" w:rsidR="000920F0" w:rsidP="00FC16B2" w:rsidRDefault="000920F0" w14:paraId="7BBF5828" w14:textId="77777777">
            <w:pPr>
              <w:spacing w:line="276" w:lineRule="auto"/>
              <w:rPr>
                <w:rFonts w:ascii="Arial" w:hAnsi="Arial" w:eastAsia="Calibri" w:cs="Arial"/>
                <w:sz w:val="22"/>
                <w:lang w:val="es-ES_tradnl"/>
              </w:rPr>
            </w:pPr>
            <w:r w:rsidRPr="00DC759C">
              <w:rPr>
                <w:rFonts w:ascii="Arial" w:hAnsi="Arial" w:eastAsia="Calibri" w:cs="Arial"/>
                <w:b/>
                <w:sz w:val="22"/>
                <w:lang w:val="es-ES_tradnl"/>
              </w:rPr>
              <w:t>Temas:</w:t>
            </w:r>
            <w:r w:rsidRPr="00DC759C">
              <w:rPr>
                <w:rFonts w:ascii="Arial" w:hAnsi="Arial" w:eastAsia="Calibri" w:cs="Arial"/>
                <w:sz w:val="22"/>
                <w:lang w:val="es-ES_tradnl"/>
              </w:rPr>
              <w:t xml:space="preserve">           </w:t>
            </w:r>
          </w:p>
          <w:p w:rsidRPr="00DC759C" w:rsidR="000920F0" w:rsidP="00FC16B2" w:rsidRDefault="000920F0" w14:paraId="76A5E400" w14:textId="77777777">
            <w:pPr>
              <w:spacing w:line="276" w:lineRule="auto"/>
              <w:rPr>
                <w:rFonts w:ascii="Arial" w:hAnsi="Arial" w:eastAsia="Calibri" w:cs="Arial"/>
                <w:sz w:val="22"/>
                <w:lang w:val="es-ES_tradnl"/>
              </w:rPr>
            </w:pPr>
            <w:r w:rsidRPr="00DC759C">
              <w:rPr>
                <w:rFonts w:ascii="Arial" w:hAnsi="Arial" w:eastAsia="Calibri" w:cs="Arial"/>
                <w:sz w:val="22"/>
                <w:lang w:val="es-ES_tradnl"/>
              </w:rPr>
              <w:t xml:space="preserve">                           </w:t>
            </w:r>
          </w:p>
        </w:tc>
        <w:tc>
          <w:tcPr>
            <w:tcW w:w="6237" w:type="dxa"/>
            <w:hideMark/>
          </w:tcPr>
          <w:p w:rsidRPr="00DC759C" w:rsidR="000920F0" w:rsidP="00581A11" w:rsidRDefault="00A71B85" w14:paraId="5528BC60" w14:textId="4A5C88CD">
            <w:pPr>
              <w:spacing w:line="276" w:lineRule="auto"/>
              <w:jc w:val="both"/>
              <w:rPr>
                <w:rFonts w:ascii="Arial" w:hAnsi="Arial" w:eastAsia="Calibri" w:cs="Arial"/>
                <w:sz w:val="22"/>
              </w:rPr>
            </w:pPr>
            <w:r w:rsidRPr="00A71B85">
              <w:rPr>
                <w:rFonts w:ascii="Arial" w:hAnsi="Arial" w:eastAsia="Calibri" w:cs="Arial"/>
                <w:sz w:val="22"/>
                <w:lang w:val="es-ES_tradnl"/>
              </w:rPr>
              <w:t xml:space="preserve">CONCEPTOS DE COLOMBIA COMPRA EFICIENTE – </w:t>
            </w:r>
            <w:r w:rsidR="00BA1B14">
              <w:rPr>
                <w:rFonts w:ascii="Arial" w:hAnsi="Arial" w:eastAsia="Calibri" w:cs="Arial"/>
                <w:sz w:val="22"/>
                <w:lang w:val="es-ES_tradnl"/>
              </w:rPr>
              <w:t>Obligatoriedad</w:t>
            </w:r>
            <w:r>
              <w:rPr>
                <w:rFonts w:ascii="Arial" w:hAnsi="Arial" w:eastAsia="Calibri" w:cs="Arial"/>
                <w:sz w:val="22"/>
                <w:lang w:val="es-ES_tradnl"/>
              </w:rPr>
              <w:t xml:space="preserve"> / </w:t>
            </w:r>
            <w:r w:rsidRPr="00A71B85">
              <w:rPr>
                <w:rFonts w:ascii="Arial" w:hAnsi="Arial" w:eastAsia="Calibri" w:cs="Arial"/>
                <w:sz w:val="22"/>
                <w:lang w:val="es-ES_tradnl"/>
              </w:rPr>
              <w:t xml:space="preserve">FUNCIÓN CONSULTIVA </w:t>
            </w:r>
            <w:r>
              <w:rPr>
                <w:rFonts w:ascii="Arial" w:hAnsi="Arial" w:eastAsia="Calibri" w:cs="Arial"/>
                <w:sz w:val="22"/>
                <w:lang w:val="es-ES_tradnl"/>
              </w:rPr>
              <w:t>–</w:t>
            </w:r>
            <w:r w:rsidRPr="00A71B85">
              <w:rPr>
                <w:rFonts w:ascii="Arial" w:hAnsi="Arial" w:eastAsia="Calibri" w:cs="Arial"/>
                <w:sz w:val="22"/>
                <w:lang w:val="es-ES_tradnl"/>
              </w:rPr>
              <w:t xml:space="preserve"> Alcance</w:t>
            </w:r>
            <w:r>
              <w:rPr>
                <w:rFonts w:ascii="Arial" w:hAnsi="Arial" w:eastAsia="Calibri" w:cs="Arial"/>
                <w:sz w:val="22"/>
                <w:lang w:val="es-ES_tradnl"/>
              </w:rPr>
              <w:t xml:space="preserve"> / </w:t>
            </w:r>
            <w:r w:rsidRPr="00A71B85">
              <w:rPr>
                <w:rFonts w:ascii="Arial" w:hAnsi="Arial" w:eastAsia="Calibri" w:cs="Arial"/>
                <w:sz w:val="22"/>
                <w:lang w:val="es-ES_tradnl"/>
              </w:rPr>
              <w:t xml:space="preserve">CONCEPTOS DE COLOMBIA COMPRA EFICIENTE – </w:t>
            </w:r>
            <w:r w:rsidR="00581A11">
              <w:rPr>
                <w:rFonts w:ascii="Arial" w:hAnsi="Arial" w:eastAsia="Calibri" w:cs="Arial"/>
                <w:sz w:val="22"/>
                <w:lang w:val="es-ES_tradnl"/>
              </w:rPr>
              <w:t>No son susceptibles</w:t>
            </w:r>
            <w:r w:rsidRPr="00A71B85">
              <w:rPr>
                <w:rFonts w:ascii="Arial" w:hAnsi="Arial" w:eastAsia="Calibri" w:cs="Arial"/>
                <w:sz w:val="22"/>
                <w:lang w:val="es-ES_tradnl"/>
              </w:rPr>
              <w:t xml:space="preserve"> de recursos</w:t>
            </w:r>
          </w:p>
        </w:tc>
      </w:tr>
      <w:tr w:rsidRPr="00DC759C" w:rsidR="00771868" w:rsidTr="000460C0" w14:paraId="5C0B4203" w14:textId="77777777">
        <w:trPr>
          <w:trHeight w:val="303"/>
        </w:trPr>
        <w:tc>
          <w:tcPr>
            <w:tcW w:w="2689" w:type="dxa"/>
          </w:tcPr>
          <w:p w:rsidRPr="00DC759C" w:rsidR="000920F0" w:rsidP="0062279A" w:rsidRDefault="000920F0" w14:paraId="32E4E458" w14:textId="77777777">
            <w:pPr>
              <w:spacing w:before="60" w:after="60" w:line="276" w:lineRule="auto"/>
              <w:rPr>
                <w:rFonts w:ascii="Arial" w:hAnsi="Arial" w:eastAsia="Calibri" w:cs="Arial"/>
                <w:b/>
                <w:sz w:val="22"/>
                <w:lang w:val="es-ES_tradnl"/>
              </w:rPr>
            </w:pPr>
            <w:r w:rsidRPr="00DC759C">
              <w:rPr>
                <w:rFonts w:ascii="Arial" w:hAnsi="Arial" w:eastAsia="Calibri" w:cs="Arial"/>
                <w:b/>
                <w:sz w:val="22"/>
                <w:lang w:val="es-ES_tradnl"/>
              </w:rPr>
              <w:t>Radicación:</w:t>
            </w:r>
            <w:r w:rsidRPr="00DC759C">
              <w:rPr>
                <w:rFonts w:ascii="Arial" w:hAnsi="Arial" w:eastAsia="Calibri" w:cs="Arial"/>
                <w:sz w:val="22"/>
                <w:lang w:val="es-ES_tradnl"/>
              </w:rPr>
              <w:t xml:space="preserve">                              </w:t>
            </w:r>
          </w:p>
        </w:tc>
        <w:tc>
          <w:tcPr>
            <w:tcW w:w="6237" w:type="dxa"/>
          </w:tcPr>
          <w:p w:rsidRPr="00DC759C" w:rsidR="000920F0" w:rsidP="0062279A" w:rsidRDefault="000920F0" w14:paraId="1218CA08" w14:textId="5D0682BB">
            <w:pPr>
              <w:spacing w:before="60" w:after="60" w:line="276" w:lineRule="auto"/>
              <w:jc w:val="both"/>
              <w:rPr>
                <w:rFonts w:ascii="Arial" w:hAnsi="Arial" w:eastAsia="Calibri" w:cs="Arial"/>
                <w:sz w:val="22"/>
                <w:lang w:val="es-ES_tradnl"/>
              </w:rPr>
            </w:pPr>
            <w:r w:rsidRPr="00DC759C">
              <w:rPr>
                <w:rFonts w:ascii="Arial" w:hAnsi="Arial" w:eastAsia="Calibri" w:cs="Arial"/>
                <w:sz w:val="22"/>
                <w:lang w:val="es-ES_tradnl"/>
              </w:rPr>
              <w:t xml:space="preserve">Respuesta a </w:t>
            </w:r>
            <w:r w:rsidRPr="00DC759C" w:rsidR="00B335CC">
              <w:rPr>
                <w:rFonts w:ascii="Arial" w:hAnsi="Arial" w:eastAsia="Calibri" w:cs="Arial"/>
                <w:sz w:val="22"/>
                <w:lang w:val="es-ES_tradnl"/>
              </w:rPr>
              <w:t xml:space="preserve">la </w:t>
            </w:r>
            <w:r w:rsidRPr="00DC759C">
              <w:rPr>
                <w:rFonts w:ascii="Arial" w:hAnsi="Arial" w:eastAsia="Calibri" w:cs="Arial"/>
                <w:sz w:val="22"/>
                <w:lang w:val="es-ES_tradnl"/>
              </w:rPr>
              <w:t xml:space="preserve">consulta # </w:t>
            </w:r>
            <w:r w:rsidRPr="00DC759C" w:rsidR="00D60C9D">
              <w:rPr>
                <w:rFonts w:ascii="Arial" w:hAnsi="Arial" w:cs="Arial"/>
                <w:sz w:val="22"/>
                <w:lang w:val="es-ES_tradnl"/>
              </w:rPr>
              <w:t>420201</w:t>
            </w:r>
            <w:r w:rsidRPr="00DC759C" w:rsidR="00B335CC">
              <w:rPr>
                <w:rFonts w:ascii="Arial" w:hAnsi="Arial" w:cs="Arial"/>
                <w:sz w:val="22"/>
                <w:lang w:val="es-ES_tradnl"/>
              </w:rPr>
              <w:t>3</w:t>
            </w:r>
            <w:r w:rsidRPr="00DC759C" w:rsidR="00D60C9D">
              <w:rPr>
                <w:rFonts w:ascii="Arial" w:hAnsi="Arial" w:cs="Arial"/>
                <w:sz w:val="22"/>
                <w:lang w:val="es-ES_tradnl"/>
              </w:rPr>
              <w:t>00000</w:t>
            </w:r>
            <w:r w:rsidR="003D741B">
              <w:rPr>
                <w:rFonts w:ascii="Arial" w:hAnsi="Arial" w:cs="Arial"/>
                <w:sz w:val="22"/>
                <w:lang w:val="es-ES_tradnl"/>
              </w:rPr>
              <w:t>3698</w:t>
            </w:r>
            <w:r w:rsidRPr="00DC759C" w:rsidR="00B335CC">
              <w:rPr>
                <w:rFonts w:ascii="Arial" w:hAnsi="Arial" w:cs="Arial"/>
                <w:sz w:val="22"/>
                <w:lang w:val="es-ES_tradnl"/>
              </w:rPr>
              <w:t xml:space="preserve"> </w:t>
            </w:r>
          </w:p>
        </w:tc>
      </w:tr>
    </w:tbl>
    <w:p w:rsidR="000920F0" w:rsidP="000920F0" w:rsidRDefault="000920F0" w14:paraId="3CDD931D" w14:textId="1B7F301E">
      <w:pPr>
        <w:spacing w:line="276" w:lineRule="auto"/>
        <w:rPr>
          <w:rFonts w:ascii="Arial" w:hAnsi="Arial" w:eastAsia="Calibri" w:cs="Arial"/>
          <w:sz w:val="22"/>
          <w:lang w:val="es-ES_tradnl"/>
        </w:rPr>
      </w:pPr>
    </w:p>
    <w:p w:rsidRPr="00DC759C" w:rsidR="00D31A7E" w:rsidP="000920F0" w:rsidRDefault="00D31A7E" w14:paraId="7965AE5C" w14:textId="77777777">
      <w:pPr>
        <w:spacing w:line="276" w:lineRule="auto"/>
        <w:rPr>
          <w:rFonts w:ascii="Arial" w:hAnsi="Arial" w:eastAsia="Calibri" w:cs="Arial"/>
          <w:sz w:val="22"/>
          <w:lang w:val="es-ES_tradnl"/>
        </w:rPr>
      </w:pPr>
    </w:p>
    <w:p w:rsidRPr="00DC759C" w:rsidR="000920F0" w:rsidP="000920F0" w:rsidRDefault="000920F0" w14:paraId="1B619448" w14:textId="44BC60F3">
      <w:pPr>
        <w:spacing w:line="276" w:lineRule="auto"/>
        <w:rPr>
          <w:rFonts w:ascii="Arial" w:hAnsi="Arial" w:eastAsia="Calibri" w:cs="Arial"/>
          <w:sz w:val="22"/>
          <w:lang w:val="es-ES_tradnl"/>
        </w:rPr>
      </w:pPr>
      <w:r w:rsidRPr="00DC759C">
        <w:rPr>
          <w:rFonts w:ascii="Arial" w:hAnsi="Arial" w:eastAsia="Calibri" w:cs="Arial"/>
          <w:sz w:val="22"/>
          <w:lang w:val="es-ES_tradnl"/>
        </w:rPr>
        <w:t>Estimad</w:t>
      </w:r>
      <w:r w:rsidR="003D741B">
        <w:rPr>
          <w:rFonts w:ascii="Arial" w:hAnsi="Arial" w:eastAsia="Calibri" w:cs="Arial"/>
          <w:sz w:val="22"/>
          <w:lang w:val="es-ES_tradnl"/>
        </w:rPr>
        <w:t>o</w:t>
      </w:r>
      <w:r w:rsidRPr="00DC759C">
        <w:rPr>
          <w:rFonts w:ascii="Arial" w:hAnsi="Arial" w:eastAsia="Calibri" w:cs="Arial"/>
          <w:sz w:val="22"/>
          <w:lang w:val="es-ES_tradnl"/>
        </w:rPr>
        <w:t xml:space="preserve"> </w:t>
      </w:r>
      <w:r w:rsidR="008D79C6">
        <w:rPr>
          <w:rFonts w:ascii="Arial" w:hAnsi="Arial" w:eastAsia="Calibri" w:cs="Arial"/>
          <w:sz w:val="22"/>
          <w:lang w:val="es-ES_tradnl"/>
        </w:rPr>
        <w:t xml:space="preserve">señor </w:t>
      </w:r>
      <w:r w:rsidR="003D741B">
        <w:rPr>
          <w:rFonts w:ascii="Arial" w:hAnsi="Arial" w:eastAsia="Calibri" w:cs="Arial"/>
          <w:sz w:val="22"/>
          <w:lang w:val="es-ES_tradnl"/>
        </w:rPr>
        <w:t>Gómez Albornoz</w:t>
      </w:r>
      <w:r w:rsidRPr="00DC759C">
        <w:rPr>
          <w:rFonts w:ascii="Arial" w:hAnsi="Arial" w:eastAsia="Calibri" w:cs="Arial"/>
          <w:sz w:val="22"/>
          <w:lang w:val="es-ES_tradnl"/>
        </w:rPr>
        <w:t>,</w:t>
      </w:r>
    </w:p>
    <w:p w:rsidRPr="00DC759C" w:rsidR="000920F0" w:rsidP="000920F0" w:rsidRDefault="000920F0" w14:paraId="09825258" w14:textId="77777777">
      <w:pPr>
        <w:spacing w:line="276" w:lineRule="auto"/>
        <w:rPr>
          <w:rFonts w:ascii="Arial" w:hAnsi="Arial" w:eastAsia="Calibri" w:cs="Arial"/>
          <w:sz w:val="22"/>
          <w:lang w:val="es-ES_tradnl"/>
        </w:rPr>
      </w:pPr>
    </w:p>
    <w:p w:rsidRPr="00DC759C" w:rsidR="000920F0" w:rsidP="000920F0" w:rsidRDefault="00541157" w14:paraId="679DB8AF" w14:textId="2AA91F25">
      <w:pPr>
        <w:tabs>
          <w:tab w:val="left" w:pos="426"/>
        </w:tabs>
        <w:spacing w:line="276" w:lineRule="auto"/>
        <w:jc w:val="both"/>
        <w:rPr>
          <w:rFonts w:ascii="Arial" w:hAnsi="Arial" w:eastAsia="Calibri" w:cs="Arial"/>
          <w:sz w:val="22"/>
          <w:lang w:val="es-ES_tradnl"/>
        </w:rPr>
      </w:pPr>
      <w:r w:rsidRPr="00DC759C">
        <w:rPr>
          <w:rFonts w:ascii="Arial" w:hAnsi="Arial" w:eastAsia="Calibri" w:cs="Arial"/>
          <w:sz w:val="22"/>
          <w:lang w:val="es-ES_tradnl"/>
        </w:rPr>
        <w:t>En ejercicio de la competencia otorgada por el numeral 8 del artículo 11 y el numeral 5 del artículo 3 del Decreto Ley 4170 de 2011, la</w:t>
      </w:r>
      <w:r w:rsidRPr="00DC759C" w:rsidR="000920F0">
        <w:rPr>
          <w:rFonts w:ascii="Arial" w:hAnsi="Arial" w:eastAsia="Calibri" w:cs="Arial"/>
          <w:sz w:val="22"/>
          <w:lang w:val="es-ES_tradnl"/>
        </w:rPr>
        <w:t xml:space="preserve"> Agencia Nacional de Contratación Pública </w:t>
      </w:r>
      <w:r w:rsidRPr="00DC759C" w:rsidR="00771676">
        <w:rPr>
          <w:rFonts w:ascii="Arial" w:hAnsi="Arial" w:eastAsia="Calibri" w:cs="Arial"/>
          <w:sz w:val="22"/>
          <w:lang w:val="es-ES_tradnl"/>
        </w:rPr>
        <w:t>−</w:t>
      </w:r>
      <w:r w:rsidRPr="00DC759C" w:rsidR="000920F0">
        <w:rPr>
          <w:rFonts w:ascii="Arial" w:hAnsi="Arial" w:eastAsia="Calibri" w:cs="Arial"/>
          <w:sz w:val="22"/>
          <w:lang w:val="es-ES_tradnl"/>
        </w:rPr>
        <w:t xml:space="preserve"> Colombia Compra Eficiente responde su consulta del </w:t>
      </w:r>
      <w:r w:rsidR="00127E6A">
        <w:rPr>
          <w:rFonts w:ascii="Arial" w:hAnsi="Arial" w:eastAsia="Calibri" w:cs="Arial"/>
          <w:sz w:val="22"/>
          <w:lang w:val="es-ES_tradnl"/>
        </w:rPr>
        <w:t>14</w:t>
      </w:r>
      <w:r w:rsidR="008D79C6">
        <w:rPr>
          <w:rFonts w:ascii="Arial" w:hAnsi="Arial" w:eastAsia="Calibri" w:cs="Arial"/>
          <w:sz w:val="22"/>
          <w:lang w:val="es-ES_tradnl"/>
        </w:rPr>
        <w:t xml:space="preserve"> de mayo</w:t>
      </w:r>
      <w:r w:rsidRPr="00DC759C" w:rsidR="000920F0">
        <w:rPr>
          <w:rFonts w:ascii="Arial" w:hAnsi="Arial" w:eastAsia="Calibri" w:cs="Arial"/>
          <w:sz w:val="22"/>
          <w:lang w:val="es-ES_tradnl"/>
        </w:rPr>
        <w:t xml:space="preserve"> de</w:t>
      </w:r>
      <w:r w:rsidRPr="00DC759C" w:rsidR="00186A8A">
        <w:rPr>
          <w:rFonts w:ascii="Arial" w:hAnsi="Arial" w:eastAsia="Calibri" w:cs="Arial"/>
          <w:sz w:val="22"/>
          <w:lang w:val="es-ES_tradnl"/>
        </w:rPr>
        <w:t>l año</w:t>
      </w:r>
      <w:r w:rsidRPr="00DC759C" w:rsidR="000920F0">
        <w:rPr>
          <w:rFonts w:ascii="Arial" w:hAnsi="Arial" w:eastAsia="Calibri" w:cs="Arial"/>
          <w:sz w:val="22"/>
          <w:lang w:val="es-ES_tradnl"/>
        </w:rPr>
        <w:t xml:space="preserve"> 2020</w:t>
      </w:r>
      <w:r w:rsidRPr="00DC759C" w:rsidR="00207E01">
        <w:rPr>
          <w:rFonts w:ascii="Arial" w:hAnsi="Arial" w:eastAsia="Calibri" w:cs="Arial"/>
          <w:sz w:val="22"/>
          <w:lang w:val="es-ES_tradnl"/>
        </w:rPr>
        <w:t>.</w:t>
      </w:r>
      <w:r w:rsidRPr="00DC759C" w:rsidR="000920F0">
        <w:rPr>
          <w:rFonts w:ascii="Arial" w:hAnsi="Arial" w:eastAsia="Calibri" w:cs="Arial"/>
          <w:sz w:val="22"/>
          <w:lang w:val="es-ES_tradnl"/>
        </w:rPr>
        <w:t xml:space="preserve"> </w:t>
      </w:r>
    </w:p>
    <w:p w:rsidRPr="00DC759C" w:rsidR="000920F0" w:rsidP="000920F0" w:rsidRDefault="0035058C" w14:paraId="28C2ECB0" w14:textId="641467CC">
      <w:pPr>
        <w:tabs>
          <w:tab w:val="left" w:pos="426"/>
        </w:tabs>
        <w:spacing w:line="276" w:lineRule="auto"/>
        <w:jc w:val="both"/>
        <w:rPr>
          <w:rFonts w:ascii="Arial" w:hAnsi="Arial" w:eastAsia="Calibri" w:cs="Arial"/>
          <w:sz w:val="22"/>
          <w:lang w:val="es-ES_tradnl"/>
        </w:rPr>
      </w:pPr>
      <w:r w:rsidRPr="00DC759C">
        <w:rPr>
          <w:rFonts w:ascii="Arial" w:hAnsi="Arial" w:eastAsia="Calibri" w:cs="Arial"/>
          <w:sz w:val="22"/>
          <w:lang w:val="es-ES_tradnl"/>
        </w:rPr>
        <w:t xml:space="preserve"> </w:t>
      </w:r>
    </w:p>
    <w:p w:rsidRPr="00DC759C" w:rsidR="000920F0" w:rsidP="000920F0" w:rsidRDefault="000920F0" w14:paraId="58FEF0FB" w14:textId="77777777">
      <w:pPr>
        <w:pStyle w:val="Prrafodelista"/>
        <w:numPr>
          <w:ilvl w:val="0"/>
          <w:numId w:val="6"/>
        </w:numPr>
        <w:tabs>
          <w:tab w:val="left" w:pos="284"/>
        </w:tabs>
        <w:spacing w:line="276" w:lineRule="auto"/>
        <w:ind w:left="0" w:firstLine="0"/>
        <w:jc w:val="both"/>
        <w:rPr>
          <w:rFonts w:ascii="Arial" w:hAnsi="Arial" w:eastAsia="Calibri" w:cs="Arial"/>
          <w:b/>
          <w:sz w:val="22"/>
          <w:lang w:val="es-ES_tradnl"/>
        </w:rPr>
      </w:pPr>
      <w:r w:rsidRPr="00DC759C">
        <w:rPr>
          <w:rFonts w:ascii="Arial" w:hAnsi="Arial" w:eastAsia="Calibri" w:cs="Arial"/>
          <w:b/>
          <w:sz w:val="22"/>
          <w:lang w:val="es-ES_tradnl"/>
        </w:rPr>
        <w:t xml:space="preserve">Problemas planteados </w:t>
      </w:r>
    </w:p>
    <w:p w:rsidRPr="00DC759C" w:rsidR="000920F0" w:rsidP="000920F0" w:rsidRDefault="000920F0" w14:paraId="476FAD3E" w14:textId="77777777">
      <w:pPr>
        <w:tabs>
          <w:tab w:val="left" w:pos="426"/>
        </w:tabs>
        <w:spacing w:line="276" w:lineRule="auto"/>
        <w:jc w:val="both"/>
        <w:rPr>
          <w:rFonts w:ascii="Arial" w:hAnsi="Arial" w:eastAsia="Calibri" w:cs="Arial"/>
          <w:b/>
          <w:sz w:val="22"/>
          <w:lang w:val="es-ES_tradnl"/>
        </w:rPr>
      </w:pPr>
    </w:p>
    <w:p w:rsidR="00EE4811" w:rsidP="008D79C6" w:rsidRDefault="000920F0" w14:paraId="5A01E3F9" w14:textId="381D20AD">
      <w:pPr>
        <w:tabs>
          <w:tab w:val="left" w:pos="426"/>
        </w:tabs>
        <w:spacing w:line="276" w:lineRule="auto"/>
        <w:jc w:val="both"/>
        <w:rPr>
          <w:rFonts w:ascii="Arial" w:hAnsi="Arial" w:eastAsia="Calibri" w:cs="Arial"/>
          <w:sz w:val="22"/>
          <w:lang w:val="es-ES_tradnl"/>
        </w:rPr>
      </w:pPr>
      <w:r w:rsidRPr="00DC759C">
        <w:rPr>
          <w:rFonts w:ascii="Arial" w:hAnsi="Arial" w:eastAsia="Calibri" w:cs="Arial"/>
          <w:sz w:val="22"/>
          <w:lang w:val="es-ES_tradnl"/>
        </w:rPr>
        <w:t>Usted</w:t>
      </w:r>
      <w:r w:rsidR="008D79C6">
        <w:rPr>
          <w:rFonts w:ascii="Arial" w:hAnsi="Arial" w:eastAsia="Calibri" w:cs="Arial"/>
          <w:sz w:val="22"/>
          <w:lang w:val="es-ES_tradnl"/>
        </w:rPr>
        <w:t xml:space="preserve"> nos </w:t>
      </w:r>
      <w:r w:rsidRPr="00DC759C" w:rsidR="0063748C">
        <w:rPr>
          <w:rFonts w:ascii="Arial" w:hAnsi="Arial" w:eastAsia="Calibri" w:cs="Arial"/>
          <w:sz w:val="22"/>
          <w:lang w:val="es-ES_tradnl"/>
        </w:rPr>
        <w:t>solicita</w:t>
      </w:r>
      <w:r w:rsidR="008D79C6">
        <w:rPr>
          <w:rFonts w:ascii="Arial" w:hAnsi="Arial" w:eastAsia="Calibri" w:cs="Arial"/>
          <w:sz w:val="22"/>
          <w:lang w:val="es-ES_tradnl"/>
        </w:rPr>
        <w:t xml:space="preserve"> que </w:t>
      </w:r>
      <w:r w:rsidRPr="00DC759C" w:rsidR="0063748C">
        <w:rPr>
          <w:rFonts w:ascii="Arial" w:hAnsi="Arial" w:eastAsia="Calibri" w:cs="Arial"/>
          <w:sz w:val="22"/>
          <w:lang w:val="es-ES_tradnl"/>
        </w:rPr>
        <w:t>«</w:t>
      </w:r>
      <w:r w:rsidR="00264827">
        <w:rPr>
          <w:rFonts w:ascii="Arial" w:hAnsi="Arial" w:eastAsia="Calibri" w:cs="Arial"/>
          <w:sz w:val="22"/>
          <w:lang w:val="es-ES_tradnl"/>
        </w:rPr>
        <w:t>[</w:t>
      </w:r>
      <w:r w:rsidR="0053486E">
        <w:rPr>
          <w:rFonts w:ascii="Arial" w:hAnsi="Arial" w:eastAsia="Calibri" w:cs="Arial"/>
          <w:sz w:val="22"/>
          <w:lang w:val="es-ES_tradnl"/>
        </w:rPr>
        <w:t xml:space="preserve">…] </w:t>
      </w:r>
      <w:r w:rsidRPr="0053486E" w:rsidR="0053486E">
        <w:rPr>
          <w:rFonts w:ascii="Arial" w:hAnsi="Arial" w:eastAsia="Calibri" w:cs="Arial"/>
          <w:sz w:val="22"/>
          <w:lang w:val="es-ES_tradnl"/>
        </w:rPr>
        <w:t xml:space="preserve">se revoque o modifique el concepto C-212 de 2020 y relacionados, y </w:t>
      </w:r>
      <w:proofErr w:type="gramStart"/>
      <w:r w:rsidRPr="0053486E" w:rsidR="0053486E">
        <w:rPr>
          <w:rFonts w:ascii="Arial" w:hAnsi="Arial" w:eastAsia="Calibri" w:cs="Arial"/>
          <w:sz w:val="22"/>
          <w:lang w:val="es-ES_tradnl"/>
        </w:rPr>
        <w:t>que</w:t>
      </w:r>
      <w:proofErr w:type="gramEnd"/>
      <w:r w:rsidRPr="0053486E" w:rsidR="0053486E">
        <w:rPr>
          <w:rFonts w:ascii="Arial" w:hAnsi="Arial" w:eastAsia="Calibri" w:cs="Arial"/>
          <w:sz w:val="22"/>
          <w:lang w:val="es-ES_tradnl"/>
        </w:rPr>
        <w:t xml:space="preserve"> en el futuro, al resolver peticiones </w:t>
      </w:r>
      <w:r w:rsidRPr="0053486E" w:rsidR="0053486E">
        <w:rPr>
          <w:rFonts w:ascii="Arial" w:hAnsi="Arial" w:eastAsia="Calibri" w:cs="Arial"/>
          <w:b/>
          <w:bCs/>
          <w:sz w:val="22"/>
          <w:lang w:val="es-ES_tradnl"/>
        </w:rPr>
        <w:t>respecto de la forma de computar el tiempo de experiencia profesional de los ingenieros</w:t>
      </w:r>
      <w:r w:rsidRPr="00DC759C" w:rsidR="0063748C">
        <w:rPr>
          <w:rFonts w:ascii="Arial" w:hAnsi="Arial" w:eastAsia="Calibri" w:cs="Arial"/>
          <w:sz w:val="22"/>
          <w:lang w:val="es-ES_tradnl"/>
        </w:rPr>
        <w:t>». En su criterio, es necesario que esta entidad aclare que el artículo 12 de la Ley 84</w:t>
      </w:r>
      <w:r w:rsidR="00302B3B">
        <w:rPr>
          <w:rFonts w:ascii="Arial" w:hAnsi="Arial" w:eastAsia="Calibri" w:cs="Arial"/>
          <w:sz w:val="22"/>
          <w:lang w:val="es-ES_tradnl"/>
        </w:rPr>
        <w:t xml:space="preserve">2 </w:t>
      </w:r>
      <w:r w:rsidRPr="00DC759C" w:rsidR="0063748C">
        <w:rPr>
          <w:rFonts w:ascii="Arial" w:hAnsi="Arial" w:eastAsia="Calibri" w:cs="Arial"/>
          <w:sz w:val="22"/>
          <w:lang w:val="es-ES_tradnl"/>
        </w:rPr>
        <w:t xml:space="preserve">de 2003, se encuentra vigente; en otras palabras, que no fue derogado tácitamente por el artículo 229 del Decreto Ley 19 de 2012, como se expuso </w:t>
      </w:r>
      <w:r w:rsidR="008D79C6">
        <w:rPr>
          <w:rFonts w:ascii="Arial" w:hAnsi="Arial" w:eastAsia="Calibri" w:cs="Arial"/>
          <w:sz w:val="22"/>
          <w:lang w:val="es-ES_tradnl"/>
        </w:rPr>
        <w:t>en el</w:t>
      </w:r>
      <w:r w:rsidRPr="00DC759C" w:rsidR="0063748C">
        <w:rPr>
          <w:rFonts w:ascii="Arial" w:hAnsi="Arial" w:eastAsia="Calibri" w:cs="Arial"/>
          <w:sz w:val="22"/>
          <w:lang w:val="es-ES_tradnl"/>
        </w:rPr>
        <w:t xml:space="preserve"> concepto antes citado. En términos generales, nos pide tener en cuenta: i) la naturaleza y funciones legales del </w:t>
      </w:r>
      <w:r w:rsidR="00A06CA3">
        <w:rPr>
          <w:rFonts w:ascii="Arial" w:hAnsi="Arial" w:eastAsia="Calibri" w:cs="Arial"/>
          <w:sz w:val="22"/>
          <w:lang w:val="es-ES_tradnl"/>
        </w:rPr>
        <w:t xml:space="preserve">Consejo Profesional </w:t>
      </w:r>
      <w:r w:rsidR="0053486E">
        <w:rPr>
          <w:rFonts w:ascii="Arial" w:hAnsi="Arial" w:eastAsia="Calibri" w:cs="Arial"/>
          <w:sz w:val="22"/>
          <w:lang w:val="es-ES_tradnl"/>
        </w:rPr>
        <w:t xml:space="preserve">Nacional </w:t>
      </w:r>
      <w:r w:rsidR="00A06CA3">
        <w:rPr>
          <w:rFonts w:ascii="Arial" w:hAnsi="Arial" w:eastAsia="Calibri" w:cs="Arial"/>
          <w:sz w:val="22"/>
          <w:lang w:val="es-ES_tradnl"/>
        </w:rPr>
        <w:t>de Ingeniería</w:t>
      </w:r>
      <w:r w:rsidR="0053486E">
        <w:rPr>
          <w:rFonts w:ascii="Arial" w:hAnsi="Arial" w:eastAsia="Calibri" w:cs="Arial"/>
          <w:sz w:val="22"/>
          <w:lang w:val="es-ES_tradnl"/>
        </w:rPr>
        <w:t>s</w:t>
      </w:r>
      <w:r w:rsidR="00A06CA3">
        <w:rPr>
          <w:rFonts w:ascii="Arial" w:hAnsi="Arial" w:eastAsia="Calibri" w:cs="Arial"/>
          <w:sz w:val="22"/>
          <w:lang w:val="es-ES_tradnl"/>
        </w:rPr>
        <w:t xml:space="preserve"> </w:t>
      </w:r>
      <w:r w:rsidR="0053486E">
        <w:rPr>
          <w:rFonts w:ascii="Arial" w:hAnsi="Arial" w:eastAsia="Calibri" w:cs="Arial"/>
          <w:sz w:val="22"/>
          <w:lang w:val="es-ES_tradnl"/>
        </w:rPr>
        <w:t>Eléctrica, Mecánica y Profesiones Afines</w:t>
      </w:r>
      <w:r w:rsidR="00302B3B">
        <w:rPr>
          <w:rFonts w:ascii="Arial" w:hAnsi="Arial" w:eastAsia="Calibri" w:cs="Arial"/>
          <w:sz w:val="22"/>
          <w:lang w:val="es-ES_tradnl"/>
        </w:rPr>
        <w:t xml:space="preserve"> «en adelante C</w:t>
      </w:r>
      <w:r w:rsidR="00A06CA3">
        <w:rPr>
          <w:rFonts w:ascii="Arial" w:hAnsi="Arial" w:eastAsia="Calibri" w:cs="Arial"/>
          <w:sz w:val="22"/>
          <w:lang w:val="es-ES_tradnl"/>
        </w:rPr>
        <w:t>P</w:t>
      </w:r>
      <w:r w:rsidR="0053486E">
        <w:rPr>
          <w:rFonts w:ascii="Arial" w:hAnsi="Arial" w:eastAsia="Calibri" w:cs="Arial"/>
          <w:sz w:val="22"/>
          <w:lang w:val="es-ES_tradnl"/>
        </w:rPr>
        <w:t>NIEM</w:t>
      </w:r>
      <w:r w:rsidR="00302B3B">
        <w:rPr>
          <w:rFonts w:ascii="Arial" w:hAnsi="Arial" w:eastAsia="Calibri" w:cs="Arial"/>
          <w:sz w:val="22"/>
          <w:lang w:val="es-ES_tradnl"/>
        </w:rPr>
        <w:t>»</w:t>
      </w:r>
      <w:r w:rsidRPr="00DC759C" w:rsidR="0063748C">
        <w:rPr>
          <w:rFonts w:ascii="Arial" w:hAnsi="Arial" w:eastAsia="Calibri" w:cs="Arial"/>
          <w:sz w:val="22"/>
          <w:lang w:val="es-ES_tradnl"/>
        </w:rPr>
        <w:t xml:space="preserve">; ii) </w:t>
      </w:r>
      <w:r w:rsidR="0053486E">
        <w:rPr>
          <w:rFonts w:ascii="Arial" w:hAnsi="Arial" w:eastAsia="Calibri" w:cs="Arial"/>
          <w:sz w:val="22"/>
          <w:lang w:val="es-ES_tradnl"/>
        </w:rPr>
        <w:t>que el</w:t>
      </w:r>
      <w:r w:rsidRPr="00DC759C" w:rsidR="0053486E">
        <w:rPr>
          <w:rFonts w:ascii="Arial" w:hAnsi="Arial" w:eastAsia="Calibri" w:cs="Arial"/>
          <w:sz w:val="22"/>
          <w:lang w:val="es-ES_tradnl"/>
        </w:rPr>
        <w:t xml:space="preserve"> Consejo de Estado</w:t>
      </w:r>
      <w:r w:rsidR="0053486E">
        <w:rPr>
          <w:rFonts w:ascii="Arial" w:hAnsi="Arial" w:eastAsia="Calibri" w:cs="Arial"/>
          <w:sz w:val="22"/>
          <w:lang w:val="es-ES_tradnl"/>
        </w:rPr>
        <w:t>, particularmente la Sección Primera y la Sala de Consulta y Servicio Civil,</w:t>
      </w:r>
      <w:r w:rsidRPr="00DC759C" w:rsidR="0053486E">
        <w:rPr>
          <w:rFonts w:ascii="Arial" w:hAnsi="Arial" w:eastAsia="Calibri" w:cs="Arial"/>
          <w:sz w:val="22"/>
          <w:lang w:val="es-ES_tradnl"/>
        </w:rPr>
        <w:t xml:space="preserve"> respald</w:t>
      </w:r>
      <w:r w:rsidR="0053486E">
        <w:rPr>
          <w:rFonts w:ascii="Arial" w:hAnsi="Arial" w:eastAsia="Calibri" w:cs="Arial"/>
          <w:sz w:val="22"/>
          <w:lang w:val="es-ES_tradnl"/>
        </w:rPr>
        <w:t>an</w:t>
      </w:r>
      <w:r w:rsidRPr="00DC759C" w:rsidR="0053486E">
        <w:rPr>
          <w:rFonts w:ascii="Arial" w:hAnsi="Arial" w:eastAsia="Calibri" w:cs="Arial"/>
          <w:sz w:val="22"/>
          <w:lang w:val="es-ES_tradnl"/>
        </w:rPr>
        <w:t xml:space="preserve"> la aplicación del artículo 12 de la Ley 842 de 2003</w:t>
      </w:r>
      <w:r w:rsidR="0053486E">
        <w:rPr>
          <w:rFonts w:ascii="Arial" w:hAnsi="Arial" w:eastAsia="Calibri" w:cs="Arial"/>
          <w:sz w:val="22"/>
          <w:lang w:val="es-ES_tradnl"/>
        </w:rPr>
        <w:t>, pues, en su criterio, tales autoridades han señalado que esta norma no ha sido derogada y es aplicable</w:t>
      </w:r>
      <w:r w:rsidRPr="00DC759C" w:rsidR="00C82CD8">
        <w:rPr>
          <w:rFonts w:ascii="Arial" w:hAnsi="Arial" w:eastAsia="Calibri" w:cs="Arial"/>
          <w:sz w:val="22"/>
          <w:lang w:val="es-ES_tradnl"/>
        </w:rPr>
        <w:t>;</w:t>
      </w:r>
      <w:r w:rsidR="00A06CA3">
        <w:rPr>
          <w:rFonts w:ascii="Arial" w:hAnsi="Arial" w:eastAsia="Calibri" w:cs="Arial"/>
          <w:sz w:val="22"/>
          <w:lang w:val="es-ES_tradnl"/>
        </w:rPr>
        <w:t xml:space="preserve"> y iii) </w:t>
      </w:r>
      <w:r w:rsidRPr="00DC759C" w:rsidR="0053486E">
        <w:rPr>
          <w:rFonts w:ascii="Arial" w:hAnsi="Arial" w:eastAsia="Calibri" w:cs="Arial"/>
          <w:sz w:val="22"/>
          <w:lang w:val="es-ES_tradnl"/>
        </w:rPr>
        <w:t>que la Corte Constitucional, mediante la sentencia C-296 de 2012</w:t>
      </w:r>
      <w:r w:rsidR="0053486E">
        <w:rPr>
          <w:rStyle w:val="Refdenotaalpie"/>
          <w:rFonts w:ascii="Arial" w:hAnsi="Arial" w:eastAsia="Calibri" w:cs="Arial"/>
          <w:sz w:val="22"/>
          <w:lang w:val="es-ES_tradnl"/>
        </w:rPr>
        <w:footnoteReference w:id="2"/>
      </w:r>
      <w:r w:rsidRPr="00DC759C" w:rsidR="0053486E">
        <w:rPr>
          <w:rFonts w:ascii="Arial" w:hAnsi="Arial" w:eastAsia="Calibri" w:cs="Arial"/>
          <w:sz w:val="22"/>
          <w:lang w:val="es-ES_tradnl"/>
        </w:rPr>
        <w:t xml:space="preserve">, </w:t>
      </w:r>
      <w:r w:rsidR="0053486E">
        <w:rPr>
          <w:rFonts w:ascii="Arial" w:hAnsi="Arial" w:eastAsia="Calibri" w:cs="Arial"/>
          <w:sz w:val="22"/>
          <w:lang w:val="es-ES_tradnl"/>
        </w:rPr>
        <w:t>declaró la constitucionalidad del</w:t>
      </w:r>
      <w:r w:rsidRPr="00DC759C" w:rsidR="0053486E">
        <w:rPr>
          <w:rFonts w:ascii="Arial" w:hAnsi="Arial" w:eastAsia="Calibri" w:cs="Arial"/>
          <w:sz w:val="22"/>
          <w:lang w:val="es-ES_tradnl"/>
        </w:rPr>
        <w:t xml:space="preserve"> artículo 12 de la Ley 842 de 2003</w:t>
      </w:r>
      <w:r w:rsidR="0053486E">
        <w:rPr>
          <w:rFonts w:ascii="Arial" w:hAnsi="Arial" w:eastAsia="Calibri" w:cs="Arial"/>
          <w:sz w:val="22"/>
          <w:lang w:val="es-ES_tradnl"/>
        </w:rPr>
        <w:t>, con lo que descartó cualquier posible incompatibilidad con otra norma.</w:t>
      </w:r>
    </w:p>
    <w:p w:rsidRPr="00DC759C" w:rsidR="00EE4811" w:rsidP="00EE4811" w:rsidRDefault="00EE4811" w14:paraId="5B2CB774" w14:textId="77777777">
      <w:pPr>
        <w:tabs>
          <w:tab w:val="left" w:pos="426"/>
        </w:tabs>
        <w:spacing w:line="276" w:lineRule="auto"/>
        <w:jc w:val="both"/>
        <w:rPr>
          <w:rFonts w:ascii="Arial" w:hAnsi="Arial" w:eastAsia="Calibri" w:cs="Arial"/>
          <w:sz w:val="22"/>
          <w:lang w:val="es-ES_tradnl"/>
        </w:rPr>
      </w:pPr>
    </w:p>
    <w:p w:rsidRPr="00DC759C" w:rsidR="000920F0" w:rsidP="000920F0" w:rsidRDefault="000920F0" w14:paraId="79882F8B" w14:textId="0A9B6DE9">
      <w:pPr>
        <w:tabs>
          <w:tab w:val="left" w:pos="426"/>
        </w:tabs>
        <w:spacing w:line="276" w:lineRule="auto"/>
        <w:jc w:val="both"/>
        <w:rPr>
          <w:rFonts w:ascii="Arial" w:hAnsi="Arial" w:eastAsia="Calibri" w:cs="Arial"/>
          <w:b/>
          <w:sz w:val="22"/>
          <w:lang w:val="es-ES_tradnl"/>
        </w:rPr>
      </w:pPr>
      <w:r w:rsidRPr="00DC759C">
        <w:rPr>
          <w:rFonts w:ascii="Arial" w:hAnsi="Arial" w:eastAsia="Calibri" w:cs="Arial"/>
          <w:b/>
          <w:sz w:val="22"/>
          <w:lang w:val="es-ES_tradnl"/>
        </w:rPr>
        <w:t>2. Consideraciones</w:t>
      </w:r>
    </w:p>
    <w:bookmarkEnd w:id="0"/>
    <w:bookmarkEnd w:id="1"/>
    <w:p w:rsidRPr="00DC759C" w:rsidR="000920F0" w:rsidP="009E0B8A" w:rsidRDefault="000920F0" w14:paraId="7894E838" w14:textId="77777777">
      <w:pPr>
        <w:jc w:val="both"/>
        <w:rPr>
          <w:rFonts w:ascii="Arial" w:hAnsi="Arial" w:cs="Arial"/>
          <w:sz w:val="22"/>
          <w:lang w:val="es-ES_tradnl"/>
        </w:rPr>
      </w:pPr>
    </w:p>
    <w:p w:rsidR="0073536E" w:rsidP="00AC4FAA" w:rsidRDefault="0073536E" w14:paraId="06C95F72" w14:textId="443D7A6D">
      <w:pPr>
        <w:spacing w:before="120" w:line="276" w:lineRule="auto"/>
        <w:jc w:val="both"/>
        <w:rPr>
          <w:rFonts w:ascii="Arial" w:hAnsi="Arial" w:eastAsia="Calibri" w:cs="Arial"/>
          <w:sz w:val="22"/>
        </w:rPr>
      </w:pPr>
      <w:r w:rsidRPr="00DC759C">
        <w:rPr>
          <w:rFonts w:ascii="Arial" w:hAnsi="Arial" w:eastAsia="Calibri" w:cs="Arial"/>
          <w:sz w:val="22"/>
        </w:rPr>
        <w:t xml:space="preserve">Para </w:t>
      </w:r>
      <w:r w:rsidR="000E57AA">
        <w:rPr>
          <w:rFonts w:ascii="Arial" w:hAnsi="Arial" w:eastAsia="Calibri" w:cs="Arial"/>
          <w:sz w:val="22"/>
        </w:rPr>
        <w:t>el desarrollo de la solicitud planteada</w:t>
      </w:r>
      <w:r w:rsidRPr="00DC759C">
        <w:rPr>
          <w:rFonts w:ascii="Arial" w:hAnsi="Arial" w:eastAsia="Calibri" w:cs="Arial"/>
          <w:sz w:val="22"/>
        </w:rPr>
        <w:t xml:space="preserve"> se explicará</w:t>
      </w:r>
      <w:r w:rsidR="009E0B8A">
        <w:rPr>
          <w:rFonts w:ascii="Arial" w:hAnsi="Arial" w:eastAsia="Calibri" w:cs="Arial"/>
          <w:sz w:val="22"/>
        </w:rPr>
        <w:t>n</w:t>
      </w:r>
      <w:r w:rsidRPr="00DC759C" w:rsidR="00A642BC">
        <w:rPr>
          <w:rFonts w:ascii="Arial" w:hAnsi="Arial" w:eastAsia="Calibri" w:cs="Arial"/>
          <w:sz w:val="22"/>
        </w:rPr>
        <w:t>, inicialmente,</w:t>
      </w:r>
      <w:r w:rsidRPr="00DC759C">
        <w:rPr>
          <w:rFonts w:ascii="Arial" w:hAnsi="Arial" w:eastAsia="Calibri" w:cs="Arial"/>
          <w:sz w:val="22"/>
        </w:rPr>
        <w:t xml:space="preserve"> </w:t>
      </w:r>
      <w:r w:rsidR="00F024DE">
        <w:rPr>
          <w:rFonts w:ascii="Arial" w:hAnsi="Arial" w:eastAsia="Calibri" w:cs="Arial"/>
          <w:sz w:val="22"/>
        </w:rPr>
        <w:t>los efectos jurídicos de los conceptos emitidos por Colombia Compra Eficiente</w:t>
      </w:r>
      <w:r w:rsidRPr="00DC759C">
        <w:rPr>
          <w:rFonts w:ascii="Arial" w:hAnsi="Arial" w:eastAsia="Calibri" w:cs="Arial"/>
          <w:sz w:val="22"/>
        </w:rPr>
        <w:t>,</w:t>
      </w:r>
      <w:r w:rsidR="00896A68">
        <w:rPr>
          <w:rFonts w:ascii="Arial" w:hAnsi="Arial" w:eastAsia="Calibri" w:cs="Arial"/>
          <w:sz w:val="22"/>
        </w:rPr>
        <w:t xml:space="preserve"> para posteriormente </w:t>
      </w:r>
      <w:r w:rsidR="00F024DE">
        <w:rPr>
          <w:rFonts w:ascii="Arial" w:hAnsi="Arial" w:eastAsia="Calibri" w:cs="Arial"/>
          <w:sz w:val="22"/>
        </w:rPr>
        <w:t xml:space="preserve">estudiar </w:t>
      </w:r>
      <w:r w:rsidR="009F5F82">
        <w:rPr>
          <w:rFonts w:ascii="Arial" w:hAnsi="Arial" w:eastAsia="Calibri" w:cs="Arial"/>
          <w:sz w:val="22"/>
        </w:rPr>
        <w:t>los argumentos propuestos</w:t>
      </w:r>
      <w:r w:rsidR="00F024DE">
        <w:rPr>
          <w:rFonts w:ascii="Arial" w:hAnsi="Arial" w:eastAsia="Calibri" w:cs="Arial"/>
          <w:sz w:val="22"/>
        </w:rPr>
        <w:t xml:space="preserve">, </w:t>
      </w:r>
      <w:r w:rsidR="00C54360">
        <w:rPr>
          <w:rFonts w:ascii="Arial" w:hAnsi="Arial" w:eastAsia="Calibri" w:cs="Arial"/>
          <w:sz w:val="22"/>
        </w:rPr>
        <w:t>lo que supone determinar</w:t>
      </w:r>
      <w:r w:rsidR="00F024DE">
        <w:rPr>
          <w:rFonts w:ascii="Arial" w:hAnsi="Arial" w:eastAsia="Calibri" w:cs="Arial"/>
          <w:sz w:val="22"/>
        </w:rPr>
        <w:t xml:space="preserve"> si el cómputo de la experiencia </w:t>
      </w:r>
      <w:r w:rsidR="000E32DD">
        <w:rPr>
          <w:rFonts w:ascii="Arial" w:hAnsi="Arial" w:eastAsia="Calibri" w:cs="Arial"/>
          <w:sz w:val="22"/>
        </w:rPr>
        <w:t>profesional de la ingeniería y sus profesiones afines y auxiliares</w:t>
      </w:r>
      <w:r w:rsidR="00F024DE">
        <w:rPr>
          <w:rFonts w:ascii="Arial" w:hAnsi="Arial" w:eastAsia="Calibri" w:cs="Arial"/>
          <w:sz w:val="22"/>
        </w:rPr>
        <w:t>, debe hacerse según el artículo 12 de la Ley 842 de 2003, o si debe aplicarse</w:t>
      </w:r>
      <w:r w:rsidR="000E32DD">
        <w:rPr>
          <w:rFonts w:ascii="Arial" w:hAnsi="Arial" w:eastAsia="Calibri" w:cs="Arial"/>
          <w:sz w:val="22"/>
        </w:rPr>
        <w:t xml:space="preserve"> </w:t>
      </w:r>
      <w:r w:rsidR="00F024DE">
        <w:rPr>
          <w:rFonts w:ascii="Arial" w:hAnsi="Arial" w:eastAsia="Calibri" w:cs="Arial"/>
          <w:sz w:val="22"/>
        </w:rPr>
        <w:t>el artículo 229 del Decreto Ley 19 de 2012</w:t>
      </w:r>
      <w:r w:rsidR="009F5F82">
        <w:rPr>
          <w:rFonts w:ascii="Arial" w:hAnsi="Arial" w:eastAsia="Calibri" w:cs="Arial"/>
          <w:sz w:val="22"/>
        </w:rPr>
        <w:t xml:space="preserve"> o, en su defecto, el artículo 192 de la Ley 1955 de 2019</w:t>
      </w:r>
      <w:r w:rsidRPr="00DC759C">
        <w:rPr>
          <w:rFonts w:ascii="Arial" w:hAnsi="Arial" w:eastAsia="Calibri" w:cs="Arial"/>
          <w:sz w:val="22"/>
        </w:rPr>
        <w:t>.</w:t>
      </w:r>
    </w:p>
    <w:p w:rsidRPr="00DC759C" w:rsidR="00C54360" w:rsidP="00C54360" w:rsidRDefault="00C54360" w14:paraId="2DC443D7" w14:textId="77777777">
      <w:pPr>
        <w:tabs>
          <w:tab w:val="left" w:pos="426"/>
        </w:tabs>
        <w:spacing w:line="276" w:lineRule="auto"/>
        <w:jc w:val="both"/>
        <w:rPr>
          <w:rFonts w:ascii="Arial" w:hAnsi="Arial" w:eastAsia="Calibri" w:cs="Arial"/>
          <w:sz w:val="22"/>
          <w:lang w:val="es-ES_tradnl"/>
        </w:rPr>
      </w:pPr>
    </w:p>
    <w:p w:rsidR="00C54360" w:rsidP="00634FDA" w:rsidRDefault="00C54360" w14:paraId="5D6B614D" w14:textId="558785BF">
      <w:pPr>
        <w:tabs>
          <w:tab w:val="left" w:pos="426"/>
        </w:tabs>
        <w:spacing w:line="276" w:lineRule="auto"/>
        <w:jc w:val="both"/>
        <w:rPr>
          <w:rFonts w:ascii="Arial" w:hAnsi="Arial" w:eastAsia="Calibri" w:cs="Arial"/>
          <w:b/>
          <w:sz w:val="22"/>
          <w:lang w:val="es-ES_tradnl"/>
        </w:rPr>
      </w:pPr>
      <w:r w:rsidRPr="00DC759C">
        <w:rPr>
          <w:rFonts w:ascii="Arial" w:hAnsi="Arial" w:eastAsia="Calibri" w:cs="Arial"/>
          <w:b/>
          <w:sz w:val="22"/>
          <w:lang w:val="es-ES_tradnl"/>
        </w:rPr>
        <w:t>2.</w:t>
      </w:r>
      <w:r>
        <w:rPr>
          <w:rFonts w:ascii="Arial" w:hAnsi="Arial" w:eastAsia="Calibri" w:cs="Arial"/>
          <w:b/>
          <w:sz w:val="22"/>
          <w:lang w:val="es-ES_tradnl"/>
        </w:rPr>
        <w:t>1. Efectos de los conceptos emitidos por Colombia Compra Eficiente</w:t>
      </w:r>
    </w:p>
    <w:p w:rsidR="000E57AA" w:rsidP="000E57AA" w:rsidRDefault="000E57AA" w14:paraId="4B22D52A" w14:textId="125891DD">
      <w:pPr>
        <w:tabs>
          <w:tab w:val="left" w:pos="426"/>
        </w:tabs>
        <w:spacing w:line="276" w:lineRule="auto"/>
        <w:jc w:val="both"/>
        <w:rPr>
          <w:rFonts w:ascii="Arial" w:hAnsi="Arial" w:eastAsia="Calibri" w:cs="Arial"/>
          <w:b/>
          <w:sz w:val="22"/>
          <w:lang w:val="es-ES_tradnl"/>
        </w:rPr>
      </w:pPr>
    </w:p>
    <w:p w:rsidR="00AC3E22" w:rsidP="00AC3E22" w:rsidRDefault="00AC3E22" w14:paraId="0DEF6F52" w14:textId="77777777">
      <w:pPr>
        <w:tabs>
          <w:tab w:val="left" w:pos="426"/>
        </w:tabs>
        <w:spacing w:line="276" w:lineRule="auto"/>
        <w:jc w:val="both"/>
        <w:rPr>
          <w:rFonts w:ascii="Arial" w:hAnsi="Arial" w:eastAsia="Calibri" w:cs="Arial"/>
          <w:bCs/>
          <w:sz w:val="22"/>
          <w:lang w:val="es-ES_tradnl"/>
        </w:rPr>
      </w:pPr>
      <w:r>
        <w:rPr>
          <w:rFonts w:ascii="Arial" w:hAnsi="Arial" w:eastAsia="Calibri" w:cs="Arial"/>
          <w:bCs/>
          <w:sz w:val="22"/>
          <w:lang w:val="es-ES_tradnl"/>
        </w:rPr>
        <w:lastRenderedPageBreak/>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contratación estatal relacionadas en los artículos antes referidos. Esta competencia consultiva se relaciona con el artículo 28 de la Ley 1437 de 2011, sustituido por el artículo 1 de la Ley 1755, que dispone lo siguiente:</w:t>
      </w:r>
    </w:p>
    <w:p w:rsidR="00AC3E22" w:rsidP="00AC3E22" w:rsidRDefault="00AC3E22" w14:paraId="358E65C5" w14:textId="77777777">
      <w:pPr>
        <w:tabs>
          <w:tab w:val="left" w:pos="426"/>
        </w:tabs>
        <w:spacing w:line="276" w:lineRule="auto"/>
        <w:jc w:val="both"/>
        <w:rPr>
          <w:rFonts w:ascii="Arial" w:hAnsi="Arial" w:eastAsia="Calibri" w:cs="Arial"/>
          <w:bCs/>
          <w:sz w:val="22"/>
          <w:lang w:val="es-ES_tradnl"/>
        </w:rPr>
      </w:pPr>
    </w:p>
    <w:p w:rsidRPr="000E57AA" w:rsidR="00AC3E22" w:rsidP="00AC3E22" w:rsidRDefault="00AC3E22" w14:paraId="32E30D42" w14:textId="77777777">
      <w:pPr>
        <w:tabs>
          <w:tab w:val="left" w:pos="426"/>
        </w:tabs>
        <w:ind w:left="709" w:right="709"/>
        <w:jc w:val="both"/>
        <w:rPr>
          <w:rFonts w:ascii="Arial" w:hAnsi="Arial" w:eastAsia="Calibri" w:cs="Arial"/>
          <w:bCs/>
          <w:sz w:val="21"/>
          <w:szCs w:val="21"/>
          <w:lang w:val="es-ES_tradnl"/>
        </w:rPr>
      </w:pPr>
      <w:r w:rsidRPr="00224187">
        <w:rPr>
          <w:rFonts w:ascii="Arial" w:hAnsi="Arial" w:eastAsia="Calibri" w:cs="Arial"/>
          <w:bCs/>
          <w:sz w:val="21"/>
          <w:szCs w:val="21"/>
          <w:lang w:val="es-ES_tradnl"/>
        </w:rPr>
        <w:t>Artículo 28. Alcance de los conceptos</w:t>
      </w:r>
      <w:r w:rsidRPr="000E57AA">
        <w:rPr>
          <w:rFonts w:ascii="Arial" w:hAnsi="Arial" w:eastAsia="Calibri" w:cs="Arial"/>
          <w:bCs/>
          <w:sz w:val="21"/>
          <w:szCs w:val="21"/>
          <w:lang w:val="es-ES_tradnl"/>
        </w:rPr>
        <w:t xml:space="preserve">. Salvo disposición legal en contrario, los conceptos emitidos por las autoridades como respuestas a peticiones realizadas en ejercicio del derecho a formular consultas no serán de obligatorio cumplimiento o ejecución.  </w:t>
      </w:r>
    </w:p>
    <w:p w:rsidR="00AC3E22" w:rsidP="00AC3E22" w:rsidRDefault="00AC3E22" w14:paraId="4B807CE2" w14:textId="77777777">
      <w:pPr>
        <w:tabs>
          <w:tab w:val="left" w:pos="426"/>
        </w:tabs>
        <w:spacing w:line="276" w:lineRule="auto"/>
        <w:jc w:val="both"/>
        <w:rPr>
          <w:rFonts w:ascii="Arial" w:hAnsi="Arial" w:eastAsia="Calibri" w:cs="Arial"/>
          <w:bCs/>
          <w:sz w:val="22"/>
          <w:lang w:val="es-ES_tradnl"/>
        </w:rPr>
      </w:pPr>
    </w:p>
    <w:p w:rsidR="00AC3E22" w:rsidP="00AC3E22" w:rsidRDefault="00AC3E22" w14:paraId="1B43D720" w14:textId="77777777">
      <w:pPr>
        <w:tabs>
          <w:tab w:val="left" w:pos="709"/>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 xml:space="preserve">La ley es clara cuando establece que los conceptos emitidos por las autoridades al responder peticiones realizadas en ejercicio del derecho a formular consultas –como fue el caso de los conceptos objeto de la solicitud </w:t>
      </w:r>
      <w:r w:rsidRPr="001F3610">
        <w:rPr>
          <w:rFonts w:ascii="Arial" w:hAnsi="Arial" w:eastAsia="Calibri" w:cs="Arial"/>
          <w:bCs/>
          <w:sz w:val="22"/>
          <w:lang w:val="es-ES_tradnl"/>
        </w:rPr>
        <w:t>de revocatoria</w:t>
      </w:r>
      <w:r>
        <w:rPr>
          <w:rFonts w:ascii="Arial" w:hAnsi="Arial" w:eastAsia="Calibri" w:cs="Arial"/>
          <w:bCs/>
          <w:sz w:val="22"/>
          <w:lang w:val="es-ES_tradnl"/>
        </w:rPr>
        <w:t xml:space="preserve">– no son de obligatorio cumplimiento o de obligatoria ejecución, en otras palabras, no tienen efectos vinculantes. </w:t>
      </w:r>
      <w:r w:rsidRPr="00283C88">
        <w:rPr>
          <w:rFonts w:ascii="Arial" w:hAnsi="Arial" w:eastAsia="Calibri" w:cs="Arial"/>
          <w:bCs/>
          <w:sz w:val="22"/>
          <w:lang w:val="es-ES_tradnl"/>
        </w:rPr>
        <w:t>Las respuestas emitidas como concepto, entonces, consisten en la posición hermenéutica que las entidades tienen respecto del ordenamiento jurídico</w:t>
      </w:r>
      <w:r>
        <w:rPr>
          <w:rFonts w:ascii="Arial" w:hAnsi="Arial" w:eastAsia="Calibri" w:cs="Arial"/>
          <w:bCs/>
          <w:sz w:val="22"/>
          <w:lang w:val="es-ES_tradnl"/>
        </w:rPr>
        <w:t>. Esto explica por qué esta Agencia, reiteradamente, no resuelve controversias concretas ni brinda asesoría a los partícipes de la contratación estatal</w:t>
      </w:r>
      <w:r>
        <w:rPr>
          <w:rStyle w:val="Refdenotaalpie"/>
          <w:rFonts w:ascii="Arial" w:hAnsi="Arial" w:eastAsia="Calibri" w:cs="Arial"/>
          <w:bCs/>
          <w:sz w:val="22"/>
          <w:lang w:val="es-ES_tradnl"/>
        </w:rPr>
        <w:footnoteReference w:id="3"/>
      </w:r>
      <w:r>
        <w:rPr>
          <w:rFonts w:ascii="Arial" w:hAnsi="Arial" w:eastAsia="Calibri" w:cs="Arial"/>
          <w:bCs/>
          <w:sz w:val="22"/>
          <w:lang w:val="es-ES_tradnl"/>
        </w:rPr>
        <w:t>.</w:t>
      </w:r>
    </w:p>
    <w:p w:rsidRPr="002928A0" w:rsidR="00AC3E22" w:rsidP="00AC3E22" w:rsidRDefault="00AC3E22" w14:paraId="14A0A51E" w14:textId="4AE4AE39">
      <w:pPr>
        <w:tabs>
          <w:tab w:val="left" w:pos="709"/>
        </w:tabs>
        <w:spacing w:before="120" w:line="276" w:lineRule="auto"/>
        <w:jc w:val="both"/>
        <w:rPr>
          <w:rFonts w:ascii="Arial" w:hAnsi="Arial" w:eastAsia="Calibri" w:cs="Arial"/>
          <w:bCs/>
          <w:sz w:val="21"/>
          <w:szCs w:val="21"/>
          <w:lang w:val="es-CO"/>
        </w:rPr>
      </w:pPr>
      <w:r>
        <w:rPr>
          <w:rFonts w:ascii="Arial" w:hAnsi="Arial" w:eastAsia="Calibri" w:cs="Arial"/>
          <w:bCs/>
          <w:sz w:val="22"/>
          <w:lang w:val="es-ES_tradnl"/>
        </w:rPr>
        <w:tab/>
      </w:r>
      <w:r>
        <w:rPr>
          <w:rFonts w:ascii="Arial" w:hAnsi="Arial" w:eastAsia="Calibri" w:cs="Arial"/>
          <w:bCs/>
          <w:sz w:val="22"/>
          <w:lang w:val="es-ES_tradnl"/>
        </w:rPr>
        <w:t>Esta posición es compartida por varias entidades públicas que ejercen la misma función. Por ejemplo, la Procuraduría General de la Nación aclaró que el concepto «</w:t>
      </w:r>
      <w:r w:rsidRPr="00CF32CC">
        <w:rPr>
          <w:rFonts w:ascii="Arial" w:hAnsi="Arial" w:eastAsia="Calibri" w:cs="Arial"/>
          <w:bCs/>
          <w:sz w:val="22"/>
          <w:lang w:val="es-CO"/>
        </w:rPr>
        <w:t>sólo constituye un criterio auxiliar de interpretación y que no tiene carácter vinculante de acuerdo con lo dispuesto en los artículos 230 de la Constitución Política, 5° de la Ley 153 de 1887 y 28 de la ley 1437 de 2011</w:t>
      </w:r>
      <w:r>
        <w:rPr>
          <w:rFonts w:ascii="Arial" w:hAnsi="Arial" w:eastAsia="Calibri" w:cs="Arial"/>
          <w:bCs/>
          <w:sz w:val="22"/>
          <w:lang w:val="es-CO"/>
        </w:rPr>
        <w:t>»</w:t>
      </w:r>
      <w:r>
        <w:rPr>
          <w:rStyle w:val="Refdenotaalpie"/>
          <w:rFonts w:ascii="Arial" w:hAnsi="Arial" w:eastAsia="Calibri" w:cs="Arial"/>
          <w:bCs/>
          <w:sz w:val="22"/>
          <w:lang w:val="es-ES_tradnl"/>
        </w:rPr>
        <w:footnoteReference w:id="4"/>
      </w:r>
      <w:r w:rsidRPr="00CF32CC">
        <w:rPr>
          <w:rFonts w:ascii="Arial" w:hAnsi="Arial" w:eastAsia="Calibri" w:cs="Arial"/>
          <w:bCs/>
          <w:sz w:val="22"/>
          <w:lang w:val="es-CO"/>
        </w:rPr>
        <w:t>.</w:t>
      </w:r>
      <w:r>
        <w:rPr>
          <w:rFonts w:ascii="Arial" w:hAnsi="Arial" w:eastAsia="Calibri" w:cs="Arial"/>
          <w:bCs/>
          <w:sz w:val="22"/>
          <w:lang w:val="es-CO"/>
        </w:rPr>
        <w:t xml:space="preserve"> Igualmente, en concepto del año 2017</w:t>
      </w:r>
      <w:r w:rsidR="003167F5">
        <w:rPr>
          <w:rStyle w:val="Refdenotaalpie"/>
          <w:rFonts w:ascii="Arial" w:hAnsi="Arial" w:eastAsia="Calibri" w:cs="Arial"/>
          <w:bCs/>
          <w:sz w:val="22"/>
          <w:lang w:val="es-CO"/>
        </w:rPr>
        <w:footnoteReference w:id="5"/>
      </w:r>
      <w:r>
        <w:rPr>
          <w:rFonts w:ascii="Arial" w:hAnsi="Arial" w:eastAsia="Calibri" w:cs="Arial"/>
          <w:bCs/>
          <w:sz w:val="22"/>
          <w:lang w:val="es-CO"/>
        </w:rPr>
        <w:t xml:space="preserve">, la Contraloría General de la República precisó que los «[…] </w:t>
      </w:r>
      <w:r w:rsidRPr="000C00F6">
        <w:rPr>
          <w:rFonts w:ascii="Arial" w:hAnsi="Arial" w:eastAsia="Calibri" w:cs="Arial"/>
          <w:bCs/>
          <w:sz w:val="22"/>
          <w:lang w:val="es-CO"/>
        </w:rPr>
        <w:t xml:space="preserve">conceptos emitidos por la Oficina </w:t>
      </w:r>
      <w:r w:rsidRPr="000C00F6">
        <w:rPr>
          <w:rFonts w:ascii="Arial" w:hAnsi="Arial" w:eastAsia="Calibri" w:cs="Arial"/>
          <w:bCs/>
          <w:sz w:val="22"/>
          <w:lang w:val="es-CO"/>
        </w:rPr>
        <w:lastRenderedPageBreak/>
        <w:t>Jurídica de la Contraloría General de la República,</w:t>
      </w:r>
      <w:r>
        <w:rPr>
          <w:rFonts w:ascii="Arial" w:hAnsi="Arial" w:eastAsia="Calibri" w:cs="Arial"/>
          <w:bCs/>
          <w:sz w:val="22"/>
          <w:lang w:val="es-CO"/>
        </w:rPr>
        <w:t xml:space="preserve"> </w:t>
      </w:r>
      <w:r w:rsidRPr="000C00F6">
        <w:rPr>
          <w:rFonts w:ascii="Arial" w:hAnsi="Arial" w:eastAsia="Calibri" w:cs="Arial"/>
          <w:bCs/>
          <w:sz w:val="22"/>
          <w:lang w:val="es-CO"/>
        </w:rPr>
        <w:t xml:space="preserve">son orientaciones de carácter general que </w:t>
      </w:r>
      <w:r>
        <w:rPr>
          <w:rFonts w:ascii="Arial" w:hAnsi="Arial" w:eastAsia="Calibri" w:cs="Arial"/>
          <w:bCs/>
          <w:sz w:val="22"/>
          <w:lang w:val="es-CO"/>
        </w:rPr>
        <w:t xml:space="preserve">[…] </w:t>
      </w:r>
      <w:r w:rsidRPr="000C00F6">
        <w:rPr>
          <w:rFonts w:ascii="Arial" w:hAnsi="Arial" w:eastAsia="Calibri" w:cs="Arial"/>
          <w:bCs/>
          <w:sz w:val="22"/>
          <w:lang w:val="es-CO"/>
        </w:rPr>
        <w:t>no son de obligatorio cumplimiento o ejecución, ni tienen el</w:t>
      </w:r>
      <w:r>
        <w:rPr>
          <w:rFonts w:ascii="Arial" w:hAnsi="Arial" w:eastAsia="Calibri" w:cs="Arial"/>
          <w:bCs/>
          <w:sz w:val="22"/>
          <w:lang w:val="es-CO"/>
        </w:rPr>
        <w:t xml:space="preserve"> </w:t>
      </w:r>
      <w:r w:rsidRPr="000C00F6">
        <w:rPr>
          <w:rFonts w:ascii="Arial" w:hAnsi="Arial" w:eastAsia="Calibri" w:cs="Arial"/>
          <w:bCs/>
          <w:sz w:val="22"/>
          <w:lang w:val="es-CO"/>
        </w:rPr>
        <w:t>carácter de fuente normativa y sólo pueden ser utilizados para facilitar la interpretación</w:t>
      </w:r>
      <w:r>
        <w:rPr>
          <w:rFonts w:ascii="Arial" w:hAnsi="Arial" w:eastAsia="Calibri" w:cs="Arial"/>
          <w:bCs/>
          <w:sz w:val="22"/>
          <w:lang w:val="es-CO"/>
        </w:rPr>
        <w:t xml:space="preserve"> </w:t>
      </w:r>
      <w:r w:rsidRPr="000C00F6">
        <w:rPr>
          <w:rFonts w:ascii="Arial" w:hAnsi="Arial" w:eastAsia="Calibri" w:cs="Arial"/>
          <w:bCs/>
          <w:sz w:val="22"/>
          <w:lang w:val="es-CO"/>
        </w:rPr>
        <w:t>y aplicación de las normas jurídicas vigentes</w:t>
      </w:r>
      <w:r>
        <w:rPr>
          <w:rFonts w:ascii="Arial" w:hAnsi="Arial" w:eastAsia="Calibri" w:cs="Arial"/>
          <w:bCs/>
          <w:sz w:val="22"/>
          <w:lang w:val="es-CO"/>
        </w:rPr>
        <w:t xml:space="preserve"> […]».</w:t>
      </w:r>
    </w:p>
    <w:p w:rsidR="00AC3E22" w:rsidP="00AC3E22" w:rsidRDefault="00AC3E22" w14:paraId="71EB361B" w14:textId="77777777">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En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 Al respecto, el profesor Enrique José Arboleda Perdomo</w:t>
      </w:r>
      <w:r>
        <w:rPr>
          <w:rStyle w:val="Refdenotaalpie"/>
          <w:rFonts w:ascii="Arial" w:hAnsi="Arial" w:eastAsia="Calibri" w:cs="Arial"/>
          <w:bCs/>
          <w:sz w:val="22"/>
          <w:lang w:val="es-ES_tradnl"/>
        </w:rPr>
        <w:footnoteReference w:id="6"/>
      </w:r>
      <w:r>
        <w:rPr>
          <w:rFonts w:ascii="Arial" w:hAnsi="Arial" w:eastAsia="Calibri" w:cs="Arial"/>
          <w:bCs/>
          <w:sz w:val="22"/>
          <w:lang w:val="es-ES_tradnl"/>
        </w:rPr>
        <w:t>, al interpretar el artículo transcrito, expuso lo siguiente:</w:t>
      </w:r>
    </w:p>
    <w:p w:rsidR="00AC3E22" w:rsidP="00AC3E22" w:rsidRDefault="00AC3E22" w14:paraId="67878B37" w14:textId="77777777">
      <w:pPr>
        <w:tabs>
          <w:tab w:val="left" w:pos="709"/>
        </w:tabs>
        <w:spacing w:before="120" w:line="276" w:lineRule="auto"/>
        <w:jc w:val="both"/>
        <w:rPr>
          <w:rFonts w:ascii="Arial" w:hAnsi="Arial" w:eastAsia="Calibri" w:cs="Arial"/>
          <w:bCs/>
          <w:sz w:val="22"/>
          <w:lang w:val="es-ES_tradnl"/>
        </w:rPr>
      </w:pPr>
    </w:p>
    <w:p w:rsidRPr="00566672" w:rsidR="00AC3E22" w:rsidP="00AC3E22" w:rsidRDefault="00AC3E22" w14:paraId="55F49BEA" w14:textId="77777777">
      <w:pPr>
        <w:tabs>
          <w:tab w:val="left" w:pos="709"/>
        </w:tabs>
        <w:ind w:left="709" w:right="709"/>
        <w:jc w:val="both"/>
        <w:rPr>
          <w:rFonts w:ascii="Arial" w:hAnsi="Arial" w:eastAsia="Calibri" w:cs="Arial"/>
          <w:bCs/>
          <w:sz w:val="21"/>
          <w:szCs w:val="21"/>
          <w:lang w:val="es-ES_tradnl"/>
        </w:rPr>
      </w:pPr>
      <w:r w:rsidRPr="00566672">
        <w:rPr>
          <w:rFonts w:ascii="Arial" w:hAnsi="Arial" w:eastAsia="Calibri" w:cs="Arial"/>
          <w:bCs/>
          <w:sz w:val="21"/>
          <w:szCs w:val="21"/>
          <w:lang w:val="es-ES_tradnl"/>
        </w:rPr>
        <w:t xml:space="preserve">El artículo 28 regula los efectos jurídicos de los conceptos que emita la entidad como respuesta a las consultas que le formulen los particulares, ordenando que </w:t>
      </w:r>
      <w:r w:rsidRPr="00566672">
        <w:rPr>
          <w:rFonts w:ascii="Arial" w:hAnsi="Arial" w:eastAsia="Calibri" w:cs="Arial"/>
          <w:bCs/>
          <w:i/>
          <w:iCs/>
          <w:sz w:val="21"/>
          <w:szCs w:val="21"/>
          <w:lang w:val="es-ES_tradnl"/>
        </w:rPr>
        <w:t>no serán de obligatorio cumplimiento o ejecución</w:t>
      </w:r>
      <w:r w:rsidRPr="00566672">
        <w:rPr>
          <w:rFonts w:ascii="Arial" w:hAnsi="Arial" w:eastAsia="Calibri" w:cs="Arial"/>
          <w:bCs/>
          <w:sz w:val="21"/>
          <w:szCs w:val="21"/>
          <w:lang w:val="es-ES_tradnl"/>
        </w:rPr>
        <w:t>. De este mandato surgen las siguientes consideraciones:</w:t>
      </w:r>
    </w:p>
    <w:p w:rsidRPr="00566672" w:rsidR="00AC3E22" w:rsidP="00AC3E22" w:rsidRDefault="00AC3E22" w14:paraId="240E3F2B" w14:textId="77777777">
      <w:pPr>
        <w:tabs>
          <w:tab w:val="left" w:pos="709"/>
        </w:tabs>
        <w:ind w:left="709" w:right="709"/>
        <w:jc w:val="both"/>
        <w:rPr>
          <w:rFonts w:ascii="Arial" w:hAnsi="Arial" w:eastAsia="Calibri" w:cs="Arial"/>
          <w:bCs/>
          <w:sz w:val="21"/>
          <w:szCs w:val="21"/>
          <w:lang w:val="es-ES_tradnl"/>
        </w:rPr>
      </w:pPr>
    </w:p>
    <w:p w:rsidRPr="00566672" w:rsidR="00AC3E22" w:rsidP="00AC3E22" w:rsidRDefault="00AC3E22" w14:paraId="519A2252" w14:textId="77777777">
      <w:pPr>
        <w:tabs>
          <w:tab w:val="left" w:pos="709"/>
        </w:tabs>
        <w:ind w:left="709" w:right="709"/>
        <w:jc w:val="both"/>
        <w:rPr>
          <w:rFonts w:ascii="Arial" w:hAnsi="Arial" w:eastAsia="Calibri" w:cs="Arial"/>
          <w:bCs/>
          <w:sz w:val="21"/>
          <w:szCs w:val="21"/>
        </w:rPr>
      </w:pPr>
      <w:r w:rsidRPr="00566672">
        <w:rPr>
          <w:rFonts w:ascii="Arial" w:hAnsi="Arial" w:eastAsia="Calibri" w:cs="Arial"/>
          <w:bCs/>
          <w:sz w:val="21"/>
          <w:szCs w:val="21"/>
          <w:lang w:val="es-ES_tradnl"/>
        </w:rPr>
        <w:t xml:space="preserve">La primera, </w:t>
      </w:r>
      <w:r w:rsidRPr="00566672">
        <w:rPr>
          <w:rFonts w:ascii="Arial" w:hAnsi="Arial" w:eastAsia="Calibri" w:cs="Arial"/>
          <w:bCs/>
          <w:sz w:val="21"/>
          <w:szCs w:val="21"/>
        </w:rPr>
        <w:t>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rsidRPr="00566672" w:rsidR="00AC3E22" w:rsidP="00AC3E22" w:rsidRDefault="00AC3E22" w14:paraId="21238B7E" w14:textId="77777777">
      <w:pPr>
        <w:tabs>
          <w:tab w:val="left" w:pos="709"/>
        </w:tabs>
        <w:ind w:left="709" w:right="709"/>
        <w:jc w:val="both"/>
        <w:rPr>
          <w:rFonts w:ascii="Arial" w:hAnsi="Arial" w:eastAsia="Calibri" w:cs="Arial"/>
          <w:bCs/>
          <w:sz w:val="21"/>
          <w:szCs w:val="21"/>
        </w:rPr>
      </w:pPr>
    </w:p>
    <w:p w:rsidRPr="00566672" w:rsidR="00AC3E22" w:rsidP="00AC3E22" w:rsidRDefault="00AC3E22" w14:paraId="6BAB233C" w14:textId="77777777">
      <w:pPr>
        <w:tabs>
          <w:tab w:val="left" w:pos="709"/>
        </w:tabs>
        <w:ind w:left="709" w:right="709"/>
        <w:jc w:val="both"/>
        <w:rPr>
          <w:rFonts w:ascii="Arial" w:hAnsi="Arial" w:eastAsia="Calibri" w:cs="Arial"/>
          <w:bCs/>
          <w:sz w:val="21"/>
          <w:szCs w:val="21"/>
        </w:rPr>
      </w:pPr>
      <w:r w:rsidRPr="00566672">
        <w:rPr>
          <w:rFonts w:ascii="Arial" w:hAnsi="Arial" w:eastAsia="Calibri" w:cs="Arial"/>
          <w:bCs/>
          <w:sz w:val="21"/>
          <w:szCs w:val="21"/>
        </w:rPr>
        <w:t>La segunda, que la forma como la administración actúa de manera vinculante para sí misma y para la Generalidad de las personas es el reglamento</w:t>
      </w:r>
      <w:r>
        <w:rPr>
          <w:rFonts w:ascii="Arial" w:hAnsi="Arial" w:eastAsia="Calibri" w:cs="Arial"/>
          <w:bCs/>
          <w:sz w:val="21"/>
          <w:szCs w:val="21"/>
        </w:rPr>
        <w:t>,</w:t>
      </w:r>
      <w:r w:rsidRPr="00566672">
        <w:rPr>
          <w:rFonts w:ascii="Arial" w:hAnsi="Arial" w:eastAsia="Calibri" w:cs="Arial"/>
          <w:bCs/>
          <w:sz w:val="21"/>
          <w:szCs w:val="21"/>
        </w:rPr>
        <w:t xml:space="preserve"> no sólo a través de la potestad reglamentaria propia del presidente de la República coma sino a través de los demás reglamentos de la administración en el preciso marco de las competencias de cada organismo o entidad</w:t>
      </w:r>
      <w:r>
        <w:rPr>
          <w:rFonts w:ascii="Arial" w:hAnsi="Arial" w:eastAsia="Calibri" w:cs="Arial"/>
          <w:bCs/>
          <w:sz w:val="21"/>
          <w:szCs w:val="21"/>
        </w:rPr>
        <w:t xml:space="preserve">, </w:t>
      </w:r>
      <w:r w:rsidRPr="00566672">
        <w:rPr>
          <w:rFonts w:ascii="Arial" w:hAnsi="Arial" w:eastAsia="Calibri" w:cs="Arial"/>
          <w:bCs/>
          <w:sz w:val="21"/>
          <w:szCs w:val="21"/>
        </w:rPr>
        <w:t xml:space="preserve">por lo cual los conceptos emitidos no pueden suplir ni menos aún competir con los reglamentos. </w:t>
      </w:r>
    </w:p>
    <w:p w:rsidRPr="00566672" w:rsidR="00AC3E22" w:rsidP="00AC3E22" w:rsidRDefault="00AC3E22" w14:paraId="1F73930F" w14:textId="77777777">
      <w:pPr>
        <w:tabs>
          <w:tab w:val="left" w:pos="709"/>
        </w:tabs>
        <w:ind w:left="709" w:right="709"/>
        <w:jc w:val="both"/>
        <w:rPr>
          <w:rFonts w:ascii="Arial" w:hAnsi="Arial" w:eastAsia="Calibri" w:cs="Arial"/>
          <w:bCs/>
          <w:sz w:val="21"/>
          <w:szCs w:val="21"/>
        </w:rPr>
      </w:pPr>
    </w:p>
    <w:p w:rsidRPr="00566672" w:rsidR="00AC3E22" w:rsidP="00AC3E22" w:rsidRDefault="00AC3E22" w14:paraId="2FDD6D68" w14:textId="77777777">
      <w:pPr>
        <w:tabs>
          <w:tab w:val="left" w:pos="709"/>
        </w:tabs>
        <w:ind w:left="709" w:right="709"/>
        <w:jc w:val="both"/>
        <w:rPr>
          <w:rFonts w:ascii="Arial" w:hAnsi="Arial" w:eastAsia="Calibri" w:cs="Arial"/>
          <w:bCs/>
          <w:sz w:val="21"/>
          <w:szCs w:val="21"/>
          <w:lang w:val="es-ES_tradnl"/>
        </w:rPr>
      </w:pPr>
      <w:r w:rsidRPr="00566672">
        <w:rPr>
          <w:rFonts w:ascii="Arial" w:hAnsi="Arial" w:eastAsia="Calibri" w:cs="Arial"/>
          <w:bCs/>
          <w:sz w:val="21"/>
          <w:szCs w:val="21"/>
        </w:rPr>
        <w:t>La tercera, que los conceptos no pueden interpretar la ley en el sentido de darle un alcance o proferir un sentido frente a otro posible</w:t>
      </w:r>
      <w:r>
        <w:rPr>
          <w:rFonts w:ascii="Arial" w:hAnsi="Arial" w:eastAsia="Calibri" w:cs="Arial"/>
          <w:bCs/>
          <w:sz w:val="21"/>
          <w:szCs w:val="21"/>
        </w:rPr>
        <w:t>,</w:t>
      </w:r>
      <w:r w:rsidRPr="00566672">
        <w:rPr>
          <w:rFonts w:ascii="Arial" w:hAnsi="Arial" w:eastAsia="Calibri" w:cs="Arial"/>
          <w:bCs/>
          <w:sz w:val="21"/>
          <w:szCs w:val="21"/>
        </w:rPr>
        <w:t xml:space="preserve"> se limitan a explicar las competencias a cargo de la entidad y la forma de ejercerlas</w:t>
      </w:r>
      <w:r>
        <w:rPr>
          <w:rFonts w:ascii="Arial" w:hAnsi="Arial" w:eastAsia="Calibri" w:cs="Arial"/>
          <w:bCs/>
          <w:sz w:val="21"/>
          <w:szCs w:val="21"/>
        </w:rPr>
        <w:t xml:space="preserve">, </w:t>
      </w:r>
      <w:r w:rsidRPr="00566672">
        <w:rPr>
          <w:rFonts w:ascii="Arial" w:hAnsi="Arial" w:eastAsia="Calibri" w:cs="Arial"/>
          <w:bCs/>
          <w:sz w:val="21"/>
          <w:szCs w:val="21"/>
        </w:rPr>
        <w:t xml:space="preserve">con el fin de orientar </w:t>
      </w:r>
      <w:r w:rsidRPr="00566672">
        <w:rPr>
          <w:rFonts w:ascii="Arial" w:hAnsi="Arial" w:eastAsia="Calibri" w:cs="Arial"/>
          <w:bCs/>
          <w:sz w:val="21"/>
          <w:szCs w:val="21"/>
        </w:rPr>
        <w:lastRenderedPageBreak/>
        <w:t>a los particulares en el cumplimiento de sus deberes o el ejercicio de sus derechos.</w:t>
      </w:r>
    </w:p>
    <w:p w:rsidR="00AC3E22" w:rsidP="00AC3E22" w:rsidRDefault="00AC3E22" w14:paraId="5CBB0925" w14:textId="77777777">
      <w:pPr>
        <w:tabs>
          <w:tab w:val="left" w:pos="709"/>
        </w:tabs>
        <w:jc w:val="both"/>
        <w:rPr>
          <w:rFonts w:ascii="Arial" w:hAnsi="Arial" w:eastAsia="Calibri" w:cs="Arial"/>
          <w:bCs/>
          <w:sz w:val="22"/>
          <w:lang w:val="es-ES_tradnl"/>
        </w:rPr>
      </w:pPr>
    </w:p>
    <w:p w:rsidR="00AC3E22" w:rsidP="00AC3E22" w:rsidRDefault="00AC3E22" w14:paraId="0E5AAC88" w14:textId="77777777">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 xml:space="preserve">A las autoridades que ejercen funciones consultivas no les corresponde darle un alcance o preferir un sentido frente a otro, ya que estas se limitan </w:t>
      </w:r>
      <w:r w:rsidRPr="007243C4">
        <w:rPr>
          <w:rFonts w:ascii="Arial" w:hAnsi="Arial" w:eastAsia="Calibri" w:cs="Arial"/>
          <w:bCs/>
          <w:sz w:val="22"/>
          <w:lang w:val="es-ES_tradnl"/>
        </w:rPr>
        <w:t>a expresar su posición hermenéutica respecto a las disposiciones normativas</w:t>
      </w:r>
      <w:r>
        <w:rPr>
          <w:rFonts w:ascii="Arial" w:hAnsi="Arial" w:eastAsia="Calibri" w:cs="Arial"/>
          <w:bCs/>
          <w:sz w:val="22"/>
          <w:lang w:val="es-ES_tradnl"/>
        </w:rPr>
        <w:t xml:space="preserve">. </w:t>
      </w:r>
      <w:r w:rsidRPr="00150473">
        <w:rPr>
          <w:rFonts w:ascii="Arial" w:hAnsi="Arial" w:eastAsia="Calibri" w:cs="Arial"/>
          <w:bCs/>
          <w:sz w:val="22"/>
          <w:lang w:val="es-ES_tradnl"/>
        </w:rPr>
        <w:t xml:space="preserve">En tal sentido, no pueden, pues, sobreponer su opinión sobre otras posibles.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 </w:t>
      </w:r>
    </w:p>
    <w:p w:rsidR="00AC3E22" w:rsidP="00AC3E22" w:rsidRDefault="00AC3E22" w14:paraId="479999F3" w14:textId="77777777">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En similares términos, el artículo 112 de la Ley 1437 de 2011 establece, en relación con la Sala de Consulta y Servicio Civil, que «los conceptos de la Sala no serán vinculantes, salvo que la ley disponga lo contrario»</w:t>
      </w:r>
      <w:r>
        <w:rPr>
          <w:rStyle w:val="Refdenotaalpie"/>
          <w:rFonts w:ascii="Arial" w:hAnsi="Arial" w:eastAsia="Calibri" w:cs="Arial"/>
          <w:bCs/>
          <w:sz w:val="22"/>
          <w:lang w:val="es-ES_tradnl"/>
        </w:rPr>
        <w:footnoteReference w:id="7"/>
      </w:r>
      <w:r>
        <w:rPr>
          <w:rFonts w:ascii="Arial" w:hAnsi="Arial" w:eastAsia="Calibri" w:cs="Arial"/>
          <w:bCs/>
          <w:sz w:val="22"/>
          <w:lang w:val="es-ES_tradnl"/>
        </w:rPr>
        <w:t xml:space="preserve">. Se trata, </w:t>
      </w:r>
      <w:r>
        <w:rPr>
          <w:rFonts w:ascii="Arial" w:hAnsi="Arial" w:eastAsia="Calibri" w:cs="Arial"/>
          <w:bCs/>
          <w:i/>
          <w:iCs/>
          <w:sz w:val="22"/>
          <w:lang w:val="es-ES_tradnl"/>
        </w:rPr>
        <w:t xml:space="preserve">mutatis </w:t>
      </w:r>
      <w:proofErr w:type="spellStart"/>
      <w:r>
        <w:rPr>
          <w:rFonts w:ascii="Arial" w:hAnsi="Arial" w:eastAsia="Calibri" w:cs="Arial"/>
          <w:bCs/>
          <w:i/>
          <w:iCs/>
          <w:sz w:val="22"/>
          <w:lang w:val="es-ES_tradnl"/>
        </w:rPr>
        <w:t>mutandi</w:t>
      </w:r>
      <w:proofErr w:type="spellEnd"/>
      <w:r w:rsidRPr="007754CA">
        <w:rPr>
          <w:rFonts w:ascii="Arial" w:hAnsi="Arial" w:eastAsia="Calibri" w:cs="Arial"/>
          <w:bCs/>
          <w:sz w:val="22"/>
          <w:lang w:val="es-ES_tradnl"/>
        </w:rPr>
        <w:t>,</w:t>
      </w:r>
      <w:r>
        <w:rPr>
          <w:rFonts w:ascii="Arial" w:hAnsi="Arial" w:eastAsia="Calibri" w:cs="Arial"/>
          <w:bCs/>
          <w:i/>
          <w:iCs/>
          <w:sz w:val="22"/>
          <w:lang w:val="es-ES_tradnl"/>
        </w:rPr>
        <w:t xml:space="preserve"> </w:t>
      </w:r>
      <w:r>
        <w:rPr>
          <w:rFonts w:ascii="Arial" w:hAnsi="Arial" w:eastAsia="Calibri" w:cs="Arial"/>
          <w:bCs/>
          <w:sz w:val="22"/>
          <w:lang w:val="es-ES_tradnl"/>
        </w:rPr>
        <w:t>del ejercicio de una función consultiva, cuyos efectos, por ende, serán los mismos: no vinculantes ni de obligatorio cumplimiento. En relación con el tema objeto de controversia, la Sala de Consulta y Servicio Civil del Consejo de Estado</w:t>
      </w:r>
      <w:r>
        <w:rPr>
          <w:rStyle w:val="Refdenotaalpie"/>
          <w:rFonts w:ascii="Arial" w:hAnsi="Arial" w:eastAsia="Calibri" w:cs="Arial"/>
          <w:bCs/>
          <w:sz w:val="22"/>
          <w:lang w:val="es-ES_tradnl"/>
        </w:rPr>
        <w:footnoteReference w:id="8"/>
      </w:r>
      <w:r>
        <w:rPr>
          <w:rFonts w:ascii="Arial" w:hAnsi="Arial" w:eastAsia="Calibri" w:cs="Arial"/>
          <w:bCs/>
          <w:sz w:val="22"/>
          <w:lang w:val="es-ES_tradnl"/>
        </w:rPr>
        <w:t>, se pronunció en los siguientes términos:</w:t>
      </w:r>
    </w:p>
    <w:p w:rsidR="00AC3E22" w:rsidP="00AC3E22" w:rsidRDefault="00AC3E22" w14:paraId="6AB3D01F" w14:textId="77777777">
      <w:pPr>
        <w:tabs>
          <w:tab w:val="left" w:pos="426"/>
        </w:tabs>
        <w:spacing w:line="276" w:lineRule="auto"/>
        <w:jc w:val="both"/>
        <w:rPr>
          <w:rFonts w:ascii="Arial" w:hAnsi="Arial" w:eastAsia="Calibri" w:cs="Arial"/>
          <w:bCs/>
          <w:sz w:val="22"/>
          <w:lang w:val="es-ES_tradnl"/>
        </w:rPr>
      </w:pPr>
    </w:p>
    <w:p w:rsidRPr="00822436" w:rsidR="00AC3E22" w:rsidP="00AC3E22" w:rsidRDefault="00AC3E22" w14:paraId="0F443518" w14:textId="77777777">
      <w:pPr>
        <w:tabs>
          <w:tab w:val="left" w:pos="426"/>
        </w:tabs>
        <w:ind w:left="709" w:right="709"/>
        <w:jc w:val="both"/>
        <w:rPr>
          <w:rFonts w:ascii="Arial" w:hAnsi="Arial" w:eastAsia="Calibri" w:cs="Arial"/>
          <w:bCs/>
          <w:sz w:val="21"/>
          <w:szCs w:val="21"/>
        </w:rPr>
      </w:pPr>
      <w:r w:rsidRPr="00822436">
        <w:rPr>
          <w:rFonts w:ascii="Arial" w:hAnsi="Arial" w:eastAsia="Calibri" w:cs="Arial"/>
          <w:bCs/>
          <w:sz w:val="21"/>
          <w:szCs w:val="21"/>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w:t>
      </w:r>
      <w:r w:rsidRPr="00822436">
        <w:rPr>
          <w:rFonts w:ascii="Arial" w:hAnsi="Arial" w:eastAsia="Calibri" w:cs="Arial"/>
          <w:bCs/>
          <w:sz w:val="21"/>
          <w:szCs w:val="21"/>
        </w:rPr>
        <w:lastRenderedPageBreak/>
        <w:t xml:space="preserve">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rsidRPr="00822436" w:rsidR="00AC3E22" w:rsidP="00AC3E22" w:rsidRDefault="00AC3E22" w14:paraId="46B5888D" w14:textId="77777777">
      <w:pPr>
        <w:tabs>
          <w:tab w:val="left" w:pos="426"/>
        </w:tabs>
        <w:ind w:left="709" w:right="709"/>
        <w:jc w:val="both"/>
        <w:rPr>
          <w:rFonts w:ascii="Arial" w:hAnsi="Arial" w:eastAsia="Calibri" w:cs="Arial"/>
          <w:bCs/>
          <w:sz w:val="21"/>
          <w:szCs w:val="21"/>
        </w:rPr>
      </w:pPr>
    </w:p>
    <w:p w:rsidRPr="00822436" w:rsidR="00AC3E22" w:rsidP="00AC3E22" w:rsidRDefault="00AC3E22" w14:paraId="3D4450DB" w14:textId="77777777">
      <w:pPr>
        <w:tabs>
          <w:tab w:val="left" w:pos="426"/>
        </w:tabs>
        <w:ind w:left="709" w:right="709"/>
        <w:jc w:val="both"/>
        <w:rPr>
          <w:rFonts w:ascii="Arial" w:hAnsi="Arial" w:eastAsia="Calibri" w:cs="Arial"/>
          <w:bCs/>
          <w:sz w:val="21"/>
          <w:szCs w:val="21"/>
        </w:rPr>
      </w:pPr>
      <w:r w:rsidRPr="00822436">
        <w:rPr>
          <w:rFonts w:ascii="Arial" w:hAnsi="Arial" w:eastAsia="Calibri" w:cs="Arial"/>
          <w:bCs/>
          <w:sz w:val="21"/>
          <w:szCs w:val="21"/>
        </w:rPr>
        <w:t>No se trata entonces de dar la razón a una u otra posición en temas controvertibles, sino de rendir un concepto jurídico que sirva a la Administración en la búsqueda del cumplimiento de las finalidades esenciales del Estado.</w:t>
      </w:r>
    </w:p>
    <w:p w:rsidR="00AC3E22" w:rsidP="00AC3E22" w:rsidRDefault="00AC3E22" w14:paraId="00DEADEA" w14:textId="77777777">
      <w:pPr>
        <w:tabs>
          <w:tab w:val="left" w:pos="426"/>
        </w:tabs>
        <w:spacing w:line="276" w:lineRule="auto"/>
        <w:jc w:val="both"/>
        <w:rPr>
          <w:rFonts w:ascii="Arial" w:hAnsi="Arial" w:eastAsia="Calibri" w:cs="Arial"/>
          <w:bCs/>
          <w:sz w:val="22"/>
          <w:lang w:val="es-ES_tradnl"/>
        </w:rPr>
      </w:pPr>
    </w:p>
    <w:p w:rsidR="00AC3E22" w:rsidP="00AC3E22" w:rsidRDefault="00AC3E22" w14:paraId="79C2A101" w14:textId="77777777">
      <w:pPr>
        <w:tabs>
          <w:tab w:val="left" w:pos="709"/>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El ejercicio de la función consultiva del artículo 28 de la Ley 1437 de 2011 descarta la resolución de controversias en curso o de problemas cuyos efectos se concreten. Lo primero, debe manejarlo la propia entidad ante la que se presenta el problema, y lo segundo el juez competente. En últimas, siempre que no exista una decisión judicial vinculante, los destinatarios de la norma serán los que interpreten el ordenamiento jurídico. Así las cosas, a título de ejemplo, si una entidad considera que un término vence en un momento específico, habida cuenta de su lectura exegética de la norma respectiva, pero otra entiende que el término vence en otro momento, amparada en una lectura teleológica del ordenamiento jurídico, serán los destinatarios de dicha norma los que decidirán cuál es la interpretación por la que optan, claro está, sin perjuicio del posterior control judicial que podrá hacerse a solicitud de alguno de los interesados. No se trata, entonces, de jerarquías interpretativas sino de opiniones diferentes. El peso de la interpretación depende de la razonabilidad de los argumentos y de la inteligibilidad de la opinión, pero nunca de la autoridad de quien opina.</w:t>
      </w:r>
    </w:p>
    <w:p w:rsidR="00AC3E22" w:rsidP="00AC3E22" w:rsidRDefault="00AC3E22" w14:paraId="3AA789A4" w14:textId="77777777">
      <w:pPr>
        <w:tabs>
          <w:tab w:val="left" w:pos="709"/>
        </w:tabs>
        <w:spacing w:before="120" w:after="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Otro asunto es que la entidad que lee la norma exegéticamente, luego de la decisión judicial, ejerza sus competencias desconociendo la interpretación del juez, como podría pasar, en el ejemplo propuesto, si la entidad rechaza por extemporáneo un recurso, omitiendo la lectura que los jueces hicieron con criterio de autoridad. Con todo, por la naturaleza de la función consultiva, es perfectamente válido que la misma entidad, a título de concepto, mantenga la opinión que no coincide con la judicial, porque la misma no es vinculante.</w:t>
      </w:r>
    </w:p>
    <w:p w:rsidR="00AC3E22" w:rsidP="00AC3E22" w:rsidRDefault="00AC3E22" w14:paraId="48583BB5" w14:textId="77777777">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bookmarkStart w:name="_Hlk42100007" w:id="3"/>
      <w:r>
        <w:rPr>
          <w:rFonts w:ascii="Arial" w:hAnsi="Arial" w:eastAsia="Calibri" w:cs="Arial"/>
          <w:bCs/>
          <w:sz w:val="22"/>
          <w:lang w:val="es-ES_tradnl"/>
        </w:rPr>
        <w:t xml:space="preserve">Así las cosas, Colombia Compra Eficiente considera que no hay lugar a acceder a la solicitud relacionada con la revocación de los conceptos </w:t>
      </w:r>
      <w:r>
        <w:rPr>
          <w:rFonts w:ascii="Arial" w:hAnsi="Arial" w:eastAsia="Calibri" w:cs="Arial"/>
          <w:bCs/>
          <w:i/>
          <w:iCs/>
          <w:sz w:val="22"/>
          <w:lang w:val="es-ES_tradnl"/>
        </w:rPr>
        <w:t>sub examine</w:t>
      </w:r>
      <w:r>
        <w:rPr>
          <w:rFonts w:ascii="Arial" w:hAnsi="Arial" w:eastAsia="Calibri" w:cs="Arial"/>
          <w:bCs/>
          <w:sz w:val="22"/>
          <w:lang w:val="es-ES_tradnl"/>
        </w:rPr>
        <w:t xml:space="preserve">, pues no son actos administrativos, no tienen efectos vinculantes en relación con una situación jurídica particular y concreta, y exponen un criterio que, aunque jurídicamente fundamentado, no representan la única interpretación válida del ordenamiento jurídico. </w:t>
      </w:r>
      <w:bookmarkEnd w:id="3"/>
    </w:p>
    <w:p w:rsidR="00AC3E22" w:rsidP="00AC3E22" w:rsidRDefault="00AC3E22" w14:paraId="7BF77481" w14:textId="6B03C848">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Lo anterior no implica que la Agencia Nacional de Contratación Pública – Colombia Compra Eficiente considere inalterables sus posturas, pues, de ser necesario, podría replantear una tesis previamente expuesta, bajo estrictos estándares argumentativos, al emitir otro concepto, ya que</w:t>
      </w:r>
      <w:r w:rsidR="003167F5">
        <w:rPr>
          <w:rFonts w:ascii="Arial" w:hAnsi="Arial" w:eastAsia="Calibri" w:cs="Arial"/>
          <w:bCs/>
          <w:sz w:val="22"/>
          <w:lang w:val="es-ES_tradnl"/>
        </w:rPr>
        <w:t>,</w:t>
      </w:r>
      <w:r>
        <w:rPr>
          <w:rFonts w:ascii="Arial" w:hAnsi="Arial" w:eastAsia="Calibri" w:cs="Arial"/>
          <w:bCs/>
          <w:sz w:val="22"/>
          <w:lang w:val="es-ES_tradnl"/>
        </w:rPr>
        <w:t xml:space="preserve"> dada su falta de </w:t>
      </w:r>
      <w:proofErr w:type="spellStart"/>
      <w:r>
        <w:rPr>
          <w:rFonts w:ascii="Arial" w:hAnsi="Arial" w:eastAsia="Calibri" w:cs="Arial"/>
          <w:bCs/>
          <w:sz w:val="22"/>
          <w:lang w:val="es-ES_tradnl"/>
        </w:rPr>
        <w:t>vinculatoriedad</w:t>
      </w:r>
      <w:proofErr w:type="spellEnd"/>
      <w:r>
        <w:rPr>
          <w:rFonts w:ascii="Arial" w:hAnsi="Arial" w:eastAsia="Calibri" w:cs="Arial"/>
          <w:bCs/>
          <w:sz w:val="22"/>
          <w:lang w:val="es-ES_tradnl"/>
        </w:rPr>
        <w:t xml:space="preserve">, la legitimación de sus </w:t>
      </w:r>
      <w:r>
        <w:rPr>
          <w:rFonts w:ascii="Arial" w:hAnsi="Arial" w:eastAsia="Calibri" w:cs="Arial"/>
          <w:bCs/>
          <w:sz w:val="22"/>
          <w:lang w:val="es-ES_tradnl"/>
        </w:rPr>
        <w:lastRenderedPageBreak/>
        <w:t>posturas proviene de la fuerza de los argumentos. De manera que en lo que sigue se señalarán las razones por las cuales esta Agencia mantiene su postura emitida en conceptos anteriores.</w:t>
      </w:r>
    </w:p>
    <w:p w:rsidR="00DE37AD" w:rsidP="00C54360" w:rsidRDefault="00DE37AD" w14:paraId="633101B7" w14:textId="77777777">
      <w:pPr>
        <w:tabs>
          <w:tab w:val="left" w:pos="426"/>
        </w:tabs>
        <w:spacing w:line="276" w:lineRule="auto"/>
        <w:ind w:firstLine="284"/>
        <w:jc w:val="both"/>
        <w:rPr>
          <w:rFonts w:ascii="Arial" w:hAnsi="Arial" w:eastAsia="Calibri" w:cs="Arial"/>
          <w:b/>
          <w:sz w:val="22"/>
          <w:lang w:val="es-ES_tradnl"/>
        </w:rPr>
      </w:pPr>
    </w:p>
    <w:p w:rsidR="00C54360" w:rsidP="00634FDA" w:rsidRDefault="00C54360" w14:paraId="403921FE" w14:textId="4AA5D9CE">
      <w:pPr>
        <w:tabs>
          <w:tab w:val="left" w:pos="426"/>
        </w:tabs>
        <w:spacing w:line="276" w:lineRule="auto"/>
        <w:jc w:val="both"/>
        <w:rPr>
          <w:rFonts w:ascii="Arial" w:hAnsi="Arial" w:eastAsia="Calibri" w:cs="Arial"/>
          <w:b/>
          <w:sz w:val="22"/>
          <w:lang w:val="es-ES_tradnl"/>
        </w:rPr>
      </w:pPr>
      <w:r>
        <w:rPr>
          <w:rFonts w:ascii="Arial" w:hAnsi="Arial" w:eastAsia="Calibri" w:cs="Arial"/>
          <w:b/>
          <w:sz w:val="22"/>
          <w:lang w:val="es-ES_tradnl"/>
        </w:rPr>
        <w:t>2.</w:t>
      </w:r>
      <w:r w:rsidR="000B3D11">
        <w:rPr>
          <w:rFonts w:ascii="Arial" w:hAnsi="Arial" w:eastAsia="Calibri" w:cs="Arial"/>
          <w:b/>
          <w:sz w:val="22"/>
          <w:lang w:val="es-ES_tradnl"/>
        </w:rPr>
        <w:t>2</w:t>
      </w:r>
      <w:r>
        <w:rPr>
          <w:rFonts w:ascii="Arial" w:hAnsi="Arial" w:eastAsia="Calibri" w:cs="Arial"/>
          <w:b/>
          <w:sz w:val="22"/>
          <w:lang w:val="es-ES_tradnl"/>
        </w:rPr>
        <w:t xml:space="preserve">. </w:t>
      </w:r>
      <w:r w:rsidR="00DE37AD">
        <w:rPr>
          <w:rFonts w:ascii="Arial" w:hAnsi="Arial" w:eastAsia="Calibri" w:cs="Arial"/>
          <w:b/>
          <w:sz w:val="22"/>
          <w:lang w:val="es-ES_tradnl"/>
        </w:rPr>
        <w:t>Análisis de</w:t>
      </w:r>
      <w:r>
        <w:rPr>
          <w:rFonts w:ascii="Arial" w:hAnsi="Arial" w:eastAsia="Calibri" w:cs="Arial"/>
          <w:b/>
          <w:sz w:val="22"/>
          <w:lang w:val="es-ES_tradnl"/>
        </w:rPr>
        <w:t xml:space="preserve"> los argumentos </w:t>
      </w:r>
      <w:r w:rsidR="00DE37AD">
        <w:rPr>
          <w:rFonts w:ascii="Arial" w:hAnsi="Arial" w:eastAsia="Calibri" w:cs="Arial"/>
          <w:b/>
          <w:sz w:val="22"/>
          <w:lang w:val="es-ES_tradnl"/>
        </w:rPr>
        <w:t>d</w:t>
      </w:r>
      <w:r>
        <w:rPr>
          <w:rFonts w:ascii="Arial" w:hAnsi="Arial" w:eastAsia="Calibri" w:cs="Arial"/>
          <w:b/>
          <w:sz w:val="22"/>
          <w:lang w:val="es-ES_tradnl"/>
        </w:rPr>
        <w:t xml:space="preserve">el </w:t>
      </w:r>
      <w:r w:rsidRPr="00C54360">
        <w:rPr>
          <w:rFonts w:ascii="Arial" w:hAnsi="Arial" w:eastAsia="Calibri" w:cs="Arial"/>
          <w:b/>
          <w:sz w:val="22"/>
          <w:lang w:val="es-ES_tradnl"/>
        </w:rPr>
        <w:t xml:space="preserve">Consejo Profesional </w:t>
      </w:r>
      <w:r w:rsidR="004E7162">
        <w:rPr>
          <w:rFonts w:ascii="Arial" w:hAnsi="Arial" w:eastAsia="Calibri" w:cs="Arial"/>
          <w:b/>
          <w:sz w:val="22"/>
          <w:lang w:val="es-ES_tradnl"/>
        </w:rPr>
        <w:t>Nacional de Ingenierías Eléctrica, Mecánica y Profesiones Afines</w:t>
      </w:r>
    </w:p>
    <w:p w:rsidR="00C54360" w:rsidP="00C54360" w:rsidRDefault="00C54360" w14:paraId="7DC0BC21" w14:textId="2779BE57">
      <w:pPr>
        <w:tabs>
          <w:tab w:val="left" w:pos="426"/>
        </w:tabs>
        <w:spacing w:line="276" w:lineRule="auto"/>
        <w:jc w:val="both"/>
        <w:rPr>
          <w:rFonts w:ascii="Arial" w:hAnsi="Arial" w:eastAsia="Calibri" w:cs="Arial"/>
          <w:b/>
          <w:sz w:val="22"/>
          <w:lang w:val="es-ES_tradnl"/>
        </w:rPr>
      </w:pPr>
    </w:p>
    <w:p w:rsidRPr="00020866" w:rsidR="00C54360" w:rsidP="00020866" w:rsidRDefault="00020866" w14:paraId="0487E674" w14:textId="060ED57E">
      <w:pPr>
        <w:tabs>
          <w:tab w:val="left" w:pos="426"/>
        </w:tabs>
        <w:jc w:val="both"/>
        <w:rPr>
          <w:rFonts w:ascii="Arial" w:hAnsi="Arial" w:eastAsia="Calibri" w:cs="Arial"/>
          <w:b/>
          <w:sz w:val="22"/>
          <w:lang w:val="es-ES_tradnl"/>
        </w:rPr>
      </w:pPr>
      <w:r w:rsidRPr="00020866">
        <w:rPr>
          <w:rFonts w:ascii="Arial" w:hAnsi="Arial" w:eastAsia="Calibri" w:cs="Arial"/>
          <w:b/>
          <w:sz w:val="22"/>
          <w:lang w:val="es-ES_tradnl"/>
        </w:rPr>
        <w:t>2.</w:t>
      </w:r>
      <w:r w:rsidR="000B3D11">
        <w:rPr>
          <w:rFonts w:ascii="Arial" w:hAnsi="Arial" w:eastAsia="Calibri" w:cs="Arial"/>
          <w:b/>
          <w:sz w:val="22"/>
          <w:lang w:val="es-ES_tradnl"/>
        </w:rPr>
        <w:t>2.</w:t>
      </w:r>
      <w:r w:rsidRPr="00020866">
        <w:rPr>
          <w:rFonts w:ascii="Arial" w:hAnsi="Arial" w:eastAsia="Calibri" w:cs="Arial"/>
          <w:b/>
          <w:sz w:val="22"/>
          <w:lang w:val="es-ES_tradnl"/>
        </w:rPr>
        <w:t>1. Argumento relacionado con el precedente de la Corte Constitucional</w:t>
      </w:r>
      <w:r w:rsidRPr="00020866" w:rsidR="00007060">
        <w:rPr>
          <w:rFonts w:ascii="Arial" w:hAnsi="Arial" w:eastAsia="Calibri" w:cs="Arial"/>
          <w:b/>
          <w:sz w:val="22"/>
          <w:lang w:val="es-ES_tradnl"/>
        </w:rPr>
        <w:t xml:space="preserve"> </w:t>
      </w:r>
    </w:p>
    <w:p w:rsidR="00020866" w:rsidP="00020866" w:rsidRDefault="00020866" w14:paraId="559CABF6" w14:textId="77777777">
      <w:pPr>
        <w:tabs>
          <w:tab w:val="left" w:pos="709"/>
        </w:tabs>
        <w:jc w:val="both"/>
        <w:rPr>
          <w:rFonts w:ascii="Arial" w:hAnsi="Arial" w:eastAsia="Calibri" w:cs="Arial"/>
          <w:bCs/>
          <w:sz w:val="22"/>
          <w:lang w:val="es-ES_tradnl"/>
        </w:rPr>
      </w:pPr>
    </w:p>
    <w:p w:rsidR="00007060" w:rsidP="00CA69E3" w:rsidRDefault="00494D25" w14:paraId="761B7507" w14:textId="41438045">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 xml:space="preserve">El </w:t>
      </w:r>
      <w:r w:rsidR="00020866">
        <w:rPr>
          <w:rFonts w:ascii="Arial" w:hAnsi="Arial" w:eastAsia="Calibri" w:cs="Arial"/>
          <w:sz w:val="22"/>
          <w:lang w:val="es-ES_tradnl"/>
        </w:rPr>
        <w:t>CPNIEM</w:t>
      </w:r>
      <w:r w:rsidR="00926A8B">
        <w:rPr>
          <w:rFonts w:ascii="Arial" w:hAnsi="Arial" w:eastAsia="Calibri" w:cs="Arial"/>
          <w:bCs/>
          <w:sz w:val="22"/>
          <w:lang w:val="es-ES_tradnl"/>
        </w:rPr>
        <w:t xml:space="preserve"> sugiere </w:t>
      </w:r>
      <w:r>
        <w:rPr>
          <w:rFonts w:ascii="Arial" w:hAnsi="Arial" w:eastAsia="Calibri" w:cs="Arial"/>
          <w:bCs/>
          <w:sz w:val="22"/>
          <w:lang w:val="es-ES_tradnl"/>
        </w:rPr>
        <w:t>que existen antecedentes jurisprudenciales que respaldan su tesis, esto es, que el artículo 12 de la Ley 842 de 2003 está vigente y que no ha sido derogado, ni expresa ni tácitamente por ninguna norma posterior. En su criterio, la sentencia C-296 de 2012 es muestra de ello</w:t>
      </w:r>
      <w:r w:rsidR="00020866">
        <w:rPr>
          <w:rFonts w:ascii="Arial" w:hAnsi="Arial" w:eastAsia="Calibri" w:cs="Arial"/>
          <w:bCs/>
          <w:sz w:val="22"/>
          <w:lang w:val="es-ES_tradnl"/>
        </w:rPr>
        <w:t xml:space="preserve"> </w:t>
      </w:r>
      <w:r>
        <w:rPr>
          <w:rFonts w:ascii="Arial" w:hAnsi="Arial" w:eastAsia="Calibri" w:cs="Arial"/>
          <w:bCs/>
          <w:sz w:val="22"/>
          <w:lang w:val="es-ES_tradnl"/>
        </w:rPr>
        <w:t>porque la misma declaró la exequibilidad de dicha disposición</w:t>
      </w:r>
      <w:r w:rsidR="00020866">
        <w:rPr>
          <w:rFonts w:ascii="Arial" w:hAnsi="Arial" w:eastAsia="Calibri" w:cs="Arial"/>
          <w:bCs/>
          <w:sz w:val="22"/>
          <w:lang w:val="es-ES_tradnl"/>
        </w:rPr>
        <w:t>.</w:t>
      </w:r>
    </w:p>
    <w:p w:rsidR="00B27674" w:rsidP="002C7FF6" w:rsidRDefault="00CA69E3" w14:paraId="0F24E597" w14:textId="3A131D0A">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DE5AAF">
        <w:rPr>
          <w:rFonts w:ascii="Arial" w:hAnsi="Arial" w:eastAsia="Calibri" w:cs="Arial"/>
          <w:bCs/>
          <w:sz w:val="22"/>
          <w:lang w:val="es-ES_tradnl"/>
        </w:rPr>
        <w:t xml:space="preserve">El argumento expuesto, sin embargo, </w:t>
      </w:r>
      <w:r>
        <w:rPr>
          <w:rFonts w:ascii="Arial" w:hAnsi="Arial" w:eastAsia="Calibri" w:cs="Arial"/>
          <w:bCs/>
          <w:sz w:val="22"/>
          <w:lang w:val="es-ES_tradnl"/>
        </w:rPr>
        <w:t>supone</w:t>
      </w:r>
      <w:r w:rsidR="00DE5AAF">
        <w:rPr>
          <w:rFonts w:ascii="Arial" w:hAnsi="Arial" w:eastAsia="Calibri" w:cs="Arial"/>
          <w:bCs/>
          <w:sz w:val="22"/>
          <w:lang w:val="es-ES_tradnl"/>
        </w:rPr>
        <w:t xml:space="preserve"> dos falencias que impiden su prosperidad. </w:t>
      </w:r>
      <w:r w:rsidRPr="003741C3" w:rsidR="00DE5AAF">
        <w:rPr>
          <w:rFonts w:ascii="Arial" w:hAnsi="Arial" w:eastAsia="Calibri" w:cs="Arial"/>
          <w:bCs/>
          <w:i/>
          <w:iCs/>
          <w:sz w:val="22"/>
          <w:lang w:val="es-ES_tradnl"/>
        </w:rPr>
        <w:t>Por un lado</w:t>
      </w:r>
      <w:r w:rsidR="00DE5AAF">
        <w:rPr>
          <w:rFonts w:ascii="Arial" w:hAnsi="Arial" w:eastAsia="Calibri" w:cs="Arial"/>
          <w:bCs/>
          <w:sz w:val="22"/>
          <w:lang w:val="es-ES_tradnl"/>
        </w:rPr>
        <w:t xml:space="preserve">, en la referida sentencia la Corte Constitucional </w:t>
      </w:r>
      <w:r>
        <w:rPr>
          <w:rFonts w:ascii="Arial" w:hAnsi="Arial" w:eastAsia="Calibri" w:cs="Arial"/>
          <w:bCs/>
          <w:sz w:val="22"/>
          <w:lang w:val="es-ES_tradnl"/>
        </w:rPr>
        <w:t>no dijo</w:t>
      </w:r>
      <w:r w:rsidR="00DE5AAF">
        <w:rPr>
          <w:rFonts w:ascii="Arial" w:hAnsi="Arial" w:eastAsia="Calibri" w:cs="Arial"/>
          <w:bCs/>
          <w:sz w:val="22"/>
          <w:lang w:val="es-ES_tradnl"/>
        </w:rPr>
        <w:t xml:space="preserve"> que la norma no fue derogada, incluso, al revisar detalladamente su contenido no se encuentra consideración alguna en relación con la vigencia de la </w:t>
      </w:r>
      <w:r w:rsidR="003741C3">
        <w:rPr>
          <w:rFonts w:ascii="Arial" w:hAnsi="Arial" w:eastAsia="Calibri" w:cs="Arial"/>
          <w:bCs/>
          <w:sz w:val="22"/>
          <w:lang w:val="es-ES_tradnl"/>
        </w:rPr>
        <w:t>disposición</w:t>
      </w:r>
      <w:r w:rsidR="00DE5AAF">
        <w:rPr>
          <w:rFonts w:ascii="Arial" w:hAnsi="Arial" w:eastAsia="Calibri" w:cs="Arial"/>
          <w:bCs/>
          <w:sz w:val="22"/>
          <w:lang w:val="es-ES_tradnl"/>
        </w:rPr>
        <w:t>. Valga la pena resaltar que la demanda que se resolvió en esa ocasión tenía como parámetro</w:t>
      </w:r>
      <w:r w:rsidR="002B12B7">
        <w:rPr>
          <w:rFonts w:ascii="Arial" w:hAnsi="Arial" w:eastAsia="Calibri" w:cs="Arial"/>
          <w:bCs/>
          <w:sz w:val="22"/>
          <w:lang w:val="es-ES_tradnl"/>
        </w:rPr>
        <w:t xml:space="preserve"> de comparación</w:t>
      </w:r>
      <w:r w:rsidR="00DE5AAF">
        <w:rPr>
          <w:rFonts w:ascii="Arial" w:hAnsi="Arial" w:eastAsia="Calibri" w:cs="Arial"/>
          <w:bCs/>
          <w:sz w:val="22"/>
          <w:lang w:val="es-ES_tradnl"/>
        </w:rPr>
        <w:t xml:space="preserve"> </w:t>
      </w:r>
      <w:r w:rsidR="002B12B7">
        <w:rPr>
          <w:rFonts w:ascii="Arial" w:hAnsi="Arial" w:eastAsia="Calibri" w:cs="Arial"/>
          <w:bCs/>
          <w:sz w:val="22"/>
          <w:lang w:val="es-ES_tradnl"/>
        </w:rPr>
        <w:t>los requisitos regulados por e</w:t>
      </w:r>
      <w:r w:rsidRPr="002B12B7" w:rsidR="002B12B7">
        <w:rPr>
          <w:rFonts w:ascii="Arial" w:hAnsi="Arial" w:eastAsia="Calibri" w:cs="Arial"/>
          <w:bCs/>
          <w:sz w:val="22"/>
          <w:lang w:val="es-ES_tradnl"/>
        </w:rPr>
        <w:t>l artículo 14 del Decreto 2772 de 2005</w:t>
      </w:r>
      <w:r w:rsidR="002B12B7">
        <w:rPr>
          <w:rFonts w:ascii="Arial" w:hAnsi="Arial" w:eastAsia="Calibri" w:cs="Arial"/>
          <w:bCs/>
          <w:sz w:val="22"/>
          <w:lang w:val="es-ES_tradnl"/>
        </w:rPr>
        <w:t xml:space="preserve"> −no el artículo 229 del Decreto Ley 19 de 2012−</w:t>
      </w:r>
      <w:r w:rsidR="00DE5AAF">
        <w:rPr>
          <w:rFonts w:ascii="Arial" w:hAnsi="Arial" w:eastAsia="Calibri" w:cs="Arial"/>
          <w:bCs/>
          <w:sz w:val="22"/>
          <w:lang w:val="es-ES_tradnl"/>
        </w:rPr>
        <w:t xml:space="preserve">, frente al cual </w:t>
      </w:r>
      <w:r w:rsidR="002B12B7">
        <w:rPr>
          <w:rFonts w:ascii="Arial" w:hAnsi="Arial" w:eastAsia="Calibri" w:cs="Arial"/>
          <w:bCs/>
          <w:sz w:val="22"/>
          <w:lang w:val="es-ES_tradnl"/>
        </w:rPr>
        <w:t>los demandantes</w:t>
      </w:r>
      <w:r w:rsidR="00DE5AAF">
        <w:rPr>
          <w:rFonts w:ascii="Arial" w:hAnsi="Arial" w:eastAsia="Calibri" w:cs="Arial"/>
          <w:bCs/>
          <w:sz w:val="22"/>
          <w:lang w:val="es-ES_tradnl"/>
        </w:rPr>
        <w:t xml:space="preserve"> alegaron violaciones en relación con el derecho a la igualdad y al trabajo, pero nada relacionado con lo que se dice que la Corte </w:t>
      </w:r>
      <w:r w:rsidR="002B12B7">
        <w:rPr>
          <w:rFonts w:ascii="Arial" w:hAnsi="Arial" w:eastAsia="Calibri" w:cs="Arial"/>
          <w:bCs/>
          <w:sz w:val="22"/>
          <w:lang w:val="es-ES_tradnl"/>
        </w:rPr>
        <w:t xml:space="preserve">Constitucional </w:t>
      </w:r>
      <w:r w:rsidR="00DE5AAF">
        <w:rPr>
          <w:rFonts w:ascii="Arial" w:hAnsi="Arial" w:eastAsia="Calibri" w:cs="Arial"/>
          <w:bCs/>
          <w:sz w:val="22"/>
          <w:lang w:val="es-ES_tradnl"/>
        </w:rPr>
        <w:t xml:space="preserve">dijo y, en realidad, no </w:t>
      </w:r>
      <w:r w:rsidR="004E11B8">
        <w:rPr>
          <w:rFonts w:ascii="Arial" w:hAnsi="Arial" w:eastAsia="Calibri" w:cs="Arial"/>
          <w:bCs/>
          <w:sz w:val="22"/>
          <w:lang w:val="es-ES_tradnl"/>
        </w:rPr>
        <w:t>desarrolló</w:t>
      </w:r>
      <w:r w:rsidR="002B12B7">
        <w:rPr>
          <w:rFonts w:ascii="Arial" w:hAnsi="Arial" w:eastAsia="Calibri" w:cs="Arial"/>
          <w:bCs/>
          <w:sz w:val="22"/>
          <w:lang w:val="es-ES_tradnl"/>
        </w:rPr>
        <w:t>: la vigencia de la ley.</w:t>
      </w:r>
      <w:r w:rsidR="004E11B8">
        <w:rPr>
          <w:rFonts w:ascii="Arial" w:hAnsi="Arial" w:eastAsia="Calibri" w:cs="Arial"/>
          <w:bCs/>
          <w:sz w:val="22"/>
          <w:lang w:val="es-ES_tradnl"/>
        </w:rPr>
        <w:t xml:space="preserve"> </w:t>
      </w:r>
      <w:r w:rsidR="00B27674">
        <w:rPr>
          <w:rFonts w:ascii="Arial" w:hAnsi="Arial" w:eastAsia="Calibri" w:cs="Arial"/>
          <w:bCs/>
          <w:sz w:val="22"/>
          <w:lang w:val="es-ES_tradnl"/>
        </w:rPr>
        <w:t>E</w:t>
      </w:r>
      <w:r w:rsidR="00C478FE">
        <w:rPr>
          <w:rFonts w:ascii="Arial" w:hAnsi="Arial" w:eastAsia="Calibri" w:cs="Arial"/>
          <w:bCs/>
          <w:sz w:val="22"/>
          <w:lang w:val="es-ES_tradnl"/>
        </w:rPr>
        <w:t>n efecto, e</w:t>
      </w:r>
      <w:r w:rsidR="00B27674">
        <w:rPr>
          <w:rFonts w:ascii="Arial" w:hAnsi="Arial" w:eastAsia="Calibri" w:cs="Arial"/>
          <w:bCs/>
          <w:sz w:val="22"/>
          <w:lang w:val="es-ES_tradnl"/>
        </w:rPr>
        <w:t>l problema jurídico que se planteó</w:t>
      </w:r>
      <w:r w:rsidR="00C478FE">
        <w:rPr>
          <w:rFonts w:ascii="Arial" w:hAnsi="Arial" w:eastAsia="Calibri" w:cs="Arial"/>
          <w:bCs/>
          <w:sz w:val="22"/>
          <w:lang w:val="es-ES_tradnl"/>
        </w:rPr>
        <w:t xml:space="preserve"> en esa ocasión</w:t>
      </w:r>
      <w:r w:rsidR="00B27674">
        <w:rPr>
          <w:rFonts w:ascii="Arial" w:hAnsi="Arial" w:eastAsia="Calibri" w:cs="Arial"/>
          <w:bCs/>
          <w:sz w:val="22"/>
          <w:lang w:val="es-ES_tradnl"/>
        </w:rPr>
        <w:t xml:space="preserve"> fue el siguiente:</w:t>
      </w:r>
    </w:p>
    <w:p w:rsidR="00B27674" w:rsidP="00B27674" w:rsidRDefault="00B27674" w14:paraId="52E309D0" w14:textId="6AFC4F92">
      <w:pPr>
        <w:tabs>
          <w:tab w:val="left" w:pos="426"/>
        </w:tabs>
        <w:spacing w:before="120" w:line="276" w:lineRule="auto"/>
        <w:jc w:val="both"/>
        <w:rPr>
          <w:rFonts w:ascii="Arial" w:hAnsi="Arial" w:eastAsia="Calibri" w:cs="Arial"/>
          <w:bCs/>
          <w:sz w:val="22"/>
          <w:lang w:val="es-ES_tradnl"/>
        </w:rPr>
      </w:pPr>
    </w:p>
    <w:p w:rsidRPr="00B27674" w:rsidR="00B27674" w:rsidP="00B27674" w:rsidRDefault="00B27674" w14:paraId="07890903" w14:textId="68DC2ECA">
      <w:pPr>
        <w:tabs>
          <w:tab w:val="left" w:pos="426"/>
        </w:tabs>
        <w:ind w:left="709" w:right="709"/>
        <w:jc w:val="both"/>
        <w:rPr>
          <w:rFonts w:ascii="Arial" w:hAnsi="Arial" w:eastAsia="Calibri" w:cs="Arial"/>
          <w:bCs/>
          <w:sz w:val="21"/>
          <w:szCs w:val="21"/>
          <w:lang w:val="es-ES_tradnl"/>
        </w:rPr>
      </w:pPr>
      <w:r w:rsidRPr="00B27674">
        <w:rPr>
          <w:rFonts w:ascii="Arial" w:hAnsi="Arial" w:eastAsia="Calibri" w:cs="Arial"/>
          <w:bCs/>
          <w:sz w:val="21"/>
          <w:szCs w:val="21"/>
          <w:lang w:val="es-ES_tradnl"/>
        </w:rPr>
        <w:t xml:space="preserve">4.1. Los accionantes aducen que el artículo 12 de la Ley 842 de 2003 está dando un trato diferente a los grupos de personas que pretenden acceder a cargos públicos y ejercen la ingeniería, profesiones afines y auxiliares, en tanto la experiencia profesional se empieza a computar a partir de expedición de la matrícula profesional o del certificado de inscripción profesional y no a partir de la terminación de materias, como sí se contabiliza para los demás profesionales que también aspiran a ocupar un cargo público, los cuales se rigen por el Decreto 2772 de 2005. Teniendo en cuenta lo anterior los demandantes señalan que dicha normatividad establece un trato discriminatorio que violaría el artículo 13 de la C.N., principalmente cuando se está en un concurso de méritos en aras de ocupar un cargo público. Lo anterior genera, según los actores, una desventaja para los ingenieros, profesiones afines y auxiliares con relación a los 535 grupos de profesiones que tienen como requisito la inscripción al COPNIA para ejercer su profesión. Esta desventaja que se configura en el momento de ser evaluada la experiencia profesional cuando se está en un concurso de méritos ya que todas las demás profesiones se rigen conforme al artículo 14 del Decreto 2772 de 2005, tomando como fechas de inicio la experiencia </w:t>
      </w:r>
      <w:r w:rsidRPr="00B27674">
        <w:rPr>
          <w:rFonts w:ascii="Arial" w:hAnsi="Arial" w:eastAsia="Calibri" w:cs="Arial"/>
          <w:bCs/>
          <w:sz w:val="21"/>
          <w:szCs w:val="21"/>
          <w:lang w:val="es-ES_tradnl"/>
        </w:rPr>
        <w:lastRenderedPageBreak/>
        <w:t xml:space="preserve">profesional, la terminación de materias y no conforme al artículo 12 de la Ley 842 de 2003 que establece que la experiencia profesional para el ejercicio de la ingeniería o de alguna de sus profesiones afines o auxiliares se computa a partir de la fecha de expedición de </w:t>
      </w:r>
      <w:r w:rsidR="00615CEA">
        <w:rPr>
          <w:rFonts w:ascii="Arial" w:hAnsi="Arial" w:eastAsia="Calibri" w:cs="Arial"/>
          <w:bCs/>
          <w:sz w:val="21"/>
          <w:szCs w:val="21"/>
          <w:lang w:val="es-ES_tradnl"/>
        </w:rPr>
        <w:t>«</w:t>
      </w:r>
      <w:r w:rsidRPr="00B27674">
        <w:rPr>
          <w:rFonts w:ascii="Arial" w:hAnsi="Arial" w:eastAsia="Calibri" w:cs="Arial"/>
          <w:bCs/>
          <w:sz w:val="21"/>
          <w:szCs w:val="21"/>
          <w:lang w:val="es-ES_tradnl"/>
        </w:rPr>
        <w:t>(…)la matrícula profesional o del certificado de inscripción profesional respectivamente (…)</w:t>
      </w:r>
      <w:r w:rsidR="00615CEA">
        <w:rPr>
          <w:rFonts w:ascii="Arial" w:hAnsi="Arial" w:eastAsia="Calibri" w:cs="Arial"/>
          <w:bCs/>
          <w:sz w:val="21"/>
          <w:szCs w:val="21"/>
          <w:lang w:val="es-ES_tradnl"/>
        </w:rPr>
        <w:t>»</w:t>
      </w:r>
      <w:r w:rsidRPr="00B27674">
        <w:rPr>
          <w:rFonts w:ascii="Arial" w:hAnsi="Arial" w:eastAsia="Calibri" w:cs="Arial"/>
          <w:bCs/>
          <w:sz w:val="21"/>
          <w:szCs w:val="21"/>
          <w:lang w:val="es-ES_tradnl"/>
        </w:rPr>
        <w:t>.</w:t>
      </w:r>
    </w:p>
    <w:p w:rsidRPr="00B27674" w:rsidR="00B27674" w:rsidP="00B27674" w:rsidRDefault="00B27674" w14:paraId="486565FD" w14:textId="77777777">
      <w:pPr>
        <w:tabs>
          <w:tab w:val="left" w:pos="426"/>
        </w:tabs>
        <w:ind w:left="709" w:right="709"/>
        <w:jc w:val="both"/>
        <w:rPr>
          <w:rFonts w:ascii="Arial" w:hAnsi="Arial" w:eastAsia="Calibri" w:cs="Arial"/>
          <w:bCs/>
          <w:sz w:val="21"/>
          <w:szCs w:val="21"/>
          <w:lang w:val="es-ES_tradnl"/>
        </w:rPr>
      </w:pPr>
    </w:p>
    <w:p w:rsidRPr="00B27674" w:rsidR="00B27674" w:rsidP="00B27674" w:rsidRDefault="00B27674" w14:paraId="75067280" w14:textId="7EF8FE85">
      <w:pPr>
        <w:tabs>
          <w:tab w:val="left" w:pos="426"/>
        </w:tabs>
        <w:ind w:left="709" w:right="709"/>
        <w:jc w:val="both"/>
        <w:rPr>
          <w:rFonts w:ascii="Arial" w:hAnsi="Arial" w:eastAsia="Calibri" w:cs="Arial"/>
          <w:bCs/>
          <w:sz w:val="21"/>
          <w:szCs w:val="21"/>
          <w:lang w:val="es-ES_tradnl"/>
        </w:rPr>
      </w:pPr>
      <w:r w:rsidRPr="00B27674">
        <w:rPr>
          <w:rFonts w:ascii="Arial" w:hAnsi="Arial" w:eastAsia="Calibri" w:cs="Arial"/>
          <w:bCs/>
          <w:sz w:val="21"/>
          <w:szCs w:val="21"/>
          <w:lang w:val="es-ES_tradnl"/>
        </w:rPr>
        <w:t xml:space="preserve">4.2. Por </w:t>
      </w:r>
      <w:proofErr w:type="gramStart"/>
      <w:r w:rsidRPr="00B27674">
        <w:rPr>
          <w:rFonts w:ascii="Arial" w:hAnsi="Arial" w:eastAsia="Calibri" w:cs="Arial"/>
          <w:bCs/>
          <w:sz w:val="21"/>
          <w:szCs w:val="21"/>
          <w:lang w:val="es-ES_tradnl"/>
        </w:rPr>
        <w:t>tanto</w:t>
      </w:r>
      <w:r w:rsidR="002B12B7">
        <w:rPr>
          <w:rFonts w:ascii="Arial" w:hAnsi="Arial" w:eastAsia="Calibri" w:cs="Arial"/>
          <w:bCs/>
          <w:sz w:val="21"/>
          <w:szCs w:val="21"/>
          <w:lang w:val="es-ES_tradnl"/>
        </w:rPr>
        <w:t>[</w:t>
      </w:r>
      <w:proofErr w:type="gramEnd"/>
      <w:r w:rsidR="002B12B7">
        <w:rPr>
          <w:rFonts w:ascii="Arial" w:hAnsi="Arial" w:eastAsia="Calibri" w:cs="Arial"/>
          <w:bCs/>
          <w:sz w:val="21"/>
          <w:szCs w:val="21"/>
          <w:lang w:val="es-ES_tradnl"/>
        </w:rPr>
        <w:t>,]</w:t>
      </w:r>
      <w:r w:rsidRPr="00B27674">
        <w:rPr>
          <w:rFonts w:ascii="Arial" w:hAnsi="Arial" w:eastAsia="Calibri" w:cs="Arial"/>
          <w:bCs/>
          <w:sz w:val="21"/>
          <w:szCs w:val="21"/>
          <w:lang w:val="es-ES_tradnl"/>
        </w:rPr>
        <w:t xml:space="preserve"> le corresponde a la Corte resolver el problema jurídico que consiste en determinar si el artículo 12 de la Ley 842 de 2003 que establece desde qué momento se empieza a contabilizar la experiencia profesional para ingenieros, y demás profesiones afines y auxiliares vulnera los artículos 13 sobre el derecho a la igualdad y el artículo 25 sobre el derecho al trabajo, al establecer mayores requisitos no justificados y proporcionales que para las demás profesiones y oficios. </w:t>
      </w:r>
    </w:p>
    <w:p w:rsidRPr="00B27674" w:rsidR="00B27674" w:rsidP="00B27674" w:rsidRDefault="00B27674" w14:paraId="01D21D45" w14:textId="65F1AF4A">
      <w:pPr>
        <w:tabs>
          <w:tab w:val="left" w:pos="426"/>
        </w:tabs>
        <w:ind w:left="709" w:right="709"/>
        <w:jc w:val="both"/>
        <w:rPr>
          <w:rFonts w:ascii="Arial" w:hAnsi="Arial" w:eastAsia="Calibri" w:cs="Arial"/>
          <w:bCs/>
          <w:sz w:val="21"/>
          <w:szCs w:val="21"/>
          <w:lang w:val="es-ES_tradnl"/>
        </w:rPr>
      </w:pPr>
    </w:p>
    <w:p w:rsidRPr="00B27674" w:rsidR="00B27674" w:rsidP="00B27674" w:rsidRDefault="00B27674" w14:paraId="6C857A2A" w14:textId="3697CADA">
      <w:pPr>
        <w:tabs>
          <w:tab w:val="left" w:pos="426"/>
        </w:tabs>
        <w:ind w:left="709" w:right="709"/>
        <w:jc w:val="both"/>
        <w:rPr>
          <w:rFonts w:ascii="Arial" w:hAnsi="Arial" w:eastAsia="Calibri" w:cs="Arial"/>
          <w:bCs/>
          <w:sz w:val="21"/>
          <w:szCs w:val="21"/>
          <w:lang w:val="es-ES_tradnl"/>
        </w:rPr>
      </w:pPr>
      <w:r w:rsidRPr="00B27674">
        <w:rPr>
          <w:rFonts w:ascii="Arial" w:hAnsi="Arial" w:eastAsia="Calibri" w:cs="Arial"/>
          <w:bCs/>
          <w:sz w:val="21"/>
          <w:szCs w:val="21"/>
          <w:lang w:val="es-ES_tradnl"/>
        </w:rPr>
        <w:t>4.3. Para los efectos de resolver el problema jurídico planteado, la Corte analizará en primer lugar (i) lo relacionado con la potestad legislativa para la regulación de los requisitos de idoneidad de las profesiones de acuerdo con lo dispuesto en el artículo 26 de la Constitución Política y en la jurisprudencia constitucional. En segundo término (ii) estudiará la Corte la normatividad que se ha dado sobre el cómputo de la experiencia laboral en materia de ingeniería, profesiones afines y auxiliares. En este mismo numeral se analizarán los antecedentes legislativos de la Ley 842 de 2003, para verificar las motivaciones que estableció el legislador en la aprobación del artículo demandado. En tercer término (iii) se estudiará si en el caso concreto existe una vulneración del artículo 13 y del artículo 25 de la Constitución por parte de la norma demandada, utilizando para dicho estudio lo que se ha venido analizando en los puntos (i) y (ii) de esta providencia y empleando el test de igualdad implementado por la Corte en casos similares.</w:t>
      </w:r>
    </w:p>
    <w:p w:rsidR="00B27674" w:rsidP="00C54360" w:rsidRDefault="00B27674" w14:paraId="11B76E29" w14:textId="4509D0C5">
      <w:pPr>
        <w:tabs>
          <w:tab w:val="left" w:pos="426"/>
        </w:tabs>
        <w:spacing w:line="276" w:lineRule="auto"/>
        <w:jc w:val="both"/>
        <w:rPr>
          <w:rFonts w:ascii="Arial" w:hAnsi="Arial" w:eastAsia="Calibri" w:cs="Arial"/>
          <w:bCs/>
          <w:sz w:val="22"/>
          <w:lang w:val="es-ES_tradnl"/>
        </w:rPr>
      </w:pPr>
    </w:p>
    <w:p w:rsidR="00B27674" w:rsidP="00C54360" w:rsidRDefault="00F557ED" w14:paraId="045AC6C4" w14:textId="03BAD951">
      <w:pPr>
        <w:tabs>
          <w:tab w:val="left" w:pos="426"/>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sidR="003E2412">
        <w:rPr>
          <w:rFonts w:ascii="Arial" w:hAnsi="Arial" w:eastAsia="Calibri" w:cs="Arial"/>
          <w:bCs/>
          <w:sz w:val="22"/>
          <w:lang w:val="es-ES_tradnl"/>
        </w:rPr>
        <w:tab/>
      </w:r>
      <w:r w:rsidR="00B27674">
        <w:rPr>
          <w:rFonts w:ascii="Arial" w:hAnsi="Arial" w:eastAsia="Calibri" w:cs="Arial"/>
          <w:bCs/>
          <w:sz w:val="22"/>
          <w:lang w:val="es-ES_tradnl"/>
        </w:rPr>
        <w:t>Nótese que en el planteamiento del problema jurídico o en los considerandos a desarrollar, nada se dijo sobre la vigencia de la norma.</w:t>
      </w:r>
      <w:r w:rsidR="002C7FF6">
        <w:rPr>
          <w:rFonts w:ascii="Arial" w:hAnsi="Arial" w:eastAsia="Calibri" w:cs="Arial"/>
          <w:bCs/>
          <w:sz w:val="22"/>
          <w:lang w:val="es-ES_tradnl"/>
        </w:rPr>
        <w:t xml:space="preserve"> Incluso, en la «cuestión previa» de la sentencia tampoco se desarrolló tal temática.</w:t>
      </w:r>
    </w:p>
    <w:p w:rsidR="00B27674" w:rsidP="002C7FF6" w:rsidRDefault="00DE5AAF" w14:paraId="3A31A3B3" w14:textId="356D20DE">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3741C3">
        <w:rPr>
          <w:rFonts w:ascii="Arial" w:hAnsi="Arial" w:eastAsia="Calibri" w:cs="Arial"/>
          <w:bCs/>
          <w:i/>
          <w:iCs/>
          <w:sz w:val="22"/>
          <w:lang w:val="es-ES_tradnl"/>
        </w:rPr>
        <w:t xml:space="preserve">Por </w:t>
      </w:r>
      <w:r w:rsidR="002C7FF6">
        <w:rPr>
          <w:rFonts w:ascii="Arial" w:hAnsi="Arial" w:eastAsia="Calibri" w:cs="Arial"/>
          <w:bCs/>
          <w:i/>
          <w:iCs/>
          <w:sz w:val="22"/>
          <w:lang w:val="es-ES_tradnl"/>
        </w:rPr>
        <w:t>otro lado</w:t>
      </w:r>
      <w:r>
        <w:rPr>
          <w:rFonts w:ascii="Arial" w:hAnsi="Arial" w:eastAsia="Calibri" w:cs="Arial"/>
          <w:bCs/>
          <w:sz w:val="22"/>
          <w:lang w:val="es-ES_tradnl"/>
        </w:rPr>
        <w:t xml:space="preserve">, </w:t>
      </w:r>
      <w:r w:rsidR="00B27674">
        <w:rPr>
          <w:rFonts w:ascii="Arial" w:hAnsi="Arial" w:eastAsia="Calibri" w:cs="Arial"/>
          <w:bCs/>
          <w:sz w:val="22"/>
          <w:lang w:val="es-ES_tradnl"/>
        </w:rPr>
        <w:t xml:space="preserve">se </w:t>
      </w:r>
      <w:r>
        <w:rPr>
          <w:rFonts w:ascii="Arial" w:hAnsi="Arial" w:eastAsia="Calibri" w:cs="Arial"/>
          <w:bCs/>
          <w:sz w:val="22"/>
          <w:lang w:val="es-ES_tradnl"/>
        </w:rPr>
        <w:t>advierte que el argumento parte de una premisa errónea</w:t>
      </w:r>
      <w:r w:rsidR="00B27674">
        <w:rPr>
          <w:rFonts w:ascii="Arial" w:hAnsi="Arial" w:eastAsia="Calibri" w:cs="Arial"/>
          <w:bCs/>
          <w:sz w:val="22"/>
          <w:lang w:val="es-ES_tradnl"/>
        </w:rPr>
        <w:t>, esto es,</w:t>
      </w:r>
      <w:r>
        <w:rPr>
          <w:rFonts w:ascii="Arial" w:hAnsi="Arial" w:eastAsia="Calibri" w:cs="Arial"/>
          <w:bCs/>
          <w:sz w:val="22"/>
          <w:lang w:val="es-ES_tradnl"/>
        </w:rPr>
        <w:t xml:space="preserve"> que la declaratoria de exequibilidad de una norma impide que la misma sea derogada por otra norma posterior, bien sea de forma expresa o de forma táctica. </w:t>
      </w:r>
      <w:r w:rsidR="00B27674">
        <w:rPr>
          <w:rFonts w:ascii="Arial" w:hAnsi="Arial" w:eastAsia="Calibri" w:cs="Arial"/>
          <w:bCs/>
          <w:sz w:val="22"/>
          <w:lang w:val="es-ES_tradnl"/>
        </w:rPr>
        <w:t>A nuestro juicio</w:t>
      </w:r>
      <w:r>
        <w:rPr>
          <w:rFonts w:ascii="Arial" w:hAnsi="Arial" w:eastAsia="Calibri" w:cs="Arial"/>
          <w:bCs/>
          <w:sz w:val="22"/>
          <w:lang w:val="es-ES_tradnl"/>
        </w:rPr>
        <w:t>, no es posible suponer que</w:t>
      </w:r>
      <w:r w:rsidR="00B27674">
        <w:rPr>
          <w:rFonts w:ascii="Arial" w:hAnsi="Arial" w:eastAsia="Calibri" w:cs="Arial"/>
          <w:bCs/>
          <w:sz w:val="22"/>
          <w:lang w:val="es-ES_tradnl"/>
        </w:rPr>
        <w:t xml:space="preserve"> la constitucionalidad de una norma impid</w:t>
      </w:r>
      <w:r w:rsidR="00F557ED">
        <w:rPr>
          <w:rFonts w:ascii="Arial" w:hAnsi="Arial" w:eastAsia="Calibri" w:cs="Arial"/>
          <w:bCs/>
          <w:sz w:val="22"/>
          <w:lang w:val="es-ES_tradnl"/>
        </w:rPr>
        <w:t>a</w:t>
      </w:r>
      <w:r w:rsidR="00B27674">
        <w:rPr>
          <w:rFonts w:ascii="Arial" w:hAnsi="Arial" w:eastAsia="Calibri" w:cs="Arial"/>
          <w:bCs/>
          <w:sz w:val="22"/>
          <w:lang w:val="es-ES_tradnl"/>
        </w:rPr>
        <w:t xml:space="preserve"> considerar que la misma ha sido derogada</w:t>
      </w:r>
      <w:r>
        <w:rPr>
          <w:rFonts w:ascii="Arial" w:hAnsi="Arial" w:eastAsia="Calibri" w:cs="Arial"/>
          <w:bCs/>
          <w:sz w:val="22"/>
          <w:lang w:val="es-ES_tradnl"/>
        </w:rPr>
        <w:t>, pues</w:t>
      </w:r>
      <w:r w:rsidR="00B27674">
        <w:rPr>
          <w:rFonts w:ascii="Arial" w:hAnsi="Arial" w:eastAsia="Calibri" w:cs="Arial"/>
          <w:bCs/>
          <w:sz w:val="22"/>
          <w:lang w:val="es-ES_tradnl"/>
        </w:rPr>
        <w:t xml:space="preserve"> se trata de asuntos diferentes</w:t>
      </w:r>
      <w:r w:rsidR="00F557ED">
        <w:rPr>
          <w:rFonts w:ascii="Arial" w:hAnsi="Arial" w:eastAsia="Calibri" w:cs="Arial"/>
          <w:bCs/>
          <w:sz w:val="22"/>
          <w:lang w:val="es-ES_tradnl"/>
        </w:rPr>
        <w:t>:</w:t>
      </w:r>
      <w:r w:rsidR="00B27674">
        <w:rPr>
          <w:rFonts w:ascii="Arial" w:hAnsi="Arial" w:eastAsia="Calibri" w:cs="Arial"/>
          <w:bCs/>
          <w:sz w:val="22"/>
          <w:lang w:val="es-ES_tradnl"/>
        </w:rPr>
        <w:t xml:space="preserve"> lo primero tiene que ver con la compatibilidad de la norma con la </w:t>
      </w:r>
      <w:r w:rsidR="007D089B">
        <w:rPr>
          <w:rFonts w:ascii="Arial" w:hAnsi="Arial" w:eastAsia="Calibri" w:cs="Arial"/>
          <w:bCs/>
          <w:sz w:val="22"/>
          <w:lang w:val="es-ES_tradnl"/>
        </w:rPr>
        <w:t xml:space="preserve">Constitución </w:t>
      </w:r>
      <w:r w:rsidR="00B27674">
        <w:rPr>
          <w:rFonts w:ascii="Arial" w:hAnsi="Arial" w:eastAsia="Calibri" w:cs="Arial"/>
          <w:bCs/>
          <w:sz w:val="22"/>
          <w:lang w:val="es-ES_tradnl"/>
        </w:rPr>
        <w:t xml:space="preserve">Política y lo segundo, en cambio, con la voluntad del legislador de derogar una norma vigente, bien porque lo haga de forma expresa o bien porque lo haga de forma tácita. Surgen, en ese contexto, las siguientes preguntas: ¿el fallo de exequibilidad impide que el legislador derogue la norma? O ¿de la declaratoria de constitucionalidad de una </w:t>
      </w:r>
      <w:r w:rsidR="00C73A35">
        <w:rPr>
          <w:rFonts w:ascii="Arial" w:hAnsi="Arial" w:eastAsia="Calibri" w:cs="Arial"/>
          <w:bCs/>
          <w:sz w:val="22"/>
          <w:lang w:val="es-ES_tradnl"/>
        </w:rPr>
        <w:t>disposición legal</w:t>
      </w:r>
      <w:r w:rsidR="00B27674">
        <w:rPr>
          <w:rFonts w:ascii="Arial" w:hAnsi="Arial" w:eastAsia="Calibri" w:cs="Arial"/>
          <w:bCs/>
          <w:sz w:val="22"/>
          <w:lang w:val="es-ES_tradnl"/>
        </w:rPr>
        <w:t xml:space="preserve"> se sigue que la misma no ha sido derogada? </w:t>
      </w:r>
    </w:p>
    <w:p w:rsidR="00DE5AAF" w:rsidP="00B27674" w:rsidRDefault="00B27674" w14:paraId="77243B5F" w14:textId="7D84ED6E">
      <w:pPr>
        <w:tabs>
          <w:tab w:val="left" w:pos="426"/>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lastRenderedPageBreak/>
        <w:tab/>
      </w:r>
      <w:r w:rsidR="00F557ED">
        <w:rPr>
          <w:rFonts w:ascii="Arial" w:hAnsi="Arial" w:eastAsia="Calibri" w:cs="Arial"/>
          <w:bCs/>
          <w:sz w:val="22"/>
          <w:lang w:val="es-ES_tradnl"/>
        </w:rPr>
        <w:tab/>
      </w:r>
      <w:r w:rsidR="00F557ED">
        <w:rPr>
          <w:rFonts w:ascii="Arial" w:hAnsi="Arial" w:eastAsia="Calibri" w:cs="Arial"/>
          <w:bCs/>
          <w:sz w:val="22"/>
          <w:lang w:val="es-ES_tradnl"/>
        </w:rPr>
        <w:t>Consideramos</w:t>
      </w:r>
      <w:r>
        <w:rPr>
          <w:rFonts w:ascii="Arial" w:hAnsi="Arial" w:eastAsia="Calibri" w:cs="Arial"/>
          <w:bCs/>
          <w:sz w:val="22"/>
          <w:lang w:val="es-ES_tradnl"/>
        </w:rPr>
        <w:t xml:space="preserve"> que la</w:t>
      </w:r>
      <w:r w:rsidR="007D089B">
        <w:rPr>
          <w:rFonts w:ascii="Arial" w:hAnsi="Arial" w:eastAsia="Calibri" w:cs="Arial"/>
          <w:bCs/>
          <w:sz w:val="22"/>
          <w:lang w:val="es-ES_tradnl"/>
        </w:rPr>
        <w:t>s</w:t>
      </w:r>
      <w:r>
        <w:rPr>
          <w:rFonts w:ascii="Arial" w:hAnsi="Arial" w:eastAsia="Calibri" w:cs="Arial"/>
          <w:bCs/>
          <w:sz w:val="22"/>
          <w:lang w:val="es-ES_tradnl"/>
        </w:rPr>
        <w:t xml:space="preserve"> respuesta</w:t>
      </w:r>
      <w:r w:rsidR="007D089B">
        <w:rPr>
          <w:rFonts w:ascii="Arial" w:hAnsi="Arial" w:eastAsia="Calibri" w:cs="Arial"/>
          <w:bCs/>
          <w:sz w:val="22"/>
          <w:lang w:val="es-ES_tradnl"/>
        </w:rPr>
        <w:t>s</w:t>
      </w:r>
      <w:r>
        <w:rPr>
          <w:rFonts w:ascii="Arial" w:hAnsi="Arial" w:eastAsia="Calibri" w:cs="Arial"/>
          <w:bCs/>
          <w:sz w:val="22"/>
          <w:lang w:val="es-ES_tradnl"/>
        </w:rPr>
        <w:t xml:space="preserve"> a estas preguntas </w:t>
      </w:r>
      <w:r w:rsidR="007D089B">
        <w:rPr>
          <w:rFonts w:ascii="Arial" w:hAnsi="Arial" w:eastAsia="Calibri" w:cs="Arial"/>
          <w:bCs/>
          <w:sz w:val="22"/>
          <w:lang w:val="es-ES_tradnl"/>
        </w:rPr>
        <w:t xml:space="preserve">son </w:t>
      </w:r>
      <w:r>
        <w:rPr>
          <w:rFonts w:ascii="Arial" w:hAnsi="Arial" w:eastAsia="Calibri" w:cs="Arial"/>
          <w:bCs/>
          <w:sz w:val="22"/>
          <w:lang w:val="es-ES_tradnl"/>
        </w:rPr>
        <w:t>negativa</w:t>
      </w:r>
      <w:r w:rsidR="007D089B">
        <w:rPr>
          <w:rFonts w:ascii="Arial" w:hAnsi="Arial" w:eastAsia="Calibri" w:cs="Arial"/>
          <w:bCs/>
          <w:sz w:val="22"/>
          <w:lang w:val="es-ES_tradnl"/>
        </w:rPr>
        <w:t>s</w:t>
      </w:r>
      <w:r>
        <w:rPr>
          <w:rFonts w:ascii="Arial" w:hAnsi="Arial" w:eastAsia="Calibri" w:cs="Arial"/>
          <w:bCs/>
          <w:sz w:val="22"/>
          <w:lang w:val="es-ES_tradnl"/>
        </w:rPr>
        <w:t>. L</w:t>
      </w:r>
      <w:r w:rsidR="00DE5AAF">
        <w:rPr>
          <w:rFonts w:ascii="Arial" w:hAnsi="Arial" w:eastAsia="Calibri" w:cs="Arial"/>
          <w:bCs/>
          <w:sz w:val="22"/>
          <w:lang w:val="es-ES_tradnl"/>
        </w:rPr>
        <w:t>o que una sentencia de constitucionalidad impide es que la norma vuelva a ser demandada en relación con los mismos cargos y frente al mismo parámetro de constitucionalidad</w:t>
      </w:r>
      <w:r w:rsidR="0025433E">
        <w:rPr>
          <w:rFonts w:ascii="Arial" w:hAnsi="Arial" w:eastAsia="Calibri" w:cs="Arial"/>
          <w:bCs/>
          <w:sz w:val="22"/>
          <w:lang w:val="es-ES_tradnl"/>
        </w:rPr>
        <w:t>, por supuesto, siempre que la misma esté vigente o, en su defecto, produciendo efectos jurídicos</w:t>
      </w:r>
      <w:r w:rsidR="00DE5AAF">
        <w:rPr>
          <w:rFonts w:ascii="Arial" w:hAnsi="Arial" w:eastAsia="Calibri" w:cs="Arial"/>
          <w:bCs/>
          <w:sz w:val="22"/>
          <w:lang w:val="es-ES_tradnl"/>
        </w:rPr>
        <w:t xml:space="preserve">. </w:t>
      </w:r>
      <w:r w:rsidR="007D089B">
        <w:rPr>
          <w:rFonts w:ascii="Arial" w:hAnsi="Arial" w:eastAsia="Calibri" w:cs="Arial"/>
          <w:bCs/>
          <w:sz w:val="22"/>
          <w:lang w:val="es-ES_tradnl"/>
        </w:rPr>
        <w:t>La jurisprudencia denomina «cosa juzgada aparente o relativa» a este fenómeno</w:t>
      </w:r>
      <w:r w:rsidR="00DE5AAF">
        <w:rPr>
          <w:rFonts w:ascii="Arial" w:hAnsi="Arial" w:eastAsia="Calibri" w:cs="Arial"/>
          <w:bCs/>
          <w:sz w:val="22"/>
          <w:lang w:val="es-ES_tradnl"/>
        </w:rPr>
        <w:t xml:space="preserve">. Sin embargo, de un fallo de </w:t>
      </w:r>
      <w:r>
        <w:rPr>
          <w:rFonts w:ascii="Arial" w:hAnsi="Arial" w:eastAsia="Calibri" w:cs="Arial"/>
          <w:bCs/>
          <w:sz w:val="22"/>
          <w:lang w:val="es-ES_tradnl"/>
        </w:rPr>
        <w:t>exequibilidad</w:t>
      </w:r>
      <w:r w:rsidR="00DE5AAF">
        <w:rPr>
          <w:rFonts w:ascii="Arial" w:hAnsi="Arial" w:eastAsia="Calibri" w:cs="Arial"/>
          <w:bCs/>
          <w:sz w:val="22"/>
          <w:lang w:val="es-ES_tradnl"/>
        </w:rPr>
        <w:t xml:space="preserve"> no se </w:t>
      </w:r>
      <w:r w:rsidR="007D089B">
        <w:rPr>
          <w:rFonts w:ascii="Arial" w:hAnsi="Arial" w:eastAsia="Calibri" w:cs="Arial"/>
          <w:bCs/>
          <w:sz w:val="22"/>
          <w:lang w:val="es-ES_tradnl"/>
        </w:rPr>
        <w:t xml:space="preserve">desprende </w:t>
      </w:r>
      <w:r w:rsidR="00DE5AAF">
        <w:rPr>
          <w:rFonts w:ascii="Arial" w:hAnsi="Arial" w:eastAsia="Calibri" w:cs="Arial"/>
          <w:bCs/>
          <w:sz w:val="22"/>
          <w:lang w:val="es-ES_tradnl"/>
        </w:rPr>
        <w:t xml:space="preserve">que la </w:t>
      </w:r>
      <w:r w:rsidR="002B12B7">
        <w:rPr>
          <w:rFonts w:ascii="Arial" w:hAnsi="Arial" w:eastAsia="Calibri" w:cs="Arial"/>
          <w:bCs/>
          <w:sz w:val="22"/>
          <w:lang w:val="es-ES_tradnl"/>
        </w:rPr>
        <w:t xml:space="preserve">norma no pueda ser derogada posteriormente, así como tampoco se deriva que la autoridad que argumenta tal </w:t>
      </w:r>
      <w:r w:rsidR="002B3AE9">
        <w:rPr>
          <w:rFonts w:ascii="Arial" w:hAnsi="Arial" w:eastAsia="Calibri" w:cs="Arial"/>
          <w:bCs/>
          <w:sz w:val="22"/>
          <w:lang w:val="es-ES_tradnl"/>
        </w:rPr>
        <w:t>derogatoria</w:t>
      </w:r>
      <w:r w:rsidR="002B12B7">
        <w:rPr>
          <w:rFonts w:ascii="Arial" w:hAnsi="Arial" w:eastAsia="Calibri" w:cs="Arial"/>
          <w:bCs/>
          <w:sz w:val="22"/>
          <w:lang w:val="es-ES_tradnl"/>
        </w:rPr>
        <w:t xml:space="preserve"> esté desconociendo los efectos de la sentencia de constitucionalidad</w:t>
      </w:r>
      <w:r w:rsidR="00081943">
        <w:rPr>
          <w:rFonts w:ascii="Arial" w:hAnsi="Arial" w:eastAsia="Calibri" w:cs="Arial"/>
          <w:bCs/>
          <w:sz w:val="22"/>
          <w:lang w:val="es-ES_tradnl"/>
        </w:rPr>
        <w:t>, pues, se i</w:t>
      </w:r>
      <w:r w:rsidR="002B3AE9">
        <w:rPr>
          <w:rFonts w:ascii="Arial" w:hAnsi="Arial" w:eastAsia="Calibri" w:cs="Arial"/>
          <w:bCs/>
          <w:sz w:val="22"/>
          <w:lang w:val="es-ES_tradnl"/>
        </w:rPr>
        <w:t>ns</w:t>
      </w:r>
      <w:r w:rsidR="00C31C2A">
        <w:rPr>
          <w:rFonts w:ascii="Arial" w:hAnsi="Arial" w:eastAsia="Calibri" w:cs="Arial"/>
          <w:bCs/>
          <w:sz w:val="22"/>
          <w:lang w:val="es-ES_tradnl"/>
        </w:rPr>
        <w:t>is</w:t>
      </w:r>
      <w:r w:rsidR="002B3AE9">
        <w:rPr>
          <w:rFonts w:ascii="Arial" w:hAnsi="Arial" w:eastAsia="Calibri" w:cs="Arial"/>
          <w:bCs/>
          <w:sz w:val="22"/>
          <w:lang w:val="es-ES_tradnl"/>
        </w:rPr>
        <w:t>te</w:t>
      </w:r>
      <w:r w:rsidR="00081943">
        <w:rPr>
          <w:rFonts w:ascii="Arial" w:hAnsi="Arial" w:eastAsia="Calibri" w:cs="Arial"/>
          <w:bCs/>
          <w:sz w:val="22"/>
          <w:lang w:val="es-ES_tradnl"/>
        </w:rPr>
        <w:t xml:space="preserve">, se trata de dos aspectos de la norma que no tienen nada que ver </w:t>
      </w:r>
      <w:r w:rsidR="007D089B">
        <w:rPr>
          <w:rFonts w:ascii="Arial" w:hAnsi="Arial" w:eastAsia="Calibri" w:cs="Arial"/>
          <w:bCs/>
          <w:sz w:val="22"/>
          <w:lang w:val="es-ES_tradnl"/>
        </w:rPr>
        <w:t>entre sí</w:t>
      </w:r>
      <w:r w:rsidR="002B12B7">
        <w:rPr>
          <w:rFonts w:ascii="Arial" w:hAnsi="Arial" w:eastAsia="Calibri" w:cs="Arial"/>
          <w:bCs/>
          <w:sz w:val="22"/>
          <w:lang w:val="es-ES_tradnl"/>
        </w:rPr>
        <w:t>.</w:t>
      </w:r>
    </w:p>
    <w:p w:rsidRPr="00DE5AAF" w:rsidR="00DE5AAF" w:rsidP="00C31C2A" w:rsidRDefault="002B12B7" w14:paraId="63D15FD3" w14:textId="3B2370EA">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DE5AAF">
        <w:rPr>
          <w:rFonts w:ascii="Arial" w:hAnsi="Arial" w:eastAsia="Calibri" w:cs="Arial"/>
          <w:bCs/>
          <w:sz w:val="22"/>
          <w:lang w:val="es-ES_tradnl"/>
        </w:rPr>
        <w:t xml:space="preserve">Aceptar </w:t>
      </w:r>
      <w:r w:rsidR="00C31C2A">
        <w:rPr>
          <w:rFonts w:ascii="Arial" w:hAnsi="Arial" w:eastAsia="Calibri" w:cs="Arial"/>
          <w:bCs/>
          <w:sz w:val="22"/>
          <w:lang w:val="es-ES_tradnl"/>
        </w:rPr>
        <w:t>el argumento propuesto implicaría asumir que todas las derogatorias posteriores de la norma desconoc</w:t>
      </w:r>
      <w:r w:rsidR="00F557ED">
        <w:rPr>
          <w:rFonts w:ascii="Arial" w:hAnsi="Arial" w:eastAsia="Calibri" w:cs="Arial"/>
          <w:bCs/>
          <w:sz w:val="22"/>
          <w:lang w:val="es-ES_tradnl"/>
        </w:rPr>
        <w:t>erían</w:t>
      </w:r>
      <w:r w:rsidR="00C31C2A">
        <w:rPr>
          <w:rFonts w:ascii="Arial" w:hAnsi="Arial" w:eastAsia="Calibri" w:cs="Arial"/>
          <w:bCs/>
          <w:sz w:val="22"/>
          <w:lang w:val="es-ES_tradnl"/>
        </w:rPr>
        <w:t xml:space="preserve"> los efectos de la sentencia de constitucionalidad, lo cual, a todas luces, resulta infundado, desproporcionado e irra</w:t>
      </w:r>
      <w:r w:rsidR="00A568E2">
        <w:rPr>
          <w:rFonts w:ascii="Arial" w:hAnsi="Arial" w:eastAsia="Calibri" w:cs="Arial"/>
          <w:bCs/>
          <w:sz w:val="22"/>
          <w:lang w:val="es-ES_tradnl"/>
        </w:rPr>
        <w:t>zonable</w:t>
      </w:r>
      <w:r w:rsidR="00C31C2A">
        <w:rPr>
          <w:rFonts w:ascii="Arial" w:hAnsi="Arial" w:eastAsia="Calibri" w:cs="Arial"/>
          <w:bCs/>
          <w:sz w:val="22"/>
          <w:lang w:val="es-ES_tradnl"/>
        </w:rPr>
        <w:t>.</w:t>
      </w:r>
    </w:p>
    <w:p w:rsidR="00984DF2" w:rsidP="00D1707F" w:rsidRDefault="00C31C2A" w14:paraId="01163467" w14:textId="05F2461F">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984DF2">
        <w:rPr>
          <w:rFonts w:ascii="Arial" w:hAnsi="Arial" w:eastAsia="Calibri" w:cs="Arial"/>
          <w:bCs/>
          <w:sz w:val="22"/>
          <w:lang w:val="es-ES_tradnl"/>
        </w:rPr>
        <w:t xml:space="preserve">En ese sentido, al afirmar que el artículo 12 de la Ley 842 de 2003 fue derogado tácitamente, no se están desconociendo los efectos de la sentencia C-296 de 2012. Tampoco creemos que dicho fallo respalde la interpretación que expone el </w:t>
      </w:r>
      <w:r w:rsidR="00020866">
        <w:rPr>
          <w:rFonts w:ascii="Arial" w:hAnsi="Arial" w:eastAsia="Calibri" w:cs="Arial"/>
          <w:sz w:val="22"/>
          <w:lang w:val="es-ES_tradnl"/>
        </w:rPr>
        <w:t>CPNIEM</w:t>
      </w:r>
      <w:r w:rsidR="00984DF2">
        <w:rPr>
          <w:rFonts w:ascii="Arial" w:hAnsi="Arial" w:eastAsia="Calibri" w:cs="Arial"/>
          <w:bCs/>
          <w:sz w:val="22"/>
          <w:lang w:val="es-ES_tradnl"/>
        </w:rPr>
        <w:t xml:space="preserve">, al menos no de forma expresa, pues, como se dijo antes, allí nada se </w:t>
      </w:r>
      <w:r w:rsidR="00F557ED">
        <w:rPr>
          <w:rFonts w:ascii="Arial" w:hAnsi="Arial" w:eastAsia="Calibri" w:cs="Arial"/>
          <w:bCs/>
          <w:sz w:val="22"/>
          <w:lang w:val="es-ES_tradnl"/>
        </w:rPr>
        <w:t xml:space="preserve">señaló </w:t>
      </w:r>
      <w:r w:rsidR="00984DF2">
        <w:rPr>
          <w:rFonts w:ascii="Arial" w:hAnsi="Arial" w:eastAsia="Calibri" w:cs="Arial"/>
          <w:bCs/>
          <w:sz w:val="22"/>
          <w:lang w:val="es-ES_tradnl"/>
        </w:rPr>
        <w:t xml:space="preserve">sobre la derogatoria de dicha norma, es más no se </w:t>
      </w:r>
      <w:r w:rsidR="00F557ED">
        <w:rPr>
          <w:rFonts w:ascii="Arial" w:hAnsi="Arial" w:eastAsia="Calibri" w:cs="Arial"/>
          <w:bCs/>
          <w:sz w:val="22"/>
          <w:lang w:val="es-ES_tradnl"/>
        </w:rPr>
        <w:t xml:space="preserve">expresó </w:t>
      </w:r>
      <w:r w:rsidR="00984DF2">
        <w:rPr>
          <w:rFonts w:ascii="Arial" w:hAnsi="Arial" w:eastAsia="Calibri" w:cs="Arial"/>
          <w:bCs/>
          <w:sz w:val="22"/>
          <w:lang w:val="es-ES_tradnl"/>
        </w:rPr>
        <w:t xml:space="preserve">nada en relación con el artículo 229 del Decreto Ley 19 de 2012 y, por obvias razones, tampoco </w:t>
      </w:r>
      <w:r w:rsidR="00810D3E">
        <w:rPr>
          <w:rFonts w:ascii="Arial" w:hAnsi="Arial" w:eastAsia="Calibri" w:cs="Arial"/>
          <w:bCs/>
          <w:sz w:val="22"/>
          <w:lang w:val="es-ES_tradnl"/>
        </w:rPr>
        <w:t xml:space="preserve">frete al </w:t>
      </w:r>
      <w:r w:rsidR="00984DF2">
        <w:rPr>
          <w:rFonts w:ascii="Arial" w:hAnsi="Arial" w:eastAsia="Calibri" w:cs="Arial"/>
          <w:bCs/>
          <w:sz w:val="22"/>
          <w:lang w:val="es-ES_tradnl"/>
        </w:rPr>
        <w:t>artículo 192 de la Ley 1955 de 2019</w:t>
      </w:r>
      <w:r>
        <w:rPr>
          <w:rFonts w:ascii="Arial" w:hAnsi="Arial" w:eastAsia="Calibri" w:cs="Arial"/>
          <w:bCs/>
          <w:sz w:val="22"/>
          <w:lang w:val="es-ES_tradnl"/>
        </w:rPr>
        <w:t xml:space="preserve">. Incluso, nada se </w:t>
      </w:r>
      <w:r w:rsidR="00F557ED">
        <w:rPr>
          <w:rFonts w:ascii="Arial" w:hAnsi="Arial" w:eastAsia="Calibri" w:cs="Arial"/>
          <w:bCs/>
          <w:sz w:val="22"/>
          <w:lang w:val="es-ES_tradnl"/>
        </w:rPr>
        <w:t xml:space="preserve">indicó </w:t>
      </w:r>
      <w:r>
        <w:rPr>
          <w:rFonts w:ascii="Arial" w:hAnsi="Arial" w:eastAsia="Calibri" w:cs="Arial"/>
          <w:bCs/>
          <w:sz w:val="22"/>
          <w:lang w:val="es-ES_tradnl"/>
        </w:rPr>
        <w:t xml:space="preserve">sobre el carácter especial de la norma y su incidencia en relación con </w:t>
      </w:r>
      <w:r w:rsidR="00D538A7">
        <w:rPr>
          <w:rFonts w:ascii="Arial" w:hAnsi="Arial" w:eastAsia="Calibri" w:cs="Arial"/>
          <w:bCs/>
          <w:sz w:val="22"/>
          <w:lang w:val="es-ES_tradnl"/>
        </w:rPr>
        <w:t xml:space="preserve">la vigencia de </w:t>
      </w:r>
      <w:r>
        <w:rPr>
          <w:rFonts w:ascii="Arial" w:hAnsi="Arial" w:eastAsia="Calibri" w:cs="Arial"/>
          <w:bCs/>
          <w:sz w:val="22"/>
          <w:lang w:val="es-ES_tradnl"/>
        </w:rPr>
        <w:t xml:space="preserve">otras </w:t>
      </w:r>
      <w:r w:rsidR="00F557ED">
        <w:rPr>
          <w:rFonts w:ascii="Arial" w:hAnsi="Arial" w:eastAsia="Calibri" w:cs="Arial"/>
          <w:bCs/>
          <w:sz w:val="22"/>
          <w:lang w:val="es-ES_tradnl"/>
        </w:rPr>
        <w:t xml:space="preserve">disposiciones </w:t>
      </w:r>
      <w:r>
        <w:rPr>
          <w:rFonts w:ascii="Arial" w:hAnsi="Arial" w:eastAsia="Calibri" w:cs="Arial"/>
          <w:bCs/>
          <w:sz w:val="22"/>
          <w:lang w:val="es-ES_tradnl"/>
        </w:rPr>
        <w:t xml:space="preserve">que regulan aspectos similares, pues la </w:t>
      </w:r>
      <w:r>
        <w:rPr>
          <w:rFonts w:ascii="Arial" w:hAnsi="Arial" w:eastAsia="Calibri" w:cs="Arial"/>
          <w:bCs/>
          <w:i/>
          <w:iCs/>
          <w:sz w:val="22"/>
          <w:lang w:val="es-ES_tradnl"/>
        </w:rPr>
        <w:t xml:space="preserve">ratio </w:t>
      </w:r>
      <w:proofErr w:type="spellStart"/>
      <w:r>
        <w:rPr>
          <w:rFonts w:ascii="Arial" w:hAnsi="Arial" w:eastAsia="Calibri" w:cs="Arial"/>
          <w:bCs/>
          <w:i/>
          <w:iCs/>
          <w:sz w:val="22"/>
          <w:lang w:val="es-ES_tradnl"/>
        </w:rPr>
        <w:t>decidendi</w:t>
      </w:r>
      <w:proofErr w:type="spellEnd"/>
      <w:r>
        <w:rPr>
          <w:rFonts w:ascii="Arial" w:hAnsi="Arial" w:eastAsia="Calibri" w:cs="Arial"/>
          <w:bCs/>
          <w:i/>
          <w:iCs/>
          <w:sz w:val="22"/>
          <w:lang w:val="es-ES_tradnl"/>
        </w:rPr>
        <w:t xml:space="preserve"> </w:t>
      </w:r>
      <w:r>
        <w:rPr>
          <w:rFonts w:ascii="Arial" w:hAnsi="Arial" w:eastAsia="Calibri" w:cs="Arial"/>
          <w:bCs/>
          <w:sz w:val="22"/>
          <w:lang w:val="es-ES_tradnl"/>
        </w:rPr>
        <w:t>del fallo es que el trato diferente a ciertas profesiones persigue un fin constitucionalmente válido</w:t>
      </w:r>
      <w:r>
        <w:rPr>
          <w:rStyle w:val="Refdenotaalpie"/>
          <w:rFonts w:ascii="Arial" w:hAnsi="Arial" w:eastAsia="Calibri" w:cs="Arial"/>
          <w:bCs/>
          <w:sz w:val="22"/>
          <w:lang w:val="es-ES_tradnl"/>
        </w:rPr>
        <w:footnoteReference w:id="9"/>
      </w:r>
      <w:r w:rsidR="00D538A7">
        <w:rPr>
          <w:rFonts w:ascii="Arial" w:hAnsi="Arial" w:eastAsia="Calibri" w:cs="Arial"/>
          <w:bCs/>
          <w:sz w:val="22"/>
          <w:lang w:val="es-ES_tradnl"/>
        </w:rPr>
        <w:t>, conclusión que esta entidad considera apropiado y pertinente</w:t>
      </w:r>
      <w:r w:rsidR="00F00D9C">
        <w:rPr>
          <w:rFonts w:ascii="Arial" w:hAnsi="Arial" w:eastAsia="Calibri" w:cs="Arial"/>
          <w:bCs/>
          <w:sz w:val="22"/>
          <w:lang w:val="es-ES_tradnl"/>
        </w:rPr>
        <w:t>, pero que no considera relacionad</w:t>
      </w:r>
      <w:r w:rsidR="00102135">
        <w:rPr>
          <w:rFonts w:ascii="Arial" w:hAnsi="Arial" w:eastAsia="Calibri" w:cs="Arial"/>
          <w:bCs/>
          <w:sz w:val="22"/>
          <w:lang w:val="es-ES_tradnl"/>
        </w:rPr>
        <w:t>a</w:t>
      </w:r>
      <w:r w:rsidR="00F00D9C">
        <w:rPr>
          <w:rFonts w:ascii="Arial" w:hAnsi="Arial" w:eastAsia="Calibri" w:cs="Arial"/>
          <w:bCs/>
          <w:sz w:val="22"/>
          <w:lang w:val="es-ES_tradnl"/>
        </w:rPr>
        <w:t xml:space="preserve"> con la tesis que expone y defiende</w:t>
      </w:r>
      <w:r w:rsidR="009F50DC">
        <w:rPr>
          <w:rFonts w:ascii="Arial" w:hAnsi="Arial" w:eastAsia="Calibri" w:cs="Arial"/>
          <w:bCs/>
          <w:sz w:val="22"/>
          <w:lang w:val="es-ES_tradnl"/>
        </w:rPr>
        <w:t xml:space="preserve"> la </w:t>
      </w:r>
      <w:r w:rsidR="00F00D9C">
        <w:rPr>
          <w:rFonts w:ascii="Arial" w:hAnsi="Arial" w:eastAsia="Calibri" w:cs="Arial"/>
          <w:bCs/>
          <w:sz w:val="22"/>
          <w:lang w:val="es-ES_tradnl"/>
        </w:rPr>
        <w:t>solicitante</w:t>
      </w:r>
      <w:r w:rsidR="00984DF2">
        <w:rPr>
          <w:rFonts w:ascii="Arial" w:hAnsi="Arial" w:eastAsia="Calibri" w:cs="Arial"/>
          <w:bCs/>
          <w:sz w:val="22"/>
          <w:lang w:val="es-ES_tradnl"/>
        </w:rPr>
        <w:t>.</w:t>
      </w:r>
    </w:p>
    <w:p w:rsidR="00020866" w:rsidP="00020866" w:rsidRDefault="00020866" w14:paraId="310C7EBD" w14:textId="77777777">
      <w:pPr>
        <w:tabs>
          <w:tab w:val="left" w:pos="709"/>
        </w:tabs>
        <w:jc w:val="both"/>
        <w:rPr>
          <w:rFonts w:ascii="Arial" w:hAnsi="Arial" w:eastAsia="Calibri" w:cs="Arial"/>
          <w:b/>
          <w:sz w:val="22"/>
          <w:lang w:val="es-ES_tradnl"/>
        </w:rPr>
      </w:pPr>
    </w:p>
    <w:p w:rsidRPr="00020866" w:rsidR="00020866" w:rsidP="00020866" w:rsidRDefault="00020866" w14:paraId="39498766" w14:textId="5FDB9386">
      <w:pPr>
        <w:tabs>
          <w:tab w:val="left" w:pos="426"/>
        </w:tabs>
        <w:jc w:val="both"/>
        <w:rPr>
          <w:rFonts w:ascii="Arial" w:hAnsi="Arial" w:eastAsia="Calibri" w:cs="Arial"/>
          <w:b/>
          <w:sz w:val="22"/>
          <w:lang w:val="es-ES_tradnl"/>
        </w:rPr>
      </w:pPr>
      <w:r w:rsidRPr="00020866">
        <w:rPr>
          <w:rFonts w:ascii="Arial" w:hAnsi="Arial" w:eastAsia="Calibri" w:cs="Arial"/>
          <w:b/>
          <w:sz w:val="22"/>
          <w:lang w:val="es-ES_tradnl"/>
        </w:rPr>
        <w:t>2.</w:t>
      </w:r>
      <w:r w:rsidR="000B3D11">
        <w:rPr>
          <w:rFonts w:ascii="Arial" w:hAnsi="Arial" w:eastAsia="Calibri" w:cs="Arial"/>
          <w:b/>
          <w:sz w:val="22"/>
          <w:lang w:val="es-ES_tradnl"/>
        </w:rPr>
        <w:t>2</w:t>
      </w:r>
      <w:r w:rsidRPr="00020866">
        <w:rPr>
          <w:rFonts w:ascii="Arial" w:hAnsi="Arial" w:eastAsia="Calibri" w:cs="Arial"/>
          <w:b/>
          <w:sz w:val="22"/>
          <w:lang w:val="es-ES_tradnl"/>
        </w:rPr>
        <w:t>.</w:t>
      </w:r>
      <w:r w:rsidR="001517E9">
        <w:rPr>
          <w:rFonts w:ascii="Arial" w:hAnsi="Arial" w:eastAsia="Calibri" w:cs="Arial"/>
          <w:b/>
          <w:sz w:val="22"/>
          <w:lang w:val="es-ES_tradnl"/>
        </w:rPr>
        <w:t>2</w:t>
      </w:r>
      <w:r w:rsidRPr="00020866">
        <w:rPr>
          <w:rFonts w:ascii="Arial" w:hAnsi="Arial" w:eastAsia="Calibri" w:cs="Arial"/>
          <w:b/>
          <w:sz w:val="22"/>
          <w:lang w:val="es-ES_tradnl"/>
        </w:rPr>
        <w:t>. Argumento relacionado con el precedente de</w:t>
      </w:r>
      <w:r w:rsidR="001517E9">
        <w:rPr>
          <w:rFonts w:ascii="Arial" w:hAnsi="Arial" w:eastAsia="Calibri" w:cs="Arial"/>
          <w:b/>
          <w:sz w:val="22"/>
          <w:lang w:val="es-ES_tradnl"/>
        </w:rPr>
        <w:t>l Consejo de Estado</w:t>
      </w:r>
    </w:p>
    <w:p w:rsidR="00020866" w:rsidP="00020866" w:rsidRDefault="00020866" w14:paraId="51330409" w14:textId="77777777">
      <w:pPr>
        <w:tabs>
          <w:tab w:val="left" w:pos="709"/>
        </w:tabs>
        <w:jc w:val="both"/>
        <w:rPr>
          <w:rFonts w:ascii="Arial" w:hAnsi="Arial" w:eastAsia="Calibri" w:cs="Arial"/>
          <w:b/>
          <w:sz w:val="22"/>
          <w:lang w:val="es-ES_tradnl"/>
        </w:rPr>
      </w:pPr>
    </w:p>
    <w:p w:rsidRPr="000B0255" w:rsidR="00027C19" w:rsidP="008815AB" w:rsidRDefault="000F1F6F" w14:paraId="67CAFC74" w14:textId="2FB3C247">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lastRenderedPageBreak/>
        <w:t xml:space="preserve">El </w:t>
      </w:r>
      <w:r w:rsidR="00020866">
        <w:rPr>
          <w:rFonts w:ascii="Arial" w:hAnsi="Arial" w:eastAsia="Calibri" w:cs="Arial"/>
          <w:sz w:val="22"/>
          <w:lang w:val="es-ES_tradnl"/>
        </w:rPr>
        <w:t>CPNIEM</w:t>
      </w:r>
      <w:r>
        <w:rPr>
          <w:rFonts w:ascii="Arial" w:hAnsi="Arial" w:eastAsia="Calibri" w:cs="Arial"/>
          <w:bCs/>
          <w:sz w:val="22"/>
          <w:lang w:val="es-ES_tradnl"/>
        </w:rPr>
        <w:t xml:space="preserve"> asegura que la jurisprudencia del Consejo de Estado también respalda su tesis, parti</w:t>
      </w:r>
      <w:r w:rsidR="00020866">
        <w:rPr>
          <w:rFonts w:ascii="Arial" w:hAnsi="Arial" w:eastAsia="Calibri" w:cs="Arial"/>
          <w:bCs/>
          <w:sz w:val="22"/>
          <w:lang w:val="es-ES_tradnl"/>
        </w:rPr>
        <w:t>c</w:t>
      </w:r>
      <w:r>
        <w:rPr>
          <w:rFonts w:ascii="Arial" w:hAnsi="Arial" w:eastAsia="Calibri" w:cs="Arial"/>
          <w:bCs/>
          <w:sz w:val="22"/>
          <w:lang w:val="es-ES_tradnl"/>
        </w:rPr>
        <w:t>ularmente</w:t>
      </w:r>
      <w:r w:rsidR="00020866">
        <w:rPr>
          <w:rFonts w:ascii="Arial" w:hAnsi="Arial" w:eastAsia="Calibri" w:cs="Arial"/>
          <w:bCs/>
          <w:sz w:val="22"/>
          <w:lang w:val="es-ES_tradnl"/>
        </w:rPr>
        <w:t>. Por un lado, cita e</w:t>
      </w:r>
      <w:r w:rsidR="00CF4C87">
        <w:rPr>
          <w:rFonts w:ascii="Arial" w:hAnsi="Arial" w:eastAsia="Calibri" w:cs="Arial"/>
          <w:bCs/>
          <w:sz w:val="22"/>
          <w:lang w:val="es-ES_tradnl"/>
        </w:rPr>
        <w:t xml:space="preserve">l concepto del </w:t>
      </w:r>
      <w:r w:rsidR="00020866">
        <w:rPr>
          <w:rFonts w:ascii="Arial" w:hAnsi="Arial" w:eastAsia="Calibri" w:cs="Arial"/>
          <w:bCs/>
          <w:sz w:val="22"/>
          <w:lang w:val="es-ES_tradnl"/>
        </w:rPr>
        <w:t>17 de julio de 2008</w:t>
      </w:r>
      <w:r w:rsidR="00CF4C87">
        <w:rPr>
          <w:rStyle w:val="Refdenotaalpie"/>
          <w:rFonts w:ascii="Arial" w:hAnsi="Arial" w:eastAsia="Calibri" w:cs="Arial"/>
          <w:bCs/>
          <w:sz w:val="22"/>
          <w:lang w:val="es-ES_tradnl"/>
        </w:rPr>
        <w:footnoteReference w:id="10"/>
      </w:r>
      <w:r>
        <w:rPr>
          <w:rFonts w:ascii="Arial" w:hAnsi="Arial" w:eastAsia="Calibri" w:cs="Arial"/>
          <w:bCs/>
          <w:sz w:val="22"/>
          <w:lang w:val="es-ES_tradnl"/>
        </w:rPr>
        <w:t>,</w:t>
      </w:r>
      <w:r w:rsidR="009E221A">
        <w:rPr>
          <w:rFonts w:ascii="Arial" w:hAnsi="Arial" w:eastAsia="Calibri" w:cs="Arial"/>
          <w:bCs/>
          <w:sz w:val="22"/>
          <w:lang w:val="es-ES_tradnl"/>
        </w:rPr>
        <w:t xml:space="preserve"> en donde </w:t>
      </w:r>
      <w:r w:rsidR="00CF4C87">
        <w:rPr>
          <w:rFonts w:ascii="Arial" w:hAnsi="Arial" w:eastAsia="Calibri" w:cs="Arial"/>
          <w:bCs/>
          <w:sz w:val="22"/>
          <w:lang w:val="es-ES_tradnl"/>
        </w:rPr>
        <w:t xml:space="preserve">la Sala de Consulta y Servicio Civil </w:t>
      </w:r>
      <w:r w:rsidR="00020866">
        <w:rPr>
          <w:rFonts w:ascii="Arial" w:hAnsi="Arial" w:eastAsia="Calibri" w:cs="Arial"/>
          <w:bCs/>
          <w:sz w:val="22"/>
          <w:lang w:val="es-ES_tradnl"/>
        </w:rPr>
        <w:t>consideró que «[…] a</w:t>
      </w:r>
      <w:r w:rsidRPr="00020866" w:rsidR="00020866">
        <w:rPr>
          <w:rFonts w:ascii="Arial" w:hAnsi="Arial" w:eastAsia="Calibri" w:cs="Arial"/>
          <w:bCs/>
          <w:sz w:val="22"/>
          <w:lang w:val="es-ES_tradnl"/>
        </w:rPr>
        <w:t xml:space="preserve"> partir de la vigencia de la Ley 842 de 2003, para el ejercicio de empleos públicos en ingeniería, sus profesiones afines y de sus profesiones auxiliares, solo se contabilizará como experiencia profesional, la obtenida después del otorgamiento de la matrícula profesional o del certificado de inscripción profesional</w:t>
      </w:r>
      <w:r w:rsidR="00020866">
        <w:rPr>
          <w:rFonts w:ascii="Arial" w:hAnsi="Arial" w:eastAsia="Calibri" w:cs="Arial"/>
          <w:bCs/>
          <w:sz w:val="22"/>
          <w:lang w:val="es-ES_tradnl"/>
        </w:rPr>
        <w:t>».</w:t>
      </w:r>
      <w:r w:rsidR="000B0255">
        <w:rPr>
          <w:rFonts w:ascii="Arial" w:hAnsi="Arial" w:eastAsia="Calibri" w:cs="Arial"/>
          <w:bCs/>
          <w:sz w:val="22"/>
          <w:lang w:val="es-ES_tradnl"/>
        </w:rPr>
        <w:t xml:space="preserve"> </w:t>
      </w:r>
      <w:r w:rsidR="00020866">
        <w:rPr>
          <w:rFonts w:ascii="Arial" w:hAnsi="Arial" w:eastAsia="Calibri" w:cs="Arial"/>
          <w:bCs/>
          <w:sz w:val="22"/>
          <w:lang w:val="es-ES_tradnl"/>
        </w:rPr>
        <w:t xml:space="preserve">Por el otro, pone de presente que la Sección Primera de dicha Corporación, en auto del </w:t>
      </w:r>
      <w:r w:rsidR="00ED7FAE">
        <w:rPr>
          <w:rFonts w:ascii="Arial" w:hAnsi="Arial" w:eastAsia="Calibri" w:cs="Arial"/>
          <w:bCs/>
          <w:sz w:val="22"/>
          <w:lang w:val="es-ES_tradnl"/>
        </w:rPr>
        <w:t>2 de octubre de 2017</w:t>
      </w:r>
      <w:r w:rsidR="00ED7FAE">
        <w:rPr>
          <w:rStyle w:val="Refdenotaalpie"/>
          <w:rFonts w:ascii="Arial" w:hAnsi="Arial" w:eastAsia="Calibri" w:cs="Arial"/>
          <w:bCs/>
          <w:sz w:val="22"/>
          <w:lang w:val="es-ES_tradnl"/>
        </w:rPr>
        <w:footnoteReference w:id="11"/>
      </w:r>
      <w:r w:rsidR="00ED7FAE">
        <w:rPr>
          <w:rStyle w:val="Refdenotaalpie"/>
          <w:rFonts w:ascii="Arial" w:hAnsi="Arial" w:eastAsia="Calibri" w:cs="Arial"/>
          <w:bCs/>
          <w:sz w:val="22"/>
          <w:lang w:val="es-ES_tradnl"/>
        </w:rPr>
        <w:footnoteReference w:id="12"/>
      </w:r>
      <w:r w:rsidR="00020866">
        <w:rPr>
          <w:rFonts w:ascii="Arial" w:hAnsi="Arial" w:eastAsia="Calibri" w:cs="Arial"/>
          <w:bCs/>
          <w:sz w:val="22"/>
          <w:lang w:val="es-ES_tradnl"/>
        </w:rPr>
        <w:t>, manifestó</w:t>
      </w:r>
      <w:r w:rsidR="000B0255">
        <w:rPr>
          <w:rFonts w:ascii="Arial" w:hAnsi="Arial" w:eastAsia="Calibri" w:cs="Arial"/>
          <w:bCs/>
          <w:sz w:val="22"/>
          <w:lang w:val="es-ES_tradnl"/>
        </w:rPr>
        <w:t xml:space="preserve"> en relación con la norma objeto de la controversia,</w:t>
      </w:r>
      <w:r w:rsidR="00020866">
        <w:rPr>
          <w:rFonts w:ascii="Arial" w:hAnsi="Arial" w:eastAsia="Calibri" w:cs="Arial"/>
          <w:bCs/>
          <w:sz w:val="22"/>
          <w:lang w:val="es-ES_tradnl"/>
        </w:rPr>
        <w:t xml:space="preserve"> que </w:t>
      </w:r>
      <w:r w:rsidR="000B0255">
        <w:rPr>
          <w:rFonts w:ascii="Arial" w:hAnsi="Arial" w:eastAsia="Calibri" w:cs="Arial"/>
          <w:bCs/>
          <w:sz w:val="22"/>
          <w:lang w:val="es-ES_tradnl"/>
        </w:rPr>
        <w:t xml:space="preserve">«[…] </w:t>
      </w:r>
      <w:r w:rsidRPr="000B0255" w:rsidR="000B0255">
        <w:rPr>
          <w:rFonts w:ascii="Arial" w:hAnsi="Arial" w:eastAsia="Calibri" w:cs="Arial"/>
          <w:bCs/>
          <w:sz w:val="22"/>
          <w:lang w:val="es-ES_tradnl"/>
        </w:rPr>
        <w:t>se trata de una norma especial, por lo que, en principio, no aparecen razones suficientes para considerar que el Decreto proferido con posterioridad la haya derogado</w:t>
      </w:r>
      <w:r w:rsidR="000B0255">
        <w:rPr>
          <w:rFonts w:ascii="Arial" w:hAnsi="Arial" w:eastAsia="Calibri" w:cs="Arial"/>
          <w:bCs/>
          <w:sz w:val="22"/>
          <w:lang w:val="es-ES_tradnl"/>
        </w:rPr>
        <w:t>»</w:t>
      </w:r>
      <w:r w:rsidR="009E221A">
        <w:rPr>
          <w:rFonts w:ascii="Arial" w:hAnsi="Arial" w:eastAsia="Calibri" w:cs="Arial"/>
          <w:bCs/>
          <w:sz w:val="22"/>
          <w:lang w:val="es-ES_tradnl"/>
        </w:rPr>
        <w:t>.</w:t>
      </w:r>
      <w:r>
        <w:rPr>
          <w:rFonts w:ascii="Arial" w:hAnsi="Arial" w:eastAsia="Calibri" w:cs="Arial"/>
          <w:bCs/>
          <w:sz w:val="22"/>
          <w:lang w:val="es-ES_tradnl"/>
        </w:rPr>
        <w:t xml:space="preserve"> </w:t>
      </w:r>
    </w:p>
    <w:p w:rsidR="006C3AA8" w:rsidP="00555664" w:rsidRDefault="009E221A" w14:paraId="16242BC9" w14:textId="67E243C2">
      <w:pPr>
        <w:tabs>
          <w:tab w:val="left" w:pos="709"/>
        </w:tabs>
        <w:spacing w:before="120" w:line="276" w:lineRule="auto"/>
        <w:jc w:val="both"/>
        <w:rPr>
          <w:rFonts w:ascii="Arial" w:hAnsi="Arial" w:eastAsia="Calibri" w:cs="Arial"/>
          <w:b/>
          <w:sz w:val="22"/>
          <w:lang w:val="es-ES_tradnl"/>
        </w:rPr>
      </w:pPr>
      <w:r>
        <w:rPr>
          <w:rFonts w:ascii="Arial" w:hAnsi="Arial" w:eastAsia="Calibri" w:cs="Arial"/>
          <w:bCs/>
          <w:sz w:val="22"/>
          <w:lang w:val="es-ES_tradnl"/>
        </w:rPr>
        <w:tab/>
      </w:r>
      <w:r w:rsidR="00555664">
        <w:rPr>
          <w:rFonts w:ascii="Arial" w:hAnsi="Arial" w:eastAsia="Calibri" w:cs="Arial"/>
          <w:bCs/>
          <w:sz w:val="22"/>
          <w:lang w:val="es-ES_tradnl"/>
        </w:rPr>
        <w:t xml:space="preserve">Respecto de lo </w:t>
      </w:r>
      <w:r w:rsidR="00555664">
        <w:rPr>
          <w:rFonts w:ascii="Arial" w:hAnsi="Arial" w:eastAsia="Calibri" w:cs="Arial"/>
          <w:bCs/>
          <w:i/>
          <w:iCs/>
          <w:sz w:val="22"/>
          <w:lang w:val="es-ES_tradnl"/>
        </w:rPr>
        <w:t>primero</w:t>
      </w:r>
      <w:r>
        <w:rPr>
          <w:rFonts w:ascii="Arial" w:hAnsi="Arial" w:eastAsia="Calibri" w:cs="Arial"/>
          <w:bCs/>
          <w:sz w:val="22"/>
          <w:lang w:val="es-ES_tradnl"/>
        </w:rPr>
        <w:t>, b</w:t>
      </w:r>
      <w:r w:rsidRPr="008B2D49" w:rsidR="008B2D49">
        <w:rPr>
          <w:rFonts w:ascii="Arial" w:hAnsi="Arial" w:eastAsia="Calibri" w:cs="Arial"/>
          <w:bCs/>
          <w:sz w:val="22"/>
          <w:lang w:val="es-ES_tradnl"/>
        </w:rPr>
        <w:t>asta con decir que</w:t>
      </w:r>
      <w:r w:rsidR="008A1ADF">
        <w:rPr>
          <w:rFonts w:ascii="Arial" w:hAnsi="Arial" w:eastAsia="Calibri" w:cs="Arial"/>
          <w:bCs/>
          <w:sz w:val="22"/>
          <w:lang w:val="es-ES_tradnl"/>
        </w:rPr>
        <w:t xml:space="preserve"> el mencionado concepto no resulta ser un referente para los efectos </w:t>
      </w:r>
      <w:r w:rsidR="00B97746">
        <w:rPr>
          <w:rFonts w:ascii="Arial" w:hAnsi="Arial" w:eastAsia="Calibri" w:cs="Arial"/>
          <w:bCs/>
          <w:sz w:val="22"/>
          <w:lang w:val="es-ES_tradnl"/>
        </w:rPr>
        <w:t>d</w:t>
      </w:r>
      <w:r w:rsidR="008A1ADF">
        <w:rPr>
          <w:rFonts w:ascii="Arial" w:hAnsi="Arial" w:eastAsia="Calibri" w:cs="Arial"/>
          <w:bCs/>
          <w:sz w:val="22"/>
          <w:lang w:val="es-ES_tradnl"/>
        </w:rPr>
        <w:t xml:space="preserve">el caso concreto, </w:t>
      </w:r>
      <w:r w:rsidR="00555664">
        <w:rPr>
          <w:rFonts w:ascii="Arial" w:hAnsi="Arial" w:eastAsia="Calibri" w:cs="Arial"/>
          <w:bCs/>
          <w:sz w:val="22"/>
          <w:lang w:val="es-ES_tradnl"/>
        </w:rPr>
        <w:t>en el entendido que fue proferido en el año 2008, esto es, cuatro años</w:t>
      </w:r>
      <w:r w:rsidR="00481ADC">
        <w:rPr>
          <w:rFonts w:ascii="Arial" w:hAnsi="Arial" w:eastAsia="Calibri" w:cs="Arial"/>
          <w:bCs/>
          <w:sz w:val="22"/>
          <w:lang w:val="es-ES_tradnl"/>
        </w:rPr>
        <w:t xml:space="preserve"> antes</w:t>
      </w:r>
      <w:r w:rsidR="00555664">
        <w:rPr>
          <w:rFonts w:ascii="Arial" w:hAnsi="Arial" w:eastAsia="Calibri" w:cs="Arial"/>
          <w:bCs/>
          <w:sz w:val="22"/>
          <w:lang w:val="es-ES_tradnl"/>
        </w:rPr>
        <w:t xml:space="preserve"> de que se expidiera la norma </w:t>
      </w:r>
      <w:r w:rsidR="00D60E22">
        <w:rPr>
          <w:rFonts w:ascii="Arial" w:hAnsi="Arial" w:eastAsia="Calibri" w:cs="Arial"/>
          <w:bCs/>
          <w:sz w:val="22"/>
          <w:lang w:val="es-ES_tradnl"/>
        </w:rPr>
        <w:t>que derogó</w:t>
      </w:r>
      <w:r w:rsidR="00555664">
        <w:rPr>
          <w:rFonts w:ascii="Arial" w:hAnsi="Arial" w:eastAsia="Calibri" w:cs="Arial"/>
          <w:bCs/>
          <w:sz w:val="22"/>
          <w:lang w:val="es-ES_tradnl"/>
        </w:rPr>
        <w:t xml:space="preserve"> tácita</w:t>
      </w:r>
      <w:r w:rsidR="00D60E22">
        <w:rPr>
          <w:rFonts w:ascii="Arial" w:hAnsi="Arial" w:eastAsia="Calibri" w:cs="Arial"/>
          <w:bCs/>
          <w:sz w:val="22"/>
          <w:lang w:val="es-ES_tradnl"/>
        </w:rPr>
        <w:t>mente</w:t>
      </w:r>
      <w:r w:rsidR="00555664">
        <w:rPr>
          <w:rFonts w:ascii="Arial" w:hAnsi="Arial" w:eastAsia="Calibri" w:cs="Arial"/>
          <w:bCs/>
          <w:sz w:val="22"/>
          <w:lang w:val="es-ES_tradnl"/>
        </w:rPr>
        <w:t xml:space="preserve"> el artículo 12 de la Ley 842 del año 2003.</w:t>
      </w:r>
    </w:p>
    <w:p w:rsidR="00F25909" w:rsidP="00555664" w:rsidRDefault="009E221A" w14:paraId="4B2C9305" w14:textId="5EE36305">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Por lo demás, n</w:t>
      </w:r>
      <w:r w:rsidR="00204F24">
        <w:rPr>
          <w:rFonts w:ascii="Arial" w:hAnsi="Arial" w:eastAsia="Calibri" w:cs="Arial"/>
          <w:bCs/>
          <w:sz w:val="22"/>
          <w:lang w:val="es-ES_tradnl"/>
        </w:rPr>
        <w:t xml:space="preserve">o consideramos necesario </w:t>
      </w:r>
      <w:r w:rsidR="00493D05">
        <w:rPr>
          <w:rFonts w:ascii="Arial" w:hAnsi="Arial" w:eastAsia="Calibri" w:cs="Arial"/>
          <w:bCs/>
          <w:sz w:val="22"/>
          <w:lang w:val="es-ES_tradnl"/>
        </w:rPr>
        <w:t xml:space="preserve">reiterar las ideas desarrolladas en </w:t>
      </w:r>
      <w:r w:rsidR="00204F24">
        <w:rPr>
          <w:rFonts w:ascii="Arial" w:hAnsi="Arial" w:eastAsia="Calibri" w:cs="Arial"/>
          <w:bCs/>
          <w:sz w:val="22"/>
          <w:lang w:val="es-ES_tradnl"/>
        </w:rPr>
        <w:t>los conceptos cuya revocatoria solicita</w:t>
      </w:r>
      <w:r w:rsidR="009F50DC">
        <w:rPr>
          <w:rFonts w:ascii="Arial" w:hAnsi="Arial" w:eastAsia="Calibri" w:cs="Arial"/>
          <w:bCs/>
          <w:sz w:val="22"/>
          <w:lang w:val="es-ES_tradnl"/>
        </w:rPr>
        <w:t xml:space="preserve"> la </w:t>
      </w:r>
      <w:r w:rsidR="00204F24">
        <w:rPr>
          <w:rFonts w:ascii="Arial" w:hAnsi="Arial" w:eastAsia="Calibri" w:cs="Arial"/>
          <w:bCs/>
          <w:sz w:val="22"/>
          <w:lang w:val="es-ES_tradnl"/>
        </w:rPr>
        <w:t>peticionari</w:t>
      </w:r>
      <w:r w:rsidR="009F50DC">
        <w:rPr>
          <w:rFonts w:ascii="Arial" w:hAnsi="Arial" w:eastAsia="Calibri" w:cs="Arial"/>
          <w:bCs/>
          <w:sz w:val="22"/>
          <w:lang w:val="es-ES_tradnl"/>
        </w:rPr>
        <w:t>a</w:t>
      </w:r>
      <w:r w:rsidR="00204F24">
        <w:rPr>
          <w:rFonts w:ascii="Arial" w:hAnsi="Arial" w:eastAsia="Calibri" w:cs="Arial"/>
          <w:bCs/>
          <w:sz w:val="22"/>
          <w:lang w:val="es-ES_tradnl"/>
        </w:rPr>
        <w:t xml:space="preserve">, pues del hecho que estos se aparten del criterio expuesto por Colombia Compra Eficiente, se deriva que conocen sus fundamentos. Basta con reiterar los argumentos expuestos en los conceptos </w:t>
      </w:r>
      <w:r w:rsidR="00204F24">
        <w:rPr>
          <w:rFonts w:ascii="Arial" w:hAnsi="Arial" w:eastAsia="Calibri" w:cs="Arial"/>
          <w:bCs/>
          <w:i/>
          <w:iCs/>
          <w:sz w:val="22"/>
          <w:lang w:val="es-ES_tradnl"/>
        </w:rPr>
        <w:t xml:space="preserve">sub examine </w:t>
      </w:r>
      <w:r w:rsidR="00204F24">
        <w:rPr>
          <w:rFonts w:ascii="Arial" w:hAnsi="Arial" w:eastAsia="Calibri" w:cs="Arial"/>
          <w:bCs/>
          <w:sz w:val="22"/>
          <w:lang w:val="es-ES_tradnl"/>
        </w:rPr>
        <w:t xml:space="preserve">y la conclusión que los acompaña: en materia de contratación estatal, para contabilizar el término de experiencia profesional de los ingenieros «[l] </w:t>
      </w:r>
      <w:r w:rsidRPr="00204F24" w:rsidR="00204F24">
        <w:rPr>
          <w:rFonts w:ascii="Arial" w:hAnsi="Arial" w:eastAsia="Calibri" w:cs="Arial"/>
          <w:bCs/>
          <w:sz w:val="22"/>
          <w:lang w:val="es-ES_tradnl"/>
        </w:rPr>
        <w:t>a norma aplicable es el artículo 229 del Decreto 019 de 2012, el cual establece que la</w:t>
      </w:r>
      <w:r w:rsidR="00204F24">
        <w:rPr>
          <w:rFonts w:ascii="Arial" w:hAnsi="Arial" w:eastAsia="Calibri" w:cs="Arial"/>
          <w:bCs/>
          <w:sz w:val="22"/>
          <w:lang w:val="es-ES_tradnl"/>
        </w:rPr>
        <w:t xml:space="preserve"> </w:t>
      </w:r>
      <w:r w:rsidRPr="00204F24" w:rsidR="00204F24">
        <w:rPr>
          <w:rFonts w:ascii="Arial" w:hAnsi="Arial" w:eastAsia="Calibri" w:cs="Arial"/>
          <w:bCs/>
          <w:sz w:val="22"/>
          <w:lang w:val="es-ES_tradnl"/>
        </w:rPr>
        <w:t>experiencia profesional comienza a contarse a partir de la terminación y aprobación del</w:t>
      </w:r>
      <w:r w:rsidR="00204F24">
        <w:rPr>
          <w:rFonts w:ascii="Arial" w:hAnsi="Arial" w:eastAsia="Calibri" w:cs="Arial"/>
          <w:bCs/>
          <w:sz w:val="22"/>
          <w:lang w:val="es-ES_tradnl"/>
        </w:rPr>
        <w:t xml:space="preserve"> </w:t>
      </w:r>
      <w:r w:rsidRPr="00204F24" w:rsidR="00204F24">
        <w:rPr>
          <w:rFonts w:ascii="Arial" w:hAnsi="Arial" w:eastAsia="Calibri" w:cs="Arial"/>
          <w:bCs/>
          <w:sz w:val="22"/>
          <w:lang w:val="es-ES_tradnl"/>
        </w:rPr>
        <w:t>pensum académico. Lo anterior, sin perjuicio de lo dispuesto en el artículo 192 de la Ley</w:t>
      </w:r>
      <w:r w:rsidR="00204F24">
        <w:rPr>
          <w:rFonts w:ascii="Arial" w:hAnsi="Arial" w:eastAsia="Calibri" w:cs="Arial"/>
          <w:bCs/>
          <w:sz w:val="22"/>
          <w:lang w:val="es-ES_tradnl"/>
        </w:rPr>
        <w:t xml:space="preserve"> </w:t>
      </w:r>
      <w:r w:rsidRPr="00204F24" w:rsidR="00204F24">
        <w:rPr>
          <w:rFonts w:ascii="Arial" w:hAnsi="Arial" w:eastAsia="Calibri" w:cs="Arial"/>
          <w:bCs/>
          <w:sz w:val="22"/>
          <w:lang w:val="es-ES_tradnl"/>
        </w:rPr>
        <w:t>1955 de 2019, que dispone que «la práctica laboral que el estudiante realice para optar a</w:t>
      </w:r>
      <w:r w:rsidR="00204F24">
        <w:rPr>
          <w:rFonts w:ascii="Arial" w:hAnsi="Arial" w:eastAsia="Calibri" w:cs="Arial"/>
          <w:bCs/>
          <w:sz w:val="22"/>
          <w:lang w:val="es-ES_tradnl"/>
        </w:rPr>
        <w:t xml:space="preserve"> </w:t>
      </w:r>
      <w:r w:rsidRPr="00204F24" w:rsidR="00204F24">
        <w:rPr>
          <w:rFonts w:ascii="Arial" w:hAnsi="Arial" w:eastAsia="Calibri" w:cs="Arial"/>
          <w:bCs/>
          <w:sz w:val="22"/>
          <w:lang w:val="es-ES_tradnl"/>
        </w:rPr>
        <w:t>su título de profesional, tecnológico o técnico cuenta como experiencia laboral».</w:t>
      </w:r>
      <w:r w:rsidR="00F25909">
        <w:rPr>
          <w:rFonts w:ascii="Arial" w:hAnsi="Arial" w:eastAsia="Calibri" w:cs="Arial"/>
          <w:bCs/>
          <w:sz w:val="22"/>
          <w:lang w:val="es-ES_tradnl"/>
        </w:rPr>
        <w:t xml:space="preserve"> </w:t>
      </w:r>
    </w:p>
    <w:p w:rsidR="00387538" w:rsidP="00F25909" w:rsidRDefault="00F25909" w14:paraId="45A8281A" w14:textId="6E4E5E96">
      <w:pPr>
        <w:tabs>
          <w:tab w:val="left" w:pos="709"/>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387538">
        <w:rPr>
          <w:rFonts w:ascii="Arial" w:hAnsi="Arial" w:eastAsia="Calibri" w:cs="Arial"/>
          <w:bCs/>
          <w:sz w:val="22"/>
          <w:lang w:val="es-ES_tradnl"/>
        </w:rPr>
        <w:t xml:space="preserve">En este punto, adicionalmente, </w:t>
      </w:r>
      <w:r w:rsidR="00D60E22">
        <w:rPr>
          <w:rFonts w:ascii="Arial" w:hAnsi="Arial" w:eastAsia="Calibri" w:cs="Arial"/>
          <w:bCs/>
          <w:sz w:val="22"/>
          <w:lang w:val="es-ES_tradnl"/>
        </w:rPr>
        <w:t xml:space="preserve">consideramos </w:t>
      </w:r>
      <w:r w:rsidR="00F16DB4">
        <w:rPr>
          <w:rFonts w:ascii="Arial" w:hAnsi="Arial" w:eastAsia="Calibri" w:cs="Arial"/>
          <w:bCs/>
          <w:sz w:val="22"/>
          <w:lang w:val="es-ES_tradnl"/>
        </w:rPr>
        <w:t>pertinente</w:t>
      </w:r>
      <w:r w:rsidR="00387538">
        <w:rPr>
          <w:rFonts w:ascii="Arial" w:hAnsi="Arial" w:eastAsia="Calibri" w:cs="Arial"/>
          <w:bCs/>
          <w:sz w:val="22"/>
          <w:lang w:val="es-ES_tradnl"/>
        </w:rPr>
        <w:t xml:space="preserve"> </w:t>
      </w:r>
      <w:r w:rsidR="00F16DB4">
        <w:rPr>
          <w:rFonts w:ascii="Arial" w:hAnsi="Arial" w:eastAsia="Calibri" w:cs="Arial"/>
          <w:bCs/>
          <w:sz w:val="22"/>
          <w:lang w:val="es-ES_tradnl"/>
        </w:rPr>
        <w:t>resaltar</w:t>
      </w:r>
      <w:r w:rsidR="00387538">
        <w:rPr>
          <w:rFonts w:ascii="Arial" w:hAnsi="Arial" w:eastAsia="Calibri" w:cs="Arial"/>
          <w:bCs/>
          <w:sz w:val="22"/>
          <w:lang w:val="es-ES_tradnl"/>
        </w:rPr>
        <w:t xml:space="preserve"> que la interpretación que expone esta entidad, relacionada con la derogatoria tácita del artículo </w:t>
      </w:r>
      <w:r w:rsidR="00387538">
        <w:rPr>
          <w:rFonts w:ascii="Arial" w:hAnsi="Arial" w:eastAsia="Calibri" w:cs="Arial"/>
          <w:bCs/>
          <w:sz w:val="22"/>
          <w:lang w:val="es-ES_tradnl"/>
        </w:rPr>
        <w:lastRenderedPageBreak/>
        <w:t>12 de la Ley 842 de 2003, es compartida por varias entidades públicas, como se mostrará a continuación.</w:t>
      </w:r>
    </w:p>
    <w:p w:rsidR="00387538" w:rsidP="00CC78AD" w:rsidRDefault="00387538" w14:paraId="397BB240" w14:textId="56316F81">
      <w:pPr>
        <w:tabs>
          <w:tab w:val="left" w:pos="426"/>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sidR="007937E7">
        <w:rPr>
          <w:rFonts w:ascii="Arial" w:hAnsi="Arial" w:eastAsia="Calibri" w:cs="Arial"/>
          <w:bCs/>
          <w:sz w:val="22"/>
          <w:lang w:val="es-ES_tradnl"/>
        </w:rPr>
        <w:tab/>
      </w:r>
      <w:r>
        <w:rPr>
          <w:rFonts w:ascii="Arial" w:hAnsi="Arial" w:eastAsia="Calibri" w:cs="Arial"/>
          <w:bCs/>
          <w:sz w:val="22"/>
          <w:lang w:val="es-ES_tradnl"/>
        </w:rPr>
        <w:t>El Departamento Administrativo de la Función Pública, en conceptos del 20 de febrero</w:t>
      </w:r>
      <w:r>
        <w:rPr>
          <w:rStyle w:val="Refdenotaalpie"/>
          <w:rFonts w:ascii="Arial" w:hAnsi="Arial" w:eastAsia="Calibri" w:cs="Arial"/>
          <w:bCs/>
          <w:sz w:val="22"/>
          <w:lang w:val="es-ES_tradnl"/>
        </w:rPr>
        <w:footnoteReference w:id="13"/>
      </w:r>
      <w:r>
        <w:rPr>
          <w:rFonts w:ascii="Arial" w:hAnsi="Arial" w:eastAsia="Calibri" w:cs="Arial"/>
          <w:bCs/>
          <w:sz w:val="22"/>
          <w:lang w:val="es-ES_tradnl"/>
        </w:rPr>
        <w:t xml:space="preserve"> y el 2 de marzo</w:t>
      </w:r>
      <w:r>
        <w:rPr>
          <w:rStyle w:val="Refdenotaalpie"/>
          <w:rFonts w:ascii="Arial" w:hAnsi="Arial" w:eastAsia="Calibri" w:cs="Arial"/>
          <w:bCs/>
          <w:sz w:val="22"/>
          <w:lang w:val="es-ES_tradnl"/>
        </w:rPr>
        <w:footnoteReference w:id="14"/>
      </w:r>
      <w:r>
        <w:rPr>
          <w:rFonts w:ascii="Arial" w:hAnsi="Arial" w:eastAsia="Calibri" w:cs="Arial"/>
          <w:bCs/>
          <w:sz w:val="22"/>
          <w:lang w:val="es-ES_tradnl"/>
        </w:rPr>
        <w:t xml:space="preserve"> de 2012, defendió la derogatoria </w:t>
      </w:r>
      <w:r w:rsidR="00C230A7">
        <w:rPr>
          <w:rFonts w:ascii="Arial" w:hAnsi="Arial" w:eastAsia="Calibri" w:cs="Arial"/>
          <w:bCs/>
          <w:sz w:val="22"/>
          <w:lang w:val="es-ES_tradnl"/>
        </w:rPr>
        <w:t>del artículo 12 de la Ley 842 de 2003, por el artículo 229 del Decreto Ley 19 de 2012. Posteriormente, en el concepto del 3 de septiembre de 20</w:t>
      </w:r>
      <w:r w:rsidR="00F16DB4">
        <w:rPr>
          <w:rFonts w:ascii="Arial" w:hAnsi="Arial" w:eastAsia="Calibri" w:cs="Arial"/>
          <w:bCs/>
          <w:sz w:val="22"/>
          <w:lang w:val="es-ES_tradnl"/>
        </w:rPr>
        <w:t>1</w:t>
      </w:r>
      <w:r w:rsidR="00C230A7">
        <w:rPr>
          <w:rFonts w:ascii="Arial" w:hAnsi="Arial" w:eastAsia="Calibri" w:cs="Arial"/>
          <w:bCs/>
          <w:sz w:val="22"/>
          <w:lang w:val="es-ES_tradnl"/>
        </w:rPr>
        <w:t>3</w:t>
      </w:r>
      <w:r w:rsidR="00C230A7">
        <w:rPr>
          <w:rStyle w:val="Refdenotaalpie"/>
          <w:rFonts w:ascii="Arial" w:hAnsi="Arial" w:eastAsia="Calibri" w:cs="Arial"/>
          <w:bCs/>
          <w:sz w:val="22"/>
          <w:lang w:val="es-ES_tradnl"/>
        </w:rPr>
        <w:footnoteReference w:id="15"/>
      </w:r>
      <w:r w:rsidR="00C230A7">
        <w:rPr>
          <w:rFonts w:ascii="Arial" w:hAnsi="Arial" w:eastAsia="Calibri" w:cs="Arial"/>
          <w:bCs/>
          <w:sz w:val="22"/>
          <w:lang w:val="es-ES_tradnl"/>
        </w:rPr>
        <w:t xml:space="preserve">, expuso </w:t>
      </w:r>
      <w:r>
        <w:rPr>
          <w:rFonts w:ascii="Arial" w:hAnsi="Arial" w:eastAsia="Calibri" w:cs="Arial"/>
          <w:bCs/>
          <w:sz w:val="22"/>
          <w:lang w:val="es-ES_tradnl"/>
        </w:rPr>
        <w:t>las siguientes consideraciones</w:t>
      </w:r>
      <w:r w:rsidR="00C230A7">
        <w:rPr>
          <w:rFonts w:ascii="Arial" w:hAnsi="Arial" w:eastAsia="Calibri" w:cs="Arial"/>
          <w:bCs/>
          <w:sz w:val="22"/>
          <w:lang w:val="es-ES_tradnl"/>
        </w:rPr>
        <w:t xml:space="preserve"> frente al debate</w:t>
      </w:r>
      <w:r>
        <w:rPr>
          <w:rFonts w:ascii="Arial" w:hAnsi="Arial" w:eastAsia="Calibri" w:cs="Arial"/>
          <w:bCs/>
          <w:sz w:val="22"/>
          <w:lang w:val="es-ES_tradnl"/>
        </w:rPr>
        <w:t xml:space="preserve">: </w:t>
      </w:r>
    </w:p>
    <w:p w:rsidR="00C230A7" w:rsidP="00C230A7" w:rsidRDefault="00C230A7" w14:paraId="2A5BEBC3" w14:textId="77777777">
      <w:pPr>
        <w:tabs>
          <w:tab w:val="left" w:pos="426"/>
        </w:tabs>
        <w:spacing w:line="276" w:lineRule="auto"/>
        <w:jc w:val="both"/>
        <w:rPr>
          <w:rFonts w:ascii="Arial" w:hAnsi="Arial" w:eastAsia="Calibri" w:cs="Arial"/>
          <w:bCs/>
          <w:sz w:val="22"/>
          <w:lang w:val="es-ES_tradnl"/>
        </w:rPr>
      </w:pPr>
    </w:p>
    <w:p w:rsidRPr="00C230A7" w:rsidR="00C230A7" w:rsidP="00CC78AD" w:rsidRDefault="00C230A7" w14:paraId="0CBBDDE8" w14:textId="3897F544">
      <w:pPr>
        <w:tabs>
          <w:tab w:val="left" w:pos="426"/>
        </w:tabs>
        <w:ind w:left="709" w:right="709"/>
        <w:jc w:val="both"/>
        <w:rPr>
          <w:rFonts w:ascii="Arial" w:hAnsi="Arial" w:eastAsia="Calibri" w:cs="Arial"/>
          <w:bCs/>
          <w:sz w:val="21"/>
          <w:szCs w:val="21"/>
        </w:rPr>
      </w:pPr>
      <w:r w:rsidRPr="00C230A7">
        <w:rPr>
          <w:rFonts w:ascii="Arial" w:hAnsi="Arial" w:eastAsia="Calibri" w:cs="Arial"/>
          <w:bCs/>
          <w:sz w:val="21"/>
          <w:szCs w:val="21"/>
        </w:rPr>
        <w:t>De acuerdo con lo anterior, el Decreto ley 019 de 2012 rige a partir del 10 de enero de 2012 y debe aplicarse para todas aquellas situaciones que se presenten con posterioridad a su entrada en vigencia.</w:t>
      </w:r>
    </w:p>
    <w:p w:rsidRPr="00C230A7" w:rsidR="00C230A7" w:rsidP="00CC78AD" w:rsidRDefault="00C230A7" w14:paraId="5CCD5F98" w14:textId="77777777">
      <w:pPr>
        <w:tabs>
          <w:tab w:val="left" w:pos="426"/>
        </w:tabs>
        <w:ind w:left="709" w:right="709"/>
        <w:jc w:val="both"/>
        <w:rPr>
          <w:rFonts w:ascii="Arial" w:hAnsi="Arial" w:eastAsia="Calibri" w:cs="Arial"/>
          <w:bCs/>
          <w:sz w:val="21"/>
          <w:szCs w:val="21"/>
        </w:rPr>
      </w:pPr>
    </w:p>
    <w:p w:rsidR="00387538" w:rsidP="00CC78AD" w:rsidRDefault="00C230A7" w14:paraId="0B29C026" w14:textId="4F8F9D06">
      <w:pPr>
        <w:tabs>
          <w:tab w:val="left" w:pos="426"/>
        </w:tabs>
        <w:ind w:left="709" w:right="709"/>
        <w:jc w:val="both"/>
        <w:rPr>
          <w:rFonts w:ascii="Arial" w:hAnsi="Arial" w:eastAsia="Calibri" w:cs="Arial"/>
          <w:bCs/>
          <w:sz w:val="21"/>
          <w:szCs w:val="21"/>
        </w:rPr>
      </w:pPr>
      <w:r w:rsidRPr="00C230A7">
        <w:rPr>
          <w:rFonts w:ascii="Arial" w:hAnsi="Arial" w:eastAsia="Calibri" w:cs="Arial"/>
          <w:bCs/>
          <w:sz w:val="21"/>
          <w:szCs w:val="21"/>
        </w:rPr>
        <w:t>Vale la pena aclarar que con el Decreto ley 019 de 2012 operó una derogatoria tácita de las normas que le son contrarias, es decir, aquellas que contemplaban que la experiencia profesional se computaba a partir de la fecha de expedición de la matrícula profesional o del certificado de inscripción profesional, respectivamente.</w:t>
      </w:r>
    </w:p>
    <w:p w:rsidR="00D60E22" w:rsidP="00CC78AD" w:rsidRDefault="00D60E22" w14:paraId="4325C344" w14:textId="6918C9CD">
      <w:pPr>
        <w:tabs>
          <w:tab w:val="left" w:pos="426"/>
        </w:tabs>
        <w:ind w:left="709" w:right="709"/>
        <w:jc w:val="both"/>
        <w:rPr>
          <w:rFonts w:ascii="Arial" w:hAnsi="Arial" w:eastAsia="Calibri" w:cs="Arial"/>
          <w:bCs/>
          <w:sz w:val="21"/>
          <w:szCs w:val="21"/>
        </w:rPr>
      </w:pPr>
      <w:r>
        <w:rPr>
          <w:rFonts w:ascii="Arial" w:hAnsi="Arial" w:eastAsia="Calibri" w:cs="Arial"/>
          <w:bCs/>
          <w:sz w:val="21"/>
          <w:szCs w:val="21"/>
        </w:rPr>
        <w:t>[…]</w:t>
      </w:r>
    </w:p>
    <w:p w:rsidR="00D60E22" w:rsidP="00CC78AD" w:rsidRDefault="00D60E22" w14:paraId="7702B069" w14:textId="77777777">
      <w:pPr>
        <w:tabs>
          <w:tab w:val="left" w:pos="426"/>
        </w:tabs>
        <w:ind w:left="709" w:right="709"/>
        <w:jc w:val="both"/>
        <w:rPr>
          <w:rFonts w:ascii="Arial" w:hAnsi="Arial" w:eastAsia="Calibri" w:cs="Arial"/>
          <w:bCs/>
          <w:sz w:val="21"/>
          <w:szCs w:val="21"/>
        </w:rPr>
      </w:pPr>
    </w:p>
    <w:p w:rsidRPr="00C230A7" w:rsidR="00D60E22" w:rsidP="00CC78AD" w:rsidRDefault="00D60E22" w14:paraId="76990C25" w14:textId="5163A67D">
      <w:pPr>
        <w:tabs>
          <w:tab w:val="left" w:pos="426"/>
        </w:tabs>
        <w:ind w:left="709" w:right="709"/>
        <w:jc w:val="both"/>
        <w:rPr>
          <w:rFonts w:ascii="Arial" w:hAnsi="Arial" w:eastAsia="Calibri" w:cs="Arial"/>
          <w:bCs/>
          <w:sz w:val="21"/>
          <w:szCs w:val="21"/>
        </w:rPr>
      </w:pPr>
      <w:r w:rsidRPr="00634FDA">
        <w:rPr>
          <w:rFonts w:ascii="Arial" w:hAnsi="Arial" w:eastAsia="Calibri" w:cs="Arial"/>
          <w:bCs/>
          <w:sz w:val="21"/>
          <w:szCs w:val="21"/>
        </w:rPr>
        <w:t>Es decir, la experiencia profesional de todas las personas que se vinculen con posterioridad a la expedición del Decreto-ley 0019 de 2012, deberá contabilizarse a partir de la aprobación del pensum académico de la formación profesional respectiva, salvo como ya se advirtió, las profesiones relacionadas con el sistema de seguridad social en salud.</w:t>
      </w:r>
    </w:p>
    <w:p w:rsidR="00CC78AD" w:rsidP="00F16DB4" w:rsidRDefault="00CC78AD" w14:paraId="5B1259D0" w14:textId="77777777">
      <w:pPr>
        <w:tabs>
          <w:tab w:val="left" w:pos="426"/>
        </w:tabs>
        <w:jc w:val="both"/>
        <w:rPr>
          <w:rFonts w:ascii="Arial" w:hAnsi="Arial" w:eastAsia="Calibri" w:cs="Arial"/>
          <w:bCs/>
          <w:sz w:val="22"/>
          <w:lang w:val="es-ES_tradnl"/>
        </w:rPr>
      </w:pPr>
    </w:p>
    <w:p w:rsidR="00705B58" w:rsidP="00387538" w:rsidRDefault="00705B58" w14:paraId="20386B84" w14:textId="1F2DE8ED">
      <w:pPr>
        <w:tabs>
          <w:tab w:val="left" w:pos="426"/>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r>
        <w:rPr>
          <w:rFonts w:ascii="Arial" w:hAnsi="Arial" w:eastAsia="Calibri" w:cs="Arial"/>
          <w:bCs/>
          <w:sz w:val="22"/>
          <w:lang w:val="es-ES_tradnl"/>
        </w:rPr>
        <w:t xml:space="preserve">Las consideraciones del Departamento Administrativo de la Función Pública son especialmente relevantes si se tiene en cuenta la ubicación del artículo 229 del Decreto Ley 019 de 2012, toda vez que se </w:t>
      </w:r>
      <w:r w:rsidR="00523EBA">
        <w:rPr>
          <w:rFonts w:ascii="Arial" w:hAnsi="Arial" w:eastAsia="Calibri" w:cs="Arial"/>
          <w:bCs/>
          <w:sz w:val="22"/>
          <w:lang w:val="es-ES_tradnl"/>
        </w:rPr>
        <w:t>encuentra</w:t>
      </w:r>
      <w:r>
        <w:rPr>
          <w:rFonts w:ascii="Arial" w:hAnsi="Arial" w:eastAsia="Calibri" w:cs="Arial"/>
          <w:bCs/>
          <w:sz w:val="22"/>
          <w:lang w:val="es-ES_tradnl"/>
        </w:rPr>
        <w:t xml:space="preserve"> en capítulo XIX «</w:t>
      </w:r>
      <w:r w:rsidRPr="007915BC">
        <w:rPr>
          <w:rFonts w:ascii="Arial" w:hAnsi="Arial" w:eastAsia="Calibri" w:cs="Arial"/>
          <w:bCs/>
          <w:sz w:val="22"/>
          <w:lang w:val="es-ES_tradnl"/>
        </w:rPr>
        <w:t>trámites, procedimientos y regulaciones del sector administrativo de la función pública</w:t>
      </w:r>
      <w:r>
        <w:rPr>
          <w:rFonts w:ascii="Arial" w:hAnsi="Arial" w:eastAsia="Calibri" w:cs="Arial"/>
          <w:bCs/>
          <w:sz w:val="22"/>
          <w:lang w:val="es-ES_tradnl"/>
        </w:rPr>
        <w:t xml:space="preserve">». La importancia de este aspecto, en relación con los conceptos aludidos, se debe a que fue en esta </w:t>
      </w:r>
      <w:r w:rsidR="00523EBA">
        <w:rPr>
          <w:rFonts w:ascii="Arial" w:hAnsi="Arial" w:eastAsia="Calibri" w:cs="Arial"/>
          <w:bCs/>
          <w:sz w:val="22"/>
          <w:lang w:val="es-ES_tradnl"/>
        </w:rPr>
        <w:t>entidad</w:t>
      </w:r>
      <w:r>
        <w:rPr>
          <w:rFonts w:ascii="Arial" w:hAnsi="Arial" w:eastAsia="Calibri" w:cs="Arial"/>
          <w:bCs/>
          <w:sz w:val="22"/>
          <w:lang w:val="es-ES_tradnl"/>
        </w:rPr>
        <w:t xml:space="preserve"> donde se originó el contenido del artículo 229, de manera que cuentan con un alto grado de idoneidad y legitimidad para señalar el espíritu, alcance o finalidad de dicha disposición. A partir de allí es posible concluir que la finalidad de dicho artículo fue derogar las disposiciones que contemplaran que la experiencia profesional se computaba desde la expedición de alguna matrícula profesional o certificado de inscripción profesional, </w:t>
      </w:r>
      <w:r w:rsidR="007937E7">
        <w:rPr>
          <w:rFonts w:ascii="Arial" w:hAnsi="Arial" w:eastAsia="Calibri" w:cs="Arial"/>
          <w:bCs/>
          <w:sz w:val="22"/>
          <w:lang w:val="es-ES_tradnl"/>
        </w:rPr>
        <w:t xml:space="preserve">con </w:t>
      </w:r>
      <w:r w:rsidR="007937E7">
        <w:rPr>
          <w:rFonts w:ascii="Arial" w:hAnsi="Arial" w:eastAsia="Calibri" w:cs="Arial"/>
          <w:bCs/>
          <w:sz w:val="22"/>
          <w:lang w:val="es-ES_tradnl"/>
        </w:rPr>
        <w:lastRenderedPageBreak/>
        <w:t xml:space="preserve">excepción de las </w:t>
      </w:r>
      <w:r w:rsidRPr="00634FDA" w:rsidR="007937E7">
        <w:rPr>
          <w:rFonts w:ascii="Arial" w:hAnsi="Arial" w:eastAsia="Calibri" w:cs="Arial"/>
          <w:bCs/>
          <w:sz w:val="22"/>
          <w:lang w:val="es-ES_tradnl"/>
        </w:rPr>
        <w:t>profesiones relacionadas con el sistema de seguridad social en salud</w:t>
      </w:r>
      <w:r w:rsidR="007937E7">
        <w:rPr>
          <w:rFonts w:ascii="Arial" w:hAnsi="Arial" w:eastAsia="Calibri" w:cs="Arial"/>
          <w:bCs/>
          <w:sz w:val="22"/>
          <w:lang w:val="es-ES_tradnl"/>
        </w:rPr>
        <w:t xml:space="preserve">, </w:t>
      </w:r>
      <w:r>
        <w:rPr>
          <w:rFonts w:ascii="Arial" w:hAnsi="Arial" w:eastAsia="Calibri" w:cs="Arial"/>
          <w:bCs/>
          <w:sz w:val="22"/>
          <w:lang w:val="es-ES_tradnl"/>
        </w:rPr>
        <w:t>tal como se desprende diáfanamente de los apartes citados.</w:t>
      </w:r>
    </w:p>
    <w:p w:rsidR="00493D05" w:rsidP="00387538" w:rsidRDefault="00705B58" w14:paraId="0E7932A6" w14:textId="16923642">
      <w:pPr>
        <w:tabs>
          <w:tab w:val="left" w:pos="426"/>
        </w:tabs>
        <w:spacing w:before="120"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bookmarkStart w:name="_Hlk42095036" w:id="4"/>
      <w:r>
        <w:rPr>
          <w:rFonts w:ascii="Arial" w:hAnsi="Arial" w:eastAsia="Calibri" w:cs="Arial"/>
          <w:bCs/>
          <w:sz w:val="22"/>
          <w:lang w:val="es-ES_tradnl"/>
        </w:rPr>
        <w:t>Sin perjuicio de lo anterior, y en aras de señalar como esta interpretación es ampliamente compartida por otras autoridades</w:t>
      </w:r>
      <w:r w:rsidR="007937E7">
        <w:rPr>
          <w:rFonts w:ascii="Arial" w:hAnsi="Arial" w:eastAsia="Calibri" w:cs="Arial"/>
          <w:bCs/>
          <w:sz w:val="22"/>
          <w:lang w:val="es-ES_tradnl"/>
        </w:rPr>
        <w:t>, se expondrá la posición de algunas de ellas.</w:t>
      </w:r>
      <w:bookmarkEnd w:id="4"/>
      <w:r w:rsidR="007937E7">
        <w:rPr>
          <w:rFonts w:ascii="Arial" w:hAnsi="Arial" w:eastAsia="Calibri" w:cs="Arial"/>
          <w:bCs/>
          <w:sz w:val="22"/>
          <w:lang w:val="es-ES_tradnl"/>
        </w:rPr>
        <w:t xml:space="preserve"> </w:t>
      </w:r>
      <w:bookmarkStart w:name="_Hlk42095147" w:id="5"/>
      <w:r w:rsidR="007937E7">
        <w:rPr>
          <w:rFonts w:ascii="Arial" w:hAnsi="Arial" w:eastAsia="Calibri" w:cs="Arial"/>
          <w:bCs/>
          <w:sz w:val="22"/>
          <w:lang w:val="es-ES_tradnl"/>
        </w:rPr>
        <w:t>En este sentido, e</w:t>
      </w:r>
      <w:r w:rsidR="00C230A7">
        <w:rPr>
          <w:rFonts w:ascii="Arial" w:hAnsi="Arial" w:eastAsia="Calibri" w:cs="Arial"/>
          <w:bCs/>
          <w:sz w:val="22"/>
          <w:lang w:val="es-ES_tradnl"/>
        </w:rPr>
        <w:t xml:space="preserve">l Ministerio de Educación Nacional, </w:t>
      </w:r>
      <w:r w:rsidR="00131E85">
        <w:rPr>
          <w:rFonts w:ascii="Arial" w:hAnsi="Arial" w:eastAsia="Calibri" w:cs="Arial"/>
          <w:bCs/>
          <w:sz w:val="22"/>
          <w:lang w:val="es-ES_tradnl"/>
        </w:rPr>
        <w:t>mediante concepto del 8 de mayo de 2015</w:t>
      </w:r>
      <w:r w:rsidR="001E79FF">
        <w:rPr>
          <w:rStyle w:val="Refdenotaalpie"/>
          <w:rFonts w:ascii="Arial" w:hAnsi="Arial" w:eastAsia="Calibri" w:cs="Arial"/>
          <w:bCs/>
          <w:sz w:val="22"/>
          <w:lang w:val="es-ES_tradnl"/>
        </w:rPr>
        <w:footnoteReference w:id="16"/>
      </w:r>
      <w:r w:rsidR="00131E85">
        <w:rPr>
          <w:rFonts w:ascii="Arial" w:hAnsi="Arial" w:eastAsia="Calibri" w:cs="Arial"/>
          <w:bCs/>
          <w:sz w:val="22"/>
          <w:lang w:val="es-ES_tradnl"/>
        </w:rPr>
        <w:t xml:space="preserve">, </w:t>
      </w:r>
      <w:r w:rsidR="00C230A7">
        <w:rPr>
          <w:rFonts w:ascii="Arial" w:hAnsi="Arial" w:eastAsia="Calibri" w:cs="Arial"/>
          <w:bCs/>
          <w:sz w:val="22"/>
          <w:lang w:val="es-ES_tradnl"/>
        </w:rPr>
        <w:t>en relación con el tema dijo lo siguiente:</w:t>
      </w:r>
    </w:p>
    <w:p w:rsidR="00131E85" w:rsidP="001E79FF" w:rsidRDefault="00131E85" w14:paraId="0302E44A" w14:textId="20FC92F9">
      <w:pPr>
        <w:tabs>
          <w:tab w:val="left" w:pos="426"/>
        </w:tabs>
        <w:spacing w:line="276" w:lineRule="auto"/>
        <w:jc w:val="both"/>
        <w:rPr>
          <w:rFonts w:ascii="Arial" w:hAnsi="Arial" w:eastAsia="Calibri" w:cs="Arial"/>
          <w:bCs/>
          <w:sz w:val="22"/>
          <w:lang w:val="es-ES_tradnl"/>
        </w:rPr>
      </w:pPr>
    </w:p>
    <w:p w:rsidR="00131E85" w:rsidP="00CC78AD" w:rsidRDefault="00131E85" w14:paraId="149F14C2" w14:textId="023842CB">
      <w:pPr>
        <w:tabs>
          <w:tab w:val="left" w:pos="426"/>
        </w:tabs>
        <w:ind w:left="709" w:right="709"/>
        <w:jc w:val="both"/>
        <w:rPr>
          <w:rFonts w:ascii="Arial" w:hAnsi="Arial" w:eastAsia="Calibri" w:cs="Arial"/>
          <w:bCs/>
          <w:sz w:val="21"/>
          <w:szCs w:val="21"/>
          <w:lang w:val="es-ES_tradnl"/>
        </w:rPr>
      </w:pPr>
      <w:r w:rsidRPr="00131E85">
        <w:rPr>
          <w:rFonts w:ascii="Arial" w:hAnsi="Arial" w:eastAsia="Calibri" w:cs="Arial"/>
          <w:bCs/>
          <w:sz w:val="21"/>
          <w:szCs w:val="21"/>
          <w:lang w:val="es-ES_tradnl"/>
        </w:rPr>
        <w:t xml:space="preserve">Teniendo en cuenta ese marco normativo, esta Oficina ha considerado, de forma reiterada, que debe aplicarse el Artículo 229 del Decreto Ley 019 de 2012, </w:t>
      </w:r>
      <w:proofErr w:type="gramStart"/>
      <w:r w:rsidRPr="00131E85">
        <w:rPr>
          <w:rFonts w:ascii="Arial" w:hAnsi="Arial" w:eastAsia="Calibri" w:cs="Arial"/>
          <w:bCs/>
          <w:sz w:val="21"/>
          <w:szCs w:val="21"/>
          <w:lang w:val="es-ES_tradnl"/>
        </w:rPr>
        <w:t>puesto que</w:t>
      </w:r>
      <w:proofErr w:type="gramEnd"/>
      <w:r w:rsidRPr="00131E85">
        <w:rPr>
          <w:rFonts w:ascii="Arial" w:hAnsi="Arial" w:eastAsia="Calibri" w:cs="Arial"/>
          <w:bCs/>
          <w:sz w:val="21"/>
          <w:szCs w:val="21"/>
          <w:lang w:val="es-ES_tradnl"/>
        </w:rPr>
        <w:t xml:space="preserve"> en nuestra opinión, con la expedición de este Decreto extraordinario operó la derogatoria tácita del Artículo 12 de la Ley 842 de 2003. Por ejemplo, en el Concepto 2012ER43404, se señaló que </w:t>
      </w:r>
      <w:r>
        <w:rPr>
          <w:rFonts w:ascii="Arial" w:hAnsi="Arial" w:eastAsia="Calibri" w:cs="Arial"/>
          <w:bCs/>
          <w:sz w:val="21"/>
          <w:szCs w:val="21"/>
          <w:lang w:val="es-ES_tradnl"/>
        </w:rPr>
        <w:t>«</w:t>
      </w:r>
      <w:r w:rsidRPr="00131E85">
        <w:rPr>
          <w:rFonts w:ascii="Arial" w:hAnsi="Arial" w:eastAsia="Calibri" w:cs="Arial"/>
          <w:bCs/>
          <w:sz w:val="21"/>
          <w:szCs w:val="21"/>
          <w:lang w:val="es-ES_tradnl"/>
        </w:rPr>
        <w:t xml:space="preserve">siguiendo el principio señalado en el artículo 71 del Código Civil según el cual la derogación de una ley es “…tácita cuando la nueva ley contiene disposiciones que no pueden conciliarse con la de la ley anterior”, el artículo 12 de la ley 842 de 2003 fue derogado tácitamente por el artículo 229 del </w:t>
      </w:r>
      <w:proofErr w:type="spellStart"/>
      <w:r w:rsidRPr="00131E85">
        <w:rPr>
          <w:rFonts w:ascii="Arial" w:hAnsi="Arial" w:eastAsia="Calibri" w:cs="Arial"/>
          <w:bCs/>
          <w:sz w:val="21"/>
          <w:szCs w:val="21"/>
          <w:lang w:val="es-ES_tradnl"/>
        </w:rPr>
        <w:t>Decreto­ley</w:t>
      </w:r>
      <w:proofErr w:type="spellEnd"/>
      <w:r w:rsidRPr="00131E85">
        <w:rPr>
          <w:rFonts w:ascii="Arial" w:hAnsi="Arial" w:eastAsia="Calibri" w:cs="Arial"/>
          <w:bCs/>
          <w:sz w:val="21"/>
          <w:szCs w:val="21"/>
          <w:lang w:val="es-ES_tradnl"/>
        </w:rPr>
        <w:t xml:space="preserve"> 019 de 2012</w:t>
      </w:r>
      <w:r>
        <w:rPr>
          <w:rFonts w:ascii="Arial" w:hAnsi="Arial" w:eastAsia="Calibri" w:cs="Arial"/>
          <w:bCs/>
          <w:sz w:val="21"/>
          <w:szCs w:val="21"/>
          <w:lang w:val="es-ES_tradnl"/>
        </w:rPr>
        <w:t>»</w:t>
      </w:r>
      <w:r w:rsidRPr="00131E85">
        <w:rPr>
          <w:rFonts w:ascii="Arial" w:hAnsi="Arial" w:eastAsia="Calibri" w:cs="Arial"/>
          <w:bCs/>
          <w:sz w:val="21"/>
          <w:szCs w:val="21"/>
          <w:lang w:val="es-ES_tradnl"/>
        </w:rPr>
        <w:t>.</w:t>
      </w:r>
    </w:p>
    <w:bookmarkEnd w:id="5"/>
    <w:p w:rsidR="001E79FF" w:rsidP="001E79FF" w:rsidRDefault="001E79FF" w14:paraId="297F31D5" w14:textId="0FA780C3">
      <w:pPr>
        <w:tabs>
          <w:tab w:val="left" w:pos="426"/>
        </w:tabs>
        <w:ind w:right="709"/>
        <w:jc w:val="both"/>
        <w:rPr>
          <w:rFonts w:ascii="Arial" w:hAnsi="Arial" w:eastAsia="Calibri" w:cs="Arial"/>
          <w:bCs/>
          <w:sz w:val="21"/>
          <w:szCs w:val="21"/>
          <w:lang w:val="es-ES_tradnl"/>
        </w:rPr>
      </w:pPr>
    </w:p>
    <w:p w:rsidR="001E79FF" w:rsidP="001E79FF" w:rsidRDefault="00705B58" w14:paraId="28037E26" w14:textId="5093CC6E">
      <w:pPr>
        <w:tabs>
          <w:tab w:val="left" w:pos="426"/>
        </w:tabs>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r w:rsidRPr="001E79FF" w:rsidR="001E79FF">
        <w:rPr>
          <w:rFonts w:ascii="Arial" w:hAnsi="Arial" w:eastAsia="Calibri" w:cs="Arial"/>
          <w:bCs/>
          <w:sz w:val="22"/>
          <w:lang w:val="es-ES_tradnl"/>
        </w:rPr>
        <w:t xml:space="preserve">El </w:t>
      </w:r>
      <w:r w:rsidR="007937E7">
        <w:rPr>
          <w:rFonts w:ascii="Arial" w:hAnsi="Arial" w:eastAsia="Calibri" w:cs="Arial"/>
          <w:bCs/>
          <w:sz w:val="22"/>
          <w:lang w:val="es-ES_tradnl"/>
        </w:rPr>
        <w:t>S</w:t>
      </w:r>
      <w:r w:rsidRPr="001E79FF" w:rsidR="001E79FF">
        <w:rPr>
          <w:rFonts w:ascii="Arial" w:hAnsi="Arial" w:eastAsia="Calibri" w:cs="Arial"/>
          <w:bCs/>
          <w:sz w:val="22"/>
          <w:lang w:val="es-ES_tradnl"/>
        </w:rPr>
        <w:t>ervicio Nacional de Aprendizaje −SENA−, en concepto del 21 de febrero de 2018, dijo:</w:t>
      </w:r>
    </w:p>
    <w:p w:rsidR="001E79FF" w:rsidP="001E79FF" w:rsidRDefault="001E79FF" w14:paraId="662CA50F" w14:textId="59C511EE">
      <w:pPr>
        <w:tabs>
          <w:tab w:val="left" w:pos="426"/>
        </w:tabs>
        <w:rPr>
          <w:rFonts w:ascii="Arial" w:hAnsi="Arial" w:eastAsia="Calibri" w:cs="Arial"/>
          <w:bCs/>
          <w:sz w:val="22"/>
          <w:lang w:val="es-ES_tradnl"/>
        </w:rPr>
      </w:pPr>
    </w:p>
    <w:p w:rsidRPr="001E79FF" w:rsidR="001E79FF" w:rsidP="00CC78AD" w:rsidRDefault="001E79FF" w14:paraId="784DBD5C" w14:textId="02015778">
      <w:pPr>
        <w:tabs>
          <w:tab w:val="left" w:pos="426"/>
        </w:tabs>
        <w:ind w:left="709" w:right="709"/>
        <w:jc w:val="both"/>
        <w:rPr>
          <w:rFonts w:ascii="Arial" w:hAnsi="Arial" w:eastAsia="Calibri" w:cs="Arial"/>
          <w:bCs/>
          <w:sz w:val="21"/>
          <w:szCs w:val="21"/>
          <w:lang w:val="es-ES_tradnl"/>
        </w:rPr>
      </w:pPr>
      <w:r w:rsidRPr="001E79FF">
        <w:rPr>
          <w:rFonts w:ascii="Arial" w:hAnsi="Arial" w:eastAsia="Calibri" w:cs="Arial"/>
          <w:bCs/>
          <w:sz w:val="21"/>
          <w:szCs w:val="21"/>
          <w:lang w:val="es-ES_tradnl"/>
        </w:rPr>
        <w:t>En este orden de ideas, al haberse producido el fenómeno de la derogatoria tácita del artículo 12 de la Ley 842 de 2003 por la nueva regulación que sobre la misma materia consagra el artículo 229 del Decreto Ley 019 de 2012, encontramos que la experiencia profesional en toda nueva vinculación que se realice para proveer empleos públicos a partir de la vigencia del Decreto 019 de 2012, se reconocerá y contabilizará a partir de la terminación y aprobación de la totalidad de materias que conforman el pensum académico de educación superior de la formación profesional respectiva.</w:t>
      </w:r>
    </w:p>
    <w:p w:rsidR="00493D05" w:rsidP="00C54360" w:rsidRDefault="00493D05" w14:paraId="72B6F690" w14:textId="30408D4C">
      <w:pPr>
        <w:tabs>
          <w:tab w:val="left" w:pos="426"/>
        </w:tabs>
        <w:spacing w:line="276" w:lineRule="auto"/>
        <w:jc w:val="both"/>
        <w:rPr>
          <w:rFonts w:ascii="Arial" w:hAnsi="Arial" w:eastAsia="Calibri" w:cs="Arial"/>
          <w:b/>
          <w:sz w:val="22"/>
          <w:lang w:val="es-ES_tradnl"/>
        </w:rPr>
      </w:pPr>
    </w:p>
    <w:p w:rsidR="00135A79" w:rsidP="00C54360" w:rsidRDefault="007937E7" w14:paraId="3779619F" w14:textId="4D97DE21">
      <w:pPr>
        <w:tabs>
          <w:tab w:val="left" w:pos="426"/>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r w:rsidRPr="001A64D1" w:rsidR="001A64D1">
        <w:rPr>
          <w:rFonts w:ascii="Arial" w:hAnsi="Arial" w:eastAsia="Calibri" w:cs="Arial"/>
          <w:bCs/>
          <w:sz w:val="22"/>
          <w:lang w:val="es-ES_tradnl"/>
        </w:rPr>
        <w:t>El Ministerio de Salud</w:t>
      </w:r>
      <w:r w:rsidR="003A4125">
        <w:rPr>
          <w:rFonts w:ascii="Arial" w:hAnsi="Arial" w:eastAsia="Calibri" w:cs="Arial"/>
          <w:bCs/>
          <w:sz w:val="22"/>
          <w:lang w:val="es-ES_tradnl"/>
        </w:rPr>
        <w:t xml:space="preserve"> y la Protección Social</w:t>
      </w:r>
      <w:r w:rsidR="003A4125">
        <w:rPr>
          <w:rStyle w:val="Refdenotaalpie"/>
          <w:rFonts w:ascii="Arial" w:hAnsi="Arial" w:eastAsia="Calibri" w:cs="Arial"/>
          <w:bCs/>
          <w:sz w:val="22"/>
          <w:lang w:val="es-ES_tradnl"/>
        </w:rPr>
        <w:footnoteReference w:id="17"/>
      </w:r>
      <w:r w:rsidR="003A4125">
        <w:rPr>
          <w:rFonts w:ascii="Arial" w:hAnsi="Arial" w:eastAsia="Calibri" w:cs="Arial"/>
          <w:bCs/>
          <w:sz w:val="22"/>
          <w:lang w:val="es-ES_tradnl"/>
        </w:rPr>
        <w:t>, por su parte, se pronunció en estos términos:</w:t>
      </w:r>
    </w:p>
    <w:p w:rsidR="003A4125" w:rsidP="00C54360" w:rsidRDefault="003A4125" w14:paraId="50BC5720" w14:textId="646739B8">
      <w:pPr>
        <w:tabs>
          <w:tab w:val="left" w:pos="426"/>
        </w:tabs>
        <w:spacing w:line="276" w:lineRule="auto"/>
        <w:jc w:val="both"/>
        <w:rPr>
          <w:rFonts w:ascii="Arial" w:hAnsi="Arial" w:eastAsia="Calibri" w:cs="Arial"/>
          <w:bCs/>
          <w:sz w:val="22"/>
          <w:lang w:val="es-ES_tradnl"/>
        </w:rPr>
      </w:pPr>
    </w:p>
    <w:p w:rsidRPr="003A4125" w:rsidR="003A4125" w:rsidP="00634FDA" w:rsidRDefault="003A4125" w14:paraId="671E328A" w14:textId="51166643">
      <w:pPr>
        <w:tabs>
          <w:tab w:val="left" w:pos="426"/>
        </w:tabs>
        <w:ind w:left="709" w:right="709"/>
        <w:jc w:val="both"/>
        <w:rPr>
          <w:rFonts w:ascii="Arial" w:hAnsi="Arial" w:eastAsia="Calibri" w:cs="Arial"/>
          <w:bCs/>
          <w:sz w:val="21"/>
          <w:szCs w:val="21"/>
          <w:lang w:val="es-ES_tradnl"/>
        </w:rPr>
      </w:pPr>
      <w:r w:rsidRPr="003A4125">
        <w:rPr>
          <w:rFonts w:ascii="Arial" w:hAnsi="Arial" w:eastAsia="Calibri" w:cs="Arial"/>
          <w:bCs/>
          <w:sz w:val="21"/>
          <w:szCs w:val="21"/>
          <w:lang w:val="es-ES_tradnl"/>
        </w:rPr>
        <w:t xml:space="preserve">Bajo el entendido de </w:t>
      </w:r>
      <w:proofErr w:type="gramStart"/>
      <w:r w:rsidRPr="003A4125">
        <w:rPr>
          <w:rFonts w:ascii="Arial" w:hAnsi="Arial" w:eastAsia="Calibri" w:cs="Arial"/>
          <w:bCs/>
          <w:sz w:val="21"/>
          <w:szCs w:val="21"/>
          <w:lang w:val="es-ES_tradnl"/>
        </w:rPr>
        <w:t>que</w:t>
      </w:r>
      <w:proofErr w:type="gramEnd"/>
      <w:r w:rsidRPr="003A4125">
        <w:rPr>
          <w:rFonts w:ascii="Arial" w:hAnsi="Arial" w:eastAsia="Calibri" w:cs="Arial"/>
          <w:bCs/>
          <w:sz w:val="21"/>
          <w:szCs w:val="21"/>
          <w:lang w:val="es-ES_tradnl"/>
        </w:rPr>
        <w:t xml:space="preserve"> al celebrar contratos de prestación de servicios con profesionales de la ingeniería, estos se comportan como particulares en ejercicio de funciones administrativas, esta Dirección considera que deberá darse aplicación a lo dispuesto en el artículo 229 del Decreto 019 de 2012</w:t>
      </w:r>
      <w:r w:rsidR="00A55FFA">
        <w:rPr>
          <w:rFonts w:ascii="Arial" w:hAnsi="Arial" w:eastAsia="Calibri" w:cs="Arial"/>
          <w:bCs/>
          <w:sz w:val="21"/>
          <w:szCs w:val="21"/>
          <w:lang w:val="es-ES_tradnl"/>
        </w:rPr>
        <w:t>.</w:t>
      </w:r>
    </w:p>
    <w:p w:rsidR="001A64D1" w:rsidP="00C54360" w:rsidRDefault="001A64D1" w14:paraId="540B33F6" w14:textId="77777777">
      <w:pPr>
        <w:tabs>
          <w:tab w:val="left" w:pos="426"/>
        </w:tabs>
        <w:spacing w:line="276" w:lineRule="auto"/>
        <w:jc w:val="both"/>
        <w:rPr>
          <w:rFonts w:ascii="Arial" w:hAnsi="Arial" w:eastAsia="Calibri" w:cs="Arial"/>
          <w:bCs/>
          <w:sz w:val="22"/>
          <w:lang w:val="es-ES_tradnl"/>
        </w:rPr>
      </w:pPr>
    </w:p>
    <w:p w:rsidR="00135A79" w:rsidP="00C54360" w:rsidRDefault="00414FA3" w14:paraId="6EFB768F" w14:textId="4ADF829C">
      <w:pPr>
        <w:tabs>
          <w:tab w:val="left" w:pos="426"/>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Pr>
          <w:rFonts w:ascii="Arial" w:hAnsi="Arial" w:eastAsia="Calibri" w:cs="Arial"/>
          <w:bCs/>
          <w:sz w:val="22"/>
          <w:lang w:val="es-ES_tradnl"/>
        </w:rPr>
        <w:tab/>
      </w:r>
      <w:r w:rsidR="00135A79">
        <w:rPr>
          <w:rFonts w:ascii="Arial" w:hAnsi="Arial" w:eastAsia="Calibri" w:cs="Arial"/>
          <w:bCs/>
          <w:sz w:val="22"/>
          <w:lang w:val="es-ES_tradnl"/>
        </w:rPr>
        <w:t>Respecto de este último concepto, es importante resaltar que</w:t>
      </w:r>
      <w:r w:rsidR="00A55FFA">
        <w:rPr>
          <w:rFonts w:ascii="Arial" w:hAnsi="Arial" w:eastAsia="Calibri" w:cs="Arial"/>
          <w:bCs/>
          <w:sz w:val="22"/>
          <w:lang w:val="es-ES_tradnl"/>
        </w:rPr>
        <w:t>,</w:t>
      </w:r>
      <w:r w:rsidR="00135A79">
        <w:rPr>
          <w:rFonts w:ascii="Arial" w:hAnsi="Arial" w:eastAsia="Calibri" w:cs="Arial"/>
          <w:bCs/>
          <w:sz w:val="22"/>
          <w:lang w:val="es-ES_tradnl"/>
        </w:rPr>
        <w:t xml:space="preserve"> en cuanto a la aplicación del Decreto Ley 19 de 2012, no se distinguió entre la vinculación laboral y la que </w:t>
      </w:r>
      <w:r w:rsidR="00135A79">
        <w:rPr>
          <w:rFonts w:ascii="Arial" w:hAnsi="Arial" w:eastAsia="Calibri" w:cs="Arial"/>
          <w:bCs/>
          <w:sz w:val="22"/>
          <w:lang w:val="es-ES_tradnl"/>
        </w:rPr>
        <w:lastRenderedPageBreak/>
        <w:t>se hace a través de contrato de prestación de servicios, esto es, de contrato estatal. En efecto</w:t>
      </w:r>
      <w:r w:rsidR="00A55FFA">
        <w:rPr>
          <w:rFonts w:ascii="Arial" w:hAnsi="Arial" w:eastAsia="Calibri" w:cs="Arial"/>
          <w:bCs/>
          <w:sz w:val="22"/>
          <w:lang w:val="es-ES_tradnl"/>
        </w:rPr>
        <w:t>,</w:t>
      </w:r>
      <w:r w:rsidR="00135A79">
        <w:rPr>
          <w:rFonts w:ascii="Arial" w:hAnsi="Arial" w:eastAsia="Calibri" w:cs="Arial"/>
          <w:bCs/>
          <w:sz w:val="22"/>
          <w:lang w:val="es-ES_tradnl"/>
        </w:rPr>
        <w:t xml:space="preserve"> se dijo:</w:t>
      </w:r>
    </w:p>
    <w:p w:rsidR="00135A79" w:rsidP="00C54360" w:rsidRDefault="00135A79" w14:paraId="465C19EA" w14:textId="565B07A3">
      <w:pPr>
        <w:tabs>
          <w:tab w:val="left" w:pos="426"/>
        </w:tabs>
        <w:spacing w:line="276" w:lineRule="auto"/>
        <w:jc w:val="both"/>
        <w:rPr>
          <w:rFonts w:ascii="Arial" w:hAnsi="Arial" w:eastAsia="Calibri" w:cs="Arial"/>
          <w:bCs/>
          <w:sz w:val="22"/>
          <w:lang w:val="es-ES_tradnl"/>
        </w:rPr>
      </w:pPr>
    </w:p>
    <w:p w:rsidRPr="00CC78AD" w:rsidR="00135A79" w:rsidP="00CC78AD" w:rsidRDefault="00135A79" w14:paraId="00B15801" w14:textId="1E3087A1">
      <w:pPr>
        <w:tabs>
          <w:tab w:val="left" w:pos="426"/>
        </w:tabs>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Se colige de lo anterior que la norma en general no aplica sobre el ejercicio liberal de las profesiones toda vez que como lo señala el escrito de consulta, el precepto legal contenido en el artículo 229 ibídem, se encuentra ubicado dentro del capítulo XIX que se refiere a “Trámites, procedimientos y regulaciones del sector administrativo de la función pública”, hecho que permite concluir sobre el precitado artículo, que su aplicación, abarca tanto a aquellos profesionales que van a acceder a la administración pública con vinculación laboral como a quienes lo hacen mediante contratación.</w:t>
      </w:r>
    </w:p>
    <w:p w:rsidRPr="00CC78AD" w:rsidR="00135A79" w:rsidP="00CC78AD" w:rsidRDefault="00135A79" w14:paraId="46CFFFA2" w14:textId="45FCC59E">
      <w:pPr>
        <w:tabs>
          <w:tab w:val="left" w:pos="426"/>
        </w:tabs>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w:t>
      </w:r>
    </w:p>
    <w:p w:rsidRPr="00CC78AD" w:rsidR="00135A79" w:rsidP="00CC78AD" w:rsidRDefault="00135A79" w14:paraId="0D361A90" w14:textId="6FA5C9D2">
      <w:pPr>
        <w:tabs>
          <w:tab w:val="left" w:pos="426"/>
        </w:tabs>
        <w:ind w:left="709" w:right="709"/>
        <w:jc w:val="both"/>
        <w:rPr>
          <w:rFonts w:ascii="Arial" w:hAnsi="Arial" w:eastAsia="Calibri" w:cs="Arial"/>
          <w:bCs/>
          <w:sz w:val="21"/>
          <w:szCs w:val="21"/>
          <w:lang w:val="es-ES_tradnl"/>
        </w:rPr>
      </w:pPr>
    </w:p>
    <w:p w:rsidRPr="00CC78AD" w:rsidR="00135A79" w:rsidP="00CC78AD" w:rsidRDefault="00135A79" w14:paraId="5F533520" w14:textId="3E25386B">
      <w:pPr>
        <w:tabs>
          <w:tab w:val="left" w:pos="426"/>
        </w:tabs>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De conformidad con lo expuesto en el punto primero, el artículo 229 del Decreto 019 de 2002 aplica para el ejercicio de las profesiones en la administración pública en cualquier modalidad de vinculación. En tal sentido, solamente se tendrá en cuenta para la determinación de la experiencia de quien va a</w:t>
      </w:r>
      <w:r w:rsidRPr="00CC78AD" w:rsidR="00CC78AD">
        <w:rPr>
          <w:rFonts w:ascii="Arial" w:hAnsi="Arial" w:eastAsia="Calibri" w:cs="Arial"/>
          <w:bCs/>
          <w:sz w:val="21"/>
          <w:szCs w:val="21"/>
          <w:lang w:val="es-ES_tradnl"/>
        </w:rPr>
        <w:t xml:space="preserve"> </w:t>
      </w:r>
      <w:r w:rsidRPr="00CC78AD">
        <w:rPr>
          <w:rFonts w:ascii="Arial" w:hAnsi="Arial" w:eastAsia="Calibri" w:cs="Arial"/>
          <w:bCs/>
          <w:sz w:val="21"/>
          <w:szCs w:val="21"/>
          <w:lang w:val="es-ES_tradnl"/>
        </w:rPr>
        <w:t>ingresar a la administración pública, si la profesión es o no relacionada con el Sistema General de</w:t>
      </w:r>
      <w:r w:rsidRPr="00CC78AD" w:rsidR="00CC78AD">
        <w:rPr>
          <w:rFonts w:ascii="Arial" w:hAnsi="Arial" w:eastAsia="Calibri" w:cs="Arial"/>
          <w:bCs/>
          <w:sz w:val="21"/>
          <w:szCs w:val="21"/>
          <w:lang w:val="es-ES_tradnl"/>
        </w:rPr>
        <w:t xml:space="preserve"> </w:t>
      </w:r>
      <w:r w:rsidRPr="00CC78AD">
        <w:rPr>
          <w:rFonts w:ascii="Arial" w:hAnsi="Arial" w:eastAsia="Calibri" w:cs="Arial"/>
          <w:bCs/>
          <w:sz w:val="21"/>
          <w:szCs w:val="21"/>
          <w:lang w:val="es-ES_tradnl"/>
        </w:rPr>
        <w:t>Seguridad Social en Salud, pues en este último caso, la experiencia profesional se computa a partir de</w:t>
      </w:r>
      <w:r w:rsidRPr="00CC78AD" w:rsidR="00CC78AD">
        <w:rPr>
          <w:rFonts w:ascii="Arial" w:hAnsi="Arial" w:eastAsia="Calibri" w:cs="Arial"/>
          <w:bCs/>
          <w:sz w:val="21"/>
          <w:szCs w:val="21"/>
          <w:lang w:val="es-ES_tradnl"/>
        </w:rPr>
        <w:t xml:space="preserve"> </w:t>
      </w:r>
      <w:r w:rsidRPr="00CC78AD">
        <w:rPr>
          <w:rFonts w:ascii="Arial" w:hAnsi="Arial" w:eastAsia="Calibri" w:cs="Arial"/>
          <w:bCs/>
          <w:sz w:val="21"/>
          <w:szCs w:val="21"/>
          <w:lang w:val="es-ES_tradnl"/>
        </w:rPr>
        <w:t>la inscripción o registro profesional y no a partir de la terminación y aprobación del pensum académico</w:t>
      </w:r>
      <w:r w:rsidRPr="00CC78AD" w:rsidR="00CC78AD">
        <w:rPr>
          <w:rFonts w:ascii="Arial" w:hAnsi="Arial" w:eastAsia="Calibri" w:cs="Arial"/>
          <w:bCs/>
          <w:sz w:val="21"/>
          <w:szCs w:val="21"/>
          <w:lang w:val="es-ES_tradnl"/>
        </w:rPr>
        <w:t xml:space="preserve"> </w:t>
      </w:r>
      <w:r w:rsidRPr="00CC78AD">
        <w:rPr>
          <w:rFonts w:ascii="Arial" w:hAnsi="Arial" w:eastAsia="Calibri" w:cs="Arial"/>
          <w:bCs/>
          <w:sz w:val="21"/>
          <w:szCs w:val="21"/>
          <w:lang w:val="es-ES_tradnl"/>
        </w:rPr>
        <w:t>de educación superior como lo indica el texto de la norma.</w:t>
      </w:r>
    </w:p>
    <w:p w:rsidRPr="00CC78AD" w:rsidR="00CC78AD" w:rsidP="00CC78AD" w:rsidRDefault="00CC78AD" w14:paraId="2D288349" w14:textId="77777777">
      <w:pPr>
        <w:tabs>
          <w:tab w:val="left" w:pos="426"/>
        </w:tabs>
        <w:ind w:left="709" w:right="709"/>
        <w:jc w:val="both"/>
        <w:rPr>
          <w:rFonts w:ascii="Arial" w:hAnsi="Arial" w:eastAsia="Calibri" w:cs="Arial"/>
          <w:bCs/>
          <w:sz w:val="21"/>
          <w:szCs w:val="21"/>
          <w:lang w:val="es-ES_tradnl"/>
        </w:rPr>
      </w:pPr>
    </w:p>
    <w:p w:rsidRPr="00CC78AD" w:rsidR="00135A79" w:rsidP="00CC78AD" w:rsidRDefault="00135A79" w14:paraId="7EBFA19C" w14:textId="3F9E9542">
      <w:pPr>
        <w:tabs>
          <w:tab w:val="left" w:pos="426"/>
        </w:tabs>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Así las cosas, si este Ministerio decide vincular un ingeniero o un abogado se entiende que el aspirante</w:t>
      </w:r>
      <w:r w:rsidRPr="00CC78AD" w:rsidR="00CC78AD">
        <w:rPr>
          <w:rFonts w:ascii="Arial" w:hAnsi="Arial" w:eastAsia="Calibri" w:cs="Arial"/>
          <w:bCs/>
          <w:sz w:val="21"/>
          <w:szCs w:val="21"/>
          <w:lang w:val="es-ES_tradnl"/>
        </w:rPr>
        <w:t xml:space="preserve"> </w:t>
      </w:r>
      <w:r w:rsidRPr="00CC78AD">
        <w:rPr>
          <w:rFonts w:ascii="Arial" w:hAnsi="Arial" w:eastAsia="Calibri" w:cs="Arial"/>
          <w:bCs/>
          <w:sz w:val="21"/>
          <w:szCs w:val="21"/>
          <w:lang w:val="es-ES_tradnl"/>
        </w:rPr>
        <w:t>debe acreditar la experiencia profesional mínima requerida, contada a partir de la terminación y</w:t>
      </w:r>
      <w:r w:rsidRPr="00CC78AD" w:rsidR="00CC78AD">
        <w:rPr>
          <w:rFonts w:ascii="Arial" w:hAnsi="Arial" w:eastAsia="Calibri" w:cs="Arial"/>
          <w:bCs/>
          <w:sz w:val="21"/>
          <w:szCs w:val="21"/>
          <w:lang w:val="es-ES_tradnl"/>
        </w:rPr>
        <w:t xml:space="preserve"> </w:t>
      </w:r>
      <w:r w:rsidRPr="00CC78AD">
        <w:rPr>
          <w:rFonts w:ascii="Arial" w:hAnsi="Arial" w:eastAsia="Calibri" w:cs="Arial"/>
          <w:bCs/>
          <w:sz w:val="21"/>
          <w:szCs w:val="21"/>
          <w:lang w:val="es-ES_tradnl"/>
        </w:rPr>
        <w:t>aprobación de materias. Pero si lo que requiere la entidad es un médico, una enfermera o cualquier</w:t>
      </w:r>
      <w:r w:rsidRPr="00CC78AD" w:rsidR="00CC78AD">
        <w:rPr>
          <w:rFonts w:ascii="Arial" w:hAnsi="Arial" w:eastAsia="Calibri" w:cs="Arial"/>
          <w:bCs/>
          <w:sz w:val="21"/>
          <w:szCs w:val="21"/>
          <w:lang w:val="es-ES_tradnl"/>
        </w:rPr>
        <w:t xml:space="preserve"> </w:t>
      </w:r>
      <w:r w:rsidRPr="00CC78AD">
        <w:rPr>
          <w:rFonts w:ascii="Arial" w:hAnsi="Arial" w:eastAsia="Calibri" w:cs="Arial"/>
          <w:bCs/>
          <w:sz w:val="21"/>
          <w:szCs w:val="21"/>
          <w:lang w:val="es-ES_tradnl"/>
        </w:rPr>
        <w:t>profesión relacionada con el SGSSS, su experiencia se validará a partir de la inscripción en el registro</w:t>
      </w:r>
      <w:r w:rsidRPr="00CC78AD" w:rsidR="00CC78AD">
        <w:rPr>
          <w:rFonts w:ascii="Arial" w:hAnsi="Arial" w:eastAsia="Calibri" w:cs="Arial"/>
          <w:bCs/>
          <w:sz w:val="21"/>
          <w:szCs w:val="21"/>
          <w:lang w:val="es-ES_tradnl"/>
        </w:rPr>
        <w:t xml:space="preserve"> </w:t>
      </w:r>
      <w:r w:rsidRPr="00CC78AD">
        <w:rPr>
          <w:rFonts w:ascii="Arial" w:hAnsi="Arial" w:eastAsia="Calibri" w:cs="Arial"/>
          <w:bCs/>
          <w:sz w:val="21"/>
          <w:szCs w:val="21"/>
          <w:lang w:val="es-ES_tradnl"/>
        </w:rPr>
        <w:t>profesional.</w:t>
      </w:r>
    </w:p>
    <w:p w:rsidRPr="00CC78AD" w:rsidR="00CC78AD" w:rsidP="00CC78AD" w:rsidRDefault="00CC78AD" w14:paraId="125E1955" w14:textId="77777777">
      <w:pPr>
        <w:tabs>
          <w:tab w:val="left" w:pos="426"/>
        </w:tabs>
        <w:ind w:left="709" w:right="709"/>
        <w:jc w:val="both"/>
        <w:rPr>
          <w:rFonts w:ascii="Arial" w:hAnsi="Arial" w:eastAsia="Calibri" w:cs="Arial"/>
          <w:bCs/>
          <w:sz w:val="21"/>
          <w:szCs w:val="21"/>
          <w:lang w:val="es-ES_tradnl"/>
        </w:rPr>
      </w:pPr>
    </w:p>
    <w:p w:rsidRPr="00CC78AD" w:rsidR="00135A79" w:rsidP="00CC78AD" w:rsidRDefault="00135A79" w14:paraId="463C7061" w14:textId="17FF8BBA">
      <w:pPr>
        <w:tabs>
          <w:tab w:val="left" w:pos="426"/>
        </w:tabs>
        <w:ind w:left="709" w:right="709"/>
        <w:jc w:val="both"/>
        <w:rPr>
          <w:rFonts w:ascii="Arial" w:hAnsi="Arial" w:eastAsia="Calibri" w:cs="Arial"/>
          <w:bCs/>
          <w:sz w:val="21"/>
          <w:szCs w:val="21"/>
          <w:lang w:val="es-ES_tradnl"/>
        </w:rPr>
      </w:pPr>
      <w:r w:rsidRPr="00CC78AD">
        <w:rPr>
          <w:rFonts w:ascii="Arial" w:hAnsi="Arial" w:eastAsia="Calibri" w:cs="Arial"/>
          <w:bCs/>
          <w:sz w:val="21"/>
          <w:szCs w:val="21"/>
          <w:lang w:val="es-ES_tradnl"/>
        </w:rPr>
        <w:t>Es preciso aclarar que una u otra opción no están determinadas por el sitio donde se va a desempeñar</w:t>
      </w:r>
      <w:r w:rsidRPr="00CC78AD" w:rsidR="00CC78AD">
        <w:rPr>
          <w:rFonts w:ascii="Arial" w:hAnsi="Arial" w:eastAsia="Calibri" w:cs="Arial"/>
          <w:bCs/>
          <w:sz w:val="21"/>
          <w:szCs w:val="21"/>
          <w:lang w:val="es-ES_tradnl"/>
        </w:rPr>
        <w:t xml:space="preserve"> </w:t>
      </w:r>
      <w:r w:rsidRPr="00CC78AD">
        <w:rPr>
          <w:rFonts w:ascii="Arial" w:hAnsi="Arial" w:eastAsia="Calibri" w:cs="Arial"/>
          <w:bCs/>
          <w:sz w:val="21"/>
          <w:szCs w:val="21"/>
          <w:lang w:val="es-ES_tradnl"/>
        </w:rPr>
        <w:t>el profesional al interior de la administración pública sino por la profesión que acredita el candidato, para</w:t>
      </w:r>
      <w:r w:rsidRPr="00CC78AD" w:rsidR="00CC78AD">
        <w:rPr>
          <w:rFonts w:ascii="Arial" w:hAnsi="Arial" w:eastAsia="Calibri" w:cs="Arial"/>
          <w:bCs/>
          <w:sz w:val="21"/>
          <w:szCs w:val="21"/>
          <w:lang w:val="es-ES_tradnl"/>
        </w:rPr>
        <w:t xml:space="preserve"> </w:t>
      </w:r>
      <w:r w:rsidRPr="00CC78AD">
        <w:rPr>
          <w:rFonts w:ascii="Arial" w:hAnsi="Arial" w:eastAsia="Calibri" w:cs="Arial"/>
          <w:bCs/>
          <w:sz w:val="21"/>
          <w:szCs w:val="21"/>
          <w:lang w:val="es-ES_tradnl"/>
        </w:rPr>
        <w:t>efectos de lo cual deberá consultar con la Dirección de Talento Humano en Salud a fin de identificar</w:t>
      </w:r>
      <w:r w:rsidRPr="00CC78AD" w:rsidR="00CC78AD">
        <w:rPr>
          <w:rFonts w:ascii="Arial" w:hAnsi="Arial" w:eastAsia="Calibri" w:cs="Arial"/>
          <w:bCs/>
          <w:sz w:val="21"/>
          <w:szCs w:val="21"/>
          <w:lang w:val="es-ES_tradnl"/>
        </w:rPr>
        <w:t xml:space="preserve"> </w:t>
      </w:r>
      <w:r w:rsidRPr="00CC78AD">
        <w:rPr>
          <w:rFonts w:ascii="Arial" w:hAnsi="Arial" w:eastAsia="Calibri" w:cs="Arial"/>
          <w:bCs/>
          <w:sz w:val="21"/>
          <w:szCs w:val="21"/>
          <w:lang w:val="es-ES_tradnl"/>
        </w:rPr>
        <w:t>aquellas profesiones relacionadas con el SGSSS.</w:t>
      </w:r>
    </w:p>
    <w:p w:rsidR="00135A79" w:rsidP="00135A79" w:rsidRDefault="00135A79" w14:paraId="131EC321" w14:textId="2EBFF093">
      <w:pPr>
        <w:tabs>
          <w:tab w:val="left" w:pos="426"/>
        </w:tabs>
        <w:spacing w:line="276" w:lineRule="auto"/>
        <w:jc w:val="both"/>
        <w:rPr>
          <w:rFonts w:ascii="Arial" w:hAnsi="Arial" w:eastAsia="Calibri" w:cs="Arial"/>
          <w:bCs/>
          <w:sz w:val="22"/>
          <w:lang w:val="es-ES_tradnl"/>
        </w:rPr>
      </w:pPr>
    </w:p>
    <w:p w:rsidR="00CC78AD" w:rsidP="00135A79" w:rsidRDefault="006327C2" w14:paraId="147CFCF0" w14:textId="43879C33">
      <w:pPr>
        <w:tabs>
          <w:tab w:val="left" w:pos="426"/>
        </w:tabs>
        <w:spacing w:line="276" w:lineRule="auto"/>
        <w:jc w:val="both"/>
        <w:rPr>
          <w:rFonts w:ascii="Arial" w:hAnsi="Arial" w:eastAsia="Calibri" w:cs="Arial"/>
          <w:bCs/>
          <w:sz w:val="22"/>
          <w:lang w:val="es-ES_tradnl"/>
        </w:rPr>
      </w:pPr>
      <w:r>
        <w:rPr>
          <w:rFonts w:ascii="Arial" w:hAnsi="Arial" w:eastAsia="Calibri" w:cs="Arial"/>
          <w:bCs/>
          <w:sz w:val="22"/>
          <w:lang w:val="es-ES_tradnl"/>
        </w:rPr>
        <w:tab/>
      </w:r>
      <w:r w:rsidR="00CE513A">
        <w:rPr>
          <w:rFonts w:ascii="Arial" w:hAnsi="Arial" w:eastAsia="Calibri" w:cs="Arial"/>
          <w:bCs/>
          <w:sz w:val="22"/>
          <w:lang w:val="es-ES_tradnl"/>
        </w:rPr>
        <w:tab/>
      </w:r>
      <w:r w:rsidR="00CC78AD">
        <w:rPr>
          <w:rFonts w:ascii="Arial" w:hAnsi="Arial" w:eastAsia="Calibri" w:cs="Arial"/>
          <w:bCs/>
          <w:sz w:val="22"/>
          <w:lang w:val="es-ES_tradnl"/>
        </w:rPr>
        <w:t xml:space="preserve">Nótese que lo relevante no es la relación con la «función pública», como parecen entenderlo los </w:t>
      </w:r>
      <w:r>
        <w:rPr>
          <w:rFonts w:ascii="Arial" w:hAnsi="Arial" w:eastAsia="Calibri" w:cs="Arial"/>
          <w:bCs/>
          <w:sz w:val="22"/>
          <w:lang w:val="es-ES_tradnl"/>
        </w:rPr>
        <w:t>peticionarios</w:t>
      </w:r>
      <w:r w:rsidR="00CC78AD">
        <w:rPr>
          <w:rFonts w:ascii="Arial" w:hAnsi="Arial" w:eastAsia="Calibri" w:cs="Arial"/>
          <w:bCs/>
          <w:sz w:val="22"/>
          <w:lang w:val="es-ES_tradnl"/>
        </w:rPr>
        <w:t>, sino «la profesión que acredita el candidato».</w:t>
      </w:r>
      <w:r w:rsidR="00A55FFA">
        <w:rPr>
          <w:rFonts w:ascii="Arial" w:hAnsi="Arial" w:eastAsia="Calibri" w:cs="Arial"/>
          <w:bCs/>
          <w:sz w:val="22"/>
          <w:lang w:val="es-ES_tradnl"/>
        </w:rPr>
        <w:t xml:space="preserve"> </w:t>
      </w:r>
      <w:r>
        <w:rPr>
          <w:rFonts w:ascii="Arial" w:hAnsi="Arial" w:eastAsia="Calibri" w:cs="Arial"/>
          <w:bCs/>
          <w:sz w:val="22"/>
          <w:lang w:val="es-ES_tradnl"/>
        </w:rPr>
        <w:t>Así</w:t>
      </w:r>
      <w:r w:rsidR="00A55FFA">
        <w:rPr>
          <w:rFonts w:ascii="Arial" w:hAnsi="Arial" w:eastAsia="Calibri" w:cs="Arial"/>
          <w:bCs/>
          <w:sz w:val="22"/>
          <w:lang w:val="es-ES_tradnl"/>
        </w:rPr>
        <w:t xml:space="preserve">, el argumento expuesto es suficiente para descartar </w:t>
      </w:r>
      <w:r w:rsidR="009F50DC">
        <w:rPr>
          <w:rFonts w:ascii="Arial" w:hAnsi="Arial" w:eastAsia="Calibri" w:cs="Arial"/>
          <w:bCs/>
          <w:sz w:val="22"/>
          <w:lang w:val="es-ES_tradnl"/>
        </w:rPr>
        <w:t>el</w:t>
      </w:r>
      <w:r w:rsidR="008C7308">
        <w:rPr>
          <w:rFonts w:ascii="Arial" w:hAnsi="Arial" w:eastAsia="Calibri" w:cs="Arial"/>
          <w:bCs/>
          <w:sz w:val="22"/>
          <w:lang w:val="es-ES_tradnl"/>
        </w:rPr>
        <w:t xml:space="preserve"> </w:t>
      </w:r>
      <w:r>
        <w:rPr>
          <w:rFonts w:ascii="Arial" w:hAnsi="Arial" w:eastAsia="Calibri" w:cs="Arial"/>
          <w:bCs/>
          <w:sz w:val="22"/>
          <w:lang w:val="es-ES_tradnl"/>
        </w:rPr>
        <w:t xml:space="preserve">razonamiento </w:t>
      </w:r>
      <w:r w:rsidR="00A55FFA">
        <w:rPr>
          <w:rFonts w:ascii="Arial" w:hAnsi="Arial" w:eastAsia="Calibri" w:cs="Arial"/>
          <w:bCs/>
          <w:sz w:val="22"/>
          <w:lang w:val="es-ES_tradnl"/>
        </w:rPr>
        <w:t>sobre la obligación de aplicar el artículo 229 del Decreto 19 de 2012, solo a la «función pública».</w:t>
      </w:r>
    </w:p>
    <w:p w:rsidR="00D8091C" w:rsidP="00D8091C" w:rsidRDefault="00CC78AD" w14:paraId="4FA92FBC" w14:textId="5E5E34F1">
      <w:pPr>
        <w:spacing w:before="120" w:after="120" w:line="276" w:lineRule="auto"/>
        <w:jc w:val="both"/>
        <w:rPr>
          <w:rFonts w:ascii="Arial" w:hAnsi="Arial" w:eastAsia="Calibri" w:cs="Arial"/>
          <w:bCs/>
          <w:sz w:val="22"/>
          <w:lang w:val="es-ES_tradnl"/>
        </w:rPr>
      </w:pPr>
      <w:r>
        <w:rPr>
          <w:rFonts w:ascii="Arial" w:hAnsi="Arial" w:eastAsia="Calibri" w:cs="Arial"/>
          <w:bCs/>
          <w:sz w:val="22"/>
          <w:lang w:val="es-ES_tradnl"/>
        </w:rPr>
        <w:tab/>
      </w:r>
      <w:r w:rsidR="008C7308">
        <w:rPr>
          <w:rFonts w:ascii="Arial" w:hAnsi="Arial" w:eastAsia="Calibri" w:cs="Arial"/>
          <w:bCs/>
          <w:sz w:val="22"/>
          <w:lang w:val="es-ES_tradnl"/>
        </w:rPr>
        <w:t xml:space="preserve">En relación con lo </w:t>
      </w:r>
      <w:r w:rsidR="008C7308">
        <w:rPr>
          <w:rFonts w:ascii="Arial" w:hAnsi="Arial" w:eastAsia="Calibri" w:cs="Arial"/>
          <w:bCs/>
          <w:i/>
          <w:iCs/>
          <w:sz w:val="22"/>
          <w:lang w:val="es-ES_tradnl"/>
        </w:rPr>
        <w:t xml:space="preserve">segundo, </w:t>
      </w:r>
      <w:r w:rsidR="00414FA3">
        <w:rPr>
          <w:rFonts w:ascii="Arial" w:hAnsi="Arial" w:eastAsia="Calibri" w:cs="Arial"/>
          <w:bCs/>
          <w:sz w:val="22"/>
          <w:lang w:val="es-ES_tradnl"/>
        </w:rPr>
        <w:t xml:space="preserve">no se desconoce </w:t>
      </w:r>
      <w:r w:rsidR="008C7308">
        <w:rPr>
          <w:rFonts w:ascii="Arial" w:hAnsi="Arial" w:eastAsia="Calibri" w:cs="Arial"/>
          <w:bCs/>
          <w:sz w:val="22"/>
          <w:lang w:val="es-ES_tradnl"/>
        </w:rPr>
        <w:t xml:space="preserve">la claridad de lo dicho por el Consejo de Estado. Sin embargo, </w:t>
      </w:r>
      <w:r w:rsidR="00315D47">
        <w:rPr>
          <w:rFonts w:ascii="Arial" w:hAnsi="Arial" w:eastAsia="Calibri" w:cs="Arial"/>
          <w:bCs/>
          <w:sz w:val="22"/>
          <w:lang w:val="es-ES_tradnl"/>
        </w:rPr>
        <w:t>estas Agencia</w:t>
      </w:r>
      <w:r w:rsidR="008C7308">
        <w:rPr>
          <w:rFonts w:ascii="Arial" w:hAnsi="Arial" w:eastAsia="Calibri" w:cs="Arial"/>
          <w:bCs/>
          <w:sz w:val="22"/>
          <w:lang w:val="es-ES_tradnl"/>
        </w:rPr>
        <w:t xml:space="preserve"> considera que el mismo no tiene la entidad suficiente para justificar el cambio de postura que pide el solicitante. Tres argumentos respaldan tal conclusión: </w:t>
      </w:r>
      <w:r w:rsidR="008C7308">
        <w:rPr>
          <w:rFonts w:ascii="Arial" w:hAnsi="Arial" w:eastAsia="Calibri" w:cs="Arial"/>
          <w:bCs/>
          <w:i/>
          <w:iCs/>
          <w:sz w:val="22"/>
          <w:lang w:val="es-ES_tradnl"/>
        </w:rPr>
        <w:t>primero</w:t>
      </w:r>
      <w:r w:rsidR="008C7308">
        <w:rPr>
          <w:rFonts w:ascii="Arial" w:hAnsi="Arial" w:eastAsia="Calibri" w:cs="Arial"/>
          <w:bCs/>
          <w:sz w:val="22"/>
          <w:lang w:val="es-ES_tradnl"/>
        </w:rPr>
        <w:t xml:space="preserve">, que las consideraciones jurídicas relacionadas con las </w:t>
      </w:r>
      <w:r w:rsidR="008C7308">
        <w:rPr>
          <w:rFonts w:ascii="Arial" w:hAnsi="Arial" w:eastAsia="Calibri" w:cs="Arial"/>
          <w:bCs/>
          <w:sz w:val="22"/>
          <w:lang w:val="es-ES_tradnl"/>
        </w:rPr>
        <w:lastRenderedPageBreak/>
        <w:t>medidas cautelares, por expresa disposición del artículo 229 de la Ley 1437 de 2011, «no implica[n] prejuzgamiento»</w:t>
      </w:r>
      <w:r w:rsidR="00315D47">
        <w:rPr>
          <w:rFonts w:ascii="Arial" w:hAnsi="Arial" w:eastAsia="Calibri" w:cs="Arial"/>
          <w:bCs/>
          <w:sz w:val="22"/>
          <w:lang w:val="es-ES_tradnl"/>
        </w:rPr>
        <w:t>.</w:t>
      </w:r>
      <w:r w:rsidR="008C7308">
        <w:rPr>
          <w:rFonts w:ascii="Arial" w:hAnsi="Arial" w:eastAsia="Calibri" w:cs="Arial"/>
          <w:bCs/>
          <w:sz w:val="22"/>
          <w:lang w:val="es-ES_tradnl"/>
        </w:rPr>
        <w:t xml:space="preserve"> </w:t>
      </w:r>
      <w:r w:rsidR="00315D47">
        <w:rPr>
          <w:rFonts w:ascii="Arial" w:hAnsi="Arial" w:eastAsia="Calibri" w:cs="Arial"/>
          <w:bCs/>
          <w:i/>
          <w:iCs/>
          <w:sz w:val="22"/>
          <w:lang w:val="es-ES_tradnl"/>
        </w:rPr>
        <w:t>S</w:t>
      </w:r>
      <w:r w:rsidRPr="00B91345" w:rsidR="008C7308">
        <w:rPr>
          <w:rFonts w:ascii="Arial" w:hAnsi="Arial" w:eastAsia="Calibri" w:cs="Arial"/>
          <w:bCs/>
          <w:i/>
          <w:iCs/>
          <w:sz w:val="22"/>
          <w:lang w:val="es-ES_tradnl"/>
        </w:rPr>
        <w:t>egundo</w:t>
      </w:r>
      <w:r w:rsidR="008C7308">
        <w:rPr>
          <w:rFonts w:ascii="Arial" w:hAnsi="Arial" w:eastAsia="Calibri" w:cs="Arial"/>
          <w:bCs/>
          <w:sz w:val="22"/>
          <w:lang w:val="es-ES_tradnl"/>
        </w:rPr>
        <w:t xml:space="preserve">, que el argumento expuesto no es definitivo, pues está sometido a ser revalorado al dictar sentencia, al punto que la misma autoridad precede su argumento de la noción </w:t>
      </w:r>
      <w:r w:rsidR="006327C2">
        <w:rPr>
          <w:rFonts w:ascii="Arial" w:hAnsi="Arial" w:eastAsia="Calibri" w:cs="Arial"/>
          <w:bCs/>
          <w:sz w:val="22"/>
          <w:lang w:val="es-ES_tradnl"/>
        </w:rPr>
        <w:t>«</w:t>
      </w:r>
      <w:r w:rsidR="008C7308">
        <w:rPr>
          <w:rFonts w:ascii="Arial" w:hAnsi="Arial" w:eastAsia="Calibri" w:cs="Arial"/>
          <w:bCs/>
          <w:sz w:val="22"/>
          <w:lang w:val="es-ES_tradnl"/>
        </w:rPr>
        <w:t>en principio</w:t>
      </w:r>
      <w:r w:rsidR="006327C2">
        <w:rPr>
          <w:rFonts w:ascii="Arial" w:hAnsi="Arial" w:eastAsia="Calibri" w:cs="Arial"/>
          <w:bCs/>
          <w:sz w:val="22"/>
          <w:lang w:val="es-ES_tradnl"/>
        </w:rPr>
        <w:t>»</w:t>
      </w:r>
      <w:r w:rsidR="008C7308">
        <w:rPr>
          <w:rFonts w:ascii="Arial" w:hAnsi="Arial" w:eastAsia="Calibri" w:cs="Arial"/>
          <w:bCs/>
          <w:sz w:val="22"/>
          <w:lang w:val="es-ES_tradnl"/>
        </w:rPr>
        <w:t xml:space="preserve">, de lo cual se deriva su carácter </w:t>
      </w:r>
      <w:r w:rsidR="007915BC">
        <w:rPr>
          <w:rFonts w:ascii="Arial" w:hAnsi="Arial" w:eastAsia="Calibri" w:cs="Arial"/>
          <w:bCs/>
          <w:sz w:val="22"/>
          <w:lang w:val="es-ES_tradnl"/>
        </w:rPr>
        <w:t>provisional</w:t>
      </w:r>
      <w:r w:rsidR="008C7308">
        <w:rPr>
          <w:rFonts w:ascii="Arial" w:hAnsi="Arial" w:eastAsia="Calibri" w:cs="Arial"/>
          <w:bCs/>
          <w:sz w:val="22"/>
          <w:lang w:val="es-ES_tradnl"/>
        </w:rPr>
        <w:t>. Al respecto, es necesario tener en cuenta que el análisis que se hace al resolver una medida cautelar es un cotejo inicial del acto demandado con las normas en que debe fundarse, lo cual impide, de suyo, un análisis tan detallado y pormenorizado como lo exige el estudio de la vigencia del acto que se demanda</w:t>
      </w:r>
      <w:r w:rsidR="00315D47">
        <w:rPr>
          <w:rFonts w:ascii="Arial" w:hAnsi="Arial" w:eastAsia="Calibri" w:cs="Arial"/>
          <w:bCs/>
          <w:sz w:val="22"/>
          <w:lang w:val="es-ES_tradnl"/>
        </w:rPr>
        <w:t>.</w:t>
      </w:r>
      <w:r w:rsidR="008C7308">
        <w:rPr>
          <w:rFonts w:ascii="Arial" w:hAnsi="Arial" w:eastAsia="Calibri" w:cs="Arial"/>
          <w:bCs/>
          <w:sz w:val="22"/>
          <w:lang w:val="es-ES_tradnl"/>
        </w:rPr>
        <w:t xml:space="preserve"> </w:t>
      </w:r>
      <w:r w:rsidR="00315D47">
        <w:rPr>
          <w:rFonts w:ascii="Arial" w:hAnsi="Arial" w:eastAsia="Calibri" w:cs="Arial"/>
          <w:bCs/>
          <w:i/>
          <w:iCs/>
          <w:sz w:val="22"/>
          <w:lang w:val="es-ES_tradnl"/>
        </w:rPr>
        <w:t>T</w:t>
      </w:r>
      <w:r w:rsidRPr="00537B78" w:rsidR="008C7308">
        <w:rPr>
          <w:rFonts w:ascii="Arial" w:hAnsi="Arial" w:eastAsia="Calibri" w:cs="Arial"/>
          <w:bCs/>
          <w:i/>
          <w:iCs/>
          <w:sz w:val="22"/>
          <w:lang w:val="es-ES_tradnl"/>
        </w:rPr>
        <w:t>ercero</w:t>
      </w:r>
      <w:r w:rsidR="008C7308">
        <w:rPr>
          <w:rFonts w:ascii="Arial" w:hAnsi="Arial" w:eastAsia="Calibri" w:cs="Arial"/>
          <w:bCs/>
          <w:sz w:val="22"/>
          <w:lang w:val="es-ES_tradnl"/>
        </w:rPr>
        <w:t xml:space="preserve">, </w:t>
      </w:r>
      <w:r w:rsidR="00E42E18">
        <w:rPr>
          <w:rFonts w:ascii="Arial" w:hAnsi="Arial" w:eastAsia="Calibri" w:cs="Arial"/>
          <w:bCs/>
          <w:sz w:val="22"/>
          <w:lang w:val="es-ES_tradnl"/>
        </w:rPr>
        <w:t xml:space="preserve">el auto que decide la medida cautelar, además de ser provisional, solo genera consecuencias en ese proceso judicial determinado. Incluso, si la jurisdicción contenciosa administrativa declara la legalidad del concepto emitido por el COPNIA, tampoco </w:t>
      </w:r>
      <w:r w:rsidR="00D8091C">
        <w:rPr>
          <w:rFonts w:ascii="Arial" w:hAnsi="Arial" w:eastAsia="Calibri" w:cs="Arial"/>
          <w:bCs/>
          <w:sz w:val="22"/>
          <w:lang w:val="es-ES_tradnl"/>
        </w:rPr>
        <w:t xml:space="preserve">justificaría </w:t>
      </w:r>
      <w:r w:rsidR="00D8091C">
        <w:rPr>
          <w:rFonts w:ascii="Arial" w:hAnsi="Arial" w:eastAsia="Calibri" w:cs="Arial"/>
          <w:bCs/>
          <w:i/>
          <w:iCs/>
          <w:sz w:val="22"/>
          <w:lang w:val="es-ES_tradnl"/>
        </w:rPr>
        <w:t>per se</w:t>
      </w:r>
      <w:r w:rsidR="00E42E18">
        <w:rPr>
          <w:rFonts w:ascii="Arial" w:hAnsi="Arial" w:eastAsia="Calibri" w:cs="Arial"/>
          <w:bCs/>
          <w:sz w:val="22"/>
          <w:lang w:val="es-ES_tradnl"/>
        </w:rPr>
        <w:t xml:space="preserve"> la revocatoria de los conceptos de esta Agencia, en la medida que los efectos de la sentencia se limitarían a ese caso concreto sometido al litigio. Por lo tanto, con el cumplimiento de la carga correspondiente al deber de motivación, las autoridades podrían separarse de la argumentación de esa eventual providencia judicial, ya que los efectos de la parte dispositiva no se extenderían a los conceptos de las demás entidades del Estado.</w:t>
      </w:r>
      <w:r w:rsidR="00BB624C">
        <w:rPr>
          <w:rFonts w:ascii="Arial" w:hAnsi="Arial" w:eastAsia="Calibri" w:cs="Arial"/>
          <w:bCs/>
          <w:sz w:val="22"/>
          <w:lang w:val="es-ES_tradnl"/>
        </w:rPr>
        <w:tab/>
      </w:r>
      <w:bookmarkStart w:name="_Hlk42101478" w:id="6"/>
    </w:p>
    <w:bookmarkEnd w:id="6"/>
    <w:p w:rsidRPr="008F277C" w:rsidR="00A639E3" w:rsidP="008C7308" w:rsidRDefault="008C7308" w14:paraId="45883487" w14:textId="0820746C">
      <w:pPr>
        <w:tabs>
          <w:tab w:val="left" w:pos="709"/>
        </w:tabs>
        <w:spacing w:before="120" w:line="276" w:lineRule="auto"/>
        <w:jc w:val="both"/>
        <w:rPr>
          <w:rFonts w:ascii="Arial" w:hAnsi="Arial" w:eastAsia="Calibri" w:cs="Arial"/>
          <w:bCs/>
          <w:sz w:val="22"/>
          <w:lang w:val="es-ES_tradnl"/>
        </w:rPr>
      </w:pPr>
      <w:r w:rsidRPr="008B2D49">
        <w:rPr>
          <w:rFonts w:ascii="Arial" w:hAnsi="Arial" w:eastAsia="Calibri" w:cs="Arial"/>
          <w:bCs/>
          <w:sz w:val="22"/>
          <w:lang w:val="es-ES_tradnl"/>
        </w:rPr>
        <w:tab/>
      </w:r>
      <w:r w:rsidR="009E221A">
        <w:rPr>
          <w:rFonts w:ascii="Arial" w:hAnsi="Arial" w:eastAsia="Calibri" w:cs="Arial"/>
          <w:bCs/>
          <w:sz w:val="22"/>
          <w:lang w:val="es-ES_tradnl"/>
        </w:rPr>
        <w:t xml:space="preserve">En conclusión, </w:t>
      </w:r>
      <w:r w:rsidR="00A639E3">
        <w:rPr>
          <w:rFonts w:ascii="Arial" w:hAnsi="Arial" w:eastAsia="Calibri" w:cs="Arial"/>
          <w:bCs/>
          <w:sz w:val="22"/>
          <w:lang w:val="es-ES_tradnl"/>
        </w:rPr>
        <w:t xml:space="preserve">no hay lugar a acceder a la solicitud de revocatoria de los conceptos </w:t>
      </w:r>
      <w:r w:rsidR="00A639E3">
        <w:rPr>
          <w:rFonts w:ascii="Arial" w:hAnsi="Arial" w:eastAsia="Calibri" w:cs="Arial"/>
          <w:bCs/>
          <w:i/>
          <w:iCs/>
          <w:sz w:val="22"/>
          <w:lang w:val="es-ES_tradnl"/>
        </w:rPr>
        <w:t>sub examine</w:t>
      </w:r>
      <w:r w:rsidR="00A639E3">
        <w:rPr>
          <w:rFonts w:ascii="Arial" w:hAnsi="Arial" w:eastAsia="Calibri" w:cs="Arial"/>
          <w:bCs/>
          <w:sz w:val="22"/>
          <w:lang w:val="es-ES_tradnl"/>
        </w:rPr>
        <w:t>, pues estos, por un lado, no tienen efectos vinculantes en relación con una situación jurídica particular y concreta</w:t>
      </w:r>
      <w:r w:rsidR="007915BC">
        <w:rPr>
          <w:rFonts w:ascii="Arial" w:hAnsi="Arial" w:eastAsia="Calibri" w:cs="Arial"/>
          <w:bCs/>
          <w:sz w:val="22"/>
          <w:lang w:val="es-ES_tradnl"/>
        </w:rPr>
        <w:t xml:space="preserve"> de la cual se advirtiera alguna legitimación para tornar procedente esta solicitud</w:t>
      </w:r>
      <w:r w:rsidR="00A639E3">
        <w:rPr>
          <w:rFonts w:ascii="Arial" w:hAnsi="Arial" w:eastAsia="Calibri" w:cs="Arial"/>
          <w:bCs/>
          <w:sz w:val="22"/>
          <w:lang w:val="es-ES_tradnl"/>
        </w:rPr>
        <w:t>,</w:t>
      </w:r>
      <w:r w:rsidR="007915BC">
        <w:rPr>
          <w:rFonts w:ascii="Arial" w:hAnsi="Arial" w:eastAsia="Calibri" w:cs="Arial"/>
          <w:bCs/>
          <w:sz w:val="22"/>
          <w:lang w:val="es-ES_tradnl"/>
        </w:rPr>
        <w:t xml:space="preserve"> y</w:t>
      </w:r>
      <w:r w:rsidR="00A639E3">
        <w:rPr>
          <w:rFonts w:ascii="Arial" w:hAnsi="Arial" w:eastAsia="Calibri" w:cs="Arial"/>
          <w:bCs/>
          <w:sz w:val="22"/>
          <w:lang w:val="es-ES_tradnl"/>
        </w:rPr>
        <w:t xml:space="preserve"> por el otro, contienen una </w:t>
      </w:r>
      <w:r w:rsidR="00974977">
        <w:rPr>
          <w:rFonts w:ascii="Arial" w:hAnsi="Arial" w:eastAsia="Calibri" w:cs="Arial"/>
          <w:bCs/>
          <w:sz w:val="22"/>
          <w:lang w:val="es-ES_tradnl"/>
        </w:rPr>
        <w:t>posición jurídica</w:t>
      </w:r>
      <w:r w:rsidR="00A639E3">
        <w:rPr>
          <w:rFonts w:ascii="Arial" w:hAnsi="Arial" w:eastAsia="Calibri" w:cs="Arial"/>
          <w:bCs/>
          <w:sz w:val="22"/>
          <w:lang w:val="es-ES_tradnl"/>
        </w:rPr>
        <w:t xml:space="preserve">, pero no la interpretación </w:t>
      </w:r>
      <w:r w:rsidR="007915BC">
        <w:rPr>
          <w:rFonts w:ascii="Arial" w:hAnsi="Arial" w:eastAsia="Calibri" w:cs="Arial"/>
          <w:bCs/>
          <w:sz w:val="22"/>
          <w:lang w:val="es-ES_tradnl"/>
        </w:rPr>
        <w:t xml:space="preserve">única y </w:t>
      </w:r>
      <w:r w:rsidR="00A639E3">
        <w:rPr>
          <w:rFonts w:ascii="Arial" w:hAnsi="Arial" w:eastAsia="Calibri" w:cs="Arial"/>
          <w:bCs/>
          <w:sz w:val="22"/>
          <w:lang w:val="es-ES_tradnl"/>
        </w:rPr>
        <w:t>válida del ordenamiento jurídico</w:t>
      </w:r>
      <w:r w:rsidR="00974977">
        <w:rPr>
          <w:rFonts w:ascii="Arial" w:hAnsi="Arial" w:eastAsia="Calibri" w:cs="Arial"/>
          <w:bCs/>
          <w:sz w:val="22"/>
          <w:lang w:val="es-ES_tradnl"/>
        </w:rPr>
        <w:t xml:space="preserve">, </w:t>
      </w:r>
      <w:r w:rsidR="007915BC">
        <w:rPr>
          <w:rFonts w:ascii="Arial" w:hAnsi="Arial" w:eastAsia="Calibri" w:cs="Arial"/>
          <w:bCs/>
          <w:sz w:val="22"/>
          <w:lang w:val="es-ES_tradnl"/>
        </w:rPr>
        <w:t xml:space="preserve">postura que, </w:t>
      </w:r>
      <w:r w:rsidR="00974977">
        <w:rPr>
          <w:rFonts w:ascii="Arial" w:hAnsi="Arial" w:eastAsia="Calibri" w:cs="Arial"/>
          <w:bCs/>
          <w:sz w:val="22"/>
          <w:lang w:val="es-ES_tradnl"/>
        </w:rPr>
        <w:t>en todo caso</w:t>
      </w:r>
      <w:r w:rsidR="007915BC">
        <w:rPr>
          <w:rFonts w:ascii="Arial" w:hAnsi="Arial" w:eastAsia="Calibri" w:cs="Arial"/>
          <w:bCs/>
          <w:sz w:val="22"/>
          <w:lang w:val="es-ES_tradnl"/>
        </w:rPr>
        <w:t>,</w:t>
      </w:r>
      <w:r w:rsidR="00974977">
        <w:rPr>
          <w:rFonts w:ascii="Arial" w:hAnsi="Arial" w:eastAsia="Calibri" w:cs="Arial"/>
          <w:bCs/>
          <w:sz w:val="22"/>
          <w:lang w:val="es-ES_tradnl"/>
        </w:rPr>
        <w:t xml:space="preserve"> se ha otorgado de forma debidamente sustentada</w:t>
      </w:r>
      <w:r w:rsidR="007915BC">
        <w:rPr>
          <w:rFonts w:ascii="Arial" w:hAnsi="Arial" w:eastAsia="Calibri" w:cs="Arial"/>
          <w:bCs/>
          <w:sz w:val="22"/>
          <w:lang w:val="es-ES_tradnl"/>
        </w:rPr>
        <w:t xml:space="preserve"> en los términos expuestos</w:t>
      </w:r>
      <w:r w:rsidR="00A639E3">
        <w:rPr>
          <w:rFonts w:ascii="Arial" w:hAnsi="Arial" w:eastAsia="Calibri" w:cs="Arial"/>
          <w:bCs/>
          <w:sz w:val="22"/>
          <w:lang w:val="es-ES_tradnl"/>
        </w:rPr>
        <w:t xml:space="preserve">. </w:t>
      </w:r>
    </w:p>
    <w:p w:rsidR="00A639E3" w:rsidP="007915BC" w:rsidRDefault="00A639E3" w14:paraId="2EEDE3EF" w14:textId="601F17CB">
      <w:pPr>
        <w:tabs>
          <w:tab w:val="left" w:pos="709"/>
        </w:tabs>
        <w:spacing w:before="120" w:line="276" w:lineRule="auto"/>
        <w:jc w:val="both"/>
        <w:rPr>
          <w:rFonts w:ascii="Arial" w:hAnsi="Arial" w:eastAsia="Calibri" w:cs="Arial"/>
          <w:sz w:val="22"/>
          <w:lang w:val="es-ES_tradnl"/>
        </w:rPr>
      </w:pPr>
      <w:r>
        <w:rPr>
          <w:rFonts w:ascii="Arial" w:hAnsi="Arial" w:eastAsia="Calibri" w:cs="Arial"/>
          <w:bCs/>
          <w:sz w:val="22"/>
          <w:lang w:val="es-ES_tradnl"/>
        </w:rPr>
        <w:tab/>
      </w:r>
      <w:r>
        <w:rPr>
          <w:rFonts w:ascii="Arial" w:hAnsi="Arial" w:eastAsia="Calibri" w:cs="Arial"/>
          <w:bCs/>
          <w:sz w:val="22"/>
          <w:lang w:val="es-ES_tradnl"/>
        </w:rPr>
        <w:t>Sin perjuicio de lo anterior, se tiene que: i) al afirmar que el artículo 12 de la Ley 842 de 2003 fue derogado tácitamente, no se están desconociendo los efectos de la sentencia C-296 de 2012; ii) la</w:t>
      </w:r>
      <w:r w:rsidR="007915BC">
        <w:rPr>
          <w:rFonts w:ascii="Arial" w:hAnsi="Arial" w:eastAsia="Calibri" w:cs="Arial"/>
          <w:bCs/>
          <w:sz w:val="22"/>
          <w:lang w:val="es-ES_tradnl"/>
        </w:rPr>
        <w:t>s</w:t>
      </w:r>
      <w:r>
        <w:rPr>
          <w:rFonts w:ascii="Arial" w:hAnsi="Arial" w:eastAsia="Calibri" w:cs="Arial"/>
          <w:bCs/>
          <w:sz w:val="22"/>
          <w:lang w:val="es-ES_tradnl"/>
        </w:rPr>
        <w:t xml:space="preserve"> providencia</w:t>
      </w:r>
      <w:r w:rsidR="009E221A">
        <w:rPr>
          <w:rFonts w:ascii="Arial" w:hAnsi="Arial" w:eastAsia="Calibri" w:cs="Arial"/>
          <w:bCs/>
          <w:sz w:val="22"/>
          <w:lang w:val="es-ES_tradnl"/>
        </w:rPr>
        <w:t>s</w:t>
      </w:r>
      <w:r>
        <w:rPr>
          <w:rFonts w:ascii="Arial" w:hAnsi="Arial" w:eastAsia="Calibri" w:cs="Arial"/>
          <w:bCs/>
          <w:sz w:val="22"/>
          <w:lang w:val="es-ES_tradnl"/>
        </w:rPr>
        <w:t xml:space="preserve"> del Consejo de Estado </w:t>
      </w:r>
      <w:r w:rsidR="007915BC">
        <w:rPr>
          <w:rFonts w:ascii="Arial" w:hAnsi="Arial" w:eastAsia="Calibri" w:cs="Arial"/>
          <w:bCs/>
          <w:sz w:val="22"/>
          <w:lang w:val="es-ES_tradnl"/>
        </w:rPr>
        <w:t xml:space="preserve">citadas </w:t>
      </w:r>
      <w:r>
        <w:rPr>
          <w:rFonts w:ascii="Arial" w:hAnsi="Arial" w:eastAsia="Calibri" w:cs="Arial"/>
          <w:bCs/>
          <w:sz w:val="22"/>
          <w:lang w:val="es-ES_tradnl"/>
        </w:rPr>
        <w:t xml:space="preserve">no </w:t>
      </w:r>
      <w:r w:rsidR="009E221A">
        <w:rPr>
          <w:rFonts w:ascii="Arial" w:hAnsi="Arial" w:eastAsia="Calibri" w:cs="Arial"/>
          <w:bCs/>
          <w:sz w:val="22"/>
          <w:lang w:val="es-ES_tradnl"/>
        </w:rPr>
        <w:t xml:space="preserve">son referente jurisprudencial </w:t>
      </w:r>
      <w:r w:rsidR="007915BC">
        <w:rPr>
          <w:rFonts w:ascii="Arial" w:hAnsi="Arial" w:eastAsia="Calibri" w:cs="Arial"/>
          <w:bCs/>
          <w:sz w:val="22"/>
          <w:lang w:val="es-ES_tradnl"/>
        </w:rPr>
        <w:t xml:space="preserve">vinculante </w:t>
      </w:r>
      <w:r w:rsidR="009E221A">
        <w:rPr>
          <w:rFonts w:ascii="Arial" w:hAnsi="Arial" w:eastAsia="Calibri" w:cs="Arial"/>
          <w:bCs/>
          <w:sz w:val="22"/>
          <w:lang w:val="es-ES_tradnl"/>
        </w:rPr>
        <w:t>para el caso concreto</w:t>
      </w:r>
      <w:r>
        <w:rPr>
          <w:rFonts w:ascii="Arial" w:hAnsi="Arial" w:eastAsia="Calibri" w:cs="Arial"/>
          <w:bCs/>
          <w:sz w:val="22"/>
          <w:lang w:val="es-ES_tradnl"/>
        </w:rPr>
        <w:t xml:space="preserve">; </w:t>
      </w:r>
      <w:r w:rsidR="009E221A">
        <w:rPr>
          <w:rFonts w:ascii="Arial" w:hAnsi="Arial" w:eastAsia="Calibri" w:cs="Arial"/>
          <w:bCs/>
          <w:sz w:val="22"/>
          <w:lang w:val="es-ES_tradnl"/>
        </w:rPr>
        <w:t>y iii)</w:t>
      </w:r>
      <w:r>
        <w:rPr>
          <w:rFonts w:ascii="Arial" w:hAnsi="Arial" w:eastAsia="Calibri" w:cs="Arial"/>
          <w:bCs/>
          <w:sz w:val="22"/>
          <w:lang w:val="es-ES_tradnl"/>
        </w:rPr>
        <w:t xml:space="preserve"> la tesis que pregona esta Agencia, además de ser razonable y coherente, ha </w:t>
      </w:r>
      <w:r w:rsidRPr="0062027E">
        <w:rPr>
          <w:rFonts w:ascii="Arial" w:hAnsi="Arial" w:eastAsia="Calibri" w:cs="Arial"/>
          <w:bCs/>
          <w:sz w:val="22"/>
          <w:lang w:val="es-ES_tradnl"/>
        </w:rPr>
        <w:t>sido expuest</w:t>
      </w:r>
      <w:r>
        <w:rPr>
          <w:rFonts w:ascii="Arial" w:hAnsi="Arial" w:eastAsia="Calibri" w:cs="Arial"/>
          <w:bCs/>
          <w:sz w:val="22"/>
          <w:lang w:val="es-ES_tradnl"/>
        </w:rPr>
        <w:t>a</w:t>
      </w:r>
      <w:r w:rsidRPr="0062027E">
        <w:rPr>
          <w:rFonts w:ascii="Arial" w:hAnsi="Arial" w:eastAsia="Calibri" w:cs="Arial"/>
          <w:bCs/>
          <w:sz w:val="22"/>
          <w:lang w:val="es-ES_tradnl"/>
        </w:rPr>
        <w:t xml:space="preserve"> por diferentes entidades públicas, lo que descarta su arbitrariedad</w:t>
      </w:r>
      <w:r>
        <w:rPr>
          <w:rFonts w:ascii="Arial" w:hAnsi="Arial" w:eastAsia="Calibri" w:cs="Arial"/>
          <w:bCs/>
          <w:sz w:val="22"/>
          <w:lang w:val="es-ES_tradnl"/>
        </w:rPr>
        <w:t xml:space="preserve"> o subjetividad</w:t>
      </w:r>
      <w:r>
        <w:rPr>
          <w:rFonts w:ascii="Arial" w:hAnsi="Arial" w:eastAsia="Calibri" w:cs="Arial"/>
          <w:sz w:val="22"/>
          <w:lang w:val="es-ES_tradnl"/>
        </w:rPr>
        <w:t>.</w:t>
      </w:r>
    </w:p>
    <w:p w:rsidRPr="00EF5252" w:rsidR="0073536E" w:rsidP="0062027E" w:rsidRDefault="0073536E" w14:paraId="1EBFCF54" w14:textId="77777777">
      <w:pPr>
        <w:spacing w:before="120" w:line="276" w:lineRule="auto"/>
        <w:jc w:val="both"/>
        <w:rPr>
          <w:rFonts w:ascii="Arial" w:hAnsi="Arial" w:eastAsia="Calibri" w:cs="Arial"/>
          <w:sz w:val="22"/>
          <w:lang w:val="es-CO"/>
        </w:rPr>
      </w:pPr>
    </w:p>
    <w:p w:rsidRPr="00DC759C" w:rsidR="000920F0" w:rsidP="000920F0" w:rsidRDefault="000B3D11" w14:paraId="2980998C" w14:textId="23E0A84E">
      <w:pPr>
        <w:pStyle w:val="Prrafodelista"/>
        <w:tabs>
          <w:tab w:val="left" w:pos="284"/>
        </w:tabs>
        <w:spacing w:line="276" w:lineRule="auto"/>
        <w:ind w:left="0"/>
        <w:jc w:val="both"/>
        <w:rPr>
          <w:rFonts w:ascii="Arial" w:hAnsi="Arial" w:eastAsia="Calibri" w:cs="Arial"/>
          <w:sz w:val="22"/>
          <w:lang w:val="es-ES_tradnl"/>
        </w:rPr>
      </w:pPr>
      <w:r>
        <w:rPr>
          <w:rFonts w:ascii="Arial" w:hAnsi="Arial" w:eastAsia="Calibri" w:cs="Arial"/>
          <w:b/>
          <w:sz w:val="22"/>
          <w:lang w:val="es-ES_tradnl"/>
        </w:rPr>
        <w:t>3</w:t>
      </w:r>
      <w:r w:rsidRPr="00DC759C" w:rsidR="000920F0">
        <w:rPr>
          <w:rFonts w:ascii="Arial" w:hAnsi="Arial" w:eastAsia="Calibri" w:cs="Arial"/>
          <w:b/>
          <w:sz w:val="22"/>
          <w:lang w:val="es-ES_tradnl"/>
        </w:rPr>
        <w:t>. Respuesta</w:t>
      </w:r>
    </w:p>
    <w:p w:rsidRPr="00DC759C" w:rsidR="000920F0" w:rsidP="000920F0" w:rsidRDefault="000920F0" w14:paraId="458F619B" w14:textId="77777777">
      <w:pPr>
        <w:spacing w:line="276" w:lineRule="auto"/>
        <w:ind w:left="709" w:right="709"/>
        <w:jc w:val="both"/>
        <w:rPr>
          <w:rFonts w:ascii="Arial" w:hAnsi="Arial" w:eastAsia="Calibri" w:cs="Arial"/>
          <w:i/>
          <w:sz w:val="22"/>
          <w:lang w:val="es-ES_tradnl"/>
        </w:rPr>
      </w:pPr>
    </w:p>
    <w:p w:rsidR="00264827" w:rsidP="00264827" w:rsidRDefault="003976D7" w14:paraId="2C4ABA75" w14:textId="7CA57ED7">
      <w:pPr>
        <w:ind w:left="709" w:right="709"/>
        <w:jc w:val="both"/>
        <w:rPr>
          <w:rFonts w:ascii="Arial" w:hAnsi="Arial" w:eastAsia="Calibri" w:cs="Arial"/>
          <w:sz w:val="21"/>
          <w:szCs w:val="21"/>
          <w:lang w:val="es-ES_tradnl"/>
        </w:rPr>
      </w:pPr>
      <w:r w:rsidRPr="003976D7">
        <w:rPr>
          <w:rFonts w:ascii="Arial" w:hAnsi="Arial" w:eastAsia="Calibri" w:cs="Arial"/>
          <w:sz w:val="21"/>
          <w:szCs w:val="21"/>
          <w:lang w:val="es-ES_tradnl"/>
        </w:rPr>
        <w:t xml:space="preserve">Usted solicita que «[…] se revoque o modifique el concepto C-212 de 2020 y relacionados, y que en el futuro, al resolver </w:t>
      </w:r>
      <w:r w:rsidRPr="007915BC">
        <w:rPr>
          <w:rFonts w:ascii="Arial" w:hAnsi="Arial" w:eastAsia="Calibri" w:cs="Arial"/>
          <w:sz w:val="21"/>
          <w:szCs w:val="21"/>
          <w:lang w:val="es-ES_tradnl"/>
        </w:rPr>
        <w:t xml:space="preserve">peticiones </w:t>
      </w:r>
      <w:r w:rsidRPr="00634FDA">
        <w:rPr>
          <w:rFonts w:ascii="Arial" w:hAnsi="Arial" w:eastAsia="Calibri" w:cs="Arial"/>
          <w:sz w:val="21"/>
          <w:szCs w:val="21"/>
          <w:lang w:val="es-ES_tradnl"/>
        </w:rPr>
        <w:t>respecto de la forma de computar el tiempo de experiencia profesional de los ingenieros</w:t>
      </w:r>
      <w:r w:rsidRPr="007915BC">
        <w:rPr>
          <w:rFonts w:ascii="Arial" w:hAnsi="Arial" w:eastAsia="Calibri" w:cs="Arial"/>
          <w:sz w:val="21"/>
          <w:szCs w:val="21"/>
          <w:lang w:val="es-ES_tradnl"/>
        </w:rPr>
        <w:t>»</w:t>
      </w:r>
      <w:r w:rsidR="007915BC">
        <w:rPr>
          <w:rFonts w:ascii="Arial" w:hAnsi="Arial" w:eastAsia="Calibri" w:cs="Arial"/>
          <w:sz w:val="21"/>
          <w:szCs w:val="21"/>
          <w:lang w:val="es-ES_tradnl"/>
        </w:rPr>
        <w:t xml:space="preserve"> [</w:t>
      </w:r>
      <w:r w:rsidRPr="00634FDA" w:rsidR="007915BC">
        <w:rPr>
          <w:rFonts w:ascii="Arial" w:hAnsi="Arial" w:eastAsia="Calibri" w:cs="Arial"/>
          <w:sz w:val="21"/>
          <w:szCs w:val="21"/>
          <w:lang w:val="es-ES_tradnl"/>
        </w:rPr>
        <w:t>En su criterio, es necesario que esta entidad aclare que el artículo 12 de la Ley 842 de 2003, se encuentra vigente; en otras palabras, que no fue derogado tácitamente por el artículo 229 del Decreto Ley 19 de 2012, como se expuso en el concepto antes citado].</w:t>
      </w:r>
    </w:p>
    <w:p w:rsidRPr="003976D7" w:rsidR="007915BC" w:rsidP="00264827" w:rsidRDefault="007915BC" w14:paraId="3B294BE3" w14:textId="77777777">
      <w:pPr>
        <w:ind w:left="709" w:right="709"/>
        <w:jc w:val="both"/>
        <w:rPr>
          <w:rFonts w:ascii="Arial" w:hAnsi="Arial" w:eastAsia="Calibri" w:cs="Arial"/>
          <w:sz w:val="21"/>
          <w:szCs w:val="21"/>
          <w:lang w:val="es-ES_tradnl"/>
        </w:rPr>
      </w:pPr>
    </w:p>
    <w:p w:rsidRPr="00DC759C" w:rsidR="003976D7" w:rsidP="00264827" w:rsidRDefault="003976D7" w14:paraId="45D8D839" w14:textId="77777777">
      <w:pPr>
        <w:ind w:left="709" w:right="709"/>
        <w:jc w:val="both"/>
        <w:rPr>
          <w:rFonts w:ascii="Arial" w:hAnsi="Arial" w:eastAsia="Calibri" w:cs="Arial"/>
          <w:sz w:val="22"/>
          <w:lang w:val="es-ES_tradnl"/>
        </w:rPr>
      </w:pPr>
    </w:p>
    <w:p w:rsidR="00642A35" w:rsidP="002D4329" w:rsidRDefault="00167D3A" w14:paraId="179E31B5" w14:textId="248686FF">
      <w:pPr>
        <w:spacing w:line="276" w:lineRule="auto"/>
        <w:jc w:val="both"/>
        <w:rPr>
          <w:rFonts w:ascii="Arial" w:hAnsi="Arial" w:eastAsia="Calibri" w:cs="Arial"/>
          <w:bCs/>
          <w:sz w:val="22"/>
          <w:lang w:val="es-ES_tradnl"/>
        </w:rPr>
      </w:pPr>
      <w:r>
        <w:rPr>
          <w:rFonts w:ascii="Arial" w:hAnsi="Arial" w:eastAsia="Calibri" w:cs="Arial"/>
          <w:sz w:val="22"/>
          <w:lang w:val="es-ES_tradnl"/>
        </w:rPr>
        <w:t>Dada la naturaleza de tal</w:t>
      </w:r>
      <w:r w:rsidR="00315D47">
        <w:rPr>
          <w:rFonts w:ascii="Arial" w:hAnsi="Arial" w:eastAsia="Calibri" w:cs="Arial"/>
          <w:sz w:val="22"/>
          <w:lang w:val="es-ES_tradnl"/>
        </w:rPr>
        <w:t>es</w:t>
      </w:r>
      <w:r>
        <w:rPr>
          <w:rFonts w:ascii="Arial" w:hAnsi="Arial" w:eastAsia="Calibri" w:cs="Arial"/>
          <w:sz w:val="22"/>
          <w:lang w:val="es-ES_tradnl"/>
        </w:rPr>
        <w:t xml:space="preserve"> concepto</w:t>
      </w:r>
      <w:r w:rsidR="00315D47">
        <w:rPr>
          <w:rFonts w:ascii="Arial" w:hAnsi="Arial" w:eastAsia="Calibri" w:cs="Arial"/>
          <w:sz w:val="22"/>
          <w:lang w:val="es-ES_tradnl"/>
        </w:rPr>
        <w:t>s</w:t>
      </w:r>
      <w:r>
        <w:rPr>
          <w:rFonts w:ascii="Arial" w:hAnsi="Arial" w:eastAsia="Calibri" w:cs="Arial"/>
          <w:sz w:val="22"/>
          <w:lang w:val="es-ES_tradnl"/>
        </w:rPr>
        <w:t xml:space="preserve">, de acuerdo con las consideraciones </w:t>
      </w:r>
      <w:r w:rsidR="00315D47">
        <w:rPr>
          <w:rFonts w:ascii="Arial" w:hAnsi="Arial" w:eastAsia="Calibri" w:cs="Arial"/>
          <w:sz w:val="22"/>
          <w:lang w:val="es-ES_tradnl"/>
        </w:rPr>
        <w:t xml:space="preserve">expuestas </w:t>
      </w:r>
      <w:r>
        <w:rPr>
          <w:rFonts w:ascii="Arial" w:hAnsi="Arial" w:eastAsia="Calibri" w:cs="Arial"/>
          <w:sz w:val="22"/>
          <w:lang w:val="es-ES_tradnl"/>
        </w:rPr>
        <w:t>anteriormente, no es posible acceder a su solicitud. Por el contrario, en esta ocasión se reitera que</w:t>
      </w:r>
      <w:r w:rsidR="002D4329">
        <w:rPr>
          <w:rFonts w:ascii="Arial" w:hAnsi="Arial" w:eastAsia="Calibri" w:cs="Arial"/>
          <w:sz w:val="22"/>
          <w:lang w:val="es-ES_tradnl"/>
        </w:rPr>
        <w:t>,</w:t>
      </w:r>
      <w:r>
        <w:rPr>
          <w:rFonts w:ascii="Arial" w:hAnsi="Arial" w:eastAsia="Calibri" w:cs="Arial"/>
          <w:sz w:val="22"/>
          <w:lang w:val="es-ES_tradnl"/>
        </w:rPr>
        <w:t xml:space="preserve"> </w:t>
      </w:r>
      <w:r>
        <w:rPr>
          <w:rFonts w:ascii="Arial" w:hAnsi="Arial" w:eastAsia="Calibri" w:cs="Arial"/>
          <w:bCs/>
          <w:sz w:val="22"/>
          <w:lang w:val="es-ES_tradnl"/>
        </w:rPr>
        <w:t>en materia de contratación estatal, para contabilizar el término de experiencia profesional de los ingenieros, l</w:t>
      </w:r>
      <w:r w:rsidRPr="00204F24">
        <w:rPr>
          <w:rFonts w:ascii="Arial" w:hAnsi="Arial" w:eastAsia="Calibri" w:cs="Arial"/>
          <w:bCs/>
          <w:sz w:val="22"/>
          <w:lang w:val="es-ES_tradnl"/>
        </w:rPr>
        <w:t xml:space="preserve">a norma aplicable es el artículo 229 del Decreto </w:t>
      </w:r>
      <w:r w:rsidR="007915BC">
        <w:rPr>
          <w:rFonts w:ascii="Arial" w:hAnsi="Arial" w:eastAsia="Calibri" w:cs="Arial"/>
          <w:bCs/>
          <w:sz w:val="22"/>
          <w:lang w:val="es-ES_tradnl"/>
        </w:rPr>
        <w:t xml:space="preserve">Ley </w:t>
      </w:r>
      <w:r w:rsidRPr="00204F24">
        <w:rPr>
          <w:rFonts w:ascii="Arial" w:hAnsi="Arial" w:eastAsia="Calibri" w:cs="Arial"/>
          <w:bCs/>
          <w:sz w:val="22"/>
          <w:lang w:val="es-ES_tradnl"/>
        </w:rPr>
        <w:t>019 de 2012, el cual establece que la</w:t>
      </w:r>
      <w:r>
        <w:rPr>
          <w:rFonts w:ascii="Arial" w:hAnsi="Arial" w:eastAsia="Calibri" w:cs="Arial"/>
          <w:bCs/>
          <w:sz w:val="22"/>
          <w:lang w:val="es-ES_tradnl"/>
        </w:rPr>
        <w:t xml:space="preserve"> </w:t>
      </w:r>
      <w:r w:rsidRPr="00204F24">
        <w:rPr>
          <w:rFonts w:ascii="Arial" w:hAnsi="Arial" w:eastAsia="Calibri" w:cs="Arial"/>
          <w:bCs/>
          <w:sz w:val="22"/>
          <w:lang w:val="es-ES_tradnl"/>
        </w:rPr>
        <w:t>experiencia profesional comienza a contarse a partir de la terminación y aprobación del</w:t>
      </w:r>
      <w:r>
        <w:rPr>
          <w:rFonts w:ascii="Arial" w:hAnsi="Arial" w:eastAsia="Calibri" w:cs="Arial"/>
          <w:bCs/>
          <w:sz w:val="22"/>
          <w:lang w:val="es-ES_tradnl"/>
        </w:rPr>
        <w:t xml:space="preserve"> </w:t>
      </w:r>
      <w:proofErr w:type="spellStart"/>
      <w:r w:rsidRPr="00204F24">
        <w:rPr>
          <w:rFonts w:ascii="Arial" w:hAnsi="Arial" w:eastAsia="Calibri" w:cs="Arial"/>
          <w:bCs/>
          <w:sz w:val="22"/>
          <w:lang w:val="es-ES_tradnl"/>
        </w:rPr>
        <w:t>p</w:t>
      </w:r>
      <w:r w:rsidR="006327C2">
        <w:rPr>
          <w:rFonts w:ascii="Arial" w:hAnsi="Arial" w:eastAsia="Calibri" w:cs="Arial"/>
          <w:bCs/>
          <w:sz w:val="22"/>
          <w:lang w:val="es-ES_tradnl"/>
        </w:rPr>
        <w:t>é</w:t>
      </w:r>
      <w:r w:rsidRPr="00204F24">
        <w:rPr>
          <w:rFonts w:ascii="Arial" w:hAnsi="Arial" w:eastAsia="Calibri" w:cs="Arial"/>
          <w:bCs/>
          <w:sz w:val="22"/>
          <w:lang w:val="es-ES_tradnl"/>
        </w:rPr>
        <w:t>nsum</w:t>
      </w:r>
      <w:proofErr w:type="spellEnd"/>
      <w:r w:rsidRPr="00204F24">
        <w:rPr>
          <w:rFonts w:ascii="Arial" w:hAnsi="Arial" w:eastAsia="Calibri" w:cs="Arial"/>
          <w:bCs/>
          <w:sz w:val="22"/>
          <w:lang w:val="es-ES_tradnl"/>
        </w:rPr>
        <w:t xml:space="preserve"> académico. Lo anterior, sin perjuicio de lo dispuesto en el artículo 192 de la Ley</w:t>
      </w:r>
      <w:r>
        <w:rPr>
          <w:rFonts w:ascii="Arial" w:hAnsi="Arial" w:eastAsia="Calibri" w:cs="Arial"/>
          <w:bCs/>
          <w:sz w:val="22"/>
          <w:lang w:val="es-ES_tradnl"/>
        </w:rPr>
        <w:t xml:space="preserve"> </w:t>
      </w:r>
      <w:r w:rsidRPr="00204F24">
        <w:rPr>
          <w:rFonts w:ascii="Arial" w:hAnsi="Arial" w:eastAsia="Calibri" w:cs="Arial"/>
          <w:bCs/>
          <w:sz w:val="22"/>
          <w:lang w:val="es-ES_tradnl"/>
        </w:rPr>
        <w:t>1955 de 2019, que dispone que la práctica laboral que el estudiante realice para optar a</w:t>
      </w:r>
      <w:r>
        <w:rPr>
          <w:rFonts w:ascii="Arial" w:hAnsi="Arial" w:eastAsia="Calibri" w:cs="Arial"/>
          <w:bCs/>
          <w:sz w:val="22"/>
          <w:lang w:val="es-ES_tradnl"/>
        </w:rPr>
        <w:t xml:space="preserve"> </w:t>
      </w:r>
      <w:r w:rsidRPr="00204F24">
        <w:rPr>
          <w:rFonts w:ascii="Arial" w:hAnsi="Arial" w:eastAsia="Calibri" w:cs="Arial"/>
          <w:bCs/>
          <w:sz w:val="22"/>
          <w:lang w:val="es-ES_tradnl"/>
        </w:rPr>
        <w:t>su título de profesional, tecnológico o técnico cuenta como experiencia laboral.</w:t>
      </w:r>
      <w:r w:rsidR="002D4329">
        <w:rPr>
          <w:rFonts w:ascii="Arial" w:hAnsi="Arial" w:eastAsia="Calibri" w:cs="Arial"/>
          <w:bCs/>
          <w:sz w:val="22"/>
          <w:lang w:val="es-ES_tradnl"/>
        </w:rPr>
        <w:t xml:space="preserve"> Esto, por cuanto </w:t>
      </w:r>
      <w:r w:rsidRPr="002D4329" w:rsidR="002D4329">
        <w:rPr>
          <w:rFonts w:ascii="Arial" w:hAnsi="Arial" w:eastAsia="Calibri" w:cs="Arial"/>
          <w:bCs/>
          <w:sz w:val="22"/>
          <w:lang w:val="es-ES_tradnl"/>
        </w:rPr>
        <w:t>el artículo 229 del Decreto 019 de 2012 –al ser una norma posterior en</w:t>
      </w:r>
      <w:r w:rsidR="002D4329">
        <w:rPr>
          <w:rFonts w:ascii="Arial" w:hAnsi="Arial" w:eastAsia="Calibri" w:cs="Arial"/>
          <w:bCs/>
          <w:sz w:val="22"/>
          <w:lang w:val="es-ES_tradnl"/>
        </w:rPr>
        <w:t xml:space="preserve"> </w:t>
      </w:r>
      <w:r w:rsidRPr="002D4329" w:rsidR="002D4329">
        <w:rPr>
          <w:rFonts w:ascii="Arial" w:hAnsi="Arial" w:eastAsia="Calibri" w:cs="Arial"/>
          <w:bCs/>
          <w:sz w:val="22"/>
          <w:lang w:val="es-ES_tradnl"/>
        </w:rPr>
        <w:t xml:space="preserve">el tiempo– derogó tácitamente el artículo 12 de la Ley 842 de 2003, en lo que respecta </w:t>
      </w:r>
      <w:r w:rsidR="00315D47">
        <w:rPr>
          <w:rFonts w:ascii="Arial" w:hAnsi="Arial" w:eastAsia="Calibri" w:cs="Arial"/>
          <w:bCs/>
          <w:sz w:val="22"/>
          <w:lang w:val="es-ES_tradnl"/>
        </w:rPr>
        <w:t>al</w:t>
      </w:r>
      <w:r w:rsidRPr="002D4329" w:rsidR="002D4329">
        <w:rPr>
          <w:rFonts w:ascii="Arial" w:hAnsi="Arial" w:eastAsia="Calibri" w:cs="Arial"/>
          <w:bCs/>
          <w:sz w:val="22"/>
          <w:lang w:val="es-ES_tradnl"/>
        </w:rPr>
        <w:t xml:space="preserve"> cómputo de la experiencia profesional.</w:t>
      </w:r>
    </w:p>
    <w:p w:rsidR="002D4329" w:rsidP="002D4329" w:rsidRDefault="002D4329" w14:paraId="35DB8699" w14:textId="77777777">
      <w:pPr>
        <w:spacing w:line="276" w:lineRule="auto"/>
        <w:jc w:val="both"/>
        <w:rPr>
          <w:rFonts w:ascii="Arial" w:hAnsi="Arial" w:eastAsia="Calibri" w:cs="Arial"/>
          <w:sz w:val="22"/>
          <w:lang w:val="es-ES_tradnl"/>
        </w:rPr>
      </w:pPr>
    </w:p>
    <w:p w:rsidRPr="00DC759C" w:rsidR="000920F0" w:rsidP="000920F0" w:rsidRDefault="000920F0" w14:paraId="544609D3" w14:textId="159E852B">
      <w:pPr>
        <w:spacing w:line="276" w:lineRule="auto"/>
        <w:jc w:val="both"/>
        <w:rPr>
          <w:rFonts w:ascii="Arial" w:hAnsi="Arial" w:eastAsia="Calibri" w:cs="Arial"/>
          <w:sz w:val="22"/>
          <w:lang w:val="es-ES_tradnl"/>
        </w:rPr>
      </w:pPr>
      <w:r w:rsidRPr="00DC759C">
        <w:rPr>
          <w:rFonts w:ascii="Arial" w:hAnsi="Arial" w:eastAsia="Calibri" w:cs="Arial"/>
          <w:sz w:val="22"/>
          <w:lang w:val="es-ES_tradnl"/>
        </w:rPr>
        <w:t>Este concepto</w:t>
      </w:r>
      <w:r w:rsidR="003F7473">
        <w:rPr>
          <w:rFonts w:ascii="Arial" w:hAnsi="Arial" w:eastAsia="Calibri" w:cs="Arial"/>
          <w:sz w:val="22"/>
          <w:lang w:val="es-ES_tradnl"/>
        </w:rPr>
        <w:t xml:space="preserve">, al igual que </w:t>
      </w:r>
      <w:r w:rsidR="00A24684">
        <w:rPr>
          <w:rFonts w:ascii="Arial" w:hAnsi="Arial" w:eastAsia="Calibri" w:cs="Arial"/>
          <w:sz w:val="22"/>
          <w:lang w:val="es-ES_tradnl"/>
        </w:rPr>
        <w:t>el</w:t>
      </w:r>
      <w:r w:rsidR="003F7473">
        <w:rPr>
          <w:rFonts w:ascii="Arial" w:hAnsi="Arial" w:eastAsia="Calibri" w:cs="Arial"/>
          <w:sz w:val="22"/>
          <w:lang w:val="es-ES_tradnl"/>
        </w:rPr>
        <w:t xml:space="preserve"> que se reitera,</w:t>
      </w:r>
      <w:r w:rsidRPr="00DC759C">
        <w:rPr>
          <w:rFonts w:ascii="Arial" w:hAnsi="Arial" w:eastAsia="Calibri" w:cs="Arial"/>
          <w:sz w:val="22"/>
          <w:lang w:val="es-ES_tradnl"/>
        </w:rPr>
        <w:t xml:space="preserve"> tiene el alcance previsto en el artículo 28 del Código de Procedimiento Administrativo y de lo Contencioso Administrativo</w:t>
      </w:r>
      <w:r w:rsidRPr="00DC759C" w:rsidR="00CE51AE">
        <w:rPr>
          <w:rFonts w:ascii="Arial" w:hAnsi="Arial" w:eastAsia="Calibri" w:cs="Arial"/>
          <w:sz w:val="22"/>
          <w:lang w:val="es-ES_tradnl"/>
        </w:rPr>
        <w:t>, modificado por el artículo 1 de la Ley 1755 de 2015</w:t>
      </w:r>
      <w:r w:rsidRPr="00DC759C">
        <w:rPr>
          <w:rFonts w:ascii="Arial" w:hAnsi="Arial" w:eastAsia="Calibri" w:cs="Arial"/>
          <w:sz w:val="22"/>
          <w:lang w:val="es-ES_tradnl"/>
        </w:rPr>
        <w:t>.</w:t>
      </w:r>
    </w:p>
    <w:p w:rsidRPr="00DC759C" w:rsidR="001A7B0C" w:rsidP="00777704" w:rsidRDefault="001A7B0C" w14:paraId="069E278A" w14:textId="77777777">
      <w:pPr>
        <w:rPr>
          <w:rFonts w:ascii="Arial" w:hAnsi="Arial" w:eastAsia="Calibri" w:cs="Arial"/>
          <w:sz w:val="22"/>
          <w:lang w:val="es-ES_tradnl"/>
        </w:rPr>
      </w:pPr>
    </w:p>
    <w:p w:rsidRPr="00DC759C" w:rsidR="000920F0" w:rsidP="000920F0" w:rsidRDefault="000920F0" w14:paraId="537553D5" w14:textId="38CF5FE2">
      <w:pPr>
        <w:spacing w:line="276" w:lineRule="auto"/>
        <w:rPr>
          <w:rFonts w:ascii="Arial" w:hAnsi="Arial" w:cs="Arial"/>
          <w:sz w:val="22"/>
          <w:lang w:val="es-ES_tradnl" w:eastAsia="es-CO"/>
        </w:rPr>
      </w:pPr>
      <w:r w:rsidRPr="00DC759C">
        <w:rPr>
          <w:rFonts w:ascii="Arial" w:hAnsi="Arial" w:cs="Arial"/>
          <w:sz w:val="22"/>
          <w:lang w:val="es-ES_tradnl" w:eastAsia="es-CO"/>
        </w:rPr>
        <w:t>Atentamente,</w:t>
      </w:r>
    </w:p>
    <w:p w:rsidRPr="00DC759C" w:rsidR="000920F0" w:rsidP="000920F0" w:rsidRDefault="00FF2A50" w14:paraId="571DF5BC" w14:textId="1C714001">
      <w:pPr>
        <w:spacing w:line="276" w:lineRule="auto"/>
        <w:jc w:val="center"/>
        <w:rPr>
          <w:rFonts w:ascii="Arial" w:hAnsi="Arial" w:cs="Arial"/>
          <w:sz w:val="18"/>
          <w:szCs w:val="20"/>
          <w:lang w:val="es-ES_tradnl" w:eastAsia="es-CO"/>
        </w:rPr>
      </w:pPr>
      <w:r w:rsidR="00FF2A50">
        <w:drawing>
          <wp:inline wp14:editId="7B26B563" wp14:anchorId="3FB132B7">
            <wp:extent cx="2773144" cy="988695"/>
            <wp:effectExtent l="0" t="0" r="0" b="0"/>
            <wp:docPr id="653227919" name="Imagen 20" title=""/>
            <wp:cNvGraphicFramePr>
              <a:graphicFrameLocks noChangeAspect="1"/>
            </wp:cNvGraphicFramePr>
            <a:graphic>
              <a:graphicData uri="http://schemas.openxmlformats.org/drawingml/2006/picture">
                <pic:pic>
                  <pic:nvPicPr>
                    <pic:cNvPr id="0" name="Imagen 20"/>
                    <pic:cNvPicPr/>
                  </pic:nvPicPr>
                  <pic:blipFill>
                    <a:blip r:embed="Ref91fc4e9ccd43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bookmarkStart w:name="_GoBack" w:id="7"/>
      <w:bookmarkEnd w:id="7"/>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C759C" w:rsidR="00DC759C" w:rsidTr="00FC16B2" w14:paraId="5F526272" w14:textId="77777777">
        <w:trPr>
          <w:trHeight w:val="315"/>
        </w:trPr>
        <w:tc>
          <w:tcPr>
            <w:tcW w:w="812" w:type="dxa"/>
            <w:vAlign w:val="center"/>
            <w:hideMark/>
          </w:tcPr>
          <w:p w:rsidRPr="00DC759C" w:rsidR="000920F0" w:rsidP="00FC16B2" w:rsidRDefault="000920F0" w14:paraId="33690198"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DC759C" w:rsidR="000920F0" w:rsidP="00FC16B2" w:rsidRDefault="00696A12" w14:paraId="26EF6323"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David Castellanos Carreño</w:t>
            </w:r>
          </w:p>
          <w:p w:rsidRPr="00DC759C" w:rsidR="00C727E6" w:rsidP="00FC16B2" w:rsidRDefault="00C727E6" w14:paraId="5E6EE4F5" w14:textId="11AD8FCF">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Contratista</w:t>
            </w:r>
            <w:r w:rsidRPr="00DC759C" w:rsidR="00CE51AE">
              <w:rPr>
                <w:rFonts w:ascii="Arial" w:hAnsi="Arial" w:cs="Arial"/>
                <w:sz w:val="16"/>
                <w:szCs w:val="16"/>
                <w:lang w:val="es-ES_tradnl" w:eastAsia="es-ES"/>
              </w:rPr>
              <w:t xml:space="preserve">, </w:t>
            </w:r>
            <w:r w:rsidRPr="00DC759C">
              <w:rPr>
                <w:rFonts w:ascii="Arial" w:hAnsi="Arial" w:cs="Arial"/>
                <w:sz w:val="16"/>
                <w:szCs w:val="16"/>
                <w:lang w:val="es-ES_tradnl" w:eastAsia="es-ES"/>
              </w:rPr>
              <w:t>Subdirección de Gestión Contractual</w:t>
            </w:r>
          </w:p>
        </w:tc>
      </w:tr>
      <w:tr w:rsidRPr="00DC759C" w:rsidR="00DC759C" w:rsidTr="00FC16B2" w14:paraId="0C137F1C" w14:textId="77777777">
        <w:trPr>
          <w:trHeight w:val="330"/>
        </w:trPr>
        <w:tc>
          <w:tcPr>
            <w:tcW w:w="812" w:type="dxa"/>
            <w:vAlign w:val="center"/>
            <w:hideMark/>
          </w:tcPr>
          <w:p w:rsidRPr="00DC759C" w:rsidR="000920F0" w:rsidP="00FC16B2" w:rsidRDefault="000920F0" w14:paraId="76978847"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C759C" w:rsidR="00635BE6" w:rsidP="00635BE6" w:rsidRDefault="00341414" w14:paraId="551B8A08" w14:textId="57F59F4E">
            <w:pPr>
              <w:spacing w:line="276" w:lineRule="auto"/>
              <w:rPr>
                <w:rFonts w:ascii="Arial" w:hAnsi="Arial" w:cs="Arial"/>
                <w:sz w:val="16"/>
                <w:szCs w:val="16"/>
                <w:lang w:val="es-ES_tradnl" w:eastAsia="es-ES"/>
              </w:rPr>
            </w:pPr>
            <w:r>
              <w:rPr>
                <w:rFonts w:ascii="Arial" w:hAnsi="Arial" w:cs="Arial"/>
                <w:sz w:val="16"/>
                <w:szCs w:val="16"/>
                <w:lang w:val="es-ES_tradnl" w:eastAsia="es-ES"/>
              </w:rPr>
              <w:t>Sebastián Ramírez Grisales</w:t>
            </w:r>
          </w:p>
          <w:p w:rsidRPr="00DC759C" w:rsidR="000920F0" w:rsidP="00635BE6" w:rsidRDefault="00B137CF" w14:paraId="660FED67" w14:textId="04ED55CC">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Contratista</w:t>
            </w:r>
            <w:r>
              <w:rPr>
                <w:rFonts w:ascii="Arial" w:hAnsi="Arial" w:cs="Arial"/>
                <w:sz w:val="16"/>
                <w:szCs w:val="16"/>
                <w:lang w:val="es-ES_tradnl" w:eastAsia="es-ES"/>
              </w:rPr>
              <w:t xml:space="preserve"> – </w:t>
            </w:r>
            <w:r w:rsidRPr="00DC759C">
              <w:rPr>
                <w:rFonts w:ascii="Arial" w:hAnsi="Arial" w:cs="Arial"/>
                <w:sz w:val="16"/>
                <w:szCs w:val="16"/>
                <w:lang w:val="es-ES_tradnl" w:eastAsia="es-ES"/>
              </w:rPr>
              <w:t>Subdirección de Gestión Contractual</w:t>
            </w:r>
          </w:p>
        </w:tc>
      </w:tr>
      <w:tr w:rsidRPr="00DC759C" w:rsidR="000920F0" w:rsidTr="00FC16B2" w14:paraId="59D3F9A5" w14:textId="77777777">
        <w:trPr>
          <w:trHeight w:val="300"/>
        </w:trPr>
        <w:tc>
          <w:tcPr>
            <w:tcW w:w="812" w:type="dxa"/>
            <w:vAlign w:val="center"/>
            <w:hideMark/>
          </w:tcPr>
          <w:p w:rsidRPr="00DC759C" w:rsidR="000920F0" w:rsidP="00FC16B2" w:rsidRDefault="000920F0" w14:paraId="62FFFDDB"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C759C" w:rsidR="000920F0" w:rsidP="00FC16B2" w:rsidRDefault="000920F0" w14:paraId="11BAAC9A"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Fabián Gonzalo Marín Cortés</w:t>
            </w:r>
          </w:p>
          <w:p w:rsidRPr="00DC759C" w:rsidR="000920F0" w:rsidP="00FC16B2" w:rsidRDefault="000920F0" w14:paraId="417C54F4"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Subdirector de Gestión Contractual</w:t>
            </w:r>
          </w:p>
        </w:tc>
      </w:tr>
      <w:bookmarkEnd w:id="2"/>
    </w:tbl>
    <w:p w:rsidRPr="00DC759C" w:rsidR="007B0854" w:rsidP="00777704" w:rsidRDefault="007B0854" w14:paraId="7EBF297E" w14:textId="77777777">
      <w:pPr>
        <w:spacing w:line="120" w:lineRule="auto"/>
        <w:rPr>
          <w:lang w:val="es-ES_tradnl"/>
        </w:rPr>
      </w:pPr>
    </w:p>
    <w:sectPr w:rsidRPr="00DC759C" w:rsidR="007B0854" w:rsidSect="004A34D2">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09" w:rsidRDefault="009C6009" w14:paraId="742BFD43" w14:textId="77777777">
      <w:r>
        <w:separator/>
      </w:r>
    </w:p>
  </w:endnote>
  <w:endnote w:type="continuationSeparator" w:id="0">
    <w:p w:rsidR="009C6009" w:rsidRDefault="009C6009" w14:paraId="4E524F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D0D39" w:rsidP="00F72936" w:rsidRDefault="005D0D39" w14:paraId="1D1A5F74" w14:textId="1A21F524">
    <w:pPr>
      <w:pStyle w:val="Sinespaciado"/>
      <w:jc w:val="right"/>
      <w:rPr>
        <w:rFonts w:ascii="Arial" w:hAnsi="Arial" w:cs="Arial"/>
        <w:sz w:val="18"/>
        <w:szCs w:val="18"/>
      </w:rPr>
    </w:pPr>
  </w:p>
  <w:p w:rsidRPr="008217B7" w:rsidR="005D0D39" w:rsidP="00F72936" w:rsidRDefault="005D0D39" w14:paraId="17CC9D90"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1</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13</w:t>
    </w:r>
  </w:p>
  <w:p w:rsidR="005D0D39" w:rsidP="00F72936" w:rsidRDefault="005D0D39" w14:paraId="1FC56E89" w14:textId="77777777">
    <w:pPr>
      <w:pStyle w:val="Piedepgina"/>
      <w:jc w:val="center"/>
      <w:rPr>
        <w:lang w:val="es-ES"/>
      </w:rPr>
    </w:pPr>
    <w:r w:rsidR="26EF778F">
      <w:drawing>
        <wp:inline wp14:editId="713D03FA" wp14:anchorId="29A046D9">
          <wp:extent cx="3700130" cy="519139"/>
          <wp:effectExtent l="0" t="0" r="0" b="0"/>
          <wp:docPr id="366701929" name="Imagen 3" title=""/>
          <wp:cNvGraphicFramePr>
            <a:graphicFrameLocks noChangeAspect="1"/>
          </wp:cNvGraphicFramePr>
          <a:graphic>
            <a:graphicData uri="http://schemas.openxmlformats.org/drawingml/2006/picture">
              <pic:pic>
                <pic:nvPicPr>
                  <pic:cNvPr id="0" name="Imagen 3"/>
                  <pic:cNvPicPr/>
                </pic:nvPicPr>
                <pic:blipFill>
                  <a:blip r:embed="Rae519d86d5a3493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5D0D39" w:rsidP="00F72936" w:rsidRDefault="005D0D39" w14:paraId="742E53B6" w14:textId="77777777">
    <w:pPr>
      <w:pStyle w:val="Piedepgina"/>
      <w:jc w:val="center"/>
      <w:rPr>
        <w:lang w:val="es-ES"/>
      </w:rPr>
    </w:pPr>
  </w:p>
  <w:p w:rsidRPr="007B0854" w:rsidR="005D0D39" w:rsidP="00F72936" w:rsidRDefault="005D0D39" w14:paraId="304E5412" w14:textId="77777777">
    <w:pPr>
      <w:pStyle w:val="Piedepgina"/>
      <w:jc w:val="center"/>
      <w:rPr>
        <w:lang w:val="es-ES"/>
      </w:rPr>
    </w:pPr>
  </w:p>
  <w:p w:rsidRPr="00856133" w:rsidR="005D0D39" w:rsidP="00F72936" w:rsidRDefault="005D0D39" w14:paraId="47FC0032" w14:textId="77777777">
    <w:pPr>
      <w:pStyle w:val="Piedepgina"/>
    </w:pPr>
  </w:p>
  <w:p w:rsidRPr="00F72936" w:rsidR="005D0D39" w:rsidP="00F72936" w:rsidRDefault="005D0D39" w14:paraId="6C0EFC49"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09" w:rsidRDefault="009C6009" w14:paraId="128E4469" w14:textId="77777777">
      <w:r>
        <w:separator/>
      </w:r>
    </w:p>
  </w:footnote>
  <w:footnote w:type="continuationSeparator" w:id="0">
    <w:p w:rsidR="009C6009" w:rsidRDefault="009C6009" w14:paraId="05EDF901" w14:textId="77777777">
      <w:r>
        <w:continuationSeparator/>
      </w:r>
    </w:p>
  </w:footnote>
  <w:footnote w:id="1">
    <w:p w:rsidRPr="003A4125" w:rsidR="00E612F5" w:rsidP="00E612F5" w:rsidRDefault="00E612F5" w14:paraId="76789B52" w14:textId="77777777">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w:history="1" r:id="rId1">
        <w:r w:rsidRPr="003A4125">
          <w:rPr>
            <w:rStyle w:val="Hipervnculo"/>
            <w:rFonts w:ascii="Arial" w:hAnsi="Arial" w:cs="Arial"/>
            <w:color w:val="auto"/>
            <w:sz w:val="19"/>
            <w:szCs w:val="19"/>
          </w:rPr>
          <w:t>https://issuu.com/estudiolegalhernandez/docs/ahb._funci__n_consultiva_y_consejo_</w:t>
        </w:r>
      </w:hyperlink>
      <w:r w:rsidRPr="003A4125">
        <w:rPr>
          <w:rFonts w:ascii="Arial" w:hAnsi="Arial" w:cs="Arial"/>
          <w:sz w:val="19"/>
          <w:szCs w:val="19"/>
        </w:rPr>
        <w:t>.</w:t>
      </w:r>
    </w:p>
    <w:p w:rsidRPr="003A4125" w:rsidR="00E612F5" w:rsidP="00E612F5" w:rsidRDefault="00E612F5" w14:paraId="0BEB891C" w14:textId="77777777">
      <w:pPr>
        <w:pStyle w:val="Textonotapie"/>
        <w:ind w:firstLine="709"/>
        <w:jc w:val="both"/>
        <w:rPr>
          <w:rFonts w:ascii="Arial" w:hAnsi="Arial" w:cs="Arial"/>
          <w:sz w:val="19"/>
          <w:szCs w:val="19"/>
        </w:rPr>
      </w:pPr>
    </w:p>
  </w:footnote>
  <w:footnote w:id="2">
    <w:p w:rsidRPr="00ED7FAE" w:rsidR="0053486E" w:rsidP="00ED7FAE" w:rsidRDefault="0053486E" w14:paraId="2EA9AF08" w14:textId="77777777">
      <w:pPr>
        <w:pStyle w:val="Textonotapie"/>
        <w:ind w:firstLine="709"/>
        <w:jc w:val="both"/>
        <w:rPr>
          <w:rFonts w:ascii="Arial" w:hAnsi="Arial" w:cs="Arial"/>
          <w:sz w:val="19"/>
          <w:szCs w:val="19"/>
        </w:rPr>
      </w:pPr>
      <w:r w:rsidRPr="00ED7FAE">
        <w:rPr>
          <w:rStyle w:val="Refdenotaalpie"/>
          <w:rFonts w:ascii="Arial" w:hAnsi="Arial" w:cs="Arial"/>
          <w:sz w:val="19"/>
          <w:szCs w:val="19"/>
        </w:rPr>
        <w:footnoteRef/>
      </w:r>
      <w:r w:rsidRPr="00ED7FAE">
        <w:rPr>
          <w:rFonts w:ascii="Arial" w:hAnsi="Arial" w:cs="Arial"/>
          <w:sz w:val="19"/>
          <w:szCs w:val="19"/>
        </w:rPr>
        <w:t xml:space="preserve"> Corte Constitucional. Sentencia C-296 de 2012. M.P. Juan Carlos Henao Pérez.</w:t>
      </w:r>
    </w:p>
    <w:p w:rsidRPr="00ED7FAE" w:rsidR="0053486E" w:rsidP="00ED7FAE" w:rsidRDefault="0053486E" w14:paraId="3EAC8DFD" w14:textId="77777777">
      <w:pPr>
        <w:pStyle w:val="Textonotapie"/>
        <w:ind w:firstLine="709"/>
        <w:jc w:val="both"/>
        <w:rPr>
          <w:rFonts w:ascii="Arial" w:hAnsi="Arial" w:cs="Arial"/>
          <w:sz w:val="19"/>
          <w:szCs w:val="19"/>
        </w:rPr>
      </w:pPr>
    </w:p>
  </w:footnote>
  <w:footnote w:id="3">
    <w:p w:rsidR="00AC3E22" w:rsidP="00AC3E22" w:rsidRDefault="00AC3E22" w14:paraId="5271A8E8" w14:textId="77777777">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Cfr. Respuestas emitidas dentro de los radicados Nos.: 4202013000002250, 4202013000002249, 202013000002232, 4202013000002225, 4202013000002227, 4202013000002220, 4202013000002221, 4202013000002217, 4202013000002215, 4202013000002230, 4202013000002223, 4202013000002219, 4202013000002237, 4202013000002210, 4202013000002278, 4202013000002277, 4202013000002272, 4202013000002696, 4202013000002699, 4202012000002681, 4202012000002683, 4202012000002676, 4202012000002682, 4202012000002689, 4202013000002697, 4202013000002723, 4202012000002688, 4202013000002813, 4202013000002808, 4202013000002798, 4202013000002793, 4202013000002792, 4202013000002791, 4202013000002790 y 4202020000002788, entre muchos otros similares.</w:t>
      </w:r>
    </w:p>
    <w:p w:rsidRPr="003A4125" w:rsidR="00AC3E22" w:rsidP="00AC3E22" w:rsidRDefault="00AC3E22" w14:paraId="6D69B6AD" w14:textId="77777777">
      <w:pPr>
        <w:pStyle w:val="Textonotapie"/>
        <w:ind w:firstLine="708"/>
        <w:jc w:val="both"/>
        <w:rPr>
          <w:rFonts w:ascii="Arial" w:hAnsi="Arial" w:cs="Arial"/>
          <w:sz w:val="19"/>
          <w:szCs w:val="19"/>
        </w:rPr>
      </w:pPr>
    </w:p>
  </w:footnote>
  <w:footnote w:id="4">
    <w:p w:rsidR="00AC3E22" w:rsidP="00AC3E22" w:rsidRDefault="00AC3E22" w14:paraId="0B92085B" w14:textId="77777777">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Procuraduría General de la Nación. </w:t>
      </w:r>
      <w:r>
        <w:rPr>
          <w:rFonts w:ascii="Arial" w:hAnsi="Arial" w:cs="Arial"/>
          <w:sz w:val="19"/>
          <w:szCs w:val="19"/>
        </w:rPr>
        <w:t>C</w:t>
      </w:r>
      <w:r w:rsidRPr="0093788B">
        <w:rPr>
          <w:rFonts w:ascii="Arial" w:hAnsi="Arial" w:cs="Arial"/>
          <w:sz w:val="19"/>
          <w:szCs w:val="19"/>
        </w:rPr>
        <w:t>oncepto del 15 de octubre de 2014</w:t>
      </w:r>
      <w:r>
        <w:rPr>
          <w:rFonts w:ascii="Arial" w:hAnsi="Arial" w:cs="Arial"/>
          <w:sz w:val="19"/>
          <w:szCs w:val="19"/>
        </w:rPr>
        <w:t xml:space="preserve">. </w:t>
      </w:r>
      <w:r w:rsidRPr="003A4125">
        <w:rPr>
          <w:rFonts w:ascii="Arial" w:hAnsi="Arial" w:cs="Arial"/>
          <w:sz w:val="19"/>
          <w:szCs w:val="19"/>
        </w:rPr>
        <w:t>Procuraduría Delegada para Asuntos Disciplinarios. Radicado PAD C-114-2014</w:t>
      </w:r>
      <w:r>
        <w:rPr>
          <w:rFonts w:ascii="Arial" w:hAnsi="Arial" w:cs="Arial"/>
          <w:sz w:val="19"/>
          <w:szCs w:val="19"/>
        </w:rPr>
        <w:t>.</w:t>
      </w:r>
    </w:p>
    <w:p w:rsidRPr="003A4125" w:rsidR="00AC3E22" w:rsidP="00AC3E22" w:rsidRDefault="00AC3E22" w14:paraId="7C57481F" w14:textId="77777777">
      <w:pPr>
        <w:pStyle w:val="Textonotapie"/>
        <w:ind w:firstLine="709"/>
        <w:jc w:val="both"/>
        <w:rPr>
          <w:rFonts w:ascii="Arial" w:hAnsi="Arial" w:cs="Arial"/>
          <w:sz w:val="19"/>
          <w:szCs w:val="19"/>
        </w:rPr>
      </w:pPr>
    </w:p>
  </w:footnote>
  <w:footnote w:id="5">
    <w:p w:rsidR="003167F5" w:rsidP="003167F5" w:rsidRDefault="003167F5" w14:paraId="41FC8CE9" w14:textId="77777777">
      <w:pPr>
        <w:pStyle w:val="Textonotapie"/>
        <w:ind w:firstLine="708"/>
      </w:pPr>
      <w:r w:rsidRPr="001946FB">
        <w:rPr>
          <w:rStyle w:val="Refdenotaalpie"/>
          <w:rFonts w:ascii="Arial" w:hAnsi="Arial" w:cs="Arial"/>
          <w:sz w:val="19"/>
          <w:szCs w:val="19"/>
        </w:rPr>
        <w:footnoteRef/>
      </w:r>
      <w:r w:rsidRPr="001946FB">
        <w:rPr>
          <w:rFonts w:ascii="Arial" w:hAnsi="Arial" w:cs="Arial"/>
          <w:sz w:val="19"/>
          <w:szCs w:val="19"/>
        </w:rPr>
        <w:t xml:space="preserve"> Contraloría General de la República. Oficina Jurídica. Concepto 80112-OJ-008 2017</w:t>
      </w:r>
      <w:r>
        <w:rPr>
          <w:rFonts w:ascii="Arial" w:hAnsi="Arial" w:cs="Arial"/>
          <w:sz w:val="19"/>
          <w:szCs w:val="19"/>
        </w:rPr>
        <w:t>.</w:t>
      </w:r>
    </w:p>
  </w:footnote>
  <w:footnote w:id="6">
    <w:p w:rsidRPr="008815AB" w:rsidR="00AC3E22" w:rsidP="00AC3E22" w:rsidRDefault="00AC3E22" w14:paraId="3B76CEE3" w14:textId="77777777">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ARBOLEDA PERDONO, Enrique José. Comentarios al Nuevo Código de Procedimiento Administrativo y de lo Contencioso Administrativo (2ª ed.). Editorial Legis. Bogotá. 2012. p.59.</w:t>
      </w:r>
    </w:p>
  </w:footnote>
  <w:footnote w:id="7">
    <w:p w:rsidRPr="008815AB" w:rsidR="00AC3E22" w:rsidP="00AC3E22" w:rsidRDefault="00AC3E22" w14:paraId="57EBBD98" w14:textId="77777777">
      <w:pPr>
        <w:pStyle w:val="Textonotapie"/>
        <w:ind w:firstLine="709"/>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w:history="1" r:id="rId2">
        <w:r w:rsidRPr="008815AB">
          <w:rPr>
            <w:rStyle w:val="Hipervnculo"/>
            <w:rFonts w:ascii="Arial" w:hAnsi="Arial" w:cs="Arial"/>
            <w:color w:val="auto"/>
            <w:sz w:val="19"/>
            <w:szCs w:val="19"/>
          </w:rPr>
          <w:t>https://issuu.com/estudiolegalhernandez/docs/ahb._funci__n_consultiva_y_consejo_</w:t>
        </w:r>
      </w:hyperlink>
      <w:r w:rsidRPr="008815AB">
        <w:rPr>
          <w:rFonts w:ascii="Arial" w:hAnsi="Arial" w:cs="Arial"/>
          <w:sz w:val="19"/>
          <w:szCs w:val="19"/>
        </w:rPr>
        <w:t>.</w:t>
      </w:r>
    </w:p>
    <w:p w:rsidRPr="008815AB" w:rsidR="00AC3E22" w:rsidP="00AC3E22" w:rsidRDefault="00AC3E22" w14:paraId="09D555FA" w14:textId="77777777">
      <w:pPr>
        <w:pStyle w:val="Textonotapie"/>
        <w:ind w:firstLine="709"/>
        <w:jc w:val="both"/>
        <w:rPr>
          <w:rFonts w:ascii="Arial" w:hAnsi="Arial" w:cs="Arial"/>
          <w:sz w:val="19"/>
          <w:szCs w:val="19"/>
        </w:rPr>
      </w:pPr>
    </w:p>
  </w:footnote>
  <w:footnote w:id="8">
    <w:p w:rsidRPr="008815AB" w:rsidR="00AC3E22" w:rsidP="00AC3E22" w:rsidRDefault="00AC3E22" w14:paraId="584FFE8F" w14:textId="77777777">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Consejo de Estado. Sala de Consulta y Servicio Civil. Concepto del 5 de octubre de 2009. Expediente 11001-03-06-000-2009-00049-00(1966). C.P. William Zambrano Cetina.</w:t>
      </w:r>
    </w:p>
  </w:footnote>
  <w:footnote w:id="9">
    <w:p w:rsidRPr="00ED7FAE" w:rsidR="005D0D39" w:rsidP="00ED7FAE" w:rsidRDefault="005D0D39" w14:paraId="287313C2" w14:textId="20011A26">
      <w:pPr>
        <w:pStyle w:val="Textonotapie"/>
        <w:ind w:firstLine="708"/>
        <w:jc w:val="both"/>
        <w:rPr>
          <w:rFonts w:ascii="Arial" w:hAnsi="Arial" w:cs="Arial"/>
          <w:sz w:val="19"/>
          <w:szCs w:val="19"/>
        </w:rPr>
      </w:pPr>
      <w:r w:rsidRPr="00ED7FAE">
        <w:rPr>
          <w:rStyle w:val="Refdenotaalpie"/>
          <w:rFonts w:ascii="Arial" w:hAnsi="Arial" w:cs="Arial"/>
          <w:sz w:val="19"/>
          <w:szCs w:val="19"/>
        </w:rPr>
        <w:footnoteRef/>
      </w:r>
      <w:r w:rsidRPr="00ED7FAE">
        <w:rPr>
          <w:rFonts w:ascii="Arial" w:hAnsi="Arial" w:cs="Arial"/>
          <w:sz w:val="19"/>
          <w:szCs w:val="19"/>
        </w:rPr>
        <w:t xml:space="preserve"> En la sentencia se dice: «7.49. En conclusión estima la Corte que el artículo 12 de la Ley 842 de 2003 no desconoció el derecho a la igualdad contenido en el artículo 13 superior ni el artículo 25 de la C.P referente al trabajo, y por ende la norma demandada debe declararse exequible ya que en este caso la mayor exigencia del cómputo de la experiencia profesional a partir de la expedición de la matrícula profesional se justifica razonablemente. En efecto, en este caso la norma demandada tiene una explicación constitucionalmente legítima, es idónea y proporcional ya que trata de prevenir y evitar el riesgo social que conlleva el ejercicio de la ingeniería, profesiones afines y auxiliares. En este caso se admite la diferenciación del cómputo de la experiencia profesional con relación a otras actividades y oficios, ya que la exigencia de la matrícula profesional o el certificado de inscripción profesional tiene una finalidad constitucionalmente legítima que consiste en demostrar que se cuenta con una formación académica y una experiencia específica para asumir la responsabilidad que implica el ejercicio de estas profesiones que pueden afectar derechos fundamentales de primerísimo orden.».</w:t>
      </w:r>
    </w:p>
    <w:p w:rsidRPr="00ED7FAE" w:rsidR="005D0D39" w:rsidP="00ED7FAE" w:rsidRDefault="005D0D39" w14:paraId="51137B24" w14:textId="77777777">
      <w:pPr>
        <w:pStyle w:val="Textonotapie"/>
        <w:ind w:firstLine="708"/>
        <w:jc w:val="both"/>
        <w:rPr>
          <w:rFonts w:ascii="Arial" w:hAnsi="Arial" w:cs="Arial"/>
          <w:sz w:val="19"/>
          <w:szCs w:val="19"/>
        </w:rPr>
      </w:pPr>
    </w:p>
  </w:footnote>
  <w:footnote w:id="10">
    <w:p w:rsidR="00CF4C87" w:rsidP="00ED7FAE" w:rsidRDefault="00CF4C87" w14:paraId="30258E0D" w14:textId="1B59E409">
      <w:pPr>
        <w:pStyle w:val="Textonotapie"/>
        <w:ind w:firstLine="708"/>
        <w:jc w:val="both"/>
        <w:rPr>
          <w:rFonts w:ascii="Arial" w:hAnsi="Arial" w:cs="Arial"/>
          <w:sz w:val="19"/>
          <w:szCs w:val="19"/>
        </w:rPr>
      </w:pPr>
      <w:r w:rsidRPr="00ED7FAE">
        <w:rPr>
          <w:rStyle w:val="Refdenotaalpie"/>
          <w:rFonts w:ascii="Arial" w:hAnsi="Arial" w:cs="Arial"/>
          <w:sz w:val="19"/>
          <w:szCs w:val="19"/>
        </w:rPr>
        <w:footnoteRef/>
      </w:r>
      <w:r w:rsidRPr="00ED7FAE">
        <w:rPr>
          <w:rFonts w:ascii="Arial" w:hAnsi="Arial" w:cs="Arial"/>
          <w:sz w:val="19"/>
          <w:szCs w:val="19"/>
        </w:rPr>
        <w:t xml:space="preserve"> Consejo de Estado. Sala de Consulta y Servicio Civil. Concepto del </w:t>
      </w:r>
      <w:r w:rsidRPr="00ED7FAE" w:rsidR="00020866">
        <w:rPr>
          <w:rFonts w:ascii="Arial" w:hAnsi="Arial" w:cs="Arial"/>
          <w:sz w:val="19"/>
          <w:szCs w:val="19"/>
        </w:rPr>
        <w:t>17 de julio de 2008</w:t>
      </w:r>
      <w:r w:rsidRPr="00ED7FAE">
        <w:rPr>
          <w:rFonts w:ascii="Arial" w:hAnsi="Arial" w:cs="Arial"/>
          <w:sz w:val="19"/>
          <w:szCs w:val="19"/>
        </w:rPr>
        <w:t xml:space="preserve">. Expediente </w:t>
      </w:r>
      <w:r w:rsidRPr="00ED7FAE" w:rsidR="00020866">
        <w:rPr>
          <w:rFonts w:ascii="Arial" w:hAnsi="Arial" w:cs="Arial"/>
          <w:sz w:val="19"/>
          <w:szCs w:val="19"/>
        </w:rPr>
        <w:t>11001-03-06-000-2008-00048-00 (1910)</w:t>
      </w:r>
      <w:r w:rsidRPr="00ED7FAE">
        <w:rPr>
          <w:rFonts w:ascii="Arial" w:hAnsi="Arial" w:cs="Arial"/>
          <w:sz w:val="19"/>
          <w:szCs w:val="19"/>
        </w:rPr>
        <w:t xml:space="preserve">. C.P. </w:t>
      </w:r>
      <w:r w:rsidRPr="00ED7FAE" w:rsidR="00020866">
        <w:rPr>
          <w:rFonts w:ascii="Arial" w:hAnsi="Arial" w:cs="Arial"/>
          <w:sz w:val="19"/>
          <w:szCs w:val="19"/>
        </w:rPr>
        <w:t>Gustavo Aponte Santos</w:t>
      </w:r>
      <w:r w:rsidRPr="00ED7FAE">
        <w:rPr>
          <w:rFonts w:ascii="Arial" w:hAnsi="Arial" w:cs="Arial"/>
          <w:sz w:val="19"/>
          <w:szCs w:val="19"/>
        </w:rPr>
        <w:t>.</w:t>
      </w:r>
    </w:p>
    <w:p w:rsidRPr="00ED7FAE" w:rsidR="00ED7FAE" w:rsidP="00ED7FAE" w:rsidRDefault="00ED7FAE" w14:paraId="628DDF2C" w14:textId="77777777">
      <w:pPr>
        <w:pStyle w:val="Textonotapie"/>
        <w:ind w:firstLine="708"/>
        <w:jc w:val="both"/>
        <w:rPr>
          <w:rFonts w:ascii="Arial" w:hAnsi="Arial" w:cs="Arial"/>
          <w:sz w:val="19"/>
          <w:szCs w:val="19"/>
        </w:rPr>
      </w:pPr>
    </w:p>
  </w:footnote>
  <w:footnote w:id="11">
    <w:p w:rsidRPr="00ED7FAE" w:rsidR="00ED7FAE" w:rsidP="00ED7FAE" w:rsidRDefault="00ED7FAE" w14:paraId="03ABDA42" w14:textId="07AE51E7">
      <w:pPr>
        <w:pStyle w:val="Textonotapie"/>
        <w:ind w:firstLine="709"/>
        <w:jc w:val="both"/>
        <w:rPr>
          <w:rFonts w:ascii="Arial" w:hAnsi="Arial" w:cs="Arial"/>
          <w:sz w:val="19"/>
          <w:szCs w:val="19"/>
        </w:rPr>
      </w:pPr>
      <w:r w:rsidRPr="00ED7FAE">
        <w:rPr>
          <w:rStyle w:val="Refdenotaalpie"/>
          <w:rFonts w:ascii="Arial" w:hAnsi="Arial" w:cs="Arial"/>
          <w:sz w:val="19"/>
          <w:szCs w:val="19"/>
        </w:rPr>
        <w:footnoteRef/>
      </w:r>
      <w:r w:rsidRPr="00ED7FAE">
        <w:rPr>
          <w:rFonts w:ascii="Arial" w:hAnsi="Arial" w:cs="Arial"/>
          <w:sz w:val="19"/>
          <w:szCs w:val="19"/>
        </w:rPr>
        <w:t xml:space="preserve"> </w:t>
      </w:r>
      <w:r>
        <w:rPr>
          <w:rFonts w:ascii="Arial" w:hAnsi="Arial" w:cs="Arial"/>
          <w:sz w:val="19"/>
          <w:szCs w:val="19"/>
        </w:rPr>
        <w:t>Es del caso precisar que en la solicitud se hizo referencia al auto dictado el 17 de septiembre de 2013. Sin embargo, consultado el sistema de gestión del Consejo de Estado y el contenido de la providencia citada, se pudo establecer que, en realidad, se hacía referencia al auto de octubre 2 de 2017</w:t>
      </w:r>
      <w:r w:rsidRPr="00ED7FAE">
        <w:rPr>
          <w:rFonts w:ascii="Arial" w:hAnsi="Arial" w:cs="Arial"/>
          <w:sz w:val="19"/>
          <w:szCs w:val="19"/>
        </w:rPr>
        <w:t xml:space="preserve">. </w:t>
      </w:r>
    </w:p>
    <w:p w:rsidRPr="00ED7FAE" w:rsidR="00ED7FAE" w:rsidP="00ED7FAE" w:rsidRDefault="00ED7FAE" w14:paraId="72E0D80F" w14:textId="77777777">
      <w:pPr>
        <w:pStyle w:val="Textonotapie"/>
        <w:ind w:firstLine="708"/>
        <w:jc w:val="both"/>
        <w:rPr>
          <w:rFonts w:ascii="Arial" w:hAnsi="Arial" w:cs="Arial"/>
          <w:sz w:val="19"/>
          <w:szCs w:val="19"/>
        </w:rPr>
      </w:pPr>
    </w:p>
  </w:footnote>
  <w:footnote w:id="12">
    <w:p w:rsidRPr="00ED7FAE" w:rsidR="00ED7FAE" w:rsidP="00ED7FAE" w:rsidRDefault="00ED7FAE" w14:paraId="6BF5FFF1" w14:textId="77777777">
      <w:pPr>
        <w:pStyle w:val="Textonotapie"/>
        <w:ind w:firstLine="709"/>
        <w:jc w:val="both"/>
        <w:rPr>
          <w:rFonts w:ascii="Arial" w:hAnsi="Arial" w:cs="Arial"/>
          <w:sz w:val="19"/>
          <w:szCs w:val="19"/>
        </w:rPr>
      </w:pPr>
      <w:r w:rsidRPr="00ED7FAE">
        <w:rPr>
          <w:rStyle w:val="Refdenotaalpie"/>
          <w:rFonts w:ascii="Arial" w:hAnsi="Arial" w:cs="Arial"/>
          <w:sz w:val="19"/>
          <w:szCs w:val="19"/>
        </w:rPr>
        <w:footnoteRef/>
      </w:r>
      <w:r w:rsidRPr="00ED7FAE">
        <w:rPr>
          <w:rFonts w:ascii="Arial" w:hAnsi="Arial" w:cs="Arial"/>
          <w:sz w:val="19"/>
          <w:szCs w:val="19"/>
        </w:rPr>
        <w:t xml:space="preserve"> Consejo de Estado. Sección Primera. Auto del 2 de octubre de 2017. Expediente 11001-03-24-000-2015-00502-00. M.P. María Elizabeth García González. </w:t>
      </w:r>
    </w:p>
    <w:p w:rsidRPr="00ED7FAE" w:rsidR="00ED7FAE" w:rsidP="00ED7FAE" w:rsidRDefault="00ED7FAE" w14:paraId="1E30E940" w14:textId="5768B98F">
      <w:pPr>
        <w:pStyle w:val="Textonotapie"/>
        <w:ind w:firstLine="708"/>
        <w:jc w:val="both"/>
        <w:rPr>
          <w:rFonts w:ascii="Arial" w:hAnsi="Arial" w:cs="Arial"/>
          <w:sz w:val="19"/>
          <w:szCs w:val="19"/>
        </w:rPr>
      </w:pPr>
    </w:p>
  </w:footnote>
  <w:footnote w:id="13">
    <w:p w:rsidRPr="00ED7FAE" w:rsidR="005D0D39" w:rsidP="00ED7FAE" w:rsidRDefault="005D0D39" w14:paraId="18499732" w14:textId="3B203BD6">
      <w:pPr>
        <w:pStyle w:val="Textonotapie"/>
        <w:ind w:firstLine="708"/>
        <w:jc w:val="both"/>
        <w:rPr>
          <w:rFonts w:ascii="Arial" w:hAnsi="Arial" w:cs="Arial"/>
          <w:sz w:val="19"/>
          <w:szCs w:val="19"/>
        </w:rPr>
      </w:pPr>
      <w:r w:rsidRPr="00ED7FAE">
        <w:rPr>
          <w:rStyle w:val="Refdenotaalpie"/>
          <w:rFonts w:ascii="Arial" w:hAnsi="Arial" w:cs="Arial"/>
          <w:sz w:val="19"/>
          <w:szCs w:val="19"/>
        </w:rPr>
        <w:footnoteRef/>
      </w:r>
      <w:r w:rsidRPr="00ED7FAE">
        <w:rPr>
          <w:rFonts w:ascii="Arial" w:hAnsi="Arial" w:cs="Arial"/>
          <w:sz w:val="19"/>
          <w:szCs w:val="19"/>
        </w:rPr>
        <w:t xml:space="preserve">  Concepto 20124000026371 del 20 de febrero de 2012.</w:t>
      </w:r>
    </w:p>
    <w:p w:rsidRPr="00ED7FAE" w:rsidR="005D0D39" w:rsidP="00ED7FAE" w:rsidRDefault="005D0D39" w14:paraId="5EA45795" w14:textId="77777777">
      <w:pPr>
        <w:pStyle w:val="Textonotapie"/>
        <w:ind w:firstLine="708"/>
        <w:jc w:val="both"/>
        <w:rPr>
          <w:rFonts w:ascii="Arial" w:hAnsi="Arial" w:cs="Arial"/>
          <w:sz w:val="19"/>
          <w:szCs w:val="19"/>
        </w:rPr>
      </w:pPr>
    </w:p>
  </w:footnote>
  <w:footnote w:id="14">
    <w:p w:rsidRPr="00ED7FAE" w:rsidR="005D0D39" w:rsidP="00ED7FAE" w:rsidRDefault="005D0D39" w14:paraId="61C0DCF9" w14:textId="277ACF8D">
      <w:pPr>
        <w:pStyle w:val="Textonotapie"/>
        <w:ind w:firstLine="708"/>
        <w:jc w:val="both"/>
        <w:rPr>
          <w:rFonts w:ascii="Arial" w:hAnsi="Arial" w:cs="Arial"/>
          <w:sz w:val="19"/>
          <w:szCs w:val="19"/>
        </w:rPr>
      </w:pPr>
      <w:r w:rsidRPr="00ED7FAE">
        <w:rPr>
          <w:rStyle w:val="Refdenotaalpie"/>
          <w:rFonts w:ascii="Arial" w:hAnsi="Arial" w:cs="Arial"/>
          <w:sz w:val="19"/>
          <w:szCs w:val="19"/>
        </w:rPr>
        <w:footnoteRef/>
      </w:r>
      <w:r w:rsidRPr="00ED7FAE">
        <w:rPr>
          <w:rFonts w:ascii="Arial" w:hAnsi="Arial" w:cs="Arial"/>
          <w:sz w:val="19"/>
          <w:szCs w:val="19"/>
        </w:rPr>
        <w:t xml:space="preserve"> Concepto 20126000034601 del 2 de marzo de 2012.</w:t>
      </w:r>
    </w:p>
    <w:p w:rsidRPr="00ED7FAE" w:rsidR="005D0D39" w:rsidP="00ED7FAE" w:rsidRDefault="005D0D39" w14:paraId="07966DAC" w14:textId="3EEA213C">
      <w:pPr>
        <w:pStyle w:val="Textonotapie"/>
        <w:ind w:firstLine="708"/>
        <w:jc w:val="both"/>
        <w:rPr>
          <w:rFonts w:ascii="Arial" w:hAnsi="Arial" w:cs="Arial"/>
          <w:sz w:val="19"/>
          <w:szCs w:val="19"/>
        </w:rPr>
      </w:pPr>
    </w:p>
  </w:footnote>
  <w:footnote w:id="15">
    <w:p w:rsidRPr="00ED7FAE" w:rsidR="005D0D39" w:rsidP="00ED7FAE" w:rsidRDefault="005D0D39" w14:paraId="2B1979A5" w14:textId="0E7E2AE0">
      <w:pPr>
        <w:pStyle w:val="Textonotapie"/>
        <w:ind w:firstLine="708"/>
        <w:jc w:val="both"/>
        <w:rPr>
          <w:rFonts w:ascii="Arial" w:hAnsi="Arial" w:cs="Arial"/>
          <w:sz w:val="19"/>
          <w:szCs w:val="19"/>
        </w:rPr>
      </w:pPr>
      <w:r w:rsidRPr="00ED7FAE">
        <w:rPr>
          <w:rStyle w:val="Refdenotaalpie"/>
          <w:rFonts w:ascii="Arial" w:hAnsi="Arial" w:cs="Arial"/>
          <w:sz w:val="19"/>
          <w:szCs w:val="19"/>
        </w:rPr>
        <w:footnoteRef/>
      </w:r>
      <w:r w:rsidRPr="00ED7FAE">
        <w:rPr>
          <w:rFonts w:ascii="Arial" w:hAnsi="Arial" w:cs="Arial"/>
          <w:sz w:val="19"/>
          <w:szCs w:val="19"/>
        </w:rPr>
        <w:t xml:space="preserve"> Concepto 20136000135041 del </w:t>
      </w:r>
      <w:r w:rsidR="00CE513A">
        <w:rPr>
          <w:rFonts w:ascii="Arial" w:hAnsi="Arial" w:cs="Arial"/>
          <w:sz w:val="19"/>
          <w:szCs w:val="19"/>
        </w:rPr>
        <w:t>3</w:t>
      </w:r>
      <w:r w:rsidRPr="00ED7FAE">
        <w:rPr>
          <w:rFonts w:ascii="Arial" w:hAnsi="Arial" w:cs="Arial"/>
          <w:sz w:val="19"/>
          <w:szCs w:val="19"/>
        </w:rPr>
        <w:t xml:space="preserve"> de </w:t>
      </w:r>
      <w:r w:rsidR="00CE513A">
        <w:rPr>
          <w:rFonts w:ascii="Arial" w:hAnsi="Arial" w:cs="Arial"/>
          <w:sz w:val="19"/>
          <w:szCs w:val="19"/>
        </w:rPr>
        <w:t>septiembre</w:t>
      </w:r>
      <w:r w:rsidRPr="00ED7FAE">
        <w:rPr>
          <w:rFonts w:ascii="Arial" w:hAnsi="Arial" w:cs="Arial"/>
          <w:sz w:val="19"/>
          <w:szCs w:val="19"/>
        </w:rPr>
        <w:t xml:space="preserve"> de 201</w:t>
      </w:r>
      <w:r w:rsidR="00CE513A">
        <w:rPr>
          <w:rFonts w:ascii="Arial" w:hAnsi="Arial" w:cs="Arial"/>
          <w:sz w:val="19"/>
          <w:szCs w:val="19"/>
        </w:rPr>
        <w:t>3</w:t>
      </w:r>
      <w:r w:rsidRPr="00ED7FAE">
        <w:rPr>
          <w:rFonts w:ascii="Arial" w:hAnsi="Arial" w:cs="Arial"/>
          <w:sz w:val="19"/>
          <w:szCs w:val="19"/>
        </w:rPr>
        <w:t>.</w:t>
      </w:r>
    </w:p>
    <w:p w:rsidRPr="00ED7FAE" w:rsidR="005D0D39" w:rsidP="00ED7FAE" w:rsidRDefault="005D0D39" w14:paraId="4A7633CD" w14:textId="77777777">
      <w:pPr>
        <w:pStyle w:val="Textonotapie"/>
        <w:ind w:firstLine="708"/>
        <w:jc w:val="both"/>
        <w:rPr>
          <w:rFonts w:ascii="Arial" w:hAnsi="Arial" w:cs="Arial"/>
          <w:sz w:val="19"/>
          <w:szCs w:val="19"/>
        </w:rPr>
      </w:pPr>
    </w:p>
  </w:footnote>
  <w:footnote w:id="16">
    <w:p w:rsidRPr="00ED7FAE" w:rsidR="005D0D39" w:rsidP="00ED7FAE" w:rsidRDefault="005D0D39" w14:paraId="1717BC28" w14:textId="6AD075F7">
      <w:pPr>
        <w:pStyle w:val="Textonotapie"/>
        <w:ind w:firstLine="708"/>
        <w:jc w:val="both"/>
        <w:rPr>
          <w:rFonts w:ascii="Arial" w:hAnsi="Arial" w:cs="Arial"/>
          <w:sz w:val="19"/>
          <w:szCs w:val="19"/>
        </w:rPr>
      </w:pPr>
      <w:r w:rsidRPr="00ED7FAE">
        <w:rPr>
          <w:rStyle w:val="Refdenotaalpie"/>
          <w:rFonts w:ascii="Arial" w:hAnsi="Arial" w:cs="Arial"/>
          <w:sz w:val="19"/>
          <w:szCs w:val="19"/>
        </w:rPr>
        <w:footnoteRef/>
      </w:r>
      <w:r w:rsidRPr="00ED7FAE">
        <w:rPr>
          <w:rFonts w:ascii="Arial" w:hAnsi="Arial" w:cs="Arial"/>
          <w:sz w:val="19"/>
          <w:szCs w:val="19"/>
        </w:rPr>
        <w:t xml:space="preserve"> Concepto 8940 de 2018. </w:t>
      </w:r>
    </w:p>
    <w:p w:rsidRPr="00ED7FAE" w:rsidR="005D0D39" w:rsidP="00ED7FAE" w:rsidRDefault="005D0D39" w14:paraId="5A4A6516" w14:textId="77777777">
      <w:pPr>
        <w:pStyle w:val="Textonotapie"/>
        <w:ind w:firstLine="708"/>
        <w:jc w:val="both"/>
        <w:rPr>
          <w:rFonts w:ascii="Arial" w:hAnsi="Arial" w:cs="Arial"/>
          <w:sz w:val="19"/>
          <w:szCs w:val="19"/>
        </w:rPr>
      </w:pPr>
    </w:p>
  </w:footnote>
  <w:footnote w:id="17">
    <w:p w:rsidRPr="00ED7FAE" w:rsidR="005D0D39" w:rsidP="00ED7FAE" w:rsidRDefault="005D0D39" w14:paraId="03CF43AE" w14:textId="058563AB">
      <w:pPr>
        <w:pStyle w:val="Textonotapie"/>
        <w:ind w:firstLine="708"/>
        <w:jc w:val="both"/>
        <w:rPr>
          <w:rFonts w:ascii="Arial" w:hAnsi="Arial" w:cs="Arial"/>
          <w:sz w:val="19"/>
          <w:szCs w:val="19"/>
        </w:rPr>
      </w:pPr>
      <w:r w:rsidRPr="00ED7FAE">
        <w:rPr>
          <w:rStyle w:val="Refdenotaalpie"/>
          <w:rFonts w:ascii="Arial" w:hAnsi="Arial" w:cs="Arial"/>
          <w:sz w:val="19"/>
          <w:szCs w:val="19"/>
        </w:rPr>
        <w:footnoteRef/>
      </w:r>
      <w:r w:rsidRPr="00ED7FAE">
        <w:rPr>
          <w:rFonts w:ascii="Arial" w:hAnsi="Arial" w:cs="Arial"/>
          <w:sz w:val="19"/>
          <w:szCs w:val="19"/>
        </w:rPr>
        <w:t xml:space="preserve"> Concepto 1100000 - 84905 – 92892 del 8 de mayo de 2012.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D0D39" w:rsidRDefault="005D0D39" w14:paraId="6520770B" w14:textId="1A2BB94C">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6EF778F">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85707AC6"/>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BC5E56"/>
    <w:multiLevelType w:val="hybridMultilevel"/>
    <w:tmpl w:val="2D80D0E0"/>
    <w:lvl w:ilvl="0" w:tplc="C2E44790">
      <w:start w:val="1"/>
      <w:numFmt w:val="lowerLetter"/>
      <w:lvlText w:val="%1)"/>
      <w:lvlJc w:val="left"/>
      <w:pPr>
        <w:ind w:left="1211" w:hanging="360"/>
      </w:pPr>
      <w:rPr>
        <w:rFonts w:hint="default"/>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AED4881"/>
    <w:multiLevelType w:val="hybridMultilevel"/>
    <w:tmpl w:val="9A16D9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0B90CDA"/>
    <w:multiLevelType w:val="hybridMultilevel"/>
    <w:tmpl w:val="F1A61CF0"/>
    <w:lvl w:ilvl="0" w:tplc="A7B2C88A">
      <w:start w:val="1"/>
      <w:numFmt w:val="lowerLetter"/>
      <w:lvlText w:val="%1)"/>
      <w:lvlJc w:val="left"/>
      <w:pPr>
        <w:ind w:left="1068" w:hanging="360"/>
      </w:pPr>
      <w:rPr>
        <w:rFonts w:hint="default" w:eastAsiaTheme="minorHAnsi"/>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88C0EAF"/>
    <w:multiLevelType w:val="hybridMultilevel"/>
    <w:tmpl w:val="0476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8"/>
  </w:num>
  <w:num w:numId="10">
    <w:abstractNumId w:val="6"/>
  </w:num>
  <w:num w:numId="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1B31"/>
    <w:rsid w:val="00005156"/>
    <w:rsid w:val="00007060"/>
    <w:rsid w:val="00012451"/>
    <w:rsid w:val="00015278"/>
    <w:rsid w:val="00016B91"/>
    <w:rsid w:val="000172BD"/>
    <w:rsid w:val="00020866"/>
    <w:rsid w:val="00020D7A"/>
    <w:rsid w:val="0002242D"/>
    <w:rsid w:val="00023BA0"/>
    <w:rsid w:val="00025773"/>
    <w:rsid w:val="00027C19"/>
    <w:rsid w:val="00034503"/>
    <w:rsid w:val="000362F9"/>
    <w:rsid w:val="000460C0"/>
    <w:rsid w:val="000556D4"/>
    <w:rsid w:val="00061980"/>
    <w:rsid w:val="000622EA"/>
    <w:rsid w:val="00066A31"/>
    <w:rsid w:val="00066BF6"/>
    <w:rsid w:val="000714A3"/>
    <w:rsid w:val="000716D5"/>
    <w:rsid w:val="0007204C"/>
    <w:rsid w:val="00076993"/>
    <w:rsid w:val="00081943"/>
    <w:rsid w:val="000835B7"/>
    <w:rsid w:val="00084290"/>
    <w:rsid w:val="00087918"/>
    <w:rsid w:val="000920F0"/>
    <w:rsid w:val="00092640"/>
    <w:rsid w:val="000942EB"/>
    <w:rsid w:val="00096B92"/>
    <w:rsid w:val="000A15EF"/>
    <w:rsid w:val="000A2D62"/>
    <w:rsid w:val="000A46B2"/>
    <w:rsid w:val="000A6923"/>
    <w:rsid w:val="000B0255"/>
    <w:rsid w:val="000B103F"/>
    <w:rsid w:val="000B2BAD"/>
    <w:rsid w:val="000B3D11"/>
    <w:rsid w:val="000B6017"/>
    <w:rsid w:val="000B70EA"/>
    <w:rsid w:val="000C00F6"/>
    <w:rsid w:val="000C0FE0"/>
    <w:rsid w:val="000C1BA0"/>
    <w:rsid w:val="000C1D18"/>
    <w:rsid w:val="000C2755"/>
    <w:rsid w:val="000C27B6"/>
    <w:rsid w:val="000C3725"/>
    <w:rsid w:val="000C5863"/>
    <w:rsid w:val="000D09E9"/>
    <w:rsid w:val="000E151F"/>
    <w:rsid w:val="000E1934"/>
    <w:rsid w:val="000E32DD"/>
    <w:rsid w:val="000E57AA"/>
    <w:rsid w:val="000E5B7B"/>
    <w:rsid w:val="000E6CFE"/>
    <w:rsid w:val="000F14E8"/>
    <w:rsid w:val="000F1F6F"/>
    <w:rsid w:val="00101355"/>
    <w:rsid w:val="00102135"/>
    <w:rsid w:val="00103915"/>
    <w:rsid w:val="00111BBD"/>
    <w:rsid w:val="00122B23"/>
    <w:rsid w:val="00124620"/>
    <w:rsid w:val="00124702"/>
    <w:rsid w:val="001254E5"/>
    <w:rsid w:val="00127E6A"/>
    <w:rsid w:val="00131E85"/>
    <w:rsid w:val="001327C6"/>
    <w:rsid w:val="00133FB0"/>
    <w:rsid w:val="00135A79"/>
    <w:rsid w:val="00136E33"/>
    <w:rsid w:val="00137FFA"/>
    <w:rsid w:val="0014668E"/>
    <w:rsid w:val="001517E9"/>
    <w:rsid w:val="00151919"/>
    <w:rsid w:val="0015538A"/>
    <w:rsid w:val="00161EB6"/>
    <w:rsid w:val="001625B3"/>
    <w:rsid w:val="00163183"/>
    <w:rsid w:val="0016737A"/>
    <w:rsid w:val="00167D3A"/>
    <w:rsid w:val="001715FA"/>
    <w:rsid w:val="00174ED6"/>
    <w:rsid w:val="00186221"/>
    <w:rsid w:val="00186461"/>
    <w:rsid w:val="00186A8A"/>
    <w:rsid w:val="00190B5C"/>
    <w:rsid w:val="001923FE"/>
    <w:rsid w:val="001927EA"/>
    <w:rsid w:val="00193089"/>
    <w:rsid w:val="00195DBB"/>
    <w:rsid w:val="001A1303"/>
    <w:rsid w:val="001A56A2"/>
    <w:rsid w:val="001A64D1"/>
    <w:rsid w:val="001A7B0C"/>
    <w:rsid w:val="001B0EAD"/>
    <w:rsid w:val="001B2A19"/>
    <w:rsid w:val="001B3CE2"/>
    <w:rsid w:val="001C4473"/>
    <w:rsid w:val="001C5231"/>
    <w:rsid w:val="001D631B"/>
    <w:rsid w:val="001D7061"/>
    <w:rsid w:val="001E0C6C"/>
    <w:rsid w:val="001E249B"/>
    <w:rsid w:val="001E4627"/>
    <w:rsid w:val="001E79FF"/>
    <w:rsid w:val="001F0317"/>
    <w:rsid w:val="001F2C77"/>
    <w:rsid w:val="001F3610"/>
    <w:rsid w:val="001F49B8"/>
    <w:rsid w:val="002040B0"/>
    <w:rsid w:val="002048B9"/>
    <w:rsid w:val="00204F24"/>
    <w:rsid w:val="00207E01"/>
    <w:rsid w:val="00211860"/>
    <w:rsid w:val="00213199"/>
    <w:rsid w:val="0022745A"/>
    <w:rsid w:val="00231E5B"/>
    <w:rsid w:val="00234B84"/>
    <w:rsid w:val="00250CD2"/>
    <w:rsid w:val="0025328D"/>
    <w:rsid w:val="0025433E"/>
    <w:rsid w:val="002566AB"/>
    <w:rsid w:val="002569F0"/>
    <w:rsid w:val="002611D5"/>
    <w:rsid w:val="00264827"/>
    <w:rsid w:val="002724BD"/>
    <w:rsid w:val="00273BED"/>
    <w:rsid w:val="00276488"/>
    <w:rsid w:val="00281F53"/>
    <w:rsid w:val="00282B14"/>
    <w:rsid w:val="002928A0"/>
    <w:rsid w:val="00293450"/>
    <w:rsid w:val="002A11B0"/>
    <w:rsid w:val="002A417A"/>
    <w:rsid w:val="002A6DBD"/>
    <w:rsid w:val="002B12B7"/>
    <w:rsid w:val="002B3AE9"/>
    <w:rsid w:val="002C4CB0"/>
    <w:rsid w:val="002C7FF6"/>
    <w:rsid w:val="002D4329"/>
    <w:rsid w:val="002D68BF"/>
    <w:rsid w:val="002E0383"/>
    <w:rsid w:val="002E375C"/>
    <w:rsid w:val="002E46AB"/>
    <w:rsid w:val="002E75EE"/>
    <w:rsid w:val="002E7BC5"/>
    <w:rsid w:val="002E7C6A"/>
    <w:rsid w:val="002F2369"/>
    <w:rsid w:val="0030098E"/>
    <w:rsid w:val="00300F87"/>
    <w:rsid w:val="00302B3B"/>
    <w:rsid w:val="003033BA"/>
    <w:rsid w:val="00314133"/>
    <w:rsid w:val="00315D47"/>
    <w:rsid w:val="003167F5"/>
    <w:rsid w:val="00317422"/>
    <w:rsid w:val="00325389"/>
    <w:rsid w:val="00326A3E"/>
    <w:rsid w:val="003308BA"/>
    <w:rsid w:val="00341414"/>
    <w:rsid w:val="00342280"/>
    <w:rsid w:val="003462C7"/>
    <w:rsid w:val="0034680A"/>
    <w:rsid w:val="0035058C"/>
    <w:rsid w:val="00360EDD"/>
    <w:rsid w:val="00362A25"/>
    <w:rsid w:val="00370500"/>
    <w:rsid w:val="00372BC6"/>
    <w:rsid w:val="003741C3"/>
    <w:rsid w:val="0037462F"/>
    <w:rsid w:val="00375ACF"/>
    <w:rsid w:val="0037658D"/>
    <w:rsid w:val="00382B7C"/>
    <w:rsid w:val="00386456"/>
    <w:rsid w:val="00387538"/>
    <w:rsid w:val="003976D7"/>
    <w:rsid w:val="00397D11"/>
    <w:rsid w:val="003A4125"/>
    <w:rsid w:val="003A581E"/>
    <w:rsid w:val="003B0003"/>
    <w:rsid w:val="003B27D1"/>
    <w:rsid w:val="003B2E60"/>
    <w:rsid w:val="003C173E"/>
    <w:rsid w:val="003C21AC"/>
    <w:rsid w:val="003C57ED"/>
    <w:rsid w:val="003D087B"/>
    <w:rsid w:val="003D29C0"/>
    <w:rsid w:val="003D4B59"/>
    <w:rsid w:val="003D741B"/>
    <w:rsid w:val="003E2412"/>
    <w:rsid w:val="003E550F"/>
    <w:rsid w:val="003E6794"/>
    <w:rsid w:val="003E6EDE"/>
    <w:rsid w:val="003E7BB5"/>
    <w:rsid w:val="003F3FB5"/>
    <w:rsid w:val="003F52AD"/>
    <w:rsid w:val="003F7473"/>
    <w:rsid w:val="0040320B"/>
    <w:rsid w:val="00404075"/>
    <w:rsid w:val="004041DC"/>
    <w:rsid w:val="0040673C"/>
    <w:rsid w:val="004108AC"/>
    <w:rsid w:val="004115E9"/>
    <w:rsid w:val="00414FA3"/>
    <w:rsid w:val="004164A1"/>
    <w:rsid w:val="00420A12"/>
    <w:rsid w:val="00421649"/>
    <w:rsid w:val="004233F3"/>
    <w:rsid w:val="0043029D"/>
    <w:rsid w:val="00431FBF"/>
    <w:rsid w:val="00434F7E"/>
    <w:rsid w:val="00437263"/>
    <w:rsid w:val="00437459"/>
    <w:rsid w:val="004413BF"/>
    <w:rsid w:val="004422D6"/>
    <w:rsid w:val="00443E24"/>
    <w:rsid w:val="004459D1"/>
    <w:rsid w:val="00447246"/>
    <w:rsid w:val="00453E19"/>
    <w:rsid w:val="0046011E"/>
    <w:rsid w:val="00466E17"/>
    <w:rsid w:val="004748DE"/>
    <w:rsid w:val="00474C49"/>
    <w:rsid w:val="004755B2"/>
    <w:rsid w:val="00481A85"/>
    <w:rsid w:val="00481ADC"/>
    <w:rsid w:val="00485771"/>
    <w:rsid w:val="00487898"/>
    <w:rsid w:val="0049255E"/>
    <w:rsid w:val="00493D05"/>
    <w:rsid w:val="00494666"/>
    <w:rsid w:val="00494D25"/>
    <w:rsid w:val="004A34D2"/>
    <w:rsid w:val="004A571C"/>
    <w:rsid w:val="004C14EB"/>
    <w:rsid w:val="004C1DEC"/>
    <w:rsid w:val="004C58AC"/>
    <w:rsid w:val="004C6821"/>
    <w:rsid w:val="004D0366"/>
    <w:rsid w:val="004D04B3"/>
    <w:rsid w:val="004D0D78"/>
    <w:rsid w:val="004E11B8"/>
    <w:rsid w:val="004E146B"/>
    <w:rsid w:val="004E48EF"/>
    <w:rsid w:val="004E5E36"/>
    <w:rsid w:val="004E7162"/>
    <w:rsid w:val="004F3A2F"/>
    <w:rsid w:val="004F4D50"/>
    <w:rsid w:val="004F77DA"/>
    <w:rsid w:val="005003FA"/>
    <w:rsid w:val="005025EC"/>
    <w:rsid w:val="0051074C"/>
    <w:rsid w:val="00510AAC"/>
    <w:rsid w:val="0051365E"/>
    <w:rsid w:val="00513AF2"/>
    <w:rsid w:val="005150EE"/>
    <w:rsid w:val="005152EB"/>
    <w:rsid w:val="00523EBA"/>
    <w:rsid w:val="00524FF6"/>
    <w:rsid w:val="00527CAC"/>
    <w:rsid w:val="00530FD6"/>
    <w:rsid w:val="00533B32"/>
    <w:rsid w:val="005347D0"/>
    <w:rsid w:val="0053486E"/>
    <w:rsid w:val="00537B78"/>
    <w:rsid w:val="005410AD"/>
    <w:rsid w:val="00541157"/>
    <w:rsid w:val="00541360"/>
    <w:rsid w:val="005416A9"/>
    <w:rsid w:val="0054413A"/>
    <w:rsid w:val="005468F5"/>
    <w:rsid w:val="00551CE1"/>
    <w:rsid w:val="00554AF7"/>
    <w:rsid w:val="00555664"/>
    <w:rsid w:val="005564CA"/>
    <w:rsid w:val="00556F01"/>
    <w:rsid w:val="00561973"/>
    <w:rsid w:val="00566672"/>
    <w:rsid w:val="00567364"/>
    <w:rsid w:val="00580F7A"/>
    <w:rsid w:val="00581A11"/>
    <w:rsid w:val="00581D03"/>
    <w:rsid w:val="00593FCA"/>
    <w:rsid w:val="005A04E7"/>
    <w:rsid w:val="005A1225"/>
    <w:rsid w:val="005A262A"/>
    <w:rsid w:val="005C1651"/>
    <w:rsid w:val="005C3080"/>
    <w:rsid w:val="005D02C1"/>
    <w:rsid w:val="005D0D39"/>
    <w:rsid w:val="005D114F"/>
    <w:rsid w:val="005D6B45"/>
    <w:rsid w:val="005E17F1"/>
    <w:rsid w:val="005E7CD7"/>
    <w:rsid w:val="005F076A"/>
    <w:rsid w:val="005F3327"/>
    <w:rsid w:val="005F4E61"/>
    <w:rsid w:val="005F687B"/>
    <w:rsid w:val="00602DAA"/>
    <w:rsid w:val="00604A92"/>
    <w:rsid w:val="00612EFD"/>
    <w:rsid w:val="00615CEA"/>
    <w:rsid w:val="0061730D"/>
    <w:rsid w:val="0062027E"/>
    <w:rsid w:val="0062279A"/>
    <w:rsid w:val="006311DB"/>
    <w:rsid w:val="006316C6"/>
    <w:rsid w:val="006327C2"/>
    <w:rsid w:val="0063488E"/>
    <w:rsid w:val="00634E46"/>
    <w:rsid w:val="00634FDA"/>
    <w:rsid w:val="00635BE6"/>
    <w:rsid w:val="0063748C"/>
    <w:rsid w:val="00642A35"/>
    <w:rsid w:val="0064389D"/>
    <w:rsid w:val="0065129F"/>
    <w:rsid w:val="00652E6F"/>
    <w:rsid w:val="00655371"/>
    <w:rsid w:val="00662755"/>
    <w:rsid w:val="00662AA8"/>
    <w:rsid w:val="006653F7"/>
    <w:rsid w:val="00666EB9"/>
    <w:rsid w:val="006709A2"/>
    <w:rsid w:val="006808DB"/>
    <w:rsid w:val="006822ED"/>
    <w:rsid w:val="006956E7"/>
    <w:rsid w:val="00696A12"/>
    <w:rsid w:val="00697665"/>
    <w:rsid w:val="006A1CBA"/>
    <w:rsid w:val="006A5E7E"/>
    <w:rsid w:val="006A7FD0"/>
    <w:rsid w:val="006B17C4"/>
    <w:rsid w:val="006B3828"/>
    <w:rsid w:val="006C22EC"/>
    <w:rsid w:val="006C38E8"/>
    <w:rsid w:val="006C3AA8"/>
    <w:rsid w:val="006D3F5E"/>
    <w:rsid w:val="006D68A5"/>
    <w:rsid w:val="006D7687"/>
    <w:rsid w:val="006E04F9"/>
    <w:rsid w:val="006E0572"/>
    <w:rsid w:val="006E218C"/>
    <w:rsid w:val="006E2F73"/>
    <w:rsid w:val="006E73DE"/>
    <w:rsid w:val="00700B53"/>
    <w:rsid w:val="00705631"/>
    <w:rsid w:val="00705B58"/>
    <w:rsid w:val="0072020D"/>
    <w:rsid w:val="007207CF"/>
    <w:rsid w:val="00730851"/>
    <w:rsid w:val="00732E20"/>
    <w:rsid w:val="0073536E"/>
    <w:rsid w:val="00742DD2"/>
    <w:rsid w:val="00743848"/>
    <w:rsid w:val="0074447C"/>
    <w:rsid w:val="00751B9D"/>
    <w:rsid w:val="0075647A"/>
    <w:rsid w:val="00756D28"/>
    <w:rsid w:val="00757693"/>
    <w:rsid w:val="00762DF8"/>
    <w:rsid w:val="007634AD"/>
    <w:rsid w:val="00765580"/>
    <w:rsid w:val="00771676"/>
    <w:rsid w:val="00771868"/>
    <w:rsid w:val="007754CA"/>
    <w:rsid w:val="00777704"/>
    <w:rsid w:val="0078122E"/>
    <w:rsid w:val="00783166"/>
    <w:rsid w:val="007836C4"/>
    <w:rsid w:val="0078462A"/>
    <w:rsid w:val="00787B8A"/>
    <w:rsid w:val="007915BC"/>
    <w:rsid w:val="00791C0E"/>
    <w:rsid w:val="007932A3"/>
    <w:rsid w:val="007937E7"/>
    <w:rsid w:val="00795C9B"/>
    <w:rsid w:val="007A1083"/>
    <w:rsid w:val="007A2433"/>
    <w:rsid w:val="007A2D91"/>
    <w:rsid w:val="007A3FFB"/>
    <w:rsid w:val="007A7968"/>
    <w:rsid w:val="007B0854"/>
    <w:rsid w:val="007B0F6A"/>
    <w:rsid w:val="007B2F1D"/>
    <w:rsid w:val="007B6A3C"/>
    <w:rsid w:val="007B7018"/>
    <w:rsid w:val="007C09B3"/>
    <w:rsid w:val="007C0C92"/>
    <w:rsid w:val="007C6A83"/>
    <w:rsid w:val="007C723B"/>
    <w:rsid w:val="007D089B"/>
    <w:rsid w:val="007D28A1"/>
    <w:rsid w:val="007D3004"/>
    <w:rsid w:val="007D375A"/>
    <w:rsid w:val="007E0324"/>
    <w:rsid w:val="007E0A81"/>
    <w:rsid w:val="007E0FB3"/>
    <w:rsid w:val="007E75F9"/>
    <w:rsid w:val="007F25A8"/>
    <w:rsid w:val="007F3C2B"/>
    <w:rsid w:val="007F72CB"/>
    <w:rsid w:val="00803115"/>
    <w:rsid w:val="00806381"/>
    <w:rsid w:val="00810D3E"/>
    <w:rsid w:val="00811577"/>
    <w:rsid w:val="00812B27"/>
    <w:rsid w:val="0081304C"/>
    <w:rsid w:val="00816563"/>
    <w:rsid w:val="00821EA2"/>
    <w:rsid w:val="00822436"/>
    <w:rsid w:val="00826CB5"/>
    <w:rsid w:val="0083119B"/>
    <w:rsid w:val="00831A12"/>
    <w:rsid w:val="008337E4"/>
    <w:rsid w:val="008343AF"/>
    <w:rsid w:val="00834B5D"/>
    <w:rsid w:val="00836EAB"/>
    <w:rsid w:val="0083703B"/>
    <w:rsid w:val="0085092D"/>
    <w:rsid w:val="00851E9A"/>
    <w:rsid w:val="00861335"/>
    <w:rsid w:val="0086284E"/>
    <w:rsid w:val="00875D43"/>
    <w:rsid w:val="008773BB"/>
    <w:rsid w:val="00880FA3"/>
    <w:rsid w:val="00881418"/>
    <w:rsid w:val="008815AB"/>
    <w:rsid w:val="00882315"/>
    <w:rsid w:val="00884552"/>
    <w:rsid w:val="00886582"/>
    <w:rsid w:val="00890358"/>
    <w:rsid w:val="00892243"/>
    <w:rsid w:val="00896A68"/>
    <w:rsid w:val="00897407"/>
    <w:rsid w:val="008A1845"/>
    <w:rsid w:val="008A1ADF"/>
    <w:rsid w:val="008A472C"/>
    <w:rsid w:val="008A664D"/>
    <w:rsid w:val="008B2D49"/>
    <w:rsid w:val="008C0B90"/>
    <w:rsid w:val="008C4AF4"/>
    <w:rsid w:val="008C7308"/>
    <w:rsid w:val="008D1706"/>
    <w:rsid w:val="008D71F6"/>
    <w:rsid w:val="008D79C6"/>
    <w:rsid w:val="008E09B3"/>
    <w:rsid w:val="008E0D30"/>
    <w:rsid w:val="008E1263"/>
    <w:rsid w:val="008E12EE"/>
    <w:rsid w:val="008E1C15"/>
    <w:rsid w:val="008E28A2"/>
    <w:rsid w:val="008E7495"/>
    <w:rsid w:val="008F277C"/>
    <w:rsid w:val="008F7DB3"/>
    <w:rsid w:val="00902D31"/>
    <w:rsid w:val="009047C5"/>
    <w:rsid w:val="00907140"/>
    <w:rsid w:val="00912B49"/>
    <w:rsid w:val="00912E23"/>
    <w:rsid w:val="00913B77"/>
    <w:rsid w:val="00914EB3"/>
    <w:rsid w:val="00915A80"/>
    <w:rsid w:val="0092177B"/>
    <w:rsid w:val="00921C93"/>
    <w:rsid w:val="00926A8B"/>
    <w:rsid w:val="009311E9"/>
    <w:rsid w:val="009338CE"/>
    <w:rsid w:val="00934422"/>
    <w:rsid w:val="009354D3"/>
    <w:rsid w:val="00937202"/>
    <w:rsid w:val="00940A85"/>
    <w:rsid w:val="00950143"/>
    <w:rsid w:val="0095385A"/>
    <w:rsid w:val="00953BB3"/>
    <w:rsid w:val="009575B9"/>
    <w:rsid w:val="009644A4"/>
    <w:rsid w:val="009654FC"/>
    <w:rsid w:val="00972DC1"/>
    <w:rsid w:val="00974977"/>
    <w:rsid w:val="009760A8"/>
    <w:rsid w:val="00980317"/>
    <w:rsid w:val="00980B43"/>
    <w:rsid w:val="00984DF2"/>
    <w:rsid w:val="00985200"/>
    <w:rsid w:val="00986E16"/>
    <w:rsid w:val="009A1E37"/>
    <w:rsid w:val="009B0BDE"/>
    <w:rsid w:val="009B16A3"/>
    <w:rsid w:val="009B403D"/>
    <w:rsid w:val="009B503A"/>
    <w:rsid w:val="009B6E17"/>
    <w:rsid w:val="009C131F"/>
    <w:rsid w:val="009C14B6"/>
    <w:rsid w:val="009C3898"/>
    <w:rsid w:val="009C452A"/>
    <w:rsid w:val="009C6009"/>
    <w:rsid w:val="009D049D"/>
    <w:rsid w:val="009D3207"/>
    <w:rsid w:val="009E0B8A"/>
    <w:rsid w:val="009E0C7E"/>
    <w:rsid w:val="009E0E46"/>
    <w:rsid w:val="009E1E26"/>
    <w:rsid w:val="009E2162"/>
    <w:rsid w:val="009E221A"/>
    <w:rsid w:val="009E6DB3"/>
    <w:rsid w:val="009F50DC"/>
    <w:rsid w:val="009F5F82"/>
    <w:rsid w:val="009F7A76"/>
    <w:rsid w:val="00A05D8C"/>
    <w:rsid w:val="00A05DA6"/>
    <w:rsid w:val="00A06CA3"/>
    <w:rsid w:val="00A13CD2"/>
    <w:rsid w:val="00A17B66"/>
    <w:rsid w:val="00A20538"/>
    <w:rsid w:val="00A21EA9"/>
    <w:rsid w:val="00A22130"/>
    <w:rsid w:val="00A24560"/>
    <w:rsid w:val="00A24684"/>
    <w:rsid w:val="00A2549D"/>
    <w:rsid w:val="00A33957"/>
    <w:rsid w:val="00A34538"/>
    <w:rsid w:val="00A35C73"/>
    <w:rsid w:val="00A44C5F"/>
    <w:rsid w:val="00A45772"/>
    <w:rsid w:val="00A514AE"/>
    <w:rsid w:val="00A55FFA"/>
    <w:rsid w:val="00A568E2"/>
    <w:rsid w:val="00A57463"/>
    <w:rsid w:val="00A639E3"/>
    <w:rsid w:val="00A642BC"/>
    <w:rsid w:val="00A6602D"/>
    <w:rsid w:val="00A67203"/>
    <w:rsid w:val="00A71B85"/>
    <w:rsid w:val="00A76A74"/>
    <w:rsid w:val="00A8041D"/>
    <w:rsid w:val="00A86133"/>
    <w:rsid w:val="00A90118"/>
    <w:rsid w:val="00A92252"/>
    <w:rsid w:val="00A931D2"/>
    <w:rsid w:val="00AA442B"/>
    <w:rsid w:val="00AA5923"/>
    <w:rsid w:val="00AB2D8E"/>
    <w:rsid w:val="00AB4502"/>
    <w:rsid w:val="00AC12F3"/>
    <w:rsid w:val="00AC236B"/>
    <w:rsid w:val="00AC3E22"/>
    <w:rsid w:val="00AC3EA8"/>
    <w:rsid w:val="00AC40BB"/>
    <w:rsid w:val="00AC4FAA"/>
    <w:rsid w:val="00AC646F"/>
    <w:rsid w:val="00AD32DE"/>
    <w:rsid w:val="00AD64C4"/>
    <w:rsid w:val="00AF154D"/>
    <w:rsid w:val="00B05013"/>
    <w:rsid w:val="00B0697D"/>
    <w:rsid w:val="00B1177E"/>
    <w:rsid w:val="00B137CF"/>
    <w:rsid w:val="00B13BC2"/>
    <w:rsid w:val="00B15358"/>
    <w:rsid w:val="00B1784E"/>
    <w:rsid w:val="00B22E22"/>
    <w:rsid w:val="00B27674"/>
    <w:rsid w:val="00B32FAD"/>
    <w:rsid w:val="00B335CC"/>
    <w:rsid w:val="00B42C66"/>
    <w:rsid w:val="00B501C8"/>
    <w:rsid w:val="00B525CB"/>
    <w:rsid w:val="00B55759"/>
    <w:rsid w:val="00B61543"/>
    <w:rsid w:val="00B61B94"/>
    <w:rsid w:val="00B63CB2"/>
    <w:rsid w:val="00B65DAE"/>
    <w:rsid w:val="00B7578A"/>
    <w:rsid w:val="00B800CF"/>
    <w:rsid w:val="00B82B59"/>
    <w:rsid w:val="00B86E5D"/>
    <w:rsid w:val="00B91345"/>
    <w:rsid w:val="00B91DB6"/>
    <w:rsid w:val="00B92A72"/>
    <w:rsid w:val="00B942F0"/>
    <w:rsid w:val="00B972B1"/>
    <w:rsid w:val="00B97746"/>
    <w:rsid w:val="00BA1B14"/>
    <w:rsid w:val="00BA3902"/>
    <w:rsid w:val="00BB0273"/>
    <w:rsid w:val="00BB2313"/>
    <w:rsid w:val="00BB624C"/>
    <w:rsid w:val="00BC600B"/>
    <w:rsid w:val="00BC6A39"/>
    <w:rsid w:val="00BC6CB0"/>
    <w:rsid w:val="00BD0AA1"/>
    <w:rsid w:val="00BD247B"/>
    <w:rsid w:val="00BD2BBF"/>
    <w:rsid w:val="00BD78FE"/>
    <w:rsid w:val="00BD7CED"/>
    <w:rsid w:val="00BE083B"/>
    <w:rsid w:val="00BF077E"/>
    <w:rsid w:val="00C120FB"/>
    <w:rsid w:val="00C151AE"/>
    <w:rsid w:val="00C2219E"/>
    <w:rsid w:val="00C230A7"/>
    <w:rsid w:val="00C25B70"/>
    <w:rsid w:val="00C25D64"/>
    <w:rsid w:val="00C305DF"/>
    <w:rsid w:val="00C31C2A"/>
    <w:rsid w:val="00C33C1B"/>
    <w:rsid w:val="00C450A6"/>
    <w:rsid w:val="00C478FE"/>
    <w:rsid w:val="00C50A01"/>
    <w:rsid w:val="00C54360"/>
    <w:rsid w:val="00C65BC6"/>
    <w:rsid w:val="00C66254"/>
    <w:rsid w:val="00C71EBB"/>
    <w:rsid w:val="00C727E6"/>
    <w:rsid w:val="00C73A35"/>
    <w:rsid w:val="00C82CD8"/>
    <w:rsid w:val="00C82E52"/>
    <w:rsid w:val="00C938AC"/>
    <w:rsid w:val="00C95CE7"/>
    <w:rsid w:val="00CA28B2"/>
    <w:rsid w:val="00CA69E3"/>
    <w:rsid w:val="00CA7C1E"/>
    <w:rsid w:val="00CB1C41"/>
    <w:rsid w:val="00CC00CD"/>
    <w:rsid w:val="00CC20B8"/>
    <w:rsid w:val="00CC296B"/>
    <w:rsid w:val="00CC356E"/>
    <w:rsid w:val="00CC39BD"/>
    <w:rsid w:val="00CC78AD"/>
    <w:rsid w:val="00CD3357"/>
    <w:rsid w:val="00CD4E7D"/>
    <w:rsid w:val="00CE2F6A"/>
    <w:rsid w:val="00CE513A"/>
    <w:rsid w:val="00CE51AE"/>
    <w:rsid w:val="00CF0BE1"/>
    <w:rsid w:val="00CF32CC"/>
    <w:rsid w:val="00CF4C87"/>
    <w:rsid w:val="00CF7D4A"/>
    <w:rsid w:val="00D01AD2"/>
    <w:rsid w:val="00D04887"/>
    <w:rsid w:val="00D070B8"/>
    <w:rsid w:val="00D125D8"/>
    <w:rsid w:val="00D146A4"/>
    <w:rsid w:val="00D16E39"/>
    <w:rsid w:val="00D1707F"/>
    <w:rsid w:val="00D171B3"/>
    <w:rsid w:val="00D31A7E"/>
    <w:rsid w:val="00D3446D"/>
    <w:rsid w:val="00D36C85"/>
    <w:rsid w:val="00D47E14"/>
    <w:rsid w:val="00D52D73"/>
    <w:rsid w:val="00D538A7"/>
    <w:rsid w:val="00D54ABC"/>
    <w:rsid w:val="00D57FD3"/>
    <w:rsid w:val="00D60C9D"/>
    <w:rsid w:val="00D60E22"/>
    <w:rsid w:val="00D6503F"/>
    <w:rsid w:val="00D66920"/>
    <w:rsid w:val="00D67739"/>
    <w:rsid w:val="00D6781D"/>
    <w:rsid w:val="00D72E9D"/>
    <w:rsid w:val="00D75E31"/>
    <w:rsid w:val="00D77376"/>
    <w:rsid w:val="00D8091C"/>
    <w:rsid w:val="00D82CE5"/>
    <w:rsid w:val="00DA5AB1"/>
    <w:rsid w:val="00DB187E"/>
    <w:rsid w:val="00DB200E"/>
    <w:rsid w:val="00DB441A"/>
    <w:rsid w:val="00DC2F65"/>
    <w:rsid w:val="00DC6018"/>
    <w:rsid w:val="00DC62E5"/>
    <w:rsid w:val="00DC759C"/>
    <w:rsid w:val="00DD4572"/>
    <w:rsid w:val="00DD49E3"/>
    <w:rsid w:val="00DD5D44"/>
    <w:rsid w:val="00DD735D"/>
    <w:rsid w:val="00DE2507"/>
    <w:rsid w:val="00DE2DF5"/>
    <w:rsid w:val="00DE3119"/>
    <w:rsid w:val="00DE37AD"/>
    <w:rsid w:val="00DE5AAF"/>
    <w:rsid w:val="00DE5DFC"/>
    <w:rsid w:val="00DE7F05"/>
    <w:rsid w:val="00DF02B6"/>
    <w:rsid w:val="00DF08DB"/>
    <w:rsid w:val="00DF236B"/>
    <w:rsid w:val="00DF3A85"/>
    <w:rsid w:val="00E021AA"/>
    <w:rsid w:val="00E03626"/>
    <w:rsid w:val="00E03788"/>
    <w:rsid w:val="00E069DD"/>
    <w:rsid w:val="00E108B5"/>
    <w:rsid w:val="00E12F0E"/>
    <w:rsid w:val="00E13AB8"/>
    <w:rsid w:val="00E140D1"/>
    <w:rsid w:val="00E15067"/>
    <w:rsid w:val="00E229B3"/>
    <w:rsid w:val="00E26AD9"/>
    <w:rsid w:val="00E27588"/>
    <w:rsid w:val="00E33900"/>
    <w:rsid w:val="00E33B62"/>
    <w:rsid w:val="00E35809"/>
    <w:rsid w:val="00E40250"/>
    <w:rsid w:val="00E42E18"/>
    <w:rsid w:val="00E50C59"/>
    <w:rsid w:val="00E532B0"/>
    <w:rsid w:val="00E60AC9"/>
    <w:rsid w:val="00E60B63"/>
    <w:rsid w:val="00E612F5"/>
    <w:rsid w:val="00E65E97"/>
    <w:rsid w:val="00E71A51"/>
    <w:rsid w:val="00E72FB1"/>
    <w:rsid w:val="00E74FEA"/>
    <w:rsid w:val="00E818E7"/>
    <w:rsid w:val="00E81E25"/>
    <w:rsid w:val="00E84A42"/>
    <w:rsid w:val="00E9098C"/>
    <w:rsid w:val="00E9406F"/>
    <w:rsid w:val="00E952BD"/>
    <w:rsid w:val="00E96BB0"/>
    <w:rsid w:val="00EA7BBF"/>
    <w:rsid w:val="00EB2323"/>
    <w:rsid w:val="00EB3B91"/>
    <w:rsid w:val="00EB6755"/>
    <w:rsid w:val="00EC228A"/>
    <w:rsid w:val="00EC3A65"/>
    <w:rsid w:val="00EC3ADA"/>
    <w:rsid w:val="00ED1997"/>
    <w:rsid w:val="00ED3EC1"/>
    <w:rsid w:val="00ED40AB"/>
    <w:rsid w:val="00ED7FAE"/>
    <w:rsid w:val="00EE0AFC"/>
    <w:rsid w:val="00EE4811"/>
    <w:rsid w:val="00EE6636"/>
    <w:rsid w:val="00EF5252"/>
    <w:rsid w:val="00EF7F78"/>
    <w:rsid w:val="00F005A1"/>
    <w:rsid w:val="00F00D9C"/>
    <w:rsid w:val="00F024DE"/>
    <w:rsid w:val="00F10F3F"/>
    <w:rsid w:val="00F16DB4"/>
    <w:rsid w:val="00F25909"/>
    <w:rsid w:val="00F371F8"/>
    <w:rsid w:val="00F46F5A"/>
    <w:rsid w:val="00F557ED"/>
    <w:rsid w:val="00F61A85"/>
    <w:rsid w:val="00F62DD5"/>
    <w:rsid w:val="00F6645F"/>
    <w:rsid w:val="00F7146B"/>
    <w:rsid w:val="00F718AB"/>
    <w:rsid w:val="00F72936"/>
    <w:rsid w:val="00F74757"/>
    <w:rsid w:val="00F80EF1"/>
    <w:rsid w:val="00F82435"/>
    <w:rsid w:val="00F84899"/>
    <w:rsid w:val="00F85043"/>
    <w:rsid w:val="00F859F0"/>
    <w:rsid w:val="00F927F1"/>
    <w:rsid w:val="00F94AEB"/>
    <w:rsid w:val="00F94EA0"/>
    <w:rsid w:val="00FA314F"/>
    <w:rsid w:val="00FA4BD7"/>
    <w:rsid w:val="00FA5B21"/>
    <w:rsid w:val="00FA5D0A"/>
    <w:rsid w:val="00FA5E8F"/>
    <w:rsid w:val="00FB0218"/>
    <w:rsid w:val="00FB51C9"/>
    <w:rsid w:val="00FB6D4E"/>
    <w:rsid w:val="00FB710A"/>
    <w:rsid w:val="00FC16B2"/>
    <w:rsid w:val="00FE02C6"/>
    <w:rsid w:val="00FE141E"/>
    <w:rsid w:val="00FE5287"/>
    <w:rsid w:val="00FE7FF8"/>
    <w:rsid w:val="00FF0FE0"/>
    <w:rsid w:val="00FF155F"/>
    <w:rsid w:val="00FF2575"/>
    <w:rsid w:val="00FF2A50"/>
    <w:rsid w:val="211A8ACD"/>
    <w:rsid w:val="26EF778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ormalWebCar" w:customStyle="1">
    <w:name w:val="Normal (Web) Car"/>
    <w:link w:val="NormalWeb"/>
    <w:uiPriority w:val="99"/>
    <w:rsid w:val="000920F0"/>
    <w:rPr>
      <w:rFonts w:ascii="Times New Roman" w:hAnsi="Times New Roman" w:eastAsia="Times New Roman" w:cs="Times New Roman"/>
      <w:sz w:val="24"/>
      <w:szCs w:val="24"/>
      <w:lang w:eastAsia="es-CO"/>
    </w:rPr>
  </w:style>
  <w:style w:type="character" w:styleId="UnresolvedMention" w:customStyle="1">
    <w:name w:val="Unresolved Mention"/>
    <w:basedOn w:val="Fuentedeprrafopredeter"/>
    <w:uiPriority w:val="99"/>
    <w:rsid w:val="00DE2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429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54107497">
      <w:bodyDiv w:val="1"/>
      <w:marLeft w:val="0"/>
      <w:marRight w:val="0"/>
      <w:marTop w:val="0"/>
      <w:marBottom w:val="0"/>
      <w:divBdr>
        <w:top w:val="none" w:sz="0" w:space="0" w:color="auto"/>
        <w:left w:val="none" w:sz="0" w:space="0" w:color="auto"/>
        <w:bottom w:val="none" w:sz="0" w:space="0" w:color="auto"/>
        <w:right w:val="none" w:sz="0" w:space="0" w:color="auto"/>
      </w:divBdr>
    </w:div>
    <w:div w:id="198205299">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35253185">
      <w:bodyDiv w:val="1"/>
      <w:marLeft w:val="0"/>
      <w:marRight w:val="0"/>
      <w:marTop w:val="0"/>
      <w:marBottom w:val="0"/>
      <w:divBdr>
        <w:top w:val="none" w:sz="0" w:space="0" w:color="auto"/>
        <w:left w:val="none" w:sz="0" w:space="0" w:color="auto"/>
        <w:bottom w:val="none" w:sz="0" w:space="0" w:color="auto"/>
        <w:right w:val="none" w:sz="0" w:space="0" w:color="auto"/>
      </w:divBdr>
    </w:div>
    <w:div w:id="623270787">
      <w:bodyDiv w:val="1"/>
      <w:marLeft w:val="0"/>
      <w:marRight w:val="0"/>
      <w:marTop w:val="0"/>
      <w:marBottom w:val="0"/>
      <w:divBdr>
        <w:top w:val="none" w:sz="0" w:space="0" w:color="auto"/>
        <w:left w:val="none" w:sz="0" w:space="0" w:color="auto"/>
        <w:bottom w:val="none" w:sz="0" w:space="0" w:color="auto"/>
        <w:right w:val="none" w:sz="0" w:space="0" w:color="auto"/>
      </w:divBdr>
    </w:div>
    <w:div w:id="793138389">
      <w:bodyDiv w:val="1"/>
      <w:marLeft w:val="0"/>
      <w:marRight w:val="0"/>
      <w:marTop w:val="0"/>
      <w:marBottom w:val="0"/>
      <w:divBdr>
        <w:top w:val="none" w:sz="0" w:space="0" w:color="auto"/>
        <w:left w:val="none" w:sz="0" w:space="0" w:color="auto"/>
        <w:bottom w:val="none" w:sz="0" w:space="0" w:color="auto"/>
        <w:right w:val="none" w:sz="0" w:space="0" w:color="auto"/>
      </w:divBdr>
    </w:div>
    <w:div w:id="1001391864">
      <w:bodyDiv w:val="1"/>
      <w:marLeft w:val="0"/>
      <w:marRight w:val="0"/>
      <w:marTop w:val="0"/>
      <w:marBottom w:val="0"/>
      <w:divBdr>
        <w:top w:val="none" w:sz="0" w:space="0" w:color="auto"/>
        <w:left w:val="none" w:sz="0" w:space="0" w:color="auto"/>
        <w:bottom w:val="none" w:sz="0" w:space="0" w:color="auto"/>
        <w:right w:val="none" w:sz="0" w:space="0" w:color="auto"/>
      </w:divBdr>
    </w:div>
    <w:div w:id="1335571700">
      <w:bodyDiv w:val="1"/>
      <w:marLeft w:val="0"/>
      <w:marRight w:val="0"/>
      <w:marTop w:val="0"/>
      <w:marBottom w:val="0"/>
      <w:divBdr>
        <w:top w:val="none" w:sz="0" w:space="0" w:color="auto"/>
        <w:left w:val="none" w:sz="0" w:space="0" w:color="auto"/>
        <w:bottom w:val="none" w:sz="0" w:space="0" w:color="auto"/>
        <w:right w:val="none" w:sz="0" w:space="0" w:color="auto"/>
      </w:divBdr>
    </w:div>
    <w:div w:id="1514102197">
      <w:bodyDiv w:val="1"/>
      <w:marLeft w:val="0"/>
      <w:marRight w:val="0"/>
      <w:marTop w:val="0"/>
      <w:marBottom w:val="0"/>
      <w:divBdr>
        <w:top w:val="none" w:sz="0" w:space="0" w:color="auto"/>
        <w:left w:val="none" w:sz="0" w:space="0" w:color="auto"/>
        <w:bottom w:val="none" w:sz="0" w:space="0" w:color="auto"/>
        <w:right w:val="none" w:sz="0" w:space="0" w:color="auto"/>
      </w:divBdr>
    </w:div>
    <w:div w:id="1803378425">
      <w:bodyDiv w:val="1"/>
      <w:marLeft w:val="0"/>
      <w:marRight w:val="0"/>
      <w:marTop w:val="0"/>
      <w:marBottom w:val="0"/>
      <w:divBdr>
        <w:top w:val="none" w:sz="0" w:space="0" w:color="auto"/>
        <w:left w:val="none" w:sz="0" w:space="0" w:color="auto"/>
        <w:bottom w:val="none" w:sz="0" w:space="0" w:color="auto"/>
        <w:right w:val="none" w:sz="0" w:space="0" w:color="auto"/>
      </w:divBdr>
    </w:div>
    <w:div w:id="19107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f91fc4e9ccd43b7" /></Relationships>
</file>

<file path=word/_rels/footer1.xml.rels>&#65279;<?xml version="1.0" encoding="utf-8"?><Relationships xmlns="http://schemas.openxmlformats.org/package/2006/relationships"><Relationship Type="http://schemas.openxmlformats.org/officeDocument/2006/relationships/image" Target="/media/image5.png" Id="Rae519d86d5a3493f" /></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D9A3-45AB-463E-A4F2-1EA97B18F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E06A7CD-3BFC-4F0E-A373-A146B1F14D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lastPrinted>2020-04-27T16:05:00.0000000Z</lastPrinted>
  <dcterms:created xsi:type="dcterms:W3CDTF">2020-06-30T14:15:00.0000000Z</dcterms:created>
  <dcterms:modified xsi:type="dcterms:W3CDTF">2020-07-29T23:24:35.0348101Z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