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xmlns:pic="http://schemas.openxmlformats.org/drawingml/2006/picture" mc:Ignorable="w14 w15 w16se w16cid w16 w16cex wp14">
  <w:body>
    <w:p w:rsidRPr="00DE482E" w:rsidR="00D86BBF" w:rsidP="00D86BBF" w:rsidRDefault="00D86BBF" w14:paraId="289CFC07" w14:textId="77777777">
      <w:pPr>
        <w:spacing w:before="120" w:after="120" w:line="276" w:lineRule="auto"/>
        <w:jc w:val="right"/>
        <w:rPr>
          <w:rFonts w:ascii="Arial" w:hAnsi="Arial" w:cs="Arial"/>
          <w:b/>
          <w:sz w:val="18"/>
          <w:szCs w:val="18"/>
          <w:lang w:eastAsia="es-ES"/>
        </w:rPr>
      </w:pPr>
      <w:bookmarkStart w:name="_Hlk28946138" w:id="0"/>
      <w:bookmarkStart w:name="_Hlk29548183" w:id="1"/>
      <w:r w:rsidRPr="00F204AF">
        <w:rPr>
          <w:rFonts w:ascii="Arial" w:hAnsi="Arial" w:cs="Arial"/>
          <w:b/>
          <w:sz w:val="16"/>
          <w:szCs w:val="16"/>
          <w:lang w:eastAsia="es-ES"/>
        </w:rPr>
        <w:tab/>
      </w:r>
      <w:r w:rsidRPr="00C3240C">
        <w:rPr>
          <w:rFonts w:ascii="Arial" w:hAnsi="Arial" w:cs="Arial"/>
          <w:b/>
          <w:sz w:val="18"/>
          <w:szCs w:val="18"/>
          <w:lang w:eastAsia="es-ES"/>
        </w:rPr>
        <w:t>CCE-DES-FM-17</w:t>
      </w:r>
    </w:p>
    <w:bookmarkEnd w:id="0"/>
    <w:bookmarkEnd w:id="1"/>
    <w:p w:rsidRPr="009C1EC6" w:rsidR="00D86BBF" w:rsidP="00D86BBF" w:rsidRDefault="00D86BBF" w14:paraId="297D565C" w14:textId="77777777">
      <w:pPr>
        <w:pStyle w:val="Textoindependiente"/>
        <w:ind w:left="284"/>
        <w:rPr>
          <w:sz w:val="20"/>
        </w:rPr>
      </w:pPr>
    </w:p>
    <w:p w:rsidRPr="00DE482E" w:rsidR="00D86BBF" w:rsidP="005151DF" w:rsidRDefault="00D86BBF" w14:paraId="4866DBA4" w14:textId="15D1515E">
      <w:pPr>
        <w:jc w:val="both"/>
        <w:rPr>
          <w:rFonts w:ascii="Arial" w:hAnsi="Arial" w:eastAsia="Calibri" w:cs="Arial"/>
          <w:b/>
          <w:sz w:val="22"/>
        </w:rPr>
      </w:pPr>
      <w:r w:rsidRPr="00DE482E">
        <w:rPr>
          <w:rFonts w:ascii="Arial" w:hAnsi="Arial" w:eastAsia="Calibri" w:cs="Arial"/>
          <w:b/>
          <w:sz w:val="22"/>
        </w:rPr>
        <w:t xml:space="preserve">EXPERIENCIA PROFESIONAL – </w:t>
      </w:r>
      <w:r w:rsidRPr="00DE482E" w:rsidR="00CB6BDE">
        <w:rPr>
          <w:rFonts w:ascii="Arial" w:hAnsi="Arial" w:eastAsia="Calibri" w:cs="Arial"/>
          <w:b/>
          <w:sz w:val="22"/>
        </w:rPr>
        <w:t>Cómputo –</w:t>
      </w:r>
      <w:r w:rsidR="00CB6BDE">
        <w:rPr>
          <w:rFonts w:ascii="Arial" w:hAnsi="Arial" w:eastAsia="Calibri" w:cs="Arial"/>
          <w:b/>
          <w:sz w:val="22"/>
        </w:rPr>
        <w:t xml:space="preserve"> </w:t>
      </w:r>
      <w:r w:rsidRPr="00DE482E">
        <w:rPr>
          <w:rFonts w:ascii="Arial" w:hAnsi="Arial" w:eastAsia="Calibri" w:cs="Arial"/>
          <w:b/>
          <w:sz w:val="22"/>
        </w:rPr>
        <w:t xml:space="preserve">Régimen jurídico aplicable </w:t>
      </w:r>
    </w:p>
    <w:p w:rsidRPr="009C1EC6" w:rsidR="00D86BBF" w:rsidP="005151DF" w:rsidRDefault="00D86BBF" w14:paraId="2D0502B6" w14:textId="77777777">
      <w:pPr>
        <w:jc w:val="both"/>
        <w:rPr>
          <w:rFonts w:ascii="Arial" w:hAnsi="Arial" w:cs="Arial"/>
          <w:sz w:val="21"/>
          <w:szCs w:val="21"/>
        </w:rPr>
      </w:pPr>
    </w:p>
    <w:p w:rsidR="00D86BBF" w:rsidP="005151DF" w:rsidRDefault="00810EBF" w14:paraId="77097AB3" w14:textId="5F7EBE4B">
      <w:pPr>
        <w:jc w:val="both"/>
        <w:rPr>
          <w:rFonts w:ascii="Arial" w:hAnsi="Arial" w:eastAsia="Calibri" w:cs="Arial"/>
          <w:sz w:val="20"/>
          <w:szCs w:val="20"/>
        </w:rPr>
      </w:pPr>
      <w:r w:rsidRPr="00810EBF">
        <w:rPr>
          <w:rFonts w:ascii="Arial" w:hAnsi="Arial" w:eastAsia="Calibri" w:cs="Arial"/>
          <w:sz w:val="20"/>
          <w:szCs w:val="20"/>
        </w:rPr>
        <w:t>La experiencia profesional se debe verificar de acuerdo con lo regulado en el artículo 229 del Decreto 019 de 2012. En virtud de esta norma, el ejercicio de las diferentes profesiones acreditadas por el Ministerio de Educación Nacional se contabiliza a partir de la terminación y aprobación del pénsum académico de educación superior, salvo para las profesiones relacionadas con el sistema de seguridad social en salud, en las cuales la experiencia profesional se computa a partir de la inscripción o registro profesional</w:t>
      </w:r>
      <w:r>
        <w:rPr>
          <w:rFonts w:ascii="Arial" w:hAnsi="Arial" w:eastAsia="Calibri" w:cs="Arial"/>
          <w:sz w:val="20"/>
          <w:szCs w:val="20"/>
        </w:rPr>
        <w:t>.</w:t>
      </w:r>
    </w:p>
    <w:p w:rsidRPr="009C1EC6" w:rsidR="00810EBF" w:rsidP="005151DF" w:rsidRDefault="00810EBF" w14:paraId="1C571D9D" w14:textId="77777777">
      <w:pPr>
        <w:jc w:val="both"/>
        <w:rPr>
          <w:rFonts w:ascii="Arial" w:hAnsi="Arial" w:eastAsia="Calibri" w:cs="Arial"/>
          <w:sz w:val="20"/>
          <w:szCs w:val="20"/>
        </w:rPr>
      </w:pPr>
    </w:p>
    <w:p w:rsidRPr="00DE482E" w:rsidR="00D86BBF" w:rsidP="005151DF" w:rsidRDefault="00D86BBF" w14:paraId="41B512B9" w14:textId="77777777">
      <w:pPr>
        <w:jc w:val="both"/>
        <w:rPr>
          <w:rFonts w:ascii="Arial" w:hAnsi="Arial" w:eastAsia="Calibri" w:cs="Arial"/>
          <w:b/>
          <w:sz w:val="22"/>
        </w:rPr>
      </w:pPr>
      <w:r w:rsidRPr="00DE482E">
        <w:rPr>
          <w:rFonts w:ascii="Arial" w:hAnsi="Arial" w:eastAsia="Calibri" w:cs="Arial"/>
          <w:b/>
          <w:sz w:val="22"/>
        </w:rPr>
        <w:t xml:space="preserve">PRÁCTICA LABORAL – Régimen jurídico aplicable – Concepto </w:t>
      </w:r>
    </w:p>
    <w:p w:rsidRPr="009C1EC6" w:rsidR="00D86BBF" w:rsidP="005151DF" w:rsidRDefault="00D86BBF" w14:paraId="5A9C1A0C" w14:textId="77777777">
      <w:pPr>
        <w:tabs>
          <w:tab w:val="left" w:pos="8490"/>
        </w:tabs>
        <w:jc w:val="both"/>
        <w:rPr>
          <w:rFonts w:ascii="Arial" w:hAnsi="Arial" w:eastAsia="Calibri" w:cs="Arial"/>
          <w:sz w:val="20"/>
          <w:szCs w:val="20"/>
        </w:rPr>
      </w:pPr>
      <w:r w:rsidRPr="009C1EC6">
        <w:rPr>
          <w:rFonts w:ascii="Arial" w:hAnsi="Arial" w:eastAsia="Calibri" w:cs="Arial"/>
          <w:sz w:val="20"/>
          <w:szCs w:val="20"/>
        </w:rPr>
        <w:tab/>
      </w:r>
    </w:p>
    <w:p w:rsidR="00D86BBF" w:rsidP="005151DF" w:rsidRDefault="00D86BBF" w14:paraId="68CCABAB" w14:textId="1F8A240F">
      <w:pPr>
        <w:jc w:val="both"/>
        <w:rPr>
          <w:rFonts w:ascii="Arial" w:hAnsi="Arial" w:eastAsia="Calibri" w:cs="Arial"/>
          <w:sz w:val="20"/>
          <w:szCs w:val="20"/>
        </w:rPr>
      </w:pPr>
      <w:r w:rsidRPr="004019D5">
        <w:rPr>
          <w:rFonts w:ascii="Arial" w:hAnsi="Arial" w:eastAsia="Calibri" w:cs="Arial"/>
          <w:sz w:val="20"/>
          <w:szCs w:val="20"/>
        </w:rPr>
        <w:t>Por otro lado, a partir de la Ley 1955 de 2019</w:t>
      </w:r>
      <w:r w:rsidR="00810EBF">
        <w:rPr>
          <w:rFonts w:ascii="Arial" w:hAnsi="Arial" w:eastAsia="Calibri" w:cs="Arial"/>
          <w:sz w:val="20"/>
          <w:szCs w:val="20"/>
        </w:rPr>
        <w:t xml:space="preserve"> </w:t>
      </w:r>
      <w:r w:rsidRPr="00810EBF" w:rsidR="00810EBF">
        <w:rPr>
          <w:rFonts w:ascii="Arial" w:hAnsi="Arial" w:eastAsia="Calibri" w:cs="Arial"/>
          <w:sz w:val="20"/>
          <w:szCs w:val="20"/>
        </w:rPr>
        <w:t>se permite contar como experiencia profesional las prácticas laborales realizadas por estudiantes para obtener el título de grado. De acuerdo con el artículo 15 de la Ley 1780 de 2016, la práctica laboral es una actividad formativa desarrollada por un estudiante de programas de formación complementaria ofrecidos por las escuelas normales superiores y educación superior de pregrado, durante un tiempo determinado, en un ambiente laboral real, con supervisión y sobre asuntos relacionados con su área de estudio o desempeño.</w:t>
      </w:r>
    </w:p>
    <w:p w:rsidRPr="009C1EC6" w:rsidR="00810EBF" w:rsidP="005151DF" w:rsidRDefault="00810EBF" w14:paraId="2CE67102" w14:textId="77777777">
      <w:pPr>
        <w:jc w:val="both"/>
        <w:rPr>
          <w:rFonts w:ascii="Arial" w:hAnsi="Arial" w:eastAsia="Calibri" w:cs="Arial"/>
          <w:sz w:val="20"/>
          <w:szCs w:val="20"/>
        </w:rPr>
      </w:pPr>
    </w:p>
    <w:p w:rsidRPr="00DE482E" w:rsidR="00D86BBF" w:rsidP="005151DF" w:rsidRDefault="00D86BBF" w14:paraId="0EE2A4BA" w14:textId="2A7E08C2">
      <w:pPr>
        <w:jc w:val="both"/>
        <w:rPr>
          <w:rFonts w:ascii="Arial" w:hAnsi="Arial" w:eastAsia="Calibri" w:cs="Arial"/>
          <w:b/>
          <w:sz w:val="22"/>
        </w:rPr>
      </w:pPr>
      <w:r w:rsidRPr="00DE482E">
        <w:rPr>
          <w:rFonts w:ascii="Arial" w:hAnsi="Arial" w:eastAsia="Calibri" w:cs="Arial"/>
          <w:b/>
          <w:sz w:val="22"/>
        </w:rPr>
        <w:t>E</w:t>
      </w:r>
      <w:r w:rsidR="00171722">
        <w:rPr>
          <w:rFonts w:ascii="Arial" w:hAnsi="Arial" w:eastAsia="Calibri" w:cs="Arial"/>
          <w:b/>
          <w:sz w:val="22"/>
        </w:rPr>
        <w:t>XPERIENCIA PROFESIONAL – Inclusión – P</w:t>
      </w:r>
      <w:r w:rsidRPr="00DE482E">
        <w:rPr>
          <w:rFonts w:ascii="Arial" w:hAnsi="Arial" w:eastAsia="Calibri" w:cs="Arial"/>
          <w:b/>
          <w:sz w:val="22"/>
        </w:rPr>
        <w:t xml:space="preserve">ráctica laboral </w:t>
      </w:r>
    </w:p>
    <w:p w:rsidRPr="009C1EC6" w:rsidR="00D86BBF" w:rsidP="005151DF" w:rsidRDefault="00D86BBF" w14:paraId="27D632BD" w14:textId="77777777">
      <w:pPr>
        <w:tabs>
          <w:tab w:val="left" w:pos="5715"/>
        </w:tabs>
        <w:jc w:val="both"/>
        <w:rPr>
          <w:rFonts w:ascii="Arial" w:hAnsi="Arial" w:eastAsia="Calibri" w:cs="Arial"/>
          <w:b/>
          <w:sz w:val="20"/>
          <w:szCs w:val="20"/>
        </w:rPr>
      </w:pPr>
      <w:r w:rsidRPr="009C1EC6">
        <w:rPr>
          <w:rFonts w:ascii="Arial" w:hAnsi="Arial" w:eastAsia="Calibri" w:cs="Arial"/>
          <w:b/>
          <w:sz w:val="20"/>
          <w:szCs w:val="20"/>
        </w:rPr>
        <w:tab/>
      </w:r>
    </w:p>
    <w:p w:rsidRPr="00810EBF" w:rsidR="00810EBF" w:rsidP="005151DF" w:rsidRDefault="00810EBF" w14:paraId="3BCCC2E3" w14:textId="35ED0749">
      <w:pPr>
        <w:jc w:val="both"/>
        <w:rPr>
          <w:rFonts w:ascii="Arial" w:hAnsi="Arial" w:eastAsia="Calibri" w:cs="Arial"/>
          <w:sz w:val="20"/>
          <w:szCs w:val="20"/>
        </w:rPr>
      </w:pPr>
      <w:r w:rsidRPr="00810EBF">
        <w:rPr>
          <w:rFonts w:ascii="Arial" w:hAnsi="Arial" w:eastAsia="Calibri" w:cs="Arial"/>
          <w:sz w:val="20"/>
          <w:szCs w:val="20"/>
        </w:rPr>
        <w:t xml:space="preserve">El artículo 192 de la Ley 1955 de </w:t>
      </w:r>
      <w:r w:rsidRPr="00810EBF" w:rsidR="00171722">
        <w:rPr>
          <w:rFonts w:ascii="Arial" w:hAnsi="Arial" w:eastAsia="Calibri" w:cs="Arial"/>
          <w:sz w:val="20"/>
          <w:szCs w:val="20"/>
        </w:rPr>
        <w:t>2019 establece</w:t>
      </w:r>
      <w:r w:rsidRPr="00810EBF">
        <w:rPr>
          <w:rFonts w:ascii="Arial" w:hAnsi="Arial" w:eastAsia="Calibri" w:cs="Arial"/>
          <w:sz w:val="20"/>
          <w:szCs w:val="20"/>
        </w:rPr>
        <w:t xml:space="preserve"> que el tiempo de la práctica laboral que el estudiante realice para optar por su título profesional, tecnológico o técnico cuenta como experiencia laboral. Sin embargo, solo se computan como experiencia las prácticas laborales realizadas durante los veinticuatro (24) meses anteriores a la </w:t>
      </w:r>
      <w:proofErr w:type="gramStart"/>
      <w:r w:rsidRPr="00810EBF">
        <w:rPr>
          <w:rFonts w:ascii="Arial" w:hAnsi="Arial" w:eastAsia="Calibri" w:cs="Arial"/>
          <w:sz w:val="20"/>
          <w:szCs w:val="20"/>
        </w:rPr>
        <w:t>entrada en vigencia</w:t>
      </w:r>
      <w:proofErr w:type="gramEnd"/>
      <w:r w:rsidRPr="00810EBF">
        <w:rPr>
          <w:rFonts w:ascii="Arial" w:hAnsi="Arial" w:eastAsia="Calibri" w:cs="Arial"/>
          <w:sz w:val="20"/>
          <w:szCs w:val="20"/>
        </w:rPr>
        <w:t xml:space="preserve"> de dicha ley y las que se realicen con posterioridad; y, por último, exceptúa de lo dispuesto en este artículo a los estudiantes de posgrado del sector salud.</w:t>
      </w:r>
    </w:p>
    <w:p w:rsidRPr="009C1EC6" w:rsidR="00D86BBF" w:rsidP="005151DF" w:rsidRDefault="00810EBF" w14:paraId="48A9983D" w14:textId="395D535C">
      <w:pPr>
        <w:spacing w:before="120"/>
        <w:jc w:val="both"/>
        <w:rPr>
          <w:rFonts w:ascii="Arial" w:hAnsi="Arial" w:eastAsia="Calibri" w:cs="Arial"/>
          <w:sz w:val="21"/>
          <w:szCs w:val="21"/>
        </w:rPr>
      </w:pPr>
      <w:r w:rsidRPr="00810EBF">
        <w:rPr>
          <w:rFonts w:ascii="Arial" w:hAnsi="Arial" w:eastAsia="Calibri" w:cs="Arial"/>
          <w:sz w:val="20"/>
          <w:szCs w:val="20"/>
        </w:rPr>
        <w:t xml:space="preserve">De conformidad con esta norma, las entidades estatales deben tener en cuenta las prácticas laborales como experiencia profesional aun cuando estas se hayan realizado antes de la terminación de materias. No obstante, solo se tendrán en cuenta i) las prácticas laborales que fueron realizadas durante los veinticuatro meses anteriores a la </w:t>
      </w:r>
      <w:proofErr w:type="gramStart"/>
      <w:r w:rsidRPr="00810EBF">
        <w:rPr>
          <w:rFonts w:ascii="Arial" w:hAnsi="Arial" w:eastAsia="Calibri" w:cs="Arial"/>
          <w:sz w:val="20"/>
          <w:szCs w:val="20"/>
        </w:rPr>
        <w:t>entrada en vigencia</w:t>
      </w:r>
      <w:proofErr w:type="gramEnd"/>
      <w:r w:rsidRPr="00810EBF">
        <w:rPr>
          <w:rFonts w:ascii="Arial" w:hAnsi="Arial" w:eastAsia="Calibri" w:cs="Arial"/>
          <w:sz w:val="20"/>
          <w:szCs w:val="20"/>
        </w:rPr>
        <w:t xml:space="preserve"> de dicha ley y las que se realicen con posterioridad, y </w:t>
      </w:r>
      <w:proofErr w:type="spellStart"/>
      <w:r w:rsidRPr="00810EBF">
        <w:rPr>
          <w:rFonts w:ascii="Arial" w:hAnsi="Arial" w:eastAsia="Calibri" w:cs="Arial"/>
          <w:sz w:val="20"/>
          <w:szCs w:val="20"/>
        </w:rPr>
        <w:t>ii</w:t>
      </w:r>
      <w:proofErr w:type="spellEnd"/>
      <w:r w:rsidRPr="00810EBF">
        <w:rPr>
          <w:rFonts w:ascii="Arial" w:hAnsi="Arial" w:eastAsia="Calibri" w:cs="Arial"/>
          <w:sz w:val="20"/>
          <w:szCs w:val="20"/>
        </w:rPr>
        <w:t>) las que realice cualquier estudiante que no sea de posgrado del sector salud.</w:t>
      </w:r>
    </w:p>
    <w:p w:rsidR="00810EBF" w:rsidP="005151DF" w:rsidRDefault="00810EBF" w14:paraId="6ADF5D89" w14:textId="77777777">
      <w:pPr>
        <w:jc w:val="both"/>
        <w:rPr>
          <w:rFonts w:ascii="Arial" w:hAnsi="Arial" w:eastAsia="Calibri" w:cs="Arial"/>
          <w:b/>
          <w:sz w:val="22"/>
        </w:rPr>
      </w:pPr>
    </w:p>
    <w:p w:rsidRPr="00DE482E" w:rsidR="00D86BBF" w:rsidP="005151DF" w:rsidRDefault="00D86BBF" w14:paraId="2D423E78" w14:textId="53B6CAA0">
      <w:pPr>
        <w:jc w:val="both"/>
        <w:rPr>
          <w:rFonts w:ascii="Arial" w:hAnsi="Arial" w:eastAsia="Calibri" w:cs="Arial"/>
          <w:b/>
          <w:sz w:val="22"/>
        </w:rPr>
      </w:pPr>
      <w:r w:rsidRPr="00DE482E">
        <w:rPr>
          <w:rFonts w:ascii="Arial" w:hAnsi="Arial" w:eastAsia="Calibri" w:cs="Arial"/>
          <w:b/>
          <w:sz w:val="22"/>
        </w:rPr>
        <w:t xml:space="preserve">EXPERIENCIA PROFESIONAL – </w:t>
      </w:r>
      <w:r w:rsidR="00725BFE">
        <w:rPr>
          <w:rFonts w:ascii="Arial" w:hAnsi="Arial" w:eastAsia="Calibri" w:cs="Arial"/>
          <w:b/>
          <w:sz w:val="22"/>
        </w:rPr>
        <w:t xml:space="preserve">Normas – </w:t>
      </w:r>
      <w:r w:rsidRPr="00DE482E">
        <w:rPr>
          <w:rFonts w:ascii="Arial" w:hAnsi="Arial" w:eastAsia="Calibri" w:cs="Arial"/>
          <w:b/>
          <w:sz w:val="22"/>
        </w:rPr>
        <w:t>Vigencia</w:t>
      </w:r>
    </w:p>
    <w:p w:rsidRPr="009C1EC6" w:rsidR="00D86BBF" w:rsidP="005151DF" w:rsidRDefault="00D86BBF" w14:paraId="6163410E" w14:textId="77777777">
      <w:pPr>
        <w:jc w:val="both"/>
        <w:rPr>
          <w:rFonts w:ascii="Arial" w:hAnsi="Arial" w:eastAsia="Calibri" w:cs="Arial"/>
          <w:sz w:val="20"/>
          <w:szCs w:val="20"/>
        </w:rPr>
      </w:pPr>
    </w:p>
    <w:p w:rsidR="00D86BBF" w:rsidP="005151DF" w:rsidRDefault="00D86BBF" w14:paraId="6957B083" w14:textId="22915DCB">
      <w:pPr>
        <w:jc w:val="both"/>
        <w:rPr>
          <w:rFonts w:ascii="Arial" w:hAnsi="Arial" w:eastAsia="Calibri" w:cs="Arial"/>
          <w:sz w:val="20"/>
          <w:szCs w:val="20"/>
          <w:lang w:val="es-CO"/>
        </w:rPr>
      </w:pPr>
      <w:r w:rsidRPr="004019D5">
        <w:rPr>
          <w:rFonts w:ascii="Arial" w:hAnsi="Arial" w:eastAsia="Calibri" w:cs="Arial"/>
          <w:sz w:val="20"/>
          <w:szCs w:val="20"/>
          <w:lang w:val="es-CO"/>
        </w:rPr>
        <w:t xml:space="preserve">No obstante, </w:t>
      </w:r>
      <w:r w:rsidRPr="00810EBF" w:rsidR="00810EBF">
        <w:rPr>
          <w:rFonts w:ascii="Arial" w:hAnsi="Arial" w:eastAsia="Calibri" w:cs="Arial"/>
          <w:sz w:val="20"/>
          <w:szCs w:val="20"/>
          <w:lang w:val="es-CO"/>
        </w:rPr>
        <w:t>se debe entender que el artículo 299 del Decreto 019 de 2012 es la regla general para contar el término de la experiencia profesional y, por lo tanto, el cómputo, en principio, se efectúa después de terminadas las materias; pero el caso previsto en el artículo 192 de la Ley 1955 de 2019 es la excepción a esta regla general. En efecto, si el estudiante que opta por un título realiza la práctica laboral antes de terminadas las materias, se debe contar esta experiencia como profesional a pesar de que sea una experiencia que no fue adquirida con posterioridad a la terminación de materias. En los demás casos, es decir, cuando no se realiza ninguna práctica laboral antes de finalizar el pénsum, el conteo de la experiencia inicia después de terminadas las materias.</w:t>
      </w:r>
    </w:p>
    <w:p w:rsidRPr="009C1EC6" w:rsidR="00C35664" w:rsidP="005151DF" w:rsidRDefault="00C35664" w14:paraId="3DC7F230" w14:textId="77777777">
      <w:pPr>
        <w:jc w:val="both"/>
        <w:rPr>
          <w:rFonts w:ascii="Arial" w:hAnsi="Arial" w:eastAsia="Calibri" w:cs="Arial"/>
          <w:sz w:val="20"/>
          <w:szCs w:val="20"/>
        </w:rPr>
      </w:pPr>
    </w:p>
    <w:p w:rsidRPr="00DE482E" w:rsidR="00D86BBF" w:rsidP="005151DF" w:rsidRDefault="00D86BBF" w14:paraId="641B7564" w14:textId="77777777">
      <w:pPr>
        <w:jc w:val="both"/>
        <w:rPr>
          <w:rFonts w:ascii="Arial" w:hAnsi="Arial" w:eastAsia="Calibri" w:cs="Arial"/>
          <w:b/>
          <w:sz w:val="22"/>
        </w:rPr>
      </w:pPr>
      <w:r w:rsidRPr="00DE482E">
        <w:rPr>
          <w:rFonts w:ascii="Arial" w:hAnsi="Arial" w:eastAsia="Calibri" w:cs="Arial"/>
          <w:b/>
          <w:sz w:val="22"/>
        </w:rPr>
        <w:t>CONTRATO DE PRESTACIÓN DE SERVICIOS PROFESIONALES – Régimen Jurídico</w:t>
      </w:r>
    </w:p>
    <w:p w:rsidRPr="009C1EC6" w:rsidR="00D86BBF" w:rsidP="005151DF" w:rsidRDefault="00D86BBF" w14:paraId="0C737B70" w14:textId="77777777">
      <w:pPr>
        <w:jc w:val="both"/>
        <w:rPr>
          <w:rFonts w:ascii="Arial" w:hAnsi="Arial" w:eastAsia="Calibri" w:cs="Arial"/>
          <w:b/>
          <w:sz w:val="20"/>
          <w:szCs w:val="20"/>
        </w:rPr>
      </w:pPr>
    </w:p>
    <w:p w:rsidR="00810EBF" w:rsidP="005151DF" w:rsidRDefault="00D86BBF" w14:paraId="7884920A" w14:textId="77777777">
      <w:pPr>
        <w:jc w:val="both"/>
        <w:rPr>
          <w:rFonts w:ascii="Arial" w:hAnsi="Arial" w:eastAsia="Calibri" w:cs="Arial"/>
          <w:sz w:val="20"/>
          <w:szCs w:val="20"/>
        </w:rPr>
      </w:pPr>
      <w:r w:rsidRPr="004019D5">
        <w:rPr>
          <w:rFonts w:ascii="Arial" w:hAnsi="Arial" w:eastAsia="Calibri" w:cs="Arial"/>
          <w:sz w:val="20"/>
          <w:szCs w:val="20"/>
        </w:rPr>
        <w:lastRenderedPageBreak/>
        <w:t xml:space="preserve">Es importante señalar que el Decreto 1082 de 2015, en el artículo 2.2.1.2.1.4.9, </w:t>
      </w:r>
      <w:r w:rsidRPr="00810EBF" w:rsidR="00810EBF">
        <w:rPr>
          <w:rFonts w:ascii="Arial" w:hAnsi="Arial" w:eastAsia="Calibri" w:cs="Arial"/>
          <w:sz w:val="20"/>
          <w:szCs w:val="20"/>
        </w:rPr>
        <w:t>establece que «las Entidades Estatales pueden contratar bajo la modalidad de contratación directa la prestación de servicios profesionales y de apoyo a la gestión con la persona natural o jurídica que esté en capacidad de ejecutar el objeto del contrato, siempre y cuando la Entidad Estatal verifique la idoneidad o experiencia requerida y relacionada con el área de que se trate». Por lo tanto, la entidad estatal debe verificar la idoneidad y la experiencia requerida para ejecutar el objeto del contrato de prestación de servicios.</w:t>
      </w:r>
    </w:p>
    <w:p w:rsidR="00810EBF" w:rsidP="005151DF" w:rsidRDefault="00810EBF" w14:paraId="004075B4" w14:textId="77777777">
      <w:pPr>
        <w:jc w:val="both"/>
        <w:rPr>
          <w:rFonts w:ascii="Arial" w:hAnsi="Arial" w:eastAsia="Calibri" w:cs="Arial"/>
          <w:sz w:val="20"/>
          <w:szCs w:val="20"/>
        </w:rPr>
      </w:pPr>
    </w:p>
    <w:p w:rsidRPr="00DE482E" w:rsidR="00D86BBF" w:rsidP="005151DF" w:rsidRDefault="00D86BBF" w14:paraId="49402994" w14:textId="10E36FB0">
      <w:pPr>
        <w:jc w:val="both"/>
        <w:rPr>
          <w:rFonts w:ascii="Arial" w:hAnsi="Arial" w:eastAsia="Calibri" w:cs="Arial"/>
          <w:b/>
          <w:sz w:val="22"/>
        </w:rPr>
      </w:pPr>
      <w:r w:rsidRPr="00DE482E">
        <w:rPr>
          <w:rFonts w:ascii="Arial" w:hAnsi="Arial" w:eastAsia="Calibri" w:cs="Arial"/>
          <w:b/>
          <w:sz w:val="22"/>
        </w:rPr>
        <w:t xml:space="preserve">TÍTULO DE IDONEIDAD – Régimen constitucional </w:t>
      </w:r>
    </w:p>
    <w:p w:rsidRPr="009C1EC6" w:rsidR="00D86BBF" w:rsidP="005151DF" w:rsidRDefault="00D86BBF" w14:paraId="3D87F466" w14:textId="77777777">
      <w:pPr>
        <w:jc w:val="both"/>
        <w:rPr>
          <w:rFonts w:ascii="Arial" w:hAnsi="Arial" w:eastAsia="Calibri" w:cs="Arial"/>
          <w:sz w:val="20"/>
          <w:szCs w:val="20"/>
        </w:rPr>
      </w:pPr>
    </w:p>
    <w:p w:rsidRPr="004019D5" w:rsidR="00D86BBF" w:rsidP="005151DF" w:rsidRDefault="00810EBF" w14:paraId="23B7BA88" w14:textId="3EC24A7D">
      <w:pPr>
        <w:jc w:val="both"/>
        <w:rPr>
          <w:rFonts w:ascii="Arial" w:hAnsi="Arial" w:eastAsia="Calibri" w:cs="Arial"/>
          <w:sz w:val="20"/>
          <w:szCs w:val="20"/>
        </w:rPr>
      </w:pPr>
      <w:r w:rsidRPr="00810EBF">
        <w:rPr>
          <w:rFonts w:ascii="Arial" w:hAnsi="Arial" w:eastAsia="Calibri" w:cs="Arial"/>
          <w:sz w:val="20"/>
          <w:szCs w:val="20"/>
        </w:rPr>
        <w:t xml:space="preserve">En relación con la exigencia de la tarjeta profesional para celebrar el contrato de prestación de servicios, el artículo 26 de la Constitución Política indica que: «La Ley podrá exigir títulos de idoneidad». La Corte Constitucional explicó que la Constitución Política autorizó al legislador para exigir determinados títulos de idoneidad a quienes quieren desempeñar actividades que impliquen riesgo social, con el objetivo de demostrar la adecuada aptitud del </w:t>
      </w:r>
      <w:proofErr w:type="gramStart"/>
      <w:r w:rsidRPr="00810EBF">
        <w:rPr>
          <w:rFonts w:ascii="Arial" w:hAnsi="Arial" w:eastAsia="Calibri" w:cs="Arial"/>
          <w:sz w:val="20"/>
          <w:szCs w:val="20"/>
        </w:rPr>
        <w:t>aspirante .</w:t>
      </w:r>
      <w:proofErr w:type="gramEnd"/>
      <w:r w:rsidRPr="00810EBF">
        <w:rPr>
          <w:rFonts w:ascii="Arial" w:hAnsi="Arial" w:eastAsia="Calibri" w:cs="Arial"/>
          <w:sz w:val="20"/>
          <w:szCs w:val="20"/>
        </w:rPr>
        <w:t xml:space="preserve"> En este sentido, la ley, frente a personal de la correspondiente entidad, o ante determinadas profesiones que impliquen riesgo social, puede exigir el requisito de tarjeta profesional para garantizar la aptitud del aspirante</w:t>
      </w:r>
      <w:r w:rsidRPr="004019D5" w:rsidR="00D86BBF">
        <w:rPr>
          <w:rFonts w:ascii="Arial" w:hAnsi="Arial" w:eastAsia="Calibri" w:cs="Arial"/>
          <w:sz w:val="20"/>
          <w:szCs w:val="20"/>
        </w:rPr>
        <w:t>.</w:t>
      </w:r>
    </w:p>
    <w:p w:rsidRPr="009C1EC6" w:rsidR="00D86BBF" w:rsidP="005151DF" w:rsidRDefault="00D86BBF" w14:paraId="5A7BC633" w14:textId="77777777">
      <w:pPr>
        <w:jc w:val="both"/>
        <w:rPr>
          <w:rFonts w:ascii="Arial" w:hAnsi="Arial" w:cs="Arial"/>
          <w:sz w:val="20"/>
          <w:szCs w:val="20"/>
        </w:rPr>
      </w:pPr>
    </w:p>
    <w:p w:rsidRPr="00DE482E" w:rsidR="00D86BBF" w:rsidP="3924A5B4" w:rsidRDefault="00D86BBF" w14:paraId="596F87B7" w14:textId="4BE62BA9">
      <w:pPr>
        <w:pStyle w:val="Normal"/>
        <w:jc w:val="both"/>
        <w:rPr>
          <w:rFonts w:ascii="Arial" w:hAnsi="Arial" w:cs="Arial"/>
          <w:b w:val="1"/>
          <w:bCs w:val="1"/>
          <w:sz w:val="22"/>
          <w:szCs w:val="22"/>
        </w:rPr>
      </w:pPr>
      <w:r w:rsidRPr="3924A5B4" w:rsidR="795CC3D3">
        <w:rPr>
          <w:rFonts w:ascii="Arial" w:hAnsi="Arial" w:cs="Arial"/>
          <w:b w:val="1"/>
          <w:bCs w:val="1"/>
          <w:sz w:val="22"/>
          <w:szCs w:val="22"/>
        </w:rPr>
        <w:t>PROFESIÓN DE INGENIERÍA</w:t>
      </w:r>
      <w:r w:rsidRPr="3924A5B4" w:rsidR="00D86BBF">
        <w:rPr>
          <w:rFonts w:ascii="Arial" w:hAnsi="Arial" w:cs="Arial"/>
          <w:b w:val="1"/>
          <w:bCs w:val="1"/>
          <w:sz w:val="22"/>
          <w:szCs w:val="22"/>
        </w:rPr>
        <w:t xml:space="preserve"> –</w:t>
      </w:r>
      <w:r w:rsidRPr="3924A5B4" w:rsidR="5DB33A2F">
        <w:rPr>
          <w:rFonts w:ascii="Arial" w:hAnsi="Arial" w:cs="Arial"/>
          <w:b w:val="1"/>
          <w:bCs w:val="1"/>
          <w:sz w:val="22"/>
          <w:szCs w:val="22"/>
        </w:rPr>
        <w:t xml:space="preserve"> Ejercicio </w:t>
      </w:r>
      <w:r w:rsidRPr="3924A5B4" w:rsidR="5DB33A2F">
        <w:rPr>
          <w:rFonts w:ascii="Arial" w:hAnsi="Arial" w:eastAsia="Arial" w:cs="Arial"/>
          <w:b w:val="1"/>
          <w:bCs w:val="1"/>
          <w:noProof w:val="0"/>
          <w:sz w:val="22"/>
          <w:szCs w:val="22"/>
          <w:lang w:val="es-MX"/>
        </w:rPr>
        <w:t>–</w:t>
      </w:r>
      <w:r w:rsidRPr="3924A5B4" w:rsidR="00D86BBF">
        <w:rPr>
          <w:rFonts w:ascii="Arial" w:hAnsi="Arial" w:cs="Arial"/>
          <w:b w:val="1"/>
          <w:bCs w:val="1"/>
          <w:sz w:val="22"/>
          <w:szCs w:val="22"/>
        </w:rPr>
        <w:t xml:space="preserve"> Régimen jurídico aplicable</w:t>
      </w:r>
    </w:p>
    <w:p w:rsidRPr="00DE482E" w:rsidR="00D86BBF" w:rsidP="005151DF" w:rsidRDefault="00D86BBF" w14:paraId="26B6549E" w14:textId="77777777">
      <w:pPr>
        <w:ind w:firstLine="709"/>
        <w:jc w:val="both"/>
        <w:rPr>
          <w:rFonts w:ascii="Arial" w:hAnsi="Arial" w:cs="Arial"/>
          <w:sz w:val="22"/>
        </w:rPr>
      </w:pPr>
    </w:p>
    <w:p w:rsidR="00D86BBF" w:rsidP="005151DF" w:rsidRDefault="00D86BBF" w14:paraId="0F4C2373" w14:textId="33EE5CAD">
      <w:pPr>
        <w:jc w:val="both"/>
        <w:rPr>
          <w:rFonts w:ascii="Arial" w:hAnsi="Arial" w:cs="Arial"/>
          <w:sz w:val="20"/>
          <w:szCs w:val="20"/>
        </w:rPr>
      </w:pPr>
      <w:r w:rsidRPr="004019D5">
        <w:rPr>
          <w:rFonts w:ascii="Arial" w:hAnsi="Arial" w:cs="Arial"/>
          <w:sz w:val="20"/>
          <w:szCs w:val="20"/>
        </w:rPr>
        <w:t xml:space="preserve">La Ley 842 de 2003, normativa que regula el ejercicio de la ingeniería, </w:t>
      </w:r>
      <w:r w:rsidR="005151DF">
        <w:rPr>
          <w:rFonts w:ascii="Arial" w:hAnsi="Arial" w:cs="Arial"/>
          <w:sz w:val="20"/>
          <w:szCs w:val="20"/>
        </w:rPr>
        <w:t xml:space="preserve">[…] </w:t>
      </w:r>
      <w:r w:rsidRPr="005151DF" w:rsidR="005151DF">
        <w:rPr>
          <w:rFonts w:ascii="Arial" w:hAnsi="Arial" w:cs="Arial"/>
          <w:sz w:val="20"/>
          <w:szCs w:val="20"/>
        </w:rPr>
        <w:t xml:space="preserve">establece en el artículo 6 </w:t>
      </w:r>
      <w:proofErr w:type="gramStart"/>
      <w:r w:rsidRPr="005151DF" w:rsidR="005151DF">
        <w:rPr>
          <w:rFonts w:ascii="Arial" w:hAnsi="Arial" w:cs="Arial"/>
          <w:sz w:val="20"/>
          <w:szCs w:val="20"/>
        </w:rPr>
        <w:t>que</w:t>
      </w:r>
      <w:proofErr w:type="gramEnd"/>
      <w:r w:rsidRPr="005151DF" w:rsidR="005151DF">
        <w:rPr>
          <w:rFonts w:ascii="Arial" w:hAnsi="Arial" w:cs="Arial"/>
          <w:sz w:val="20"/>
          <w:szCs w:val="20"/>
        </w:rPr>
        <w:t xml:space="preserve"> para ejercer la ingeniería, sus profesiones afines o sus profesiones auxiliares en el territorio nacional, se requiere estar matriculado o inscrito en el registro profesional respectivo, que seguirá llevando el </w:t>
      </w:r>
      <w:proofErr w:type="spellStart"/>
      <w:r w:rsidRPr="005151DF" w:rsidR="005151DF">
        <w:rPr>
          <w:rFonts w:ascii="Arial" w:hAnsi="Arial" w:cs="Arial"/>
          <w:sz w:val="20"/>
          <w:szCs w:val="20"/>
        </w:rPr>
        <w:t>Copnia</w:t>
      </w:r>
      <w:proofErr w:type="spellEnd"/>
      <w:r w:rsidRPr="005151DF" w:rsidR="005151DF">
        <w:rPr>
          <w:rFonts w:ascii="Arial" w:hAnsi="Arial" w:cs="Arial"/>
          <w:sz w:val="20"/>
          <w:szCs w:val="20"/>
        </w:rPr>
        <w:t>, lo cual se acredita con la presentación de la tarjeta o documento adoptado por este para tal fin. En este caso, para el ejercicio de la profesión de ingeniería se requiere estar matriculado en el registro profesional, lo cual se acredita con la presentación de la tarjeta profesional. Por lo tanto, la entidad estatal debe verificar que se aporte la tarjeta profesional para la celebración del contrato estatal.</w:t>
      </w:r>
    </w:p>
    <w:p w:rsidRPr="009C1EC6" w:rsidR="005151DF" w:rsidP="005151DF" w:rsidRDefault="005151DF" w14:paraId="6D676DDB" w14:textId="77777777">
      <w:pPr>
        <w:jc w:val="both"/>
        <w:rPr>
          <w:rFonts w:ascii="Arial" w:hAnsi="Arial" w:cs="Arial"/>
          <w:sz w:val="20"/>
          <w:szCs w:val="20"/>
        </w:rPr>
      </w:pPr>
    </w:p>
    <w:p w:rsidRPr="00DE482E" w:rsidR="00D86BBF" w:rsidP="3924A5B4" w:rsidRDefault="00D86BBF" w14:paraId="76F8AB1F" w14:textId="769A177C">
      <w:pPr>
        <w:pStyle w:val="Normal"/>
        <w:jc w:val="both"/>
        <w:rPr>
          <w:rFonts w:ascii="Arial" w:hAnsi="Arial" w:cs="Arial"/>
          <w:b w:val="1"/>
          <w:bCs w:val="1"/>
          <w:sz w:val="22"/>
          <w:szCs w:val="22"/>
        </w:rPr>
      </w:pPr>
      <w:r w:rsidRPr="3924A5B4" w:rsidR="00D86BBF">
        <w:rPr>
          <w:rFonts w:ascii="Arial" w:hAnsi="Arial" w:cs="Arial"/>
          <w:b w:val="1"/>
          <w:bCs w:val="1"/>
          <w:sz w:val="22"/>
          <w:szCs w:val="22"/>
        </w:rPr>
        <w:t xml:space="preserve"> PROFESIONAL INGENIERÍA – </w:t>
      </w:r>
      <w:r w:rsidRPr="3924A5B4" w:rsidR="088F2A38">
        <w:rPr>
          <w:rFonts w:ascii="Arial" w:hAnsi="Arial" w:cs="Arial"/>
          <w:b w:val="1"/>
          <w:bCs w:val="1"/>
          <w:sz w:val="22"/>
          <w:szCs w:val="22"/>
        </w:rPr>
        <w:t xml:space="preserve">Experiencia </w:t>
      </w:r>
      <w:r w:rsidRPr="3924A5B4" w:rsidR="088F2A38">
        <w:rPr>
          <w:rFonts w:ascii="Arial" w:hAnsi="Arial" w:eastAsia="Arial" w:cs="Arial"/>
          <w:b w:val="1"/>
          <w:bCs w:val="1"/>
          <w:noProof w:val="0"/>
          <w:sz w:val="22"/>
          <w:szCs w:val="22"/>
          <w:lang w:val="es-MX"/>
        </w:rPr>
        <w:t>–</w:t>
      </w:r>
      <w:r w:rsidRPr="3924A5B4" w:rsidR="088F2A38">
        <w:rPr>
          <w:rFonts w:ascii="Arial" w:hAnsi="Arial" w:cs="Arial"/>
          <w:b w:val="1"/>
          <w:bCs w:val="1"/>
          <w:sz w:val="22"/>
          <w:szCs w:val="22"/>
        </w:rPr>
        <w:t xml:space="preserve"> </w:t>
      </w:r>
      <w:r w:rsidRPr="3924A5B4" w:rsidR="00D86BBF">
        <w:rPr>
          <w:rFonts w:ascii="Arial" w:hAnsi="Arial" w:cs="Arial"/>
          <w:b w:val="1"/>
          <w:bCs w:val="1"/>
          <w:sz w:val="22"/>
          <w:szCs w:val="22"/>
        </w:rPr>
        <w:t>Cómputo</w:t>
      </w:r>
    </w:p>
    <w:p w:rsidRPr="009C1EC6" w:rsidR="00D86BBF" w:rsidP="005151DF" w:rsidRDefault="00D86BBF" w14:paraId="3CC9B4E1" w14:textId="77777777">
      <w:pPr>
        <w:jc w:val="both"/>
        <w:rPr>
          <w:rFonts w:ascii="Arial" w:hAnsi="Arial" w:cs="Arial"/>
          <w:b/>
        </w:rPr>
      </w:pPr>
    </w:p>
    <w:p w:rsidR="00D86BBF" w:rsidP="005151DF" w:rsidRDefault="005151DF" w14:paraId="54E17FEB" w14:textId="1C6354E1">
      <w:pPr>
        <w:spacing w:before="1" w:line="253" w:lineRule="exact"/>
        <w:jc w:val="both"/>
        <w:rPr>
          <w:rFonts w:ascii="Arial" w:hAnsi="Arial" w:cs="Arial"/>
        </w:rPr>
      </w:pPr>
      <w:r>
        <w:rPr>
          <w:rFonts w:ascii="Arial" w:hAnsi="Arial" w:cs="Arial"/>
          <w:sz w:val="20"/>
          <w:szCs w:val="20"/>
        </w:rPr>
        <w:t xml:space="preserve">[…] </w:t>
      </w:r>
      <w:r w:rsidRPr="005151DF">
        <w:rPr>
          <w:rFonts w:ascii="Arial" w:hAnsi="Arial" w:cs="Arial"/>
          <w:sz w:val="20"/>
          <w:szCs w:val="20"/>
        </w:rPr>
        <w:t xml:space="preserve">en relación con el conteo de la experiencia profesional de ingeniería previsto en el párrafo segundo del numeral </w:t>
      </w:r>
      <w:proofErr w:type="gramStart"/>
      <w:r w:rsidRPr="005151DF">
        <w:rPr>
          <w:rFonts w:ascii="Arial" w:hAnsi="Arial" w:cs="Arial"/>
          <w:sz w:val="20"/>
          <w:szCs w:val="20"/>
        </w:rPr>
        <w:t>citado ,</w:t>
      </w:r>
      <w:proofErr w:type="gramEnd"/>
      <w:r w:rsidRPr="005151DF">
        <w:rPr>
          <w:rFonts w:ascii="Arial" w:hAnsi="Arial" w:cs="Arial"/>
          <w:sz w:val="20"/>
          <w:szCs w:val="20"/>
        </w:rPr>
        <w:t xml:space="preserve"> es claro que, la Circular fijó esta subregla sin que se pueda colegir que este evento es una contradicción o contraposición a la regla rectora del Decreto 019 de 2012, pues lo que establece es que siempre que exista una norma especial que regule esta materia debe remitirse a ella. Sin embargo, como la norma de la Ley 842 de 2003 fue derogada tácitamente por el Decreto Ley 019 de 2012, en este momento no existe en el ordenamiento una norma jurídica especial en materia de acreditación de experiencia de profesionales de ingeniería, que ofrezca parámetros distintos a los consagrados en el Decreto 019 de 2012, para el cómputo de la experiencia profesional.</w:t>
      </w:r>
    </w:p>
    <w:p w:rsidR="003E7EEA" w:rsidP="00D86BBF" w:rsidRDefault="003E7EEA" w14:paraId="6EDFB404" w14:textId="1709E17C">
      <w:pPr>
        <w:spacing w:before="1" w:line="253" w:lineRule="exact"/>
        <w:ind w:left="284"/>
        <w:rPr>
          <w:rFonts w:ascii="Arial" w:hAnsi="Arial" w:cs="Arial"/>
        </w:rPr>
      </w:pPr>
    </w:p>
    <w:p w:rsidRPr="009C1EC6" w:rsidR="003E7EEA" w:rsidP="00D86BBF" w:rsidRDefault="003E7EEA" w14:paraId="711C1867" w14:textId="77777777">
      <w:pPr>
        <w:spacing w:before="1" w:line="253" w:lineRule="exact"/>
        <w:ind w:left="284"/>
        <w:rPr>
          <w:rFonts w:ascii="Arial" w:hAnsi="Arial" w:cs="Arial"/>
        </w:rPr>
      </w:pPr>
    </w:p>
    <w:p w:rsidRPr="009C1EC6" w:rsidR="00D86BBF" w:rsidP="003C70E3" w:rsidRDefault="00D86BBF" w14:paraId="0216E84E" w14:textId="4B8E131A">
      <w:pPr>
        <w:spacing w:before="1" w:line="253" w:lineRule="exact"/>
        <w:rPr>
          <w:b/>
          <w:sz w:val="14"/>
        </w:rPr>
      </w:pPr>
      <w:r w:rsidRPr="009C1EC6">
        <w:rPr>
          <w:rFonts w:ascii="Arial" w:hAnsi="Arial" w:cs="Arial"/>
        </w:rPr>
        <w:t xml:space="preserve">Bogotá D.C., </w:t>
      </w:r>
      <w:r w:rsidRPr="003C70E3" w:rsidR="003C70E3">
        <w:rPr>
          <w:rFonts w:ascii="Arial" w:hAnsi="Arial" w:cs="Arial"/>
          <w:b/>
        </w:rPr>
        <w:t>04/06/2020 Hora 14:45:18s</w:t>
      </w:r>
    </w:p>
    <w:p w:rsidR="003C70E3" w:rsidP="00D86BBF" w:rsidRDefault="00D86BBF" w14:paraId="3473271C" w14:textId="77777777">
      <w:pPr>
        <w:pStyle w:val="Textoindependiente"/>
        <w:ind w:left="284"/>
        <w:rPr>
          <w:b/>
          <w:sz w:val="14"/>
        </w:rPr>
      </w:pPr>
      <w:r w:rsidRPr="009C1EC6">
        <w:rPr>
          <w:b/>
          <w:sz w:val="14"/>
        </w:rPr>
        <w:tab/>
      </w:r>
      <w:r w:rsidRPr="009C1EC6">
        <w:rPr>
          <w:b/>
          <w:sz w:val="14"/>
        </w:rPr>
        <w:tab/>
      </w:r>
      <w:r w:rsidRPr="009C1EC6">
        <w:rPr>
          <w:b/>
          <w:sz w:val="14"/>
        </w:rPr>
        <w:tab/>
      </w:r>
      <w:r w:rsidRPr="009C1EC6">
        <w:rPr>
          <w:b/>
          <w:sz w:val="14"/>
        </w:rPr>
        <w:tab/>
      </w:r>
      <w:r w:rsidRPr="009C1EC6">
        <w:rPr>
          <w:b/>
          <w:sz w:val="14"/>
        </w:rPr>
        <w:tab/>
      </w:r>
      <w:r w:rsidRPr="009C1EC6">
        <w:rPr>
          <w:b/>
          <w:sz w:val="14"/>
        </w:rPr>
        <w:tab/>
      </w:r>
      <w:r w:rsidRPr="009C1EC6">
        <w:rPr>
          <w:b/>
          <w:sz w:val="14"/>
        </w:rPr>
        <w:tab/>
      </w:r>
    </w:p>
    <w:p w:rsidR="003C70E3" w:rsidP="00D86BBF" w:rsidRDefault="003C70E3" w14:paraId="40AEBD1E" w14:textId="77777777">
      <w:pPr>
        <w:pStyle w:val="Textoindependiente"/>
        <w:ind w:left="284"/>
        <w:rPr>
          <w:b/>
          <w:sz w:val="14"/>
        </w:rPr>
      </w:pPr>
    </w:p>
    <w:p w:rsidRPr="009C1EC6" w:rsidR="00D86BBF" w:rsidP="003C70E3" w:rsidRDefault="00D86BBF" w14:paraId="43DAB601" w14:textId="40B02601">
      <w:pPr>
        <w:pStyle w:val="Textoindependiente"/>
        <w:ind w:left="5240"/>
        <w:rPr>
          <w:b/>
        </w:rPr>
      </w:pPr>
      <w:proofErr w:type="spellStart"/>
      <w:r w:rsidRPr="009C1EC6">
        <w:rPr>
          <w:b/>
        </w:rPr>
        <w:t>N°</w:t>
      </w:r>
      <w:proofErr w:type="spellEnd"/>
      <w:r w:rsidRPr="009C1EC6">
        <w:rPr>
          <w:b/>
        </w:rPr>
        <w:t xml:space="preserve"> Radicado: </w:t>
      </w:r>
      <w:r w:rsidRPr="003C70E3" w:rsidR="003C70E3">
        <w:rPr>
          <w:b/>
        </w:rPr>
        <w:t>2202013000004581</w:t>
      </w:r>
    </w:p>
    <w:p w:rsidRPr="009C1EC6" w:rsidR="00D86BBF" w:rsidP="00D86BBF" w:rsidRDefault="00D86BBF" w14:paraId="38850AA6" w14:textId="77777777">
      <w:pPr>
        <w:pStyle w:val="Textoindependiente"/>
        <w:spacing w:before="93"/>
        <w:ind w:left="284"/>
        <w:rPr>
          <w:b/>
          <w:sz w:val="14"/>
        </w:rPr>
      </w:pPr>
    </w:p>
    <w:p w:rsidRPr="009C1EC6" w:rsidR="00D86BBF" w:rsidP="00D86BBF" w:rsidRDefault="00D86BBF" w14:paraId="62F65B51" w14:textId="77777777">
      <w:pPr>
        <w:pStyle w:val="Textoindependiente"/>
        <w:spacing w:before="93"/>
        <w:rPr>
          <w:b/>
          <w:sz w:val="14"/>
        </w:rPr>
      </w:pPr>
    </w:p>
    <w:p w:rsidRPr="009C1EC6" w:rsidR="00D86BBF" w:rsidP="00D86BBF" w:rsidRDefault="00D86BBF" w14:paraId="201A2A8A" w14:textId="77777777">
      <w:pPr>
        <w:pStyle w:val="Textoindependiente"/>
        <w:spacing w:before="93"/>
      </w:pPr>
      <w:r w:rsidRPr="009C1EC6">
        <w:t>Señora</w:t>
      </w:r>
    </w:p>
    <w:p w:rsidRPr="009C1EC6" w:rsidR="00D86BBF" w:rsidP="00D86BBF" w:rsidRDefault="009C2EBA" w14:paraId="26DEAA21" w14:textId="07D52B96">
      <w:pPr>
        <w:pStyle w:val="Ttulo1"/>
        <w:spacing w:line="253" w:lineRule="exact"/>
        <w:ind w:left="0" w:firstLine="0"/>
      </w:pPr>
      <w:r>
        <w:lastRenderedPageBreak/>
        <w:t xml:space="preserve">Wendy Paola Ruiz </w:t>
      </w:r>
    </w:p>
    <w:p w:rsidRPr="009C1EC6" w:rsidR="00D86BBF" w:rsidP="00D86BBF" w:rsidRDefault="009C2EBA" w14:paraId="47317E18" w14:textId="0836096B">
      <w:pPr>
        <w:pStyle w:val="Textoindependiente"/>
      </w:pPr>
      <w:r>
        <w:t>Bogotá</w:t>
      </w:r>
    </w:p>
    <w:p w:rsidRPr="009C1EC6" w:rsidR="00D86BBF" w:rsidP="00D86BBF" w:rsidRDefault="00D86BBF" w14:paraId="50BF2AD8" w14:textId="77777777">
      <w:pPr>
        <w:pStyle w:val="Textoindependiente"/>
        <w:ind w:left="284"/>
      </w:pPr>
    </w:p>
    <w:p w:rsidRPr="009C1EC6" w:rsidR="00D86BBF" w:rsidP="00D86BBF" w:rsidRDefault="00D86BBF" w14:paraId="50DB8F49" w14:textId="2BE81CD5">
      <w:pPr>
        <w:spacing w:before="120" w:after="120" w:line="276" w:lineRule="auto"/>
        <w:jc w:val="center"/>
        <w:rPr>
          <w:rFonts w:ascii="Arial" w:hAnsi="Arial" w:eastAsia="Calibri" w:cs="Arial"/>
          <w:b/>
          <w:sz w:val="22"/>
        </w:rPr>
      </w:pPr>
      <w:r w:rsidRPr="009C1EC6">
        <w:rPr>
          <w:rFonts w:ascii="Arial" w:hAnsi="Arial" w:eastAsia="Calibri" w:cs="Arial"/>
          <w:b/>
          <w:sz w:val="22"/>
        </w:rPr>
        <w:t>Concepto C</w:t>
      </w:r>
      <w:r w:rsidRPr="009B365E">
        <w:rPr>
          <w:rFonts w:ascii="Arial" w:hAnsi="Arial" w:eastAsia="Calibri" w:cs="Arial"/>
          <w:b/>
          <w:sz w:val="22"/>
        </w:rPr>
        <w:t xml:space="preserve"> ─</w:t>
      </w:r>
      <w:r>
        <w:rPr>
          <w:rFonts w:ascii="Arial" w:hAnsi="Arial" w:eastAsia="Calibri" w:cs="Arial"/>
          <w:b/>
          <w:sz w:val="22"/>
        </w:rPr>
        <w:t xml:space="preserve"> </w:t>
      </w:r>
      <w:r w:rsidR="009C2EBA">
        <w:rPr>
          <w:rFonts w:ascii="Arial" w:hAnsi="Arial" w:eastAsia="Calibri" w:cs="Arial"/>
          <w:b/>
          <w:sz w:val="22"/>
        </w:rPr>
        <w:t>355</w:t>
      </w:r>
      <w:r>
        <w:rPr>
          <w:rFonts w:ascii="Arial" w:hAnsi="Arial" w:eastAsia="Calibri" w:cs="Arial"/>
          <w:b/>
          <w:sz w:val="22"/>
        </w:rPr>
        <w:t xml:space="preserve"> </w:t>
      </w:r>
      <w:r w:rsidRPr="009C1EC6">
        <w:rPr>
          <w:rFonts w:ascii="Arial" w:hAnsi="Arial" w:eastAsia="Calibri" w:cs="Arial"/>
          <w:b/>
          <w:sz w:val="22"/>
        </w:rPr>
        <w:t>de 2020</w:t>
      </w:r>
    </w:p>
    <w:p w:rsidRPr="009C1EC6" w:rsidR="00D86BBF" w:rsidP="00D86BBF" w:rsidRDefault="00D86BBF" w14:paraId="1214D62A" w14:textId="77777777">
      <w:pPr>
        <w:spacing w:before="120" w:after="120" w:line="276" w:lineRule="auto"/>
        <w:rPr>
          <w:rFonts w:ascii="Arial" w:hAnsi="Arial" w:eastAsia="Calibri" w:cs="Arial"/>
          <w:sz w:val="22"/>
        </w:rPr>
      </w:pPr>
    </w:p>
    <w:tbl>
      <w:tblPr>
        <w:tblStyle w:val="Tablaconcuadrcula"/>
        <w:tblW w:w="907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2689"/>
        <w:gridCol w:w="6383"/>
      </w:tblGrid>
      <w:tr w:rsidRPr="009C1EC6" w:rsidR="00D86BBF" w:rsidTr="00366E58" w14:paraId="025F60B7" w14:textId="77777777">
        <w:tc>
          <w:tcPr>
            <w:tcW w:w="2689" w:type="dxa"/>
            <w:hideMark/>
          </w:tcPr>
          <w:p w:rsidRPr="009C1EC6" w:rsidR="00D86BBF" w:rsidP="00366E58" w:rsidRDefault="00D86BBF" w14:paraId="4468B949" w14:textId="77777777">
            <w:pPr>
              <w:spacing w:before="120" w:after="120" w:line="276" w:lineRule="auto"/>
              <w:rPr>
                <w:rFonts w:ascii="Arial" w:hAnsi="Arial" w:eastAsia="Calibri" w:cs="Arial"/>
                <w:sz w:val="22"/>
              </w:rPr>
            </w:pPr>
            <w:r w:rsidRPr="009C1EC6">
              <w:rPr>
                <w:rFonts w:ascii="Arial" w:hAnsi="Arial" w:eastAsia="Calibri" w:cs="Arial"/>
                <w:b/>
                <w:sz w:val="22"/>
              </w:rPr>
              <w:t>Temas:</w:t>
            </w:r>
            <w:r w:rsidRPr="009C1EC6">
              <w:rPr>
                <w:rFonts w:ascii="Arial" w:hAnsi="Arial" w:eastAsia="Calibri" w:cs="Arial"/>
                <w:sz w:val="22"/>
              </w:rPr>
              <w:t xml:space="preserve">           </w:t>
            </w:r>
          </w:p>
          <w:p w:rsidRPr="009C1EC6" w:rsidR="00D86BBF" w:rsidP="00366E58" w:rsidRDefault="00D86BBF" w14:paraId="00990FEC" w14:textId="77777777">
            <w:pPr>
              <w:spacing w:before="120" w:after="120" w:line="276" w:lineRule="auto"/>
              <w:rPr>
                <w:rFonts w:ascii="Arial" w:hAnsi="Arial" w:eastAsia="Calibri" w:cs="Arial"/>
                <w:sz w:val="22"/>
              </w:rPr>
            </w:pPr>
            <w:r w:rsidRPr="009C1EC6">
              <w:rPr>
                <w:rFonts w:ascii="Arial" w:hAnsi="Arial" w:eastAsia="Calibri" w:cs="Arial"/>
                <w:sz w:val="22"/>
              </w:rPr>
              <w:t xml:space="preserve">                           </w:t>
            </w:r>
          </w:p>
        </w:tc>
        <w:tc>
          <w:tcPr>
            <w:tcW w:w="6383" w:type="dxa"/>
            <w:hideMark/>
          </w:tcPr>
          <w:p w:rsidRPr="004019D5" w:rsidR="00D86BBF" w:rsidP="00366E58" w:rsidRDefault="00D86BBF" w14:paraId="0B048184" w14:textId="10334D91">
            <w:pPr>
              <w:ind w:left="284"/>
              <w:jc w:val="both"/>
              <w:rPr>
                <w:rFonts w:ascii="Arial" w:hAnsi="Arial" w:eastAsia="Calibri" w:cs="Arial"/>
                <w:sz w:val="22"/>
              </w:rPr>
            </w:pPr>
            <w:r w:rsidRPr="004019D5">
              <w:rPr>
                <w:rFonts w:ascii="Arial" w:hAnsi="Arial" w:eastAsia="Calibri" w:cs="Arial"/>
                <w:sz w:val="22"/>
              </w:rPr>
              <w:t>CÓMPUTO EXPERIENCIA PROFESIONAL – Régimen jurídico aplicable / PR</w:t>
            </w:r>
            <w:r w:rsidRPr="004019D5" w:rsidR="009C2EBA">
              <w:rPr>
                <w:rFonts w:ascii="Arial" w:hAnsi="Arial" w:eastAsia="Calibri" w:cs="Arial"/>
                <w:sz w:val="22"/>
              </w:rPr>
              <w:t>Á</w:t>
            </w:r>
            <w:r w:rsidRPr="004019D5">
              <w:rPr>
                <w:rFonts w:ascii="Arial" w:hAnsi="Arial" w:eastAsia="Calibri" w:cs="Arial"/>
                <w:sz w:val="22"/>
              </w:rPr>
              <w:t xml:space="preserve">CTICA LABORAL – Régimen jurídico aplicable – Concepto / CÓMPUTO EXPERIENCIA PROFESIONAL – Incluye práctica laboral / NORMAS EXPERIENCIA PROFESIONAL – Vigencia / CONTRATO DE PRESTACIÓN DE SERVICIOS PROFESIONALES – Régimen Jurídico / TÍTULO DE IDONEIDAD – Régimen constitucional / </w:t>
            </w:r>
            <w:r w:rsidRPr="004019D5">
              <w:rPr>
                <w:rFonts w:ascii="Arial" w:hAnsi="Arial" w:cs="Arial"/>
                <w:sz w:val="22"/>
              </w:rPr>
              <w:t>EJERCICIO DE LA PROFESIÓN DE INGENIERO – Régimen jurídico aplicable / EXPERIENCIA PROFESIONAL INGENIERÍA – Cómputo</w:t>
            </w:r>
          </w:p>
          <w:p w:rsidRPr="009C1EC6" w:rsidR="00D86BBF" w:rsidP="00366E58" w:rsidRDefault="00D86BBF" w14:paraId="46E961F2" w14:textId="77777777">
            <w:pPr>
              <w:jc w:val="both"/>
              <w:rPr>
                <w:rFonts w:ascii="Arial" w:hAnsi="Arial" w:cs="Arial"/>
                <w:sz w:val="22"/>
              </w:rPr>
            </w:pPr>
          </w:p>
        </w:tc>
      </w:tr>
      <w:tr w:rsidRPr="005D4893" w:rsidR="00D86BBF" w:rsidTr="00366E58" w14:paraId="3759FD70" w14:textId="77777777">
        <w:tc>
          <w:tcPr>
            <w:tcW w:w="2689" w:type="dxa"/>
          </w:tcPr>
          <w:p w:rsidRPr="004019D5" w:rsidR="00D86BBF" w:rsidP="00366E58" w:rsidRDefault="00D86BBF" w14:paraId="200DF58B" w14:textId="77777777">
            <w:pPr>
              <w:spacing w:line="276" w:lineRule="auto"/>
              <w:ind w:right="49"/>
              <w:jc w:val="both"/>
              <w:rPr>
                <w:rFonts w:ascii="Arial" w:hAnsi="Arial" w:eastAsia="Calibri" w:cs="Arial"/>
                <w:b/>
                <w:bCs/>
                <w:sz w:val="22"/>
              </w:rPr>
            </w:pPr>
            <w:r w:rsidRPr="004019D5">
              <w:rPr>
                <w:rFonts w:ascii="Arial" w:hAnsi="Arial" w:eastAsia="Calibri" w:cs="Arial"/>
                <w:b/>
                <w:bCs/>
                <w:sz w:val="22"/>
              </w:rPr>
              <w:t xml:space="preserve">Radicación:                              </w:t>
            </w:r>
          </w:p>
        </w:tc>
        <w:tc>
          <w:tcPr>
            <w:tcW w:w="6383" w:type="dxa"/>
          </w:tcPr>
          <w:p w:rsidRPr="009C1EC6" w:rsidR="00D86BBF" w:rsidP="00366E58" w:rsidRDefault="003E7EEA" w14:paraId="52919DA7" w14:textId="506AD0BE">
            <w:pPr>
              <w:spacing w:line="276" w:lineRule="auto"/>
              <w:ind w:right="49"/>
              <w:jc w:val="both"/>
              <w:rPr>
                <w:rFonts w:ascii="Arial" w:hAnsi="Arial" w:eastAsia="Calibri" w:cs="Arial"/>
                <w:sz w:val="22"/>
              </w:rPr>
            </w:pPr>
            <w:r>
              <w:rPr>
                <w:rFonts w:ascii="Arial" w:hAnsi="Arial" w:eastAsia="Calibri" w:cs="Arial"/>
                <w:sz w:val="22"/>
              </w:rPr>
              <w:t xml:space="preserve">    </w:t>
            </w:r>
            <w:r w:rsidRPr="009C1EC6" w:rsidR="00D86BBF">
              <w:rPr>
                <w:rFonts w:ascii="Arial" w:hAnsi="Arial" w:eastAsia="Calibri" w:cs="Arial"/>
                <w:sz w:val="22"/>
              </w:rPr>
              <w:t>Respuesta a consulta #420201</w:t>
            </w:r>
            <w:r w:rsidR="00D86BBF">
              <w:rPr>
                <w:rFonts w:ascii="Arial" w:hAnsi="Arial" w:eastAsia="Calibri" w:cs="Arial"/>
                <w:sz w:val="22"/>
              </w:rPr>
              <w:t>300000</w:t>
            </w:r>
            <w:r w:rsidR="00872D60">
              <w:rPr>
                <w:rFonts w:ascii="Arial" w:hAnsi="Arial" w:eastAsia="Calibri" w:cs="Arial"/>
                <w:sz w:val="22"/>
              </w:rPr>
              <w:t>3645</w:t>
            </w:r>
          </w:p>
        </w:tc>
      </w:tr>
    </w:tbl>
    <w:p w:rsidRPr="005D4893" w:rsidR="00D86BBF" w:rsidP="00D86BBF" w:rsidRDefault="00D86BBF" w14:paraId="125C8F80" w14:textId="77777777">
      <w:pPr>
        <w:spacing w:line="276" w:lineRule="auto"/>
        <w:ind w:right="49"/>
        <w:jc w:val="both"/>
        <w:rPr>
          <w:rFonts w:ascii="Arial" w:hAnsi="Arial" w:eastAsia="Calibri" w:cs="Arial"/>
          <w:sz w:val="22"/>
        </w:rPr>
      </w:pPr>
    </w:p>
    <w:p w:rsidRPr="005D4893" w:rsidR="00D86BBF" w:rsidP="00D86BBF" w:rsidRDefault="00D86BBF" w14:paraId="03F9E4DD" w14:textId="3182F3F1">
      <w:pPr>
        <w:spacing w:line="276" w:lineRule="auto"/>
        <w:ind w:right="49"/>
        <w:jc w:val="both"/>
        <w:rPr>
          <w:rFonts w:ascii="Arial" w:hAnsi="Arial" w:eastAsia="Calibri" w:cs="Arial"/>
          <w:sz w:val="22"/>
        </w:rPr>
      </w:pPr>
      <w:r w:rsidRPr="005D4893">
        <w:rPr>
          <w:rFonts w:ascii="Arial" w:hAnsi="Arial" w:eastAsia="Calibri" w:cs="Arial"/>
          <w:sz w:val="22"/>
        </w:rPr>
        <w:t xml:space="preserve">Estimada señora </w:t>
      </w:r>
      <w:r w:rsidR="00872D60">
        <w:rPr>
          <w:rFonts w:ascii="Arial" w:hAnsi="Arial" w:eastAsia="Calibri" w:cs="Arial"/>
          <w:sz w:val="22"/>
        </w:rPr>
        <w:t>Ruiz</w:t>
      </w:r>
      <w:r w:rsidRPr="005D4893">
        <w:rPr>
          <w:rFonts w:ascii="Arial" w:hAnsi="Arial" w:eastAsia="Calibri" w:cs="Arial"/>
          <w:sz w:val="22"/>
        </w:rPr>
        <w:t>:</w:t>
      </w:r>
    </w:p>
    <w:p w:rsidRPr="005D4893" w:rsidR="00D86BBF" w:rsidP="00D86BBF" w:rsidRDefault="00D86BBF" w14:paraId="24CDB114" w14:textId="77777777">
      <w:pPr>
        <w:spacing w:line="276" w:lineRule="auto"/>
        <w:ind w:right="49"/>
        <w:jc w:val="both"/>
        <w:rPr>
          <w:rFonts w:ascii="Arial" w:hAnsi="Arial" w:eastAsia="Calibri" w:cs="Arial"/>
          <w:sz w:val="22"/>
        </w:rPr>
      </w:pPr>
    </w:p>
    <w:p w:rsidRPr="005D4893" w:rsidR="00D86BBF" w:rsidP="00D86BBF" w:rsidRDefault="00872D60" w14:paraId="020F07FD" w14:textId="1E0A0A34">
      <w:pPr>
        <w:spacing w:line="276" w:lineRule="auto"/>
        <w:ind w:right="49"/>
        <w:jc w:val="both"/>
        <w:rPr>
          <w:rFonts w:ascii="Arial" w:hAnsi="Arial" w:eastAsia="Calibri" w:cs="Arial"/>
          <w:sz w:val="22"/>
        </w:rPr>
      </w:pPr>
      <w:r>
        <w:rPr>
          <w:rFonts w:ascii="Arial" w:hAnsi="Arial" w:eastAsia="Calibri" w:cs="Arial"/>
          <w:sz w:val="22"/>
        </w:rPr>
        <w:t>E</w:t>
      </w:r>
      <w:r w:rsidRPr="005D4893" w:rsidR="00D86BBF">
        <w:rPr>
          <w:rFonts w:ascii="Arial" w:hAnsi="Arial" w:eastAsia="Calibri" w:cs="Arial"/>
          <w:sz w:val="22"/>
        </w:rPr>
        <w:t>n ejercicio de la competencia otorgada por el numeral 8 del artículo 11 y el numeral 5 del artículo 3 del Decreto Ley 4170 de 2011</w:t>
      </w:r>
      <w:r>
        <w:rPr>
          <w:rFonts w:ascii="Arial" w:hAnsi="Arial" w:eastAsia="Calibri" w:cs="Arial"/>
          <w:sz w:val="22"/>
        </w:rPr>
        <w:t>, l</w:t>
      </w:r>
      <w:r w:rsidRPr="005D4893">
        <w:rPr>
          <w:rFonts w:ascii="Arial" w:hAnsi="Arial" w:eastAsia="Calibri" w:cs="Arial"/>
          <w:sz w:val="22"/>
        </w:rPr>
        <w:t>a Agencia N</w:t>
      </w:r>
      <w:r>
        <w:rPr>
          <w:rFonts w:ascii="Arial" w:hAnsi="Arial" w:eastAsia="Calibri" w:cs="Arial"/>
          <w:sz w:val="22"/>
        </w:rPr>
        <w:t xml:space="preserve">acional de Contratación Pública </w:t>
      </w:r>
      <w:r w:rsidR="00101490">
        <w:rPr>
          <w:rFonts w:ascii="Arial" w:hAnsi="Arial" w:eastAsia="Calibri" w:cs="Arial"/>
          <w:sz w:val="22"/>
        </w:rPr>
        <w:t>–</w:t>
      </w:r>
      <w:r w:rsidR="005705DC">
        <w:rPr>
          <w:rFonts w:ascii="Arial" w:hAnsi="Arial" w:eastAsia="Calibri" w:cs="Arial"/>
          <w:sz w:val="22"/>
        </w:rPr>
        <w:t xml:space="preserve"> </w:t>
      </w:r>
      <w:r w:rsidRPr="005D4893">
        <w:rPr>
          <w:rFonts w:ascii="Arial" w:hAnsi="Arial" w:eastAsia="Calibri" w:cs="Arial"/>
          <w:sz w:val="22"/>
        </w:rPr>
        <w:t>Colombia Compra Eficiente</w:t>
      </w:r>
      <w:r>
        <w:rPr>
          <w:rFonts w:ascii="Arial" w:hAnsi="Arial" w:eastAsia="Calibri" w:cs="Arial"/>
          <w:sz w:val="22"/>
        </w:rPr>
        <w:t>, responde su consulta del 13 de mayo</w:t>
      </w:r>
      <w:r w:rsidRPr="005D4893">
        <w:rPr>
          <w:rFonts w:ascii="Arial" w:hAnsi="Arial" w:eastAsia="Calibri" w:cs="Arial"/>
          <w:sz w:val="22"/>
        </w:rPr>
        <w:t xml:space="preserve"> de 2020</w:t>
      </w:r>
      <w:r w:rsidRPr="005D4893" w:rsidR="00D86BBF">
        <w:rPr>
          <w:rFonts w:ascii="Arial" w:hAnsi="Arial" w:eastAsia="Calibri" w:cs="Arial"/>
          <w:sz w:val="22"/>
        </w:rPr>
        <w:t>.</w:t>
      </w:r>
    </w:p>
    <w:p w:rsidRPr="005D4893" w:rsidR="00D86BBF" w:rsidP="00D86BBF" w:rsidRDefault="00D86BBF" w14:paraId="15B21F79" w14:textId="77777777">
      <w:pPr>
        <w:spacing w:line="276" w:lineRule="auto"/>
        <w:ind w:right="49"/>
        <w:jc w:val="both"/>
        <w:rPr>
          <w:rFonts w:ascii="Arial" w:hAnsi="Arial" w:eastAsia="Calibri" w:cs="Arial"/>
          <w:sz w:val="22"/>
        </w:rPr>
      </w:pPr>
    </w:p>
    <w:p w:rsidRPr="005D4893" w:rsidR="00D86BBF" w:rsidP="00D86BBF" w:rsidRDefault="00D86BBF" w14:paraId="6D6E1F07" w14:textId="77777777">
      <w:pPr>
        <w:spacing w:line="276" w:lineRule="auto"/>
        <w:ind w:right="49"/>
        <w:jc w:val="both"/>
        <w:rPr>
          <w:rFonts w:ascii="Arial" w:hAnsi="Arial" w:eastAsia="Calibri" w:cs="Arial"/>
          <w:b/>
          <w:sz w:val="22"/>
        </w:rPr>
      </w:pPr>
      <w:r w:rsidRPr="005D4893">
        <w:rPr>
          <w:rFonts w:ascii="Arial" w:hAnsi="Arial" w:eastAsia="Calibri" w:cs="Arial"/>
          <w:b/>
          <w:sz w:val="22"/>
        </w:rPr>
        <w:t>1. Problema</w:t>
      </w:r>
      <w:r>
        <w:rPr>
          <w:rFonts w:ascii="Arial" w:hAnsi="Arial" w:eastAsia="Calibri" w:cs="Arial"/>
          <w:b/>
          <w:sz w:val="22"/>
        </w:rPr>
        <w:t>s</w:t>
      </w:r>
      <w:r w:rsidRPr="005D4893">
        <w:rPr>
          <w:rFonts w:ascii="Arial" w:hAnsi="Arial" w:eastAsia="Calibri" w:cs="Arial"/>
          <w:b/>
          <w:sz w:val="22"/>
        </w:rPr>
        <w:t xml:space="preserve"> planteado</w:t>
      </w:r>
      <w:r>
        <w:rPr>
          <w:rFonts w:ascii="Arial" w:hAnsi="Arial" w:eastAsia="Calibri" w:cs="Arial"/>
          <w:b/>
          <w:sz w:val="22"/>
        </w:rPr>
        <w:t>s</w:t>
      </w:r>
    </w:p>
    <w:p w:rsidRPr="005D4893" w:rsidR="00D86BBF" w:rsidP="00D86BBF" w:rsidRDefault="00D86BBF" w14:paraId="34A9379F" w14:textId="77777777">
      <w:pPr>
        <w:spacing w:line="276" w:lineRule="auto"/>
        <w:ind w:right="49"/>
        <w:jc w:val="both"/>
        <w:rPr>
          <w:rFonts w:ascii="Arial" w:hAnsi="Arial" w:eastAsia="Calibri" w:cs="Arial"/>
          <w:sz w:val="22"/>
        </w:rPr>
      </w:pPr>
    </w:p>
    <w:p w:rsidRPr="005D4893" w:rsidR="00D86BBF" w:rsidP="00D86BBF" w:rsidRDefault="001F6B35" w14:paraId="5AC78DC6" w14:textId="7D786EE9">
      <w:pPr>
        <w:spacing w:line="276" w:lineRule="auto"/>
        <w:ind w:right="49"/>
        <w:jc w:val="both"/>
        <w:rPr>
          <w:rFonts w:ascii="Arial" w:hAnsi="Arial" w:eastAsia="Calibri" w:cs="Arial"/>
          <w:sz w:val="22"/>
        </w:rPr>
      </w:pPr>
      <w:r>
        <w:rPr>
          <w:rFonts w:ascii="Arial" w:hAnsi="Arial" w:eastAsia="Calibri" w:cs="Arial"/>
          <w:sz w:val="22"/>
        </w:rPr>
        <w:t>U</w:t>
      </w:r>
      <w:r w:rsidRPr="005D4893" w:rsidR="00D86BBF">
        <w:rPr>
          <w:rFonts w:ascii="Arial" w:hAnsi="Arial" w:eastAsia="Calibri" w:cs="Arial"/>
          <w:sz w:val="22"/>
        </w:rPr>
        <w:t>sted formuló la siguiente pregunta: «</w:t>
      </w:r>
      <w:r>
        <w:rPr>
          <w:rFonts w:ascii="Arial" w:hAnsi="Arial" w:eastAsia="Calibri" w:cs="Arial"/>
          <w:sz w:val="22"/>
        </w:rPr>
        <w:t xml:space="preserve">[…] </w:t>
      </w:r>
      <w:r w:rsidRPr="005D4893" w:rsidR="00D86BBF">
        <w:rPr>
          <w:rFonts w:ascii="Arial" w:hAnsi="Arial" w:eastAsia="Calibri" w:cs="Arial"/>
          <w:sz w:val="22"/>
        </w:rPr>
        <w:t>¿</w:t>
      </w:r>
      <w:r>
        <w:t>c</w:t>
      </w:r>
      <w:r w:rsidRPr="001F6B35">
        <w:rPr>
          <w:rFonts w:ascii="Arial" w:hAnsi="Arial" w:eastAsia="Calibri" w:cs="Arial"/>
          <w:sz w:val="22"/>
        </w:rPr>
        <w:t>ómo contabilizo la experiencia de los ingenieros</w:t>
      </w:r>
      <w:r w:rsidRPr="005D4893" w:rsidR="00D86BBF">
        <w:rPr>
          <w:rFonts w:ascii="Arial" w:hAnsi="Arial" w:eastAsia="Calibri" w:cs="Arial"/>
          <w:sz w:val="22"/>
        </w:rPr>
        <w:t xml:space="preserve">?». </w:t>
      </w:r>
      <w:r>
        <w:rPr>
          <w:rFonts w:ascii="Arial" w:hAnsi="Arial" w:eastAsia="Calibri" w:cs="Arial"/>
          <w:sz w:val="22"/>
        </w:rPr>
        <w:t>En relación con esta inquietud, usted expone que «</w:t>
      </w:r>
      <w:r>
        <w:t xml:space="preserve">[…] </w:t>
      </w:r>
      <w:r w:rsidRPr="001F6B35">
        <w:rPr>
          <w:rFonts w:ascii="Arial" w:hAnsi="Arial" w:eastAsia="Calibri" w:cs="Arial"/>
          <w:sz w:val="22"/>
        </w:rPr>
        <w:t>se suscita una contradicción entre la Circular Externa Única de Colombia Compra Eficiente, que indica en un numeral 9.2 "Cómputo de la experiencia profesional" se indica que para los ingenieros se aplicará el artículo 12 de la Ley 842 de 2003, según el cual la experiencia se computa desde la expedición de la matrícula profesional, sin embargo en la respuesta a la consulta #4201912000003454 radicada el 23 de mayo de 2019 (la respuesta no está calendada) se indica que el artículo anterior se deroga por el artículo 229 de la Ley 019 de 2012</w:t>
      </w:r>
      <w:r w:rsidR="00101490">
        <w:rPr>
          <w:rFonts w:ascii="Arial" w:hAnsi="Arial" w:eastAsia="Calibri" w:cs="Arial"/>
          <w:sz w:val="22"/>
        </w:rPr>
        <w:t xml:space="preserve"> (sic)</w:t>
      </w:r>
      <w:r w:rsidRPr="001F6B35">
        <w:rPr>
          <w:rFonts w:ascii="Arial" w:hAnsi="Arial" w:eastAsia="Calibri" w:cs="Arial"/>
          <w:sz w:val="22"/>
        </w:rPr>
        <w:t>, que indica que la experiencia se cuenta desde la terminación de materias</w:t>
      </w:r>
      <w:r>
        <w:rPr>
          <w:rFonts w:ascii="Arial" w:hAnsi="Arial" w:eastAsia="Calibri" w:cs="Arial"/>
          <w:sz w:val="22"/>
        </w:rPr>
        <w:t>».</w:t>
      </w:r>
    </w:p>
    <w:p w:rsidRPr="005D4893" w:rsidR="00D86BBF" w:rsidP="00D86BBF" w:rsidRDefault="00D86BBF" w14:paraId="3496DBEB" w14:textId="77777777">
      <w:pPr>
        <w:spacing w:line="276" w:lineRule="auto"/>
        <w:ind w:right="49"/>
        <w:jc w:val="both"/>
        <w:rPr>
          <w:rFonts w:ascii="Arial" w:hAnsi="Arial" w:eastAsia="Calibri" w:cs="Arial"/>
          <w:sz w:val="22"/>
        </w:rPr>
      </w:pPr>
    </w:p>
    <w:p w:rsidRPr="005D4893" w:rsidR="00D86BBF" w:rsidP="00D86BBF" w:rsidRDefault="00D86BBF" w14:paraId="1A7F8AEF" w14:textId="77777777">
      <w:pPr>
        <w:spacing w:line="276" w:lineRule="auto"/>
        <w:ind w:right="49"/>
        <w:jc w:val="both"/>
        <w:rPr>
          <w:rFonts w:ascii="Arial" w:hAnsi="Arial" w:eastAsia="Calibri" w:cs="Arial"/>
          <w:b/>
          <w:sz w:val="22"/>
        </w:rPr>
      </w:pPr>
      <w:r>
        <w:rPr>
          <w:rFonts w:ascii="Arial" w:hAnsi="Arial" w:eastAsia="Calibri" w:cs="Arial"/>
          <w:b/>
          <w:sz w:val="22"/>
        </w:rPr>
        <w:t xml:space="preserve">2. </w:t>
      </w:r>
      <w:r w:rsidRPr="005D4893">
        <w:rPr>
          <w:rFonts w:ascii="Arial" w:hAnsi="Arial" w:eastAsia="Calibri" w:cs="Arial"/>
          <w:b/>
          <w:sz w:val="22"/>
        </w:rPr>
        <w:t>Consideraciones</w:t>
      </w:r>
    </w:p>
    <w:p w:rsidR="00D86BBF" w:rsidP="00D86BBF" w:rsidRDefault="00D86BBF" w14:paraId="2A01AE05" w14:textId="77777777">
      <w:pPr>
        <w:spacing w:line="276" w:lineRule="auto"/>
        <w:ind w:right="49"/>
        <w:jc w:val="both"/>
        <w:rPr>
          <w:rFonts w:ascii="Arial" w:hAnsi="Arial" w:eastAsia="Calibri" w:cs="Arial"/>
          <w:sz w:val="22"/>
        </w:rPr>
      </w:pPr>
    </w:p>
    <w:p w:rsidR="00D86BBF" w:rsidP="00D86BBF" w:rsidRDefault="00D86BBF" w14:paraId="1D7DBC54" w14:textId="152852D8">
      <w:pPr>
        <w:spacing w:line="276" w:lineRule="auto"/>
        <w:jc w:val="both"/>
        <w:rPr>
          <w:rFonts w:ascii="Arial" w:hAnsi="Arial" w:cs="Arial"/>
          <w:sz w:val="22"/>
        </w:rPr>
      </w:pPr>
      <w:r w:rsidRPr="00C3240C">
        <w:rPr>
          <w:rFonts w:ascii="Arial" w:hAnsi="Arial" w:cs="Arial"/>
          <w:sz w:val="22"/>
        </w:rPr>
        <w:t xml:space="preserve">La Agencia Nacional de Contratación Pública – Colombia Compra Eficiente se pronunció en el concepto identificado con radicado </w:t>
      </w:r>
      <w:r>
        <w:rPr>
          <w:rFonts w:ascii="Arial" w:hAnsi="Arial" w:cs="Arial"/>
          <w:sz w:val="22"/>
        </w:rPr>
        <w:t>N</w:t>
      </w:r>
      <w:r w:rsidRPr="00C3240C">
        <w:rPr>
          <w:rFonts w:ascii="Arial" w:hAnsi="Arial" w:cs="Arial"/>
          <w:sz w:val="22"/>
        </w:rPr>
        <w:t xml:space="preserve">o. </w:t>
      </w:r>
      <w:r>
        <w:rPr>
          <w:rFonts w:ascii="Arial" w:hAnsi="Arial" w:cs="Arial"/>
          <w:sz w:val="22"/>
        </w:rPr>
        <w:t xml:space="preserve">4201912000005915 del 29 de agosto de 2019, </w:t>
      </w:r>
      <w:r w:rsidR="00101668">
        <w:rPr>
          <w:rFonts w:ascii="Arial" w:hAnsi="Arial" w:cs="Arial"/>
          <w:sz w:val="22"/>
        </w:rPr>
        <w:lastRenderedPageBreak/>
        <w:t xml:space="preserve">así como en el concepto C-212 de 2020, en relación con </w:t>
      </w:r>
      <w:r>
        <w:rPr>
          <w:rFonts w:ascii="Arial" w:hAnsi="Arial" w:cs="Arial"/>
          <w:sz w:val="22"/>
        </w:rPr>
        <w:t>el cómputo de la experiencia en profesionales de la i</w:t>
      </w:r>
      <w:r w:rsidRPr="00C3240C">
        <w:rPr>
          <w:rFonts w:ascii="Arial" w:hAnsi="Arial" w:cs="Arial"/>
          <w:sz w:val="22"/>
        </w:rPr>
        <w:t>n</w:t>
      </w:r>
      <w:r>
        <w:rPr>
          <w:rFonts w:ascii="Arial" w:hAnsi="Arial" w:cs="Arial"/>
          <w:sz w:val="22"/>
        </w:rPr>
        <w:t>geniería</w:t>
      </w:r>
      <w:r w:rsidRPr="00C3240C">
        <w:rPr>
          <w:rFonts w:ascii="Arial" w:hAnsi="Arial" w:cs="Arial"/>
          <w:sz w:val="22"/>
        </w:rPr>
        <w:t xml:space="preserve">. La tesis desarrollada se expone a continuación. </w:t>
      </w:r>
    </w:p>
    <w:p w:rsidR="00D86BBF" w:rsidP="00D86BBF" w:rsidRDefault="00D86BBF" w14:paraId="7BAE9311" w14:textId="77777777">
      <w:pPr>
        <w:spacing w:line="276" w:lineRule="auto"/>
        <w:jc w:val="both"/>
        <w:rPr>
          <w:rFonts w:ascii="Arial" w:hAnsi="Arial" w:cs="Arial"/>
          <w:sz w:val="22"/>
        </w:rPr>
      </w:pPr>
    </w:p>
    <w:p w:rsidR="00D86BBF" w:rsidP="00D86BBF" w:rsidRDefault="00D86BBF" w14:paraId="734CE7FC" w14:textId="77777777">
      <w:pPr>
        <w:spacing w:line="276" w:lineRule="auto"/>
        <w:jc w:val="both"/>
        <w:rPr>
          <w:rFonts w:ascii="Arial" w:hAnsi="Arial" w:cs="Arial"/>
          <w:b/>
          <w:sz w:val="22"/>
        </w:rPr>
      </w:pPr>
      <w:r>
        <w:rPr>
          <w:rFonts w:ascii="Arial" w:hAnsi="Arial" w:cs="Arial"/>
          <w:b/>
          <w:sz w:val="22"/>
        </w:rPr>
        <w:t xml:space="preserve">2.1. Acreditación de la experiencia profesional </w:t>
      </w:r>
    </w:p>
    <w:p w:rsidRPr="00334134" w:rsidR="00D86BBF" w:rsidP="00D86BBF" w:rsidRDefault="00D86BBF" w14:paraId="686CB5A4" w14:textId="77777777">
      <w:pPr>
        <w:spacing w:line="276" w:lineRule="auto"/>
        <w:jc w:val="both"/>
        <w:rPr>
          <w:rFonts w:ascii="Arial" w:hAnsi="Arial" w:cs="Arial"/>
          <w:b/>
          <w:sz w:val="22"/>
        </w:rPr>
      </w:pPr>
    </w:p>
    <w:p w:rsidRPr="005D4893" w:rsidR="00D86BBF" w:rsidP="00D86BBF" w:rsidRDefault="00D86BBF" w14:paraId="2D81419A" w14:textId="6AA8DEFE">
      <w:pPr>
        <w:spacing w:line="276" w:lineRule="auto"/>
        <w:ind w:right="51"/>
        <w:jc w:val="both"/>
        <w:rPr>
          <w:rFonts w:ascii="Arial" w:hAnsi="Arial" w:eastAsia="Calibri" w:cs="Arial"/>
          <w:sz w:val="22"/>
        </w:rPr>
      </w:pPr>
      <w:r w:rsidRPr="005D4893">
        <w:rPr>
          <w:rFonts w:ascii="Arial" w:hAnsi="Arial" w:eastAsia="Calibri" w:cs="Arial"/>
          <w:sz w:val="22"/>
        </w:rPr>
        <w:t xml:space="preserve">La experiencia profesional se debe verificar de acuerdo con lo regulado en el artículo 229 del Decreto 019 de 2012. En virtud de esta norma, el ejercicio de las diferentes profesiones acreditadas por el Ministerio de Educación Nacional se </w:t>
      </w:r>
      <w:r w:rsidR="00D93576">
        <w:rPr>
          <w:rFonts w:ascii="Arial" w:hAnsi="Arial" w:eastAsia="Calibri" w:cs="Arial"/>
          <w:sz w:val="22"/>
        </w:rPr>
        <w:t>contabiliza</w:t>
      </w:r>
      <w:r w:rsidRPr="005D4893" w:rsidR="00D93576">
        <w:rPr>
          <w:rFonts w:ascii="Arial" w:hAnsi="Arial" w:eastAsia="Calibri" w:cs="Arial"/>
          <w:sz w:val="22"/>
        </w:rPr>
        <w:t xml:space="preserve"> </w:t>
      </w:r>
      <w:r w:rsidRPr="005D4893">
        <w:rPr>
          <w:rFonts w:ascii="Arial" w:hAnsi="Arial" w:eastAsia="Calibri" w:cs="Arial"/>
          <w:sz w:val="22"/>
        </w:rPr>
        <w:t>a partir de la terminación y aprobación del p</w:t>
      </w:r>
      <w:r w:rsidR="00D93576">
        <w:rPr>
          <w:rFonts w:ascii="Arial" w:hAnsi="Arial" w:eastAsia="Calibri" w:cs="Arial"/>
          <w:sz w:val="22"/>
        </w:rPr>
        <w:t>é</w:t>
      </w:r>
      <w:r w:rsidRPr="005D4893">
        <w:rPr>
          <w:rFonts w:ascii="Arial" w:hAnsi="Arial" w:eastAsia="Calibri" w:cs="Arial"/>
          <w:sz w:val="22"/>
        </w:rPr>
        <w:t xml:space="preserve">nsum académico de educación superior, salvo para las profesiones relacionadas con el sistema de seguridad social en salud, en las cuales la experiencia profesional se computa a partir de la inscripción o registro </w:t>
      </w:r>
      <w:r>
        <w:rPr>
          <w:rFonts w:ascii="Arial" w:hAnsi="Arial" w:eastAsia="Calibri" w:cs="Arial"/>
          <w:sz w:val="22"/>
        </w:rPr>
        <w:t>profesional</w:t>
      </w:r>
      <w:r>
        <w:rPr>
          <w:rStyle w:val="Refdenotaalpie"/>
          <w:rFonts w:ascii="Arial" w:hAnsi="Arial" w:eastAsia="Calibri" w:cs="Arial"/>
          <w:sz w:val="22"/>
        </w:rPr>
        <w:footnoteReference w:id="1"/>
      </w:r>
      <w:r w:rsidRPr="005D4893">
        <w:rPr>
          <w:rFonts w:ascii="Arial" w:hAnsi="Arial" w:eastAsia="Calibri" w:cs="Arial"/>
          <w:sz w:val="22"/>
        </w:rPr>
        <w:t>.</w:t>
      </w:r>
    </w:p>
    <w:p w:rsidR="00D86BBF" w:rsidP="00D86BBF" w:rsidRDefault="00D86BBF" w14:paraId="52BE6F6F" w14:textId="1C68C4ED">
      <w:pPr>
        <w:spacing w:before="120" w:after="120" w:line="276" w:lineRule="auto"/>
        <w:ind w:right="51" w:firstLine="708"/>
        <w:jc w:val="both"/>
        <w:rPr>
          <w:rFonts w:ascii="Arial" w:hAnsi="Arial" w:eastAsia="Calibri" w:cs="Arial"/>
          <w:sz w:val="22"/>
        </w:rPr>
      </w:pPr>
      <w:r w:rsidRPr="005D4893">
        <w:rPr>
          <w:rFonts w:ascii="Arial" w:hAnsi="Arial" w:eastAsia="Calibri" w:cs="Arial"/>
          <w:sz w:val="22"/>
        </w:rPr>
        <w:t xml:space="preserve">Conforme </w:t>
      </w:r>
      <w:r w:rsidR="00D93576">
        <w:rPr>
          <w:rFonts w:ascii="Arial" w:hAnsi="Arial" w:eastAsia="Calibri" w:cs="Arial"/>
          <w:sz w:val="22"/>
        </w:rPr>
        <w:t>con</w:t>
      </w:r>
      <w:r w:rsidRPr="005D4893">
        <w:rPr>
          <w:rFonts w:ascii="Arial" w:hAnsi="Arial" w:eastAsia="Calibri" w:cs="Arial"/>
          <w:sz w:val="22"/>
        </w:rPr>
        <w:t xml:space="preserve"> lo anterior, el cómputo de la experiencia profesional, por regla general, </w:t>
      </w:r>
      <w:r w:rsidR="00D93576">
        <w:rPr>
          <w:rFonts w:ascii="Arial" w:hAnsi="Arial" w:eastAsia="Calibri" w:cs="Arial"/>
          <w:sz w:val="22"/>
        </w:rPr>
        <w:t>comienza con</w:t>
      </w:r>
      <w:r w:rsidRPr="005D4893">
        <w:rPr>
          <w:rFonts w:ascii="Arial" w:hAnsi="Arial" w:eastAsia="Calibri" w:cs="Arial"/>
          <w:sz w:val="22"/>
        </w:rPr>
        <w:t xml:space="preserve"> la terminación y aprobación del pénsum académico de educación superior, y siempre que el profesional acredite que trabajó. Frente a las profesiones relacionadas con temas de salud</w:t>
      </w:r>
      <w:r>
        <w:rPr>
          <w:rFonts w:ascii="Arial" w:hAnsi="Arial" w:eastAsia="Calibri" w:cs="Arial"/>
          <w:sz w:val="22"/>
        </w:rPr>
        <w:t>,</w:t>
      </w:r>
      <w:r w:rsidRPr="005D4893">
        <w:rPr>
          <w:rFonts w:ascii="Arial" w:hAnsi="Arial" w:eastAsia="Calibri" w:cs="Arial"/>
          <w:sz w:val="22"/>
        </w:rPr>
        <w:t xml:space="preserve"> la experiencia profesional se cuenta desde la inscripción o registro, es decir, a partir de la expedición de la tarjeta profesional. En este sentido, las entidades no tienen la facultad de solicitar la tarjeta profesional para contar la experiencia profesional, salvo para las profesiones relacionadas con temas de </w:t>
      </w:r>
      <w:r>
        <w:rPr>
          <w:rFonts w:ascii="Arial" w:hAnsi="Arial" w:eastAsia="Calibri" w:cs="Arial"/>
          <w:sz w:val="22"/>
        </w:rPr>
        <w:t xml:space="preserve">salud. </w:t>
      </w:r>
    </w:p>
    <w:p w:rsidR="00D86BBF" w:rsidP="00D86BBF" w:rsidRDefault="00D86BBF" w14:paraId="6EC5E1E5" w14:textId="77777777">
      <w:pPr>
        <w:spacing w:before="120" w:after="120" w:line="276" w:lineRule="auto"/>
        <w:ind w:right="51" w:firstLine="708"/>
        <w:jc w:val="both"/>
        <w:rPr>
          <w:rFonts w:ascii="Arial" w:hAnsi="Arial" w:eastAsia="Calibri" w:cs="Arial"/>
          <w:sz w:val="22"/>
        </w:rPr>
      </w:pPr>
      <w:r w:rsidRPr="005D4893">
        <w:rPr>
          <w:rFonts w:ascii="Arial" w:hAnsi="Arial" w:eastAsia="Calibri" w:cs="Arial"/>
          <w:sz w:val="22"/>
        </w:rPr>
        <w:t>Por otro lado, es importante señalar que a partir de la Ley 1955 de 2019 se permite contar como experiencia profesional las prácticas laborales realizadas por estudiantes para obtener el título de grado. De acuerdo con el artículo 15 de la Ley 1780 de 2016</w:t>
      </w:r>
      <w:r>
        <w:rPr>
          <w:rStyle w:val="Refdenotaalpie"/>
          <w:rFonts w:ascii="Arial" w:hAnsi="Arial" w:eastAsia="Calibri" w:cs="Arial"/>
          <w:sz w:val="22"/>
        </w:rPr>
        <w:footnoteReference w:id="2"/>
      </w:r>
      <w:r w:rsidRPr="005D4893">
        <w:rPr>
          <w:rFonts w:ascii="Arial" w:hAnsi="Arial" w:eastAsia="Calibri" w:cs="Arial"/>
          <w:sz w:val="22"/>
        </w:rPr>
        <w:t>, la práctica laboral es una actividad formativa desarrollada por un estudiante de programas de formación complementaria ofrecidos por las escuelas norma</w:t>
      </w:r>
      <w:r>
        <w:rPr>
          <w:rFonts w:ascii="Arial" w:hAnsi="Arial" w:eastAsia="Calibri" w:cs="Arial"/>
          <w:sz w:val="22"/>
        </w:rPr>
        <w:t>le</w:t>
      </w:r>
      <w:r w:rsidRPr="005D4893">
        <w:rPr>
          <w:rFonts w:ascii="Arial" w:hAnsi="Arial" w:eastAsia="Calibri" w:cs="Arial"/>
          <w:sz w:val="22"/>
        </w:rPr>
        <w:t>s superiores y educación superior de pregrado, durante un tiempo determinado, en un ambiente laboral real, con supervisión y sobre asuntos relacionad</w:t>
      </w:r>
      <w:r>
        <w:rPr>
          <w:rFonts w:ascii="Arial" w:hAnsi="Arial" w:eastAsia="Calibri" w:cs="Arial"/>
          <w:sz w:val="22"/>
        </w:rPr>
        <w:t>o</w:t>
      </w:r>
      <w:r w:rsidRPr="005D4893">
        <w:rPr>
          <w:rFonts w:ascii="Arial" w:hAnsi="Arial" w:eastAsia="Calibri" w:cs="Arial"/>
          <w:sz w:val="22"/>
        </w:rPr>
        <w:t>s con su área de estudio o desempeño.</w:t>
      </w:r>
    </w:p>
    <w:p w:rsidR="00D86BBF" w:rsidP="00D86BBF" w:rsidRDefault="00D86BBF" w14:paraId="3877EF99" w14:textId="4AA46D3C">
      <w:pPr>
        <w:spacing w:before="120" w:after="120" w:line="276" w:lineRule="auto"/>
        <w:ind w:right="51" w:firstLine="708"/>
        <w:jc w:val="both"/>
        <w:rPr>
          <w:rFonts w:ascii="Arial" w:hAnsi="Arial" w:eastAsia="Calibri" w:cs="Arial"/>
          <w:sz w:val="22"/>
        </w:rPr>
      </w:pPr>
      <w:r w:rsidRPr="005D4893">
        <w:rPr>
          <w:rFonts w:ascii="Arial" w:hAnsi="Arial" w:eastAsia="Calibri" w:cs="Arial"/>
          <w:sz w:val="22"/>
        </w:rPr>
        <w:lastRenderedPageBreak/>
        <w:t>El artículo 192 de la Ley 1955 de 2019</w:t>
      </w:r>
      <w:r>
        <w:rPr>
          <w:rStyle w:val="Refdenotaalpie"/>
          <w:rFonts w:ascii="Arial" w:hAnsi="Arial" w:eastAsia="Calibri" w:cs="Arial"/>
          <w:sz w:val="22"/>
        </w:rPr>
        <w:footnoteReference w:id="3"/>
      </w:r>
      <w:r w:rsidRPr="005D4893">
        <w:rPr>
          <w:rFonts w:ascii="Arial" w:hAnsi="Arial" w:eastAsia="Calibri" w:cs="Arial"/>
          <w:sz w:val="22"/>
        </w:rPr>
        <w:t xml:space="preserve"> </w:t>
      </w:r>
      <w:r w:rsidR="00D93576">
        <w:rPr>
          <w:rFonts w:ascii="Arial" w:hAnsi="Arial" w:eastAsia="Calibri" w:cs="Arial"/>
          <w:sz w:val="22"/>
        </w:rPr>
        <w:t>establece</w:t>
      </w:r>
      <w:r w:rsidRPr="005D4893" w:rsidR="00D93576">
        <w:rPr>
          <w:rFonts w:ascii="Arial" w:hAnsi="Arial" w:eastAsia="Calibri" w:cs="Arial"/>
          <w:sz w:val="22"/>
        </w:rPr>
        <w:t xml:space="preserve"> </w:t>
      </w:r>
      <w:r w:rsidRPr="005D4893">
        <w:rPr>
          <w:rFonts w:ascii="Arial" w:hAnsi="Arial" w:eastAsia="Calibri" w:cs="Arial"/>
          <w:sz w:val="22"/>
        </w:rPr>
        <w:t xml:space="preserve">que el tiempo de la práctica laboral que el estudiante realice para optar </w:t>
      </w:r>
      <w:r w:rsidR="00D93576">
        <w:rPr>
          <w:rFonts w:ascii="Arial" w:hAnsi="Arial" w:eastAsia="Calibri" w:cs="Arial"/>
          <w:sz w:val="22"/>
        </w:rPr>
        <w:t>por</w:t>
      </w:r>
      <w:r w:rsidRPr="005D4893">
        <w:rPr>
          <w:rFonts w:ascii="Arial" w:hAnsi="Arial" w:eastAsia="Calibri" w:cs="Arial"/>
          <w:sz w:val="22"/>
        </w:rPr>
        <w:t xml:space="preserve"> su título profesional, tecnológico o técnico cuenta como experiencia laboral. Sin embargo, s</w:t>
      </w:r>
      <w:r>
        <w:rPr>
          <w:rFonts w:ascii="Arial" w:hAnsi="Arial" w:eastAsia="Calibri" w:cs="Arial"/>
          <w:sz w:val="22"/>
        </w:rPr>
        <w:t>o</w:t>
      </w:r>
      <w:r w:rsidRPr="005D4893">
        <w:rPr>
          <w:rFonts w:ascii="Arial" w:hAnsi="Arial" w:eastAsia="Calibri" w:cs="Arial"/>
          <w:sz w:val="22"/>
        </w:rPr>
        <w:t xml:space="preserve">lo se </w:t>
      </w:r>
      <w:r>
        <w:rPr>
          <w:rFonts w:ascii="Arial" w:hAnsi="Arial" w:eastAsia="Calibri" w:cs="Arial"/>
          <w:sz w:val="22"/>
        </w:rPr>
        <w:t>computa</w:t>
      </w:r>
      <w:r w:rsidR="00D93576">
        <w:rPr>
          <w:rFonts w:ascii="Arial" w:hAnsi="Arial" w:eastAsia="Calibri" w:cs="Arial"/>
          <w:sz w:val="22"/>
        </w:rPr>
        <w:t>n</w:t>
      </w:r>
      <w:r>
        <w:rPr>
          <w:rFonts w:ascii="Arial" w:hAnsi="Arial" w:eastAsia="Calibri" w:cs="Arial"/>
          <w:sz w:val="22"/>
        </w:rPr>
        <w:t xml:space="preserve"> como experiencia</w:t>
      </w:r>
      <w:r w:rsidRPr="005D4893">
        <w:rPr>
          <w:rFonts w:ascii="Arial" w:hAnsi="Arial" w:eastAsia="Calibri" w:cs="Arial"/>
          <w:sz w:val="22"/>
        </w:rPr>
        <w:t xml:space="preserve"> las prácticas laborales realizadas durante los veinticuatro (24) meses anteriores</w:t>
      </w:r>
      <w:r w:rsidR="00D93576">
        <w:rPr>
          <w:rFonts w:ascii="Arial" w:hAnsi="Arial" w:eastAsia="Calibri" w:cs="Arial"/>
          <w:sz w:val="22"/>
        </w:rPr>
        <w:t xml:space="preserve"> </w:t>
      </w:r>
      <w:r w:rsidRPr="005D4893" w:rsidR="00D93576">
        <w:rPr>
          <w:rFonts w:ascii="Arial" w:hAnsi="Arial" w:eastAsia="Calibri" w:cs="Arial"/>
          <w:sz w:val="22"/>
        </w:rPr>
        <w:t xml:space="preserve">a la </w:t>
      </w:r>
      <w:proofErr w:type="gramStart"/>
      <w:r w:rsidRPr="005D4893" w:rsidR="00D93576">
        <w:rPr>
          <w:rFonts w:ascii="Arial" w:hAnsi="Arial" w:eastAsia="Calibri" w:cs="Arial"/>
          <w:sz w:val="22"/>
        </w:rPr>
        <w:t xml:space="preserve">entrada en </w:t>
      </w:r>
      <w:r w:rsidR="00D93576">
        <w:rPr>
          <w:rFonts w:ascii="Arial" w:hAnsi="Arial" w:eastAsia="Calibri" w:cs="Arial"/>
          <w:sz w:val="22"/>
        </w:rPr>
        <w:t>vigencia</w:t>
      </w:r>
      <w:proofErr w:type="gramEnd"/>
      <w:r w:rsidRPr="005D4893" w:rsidR="00D93576">
        <w:rPr>
          <w:rFonts w:ascii="Arial" w:hAnsi="Arial" w:eastAsia="Calibri" w:cs="Arial"/>
          <w:sz w:val="22"/>
        </w:rPr>
        <w:t xml:space="preserve"> de </w:t>
      </w:r>
      <w:r w:rsidR="00D93576">
        <w:rPr>
          <w:rFonts w:ascii="Arial" w:hAnsi="Arial" w:eastAsia="Calibri" w:cs="Arial"/>
          <w:sz w:val="22"/>
        </w:rPr>
        <w:t>dicha</w:t>
      </w:r>
      <w:r w:rsidRPr="005D4893" w:rsidR="00D93576">
        <w:rPr>
          <w:rFonts w:ascii="Arial" w:hAnsi="Arial" w:eastAsia="Calibri" w:cs="Arial"/>
          <w:sz w:val="22"/>
        </w:rPr>
        <w:t xml:space="preserve"> ley</w:t>
      </w:r>
      <w:r w:rsidRPr="005D4893">
        <w:rPr>
          <w:rFonts w:ascii="Arial" w:hAnsi="Arial" w:eastAsia="Calibri" w:cs="Arial"/>
          <w:sz w:val="22"/>
        </w:rPr>
        <w:t xml:space="preserve"> y las que se reali</w:t>
      </w:r>
      <w:r w:rsidR="00D93576">
        <w:rPr>
          <w:rFonts w:ascii="Arial" w:hAnsi="Arial" w:eastAsia="Calibri" w:cs="Arial"/>
          <w:sz w:val="22"/>
        </w:rPr>
        <w:t>cen</w:t>
      </w:r>
      <w:r w:rsidRPr="005D4893">
        <w:rPr>
          <w:rFonts w:ascii="Arial" w:hAnsi="Arial" w:eastAsia="Calibri" w:cs="Arial"/>
          <w:sz w:val="22"/>
        </w:rPr>
        <w:t xml:space="preserve"> con posterioridad</w:t>
      </w:r>
      <w:r>
        <w:rPr>
          <w:rFonts w:ascii="Arial" w:hAnsi="Arial" w:eastAsia="Calibri" w:cs="Arial"/>
          <w:sz w:val="22"/>
        </w:rPr>
        <w:t>;</w:t>
      </w:r>
      <w:r w:rsidRPr="005D4893">
        <w:rPr>
          <w:rFonts w:ascii="Arial" w:hAnsi="Arial" w:eastAsia="Calibri" w:cs="Arial"/>
          <w:sz w:val="22"/>
        </w:rPr>
        <w:t xml:space="preserve"> y, por último, exceptúa de lo dispuesto en este artículo a los estudiantes de posgrado del sector salud.</w:t>
      </w:r>
    </w:p>
    <w:p w:rsidR="00D86BBF" w:rsidP="00D86BBF" w:rsidRDefault="008D218E" w14:paraId="6C2F9F84" w14:textId="112B9429">
      <w:pPr>
        <w:spacing w:before="120" w:after="120" w:line="276" w:lineRule="auto"/>
        <w:ind w:right="51" w:firstLine="708"/>
        <w:jc w:val="both"/>
        <w:rPr>
          <w:rFonts w:ascii="Arial" w:hAnsi="Arial" w:eastAsia="Calibri" w:cs="Arial"/>
          <w:sz w:val="22"/>
        </w:rPr>
      </w:pPr>
      <w:r>
        <w:rPr>
          <w:rFonts w:ascii="Arial" w:hAnsi="Arial" w:eastAsia="Calibri" w:cs="Arial"/>
          <w:sz w:val="22"/>
        </w:rPr>
        <w:t>De conformidad con esta norma</w:t>
      </w:r>
      <w:r w:rsidRPr="005D4893" w:rsidR="00D86BBF">
        <w:rPr>
          <w:rFonts w:ascii="Arial" w:hAnsi="Arial" w:eastAsia="Calibri" w:cs="Arial"/>
          <w:sz w:val="22"/>
        </w:rPr>
        <w:t>, las entidades estatales debe</w:t>
      </w:r>
      <w:r>
        <w:rPr>
          <w:rFonts w:ascii="Arial" w:hAnsi="Arial" w:eastAsia="Calibri" w:cs="Arial"/>
          <w:sz w:val="22"/>
        </w:rPr>
        <w:t>n</w:t>
      </w:r>
      <w:r w:rsidRPr="005D4893" w:rsidR="00D86BBF">
        <w:rPr>
          <w:rFonts w:ascii="Arial" w:hAnsi="Arial" w:eastAsia="Calibri" w:cs="Arial"/>
          <w:sz w:val="22"/>
        </w:rPr>
        <w:t xml:space="preserve"> tener en cuenta las prácticas laborales como experiencia profesional aun cuando </w:t>
      </w:r>
      <w:r w:rsidR="00D86BBF">
        <w:rPr>
          <w:rFonts w:ascii="Arial" w:hAnsi="Arial" w:eastAsia="Calibri" w:cs="Arial"/>
          <w:sz w:val="22"/>
        </w:rPr>
        <w:t>e</w:t>
      </w:r>
      <w:r w:rsidRPr="005D4893" w:rsidR="00D86BBF">
        <w:rPr>
          <w:rFonts w:ascii="Arial" w:hAnsi="Arial" w:eastAsia="Calibri" w:cs="Arial"/>
          <w:sz w:val="22"/>
        </w:rPr>
        <w:t>stas se hayan realizado antes de la terminación de materias. No obstante, s</w:t>
      </w:r>
      <w:r w:rsidR="00D86BBF">
        <w:rPr>
          <w:rFonts w:ascii="Arial" w:hAnsi="Arial" w:eastAsia="Calibri" w:cs="Arial"/>
          <w:sz w:val="22"/>
        </w:rPr>
        <w:t>o</w:t>
      </w:r>
      <w:r w:rsidRPr="005D4893" w:rsidR="00D86BBF">
        <w:rPr>
          <w:rFonts w:ascii="Arial" w:hAnsi="Arial" w:eastAsia="Calibri" w:cs="Arial"/>
          <w:sz w:val="22"/>
        </w:rPr>
        <w:t xml:space="preserve">lo se tendrán en cuenta i) las prácticas laborales que fueron realizadas durante los veinticuatro meses anteriores a la </w:t>
      </w:r>
      <w:proofErr w:type="gramStart"/>
      <w:r w:rsidRPr="005D4893" w:rsidR="00D86BBF">
        <w:rPr>
          <w:rFonts w:ascii="Arial" w:hAnsi="Arial" w:eastAsia="Calibri" w:cs="Arial"/>
          <w:sz w:val="22"/>
        </w:rPr>
        <w:t xml:space="preserve">entrada en </w:t>
      </w:r>
      <w:r w:rsidR="00155203">
        <w:rPr>
          <w:rFonts w:ascii="Arial" w:hAnsi="Arial" w:eastAsia="Calibri" w:cs="Arial"/>
          <w:sz w:val="22"/>
        </w:rPr>
        <w:t>vigencia</w:t>
      </w:r>
      <w:proofErr w:type="gramEnd"/>
      <w:r w:rsidR="00155203">
        <w:rPr>
          <w:rFonts w:ascii="Arial" w:hAnsi="Arial" w:eastAsia="Calibri" w:cs="Arial"/>
          <w:sz w:val="22"/>
        </w:rPr>
        <w:t xml:space="preserve"> de dicha ley</w:t>
      </w:r>
      <w:r w:rsidRPr="005D4893" w:rsidR="00D86BBF">
        <w:rPr>
          <w:rFonts w:ascii="Arial" w:hAnsi="Arial" w:eastAsia="Calibri" w:cs="Arial"/>
          <w:sz w:val="22"/>
        </w:rPr>
        <w:t xml:space="preserve"> y las que se realicen </w:t>
      </w:r>
      <w:r w:rsidR="00155203">
        <w:rPr>
          <w:rFonts w:ascii="Arial" w:hAnsi="Arial" w:eastAsia="Calibri" w:cs="Arial"/>
          <w:sz w:val="22"/>
        </w:rPr>
        <w:t>con posterioridad</w:t>
      </w:r>
      <w:r w:rsidRPr="005D4893" w:rsidR="00D86BBF">
        <w:rPr>
          <w:rFonts w:ascii="Arial" w:hAnsi="Arial" w:eastAsia="Calibri" w:cs="Arial"/>
          <w:sz w:val="22"/>
        </w:rPr>
        <w:t xml:space="preserve">, y </w:t>
      </w:r>
      <w:proofErr w:type="spellStart"/>
      <w:r w:rsidRPr="005D4893" w:rsidR="00D86BBF">
        <w:rPr>
          <w:rFonts w:ascii="Arial" w:hAnsi="Arial" w:eastAsia="Calibri" w:cs="Arial"/>
          <w:sz w:val="22"/>
        </w:rPr>
        <w:t>ii</w:t>
      </w:r>
      <w:proofErr w:type="spellEnd"/>
      <w:r w:rsidRPr="005D4893" w:rsidR="00D86BBF">
        <w:rPr>
          <w:rFonts w:ascii="Arial" w:hAnsi="Arial" w:eastAsia="Calibri" w:cs="Arial"/>
          <w:sz w:val="22"/>
        </w:rPr>
        <w:t>) las que realice cualquier estudiante que no sea de posgrado del sector salud.</w:t>
      </w:r>
    </w:p>
    <w:p w:rsidR="00D86BBF" w:rsidP="00D86BBF" w:rsidRDefault="00D86BBF" w14:paraId="7A076A1C" w14:textId="30C27BED">
      <w:pPr>
        <w:spacing w:before="120" w:after="120" w:line="276" w:lineRule="auto"/>
        <w:ind w:right="51" w:firstLine="708"/>
        <w:jc w:val="both"/>
        <w:rPr>
          <w:rFonts w:ascii="Arial" w:hAnsi="Arial" w:eastAsia="Calibri" w:cs="Arial"/>
          <w:sz w:val="22"/>
        </w:rPr>
      </w:pPr>
      <w:r w:rsidRPr="005D4893">
        <w:rPr>
          <w:rFonts w:ascii="Arial" w:hAnsi="Arial" w:eastAsia="Calibri" w:cs="Arial"/>
          <w:sz w:val="22"/>
        </w:rPr>
        <w:t xml:space="preserve">En virtud de esta norma, surge la siguiente pregunta: ¿al ser la Ley 1955 de 2019 posterior al Decreto </w:t>
      </w:r>
      <w:r w:rsidR="00155203">
        <w:rPr>
          <w:rFonts w:ascii="Arial" w:hAnsi="Arial" w:eastAsia="Calibri" w:cs="Arial"/>
          <w:sz w:val="22"/>
        </w:rPr>
        <w:t xml:space="preserve">Ley </w:t>
      </w:r>
      <w:r w:rsidRPr="005D4893">
        <w:rPr>
          <w:rFonts w:ascii="Arial" w:hAnsi="Arial" w:eastAsia="Calibri" w:cs="Arial"/>
          <w:sz w:val="22"/>
        </w:rPr>
        <w:t>019 de 2012 se deroga lo previsto en el Decreto, o se aplican las dos normas</w:t>
      </w:r>
      <w:r>
        <w:rPr>
          <w:rFonts w:ascii="Arial" w:hAnsi="Arial" w:eastAsia="Calibri" w:cs="Arial"/>
          <w:sz w:val="22"/>
        </w:rPr>
        <w:t>,</w:t>
      </w:r>
      <w:r w:rsidRPr="005D4893">
        <w:rPr>
          <w:rFonts w:ascii="Arial" w:hAnsi="Arial" w:eastAsia="Calibri" w:cs="Arial"/>
          <w:sz w:val="22"/>
        </w:rPr>
        <w:t xml:space="preserve"> dependiendo de cada caso en concreto?</w:t>
      </w:r>
    </w:p>
    <w:p w:rsidRPr="005D4893" w:rsidR="00D86BBF" w:rsidP="00D86BBF" w:rsidRDefault="00D86BBF" w14:paraId="097EA864" w14:textId="643275C7">
      <w:pPr>
        <w:spacing w:before="120" w:after="120" w:line="276" w:lineRule="auto"/>
        <w:ind w:right="51" w:firstLine="708"/>
        <w:jc w:val="both"/>
        <w:rPr>
          <w:rFonts w:ascii="Arial" w:hAnsi="Arial" w:eastAsia="Calibri" w:cs="Arial"/>
          <w:sz w:val="22"/>
        </w:rPr>
      </w:pPr>
      <w:r w:rsidRPr="005D4893">
        <w:rPr>
          <w:rFonts w:ascii="Arial" w:hAnsi="Arial" w:eastAsia="Calibri" w:cs="Arial"/>
          <w:sz w:val="22"/>
        </w:rPr>
        <w:t>La Corte Constitucional</w:t>
      </w:r>
      <w:r>
        <w:rPr>
          <w:rFonts w:ascii="Arial" w:hAnsi="Arial" w:eastAsia="Calibri" w:cs="Arial"/>
          <w:sz w:val="22"/>
        </w:rPr>
        <w:t xml:space="preserve"> explica que en estos </w:t>
      </w:r>
      <w:r w:rsidRPr="005D4893">
        <w:rPr>
          <w:rFonts w:ascii="Arial" w:hAnsi="Arial" w:eastAsia="Calibri" w:cs="Arial"/>
          <w:sz w:val="22"/>
        </w:rPr>
        <w:t>eventos procede la derogatoria de las normas y la distinción entre derogatoria expresa y tácita, en los siguientes términos:</w:t>
      </w:r>
    </w:p>
    <w:p w:rsidRPr="00334134" w:rsidR="00D86BBF" w:rsidP="00D86BBF" w:rsidRDefault="00D86BBF" w14:paraId="5B0EAD50" w14:textId="77777777">
      <w:pPr>
        <w:ind w:left="709" w:right="709"/>
        <w:jc w:val="both"/>
        <w:rPr>
          <w:rFonts w:ascii="Arial" w:hAnsi="Arial" w:eastAsia="Calibri" w:cs="Arial"/>
          <w:sz w:val="21"/>
          <w:szCs w:val="21"/>
        </w:rPr>
      </w:pPr>
    </w:p>
    <w:p w:rsidRPr="00334134" w:rsidR="00D86BBF" w:rsidP="00D86BBF" w:rsidRDefault="00D86BBF" w14:paraId="5D1BBD9D" w14:textId="0529D97A">
      <w:pPr>
        <w:ind w:left="709" w:right="709"/>
        <w:jc w:val="both"/>
        <w:rPr>
          <w:rFonts w:ascii="Arial" w:hAnsi="Arial" w:eastAsia="Calibri" w:cs="Arial"/>
          <w:sz w:val="21"/>
          <w:szCs w:val="21"/>
        </w:rPr>
      </w:pPr>
      <w:r w:rsidRPr="00334134">
        <w:rPr>
          <w:rFonts w:ascii="Arial" w:hAnsi="Arial" w:eastAsia="Calibri" w:cs="Arial"/>
          <w:sz w:val="21"/>
          <w:szCs w:val="21"/>
        </w:rPr>
        <w:t>La derogatoria es aquel efecto de una ley, determinante de la pérdida de vigencia de otra ley anterior, la cual puede ser expresa o tácita. Este último evento tiene lugar al menos en dos hipótesis: (i) cuando una norma jurídica posterior resulta incompatible con una anterior, o (</w:t>
      </w:r>
      <w:proofErr w:type="spellStart"/>
      <w:r w:rsidRPr="00334134">
        <w:rPr>
          <w:rFonts w:ascii="Arial" w:hAnsi="Arial" w:eastAsia="Calibri" w:cs="Arial"/>
          <w:sz w:val="21"/>
          <w:szCs w:val="21"/>
        </w:rPr>
        <w:t>ii</w:t>
      </w:r>
      <w:proofErr w:type="spellEnd"/>
      <w:r w:rsidRPr="00334134">
        <w:rPr>
          <w:rFonts w:ascii="Arial" w:hAnsi="Arial" w:eastAsia="Calibri" w:cs="Arial"/>
          <w:sz w:val="21"/>
          <w:szCs w:val="21"/>
        </w:rPr>
        <w:t xml:space="preserve">) cuando se produce una nueva regulación integral de la materia. Así lo ha entendido la jurisprudencia de esta Corporación al señalar que la derogatoria de una ley puede ser expresa, tácita o por reglamentación integral (orgánica) de la materia, sucediendo la primera cuando la nueva ley suprime formal y específicamente la anterior; la segunda cuando la nueva ley contiene disposiciones incompatibles o contrarias a la de la antigua, y la tercera cuando una ley reglamenta toda la materia </w:t>
      </w:r>
      <w:r w:rsidRPr="00334134">
        <w:rPr>
          <w:rFonts w:ascii="Arial" w:hAnsi="Arial" w:eastAsia="Calibri" w:cs="Arial"/>
          <w:sz w:val="21"/>
          <w:szCs w:val="21"/>
        </w:rPr>
        <w:lastRenderedPageBreak/>
        <w:t>regulada por una o varias normas precedentes, aunque no haya incompatibilidad entre las disposiciones de éstas y las de la nueva ley</w:t>
      </w:r>
      <w:r w:rsidR="00155203">
        <w:rPr>
          <w:rStyle w:val="Refdenotaalpie"/>
          <w:rFonts w:ascii="Arial" w:hAnsi="Arial" w:eastAsia="Calibri" w:cs="Arial"/>
          <w:sz w:val="22"/>
        </w:rPr>
        <w:footnoteReference w:id="4"/>
      </w:r>
      <w:r w:rsidRPr="00334134">
        <w:rPr>
          <w:rFonts w:ascii="Arial" w:hAnsi="Arial" w:eastAsia="Calibri" w:cs="Arial"/>
          <w:sz w:val="21"/>
          <w:szCs w:val="21"/>
        </w:rPr>
        <w:t>.</w:t>
      </w:r>
    </w:p>
    <w:p w:rsidRPr="005D4893" w:rsidR="00D86BBF" w:rsidP="00D86BBF" w:rsidRDefault="00D86BBF" w14:paraId="0C460AED" w14:textId="77777777">
      <w:pPr>
        <w:spacing w:line="276" w:lineRule="auto"/>
        <w:ind w:right="49"/>
        <w:jc w:val="both"/>
        <w:rPr>
          <w:rFonts w:ascii="Arial" w:hAnsi="Arial" w:eastAsia="Calibri" w:cs="Arial"/>
          <w:sz w:val="22"/>
        </w:rPr>
      </w:pPr>
    </w:p>
    <w:p w:rsidRPr="005D4893" w:rsidR="00D86BBF" w:rsidP="00D86BBF" w:rsidRDefault="00D86BBF" w14:paraId="761DE63C" w14:textId="06EB1996">
      <w:pPr>
        <w:spacing w:before="120" w:after="120" w:line="276" w:lineRule="auto"/>
        <w:ind w:right="51" w:firstLine="708"/>
        <w:jc w:val="both"/>
        <w:rPr>
          <w:rFonts w:ascii="Arial" w:hAnsi="Arial" w:eastAsia="Calibri" w:cs="Arial"/>
          <w:sz w:val="22"/>
        </w:rPr>
      </w:pPr>
      <w:r w:rsidRPr="005D4893">
        <w:rPr>
          <w:rFonts w:ascii="Arial" w:hAnsi="Arial" w:eastAsia="Calibri" w:cs="Arial"/>
          <w:sz w:val="22"/>
        </w:rPr>
        <w:t xml:space="preserve">De conformidad con lo anterior, la derogatoria de una norma procede cuando </w:t>
      </w:r>
      <w:r>
        <w:rPr>
          <w:rFonts w:ascii="Arial" w:hAnsi="Arial" w:eastAsia="Calibri" w:cs="Arial"/>
          <w:sz w:val="22"/>
        </w:rPr>
        <w:t>e</w:t>
      </w:r>
      <w:r w:rsidRPr="005D4893">
        <w:rPr>
          <w:rFonts w:ascii="Arial" w:hAnsi="Arial" w:eastAsia="Calibri" w:cs="Arial"/>
          <w:sz w:val="22"/>
        </w:rPr>
        <w:t xml:space="preserve">sta pierde vigencia en el ordenamiento jurídico, ya sea, por medio de una derogatoria expresa o una derogatoria tácita. En este caso, la Ley 1955 de 2019, en el artículo 336, no derogó de forma expresa el artículo 229 del Decreto 019 de 2012, </w:t>
      </w:r>
      <w:r w:rsidR="00155203">
        <w:rPr>
          <w:rFonts w:ascii="Arial" w:hAnsi="Arial" w:eastAsia="Calibri" w:cs="Arial"/>
          <w:sz w:val="22"/>
        </w:rPr>
        <w:t>por lo que</w:t>
      </w:r>
      <w:r w:rsidRPr="005D4893">
        <w:rPr>
          <w:rFonts w:ascii="Arial" w:hAnsi="Arial" w:eastAsia="Calibri" w:cs="Arial"/>
          <w:sz w:val="22"/>
        </w:rPr>
        <w:t xml:space="preserve"> se debe analizar si el artículo 192 de la Ley 1955 de 2019 derogó tácitamente el artículo 299 del Decreto </w:t>
      </w:r>
      <w:r w:rsidR="00155203">
        <w:rPr>
          <w:rFonts w:ascii="Arial" w:hAnsi="Arial" w:eastAsia="Calibri" w:cs="Arial"/>
          <w:sz w:val="22"/>
        </w:rPr>
        <w:t xml:space="preserve">Ley </w:t>
      </w:r>
      <w:r w:rsidRPr="005D4893">
        <w:rPr>
          <w:rFonts w:ascii="Arial" w:hAnsi="Arial" w:eastAsia="Calibri" w:cs="Arial"/>
          <w:sz w:val="22"/>
        </w:rPr>
        <w:t>019 de 2012.</w:t>
      </w:r>
    </w:p>
    <w:p w:rsidR="00D86BBF" w:rsidP="00D86BBF" w:rsidRDefault="00D86BBF" w14:paraId="74167837" w14:textId="6E4DB335">
      <w:pPr>
        <w:spacing w:before="120" w:after="120" w:line="276" w:lineRule="auto"/>
        <w:ind w:right="51" w:firstLine="708"/>
        <w:jc w:val="both"/>
        <w:rPr>
          <w:rFonts w:ascii="Arial" w:hAnsi="Arial" w:eastAsia="Calibri" w:cs="Arial"/>
          <w:sz w:val="22"/>
        </w:rPr>
      </w:pPr>
      <w:r w:rsidRPr="005D4893">
        <w:rPr>
          <w:rFonts w:ascii="Arial" w:hAnsi="Arial" w:eastAsia="Calibri" w:cs="Arial"/>
          <w:sz w:val="22"/>
        </w:rPr>
        <w:t xml:space="preserve">La Corte Constitucional señala que la derogatoria tácita supone la existencia de una norma posterior que contiene disposiciones incompatibles o contrarias a la ley </w:t>
      </w:r>
      <w:r w:rsidR="00155203">
        <w:rPr>
          <w:rFonts w:ascii="Arial" w:hAnsi="Arial" w:eastAsia="Calibri" w:cs="Arial"/>
          <w:sz w:val="22"/>
        </w:rPr>
        <w:t>anterior</w:t>
      </w:r>
      <w:r w:rsidRPr="005D4893">
        <w:rPr>
          <w:rFonts w:ascii="Arial" w:hAnsi="Arial" w:eastAsia="Calibri" w:cs="Arial"/>
          <w:sz w:val="22"/>
        </w:rPr>
        <w:t>. En este caso, en principio, se evidencia una incompatibilidad entre el artículo 192 de la Ley 1955 de 2019 y el artículo 299 del Decreto 019 de 2012</w:t>
      </w:r>
      <w:r w:rsidR="00155203">
        <w:rPr>
          <w:rFonts w:ascii="Arial" w:hAnsi="Arial" w:eastAsia="Calibri" w:cs="Arial"/>
          <w:sz w:val="22"/>
        </w:rPr>
        <w:t>,</w:t>
      </w:r>
      <w:r w:rsidRPr="005D4893">
        <w:rPr>
          <w:rFonts w:ascii="Arial" w:hAnsi="Arial" w:eastAsia="Calibri" w:cs="Arial"/>
          <w:sz w:val="22"/>
        </w:rPr>
        <w:t xml:space="preserve"> ya que la nueva ley señala que se cuenta como experiencia profesional la que realice el estudiante como práctica laboral sin importar si es antes o después de terminadas las materias, y el Decreto prevé que la experiencia profesional se </w:t>
      </w:r>
      <w:r w:rsidR="00155203">
        <w:rPr>
          <w:rFonts w:ascii="Arial" w:hAnsi="Arial" w:eastAsia="Calibri" w:cs="Arial"/>
          <w:sz w:val="22"/>
        </w:rPr>
        <w:t>cuenta</w:t>
      </w:r>
      <w:r w:rsidRPr="005D4893" w:rsidR="00155203">
        <w:rPr>
          <w:rFonts w:ascii="Arial" w:hAnsi="Arial" w:eastAsia="Calibri" w:cs="Arial"/>
          <w:sz w:val="22"/>
        </w:rPr>
        <w:t xml:space="preserve"> </w:t>
      </w:r>
      <w:r w:rsidRPr="005D4893">
        <w:rPr>
          <w:rFonts w:ascii="Arial" w:hAnsi="Arial" w:eastAsia="Calibri" w:cs="Arial"/>
          <w:sz w:val="22"/>
        </w:rPr>
        <w:t>a partir de la terminación de</w:t>
      </w:r>
      <w:r>
        <w:rPr>
          <w:rFonts w:ascii="Arial" w:hAnsi="Arial" w:eastAsia="Calibri" w:cs="Arial"/>
          <w:sz w:val="22"/>
        </w:rPr>
        <w:t xml:space="preserve"> materias o el pénsum académico.</w:t>
      </w:r>
    </w:p>
    <w:p w:rsidR="00D86BBF" w:rsidP="00D86BBF" w:rsidRDefault="00D86BBF" w14:paraId="1D0ECFE4" w14:textId="00F40C33">
      <w:pPr>
        <w:spacing w:before="120" w:after="120" w:line="276" w:lineRule="auto"/>
        <w:ind w:right="51" w:firstLine="708"/>
        <w:jc w:val="both"/>
        <w:rPr>
          <w:rFonts w:ascii="Arial" w:hAnsi="Arial" w:eastAsia="Calibri" w:cs="Arial"/>
          <w:sz w:val="22"/>
        </w:rPr>
      </w:pPr>
      <w:r w:rsidRPr="005D4893">
        <w:rPr>
          <w:rFonts w:ascii="Arial" w:hAnsi="Arial" w:eastAsia="Calibri" w:cs="Arial"/>
          <w:sz w:val="22"/>
        </w:rPr>
        <w:t xml:space="preserve">No obstante, se debe entender que el artículo 299 del Decreto 019 de 2012 es la regla general para contar el término de la experiencia profesional y, por lo tanto, </w:t>
      </w:r>
      <w:r>
        <w:rPr>
          <w:rFonts w:ascii="Arial" w:hAnsi="Arial" w:eastAsia="Calibri" w:cs="Arial"/>
          <w:sz w:val="22"/>
        </w:rPr>
        <w:t>el cómputo, en principio, se efect</w:t>
      </w:r>
      <w:r w:rsidR="00524973">
        <w:rPr>
          <w:rFonts w:ascii="Arial" w:hAnsi="Arial" w:eastAsia="Calibri" w:cs="Arial"/>
          <w:sz w:val="22"/>
        </w:rPr>
        <w:t>ú</w:t>
      </w:r>
      <w:r>
        <w:rPr>
          <w:rFonts w:ascii="Arial" w:hAnsi="Arial" w:eastAsia="Calibri" w:cs="Arial"/>
          <w:sz w:val="22"/>
        </w:rPr>
        <w:t>a</w:t>
      </w:r>
      <w:r w:rsidRPr="005D4893">
        <w:rPr>
          <w:rFonts w:ascii="Arial" w:hAnsi="Arial" w:eastAsia="Calibri" w:cs="Arial"/>
          <w:sz w:val="22"/>
        </w:rPr>
        <w:t xml:space="preserve"> después de terminadas las materias</w:t>
      </w:r>
      <w:r>
        <w:rPr>
          <w:rFonts w:ascii="Arial" w:hAnsi="Arial" w:eastAsia="Calibri" w:cs="Arial"/>
          <w:sz w:val="22"/>
        </w:rPr>
        <w:t>;</w:t>
      </w:r>
      <w:r w:rsidRPr="005D4893">
        <w:rPr>
          <w:rFonts w:ascii="Arial" w:hAnsi="Arial" w:eastAsia="Calibri" w:cs="Arial"/>
          <w:sz w:val="22"/>
        </w:rPr>
        <w:t xml:space="preserve"> </w:t>
      </w:r>
      <w:r>
        <w:rPr>
          <w:rFonts w:ascii="Arial" w:hAnsi="Arial" w:eastAsia="Calibri" w:cs="Arial"/>
          <w:sz w:val="22"/>
        </w:rPr>
        <w:t>pero</w:t>
      </w:r>
      <w:r w:rsidRPr="005D4893">
        <w:rPr>
          <w:rFonts w:ascii="Arial" w:hAnsi="Arial" w:eastAsia="Calibri" w:cs="Arial"/>
          <w:sz w:val="22"/>
        </w:rPr>
        <w:t xml:space="preserve"> el caso previsto </w:t>
      </w:r>
      <w:r>
        <w:rPr>
          <w:rFonts w:ascii="Arial" w:hAnsi="Arial" w:eastAsia="Calibri" w:cs="Arial"/>
          <w:sz w:val="22"/>
        </w:rPr>
        <w:t>en</w:t>
      </w:r>
      <w:r w:rsidRPr="005D4893">
        <w:rPr>
          <w:rFonts w:ascii="Arial" w:hAnsi="Arial" w:eastAsia="Calibri" w:cs="Arial"/>
          <w:sz w:val="22"/>
        </w:rPr>
        <w:t xml:space="preserve"> el artículo 192 de la Ley 1955 de 2019 </w:t>
      </w:r>
      <w:r w:rsidR="00524973">
        <w:rPr>
          <w:rFonts w:ascii="Arial" w:hAnsi="Arial" w:eastAsia="Calibri" w:cs="Arial"/>
          <w:sz w:val="22"/>
        </w:rPr>
        <w:t>es</w:t>
      </w:r>
      <w:r w:rsidRPr="005D4893" w:rsidR="00524973">
        <w:rPr>
          <w:rFonts w:ascii="Arial" w:hAnsi="Arial" w:eastAsia="Calibri" w:cs="Arial"/>
          <w:sz w:val="22"/>
        </w:rPr>
        <w:t xml:space="preserve"> </w:t>
      </w:r>
      <w:r w:rsidRPr="005D4893">
        <w:rPr>
          <w:rFonts w:ascii="Arial" w:hAnsi="Arial" w:eastAsia="Calibri" w:cs="Arial"/>
          <w:sz w:val="22"/>
        </w:rPr>
        <w:t xml:space="preserve">la excepción a esta regla general. </w:t>
      </w:r>
      <w:r>
        <w:rPr>
          <w:rFonts w:ascii="Arial" w:hAnsi="Arial" w:eastAsia="Calibri" w:cs="Arial"/>
          <w:sz w:val="22"/>
        </w:rPr>
        <w:t>En efecto</w:t>
      </w:r>
      <w:r w:rsidRPr="005D4893">
        <w:rPr>
          <w:rFonts w:ascii="Arial" w:hAnsi="Arial" w:eastAsia="Calibri" w:cs="Arial"/>
          <w:sz w:val="22"/>
        </w:rPr>
        <w:t>, si el estudiante que opta por un título realiza la práctica laboral antes de terminadas las materias</w:t>
      </w:r>
      <w:r>
        <w:rPr>
          <w:rFonts w:ascii="Arial" w:hAnsi="Arial" w:eastAsia="Calibri" w:cs="Arial"/>
          <w:sz w:val="22"/>
        </w:rPr>
        <w:t>,</w:t>
      </w:r>
      <w:r w:rsidRPr="005D4893">
        <w:rPr>
          <w:rFonts w:ascii="Arial" w:hAnsi="Arial" w:eastAsia="Calibri" w:cs="Arial"/>
          <w:sz w:val="22"/>
        </w:rPr>
        <w:t xml:space="preserve"> se debe contar esta experiencia como profesional a pesar de que sea una experiencia que no fue adquirida con posterioridad a la terminación de materias</w:t>
      </w:r>
      <w:r>
        <w:rPr>
          <w:rFonts w:ascii="Arial" w:hAnsi="Arial" w:eastAsia="Calibri" w:cs="Arial"/>
          <w:sz w:val="22"/>
        </w:rPr>
        <w:t>.</w:t>
      </w:r>
      <w:r w:rsidRPr="005D4893">
        <w:rPr>
          <w:rFonts w:ascii="Arial" w:hAnsi="Arial" w:eastAsia="Calibri" w:cs="Arial"/>
          <w:sz w:val="22"/>
        </w:rPr>
        <w:t xml:space="preserve"> </w:t>
      </w:r>
      <w:r>
        <w:rPr>
          <w:rFonts w:ascii="Arial" w:hAnsi="Arial" w:eastAsia="Calibri" w:cs="Arial"/>
          <w:sz w:val="22"/>
        </w:rPr>
        <w:t>E</w:t>
      </w:r>
      <w:r w:rsidRPr="005D4893">
        <w:rPr>
          <w:rFonts w:ascii="Arial" w:hAnsi="Arial" w:eastAsia="Calibri" w:cs="Arial"/>
          <w:sz w:val="22"/>
        </w:rPr>
        <w:t>n los demás casos, es decir, cuando no se realiz</w:t>
      </w:r>
      <w:r w:rsidR="00524973">
        <w:rPr>
          <w:rFonts w:ascii="Arial" w:hAnsi="Arial" w:eastAsia="Calibri" w:cs="Arial"/>
          <w:sz w:val="22"/>
        </w:rPr>
        <w:t>a</w:t>
      </w:r>
      <w:r w:rsidRPr="005D4893">
        <w:rPr>
          <w:rFonts w:ascii="Arial" w:hAnsi="Arial" w:eastAsia="Calibri" w:cs="Arial"/>
          <w:sz w:val="22"/>
        </w:rPr>
        <w:t xml:space="preserve"> ninguna práctica laboral</w:t>
      </w:r>
      <w:r>
        <w:rPr>
          <w:rFonts w:ascii="Arial" w:hAnsi="Arial" w:eastAsia="Calibri" w:cs="Arial"/>
          <w:sz w:val="22"/>
        </w:rPr>
        <w:t xml:space="preserve"> antes de </w:t>
      </w:r>
      <w:r w:rsidR="00524973">
        <w:rPr>
          <w:rFonts w:ascii="Arial" w:hAnsi="Arial" w:eastAsia="Calibri" w:cs="Arial"/>
          <w:sz w:val="22"/>
        </w:rPr>
        <w:t xml:space="preserve">finalizar </w:t>
      </w:r>
      <w:r>
        <w:rPr>
          <w:rFonts w:ascii="Arial" w:hAnsi="Arial" w:eastAsia="Calibri" w:cs="Arial"/>
          <w:sz w:val="22"/>
        </w:rPr>
        <w:t>el p</w:t>
      </w:r>
      <w:r w:rsidR="00524973">
        <w:rPr>
          <w:rFonts w:ascii="Arial" w:hAnsi="Arial" w:eastAsia="Calibri" w:cs="Arial"/>
          <w:sz w:val="22"/>
        </w:rPr>
        <w:t>é</w:t>
      </w:r>
      <w:r>
        <w:rPr>
          <w:rFonts w:ascii="Arial" w:hAnsi="Arial" w:eastAsia="Calibri" w:cs="Arial"/>
          <w:sz w:val="22"/>
        </w:rPr>
        <w:t>nsum,</w:t>
      </w:r>
      <w:r w:rsidRPr="005D4893">
        <w:rPr>
          <w:rFonts w:ascii="Arial" w:hAnsi="Arial" w:eastAsia="Calibri" w:cs="Arial"/>
          <w:sz w:val="22"/>
        </w:rPr>
        <w:t xml:space="preserve"> el conteo de la experiencia </w:t>
      </w:r>
      <w:r w:rsidR="00524973">
        <w:rPr>
          <w:rFonts w:ascii="Arial" w:hAnsi="Arial" w:eastAsia="Calibri" w:cs="Arial"/>
          <w:sz w:val="22"/>
        </w:rPr>
        <w:t>inicia</w:t>
      </w:r>
      <w:r w:rsidRPr="005D4893" w:rsidR="00524973">
        <w:rPr>
          <w:rFonts w:ascii="Arial" w:hAnsi="Arial" w:eastAsia="Calibri" w:cs="Arial"/>
          <w:sz w:val="22"/>
        </w:rPr>
        <w:t xml:space="preserve"> </w:t>
      </w:r>
      <w:r w:rsidRPr="005D4893">
        <w:rPr>
          <w:rFonts w:ascii="Arial" w:hAnsi="Arial" w:eastAsia="Calibri" w:cs="Arial"/>
          <w:sz w:val="22"/>
        </w:rPr>
        <w:t>después de terminadas las materias.</w:t>
      </w:r>
    </w:p>
    <w:p w:rsidR="00D86BBF" w:rsidP="00D86BBF" w:rsidRDefault="00D86BBF" w14:paraId="5C4A25AF" w14:textId="1D5F06BD">
      <w:pPr>
        <w:spacing w:before="120" w:after="120" w:line="276" w:lineRule="auto"/>
        <w:ind w:right="51" w:firstLine="709"/>
        <w:jc w:val="both"/>
        <w:rPr>
          <w:rFonts w:ascii="Arial" w:hAnsi="Arial" w:eastAsia="Calibri" w:cs="Arial"/>
          <w:sz w:val="22"/>
        </w:rPr>
      </w:pPr>
      <w:r w:rsidRPr="005D4893">
        <w:rPr>
          <w:rFonts w:ascii="Arial" w:hAnsi="Arial" w:eastAsia="Calibri" w:cs="Arial"/>
          <w:sz w:val="22"/>
        </w:rPr>
        <w:t xml:space="preserve">Para mayor claridad, el artículo 192 de la Ley 1955 de 2019 únicamente aplica en los casos </w:t>
      </w:r>
      <w:r>
        <w:rPr>
          <w:rFonts w:ascii="Arial" w:hAnsi="Arial" w:eastAsia="Calibri" w:cs="Arial"/>
          <w:sz w:val="22"/>
        </w:rPr>
        <w:t xml:space="preserve">en los </w:t>
      </w:r>
      <w:r w:rsidRPr="005D4893">
        <w:rPr>
          <w:rFonts w:ascii="Arial" w:hAnsi="Arial" w:eastAsia="Calibri" w:cs="Arial"/>
          <w:sz w:val="22"/>
        </w:rPr>
        <w:t>que el estudiante realiza prácticas laborales</w:t>
      </w:r>
      <w:r>
        <w:rPr>
          <w:rFonts w:ascii="Arial" w:hAnsi="Arial" w:eastAsia="Calibri" w:cs="Arial"/>
          <w:sz w:val="22"/>
        </w:rPr>
        <w:t>.</w:t>
      </w:r>
      <w:r w:rsidRPr="005D4893">
        <w:rPr>
          <w:rFonts w:ascii="Arial" w:hAnsi="Arial" w:eastAsia="Calibri" w:cs="Arial"/>
          <w:sz w:val="22"/>
        </w:rPr>
        <w:t xml:space="preserve"> </w:t>
      </w:r>
      <w:r>
        <w:rPr>
          <w:rFonts w:ascii="Arial" w:hAnsi="Arial" w:eastAsia="Calibri" w:cs="Arial"/>
          <w:sz w:val="22"/>
        </w:rPr>
        <w:t>P</w:t>
      </w:r>
      <w:r w:rsidRPr="005D4893">
        <w:rPr>
          <w:rFonts w:ascii="Arial" w:hAnsi="Arial" w:eastAsia="Calibri" w:cs="Arial"/>
          <w:sz w:val="22"/>
        </w:rPr>
        <w:t xml:space="preserve">or lo tanto, en estos </w:t>
      </w:r>
      <w:r>
        <w:rPr>
          <w:rFonts w:ascii="Arial" w:hAnsi="Arial" w:eastAsia="Calibri" w:cs="Arial"/>
          <w:sz w:val="22"/>
        </w:rPr>
        <w:t>e</w:t>
      </w:r>
      <w:r w:rsidR="00502BF3">
        <w:rPr>
          <w:rFonts w:ascii="Arial" w:hAnsi="Arial" w:eastAsia="Calibri" w:cs="Arial"/>
          <w:sz w:val="22"/>
        </w:rPr>
        <w:t>ve</w:t>
      </w:r>
      <w:r>
        <w:rPr>
          <w:rFonts w:ascii="Arial" w:hAnsi="Arial" w:eastAsia="Calibri" w:cs="Arial"/>
          <w:sz w:val="22"/>
        </w:rPr>
        <w:t>ntos</w:t>
      </w:r>
      <w:r w:rsidRPr="005D4893">
        <w:rPr>
          <w:rFonts w:ascii="Arial" w:hAnsi="Arial" w:eastAsia="Calibri" w:cs="Arial"/>
          <w:sz w:val="22"/>
        </w:rPr>
        <w:t xml:space="preserve"> r</w:t>
      </w:r>
      <w:r w:rsidR="00524973">
        <w:rPr>
          <w:rFonts w:ascii="Arial" w:hAnsi="Arial" w:eastAsia="Calibri" w:cs="Arial"/>
          <w:sz w:val="22"/>
        </w:rPr>
        <w:t>i</w:t>
      </w:r>
      <w:r w:rsidRPr="005D4893">
        <w:rPr>
          <w:rFonts w:ascii="Arial" w:hAnsi="Arial" w:eastAsia="Calibri" w:cs="Arial"/>
          <w:sz w:val="22"/>
        </w:rPr>
        <w:t>g</w:t>
      </w:r>
      <w:r w:rsidR="00524973">
        <w:rPr>
          <w:rFonts w:ascii="Arial" w:hAnsi="Arial" w:eastAsia="Calibri" w:cs="Arial"/>
          <w:sz w:val="22"/>
        </w:rPr>
        <w:t>e</w:t>
      </w:r>
      <w:r w:rsidRPr="005D4893">
        <w:rPr>
          <w:rFonts w:ascii="Arial" w:hAnsi="Arial" w:eastAsia="Calibri" w:cs="Arial"/>
          <w:sz w:val="22"/>
        </w:rPr>
        <w:t xml:space="preserve"> esta Ley y se </w:t>
      </w:r>
      <w:r w:rsidR="00524973">
        <w:rPr>
          <w:rFonts w:ascii="Arial" w:hAnsi="Arial" w:eastAsia="Calibri" w:cs="Arial"/>
          <w:sz w:val="22"/>
        </w:rPr>
        <w:t>tiene</w:t>
      </w:r>
      <w:r w:rsidRPr="005D4893" w:rsidR="00524973">
        <w:rPr>
          <w:rFonts w:ascii="Arial" w:hAnsi="Arial" w:eastAsia="Calibri" w:cs="Arial"/>
          <w:sz w:val="22"/>
        </w:rPr>
        <w:t xml:space="preserve"> </w:t>
      </w:r>
      <w:r w:rsidRPr="005D4893">
        <w:rPr>
          <w:rFonts w:ascii="Arial" w:hAnsi="Arial" w:eastAsia="Calibri" w:cs="Arial"/>
          <w:sz w:val="22"/>
        </w:rPr>
        <w:t xml:space="preserve">por válida la experiencia profesional realizada antes </w:t>
      </w:r>
      <w:r w:rsidR="00524973">
        <w:rPr>
          <w:rFonts w:ascii="Arial" w:hAnsi="Arial" w:eastAsia="Calibri" w:cs="Arial"/>
          <w:sz w:val="22"/>
        </w:rPr>
        <w:t>o después de terminadas las materias</w:t>
      </w:r>
      <w:r w:rsidRPr="005D4893">
        <w:rPr>
          <w:rFonts w:ascii="Arial" w:hAnsi="Arial" w:eastAsia="Calibri" w:cs="Arial"/>
          <w:sz w:val="22"/>
        </w:rPr>
        <w:t>. Ahora, si el estudiante no realiza ninguna práctica laboral para obtener un título, en los términos del artículo 15 de la Ley 1780 de 2016, se debe aplicar el Decreto</w:t>
      </w:r>
      <w:r w:rsidR="00524973">
        <w:rPr>
          <w:rFonts w:ascii="Arial" w:hAnsi="Arial" w:eastAsia="Calibri" w:cs="Arial"/>
          <w:sz w:val="22"/>
        </w:rPr>
        <w:t xml:space="preserve"> Ley</w:t>
      </w:r>
      <w:r w:rsidRPr="005D4893">
        <w:rPr>
          <w:rFonts w:ascii="Arial" w:hAnsi="Arial" w:eastAsia="Calibri" w:cs="Arial"/>
          <w:sz w:val="22"/>
        </w:rPr>
        <w:t xml:space="preserve"> 019 de 2012, y, por tanto, se contabiliza la experiencia profesional a partir de la terminación de </w:t>
      </w:r>
      <w:r>
        <w:rPr>
          <w:rFonts w:ascii="Arial" w:hAnsi="Arial" w:eastAsia="Calibri" w:cs="Arial"/>
          <w:sz w:val="22"/>
        </w:rPr>
        <w:t xml:space="preserve">las </w:t>
      </w:r>
      <w:r w:rsidRPr="005D4893">
        <w:rPr>
          <w:rFonts w:ascii="Arial" w:hAnsi="Arial" w:eastAsia="Calibri" w:cs="Arial"/>
          <w:sz w:val="22"/>
        </w:rPr>
        <w:t>materias.</w:t>
      </w:r>
    </w:p>
    <w:p w:rsidR="00D86BBF" w:rsidP="00D86BBF" w:rsidRDefault="00D86BBF" w14:paraId="23948BD5" w14:textId="77777777">
      <w:pPr>
        <w:spacing w:before="120" w:after="120" w:line="276" w:lineRule="auto"/>
        <w:ind w:right="51" w:firstLine="709"/>
        <w:jc w:val="both"/>
        <w:rPr>
          <w:rFonts w:ascii="Arial" w:hAnsi="Arial" w:eastAsia="Calibri" w:cs="Arial"/>
          <w:sz w:val="22"/>
        </w:rPr>
      </w:pPr>
      <w:r>
        <w:rPr>
          <w:rFonts w:ascii="Arial" w:hAnsi="Arial" w:eastAsia="Calibri" w:cs="Arial"/>
          <w:sz w:val="22"/>
        </w:rPr>
        <w:lastRenderedPageBreak/>
        <w:t>Ahora bien</w:t>
      </w:r>
      <w:r w:rsidRPr="005D4893">
        <w:rPr>
          <w:rFonts w:ascii="Arial" w:hAnsi="Arial" w:eastAsia="Calibri" w:cs="Arial"/>
          <w:sz w:val="22"/>
        </w:rPr>
        <w:t>, es importante señalar que el Decreto 1082 de 2015, en el artículo 2.2.1.2.1.4.9</w:t>
      </w:r>
      <w:r>
        <w:rPr>
          <w:rStyle w:val="Refdenotaalpie"/>
          <w:rFonts w:ascii="Arial" w:hAnsi="Arial" w:eastAsia="Calibri" w:cs="Arial"/>
          <w:sz w:val="22"/>
        </w:rPr>
        <w:footnoteReference w:id="5"/>
      </w:r>
      <w:r>
        <w:rPr>
          <w:rFonts w:ascii="Arial" w:hAnsi="Arial" w:eastAsia="Calibri" w:cs="Arial"/>
          <w:sz w:val="22"/>
        </w:rPr>
        <w:t xml:space="preserve">, establece que </w:t>
      </w:r>
      <w:r>
        <w:rPr>
          <w:rFonts w:ascii="Castellar" w:hAnsi="Castellar" w:eastAsia="Calibri" w:cs="Arial"/>
          <w:sz w:val="22"/>
        </w:rPr>
        <w:t>«</w:t>
      </w:r>
      <w:r w:rsidRPr="005D4893">
        <w:rPr>
          <w:rFonts w:ascii="Arial" w:hAnsi="Arial" w:eastAsia="Calibri" w:cs="Arial"/>
          <w:sz w:val="22"/>
        </w:rPr>
        <w:t>las Entidades Estatales pueden contratar bajo la modalidad de contratación directa la prestación de servicios profesionales y de apoyo a la gestión con la persona natural o jurídica que esté en capacidad de ejecutar el objeto del contrato, siempre y cuando la Entidad Estatal verifique la idoneidad o experiencia requerida y relacion</w:t>
      </w:r>
      <w:r>
        <w:rPr>
          <w:rFonts w:ascii="Arial" w:hAnsi="Arial" w:eastAsia="Calibri" w:cs="Arial"/>
          <w:sz w:val="22"/>
        </w:rPr>
        <w:t>ada con el área de que se trate»</w:t>
      </w:r>
      <w:r w:rsidRPr="005D4893">
        <w:rPr>
          <w:rFonts w:ascii="Arial" w:hAnsi="Arial" w:eastAsia="Calibri" w:cs="Arial"/>
          <w:sz w:val="22"/>
        </w:rPr>
        <w:t>. Por lo tanto, la entidad estatal debe verificar la idoneidad y la experiencia requerida para ejecutar el objeto del contrato de prestación de servicios.</w:t>
      </w:r>
    </w:p>
    <w:p w:rsidR="00D86BBF" w:rsidP="00D86BBF" w:rsidRDefault="00D86BBF" w14:paraId="14C53B61" w14:textId="619236D5">
      <w:pPr>
        <w:spacing w:before="120" w:after="120" w:line="276" w:lineRule="auto"/>
        <w:ind w:right="51" w:firstLine="709"/>
        <w:jc w:val="both"/>
        <w:rPr>
          <w:rFonts w:ascii="Arial" w:hAnsi="Arial" w:eastAsia="Calibri" w:cs="Arial"/>
          <w:sz w:val="22"/>
        </w:rPr>
      </w:pPr>
      <w:r w:rsidRPr="005D4893">
        <w:rPr>
          <w:rFonts w:ascii="Arial" w:hAnsi="Arial" w:eastAsia="Calibri" w:cs="Arial"/>
          <w:sz w:val="22"/>
        </w:rPr>
        <w:t>La Ley 190 de 1995, en el artículo 1</w:t>
      </w:r>
      <w:r>
        <w:rPr>
          <w:rStyle w:val="Refdenotaalpie"/>
          <w:rFonts w:ascii="Arial" w:hAnsi="Arial" w:eastAsia="Calibri" w:cs="Arial"/>
          <w:sz w:val="22"/>
        </w:rPr>
        <w:footnoteReference w:id="6"/>
      </w:r>
      <w:r w:rsidRPr="005D4893">
        <w:rPr>
          <w:rFonts w:ascii="Arial" w:hAnsi="Arial" w:eastAsia="Calibri" w:cs="Arial"/>
          <w:sz w:val="22"/>
        </w:rPr>
        <w:t>, establece que todo aspirante a celebrar un contrato de prestación de servicios debe presentar el formato único de hoja de vida, donde consigne la información completa que se solicita, como la formación académica, experiencia laboral, declarar la inexistencia de cualquier hecho o circunstancia que implique una inhabilidad o incompatibilidad.</w:t>
      </w:r>
    </w:p>
    <w:p w:rsidR="00D86BBF" w:rsidP="00D86BBF" w:rsidRDefault="00D86BBF" w14:paraId="6D83B946" w14:textId="414E6FBB">
      <w:pPr>
        <w:spacing w:before="120" w:after="120" w:line="276" w:lineRule="auto"/>
        <w:ind w:right="51" w:firstLine="709"/>
        <w:jc w:val="both"/>
        <w:rPr>
          <w:rFonts w:ascii="Arial" w:hAnsi="Arial" w:eastAsia="Calibri" w:cs="Arial"/>
          <w:sz w:val="22"/>
        </w:rPr>
      </w:pPr>
      <w:r w:rsidRPr="005D4893">
        <w:rPr>
          <w:rFonts w:ascii="Arial" w:hAnsi="Arial" w:eastAsia="Calibri" w:cs="Arial"/>
          <w:sz w:val="22"/>
        </w:rPr>
        <w:t>En relación con la exigencia de la tarjeta profesional para celebrar el contrato de prestación de servicios, el artículo 26 de la Co</w:t>
      </w:r>
      <w:r>
        <w:rPr>
          <w:rFonts w:ascii="Arial" w:hAnsi="Arial" w:eastAsia="Calibri" w:cs="Arial"/>
          <w:sz w:val="22"/>
        </w:rPr>
        <w:t xml:space="preserve">nstitución Política indica que: </w:t>
      </w:r>
      <w:r>
        <w:rPr>
          <w:rFonts w:ascii="Castellar" w:hAnsi="Castellar" w:eastAsia="Calibri" w:cs="Arial"/>
          <w:sz w:val="22"/>
        </w:rPr>
        <w:t>«</w:t>
      </w:r>
      <w:r w:rsidRPr="005D4893">
        <w:rPr>
          <w:rFonts w:ascii="Arial" w:hAnsi="Arial" w:eastAsia="Calibri" w:cs="Arial"/>
          <w:sz w:val="22"/>
        </w:rPr>
        <w:t>La Ley po</w:t>
      </w:r>
      <w:r>
        <w:rPr>
          <w:rFonts w:ascii="Arial" w:hAnsi="Arial" w:eastAsia="Calibri" w:cs="Arial"/>
          <w:sz w:val="22"/>
        </w:rPr>
        <w:t>drá exigir títulos de idoneidad»</w:t>
      </w:r>
      <w:r w:rsidRPr="005D4893">
        <w:rPr>
          <w:rFonts w:ascii="Arial" w:hAnsi="Arial" w:eastAsia="Calibri" w:cs="Arial"/>
          <w:sz w:val="22"/>
        </w:rPr>
        <w:t>. La Corte Constitucional</w:t>
      </w:r>
      <w:r>
        <w:rPr>
          <w:rFonts w:ascii="Arial" w:hAnsi="Arial" w:eastAsia="Calibri" w:cs="Arial"/>
          <w:sz w:val="22"/>
        </w:rPr>
        <w:t xml:space="preserve"> </w:t>
      </w:r>
      <w:r w:rsidRPr="005D4893">
        <w:rPr>
          <w:rFonts w:ascii="Arial" w:hAnsi="Arial" w:eastAsia="Calibri" w:cs="Arial"/>
          <w:sz w:val="22"/>
        </w:rPr>
        <w:t xml:space="preserve">explicó que la Constitución Política </w:t>
      </w:r>
      <w:r w:rsidRPr="005D4893">
        <w:rPr>
          <w:rFonts w:ascii="Arial" w:hAnsi="Arial" w:eastAsia="Calibri" w:cs="Arial"/>
          <w:sz w:val="22"/>
        </w:rPr>
        <w:lastRenderedPageBreak/>
        <w:t>autorizó al legislador para exigir determinados títulos de idoneidad a quienes quieren desempeñar actividades que impliquen riesgo social, con el objetivo de demostrar la adecuada aptitud del aspirante</w:t>
      </w:r>
      <w:r>
        <w:rPr>
          <w:rStyle w:val="Refdenotaalpie"/>
          <w:rFonts w:ascii="Arial" w:hAnsi="Arial" w:eastAsia="Calibri" w:cs="Arial"/>
          <w:sz w:val="22"/>
        </w:rPr>
        <w:footnoteReference w:id="7"/>
      </w:r>
      <w:r w:rsidRPr="005D4893">
        <w:rPr>
          <w:rFonts w:ascii="Arial" w:hAnsi="Arial" w:eastAsia="Calibri" w:cs="Arial"/>
          <w:sz w:val="22"/>
        </w:rPr>
        <w:t xml:space="preserve">. En este sentido, la </w:t>
      </w:r>
      <w:r w:rsidR="004B1B98">
        <w:rPr>
          <w:rFonts w:ascii="Arial" w:hAnsi="Arial" w:eastAsia="Calibri" w:cs="Arial"/>
          <w:sz w:val="22"/>
        </w:rPr>
        <w:t>l</w:t>
      </w:r>
      <w:r w:rsidRPr="005D4893">
        <w:rPr>
          <w:rFonts w:ascii="Arial" w:hAnsi="Arial" w:eastAsia="Calibri" w:cs="Arial"/>
          <w:sz w:val="22"/>
        </w:rPr>
        <w:t>ey, frente a personal de la correspondiente entidad, o ante determinadas profesiones</w:t>
      </w:r>
      <w:r w:rsidRPr="00AB681A">
        <w:rPr>
          <w:rFonts w:ascii="Arial" w:hAnsi="Arial" w:eastAsia="Calibri" w:cs="Arial"/>
          <w:sz w:val="22"/>
        </w:rPr>
        <w:t xml:space="preserve"> </w:t>
      </w:r>
      <w:r w:rsidRPr="005D4893">
        <w:rPr>
          <w:rFonts w:ascii="Arial" w:hAnsi="Arial" w:eastAsia="Calibri" w:cs="Arial"/>
          <w:sz w:val="22"/>
        </w:rPr>
        <w:t xml:space="preserve">que impliquen riesgo social, </w:t>
      </w:r>
      <w:r>
        <w:rPr>
          <w:rFonts w:ascii="Arial" w:hAnsi="Arial" w:eastAsia="Calibri" w:cs="Arial"/>
          <w:sz w:val="22"/>
        </w:rPr>
        <w:t>puede exigir</w:t>
      </w:r>
      <w:r w:rsidRPr="005D4893">
        <w:rPr>
          <w:rFonts w:ascii="Arial" w:hAnsi="Arial" w:eastAsia="Calibri" w:cs="Arial"/>
          <w:sz w:val="22"/>
        </w:rPr>
        <w:t xml:space="preserve"> el requisito de tarjeta profesional para garantizar la aptitud del aspirante.</w:t>
      </w:r>
    </w:p>
    <w:p w:rsidR="00D86BBF" w:rsidP="00D86BBF" w:rsidRDefault="00D86BBF" w14:paraId="7167A5BE" w14:textId="68293D8E">
      <w:pPr>
        <w:spacing w:before="120" w:after="120" w:line="276" w:lineRule="auto"/>
        <w:ind w:right="51" w:firstLine="708"/>
        <w:jc w:val="both"/>
        <w:rPr>
          <w:rFonts w:ascii="Arial" w:hAnsi="Arial" w:eastAsia="Calibri" w:cs="Arial"/>
          <w:sz w:val="22"/>
        </w:rPr>
      </w:pPr>
      <w:r>
        <w:rPr>
          <w:rFonts w:ascii="Arial" w:hAnsi="Arial" w:eastAsia="Calibri" w:cs="Arial"/>
          <w:sz w:val="22"/>
        </w:rPr>
        <w:t xml:space="preserve">A una similar conclusión se llega respecto de </w:t>
      </w:r>
      <w:r w:rsidRPr="005D4893">
        <w:rPr>
          <w:rFonts w:ascii="Arial" w:hAnsi="Arial" w:eastAsia="Calibri" w:cs="Arial"/>
          <w:sz w:val="22"/>
        </w:rPr>
        <w:t>la Ley 842 de 2003</w:t>
      </w:r>
      <w:r>
        <w:rPr>
          <w:rFonts w:ascii="Arial" w:hAnsi="Arial" w:eastAsia="Calibri" w:cs="Arial"/>
          <w:sz w:val="22"/>
        </w:rPr>
        <w:t xml:space="preserve"> –</w:t>
      </w:r>
      <w:r w:rsidRPr="005D4893">
        <w:rPr>
          <w:rFonts w:ascii="Arial" w:hAnsi="Arial" w:eastAsia="Calibri" w:cs="Arial"/>
          <w:sz w:val="22"/>
        </w:rPr>
        <w:t>normativa que regula el ejercicio de la ingeniería</w:t>
      </w:r>
      <w:r>
        <w:rPr>
          <w:rFonts w:ascii="Arial" w:hAnsi="Arial" w:eastAsia="Calibri" w:cs="Arial"/>
          <w:sz w:val="22"/>
        </w:rPr>
        <w:t>–</w:t>
      </w:r>
      <w:r w:rsidRPr="005D4893">
        <w:rPr>
          <w:rFonts w:ascii="Arial" w:hAnsi="Arial" w:eastAsia="Calibri" w:cs="Arial"/>
          <w:sz w:val="22"/>
        </w:rPr>
        <w:t xml:space="preserve">, </w:t>
      </w:r>
      <w:r>
        <w:rPr>
          <w:rFonts w:ascii="Arial" w:hAnsi="Arial" w:eastAsia="Calibri" w:cs="Arial"/>
          <w:sz w:val="22"/>
        </w:rPr>
        <w:t xml:space="preserve">la cual </w:t>
      </w:r>
      <w:r w:rsidRPr="005D4893">
        <w:rPr>
          <w:rFonts w:ascii="Arial" w:hAnsi="Arial" w:eastAsia="Calibri" w:cs="Arial"/>
          <w:sz w:val="22"/>
        </w:rPr>
        <w:t>establece en el artículo 6</w:t>
      </w:r>
      <w:r>
        <w:rPr>
          <w:rStyle w:val="Refdenotaalpie"/>
          <w:rFonts w:ascii="Arial" w:hAnsi="Arial" w:eastAsia="Calibri" w:cs="Arial"/>
          <w:sz w:val="22"/>
        </w:rPr>
        <w:footnoteReference w:id="8"/>
      </w:r>
      <w:r w:rsidRPr="005D4893">
        <w:rPr>
          <w:rFonts w:ascii="Arial" w:hAnsi="Arial" w:eastAsia="Calibri" w:cs="Arial"/>
          <w:sz w:val="22"/>
        </w:rPr>
        <w:t xml:space="preserve"> </w:t>
      </w:r>
      <w:proofErr w:type="gramStart"/>
      <w:r w:rsidRPr="005D4893">
        <w:rPr>
          <w:rFonts w:ascii="Arial" w:hAnsi="Arial" w:eastAsia="Calibri" w:cs="Arial"/>
          <w:sz w:val="22"/>
        </w:rPr>
        <w:t>que</w:t>
      </w:r>
      <w:proofErr w:type="gramEnd"/>
      <w:r w:rsidRPr="005D4893">
        <w:rPr>
          <w:rFonts w:ascii="Arial" w:hAnsi="Arial" w:eastAsia="Calibri" w:cs="Arial"/>
          <w:sz w:val="22"/>
        </w:rPr>
        <w:t xml:space="preserve"> para ejercer la ingeniería, sus profesiones afines o sus profesiones auxiliares en el territorio nacional, se requiere estar matriculado o inscrito en el </w:t>
      </w:r>
      <w:r>
        <w:rPr>
          <w:rFonts w:ascii="Arial" w:hAnsi="Arial" w:eastAsia="Calibri" w:cs="Arial"/>
          <w:sz w:val="22"/>
        </w:rPr>
        <w:t>r</w:t>
      </w:r>
      <w:r w:rsidRPr="005D4893">
        <w:rPr>
          <w:rFonts w:ascii="Arial" w:hAnsi="Arial" w:eastAsia="Calibri" w:cs="Arial"/>
          <w:sz w:val="22"/>
        </w:rPr>
        <w:t xml:space="preserve">egistro </w:t>
      </w:r>
      <w:r>
        <w:rPr>
          <w:rFonts w:ascii="Arial" w:hAnsi="Arial" w:eastAsia="Calibri" w:cs="Arial"/>
          <w:sz w:val="22"/>
        </w:rPr>
        <w:t>p</w:t>
      </w:r>
      <w:r w:rsidRPr="005D4893">
        <w:rPr>
          <w:rFonts w:ascii="Arial" w:hAnsi="Arial" w:eastAsia="Calibri" w:cs="Arial"/>
          <w:sz w:val="22"/>
        </w:rPr>
        <w:t xml:space="preserve">rofesional respectivo, que seguirá llevando el </w:t>
      </w:r>
      <w:proofErr w:type="spellStart"/>
      <w:r w:rsidRPr="005D4893">
        <w:rPr>
          <w:rFonts w:ascii="Arial" w:hAnsi="Arial" w:eastAsia="Calibri" w:cs="Arial"/>
          <w:sz w:val="22"/>
        </w:rPr>
        <w:t>Copnia</w:t>
      </w:r>
      <w:proofErr w:type="spellEnd"/>
      <w:r w:rsidRPr="005D4893">
        <w:rPr>
          <w:rFonts w:ascii="Arial" w:hAnsi="Arial" w:eastAsia="Calibri" w:cs="Arial"/>
          <w:sz w:val="22"/>
        </w:rPr>
        <w:t xml:space="preserve">, lo cual se acredita con la presentación de la tarjeta o documento adoptado por este para tal fin. En este caso, para el ejercicio de la profesión de ingeniería se requiere estar matriculado en el </w:t>
      </w:r>
      <w:r>
        <w:rPr>
          <w:rFonts w:ascii="Arial" w:hAnsi="Arial" w:eastAsia="Calibri" w:cs="Arial"/>
          <w:sz w:val="22"/>
        </w:rPr>
        <w:t>r</w:t>
      </w:r>
      <w:r w:rsidRPr="005D4893">
        <w:rPr>
          <w:rFonts w:ascii="Arial" w:hAnsi="Arial" w:eastAsia="Calibri" w:cs="Arial"/>
          <w:sz w:val="22"/>
        </w:rPr>
        <w:t xml:space="preserve">egistro </w:t>
      </w:r>
      <w:r>
        <w:rPr>
          <w:rFonts w:ascii="Arial" w:hAnsi="Arial" w:eastAsia="Calibri" w:cs="Arial"/>
          <w:sz w:val="22"/>
        </w:rPr>
        <w:t>p</w:t>
      </w:r>
      <w:r w:rsidRPr="005D4893">
        <w:rPr>
          <w:rFonts w:ascii="Arial" w:hAnsi="Arial" w:eastAsia="Calibri" w:cs="Arial"/>
          <w:sz w:val="22"/>
        </w:rPr>
        <w:t>rofesional, lo cual se acredita con la presentación de la tarjeta profesional</w:t>
      </w:r>
      <w:r>
        <w:rPr>
          <w:rFonts w:ascii="Arial" w:hAnsi="Arial" w:eastAsia="Calibri" w:cs="Arial"/>
          <w:sz w:val="22"/>
        </w:rPr>
        <w:t>.</w:t>
      </w:r>
      <w:r w:rsidRPr="005D4893">
        <w:rPr>
          <w:rFonts w:ascii="Arial" w:hAnsi="Arial" w:eastAsia="Calibri" w:cs="Arial"/>
          <w:sz w:val="22"/>
        </w:rPr>
        <w:t xml:space="preserve"> </w:t>
      </w:r>
      <w:r>
        <w:rPr>
          <w:rFonts w:ascii="Arial" w:hAnsi="Arial" w:eastAsia="Calibri" w:cs="Arial"/>
          <w:sz w:val="22"/>
        </w:rPr>
        <w:t>P</w:t>
      </w:r>
      <w:r w:rsidRPr="005D4893">
        <w:rPr>
          <w:rFonts w:ascii="Arial" w:hAnsi="Arial" w:eastAsia="Calibri" w:cs="Arial"/>
          <w:sz w:val="22"/>
        </w:rPr>
        <w:t>or lo tanto, la entidad estatal debe verificar que se aporte la tarjeta profesional para la celebración del contrato estatal.</w:t>
      </w:r>
    </w:p>
    <w:p w:rsidR="00D86BBF" w:rsidP="004019D5" w:rsidRDefault="00D86BBF" w14:paraId="304E58D8" w14:textId="71366728">
      <w:pPr>
        <w:spacing w:after="120" w:line="276" w:lineRule="auto"/>
        <w:ind w:right="51" w:firstLine="709"/>
        <w:jc w:val="both"/>
        <w:rPr>
          <w:rFonts w:ascii="Arial" w:hAnsi="Arial" w:eastAsia="Calibri" w:cs="Arial"/>
          <w:sz w:val="22"/>
        </w:rPr>
      </w:pPr>
      <w:r>
        <w:rPr>
          <w:rFonts w:ascii="Arial" w:hAnsi="Arial" w:eastAsia="Calibri" w:cs="Arial"/>
          <w:sz w:val="22"/>
        </w:rPr>
        <w:t>Si</w:t>
      </w:r>
      <w:r w:rsidRPr="005D4893">
        <w:rPr>
          <w:rFonts w:ascii="Arial" w:hAnsi="Arial" w:eastAsia="Calibri" w:cs="Arial"/>
          <w:sz w:val="22"/>
        </w:rPr>
        <w:t xml:space="preserve"> bien </w:t>
      </w:r>
      <w:r>
        <w:rPr>
          <w:rFonts w:ascii="Arial" w:hAnsi="Arial" w:eastAsia="Calibri" w:cs="Arial"/>
          <w:sz w:val="22"/>
        </w:rPr>
        <w:t>la entidad</w:t>
      </w:r>
      <w:r w:rsidRPr="005D4893">
        <w:rPr>
          <w:rFonts w:ascii="Arial" w:hAnsi="Arial" w:eastAsia="Calibri" w:cs="Arial"/>
          <w:sz w:val="22"/>
        </w:rPr>
        <w:t xml:space="preserve"> </w:t>
      </w:r>
      <w:r>
        <w:rPr>
          <w:rFonts w:ascii="Arial" w:hAnsi="Arial" w:eastAsia="Calibri" w:cs="Arial"/>
          <w:sz w:val="22"/>
        </w:rPr>
        <w:t>debe solicitar</w:t>
      </w:r>
      <w:r w:rsidRPr="005D4893">
        <w:rPr>
          <w:rFonts w:ascii="Arial" w:hAnsi="Arial" w:eastAsia="Calibri" w:cs="Arial"/>
          <w:sz w:val="22"/>
        </w:rPr>
        <w:t xml:space="preserve"> la tarjeta profesional para </w:t>
      </w:r>
      <w:r w:rsidR="008F5FB6">
        <w:rPr>
          <w:rFonts w:ascii="Arial" w:hAnsi="Arial" w:eastAsia="Calibri" w:cs="Arial"/>
          <w:sz w:val="22"/>
        </w:rPr>
        <w:t>c</w:t>
      </w:r>
      <w:r w:rsidRPr="005D4893">
        <w:rPr>
          <w:rFonts w:ascii="Arial" w:hAnsi="Arial" w:eastAsia="Calibri" w:cs="Arial"/>
          <w:sz w:val="22"/>
        </w:rPr>
        <w:t>elebra</w:t>
      </w:r>
      <w:r w:rsidR="008F5FB6">
        <w:rPr>
          <w:rFonts w:ascii="Arial" w:hAnsi="Arial" w:eastAsia="Calibri" w:cs="Arial"/>
          <w:sz w:val="22"/>
        </w:rPr>
        <w:t>r</w:t>
      </w:r>
      <w:r w:rsidRPr="005D4893">
        <w:rPr>
          <w:rFonts w:ascii="Arial" w:hAnsi="Arial" w:eastAsia="Calibri" w:cs="Arial"/>
          <w:sz w:val="22"/>
        </w:rPr>
        <w:t xml:space="preserve"> el contrato de prestació</w:t>
      </w:r>
      <w:r>
        <w:rPr>
          <w:rFonts w:ascii="Arial" w:hAnsi="Arial" w:eastAsia="Calibri" w:cs="Arial"/>
          <w:sz w:val="22"/>
        </w:rPr>
        <w:t xml:space="preserve">n de servicios </w:t>
      </w:r>
      <w:r w:rsidR="008F5FB6">
        <w:rPr>
          <w:rFonts w:ascii="Arial" w:hAnsi="Arial" w:eastAsia="Calibri" w:cs="Arial"/>
          <w:sz w:val="22"/>
        </w:rPr>
        <w:t xml:space="preserve">profesionales </w:t>
      </w:r>
      <w:r>
        <w:rPr>
          <w:rFonts w:ascii="Arial" w:hAnsi="Arial" w:eastAsia="Calibri" w:cs="Arial"/>
          <w:sz w:val="22"/>
        </w:rPr>
        <w:t xml:space="preserve">con un ingeniero, </w:t>
      </w:r>
      <w:r w:rsidRPr="005D4893">
        <w:rPr>
          <w:rFonts w:ascii="Arial" w:hAnsi="Arial" w:eastAsia="Calibri" w:cs="Arial"/>
          <w:sz w:val="22"/>
        </w:rPr>
        <w:t>para el c</w:t>
      </w:r>
      <w:r>
        <w:rPr>
          <w:rFonts w:ascii="Arial" w:hAnsi="Arial" w:eastAsia="Calibri" w:cs="Arial"/>
          <w:sz w:val="22"/>
        </w:rPr>
        <w:t>ómputo</w:t>
      </w:r>
      <w:r w:rsidRPr="005D4893">
        <w:rPr>
          <w:rFonts w:ascii="Arial" w:hAnsi="Arial" w:eastAsia="Calibri" w:cs="Arial"/>
          <w:sz w:val="22"/>
        </w:rPr>
        <w:t xml:space="preserve"> de la </w:t>
      </w:r>
      <w:r>
        <w:rPr>
          <w:rFonts w:ascii="Arial" w:hAnsi="Arial" w:eastAsia="Calibri" w:cs="Arial"/>
          <w:sz w:val="22"/>
        </w:rPr>
        <w:t>experiencia de estos profesionales</w:t>
      </w:r>
      <w:r w:rsidRPr="005D4893">
        <w:rPr>
          <w:rFonts w:ascii="Arial" w:hAnsi="Arial" w:eastAsia="Calibri" w:cs="Arial"/>
          <w:sz w:val="22"/>
        </w:rPr>
        <w:t xml:space="preserve"> no se requiere la presentación de la tarjeta profesional, </w:t>
      </w:r>
      <w:r>
        <w:rPr>
          <w:rFonts w:ascii="Arial" w:hAnsi="Arial" w:eastAsia="Calibri" w:cs="Arial"/>
          <w:sz w:val="22"/>
        </w:rPr>
        <w:t>pues conforme lo establecido con el Decreto Ley 019 de 2012, el cómputo de aquella se realiza a partir de la terminación y aprobación del p</w:t>
      </w:r>
      <w:r w:rsidR="008F5FB6">
        <w:rPr>
          <w:rFonts w:ascii="Arial" w:hAnsi="Arial" w:eastAsia="Calibri" w:cs="Arial"/>
          <w:sz w:val="22"/>
        </w:rPr>
        <w:t>é</w:t>
      </w:r>
      <w:r>
        <w:rPr>
          <w:rFonts w:ascii="Arial" w:hAnsi="Arial" w:eastAsia="Calibri" w:cs="Arial"/>
          <w:sz w:val="22"/>
        </w:rPr>
        <w:t xml:space="preserve">nsum académico de educación superior, sin perjuicio de lo establecido en el </w:t>
      </w:r>
      <w:r w:rsidRPr="005D4893">
        <w:rPr>
          <w:rFonts w:ascii="Arial" w:hAnsi="Arial" w:eastAsia="Calibri" w:cs="Arial"/>
          <w:sz w:val="22"/>
        </w:rPr>
        <w:t>artículo 192 de la Ley 1955 de 2019</w:t>
      </w:r>
      <w:r>
        <w:rPr>
          <w:rFonts w:ascii="Arial" w:hAnsi="Arial" w:eastAsia="Calibri" w:cs="Arial"/>
          <w:sz w:val="22"/>
        </w:rPr>
        <w:t>, tal como se explicó.</w:t>
      </w:r>
    </w:p>
    <w:p w:rsidR="008F5FB6" w:rsidP="00D86BBF" w:rsidRDefault="008F5FB6" w14:paraId="6BB5093C" w14:textId="7D3058F4">
      <w:pPr>
        <w:spacing w:line="276" w:lineRule="auto"/>
        <w:ind w:right="51" w:firstLine="708"/>
        <w:jc w:val="both"/>
        <w:rPr>
          <w:rFonts w:ascii="Arial" w:hAnsi="Arial" w:eastAsia="Calibri" w:cs="Arial"/>
          <w:sz w:val="22"/>
        </w:rPr>
      </w:pPr>
      <w:r>
        <w:rPr>
          <w:rFonts w:ascii="Arial" w:hAnsi="Arial" w:eastAsia="Calibri" w:cs="Arial"/>
          <w:sz w:val="22"/>
        </w:rPr>
        <w:lastRenderedPageBreak/>
        <w:t xml:space="preserve">No </w:t>
      </w:r>
      <w:proofErr w:type="gramStart"/>
      <w:r>
        <w:rPr>
          <w:rFonts w:ascii="Arial" w:hAnsi="Arial" w:eastAsia="Calibri" w:cs="Arial"/>
          <w:sz w:val="22"/>
        </w:rPr>
        <w:t>obstante</w:t>
      </w:r>
      <w:proofErr w:type="gramEnd"/>
      <w:r>
        <w:rPr>
          <w:rFonts w:ascii="Arial" w:hAnsi="Arial" w:eastAsia="Calibri" w:cs="Arial"/>
          <w:sz w:val="22"/>
        </w:rPr>
        <w:t xml:space="preserve"> lo establecido en los dos párrafos anteriores, respecto a la presentación de la tarjeta profesional, se debe tener en cuenta que este requisito también se puede acreditar de conformidad con lo prescrito en el artículo 18 del Decreto 2106 de 2019 “</w:t>
      </w:r>
      <w:r w:rsidRPr="004019D5">
        <w:rPr>
          <w:rFonts w:ascii="Arial" w:hAnsi="Arial" w:eastAsia="Calibri" w:cs="Arial"/>
          <w:sz w:val="22"/>
        </w:rPr>
        <w:t>Por el cual se dictan normas para simplificar, suprimir y reformar trámites, procesos y procedimientos innecesarios existentes en la administración pública</w:t>
      </w:r>
      <w:r>
        <w:rPr>
          <w:rFonts w:ascii="Arial" w:hAnsi="Arial" w:eastAsia="Calibri" w:cs="Arial"/>
          <w:sz w:val="22"/>
        </w:rPr>
        <w:t>”, que establece:</w:t>
      </w:r>
    </w:p>
    <w:p w:rsidR="008F5FB6" w:rsidP="00D86BBF" w:rsidRDefault="008F5FB6" w14:paraId="42D177FC" w14:textId="78F4D563">
      <w:pPr>
        <w:spacing w:line="276" w:lineRule="auto"/>
        <w:ind w:right="51" w:firstLine="708"/>
        <w:jc w:val="both"/>
        <w:rPr>
          <w:rFonts w:ascii="Arial" w:hAnsi="Arial" w:eastAsia="Calibri" w:cs="Arial"/>
          <w:sz w:val="22"/>
        </w:rPr>
      </w:pPr>
    </w:p>
    <w:p w:rsidRPr="004019D5" w:rsidR="008F5FB6" w:rsidP="004019D5" w:rsidRDefault="008F5FB6" w14:paraId="7E7DF658" w14:textId="55EFF96B">
      <w:pPr>
        <w:ind w:left="709" w:right="709"/>
        <w:jc w:val="both"/>
        <w:rPr>
          <w:rFonts w:ascii="Arial" w:hAnsi="Arial" w:eastAsia="Calibri" w:cs="Arial"/>
          <w:sz w:val="21"/>
          <w:szCs w:val="21"/>
        </w:rPr>
      </w:pPr>
      <w:r w:rsidRPr="004019D5">
        <w:rPr>
          <w:rFonts w:ascii="Arial" w:hAnsi="Arial" w:eastAsia="Calibri" w:cs="Arial"/>
          <w:sz w:val="21"/>
          <w:szCs w:val="21"/>
        </w:rPr>
        <w:t>A</w:t>
      </w:r>
      <w:r w:rsidR="000775DB">
        <w:rPr>
          <w:rFonts w:ascii="Arial" w:hAnsi="Arial" w:eastAsia="Calibri" w:cs="Arial"/>
          <w:sz w:val="21"/>
          <w:szCs w:val="21"/>
        </w:rPr>
        <w:t xml:space="preserve">rtículo </w:t>
      </w:r>
      <w:r w:rsidRPr="004019D5">
        <w:rPr>
          <w:rFonts w:ascii="Arial" w:hAnsi="Arial" w:eastAsia="Calibri" w:cs="Arial"/>
          <w:sz w:val="21"/>
          <w:szCs w:val="21"/>
        </w:rPr>
        <w:t>18. Registro público de profesionales, ocupaciones y oficios. Las autoridades que cumplan la función de acreditar títulos de idoneidad para las profesiones, ocupaciones u oficios exigidos por la ley, constituirán un registro de datos centralizado, público y de consulta gratuita, con la información de los ciudadanos matriculados o de las solicitudes que se encuentren en trámite. Lo anterior, bajo los principios y reglas de protección de datos personales señaladas, entre otras, en las Leyes 1581 de 2012 y 1712 de 2014.</w:t>
      </w:r>
    </w:p>
    <w:p w:rsidRPr="004019D5" w:rsidR="008F5FB6" w:rsidP="004019D5" w:rsidRDefault="008F5FB6" w14:paraId="41607AC4" w14:textId="77777777">
      <w:pPr>
        <w:ind w:left="709" w:right="709" w:firstLine="709"/>
        <w:jc w:val="both"/>
        <w:rPr>
          <w:rFonts w:ascii="Arial" w:hAnsi="Arial" w:eastAsia="Calibri" w:cs="Arial"/>
          <w:sz w:val="21"/>
          <w:szCs w:val="21"/>
        </w:rPr>
      </w:pPr>
    </w:p>
    <w:p w:rsidRPr="004019D5" w:rsidR="008F5FB6" w:rsidP="004019D5" w:rsidRDefault="008F5FB6" w14:paraId="74313DF1" w14:textId="2F534B42">
      <w:pPr>
        <w:ind w:left="709" w:right="709"/>
        <w:jc w:val="both"/>
        <w:rPr>
          <w:rFonts w:ascii="Arial" w:hAnsi="Arial" w:eastAsia="Calibri" w:cs="Arial"/>
          <w:sz w:val="21"/>
          <w:szCs w:val="21"/>
        </w:rPr>
      </w:pPr>
      <w:r w:rsidRPr="004019D5">
        <w:rPr>
          <w:rFonts w:ascii="Arial" w:hAnsi="Arial" w:eastAsia="Calibri" w:cs="Arial"/>
          <w:sz w:val="21"/>
          <w:szCs w:val="21"/>
        </w:rPr>
        <w:t>La consulta de los registros públicos por parte de las autoridades que requieren la información para la gestión de un trámite, vinculación a un cargo público o para suscribir contratos con el Estado, exime a los ciudadanos de aportar la tarjeta profesional física o cualquier medio de acreditación.</w:t>
      </w:r>
    </w:p>
    <w:p w:rsidRPr="004019D5" w:rsidR="008F5FB6" w:rsidP="004019D5" w:rsidRDefault="008F5FB6" w14:paraId="68A24289" w14:textId="77777777">
      <w:pPr>
        <w:ind w:left="709" w:right="709" w:firstLine="709"/>
        <w:jc w:val="both"/>
        <w:rPr>
          <w:rFonts w:ascii="Arial" w:hAnsi="Arial" w:eastAsia="Calibri" w:cs="Arial"/>
          <w:sz w:val="21"/>
          <w:szCs w:val="21"/>
        </w:rPr>
      </w:pPr>
    </w:p>
    <w:p w:rsidR="008F5FB6" w:rsidP="000775DB" w:rsidRDefault="008F5FB6" w14:paraId="63AB24CF" w14:textId="628F1D9A">
      <w:pPr>
        <w:ind w:left="709" w:right="709"/>
        <w:jc w:val="both"/>
        <w:rPr>
          <w:rFonts w:ascii="Arial" w:hAnsi="Arial" w:eastAsia="Calibri" w:cs="Arial"/>
          <w:sz w:val="21"/>
          <w:szCs w:val="21"/>
        </w:rPr>
      </w:pPr>
      <w:r w:rsidRPr="004019D5">
        <w:rPr>
          <w:rFonts w:ascii="Arial" w:hAnsi="Arial" w:eastAsia="Calibri" w:cs="Arial"/>
          <w:sz w:val="21"/>
          <w:szCs w:val="21"/>
        </w:rPr>
        <w:t xml:space="preserve">PARÁGRAFO. Las autoridades encargadas de llevar los registros de que trata este </w:t>
      </w:r>
      <w:proofErr w:type="gramStart"/>
      <w:r w:rsidRPr="004019D5">
        <w:rPr>
          <w:rFonts w:ascii="Arial" w:hAnsi="Arial" w:eastAsia="Calibri" w:cs="Arial"/>
          <w:sz w:val="21"/>
          <w:szCs w:val="21"/>
        </w:rPr>
        <w:t>artículo,</w:t>
      </w:r>
      <w:proofErr w:type="gramEnd"/>
      <w:r w:rsidRPr="004019D5">
        <w:rPr>
          <w:rFonts w:ascii="Arial" w:hAnsi="Arial" w:eastAsia="Calibri" w:cs="Arial"/>
          <w:sz w:val="21"/>
          <w:szCs w:val="21"/>
        </w:rPr>
        <w:t xml:space="preserve"> deberán integrarse al servicio ciudadano digital de interoperabilidad, en los términos establecidos por el Ministerio de Tecnologías de la Información y las Comunicaciones.</w:t>
      </w:r>
    </w:p>
    <w:p w:rsidRPr="004019D5" w:rsidR="000775DB" w:rsidP="004019D5" w:rsidRDefault="000775DB" w14:paraId="276F95BB" w14:textId="77777777">
      <w:pPr>
        <w:ind w:left="709" w:right="709"/>
        <w:jc w:val="both"/>
        <w:rPr>
          <w:rFonts w:ascii="Arial" w:hAnsi="Arial" w:eastAsia="Calibri" w:cs="Arial"/>
          <w:sz w:val="21"/>
          <w:szCs w:val="21"/>
        </w:rPr>
      </w:pPr>
    </w:p>
    <w:p w:rsidR="00D86BBF" w:rsidP="00D86BBF" w:rsidRDefault="000775DB" w14:paraId="48B322D2" w14:textId="1ACD4E0C">
      <w:pPr>
        <w:spacing w:before="120" w:after="120" w:line="276" w:lineRule="auto"/>
        <w:ind w:right="51" w:firstLine="709"/>
        <w:jc w:val="both"/>
        <w:rPr>
          <w:rFonts w:ascii="Arial" w:hAnsi="Arial" w:eastAsia="Calibri" w:cs="Arial"/>
          <w:sz w:val="22"/>
        </w:rPr>
      </w:pPr>
      <w:r>
        <w:rPr>
          <w:rFonts w:ascii="Arial" w:hAnsi="Arial" w:eastAsia="Calibri" w:cs="Arial"/>
          <w:sz w:val="22"/>
        </w:rPr>
        <w:t>Las consideraciones anteriores</w:t>
      </w:r>
      <w:r w:rsidR="00D86BBF">
        <w:rPr>
          <w:rFonts w:ascii="Arial" w:hAnsi="Arial" w:eastAsia="Calibri" w:cs="Arial"/>
          <w:sz w:val="22"/>
        </w:rPr>
        <w:t xml:space="preserve"> no contradice</w:t>
      </w:r>
      <w:r>
        <w:rPr>
          <w:rFonts w:ascii="Arial" w:hAnsi="Arial" w:eastAsia="Calibri" w:cs="Arial"/>
          <w:sz w:val="22"/>
        </w:rPr>
        <w:t>n</w:t>
      </w:r>
      <w:r w:rsidR="00D86BBF">
        <w:rPr>
          <w:rFonts w:ascii="Arial" w:hAnsi="Arial" w:eastAsia="Calibri" w:cs="Arial"/>
          <w:sz w:val="22"/>
        </w:rPr>
        <w:t xml:space="preserve"> lo establecido en la Circular Externa Única de la Agencia Nacional de Contratación Pública </w:t>
      </w:r>
      <w:r w:rsidRPr="004019D5" w:rsidR="008F5FB6">
        <w:rPr>
          <w:rFonts w:ascii="Arial" w:hAnsi="Arial" w:eastAsia="Calibri" w:cs="Arial"/>
          <w:bCs/>
          <w:sz w:val="22"/>
        </w:rPr>
        <w:t>–</w:t>
      </w:r>
      <w:r w:rsidR="008F5FB6">
        <w:rPr>
          <w:rFonts w:ascii="Arial" w:hAnsi="Arial" w:eastAsia="Calibri" w:cs="Arial"/>
          <w:b/>
          <w:sz w:val="22"/>
        </w:rPr>
        <w:t xml:space="preserve"> </w:t>
      </w:r>
      <w:r w:rsidR="00D86BBF">
        <w:rPr>
          <w:rFonts w:ascii="Arial" w:hAnsi="Arial" w:eastAsia="Calibri" w:cs="Arial"/>
          <w:sz w:val="22"/>
        </w:rPr>
        <w:t>Colombia Compra Eficiente</w:t>
      </w:r>
      <w:r w:rsidRPr="004019D5" w:rsidR="00D86BBF">
        <w:rPr>
          <w:rFonts w:ascii="Arial" w:hAnsi="Arial" w:eastAsia="Calibri" w:cs="Arial"/>
          <w:bCs/>
          <w:sz w:val="22"/>
        </w:rPr>
        <w:t>,</w:t>
      </w:r>
      <w:r w:rsidR="00D86BBF">
        <w:rPr>
          <w:rFonts w:ascii="Arial" w:hAnsi="Arial" w:eastAsia="Calibri" w:cs="Arial"/>
          <w:b/>
          <w:sz w:val="22"/>
        </w:rPr>
        <w:t xml:space="preserve"> </w:t>
      </w:r>
      <w:r w:rsidR="00D86BBF">
        <w:rPr>
          <w:rFonts w:ascii="Arial" w:hAnsi="Arial" w:eastAsia="Calibri" w:cs="Arial"/>
          <w:sz w:val="22"/>
        </w:rPr>
        <w:t xml:space="preserve">en relación con el cómputo de la experiencia profesional de </w:t>
      </w:r>
      <w:r>
        <w:rPr>
          <w:rFonts w:ascii="Arial" w:hAnsi="Arial" w:eastAsia="Calibri" w:cs="Arial"/>
          <w:sz w:val="22"/>
        </w:rPr>
        <w:t xml:space="preserve">los </w:t>
      </w:r>
      <w:r w:rsidR="00D86BBF">
        <w:rPr>
          <w:rFonts w:ascii="Arial" w:hAnsi="Arial" w:eastAsia="Calibri" w:cs="Arial"/>
          <w:sz w:val="22"/>
        </w:rPr>
        <w:t>ingenieros, por dos razones principales: la primera, porque el párrafo primero del numeral 9.2</w:t>
      </w:r>
      <w:r w:rsidR="00D86BBF">
        <w:rPr>
          <w:rStyle w:val="Refdenotaalpie"/>
          <w:rFonts w:ascii="Arial" w:hAnsi="Arial" w:eastAsia="Calibri" w:cs="Arial"/>
          <w:sz w:val="22"/>
        </w:rPr>
        <w:footnoteReference w:id="9"/>
      </w:r>
      <w:r w:rsidR="00D86BBF">
        <w:rPr>
          <w:rFonts w:ascii="Arial" w:hAnsi="Arial" w:eastAsia="Calibri" w:cs="Arial"/>
          <w:sz w:val="22"/>
        </w:rPr>
        <w:t xml:space="preserve"> estableció como norma rectora del cómputo de la experiencia profesional el artículo 229 del Decreto 019 de 2012, de modo que esta es la regla general para contabilizar la experiencia profesional, salvo lo dispuesto para las áreas de la salud. </w:t>
      </w:r>
    </w:p>
    <w:p w:rsidRPr="00BB7F22" w:rsidR="00D86BBF" w:rsidP="00D86BBF" w:rsidRDefault="00D86BBF" w14:paraId="1B4BAFA7" w14:textId="67A5B24E">
      <w:pPr>
        <w:spacing w:before="120" w:after="120" w:line="276" w:lineRule="auto"/>
        <w:ind w:right="51" w:firstLine="709"/>
        <w:jc w:val="both"/>
        <w:rPr>
          <w:rFonts w:ascii="Arial" w:hAnsi="Arial" w:eastAsia="Calibri" w:cs="Arial"/>
          <w:sz w:val="22"/>
        </w:rPr>
      </w:pPr>
      <w:r w:rsidRPr="00BB7F22">
        <w:rPr>
          <w:rFonts w:ascii="Arial" w:hAnsi="Arial" w:eastAsia="Calibri" w:cs="Arial"/>
          <w:sz w:val="22"/>
        </w:rPr>
        <w:t xml:space="preserve">Segundo, porque en </w:t>
      </w:r>
      <w:r w:rsidRPr="00BB7F22">
        <w:rPr>
          <w:rFonts w:ascii="Arial" w:hAnsi="Arial" w:cs="Arial"/>
          <w:sz w:val="22"/>
        </w:rPr>
        <w:t>relación con el conteo de la experiencia profesional de ingeniería previsto en el párrafo segundo del numeral citado</w:t>
      </w:r>
      <w:r w:rsidRPr="00BB7F22">
        <w:rPr>
          <w:rStyle w:val="Refdenotaalpie"/>
          <w:rFonts w:ascii="Arial" w:hAnsi="Arial" w:eastAsia="Calibri" w:cs="Arial"/>
          <w:sz w:val="22"/>
        </w:rPr>
        <w:footnoteReference w:id="10"/>
      </w:r>
      <w:r>
        <w:rPr>
          <w:rFonts w:ascii="Arial" w:hAnsi="Arial" w:cs="Arial"/>
          <w:sz w:val="22"/>
        </w:rPr>
        <w:t>,</w:t>
      </w:r>
      <w:r w:rsidRPr="00BB7F22">
        <w:rPr>
          <w:rFonts w:ascii="Arial" w:hAnsi="Arial" w:cs="Arial"/>
          <w:sz w:val="22"/>
        </w:rPr>
        <w:t xml:space="preserve"> es claro que, la Circular fijó </w:t>
      </w:r>
      <w:r w:rsidRPr="00BB7F22">
        <w:rPr>
          <w:rFonts w:ascii="Arial" w:hAnsi="Arial" w:cs="Arial"/>
          <w:sz w:val="22"/>
        </w:rPr>
        <w:lastRenderedPageBreak/>
        <w:t xml:space="preserve">esta subregla sin que </w:t>
      </w:r>
      <w:r w:rsidR="000775DB">
        <w:rPr>
          <w:rFonts w:ascii="Arial" w:hAnsi="Arial" w:cs="Arial"/>
          <w:sz w:val="22"/>
        </w:rPr>
        <w:t xml:space="preserve">se pueda </w:t>
      </w:r>
      <w:r w:rsidRPr="00BB7F22">
        <w:rPr>
          <w:rFonts w:ascii="Arial" w:hAnsi="Arial" w:cs="Arial"/>
          <w:sz w:val="22"/>
        </w:rPr>
        <w:t>colegir que este evento es una contradicción o contraposición a la regla rectora del Decreto 019 de 2012, pues lo que establece es que siempre que exista una norma especial que regule esta materia debe remitirse a ella</w:t>
      </w:r>
      <w:r>
        <w:rPr>
          <w:rFonts w:ascii="Arial" w:hAnsi="Arial" w:cs="Arial"/>
          <w:sz w:val="22"/>
        </w:rPr>
        <w:t>.</w:t>
      </w:r>
      <w:r w:rsidRPr="00BB7F22">
        <w:rPr>
          <w:rFonts w:ascii="Arial" w:hAnsi="Arial" w:cs="Arial"/>
          <w:sz w:val="22"/>
        </w:rPr>
        <w:t xml:space="preserve"> </w:t>
      </w:r>
      <w:r>
        <w:rPr>
          <w:rFonts w:ascii="Arial" w:hAnsi="Arial" w:cs="Arial"/>
          <w:sz w:val="22"/>
        </w:rPr>
        <w:t>S</w:t>
      </w:r>
      <w:r w:rsidRPr="00BB7F22">
        <w:rPr>
          <w:rFonts w:ascii="Arial" w:hAnsi="Arial" w:cs="Arial"/>
          <w:sz w:val="22"/>
        </w:rPr>
        <w:t>in embargo, como la norma de la Ley 84</w:t>
      </w:r>
      <w:r>
        <w:rPr>
          <w:rFonts w:ascii="Arial" w:hAnsi="Arial" w:cs="Arial"/>
          <w:sz w:val="22"/>
        </w:rPr>
        <w:t>2</w:t>
      </w:r>
      <w:r w:rsidRPr="00BB7F22">
        <w:rPr>
          <w:rFonts w:ascii="Arial" w:hAnsi="Arial" w:cs="Arial"/>
          <w:sz w:val="22"/>
        </w:rPr>
        <w:t xml:space="preserve"> de 2003 fue derogada tácitamente por el Decreto Ley 019 de 2012, en este momento no existe en el ordenamiento una norma jurídica especial en materia de acreditación de experiencia de profesionales de ingeniería, que ofrezca parámetros distintos a los consagrados en el Decreto 019 de 2012, para el cómputo de la experiencia profesional.</w:t>
      </w:r>
    </w:p>
    <w:p w:rsidRPr="005D4893" w:rsidR="00D86BBF" w:rsidP="00D86BBF" w:rsidRDefault="00D86BBF" w14:paraId="419E5995" w14:textId="3BAF1765">
      <w:pPr>
        <w:spacing w:before="120" w:after="120" w:line="276" w:lineRule="auto"/>
        <w:ind w:right="51" w:firstLine="709"/>
        <w:jc w:val="both"/>
        <w:rPr>
          <w:rFonts w:ascii="Arial" w:hAnsi="Arial" w:eastAsia="Calibri" w:cs="Arial"/>
          <w:sz w:val="22"/>
        </w:rPr>
      </w:pPr>
      <w:r w:rsidRPr="005D4893">
        <w:rPr>
          <w:rFonts w:ascii="Arial" w:hAnsi="Arial" w:eastAsia="Calibri" w:cs="Arial"/>
          <w:sz w:val="22"/>
        </w:rPr>
        <w:t>Por lo tanto, la exigencia de la tarjeta profesional por parte de las entidades estatales no se requiere para contar la experiencia profesional, salv</w:t>
      </w:r>
      <w:r>
        <w:rPr>
          <w:rFonts w:ascii="Arial" w:hAnsi="Arial" w:eastAsia="Calibri" w:cs="Arial"/>
          <w:sz w:val="22"/>
        </w:rPr>
        <w:t>o para las profesiones de salud y para aquellas profesiones o disciplinas que tengan vigente regulación específica en materia de acreditación de experiencia, que sea posterior al Decreto 019 de 2012.</w:t>
      </w:r>
      <w:r w:rsidRPr="005D4893">
        <w:rPr>
          <w:rFonts w:ascii="Arial" w:hAnsi="Arial" w:eastAsia="Calibri" w:cs="Arial"/>
          <w:sz w:val="22"/>
        </w:rPr>
        <w:t xml:space="preserve"> </w:t>
      </w:r>
      <w:r w:rsidR="000775DB">
        <w:rPr>
          <w:rFonts w:ascii="Arial" w:hAnsi="Arial" w:eastAsia="Calibri" w:cs="Arial"/>
          <w:sz w:val="22"/>
        </w:rPr>
        <w:t>Y lo anterior sin perjuicio de la posibilidad de cumplir el requisito de la tarjeta profesional de conformidad con el artículo 18 del Decreto 2106 de 2019.</w:t>
      </w:r>
    </w:p>
    <w:p w:rsidRPr="005D4893" w:rsidR="00D86BBF" w:rsidP="00D86BBF" w:rsidRDefault="00D86BBF" w14:paraId="5F09B407" w14:textId="77777777">
      <w:pPr>
        <w:spacing w:line="276" w:lineRule="auto"/>
        <w:jc w:val="both"/>
        <w:rPr>
          <w:rFonts w:ascii="Arial" w:hAnsi="Arial" w:eastAsia="Calibri" w:cs="Arial"/>
          <w:sz w:val="22"/>
        </w:rPr>
      </w:pPr>
    </w:p>
    <w:p w:rsidRPr="005D4893" w:rsidR="00D86BBF" w:rsidP="00D86BBF" w:rsidRDefault="00D86BBF" w14:paraId="124C589F" w14:textId="77777777">
      <w:pPr>
        <w:spacing w:line="276" w:lineRule="auto"/>
        <w:jc w:val="both"/>
        <w:rPr>
          <w:rFonts w:ascii="Arial" w:hAnsi="Arial" w:eastAsia="Calibri" w:cs="Arial"/>
          <w:sz w:val="22"/>
        </w:rPr>
      </w:pPr>
      <w:r>
        <w:rPr>
          <w:rFonts w:ascii="Arial" w:hAnsi="Arial" w:eastAsia="Calibri" w:cs="Arial"/>
          <w:b/>
          <w:sz w:val="22"/>
        </w:rPr>
        <w:t>3.</w:t>
      </w:r>
      <w:r w:rsidRPr="00FC5C48">
        <w:rPr>
          <w:rFonts w:ascii="Arial" w:hAnsi="Arial" w:eastAsia="Calibri" w:cs="Arial"/>
          <w:b/>
          <w:sz w:val="22"/>
        </w:rPr>
        <w:t xml:space="preserve"> Respuesta</w:t>
      </w:r>
      <w:r>
        <w:rPr>
          <w:rFonts w:ascii="Arial" w:hAnsi="Arial" w:eastAsia="Calibri" w:cs="Arial"/>
          <w:b/>
          <w:sz w:val="22"/>
        </w:rPr>
        <w:t>s</w:t>
      </w:r>
    </w:p>
    <w:p w:rsidR="00D86BBF" w:rsidP="00D86BBF" w:rsidRDefault="00D86BBF" w14:paraId="15F08AB4" w14:textId="77777777">
      <w:pPr>
        <w:spacing w:line="276" w:lineRule="auto"/>
        <w:ind w:right="49"/>
        <w:jc w:val="both"/>
        <w:rPr>
          <w:rFonts w:ascii="Arial" w:hAnsi="Arial" w:eastAsia="Calibri" w:cs="Arial"/>
          <w:sz w:val="22"/>
        </w:rPr>
      </w:pPr>
    </w:p>
    <w:p w:rsidRPr="004A3BEE" w:rsidR="00D86BBF" w:rsidP="004019D5" w:rsidRDefault="004A3BEE" w14:paraId="2530C60B" w14:textId="5F53B005">
      <w:pPr>
        <w:ind w:left="709" w:right="709"/>
        <w:jc w:val="both"/>
        <w:rPr>
          <w:rFonts w:ascii="Arial" w:hAnsi="Arial" w:eastAsia="Calibri" w:cs="Arial"/>
          <w:sz w:val="21"/>
          <w:szCs w:val="21"/>
        </w:rPr>
      </w:pPr>
      <w:r w:rsidRPr="004A3BEE">
        <w:rPr>
          <w:rFonts w:ascii="Arial" w:hAnsi="Arial" w:eastAsia="Calibri" w:cs="Arial"/>
          <w:sz w:val="21"/>
          <w:szCs w:val="21"/>
        </w:rPr>
        <w:t>«[…] ¿</w:t>
      </w:r>
      <w:r w:rsidRPr="004A3BEE">
        <w:rPr>
          <w:rFonts w:ascii="Arial" w:hAnsi="Arial" w:cs="Arial"/>
          <w:sz w:val="21"/>
          <w:szCs w:val="21"/>
        </w:rPr>
        <w:t>c</w:t>
      </w:r>
      <w:r w:rsidRPr="004A3BEE">
        <w:rPr>
          <w:rFonts w:ascii="Arial" w:hAnsi="Arial" w:eastAsia="Calibri" w:cs="Arial"/>
          <w:sz w:val="21"/>
          <w:szCs w:val="21"/>
        </w:rPr>
        <w:t>ómo contabilizo la experiencia de los ingenieros?»</w:t>
      </w:r>
      <w:r>
        <w:rPr>
          <w:rFonts w:ascii="Arial" w:hAnsi="Arial" w:eastAsia="Calibri" w:cs="Arial"/>
          <w:sz w:val="21"/>
          <w:szCs w:val="21"/>
        </w:rPr>
        <w:t>. Esto, debido a que, en su criterio, «</w:t>
      </w:r>
      <w:r w:rsidRPr="004A3BEE">
        <w:rPr>
          <w:rFonts w:ascii="Arial" w:hAnsi="Arial" w:eastAsia="Calibri" w:cs="Arial"/>
          <w:sz w:val="21"/>
          <w:szCs w:val="21"/>
        </w:rPr>
        <w:t>se suscita una contradicción entre la Circular Externa Única de Colombia Compra Eficiente, que indica en un numeral 9.2 "Cómputo de la experiencia profesional" se indica que para los ingenieros se aplicará el artículo 12 de la Ley 842 de 2003, según el cual la experiencia se computa desde la expedición de la matrícula profesional, sin embargo en la respuesta a la consulta #4201912000003454 radicada el 23 de mayo de 2019 (la respuesta no está calendada) se indica que el artículo anterior se deroga por el artículo 229 de la Ley 019 de 2012, que indica que la experiencia se cuenta desde la terminación de materias</w:t>
      </w:r>
      <w:r>
        <w:rPr>
          <w:rFonts w:ascii="Arial" w:hAnsi="Arial" w:eastAsia="Calibri" w:cs="Arial"/>
          <w:sz w:val="21"/>
          <w:szCs w:val="21"/>
        </w:rPr>
        <w:t>»</w:t>
      </w:r>
      <w:r w:rsidRPr="004A3BEE">
        <w:rPr>
          <w:rFonts w:ascii="Arial" w:hAnsi="Arial" w:eastAsia="Calibri" w:cs="Arial"/>
          <w:sz w:val="21"/>
          <w:szCs w:val="21"/>
        </w:rPr>
        <w:t>.</w:t>
      </w:r>
    </w:p>
    <w:p w:rsidR="004A3BEE" w:rsidP="00D86BBF" w:rsidRDefault="004A3BEE" w14:paraId="2B1737FE" w14:textId="77777777">
      <w:pPr>
        <w:spacing w:line="276" w:lineRule="auto"/>
        <w:ind w:right="51"/>
        <w:jc w:val="both"/>
        <w:rPr>
          <w:rFonts w:ascii="Arial" w:hAnsi="Arial" w:eastAsia="Calibri" w:cs="Arial"/>
          <w:sz w:val="22"/>
        </w:rPr>
      </w:pPr>
    </w:p>
    <w:p w:rsidR="00D86BBF" w:rsidP="00D86BBF" w:rsidRDefault="00D86BBF" w14:paraId="5B2A4ED0" w14:textId="77777777">
      <w:pPr>
        <w:spacing w:line="276" w:lineRule="auto"/>
        <w:ind w:right="51"/>
        <w:jc w:val="both"/>
        <w:rPr>
          <w:rFonts w:ascii="Arial" w:hAnsi="Arial" w:eastAsia="Calibri" w:cs="Arial"/>
          <w:sz w:val="22"/>
        </w:rPr>
      </w:pPr>
      <w:r>
        <w:rPr>
          <w:rFonts w:ascii="Arial" w:hAnsi="Arial" w:eastAsia="Calibri" w:cs="Arial"/>
          <w:sz w:val="22"/>
        </w:rPr>
        <w:t>La norma aplicable es el artículo 229 del Decreto 019 de 2012, el cual establece que la experiencia profesional comienza a contarse a partir de la terminación y aprobación del pensum académico. Lo anterior, sin perjuicio de lo dispuesto en el artículo 192 de la Ley 1955 de 2019, que dispone que «</w:t>
      </w:r>
      <w:r w:rsidRPr="00F1706A">
        <w:rPr>
          <w:rFonts w:ascii="Arial" w:hAnsi="Arial" w:eastAsia="Calibri" w:cs="Arial"/>
          <w:sz w:val="22"/>
        </w:rPr>
        <w:t>la práctica laboral que el estudiante realice para optar a su título de profesional, tecnológico o técnico cuenta como experiencia laboral</w:t>
      </w:r>
      <w:r>
        <w:rPr>
          <w:rFonts w:ascii="Arial" w:hAnsi="Arial" w:eastAsia="Calibri" w:cs="Arial"/>
          <w:sz w:val="22"/>
        </w:rPr>
        <w:t>».</w:t>
      </w:r>
    </w:p>
    <w:p w:rsidR="00D86BBF" w:rsidP="00D86BBF" w:rsidRDefault="00D86BBF" w14:paraId="5619D51D" w14:textId="09EC522C">
      <w:pPr>
        <w:spacing w:before="120" w:after="120" w:line="276" w:lineRule="auto"/>
        <w:ind w:right="51" w:firstLine="709"/>
        <w:jc w:val="both"/>
        <w:rPr>
          <w:rFonts w:ascii="Arial" w:hAnsi="Arial" w:eastAsia="Calibri" w:cs="Arial"/>
          <w:sz w:val="22"/>
        </w:rPr>
      </w:pPr>
      <w:r>
        <w:rPr>
          <w:rFonts w:ascii="Arial" w:hAnsi="Arial" w:eastAsia="Calibri" w:cs="Arial"/>
          <w:sz w:val="22"/>
        </w:rPr>
        <w:t xml:space="preserve">En artículo 229 del Decreto </w:t>
      </w:r>
      <w:r w:rsidR="000775DB">
        <w:rPr>
          <w:rFonts w:ascii="Arial" w:hAnsi="Arial" w:eastAsia="Calibri" w:cs="Arial"/>
          <w:sz w:val="22"/>
        </w:rPr>
        <w:t xml:space="preserve">Ley </w:t>
      </w:r>
      <w:r>
        <w:rPr>
          <w:rFonts w:ascii="Arial" w:hAnsi="Arial" w:eastAsia="Calibri" w:cs="Arial"/>
          <w:sz w:val="22"/>
        </w:rPr>
        <w:t xml:space="preserve">019 de 2012 –al ser una norma posterior en el tiempo– derogó tácitamente el artículo 12 de la Ley 842 de 2003, en lo que respecta al punto desde el cual comienza el cómputo de la experiencia profesional. </w:t>
      </w:r>
    </w:p>
    <w:p w:rsidRPr="00BB7F22" w:rsidR="00D86BBF" w:rsidP="00D86BBF" w:rsidRDefault="00D754D7" w14:paraId="3811B039" w14:textId="7C145331">
      <w:pPr>
        <w:spacing w:before="120" w:after="120" w:line="276" w:lineRule="auto"/>
        <w:ind w:right="51" w:firstLine="709"/>
        <w:jc w:val="both"/>
        <w:rPr>
          <w:rFonts w:ascii="Arial" w:hAnsi="Arial" w:eastAsia="Calibri" w:cs="Arial"/>
          <w:sz w:val="22"/>
        </w:rPr>
      </w:pPr>
      <w:r>
        <w:rPr>
          <w:rFonts w:ascii="Arial" w:hAnsi="Arial" w:eastAsia="Calibri" w:cs="Arial"/>
          <w:sz w:val="22"/>
        </w:rPr>
        <w:lastRenderedPageBreak/>
        <w:t>L</w:t>
      </w:r>
      <w:r w:rsidR="00D86BBF">
        <w:rPr>
          <w:rFonts w:ascii="Arial" w:hAnsi="Arial" w:eastAsia="Calibri" w:cs="Arial"/>
          <w:sz w:val="22"/>
        </w:rPr>
        <w:t>o anterior</w:t>
      </w:r>
      <w:r>
        <w:rPr>
          <w:rFonts w:ascii="Arial" w:hAnsi="Arial" w:eastAsia="Calibri" w:cs="Arial"/>
          <w:sz w:val="22"/>
        </w:rPr>
        <w:t xml:space="preserve"> </w:t>
      </w:r>
      <w:r w:rsidR="00D86BBF">
        <w:rPr>
          <w:rFonts w:ascii="Arial" w:hAnsi="Arial" w:eastAsia="Calibri" w:cs="Arial"/>
          <w:sz w:val="22"/>
        </w:rPr>
        <w:t xml:space="preserve">no contradice lo establecido en la Circular Externa Única de la Agencia Nacional de Contratación Pública </w:t>
      </w:r>
      <w:r w:rsidRPr="004019D5" w:rsidR="000775DB">
        <w:rPr>
          <w:rFonts w:ascii="Arial" w:hAnsi="Arial" w:eastAsia="Calibri" w:cs="Arial"/>
          <w:bCs/>
          <w:sz w:val="22"/>
        </w:rPr>
        <w:t>–</w:t>
      </w:r>
      <w:r w:rsidR="000775DB">
        <w:rPr>
          <w:rFonts w:ascii="Arial" w:hAnsi="Arial" w:eastAsia="Calibri" w:cs="Arial"/>
          <w:b/>
          <w:sz w:val="22"/>
        </w:rPr>
        <w:t xml:space="preserve"> </w:t>
      </w:r>
      <w:r w:rsidR="00D86BBF">
        <w:rPr>
          <w:rFonts w:ascii="Arial" w:hAnsi="Arial" w:eastAsia="Calibri" w:cs="Arial"/>
          <w:sz w:val="22"/>
        </w:rPr>
        <w:t>Colombia Compra Eficiente</w:t>
      </w:r>
      <w:r w:rsidR="000775DB">
        <w:rPr>
          <w:rFonts w:ascii="Arial" w:hAnsi="Arial" w:eastAsia="Calibri" w:cs="Arial"/>
          <w:sz w:val="22"/>
        </w:rPr>
        <w:t>,</w:t>
      </w:r>
      <w:r w:rsidR="000775DB">
        <w:rPr>
          <w:rFonts w:ascii="Arial" w:hAnsi="Arial" w:eastAsia="Calibri" w:cs="Arial"/>
          <w:b/>
          <w:sz w:val="22"/>
        </w:rPr>
        <w:t xml:space="preserve"> </w:t>
      </w:r>
      <w:r w:rsidR="00D86BBF">
        <w:rPr>
          <w:rFonts w:ascii="Arial" w:hAnsi="Arial" w:eastAsia="Calibri" w:cs="Arial"/>
          <w:sz w:val="22"/>
        </w:rPr>
        <w:t>en relación con el cómputo de la experiencia profesional de los ingenieros, por dos razones principales: primero, porque el párrafo primero del numeral 9.2 estableció como norma rectora del cómputo de la experiencia profesional el artículo 229 del Decreto 019 de 2012, de modo que esta es la regla general para contabilizar la experiencia profesional</w:t>
      </w:r>
      <w:r w:rsidR="000775DB">
        <w:rPr>
          <w:rFonts w:ascii="Arial" w:hAnsi="Arial" w:eastAsia="Calibri" w:cs="Arial"/>
          <w:sz w:val="22"/>
        </w:rPr>
        <w:t>,</w:t>
      </w:r>
      <w:r w:rsidR="00D86BBF">
        <w:rPr>
          <w:rFonts w:ascii="Arial" w:hAnsi="Arial" w:eastAsia="Calibri" w:cs="Arial"/>
          <w:sz w:val="22"/>
        </w:rPr>
        <w:t xml:space="preserve"> salvo lo dispuesto para las áreas de la salud. </w:t>
      </w:r>
      <w:r w:rsidRPr="00BB7F22" w:rsidR="00D86BBF">
        <w:rPr>
          <w:rFonts w:ascii="Arial" w:hAnsi="Arial" w:eastAsia="Calibri" w:cs="Arial"/>
          <w:sz w:val="22"/>
        </w:rPr>
        <w:t>Segundo, porque</w:t>
      </w:r>
      <w:r w:rsidR="00D86BBF">
        <w:rPr>
          <w:rFonts w:ascii="Arial" w:hAnsi="Arial" w:eastAsia="Calibri" w:cs="Arial"/>
          <w:sz w:val="22"/>
        </w:rPr>
        <w:t>,</w:t>
      </w:r>
      <w:r w:rsidRPr="00BB7F22" w:rsidR="00D86BBF">
        <w:rPr>
          <w:rFonts w:ascii="Arial" w:hAnsi="Arial" w:eastAsia="Calibri" w:cs="Arial"/>
          <w:sz w:val="22"/>
        </w:rPr>
        <w:t xml:space="preserve"> en </w:t>
      </w:r>
      <w:r w:rsidRPr="00BB7F22" w:rsidR="00D86BBF">
        <w:rPr>
          <w:rFonts w:ascii="Arial" w:hAnsi="Arial" w:cs="Arial"/>
          <w:sz w:val="22"/>
        </w:rPr>
        <w:t>relación con el c</w:t>
      </w:r>
      <w:r w:rsidR="00D86BBF">
        <w:rPr>
          <w:rFonts w:ascii="Arial" w:hAnsi="Arial" w:cs="Arial"/>
          <w:sz w:val="22"/>
        </w:rPr>
        <w:t>ómputo</w:t>
      </w:r>
      <w:r w:rsidRPr="00BB7F22" w:rsidR="00D86BBF">
        <w:rPr>
          <w:rFonts w:ascii="Arial" w:hAnsi="Arial" w:cs="Arial"/>
          <w:sz w:val="22"/>
        </w:rPr>
        <w:t xml:space="preserve"> de la experiencia profesional de ingeniería previsto en el párrafo segundo del numeral citado</w:t>
      </w:r>
      <w:r w:rsidR="00D86BBF">
        <w:rPr>
          <w:rFonts w:ascii="Arial" w:hAnsi="Arial" w:cs="Arial"/>
          <w:sz w:val="22"/>
        </w:rPr>
        <w:t>,</w:t>
      </w:r>
      <w:r w:rsidRPr="00BB7F22" w:rsidR="00D86BBF">
        <w:rPr>
          <w:rFonts w:ascii="Arial" w:hAnsi="Arial" w:cs="Arial"/>
          <w:sz w:val="22"/>
        </w:rPr>
        <w:t xml:space="preserve"> es claro que, la Circular fijó esta subregla</w:t>
      </w:r>
      <w:r w:rsidR="00D86BBF">
        <w:rPr>
          <w:rFonts w:ascii="Arial" w:hAnsi="Arial" w:cs="Arial"/>
          <w:sz w:val="22"/>
        </w:rPr>
        <w:t>,</w:t>
      </w:r>
      <w:r w:rsidRPr="00BB7F22" w:rsidR="00D86BBF">
        <w:rPr>
          <w:rFonts w:ascii="Arial" w:hAnsi="Arial" w:cs="Arial"/>
          <w:sz w:val="22"/>
        </w:rPr>
        <w:t xml:space="preserve"> sin que </w:t>
      </w:r>
      <w:r w:rsidR="00D86BBF">
        <w:rPr>
          <w:rFonts w:ascii="Arial" w:hAnsi="Arial" w:cs="Arial"/>
          <w:sz w:val="22"/>
        </w:rPr>
        <w:t>pueda colegirse</w:t>
      </w:r>
      <w:r w:rsidRPr="00BB7F22" w:rsidR="00D86BBF">
        <w:rPr>
          <w:rFonts w:ascii="Arial" w:hAnsi="Arial" w:cs="Arial"/>
          <w:sz w:val="22"/>
        </w:rPr>
        <w:t xml:space="preserve"> que este evento </w:t>
      </w:r>
      <w:r w:rsidR="00D86BBF">
        <w:rPr>
          <w:rFonts w:ascii="Arial" w:hAnsi="Arial" w:cs="Arial"/>
          <w:sz w:val="22"/>
        </w:rPr>
        <w:t>implica</w:t>
      </w:r>
      <w:r w:rsidRPr="00BB7F22" w:rsidR="00D86BBF">
        <w:rPr>
          <w:rFonts w:ascii="Arial" w:hAnsi="Arial" w:cs="Arial"/>
          <w:sz w:val="22"/>
        </w:rPr>
        <w:t xml:space="preserve"> una contradicción o contraposición </w:t>
      </w:r>
      <w:r w:rsidR="00D86BBF">
        <w:rPr>
          <w:rFonts w:ascii="Arial" w:hAnsi="Arial" w:cs="Arial"/>
          <w:sz w:val="22"/>
        </w:rPr>
        <w:t>con</w:t>
      </w:r>
      <w:r w:rsidRPr="00BB7F22" w:rsidR="00D86BBF">
        <w:rPr>
          <w:rFonts w:ascii="Arial" w:hAnsi="Arial" w:cs="Arial"/>
          <w:sz w:val="22"/>
        </w:rPr>
        <w:t xml:space="preserve"> la regla rectora del Decreto 019 de 2012, pues lo que establece es que siempre que exista una norma especial que regule esta materia debe </w:t>
      </w:r>
      <w:r w:rsidR="00D86BBF">
        <w:rPr>
          <w:rFonts w:ascii="Arial" w:hAnsi="Arial" w:cs="Arial"/>
          <w:sz w:val="22"/>
        </w:rPr>
        <w:t>efectuarse la remisión</w:t>
      </w:r>
      <w:r w:rsidRPr="00BB7F22" w:rsidR="00D86BBF">
        <w:rPr>
          <w:rFonts w:ascii="Arial" w:hAnsi="Arial" w:cs="Arial"/>
          <w:sz w:val="22"/>
        </w:rPr>
        <w:t xml:space="preserve"> a ella</w:t>
      </w:r>
      <w:r w:rsidR="00D86BBF">
        <w:rPr>
          <w:rFonts w:ascii="Arial" w:hAnsi="Arial" w:cs="Arial"/>
          <w:sz w:val="22"/>
        </w:rPr>
        <w:t>.</w:t>
      </w:r>
      <w:r w:rsidRPr="00BB7F22" w:rsidR="00D86BBF">
        <w:rPr>
          <w:rFonts w:ascii="Arial" w:hAnsi="Arial" w:cs="Arial"/>
          <w:sz w:val="22"/>
        </w:rPr>
        <w:t xml:space="preserve"> </w:t>
      </w:r>
      <w:r w:rsidR="00D86BBF">
        <w:rPr>
          <w:rFonts w:ascii="Arial" w:hAnsi="Arial" w:cs="Arial"/>
          <w:sz w:val="22"/>
        </w:rPr>
        <w:t>S</w:t>
      </w:r>
      <w:r w:rsidRPr="00BB7F22" w:rsidR="00D86BBF">
        <w:rPr>
          <w:rFonts w:ascii="Arial" w:hAnsi="Arial" w:cs="Arial"/>
          <w:sz w:val="22"/>
        </w:rPr>
        <w:t xml:space="preserve">in embargo, como la norma de la Ley 843 de 2003 fue derogada tácitamente por el Decreto Ley 019 de 2012, en este momento no existe en el ordenamiento </w:t>
      </w:r>
      <w:r w:rsidR="000775DB">
        <w:rPr>
          <w:rFonts w:ascii="Arial" w:hAnsi="Arial" w:cs="Arial"/>
          <w:sz w:val="22"/>
        </w:rPr>
        <w:t xml:space="preserve">jurídico </w:t>
      </w:r>
      <w:r w:rsidRPr="00BB7F22" w:rsidR="00D86BBF">
        <w:rPr>
          <w:rFonts w:ascii="Arial" w:hAnsi="Arial" w:cs="Arial"/>
          <w:sz w:val="22"/>
        </w:rPr>
        <w:t xml:space="preserve">una norma especial en materia de acreditación de experiencia de </w:t>
      </w:r>
      <w:r w:rsidR="00D86BBF">
        <w:rPr>
          <w:rFonts w:ascii="Arial" w:hAnsi="Arial" w:cs="Arial"/>
          <w:sz w:val="22"/>
        </w:rPr>
        <w:t xml:space="preserve">los </w:t>
      </w:r>
      <w:r w:rsidRPr="00BB7F22" w:rsidR="00D86BBF">
        <w:rPr>
          <w:rFonts w:ascii="Arial" w:hAnsi="Arial" w:cs="Arial"/>
          <w:sz w:val="22"/>
        </w:rPr>
        <w:t xml:space="preserve">profesionales de ingeniería, que ofrezca parámetros distintos a los </w:t>
      </w:r>
      <w:r w:rsidR="000775DB">
        <w:rPr>
          <w:rFonts w:ascii="Arial" w:hAnsi="Arial" w:cs="Arial"/>
          <w:sz w:val="22"/>
        </w:rPr>
        <w:t>establecidos</w:t>
      </w:r>
      <w:r w:rsidRPr="00BB7F22" w:rsidR="000775DB">
        <w:rPr>
          <w:rFonts w:ascii="Arial" w:hAnsi="Arial" w:cs="Arial"/>
          <w:sz w:val="22"/>
        </w:rPr>
        <w:t xml:space="preserve"> </w:t>
      </w:r>
      <w:r w:rsidRPr="00BB7F22" w:rsidR="00D86BBF">
        <w:rPr>
          <w:rFonts w:ascii="Arial" w:hAnsi="Arial" w:cs="Arial"/>
          <w:sz w:val="22"/>
        </w:rPr>
        <w:t>en el Decreto 019 de 2012, para el cómputo de la experiencia profesional.</w:t>
      </w:r>
    </w:p>
    <w:p w:rsidRPr="005D4893" w:rsidR="00D86BBF" w:rsidP="00D86BBF" w:rsidRDefault="00D86BBF" w14:paraId="01F46329" w14:textId="77777777">
      <w:pPr>
        <w:spacing w:line="276" w:lineRule="auto"/>
        <w:ind w:right="49"/>
        <w:jc w:val="both"/>
        <w:rPr>
          <w:rFonts w:ascii="Arial" w:hAnsi="Arial" w:eastAsia="Calibri" w:cs="Arial"/>
          <w:sz w:val="22"/>
        </w:rPr>
      </w:pPr>
    </w:p>
    <w:p w:rsidRPr="005D4893" w:rsidR="00D86BBF" w:rsidP="00D86BBF" w:rsidRDefault="00D86BBF" w14:paraId="178CBA8B" w14:textId="77777777">
      <w:pPr>
        <w:spacing w:line="276" w:lineRule="auto"/>
        <w:ind w:right="49"/>
        <w:jc w:val="both"/>
        <w:rPr>
          <w:rFonts w:ascii="Arial" w:hAnsi="Arial" w:eastAsia="Calibri" w:cs="Arial"/>
          <w:sz w:val="22"/>
        </w:rPr>
      </w:pPr>
      <w:r w:rsidRPr="005D4893">
        <w:rPr>
          <w:rFonts w:ascii="Arial" w:hAnsi="Arial" w:eastAsia="Calibri" w:cs="Arial"/>
          <w:sz w:val="22"/>
        </w:rPr>
        <w:t>Este concepto tiene el alcance previsto en el artículo 28 del Código de Procedimiento Administrativo y de lo Contencioso Administrativo.</w:t>
      </w:r>
    </w:p>
    <w:p w:rsidRPr="005D4893" w:rsidR="00D86BBF" w:rsidP="00D86BBF" w:rsidRDefault="00D86BBF" w14:paraId="0CDD2524" w14:textId="77777777">
      <w:pPr>
        <w:spacing w:line="276" w:lineRule="auto"/>
        <w:ind w:right="49"/>
        <w:jc w:val="both"/>
        <w:rPr>
          <w:rFonts w:ascii="Arial" w:hAnsi="Arial" w:eastAsia="Calibri" w:cs="Arial"/>
          <w:sz w:val="22"/>
        </w:rPr>
      </w:pPr>
      <w:r w:rsidRPr="005D4893">
        <w:rPr>
          <w:rFonts w:ascii="Arial" w:hAnsi="Arial" w:eastAsia="Calibri" w:cs="Arial"/>
          <w:noProof/>
          <w:sz w:val="22"/>
          <w:lang w:val="en-US"/>
        </w:rPr>
        <mc:AlternateContent>
          <mc:Choice Requires="wps">
            <w:drawing>
              <wp:anchor distT="0" distB="0" distL="0" distR="0" simplePos="0" relativeHeight="251659264" behindDoc="1" locked="0" layoutInCell="1" allowOverlap="1" wp14:anchorId="5E033675" wp14:editId="3C4D18D8">
                <wp:simplePos x="0" y="0"/>
                <wp:positionH relativeFrom="page">
                  <wp:posOffset>1514475</wp:posOffset>
                </wp:positionH>
                <wp:positionV relativeFrom="paragraph">
                  <wp:posOffset>194945</wp:posOffset>
                </wp:positionV>
                <wp:extent cx="4686300" cy="1270"/>
                <wp:effectExtent l="0" t="0" r="0" b="0"/>
                <wp:wrapTopAndBottom/>
                <wp:docPr id="7"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686300" cy="1270"/>
                        </a:xfrm>
                        <a:custGeom>
                          <a:avLst/>
                          <a:gdLst>
                            <a:gd name="T0" fmla="+- 0 2385 2385"/>
                            <a:gd name="T1" fmla="*/ T0 w 7380"/>
                            <a:gd name="T2" fmla="+- 0 9765 2385"/>
                            <a:gd name="T3" fmla="*/ T2 w 7380"/>
                          </a:gdLst>
                          <a:ahLst/>
                          <a:cxnLst>
                            <a:cxn ang="0">
                              <a:pos x="T1" y="0"/>
                            </a:cxn>
                            <a:cxn ang="0">
                              <a:pos x="T3" y="0"/>
                            </a:cxn>
                          </a:cxnLst>
                          <a:rect l="0" t="0" r="r" b="b"/>
                          <a:pathLst>
                            <a:path w="7380">
                              <a:moveTo>
                                <a:pt x="0" y="0"/>
                              </a:moveTo>
                              <a:lnTo>
                                <a:pt x="7380" y="0"/>
                              </a:lnTo>
                            </a:path>
                          </a:pathLst>
                        </a:custGeom>
                        <a:noFill/>
                        <a:ln w="9525">
                          <a:solidFill>
                            <a:srgbClr val="DBDBD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2" style="position:absolute;margin-left:119.25pt;margin-top:15.35pt;width:369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380,1270" o:spid="_x0000_s1026" filled="f" strokecolor="#dbdbdb" path="m,l738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" w14:anchorId="394FA053">
                <v:path arrowok="t" o:connecttype="custom" o:connectlocs="0,0;4686300,0" o:connectangles="0,0"/>
                <w10:wrap type="topAndBottom" anchorx="page"/>
              </v:shape>
            </w:pict>
          </mc:Fallback>
        </mc:AlternateContent>
      </w:r>
    </w:p>
    <w:p w:rsidRPr="005D4893" w:rsidR="00D86BBF" w:rsidP="00D86BBF" w:rsidRDefault="00D86BBF" w14:paraId="1AE69ADD" w14:textId="77777777">
      <w:pPr>
        <w:spacing w:line="276" w:lineRule="auto"/>
        <w:ind w:right="49"/>
        <w:jc w:val="both"/>
        <w:rPr>
          <w:rFonts w:ascii="Arial" w:hAnsi="Arial" w:eastAsia="Calibri" w:cs="Arial"/>
          <w:sz w:val="22"/>
        </w:rPr>
      </w:pPr>
      <w:r w:rsidRPr="005D4893">
        <w:rPr>
          <w:rFonts w:ascii="Arial" w:hAnsi="Arial" w:eastAsia="Calibri" w:cs="Arial"/>
          <w:sz w:val="22"/>
        </w:rPr>
        <w:t>Atentamente,</w:t>
      </w:r>
    </w:p>
    <w:p w:rsidRPr="00F204AF" w:rsidR="00D86BBF" w:rsidP="00D86BBF" w:rsidRDefault="007F08CF" w14:paraId="1BCFE063" w14:textId="035888A0">
      <w:pPr>
        <w:jc w:val="center"/>
        <w:rPr>
          <w:rFonts w:ascii="Arial" w:hAnsi="Arial" w:eastAsia="Times New Roman" w:cs="Arial"/>
          <w:sz w:val="18"/>
          <w:szCs w:val="20"/>
          <w:lang w:eastAsia="es-CO"/>
        </w:rPr>
      </w:pPr>
      <w:r w:rsidR="007F08CF">
        <w:drawing>
          <wp:inline wp14:editId="6038C97F" wp14:anchorId="767E0843">
            <wp:extent cx="2773144" cy="988695"/>
            <wp:effectExtent l="0" t="0" r="0" b="0"/>
            <wp:docPr id="801498999" name="Imagen 20" title=""/>
            <wp:cNvGraphicFramePr>
              <a:graphicFrameLocks noChangeAspect="1"/>
            </wp:cNvGraphicFramePr>
            <a:graphic>
              <a:graphicData uri="http://schemas.openxmlformats.org/drawingml/2006/picture">
                <pic:pic>
                  <pic:nvPicPr>
                    <pic:cNvPr id="0" name="Imagen 20"/>
                    <pic:cNvPicPr/>
                  </pic:nvPicPr>
                  <pic:blipFill>
                    <a:blip r:embed="Rbf1af15a5daf43e4">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2773144" cy="988695"/>
                    </a:xfrm>
                    <a:prstGeom prst="rect">
                      <a:avLst/>
                    </a:prstGeom>
                  </pic:spPr>
                </pic:pic>
              </a:graphicData>
            </a:graphic>
          </wp:inline>
        </w:drawing>
      </w:r>
    </w:p>
    <w:tbl>
      <w:tblPr>
        <w:tblStyle w:val="Tablaconcuadrcula"/>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812"/>
        <w:gridCol w:w="4413"/>
      </w:tblGrid>
      <w:tr w:rsidRPr="00DC759C" w:rsidR="00D86BBF" w:rsidTr="00366E58" w14:paraId="1081A6DE" w14:textId="77777777">
        <w:trPr>
          <w:trHeight w:val="315"/>
        </w:trPr>
        <w:tc>
          <w:tcPr>
            <w:tcW w:w="812" w:type="dxa"/>
            <w:vAlign w:val="center"/>
            <w:hideMark/>
          </w:tcPr>
          <w:p w:rsidRPr="00DC759C" w:rsidR="00D86BBF" w:rsidP="00366E58" w:rsidRDefault="00D86BBF" w14:paraId="4B0AE060" w14:textId="77777777">
            <w:pPr>
              <w:spacing w:line="276" w:lineRule="auto"/>
              <w:rPr>
                <w:rFonts w:ascii="Arial" w:hAnsi="Arial" w:cs="Arial"/>
                <w:sz w:val="16"/>
                <w:szCs w:val="16"/>
                <w:lang w:val="es-ES_tradnl" w:eastAsia="es-ES"/>
              </w:rPr>
            </w:pPr>
            <w:r w:rsidRPr="00DC759C">
              <w:rPr>
                <w:rFonts w:ascii="Arial" w:hAnsi="Arial" w:cs="Arial"/>
                <w:sz w:val="16"/>
                <w:szCs w:val="16"/>
                <w:lang w:val="es-ES_tradnl" w:eastAsia="es-ES"/>
              </w:rPr>
              <w:t>Elaboró:</w:t>
            </w:r>
          </w:p>
        </w:tc>
        <w:tc>
          <w:tcPr>
            <w:tcW w:w="4413" w:type="dxa"/>
            <w:tcBorders>
              <w:top w:val="nil"/>
              <w:left w:val="nil"/>
              <w:bottom w:val="dotted" w:color="7F7F7F" w:themeColor="text1" w:themeTint="80" w:sz="4" w:space="0"/>
              <w:right w:val="nil"/>
            </w:tcBorders>
            <w:vAlign w:val="center"/>
            <w:hideMark/>
          </w:tcPr>
          <w:p w:rsidRPr="00DC759C" w:rsidR="00D86BBF" w:rsidP="00366E58" w:rsidRDefault="00D86BBF" w14:paraId="7B4E93A5" w14:textId="77777777">
            <w:pPr>
              <w:spacing w:line="276" w:lineRule="auto"/>
              <w:rPr>
                <w:rFonts w:ascii="Arial" w:hAnsi="Arial" w:cs="Arial"/>
                <w:sz w:val="16"/>
                <w:szCs w:val="16"/>
                <w:lang w:val="es-ES_tradnl" w:eastAsia="es-ES"/>
              </w:rPr>
            </w:pPr>
            <w:r w:rsidRPr="00DC759C">
              <w:rPr>
                <w:rFonts w:ascii="Arial" w:hAnsi="Arial" w:cs="Arial"/>
                <w:sz w:val="16"/>
                <w:szCs w:val="16"/>
                <w:lang w:val="es-ES_tradnl" w:eastAsia="es-ES"/>
              </w:rPr>
              <w:t>David Castellanos Carreño</w:t>
            </w:r>
          </w:p>
          <w:p w:rsidRPr="00DC759C" w:rsidR="00D86BBF" w:rsidP="00366E58" w:rsidRDefault="00D86BBF" w14:paraId="108319CE" w14:textId="77777777">
            <w:pPr>
              <w:spacing w:line="276" w:lineRule="auto"/>
              <w:rPr>
                <w:rFonts w:ascii="Arial" w:hAnsi="Arial" w:cs="Arial"/>
                <w:sz w:val="16"/>
                <w:szCs w:val="16"/>
                <w:lang w:val="es-ES_tradnl" w:eastAsia="es-ES"/>
              </w:rPr>
            </w:pPr>
            <w:r w:rsidRPr="00DC759C">
              <w:rPr>
                <w:rFonts w:ascii="Arial" w:hAnsi="Arial" w:cs="Arial"/>
                <w:sz w:val="16"/>
                <w:szCs w:val="16"/>
                <w:lang w:val="es-ES_tradnl" w:eastAsia="es-ES"/>
              </w:rPr>
              <w:t>Contratista, Subdirección de Gestión Contractual</w:t>
            </w:r>
          </w:p>
        </w:tc>
      </w:tr>
      <w:tr w:rsidRPr="00DC759C" w:rsidR="00D86BBF" w:rsidTr="00366E58" w14:paraId="2EBA0ACC" w14:textId="77777777">
        <w:trPr>
          <w:trHeight w:val="330"/>
        </w:trPr>
        <w:tc>
          <w:tcPr>
            <w:tcW w:w="812" w:type="dxa"/>
            <w:vAlign w:val="center"/>
            <w:hideMark/>
          </w:tcPr>
          <w:p w:rsidRPr="00DC759C" w:rsidR="00D86BBF" w:rsidP="00366E58" w:rsidRDefault="00D86BBF" w14:paraId="58EB3A82" w14:textId="77777777">
            <w:pPr>
              <w:spacing w:line="276" w:lineRule="auto"/>
              <w:rPr>
                <w:rFonts w:ascii="Arial" w:hAnsi="Arial" w:cs="Arial"/>
                <w:sz w:val="16"/>
                <w:szCs w:val="16"/>
                <w:lang w:val="es-ES_tradnl" w:eastAsia="es-ES"/>
              </w:rPr>
            </w:pPr>
            <w:r w:rsidRPr="00DC759C">
              <w:rPr>
                <w:rFonts w:ascii="Arial" w:hAnsi="Arial" w:cs="Arial"/>
                <w:sz w:val="16"/>
                <w:szCs w:val="16"/>
                <w:lang w:val="es-ES_tradnl" w:eastAsia="es-ES"/>
              </w:rPr>
              <w:t>Revisó:</w:t>
            </w:r>
          </w:p>
        </w:tc>
        <w:tc>
          <w:tcPr>
            <w:tcW w:w="4413" w:type="dxa"/>
            <w:tcBorders>
              <w:top w:val="dotted" w:color="7F7F7F" w:themeColor="text1" w:themeTint="80" w:sz="4" w:space="0"/>
              <w:left w:val="nil"/>
              <w:bottom w:val="dotted" w:color="7F7F7F" w:themeColor="text1" w:themeTint="80" w:sz="4" w:space="0"/>
              <w:right w:val="nil"/>
            </w:tcBorders>
            <w:vAlign w:val="center"/>
            <w:hideMark/>
          </w:tcPr>
          <w:p w:rsidRPr="00DC759C" w:rsidR="00D86BBF" w:rsidP="00366E58" w:rsidRDefault="003E7EEA" w14:paraId="53307F57" w14:textId="70F27B73">
            <w:pPr>
              <w:spacing w:line="276" w:lineRule="auto"/>
              <w:rPr>
                <w:rFonts w:ascii="Arial" w:hAnsi="Arial" w:cs="Arial"/>
                <w:sz w:val="16"/>
                <w:szCs w:val="16"/>
                <w:lang w:val="es-ES_tradnl" w:eastAsia="es-ES"/>
              </w:rPr>
            </w:pPr>
            <w:r>
              <w:rPr>
                <w:rFonts w:ascii="Arial" w:hAnsi="Arial" w:cs="Arial"/>
                <w:sz w:val="16"/>
                <w:szCs w:val="16"/>
                <w:lang w:val="es-ES_tradnl" w:eastAsia="es-ES"/>
              </w:rPr>
              <w:t>Sebastián Ramírez Grisales</w:t>
            </w:r>
          </w:p>
          <w:p w:rsidRPr="00DC759C" w:rsidR="00D86BBF" w:rsidP="00366E58" w:rsidRDefault="003E7EEA" w14:paraId="06921EF3" w14:textId="2176EF07">
            <w:pPr>
              <w:spacing w:line="276" w:lineRule="auto"/>
              <w:rPr>
                <w:rFonts w:ascii="Arial" w:hAnsi="Arial" w:cs="Arial"/>
                <w:sz w:val="16"/>
                <w:szCs w:val="16"/>
                <w:lang w:val="es-ES_tradnl" w:eastAsia="es-ES"/>
              </w:rPr>
            </w:pPr>
            <w:r w:rsidRPr="00DC759C">
              <w:rPr>
                <w:rFonts w:ascii="Arial" w:hAnsi="Arial" w:cs="Arial"/>
                <w:sz w:val="16"/>
                <w:szCs w:val="16"/>
                <w:lang w:val="es-ES_tradnl" w:eastAsia="es-ES"/>
              </w:rPr>
              <w:t>Contratista</w:t>
            </w:r>
            <w:r>
              <w:rPr>
                <w:rFonts w:ascii="Arial" w:hAnsi="Arial" w:cs="Arial"/>
                <w:sz w:val="16"/>
                <w:szCs w:val="16"/>
                <w:lang w:val="es-ES_tradnl" w:eastAsia="es-ES"/>
              </w:rPr>
              <w:t xml:space="preserve"> –</w:t>
            </w:r>
            <w:r w:rsidRPr="00DC759C">
              <w:rPr>
                <w:rFonts w:ascii="Arial" w:hAnsi="Arial" w:cs="Arial"/>
                <w:sz w:val="16"/>
                <w:szCs w:val="16"/>
                <w:lang w:val="es-ES_tradnl" w:eastAsia="es-ES"/>
              </w:rPr>
              <w:t xml:space="preserve"> Subdirección de Gestión Contractual</w:t>
            </w:r>
            <w:r w:rsidRPr="00DC759C" w:rsidDel="003E7EEA">
              <w:rPr>
                <w:rFonts w:ascii="Arial" w:hAnsi="Arial" w:cs="Arial"/>
                <w:sz w:val="16"/>
                <w:szCs w:val="16"/>
                <w:lang w:val="es-ES_tradnl" w:eastAsia="es-ES"/>
              </w:rPr>
              <w:t xml:space="preserve"> </w:t>
            </w:r>
          </w:p>
        </w:tc>
      </w:tr>
      <w:tr w:rsidRPr="00DC759C" w:rsidR="00D86BBF" w:rsidTr="00366E58" w14:paraId="7D631AF2" w14:textId="77777777">
        <w:trPr>
          <w:trHeight w:val="300"/>
        </w:trPr>
        <w:tc>
          <w:tcPr>
            <w:tcW w:w="812" w:type="dxa"/>
            <w:vAlign w:val="center"/>
            <w:hideMark/>
          </w:tcPr>
          <w:p w:rsidRPr="00DC759C" w:rsidR="00D86BBF" w:rsidP="00366E58" w:rsidRDefault="00D86BBF" w14:paraId="323D08A1" w14:textId="77777777">
            <w:pPr>
              <w:spacing w:line="276" w:lineRule="auto"/>
              <w:rPr>
                <w:rFonts w:ascii="Arial" w:hAnsi="Arial" w:cs="Arial"/>
                <w:sz w:val="16"/>
                <w:szCs w:val="16"/>
                <w:lang w:val="es-ES_tradnl" w:eastAsia="es-ES"/>
              </w:rPr>
            </w:pPr>
            <w:r w:rsidRPr="00DC759C">
              <w:rPr>
                <w:rFonts w:ascii="Arial" w:hAnsi="Arial" w:cs="Arial"/>
                <w:sz w:val="16"/>
                <w:szCs w:val="16"/>
                <w:lang w:val="es-ES_tradnl" w:eastAsia="es-ES"/>
              </w:rPr>
              <w:t>Aprobó:</w:t>
            </w:r>
          </w:p>
        </w:tc>
        <w:tc>
          <w:tcPr>
            <w:tcW w:w="4413" w:type="dxa"/>
            <w:tcBorders>
              <w:top w:val="dotted" w:color="7F7F7F" w:themeColor="text1" w:themeTint="80" w:sz="4" w:space="0"/>
              <w:left w:val="nil"/>
              <w:bottom w:val="dotted" w:color="7F7F7F" w:themeColor="text1" w:themeTint="80" w:sz="4" w:space="0"/>
              <w:right w:val="nil"/>
            </w:tcBorders>
            <w:vAlign w:val="center"/>
            <w:hideMark/>
          </w:tcPr>
          <w:p w:rsidRPr="00DC759C" w:rsidR="00D86BBF" w:rsidP="00366E58" w:rsidRDefault="00D86BBF" w14:paraId="6A80DE21" w14:textId="77777777">
            <w:pPr>
              <w:spacing w:line="276" w:lineRule="auto"/>
              <w:rPr>
                <w:rFonts w:ascii="Arial" w:hAnsi="Arial" w:cs="Arial"/>
                <w:sz w:val="16"/>
                <w:szCs w:val="16"/>
                <w:lang w:val="es-ES_tradnl" w:eastAsia="es-ES"/>
              </w:rPr>
            </w:pPr>
            <w:r w:rsidRPr="00DC759C">
              <w:rPr>
                <w:rFonts w:ascii="Arial" w:hAnsi="Arial" w:cs="Arial"/>
                <w:sz w:val="16"/>
                <w:szCs w:val="16"/>
                <w:lang w:val="es-ES_tradnl" w:eastAsia="es-ES"/>
              </w:rPr>
              <w:t>Fabián Gonzalo Marín Cortés</w:t>
            </w:r>
          </w:p>
          <w:p w:rsidRPr="00DC759C" w:rsidR="00D86BBF" w:rsidP="00366E58" w:rsidRDefault="00D86BBF" w14:paraId="6CD6896D" w14:textId="77777777">
            <w:pPr>
              <w:spacing w:line="276" w:lineRule="auto"/>
              <w:rPr>
                <w:rFonts w:ascii="Arial" w:hAnsi="Arial" w:cs="Arial"/>
                <w:sz w:val="16"/>
                <w:szCs w:val="16"/>
                <w:lang w:val="es-ES_tradnl" w:eastAsia="es-ES"/>
              </w:rPr>
            </w:pPr>
            <w:r w:rsidRPr="00DC759C">
              <w:rPr>
                <w:rFonts w:ascii="Arial" w:hAnsi="Arial" w:cs="Arial"/>
                <w:sz w:val="16"/>
                <w:szCs w:val="16"/>
                <w:lang w:val="es-ES_tradnl" w:eastAsia="es-ES"/>
              </w:rPr>
              <w:t>Subdirector de Gestión Contractual</w:t>
            </w:r>
          </w:p>
        </w:tc>
      </w:tr>
    </w:tbl>
    <w:p w:rsidRPr="00D86BBF" w:rsidR="007B0854" w:rsidP="00D86BBF" w:rsidRDefault="007B0854" w14:paraId="7EBF297E" w14:textId="77777777">
      <w:pPr>
        <w:rPr>
          <w:lang w:val="es-ES_tradnl"/>
        </w:rPr>
      </w:pPr>
    </w:p>
    <w:sectPr w:rsidRPr="00D86BBF" w:rsidR="007B0854" w:rsidSect="004A34D2">
      <w:headerReference w:type="default" r:id="rId12"/>
      <w:footerReference w:type="default" r:id="rId13"/>
      <w:pgSz w:w="12240" w:h="15840" w:orient="portrait"/>
      <w:pgMar w:top="1779" w:right="1750" w:bottom="1276"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A07D30" w:rsidRDefault="00A07D30" w14:paraId="5CCA564C" w14:textId="77777777">
      <w:r>
        <w:separator/>
      </w:r>
    </w:p>
  </w:endnote>
  <w:endnote w:type="continuationSeparator" w:id="0">
    <w:p w:rsidR="00A07D30" w:rsidRDefault="00A07D30" w14:paraId="7195251C"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stellar">
    <w:panose1 w:val="020A0402060406010301"/>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p w:rsidR="005D0D39" w:rsidP="00F72936" w:rsidRDefault="005D0D39" w14:paraId="1D1A5F74" w14:textId="1A21F524">
    <w:pPr>
      <w:pStyle w:val="Sinespaciado"/>
      <w:jc w:val="right"/>
      <w:rPr>
        <w:rFonts w:ascii="Arial" w:hAnsi="Arial" w:cs="Arial"/>
        <w:sz w:val="18"/>
        <w:szCs w:val="18"/>
      </w:rPr>
    </w:pPr>
  </w:p>
  <w:p w:rsidR="005D0D39" w:rsidP="00F72936" w:rsidRDefault="005D0D39" w14:paraId="23C63834" w14:textId="05C30EFE">
    <w:pPr>
      <w:pStyle w:val="Sinespaciado"/>
      <w:jc w:val="right"/>
      <w:rPr>
        <w:rFonts w:ascii="Arial" w:hAnsi="Arial" w:cs="Arial"/>
        <w:sz w:val="18"/>
        <w:szCs w:val="18"/>
      </w:rPr>
    </w:pPr>
  </w:p>
  <w:p w:rsidR="00120B10" w:rsidP="00F72936" w:rsidRDefault="00120B10" w14:paraId="2722EB95" w14:textId="77777777">
    <w:pPr>
      <w:pStyle w:val="Sinespaciado"/>
      <w:jc w:val="right"/>
      <w:rPr>
        <w:rFonts w:ascii="Arial" w:hAnsi="Arial" w:cs="Arial"/>
        <w:sz w:val="18"/>
        <w:szCs w:val="18"/>
      </w:rPr>
    </w:pPr>
  </w:p>
  <w:p w:rsidRPr="008217B7" w:rsidR="005D0D39" w:rsidP="00F72936" w:rsidRDefault="005D0D39" w14:paraId="17CC9D90" w14:textId="3CBEB4B0">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sidR="007F08CF">
      <w:rPr>
        <w:rFonts w:ascii="Arial" w:hAnsi="Arial" w:cs="Arial"/>
        <w:b/>
        <w:bCs/>
        <w:noProof/>
        <w:color w:val="7F7F7F" w:themeColor="text1" w:themeTint="80"/>
        <w:sz w:val="16"/>
        <w:szCs w:val="16"/>
      </w:rPr>
      <w:t>11</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sidR="007F08CF">
      <w:rPr>
        <w:rFonts w:ascii="Arial" w:hAnsi="Arial" w:cs="Arial"/>
        <w:b/>
        <w:bCs/>
        <w:noProof/>
        <w:color w:val="7F7F7F" w:themeColor="text1" w:themeTint="80"/>
        <w:sz w:val="16"/>
        <w:szCs w:val="16"/>
      </w:rPr>
      <w:t>11</w:t>
    </w:r>
    <w:r w:rsidRPr="00084B97">
      <w:rPr>
        <w:rFonts w:ascii="Arial" w:hAnsi="Arial" w:cs="Arial"/>
        <w:b/>
        <w:bCs/>
        <w:color w:val="7F7F7F" w:themeColor="text1" w:themeTint="80"/>
        <w:sz w:val="16"/>
        <w:szCs w:val="16"/>
      </w:rPr>
      <w:fldChar w:fldCharType="end"/>
    </w:r>
  </w:p>
  <w:p w:rsidR="005D0D39" w:rsidP="00F72936" w:rsidRDefault="005D0D39" w14:paraId="1FC56E89" w14:textId="77777777">
    <w:pPr>
      <w:pStyle w:val="Piedepgina"/>
      <w:jc w:val="center"/>
      <w:rPr>
        <w:lang w:val="es-ES"/>
      </w:rPr>
    </w:pPr>
    <w:r w:rsidR="3924A5B4">
      <w:drawing>
        <wp:inline wp14:editId="0132AE3C" wp14:anchorId="29A046D9">
          <wp:extent cx="3700130" cy="519139"/>
          <wp:effectExtent l="0" t="0" r="0" b="0"/>
          <wp:docPr id="1168601330" name="Imagen 3" title=""/>
          <wp:cNvGraphicFramePr>
            <a:graphicFrameLocks noChangeAspect="1"/>
          </wp:cNvGraphicFramePr>
          <a:graphic>
            <a:graphicData uri="http://schemas.openxmlformats.org/drawingml/2006/picture">
              <pic:pic>
                <pic:nvPicPr>
                  <pic:cNvPr id="0" name="Imagen 3"/>
                  <pic:cNvPicPr/>
                </pic:nvPicPr>
                <pic:blipFill>
                  <a:blip r:embed="R3de6ba70b76149d1">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3700130" cy="519139"/>
                  </a:xfrm>
                  <a:prstGeom prst="rect">
                    <a:avLst/>
                  </a:prstGeom>
                </pic:spPr>
              </pic:pic>
            </a:graphicData>
          </a:graphic>
        </wp:inline>
      </w:drawing>
    </w:r>
  </w:p>
  <w:p w:rsidRPr="00120B10" w:rsidR="005D0D39" w:rsidP="00F72936" w:rsidRDefault="005D0D39" w14:paraId="47FC0032" w14:textId="77777777">
    <w:pPr>
      <w:pStyle w:val="Piedepgina"/>
      <w:rPr>
        <w:sz w:val="18"/>
        <w:szCs w:val="18"/>
      </w:rPr>
    </w:pPr>
  </w:p>
  <w:p w:rsidRPr="00120B10" w:rsidR="005D0D39" w:rsidP="00F72936" w:rsidRDefault="005D0D39" w14:paraId="6C0EFC49" w14:textId="77777777">
    <w:pPr>
      <w:pStyle w:val="Piedepgina"/>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A07D30" w:rsidRDefault="00A07D30" w14:paraId="7ADBB00F" w14:textId="77777777">
      <w:r>
        <w:separator/>
      </w:r>
    </w:p>
  </w:footnote>
  <w:footnote w:type="continuationSeparator" w:id="0">
    <w:p w:rsidR="00A07D30" w:rsidRDefault="00A07D30" w14:paraId="2B0C64B1" w14:textId="77777777">
      <w:r>
        <w:continuationSeparator/>
      </w:r>
    </w:p>
  </w:footnote>
  <w:footnote w:id="1">
    <w:p w:rsidRPr="00B7637A" w:rsidR="00D86BBF" w:rsidP="00D86BBF" w:rsidRDefault="00D86BBF" w14:paraId="4AF56FA0" w14:textId="62D090EA">
      <w:pPr>
        <w:ind w:right="51" w:firstLine="708"/>
        <w:jc w:val="both"/>
        <w:rPr>
          <w:rFonts w:ascii="Arial" w:hAnsi="Arial" w:eastAsia="Calibri" w:cs="Arial"/>
          <w:color w:val="000000" w:themeColor="text1"/>
          <w:sz w:val="19"/>
          <w:szCs w:val="19"/>
        </w:rPr>
      </w:pPr>
      <w:r w:rsidRPr="00B7637A">
        <w:rPr>
          <w:rStyle w:val="Refdenotaalpie"/>
          <w:rFonts w:ascii="Arial" w:hAnsi="Arial" w:cs="Arial"/>
          <w:color w:val="000000" w:themeColor="text1"/>
          <w:sz w:val="19"/>
          <w:szCs w:val="19"/>
        </w:rPr>
        <w:footnoteRef/>
      </w:r>
      <w:r w:rsidRPr="00B7637A">
        <w:rPr>
          <w:rFonts w:ascii="Arial" w:hAnsi="Arial" w:cs="Arial"/>
          <w:color w:val="000000" w:themeColor="text1"/>
          <w:sz w:val="19"/>
          <w:szCs w:val="19"/>
        </w:rPr>
        <w:t xml:space="preserve"> </w:t>
      </w:r>
      <w:r w:rsidRPr="00B7637A">
        <w:rPr>
          <w:rFonts w:ascii="Arial" w:hAnsi="Arial" w:eastAsia="Calibri" w:cs="Arial"/>
          <w:color w:val="000000" w:themeColor="text1"/>
          <w:sz w:val="19"/>
          <w:szCs w:val="19"/>
        </w:rPr>
        <w:t xml:space="preserve">Decreto 019 de 2012: </w:t>
      </w:r>
      <w:r w:rsidR="00D93576">
        <w:rPr>
          <w:rFonts w:ascii="Arial" w:hAnsi="Arial" w:eastAsia="Calibri" w:cs="Arial"/>
          <w:color w:val="000000" w:themeColor="text1"/>
          <w:sz w:val="19"/>
          <w:szCs w:val="19"/>
        </w:rPr>
        <w:t>«</w:t>
      </w:r>
      <w:r w:rsidRPr="00B7637A">
        <w:rPr>
          <w:rFonts w:ascii="Arial" w:hAnsi="Arial" w:eastAsia="Calibri" w:cs="Arial"/>
          <w:color w:val="000000" w:themeColor="text1"/>
          <w:sz w:val="19"/>
          <w:szCs w:val="19"/>
        </w:rPr>
        <w:t>Artículo 229. Experiencia profesional. Para el ejercicio de las diferentes profesiones acreditadas por el Ministerio de Educación Nacional, la experiencia profesional se computará a partir de la terminación y aprobación del pensum académico de educación superior.</w:t>
      </w:r>
    </w:p>
    <w:p w:rsidRPr="00B7637A" w:rsidR="00D86BBF" w:rsidP="00D86BBF" w:rsidRDefault="00D86BBF" w14:paraId="44C81834" w14:textId="77777777">
      <w:pPr>
        <w:ind w:right="51" w:firstLine="708"/>
        <w:jc w:val="both"/>
        <w:rPr>
          <w:rFonts w:ascii="Arial" w:hAnsi="Arial" w:eastAsia="Calibri" w:cs="Arial"/>
          <w:color w:val="000000" w:themeColor="text1"/>
          <w:sz w:val="19"/>
          <w:szCs w:val="19"/>
        </w:rPr>
      </w:pPr>
      <w:r w:rsidRPr="00B7637A">
        <w:rPr>
          <w:rFonts w:ascii="Arial" w:hAnsi="Arial" w:eastAsia="Calibri" w:cs="Arial"/>
          <w:color w:val="000000" w:themeColor="text1"/>
          <w:sz w:val="19"/>
          <w:szCs w:val="19"/>
        </w:rPr>
        <w:t>»Se exceptúan de esta condición las profesiones relacionadas con el sistema de seguridad social en salud en las cuales la experiencia profesional se computará a partir de la inscripción o registro profesional».</w:t>
      </w:r>
    </w:p>
    <w:p w:rsidRPr="00B7637A" w:rsidR="00D86BBF" w:rsidP="00D86BBF" w:rsidRDefault="00D86BBF" w14:paraId="4B555CE1" w14:textId="77777777">
      <w:pPr>
        <w:pStyle w:val="Textonotapie"/>
        <w:ind w:firstLine="708"/>
        <w:jc w:val="both"/>
        <w:rPr>
          <w:rFonts w:ascii="Arial" w:hAnsi="Arial" w:cs="Arial"/>
          <w:color w:val="000000" w:themeColor="text1"/>
          <w:sz w:val="19"/>
          <w:szCs w:val="19"/>
          <w:lang w:val="es-CO"/>
        </w:rPr>
      </w:pPr>
    </w:p>
  </w:footnote>
  <w:footnote w:id="2">
    <w:p w:rsidRPr="00B7637A" w:rsidR="00D86BBF" w:rsidP="00D86BBF" w:rsidRDefault="00D86BBF" w14:paraId="24D90359" w14:textId="77777777">
      <w:pPr>
        <w:ind w:firstLine="709"/>
        <w:jc w:val="both"/>
        <w:rPr>
          <w:rFonts w:ascii="Arial" w:hAnsi="Arial" w:eastAsia="Calibri" w:cs="Arial"/>
          <w:color w:val="000000" w:themeColor="text1"/>
          <w:sz w:val="19"/>
          <w:szCs w:val="19"/>
        </w:rPr>
      </w:pPr>
      <w:r w:rsidRPr="00B7637A">
        <w:rPr>
          <w:rStyle w:val="Refdenotaalpie"/>
          <w:rFonts w:ascii="Arial" w:hAnsi="Arial" w:cs="Arial"/>
          <w:color w:val="000000" w:themeColor="text1"/>
          <w:sz w:val="19"/>
          <w:szCs w:val="19"/>
        </w:rPr>
        <w:footnoteRef/>
      </w:r>
      <w:r w:rsidRPr="00B7637A">
        <w:rPr>
          <w:rFonts w:ascii="Arial" w:hAnsi="Arial" w:cs="Arial"/>
          <w:color w:val="000000" w:themeColor="text1"/>
          <w:sz w:val="19"/>
          <w:szCs w:val="19"/>
        </w:rPr>
        <w:t xml:space="preserve"> </w:t>
      </w:r>
      <w:r w:rsidRPr="00B7637A">
        <w:rPr>
          <w:rFonts w:ascii="Arial" w:hAnsi="Arial" w:eastAsia="Calibri" w:cs="Arial"/>
          <w:color w:val="000000" w:themeColor="text1"/>
          <w:sz w:val="19"/>
          <w:szCs w:val="19"/>
        </w:rPr>
        <w:t>Ley 1780 de 2016: «Artículo 15. Naturaleza, definición y reglamentación de la práctica laboral. la práctica laboral es una actividad formativa desarrollada por un estudiante de programas de formación complementaria ofrecidos por las escuelas normales superiores y educación superior de pregrado, durante un tiempo determinado, en un ambiente laboral real, con supervisión y sobre asuntos relacionados con su área de estudio o desempeño y su tipo de formación; para el cumplimiento de un requisito para culminar sus estudios u obtener un título que lo acreditará para el desempeño laboral.</w:t>
      </w:r>
    </w:p>
    <w:p w:rsidRPr="00B7637A" w:rsidR="00D86BBF" w:rsidP="00D86BBF" w:rsidRDefault="00D86BBF" w14:paraId="34623E7B" w14:textId="77777777">
      <w:pPr>
        <w:ind w:firstLine="709"/>
        <w:jc w:val="both"/>
        <w:rPr>
          <w:rFonts w:ascii="Arial" w:hAnsi="Arial" w:eastAsia="Calibri" w:cs="Arial"/>
          <w:color w:val="000000" w:themeColor="text1"/>
          <w:sz w:val="19"/>
          <w:szCs w:val="19"/>
        </w:rPr>
      </w:pPr>
      <w:r w:rsidRPr="00B7637A">
        <w:rPr>
          <w:rFonts w:ascii="Arial" w:hAnsi="Arial" w:eastAsia="Calibri" w:cs="Arial"/>
          <w:color w:val="000000" w:themeColor="text1"/>
          <w:sz w:val="19"/>
          <w:szCs w:val="19"/>
        </w:rPr>
        <w:t>»Por tratarse de una actividad formativa, la práctica laboral no constituye relación de trabajo».</w:t>
      </w:r>
    </w:p>
    <w:p w:rsidRPr="00B7637A" w:rsidR="00D86BBF" w:rsidP="00D86BBF" w:rsidRDefault="00D86BBF" w14:paraId="3803C3A9" w14:textId="77777777">
      <w:pPr>
        <w:pStyle w:val="Textonotapie"/>
        <w:ind w:firstLine="708"/>
        <w:jc w:val="both"/>
        <w:rPr>
          <w:rFonts w:ascii="Arial" w:hAnsi="Arial" w:cs="Arial"/>
          <w:color w:val="000000" w:themeColor="text1"/>
          <w:sz w:val="19"/>
          <w:szCs w:val="19"/>
          <w:lang w:val="es-CO"/>
        </w:rPr>
      </w:pPr>
    </w:p>
  </w:footnote>
  <w:footnote w:id="3">
    <w:p w:rsidRPr="00B7637A" w:rsidR="00D86BBF" w:rsidP="00D86BBF" w:rsidRDefault="00D86BBF" w14:paraId="0375EF1C" w14:textId="2038AF6F">
      <w:pPr>
        <w:pStyle w:val="NormalWeb"/>
        <w:spacing w:before="0" w:beforeAutospacing="0" w:after="0" w:afterAutospacing="0"/>
        <w:ind w:firstLine="709"/>
        <w:jc w:val="both"/>
        <w:rPr>
          <w:rFonts w:ascii="Arial" w:hAnsi="Arial" w:cs="Arial"/>
          <w:color w:val="000000" w:themeColor="text1"/>
          <w:sz w:val="19"/>
          <w:szCs w:val="19"/>
        </w:rPr>
      </w:pPr>
      <w:r w:rsidRPr="00B7637A">
        <w:rPr>
          <w:rStyle w:val="Refdenotaalpie"/>
          <w:rFonts w:ascii="Arial" w:hAnsi="Arial" w:cs="Arial"/>
          <w:color w:val="000000" w:themeColor="text1"/>
          <w:sz w:val="19"/>
          <w:szCs w:val="19"/>
        </w:rPr>
        <w:footnoteRef/>
      </w:r>
      <w:bookmarkStart w:name="192" w:id="2"/>
      <w:r w:rsidRPr="00B7637A">
        <w:rPr>
          <w:rFonts w:ascii="Arial" w:hAnsi="Arial" w:cs="Arial"/>
          <w:bCs/>
          <w:color w:val="000000" w:themeColor="text1"/>
          <w:sz w:val="19"/>
          <w:szCs w:val="19"/>
        </w:rPr>
        <w:t xml:space="preserve"> «</w:t>
      </w:r>
      <w:r w:rsidRPr="00B7637A" w:rsidR="00D93576">
        <w:rPr>
          <w:rFonts w:ascii="Arial" w:hAnsi="Arial" w:cs="Arial"/>
          <w:bCs/>
          <w:color w:val="000000" w:themeColor="text1"/>
          <w:sz w:val="19"/>
          <w:szCs w:val="19"/>
        </w:rPr>
        <w:t>Artículo 192. Prácticas Laborales</w:t>
      </w:r>
      <w:r w:rsidRPr="00B7637A">
        <w:rPr>
          <w:rFonts w:ascii="Arial" w:hAnsi="Arial" w:cs="Arial"/>
          <w:bCs/>
          <w:color w:val="000000" w:themeColor="text1"/>
          <w:sz w:val="19"/>
          <w:szCs w:val="19"/>
        </w:rPr>
        <w:t>.</w:t>
      </w:r>
      <w:bookmarkEnd w:id="2"/>
      <w:r w:rsidRPr="00B7637A">
        <w:rPr>
          <w:rFonts w:ascii="Arial" w:hAnsi="Arial" w:cs="Arial"/>
          <w:color w:val="000000" w:themeColor="text1"/>
          <w:sz w:val="19"/>
          <w:szCs w:val="19"/>
        </w:rPr>
        <w:t> Además de lo previsto en el artículo </w:t>
      </w:r>
      <w:hyperlink w:history="1" w:anchor="15" r:id="rId1">
        <w:r w:rsidRPr="004019D5">
          <w:rPr>
            <w:rStyle w:val="Hipervnculo"/>
            <w:rFonts w:ascii="Arial" w:hAnsi="Arial" w:cs="Arial"/>
            <w:color w:val="000000" w:themeColor="text1"/>
            <w:sz w:val="19"/>
            <w:szCs w:val="19"/>
            <w:u w:val="none"/>
          </w:rPr>
          <w:t>15</w:t>
        </w:r>
      </w:hyperlink>
      <w:r w:rsidRPr="00B7637A">
        <w:rPr>
          <w:rFonts w:ascii="Arial" w:hAnsi="Arial" w:cs="Arial"/>
          <w:color w:val="000000" w:themeColor="text1"/>
          <w:sz w:val="19"/>
          <w:szCs w:val="19"/>
        </w:rPr>
        <w:t xml:space="preserve"> de la Ley 1780 de 2016, las prácticas laborales podrán desarrollarse por estudiantes de educación superior de posgrado, de educación para el trabajo y desarrollo humano, de formación profesional integral del SENA, así como de toda la oferta de formación por competencias. </w:t>
      </w:r>
    </w:p>
    <w:p w:rsidRPr="00B7637A" w:rsidR="00D86BBF" w:rsidP="00D86BBF" w:rsidRDefault="00D86BBF" w14:paraId="5E62A7F0" w14:textId="77777777">
      <w:pPr>
        <w:pStyle w:val="NormalWeb"/>
        <w:spacing w:before="0" w:beforeAutospacing="0" w:after="0" w:afterAutospacing="0"/>
        <w:ind w:firstLine="709"/>
        <w:jc w:val="both"/>
        <w:rPr>
          <w:rFonts w:ascii="Arial" w:hAnsi="Arial" w:cs="Arial"/>
          <w:color w:val="000000" w:themeColor="text1"/>
          <w:sz w:val="19"/>
          <w:szCs w:val="19"/>
        </w:rPr>
      </w:pPr>
      <w:r w:rsidRPr="00B7637A">
        <w:rPr>
          <w:rStyle w:val="baj"/>
          <w:rFonts w:ascii="Arial" w:hAnsi="Arial" w:cs="Arial"/>
          <w:bCs/>
          <w:color w:val="000000" w:themeColor="text1"/>
          <w:sz w:val="19"/>
          <w:szCs w:val="19"/>
        </w:rPr>
        <w:t>»PARÁGRAFO 1o.</w:t>
      </w:r>
      <w:r w:rsidRPr="00B7637A">
        <w:rPr>
          <w:rFonts w:ascii="Arial" w:hAnsi="Arial" w:cs="Arial"/>
          <w:color w:val="000000" w:themeColor="text1"/>
          <w:sz w:val="19"/>
          <w:szCs w:val="19"/>
        </w:rPr>
        <w:t> El tiempo de la práctica laboral que el estudiante realice para optar a su título de profesional, tecnológico o técnico cuenta como experiencia laboral, sin perjuicio de las disposiciones vigentes en la materia.</w:t>
      </w:r>
    </w:p>
    <w:p w:rsidRPr="00B7637A" w:rsidR="00D86BBF" w:rsidP="00D86BBF" w:rsidRDefault="00D86BBF" w14:paraId="09D186D2" w14:textId="77777777">
      <w:pPr>
        <w:pStyle w:val="NormalWeb"/>
        <w:spacing w:before="0" w:beforeAutospacing="0" w:after="0" w:afterAutospacing="0"/>
        <w:ind w:firstLine="709"/>
        <w:jc w:val="both"/>
        <w:rPr>
          <w:rFonts w:ascii="Arial" w:hAnsi="Arial" w:cs="Arial"/>
          <w:color w:val="000000" w:themeColor="text1"/>
          <w:sz w:val="19"/>
          <w:szCs w:val="19"/>
        </w:rPr>
      </w:pPr>
      <w:r w:rsidRPr="00B7637A">
        <w:rPr>
          <w:rFonts w:ascii="Arial" w:hAnsi="Arial" w:cs="Arial"/>
          <w:color w:val="000000" w:themeColor="text1"/>
          <w:sz w:val="19"/>
          <w:szCs w:val="19"/>
        </w:rPr>
        <w:t>»</w:t>
      </w:r>
      <w:r w:rsidRPr="00B7637A">
        <w:rPr>
          <w:rStyle w:val="baj"/>
          <w:rFonts w:ascii="Arial" w:hAnsi="Arial" w:cs="Arial"/>
          <w:bCs/>
          <w:color w:val="000000" w:themeColor="text1"/>
          <w:sz w:val="19"/>
          <w:szCs w:val="19"/>
        </w:rPr>
        <w:t>PARÁGRAFO 2o.</w:t>
      </w:r>
      <w:r w:rsidRPr="00B7637A">
        <w:rPr>
          <w:rFonts w:ascii="Arial" w:hAnsi="Arial" w:cs="Arial"/>
          <w:color w:val="000000" w:themeColor="text1"/>
          <w:sz w:val="19"/>
          <w:szCs w:val="19"/>
        </w:rPr>
        <w:t xml:space="preserve"> Las prácticas laborales realizadas durante los veinticuatro (24) meses anteriores a la entrada en vigencia de la presente Ley, serán tenidas en cuenta al momento de contabilizar el tiempo de experiencia laboral. </w:t>
      </w:r>
    </w:p>
    <w:p w:rsidRPr="00B7637A" w:rsidR="00D86BBF" w:rsidP="00D86BBF" w:rsidRDefault="00D86BBF" w14:paraId="462DD798" w14:textId="77777777">
      <w:pPr>
        <w:pStyle w:val="NormalWeb"/>
        <w:spacing w:before="0" w:beforeAutospacing="0" w:after="0" w:afterAutospacing="0"/>
        <w:ind w:firstLine="709"/>
        <w:jc w:val="both"/>
        <w:rPr>
          <w:rFonts w:ascii="Arial" w:hAnsi="Arial" w:cs="Arial"/>
          <w:color w:val="000000" w:themeColor="text1"/>
          <w:sz w:val="19"/>
          <w:szCs w:val="19"/>
        </w:rPr>
      </w:pPr>
      <w:r w:rsidRPr="00B7637A">
        <w:rPr>
          <w:rStyle w:val="baj"/>
          <w:rFonts w:ascii="Arial" w:hAnsi="Arial" w:cs="Arial"/>
          <w:bCs/>
          <w:color w:val="000000" w:themeColor="text1"/>
          <w:sz w:val="19"/>
          <w:szCs w:val="19"/>
        </w:rPr>
        <w:t>»PARÁGRAFO 3o.</w:t>
      </w:r>
      <w:r w:rsidRPr="00B7637A">
        <w:rPr>
          <w:rFonts w:ascii="Arial" w:hAnsi="Arial" w:cs="Arial"/>
          <w:color w:val="000000" w:themeColor="text1"/>
          <w:sz w:val="19"/>
          <w:szCs w:val="19"/>
        </w:rPr>
        <w:t> Se exceptúan de lo dispuesto en el presente artículo, los estudiantes de posgrado del sector salud.</w:t>
      </w:r>
    </w:p>
    <w:p w:rsidRPr="00B7637A" w:rsidR="00D86BBF" w:rsidP="00D86BBF" w:rsidRDefault="00D86BBF" w14:paraId="67B4A9A0" w14:textId="77777777">
      <w:pPr>
        <w:pStyle w:val="NormalWeb"/>
        <w:spacing w:before="0" w:beforeAutospacing="0" w:after="0" w:afterAutospacing="0"/>
        <w:ind w:firstLine="709"/>
        <w:jc w:val="both"/>
        <w:rPr>
          <w:rFonts w:ascii="Arial" w:hAnsi="Arial" w:cs="Arial"/>
          <w:color w:val="000000" w:themeColor="text1"/>
          <w:sz w:val="19"/>
          <w:szCs w:val="19"/>
        </w:rPr>
      </w:pPr>
      <w:r w:rsidRPr="00B7637A">
        <w:rPr>
          <w:rFonts w:ascii="Arial" w:hAnsi="Arial" w:cs="Arial"/>
          <w:color w:val="000000" w:themeColor="text1"/>
          <w:sz w:val="19"/>
          <w:szCs w:val="19"/>
        </w:rPr>
        <w:t>»</w:t>
      </w:r>
      <w:r w:rsidRPr="00B7637A">
        <w:rPr>
          <w:rStyle w:val="baj"/>
          <w:rFonts w:ascii="Arial" w:hAnsi="Arial" w:cs="Arial"/>
          <w:bCs/>
          <w:color w:val="000000" w:themeColor="text1"/>
          <w:sz w:val="19"/>
          <w:szCs w:val="19"/>
        </w:rPr>
        <w:t>PARÁGRAFO 4o</w:t>
      </w:r>
      <w:r w:rsidRPr="00B7637A">
        <w:rPr>
          <w:rStyle w:val="baj"/>
          <w:rFonts w:ascii="Arial" w:hAnsi="Arial" w:cs="Arial"/>
          <w:b/>
          <w:bCs/>
          <w:color w:val="000000" w:themeColor="text1"/>
          <w:sz w:val="19"/>
          <w:szCs w:val="19"/>
        </w:rPr>
        <w:t>.</w:t>
      </w:r>
      <w:r w:rsidRPr="00B7637A">
        <w:rPr>
          <w:rFonts w:ascii="Arial" w:hAnsi="Arial" w:cs="Arial"/>
          <w:color w:val="000000" w:themeColor="text1"/>
          <w:sz w:val="19"/>
          <w:szCs w:val="19"/>
        </w:rPr>
        <w:t> En el sector público se generarán oportunidades de prácticas laborales para estudiantes de administración pública».</w:t>
      </w:r>
    </w:p>
    <w:p w:rsidRPr="00B7637A" w:rsidR="00D86BBF" w:rsidP="00D86BBF" w:rsidRDefault="00D86BBF" w14:paraId="18DC3CF0" w14:textId="77777777">
      <w:pPr>
        <w:pStyle w:val="Textonotapie"/>
        <w:ind w:firstLine="709"/>
        <w:jc w:val="both"/>
        <w:rPr>
          <w:rFonts w:ascii="Arial" w:hAnsi="Arial" w:cs="Arial"/>
          <w:color w:val="000000" w:themeColor="text1"/>
          <w:sz w:val="19"/>
          <w:szCs w:val="19"/>
          <w:lang w:val="es-CO"/>
        </w:rPr>
      </w:pPr>
      <w:r w:rsidRPr="00B7637A">
        <w:rPr>
          <w:rFonts w:ascii="Arial" w:hAnsi="Arial" w:cs="Arial"/>
          <w:color w:val="000000" w:themeColor="text1"/>
          <w:sz w:val="19"/>
          <w:szCs w:val="19"/>
        </w:rPr>
        <w:t xml:space="preserve"> </w:t>
      </w:r>
    </w:p>
  </w:footnote>
  <w:footnote w:id="4">
    <w:p w:rsidRPr="00B7637A" w:rsidR="00155203" w:rsidP="00155203" w:rsidRDefault="00155203" w14:paraId="3188DE6F" w14:textId="77777777">
      <w:pPr>
        <w:pStyle w:val="Textonotapie"/>
        <w:ind w:firstLine="709"/>
        <w:jc w:val="both"/>
        <w:rPr>
          <w:rFonts w:ascii="Arial" w:hAnsi="Arial" w:cs="Arial"/>
          <w:color w:val="000000" w:themeColor="text1"/>
          <w:sz w:val="19"/>
          <w:szCs w:val="19"/>
          <w:lang w:val="es-CO"/>
        </w:rPr>
      </w:pPr>
      <w:r w:rsidRPr="00B7637A">
        <w:rPr>
          <w:rStyle w:val="Refdenotaalpie"/>
          <w:rFonts w:ascii="Arial" w:hAnsi="Arial" w:cs="Arial"/>
          <w:color w:val="000000" w:themeColor="text1"/>
          <w:sz w:val="19"/>
          <w:szCs w:val="19"/>
        </w:rPr>
        <w:footnoteRef/>
      </w:r>
      <w:r w:rsidRPr="00B7637A">
        <w:rPr>
          <w:rFonts w:ascii="Arial" w:hAnsi="Arial" w:eastAsia="Calibri" w:cs="Arial"/>
          <w:color w:val="000000" w:themeColor="text1"/>
          <w:sz w:val="19"/>
          <w:szCs w:val="19"/>
        </w:rPr>
        <w:t xml:space="preserve"> Corte Constitucional. Sentencia C-688 del 10 de septiembre de 2014. M.P. Luis Guillermo Guerrero Pérez</w:t>
      </w:r>
      <w:r w:rsidRPr="00B7637A">
        <w:rPr>
          <w:rFonts w:ascii="Arial" w:hAnsi="Arial" w:cs="Arial"/>
          <w:color w:val="000000" w:themeColor="text1"/>
          <w:sz w:val="19"/>
          <w:szCs w:val="19"/>
        </w:rPr>
        <w:t xml:space="preserve"> </w:t>
      </w:r>
    </w:p>
  </w:footnote>
  <w:footnote w:id="5">
    <w:p w:rsidRPr="00B7637A" w:rsidR="00D86BBF" w:rsidP="00D86BBF" w:rsidRDefault="00D86BBF" w14:paraId="18A88E04" w14:textId="77777777">
      <w:pPr>
        <w:pStyle w:val="NormalWeb"/>
        <w:shd w:val="clear" w:color="auto" w:fill="FFFFFF"/>
        <w:spacing w:before="0" w:beforeAutospacing="0" w:after="0" w:afterAutospacing="0"/>
        <w:ind w:firstLine="708"/>
        <w:jc w:val="both"/>
        <w:rPr>
          <w:rFonts w:ascii="Arial" w:hAnsi="Arial" w:cs="Arial"/>
          <w:color w:val="000000" w:themeColor="text1"/>
          <w:sz w:val="19"/>
          <w:szCs w:val="19"/>
        </w:rPr>
      </w:pPr>
      <w:r w:rsidRPr="00B7637A">
        <w:rPr>
          <w:rStyle w:val="Refdenotaalpie"/>
          <w:rFonts w:ascii="Arial" w:hAnsi="Arial" w:cs="Arial"/>
          <w:color w:val="000000" w:themeColor="text1"/>
          <w:sz w:val="19"/>
          <w:szCs w:val="19"/>
        </w:rPr>
        <w:footnoteRef/>
      </w:r>
      <w:r w:rsidRPr="00B7637A">
        <w:rPr>
          <w:rStyle w:val="Textoennegrita"/>
          <w:rFonts w:ascii="Arial" w:hAnsi="Arial" w:cs="Arial"/>
          <w:color w:val="000000" w:themeColor="text1"/>
          <w:sz w:val="19"/>
          <w:szCs w:val="19"/>
        </w:rPr>
        <w:t xml:space="preserve"> «</w:t>
      </w:r>
      <w:r w:rsidRPr="004019D5">
        <w:rPr>
          <w:rStyle w:val="Textoennegrita"/>
          <w:rFonts w:ascii="Arial" w:hAnsi="Arial" w:cs="Arial"/>
          <w:b w:val="0"/>
          <w:bCs w:val="0"/>
          <w:color w:val="000000" w:themeColor="text1"/>
          <w:sz w:val="19"/>
          <w:szCs w:val="19"/>
        </w:rPr>
        <w:t>Artículo 2.2.1.2.1.4.9.</w:t>
      </w:r>
      <w:r w:rsidRPr="00B7637A">
        <w:rPr>
          <w:rStyle w:val="Textoennegrita"/>
          <w:rFonts w:ascii="Arial" w:hAnsi="Arial" w:cs="Arial"/>
          <w:color w:val="000000" w:themeColor="text1"/>
          <w:sz w:val="19"/>
          <w:szCs w:val="19"/>
        </w:rPr>
        <w:t> </w:t>
      </w:r>
      <w:r w:rsidRPr="00B7637A">
        <w:rPr>
          <w:rStyle w:val="nfasis"/>
          <w:rFonts w:ascii="Arial" w:hAnsi="Arial" w:cs="Arial"/>
          <w:bCs/>
          <w:color w:val="000000" w:themeColor="text1"/>
          <w:sz w:val="19"/>
          <w:szCs w:val="19"/>
        </w:rPr>
        <w:t>Contratos de prestación de servicios profesionales y de apoyo a la gestión, o para la ejecución de trabajos artísticos que solo pueden encomendarse a determinadas personas naturales.</w:t>
      </w:r>
      <w:r w:rsidRPr="00B7637A">
        <w:rPr>
          <w:rStyle w:val="nfasis"/>
          <w:rFonts w:ascii="Arial" w:hAnsi="Arial" w:cs="Arial"/>
          <w:color w:val="000000" w:themeColor="text1"/>
          <w:sz w:val="19"/>
          <w:szCs w:val="19"/>
        </w:rPr>
        <w:t> </w:t>
      </w:r>
      <w:r w:rsidRPr="00B7637A">
        <w:rPr>
          <w:rFonts w:ascii="Arial" w:hAnsi="Arial" w:cs="Arial"/>
          <w:color w:val="000000" w:themeColor="text1"/>
          <w:sz w:val="19"/>
          <w:szCs w:val="19"/>
        </w:rPr>
        <w:t>Las Entidades Estatales pueden contratar bajo la modalidad de contratación directa la prestación de servicios profesionales y de apoyo a la gestión con la persona natural o jurídica que esté en capacidad de ejecutar el objeto del contrato, siempre y cuando la Entidad Estatal verifique la idoneidad o experiencia requerida y relacionada con el área de que se trate. En este caso, no es necesario que la Entidad Estatal haya obtenido previamente varias ofertas, de lo cual el ordenador del gasto debe dejar constancia escrita.</w:t>
      </w:r>
    </w:p>
    <w:p w:rsidRPr="00B7637A" w:rsidR="00D86BBF" w:rsidP="00D86BBF" w:rsidRDefault="00D86BBF" w14:paraId="155CEB2D" w14:textId="77777777">
      <w:pPr>
        <w:pStyle w:val="NormalWeb"/>
        <w:shd w:val="clear" w:color="auto" w:fill="FFFFFF"/>
        <w:spacing w:before="0" w:beforeAutospacing="0" w:after="0" w:afterAutospacing="0"/>
        <w:ind w:firstLine="708"/>
        <w:jc w:val="both"/>
        <w:rPr>
          <w:rFonts w:ascii="Arial" w:hAnsi="Arial" w:cs="Arial"/>
          <w:color w:val="000000" w:themeColor="text1"/>
          <w:sz w:val="19"/>
          <w:szCs w:val="19"/>
        </w:rPr>
      </w:pPr>
      <w:r w:rsidRPr="00B7637A">
        <w:rPr>
          <w:rFonts w:ascii="Arial" w:hAnsi="Arial" w:cs="Arial"/>
          <w:color w:val="000000" w:themeColor="text1"/>
          <w:sz w:val="19"/>
          <w:szCs w:val="19"/>
        </w:rPr>
        <w:t>»Los servicios profesionales y de apoyo a la gestión corresponden a aquellos de naturaleza intelectual diferentes a los de consultoría que se derivan del cumplimiento de las funciones de la Entidad Estatal, así como los relacionados con actividades operativas, logísticas, o asistenciales.</w:t>
      </w:r>
    </w:p>
    <w:p w:rsidRPr="00B7637A" w:rsidR="00D86BBF" w:rsidP="00D86BBF" w:rsidRDefault="00D86BBF" w14:paraId="28B6C7E9" w14:textId="77777777">
      <w:pPr>
        <w:pStyle w:val="NormalWeb"/>
        <w:shd w:val="clear" w:color="auto" w:fill="FFFFFF"/>
        <w:spacing w:before="0" w:beforeAutospacing="0" w:after="0" w:afterAutospacing="0"/>
        <w:ind w:firstLine="708"/>
        <w:jc w:val="both"/>
        <w:rPr>
          <w:rFonts w:ascii="Arial" w:hAnsi="Arial" w:cs="Arial"/>
          <w:color w:val="000000" w:themeColor="text1"/>
          <w:sz w:val="19"/>
          <w:szCs w:val="19"/>
        </w:rPr>
      </w:pPr>
      <w:r w:rsidRPr="00B7637A">
        <w:rPr>
          <w:rFonts w:ascii="Arial" w:hAnsi="Arial" w:cs="Arial"/>
          <w:color w:val="000000" w:themeColor="text1"/>
          <w:sz w:val="19"/>
          <w:szCs w:val="19"/>
        </w:rPr>
        <w:t>»La Entidad Estatal, para la contratación de trabajos artísticos que solamente puedan encomendarse a determinadas personas naturales, debe justificar esta situación en los estudios y documentos previos».</w:t>
      </w:r>
    </w:p>
    <w:p w:rsidRPr="00B7637A" w:rsidR="00D86BBF" w:rsidP="00D86BBF" w:rsidRDefault="00D86BBF" w14:paraId="071FEFB8" w14:textId="77777777">
      <w:pPr>
        <w:pStyle w:val="Textonotapie"/>
        <w:ind w:firstLine="708"/>
        <w:jc w:val="both"/>
        <w:rPr>
          <w:rFonts w:ascii="Arial" w:hAnsi="Arial" w:cs="Arial"/>
          <w:color w:val="000000" w:themeColor="text1"/>
          <w:sz w:val="19"/>
          <w:szCs w:val="19"/>
          <w:lang w:val="es-CO"/>
        </w:rPr>
      </w:pPr>
      <w:r w:rsidRPr="00B7637A">
        <w:rPr>
          <w:rFonts w:ascii="Arial" w:hAnsi="Arial" w:cs="Arial"/>
          <w:color w:val="000000" w:themeColor="text1"/>
          <w:sz w:val="19"/>
          <w:szCs w:val="19"/>
        </w:rPr>
        <w:t xml:space="preserve"> </w:t>
      </w:r>
    </w:p>
  </w:footnote>
  <w:footnote w:id="6">
    <w:p w:rsidRPr="00B7637A" w:rsidR="00D86BBF" w:rsidP="00D86BBF" w:rsidRDefault="00D86BBF" w14:paraId="6F3C108D" w14:textId="76543F57">
      <w:pPr>
        <w:pStyle w:val="Textonotapie"/>
        <w:ind w:firstLine="708"/>
        <w:jc w:val="both"/>
        <w:rPr>
          <w:rFonts w:ascii="Arial" w:hAnsi="Arial" w:cs="Arial"/>
          <w:color w:val="000000" w:themeColor="text1"/>
          <w:sz w:val="19"/>
          <w:szCs w:val="19"/>
        </w:rPr>
      </w:pPr>
      <w:r w:rsidRPr="00B7637A">
        <w:rPr>
          <w:rStyle w:val="Refdenotaalpie"/>
          <w:rFonts w:ascii="Arial" w:hAnsi="Arial" w:cs="Arial"/>
          <w:color w:val="000000" w:themeColor="text1"/>
          <w:sz w:val="19"/>
          <w:szCs w:val="19"/>
        </w:rPr>
        <w:footnoteRef/>
      </w:r>
      <w:r w:rsidRPr="00B7637A">
        <w:rPr>
          <w:rFonts w:ascii="Arial" w:hAnsi="Arial" w:cs="Arial"/>
          <w:color w:val="000000" w:themeColor="text1"/>
          <w:sz w:val="19"/>
          <w:szCs w:val="19"/>
        </w:rPr>
        <w:t xml:space="preserve"> «</w:t>
      </w:r>
      <w:r w:rsidRPr="00B7637A" w:rsidR="00524973">
        <w:rPr>
          <w:rFonts w:ascii="Arial" w:hAnsi="Arial" w:cs="Arial"/>
          <w:color w:val="000000" w:themeColor="text1"/>
          <w:sz w:val="19"/>
          <w:szCs w:val="19"/>
        </w:rPr>
        <w:t>A</w:t>
      </w:r>
      <w:r w:rsidR="00524973">
        <w:rPr>
          <w:rFonts w:ascii="Arial" w:hAnsi="Arial" w:cs="Arial"/>
          <w:color w:val="000000" w:themeColor="text1"/>
          <w:sz w:val="19"/>
          <w:szCs w:val="19"/>
        </w:rPr>
        <w:t>rtículo</w:t>
      </w:r>
      <w:r w:rsidRPr="00B7637A" w:rsidR="00524973">
        <w:rPr>
          <w:rFonts w:ascii="Arial" w:hAnsi="Arial" w:cs="Arial"/>
          <w:color w:val="000000" w:themeColor="text1"/>
          <w:sz w:val="19"/>
          <w:szCs w:val="19"/>
        </w:rPr>
        <w:t xml:space="preserve"> </w:t>
      </w:r>
      <w:r w:rsidRPr="00B7637A">
        <w:rPr>
          <w:rFonts w:ascii="Arial" w:hAnsi="Arial" w:cs="Arial"/>
          <w:color w:val="000000" w:themeColor="text1"/>
          <w:sz w:val="19"/>
          <w:szCs w:val="19"/>
        </w:rPr>
        <w:t>1o. Todo aspirante a ocupar un cargo o empleo público, o a celebrar un contrato de prestación de servicios con la administración deberá presentar ante la unidad de personal de la correspondiente entidad, o ante la dependencia que haga sus veces, el formato único de hoja de vida debidamente diligenciado en el cual consignará la información completa que en ella se solicita:</w:t>
      </w:r>
    </w:p>
    <w:p w:rsidRPr="00B7637A" w:rsidR="00D86BBF" w:rsidP="00D86BBF" w:rsidRDefault="00D86BBF" w14:paraId="6E53DF97" w14:textId="77777777">
      <w:pPr>
        <w:pStyle w:val="Textonotapie"/>
        <w:ind w:firstLine="708"/>
        <w:jc w:val="both"/>
        <w:rPr>
          <w:rFonts w:ascii="Arial" w:hAnsi="Arial" w:cs="Arial"/>
          <w:color w:val="000000" w:themeColor="text1"/>
          <w:sz w:val="19"/>
          <w:szCs w:val="19"/>
        </w:rPr>
      </w:pPr>
      <w:r w:rsidRPr="00B7637A">
        <w:rPr>
          <w:rFonts w:ascii="Arial" w:hAnsi="Arial" w:cs="Arial"/>
          <w:color w:val="000000" w:themeColor="text1"/>
          <w:sz w:val="19"/>
          <w:szCs w:val="19"/>
        </w:rPr>
        <w:t>»1. Su formación académica, indicando los años de estudio cursados en los distintos niveles de educación y los títulos y certificados obtenidos.</w:t>
      </w:r>
    </w:p>
    <w:p w:rsidRPr="00B7637A" w:rsidR="00D86BBF" w:rsidP="00D86BBF" w:rsidRDefault="00D86BBF" w14:paraId="22B59320" w14:textId="77777777">
      <w:pPr>
        <w:pStyle w:val="Textonotapie"/>
        <w:ind w:firstLine="708"/>
        <w:jc w:val="both"/>
        <w:rPr>
          <w:rFonts w:ascii="Arial" w:hAnsi="Arial" w:cs="Arial"/>
          <w:color w:val="000000" w:themeColor="text1"/>
          <w:sz w:val="19"/>
          <w:szCs w:val="19"/>
        </w:rPr>
      </w:pPr>
      <w:r w:rsidRPr="00B7637A">
        <w:rPr>
          <w:rFonts w:ascii="Arial" w:hAnsi="Arial" w:cs="Arial"/>
          <w:color w:val="000000" w:themeColor="text1"/>
          <w:sz w:val="19"/>
          <w:szCs w:val="19"/>
        </w:rPr>
        <w:t>»2. Su experiencia laboral, relacionando todos y cada uno de los empleos o cargos desempeñados, tanto en el sector público como en el privado, así como la dirección, el número del teléfono o el apartado postal en los que sea posible verificar la información.</w:t>
      </w:r>
    </w:p>
    <w:p w:rsidRPr="00B7637A" w:rsidR="00D86BBF" w:rsidP="00D86BBF" w:rsidRDefault="00D86BBF" w14:paraId="2ADA026D" w14:textId="77777777">
      <w:pPr>
        <w:pStyle w:val="Textonotapie"/>
        <w:ind w:firstLine="708"/>
        <w:jc w:val="both"/>
        <w:rPr>
          <w:rFonts w:ascii="Arial" w:hAnsi="Arial" w:cs="Arial"/>
          <w:color w:val="000000" w:themeColor="text1"/>
          <w:sz w:val="19"/>
          <w:szCs w:val="19"/>
        </w:rPr>
      </w:pPr>
      <w:r w:rsidRPr="00B7637A">
        <w:rPr>
          <w:rFonts w:ascii="Arial" w:hAnsi="Arial" w:cs="Arial"/>
          <w:color w:val="000000" w:themeColor="text1"/>
          <w:sz w:val="19"/>
          <w:szCs w:val="19"/>
        </w:rPr>
        <w:t>»3. Inexistencia de cualquier hecho o circunstancia que implique una inhabilidad o incompatibilidad del orden constitucional o legal para ocupar el empleo o cargo al que se aspira o para celebrar contrato de prestación de servicios con la administración.</w:t>
      </w:r>
    </w:p>
    <w:p w:rsidRPr="00B7637A" w:rsidR="00D86BBF" w:rsidP="00D86BBF" w:rsidRDefault="00D86BBF" w14:paraId="089BD43C" w14:textId="190EE0BF">
      <w:pPr>
        <w:pStyle w:val="Textonotapie"/>
        <w:ind w:firstLine="708"/>
        <w:jc w:val="both"/>
        <w:rPr>
          <w:rFonts w:ascii="Arial" w:hAnsi="Arial" w:cs="Arial"/>
          <w:color w:val="000000" w:themeColor="text1"/>
          <w:sz w:val="19"/>
          <w:szCs w:val="19"/>
        </w:rPr>
      </w:pPr>
      <w:r w:rsidRPr="00B7637A">
        <w:rPr>
          <w:rFonts w:ascii="Arial" w:hAnsi="Arial" w:cs="Arial"/>
          <w:color w:val="000000" w:themeColor="text1"/>
          <w:sz w:val="19"/>
          <w:szCs w:val="19"/>
        </w:rPr>
        <w:t>»4. En caso de personas jurídicas, el correspondiente certificado que acredite la representación legal»</w:t>
      </w:r>
      <w:r w:rsidR="004B1B98">
        <w:rPr>
          <w:rFonts w:ascii="Arial" w:hAnsi="Arial" w:cs="Arial"/>
          <w:color w:val="000000" w:themeColor="text1"/>
          <w:sz w:val="19"/>
          <w:szCs w:val="19"/>
        </w:rPr>
        <w:t>.</w:t>
      </w:r>
    </w:p>
  </w:footnote>
  <w:footnote w:id="7">
    <w:p w:rsidRPr="00B7637A" w:rsidR="00D86BBF" w:rsidP="00D86BBF" w:rsidRDefault="00D86BBF" w14:paraId="5D29C3F5" w14:textId="77777777">
      <w:pPr>
        <w:pStyle w:val="Textonotapie"/>
        <w:ind w:firstLine="708"/>
        <w:jc w:val="both"/>
        <w:rPr>
          <w:rFonts w:ascii="Arial" w:hAnsi="Arial" w:cs="Arial"/>
          <w:color w:val="000000" w:themeColor="text1"/>
          <w:sz w:val="19"/>
          <w:szCs w:val="19"/>
        </w:rPr>
      </w:pPr>
    </w:p>
    <w:p w:rsidRPr="00B7637A" w:rsidR="00D86BBF" w:rsidP="00D86BBF" w:rsidRDefault="00D86BBF" w14:paraId="264F76C1" w14:textId="77777777">
      <w:pPr>
        <w:pStyle w:val="Textonotapie"/>
        <w:ind w:firstLine="708"/>
        <w:jc w:val="both"/>
        <w:rPr>
          <w:rFonts w:ascii="Arial" w:hAnsi="Arial" w:eastAsia="Calibri" w:cs="Arial"/>
          <w:color w:val="000000" w:themeColor="text1"/>
          <w:sz w:val="19"/>
          <w:szCs w:val="19"/>
        </w:rPr>
      </w:pPr>
      <w:r w:rsidRPr="00B7637A">
        <w:rPr>
          <w:rStyle w:val="Refdenotaalpie"/>
          <w:rFonts w:ascii="Arial" w:hAnsi="Arial" w:cs="Arial"/>
          <w:color w:val="000000" w:themeColor="text1"/>
          <w:sz w:val="19"/>
          <w:szCs w:val="19"/>
        </w:rPr>
        <w:footnoteRef/>
      </w:r>
      <w:r w:rsidRPr="00B7637A">
        <w:rPr>
          <w:rFonts w:ascii="Arial" w:hAnsi="Arial" w:cs="Arial"/>
          <w:color w:val="000000" w:themeColor="text1"/>
          <w:sz w:val="19"/>
          <w:szCs w:val="19"/>
        </w:rPr>
        <w:t xml:space="preserve"> Corte Constitucional. Sentencia </w:t>
      </w:r>
      <w:r w:rsidRPr="00B7637A">
        <w:rPr>
          <w:rFonts w:ascii="Arial" w:hAnsi="Arial" w:eastAsia="Calibri" w:cs="Arial"/>
          <w:color w:val="000000" w:themeColor="text1"/>
          <w:sz w:val="19"/>
          <w:szCs w:val="19"/>
        </w:rPr>
        <w:t>C-697 de 2000. M.P. Eduardo Cifuentes Muñoz:  «El artículo 26 de la Carta autoriza al legislador para exigir determinados títulos de idoneidad a quienes quieran desempeñar actividades que impliquen riesgo social y también, para establecer mecanismos de inspección y vigilancia con el fin de evitar que resulten lesionados derechos de terceras personas. Impone al legislador la tarea de garantizarle a todas las personas la libertad plena de escoger, en condiciones de igualdad, la profesión u oficio que pueda servir para realizar su modelo de vida o para garantizarles un ingreso que les permita satisfacer sus necesidades.</w:t>
      </w:r>
    </w:p>
    <w:p w:rsidRPr="00B7637A" w:rsidR="00D86BBF" w:rsidP="00D86BBF" w:rsidRDefault="00D86BBF" w14:paraId="518BA167" w14:textId="77777777">
      <w:pPr>
        <w:pStyle w:val="Textonotapie"/>
        <w:ind w:firstLine="708"/>
        <w:jc w:val="both"/>
        <w:rPr>
          <w:rFonts w:ascii="Arial" w:hAnsi="Arial" w:eastAsia="Calibri" w:cs="Arial"/>
          <w:color w:val="000000" w:themeColor="text1"/>
          <w:sz w:val="19"/>
          <w:szCs w:val="19"/>
        </w:rPr>
      </w:pPr>
      <w:r w:rsidRPr="00B7637A">
        <w:rPr>
          <w:rFonts w:ascii="Arial" w:hAnsi="Arial" w:eastAsia="Calibri" w:cs="Arial"/>
          <w:color w:val="000000" w:themeColor="text1"/>
          <w:sz w:val="19"/>
          <w:szCs w:val="19"/>
        </w:rPr>
        <w:t>[…]</w:t>
      </w:r>
    </w:p>
    <w:p w:rsidRPr="00B7637A" w:rsidR="00D86BBF" w:rsidP="00D86BBF" w:rsidRDefault="00D86BBF" w14:paraId="74BBDDB5" w14:textId="77777777">
      <w:pPr>
        <w:pStyle w:val="Textonotapie"/>
        <w:ind w:firstLine="708"/>
        <w:jc w:val="both"/>
        <w:rPr>
          <w:rFonts w:ascii="Arial" w:hAnsi="Arial" w:cs="Arial"/>
          <w:color w:val="000000" w:themeColor="text1"/>
          <w:sz w:val="19"/>
          <w:szCs w:val="19"/>
        </w:rPr>
      </w:pPr>
      <w:r w:rsidRPr="00B7637A">
        <w:rPr>
          <w:rFonts w:ascii="Arial" w:hAnsi="Arial" w:eastAsia="Calibri" w:cs="Arial"/>
          <w:color w:val="000000" w:themeColor="text1"/>
          <w:sz w:val="19"/>
          <w:szCs w:val="19"/>
        </w:rPr>
        <w:t>»La exigencia de títulos de idoneidad y tarjetas profesionales, constituye una excepción al principio de libertad e igualdad en materia laboral y, por lo tanto, es necesario demostrar que la formación intelectual y técnica requerida es un medio idóneo y proporción».</w:t>
      </w:r>
    </w:p>
    <w:p w:rsidRPr="00B7637A" w:rsidR="00D86BBF" w:rsidP="00D86BBF" w:rsidRDefault="00D86BBF" w14:paraId="66355B2B" w14:textId="77777777">
      <w:pPr>
        <w:pStyle w:val="Textonotapie"/>
        <w:ind w:firstLine="708"/>
        <w:jc w:val="both"/>
        <w:rPr>
          <w:rFonts w:ascii="Arial" w:hAnsi="Arial" w:cs="Arial"/>
          <w:color w:val="000000" w:themeColor="text1"/>
          <w:sz w:val="19"/>
          <w:szCs w:val="19"/>
          <w:lang w:val="es-CO"/>
        </w:rPr>
      </w:pPr>
    </w:p>
  </w:footnote>
  <w:footnote w:id="8">
    <w:p w:rsidRPr="00B7637A" w:rsidR="00D86BBF" w:rsidP="00D86BBF" w:rsidRDefault="00D86BBF" w14:paraId="27F7688C" w14:textId="77777777">
      <w:pPr>
        <w:pStyle w:val="Textonotapie"/>
        <w:ind w:firstLine="709"/>
        <w:jc w:val="both"/>
        <w:rPr>
          <w:rFonts w:ascii="Arial" w:hAnsi="Arial" w:cs="Arial"/>
          <w:color w:val="000000" w:themeColor="text1"/>
          <w:sz w:val="19"/>
          <w:szCs w:val="19"/>
        </w:rPr>
      </w:pPr>
      <w:r w:rsidRPr="00B7637A">
        <w:rPr>
          <w:rStyle w:val="Refdenotaalpie"/>
          <w:rFonts w:ascii="Arial" w:hAnsi="Arial" w:cs="Arial"/>
          <w:color w:val="000000" w:themeColor="text1"/>
          <w:sz w:val="19"/>
          <w:szCs w:val="19"/>
        </w:rPr>
        <w:footnoteRef/>
      </w:r>
      <w:r w:rsidRPr="00B7637A">
        <w:rPr>
          <w:rFonts w:ascii="Arial" w:hAnsi="Arial" w:cs="Arial"/>
          <w:color w:val="000000" w:themeColor="text1"/>
          <w:sz w:val="19"/>
          <w:szCs w:val="19"/>
        </w:rPr>
        <w:t xml:space="preserve"> Ley 842 de 2003. «Artículo 6. Requisitos para ejercer la profesión. Para poder ejercer legalmente la Ingeniería, sus profesiones afines o sus profesiones auxiliares en el territorio nacional, en las ramas o especialidades regidas por la presente ley, se requiere estar matriculado o inscrito en el Registro Profesional respectivo, que seguirá llevando el Copnia, lo cual se acreditará con la presentación de la tarjeta o documento adoptado por este para tal fin.</w:t>
      </w:r>
    </w:p>
    <w:p w:rsidRPr="00B7637A" w:rsidR="00D86BBF" w:rsidP="00D86BBF" w:rsidRDefault="00D86BBF" w14:paraId="59729A39" w14:textId="77777777">
      <w:pPr>
        <w:pStyle w:val="Textonotapie"/>
        <w:ind w:firstLine="709"/>
        <w:jc w:val="both"/>
        <w:rPr>
          <w:rFonts w:ascii="Arial" w:hAnsi="Arial" w:cs="Arial"/>
          <w:color w:val="000000" w:themeColor="text1"/>
          <w:sz w:val="19"/>
          <w:szCs w:val="19"/>
          <w:lang w:val="es-CO"/>
        </w:rPr>
      </w:pPr>
      <w:r w:rsidRPr="00B7637A">
        <w:rPr>
          <w:rFonts w:ascii="Arial" w:hAnsi="Arial" w:cs="Arial"/>
          <w:color w:val="000000" w:themeColor="text1"/>
          <w:sz w:val="19"/>
          <w:szCs w:val="19"/>
        </w:rPr>
        <w:t>»Parágrafo. En los casos en que los contratantes del sector público o privado, o cualquier usuario de los servicios de ingeniería, pretendan establecer si un profesional se encuentra legalmente habilitado o no, para ejercer la profesión, podrán sin perjuicio de los requisitos establecidos en el presente artículo, requerir al Copnia la expedición del respectivo certificado de vigencia».</w:t>
      </w:r>
    </w:p>
  </w:footnote>
  <w:footnote w:id="9">
    <w:p w:rsidRPr="00B7637A" w:rsidR="00D86BBF" w:rsidP="00D86BBF" w:rsidRDefault="00D86BBF" w14:paraId="1C9374F8" w14:textId="77777777">
      <w:pPr>
        <w:pStyle w:val="Textonotapie"/>
        <w:jc w:val="both"/>
        <w:rPr>
          <w:rFonts w:ascii="Arial" w:hAnsi="Arial" w:cs="Arial"/>
          <w:color w:val="000000" w:themeColor="text1"/>
          <w:sz w:val="19"/>
          <w:szCs w:val="19"/>
        </w:rPr>
      </w:pPr>
    </w:p>
    <w:p w:rsidRPr="00B7637A" w:rsidR="00D86BBF" w:rsidP="00D86BBF" w:rsidRDefault="00D86BBF" w14:paraId="5FFB1606" w14:textId="668F75BE">
      <w:pPr>
        <w:pStyle w:val="Textonotapie"/>
        <w:ind w:firstLine="708"/>
        <w:jc w:val="both"/>
        <w:rPr>
          <w:rFonts w:ascii="Arial" w:hAnsi="Arial" w:cs="Arial"/>
          <w:color w:val="000000" w:themeColor="text1"/>
          <w:sz w:val="19"/>
          <w:szCs w:val="19"/>
        </w:rPr>
      </w:pPr>
      <w:r w:rsidRPr="00B7637A">
        <w:rPr>
          <w:rStyle w:val="Refdenotaalpie"/>
          <w:rFonts w:ascii="Arial" w:hAnsi="Arial" w:cs="Arial"/>
          <w:color w:val="000000" w:themeColor="text1"/>
          <w:sz w:val="19"/>
          <w:szCs w:val="19"/>
        </w:rPr>
        <w:footnoteRef/>
      </w:r>
      <w:r w:rsidRPr="00B7637A">
        <w:rPr>
          <w:rFonts w:ascii="Arial" w:hAnsi="Arial" w:cs="Arial"/>
          <w:color w:val="000000" w:themeColor="text1"/>
          <w:sz w:val="19"/>
          <w:szCs w:val="19"/>
        </w:rPr>
        <w:t xml:space="preserve"> Circular Externa Única de Colombia Compra Eficiente. Abril de 2019. </w:t>
      </w:r>
      <w:r w:rsidR="008F5FB6">
        <w:rPr>
          <w:rFonts w:ascii="Arial" w:hAnsi="Arial" w:cs="Arial"/>
          <w:color w:val="000000" w:themeColor="text1"/>
          <w:sz w:val="19"/>
          <w:szCs w:val="19"/>
        </w:rPr>
        <w:t>p</w:t>
      </w:r>
      <w:r w:rsidRPr="00B7637A">
        <w:rPr>
          <w:rFonts w:ascii="Arial" w:hAnsi="Arial" w:cs="Arial"/>
          <w:color w:val="000000" w:themeColor="text1"/>
          <w:sz w:val="19"/>
          <w:szCs w:val="19"/>
        </w:rPr>
        <w:t>. 44 señala: 9.2 «Acreditación de la experiencia profesional:  El Decreto – Ley 019 de 2012, establece que, para el ejercicio de diferentes profesiones acreditadas por el Ministerio de Educación Nacional, la experiencia profesional se computará a partir de la terminación y aprobación del pensum académico de educación superior; exceptuando de esta condición las profesiones relacionadas con el sistema de seguridad social en salud en las cuales la experiencia profesional se computa a partir de la inscripción o registro profesional</w:t>
      </w:r>
    </w:p>
    <w:p w:rsidRPr="00B7637A" w:rsidR="00D86BBF" w:rsidP="00D86BBF" w:rsidRDefault="00D86BBF" w14:paraId="3E88CC68" w14:textId="77777777">
      <w:pPr>
        <w:pStyle w:val="Textonotapie"/>
        <w:ind w:firstLine="708"/>
        <w:jc w:val="both"/>
        <w:rPr>
          <w:rFonts w:ascii="Arial" w:hAnsi="Arial" w:cs="Arial"/>
          <w:color w:val="000000" w:themeColor="text1"/>
          <w:sz w:val="19"/>
          <w:szCs w:val="19"/>
        </w:rPr>
      </w:pPr>
      <w:r w:rsidRPr="00B7637A">
        <w:rPr>
          <w:rFonts w:ascii="Arial" w:hAnsi="Arial" w:cs="Arial"/>
          <w:color w:val="000000" w:themeColor="text1"/>
          <w:sz w:val="19"/>
          <w:szCs w:val="19"/>
        </w:rPr>
        <w:t xml:space="preserve">[…]». </w:t>
      </w:r>
    </w:p>
    <w:p w:rsidRPr="00B7637A" w:rsidR="00D86BBF" w:rsidP="00D86BBF" w:rsidRDefault="00D86BBF" w14:paraId="21167EA9" w14:textId="77777777">
      <w:pPr>
        <w:pStyle w:val="Textonotapie"/>
        <w:ind w:firstLine="708"/>
        <w:jc w:val="both"/>
        <w:rPr>
          <w:rFonts w:ascii="Arial" w:hAnsi="Arial" w:cs="Arial"/>
          <w:color w:val="000000" w:themeColor="text1"/>
          <w:sz w:val="19"/>
          <w:szCs w:val="19"/>
          <w:lang w:val="es-CO"/>
        </w:rPr>
      </w:pPr>
    </w:p>
  </w:footnote>
  <w:footnote w:id="10">
    <w:p w:rsidRPr="004A3BEE" w:rsidR="00D86BBF" w:rsidP="00D86BBF" w:rsidRDefault="00D86BBF" w14:paraId="7705DACE" w14:textId="77777777">
      <w:pPr>
        <w:pStyle w:val="Textonotapie"/>
        <w:ind w:firstLine="708"/>
        <w:jc w:val="both"/>
        <w:rPr>
          <w:rFonts w:ascii="Arial" w:hAnsi="Arial" w:cs="Arial"/>
          <w:color w:val="000000" w:themeColor="text1"/>
          <w:sz w:val="19"/>
          <w:szCs w:val="19"/>
          <w:lang w:val="es-CO"/>
        </w:rPr>
      </w:pPr>
      <w:r w:rsidRPr="00B7637A">
        <w:rPr>
          <w:rStyle w:val="Refdenotaalpie"/>
          <w:rFonts w:ascii="Arial" w:hAnsi="Arial" w:cs="Arial"/>
          <w:color w:val="000000" w:themeColor="text1"/>
          <w:sz w:val="19"/>
          <w:szCs w:val="19"/>
        </w:rPr>
        <w:footnoteRef/>
      </w:r>
      <w:r w:rsidRPr="00B7637A">
        <w:rPr>
          <w:rFonts w:ascii="Arial" w:hAnsi="Arial" w:cs="Arial"/>
          <w:color w:val="000000" w:themeColor="text1"/>
          <w:sz w:val="19"/>
          <w:szCs w:val="19"/>
        </w:rPr>
        <w:t xml:space="preserve"> «[…] Sin perjuicio de lo anterior, en los casos en los que el objeto del contrato requiera el ejercicio de profesiones sujetas a regulación especial en razón a la alta responsabilidad y riesgo social que implica su ejercicio para la sociedad, como es el caso de las profesiones relacionadas con la ingeniería o de alguna de sus profesiones afines o auxiliares, la Entidad Estatal debe remitirse a lo establecido en la regulación específica acerca del cómputo de la experiencia».</w:t>
      </w:r>
      <w:r w:rsidRPr="004A3BEE">
        <w:rPr>
          <w:rFonts w:ascii="Arial" w:hAnsi="Arial" w:cs="Arial"/>
          <w:color w:val="000000" w:themeColor="text1"/>
          <w:sz w:val="19"/>
          <w:szCs w:val="19"/>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p w:rsidR="005D0D39" w:rsidRDefault="005D0D39" w14:paraId="6520770B" w14:textId="1A2BB94C">
    <w:pPr>
      <w:pStyle w:val="Encabezado"/>
    </w:pPr>
    <w:r>
      <w:rPr>
        <w:noProof/>
        <w:lang w:val="en-US"/>
      </w:rPr>
      <w:drawing>
        <wp:anchor distT="0" distB="0" distL="114300" distR="114300" simplePos="0" relativeHeight="251659776" behindDoc="1" locked="0" layoutInCell="1" allowOverlap="1" wp14:anchorId="1A706351" wp14:editId="247FF659">
          <wp:simplePos x="0" y="0"/>
          <wp:positionH relativeFrom="margin">
            <wp:align>right</wp:align>
          </wp:positionH>
          <wp:positionV relativeFrom="paragraph">
            <wp:posOffset>343728</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1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3924A5B4">
      <w:rPr/>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06310"/>
    <w:multiLevelType w:val="multilevel"/>
    <w:tmpl w:val="85707AC6"/>
    <w:lvl w:ilvl="0">
      <w:start w:val="1"/>
      <w:numFmt w:val="decimal"/>
      <w:lvlText w:val="%1."/>
      <w:lvlJc w:val="left"/>
      <w:pPr>
        <w:ind w:left="6601" w:hanging="360"/>
      </w:pPr>
      <w:rPr>
        <w:b/>
        <w:color w:val="404040" w:themeColor="text1" w:themeTint="BF"/>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07BC5E56"/>
    <w:multiLevelType w:val="hybridMultilevel"/>
    <w:tmpl w:val="2D80D0E0"/>
    <w:lvl w:ilvl="0" w:tplc="C2E44790">
      <w:start w:val="1"/>
      <w:numFmt w:val="lowerLetter"/>
      <w:lvlText w:val="%1)"/>
      <w:lvlJc w:val="left"/>
      <w:pPr>
        <w:ind w:left="1211" w:hanging="360"/>
      </w:pPr>
      <w:rPr>
        <w:rFonts w:hint="default"/>
        <w:b w:val="0"/>
        <w:bCs/>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2" w15:restartNumberingAfterBreak="0">
    <w:nsid w:val="0AED4881"/>
    <w:multiLevelType w:val="hybridMultilevel"/>
    <w:tmpl w:val="9A16D9D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310D7E6C"/>
    <w:multiLevelType w:val="multilevel"/>
    <w:tmpl w:val="836404E2"/>
    <w:lvl w:ilvl="0">
      <w:start w:val="1"/>
      <w:numFmt w:val="bullet"/>
      <w:lvlText w:val=""/>
      <w:lvlJc w:val="left"/>
      <w:pPr>
        <w:ind w:left="720" w:hanging="360"/>
      </w:pPr>
      <w:rPr>
        <w:rFonts w:hint="default" w:ascii="Symbol" w:hAnsi="Symbol"/>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4" w15:restartNumberingAfterBreak="0">
    <w:nsid w:val="31B41044"/>
    <w:multiLevelType w:val="hybridMultilevel"/>
    <w:tmpl w:val="836404E2"/>
    <w:lvl w:ilvl="0" w:tplc="0C0A0001">
      <w:start w:val="1"/>
      <w:numFmt w:val="bullet"/>
      <w:lvlText w:val=""/>
      <w:lvlJc w:val="left"/>
      <w:pPr>
        <w:ind w:left="720" w:hanging="360"/>
      </w:pPr>
      <w:rPr>
        <w:rFonts w:hint="default" w:ascii="Symbol" w:hAnsi="Symbol"/>
      </w:rPr>
    </w:lvl>
    <w:lvl w:ilvl="1" w:tplc="0C0A0003" w:tentative="1">
      <w:start w:val="1"/>
      <w:numFmt w:val="bullet"/>
      <w:lvlText w:val="o"/>
      <w:lvlJc w:val="left"/>
      <w:pPr>
        <w:ind w:left="1440" w:hanging="360"/>
      </w:pPr>
      <w:rPr>
        <w:rFonts w:hint="default" w:ascii="Courier New" w:hAnsi="Courier New"/>
      </w:rPr>
    </w:lvl>
    <w:lvl w:ilvl="2" w:tplc="0C0A0005" w:tentative="1">
      <w:start w:val="1"/>
      <w:numFmt w:val="bullet"/>
      <w:lvlText w:val=""/>
      <w:lvlJc w:val="left"/>
      <w:pPr>
        <w:ind w:left="2160" w:hanging="360"/>
      </w:pPr>
      <w:rPr>
        <w:rFonts w:hint="default" w:ascii="Wingdings" w:hAnsi="Wingdings"/>
      </w:rPr>
    </w:lvl>
    <w:lvl w:ilvl="3" w:tplc="0C0A0001" w:tentative="1">
      <w:start w:val="1"/>
      <w:numFmt w:val="bullet"/>
      <w:lvlText w:val=""/>
      <w:lvlJc w:val="left"/>
      <w:pPr>
        <w:ind w:left="2880" w:hanging="360"/>
      </w:pPr>
      <w:rPr>
        <w:rFonts w:hint="default" w:ascii="Symbol" w:hAnsi="Symbol"/>
      </w:rPr>
    </w:lvl>
    <w:lvl w:ilvl="4" w:tplc="0C0A0003" w:tentative="1">
      <w:start w:val="1"/>
      <w:numFmt w:val="bullet"/>
      <w:lvlText w:val="o"/>
      <w:lvlJc w:val="left"/>
      <w:pPr>
        <w:ind w:left="3600" w:hanging="360"/>
      </w:pPr>
      <w:rPr>
        <w:rFonts w:hint="default" w:ascii="Courier New" w:hAnsi="Courier New"/>
      </w:rPr>
    </w:lvl>
    <w:lvl w:ilvl="5" w:tplc="0C0A0005" w:tentative="1">
      <w:start w:val="1"/>
      <w:numFmt w:val="bullet"/>
      <w:lvlText w:val=""/>
      <w:lvlJc w:val="left"/>
      <w:pPr>
        <w:ind w:left="4320" w:hanging="360"/>
      </w:pPr>
      <w:rPr>
        <w:rFonts w:hint="default" w:ascii="Wingdings" w:hAnsi="Wingdings"/>
      </w:rPr>
    </w:lvl>
    <w:lvl w:ilvl="6" w:tplc="0C0A0001" w:tentative="1">
      <w:start w:val="1"/>
      <w:numFmt w:val="bullet"/>
      <w:lvlText w:val=""/>
      <w:lvlJc w:val="left"/>
      <w:pPr>
        <w:ind w:left="5040" w:hanging="360"/>
      </w:pPr>
      <w:rPr>
        <w:rFonts w:hint="default" w:ascii="Symbol" w:hAnsi="Symbol"/>
      </w:rPr>
    </w:lvl>
    <w:lvl w:ilvl="7" w:tplc="0C0A0003" w:tentative="1">
      <w:start w:val="1"/>
      <w:numFmt w:val="bullet"/>
      <w:lvlText w:val="o"/>
      <w:lvlJc w:val="left"/>
      <w:pPr>
        <w:ind w:left="5760" w:hanging="360"/>
      </w:pPr>
      <w:rPr>
        <w:rFonts w:hint="default" w:ascii="Courier New" w:hAnsi="Courier New"/>
      </w:rPr>
    </w:lvl>
    <w:lvl w:ilvl="8" w:tplc="0C0A0005" w:tentative="1">
      <w:start w:val="1"/>
      <w:numFmt w:val="bullet"/>
      <w:lvlText w:val=""/>
      <w:lvlJc w:val="left"/>
      <w:pPr>
        <w:ind w:left="6480" w:hanging="360"/>
      </w:pPr>
      <w:rPr>
        <w:rFonts w:hint="default" w:ascii="Wingdings" w:hAnsi="Wingdings"/>
      </w:rPr>
    </w:lvl>
  </w:abstractNum>
  <w:abstractNum w:abstractNumId="5" w15:restartNumberingAfterBreak="0">
    <w:nsid w:val="482459AB"/>
    <w:multiLevelType w:val="hybridMultilevel"/>
    <w:tmpl w:val="F7E4801A"/>
    <w:lvl w:ilvl="0" w:tplc="07686820">
      <w:start w:val="1"/>
      <w:numFmt w:val="bullet"/>
      <w:lvlText w:val=""/>
      <w:lvlJc w:val="left"/>
      <w:pPr>
        <w:ind w:left="720" w:hanging="360"/>
      </w:pPr>
      <w:rPr>
        <w:rFonts w:hint="default" w:ascii="Wingdings" w:hAnsi="Wingdings"/>
        <w:color w:val="0E63A8"/>
        <w:sz w:val="28"/>
      </w:rPr>
    </w:lvl>
    <w:lvl w:ilvl="1" w:tplc="0C0A0003" w:tentative="1">
      <w:start w:val="1"/>
      <w:numFmt w:val="bullet"/>
      <w:lvlText w:val="o"/>
      <w:lvlJc w:val="left"/>
      <w:pPr>
        <w:ind w:left="1440" w:hanging="360"/>
      </w:pPr>
      <w:rPr>
        <w:rFonts w:hint="default" w:ascii="Courier New" w:hAnsi="Courier New"/>
      </w:rPr>
    </w:lvl>
    <w:lvl w:ilvl="2" w:tplc="0C0A0005" w:tentative="1">
      <w:start w:val="1"/>
      <w:numFmt w:val="bullet"/>
      <w:lvlText w:val=""/>
      <w:lvlJc w:val="left"/>
      <w:pPr>
        <w:ind w:left="2160" w:hanging="360"/>
      </w:pPr>
      <w:rPr>
        <w:rFonts w:hint="default" w:ascii="Wingdings" w:hAnsi="Wingdings"/>
      </w:rPr>
    </w:lvl>
    <w:lvl w:ilvl="3" w:tplc="0C0A0001" w:tentative="1">
      <w:start w:val="1"/>
      <w:numFmt w:val="bullet"/>
      <w:lvlText w:val=""/>
      <w:lvlJc w:val="left"/>
      <w:pPr>
        <w:ind w:left="2880" w:hanging="360"/>
      </w:pPr>
      <w:rPr>
        <w:rFonts w:hint="default" w:ascii="Symbol" w:hAnsi="Symbol"/>
      </w:rPr>
    </w:lvl>
    <w:lvl w:ilvl="4" w:tplc="0C0A0003" w:tentative="1">
      <w:start w:val="1"/>
      <w:numFmt w:val="bullet"/>
      <w:lvlText w:val="o"/>
      <w:lvlJc w:val="left"/>
      <w:pPr>
        <w:ind w:left="3600" w:hanging="360"/>
      </w:pPr>
      <w:rPr>
        <w:rFonts w:hint="default" w:ascii="Courier New" w:hAnsi="Courier New"/>
      </w:rPr>
    </w:lvl>
    <w:lvl w:ilvl="5" w:tplc="0C0A0005" w:tentative="1">
      <w:start w:val="1"/>
      <w:numFmt w:val="bullet"/>
      <w:lvlText w:val=""/>
      <w:lvlJc w:val="left"/>
      <w:pPr>
        <w:ind w:left="4320" w:hanging="360"/>
      </w:pPr>
      <w:rPr>
        <w:rFonts w:hint="default" w:ascii="Wingdings" w:hAnsi="Wingdings"/>
      </w:rPr>
    </w:lvl>
    <w:lvl w:ilvl="6" w:tplc="0C0A0001" w:tentative="1">
      <w:start w:val="1"/>
      <w:numFmt w:val="bullet"/>
      <w:lvlText w:val=""/>
      <w:lvlJc w:val="left"/>
      <w:pPr>
        <w:ind w:left="5040" w:hanging="360"/>
      </w:pPr>
      <w:rPr>
        <w:rFonts w:hint="default" w:ascii="Symbol" w:hAnsi="Symbol"/>
      </w:rPr>
    </w:lvl>
    <w:lvl w:ilvl="7" w:tplc="0C0A0003" w:tentative="1">
      <w:start w:val="1"/>
      <w:numFmt w:val="bullet"/>
      <w:lvlText w:val="o"/>
      <w:lvlJc w:val="left"/>
      <w:pPr>
        <w:ind w:left="5760" w:hanging="360"/>
      </w:pPr>
      <w:rPr>
        <w:rFonts w:hint="default" w:ascii="Courier New" w:hAnsi="Courier New"/>
      </w:rPr>
    </w:lvl>
    <w:lvl w:ilvl="8" w:tplc="0C0A0005" w:tentative="1">
      <w:start w:val="1"/>
      <w:numFmt w:val="bullet"/>
      <w:lvlText w:val=""/>
      <w:lvlJc w:val="left"/>
      <w:pPr>
        <w:ind w:left="6480" w:hanging="360"/>
      </w:pPr>
      <w:rPr>
        <w:rFonts w:hint="default" w:ascii="Wingdings" w:hAnsi="Wingdings"/>
      </w:rPr>
    </w:lvl>
  </w:abstractNum>
  <w:abstractNum w:abstractNumId="6" w15:restartNumberingAfterBreak="0">
    <w:nsid w:val="50B90CDA"/>
    <w:multiLevelType w:val="hybridMultilevel"/>
    <w:tmpl w:val="F1A61CF0"/>
    <w:lvl w:ilvl="0" w:tplc="A7B2C88A">
      <w:start w:val="1"/>
      <w:numFmt w:val="lowerLetter"/>
      <w:lvlText w:val="%1)"/>
      <w:lvlJc w:val="left"/>
      <w:pPr>
        <w:ind w:left="1068" w:hanging="360"/>
      </w:pPr>
      <w:rPr>
        <w:rFonts w:hint="default" w:eastAsiaTheme="minorHAnsi"/>
        <w:b w:val="0"/>
        <w:bCs/>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7"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8" w15:restartNumberingAfterBreak="0">
    <w:nsid w:val="5A9A2200"/>
    <w:multiLevelType w:val="multilevel"/>
    <w:tmpl w:val="614E70D0"/>
    <w:lvl w:ilvl="0">
      <w:start w:val="1"/>
      <w:numFmt w:val="decimal"/>
      <w:lvlText w:val="%1."/>
      <w:lvlJc w:val="left"/>
      <w:pPr>
        <w:ind w:left="360" w:hanging="360"/>
      </w:pPr>
      <w:rPr>
        <w:rFonts w:hint="default"/>
        <w:b/>
        <w:sz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9" w15:restartNumberingAfterBreak="0">
    <w:nsid w:val="688C0EAF"/>
    <w:multiLevelType w:val="hybridMultilevel"/>
    <w:tmpl w:val="0476A12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num w:numId="1">
    <w:abstractNumId w:val="4"/>
  </w:num>
  <w:num w:numId="2">
    <w:abstractNumId w:val="3"/>
  </w:num>
  <w:num w:numId="3">
    <w:abstractNumId w:val="5"/>
  </w:num>
  <w:num w:numId="4">
    <w:abstractNumId w:val="7"/>
  </w:num>
  <w:num w:numId="5">
    <w:abstractNumId w:val="10"/>
  </w:num>
  <w:num w:numId="6">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1"/>
  </w:num>
  <w:num w:numId="9">
    <w:abstractNumId w:val="8"/>
  </w:num>
  <w:num w:numId="10">
    <w:abstractNumId w:val="6"/>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trackRevisions w:val="false"/>
  <w:zoom w:percent="120"/>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85A"/>
    <w:rsid w:val="00001B31"/>
    <w:rsid w:val="00005156"/>
    <w:rsid w:val="00007060"/>
    <w:rsid w:val="00012451"/>
    <w:rsid w:val="00015278"/>
    <w:rsid w:val="00016B91"/>
    <w:rsid w:val="000172BD"/>
    <w:rsid w:val="00020D7A"/>
    <w:rsid w:val="0002242D"/>
    <w:rsid w:val="00023BA0"/>
    <w:rsid w:val="00025773"/>
    <w:rsid w:val="00027C19"/>
    <w:rsid w:val="00034503"/>
    <w:rsid w:val="000362F9"/>
    <w:rsid w:val="000460C0"/>
    <w:rsid w:val="000556D4"/>
    <w:rsid w:val="00061980"/>
    <w:rsid w:val="000622EA"/>
    <w:rsid w:val="00066A31"/>
    <w:rsid w:val="00066BF6"/>
    <w:rsid w:val="000714A3"/>
    <w:rsid w:val="000716D5"/>
    <w:rsid w:val="0007204C"/>
    <w:rsid w:val="00076993"/>
    <w:rsid w:val="000775DB"/>
    <w:rsid w:val="00081943"/>
    <w:rsid w:val="000835B7"/>
    <w:rsid w:val="00084290"/>
    <w:rsid w:val="00087918"/>
    <w:rsid w:val="000920F0"/>
    <w:rsid w:val="00092640"/>
    <w:rsid w:val="000942EB"/>
    <w:rsid w:val="00096B92"/>
    <w:rsid w:val="000A15EF"/>
    <w:rsid w:val="000A2D62"/>
    <w:rsid w:val="000A46B2"/>
    <w:rsid w:val="000B103F"/>
    <w:rsid w:val="000B2BAD"/>
    <w:rsid w:val="000B6017"/>
    <w:rsid w:val="000B70EA"/>
    <w:rsid w:val="000C00F6"/>
    <w:rsid w:val="000C0FE0"/>
    <w:rsid w:val="000C1BA0"/>
    <w:rsid w:val="000C1D18"/>
    <w:rsid w:val="000C2755"/>
    <w:rsid w:val="000C27B6"/>
    <w:rsid w:val="000C3725"/>
    <w:rsid w:val="000C5863"/>
    <w:rsid w:val="000D09E9"/>
    <w:rsid w:val="000E151F"/>
    <w:rsid w:val="000E1934"/>
    <w:rsid w:val="000E32DD"/>
    <w:rsid w:val="000E57AA"/>
    <w:rsid w:val="000E5B7B"/>
    <w:rsid w:val="000E6CFE"/>
    <w:rsid w:val="000F14E8"/>
    <w:rsid w:val="000F1F6F"/>
    <w:rsid w:val="00101355"/>
    <w:rsid w:val="00101490"/>
    <w:rsid w:val="00101668"/>
    <w:rsid w:val="00102135"/>
    <w:rsid w:val="00103915"/>
    <w:rsid w:val="00111BBD"/>
    <w:rsid w:val="00120B10"/>
    <w:rsid w:val="00122B23"/>
    <w:rsid w:val="00124620"/>
    <w:rsid w:val="00124702"/>
    <w:rsid w:val="001254E5"/>
    <w:rsid w:val="00131E85"/>
    <w:rsid w:val="001326DB"/>
    <w:rsid w:val="001327C6"/>
    <w:rsid w:val="00133FB0"/>
    <w:rsid w:val="00135A79"/>
    <w:rsid w:val="00136E33"/>
    <w:rsid w:val="00137FFA"/>
    <w:rsid w:val="0014668E"/>
    <w:rsid w:val="00151919"/>
    <w:rsid w:val="00155203"/>
    <w:rsid w:val="0015538A"/>
    <w:rsid w:val="00161EB6"/>
    <w:rsid w:val="001625B3"/>
    <w:rsid w:val="00163183"/>
    <w:rsid w:val="0016737A"/>
    <w:rsid w:val="00167D3A"/>
    <w:rsid w:val="001715FA"/>
    <w:rsid w:val="00171722"/>
    <w:rsid w:val="00174ED6"/>
    <w:rsid w:val="00186221"/>
    <w:rsid w:val="00186461"/>
    <w:rsid w:val="00186A8A"/>
    <w:rsid w:val="00190B5C"/>
    <w:rsid w:val="001923FE"/>
    <w:rsid w:val="001927EA"/>
    <w:rsid w:val="00193089"/>
    <w:rsid w:val="00195DBB"/>
    <w:rsid w:val="001A56A2"/>
    <w:rsid w:val="001A64D1"/>
    <w:rsid w:val="001A7B0C"/>
    <w:rsid w:val="001B0EAD"/>
    <w:rsid w:val="001B2A19"/>
    <w:rsid w:val="001B3CE2"/>
    <w:rsid w:val="001C4473"/>
    <w:rsid w:val="001C5231"/>
    <w:rsid w:val="001D631B"/>
    <w:rsid w:val="001D7061"/>
    <w:rsid w:val="001E0C6C"/>
    <w:rsid w:val="001E249B"/>
    <w:rsid w:val="001E4627"/>
    <w:rsid w:val="001E79FF"/>
    <w:rsid w:val="001F0317"/>
    <w:rsid w:val="001F2C77"/>
    <w:rsid w:val="001F3610"/>
    <w:rsid w:val="001F49B8"/>
    <w:rsid w:val="001F6B35"/>
    <w:rsid w:val="002040B0"/>
    <w:rsid w:val="002048B9"/>
    <w:rsid w:val="00204F24"/>
    <w:rsid w:val="00207E01"/>
    <w:rsid w:val="00211860"/>
    <w:rsid w:val="00213199"/>
    <w:rsid w:val="0022745A"/>
    <w:rsid w:val="00231E5B"/>
    <w:rsid w:val="00234B84"/>
    <w:rsid w:val="0025328D"/>
    <w:rsid w:val="0025433E"/>
    <w:rsid w:val="002569F0"/>
    <w:rsid w:val="002611D5"/>
    <w:rsid w:val="00264827"/>
    <w:rsid w:val="002724BD"/>
    <w:rsid w:val="00273BED"/>
    <w:rsid w:val="00276488"/>
    <w:rsid w:val="00281F53"/>
    <w:rsid w:val="002928A0"/>
    <w:rsid w:val="00293450"/>
    <w:rsid w:val="002A11B0"/>
    <w:rsid w:val="002A417A"/>
    <w:rsid w:val="002B12B7"/>
    <w:rsid w:val="002B3AE9"/>
    <w:rsid w:val="002C4CB0"/>
    <w:rsid w:val="002C7FF6"/>
    <w:rsid w:val="002D426B"/>
    <w:rsid w:val="002D4329"/>
    <w:rsid w:val="002D68BF"/>
    <w:rsid w:val="002E0383"/>
    <w:rsid w:val="002E375C"/>
    <w:rsid w:val="002E46AB"/>
    <w:rsid w:val="002E75EE"/>
    <w:rsid w:val="002E7BC5"/>
    <w:rsid w:val="002E7C6A"/>
    <w:rsid w:val="002F2369"/>
    <w:rsid w:val="0030098E"/>
    <w:rsid w:val="00300F87"/>
    <w:rsid w:val="00302B3B"/>
    <w:rsid w:val="003033BA"/>
    <w:rsid w:val="00314133"/>
    <w:rsid w:val="00325389"/>
    <w:rsid w:val="00326A3E"/>
    <w:rsid w:val="003308BA"/>
    <w:rsid w:val="00342280"/>
    <w:rsid w:val="003462C7"/>
    <w:rsid w:val="0034680A"/>
    <w:rsid w:val="0035058C"/>
    <w:rsid w:val="00360EDD"/>
    <w:rsid w:val="00362A25"/>
    <w:rsid w:val="00370500"/>
    <w:rsid w:val="00372BC6"/>
    <w:rsid w:val="003741C3"/>
    <w:rsid w:val="0037462F"/>
    <w:rsid w:val="0037658D"/>
    <w:rsid w:val="00382B7C"/>
    <w:rsid w:val="00386456"/>
    <w:rsid w:val="00387538"/>
    <w:rsid w:val="00397D11"/>
    <w:rsid w:val="003A4125"/>
    <w:rsid w:val="003A581E"/>
    <w:rsid w:val="003B0003"/>
    <w:rsid w:val="003B27D1"/>
    <w:rsid w:val="003B2E60"/>
    <w:rsid w:val="003C173E"/>
    <w:rsid w:val="003C57ED"/>
    <w:rsid w:val="003C70E3"/>
    <w:rsid w:val="003D29C0"/>
    <w:rsid w:val="003D4B59"/>
    <w:rsid w:val="003E550F"/>
    <w:rsid w:val="003E6EDE"/>
    <w:rsid w:val="003E7BB5"/>
    <w:rsid w:val="003E7EEA"/>
    <w:rsid w:val="003F3FB5"/>
    <w:rsid w:val="003F52AD"/>
    <w:rsid w:val="003F7473"/>
    <w:rsid w:val="004019D5"/>
    <w:rsid w:val="0040320B"/>
    <w:rsid w:val="00404075"/>
    <w:rsid w:val="004041DC"/>
    <w:rsid w:val="0040673C"/>
    <w:rsid w:val="004108AC"/>
    <w:rsid w:val="004115E9"/>
    <w:rsid w:val="004164A1"/>
    <w:rsid w:val="00420A12"/>
    <w:rsid w:val="00421649"/>
    <w:rsid w:val="004233F3"/>
    <w:rsid w:val="00431FBF"/>
    <w:rsid w:val="00434F7E"/>
    <w:rsid w:val="00437263"/>
    <w:rsid w:val="00437459"/>
    <w:rsid w:val="004422D6"/>
    <w:rsid w:val="00443E24"/>
    <w:rsid w:val="004459D1"/>
    <w:rsid w:val="00447246"/>
    <w:rsid w:val="00453E19"/>
    <w:rsid w:val="00460107"/>
    <w:rsid w:val="0046011E"/>
    <w:rsid w:val="00466E17"/>
    <w:rsid w:val="00474C49"/>
    <w:rsid w:val="004755B2"/>
    <w:rsid w:val="00481A85"/>
    <w:rsid w:val="0049255E"/>
    <w:rsid w:val="00493D05"/>
    <w:rsid w:val="00494666"/>
    <w:rsid w:val="00494D25"/>
    <w:rsid w:val="004A34D2"/>
    <w:rsid w:val="004A3BEE"/>
    <w:rsid w:val="004A571C"/>
    <w:rsid w:val="004B1B98"/>
    <w:rsid w:val="004C14EB"/>
    <w:rsid w:val="004C1DEC"/>
    <w:rsid w:val="004C58AC"/>
    <w:rsid w:val="004C6821"/>
    <w:rsid w:val="004D0366"/>
    <w:rsid w:val="004D04B3"/>
    <w:rsid w:val="004D0D78"/>
    <w:rsid w:val="004E146B"/>
    <w:rsid w:val="004E48EF"/>
    <w:rsid w:val="004E5E36"/>
    <w:rsid w:val="004F3A2F"/>
    <w:rsid w:val="005003FA"/>
    <w:rsid w:val="005025EC"/>
    <w:rsid w:val="00502BF3"/>
    <w:rsid w:val="0051074C"/>
    <w:rsid w:val="00510AAC"/>
    <w:rsid w:val="0051365E"/>
    <w:rsid w:val="00513AF2"/>
    <w:rsid w:val="005150EE"/>
    <w:rsid w:val="005151DF"/>
    <w:rsid w:val="005152EB"/>
    <w:rsid w:val="00524973"/>
    <w:rsid w:val="00524FF6"/>
    <w:rsid w:val="00527CAC"/>
    <w:rsid w:val="00530FD6"/>
    <w:rsid w:val="00533B32"/>
    <w:rsid w:val="005347D0"/>
    <w:rsid w:val="00537B78"/>
    <w:rsid w:val="005410AD"/>
    <w:rsid w:val="00541157"/>
    <w:rsid w:val="00541360"/>
    <w:rsid w:val="0054413A"/>
    <w:rsid w:val="005468F5"/>
    <w:rsid w:val="00551CE1"/>
    <w:rsid w:val="00554AF7"/>
    <w:rsid w:val="005564CA"/>
    <w:rsid w:val="00556F01"/>
    <w:rsid w:val="00561973"/>
    <w:rsid w:val="00566672"/>
    <w:rsid w:val="00567364"/>
    <w:rsid w:val="005705DC"/>
    <w:rsid w:val="00580F7A"/>
    <w:rsid w:val="00581D03"/>
    <w:rsid w:val="005904F5"/>
    <w:rsid w:val="00593FCA"/>
    <w:rsid w:val="005A04E7"/>
    <w:rsid w:val="005A1225"/>
    <w:rsid w:val="005A262A"/>
    <w:rsid w:val="005C1651"/>
    <w:rsid w:val="005C3080"/>
    <w:rsid w:val="005D02C1"/>
    <w:rsid w:val="005D0D39"/>
    <w:rsid w:val="005D114F"/>
    <w:rsid w:val="005D6B45"/>
    <w:rsid w:val="005E17F1"/>
    <w:rsid w:val="005E7CD7"/>
    <w:rsid w:val="005F076A"/>
    <w:rsid w:val="005F3327"/>
    <w:rsid w:val="005F4E61"/>
    <w:rsid w:val="005F687B"/>
    <w:rsid w:val="00602DAA"/>
    <w:rsid w:val="00604A92"/>
    <w:rsid w:val="00612EFD"/>
    <w:rsid w:val="0061730D"/>
    <w:rsid w:val="0062027E"/>
    <w:rsid w:val="0062279A"/>
    <w:rsid w:val="006311DB"/>
    <w:rsid w:val="006316C6"/>
    <w:rsid w:val="0063488E"/>
    <w:rsid w:val="00634E46"/>
    <w:rsid w:val="00635BE6"/>
    <w:rsid w:val="0063748C"/>
    <w:rsid w:val="00642A35"/>
    <w:rsid w:val="0065129F"/>
    <w:rsid w:val="00652E6F"/>
    <w:rsid w:val="00655371"/>
    <w:rsid w:val="00662755"/>
    <w:rsid w:val="00662AA8"/>
    <w:rsid w:val="00664C45"/>
    <w:rsid w:val="006653F7"/>
    <w:rsid w:val="00666EB9"/>
    <w:rsid w:val="006709A2"/>
    <w:rsid w:val="006808DB"/>
    <w:rsid w:val="006822ED"/>
    <w:rsid w:val="006956E7"/>
    <w:rsid w:val="00696A12"/>
    <w:rsid w:val="00697665"/>
    <w:rsid w:val="006A1CBA"/>
    <w:rsid w:val="006A5E7E"/>
    <w:rsid w:val="006A7FD0"/>
    <w:rsid w:val="006B17C4"/>
    <w:rsid w:val="006B3828"/>
    <w:rsid w:val="006C22EC"/>
    <w:rsid w:val="006C38E8"/>
    <w:rsid w:val="006C3AA8"/>
    <w:rsid w:val="006C613A"/>
    <w:rsid w:val="006D3F5E"/>
    <w:rsid w:val="006D68A5"/>
    <w:rsid w:val="006D7687"/>
    <w:rsid w:val="006E04F9"/>
    <w:rsid w:val="006E0572"/>
    <w:rsid w:val="006E218C"/>
    <w:rsid w:val="006E2F73"/>
    <w:rsid w:val="00700B53"/>
    <w:rsid w:val="00705631"/>
    <w:rsid w:val="0072020D"/>
    <w:rsid w:val="00725BFE"/>
    <w:rsid w:val="00730851"/>
    <w:rsid w:val="00732E20"/>
    <w:rsid w:val="0073536E"/>
    <w:rsid w:val="00742DD2"/>
    <w:rsid w:val="00743848"/>
    <w:rsid w:val="0074447C"/>
    <w:rsid w:val="00751B9D"/>
    <w:rsid w:val="0075647A"/>
    <w:rsid w:val="00757693"/>
    <w:rsid w:val="00762DF8"/>
    <w:rsid w:val="007634AD"/>
    <w:rsid w:val="00765580"/>
    <w:rsid w:val="00771676"/>
    <w:rsid w:val="00771868"/>
    <w:rsid w:val="007754CA"/>
    <w:rsid w:val="00777704"/>
    <w:rsid w:val="0078122E"/>
    <w:rsid w:val="00783166"/>
    <w:rsid w:val="007836C4"/>
    <w:rsid w:val="0078462A"/>
    <w:rsid w:val="00787B8A"/>
    <w:rsid w:val="00791C0E"/>
    <w:rsid w:val="007932A3"/>
    <w:rsid w:val="00795C9B"/>
    <w:rsid w:val="007A2433"/>
    <w:rsid w:val="007A2D91"/>
    <w:rsid w:val="007A3FFB"/>
    <w:rsid w:val="007A7968"/>
    <w:rsid w:val="007B0854"/>
    <w:rsid w:val="007B0F6A"/>
    <w:rsid w:val="007B2F1D"/>
    <w:rsid w:val="007B6A3C"/>
    <w:rsid w:val="007B7018"/>
    <w:rsid w:val="007C09B3"/>
    <w:rsid w:val="007C0C92"/>
    <w:rsid w:val="007C6A83"/>
    <w:rsid w:val="007C723B"/>
    <w:rsid w:val="007D28A1"/>
    <w:rsid w:val="007D3004"/>
    <w:rsid w:val="007D375A"/>
    <w:rsid w:val="007E0324"/>
    <w:rsid w:val="007E0A81"/>
    <w:rsid w:val="007E0FB3"/>
    <w:rsid w:val="007E75F9"/>
    <w:rsid w:val="007F08CF"/>
    <w:rsid w:val="007F25A8"/>
    <w:rsid w:val="007F2F15"/>
    <w:rsid w:val="007F3C2B"/>
    <w:rsid w:val="007F72CB"/>
    <w:rsid w:val="00803115"/>
    <w:rsid w:val="00806381"/>
    <w:rsid w:val="00810D3E"/>
    <w:rsid w:val="00810EBF"/>
    <w:rsid w:val="00811577"/>
    <w:rsid w:val="00812B27"/>
    <w:rsid w:val="0081304C"/>
    <w:rsid w:val="00816563"/>
    <w:rsid w:val="00821EA2"/>
    <w:rsid w:val="00822436"/>
    <w:rsid w:val="00826CB5"/>
    <w:rsid w:val="0083119B"/>
    <w:rsid w:val="008337E4"/>
    <w:rsid w:val="008343AF"/>
    <w:rsid w:val="00834B5D"/>
    <w:rsid w:val="00836EAB"/>
    <w:rsid w:val="0083703B"/>
    <w:rsid w:val="0085092D"/>
    <w:rsid w:val="00851E9A"/>
    <w:rsid w:val="00861335"/>
    <w:rsid w:val="0086284E"/>
    <w:rsid w:val="00872D60"/>
    <w:rsid w:val="008773BB"/>
    <w:rsid w:val="00880FA3"/>
    <w:rsid w:val="00881418"/>
    <w:rsid w:val="008815AB"/>
    <w:rsid w:val="00882315"/>
    <w:rsid w:val="00884552"/>
    <w:rsid w:val="00886582"/>
    <w:rsid w:val="00890358"/>
    <w:rsid w:val="00892243"/>
    <w:rsid w:val="00897407"/>
    <w:rsid w:val="008A1845"/>
    <w:rsid w:val="008A1ADF"/>
    <w:rsid w:val="008A472C"/>
    <w:rsid w:val="008A664D"/>
    <w:rsid w:val="008B2D49"/>
    <w:rsid w:val="008C0B90"/>
    <w:rsid w:val="008C4AF4"/>
    <w:rsid w:val="008D1706"/>
    <w:rsid w:val="008D218E"/>
    <w:rsid w:val="008D71F6"/>
    <w:rsid w:val="008D79C6"/>
    <w:rsid w:val="008E0D30"/>
    <w:rsid w:val="008E12EE"/>
    <w:rsid w:val="008E1C15"/>
    <w:rsid w:val="008E28A2"/>
    <w:rsid w:val="008E7495"/>
    <w:rsid w:val="008F277C"/>
    <w:rsid w:val="008F2ECD"/>
    <w:rsid w:val="008F5FB6"/>
    <w:rsid w:val="008F7DB3"/>
    <w:rsid w:val="00902D31"/>
    <w:rsid w:val="009047C5"/>
    <w:rsid w:val="00907140"/>
    <w:rsid w:val="00912B49"/>
    <w:rsid w:val="00912E23"/>
    <w:rsid w:val="00913B77"/>
    <w:rsid w:val="00914EB3"/>
    <w:rsid w:val="00914FBE"/>
    <w:rsid w:val="00915A80"/>
    <w:rsid w:val="0092177B"/>
    <w:rsid w:val="00921C93"/>
    <w:rsid w:val="00926A8B"/>
    <w:rsid w:val="009311E9"/>
    <w:rsid w:val="009338CE"/>
    <w:rsid w:val="00934422"/>
    <w:rsid w:val="009354D3"/>
    <w:rsid w:val="00937202"/>
    <w:rsid w:val="00940A85"/>
    <w:rsid w:val="00950143"/>
    <w:rsid w:val="0095385A"/>
    <w:rsid w:val="00953BB3"/>
    <w:rsid w:val="009575B9"/>
    <w:rsid w:val="009644A4"/>
    <w:rsid w:val="009654FC"/>
    <w:rsid w:val="00972DC1"/>
    <w:rsid w:val="009760A8"/>
    <w:rsid w:val="00980317"/>
    <w:rsid w:val="00980B43"/>
    <w:rsid w:val="00984DF2"/>
    <w:rsid w:val="00985200"/>
    <w:rsid w:val="00986E16"/>
    <w:rsid w:val="009B16A3"/>
    <w:rsid w:val="009B403D"/>
    <w:rsid w:val="009B503A"/>
    <w:rsid w:val="009B6E17"/>
    <w:rsid w:val="009C131F"/>
    <w:rsid w:val="009C14B6"/>
    <w:rsid w:val="009C2EBA"/>
    <w:rsid w:val="009C3898"/>
    <w:rsid w:val="009C452A"/>
    <w:rsid w:val="009C744E"/>
    <w:rsid w:val="009D049D"/>
    <w:rsid w:val="009D3207"/>
    <w:rsid w:val="009E0B8A"/>
    <w:rsid w:val="009E0C7E"/>
    <w:rsid w:val="009E0E46"/>
    <w:rsid w:val="009E1E26"/>
    <w:rsid w:val="009E2162"/>
    <w:rsid w:val="009E221A"/>
    <w:rsid w:val="009E6DB3"/>
    <w:rsid w:val="009F50DC"/>
    <w:rsid w:val="009F5F82"/>
    <w:rsid w:val="009F7A76"/>
    <w:rsid w:val="00A05D8C"/>
    <w:rsid w:val="00A05DA6"/>
    <w:rsid w:val="00A06CA3"/>
    <w:rsid w:val="00A07D30"/>
    <w:rsid w:val="00A13CD2"/>
    <w:rsid w:val="00A17B66"/>
    <w:rsid w:val="00A20538"/>
    <w:rsid w:val="00A21EA9"/>
    <w:rsid w:val="00A22130"/>
    <w:rsid w:val="00A24560"/>
    <w:rsid w:val="00A24684"/>
    <w:rsid w:val="00A2549D"/>
    <w:rsid w:val="00A33957"/>
    <w:rsid w:val="00A34538"/>
    <w:rsid w:val="00A35C73"/>
    <w:rsid w:val="00A44C5F"/>
    <w:rsid w:val="00A45772"/>
    <w:rsid w:val="00A514AE"/>
    <w:rsid w:val="00A55FFA"/>
    <w:rsid w:val="00A568E2"/>
    <w:rsid w:val="00A57463"/>
    <w:rsid w:val="00A639E3"/>
    <w:rsid w:val="00A642BC"/>
    <w:rsid w:val="00A6602D"/>
    <w:rsid w:val="00A67203"/>
    <w:rsid w:val="00A71B85"/>
    <w:rsid w:val="00A76A74"/>
    <w:rsid w:val="00A8041D"/>
    <w:rsid w:val="00A86133"/>
    <w:rsid w:val="00A90118"/>
    <w:rsid w:val="00A92252"/>
    <w:rsid w:val="00A931D2"/>
    <w:rsid w:val="00AA442B"/>
    <w:rsid w:val="00AA5923"/>
    <w:rsid w:val="00AB4502"/>
    <w:rsid w:val="00AC12F3"/>
    <w:rsid w:val="00AC236B"/>
    <w:rsid w:val="00AC3EA8"/>
    <w:rsid w:val="00AC40BB"/>
    <w:rsid w:val="00AC4FAA"/>
    <w:rsid w:val="00AC646F"/>
    <w:rsid w:val="00AD64C4"/>
    <w:rsid w:val="00AF154D"/>
    <w:rsid w:val="00B05013"/>
    <w:rsid w:val="00B0697D"/>
    <w:rsid w:val="00B1177E"/>
    <w:rsid w:val="00B13BC2"/>
    <w:rsid w:val="00B15358"/>
    <w:rsid w:val="00B1784E"/>
    <w:rsid w:val="00B22E22"/>
    <w:rsid w:val="00B27674"/>
    <w:rsid w:val="00B32FAD"/>
    <w:rsid w:val="00B335CC"/>
    <w:rsid w:val="00B41CDA"/>
    <w:rsid w:val="00B42C66"/>
    <w:rsid w:val="00B501C8"/>
    <w:rsid w:val="00B525CB"/>
    <w:rsid w:val="00B55759"/>
    <w:rsid w:val="00B61543"/>
    <w:rsid w:val="00B61B94"/>
    <w:rsid w:val="00B63CB2"/>
    <w:rsid w:val="00B65DAE"/>
    <w:rsid w:val="00B7578A"/>
    <w:rsid w:val="00B7637A"/>
    <w:rsid w:val="00B800CF"/>
    <w:rsid w:val="00B82B59"/>
    <w:rsid w:val="00B86E5D"/>
    <w:rsid w:val="00B91345"/>
    <w:rsid w:val="00B91DB6"/>
    <w:rsid w:val="00B92A72"/>
    <w:rsid w:val="00B942F0"/>
    <w:rsid w:val="00B972B1"/>
    <w:rsid w:val="00B97746"/>
    <w:rsid w:val="00BA3902"/>
    <w:rsid w:val="00BB0273"/>
    <w:rsid w:val="00BB2313"/>
    <w:rsid w:val="00BC600B"/>
    <w:rsid w:val="00BC6A39"/>
    <w:rsid w:val="00BC6CB0"/>
    <w:rsid w:val="00BD247B"/>
    <w:rsid w:val="00BD2BBF"/>
    <w:rsid w:val="00BD78FE"/>
    <w:rsid w:val="00BD7CED"/>
    <w:rsid w:val="00BE083B"/>
    <w:rsid w:val="00BF077E"/>
    <w:rsid w:val="00C120FB"/>
    <w:rsid w:val="00C2219E"/>
    <w:rsid w:val="00C230A7"/>
    <w:rsid w:val="00C25B70"/>
    <w:rsid w:val="00C305DF"/>
    <w:rsid w:val="00C31C2A"/>
    <w:rsid w:val="00C33C1B"/>
    <w:rsid w:val="00C35664"/>
    <w:rsid w:val="00C450A6"/>
    <w:rsid w:val="00C478FE"/>
    <w:rsid w:val="00C54360"/>
    <w:rsid w:val="00C65BC6"/>
    <w:rsid w:val="00C66254"/>
    <w:rsid w:val="00C71EBB"/>
    <w:rsid w:val="00C727E6"/>
    <w:rsid w:val="00C73A35"/>
    <w:rsid w:val="00C82CD8"/>
    <w:rsid w:val="00C938AC"/>
    <w:rsid w:val="00C95CE7"/>
    <w:rsid w:val="00CA28B2"/>
    <w:rsid w:val="00CA69E3"/>
    <w:rsid w:val="00CA7C1E"/>
    <w:rsid w:val="00CB1C41"/>
    <w:rsid w:val="00CB6BDE"/>
    <w:rsid w:val="00CC00CD"/>
    <w:rsid w:val="00CC20B8"/>
    <w:rsid w:val="00CC296B"/>
    <w:rsid w:val="00CC356E"/>
    <w:rsid w:val="00CC39BD"/>
    <w:rsid w:val="00CC78AD"/>
    <w:rsid w:val="00CD3357"/>
    <w:rsid w:val="00CD4E7D"/>
    <w:rsid w:val="00CE2F6A"/>
    <w:rsid w:val="00CE51AE"/>
    <w:rsid w:val="00CF0BE1"/>
    <w:rsid w:val="00CF32CC"/>
    <w:rsid w:val="00CF4C87"/>
    <w:rsid w:val="00CF7D4A"/>
    <w:rsid w:val="00D01AD2"/>
    <w:rsid w:val="00D04887"/>
    <w:rsid w:val="00D125D8"/>
    <w:rsid w:val="00D146A4"/>
    <w:rsid w:val="00D16E39"/>
    <w:rsid w:val="00D1707F"/>
    <w:rsid w:val="00D171B3"/>
    <w:rsid w:val="00D31A7E"/>
    <w:rsid w:val="00D3446D"/>
    <w:rsid w:val="00D36C85"/>
    <w:rsid w:val="00D47E14"/>
    <w:rsid w:val="00D52D73"/>
    <w:rsid w:val="00D538A7"/>
    <w:rsid w:val="00D54ABC"/>
    <w:rsid w:val="00D57FD3"/>
    <w:rsid w:val="00D60C9D"/>
    <w:rsid w:val="00D6503F"/>
    <w:rsid w:val="00D66920"/>
    <w:rsid w:val="00D67739"/>
    <w:rsid w:val="00D6781D"/>
    <w:rsid w:val="00D72E9D"/>
    <w:rsid w:val="00D754D7"/>
    <w:rsid w:val="00D77376"/>
    <w:rsid w:val="00D82CE5"/>
    <w:rsid w:val="00D86BBF"/>
    <w:rsid w:val="00D93576"/>
    <w:rsid w:val="00DA5AB1"/>
    <w:rsid w:val="00DB187E"/>
    <w:rsid w:val="00DB200E"/>
    <w:rsid w:val="00DB441A"/>
    <w:rsid w:val="00DC2F65"/>
    <w:rsid w:val="00DC6018"/>
    <w:rsid w:val="00DC62E5"/>
    <w:rsid w:val="00DC759C"/>
    <w:rsid w:val="00DD4572"/>
    <w:rsid w:val="00DD49E3"/>
    <w:rsid w:val="00DD5D44"/>
    <w:rsid w:val="00DD735D"/>
    <w:rsid w:val="00DE2507"/>
    <w:rsid w:val="00DE2DF5"/>
    <w:rsid w:val="00DE3119"/>
    <w:rsid w:val="00DE37AD"/>
    <w:rsid w:val="00DE5AAF"/>
    <w:rsid w:val="00DE5DFC"/>
    <w:rsid w:val="00DE7F05"/>
    <w:rsid w:val="00DF02B6"/>
    <w:rsid w:val="00DF08DB"/>
    <w:rsid w:val="00DF236B"/>
    <w:rsid w:val="00DF3A85"/>
    <w:rsid w:val="00E021AA"/>
    <w:rsid w:val="00E03626"/>
    <w:rsid w:val="00E03788"/>
    <w:rsid w:val="00E069DD"/>
    <w:rsid w:val="00E108B5"/>
    <w:rsid w:val="00E12F0E"/>
    <w:rsid w:val="00E13AB8"/>
    <w:rsid w:val="00E140D1"/>
    <w:rsid w:val="00E15067"/>
    <w:rsid w:val="00E229B3"/>
    <w:rsid w:val="00E26AD9"/>
    <w:rsid w:val="00E27588"/>
    <w:rsid w:val="00E276F7"/>
    <w:rsid w:val="00E33900"/>
    <w:rsid w:val="00E33B62"/>
    <w:rsid w:val="00E35809"/>
    <w:rsid w:val="00E40250"/>
    <w:rsid w:val="00E50C59"/>
    <w:rsid w:val="00E532B0"/>
    <w:rsid w:val="00E60AC9"/>
    <w:rsid w:val="00E60B63"/>
    <w:rsid w:val="00E65E97"/>
    <w:rsid w:val="00E71A51"/>
    <w:rsid w:val="00E72FB1"/>
    <w:rsid w:val="00E74FEA"/>
    <w:rsid w:val="00E818E7"/>
    <w:rsid w:val="00E81E25"/>
    <w:rsid w:val="00E84A42"/>
    <w:rsid w:val="00E9098C"/>
    <w:rsid w:val="00E9406F"/>
    <w:rsid w:val="00E952BD"/>
    <w:rsid w:val="00E96BB0"/>
    <w:rsid w:val="00EA7BBF"/>
    <w:rsid w:val="00EB2323"/>
    <w:rsid w:val="00EB3B91"/>
    <w:rsid w:val="00EB6755"/>
    <w:rsid w:val="00EC228A"/>
    <w:rsid w:val="00EC3A65"/>
    <w:rsid w:val="00EC3ADA"/>
    <w:rsid w:val="00ED1997"/>
    <w:rsid w:val="00ED3EC1"/>
    <w:rsid w:val="00ED40AB"/>
    <w:rsid w:val="00EE0AFC"/>
    <w:rsid w:val="00EE4811"/>
    <w:rsid w:val="00EF5252"/>
    <w:rsid w:val="00EF7F78"/>
    <w:rsid w:val="00F005A1"/>
    <w:rsid w:val="00F00D9C"/>
    <w:rsid w:val="00F024DE"/>
    <w:rsid w:val="00F10F3F"/>
    <w:rsid w:val="00F16DB4"/>
    <w:rsid w:val="00F25909"/>
    <w:rsid w:val="00F371F8"/>
    <w:rsid w:val="00F46F5A"/>
    <w:rsid w:val="00F61A85"/>
    <w:rsid w:val="00F62DD5"/>
    <w:rsid w:val="00F6645F"/>
    <w:rsid w:val="00F7146B"/>
    <w:rsid w:val="00F718AB"/>
    <w:rsid w:val="00F72936"/>
    <w:rsid w:val="00F80EF1"/>
    <w:rsid w:val="00F82435"/>
    <w:rsid w:val="00F84899"/>
    <w:rsid w:val="00F85043"/>
    <w:rsid w:val="00F859F0"/>
    <w:rsid w:val="00F90C9F"/>
    <w:rsid w:val="00F927F1"/>
    <w:rsid w:val="00F94AEB"/>
    <w:rsid w:val="00F94EA0"/>
    <w:rsid w:val="00FA314F"/>
    <w:rsid w:val="00FA4BD7"/>
    <w:rsid w:val="00FA5B21"/>
    <w:rsid w:val="00FA5D0A"/>
    <w:rsid w:val="00FB0218"/>
    <w:rsid w:val="00FB51C9"/>
    <w:rsid w:val="00FB6D4E"/>
    <w:rsid w:val="00FB710A"/>
    <w:rsid w:val="00FC16B2"/>
    <w:rsid w:val="00FE141E"/>
    <w:rsid w:val="00FE5287"/>
    <w:rsid w:val="00FE7FF8"/>
    <w:rsid w:val="00FF0FE0"/>
    <w:rsid w:val="00FF155F"/>
    <w:rsid w:val="00FF2575"/>
    <w:rsid w:val="088F2A38"/>
    <w:rsid w:val="2FF3C71D"/>
    <w:rsid w:val="3924A5B4"/>
    <w:rsid w:val="5DB33A2F"/>
    <w:rsid w:val="795CC3D3"/>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8FC69B5"/>
  <w15:docId w15:val="{C31D0A22-2FF0-4CBA-A8CA-3DB18456D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hAnsiTheme="minorHAnsi" w:eastAsia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A34538"/>
    <w:pPr>
      <w:spacing w:after="0" w:line="240" w:lineRule="auto"/>
    </w:pPr>
    <w:rPr>
      <w:sz w:val="24"/>
      <w:lang w:val="es-MX"/>
    </w:rPr>
  </w:style>
  <w:style w:type="paragraph" w:styleId="Ttulo1">
    <w:name w:val="heading 1"/>
    <w:basedOn w:val="Normal"/>
    <w:link w:val="Ttulo1Car"/>
    <w:uiPriority w:val="1"/>
    <w:qFormat/>
    <w:rsid w:val="00D86BBF"/>
    <w:pPr>
      <w:widowControl w:val="0"/>
      <w:autoSpaceDE w:val="0"/>
      <w:autoSpaceDN w:val="0"/>
      <w:ind w:left="660" w:hanging="361"/>
      <w:outlineLvl w:val="0"/>
    </w:pPr>
    <w:rPr>
      <w:rFonts w:ascii="Arial" w:hAnsi="Arial" w:eastAsia="Arial" w:cs="Arial"/>
      <w:b/>
      <w:bCs/>
      <w:sz w:val="22"/>
      <w:lang w:val="es-ES"/>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style>
  <w:style w:type="character" w:styleId="PiedepginaCar" w:customStyle="1">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hAnsi="Tahoma" w:cs="Tahoma"/>
      <w:sz w:val="16"/>
      <w:szCs w:val="16"/>
    </w:rPr>
  </w:style>
  <w:style w:type="character" w:styleId="TextodegloboCar" w:customStyle="1">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style>
  <w:style w:type="character" w:styleId="EncabezadoCar" w:customStyle="1">
    <w:name w:val="Encabezado Car"/>
    <w:basedOn w:val="Fuentedeprrafopredeter"/>
    <w:link w:val="Encabezado"/>
    <w:uiPriority w:val="99"/>
    <w:rsid w:val="009047C5"/>
    <w:rPr>
      <w:sz w:val="24"/>
      <w:lang w:val="es-MX"/>
    </w:rPr>
  </w:style>
  <w:style w:type="table" w:styleId="Tablaconcuadrcula">
    <w:name w:val="Table Grid"/>
    <w:basedOn w:val="Tablanormal"/>
    <w:uiPriority w:val="39"/>
    <w:rsid w:val="009047C5"/>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9047C5"/>
    <w:pPr>
      <w:ind w:left="720"/>
      <w:contextualSpacing/>
    </w:p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semiHidden/>
    <w:unhideWhenUsed/>
    <w:rsid w:val="00DA5AB1"/>
    <w:rPr>
      <w:sz w:val="20"/>
      <w:szCs w:val="20"/>
    </w:rPr>
  </w:style>
  <w:style w:type="character" w:styleId="TextocomentarioCar" w:customStyle="1">
    <w:name w:val="Texto comentario Car"/>
    <w:basedOn w:val="Fuentedeprrafopredeter"/>
    <w:link w:val="Textocomentario"/>
    <w:uiPriority w:val="99"/>
    <w:semiHidden/>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styleId="AsuntodelcomentarioCar" w:customStyle="1">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unhideWhenUsed/>
    <w:rsid w:val="0085092D"/>
    <w:rPr>
      <w:color w:val="F2F2F2" w:themeColor="hyperlink"/>
      <w:u w:val="single"/>
    </w:rPr>
  </w:style>
  <w:style w:type="paragraph" w:styleId="NormalWeb">
    <w:name w:val="Normal (Web)"/>
    <w:basedOn w:val="Normal"/>
    <w:link w:val="NormalWebCar"/>
    <w:uiPriority w:val="99"/>
    <w:unhideWhenUsed/>
    <w:rsid w:val="00122B23"/>
    <w:pPr>
      <w:spacing w:before="100" w:beforeAutospacing="1" w:after="100" w:afterAutospacing="1"/>
    </w:pPr>
    <w:rPr>
      <w:rFonts w:ascii="Times New Roman" w:hAnsi="Times New Roman" w:eastAsia="Times New Roman" w:cs="Times New Roman"/>
      <w:szCs w:val="24"/>
      <w:lang w:val="es-CO" w:eastAsia="es-CO"/>
    </w:rPr>
  </w:style>
  <w:style w:type="paragraph" w:styleId="Sinespaciado">
    <w:name w:val="No Spacing"/>
    <w:uiPriority w:val="1"/>
    <w:qFormat/>
    <w:rsid w:val="007B0854"/>
    <w:pPr>
      <w:spacing w:after="0" w:line="240" w:lineRule="auto"/>
    </w:pPr>
    <w:rPr>
      <w:sz w:val="24"/>
      <w:lang w:val="es-MX"/>
    </w:rPr>
  </w:style>
  <w:style w:type="character" w:styleId="TextonotapieCar" w:customStyle="1">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
    <w:basedOn w:val="Normal"/>
    <w:link w:val="TextonotapieCar"/>
    <w:uiPriority w:val="99"/>
    <w:unhideWhenUsed/>
    <w:qFormat/>
    <w:rsid w:val="007B0854"/>
    <w:rPr>
      <w:sz w:val="20"/>
      <w:szCs w:val="20"/>
    </w:rPr>
  </w:style>
  <w:style w:type="character" w:styleId="TextonotapieCar1" w:customStyle="1">
    <w:name w:val="Texto nota pie Car1"/>
    <w:basedOn w:val="Fuentedeprrafopredeter"/>
    <w:uiPriority w:val="99"/>
    <w:semiHidden/>
    <w:rsid w:val="007B0854"/>
    <w:rPr>
      <w:sz w:val="20"/>
      <w:szCs w:val="20"/>
      <w:lang w:val="es-MX"/>
    </w:rPr>
  </w:style>
  <w:style w:type="character" w:styleId="PrrafodelistaCar" w:customStyle="1">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styleId="Capitulo1" w:customStyle="1">
    <w:name w:val="Capitulo 1"/>
    <w:basedOn w:val="Normal"/>
    <w:qFormat/>
    <w:rsid w:val="007B0854"/>
    <w:pPr>
      <w:keepNext/>
      <w:spacing w:before="120" w:after="200" w:line="276" w:lineRule="auto"/>
      <w:ind w:left="720" w:hanging="360"/>
      <w:outlineLvl w:val="1"/>
    </w:pPr>
    <w:rPr>
      <w:rFonts w:ascii="Arial" w:hAnsi="Arial" w:eastAsia="Times New Roman" w:cs="Arial"/>
      <w:b/>
      <w:color w:val="000000"/>
      <w:sz w:val="20"/>
      <w:szCs w:val="20"/>
      <w:lang w:val="es-CO" w:eastAsia="es-CO"/>
    </w:rPr>
  </w:style>
  <w:style w:type="character" w:styleId="Refdenotaalpie">
    <w:name w:val="footnote reference"/>
    <w:aliases w:val="Ref. de nota al pie 2,Ref,de nota al pie,FC,Appel note de bas de p,f,4_G,16 Point,Superscript 6 Point,Texto nota al pie,Pie de Página,Texto de nota al pi,Nota de pie,Footnote symbol,Footnote,Ref. de nota al pie2,Pie de pagina"/>
    <w:basedOn w:val="Fuentedeprrafopredeter"/>
    <w:uiPriority w:val="99"/>
    <w:unhideWhenUsed/>
    <w:qFormat/>
    <w:rsid w:val="007B0854"/>
    <w:rPr>
      <w:vertAlign w:val="superscript"/>
    </w:rPr>
  </w:style>
  <w:style w:type="character" w:styleId="NormalWebCar" w:customStyle="1">
    <w:name w:val="Normal (Web) Car"/>
    <w:link w:val="NormalWeb"/>
    <w:uiPriority w:val="99"/>
    <w:rsid w:val="000920F0"/>
    <w:rPr>
      <w:rFonts w:ascii="Times New Roman" w:hAnsi="Times New Roman" w:eastAsia="Times New Roman" w:cs="Times New Roman"/>
      <w:sz w:val="24"/>
      <w:szCs w:val="24"/>
      <w:lang w:eastAsia="es-CO"/>
    </w:rPr>
  </w:style>
  <w:style w:type="character" w:styleId="Mencinsinresolver1" w:customStyle="1">
    <w:name w:val="Mención sin resolver1"/>
    <w:basedOn w:val="Fuentedeprrafopredeter"/>
    <w:uiPriority w:val="99"/>
    <w:rsid w:val="00DE2DF5"/>
    <w:rPr>
      <w:color w:val="605E5C"/>
      <w:shd w:val="clear" w:color="auto" w:fill="E1DFDD"/>
    </w:rPr>
  </w:style>
  <w:style w:type="character" w:styleId="Ttulo1Car" w:customStyle="1">
    <w:name w:val="Título 1 Car"/>
    <w:basedOn w:val="Fuentedeprrafopredeter"/>
    <w:link w:val="Ttulo1"/>
    <w:uiPriority w:val="1"/>
    <w:rsid w:val="00D86BBF"/>
    <w:rPr>
      <w:rFonts w:ascii="Arial" w:hAnsi="Arial" w:eastAsia="Arial" w:cs="Arial"/>
      <w:b/>
      <w:bCs/>
      <w:lang w:val="es-ES"/>
    </w:rPr>
  </w:style>
  <w:style w:type="paragraph" w:styleId="Textoindependiente">
    <w:name w:val="Body Text"/>
    <w:basedOn w:val="Normal"/>
    <w:link w:val="TextoindependienteCar"/>
    <w:uiPriority w:val="1"/>
    <w:qFormat/>
    <w:rsid w:val="00D86BBF"/>
    <w:pPr>
      <w:widowControl w:val="0"/>
      <w:autoSpaceDE w:val="0"/>
      <w:autoSpaceDN w:val="0"/>
    </w:pPr>
    <w:rPr>
      <w:rFonts w:ascii="Arial" w:hAnsi="Arial" w:eastAsia="Arial" w:cs="Arial"/>
      <w:sz w:val="22"/>
      <w:lang w:val="es-ES"/>
    </w:rPr>
  </w:style>
  <w:style w:type="character" w:styleId="TextoindependienteCar" w:customStyle="1">
    <w:name w:val="Texto independiente Car"/>
    <w:basedOn w:val="Fuentedeprrafopredeter"/>
    <w:link w:val="Textoindependiente"/>
    <w:uiPriority w:val="1"/>
    <w:rsid w:val="00D86BBF"/>
    <w:rPr>
      <w:rFonts w:ascii="Arial" w:hAnsi="Arial" w:eastAsia="Arial" w:cs="Arial"/>
      <w:lang w:val="es-ES"/>
    </w:rPr>
  </w:style>
  <w:style w:type="character" w:styleId="baj" w:customStyle="1">
    <w:name w:val="b_aj"/>
    <w:basedOn w:val="Fuentedeprrafopredeter"/>
    <w:rsid w:val="00D86BBF"/>
  </w:style>
  <w:style w:type="character" w:styleId="Textoennegrita">
    <w:name w:val="Strong"/>
    <w:basedOn w:val="Fuentedeprrafopredeter"/>
    <w:uiPriority w:val="22"/>
    <w:qFormat/>
    <w:rsid w:val="00D86BBF"/>
    <w:rPr>
      <w:b/>
      <w:bCs/>
    </w:rPr>
  </w:style>
  <w:style w:type="character" w:styleId="nfasis">
    <w:name w:val="Emphasis"/>
    <w:basedOn w:val="Fuentedeprrafopredeter"/>
    <w:uiPriority w:val="20"/>
    <w:qFormat/>
    <w:rsid w:val="00D86BB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074298">
      <w:bodyDiv w:val="1"/>
      <w:marLeft w:val="0"/>
      <w:marRight w:val="0"/>
      <w:marTop w:val="0"/>
      <w:marBottom w:val="0"/>
      <w:divBdr>
        <w:top w:val="none" w:sz="0" w:space="0" w:color="auto"/>
        <w:left w:val="none" w:sz="0" w:space="0" w:color="auto"/>
        <w:bottom w:val="none" w:sz="0" w:space="0" w:color="auto"/>
        <w:right w:val="none" w:sz="0" w:space="0" w:color="auto"/>
      </w:divBdr>
    </w:div>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154107497">
      <w:bodyDiv w:val="1"/>
      <w:marLeft w:val="0"/>
      <w:marRight w:val="0"/>
      <w:marTop w:val="0"/>
      <w:marBottom w:val="0"/>
      <w:divBdr>
        <w:top w:val="none" w:sz="0" w:space="0" w:color="auto"/>
        <w:left w:val="none" w:sz="0" w:space="0" w:color="auto"/>
        <w:bottom w:val="none" w:sz="0" w:space="0" w:color="auto"/>
        <w:right w:val="none" w:sz="0" w:space="0" w:color="auto"/>
      </w:divBdr>
    </w:div>
    <w:div w:id="198205299">
      <w:bodyDiv w:val="1"/>
      <w:marLeft w:val="0"/>
      <w:marRight w:val="0"/>
      <w:marTop w:val="0"/>
      <w:marBottom w:val="0"/>
      <w:divBdr>
        <w:top w:val="none" w:sz="0" w:space="0" w:color="auto"/>
        <w:left w:val="none" w:sz="0" w:space="0" w:color="auto"/>
        <w:bottom w:val="none" w:sz="0" w:space="0" w:color="auto"/>
        <w:right w:val="none" w:sz="0" w:space="0" w:color="auto"/>
      </w:divBdr>
    </w:div>
    <w:div w:id="214120956">
      <w:bodyDiv w:val="1"/>
      <w:marLeft w:val="0"/>
      <w:marRight w:val="0"/>
      <w:marTop w:val="0"/>
      <w:marBottom w:val="0"/>
      <w:divBdr>
        <w:top w:val="none" w:sz="0" w:space="0" w:color="auto"/>
        <w:left w:val="none" w:sz="0" w:space="0" w:color="auto"/>
        <w:bottom w:val="none" w:sz="0" w:space="0" w:color="auto"/>
        <w:right w:val="none" w:sz="0" w:space="0" w:color="auto"/>
      </w:divBdr>
    </w:div>
    <w:div w:id="279067683">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435253185">
      <w:bodyDiv w:val="1"/>
      <w:marLeft w:val="0"/>
      <w:marRight w:val="0"/>
      <w:marTop w:val="0"/>
      <w:marBottom w:val="0"/>
      <w:divBdr>
        <w:top w:val="none" w:sz="0" w:space="0" w:color="auto"/>
        <w:left w:val="none" w:sz="0" w:space="0" w:color="auto"/>
        <w:bottom w:val="none" w:sz="0" w:space="0" w:color="auto"/>
        <w:right w:val="none" w:sz="0" w:space="0" w:color="auto"/>
      </w:divBdr>
    </w:div>
    <w:div w:id="623270787">
      <w:bodyDiv w:val="1"/>
      <w:marLeft w:val="0"/>
      <w:marRight w:val="0"/>
      <w:marTop w:val="0"/>
      <w:marBottom w:val="0"/>
      <w:divBdr>
        <w:top w:val="none" w:sz="0" w:space="0" w:color="auto"/>
        <w:left w:val="none" w:sz="0" w:space="0" w:color="auto"/>
        <w:bottom w:val="none" w:sz="0" w:space="0" w:color="auto"/>
        <w:right w:val="none" w:sz="0" w:space="0" w:color="auto"/>
      </w:divBdr>
    </w:div>
    <w:div w:id="793138389">
      <w:bodyDiv w:val="1"/>
      <w:marLeft w:val="0"/>
      <w:marRight w:val="0"/>
      <w:marTop w:val="0"/>
      <w:marBottom w:val="0"/>
      <w:divBdr>
        <w:top w:val="none" w:sz="0" w:space="0" w:color="auto"/>
        <w:left w:val="none" w:sz="0" w:space="0" w:color="auto"/>
        <w:bottom w:val="none" w:sz="0" w:space="0" w:color="auto"/>
        <w:right w:val="none" w:sz="0" w:space="0" w:color="auto"/>
      </w:divBdr>
    </w:div>
    <w:div w:id="1001391864">
      <w:bodyDiv w:val="1"/>
      <w:marLeft w:val="0"/>
      <w:marRight w:val="0"/>
      <w:marTop w:val="0"/>
      <w:marBottom w:val="0"/>
      <w:divBdr>
        <w:top w:val="none" w:sz="0" w:space="0" w:color="auto"/>
        <w:left w:val="none" w:sz="0" w:space="0" w:color="auto"/>
        <w:bottom w:val="none" w:sz="0" w:space="0" w:color="auto"/>
        <w:right w:val="none" w:sz="0" w:space="0" w:color="auto"/>
      </w:divBdr>
    </w:div>
    <w:div w:id="1335571700">
      <w:bodyDiv w:val="1"/>
      <w:marLeft w:val="0"/>
      <w:marRight w:val="0"/>
      <w:marTop w:val="0"/>
      <w:marBottom w:val="0"/>
      <w:divBdr>
        <w:top w:val="none" w:sz="0" w:space="0" w:color="auto"/>
        <w:left w:val="none" w:sz="0" w:space="0" w:color="auto"/>
        <w:bottom w:val="none" w:sz="0" w:space="0" w:color="auto"/>
        <w:right w:val="none" w:sz="0" w:space="0" w:color="auto"/>
      </w:divBdr>
    </w:div>
    <w:div w:id="1514102197">
      <w:bodyDiv w:val="1"/>
      <w:marLeft w:val="0"/>
      <w:marRight w:val="0"/>
      <w:marTop w:val="0"/>
      <w:marBottom w:val="0"/>
      <w:divBdr>
        <w:top w:val="none" w:sz="0" w:space="0" w:color="auto"/>
        <w:left w:val="none" w:sz="0" w:space="0" w:color="auto"/>
        <w:bottom w:val="none" w:sz="0" w:space="0" w:color="auto"/>
        <w:right w:val="none" w:sz="0" w:space="0" w:color="auto"/>
      </w:divBdr>
    </w:div>
    <w:div w:id="1803378425">
      <w:bodyDiv w:val="1"/>
      <w:marLeft w:val="0"/>
      <w:marRight w:val="0"/>
      <w:marTop w:val="0"/>
      <w:marBottom w:val="0"/>
      <w:divBdr>
        <w:top w:val="none" w:sz="0" w:space="0" w:color="auto"/>
        <w:left w:val="none" w:sz="0" w:space="0" w:color="auto"/>
        <w:bottom w:val="none" w:sz="0" w:space="0" w:color="auto"/>
        <w:right w:val="none" w:sz="0" w:space="0" w:color="auto"/>
      </w:divBdr>
    </w:div>
    <w:div w:id="1910731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ntTable" Target="fontTable.xml" Id="rId14" /><Relationship Type="http://schemas.openxmlformats.org/officeDocument/2006/relationships/image" Target="/media/image4.png" Id="Rbf1af15a5daf43e4" /></Relationships>
</file>

<file path=word/_rels/footer1.xml.rels>&#65279;<?xml version="1.0" encoding="utf-8"?><Relationships xmlns="http://schemas.openxmlformats.org/package/2006/relationships"><Relationship Type="http://schemas.openxmlformats.org/officeDocument/2006/relationships/image" Target="/media/image5.png" Id="R3de6ba70b76149d1" /></Relationships>
</file>

<file path=word/_rels/footnotes.xml.rels><?xml version="1.0" encoding="UTF-8" standalone="yes"?>
<Relationships xmlns="http://schemas.openxmlformats.org/package/2006/relationships"><Relationship Id="rId1" Type="http://schemas.openxmlformats.org/officeDocument/2006/relationships/hyperlink" Target="http://www.secretariasenado.gov.co/senado/basedoc/ley_1780_2016.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Props1.xml><?xml version="1.0" encoding="utf-8"?>
<ds:datastoreItem xmlns:ds="http://schemas.openxmlformats.org/officeDocument/2006/customXml" ds:itemID="{6A7FD9A3-45AB-463E-A4F2-1EA97B18FD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3.xml><?xml version="1.0" encoding="utf-8"?>
<ds:datastoreItem xmlns:ds="http://schemas.openxmlformats.org/officeDocument/2006/customXml" ds:itemID="{4F25754F-B592-4A4B-9357-9EDE6792998D}">
  <ds:schemaRefs>
    <ds:schemaRef ds:uri="http://schemas.openxmlformats.org/officeDocument/2006/bibliography"/>
  </ds:schemaRefs>
</ds:datastoreItem>
</file>

<file path=customXml/itemProps4.xml><?xml version="1.0" encoding="utf-8"?>
<ds:datastoreItem xmlns:ds="http://schemas.openxmlformats.org/officeDocument/2006/customXml" ds:itemID="{3F0D93D6-04F6-426B-A9B5-869CEDF749DF}">
  <ds:schemaRefs>
    <ds:schemaRef ds:uri="http://schemas.microsoft.com/office/2006/metadata/properties"/>
    <ds:schemaRef ds:uri="http://schemas.microsoft.com/office/infopath/2007/PartnerControls"/>
    <ds:schemaRef ds:uri="9d85dbaf-23eb-4e57-a637-93dcacc8b1a1"/>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Respuesta a consultas</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RESPUESTA DIRECCIÓN CONTRACTUAL</dc:title>
  <dc:creator>Ximena Alejandra Cabezas Valencia</dc:creator>
  <lastModifiedBy>Nina María Padrón</lastModifiedBy>
  <revision>16</revision>
  <lastPrinted>2020-04-27T16:05:00.0000000Z</lastPrinted>
  <dcterms:created xsi:type="dcterms:W3CDTF">2020-06-04T12:40:00.0000000Z</dcterms:created>
  <dcterms:modified xsi:type="dcterms:W3CDTF">2020-07-29T23:29:00.7232043Z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