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F7787" w:rsidR="00BE1E33" w:rsidP="00BE1E33" w:rsidRDefault="00BE1E33" w14:paraId="2D47BA26" w14:textId="77777777">
      <w:pPr>
        <w:jc w:val="right"/>
        <w:rPr>
          <w:rFonts w:ascii="Arial" w:hAnsi="Arial" w:cs="Arial"/>
          <w:b/>
          <w:sz w:val="16"/>
          <w:szCs w:val="16"/>
          <w:lang w:eastAsia="es-ES"/>
        </w:rPr>
      </w:pPr>
      <w:bookmarkStart w:name="_Hlk28946138" w:id="0"/>
      <w:bookmarkStart w:name="_Hlk29548183" w:id="1"/>
      <w:r w:rsidRPr="00DF7787">
        <w:rPr>
          <w:rFonts w:ascii="Arial" w:hAnsi="Arial" w:cs="Arial"/>
          <w:b/>
          <w:sz w:val="16"/>
          <w:szCs w:val="16"/>
          <w:lang w:eastAsia="es-ES"/>
        </w:rPr>
        <w:tab/>
      </w:r>
      <w:r w:rsidRPr="00DF7787">
        <w:rPr>
          <w:rFonts w:ascii="Arial" w:hAnsi="Arial" w:cs="Arial"/>
          <w:b/>
          <w:sz w:val="16"/>
          <w:szCs w:val="16"/>
          <w:lang w:eastAsia="es-ES"/>
        </w:rPr>
        <w:t>CCE-DES-FM-17</w:t>
      </w:r>
    </w:p>
    <w:p w:rsidRPr="00DF7787" w:rsidR="00BE1E33" w:rsidP="00BE1E33" w:rsidRDefault="00BE1E33" w14:paraId="25784C1D" w14:textId="77777777">
      <w:pPr>
        <w:jc w:val="both"/>
        <w:rPr>
          <w:rFonts w:ascii="Arial" w:hAnsi="Arial" w:eastAsia="Calibri" w:cs="Arial"/>
          <w:b/>
          <w:sz w:val="20"/>
          <w:szCs w:val="20"/>
        </w:rPr>
      </w:pPr>
    </w:p>
    <w:p w:rsidRPr="00DF7787" w:rsidR="007E79FE" w:rsidP="007E79FE" w:rsidRDefault="007E79FE" w14:paraId="6CAB2D9C" w14:textId="145723CA">
      <w:pPr>
        <w:jc w:val="both"/>
        <w:rPr>
          <w:rFonts w:ascii="Arial" w:hAnsi="Arial" w:eastAsia="Calibri" w:cs="Arial"/>
          <w:b/>
          <w:sz w:val="22"/>
        </w:rPr>
      </w:pPr>
      <w:r w:rsidRPr="00DF7787">
        <w:rPr>
          <w:rFonts w:ascii="Arial" w:hAnsi="Arial" w:eastAsia="Calibri" w:cs="Arial"/>
          <w:b/>
          <w:sz w:val="22"/>
        </w:rPr>
        <w:t>ARTÍCULO 12 DE LA LEY 1150 DE 2007 – Ámbito de aplicación</w:t>
      </w:r>
    </w:p>
    <w:p w:rsidRPr="00DF7787" w:rsidR="007E79FE" w:rsidP="007E79FE" w:rsidRDefault="007E79FE" w14:paraId="7E01B0E1" w14:textId="77777777">
      <w:pPr>
        <w:jc w:val="both"/>
        <w:rPr>
          <w:rFonts w:ascii="Arial" w:hAnsi="Arial" w:eastAsia="Calibri" w:cs="Arial"/>
          <w:sz w:val="20"/>
          <w:szCs w:val="20"/>
        </w:rPr>
      </w:pPr>
    </w:p>
    <w:p w:rsidRPr="00DF7787" w:rsidR="007E79FE" w:rsidP="00023568" w:rsidRDefault="00026267" w14:paraId="257E0B2D" w14:textId="62AF1FAD">
      <w:pPr>
        <w:jc w:val="both"/>
        <w:rPr>
          <w:rFonts w:ascii="Arial" w:hAnsi="Arial" w:eastAsia="Calibri" w:cs="Arial"/>
          <w:bCs/>
          <w:sz w:val="20"/>
          <w:szCs w:val="20"/>
        </w:rPr>
      </w:pPr>
      <w:r w:rsidRPr="00026267">
        <w:rPr>
          <w:rFonts w:ascii="Arial" w:hAnsi="Arial" w:eastAsia="Calibri" w:cs="Arial"/>
          <w:bCs/>
          <w:sz w:val="20"/>
          <w:szCs w:val="20"/>
        </w:rPr>
        <w:t xml:space="preserve">El artículo 12 de la Ley 1150 de 2007 regula la promoción del desarrollo en la contratación pública. Esta norma, en principio, pretendió «apoyar y promocionar la formación de empresas». Así lo demuestran sus antecedentes legislativos, en donde se da cuenta que la misma siempre estuvo relacionada con incentivar las </w:t>
      </w:r>
      <w:proofErr w:type="spellStart"/>
      <w:r w:rsidRPr="00026267">
        <w:rPr>
          <w:rFonts w:ascii="Arial" w:hAnsi="Arial" w:eastAsia="Calibri" w:cs="Arial"/>
          <w:bCs/>
          <w:sz w:val="20"/>
          <w:szCs w:val="20"/>
        </w:rPr>
        <w:t>Mipymes</w:t>
      </w:r>
      <w:proofErr w:type="spellEnd"/>
      <w:r w:rsidRPr="00026267">
        <w:rPr>
          <w:rFonts w:ascii="Arial" w:hAnsi="Arial" w:eastAsia="Calibri" w:cs="Arial"/>
          <w:bCs/>
          <w:sz w:val="20"/>
          <w:szCs w:val="20"/>
        </w:rPr>
        <w:t xml:space="preserve"> </w:t>
      </w:r>
      <w:r w:rsidRPr="00DF7787" w:rsidR="007E79FE">
        <w:rPr>
          <w:rFonts w:ascii="Arial" w:hAnsi="Arial" w:eastAsia="Calibri" w:cs="Arial"/>
          <w:bCs/>
          <w:sz w:val="20"/>
          <w:szCs w:val="20"/>
        </w:rPr>
        <w:t xml:space="preserve">[…] Lo dicho antes, a juicio de la Agencia Nacional de Contratación Pública, da cuenta de que la intención del legislador fue la de restringir el ámbito de aplicación del artículo 12 de la Ley 1150 de 2007, a las </w:t>
      </w:r>
      <w:proofErr w:type="spellStart"/>
      <w:r w:rsidRPr="00DF7787" w:rsidR="007E79FE">
        <w:rPr>
          <w:rFonts w:ascii="Arial" w:hAnsi="Arial" w:eastAsia="Calibri" w:cs="Arial"/>
          <w:bCs/>
          <w:sz w:val="20"/>
          <w:szCs w:val="20"/>
        </w:rPr>
        <w:t>Mipymes</w:t>
      </w:r>
      <w:proofErr w:type="spellEnd"/>
      <w:r w:rsidRPr="00DF7787" w:rsidR="007E79FE">
        <w:rPr>
          <w:rFonts w:ascii="Arial" w:hAnsi="Arial" w:eastAsia="Calibri" w:cs="Arial"/>
          <w:bCs/>
          <w:sz w:val="20"/>
          <w:szCs w:val="20"/>
        </w:rPr>
        <w:t xml:space="preserve">, incluidas las conformadas por personas marginadas o discriminadas. </w:t>
      </w:r>
    </w:p>
    <w:p w:rsidRPr="00DF7787" w:rsidR="00A822F9" w:rsidP="00023568" w:rsidRDefault="00A822F9" w14:paraId="18864454" w14:textId="71F80063">
      <w:pPr>
        <w:jc w:val="both"/>
        <w:rPr>
          <w:rFonts w:ascii="Arial" w:hAnsi="Arial" w:eastAsia="Calibri" w:cs="Arial"/>
          <w:bCs/>
          <w:sz w:val="20"/>
          <w:szCs w:val="20"/>
        </w:rPr>
      </w:pPr>
    </w:p>
    <w:p w:rsidRPr="00DF7787" w:rsidR="00A822F9" w:rsidP="470E453C" w:rsidRDefault="00A822F9" w14:paraId="785D67CA" w14:textId="75750808">
      <w:pPr>
        <w:jc w:val="both"/>
        <w:rPr>
          <w:rFonts w:ascii="Arial" w:hAnsi="Arial" w:eastAsia="Calibri" w:cs="Arial"/>
          <w:sz w:val="22"/>
          <w:szCs w:val="22"/>
        </w:rPr>
      </w:pPr>
      <w:r w:rsidRPr="470E453C" w:rsidR="00A822F9">
        <w:rPr>
          <w:rFonts w:ascii="Arial" w:hAnsi="Arial" w:eastAsia="Calibri" w:cs="Arial"/>
          <w:b w:val="1"/>
          <w:bCs w:val="1"/>
          <w:sz w:val="22"/>
          <w:szCs w:val="22"/>
        </w:rPr>
        <w:t>CONTRATACIÓN ESTATAL – Sujetos de especial</w:t>
      </w:r>
      <w:r w:rsidRPr="470E453C" w:rsidR="00377862">
        <w:rPr>
          <w:rFonts w:ascii="Arial" w:hAnsi="Arial" w:eastAsia="Calibri" w:cs="Arial"/>
          <w:b w:val="1"/>
          <w:bCs w:val="1"/>
          <w:sz w:val="22"/>
          <w:szCs w:val="22"/>
        </w:rPr>
        <w:t xml:space="preserve"> </w:t>
      </w:r>
      <w:r w:rsidRPr="470E453C" w:rsidR="3A7F50AE">
        <w:rPr>
          <w:rFonts w:ascii="Arial" w:hAnsi="Arial" w:eastAsia="Calibri" w:cs="Arial"/>
          <w:b w:val="1"/>
          <w:bCs w:val="1"/>
          <w:sz w:val="22"/>
          <w:szCs w:val="22"/>
        </w:rPr>
        <w:t>P</w:t>
      </w:r>
      <w:r w:rsidRPr="470E453C" w:rsidR="00A822F9">
        <w:rPr>
          <w:rFonts w:ascii="Arial" w:hAnsi="Arial" w:eastAsia="Calibri" w:cs="Arial"/>
          <w:b w:val="1"/>
          <w:bCs w:val="1"/>
          <w:sz w:val="22"/>
          <w:szCs w:val="22"/>
        </w:rPr>
        <w:t>rotección constitucional</w:t>
      </w:r>
      <w:r w:rsidRPr="470E453C" w:rsidR="00A00ED0">
        <w:rPr>
          <w:rFonts w:ascii="Arial" w:hAnsi="Arial" w:eastAsia="Calibri" w:cs="Arial"/>
          <w:b w:val="1"/>
          <w:bCs w:val="1"/>
          <w:sz w:val="22"/>
          <w:szCs w:val="22"/>
        </w:rPr>
        <w:t xml:space="preserve"> – Incentivos – Necesidad de reglamentación</w:t>
      </w:r>
    </w:p>
    <w:p w:rsidRPr="00DF7787" w:rsidR="00A822F9" w:rsidP="00A822F9" w:rsidRDefault="00A822F9" w14:paraId="41D7EDCF" w14:textId="77777777">
      <w:pPr>
        <w:jc w:val="both"/>
        <w:rPr>
          <w:rFonts w:ascii="Arial" w:hAnsi="Arial" w:eastAsia="Calibri" w:cs="Arial"/>
          <w:bCs/>
          <w:sz w:val="20"/>
          <w:szCs w:val="20"/>
        </w:rPr>
      </w:pPr>
    </w:p>
    <w:p w:rsidR="00A00ED0" w:rsidP="00A00ED0" w:rsidRDefault="00A00ED0" w14:paraId="42AFF0ED" w14:textId="115BD65C">
      <w:pPr>
        <w:spacing w:after="120"/>
        <w:jc w:val="both"/>
        <w:rPr>
          <w:rFonts w:ascii="Arial" w:hAnsi="Arial" w:eastAsia="Calibri" w:cs="Arial"/>
          <w:bCs/>
          <w:sz w:val="20"/>
          <w:szCs w:val="20"/>
        </w:rPr>
      </w:pPr>
      <w:r>
        <w:rPr>
          <w:rFonts w:ascii="Arial" w:hAnsi="Arial" w:eastAsia="Calibri" w:cs="Arial"/>
          <w:bCs/>
          <w:sz w:val="20"/>
          <w:szCs w:val="20"/>
        </w:rPr>
        <w:t xml:space="preserve">[…] </w:t>
      </w:r>
      <w:r w:rsidRPr="00A00ED0">
        <w:rPr>
          <w:rFonts w:ascii="Arial" w:hAnsi="Arial" w:eastAsia="Calibri" w:cs="Arial"/>
          <w:bCs/>
          <w:sz w:val="20"/>
          <w:szCs w:val="20"/>
        </w:rPr>
        <w:t xml:space="preserve">el legislador reconoció, de forma genérica, la posibilidad que tienen las entidades públicas de implementar en el pliego de condiciones mecanismos que fomenten la ejecución de contratos estatales por parte de sujetos de especial protección constitucional. Con todo, resulta imperioso aclarar que dicha norma establece que tal posibilidad está circunscrita a «las condiciones que señale el reglamento», lo que hace forzoso concluir que tales mecanismos de fomento no pueden ser aplicados directamente por las entidades, hasta tanto el Gobierno Nacional expida la reglamentación correspondiente, en ejercicio de las potestades que le confiere el artículo 189, numeral 11, de la Constitución Política. </w:t>
      </w:r>
    </w:p>
    <w:p w:rsidRPr="00A00ED0" w:rsidR="00A00ED0" w:rsidP="00A00ED0" w:rsidRDefault="00A00ED0" w14:paraId="10A4EE42" w14:textId="3EB1EC5E">
      <w:pPr>
        <w:jc w:val="both"/>
        <w:rPr>
          <w:rFonts w:ascii="Arial" w:hAnsi="Arial" w:eastAsia="Calibri" w:cs="Arial"/>
          <w:bCs/>
          <w:sz w:val="20"/>
          <w:szCs w:val="20"/>
        </w:rPr>
      </w:pPr>
      <w:r>
        <w:rPr>
          <w:rFonts w:ascii="Arial" w:hAnsi="Arial" w:eastAsia="Calibri" w:cs="Arial"/>
          <w:bCs/>
          <w:sz w:val="20"/>
          <w:szCs w:val="20"/>
        </w:rPr>
        <w:t>[…]</w:t>
      </w:r>
      <w:r w:rsidRPr="00A00ED0">
        <w:rPr>
          <w:rFonts w:ascii="Arial" w:hAnsi="Arial" w:eastAsia="Calibri" w:cs="Arial"/>
          <w:bCs/>
          <w:sz w:val="20"/>
          <w:szCs w:val="20"/>
        </w:rPr>
        <w:t xml:space="preserve"> en lo que tiene que ver con la ejecución de contratos estatales y con la provisión de bienes y servicios por parte de mujeres, hasta que el Gobierno Nacional no reglamente las condiciones de aplicación del artículo 12, inciso 4, de la Ley 1150 de 2007, no es posible que las entidades establezcan mecanismos de fomento en los pliegos de condiciones, precisamente, por la falta de desarrollo frente a las condiciones para que esto sea posible, como sí se hizo, por ejemplo, con las personas en condición de discapacidad, entre otros. Las entidades públicas, incluidas las territoriales, tampoco pueden implementar este tipo de medidas diferenciales con fundamento en el mandato contenido en Ley 823 de 2003, pues el mismo está dirigido expresamente al Gobierno Nacional, lo que impide que cualquier entidad diferente implemente medidas que fomenten en la contratación estatal a las mujeres. Todo, claro está, sin perjuicio de las obligaciones generales que le asiste a toda entidad pública de impedir cualquier tipo de acto discriminatorio que afecte a las mujeres por su condición de mujer en sí misma considerada.</w:t>
      </w:r>
    </w:p>
    <w:p w:rsidRPr="00DF7787" w:rsidR="00A822F9" w:rsidP="00023568" w:rsidRDefault="00A822F9" w14:paraId="69753267" w14:textId="77777777">
      <w:pPr>
        <w:jc w:val="both"/>
        <w:rPr>
          <w:rFonts w:ascii="Arial" w:hAnsi="Arial" w:eastAsia="Calibri" w:cs="Arial"/>
          <w:bCs/>
          <w:sz w:val="20"/>
          <w:szCs w:val="20"/>
        </w:rPr>
      </w:pPr>
    </w:p>
    <w:p w:rsidRPr="00F702EA" w:rsidR="00F702EA" w:rsidP="00F702EA" w:rsidRDefault="00F702EA" w14:paraId="7E821B88" w14:textId="77777777">
      <w:pPr>
        <w:autoSpaceDE w:val="0"/>
        <w:autoSpaceDN w:val="0"/>
        <w:adjustRightInd w:val="0"/>
        <w:rPr>
          <w:rFonts w:ascii="Arial" w:hAnsi="Arial" w:cs="Arial"/>
          <w:color w:val="000000"/>
          <w:szCs w:val="24"/>
          <w:lang w:val="es-CO"/>
        </w:rPr>
      </w:pPr>
    </w:p>
    <w:p w:rsidRPr="00F702EA" w:rsidR="00F702EA" w:rsidP="00F702EA" w:rsidRDefault="00F702EA" w14:paraId="60673DCC" w14:textId="3CA2ED3E">
      <w:pPr>
        <w:autoSpaceDE w:val="0"/>
        <w:autoSpaceDN w:val="0"/>
        <w:adjustRightInd w:val="0"/>
        <w:rPr>
          <w:rFonts w:ascii="Arial" w:hAnsi="Arial" w:cs="Arial"/>
          <w:color w:val="000000"/>
          <w:sz w:val="22"/>
          <w:lang w:val="es-CO"/>
        </w:rPr>
      </w:pPr>
      <w:r w:rsidRPr="00F702EA">
        <w:rPr>
          <w:rFonts w:ascii="Arial" w:hAnsi="Arial" w:cs="Arial"/>
          <w:color w:val="000000"/>
          <w:sz w:val="22"/>
          <w:lang w:val="es-CO"/>
        </w:rPr>
        <w:t xml:space="preserve">Bogotá D.C., </w:t>
      </w:r>
      <w:r w:rsidRPr="00F702EA">
        <w:rPr>
          <w:rFonts w:ascii="Arial" w:hAnsi="Arial" w:cs="Arial"/>
          <w:b/>
          <w:bCs/>
          <w:color w:val="000000"/>
          <w:sz w:val="22"/>
          <w:lang w:val="es-CO"/>
        </w:rPr>
        <w:t xml:space="preserve">09/06/2020 Hora 8:22:32s </w:t>
      </w:r>
    </w:p>
    <w:p w:rsidRPr="00DF7787" w:rsidR="00BE1E33" w:rsidP="00F702EA" w:rsidRDefault="00F702EA" w14:paraId="1AED6E7A" w14:textId="73BAA295">
      <w:pPr>
        <w:jc w:val="right"/>
        <w:rPr>
          <w:rFonts w:ascii="Arial" w:hAnsi="Arial" w:cs="Arial"/>
          <w:b/>
          <w:sz w:val="22"/>
        </w:rPr>
      </w:pPr>
      <w:r w:rsidRPr="00F702EA">
        <w:rPr>
          <w:rFonts w:ascii="Arial" w:hAnsi="Arial" w:cs="Arial"/>
          <w:b/>
          <w:bCs/>
          <w:color w:val="000000"/>
          <w:sz w:val="22"/>
          <w:lang w:val="es-CO"/>
        </w:rPr>
        <w:t>N° Radicado: 2202013000004741</w:t>
      </w:r>
    </w:p>
    <w:p w:rsidRPr="00DF7787" w:rsidR="00BE1E33" w:rsidP="00BE1E33" w:rsidRDefault="00BE1E33" w14:paraId="21B4056E" w14:textId="77777777">
      <w:pPr>
        <w:rPr>
          <w:rFonts w:ascii="Arial" w:hAnsi="Arial" w:eastAsia="Calibri" w:cs="Arial"/>
          <w:sz w:val="22"/>
        </w:rPr>
      </w:pPr>
    </w:p>
    <w:p w:rsidRPr="00DF7787" w:rsidR="00BE1E33" w:rsidP="00BE1E33" w:rsidRDefault="00BE1E33" w14:paraId="12A234ED" w14:textId="77777777">
      <w:pPr>
        <w:rPr>
          <w:rFonts w:ascii="Arial" w:hAnsi="Arial" w:eastAsia="Calibri" w:cs="Arial"/>
          <w:sz w:val="22"/>
        </w:rPr>
      </w:pPr>
    </w:p>
    <w:p w:rsidRPr="00DF7787" w:rsidR="00BE1E33" w:rsidP="00BE1E33" w:rsidRDefault="00BE1E33" w14:paraId="73D51859" w14:textId="44FD4BC8">
      <w:pPr>
        <w:rPr>
          <w:rFonts w:ascii="Arial" w:hAnsi="Arial" w:eastAsia="Calibri" w:cs="Arial"/>
          <w:sz w:val="22"/>
        </w:rPr>
      </w:pPr>
      <w:r w:rsidRPr="00DF7787">
        <w:rPr>
          <w:rFonts w:ascii="Arial" w:hAnsi="Arial" w:eastAsia="Calibri" w:cs="Arial"/>
          <w:sz w:val="22"/>
        </w:rPr>
        <w:t>Señor</w:t>
      </w:r>
    </w:p>
    <w:p w:rsidRPr="00DF7787" w:rsidR="005D17C2" w:rsidP="00BE1E33" w:rsidRDefault="005D17C2" w14:paraId="65894932" w14:textId="7B608209">
      <w:pPr>
        <w:rPr>
          <w:rFonts w:ascii="Arial" w:hAnsi="Arial" w:eastAsia="Calibri" w:cs="Arial"/>
          <w:b/>
          <w:sz w:val="22"/>
        </w:rPr>
      </w:pPr>
      <w:r w:rsidRPr="00DF7787">
        <w:rPr>
          <w:rFonts w:ascii="Arial" w:hAnsi="Arial" w:eastAsia="Calibri" w:cs="Arial"/>
          <w:b/>
          <w:sz w:val="22"/>
        </w:rPr>
        <w:t>Jorge Mario David Restrepo</w:t>
      </w:r>
    </w:p>
    <w:p w:rsidRPr="00DF7787" w:rsidR="00BE1E33" w:rsidP="00BE1E33" w:rsidRDefault="005D17C2" w14:paraId="095BF112" w14:textId="7A6208A0">
      <w:pPr>
        <w:rPr>
          <w:rFonts w:ascii="Arial" w:hAnsi="Arial" w:eastAsia="Calibri" w:cs="Arial"/>
          <w:sz w:val="22"/>
        </w:rPr>
      </w:pPr>
      <w:r w:rsidRPr="00DF7787">
        <w:rPr>
          <w:rFonts w:ascii="Arial" w:hAnsi="Arial" w:eastAsia="Calibri" w:cs="Arial"/>
          <w:sz w:val="22"/>
        </w:rPr>
        <w:t>Abejorral, Antioquia</w:t>
      </w:r>
    </w:p>
    <w:p w:rsidRPr="00DF7787" w:rsidR="00BE1E33" w:rsidP="00BE1E33" w:rsidRDefault="00BE1E33" w14:paraId="273C04A0" w14:textId="77777777">
      <w:pPr>
        <w:rPr>
          <w:rFonts w:ascii="Arial" w:hAnsi="Arial" w:eastAsia="Calibri" w:cs="Arial"/>
          <w:sz w:val="22"/>
        </w:rPr>
      </w:pPr>
    </w:p>
    <w:p w:rsidRPr="00DF7787" w:rsidR="00BE1E33" w:rsidP="00BE1E33" w:rsidRDefault="00BE1E33" w14:paraId="1F3204AE" w14:textId="77777777">
      <w:pPr>
        <w:rPr>
          <w:rFonts w:ascii="Arial" w:hAnsi="Arial" w:eastAsia="Calibri" w:cs="Arial"/>
          <w:sz w:val="22"/>
        </w:rPr>
      </w:pPr>
    </w:p>
    <w:p w:rsidRPr="00DF7787" w:rsidR="00BE1E33" w:rsidP="00BE1E33" w:rsidRDefault="00BE1E33" w14:paraId="5CEA4ADF" w14:textId="421A1D1E">
      <w:pPr>
        <w:ind w:firstLine="2694"/>
        <w:rPr>
          <w:rFonts w:ascii="Arial" w:hAnsi="Arial" w:eastAsia="Calibri" w:cs="Arial"/>
          <w:b/>
          <w:sz w:val="22"/>
        </w:rPr>
      </w:pPr>
      <w:r w:rsidRPr="00DF7787">
        <w:rPr>
          <w:rFonts w:ascii="Arial" w:hAnsi="Arial" w:eastAsia="Calibri" w:cs="Arial"/>
          <w:b/>
          <w:sz w:val="22"/>
        </w:rPr>
        <w:t xml:space="preserve">Concepto C ─ </w:t>
      </w:r>
      <w:r w:rsidRPr="00DF7787" w:rsidR="005D17C2">
        <w:rPr>
          <w:rFonts w:ascii="Arial" w:hAnsi="Arial" w:eastAsia="Calibri" w:cs="Arial"/>
          <w:b/>
          <w:sz w:val="22"/>
        </w:rPr>
        <w:t>377</w:t>
      </w:r>
      <w:r w:rsidRPr="00DF7787">
        <w:rPr>
          <w:rFonts w:ascii="Arial" w:hAnsi="Arial" w:eastAsia="Calibri" w:cs="Arial"/>
          <w:b/>
          <w:sz w:val="22"/>
        </w:rPr>
        <w:t xml:space="preserve"> de 2020</w:t>
      </w:r>
    </w:p>
    <w:p w:rsidRPr="00DF7787" w:rsidR="00BE1E33" w:rsidP="00BE1E33" w:rsidRDefault="00BE1E33" w14:paraId="234727AD"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DF7787" w:rsidR="00DF7787" w:rsidTr="00BC49BA" w14:paraId="2553E4F3" w14:textId="77777777">
        <w:tc>
          <w:tcPr>
            <w:tcW w:w="2689" w:type="dxa"/>
            <w:hideMark/>
          </w:tcPr>
          <w:p w:rsidRPr="00DF7787" w:rsidR="00BE1E33" w:rsidP="00BC49BA" w:rsidRDefault="00BE1E33" w14:paraId="0C0D8CD7" w14:textId="23435FAE">
            <w:pPr>
              <w:rPr>
                <w:rFonts w:ascii="Arial" w:hAnsi="Arial" w:eastAsia="Calibri" w:cs="Arial"/>
                <w:sz w:val="22"/>
              </w:rPr>
            </w:pPr>
            <w:r w:rsidRPr="00DF7787">
              <w:rPr>
                <w:rFonts w:ascii="Arial" w:hAnsi="Arial" w:eastAsia="Calibri" w:cs="Arial"/>
                <w:b/>
                <w:sz w:val="22"/>
              </w:rPr>
              <w:lastRenderedPageBreak/>
              <w:t>Temas:</w:t>
            </w:r>
          </w:p>
        </w:tc>
        <w:tc>
          <w:tcPr>
            <w:tcW w:w="6237" w:type="dxa"/>
            <w:hideMark/>
          </w:tcPr>
          <w:p w:rsidRPr="00DF7787" w:rsidR="00BE1E33" w:rsidP="008C6C46" w:rsidRDefault="008C6C46" w14:paraId="0F35FDBD" w14:textId="57BB7646">
            <w:pPr>
              <w:jc w:val="both"/>
              <w:rPr>
                <w:rFonts w:ascii="Arial" w:hAnsi="Arial" w:eastAsia="Calibri" w:cs="Arial"/>
                <w:sz w:val="22"/>
              </w:rPr>
            </w:pPr>
            <w:r w:rsidRPr="00DF7787">
              <w:rPr>
                <w:rFonts w:ascii="Arial" w:hAnsi="Arial" w:eastAsia="Calibri" w:cs="Arial"/>
                <w:sz w:val="22"/>
              </w:rPr>
              <w:t>ARTÍCULO 12 DE LA LEY 1150 DE 2007 – Ámbito de aplicación / CONTRATACIÓN ESTATAL – Sujetos de especial protección constitucional</w:t>
            </w:r>
          </w:p>
        </w:tc>
      </w:tr>
      <w:tr w:rsidRPr="00DF7787" w:rsidR="00A31643" w:rsidTr="00BC49BA" w14:paraId="20F2A3B6" w14:textId="77777777">
        <w:tc>
          <w:tcPr>
            <w:tcW w:w="2689" w:type="dxa"/>
          </w:tcPr>
          <w:p w:rsidRPr="00DF7787" w:rsidR="00BE1E33" w:rsidP="00BC49BA" w:rsidRDefault="00BE1E33" w14:paraId="1E82F4FA" w14:textId="77777777">
            <w:pPr>
              <w:spacing w:before="120"/>
              <w:rPr>
                <w:rFonts w:ascii="Arial" w:hAnsi="Arial" w:eastAsia="Calibri" w:cs="Arial"/>
                <w:b/>
                <w:sz w:val="22"/>
              </w:rPr>
            </w:pPr>
            <w:r w:rsidRPr="00DF7787">
              <w:rPr>
                <w:rFonts w:ascii="Arial" w:hAnsi="Arial" w:eastAsia="Calibri" w:cs="Arial"/>
                <w:b/>
                <w:sz w:val="22"/>
              </w:rPr>
              <w:t>Radicación:</w:t>
            </w:r>
            <w:r w:rsidRPr="00DF7787">
              <w:rPr>
                <w:rFonts w:ascii="Arial" w:hAnsi="Arial" w:eastAsia="Calibri" w:cs="Arial"/>
                <w:sz w:val="22"/>
              </w:rPr>
              <w:t xml:space="preserve">                              </w:t>
            </w:r>
          </w:p>
        </w:tc>
        <w:tc>
          <w:tcPr>
            <w:tcW w:w="6237" w:type="dxa"/>
          </w:tcPr>
          <w:p w:rsidRPr="00DF7787" w:rsidR="00BE1E33" w:rsidP="00BC49BA" w:rsidRDefault="00BE1E33" w14:paraId="20FCE53A" w14:textId="7B637D68">
            <w:pPr>
              <w:spacing w:before="120"/>
              <w:jc w:val="both"/>
              <w:rPr>
                <w:rFonts w:ascii="Arial" w:hAnsi="Arial" w:eastAsia="Calibri" w:cs="Arial"/>
                <w:sz w:val="22"/>
              </w:rPr>
            </w:pPr>
            <w:r w:rsidRPr="00DF7787">
              <w:rPr>
                <w:rFonts w:ascii="Arial" w:hAnsi="Arial" w:eastAsia="Calibri" w:cs="Arial"/>
                <w:sz w:val="22"/>
              </w:rPr>
              <w:t xml:space="preserve">Respuesta a consulta </w:t>
            </w:r>
            <w:r w:rsidRPr="00DF7787" w:rsidR="005D17C2">
              <w:rPr>
                <w:rFonts w:ascii="Arial" w:hAnsi="Arial" w:eastAsia="Calibri" w:cs="Arial"/>
                <w:sz w:val="22"/>
              </w:rPr>
              <w:t>4202013000004046</w:t>
            </w:r>
            <w:r w:rsidRPr="00DF7787">
              <w:rPr>
                <w:rFonts w:ascii="Arial" w:hAnsi="Arial" w:eastAsia="Calibri" w:cs="Arial"/>
                <w:sz w:val="22"/>
              </w:rPr>
              <w:t xml:space="preserve"> </w:t>
            </w:r>
          </w:p>
        </w:tc>
      </w:tr>
    </w:tbl>
    <w:p w:rsidRPr="00DF7787" w:rsidR="00BE1E33" w:rsidP="00BE1E33" w:rsidRDefault="00BE1E33" w14:paraId="177F3517" w14:textId="77777777">
      <w:pPr>
        <w:spacing w:before="120"/>
        <w:jc w:val="both"/>
        <w:rPr>
          <w:rFonts w:ascii="Arial" w:hAnsi="Arial" w:eastAsia="Calibri" w:cs="Arial"/>
          <w:sz w:val="22"/>
        </w:rPr>
      </w:pPr>
    </w:p>
    <w:p w:rsidRPr="00DF7787" w:rsidR="00BE1E33" w:rsidP="00BE1E33" w:rsidRDefault="00BE1E33" w14:paraId="06248123" w14:textId="77777777">
      <w:pPr>
        <w:jc w:val="both"/>
        <w:rPr>
          <w:rFonts w:ascii="Arial" w:hAnsi="Arial" w:eastAsia="Calibri" w:cs="Arial"/>
          <w:sz w:val="22"/>
        </w:rPr>
      </w:pPr>
    </w:p>
    <w:p w:rsidRPr="00DF7787" w:rsidR="00BE1E33" w:rsidP="00BE1E33" w:rsidRDefault="00B87263" w14:paraId="417ABDA8" w14:textId="2BB5EFB9">
      <w:pPr>
        <w:rPr>
          <w:rFonts w:ascii="Arial" w:hAnsi="Arial" w:eastAsia="Calibri" w:cs="Arial"/>
          <w:sz w:val="22"/>
        </w:rPr>
      </w:pPr>
      <w:r w:rsidRPr="00DF7787">
        <w:rPr>
          <w:rFonts w:ascii="Arial" w:hAnsi="Arial" w:eastAsia="Calibri" w:cs="Arial"/>
          <w:sz w:val="22"/>
        </w:rPr>
        <w:t xml:space="preserve">Estimado señor </w:t>
      </w:r>
      <w:r w:rsidRPr="00DF7787" w:rsidR="005D17C2">
        <w:rPr>
          <w:rFonts w:ascii="Arial" w:hAnsi="Arial" w:eastAsia="Calibri" w:cs="Arial"/>
          <w:sz w:val="22"/>
        </w:rPr>
        <w:t>David Restrepo</w:t>
      </w:r>
      <w:r w:rsidRPr="00DF7787" w:rsidR="00BE1E33">
        <w:rPr>
          <w:rFonts w:ascii="Arial" w:hAnsi="Arial" w:eastAsia="Calibri" w:cs="Arial"/>
          <w:sz w:val="22"/>
        </w:rPr>
        <w:t>:</w:t>
      </w:r>
    </w:p>
    <w:p w:rsidRPr="00DF7787" w:rsidR="00BE1E33" w:rsidP="00BE1E33" w:rsidRDefault="00BE1E33" w14:paraId="1CCABABD" w14:textId="77777777">
      <w:pPr>
        <w:rPr>
          <w:rFonts w:ascii="Arial" w:hAnsi="Arial" w:eastAsia="Calibri" w:cs="Arial"/>
          <w:sz w:val="22"/>
        </w:rPr>
      </w:pPr>
    </w:p>
    <w:p w:rsidRPr="00DF7787" w:rsidR="00BE1E33" w:rsidP="00BE1E33" w:rsidRDefault="00BE1E33" w14:paraId="286A9CEF" w14:textId="339C5C2B">
      <w:pPr>
        <w:spacing w:line="276" w:lineRule="auto"/>
        <w:jc w:val="both"/>
        <w:rPr>
          <w:rFonts w:ascii="Arial" w:hAnsi="Arial" w:eastAsia="Calibri" w:cs="Arial"/>
          <w:sz w:val="22"/>
        </w:rPr>
      </w:pPr>
      <w:r w:rsidRPr="00DF7787">
        <w:rPr>
          <w:rFonts w:ascii="Arial" w:hAnsi="Arial" w:eastAsia="Calibri" w:cs="Arial"/>
          <w:sz w:val="22"/>
        </w:rPr>
        <w:t xml:space="preserve">En ejercicio de la competencia otorgada por los artículos 11, numeral 8º, y 3º, numeral 5º, del Decreto Ley 4170 de 2011, la Agencia Nacional de Contratación Pública − Colombia Compra Eficiente responde su consulta del </w:t>
      </w:r>
      <w:r w:rsidRPr="00DF7787" w:rsidR="005D17C2">
        <w:rPr>
          <w:rFonts w:ascii="Arial" w:hAnsi="Arial" w:eastAsia="Calibri" w:cs="Arial"/>
          <w:sz w:val="22"/>
        </w:rPr>
        <w:t>22</w:t>
      </w:r>
      <w:r w:rsidRPr="00DF7787">
        <w:rPr>
          <w:rFonts w:ascii="Arial" w:hAnsi="Arial" w:eastAsia="Calibri" w:cs="Arial"/>
          <w:sz w:val="22"/>
        </w:rPr>
        <w:t xml:space="preserve"> de ma</w:t>
      </w:r>
      <w:r w:rsidRPr="00DF7787" w:rsidR="005D17C2">
        <w:rPr>
          <w:rFonts w:ascii="Arial" w:hAnsi="Arial" w:eastAsia="Calibri" w:cs="Arial"/>
          <w:sz w:val="22"/>
        </w:rPr>
        <w:t>yo</w:t>
      </w:r>
      <w:r w:rsidRPr="00DF7787">
        <w:rPr>
          <w:rFonts w:ascii="Arial" w:hAnsi="Arial" w:eastAsia="Calibri" w:cs="Arial"/>
          <w:sz w:val="22"/>
        </w:rPr>
        <w:t xml:space="preserve"> de 2020. </w:t>
      </w:r>
    </w:p>
    <w:p w:rsidRPr="00DF7787" w:rsidR="00BE1E33" w:rsidP="00BE1E33" w:rsidRDefault="00BE1E33" w14:paraId="1D13401D" w14:textId="77777777">
      <w:pPr>
        <w:spacing w:line="276" w:lineRule="auto"/>
        <w:jc w:val="both"/>
        <w:rPr>
          <w:rFonts w:ascii="Arial" w:hAnsi="Arial" w:eastAsia="Calibri" w:cs="Arial"/>
          <w:sz w:val="22"/>
        </w:rPr>
      </w:pPr>
    </w:p>
    <w:p w:rsidRPr="00DF7787" w:rsidR="00BE1E33" w:rsidP="00BE1E33" w:rsidRDefault="00BE1E33" w14:paraId="068F505C" w14:textId="77777777">
      <w:pPr>
        <w:pStyle w:val="Prrafodelista"/>
        <w:numPr>
          <w:ilvl w:val="0"/>
          <w:numId w:val="1"/>
        </w:numPr>
        <w:tabs>
          <w:tab w:val="left" w:pos="284"/>
        </w:tabs>
        <w:spacing w:line="276" w:lineRule="auto"/>
        <w:ind w:left="0" w:firstLine="0"/>
        <w:jc w:val="both"/>
        <w:rPr>
          <w:rFonts w:ascii="Arial" w:hAnsi="Arial" w:eastAsia="Calibri" w:cs="Arial"/>
          <w:b/>
          <w:sz w:val="22"/>
        </w:rPr>
      </w:pPr>
      <w:r w:rsidRPr="00DF7787">
        <w:rPr>
          <w:rFonts w:ascii="Arial" w:hAnsi="Arial" w:eastAsia="Calibri" w:cs="Arial"/>
          <w:b/>
          <w:sz w:val="22"/>
        </w:rPr>
        <w:t xml:space="preserve">Problemas planteados </w:t>
      </w:r>
    </w:p>
    <w:p w:rsidRPr="00DF7787" w:rsidR="00BE1E33" w:rsidP="00BE1E33" w:rsidRDefault="00BE1E33" w14:paraId="430A9943" w14:textId="77777777">
      <w:pPr>
        <w:tabs>
          <w:tab w:val="left" w:pos="426"/>
        </w:tabs>
        <w:spacing w:line="276" w:lineRule="auto"/>
        <w:jc w:val="both"/>
        <w:rPr>
          <w:rFonts w:ascii="Arial" w:hAnsi="Arial" w:eastAsia="Calibri" w:cs="Arial"/>
          <w:b/>
          <w:sz w:val="22"/>
        </w:rPr>
      </w:pPr>
    </w:p>
    <w:p w:rsidRPr="00DF7787" w:rsidR="004602E5" w:rsidP="005D17C2" w:rsidRDefault="00BE1E33" w14:paraId="09D2A425" w14:textId="51923B19">
      <w:pPr>
        <w:tabs>
          <w:tab w:val="left" w:pos="426"/>
        </w:tabs>
        <w:spacing w:line="276" w:lineRule="auto"/>
        <w:jc w:val="both"/>
        <w:rPr>
          <w:rFonts w:ascii="Arial" w:hAnsi="Arial" w:eastAsia="Calibri" w:cs="Arial"/>
          <w:sz w:val="22"/>
        </w:rPr>
      </w:pPr>
      <w:r w:rsidRPr="00DF7787">
        <w:rPr>
          <w:rFonts w:ascii="Arial" w:hAnsi="Arial" w:eastAsia="Calibri" w:cs="Arial"/>
          <w:sz w:val="22"/>
        </w:rPr>
        <w:t xml:space="preserve">Usted </w:t>
      </w:r>
      <w:r w:rsidRPr="00DF7787" w:rsidR="005D17C2">
        <w:rPr>
          <w:rFonts w:ascii="Arial" w:hAnsi="Arial" w:eastAsia="Calibri" w:cs="Arial"/>
          <w:sz w:val="22"/>
        </w:rPr>
        <w:t>plantea el siguiente interrogante:</w:t>
      </w:r>
      <w:r w:rsidRPr="00DF7787">
        <w:rPr>
          <w:rFonts w:ascii="Arial" w:hAnsi="Arial" w:eastAsia="Calibri" w:cs="Arial"/>
          <w:sz w:val="22"/>
        </w:rPr>
        <w:t xml:space="preserve"> «</w:t>
      </w:r>
      <w:r w:rsidRPr="00DF7787" w:rsidR="005D17C2">
        <w:rPr>
          <w:rFonts w:ascii="Arial" w:hAnsi="Arial" w:eastAsia="Calibri" w:cs="Arial"/>
          <w:sz w:val="22"/>
        </w:rPr>
        <w:t>[…] Es posible incluir en procesos de contratación tipo selección abreviada o licitación [sic] asignar puntaje (factores calificantes) a los proponentes que emplee en sus equipos de trabajo cierto porcentaje de mujeres para ejecutar el contrato en caso de ser el adjudicatario?</w:t>
      </w:r>
      <w:r w:rsidRPr="00DF7787" w:rsidR="00EF0AE5">
        <w:rPr>
          <w:rFonts w:ascii="Arial" w:hAnsi="Arial" w:eastAsia="Calibri" w:cs="Arial"/>
          <w:sz w:val="22"/>
        </w:rPr>
        <w:t xml:space="preserve"> […]</w:t>
      </w:r>
      <w:r w:rsidRPr="00DF7787">
        <w:rPr>
          <w:rFonts w:ascii="Arial" w:hAnsi="Arial" w:eastAsia="Calibri" w:cs="Arial"/>
          <w:sz w:val="22"/>
        </w:rPr>
        <w:t>».</w:t>
      </w:r>
    </w:p>
    <w:p w:rsidRPr="00DF7787" w:rsidR="00BE1E33" w:rsidP="00BE1E33" w:rsidRDefault="00BE1E33" w14:paraId="6D375D8C" w14:textId="77777777">
      <w:pPr>
        <w:tabs>
          <w:tab w:val="left" w:pos="709"/>
        </w:tabs>
        <w:spacing w:before="120" w:line="276" w:lineRule="auto"/>
        <w:jc w:val="both"/>
        <w:rPr>
          <w:rFonts w:ascii="Arial" w:hAnsi="Arial" w:eastAsia="Calibri" w:cs="Arial"/>
          <w:sz w:val="22"/>
        </w:rPr>
      </w:pPr>
    </w:p>
    <w:p w:rsidRPr="00DF7787" w:rsidR="00BE1E33" w:rsidP="00BE1E33" w:rsidRDefault="00BE1E33" w14:paraId="000CB06F" w14:textId="278BE52B">
      <w:pPr>
        <w:pStyle w:val="Prrafodelista"/>
        <w:numPr>
          <w:ilvl w:val="0"/>
          <w:numId w:val="1"/>
        </w:numPr>
        <w:tabs>
          <w:tab w:val="left" w:pos="426"/>
        </w:tabs>
        <w:spacing w:line="276" w:lineRule="auto"/>
        <w:ind w:left="284" w:hanging="284"/>
        <w:jc w:val="both"/>
        <w:rPr>
          <w:rFonts w:ascii="Arial" w:hAnsi="Arial" w:eastAsia="Calibri" w:cs="Arial"/>
          <w:b/>
          <w:sz w:val="22"/>
        </w:rPr>
      </w:pPr>
      <w:r w:rsidRPr="00DF7787">
        <w:rPr>
          <w:rFonts w:ascii="Arial" w:hAnsi="Arial" w:eastAsia="Calibri" w:cs="Arial"/>
          <w:b/>
          <w:sz w:val="22"/>
        </w:rPr>
        <w:t>Consideraciones</w:t>
      </w:r>
    </w:p>
    <w:p w:rsidRPr="00DF7787" w:rsidR="005D17C2" w:rsidP="005D17C2" w:rsidRDefault="005D17C2" w14:paraId="3CE35EF0" w14:textId="79BDFF7D">
      <w:pPr>
        <w:pStyle w:val="Prrafodelista"/>
        <w:tabs>
          <w:tab w:val="left" w:pos="426"/>
        </w:tabs>
        <w:spacing w:line="276" w:lineRule="auto"/>
        <w:ind w:left="284"/>
        <w:jc w:val="both"/>
        <w:rPr>
          <w:rFonts w:ascii="Arial" w:hAnsi="Arial" w:eastAsia="Calibri" w:cs="Arial"/>
          <w:b/>
          <w:sz w:val="22"/>
        </w:rPr>
      </w:pPr>
    </w:p>
    <w:p w:rsidRPr="00DF7787" w:rsidR="005D17C2" w:rsidP="00EF0AE5" w:rsidRDefault="005D17C2" w14:paraId="39D4A31E" w14:textId="70F52E90">
      <w:pPr>
        <w:tabs>
          <w:tab w:val="left" w:pos="426"/>
        </w:tabs>
        <w:spacing w:after="120" w:line="276" w:lineRule="auto"/>
        <w:jc w:val="both"/>
        <w:rPr>
          <w:rFonts w:ascii="Arial" w:hAnsi="Arial" w:eastAsia="Calibri" w:cs="Arial"/>
          <w:bCs/>
          <w:sz w:val="22"/>
        </w:rPr>
      </w:pPr>
      <w:r w:rsidRPr="00DF7787">
        <w:rPr>
          <w:rFonts w:ascii="Arial" w:hAnsi="Arial" w:eastAsia="Calibri" w:cs="Arial"/>
          <w:bCs/>
          <w:sz w:val="22"/>
        </w:rPr>
        <w:t>Para responder al interrogante planteado se reiteran las consideraciones expuestas por esta Agencia en el concepto C – 219 del 29 de abril de 2020 –2202013000003258–</w:t>
      </w:r>
      <w:r w:rsidRPr="00DF7787" w:rsidR="00EF0AE5">
        <w:rPr>
          <w:rFonts w:ascii="Arial" w:hAnsi="Arial" w:eastAsia="Calibri" w:cs="Arial"/>
          <w:bCs/>
          <w:sz w:val="22"/>
        </w:rPr>
        <w:t xml:space="preserve">, </w:t>
      </w:r>
      <w:r w:rsidR="007A49DF">
        <w:rPr>
          <w:rFonts w:ascii="Arial" w:hAnsi="Arial" w:eastAsia="Calibri" w:cs="Arial"/>
          <w:bCs/>
          <w:sz w:val="22"/>
        </w:rPr>
        <w:t>donde</w:t>
      </w:r>
      <w:r w:rsidRPr="00DF7787" w:rsidR="00EF0AE5">
        <w:rPr>
          <w:rFonts w:ascii="Arial" w:hAnsi="Arial" w:eastAsia="Calibri" w:cs="Arial"/>
          <w:bCs/>
          <w:sz w:val="22"/>
        </w:rPr>
        <w:t xml:space="preserve"> se estudió la posibilidad implementar mecanismos que fomenten la ejecución de contratos estatales por parte de sujetos de especial protección en el marco de procesos de selección. La tesis expuesta fue la siguiente.</w:t>
      </w:r>
    </w:p>
    <w:p w:rsidRPr="00DF7787" w:rsidR="004247C3" w:rsidP="004247C3" w:rsidRDefault="00EF0AE5" w14:paraId="3B457764" w14:textId="4A162259">
      <w:pPr>
        <w:tabs>
          <w:tab w:val="left" w:pos="426"/>
        </w:tabs>
        <w:spacing w:line="276" w:lineRule="auto"/>
        <w:jc w:val="both"/>
        <w:rPr>
          <w:rFonts w:ascii="Arial" w:hAnsi="Arial" w:eastAsia="Calibri" w:cs="Arial"/>
          <w:bCs/>
          <w:sz w:val="22"/>
        </w:rPr>
      </w:pPr>
      <w:r w:rsidRPr="00DF7787">
        <w:rPr>
          <w:rFonts w:ascii="Arial" w:hAnsi="Arial" w:eastAsia="Calibri" w:cs="Arial"/>
          <w:bCs/>
          <w:sz w:val="22"/>
        </w:rPr>
        <w:tab/>
      </w:r>
      <w:r w:rsidRPr="00DF7787" w:rsidR="004247C3">
        <w:rPr>
          <w:rFonts w:ascii="Arial" w:hAnsi="Arial" w:eastAsia="Calibri" w:cs="Arial"/>
          <w:bCs/>
          <w:sz w:val="22"/>
        </w:rPr>
        <w:t>El artículo 12 de la Ley 1150 de 2007 regula l</w:t>
      </w:r>
      <w:r w:rsidRPr="00DF7787" w:rsidR="009B49D8">
        <w:rPr>
          <w:rFonts w:ascii="Arial" w:hAnsi="Arial" w:eastAsia="Calibri" w:cs="Arial"/>
          <w:bCs/>
          <w:sz w:val="22"/>
        </w:rPr>
        <w:t xml:space="preserve">a promoción del desarrollo en la contratación pública. Esta norma, </w:t>
      </w:r>
      <w:r w:rsidRPr="00DF7787" w:rsidR="00136C39">
        <w:rPr>
          <w:rFonts w:ascii="Arial" w:hAnsi="Arial" w:eastAsia="Calibri" w:cs="Arial"/>
          <w:bCs/>
          <w:sz w:val="22"/>
        </w:rPr>
        <w:t>en principio</w:t>
      </w:r>
      <w:r w:rsidRPr="00DF7787" w:rsidR="009B49D8">
        <w:rPr>
          <w:rFonts w:ascii="Arial" w:hAnsi="Arial" w:eastAsia="Calibri" w:cs="Arial"/>
          <w:bCs/>
          <w:sz w:val="22"/>
        </w:rPr>
        <w:t>, pretendió «apoyar y promocionar la formación de empresas»</w:t>
      </w:r>
      <w:r w:rsidRPr="00DF7787" w:rsidR="009B49D8">
        <w:rPr>
          <w:rStyle w:val="Refdenotaalpie"/>
          <w:rFonts w:ascii="Arial" w:hAnsi="Arial" w:eastAsia="Calibri" w:cs="Arial"/>
          <w:bCs/>
          <w:sz w:val="22"/>
        </w:rPr>
        <w:footnoteReference w:id="1"/>
      </w:r>
      <w:r w:rsidRPr="00DF7787" w:rsidR="009B49D8">
        <w:rPr>
          <w:rFonts w:ascii="Arial" w:hAnsi="Arial" w:eastAsia="Calibri" w:cs="Arial"/>
          <w:bCs/>
          <w:sz w:val="22"/>
        </w:rPr>
        <w:t xml:space="preserve">. Así lo demuestran sus antecedentes legislativos, en donde se da cuenta que </w:t>
      </w:r>
      <w:r w:rsidRPr="00DF7787" w:rsidR="00666525">
        <w:rPr>
          <w:rFonts w:ascii="Arial" w:hAnsi="Arial" w:eastAsia="Calibri" w:cs="Arial"/>
          <w:bCs/>
          <w:sz w:val="22"/>
        </w:rPr>
        <w:t xml:space="preserve">la misma siempre estuvo relacionada con </w:t>
      </w:r>
      <w:r w:rsidRPr="00DF7787" w:rsidR="007C3E6E">
        <w:rPr>
          <w:rFonts w:ascii="Arial" w:hAnsi="Arial" w:eastAsia="Calibri" w:cs="Arial"/>
          <w:bCs/>
          <w:sz w:val="22"/>
        </w:rPr>
        <w:t xml:space="preserve">incentivar las </w:t>
      </w:r>
      <w:proofErr w:type="spellStart"/>
      <w:r w:rsidRPr="00DF7787" w:rsidR="007C3E6E">
        <w:rPr>
          <w:rFonts w:ascii="Arial" w:hAnsi="Arial" w:eastAsia="Calibri" w:cs="Arial"/>
          <w:bCs/>
          <w:sz w:val="22"/>
        </w:rPr>
        <w:t>Mipymes</w:t>
      </w:r>
      <w:proofErr w:type="spellEnd"/>
      <w:r w:rsidRPr="00DF7787" w:rsidR="00666525">
        <w:rPr>
          <w:rFonts w:ascii="Arial" w:hAnsi="Arial" w:eastAsia="Calibri" w:cs="Arial"/>
          <w:bCs/>
          <w:sz w:val="22"/>
        </w:rPr>
        <w:t xml:space="preserve">. Muestra de </w:t>
      </w:r>
      <w:r w:rsidRPr="00DF7787" w:rsidR="002876C7">
        <w:rPr>
          <w:rFonts w:ascii="Arial" w:hAnsi="Arial" w:eastAsia="Calibri" w:cs="Arial"/>
          <w:bCs/>
          <w:sz w:val="22"/>
        </w:rPr>
        <w:t>lo dicho anteriormente</w:t>
      </w:r>
      <w:r w:rsidRPr="00DF7787" w:rsidR="00666525">
        <w:rPr>
          <w:rFonts w:ascii="Arial" w:hAnsi="Arial" w:eastAsia="Calibri" w:cs="Arial"/>
          <w:bCs/>
          <w:sz w:val="22"/>
        </w:rPr>
        <w:t xml:space="preserve"> es que en el informe de ponencia para segundo debate se aclaró lo siguiente</w:t>
      </w:r>
      <w:r w:rsidRPr="00DF7787" w:rsidR="00DE5385">
        <w:rPr>
          <w:rStyle w:val="Refdenotaalpie"/>
          <w:rFonts w:ascii="Arial" w:hAnsi="Arial" w:eastAsia="Calibri" w:cs="Arial"/>
          <w:bCs/>
          <w:sz w:val="22"/>
        </w:rPr>
        <w:footnoteReference w:id="2"/>
      </w:r>
      <w:r w:rsidRPr="00DF7787" w:rsidR="00666525">
        <w:rPr>
          <w:rFonts w:ascii="Arial" w:hAnsi="Arial" w:eastAsia="Calibri" w:cs="Arial"/>
          <w:bCs/>
          <w:sz w:val="22"/>
        </w:rPr>
        <w:t>:</w:t>
      </w:r>
    </w:p>
    <w:p w:rsidRPr="00DF7787" w:rsidR="00666525" w:rsidP="004247C3" w:rsidRDefault="00666525" w14:paraId="3774CF5C" w14:textId="1743CE65">
      <w:pPr>
        <w:tabs>
          <w:tab w:val="left" w:pos="426"/>
        </w:tabs>
        <w:spacing w:line="276" w:lineRule="auto"/>
        <w:jc w:val="both"/>
        <w:rPr>
          <w:rFonts w:ascii="Arial" w:hAnsi="Arial" w:eastAsia="Calibri" w:cs="Arial"/>
          <w:bCs/>
          <w:sz w:val="22"/>
        </w:rPr>
      </w:pPr>
    </w:p>
    <w:p w:rsidRPr="00DF7787" w:rsidR="00666525" w:rsidP="00EF0AE5" w:rsidRDefault="00666525" w14:paraId="1FBBACB1" w14:textId="13092CC4">
      <w:pPr>
        <w:tabs>
          <w:tab w:val="left" w:pos="426"/>
        </w:tabs>
        <w:ind w:left="709" w:right="758"/>
        <w:jc w:val="both"/>
        <w:rPr>
          <w:rFonts w:ascii="Arial" w:hAnsi="Arial" w:eastAsia="Calibri" w:cs="Arial"/>
          <w:bCs/>
          <w:sz w:val="21"/>
          <w:szCs w:val="21"/>
        </w:rPr>
      </w:pPr>
      <w:r w:rsidRPr="00DF7787">
        <w:rPr>
          <w:rFonts w:ascii="Arial" w:hAnsi="Arial" w:eastAsia="Calibri" w:cs="Arial"/>
          <w:bCs/>
          <w:sz w:val="21"/>
          <w:szCs w:val="21"/>
        </w:rPr>
        <w:t>El artículo 13 relacionado con las medidas de promoción de la pequeña y mediana empresa y los grupos marginados de ciudadanos fue objeto de las siguientes modificaciones:</w:t>
      </w:r>
    </w:p>
    <w:p w:rsidRPr="00DF7787" w:rsidR="007C3E6E" w:rsidP="00EF0AE5" w:rsidRDefault="007C3E6E" w14:paraId="620724B5" w14:textId="77777777">
      <w:pPr>
        <w:tabs>
          <w:tab w:val="left" w:pos="426"/>
        </w:tabs>
        <w:ind w:left="709" w:right="758"/>
        <w:jc w:val="both"/>
        <w:rPr>
          <w:rFonts w:ascii="Arial" w:hAnsi="Arial" w:eastAsia="Calibri" w:cs="Arial"/>
          <w:bCs/>
          <w:sz w:val="21"/>
          <w:szCs w:val="21"/>
        </w:rPr>
      </w:pPr>
    </w:p>
    <w:p w:rsidRPr="00DF7787" w:rsidR="00666525" w:rsidP="00EF0AE5" w:rsidRDefault="00666525" w14:paraId="1B6694BB" w14:textId="1876A33E">
      <w:pPr>
        <w:tabs>
          <w:tab w:val="left" w:pos="426"/>
        </w:tabs>
        <w:ind w:left="709" w:right="758"/>
        <w:jc w:val="both"/>
        <w:rPr>
          <w:rFonts w:ascii="Arial" w:hAnsi="Arial" w:eastAsia="Calibri" w:cs="Arial"/>
          <w:bCs/>
          <w:sz w:val="21"/>
          <w:szCs w:val="21"/>
        </w:rPr>
      </w:pPr>
      <w:r w:rsidRPr="00DF7787">
        <w:rPr>
          <w:rFonts w:ascii="Arial" w:hAnsi="Arial" w:eastAsia="Calibri" w:cs="Arial"/>
          <w:bCs/>
          <w:sz w:val="21"/>
          <w:szCs w:val="21"/>
        </w:rPr>
        <w:lastRenderedPageBreak/>
        <w:t xml:space="preserve">- Se aclara que los grupos marginados de ciudadanos para poder acceder a los beneficios consagrados en la norma, </w:t>
      </w:r>
      <w:r w:rsidRPr="00DF7787">
        <w:rPr>
          <w:rFonts w:ascii="Arial" w:hAnsi="Arial" w:eastAsia="Calibri" w:cs="Arial"/>
          <w:bCs/>
          <w:i/>
          <w:iCs/>
          <w:sz w:val="21"/>
          <w:szCs w:val="21"/>
        </w:rPr>
        <w:t>deberán organizarse bajo la</w:t>
      </w:r>
      <w:r w:rsidRPr="00DF7787" w:rsidR="007C3E6E">
        <w:rPr>
          <w:rFonts w:ascii="Arial" w:hAnsi="Arial" w:eastAsia="Calibri" w:cs="Arial"/>
          <w:bCs/>
          <w:i/>
          <w:iCs/>
          <w:sz w:val="21"/>
          <w:szCs w:val="21"/>
        </w:rPr>
        <w:t xml:space="preserve"> </w:t>
      </w:r>
      <w:r w:rsidRPr="00DF7787">
        <w:rPr>
          <w:rFonts w:ascii="Arial" w:hAnsi="Arial" w:eastAsia="Calibri" w:cs="Arial"/>
          <w:bCs/>
          <w:i/>
          <w:iCs/>
          <w:sz w:val="21"/>
          <w:szCs w:val="21"/>
        </w:rPr>
        <w:t xml:space="preserve">forma de </w:t>
      </w:r>
      <w:proofErr w:type="spellStart"/>
      <w:r w:rsidRPr="00DF7787">
        <w:rPr>
          <w:rFonts w:ascii="Arial" w:hAnsi="Arial" w:eastAsia="Calibri" w:cs="Arial"/>
          <w:bCs/>
          <w:i/>
          <w:iCs/>
          <w:sz w:val="21"/>
          <w:szCs w:val="21"/>
        </w:rPr>
        <w:t>Mipymes</w:t>
      </w:r>
      <w:proofErr w:type="spellEnd"/>
      <w:r w:rsidRPr="00DF7787">
        <w:rPr>
          <w:rFonts w:ascii="Arial" w:hAnsi="Arial" w:eastAsia="Calibri" w:cs="Arial"/>
          <w:bCs/>
          <w:sz w:val="21"/>
          <w:szCs w:val="21"/>
        </w:rPr>
        <w:t>.</w:t>
      </w:r>
    </w:p>
    <w:p w:rsidRPr="00DF7787" w:rsidR="007C3E6E" w:rsidP="00EF0AE5" w:rsidRDefault="007C3E6E" w14:paraId="01E5255A" w14:textId="77777777">
      <w:pPr>
        <w:tabs>
          <w:tab w:val="left" w:pos="426"/>
        </w:tabs>
        <w:ind w:left="709" w:right="758"/>
        <w:jc w:val="both"/>
        <w:rPr>
          <w:rFonts w:ascii="Arial" w:hAnsi="Arial" w:eastAsia="Calibri" w:cs="Arial"/>
          <w:bCs/>
          <w:sz w:val="21"/>
          <w:szCs w:val="21"/>
        </w:rPr>
      </w:pPr>
    </w:p>
    <w:p w:rsidRPr="00DF7787" w:rsidR="00666525" w:rsidP="00EF0AE5" w:rsidRDefault="00666525" w14:paraId="1F51C798" w14:textId="29CAAB62">
      <w:pPr>
        <w:tabs>
          <w:tab w:val="left" w:pos="426"/>
        </w:tabs>
        <w:ind w:left="709" w:right="758"/>
        <w:jc w:val="both"/>
        <w:rPr>
          <w:rFonts w:ascii="Arial" w:hAnsi="Arial" w:eastAsia="Calibri" w:cs="Arial"/>
          <w:bCs/>
          <w:sz w:val="21"/>
          <w:szCs w:val="21"/>
        </w:rPr>
      </w:pPr>
      <w:r w:rsidRPr="00DF7787">
        <w:rPr>
          <w:rFonts w:ascii="Arial" w:hAnsi="Arial" w:eastAsia="Calibri" w:cs="Arial"/>
          <w:bCs/>
          <w:sz w:val="21"/>
          <w:szCs w:val="21"/>
        </w:rPr>
        <w:t xml:space="preserve">- La reserva de 1.000 </w:t>
      </w:r>
      <w:proofErr w:type="spellStart"/>
      <w:r w:rsidRPr="00DF7787">
        <w:rPr>
          <w:rFonts w:ascii="Arial" w:hAnsi="Arial" w:eastAsia="Calibri" w:cs="Arial"/>
          <w:bCs/>
          <w:sz w:val="21"/>
          <w:szCs w:val="21"/>
        </w:rPr>
        <w:t>smlmv</w:t>
      </w:r>
      <w:proofErr w:type="spellEnd"/>
      <w:r w:rsidRPr="00DF7787">
        <w:rPr>
          <w:rFonts w:ascii="Arial" w:hAnsi="Arial" w:eastAsia="Calibri" w:cs="Arial"/>
          <w:bCs/>
          <w:sz w:val="21"/>
          <w:szCs w:val="21"/>
        </w:rPr>
        <w:t xml:space="preserve"> aprobada en el primer debate, debe ser</w:t>
      </w:r>
      <w:r w:rsidRPr="00DF7787" w:rsidR="007C3E6E">
        <w:rPr>
          <w:rFonts w:ascii="Arial" w:hAnsi="Arial" w:eastAsia="Calibri" w:cs="Arial"/>
          <w:bCs/>
          <w:sz w:val="21"/>
          <w:szCs w:val="21"/>
        </w:rPr>
        <w:t xml:space="preserve"> </w:t>
      </w:r>
      <w:r w:rsidRPr="00DF7787">
        <w:rPr>
          <w:rFonts w:ascii="Arial" w:hAnsi="Arial" w:eastAsia="Calibri" w:cs="Arial"/>
          <w:bCs/>
          <w:sz w:val="21"/>
          <w:szCs w:val="21"/>
        </w:rPr>
        <w:t>ajustada a la cifra equivalente en pesos a $125.000 US, que corresponde a</w:t>
      </w:r>
      <w:r w:rsidRPr="00DF7787" w:rsidR="007C3E6E">
        <w:rPr>
          <w:rFonts w:ascii="Arial" w:hAnsi="Arial" w:eastAsia="Calibri" w:cs="Arial"/>
          <w:bCs/>
          <w:sz w:val="21"/>
          <w:szCs w:val="21"/>
        </w:rPr>
        <w:t xml:space="preserve"> </w:t>
      </w:r>
      <w:r w:rsidRPr="00DF7787">
        <w:rPr>
          <w:rFonts w:ascii="Arial" w:hAnsi="Arial" w:eastAsia="Calibri" w:cs="Arial"/>
          <w:bCs/>
          <w:sz w:val="21"/>
          <w:szCs w:val="21"/>
        </w:rPr>
        <w:t xml:space="preserve">la reserva de </w:t>
      </w:r>
      <w:proofErr w:type="spellStart"/>
      <w:r w:rsidRPr="00DF7787">
        <w:rPr>
          <w:rFonts w:ascii="Arial" w:hAnsi="Arial" w:eastAsia="Calibri" w:cs="Arial"/>
          <w:bCs/>
          <w:sz w:val="21"/>
          <w:szCs w:val="21"/>
        </w:rPr>
        <w:t>Mipymes</w:t>
      </w:r>
      <w:proofErr w:type="spellEnd"/>
      <w:r w:rsidRPr="00DF7787">
        <w:rPr>
          <w:rFonts w:ascii="Arial" w:hAnsi="Arial" w:eastAsia="Calibri" w:cs="Arial"/>
          <w:bCs/>
          <w:sz w:val="21"/>
          <w:szCs w:val="21"/>
        </w:rPr>
        <w:t xml:space="preserve"> que pactó el Gobierno Nacional en el TLC.</w:t>
      </w:r>
      <w:r w:rsidRPr="00DF7787" w:rsidR="007C3E6E">
        <w:rPr>
          <w:rFonts w:ascii="Arial" w:hAnsi="Arial" w:eastAsia="Calibri" w:cs="Arial"/>
          <w:bCs/>
          <w:sz w:val="21"/>
          <w:szCs w:val="21"/>
        </w:rPr>
        <w:t xml:space="preserve"> (Cursivas propias)</w:t>
      </w:r>
    </w:p>
    <w:p w:rsidRPr="00DF7787" w:rsidR="009B49D8" w:rsidP="004247C3" w:rsidRDefault="009B49D8" w14:paraId="3BEEFAE6" w14:textId="5A1C1262">
      <w:pPr>
        <w:tabs>
          <w:tab w:val="left" w:pos="426"/>
        </w:tabs>
        <w:spacing w:line="276" w:lineRule="auto"/>
        <w:jc w:val="both"/>
        <w:rPr>
          <w:rFonts w:ascii="Arial" w:hAnsi="Arial" w:eastAsia="Calibri" w:cs="Arial"/>
          <w:bCs/>
          <w:sz w:val="22"/>
        </w:rPr>
      </w:pPr>
    </w:p>
    <w:p w:rsidRPr="00DF7787" w:rsidR="00136C39" w:rsidP="0077525C" w:rsidRDefault="00136C39" w14:paraId="4734774B" w14:textId="37A3EDDE">
      <w:pPr>
        <w:tabs>
          <w:tab w:val="left" w:pos="709"/>
        </w:tabs>
        <w:spacing w:line="276" w:lineRule="auto"/>
        <w:ind w:firstLine="709"/>
        <w:jc w:val="both"/>
        <w:rPr>
          <w:rFonts w:ascii="Arial" w:hAnsi="Arial" w:eastAsia="Calibri" w:cs="Arial"/>
          <w:bCs/>
          <w:sz w:val="22"/>
        </w:rPr>
      </w:pPr>
      <w:r w:rsidRPr="00DF7787">
        <w:rPr>
          <w:rFonts w:ascii="Arial" w:hAnsi="Arial" w:eastAsia="Calibri" w:cs="Arial"/>
          <w:bCs/>
          <w:sz w:val="22"/>
        </w:rPr>
        <w:t>A</w:t>
      </w:r>
      <w:r w:rsidRPr="00DF7787" w:rsidR="00C537F8">
        <w:rPr>
          <w:rFonts w:ascii="Arial" w:hAnsi="Arial" w:eastAsia="Calibri" w:cs="Arial"/>
          <w:bCs/>
          <w:sz w:val="22"/>
        </w:rPr>
        <w:t xml:space="preserve"> juicio de </w:t>
      </w:r>
      <w:r w:rsidRPr="00DF7787" w:rsidR="00BD0749">
        <w:rPr>
          <w:rFonts w:ascii="Arial" w:hAnsi="Arial" w:eastAsia="Calibri" w:cs="Arial"/>
          <w:bCs/>
          <w:sz w:val="22"/>
        </w:rPr>
        <w:t>la Agencia Nacional de Contratación Pública</w:t>
      </w:r>
      <w:r w:rsidRPr="00DF7787" w:rsidR="00C537F8">
        <w:rPr>
          <w:rFonts w:ascii="Arial" w:hAnsi="Arial" w:eastAsia="Calibri" w:cs="Arial"/>
          <w:bCs/>
          <w:sz w:val="22"/>
        </w:rPr>
        <w:t xml:space="preserve">, </w:t>
      </w:r>
      <w:r w:rsidRPr="00DF7787">
        <w:rPr>
          <w:rFonts w:ascii="Arial" w:hAnsi="Arial" w:eastAsia="Calibri" w:cs="Arial"/>
          <w:bCs/>
          <w:sz w:val="22"/>
        </w:rPr>
        <w:t xml:space="preserve">aunque </w:t>
      </w:r>
      <w:r w:rsidR="007A49DF">
        <w:rPr>
          <w:rFonts w:ascii="Arial" w:hAnsi="Arial" w:eastAsia="Calibri" w:cs="Arial"/>
          <w:bCs/>
          <w:sz w:val="22"/>
        </w:rPr>
        <w:t>fuera</w:t>
      </w:r>
      <w:r w:rsidRPr="00DF7787">
        <w:rPr>
          <w:rFonts w:ascii="Arial" w:hAnsi="Arial" w:eastAsia="Calibri" w:cs="Arial"/>
          <w:bCs/>
          <w:sz w:val="22"/>
        </w:rPr>
        <w:t xml:space="preserve"> cierto que </w:t>
      </w:r>
      <w:r w:rsidRPr="00DF7787" w:rsidR="00BD0749">
        <w:rPr>
          <w:rFonts w:ascii="Arial" w:hAnsi="Arial" w:eastAsia="Calibri" w:cs="Arial"/>
          <w:bCs/>
          <w:sz w:val="22"/>
        </w:rPr>
        <w:t xml:space="preserve">la intención </w:t>
      </w:r>
      <w:r w:rsidRPr="00DF7787" w:rsidR="00586995">
        <w:rPr>
          <w:rFonts w:ascii="Arial" w:hAnsi="Arial" w:eastAsia="Calibri" w:cs="Arial"/>
          <w:bCs/>
          <w:sz w:val="22"/>
        </w:rPr>
        <w:t xml:space="preserve">inicial </w:t>
      </w:r>
      <w:r w:rsidRPr="00DF7787" w:rsidR="00BD0749">
        <w:rPr>
          <w:rFonts w:ascii="Arial" w:hAnsi="Arial" w:eastAsia="Calibri" w:cs="Arial"/>
          <w:bCs/>
          <w:sz w:val="22"/>
        </w:rPr>
        <w:t xml:space="preserve">del legislador </w:t>
      </w:r>
      <w:r w:rsidR="007A49DF">
        <w:rPr>
          <w:rFonts w:ascii="Arial" w:hAnsi="Arial" w:eastAsia="Calibri" w:cs="Arial"/>
          <w:bCs/>
          <w:sz w:val="22"/>
        </w:rPr>
        <w:t>fue</w:t>
      </w:r>
      <w:r w:rsidRPr="00DF7787" w:rsidR="00BD0749">
        <w:rPr>
          <w:rFonts w:ascii="Arial" w:hAnsi="Arial" w:eastAsia="Calibri" w:cs="Arial"/>
          <w:bCs/>
          <w:sz w:val="22"/>
        </w:rPr>
        <w:t xml:space="preserve"> restringir </w:t>
      </w:r>
      <w:r w:rsidRPr="00DF7787" w:rsidR="00C537F8">
        <w:rPr>
          <w:rFonts w:ascii="Arial" w:hAnsi="Arial" w:eastAsia="Calibri" w:cs="Arial"/>
          <w:bCs/>
          <w:sz w:val="22"/>
        </w:rPr>
        <w:t xml:space="preserve">el ámbito de aplicación </w:t>
      </w:r>
      <w:r w:rsidRPr="00DF7787" w:rsidR="00BD0749">
        <w:rPr>
          <w:rFonts w:ascii="Arial" w:hAnsi="Arial" w:eastAsia="Calibri" w:cs="Arial"/>
          <w:bCs/>
          <w:sz w:val="22"/>
        </w:rPr>
        <w:t xml:space="preserve">del artículo 12 de la Ley 1150 de 2007 a las </w:t>
      </w:r>
      <w:proofErr w:type="spellStart"/>
      <w:r w:rsidRPr="00DF7787" w:rsidR="00BD0749">
        <w:rPr>
          <w:rFonts w:ascii="Arial" w:hAnsi="Arial" w:eastAsia="Calibri" w:cs="Arial"/>
          <w:bCs/>
          <w:sz w:val="22"/>
        </w:rPr>
        <w:t>Mipymes</w:t>
      </w:r>
      <w:proofErr w:type="spellEnd"/>
      <w:r w:rsidRPr="00DF7787" w:rsidR="00BD0749">
        <w:rPr>
          <w:rFonts w:ascii="Arial" w:hAnsi="Arial" w:eastAsia="Calibri" w:cs="Arial"/>
          <w:bCs/>
          <w:sz w:val="22"/>
        </w:rPr>
        <w:t>, incluidas las conformadas por personas marginadas o discriminadas</w:t>
      </w:r>
      <w:r w:rsidRPr="00DF7787">
        <w:rPr>
          <w:rFonts w:ascii="Arial" w:hAnsi="Arial" w:eastAsia="Calibri" w:cs="Arial"/>
          <w:bCs/>
          <w:sz w:val="22"/>
        </w:rPr>
        <w:t xml:space="preserve">, lo cierto es que el ámbito de aplicación de dicha norma se amplió, </w:t>
      </w:r>
      <w:r w:rsidRPr="00DF7787" w:rsidR="00ED7CF9">
        <w:rPr>
          <w:rFonts w:ascii="Arial" w:hAnsi="Arial" w:eastAsia="Calibri" w:cs="Arial"/>
          <w:bCs/>
          <w:sz w:val="22"/>
        </w:rPr>
        <w:t xml:space="preserve">luego de la modificación introducida por el artículo 32 de la Ley 1450 de 2011, </w:t>
      </w:r>
      <w:r w:rsidRPr="00DF7787">
        <w:rPr>
          <w:rFonts w:ascii="Arial" w:hAnsi="Arial" w:eastAsia="Calibri" w:cs="Arial"/>
          <w:bCs/>
          <w:sz w:val="22"/>
        </w:rPr>
        <w:t>que establece que:</w:t>
      </w:r>
    </w:p>
    <w:p w:rsidRPr="00DF7787" w:rsidR="00136C39" w:rsidP="00136C39" w:rsidRDefault="00136C39" w14:paraId="10B31923" w14:textId="53007223">
      <w:pPr>
        <w:tabs>
          <w:tab w:val="left" w:pos="709"/>
        </w:tabs>
        <w:spacing w:line="276" w:lineRule="auto"/>
        <w:jc w:val="both"/>
        <w:rPr>
          <w:rFonts w:ascii="Arial" w:hAnsi="Arial" w:eastAsia="Calibri" w:cs="Arial"/>
          <w:bCs/>
          <w:sz w:val="22"/>
        </w:rPr>
      </w:pPr>
    </w:p>
    <w:p w:rsidRPr="00DF7787" w:rsidR="00136C39" w:rsidP="00136C39" w:rsidRDefault="00136C39" w14:paraId="53279031" w14:textId="3022E304">
      <w:pPr>
        <w:tabs>
          <w:tab w:val="left" w:pos="709"/>
        </w:tabs>
        <w:ind w:left="709" w:right="758"/>
        <w:jc w:val="both"/>
        <w:rPr>
          <w:rFonts w:ascii="Arial" w:hAnsi="Arial" w:eastAsia="Calibri" w:cs="Arial"/>
          <w:bCs/>
          <w:sz w:val="21"/>
          <w:szCs w:val="21"/>
        </w:rPr>
      </w:pPr>
      <w:r w:rsidRPr="00DF7787">
        <w:rPr>
          <w:rFonts w:ascii="Arial" w:hAnsi="Arial" w:eastAsia="Calibri" w:cs="Arial"/>
          <w:bCs/>
          <w:sz w:val="21"/>
          <w:szCs w:val="21"/>
        </w:rPr>
        <w:t>[…]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rsidRPr="00DF7787" w:rsidR="00136C39" w:rsidP="00136C39" w:rsidRDefault="00136C39" w14:paraId="0CBF4969" w14:textId="77777777">
      <w:pPr>
        <w:tabs>
          <w:tab w:val="left" w:pos="709"/>
        </w:tabs>
        <w:spacing w:line="276" w:lineRule="auto"/>
        <w:jc w:val="both"/>
        <w:rPr>
          <w:rFonts w:ascii="Arial" w:hAnsi="Arial" w:eastAsia="Calibri" w:cs="Arial"/>
          <w:bCs/>
          <w:sz w:val="22"/>
        </w:rPr>
      </w:pPr>
    </w:p>
    <w:p w:rsidRPr="00DF7787" w:rsidR="00721EFF" w:rsidP="0077525C" w:rsidRDefault="00136C39" w14:paraId="4A3BCFE7" w14:textId="19D32ED8">
      <w:pPr>
        <w:tabs>
          <w:tab w:val="left" w:pos="709"/>
        </w:tabs>
        <w:spacing w:line="276" w:lineRule="auto"/>
        <w:ind w:firstLine="709"/>
        <w:jc w:val="both"/>
        <w:rPr>
          <w:rFonts w:ascii="Arial" w:hAnsi="Arial" w:eastAsia="Calibri" w:cs="Arial"/>
          <w:bCs/>
          <w:sz w:val="22"/>
        </w:rPr>
      </w:pPr>
      <w:r w:rsidRPr="00DF7787">
        <w:rPr>
          <w:rFonts w:ascii="Arial" w:hAnsi="Arial" w:eastAsia="Calibri" w:cs="Arial"/>
          <w:bCs/>
          <w:sz w:val="22"/>
        </w:rPr>
        <w:t xml:space="preserve">Nótese que </w:t>
      </w:r>
      <w:r w:rsidRPr="00DF7787" w:rsidR="00721EFF">
        <w:rPr>
          <w:rFonts w:ascii="Arial" w:hAnsi="Arial" w:eastAsia="Calibri" w:cs="Arial"/>
          <w:bCs/>
          <w:sz w:val="22"/>
        </w:rPr>
        <w:t>el legislador</w:t>
      </w:r>
      <w:r w:rsidRPr="00DF7787">
        <w:rPr>
          <w:rFonts w:ascii="Arial" w:hAnsi="Arial" w:eastAsia="Calibri" w:cs="Arial"/>
          <w:bCs/>
          <w:sz w:val="22"/>
        </w:rPr>
        <w:t xml:space="preserve"> </w:t>
      </w:r>
      <w:r w:rsidRPr="00DF7787" w:rsidR="00721EFF">
        <w:rPr>
          <w:rFonts w:ascii="Arial" w:hAnsi="Arial" w:eastAsia="Calibri" w:cs="Arial"/>
          <w:bCs/>
          <w:sz w:val="22"/>
        </w:rPr>
        <w:t>reconoció</w:t>
      </w:r>
      <w:r w:rsidRPr="00DF7787">
        <w:rPr>
          <w:rFonts w:ascii="Arial" w:hAnsi="Arial" w:eastAsia="Calibri" w:cs="Arial"/>
          <w:bCs/>
          <w:sz w:val="22"/>
        </w:rPr>
        <w:t xml:space="preserve">, </w:t>
      </w:r>
      <w:r w:rsidRPr="00DF7787" w:rsidR="00721EFF">
        <w:rPr>
          <w:rFonts w:ascii="Arial" w:hAnsi="Arial" w:eastAsia="Calibri" w:cs="Arial"/>
          <w:bCs/>
          <w:sz w:val="22"/>
        </w:rPr>
        <w:t xml:space="preserve">de forma genérica, la posibilidad que tienen las entidades públicas de implementar </w:t>
      </w:r>
      <w:r w:rsidRPr="00DF7787" w:rsidR="00A155CA">
        <w:rPr>
          <w:rFonts w:ascii="Arial" w:hAnsi="Arial" w:eastAsia="Calibri" w:cs="Arial"/>
          <w:bCs/>
          <w:sz w:val="22"/>
        </w:rPr>
        <w:t xml:space="preserve">en el pliego de condiciones </w:t>
      </w:r>
      <w:r w:rsidRPr="00DF7787" w:rsidR="00721EFF">
        <w:rPr>
          <w:rFonts w:ascii="Arial" w:hAnsi="Arial" w:eastAsia="Calibri" w:cs="Arial"/>
          <w:bCs/>
          <w:sz w:val="22"/>
        </w:rPr>
        <w:t xml:space="preserve">mecanismos que fomenten la ejecución de contratos estatales por parte de sujetos de especial protección constitucional. Con todo, </w:t>
      </w:r>
      <w:r w:rsidRPr="00DF7787" w:rsidR="00A155CA">
        <w:rPr>
          <w:rFonts w:ascii="Arial" w:hAnsi="Arial" w:eastAsia="Calibri" w:cs="Arial"/>
          <w:bCs/>
          <w:sz w:val="22"/>
        </w:rPr>
        <w:t>resulta imperioso aclarar que</w:t>
      </w:r>
      <w:r w:rsidRPr="00DF7787" w:rsidR="00721EFF">
        <w:rPr>
          <w:rFonts w:ascii="Arial" w:hAnsi="Arial" w:eastAsia="Calibri" w:cs="Arial"/>
          <w:bCs/>
          <w:sz w:val="22"/>
        </w:rPr>
        <w:t xml:space="preserve"> </w:t>
      </w:r>
      <w:r w:rsidRPr="00DF7787" w:rsidR="00A155CA">
        <w:rPr>
          <w:rFonts w:ascii="Arial" w:hAnsi="Arial" w:eastAsia="Calibri" w:cs="Arial"/>
          <w:bCs/>
          <w:sz w:val="22"/>
        </w:rPr>
        <w:t xml:space="preserve">dicha norma establece que tal posibilidad está circunscrita a «las condiciones que señale el reglamento», lo que hace forzoso concluir que tales mecanismos de fomento no pueden ser aplicados </w:t>
      </w:r>
      <w:r w:rsidR="000C447B">
        <w:rPr>
          <w:rFonts w:ascii="Arial" w:hAnsi="Arial" w:eastAsia="Calibri" w:cs="Arial"/>
          <w:bCs/>
          <w:sz w:val="22"/>
        </w:rPr>
        <w:t xml:space="preserve">directamente </w:t>
      </w:r>
      <w:r w:rsidRPr="00DF7787" w:rsidR="00A155CA">
        <w:rPr>
          <w:rFonts w:ascii="Arial" w:hAnsi="Arial" w:eastAsia="Calibri" w:cs="Arial"/>
          <w:bCs/>
          <w:sz w:val="22"/>
        </w:rPr>
        <w:t xml:space="preserve">por las entidades, hasta tanto el </w:t>
      </w:r>
      <w:r w:rsidRPr="00DF7787" w:rsidR="00721EFF">
        <w:rPr>
          <w:rFonts w:ascii="Arial" w:hAnsi="Arial" w:eastAsia="Calibri" w:cs="Arial"/>
          <w:bCs/>
          <w:sz w:val="22"/>
        </w:rPr>
        <w:t>Gobierno Nacional</w:t>
      </w:r>
      <w:r w:rsidRPr="00DF7787" w:rsidR="00A155CA">
        <w:rPr>
          <w:rFonts w:ascii="Arial" w:hAnsi="Arial" w:eastAsia="Calibri" w:cs="Arial"/>
          <w:bCs/>
          <w:sz w:val="22"/>
        </w:rPr>
        <w:t xml:space="preserve"> expida la reglamentación correspondiente</w:t>
      </w:r>
      <w:r w:rsidRPr="00DF7787" w:rsidR="00721EFF">
        <w:rPr>
          <w:rFonts w:ascii="Arial" w:hAnsi="Arial" w:eastAsia="Calibri" w:cs="Arial"/>
          <w:bCs/>
          <w:sz w:val="22"/>
        </w:rPr>
        <w:t xml:space="preserve">, en ejercicio de las potestades </w:t>
      </w:r>
      <w:r w:rsidRPr="00DF7787" w:rsidR="00586995">
        <w:rPr>
          <w:rFonts w:ascii="Arial" w:hAnsi="Arial" w:eastAsia="Calibri" w:cs="Arial"/>
          <w:bCs/>
          <w:sz w:val="22"/>
        </w:rPr>
        <w:t xml:space="preserve">que le confiere </w:t>
      </w:r>
      <w:r w:rsidRPr="00DF7787" w:rsidR="00A155CA">
        <w:rPr>
          <w:rFonts w:ascii="Arial" w:hAnsi="Arial" w:eastAsia="Calibri" w:cs="Arial"/>
          <w:bCs/>
          <w:sz w:val="22"/>
        </w:rPr>
        <w:t xml:space="preserve">el </w:t>
      </w:r>
      <w:r w:rsidRPr="00DF7787" w:rsidR="00721EFF">
        <w:rPr>
          <w:rFonts w:ascii="Arial" w:hAnsi="Arial" w:eastAsia="Calibri" w:cs="Arial"/>
          <w:bCs/>
          <w:sz w:val="22"/>
        </w:rPr>
        <w:t>artículo 189</w:t>
      </w:r>
      <w:r w:rsidRPr="00DF7787" w:rsidR="00A155CA">
        <w:rPr>
          <w:rFonts w:ascii="Arial" w:hAnsi="Arial" w:eastAsia="Calibri" w:cs="Arial"/>
          <w:bCs/>
          <w:sz w:val="22"/>
        </w:rPr>
        <w:t>, numeral 11,</w:t>
      </w:r>
      <w:r w:rsidRPr="00DF7787" w:rsidR="00721EFF">
        <w:rPr>
          <w:rFonts w:ascii="Arial" w:hAnsi="Arial" w:eastAsia="Calibri" w:cs="Arial"/>
          <w:bCs/>
          <w:sz w:val="22"/>
        </w:rPr>
        <w:t xml:space="preserve"> de la Constitución</w:t>
      </w:r>
      <w:r w:rsidRPr="00DF7787" w:rsidR="001F0BE1">
        <w:rPr>
          <w:rFonts w:ascii="Arial" w:hAnsi="Arial" w:eastAsia="Calibri" w:cs="Arial"/>
          <w:bCs/>
          <w:sz w:val="22"/>
        </w:rPr>
        <w:t xml:space="preserve"> Política</w:t>
      </w:r>
      <w:r w:rsidRPr="00DF7787" w:rsidR="00721EFF">
        <w:rPr>
          <w:rFonts w:ascii="Arial" w:hAnsi="Arial" w:eastAsia="Calibri" w:cs="Arial"/>
          <w:bCs/>
          <w:sz w:val="22"/>
        </w:rPr>
        <w:t xml:space="preserve">. </w:t>
      </w:r>
    </w:p>
    <w:p w:rsidRPr="00DF7787" w:rsidR="000E7DAE" w:rsidP="000E7DAE" w:rsidRDefault="00586995" w14:paraId="760C334C" w14:textId="1ACFDB55">
      <w:pPr>
        <w:tabs>
          <w:tab w:val="left" w:pos="709"/>
          <w:tab w:val="left" w:pos="993"/>
        </w:tabs>
        <w:spacing w:before="120" w:line="276" w:lineRule="auto"/>
        <w:ind w:firstLine="709"/>
        <w:jc w:val="both"/>
        <w:rPr>
          <w:rFonts w:ascii="Arial" w:hAnsi="Arial" w:eastAsia="Calibri" w:cs="Arial"/>
          <w:bCs/>
          <w:sz w:val="22"/>
        </w:rPr>
      </w:pPr>
      <w:r w:rsidRPr="00DF7787">
        <w:rPr>
          <w:rFonts w:ascii="Arial" w:hAnsi="Arial" w:eastAsia="Calibri" w:cs="Arial"/>
          <w:bCs/>
          <w:sz w:val="22"/>
        </w:rPr>
        <w:t>El Gobierno Nacional ha desarrollado</w:t>
      </w:r>
      <w:r w:rsidR="00280857">
        <w:rPr>
          <w:rFonts w:ascii="Arial" w:hAnsi="Arial" w:eastAsia="Calibri" w:cs="Arial"/>
          <w:bCs/>
          <w:sz w:val="22"/>
        </w:rPr>
        <w:t xml:space="preserve"> parcialmente</w:t>
      </w:r>
      <w:r w:rsidRPr="00DF7787">
        <w:rPr>
          <w:rFonts w:ascii="Arial" w:hAnsi="Arial" w:eastAsia="Calibri" w:cs="Arial"/>
          <w:bCs/>
          <w:sz w:val="22"/>
        </w:rPr>
        <w:t xml:space="preserve"> el alcance de tales incentivos en algunos </w:t>
      </w:r>
      <w:r w:rsidR="000C447B">
        <w:rPr>
          <w:rFonts w:ascii="Arial" w:hAnsi="Arial" w:eastAsia="Calibri" w:cs="Arial"/>
          <w:bCs/>
          <w:sz w:val="22"/>
        </w:rPr>
        <w:t>supuestos</w:t>
      </w:r>
      <w:r w:rsidRPr="00DF7787">
        <w:rPr>
          <w:rFonts w:ascii="Arial" w:hAnsi="Arial" w:eastAsia="Calibri" w:cs="Arial"/>
          <w:bCs/>
          <w:sz w:val="22"/>
        </w:rPr>
        <w:t xml:space="preserve">. Por ejemplo, el artículo </w:t>
      </w:r>
      <w:r w:rsidRPr="00DF7787" w:rsidR="000E7DAE">
        <w:rPr>
          <w:rFonts w:ascii="Arial" w:hAnsi="Arial" w:eastAsia="Calibri" w:cs="Arial"/>
          <w:bCs/>
          <w:sz w:val="22"/>
        </w:rPr>
        <w:t>2.2.1.2.1.2.25.</w:t>
      </w:r>
      <w:r w:rsidRPr="00DF7787">
        <w:rPr>
          <w:rFonts w:ascii="Arial" w:hAnsi="Arial" w:eastAsia="Calibri" w:cs="Arial"/>
          <w:bCs/>
          <w:sz w:val="22"/>
        </w:rPr>
        <w:t xml:space="preserve"> del Decreto 1082 de 2015, reglamentario del artículo</w:t>
      </w:r>
      <w:r w:rsidRPr="00DF7787" w:rsidR="000E7DAE">
        <w:rPr>
          <w:rFonts w:ascii="Arial" w:hAnsi="Arial" w:eastAsia="Calibri" w:cs="Arial"/>
          <w:bCs/>
          <w:sz w:val="22"/>
        </w:rPr>
        <w:t xml:space="preserve"> 2, numeral 2, literal h, </w:t>
      </w:r>
      <w:r w:rsidRPr="00DF7787">
        <w:rPr>
          <w:rFonts w:ascii="Arial" w:hAnsi="Arial" w:eastAsia="Calibri" w:cs="Arial"/>
          <w:bCs/>
          <w:sz w:val="22"/>
        </w:rPr>
        <w:t xml:space="preserve">de la Ley 1150 de 2007, </w:t>
      </w:r>
      <w:r w:rsidRPr="00DF7787" w:rsidR="000E7DAE">
        <w:rPr>
          <w:rFonts w:ascii="Arial" w:hAnsi="Arial" w:eastAsia="Calibri" w:cs="Arial"/>
          <w:bCs/>
          <w:sz w:val="22"/>
        </w:rPr>
        <w:t>reconoce que las entidades que tengan a su cargo la ejecución de programas de protección de personas amenazadas</w:t>
      </w:r>
      <w:r w:rsidRPr="00DF7787" w:rsidR="003B0CEC">
        <w:rPr>
          <w:rFonts w:ascii="Arial" w:hAnsi="Arial" w:eastAsia="Calibri" w:cs="Arial"/>
          <w:bCs/>
          <w:sz w:val="22"/>
        </w:rPr>
        <w:t>; d</w:t>
      </w:r>
      <w:r w:rsidRPr="00DF7787" w:rsidR="000E7DAE">
        <w:rPr>
          <w:rFonts w:ascii="Arial" w:hAnsi="Arial" w:eastAsia="Calibri" w:cs="Arial"/>
          <w:bCs/>
          <w:sz w:val="22"/>
        </w:rPr>
        <w:t>e desmovilización y reincorporación a la vida civil de personas y grupos al margen de la ley, incluida la atención de los respectivos grupos familiares</w:t>
      </w:r>
      <w:r w:rsidRPr="00DF7787" w:rsidR="003B0CEC">
        <w:rPr>
          <w:rFonts w:ascii="Arial" w:hAnsi="Arial" w:eastAsia="Calibri" w:cs="Arial"/>
          <w:bCs/>
          <w:sz w:val="22"/>
        </w:rPr>
        <w:t>;</w:t>
      </w:r>
      <w:r w:rsidRPr="00DF7787" w:rsidR="000E7DAE">
        <w:rPr>
          <w:rFonts w:ascii="Arial" w:hAnsi="Arial" w:eastAsia="Calibri" w:cs="Arial"/>
          <w:bCs/>
          <w:sz w:val="22"/>
        </w:rPr>
        <w:t xml:space="preserve"> de atención a población desplazada por la violencia</w:t>
      </w:r>
      <w:r w:rsidRPr="00DF7787" w:rsidR="003B0CEC">
        <w:rPr>
          <w:rFonts w:ascii="Arial" w:hAnsi="Arial" w:eastAsia="Calibri" w:cs="Arial"/>
          <w:bCs/>
          <w:sz w:val="22"/>
        </w:rPr>
        <w:t>;</w:t>
      </w:r>
      <w:r w:rsidRPr="00DF7787" w:rsidR="000E7DAE">
        <w:rPr>
          <w:rFonts w:ascii="Arial" w:hAnsi="Arial" w:eastAsia="Calibri" w:cs="Arial"/>
          <w:bCs/>
          <w:sz w:val="22"/>
        </w:rPr>
        <w:t xml:space="preserve"> de protección de derechos humanos de grupos de personas habitantes de la calle, niños y niñas o jóvenes involucrados en grupos juveniles que hayan incurrido en conductas contra el patrimonio económico y sostengan enfrentamientos violentos de diferente tipo</w:t>
      </w:r>
      <w:r w:rsidRPr="00DF7787" w:rsidR="00226FE9">
        <w:rPr>
          <w:rFonts w:ascii="Arial" w:hAnsi="Arial" w:eastAsia="Calibri" w:cs="Arial"/>
          <w:bCs/>
          <w:sz w:val="22"/>
        </w:rPr>
        <w:t>;</w:t>
      </w:r>
      <w:r w:rsidRPr="00DF7787" w:rsidR="000E7DAE">
        <w:rPr>
          <w:rFonts w:ascii="Arial" w:hAnsi="Arial" w:eastAsia="Calibri" w:cs="Arial"/>
          <w:bCs/>
          <w:sz w:val="22"/>
        </w:rPr>
        <w:t xml:space="preserve"> y </w:t>
      </w:r>
      <w:r w:rsidRPr="00DF7787" w:rsidR="00226FE9">
        <w:rPr>
          <w:rFonts w:ascii="Arial" w:hAnsi="Arial" w:eastAsia="Calibri" w:cs="Arial"/>
          <w:bCs/>
          <w:sz w:val="22"/>
        </w:rPr>
        <w:t xml:space="preserve">de </w:t>
      </w:r>
      <w:r w:rsidRPr="00DF7787" w:rsidR="000E7DAE">
        <w:rPr>
          <w:rFonts w:ascii="Arial" w:hAnsi="Arial" w:eastAsia="Calibri" w:cs="Arial"/>
          <w:bCs/>
          <w:sz w:val="22"/>
        </w:rPr>
        <w:t xml:space="preserve">población en alto grado de vulnerabilidad con reconocido estado de exclusión que requieran capacitación, resocialización y </w:t>
      </w:r>
      <w:r w:rsidRPr="00DF7787" w:rsidR="000E7DAE">
        <w:rPr>
          <w:rFonts w:ascii="Arial" w:hAnsi="Arial" w:eastAsia="Calibri" w:cs="Arial"/>
          <w:bCs/>
          <w:sz w:val="22"/>
        </w:rPr>
        <w:lastRenderedPageBreak/>
        <w:t>preparación para el trabajo, «deben aplicar el procedimiento establecido para la selección abreviada de menor cuantía».</w:t>
      </w:r>
    </w:p>
    <w:p w:rsidRPr="00265FF9" w:rsidR="00DA2EEE" w:rsidP="00DA2EEE" w:rsidRDefault="00984663" w14:paraId="75009DA6" w14:textId="6C793B07">
      <w:pPr>
        <w:tabs>
          <w:tab w:val="left" w:pos="709"/>
          <w:tab w:val="left" w:pos="993"/>
        </w:tabs>
        <w:spacing w:before="120" w:line="276" w:lineRule="auto"/>
        <w:ind w:firstLine="709"/>
        <w:jc w:val="both"/>
        <w:rPr>
          <w:rFonts w:ascii="Arial" w:hAnsi="Arial" w:eastAsia="Calibri" w:cs="Arial"/>
          <w:bCs/>
          <w:sz w:val="22"/>
        </w:rPr>
      </w:pPr>
      <w:r w:rsidRPr="00DF7787">
        <w:rPr>
          <w:rFonts w:ascii="Arial" w:hAnsi="Arial" w:eastAsia="Calibri" w:cs="Arial"/>
          <w:bCs/>
          <w:sz w:val="22"/>
        </w:rPr>
        <w:t>Igualmente, p</w:t>
      </w:r>
      <w:r w:rsidRPr="00DF7787" w:rsidR="00721EFF">
        <w:rPr>
          <w:rFonts w:ascii="Arial" w:hAnsi="Arial" w:eastAsia="Calibri" w:cs="Arial"/>
          <w:bCs/>
          <w:sz w:val="22"/>
        </w:rPr>
        <w:t>or disposición del</w:t>
      </w:r>
      <w:r w:rsidRPr="00DF7787" w:rsidR="00A67EE7">
        <w:rPr>
          <w:rFonts w:ascii="Arial" w:hAnsi="Arial" w:eastAsia="Calibri" w:cs="Arial"/>
          <w:bCs/>
          <w:sz w:val="22"/>
        </w:rPr>
        <w:t xml:space="preserve"> </w:t>
      </w:r>
      <w:r w:rsidRPr="00DF7787" w:rsidR="00721EFF">
        <w:rPr>
          <w:rFonts w:ascii="Arial" w:hAnsi="Arial" w:eastAsia="Calibri" w:cs="Arial"/>
          <w:bCs/>
          <w:sz w:val="22"/>
        </w:rPr>
        <w:t xml:space="preserve">artículo </w:t>
      </w:r>
      <w:r w:rsidRPr="00DF7787" w:rsidR="000E179C">
        <w:rPr>
          <w:rFonts w:ascii="Arial" w:hAnsi="Arial" w:eastAsia="Calibri" w:cs="Arial"/>
          <w:bCs/>
          <w:sz w:val="22"/>
        </w:rPr>
        <w:t>2.2.1.2.4.2.6.</w:t>
      </w:r>
      <w:r w:rsidRPr="00DF7787" w:rsidR="00A67EE7">
        <w:rPr>
          <w:rFonts w:ascii="Arial" w:hAnsi="Arial" w:eastAsia="Calibri" w:cs="Arial"/>
          <w:bCs/>
          <w:sz w:val="22"/>
        </w:rPr>
        <w:t xml:space="preserve"> </w:t>
      </w:r>
      <w:r w:rsidRPr="00DF7787" w:rsidR="002012CB">
        <w:rPr>
          <w:rFonts w:ascii="Arial" w:hAnsi="Arial" w:eastAsia="Calibri" w:cs="Arial"/>
          <w:bCs/>
          <w:sz w:val="22"/>
        </w:rPr>
        <w:t>del Decreto 1082 de 2015</w:t>
      </w:r>
      <w:r w:rsidRPr="00DF7787" w:rsidR="00A67EE7">
        <w:rPr>
          <w:rFonts w:ascii="Arial" w:hAnsi="Arial" w:eastAsia="Calibri" w:cs="Arial"/>
          <w:bCs/>
          <w:sz w:val="22"/>
        </w:rPr>
        <w:t xml:space="preserve">,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requisitos que regula dicha norma y en los términos establecidos en los artículos 2.2.1.2.4.2.7. y 2.2.1.2.4.2.8. </w:t>
      </w:r>
      <w:r w:rsidRPr="00DF7787" w:rsidR="00A67EE7">
        <w:rPr>
          <w:rFonts w:ascii="Arial" w:hAnsi="Arial" w:eastAsia="Calibri" w:cs="Arial"/>
          <w:bCs/>
          <w:i/>
          <w:iCs/>
          <w:sz w:val="22"/>
        </w:rPr>
        <w:t>ibídem</w:t>
      </w:r>
      <w:r w:rsidRPr="00DF7787" w:rsidR="00A67EE7">
        <w:rPr>
          <w:rFonts w:ascii="Arial" w:hAnsi="Arial" w:eastAsia="Calibri" w:cs="Arial"/>
          <w:bCs/>
          <w:sz w:val="22"/>
        </w:rPr>
        <w:t>. En similares términos, se reconocen beneficios contractuales en favor de estas personas, en los Documen</w:t>
      </w:r>
      <w:r w:rsidRPr="00265FF9" w:rsidR="00A67EE7">
        <w:rPr>
          <w:rFonts w:ascii="Arial" w:hAnsi="Arial" w:eastAsia="Calibri" w:cs="Arial"/>
          <w:bCs/>
          <w:sz w:val="22"/>
        </w:rPr>
        <w:t>tos Tipo, tanto en los de licitación pública como en los de mínima cuantía, como dan cuenta los «</w:t>
      </w:r>
      <w:r w:rsidR="00571910">
        <w:rPr>
          <w:rFonts w:ascii="Arial" w:hAnsi="Arial" w:eastAsia="Calibri" w:cs="Arial"/>
          <w:bCs/>
          <w:sz w:val="22"/>
        </w:rPr>
        <w:t>D</w:t>
      </w:r>
      <w:r w:rsidRPr="00265FF9" w:rsidR="00A67EE7">
        <w:rPr>
          <w:rFonts w:ascii="Arial" w:hAnsi="Arial" w:eastAsia="Calibri" w:cs="Arial"/>
          <w:bCs/>
          <w:sz w:val="22"/>
        </w:rPr>
        <w:t xml:space="preserve">ocumentos </w:t>
      </w:r>
      <w:r w:rsidR="00EE213A">
        <w:rPr>
          <w:rFonts w:ascii="Arial" w:hAnsi="Arial" w:eastAsia="Calibri" w:cs="Arial"/>
          <w:bCs/>
          <w:sz w:val="22"/>
        </w:rPr>
        <w:t>B</w:t>
      </w:r>
      <w:r w:rsidRPr="00265FF9" w:rsidR="00A67EE7">
        <w:rPr>
          <w:rFonts w:ascii="Arial" w:hAnsi="Arial" w:eastAsia="Calibri" w:cs="Arial"/>
          <w:bCs/>
          <w:sz w:val="22"/>
        </w:rPr>
        <w:t>ase» al regular los criterios de desempate «numeral 4.4.7»</w:t>
      </w:r>
      <w:r w:rsidRPr="00265FF9" w:rsidR="00DA2EEE">
        <w:rPr>
          <w:rFonts w:ascii="Arial" w:hAnsi="Arial" w:eastAsia="Calibri" w:cs="Arial"/>
          <w:bCs/>
          <w:sz w:val="22"/>
        </w:rPr>
        <w:t>.</w:t>
      </w:r>
    </w:p>
    <w:p w:rsidRPr="00265FF9" w:rsidR="00931EF1" w:rsidP="00931EF1" w:rsidRDefault="00A67EE7" w14:paraId="221E07CD" w14:textId="34773EE7">
      <w:pPr>
        <w:tabs>
          <w:tab w:val="left" w:pos="709"/>
        </w:tabs>
        <w:spacing w:before="120" w:line="276" w:lineRule="auto"/>
        <w:jc w:val="both"/>
        <w:rPr>
          <w:rFonts w:ascii="Arial" w:hAnsi="Arial" w:eastAsia="Calibri" w:cs="Arial"/>
          <w:bCs/>
          <w:sz w:val="22"/>
        </w:rPr>
      </w:pPr>
      <w:r w:rsidRPr="00265FF9">
        <w:rPr>
          <w:rFonts w:ascii="Arial" w:hAnsi="Arial" w:eastAsia="Calibri" w:cs="Arial"/>
          <w:bCs/>
          <w:sz w:val="22"/>
        </w:rPr>
        <w:tab/>
      </w:r>
      <w:r w:rsidRPr="00265FF9" w:rsidR="00931EF1">
        <w:rPr>
          <w:rFonts w:ascii="Arial" w:hAnsi="Arial" w:eastAsia="Calibri" w:cs="Arial"/>
          <w:bCs/>
          <w:sz w:val="22"/>
        </w:rPr>
        <w:t>Es del caso precisar que la Ley 823 de 2003, en el artículo 5, numeral 2, establece que «el Gobierno Nacional promoverá la incorporación de las mujeres al empleo en el sector de la construcción, mediante la sensibilización, la capacitación y el reconocimiento de incentivos a los empresarios del sector». Esto último en acatamiento de las obligaciones internacionales adquiridas por el Estado al suscribir, entre otras, la Convención Interamericana para Prevenir, Sancionar y Erradicar la Violencia contra la Mujer −Convención de Belem do Para−, aprobada por el Congreso mediante la Ley 248 de 1995.</w:t>
      </w:r>
    </w:p>
    <w:p w:rsidRPr="00026267" w:rsidR="00026267" w:rsidP="00026267" w:rsidRDefault="00026267" w14:paraId="109BCA0A" w14:textId="093FA5BE">
      <w:pPr>
        <w:tabs>
          <w:tab w:val="left" w:pos="709"/>
        </w:tabs>
        <w:spacing w:before="120" w:line="276" w:lineRule="auto"/>
        <w:jc w:val="both"/>
        <w:rPr>
          <w:rFonts w:ascii="Arial" w:hAnsi="Arial" w:eastAsia="Calibri" w:cs="Arial"/>
          <w:bCs/>
          <w:sz w:val="22"/>
        </w:rPr>
      </w:pPr>
      <w:r w:rsidRPr="00265FF9">
        <w:rPr>
          <w:rFonts w:ascii="Arial" w:hAnsi="Arial" w:eastAsia="Calibri" w:cs="Arial"/>
          <w:bCs/>
          <w:sz w:val="22"/>
        </w:rPr>
        <w:tab/>
      </w:r>
      <w:r w:rsidRPr="00636EED">
        <w:rPr>
          <w:rFonts w:ascii="Arial" w:hAnsi="Arial" w:eastAsia="Calibri" w:cs="Arial"/>
          <w:bCs/>
          <w:sz w:val="22"/>
        </w:rPr>
        <w:t>También resulta pertinente traer a colación lo dispuesto en el artículo 6 de la Ley 1920 de 2018, mediante la cual se estableció el marco jurídico para el ejercicio de la inspección, control y vigilancia sobre las cooperativas especializadas de vigilancia y seguridad privada, y el marco regulatorio para el adecuado desempeño de la labor del personal operativo de vigilancia. El referido artículo 6 establece que el Gobierno Nacional, a través del Ministerio de Hacienda y Crédito Público y el Departamento Nacional de Planeación, deberá expedir un decreto reglamentario en el que se establezca una puntuación adicional en los procesos de licitación pública, concurso de méritos y contratación directa, que beneficie a las empresas de vigilancia y seguridad privada y/o las cooperativas especializadas de vigilancia y de seguridad privada que tengan dentro de su personal operativo a mujeres, personas con discapacidad y/o personas mayores de 45 años</w:t>
      </w:r>
      <w:r w:rsidRPr="00636EED">
        <w:rPr>
          <w:rStyle w:val="Refdenotaalpie"/>
          <w:rFonts w:ascii="Arial" w:hAnsi="Arial" w:eastAsia="Calibri" w:cs="Arial"/>
          <w:bCs/>
          <w:sz w:val="22"/>
        </w:rPr>
        <w:footnoteReference w:id="3"/>
      </w:r>
      <w:r w:rsidRPr="00636EED">
        <w:rPr>
          <w:rFonts w:ascii="Arial" w:hAnsi="Arial" w:eastAsia="Calibri" w:cs="Arial"/>
          <w:bCs/>
          <w:sz w:val="22"/>
        </w:rPr>
        <w:t xml:space="preserve">. Dicha reglamentación aún no ha sido expedida, sin embargo, en cumplimiento del </w:t>
      </w:r>
      <w:r w:rsidRPr="00636EED">
        <w:rPr>
          <w:rFonts w:ascii="Arial" w:hAnsi="Arial" w:eastAsia="Calibri" w:cs="Arial"/>
          <w:bCs/>
          <w:sz w:val="22"/>
        </w:rPr>
        <w:lastRenderedPageBreak/>
        <w:t xml:space="preserve">numeral 8 del artículo 8 del CPACA, ya fue publicado un borrador en la página web del Departamento Nacional de Planeación, donde estuvo disponible para observaciones de la ciudadanía entre el 24 de abril de 2020 y el 4 de mayo de 2020. El proyecto de regulación </w:t>
      </w:r>
      <w:r w:rsidRPr="00636EED" w:rsidR="00636EED">
        <w:rPr>
          <w:rFonts w:ascii="Arial" w:hAnsi="Arial" w:eastAsia="Calibri" w:cs="Arial"/>
          <w:bCs/>
          <w:sz w:val="22"/>
        </w:rPr>
        <w:t>aún</w:t>
      </w:r>
      <w:r w:rsidRPr="00636EED">
        <w:rPr>
          <w:rFonts w:ascii="Arial" w:hAnsi="Arial" w:eastAsia="Calibri" w:cs="Arial"/>
          <w:bCs/>
          <w:sz w:val="22"/>
        </w:rPr>
        <w:t xml:space="preserve"> puede ser consultado en el siguiente enlace: </w:t>
      </w:r>
      <w:hyperlink w:history="1" r:id="rId11">
        <w:r w:rsidRPr="00636EED">
          <w:rPr>
            <w:rStyle w:val="Hipervnculo"/>
            <w:rFonts w:ascii="Arial" w:hAnsi="Arial" w:eastAsia="Calibri" w:cs="Arial"/>
            <w:bCs/>
            <w:sz w:val="22"/>
          </w:rPr>
          <w:t>https://www.dnp.gov.co/Paginas/Proyecto-de-Decreto.aspx</w:t>
        </w:r>
      </w:hyperlink>
      <w:r w:rsidRPr="00026267">
        <w:rPr>
          <w:rFonts w:ascii="Arial" w:hAnsi="Arial" w:eastAsia="Calibri" w:cs="Arial"/>
          <w:bCs/>
          <w:sz w:val="22"/>
          <w:u w:val="single"/>
        </w:rPr>
        <w:t xml:space="preserve"> </w:t>
      </w:r>
    </w:p>
    <w:p w:rsidRPr="00DF7787" w:rsidR="00721EFF" w:rsidP="00B775C4" w:rsidRDefault="00497DD4" w14:paraId="09ABF83B" w14:textId="180296D3">
      <w:pPr>
        <w:tabs>
          <w:tab w:val="left" w:pos="709"/>
        </w:tabs>
        <w:spacing w:before="120" w:line="276" w:lineRule="auto"/>
        <w:jc w:val="both"/>
        <w:rPr>
          <w:rFonts w:ascii="Arial" w:hAnsi="Arial" w:eastAsia="Calibri" w:cs="Arial"/>
          <w:bCs/>
          <w:sz w:val="22"/>
        </w:rPr>
      </w:pPr>
      <w:r>
        <w:rPr>
          <w:rFonts w:ascii="Arial" w:hAnsi="Arial" w:eastAsia="Calibri" w:cs="Arial"/>
          <w:bCs/>
          <w:sz w:val="22"/>
        </w:rPr>
        <w:tab/>
      </w:r>
      <w:r w:rsidRPr="00DF7787" w:rsidR="00621313">
        <w:rPr>
          <w:rFonts w:ascii="Arial" w:hAnsi="Arial" w:eastAsia="Calibri" w:cs="Arial"/>
          <w:bCs/>
          <w:sz w:val="22"/>
        </w:rPr>
        <w:t xml:space="preserve">De todas formas, en lo que tiene que ver con la ejecución de contratos estatales y con la provisión de bienes y servicios </w:t>
      </w:r>
      <w:r w:rsidR="00280857">
        <w:rPr>
          <w:rFonts w:ascii="Arial" w:hAnsi="Arial" w:eastAsia="Calibri" w:cs="Arial"/>
          <w:bCs/>
          <w:sz w:val="22"/>
        </w:rPr>
        <w:t>por sujetos de especial protección constitucional</w:t>
      </w:r>
      <w:r w:rsidRPr="00DF7787" w:rsidR="00931EF1">
        <w:rPr>
          <w:rFonts w:ascii="Arial" w:hAnsi="Arial" w:eastAsia="Calibri" w:cs="Arial"/>
          <w:bCs/>
          <w:sz w:val="22"/>
        </w:rPr>
        <w:t xml:space="preserve">, hasta que </w:t>
      </w:r>
      <w:r w:rsidRPr="00DF7787" w:rsidR="00226FE9">
        <w:rPr>
          <w:rFonts w:ascii="Arial" w:hAnsi="Arial" w:eastAsia="Calibri" w:cs="Arial"/>
          <w:bCs/>
          <w:sz w:val="22"/>
        </w:rPr>
        <w:t xml:space="preserve">el Gobierno Nacional </w:t>
      </w:r>
      <w:r w:rsidRPr="00DF7787" w:rsidR="00621313">
        <w:rPr>
          <w:rFonts w:ascii="Arial" w:hAnsi="Arial" w:eastAsia="Calibri" w:cs="Arial"/>
          <w:bCs/>
          <w:sz w:val="22"/>
        </w:rPr>
        <w:t xml:space="preserve">no reglamente las condiciones de aplicación del artículo 12, inciso 4, de la Ley 1150 de 2007, </w:t>
      </w:r>
      <w:r w:rsidRPr="00DF7787" w:rsidR="001E31B9">
        <w:rPr>
          <w:rFonts w:ascii="Arial" w:hAnsi="Arial" w:eastAsia="Calibri" w:cs="Arial"/>
          <w:bCs/>
          <w:sz w:val="22"/>
        </w:rPr>
        <w:t xml:space="preserve">no es posible que las entidades establezcan </w:t>
      </w:r>
      <w:r w:rsidRPr="00DF7787" w:rsidR="00621313">
        <w:rPr>
          <w:rFonts w:ascii="Arial" w:hAnsi="Arial" w:eastAsia="Calibri" w:cs="Arial"/>
          <w:bCs/>
          <w:sz w:val="22"/>
        </w:rPr>
        <w:t>mecanismos de fomento en los pliegos de condiciones, precisamente</w:t>
      </w:r>
      <w:r w:rsidRPr="00DF7787" w:rsidR="001E31B9">
        <w:rPr>
          <w:rFonts w:ascii="Arial" w:hAnsi="Arial" w:eastAsia="Calibri" w:cs="Arial"/>
          <w:bCs/>
          <w:sz w:val="22"/>
        </w:rPr>
        <w:t>, por</w:t>
      </w:r>
      <w:r w:rsidRPr="00DF7787" w:rsidR="00245606">
        <w:rPr>
          <w:rFonts w:ascii="Arial" w:hAnsi="Arial" w:eastAsia="Calibri" w:cs="Arial"/>
          <w:bCs/>
          <w:sz w:val="22"/>
        </w:rPr>
        <w:t xml:space="preserve"> la falta de desarrollo frente a </w:t>
      </w:r>
      <w:r w:rsidRPr="00DF7787" w:rsidR="001E31B9">
        <w:rPr>
          <w:rFonts w:ascii="Arial" w:hAnsi="Arial" w:eastAsia="Calibri" w:cs="Arial"/>
          <w:bCs/>
          <w:sz w:val="22"/>
        </w:rPr>
        <w:t>las condiciones para que esto sea posible</w:t>
      </w:r>
      <w:r w:rsidRPr="00DF7787" w:rsidR="00621313">
        <w:rPr>
          <w:rFonts w:ascii="Arial" w:hAnsi="Arial" w:eastAsia="Calibri" w:cs="Arial"/>
          <w:bCs/>
          <w:sz w:val="22"/>
        </w:rPr>
        <w:t xml:space="preserve">, como sí </w:t>
      </w:r>
      <w:r w:rsidRPr="00DF7787" w:rsidR="0014712D">
        <w:rPr>
          <w:rFonts w:ascii="Arial" w:hAnsi="Arial" w:eastAsia="Calibri" w:cs="Arial"/>
          <w:bCs/>
          <w:sz w:val="22"/>
        </w:rPr>
        <w:t>se</w:t>
      </w:r>
      <w:r w:rsidRPr="00DF7787" w:rsidR="00621313">
        <w:rPr>
          <w:rFonts w:ascii="Arial" w:hAnsi="Arial" w:eastAsia="Calibri" w:cs="Arial"/>
          <w:bCs/>
          <w:sz w:val="22"/>
        </w:rPr>
        <w:t xml:space="preserve"> hizo, por ejemplo, con las personas en condición de discapacidad, entre otros</w:t>
      </w:r>
      <w:r w:rsidRPr="00DF7787" w:rsidR="001E31B9">
        <w:rPr>
          <w:rFonts w:ascii="Arial" w:hAnsi="Arial" w:eastAsia="Calibri" w:cs="Arial"/>
          <w:bCs/>
          <w:sz w:val="22"/>
        </w:rPr>
        <w:t>.</w:t>
      </w:r>
      <w:r w:rsidRPr="00DF7787" w:rsidR="00B775C4">
        <w:rPr>
          <w:rFonts w:ascii="Arial" w:hAnsi="Arial" w:eastAsia="Calibri" w:cs="Arial"/>
          <w:bCs/>
          <w:sz w:val="22"/>
        </w:rPr>
        <w:t xml:space="preserve"> </w:t>
      </w:r>
      <w:r w:rsidRPr="00DF7787" w:rsidR="0014712D">
        <w:rPr>
          <w:rFonts w:ascii="Arial" w:hAnsi="Arial" w:eastAsia="Calibri" w:cs="Arial"/>
          <w:bCs/>
          <w:sz w:val="22"/>
        </w:rPr>
        <w:t xml:space="preserve">Las entidades públicas, incluidas las </w:t>
      </w:r>
      <w:r w:rsidR="00280857">
        <w:rPr>
          <w:rFonts w:ascii="Arial" w:hAnsi="Arial" w:eastAsia="Calibri" w:cs="Arial"/>
          <w:bCs/>
          <w:sz w:val="22"/>
        </w:rPr>
        <w:t>del orden territorial</w:t>
      </w:r>
      <w:r w:rsidRPr="00DF7787" w:rsidR="0014712D">
        <w:rPr>
          <w:rFonts w:ascii="Arial" w:hAnsi="Arial" w:eastAsia="Calibri" w:cs="Arial"/>
          <w:bCs/>
          <w:sz w:val="22"/>
        </w:rPr>
        <w:t>, t</w:t>
      </w:r>
      <w:r w:rsidRPr="00DF7787" w:rsidR="00621313">
        <w:rPr>
          <w:rFonts w:ascii="Arial" w:hAnsi="Arial" w:eastAsia="Calibri" w:cs="Arial"/>
          <w:bCs/>
          <w:sz w:val="22"/>
        </w:rPr>
        <w:t>ampoco puede</w:t>
      </w:r>
      <w:r w:rsidRPr="00DF7787" w:rsidR="00EA2600">
        <w:rPr>
          <w:rFonts w:ascii="Arial" w:hAnsi="Arial" w:eastAsia="Calibri" w:cs="Arial"/>
          <w:bCs/>
          <w:sz w:val="22"/>
        </w:rPr>
        <w:t>n</w:t>
      </w:r>
      <w:r w:rsidRPr="00DF7787" w:rsidR="00621313">
        <w:rPr>
          <w:rFonts w:ascii="Arial" w:hAnsi="Arial" w:eastAsia="Calibri" w:cs="Arial"/>
          <w:bCs/>
          <w:sz w:val="22"/>
        </w:rPr>
        <w:t xml:space="preserve"> implementar este tipo de </w:t>
      </w:r>
      <w:r w:rsidRPr="00DF7787" w:rsidR="00EA2600">
        <w:rPr>
          <w:rFonts w:ascii="Arial" w:hAnsi="Arial" w:eastAsia="Calibri" w:cs="Arial"/>
          <w:bCs/>
          <w:sz w:val="22"/>
        </w:rPr>
        <w:t xml:space="preserve">medidas diferenciales </w:t>
      </w:r>
      <w:r w:rsidRPr="00DF7787" w:rsidR="00621313">
        <w:rPr>
          <w:rFonts w:ascii="Arial" w:hAnsi="Arial" w:eastAsia="Calibri" w:cs="Arial"/>
          <w:bCs/>
          <w:sz w:val="22"/>
        </w:rPr>
        <w:t>con fundamento en</w:t>
      </w:r>
      <w:r w:rsidRPr="00DF7787" w:rsidR="00B775C4">
        <w:rPr>
          <w:rFonts w:ascii="Arial" w:hAnsi="Arial" w:eastAsia="Calibri" w:cs="Arial"/>
          <w:bCs/>
          <w:sz w:val="22"/>
        </w:rPr>
        <w:t xml:space="preserve"> </w:t>
      </w:r>
      <w:r w:rsidRPr="00DF7787" w:rsidR="00EA2600">
        <w:rPr>
          <w:rFonts w:ascii="Arial" w:hAnsi="Arial" w:eastAsia="Calibri" w:cs="Arial"/>
          <w:bCs/>
          <w:sz w:val="22"/>
        </w:rPr>
        <w:t xml:space="preserve">el </w:t>
      </w:r>
      <w:r w:rsidR="00280857">
        <w:rPr>
          <w:rFonts w:ascii="Arial" w:hAnsi="Arial" w:eastAsia="Calibri" w:cs="Arial"/>
          <w:bCs/>
          <w:sz w:val="22"/>
        </w:rPr>
        <w:t xml:space="preserve">artículo 5.2 de la </w:t>
      </w:r>
      <w:r w:rsidRPr="00DF7787" w:rsidR="00B775C4">
        <w:rPr>
          <w:rFonts w:ascii="Arial" w:hAnsi="Arial" w:eastAsia="Calibri" w:cs="Arial"/>
          <w:bCs/>
          <w:sz w:val="22"/>
        </w:rPr>
        <w:t xml:space="preserve">Ley </w:t>
      </w:r>
      <w:r w:rsidRPr="00DF7787" w:rsidR="00621313">
        <w:rPr>
          <w:rFonts w:ascii="Arial" w:hAnsi="Arial" w:eastAsia="Calibri" w:cs="Arial"/>
          <w:bCs/>
          <w:sz w:val="22"/>
        </w:rPr>
        <w:t xml:space="preserve">823 de 2003, </w:t>
      </w:r>
      <w:r w:rsidRPr="00DF7787" w:rsidR="0014712D">
        <w:rPr>
          <w:rFonts w:ascii="Arial" w:hAnsi="Arial" w:eastAsia="Calibri" w:cs="Arial"/>
          <w:bCs/>
          <w:sz w:val="22"/>
        </w:rPr>
        <w:t xml:space="preserve">pues </w:t>
      </w:r>
      <w:r w:rsidR="00280857">
        <w:rPr>
          <w:rFonts w:ascii="Arial" w:hAnsi="Arial" w:eastAsia="Calibri" w:cs="Arial"/>
          <w:bCs/>
          <w:sz w:val="22"/>
        </w:rPr>
        <w:t>su contenido se</w:t>
      </w:r>
      <w:r w:rsidRPr="00DF7787" w:rsidR="00EA2600">
        <w:rPr>
          <w:rFonts w:ascii="Arial" w:hAnsi="Arial" w:eastAsia="Calibri" w:cs="Arial"/>
          <w:bCs/>
          <w:sz w:val="22"/>
        </w:rPr>
        <w:t xml:space="preserve"> dirig</w:t>
      </w:r>
      <w:r w:rsidR="00280857">
        <w:rPr>
          <w:rFonts w:ascii="Arial" w:hAnsi="Arial" w:eastAsia="Calibri" w:cs="Arial"/>
          <w:bCs/>
          <w:sz w:val="22"/>
        </w:rPr>
        <w:t xml:space="preserve">e </w:t>
      </w:r>
      <w:r w:rsidRPr="00DF7787" w:rsidR="00B775C4">
        <w:rPr>
          <w:rFonts w:ascii="Arial" w:hAnsi="Arial" w:eastAsia="Calibri" w:cs="Arial"/>
          <w:bCs/>
          <w:sz w:val="22"/>
        </w:rPr>
        <w:t>al Gobierno Nacional</w:t>
      </w:r>
      <w:r w:rsidR="00280857">
        <w:rPr>
          <w:rFonts w:ascii="Arial" w:hAnsi="Arial" w:eastAsia="Calibri" w:cs="Arial"/>
          <w:bCs/>
          <w:sz w:val="22"/>
        </w:rPr>
        <w:t xml:space="preserve"> para que reglamente de forma particular este tipo de incentivos</w:t>
      </w:r>
      <w:r w:rsidRPr="00DF7787" w:rsidR="00B775C4">
        <w:rPr>
          <w:rFonts w:ascii="Arial" w:hAnsi="Arial" w:eastAsia="Calibri" w:cs="Arial"/>
          <w:bCs/>
          <w:sz w:val="22"/>
        </w:rPr>
        <w:t xml:space="preserve">, </w:t>
      </w:r>
      <w:r w:rsidRPr="00DF7787" w:rsidR="00EA2600">
        <w:rPr>
          <w:rFonts w:ascii="Arial" w:hAnsi="Arial" w:eastAsia="Calibri" w:cs="Arial"/>
          <w:bCs/>
          <w:sz w:val="22"/>
        </w:rPr>
        <w:t>lo que impide</w:t>
      </w:r>
      <w:r w:rsidRPr="00DF7787" w:rsidR="00B775C4">
        <w:rPr>
          <w:rFonts w:ascii="Arial" w:hAnsi="Arial" w:eastAsia="Calibri" w:cs="Arial"/>
          <w:bCs/>
          <w:sz w:val="22"/>
        </w:rPr>
        <w:t xml:space="preserve"> que </w:t>
      </w:r>
      <w:r w:rsidR="00280857">
        <w:rPr>
          <w:rFonts w:ascii="Arial" w:hAnsi="Arial" w:eastAsia="Calibri" w:cs="Arial"/>
          <w:bCs/>
          <w:sz w:val="22"/>
        </w:rPr>
        <w:t>las entidades estatales los apliquen directamente en la</w:t>
      </w:r>
      <w:r w:rsidRPr="00DF7787" w:rsidR="00621313">
        <w:rPr>
          <w:rFonts w:ascii="Arial" w:hAnsi="Arial" w:eastAsia="Calibri" w:cs="Arial"/>
          <w:bCs/>
          <w:sz w:val="22"/>
        </w:rPr>
        <w:t xml:space="preserve"> contratación estatal </w:t>
      </w:r>
      <w:r w:rsidR="00280857">
        <w:rPr>
          <w:rFonts w:ascii="Arial" w:hAnsi="Arial" w:eastAsia="Calibri" w:cs="Arial"/>
          <w:bCs/>
          <w:sz w:val="22"/>
        </w:rPr>
        <w:t>favoreciendo a las</w:t>
      </w:r>
      <w:r w:rsidRPr="00DF7787" w:rsidR="00621313">
        <w:rPr>
          <w:rFonts w:ascii="Arial" w:hAnsi="Arial" w:eastAsia="Calibri" w:cs="Arial"/>
          <w:bCs/>
          <w:sz w:val="22"/>
        </w:rPr>
        <w:t xml:space="preserve"> </w:t>
      </w:r>
      <w:r w:rsidRPr="00DF7787" w:rsidR="00B775C4">
        <w:rPr>
          <w:rFonts w:ascii="Arial" w:hAnsi="Arial" w:eastAsia="Calibri" w:cs="Arial"/>
          <w:bCs/>
          <w:sz w:val="22"/>
        </w:rPr>
        <w:t>mujeres</w:t>
      </w:r>
      <w:r w:rsidR="00280857">
        <w:rPr>
          <w:rFonts w:ascii="Arial" w:hAnsi="Arial" w:eastAsia="Calibri" w:cs="Arial"/>
          <w:bCs/>
          <w:sz w:val="22"/>
        </w:rPr>
        <w:t>, pues la concreción del contenido abierto de la ley, en dicho caso, debe pasar por el desarrollo del Gobierno Nacional</w:t>
      </w:r>
      <w:r w:rsidRPr="00DF7787" w:rsidR="00B775C4">
        <w:rPr>
          <w:rFonts w:ascii="Arial" w:hAnsi="Arial" w:eastAsia="Calibri" w:cs="Arial"/>
          <w:bCs/>
          <w:sz w:val="22"/>
        </w:rPr>
        <w:t>.</w:t>
      </w:r>
      <w:r w:rsidRPr="00DF7787" w:rsidR="00EA2600">
        <w:rPr>
          <w:rFonts w:ascii="Arial" w:hAnsi="Arial" w:eastAsia="Calibri" w:cs="Arial"/>
          <w:bCs/>
          <w:sz w:val="22"/>
        </w:rPr>
        <w:t xml:space="preserve"> Todo, claro está, sin perjuicio de las obligaciones generales que le asi</w:t>
      </w:r>
      <w:r w:rsidRPr="00DF7787" w:rsidR="002F38BA">
        <w:rPr>
          <w:rFonts w:ascii="Arial" w:hAnsi="Arial" w:eastAsia="Calibri" w:cs="Arial"/>
          <w:bCs/>
          <w:sz w:val="22"/>
        </w:rPr>
        <w:t>s</w:t>
      </w:r>
      <w:r w:rsidRPr="00DF7787" w:rsidR="00EA2600">
        <w:rPr>
          <w:rFonts w:ascii="Arial" w:hAnsi="Arial" w:eastAsia="Calibri" w:cs="Arial"/>
          <w:bCs/>
          <w:sz w:val="22"/>
        </w:rPr>
        <w:t xml:space="preserve">te a toda entidad </w:t>
      </w:r>
      <w:r w:rsidRPr="00DF7787" w:rsidR="00452571">
        <w:rPr>
          <w:rFonts w:ascii="Arial" w:hAnsi="Arial" w:eastAsia="Calibri" w:cs="Arial"/>
          <w:bCs/>
          <w:sz w:val="22"/>
        </w:rPr>
        <w:t xml:space="preserve">pública </w:t>
      </w:r>
      <w:r w:rsidRPr="00DF7787" w:rsidR="00EA2600">
        <w:rPr>
          <w:rFonts w:ascii="Arial" w:hAnsi="Arial" w:eastAsia="Calibri" w:cs="Arial"/>
          <w:bCs/>
          <w:sz w:val="22"/>
        </w:rPr>
        <w:t>de impedir cualquier tipo de</w:t>
      </w:r>
      <w:r w:rsidRPr="00DF7787" w:rsidR="00452571">
        <w:rPr>
          <w:rFonts w:ascii="Arial" w:hAnsi="Arial" w:eastAsia="Calibri" w:cs="Arial"/>
          <w:bCs/>
          <w:sz w:val="22"/>
        </w:rPr>
        <w:t xml:space="preserve"> acto discriminatorio que </w:t>
      </w:r>
      <w:r w:rsidRPr="00DF7787" w:rsidR="00496831">
        <w:rPr>
          <w:rFonts w:ascii="Arial" w:hAnsi="Arial" w:eastAsia="Calibri" w:cs="Arial"/>
          <w:bCs/>
          <w:sz w:val="22"/>
        </w:rPr>
        <w:t>afecte</w:t>
      </w:r>
      <w:r w:rsidRPr="00DF7787" w:rsidR="00EA2600">
        <w:rPr>
          <w:rFonts w:ascii="Arial" w:hAnsi="Arial" w:eastAsia="Calibri" w:cs="Arial"/>
          <w:bCs/>
          <w:sz w:val="22"/>
        </w:rPr>
        <w:t xml:space="preserve"> a las mujeres</w:t>
      </w:r>
      <w:r w:rsidRPr="00DF7787" w:rsidR="00452571">
        <w:rPr>
          <w:rFonts w:ascii="Arial" w:hAnsi="Arial" w:eastAsia="Calibri" w:cs="Arial"/>
          <w:bCs/>
          <w:sz w:val="22"/>
        </w:rPr>
        <w:t xml:space="preserve"> </w:t>
      </w:r>
      <w:r w:rsidRPr="00DF7787" w:rsidR="00496831">
        <w:rPr>
          <w:rFonts w:ascii="Arial" w:hAnsi="Arial" w:eastAsia="Calibri" w:cs="Arial"/>
          <w:bCs/>
          <w:sz w:val="22"/>
        </w:rPr>
        <w:t>por su condición de mujer en sí misma considerada</w:t>
      </w:r>
      <w:r w:rsidRPr="00DF7787" w:rsidR="00EA2600">
        <w:rPr>
          <w:rFonts w:ascii="Arial" w:hAnsi="Arial" w:eastAsia="Calibri" w:cs="Arial"/>
          <w:bCs/>
          <w:sz w:val="22"/>
        </w:rPr>
        <w:t>.</w:t>
      </w:r>
    </w:p>
    <w:p w:rsidRPr="00DF7787" w:rsidR="00DF7787" w:rsidP="00BE1E33" w:rsidRDefault="00DF7787" w14:paraId="17875603" w14:textId="77777777">
      <w:pPr>
        <w:spacing w:line="276" w:lineRule="auto"/>
        <w:jc w:val="both"/>
        <w:rPr>
          <w:rFonts w:ascii="Arial" w:hAnsi="Arial" w:eastAsia="Calibri" w:cs="Arial"/>
          <w:sz w:val="22"/>
        </w:rPr>
      </w:pPr>
    </w:p>
    <w:p w:rsidRPr="00DF7787" w:rsidR="00BE1E33" w:rsidP="00BE1E33" w:rsidRDefault="00BE1E33" w14:paraId="4DAE4437" w14:textId="77777777">
      <w:pPr>
        <w:pStyle w:val="Prrafodelista"/>
        <w:numPr>
          <w:ilvl w:val="0"/>
          <w:numId w:val="1"/>
        </w:numPr>
        <w:tabs>
          <w:tab w:val="left" w:pos="284"/>
        </w:tabs>
        <w:spacing w:line="276" w:lineRule="auto"/>
        <w:ind w:left="0" w:firstLine="0"/>
        <w:rPr>
          <w:rFonts w:ascii="Arial" w:hAnsi="Arial" w:cs="Arial"/>
          <w:b/>
          <w:bCs/>
          <w:sz w:val="22"/>
          <w:lang w:val="es-CO"/>
        </w:rPr>
      </w:pPr>
      <w:r w:rsidRPr="00DF7787">
        <w:rPr>
          <w:rFonts w:ascii="Arial" w:hAnsi="Arial" w:cs="Arial"/>
          <w:b/>
          <w:bCs/>
          <w:sz w:val="22"/>
          <w:lang w:val="es-CO"/>
        </w:rPr>
        <w:t xml:space="preserve">Respuesta </w:t>
      </w:r>
    </w:p>
    <w:p w:rsidRPr="00DF7787" w:rsidR="00BE1E33" w:rsidP="00BE1E33" w:rsidRDefault="00BE1E33" w14:paraId="317BE2F9" w14:textId="77777777">
      <w:pPr>
        <w:spacing w:line="276" w:lineRule="auto"/>
        <w:ind w:right="709"/>
        <w:jc w:val="both"/>
        <w:rPr>
          <w:rFonts w:ascii="Arial" w:hAnsi="Arial" w:cs="Arial"/>
          <w:sz w:val="21"/>
          <w:szCs w:val="21"/>
          <w:lang w:val="es-CO"/>
        </w:rPr>
      </w:pPr>
    </w:p>
    <w:p w:rsidRPr="00DF7787" w:rsidR="00EF0AE5" w:rsidP="00EA749D" w:rsidRDefault="00EF0AE5" w14:paraId="4166CF15" w14:textId="77777777">
      <w:pPr>
        <w:ind w:left="709" w:right="758"/>
        <w:jc w:val="both"/>
        <w:rPr>
          <w:rFonts w:ascii="Arial" w:hAnsi="Arial" w:eastAsia="Calibri" w:cs="Arial"/>
          <w:sz w:val="21"/>
          <w:szCs w:val="21"/>
        </w:rPr>
      </w:pPr>
      <w:r w:rsidRPr="00DF7787">
        <w:rPr>
          <w:rFonts w:ascii="Arial" w:hAnsi="Arial" w:eastAsia="Calibri" w:cs="Arial"/>
          <w:sz w:val="21"/>
          <w:szCs w:val="21"/>
        </w:rPr>
        <w:t>«[…] Es posible incluir en procesos de contratación tipo selección abreviada o licitación [sic] asignar puntaje (factores calificantes) a los proponentes que emplee en sus equipos de trabajo cierto porcentaje de mujeres para ejecutar el contrato en caso de ser el adjudicatario? […]».</w:t>
      </w:r>
    </w:p>
    <w:p w:rsidRPr="00DF7787" w:rsidR="00EF0AE5" w:rsidP="00EA749D" w:rsidRDefault="00EA749D" w14:paraId="4D5C6402" w14:textId="2DB8D6EA">
      <w:pPr>
        <w:ind w:left="709" w:right="758"/>
        <w:jc w:val="both"/>
        <w:rPr>
          <w:rFonts w:ascii="Arial" w:hAnsi="Arial" w:eastAsia="Calibri" w:cs="Arial"/>
          <w:sz w:val="21"/>
          <w:szCs w:val="21"/>
        </w:rPr>
      </w:pPr>
      <w:r w:rsidRPr="00DF7787">
        <w:rPr>
          <w:rFonts w:ascii="Arial" w:hAnsi="Arial" w:eastAsia="Calibri" w:cs="Arial"/>
          <w:sz w:val="21"/>
          <w:szCs w:val="21"/>
        </w:rPr>
        <w:tab/>
      </w:r>
    </w:p>
    <w:p w:rsidRPr="00DF7787" w:rsidR="00EF0AE5" w:rsidP="00EF0AE5" w:rsidRDefault="00EF0AE5" w14:paraId="19F6E755" w14:textId="06EAED69">
      <w:pPr>
        <w:tabs>
          <w:tab w:val="left" w:pos="709"/>
        </w:tabs>
        <w:spacing w:before="120" w:line="276" w:lineRule="auto"/>
        <w:jc w:val="both"/>
        <w:rPr>
          <w:rFonts w:ascii="Arial" w:hAnsi="Arial" w:eastAsia="Calibri" w:cs="Arial"/>
          <w:sz w:val="22"/>
        </w:rPr>
      </w:pPr>
      <w:r w:rsidRPr="00DF7787">
        <w:rPr>
          <w:rFonts w:ascii="Arial" w:hAnsi="Arial" w:eastAsia="Calibri" w:cs="Arial"/>
          <w:sz w:val="22"/>
        </w:rPr>
        <w:t xml:space="preserve">Actualmente, no existe una norma </w:t>
      </w:r>
      <w:r w:rsidR="008D7639">
        <w:rPr>
          <w:rFonts w:ascii="Arial" w:hAnsi="Arial" w:eastAsia="Calibri" w:cs="Arial"/>
          <w:sz w:val="22"/>
        </w:rPr>
        <w:t xml:space="preserve">general </w:t>
      </w:r>
      <w:r w:rsidRPr="00DF7787">
        <w:rPr>
          <w:rFonts w:ascii="Arial" w:hAnsi="Arial" w:eastAsia="Calibri" w:cs="Arial"/>
          <w:sz w:val="22"/>
        </w:rPr>
        <w:t xml:space="preserve">que les otorgue competencia a las entidades </w:t>
      </w:r>
      <w:r w:rsidR="00280857">
        <w:rPr>
          <w:rFonts w:ascii="Arial" w:hAnsi="Arial" w:eastAsia="Calibri" w:cs="Arial"/>
          <w:sz w:val="22"/>
        </w:rPr>
        <w:t>estatales</w:t>
      </w:r>
      <w:r w:rsidRPr="00DF7787" w:rsidR="00280857">
        <w:rPr>
          <w:rFonts w:ascii="Arial" w:hAnsi="Arial" w:eastAsia="Calibri" w:cs="Arial"/>
          <w:sz w:val="22"/>
        </w:rPr>
        <w:t xml:space="preserve"> </w:t>
      </w:r>
      <w:r w:rsidRPr="00DF7787">
        <w:rPr>
          <w:rFonts w:ascii="Arial" w:hAnsi="Arial" w:eastAsia="Calibri" w:cs="Arial"/>
          <w:sz w:val="22"/>
        </w:rPr>
        <w:t xml:space="preserve">para </w:t>
      </w:r>
      <w:r w:rsidR="00280857">
        <w:rPr>
          <w:rFonts w:ascii="Arial" w:hAnsi="Arial" w:eastAsia="Calibri" w:cs="Arial"/>
          <w:sz w:val="22"/>
        </w:rPr>
        <w:t xml:space="preserve">que en los pliegos de condiciones </w:t>
      </w:r>
      <w:r w:rsidRPr="00DF7787">
        <w:rPr>
          <w:rFonts w:ascii="Arial" w:hAnsi="Arial" w:eastAsia="Calibri" w:cs="Arial"/>
          <w:sz w:val="22"/>
        </w:rPr>
        <w:t>estable</w:t>
      </w:r>
      <w:r w:rsidR="00280857">
        <w:rPr>
          <w:rFonts w:ascii="Arial" w:hAnsi="Arial" w:eastAsia="Calibri" w:cs="Arial"/>
          <w:sz w:val="22"/>
        </w:rPr>
        <w:t>zcan</w:t>
      </w:r>
      <w:r w:rsidRPr="00DF7787">
        <w:rPr>
          <w:rFonts w:ascii="Arial" w:hAnsi="Arial" w:eastAsia="Calibri" w:cs="Arial"/>
          <w:sz w:val="22"/>
        </w:rPr>
        <w:t xml:space="preserve"> y ponder</w:t>
      </w:r>
      <w:r w:rsidR="00280857">
        <w:rPr>
          <w:rFonts w:ascii="Arial" w:hAnsi="Arial" w:eastAsia="Calibri" w:cs="Arial"/>
          <w:sz w:val="22"/>
        </w:rPr>
        <w:t>en</w:t>
      </w:r>
      <w:r w:rsidRPr="00DF7787">
        <w:rPr>
          <w:rFonts w:ascii="Arial" w:hAnsi="Arial" w:eastAsia="Calibri" w:cs="Arial"/>
          <w:sz w:val="22"/>
        </w:rPr>
        <w:t xml:space="preserve"> de forma distinta</w:t>
      </w:r>
      <w:r w:rsidR="00EB21A8">
        <w:rPr>
          <w:rFonts w:ascii="Arial" w:hAnsi="Arial" w:eastAsia="Calibri" w:cs="Arial"/>
          <w:sz w:val="22"/>
        </w:rPr>
        <w:t>, en términos de asignación de puntaje,</w:t>
      </w:r>
      <w:r w:rsidRPr="00DF7787">
        <w:rPr>
          <w:rFonts w:ascii="Arial" w:hAnsi="Arial" w:eastAsia="Calibri" w:cs="Arial"/>
          <w:sz w:val="22"/>
        </w:rPr>
        <w:t xml:space="preserve"> las propuestas de los </w:t>
      </w:r>
      <w:r w:rsidR="00EB21A8">
        <w:rPr>
          <w:rFonts w:ascii="Arial" w:hAnsi="Arial" w:eastAsia="Calibri" w:cs="Arial"/>
          <w:sz w:val="22"/>
        </w:rPr>
        <w:t>oferentes</w:t>
      </w:r>
      <w:r w:rsidRPr="00DF7787" w:rsidR="00EB21A8">
        <w:rPr>
          <w:rFonts w:ascii="Arial" w:hAnsi="Arial" w:eastAsia="Calibri" w:cs="Arial"/>
          <w:sz w:val="22"/>
        </w:rPr>
        <w:t xml:space="preserve"> </w:t>
      </w:r>
      <w:r w:rsidRPr="00DF7787">
        <w:rPr>
          <w:rFonts w:ascii="Arial" w:hAnsi="Arial" w:eastAsia="Calibri" w:cs="Arial"/>
          <w:sz w:val="22"/>
        </w:rPr>
        <w:t xml:space="preserve">que incorporen determinado porcentaje o número de mujeres a la ejecución del contrato. </w:t>
      </w:r>
      <w:r w:rsidRPr="00DF7787" w:rsidR="00A31643">
        <w:rPr>
          <w:rFonts w:ascii="Arial" w:hAnsi="Arial" w:eastAsia="Calibri" w:cs="Arial"/>
          <w:sz w:val="22"/>
        </w:rPr>
        <w:t xml:space="preserve"> Si bien el artículo 12 de la Ley 1150 de 2007 se refiere a la posibilidad de que las entidades</w:t>
      </w:r>
      <w:r w:rsidRPr="00DF7787" w:rsidR="00DF7787">
        <w:rPr>
          <w:rFonts w:ascii="Arial" w:hAnsi="Arial" w:eastAsia="Calibri" w:cs="Arial"/>
          <w:sz w:val="22"/>
        </w:rPr>
        <w:t xml:space="preserve"> incorporen</w:t>
      </w:r>
      <w:r w:rsidRPr="00DF7787" w:rsidR="00A31643">
        <w:rPr>
          <w:rFonts w:ascii="Arial" w:hAnsi="Arial" w:eastAsia="Calibri" w:cs="Arial"/>
          <w:sz w:val="22"/>
        </w:rPr>
        <w:t xml:space="preserve"> </w:t>
      </w:r>
      <w:r w:rsidRPr="00DF7787" w:rsidR="00DF7787">
        <w:rPr>
          <w:rFonts w:ascii="Arial" w:hAnsi="Arial" w:eastAsia="Calibri" w:cs="Arial"/>
          <w:sz w:val="22"/>
        </w:rPr>
        <w:t xml:space="preserve">en </w:t>
      </w:r>
      <w:r w:rsidRPr="00DF7787" w:rsidR="00A31643">
        <w:rPr>
          <w:rFonts w:ascii="Arial" w:hAnsi="Arial" w:eastAsia="Calibri" w:cs="Arial"/>
          <w:sz w:val="22"/>
        </w:rPr>
        <w:t xml:space="preserve">los pliegos </w:t>
      </w:r>
      <w:r w:rsidRPr="00DF7787" w:rsidR="00DF7787">
        <w:rPr>
          <w:rFonts w:ascii="Arial" w:hAnsi="Arial" w:eastAsia="Calibri" w:cs="Arial"/>
          <w:sz w:val="22"/>
        </w:rPr>
        <w:t xml:space="preserve">de condiciones </w:t>
      </w:r>
      <w:r w:rsidRPr="00DF7787" w:rsidR="00A31643">
        <w:rPr>
          <w:rFonts w:ascii="Arial" w:hAnsi="Arial" w:eastAsia="Calibri" w:cs="Arial"/>
          <w:sz w:val="22"/>
        </w:rPr>
        <w:t xml:space="preserve">mecanismos que fomenten la ejecución de contratos estatales por población en pobreza extrema, desplazados por la violencia, personas en proceso de reintegración y, sujetos de especial protección constitucional, </w:t>
      </w:r>
      <w:r w:rsidR="00EB21A8">
        <w:rPr>
          <w:rFonts w:ascii="Arial" w:hAnsi="Arial" w:eastAsia="Calibri" w:cs="Arial"/>
          <w:sz w:val="22"/>
        </w:rPr>
        <w:t>«</w:t>
      </w:r>
      <w:r w:rsidRPr="00497DD4" w:rsidR="00EB21A8">
        <w:rPr>
          <w:rFonts w:ascii="Arial" w:hAnsi="Arial" w:eastAsia="Calibri" w:cs="Arial"/>
          <w:sz w:val="22"/>
        </w:rPr>
        <w:t>en las condiciones que señale el reglamento»,</w:t>
      </w:r>
      <w:r w:rsidR="00EB21A8">
        <w:rPr>
          <w:rFonts w:ascii="Arial" w:hAnsi="Arial" w:eastAsia="Calibri" w:cs="Arial"/>
          <w:sz w:val="22"/>
        </w:rPr>
        <w:t xml:space="preserve"> dichos incentivos </w:t>
      </w:r>
      <w:r w:rsidRPr="00DF7787" w:rsidR="00A31643">
        <w:rPr>
          <w:rFonts w:ascii="Arial" w:hAnsi="Arial" w:eastAsia="Calibri" w:cs="Arial"/>
          <w:sz w:val="22"/>
        </w:rPr>
        <w:t>a</w:t>
      </w:r>
      <w:r w:rsidRPr="00DF7787">
        <w:rPr>
          <w:rFonts w:ascii="Arial" w:hAnsi="Arial" w:eastAsia="Calibri" w:cs="Arial"/>
          <w:sz w:val="22"/>
        </w:rPr>
        <w:t>ún no ha</w:t>
      </w:r>
      <w:r w:rsidR="00EB21A8">
        <w:rPr>
          <w:rFonts w:ascii="Arial" w:hAnsi="Arial" w:eastAsia="Calibri" w:cs="Arial"/>
          <w:sz w:val="22"/>
        </w:rPr>
        <w:t>n</w:t>
      </w:r>
      <w:r w:rsidRPr="00DF7787">
        <w:rPr>
          <w:rFonts w:ascii="Arial" w:hAnsi="Arial" w:eastAsia="Calibri" w:cs="Arial"/>
          <w:sz w:val="22"/>
        </w:rPr>
        <w:t xml:space="preserve"> sido reglamentado</w:t>
      </w:r>
      <w:r w:rsidR="00EB21A8">
        <w:rPr>
          <w:rFonts w:ascii="Arial" w:hAnsi="Arial" w:eastAsia="Calibri" w:cs="Arial"/>
          <w:sz w:val="22"/>
        </w:rPr>
        <w:t>s</w:t>
      </w:r>
      <w:r w:rsidR="00A118E1">
        <w:rPr>
          <w:rFonts w:ascii="Arial" w:hAnsi="Arial" w:eastAsia="Calibri" w:cs="Arial"/>
          <w:sz w:val="22"/>
        </w:rPr>
        <w:t xml:space="preserve"> de forma general</w:t>
      </w:r>
      <w:r w:rsidRPr="00DF7787">
        <w:rPr>
          <w:rFonts w:ascii="Arial" w:hAnsi="Arial" w:eastAsia="Calibri" w:cs="Arial"/>
          <w:sz w:val="22"/>
        </w:rPr>
        <w:t xml:space="preserve"> </w:t>
      </w:r>
      <w:r w:rsidRPr="00DF7787">
        <w:rPr>
          <w:rFonts w:ascii="Arial" w:hAnsi="Arial" w:eastAsia="Calibri" w:cs="Arial"/>
          <w:sz w:val="22"/>
        </w:rPr>
        <w:lastRenderedPageBreak/>
        <w:t>por el Gobierno Nacional, en lo que tiene que ver con incentivos contractuales en favor de las mujeres. Esto</w:t>
      </w:r>
      <w:r w:rsidRPr="00DF7787" w:rsidR="00A31643">
        <w:rPr>
          <w:rFonts w:ascii="Arial" w:hAnsi="Arial" w:eastAsia="Calibri" w:cs="Arial"/>
          <w:sz w:val="22"/>
        </w:rPr>
        <w:t xml:space="preserve"> </w:t>
      </w:r>
      <w:r w:rsidRPr="00DF7787">
        <w:rPr>
          <w:rFonts w:ascii="Arial" w:hAnsi="Arial" w:eastAsia="Calibri" w:cs="Arial"/>
          <w:sz w:val="22"/>
        </w:rPr>
        <w:t xml:space="preserve">significa que, hasta tanto se profiera tal reglamentación, las entidades estatales no pueden invocar </w:t>
      </w:r>
      <w:r w:rsidR="00EB21A8">
        <w:rPr>
          <w:rFonts w:ascii="Arial" w:hAnsi="Arial" w:eastAsia="Calibri" w:cs="Arial"/>
          <w:sz w:val="22"/>
        </w:rPr>
        <w:t>directamente el artículo 12 de la Ley 1150 de 2007 como</w:t>
      </w:r>
      <w:r w:rsidRPr="00DF7787">
        <w:rPr>
          <w:rFonts w:ascii="Arial" w:hAnsi="Arial" w:eastAsia="Calibri" w:cs="Arial"/>
          <w:sz w:val="22"/>
        </w:rPr>
        <w:t xml:space="preserve"> fundamento para establecer medidas en favor de las mujeres</w:t>
      </w:r>
      <w:r w:rsidR="00EB21A8">
        <w:rPr>
          <w:rFonts w:ascii="Arial" w:hAnsi="Arial" w:eastAsia="Calibri" w:cs="Arial"/>
          <w:sz w:val="22"/>
        </w:rPr>
        <w:t>.</w:t>
      </w:r>
    </w:p>
    <w:p w:rsidRPr="00DF7787" w:rsidR="006F376B" w:rsidP="003A7100" w:rsidRDefault="006F376B" w14:paraId="3D10DD94" w14:textId="77777777">
      <w:pPr>
        <w:tabs>
          <w:tab w:val="left" w:pos="709"/>
        </w:tabs>
        <w:jc w:val="both"/>
        <w:rPr>
          <w:rFonts w:ascii="Arial" w:hAnsi="Arial" w:eastAsia="Calibri" w:cs="Arial"/>
          <w:sz w:val="22"/>
        </w:rPr>
      </w:pPr>
    </w:p>
    <w:p w:rsidRPr="00DF7787" w:rsidR="00BE1E33" w:rsidP="00BE1E33" w:rsidRDefault="00BE1E33" w14:paraId="66CE4DD8" w14:textId="77777777">
      <w:pPr>
        <w:spacing w:before="120" w:line="276" w:lineRule="auto"/>
        <w:jc w:val="both"/>
        <w:rPr>
          <w:rFonts w:ascii="Arial" w:hAnsi="Arial" w:eastAsia="Calibri" w:cs="Arial"/>
          <w:sz w:val="22"/>
        </w:rPr>
      </w:pPr>
      <w:r w:rsidRPr="00DF7787">
        <w:rPr>
          <w:rFonts w:ascii="Arial" w:hAnsi="Arial" w:eastAsia="Calibri" w:cs="Arial"/>
          <w:sz w:val="22"/>
        </w:rPr>
        <w:t>Este concepto tiene el alcance previsto en el artículo 28 del Código de Procedimiento Administrativo y de lo Contencioso Administrativo.</w:t>
      </w:r>
    </w:p>
    <w:p w:rsidRPr="00DF7787" w:rsidR="00BE1E33" w:rsidP="00BE1E33" w:rsidRDefault="00BE1E33" w14:paraId="138D33A2" w14:textId="77777777">
      <w:pPr>
        <w:ind w:firstLine="709"/>
        <w:jc w:val="both"/>
        <w:rPr>
          <w:rFonts w:ascii="Arial" w:hAnsi="Arial" w:eastAsia="Calibri" w:cs="Arial"/>
          <w:sz w:val="22"/>
        </w:rPr>
      </w:pPr>
    </w:p>
    <w:p w:rsidRPr="00DF7787" w:rsidR="00BE1E33" w:rsidP="00BE1E33" w:rsidRDefault="00BE1E33" w14:paraId="2B02915D" w14:textId="77777777">
      <w:pPr>
        <w:jc w:val="both"/>
        <w:rPr>
          <w:rFonts w:ascii="Arial" w:hAnsi="Arial" w:eastAsia="Times New Roman" w:cs="Arial"/>
          <w:sz w:val="22"/>
          <w:lang w:eastAsia="es-CO"/>
        </w:rPr>
      </w:pPr>
      <w:r w:rsidRPr="00DF7787">
        <w:rPr>
          <w:rFonts w:ascii="Arial" w:hAnsi="Arial" w:eastAsia="Times New Roman" w:cs="Arial"/>
          <w:sz w:val="22"/>
          <w:lang w:eastAsia="es-CO"/>
        </w:rPr>
        <w:t>Atentamente,</w:t>
      </w:r>
    </w:p>
    <w:bookmarkEnd w:id="0"/>
    <w:bookmarkEnd w:id="1"/>
    <w:p w:rsidR="00BE1E33" w:rsidP="00BE1E33" w:rsidRDefault="00D21126" w14:paraId="1C8F6984" w14:textId="3F7F8A3B">
      <w:pPr>
        <w:jc w:val="center"/>
        <w:rPr>
          <w:rFonts w:ascii="Arial" w:hAnsi="Arial" w:eastAsia="Times New Roman" w:cs="Arial"/>
          <w:sz w:val="18"/>
          <w:szCs w:val="20"/>
          <w:lang w:eastAsia="es-CO"/>
        </w:rPr>
      </w:pPr>
      <w:r w:rsidR="00D21126">
        <w:drawing>
          <wp:inline wp14:editId="470E453C" wp14:anchorId="64F97988">
            <wp:extent cx="2773144" cy="988695"/>
            <wp:effectExtent l="0" t="0" r="0" b="0"/>
            <wp:docPr id="981422254" name="Imagen 20" title=""/>
            <wp:cNvGraphicFramePr>
              <a:graphicFrameLocks noChangeAspect="1"/>
            </wp:cNvGraphicFramePr>
            <a:graphic>
              <a:graphicData uri="http://schemas.openxmlformats.org/drawingml/2006/picture">
                <pic:pic>
                  <pic:nvPicPr>
                    <pic:cNvPr id="0" name="Imagen 20"/>
                    <pic:cNvPicPr/>
                  </pic:nvPicPr>
                  <pic:blipFill>
                    <a:blip r:embed="R5d850e9f7988439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DF7787" w:rsidR="00C7744D" w:rsidP="00BE1E33" w:rsidRDefault="00C7744D" w14:paraId="1AE6D24D" w14:textId="77777777">
      <w:pPr>
        <w:jc w:val="center"/>
        <w:rPr>
          <w:rFonts w:ascii="Arial" w:hAnsi="Arial" w:eastAsia="Times New Roman"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DF7787" w:rsidR="00DF7787" w:rsidTr="00A31643" w14:paraId="7E5CB93D" w14:textId="77777777">
        <w:trPr>
          <w:trHeight w:val="533"/>
        </w:trPr>
        <w:tc>
          <w:tcPr>
            <w:tcW w:w="812" w:type="dxa"/>
            <w:vAlign w:val="center"/>
            <w:hideMark/>
          </w:tcPr>
          <w:p w:rsidRPr="00DF7787" w:rsidR="00BE1E33" w:rsidP="00BC49BA" w:rsidRDefault="00BE1E33" w14:paraId="44CFA06E" w14:textId="77777777">
            <w:pPr>
              <w:rPr>
                <w:rFonts w:ascii="Arial" w:hAnsi="Arial" w:eastAsia="Times New Roman" w:cs="Arial"/>
                <w:sz w:val="16"/>
                <w:szCs w:val="16"/>
                <w:lang w:eastAsia="es-ES"/>
              </w:rPr>
            </w:pPr>
            <w:r w:rsidRPr="00DF7787">
              <w:rPr>
                <w:rFonts w:ascii="Arial" w:hAnsi="Arial" w:eastAsia="Times New Roman"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DF7787" w:rsidR="00BE1E33" w:rsidP="00BC49BA" w:rsidRDefault="00A31643" w14:paraId="56D7561C" w14:textId="0EA34933">
            <w:pPr>
              <w:rPr>
                <w:rFonts w:ascii="Arial" w:hAnsi="Arial" w:eastAsia="Times New Roman" w:cs="Arial"/>
                <w:sz w:val="16"/>
                <w:szCs w:val="16"/>
                <w:lang w:eastAsia="es-ES"/>
              </w:rPr>
            </w:pPr>
            <w:r w:rsidRPr="00DF7787">
              <w:rPr>
                <w:rFonts w:ascii="Arial" w:hAnsi="Arial" w:eastAsia="Times New Roman" w:cs="Arial"/>
                <w:sz w:val="16"/>
                <w:szCs w:val="16"/>
                <w:lang w:eastAsia="es-ES"/>
              </w:rPr>
              <w:t>Alejandro Sarmiento Cantillo</w:t>
            </w:r>
          </w:p>
          <w:p w:rsidRPr="00DF7787" w:rsidR="00982E99" w:rsidP="00BC49BA" w:rsidRDefault="00982E99" w14:paraId="6C4A6DA1" w14:textId="5897BB3C">
            <w:pPr>
              <w:rPr>
                <w:rFonts w:ascii="Arial" w:hAnsi="Arial" w:eastAsia="Times New Roman" w:cs="Arial"/>
                <w:sz w:val="16"/>
                <w:szCs w:val="16"/>
                <w:lang w:eastAsia="es-ES"/>
              </w:rPr>
            </w:pPr>
            <w:r w:rsidRPr="00DF7787">
              <w:rPr>
                <w:rFonts w:ascii="Arial" w:hAnsi="Arial" w:eastAsia="Times New Roman" w:cs="Arial"/>
                <w:sz w:val="16"/>
                <w:szCs w:val="16"/>
                <w:lang w:eastAsia="es-ES"/>
              </w:rPr>
              <w:t>Contratista de la Subdirección de Gestión Contractual</w:t>
            </w:r>
          </w:p>
        </w:tc>
      </w:tr>
      <w:tr w:rsidRPr="00DF7787" w:rsidR="00DF7787" w:rsidTr="00BC49BA" w14:paraId="092BCD16" w14:textId="77777777">
        <w:trPr>
          <w:trHeight w:val="330"/>
        </w:trPr>
        <w:tc>
          <w:tcPr>
            <w:tcW w:w="812" w:type="dxa"/>
            <w:vAlign w:val="center"/>
            <w:hideMark/>
          </w:tcPr>
          <w:p w:rsidRPr="00DF7787" w:rsidR="00BE1E33" w:rsidP="00BC49BA" w:rsidRDefault="00BE1E33" w14:paraId="463B4DD3" w14:textId="77777777">
            <w:pPr>
              <w:rPr>
                <w:rFonts w:ascii="Arial" w:hAnsi="Arial" w:eastAsia="Times New Roman" w:cs="Arial"/>
                <w:sz w:val="16"/>
                <w:szCs w:val="16"/>
                <w:lang w:eastAsia="es-ES"/>
              </w:rPr>
            </w:pPr>
            <w:r w:rsidRPr="00DF7787">
              <w:rPr>
                <w:rFonts w:ascii="Arial" w:hAnsi="Arial" w:eastAsia="Times New Roman"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F7787" w:rsidR="00BE1E33" w:rsidP="00BC49BA" w:rsidRDefault="00543347" w14:paraId="6C256A72" w14:textId="61B46A36">
            <w:pPr>
              <w:rPr>
                <w:rFonts w:ascii="Arial" w:hAnsi="Arial" w:eastAsia="Times New Roman" w:cs="Arial"/>
                <w:sz w:val="16"/>
                <w:szCs w:val="16"/>
                <w:lang w:eastAsia="es-ES"/>
              </w:rPr>
            </w:pPr>
            <w:r>
              <w:rPr>
                <w:rFonts w:ascii="Arial" w:hAnsi="Arial" w:eastAsia="Times New Roman" w:cs="Arial"/>
                <w:sz w:val="16"/>
                <w:szCs w:val="16"/>
                <w:lang w:eastAsia="es-ES"/>
              </w:rPr>
              <w:t>Sebastián Ramírez Grisales</w:t>
            </w:r>
          </w:p>
          <w:p w:rsidRPr="00DF7787" w:rsidR="00BE1E33" w:rsidP="00BC49BA" w:rsidRDefault="008B633F" w14:paraId="72718C99" w14:textId="615B8B0F">
            <w:pPr>
              <w:rPr>
                <w:rFonts w:ascii="Arial" w:hAnsi="Arial" w:eastAsia="Times New Roman" w:cs="Arial"/>
                <w:sz w:val="16"/>
                <w:szCs w:val="16"/>
                <w:lang w:eastAsia="es-ES"/>
              </w:rPr>
            </w:pPr>
            <w:r w:rsidRPr="00DF7787">
              <w:rPr>
                <w:rFonts w:ascii="Arial" w:hAnsi="Arial" w:eastAsia="Times New Roman" w:cs="Arial"/>
                <w:sz w:val="16"/>
                <w:szCs w:val="16"/>
                <w:lang w:eastAsia="es-ES"/>
              </w:rPr>
              <w:t>Contratista</w:t>
            </w:r>
            <w:r w:rsidR="00543347">
              <w:rPr>
                <w:rFonts w:ascii="Arial" w:hAnsi="Arial" w:eastAsia="Times New Roman" w:cs="Arial"/>
                <w:sz w:val="16"/>
                <w:szCs w:val="16"/>
                <w:lang w:eastAsia="es-ES"/>
              </w:rPr>
              <w:t xml:space="preserve"> –</w:t>
            </w:r>
            <w:r w:rsidRPr="00DF7787">
              <w:rPr>
                <w:rFonts w:ascii="Arial" w:hAnsi="Arial" w:eastAsia="Times New Roman" w:cs="Arial"/>
                <w:sz w:val="16"/>
                <w:szCs w:val="16"/>
                <w:lang w:eastAsia="es-ES"/>
              </w:rPr>
              <w:t xml:space="preserve"> Subdirección </w:t>
            </w:r>
            <w:r w:rsidRPr="00DF7787" w:rsidR="00BE1E33">
              <w:rPr>
                <w:rFonts w:ascii="Arial" w:hAnsi="Arial" w:eastAsia="Times New Roman" w:cs="Arial"/>
                <w:sz w:val="16"/>
                <w:szCs w:val="16"/>
                <w:lang w:eastAsia="es-ES"/>
              </w:rPr>
              <w:t>de Gestión Contractual</w:t>
            </w:r>
          </w:p>
        </w:tc>
      </w:tr>
      <w:tr w:rsidRPr="00DF7787" w:rsidR="00DF7787" w:rsidTr="00BC49BA" w14:paraId="57DAFEF9" w14:textId="77777777">
        <w:trPr>
          <w:trHeight w:val="300"/>
        </w:trPr>
        <w:tc>
          <w:tcPr>
            <w:tcW w:w="812" w:type="dxa"/>
            <w:vAlign w:val="center"/>
            <w:hideMark/>
          </w:tcPr>
          <w:p w:rsidRPr="00DF7787" w:rsidR="00BE1E33" w:rsidP="00BC49BA" w:rsidRDefault="00BE1E33" w14:paraId="70677013" w14:textId="77777777">
            <w:pPr>
              <w:rPr>
                <w:rFonts w:ascii="Arial" w:hAnsi="Arial" w:eastAsia="Times New Roman" w:cs="Arial"/>
                <w:sz w:val="16"/>
                <w:szCs w:val="16"/>
                <w:lang w:eastAsia="es-ES"/>
              </w:rPr>
            </w:pPr>
            <w:r w:rsidRPr="00DF7787">
              <w:rPr>
                <w:rFonts w:ascii="Arial" w:hAnsi="Arial" w:eastAsia="Times New Roman"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F7787" w:rsidR="00BE1E33" w:rsidP="00BC49BA" w:rsidRDefault="00BE1E33" w14:paraId="4B4373C0" w14:textId="77777777">
            <w:pPr>
              <w:rPr>
                <w:rFonts w:ascii="Arial" w:hAnsi="Arial" w:eastAsia="Times New Roman" w:cs="Arial"/>
                <w:sz w:val="16"/>
                <w:szCs w:val="16"/>
                <w:lang w:eastAsia="es-ES"/>
              </w:rPr>
            </w:pPr>
            <w:r w:rsidRPr="00DF7787">
              <w:rPr>
                <w:rFonts w:ascii="Arial" w:hAnsi="Arial" w:eastAsia="Times New Roman" w:cs="Arial"/>
                <w:sz w:val="16"/>
                <w:szCs w:val="16"/>
                <w:lang w:eastAsia="es-ES"/>
              </w:rPr>
              <w:t>Fabián Gonzalo Marín Cortés</w:t>
            </w:r>
          </w:p>
          <w:p w:rsidRPr="00DF7787" w:rsidR="00BE1E33" w:rsidP="00BC49BA" w:rsidRDefault="00BE1E33" w14:paraId="75BC677C" w14:textId="77777777">
            <w:pPr>
              <w:rPr>
                <w:rFonts w:ascii="Arial" w:hAnsi="Arial" w:eastAsia="Times New Roman" w:cs="Arial"/>
                <w:sz w:val="16"/>
                <w:szCs w:val="16"/>
                <w:lang w:eastAsia="es-ES"/>
              </w:rPr>
            </w:pPr>
            <w:r w:rsidRPr="00DF7787">
              <w:rPr>
                <w:rFonts w:ascii="Arial" w:hAnsi="Arial" w:eastAsia="Times New Roman" w:cs="Arial"/>
                <w:sz w:val="16"/>
                <w:szCs w:val="16"/>
                <w:lang w:eastAsia="es-ES"/>
              </w:rPr>
              <w:t>Subdirector de Gestión Contractual</w:t>
            </w:r>
          </w:p>
        </w:tc>
      </w:tr>
    </w:tbl>
    <w:p w:rsidRPr="00DF7787" w:rsidR="006C5955" w:rsidP="00BE1E33" w:rsidRDefault="006C5955" w14:paraId="085A31AB" w14:textId="77777777"/>
    <w:sectPr w:rsidRPr="00DF7787" w:rsidR="006C5955" w:rsidSect="00BC49BA">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52B4" w:rsidP="008C487C" w:rsidRDefault="00D252B4" w14:paraId="5BE3831C" w14:textId="77777777">
      <w:r>
        <w:separator/>
      </w:r>
    </w:p>
  </w:endnote>
  <w:endnote w:type="continuationSeparator" w:id="0">
    <w:p w:rsidR="00D252B4" w:rsidP="008C487C" w:rsidRDefault="00D252B4" w14:paraId="5719A5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B0CEC" w:rsidP="00BC49BA" w:rsidRDefault="003B0CEC" w14:paraId="5D37B59A" w14:textId="3A65DB1A">
    <w:pPr>
      <w:pStyle w:val="Sinespaciado"/>
      <w:jc w:val="right"/>
      <w:rPr>
        <w:rFonts w:ascii="Arial" w:hAnsi="Arial" w:cs="Arial"/>
        <w:sz w:val="18"/>
        <w:szCs w:val="18"/>
      </w:rPr>
    </w:pPr>
  </w:p>
  <w:p w:rsidRPr="008217B7" w:rsidR="003B0CEC" w:rsidP="00BC49BA" w:rsidRDefault="003B0CEC" w14:paraId="3D3EB348" w14:textId="2A22763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21126">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21126">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rsidR="003B0CEC" w:rsidP="00BC49BA" w:rsidRDefault="003B0CEC" w14:paraId="29709EEF" w14:textId="77777777">
    <w:pPr>
      <w:pStyle w:val="Piedepgina"/>
      <w:jc w:val="center"/>
      <w:rPr>
        <w:lang w:val="es-ES"/>
      </w:rPr>
    </w:pPr>
    <w:r w:rsidR="470E453C">
      <w:drawing>
        <wp:inline wp14:editId="0980788B" wp14:anchorId="0323F87D">
          <wp:extent cx="3700130" cy="519139"/>
          <wp:effectExtent l="0" t="0" r="0" b="0"/>
          <wp:docPr id="909869585" name="Imagen 3" title=""/>
          <wp:cNvGraphicFramePr>
            <a:graphicFrameLocks noChangeAspect="1"/>
          </wp:cNvGraphicFramePr>
          <a:graphic>
            <a:graphicData uri="http://schemas.openxmlformats.org/drawingml/2006/picture">
              <pic:pic>
                <pic:nvPicPr>
                  <pic:cNvPr id="0" name="Imagen 3"/>
                  <pic:cNvPicPr/>
                </pic:nvPicPr>
                <pic:blipFill>
                  <a:blip r:embed="R8549c4d0a0e24b7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E756AC" w:rsidR="003B0CEC" w:rsidP="00BC49BA" w:rsidRDefault="003B0CEC" w14:paraId="608DFF21" w14:textId="77777777">
    <w:pPr>
      <w:pStyle w:val="Piedepgina"/>
      <w:jc w:val="center"/>
      <w:rPr>
        <w:sz w:val="18"/>
        <w:szCs w:val="18"/>
        <w:lang w:val="es-ES"/>
      </w:rPr>
    </w:pPr>
  </w:p>
  <w:p w:rsidRPr="00E756AC" w:rsidR="003B0CEC" w:rsidP="00BC49BA" w:rsidRDefault="003B0CEC" w14:paraId="428179B1"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52B4" w:rsidP="008C487C" w:rsidRDefault="00D252B4" w14:paraId="146C2E33" w14:textId="77777777">
      <w:r>
        <w:separator/>
      </w:r>
    </w:p>
  </w:footnote>
  <w:footnote w:type="continuationSeparator" w:id="0">
    <w:p w:rsidR="00D252B4" w:rsidP="008C487C" w:rsidRDefault="00D252B4" w14:paraId="2E27FC64" w14:textId="77777777">
      <w:r>
        <w:continuationSeparator/>
      </w:r>
    </w:p>
  </w:footnote>
  <w:footnote w:id="1">
    <w:p w:rsidRPr="00026267" w:rsidR="003B0CEC" w:rsidP="00BD0749" w:rsidRDefault="003B0CEC" w14:paraId="5875EF46" w14:textId="5A30D9CC">
      <w:pPr>
        <w:pStyle w:val="Textonotapie"/>
        <w:ind w:firstLine="708"/>
        <w:jc w:val="both"/>
        <w:rPr>
          <w:rFonts w:ascii="Arial" w:hAnsi="Arial" w:cs="Arial"/>
          <w:color w:val="404040" w:themeColor="text1" w:themeTint="BF"/>
          <w:sz w:val="18"/>
          <w:szCs w:val="18"/>
        </w:rPr>
      </w:pPr>
      <w:r w:rsidRPr="00026267">
        <w:rPr>
          <w:rStyle w:val="Refdenotaalpie"/>
          <w:rFonts w:ascii="Arial" w:hAnsi="Arial" w:cs="Arial"/>
          <w:color w:val="404040" w:themeColor="text1" w:themeTint="BF"/>
          <w:sz w:val="18"/>
          <w:szCs w:val="18"/>
        </w:rPr>
        <w:footnoteRef/>
      </w:r>
      <w:r w:rsidRPr="00026267">
        <w:rPr>
          <w:rFonts w:ascii="Arial" w:hAnsi="Arial" w:cs="Arial"/>
          <w:color w:val="404040" w:themeColor="text1" w:themeTint="BF"/>
          <w:sz w:val="18"/>
          <w:szCs w:val="18"/>
        </w:rPr>
        <w:t xml:space="preserve"> Gaceta No. 656 del 22 de septiembre de 2005. p. 10.</w:t>
      </w:r>
    </w:p>
    <w:p w:rsidRPr="00026267" w:rsidR="003B0CEC" w:rsidP="00BD0749" w:rsidRDefault="003B0CEC" w14:paraId="1F204CDD" w14:textId="77777777">
      <w:pPr>
        <w:pStyle w:val="Textonotapie"/>
        <w:ind w:firstLine="708"/>
        <w:jc w:val="both"/>
        <w:rPr>
          <w:rFonts w:ascii="Arial" w:hAnsi="Arial" w:cs="Arial"/>
          <w:color w:val="404040" w:themeColor="text1" w:themeTint="BF"/>
          <w:sz w:val="18"/>
          <w:szCs w:val="18"/>
        </w:rPr>
      </w:pPr>
    </w:p>
  </w:footnote>
  <w:footnote w:id="2">
    <w:p w:rsidRPr="00026267" w:rsidR="003B0CEC" w:rsidP="00BD0749" w:rsidRDefault="003B0CEC" w14:paraId="1D3B2897" w14:textId="54517C0C">
      <w:pPr>
        <w:pStyle w:val="Textonotapie"/>
        <w:ind w:firstLine="708"/>
        <w:jc w:val="both"/>
        <w:rPr>
          <w:rFonts w:ascii="Arial" w:hAnsi="Arial" w:cs="Arial"/>
          <w:color w:val="404040" w:themeColor="text1" w:themeTint="BF"/>
          <w:sz w:val="18"/>
          <w:szCs w:val="18"/>
        </w:rPr>
      </w:pPr>
      <w:r w:rsidRPr="00026267">
        <w:rPr>
          <w:rStyle w:val="Refdenotaalpie"/>
          <w:rFonts w:ascii="Arial" w:hAnsi="Arial" w:cs="Arial"/>
          <w:color w:val="404040" w:themeColor="text1" w:themeTint="BF"/>
          <w:sz w:val="18"/>
          <w:szCs w:val="18"/>
        </w:rPr>
        <w:footnoteRef/>
      </w:r>
      <w:r w:rsidRPr="00026267">
        <w:rPr>
          <w:rFonts w:ascii="Arial" w:hAnsi="Arial" w:cs="Arial"/>
          <w:color w:val="404040" w:themeColor="text1" w:themeTint="BF"/>
          <w:sz w:val="18"/>
          <w:szCs w:val="18"/>
        </w:rPr>
        <w:t xml:space="preserve"> Gaceta No. 90 del 28 de abril de 2006. p. 7.</w:t>
      </w:r>
    </w:p>
    <w:p w:rsidRPr="00026267" w:rsidR="003B0CEC" w:rsidP="00BD0749" w:rsidRDefault="003B0CEC" w14:paraId="507C88EB" w14:textId="0190DDC2">
      <w:pPr>
        <w:pStyle w:val="Textonotapie"/>
        <w:ind w:firstLine="708"/>
        <w:jc w:val="both"/>
        <w:rPr>
          <w:rFonts w:ascii="Arial" w:hAnsi="Arial" w:cs="Arial"/>
          <w:color w:val="404040" w:themeColor="text1" w:themeTint="BF"/>
          <w:sz w:val="18"/>
          <w:szCs w:val="18"/>
        </w:rPr>
      </w:pPr>
    </w:p>
  </w:footnote>
  <w:footnote w:id="3">
    <w:p w:rsidRPr="00026267" w:rsidR="00026267" w:rsidP="00026267" w:rsidRDefault="00026267" w14:paraId="4DEE6386" w14:textId="6D042F2A">
      <w:pPr>
        <w:pStyle w:val="Textonotapie"/>
        <w:ind w:firstLine="708"/>
        <w:jc w:val="both"/>
        <w:rPr>
          <w:rFonts w:ascii="Arial" w:hAnsi="Arial" w:cs="Arial"/>
          <w:sz w:val="18"/>
          <w:szCs w:val="18"/>
        </w:rPr>
      </w:pPr>
      <w:r w:rsidRPr="00026267">
        <w:rPr>
          <w:rStyle w:val="Refdenotaalpie"/>
          <w:rFonts w:ascii="Arial" w:hAnsi="Arial" w:cs="Arial"/>
          <w:sz w:val="18"/>
          <w:szCs w:val="18"/>
        </w:rPr>
        <w:footnoteRef/>
      </w:r>
      <w:r w:rsidRPr="00026267">
        <w:rPr>
          <w:rFonts w:ascii="Arial" w:hAnsi="Arial" w:cs="Arial"/>
          <w:sz w:val="18"/>
          <w:szCs w:val="18"/>
        </w:rPr>
        <w:t xml:space="preserve"> «Artículo 6. Incentivos para la vinculación de mujeres, personas mayores o en condición de discapacidad. El Gobierno nacional, a través del Ministerio de Hacienda y Crédito Público y del Departamento Nacional de Planeación o de quienes hagan sus veces, expedirá en un término no mayor a 6 meses un decreto reglamentario que establezca una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 contratadas con todas las exigencias y garantías legalmente establecidas.</w:t>
      </w:r>
    </w:p>
    <w:p w:rsidRPr="00026267" w:rsidR="00026267" w:rsidP="00026267" w:rsidRDefault="00636EED" w14:paraId="2CA9B23D" w14:textId="4E5FD32C">
      <w:pPr>
        <w:pStyle w:val="Textonotapie"/>
        <w:ind w:firstLine="708"/>
        <w:jc w:val="both"/>
        <w:rPr>
          <w:rFonts w:ascii="Arial" w:hAnsi="Arial" w:cs="Arial"/>
          <w:sz w:val="18"/>
          <w:szCs w:val="18"/>
          <w:lang w:val="es-CO"/>
        </w:rPr>
      </w:pPr>
      <w:proofErr w:type="gramStart"/>
      <w:r>
        <w:rPr>
          <w:rFonts w:ascii="Arial" w:hAnsi="Arial" w:cs="Arial"/>
          <w:sz w:val="18"/>
          <w:szCs w:val="18"/>
        </w:rPr>
        <w:t>»</w:t>
      </w:r>
      <w:r w:rsidRPr="00026267" w:rsidR="00026267">
        <w:rPr>
          <w:rFonts w:ascii="Arial" w:hAnsi="Arial" w:cs="Arial"/>
          <w:sz w:val="18"/>
          <w:szCs w:val="18"/>
        </w:rPr>
        <w:t>Igualmente</w:t>
      </w:r>
      <w:proofErr w:type="gramEnd"/>
      <w:r w:rsidRPr="00026267" w:rsidR="00026267">
        <w:rPr>
          <w:rFonts w:ascii="Arial" w:hAnsi="Arial" w:cs="Arial"/>
          <w:sz w:val="18"/>
          <w:szCs w:val="18"/>
        </w:rPr>
        <w:t>, las empresas y cooperativas de vigilancia privada propenderán por aumentar dentro de su personal operativo en contratos que celebren con entidades no estatales, el número de mujeres, personas con discapacidad y/o personas mayores de 45 años, contratadas con todas las exigencias y garantías legalmente establecidas».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B0CEC" w:rsidRDefault="003B0CEC" w14:paraId="1BE98637" w14:textId="77777777">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70E453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06310"/>
    <w:multiLevelType w:val="multilevel"/>
    <w:tmpl w:val="C16A80F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2E3DD6"/>
    <w:multiLevelType w:val="hybridMultilevel"/>
    <w:tmpl w:val="DDD25F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4" w15:restartNumberingAfterBreak="0">
    <w:nsid w:val="28A02F9E"/>
    <w:multiLevelType w:val="multilevel"/>
    <w:tmpl w:val="FE1C0B40"/>
    <w:lvl w:ilvl="0">
      <w:start w:val="2"/>
      <w:numFmt w:val="decimal"/>
      <w:lvlText w:val="%1."/>
      <w:lvlJc w:val="left"/>
      <w:pPr>
        <w:ind w:left="367" w:hanging="367"/>
      </w:pPr>
      <w:rPr>
        <w:rFonts w:hint="default"/>
      </w:rPr>
    </w:lvl>
    <w:lvl w:ilvl="1">
      <w:start w:val="1"/>
      <w:numFmt w:val="decimal"/>
      <w:lvlText w:val="%1.%2."/>
      <w:lvlJc w:val="left"/>
      <w:pPr>
        <w:ind w:left="6601" w:hanging="720"/>
      </w:pPr>
      <w:rPr>
        <w:rFonts w:hint="default"/>
      </w:rPr>
    </w:lvl>
    <w:lvl w:ilvl="2">
      <w:start w:val="1"/>
      <w:numFmt w:val="decimal"/>
      <w:lvlText w:val="%1.%2.%3."/>
      <w:lvlJc w:val="left"/>
      <w:pPr>
        <w:ind w:left="12482" w:hanging="720"/>
      </w:pPr>
      <w:rPr>
        <w:rFonts w:hint="default"/>
      </w:rPr>
    </w:lvl>
    <w:lvl w:ilvl="3">
      <w:start w:val="1"/>
      <w:numFmt w:val="decimal"/>
      <w:lvlText w:val="%1.%2.%3.%4."/>
      <w:lvlJc w:val="left"/>
      <w:pPr>
        <w:ind w:left="18723" w:hanging="1080"/>
      </w:pPr>
      <w:rPr>
        <w:rFonts w:hint="default"/>
      </w:rPr>
    </w:lvl>
    <w:lvl w:ilvl="4">
      <w:start w:val="1"/>
      <w:numFmt w:val="decimal"/>
      <w:lvlText w:val="%1.%2.%3.%4.%5."/>
      <w:lvlJc w:val="left"/>
      <w:pPr>
        <w:ind w:left="24604" w:hanging="1080"/>
      </w:pPr>
      <w:rPr>
        <w:rFonts w:hint="default"/>
      </w:rPr>
    </w:lvl>
    <w:lvl w:ilvl="5">
      <w:start w:val="1"/>
      <w:numFmt w:val="decimal"/>
      <w:lvlText w:val="%1.%2.%3.%4.%5.%6."/>
      <w:lvlJc w:val="left"/>
      <w:pPr>
        <w:ind w:left="30845" w:hanging="1440"/>
      </w:pPr>
      <w:rPr>
        <w:rFonts w:hint="default"/>
      </w:rPr>
    </w:lvl>
    <w:lvl w:ilvl="6">
      <w:start w:val="1"/>
      <w:numFmt w:val="decimal"/>
      <w:lvlText w:val="%1.%2.%3.%4.%5.%6.%7."/>
      <w:lvlJc w:val="left"/>
      <w:pPr>
        <w:ind w:left="-28810" w:hanging="1440"/>
      </w:pPr>
      <w:rPr>
        <w:rFonts w:hint="default"/>
      </w:rPr>
    </w:lvl>
    <w:lvl w:ilvl="7">
      <w:start w:val="1"/>
      <w:numFmt w:val="decimal"/>
      <w:lvlText w:val="%1.%2.%3.%4.%5.%6.%7.%8."/>
      <w:lvlJc w:val="left"/>
      <w:pPr>
        <w:ind w:left="-22569" w:hanging="1800"/>
      </w:pPr>
      <w:rPr>
        <w:rFonts w:hint="default"/>
      </w:rPr>
    </w:lvl>
    <w:lvl w:ilvl="8">
      <w:start w:val="1"/>
      <w:numFmt w:val="decimal"/>
      <w:lvlText w:val="%1.%2.%3.%4.%5.%6.%7.%8.%9."/>
      <w:lvlJc w:val="left"/>
      <w:pPr>
        <w:ind w:left="-16688" w:hanging="1800"/>
      </w:pPr>
      <w:rPr>
        <w:rFonts w:hint="default"/>
      </w:rPr>
    </w:lvl>
  </w:abstractNum>
  <w:abstractNum w:abstractNumId="5"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10D30"/>
    <w:rsid w:val="00023568"/>
    <w:rsid w:val="00024A28"/>
    <w:rsid w:val="00026267"/>
    <w:rsid w:val="00026D00"/>
    <w:rsid w:val="0003091B"/>
    <w:rsid w:val="00031122"/>
    <w:rsid w:val="000333A2"/>
    <w:rsid w:val="00033F16"/>
    <w:rsid w:val="00040D6E"/>
    <w:rsid w:val="00042C0C"/>
    <w:rsid w:val="00044FF2"/>
    <w:rsid w:val="00061EE4"/>
    <w:rsid w:val="00062B0D"/>
    <w:rsid w:val="0007366C"/>
    <w:rsid w:val="00074152"/>
    <w:rsid w:val="00086A16"/>
    <w:rsid w:val="00093F02"/>
    <w:rsid w:val="000971EC"/>
    <w:rsid w:val="00097CD6"/>
    <w:rsid w:val="000A1DBA"/>
    <w:rsid w:val="000A6338"/>
    <w:rsid w:val="000B0E47"/>
    <w:rsid w:val="000C0E39"/>
    <w:rsid w:val="000C447B"/>
    <w:rsid w:val="000D088F"/>
    <w:rsid w:val="000D3D58"/>
    <w:rsid w:val="000E179C"/>
    <w:rsid w:val="000E6867"/>
    <w:rsid w:val="000E7DAE"/>
    <w:rsid w:val="000F0653"/>
    <w:rsid w:val="000F1E89"/>
    <w:rsid w:val="000F32DF"/>
    <w:rsid w:val="0010086D"/>
    <w:rsid w:val="00107607"/>
    <w:rsid w:val="00112597"/>
    <w:rsid w:val="00116236"/>
    <w:rsid w:val="001321AB"/>
    <w:rsid w:val="00133EB6"/>
    <w:rsid w:val="0013621B"/>
    <w:rsid w:val="00136C39"/>
    <w:rsid w:val="00140E57"/>
    <w:rsid w:val="00141C64"/>
    <w:rsid w:val="0014462B"/>
    <w:rsid w:val="00144E66"/>
    <w:rsid w:val="0014712D"/>
    <w:rsid w:val="00164BD7"/>
    <w:rsid w:val="00164E79"/>
    <w:rsid w:val="00170BDD"/>
    <w:rsid w:val="0017603D"/>
    <w:rsid w:val="00176742"/>
    <w:rsid w:val="00181A3E"/>
    <w:rsid w:val="00183210"/>
    <w:rsid w:val="00184025"/>
    <w:rsid w:val="00194C50"/>
    <w:rsid w:val="001B3A83"/>
    <w:rsid w:val="001E31B9"/>
    <w:rsid w:val="001E5DBB"/>
    <w:rsid w:val="001E70D8"/>
    <w:rsid w:val="001F0BE1"/>
    <w:rsid w:val="001F1051"/>
    <w:rsid w:val="001F32CC"/>
    <w:rsid w:val="001F34A8"/>
    <w:rsid w:val="002012CB"/>
    <w:rsid w:val="002034AD"/>
    <w:rsid w:val="0021058D"/>
    <w:rsid w:val="002239B4"/>
    <w:rsid w:val="00224118"/>
    <w:rsid w:val="00226FE9"/>
    <w:rsid w:val="00234C6C"/>
    <w:rsid w:val="00236DE0"/>
    <w:rsid w:val="00245606"/>
    <w:rsid w:val="0026143D"/>
    <w:rsid w:val="00263923"/>
    <w:rsid w:val="00265031"/>
    <w:rsid w:val="002654AC"/>
    <w:rsid w:val="00265FF9"/>
    <w:rsid w:val="00266277"/>
    <w:rsid w:val="00280857"/>
    <w:rsid w:val="00282923"/>
    <w:rsid w:val="00284C12"/>
    <w:rsid w:val="00285A97"/>
    <w:rsid w:val="00286834"/>
    <w:rsid w:val="002876C7"/>
    <w:rsid w:val="002B282F"/>
    <w:rsid w:val="002B4B30"/>
    <w:rsid w:val="002C4FE5"/>
    <w:rsid w:val="002D0978"/>
    <w:rsid w:val="002D5A3B"/>
    <w:rsid w:val="002E7BC2"/>
    <w:rsid w:val="002F38BA"/>
    <w:rsid w:val="002F63BB"/>
    <w:rsid w:val="002F6F92"/>
    <w:rsid w:val="00302F9F"/>
    <w:rsid w:val="00304386"/>
    <w:rsid w:val="00312650"/>
    <w:rsid w:val="00312F87"/>
    <w:rsid w:val="00326E80"/>
    <w:rsid w:val="00327997"/>
    <w:rsid w:val="00336980"/>
    <w:rsid w:val="003401FE"/>
    <w:rsid w:val="00340A7A"/>
    <w:rsid w:val="00377862"/>
    <w:rsid w:val="00390DCF"/>
    <w:rsid w:val="003A1CB8"/>
    <w:rsid w:val="003A2944"/>
    <w:rsid w:val="003A4849"/>
    <w:rsid w:val="003A7100"/>
    <w:rsid w:val="003A75E8"/>
    <w:rsid w:val="003B0CEC"/>
    <w:rsid w:val="003B0DEF"/>
    <w:rsid w:val="003B61C5"/>
    <w:rsid w:val="003C2074"/>
    <w:rsid w:val="003C3ADB"/>
    <w:rsid w:val="003D11B5"/>
    <w:rsid w:val="003D134C"/>
    <w:rsid w:val="003D69A5"/>
    <w:rsid w:val="003D7A9C"/>
    <w:rsid w:val="003E14F9"/>
    <w:rsid w:val="003E4912"/>
    <w:rsid w:val="003F3119"/>
    <w:rsid w:val="004247C3"/>
    <w:rsid w:val="00430B5A"/>
    <w:rsid w:val="004419FE"/>
    <w:rsid w:val="0044207D"/>
    <w:rsid w:val="0044321A"/>
    <w:rsid w:val="00447FE5"/>
    <w:rsid w:val="00452571"/>
    <w:rsid w:val="004602E5"/>
    <w:rsid w:val="004617B8"/>
    <w:rsid w:val="004758FE"/>
    <w:rsid w:val="004830C8"/>
    <w:rsid w:val="004837AB"/>
    <w:rsid w:val="00483A2F"/>
    <w:rsid w:val="00496831"/>
    <w:rsid w:val="00497DD4"/>
    <w:rsid w:val="004A6EE1"/>
    <w:rsid w:val="004B1BEE"/>
    <w:rsid w:val="004B2DE1"/>
    <w:rsid w:val="004B3582"/>
    <w:rsid w:val="004B415D"/>
    <w:rsid w:val="004D770C"/>
    <w:rsid w:val="004E370E"/>
    <w:rsid w:val="004F0B8E"/>
    <w:rsid w:val="004F1E44"/>
    <w:rsid w:val="004F4387"/>
    <w:rsid w:val="00510BF5"/>
    <w:rsid w:val="005124B1"/>
    <w:rsid w:val="00521BA7"/>
    <w:rsid w:val="005252E2"/>
    <w:rsid w:val="00543347"/>
    <w:rsid w:val="005511D5"/>
    <w:rsid w:val="00556FF5"/>
    <w:rsid w:val="0057115A"/>
    <w:rsid w:val="00571592"/>
    <w:rsid w:val="00571910"/>
    <w:rsid w:val="00576460"/>
    <w:rsid w:val="00585FB5"/>
    <w:rsid w:val="00586995"/>
    <w:rsid w:val="00591586"/>
    <w:rsid w:val="005B34ED"/>
    <w:rsid w:val="005C60FC"/>
    <w:rsid w:val="005D17C2"/>
    <w:rsid w:val="005D6C5E"/>
    <w:rsid w:val="005F5D19"/>
    <w:rsid w:val="005F6CBF"/>
    <w:rsid w:val="00602A73"/>
    <w:rsid w:val="00607179"/>
    <w:rsid w:val="00610E1C"/>
    <w:rsid w:val="00611356"/>
    <w:rsid w:val="006135E6"/>
    <w:rsid w:val="00621313"/>
    <w:rsid w:val="00631F8E"/>
    <w:rsid w:val="00632EA5"/>
    <w:rsid w:val="006330B7"/>
    <w:rsid w:val="00636EED"/>
    <w:rsid w:val="00647C00"/>
    <w:rsid w:val="0065701C"/>
    <w:rsid w:val="00666525"/>
    <w:rsid w:val="0067047D"/>
    <w:rsid w:val="006818B6"/>
    <w:rsid w:val="006824B8"/>
    <w:rsid w:val="00695FE0"/>
    <w:rsid w:val="006A7743"/>
    <w:rsid w:val="006B6C6A"/>
    <w:rsid w:val="006C234F"/>
    <w:rsid w:val="006C5955"/>
    <w:rsid w:val="006C6DE7"/>
    <w:rsid w:val="006E45C1"/>
    <w:rsid w:val="006F0169"/>
    <w:rsid w:val="006F376B"/>
    <w:rsid w:val="006F39D0"/>
    <w:rsid w:val="006F6E38"/>
    <w:rsid w:val="006F7746"/>
    <w:rsid w:val="007066E0"/>
    <w:rsid w:val="00711157"/>
    <w:rsid w:val="00711D12"/>
    <w:rsid w:val="00714C7F"/>
    <w:rsid w:val="00721EFF"/>
    <w:rsid w:val="00736C89"/>
    <w:rsid w:val="00741DAC"/>
    <w:rsid w:val="00745744"/>
    <w:rsid w:val="0075032A"/>
    <w:rsid w:val="00753F55"/>
    <w:rsid w:val="00764457"/>
    <w:rsid w:val="00770D7D"/>
    <w:rsid w:val="00772497"/>
    <w:rsid w:val="0077525C"/>
    <w:rsid w:val="00777439"/>
    <w:rsid w:val="00791377"/>
    <w:rsid w:val="007A1AEC"/>
    <w:rsid w:val="007A49DF"/>
    <w:rsid w:val="007B2E85"/>
    <w:rsid w:val="007C238D"/>
    <w:rsid w:val="007C2983"/>
    <w:rsid w:val="007C3E6E"/>
    <w:rsid w:val="007D62C7"/>
    <w:rsid w:val="007E3BD0"/>
    <w:rsid w:val="007E79FE"/>
    <w:rsid w:val="007F7AC6"/>
    <w:rsid w:val="00801642"/>
    <w:rsid w:val="00803061"/>
    <w:rsid w:val="00804BA8"/>
    <w:rsid w:val="00807EEE"/>
    <w:rsid w:val="00812767"/>
    <w:rsid w:val="008135F4"/>
    <w:rsid w:val="00813893"/>
    <w:rsid w:val="00821C50"/>
    <w:rsid w:val="0082266E"/>
    <w:rsid w:val="00824361"/>
    <w:rsid w:val="00827856"/>
    <w:rsid w:val="008327EE"/>
    <w:rsid w:val="00842E74"/>
    <w:rsid w:val="00843BE5"/>
    <w:rsid w:val="00847B2A"/>
    <w:rsid w:val="00863DD9"/>
    <w:rsid w:val="00866446"/>
    <w:rsid w:val="0086741B"/>
    <w:rsid w:val="00886F29"/>
    <w:rsid w:val="008874EB"/>
    <w:rsid w:val="008A0633"/>
    <w:rsid w:val="008A4C24"/>
    <w:rsid w:val="008A53F2"/>
    <w:rsid w:val="008B633F"/>
    <w:rsid w:val="008B7C4D"/>
    <w:rsid w:val="008C24B6"/>
    <w:rsid w:val="008C487C"/>
    <w:rsid w:val="008C4C28"/>
    <w:rsid w:val="008C6C46"/>
    <w:rsid w:val="008D7639"/>
    <w:rsid w:val="008E0FCC"/>
    <w:rsid w:val="008E2FE3"/>
    <w:rsid w:val="008E5F34"/>
    <w:rsid w:val="008F2267"/>
    <w:rsid w:val="008F2F13"/>
    <w:rsid w:val="00901C04"/>
    <w:rsid w:val="00906097"/>
    <w:rsid w:val="00916B2A"/>
    <w:rsid w:val="009231E0"/>
    <w:rsid w:val="00931EF1"/>
    <w:rsid w:val="0094508D"/>
    <w:rsid w:val="009506A7"/>
    <w:rsid w:val="009621E0"/>
    <w:rsid w:val="00967230"/>
    <w:rsid w:val="00972C13"/>
    <w:rsid w:val="009812D7"/>
    <w:rsid w:val="00982E99"/>
    <w:rsid w:val="00984663"/>
    <w:rsid w:val="009925B6"/>
    <w:rsid w:val="009A200F"/>
    <w:rsid w:val="009A5714"/>
    <w:rsid w:val="009A5DA7"/>
    <w:rsid w:val="009B1AEC"/>
    <w:rsid w:val="009B49D8"/>
    <w:rsid w:val="009B4EA2"/>
    <w:rsid w:val="009B6B6E"/>
    <w:rsid w:val="009D1D57"/>
    <w:rsid w:val="009D3998"/>
    <w:rsid w:val="009E2544"/>
    <w:rsid w:val="009E2770"/>
    <w:rsid w:val="009E4A43"/>
    <w:rsid w:val="009F2261"/>
    <w:rsid w:val="009F3537"/>
    <w:rsid w:val="009F41B3"/>
    <w:rsid w:val="00A00ED0"/>
    <w:rsid w:val="00A0603D"/>
    <w:rsid w:val="00A118E1"/>
    <w:rsid w:val="00A155CA"/>
    <w:rsid w:val="00A25657"/>
    <w:rsid w:val="00A31643"/>
    <w:rsid w:val="00A329B6"/>
    <w:rsid w:val="00A367A1"/>
    <w:rsid w:val="00A415D2"/>
    <w:rsid w:val="00A460BA"/>
    <w:rsid w:val="00A510F6"/>
    <w:rsid w:val="00A6782A"/>
    <w:rsid w:val="00A67EE7"/>
    <w:rsid w:val="00A80739"/>
    <w:rsid w:val="00A822F9"/>
    <w:rsid w:val="00A83829"/>
    <w:rsid w:val="00A90B16"/>
    <w:rsid w:val="00A92071"/>
    <w:rsid w:val="00A95100"/>
    <w:rsid w:val="00A9535C"/>
    <w:rsid w:val="00AA07C1"/>
    <w:rsid w:val="00AA615B"/>
    <w:rsid w:val="00AB5D1B"/>
    <w:rsid w:val="00AC0C81"/>
    <w:rsid w:val="00AE668A"/>
    <w:rsid w:val="00AE6858"/>
    <w:rsid w:val="00AF5C62"/>
    <w:rsid w:val="00AF7270"/>
    <w:rsid w:val="00B160B6"/>
    <w:rsid w:val="00B17BC5"/>
    <w:rsid w:val="00B2158C"/>
    <w:rsid w:val="00B219AA"/>
    <w:rsid w:val="00B24E57"/>
    <w:rsid w:val="00B43468"/>
    <w:rsid w:val="00B4354A"/>
    <w:rsid w:val="00B441DF"/>
    <w:rsid w:val="00B5123E"/>
    <w:rsid w:val="00B522C4"/>
    <w:rsid w:val="00B52B0E"/>
    <w:rsid w:val="00B5337D"/>
    <w:rsid w:val="00B55C91"/>
    <w:rsid w:val="00B65290"/>
    <w:rsid w:val="00B70E26"/>
    <w:rsid w:val="00B775C4"/>
    <w:rsid w:val="00B87263"/>
    <w:rsid w:val="00B9189A"/>
    <w:rsid w:val="00B97D95"/>
    <w:rsid w:val="00BA2D84"/>
    <w:rsid w:val="00BA7E78"/>
    <w:rsid w:val="00BB0EA7"/>
    <w:rsid w:val="00BB59F9"/>
    <w:rsid w:val="00BB72AF"/>
    <w:rsid w:val="00BC15B8"/>
    <w:rsid w:val="00BC49BA"/>
    <w:rsid w:val="00BC5279"/>
    <w:rsid w:val="00BC6C4E"/>
    <w:rsid w:val="00BD0749"/>
    <w:rsid w:val="00BD272A"/>
    <w:rsid w:val="00BD58A7"/>
    <w:rsid w:val="00BD7F3A"/>
    <w:rsid w:val="00BE1E33"/>
    <w:rsid w:val="00BE2AD3"/>
    <w:rsid w:val="00BE36F7"/>
    <w:rsid w:val="00BF2443"/>
    <w:rsid w:val="00C12201"/>
    <w:rsid w:val="00C1405A"/>
    <w:rsid w:val="00C32916"/>
    <w:rsid w:val="00C406B1"/>
    <w:rsid w:val="00C451CA"/>
    <w:rsid w:val="00C50B1B"/>
    <w:rsid w:val="00C52801"/>
    <w:rsid w:val="00C537F8"/>
    <w:rsid w:val="00C6210F"/>
    <w:rsid w:val="00C6281F"/>
    <w:rsid w:val="00C745C6"/>
    <w:rsid w:val="00C7744D"/>
    <w:rsid w:val="00C811B7"/>
    <w:rsid w:val="00C84C51"/>
    <w:rsid w:val="00C8605E"/>
    <w:rsid w:val="00C90231"/>
    <w:rsid w:val="00C964DE"/>
    <w:rsid w:val="00CA5790"/>
    <w:rsid w:val="00CA634C"/>
    <w:rsid w:val="00CA75C5"/>
    <w:rsid w:val="00CC367C"/>
    <w:rsid w:val="00CD5A53"/>
    <w:rsid w:val="00CD632B"/>
    <w:rsid w:val="00CF326B"/>
    <w:rsid w:val="00D01BE2"/>
    <w:rsid w:val="00D06380"/>
    <w:rsid w:val="00D06DBA"/>
    <w:rsid w:val="00D0763E"/>
    <w:rsid w:val="00D21126"/>
    <w:rsid w:val="00D24682"/>
    <w:rsid w:val="00D24F06"/>
    <w:rsid w:val="00D252B4"/>
    <w:rsid w:val="00D25AEF"/>
    <w:rsid w:val="00D25C50"/>
    <w:rsid w:val="00D349EE"/>
    <w:rsid w:val="00D45949"/>
    <w:rsid w:val="00D564DE"/>
    <w:rsid w:val="00D56D47"/>
    <w:rsid w:val="00D57C25"/>
    <w:rsid w:val="00D63418"/>
    <w:rsid w:val="00D67DA8"/>
    <w:rsid w:val="00D70FB4"/>
    <w:rsid w:val="00D74A1C"/>
    <w:rsid w:val="00D815C1"/>
    <w:rsid w:val="00D8326B"/>
    <w:rsid w:val="00D85C85"/>
    <w:rsid w:val="00D92F6C"/>
    <w:rsid w:val="00D95879"/>
    <w:rsid w:val="00D968C8"/>
    <w:rsid w:val="00D97A6B"/>
    <w:rsid w:val="00DA0DDC"/>
    <w:rsid w:val="00DA2EEE"/>
    <w:rsid w:val="00DA2FA3"/>
    <w:rsid w:val="00DB751D"/>
    <w:rsid w:val="00DC4E81"/>
    <w:rsid w:val="00DC679E"/>
    <w:rsid w:val="00DD0E98"/>
    <w:rsid w:val="00DE0EAE"/>
    <w:rsid w:val="00DE5385"/>
    <w:rsid w:val="00DE64DE"/>
    <w:rsid w:val="00DE7AB4"/>
    <w:rsid w:val="00DF4D86"/>
    <w:rsid w:val="00DF7787"/>
    <w:rsid w:val="00E01D84"/>
    <w:rsid w:val="00E137BB"/>
    <w:rsid w:val="00E3199C"/>
    <w:rsid w:val="00E400E3"/>
    <w:rsid w:val="00E4320F"/>
    <w:rsid w:val="00E438BB"/>
    <w:rsid w:val="00E64988"/>
    <w:rsid w:val="00E64A38"/>
    <w:rsid w:val="00E756AC"/>
    <w:rsid w:val="00E8381A"/>
    <w:rsid w:val="00E85DC4"/>
    <w:rsid w:val="00E87596"/>
    <w:rsid w:val="00E87794"/>
    <w:rsid w:val="00E96422"/>
    <w:rsid w:val="00EA11CC"/>
    <w:rsid w:val="00EA2600"/>
    <w:rsid w:val="00EA5A59"/>
    <w:rsid w:val="00EA749D"/>
    <w:rsid w:val="00EB21A8"/>
    <w:rsid w:val="00EB3D8F"/>
    <w:rsid w:val="00EC739A"/>
    <w:rsid w:val="00ED7CF9"/>
    <w:rsid w:val="00EE213A"/>
    <w:rsid w:val="00EF0AE5"/>
    <w:rsid w:val="00EF2CA6"/>
    <w:rsid w:val="00F117B1"/>
    <w:rsid w:val="00F12EA7"/>
    <w:rsid w:val="00F134F9"/>
    <w:rsid w:val="00F2370E"/>
    <w:rsid w:val="00F24C62"/>
    <w:rsid w:val="00F30282"/>
    <w:rsid w:val="00F34138"/>
    <w:rsid w:val="00F4089D"/>
    <w:rsid w:val="00F42D1D"/>
    <w:rsid w:val="00F432A6"/>
    <w:rsid w:val="00F46AAF"/>
    <w:rsid w:val="00F47FCE"/>
    <w:rsid w:val="00F501D2"/>
    <w:rsid w:val="00F5266F"/>
    <w:rsid w:val="00F52805"/>
    <w:rsid w:val="00F56447"/>
    <w:rsid w:val="00F617F8"/>
    <w:rsid w:val="00F64055"/>
    <w:rsid w:val="00F66DF1"/>
    <w:rsid w:val="00F702EA"/>
    <w:rsid w:val="00F710C6"/>
    <w:rsid w:val="00F76403"/>
    <w:rsid w:val="00F81E7B"/>
    <w:rsid w:val="00FC755D"/>
    <w:rsid w:val="00FD6320"/>
    <w:rsid w:val="00FE3E16"/>
    <w:rsid w:val="00FF3EF3"/>
    <w:rsid w:val="3A7F50AE"/>
    <w:rsid w:val="470E45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487C"/>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styleId="PiedepginaCar" w:customStyle="1">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styleId="EncabezadoCar" w:customStyle="1">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styleId="TextonotapieCar1" w:customStyle="1">
    <w:name w:val="Texto nota pie Car1"/>
    <w:basedOn w:val="Fuentedeprrafopredeter"/>
    <w:uiPriority w:val="99"/>
    <w:semiHidden/>
    <w:rsid w:val="008C487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65290"/>
    <w:rPr>
      <w:rFonts w:ascii="Segoe UI" w:hAnsi="Segoe UI" w:cs="Segoe UI"/>
      <w:sz w:val="18"/>
      <w:szCs w:val="18"/>
      <w:lang w:val="es-MX"/>
    </w:rPr>
  </w:style>
  <w:style w:type="paragraph" w:styleId="Default" w:customStyle="1">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1" w:customStyle="1">
    <w:name w:val="Mención sin resolver1"/>
    <w:basedOn w:val="Fuentedeprrafopredeter"/>
    <w:uiPriority w:val="99"/>
    <w:semiHidden/>
    <w:unhideWhenUsed/>
    <w:rsid w:val="00BE2AD3"/>
    <w:rPr>
      <w:color w:val="605E5C"/>
      <w:shd w:val="clear" w:color="auto" w:fill="E1DFDD"/>
    </w:rPr>
  </w:style>
  <w:style w:type="paragraph" w:styleId="InviasNormal" w:customStyle="1">
    <w:name w:val="Invias Normal"/>
    <w:basedOn w:val="Normal"/>
    <w:link w:val="InviasNormalCar"/>
    <w:qFormat/>
    <w:rsid w:val="00BE1E33"/>
    <w:pPr>
      <w:tabs>
        <w:tab w:val="left" w:pos="-142"/>
      </w:tabs>
      <w:autoSpaceDE w:val="0"/>
      <w:autoSpaceDN w:val="0"/>
      <w:adjustRightInd w:val="0"/>
      <w:spacing w:before="120" w:after="240"/>
      <w:jc w:val="both"/>
    </w:pPr>
    <w:rPr>
      <w:rFonts w:ascii="Arial Narrow" w:hAnsi="Arial Narrow" w:eastAsia="Times New Roman" w:cs="Times New Roman"/>
      <w:color w:val="3B3838" w:themeColor="background2" w:themeShade="40"/>
      <w:szCs w:val="24"/>
      <w:lang w:val="x-none" w:eastAsia="es-ES"/>
    </w:rPr>
  </w:style>
  <w:style w:type="character" w:styleId="InviasNormalCar" w:customStyle="1">
    <w:name w:val="Invias Normal Car"/>
    <w:link w:val="InviasNormal"/>
    <w:locked/>
    <w:rsid w:val="00BE1E33"/>
    <w:rPr>
      <w:rFonts w:ascii="Arial Narrow" w:hAnsi="Arial Narrow" w:eastAsia="Times New Roman" w:cs="Times New Roman"/>
      <w:color w:val="3B3838" w:themeColor="background2" w:themeShade="40"/>
      <w:sz w:val="24"/>
      <w:szCs w:val="24"/>
      <w:lang w:val="x-none" w:eastAsia="es-ES"/>
    </w:rPr>
  </w:style>
  <w:style w:type="paragraph" w:styleId="Invias-VietaNumerada" w:customStyle="1">
    <w:name w:val="Invias-Viñeta Numerada"/>
    <w:next w:val="Normal"/>
    <w:link w:val="Invias-VietaNumeradaCar"/>
    <w:uiPriority w:val="99"/>
    <w:qFormat/>
    <w:rsid w:val="00BE1E33"/>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BE1E33"/>
    <w:rPr>
      <w:rFonts w:ascii="Arial Narrow" w:hAnsi="Arial Narrow" w:eastAsia="Times New Roman" w:cs="Times New Roman"/>
      <w:sz w:val="24"/>
      <w:szCs w:val="24"/>
      <w:lang w:val="en-US" w:eastAsia="es-ES"/>
    </w:rPr>
  </w:style>
  <w:style w:type="paragraph" w:styleId="NormalWeb">
    <w:name w:val="Normal (Web)"/>
    <w:basedOn w:val="Normal"/>
    <w:link w:val="NormalWebCar"/>
    <w:uiPriority w:val="99"/>
    <w:unhideWhenUsed/>
    <w:rsid w:val="00263923"/>
    <w:pPr>
      <w:spacing w:before="100" w:beforeAutospacing="1" w:after="100" w:afterAutospacing="1"/>
    </w:pPr>
    <w:rPr>
      <w:rFonts w:ascii="Times New Roman" w:hAnsi="Times New Roman" w:eastAsia="Times New Roman" w:cs="Times New Roman"/>
      <w:szCs w:val="24"/>
      <w:lang w:val="es-CO" w:eastAsia="es-CO"/>
    </w:rPr>
  </w:style>
  <w:style w:type="character" w:styleId="NormalWebCar" w:customStyle="1">
    <w:name w:val="Normal (Web) Car"/>
    <w:link w:val="NormalWeb"/>
    <w:uiPriority w:val="99"/>
    <w:rsid w:val="00263923"/>
    <w:rPr>
      <w:rFonts w:ascii="Times New Roman" w:hAnsi="Times New Roman" w:eastAsia="Times New Roman" w:cs="Times New Roman"/>
      <w:sz w:val="24"/>
      <w:szCs w:val="24"/>
      <w:lang w:eastAsia="es-CO"/>
    </w:rPr>
  </w:style>
  <w:style w:type="character" w:styleId="Refdecomentario">
    <w:name w:val="annotation reference"/>
    <w:basedOn w:val="Fuentedeprrafopredeter"/>
    <w:uiPriority w:val="99"/>
    <w:semiHidden/>
    <w:unhideWhenUsed/>
    <w:rsid w:val="007C2983"/>
    <w:rPr>
      <w:sz w:val="18"/>
      <w:szCs w:val="18"/>
    </w:rPr>
  </w:style>
  <w:style w:type="paragraph" w:styleId="Textocomentario">
    <w:name w:val="annotation text"/>
    <w:basedOn w:val="Normal"/>
    <w:link w:val="TextocomentarioCar"/>
    <w:uiPriority w:val="99"/>
    <w:semiHidden/>
    <w:unhideWhenUsed/>
    <w:rsid w:val="007C2983"/>
    <w:rPr>
      <w:szCs w:val="24"/>
    </w:rPr>
  </w:style>
  <w:style w:type="character" w:styleId="TextocomentarioCar" w:customStyle="1">
    <w:name w:val="Texto comentario Car"/>
    <w:basedOn w:val="Fuentedeprrafopredeter"/>
    <w:link w:val="Textocomentario"/>
    <w:uiPriority w:val="99"/>
    <w:semiHidden/>
    <w:rsid w:val="007C2983"/>
    <w:rPr>
      <w:sz w:val="24"/>
      <w:szCs w:val="24"/>
      <w:lang w:val="es-MX"/>
    </w:rPr>
  </w:style>
  <w:style w:type="paragraph" w:styleId="Asuntodelcomentario">
    <w:name w:val="annotation subject"/>
    <w:basedOn w:val="Textocomentario"/>
    <w:next w:val="Textocomentario"/>
    <w:link w:val="AsuntodelcomentarioCar"/>
    <w:uiPriority w:val="99"/>
    <w:semiHidden/>
    <w:unhideWhenUsed/>
    <w:rsid w:val="007C2983"/>
    <w:rPr>
      <w:b/>
      <w:bCs/>
      <w:sz w:val="20"/>
      <w:szCs w:val="20"/>
    </w:rPr>
  </w:style>
  <w:style w:type="character" w:styleId="AsuntodelcomentarioCar" w:customStyle="1">
    <w:name w:val="Asunto del comentario Car"/>
    <w:basedOn w:val="TextocomentarioCar"/>
    <w:link w:val="Asuntodelcomentario"/>
    <w:uiPriority w:val="99"/>
    <w:semiHidden/>
    <w:rsid w:val="007C2983"/>
    <w:rPr>
      <w:b/>
      <w:bCs/>
      <w:sz w:val="20"/>
      <w:szCs w:val="20"/>
      <w:lang w:val="es-MX"/>
    </w:rPr>
  </w:style>
  <w:style w:type="character" w:styleId="Mencinsinresolver2" w:customStyle="1">
    <w:name w:val="Mención sin resolver2"/>
    <w:basedOn w:val="Fuentedeprrafopredeter"/>
    <w:uiPriority w:val="99"/>
    <w:rsid w:val="00026267"/>
    <w:rPr>
      <w:color w:val="605E5C"/>
      <w:shd w:val="clear" w:color="auto" w:fill="E1DFDD"/>
    </w:rPr>
  </w:style>
  <w:style w:type="character" w:styleId="Hipervnculovisitado">
    <w:name w:val="FollowedHyperlink"/>
    <w:basedOn w:val="Fuentedeprrafopredeter"/>
    <w:uiPriority w:val="99"/>
    <w:semiHidden/>
    <w:unhideWhenUsed/>
    <w:rsid w:val="00265F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32994">
      <w:bodyDiv w:val="1"/>
      <w:marLeft w:val="0"/>
      <w:marRight w:val="0"/>
      <w:marTop w:val="0"/>
      <w:marBottom w:val="0"/>
      <w:divBdr>
        <w:top w:val="none" w:sz="0" w:space="0" w:color="auto"/>
        <w:left w:val="none" w:sz="0" w:space="0" w:color="auto"/>
        <w:bottom w:val="none" w:sz="0" w:space="0" w:color="auto"/>
        <w:right w:val="none" w:sz="0" w:space="0" w:color="auto"/>
      </w:divBdr>
    </w:div>
    <w:div w:id="469060720">
      <w:bodyDiv w:val="1"/>
      <w:marLeft w:val="0"/>
      <w:marRight w:val="0"/>
      <w:marTop w:val="0"/>
      <w:marBottom w:val="0"/>
      <w:divBdr>
        <w:top w:val="none" w:sz="0" w:space="0" w:color="auto"/>
        <w:left w:val="none" w:sz="0" w:space="0" w:color="auto"/>
        <w:bottom w:val="none" w:sz="0" w:space="0" w:color="auto"/>
        <w:right w:val="none" w:sz="0" w:space="0" w:color="auto"/>
      </w:divBdr>
    </w:div>
    <w:div w:id="1131826406">
      <w:bodyDiv w:val="1"/>
      <w:marLeft w:val="0"/>
      <w:marRight w:val="0"/>
      <w:marTop w:val="0"/>
      <w:marBottom w:val="0"/>
      <w:divBdr>
        <w:top w:val="none" w:sz="0" w:space="0" w:color="auto"/>
        <w:left w:val="none" w:sz="0" w:space="0" w:color="auto"/>
        <w:bottom w:val="none" w:sz="0" w:space="0" w:color="auto"/>
        <w:right w:val="none" w:sz="0" w:space="0" w:color="auto"/>
      </w:divBdr>
    </w:div>
    <w:div w:id="1440442642">
      <w:bodyDiv w:val="1"/>
      <w:marLeft w:val="0"/>
      <w:marRight w:val="0"/>
      <w:marTop w:val="0"/>
      <w:marBottom w:val="0"/>
      <w:divBdr>
        <w:top w:val="none" w:sz="0" w:space="0" w:color="auto"/>
        <w:left w:val="none" w:sz="0" w:space="0" w:color="auto"/>
        <w:bottom w:val="none" w:sz="0" w:space="0" w:color="auto"/>
        <w:right w:val="none" w:sz="0" w:space="0" w:color="auto"/>
      </w:divBdr>
    </w:div>
    <w:div w:id="1772896197">
      <w:bodyDiv w:val="1"/>
      <w:marLeft w:val="0"/>
      <w:marRight w:val="0"/>
      <w:marTop w:val="0"/>
      <w:marBottom w:val="0"/>
      <w:divBdr>
        <w:top w:val="none" w:sz="0" w:space="0" w:color="auto"/>
        <w:left w:val="none" w:sz="0" w:space="0" w:color="auto"/>
        <w:bottom w:val="none" w:sz="0" w:space="0" w:color="auto"/>
        <w:right w:val="none" w:sz="0" w:space="0" w:color="auto"/>
      </w:divBdr>
    </w:div>
    <w:div w:id="1787194715">
      <w:bodyDiv w:val="1"/>
      <w:marLeft w:val="0"/>
      <w:marRight w:val="0"/>
      <w:marTop w:val="0"/>
      <w:marBottom w:val="0"/>
      <w:divBdr>
        <w:top w:val="none" w:sz="0" w:space="0" w:color="auto"/>
        <w:left w:val="none" w:sz="0" w:space="0" w:color="auto"/>
        <w:bottom w:val="none" w:sz="0" w:space="0" w:color="auto"/>
        <w:right w:val="none" w:sz="0" w:space="0" w:color="auto"/>
      </w:divBdr>
    </w:div>
    <w:div w:id="1795900903">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dnp.gov.co/Paginas/Proyecto-de-Decreto.aspx"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5d850e9f79884395" /></Relationships>
</file>

<file path=word/_rels/footer1.xml.rels>&#65279;<?xml version="1.0" encoding="utf-8"?><Relationships xmlns="http://schemas.openxmlformats.org/package/2006/relationships"><Relationship Type="http://schemas.openxmlformats.org/officeDocument/2006/relationships/image" Target="/media/image5.png" Id="R8549c4d0a0e24b7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717DA87-3474-4891-80F1-40E1109C5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498AF209-1205-433A-9B2B-6A8A0F6557C7}">
  <ds:schemaRefs>
    <ds:schemaRef ds:uri="http://schemas.openxmlformats.org/officeDocument/2006/bibliography"/>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Alejandro Sarmiento</dc:creator>
  <keywords/>
  <dc:description/>
  <lastModifiedBy>Nina María Padrón</lastModifiedBy>
  <revision>9</revision>
  <lastPrinted>2020-04-29T23:26:00.0000000Z</lastPrinted>
  <dcterms:created xsi:type="dcterms:W3CDTF">2020-06-09T13:30:00.0000000Z</dcterms:created>
  <dcterms:modified xsi:type="dcterms:W3CDTF">2020-07-30T00:36:47.6077804Z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