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59AC5" w14:textId="77777777" w:rsidR="004A303C" w:rsidRPr="00417A90" w:rsidRDefault="004A303C" w:rsidP="00E928A5">
      <w:pPr>
        <w:jc w:val="right"/>
        <w:outlineLvl w:val="0"/>
        <w:rPr>
          <w:rFonts w:ascii="Arial" w:hAnsi="Arial" w:cs="Arial"/>
          <w:bCs/>
          <w:color w:val="000000" w:themeColor="text1"/>
          <w:sz w:val="16"/>
          <w:szCs w:val="16"/>
          <w:lang w:val="es-ES" w:eastAsia="es-ES"/>
        </w:rPr>
      </w:pPr>
      <w:bookmarkStart w:id="0" w:name="_Hlk28946138"/>
      <w:bookmarkStart w:id="1" w:name="_Hlk29548183"/>
      <w:r w:rsidRPr="00417A90">
        <w:rPr>
          <w:rFonts w:ascii="Arial" w:hAnsi="Arial" w:cs="Arial"/>
          <w:b/>
          <w:color w:val="000000" w:themeColor="text1"/>
          <w:sz w:val="16"/>
          <w:szCs w:val="16"/>
          <w:lang w:val="es-ES" w:eastAsia="es-ES"/>
        </w:rPr>
        <w:tab/>
      </w:r>
      <w:r w:rsidRPr="00417A90">
        <w:rPr>
          <w:rFonts w:ascii="Arial" w:hAnsi="Arial" w:cs="Arial"/>
          <w:bCs/>
          <w:color w:val="000000" w:themeColor="text1"/>
          <w:sz w:val="16"/>
          <w:szCs w:val="16"/>
          <w:lang w:val="es-ES" w:eastAsia="es-ES"/>
        </w:rPr>
        <w:t>CCE-DES-FM-17</w:t>
      </w:r>
    </w:p>
    <w:p w14:paraId="45BE16CC" w14:textId="77777777" w:rsidR="002D14DD" w:rsidRDefault="002D14DD" w:rsidP="00656E68">
      <w:pPr>
        <w:jc w:val="both"/>
        <w:rPr>
          <w:rFonts w:ascii="Arial" w:eastAsia="Calibri" w:hAnsi="Arial" w:cs="Arial"/>
          <w:b/>
          <w:sz w:val="22"/>
        </w:rPr>
      </w:pPr>
    </w:p>
    <w:p w14:paraId="65F15E3B" w14:textId="77777777" w:rsidR="003B5E21" w:rsidRDefault="003B5E21" w:rsidP="003B5E21">
      <w:pPr>
        <w:spacing w:line="276" w:lineRule="auto"/>
        <w:rPr>
          <w:rFonts w:ascii="Arial" w:eastAsia="Calibri" w:hAnsi="Arial" w:cs="Arial"/>
          <w:b/>
          <w:color w:val="000000" w:themeColor="text1"/>
          <w:sz w:val="22"/>
        </w:rPr>
      </w:pPr>
      <w:bookmarkStart w:id="2" w:name="_Hlk46402012"/>
      <w:r>
        <w:rPr>
          <w:rFonts w:ascii="Arial" w:eastAsia="Calibri" w:hAnsi="Arial" w:cs="Arial"/>
          <w:b/>
          <w:color w:val="000000" w:themeColor="text1"/>
          <w:sz w:val="22"/>
        </w:rPr>
        <w:t xml:space="preserve">PRINCIPIO DE PUBLICIDAD – Noción </w:t>
      </w:r>
    </w:p>
    <w:p w14:paraId="77B8DDB7" w14:textId="77777777" w:rsidR="003B5E21" w:rsidRDefault="003B5E21" w:rsidP="003B5E21">
      <w:pPr>
        <w:spacing w:line="276" w:lineRule="auto"/>
        <w:rPr>
          <w:rFonts w:ascii="Arial" w:eastAsia="Calibri" w:hAnsi="Arial" w:cs="Arial"/>
          <w:b/>
          <w:color w:val="000000" w:themeColor="text1"/>
          <w:sz w:val="22"/>
        </w:rPr>
      </w:pPr>
    </w:p>
    <w:p w14:paraId="0A1E9EFC" w14:textId="77777777" w:rsidR="003B5E21" w:rsidRPr="0063204C" w:rsidRDefault="003B5E21" w:rsidP="003B5E21">
      <w:pPr>
        <w:widowControl w:val="0"/>
        <w:tabs>
          <w:tab w:val="left" w:pos="728"/>
        </w:tabs>
        <w:autoSpaceDE w:val="0"/>
        <w:autoSpaceDN w:val="0"/>
        <w:spacing w:after="120"/>
        <w:jc w:val="both"/>
        <w:rPr>
          <w:rFonts w:ascii="Arial" w:eastAsia="Arial" w:hAnsi="Arial" w:cs="Arial"/>
          <w:sz w:val="20"/>
          <w:szCs w:val="20"/>
          <w:lang w:val="es-ES"/>
        </w:rPr>
      </w:pPr>
      <w:r w:rsidRPr="0063204C">
        <w:rPr>
          <w:rFonts w:ascii="Arial" w:eastAsia="Arial" w:hAnsi="Arial" w:cs="Arial"/>
          <w:sz w:val="20"/>
          <w:szCs w:val="20"/>
          <w:lang w:val="es-ES"/>
        </w:rPr>
        <w:t xml:space="preserve">El principio de publicidad impone a las autoridades administrativas el deber de dar a conocer sus actos, contratos y decisiones, para que se divulguen y eventualmente se controlen las actuaciones. El literal c) del artículo 3 de la Ley 1150 de 2007 establece que el Sistema Electrónico para la Contratación Pública –SECOP– «contará con la información oficial de la contratación realizada con dineros públicos, para lo cual establecerá los patrones a que haya lugar y se encargará de su difusión a través de canales electrónicos». </w:t>
      </w:r>
    </w:p>
    <w:p w14:paraId="53C5D36E" w14:textId="77777777" w:rsidR="003B5E21" w:rsidRDefault="003B5E21" w:rsidP="003B5E21">
      <w:pPr>
        <w:widowControl w:val="0"/>
        <w:tabs>
          <w:tab w:val="left" w:pos="728"/>
        </w:tabs>
        <w:autoSpaceDE w:val="0"/>
        <w:autoSpaceDN w:val="0"/>
        <w:jc w:val="both"/>
        <w:rPr>
          <w:rFonts w:ascii="Arial" w:eastAsia="Arial" w:hAnsi="Arial" w:cs="Arial"/>
          <w:sz w:val="20"/>
          <w:szCs w:val="20"/>
          <w:lang w:val="es-ES"/>
        </w:rPr>
      </w:pPr>
      <w:r w:rsidRPr="0063204C">
        <w:rPr>
          <w:rFonts w:ascii="Arial" w:eastAsia="Arial" w:hAnsi="Arial" w:cs="Arial"/>
          <w:sz w:val="20"/>
          <w:szCs w:val="20"/>
          <w:lang w:val="es-ES"/>
        </w:rPr>
        <w:t xml:space="preserve">De otra parte, la Ley 1712 de 2014, por medio de la cual se regula la transparencia el derecho de acceso a la información pública nacional y se dictan otras disposiciones, identifica como principios que orientan el derecho de acceso a la información pública el de máxima publicidad, transparencia en la información y buena fe. El principio de máxima publicidad establece que «toda información en posesión, bajo control o custodia de un sujeto obligado es pública y no podrá ser reservada o limitada sino por disposición constitucional o legal». El principio de transparencia en la información alude al deber de los sujetos de proporcionar y facilitar el acceso a la misma en los términos más amplios posibles, y a través de los medios y procedimientos que establezca la ley. </w:t>
      </w:r>
    </w:p>
    <w:p w14:paraId="674D1167" w14:textId="77777777" w:rsidR="003B5E21" w:rsidRDefault="003B5E21" w:rsidP="003B5E21">
      <w:pPr>
        <w:widowControl w:val="0"/>
        <w:tabs>
          <w:tab w:val="left" w:pos="728"/>
        </w:tabs>
        <w:autoSpaceDE w:val="0"/>
        <w:autoSpaceDN w:val="0"/>
        <w:jc w:val="both"/>
        <w:rPr>
          <w:rFonts w:ascii="Arial" w:eastAsia="Arial" w:hAnsi="Arial" w:cs="Arial"/>
          <w:sz w:val="22"/>
          <w:lang w:val="es-ES"/>
        </w:rPr>
      </w:pPr>
    </w:p>
    <w:p w14:paraId="12A19295" w14:textId="77777777" w:rsidR="003B5E21" w:rsidRDefault="003B5E21" w:rsidP="003B5E21">
      <w:pPr>
        <w:widowControl w:val="0"/>
        <w:tabs>
          <w:tab w:val="left" w:pos="728"/>
        </w:tabs>
        <w:autoSpaceDE w:val="0"/>
        <w:autoSpaceDN w:val="0"/>
        <w:jc w:val="both"/>
        <w:rPr>
          <w:rFonts w:ascii="Arial" w:eastAsia="Arial" w:hAnsi="Arial" w:cs="Arial"/>
          <w:b/>
          <w:bCs/>
          <w:sz w:val="22"/>
          <w:lang w:val="es-ES"/>
        </w:rPr>
      </w:pPr>
      <w:r>
        <w:rPr>
          <w:rFonts w:ascii="Arial" w:eastAsia="Arial" w:hAnsi="Arial" w:cs="Arial"/>
          <w:b/>
          <w:bCs/>
          <w:sz w:val="22"/>
          <w:lang w:val="es-ES"/>
        </w:rPr>
        <w:t>SECOP – Publicación de documentos</w:t>
      </w:r>
    </w:p>
    <w:p w14:paraId="5B8122C3" w14:textId="77777777" w:rsidR="003B5E21" w:rsidRDefault="003B5E21" w:rsidP="003B5E21">
      <w:pPr>
        <w:widowControl w:val="0"/>
        <w:tabs>
          <w:tab w:val="left" w:pos="728"/>
        </w:tabs>
        <w:autoSpaceDE w:val="0"/>
        <w:autoSpaceDN w:val="0"/>
        <w:jc w:val="both"/>
        <w:rPr>
          <w:rFonts w:ascii="Arial" w:eastAsia="Arial" w:hAnsi="Arial" w:cs="Arial"/>
          <w:b/>
          <w:bCs/>
          <w:sz w:val="22"/>
          <w:lang w:val="es-ES"/>
        </w:rPr>
      </w:pPr>
    </w:p>
    <w:p w14:paraId="75F87D4F" w14:textId="0AF3F13B" w:rsidR="00C80B4B" w:rsidRDefault="00C80B4B" w:rsidP="00C80B4B">
      <w:pPr>
        <w:widowControl w:val="0"/>
        <w:tabs>
          <w:tab w:val="left" w:pos="728"/>
        </w:tabs>
        <w:autoSpaceDE w:val="0"/>
        <w:autoSpaceDN w:val="0"/>
        <w:jc w:val="both"/>
        <w:rPr>
          <w:rFonts w:ascii="Arial" w:hAnsi="Arial" w:cs="Arial"/>
          <w:sz w:val="20"/>
          <w:szCs w:val="20"/>
          <w:lang w:val="es-ES"/>
        </w:rPr>
      </w:pPr>
      <w:r w:rsidRPr="00C80B4B">
        <w:rPr>
          <w:rFonts w:ascii="Arial" w:hAnsi="Arial" w:cs="Arial"/>
          <w:sz w:val="20"/>
          <w:szCs w:val="20"/>
          <w:lang w:val="es-ES"/>
        </w:rPr>
        <w:t>El deber de publicidad de los documentos expedidos en virtud de la actividad contractual que se desprende del artículo 3 de la Ley 1150 de 2007, se encuentra reglamentado en el artículo 2.2.1.1.1.7.1. del Decreto 1082 de 2015, el cual, establece los documentos que se deben publicar y al SECOP como medio de publicación, lo que permite controlar las actuaciones y decisiones de la Administración y el cumplimiento de los demás principios de la contratación pública.</w:t>
      </w:r>
    </w:p>
    <w:p w14:paraId="4E128425" w14:textId="77777777" w:rsidR="00C80B4B" w:rsidRPr="00C80B4B" w:rsidRDefault="00C80B4B" w:rsidP="00C80B4B">
      <w:pPr>
        <w:widowControl w:val="0"/>
        <w:tabs>
          <w:tab w:val="left" w:pos="728"/>
        </w:tabs>
        <w:autoSpaceDE w:val="0"/>
        <w:autoSpaceDN w:val="0"/>
        <w:jc w:val="both"/>
        <w:rPr>
          <w:rFonts w:ascii="Arial" w:hAnsi="Arial" w:cs="Arial"/>
          <w:sz w:val="20"/>
          <w:szCs w:val="20"/>
          <w:lang w:val="es-ES"/>
        </w:rPr>
      </w:pPr>
    </w:p>
    <w:p w14:paraId="2F786A10" w14:textId="2C85DFB3" w:rsidR="003B5E21" w:rsidRPr="00581C71" w:rsidRDefault="003B5E21" w:rsidP="003B5E21">
      <w:pPr>
        <w:widowControl w:val="0"/>
        <w:tabs>
          <w:tab w:val="left" w:pos="728"/>
        </w:tabs>
        <w:autoSpaceDE w:val="0"/>
        <w:autoSpaceDN w:val="0"/>
        <w:jc w:val="both"/>
        <w:rPr>
          <w:rFonts w:ascii="Arial" w:eastAsia="Calibri" w:hAnsi="Arial" w:cs="Arial"/>
          <w:sz w:val="20"/>
          <w:szCs w:val="20"/>
          <w:lang w:val="es-ES"/>
        </w:rPr>
      </w:pPr>
      <w:r w:rsidRPr="00581C71">
        <w:rPr>
          <w:rFonts w:ascii="Arial" w:eastAsia="Calibri" w:hAnsi="Arial" w:cs="Arial"/>
          <w:sz w:val="20"/>
          <w:szCs w:val="20"/>
          <w:lang w:val="es-ES"/>
        </w:rPr>
        <w:t xml:space="preserve">De otro lado, el artículo 2.1.1.2.1.8, establece los efectos de </w:t>
      </w:r>
      <w:r w:rsidRPr="00581C71">
        <w:rPr>
          <w:rFonts w:ascii="Arial" w:hAnsi="Arial" w:cs="Arial"/>
          <w:sz w:val="20"/>
          <w:szCs w:val="20"/>
          <w:lang w:val="es-ES"/>
        </w:rPr>
        <w:t>la obligación contenida en el literal g) del artículo 11 de la Ley 1712 de 2014, en relación con los documentos producidos durante la ejecución del contrato, señalando que se</w:t>
      </w:r>
      <w:r w:rsidRPr="00581C71">
        <w:rPr>
          <w:rFonts w:ascii="Arial" w:eastAsia="Calibri" w:hAnsi="Arial" w:cs="Arial"/>
          <w:sz w:val="20"/>
          <w:szCs w:val="20"/>
          <w:lang w:val="es-ES"/>
        </w:rPr>
        <w:t xml:space="preserve"> deben publicar las aprobaciones, autorizaciones, requerimientos o informes del supervisor o interventor, que prueben la ejecución del contrato.</w:t>
      </w:r>
    </w:p>
    <w:p w14:paraId="26E393A6" w14:textId="77777777" w:rsidR="003B5E21" w:rsidRPr="00581C71" w:rsidRDefault="003B5E21" w:rsidP="003B5E21">
      <w:pPr>
        <w:widowControl w:val="0"/>
        <w:tabs>
          <w:tab w:val="left" w:pos="728"/>
        </w:tabs>
        <w:autoSpaceDE w:val="0"/>
        <w:autoSpaceDN w:val="0"/>
        <w:jc w:val="both"/>
        <w:rPr>
          <w:rFonts w:ascii="Arial" w:eastAsia="Arial" w:hAnsi="Arial" w:cs="Arial"/>
          <w:b/>
          <w:bCs/>
          <w:sz w:val="20"/>
          <w:szCs w:val="20"/>
          <w:lang w:val="es-ES"/>
        </w:rPr>
      </w:pPr>
    </w:p>
    <w:p w14:paraId="66D2DAD2" w14:textId="77777777" w:rsidR="00DB4154" w:rsidRPr="00581C71" w:rsidRDefault="00DB4154" w:rsidP="00DB4154">
      <w:pPr>
        <w:jc w:val="both"/>
        <w:rPr>
          <w:rFonts w:ascii="Arial" w:hAnsi="Arial" w:cs="Arial"/>
          <w:b/>
          <w:bCs/>
          <w:sz w:val="22"/>
          <w:lang w:val="es-ES"/>
        </w:rPr>
      </w:pPr>
      <w:r w:rsidRPr="00581C71">
        <w:rPr>
          <w:rFonts w:ascii="Arial" w:hAnsi="Arial" w:cs="Arial"/>
          <w:b/>
          <w:bCs/>
          <w:sz w:val="22"/>
          <w:lang w:val="es-ES"/>
        </w:rPr>
        <w:t>DOCUMENTOS DEL PROCESO – Noción – Deber de publicación – Proceso de contratación</w:t>
      </w:r>
    </w:p>
    <w:p w14:paraId="42218EFE" w14:textId="77777777" w:rsidR="00DB4154" w:rsidRPr="00581C71" w:rsidRDefault="00DB4154" w:rsidP="00DB4154">
      <w:pPr>
        <w:spacing w:before="120" w:after="120"/>
        <w:jc w:val="both"/>
        <w:rPr>
          <w:rFonts w:ascii="Arial" w:eastAsia="Calibri" w:hAnsi="Arial" w:cs="Arial"/>
          <w:sz w:val="20"/>
          <w:szCs w:val="20"/>
          <w:lang w:val="es-ES"/>
        </w:rPr>
      </w:pPr>
      <w:r w:rsidRPr="00581C71">
        <w:rPr>
          <w:rFonts w:ascii="Arial" w:eastAsia="Calibri" w:hAnsi="Arial" w:cs="Arial"/>
          <w:sz w:val="20"/>
          <w:szCs w:val="20"/>
          <w:lang w:val="es-ES"/>
        </w:rPr>
        <w:t xml:space="preserve">[…] el deber de publicidad de la actividad contractual de las entidades estatales no solo se encuentra regulado por el artículo 3 de la Ley 1150 de 2007 y el </w:t>
      </w:r>
      <w:r w:rsidRPr="00581C71">
        <w:rPr>
          <w:rFonts w:ascii="Arial" w:eastAsia="Arial" w:hAnsi="Arial" w:cs="Arial"/>
          <w:sz w:val="20"/>
          <w:szCs w:val="20"/>
          <w:lang w:val="es-ES"/>
        </w:rPr>
        <w:t xml:space="preserve">artículo 2.2.1.1.1.7.1. del Decreto 1082 de 2015, sino que también se fundamenta en la Ley 1712 de 2014 y el Decreto 1081 de 2015, normas que no solo refuerzan y complementan al régimen de contratación estatal en materia de publicidad, sino que amplían el contenido obligacional de dicho deber al imponer la publicación de los procedimientos y la información relativa a la gestión contractual, sin el condicionamiento de tratarse de </w:t>
      </w:r>
      <w:r w:rsidRPr="00581C71">
        <w:rPr>
          <w:rFonts w:ascii="Arial" w:eastAsia="Arial" w:hAnsi="Arial" w:cs="Arial"/>
          <w:i/>
          <w:iCs/>
          <w:sz w:val="20"/>
          <w:szCs w:val="20"/>
          <w:lang w:val="es-ES"/>
        </w:rPr>
        <w:t xml:space="preserve">Documentos del Procesos </w:t>
      </w:r>
      <w:r w:rsidRPr="00581C71">
        <w:rPr>
          <w:rFonts w:ascii="Arial" w:eastAsia="Arial" w:hAnsi="Arial" w:cs="Arial"/>
          <w:sz w:val="20"/>
          <w:szCs w:val="20"/>
          <w:lang w:val="es-ES"/>
        </w:rPr>
        <w:t>expedidos por la entidad estatal.</w:t>
      </w:r>
    </w:p>
    <w:p w14:paraId="1C7784E9" w14:textId="0275BAF0" w:rsidR="00DB4154" w:rsidRDefault="00DB4154" w:rsidP="00DB4154">
      <w:pPr>
        <w:spacing w:before="120"/>
        <w:jc w:val="both"/>
        <w:rPr>
          <w:rFonts w:ascii="Arial" w:eastAsia="Calibri" w:hAnsi="Arial" w:cs="Arial"/>
          <w:sz w:val="22"/>
          <w:lang w:val="es-ES"/>
        </w:rPr>
      </w:pPr>
      <w:r w:rsidRPr="00581C71">
        <w:rPr>
          <w:rFonts w:ascii="Arial" w:eastAsia="Calibri" w:hAnsi="Arial" w:cs="Arial"/>
          <w:sz w:val="20"/>
          <w:szCs w:val="20"/>
          <w:lang w:val="es-ES"/>
        </w:rPr>
        <w:t xml:space="preserve">Esto quiere decir que las entidades estatales, además de los documentos y actos administrativos que expidan durante el </w:t>
      </w:r>
      <w:r w:rsidRPr="00581C71">
        <w:rPr>
          <w:rFonts w:ascii="Arial" w:eastAsia="Calibri" w:hAnsi="Arial" w:cs="Arial"/>
          <w:i/>
          <w:iCs/>
          <w:sz w:val="20"/>
          <w:szCs w:val="20"/>
          <w:lang w:val="es-ES"/>
        </w:rPr>
        <w:t>Proceso de Contratación,</w:t>
      </w:r>
      <w:r w:rsidRPr="00581C71">
        <w:rPr>
          <w:rFonts w:ascii="Arial" w:eastAsia="Calibri" w:hAnsi="Arial" w:cs="Arial"/>
          <w:sz w:val="20"/>
          <w:szCs w:val="20"/>
          <w:lang w:val="es-ES"/>
        </w:rPr>
        <w:t xml:space="preserve"> deberán publicar los documentos que desarrollan los procedimientos, incluso documentos que no necesariamente son expedidos por ellas pero que hacen parte del proceso, tales como las observaciones formuladas por la ciudadanía al proyecto de pliego de condiciones, o por los proponentes al informe de evaluación, aclaraciones a las ofertas realizadas por oferentes, así como a cualquier otra actuación que a pesar de no tener origen en la entidad estatal, ni encajar en estricto sentido dentro de lo que se entiende por </w:t>
      </w:r>
      <w:r w:rsidRPr="00581C71">
        <w:rPr>
          <w:rFonts w:ascii="Arial" w:eastAsia="Calibri" w:hAnsi="Arial" w:cs="Arial"/>
          <w:i/>
          <w:iCs/>
          <w:sz w:val="20"/>
          <w:szCs w:val="20"/>
          <w:lang w:val="es-ES"/>
        </w:rPr>
        <w:t xml:space="preserve"> Documento del </w:t>
      </w:r>
      <w:r w:rsidRPr="00581C71">
        <w:rPr>
          <w:rFonts w:ascii="Arial" w:eastAsia="Calibri" w:hAnsi="Arial" w:cs="Arial"/>
          <w:i/>
          <w:iCs/>
          <w:sz w:val="20"/>
          <w:szCs w:val="20"/>
          <w:lang w:val="es-ES"/>
        </w:rPr>
        <w:lastRenderedPageBreak/>
        <w:t xml:space="preserve">Proceso, </w:t>
      </w:r>
      <w:r w:rsidRPr="00581C71">
        <w:rPr>
          <w:rFonts w:ascii="Arial" w:eastAsia="Calibri" w:hAnsi="Arial" w:cs="Arial"/>
          <w:sz w:val="20"/>
          <w:szCs w:val="20"/>
          <w:lang w:val="es-ES"/>
        </w:rPr>
        <w:t>hace parte del desarrollo del proceso de contratación, y que por disposición de la Ley de la transparencia y acceso a la información pública, deber ser publicada de manera proactiva por la entidad estatal</w:t>
      </w:r>
      <w:r w:rsidRPr="00581C71">
        <w:rPr>
          <w:rFonts w:ascii="Arial" w:eastAsia="Calibri" w:hAnsi="Arial" w:cs="Arial"/>
          <w:sz w:val="22"/>
          <w:lang w:val="es-ES"/>
        </w:rPr>
        <w:t>.</w:t>
      </w:r>
      <w:r w:rsidRPr="00217435">
        <w:rPr>
          <w:rFonts w:ascii="Arial" w:eastAsia="Calibri" w:hAnsi="Arial" w:cs="Arial"/>
          <w:sz w:val="22"/>
          <w:lang w:val="es-ES"/>
        </w:rPr>
        <w:t xml:space="preserve">   </w:t>
      </w:r>
    </w:p>
    <w:p w14:paraId="79913159" w14:textId="3C2FEAF2" w:rsidR="00AE7D59" w:rsidRDefault="00AE7D59" w:rsidP="00DB4154">
      <w:pPr>
        <w:spacing w:before="120"/>
        <w:jc w:val="both"/>
        <w:rPr>
          <w:rFonts w:ascii="Arial" w:eastAsia="Calibri" w:hAnsi="Arial" w:cs="Arial"/>
          <w:sz w:val="22"/>
          <w:lang w:val="es-ES"/>
        </w:rPr>
      </w:pPr>
    </w:p>
    <w:p w14:paraId="15551989" w14:textId="52A84B5F" w:rsidR="00AE7D59" w:rsidRDefault="00AE7D59" w:rsidP="00DB4154">
      <w:pPr>
        <w:spacing w:before="120"/>
        <w:jc w:val="both"/>
        <w:rPr>
          <w:rFonts w:ascii="Arial" w:eastAsia="Calibri" w:hAnsi="Arial" w:cs="Arial"/>
          <w:b/>
          <w:sz w:val="22"/>
          <w:lang w:val="es-ES"/>
        </w:rPr>
      </w:pPr>
      <w:r w:rsidRPr="00AE7D59">
        <w:rPr>
          <w:rFonts w:ascii="Arial" w:eastAsia="Calibri" w:hAnsi="Arial" w:cs="Arial"/>
          <w:b/>
          <w:sz w:val="22"/>
          <w:lang w:val="es-ES"/>
        </w:rPr>
        <w:t>OFERTAS – Publicación – SECOP I – SECOP II</w:t>
      </w:r>
    </w:p>
    <w:p w14:paraId="1D605B0C" w14:textId="0AC0CB30" w:rsidR="00455417" w:rsidRDefault="00455417" w:rsidP="00DB4154">
      <w:pPr>
        <w:spacing w:before="120"/>
        <w:jc w:val="both"/>
        <w:rPr>
          <w:rFonts w:ascii="Arial" w:eastAsia="Calibri" w:hAnsi="Arial" w:cs="Arial"/>
          <w:b/>
          <w:sz w:val="22"/>
          <w:lang w:val="es-ES"/>
        </w:rPr>
      </w:pPr>
    </w:p>
    <w:p w14:paraId="7CE70707" w14:textId="612102AC" w:rsidR="00581C71" w:rsidRDefault="00581C71" w:rsidP="00581C71">
      <w:pPr>
        <w:jc w:val="both"/>
        <w:rPr>
          <w:rFonts w:ascii="Arial" w:eastAsia="Calibri" w:hAnsi="Arial" w:cs="Arial"/>
          <w:sz w:val="20"/>
          <w:szCs w:val="20"/>
          <w:lang w:val="es-ES"/>
        </w:rPr>
      </w:pPr>
      <w:r w:rsidRPr="00581C71">
        <w:rPr>
          <w:rFonts w:ascii="Arial" w:eastAsia="Calibri" w:hAnsi="Arial" w:cs="Arial"/>
          <w:sz w:val="20"/>
          <w:szCs w:val="20"/>
          <w:lang w:val="es-ES"/>
        </w:rPr>
        <w:t xml:space="preserve">Ahora bien, independiente del momento en que se haga la publicación, la opción de «Publicar Ofertas» permite que todas las ofertas de los proponentes habilitados sean publicadas.  Esto plantea una importante diferencia respecto de los procesos publicados en el SECOP I, toda vez que la regulación del deber de publicidad que hace el artículo 2.2.1.1.1.7.1 del Decreto 1082 de 2015, establece que solo debe publicarse la oferta del adjudicatario, lo cual supone que dicha regla tampoco es aplicable a los procesos adelantados en SECOP II, en los que se publican todas las ofertas, lo cual supone una aplicación más acentuada del principio de publicidad que la regulada por la referida norma, permitiendo establecer un mayor estándar de transparencia a los procesos de selección que se adelanten a través de esta herramienta. </w:t>
      </w:r>
    </w:p>
    <w:p w14:paraId="4A707466" w14:textId="77777777" w:rsidR="00581C71" w:rsidRPr="00581C71" w:rsidRDefault="00581C71" w:rsidP="00C80B4B">
      <w:pPr>
        <w:ind w:left="567" w:hanging="567"/>
        <w:jc w:val="both"/>
        <w:rPr>
          <w:rFonts w:ascii="Arial" w:eastAsia="Calibri" w:hAnsi="Arial" w:cs="Arial"/>
          <w:sz w:val="20"/>
          <w:szCs w:val="20"/>
          <w:lang w:val="es-ES"/>
        </w:rPr>
      </w:pPr>
    </w:p>
    <w:p w14:paraId="7EABD926" w14:textId="46058098" w:rsidR="00455417" w:rsidRDefault="00581C71" w:rsidP="00581C71">
      <w:pPr>
        <w:jc w:val="both"/>
        <w:rPr>
          <w:rFonts w:ascii="Arial" w:hAnsi="Arial" w:cs="Arial"/>
          <w:sz w:val="22"/>
          <w:lang w:val="es-ES"/>
        </w:rPr>
      </w:pPr>
      <w:r w:rsidRPr="00581C71">
        <w:rPr>
          <w:rFonts w:ascii="Arial" w:eastAsia="Calibri" w:hAnsi="Arial" w:cs="Arial"/>
          <w:sz w:val="20"/>
          <w:szCs w:val="20"/>
          <w:lang w:val="es-ES"/>
        </w:rPr>
        <w:t>De cualquier modo, se debe tener en cuenta que la publicación de la oferta comprende todos los documentos y requisitos que la conforman, tales como la oferta económica, los requisitos habilitantes y los factores ponderables.</w:t>
      </w:r>
    </w:p>
    <w:bookmarkEnd w:id="2"/>
    <w:p w14:paraId="257EA056" w14:textId="2AB6CC7C" w:rsidR="00267242" w:rsidRPr="00417A90" w:rsidRDefault="00C73658" w:rsidP="00417A90">
      <w:pPr>
        <w:spacing w:after="160" w:line="259" w:lineRule="auto"/>
        <w:rPr>
          <w:rFonts w:ascii="Arial" w:eastAsia="Calibri" w:hAnsi="Arial" w:cs="Arial"/>
          <w:b/>
          <w:sz w:val="22"/>
          <w:lang w:val="es-ES"/>
        </w:rPr>
      </w:pPr>
      <w:r>
        <w:rPr>
          <w:rFonts w:ascii="Arial" w:eastAsia="Calibri" w:hAnsi="Arial" w:cs="Arial"/>
          <w:b/>
          <w:sz w:val="22"/>
          <w:lang w:val="es-ES"/>
        </w:rPr>
        <w:br w:type="page"/>
      </w:r>
    </w:p>
    <w:p w14:paraId="170236B9" w14:textId="0738FF38" w:rsidR="009E5139" w:rsidRPr="009E5139" w:rsidRDefault="009E5139" w:rsidP="009E5139">
      <w:pPr>
        <w:jc w:val="right"/>
        <w:rPr>
          <w:rFonts w:ascii="Times New Roman" w:eastAsia="Times New Roman" w:hAnsi="Times New Roman" w:cs="Times New Roman"/>
          <w:szCs w:val="24"/>
          <w:lang w:val="es-CO" w:eastAsia="es-MX"/>
        </w:rPr>
      </w:pPr>
      <w:r w:rsidRPr="009E5139">
        <w:rPr>
          <w:rFonts w:ascii="Times New Roman" w:eastAsia="Times New Roman" w:hAnsi="Times New Roman" w:cs="Times New Roman"/>
          <w:szCs w:val="24"/>
          <w:lang w:val="es-CO" w:eastAsia="es-MX"/>
        </w:rPr>
        <w:lastRenderedPageBreak/>
        <w:fldChar w:fldCharType="begin"/>
      </w:r>
      <w:r w:rsidRPr="009E5139">
        <w:rPr>
          <w:rFonts w:ascii="Times New Roman" w:eastAsia="Times New Roman" w:hAnsi="Times New Roman" w:cs="Times New Roman"/>
          <w:szCs w:val="24"/>
          <w:lang w:val="es-CO" w:eastAsia="es-MX"/>
        </w:rPr>
        <w:instrText xml:space="preserve"> INCLUDEPICTURE "/var/folders/tb/0fmk9b510f57pz5rwhv8lnpw0000gp/T/com.microsoft.Word/WebArchiveCopyPasteTempFiles/page1image20726176" \* MERGEFORMATINET </w:instrText>
      </w:r>
      <w:r w:rsidRPr="009E5139">
        <w:rPr>
          <w:rFonts w:ascii="Times New Roman" w:eastAsia="Times New Roman" w:hAnsi="Times New Roman" w:cs="Times New Roman"/>
          <w:szCs w:val="24"/>
          <w:lang w:val="es-CO" w:eastAsia="es-MX"/>
        </w:rPr>
        <w:fldChar w:fldCharType="separate"/>
      </w:r>
      <w:r w:rsidRPr="009E5139">
        <w:rPr>
          <w:rFonts w:ascii="Times New Roman" w:eastAsia="Times New Roman" w:hAnsi="Times New Roman" w:cs="Times New Roman"/>
          <w:noProof/>
          <w:szCs w:val="24"/>
          <w:lang w:val="es-CO" w:eastAsia="es-MX"/>
        </w:rPr>
        <w:drawing>
          <wp:inline distT="0" distB="0" distL="0" distR="0" wp14:anchorId="6F57D138" wp14:editId="7E54687A">
            <wp:extent cx="2401570" cy="605790"/>
            <wp:effectExtent l="0" t="0" r="0" b="3810"/>
            <wp:docPr id="2" name="Imagen 2" descr="page1image2072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072617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1570" cy="605790"/>
                    </a:xfrm>
                    <a:prstGeom prst="rect">
                      <a:avLst/>
                    </a:prstGeom>
                    <a:noFill/>
                    <a:ln>
                      <a:noFill/>
                    </a:ln>
                  </pic:spPr>
                </pic:pic>
              </a:graphicData>
            </a:graphic>
          </wp:inline>
        </w:drawing>
      </w:r>
      <w:r w:rsidRPr="009E5139">
        <w:rPr>
          <w:rFonts w:ascii="Times New Roman" w:eastAsia="Times New Roman" w:hAnsi="Times New Roman" w:cs="Times New Roman"/>
          <w:szCs w:val="24"/>
          <w:lang w:val="es-CO" w:eastAsia="es-MX"/>
        </w:rPr>
        <w:fldChar w:fldCharType="end"/>
      </w:r>
    </w:p>
    <w:p w14:paraId="05D9D298" w14:textId="2E2AECF0" w:rsidR="00267242" w:rsidRPr="00FC69FF" w:rsidRDefault="005F2005" w:rsidP="00267242">
      <w:pPr>
        <w:tabs>
          <w:tab w:val="left" w:pos="6060"/>
          <w:tab w:val="right" w:pos="8504"/>
        </w:tabs>
        <w:spacing w:after="200" w:line="276" w:lineRule="auto"/>
        <w:rPr>
          <w:rFonts w:ascii="Arial" w:hAnsi="Arial" w:cs="Arial"/>
          <w:b/>
          <w:color w:val="595959" w:themeColor="text1" w:themeTint="A6"/>
          <w:sz w:val="18"/>
          <w:lang w:val="es-CO" w:eastAsia="es-ES"/>
        </w:rPr>
      </w:pPr>
      <w:r w:rsidRPr="005F2005">
        <w:rPr>
          <w:rFonts w:ascii="Arial" w:hAnsi="Arial" w:cs="Arial"/>
          <w:bCs/>
          <w:color w:val="000000" w:themeColor="text1"/>
          <w:sz w:val="22"/>
          <w:lang w:val="es-CO" w:eastAsia="es-ES"/>
        </w:rPr>
        <w:t>Bogotá, D.C</w:t>
      </w:r>
      <w:r w:rsidRPr="005F2005">
        <w:rPr>
          <w:rFonts w:ascii="Arial" w:hAnsi="Arial" w:cs="Arial"/>
          <w:b/>
          <w:color w:val="000000" w:themeColor="text1"/>
          <w:sz w:val="18"/>
          <w:lang w:val="es-CO" w:eastAsia="es-ES"/>
        </w:rPr>
        <w:t xml:space="preserve"> </w:t>
      </w:r>
      <w:r w:rsidR="00267242" w:rsidRPr="00FC69FF">
        <w:rPr>
          <w:rFonts w:ascii="Arial" w:hAnsi="Arial" w:cs="Arial"/>
          <w:b/>
          <w:color w:val="595959" w:themeColor="text1" w:themeTint="A6"/>
          <w:sz w:val="18"/>
          <w:lang w:val="es-CO" w:eastAsia="es-ES"/>
        </w:rPr>
        <w:tab/>
      </w:r>
      <w:r w:rsidR="00267242" w:rsidRPr="00FC69FF">
        <w:rPr>
          <w:rFonts w:ascii="Arial" w:hAnsi="Arial" w:cs="Arial"/>
          <w:b/>
          <w:color w:val="595959" w:themeColor="text1" w:themeTint="A6"/>
          <w:sz w:val="18"/>
          <w:lang w:val="es-CO" w:eastAsia="es-ES"/>
        </w:rPr>
        <w:tab/>
        <w:t>CCE-DES-FM-17</w:t>
      </w:r>
    </w:p>
    <w:p w14:paraId="5344BAAB" w14:textId="77777777" w:rsidR="00267242" w:rsidRPr="00FC69FF" w:rsidRDefault="00267242" w:rsidP="00267242">
      <w:pPr>
        <w:outlineLvl w:val="0"/>
        <w:rPr>
          <w:rFonts w:ascii="Arial" w:eastAsia="Calibri" w:hAnsi="Arial" w:cs="Arial"/>
          <w:color w:val="000000" w:themeColor="text1"/>
          <w:sz w:val="22"/>
          <w:lang w:val="es-CO"/>
        </w:rPr>
      </w:pPr>
    </w:p>
    <w:p w14:paraId="0A4A99AD" w14:textId="7C30B50A" w:rsidR="00267242" w:rsidRDefault="00267242" w:rsidP="005F2005">
      <w:pPr>
        <w:outlineLvl w:val="0"/>
        <w:rPr>
          <w:rFonts w:ascii="Arial" w:eastAsia="Calibri" w:hAnsi="Arial" w:cs="Arial"/>
          <w:color w:val="000000" w:themeColor="text1"/>
          <w:sz w:val="22"/>
          <w:lang w:val="es-CO"/>
        </w:rPr>
      </w:pPr>
      <w:r w:rsidRPr="00FC69FF">
        <w:rPr>
          <w:rFonts w:ascii="Arial" w:eastAsia="Calibri" w:hAnsi="Arial" w:cs="Arial"/>
          <w:color w:val="000000" w:themeColor="text1"/>
          <w:sz w:val="22"/>
          <w:lang w:val="es-CO"/>
        </w:rPr>
        <w:t>Señor</w:t>
      </w:r>
      <w:r w:rsidR="005F2005">
        <w:rPr>
          <w:rFonts w:ascii="Arial" w:eastAsia="Calibri" w:hAnsi="Arial" w:cs="Arial"/>
          <w:color w:val="000000" w:themeColor="text1"/>
          <w:sz w:val="22"/>
          <w:lang w:val="es-CO"/>
        </w:rPr>
        <w:t xml:space="preserve"> peticionario </w:t>
      </w:r>
    </w:p>
    <w:p w14:paraId="739E4D58" w14:textId="5DBF1777" w:rsidR="005F2005" w:rsidRPr="005F2005" w:rsidRDefault="005F2005" w:rsidP="005F2005">
      <w:pPr>
        <w:outlineLvl w:val="0"/>
        <w:rPr>
          <w:rFonts w:ascii="Arial" w:eastAsia="Calibri" w:hAnsi="Arial" w:cs="Arial"/>
          <w:b/>
          <w:bCs/>
          <w:color w:val="000000" w:themeColor="text1"/>
          <w:sz w:val="22"/>
          <w:lang w:val="es-CO"/>
        </w:rPr>
      </w:pPr>
      <w:r>
        <w:rPr>
          <w:rFonts w:ascii="Arial" w:eastAsia="Calibri" w:hAnsi="Arial" w:cs="Arial"/>
          <w:b/>
          <w:bCs/>
          <w:color w:val="000000" w:themeColor="text1"/>
          <w:sz w:val="22"/>
          <w:lang w:val="es-CO"/>
        </w:rPr>
        <w:t xml:space="preserve">Anónimo </w:t>
      </w:r>
    </w:p>
    <w:p w14:paraId="6AF639E4" w14:textId="77777777" w:rsidR="00267242" w:rsidRPr="00FC69FF" w:rsidRDefault="00267242" w:rsidP="00267242">
      <w:pPr>
        <w:rPr>
          <w:rFonts w:ascii="Arial" w:eastAsia="Calibri" w:hAnsi="Arial" w:cs="Arial"/>
          <w:color w:val="000000" w:themeColor="text1"/>
          <w:sz w:val="22"/>
          <w:lang w:val="es-CO"/>
        </w:rPr>
      </w:pPr>
    </w:p>
    <w:p w14:paraId="0317DAF0" w14:textId="177F42E4" w:rsidR="00267242" w:rsidRPr="00FC69FF" w:rsidRDefault="00267242" w:rsidP="00267242">
      <w:pPr>
        <w:ind w:firstLine="2694"/>
        <w:outlineLvl w:val="0"/>
        <w:rPr>
          <w:rFonts w:ascii="Arial" w:eastAsia="Calibri" w:hAnsi="Arial" w:cs="Arial"/>
          <w:b/>
          <w:color w:val="000000" w:themeColor="text1"/>
          <w:sz w:val="22"/>
          <w:lang w:val="es-ES"/>
        </w:rPr>
      </w:pPr>
      <w:r w:rsidRPr="00FC69FF">
        <w:rPr>
          <w:rFonts w:ascii="Arial" w:eastAsia="Calibri" w:hAnsi="Arial" w:cs="Arial"/>
          <w:b/>
          <w:color w:val="000000" w:themeColor="text1"/>
          <w:sz w:val="22"/>
          <w:lang w:val="es-ES"/>
        </w:rPr>
        <w:t xml:space="preserve">Concepto C – </w:t>
      </w:r>
      <w:r w:rsidR="00B1343F">
        <w:rPr>
          <w:rFonts w:ascii="Arial" w:eastAsia="Calibri" w:hAnsi="Arial" w:cs="Arial"/>
          <w:b/>
          <w:color w:val="000000" w:themeColor="text1"/>
          <w:sz w:val="22"/>
          <w:lang w:val="es-ES"/>
        </w:rPr>
        <w:t>379</w:t>
      </w:r>
      <w:r w:rsidRPr="00FC69FF">
        <w:rPr>
          <w:rFonts w:ascii="Arial" w:eastAsia="Calibri" w:hAnsi="Arial" w:cs="Arial"/>
          <w:b/>
          <w:color w:val="000000" w:themeColor="text1"/>
          <w:sz w:val="22"/>
          <w:lang w:val="es-ES"/>
        </w:rPr>
        <w:t xml:space="preserve"> de 202</w:t>
      </w:r>
      <w:r w:rsidR="00B1343F">
        <w:rPr>
          <w:rFonts w:ascii="Arial" w:eastAsia="Calibri" w:hAnsi="Arial" w:cs="Arial"/>
          <w:b/>
          <w:color w:val="000000" w:themeColor="text1"/>
          <w:sz w:val="22"/>
          <w:lang w:val="es-ES"/>
        </w:rPr>
        <w:t>2</w:t>
      </w:r>
    </w:p>
    <w:p w14:paraId="4536ED72" w14:textId="77777777" w:rsidR="00267242" w:rsidRPr="00FC69FF" w:rsidRDefault="00267242" w:rsidP="00267242">
      <w:pPr>
        <w:rPr>
          <w:rFonts w:ascii="Arial" w:eastAsia="Calibri" w:hAnsi="Arial" w:cs="Arial"/>
          <w:color w:val="000000" w:themeColor="text1"/>
          <w:sz w:val="22"/>
          <w:lang w:val="es-ES"/>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267242" w:rsidRPr="00FC69FF" w14:paraId="1A544A94" w14:textId="77777777" w:rsidTr="001C6734">
        <w:tc>
          <w:tcPr>
            <w:tcW w:w="2689" w:type="dxa"/>
            <w:hideMark/>
          </w:tcPr>
          <w:p w14:paraId="67401A76" w14:textId="77777777" w:rsidR="00267242" w:rsidRPr="00FC69FF" w:rsidRDefault="00267242" w:rsidP="001C6734">
            <w:pPr>
              <w:rPr>
                <w:rFonts w:ascii="Arial" w:eastAsia="Calibri" w:hAnsi="Arial" w:cs="Arial"/>
                <w:color w:val="000000" w:themeColor="text1"/>
                <w:sz w:val="22"/>
                <w:lang w:val="es-ES"/>
              </w:rPr>
            </w:pPr>
            <w:r w:rsidRPr="00FC69FF">
              <w:rPr>
                <w:rFonts w:ascii="Arial" w:eastAsia="Calibri" w:hAnsi="Arial" w:cs="Arial"/>
                <w:b/>
                <w:color w:val="000000" w:themeColor="text1"/>
                <w:sz w:val="22"/>
                <w:lang w:val="es-ES"/>
              </w:rPr>
              <w:t>Temas:</w:t>
            </w:r>
            <w:r w:rsidRPr="00FC69FF">
              <w:rPr>
                <w:rFonts w:ascii="Arial" w:eastAsia="Calibri" w:hAnsi="Arial" w:cs="Arial"/>
                <w:color w:val="000000" w:themeColor="text1"/>
                <w:sz w:val="22"/>
                <w:lang w:val="es-ES"/>
              </w:rPr>
              <w:t xml:space="preserve">           </w:t>
            </w:r>
          </w:p>
          <w:p w14:paraId="21440EDD" w14:textId="77777777" w:rsidR="00267242" w:rsidRPr="00FC69FF" w:rsidRDefault="00267242" w:rsidP="001C6734">
            <w:pPr>
              <w:rPr>
                <w:rFonts w:ascii="Arial" w:eastAsia="Calibri" w:hAnsi="Arial" w:cs="Arial"/>
                <w:color w:val="000000" w:themeColor="text1"/>
                <w:sz w:val="22"/>
                <w:lang w:val="es-ES"/>
              </w:rPr>
            </w:pPr>
            <w:r w:rsidRPr="00FC69FF">
              <w:rPr>
                <w:rFonts w:ascii="Arial" w:eastAsia="Calibri" w:hAnsi="Arial" w:cs="Arial"/>
                <w:color w:val="000000" w:themeColor="text1"/>
                <w:sz w:val="22"/>
                <w:lang w:val="es-ES"/>
              </w:rPr>
              <w:t xml:space="preserve">                           </w:t>
            </w:r>
          </w:p>
        </w:tc>
        <w:tc>
          <w:tcPr>
            <w:tcW w:w="6237" w:type="dxa"/>
            <w:hideMark/>
          </w:tcPr>
          <w:p w14:paraId="64F0C958" w14:textId="4E782185" w:rsidR="00267242" w:rsidRDefault="00267242" w:rsidP="001C6734">
            <w:pPr>
              <w:jc w:val="both"/>
              <w:rPr>
                <w:rFonts w:ascii="Arial" w:eastAsia="Calibri" w:hAnsi="Arial" w:cs="Arial"/>
                <w:sz w:val="22"/>
                <w:lang w:val="es-ES"/>
              </w:rPr>
            </w:pPr>
            <w:r w:rsidRPr="00FC69FF">
              <w:rPr>
                <w:rFonts w:ascii="Arial" w:eastAsia="Calibri" w:hAnsi="Arial" w:cs="Arial"/>
                <w:sz w:val="22"/>
                <w:lang w:val="es-ES"/>
              </w:rPr>
              <w:t>PRINCIPIO DE PUBLICIDAD – Noción / SECOP – Publicación – Documentos / DOCUMENTOS DEL PROCESO – Noción – Deber de publicación – Proceso de contratación / OFERTAS – Publicación – SECOP I – SECOP II</w:t>
            </w:r>
            <w:r w:rsidR="00417A90">
              <w:rPr>
                <w:rFonts w:ascii="Arial" w:eastAsia="Calibri" w:hAnsi="Arial" w:cs="Arial"/>
                <w:sz w:val="22"/>
                <w:lang w:val="es-ES"/>
              </w:rPr>
              <w:t>.</w:t>
            </w:r>
          </w:p>
          <w:p w14:paraId="71AAD317" w14:textId="77777777" w:rsidR="00417A90" w:rsidRDefault="00417A90" w:rsidP="001C6734">
            <w:pPr>
              <w:jc w:val="both"/>
              <w:rPr>
                <w:rFonts w:ascii="Arial" w:eastAsia="Calibri" w:hAnsi="Arial" w:cs="Arial"/>
                <w:sz w:val="22"/>
                <w:lang w:val="es-ES"/>
              </w:rPr>
            </w:pPr>
          </w:p>
          <w:p w14:paraId="4AFB00A3" w14:textId="10D20AB0" w:rsidR="00B1343F" w:rsidRPr="00FC69FF" w:rsidRDefault="00B1343F" w:rsidP="001C6734">
            <w:pPr>
              <w:jc w:val="both"/>
              <w:rPr>
                <w:rFonts w:ascii="Arial" w:eastAsia="Calibri" w:hAnsi="Arial" w:cs="Arial"/>
                <w:bCs/>
                <w:sz w:val="22"/>
                <w:szCs w:val="20"/>
              </w:rPr>
            </w:pPr>
          </w:p>
        </w:tc>
      </w:tr>
      <w:tr w:rsidR="00267242" w:rsidRPr="00FC69FF" w14:paraId="04E24868" w14:textId="77777777" w:rsidTr="001C6734">
        <w:trPr>
          <w:trHeight w:val="74"/>
        </w:trPr>
        <w:tc>
          <w:tcPr>
            <w:tcW w:w="2689" w:type="dxa"/>
          </w:tcPr>
          <w:p w14:paraId="2EBDCFAE" w14:textId="77777777" w:rsidR="00267242" w:rsidRPr="00FC69FF" w:rsidRDefault="00267242" w:rsidP="001C6734">
            <w:pPr>
              <w:spacing w:before="120"/>
              <w:rPr>
                <w:rFonts w:ascii="Arial" w:eastAsia="Calibri" w:hAnsi="Arial" w:cs="Arial"/>
                <w:b/>
                <w:color w:val="000000" w:themeColor="text1"/>
                <w:sz w:val="22"/>
                <w:lang w:val="es-ES"/>
              </w:rPr>
            </w:pPr>
            <w:r w:rsidRPr="00FC69FF">
              <w:rPr>
                <w:rFonts w:ascii="Arial" w:eastAsia="Calibri" w:hAnsi="Arial" w:cs="Arial"/>
                <w:b/>
                <w:color w:val="000000" w:themeColor="text1"/>
                <w:sz w:val="22"/>
                <w:lang w:val="es-ES"/>
              </w:rPr>
              <w:t>Radicación:</w:t>
            </w:r>
            <w:r w:rsidRPr="00FC69FF">
              <w:rPr>
                <w:rFonts w:ascii="Arial" w:eastAsia="Calibri" w:hAnsi="Arial" w:cs="Arial"/>
                <w:color w:val="000000" w:themeColor="text1"/>
                <w:sz w:val="22"/>
                <w:lang w:val="es-ES"/>
              </w:rPr>
              <w:t xml:space="preserve">                              </w:t>
            </w:r>
          </w:p>
        </w:tc>
        <w:tc>
          <w:tcPr>
            <w:tcW w:w="6237" w:type="dxa"/>
          </w:tcPr>
          <w:p w14:paraId="497A230F" w14:textId="77777777" w:rsidR="00B1343F" w:rsidRPr="00B727C8" w:rsidRDefault="00267242" w:rsidP="00B1343F">
            <w:pPr>
              <w:jc w:val="both"/>
              <w:rPr>
                <w:rFonts w:ascii="Arial" w:hAnsi="Arial" w:cs="Arial"/>
                <w:sz w:val="22"/>
              </w:rPr>
            </w:pPr>
            <w:r w:rsidRPr="00FC69FF">
              <w:rPr>
                <w:rFonts w:ascii="Arial" w:eastAsia="Calibri" w:hAnsi="Arial" w:cs="Arial"/>
                <w:color w:val="000000" w:themeColor="text1"/>
                <w:sz w:val="22"/>
                <w:lang w:val="es-ES"/>
              </w:rPr>
              <w:t xml:space="preserve">Respuesta a consultas </w:t>
            </w:r>
            <w:r w:rsidR="00B1343F" w:rsidRPr="00B727C8">
              <w:rPr>
                <w:rFonts w:ascii="Arial" w:hAnsi="Arial" w:cs="Arial"/>
                <w:sz w:val="22"/>
              </w:rPr>
              <w:t>P20220503004311</w:t>
            </w:r>
          </w:p>
          <w:p w14:paraId="42D51DBA" w14:textId="692A24C8" w:rsidR="00267242" w:rsidRPr="00FC69FF" w:rsidRDefault="00267242" w:rsidP="001C6734">
            <w:pPr>
              <w:spacing w:before="120"/>
              <w:jc w:val="both"/>
              <w:rPr>
                <w:rFonts w:ascii="Arial" w:eastAsia="Calibri" w:hAnsi="Arial" w:cs="Arial"/>
                <w:color w:val="000000" w:themeColor="text1"/>
                <w:sz w:val="22"/>
                <w:lang w:val="es-ES"/>
              </w:rPr>
            </w:pPr>
            <w:r w:rsidRPr="00FC69FF">
              <w:rPr>
                <w:rFonts w:ascii="Arial" w:eastAsia="Calibri" w:hAnsi="Arial" w:cs="Arial"/>
                <w:color w:val="000000" w:themeColor="text1"/>
                <w:sz w:val="22"/>
                <w:lang w:val="es-ES"/>
              </w:rPr>
              <w:t xml:space="preserve"> </w:t>
            </w:r>
          </w:p>
        </w:tc>
      </w:tr>
    </w:tbl>
    <w:p w14:paraId="1404E83D" w14:textId="77777777" w:rsidR="00267242" w:rsidRDefault="00267242" w:rsidP="004302E9">
      <w:pPr>
        <w:spacing w:line="276" w:lineRule="auto"/>
        <w:rPr>
          <w:rFonts w:ascii="Arial" w:eastAsia="Calibri" w:hAnsi="Arial" w:cs="Arial"/>
          <w:color w:val="000000" w:themeColor="text1"/>
          <w:sz w:val="22"/>
          <w:lang w:val="es-ES"/>
        </w:rPr>
      </w:pPr>
    </w:p>
    <w:p w14:paraId="5A323A09" w14:textId="750F6FC5" w:rsidR="00BE151C" w:rsidRPr="00E579B5" w:rsidRDefault="00B1343F" w:rsidP="004302E9">
      <w:pPr>
        <w:spacing w:line="276" w:lineRule="auto"/>
        <w:rPr>
          <w:rFonts w:ascii="Arial" w:eastAsia="Calibri" w:hAnsi="Arial" w:cs="Arial"/>
          <w:color w:val="000000" w:themeColor="text1"/>
          <w:sz w:val="22"/>
          <w:lang w:val="es-ES"/>
        </w:rPr>
      </w:pPr>
      <w:r>
        <w:rPr>
          <w:rFonts w:ascii="Arial" w:eastAsia="Calibri" w:hAnsi="Arial" w:cs="Arial"/>
          <w:color w:val="000000" w:themeColor="text1"/>
          <w:sz w:val="22"/>
          <w:lang w:val="es-ES"/>
        </w:rPr>
        <w:t>Estimad</w:t>
      </w:r>
      <w:r w:rsidR="005F2005">
        <w:rPr>
          <w:rFonts w:ascii="Arial" w:eastAsia="Calibri" w:hAnsi="Arial" w:cs="Arial"/>
          <w:color w:val="000000" w:themeColor="text1"/>
          <w:sz w:val="22"/>
          <w:lang w:val="es-ES"/>
        </w:rPr>
        <w:t xml:space="preserve">o señor: </w:t>
      </w:r>
    </w:p>
    <w:p w14:paraId="5D535C7E" w14:textId="77777777" w:rsidR="004302E9" w:rsidRPr="00E579B5" w:rsidRDefault="004302E9" w:rsidP="004302E9">
      <w:pPr>
        <w:spacing w:line="276" w:lineRule="auto"/>
        <w:rPr>
          <w:rFonts w:ascii="Arial" w:eastAsia="Calibri" w:hAnsi="Arial" w:cs="Arial"/>
          <w:color w:val="000000" w:themeColor="text1"/>
          <w:sz w:val="22"/>
          <w:lang w:val="es-ES"/>
        </w:rPr>
      </w:pPr>
    </w:p>
    <w:p w14:paraId="207ACBC2" w14:textId="446B2818" w:rsidR="00BE151C" w:rsidRDefault="004A303C" w:rsidP="009C4212">
      <w:pPr>
        <w:spacing w:before="120" w:line="276" w:lineRule="auto"/>
        <w:jc w:val="both"/>
        <w:rPr>
          <w:rFonts w:ascii="Arial" w:eastAsia="Calibri" w:hAnsi="Arial" w:cs="Arial"/>
          <w:color w:val="000000" w:themeColor="text1"/>
          <w:sz w:val="22"/>
          <w:lang w:val="es-ES"/>
        </w:rPr>
      </w:pPr>
      <w:r w:rsidRPr="00E579B5">
        <w:rPr>
          <w:rFonts w:ascii="Arial" w:eastAsia="Calibri" w:hAnsi="Arial" w:cs="Arial"/>
          <w:color w:val="000000" w:themeColor="text1"/>
          <w:sz w:val="22"/>
          <w:lang w:val="es-ES"/>
        </w:rPr>
        <w:t>En ejercicio de la competencia otorgada p</w:t>
      </w:r>
      <w:r w:rsidR="004213D4" w:rsidRPr="00E579B5">
        <w:rPr>
          <w:rFonts w:ascii="Arial" w:eastAsia="Calibri" w:hAnsi="Arial" w:cs="Arial"/>
          <w:color w:val="000000" w:themeColor="text1"/>
          <w:sz w:val="22"/>
          <w:lang w:val="es-ES"/>
        </w:rPr>
        <w:t xml:space="preserve">or </w:t>
      </w:r>
      <w:r w:rsidR="00622C6E" w:rsidRPr="00E579B5">
        <w:rPr>
          <w:rFonts w:ascii="Arial" w:eastAsia="Calibri" w:hAnsi="Arial" w:cs="Arial"/>
          <w:color w:val="000000" w:themeColor="text1"/>
          <w:sz w:val="22"/>
          <w:lang w:val="es-ES"/>
        </w:rPr>
        <w:t>el numeral 8 del artículo 11 y el numeral 5 del artículo</w:t>
      </w:r>
      <w:r w:rsidR="00096901" w:rsidRPr="00E579B5">
        <w:rPr>
          <w:rFonts w:ascii="Arial" w:eastAsia="Calibri" w:hAnsi="Arial" w:cs="Arial"/>
          <w:color w:val="000000" w:themeColor="text1"/>
          <w:sz w:val="22"/>
          <w:lang w:val="es-ES"/>
        </w:rPr>
        <w:t xml:space="preserve"> 3</w:t>
      </w:r>
      <w:r w:rsidR="00622C6E" w:rsidRPr="00E579B5">
        <w:rPr>
          <w:rFonts w:ascii="Arial" w:eastAsia="Calibri" w:hAnsi="Arial" w:cs="Arial"/>
          <w:color w:val="000000" w:themeColor="text1"/>
          <w:sz w:val="22"/>
          <w:lang w:val="es-ES"/>
        </w:rPr>
        <w:t xml:space="preserve"> </w:t>
      </w:r>
      <w:r w:rsidRPr="00E579B5">
        <w:rPr>
          <w:rFonts w:ascii="Arial" w:eastAsia="Calibri" w:hAnsi="Arial" w:cs="Arial"/>
          <w:color w:val="000000" w:themeColor="text1"/>
          <w:sz w:val="22"/>
          <w:lang w:val="es-ES"/>
        </w:rPr>
        <w:t>del Decreto Ley 4170 de 2011, la Agencia Nacional de Contratación Pública − Colombia Compra Eficiente responde su consulta del</w:t>
      </w:r>
      <w:r w:rsidR="001C4C5C">
        <w:rPr>
          <w:rFonts w:ascii="Arial" w:eastAsia="Calibri" w:hAnsi="Arial" w:cs="Arial"/>
          <w:color w:val="000000" w:themeColor="text1"/>
          <w:sz w:val="22"/>
          <w:lang w:val="es-ES"/>
        </w:rPr>
        <w:t xml:space="preserve"> </w:t>
      </w:r>
      <w:r w:rsidR="00B1343F">
        <w:rPr>
          <w:rFonts w:ascii="Arial" w:eastAsia="Calibri" w:hAnsi="Arial" w:cs="Arial"/>
          <w:color w:val="000000" w:themeColor="text1"/>
          <w:sz w:val="22"/>
          <w:lang w:val="es-ES"/>
        </w:rPr>
        <w:t>3 de mayo de 2022</w:t>
      </w:r>
      <w:r w:rsidR="00861ADD" w:rsidRPr="00C57AE8">
        <w:rPr>
          <w:rFonts w:ascii="Arial" w:eastAsia="Calibri" w:hAnsi="Arial" w:cs="Arial"/>
          <w:color w:val="000000" w:themeColor="text1"/>
          <w:sz w:val="22"/>
          <w:lang w:val="es-ES"/>
        </w:rPr>
        <w:t>.</w:t>
      </w:r>
      <w:r w:rsidR="00861ADD" w:rsidRPr="00E579B5">
        <w:rPr>
          <w:rFonts w:ascii="Arial" w:eastAsia="Calibri" w:hAnsi="Arial" w:cs="Arial"/>
          <w:color w:val="000000" w:themeColor="text1"/>
          <w:sz w:val="22"/>
          <w:lang w:val="es-ES"/>
        </w:rPr>
        <w:t xml:space="preserve"> </w:t>
      </w:r>
    </w:p>
    <w:p w14:paraId="53BEE704" w14:textId="77777777" w:rsidR="009C4212" w:rsidRPr="00E579B5" w:rsidRDefault="009C4212" w:rsidP="000F7DE7">
      <w:pPr>
        <w:spacing w:line="276" w:lineRule="auto"/>
        <w:jc w:val="both"/>
        <w:rPr>
          <w:rFonts w:ascii="Arial" w:eastAsia="Calibri" w:hAnsi="Arial" w:cs="Arial"/>
          <w:color w:val="000000" w:themeColor="text1"/>
          <w:sz w:val="22"/>
          <w:lang w:val="es-ES"/>
        </w:rPr>
      </w:pPr>
    </w:p>
    <w:p w14:paraId="3ADB63E0" w14:textId="23DB231B" w:rsidR="00EB7D36" w:rsidRDefault="00C30BDE" w:rsidP="009500D9">
      <w:pPr>
        <w:tabs>
          <w:tab w:val="left" w:pos="284"/>
        </w:tabs>
        <w:spacing w:line="276" w:lineRule="auto"/>
        <w:jc w:val="both"/>
        <w:rPr>
          <w:rFonts w:ascii="Arial" w:eastAsia="Calibri" w:hAnsi="Arial" w:cs="Arial"/>
          <w:b/>
          <w:color w:val="000000" w:themeColor="text1"/>
          <w:sz w:val="22"/>
          <w:lang w:val="es-ES"/>
        </w:rPr>
      </w:pPr>
      <w:r w:rsidRPr="00C30BDE">
        <w:rPr>
          <w:rFonts w:ascii="Arial" w:eastAsia="Calibri" w:hAnsi="Arial" w:cs="Arial"/>
          <w:b/>
          <w:color w:val="000000" w:themeColor="text1"/>
          <w:sz w:val="22"/>
          <w:lang w:val="es-ES"/>
        </w:rPr>
        <w:t>1.</w:t>
      </w:r>
      <w:r>
        <w:rPr>
          <w:rFonts w:ascii="Arial" w:eastAsia="Calibri" w:hAnsi="Arial" w:cs="Arial"/>
          <w:b/>
          <w:color w:val="000000" w:themeColor="text1"/>
          <w:sz w:val="22"/>
          <w:lang w:val="es-ES"/>
        </w:rPr>
        <w:t xml:space="preserve"> </w:t>
      </w:r>
      <w:r w:rsidR="004A303C" w:rsidRPr="00C30BDE">
        <w:rPr>
          <w:rFonts w:ascii="Arial" w:eastAsia="Calibri" w:hAnsi="Arial" w:cs="Arial"/>
          <w:b/>
          <w:color w:val="000000" w:themeColor="text1"/>
          <w:sz w:val="22"/>
          <w:lang w:val="es-ES"/>
        </w:rPr>
        <w:t xml:space="preserve">Problemas planteados </w:t>
      </w:r>
    </w:p>
    <w:p w14:paraId="28DE9887" w14:textId="77777777" w:rsidR="009500D9" w:rsidRPr="00C57AE8" w:rsidRDefault="009500D9" w:rsidP="000F7DE7">
      <w:pPr>
        <w:tabs>
          <w:tab w:val="left" w:pos="284"/>
        </w:tabs>
        <w:spacing w:line="276" w:lineRule="auto"/>
        <w:jc w:val="both"/>
        <w:rPr>
          <w:rFonts w:ascii="Arial" w:eastAsia="Calibri" w:hAnsi="Arial" w:cs="Arial"/>
          <w:b/>
          <w:color w:val="000000" w:themeColor="text1"/>
          <w:sz w:val="22"/>
          <w:lang w:val="es-ES"/>
        </w:rPr>
      </w:pPr>
    </w:p>
    <w:p w14:paraId="6449B9D7" w14:textId="71EE5C73" w:rsidR="004A0F04" w:rsidRDefault="00693DD8" w:rsidP="000F7DE7">
      <w:pPr>
        <w:spacing w:line="276" w:lineRule="auto"/>
        <w:jc w:val="both"/>
        <w:rPr>
          <w:rFonts w:ascii="Arial" w:eastAsia="Times New Roman" w:hAnsi="Arial" w:cs="Arial"/>
          <w:color w:val="000000" w:themeColor="text1"/>
          <w:sz w:val="22"/>
          <w:lang w:val="es-ES" w:eastAsia="es-ES_tradnl"/>
        </w:rPr>
      </w:pPr>
      <w:r>
        <w:rPr>
          <w:rFonts w:ascii="Arial" w:eastAsia="Times New Roman" w:hAnsi="Arial" w:cs="Arial"/>
          <w:color w:val="000000" w:themeColor="text1"/>
          <w:sz w:val="22"/>
          <w:lang w:val="es-ES" w:eastAsia="es-ES_tradnl"/>
        </w:rPr>
        <w:t>Respecto de la publicación de las ofertas en el SECOP, u</w:t>
      </w:r>
      <w:r w:rsidR="00EB7D36" w:rsidRPr="00EB7D36">
        <w:rPr>
          <w:rFonts w:ascii="Arial" w:eastAsia="Times New Roman" w:hAnsi="Arial" w:cs="Arial"/>
          <w:color w:val="000000" w:themeColor="text1"/>
          <w:sz w:val="22"/>
          <w:lang w:val="es-ES" w:eastAsia="es-ES_tradnl"/>
        </w:rPr>
        <w:t xml:space="preserve">sted </w:t>
      </w:r>
      <w:r w:rsidR="00E244A4">
        <w:rPr>
          <w:rFonts w:ascii="Arial" w:eastAsia="Times New Roman" w:hAnsi="Arial" w:cs="Arial"/>
          <w:color w:val="000000" w:themeColor="text1"/>
          <w:sz w:val="22"/>
          <w:lang w:val="es-ES" w:eastAsia="es-ES_tradnl"/>
        </w:rPr>
        <w:t xml:space="preserve">realiza </w:t>
      </w:r>
      <w:r w:rsidR="00EB7D36" w:rsidRPr="00EB7D36">
        <w:rPr>
          <w:rFonts w:ascii="Arial" w:eastAsia="Times New Roman" w:hAnsi="Arial" w:cs="Arial"/>
          <w:color w:val="000000" w:themeColor="text1"/>
          <w:sz w:val="22"/>
          <w:lang w:val="es-ES" w:eastAsia="es-ES_tradnl"/>
        </w:rPr>
        <w:t xml:space="preserve">la </w:t>
      </w:r>
      <w:r w:rsidR="00245A67">
        <w:rPr>
          <w:rFonts w:ascii="Arial" w:eastAsia="Times New Roman" w:hAnsi="Arial" w:cs="Arial"/>
          <w:color w:val="000000" w:themeColor="text1"/>
          <w:sz w:val="22"/>
          <w:lang w:val="es-ES" w:eastAsia="es-ES_tradnl"/>
        </w:rPr>
        <w:t>siguiente consulta</w:t>
      </w:r>
      <w:r w:rsidR="00EB7D36" w:rsidRPr="00EB7D36">
        <w:rPr>
          <w:rFonts w:ascii="Arial" w:eastAsia="Times New Roman" w:hAnsi="Arial" w:cs="Arial"/>
          <w:color w:val="000000" w:themeColor="text1"/>
          <w:sz w:val="22"/>
          <w:lang w:val="es-ES" w:eastAsia="es-ES_tradnl"/>
        </w:rPr>
        <w:t xml:space="preserve">: </w:t>
      </w:r>
    </w:p>
    <w:p w14:paraId="7407EA5D" w14:textId="77777777" w:rsidR="009C4212" w:rsidRDefault="009C4212" w:rsidP="000F7DE7">
      <w:pPr>
        <w:spacing w:line="276" w:lineRule="auto"/>
        <w:jc w:val="both"/>
        <w:rPr>
          <w:rFonts w:ascii="Arial" w:eastAsia="Times New Roman" w:hAnsi="Arial" w:cs="Arial"/>
          <w:color w:val="000000" w:themeColor="text1"/>
          <w:sz w:val="22"/>
          <w:lang w:val="es-ES" w:eastAsia="es-ES_tradnl"/>
        </w:rPr>
      </w:pPr>
    </w:p>
    <w:p w14:paraId="2B96F70C" w14:textId="032A233B" w:rsidR="00B1343F" w:rsidRDefault="00B1343F" w:rsidP="00B1343F">
      <w:pPr>
        <w:pStyle w:val="Sinespaciado"/>
        <w:ind w:left="708" w:right="1041"/>
        <w:jc w:val="both"/>
        <w:rPr>
          <w:rFonts w:ascii="Arial" w:eastAsia="Times New Roman" w:hAnsi="Arial" w:cs="Arial"/>
          <w:sz w:val="21"/>
          <w:szCs w:val="21"/>
          <w:lang w:eastAsia="es-MX"/>
        </w:rPr>
      </w:pPr>
      <w:r w:rsidRPr="004D3DFE">
        <w:rPr>
          <w:rFonts w:ascii="Arial" w:hAnsi="Arial" w:cs="Arial"/>
          <w:sz w:val="21"/>
          <w:szCs w:val="21"/>
        </w:rPr>
        <w:t>«</w:t>
      </w:r>
      <w:r w:rsidRPr="00693361">
        <w:rPr>
          <w:rFonts w:ascii="Arial" w:eastAsia="Times New Roman" w:hAnsi="Arial" w:cs="Arial"/>
          <w:sz w:val="21"/>
          <w:szCs w:val="21"/>
          <w:lang w:eastAsia="es-MX"/>
        </w:rPr>
        <w:t xml:space="preserve">1. Es obligatoria la publicación en Secop II de los documentos precontractuales del proveedor - contratista- , tales como experiencia laboral y soportes de estudio. </w:t>
      </w:r>
    </w:p>
    <w:p w14:paraId="02963FE4" w14:textId="77777777" w:rsidR="008E7766" w:rsidRPr="00693361" w:rsidRDefault="008E7766" w:rsidP="00B1343F">
      <w:pPr>
        <w:pStyle w:val="Sinespaciado"/>
        <w:ind w:left="708" w:right="1041"/>
        <w:jc w:val="both"/>
        <w:rPr>
          <w:rFonts w:ascii="Arial" w:eastAsia="Times New Roman" w:hAnsi="Arial" w:cs="Arial"/>
          <w:sz w:val="21"/>
          <w:szCs w:val="21"/>
          <w:lang w:eastAsia="es-MX"/>
        </w:rPr>
      </w:pPr>
    </w:p>
    <w:p w14:paraId="59906219" w14:textId="77777777" w:rsidR="00B1343F" w:rsidRPr="00693361" w:rsidRDefault="00B1343F" w:rsidP="00B1343F">
      <w:pPr>
        <w:pStyle w:val="Sinespaciado"/>
        <w:ind w:left="708" w:right="1041"/>
        <w:jc w:val="both"/>
        <w:rPr>
          <w:rFonts w:ascii="Arial" w:eastAsia="Times New Roman" w:hAnsi="Arial" w:cs="Arial"/>
          <w:sz w:val="21"/>
          <w:szCs w:val="21"/>
          <w:lang w:eastAsia="es-MX"/>
        </w:rPr>
      </w:pPr>
      <w:r w:rsidRPr="00693361">
        <w:rPr>
          <w:rFonts w:ascii="Arial" w:eastAsia="Times New Roman" w:hAnsi="Arial" w:cs="Arial"/>
          <w:sz w:val="21"/>
          <w:szCs w:val="21"/>
          <w:lang w:eastAsia="es-MX"/>
        </w:rPr>
        <w:t xml:space="preserve">2. Que norma fundamenta la obligatoriedad de la publicación de los documentos precontractuales entiéndase estos los documentos de experiencia laboral y de estudio de un contratista en la plataforma Secop II y seria esto aplicable también para las ordenes de prestación de servicios. </w:t>
      </w:r>
    </w:p>
    <w:p w14:paraId="64E13DC4" w14:textId="77777777" w:rsidR="008E7766" w:rsidRDefault="008E7766" w:rsidP="00B1343F">
      <w:pPr>
        <w:pStyle w:val="Sinespaciado"/>
        <w:ind w:left="708" w:right="1041"/>
        <w:jc w:val="both"/>
        <w:rPr>
          <w:rFonts w:ascii="Arial" w:eastAsia="Times New Roman" w:hAnsi="Arial" w:cs="Arial"/>
          <w:sz w:val="21"/>
          <w:szCs w:val="21"/>
          <w:lang w:eastAsia="es-MX"/>
        </w:rPr>
      </w:pPr>
    </w:p>
    <w:p w14:paraId="131031A6" w14:textId="591DBCCF" w:rsidR="00B1343F" w:rsidRPr="00693361" w:rsidRDefault="00B1343F" w:rsidP="00B1343F">
      <w:pPr>
        <w:pStyle w:val="Sinespaciado"/>
        <w:ind w:left="708" w:right="1041"/>
        <w:jc w:val="both"/>
        <w:rPr>
          <w:rFonts w:ascii="Arial" w:eastAsia="Times New Roman" w:hAnsi="Arial" w:cs="Arial"/>
          <w:sz w:val="21"/>
          <w:szCs w:val="21"/>
          <w:lang w:eastAsia="es-MX"/>
        </w:rPr>
      </w:pPr>
      <w:r w:rsidRPr="00693361">
        <w:rPr>
          <w:rFonts w:ascii="Arial" w:eastAsia="Times New Roman" w:hAnsi="Arial" w:cs="Arial"/>
          <w:sz w:val="21"/>
          <w:szCs w:val="21"/>
          <w:lang w:eastAsia="es-MX"/>
        </w:rPr>
        <w:t xml:space="preserve">3. Cuando la norma Decreto 1082 de 2015 se refiere a Documentos del Proceso son: </w:t>
      </w:r>
      <w:r>
        <w:rPr>
          <w:rFonts w:ascii="Arial" w:eastAsia="Times New Roman" w:hAnsi="Arial" w:cs="Arial"/>
          <w:sz w:val="21"/>
          <w:szCs w:val="21"/>
          <w:lang w:eastAsia="es-MX"/>
        </w:rPr>
        <w:t>“</w:t>
      </w:r>
      <w:r w:rsidRPr="00693361">
        <w:rPr>
          <w:rFonts w:ascii="Arial" w:eastAsia="Times New Roman" w:hAnsi="Arial" w:cs="Arial"/>
          <w:sz w:val="21"/>
          <w:szCs w:val="21"/>
          <w:lang w:eastAsia="es-MX"/>
        </w:rPr>
        <w:t xml:space="preserve">(a) los estudios y documentos previos; (b) el aviso de convocatoria; (c) los pliegos de condiciones o la invitación; (d) las Adendas; (e) la oferta; (f) el informe de evaluación; (g) el contrato; y cualquier otro documento expedido por la Entidad Estatal durante el Proceso de </w:t>
      </w:r>
      <w:r w:rsidRPr="00693361">
        <w:rPr>
          <w:rFonts w:ascii="Arial" w:eastAsia="Times New Roman" w:hAnsi="Arial" w:cs="Arial"/>
          <w:sz w:val="21"/>
          <w:szCs w:val="21"/>
          <w:lang w:eastAsia="es-MX"/>
        </w:rPr>
        <w:lastRenderedPageBreak/>
        <w:t>Contratación.</w:t>
      </w:r>
      <w:r>
        <w:rPr>
          <w:rFonts w:ascii="Arial" w:eastAsia="Times New Roman" w:hAnsi="Arial" w:cs="Arial"/>
          <w:sz w:val="21"/>
          <w:szCs w:val="21"/>
          <w:lang w:eastAsia="es-MX"/>
        </w:rPr>
        <w:t>”</w:t>
      </w:r>
      <w:r w:rsidRPr="00693361">
        <w:rPr>
          <w:rFonts w:ascii="Arial" w:eastAsia="Times New Roman" w:hAnsi="Arial" w:cs="Arial"/>
          <w:sz w:val="21"/>
          <w:szCs w:val="21"/>
          <w:lang w:eastAsia="es-MX"/>
        </w:rPr>
        <w:t xml:space="preserve"> dentro del literal a. se contemplan los documentos que acreditan la idoneidad del contratista? dentro del literal e. la oferta, se contemplan los documentos que acreditan la idoneidad del contratista y en este último caso quien tiene la responsabilidad de hacerlo exigible, la entidad o es el contratista quien debe publicarlo y en caso que este último tenga dicha responsabilidad al no hacerlo debe la entidad exigirlo? </w:t>
      </w:r>
    </w:p>
    <w:p w14:paraId="3FBA31CC" w14:textId="77777777" w:rsidR="008E7766" w:rsidRDefault="008E7766" w:rsidP="00B1343F">
      <w:pPr>
        <w:pStyle w:val="Sinespaciado"/>
        <w:ind w:left="708" w:right="1041"/>
        <w:jc w:val="both"/>
        <w:rPr>
          <w:rFonts w:ascii="Arial" w:eastAsia="Times New Roman" w:hAnsi="Arial" w:cs="Arial"/>
          <w:sz w:val="21"/>
          <w:szCs w:val="21"/>
          <w:lang w:eastAsia="es-MX"/>
        </w:rPr>
      </w:pPr>
    </w:p>
    <w:p w14:paraId="6F4D7B9A" w14:textId="300B61F8" w:rsidR="00B1343F" w:rsidRPr="00693361" w:rsidRDefault="00B1343F" w:rsidP="00B1343F">
      <w:pPr>
        <w:pStyle w:val="Sinespaciado"/>
        <w:ind w:left="708" w:right="1041"/>
        <w:jc w:val="both"/>
        <w:rPr>
          <w:rFonts w:ascii="Arial" w:eastAsia="Times New Roman" w:hAnsi="Arial" w:cs="Arial"/>
          <w:sz w:val="21"/>
          <w:szCs w:val="21"/>
          <w:lang w:eastAsia="es-MX"/>
        </w:rPr>
      </w:pPr>
      <w:r w:rsidRPr="00693361">
        <w:rPr>
          <w:rFonts w:ascii="Arial" w:eastAsia="Times New Roman" w:hAnsi="Arial" w:cs="Arial"/>
          <w:sz w:val="21"/>
          <w:szCs w:val="21"/>
          <w:lang w:eastAsia="es-MX"/>
        </w:rPr>
        <w:t xml:space="preserve">4. Es viable omitir la publicación de los documentos de experiencia laboral o de estudio de un contratista en el SECOP por el hecho que se encuentren subidos los soportes en la plataforma SIGEP o SIDEAP en caso afirmativo que lo fundamenta y como se garantiza el acceso público de esta información cuando es solamente la entidad contratante quien tiene acceso a los soportes a validar en SIDEAP O SIGEP y como se entrelazan estas plataformas con Secop? </w:t>
      </w:r>
    </w:p>
    <w:p w14:paraId="7AC36D9C" w14:textId="77777777" w:rsidR="008E7766" w:rsidRDefault="008E7766" w:rsidP="00B1343F">
      <w:pPr>
        <w:pStyle w:val="Sinespaciado"/>
        <w:ind w:left="708" w:right="1041"/>
        <w:jc w:val="both"/>
        <w:rPr>
          <w:rFonts w:ascii="Arial" w:eastAsia="Times New Roman" w:hAnsi="Arial" w:cs="Arial"/>
          <w:sz w:val="21"/>
          <w:szCs w:val="21"/>
          <w:lang w:eastAsia="es-MX"/>
        </w:rPr>
      </w:pPr>
    </w:p>
    <w:p w14:paraId="0A8BBC08" w14:textId="65153C9E" w:rsidR="00B1343F" w:rsidRPr="00693361" w:rsidRDefault="00B1343F" w:rsidP="00B1343F">
      <w:pPr>
        <w:pStyle w:val="Sinespaciado"/>
        <w:ind w:left="708" w:right="1041"/>
        <w:jc w:val="both"/>
        <w:rPr>
          <w:rFonts w:ascii="Arial" w:eastAsia="Times New Roman" w:hAnsi="Arial" w:cs="Arial"/>
          <w:sz w:val="21"/>
          <w:szCs w:val="21"/>
          <w:lang w:eastAsia="es-MX"/>
        </w:rPr>
      </w:pPr>
      <w:r w:rsidRPr="00693361">
        <w:rPr>
          <w:rFonts w:ascii="Arial" w:eastAsia="Times New Roman" w:hAnsi="Arial" w:cs="Arial"/>
          <w:sz w:val="21"/>
          <w:szCs w:val="21"/>
          <w:lang w:eastAsia="es-MX"/>
        </w:rPr>
        <w:t xml:space="preserve">5. Es viable omitir la publicación de los documentos que acrediten la idoneidad de un proveedor a contratar en el caso de los CPS, bajo el entendido que el ordenador del gasto lo acredita con el documento de idoneidad y este último documento si se publica. </w:t>
      </w:r>
    </w:p>
    <w:p w14:paraId="59F98A6E" w14:textId="77777777" w:rsidR="008E7766" w:rsidRDefault="008E7766" w:rsidP="00B1343F">
      <w:pPr>
        <w:pStyle w:val="Sinespaciado"/>
        <w:ind w:left="708" w:right="1041"/>
        <w:jc w:val="both"/>
        <w:rPr>
          <w:rFonts w:ascii="Arial" w:hAnsi="Arial" w:cs="Arial"/>
          <w:sz w:val="21"/>
          <w:szCs w:val="21"/>
        </w:rPr>
      </w:pPr>
    </w:p>
    <w:p w14:paraId="2DB946C4" w14:textId="3650EF4F" w:rsidR="00B1343F" w:rsidRPr="00693361" w:rsidRDefault="00B1343F" w:rsidP="00B1343F">
      <w:pPr>
        <w:pStyle w:val="Sinespaciado"/>
        <w:ind w:left="708" w:right="1041"/>
        <w:jc w:val="both"/>
        <w:rPr>
          <w:rFonts w:ascii="Arial" w:hAnsi="Arial" w:cs="Arial"/>
          <w:sz w:val="22"/>
        </w:rPr>
      </w:pPr>
      <w:r w:rsidRPr="00693361">
        <w:rPr>
          <w:rFonts w:ascii="Arial" w:hAnsi="Arial" w:cs="Arial"/>
          <w:sz w:val="21"/>
          <w:szCs w:val="21"/>
        </w:rPr>
        <w:t>6. Las operaciones transaccionales, como la aceptación de los pagos al contratista que se realizan en la plataforma Secop II, ¿requieren la publicación de los soportes que dan lugar al mencionado pago?, ¿entiéndase esto como recibo a satisfacción, paz y salvos, informes? o con la simple aceptación en la plataforma se puede dar por entendido que se recibió́ a satisfacción?</w:t>
      </w:r>
      <w:r w:rsidRPr="004D3DFE">
        <w:rPr>
          <w:rFonts w:ascii="Arial" w:hAnsi="Arial" w:cs="Arial"/>
          <w:sz w:val="21"/>
          <w:szCs w:val="21"/>
        </w:rPr>
        <w:t>»</w:t>
      </w:r>
      <w:r>
        <w:rPr>
          <w:rFonts w:ascii="Arial" w:hAnsi="Arial" w:cs="Arial"/>
          <w:sz w:val="21"/>
          <w:szCs w:val="21"/>
        </w:rPr>
        <w:t xml:space="preserve">. </w:t>
      </w:r>
    </w:p>
    <w:p w14:paraId="32B9127B" w14:textId="0F7E8138" w:rsidR="00E02237" w:rsidRDefault="008D5223" w:rsidP="000F7DE7">
      <w:pPr>
        <w:spacing w:before="120" w:line="276" w:lineRule="auto"/>
        <w:jc w:val="both"/>
        <w:rPr>
          <w:rFonts w:ascii="Arial" w:eastAsia="Calibri" w:hAnsi="Arial" w:cs="Arial"/>
          <w:b/>
          <w:color w:val="000000" w:themeColor="text1"/>
          <w:sz w:val="22"/>
          <w:lang w:val="es-ES"/>
        </w:rPr>
      </w:pPr>
      <w:r w:rsidRPr="00E579B5">
        <w:rPr>
          <w:rFonts w:ascii="Arial" w:eastAsia="Calibri" w:hAnsi="Arial" w:cs="Arial"/>
          <w:b/>
          <w:color w:val="000000" w:themeColor="text1"/>
          <w:sz w:val="22"/>
          <w:lang w:val="es-ES"/>
        </w:rPr>
        <w:t xml:space="preserve">2. </w:t>
      </w:r>
      <w:r w:rsidR="007D0174" w:rsidRPr="00E579B5">
        <w:rPr>
          <w:rFonts w:ascii="Arial" w:eastAsia="Calibri" w:hAnsi="Arial" w:cs="Arial"/>
          <w:b/>
          <w:color w:val="000000" w:themeColor="text1"/>
          <w:sz w:val="22"/>
          <w:lang w:val="es-ES"/>
        </w:rPr>
        <w:t>Consideraciones</w:t>
      </w:r>
      <w:r w:rsidR="00E02237" w:rsidRPr="00E579B5">
        <w:rPr>
          <w:rFonts w:ascii="Arial" w:eastAsia="Calibri" w:hAnsi="Arial" w:cs="Arial"/>
          <w:b/>
          <w:color w:val="000000" w:themeColor="text1"/>
          <w:sz w:val="22"/>
          <w:lang w:val="es-ES"/>
        </w:rPr>
        <w:t xml:space="preserve"> </w:t>
      </w:r>
    </w:p>
    <w:p w14:paraId="03300ADA" w14:textId="77777777" w:rsidR="00BB642A" w:rsidRPr="00E579B5" w:rsidRDefault="00BB642A" w:rsidP="00F273F5">
      <w:pPr>
        <w:jc w:val="both"/>
        <w:rPr>
          <w:rFonts w:ascii="Arial" w:eastAsia="Calibri" w:hAnsi="Arial" w:cs="Arial"/>
          <w:b/>
          <w:color w:val="000000" w:themeColor="text1"/>
          <w:sz w:val="22"/>
          <w:lang w:val="es-ES"/>
        </w:rPr>
      </w:pPr>
    </w:p>
    <w:p w14:paraId="32329D93" w14:textId="77777777" w:rsidR="00BB642A" w:rsidRDefault="00BB642A" w:rsidP="00BB642A">
      <w:pPr>
        <w:spacing w:after="120" w:line="276" w:lineRule="auto"/>
        <w:jc w:val="both"/>
        <w:rPr>
          <w:rFonts w:ascii="Arial" w:hAnsi="Arial" w:cs="Arial"/>
          <w:bCs/>
          <w:sz w:val="22"/>
        </w:rPr>
      </w:pPr>
      <w:r w:rsidRPr="00162BC5">
        <w:rPr>
          <w:rFonts w:ascii="Arial" w:hAnsi="Arial" w:cs="Arial"/>
          <w:bCs/>
          <w:sz w:val="22"/>
        </w:rPr>
        <w:t xml:space="preserve">En ejercicio de las competencias </w:t>
      </w:r>
      <w:r>
        <w:rPr>
          <w:rFonts w:ascii="Arial" w:hAnsi="Arial" w:cs="Arial"/>
          <w:bCs/>
          <w:sz w:val="22"/>
        </w:rPr>
        <w:t>establecidas</w:t>
      </w:r>
      <w:r w:rsidRPr="00162BC5">
        <w:rPr>
          <w:rFonts w:ascii="Arial" w:hAnsi="Arial" w:cs="Arial"/>
          <w:bCs/>
          <w:sz w:val="22"/>
        </w:rPr>
        <w:t xml:space="preserve"> en los artículos 3</w:t>
      </w:r>
      <w:r>
        <w:rPr>
          <w:rFonts w:ascii="Arial" w:hAnsi="Arial" w:cs="Arial"/>
          <w:bCs/>
          <w:sz w:val="22"/>
        </w:rPr>
        <w:t>.</w:t>
      </w:r>
      <w:r w:rsidRPr="00162BC5">
        <w:rPr>
          <w:rFonts w:ascii="Arial" w:hAnsi="Arial" w:cs="Arial"/>
          <w:bCs/>
          <w:sz w:val="22"/>
        </w:rPr>
        <w:t>5</w:t>
      </w:r>
      <w:r>
        <w:rPr>
          <w:rFonts w:ascii="Arial" w:hAnsi="Arial" w:cs="Arial"/>
          <w:bCs/>
          <w:sz w:val="22"/>
        </w:rPr>
        <w:t xml:space="preserve"> y</w:t>
      </w:r>
      <w:r w:rsidRPr="00162BC5">
        <w:rPr>
          <w:rFonts w:ascii="Arial" w:hAnsi="Arial" w:cs="Arial"/>
          <w:bCs/>
          <w:sz w:val="22"/>
        </w:rPr>
        <w:t xml:space="preserve"> 11</w:t>
      </w:r>
      <w:r>
        <w:rPr>
          <w:rFonts w:ascii="Arial" w:hAnsi="Arial" w:cs="Arial"/>
          <w:bCs/>
          <w:sz w:val="22"/>
        </w:rPr>
        <w:t>.</w:t>
      </w:r>
      <w:r w:rsidRPr="00162BC5">
        <w:rPr>
          <w:rFonts w:ascii="Arial" w:hAnsi="Arial" w:cs="Arial"/>
          <w:bCs/>
          <w:sz w:val="22"/>
        </w:rPr>
        <w:t>8</w:t>
      </w:r>
      <w:r>
        <w:rPr>
          <w:rFonts w:ascii="Arial" w:hAnsi="Arial" w:cs="Arial"/>
          <w:bCs/>
          <w:sz w:val="22"/>
        </w:rPr>
        <w:t xml:space="preserve"> </w:t>
      </w:r>
      <w:r w:rsidRPr="00162BC5">
        <w:rPr>
          <w:rFonts w:ascii="Arial" w:hAnsi="Arial" w:cs="Arial"/>
          <w:bCs/>
          <w:sz w:val="22"/>
        </w:rPr>
        <w:t>del Decreto 4170 de 2011, la Agencia Nacional de Contratación Pública – Colombia Compra Eficiente resuelve las consultas sobre los asuntos de su competencia, esto es, sobre las temáticas de la contratación estatal y compras públicas relacionadas en los artículos citados</w:t>
      </w:r>
      <w:r>
        <w:rPr>
          <w:rFonts w:ascii="Arial" w:hAnsi="Arial" w:cs="Arial"/>
          <w:bCs/>
          <w:sz w:val="22"/>
        </w:rPr>
        <w:t>.</w:t>
      </w:r>
    </w:p>
    <w:p w14:paraId="5AD3E97E" w14:textId="280DB3A7" w:rsidR="00BB642A" w:rsidRPr="00162BC5" w:rsidRDefault="00BB642A" w:rsidP="00BB642A">
      <w:pPr>
        <w:spacing w:after="120" w:line="276" w:lineRule="auto"/>
        <w:ind w:firstLine="708"/>
        <w:jc w:val="both"/>
        <w:rPr>
          <w:rFonts w:ascii="Arial" w:hAnsi="Arial" w:cs="Arial"/>
          <w:sz w:val="22"/>
          <w:lang w:val="es-ES"/>
        </w:rPr>
      </w:pPr>
      <w:bookmarkStart w:id="3" w:name="_Hlk61701014"/>
      <w:bookmarkStart w:id="4" w:name="_Hlk62136649"/>
      <w:r>
        <w:rPr>
          <w:rFonts w:ascii="Arial" w:hAnsi="Arial" w:cs="Arial"/>
          <w:sz w:val="22"/>
          <w:lang w:val="es-ES"/>
        </w:rPr>
        <w:t>E</w:t>
      </w:r>
      <w:r w:rsidRPr="00162BC5">
        <w:rPr>
          <w:rFonts w:ascii="Arial" w:hAnsi="Arial" w:cs="Arial"/>
          <w:sz w:val="22"/>
          <w:lang w:val="es-ES"/>
        </w:rPr>
        <w:t xml:space="preserve">s necesario tener en cuenta que </w:t>
      </w:r>
      <w:bookmarkStart w:id="5" w:name="_Hlk61026958"/>
      <w:r w:rsidRPr="00162BC5">
        <w:rPr>
          <w:rFonts w:ascii="Arial" w:hAnsi="Arial" w:cs="Arial"/>
          <w:sz w:val="22"/>
          <w:lang w:val="es-ES"/>
        </w:rPr>
        <w:t xml:space="preserve">esta </w:t>
      </w:r>
      <w:r>
        <w:rPr>
          <w:rFonts w:ascii="Arial" w:hAnsi="Arial" w:cs="Arial"/>
          <w:sz w:val="22"/>
          <w:lang w:val="es-ES"/>
        </w:rPr>
        <w:t>e</w:t>
      </w:r>
      <w:r w:rsidRPr="00162BC5">
        <w:rPr>
          <w:rFonts w:ascii="Arial" w:hAnsi="Arial" w:cs="Arial"/>
          <w:sz w:val="22"/>
          <w:lang w:val="es-ES"/>
        </w:rPr>
        <w:t>ntidad solo tiene competencia para responder solicitudes sobre la aplicación de normas de carácter general en materia de compras y contratación pública. En ese sentido, resolver casos particulares</w:t>
      </w:r>
      <w:r>
        <w:rPr>
          <w:rFonts w:ascii="Arial" w:hAnsi="Arial" w:cs="Arial"/>
          <w:sz w:val="22"/>
          <w:lang w:val="es-ES"/>
        </w:rPr>
        <w:t xml:space="preserve"> o validar actuaciones de las entidades estatales</w:t>
      </w:r>
      <w:r w:rsidRPr="00162BC5">
        <w:rPr>
          <w:rFonts w:ascii="Arial" w:hAnsi="Arial" w:cs="Arial"/>
          <w:sz w:val="22"/>
          <w:lang w:val="es-ES"/>
        </w:rPr>
        <w:t xml:space="preserve"> desborda las atribuciones asignada</w:t>
      </w:r>
      <w:r>
        <w:rPr>
          <w:rFonts w:ascii="Arial" w:hAnsi="Arial" w:cs="Arial"/>
          <w:sz w:val="22"/>
          <w:lang w:val="es-ES"/>
        </w:rPr>
        <w:t>s</w:t>
      </w:r>
      <w:r w:rsidRPr="00162BC5">
        <w:rPr>
          <w:rFonts w:ascii="Arial" w:hAnsi="Arial" w:cs="Arial"/>
          <w:sz w:val="22"/>
          <w:lang w:val="es-ES"/>
        </w:rPr>
        <w:t xml:space="preserve"> por el legislador extraordinario, que no concibió a Colombia Compra Eficiente como una autoridad para solucionar problemas jurídicos particulares</w:t>
      </w:r>
      <w:r>
        <w:rPr>
          <w:rFonts w:ascii="Arial" w:hAnsi="Arial" w:cs="Arial"/>
          <w:bCs/>
          <w:sz w:val="22"/>
        </w:rPr>
        <w:t xml:space="preserve"> de todos los partícipes de la contratación estatal.</w:t>
      </w:r>
    </w:p>
    <w:p w14:paraId="0EB15F7E" w14:textId="77777777" w:rsidR="00BB642A" w:rsidRDefault="00BB642A" w:rsidP="00BB642A">
      <w:pPr>
        <w:spacing w:after="120" w:line="276" w:lineRule="auto"/>
        <w:ind w:firstLine="708"/>
        <w:jc w:val="both"/>
        <w:rPr>
          <w:rFonts w:ascii="Arial" w:hAnsi="Arial" w:cs="Arial"/>
          <w:sz w:val="22"/>
          <w:lang w:val="es-ES"/>
        </w:rPr>
      </w:pPr>
      <w:r w:rsidRPr="00162BC5">
        <w:rPr>
          <w:rFonts w:ascii="Arial" w:hAnsi="Arial" w:cs="Arial"/>
          <w:sz w:val="22"/>
          <w:lang w:val="es-ES"/>
        </w:rPr>
        <w:t xml:space="preserve">La competencia de esta entidad se fija con límites claros, con el objeto de evitar que la Agencia actúe como una instancia de validación de las actuaciones de las entidades </w:t>
      </w:r>
      <w:r w:rsidRPr="00162BC5">
        <w:rPr>
          <w:rFonts w:ascii="Arial" w:hAnsi="Arial" w:cs="Arial"/>
          <w:sz w:val="22"/>
          <w:lang w:val="es-ES"/>
        </w:rPr>
        <w:lastRenderedPageBreak/>
        <w:t>sujetas a la Ley 80 de 1993 o de los demás participantes de la contratación pública</w:t>
      </w:r>
      <w:r w:rsidRPr="00162BC5">
        <w:rPr>
          <w:rFonts w:ascii="Arial" w:hAnsi="Arial" w:cs="Arial"/>
          <w:sz w:val="22"/>
          <w:vertAlign w:val="superscript"/>
          <w:lang w:val="es-ES"/>
        </w:rPr>
        <w:footnoteReference w:id="1"/>
      </w:r>
      <w:r w:rsidRPr="00162BC5">
        <w:rPr>
          <w:rFonts w:ascii="Arial" w:hAnsi="Arial" w:cs="Arial"/>
          <w:sz w:val="22"/>
          <w:lang w:val="es-ES"/>
        </w:rPr>
        <w:t xml:space="preserve">. Esta competencia de interpretación de normas generales, por definición, no puede extenderse a la resolución de controversias, ni a brindar asesorías sobre casos puntuales. </w:t>
      </w:r>
      <w:r>
        <w:rPr>
          <w:rFonts w:ascii="Arial" w:hAnsi="Arial" w:cs="Arial"/>
          <w:sz w:val="22"/>
          <w:lang w:val="es-ES"/>
        </w:rPr>
        <w:t>Esto</w:t>
      </w:r>
      <w:r w:rsidRPr="00162BC5">
        <w:rPr>
          <w:rFonts w:ascii="Arial" w:hAnsi="Arial" w:cs="Arial"/>
          <w:sz w:val="22"/>
          <w:lang w:val="es-ES"/>
        </w:rPr>
        <w:t xml:space="preserve"> en la medida en </w:t>
      </w:r>
      <w:proofErr w:type="gramStart"/>
      <w:r w:rsidRPr="00162BC5">
        <w:rPr>
          <w:rFonts w:ascii="Arial" w:hAnsi="Arial" w:cs="Arial"/>
          <w:sz w:val="22"/>
          <w:lang w:val="es-ES"/>
        </w:rPr>
        <w:t>que</w:t>
      </w:r>
      <w:proofErr w:type="gramEnd"/>
      <w:r w:rsidRPr="00162BC5">
        <w:rPr>
          <w:rFonts w:ascii="Arial" w:hAnsi="Arial" w:cs="Arial"/>
          <w:sz w:val="22"/>
          <w:lang w:val="es-ES"/>
        </w:rPr>
        <w:t xml:space="preserve"> para resolver una consulta de carácter particular, además de conocer un sinnúmero de detalles de la actuación administrativa, es necesario acceder al expediente y a los documentos del procedimiento contractual donde surge la inquietud</w:t>
      </w:r>
      <w:bookmarkEnd w:id="5"/>
      <w:r>
        <w:rPr>
          <w:rFonts w:ascii="Arial" w:hAnsi="Arial" w:cs="Arial"/>
          <w:sz w:val="22"/>
          <w:lang w:val="es-ES"/>
        </w:rPr>
        <w:t xml:space="preserve">. Por lo anterior, previo concepto de sus órganos asesores, la solución de estos temas corresponde a la entidad que adelanta el procedimiento de selección y, en caso de conflicto, a las autoridades judiciales, fiscales y disciplinarias. </w:t>
      </w:r>
      <w:bookmarkEnd w:id="3"/>
    </w:p>
    <w:bookmarkEnd w:id="4"/>
    <w:p w14:paraId="6CB7E921" w14:textId="064B14AE" w:rsidR="00E244A4" w:rsidRPr="007F7FC2" w:rsidRDefault="00BB642A" w:rsidP="00F273F5">
      <w:pPr>
        <w:spacing w:after="120" w:line="276" w:lineRule="auto"/>
        <w:ind w:firstLine="708"/>
        <w:jc w:val="both"/>
        <w:rPr>
          <w:rFonts w:ascii="Arial" w:eastAsia="Times New Roman" w:hAnsi="Arial" w:cs="Arial"/>
          <w:sz w:val="22"/>
          <w:lang w:val="es-CO" w:eastAsia="es-MX"/>
        </w:rPr>
      </w:pPr>
      <w:r>
        <w:rPr>
          <w:rFonts w:ascii="Arial" w:eastAsia="Calibri" w:hAnsi="Arial" w:cs="Arial"/>
          <w:color w:val="000000" w:themeColor="text1"/>
          <w:sz w:val="22"/>
        </w:rPr>
        <w:t xml:space="preserve">Sin perjuicio de lo anterior, </w:t>
      </w:r>
      <w:r>
        <w:rPr>
          <w:rFonts w:ascii="Arial" w:eastAsia="Calibri" w:hAnsi="Arial" w:cs="Arial"/>
          <w:color w:val="000000" w:themeColor="text1"/>
          <w:sz w:val="22"/>
          <w:lang w:val="es-ES"/>
        </w:rPr>
        <w:t xml:space="preserve">la Subdirección –dentro de los límites de sus atribuciones, esto es, </w:t>
      </w:r>
      <w:bookmarkStart w:id="6" w:name="_Hlk61025408"/>
      <w:r>
        <w:rPr>
          <w:rFonts w:ascii="Arial" w:eastAsia="Calibri" w:hAnsi="Arial" w:cs="Arial"/>
          <w:color w:val="000000" w:themeColor="text1"/>
          <w:sz w:val="22"/>
          <w:lang w:val="es-ES"/>
        </w:rPr>
        <w:t>haciendo abstracción del caso particular expuesto por el peticionario</w:t>
      </w:r>
      <w:bookmarkEnd w:id="6"/>
      <w:r>
        <w:rPr>
          <w:rFonts w:ascii="Arial" w:eastAsia="Calibri" w:hAnsi="Arial" w:cs="Arial"/>
          <w:color w:val="000000" w:themeColor="text1"/>
          <w:sz w:val="22"/>
          <w:lang w:val="es-ES"/>
        </w:rPr>
        <w:t xml:space="preserve">– resolverá la consulta conforme a las normas generales en materia de contratación estatal. Con este objetivo se analizarán los siguientes temas: </w:t>
      </w:r>
      <w:r w:rsidR="00E244A4" w:rsidRPr="00E244A4">
        <w:rPr>
          <w:rFonts w:ascii="Arial" w:eastAsia="Calibri" w:hAnsi="Arial" w:cs="Arial"/>
          <w:color w:val="000000" w:themeColor="text1"/>
          <w:sz w:val="22"/>
          <w:lang w:val="es-CO" w:eastAsia="es-MX"/>
        </w:rPr>
        <w:t xml:space="preserve">i) </w:t>
      </w:r>
      <w:r w:rsidR="00693DD8">
        <w:rPr>
          <w:rFonts w:ascii="Arial" w:eastAsia="Calibri" w:hAnsi="Arial" w:cs="Arial"/>
          <w:color w:val="000000" w:themeColor="text1"/>
          <w:sz w:val="22"/>
          <w:lang w:val="es-CO" w:eastAsia="es-MX"/>
        </w:rPr>
        <w:t>publicidad de los Documentos del Proceso en el</w:t>
      </w:r>
      <w:r w:rsidR="00B1343F">
        <w:rPr>
          <w:rFonts w:ascii="Arial" w:eastAsia="Calibri" w:hAnsi="Arial" w:cs="Arial"/>
          <w:color w:val="000000" w:themeColor="text1"/>
          <w:sz w:val="22"/>
          <w:lang w:val="es-CO" w:eastAsia="es-MX"/>
        </w:rPr>
        <w:t xml:space="preserve"> Sistema Electrónico de Contratación Pública –</w:t>
      </w:r>
      <w:r w:rsidR="00693DD8">
        <w:rPr>
          <w:rFonts w:ascii="Arial" w:eastAsia="Calibri" w:hAnsi="Arial" w:cs="Arial"/>
          <w:color w:val="000000" w:themeColor="text1"/>
          <w:sz w:val="22"/>
          <w:lang w:val="es-CO" w:eastAsia="es-MX"/>
        </w:rPr>
        <w:t>SECOP</w:t>
      </w:r>
      <w:r w:rsidR="00B1343F">
        <w:rPr>
          <w:rFonts w:ascii="Arial" w:eastAsia="Calibri" w:hAnsi="Arial" w:cs="Arial"/>
          <w:color w:val="000000" w:themeColor="text1"/>
          <w:sz w:val="22"/>
          <w:lang w:val="es-CO" w:eastAsia="es-MX"/>
        </w:rPr>
        <w:t xml:space="preserve">–. </w:t>
      </w:r>
    </w:p>
    <w:p w14:paraId="21F4FEAE" w14:textId="237C7DC7" w:rsidR="00E244A4" w:rsidRDefault="00693DD8" w:rsidP="009500D9">
      <w:pPr>
        <w:spacing w:before="120" w:line="276" w:lineRule="auto"/>
        <w:ind w:firstLine="708"/>
        <w:jc w:val="both"/>
        <w:rPr>
          <w:rFonts w:ascii="Arial" w:eastAsia="Calibri" w:hAnsi="Arial" w:cs="Arial"/>
          <w:color w:val="000000" w:themeColor="text1"/>
          <w:sz w:val="22"/>
          <w:lang w:val="es-ES_tradnl"/>
        </w:rPr>
      </w:pPr>
      <w:r w:rsidRPr="00217435">
        <w:rPr>
          <w:rFonts w:ascii="Arial" w:eastAsia="Calibri" w:hAnsi="Arial" w:cs="Arial"/>
          <w:sz w:val="22"/>
          <w:lang w:val="es-ES"/>
        </w:rPr>
        <w:t>La Agencia Nacional de Contratación Pública – Colombia Compra Eficiente ha tenido la oportunidad de e</w:t>
      </w:r>
      <w:r w:rsidR="003B5E21">
        <w:rPr>
          <w:rFonts w:ascii="Arial" w:eastAsia="Calibri" w:hAnsi="Arial" w:cs="Arial"/>
          <w:sz w:val="22"/>
          <w:lang w:val="es-ES"/>
        </w:rPr>
        <w:t>studiar en diferentes ocasiones el tema de la</w:t>
      </w:r>
      <w:r w:rsidRPr="00217435">
        <w:rPr>
          <w:rFonts w:ascii="Arial" w:eastAsia="Calibri" w:hAnsi="Arial" w:cs="Arial"/>
          <w:sz w:val="22"/>
          <w:lang w:val="es-ES"/>
        </w:rPr>
        <w:t xml:space="preserve"> publicación de documentación contractual en las plataformas SECOP</w:t>
      </w:r>
      <w:r>
        <w:rPr>
          <w:rFonts w:ascii="Arial" w:eastAsia="Calibri" w:hAnsi="Arial" w:cs="Arial"/>
          <w:sz w:val="22"/>
          <w:lang w:val="es-ES"/>
        </w:rPr>
        <w:t xml:space="preserve"> I y SECOP II, posiciones que fueron</w:t>
      </w:r>
      <w:r w:rsidRPr="00217435">
        <w:rPr>
          <w:rFonts w:ascii="Arial" w:eastAsia="Calibri" w:hAnsi="Arial" w:cs="Arial"/>
          <w:sz w:val="22"/>
          <w:lang w:val="es-ES"/>
        </w:rPr>
        <w:t xml:space="preserve"> unificadas </w:t>
      </w:r>
      <w:r>
        <w:rPr>
          <w:rFonts w:ascii="Arial" w:eastAsia="Calibri" w:hAnsi="Arial" w:cs="Arial"/>
          <w:sz w:val="22"/>
          <w:lang w:val="es-ES"/>
        </w:rPr>
        <w:t>en el concepto CU-367 del 23 de julio de 2020</w:t>
      </w:r>
      <w:r w:rsidRPr="00217435">
        <w:rPr>
          <w:rFonts w:ascii="Arial" w:eastAsia="Calibri" w:hAnsi="Arial" w:cs="Arial"/>
          <w:sz w:val="22"/>
          <w:lang w:val="es-ES"/>
        </w:rPr>
        <w:t xml:space="preserve">. </w:t>
      </w:r>
      <w:r w:rsidR="007F7FC2">
        <w:rPr>
          <w:rFonts w:ascii="Arial" w:eastAsia="Calibri" w:hAnsi="Arial" w:cs="Arial"/>
          <w:color w:val="000000"/>
          <w:sz w:val="22"/>
          <w:lang w:val="es-ES_tradnl" w:eastAsia="en-GB"/>
        </w:rPr>
        <w:t xml:space="preserve"> </w:t>
      </w:r>
      <w:r w:rsidR="00003197">
        <w:rPr>
          <w:rFonts w:ascii="Arial" w:eastAsia="Calibri" w:hAnsi="Arial" w:cs="Arial"/>
          <w:color w:val="000000"/>
          <w:sz w:val="22"/>
          <w:lang w:val="es-ES_tradnl" w:eastAsia="en-GB"/>
        </w:rPr>
        <w:t xml:space="preserve">De igual </w:t>
      </w:r>
      <w:r w:rsidR="00D66CCA">
        <w:rPr>
          <w:rFonts w:ascii="Arial" w:eastAsia="Calibri" w:hAnsi="Arial" w:cs="Arial"/>
          <w:color w:val="000000"/>
          <w:sz w:val="22"/>
          <w:lang w:val="es-ES_tradnl" w:eastAsia="en-GB"/>
        </w:rPr>
        <w:t>manera, en</w:t>
      </w:r>
      <w:r w:rsidR="00003197">
        <w:rPr>
          <w:rFonts w:ascii="Arial" w:eastAsia="Calibri" w:hAnsi="Arial" w:cs="Arial"/>
          <w:color w:val="000000"/>
          <w:sz w:val="22"/>
          <w:lang w:val="es-ES_tradnl" w:eastAsia="en-GB"/>
        </w:rPr>
        <w:t xml:space="preserve"> el concepto </w:t>
      </w:r>
      <w:r w:rsidR="00003197" w:rsidRPr="00CE085C">
        <w:rPr>
          <w:rFonts w:ascii="Arial" w:eastAsia="Calibri" w:hAnsi="Arial" w:cs="Arial"/>
          <w:color w:val="000000"/>
          <w:sz w:val="22"/>
          <w:lang w:val="es-ES_tradnl" w:eastAsia="en-GB"/>
        </w:rPr>
        <w:t>C- 313 de 2021</w:t>
      </w:r>
      <w:r w:rsidR="00D66CCA">
        <w:rPr>
          <w:rFonts w:ascii="Arial" w:eastAsia="Calibri" w:hAnsi="Arial" w:cs="Arial"/>
          <w:color w:val="000000"/>
          <w:sz w:val="22"/>
          <w:lang w:val="es-ES_tradnl" w:eastAsia="en-GB"/>
        </w:rPr>
        <w:t xml:space="preserve"> precisó cuáles son </w:t>
      </w:r>
      <w:r w:rsidR="00CE085C">
        <w:rPr>
          <w:rFonts w:ascii="Arial" w:eastAsia="Calibri" w:hAnsi="Arial" w:cs="Arial"/>
          <w:color w:val="000000"/>
          <w:sz w:val="22"/>
          <w:lang w:val="es-ES_tradnl" w:eastAsia="en-GB"/>
        </w:rPr>
        <w:t>los documentos que deben publicarse en el SECOP.</w:t>
      </w:r>
      <w:r w:rsidR="00003197">
        <w:rPr>
          <w:rFonts w:ascii="Arial" w:eastAsia="Calibri" w:hAnsi="Arial" w:cs="Arial"/>
          <w:color w:val="000000"/>
          <w:sz w:val="22"/>
          <w:lang w:val="es-ES_tradnl" w:eastAsia="en-GB"/>
        </w:rPr>
        <w:t xml:space="preserve"> </w:t>
      </w:r>
      <w:r w:rsidR="00E244A4">
        <w:rPr>
          <w:rFonts w:ascii="Arial" w:eastAsia="Calibri" w:hAnsi="Arial" w:cs="Arial"/>
          <w:color w:val="000000"/>
          <w:sz w:val="22"/>
          <w:lang w:val="es-ES_tradnl" w:eastAsia="en-GB"/>
        </w:rPr>
        <w:t xml:space="preserve"> </w:t>
      </w:r>
      <w:r>
        <w:rPr>
          <w:rFonts w:ascii="Arial" w:eastAsia="Calibri" w:hAnsi="Arial" w:cs="Arial"/>
          <w:color w:val="000000" w:themeColor="text1"/>
          <w:sz w:val="22"/>
          <w:lang w:val="es-ES_tradnl"/>
        </w:rPr>
        <w:t xml:space="preserve">Las tesis expuestas en </w:t>
      </w:r>
      <w:r w:rsidR="00003197">
        <w:rPr>
          <w:rFonts w:ascii="Arial" w:eastAsia="Calibri" w:hAnsi="Arial" w:cs="Arial"/>
          <w:color w:val="000000" w:themeColor="text1"/>
          <w:sz w:val="22"/>
          <w:lang w:val="es-ES_tradnl"/>
        </w:rPr>
        <w:t>estos</w:t>
      </w:r>
      <w:r w:rsidR="00AE7D59" w:rsidRPr="009C7D09">
        <w:rPr>
          <w:rFonts w:ascii="Arial" w:eastAsia="Calibri" w:hAnsi="Arial" w:cs="Arial"/>
          <w:color w:val="000000" w:themeColor="text1"/>
          <w:sz w:val="22"/>
          <w:lang w:val="es-ES_tradnl"/>
        </w:rPr>
        <w:t xml:space="preserve"> </w:t>
      </w:r>
      <w:r w:rsidR="00AE7D59">
        <w:rPr>
          <w:rFonts w:ascii="Arial" w:eastAsia="Calibri" w:hAnsi="Arial" w:cs="Arial"/>
          <w:color w:val="000000" w:themeColor="text1"/>
          <w:sz w:val="22"/>
          <w:lang w:val="es-ES_tradnl"/>
        </w:rPr>
        <w:t>concepto</w:t>
      </w:r>
      <w:r w:rsidR="00003197">
        <w:rPr>
          <w:rFonts w:ascii="Arial" w:eastAsia="Calibri" w:hAnsi="Arial" w:cs="Arial"/>
          <w:color w:val="000000" w:themeColor="text1"/>
          <w:sz w:val="22"/>
          <w:lang w:val="es-ES_tradnl"/>
        </w:rPr>
        <w:t>s</w:t>
      </w:r>
      <w:r>
        <w:rPr>
          <w:rFonts w:ascii="Arial" w:eastAsia="Calibri" w:hAnsi="Arial" w:cs="Arial"/>
          <w:color w:val="000000" w:themeColor="text1"/>
          <w:sz w:val="22"/>
          <w:lang w:val="es-ES_tradnl"/>
        </w:rPr>
        <w:t xml:space="preserve"> </w:t>
      </w:r>
      <w:r w:rsidR="00BE1BC4" w:rsidRPr="009C7D09">
        <w:rPr>
          <w:rFonts w:ascii="Arial" w:eastAsia="Calibri" w:hAnsi="Arial" w:cs="Arial"/>
          <w:color w:val="000000" w:themeColor="text1"/>
          <w:sz w:val="22"/>
          <w:lang w:val="es-ES_tradnl"/>
        </w:rPr>
        <w:t>se reiteran a continuación y se complementan en lo pertinente.</w:t>
      </w:r>
    </w:p>
    <w:p w14:paraId="79F1F73B" w14:textId="77777777" w:rsidR="009500D9" w:rsidRPr="00E244A4" w:rsidRDefault="009500D9" w:rsidP="000F7DE7">
      <w:pPr>
        <w:spacing w:line="276" w:lineRule="auto"/>
        <w:ind w:firstLine="708"/>
        <w:jc w:val="both"/>
        <w:rPr>
          <w:rFonts w:ascii="Arial" w:eastAsia="Calibri" w:hAnsi="Arial" w:cs="Arial"/>
          <w:color w:val="000000" w:themeColor="text1"/>
          <w:sz w:val="22"/>
        </w:rPr>
      </w:pPr>
    </w:p>
    <w:p w14:paraId="7D913015" w14:textId="3782143B" w:rsidR="00003197" w:rsidRDefault="00003197" w:rsidP="000F7DE7">
      <w:pPr>
        <w:tabs>
          <w:tab w:val="left" w:pos="426"/>
        </w:tabs>
        <w:spacing w:line="276" w:lineRule="auto"/>
        <w:jc w:val="both"/>
        <w:rPr>
          <w:rFonts w:ascii="Arial" w:eastAsia="Calibri" w:hAnsi="Arial" w:cs="Arial"/>
          <w:b/>
          <w:color w:val="000000" w:themeColor="text1"/>
          <w:sz w:val="22"/>
        </w:rPr>
      </w:pPr>
      <w:r w:rsidRPr="001B0D3D">
        <w:rPr>
          <w:rFonts w:ascii="Arial" w:eastAsia="Calibri" w:hAnsi="Arial" w:cs="Arial"/>
          <w:b/>
          <w:color w:val="000000" w:themeColor="text1"/>
          <w:sz w:val="22"/>
        </w:rPr>
        <w:t>2</w:t>
      </w:r>
      <w:r>
        <w:rPr>
          <w:rFonts w:ascii="Arial" w:eastAsia="Calibri" w:hAnsi="Arial" w:cs="Arial"/>
          <w:b/>
          <w:color w:val="000000" w:themeColor="text1"/>
          <w:sz w:val="22"/>
        </w:rPr>
        <w:t xml:space="preserve">.1. Publicidad de </w:t>
      </w:r>
      <w:r w:rsidR="00EA7C33">
        <w:rPr>
          <w:rFonts w:ascii="Arial" w:eastAsia="Calibri" w:hAnsi="Arial" w:cs="Arial"/>
          <w:b/>
          <w:color w:val="000000" w:themeColor="text1"/>
          <w:sz w:val="22"/>
        </w:rPr>
        <w:t>los Documentos</w:t>
      </w:r>
      <w:r>
        <w:rPr>
          <w:rFonts w:ascii="Arial" w:eastAsia="Calibri" w:hAnsi="Arial" w:cs="Arial"/>
          <w:b/>
          <w:color w:val="000000" w:themeColor="text1"/>
          <w:sz w:val="22"/>
        </w:rPr>
        <w:t xml:space="preserve"> del Proceso </w:t>
      </w:r>
      <w:r w:rsidRPr="001B0D3D">
        <w:rPr>
          <w:rFonts w:ascii="Arial" w:eastAsia="Calibri" w:hAnsi="Arial" w:cs="Arial"/>
          <w:b/>
          <w:color w:val="000000" w:themeColor="text1"/>
          <w:sz w:val="22"/>
        </w:rPr>
        <w:t>en el Sistema Electrónico de Contratación Pública –SECOP–</w:t>
      </w:r>
    </w:p>
    <w:p w14:paraId="144EFB1F" w14:textId="77777777" w:rsidR="009500D9" w:rsidRPr="00C57AE8" w:rsidRDefault="009500D9" w:rsidP="000F7DE7">
      <w:pPr>
        <w:tabs>
          <w:tab w:val="left" w:pos="426"/>
        </w:tabs>
        <w:spacing w:line="276" w:lineRule="auto"/>
        <w:jc w:val="both"/>
        <w:rPr>
          <w:rFonts w:ascii="Arial" w:eastAsia="Calibri" w:hAnsi="Arial" w:cs="Arial"/>
          <w:b/>
          <w:color w:val="000000" w:themeColor="text1"/>
          <w:sz w:val="22"/>
        </w:rPr>
      </w:pPr>
    </w:p>
    <w:p w14:paraId="6E38CFA4" w14:textId="09255FFB" w:rsidR="00003197" w:rsidRDefault="00003197" w:rsidP="005B05F3">
      <w:pPr>
        <w:widowControl w:val="0"/>
        <w:tabs>
          <w:tab w:val="left" w:pos="728"/>
        </w:tabs>
        <w:autoSpaceDE w:val="0"/>
        <w:autoSpaceDN w:val="0"/>
        <w:spacing w:before="120" w:line="276" w:lineRule="auto"/>
        <w:jc w:val="both"/>
        <w:rPr>
          <w:rFonts w:ascii="Arial" w:eastAsia="Arial" w:hAnsi="Arial" w:cs="Arial"/>
          <w:sz w:val="22"/>
          <w:lang w:val="es-ES"/>
        </w:rPr>
      </w:pPr>
      <w:r w:rsidRPr="00217435">
        <w:rPr>
          <w:rFonts w:ascii="Arial" w:eastAsia="Arial" w:hAnsi="Arial" w:cs="Arial"/>
          <w:sz w:val="22"/>
          <w:lang w:val="es-ES"/>
        </w:rPr>
        <w:t>Para la Corte Constitucional el principio de publicidad es la garantía de las personas de conocer las actuaciones judiciales y administrativas</w:t>
      </w:r>
      <w:r w:rsidR="00B01E08">
        <w:rPr>
          <w:rFonts w:ascii="Arial" w:eastAsia="Arial" w:hAnsi="Arial" w:cs="Arial"/>
          <w:sz w:val="22"/>
          <w:lang w:val="es-ES"/>
        </w:rPr>
        <w:t>, para,</w:t>
      </w:r>
      <w:r w:rsidRPr="00217435">
        <w:rPr>
          <w:rFonts w:ascii="Arial" w:eastAsia="Arial" w:hAnsi="Arial" w:cs="Arial"/>
          <w:sz w:val="22"/>
          <w:lang w:val="es-ES"/>
        </w:rPr>
        <w:t xml:space="preserve"> con base en ese conocimiento</w:t>
      </w:r>
      <w:r w:rsidR="00B01E08">
        <w:rPr>
          <w:rFonts w:ascii="Arial" w:eastAsia="Arial" w:hAnsi="Arial" w:cs="Arial"/>
          <w:sz w:val="22"/>
          <w:lang w:val="es-ES"/>
        </w:rPr>
        <w:t>,</w:t>
      </w:r>
      <w:r w:rsidRPr="00217435">
        <w:rPr>
          <w:rFonts w:ascii="Arial" w:eastAsia="Arial" w:hAnsi="Arial" w:cs="Arial"/>
          <w:sz w:val="22"/>
          <w:lang w:val="es-ES"/>
        </w:rPr>
        <w:t xml:space="preserve"> tener la posibilidad de exigir que se realicen conforme a la ley: </w:t>
      </w:r>
    </w:p>
    <w:p w14:paraId="79DFDFA5" w14:textId="77777777" w:rsidR="005B05F3" w:rsidRPr="00C57AE8" w:rsidRDefault="005B05F3" w:rsidP="00F273F5">
      <w:pPr>
        <w:widowControl w:val="0"/>
        <w:tabs>
          <w:tab w:val="left" w:pos="728"/>
        </w:tabs>
        <w:autoSpaceDE w:val="0"/>
        <w:autoSpaceDN w:val="0"/>
        <w:spacing w:line="276" w:lineRule="auto"/>
        <w:jc w:val="both"/>
        <w:rPr>
          <w:rFonts w:ascii="Arial" w:eastAsia="Arial" w:hAnsi="Arial" w:cs="Arial"/>
          <w:b/>
          <w:sz w:val="22"/>
          <w:lang w:val="es-ES"/>
        </w:rPr>
      </w:pPr>
    </w:p>
    <w:p w14:paraId="731D1182" w14:textId="026AF4CE" w:rsidR="00003197" w:rsidRPr="00217435" w:rsidRDefault="00003197" w:rsidP="00F273F5">
      <w:pPr>
        <w:widowControl w:val="0"/>
        <w:tabs>
          <w:tab w:val="left" w:pos="728"/>
        </w:tabs>
        <w:autoSpaceDE w:val="0"/>
        <w:autoSpaceDN w:val="0"/>
        <w:spacing w:after="120"/>
        <w:ind w:left="709" w:right="709"/>
        <w:jc w:val="both"/>
        <w:rPr>
          <w:rFonts w:ascii="Arial" w:eastAsia="Arial" w:hAnsi="Arial" w:cs="Arial"/>
          <w:sz w:val="21"/>
          <w:szCs w:val="21"/>
          <w:lang w:val="es-ES"/>
        </w:rPr>
      </w:pPr>
      <w:r w:rsidRPr="000D724C">
        <w:rPr>
          <w:rFonts w:ascii="Arial" w:hAnsi="Arial" w:cs="Arial"/>
          <w:color w:val="000000"/>
          <w:sz w:val="21"/>
          <w:szCs w:val="21"/>
          <w:bdr w:val="none" w:sz="0" w:space="0" w:color="auto" w:frame="1"/>
          <w:lang w:val="es-ES"/>
        </w:rPr>
        <w:t>«</w:t>
      </w:r>
      <w:r w:rsidRPr="00217435">
        <w:rPr>
          <w:rFonts w:ascii="Arial" w:eastAsia="Arial" w:hAnsi="Arial" w:cs="Arial"/>
          <w:sz w:val="21"/>
          <w:szCs w:val="21"/>
          <w:lang w:val="es-ES"/>
        </w:rPr>
        <w:t xml:space="preserve">El principio de publicidad se encuentra consagrado en el artículo 209 de la </w:t>
      </w:r>
      <w:r w:rsidRPr="00217435">
        <w:rPr>
          <w:rFonts w:ascii="Arial" w:eastAsia="Arial" w:hAnsi="Arial" w:cs="Arial"/>
          <w:sz w:val="21"/>
          <w:szCs w:val="21"/>
          <w:lang w:val="es-ES"/>
        </w:rPr>
        <w:lastRenderedPageBreak/>
        <w:t>Constitución Política, que señala que la función administrativa está al servicio de los intereses generales y se desarrolla con fundamento entre otros, en el «principio de publicidad», el cual se evidencia en dos dimensiones.</w:t>
      </w:r>
    </w:p>
    <w:p w14:paraId="4CF60804" w14:textId="7426A7DE" w:rsidR="00003197" w:rsidRPr="00C57AE8" w:rsidRDefault="00003197" w:rsidP="00C57AE8">
      <w:pPr>
        <w:widowControl w:val="0"/>
        <w:tabs>
          <w:tab w:val="left" w:pos="728"/>
        </w:tabs>
        <w:autoSpaceDE w:val="0"/>
        <w:autoSpaceDN w:val="0"/>
        <w:spacing w:before="120" w:after="120"/>
        <w:ind w:left="709" w:right="709"/>
        <w:jc w:val="both"/>
        <w:rPr>
          <w:rFonts w:ascii="Arial" w:eastAsia="Arial" w:hAnsi="Arial" w:cs="Arial"/>
          <w:sz w:val="21"/>
          <w:szCs w:val="21"/>
          <w:lang w:val="es-ES"/>
        </w:rPr>
      </w:pPr>
      <w:r w:rsidRPr="00217435">
        <w:rPr>
          <w:rFonts w:ascii="Arial" w:eastAsia="Arial" w:hAnsi="Arial" w:cs="Arial"/>
          <w:sz w:val="21"/>
          <w:szCs w:val="21"/>
          <w:lang w:val="es-ES"/>
        </w:rPr>
        <w:t xml:space="preserve">La primera de ellas, como el derecho que tienen las personas directamente involucradas, al conocimiento de las actuaciones judiciales y administrativas, la cual se concreta a través de los mecanismos de comunicación y la segunda, como el reconocimiento del derecho que tiene la comunidad de conocer las actuaciones de las </w:t>
      </w:r>
      <w:proofErr w:type="gramStart"/>
      <w:r w:rsidRPr="00217435">
        <w:rPr>
          <w:rFonts w:ascii="Arial" w:eastAsia="Arial" w:hAnsi="Arial" w:cs="Arial"/>
          <w:sz w:val="21"/>
          <w:szCs w:val="21"/>
          <w:lang w:val="es-ES"/>
        </w:rPr>
        <w:t>autoridades públicas</w:t>
      </w:r>
      <w:proofErr w:type="gramEnd"/>
      <w:r w:rsidRPr="00217435">
        <w:rPr>
          <w:rFonts w:ascii="Arial" w:eastAsia="Arial" w:hAnsi="Arial" w:cs="Arial"/>
          <w:sz w:val="21"/>
          <w:szCs w:val="21"/>
          <w:lang w:val="es-ES"/>
        </w:rPr>
        <w:t xml:space="preserve"> y, a través de ese conocimiento, a exigir que ellas se surtan conforme a la ley</w:t>
      </w:r>
      <w:r w:rsidRPr="00217435">
        <w:rPr>
          <w:rFonts w:ascii="Arial" w:eastAsia="Arial" w:hAnsi="Arial" w:cs="Arial"/>
          <w:sz w:val="21"/>
          <w:szCs w:val="21"/>
          <w:vertAlign w:val="superscript"/>
          <w:lang w:val="es-ES"/>
        </w:rPr>
        <w:footnoteReference w:id="2"/>
      </w:r>
      <w:r w:rsidRPr="00217435">
        <w:rPr>
          <w:rFonts w:ascii="Arial" w:eastAsia="Arial" w:hAnsi="Arial" w:cs="Arial"/>
          <w:sz w:val="21"/>
          <w:szCs w:val="21"/>
          <w:lang w:val="es-ES"/>
        </w:rPr>
        <w:t>.</w:t>
      </w:r>
      <w:r w:rsidRPr="000D724C">
        <w:rPr>
          <w:rFonts w:ascii="Arial" w:hAnsi="Arial" w:cs="Arial"/>
          <w:color w:val="000000"/>
          <w:sz w:val="21"/>
          <w:szCs w:val="21"/>
          <w:bdr w:val="none" w:sz="0" w:space="0" w:color="auto" w:frame="1"/>
          <w:lang w:val="es-ES"/>
        </w:rPr>
        <w:t>»</w:t>
      </w:r>
    </w:p>
    <w:p w14:paraId="159E6E67" w14:textId="77777777" w:rsidR="00003197" w:rsidRPr="00217435" w:rsidRDefault="00003197" w:rsidP="00C57AE8">
      <w:pPr>
        <w:widowControl w:val="0"/>
        <w:tabs>
          <w:tab w:val="left" w:pos="728"/>
        </w:tabs>
        <w:autoSpaceDE w:val="0"/>
        <w:autoSpaceDN w:val="0"/>
        <w:spacing w:before="120" w:after="120" w:line="276" w:lineRule="auto"/>
        <w:jc w:val="both"/>
        <w:rPr>
          <w:rFonts w:ascii="Arial" w:eastAsia="Arial" w:hAnsi="Arial" w:cs="Arial"/>
          <w:sz w:val="22"/>
          <w:lang w:val="es-ES"/>
        </w:rPr>
      </w:pPr>
      <w:r w:rsidRPr="00217435">
        <w:rPr>
          <w:rFonts w:ascii="Arial" w:eastAsia="Arial" w:hAnsi="Arial" w:cs="Arial"/>
          <w:sz w:val="22"/>
          <w:lang w:val="es-ES"/>
        </w:rPr>
        <w:tab/>
        <w:t>El principio de publicidad impone a las autoridades administrativas el deber de dar a conocer sus actos, contratos y decisiones, para que se divulguen y eventualmente se controlen las actuaciones. El literal c) del artículo 3 de la Ley 1150 de 2007 establece que el Sistema Electrónico para la Contratación Pública –SECOP– «contará con la información oficial de la contratación realizada con dineros públicos, para lo cual establecerá los patrones a que haya lugar y se encargará de su difusión a través de canales electrónicos»</w:t>
      </w:r>
      <w:r w:rsidRPr="00217435">
        <w:rPr>
          <w:rFonts w:ascii="Arial" w:eastAsia="Arial" w:hAnsi="Arial" w:cs="Arial"/>
          <w:sz w:val="22"/>
          <w:vertAlign w:val="superscript"/>
          <w:lang w:val="es-ES"/>
        </w:rPr>
        <w:footnoteReference w:id="3"/>
      </w:r>
      <w:r w:rsidRPr="00217435">
        <w:rPr>
          <w:rFonts w:ascii="Arial" w:eastAsia="Arial" w:hAnsi="Arial" w:cs="Arial"/>
          <w:sz w:val="22"/>
          <w:lang w:val="es-ES"/>
        </w:rPr>
        <w:t xml:space="preserve">. </w:t>
      </w:r>
    </w:p>
    <w:p w14:paraId="79FE1CF0" w14:textId="3F2E911B" w:rsidR="00003197" w:rsidRPr="00217435" w:rsidRDefault="00003197" w:rsidP="00C57AE8">
      <w:pPr>
        <w:widowControl w:val="0"/>
        <w:tabs>
          <w:tab w:val="left" w:pos="728"/>
        </w:tabs>
        <w:autoSpaceDE w:val="0"/>
        <w:autoSpaceDN w:val="0"/>
        <w:spacing w:before="120" w:after="120" w:line="276" w:lineRule="auto"/>
        <w:jc w:val="both"/>
        <w:rPr>
          <w:rFonts w:ascii="Arial" w:eastAsia="Arial" w:hAnsi="Arial" w:cs="Arial"/>
          <w:sz w:val="22"/>
          <w:lang w:val="es-ES"/>
        </w:rPr>
      </w:pPr>
      <w:r w:rsidRPr="00217435">
        <w:rPr>
          <w:rFonts w:ascii="Arial" w:eastAsia="Arial" w:hAnsi="Arial" w:cs="Arial"/>
          <w:sz w:val="22"/>
          <w:lang w:val="es-ES"/>
        </w:rPr>
        <w:tab/>
        <w:t xml:space="preserve">De otra parte, la Ley 1712 de 2014, por medio de la cual se regula la </w:t>
      </w:r>
      <w:r w:rsidRPr="003228C1">
        <w:rPr>
          <w:rFonts w:ascii="Arial" w:eastAsia="Arial" w:hAnsi="Arial" w:cs="Arial"/>
          <w:sz w:val="22"/>
          <w:lang w:val="es-ES"/>
        </w:rPr>
        <w:t>transparencia</w:t>
      </w:r>
      <w:r w:rsidR="00B01E08" w:rsidRPr="003228C1">
        <w:rPr>
          <w:rFonts w:ascii="Arial" w:eastAsia="Arial" w:hAnsi="Arial" w:cs="Arial"/>
          <w:sz w:val="22"/>
          <w:lang w:val="es-ES"/>
        </w:rPr>
        <w:t xml:space="preserve"> </w:t>
      </w:r>
      <w:r w:rsidR="003228C1" w:rsidRPr="00C57AE8">
        <w:rPr>
          <w:rFonts w:ascii="Arial" w:eastAsia="Arial" w:hAnsi="Arial" w:cs="Arial"/>
          <w:sz w:val="22"/>
          <w:lang w:val="es-ES"/>
        </w:rPr>
        <w:t xml:space="preserve">y </w:t>
      </w:r>
      <w:r w:rsidRPr="00C57AE8">
        <w:rPr>
          <w:rFonts w:ascii="Arial" w:eastAsia="Arial" w:hAnsi="Arial" w:cs="Arial"/>
          <w:sz w:val="22"/>
          <w:lang w:val="es-ES"/>
        </w:rPr>
        <w:t>el derecho de acceso a la información pública nacional y se dictan otras disposiciones, identifica</w:t>
      </w:r>
      <w:r w:rsidRPr="00217435">
        <w:rPr>
          <w:rFonts w:ascii="Arial" w:eastAsia="Arial" w:hAnsi="Arial" w:cs="Arial"/>
          <w:sz w:val="22"/>
          <w:lang w:val="es-ES"/>
        </w:rPr>
        <w:t xml:space="preserve"> como principios que orientan el derecho de acceso a la información pública el de máxima publicidad, transparencia en la información y buena fe. El principio de máxima publicidad establece que «toda información en posesión, bajo control o custodia de un sujeto obligado es pública y no podrá ser reservada o limitada sino por disposición constitucional o legal»</w:t>
      </w:r>
      <w:r w:rsidRPr="00217435">
        <w:rPr>
          <w:rFonts w:ascii="Arial" w:eastAsia="Arial" w:hAnsi="Arial" w:cs="Arial"/>
          <w:sz w:val="22"/>
          <w:vertAlign w:val="superscript"/>
          <w:lang w:val="es-ES"/>
        </w:rPr>
        <w:footnoteReference w:id="4"/>
      </w:r>
      <w:r w:rsidRPr="00217435">
        <w:rPr>
          <w:rFonts w:ascii="Arial" w:eastAsia="Arial" w:hAnsi="Arial" w:cs="Arial"/>
          <w:sz w:val="22"/>
          <w:lang w:val="es-ES"/>
        </w:rPr>
        <w:t xml:space="preserve">. El principio de transparencia en la información alude al deber de los sujetos de proporcionar y facilitar el acceso a la misma en los términos más amplios </w:t>
      </w:r>
      <w:r w:rsidRPr="00217435">
        <w:rPr>
          <w:rFonts w:ascii="Arial" w:eastAsia="Arial" w:hAnsi="Arial" w:cs="Arial"/>
          <w:sz w:val="22"/>
          <w:lang w:val="es-ES"/>
        </w:rPr>
        <w:lastRenderedPageBreak/>
        <w:t xml:space="preserve">posibles, y a través de los medios y procedimientos que establezca la ley. </w:t>
      </w:r>
    </w:p>
    <w:p w14:paraId="40355040" w14:textId="2D0EA306" w:rsidR="00FC121D" w:rsidRPr="00C57AE8" w:rsidRDefault="00D66CCA" w:rsidP="00C57AE8">
      <w:pPr>
        <w:widowControl w:val="0"/>
        <w:tabs>
          <w:tab w:val="left" w:pos="728"/>
        </w:tabs>
        <w:autoSpaceDE w:val="0"/>
        <w:autoSpaceDN w:val="0"/>
        <w:spacing w:before="120" w:after="120" w:line="276" w:lineRule="auto"/>
        <w:jc w:val="both"/>
        <w:rPr>
          <w:rFonts w:ascii="Arial" w:hAnsi="Arial" w:cs="Arial"/>
          <w:sz w:val="22"/>
          <w:lang w:val="es-ES"/>
        </w:rPr>
      </w:pPr>
      <w:r>
        <w:rPr>
          <w:rFonts w:ascii="Arial" w:hAnsi="Arial" w:cs="Arial"/>
          <w:sz w:val="22"/>
          <w:lang w:val="es-ES"/>
        </w:rPr>
        <w:tab/>
      </w:r>
      <w:r w:rsidR="00FC121D" w:rsidRPr="00217435">
        <w:rPr>
          <w:rFonts w:ascii="Arial" w:hAnsi="Arial" w:cs="Arial"/>
          <w:sz w:val="22"/>
          <w:lang w:val="es-ES"/>
        </w:rPr>
        <w:t>El deber de publicidad de los documentos expedidos en virtud de la actividad contractual que se desprende del artículo 3 de la Ley 115</w:t>
      </w:r>
      <w:r>
        <w:rPr>
          <w:rFonts w:ascii="Arial" w:hAnsi="Arial" w:cs="Arial"/>
          <w:sz w:val="22"/>
          <w:lang w:val="es-ES"/>
        </w:rPr>
        <w:t>0 de 2007, se encuentra reglamentado en</w:t>
      </w:r>
      <w:r w:rsidR="00FC121D" w:rsidRPr="00217435">
        <w:rPr>
          <w:rFonts w:ascii="Arial" w:hAnsi="Arial" w:cs="Arial"/>
          <w:sz w:val="22"/>
          <w:lang w:val="es-ES"/>
        </w:rPr>
        <w:t xml:space="preserve"> el artículo 2.2.1.1.1.7.1. del Decreto 1082 de 2015</w:t>
      </w:r>
      <w:r w:rsidR="00B01E08">
        <w:rPr>
          <w:rFonts w:ascii="Arial" w:hAnsi="Arial" w:cs="Arial"/>
          <w:sz w:val="22"/>
          <w:lang w:val="es-ES"/>
        </w:rPr>
        <w:t>. Este precepto</w:t>
      </w:r>
      <w:r>
        <w:rPr>
          <w:rFonts w:ascii="Arial" w:hAnsi="Arial" w:cs="Arial"/>
          <w:sz w:val="22"/>
          <w:lang w:val="es-ES"/>
        </w:rPr>
        <w:t xml:space="preserve"> </w:t>
      </w:r>
      <w:r w:rsidR="00FC121D" w:rsidRPr="00217435">
        <w:rPr>
          <w:rFonts w:ascii="Arial" w:hAnsi="Arial" w:cs="Arial"/>
          <w:sz w:val="22"/>
          <w:lang w:val="es-ES"/>
        </w:rPr>
        <w:t>establece los documentos que se deben publicar y al SECOP como medio de publicación</w:t>
      </w:r>
      <w:r w:rsidR="00FC121D" w:rsidRPr="00217435">
        <w:rPr>
          <w:rFonts w:ascii="Arial" w:hAnsi="Arial" w:cs="Arial"/>
          <w:sz w:val="22"/>
          <w:vertAlign w:val="superscript"/>
          <w:lang w:val="es-ES"/>
        </w:rPr>
        <w:footnoteReference w:id="5"/>
      </w:r>
      <w:r w:rsidR="00FC121D" w:rsidRPr="00217435">
        <w:rPr>
          <w:rFonts w:ascii="Arial" w:hAnsi="Arial" w:cs="Arial"/>
          <w:sz w:val="22"/>
          <w:lang w:val="es-ES"/>
        </w:rPr>
        <w:t>,  lo que permite controlar las actuaciones y decisiones de la Administración y el cumplimiento de los demás principios de la contratación pública. Así lo confirma el Consejo de Estado, analizando el principio de publicidad:</w:t>
      </w:r>
    </w:p>
    <w:p w14:paraId="3996474F" w14:textId="74636662" w:rsidR="00FC121D" w:rsidRPr="00217435" w:rsidRDefault="00FC121D" w:rsidP="00C57AE8">
      <w:pPr>
        <w:spacing w:before="120" w:after="120"/>
        <w:ind w:left="709" w:right="709"/>
        <w:jc w:val="both"/>
        <w:rPr>
          <w:rFonts w:ascii="Arial" w:hAnsi="Arial" w:cs="Arial"/>
          <w:sz w:val="21"/>
          <w:szCs w:val="21"/>
          <w:lang w:val="es-ES"/>
        </w:rPr>
      </w:pPr>
      <w:r w:rsidRPr="000D724C">
        <w:rPr>
          <w:rFonts w:ascii="Arial" w:hAnsi="Arial" w:cs="Arial"/>
          <w:color w:val="000000"/>
          <w:sz w:val="21"/>
          <w:szCs w:val="21"/>
          <w:bdr w:val="none" w:sz="0" w:space="0" w:color="auto" w:frame="1"/>
          <w:lang w:val="es-ES"/>
        </w:rPr>
        <w:t>«</w:t>
      </w:r>
      <w:r w:rsidRPr="00217435">
        <w:rPr>
          <w:rFonts w:ascii="Arial" w:hAnsi="Arial" w:cs="Arial"/>
          <w:sz w:val="21"/>
          <w:szCs w:val="21"/>
          <w:lang w:val="es-ES"/>
        </w:rPr>
        <w:t>En virtud del principio de publicidad: las autoridades deben dar a conocer sus actuaciones y decisiones mediante las comunicaciones, notificaciones o publicaciones que ordena la ley, con el propósito de que sean vinculantes y puedan ser acatadas por sus destinatarios. Publicidad significa anunciar, divulgar, difundir, informar y revelar las decisiones y su motivación para hacerlas saber a quiénes va dirigida, de manera que puedan ser obligatorias, controvertibles y controlables.</w:t>
      </w:r>
    </w:p>
    <w:p w14:paraId="3E65FD08" w14:textId="018F7BB5" w:rsidR="00FC121D" w:rsidRPr="00217435" w:rsidRDefault="00FC121D" w:rsidP="00C126FF">
      <w:pPr>
        <w:spacing w:before="120" w:after="120"/>
        <w:ind w:left="709" w:right="709"/>
        <w:jc w:val="both"/>
        <w:rPr>
          <w:rFonts w:ascii="Arial" w:hAnsi="Arial" w:cs="Arial"/>
          <w:sz w:val="21"/>
          <w:szCs w:val="21"/>
          <w:lang w:val="es-ES"/>
        </w:rPr>
      </w:pPr>
      <w:r w:rsidRPr="00217435">
        <w:rPr>
          <w:rFonts w:ascii="Arial" w:hAnsi="Arial" w:cs="Arial"/>
          <w:sz w:val="21"/>
          <w:szCs w:val="21"/>
          <w:lang w:val="es-ES"/>
        </w:rPr>
        <w:t>En efecto, los posibles oferentes y la comunidad en general deben tener conocimiento o la oportunidad de conocer tanto la convocatoria y reglas del proceso de selección o llamado a la licitación, como los actos y hechos del procedimiento y los participantes de presentar observaciones (art. 24 Nos. 2 y 6 y 30 No. 3 Ley 80 de 1993). La actuación de la administración debe ser abierta al público y a los participantes o concurrentes, quienes, incluso, en el caso de la licitación pueden hacer uso del ejercicio del derecho a la audiencia pública (art. 24 No. 3 ibídem en armonía con el artículo 273 de la Constitución Política).</w:t>
      </w:r>
    </w:p>
    <w:p w14:paraId="10C8FEFF" w14:textId="2C9C8A94" w:rsidR="00FC121D" w:rsidRDefault="00FC121D" w:rsidP="000F7DE7">
      <w:pPr>
        <w:spacing w:before="120"/>
        <w:ind w:left="709" w:right="709"/>
        <w:jc w:val="both"/>
        <w:rPr>
          <w:rFonts w:ascii="Arial" w:hAnsi="Arial" w:cs="Arial"/>
          <w:color w:val="000000"/>
          <w:sz w:val="21"/>
          <w:szCs w:val="21"/>
          <w:bdr w:val="none" w:sz="0" w:space="0" w:color="auto" w:frame="1"/>
          <w:lang w:val="es-ES"/>
        </w:rPr>
      </w:pPr>
      <w:r w:rsidRPr="00217435">
        <w:rPr>
          <w:rFonts w:ascii="Arial" w:hAnsi="Arial" w:cs="Arial"/>
          <w:sz w:val="21"/>
          <w:szCs w:val="21"/>
          <w:lang w:val="es-ES"/>
        </w:rPr>
        <w:t>Este principio-deber también se traduce en el correlativo derecho de los interesados de enterarse de esas actuaciones de la administración, pedir por parte de quien demuestre un interés legítimo información y solicitar las copias de los documentos que la integran, con sujeción a la reserva de ley (art. 23 y 74 de la C.P., No. 4 del artículo 24 de la Ley 80 de 1993, entre otros)</w:t>
      </w:r>
      <w:r w:rsidRPr="00217435">
        <w:rPr>
          <w:rFonts w:ascii="Arial" w:hAnsi="Arial" w:cs="Arial"/>
          <w:sz w:val="21"/>
          <w:szCs w:val="21"/>
          <w:vertAlign w:val="superscript"/>
          <w:lang w:val="es-ES"/>
        </w:rPr>
        <w:footnoteReference w:id="6"/>
      </w:r>
      <w:r w:rsidRPr="000D724C">
        <w:rPr>
          <w:rFonts w:ascii="Arial" w:hAnsi="Arial" w:cs="Arial"/>
          <w:color w:val="000000"/>
          <w:sz w:val="21"/>
          <w:szCs w:val="21"/>
          <w:bdr w:val="none" w:sz="0" w:space="0" w:color="auto" w:frame="1"/>
          <w:lang w:val="es-ES"/>
        </w:rPr>
        <w:t>»</w:t>
      </w:r>
      <w:r w:rsidR="00856EB0">
        <w:rPr>
          <w:rFonts w:ascii="Arial" w:hAnsi="Arial" w:cs="Arial"/>
          <w:color w:val="000000"/>
          <w:sz w:val="21"/>
          <w:szCs w:val="21"/>
          <w:bdr w:val="none" w:sz="0" w:space="0" w:color="auto" w:frame="1"/>
          <w:lang w:val="es-ES"/>
        </w:rPr>
        <w:t>.</w:t>
      </w:r>
    </w:p>
    <w:p w14:paraId="727AF1B3" w14:textId="77777777" w:rsidR="00856EB0" w:rsidRPr="00217435" w:rsidRDefault="00856EB0" w:rsidP="000F7DE7">
      <w:pPr>
        <w:ind w:left="709" w:right="709"/>
        <w:jc w:val="both"/>
        <w:rPr>
          <w:rFonts w:ascii="Arial" w:hAnsi="Arial" w:cs="Arial"/>
          <w:sz w:val="21"/>
          <w:szCs w:val="21"/>
          <w:lang w:val="es-ES"/>
        </w:rPr>
      </w:pPr>
    </w:p>
    <w:p w14:paraId="0816F8B4" w14:textId="0C7D1A79" w:rsidR="00FC7A15" w:rsidRDefault="00003197" w:rsidP="000F7DE7">
      <w:pPr>
        <w:spacing w:after="120" w:line="276" w:lineRule="auto"/>
        <w:ind w:firstLine="709"/>
        <w:jc w:val="both"/>
        <w:rPr>
          <w:rFonts w:ascii="Arial" w:hAnsi="Arial" w:cs="Arial"/>
          <w:sz w:val="22"/>
          <w:lang w:val="es-ES"/>
        </w:rPr>
      </w:pPr>
      <w:r w:rsidRPr="00217435">
        <w:rPr>
          <w:rFonts w:ascii="Arial" w:hAnsi="Arial" w:cs="Arial"/>
          <w:sz w:val="22"/>
          <w:lang w:val="es-ES"/>
        </w:rPr>
        <w:t xml:space="preserve">En conclusión, el artículo 3 de la Ley 1150 de 2007 desarrolla los principios de publicidad y transparencia de las actuaciones contractuales, del cual se desprende </w:t>
      </w:r>
      <w:r w:rsidR="003228C1">
        <w:rPr>
          <w:rFonts w:ascii="Arial" w:hAnsi="Arial" w:cs="Arial"/>
          <w:sz w:val="22"/>
          <w:lang w:val="es-ES"/>
        </w:rPr>
        <w:t>el</w:t>
      </w:r>
      <w:r w:rsidRPr="00217435">
        <w:rPr>
          <w:rFonts w:ascii="Arial" w:hAnsi="Arial" w:cs="Arial"/>
          <w:sz w:val="22"/>
          <w:lang w:val="es-ES"/>
        </w:rPr>
        <w:t xml:space="preserve"> deber de publicarlas</w:t>
      </w:r>
      <w:r w:rsidR="003228C1">
        <w:rPr>
          <w:rFonts w:ascii="Arial" w:hAnsi="Arial" w:cs="Arial"/>
          <w:sz w:val="22"/>
          <w:lang w:val="es-ES"/>
        </w:rPr>
        <w:t>. Esto</w:t>
      </w:r>
      <w:r w:rsidRPr="00217435">
        <w:rPr>
          <w:rFonts w:ascii="Arial" w:hAnsi="Arial" w:cs="Arial"/>
          <w:sz w:val="22"/>
          <w:lang w:val="es-ES"/>
        </w:rPr>
        <w:t xml:space="preserve"> implica que todas las entidades estatales publiquen los documentos en </w:t>
      </w:r>
      <w:r w:rsidRPr="00217435">
        <w:rPr>
          <w:rFonts w:ascii="Arial" w:hAnsi="Arial" w:cs="Arial"/>
          <w:sz w:val="22"/>
          <w:lang w:val="es-ES"/>
        </w:rPr>
        <w:lastRenderedPageBreak/>
        <w:t xml:space="preserve">los que se evidencia el desarrollo de sus procesos de contratación, </w:t>
      </w:r>
      <w:r w:rsidR="003228C1">
        <w:rPr>
          <w:rFonts w:ascii="Arial" w:hAnsi="Arial" w:cs="Arial"/>
          <w:sz w:val="22"/>
          <w:lang w:val="es-ES"/>
        </w:rPr>
        <w:t>comoquiera</w:t>
      </w:r>
      <w:r w:rsidRPr="00217435">
        <w:rPr>
          <w:rFonts w:ascii="Arial" w:hAnsi="Arial" w:cs="Arial"/>
          <w:sz w:val="22"/>
          <w:lang w:val="es-ES"/>
        </w:rPr>
        <w:t xml:space="preserve"> que el objetivo del deber de dar publicidad a las actuaciones contractuales es materializar el derecho a conocer e intervenir las decisiones de la Administración Pública.</w:t>
      </w:r>
    </w:p>
    <w:p w14:paraId="616443B0" w14:textId="77777777" w:rsidR="00FC7A15" w:rsidRPr="00217435" w:rsidRDefault="00FC7A15" w:rsidP="00C57AE8">
      <w:pPr>
        <w:widowControl w:val="0"/>
        <w:autoSpaceDE w:val="0"/>
        <w:autoSpaceDN w:val="0"/>
        <w:spacing w:before="120" w:after="120" w:line="276" w:lineRule="auto"/>
        <w:ind w:firstLine="709"/>
        <w:jc w:val="both"/>
        <w:rPr>
          <w:rFonts w:ascii="Arial" w:eastAsia="Arial" w:hAnsi="Arial" w:cs="Arial"/>
          <w:sz w:val="22"/>
          <w:lang w:val="es-ES"/>
        </w:rPr>
      </w:pPr>
      <w:r w:rsidRPr="00217435">
        <w:rPr>
          <w:rFonts w:ascii="Arial" w:eastAsia="Arial" w:hAnsi="Arial" w:cs="Arial"/>
          <w:sz w:val="22"/>
          <w:lang w:val="es-ES"/>
        </w:rPr>
        <w:t xml:space="preserve">Ahora bien, las entidades estatales, conforme al artículo 2.2.1.1.1.7.1. del Decreto 1082 de 2015, tienen la obligación de publicar en el SECOP «[…] los Documentos del Proceso y los actos administrativos del Proceso de Contratación, dentro de los tres (3) días siguientes a su expedición […]». </w:t>
      </w:r>
    </w:p>
    <w:p w14:paraId="5E85B3D7" w14:textId="77777777" w:rsidR="00FC7A15" w:rsidRPr="00217435" w:rsidRDefault="00FC7A15" w:rsidP="00C57AE8">
      <w:pPr>
        <w:widowControl w:val="0"/>
        <w:autoSpaceDE w:val="0"/>
        <w:autoSpaceDN w:val="0"/>
        <w:spacing w:before="120" w:after="120" w:line="276" w:lineRule="auto"/>
        <w:ind w:firstLine="709"/>
        <w:jc w:val="both"/>
        <w:rPr>
          <w:rFonts w:ascii="Arial" w:eastAsia="Arial" w:hAnsi="Arial" w:cs="Arial"/>
          <w:sz w:val="22"/>
          <w:lang w:val="es-ES"/>
        </w:rPr>
      </w:pPr>
      <w:r w:rsidRPr="00217435">
        <w:rPr>
          <w:rFonts w:ascii="Arial" w:eastAsia="Arial" w:hAnsi="Arial" w:cs="Arial"/>
          <w:sz w:val="22"/>
          <w:lang w:val="es-ES"/>
        </w:rPr>
        <w:t xml:space="preserve">La expresión </w:t>
      </w:r>
      <w:r w:rsidRPr="00217435">
        <w:rPr>
          <w:rFonts w:ascii="Arial" w:eastAsia="Arial" w:hAnsi="Arial" w:cs="Arial"/>
          <w:i/>
          <w:iCs/>
          <w:sz w:val="22"/>
          <w:lang w:val="es-ES"/>
        </w:rPr>
        <w:t>Documentos del Proceso</w:t>
      </w:r>
      <w:r w:rsidRPr="00217435">
        <w:rPr>
          <w:rFonts w:ascii="Arial" w:eastAsia="Arial" w:hAnsi="Arial" w:cs="Arial"/>
          <w:sz w:val="22"/>
          <w:lang w:val="es-ES"/>
        </w:rPr>
        <w:t xml:space="preserve"> está definida en el artículo 2.2.1.1.1.3.1. del Decreto 1082 de 2015</w:t>
      </w:r>
      <w:r>
        <w:rPr>
          <w:rFonts w:ascii="Arial" w:eastAsia="Arial" w:hAnsi="Arial" w:cs="Arial"/>
          <w:sz w:val="22"/>
          <w:lang w:val="es-ES"/>
        </w:rPr>
        <w:t>, donde se establece que</w:t>
      </w:r>
      <w:r w:rsidRPr="00217435">
        <w:rPr>
          <w:rFonts w:ascii="Arial" w:eastAsia="Arial" w:hAnsi="Arial" w:cs="Arial"/>
          <w:sz w:val="22"/>
          <w:lang w:val="es-ES"/>
        </w:rPr>
        <w:t>: «</w:t>
      </w:r>
      <w:r>
        <w:rPr>
          <w:rFonts w:ascii="Arial" w:eastAsia="Arial" w:hAnsi="Arial" w:cs="Arial"/>
          <w:sz w:val="22"/>
          <w:lang w:val="es-ES"/>
        </w:rPr>
        <w:t xml:space="preserve">[…] </w:t>
      </w:r>
      <w:r w:rsidRPr="00217435">
        <w:rPr>
          <w:rFonts w:ascii="Arial" w:eastAsia="Arial" w:hAnsi="Arial" w:cs="Arial"/>
          <w:sz w:val="22"/>
          <w:lang w:val="es-ES"/>
        </w:rPr>
        <w:t xml:space="preserve">son: (a) los estudios y documentos previos; (b) el aviso de convocatoria; (c) los pliegos de condiciones o la invitación; (d) las adendas; (e) la oferta; (f) el informe de evaluación; (g) el contrato; y cualquier otro documento expedido por la Entidad Estatal durante el Proceso de Contratación». </w:t>
      </w:r>
    </w:p>
    <w:p w14:paraId="4A513771" w14:textId="6BC3B185" w:rsidR="00FC7A15" w:rsidRPr="00217435" w:rsidRDefault="00FC7A15" w:rsidP="00C57AE8">
      <w:pPr>
        <w:widowControl w:val="0"/>
        <w:autoSpaceDE w:val="0"/>
        <w:autoSpaceDN w:val="0"/>
        <w:spacing w:before="120" w:after="120" w:line="276" w:lineRule="auto"/>
        <w:ind w:firstLine="709"/>
        <w:jc w:val="both"/>
        <w:rPr>
          <w:rFonts w:ascii="Arial" w:eastAsia="Arial" w:hAnsi="Arial" w:cs="Arial"/>
          <w:sz w:val="22"/>
          <w:lang w:val="es-ES"/>
        </w:rPr>
      </w:pPr>
      <w:r w:rsidRPr="00217435">
        <w:rPr>
          <w:rFonts w:ascii="Arial" w:eastAsia="Arial" w:hAnsi="Arial" w:cs="Arial"/>
          <w:sz w:val="22"/>
          <w:lang w:val="es-ES"/>
        </w:rPr>
        <w:t xml:space="preserve">No obstante, para identificar los documentos que deben publicarse, es necesario realizar una interpretación sistemática de las disposiciones del Decreto 1082 del 2015, </w:t>
      </w:r>
      <w:r w:rsidR="003228C1">
        <w:rPr>
          <w:rFonts w:ascii="Arial" w:eastAsia="Arial" w:hAnsi="Arial" w:cs="Arial"/>
          <w:sz w:val="22"/>
          <w:lang w:val="es-ES"/>
        </w:rPr>
        <w:t>en razón a</w:t>
      </w:r>
      <w:r w:rsidRPr="00217435">
        <w:rPr>
          <w:rFonts w:ascii="Arial" w:eastAsia="Arial" w:hAnsi="Arial" w:cs="Arial"/>
          <w:sz w:val="22"/>
          <w:lang w:val="es-ES"/>
        </w:rPr>
        <w:t xml:space="preserve"> que </w:t>
      </w:r>
      <w:r w:rsidR="003228C1">
        <w:rPr>
          <w:rFonts w:ascii="Arial" w:eastAsia="Arial" w:hAnsi="Arial" w:cs="Arial"/>
          <w:sz w:val="22"/>
          <w:lang w:val="es-ES"/>
        </w:rPr>
        <w:t xml:space="preserve">lo ahí previsto </w:t>
      </w:r>
      <w:r w:rsidRPr="00217435">
        <w:rPr>
          <w:rFonts w:ascii="Arial" w:eastAsia="Arial" w:hAnsi="Arial" w:cs="Arial"/>
          <w:sz w:val="22"/>
          <w:lang w:val="es-ES"/>
        </w:rPr>
        <w:t xml:space="preserve">no </w:t>
      </w:r>
      <w:r w:rsidR="003228C1">
        <w:rPr>
          <w:rFonts w:ascii="Arial" w:eastAsia="Arial" w:hAnsi="Arial" w:cs="Arial"/>
          <w:sz w:val="22"/>
          <w:lang w:val="es-ES"/>
        </w:rPr>
        <w:t>se trata de</w:t>
      </w:r>
      <w:r w:rsidRPr="00217435">
        <w:rPr>
          <w:rFonts w:ascii="Arial" w:eastAsia="Arial" w:hAnsi="Arial" w:cs="Arial"/>
          <w:sz w:val="22"/>
          <w:lang w:val="es-ES"/>
        </w:rPr>
        <w:t xml:space="preserve"> un listado taxativo, sino enunciativo</w:t>
      </w:r>
      <w:r w:rsidR="003228C1">
        <w:rPr>
          <w:rFonts w:ascii="Arial" w:eastAsia="Arial" w:hAnsi="Arial" w:cs="Arial"/>
          <w:sz w:val="22"/>
          <w:lang w:val="es-ES"/>
        </w:rPr>
        <w:t xml:space="preserve">. En ese sentido, es oportuno aclarar </w:t>
      </w:r>
      <w:r w:rsidRPr="00217435">
        <w:rPr>
          <w:rFonts w:ascii="Arial" w:eastAsia="Arial" w:hAnsi="Arial" w:cs="Arial"/>
          <w:sz w:val="22"/>
          <w:lang w:val="es-ES"/>
        </w:rPr>
        <w:t>que</w:t>
      </w:r>
      <w:r w:rsidR="003228C1">
        <w:rPr>
          <w:rFonts w:ascii="Arial" w:eastAsia="Arial" w:hAnsi="Arial" w:cs="Arial"/>
          <w:sz w:val="22"/>
          <w:lang w:val="es-ES"/>
        </w:rPr>
        <w:t>,</w:t>
      </w:r>
      <w:r w:rsidRPr="00217435">
        <w:rPr>
          <w:rFonts w:ascii="Arial" w:eastAsia="Arial" w:hAnsi="Arial" w:cs="Arial"/>
          <w:sz w:val="22"/>
          <w:lang w:val="es-ES"/>
        </w:rPr>
        <w:t xml:space="preserve"> además de los documentos enlistados, el artículo 2.2.1.1.1.3.1 </w:t>
      </w:r>
      <w:r w:rsidRPr="00217435">
        <w:rPr>
          <w:rFonts w:ascii="Arial" w:eastAsia="Arial" w:hAnsi="Arial" w:cs="Arial"/>
          <w:i/>
          <w:iCs/>
          <w:sz w:val="22"/>
          <w:lang w:val="es-ES"/>
        </w:rPr>
        <w:t>Ibídem</w:t>
      </w:r>
      <w:r w:rsidRPr="00217435">
        <w:rPr>
          <w:rFonts w:ascii="Arial" w:eastAsia="Arial" w:hAnsi="Arial" w:cs="Arial"/>
          <w:sz w:val="22"/>
          <w:lang w:val="es-ES"/>
        </w:rPr>
        <w:t xml:space="preserve"> recoge en la noción de </w:t>
      </w:r>
      <w:r w:rsidRPr="00217435">
        <w:rPr>
          <w:rFonts w:ascii="Arial" w:eastAsia="Arial" w:hAnsi="Arial" w:cs="Arial"/>
          <w:i/>
          <w:iCs/>
          <w:sz w:val="22"/>
          <w:lang w:val="es-ES"/>
        </w:rPr>
        <w:t>Documentos del Proceso</w:t>
      </w:r>
      <w:r w:rsidRPr="00217435">
        <w:rPr>
          <w:rFonts w:ascii="Arial" w:eastAsia="Arial" w:hAnsi="Arial" w:cs="Arial"/>
          <w:sz w:val="22"/>
          <w:lang w:val="es-ES"/>
        </w:rPr>
        <w:t xml:space="preserve"> «cualquier otro documento expedido por la Entidad Estatal durante el </w:t>
      </w:r>
      <w:r w:rsidRPr="00217435">
        <w:rPr>
          <w:rFonts w:ascii="Arial" w:eastAsia="Arial" w:hAnsi="Arial" w:cs="Arial"/>
          <w:i/>
          <w:iCs/>
          <w:sz w:val="22"/>
          <w:lang w:val="es-ES"/>
        </w:rPr>
        <w:t>Proceso de Contratación»</w:t>
      </w:r>
      <w:r w:rsidRPr="00217435">
        <w:rPr>
          <w:rFonts w:ascii="Arial" w:eastAsia="Arial" w:hAnsi="Arial" w:cs="Arial"/>
          <w:sz w:val="22"/>
          <w:lang w:val="es-ES"/>
        </w:rPr>
        <w:t xml:space="preserve">. Este mismo artículo define la expresión </w:t>
      </w:r>
      <w:r w:rsidRPr="00217435">
        <w:rPr>
          <w:rFonts w:ascii="Arial" w:eastAsia="Arial" w:hAnsi="Arial" w:cs="Arial"/>
          <w:i/>
          <w:iCs/>
          <w:sz w:val="22"/>
          <w:lang w:val="es-ES"/>
        </w:rPr>
        <w:t>Proceso de Contratación</w:t>
      </w:r>
      <w:r w:rsidRPr="00217435">
        <w:rPr>
          <w:rFonts w:ascii="Arial" w:eastAsia="Arial" w:hAnsi="Arial" w:cs="Arial"/>
          <w:sz w:val="22"/>
          <w:lang w:val="es-ES"/>
        </w:rPr>
        <w:t xml:space="preserve">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w:t>
      </w:r>
    </w:p>
    <w:p w14:paraId="28C8B8F4" w14:textId="77777777" w:rsidR="00FC7A15" w:rsidRPr="00217435" w:rsidRDefault="00FC7A15" w:rsidP="00C57AE8">
      <w:pPr>
        <w:widowControl w:val="0"/>
        <w:autoSpaceDE w:val="0"/>
        <w:autoSpaceDN w:val="0"/>
        <w:spacing w:before="120" w:after="120" w:line="276" w:lineRule="auto"/>
        <w:ind w:firstLine="709"/>
        <w:jc w:val="both"/>
        <w:rPr>
          <w:rFonts w:ascii="Arial" w:eastAsia="Arial" w:hAnsi="Arial" w:cs="Arial"/>
          <w:sz w:val="22"/>
          <w:lang w:val="es-ES"/>
        </w:rPr>
      </w:pPr>
      <w:r w:rsidRPr="00217435">
        <w:rPr>
          <w:rFonts w:ascii="Arial" w:eastAsia="Arial" w:hAnsi="Arial" w:cs="Arial"/>
          <w:sz w:val="22"/>
          <w:lang w:val="es-ES"/>
        </w:rPr>
        <w:t xml:space="preserve">Nótese que la norma hace referencia a los documentos «expedidos por la entidad estatal» durante el proceso de contratación, excluyendo de la noción de </w:t>
      </w:r>
      <w:r w:rsidRPr="00217435">
        <w:rPr>
          <w:rFonts w:ascii="Arial" w:eastAsia="Arial" w:hAnsi="Arial" w:cs="Arial"/>
          <w:i/>
          <w:iCs/>
          <w:sz w:val="22"/>
          <w:lang w:val="es-ES"/>
        </w:rPr>
        <w:t>Documentos del Proceso</w:t>
      </w:r>
      <w:r w:rsidRPr="00217435">
        <w:rPr>
          <w:rFonts w:ascii="Arial" w:eastAsia="Arial" w:hAnsi="Arial" w:cs="Arial"/>
          <w:sz w:val="22"/>
          <w:lang w:val="es-ES"/>
        </w:rPr>
        <w:t xml:space="preserve"> los expedidos por un sujeto distinto a la entidad, salvo la oferta, la cual se incluye expresamente </w:t>
      </w:r>
      <w:r>
        <w:rPr>
          <w:rFonts w:ascii="Arial" w:eastAsia="Arial" w:hAnsi="Arial" w:cs="Arial"/>
          <w:sz w:val="22"/>
          <w:lang w:val="es-ES"/>
        </w:rPr>
        <w:t>e</w:t>
      </w:r>
      <w:r w:rsidRPr="00217435">
        <w:rPr>
          <w:rFonts w:ascii="Arial" w:eastAsia="Arial" w:hAnsi="Arial" w:cs="Arial"/>
          <w:sz w:val="22"/>
          <w:lang w:val="es-ES"/>
        </w:rPr>
        <w:t xml:space="preserve">n el artículo 2.2.1.1.1.3.1. </w:t>
      </w:r>
    </w:p>
    <w:p w14:paraId="376C2662" w14:textId="4D7E2BEF" w:rsidR="00FC7A15" w:rsidRPr="00217435" w:rsidRDefault="00FC7A15" w:rsidP="00C57AE8">
      <w:pPr>
        <w:widowControl w:val="0"/>
        <w:autoSpaceDE w:val="0"/>
        <w:autoSpaceDN w:val="0"/>
        <w:spacing w:before="120" w:after="120" w:line="276" w:lineRule="auto"/>
        <w:ind w:firstLine="708"/>
        <w:jc w:val="both"/>
        <w:rPr>
          <w:rFonts w:ascii="Arial" w:eastAsia="Arial" w:hAnsi="Arial" w:cs="Arial"/>
          <w:sz w:val="22"/>
          <w:lang w:val="es-ES"/>
        </w:rPr>
      </w:pPr>
      <w:r w:rsidRPr="00843442">
        <w:rPr>
          <w:rFonts w:ascii="Arial" w:eastAsia="Arial" w:hAnsi="Arial" w:cs="Arial"/>
          <w:sz w:val="22"/>
          <w:lang w:val="es-ES"/>
        </w:rPr>
        <w:t xml:space="preserve">En </w:t>
      </w:r>
      <w:r w:rsidR="003228C1">
        <w:rPr>
          <w:rFonts w:ascii="Arial" w:eastAsia="Arial" w:hAnsi="Arial" w:cs="Arial"/>
          <w:sz w:val="22"/>
          <w:lang w:val="es-ES"/>
        </w:rPr>
        <w:t>consecuencia</w:t>
      </w:r>
      <w:r w:rsidRPr="00843442">
        <w:rPr>
          <w:rFonts w:ascii="Arial" w:eastAsia="Arial" w:hAnsi="Arial" w:cs="Arial"/>
          <w:sz w:val="22"/>
          <w:lang w:val="es-ES"/>
        </w:rPr>
        <w:t xml:space="preserve">, la interpretación sistemática de los preceptos del Decreto 1082 de 2015, de acuerdo con el principio de publicidad, inicialmente, indica que las entidades estatales tienen la obligación de publicar todos los documentos que expidan con ocasión del </w:t>
      </w:r>
      <w:r w:rsidRPr="00843442">
        <w:rPr>
          <w:rFonts w:ascii="Arial" w:eastAsia="Arial" w:hAnsi="Arial" w:cs="Arial"/>
          <w:i/>
          <w:iCs/>
          <w:sz w:val="22"/>
          <w:lang w:val="es-ES"/>
        </w:rPr>
        <w:t>Proceso de Contratación</w:t>
      </w:r>
      <w:r w:rsidRPr="00843442">
        <w:rPr>
          <w:rFonts w:ascii="Arial" w:eastAsia="Arial" w:hAnsi="Arial" w:cs="Arial"/>
          <w:sz w:val="22"/>
          <w:lang w:val="es-ES"/>
        </w:rPr>
        <w:t>.  Esto implica publicar todos aquellos documentos producidos desde la fase de planeación hasta «el vencimiento de las garantías de calidad, estabilidad y mantenimiento, o las condiciones de disposición final o recuperación ambiental de las obras o bienes o el vencimiento del plazo, lo que ocurra más tarde». Por tanto, la entidad debe publicar todos aquellos documentos expedidos durante las etapas precontractual, de ejecución y postcontractual en el SECOP, dentro de los tres (3) días siguientes a su expedición, para cumplir el deber de publicidad regulado por el artículo 2.2.1.1.1.7.1. del Decreto 1082 de 2015.</w:t>
      </w:r>
    </w:p>
    <w:p w14:paraId="3E897173" w14:textId="47EA4FEA" w:rsidR="00FC7A15" w:rsidRPr="00217435" w:rsidRDefault="00FC7A15" w:rsidP="00C57AE8">
      <w:pPr>
        <w:widowControl w:val="0"/>
        <w:autoSpaceDE w:val="0"/>
        <w:autoSpaceDN w:val="0"/>
        <w:spacing w:before="120" w:after="120" w:line="276" w:lineRule="auto"/>
        <w:ind w:firstLine="708"/>
        <w:jc w:val="both"/>
        <w:rPr>
          <w:rFonts w:ascii="Arial" w:eastAsia="Arial" w:hAnsi="Arial" w:cs="Arial"/>
          <w:sz w:val="22"/>
          <w:lang w:val="es-ES"/>
        </w:rPr>
      </w:pPr>
      <w:r w:rsidRPr="00843442">
        <w:rPr>
          <w:rFonts w:ascii="Arial" w:eastAsia="Arial" w:hAnsi="Arial" w:cs="Arial"/>
          <w:sz w:val="22"/>
          <w:lang w:val="es-ES"/>
        </w:rPr>
        <w:lastRenderedPageBreak/>
        <w:t xml:space="preserve">De lo anterior se puede concluir que, en virtud de lo dispuesto en el artículo 3 de la Ley 1150 de 2007, desarrollado por el artículo 2.2.1.1.1.7.1. del Decreto 1082 de 2015, las entidades están obligadas a publicar en el SECOP todos los documentos relacionados con el </w:t>
      </w:r>
      <w:r w:rsidRPr="00843442">
        <w:rPr>
          <w:rFonts w:ascii="Arial" w:eastAsia="Arial" w:hAnsi="Arial" w:cs="Arial"/>
          <w:i/>
          <w:iCs/>
          <w:sz w:val="22"/>
          <w:lang w:val="es-ES"/>
        </w:rPr>
        <w:t>Proceso de Contratación</w:t>
      </w:r>
      <w:r w:rsidRPr="00843442">
        <w:rPr>
          <w:rFonts w:ascii="Arial" w:eastAsia="Arial" w:hAnsi="Arial" w:cs="Arial"/>
          <w:sz w:val="22"/>
          <w:lang w:val="es-ES"/>
        </w:rPr>
        <w:t xml:space="preserve"> expedidos durante las etapas precontractual, de ejecución y postcontractual, dentro de los tres (3) días hábiles siguientes a su producción</w:t>
      </w:r>
      <w:r w:rsidRPr="00843442">
        <w:rPr>
          <w:rStyle w:val="Refdenotaalpie"/>
          <w:rFonts w:ascii="Arial" w:eastAsia="Arial" w:hAnsi="Arial" w:cs="Arial"/>
          <w:sz w:val="22"/>
          <w:lang w:val="es-ES"/>
        </w:rPr>
        <w:footnoteReference w:id="7"/>
      </w:r>
      <w:r w:rsidRPr="00843442">
        <w:rPr>
          <w:rFonts w:ascii="Arial" w:eastAsia="Arial" w:hAnsi="Arial" w:cs="Arial"/>
          <w:sz w:val="22"/>
          <w:lang w:val="es-ES"/>
        </w:rPr>
        <w:t>. Este deber aplica a todas las modalidades de selección y entidades regidas por el Estatuto General de Contratación de la Administración Pública</w:t>
      </w:r>
      <w:r w:rsidR="003228C1">
        <w:rPr>
          <w:rFonts w:ascii="Arial" w:eastAsia="Arial" w:hAnsi="Arial" w:cs="Arial"/>
          <w:sz w:val="22"/>
          <w:lang w:val="es-ES"/>
        </w:rPr>
        <w:t>.</w:t>
      </w:r>
      <w:r w:rsidRPr="00843442">
        <w:rPr>
          <w:rFonts w:ascii="Arial" w:eastAsia="Arial" w:hAnsi="Arial" w:cs="Arial"/>
          <w:sz w:val="22"/>
          <w:lang w:val="es-ES"/>
        </w:rPr>
        <w:t xml:space="preserve"> </w:t>
      </w:r>
      <w:r w:rsidR="003228C1">
        <w:rPr>
          <w:rFonts w:ascii="Arial" w:eastAsia="Arial" w:hAnsi="Arial" w:cs="Arial"/>
          <w:sz w:val="22"/>
          <w:lang w:val="es-ES"/>
        </w:rPr>
        <w:t>S</w:t>
      </w:r>
      <w:r w:rsidRPr="00843442">
        <w:rPr>
          <w:rFonts w:ascii="Arial" w:eastAsia="Arial" w:hAnsi="Arial" w:cs="Arial"/>
          <w:sz w:val="22"/>
          <w:lang w:val="es-ES"/>
        </w:rPr>
        <w:t>olo se encuentran excluidas las ofertas que no se aprobaron y los documentos expedidos en el marco de operaciones de bolsa de productos.</w:t>
      </w:r>
    </w:p>
    <w:p w14:paraId="39D223F7" w14:textId="2803CE17" w:rsidR="00FC7A15" w:rsidRPr="00217435" w:rsidRDefault="002D5245" w:rsidP="00C57AE8">
      <w:pPr>
        <w:spacing w:before="120" w:after="120" w:line="276" w:lineRule="auto"/>
        <w:ind w:firstLine="709"/>
        <w:jc w:val="both"/>
        <w:rPr>
          <w:rFonts w:ascii="Arial" w:eastAsia="Calibri" w:hAnsi="Arial" w:cs="Arial"/>
          <w:sz w:val="22"/>
          <w:lang w:val="es-ES"/>
        </w:rPr>
      </w:pPr>
      <w:r>
        <w:rPr>
          <w:rFonts w:ascii="Arial" w:eastAsia="Calibri" w:hAnsi="Arial" w:cs="Arial"/>
          <w:sz w:val="22"/>
          <w:lang w:val="es-ES"/>
        </w:rPr>
        <w:t>Cabe resaltar que</w:t>
      </w:r>
      <w:r w:rsidR="00FC7A15" w:rsidRPr="00217435">
        <w:rPr>
          <w:rFonts w:ascii="Arial" w:eastAsia="Calibri" w:hAnsi="Arial" w:cs="Arial"/>
          <w:sz w:val="22"/>
          <w:lang w:val="es-ES"/>
        </w:rPr>
        <w:t xml:space="preserve"> el deber de publicar los documentos relacionados con la contratación no se encuentra regulado solamente por las normas del Estatuto General de Contratación de la Administración Pública</w:t>
      </w:r>
      <w:r w:rsidR="008647BE">
        <w:rPr>
          <w:rFonts w:ascii="Arial" w:eastAsia="Calibri" w:hAnsi="Arial" w:cs="Arial"/>
          <w:sz w:val="22"/>
          <w:lang w:val="es-ES"/>
        </w:rPr>
        <w:t>. Esto, por cuanto</w:t>
      </w:r>
      <w:r w:rsidR="00FC7A15" w:rsidRPr="00217435">
        <w:rPr>
          <w:rFonts w:ascii="Arial" w:eastAsia="Calibri" w:hAnsi="Arial" w:cs="Arial"/>
          <w:sz w:val="22"/>
          <w:lang w:val="es-ES"/>
        </w:rPr>
        <w:t xml:space="preserve"> la Ley 1712 de 2014, normativa de la transparencia y del derecho de acceso a la información pública, señala en el literal g) del artículo 11, que todo sujeto obligado debe publicar sus procedimientos, lineamientos, políticas en materia de adquisiciones y compras, así como todos los datos de adjudicación y ejecución de sus contratos.</w:t>
      </w:r>
      <w:r w:rsidR="008647BE">
        <w:rPr>
          <w:rFonts w:ascii="Arial" w:eastAsia="Calibri" w:hAnsi="Arial" w:cs="Arial"/>
          <w:sz w:val="22"/>
          <w:lang w:val="es-ES"/>
        </w:rPr>
        <w:t xml:space="preserve"> Dicha</w:t>
      </w:r>
      <w:r w:rsidR="00FC7A15" w:rsidRPr="00217435">
        <w:rPr>
          <w:rFonts w:ascii="Arial" w:eastAsia="Calibri" w:hAnsi="Arial" w:cs="Arial"/>
          <w:sz w:val="22"/>
          <w:lang w:val="es-ES"/>
        </w:rPr>
        <w:t xml:space="preserve"> obligación, en principio, fue reglamentada por el Decreto 103 de 2015, hoy compilado en el Decreto 1081 de 2015. </w:t>
      </w:r>
      <w:r>
        <w:rPr>
          <w:rFonts w:ascii="Arial" w:eastAsia="Calibri" w:hAnsi="Arial" w:cs="Arial"/>
          <w:sz w:val="22"/>
          <w:lang w:val="es-ES"/>
        </w:rPr>
        <w:t xml:space="preserve"> </w:t>
      </w:r>
      <w:r w:rsidR="00FC7A15" w:rsidRPr="00217435">
        <w:rPr>
          <w:rFonts w:ascii="Arial" w:eastAsia="Calibri" w:hAnsi="Arial" w:cs="Arial"/>
          <w:sz w:val="22"/>
          <w:lang w:val="es-ES"/>
        </w:rPr>
        <w:t xml:space="preserve">Este último señala, en el artículo 2.1.1.2.1.7, que las entidades deberán publicar en el SECOP </w:t>
      </w:r>
      <w:r w:rsidR="00FC7A15" w:rsidRPr="00217435">
        <w:rPr>
          <w:rFonts w:ascii="Arial" w:hAnsi="Arial" w:cs="Arial"/>
          <w:sz w:val="22"/>
          <w:lang w:val="es-ES"/>
        </w:rPr>
        <w:t>la información de su gestión contractual</w:t>
      </w:r>
      <w:r w:rsidR="00FC7A15" w:rsidRPr="00217435">
        <w:rPr>
          <w:rStyle w:val="Refdenotaalpie"/>
          <w:rFonts w:ascii="Arial" w:hAnsi="Arial" w:cs="Arial"/>
          <w:sz w:val="22"/>
          <w:lang w:val="es-ES"/>
        </w:rPr>
        <w:footnoteReference w:id="8"/>
      </w:r>
      <w:r w:rsidR="00FC7A15" w:rsidRPr="00217435">
        <w:rPr>
          <w:rFonts w:ascii="Arial" w:eastAsia="Calibri" w:hAnsi="Arial" w:cs="Arial"/>
          <w:sz w:val="22"/>
          <w:lang w:val="es-ES"/>
        </w:rPr>
        <w:t xml:space="preserve">. Por su parte, el artículo 2.1.1.2.1.9 expresa que las entidades </w:t>
      </w:r>
      <w:r w:rsidR="00FC7A15" w:rsidRPr="00217435">
        <w:rPr>
          <w:rFonts w:ascii="Arial" w:eastAsia="Calibri" w:hAnsi="Arial" w:cs="Arial"/>
          <w:sz w:val="22"/>
          <w:lang w:val="es-ES"/>
        </w:rPr>
        <w:lastRenderedPageBreak/>
        <w:t>deberán publicar los procedimientos, lineamientos y políticas en materia de adquisición, que no son otros que los previstos en el manual de contratación, el cual debe publicarse en el sitio web del sujeto obligado</w:t>
      </w:r>
      <w:r w:rsidR="00FC7A15" w:rsidRPr="00217435">
        <w:rPr>
          <w:rStyle w:val="Refdenotaalpie"/>
          <w:rFonts w:ascii="Arial" w:eastAsia="Calibri" w:hAnsi="Arial" w:cs="Arial"/>
          <w:sz w:val="22"/>
          <w:lang w:val="es-ES"/>
        </w:rPr>
        <w:footnoteReference w:id="9"/>
      </w:r>
      <w:r w:rsidR="00FC7A15" w:rsidRPr="00217435">
        <w:rPr>
          <w:rFonts w:ascii="Arial" w:eastAsia="Calibri" w:hAnsi="Arial" w:cs="Arial"/>
          <w:sz w:val="22"/>
          <w:lang w:val="es-ES"/>
        </w:rPr>
        <w:t>. El artículo 2.1.1.2.1.10 establece la obligación que tienen las entidades de publicar en el SECOP el Plan Anual de Adquisiciones</w:t>
      </w:r>
      <w:r w:rsidR="00FC7A15" w:rsidRPr="00217435">
        <w:rPr>
          <w:rStyle w:val="Refdenotaalpie"/>
          <w:rFonts w:ascii="Arial" w:eastAsia="Calibri" w:hAnsi="Arial" w:cs="Arial"/>
          <w:sz w:val="22"/>
          <w:lang w:val="es-ES"/>
        </w:rPr>
        <w:footnoteReference w:id="10"/>
      </w:r>
      <w:r w:rsidR="00FC7A15" w:rsidRPr="00217435">
        <w:rPr>
          <w:rFonts w:ascii="Arial" w:eastAsia="Calibri" w:hAnsi="Arial" w:cs="Arial"/>
          <w:sz w:val="22"/>
          <w:lang w:val="es-ES"/>
        </w:rPr>
        <w:t xml:space="preserve">. </w:t>
      </w:r>
    </w:p>
    <w:p w14:paraId="4DBA96BE" w14:textId="77777777" w:rsidR="00FC7A15" w:rsidRPr="00217435" w:rsidRDefault="00FC7A15" w:rsidP="00C57AE8">
      <w:pPr>
        <w:spacing w:before="120" w:after="120" w:line="276" w:lineRule="auto"/>
        <w:ind w:firstLine="709"/>
        <w:jc w:val="both"/>
        <w:rPr>
          <w:rFonts w:ascii="Arial" w:eastAsia="Calibri" w:hAnsi="Arial" w:cs="Arial"/>
          <w:sz w:val="22"/>
          <w:lang w:val="es-ES"/>
        </w:rPr>
      </w:pPr>
      <w:r w:rsidRPr="00217435">
        <w:rPr>
          <w:rFonts w:ascii="Arial" w:eastAsia="Calibri" w:hAnsi="Arial" w:cs="Arial"/>
          <w:sz w:val="22"/>
          <w:lang w:val="es-ES"/>
        </w:rPr>
        <w:t xml:space="preserve">De otro lado, el artículo 2.1.1.2.1.8, establece los efectos de </w:t>
      </w:r>
      <w:r w:rsidRPr="00217435">
        <w:rPr>
          <w:rFonts w:ascii="Arial" w:hAnsi="Arial" w:cs="Arial"/>
          <w:sz w:val="22"/>
          <w:lang w:val="es-ES"/>
        </w:rPr>
        <w:t>la obligación contenida en el literal g) del artículo 11 de la Ley 1712 de 2014, en relación con los documentos producidos durante la ejecución del contrato, señalando que se</w:t>
      </w:r>
      <w:r w:rsidRPr="00217435">
        <w:rPr>
          <w:rFonts w:ascii="Arial" w:eastAsia="Calibri" w:hAnsi="Arial" w:cs="Arial"/>
          <w:sz w:val="22"/>
          <w:lang w:val="es-ES"/>
        </w:rPr>
        <w:t xml:space="preserve"> deben publicar las aprobaciones, autorizaciones, requerimientos o informes del supervisor o interventor, que prueben la ejecución del contrato</w:t>
      </w:r>
      <w:r w:rsidRPr="00217435">
        <w:rPr>
          <w:rStyle w:val="Refdenotaalpie"/>
          <w:rFonts w:ascii="Arial" w:eastAsia="Calibri" w:hAnsi="Arial" w:cs="Arial"/>
          <w:sz w:val="22"/>
          <w:lang w:val="es-ES"/>
        </w:rPr>
        <w:footnoteReference w:id="11"/>
      </w:r>
      <w:r w:rsidRPr="00217435">
        <w:rPr>
          <w:rFonts w:ascii="Arial" w:eastAsia="Calibri" w:hAnsi="Arial" w:cs="Arial"/>
          <w:sz w:val="22"/>
          <w:lang w:val="es-ES"/>
        </w:rPr>
        <w:t>.</w:t>
      </w:r>
    </w:p>
    <w:p w14:paraId="0A35D2F7" w14:textId="57B781DB" w:rsidR="00FC7A15" w:rsidRPr="00217435" w:rsidRDefault="00FC7A15" w:rsidP="00C57AE8">
      <w:pPr>
        <w:spacing w:before="120" w:after="120" w:line="276" w:lineRule="auto"/>
        <w:ind w:firstLine="709"/>
        <w:jc w:val="both"/>
        <w:rPr>
          <w:rFonts w:ascii="Arial" w:eastAsia="Calibri" w:hAnsi="Arial" w:cs="Arial"/>
          <w:sz w:val="22"/>
          <w:lang w:val="es-ES"/>
        </w:rPr>
      </w:pPr>
      <w:r w:rsidRPr="00217435">
        <w:rPr>
          <w:rFonts w:ascii="Arial" w:eastAsia="Calibri" w:hAnsi="Arial" w:cs="Arial"/>
          <w:sz w:val="22"/>
          <w:lang w:val="es-ES"/>
        </w:rPr>
        <w:t>En ese orden</w:t>
      </w:r>
      <w:r w:rsidR="008647BE">
        <w:rPr>
          <w:rFonts w:ascii="Arial" w:eastAsia="Calibri" w:hAnsi="Arial" w:cs="Arial"/>
          <w:sz w:val="22"/>
          <w:lang w:val="es-ES"/>
        </w:rPr>
        <w:t xml:space="preserve"> de ideas</w:t>
      </w:r>
      <w:r w:rsidRPr="00217435">
        <w:rPr>
          <w:rFonts w:ascii="Arial" w:eastAsia="Calibri" w:hAnsi="Arial" w:cs="Arial"/>
          <w:sz w:val="22"/>
          <w:lang w:val="es-ES"/>
        </w:rPr>
        <w:t xml:space="preserve">, el deber de publicar la actividad contractual de las entidades estatales no solo está regulado en el artículo 3 de la Ley 1150 de 2007 y en el </w:t>
      </w:r>
      <w:r w:rsidRPr="00217435">
        <w:rPr>
          <w:rFonts w:ascii="Arial" w:eastAsia="Arial" w:hAnsi="Arial" w:cs="Arial"/>
          <w:sz w:val="22"/>
          <w:lang w:val="es-ES"/>
        </w:rPr>
        <w:t>artículo 2.2.1.1.1.7.1. del Decreto 1082 de 2015, sino también en la Ley 1712 de 2014 y en el Decreto 1081 de 2015</w:t>
      </w:r>
      <w:r w:rsidR="008647BE">
        <w:rPr>
          <w:rFonts w:ascii="Arial" w:eastAsia="Arial" w:hAnsi="Arial" w:cs="Arial"/>
          <w:sz w:val="22"/>
          <w:lang w:val="es-ES"/>
        </w:rPr>
        <w:t>. Estas</w:t>
      </w:r>
      <w:r w:rsidRPr="00217435">
        <w:rPr>
          <w:rFonts w:ascii="Arial" w:eastAsia="Arial" w:hAnsi="Arial" w:cs="Arial"/>
          <w:sz w:val="22"/>
          <w:lang w:val="es-ES"/>
        </w:rPr>
        <w:t xml:space="preserve"> normas no solo refuerzan y complementan al régimen de contratación estatal en cuanto a la publicidad, sino que lo amplía, para incluir la publicación de los «procedimientos» y la información relativa a la «gestión contractual», sin el </w:t>
      </w:r>
      <w:r w:rsidRPr="00217435">
        <w:rPr>
          <w:rFonts w:ascii="Arial" w:eastAsia="Arial" w:hAnsi="Arial" w:cs="Arial"/>
          <w:sz w:val="22"/>
          <w:lang w:val="es-ES"/>
        </w:rPr>
        <w:lastRenderedPageBreak/>
        <w:t xml:space="preserve">condicionamiento de tratarse exclusivamente de los </w:t>
      </w:r>
      <w:r w:rsidRPr="00F327C3">
        <w:rPr>
          <w:rFonts w:ascii="Arial" w:eastAsia="Arial" w:hAnsi="Arial" w:cs="Arial"/>
          <w:i/>
          <w:iCs/>
          <w:sz w:val="22"/>
          <w:lang w:val="es-ES"/>
        </w:rPr>
        <w:t>Documentos del Proceso</w:t>
      </w:r>
      <w:r w:rsidRPr="00217435">
        <w:rPr>
          <w:rFonts w:ascii="Arial" w:eastAsia="Arial" w:hAnsi="Arial" w:cs="Arial"/>
          <w:i/>
          <w:iCs/>
          <w:sz w:val="22"/>
          <w:lang w:val="es-ES"/>
        </w:rPr>
        <w:t xml:space="preserve"> </w:t>
      </w:r>
      <w:r w:rsidRPr="00217435">
        <w:rPr>
          <w:rFonts w:ascii="Arial" w:eastAsia="Arial" w:hAnsi="Arial" w:cs="Arial"/>
          <w:sz w:val="22"/>
          <w:lang w:val="es-ES"/>
        </w:rPr>
        <w:t>expedidos por la «entidad estatal».</w:t>
      </w:r>
    </w:p>
    <w:p w14:paraId="4DEAFC56" w14:textId="701BD6F8" w:rsidR="00FC7A15" w:rsidRPr="00217435" w:rsidRDefault="00FC7A15" w:rsidP="00C57AE8">
      <w:pPr>
        <w:spacing w:before="120" w:after="120" w:line="276" w:lineRule="auto"/>
        <w:ind w:firstLine="709"/>
        <w:jc w:val="both"/>
        <w:rPr>
          <w:rFonts w:ascii="Arial" w:eastAsia="Calibri" w:hAnsi="Arial" w:cs="Arial"/>
          <w:sz w:val="22"/>
          <w:lang w:val="es-ES"/>
        </w:rPr>
      </w:pPr>
      <w:r w:rsidRPr="00217435">
        <w:rPr>
          <w:rFonts w:ascii="Arial" w:eastAsia="Calibri" w:hAnsi="Arial" w:cs="Arial"/>
          <w:sz w:val="22"/>
          <w:lang w:val="es-ES"/>
        </w:rPr>
        <w:t xml:space="preserve">Las publicaciones que corresponde efectuar a las entidades estatales, como sujetos obligados por la normativa de la transparencia y acceso a la información pública, en particular en lo referente a la información contractual, antes que una derogación o subrogación del contenido del deber de publicidad regulado por el EGCAP, suponen una ampliación de su alcance, que lo hace trascender de la simple publicación de la información «producida por la entidad estatal» asociada a la noción de </w:t>
      </w:r>
      <w:r>
        <w:rPr>
          <w:rFonts w:ascii="Arial" w:eastAsia="Calibri" w:hAnsi="Arial" w:cs="Arial"/>
          <w:i/>
          <w:iCs/>
          <w:sz w:val="22"/>
          <w:lang w:val="es-ES"/>
        </w:rPr>
        <w:t>D</w:t>
      </w:r>
      <w:r w:rsidRPr="00217435">
        <w:rPr>
          <w:rFonts w:ascii="Arial" w:eastAsia="Calibri" w:hAnsi="Arial" w:cs="Arial"/>
          <w:i/>
          <w:iCs/>
          <w:sz w:val="22"/>
          <w:lang w:val="es-ES"/>
        </w:rPr>
        <w:t xml:space="preserve">ocumentos del </w:t>
      </w:r>
      <w:r>
        <w:rPr>
          <w:rFonts w:ascii="Arial" w:eastAsia="Calibri" w:hAnsi="Arial" w:cs="Arial"/>
          <w:i/>
          <w:iCs/>
          <w:sz w:val="22"/>
          <w:lang w:val="es-ES"/>
        </w:rPr>
        <w:t>P</w:t>
      </w:r>
      <w:r w:rsidRPr="00217435">
        <w:rPr>
          <w:rFonts w:ascii="Arial" w:eastAsia="Calibri" w:hAnsi="Arial" w:cs="Arial"/>
          <w:i/>
          <w:iCs/>
          <w:sz w:val="22"/>
          <w:lang w:val="es-ES"/>
        </w:rPr>
        <w:t>roceso.</w:t>
      </w:r>
      <w:r w:rsidRPr="00217435">
        <w:rPr>
          <w:rFonts w:ascii="Arial" w:hAnsi="Arial" w:cs="Arial"/>
          <w:sz w:val="22"/>
          <w:lang w:val="es-ES"/>
        </w:rPr>
        <w:t xml:space="preserve"> Esto</w:t>
      </w:r>
      <w:r w:rsidRPr="00217435">
        <w:rPr>
          <w:rFonts w:ascii="Arial" w:eastAsia="Calibri" w:hAnsi="Arial" w:cs="Arial"/>
          <w:i/>
          <w:iCs/>
          <w:sz w:val="22"/>
          <w:lang w:val="es-ES"/>
        </w:rPr>
        <w:t xml:space="preserve"> </w:t>
      </w:r>
      <w:r w:rsidRPr="00217435">
        <w:rPr>
          <w:rFonts w:ascii="Arial" w:eastAsia="Calibri" w:hAnsi="Arial" w:cs="Arial"/>
          <w:sz w:val="22"/>
          <w:lang w:val="es-ES"/>
        </w:rPr>
        <w:t>en la medida en que, al establecerse la obligación de publicar los «procedimientos» y la «información de la gestión contractual» en el SECOP, se incorporó una visión omnicomprensiva de la actividad contractual que debe publicarse,</w:t>
      </w:r>
      <w:r w:rsidR="008647BE">
        <w:rPr>
          <w:rFonts w:ascii="Arial" w:eastAsia="Calibri" w:hAnsi="Arial" w:cs="Arial"/>
          <w:sz w:val="22"/>
          <w:lang w:val="es-ES"/>
        </w:rPr>
        <w:t xml:space="preserve"> toda vez</w:t>
      </w:r>
      <w:r w:rsidRPr="00217435">
        <w:rPr>
          <w:rFonts w:ascii="Arial" w:eastAsia="Calibri" w:hAnsi="Arial" w:cs="Arial"/>
          <w:sz w:val="22"/>
          <w:lang w:val="es-ES"/>
        </w:rPr>
        <w:t xml:space="preserve"> que la noción de procedimiento debe asimilarse a la de </w:t>
      </w:r>
      <w:r w:rsidRPr="00F327C3">
        <w:rPr>
          <w:rFonts w:ascii="Arial" w:eastAsia="Calibri" w:hAnsi="Arial" w:cs="Arial"/>
          <w:i/>
          <w:iCs/>
          <w:sz w:val="22"/>
          <w:lang w:val="es-ES"/>
        </w:rPr>
        <w:t>Proceso de Contratación</w:t>
      </w:r>
      <w:r w:rsidR="008647BE">
        <w:rPr>
          <w:rFonts w:ascii="Arial" w:eastAsia="Calibri" w:hAnsi="Arial" w:cs="Arial"/>
          <w:i/>
          <w:iCs/>
          <w:sz w:val="22"/>
          <w:lang w:val="es-ES"/>
        </w:rPr>
        <w:t>.</w:t>
      </w:r>
      <w:r w:rsidRPr="00217435">
        <w:rPr>
          <w:rFonts w:ascii="Arial" w:eastAsia="Calibri" w:hAnsi="Arial" w:cs="Arial"/>
          <w:sz w:val="22"/>
          <w:lang w:val="es-ES"/>
        </w:rPr>
        <w:t xml:space="preserve"> </w:t>
      </w:r>
      <w:r w:rsidR="008647BE">
        <w:rPr>
          <w:rFonts w:ascii="Arial" w:eastAsia="Calibri" w:hAnsi="Arial" w:cs="Arial"/>
          <w:sz w:val="22"/>
          <w:lang w:val="es-ES"/>
        </w:rPr>
        <w:t>Lo anterior</w:t>
      </w:r>
      <w:r w:rsidRPr="00217435">
        <w:rPr>
          <w:rFonts w:ascii="Arial" w:eastAsia="Calibri" w:hAnsi="Arial" w:cs="Arial"/>
          <w:sz w:val="22"/>
          <w:lang w:val="es-ES"/>
        </w:rPr>
        <w:t xml:space="preserve"> implica que la publicación que corresponde a las entidades estatales, como sujetos obligados en el marco de la Ley 1712 de 2014, se extienda a todo el desarrollo del procedimiento, desde la etapa de planeación hasta el vencimiento de las garantías, incluyendo cada actuación que se produzca en ese lapso.  </w:t>
      </w:r>
    </w:p>
    <w:p w14:paraId="4ADF4855" w14:textId="7712C97F" w:rsidR="00FC7A15" w:rsidRPr="00843442" w:rsidRDefault="00FC7A15" w:rsidP="00C31417">
      <w:pPr>
        <w:spacing w:before="120" w:after="120" w:line="276" w:lineRule="auto"/>
        <w:ind w:firstLine="709"/>
        <w:jc w:val="both"/>
        <w:rPr>
          <w:rFonts w:ascii="Arial" w:eastAsia="Calibri" w:hAnsi="Arial" w:cs="Arial"/>
          <w:sz w:val="22"/>
          <w:lang w:val="es-ES"/>
        </w:rPr>
      </w:pPr>
      <w:r w:rsidRPr="00202668">
        <w:rPr>
          <w:rFonts w:ascii="Arial" w:eastAsia="Calibri" w:hAnsi="Arial" w:cs="Arial"/>
          <w:sz w:val="22"/>
          <w:lang w:val="es-ES"/>
        </w:rPr>
        <w:t xml:space="preserve">Esto quiere decir que las entidades estatales, además de los documentos y actos administrativos </w:t>
      </w:r>
      <w:r w:rsidR="008647BE">
        <w:rPr>
          <w:rFonts w:ascii="Arial" w:eastAsia="Calibri" w:hAnsi="Arial" w:cs="Arial"/>
          <w:sz w:val="22"/>
          <w:lang w:val="es-ES"/>
        </w:rPr>
        <w:t>-</w:t>
      </w:r>
      <w:r w:rsidRPr="00202668">
        <w:rPr>
          <w:rFonts w:ascii="Arial" w:eastAsia="Calibri" w:hAnsi="Arial" w:cs="Arial"/>
          <w:sz w:val="22"/>
          <w:lang w:val="es-ES"/>
        </w:rPr>
        <w:t>de trámite o definitivos– que expiden durante los procedimientos de contratación</w:t>
      </w:r>
      <w:r w:rsidRPr="00202668">
        <w:rPr>
          <w:rFonts w:ascii="Arial" w:eastAsia="Calibri" w:hAnsi="Arial" w:cs="Arial"/>
          <w:i/>
          <w:iCs/>
          <w:sz w:val="22"/>
          <w:lang w:val="es-ES"/>
        </w:rPr>
        <w:t>,</w:t>
      </w:r>
      <w:r w:rsidRPr="00202668">
        <w:rPr>
          <w:rFonts w:ascii="Arial" w:eastAsia="Calibri" w:hAnsi="Arial" w:cs="Arial"/>
          <w:sz w:val="22"/>
          <w:lang w:val="es-ES"/>
        </w:rPr>
        <w:t xml:space="preserve"> deben publicar los documentos que los impulsan y materializan, incluso los que no produce la entidad, pero que hacen parte del procedimiento</w:t>
      </w:r>
      <w:r w:rsidRPr="00843442">
        <w:rPr>
          <w:rFonts w:ascii="Arial" w:eastAsia="Calibri" w:hAnsi="Arial" w:cs="Arial"/>
          <w:sz w:val="22"/>
          <w:lang w:val="es-ES"/>
        </w:rPr>
        <w:t xml:space="preserve">. </w:t>
      </w:r>
      <w:r w:rsidRPr="00202668">
        <w:rPr>
          <w:rFonts w:ascii="Arial" w:eastAsia="Calibri" w:hAnsi="Arial" w:cs="Arial"/>
          <w:sz w:val="22"/>
          <w:lang w:val="es-ES"/>
        </w:rPr>
        <w:t>En este grupo de documentos encontramos, por ejemplo, los contentivos de las observaciones formuladas por la ciudadanía al proyecto de pliego de condiciones, o por los proponentes al informe de evaluación y aclaraciones a las ofertas realizadas por los oferentes.</w:t>
      </w:r>
      <w:r w:rsidRPr="00843442">
        <w:rPr>
          <w:rFonts w:ascii="Arial" w:eastAsia="Calibri" w:hAnsi="Arial" w:cs="Arial"/>
          <w:sz w:val="22"/>
          <w:lang w:val="es-ES"/>
        </w:rPr>
        <w:t xml:space="preserve"> </w:t>
      </w:r>
      <w:r w:rsidRPr="00202668">
        <w:rPr>
          <w:rFonts w:ascii="Arial" w:eastAsia="Calibri" w:hAnsi="Arial" w:cs="Arial"/>
          <w:sz w:val="22"/>
          <w:lang w:val="es-ES"/>
        </w:rPr>
        <w:t xml:space="preserve">En general, es posible afirmar que cualquier actuación ocurrida durante el </w:t>
      </w:r>
      <w:r w:rsidRPr="00202668">
        <w:rPr>
          <w:rFonts w:ascii="Arial" w:eastAsia="Calibri" w:hAnsi="Arial" w:cs="Arial"/>
          <w:i/>
          <w:iCs/>
          <w:sz w:val="22"/>
          <w:lang w:val="es-ES"/>
        </w:rPr>
        <w:t>Proceso de Contratación</w:t>
      </w:r>
      <w:r w:rsidRPr="00202668">
        <w:rPr>
          <w:rFonts w:ascii="Arial" w:eastAsia="Calibri" w:hAnsi="Arial" w:cs="Arial"/>
          <w:sz w:val="22"/>
          <w:lang w:val="es-ES"/>
        </w:rPr>
        <w:t>–a pesar de no tener origen en la entidad estatal, ni caber en estricto sentido en lo que se entiende con la expresión</w:t>
      </w:r>
      <w:r w:rsidRPr="00202668">
        <w:rPr>
          <w:rFonts w:ascii="Arial" w:eastAsia="Calibri" w:hAnsi="Arial" w:cs="Arial"/>
          <w:i/>
          <w:iCs/>
          <w:sz w:val="22"/>
          <w:lang w:val="es-ES"/>
        </w:rPr>
        <w:t xml:space="preserve"> Documento del Proceso–, </w:t>
      </w:r>
      <w:r w:rsidRPr="00202668">
        <w:rPr>
          <w:rFonts w:ascii="Arial" w:eastAsia="Calibri" w:hAnsi="Arial" w:cs="Arial"/>
          <w:sz w:val="22"/>
          <w:lang w:val="es-ES"/>
        </w:rPr>
        <w:t xml:space="preserve">hace parte del desarrollo del procedimiento, por lo que debe ser publicada por la </w:t>
      </w:r>
      <w:r w:rsidR="00652E9B" w:rsidRPr="00202668">
        <w:rPr>
          <w:rFonts w:ascii="Arial" w:eastAsia="Calibri" w:hAnsi="Arial" w:cs="Arial"/>
          <w:sz w:val="22"/>
          <w:lang w:val="es-ES"/>
        </w:rPr>
        <w:t>entidad de</w:t>
      </w:r>
      <w:r w:rsidRPr="00202668">
        <w:rPr>
          <w:rFonts w:ascii="Arial" w:eastAsia="Calibri" w:hAnsi="Arial" w:cs="Arial"/>
          <w:sz w:val="22"/>
          <w:lang w:val="es-ES"/>
        </w:rPr>
        <w:t xml:space="preserve"> manera proactiva en atención a lo dispuesto por la normativa de transparencia y acceso a la información pública.</w:t>
      </w:r>
    </w:p>
    <w:p w14:paraId="72E6BD97" w14:textId="0AD50B90" w:rsidR="00FC7A15" w:rsidRPr="00843442" w:rsidRDefault="00FC7A15" w:rsidP="00C31417">
      <w:pPr>
        <w:spacing w:before="120" w:after="120" w:line="276" w:lineRule="auto"/>
        <w:ind w:firstLine="709"/>
        <w:jc w:val="both"/>
        <w:rPr>
          <w:rFonts w:ascii="Arial" w:eastAsia="Calibri" w:hAnsi="Arial" w:cs="Arial"/>
          <w:sz w:val="22"/>
          <w:lang w:val="es-ES"/>
        </w:rPr>
      </w:pPr>
      <w:r w:rsidRPr="00202668">
        <w:rPr>
          <w:rFonts w:ascii="Arial" w:eastAsia="Calibri" w:hAnsi="Arial" w:cs="Arial"/>
          <w:sz w:val="22"/>
          <w:lang w:val="es-ES"/>
        </w:rPr>
        <w:t>Es importante resaltar que</w:t>
      </w:r>
      <w:r w:rsidR="0029262C">
        <w:rPr>
          <w:rFonts w:ascii="Arial" w:eastAsia="Calibri" w:hAnsi="Arial" w:cs="Arial"/>
          <w:sz w:val="22"/>
          <w:lang w:val="es-ES"/>
        </w:rPr>
        <w:t>,</w:t>
      </w:r>
      <w:r w:rsidRPr="00202668">
        <w:rPr>
          <w:rFonts w:ascii="Arial" w:eastAsia="Calibri" w:hAnsi="Arial" w:cs="Arial"/>
          <w:sz w:val="22"/>
          <w:lang w:val="es-ES"/>
        </w:rPr>
        <w:t xml:space="preserve"> al no existir efectos derogatorios o subrogatorios entre las disposiciones del EGCAP y la normativa de la transparencia y el acceso a la información pública, las </w:t>
      </w:r>
      <w:r w:rsidRPr="00C31417">
        <w:rPr>
          <w:rFonts w:ascii="Arial" w:eastAsia="Calibri" w:hAnsi="Arial" w:cs="Arial"/>
          <w:sz w:val="22"/>
          <w:lang w:val="es-ES"/>
        </w:rPr>
        <w:t xml:space="preserve">disposiciones de ambos regímenes deben ser interpretadas de manera complementaria. Esto significa que </w:t>
      </w:r>
      <w:r w:rsidRPr="000F7DE7">
        <w:rPr>
          <w:rFonts w:ascii="Arial" w:eastAsia="Calibri" w:hAnsi="Arial" w:cs="Arial"/>
          <w:sz w:val="22"/>
          <w:lang w:val="es-ES"/>
        </w:rPr>
        <w:t>a pesar de que</w:t>
      </w:r>
      <w:r w:rsidRPr="00235E87">
        <w:rPr>
          <w:rFonts w:ascii="Arial" w:eastAsia="Calibri" w:hAnsi="Arial" w:cs="Arial"/>
          <w:sz w:val="22"/>
          <w:lang w:val="es-ES"/>
        </w:rPr>
        <w:t xml:space="preserve"> los</w:t>
      </w:r>
      <w:r w:rsidRPr="00C31417">
        <w:rPr>
          <w:rFonts w:ascii="Arial" w:eastAsia="Calibri" w:hAnsi="Arial" w:cs="Arial"/>
          <w:sz w:val="22"/>
          <w:lang w:val="es-ES"/>
        </w:rPr>
        <w:t xml:space="preserve"> documentos objeto de publicación según el Decreto 1082 de 2015, se encuentren recogidos dentro de los que deben ser publicados conforme a la Ley 1712 de 2014 y el Decreto 1081 de 2015. De acuerdo</w:t>
      </w:r>
      <w:r w:rsidRPr="00202668">
        <w:rPr>
          <w:rFonts w:ascii="Arial" w:eastAsia="Calibri" w:hAnsi="Arial" w:cs="Arial"/>
          <w:sz w:val="22"/>
          <w:lang w:val="es-ES"/>
        </w:rPr>
        <w:t xml:space="preserve"> con </w:t>
      </w:r>
      <w:r w:rsidR="0029262C">
        <w:rPr>
          <w:rFonts w:ascii="Arial" w:eastAsia="Calibri" w:hAnsi="Arial" w:cs="Arial"/>
          <w:sz w:val="22"/>
          <w:lang w:val="es-ES"/>
        </w:rPr>
        <w:t>lo anterior</w:t>
      </w:r>
      <w:r w:rsidRPr="00202668">
        <w:rPr>
          <w:rFonts w:ascii="Arial" w:eastAsia="Calibri" w:hAnsi="Arial" w:cs="Arial"/>
          <w:sz w:val="22"/>
          <w:lang w:val="es-ES"/>
        </w:rPr>
        <w:t xml:space="preserve">, deben respetarse los aspectos expresamente regulados en cada norma, como, por ejemplo, el término de publicación y la excepción de publicación de los documentos de las operaciones que se celebren en bolsa de productos, conforme al </w:t>
      </w:r>
      <w:r w:rsidRPr="00202668">
        <w:rPr>
          <w:rFonts w:ascii="Arial" w:eastAsia="Arial" w:hAnsi="Arial" w:cs="Arial"/>
          <w:sz w:val="22"/>
          <w:lang w:val="es-ES"/>
        </w:rPr>
        <w:t>artículo 2.2.1.1.1.7.1. del Decreto 1082 de 2015.</w:t>
      </w:r>
    </w:p>
    <w:p w14:paraId="19044C75" w14:textId="733BB904" w:rsidR="00FC7A15" w:rsidRPr="00FC121D" w:rsidRDefault="00FC7A15" w:rsidP="00C31417">
      <w:pPr>
        <w:spacing w:before="120" w:after="120" w:line="276" w:lineRule="auto"/>
        <w:ind w:firstLine="709"/>
        <w:jc w:val="both"/>
        <w:rPr>
          <w:rFonts w:ascii="Arial" w:eastAsia="Calibri" w:hAnsi="Arial" w:cs="Arial"/>
          <w:sz w:val="22"/>
          <w:lang w:val="es-ES"/>
        </w:rPr>
      </w:pPr>
      <w:r w:rsidRPr="00202668">
        <w:rPr>
          <w:rFonts w:ascii="Arial" w:eastAsia="Calibri" w:hAnsi="Arial" w:cs="Arial"/>
          <w:sz w:val="22"/>
          <w:lang w:val="es-ES"/>
        </w:rPr>
        <w:lastRenderedPageBreak/>
        <w:t>De conformidad con lo an</w:t>
      </w:r>
      <w:r w:rsidR="0029262C">
        <w:rPr>
          <w:rFonts w:ascii="Arial" w:eastAsia="Calibri" w:hAnsi="Arial" w:cs="Arial"/>
          <w:sz w:val="22"/>
          <w:lang w:val="es-ES"/>
        </w:rPr>
        <w:t>tes señalado</w:t>
      </w:r>
      <w:r w:rsidRPr="00202668">
        <w:rPr>
          <w:rFonts w:ascii="Arial" w:eastAsia="Calibri" w:hAnsi="Arial" w:cs="Arial"/>
          <w:sz w:val="22"/>
          <w:lang w:val="es-ES"/>
        </w:rPr>
        <w:t xml:space="preserve">, esta interpretación de las disposiciones analizadas permite incorporar al EGCAP importantes principios desarrollados por la normativa de la transparencia y acceso a la información pública, como los de </w:t>
      </w:r>
      <w:r w:rsidRPr="00FC121D">
        <w:rPr>
          <w:rStyle w:val="nfasis"/>
          <w:rFonts w:ascii="Arial" w:hAnsi="Arial" w:cs="Arial"/>
          <w:i w:val="0"/>
          <w:sz w:val="22"/>
        </w:rPr>
        <w:t>máxima publicidad para un titular universal</w:t>
      </w:r>
      <w:r w:rsidRPr="00FC121D">
        <w:rPr>
          <w:rStyle w:val="Refdenotaalpie"/>
          <w:rFonts w:ascii="Arial" w:hAnsi="Arial" w:cs="Arial"/>
          <w:iCs/>
          <w:sz w:val="22"/>
          <w:lang w:val="es-ES"/>
        </w:rPr>
        <w:footnoteReference w:id="12"/>
      </w:r>
      <w:r w:rsidRPr="00FC121D">
        <w:rPr>
          <w:rStyle w:val="nfasis"/>
          <w:rFonts w:ascii="Arial" w:hAnsi="Arial" w:cs="Arial"/>
          <w:i w:val="0"/>
          <w:sz w:val="22"/>
        </w:rPr>
        <w:t>, transparencia, facilitación y divulgación proactiva de la información</w:t>
      </w:r>
      <w:r w:rsidRPr="00FC121D">
        <w:rPr>
          <w:rStyle w:val="Refdenotaalpie"/>
          <w:rFonts w:ascii="Arial" w:hAnsi="Arial" w:cs="Arial"/>
          <w:iCs/>
          <w:sz w:val="22"/>
          <w:lang w:val="es-ES"/>
        </w:rPr>
        <w:footnoteReference w:id="13"/>
      </w:r>
      <w:r w:rsidRPr="00FC121D">
        <w:rPr>
          <w:rStyle w:val="nfasis"/>
          <w:rFonts w:ascii="Arial" w:hAnsi="Arial" w:cs="Arial"/>
          <w:i w:val="0"/>
          <w:sz w:val="22"/>
        </w:rPr>
        <w:t>. E</w:t>
      </w:r>
      <w:r w:rsidR="0029262C">
        <w:rPr>
          <w:rStyle w:val="nfasis"/>
          <w:rFonts w:ascii="Arial" w:hAnsi="Arial" w:cs="Arial"/>
          <w:i w:val="0"/>
          <w:sz w:val="22"/>
        </w:rPr>
        <w:t>llo es así, por cuanto</w:t>
      </w:r>
      <w:r w:rsidRPr="00FC121D">
        <w:rPr>
          <w:rStyle w:val="nfasis"/>
          <w:rFonts w:ascii="Arial" w:hAnsi="Arial" w:cs="Arial"/>
          <w:i w:val="0"/>
          <w:sz w:val="22"/>
        </w:rPr>
        <w:t xml:space="preserve"> al ampliarse la actividad contractual sobre la que recae el deber de publicación, se divulga un mayor volumen de información, que de por sí es pública, mediante un </w:t>
      </w:r>
      <w:r w:rsidR="00FC121D" w:rsidRPr="00FC121D">
        <w:rPr>
          <w:rStyle w:val="nfasis"/>
          <w:rFonts w:ascii="Arial" w:hAnsi="Arial" w:cs="Arial"/>
          <w:i w:val="0"/>
          <w:sz w:val="22"/>
        </w:rPr>
        <w:t>mecanismo como</w:t>
      </w:r>
      <w:r w:rsidRPr="00FC121D">
        <w:rPr>
          <w:rStyle w:val="nfasis"/>
          <w:rFonts w:ascii="Arial" w:hAnsi="Arial" w:cs="Arial"/>
          <w:i w:val="0"/>
          <w:sz w:val="22"/>
        </w:rPr>
        <w:t xml:space="preserve"> el SECOP, que facilita el acceso a la misma desde cualquier dispositivo con acceso a internet. Este mecanismo de publicidad garantiza mayor transparencia, al obligarse a las entidades estatales a publicar sus actuaciones de manera proactiva y rutinaria, lo que permite que la ciudadanía conozca con detalle y actualidad el desarrollo de la gestión contractual de la Administración, fomentándose en la contratación pública estándares altos de transparencia.   </w:t>
      </w:r>
    </w:p>
    <w:p w14:paraId="54F5EF0E" w14:textId="0C68533B" w:rsidR="00FC7A15" w:rsidRPr="00217435" w:rsidRDefault="00FC7A15" w:rsidP="00C31417">
      <w:pPr>
        <w:spacing w:before="120" w:after="120" w:line="276" w:lineRule="auto"/>
        <w:ind w:firstLine="709"/>
        <w:jc w:val="both"/>
        <w:rPr>
          <w:rFonts w:ascii="Arial" w:hAnsi="Arial" w:cs="Arial"/>
          <w:sz w:val="22"/>
          <w:lang w:val="es-ES"/>
        </w:rPr>
      </w:pPr>
      <w:r w:rsidRPr="00FC121D">
        <w:rPr>
          <w:rStyle w:val="Textoennegrita"/>
          <w:rFonts w:ascii="Arial" w:hAnsi="Arial" w:cs="Arial"/>
          <w:b w:val="0"/>
          <w:sz w:val="22"/>
          <w:lang w:val="es-ES"/>
        </w:rPr>
        <w:t xml:space="preserve">En conclusión, con base en los fundamentos normativos y argumentos expuestos, las entidades estatales regidas por el EGCAP deberán publicar en SECOP, entre otros, los siguientes documentos expedidos con ocasión del </w:t>
      </w:r>
      <w:r w:rsidRPr="00FC121D">
        <w:rPr>
          <w:rStyle w:val="Textoennegrita"/>
          <w:rFonts w:ascii="Arial" w:hAnsi="Arial" w:cs="Arial"/>
          <w:b w:val="0"/>
          <w:iCs/>
          <w:sz w:val="22"/>
          <w:lang w:val="es-ES"/>
        </w:rPr>
        <w:t>proceso de contratación</w:t>
      </w:r>
      <w:r w:rsidRPr="00FC121D">
        <w:rPr>
          <w:rStyle w:val="Textoennegrita"/>
          <w:rFonts w:ascii="Arial" w:hAnsi="Arial" w:cs="Arial"/>
          <w:b w:val="0"/>
          <w:sz w:val="22"/>
          <w:lang w:val="es-ES"/>
        </w:rPr>
        <w:t xml:space="preserve">: i) el estudio de oportunidad y conveniencia; ii) </w:t>
      </w:r>
      <w:r w:rsidRPr="00202668">
        <w:rPr>
          <w:rFonts w:ascii="Arial" w:hAnsi="Arial" w:cs="Arial"/>
          <w:sz w:val="22"/>
          <w:lang w:val="es-ES"/>
        </w:rPr>
        <w:t xml:space="preserve">los estudios y documentos previos –técnicos o no–; iii) el aviso de convocatoria; iv) el proyecto de pliego de condiciones y las observaciones que le formulen; v) el pliego de condiciones o la invitación, así como las observaciones que se les realicen; vi) las actas de la audiencia de asignación de riesgos; vii) el acta de cierre del plazo para presentar ofertas; viii) las adendas; ix) en procesos cuya publicación deba </w:t>
      </w:r>
      <w:r w:rsidRPr="00202668">
        <w:rPr>
          <w:rFonts w:ascii="Arial" w:hAnsi="Arial" w:cs="Arial"/>
          <w:sz w:val="22"/>
          <w:lang w:val="es-ES"/>
        </w:rPr>
        <w:lastRenderedPageBreak/>
        <w:t>realizarse en SECOP I, la oferta del adjudicatario y las aclaraciones que se le realicen; x) el informe de precalificación y las observaciones que se formulen; xi) el informe de evaluación y las observaciones que se formulen; xii) las respuestas a las observaciones; xiii) el contrato y los otrosíes o modificaciones; xiv) el acta de inicio; xv) las garantías; xvi) el acta de liquidación; xvii) los actos administrativos expedidos con ocasión del procedimiento de selección o la ejecución del contrato, como las resoluciones de apertura, de adjudicación, las que se impongan multas, la cláusula penal o declaren la caducidad del contrato; xviii) los documentos de los procesos por incumplimiento contractual que se lleven a cabo conforme al artículo 86 de la Ley 1474 de 2011, como la citación, las pruebas que se practiquen, la resolución que resuelve la actuación y demás documentos que se produzcan; ix) las reclamaciones que presenten las partes y las respuestas que se expidan a las mismas; xx) las actas de entrega o recibo, xxi) los informes de supervisión y/o interventoría; xxii) en cuanto a la ejecución, de conformidad con el artículo 2.1.1.2.1.</w:t>
      </w:r>
      <w:r w:rsidRPr="00217435">
        <w:rPr>
          <w:rFonts w:ascii="Arial" w:hAnsi="Arial" w:cs="Arial"/>
          <w:sz w:val="22"/>
          <w:lang w:val="es-ES"/>
        </w:rPr>
        <w:t xml:space="preserve">8 de Decreto 1081 de 2015, deberán publicarse las aprobaciones, autorizaciones, requerimientos o informes del supervisor o del interventor, que prueben la ejecución del contrato; xxiii) la liquidación unilateral; y xxiv) en general cualquier otro documento producido o expedido con ocasión del </w:t>
      </w:r>
      <w:r w:rsidRPr="00217435">
        <w:rPr>
          <w:rFonts w:ascii="Arial" w:hAnsi="Arial" w:cs="Arial"/>
          <w:i/>
          <w:iCs/>
          <w:sz w:val="22"/>
          <w:lang w:val="es-ES"/>
        </w:rPr>
        <w:t>Proceso de Contratación</w:t>
      </w:r>
      <w:r w:rsidRPr="00217435">
        <w:rPr>
          <w:rFonts w:ascii="Arial" w:hAnsi="Arial" w:cs="Arial"/>
          <w:sz w:val="22"/>
          <w:lang w:val="es-ES"/>
        </w:rPr>
        <w:t>, sin importar quién sea su autor –la Administración o el contratista–, con excepción de los que pertenecen a</w:t>
      </w:r>
      <w:r w:rsidRPr="00217435">
        <w:rPr>
          <w:rFonts w:ascii="Arial" w:eastAsia="Arial" w:hAnsi="Arial" w:cs="Arial"/>
          <w:sz w:val="22"/>
          <w:lang w:val="es-ES"/>
        </w:rPr>
        <w:t xml:space="preserve">l marco de operaciones de bolsa de productos, expresamente excluidos de publicación por el artículo 2.2.1.1.1.7.1. del Decreto 1082 de 2015. </w:t>
      </w:r>
    </w:p>
    <w:p w14:paraId="69617141" w14:textId="03C38590" w:rsidR="0099235C" w:rsidRDefault="00FC7A15" w:rsidP="00235E87">
      <w:pPr>
        <w:spacing w:before="120" w:line="276" w:lineRule="auto"/>
        <w:ind w:firstLine="709"/>
        <w:jc w:val="both"/>
        <w:rPr>
          <w:rFonts w:ascii="Arial" w:hAnsi="Arial" w:cs="Arial"/>
          <w:sz w:val="22"/>
          <w:lang w:val="es-ES"/>
        </w:rPr>
      </w:pPr>
      <w:r w:rsidRPr="00843442">
        <w:rPr>
          <w:rFonts w:ascii="Arial" w:hAnsi="Arial" w:cs="Arial"/>
          <w:sz w:val="22"/>
          <w:lang w:val="es-ES"/>
        </w:rPr>
        <w:t xml:space="preserve">Sin perjuicio de lo anterior, no debe perderse de vista </w:t>
      </w:r>
      <w:proofErr w:type="gramStart"/>
      <w:r w:rsidRPr="00843442">
        <w:rPr>
          <w:rFonts w:ascii="Arial" w:hAnsi="Arial" w:cs="Arial"/>
          <w:sz w:val="22"/>
          <w:lang w:val="es-ES"/>
        </w:rPr>
        <w:t>que</w:t>
      </w:r>
      <w:proofErr w:type="gramEnd"/>
      <w:r w:rsidRPr="00843442">
        <w:rPr>
          <w:rFonts w:ascii="Arial" w:hAnsi="Arial" w:cs="Arial"/>
          <w:sz w:val="22"/>
          <w:lang w:val="es-ES"/>
        </w:rPr>
        <w:t xml:space="preserve"> en virtud del principio de transparencia, específicamente por cuenta de lo dispuesto en el numeral 4 del artículo 24 de la Ley 80 de 1993</w:t>
      </w:r>
      <w:r w:rsidRPr="00843442">
        <w:rPr>
          <w:rStyle w:val="Refdenotaalpie"/>
          <w:rFonts w:ascii="Arial" w:hAnsi="Arial" w:cs="Arial"/>
          <w:sz w:val="22"/>
          <w:lang w:val="es-ES"/>
        </w:rPr>
        <w:footnoteReference w:id="14"/>
      </w:r>
      <w:r w:rsidRPr="00843442">
        <w:rPr>
          <w:rFonts w:ascii="Arial" w:hAnsi="Arial" w:cs="Arial"/>
          <w:sz w:val="22"/>
          <w:lang w:val="es-ES"/>
        </w:rPr>
        <w:t>, así como por el principio de máxima publicidad establecido en el artículo 2 de la Ley 1712 de 2014</w:t>
      </w:r>
      <w:r w:rsidRPr="00843442">
        <w:rPr>
          <w:rStyle w:val="Refdenotaalpie"/>
          <w:rFonts w:ascii="Arial" w:hAnsi="Arial" w:cs="Arial"/>
          <w:sz w:val="22"/>
          <w:lang w:val="es-ES"/>
        </w:rPr>
        <w:footnoteReference w:id="15"/>
      </w:r>
      <w:r w:rsidRPr="00843442">
        <w:rPr>
          <w:rFonts w:ascii="Arial" w:hAnsi="Arial" w:cs="Arial"/>
          <w:sz w:val="22"/>
          <w:lang w:val="es-ES"/>
        </w:rPr>
        <w:t xml:space="preserve">, el contenido del expediente en el que reposa la actuación es información pública, independientemente de si se trata de documentos que deban ser publicados en SECOP. Por esta razón, los documentos que conforman el expediente pueden ser objeto de solicitudes de copias, en ejercicio del derecho de petición, en cualquier momento del proceso de selección, en la medida en que las normas señaladas no imponen ningún condicionamiento, así que podrán solicitarlas cualquier persona, dentro de lo que cabe el </w:t>
      </w:r>
      <w:r w:rsidRPr="00202668">
        <w:rPr>
          <w:rFonts w:ascii="Arial" w:hAnsi="Arial" w:cs="Arial"/>
          <w:sz w:val="22"/>
          <w:lang w:val="es-ES"/>
        </w:rPr>
        <w:t xml:space="preserve">control social de la contratación pública, cuestión que podría interesar a </w:t>
      </w:r>
      <w:r w:rsidRPr="00202668">
        <w:rPr>
          <w:rFonts w:ascii="Arial" w:hAnsi="Arial" w:cs="Arial"/>
          <w:sz w:val="22"/>
          <w:lang w:val="es-ES"/>
        </w:rPr>
        <w:lastRenderedPageBreak/>
        <w:t>cualquier ciudadano</w:t>
      </w:r>
      <w:r w:rsidRPr="00202668">
        <w:rPr>
          <w:rStyle w:val="Refdenotaalpie"/>
          <w:rFonts w:ascii="Arial" w:hAnsi="Arial" w:cs="Arial"/>
          <w:sz w:val="22"/>
          <w:lang w:val="es-ES"/>
        </w:rPr>
        <w:footnoteReference w:id="16"/>
      </w:r>
      <w:r w:rsidRPr="00202668">
        <w:rPr>
          <w:rFonts w:ascii="Arial" w:hAnsi="Arial" w:cs="Arial"/>
          <w:sz w:val="22"/>
          <w:lang w:val="es-ES"/>
        </w:rPr>
        <w:t>. Esta posibilidad solo se encuentra limitada respecto de la documentación que tenga la calidad de reservada</w:t>
      </w:r>
      <w:r w:rsidRPr="00202668">
        <w:rPr>
          <w:rFonts w:ascii="Arial" w:hAnsi="Arial" w:cs="Arial"/>
          <w:sz w:val="22"/>
          <w:vertAlign w:val="superscript"/>
          <w:lang w:val="es-ES"/>
        </w:rPr>
        <w:footnoteReference w:id="17"/>
      </w:r>
      <w:r w:rsidRPr="00202668">
        <w:rPr>
          <w:rFonts w:ascii="Arial" w:hAnsi="Arial" w:cs="Arial"/>
          <w:sz w:val="22"/>
          <w:lang w:val="es-ES"/>
        </w:rPr>
        <w:t>, que deberá someterse al tratamiento establecido en el artículo 36 del CPACA, en lo relativo a la formación de cuadernos separados</w:t>
      </w:r>
      <w:r w:rsidRPr="00202668">
        <w:rPr>
          <w:rFonts w:ascii="Arial" w:hAnsi="Arial" w:cs="Arial"/>
          <w:sz w:val="22"/>
          <w:vertAlign w:val="superscript"/>
          <w:lang w:val="es-ES"/>
        </w:rPr>
        <w:footnoteReference w:id="18"/>
      </w:r>
      <w:r w:rsidRPr="00202668">
        <w:rPr>
          <w:rFonts w:ascii="Arial" w:hAnsi="Arial" w:cs="Arial"/>
          <w:sz w:val="22"/>
          <w:lang w:val="es-ES"/>
        </w:rPr>
        <w:t>.</w:t>
      </w:r>
    </w:p>
    <w:p w14:paraId="7EE786A7" w14:textId="19E718A9" w:rsidR="00276AB9" w:rsidRDefault="001402A5" w:rsidP="00235E87">
      <w:pPr>
        <w:spacing w:before="120" w:line="276" w:lineRule="auto"/>
        <w:ind w:firstLine="709"/>
        <w:jc w:val="both"/>
        <w:rPr>
          <w:rFonts w:ascii="Arial" w:hAnsi="Arial" w:cs="Arial"/>
          <w:sz w:val="22"/>
          <w:lang w:val="es-ES"/>
        </w:rPr>
      </w:pPr>
      <w:r>
        <w:rPr>
          <w:rFonts w:ascii="Arial" w:hAnsi="Arial" w:cs="Arial"/>
          <w:sz w:val="22"/>
          <w:lang w:val="es-ES"/>
        </w:rPr>
        <w:t xml:space="preserve">Ahora bien, ante el objeto concreto de la consulta, </w:t>
      </w:r>
      <w:r w:rsidR="003901D4">
        <w:rPr>
          <w:rFonts w:ascii="Arial" w:hAnsi="Arial" w:cs="Arial"/>
          <w:sz w:val="22"/>
          <w:lang w:val="es-ES"/>
        </w:rPr>
        <w:t>resulta necesario</w:t>
      </w:r>
      <w:r w:rsidR="00A437F9">
        <w:rPr>
          <w:rFonts w:ascii="Arial" w:hAnsi="Arial" w:cs="Arial"/>
          <w:sz w:val="22"/>
          <w:lang w:val="es-ES"/>
        </w:rPr>
        <w:t xml:space="preserve"> po</w:t>
      </w:r>
      <w:r w:rsidR="00581EC8">
        <w:rPr>
          <w:rFonts w:ascii="Arial" w:hAnsi="Arial" w:cs="Arial"/>
          <w:sz w:val="22"/>
          <w:lang w:val="es-ES"/>
        </w:rPr>
        <w:t>n</w:t>
      </w:r>
      <w:r w:rsidR="00A437F9">
        <w:rPr>
          <w:rFonts w:ascii="Arial" w:hAnsi="Arial" w:cs="Arial"/>
          <w:sz w:val="22"/>
          <w:lang w:val="es-ES"/>
        </w:rPr>
        <w:t>er de presente que de acuerdo con el artículo 845 del Código de Comercio</w:t>
      </w:r>
      <w:r w:rsidR="00581EC8">
        <w:rPr>
          <w:rFonts w:ascii="Arial" w:hAnsi="Arial" w:cs="Arial"/>
          <w:sz w:val="22"/>
          <w:lang w:val="es-ES"/>
        </w:rPr>
        <w:t>,</w:t>
      </w:r>
      <w:r w:rsidR="00A437F9">
        <w:rPr>
          <w:rFonts w:ascii="Arial" w:hAnsi="Arial" w:cs="Arial"/>
          <w:sz w:val="22"/>
          <w:lang w:val="es-ES"/>
        </w:rPr>
        <w:t xml:space="preserve"> la oferta</w:t>
      </w:r>
      <w:r w:rsidR="00581EC8">
        <w:rPr>
          <w:rFonts w:ascii="Arial" w:hAnsi="Arial" w:cs="Arial"/>
          <w:sz w:val="22"/>
          <w:lang w:val="es-ES"/>
        </w:rPr>
        <w:t xml:space="preserve"> o propuesta es entendida como «[…]</w:t>
      </w:r>
      <w:r w:rsidR="00A437F9" w:rsidRPr="00A437F9">
        <w:rPr>
          <w:rFonts w:ascii="Arial" w:hAnsi="Arial" w:cs="Arial"/>
          <w:sz w:val="22"/>
          <w:lang w:val="es-ES"/>
        </w:rPr>
        <w:t xml:space="preserve"> el proyecto de negocio jurídico que una persona formule a otra</w:t>
      </w:r>
      <w:r w:rsidR="00581EC8">
        <w:rPr>
          <w:rFonts w:ascii="Arial" w:hAnsi="Arial" w:cs="Arial"/>
          <w:sz w:val="22"/>
          <w:lang w:val="es-ES"/>
        </w:rPr>
        <w:t>» l</w:t>
      </w:r>
      <w:r w:rsidR="003901D4">
        <w:rPr>
          <w:rFonts w:ascii="Arial" w:hAnsi="Arial" w:cs="Arial"/>
          <w:sz w:val="22"/>
          <w:lang w:val="es-ES"/>
        </w:rPr>
        <w:t>a</w:t>
      </w:r>
      <w:r w:rsidR="00581EC8">
        <w:rPr>
          <w:rFonts w:ascii="Arial" w:hAnsi="Arial" w:cs="Arial"/>
          <w:sz w:val="22"/>
          <w:lang w:val="es-ES"/>
        </w:rPr>
        <w:t xml:space="preserve"> cual «</w:t>
      </w:r>
      <w:r w:rsidR="003901D4">
        <w:rPr>
          <w:rFonts w:ascii="Arial" w:hAnsi="Arial" w:cs="Arial"/>
          <w:sz w:val="22"/>
          <w:lang w:val="es-ES"/>
        </w:rPr>
        <w:t xml:space="preserve">[…] </w:t>
      </w:r>
      <w:r w:rsidR="00A437F9" w:rsidRPr="00A437F9">
        <w:rPr>
          <w:rFonts w:ascii="Arial" w:hAnsi="Arial" w:cs="Arial"/>
          <w:sz w:val="22"/>
          <w:lang w:val="es-ES"/>
        </w:rPr>
        <w:t>deberá contener los elementos esenciales del negocio y ser comunicada al destinatario</w:t>
      </w:r>
      <w:r w:rsidR="00A437F9">
        <w:rPr>
          <w:rFonts w:ascii="Arial" w:hAnsi="Arial" w:cs="Arial"/>
          <w:sz w:val="22"/>
          <w:lang w:val="es-ES"/>
        </w:rPr>
        <w:t>»</w:t>
      </w:r>
      <w:r w:rsidR="003901D4">
        <w:rPr>
          <w:rFonts w:ascii="Arial" w:hAnsi="Arial" w:cs="Arial"/>
          <w:sz w:val="22"/>
          <w:lang w:val="es-ES"/>
        </w:rPr>
        <w:t xml:space="preserve">. En ese sentido, </w:t>
      </w:r>
      <w:r w:rsidR="00583291">
        <w:rPr>
          <w:rFonts w:ascii="Arial" w:hAnsi="Arial" w:cs="Arial"/>
          <w:sz w:val="22"/>
          <w:lang w:val="es-ES"/>
        </w:rPr>
        <w:t>dentro d</w:t>
      </w:r>
      <w:r w:rsidR="00D63525">
        <w:rPr>
          <w:rFonts w:ascii="Arial" w:hAnsi="Arial" w:cs="Arial"/>
          <w:sz w:val="22"/>
          <w:lang w:val="es-ES"/>
        </w:rPr>
        <w:t xml:space="preserve">el contenido mínimo </w:t>
      </w:r>
      <w:r w:rsidR="00583291">
        <w:rPr>
          <w:rFonts w:ascii="Arial" w:hAnsi="Arial" w:cs="Arial"/>
          <w:sz w:val="22"/>
          <w:lang w:val="es-ES"/>
        </w:rPr>
        <w:t>de la oferta encontramos</w:t>
      </w:r>
      <w:r w:rsidR="003901D4">
        <w:rPr>
          <w:rFonts w:ascii="Arial" w:hAnsi="Arial" w:cs="Arial"/>
          <w:sz w:val="22"/>
          <w:lang w:val="es-ES"/>
        </w:rPr>
        <w:t xml:space="preserve"> </w:t>
      </w:r>
      <w:r w:rsidR="00D63525">
        <w:rPr>
          <w:rFonts w:ascii="Arial" w:hAnsi="Arial" w:cs="Arial"/>
          <w:sz w:val="22"/>
          <w:lang w:val="es-ES"/>
        </w:rPr>
        <w:t>los elementos esenciales del negocio a ser celebrado</w:t>
      </w:r>
      <w:r w:rsidR="00FF5508">
        <w:rPr>
          <w:rFonts w:ascii="Arial" w:hAnsi="Arial" w:cs="Arial"/>
          <w:sz w:val="22"/>
          <w:lang w:val="es-ES"/>
        </w:rPr>
        <w:t xml:space="preserve">, lo cual en materia de contratación estatal supone por un lado, </w:t>
      </w:r>
      <w:r w:rsidR="00551ECE">
        <w:rPr>
          <w:rFonts w:ascii="Arial" w:hAnsi="Arial" w:cs="Arial"/>
          <w:sz w:val="22"/>
          <w:lang w:val="es-ES"/>
        </w:rPr>
        <w:t>el ofrecimiento económico  y lo</w:t>
      </w:r>
      <w:r w:rsidR="000468C5">
        <w:rPr>
          <w:rFonts w:ascii="Arial" w:hAnsi="Arial" w:cs="Arial"/>
          <w:sz w:val="22"/>
          <w:lang w:val="es-ES"/>
        </w:rPr>
        <w:t>s documentos relacionados con l</w:t>
      </w:r>
      <w:r w:rsidR="007E5144">
        <w:rPr>
          <w:rFonts w:ascii="Arial" w:hAnsi="Arial" w:cs="Arial"/>
          <w:sz w:val="22"/>
          <w:lang w:val="es-ES"/>
        </w:rPr>
        <w:t xml:space="preserve">a </w:t>
      </w:r>
      <w:r w:rsidR="007E5144">
        <w:rPr>
          <w:rFonts w:ascii="Arial" w:hAnsi="Arial" w:cs="Arial"/>
          <w:sz w:val="22"/>
          <w:lang w:val="es-ES"/>
        </w:rPr>
        <w:lastRenderedPageBreak/>
        <w:t xml:space="preserve">acreditación de los </w:t>
      </w:r>
      <w:r w:rsidR="000468C5">
        <w:rPr>
          <w:rFonts w:ascii="Arial" w:hAnsi="Arial" w:cs="Arial"/>
          <w:sz w:val="22"/>
          <w:lang w:val="es-ES"/>
        </w:rPr>
        <w:t>requisitos habilitantes, los cuales se integran al ofrecimiento comoquiera que ellos dan cuenta de la capacidad y aptitud d</w:t>
      </w:r>
      <w:r w:rsidR="00C12AB4">
        <w:rPr>
          <w:rFonts w:ascii="Arial" w:hAnsi="Arial" w:cs="Arial"/>
          <w:sz w:val="22"/>
          <w:lang w:val="es-ES"/>
        </w:rPr>
        <w:t xml:space="preserve">el oferente para la celebración del negocio para que el que se oferta, </w:t>
      </w:r>
      <w:r w:rsidR="007E5144">
        <w:rPr>
          <w:rFonts w:ascii="Arial" w:hAnsi="Arial" w:cs="Arial"/>
          <w:sz w:val="22"/>
          <w:lang w:val="es-ES"/>
        </w:rPr>
        <w:t>por lo que sin l</w:t>
      </w:r>
      <w:r w:rsidR="008769A9">
        <w:rPr>
          <w:rFonts w:ascii="Arial" w:hAnsi="Arial" w:cs="Arial"/>
          <w:sz w:val="22"/>
          <w:lang w:val="es-ES"/>
        </w:rPr>
        <w:t xml:space="preserve">os mismos la oferta estaría </w:t>
      </w:r>
      <w:r w:rsidR="00DA47A4">
        <w:rPr>
          <w:rFonts w:ascii="Arial" w:hAnsi="Arial" w:cs="Arial"/>
          <w:sz w:val="22"/>
          <w:lang w:val="es-ES"/>
        </w:rPr>
        <w:t>incompleta</w:t>
      </w:r>
      <w:r w:rsidR="00742392">
        <w:rPr>
          <w:rFonts w:ascii="Arial" w:hAnsi="Arial" w:cs="Arial"/>
          <w:sz w:val="22"/>
          <w:lang w:val="es-ES"/>
        </w:rPr>
        <w:t>, al carecer de los elementos esenciales para la</w:t>
      </w:r>
      <w:r w:rsidR="00DA47A4">
        <w:rPr>
          <w:rFonts w:ascii="Arial" w:hAnsi="Arial" w:cs="Arial"/>
          <w:sz w:val="22"/>
          <w:lang w:val="es-ES"/>
        </w:rPr>
        <w:t xml:space="preserve"> </w:t>
      </w:r>
      <w:r w:rsidR="00742392">
        <w:rPr>
          <w:rFonts w:ascii="Arial" w:hAnsi="Arial" w:cs="Arial"/>
          <w:sz w:val="22"/>
          <w:lang w:val="es-ES"/>
        </w:rPr>
        <w:t>celebración del negocio jurídico para el que se presenta.</w:t>
      </w:r>
    </w:p>
    <w:p w14:paraId="19CB266E" w14:textId="51A9DAAB" w:rsidR="00DA47A4" w:rsidRDefault="00DA47A4" w:rsidP="00235E87">
      <w:pPr>
        <w:spacing w:before="120" w:line="276" w:lineRule="auto"/>
        <w:ind w:firstLine="709"/>
        <w:jc w:val="both"/>
        <w:rPr>
          <w:rFonts w:ascii="Arial" w:hAnsi="Arial" w:cs="Arial"/>
          <w:sz w:val="22"/>
          <w:lang w:val="es-ES"/>
        </w:rPr>
      </w:pPr>
      <w:r>
        <w:rPr>
          <w:rFonts w:ascii="Arial" w:hAnsi="Arial" w:cs="Arial"/>
          <w:sz w:val="22"/>
          <w:lang w:val="es-ES"/>
        </w:rPr>
        <w:t>Ciertamente, en el ámbito de la contratación estatal</w:t>
      </w:r>
      <w:r w:rsidR="00D5421F">
        <w:rPr>
          <w:rFonts w:ascii="Arial" w:hAnsi="Arial" w:cs="Arial"/>
          <w:sz w:val="22"/>
          <w:lang w:val="es-ES"/>
        </w:rPr>
        <w:t xml:space="preserve"> se suele hablar de </w:t>
      </w:r>
      <w:r w:rsidR="00D5421F" w:rsidRPr="000F7DE7">
        <w:rPr>
          <w:rFonts w:ascii="Arial" w:hAnsi="Arial" w:cs="Arial"/>
          <w:i/>
          <w:iCs/>
          <w:sz w:val="22"/>
          <w:lang w:val="es-ES"/>
        </w:rPr>
        <w:t xml:space="preserve">oferta </w:t>
      </w:r>
      <w:r w:rsidR="00D5421F" w:rsidRPr="00D5421F">
        <w:rPr>
          <w:rFonts w:ascii="Arial" w:hAnsi="Arial" w:cs="Arial"/>
          <w:i/>
          <w:iCs/>
          <w:sz w:val="22"/>
          <w:lang w:val="es-ES"/>
        </w:rPr>
        <w:t>económica</w:t>
      </w:r>
      <w:r w:rsidR="00D5421F">
        <w:rPr>
          <w:rFonts w:ascii="Arial" w:hAnsi="Arial" w:cs="Arial"/>
          <w:i/>
          <w:iCs/>
          <w:sz w:val="22"/>
          <w:lang w:val="es-ES"/>
        </w:rPr>
        <w:t xml:space="preserve"> </w:t>
      </w:r>
      <w:r w:rsidR="00D5421F">
        <w:rPr>
          <w:rFonts w:ascii="Arial" w:hAnsi="Arial" w:cs="Arial"/>
          <w:sz w:val="22"/>
          <w:lang w:val="es-ES"/>
        </w:rPr>
        <w:t xml:space="preserve">para referirse a la parte </w:t>
      </w:r>
      <w:r w:rsidR="008011DB">
        <w:rPr>
          <w:rFonts w:ascii="Arial" w:hAnsi="Arial" w:cs="Arial"/>
          <w:sz w:val="22"/>
          <w:lang w:val="es-ES"/>
        </w:rPr>
        <w:t>de oferta referida al precio que ofertan los proponentes como eventual contraprestación por la ejecución del contrato</w:t>
      </w:r>
      <w:r w:rsidR="00D94445">
        <w:rPr>
          <w:rFonts w:ascii="Arial" w:hAnsi="Arial" w:cs="Arial"/>
          <w:sz w:val="22"/>
          <w:lang w:val="es-ES"/>
        </w:rPr>
        <w:t xml:space="preserve">, la cual en procedimientos como el de licitación pública, selección abreviada </w:t>
      </w:r>
      <w:r w:rsidR="00B87CBF">
        <w:rPr>
          <w:rFonts w:ascii="Arial" w:hAnsi="Arial" w:cs="Arial"/>
          <w:sz w:val="22"/>
          <w:lang w:val="es-ES"/>
        </w:rPr>
        <w:t xml:space="preserve">y mínima cuantía, </w:t>
      </w:r>
      <w:r w:rsidR="008C56E1">
        <w:rPr>
          <w:rFonts w:ascii="Arial" w:hAnsi="Arial" w:cs="Arial"/>
          <w:sz w:val="22"/>
          <w:lang w:val="es-ES"/>
        </w:rPr>
        <w:t>es un</w:t>
      </w:r>
      <w:r w:rsidR="00B87CBF">
        <w:rPr>
          <w:rFonts w:ascii="Arial" w:hAnsi="Arial" w:cs="Arial"/>
          <w:sz w:val="22"/>
          <w:lang w:val="es-ES"/>
        </w:rPr>
        <w:t xml:space="preserve"> factor importante de evaluación. </w:t>
      </w:r>
      <w:r w:rsidR="006A10A1">
        <w:rPr>
          <w:rFonts w:ascii="Arial" w:hAnsi="Arial" w:cs="Arial"/>
          <w:sz w:val="22"/>
          <w:lang w:val="es-ES"/>
        </w:rPr>
        <w:t xml:space="preserve">Tal referencia a </w:t>
      </w:r>
      <w:r w:rsidR="006A10A1" w:rsidRPr="000F7DE7">
        <w:rPr>
          <w:rFonts w:ascii="Arial" w:hAnsi="Arial" w:cs="Arial"/>
          <w:i/>
          <w:iCs/>
          <w:sz w:val="22"/>
          <w:lang w:val="es-ES"/>
        </w:rPr>
        <w:t>oferta económica</w:t>
      </w:r>
      <w:r w:rsidR="008C56E1">
        <w:rPr>
          <w:rFonts w:ascii="Arial" w:hAnsi="Arial" w:cs="Arial"/>
          <w:sz w:val="22"/>
          <w:lang w:val="es-ES"/>
        </w:rPr>
        <w:t xml:space="preserve"> excluye a la documentación relacionada con la acreditación de los requisitos habilitantes, la cual </w:t>
      </w:r>
      <w:r w:rsidR="00936BC2">
        <w:rPr>
          <w:rFonts w:ascii="Arial" w:hAnsi="Arial" w:cs="Arial"/>
          <w:sz w:val="22"/>
          <w:lang w:val="es-ES"/>
        </w:rPr>
        <w:t xml:space="preserve">si bien no hace parte del ofrecimiento económico </w:t>
      </w:r>
      <w:r w:rsidR="002D443C">
        <w:rPr>
          <w:rFonts w:ascii="Arial" w:hAnsi="Arial" w:cs="Arial"/>
          <w:sz w:val="22"/>
          <w:lang w:val="es-ES"/>
        </w:rPr>
        <w:t xml:space="preserve">que realiza el </w:t>
      </w:r>
      <w:r w:rsidR="00742392">
        <w:rPr>
          <w:rFonts w:ascii="Arial" w:hAnsi="Arial" w:cs="Arial"/>
          <w:sz w:val="22"/>
          <w:lang w:val="es-ES"/>
        </w:rPr>
        <w:t>proponente</w:t>
      </w:r>
      <w:r w:rsidR="002D443C">
        <w:rPr>
          <w:rFonts w:ascii="Arial" w:hAnsi="Arial" w:cs="Arial"/>
          <w:sz w:val="22"/>
          <w:lang w:val="es-ES"/>
        </w:rPr>
        <w:t xml:space="preserve">, si hacen parte de su oferta, comoquiera que dicha documentación </w:t>
      </w:r>
      <w:r w:rsidR="00173F13">
        <w:rPr>
          <w:rFonts w:ascii="Arial" w:hAnsi="Arial" w:cs="Arial"/>
          <w:sz w:val="22"/>
          <w:lang w:val="es-ES"/>
        </w:rPr>
        <w:t xml:space="preserve">da cuenta de la acreditación de requisitos sin los cuales no sería posible acreditar el negocio jurídico para el que se oferta. En ese sentido, de acuerdo con la noción de oferta del artículo 845 del Código de Comercio, </w:t>
      </w:r>
      <w:r w:rsidR="001C0A1C">
        <w:rPr>
          <w:rFonts w:ascii="Arial" w:hAnsi="Arial" w:cs="Arial"/>
          <w:sz w:val="22"/>
          <w:lang w:val="es-ES"/>
        </w:rPr>
        <w:t xml:space="preserve">estos últimos documentos no pueden sustraerse de la noción de oferta, ya que sin ella la misma estaría incompleta. </w:t>
      </w:r>
    </w:p>
    <w:p w14:paraId="6C3829D6" w14:textId="0A7B5C97" w:rsidR="001C0A1C" w:rsidRDefault="001C0A1C">
      <w:pPr>
        <w:spacing w:before="120" w:line="276" w:lineRule="auto"/>
        <w:ind w:firstLine="709"/>
        <w:jc w:val="both"/>
        <w:rPr>
          <w:rFonts w:ascii="Arial" w:hAnsi="Arial" w:cs="Arial"/>
          <w:sz w:val="22"/>
          <w:lang w:val="es-ES"/>
        </w:rPr>
      </w:pPr>
      <w:r>
        <w:rPr>
          <w:rFonts w:ascii="Arial" w:hAnsi="Arial" w:cs="Arial"/>
          <w:sz w:val="22"/>
          <w:lang w:val="es-ES"/>
        </w:rPr>
        <w:t xml:space="preserve">Cuando el artículo </w:t>
      </w:r>
      <w:r w:rsidRPr="001C0A1C">
        <w:rPr>
          <w:rFonts w:ascii="Arial" w:hAnsi="Arial" w:cs="Arial"/>
          <w:sz w:val="22"/>
          <w:lang w:val="es-ES"/>
        </w:rPr>
        <w:t>2.2.1.1.1.7.1</w:t>
      </w:r>
      <w:r>
        <w:rPr>
          <w:rFonts w:ascii="Arial" w:hAnsi="Arial" w:cs="Arial"/>
          <w:sz w:val="22"/>
          <w:lang w:val="es-ES"/>
        </w:rPr>
        <w:t xml:space="preserve">. del Decreto 1082 de 2015 se refiere a la oferta </w:t>
      </w:r>
      <w:r w:rsidR="00783202">
        <w:rPr>
          <w:rFonts w:ascii="Arial" w:hAnsi="Arial" w:cs="Arial"/>
          <w:sz w:val="22"/>
          <w:lang w:val="es-ES"/>
        </w:rPr>
        <w:t xml:space="preserve">lo hace en términos generales, exigiendo su publicación como regla general, sin hacer distinción alguna en torno a si solo debe publicarse el contenido económico de la propuesta. En ese sentido, </w:t>
      </w:r>
      <w:r w:rsidR="00244A24">
        <w:rPr>
          <w:rFonts w:ascii="Arial" w:hAnsi="Arial" w:cs="Arial"/>
          <w:sz w:val="22"/>
          <w:lang w:val="es-ES"/>
        </w:rPr>
        <w:t xml:space="preserve">de acuerdo con el principio que avoca a no distinguir donde el legislador no distingue, </w:t>
      </w:r>
      <w:r w:rsidR="00B77479">
        <w:rPr>
          <w:rFonts w:ascii="Arial" w:hAnsi="Arial" w:cs="Arial"/>
          <w:sz w:val="22"/>
          <w:lang w:val="es-ES"/>
        </w:rPr>
        <w:t xml:space="preserve">debe concluirse que el mandato de publicidad reglamentado por la señalada norma reglamentaria </w:t>
      </w:r>
      <w:r w:rsidR="005F2879">
        <w:rPr>
          <w:rFonts w:ascii="Arial" w:hAnsi="Arial" w:cs="Arial"/>
          <w:sz w:val="22"/>
          <w:lang w:val="es-ES"/>
        </w:rPr>
        <w:t>alcanza tanto al contenido económico de la propuesta, como al contenido que el peticionario denomina oferta técnica.</w:t>
      </w:r>
    </w:p>
    <w:p w14:paraId="279E8BF0" w14:textId="77777777" w:rsidR="00276AB9" w:rsidRDefault="00276AB9" w:rsidP="000F7DE7">
      <w:pPr>
        <w:spacing w:line="276" w:lineRule="auto"/>
        <w:ind w:firstLine="709"/>
        <w:jc w:val="both"/>
        <w:rPr>
          <w:rFonts w:ascii="Arial" w:hAnsi="Arial" w:cs="Arial"/>
          <w:sz w:val="22"/>
          <w:lang w:val="es-ES"/>
        </w:rPr>
      </w:pPr>
    </w:p>
    <w:p w14:paraId="125A2578" w14:textId="01D6AE88" w:rsidR="00B9522C" w:rsidRPr="00C126FF" w:rsidRDefault="00B9522C" w:rsidP="000F7DE7">
      <w:pPr>
        <w:shd w:val="clear" w:color="auto" w:fill="FFFFFF"/>
        <w:tabs>
          <w:tab w:val="left" w:pos="426"/>
        </w:tabs>
        <w:spacing w:after="120" w:line="276" w:lineRule="auto"/>
        <w:ind w:right="709"/>
        <w:jc w:val="both"/>
        <w:rPr>
          <w:rFonts w:ascii="Arial" w:eastAsia="Times New Roman" w:hAnsi="Arial" w:cs="Arial"/>
          <w:b/>
          <w:color w:val="000000" w:themeColor="text1"/>
          <w:sz w:val="22"/>
          <w:lang w:eastAsia="es-ES_tradnl"/>
        </w:rPr>
      </w:pPr>
      <w:r w:rsidRPr="00E579B5">
        <w:rPr>
          <w:rFonts w:ascii="Arial" w:eastAsia="Times New Roman" w:hAnsi="Arial" w:cs="Arial"/>
          <w:b/>
          <w:color w:val="000000" w:themeColor="text1"/>
          <w:sz w:val="22"/>
          <w:lang w:eastAsia="es-ES_tradnl"/>
        </w:rPr>
        <w:t>3. Respuesta</w:t>
      </w:r>
    </w:p>
    <w:p w14:paraId="1FCA4AB5" w14:textId="0D62B2CC" w:rsidR="00C13499" w:rsidRDefault="00417A90" w:rsidP="00417A90">
      <w:pPr>
        <w:pStyle w:val="Sinespaciado"/>
        <w:ind w:left="708" w:right="1041"/>
        <w:jc w:val="both"/>
        <w:rPr>
          <w:rFonts w:ascii="Arial" w:eastAsia="Times New Roman" w:hAnsi="Arial" w:cs="Arial"/>
          <w:sz w:val="21"/>
          <w:szCs w:val="21"/>
          <w:lang w:eastAsia="es-MX"/>
        </w:rPr>
      </w:pPr>
      <w:r w:rsidRPr="004D3DFE">
        <w:rPr>
          <w:rFonts w:ascii="Arial" w:hAnsi="Arial" w:cs="Arial"/>
          <w:sz w:val="21"/>
          <w:szCs w:val="21"/>
        </w:rPr>
        <w:t>«</w:t>
      </w:r>
      <w:r w:rsidRPr="00693361">
        <w:rPr>
          <w:rFonts w:ascii="Arial" w:eastAsia="Times New Roman" w:hAnsi="Arial" w:cs="Arial"/>
          <w:sz w:val="21"/>
          <w:szCs w:val="21"/>
          <w:lang w:eastAsia="es-MX"/>
        </w:rPr>
        <w:t xml:space="preserve">1. Es obligatoria la publicación en Secop II de los documentos precontractuales del proveedor - contratista- , tales como experiencia laboral y soportes de estudio. </w:t>
      </w:r>
    </w:p>
    <w:p w14:paraId="1E71F129" w14:textId="77777777" w:rsidR="00C13499" w:rsidRPr="00693361" w:rsidRDefault="00C13499" w:rsidP="00417A90">
      <w:pPr>
        <w:pStyle w:val="Sinespaciado"/>
        <w:ind w:left="708" w:right="1041"/>
        <w:jc w:val="both"/>
        <w:rPr>
          <w:rFonts w:ascii="Arial" w:eastAsia="Times New Roman" w:hAnsi="Arial" w:cs="Arial"/>
          <w:sz w:val="21"/>
          <w:szCs w:val="21"/>
          <w:lang w:eastAsia="es-MX"/>
        </w:rPr>
      </w:pPr>
    </w:p>
    <w:p w14:paraId="227E3CA6" w14:textId="77777777" w:rsidR="00417A90" w:rsidRPr="00693361" w:rsidRDefault="00417A90" w:rsidP="00417A90">
      <w:pPr>
        <w:pStyle w:val="Sinespaciado"/>
        <w:ind w:left="708" w:right="1041"/>
        <w:jc w:val="both"/>
        <w:rPr>
          <w:rFonts w:ascii="Arial" w:eastAsia="Times New Roman" w:hAnsi="Arial" w:cs="Arial"/>
          <w:sz w:val="21"/>
          <w:szCs w:val="21"/>
          <w:lang w:eastAsia="es-MX"/>
        </w:rPr>
      </w:pPr>
      <w:r w:rsidRPr="00693361">
        <w:rPr>
          <w:rFonts w:ascii="Arial" w:eastAsia="Times New Roman" w:hAnsi="Arial" w:cs="Arial"/>
          <w:sz w:val="21"/>
          <w:szCs w:val="21"/>
          <w:lang w:eastAsia="es-MX"/>
        </w:rPr>
        <w:t xml:space="preserve">2. Que norma fundamenta la obligatoriedad de la publicación de los documentos precontractuales entiéndase estos los documentos de experiencia laboral y de estudio de un contratista en la plataforma Secop II y seria esto aplicable también para las ordenes de prestación de servicios. </w:t>
      </w:r>
    </w:p>
    <w:p w14:paraId="7CDC3EC7" w14:textId="77777777" w:rsidR="00C13499" w:rsidRDefault="00C13499" w:rsidP="00417A90">
      <w:pPr>
        <w:pStyle w:val="Sinespaciado"/>
        <w:ind w:left="708" w:right="1041"/>
        <w:jc w:val="both"/>
        <w:rPr>
          <w:rFonts w:ascii="Arial" w:eastAsia="Times New Roman" w:hAnsi="Arial" w:cs="Arial"/>
          <w:sz w:val="21"/>
          <w:szCs w:val="21"/>
          <w:lang w:eastAsia="es-MX"/>
        </w:rPr>
      </w:pPr>
    </w:p>
    <w:p w14:paraId="5FE98278" w14:textId="7B04A935" w:rsidR="00417A90" w:rsidRPr="00693361" w:rsidRDefault="00417A90" w:rsidP="00417A90">
      <w:pPr>
        <w:pStyle w:val="Sinespaciado"/>
        <w:ind w:left="708" w:right="1041"/>
        <w:jc w:val="both"/>
        <w:rPr>
          <w:rFonts w:ascii="Arial" w:eastAsia="Times New Roman" w:hAnsi="Arial" w:cs="Arial"/>
          <w:sz w:val="21"/>
          <w:szCs w:val="21"/>
          <w:lang w:eastAsia="es-MX"/>
        </w:rPr>
      </w:pPr>
      <w:r w:rsidRPr="00693361">
        <w:rPr>
          <w:rFonts w:ascii="Arial" w:eastAsia="Times New Roman" w:hAnsi="Arial" w:cs="Arial"/>
          <w:sz w:val="21"/>
          <w:szCs w:val="21"/>
          <w:lang w:eastAsia="es-MX"/>
        </w:rPr>
        <w:t xml:space="preserve">3. Cuando la norma Decreto 1082 de 2015 se refiere a Documentos del Proceso son: </w:t>
      </w:r>
      <w:r>
        <w:rPr>
          <w:rFonts w:ascii="Arial" w:eastAsia="Times New Roman" w:hAnsi="Arial" w:cs="Arial"/>
          <w:sz w:val="21"/>
          <w:szCs w:val="21"/>
          <w:lang w:eastAsia="es-MX"/>
        </w:rPr>
        <w:t>“</w:t>
      </w:r>
      <w:r w:rsidRPr="00693361">
        <w:rPr>
          <w:rFonts w:ascii="Arial" w:eastAsia="Times New Roman" w:hAnsi="Arial" w:cs="Arial"/>
          <w:sz w:val="21"/>
          <w:szCs w:val="21"/>
          <w:lang w:eastAsia="es-MX"/>
        </w:rPr>
        <w:t>(a) los estudios y documentos previos; (b) el aviso de convocatoria; (c) los pliegos de condiciones o la invitación; (d) las Adendas; (e) la oferta; (f) el informe de evaluación; (g) el contrato; y cualquier otro documento expedido por la Entidad Estatal durante el Proceso de Contratación.</w:t>
      </w:r>
      <w:r>
        <w:rPr>
          <w:rFonts w:ascii="Arial" w:eastAsia="Times New Roman" w:hAnsi="Arial" w:cs="Arial"/>
          <w:sz w:val="21"/>
          <w:szCs w:val="21"/>
          <w:lang w:eastAsia="es-MX"/>
        </w:rPr>
        <w:t>”</w:t>
      </w:r>
      <w:r w:rsidRPr="00693361">
        <w:rPr>
          <w:rFonts w:ascii="Arial" w:eastAsia="Times New Roman" w:hAnsi="Arial" w:cs="Arial"/>
          <w:sz w:val="21"/>
          <w:szCs w:val="21"/>
          <w:lang w:eastAsia="es-MX"/>
        </w:rPr>
        <w:t xml:space="preserve"> dentro del literal a. se contemplan los documentos que acreditan la idoneidad del contratista? dentro del literal e. la oferta, se </w:t>
      </w:r>
      <w:r w:rsidRPr="00693361">
        <w:rPr>
          <w:rFonts w:ascii="Arial" w:eastAsia="Times New Roman" w:hAnsi="Arial" w:cs="Arial"/>
          <w:sz w:val="21"/>
          <w:szCs w:val="21"/>
          <w:lang w:eastAsia="es-MX"/>
        </w:rPr>
        <w:lastRenderedPageBreak/>
        <w:t xml:space="preserve">contemplan los documentos que acreditan la idoneidad del contratista y en este último caso quien tiene la responsabilidad de hacerlo exigible, la entidad o es el contratista quien debe publicarlo y en caso que este último tenga dicha responsabilidad al no hacerlo debe la entidad exigirlo? </w:t>
      </w:r>
    </w:p>
    <w:p w14:paraId="1C3F3174" w14:textId="77777777" w:rsidR="00417A90" w:rsidRPr="00693361" w:rsidRDefault="00417A90" w:rsidP="00417A90">
      <w:pPr>
        <w:pStyle w:val="Sinespaciado"/>
        <w:ind w:left="708" w:right="1041"/>
        <w:jc w:val="both"/>
        <w:rPr>
          <w:rFonts w:ascii="Arial" w:eastAsia="Times New Roman" w:hAnsi="Arial" w:cs="Arial"/>
          <w:sz w:val="21"/>
          <w:szCs w:val="21"/>
          <w:lang w:eastAsia="es-MX"/>
        </w:rPr>
      </w:pPr>
      <w:r w:rsidRPr="00693361">
        <w:rPr>
          <w:rFonts w:ascii="Arial" w:eastAsia="Times New Roman" w:hAnsi="Arial" w:cs="Arial"/>
          <w:sz w:val="21"/>
          <w:szCs w:val="21"/>
          <w:lang w:eastAsia="es-MX"/>
        </w:rPr>
        <w:t xml:space="preserve">4. Es viable omitir la publicación de los documentos de experiencia laboral o de estudio de un contratista en el SECOP por el hecho que se encuentren subidos los soportes en la plataforma SIGEP o SIDEAP en caso afirmativo que lo fundamenta y como se garantiza el acceso público de esta información cuando es solamente la entidad contratante quien tiene acceso a los soportes a validar en SIDEAP O SIGEP y como se entrelazan estas plataformas con Secop? </w:t>
      </w:r>
    </w:p>
    <w:p w14:paraId="0EB6560D" w14:textId="77777777" w:rsidR="00C13499" w:rsidRDefault="00C13499" w:rsidP="00417A90">
      <w:pPr>
        <w:pStyle w:val="Sinespaciado"/>
        <w:ind w:left="708" w:right="1041"/>
        <w:jc w:val="both"/>
        <w:rPr>
          <w:rFonts w:ascii="Arial" w:eastAsia="Times New Roman" w:hAnsi="Arial" w:cs="Arial"/>
          <w:sz w:val="21"/>
          <w:szCs w:val="21"/>
          <w:lang w:eastAsia="es-MX"/>
        </w:rPr>
      </w:pPr>
    </w:p>
    <w:p w14:paraId="3F58EC48" w14:textId="79A6CA93" w:rsidR="00417A90" w:rsidRPr="00693361" w:rsidRDefault="00417A90" w:rsidP="00417A90">
      <w:pPr>
        <w:pStyle w:val="Sinespaciado"/>
        <w:ind w:left="708" w:right="1041"/>
        <w:jc w:val="both"/>
        <w:rPr>
          <w:rFonts w:ascii="Arial" w:eastAsia="Times New Roman" w:hAnsi="Arial" w:cs="Arial"/>
          <w:sz w:val="21"/>
          <w:szCs w:val="21"/>
          <w:lang w:eastAsia="es-MX"/>
        </w:rPr>
      </w:pPr>
      <w:r w:rsidRPr="00693361">
        <w:rPr>
          <w:rFonts w:ascii="Arial" w:eastAsia="Times New Roman" w:hAnsi="Arial" w:cs="Arial"/>
          <w:sz w:val="21"/>
          <w:szCs w:val="21"/>
          <w:lang w:eastAsia="es-MX"/>
        </w:rPr>
        <w:t xml:space="preserve">5. Es viable omitir la publicación de los documentos que acrediten la idoneidad de un proveedor a contratar en el caso de los CPS, bajo el entendido que el ordenador del gasto lo acredita con el documento de idoneidad y este último documento si se publica. </w:t>
      </w:r>
    </w:p>
    <w:p w14:paraId="3C526CAA" w14:textId="77777777" w:rsidR="00C13499" w:rsidRDefault="00C13499" w:rsidP="00417A90">
      <w:pPr>
        <w:pStyle w:val="Sinespaciado"/>
        <w:ind w:left="708" w:right="1041"/>
        <w:jc w:val="both"/>
        <w:rPr>
          <w:rFonts w:ascii="Arial" w:hAnsi="Arial" w:cs="Arial"/>
          <w:sz w:val="21"/>
          <w:szCs w:val="21"/>
        </w:rPr>
      </w:pPr>
    </w:p>
    <w:p w14:paraId="516D6863" w14:textId="38B6150D" w:rsidR="00417A90" w:rsidRPr="00693361" w:rsidRDefault="00417A90" w:rsidP="00417A90">
      <w:pPr>
        <w:pStyle w:val="Sinespaciado"/>
        <w:ind w:left="708" w:right="1041"/>
        <w:jc w:val="both"/>
        <w:rPr>
          <w:rFonts w:ascii="Arial" w:hAnsi="Arial" w:cs="Arial"/>
          <w:sz w:val="22"/>
        </w:rPr>
      </w:pPr>
      <w:r w:rsidRPr="00693361">
        <w:rPr>
          <w:rFonts w:ascii="Arial" w:hAnsi="Arial" w:cs="Arial"/>
          <w:sz w:val="21"/>
          <w:szCs w:val="21"/>
        </w:rPr>
        <w:t>6. Las operaciones transaccionales, como la aceptación de los pagos al contratista que se realizan en la plataforma Secop II, ¿requieren la publicación de los soportes que dan lugar al mencionado pago?, ¿entiéndase esto como recibo a satisfacción, paz y salvos, informes? o con la simple aceptación en la plataforma se puede dar por entendido que se recibió́ a satisfacción?</w:t>
      </w:r>
      <w:r w:rsidRPr="004D3DFE">
        <w:rPr>
          <w:rFonts w:ascii="Arial" w:hAnsi="Arial" w:cs="Arial"/>
          <w:sz w:val="21"/>
          <w:szCs w:val="21"/>
        </w:rPr>
        <w:t>»</w:t>
      </w:r>
      <w:r>
        <w:rPr>
          <w:rFonts w:ascii="Arial" w:hAnsi="Arial" w:cs="Arial"/>
          <w:sz w:val="21"/>
          <w:szCs w:val="21"/>
        </w:rPr>
        <w:t xml:space="preserve">. </w:t>
      </w:r>
    </w:p>
    <w:p w14:paraId="17BAD890" w14:textId="77777777" w:rsidR="00C13499" w:rsidRDefault="00C13499" w:rsidP="00C13499">
      <w:pPr>
        <w:spacing w:after="120" w:line="276" w:lineRule="auto"/>
        <w:jc w:val="both"/>
        <w:rPr>
          <w:rFonts w:ascii="Arial" w:hAnsi="Arial" w:cs="Arial"/>
          <w:bCs/>
          <w:sz w:val="22"/>
        </w:rPr>
      </w:pPr>
    </w:p>
    <w:p w14:paraId="6414AE39" w14:textId="080B6C0F" w:rsidR="00C13499" w:rsidRPr="00162BC5" w:rsidRDefault="00C13499" w:rsidP="00F273F5">
      <w:pPr>
        <w:spacing w:after="120" w:line="276" w:lineRule="auto"/>
        <w:jc w:val="both"/>
        <w:rPr>
          <w:rFonts w:ascii="Arial" w:hAnsi="Arial" w:cs="Arial"/>
          <w:sz w:val="22"/>
          <w:lang w:val="es-ES"/>
        </w:rPr>
      </w:pPr>
      <w:r>
        <w:rPr>
          <w:rFonts w:ascii="Arial" w:hAnsi="Arial" w:cs="Arial"/>
          <w:bCs/>
          <w:sz w:val="22"/>
        </w:rPr>
        <w:t>Conforme a lo expuesto, en</w:t>
      </w:r>
      <w:r w:rsidRPr="00162BC5">
        <w:rPr>
          <w:rFonts w:ascii="Arial" w:hAnsi="Arial" w:cs="Arial"/>
          <w:bCs/>
          <w:sz w:val="22"/>
        </w:rPr>
        <w:t xml:space="preserve"> ejercicio de las competencias </w:t>
      </w:r>
      <w:r>
        <w:rPr>
          <w:rFonts w:ascii="Arial" w:hAnsi="Arial" w:cs="Arial"/>
          <w:bCs/>
          <w:sz w:val="22"/>
        </w:rPr>
        <w:t>establecidas</w:t>
      </w:r>
      <w:r w:rsidRPr="00162BC5">
        <w:rPr>
          <w:rFonts w:ascii="Arial" w:hAnsi="Arial" w:cs="Arial"/>
          <w:bCs/>
          <w:sz w:val="22"/>
        </w:rPr>
        <w:t xml:space="preserve"> en los artículos 3</w:t>
      </w:r>
      <w:r>
        <w:rPr>
          <w:rFonts w:ascii="Arial" w:hAnsi="Arial" w:cs="Arial"/>
          <w:bCs/>
          <w:sz w:val="22"/>
        </w:rPr>
        <w:t>.</w:t>
      </w:r>
      <w:r w:rsidRPr="00162BC5">
        <w:rPr>
          <w:rFonts w:ascii="Arial" w:hAnsi="Arial" w:cs="Arial"/>
          <w:bCs/>
          <w:sz w:val="22"/>
        </w:rPr>
        <w:t>5</w:t>
      </w:r>
      <w:r>
        <w:rPr>
          <w:rFonts w:ascii="Arial" w:hAnsi="Arial" w:cs="Arial"/>
          <w:bCs/>
          <w:sz w:val="22"/>
        </w:rPr>
        <w:t xml:space="preserve"> y</w:t>
      </w:r>
      <w:r w:rsidRPr="00162BC5">
        <w:rPr>
          <w:rFonts w:ascii="Arial" w:hAnsi="Arial" w:cs="Arial"/>
          <w:bCs/>
          <w:sz w:val="22"/>
        </w:rPr>
        <w:t xml:space="preserve"> 11</w:t>
      </w:r>
      <w:r>
        <w:rPr>
          <w:rFonts w:ascii="Arial" w:hAnsi="Arial" w:cs="Arial"/>
          <w:bCs/>
          <w:sz w:val="22"/>
        </w:rPr>
        <w:t>.</w:t>
      </w:r>
      <w:r w:rsidRPr="00162BC5">
        <w:rPr>
          <w:rFonts w:ascii="Arial" w:hAnsi="Arial" w:cs="Arial"/>
          <w:bCs/>
          <w:sz w:val="22"/>
        </w:rPr>
        <w:t>8</w:t>
      </w:r>
      <w:r>
        <w:rPr>
          <w:rFonts w:ascii="Arial" w:hAnsi="Arial" w:cs="Arial"/>
          <w:bCs/>
          <w:sz w:val="22"/>
        </w:rPr>
        <w:t xml:space="preserve"> </w:t>
      </w:r>
      <w:r w:rsidRPr="00162BC5">
        <w:rPr>
          <w:rFonts w:ascii="Arial" w:hAnsi="Arial" w:cs="Arial"/>
          <w:bCs/>
          <w:sz w:val="22"/>
        </w:rPr>
        <w:t>del Decreto 4170 de 2011, la Agencia Nacional de Contratación Pública – Colombia Compra Eficiente resuelve las consultas sobre los asuntos de su competencia, esto es, sobre las temáticas de la contratación estatal y compras públicas relacionadas en los artículos citados</w:t>
      </w:r>
      <w:r>
        <w:rPr>
          <w:rFonts w:ascii="Arial" w:hAnsi="Arial" w:cs="Arial"/>
          <w:bCs/>
          <w:sz w:val="22"/>
        </w:rPr>
        <w:t xml:space="preserve">. El alcance de esta </w:t>
      </w:r>
      <w:r w:rsidRPr="00162BC5">
        <w:rPr>
          <w:rFonts w:ascii="Arial" w:hAnsi="Arial" w:cs="Arial"/>
          <w:sz w:val="22"/>
          <w:lang w:val="es-ES"/>
        </w:rPr>
        <w:t xml:space="preserve">competencia </w:t>
      </w:r>
      <w:r>
        <w:rPr>
          <w:rFonts w:ascii="Arial" w:hAnsi="Arial" w:cs="Arial"/>
          <w:sz w:val="22"/>
          <w:lang w:val="es-ES"/>
        </w:rPr>
        <w:t>solo permite</w:t>
      </w:r>
      <w:r w:rsidRPr="00162BC5">
        <w:rPr>
          <w:rFonts w:ascii="Arial" w:hAnsi="Arial" w:cs="Arial"/>
          <w:sz w:val="22"/>
          <w:lang w:val="es-ES"/>
        </w:rPr>
        <w:t xml:space="preserve"> responder solicitudes </w:t>
      </w:r>
      <w:r>
        <w:rPr>
          <w:rFonts w:ascii="Arial" w:hAnsi="Arial" w:cs="Arial"/>
          <w:sz w:val="22"/>
          <w:lang w:val="es-ES"/>
        </w:rPr>
        <w:t>de consultas relacionadas con</w:t>
      </w:r>
      <w:r w:rsidRPr="00162BC5">
        <w:rPr>
          <w:rFonts w:ascii="Arial" w:hAnsi="Arial" w:cs="Arial"/>
          <w:sz w:val="22"/>
          <w:lang w:val="es-ES"/>
        </w:rPr>
        <w:t xml:space="preserve"> la aplicación de normas de carácter general en materia de compras y contratación pública. En ese sentido, resolver casos particulares</w:t>
      </w:r>
      <w:r>
        <w:rPr>
          <w:rFonts w:ascii="Arial" w:hAnsi="Arial" w:cs="Arial"/>
          <w:sz w:val="22"/>
          <w:lang w:val="es-ES"/>
        </w:rPr>
        <w:t xml:space="preserve"> o validar actuaciones de las entidades estatales</w:t>
      </w:r>
      <w:r w:rsidRPr="00162BC5">
        <w:rPr>
          <w:rFonts w:ascii="Arial" w:hAnsi="Arial" w:cs="Arial"/>
          <w:sz w:val="22"/>
          <w:lang w:val="es-ES"/>
        </w:rPr>
        <w:t xml:space="preserve"> desborda las atribuciones asignada</w:t>
      </w:r>
      <w:r>
        <w:rPr>
          <w:rFonts w:ascii="Arial" w:hAnsi="Arial" w:cs="Arial"/>
          <w:sz w:val="22"/>
          <w:lang w:val="es-ES"/>
        </w:rPr>
        <w:t>s</w:t>
      </w:r>
      <w:r w:rsidRPr="00162BC5">
        <w:rPr>
          <w:rFonts w:ascii="Arial" w:hAnsi="Arial" w:cs="Arial"/>
          <w:sz w:val="22"/>
          <w:lang w:val="es-ES"/>
        </w:rPr>
        <w:t xml:space="preserve"> por el legislador extraordinario, que no concibió a Colombia Compra Eficiente como una autoridad para solucionar problemas jurídicos particulares</w:t>
      </w:r>
      <w:r>
        <w:rPr>
          <w:rFonts w:ascii="Arial" w:hAnsi="Arial" w:cs="Arial"/>
          <w:bCs/>
          <w:sz w:val="22"/>
        </w:rPr>
        <w:t xml:space="preserve"> de todos los partícipes de la contratación estatal.</w:t>
      </w:r>
    </w:p>
    <w:p w14:paraId="528CB49B" w14:textId="0CBEBB17" w:rsidR="00B1343F" w:rsidRDefault="00C13499" w:rsidP="00F273F5">
      <w:pPr>
        <w:widowControl w:val="0"/>
        <w:autoSpaceDE w:val="0"/>
        <w:autoSpaceDN w:val="0"/>
        <w:spacing w:before="120" w:after="120" w:line="276" w:lineRule="auto"/>
        <w:ind w:firstLine="567"/>
        <w:jc w:val="both"/>
        <w:rPr>
          <w:rFonts w:ascii="Arial" w:hAnsi="Arial" w:cs="Arial"/>
          <w:sz w:val="22"/>
          <w:lang w:val="es-ES"/>
        </w:rPr>
      </w:pPr>
      <w:r>
        <w:rPr>
          <w:rFonts w:ascii="Arial" w:hAnsi="Arial" w:cs="Arial"/>
          <w:sz w:val="22"/>
          <w:lang w:val="es-ES"/>
        </w:rPr>
        <w:t>Sin perjuicio de lo anterior, en aras de responder su solicitud, se procede a responder en abstracto y de manera conjunta los interrogantes</w:t>
      </w:r>
      <w:r w:rsidR="002E67FC">
        <w:rPr>
          <w:rFonts w:ascii="Arial" w:hAnsi="Arial" w:cs="Arial"/>
          <w:sz w:val="22"/>
          <w:lang w:val="es-ES"/>
        </w:rPr>
        <w:t xml:space="preserve"> planteados, dada la unidad temática existente entre los mismos</w:t>
      </w:r>
      <w:r w:rsidR="00B1343F">
        <w:rPr>
          <w:rFonts w:ascii="Arial" w:hAnsi="Arial" w:cs="Arial"/>
          <w:sz w:val="22"/>
          <w:lang w:val="es-ES"/>
        </w:rPr>
        <w:t xml:space="preserve">. Así las cosas, con base en las anteriores consideraciones, es posible concluir que, en principio y </w:t>
      </w:r>
      <w:r w:rsidR="00B1343F" w:rsidRPr="008702AE">
        <w:rPr>
          <w:rFonts w:ascii="Arial" w:hAnsi="Arial" w:cs="Arial"/>
          <w:sz w:val="22"/>
          <w:lang w:val="es-ES"/>
        </w:rPr>
        <w:t xml:space="preserve">en virtud de lo dispuesto en el artículo 3 de la Ley 1150 de 2007, desarrollado por el artículo 2.2.1.1.1.7.1. del Decreto 1082 de 2015, las entidades </w:t>
      </w:r>
      <w:r w:rsidR="00B1343F">
        <w:rPr>
          <w:rFonts w:ascii="Arial" w:hAnsi="Arial" w:cs="Arial"/>
          <w:sz w:val="22"/>
          <w:lang w:val="es-ES"/>
        </w:rPr>
        <w:t xml:space="preserve">estatales </w:t>
      </w:r>
      <w:r w:rsidR="00B1343F" w:rsidRPr="008702AE">
        <w:rPr>
          <w:rFonts w:ascii="Arial" w:hAnsi="Arial" w:cs="Arial"/>
          <w:sz w:val="22"/>
          <w:lang w:val="es-ES"/>
        </w:rPr>
        <w:t>están obligadas a publicar en el SECOP todos los documentos relacionados con el Proceso de Contratación expedidos durante las etapas precontractual, de ejecución y pos</w:t>
      </w:r>
      <w:r w:rsidR="00E365FD">
        <w:rPr>
          <w:rFonts w:ascii="Arial" w:hAnsi="Arial" w:cs="Arial"/>
          <w:sz w:val="22"/>
          <w:lang w:val="es-ES"/>
        </w:rPr>
        <w:t xml:space="preserve">t- </w:t>
      </w:r>
      <w:r w:rsidR="00B1343F" w:rsidRPr="008702AE">
        <w:rPr>
          <w:rFonts w:ascii="Arial" w:hAnsi="Arial" w:cs="Arial"/>
          <w:sz w:val="22"/>
          <w:lang w:val="es-ES"/>
        </w:rPr>
        <w:t xml:space="preserve">contractual, dentro de los tres (3) días hábiles siguientes a su producción. Este deber </w:t>
      </w:r>
      <w:r w:rsidR="00B1343F" w:rsidRPr="008702AE">
        <w:rPr>
          <w:rFonts w:ascii="Arial" w:hAnsi="Arial" w:cs="Arial"/>
          <w:sz w:val="22"/>
          <w:lang w:val="es-ES"/>
        </w:rPr>
        <w:lastRenderedPageBreak/>
        <w:t>aplica a todas las modalidades de selección y entidades regidas por el Estatuto General de Contratación de la Administración Pública. Solo se encuentran excluidas las ofertas que no se aprobaron y los documentos expedidos en el marco de operaciones de bolsa de productos.</w:t>
      </w:r>
    </w:p>
    <w:p w14:paraId="7AF98FAC" w14:textId="77777777" w:rsidR="00B1343F" w:rsidRDefault="00B1343F" w:rsidP="00B1343F">
      <w:pPr>
        <w:widowControl w:val="0"/>
        <w:autoSpaceDE w:val="0"/>
        <w:autoSpaceDN w:val="0"/>
        <w:spacing w:before="120" w:after="120" w:line="276" w:lineRule="auto"/>
        <w:ind w:firstLine="709"/>
        <w:jc w:val="both"/>
        <w:rPr>
          <w:rFonts w:ascii="Arial" w:hAnsi="Arial" w:cs="Arial"/>
          <w:sz w:val="22"/>
          <w:lang w:val="es-ES"/>
        </w:rPr>
      </w:pPr>
      <w:r w:rsidRPr="00245B21">
        <w:rPr>
          <w:rFonts w:ascii="Arial" w:hAnsi="Arial" w:cs="Arial"/>
          <w:sz w:val="22"/>
          <w:lang w:val="es-ES"/>
        </w:rPr>
        <w:t xml:space="preserve">Cabe resaltar que el deber de publicar los documentos relacionados con la contratación no se encuentra regulado solamente por las normas del Estatuto General de Contratación de la Administración Pública. Esto, por cuanto la Ley 1712 de 2014, normativa de la transparencia y del derecho de acceso a la información pública, señala en el literal g) del artículo 11, que todo sujeto obligado debe publicar sus procedimientos, lineamientos, políticas en materia de adquisiciones y compras, así como todos los datos de adjudicación y ejecución de sus contratos. Dicha obligación, en principio, fue reglamentada por el Decreto 103 de 2015, hoy compilado en el Decreto 1081 de 2015.  Este último señala, en el artículo 2.1.1.2.1.7, que las entidades deberán publicar en el SECOP la información de su gestión contractual. </w:t>
      </w:r>
    </w:p>
    <w:p w14:paraId="5309B2DE" w14:textId="77777777" w:rsidR="00B1343F" w:rsidRDefault="00B1343F" w:rsidP="00B1343F">
      <w:pPr>
        <w:widowControl w:val="0"/>
        <w:autoSpaceDE w:val="0"/>
        <w:autoSpaceDN w:val="0"/>
        <w:spacing w:before="120" w:after="120" w:line="276" w:lineRule="auto"/>
        <w:ind w:firstLine="709"/>
        <w:jc w:val="both"/>
        <w:rPr>
          <w:rFonts w:ascii="Arial" w:hAnsi="Arial" w:cs="Arial"/>
          <w:sz w:val="22"/>
          <w:lang w:val="es-ES"/>
        </w:rPr>
      </w:pPr>
      <w:r w:rsidRPr="00245B21">
        <w:rPr>
          <w:rFonts w:ascii="Arial" w:hAnsi="Arial" w:cs="Arial"/>
          <w:sz w:val="22"/>
          <w:lang w:val="es-ES"/>
        </w:rPr>
        <w:t>Por su parte, el artículo 2.1.1.2.1.9 expresa que las entidades deberán publicar los procedimientos, lineamientos y políticas en materia de adquisición, que no son otros que los previstos en el manual de contratación, el cual debe publicarse en el sitio web del sujeto obligado. El artículo 2.1.1.2.1.10 establece la obligación que tienen las entidades de publicar en el SECOP el Plan Anual de Adquisiciones. De otro lado, el artículo 2.1.1.2.1.8, establece los efectos de la obligación contenida en el literal g) del artículo 11 de la Ley 1712 de 2014, en relación con los documentos producidos durante la ejecución del contrato, señalando que se deben publicar las aprobaciones, autorizaciones, requerimientos o informes del supervisor o interventor, que prueben la ejecución del contrato</w:t>
      </w:r>
      <w:r>
        <w:rPr>
          <w:rFonts w:ascii="Arial" w:hAnsi="Arial" w:cs="Arial"/>
          <w:sz w:val="22"/>
          <w:lang w:val="es-ES"/>
        </w:rPr>
        <w:t>.</w:t>
      </w:r>
    </w:p>
    <w:p w14:paraId="361FD261" w14:textId="77777777" w:rsidR="00B1343F" w:rsidRDefault="00B1343F" w:rsidP="00B1343F">
      <w:pPr>
        <w:widowControl w:val="0"/>
        <w:autoSpaceDE w:val="0"/>
        <w:autoSpaceDN w:val="0"/>
        <w:spacing w:before="120" w:after="120" w:line="276" w:lineRule="auto"/>
        <w:ind w:firstLine="709"/>
        <w:jc w:val="both"/>
        <w:rPr>
          <w:rFonts w:ascii="Arial" w:hAnsi="Arial" w:cs="Arial"/>
          <w:sz w:val="22"/>
          <w:lang w:val="es-ES"/>
        </w:rPr>
      </w:pPr>
      <w:r>
        <w:rPr>
          <w:rFonts w:ascii="Arial" w:hAnsi="Arial" w:cs="Arial"/>
          <w:sz w:val="22"/>
          <w:lang w:val="es-ES"/>
        </w:rPr>
        <w:t xml:space="preserve">De este modo, </w:t>
      </w:r>
      <w:r w:rsidRPr="0011103F">
        <w:rPr>
          <w:rFonts w:ascii="Arial" w:hAnsi="Arial" w:cs="Arial"/>
          <w:sz w:val="22"/>
          <w:lang w:val="es-ES"/>
        </w:rPr>
        <w:t>la publicación que corresponde a las entidades estatales, como sujetos obligados en el marco de la Ley 1712 de 2014, se extienda a todo el desarrollo del procedimiento, desde la etapa de planeación hasta el vencimiento de las garantías, incluyendo cada actuación que se produzca en ese lapso. Esto quiere decir que las entidades estatales, además de los documentos y actos administrativos -de trámite o definitivos– que expiden durante los procedimientos de contratación</w:t>
      </w:r>
      <w:r>
        <w:rPr>
          <w:rFonts w:ascii="Arial" w:hAnsi="Arial" w:cs="Arial"/>
          <w:sz w:val="22"/>
          <w:lang w:val="es-ES"/>
        </w:rPr>
        <w:t xml:space="preserve"> (en cumplimiento de la Ley 1150 de 2017 y del Decreto 1082 de 2015)</w:t>
      </w:r>
      <w:r w:rsidRPr="0011103F">
        <w:rPr>
          <w:rFonts w:ascii="Arial" w:hAnsi="Arial" w:cs="Arial"/>
          <w:sz w:val="22"/>
          <w:lang w:val="es-ES"/>
        </w:rPr>
        <w:t>, deben publicar los documentos que los impulsan y materializan, incluso los que no produce la entidad, pero que hacen parte del procedimiento</w:t>
      </w:r>
      <w:r>
        <w:rPr>
          <w:rFonts w:ascii="Arial" w:hAnsi="Arial" w:cs="Arial"/>
          <w:sz w:val="22"/>
          <w:lang w:val="es-ES"/>
        </w:rPr>
        <w:t>.</w:t>
      </w:r>
    </w:p>
    <w:p w14:paraId="7DD6A402" w14:textId="77777777" w:rsidR="00B1343F" w:rsidRDefault="00B1343F" w:rsidP="00B1343F">
      <w:pPr>
        <w:widowControl w:val="0"/>
        <w:autoSpaceDE w:val="0"/>
        <w:autoSpaceDN w:val="0"/>
        <w:spacing w:before="120" w:after="120" w:line="276" w:lineRule="auto"/>
        <w:ind w:firstLine="709"/>
        <w:jc w:val="both"/>
        <w:rPr>
          <w:rFonts w:ascii="Arial" w:hAnsi="Arial" w:cs="Arial"/>
          <w:sz w:val="22"/>
          <w:lang w:val="es-ES"/>
        </w:rPr>
      </w:pPr>
      <w:r>
        <w:rPr>
          <w:rFonts w:ascii="Arial" w:hAnsi="Arial" w:cs="Arial"/>
          <w:sz w:val="22"/>
          <w:lang w:val="es-ES"/>
        </w:rPr>
        <w:t xml:space="preserve">En otras palabras, </w:t>
      </w:r>
      <w:r w:rsidRPr="00780DB1">
        <w:rPr>
          <w:rFonts w:ascii="Arial" w:hAnsi="Arial" w:cs="Arial"/>
          <w:sz w:val="22"/>
          <w:lang w:val="es-ES"/>
        </w:rPr>
        <w:t xml:space="preserve">al no existir efectos derogatorios o subrogatorios entre las disposiciones del EGCAP y la normativa de la transparencia y el acceso a la información pública, las disposiciones de ambos regímenes deben ser interpretadas de manera complementaria. Esto significa que a pesar de que los documentos objeto de publicación según el Decreto 1082 de 2015, se encuentren recogidos dentro de los que deben ser publicados conforme a la Ley 1712 de 2014 y el Decreto 1081 de 2015. De acuerdo con lo </w:t>
      </w:r>
      <w:r w:rsidRPr="00780DB1">
        <w:rPr>
          <w:rFonts w:ascii="Arial" w:hAnsi="Arial" w:cs="Arial"/>
          <w:sz w:val="22"/>
          <w:lang w:val="es-ES"/>
        </w:rPr>
        <w:lastRenderedPageBreak/>
        <w:t>anterior, deben respetarse los aspectos expresamente regulados en cada norma, como, por ejemplo, el término de publicación y la excepción de publicación de los documentos de las operaciones que se celebren en bolsa de productos, conforme al artículo 2.2.1.1.1.7.1. del Decreto 1082 de 2015.</w:t>
      </w:r>
    </w:p>
    <w:p w14:paraId="2E5ED996" w14:textId="77777777" w:rsidR="00B1343F" w:rsidRDefault="00B1343F" w:rsidP="00B1343F">
      <w:pPr>
        <w:widowControl w:val="0"/>
        <w:autoSpaceDE w:val="0"/>
        <w:autoSpaceDN w:val="0"/>
        <w:spacing w:before="120" w:after="120" w:line="276" w:lineRule="auto"/>
        <w:ind w:firstLine="709"/>
        <w:jc w:val="both"/>
        <w:rPr>
          <w:rFonts w:ascii="Arial" w:hAnsi="Arial" w:cs="Arial"/>
          <w:sz w:val="22"/>
          <w:lang w:val="es-ES"/>
        </w:rPr>
      </w:pPr>
      <w:r w:rsidRPr="00780DB1">
        <w:rPr>
          <w:rFonts w:ascii="Arial" w:hAnsi="Arial" w:cs="Arial"/>
          <w:sz w:val="22"/>
          <w:lang w:val="es-ES"/>
        </w:rPr>
        <w:t>En conclusión, con base en los fundamentos normativos y argumentos expuestos, las entidades estatales regidas por el EGCAP deberán publicar en SECOP, entre otros, los siguientes documentos expedidos con ocasión del proceso de contratación: i) el estudio de oportunidad y conveniencia; ii) los estudios y documentos previos –técnicos o no–; iii) el aviso de convocatoria; iv) el proyecto de pliego de condiciones y las observaciones que le formulen; v) el pliego de condiciones o la invitación, así como las observaciones que se les realicen; vi) las actas de la audiencia de asignación de riesgos; vii) el acta de cierre del plazo para presentar ofertas; viii) las adendas; ix) en procesos cuya publicación deba realizarse en SECOP I, la oferta del adjudicatario y las aclaraciones que se le realicen; x) el informe de precalificación y las observaciones que se formulen; xi) el informe de evaluación y las observaciones que se formulen; xii) las respuestas a las observaciones; xiii) el contrato y los otrosíes o modificaciones; xiv) el acta de inicio; xv) las garantías; xvi) el acta de liquidación; xvii) los actos administrativos expedidos con ocasión del procedimiento de selección o la ejecución del contrato, como las resoluciones de apertura, de adjudicación, las que se impongan multas, la cláusula penal o declaren la caducidad del contrato; xviii) los documentos de los procesos por incumplimiento contractual que se lleven a cabo conforme al artículo 86 de la Ley 1474 de 2011, como la citación, las pruebas que se practiquen, la resolución que resuelve la actuación y demás documentos que se produzcan; ix) las reclamaciones que presenten las partes y las respuestas que se expidan a las mismas; xx) las actas de entrega o recibo, xxi) los informes de supervisión y/o interventoría; xxii) en cuanto a la ejecución, de conformidad con el artículo 2.1.1.2.1.8 de Decreto 1081 de 2015, deberán publicarse las aprobaciones, autorizaciones, requerimientos o informes del supervisor o del interventor, que prueben la ejecución del contrato; xxiii) la liquidación unilateral; y xxiv) en general cualquier otro documento producido o expedido con ocasión del Proceso de Contratación, sin importar quién sea su autor –la Administración o el contratista–, con excepción de los que pertenecen al marco de operaciones de bolsa de productos, expresamente excluidos de publicación por el artículo 2.2.1.1.1.7.1. del Decreto 1082 de 2015.</w:t>
      </w:r>
    </w:p>
    <w:p w14:paraId="07CE28E3" w14:textId="77777777" w:rsidR="00B1343F" w:rsidRPr="00D7690B" w:rsidRDefault="00B1343F" w:rsidP="00B1343F">
      <w:pPr>
        <w:widowControl w:val="0"/>
        <w:autoSpaceDE w:val="0"/>
        <w:autoSpaceDN w:val="0"/>
        <w:spacing w:before="120" w:after="120" w:line="276" w:lineRule="auto"/>
        <w:ind w:firstLine="709"/>
        <w:jc w:val="both"/>
        <w:rPr>
          <w:rFonts w:ascii="Arial" w:hAnsi="Arial" w:cs="Arial"/>
          <w:sz w:val="22"/>
          <w:lang w:val="es-ES"/>
        </w:rPr>
      </w:pPr>
      <w:r>
        <w:rPr>
          <w:rFonts w:ascii="Arial" w:hAnsi="Arial" w:cs="Arial"/>
          <w:sz w:val="22"/>
          <w:lang w:val="es-ES"/>
        </w:rPr>
        <w:t xml:space="preserve">Lo anterior, sin perjuicio de que </w:t>
      </w:r>
      <w:r w:rsidRPr="00C525A3">
        <w:rPr>
          <w:rFonts w:ascii="Arial" w:hAnsi="Arial" w:cs="Arial"/>
          <w:sz w:val="22"/>
          <w:lang w:val="es-ES"/>
        </w:rPr>
        <w:t>en virtud del principio de transparencia, específicamente por cuenta de lo dispuesto en el numeral 4 del artículo 24 de la Ley 80 de 1993, así como por el principio de máxima publicidad establecido en el artículo 2 de la Ley 1712 de 2014, el contenido del expediente en el que reposa la actuación es información pública, independientemente de si se trata de documentos que deban ser publicados en SECOP</w:t>
      </w:r>
      <w:r>
        <w:rPr>
          <w:rFonts w:ascii="Arial" w:hAnsi="Arial" w:cs="Arial"/>
          <w:sz w:val="22"/>
          <w:lang w:val="es-ES"/>
        </w:rPr>
        <w:t xml:space="preserve"> y, por tanto, tal como se explicó, esos </w:t>
      </w:r>
      <w:r w:rsidRPr="00C525A3">
        <w:rPr>
          <w:rFonts w:ascii="Arial" w:hAnsi="Arial" w:cs="Arial"/>
          <w:sz w:val="22"/>
          <w:lang w:val="es-ES"/>
        </w:rPr>
        <w:t xml:space="preserve">documentos </w:t>
      </w:r>
      <w:r>
        <w:rPr>
          <w:rFonts w:ascii="Arial" w:hAnsi="Arial" w:cs="Arial"/>
          <w:sz w:val="22"/>
          <w:lang w:val="es-ES"/>
        </w:rPr>
        <w:t xml:space="preserve">pueden </w:t>
      </w:r>
      <w:r w:rsidRPr="00C525A3">
        <w:rPr>
          <w:rFonts w:ascii="Arial" w:hAnsi="Arial" w:cs="Arial"/>
          <w:sz w:val="22"/>
          <w:lang w:val="es-ES"/>
        </w:rPr>
        <w:t>ser objeto de solicitudes de copias, en ejercicio del derecho de petición,</w:t>
      </w:r>
      <w:r>
        <w:rPr>
          <w:rFonts w:ascii="Arial" w:hAnsi="Arial" w:cs="Arial"/>
          <w:sz w:val="22"/>
          <w:lang w:val="es-ES"/>
        </w:rPr>
        <w:t xml:space="preserve"> con los </w:t>
      </w:r>
      <w:r w:rsidRPr="00C525A3">
        <w:rPr>
          <w:rFonts w:ascii="Arial" w:hAnsi="Arial" w:cs="Arial"/>
          <w:sz w:val="22"/>
          <w:lang w:val="es-ES"/>
        </w:rPr>
        <w:t>limit</w:t>
      </w:r>
      <w:r>
        <w:rPr>
          <w:rFonts w:ascii="Arial" w:hAnsi="Arial" w:cs="Arial"/>
          <w:sz w:val="22"/>
          <w:lang w:val="es-ES"/>
        </w:rPr>
        <w:t xml:space="preserve">es propios </w:t>
      </w:r>
      <w:r w:rsidRPr="00C525A3">
        <w:rPr>
          <w:rFonts w:ascii="Arial" w:hAnsi="Arial" w:cs="Arial"/>
          <w:sz w:val="22"/>
          <w:lang w:val="es-ES"/>
        </w:rPr>
        <w:t xml:space="preserve"> </w:t>
      </w:r>
      <w:r>
        <w:rPr>
          <w:rFonts w:ascii="Arial" w:hAnsi="Arial" w:cs="Arial"/>
          <w:sz w:val="22"/>
          <w:lang w:val="es-ES"/>
        </w:rPr>
        <w:t xml:space="preserve">de la información </w:t>
      </w:r>
      <w:r>
        <w:rPr>
          <w:rFonts w:ascii="Arial" w:hAnsi="Arial" w:cs="Arial"/>
          <w:sz w:val="22"/>
          <w:lang w:val="es-ES"/>
        </w:rPr>
        <w:lastRenderedPageBreak/>
        <w:t>que tenga</w:t>
      </w:r>
      <w:r w:rsidRPr="00C525A3">
        <w:rPr>
          <w:rFonts w:ascii="Arial" w:hAnsi="Arial" w:cs="Arial"/>
          <w:sz w:val="22"/>
          <w:lang w:val="es-ES"/>
        </w:rPr>
        <w:t xml:space="preserve"> calidad de reservada, que deberá someterse al tratamiento establecido en el artículo 36 del CPACA, en lo relativo a la formación de cuadernos separados.</w:t>
      </w:r>
    </w:p>
    <w:p w14:paraId="09C6999B" w14:textId="6D60AB66" w:rsidR="00863245" w:rsidRPr="00E579B5" w:rsidRDefault="004A303C" w:rsidP="00C31417">
      <w:pPr>
        <w:pStyle w:val="Sinespaciado"/>
        <w:spacing w:before="120" w:after="120" w:line="276" w:lineRule="auto"/>
        <w:jc w:val="both"/>
        <w:rPr>
          <w:rFonts w:ascii="Arial" w:hAnsi="Arial" w:cs="Arial"/>
          <w:lang w:val="es-ES_tradnl"/>
        </w:rPr>
      </w:pPr>
      <w:r w:rsidRPr="00E579B5">
        <w:rPr>
          <w:rFonts w:ascii="Arial" w:eastAsia="Times New Roman" w:hAnsi="Arial" w:cs="Arial"/>
          <w:color w:val="000000" w:themeColor="text1"/>
          <w:sz w:val="22"/>
          <w:lang w:val="es-ES" w:eastAsia="es-ES_tradnl"/>
        </w:rPr>
        <w:t>Este concepto tiene el alcance previsto en el artículo 28 del Código de Procedimiento Administrativo y de lo Contencioso Administrativo.</w:t>
      </w:r>
    </w:p>
    <w:p w14:paraId="55EF1794" w14:textId="6B3C3654" w:rsidR="004A303C" w:rsidRPr="00E579B5" w:rsidRDefault="004A303C" w:rsidP="00C31417">
      <w:pPr>
        <w:tabs>
          <w:tab w:val="left" w:pos="426"/>
        </w:tabs>
        <w:spacing w:before="120" w:after="120" w:line="276" w:lineRule="auto"/>
        <w:jc w:val="both"/>
        <w:rPr>
          <w:rFonts w:ascii="Arial" w:eastAsia="Times New Roman" w:hAnsi="Arial" w:cs="Arial"/>
          <w:color w:val="000000" w:themeColor="text1"/>
          <w:sz w:val="22"/>
          <w:lang w:val="es-ES" w:eastAsia="es-ES_tradnl"/>
        </w:rPr>
      </w:pPr>
      <w:r w:rsidRPr="00E579B5">
        <w:rPr>
          <w:rFonts w:ascii="Arial" w:eastAsia="Times New Roman" w:hAnsi="Arial" w:cs="Arial"/>
          <w:color w:val="000000" w:themeColor="text1"/>
          <w:sz w:val="22"/>
          <w:lang w:val="es-ES" w:eastAsia="es-ES_tradnl"/>
        </w:rPr>
        <w:t>Atentamente,</w:t>
      </w:r>
    </w:p>
    <w:bookmarkEnd w:id="0"/>
    <w:bookmarkEnd w:id="1"/>
    <w:p w14:paraId="4EC0D092" w14:textId="6B252B35" w:rsidR="00AE2F9D" w:rsidRPr="00E579B5" w:rsidRDefault="009E5139" w:rsidP="3C399BE9">
      <w:pPr>
        <w:spacing w:before="120" w:line="276" w:lineRule="auto"/>
        <w:jc w:val="center"/>
        <w:rPr>
          <w:rFonts w:ascii="Arial" w:eastAsia="Times New Roman" w:hAnsi="Arial" w:cs="Arial"/>
          <w:color w:val="000000" w:themeColor="text1"/>
          <w:szCs w:val="24"/>
          <w:lang w:val="es-ES" w:eastAsia="es-CO"/>
        </w:rPr>
      </w:pPr>
      <w:r>
        <w:rPr>
          <w:noProof/>
        </w:rPr>
        <w:drawing>
          <wp:inline distT="0" distB="0" distL="0" distR="0" wp14:anchorId="0BF78FB6" wp14:editId="3350EB8C">
            <wp:extent cx="2247182" cy="983411"/>
            <wp:effectExtent l="0" t="0" r="1270" b="7620"/>
            <wp:docPr id="5" name="Imagen 5"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pic:nvPicPr>
                  <pic:blipFill>
                    <a:blip r:embed="rId12"/>
                    <a:stretch>
                      <a:fillRect/>
                    </a:stretch>
                  </pic:blipFill>
                  <pic:spPr>
                    <a:xfrm>
                      <a:off x="0" y="0"/>
                      <a:ext cx="2262203" cy="989984"/>
                    </a:xfrm>
                    <a:prstGeom prst="rect">
                      <a:avLst/>
                    </a:prstGeom>
                  </pic:spPr>
                </pic:pic>
              </a:graphicData>
            </a:graphic>
          </wp:inline>
        </w:drawing>
      </w:r>
    </w:p>
    <w:p w14:paraId="4F89E839" w14:textId="789EAB32" w:rsidR="00B343F3" w:rsidRPr="00E579B5" w:rsidRDefault="00B343F3" w:rsidP="004A303C">
      <w:pPr>
        <w:jc w:val="center"/>
        <w:rPr>
          <w:rFonts w:ascii="Arial" w:eastAsia="Times New Roman" w:hAnsi="Arial" w:cs="Arial"/>
          <w:color w:val="000000" w:themeColor="text1"/>
          <w:sz w:val="18"/>
          <w:szCs w:val="20"/>
          <w:lang w:val="es-ES" w:eastAsia="es-CO"/>
        </w:rPr>
      </w:pPr>
    </w:p>
    <w:p w14:paraId="7A1A8ADB" w14:textId="77777777" w:rsidR="00B343F3" w:rsidRPr="00E579B5" w:rsidRDefault="00B343F3" w:rsidP="004A303C">
      <w:pPr>
        <w:jc w:val="center"/>
        <w:rPr>
          <w:rFonts w:ascii="Arial" w:eastAsia="Times New Roman" w:hAnsi="Arial" w:cs="Arial"/>
          <w:color w:val="000000" w:themeColor="text1"/>
          <w:sz w:val="18"/>
          <w:szCs w:val="20"/>
          <w:lang w:val="es-ES"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4413"/>
      </w:tblGrid>
      <w:tr w:rsidR="000079A6" w:rsidRPr="00E579B5" w14:paraId="3845EF28" w14:textId="77777777" w:rsidTr="00C4215E">
        <w:trPr>
          <w:trHeight w:val="315"/>
        </w:trPr>
        <w:tc>
          <w:tcPr>
            <w:tcW w:w="812" w:type="dxa"/>
            <w:vAlign w:val="center"/>
            <w:hideMark/>
          </w:tcPr>
          <w:p w14:paraId="46573DA4" w14:textId="77777777" w:rsidR="004A303C" w:rsidRPr="00E579B5" w:rsidRDefault="004A303C" w:rsidP="00C4215E">
            <w:pPr>
              <w:rPr>
                <w:rFonts w:ascii="Arial" w:eastAsia="Times New Roman" w:hAnsi="Arial" w:cs="Arial"/>
                <w:color w:val="000000" w:themeColor="text1"/>
                <w:sz w:val="16"/>
                <w:szCs w:val="16"/>
                <w:lang w:val="es-ES" w:eastAsia="es-ES"/>
              </w:rPr>
            </w:pPr>
            <w:r w:rsidRPr="00E579B5">
              <w:rPr>
                <w:rFonts w:ascii="Arial" w:eastAsia="Times New Roman" w:hAnsi="Arial" w:cs="Arial"/>
                <w:color w:val="000000" w:themeColor="text1"/>
                <w:sz w:val="16"/>
                <w:szCs w:val="16"/>
                <w:lang w:val="es-ES" w:eastAsia="es-ES"/>
              </w:rPr>
              <w:t>Elaboró:</w:t>
            </w:r>
          </w:p>
        </w:tc>
        <w:tc>
          <w:tcPr>
            <w:tcW w:w="4413" w:type="dxa"/>
            <w:tcBorders>
              <w:top w:val="nil"/>
              <w:left w:val="nil"/>
              <w:bottom w:val="dotted" w:sz="4" w:space="0" w:color="7F7F7F" w:themeColor="text1" w:themeTint="80"/>
              <w:right w:val="nil"/>
            </w:tcBorders>
            <w:vAlign w:val="center"/>
            <w:hideMark/>
          </w:tcPr>
          <w:p w14:paraId="35B831BF" w14:textId="1E398932" w:rsidR="004A303C" w:rsidRPr="00E579B5" w:rsidRDefault="00B1343F" w:rsidP="00C4215E">
            <w:pPr>
              <w:rPr>
                <w:rFonts w:ascii="Arial" w:eastAsia="Times New Roman" w:hAnsi="Arial" w:cs="Arial"/>
                <w:color w:val="000000" w:themeColor="text1"/>
                <w:sz w:val="16"/>
                <w:szCs w:val="16"/>
                <w:lang w:val="es-ES" w:eastAsia="es-ES"/>
              </w:rPr>
            </w:pPr>
            <w:r>
              <w:rPr>
                <w:rFonts w:ascii="Arial" w:eastAsia="Times New Roman" w:hAnsi="Arial" w:cs="Arial"/>
                <w:color w:val="000000" w:themeColor="text1"/>
                <w:sz w:val="16"/>
                <w:szCs w:val="16"/>
                <w:lang w:val="es-ES" w:eastAsia="es-ES"/>
              </w:rPr>
              <w:t>Camilo Perdomo Villamil.</w:t>
            </w:r>
          </w:p>
          <w:p w14:paraId="2D2324C2" w14:textId="6439F39A" w:rsidR="00186E11" w:rsidRPr="00E579B5" w:rsidRDefault="00186E11" w:rsidP="00C4215E">
            <w:pPr>
              <w:rPr>
                <w:rFonts w:ascii="Arial" w:eastAsia="Times New Roman" w:hAnsi="Arial" w:cs="Arial"/>
                <w:color w:val="000000" w:themeColor="text1"/>
                <w:sz w:val="16"/>
                <w:szCs w:val="16"/>
                <w:lang w:val="es-ES" w:eastAsia="es-ES"/>
              </w:rPr>
            </w:pPr>
            <w:r w:rsidRPr="00E579B5">
              <w:rPr>
                <w:rFonts w:ascii="Arial" w:eastAsia="Times New Roman" w:hAnsi="Arial" w:cs="Arial"/>
                <w:color w:val="000000" w:themeColor="text1"/>
                <w:sz w:val="16"/>
                <w:szCs w:val="16"/>
                <w:lang w:val="es-ES" w:eastAsia="es-ES"/>
              </w:rPr>
              <w:t>Contratista de la Subdirección de Gestión Contractual</w:t>
            </w:r>
          </w:p>
        </w:tc>
      </w:tr>
      <w:tr w:rsidR="000079A6" w:rsidRPr="00E579B5" w14:paraId="185A8054" w14:textId="77777777" w:rsidTr="00C4215E">
        <w:trPr>
          <w:trHeight w:val="330"/>
        </w:trPr>
        <w:tc>
          <w:tcPr>
            <w:tcW w:w="812" w:type="dxa"/>
            <w:vAlign w:val="center"/>
            <w:hideMark/>
          </w:tcPr>
          <w:p w14:paraId="6DF4B2B6" w14:textId="77777777" w:rsidR="004A303C" w:rsidRPr="00E579B5" w:rsidRDefault="004A303C" w:rsidP="00C4215E">
            <w:pPr>
              <w:rPr>
                <w:rFonts w:ascii="Arial" w:eastAsia="Times New Roman" w:hAnsi="Arial" w:cs="Arial"/>
                <w:color w:val="000000" w:themeColor="text1"/>
                <w:sz w:val="16"/>
                <w:szCs w:val="16"/>
                <w:lang w:val="es-ES" w:eastAsia="es-ES"/>
              </w:rPr>
            </w:pPr>
            <w:r w:rsidRPr="00E579B5">
              <w:rPr>
                <w:rFonts w:ascii="Arial" w:eastAsia="Times New Roman" w:hAnsi="Arial" w:cs="Arial"/>
                <w:color w:val="000000" w:themeColor="text1"/>
                <w:sz w:val="16"/>
                <w:szCs w:val="16"/>
                <w:lang w:val="es-ES" w:eastAsia="es-ES"/>
              </w:rPr>
              <w:t>Revisó: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5B96C20D" w14:textId="669F579B" w:rsidR="00C30BDE" w:rsidRPr="006B7926" w:rsidRDefault="00A4012B" w:rsidP="00C30BDE">
            <w:pPr>
              <w:rPr>
                <w:rFonts w:ascii="Arial" w:eastAsia="Times New Roman" w:hAnsi="Arial" w:cs="Arial"/>
                <w:color w:val="000000" w:themeColor="text1"/>
                <w:sz w:val="16"/>
                <w:szCs w:val="16"/>
                <w:lang w:val="es-ES" w:eastAsia="es-ES"/>
              </w:rPr>
            </w:pPr>
            <w:r w:rsidRPr="006B7926">
              <w:rPr>
                <w:rFonts w:ascii="Arial" w:eastAsia="Times New Roman" w:hAnsi="Arial" w:cs="Arial"/>
                <w:color w:val="000000" w:themeColor="text1"/>
                <w:sz w:val="16"/>
                <w:szCs w:val="16"/>
                <w:lang w:val="es-ES" w:eastAsia="es-ES"/>
              </w:rPr>
              <w:t>Alejandro Sarmiento Cantillo</w:t>
            </w:r>
          </w:p>
          <w:p w14:paraId="3B49C6C0" w14:textId="228DAF00" w:rsidR="00186E11" w:rsidRPr="006B7926" w:rsidRDefault="00C30BDE" w:rsidP="00C30BDE">
            <w:pPr>
              <w:rPr>
                <w:rFonts w:ascii="Arial" w:eastAsia="Times New Roman" w:hAnsi="Arial" w:cs="Arial"/>
                <w:color w:val="000000" w:themeColor="text1"/>
                <w:sz w:val="16"/>
                <w:szCs w:val="16"/>
                <w:lang w:val="es-ES" w:eastAsia="es-ES"/>
              </w:rPr>
            </w:pPr>
            <w:r w:rsidRPr="006B7926">
              <w:rPr>
                <w:rFonts w:ascii="Arial" w:eastAsia="Times New Roman" w:hAnsi="Arial" w:cs="Arial"/>
                <w:color w:val="000000" w:themeColor="text1"/>
                <w:sz w:val="16"/>
                <w:szCs w:val="16"/>
                <w:lang w:val="es-ES" w:eastAsia="es-ES"/>
              </w:rPr>
              <w:t>Gestor</w:t>
            </w:r>
            <w:r w:rsidR="00A4012B" w:rsidRPr="006B7926">
              <w:rPr>
                <w:rFonts w:ascii="Arial" w:eastAsia="Times New Roman" w:hAnsi="Arial" w:cs="Arial"/>
                <w:color w:val="000000" w:themeColor="text1"/>
                <w:sz w:val="16"/>
                <w:szCs w:val="16"/>
                <w:lang w:val="es-ES" w:eastAsia="es-ES"/>
              </w:rPr>
              <w:t xml:space="preserve"> T1-1</w:t>
            </w:r>
            <w:r w:rsidR="00B1343F">
              <w:rPr>
                <w:rFonts w:ascii="Arial" w:eastAsia="Times New Roman" w:hAnsi="Arial" w:cs="Arial"/>
                <w:color w:val="000000" w:themeColor="text1"/>
                <w:sz w:val="16"/>
                <w:szCs w:val="16"/>
                <w:lang w:val="es-ES" w:eastAsia="es-ES"/>
              </w:rPr>
              <w:t>5</w:t>
            </w:r>
            <w:r w:rsidRPr="006B7926">
              <w:rPr>
                <w:rFonts w:ascii="Arial" w:eastAsia="Times New Roman" w:hAnsi="Arial" w:cs="Arial"/>
                <w:color w:val="000000" w:themeColor="text1"/>
                <w:sz w:val="16"/>
                <w:szCs w:val="16"/>
                <w:lang w:val="es-ES" w:eastAsia="es-ES"/>
              </w:rPr>
              <w:t xml:space="preserve"> de la Subdirección de Gestión Contractual</w:t>
            </w:r>
          </w:p>
        </w:tc>
      </w:tr>
      <w:tr w:rsidR="000079A6" w:rsidRPr="00B343F3" w14:paraId="0264BFAB" w14:textId="77777777" w:rsidTr="00C4215E">
        <w:trPr>
          <w:trHeight w:val="300"/>
        </w:trPr>
        <w:tc>
          <w:tcPr>
            <w:tcW w:w="812" w:type="dxa"/>
            <w:vAlign w:val="center"/>
            <w:hideMark/>
          </w:tcPr>
          <w:p w14:paraId="62F9E26B" w14:textId="77777777" w:rsidR="004A303C" w:rsidRPr="00E579B5" w:rsidRDefault="004A303C" w:rsidP="00C4215E">
            <w:pPr>
              <w:rPr>
                <w:rFonts w:ascii="Arial" w:eastAsia="Times New Roman" w:hAnsi="Arial" w:cs="Arial"/>
                <w:color w:val="000000" w:themeColor="text1"/>
                <w:sz w:val="16"/>
                <w:szCs w:val="16"/>
                <w:lang w:val="es-ES" w:eastAsia="es-ES"/>
              </w:rPr>
            </w:pPr>
            <w:r w:rsidRPr="00E579B5">
              <w:rPr>
                <w:rFonts w:ascii="Arial" w:eastAsia="Times New Roman" w:hAnsi="Arial" w:cs="Arial"/>
                <w:color w:val="000000" w:themeColor="text1"/>
                <w:sz w:val="16"/>
                <w:szCs w:val="16"/>
                <w:lang w:val="es-ES" w:eastAsia="es-ES"/>
              </w:rPr>
              <w:t>Aprobó: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276FFCC9" w14:textId="2005D11D" w:rsidR="004A303C" w:rsidRPr="00E579B5" w:rsidRDefault="00A443F2" w:rsidP="00C4215E">
            <w:pPr>
              <w:rPr>
                <w:rFonts w:ascii="Arial" w:eastAsia="Times New Roman" w:hAnsi="Arial" w:cs="Arial"/>
                <w:color w:val="000000" w:themeColor="text1"/>
                <w:sz w:val="16"/>
                <w:szCs w:val="16"/>
                <w:lang w:val="es-ES" w:eastAsia="es-ES"/>
              </w:rPr>
            </w:pPr>
            <w:r w:rsidRPr="00E579B5">
              <w:rPr>
                <w:rFonts w:ascii="Arial" w:eastAsia="Times New Roman" w:hAnsi="Arial" w:cs="Arial"/>
                <w:color w:val="000000" w:themeColor="text1"/>
                <w:sz w:val="16"/>
                <w:szCs w:val="16"/>
                <w:lang w:val="es-ES" w:eastAsia="es-ES"/>
              </w:rPr>
              <w:t>Jorge Augusto Tirado Navarro</w:t>
            </w:r>
          </w:p>
          <w:p w14:paraId="0E4183AA" w14:textId="4BA88713" w:rsidR="004A303C" w:rsidRPr="00B343F3" w:rsidRDefault="004A303C" w:rsidP="00C4215E">
            <w:pPr>
              <w:rPr>
                <w:rFonts w:ascii="Arial" w:eastAsia="Times New Roman" w:hAnsi="Arial" w:cs="Arial"/>
                <w:color w:val="000000" w:themeColor="text1"/>
                <w:sz w:val="16"/>
                <w:szCs w:val="16"/>
                <w:lang w:val="es-ES" w:eastAsia="es-ES"/>
              </w:rPr>
            </w:pPr>
            <w:r w:rsidRPr="00E579B5">
              <w:rPr>
                <w:rFonts w:ascii="Arial" w:eastAsia="Times New Roman" w:hAnsi="Arial" w:cs="Arial"/>
                <w:color w:val="000000" w:themeColor="text1"/>
                <w:sz w:val="16"/>
                <w:szCs w:val="16"/>
                <w:lang w:val="es-ES" w:eastAsia="es-ES"/>
              </w:rPr>
              <w:t>Subdirector de Gestión Contractual</w:t>
            </w:r>
            <w:r w:rsidR="00843AB7" w:rsidRPr="00E579B5">
              <w:rPr>
                <w:rFonts w:ascii="Arial" w:eastAsia="Times New Roman" w:hAnsi="Arial" w:cs="Arial"/>
                <w:color w:val="000000" w:themeColor="text1"/>
                <w:sz w:val="16"/>
                <w:szCs w:val="16"/>
                <w:lang w:val="es-ES" w:eastAsia="es-ES"/>
              </w:rPr>
              <w:t xml:space="preserve"> </w:t>
            </w:r>
            <w:r w:rsidR="00843AB7" w:rsidRPr="00E579B5">
              <w:rPr>
                <w:rFonts w:ascii="Arial" w:eastAsia="Times New Roman" w:hAnsi="Arial" w:cs="Arial"/>
                <w:color w:val="000000" w:themeColor="text1"/>
                <w:sz w:val="16"/>
                <w:szCs w:val="16"/>
                <w:lang w:eastAsia="es-ES"/>
              </w:rPr>
              <w:t>ANCP – CCE</w:t>
            </w:r>
          </w:p>
        </w:tc>
      </w:tr>
    </w:tbl>
    <w:p w14:paraId="1B0D48EA" w14:textId="77777777" w:rsidR="00BD6605" w:rsidRPr="00126B57" w:rsidRDefault="00BD6605">
      <w:pPr>
        <w:rPr>
          <w:rFonts w:ascii="Arial" w:hAnsi="Arial" w:cs="Arial"/>
          <w:color w:val="000000" w:themeColor="text1"/>
          <w:lang w:val="es-ES"/>
        </w:rPr>
      </w:pPr>
    </w:p>
    <w:sectPr w:rsidR="00BD6605" w:rsidRPr="00126B57" w:rsidSect="00C4215E">
      <w:headerReference w:type="default" r:id="rId13"/>
      <w:footerReference w:type="default" r:id="rId14"/>
      <w:pgSz w:w="12240" w:h="15840"/>
      <w:pgMar w:top="2041" w:right="1701" w:bottom="1418"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A67FB" w14:textId="77777777" w:rsidR="00341448" w:rsidRDefault="00341448" w:rsidP="004A303C">
      <w:r>
        <w:separator/>
      </w:r>
    </w:p>
  </w:endnote>
  <w:endnote w:type="continuationSeparator" w:id="0">
    <w:p w14:paraId="5F66B6C8" w14:textId="77777777" w:rsidR="00341448" w:rsidRDefault="00341448" w:rsidP="004A3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MT">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BB9E" w14:textId="77777777" w:rsidR="00C4215E" w:rsidRDefault="00C4215E" w:rsidP="00C4215E">
    <w:pPr>
      <w:pStyle w:val="Sinespaciado"/>
      <w:jc w:val="right"/>
      <w:rPr>
        <w:rFonts w:ascii="Arial" w:hAnsi="Arial" w:cs="Arial"/>
        <w:sz w:val="18"/>
        <w:szCs w:val="18"/>
      </w:rPr>
    </w:pPr>
  </w:p>
  <w:p w14:paraId="2A927604" w14:textId="77777777" w:rsidR="00C4215E" w:rsidRDefault="00C4215E" w:rsidP="00C4215E">
    <w:pPr>
      <w:pStyle w:val="Sinespaciado"/>
      <w:jc w:val="right"/>
      <w:rPr>
        <w:rFonts w:ascii="Arial" w:hAnsi="Arial" w:cs="Arial"/>
        <w:sz w:val="18"/>
        <w:szCs w:val="18"/>
      </w:rPr>
    </w:pPr>
  </w:p>
  <w:p w14:paraId="4FC63438" w14:textId="49A6565D" w:rsidR="00C4215E" w:rsidRPr="008217B7" w:rsidRDefault="00C4215E" w:rsidP="00C4215E">
    <w:pPr>
      <w:pStyle w:val="Piedepgina"/>
      <w:jc w:val="right"/>
      <w:rPr>
        <w:rFonts w:ascii="Arial" w:hAnsi="Arial" w:cs="Arial"/>
        <w:color w:val="7F7F7F" w:themeColor="text1" w:themeTint="80"/>
        <w:sz w:val="16"/>
        <w:szCs w:val="16"/>
      </w:rPr>
    </w:pPr>
    <w:r w:rsidRPr="008217B7">
      <w:rPr>
        <w:rFonts w:ascii="Arial" w:hAnsi="Arial" w:cs="Arial"/>
        <w:bCs/>
        <w:color w:val="7F7F7F" w:themeColor="text1" w:themeTint="80"/>
        <w:sz w:val="16"/>
        <w:szCs w:val="16"/>
      </w:rPr>
      <w:t xml:space="preserve">Página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PAGE  \* Arabic  \* MERGEFORMAT</w:instrText>
    </w:r>
    <w:r w:rsidRPr="00084B97">
      <w:rPr>
        <w:rFonts w:ascii="Arial" w:hAnsi="Arial" w:cs="Arial"/>
        <w:b/>
        <w:bCs/>
        <w:color w:val="7F7F7F" w:themeColor="text1" w:themeTint="80"/>
        <w:sz w:val="16"/>
        <w:szCs w:val="16"/>
      </w:rPr>
      <w:fldChar w:fldCharType="separate"/>
    </w:r>
    <w:r w:rsidR="00AD4787">
      <w:rPr>
        <w:rFonts w:ascii="Arial" w:hAnsi="Arial" w:cs="Arial"/>
        <w:b/>
        <w:bCs/>
        <w:noProof/>
        <w:color w:val="7F7F7F" w:themeColor="text1" w:themeTint="80"/>
        <w:sz w:val="16"/>
        <w:szCs w:val="16"/>
      </w:rPr>
      <w:t>1</w:t>
    </w:r>
    <w:r w:rsidRPr="00084B97">
      <w:rPr>
        <w:rFonts w:ascii="Arial" w:hAnsi="Arial" w:cs="Arial"/>
        <w:b/>
        <w:bCs/>
        <w:color w:val="7F7F7F" w:themeColor="text1" w:themeTint="80"/>
        <w:sz w:val="16"/>
        <w:szCs w:val="16"/>
      </w:rPr>
      <w:fldChar w:fldCharType="end"/>
    </w:r>
    <w:r w:rsidRPr="008217B7">
      <w:rPr>
        <w:rFonts w:ascii="Arial" w:hAnsi="Arial" w:cs="Arial"/>
        <w:color w:val="7F7F7F" w:themeColor="text1" w:themeTint="80"/>
        <w:sz w:val="16"/>
        <w:szCs w:val="16"/>
      </w:rPr>
      <w:t xml:space="preserve"> de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NUMPAGES  \* Arabic  \* MERGEFORMAT</w:instrText>
    </w:r>
    <w:r w:rsidRPr="00084B97">
      <w:rPr>
        <w:rFonts w:ascii="Arial" w:hAnsi="Arial" w:cs="Arial"/>
        <w:b/>
        <w:bCs/>
        <w:color w:val="7F7F7F" w:themeColor="text1" w:themeTint="80"/>
        <w:sz w:val="16"/>
        <w:szCs w:val="16"/>
      </w:rPr>
      <w:fldChar w:fldCharType="separate"/>
    </w:r>
    <w:r w:rsidR="00AD4787">
      <w:rPr>
        <w:rFonts w:ascii="Arial" w:hAnsi="Arial" w:cs="Arial"/>
        <w:b/>
        <w:bCs/>
        <w:noProof/>
        <w:color w:val="7F7F7F" w:themeColor="text1" w:themeTint="80"/>
        <w:sz w:val="16"/>
        <w:szCs w:val="16"/>
      </w:rPr>
      <w:t>1</w:t>
    </w:r>
    <w:r w:rsidRPr="00084B97">
      <w:rPr>
        <w:rFonts w:ascii="Arial" w:hAnsi="Arial" w:cs="Arial"/>
        <w:b/>
        <w:bCs/>
        <w:color w:val="7F7F7F" w:themeColor="text1" w:themeTint="80"/>
        <w:sz w:val="16"/>
        <w:szCs w:val="16"/>
      </w:rPr>
      <w:fldChar w:fldCharType="end"/>
    </w:r>
  </w:p>
  <w:p w14:paraId="01CE2E1A" w14:textId="77777777" w:rsidR="00C4215E" w:rsidRDefault="3C399BE9" w:rsidP="00C4215E">
    <w:pPr>
      <w:pStyle w:val="Piedepgina"/>
      <w:jc w:val="center"/>
      <w:rPr>
        <w:lang w:val="es-ES"/>
      </w:rPr>
    </w:pPr>
    <w:r>
      <w:rPr>
        <w:noProof/>
        <w:lang w:val="en-US"/>
      </w:rPr>
      <w:drawing>
        <wp:inline distT="0" distB="0" distL="0" distR="0" wp14:anchorId="718D15A4" wp14:editId="2D2E23DB">
          <wp:extent cx="3700130" cy="51913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pic:nvPicPr>
                <pic:blipFill>
                  <a:blip r:embed="rId1">
                    <a:extLst>
                      <a:ext uri="{28A0092B-C50C-407E-A947-70E740481C1C}">
                        <a14:useLocalDpi xmlns:a14="http://schemas.microsoft.com/office/drawing/2010/main" val="0"/>
                      </a:ext>
                    </a:extLst>
                  </a:blip>
                  <a:stretch>
                    <a:fillRect/>
                  </a:stretch>
                </pic:blipFill>
                <pic:spPr>
                  <a:xfrm>
                    <a:off x="0" y="0"/>
                    <a:ext cx="3700130" cy="519139"/>
                  </a:xfrm>
                  <a:prstGeom prst="rect">
                    <a:avLst/>
                  </a:prstGeom>
                </pic:spPr>
              </pic:pic>
            </a:graphicData>
          </a:graphic>
        </wp:inline>
      </w:drawing>
    </w:r>
  </w:p>
  <w:p w14:paraId="5DCB422F" w14:textId="77777777" w:rsidR="00C4215E" w:rsidRPr="00E756AC" w:rsidRDefault="00C4215E" w:rsidP="00C4215E">
    <w:pPr>
      <w:pStyle w:val="Piedepgina"/>
      <w:jc w:val="center"/>
      <w:rPr>
        <w:sz w:val="18"/>
        <w:szCs w:val="18"/>
        <w:lang w:val="es-ES"/>
      </w:rPr>
    </w:pPr>
  </w:p>
  <w:p w14:paraId="59B6DB65" w14:textId="77777777" w:rsidR="00C4215E" w:rsidRPr="00E756AC" w:rsidRDefault="00C4215E" w:rsidP="00C4215E">
    <w:pPr>
      <w:pStyle w:val="Piedepgina"/>
      <w:jc w:val="center"/>
      <w:rPr>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25D98" w14:textId="77777777" w:rsidR="00341448" w:rsidRDefault="00341448" w:rsidP="004A303C">
      <w:r>
        <w:separator/>
      </w:r>
    </w:p>
  </w:footnote>
  <w:footnote w:type="continuationSeparator" w:id="0">
    <w:p w14:paraId="1650932E" w14:textId="77777777" w:rsidR="00341448" w:rsidRDefault="00341448" w:rsidP="004A303C">
      <w:r>
        <w:continuationSeparator/>
      </w:r>
    </w:p>
  </w:footnote>
  <w:footnote w:id="1">
    <w:p w14:paraId="03701CCA" w14:textId="77777777" w:rsidR="00BB642A" w:rsidRDefault="00BB642A" w:rsidP="00BB642A">
      <w:pPr>
        <w:pStyle w:val="Textonotapie"/>
        <w:ind w:firstLine="708"/>
        <w:jc w:val="both"/>
        <w:rPr>
          <w:rFonts w:ascii="Arial" w:hAnsi="Arial" w:cs="Arial"/>
          <w:sz w:val="19"/>
          <w:szCs w:val="19"/>
          <w:lang w:val="es-ES"/>
        </w:rPr>
      </w:pPr>
      <w:r>
        <w:rPr>
          <w:rStyle w:val="Refdenotaalpie"/>
          <w:rFonts w:ascii="Arial" w:hAnsi="Arial" w:cs="Arial"/>
          <w:sz w:val="19"/>
          <w:szCs w:val="19"/>
        </w:rPr>
        <w:footnoteRef/>
      </w:r>
      <w:r>
        <w:rPr>
          <w:rFonts w:ascii="Arial" w:hAnsi="Arial" w:cs="Arial"/>
          <w:sz w:val="19"/>
          <w:szCs w:val="19"/>
        </w:rPr>
        <w:t xml:space="preserve"> La Agencia Nacional de Contratación Pública ‒ Colombia Compra Eficiente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r>
        <w:rPr>
          <w:rFonts w:ascii="Arial" w:hAnsi="Arial" w:cs="Arial"/>
          <w:i/>
          <w:iCs/>
          <w:sz w:val="19"/>
          <w:szCs w:val="19"/>
        </w:rPr>
        <w:t xml:space="preserve">ibidem </w:t>
      </w:r>
      <w:r>
        <w:rPr>
          <w:rFonts w:ascii="Arial" w:hAnsi="Arial" w:cs="Arial"/>
          <w:sz w:val="19"/>
          <w:szCs w:val="19"/>
        </w:rPr>
        <w:t>señala, de manera precisa, las funciones de Colombia Compra Eficiente. Concretamente, el numeral 5º de este artículo establece que le corresponde a esta entidad: «[a]bsolver consultas sobre la aplicación de normas de carácter general y expedir circulares externas en materia de compras y contratación pública». Seguidamente, el numeral 8º del artículo 11 ibidem señala que es función de la Subdirección de Gestión Contractual: «[a]bsolver consultas sobre la aplicación de normas de carácter general».</w:t>
      </w:r>
    </w:p>
  </w:footnote>
  <w:footnote w:id="2">
    <w:p w14:paraId="5A661D40" w14:textId="77777777" w:rsidR="00003197" w:rsidRPr="00C126FF" w:rsidRDefault="00003197" w:rsidP="00003197">
      <w:pPr>
        <w:pStyle w:val="Textonotapie"/>
        <w:ind w:right="49" w:firstLine="709"/>
        <w:jc w:val="both"/>
        <w:rPr>
          <w:rFonts w:ascii="Arial" w:hAnsi="Arial" w:cs="Arial"/>
          <w:color w:val="000000" w:themeColor="text1"/>
          <w:sz w:val="19"/>
          <w:szCs w:val="19"/>
        </w:rPr>
      </w:pPr>
      <w:r w:rsidRPr="00C126FF">
        <w:rPr>
          <w:rStyle w:val="Refdenotaalpie"/>
          <w:rFonts w:ascii="Arial" w:hAnsi="Arial" w:cs="Arial"/>
          <w:color w:val="000000" w:themeColor="text1"/>
          <w:sz w:val="19"/>
          <w:szCs w:val="19"/>
        </w:rPr>
        <w:footnoteRef/>
      </w:r>
      <w:r w:rsidRPr="00C126FF">
        <w:rPr>
          <w:rFonts w:ascii="Arial" w:hAnsi="Arial" w:cs="Arial"/>
          <w:color w:val="000000" w:themeColor="text1"/>
          <w:sz w:val="19"/>
          <w:szCs w:val="19"/>
        </w:rPr>
        <w:t xml:space="preserve"> Corte Constitucional. Sentencia C- 341 del 4 de junio de 2014. M. P. Mauricio González Cuervo.</w:t>
      </w:r>
    </w:p>
    <w:p w14:paraId="1A7D1777" w14:textId="77777777" w:rsidR="00003197" w:rsidRPr="00C126FF" w:rsidRDefault="00003197" w:rsidP="00003197">
      <w:pPr>
        <w:pStyle w:val="Textonotapie"/>
        <w:ind w:right="49" w:firstLine="709"/>
        <w:jc w:val="both"/>
        <w:rPr>
          <w:rFonts w:ascii="Arial" w:hAnsi="Arial" w:cs="Arial"/>
          <w:color w:val="000000" w:themeColor="text1"/>
          <w:sz w:val="19"/>
          <w:szCs w:val="19"/>
        </w:rPr>
      </w:pPr>
    </w:p>
  </w:footnote>
  <w:footnote w:id="3">
    <w:p w14:paraId="4BF9E355" w14:textId="77777777" w:rsidR="00003197" w:rsidRPr="00C126FF" w:rsidRDefault="00003197" w:rsidP="00003197">
      <w:pPr>
        <w:pStyle w:val="Textonotapie"/>
        <w:ind w:right="49" w:firstLine="709"/>
        <w:jc w:val="both"/>
        <w:rPr>
          <w:rFonts w:ascii="Arial" w:hAnsi="Arial" w:cs="Arial"/>
          <w:color w:val="000000" w:themeColor="text1"/>
          <w:sz w:val="19"/>
          <w:szCs w:val="19"/>
        </w:rPr>
      </w:pPr>
      <w:r w:rsidRPr="00C126FF">
        <w:rPr>
          <w:rStyle w:val="Refdenotaalpie"/>
          <w:rFonts w:ascii="Arial" w:hAnsi="Arial" w:cs="Arial"/>
          <w:color w:val="000000" w:themeColor="text1"/>
          <w:sz w:val="19"/>
          <w:szCs w:val="19"/>
        </w:rPr>
        <w:footnoteRef/>
      </w:r>
      <w:r w:rsidRPr="00C126FF">
        <w:rPr>
          <w:rFonts w:ascii="Arial" w:hAnsi="Arial" w:cs="Arial"/>
          <w:color w:val="000000" w:themeColor="text1"/>
          <w:sz w:val="19"/>
          <w:szCs w:val="19"/>
        </w:rPr>
        <w:t xml:space="preserve"> Ley 1150 de 2007: «Artículo 3.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4C930912" w14:textId="77777777" w:rsidR="00003197" w:rsidRPr="00C126FF" w:rsidRDefault="00003197" w:rsidP="00003197">
      <w:pPr>
        <w:pStyle w:val="Textonotapie"/>
        <w:ind w:right="49" w:firstLine="709"/>
        <w:jc w:val="both"/>
        <w:rPr>
          <w:rFonts w:ascii="Arial" w:hAnsi="Arial" w:cs="Arial"/>
          <w:color w:val="000000" w:themeColor="text1"/>
          <w:sz w:val="19"/>
          <w:szCs w:val="19"/>
        </w:rPr>
      </w:pPr>
      <w:r w:rsidRPr="00C126FF">
        <w:rPr>
          <w:rFonts w:ascii="Arial" w:hAnsi="Arial" w:cs="Arial"/>
          <w:color w:val="000000" w:themeColor="text1"/>
          <w:sz w:val="19"/>
          <w:szCs w:val="19"/>
        </w:rPr>
        <w:t>» Lo anterior, sin perjuicio de las publicaciones previstas en el numeral 3 del artículo 30 de la Ley 80 de 1993.</w:t>
      </w:r>
    </w:p>
    <w:p w14:paraId="3FCFE589" w14:textId="77777777" w:rsidR="00003197" w:rsidRPr="00C126FF" w:rsidRDefault="00003197" w:rsidP="00003197">
      <w:pPr>
        <w:pStyle w:val="Textonotapie"/>
        <w:ind w:right="49" w:firstLine="709"/>
        <w:jc w:val="both"/>
        <w:rPr>
          <w:rFonts w:ascii="Arial" w:hAnsi="Arial" w:cs="Arial"/>
          <w:color w:val="000000" w:themeColor="text1"/>
          <w:sz w:val="19"/>
          <w:szCs w:val="19"/>
        </w:rPr>
      </w:pPr>
      <w:r w:rsidRPr="00C126FF">
        <w:rPr>
          <w:rFonts w:ascii="Arial" w:hAnsi="Arial" w:cs="Arial"/>
          <w:color w:val="000000" w:themeColor="text1"/>
          <w:sz w:val="19"/>
          <w:szCs w:val="19"/>
        </w:rPr>
        <w:t xml:space="preserve">»Con el fin de materializar los objetivos a que se refiere el inciso anterior, el Gobierno Nacional desarrollará el Sistema Electrónico para la Contratación Pública, Secop, el cual: </w:t>
      </w:r>
    </w:p>
    <w:p w14:paraId="25A58520" w14:textId="77777777" w:rsidR="00003197" w:rsidRPr="00C126FF" w:rsidRDefault="00003197" w:rsidP="00003197">
      <w:pPr>
        <w:pStyle w:val="Textonotapie"/>
        <w:ind w:right="49" w:firstLine="709"/>
        <w:jc w:val="both"/>
        <w:rPr>
          <w:rFonts w:ascii="Arial" w:hAnsi="Arial" w:cs="Arial"/>
          <w:color w:val="000000" w:themeColor="text1"/>
          <w:sz w:val="19"/>
          <w:szCs w:val="19"/>
        </w:rPr>
      </w:pPr>
      <w:r w:rsidRPr="00C126FF">
        <w:rPr>
          <w:rFonts w:ascii="Arial" w:hAnsi="Arial" w:cs="Arial"/>
          <w:color w:val="000000" w:themeColor="text1"/>
          <w:sz w:val="19"/>
          <w:szCs w:val="19"/>
        </w:rPr>
        <w:t>[…]</w:t>
      </w:r>
    </w:p>
    <w:p w14:paraId="59F0D39F" w14:textId="77777777" w:rsidR="00003197" w:rsidRPr="00C126FF" w:rsidRDefault="00003197" w:rsidP="00003197">
      <w:pPr>
        <w:pStyle w:val="Textonotapie"/>
        <w:ind w:right="49" w:firstLine="709"/>
        <w:jc w:val="both"/>
        <w:rPr>
          <w:rFonts w:ascii="Arial" w:hAnsi="Arial" w:cs="Arial"/>
          <w:color w:val="000000" w:themeColor="text1"/>
          <w:sz w:val="19"/>
          <w:szCs w:val="19"/>
        </w:rPr>
      </w:pPr>
      <w:r w:rsidRPr="00C126FF">
        <w:rPr>
          <w:rFonts w:ascii="Arial" w:hAnsi="Arial" w:cs="Arial"/>
          <w:color w:val="000000" w:themeColor="text1"/>
          <w:sz w:val="19"/>
          <w:szCs w:val="19"/>
        </w:rPr>
        <w:t xml:space="preserve">»c) Contará con la información oficial de la contratación realizada con dineros públicos, para lo cual establecerá los patrones a que haya lugar y se encargará de su difusión a través de canales electrónico». </w:t>
      </w:r>
    </w:p>
    <w:p w14:paraId="06F3610B" w14:textId="77777777" w:rsidR="00003197" w:rsidRPr="00C126FF" w:rsidRDefault="00003197" w:rsidP="00003197">
      <w:pPr>
        <w:pStyle w:val="Textonotapie"/>
        <w:ind w:right="49"/>
        <w:jc w:val="both"/>
        <w:rPr>
          <w:rFonts w:ascii="Arial" w:hAnsi="Arial" w:cs="Arial"/>
          <w:color w:val="000000" w:themeColor="text1"/>
          <w:sz w:val="19"/>
          <w:szCs w:val="19"/>
        </w:rPr>
      </w:pPr>
    </w:p>
  </w:footnote>
  <w:footnote w:id="4">
    <w:p w14:paraId="41DE9426" w14:textId="77777777" w:rsidR="00003197" w:rsidRPr="00C126FF" w:rsidRDefault="00003197" w:rsidP="00003197">
      <w:pPr>
        <w:pStyle w:val="Textonotapie"/>
        <w:ind w:right="49" w:firstLine="709"/>
        <w:jc w:val="both"/>
        <w:rPr>
          <w:rFonts w:ascii="Arial" w:hAnsi="Arial" w:cs="Arial"/>
          <w:color w:val="000000" w:themeColor="text1"/>
          <w:sz w:val="19"/>
          <w:szCs w:val="19"/>
        </w:rPr>
      </w:pPr>
      <w:r w:rsidRPr="00C126FF">
        <w:rPr>
          <w:rStyle w:val="Refdenotaalpie"/>
          <w:rFonts w:ascii="Arial" w:hAnsi="Arial" w:cs="Arial"/>
          <w:color w:val="000000" w:themeColor="text1"/>
          <w:sz w:val="19"/>
          <w:szCs w:val="19"/>
        </w:rPr>
        <w:footnoteRef/>
      </w:r>
      <w:r w:rsidRPr="00C126FF">
        <w:rPr>
          <w:rFonts w:ascii="Arial" w:hAnsi="Arial" w:cs="Arial"/>
          <w:color w:val="000000" w:themeColor="text1"/>
          <w:sz w:val="19"/>
          <w:szCs w:val="19"/>
        </w:rPr>
        <w:t xml:space="preserve"> Ley 1712 de 2014: «Artículo 2. Toda información en posesión, bajo control o custodia de un sujeto obligado es pública y no podrá ser reservada o limitada sino por disposición constitucional o legal, de conformidad con la presente ley».</w:t>
      </w:r>
    </w:p>
    <w:p w14:paraId="12E655A4" w14:textId="77777777" w:rsidR="00003197" w:rsidRPr="00C126FF" w:rsidRDefault="00003197" w:rsidP="00003197">
      <w:pPr>
        <w:pStyle w:val="Textonotapie"/>
        <w:ind w:right="49" w:firstLine="709"/>
        <w:jc w:val="both"/>
        <w:rPr>
          <w:rFonts w:ascii="Arial" w:hAnsi="Arial" w:cs="Arial"/>
          <w:color w:val="000000" w:themeColor="text1"/>
          <w:sz w:val="19"/>
          <w:szCs w:val="19"/>
        </w:rPr>
      </w:pPr>
    </w:p>
  </w:footnote>
  <w:footnote w:id="5">
    <w:p w14:paraId="09EB25C7" w14:textId="77777777" w:rsidR="00FC121D" w:rsidRPr="00C126FF" w:rsidRDefault="00FC121D" w:rsidP="00FC121D">
      <w:pPr>
        <w:pStyle w:val="Textonotapie"/>
        <w:ind w:right="49" w:firstLine="708"/>
        <w:jc w:val="both"/>
        <w:rPr>
          <w:rFonts w:ascii="Arial" w:hAnsi="Arial" w:cs="Arial"/>
          <w:color w:val="000000" w:themeColor="text1"/>
          <w:sz w:val="19"/>
          <w:szCs w:val="19"/>
        </w:rPr>
      </w:pPr>
      <w:r w:rsidRPr="00C126FF">
        <w:rPr>
          <w:rStyle w:val="Refdenotaalpie"/>
          <w:rFonts w:ascii="Arial" w:hAnsi="Arial" w:cs="Arial"/>
          <w:color w:val="000000" w:themeColor="text1"/>
          <w:sz w:val="19"/>
          <w:szCs w:val="19"/>
        </w:rPr>
        <w:footnoteRef/>
      </w:r>
      <w:r w:rsidRPr="00C126FF">
        <w:rPr>
          <w:rFonts w:ascii="Arial" w:hAnsi="Arial" w:cs="Arial"/>
          <w:color w:val="000000" w:themeColor="text1"/>
          <w:sz w:val="19"/>
          <w:szCs w:val="19"/>
        </w:rPr>
        <w:t xml:space="preserve"> Decreto 1082 de 2015: «Artículo 2.2.1.1.1.7.1. Publicidad en el SECOP. La Entidad Estatal está obligada a publicar en el SECOP los Documentos del Proceso y los actos administrativos del Proceso de Contratación, dentro de los tres (3) días siguientes a su expedición. La oferta que debe ser publicada es la del adjudicatario del Proceso de Contratación. Los documentos de las operaciones que se realicen en bolsa de productos no tienen que ser publicados en el SECOP.</w:t>
      </w:r>
    </w:p>
    <w:p w14:paraId="46B0A7BB" w14:textId="21FE9176" w:rsidR="00FC121D" w:rsidRPr="00C126FF" w:rsidRDefault="00FC121D" w:rsidP="000F7DE7">
      <w:pPr>
        <w:pStyle w:val="Textonotapie"/>
        <w:ind w:right="49" w:firstLine="708"/>
        <w:jc w:val="both"/>
        <w:rPr>
          <w:rFonts w:ascii="Arial" w:hAnsi="Arial" w:cs="Arial"/>
          <w:color w:val="000000" w:themeColor="text1"/>
          <w:sz w:val="19"/>
          <w:szCs w:val="19"/>
          <w:lang w:val="es-ES"/>
        </w:rPr>
      </w:pPr>
      <w:r w:rsidRPr="00C126FF">
        <w:rPr>
          <w:rFonts w:ascii="Arial" w:hAnsi="Arial" w:cs="Arial"/>
          <w:color w:val="000000" w:themeColor="text1"/>
          <w:sz w:val="19"/>
          <w:szCs w:val="19"/>
        </w:rPr>
        <w:t>»La Entidad Estatal está obligada a publicar oportunamente el aviso de convocatoria o la invitación en los Procesos de Contratación de mínima cuantía y el proyecto de pliegos de condiciones en el SECOP para que los interesados en el Proceso de Contratación puedan presentar observaciones o solicitar aclaraciones en el término previsto para el efecto en el artículo 2.2.1.1.2.1.4 del presente decreto».</w:t>
      </w:r>
    </w:p>
  </w:footnote>
  <w:footnote w:id="6">
    <w:p w14:paraId="111E2875" w14:textId="12D73A58" w:rsidR="00FC121D" w:rsidRPr="00C126FF" w:rsidRDefault="00FC121D" w:rsidP="00FC121D">
      <w:pPr>
        <w:pStyle w:val="Textonotapie"/>
        <w:ind w:right="49" w:firstLine="708"/>
        <w:jc w:val="both"/>
        <w:rPr>
          <w:rFonts w:ascii="Arial" w:hAnsi="Arial" w:cs="Arial"/>
          <w:color w:val="000000" w:themeColor="text1"/>
          <w:sz w:val="19"/>
          <w:szCs w:val="19"/>
          <w:lang w:val="es-ES"/>
        </w:rPr>
      </w:pPr>
      <w:r w:rsidRPr="00C126FF">
        <w:rPr>
          <w:rStyle w:val="Refdenotaalpie"/>
          <w:rFonts w:ascii="Arial" w:hAnsi="Arial" w:cs="Arial"/>
          <w:color w:val="000000" w:themeColor="text1"/>
          <w:sz w:val="19"/>
          <w:szCs w:val="19"/>
        </w:rPr>
        <w:footnoteRef/>
      </w:r>
      <w:r w:rsidRPr="00C126FF">
        <w:rPr>
          <w:rFonts w:ascii="Arial" w:hAnsi="Arial" w:cs="Arial"/>
          <w:color w:val="000000" w:themeColor="text1"/>
          <w:sz w:val="19"/>
          <w:szCs w:val="19"/>
        </w:rPr>
        <w:t xml:space="preserve"> Consejo de Estado. Sección Tercera. Sentencia del 14 de diciembre de 2007. Exp. 24.715. C.P. Ruth Stella Correa Palacio.</w:t>
      </w:r>
    </w:p>
  </w:footnote>
  <w:footnote w:id="7">
    <w:p w14:paraId="4F680A07" w14:textId="77777777" w:rsidR="00FC7A15" w:rsidRPr="00C126FF" w:rsidRDefault="00FC7A15" w:rsidP="00FC7A15">
      <w:pPr>
        <w:pStyle w:val="Textonotapie"/>
        <w:ind w:firstLine="708"/>
        <w:jc w:val="both"/>
        <w:rPr>
          <w:rFonts w:ascii="Arial" w:hAnsi="Arial" w:cs="Arial"/>
          <w:sz w:val="19"/>
          <w:szCs w:val="19"/>
        </w:rPr>
      </w:pPr>
      <w:r w:rsidRPr="00C126FF">
        <w:rPr>
          <w:rStyle w:val="Refdenotaalpie"/>
          <w:rFonts w:ascii="Arial" w:hAnsi="Arial" w:cs="Arial"/>
          <w:sz w:val="19"/>
          <w:szCs w:val="19"/>
        </w:rPr>
        <w:footnoteRef/>
      </w:r>
      <w:r w:rsidRPr="00C126FF">
        <w:rPr>
          <w:rFonts w:ascii="Arial" w:hAnsi="Arial" w:cs="Arial"/>
          <w:sz w:val="19"/>
          <w:szCs w:val="19"/>
        </w:rPr>
        <w:t xml:space="preserve"> Si bien el artículo 2.2.1.1.1.7.1. del Decreto 1082 de 2015 no dice que el término para publicar sea de días hábiles, la Ley 4 de 1913, por un lado, en el artículo 59, establece que los plazos a los que se haga mención en la ley terminan a la medianoche, y que por día se entiende el espacio de veinticuatro horas; mientras que el artículo 62 establece que de los plazos de días señalados en la ley se entienden suprimidos los feriados, y que cuando se aluda a meses se computarán conforme al calendario, extendiéndose hasta el día hábil siguiente si el mes termina en un día feriado o vacante, lo que significa que lo días referidos en la ley deben entenderse como hábiles. Respecto a la noción de día hábil, son relevantes las consideraciones expuestas por esta Subdirección en el concepto C-160 del 3 de abril de 2020 –radicado No. 2202013000002420–, donde se expuso que «[…] los días hábiles se determinan según la entidad, ya que “cada entidad pública establece la jornada laboral, a través de su reglamento interno, dando certeza sobre los días que atienden al público, e indirectamente definiendo qué día es hábil en determinada institución”, por lo que días hábiles son aquellos de la semana durante los cuales las entidades públicas ejercen sus funciones al público, los cuales son, por regla general, todos los días de la semana, con excepción de los sábados, domingos y feriados previstos en la generalidad de entidades como días de descanso».</w:t>
      </w:r>
    </w:p>
    <w:p w14:paraId="65559D23" w14:textId="77777777" w:rsidR="00FC7A15" w:rsidRPr="00C126FF" w:rsidRDefault="00FC7A15" w:rsidP="00FC7A15">
      <w:pPr>
        <w:pStyle w:val="Textonotapie"/>
        <w:ind w:firstLine="708"/>
        <w:jc w:val="both"/>
        <w:rPr>
          <w:rFonts w:ascii="Arial" w:hAnsi="Arial" w:cs="Arial"/>
          <w:sz w:val="19"/>
          <w:szCs w:val="19"/>
        </w:rPr>
      </w:pPr>
    </w:p>
  </w:footnote>
  <w:footnote w:id="8">
    <w:p w14:paraId="207A2574" w14:textId="77777777" w:rsidR="00FC7A15" w:rsidRPr="00C126FF" w:rsidRDefault="00FC7A15" w:rsidP="00FC7A15">
      <w:pPr>
        <w:pStyle w:val="NormalWeb"/>
        <w:spacing w:before="0" w:beforeAutospacing="0" w:after="0" w:afterAutospacing="0"/>
        <w:ind w:firstLine="708"/>
        <w:jc w:val="both"/>
        <w:rPr>
          <w:rFonts w:ascii="Arial" w:hAnsi="Arial" w:cs="Arial"/>
          <w:color w:val="000000"/>
          <w:sz w:val="19"/>
          <w:szCs w:val="19"/>
        </w:rPr>
      </w:pPr>
      <w:r w:rsidRPr="00C126FF">
        <w:rPr>
          <w:rStyle w:val="Refdenotaalpie"/>
          <w:rFonts w:ascii="Arial" w:hAnsi="Arial" w:cs="Arial"/>
          <w:sz w:val="19"/>
          <w:szCs w:val="19"/>
        </w:rPr>
        <w:footnoteRef/>
      </w:r>
      <w:r w:rsidRPr="00C126FF">
        <w:rPr>
          <w:rFonts w:ascii="Arial" w:hAnsi="Arial" w:cs="Arial"/>
          <w:sz w:val="19"/>
          <w:szCs w:val="19"/>
        </w:rPr>
        <w:t xml:space="preserve"> Decreto 1081 de 2015 «</w:t>
      </w:r>
      <w:r w:rsidRPr="00C126FF">
        <w:rPr>
          <w:rFonts w:ascii="Arial" w:hAnsi="Arial" w:cs="Arial"/>
          <w:color w:val="000000"/>
          <w:sz w:val="19"/>
          <w:szCs w:val="19"/>
        </w:rPr>
        <w:t>Artículo 2.1.1.2.1.7.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08FB8F89" w14:textId="77777777" w:rsidR="00FC7A15" w:rsidRPr="00C126FF" w:rsidRDefault="00FC7A15" w:rsidP="00FC7A15">
      <w:pPr>
        <w:jc w:val="both"/>
        <w:rPr>
          <w:rFonts w:ascii="Arial" w:hAnsi="Arial" w:cs="Arial"/>
          <w:color w:val="000000"/>
          <w:sz w:val="19"/>
          <w:szCs w:val="19"/>
          <w:lang w:eastAsia="es-CO"/>
        </w:rPr>
      </w:pPr>
      <w:r w:rsidRPr="00C126FF">
        <w:rPr>
          <w:rFonts w:ascii="Arial" w:hAnsi="Arial" w:cs="Arial"/>
          <w:color w:val="000000"/>
          <w:sz w:val="19"/>
          <w:szCs w:val="19"/>
          <w:lang w:eastAsia="es-CO"/>
        </w:rPr>
        <w:t>  </w:t>
      </w:r>
      <w:r w:rsidRPr="00C126FF">
        <w:rPr>
          <w:rFonts w:ascii="Arial" w:hAnsi="Arial" w:cs="Arial"/>
          <w:color w:val="000000"/>
          <w:sz w:val="19"/>
          <w:szCs w:val="19"/>
          <w:lang w:eastAsia="es-CO"/>
        </w:rPr>
        <w:tab/>
        <w:t>»Los sujetos obligados que contratan con cargo a recursos públicos deben publicar la información de su gestión contractual en el plazo previsto en el artículo 19 del Decreto 1510 de 2013, o el que lo modifique, sustituya o adicione. </w:t>
      </w:r>
    </w:p>
    <w:p w14:paraId="35BE3DAE" w14:textId="77777777" w:rsidR="00FC7A15" w:rsidRPr="00C126FF" w:rsidRDefault="00FC7A15" w:rsidP="00FC7A15">
      <w:pPr>
        <w:jc w:val="both"/>
        <w:rPr>
          <w:rFonts w:ascii="Arial" w:hAnsi="Arial" w:cs="Arial"/>
          <w:sz w:val="19"/>
          <w:szCs w:val="19"/>
        </w:rPr>
      </w:pPr>
      <w:r w:rsidRPr="00C126FF">
        <w:rPr>
          <w:rFonts w:ascii="Arial" w:hAnsi="Arial" w:cs="Arial"/>
          <w:color w:val="000000"/>
          <w:sz w:val="19"/>
          <w:szCs w:val="19"/>
          <w:lang w:eastAsia="es-CO"/>
        </w:rPr>
        <w:t>  </w:t>
      </w:r>
      <w:r w:rsidRPr="00C126FF">
        <w:rPr>
          <w:rFonts w:ascii="Arial" w:hAnsi="Arial" w:cs="Arial"/>
          <w:color w:val="000000"/>
          <w:sz w:val="19"/>
          <w:szCs w:val="19"/>
          <w:lang w:eastAsia="es-CO"/>
        </w:rPr>
        <w:tab/>
        <w:t>»Los sujetos obligados que contratan con recursos públicos y recursos privados, deben publicar la información de su gestión contractual con cargo a recursos públicos en el Sistema Electrónico para la Contratación Pública (SECOP)</w:t>
      </w:r>
      <w:r w:rsidRPr="00C126FF">
        <w:rPr>
          <w:rFonts w:ascii="Arial" w:hAnsi="Arial" w:cs="Arial"/>
          <w:sz w:val="19"/>
          <w:szCs w:val="19"/>
        </w:rPr>
        <w:t>».</w:t>
      </w:r>
    </w:p>
    <w:p w14:paraId="5E511DEA" w14:textId="77777777" w:rsidR="00FC7A15" w:rsidRPr="00C126FF" w:rsidRDefault="00FC7A15" w:rsidP="00FC7A15">
      <w:pPr>
        <w:jc w:val="both"/>
        <w:rPr>
          <w:rFonts w:ascii="Arial" w:hAnsi="Arial" w:cs="Arial"/>
          <w:color w:val="000000"/>
          <w:sz w:val="19"/>
          <w:szCs w:val="19"/>
          <w:lang w:eastAsia="es-CO"/>
        </w:rPr>
      </w:pPr>
    </w:p>
  </w:footnote>
  <w:footnote w:id="9">
    <w:p w14:paraId="68F594D0" w14:textId="77777777" w:rsidR="00FC7A15" w:rsidRPr="00C126FF" w:rsidRDefault="00FC7A15" w:rsidP="00FC7A15">
      <w:pPr>
        <w:pStyle w:val="Textonotapie"/>
        <w:ind w:right="49" w:firstLine="709"/>
        <w:jc w:val="both"/>
        <w:rPr>
          <w:rFonts w:ascii="Arial" w:hAnsi="Arial" w:cs="Arial"/>
          <w:color w:val="000000" w:themeColor="text1"/>
          <w:sz w:val="19"/>
          <w:szCs w:val="19"/>
        </w:rPr>
      </w:pPr>
      <w:r w:rsidRPr="00C126FF">
        <w:rPr>
          <w:rStyle w:val="Refdenotaalpie"/>
          <w:rFonts w:ascii="Arial" w:hAnsi="Arial" w:cs="Arial"/>
          <w:color w:val="000000" w:themeColor="text1"/>
          <w:sz w:val="19"/>
          <w:szCs w:val="19"/>
        </w:rPr>
        <w:footnoteRef/>
      </w:r>
      <w:r w:rsidRPr="00C126FF">
        <w:rPr>
          <w:rFonts w:ascii="Arial" w:hAnsi="Arial" w:cs="Arial"/>
          <w:color w:val="000000" w:themeColor="text1"/>
          <w:sz w:val="19"/>
          <w:szCs w:val="19"/>
        </w:rPr>
        <w:t xml:space="preserve"> Decreto 1081 de 2015: «Artículo 2.1.1.2.1.9. Publicación de procedimientos, lineamientos y políticas en materia de adquisición y compras. Para los sujetos obligados que contratan con cargo a recursos públicos, los procedimientos, lineamientos y políticas en materia de adquisición y compras de los que trata el literal g) del artículo 11 de la Ley 1712 de 2014 son los previstos en el manual de contratación expedido conforme a las directrices señaladas por la Agencia Nacional de Contratación Pública –Colombia Compra Eficiente–, el cual debe estar publicado en el sitio web oficial del sujeto obligado».</w:t>
      </w:r>
    </w:p>
    <w:p w14:paraId="305AE49A" w14:textId="77777777" w:rsidR="00FC7A15" w:rsidRPr="00C126FF" w:rsidRDefault="00FC7A15" w:rsidP="00FC7A15">
      <w:pPr>
        <w:pStyle w:val="Textonotapie"/>
        <w:ind w:right="49" w:firstLine="709"/>
        <w:jc w:val="both"/>
        <w:rPr>
          <w:rFonts w:ascii="Arial" w:hAnsi="Arial" w:cs="Arial"/>
          <w:color w:val="000000" w:themeColor="text1"/>
          <w:sz w:val="19"/>
          <w:szCs w:val="19"/>
        </w:rPr>
      </w:pPr>
    </w:p>
  </w:footnote>
  <w:footnote w:id="10">
    <w:p w14:paraId="2A00B725" w14:textId="77777777" w:rsidR="00FC7A15" w:rsidRPr="00C126FF" w:rsidRDefault="00FC7A15" w:rsidP="00FC7A15">
      <w:pPr>
        <w:pStyle w:val="Textonotapie"/>
        <w:ind w:right="49" w:firstLine="709"/>
        <w:jc w:val="both"/>
        <w:rPr>
          <w:rFonts w:ascii="Arial" w:hAnsi="Arial" w:cs="Arial"/>
          <w:color w:val="000000" w:themeColor="text1"/>
          <w:sz w:val="19"/>
          <w:szCs w:val="19"/>
        </w:rPr>
      </w:pPr>
      <w:r w:rsidRPr="00C126FF">
        <w:rPr>
          <w:rStyle w:val="Refdenotaalpie"/>
          <w:rFonts w:ascii="Arial" w:hAnsi="Arial" w:cs="Arial"/>
          <w:color w:val="000000" w:themeColor="text1"/>
          <w:sz w:val="19"/>
          <w:szCs w:val="19"/>
        </w:rPr>
        <w:footnoteRef/>
      </w:r>
      <w:r w:rsidRPr="00C126FF">
        <w:rPr>
          <w:rFonts w:ascii="Arial" w:hAnsi="Arial" w:cs="Arial"/>
          <w:color w:val="000000" w:themeColor="text1"/>
          <w:sz w:val="19"/>
          <w:szCs w:val="19"/>
        </w:rPr>
        <w:t xml:space="preserve"> Decreto 1081 de 2015: «Artículo 2.1.1.2.1.10. Publicación del Plan Anual de Adquisiciones. Los sujetos obligados que contratan con cargo a recursos públicos deben publicar en su página web y en el SECOP el Plan Anual de Adquisiciones, de acuerdo con lo previsto en el artículo 74 de la Ley 1474 de 2011, el literal e) del artículo 9° de la Ley 1712 de 2014 y el Decreto 1510 de 2013, o el que lo modifique, sustituya o adicione. </w:t>
      </w:r>
    </w:p>
    <w:p w14:paraId="787EE00D" w14:textId="77777777" w:rsidR="00FC7A15" w:rsidRPr="00C126FF" w:rsidRDefault="00FC7A15" w:rsidP="00FC7A15">
      <w:pPr>
        <w:pStyle w:val="Textonotapie"/>
        <w:ind w:right="49" w:firstLine="709"/>
        <w:jc w:val="both"/>
        <w:rPr>
          <w:rFonts w:ascii="Arial" w:hAnsi="Arial" w:cs="Arial"/>
          <w:color w:val="000000" w:themeColor="text1"/>
          <w:sz w:val="19"/>
          <w:szCs w:val="19"/>
        </w:rPr>
      </w:pPr>
      <w:r w:rsidRPr="00C126FF">
        <w:rPr>
          <w:rFonts w:ascii="Arial" w:hAnsi="Arial" w:cs="Arial"/>
          <w:color w:val="000000" w:themeColor="text1"/>
          <w:sz w:val="19"/>
          <w:szCs w:val="19"/>
        </w:rPr>
        <w:t xml:space="preserve">»Los sujetos obligados que no contratan con cargo a recursos públicos no están obligados a publicar su Plan Anual de Adquisiciones. </w:t>
      </w:r>
    </w:p>
    <w:p w14:paraId="36665C38" w14:textId="77777777" w:rsidR="00FC7A15" w:rsidRPr="00C126FF" w:rsidRDefault="00FC7A15" w:rsidP="00FC7A15">
      <w:pPr>
        <w:pStyle w:val="Textonotapie"/>
        <w:ind w:right="49" w:firstLine="709"/>
        <w:jc w:val="both"/>
        <w:rPr>
          <w:rFonts w:ascii="Arial" w:hAnsi="Arial" w:cs="Arial"/>
          <w:color w:val="000000" w:themeColor="text1"/>
          <w:sz w:val="19"/>
          <w:szCs w:val="19"/>
        </w:rPr>
      </w:pPr>
      <w:r w:rsidRPr="00C126FF">
        <w:rPr>
          <w:rFonts w:ascii="Arial" w:hAnsi="Arial" w:cs="Arial"/>
          <w:color w:val="000000" w:themeColor="text1"/>
          <w:sz w:val="19"/>
          <w:szCs w:val="19"/>
        </w:rPr>
        <w:t xml:space="preserve">»Los sujetos obligados que contratan con cargo a recursos públicos y recursos privados, deben publicar en su página web y en el SECOP el Plan Anual de Adquisiciones para los recursos de carácter público que ejecutarán en el año. </w:t>
      </w:r>
    </w:p>
    <w:p w14:paraId="0FEC8FD0" w14:textId="77777777" w:rsidR="00FC7A15" w:rsidRPr="00C126FF" w:rsidRDefault="00FC7A15" w:rsidP="00FC7A15">
      <w:pPr>
        <w:pStyle w:val="Textonotapie"/>
        <w:ind w:right="49" w:firstLine="709"/>
        <w:jc w:val="both"/>
        <w:rPr>
          <w:rFonts w:ascii="Arial" w:hAnsi="Arial" w:cs="Arial"/>
          <w:color w:val="000000" w:themeColor="text1"/>
          <w:sz w:val="19"/>
          <w:szCs w:val="19"/>
        </w:rPr>
      </w:pPr>
      <w:r w:rsidRPr="00C126FF">
        <w:rPr>
          <w:rFonts w:ascii="Arial" w:hAnsi="Arial" w:cs="Arial"/>
          <w:color w:val="000000" w:themeColor="text1"/>
          <w:sz w:val="19"/>
          <w:szCs w:val="19"/>
        </w:rPr>
        <w:t>»Se entenderá como definición de Plan Anual de Adquisiciones respecto a todos los sujetos obligados que contratan con recursos públicos, la prevista en el artículo 3° del Decreto 1510 de 2013, o el que lo modifique, sustituya o adicione».</w:t>
      </w:r>
    </w:p>
    <w:p w14:paraId="0155CC46" w14:textId="77777777" w:rsidR="00FC7A15" w:rsidRPr="00C126FF" w:rsidRDefault="00FC7A15" w:rsidP="00FC7A15">
      <w:pPr>
        <w:pStyle w:val="Textonotapie"/>
        <w:ind w:right="49" w:firstLine="709"/>
        <w:jc w:val="both"/>
        <w:rPr>
          <w:rFonts w:ascii="Arial" w:hAnsi="Arial" w:cs="Arial"/>
          <w:color w:val="000000" w:themeColor="text1"/>
          <w:sz w:val="19"/>
          <w:szCs w:val="19"/>
        </w:rPr>
      </w:pPr>
    </w:p>
  </w:footnote>
  <w:footnote w:id="11">
    <w:p w14:paraId="7A8FFF24" w14:textId="0739E538" w:rsidR="00FC7A15" w:rsidRPr="00C126FF" w:rsidRDefault="00FC7A15" w:rsidP="00FC7A15">
      <w:pPr>
        <w:pStyle w:val="Textonotapie"/>
        <w:ind w:right="49" w:firstLine="709"/>
        <w:jc w:val="both"/>
        <w:rPr>
          <w:rFonts w:ascii="Arial" w:hAnsi="Arial" w:cs="Arial"/>
          <w:color w:val="000000" w:themeColor="text1"/>
          <w:sz w:val="19"/>
          <w:szCs w:val="19"/>
        </w:rPr>
      </w:pPr>
      <w:r w:rsidRPr="00C126FF">
        <w:rPr>
          <w:rStyle w:val="Refdenotaalpie"/>
          <w:rFonts w:ascii="Arial" w:hAnsi="Arial" w:cs="Arial"/>
          <w:color w:val="000000" w:themeColor="text1"/>
          <w:sz w:val="19"/>
          <w:szCs w:val="19"/>
        </w:rPr>
        <w:footnoteRef/>
      </w:r>
      <w:r w:rsidRPr="00C126FF">
        <w:rPr>
          <w:rFonts w:ascii="Arial" w:hAnsi="Arial" w:cs="Arial"/>
          <w:color w:val="000000" w:themeColor="text1"/>
          <w:sz w:val="19"/>
          <w:szCs w:val="19"/>
        </w:rPr>
        <w:t xml:space="preserve"> Decreto 1081 de 2015: «Artículo 2.1.1.2.1.8. Publicación de la ejecución de contratos. Para efectos del cumplimiento de la obligación contenida en el literal g) del artículo 11 de la Ley 1712 de 2014, relativa a la información sobre la ejecución de contratos, el sujeto obligado debe publicar las aprobaciones, autorizaciones, requerimientos o informes del supervisor o del interventor, que prueben la ejecución del contrato».</w:t>
      </w:r>
    </w:p>
  </w:footnote>
  <w:footnote w:id="12">
    <w:p w14:paraId="013C11A7" w14:textId="77777777" w:rsidR="00FC7A15" w:rsidRPr="00C126FF" w:rsidRDefault="00FC7A15" w:rsidP="00FC7A15">
      <w:pPr>
        <w:pStyle w:val="Textonotapie"/>
        <w:ind w:firstLine="708"/>
        <w:jc w:val="both"/>
        <w:rPr>
          <w:rFonts w:ascii="Arial" w:hAnsi="Arial" w:cs="Arial"/>
          <w:sz w:val="19"/>
          <w:szCs w:val="19"/>
          <w:lang w:val="es-CO"/>
        </w:rPr>
      </w:pPr>
      <w:r w:rsidRPr="00C126FF">
        <w:rPr>
          <w:rStyle w:val="Refdenotaalpie"/>
          <w:rFonts w:ascii="Arial" w:hAnsi="Arial" w:cs="Arial"/>
          <w:sz w:val="19"/>
          <w:szCs w:val="19"/>
        </w:rPr>
        <w:footnoteRef/>
      </w:r>
      <w:r w:rsidRPr="00C126FF">
        <w:rPr>
          <w:rFonts w:ascii="Arial" w:hAnsi="Arial" w:cs="Arial"/>
          <w:sz w:val="19"/>
          <w:szCs w:val="19"/>
        </w:rPr>
        <w:t xml:space="preserve">  Ley 1712 de 2014 «Artículo 2°.Principio de máxima publicidad para titular universal. Toda información en posesión, bajo control o custodia de un sujeto obligado es pública y no podrá ser reservada o limitada sino por disposición constitucional o legal, de conformidad con la presente ley».</w:t>
      </w:r>
    </w:p>
  </w:footnote>
  <w:footnote w:id="13">
    <w:p w14:paraId="787DD3A9" w14:textId="77777777" w:rsidR="00FC7A15" w:rsidRPr="00C126FF" w:rsidRDefault="00FC7A15" w:rsidP="00FC7A15">
      <w:pPr>
        <w:pStyle w:val="Textonotapie"/>
        <w:rPr>
          <w:rFonts w:ascii="Arial" w:hAnsi="Arial" w:cs="Arial"/>
          <w:sz w:val="19"/>
          <w:szCs w:val="19"/>
        </w:rPr>
      </w:pPr>
    </w:p>
    <w:p w14:paraId="0E2DE9BE" w14:textId="77777777" w:rsidR="00FC7A15" w:rsidRPr="00C126FF" w:rsidRDefault="00FC7A15" w:rsidP="00FC7A15">
      <w:pPr>
        <w:pStyle w:val="NormalWeb"/>
        <w:spacing w:before="0" w:beforeAutospacing="0" w:after="0" w:afterAutospacing="0"/>
        <w:ind w:firstLine="708"/>
        <w:jc w:val="both"/>
        <w:rPr>
          <w:rFonts w:ascii="Arial" w:hAnsi="Arial" w:cs="Arial"/>
          <w:color w:val="000000"/>
          <w:sz w:val="19"/>
          <w:szCs w:val="19"/>
        </w:rPr>
      </w:pPr>
      <w:r w:rsidRPr="00C126FF">
        <w:rPr>
          <w:rStyle w:val="Refdenotaalpie"/>
          <w:rFonts w:ascii="Arial" w:hAnsi="Arial" w:cs="Arial"/>
          <w:sz w:val="19"/>
          <w:szCs w:val="19"/>
        </w:rPr>
        <w:footnoteRef/>
      </w:r>
      <w:r w:rsidRPr="00C126FF">
        <w:rPr>
          <w:rFonts w:ascii="Arial" w:hAnsi="Arial" w:cs="Arial"/>
          <w:sz w:val="19"/>
          <w:szCs w:val="19"/>
        </w:rPr>
        <w:t xml:space="preserve">  Ley 1712 de 2014 «</w:t>
      </w:r>
      <w:r w:rsidRPr="00C126FF">
        <w:rPr>
          <w:rStyle w:val="PiedepginaCar"/>
          <w:rFonts w:ascii="Arial" w:hAnsi="Arial" w:cs="Arial"/>
          <w:color w:val="000000"/>
          <w:sz w:val="19"/>
          <w:szCs w:val="19"/>
        </w:rPr>
        <w:t xml:space="preserve"> </w:t>
      </w:r>
      <w:r w:rsidRPr="00C126FF">
        <w:rPr>
          <w:rFonts w:ascii="Arial" w:hAnsi="Arial" w:cs="Arial"/>
          <w:color w:val="000000"/>
          <w:sz w:val="19"/>
          <w:szCs w:val="19"/>
        </w:rPr>
        <w:t>Artículo 3°.Otros principios de la transparencia y acceso a la información pública. En la interpretación del derecho de acceso a la información se deberá adoptar un criterio de razonabilidad y proporcionalidad, así como aplicar los siguientes principios: </w:t>
      </w:r>
    </w:p>
    <w:p w14:paraId="126CD9E5" w14:textId="77777777" w:rsidR="00FC7A15" w:rsidRPr="00C126FF" w:rsidRDefault="00FC7A15" w:rsidP="00FC7A15">
      <w:pPr>
        <w:jc w:val="both"/>
        <w:rPr>
          <w:rFonts w:ascii="Arial" w:hAnsi="Arial" w:cs="Arial"/>
          <w:color w:val="000000"/>
          <w:sz w:val="19"/>
          <w:szCs w:val="19"/>
          <w:lang w:eastAsia="es-CO"/>
        </w:rPr>
      </w:pPr>
      <w:r w:rsidRPr="00C126FF">
        <w:rPr>
          <w:rFonts w:ascii="Arial" w:hAnsi="Arial" w:cs="Arial"/>
          <w:color w:val="000000"/>
          <w:sz w:val="19"/>
          <w:szCs w:val="19"/>
          <w:lang w:eastAsia="es-CO"/>
        </w:rPr>
        <w:t> </w:t>
      </w:r>
      <w:r w:rsidRPr="00C126FF">
        <w:rPr>
          <w:rFonts w:ascii="Arial" w:hAnsi="Arial" w:cs="Arial"/>
          <w:color w:val="000000"/>
          <w:sz w:val="19"/>
          <w:szCs w:val="19"/>
          <w:lang w:eastAsia="es-CO"/>
        </w:rPr>
        <w:tab/>
        <w:t>»Principio de transparencia. Principio conforme al cual toda la información en poder de los sujetos obligados definidos en esta ley se presume pública, en consecuencia de lo cual dichos sujetos están en el deber de proporcionar y facilitar el acceso a la misma en los términos más amplios posibles y a través de los medios y procedimientos que al efecto establezca la ley, excluyendo solo aquello que esté sujeto a las excepciones constitucionales y legales y bajo el cumplimiento de los requisitos establecidos en esta ley. </w:t>
      </w:r>
    </w:p>
    <w:p w14:paraId="74EFDEAF" w14:textId="77777777" w:rsidR="00FC7A15" w:rsidRPr="00C126FF" w:rsidRDefault="00FC7A15" w:rsidP="00FC7A15">
      <w:pPr>
        <w:jc w:val="both"/>
        <w:rPr>
          <w:rFonts w:ascii="Arial" w:hAnsi="Arial" w:cs="Arial"/>
          <w:color w:val="000000"/>
          <w:sz w:val="19"/>
          <w:szCs w:val="19"/>
          <w:lang w:eastAsia="es-CO"/>
        </w:rPr>
      </w:pPr>
      <w:r w:rsidRPr="00C126FF">
        <w:rPr>
          <w:rFonts w:ascii="Arial" w:hAnsi="Arial" w:cs="Arial"/>
          <w:color w:val="000000"/>
          <w:sz w:val="19"/>
          <w:szCs w:val="19"/>
          <w:lang w:eastAsia="es-CO"/>
        </w:rPr>
        <w:t>  </w:t>
      </w:r>
      <w:r w:rsidRPr="00C126FF">
        <w:rPr>
          <w:rFonts w:ascii="Arial" w:hAnsi="Arial" w:cs="Arial"/>
          <w:color w:val="000000"/>
          <w:sz w:val="19"/>
          <w:szCs w:val="19"/>
          <w:lang w:eastAsia="es-CO"/>
        </w:rPr>
        <w:tab/>
        <w:t>[…] </w:t>
      </w:r>
    </w:p>
    <w:p w14:paraId="313EDE21" w14:textId="77777777" w:rsidR="00FC7A15" w:rsidRPr="00C126FF" w:rsidRDefault="00FC7A15" w:rsidP="00FC7A15">
      <w:pPr>
        <w:jc w:val="both"/>
        <w:rPr>
          <w:rFonts w:ascii="Arial" w:hAnsi="Arial" w:cs="Arial"/>
          <w:color w:val="000000"/>
          <w:sz w:val="19"/>
          <w:szCs w:val="19"/>
          <w:lang w:eastAsia="es-CO"/>
        </w:rPr>
      </w:pPr>
      <w:r w:rsidRPr="00C126FF">
        <w:rPr>
          <w:rFonts w:ascii="Arial" w:hAnsi="Arial" w:cs="Arial"/>
          <w:color w:val="000000"/>
          <w:sz w:val="19"/>
          <w:szCs w:val="19"/>
          <w:lang w:eastAsia="es-CO"/>
        </w:rPr>
        <w:t>  </w:t>
      </w:r>
      <w:r w:rsidRPr="00C126FF">
        <w:rPr>
          <w:rFonts w:ascii="Arial" w:hAnsi="Arial" w:cs="Arial"/>
          <w:color w:val="000000"/>
          <w:sz w:val="19"/>
          <w:szCs w:val="19"/>
          <w:lang w:eastAsia="es-CO"/>
        </w:rPr>
        <w:tab/>
        <w:t>»Principio de facilitación. En virtud de este principio los sujetos obligados deberán facilitar el ejercicio del derecho de acceso a la información pública, excluyendo exigencias o requisitos que puedan obstruirlo o impedirlo. </w:t>
      </w:r>
    </w:p>
    <w:p w14:paraId="53DC69E2" w14:textId="77777777" w:rsidR="00FC7A15" w:rsidRPr="00C126FF" w:rsidRDefault="00FC7A15" w:rsidP="00FC7A15">
      <w:pPr>
        <w:jc w:val="both"/>
        <w:rPr>
          <w:rFonts w:ascii="Arial" w:hAnsi="Arial" w:cs="Arial"/>
          <w:color w:val="000000"/>
          <w:sz w:val="19"/>
          <w:szCs w:val="19"/>
          <w:lang w:eastAsia="es-CO"/>
        </w:rPr>
      </w:pPr>
      <w:r w:rsidRPr="00C126FF">
        <w:rPr>
          <w:rFonts w:ascii="Arial" w:hAnsi="Arial" w:cs="Arial"/>
          <w:color w:val="000000"/>
          <w:sz w:val="19"/>
          <w:szCs w:val="19"/>
          <w:lang w:eastAsia="es-CO"/>
        </w:rPr>
        <w:t>  </w:t>
      </w:r>
      <w:r w:rsidRPr="00C126FF">
        <w:rPr>
          <w:rFonts w:ascii="Arial" w:hAnsi="Arial" w:cs="Arial"/>
          <w:color w:val="000000"/>
          <w:sz w:val="19"/>
          <w:szCs w:val="19"/>
          <w:lang w:eastAsia="es-CO"/>
        </w:rPr>
        <w:tab/>
        <w:t>[…]</w:t>
      </w:r>
    </w:p>
    <w:p w14:paraId="49D6F165" w14:textId="77777777" w:rsidR="00FC7A15" w:rsidRPr="00C126FF" w:rsidRDefault="00FC7A15" w:rsidP="00FC7A15">
      <w:pPr>
        <w:jc w:val="both"/>
        <w:rPr>
          <w:rFonts w:ascii="Arial" w:hAnsi="Arial" w:cs="Arial"/>
          <w:color w:val="000000"/>
          <w:sz w:val="19"/>
          <w:szCs w:val="19"/>
          <w:lang w:eastAsia="es-CO"/>
        </w:rPr>
      </w:pPr>
      <w:r w:rsidRPr="00C126FF">
        <w:rPr>
          <w:rFonts w:ascii="Arial" w:hAnsi="Arial" w:cs="Arial"/>
          <w:color w:val="000000"/>
          <w:sz w:val="19"/>
          <w:szCs w:val="19"/>
          <w:lang w:eastAsia="es-CO"/>
        </w:rPr>
        <w:t>  </w:t>
      </w:r>
      <w:r w:rsidRPr="00C126FF">
        <w:rPr>
          <w:rFonts w:ascii="Arial" w:hAnsi="Arial" w:cs="Arial"/>
          <w:color w:val="000000"/>
          <w:sz w:val="19"/>
          <w:szCs w:val="19"/>
          <w:lang w:eastAsia="es-CO"/>
        </w:rPr>
        <w:tab/>
        <w:t>» Principio de la divulgación proactiva de la información. El derecho de acceso a la información no radica únicamente en la obligación de dar respuesta a las peticiones de la sociedad, sino también en el deber de los sujetos obligados de promover y generar una cultura de transparencia, lo que conlleva la obligación de publicar y divulgar documentos y archivos que plasman la actividad estatal y de interés público, de forma rutinaria y proactiva, actualizada, accesible y comprensible, atendiendo a límites razonables del talento humano y recursos físicos y financieros […]».</w:t>
      </w:r>
    </w:p>
    <w:p w14:paraId="55F797EA" w14:textId="77777777" w:rsidR="00FC7A15" w:rsidRPr="00C126FF" w:rsidRDefault="00FC7A15" w:rsidP="00FC7A15">
      <w:pPr>
        <w:pStyle w:val="Textonotapie"/>
        <w:rPr>
          <w:rFonts w:ascii="Arial" w:hAnsi="Arial" w:cs="Arial"/>
          <w:sz w:val="19"/>
          <w:szCs w:val="19"/>
          <w:lang w:val="es-CO"/>
        </w:rPr>
      </w:pPr>
    </w:p>
  </w:footnote>
  <w:footnote w:id="14">
    <w:p w14:paraId="0F005BAA" w14:textId="77777777" w:rsidR="00FC7A15" w:rsidRPr="00C126FF" w:rsidRDefault="00FC7A15" w:rsidP="00FC7A15">
      <w:pPr>
        <w:pStyle w:val="Textonotapie"/>
        <w:ind w:firstLine="708"/>
        <w:jc w:val="both"/>
        <w:rPr>
          <w:rFonts w:ascii="Arial" w:hAnsi="Arial" w:cs="Arial"/>
          <w:sz w:val="19"/>
          <w:szCs w:val="19"/>
        </w:rPr>
      </w:pPr>
      <w:r w:rsidRPr="00C126FF">
        <w:rPr>
          <w:rStyle w:val="Refdenotaalpie"/>
          <w:rFonts w:ascii="Arial" w:hAnsi="Arial" w:cs="Arial"/>
          <w:sz w:val="19"/>
          <w:szCs w:val="19"/>
        </w:rPr>
        <w:footnoteRef/>
      </w:r>
      <w:r w:rsidRPr="00C126FF">
        <w:rPr>
          <w:rFonts w:ascii="Arial" w:hAnsi="Arial" w:cs="Arial"/>
          <w:sz w:val="19"/>
          <w:szCs w:val="19"/>
        </w:rPr>
        <w:t xml:space="preserve"> Ley 80 de 1993 «Artículo 24. Del principio de transparencia. En virtud de este principio: </w:t>
      </w:r>
    </w:p>
    <w:p w14:paraId="1BC95231" w14:textId="77777777" w:rsidR="00FC7A15" w:rsidRPr="00C126FF" w:rsidRDefault="00FC7A15" w:rsidP="00FC7A15">
      <w:pPr>
        <w:pStyle w:val="Textonotapie"/>
        <w:ind w:firstLine="708"/>
        <w:jc w:val="both"/>
        <w:rPr>
          <w:rFonts w:ascii="Arial" w:hAnsi="Arial" w:cs="Arial"/>
          <w:sz w:val="19"/>
          <w:szCs w:val="19"/>
        </w:rPr>
      </w:pPr>
      <w:r w:rsidRPr="00C126FF">
        <w:rPr>
          <w:rFonts w:ascii="Arial" w:hAnsi="Arial" w:cs="Arial"/>
          <w:sz w:val="19"/>
          <w:szCs w:val="19"/>
        </w:rPr>
        <w:t>[…]</w:t>
      </w:r>
    </w:p>
    <w:p w14:paraId="1562D594" w14:textId="77777777" w:rsidR="00FC7A15" w:rsidRPr="00C126FF" w:rsidRDefault="00FC7A15" w:rsidP="00FC7A15">
      <w:pPr>
        <w:pStyle w:val="Textonotapie"/>
        <w:ind w:firstLine="708"/>
        <w:jc w:val="both"/>
        <w:rPr>
          <w:rFonts w:ascii="Arial" w:hAnsi="Arial" w:cs="Arial"/>
          <w:sz w:val="19"/>
          <w:szCs w:val="19"/>
          <w:lang w:val="es-CO"/>
        </w:rPr>
      </w:pPr>
      <w:r w:rsidRPr="00C126FF">
        <w:rPr>
          <w:rFonts w:ascii="Arial" w:hAnsi="Arial" w:cs="Arial"/>
          <w:sz w:val="19"/>
          <w:szCs w:val="19"/>
        </w:rPr>
        <w:t>»4o. Las autoridades expedirán a costa de aquellas personas que demuestren interés legítimo, copias de las actuaciones y propuestas recibidas, respetando la reserva de que gocen legalmente las patentes, procedimientos y privilegios».</w:t>
      </w:r>
    </w:p>
    <w:p w14:paraId="0BA855F3" w14:textId="77777777" w:rsidR="00FC7A15" w:rsidRPr="00C126FF" w:rsidRDefault="00FC7A15" w:rsidP="00FC7A15">
      <w:pPr>
        <w:pStyle w:val="Textonotapie"/>
        <w:ind w:firstLine="708"/>
        <w:jc w:val="both"/>
        <w:rPr>
          <w:rFonts w:ascii="Arial" w:hAnsi="Arial" w:cs="Arial"/>
          <w:sz w:val="19"/>
          <w:szCs w:val="19"/>
          <w:lang w:val="es-CO"/>
        </w:rPr>
      </w:pPr>
      <w:r w:rsidRPr="00C126FF">
        <w:rPr>
          <w:rFonts w:ascii="Arial" w:hAnsi="Arial" w:cs="Arial"/>
          <w:sz w:val="19"/>
          <w:szCs w:val="19"/>
        </w:rPr>
        <w:t xml:space="preserve"> </w:t>
      </w:r>
    </w:p>
  </w:footnote>
  <w:footnote w:id="15">
    <w:p w14:paraId="53F6142F" w14:textId="77777777" w:rsidR="00FC7A15" w:rsidRPr="00C126FF" w:rsidRDefault="00FC7A15" w:rsidP="00FC7A15">
      <w:pPr>
        <w:pStyle w:val="Textonotapie"/>
        <w:ind w:firstLine="708"/>
        <w:jc w:val="both"/>
        <w:rPr>
          <w:rFonts w:ascii="Arial" w:hAnsi="Arial" w:cs="Arial"/>
          <w:sz w:val="19"/>
          <w:szCs w:val="19"/>
        </w:rPr>
      </w:pPr>
      <w:r w:rsidRPr="00C126FF">
        <w:rPr>
          <w:rStyle w:val="Refdenotaalpie"/>
          <w:rFonts w:ascii="Arial" w:hAnsi="Arial" w:cs="Arial"/>
          <w:sz w:val="19"/>
          <w:szCs w:val="19"/>
        </w:rPr>
        <w:footnoteRef/>
      </w:r>
      <w:r w:rsidRPr="00C126FF">
        <w:rPr>
          <w:rFonts w:ascii="Arial" w:hAnsi="Arial" w:cs="Arial"/>
          <w:sz w:val="19"/>
          <w:szCs w:val="19"/>
        </w:rPr>
        <w:t xml:space="preserve">  Ley 1712 de 2014«Artículo 2°.Principio de máxima publicidad para titular universal. Toda información en posesión, bajo control o custodia de un sujeto obligado es pública y no podrá ser reservada o limitada sino por disposición constitucional o legal, de conformidad con la presente ley».</w:t>
      </w:r>
    </w:p>
    <w:p w14:paraId="22711ECD" w14:textId="77777777" w:rsidR="00FC7A15" w:rsidRPr="00C126FF" w:rsidRDefault="00FC7A15" w:rsidP="00FC7A15">
      <w:pPr>
        <w:pStyle w:val="Textonotapie"/>
        <w:rPr>
          <w:rFonts w:ascii="Arial" w:hAnsi="Arial" w:cs="Arial"/>
          <w:sz w:val="19"/>
          <w:szCs w:val="19"/>
          <w:lang w:val="es-CO"/>
        </w:rPr>
      </w:pPr>
    </w:p>
  </w:footnote>
  <w:footnote w:id="16">
    <w:p w14:paraId="68B75C23" w14:textId="77777777" w:rsidR="00FC7A15" w:rsidRPr="00C126FF" w:rsidRDefault="00FC7A15" w:rsidP="00FC7A15">
      <w:pPr>
        <w:pStyle w:val="Textonotapie"/>
        <w:ind w:firstLine="708"/>
        <w:jc w:val="both"/>
        <w:rPr>
          <w:rFonts w:ascii="Arial" w:hAnsi="Arial" w:cs="Arial"/>
          <w:sz w:val="19"/>
          <w:szCs w:val="19"/>
        </w:rPr>
      </w:pPr>
      <w:r w:rsidRPr="00C126FF">
        <w:rPr>
          <w:rStyle w:val="Refdenotaalpie"/>
          <w:rFonts w:ascii="Arial" w:hAnsi="Arial" w:cs="Arial"/>
          <w:sz w:val="19"/>
          <w:szCs w:val="19"/>
        </w:rPr>
        <w:footnoteRef/>
      </w:r>
      <w:r w:rsidRPr="00C126FF">
        <w:rPr>
          <w:rFonts w:ascii="Arial" w:hAnsi="Arial" w:cs="Arial"/>
          <w:sz w:val="19"/>
          <w:szCs w:val="19"/>
        </w:rPr>
        <w:t xml:space="preserve"> MATALLANA CAMACHO Ernesto. Manual de Contratación de la Administración Pública. Reforma a la Ley 80 de 1993. Universidad Externado de Colombia, Cuarta edición, 2015, pp 139.</w:t>
      </w:r>
    </w:p>
    <w:p w14:paraId="5D56975C" w14:textId="77777777" w:rsidR="00FC7A15" w:rsidRPr="00C126FF" w:rsidRDefault="00FC7A15" w:rsidP="00FC7A15">
      <w:pPr>
        <w:pStyle w:val="Textonotapie"/>
        <w:ind w:firstLine="708"/>
        <w:jc w:val="both"/>
        <w:rPr>
          <w:rFonts w:ascii="Arial" w:hAnsi="Arial" w:cs="Arial"/>
          <w:sz w:val="19"/>
          <w:szCs w:val="19"/>
          <w:lang w:val="es-CO"/>
        </w:rPr>
      </w:pPr>
      <w:r w:rsidRPr="00C126FF">
        <w:rPr>
          <w:rFonts w:ascii="Arial" w:hAnsi="Arial" w:cs="Arial"/>
          <w:sz w:val="19"/>
          <w:szCs w:val="19"/>
        </w:rPr>
        <w:t xml:space="preserve">  </w:t>
      </w:r>
    </w:p>
  </w:footnote>
  <w:footnote w:id="17">
    <w:p w14:paraId="5DF98CCC" w14:textId="29DC3C32" w:rsidR="00FC7A15" w:rsidRPr="00C126FF" w:rsidRDefault="00FC7A15" w:rsidP="00FC7A15">
      <w:pPr>
        <w:pStyle w:val="Textonotapie"/>
        <w:ind w:firstLine="708"/>
        <w:jc w:val="both"/>
        <w:rPr>
          <w:rFonts w:ascii="Arial" w:hAnsi="Arial" w:cs="Arial"/>
          <w:sz w:val="19"/>
          <w:szCs w:val="19"/>
        </w:rPr>
      </w:pPr>
      <w:r w:rsidRPr="00C126FF">
        <w:rPr>
          <w:rStyle w:val="Refdenotaalpie"/>
          <w:rFonts w:ascii="Arial" w:hAnsi="Arial" w:cs="Arial"/>
          <w:sz w:val="19"/>
          <w:szCs w:val="19"/>
        </w:rPr>
        <w:footnoteRef/>
      </w:r>
      <w:r w:rsidRPr="00C126FF">
        <w:rPr>
          <w:rFonts w:ascii="Arial" w:hAnsi="Arial" w:cs="Arial"/>
          <w:sz w:val="19"/>
          <w:szCs w:val="19"/>
        </w:rPr>
        <w:t xml:space="preserve"> Ley 1437 de 2011 «Artículo 24.Informaciones y documentos reservados.</w:t>
      </w:r>
      <w:r w:rsidR="002D5245" w:rsidRPr="00C126FF">
        <w:rPr>
          <w:rFonts w:ascii="Arial" w:hAnsi="Arial" w:cs="Arial"/>
          <w:sz w:val="19"/>
          <w:szCs w:val="19"/>
        </w:rPr>
        <w:t xml:space="preserve"> </w:t>
      </w:r>
      <w:r w:rsidRPr="00C126FF">
        <w:rPr>
          <w:rFonts w:ascii="Arial" w:hAnsi="Arial" w:cs="Arial"/>
          <w:sz w:val="19"/>
          <w:szCs w:val="19"/>
        </w:rPr>
        <w:t xml:space="preserve">Solo tendrán carácter reservado las informaciones y documentos expresamente sometidos a reserva por la Constitución Política o la ley, y en especial:  </w:t>
      </w:r>
    </w:p>
    <w:p w14:paraId="499B48EC" w14:textId="77777777" w:rsidR="00FC7A15" w:rsidRPr="00C126FF" w:rsidRDefault="00FC7A15" w:rsidP="00FC7A15">
      <w:pPr>
        <w:pStyle w:val="Textonotapie"/>
        <w:ind w:firstLine="708"/>
        <w:rPr>
          <w:rFonts w:ascii="Arial" w:hAnsi="Arial" w:cs="Arial"/>
          <w:sz w:val="19"/>
          <w:szCs w:val="19"/>
        </w:rPr>
      </w:pPr>
      <w:r w:rsidRPr="00C126FF">
        <w:rPr>
          <w:rFonts w:ascii="Arial" w:hAnsi="Arial" w:cs="Arial"/>
          <w:sz w:val="19"/>
          <w:szCs w:val="19"/>
        </w:rPr>
        <w:t xml:space="preserve">»1. Los relacionados con la defensa o seguridad nacionales.  </w:t>
      </w:r>
    </w:p>
    <w:p w14:paraId="65496544" w14:textId="5BCCA357" w:rsidR="00FC7A15" w:rsidRPr="00C126FF" w:rsidRDefault="00FC7A15" w:rsidP="00FC7A15">
      <w:pPr>
        <w:pStyle w:val="Textonotapie"/>
        <w:ind w:firstLine="708"/>
        <w:rPr>
          <w:rFonts w:ascii="Arial" w:hAnsi="Arial" w:cs="Arial"/>
          <w:sz w:val="19"/>
          <w:szCs w:val="19"/>
        </w:rPr>
      </w:pPr>
      <w:r w:rsidRPr="00C126FF">
        <w:rPr>
          <w:rFonts w:ascii="Arial" w:hAnsi="Arial" w:cs="Arial"/>
          <w:sz w:val="19"/>
          <w:szCs w:val="19"/>
        </w:rPr>
        <w:t xml:space="preserve">»2. Las instrucciones en materia diplomática o sobre negociaciones reservadas.  </w:t>
      </w:r>
    </w:p>
    <w:p w14:paraId="4BBED23F" w14:textId="77777777" w:rsidR="00FC7A15" w:rsidRPr="00C126FF" w:rsidRDefault="00FC7A15" w:rsidP="00FC7A15">
      <w:pPr>
        <w:pStyle w:val="Textonotapie"/>
        <w:ind w:firstLine="708"/>
        <w:rPr>
          <w:rFonts w:ascii="Arial" w:hAnsi="Arial" w:cs="Arial"/>
          <w:sz w:val="19"/>
          <w:szCs w:val="19"/>
        </w:rPr>
      </w:pPr>
      <w:r w:rsidRPr="00C126FF">
        <w:rPr>
          <w:rFonts w:ascii="Arial" w:hAnsi="Arial" w:cs="Arial"/>
          <w:sz w:val="19"/>
          <w:szCs w:val="19"/>
        </w:rPr>
        <w:t xml:space="preserve">»3. Los que involucren derechos a la privacidad e intimidad de las personas, incluidas en las hojas de vida, la historia laboral y los expedientes pensionales y demás registros de personal que obren en los archivos de las instituciones públicas o privadas, así como la historia clínica.  </w:t>
      </w:r>
    </w:p>
    <w:p w14:paraId="72948DFB" w14:textId="77777777" w:rsidR="00FC7A15" w:rsidRPr="00C126FF" w:rsidRDefault="00FC7A15" w:rsidP="00FC7A15">
      <w:pPr>
        <w:pStyle w:val="Textonotapie"/>
        <w:ind w:firstLine="708"/>
        <w:rPr>
          <w:rFonts w:ascii="Arial" w:hAnsi="Arial" w:cs="Arial"/>
          <w:sz w:val="19"/>
          <w:szCs w:val="19"/>
        </w:rPr>
      </w:pPr>
      <w:r w:rsidRPr="00C126FF">
        <w:rPr>
          <w:rFonts w:ascii="Arial" w:hAnsi="Arial" w:cs="Arial"/>
          <w:sz w:val="19"/>
          <w:szCs w:val="19"/>
        </w:rPr>
        <w:t xml:space="preserve">»4. Los relativos a las condiciones financieras de las operaciones de crédito público y tesorería que realice la nación, así como a los estudios técnicos de valoración de los activos de la nación. Estos documentos e informaciones estarán sometidos a reserva por un término de seis (6) meses contados a partir de la realización de la respectiva operación.  </w:t>
      </w:r>
    </w:p>
    <w:p w14:paraId="4817C0E2" w14:textId="77777777" w:rsidR="00FC7A15" w:rsidRPr="00C126FF" w:rsidRDefault="00FC7A15" w:rsidP="00FC7A15">
      <w:pPr>
        <w:pStyle w:val="Textonotapie"/>
        <w:ind w:firstLine="708"/>
        <w:rPr>
          <w:rFonts w:ascii="Arial" w:hAnsi="Arial" w:cs="Arial"/>
          <w:sz w:val="19"/>
          <w:szCs w:val="19"/>
        </w:rPr>
      </w:pPr>
      <w:r w:rsidRPr="00C126FF">
        <w:rPr>
          <w:rFonts w:ascii="Arial" w:hAnsi="Arial" w:cs="Arial"/>
          <w:sz w:val="19"/>
          <w:szCs w:val="19"/>
        </w:rPr>
        <w:t xml:space="preserve">»5. Los datos referentes a la información financiera y comercial, en los términos de la Ley Estatutaria 1266 de 2008.  </w:t>
      </w:r>
    </w:p>
    <w:p w14:paraId="524F6AC1" w14:textId="77777777" w:rsidR="00FC7A15" w:rsidRPr="00C126FF" w:rsidRDefault="00FC7A15" w:rsidP="00FC7A15">
      <w:pPr>
        <w:pStyle w:val="Textonotapie"/>
        <w:ind w:firstLine="708"/>
        <w:rPr>
          <w:rFonts w:ascii="Arial" w:hAnsi="Arial" w:cs="Arial"/>
          <w:sz w:val="19"/>
          <w:szCs w:val="19"/>
        </w:rPr>
      </w:pPr>
      <w:r w:rsidRPr="00C126FF">
        <w:rPr>
          <w:rFonts w:ascii="Arial" w:hAnsi="Arial" w:cs="Arial"/>
          <w:sz w:val="19"/>
          <w:szCs w:val="19"/>
        </w:rPr>
        <w:t xml:space="preserve">»6. Los protegidos por el secreto comercial o industrial, así como los planes estratégicos de las empresas públicas de servicios públicos.  </w:t>
      </w:r>
    </w:p>
    <w:p w14:paraId="4BBF40FC" w14:textId="77777777" w:rsidR="00FC7A15" w:rsidRPr="00C126FF" w:rsidRDefault="00FC7A15" w:rsidP="00FC7A15">
      <w:pPr>
        <w:pStyle w:val="Textonotapie"/>
        <w:ind w:firstLine="708"/>
        <w:rPr>
          <w:rFonts w:ascii="Arial" w:hAnsi="Arial" w:cs="Arial"/>
          <w:sz w:val="19"/>
          <w:szCs w:val="19"/>
        </w:rPr>
      </w:pPr>
      <w:r w:rsidRPr="00C126FF">
        <w:rPr>
          <w:rFonts w:ascii="Arial" w:hAnsi="Arial" w:cs="Arial"/>
          <w:sz w:val="19"/>
          <w:szCs w:val="19"/>
        </w:rPr>
        <w:t xml:space="preserve">»7. Los amparados por el secreto profesional.  </w:t>
      </w:r>
    </w:p>
    <w:p w14:paraId="032CD958" w14:textId="77777777" w:rsidR="00FC7A15" w:rsidRPr="00C126FF" w:rsidRDefault="00FC7A15" w:rsidP="00FC7A15">
      <w:pPr>
        <w:pStyle w:val="Textonotapie"/>
        <w:ind w:firstLine="708"/>
        <w:rPr>
          <w:rFonts w:ascii="Arial" w:hAnsi="Arial" w:cs="Arial"/>
          <w:sz w:val="19"/>
          <w:szCs w:val="19"/>
        </w:rPr>
      </w:pPr>
      <w:r w:rsidRPr="00C126FF">
        <w:rPr>
          <w:rFonts w:ascii="Arial" w:hAnsi="Arial" w:cs="Arial"/>
          <w:sz w:val="19"/>
          <w:szCs w:val="19"/>
        </w:rPr>
        <w:t xml:space="preserve">»8. Los datos genéticos humanos.  </w:t>
      </w:r>
    </w:p>
    <w:p w14:paraId="6A9AB79E" w14:textId="77777777" w:rsidR="00FC7A15" w:rsidRPr="00C126FF" w:rsidRDefault="00FC7A15" w:rsidP="00FC7A15">
      <w:pPr>
        <w:pStyle w:val="Textonotapie"/>
        <w:ind w:firstLine="708"/>
        <w:rPr>
          <w:rFonts w:ascii="Arial" w:hAnsi="Arial" w:cs="Arial"/>
          <w:sz w:val="19"/>
          <w:szCs w:val="19"/>
        </w:rPr>
      </w:pPr>
      <w:r w:rsidRPr="00C126FF">
        <w:rPr>
          <w:rFonts w:ascii="Arial" w:hAnsi="Arial" w:cs="Arial"/>
          <w:sz w:val="19"/>
          <w:szCs w:val="19"/>
        </w:rPr>
        <w:t xml:space="preserve">»Parágrafo. Para efecto de la solicitud de información de carácter reservado, enunciada en los numerales 3, 5, 6 y 7 solo podrá ser solicitada por el titular de la información, por sus apoderados o por personas autorizadas con facultad expresa para acceder a esa información».  </w:t>
      </w:r>
    </w:p>
    <w:p w14:paraId="4C832083" w14:textId="77777777" w:rsidR="00FC7A15" w:rsidRPr="00C126FF" w:rsidRDefault="00FC7A15" w:rsidP="00FC7A15">
      <w:pPr>
        <w:pStyle w:val="Textonotapie"/>
        <w:ind w:firstLine="708"/>
        <w:rPr>
          <w:rFonts w:ascii="Arial" w:hAnsi="Arial" w:cs="Arial"/>
          <w:sz w:val="19"/>
          <w:szCs w:val="19"/>
        </w:rPr>
      </w:pPr>
    </w:p>
  </w:footnote>
  <w:footnote w:id="18">
    <w:p w14:paraId="086CEBE6" w14:textId="6C3D4F9B" w:rsidR="00FC7A15" w:rsidRPr="00C126FF" w:rsidRDefault="00FC7A15" w:rsidP="000F7DE7">
      <w:pPr>
        <w:pStyle w:val="Textonotapie"/>
        <w:ind w:firstLine="708"/>
        <w:jc w:val="both"/>
        <w:rPr>
          <w:rFonts w:ascii="Arial" w:hAnsi="Arial" w:cs="Arial"/>
          <w:sz w:val="19"/>
          <w:szCs w:val="19"/>
        </w:rPr>
      </w:pPr>
      <w:r w:rsidRPr="00C126FF">
        <w:rPr>
          <w:rStyle w:val="Refdenotaalpie"/>
          <w:rFonts w:ascii="Arial" w:hAnsi="Arial" w:cs="Arial"/>
          <w:sz w:val="19"/>
          <w:szCs w:val="19"/>
        </w:rPr>
        <w:footnoteRef/>
      </w:r>
      <w:r w:rsidRPr="00C126FF">
        <w:rPr>
          <w:rFonts w:ascii="Arial" w:hAnsi="Arial" w:cs="Arial"/>
          <w:sz w:val="19"/>
          <w:szCs w:val="19"/>
        </w:rPr>
        <w:t xml:space="preserve"> Resultan relevantes las consideraciones expuestas en el concepto C- 322 del 16 de junio de 2020 –radicado No. 2202013000005088–, sobre la aplicación del artículo 36 del CPACA en torno al manejo de información reservada en cuadernos separados: «</w:t>
      </w:r>
      <w:r w:rsidRPr="00C126FF">
        <w:rPr>
          <w:rFonts w:ascii="Arial" w:eastAsia="Calibri" w:hAnsi="Arial" w:cs="Arial"/>
          <w:sz w:val="19"/>
          <w:szCs w:val="19"/>
        </w:rPr>
        <w:t>tratándose de información sometida a reserva, considera esta Agencia que el tratamiento que corresponde a esta información es el procedente a partir de lo dispuesto en el artículo 36 del CPACA sobre la formación y examen de expedientes, en el que se establece que los documentos sometidos a reserva deberán insertarse en un cuaderno separado del expediente principal, el cual no podrá ser consultado por la ciudadanía o interesados en general. El manejo de estos documentos conforme lo indica esta norma, permite guardar la reserva a la que están sometidos dichos documentos en el marco de procesos de contratación, sin que se vean lesionados los intereses de los titulares de la información o contrariadas las normas del régimen de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3E02" w14:textId="77777777" w:rsidR="00C4215E" w:rsidRDefault="00C4215E">
    <w:pPr>
      <w:pStyle w:val="Encabezado"/>
    </w:pPr>
    <w:r>
      <w:rPr>
        <w:noProof/>
        <w:lang w:val="en-US"/>
      </w:rPr>
      <w:drawing>
        <wp:anchor distT="0" distB="0" distL="114300" distR="114300" simplePos="0" relativeHeight="251659264" behindDoc="1" locked="0" layoutInCell="1" allowOverlap="1" wp14:anchorId="70175C09" wp14:editId="4B32A913">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385"/>
    <w:multiLevelType w:val="hybridMultilevel"/>
    <w:tmpl w:val="AC860BA6"/>
    <w:lvl w:ilvl="0" w:tplc="AA8C5E22">
      <w:start w:val="3"/>
      <w:numFmt w:val="decimal"/>
      <w:lvlText w:val="%1."/>
      <w:lvlJc w:val="left"/>
      <w:pPr>
        <w:ind w:left="360" w:hanging="360"/>
      </w:pPr>
      <w:rPr>
        <w:rFonts w:ascii="ArialMT" w:eastAsia="Times New Roman" w:hAnsi="ArialMT" w:cs="Times New Roman" w:hint="default"/>
        <w:b/>
        <w:sz w:val="22"/>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01C06310"/>
    <w:multiLevelType w:val="multilevel"/>
    <w:tmpl w:val="3FA27F4C"/>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2" w15:restartNumberingAfterBreak="0">
    <w:nsid w:val="1A695998"/>
    <w:multiLevelType w:val="multilevel"/>
    <w:tmpl w:val="963E3286"/>
    <w:lvl w:ilvl="0">
      <w:start w:val="3"/>
      <w:numFmt w:val="decimal"/>
      <w:lvlText w:val="%1"/>
      <w:lvlJc w:val="left"/>
      <w:pPr>
        <w:ind w:left="435" w:hanging="435"/>
      </w:pPr>
      <w:rPr>
        <w:rFonts w:hint="default"/>
      </w:rPr>
    </w:lvl>
    <w:lvl w:ilvl="1">
      <w:start w:val="5"/>
      <w:numFmt w:val="decimal"/>
      <w:lvlText w:val="%1.%2"/>
      <w:lvlJc w:val="left"/>
      <w:pPr>
        <w:ind w:left="917" w:hanging="435"/>
      </w:pPr>
      <w:rPr>
        <w:rFonts w:hint="default"/>
      </w:rPr>
    </w:lvl>
    <w:lvl w:ilvl="2">
      <w:start w:val="4"/>
      <w:numFmt w:val="decimal"/>
      <w:lvlText w:val="%1.%2.%3"/>
      <w:lvlJc w:val="left"/>
      <w:pPr>
        <w:ind w:left="1684" w:hanging="720"/>
      </w:pPr>
      <w:rPr>
        <w:rFonts w:hint="default"/>
        <w:b w:val="0"/>
        <w:bCs w:val="0"/>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3" w15:restartNumberingAfterBreak="0">
    <w:nsid w:val="236752BB"/>
    <w:multiLevelType w:val="multilevel"/>
    <w:tmpl w:val="219A6F0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90B3586"/>
    <w:multiLevelType w:val="multilevel"/>
    <w:tmpl w:val="53D46C90"/>
    <w:lvl w:ilvl="0">
      <w:start w:val="2"/>
      <w:numFmt w:val="decimal"/>
      <w:lvlText w:val="%1."/>
      <w:lvlJc w:val="left"/>
      <w:pPr>
        <w:ind w:left="360" w:hanging="360"/>
      </w:pPr>
      <w:rPr>
        <w:rFonts w:hint="default"/>
        <w:b/>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DF1E13"/>
    <w:multiLevelType w:val="hybridMultilevel"/>
    <w:tmpl w:val="92BA59B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83B27F9"/>
    <w:multiLevelType w:val="multilevel"/>
    <w:tmpl w:val="3B72F034"/>
    <w:lvl w:ilvl="0">
      <w:start w:val="2"/>
      <w:numFmt w:val="decimal"/>
      <w:lvlText w:val="%1."/>
      <w:lvlJc w:val="left"/>
      <w:pPr>
        <w:ind w:left="380" w:hanging="380"/>
      </w:pPr>
      <w:rPr>
        <w:rFonts w:hint="default"/>
        <w:b/>
        <w:bCs/>
      </w:rPr>
    </w:lvl>
    <w:lvl w:ilvl="1">
      <w:start w:val="1"/>
      <w:numFmt w:val="decimal"/>
      <w:lvlText w:val="%1.%2."/>
      <w:lvlJc w:val="left"/>
      <w:pPr>
        <w:ind w:left="720"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5DC52852"/>
    <w:multiLevelType w:val="multilevel"/>
    <w:tmpl w:val="10667D14"/>
    <w:lvl w:ilvl="0">
      <w:start w:val="1"/>
      <w:numFmt w:val="decimal"/>
      <w:lvlText w:val="%1."/>
      <w:lvlJc w:val="left"/>
      <w:pPr>
        <w:ind w:left="360" w:hanging="360"/>
      </w:pPr>
      <w:rPr>
        <w:rFonts w:hint="default"/>
        <w:color w:val="auto"/>
        <w:sz w:val="20"/>
        <w:szCs w:val="20"/>
      </w:rPr>
    </w:lvl>
    <w:lvl w:ilvl="1">
      <w:start w:val="1"/>
      <w:numFmt w:val="decimal"/>
      <w:lvlText w:val="3.%2."/>
      <w:lvlJc w:val="left"/>
      <w:pPr>
        <w:ind w:left="1004" w:hanging="720"/>
      </w:pPr>
      <w:rPr>
        <w:rFonts w:hint="default"/>
        <w:b/>
        <w:i w:val="0"/>
        <w:color w:val="000000"/>
      </w:rPr>
    </w:lvl>
    <w:lvl w:ilvl="2">
      <w:start w:val="1"/>
      <w:numFmt w:val="decimal"/>
      <w:lvlText w:val="3.5.%3."/>
      <w:lvlJc w:val="left"/>
      <w:pPr>
        <w:ind w:left="964" w:hanging="624"/>
      </w:pPr>
      <w:rPr>
        <w:rFonts w:hint="default"/>
        <w:b w:val="0"/>
        <w:bCs/>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306FC5"/>
    <w:multiLevelType w:val="hybridMultilevel"/>
    <w:tmpl w:val="EFF64480"/>
    <w:lvl w:ilvl="0" w:tplc="05CA5CEA">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70B22AE4"/>
    <w:multiLevelType w:val="hybridMultilevel"/>
    <w:tmpl w:val="961C3F50"/>
    <w:lvl w:ilvl="0" w:tplc="41023410">
      <w:start w:val="1"/>
      <w:numFmt w:val="upperLetter"/>
      <w:lvlText w:val="%1."/>
      <w:lvlJc w:val="left"/>
      <w:pPr>
        <w:ind w:left="1436" w:hanging="360"/>
      </w:pPr>
      <w:rPr>
        <w:rFonts w:hint="default"/>
      </w:rPr>
    </w:lvl>
    <w:lvl w:ilvl="1" w:tplc="240A0019" w:tentative="1">
      <w:start w:val="1"/>
      <w:numFmt w:val="lowerLetter"/>
      <w:lvlText w:val="%2."/>
      <w:lvlJc w:val="left"/>
      <w:pPr>
        <w:ind w:left="2156" w:hanging="360"/>
      </w:pPr>
    </w:lvl>
    <w:lvl w:ilvl="2" w:tplc="240A001B" w:tentative="1">
      <w:start w:val="1"/>
      <w:numFmt w:val="lowerRoman"/>
      <w:lvlText w:val="%3."/>
      <w:lvlJc w:val="right"/>
      <w:pPr>
        <w:ind w:left="2876" w:hanging="180"/>
      </w:pPr>
    </w:lvl>
    <w:lvl w:ilvl="3" w:tplc="240A000F" w:tentative="1">
      <w:start w:val="1"/>
      <w:numFmt w:val="decimal"/>
      <w:lvlText w:val="%4."/>
      <w:lvlJc w:val="left"/>
      <w:pPr>
        <w:ind w:left="3596" w:hanging="360"/>
      </w:pPr>
    </w:lvl>
    <w:lvl w:ilvl="4" w:tplc="240A0019" w:tentative="1">
      <w:start w:val="1"/>
      <w:numFmt w:val="lowerLetter"/>
      <w:lvlText w:val="%5."/>
      <w:lvlJc w:val="left"/>
      <w:pPr>
        <w:ind w:left="4316" w:hanging="360"/>
      </w:pPr>
    </w:lvl>
    <w:lvl w:ilvl="5" w:tplc="240A001B" w:tentative="1">
      <w:start w:val="1"/>
      <w:numFmt w:val="lowerRoman"/>
      <w:lvlText w:val="%6."/>
      <w:lvlJc w:val="right"/>
      <w:pPr>
        <w:ind w:left="5036" w:hanging="180"/>
      </w:pPr>
    </w:lvl>
    <w:lvl w:ilvl="6" w:tplc="240A000F" w:tentative="1">
      <w:start w:val="1"/>
      <w:numFmt w:val="decimal"/>
      <w:lvlText w:val="%7."/>
      <w:lvlJc w:val="left"/>
      <w:pPr>
        <w:ind w:left="5756" w:hanging="360"/>
      </w:pPr>
    </w:lvl>
    <w:lvl w:ilvl="7" w:tplc="240A0019" w:tentative="1">
      <w:start w:val="1"/>
      <w:numFmt w:val="lowerLetter"/>
      <w:lvlText w:val="%8."/>
      <w:lvlJc w:val="left"/>
      <w:pPr>
        <w:ind w:left="6476" w:hanging="360"/>
      </w:pPr>
    </w:lvl>
    <w:lvl w:ilvl="8" w:tplc="240A001B" w:tentative="1">
      <w:start w:val="1"/>
      <w:numFmt w:val="lowerRoman"/>
      <w:lvlText w:val="%9."/>
      <w:lvlJc w:val="right"/>
      <w:pPr>
        <w:ind w:left="7196" w:hanging="180"/>
      </w:pPr>
    </w:lvl>
  </w:abstractNum>
  <w:abstractNum w:abstractNumId="10" w15:restartNumberingAfterBreak="0">
    <w:nsid w:val="783D0818"/>
    <w:multiLevelType w:val="hybridMultilevel"/>
    <w:tmpl w:val="633A25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3230091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73606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56464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3196159">
    <w:abstractNumId w:val="2"/>
    <w:lvlOverride w:ilvl="0">
      <w:startOverride w:val="3"/>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3227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6555615">
    <w:abstractNumId w:val="6"/>
  </w:num>
  <w:num w:numId="7" w16cid:durableId="1932808392">
    <w:abstractNumId w:val="8"/>
  </w:num>
  <w:num w:numId="8" w16cid:durableId="1924218352">
    <w:abstractNumId w:val="4"/>
  </w:num>
  <w:num w:numId="9" w16cid:durableId="1437948160">
    <w:abstractNumId w:val="0"/>
  </w:num>
  <w:num w:numId="10" w16cid:durableId="2089183263">
    <w:abstractNumId w:val="10"/>
  </w:num>
  <w:num w:numId="11" w16cid:durableId="1769042315">
    <w:abstractNumId w:val="5"/>
  </w:num>
  <w:num w:numId="12" w16cid:durableId="622351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03C"/>
    <w:rsid w:val="00001107"/>
    <w:rsid w:val="00003197"/>
    <w:rsid w:val="000035EA"/>
    <w:rsid w:val="00006681"/>
    <w:rsid w:val="00006ECA"/>
    <w:rsid w:val="000079A6"/>
    <w:rsid w:val="00011190"/>
    <w:rsid w:val="0001466D"/>
    <w:rsid w:val="00014EB6"/>
    <w:rsid w:val="0001620B"/>
    <w:rsid w:val="000176DE"/>
    <w:rsid w:val="000204FC"/>
    <w:rsid w:val="00022344"/>
    <w:rsid w:val="000234B2"/>
    <w:rsid w:val="00023EF1"/>
    <w:rsid w:val="00024FFB"/>
    <w:rsid w:val="0002529B"/>
    <w:rsid w:val="0002684A"/>
    <w:rsid w:val="00026B88"/>
    <w:rsid w:val="00027330"/>
    <w:rsid w:val="00032C44"/>
    <w:rsid w:val="00033B27"/>
    <w:rsid w:val="00034102"/>
    <w:rsid w:val="00034222"/>
    <w:rsid w:val="000402A2"/>
    <w:rsid w:val="00043E70"/>
    <w:rsid w:val="00044956"/>
    <w:rsid w:val="000458A1"/>
    <w:rsid w:val="00045B9D"/>
    <w:rsid w:val="00045DC9"/>
    <w:rsid w:val="0004614C"/>
    <w:rsid w:val="0004642B"/>
    <w:rsid w:val="000468C5"/>
    <w:rsid w:val="0005188E"/>
    <w:rsid w:val="000544AE"/>
    <w:rsid w:val="00060CEB"/>
    <w:rsid w:val="00062738"/>
    <w:rsid w:val="00062B22"/>
    <w:rsid w:val="00062F28"/>
    <w:rsid w:val="00063AC1"/>
    <w:rsid w:val="0006513E"/>
    <w:rsid w:val="00070135"/>
    <w:rsid w:val="00071789"/>
    <w:rsid w:val="00072E47"/>
    <w:rsid w:val="00074493"/>
    <w:rsid w:val="00076662"/>
    <w:rsid w:val="000769F7"/>
    <w:rsid w:val="000778DE"/>
    <w:rsid w:val="000802F6"/>
    <w:rsid w:val="00080544"/>
    <w:rsid w:val="00081247"/>
    <w:rsid w:val="000813CC"/>
    <w:rsid w:val="00081913"/>
    <w:rsid w:val="00082027"/>
    <w:rsid w:val="0008639E"/>
    <w:rsid w:val="000869D7"/>
    <w:rsid w:val="00087EDA"/>
    <w:rsid w:val="00091741"/>
    <w:rsid w:val="000919DA"/>
    <w:rsid w:val="00091B04"/>
    <w:rsid w:val="00091E98"/>
    <w:rsid w:val="00093199"/>
    <w:rsid w:val="000967A4"/>
    <w:rsid w:val="00096901"/>
    <w:rsid w:val="000A0AEC"/>
    <w:rsid w:val="000A6E67"/>
    <w:rsid w:val="000B660E"/>
    <w:rsid w:val="000B7FDC"/>
    <w:rsid w:val="000C064C"/>
    <w:rsid w:val="000C0A21"/>
    <w:rsid w:val="000C4362"/>
    <w:rsid w:val="000C74CE"/>
    <w:rsid w:val="000C7577"/>
    <w:rsid w:val="000C770E"/>
    <w:rsid w:val="000D071C"/>
    <w:rsid w:val="000D0CA4"/>
    <w:rsid w:val="000D2EED"/>
    <w:rsid w:val="000D43EA"/>
    <w:rsid w:val="000D6E4B"/>
    <w:rsid w:val="000D7329"/>
    <w:rsid w:val="000E0831"/>
    <w:rsid w:val="000E2C4F"/>
    <w:rsid w:val="000E334C"/>
    <w:rsid w:val="000E4F2A"/>
    <w:rsid w:val="000E5E0B"/>
    <w:rsid w:val="000E6DD2"/>
    <w:rsid w:val="000E7A9A"/>
    <w:rsid w:val="000F16CF"/>
    <w:rsid w:val="000F375A"/>
    <w:rsid w:val="000F61D3"/>
    <w:rsid w:val="000F7790"/>
    <w:rsid w:val="000F7DE7"/>
    <w:rsid w:val="00101544"/>
    <w:rsid w:val="00103FB0"/>
    <w:rsid w:val="00105A27"/>
    <w:rsid w:val="001062AF"/>
    <w:rsid w:val="001075EA"/>
    <w:rsid w:val="00111454"/>
    <w:rsid w:val="00111971"/>
    <w:rsid w:val="001125C2"/>
    <w:rsid w:val="0011698D"/>
    <w:rsid w:val="001230BC"/>
    <w:rsid w:val="00123F48"/>
    <w:rsid w:val="00126B57"/>
    <w:rsid w:val="00127307"/>
    <w:rsid w:val="0012781C"/>
    <w:rsid w:val="00130681"/>
    <w:rsid w:val="001402A5"/>
    <w:rsid w:val="00141723"/>
    <w:rsid w:val="00141EE7"/>
    <w:rsid w:val="00142E79"/>
    <w:rsid w:val="00146B60"/>
    <w:rsid w:val="00146F8C"/>
    <w:rsid w:val="001507AE"/>
    <w:rsid w:val="00152D59"/>
    <w:rsid w:val="00153435"/>
    <w:rsid w:val="001539C9"/>
    <w:rsid w:val="00153F8E"/>
    <w:rsid w:val="00154880"/>
    <w:rsid w:val="001571B3"/>
    <w:rsid w:val="0016068F"/>
    <w:rsid w:val="00162EC2"/>
    <w:rsid w:val="001635B5"/>
    <w:rsid w:val="00163A8B"/>
    <w:rsid w:val="001647ED"/>
    <w:rsid w:val="001659D1"/>
    <w:rsid w:val="00167479"/>
    <w:rsid w:val="00170558"/>
    <w:rsid w:val="001708CF"/>
    <w:rsid w:val="00173F13"/>
    <w:rsid w:val="00174C83"/>
    <w:rsid w:val="00185795"/>
    <w:rsid w:val="00186301"/>
    <w:rsid w:val="001863B2"/>
    <w:rsid w:val="00186E11"/>
    <w:rsid w:val="0019117C"/>
    <w:rsid w:val="00191A25"/>
    <w:rsid w:val="0019228D"/>
    <w:rsid w:val="00192E63"/>
    <w:rsid w:val="00195226"/>
    <w:rsid w:val="00196198"/>
    <w:rsid w:val="00196BD7"/>
    <w:rsid w:val="001A21C0"/>
    <w:rsid w:val="001A6B3E"/>
    <w:rsid w:val="001A7E08"/>
    <w:rsid w:val="001B1D91"/>
    <w:rsid w:val="001B4AAC"/>
    <w:rsid w:val="001B5526"/>
    <w:rsid w:val="001B684E"/>
    <w:rsid w:val="001C0105"/>
    <w:rsid w:val="001C06F0"/>
    <w:rsid w:val="001C0A1C"/>
    <w:rsid w:val="001C209E"/>
    <w:rsid w:val="001C359E"/>
    <w:rsid w:val="001C3DC2"/>
    <w:rsid w:val="001C4C5C"/>
    <w:rsid w:val="001C60D3"/>
    <w:rsid w:val="001C6881"/>
    <w:rsid w:val="001D2743"/>
    <w:rsid w:val="001D6DB5"/>
    <w:rsid w:val="001D71EC"/>
    <w:rsid w:val="001E10D1"/>
    <w:rsid w:val="001E2E10"/>
    <w:rsid w:val="001E4CF5"/>
    <w:rsid w:val="001E5852"/>
    <w:rsid w:val="001F0BFE"/>
    <w:rsid w:val="001F19A5"/>
    <w:rsid w:val="001F2F64"/>
    <w:rsid w:val="001F56CF"/>
    <w:rsid w:val="00201EBD"/>
    <w:rsid w:val="00207A1B"/>
    <w:rsid w:val="00207F73"/>
    <w:rsid w:val="00212317"/>
    <w:rsid w:val="0021284F"/>
    <w:rsid w:val="0021420D"/>
    <w:rsid w:val="00220422"/>
    <w:rsid w:val="00220C0D"/>
    <w:rsid w:val="00221552"/>
    <w:rsid w:val="00222DE6"/>
    <w:rsid w:val="00223524"/>
    <w:rsid w:val="002236A3"/>
    <w:rsid w:val="00224EC1"/>
    <w:rsid w:val="00226878"/>
    <w:rsid w:val="0022772A"/>
    <w:rsid w:val="0023044E"/>
    <w:rsid w:val="00230A7E"/>
    <w:rsid w:val="002321AE"/>
    <w:rsid w:val="002326D5"/>
    <w:rsid w:val="00233525"/>
    <w:rsid w:val="0023384C"/>
    <w:rsid w:val="0023476C"/>
    <w:rsid w:val="002354D5"/>
    <w:rsid w:val="00235E87"/>
    <w:rsid w:val="00236F30"/>
    <w:rsid w:val="002371CD"/>
    <w:rsid w:val="00237EAB"/>
    <w:rsid w:val="002403F2"/>
    <w:rsid w:val="002405B5"/>
    <w:rsid w:val="00241DC2"/>
    <w:rsid w:val="00241F51"/>
    <w:rsid w:val="002432F0"/>
    <w:rsid w:val="00244A24"/>
    <w:rsid w:val="00245A67"/>
    <w:rsid w:val="002465B4"/>
    <w:rsid w:val="00246CBC"/>
    <w:rsid w:val="00247959"/>
    <w:rsid w:val="002535D3"/>
    <w:rsid w:val="002544C2"/>
    <w:rsid w:val="00256B18"/>
    <w:rsid w:val="0026075C"/>
    <w:rsid w:val="00263510"/>
    <w:rsid w:val="00265B63"/>
    <w:rsid w:val="00265EF2"/>
    <w:rsid w:val="00266F4A"/>
    <w:rsid w:val="00267242"/>
    <w:rsid w:val="00272082"/>
    <w:rsid w:val="0027211F"/>
    <w:rsid w:val="00274556"/>
    <w:rsid w:val="00276AB9"/>
    <w:rsid w:val="00280653"/>
    <w:rsid w:val="002813C1"/>
    <w:rsid w:val="00281F95"/>
    <w:rsid w:val="00282BA6"/>
    <w:rsid w:val="00284DA6"/>
    <w:rsid w:val="00285541"/>
    <w:rsid w:val="002875EE"/>
    <w:rsid w:val="00287834"/>
    <w:rsid w:val="002916D0"/>
    <w:rsid w:val="0029198D"/>
    <w:rsid w:val="00291F2F"/>
    <w:rsid w:val="0029262C"/>
    <w:rsid w:val="00293F1F"/>
    <w:rsid w:val="00296D50"/>
    <w:rsid w:val="002A2BDD"/>
    <w:rsid w:val="002A2F5B"/>
    <w:rsid w:val="002A39F3"/>
    <w:rsid w:val="002A45C0"/>
    <w:rsid w:val="002A5544"/>
    <w:rsid w:val="002A6249"/>
    <w:rsid w:val="002A7B76"/>
    <w:rsid w:val="002B13F7"/>
    <w:rsid w:val="002B1C05"/>
    <w:rsid w:val="002B1CB3"/>
    <w:rsid w:val="002B4D31"/>
    <w:rsid w:val="002B66D7"/>
    <w:rsid w:val="002B70B0"/>
    <w:rsid w:val="002C0C44"/>
    <w:rsid w:val="002C48AA"/>
    <w:rsid w:val="002C554A"/>
    <w:rsid w:val="002C593D"/>
    <w:rsid w:val="002C62F1"/>
    <w:rsid w:val="002D14DD"/>
    <w:rsid w:val="002D35BD"/>
    <w:rsid w:val="002D443C"/>
    <w:rsid w:val="002D5245"/>
    <w:rsid w:val="002D5388"/>
    <w:rsid w:val="002E0216"/>
    <w:rsid w:val="002E058A"/>
    <w:rsid w:val="002E06AA"/>
    <w:rsid w:val="002E1529"/>
    <w:rsid w:val="002E284A"/>
    <w:rsid w:val="002E3086"/>
    <w:rsid w:val="002E545F"/>
    <w:rsid w:val="002E67FC"/>
    <w:rsid w:val="002E73C8"/>
    <w:rsid w:val="002F17A4"/>
    <w:rsid w:val="002F1E99"/>
    <w:rsid w:val="002F2DFB"/>
    <w:rsid w:val="002F2EAD"/>
    <w:rsid w:val="002F3F6A"/>
    <w:rsid w:val="002F4CCC"/>
    <w:rsid w:val="002F6093"/>
    <w:rsid w:val="0030206E"/>
    <w:rsid w:val="003026FE"/>
    <w:rsid w:val="003038BC"/>
    <w:rsid w:val="00310242"/>
    <w:rsid w:val="003102D3"/>
    <w:rsid w:val="00311239"/>
    <w:rsid w:val="003123C8"/>
    <w:rsid w:val="0031266F"/>
    <w:rsid w:val="00313A70"/>
    <w:rsid w:val="00313F62"/>
    <w:rsid w:val="0031793E"/>
    <w:rsid w:val="003215F6"/>
    <w:rsid w:val="003228C1"/>
    <w:rsid w:val="00324CB6"/>
    <w:rsid w:val="003273B8"/>
    <w:rsid w:val="00327EF4"/>
    <w:rsid w:val="00327FE1"/>
    <w:rsid w:val="00334D76"/>
    <w:rsid w:val="0033514B"/>
    <w:rsid w:val="003355C9"/>
    <w:rsid w:val="003371D6"/>
    <w:rsid w:val="00341448"/>
    <w:rsid w:val="00341AA9"/>
    <w:rsid w:val="00341C82"/>
    <w:rsid w:val="00344DD9"/>
    <w:rsid w:val="00345C69"/>
    <w:rsid w:val="0035024F"/>
    <w:rsid w:val="0035026D"/>
    <w:rsid w:val="003517A0"/>
    <w:rsid w:val="00354510"/>
    <w:rsid w:val="00355294"/>
    <w:rsid w:val="00357D6F"/>
    <w:rsid w:val="00361F71"/>
    <w:rsid w:val="00363A41"/>
    <w:rsid w:val="003641B4"/>
    <w:rsid w:val="003643A9"/>
    <w:rsid w:val="00365097"/>
    <w:rsid w:val="00365A59"/>
    <w:rsid w:val="00366668"/>
    <w:rsid w:val="00366846"/>
    <w:rsid w:val="00374378"/>
    <w:rsid w:val="00374A17"/>
    <w:rsid w:val="0037511A"/>
    <w:rsid w:val="0037569C"/>
    <w:rsid w:val="00375CD3"/>
    <w:rsid w:val="00376CF7"/>
    <w:rsid w:val="00380E9B"/>
    <w:rsid w:val="00381D5F"/>
    <w:rsid w:val="003820E3"/>
    <w:rsid w:val="003828A9"/>
    <w:rsid w:val="00383A02"/>
    <w:rsid w:val="003861A3"/>
    <w:rsid w:val="003901D4"/>
    <w:rsid w:val="00391732"/>
    <w:rsid w:val="00393A8A"/>
    <w:rsid w:val="00395DCF"/>
    <w:rsid w:val="00397C31"/>
    <w:rsid w:val="003A0755"/>
    <w:rsid w:val="003A0B9C"/>
    <w:rsid w:val="003A161F"/>
    <w:rsid w:val="003A16E4"/>
    <w:rsid w:val="003A3583"/>
    <w:rsid w:val="003A7D4E"/>
    <w:rsid w:val="003B02D6"/>
    <w:rsid w:val="003B06C3"/>
    <w:rsid w:val="003B06C4"/>
    <w:rsid w:val="003B23C8"/>
    <w:rsid w:val="003B425E"/>
    <w:rsid w:val="003B4CB5"/>
    <w:rsid w:val="003B5D12"/>
    <w:rsid w:val="003B5E21"/>
    <w:rsid w:val="003C290B"/>
    <w:rsid w:val="003C3676"/>
    <w:rsid w:val="003C4945"/>
    <w:rsid w:val="003C6DE9"/>
    <w:rsid w:val="003C7AE5"/>
    <w:rsid w:val="003D1F97"/>
    <w:rsid w:val="003D2A2D"/>
    <w:rsid w:val="003D5A67"/>
    <w:rsid w:val="003D63A4"/>
    <w:rsid w:val="003D7477"/>
    <w:rsid w:val="003E05D7"/>
    <w:rsid w:val="003E1297"/>
    <w:rsid w:val="003E5E45"/>
    <w:rsid w:val="003E6812"/>
    <w:rsid w:val="003F45DC"/>
    <w:rsid w:val="003F557E"/>
    <w:rsid w:val="003F75F3"/>
    <w:rsid w:val="0040004C"/>
    <w:rsid w:val="004007F3"/>
    <w:rsid w:val="004016FF"/>
    <w:rsid w:val="00404138"/>
    <w:rsid w:val="00405C93"/>
    <w:rsid w:val="0040674B"/>
    <w:rsid w:val="00406E76"/>
    <w:rsid w:val="004079FF"/>
    <w:rsid w:val="004117DD"/>
    <w:rsid w:val="004124C1"/>
    <w:rsid w:val="004128C5"/>
    <w:rsid w:val="004151E9"/>
    <w:rsid w:val="00417A90"/>
    <w:rsid w:val="00420A9F"/>
    <w:rsid w:val="004213D4"/>
    <w:rsid w:val="00422D43"/>
    <w:rsid w:val="00424422"/>
    <w:rsid w:val="00425D7D"/>
    <w:rsid w:val="00426F03"/>
    <w:rsid w:val="00430023"/>
    <w:rsid w:val="004302E9"/>
    <w:rsid w:val="00430582"/>
    <w:rsid w:val="004315F6"/>
    <w:rsid w:val="0043178C"/>
    <w:rsid w:val="004324D9"/>
    <w:rsid w:val="004327E3"/>
    <w:rsid w:val="00435A56"/>
    <w:rsid w:val="00435D91"/>
    <w:rsid w:val="004407B9"/>
    <w:rsid w:val="00440E6B"/>
    <w:rsid w:val="00441E75"/>
    <w:rsid w:val="004437EA"/>
    <w:rsid w:val="00443C07"/>
    <w:rsid w:val="004452AC"/>
    <w:rsid w:val="004462F2"/>
    <w:rsid w:val="00451D3E"/>
    <w:rsid w:val="00452E2A"/>
    <w:rsid w:val="004545AE"/>
    <w:rsid w:val="00454FBD"/>
    <w:rsid w:val="00455417"/>
    <w:rsid w:val="00457ADD"/>
    <w:rsid w:val="00460133"/>
    <w:rsid w:val="0046174F"/>
    <w:rsid w:val="00463FFA"/>
    <w:rsid w:val="0046502B"/>
    <w:rsid w:val="0046528B"/>
    <w:rsid w:val="00465749"/>
    <w:rsid w:val="00466859"/>
    <w:rsid w:val="00467C65"/>
    <w:rsid w:val="00471790"/>
    <w:rsid w:val="004725FC"/>
    <w:rsid w:val="00473BC9"/>
    <w:rsid w:val="00474352"/>
    <w:rsid w:val="004753ED"/>
    <w:rsid w:val="00475C68"/>
    <w:rsid w:val="004773F0"/>
    <w:rsid w:val="00480273"/>
    <w:rsid w:val="004802D0"/>
    <w:rsid w:val="0048033F"/>
    <w:rsid w:val="00482E69"/>
    <w:rsid w:val="00483B49"/>
    <w:rsid w:val="004843C2"/>
    <w:rsid w:val="00485D48"/>
    <w:rsid w:val="00485F62"/>
    <w:rsid w:val="004958D7"/>
    <w:rsid w:val="004966BA"/>
    <w:rsid w:val="00497DA1"/>
    <w:rsid w:val="004A0F04"/>
    <w:rsid w:val="004A303C"/>
    <w:rsid w:val="004A3487"/>
    <w:rsid w:val="004A7437"/>
    <w:rsid w:val="004A743C"/>
    <w:rsid w:val="004B0CAB"/>
    <w:rsid w:val="004B2B5B"/>
    <w:rsid w:val="004C17CF"/>
    <w:rsid w:val="004C1F93"/>
    <w:rsid w:val="004C59D3"/>
    <w:rsid w:val="004C6330"/>
    <w:rsid w:val="004D2D3A"/>
    <w:rsid w:val="004D35C8"/>
    <w:rsid w:val="004D3F03"/>
    <w:rsid w:val="004D51F9"/>
    <w:rsid w:val="004D525E"/>
    <w:rsid w:val="004D69C3"/>
    <w:rsid w:val="004E0493"/>
    <w:rsid w:val="004E0C9F"/>
    <w:rsid w:val="004E3619"/>
    <w:rsid w:val="004E3DA3"/>
    <w:rsid w:val="004E6496"/>
    <w:rsid w:val="004E7E51"/>
    <w:rsid w:val="004F07AE"/>
    <w:rsid w:val="004F16A9"/>
    <w:rsid w:val="004F1C9B"/>
    <w:rsid w:val="004F208F"/>
    <w:rsid w:val="004F32C5"/>
    <w:rsid w:val="004F4389"/>
    <w:rsid w:val="004F75E7"/>
    <w:rsid w:val="00500D0D"/>
    <w:rsid w:val="0050179D"/>
    <w:rsid w:val="00502096"/>
    <w:rsid w:val="0050497B"/>
    <w:rsid w:val="005052D5"/>
    <w:rsid w:val="005053F9"/>
    <w:rsid w:val="0050776F"/>
    <w:rsid w:val="0050794B"/>
    <w:rsid w:val="00510272"/>
    <w:rsid w:val="00511BEC"/>
    <w:rsid w:val="0051286F"/>
    <w:rsid w:val="0051547E"/>
    <w:rsid w:val="005167CE"/>
    <w:rsid w:val="00516ABA"/>
    <w:rsid w:val="00517FBF"/>
    <w:rsid w:val="005202C0"/>
    <w:rsid w:val="00523EB9"/>
    <w:rsid w:val="00526823"/>
    <w:rsid w:val="00527FF3"/>
    <w:rsid w:val="00531082"/>
    <w:rsid w:val="00536D8C"/>
    <w:rsid w:val="00543C0D"/>
    <w:rsid w:val="005457D3"/>
    <w:rsid w:val="00547CB3"/>
    <w:rsid w:val="00551ECE"/>
    <w:rsid w:val="00552134"/>
    <w:rsid w:val="00552D49"/>
    <w:rsid w:val="00556F2A"/>
    <w:rsid w:val="00560B67"/>
    <w:rsid w:val="00561A25"/>
    <w:rsid w:val="00567F2E"/>
    <w:rsid w:val="005713CA"/>
    <w:rsid w:val="005725CC"/>
    <w:rsid w:val="005751EC"/>
    <w:rsid w:val="00575719"/>
    <w:rsid w:val="00577D87"/>
    <w:rsid w:val="00577E84"/>
    <w:rsid w:val="005800BF"/>
    <w:rsid w:val="00580F88"/>
    <w:rsid w:val="00581C71"/>
    <w:rsid w:val="00581EC8"/>
    <w:rsid w:val="00583291"/>
    <w:rsid w:val="00583A8A"/>
    <w:rsid w:val="00595BCC"/>
    <w:rsid w:val="00596A92"/>
    <w:rsid w:val="00596C81"/>
    <w:rsid w:val="0059714E"/>
    <w:rsid w:val="005A0C03"/>
    <w:rsid w:val="005A2552"/>
    <w:rsid w:val="005A63F0"/>
    <w:rsid w:val="005B03D8"/>
    <w:rsid w:val="005B05F3"/>
    <w:rsid w:val="005B0C6D"/>
    <w:rsid w:val="005B2A24"/>
    <w:rsid w:val="005B4264"/>
    <w:rsid w:val="005B6940"/>
    <w:rsid w:val="005B79A6"/>
    <w:rsid w:val="005C1EEE"/>
    <w:rsid w:val="005C2C3F"/>
    <w:rsid w:val="005C3A2D"/>
    <w:rsid w:val="005C46A2"/>
    <w:rsid w:val="005C50B5"/>
    <w:rsid w:val="005C5837"/>
    <w:rsid w:val="005C691A"/>
    <w:rsid w:val="005D10FE"/>
    <w:rsid w:val="005D159D"/>
    <w:rsid w:val="005D17E8"/>
    <w:rsid w:val="005D7684"/>
    <w:rsid w:val="005E0F0A"/>
    <w:rsid w:val="005E0FC6"/>
    <w:rsid w:val="005E3F08"/>
    <w:rsid w:val="005E574C"/>
    <w:rsid w:val="005E5D92"/>
    <w:rsid w:val="005E5E1F"/>
    <w:rsid w:val="005E6CDC"/>
    <w:rsid w:val="005F0DF6"/>
    <w:rsid w:val="005F0E52"/>
    <w:rsid w:val="005F2005"/>
    <w:rsid w:val="005F2879"/>
    <w:rsid w:val="005F2D19"/>
    <w:rsid w:val="005F4A9A"/>
    <w:rsid w:val="005F7E2B"/>
    <w:rsid w:val="00601E87"/>
    <w:rsid w:val="0060615E"/>
    <w:rsid w:val="00606ABB"/>
    <w:rsid w:val="00606D2B"/>
    <w:rsid w:val="0060708B"/>
    <w:rsid w:val="006107D4"/>
    <w:rsid w:val="0061316D"/>
    <w:rsid w:val="0061417E"/>
    <w:rsid w:val="00614289"/>
    <w:rsid w:val="0061503C"/>
    <w:rsid w:val="006158F4"/>
    <w:rsid w:val="00615F78"/>
    <w:rsid w:val="00617785"/>
    <w:rsid w:val="00617F82"/>
    <w:rsid w:val="00620E83"/>
    <w:rsid w:val="00621E2B"/>
    <w:rsid w:val="006220FB"/>
    <w:rsid w:val="00622C2E"/>
    <w:rsid w:val="00622C6E"/>
    <w:rsid w:val="00626F3F"/>
    <w:rsid w:val="0063149F"/>
    <w:rsid w:val="00631789"/>
    <w:rsid w:val="00633255"/>
    <w:rsid w:val="0063433B"/>
    <w:rsid w:val="006401CC"/>
    <w:rsid w:val="0064247D"/>
    <w:rsid w:val="00642562"/>
    <w:rsid w:val="00650642"/>
    <w:rsid w:val="00651586"/>
    <w:rsid w:val="00652E9B"/>
    <w:rsid w:val="0065441A"/>
    <w:rsid w:val="00656E68"/>
    <w:rsid w:val="0065749A"/>
    <w:rsid w:val="00660ED0"/>
    <w:rsid w:val="0066116F"/>
    <w:rsid w:val="0066134D"/>
    <w:rsid w:val="006627DA"/>
    <w:rsid w:val="00663D13"/>
    <w:rsid w:val="006645E7"/>
    <w:rsid w:val="00670580"/>
    <w:rsid w:val="00671A2C"/>
    <w:rsid w:val="00672207"/>
    <w:rsid w:val="00674877"/>
    <w:rsid w:val="00675651"/>
    <w:rsid w:val="006761A9"/>
    <w:rsid w:val="00677B2E"/>
    <w:rsid w:val="0068058B"/>
    <w:rsid w:val="00681396"/>
    <w:rsid w:val="0068262D"/>
    <w:rsid w:val="00682C11"/>
    <w:rsid w:val="006839C6"/>
    <w:rsid w:val="00685449"/>
    <w:rsid w:val="00686486"/>
    <w:rsid w:val="006879EF"/>
    <w:rsid w:val="006912FE"/>
    <w:rsid w:val="00691601"/>
    <w:rsid w:val="0069241C"/>
    <w:rsid w:val="00693DD8"/>
    <w:rsid w:val="00695173"/>
    <w:rsid w:val="006952FF"/>
    <w:rsid w:val="006A10A1"/>
    <w:rsid w:val="006A26C9"/>
    <w:rsid w:val="006A2CF5"/>
    <w:rsid w:val="006A2D6F"/>
    <w:rsid w:val="006A414A"/>
    <w:rsid w:val="006A61EC"/>
    <w:rsid w:val="006A72E5"/>
    <w:rsid w:val="006B0E3A"/>
    <w:rsid w:val="006B4CBD"/>
    <w:rsid w:val="006B6332"/>
    <w:rsid w:val="006B67BF"/>
    <w:rsid w:val="006B7926"/>
    <w:rsid w:val="006C04D5"/>
    <w:rsid w:val="006C11A6"/>
    <w:rsid w:val="006C1B13"/>
    <w:rsid w:val="006C23E1"/>
    <w:rsid w:val="006C2807"/>
    <w:rsid w:val="006C53CF"/>
    <w:rsid w:val="006D016E"/>
    <w:rsid w:val="006D0CE2"/>
    <w:rsid w:val="006D3764"/>
    <w:rsid w:val="006D695A"/>
    <w:rsid w:val="006E188A"/>
    <w:rsid w:val="006E2AF0"/>
    <w:rsid w:val="006E47E1"/>
    <w:rsid w:val="006E519D"/>
    <w:rsid w:val="006E7476"/>
    <w:rsid w:val="006E74A0"/>
    <w:rsid w:val="006F05C5"/>
    <w:rsid w:val="006F3800"/>
    <w:rsid w:val="006F4A1A"/>
    <w:rsid w:val="006F71A2"/>
    <w:rsid w:val="006F771D"/>
    <w:rsid w:val="006F7835"/>
    <w:rsid w:val="007007C0"/>
    <w:rsid w:val="007015A8"/>
    <w:rsid w:val="00704570"/>
    <w:rsid w:val="0070780B"/>
    <w:rsid w:val="00710E95"/>
    <w:rsid w:val="007128B4"/>
    <w:rsid w:val="0071459C"/>
    <w:rsid w:val="007158FC"/>
    <w:rsid w:val="007164FE"/>
    <w:rsid w:val="007174B1"/>
    <w:rsid w:val="007241E4"/>
    <w:rsid w:val="00726648"/>
    <w:rsid w:val="0073221D"/>
    <w:rsid w:val="00732CD3"/>
    <w:rsid w:val="00734252"/>
    <w:rsid w:val="0073455E"/>
    <w:rsid w:val="00735D1C"/>
    <w:rsid w:val="0073659A"/>
    <w:rsid w:val="00742392"/>
    <w:rsid w:val="00743A7B"/>
    <w:rsid w:val="007443CE"/>
    <w:rsid w:val="0074448F"/>
    <w:rsid w:val="0075059B"/>
    <w:rsid w:val="00751950"/>
    <w:rsid w:val="00754068"/>
    <w:rsid w:val="007569AA"/>
    <w:rsid w:val="007601B0"/>
    <w:rsid w:val="00760276"/>
    <w:rsid w:val="007622E0"/>
    <w:rsid w:val="00763221"/>
    <w:rsid w:val="00763570"/>
    <w:rsid w:val="00763FC3"/>
    <w:rsid w:val="007648DD"/>
    <w:rsid w:val="007664DF"/>
    <w:rsid w:val="007667CB"/>
    <w:rsid w:val="00767090"/>
    <w:rsid w:val="00770838"/>
    <w:rsid w:val="00773B80"/>
    <w:rsid w:val="00774AB5"/>
    <w:rsid w:val="00775064"/>
    <w:rsid w:val="00775872"/>
    <w:rsid w:val="00775BD6"/>
    <w:rsid w:val="0078012C"/>
    <w:rsid w:val="0078185D"/>
    <w:rsid w:val="00781C22"/>
    <w:rsid w:val="00782884"/>
    <w:rsid w:val="00783202"/>
    <w:rsid w:val="0078438A"/>
    <w:rsid w:val="0079160C"/>
    <w:rsid w:val="00792620"/>
    <w:rsid w:val="00793A30"/>
    <w:rsid w:val="00794589"/>
    <w:rsid w:val="00795AE7"/>
    <w:rsid w:val="007A0055"/>
    <w:rsid w:val="007A2CB8"/>
    <w:rsid w:val="007A30A3"/>
    <w:rsid w:val="007A40EC"/>
    <w:rsid w:val="007A7284"/>
    <w:rsid w:val="007A77BD"/>
    <w:rsid w:val="007B01CC"/>
    <w:rsid w:val="007B0DE5"/>
    <w:rsid w:val="007B31AB"/>
    <w:rsid w:val="007B4A00"/>
    <w:rsid w:val="007B4A37"/>
    <w:rsid w:val="007B7654"/>
    <w:rsid w:val="007C2586"/>
    <w:rsid w:val="007C29AD"/>
    <w:rsid w:val="007C3126"/>
    <w:rsid w:val="007C5740"/>
    <w:rsid w:val="007C6272"/>
    <w:rsid w:val="007C6368"/>
    <w:rsid w:val="007D0174"/>
    <w:rsid w:val="007D0902"/>
    <w:rsid w:val="007D1D86"/>
    <w:rsid w:val="007D30FF"/>
    <w:rsid w:val="007D3A7C"/>
    <w:rsid w:val="007D4465"/>
    <w:rsid w:val="007D7A5D"/>
    <w:rsid w:val="007E16B1"/>
    <w:rsid w:val="007E30D2"/>
    <w:rsid w:val="007E5144"/>
    <w:rsid w:val="007E6480"/>
    <w:rsid w:val="007E7707"/>
    <w:rsid w:val="007F1F48"/>
    <w:rsid w:val="007F4042"/>
    <w:rsid w:val="007F5920"/>
    <w:rsid w:val="007F7FC2"/>
    <w:rsid w:val="008004FD"/>
    <w:rsid w:val="00800B67"/>
    <w:rsid w:val="008010C7"/>
    <w:rsid w:val="008011DB"/>
    <w:rsid w:val="00802508"/>
    <w:rsid w:val="008026C6"/>
    <w:rsid w:val="00804000"/>
    <w:rsid w:val="008058A8"/>
    <w:rsid w:val="00813D18"/>
    <w:rsid w:val="00814493"/>
    <w:rsid w:val="008152B7"/>
    <w:rsid w:val="008157A0"/>
    <w:rsid w:val="00816038"/>
    <w:rsid w:val="008162B5"/>
    <w:rsid w:val="00816C02"/>
    <w:rsid w:val="00823662"/>
    <w:rsid w:val="00823737"/>
    <w:rsid w:val="00824674"/>
    <w:rsid w:val="00824C33"/>
    <w:rsid w:val="00824E6B"/>
    <w:rsid w:val="00824F6A"/>
    <w:rsid w:val="00825150"/>
    <w:rsid w:val="00825746"/>
    <w:rsid w:val="00826C45"/>
    <w:rsid w:val="00827FB6"/>
    <w:rsid w:val="00837734"/>
    <w:rsid w:val="0083799C"/>
    <w:rsid w:val="008379C2"/>
    <w:rsid w:val="00837D0A"/>
    <w:rsid w:val="008416B5"/>
    <w:rsid w:val="00841841"/>
    <w:rsid w:val="0084278C"/>
    <w:rsid w:val="0084312D"/>
    <w:rsid w:val="00843AB7"/>
    <w:rsid w:val="00844558"/>
    <w:rsid w:val="00846856"/>
    <w:rsid w:val="00846C28"/>
    <w:rsid w:val="008475BC"/>
    <w:rsid w:val="0085256D"/>
    <w:rsid w:val="00856EB0"/>
    <w:rsid w:val="0086037B"/>
    <w:rsid w:val="00861ADD"/>
    <w:rsid w:val="00861F7E"/>
    <w:rsid w:val="00863245"/>
    <w:rsid w:val="008647BE"/>
    <w:rsid w:val="00864F51"/>
    <w:rsid w:val="00865AD4"/>
    <w:rsid w:val="00871150"/>
    <w:rsid w:val="008711D3"/>
    <w:rsid w:val="008724A0"/>
    <w:rsid w:val="00872887"/>
    <w:rsid w:val="00876580"/>
    <w:rsid w:val="0087689D"/>
    <w:rsid w:val="008769A9"/>
    <w:rsid w:val="00876AA5"/>
    <w:rsid w:val="00877AF6"/>
    <w:rsid w:val="0088150A"/>
    <w:rsid w:val="008824BA"/>
    <w:rsid w:val="00883122"/>
    <w:rsid w:val="008836BC"/>
    <w:rsid w:val="008841AE"/>
    <w:rsid w:val="00885AD9"/>
    <w:rsid w:val="00886D92"/>
    <w:rsid w:val="00887030"/>
    <w:rsid w:val="00887417"/>
    <w:rsid w:val="008875B4"/>
    <w:rsid w:val="00887F69"/>
    <w:rsid w:val="00891FA3"/>
    <w:rsid w:val="008925AC"/>
    <w:rsid w:val="00893AA3"/>
    <w:rsid w:val="008943F8"/>
    <w:rsid w:val="0089592C"/>
    <w:rsid w:val="00895998"/>
    <w:rsid w:val="00897A8A"/>
    <w:rsid w:val="008A0193"/>
    <w:rsid w:val="008A310E"/>
    <w:rsid w:val="008A338E"/>
    <w:rsid w:val="008A36E9"/>
    <w:rsid w:val="008A49BB"/>
    <w:rsid w:val="008A5323"/>
    <w:rsid w:val="008B2F83"/>
    <w:rsid w:val="008B3CF1"/>
    <w:rsid w:val="008B3D9E"/>
    <w:rsid w:val="008B4095"/>
    <w:rsid w:val="008B4F5B"/>
    <w:rsid w:val="008B70F8"/>
    <w:rsid w:val="008C1186"/>
    <w:rsid w:val="008C56E1"/>
    <w:rsid w:val="008D0CCE"/>
    <w:rsid w:val="008D309B"/>
    <w:rsid w:val="008D4731"/>
    <w:rsid w:val="008D5223"/>
    <w:rsid w:val="008D59BD"/>
    <w:rsid w:val="008D7636"/>
    <w:rsid w:val="008E312F"/>
    <w:rsid w:val="008E7766"/>
    <w:rsid w:val="008F0B23"/>
    <w:rsid w:val="008F1902"/>
    <w:rsid w:val="008F24E7"/>
    <w:rsid w:val="008F4D7D"/>
    <w:rsid w:val="0090089A"/>
    <w:rsid w:val="00901D7F"/>
    <w:rsid w:val="00903B2A"/>
    <w:rsid w:val="009044F3"/>
    <w:rsid w:val="00905991"/>
    <w:rsid w:val="00905BED"/>
    <w:rsid w:val="009060C8"/>
    <w:rsid w:val="00920440"/>
    <w:rsid w:val="00922D22"/>
    <w:rsid w:val="009234F7"/>
    <w:rsid w:val="009239EE"/>
    <w:rsid w:val="00926468"/>
    <w:rsid w:val="009266FF"/>
    <w:rsid w:val="009268AC"/>
    <w:rsid w:val="00930C5D"/>
    <w:rsid w:val="009312E1"/>
    <w:rsid w:val="00936829"/>
    <w:rsid w:val="00936BC2"/>
    <w:rsid w:val="009413FD"/>
    <w:rsid w:val="0094194C"/>
    <w:rsid w:val="00941EA5"/>
    <w:rsid w:val="00946659"/>
    <w:rsid w:val="00947412"/>
    <w:rsid w:val="009500D9"/>
    <w:rsid w:val="0095113E"/>
    <w:rsid w:val="0095753A"/>
    <w:rsid w:val="00957DB6"/>
    <w:rsid w:val="00960C4B"/>
    <w:rsid w:val="009629D5"/>
    <w:rsid w:val="009649CA"/>
    <w:rsid w:val="009654FF"/>
    <w:rsid w:val="00970397"/>
    <w:rsid w:val="00971C04"/>
    <w:rsid w:val="00976023"/>
    <w:rsid w:val="009775B0"/>
    <w:rsid w:val="00977DC2"/>
    <w:rsid w:val="00982685"/>
    <w:rsid w:val="009831C6"/>
    <w:rsid w:val="00983F80"/>
    <w:rsid w:val="00984A9E"/>
    <w:rsid w:val="00985C4E"/>
    <w:rsid w:val="009867C3"/>
    <w:rsid w:val="00987CA8"/>
    <w:rsid w:val="00990887"/>
    <w:rsid w:val="009916EF"/>
    <w:rsid w:val="009920A5"/>
    <w:rsid w:val="0099235C"/>
    <w:rsid w:val="00992771"/>
    <w:rsid w:val="00996310"/>
    <w:rsid w:val="0099758F"/>
    <w:rsid w:val="00997C49"/>
    <w:rsid w:val="009A0112"/>
    <w:rsid w:val="009A05D8"/>
    <w:rsid w:val="009A21B5"/>
    <w:rsid w:val="009A2C8B"/>
    <w:rsid w:val="009A2DA3"/>
    <w:rsid w:val="009A466F"/>
    <w:rsid w:val="009A67BE"/>
    <w:rsid w:val="009B0096"/>
    <w:rsid w:val="009B317D"/>
    <w:rsid w:val="009B4306"/>
    <w:rsid w:val="009C13FB"/>
    <w:rsid w:val="009C3AAF"/>
    <w:rsid w:val="009C4212"/>
    <w:rsid w:val="009C495F"/>
    <w:rsid w:val="009C538B"/>
    <w:rsid w:val="009C6BE9"/>
    <w:rsid w:val="009C7094"/>
    <w:rsid w:val="009D0016"/>
    <w:rsid w:val="009D013E"/>
    <w:rsid w:val="009D10E5"/>
    <w:rsid w:val="009D147B"/>
    <w:rsid w:val="009D1642"/>
    <w:rsid w:val="009D2060"/>
    <w:rsid w:val="009D3AA9"/>
    <w:rsid w:val="009D3E8F"/>
    <w:rsid w:val="009D47FC"/>
    <w:rsid w:val="009D633F"/>
    <w:rsid w:val="009E04DD"/>
    <w:rsid w:val="009E0C41"/>
    <w:rsid w:val="009E1A0F"/>
    <w:rsid w:val="009E29B9"/>
    <w:rsid w:val="009E2DA7"/>
    <w:rsid w:val="009E3088"/>
    <w:rsid w:val="009E4641"/>
    <w:rsid w:val="009E5139"/>
    <w:rsid w:val="009E5292"/>
    <w:rsid w:val="009E69AE"/>
    <w:rsid w:val="009F1332"/>
    <w:rsid w:val="009F2969"/>
    <w:rsid w:val="009F52EF"/>
    <w:rsid w:val="009F69D6"/>
    <w:rsid w:val="00A009D1"/>
    <w:rsid w:val="00A02239"/>
    <w:rsid w:val="00A059F1"/>
    <w:rsid w:val="00A05A7F"/>
    <w:rsid w:val="00A0654C"/>
    <w:rsid w:val="00A069EF"/>
    <w:rsid w:val="00A123A6"/>
    <w:rsid w:val="00A1339C"/>
    <w:rsid w:val="00A13D3A"/>
    <w:rsid w:val="00A14317"/>
    <w:rsid w:val="00A14F4A"/>
    <w:rsid w:val="00A17869"/>
    <w:rsid w:val="00A21650"/>
    <w:rsid w:val="00A21D1A"/>
    <w:rsid w:val="00A23E19"/>
    <w:rsid w:val="00A25613"/>
    <w:rsid w:val="00A2588C"/>
    <w:rsid w:val="00A27343"/>
    <w:rsid w:val="00A30478"/>
    <w:rsid w:val="00A36E31"/>
    <w:rsid w:val="00A37C6B"/>
    <w:rsid w:val="00A4012B"/>
    <w:rsid w:val="00A405FB"/>
    <w:rsid w:val="00A40F07"/>
    <w:rsid w:val="00A416F9"/>
    <w:rsid w:val="00A41E01"/>
    <w:rsid w:val="00A437F9"/>
    <w:rsid w:val="00A4435D"/>
    <w:rsid w:val="00A443F2"/>
    <w:rsid w:val="00A5231A"/>
    <w:rsid w:val="00A52EA7"/>
    <w:rsid w:val="00A55795"/>
    <w:rsid w:val="00A6238E"/>
    <w:rsid w:val="00A62B1B"/>
    <w:rsid w:val="00A641A6"/>
    <w:rsid w:val="00A67075"/>
    <w:rsid w:val="00A671C8"/>
    <w:rsid w:val="00A6741E"/>
    <w:rsid w:val="00A71558"/>
    <w:rsid w:val="00A71D3D"/>
    <w:rsid w:val="00A73D75"/>
    <w:rsid w:val="00A81CAD"/>
    <w:rsid w:val="00A81F4E"/>
    <w:rsid w:val="00A83192"/>
    <w:rsid w:val="00A842AA"/>
    <w:rsid w:val="00A8590D"/>
    <w:rsid w:val="00A86E4A"/>
    <w:rsid w:val="00A87614"/>
    <w:rsid w:val="00A907C5"/>
    <w:rsid w:val="00A93C16"/>
    <w:rsid w:val="00A93E77"/>
    <w:rsid w:val="00A94EDC"/>
    <w:rsid w:val="00A959FC"/>
    <w:rsid w:val="00A97DD8"/>
    <w:rsid w:val="00AA1D17"/>
    <w:rsid w:val="00AA1D4E"/>
    <w:rsid w:val="00AA3352"/>
    <w:rsid w:val="00AA3847"/>
    <w:rsid w:val="00AA5BBF"/>
    <w:rsid w:val="00AA6CEE"/>
    <w:rsid w:val="00AA74EA"/>
    <w:rsid w:val="00AB06D1"/>
    <w:rsid w:val="00AB201B"/>
    <w:rsid w:val="00AB3133"/>
    <w:rsid w:val="00AB6AB5"/>
    <w:rsid w:val="00AB756D"/>
    <w:rsid w:val="00AC293B"/>
    <w:rsid w:val="00AC6D76"/>
    <w:rsid w:val="00AD063C"/>
    <w:rsid w:val="00AD1BEA"/>
    <w:rsid w:val="00AD24C3"/>
    <w:rsid w:val="00AD2CD4"/>
    <w:rsid w:val="00AD3702"/>
    <w:rsid w:val="00AD4787"/>
    <w:rsid w:val="00AD6687"/>
    <w:rsid w:val="00AD730B"/>
    <w:rsid w:val="00AE0165"/>
    <w:rsid w:val="00AE2F9D"/>
    <w:rsid w:val="00AE31E2"/>
    <w:rsid w:val="00AE3748"/>
    <w:rsid w:val="00AE37DD"/>
    <w:rsid w:val="00AE558F"/>
    <w:rsid w:val="00AE7089"/>
    <w:rsid w:val="00AE7421"/>
    <w:rsid w:val="00AE7D59"/>
    <w:rsid w:val="00AF1CBB"/>
    <w:rsid w:val="00AF75F2"/>
    <w:rsid w:val="00AF7F1C"/>
    <w:rsid w:val="00B00B5F"/>
    <w:rsid w:val="00B01589"/>
    <w:rsid w:val="00B01E08"/>
    <w:rsid w:val="00B026B3"/>
    <w:rsid w:val="00B0552B"/>
    <w:rsid w:val="00B06BF3"/>
    <w:rsid w:val="00B07AE6"/>
    <w:rsid w:val="00B10282"/>
    <w:rsid w:val="00B1343F"/>
    <w:rsid w:val="00B1410A"/>
    <w:rsid w:val="00B14575"/>
    <w:rsid w:val="00B146B4"/>
    <w:rsid w:val="00B147DF"/>
    <w:rsid w:val="00B20B62"/>
    <w:rsid w:val="00B257D5"/>
    <w:rsid w:val="00B26D43"/>
    <w:rsid w:val="00B31F81"/>
    <w:rsid w:val="00B32C40"/>
    <w:rsid w:val="00B343F3"/>
    <w:rsid w:val="00B35DB4"/>
    <w:rsid w:val="00B37F25"/>
    <w:rsid w:val="00B37F3C"/>
    <w:rsid w:val="00B40677"/>
    <w:rsid w:val="00B41AD4"/>
    <w:rsid w:val="00B42055"/>
    <w:rsid w:val="00B46482"/>
    <w:rsid w:val="00B46E5E"/>
    <w:rsid w:val="00B50135"/>
    <w:rsid w:val="00B51A8E"/>
    <w:rsid w:val="00B52FD3"/>
    <w:rsid w:val="00B536D9"/>
    <w:rsid w:val="00B537DD"/>
    <w:rsid w:val="00B53B16"/>
    <w:rsid w:val="00B55023"/>
    <w:rsid w:val="00B5626A"/>
    <w:rsid w:val="00B61D6A"/>
    <w:rsid w:val="00B70521"/>
    <w:rsid w:val="00B70D11"/>
    <w:rsid w:val="00B7158B"/>
    <w:rsid w:val="00B71BB4"/>
    <w:rsid w:val="00B72592"/>
    <w:rsid w:val="00B74E4A"/>
    <w:rsid w:val="00B77479"/>
    <w:rsid w:val="00B81517"/>
    <w:rsid w:val="00B81A5D"/>
    <w:rsid w:val="00B84059"/>
    <w:rsid w:val="00B85EB4"/>
    <w:rsid w:val="00B87CBF"/>
    <w:rsid w:val="00B9068A"/>
    <w:rsid w:val="00B91E68"/>
    <w:rsid w:val="00B922AB"/>
    <w:rsid w:val="00B93636"/>
    <w:rsid w:val="00B93BC9"/>
    <w:rsid w:val="00B942CA"/>
    <w:rsid w:val="00B94B70"/>
    <w:rsid w:val="00B9522C"/>
    <w:rsid w:val="00B9530B"/>
    <w:rsid w:val="00B95E35"/>
    <w:rsid w:val="00BA0055"/>
    <w:rsid w:val="00BA44E5"/>
    <w:rsid w:val="00BA766A"/>
    <w:rsid w:val="00BB5F7C"/>
    <w:rsid w:val="00BB6108"/>
    <w:rsid w:val="00BB642A"/>
    <w:rsid w:val="00BB6E86"/>
    <w:rsid w:val="00BC5201"/>
    <w:rsid w:val="00BC5F83"/>
    <w:rsid w:val="00BC6235"/>
    <w:rsid w:val="00BC66DF"/>
    <w:rsid w:val="00BC6955"/>
    <w:rsid w:val="00BD384F"/>
    <w:rsid w:val="00BD4A41"/>
    <w:rsid w:val="00BD60EF"/>
    <w:rsid w:val="00BD6605"/>
    <w:rsid w:val="00BD74D1"/>
    <w:rsid w:val="00BE087C"/>
    <w:rsid w:val="00BE0997"/>
    <w:rsid w:val="00BE151C"/>
    <w:rsid w:val="00BE1BC4"/>
    <w:rsid w:val="00BE2FBE"/>
    <w:rsid w:val="00BE44EA"/>
    <w:rsid w:val="00BE590B"/>
    <w:rsid w:val="00BF2CE2"/>
    <w:rsid w:val="00BF32C1"/>
    <w:rsid w:val="00BF3F44"/>
    <w:rsid w:val="00BF43F2"/>
    <w:rsid w:val="00C005C3"/>
    <w:rsid w:val="00C02E74"/>
    <w:rsid w:val="00C038AE"/>
    <w:rsid w:val="00C04461"/>
    <w:rsid w:val="00C0678F"/>
    <w:rsid w:val="00C111A7"/>
    <w:rsid w:val="00C126FF"/>
    <w:rsid w:val="00C12AB4"/>
    <w:rsid w:val="00C13302"/>
    <w:rsid w:val="00C13499"/>
    <w:rsid w:val="00C136F3"/>
    <w:rsid w:val="00C13CF7"/>
    <w:rsid w:val="00C13FA8"/>
    <w:rsid w:val="00C1629E"/>
    <w:rsid w:val="00C171BD"/>
    <w:rsid w:val="00C20ECD"/>
    <w:rsid w:val="00C23C19"/>
    <w:rsid w:val="00C2611B"/>
    <w:rsid w:val="00C26B34"/>
    <w:rsid w:val="00C30BDE"/>
    <w:rsid w:val="00C3136E"/>
    <w:rsid w:val="00C31417"/>
    <w:rsid w:val="00C37885"/>
    <w:rsid w:val="00C4215E"/>
    <w:rsid w:val="00C421CB"/>
    <w:rsid w:val="00C426CA"/>
    <w:rsid w:val="00C4396C"/>
    <w:rsid w:val="00C44A2E"/>
    <w:rsid w:val="00C44F4D"/>
    <w:rsid w:val="00C44FCD"/>
    <w:rsid w:val="00C450B3"/>
    <w:rsid w:val="00C45A9D"/>
    <w:rsid w:val="00C46820"/>
    <w:rsid w:val="00C503E4"/>
    <w:rsid w:val="00C50DA9"/>
    <w:rsid w:val="00C50FA2"/>
    <w:rsid w:val="00C54924"/>
    <w:rsid w:val="00C57AE8"/>
    <w:rsid w:val="00C6137C"/>
    <w:rsid w:val="00C61C64"/>
    <w:rsid w:val="00C653FC"/>
    <w:rsid w:val="00C71673"/>
    <w:rsid w:val="00C73658"/>
    <w:rsid w:val="00C74D17"/>
    <w:rsid w:val="00C74E89"/>
    <w:rsid w:val="00C76A02"/>
    <w:rsid w:val="00C77658"/>
    <w:rsid w:val="00C77AF6"/>
    <w:rsid w:val="00C8069B"/>
    <w:rsid w:val="00C80B4B"/>
    <w:rsid w:val="00C8250C"/>
    <w:rsid w:val="00C840DC"/>
    <w:rsid w:val="00C861BA"/>
    <w:rsid w:val="00C90B0F"/>
    <w:rsid w:val="00C90F42"/>
    <w:rsid w:val="00C94594"/>
    <w:rsid w:val="00C966B6"/>
    <w:rsid w:val="00CA035E"/>
    <w:rsid w:val="00CA30C1"/>
    <w:rsid w:val="00CA3507"/>
    <w:rsid w:val="00CA5CA7"/>
    <w:rsid w:val="00CA6993"/>
    <w:rsid w:val="00CB2499"/>
    <w:rsid w:val="00CB258A"/>
    <w:rsid w:val="00CC0C7F"/>
    <w:rsid w:val="00CC363E"/>
    <w:rsid w:val="00CC3A1E"/>
    <w:rsid w:val="00CC46F2"/>
    <w:rsid w:val="00CC7133"/>
    <w:rsid w:val="00CD4498"/>
    <w:rsid w:val="00CD5D2C"/>
    <w:rsid w:val="00CD73F8"/>
    <w:rsid w:val="00CE085C"/>
    <w:rsid w:val="00CE20DF"/>
    <w:rsid w:val="00CE2500"/>
    <w:rsid w:val="00CE3985"/>
    <w:rsid w:val="00CE596F"/>
    <w:rsid w:val="00CE7739"/>
    <w:rsid w:val="00CE7D17"/>
    <w:rsid w:val="00CF0038"/>
    <w:rsid w:val="00CF2D89"/>
    <w:rsid w:val="00CF2E88"/>
    <w:rsid w:val="00CF3222"/>
    <w:rsid w:val="00CF4B85"/>
    <w:rsid w:val="00CF7C6D"/>
    <w:rsid w:val="00D001F1"/>
    <w:rsid w:val="00D016BB"/>
    <w:rsid w:val="00D0172E"/>
    <w:rsid w:val="00D04227"/>
    <w:rsid w:val="00D04544"/>
    <w:rsid w:val="00D064CE"/>
    <w:rsid w:val="00D11B0A"/>
    <w:rsid w:val="00D134A9"/>
    <w:rsid w:val="00D1359C"/>
    <w:rsid w:val="00D14744"/>
    <w:rsid w:val="00D152E7"/>
    <w:rsid w:val="00D16B8D"/>
    <w:rsid w:val="00D176E6"/>
    <w:rsid w:val="00D20FE0"/>
    <w:rsid w:val="00D2502C"/>
    <w:rsid w:val="00D2594A"/>
    <w:rsid w:val="00D26A9F"/>
    <w:rsid w:val="00D27B68"/>
    <w:rsid w:val="00D307AE"/>
    <w:rsid w:val="00D34983"/>
    <w:rsid w:val="00D3667E"/>
    <w:rsid w:val="00D368E6"/>
    <w:rsid w:val="00D377ED"/>
    <w:rsid w:val="00D40FC9"/>
    <w:rsid w:val="00D41D56"/>
    <w:rsid w:val="00D42111"/>
    <w:rsid w:val="00D42DE9"/>
    <w:rsid w:val="00D43A34"/>
    <w:rsid w:val="00D47158"/>
    <w:rsid w:val="00D47AF9"/>
    <w:rsid w:val="00D50B5C"/>
    <w:rsid w:val="00D50FEA"/>
    <w:rsid w:val="00D5421F"/>
    <w:rsid w:val="00D56B7A"/>
    <w:rsid w:val="00D6153E"/>
    <w:rsid w:val="00D62C42"/>
    <w:rsid w:val="00D63525"/>
    <w:rsid w:val="00D6377E"/>
    <w:rsid w:val="00D66CCA"/>
    <w:rsid w:val="00D6779F"/>
    <w:rsid w:val="00D67CBF"/>
    <w:rsid w:val="00D70D45"/>
    <w:rsid w:val="00D71A0C"/>
    <w:rsid w:val="00D763B4"/>
    <w:rsid w:val="00D805C0"/>
    <w:rsid w:val="00D83083"/>
    <w:rsid w:val="00D84939"/>
    <w:rsid w:val="00D86B2A"/>
    <w:rsid w:val="00D8725A"/>
    <w:rsid w:val="00D874F0"/>
    <w:rsid w:val="00D9022C"/>
    <w:rsid w:val="00D91219"/>
    <w:rsid w:val="00D92FB4"/>
    <w:rsid w:val="00D937E1"/>
    <w:rsid w:val="00D94445"/>
    <w:rsid w:val="00D94B4B"/>
    <w:rsid w:val="00D94D34"/>
    <w:rsid w:val="00D955C4"/>
    <w:rsid w:val="00D97231"/>
    <w:rsid w:val="00D97E0D"/>
    <w:rsid w:val="00DA37E4"/>
    <w:rsid w:val="00DA3E0B"/>
    <w:rsid w:val="00DA47A4"/>
    <w:rsid w:val="00DB0BBD"/>
    <w:rsid w:val="00DB170E"/>
    <w:rsid w:val="00DB17F3"/>
    <w:rsid w:val="00DB2999"/>
    <w:rsid w:val="00DB4154"/>
    <w:rsid w:val="00DB4611"/>
    <w:rsid w:val="00DB471A"/>
    <w:rsid w:val="00DB76B6"/>
    <w:rsid w:val="00DC1C6A"/>
    <w:rsid w:val="00DC29BD"/>
    <w:rsid w:val="00DC5660"/>
    <w:rsid w:val="00DC56DF"/>
    <w:rsid w:val="00DC7F16"/>
    <w:rsid w:val="00DC7FEF"/>
    <w:rsid w:val="00DD15A2"/>
    <w:rsid w:val="00DD1FF2"/>
    <w:rsid w:val="00DD4471"/>
    <w:rsid w:val="00DD503B"/>
    <w:rsid w:val="00DE4FBC"/>
    <w:rsid w:val="00DF080D"/>
    <w:rsid w:val="00DF0CF7"/>
    <w:rsid w:val="00DF11B6"/>
    <w:rsid w:val="00DF3944"/>
    <w:rsid w:val="00DF3A78"/>
    <w:rsid w:val="00E02237"/>
    <w:rsid w:val="00E033A4"/>
    <w:rsid w:val="00E03471"/>
    <w:rsid w:val="00E1080F"/>
    <w:rsid w:val="00E154AF"/>
    <w:rsid w:val="00E204CA"/>
    <w:rsid w:val="00E210E5"/>
    <w:rsid w:val="00E2360F"/>
    <w:rsid w:val="00E244A4"/>
    <w:rsid w:val="00E30329"/>
    <w:rsid w:val="00E30FE5"/>
    <w:rsid w:val="00E31169"/>
    <w:rsid w:val="00E3429D"/>
    <w:rsid w:val="00E356E9"/>
    <w:rsid w:val="00E3635E"/>
    <w:rsid w:val="00E365FD"/>
    <w:rsid w:val="00E36F54"/>
    <w:rsid w:val="00E37DFC"/>
    <w:rsid w:val="00E41492"/>
    <w:rsid w:val="00E42650"/>
    <w:rsid w:val="00E452FE"/>
    <w:rsid w:val="00E45586"/>
    <w:rsid w:val="00E456B4"/>
    <w:rsid w:val="00E460E5"/>
    <w:rsid w:val="00E46A6C"/>
    <w:rsid w:val="00E47D4C"/>
    <w:rsid w:val="00E538D4"/>
    <w:rsid w:val="00E549C6"/>
    <w:rsid w:val="00E579B5"/>
    <w:rsid w:val="00E600D9"/>
    <w:rsid w:val="00E605EC"/>
    <w:rsid w:val="00E60B32"/>
    <w:rsid w:val="00E62A7E"/>
    <w:rsid w:val="00E658B7"/>
    <w:rsid w:val="00E67192"/>
    <w:rsid w:val="00E71958"/>
    <w:rsid w:val="00E7425B"/>
    <w:rsid w:val="00E76894"/>
    <w:rsid w:val="00E76978"/>
    <w:rsid w:val="00E80336"/>
    <w:rsid w:val="00E821F7"/>
    <w:rsid w:val="00E827AD"/>
    <w:rsid w:val="00E8651C"/>
    <w:rsid w:val="00E871C8"/>
    <w:rsid w:val="00E871C9"/>
    <w:rsid w:val="00E87FEC"/>
    <w:rsid w:val="00E928A5"/>
    <w:rsid w:val="00EA04B8"/>
    <w:rsid w:val="00EA0EFF"/>
    <w:rsid w:val="00EA137D"/>
    <w:rsid w:val="00EA1551"/>
    <w:rsid w:val="00EA1CD8"/>
    <w:rsid w:val="00EA2791"/>
    <w:rsid w:val="00EA347E"/>
    <w:rsid w:val="00EA3DB5"/>
    <w:rsid w:val="00EA6591"/>
    <w:rsid w:val="00EA7969"/>
    <w:rsid w:val="00EA7BD8"/>
    <w:rsid w:val="00EA7C33"/>
    <w:rsid w:val="00EB22F2"/>
    <w:rsid w:val="00EB6CFC"/>
    <w:rsid w:val="00EB7D36"/>
    <w:rsid w:val="00EC050E"/>
    <w:rsid w:val="00EC2012"/>
    <w:rsid w:val="00EC2E27"/>
    <w:rsid w:val="00EC443D"/>
    <w:rsid w:val="00ED19C5"/>
    <w:rsid w:val="00ED1B4C"/>
    <w:rsid w:val="00ED34D6"/>
    <w:rsid w:val="00ED4A75"/>
    <w:rsid w:val="00ED6FDE"/>
    <w:rsid w:val="00ED7A4D"/>
    <w:rsid w:val="00EE0087"/>
    <w:rsid w:val="00EE13E5"/>
    <w:rsid w:val="00EE3F13"/>
    <w:rsid w:val="00EE4474"/>
    <w:rsid w:val="00EE6769"/>
    <w:rsid w:val="00EF3E26"/>
    <w:rsid w:val="00EF47FC"/>
    <w:rsid w:val="00EF5452"/>
    <w:rsid w:val="00F02D6C"/>
    <w:rsid w:val="00F05631"/>
    <w:rsid w:val="00F05A3A"/>
    <w:rsid w:val="00F066FE"/>
    <w:rsid w:val="00F06939"/>
    <w:rsid w:val="00F07D62"/>
    <w:rsid w:val="00F108FF"/>
    <w:rsid w:val="00F11708"/>
    <w:rsid w:val="00F12E2C"/>
    <w:rsid w:val="00F200D3"/>
    <w:rsid w:val="00F216C3"/>
    <w:rsid w:val="00F223B9"/>
    <w:rsid w:val="00F273F5"/>
    <w:rsid w:val="00F27A00"/>
    <w:rsid w:val="00F3049F"/>
    <w:rsid w:val="00F3071A"/>
    <w:rsid w:val="00F307C4"/>
    <w:rsid w:val="00F325F7"/>
    <w:rsid w:val="00F33DCF"/>
    <w:rsid w:val="00F35E41"/>
    <w:rsid w:val="00F375E4"/>
    <w:rsid w:val="00F37FE3"/>
    <w:rsid w:val="00F41118"/>
    <w:rsid w:val="00F41618"/>
    <w:rsid w:val="00F419AA"/>
    <w:rsid w:val="00F428AC"/>
    <w:rsid w:val="00F43280"/>
    <w:rsid w:val="00F43897"/>
    <w:rsid w:val="00F46DCD"/>
    <w:rsid w:val="00F479BF"/>
    <w:rsid w:val="00F51CC3"/>
    <w:rsid w:val="00F52A9A"/>
    <w:rsid w:val="00F53833"/>
    <w:rsid w:val="00F62E11"/>
    <w:rsid w:val="00F6477A"/>
    <w:rsid w:val="00F649A2"/>
    <w:rsid w:val="00F65227"/>
    <w:rsid w:val="00F658E6"/>
    <w:rsid w:val="00F6650A"/>
    <w:rsid w:val="00F672A9"/>
    <w:rsid w:val="00F7187B"/>
    <w:rsid w:val="00F71C8A"/>
    <w:rsid w:val="00F749A2"/>
    <w:rsid w:val="00F775E1"/>
    <w:rsid w:val="00F800A1"/>
    <w:rsid w:val="00F82033"/>
    <w:rsid w:val="00F85810"/>
    <w:rsid w:val="00F86CFF"/>
    <w:rsid w:val="00F9226F"/>
    <w:rsid w:val="00F94EA2"/>
    <w:rsid w:val="00F962AF"/>
    <w:rsid w:val="00F96ED9"/>
    <w:rsid w:val="00F97B99"/>
    <w:rsid w:val="00FA02FB"/>
    <w:rsid w:val="00FA19BE"/>
    <w:rsid w:val="00FA220E"/>
    <w:rsid w:val="00FA2604"/>
    <w:rsid w:val="00FA26B9"/>
    <w:rsid w:val="00FA2AD7"/>
    <w:rsid w:val="00FA3F6E"/>
    <w:rsid w:val="00FA5281"/>
    <w:rsid w:val="00FA57FD"/>
    <w:rsid w:val="00FB0DEB"/>
    <w:rsid w:val="00FB50F9"/>
    <w:rsid w:val="00FB633E"/>
    <w:rsid w:val="00FB7193"/>
    <w:rsid w:val="00FC121D"/>
    <w:rsid w:val="00FC2195"/>
    <w:rsid w:val="00FC23CF"/>
    <w:rsid w:val="00FC2FE2"/>
    <w:rsid w:val="00FC4D0C"/>
    <w:rsid w:val="00FC5FB0"/>
    <w:rsid w:val="00FC6015"/>
    <w:rsid w:val="00FC7A15"/>
    <w:rsid w:val="00FD6A7D"/>
    <w:rsid w:val="00FE10F7"/>
    <w:rsid w:val="00FE21BB"/>
    <w:rsid w:val="00FE3A42"/>
    <w:rsid w:val="00FE4F25"/>
    <w:rsid w:val="00FE5EEF"/>
    <w:rsid w:val="00FE6653"/>
    <w:rsid w:val="00FE67B3"/>
    <w:rsid w:val="00FF04D2"/>
    <w:rsid w:val="00FF1814"/>
    <w:rsid w:val="00FF222F"/>
    <w:rsid w:val="00FF3E8F"/>
    <w:rsid w:val="00FF4428"/>
    <w:rsid w:val="00FF4D94"/>
    <w:rsid w:val="00FF5508"/>
    <w:rsid w:val="00FF5A98"/>
    <w:rsid w:val="00FF6DED"/>
    <w:rsid w:val="3B7D70DC"/>
    <w:rsid w:val="3C399B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EA877"/>
  <w15:chartTrackingRefBased/>
  <w15:docId w15:val="{3A7DA35E-1D7A-4856-802E-A064342A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6FF"/>
    <w:pPr>
      <w:spacing w:after="0" w:line="240" w:lineRule="auto"/>
    </w:pPr>
    <w:rPr>
      <w:sz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4A303C"/>
    <w:pPr>
      <w:tabs>
        <w:tab w:val="center" w:pos="4419"/>
        <w:tab w:val="right" w:pos="8838"/>
      </w:tabs>
    </w:pPr>
  </w:style>
  <w:style w:type="character" w:customStyle="1" w:styleId="PiedepginaCar">
    <w:name w:val="Pie de página Car"/>
    <w:basedOn w:val="Fuentedeprrafopredeter"/>
    <w:link w:val="Piedepgina"/>
    <w:uiPriority w:val="99"/>
    <w:rsid w:val="004A303C"/>
    <w:rPr>
      <w:sz w:val="24"/>
      <w:lang w:val="es-MX"/>
    </w:rPr>
  </w:style>
  <w:style w:type="paragraph" w:styleId="Encabezado">
    <w:name w:val="header"/>
    <w:basedOn w:val="Normal"/>
    <w:link w:val="EncabezadoCar"/>
    <w:uiPriority w:val="99"/>
    <w:unhideWhenUsed/>
    <w:rsid w:val="004A303C"/>
    <w:pPr>
      <w:tabs>
        <w:tab w:val="center" w:pos="4252"/>
        <w:tab w:val="right" w:pos="8504"/>
      </w:tabs>
    </w:pPr>
  </w:style>
  <w:style w:type="character" w:customStyle="1" w:styleId="EncabezadoCar">
    <w:name w:val="Encabezado Car"/>
    <w:basedOn w:val="Fuentedeprrafopredeter"/>
    <w:link w:val="Encabezado"/>
    <w:uiPriority w:val="99"/>
    <w:rsid w:val="004A303C"/>
    <w:rPr>
      <w:sz w:val="24"/>
      <w:lang w:val="es-MX"/>
    </w:rPr>
  </w:style>
  <w:style w:type="table" w:styleId="Tablaconcuadrcula">
    <w:name w:val="Table Grid"/>
    <w:basedOn w:val="Tablanormal"/>
    <w:uiPriority w:val="39"/>
    <w:rsid w:val="004A3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4A303C"/>
    <w:pPr>
      <w:ind w:left="720"/>
      <w:contextualSpacing/>
    </w:pPr>
  </w:style>
  <w:style w:type="paragraph" w:styleId="Sinespaciado">
    <w:name w:val="No Spacing"/>
    <w:uiPriority w:val="1"/>
    <w:qFormat/>
    <w:rsid w:val="004A303C"/>
    <w:pPr>
      <w:spacing w:after="0" w:line="240" w:lineRule="auto"/>
    </w:pPr>
    <w:rPr>
      <w:sz w:val="24"/>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4A303C"/>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4A303C"/>
    <w:rPr>
      <w:sz w:val="20"/>
      <w:szCs w:val="20"/>
    </w:rPr>
  </w:style>
  <w:style w:type="character" w:customStyle="1" w:styleId="TextonotapieCar1">
    <w:name w:val="Texto nota pie Car1"/>
    <w:basedOn w:val="Fuentedeprrafopredeter"/>
    <w:uiPriority w:val="99"/>
    <w:semiHidden/>
    <w:rsid w:val="004A303C"/>
    <w:rPr>
      <w:sz w:val="20"/>
      <w:szCs w:val="20"/>
      <w:lang w:val="es-MX"/>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A303C"/>
    <w:rPr>
      <w:sz w:val="24"/>
      <w:lang w:val="es-MX"/>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4A303C"/>
    <w:rPr>
      <w:vertAlign w:val="superscript"/>
    </w:rPr>
  </w:style>
  <w:style w:type="paragraph" w:customStyle="1" w:styleId="InviasNormal">
    <w:name w:val="Invias Normal"/>
    <w:basedOn w:val="Normal"/>
    <w:link w:val="InviasNormalCar"/>
    <w:qFormat/>
    <w:rsid w:val="004A303C"/>
    <w:pPr>
      <w:tabs>
        <w:tab w:val="left" w:pos="-142"/>
      </w:tabs>
      <w:autoSpaceDE w:val="0"/>
      <w:autoSpaceDN w:val="0"/>
      <w:adjustRightInd w:val="0"/>
      <w:spacing w:before="120" w:after="240"/>
      <w:jc w:val="both"/>
    </w:pPr>
    <w:rPr>
      <w:rFonts w:ascii="Arial Narrow" w:eastAsia="Times New Roman" w:hAnsi="Arial Narrow" w:cs="Times New Roman"/>
      <w:color w:val="3B3838" w:themeColor="background2" w:themeShade="40"/>
      <w:szCs w:val="24"/>
      <w:lang w:val="x-none" w:eastAsia="es-ES"/>
    </w:rPr>
  </w:style>
  <w:style w:type="character" w:customStyle="1" w:styleId="InviasNormalCar">
    <w:name w:val="Invias Normal Car"/>
    <w:link w:val="InviasNormal"/>
    <w:locked/>
    <w:rsid w:val="004A303C"/>
    <w:rPr>
      <w:rFonts w:ascii="Arial Narrow" w:eastAsia="Times New Roman" w:hAnsi="Arial Narrow" w:cs="Times New Roman"/>
      <w:color w:val="3B3838" w:themeColor="background2" w:themeShade="40"/>
      <w:sz w:val="24"/>
      <w:szCs w:val="24"/>
      <w:lang w:val="x-none" w:eastAsia="es-ES"/>
    </w:rPr>
  </w:style>
  <w:style w:type="paragraph" w:customStyle="1" w:styleId="Invias-VietaNumerada">
    <w:name w:val="Invias-Viñeta Numerada"/>
    <w:next w:val="Normal"/>
    <w:link w:val="Invias-VietaNumeradaCar"/>
    <w:uiPriority w:val="99"/>
    <w:qFormat/>
    <w:rsid w:val="004A303C"/>
    <w:pPr>
      <w:spacing w:before="240" w:after="120" w:line="240" w:lineRule="auto"/>
      <w:jc w:val="both"/>
    </w:pPr>
    <w:rPr>
      <w:rFonts w:ascii="Arial Narrow" w:eastAsia="Times New Roman" w:hAnsi="Arial Narrow" w:cs="Times New Roman"/>
      <w:sz w:val="24"/>
      <w:szCs w:val="24"/>
      <w:lang w:val="en-US" w:eastAsia="es-ES"/>
    </w:rPr>
  </w:style>
  <w:style w:type="character" w:customStyle="1" w:styleId="Invias-VietaNumeradaCar">
    <w:name w:val="Invias-Viñeta Numerada Car"/>
    <w:link w:val="Invias-VietaNumerada"/>
    <w:uiPriority w:val="99"/>
    <w:locked/>
    <w:rsid w:val="004A303C"/>
    <w:rPr>
      <w:rFonts w:ascii="Arial Narrow" w:eastAsia="Times New Roman" w:hAnsi="Arial Narrow" w:cs="Times New Roman"/>
      <w:sz w:val="24"/>
      <w:szCs w:val="24"/>
      <w:lang w:val="en-US" w:eastAsia="es-ES"/>
    </w:rPr>
  </w:style>
  <w:style w:type="character" w:styleId="Refdecomentario">
    <w:name w:val="annotation reference"/>
    <w:basedOn w:val="Fuentedeprrafopredeter"/>
    <w:uiPriority w:val="99"/>
    <w:semiHidden/>
    <w:unhideWhenUsed/>
    <w:rsid w:val="004A303C"/>
    <w:rPr>
      <w:sz w:val="16"/>
      <w:szCs w:val="16"/>
    </w:rPr>
  </w:style>
  <w:style w:type="paragraph" w:styleId="Textocomentario">
    <w:name w:val="annotation text"/>
    <w:basedOn w:val="Normal"/>
    <w:link w:val="TextocomentarioCar"/>
    <w:uiPriority w:val="99"/>
    <w:unhideWhenUsed/>
    <w:rsid w:val="004A303C"/>
    <w:rPr>
      <w:sz w:val="20"/>
      <w:szCs w:val="20"/>
    </w:rPr>
  </w:style>
  <w:style w:type="character" w:customStyle="1" w:styleId="TextocomentarioCar">
    <w:name w:val="Texto comentario Car"/>
    <w:basedOn w:val="Fuentedeprrafopredeter"/>
    <w:link w:val="Textocomentario"/>
    <w:uiPriority w:val="99"/>
    <w:rsid w:val="004A303C"/>
    <w:rPr>
      <w:sz w:val="20"/>
      <w:szCs w:val="20"/>
      <w:lang w:val="es-MX"/>
    </w:rPr>
  </w:style>
  <w:style w:type="paragraph" w:styleId="Textodeglobo">
    <w:name w:val="Balloon Text"/>
    <w:basedOn w:val="Normal"/>
    <w:link w:val="TextodegloboCar"/>
    <w:uiPriority w:val="99"/>
    <w:semiHidden/>
    <w:unhideWhenUsed/>
    <w:rsid w:val="004A30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303C"/>
    <w:rPr>
      <w:rFonts w:ascii="Segoe UI" w:hAnsi="Segoe UI" w:cs="Segoe UI"/>
      <w:sz w:val="18"/>
      <w:szCs w:val="18"/>
      <w:lang w:val="es-MX"/>
    </w:rPr>
  </w:style>
  <w:style w:type="paragraph" w:styleId="Asuntodelcomentario">
    <w:name w:val="annotation subject"/>
    <w:basedOn w:val="Textocomentario"/>
    <w:next w:val="Textocomentario"/>
    <w:link w:val="AsuntodelcomentarioCar"/>
    <w:uiPriority w:val="99"/>
    <w:semiHidden/>
    <w:unhideWhenUsed/>
    <w:rsid w:val="00FF5A98"/>
    <w:rPr>
      <w:b/>
      <w:bCs/>
    </w:rPr>
  </w:style>
  <w:style w:type="character" w:customStyle="1" w:styleId="AsuntodelcomentarioCar">
    <w:name w:val="Asunto del comentario Car"/>
    <w:basedOn w:val="TextocomentarioCar"/>
    <w:link w:val="Asuntodelcomentario"/>
    <w:uiPriority w:val="99"/>
    <w:semiHidden/>
    <w:rsid w:val="00FF5A98"/>
    <w:rPr>
      <w:b/>
      <w:bCs/>
      <w:sz w:val="20"/>
      <w:szCs w:val="20"/>
      <w:lang w:val="es-MX"/>
    </w:rPr>
  </w:style>
  <w:style w:type="paragraph" w:styleId="Revisin">
    <w:name w:val="Revision"/>
    <w:hidden/>
    <w:uiPriority w:val="99"/>
    <w:semiHidden/>
    <w:rsid w:val="00087EDA"/>
    <w:pPr>
      <w:spacing w:after="0" w:line="240" w:lineRule="auto"/>
    </w:pPr>
    <w:rPr>
      <w:sz w:val="24"/>
      <w:lang w:val="es-MX"/>
    </w:rPr>
  </w:style>
  <w:style w:type="paragraph" w:styleId="NormalWeb">
    <w:name w:val="Normal (Web)"/>
    <w:basedOn w:val="Normal"/>
    <w:link w:val="NormalWebCar"/>
    <w:uiPriority w:val="99"/>
    <w:unhideWhenUsed/>
    <w:rsid w:val="00B942CA"/>
    <w:pPr>
      <w:spacing w:before="100" w:beforeAutospacing="1" w:after="100" w:afterAutospacing="1"/>
    </w:pPr>
    <w:rPr>
      <w:rFonts w:ascii="Times New Roman" w:eastAsia="Times New Roman" w:hAnsi="Times New Roman" w:cs="Times New Roman"/>
      <w:szCs w:val="24"/>
      <w:lang w:val="es-US" w:eastAsia="es-ES_tradnl"/>
    </w:rPr>
  </w:style>
  <w:style w:type="paragraph" w:styleId="Textoindependiente">
    <w:name w:val="Body Text"/>
    <w:basedOn w:val="Normal"/>
    <w:link w:val="TextoindependienteCar"/>
    <w:uiPriority w:val="1"/>
    <w:qFormat/>
    <w:rsid w:val="00781C22"/>
    <w:pPr>
      <w:widowControl w:val="0"/>
      <w:autoSpaceDE w:val="0"/>
      <w:autoSpaceDN w:val="0"/>
    </w:pPr>
    <w:rPr>
      <w:rFonts w:ascii="Arial" w:eastAsia="Arial" w:hAnsi="Arial" w:cs="Arial"/>
      <w:sz w:val="22"/>
      <w:lang w:val="es-ES"/>
    </w:rPr>
  </w:style>
  <w:style w:type="character" w:customStyle="1" w:styleId="TextoindependienteCar">
    <w:name w:val="Texto independiente Car"/>
    <w:basedOn w:val="Fuentedeprrafopredeter"/>
    <w:link w:val="Textoindependiente"/>
    <w:uiPriority w:val="1"/>
    <w:rsid w:val="00781C22"/>
    <w:rPr>
      <w:rFonts w:ascii="Arial" w:eastAsia="Arial" w:hAnsi="Arial" w:cs="Arial"/>
      <w:lang w:val="es-ES"/>
    </w:rPr>
  </w:style>
  <w:style w:type="paragraph" w:customStyle="1" w:styleId="Appelnotedebasde">
    <w:name w:val="Appel note de bas de..."/>
    <w:basedOn w:val="Normal"/>
    <w:link w:val="Refdenotaalpie"/>
    <w:uiPriority w:val="99"/>
    <w:rsid w:val="00826C45"/>
    <w:pPr>
      <w:spacing w:after="160" w:line="240" w:lineRule="exact"/>
    </w:pPr>
    <w:rPr>
      <w:sz w:val="22"/>
      <w:vertAlign w:val="superscript"/>
      <w:lang w:val="es-CO"/>
    </w:rPr>
  </w:style>
  <w:style w:type="character" w:customStyle="1" w:styleId="apple-converted-space">
    <w:name w:val="apple-converted-space"/>
    <w:basedOn w:val="Fuentedeprrafopredeter"/>
    <w:rsid w:val="00D955C4"/>
  </w:style>
  <w:style w:type="character" w:styleId="nfasis">
    <w:name w:val="Emphasis"/>
    <w:basedOn w:val="Fuentedeprrafopredeter"/>
    <w:uiPriority w:val="20"/>
    <w:qFormat/>
    <w:rsid w:val="009D633F"/>
    <w:rPr>
      <w:i/>
      <w:iCs/>
    </w:rPr>
  </w:style>
  <w:style w:type="paragraph" w:customStyle="1" w:styleId="paragraph">
    <w:name w:val="paragraph"/>
    <w:basedOn w:val="Normal"/>
    <w:rsid w:val="00B0552B"/>
    <w:pPr>
      <w:spacing w:before="100" w:beforeAutospacing="1" w:after="100" w:afterAutospacing="1"/>
    </w:pPr>
    <w:rPr>
      <w:rFonts w:ascii="Times New Roman" w:eastAsia="Times New Roman" w:hAnsi="Times New Roman" w:cs="Times New Roman"/>
      <w:szCs w:val="24"/>
      <w:lang w:val="es-CO" w:eastAsia="es-ES_tradnl"/>
    </w:rPr>
  </w:style>
  <w:style w:type="character" w:customStyle="1" w:styleId="normaltextrun">
    <w:name w:val="normaltextrun"/>
    <w:basedOn w:val="Fuentedeprrafopredeter"/>
    <w:rsid w:val="00B0552B"/>
  </w:style>
  <w:style w:type="character" w:customStyle="1" w:styleId="eop">
    <w:name w:val="eop"/>
    <w:basedOn w:val="Fuentedeprrafopredeter"/>
    <w:rsid w:val="00B0552B"/>
  </w:style>
  <w:style w:type="character" w:styleId="Hipervnculo">
    <w:name w:val="Hyperlink"/>
    <w:basedOn w:val="Fuentedeprrafopredeter"/>
    <w:uiPriority w:val="99"/>
    <w:unhideWhenUsed/>
    <w:rsid w:val="00E36F54"/>
    <w:rPr>
      <w:color w:val="0563C1" w:themeColor="hyperlink"/>
      <w:u w:val="single"/>
    </w:rPr>
  </w:style>
  <w:style w:type="character" w:customStyle="1" w:styleId="Mencinsinresolver1">
    <w:name w:val="Mención sin resolver1"/>
    <w:basedOn w:val="Fuentedeprrafopredeter"/>
    <w:uiPriority w:val="99"/>
    <w:semiHidden/>
    <w:unhideWhenUsed/>
    <w:rsid w:val="00E36F54"/>
    <w:rPr>
      <w:color w:val="605E5C"/>
      <w:shd w:val="clear" w:color="auto" w:fill="E1DFDD"/>
    </w:rPr>
  </w:style>
  <w:style w:type="character" w:styleId="Textoennegrita">
    <w:name w:val="Strong"/>
    <w:basedOn w:val="Fuentedeprrafopredeter"/>
    <w:uiPriority w:val="22"/>
    <w:qFormat/>
    <w:rsid w:val="004452AC"/>
    <w:rPr>
      <w:b/>
      <w:bCs/>
    </w:rPr>
  </w:style>
  <w:style w:type="paragraph" w:customStyle="1" w:styleId="Default">
    <w:name w:val="Default"/>
    <w:rsid w:val="002B13F7"/>
    <w:pPr>
      <w:autoSpaceDE w:val="0"/>
      <w:autoSpaceDN w:val="0"/>
      <w:adjustRightInd w:val="0"/>
      <w:spacing w:after="0" w:line="240" w:lineRule="auto"/>
    </w:pPr>
    <w:rPr>
      <w:rFonts w:ascii="Arial" w:hAnsi="Arial" w:cs="Arial"/>
      <w:color w:val="000000"/>
      <w:sz w:val="24"/>
      <w:szCs w:val="24"/>
    </w:rPr>
  </w:style>
  <w:style w:type="paragraph" w:styleId="TDC5">
    <w:name w:val="toc 5"/>
    <w:basedOn w:val="Normal"/>
    <w:next w:val="Normal"/>
    <w:autoRedefine/>
    <w:uiPriority w:val="39"/>
    <w:semiHidden/>
    <w:unhideWhenUsed/>
    <w:rsid w:val="00FA57FD"/>
    <w:pPr>
      <w:spacing w:after="100"/>
      <w:ind w:left="960"/>
    </w:pPr>
  </w:style>
  <w:style w:type="character" w:customStyle="1" w:styleId="NormalWebCar">
    <w:name w:val="Normal (Web) Car"/>
    <w:link w:val="NormalWeb"/>
    <w:uiPriority w:val="99"/>
    <w:rsid w:val="007A2CB8"/>
    <w:rPr>
      <w:rFonts w:ascii="Times New Roman" w:eastAsia="Times New Roman" w:hAnsi="Times New Roman" w:cs="Times New Roman"/>
      <w:sz w:val="24"/>
      <w:szCs w:val="24"/>
      <w:lang w:val="es-U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2441">
      <w:bodyDiv w:val="1"/>
      <w:marLeft w:val="0"/>
      <w:marRight w:val="0"/>
      <w:marTop w:val="0"/>
      <w:marBottom w:val="0"/>
      <w:divBdr>
        <w:top w:val="none" w:sz="0" w:space="0" w:color="auto"/>
        <w:left w:val="none" w:sz="0" w:space="0" w:color="auto"/>
        <w:bottom w:val="none" w:sz="0" w:space="0" w:color="auto"/>
        <w:right w:val="none" w:sz="0" w:space="0" w:color="auto"/>
      </w:divBdr>
      <w:divsChild>
        <w:div w:id="1953588121">
          <w:marLeft w:val="0"/>
          <w:marRight w:val="0"/>
          <w:marTop w:val="0"/>
          <w:marBottom w:val="0"/>
          <w:divBdr>
            <w:top w:val="none" w:sz="0" w:space="0" w:color="auto"/>
            <w:left w:val="none" w:sz="0" w:space="0" w:color="auto"/>
            <w:bottom w:val="none" w:sz="0" w:space="0" w:color="auto"/>
            <w:right w:val="none" w:sz="0" w:space="0" w:color="auto"/>
          </w:divBdr>
        </w:div>
      </w:divsChild>
    </w:div>
    <w:div w:id="29499184">
      <w:bodyDiv w:val="1"/>
      <w:marLeft w:val="0"/>
      <w:marRight w:val="0"/>
      <w:marTop w:val="0"/>
      <w:marBottom w:val="0"/>
      <w:divBdr>
        <w:top w:val="none" w:sz="0" w:space="0" w:color="auto"/>
        <w:left w:val="none" w:sz="0" w:space="0" w:color="auto"/>
        <w:bottom w:val="none" w:sz="0" w:space="0" w:color="auto"/>
        <w:right w:val="none" w:sz="0" w:space="0" w:color="auto"/>
      </w:divBdr>
    </w:div>
    <w:div w:id="127208663">
      <w:bodyDiv w:val="1"/>
      <w:marLeft w:val="0"/>
      <w:marRight w:val="0"/>
      <w:marTop w:val="0"/>
      <w:marBottom w:val="0"/>
      <w:divBdr>
        <w:top w:val="none" w:sz="0" w:space="0" w:color="auto"/>
        <w:left w:val="none" w:sz="0" w:space="0" w:color="auto"/>
        <w:bottom w:val="none" w:sz="0" w:space="0" w:color="auto"/>
        <w:right w:val="none" w:sz="0" w:space="0" w:color="auto"/>
      </w:divBdr>
      <w:divsChild>
        <w:div w:id="1781754884">
          <w:marLeft w:val="0"/>
          <w:marRight w:val="0"/>
          <w:marTop w:val="0"/>
          <w:marBottom w:val="0"/>
          <w:divBdr>
            <w:top w:val="none" w:sz="0" w:space="0" w:color="auto"/>
            <w:left w:val="none" w:sz="0" w:space="0" w:color="auto"/>
            <w:bottom w:val="none" w:sz="0" w:space="0" w:color="auto"/>
            <w:right w:val="none" w:sz="0" w:space="0" w:color="auto"/>
          </w:divBdr>
          <w:divsChild>
            <w:div w:id="1810130767">
              <w:marLeft w:val="0"/>
              <w:marRight w:val="0"/>
              <w:marTop w:val="0"/>
              <w:marBottom w:val="0"/>
              <w:divBdr>
                <w:top w:val="none" w:sz="0" w:space="0" w:color="auto"/>
                <w:left w:val="none" w:sz="0" w:space="0" w:color="auto"/>
                <w:bottom w:val="none" w:sz="0" w:space="0" w:color="auto"/>
                <w:right w:val="none" w:sz="0" w:space="0" w:color="auto"/>
              </w:divBdr>
              <w:divsChild>
                <w:div w:id="1466778625">
                  <w:marLeft w:val="0"/>
                  <w:marRight w:val="0"/>
                  <w:marTop w:val="0"/>
                  <w:marBottom w:val="0"/>
                  <w:divBdr>
                    <w:top w:val="none" w:sz="0" w:space="0" w:color="auto"/>
                    <w:left w:val="none" w:sz="0" w:space="0" w:color="auto"/>
                    <w:bottom w:val="none" w:sz="0" w:space="0" w:color="auto"/>
                    <w:right w:val="none" w:sz="0" w:space="0" w:color="auto"/>
                  </w:divBdr>
                  <w:divsChild>
                    <w:div w:id="76415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99740">
      <w:bodyDiv w:val="1"/>
      <w:marLeft w:val="0"/>
      <w:marRight w:val="0"/>
      <w:marTop w:val="0"/>
      <w:marBottom w:val="0"/>
      <w:divBdr>
        <w:top w:val="none" w:sz="0" w:space="0" w:color="auto"/>
        <w:left w:val="none" w:sz="0" w:space="0" w:color="auto"/>
        <w:bottom w:val="none" w:sz="0" w:space="0" w:color="auto"/>
        <w:right w:val="none" w:sz="0" w:space="0" w:color="auto"/>
      </w:divBdr>
      <w:divsChild>
        <w:div w:id="1137801038">
          <w:marLeft w:val="0"/>
          <w:marRight w:val="0"/>
          <w:marTop w:val="0"/>
          <w:marBottom w:val="0"/>
          <w:divBdr>
            <w:top w:val="none" w:sz="0" w:space="0" w:color="auto"/>
            <w:left w:val="none" w:sz="0" w:space="0" w:color="auto"/>
            <w:bottom w:val="none" w:sz="0" w:space="0" w:color="auto"/>
            <w:right w:val="none" w:sz="0" w:space="0" w:color="auto"/>
          </w:divBdr>
          <w:divsChild>
            <w:div w:id="538515172">
              <w:marLeft w:val="0"/>
              <w:marRight w:val="0"/>
              <w:marTop w:val="0"/>
              <w:marBottom w:val="0"/>
              <w:divBdr>
                <w:top w:val="none" w:sz="0" w:space="0" w:color="auto"/>
                <w:left w:val="none" w:sz="0" w:space="0" w:color="auto"/>
                <w:bottom w:val="none" w:sz="0" w:space="0" w:color="auto"/>
                <w:right w:val="none" w:sz="0" w:space="0" w:color="auto"/>
              </w:divBdr>
              <w:divsChild>
                <w:div w:id="688875898">
                  <w:marLeft w:val="0"/>
                  <w:marRight w:val="0"/>
                  <w:marTop w:val="0"/>
                  <w:marBottom w:val="0"/>
                  <w:divBdr>
                    <w:top w:val="none" w:sz="0" w:space="0" w:color="auto"/>
                    <w:left w:val="none" w:sz="0" w:space="0" w:color="auto"/>
                    <w:bottom w:val="none" w:sz="0" w:space="0" w:color="auto"/>
                    <w:right w:val="none" w:sz="0" w:space="0" w:color="auto"/>
                  </w:divBdr>
                  <w:divsChild>
                    <w:div w:id="16954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73757">
      <w:bodyDiv w:val="1"/>
      <w:marLeft w:val="0"/>
      <w:marRight w:val="0"/>
      <w:marTop w:val="0"/>
      <w:marBottom w:val="0"/>
      <w:divBdr>
        <w:top w:val="none" w:sz="0" w:space="0" w:color="auto"/>
        <w:left w:val="none" w:sz="0" w:space="0" w:color="auto"/>
        <w:bottom w:val="none" w:sz="0" w:space="0" w:color="auto"/>
        <w:right w:val="none" w:sz="0" w:space="0" w:color="auto"/>
      </w:divBdr>
    </w:div>
    <w:div w:id="207619037">
      <w:bodyDiv w:val="1"/>
      <w:marLeft w:val="0"/>
      <w:marRight w:val="0"/>
      <w:marTop w:val="0"/>
      <w:marBottom w:val="0"/>
      <w:divBdr>
        <w:top w:val="none" w:sz="0" w:space="0" w:color="auto"/>
        <w:left w:val="none" w:sz="0" w:space="0" w:color="auto"/>
        <w:bottom w:val="none" w:sz="0" w:space="0" w:color="auto"/>
        <w:right w:val="none" w:sz="0" w:space="0" w:color="auto"/>
      </w:divBdr>
      <w:divsChild>
        <w:div w:id="2102484742">
          <w:marLeft w:val="0"/>
          <w:marRight w:val="0"/>
          <w:marTop w:val="0"/>
          <w:marBottom w:val="0"/>
          <w:divBdr>
            <w:top w:val="none" w:sz="0" w:space="0" w:color="auto"/>
            <w:left w:val="none" w:sz="0" w:space="0" w:color="auto"/>
            <w:bottom w:val="none" w:sz="0" w:space="0" w:color="auto"/>
            <w:right w:val="none" w:sz="0" w:space="0" w:color="auto"/>
          </w:divBdr>
          <w:divsChild>
            <w:div w:id="1027177117">
              <w:marLeft w:val="0"/>
              <w:marRight w:val="0"/>
              <w:marTop w:val="0"/>
              <w:marBottom w:val="0"/>
              <w:divBdr>
                <w:top w:val="none" w:sz="0" w:space="0" w:color="auto"/>
                <w:left w:val="none" w:sz="0" w:space="0" w:color="auto"/>
                <w:bottom w:val="none" w:sz="0" w:space="0" w:color="auto"/>
                <w:right w:val="none" w:sz="0" w:space="0" w:color="auto"/>
              </w:divBdr>
              <w:divsChild>
                <w:div w:id="1643579521">
                  <w:marLeft w:val="0"/>
                  <w:marRight w:val="0"/>
                  <w:marTop w:val="0"/>
                  <w:marBottom w:val="0"/>
                  <w:divBdr>
                    <w:top w:val="none" w:sz="0" w:space="0" w:color="auto"/>
                    <w:left w:val="none" w:sz="0" w:space="0" w:color="auto"/>
                    <w:bottom w:val="none" w:sz="0" w:space="0" w:color="auto"/>
                    <w:right w:val="none" w:sz="0" w:space="0" w:color="auto"/>
                  </w:divBdr>
                  <w:divsChild>
                    <w:div w:id="123046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621509">
      <w:bodyDiv w:val="1"/>
      <w:marLeft w:val="0"/>
      <w:marRight w:val="0"/>
      <w:marTop w:val="0"/>
      <w:marBottom w:val="0"/>
      <w:divBdr>
        <w:top w:val="none" w:sz="0" w:space="0" w:color="auto"/>
        <w:left w:val="none" w:sz="0" w:space="0" w:color="auto"/>
        <w:bottom w:val="none" w:sz="0" w:space="0" w:color="auto"/>
        <w:right w:val="none" w:sz="0" w:space="0" w:color="auto"/>
      </w:divBdr>
      <w:divsChild>
        <w:div w:id="1809665296">
          <w:marLeft w:val="0"/>
          <w:marRight w:val="0"/>
          <w:marTop w:val="0"/>
          <w:marBottom w:val="0"/>
          <w:divBdr>
            <w:top w:val="none" w:sz="0" w:space="0" w:color="auto"/>
            <w:left w:val="none" w:sz="0" w:space="0" w:color="auto"/>
            <w:bottom w:val="none" w:sz="0" w:space="0" w:color="auto"/>
            <w:right w:val="none" w:sz="0" w:space="0" w:color="auto"/>
          </w:divBdr>
          <w:divsChild>
            <w:div w:id="451174673">
              <w:marLeft w:val="0"/>
              <w:marRight w:val="0"/>
              <w:marTop w:val="0"/>
              <w:marBottom w:val="0"/>
              <w:divBdr>
                <w:top w:val="none" w:sz="0" w:space="0" w:color="auto"/>
                <w:left w:val="none" w:sz="0" w:space="0" w:color="auto"/>
                <w:bottom w:val="none" w:sz="0" w:space="0" w:color="auto"/>
                <w:right w:val="none" w:sz="0" w:space="0" w:color="auto"/>
              </w:divBdr>
              <w:divsChild>
                <w:div w:id="1353023304">
                  <w:marLeft w:val="0"/>
                  <w:marRight w:val="0"/>
                  <w:marTop w:val="0"/>
                  <w:marBottom w:val="0"/>
                  <w:divBdr>
                    <w:top w:val="none" w:sz="0" w:space="0" w:color="auto"/>
                    <w:left w:val="none" w:sz="0" w:space="0" w:color="auto"/>
                    <w:bottom w:val="none" w:sz="0" w:space="0" w:color="auto"/>
                    <w:right w:val="none" w:sz="0" w:space="0" w:color="auto"/>
                  </w:divBdr>
                  <w:divsChild>
                    <w:div w:id="2859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217707">
      <w:bodyDiv w:val="1"/>
      <w:marLeft w:val="0"/>
      <w:marRight w:val="0"/>
      <w:marTop w:val="0"/>
      <w:marBottom w:val="0"/>
      <w:divBdr>
        <w:top w:val="none" w:sz="0" w:space="0" w:color="auto"/>
        <w:left w:val="none" w:sz="0" w:space="0" w:color="auto"/>
        <w:bottom w:val="none" w:sz="0" w:space="0" w:color="auto"/>
        <w:right w:val="none" w:sz="0" w:space="0" w:color="auto"/>
      </w:divBdr>
    </w:div>
    <w:div w:id="374812968">
      <w:bodyDiv w:val="1"/>
      <w:marLeft w:val="0"/>
      <w:marRight w:val="0"/>
      <w:marTop w:val="0"/>
      <w:marBottom w:val="0"/>
      <w:divBdr>
        <w:top w:val="none" w:sz="0" w:space="0" w:color="auto"/>
        <w:left w:val="none" w:sz="0" w:space="0" w:color="auto"/>
        <w:bottom w:val="none" w:sz="0" w:space="0" w:color="auto"/>
        <w:right w:val="none" w:sz="0" w:space="0" w:color="auto"/>
      </w:divBdr>
      <w:divsChild>
        <w:div w:id="66268661">
          <w:marLeft w:val="0"/>
          <w:marRight w:val="0"/>
          <w:marTop w:val="0"/>
          <w:marBottom w:val="0"/>
          <w:divBdr>
            <w:top w:val="none" w:sz="0" w:space="0" w:color="auto"/>
            <w:left w:val="none" w:sz="0" w:space="0" w:color="auto"/>
            <w:bottom w:val="none" w:sz="0" w:space="0" w:color="auto"/>
            <w:right w:val="none" w:sz="0" w:space="0" w:color="auto"/>
          </w:divBdr>
          <w:divsChild>
            <w:div w:id="759640695">
              <w:marLeft w:val="0"/>
              <w:marRight w:val="0"/>
              <w:marTop w:val="0"/>
              <w:marBottom w:val="0"/>
              <w:divBdr>
                <w:top w:val="none" w:sz="0" w:space="0" w:color="auto"/>
                <w:left w:val="none" w:sz="0" w:space="0" w:color="auto"/>
                <w:bottom w:val="none" w:sz="0" w:space="0" w:color="auto"/>
                <w:right w:val="none" w:sz="0" w:space="0" w:color="auto"/>
              </w:divBdr>
              <w:divsChild>
                <w:div w:id="1531527163">
                  <w:marLeft w:val="0"/>
                  <w:marRight w:val="0"/>
                  <w:marTop w:val="0"/>
                  <w:marBottom w:val="0"/>
                  <w:divBdr>
                    <w:top w:val="none" w:sz="0" w:space="0" w:color="auto"/>
                    <w:left w:val="none" w:sz="0" w:space="0" w:color="auto"/>
                    <w:bottom w:val="none" w:sz="0" w:space="0" w:color="auto"/>
                    <w:right w:val="none" w:sz="0" w:space="0" w:color="auto"/>
                  </w:divBdr>
                  <w:divsChild>
                    <w:div w:id="58880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580423">
      <w:bodyDiv w:val="1"/>
      <w:marLeft w:val="0"/>
      <w:marRight w:val="0"/>
      <w:marTop w:val="0"/>
      <w:marBottom w:val="0"/>
      <w:divBdr>
        <w:top w:val="none" w:sz="0" w:space="0" w:color="auto"/>
        <w:left w:val="none" w:sz="0" w:space="0" w:color="auto"/>
        <w:bottom w:val="none" w:sz="0" w:space="0" w:color="auto"/>
        <w:right w:val="none" w:sz="0" w:space="0" w:color="auto"/>
      </w:divBdr>
    </w:div>
    <w:div w:id="467163485">
      <w:bodyDiv w:val="1"/>
      <w:marLeft w:val="0"/>
      <w:marRight w:val="0"/>
      <w:marTop w:val="0"/>
      <w:marBottom w:val="0"/>
      <w:divBdr>
        <w:top w:val="none" w:sz="0" w:space="0" w:color="auto"/>
        <w:left w:val="none" w:sz="0" w:space="0" w:color="auto"/>
        <w:bottom w:val="none" w:sz="0" w:space="0" w:color="auto"/>
        <w:right w:val="none" w:sz="0" w:space="0" w:color="auto"/>
      </w:divBdr>
    </w:div>
    <w:div w:id="484206212">
      <w:bodyDiv w:val="1"/>
      <w:marLeft w:val="0"/>
      <w:marRight w:val="0"/>
      <w:marTop w:val="0"/>
      <w:marBottom w:val="0"/>
      <w:divBdr>
        <w:top w:val="none" w:sz="0" w:space="0" w:color="auto"/>
        <w:left w:val="none" w:sz="0" w:space="0" w:color="auto"/>
        <w:bottom w:val="none" w:sz="0" w:space="0" w:color="auto"/>
        <w:right w:val="none" w:sz="0" w:space="0" w:color="auto"/>
      </w:divBdr>
    </w:div>
    <w:div w:id="505629704">
      <w:bodyDiv w:val="1"/>
      <w:marLeft w:val="0"/>
      <w:marRight w:val="0"/>
      <w:marTop w:val="0"/>
      <w:marBottom w:val="0"/>
      <w:divBdr>
        <w:top w:val="none" w:sz="0" w:space="0" w:color="auto"/>
        <w:left w:val="none" w:sz="0" w:space="0" w:color="auto"/>
        <w:bottom w:val="none" w:sz="0" w:space="0" w:color="auto"/>
        <w:right w:val="none" w:sz="0" w:space="0" w:color="auto"/>
      </w:divBdr>
      <w:divsChild>
        <w:div w:id="62066826">
          <w:marLeft w:val="0"/>
          <w:marRight w:val="0"/>
          <w:marTop w:val="0"/>
          <w:marBottom w:val="0"/>
          <w:divBdr>
            <w:top w:val="none" w:sz="0" w:space="0" w:color="auto"/>
            <w:left w:val="none" w:sz="0" w:space="0" w:color="auto"/>
            <w:bottom w:val="none" w:sz="0" w:space="0" w:color="auto"/>
            <w:right w:val="none" w:sz="0" w:space="0" w:color="auto"/>
          </w:divBdr>
          <w:divsChild>
            <w:div w:id="942029731">
              <w:marLeft w:val="0"/>
              <w:marRight w:val="0"/>
              <w:marTop w:val="0"/>
              <w:marBottom w:val="0"/>
              <w:divBdr>
                <w:top w:val="none" w:sz="0" w:space="0" w:color="auto"/>
                <w:left w:val="none" w:sz="0" w:space="0" w:color="auto"/>
                <w:bottom w:val="none" w:sz="0" w:space="0" w:color="auto"/>
                <w:right w:val="none" w:sz="0" w:space="0" w:color="auto"/>
              </w:divBdr>
              <w:divsChild>
                <w:div w:id="860434657">
                  <w:marLeft w:val="0"/>
                  <w:marRight w:val="0"/>
                  <w:marTop w:val="0"/>
                  <w:marBottom w:val="0"/>
                  <w:divBdr>
                    <w:top w:val="none" w:sz="0" w:space="0" w:color="auto"/>
                    <w:left w:val="none" w:sz="0" w:space="0" w:color="auto"/>
                    <w:bottom w:val="none" w:sz="0" w:space="0" w:color="auto"/>
                    <w:right w:val="none" w:sz="0" w:space="0" w:color="auto"/>
                  </w:divBdr>
                  <w:divsChild>
                    <w:div w:id="96785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200670">
      <w:bodyDiv w:val="1"/>
      <w:marLeft w:val="0"/>
      <w:marRight w:val="0"/>
      <w:marTop w:val="0"/>
      <w:marBottom w:val="0"/>
      <w:divBdr>
        <w:top w:val="none" w:sz="0" w:space="0" w:color="auto"/>
        <w:left w:val="none" w:sz="0" w:space="0" w:color="auto"/>
        <w:bottom w:val="none" w:sz="0" w:space="0" w:color="auto"/>
        <w:right w:val="none" w:sz="0" w:space="0" w:color="auto"/>
      </w:divBdr>
      <w:divsChild>
        <w:div w:id="1319192458">
          <w:marLeft w:val="0"/>
          <w:marRight w:val="0"/>
          <w:marTop w:val="0"/>
          <w:marBottom w:val="0"/>
          <w:divBdr>
            <w:top w:val="none" w:sz="0" w:space="0" w:color="auto"/>
            <w:left w:val="none" w:sz="0" w:space="0" w:color="auto"/>
            <w:bottom w:val="none" w:sz="0" w:space="0" w:color="auto"/>
            <w:right w:val="none" w:sz="0" w:space="0" w:color="auto"/>
          </w:divBdr>
          <w:divsChild>
            <w:div w:id="1641495545">
              <w:marLeft w:val="0"/>
              <w:marRight w:val="0"/>
              <w:marTop w:val="0"/>
              <w:marBottom w:val="0"/>
              <w:divBdr>
                <w:top w:val="none" w:sz="0" w:space="0" w:color="auto"/>
                <w:left w:val="none" w:sz="0" w:space="0" w:color="auto"/>
                <w:bottom w:val="none" w:sz="0" w:space="0" w:color="auto"/>
                <w:right w:val="none" w:sz="0" w:space="0" w:color="auto"/>
              </w:divBdr>
              <w:divsChild>
                <w:div w:id="1194147380">
                  <w:marLeft w:val="0"/>
                  <w:marRight w:val="0"/>
                  <w:marTop w:val="0"/>
                  <w:marBottom w:val="0"/>
                  <w:divBdr>
                    <w:top w:val="none" w:sz="0" w:space="0" w:color="auto"/>
                    <w:left w:val="none" w:sz="0" w:space="0" w:color="auto"/>
                    <w:bottom w:val="none" w:sz="0" w:space="0" w:color="auto"/>
                    <w:right w:val="none" w:sz="0" w:space="0" w:color="auto"/>
                  </w:divBdr>
                  <w:divsChild>
                    <w:div w:id="4509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194049">
      <w:bodyDiv w:val="1"/>
      <w:marLeft w:val="0"/>
      <w:marRight w:val="0"/>
      <w:marTop w:val="0"/>
      <w:marBottom w:val="0"/>
      <w:divBdr>
        <w:top w:val="none" w:sz="0" w:space="0" w:color="auto"/>
        <w:left w:val="none" w:sz="0" w:space="0" w:color="auto"/>
        <w:bottom w:val="none" w:sz="0" w:space="0" w:color="auto"/>
        <w:right w:val="none" w:sz="0" w:space="0" w:color="auto"/>
      </w:divBdr>
    </w:div>
    <w:div w:id="662515115">
      <w:bodyDiv w:val="1"/>
      <w:marLeft w:val="0"/>
      <w:marRight w:val="0"/>
      <w:marTop w:val="0"/>
      <w:marBottom w:val="0"/>
      <w:divBdr>
        <w:top w:val="none" w:sz="0" w:space="0" w:color="auto"/>
        <w:left w:val="none" w:sz="0" w:space="0" w:color="auto"/>
        <w:bottom w:val="none" w:sz="0" w:space="0" w:color="auto"/>
        <w:right w:val="none" w:sz="0" w:space="0" w:color="auto"/>
      </w:divBdr>
      <w:divsChild>
        <w:div w:id="588737217">
          <w:marLeft w:val="0"/>
          <w:marRight w:val="0"/>
          <w:marTop w:val="0"/>
          <w:marBottom w:val="0"/>
          <w:divBdr>
            <w:top w:val="none" w:sz="0" w:space="0" w:color="auto"/>
            <w:left w:val="none" w:sz="0" w:space="0" w:color="auto"/>
            <w:bottom w:val="none" w:sz="0" w:space="0" w:color="auto"/>
            <w:right w:val="none" w:sz="0" w:space="0" w:color="auto"/>
          </w:divBdr>
          <w:divsChild>
            <w:div w:id="1718511481">
              <w:marLeft w:val="0"/>
              <w:marRight w:val="0"/>
              <w:marTop w:val="0"/>
              <w:marBottom w:val="0"/>
              <w:divBdr>
                <w:top w:val="none" w:sz="0" w:space="0" w:color="auto"/>
                <w:left w:val="none" w:sz="0" w:space="0" w:color="auto"/>
                <w:bottom w:val="none" w:sz="0" w:space="0" w:color="auto"/>
                <w:right w:val="none" w:sz="0" w:space="0" w:color="auto"/>
              </w:divBdr>
              <w:divsChild>
                <w:div w:id="463692052">
                  <w:marLeft w:val="0"/>
                  <w:marRight w:val="0"/>
                  <w:marTop w:val="0"/>
                  <w:marBottom w:val="0"/>
                  <w:divBdr>
                    <w:top w:val="none" w:sz="0" w:space="0" w:color="auto"/>
                    <w:left w:val="none" w:sz="0" w:space="0" w:color="auto"/>
                    <w:bottom w:val="none" w:sz="0" w:space="0" w:color="auto"/>
                    <w:right w:val="none" w:sz="0" w:space="0" w:color="auto"/>
                  </w:divBdr>
                  <w:divsChild>
                    <w:div w:id="45810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303738">
      <w:bodyDiv w:val="1"/>
      <w:marLeft w:val="0"/>
      <w:marRight w:val="0"/>
      <w:marTop w:val="0"/>
      <w:marBottom w:val="0"/>
      <w:divBdr>
        <w:top w:val="none" w:sz="0" w:space="0" w:color="auto"/>
        <w:left w:val="none" w:sz="0" w:space="0" w:color="auto"/>
        <w:bottom w:val="none" w:sz="0" w:space="0" w:color="auto"/>
        <w:right w:val="none" w:sz="0" w:space="0" w:color="auto"/>
      </w:divBdr>
    </w:div>
    <w:div w:id="948583465">
      <w:bodyDiv w:val="1"/>
      <w:marLeft w:val="0"/>
      <w:marRight w:val="0"/>
      <w:marTop w:val="0"/>
      <w:marBottom w:val="0"/>
      <w:divBdr>
        <w:top w:val="none" w:sz="0" w:space="0" w:color="auto"/>
        <w:left w:val="none" w:sz="0" w:space="0" w:color="auto"/>
        <w:bottom w:val="none" w:sz="0" w:space="0" w:color="auto"/>
        <w:right w:val="none" w:sz="0" w:space="0" w:color="auto"/>
      </w:divBdr>
    </w:div>
    <w:div w:id="1054237002">
      <w:bodyDiv w:val="1"/>
      <w:marLeft w:val="0"/>
      <w:marRight w:val="0"/>
      <w:marTop w:val="0"/>
      <w:marBottom w:val="0"/>
      <w:divBdr>
        <w:top w:val="none" w:sz="0" w:space="0" w:color="auto"/>
        <w:left w:val="none" w:sz="0" w:space="0" w:color="auto"/>
        <w:bottom w:val="none" w:sz="0" w:space="0" w:color="auto"/>
        <w:right w:val="none" w:sz="0" w:space="0" w:color="auto"/>
      </w:divBdr>
    </w:div>
    <w:div w:id="1083599181">
      <w:bodyDiv w:val="1"/>
      <w:marLeft w:val="0"/>
      <w:marRight w:val="0"/>
      <w:marTop w:val="0"/>
      <w:marBottom w:val="0"/>
      <w:divBdr>
        <w:top w:val="none" w:sz="0" w:space="0" w:color="auto"/>
        <w:left w:val="none" w:sz="0" w:space="0" w:color="auto"/>
        <w:bottom w:val="none" w:sz="0" w:space="0" w:color="auto"/>
        <w:right w:val="none" w:sz="0" w:space="0" w:color="auto"/>
      </w:divBdr>
      <w:divsChild>
        <w:div w:id="1037320472">
          <w:marLeft w:val="0"/>
          <w:marRight w:val="0"/>
          <w:marTop w:val="0"/>
          <w:marBottom w:val="0"/>
          <w:divBdr>
            <w:top w:val="none" w:sz="0" w:space="0" w:color="auto"/>
            <w:left w:val="none" w:sz="0" w:space="0" w:color="auto"/>
            <w:bottom w:val="none" w:sz="0" w:space="0" w:color="auto"/>
            <w:right w:val="none" w:sz="0" w:space="0" w:color="auto"/>
          </w:divBdr>
          <w:divsChild>
            <w:div w:id="545215649">
              <w:marLeft w:val="0"/>
              <w:marRight w:val="0"/>
              <w:marTop w:val="0"/>
              <w:marBottom w:val="0"/>
              <w:divBdr>
                <w:top w:val="none" w:sz="0" w:space="0" w:color="auto"/>
                <w:left w:val="none" w:sz="0" w:space="0" w:color="auto"/>
                <w:bottom w:val="none" w:sz="0" w:space="0" w:color="auto"/>
                <w:right w:val="none" w:sz="0" w:space="0" w:color="auto"/>
              </w:divBdr>
              <w:divsChild>
                <w:div w:id="790364611">
                  <w:marLeft w:val="0"/>
                  <w:marRight w:val="0"/>
                  <w:marTop w:val="0"/>
                  <w:marBottom w:val="0"/>
                  <w:divBdr>
                    <w:top w:val="none" w:sz="0" w:space="0" w:color="auto"/>
                    <w:left w:val="none" w:sz="0" w:space="0" w:color="auto"/>
                    <w:bottom w:val="none" w:sz="0" w:space="0" w:color="auto"/>
                    <w:right w:val="none" w:sz="0" w:space="0" w:color="auto"/>
                  </w:divBdr>
                  <w:divsChild>
                    <w:div w:id="211828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52151">
      <w:bodyDiv w:val="1"/>
      <w:marLeft w:val="0"/>
      <w:marRight w:val="0"/>
      <w:marTop w:val="0"/>
      <w:marBottom w:val="0"/>
      <w:divBdr>
        <w:top w:val="none" w:sz="0" w:space="0" w:color="auto"/>
        <w:left w:val="none" w:sz="0" w:space="0" w:color="auto"/>
        <w:bottom w:val="none" w:sz="0" w:space="0" w:color="auto"/>
        <w:right w:val="none" w:sz="0" w:space="0" w:color="auto"/>
      </w:divBdr>
    </w:div>
    <w:div w:id="1123694878">
      <w:bodyDiv w:val="1"/>
      <w:marLeft w:val="0"/>
      <w:marRight w:val="0"/>
      <w:marTop w:val="0"/>
      <w:marBottom w:val="0"/>
      <w:divBdr>
        <w:top w:val="none" w:sz="0" w:space="0" w:color="auto"/>
        <w:left w:val="none" w:sz="0" w:space="0" w:color="auto"/>
        <w:bottom w:val="none" w:sz="0" w:space="0" w:color="auto"/>
        <w:right w:val="none" w:sz="0" w:space="0" w:color="auto"/>
      </w:divBdr>
    </w:div>
    <w:div w:id="1210533877">
      <w:bodyDiv w:val="1"/>
      <w:marLeft w:val="0"/>
      <w:marRight w:val="0"/>
      <w:marTop w:val="0"/>
      <w:marBottom w:val="0"/>
      <w:divBdr>
        <w:top w:val="none" w:sz="0" w:space="0" w:color="auto"/>
        <w:left w:val="none" w:sz="0" w:space="0" w:color="auto"/>
        <w:bottom w:val="none" w:sz="0" w:space="0" w:color="auto"/>
        <w:right w:val="none" w:sz="0" w:space="0" w:color="auto"/>
      </w:divBdr>
      <w:divsChild>
        <w:div w:id="332727421">
          <w:marLeft w:val="0"/>
          <w:marRight w:val="0"/>
          <w:marTop w:val="0"/>
          <w:marBottom w:val="0"/>
          <w:divBdr>
            <w:top w:val="none" w:sz="0" w:space="0" w:color="auto"/>
            <w:left w:val="none" w:sz="0" w:space="0" w:color="auto"/>
            <w:bottom w:val="none" w:sz="0" w:space="0" w:color="auto"/>
            <w:right w:val="none" w:sz="0" w:space="0" w:color="auto"/>
          </w:divBdr>
          <w:divsChild>
            <w:div w:id="199131032">
              <w:marLeft w:val="0"/>
              <w:marRight w:val="0"/>
              <w:marTop w:val="0"/>
              <w:marBottom w:val="0"/>
              <w:divBdr>
                <w:top w:val="none" w:sz="0" w:space="0" w:color="auto"/>
                <w:left w:val="none" w:sz="0" w:space="0" w:color="auto"/>
                <w:bottom w:val="none" w:sz="0" w:space="0" w:color="auto"/>
                <w:right w:val="none" w:sz="0" w:space="0" w:color="auto"/>
              </w:divBdr>
              <w:divsChild>
                <w:div w:id="1401096493">
                  <w:marLeft w:val="0"/>
                  <w:marRight w:val="0"/>
                  <w:marTop w:val="0"/>
                  <w:marBottom w:val="0"/>
                  <w:divBdr>
                    <w:top w:val="none" w:sz="0" w:space="0" w:color="auto"/>
                    <w:left w:val="none" w:sz="0" w:space="0" w:color="auto"/>
                    <w:bottom w:val="none" w:sz="0" w:space="0" w:color="auto"/>
                    <w:right w:val="none" w:sz="0" w:space="0" w:color="auto"/>
                  </w:divBdr>
                  <w:divsChild>
                    <w:div w:id="4138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767578">
      <w:bodyDiv w:val="1"/>
      <w:marLeft w:val="0"/>
      <w:marRight w:val="0"/>
      <w:marTop w:val="0"/>
      <w:marBottom w:val="0"/>
      <w:divBdr>
        <w:top w:val="none" w:sz="0" w:space="0" w:color="auto"/>
        <w:left w:val="none" w:sz="0" w:space="0" w:color="auto"/>
        <w:bottom w:val="none" w:sz="0" w:space="0" w:color="auto"/>
        <w:right w:val="none" w:sz="0" w:space="0" w:color="auto"/>
      </w:divBdr>
      <w:divsChild>
        <w:div w:id="463234314">
          <w:marLeft w:val="0"/>
          <w:marRight w:val="0"/>
          <w:marTop w:val="0"/>
          <w:marBottom w:val="0"/>
          <w:divBdr>
            <w:top w:val="none" w:sz="0" w:space="0" w:color="auto"/>
            <w:left w:val="none" w:sz="0" w:space="0" w:color="auto"/>
            <w:bottom w:val="none" w:sz="0" w:space="0" w:color="auto"/>
            <w:right w:val="none" w:sz="0" w:space="0" w:color="auto"/>
          </w:divBdr>
          <w:divsChild>
            <w:div w:id="552280367">
              <w:marLeft w:val="0"/>
              <w:marRight w:val="0"/>
              <w:marTop w:val="0"/>
              <w:marBottom w:val="0"/>
              <w:divBdr>
                <w:top w:val="none" w:sz="0" w:space="0" w:color="auto"/>
                <w:left w:val="none" w:sz="0" w:space="0" w:color="auto"/>
                <w:bottom w:val="none" w:sz="0" w:space="0" w:color="auto"/>
                <w:right w:val="none" w:sz="0" w:space="0" w:color="auto"/>
              </w:divBdr>
              <w:divsChild>
                <w:div w:id="937905885">
                  <w:marLeft w:val="0"/>
                  <w:marRight w:val="0"/>
                  <w:marTop w:val="0"/>
                  <w:marBottom w:val="0"/>
                  <w:divBdr>
                    <w:top w:val="none" w:sz="0" w:space="0" w:color="auto"/>
                    <w:left w:val="none" w:sz="0" w:space="0" w:color="auto"/>
                    <w:bottom w:val="none" w:sz="0" w:space="0" w:color="auto"/>
                    <w:right w:val="none" w:sz="0" w:space="0" w:color="auto"/>
                  </w:divBdr>
                  <w:divsChild>
                    <w:div w:id="127574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1168">
      <w:bodyDiv w:val="1"/>
      <w:marLeft w:val="0"/>
      <w:marRight w:val="0"/>
      <w:marTop w:val="0"/>
      <w:marBottom w:val="0"/>
      <w:divBdr>
        <w:top w:val="none" w:sz="0" w:space="0" w:color="auto"/>
        <w:left w:val="none" w:sz="0" w:space="0" w:color="auto"/>
        <w:bottom w:val="none" w:sz="0" w:space="0" w:color="auto"/>
        <w:right w:val="none" w:sz="0" w:space="0" w:color="auto"/>
      </w:divBdr>
    </w:div>
    <w:div w:id="1462381350">
      <w:bodyDiv w:val="1"/>
      <w:marLeft w:val="0"/>
      <w:marRight w:val="0"/>
      <w:marTop w:val="0"/>
      <w:marBottom w:val="0"/>
      <w:divBdr>
        <w:top w:val="none" w:sz="0" w:space="0" w:color="auto"/>
        <w:left w:val="none" w:sz="0" w:space="0" w:color="auto"/>
        <w:bottom w:val="none" w:sz="0" w:space="0" w:color="auto"/>
        <w:right w:val="none" w:sz="0" w:space="0" w:color="auto"/>
      </w:divBdr>
    </w:div>
    <w:div w:id="1474635906">
      <w:bodyDiv w:val="1"/>
      <w:marLeft w:val="0"/>
      <w:marRight w:val="0"/>
      <w:marTop w:val="0"/>
      <w:marBottom w:val="0"/>
      <w:divBdr>
        <w:top w:val="none" w:sz="0" w:space="0" w:color="auto"/>
        <w:left w:val="none" w:sz="0" w:space="0" w:color="auto"/>
        <w:bottom w:val="none" w:sz="0" w:space="0" w:color="auto"/>
        <w:right w:val="none" w:sz="0" w:space="0" w:color="auto"/>
      </w:divBdr>
    </w:div>
    <w:div w:id="1509905359">
      <w:bodyDiv w:val="1"/>
      <w:marLeft w:val="0"/>
      <w:marRight w:val="0"/>
      <w:marTop w:val="0"/>
      <w:marBottom w:val="0"/>
      <w:divBdr>
        <w:top w:val="none" w:sz="0" w:space="0" w:color="auto"/>
        <w:left w:val="none" w:sz="0" w:space="0" w:color="auto"/>
        <w:bottom w:val="none" w:sz="0" w:space="0" w:color="auto"/>
        <w:right w:val="none" w:sz="0" w:space="0" w:color="auto"/>
      </w:divBdr>
    </w:div>
    <w:div w:id="1551501495">
      <w:bodyDiv w:val="1"/>
      <w:marLeft w:val="0"/>
      <w:marRight w:val="0"/>
      <w:marTop w:val="0"/>
      <w:marBottom w:val="0"/>
      <w:divBdr>
        <w:top w:val="none" w:sz="0" w:space="0" w:color="auto"/>
        <w:left w:val="none" w:sz="0" w:space="0" w:color="auto"/>
        <w:bottom w:val="none" w:sz="0" w:space="0" w:color="auto"/>
        <w:right w:val="none" w:sz="0" w:space="0" w:color="auto"/>
      </w:divBdr>
      <w:divsChild>
        <w:div w:id="1004867624">
          <w:marLeft w:val="0"/>
          <w:marRight w:val="0"/>
          <w:marTop w:val="0"/>
          <w:marBottom w:val="0"/>
          <w:divBdr>
            <w:top w:val="none" w:sz="0" w:space="0" w:color="auto"/>
            <w:left w:val="none" w:sz="0" w:space="0" w:color="auto"/>
            <w:bottom w:val="none" w:sz="0" w:space="0" w:color="auto"/>
            <w:right w:val="none" w:sz="0" w:space="0" w:color="auto"/>
          </w:divBdr>
          <w:divsChild>
            <w:div w:id="735862705">
              <w:marLeft w:val="0"/>
              <w:marRight w:val="0"/>
              <w:marTop w:val="0"/>
              <w:marBottom w:val="0"/>
              <w:divBdr>
                <w:top w:val="none" w:sz="0" w:space="0" w:color="auto"/>
                <w:left w:val="none" w:sz="0" w:space="0" w:color="auto"/>
                <w:bottom w:val="none" w:sz="0" w:space="0" w:color="auto"/>
                <w:right w:val="none" w:sz="0" w:space="0" w:color="auto"/>
              </w:divBdr>
              <w:divsChild>
                <w:div w:id="1979334228">
                  <w:marLeft w:val="0"/>
                  <w:marRight w:val="0"/>
                  <w:marTop w:val="0"/>
                  <w:marBottom w:val="0"/>
                  <w:divBdr>
                    <w:top w:val="none" w:sz="0" w:space="0" w:color="auto"/>
                    <w:left w:val="none" w:sz="0" w:space="0" w:color="auto"/>
                    <w:bottom w:val="none" w:sz="0" w:space="0" w:color="auto"/>
                    <w:right w:val="none" w:sz="0" w:space="0" w:color="auto"/>
                  </w:divBdr>
                  <w:divsChild>
                    <w:div w:id="5285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213434">
      <w:bodyDiv w:val="1"/>
      <w:marLeft w:val="0"/>
      <w:marRight w:val="0"/>
      <w:marTop w:val="0"/>
      <w:marBottom w:val="0"/>
      <w:divBdr>
        <w:top w:val="none" w:sz="0" w:space="0" w:color="auto"/>
        <w:left w:val="none" w:sz="0" w:space="0" w:color="auto"/>
        <w:bottom w:val="none" w:sz="0" w:space="0" w:color="auto"/>
        <w:right w:val="none" w:sz="0" w:space="0" w:color="auto"/>
      </w:divBdr>
    </w:div>
    <w:div w:id="1695500568">
      <w:bodyDiv w:val="1"/>
      <w:marLeft w:val="0"/>
      <w:marRight w:val="0"/>
      <w:marTop w:val="0"/>
      <w:marBottom w:val="0"/>
      <w:divBdr>
        <w:top w:val="none" w:sz="0" w:space="0" w:color="auto"/>
        <w:left w:val="none" w:sz="0" w:space="0" w:color="auto"/>
        <w:bottom w:val="none" w:sz="0" w:space="0" w:color="auto"/>
        <w:right w:val="none" w:sz="0" w:space="0" w:color="auto"/>
      </w:divBdr>
      <w:divsChild>
        <w:div w:id="1275631">
          <w:marLeft w:val="0"/>
          <w:marRight w:val="0"/>
          <w:marTop w:val="0"/>
          <w:marBottom w:val="0"/>
          <w:divBdr>
            <w:top w:val="none" w:sz="0" w:space="0" w:color="auto"/>
            <w:left w:val="none" w:sz="0" w:space="0" w:color="auto"/>
            <w:bottom w:val="none" w:sz="0" w:space="0" w:color="auto"/>
            <w:right w:val="none" w:sz="0" w:space="0" w:color="auto"/>
          </w:divBdr>
          <w:divsChild>
            <w:div w:id="42991939">
              <w:marLeft w:val="0"/>
              <w:marRight w:val="0"/>
              <w:marTop w:val="0"/>
              <w:marBottom w:val="0"/>
              <w:divBdr>
                <w:top w:val="none" w:sz="0" w:space="0" w:color="auto"/>
                <w:left w:val="none" w:sz="0" w:space="0" w:color="auto"/>
                <w:bottom w:val="none" w:sz="0" w:space="0" w:color="auto"/>
                <w:right w:val="none" w:sz="0" w:space="0" w:color="auto"/>
              </w:divBdr>
              <w:divsChild>
                <w:div w:id="776565611">
                  <w:marLeft w:val="0"/>
                  <w:marRight w:val="0"/>
                  <w:marTop w:val="0"/>
                  <w:marBottom w:val="0"/>
                  <w:divBdr>
                    <w:top w:val="none" w:sz="0" w:space="0" w:color="auto"/>
                    <w:left w:val="none" w:sz="0" w:space="0" w:color="auto"/>
                    <w:bottom w:val="none" w:sz="0" w:space="0" w:color="auto"/>
                    <w:right w:val="none" w:sz="0" w:space="0" w:color="auto"/>
                  </w:divBdr>
                  <w:divsChild>
                    <w:div w:id="41263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554911">
      <w:bodyDiv w:val="1"/>
      <w:marLeft w:val="0"/>
      <w:marRight w:val="0"/>
      <w:marTop w:val="0"/>
      <w:marBottom w:val="0"/>
      <w:divBdr>
        <w:top w:val="none" w:sz="0" w:space="0" w:color="auto"/>
        <w:left w:val="none" w:sz="0" w:space="0" w:color="auto"/>
        <w:bottom w:val="none" w:sz="0" w:space="0" w:color="auto"/>
        <w:right w:val="none" w:sz="0" w:space="0" w:color="auto"/>
      </w:divBdr>
    </w:div>
    <w:div w:id="1955818245">
      <w:bodyDiv w:val="1"/>
      <w:marLeft w:val="0"/>
      <w:marRight w:val="0"/>
      <w:marTop w:val="0"/>
      <w:marBottom w:val="0"/>
      <w:divBdr>
        <w:top w:val="none" w:sz="0" w:space="0" w:color="auto"/>
        <w:left w:val="none" w:sz="0" w:space="0" w:color="auto"/>
        <w:bottom w:val="none" w:sz="0" w:space="0" w:color="auto"/>
        <w:right w:val="none" w:sz="0" w:space="0" w:color="auto"/>
      </w:divBdr>
    </w:div>
    <w:div w:id="1971281399">
      <w:bodyDiv w:val="1"/>
      <w:marLeft w:val="0"/>
      <w:marRight w:val="0"/>
      <w:marTop w:val="0"/>
      <w:marBottom w:val="0"/>
      <w:divBdr>
        <w:top w:val="none" w:sz="0" w:space="0" w:color="auto"/>
        <w:left w:val="none" w:sz="0" w:space="0" w:color="auto"/>
        <w:bottom w:val="none" w:sz="0" w:space="0" w:color="auto"/>
        <w:right w:val="none" w:sz="0" w:space="0" w:color="auto"/>
      </w:divBdr>
    </w:div>
    <w:div w:id="1977563242">
      <w:bodyDiv w:val="1"/>
      <w:marLeft w:val="0"/>
      <w:marRight w:val="0"/>
      <w:marTop w:val="0"/>
      <w:marBottom w:val="0"/>
      <w:divBdr>
        <w:top w:val="none" w:sz="0" w:space="0" w:color="auto"/>
        <w:left w:val="none" w:sz="0" w:space="0" w:color="auto"/>
        <w:bottom w:val="none" w:sz="0" w:space="0" w:color="auto"/>
        <w:right w:val="none" w:sz="0" w:space="0" w:color="auto"/>
      </w:divBdr>
    </w:div>
    <w:div w:id="2011103271">
      <w:bodyDiv w:val="1"/>
      <w:marLeft w:val="0"/>
      <w:marRight w:val="0"/>
      <w:marTop w:val="0"/>
      <w:marBottom w:val="0"/>
      <w:divBdr>
        <w:top w:val="none" w:sz="0" w:space="0" w:color="auto"/>
        <w:left w:val="none" w:sz="0" w:space="0" w:color="auto"/>
        <w:bottom w:val="none" w:sz="0" w:space="0" w:color="auto"/>
        <w:right w:val="none" w:sz="0" w:space="0" w:color="auto"/>
      </w:divBdr>
      <w:divsChild>
        <w:div w:id="1533961736">
          <w:marLeft w:val="0"/>
          <w:marRight w:val="0"/>
          <w:marTop w:val="0"/>
          <w:marBottom w:val="0"/>
          <w:divBdr>
            <w:top w:val="none" w:sz="0" w:space="0" w:color="auto"/>
            <w:left w:val="none" w:sz="0" w:space="0" w:color="auto"/>
            <w:bottom w:val="none" w:sz="0" w:space="0" w:color="auto"/>
            <w:right w:val="none" w:sz="0" w:space="0" w:color="auto"/>
          </w:divBdr>
          <w:divsChild>
            <w:div w:id="1390418965">
              <w:marLeft w:val="0"/>
              <w:marRight w:val="0"/>
              <w:marTop w:val="0"/>
              <w:marBottom w:val="0"/>
              <w:divBdr>
                <w:top w:val="none" w:sz="0" w:space="0" w:color="auto"/>
                <w:left w:val="none" w:sz="0" w:space="0" w:color="auto"/>
                <w:bottom w:val="none" w:sz="0" w:space="0" w:color="auto"/>
                <w:right w:val="none" w:sz="0" w:space="0" w:color="auto"/>
              </w:divBdr>
              <w:divsChild>
                <w:div w:id="1340350688">
                  <w:marLeft w:val="0"/>
                  <w:marRight w:val="0"/>
                  <w:marTop w:val="0"/>
                  <w:marBottom w:val="0"/>
                  <w:divBdr>
                    <w:top w:val="none" w:sz="0" w:space="0" w:color="auto"/>
                    <w:left w:val="none" w:sz="0" w:space="0" w:color="auto"/>
                    <w:bottom w:val="none" w:sz="0" w:space="0" w:color="auto"/>
                    <w:right w:val="none" w:sz="0" w:space="0" w:color="auto"/>
                  </w:divBdr>
                  <w:divsChild>
                    <w:div w:id="177486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204599">
      <w:bodyDiv w:val="1"/>
      <w:marLeft w:val="0"/>
      <w:marRight w:val="0"/>
      <w:marTop w:val="0"/>
      <w:marBottom w:val="0"/>
      <w:divBdr>
        <w:top w:val="none" w:sz="0" w:space="0" w:color="auto"/>
        <w:left w:val="none" w:sz="0" w:space="0" w:color="auto"/>
        <w:bottom w:val="none" w:sz="0" w:space="0" w:color="auto"/>
        <w:right w:val="none" w:sz="0" w:space="0" w:color="auto"/>
      </w:divBdr>
    </w:div>
    <w:div w:id="2121488423">
      <w:bodyDiv w:val="1"/>
      <w:marLeft w:val="0"/>
      <w:marRight w:val="0"/>
      <w:marTop w:val="0"/>
      <w:marBottom w:val="0"/>
      <w:divBdr>
        <w:top w:val="none" w:sz="0" w:space="0" w:color="auto"/>
        <w:left w:val="none" w:sz="0" w:space="0" w:color="auto"/>
        <w:bottom w:val="none" w:sz="0" w:space="0" w:color="auto"/>
        <w:right w:val="none" w:sz="0" w:space="0" w:color="auto"/>
      </w:divBdr>
    </w:div>
    <w:div w:id="2131892408">
      <w:bodyDiv w:val="1"/>
      <w:marLeft w:val="0"/>
      <w:marRight w:val="0"/>
      <w:marTop w:val="0"/>
      <w:marBottom w:val="0"/>
      <w:divBdr>
        <w:top w:val="none" w:sz="0" w:space="0" w:color="auto"/>
        <w:left w:val="none" w:sz="0" w:space="0" w:color="auto"/>
        <w:bottom w:val="none" w:sz="0" w:space="0" w:color="auto"/>
        <w:right w:val="none" w:sz="0" w:space="0" w:color="auto"/>
      </w:divBdr>
      <w:divsChild>
        <w:div w:id="326830257">
          <w:marLeft w:val="0"/>
          <w:marRight w:val="0"/>
          <w:marTop w:val="0"/>
          <w:marBottom w:val="0"/>
          <w:divBdr>
            <w:top w:val="none" w:sz="0" w:space="0" w:color="auto"/>
            <w:left w:val="none" w:sz="0" w:space="0" w:color="auto"/>
            <w:bottom w:val="none" w:sz="0" w:space="0" w:color="auto"/>
            <w:right w:val="none" w:sz="0" w:space="0" w:color="auto"/>
          </w:divBdr>
          <w:divsChild>
            <w:div w:id="1744790976">
              <w:marLeft w:val="0"/>
              <w:marRight w:val="0"/>
              <w:marTop w:val="0"/>
              <w:marBottom w:val="0"/>
              <w:divBdr>
                <w:top w:val="none" w:sz="0" w:space="0" w:color="auto"/>
                <w:left w:val="none" w:sz="0" w:space="0" w:color="auto"/>
                <w:bottom w:val="none" w:sz="0" w:space="0" w:color="auto"/>
                <w:right w:val="none" w:sz="0" w:space="0" w:color="auto"/>
              </w:divBdr>
              <w:divsChild>
                <w:div w:id="2013558011">
                  <w:marLeft w:val="0"/>
                  <w:marRight w:val="0"/>
                  <w:marTop w:val="0"/>
                  <w:marBottom w:val="0"/>
                  <w:divBdr>
                    <w:top w:val="none" w:sz="0" w:space="0" w:color="auto"/>
                    <w:left w:val="none" w:sz="0" w:space="0" w:color="auto"/>
                    <w:bottom w:val="none" w:sz="0" w:space="0" w:color="auto"/>
                    <w:right w:val="none" w:sz="0" w:space="0" w:color="auto"/>
                  </w:divBdr>
                  <w:divsChild>
                    <w:div w:id="17286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0E2D6241-B2E4-4F29-AF15-36E0C3F9D4CD}">
  <ds:schemaRefs>
    <ds:schemaRef ds:uri="http://schemas.microsoft.com/sharepoint/v3/contenttype/forms"/>
  </ds:schemaRefs>
</ds:datastoreItem>
</file>

<file path=customXml/itemProps2.xml><?xml version="1.0" encoding="utf-8"?>
<ds:datastoreItem xmlns:ds="http://schemas.openxmlformats.org/officeDocument/2006/customXml" ds:itemID="{A4A3DC9A-A501-47A6-A1A0-327980EC1FC9}">
  <ds:schemaRefs>
    <ds:schemaRef ds:uri="http://schemas.openxmlformats.org/officeDocument/2006/bibliography"/>
  </ds:schemaRefs>
</ds:datastoreItem>
</file>

<file path=customXml/itemProps3.xml><?xml version="1.0" encoding="utf-8"?>
<ds:datastoreItem xmlns:ds="http://schemas.openxmlformats.org/officeDocument/2006/customXml" ds:itemID="{B076A48D-6829-4EDC-9523-ABE49D69FD24}"/>
</file>

<file path=customXml/itemProps4.xml><?xml version="1.0" encoding="utf-8"?>
<ds:datastoreItem xmlns:ds="http://schemas.openxmlformats.org/officeDocument/2006/customXml" ds:itemID="{2B410ED3-8C9B-4148-98AD-ADC6328AC9E8}">
  <ds:schemaRefs>
    <ds:schemaRef ds:uri="http://schemas.microsoft.com/office/2006/metadata/properties"/>
    <ds:schemaRef ds:uri="http://schemas.microsoft.com/office/infopath/2007/PartnerControls"/>
    <ds:schemaRef ds:uri="9d85dbaf-23eb-4e57-a637-93dcacc8b1a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6597</Words>
  <Characters>36285</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Ramírez Castañeda</dc:creator>
  <cp:keywords/>
  <dc:description/>
  <cp:lastModifiedBy>nicolle saenz camargo</cp:lastModifiedBy>
  <cp:revision>3</cp:revision>
  <cp:lastPrinted>2020-10-23T22:20:00Z</cp:lastPrinted>
  <dcterms:created xsi:type="dcterms:W3CDTF">2022-06-22T15:51:00Z</dcterms:created>
  <dcterms:modified xsi:type="dcterms:W3CDTF">2022-07-20T22:32:00Z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