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B4AF4" w14:textId="77777777" w:rsidR="0064448D" w:rsidRPr="00166AB4" w:rsidRDefault="0064448D" w:rsidP="0064448D">
      <w:pPr>
        <w:jc w:val="right"/>
        <w:rPr>
          <w:rFonts w:ascii="Arial" w:hAnsi="Arial" w:cs="Arial"/>
          <w:b/>
          <w:sz w:val="16"/>
          <w:szCs w:val="16"/>
          <w:lang w:eastAsia="es-ES"/>
        </w:rPr>
      </w:pPr>
      <w:r w:rsidRPr="00166AB4">
        <w:rPr>
          <w:rFonts w:ascii="Arial" w:hAnsi="Arial" w:cs="Arial"/>
          <w:b/>
          <w:sz w:val="16"/>
          <w:szCs w:val="16"/>
          <w:lang w:eastAsia="es-ES"/>
        </w:rPr>
        <w:t>CCE-DES-FM-17</w:t>
      </w:r>
    </w:p>
    <w:p w14:paraId="4249AE85" w14:textId="77777777" w:rsidR="005A44B7" w:rsidRPr="000E2D71" w:rsidRDefault="005A44B7" w:rsidP="009F767C">
      <w:pPr>
        <w:jc w:val="both"/>
        <w:rPr>
          <w:rFonts w:ascii="Arial" w:eastAsia="Calibri" w:hAnsi="Arial" w:cs="Arial"/>
          <w:b/>
          <w:color w:val="000000" w:themeColor="text1"/>
          <w:sz w:val="16"/>
          <w:szCs w:val="16"/>
        </w:rPr>
      </w:pPr>
    </w:p>
    <w:p w14:paraId="29D041F9" w14:textId="2BD2EB4D" w:rsidR="009F767C" w:rsidRPr="006C15D5" w:rsidRDefault="009F767C" w:rsidP="1E43E16B">
      <w:pPr>
        <w:jc w:val="both"/>
        <w:rPr>
          <w:rFonts w:ascii="Arial" w:eastAsia="Calibri" w:hAnsi="Arial" w:cs="Arial"/>
          <w:b/>
          <w:bCs/>
          <w:color w:val="000000" w:themeColor="text1"/>
          <w:sz w:val="22"/>
        </w:rPr>
      </w:pPr>
      <w:r w:rsidRPr="1E43E16B">
        <w:rPr>
          <w:rFonts w:ascii="Arial" w:eastAsia="Calibri" w:hAnsi="Arial" w:cs="Arial"/>
          <w:b/>
          <w:bCs/>
          <w:color w:val="000000" w:themeColor="text1"/>
          <w:sz w:val="22"/>
        </w:rPr>
        <w:t xml:space="preserve">DOCUMENTOS TIPO – Versión 2 – Capacidad residual – Capacidad organizacional – Aprobación </w:t>
      </w:r>
      <w:r w:rsidR="1DD29167" w:rsidRPr="1E43E16B">
        <w:rPr>
          <w:rFonts w:ascii="Arial" w:eastAsia="Calibri" w:hAnsi="Arial" w:cs="Arial"/>
          <w:b/>
          <w:bCs/>
          <w:color w:val="000000" w:themeColor="text1"/>
          <w:sz w:val="22"/>
        </w:rPr>
        <w:t>– M</w:t>
      </w:r>
      <w:r w:rsidRPr="1E43E16B">
        <w:rPr>
          <w:rFonts w:ascii="Arial" w:eastAsia="Calibri" w:hAnsi="Arial" w:cs="Arial"/>
          <w:b/>
          <w:bCs/>
          <w:color w:val="000000" w:themeColor="text1"/>
          <w:sz w:val="22"/>
        </w:rPr>
        <w:t xml:space="preserve">áximo órgano social – Estados financieros </w:t>
      </w:r>
    </w:p>
    <w:p w14:paraId="357FC6B3" w14:textId="77777777" w:rsidR="009F767C" w:rsidRPr="006C15D5" w:rsidRDefault="009F767C" w:rsidP="009F767C">
      <w:pPr>
        <w:jc w:val="both"/>
        <w:rPr>
          <w:rFonts w:ascii="Arial" w:eastAsia="Calibri" w:hAnsi="Arial" w:cs="Arial"/>
          <w:color w:val="000000" w:themeColor="text1"/>
          <w:sz w:val="20"/>
          <w:szCs w:val="20"/>
        </w:rPr>
      </w:pPr>
    </w:p>
    <w:p w14:paraId="01F68152" w14:textId="77777777" w:rsidR="009F767C" w:rsidRPr="00FA6CFE" w:rsidRDefault="009F767C" w:rsidP="005A44B7">
      <w:pPr>
        <w:tabs>
          <w:tab w:val="left" w:pos="6663"/>
        </w:tabs>
        <w:spacing w:after="120"/>
        <w:jc w:val="both"/>
        <w:rPr>
          <w:rFonts w:ascii="Arial" w:hAnsi="Arial" w:cs="Arial"/>
          <w:color w:val="000000" w:themeColor="text1"/>
          <w:sz w:val="20"/>
          <w:szCs w:val="20"/>
        </w:rPr>
      </w:pPr>
      <w:r w:rsidRPr="00FA6CFE">
        <w:rPr>
          <w:rFonts w:ascii="Arial" w:hAnsi="Arial" w:cs="Arial"/>
          <w:color w:val="000000" w:themeColor="text1"/>
          <w:sz w:val="20"/>
          <w:szCs w:val="20"/>
        </w:rPr>
        <w:t>De acuerdo con lo afirmado previamente</w:t>
      </w:r>
      <w:r>
        <w:rPr>
          <w:rFonts w:ascii="Arial" w:hAnsi="Arial" w:cs="Arial"/>
          <w:color w:val="000000" w:themeColor="text1"/>
          <w:sz w:val="20"/>
          <w:szCs w:val="20"/>
        </w:rPr>
        <w:t>,</w:t>
      </w:r>
      <w:r w:rsidRPr="00FA6CFE">
        <w:rPr>
          <w:rFonts w:ascii="Arial" w:hAnsi="Arial" w:cs="Arial"/>
          <w:color w:val="000000" w:themeColor="text1"/>
          <w:sz w:val="20"/>
          <w:szCs w:val="20"/>
        </w:rPr>
        <w:t xml:space="preserve"> para acreditar la capacidad organizacional s</w:t>
      </w:r>
      <w:r>
        <w:rPr>
          <w:rFonts w:ascii="Arial" w:hAnsi="Arial" w:cs="Arial"/>
          <w:color w:val="000000" w:themeColor="text1"/>
          <w:sz w:val="20"/>
          <w:szCs w:val="20"/>
        </w:rPr>
        <w:t>o</w:t>
      </w:r>
      <w:r w:rsidRPr="00FA6CFE">
        <w:rPr>
          <w:rFonts w:ascii="Arial" w:hAnsi="Arial" w:cs="Arial"/>
          <w:color w:val="000000" w:themeColor="text1"/>
          <w:sz w:val="20"/>
          <w:szCs w:val="20"/>
        </w:rPr>
        <w:t>lo se requerirá aportar el balance general</w:t>
      </w:r>
      <w:r>
        <w:rPr>
          <w:rFonts w:ascii="Arial" w:hAnsi="Arial" w:cs="Arial"/>
          <w:color w:val="000000" w:themeColor="text1"/>
          <w:sz w:val="20"/>
          <w:szCs w:val="20"/>
        </w:rPr>
        <w:t>,</w:t>
      </w:r>
      <w:r w:rsidRPr="00FA6CFE">
        <w:rPr>
          <w:rFonts w:ascii="Arial" w:hAnsi="Arial" w:cs="Arial"/>
          <w:color w:val="000000" w:themeColor="text1"/>
          <w:sz w:val="20"/>
          <w:szCs w:val="20"/>
        </w:rPr>
        <w:t xml:space="preserve"> debidamente firmado por el interesado o su representante legal y el revisor fiscal</w:t>
      </w:r>
      <w:r>
        <w:rPr>
          <w:rFonts w:ascii="Arial" w:hAnsi="Arial" w:cs="Arial"/>
          <w:color w:val="000000" w:themeColor="text1"/>
          <w:sz w:val="20"/>
          <w:szCs w:val="20"/>
        </w:rPr>
        <w:t>,</w:t>
      </w:r>
      <w:r w:rsidRPr="00FA6CFE">
        <w:rPr>
          <w:rFonts w:ascii="Arial" w:hAnsi="Arial" w:cs="Arial"/>
          <w:color w:val="000000" w:themeColor="text1"/>
          <w:sz w:val="20"/>
          <w:szCs w:val="20"/>
        </w:rPr>
        <w:t xml:space="preserve"> si está obligado a tenerlo, o el auditor o contador</w:t>
      </w:r>
      <w:r>
        <w:rPr>
          <w:rFonts w:ascii="Arial" w:hAnsi="Arial" w:cs="Arial"/>
          <w:color w:val="000000" w:themeColor="text1"/>
          <w:sz w:val="20"/>
          <w:szCs w:val="20"/>
        </w:rPr>
        <w:t>,</w:t>
      </w:r>
      <w:r w:rsidRPr="00FA6CFE">
        <w:rPr>
          <w:rFonts w:ascii="Arial" w:hAnsi="Arial" w:cs="Arial"/>
          <w:color w:val="000000" w:themeColor="text1"/>
          <w:sz w:val="20"/>
          <w:szCs w:val="20"/>
        </w:rPr>
        <w:t xml:space="preserve"> si no está obligado a tener revisor fiscal</w:t>
      </w:r>
      <w:r>
        <w:rPr>
          <w:rFonts w:ascii="Arial" w:hAnsi="Arial" w:cs="Arial"/>
          <w:color w:val="000000" w:themeColor="text1"/>
          <w:sz w:val="20"/>
          <w:szCs w:val="20"/>
        </w:rPr>
        <w:t>,</w:t>
      </w:r>
      <w:r w:rsidRPr="00FA6CFE">
        <w:rPr>
          <w:rFonts w:ascii="Arial" w:hAnsi="Arial" w:cs="Arial"/>
          <w:color w:val="000000" w:themeColor="text1"/>
          <w:sz w:val="20"/>
          <w:szCs w:val="20"/>
        </w:rPr>
        <w:t xml:space="preserve"> y la copia de la tarjeta profesional y certificado de antecedentes disciplinarios vigentes de los contadores públicos, revisores fiscales, contadores independientes (externos), quienes suscribieron los documentos señalados en el presente literal</w:t>
      </w:r>
      <w:r>
        <w:rPr>
          <w:rFonts w:ascii="Arial" w:hAnsi="Arial" w:cs="Arial"/>
          <w:color w:val="000000" w:themeColor="text1"/>
          <w:sz w:val="20"/>
          <w:szCs w:val="20"/>
        </w:rPr>
        <w:t>.</w:t>
      </w:r>
    </w:p>
    <w:p w14:paraId="68CBD46B" w14:textId="77777777" w:rsidR="009F767C" w:rsidRDefault="009F767C" w:rsidP="005A44B7">
      <w:pPr>
        <w:jc w:val="both"/>
        <w:rPr>
          <w:rFonts w:ascii="Arial" w:eastAsia="Calibri" w:hAnsi="Arial" w:cs="Arial"/>
          <w:color w:val="000000" w:themeColor="text1"/>
          <w:sz w:val="20"/>
          <w:szCs w:val="20"/>
        </w:rPr>
      </w:pPr>
      <w:r w:rsidRPr="00FA6CFE">
        <w:rPr>
          <w:rFonts w:ascii="Arial" w:hAnsi="Arial" w:cs="Arial"/>
          <w:color w:val="000000" w:themeColor="text1"/>
          <w:sz w:val="20"/>
          <w:szCs w:val="20"/>
        </w:rPr>
        <w:t>En este sentido, las entidades no podrán exigir que el balance general esté auditado y aprobado por el máximo órgano social porque: i) el Decreto 1082 de 2015, en el numeral 3</w:t>
      </w:r>
      <w:r>
        <w:rPr>
          <w:rFonts w:ascii="Arial" w:hAnsi="Arial" w:cs="Arial"/>
          <w:color w:val="000000" w:themeColor="text1"/>
          <w:sz w:val="20"/>
          <w:szCs w:val="20"/>
        </w:rPr>
        <w:t xml:space="preserve"> del </w:t>
      </w:r>
      <w:r w:rsidRPr="00FA6CFE">
        <w:rPr>
          <w:rFonts w:ascii="Arial" w:hAnsi="Arial" w:cs="Arial"/>
          <w:color w:val="000000" w:themeColor="text1"/>
          <w:sz w:val="20"/>
          <w:szCs w:val="20"/>
        </w:rPr>
        <w:t xml:space="preserve">artículo 2.2.1.1.1.6.4 no exige este requisito y </w:t>
      </w:r>
      <w:proofErr w:type="spellStart"/>
      <w:r w:rsidRPr="00FA6CFE">
        <w:rPr>
          <w:rFonts w:ascii="Arial" w:hAnsi="Arial" w:cs="Arial"/>
          <w:color w:val="000000" w:themeColor="text1"/>
          <w:sz w:val="20"/>
          <w:szCs w:val="20"/>
        </w:rPr>
        <w:t>ii</w:t>
      </w:r>
      <w:proofErr w:type="spellEnd"/>
      <w:r w:rsidRPr="00FA6CFE">
        <w:rPr>
          <w:rFonts w:ascii="Arial" w:hAnsi="Arial" w:cs="Arial"/>
          <w:color w:val="000000" w:themeColor="text1"/>
          <w:sz w:val="20"/>
          <w:szCs w:val="20"/>
        </w:rPr>
        <w:t>) la ley 49 de 1990 prevé que los balances generales firmados por el contador se presumen que se han tomado fielmente de los libros y que las cifras registradas en ellos reflejan en forma fidedigna la correspondiente situación financiera en la fecha del balance</w:t>
      </w:r>
      <w:r w:rsidRPr="006C15D5">
        <w:rPr>
          <w:rFonts w:ascii="Arial" w:eastAsia="Calibri" w:hAnsi="Arial" w:cs="Arial"/>
          <w:color w:val="000000" w:themeColor="text1"/>
          <w:sz w:val="20"/>
          <w:szCs w:val="20"/>
        </w:rPr>
        <w:t>.</w:t>
      </w:r>
    </w:p>
    <w:p w14:paraId="20730BAC" w14:textId="1847B2CD" w:rsidR="00DF119A" w:rsidRPr="0064448D" w:rsidRDefault="00DF119A" w:rsidP="005A44B7">
      <w:pPr>
        <w:rPr>
          <w:rFonts w:ascii="Arial" w:hAnsi="Arial" w:cs="Arial"/>
          <w:color w:val="000000" w:themeColor="text1"/>
          <w:sz w:val="20"/>
          <w:szCs w:val="20"/>
        </w:rPr>
      </w:pPr>
    </w:p>
    <w:p w14:paraId="11A32ADB" w14:textId="77777777" w:rsidR="00184257" w:rsidRPr="0064448D" w:rsidRDefault="00184257" w:rsidP="005A44B7">
      <w:pPr>
        <w:rPr>
          <w:rFonts w:ascii="Arial" w:hAnsi="Arial" w:cs="Arial"/>
          <w:color w:val="000000" w:themeColor="text1"/>
          <w:sz w:val="20"/>
          <w:szCs w:val="20"/>
        </w:rPr>
      </w:pPr>
    </w:p>
    <w:p w14:paraId="280908ED" w14:textId="001E2B62" w:rsidR="00AF4983" w:rsidRPr="006C15D5" w:rsidRDefault="00AF4983" w:rsidP="005A44B7">
      <w:pPr>
        <w:rPr>
          <w:rFonts w:ascii="Arial" w:hAnsi="Arial" w:cs="Arial"/>
          <w:b/>
          <w:color w:val="000000" w:themeColor="text1"/>
          <w:sz w:val="22"/>
        </w:rPr>
      </w:pPr>
      <w:r w:rsidRPr="006C15D5">
        <w:rPr>
          <w:rFonts w:ascii="Arial" w:hAnsi="Arial" w:cs="Arial"/>
          <w:color w:val="000000" w:themeColor="text1"/>
          <w:sz w:val="22"/>
        </w:rPr>
        <w:t xml:space="preserve">Bogotá D.C., </w:t>
      </w:r>
      <w:r w:rsidR="009F767C" w:rsidRPr="009F767C">
        <w:rPr>
          <w:rFonts w:ascii="Arial" w:hAnsi="Arial" w:cs="Arial"/>
          <w:b/>
          <w:color w:val="000000" w:themeColor="text1"/>
          <w:sz w:val="22"/>
        </w:rPr>
        <w:t>23/06/2020 Hora 10:51:27s</w:t>
      </w:r>
    </w:p>
    <w:p w14:paraId="38B2DAD7" w14:textId="69CF3C38" w:rsidR="00AF4983" w:rsidRPr="006C15D5" w:rsidRDefault="00AF4983" w:rsidP="00AF4983">
      <w:pPr>
        <w:jc w:val="right"/>
        <w:rPr>
          <w:rFonts w:ascii="Arial" w:hAnsi="Arial" w:cs="Arial"/>
          <w:b/>
          <w:color w:val="000000" w:themeColor="text1"/>
          <w:sz w:val="22"/>
        </w:rPr>
      </w:pPr>
      <w:proofErr w:type="spellStart"/>
      <w:r w:rsidRPr="006C15D5">
        <w:rPr>
          <w:rFonts w:ascii="Arial" w:hAnsi="Arial" w:cs="Arial"/>
          <w:b/>
          <w:color w:val="000000" w:themeColor="text1"/>
          <w:sz w:val="22"/>
        </w:rPr>
        <w:t>N°</w:t>
      </w:r>
      <w:proofErr w:type="spellEnd"/>
      <w:r w:rsidRPr="006C15D5">
        <w:rPr>
          <w:rFonts w:ascii="Arial" w:hAnsi="Arial" w:cs="Arial"/>
          <w:b/>
          <w:color w:val="000000" w:themeColor="text1"/>
          <w:sz w:val="22"/>
        </w:rPr>
        <w:t xml:space="preserve"> Radicado: </w:t>
      </w:r>
      <w:r w:rsidR="009F767C" w:rsidRPr="009F767C">
        <w:rPr>
          <w:rFonts w:ascii="Arial" w:hAnsi="Arial" w:cs="Arial"/>
          <w:b/>
          <w:color w:val="000000" w:themeColor="text1"/>
          <w:sz w:val="22"/>
        </w:rPr>
        <w:t>2202013000005266</w:t>
      </w:r>
    </w:p>
    <w:p w14:paraId="40822C44" w14:textId="77777777" w:rsidR="00AF4983" w:rsidRPr="006C15D5" w:rsidRDefault="00AF4983" w:rsidP="00AF4983">
      <w:pPr>
        <w:rPr>
          <w:rFonts w:ascii="Arial" w:eastAsia="Calibri" w:hAnsi="Arial" w:cs="Arial"/>
          <w:color w:val="000000" w:themeColor="text1"/>
          <w:sz w:val="22"/>
        </w:rPr>
      </w:pPr>
    </w:p>
    <w:p w14:paraId="74E8DA6E" w14:textId="77777777" w:rsidR="00AF4983" w:rsidRPr="006C15D5" w:rsidRDefault="00AF4983" w:rsidP="00AF4983">
      <w:pPr>
        <w:rPr>
          <w:rFonts w:ascii="Arial" w:eastAsia="Calibri" w:hAnsi="Arial" w:cs="Arial"/>
          <w:color w:val="000000" w:themeColor="text1"/>
          <w:sz w:val="22"/>
        </w:rPr>
      </w:pPr>
      <w:r w:rsidRPr="006C15D5">
        <w:rPr>
          <w:rFonts w:ascii="Arial" w:eastAsia="Calibri" w:hAnsi="Arial" w:cs="Arial"/>
          <w:color w:val="000000" w:themeColor="text1"/>
          <w:sz w:val="22"/>
        </w:rPr>
        <w:t>Señor</w:t>
      </w:r>
    </w:p>
    <w:p w14:paraId="24109F41" w14:textId="77777777" w:rsidR="00AF4983" w:rsidRPr="006C15D5" w:rsidRDefault="00AF4983" w:rsidP="00AF4983">
      <w:pPr>
        <w:rPr>
          <w:rFonts w:ascii="Arial" w:eastAsia="Calibri" w:hAnsi="Arial" w:cs="Arial"/>
          <w:b/>
          <w:color w:val="000000" w:themeColor="text1"/>
          <w:sz w:val="22"/>
        </w:rPr>
      </w:pPr>
      <w:r>
        <w:rPr>
          <w:rFonts w:ascii="Arial" w:eastAsia="Calibri" w:hAnsi="Arial" w:cs="Arial"/>
          <w:b/>
          <w:color w:val="000000" w:themeColor="text1"/>
          <w:sz w:val="22"/>
        </w:rPr>
        <w:t xml:space="preserve">Juan Aldana </w:t>
      </w:r>
      <w:proofErr w:type="spellStart"/>
      <w:r>
        <w:rPr>
          <w:rFonts w:ascii="Arial" w:eastAsia="Calibri" w:hAnsi="Arial" w:cs="Arial"/>
          <w:b/>
          <w:color w:val="000000" w:themeColor="text1"/>
          <w:sz w:val="22"/>
        </w:rPr>
        <w:t>Geney</w:t>
      </w:r>
      <w:proofErr w:type="spellEnd"/>
    </w:p>
    <w:p w14:paraId="2CBA4CAB" w14:textId="77777777" w:rsidR="00AF4983" w:rsidRPr="006C15D5" w:rsidRDefault="00AF4983" w:rsidP="00AF4983">
      <w:pPr>
        <w:rPr>
          <w:rFonts w:ascii="Arial" w:eastAsia="Calibri" w:hAnsi="Arial" w:cs="Arial"/>
          <w:color w:val="000000" w:themeColor="text1"/>
          <w:sz w:val="22"/>
        </w:rPr>
      </w:pPr>
      <w:r>
        <w:rPr>
          <w:rFonts w:ascii="Arial" w:eastAsia="Calibri" w:hAnsi="Arial" w:cs="Arial"/>
          <w:color w:val="000000" w:themeColor="text1"/>
          <w:sz w:val="22"/>
        </w:rPr>
        <w:t>Ciudad</w:t>
      </w:r>
    </w:p>
    <w:p w14:paraId="021BFD9D" w14:textId="77777777" w:rsidR="00AF4983" w:rsidRPr="006C15D5" w:rsidRDefault="00AF4983" w:rsidP="00AF4983">
      <w:pPr>
        <w:rPr>
          <w:rFonts w:ascii="Arial" w:eastAsia="Calibri" w:hAnsi="Arial" w:cs="Arial"/>
          <w:color w:val="000000" w:themeColor="text1"/>
          <w:sz w:val="22"/>
        </w:rPr>
      </w:pPr>
    </w:p>
    <w:p w14:paraId="06DD1A13" w14:textId="77777777" w:rsidR="00AF4983" w:rsidRPr="006C15D5" w:rsidRDefault="00AF4983" w:rsidP="00AF4983">
      <w:pPr>
        <w:rPr>
          <w:rFonts w:ascii="Arial" w:eastAsia="Calibri" w:hAnsi="Arial" w:cs="Arial"/>
          <w:color w:val="000000" w:themeColor="text1"/>
          <w:sz w:val="22"/>
        </w:rPr>
      </w:pPr>
    </w:p>
    <w:p w14:paraId="6B3DFA8F" w14:textId="77777777" w:rsidR="00AF4983" w:rsidRPr="006C15D5" w:rsidRDefault="00AF4983" w:rsidP="00AF4983">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Pr>
          <w:rFonts w:ascii="Arial" w:eastAsia="Calibri" w:hAnsi="Arial" w:cs="Arial"/>
          <w:b/>
          <w:color w:val="000000" w:themeColor="text1"/>
          <w:sz w:val="22"/>
        </w:rPr>
        <w:t>383</w:t>
      </w:r>
      <w:r w:rsidRPr="006C15D5">
        <w:rPr>
          <w:rFonts w:ascii="Arial" w:eastAsia="Calibri" w:hAnsi="Arial" w:cs="Arial"/>
          <w:b/>
          <w:color w:val="000000" w:themeColor="text1"/>
          <w:sz w:val="22"/>
        </w:rPr>
        <w:t xml:space="preserve"> de 2020</w:t>
      </w:r>
    </w:p>
    <w:p w14:paraId="43C21E80" w14:textId="77777777" w:rsidR="00AF4983" w:rsidRPr="006C15D5" w:rsidRDefault="00AF4983" w:rsidP="00AF498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F4983" w:rsidRPr="00CE5751" w14:paraId="6E888A44" w14:textId="77777777" w:rsidTr="00EB3EF5">
        <w:tc>
          <w:tcPr>
            <w:tcW w:w="2689" w:type="dxa"/>
            <w:hideMark/>
          </w:tcPr>
          <w:p w14:paraId="0918E80C" w14:textId="77777777" w:rsidR="00AF4983" w:rsidRPr="006C15D5" w:rsidRDefault="00AF4983" w:rsidP="00EB3EF5">
            <w:pPr>
              <w:rPr>
                <w:rFonts w:ascii="Arial" w:eastAsia="Calibri" w:hAnsi="Arial" w:cs="Arial"/>
                <w:color w:val="000000" w:themeColor="text1"/>
                <w:sz w:val="22"/>
              </w:rPr>
            </w:pPr>
            <w:r w:rsidRPr="006C15D5">
              <w:rPr>
                <w:rFonts w:ascii="Arial" w:eastAsia="Calibri" w:hAnsi="Arial" w:cs="Arial"/>
                <w:b/>
                <w:color w:val="000000" w:themeColor="text1"/>
                <w:sz w:val="22"/>
              </w:rPr>
              <w:t>Temas:</w:t>
            </w:r>
            <w:r w:rsidRPr="006C15D5">
              <w:rPr>
                <w:rFonts w:ascii="Arial" w:eastAsia="Calibri" w:hAnsi="Arial" w:cs="Arial"/>
                <w:color w:val="000000" w:themeColor="text1"/>
                <w:sz w:val="22"/>
              </w:rPr>
              <w:t xml:space="preserve">           </w:t>
            </w:r>
          </w:p>
          <w:p w14:paraId="1B8ADC25" w14:textId="77777777" w:rsidR="00AF4983" w:rsidRPr="006C15D5" w:rsidRDefault="00AF4983" w:rsidP="00EB3EF5">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392C2B5E" w14:textId="77777777" w:rsidR="00AF4983" w:rsidRPr="00FA6CFE" w:rsidRDefault="00AF4983" w:rsidP="00EB3EF5">
            <w:pPr>
              <w:jc w:val="both"/>
              <w:rPr>
                <w:rFonts w:ascii="Arial" w:eastAsia="Calibri" w:hAnsi="Arial" w:cs="Arial"/>
                <w:bCs/>
                <w:color w:val="000000" w:themeColor="text1"/>
                <w:sz w:val="22"/>
              </w:rPr>
            </w:pPr>
            <w:r w:rsidRPr="00FA6CFE">
              <w:rPr>
                <w:rFonts w:ascii="Arial" w:eastAsia="Calibri" w:hAnsi="Arial" w:cs="Arial"/>
                <w:bCs/>
                <w:color w:val="000000" w:themeColor="text1"/>
                <w:sz w:val="22"/>
              </w:rPr>
              <w:t>DOCUMENTOS TIPO</w:t>
            </w:r>
            <w:r w:rsidRPr="00FA6CFE">
              <w:rPr>
                <w:rFonts w:ascii="Arial" w:eastAsia="Calibri" w:hAnsi="Arial" w:cs="Arial"/>
                <w:bCs/>
                <w:color w:val="000000" w:themeColor="text1"/>
                <w:sz w:val="22"/>
              </w:rPr>
              <w:softHyphen/>
              <w:t xml:space="preserve"> – Versión 2 – Capacidad residual – Capacidad organizacional – Aprobación máximo órgano social – Estados financieros </w:t>
            </w:r>
          </w:p>
        </w:tc>
      </w:tr>
      <w:tr w:rsidR="00AF4983" w:rsidRPr="003F6D32" w14:paraId="154FD1A4" w14:textId="77777777" w:rsidTr="00EB3EF5">
        <w:tc>
          <w:tcPr>
            <w:tcW w:w="2689" w:type="dxa"/>
          </w:tcPr>
          <w:p w14:paraId="072D39BC" w14:textId="77777777" w:rsidR="00AF4983" w:rsidRPr="006C15D5" w:rsidRDefault="00AF4983" w:rsidP="00EB3EF5">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6D0C8B7B" w14:textId="77777777" w:rsidR="00AF4983" w:rsidRPr="006C15D5" w:rsidRDefault="00AF4983" w:rsidP="00EB3EF5">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Respuesta a consulta 420201300000</w:t>
            </w:r>
            <w:r>
              <w:rPr>
                <w:rFonts w:ascii="Arial" w:eastAsia="Calibri" w:hAnsi="Arial" w:cs="Arial"/>
                <w:color w:val="000000" w:themeColor="text1"/>
                <w:sz w:val="22"/>
              </w:rPr>
              <w:t>4344</w:t>
            </w:r>
            <w:r w:rsidRPr="006C15D5">
              <w:rPr>
                <w:rFonts w:ascii="Arial" w:eastAsia="Calibri" w:hAnsi="Arial" w:cs="Arial"/>
                <w:color w:val="000000" w:themeColor="text1"/>
                <w:sz w:val="22"/>
              </w:rPr>
              <w:t xml:space="preserve"> </w:t>
            </w:r>
          </w:p>
        </w:tc>
      </w:tr>
      <w:tr w:rsidR="00AF4983" w:rsidRPr="003F6D32" w14:paraId="69D9F05F" w14:textId="77777777" w:rsidTr="00EB3EF5">
        <w:tc>
          <w:tcPr>
            <w:tcW w:w="2689" w:type="dxa"/>
          </w:tcPr>
          <w:p w14:paraId="322A400B" w14:textId="77777777" w:rsidR="00AF4983" w:rsidRPr="006C15D5" w:rsidRDefault="00AF4983" w:rsidP="00EB3EF5">
            <w:pPr>
              <w:spacing w:before="120"/>
              <w:rPr>
                <w:rFonts w:ascii="Arial" w:eastAsia="Calibri" w:hAnsi="Arial" w:cs="Arial"/>
                <w:b/>
                <w:color w:val="000000" w:themeColor="text1"/>
                <w:sz w:val="22"/>
              </w:rPr>
            </w:pPr>
          </w:p>
        </w:tc>
        <w:tc>
          <w:tcPr>
            <w:tcW w:w="6237" w:type="dxa"/>
          </w:tcPr>
          <w:p w14:paraId="19E7BA11" w14:textId="77777777" w:rsidR="00AF4983" w:rsidRPr="006C15D5" w:rsidRDefault="00AF4983" w:rsidP="00EB3EF5">
            <w:pPr>
              <w:spacing w:before="120"/>
              <w:jc w:val="both"/>
              <w:rPr>
                <w:rFonts w:ascii="Arial" w:eastAsia="Calibri" w:hAnsi="Arial" w:cs="Arial"/>
                <w:color w:val="000000" w:themeColor="text1"/>
                <w:sz w:val="22"/>
              </w:rPr>
            </w:pPr>
          </w:p>
        </w:tc>
      </w:tr>
    </w:tbl>
    <w:p w14:paraId="68E75050" w14:textId="77777777" w:rsidR="00AF4983" w:rsidRPr="006C15D5" w:rsidRDefault="00AF4983" w:rsidP="00AF4983">
      <w:pPr>
        <w:spacing w:before="120"/>
        <w:jc w:val="both"/>
        <w:rPr>
          <w:rFonts w:ascii="Arial" w:eastAsia="Calibri" w:hAnsi="Arial" w:cs="Arial"/>
          <w:color w:val="000000" w:themeColor="text1"/>
          <w:sz w:val="22"/>
        </w:rPr>
      </w:pPr>
    </w:p>
    <w:p w14:paraId="7C163EFE" w14:textId="77777777" w:rsidR="00AF4983" w:rsidRPr="006C15D5" w:rsidRDefault="00AF4983" w:rsidP="00AF4983">
      <w:pPr>
        <w:rPr>
          <w:rFonts w:ascii="Arial" w:eastAsia="Calibri" w:hAnsi="Arial" w:cs="Arial"/>
          <w:color w:val="000000" w:themeColor="text1"/>
          <w:sz w:val="22"/>
        </w:rPr>
      </w:pPr>
      <w:r w:rsidRPr="006C15D5">
        <w:rPr>
          <w:rFonts w:ascii="Arial" w:eastAsia="Calibri" w:hAnsi="Arial" w:cs="Arial"/>
          <w:color w:val="000000" w:themeColor="text1"/>
          <w:sz w:val="22"/>
        </w:rPr>
        <w:t>Estimad</w:t>
      </w:r>
      <w:r>
        <w:rPr>
          <w:rFonts w:ascii="Arial" w:eastAsia="Calibri" w:hAnsi="Arial" w:cs="Arial"/>
          <w:color w:val="000000" w:themeColor="text1"/>
          <w:sz w:val="22"/>
        </w:rPr>
        <w:t>o</w:t>
      </w:r>
      <w:r w:rsidRPr="006C15D5">
        <w:rPr>
          <w:rFonts w:ascii="Arial" w:eastAsia="Calibri" w:hAnsi="Arial" w:cs="Arial"/>
          <w:color w:val="000000" w:themeColor="text1"/>
          <w:sz w:val="22"/>
        </w:rPr>
        <w:t xml:space="preserve"> señor </w:t>
      </w:r>
      <w:r>
        <w:rPr>
          <w:rFonts w:ascii="Arial" w:eastAsia="Calibri" w:hAnsi="Arial" w:cs="Arial"/>
          <w:color w:val="000000" w:themeColor="text1"/>
          <w:sz w:val="22"/>
        </w:rPr>
        <w:t>Aldana</w:t>
      </w:r>
      <w:r w:rsidRPr="006C15D5">
        <w:rPr>
          <w:rFonts w:ascii="Arial" w:eastAsia="Calibri" w:hAnsi="Arial" w:cs="Arial"/>
          <w:color w:val="000000" w:themeColor="text1"/>
          <w:sz w:val="22"/>
        </w:rPr>
        <w:t>:</w:t>
      </w:r>
    </w:p>
    <w:p w14:paraId="7C7B9653" w14:textId="77777777" w:rsidR="00AF4983" w:rsidRPr="006C15D5" w:rsidRDefault="00AF4983" w:rsidP="00AF4983">
      <w:pPr>
        <w:rPr>
          <w:rFonts w:ascii="Arial" w:eastAsia="Calibri" w:hAnsi="Arial" w:cs="Arial"/>
          <w:color w:val="000000" w:themeColor="text1"/>
          <w:sz w:val="22"/>
        </w:rPr>
      </w:pPr>
    </w:p>
    <w:p w14:paraId="2C42D854" w14:textId="77777777" w:rsidR="00AF4983" w:rsidRDefault="00AF4983" w:rsidP="00AF4983">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color w:val="000000" w:themeColor="text1"/>
          <w:sz w:val="22"/>
        </w:rPr>
        <w:t>31</w:t>
      </w:r>
      <w:r w:rsidRPr="006C15D5">
        <w:rPr>
          <w:rFonts w:ascii="Arial" w:eastAsia="Calibri" w:hAnsi="Arial" w:cs="Arial"/>
          <w:color w:val="000000" w:themeColor="text1"/>
          <w:sz w:val="22"/>
        </w:rPr>
        <w:t xml:space="preserve"> de ma</w:t>
      </w:r>
      <w:r>
        <w:rPr>
          <w:rFonts w:ascii="Arial" w:eastAsia="Calibri" w:hAnsi="Arial" w:cs="Arial"/>
          <w:color w:val="000000" w:themeColor="text1"/>
          <w:sz w:val="22"/>
        </w:rPr>
        <w:t>yo</w:t>
      </w:r>
      <w:r w:rsidRPr="006C15D5">
        <w:rPr>
          <w:rFonts w:ascii="Arial" w:eastAsia="Calibri" w:hAnsi="Arial" w:cs="Arial"/>
          <w:color w:val="000000" w:themeColor="text1"/>
          <w:sz w:val="22"/>
        </w:rPr>
        <w:t xml:space="preserve"> de 2020. </w:t>
      </w:r>
    </w:p>
    <w:p w14:paraId="1B71D0D4" w14:textId="77777777" w:rsidR="00AF4983" w:rsidRPr="006C15D5" w:rsidRDefault="00AF4983" w:rsidP="00AF4983">
      <w:pPr>
        <w:spacing w:line="276" w:lineRule="auto"/>
        <w:jc w:val="both"/>
        <w:rPr>
          <w:rFonts w:ascii="Arial" w:eastAsia="Calibri" w:hAnsi="Arial" w:cs="Arial"/>
          <w:color w:val="000000" w:themeColor="text1"/>
          <w:sz w:val="22"/>
        </w:rPr>
      </w:pPr>
    </w:p>
    <w:p w14:paraId="78652556" w14:textId="77777777" w:rsidR="00AF4983" w:rsidRPr="006C15D5" w:rsidRDefault="00AF4983" w:rsidP="00AF4983">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5B5649A7" w14:textId="77777777" w:rsidR="00AF4983" w:rsidRPr="006C15D5" w:rsidRDefault="00AF4983" w:rsidP="00AF4983">
      <w:pPr>
        <w:tabs>
          <w:tab w:val="left" w:pos="426"/>
        </w:tabs>
        <w:spacing w:line="276" w:lineRule="auto"/>
        <w:jc w:val="both"/>
        <w:rPr>
          <w:rFonts w:ascii="Arial" w:eastAsia="Calibri" w:hAnsi="Arial" w:cs="Arial"/>
          <w:b/>
          <w:color w:val="000000" w:themeColor="text1"/>
          <w:sz w:val="22"/>
        </w:rPr>
      </w:pPr>
    </w:p>
    <w:p w14:paraId="18547DC9" w14:textId="77777777" w:rsidR="00AF4983" w:rsidRPr="006C15D5" w:rsidRDefault="00AF4983" w:rsidP="00AF4983">
      <w:pPr>
        <w:tabs>
          <w:tab w:val="left" w:pos="426"/>
        </w:tabs>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Usted realiza la siguiente pregunta</w:t>
      </w:r>
      <w:r>
        <w:rPr>
          <w:rFonts w:ascii="Arial" w:eastAsia="Calibri" w:hAnsi="Arial" w:cs="Arial"/>
          <w:color w:val="000000" w:themeColor="text1"/>
          <w:sz w:val="22"/>
        </w:rPr>
        <w:t xml:space="preserve"> en relación con la forma de acreditar la capacidad organizacional de la persona jurídica</w:t>
      </w:r>
      <w:r w:rsidRPr="006C15D5">
        <w:rPr>
          <w:rFonts w:ascii="Arial" w:eastAsia="Calibri" w:hAnsi="Arial" w:cs="Arial"/>
          <w:color w:val="000000" w:themeColor="text1"/>
          <w:sz w:val="22"/>
        </w:rPr>
        <w:t xml:space="preserve">: </w:t>
      </w:r>
      <w:bookmarkStart w:id="0" w:name="_Hlk42692076"/>
      <w:r>
        <w:rPr>
          <w:rFonts w:ascii="Arial" w:eastAsia="Calibri" w:hAnsi="Arial" w:cs="Arial"/>
          <w:color w:val="000000" w:themeColor="text1"/>
          <w:sz w:val="22"/>
        </w:rPr>
        <w:t xml:space="preserve">«¿Es necesario que la aprobación de los estados </w:t>
      </w:r>
      <w:r>
        <w:rPr>
          <w:rFonts w:ascii="Arial" w:eastAsia="Calibri" w:hAnsi="Arial" w:cs="Arial"/>
          <w:color w:val="000000" w:themeColor="text1"/>
          <w:sz w:val="22"/>
        </w:rPr>
        <w:lastRenderedPageBreak/>
        <w:t>financieros vaya adjunta a estos para acreditar la capacidad organizacional de una empresa</w:t>
      </w:r>
      <w:r w:rsidRPr="006C15D5">
        <w:rPr>
          <w:rFonts w:ascii="Arial" w:eastAsia="Calibri" w:hAnsi="Arial" w:cs="Arial"/>
          <w:color w:val="000000" w:themeColor="text1"/>
          <w:sz w:val="22"/>
        </w:rPr>
        <w:t>?</w:t>
      </w:r>
      <w:r>
        <w:rPr>
          <w:rFonts w:ascii="Arial" w:eastAsia="Calibri" w:hAnsi="Arial" w:cs="Arial"/>
          <w:color w:val="000000" w:themeColor="text1"/>
          <w:sz w:val="22"/>
        </w:rPr>
        <w:t xml:space="preserve"> Y si es así ¿es imperativo que este documento vaya estampado con el respectivo sello de la cámara de comercio de la persona jurídica en cuestión?</w:t>
      </w:r>
      <w:r w:rsidRPr="006C15D5">
        <w:rPr>
          <w:rFonts w:ascii="Arial" w:eastAsia="Calibri" w:hAnsi="Arial" w:cs="Arial"/>
          <w:color w:val="000000" w:themeColor="text1"/>
          <w:sz w:val="22"/>
        </w:rPr>
        <w:t xml:space="preserve">». </w:t>
      </w:r>
    </w:p>
    <w:bookmarkEnd w:id="0"/>
    <w:p w14:paraId="7C6A53FE" w14:textId="77777777" w:rsidR="00AF4983" w:rsidRPr="006C15D5" w:rsidRDefault="00AF4983" w:rsidP="00AF4983">
      <w:pPr>
        <w:tabs>
          <w:tab w:val="left" w:pos="709"/>
        </w:tabs>
        <w:spacing w:line="276" w:lineRule="auto"/>
        <w:jc w:val="both"/>
        <w:rPr>
          <w:rFonts w:ascii="Arial" w:eastAsia="Calibri" w:hAnsi="Arial" w:cs="Arial"/>
          <w:color w:val="000000" w:themeColor="text1"/>
          <w:sz w:val="22"/>
        </w:rPr>
      </w:pPr>
    </w:p>
    <w:p w14:paraId="16253E86" w14:textId="77777777" w:rsidR="00AF4983" w:rsidRPr="006C15D5" w:rsidRDefault="00AF4983" w:rsidP="00AF4983">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2DDC48E9" w14:textId="77777777" w:rsidR="00AF4983" w:rsidRPr="006C15D5" w:rsidRDefault="00AF4983" w:rsidP="00AF4983">
      <w:pPr>
        <w:spacing w:line="276" w:lineRule="auto"/>
        <w:jc w:val="both"/>
        <w:rPr>
          <w:rFonts w:ascii="Arial" w:eastAsia="Calibri" w:hAnsi="Arial" w:cs="Arial"/>
          <w:color w:val="000000" w:themeColor="text1"/>
          <w:sz w:val="22"/>
        </w:rPr>
      </w:pPr>
    </w:p>
    <w:p w14:paraId="76E5EF41" w14:textId="77777777" w:rsidR="00AF4983" w:rsidRDefault="00AF4983" w:rsidP="00AF4983">
      <w:pPr>
        <w:spacing w:line="276" w:lineRule="auto"/>
        <w:jc w:val="both"/>
        <w:rPr>
          <w:rFonts w:ascii="Arial" w:hAnsi="Arial" w:cs="Arial"/>
          <w:color w:val="000000" w:themeColor="text1"/>
          <w:sz w:val="22"/>
        </w:rPr>
      </w:pPr>
      <w:r>
        <w:rPr>
          <w:rFonts w:ascii="Arial" w:hAnsi="Arial" w:cs="Arial"/>
          <w:color w:val="000000" w:themeColor="text1"/>
          <w:sz w:val="22"/>
        </w:rPr>
        <w:t>De acuerdo con lo establecido en el artículo 2.2.1.1.1.3.1 del Decreto 1082 de 2015, la capacidad residual es la aptitud de los oferentes para cumplir de manera oportuna y a cabalidad el objeto de un contrato de obra, sin que los demás compromisos contractuales que han adquirido afecten su habilidad de cumplir el objeto del contrato que está en proceso de selección</w:t>
      </w:r>
      <w:r>
        <w:rPr>
          <w:rFonts w:ascii="Arial" w:hAnsi="Arial" w:cs="Arial"/>
          <w:color w:val="000000" w:themeColor="text1"/>
          <w:sz w:val="22"/>
          <w:szCs w:val="20"/>
          <w:vertAlign w:val="superscript"/>
        </w:rPr>
        <w:footnoteReference w:id="1"/>
      </w:r>
      <w:r>
        <w:rPr>
          <w:rFonts w:ascii="Arial" w:hAnsi="Arial" w:cs="Arial"/>
          <w:color w:val="000000" w:themeColor="text1"/>
          <w:sz w:val="22"/>
        </w:rPr>
        <w:t>. Por su parte, el Consejo de Estado ha definido la capacidad residual como «la diferencia que existe entre el potencial de contratación que se tiene y los compromisos que haya adquirido y que se encuentren en ejecución, para la fecha de presentación de la oferta»</w:t>
      </w:r>
      <w:r>
        <w:rPr>
          <w:rStyle w:val="Refdenotaalpie"/>
          <w:rFonts w:ascii="Arial" w:eastAsia="Calibri" w:hAnsi="Arial" w:cs="Arial"/>
          <w:color w:val="000000" w:themeColor="text1"/>
          <w:sz w:val="22"/>
        </w:rPr>
        <w:footnoteReference w:id="2"/>
      </w:r>
      <w:r>
        <w:rPr>
          <w:rFonts w:ascii="Arial" w:hAnsi="Arial" w:cs="Arial"/>
          <w:color w:val="000000" w:themeColor="text1"/>
          <w:sz w:val="22"/>
        </w:rPr>
        <w:t>.</w:t>
      </w:r>
    </w:p>
    <w:p w14:paraId="6E187DEE" w14:textId="77777777" w:rsidR="00AF4983" w:rsidRDefault="00AF4983" w:rsidP="00AF4983">
      <w:pPr>
        <w:spacing w:before="120" w:after="120" w:line="276" w:lineRule="auto"/>
        <w:ind w:firstLine="708"/>
        <w:jc w:val="both"/>
        <w:rPr>
          <w:rFonts w:ascii="Arial" w:hAnsi="Arial" w:cs="Arial"/>
          <w:color w:val="000000" w:themeColor="text1"/>
          <w:sz w:val="22"/>
        </w:rPr>
      </w:pPr>
      <w:r>
        <w:rPr>
          <w:rFonts w:ascii="Arial" w:hAnsi="Arial" w:cs="Arial"/>
          <w:color w:val="000000" w:themeColor="text1"/>
          <w:sz w:val="22"/>
        </w:rPr>
        <w:t>En atención a lo anterior, la capacidad residual hace referencia a la suficiencia que tiene el proponente para asumir nuevas obligaciones que se derivan del contrato objeto del proceso de contratación, en relación con las obligaciones que ya adquirió frente a otros contratos.</w:t>
      </w:r>
    </w:p>
    <w:p w14:paraId="3CA41443" w14:textId="77777777" w:rsidR="00AF4983" w:rsidRDefault="00AF4983" w:rsidP="00AF4983">
      <w:pPr>
        <w:spacing w:line="276" w:lineRule="auto"/>
        <w:ind w:firstLine="708"/>
        <w:jc w:val="both"/>
        <w:rPr>
          <w:rFonts w:ascii="Arial" w:hAnsi="Arial" w:cs="Arial"/>
          <w:color w:val="000000" w:themeColor="text1"/>
          <w:sz w:val="22"/>
        </w:rPr>
      </w:pPr>
      <w:r>
        <w:rPr>
          <w:rFonts w:ascii="Arial" w:hAnsi="Arial" w:cs="Arial"/>
          <w:color w:val="000000" w:themeColor="text1"/>
          <w:sz w:val="22"/>
        </w:rPr>
        <w:t xml:space="preserve">El artículo 6 de la Ley 1150 de 2007 estableció como condición «para poder participar en los procesos de selección de los contratos de obra, la capacidad residual del proponente o K de contratación», y determinó que esta debe ser igual o superior a la que se ha establecido en los pliegos de condiciones, en los siguientes términos: </w:t>
      </w:r>
    </w:p>
    <w:p w14:paraId="7DAA3177" w14:textId="77777777" w:rsidR="00AF4983" w:rsidRDefault="00AF4983" w:rsidP="00AF4983">
      <w:pPr>
        <w:ind w:right="709"/>
        <w:jc w:val="both"/>
        <w:rPr>
          <w:rFonts w:ascii="Arial" w:eastAsia="Calibri" w:hAnsi="Arial" w:cs="Arial"/>
          <w:color w:val="000000" w:themeColor="text1"/>
          <w:sz w:val="21"/>
          <w:szCs w:val="21"/>
        </w:rPr>
      </w:pPr>
    </w:p>
    <w:p w14:paraId="0538AE5A" w14:textId="77777777" w:rsidR="00AF4983" w:rsidRDefault="00AF4983" w:rsidP="00AF4983">
      <w:pPr>
        <w:ind w:left="708"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6A855995" w14:textId="77777777" w:rsidR="00AF4983" w:rsidRDefault="00AF4983" w:rsidP="00AF4983">
      <w:pPr>
        <w:ind w:left="708" w:right="709"/>
        <w:jc w:val="both"/>
        <w:rPr>
          <w:rFonts w:ascii="Arial" w:eastAsia="Calibri" w:hAnsi="Arial" w:cs="Arial"/>
          <w:color w:val="000000" w:themeColor="text1"/>
          <w:sz w:val="21"/>
          <w:szCs w:val="21"/>
        </w:rPr>
      </w:pPr>
    </w:p>
    <w:p w14:paraId="18CA8D63" w14:textId="77777777" w:rsidR="00AF4983" w:rsidRDefault="00AF4983" w:rsidP="00AF4983">
      <w:pPr>
        <w:ind w:left="708"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 xml:space="preserve">Para establecer la capacidad residual del proponente o K de contratación, se deberán considerar todos los contratos que tenga en ejecución el proponente </w:t>
      </w:r>
      <w:r>
        <w:rPr>
          <w:rFonts w:ascii="Arial" w:eastAsia="Calibri" w:hAnsi="Arial" w:cs="Arial"/>
          <w:color w:val="000000" w:themeColor="text1"/>
          <w:sz w:val="21"/>
          <w:szCs w:val="21"/>
        </w:rPr>
        <w:lastRenderedPageBreak/>
        <w:t>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2D9EC3CA" w14:textId="77777777" w:rsidR="00AF4983" w:rsidRDefault="00AF4983" w:rsidP="00AF4983">
      <w:pPr>
        <w:spacing w:line="276" w:lineRule="auto"/>
        <w:ind w:right="709"/>
        <w:jc w:val="both"/>
        <w:rPr>
          <w:rFonts w:ascii="Arial" w:eastAsia="Calibri" w:hAnsi="Arial" w:cs="Arial"/>
          <w:color w:val="000000" w:themeColor="text1"/>
          <w:sz w:val="21"/>
          <w:szCs w:val="21"/>
        </w:rPr>
      </w:pPr>
    </w:p>
    <w:p w14:paraId="3EC9F865" w14:textId="77777777" w:rsidR="00AF4983" w:rsidRDefault="00AF4983" w:rsidP="00AF4983">
      <w:pPr>
        <w:spacing w:before="120" w:after="120" w:line="276" w:lineRule="auto"/>
        <w:jc w:val="both"/>
        <w:rPr>
          <w:rFonts w:ascii="Arial" w:hAnsi="Arial" w:cs="Arial"/>
          <w:color w:val="000000" w:themeColor="text1"/>
          <w:sz w:val="22"/>
        </w:rPr>
      </w:pPr>
      <w:r>
        <w:rPr>
          <w:rFonts w:ascii="Arial" w:eastAsia="Calibri" w:hAnsi="Arial" w:cs="Arial"/>
          <w:color w:val="000000" w:themeColor="text1"/>
          <w:sz w:val="21"/>
          <w:szCs w:val="21"/>
        </w:rPr>
        <w:tab/>
      </w:r>
      <w:r>
        <w:rPr>
          <w:rFonts w:ascii="Arial" w:hAnsi="Arial" w:cs="Arial"/>
          <w:color w:val="000000" w:themeColor="text1"/>
          <w:sz w:val="22"/>
        </w:rPr>
        <w:t xml:space="preserve">Por su parte, el artículo 72 de la Ley 1682 de 2013, por la cual se adoptan medidas y disposiciones para los proyectos de infraestructura de transporte, estableció que la capacidad residual del proponente se debe calcular mediante la evaluación de los siguientes factores: Experiencia [E], Capacidad Financiera [CF], Capacidad Técnica [CT] y Capacidad de Organización [CO]. </w:t>
      </w:r>
    </w:p>
    <w:p w14:paraId="654B16A0" w14:textId="77777777" w:rsidR="00AF4983" w:rsidRDefault="00AF4983" w:rsidP="00AF4983">
      <w:pPr>
        <w:spacing w:before="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 xml:space="preserve">Definido el alcance del requisito habilitante de capacidad residual en los procesos de contratación, a continuación, se explicará la forma como se reguló este requisito en los Documentos Tipo de licitación de obra pública de infraestructura – Versión 1 y – Versión 2.  Por tanto, se analizarán los principales cambios referidos a la acreditación de la capacidad organizacional en la nueva versión de los Documentos Tipo de licitación de obra pública. </w:t>
      </w:r>
    </w:p>
    <w:p w14:paraId="0CAFF376" w14:textId="77777777" w:rsidR="00AF4983" w:rsidRDefault="00AF4983" w:rsidP="00AF4983">
      <w:pPr>
        <w:spacing w:line="276" w:lineRule="auto"/>
        <w:jc w:val="both"/>
        <w:rPr>
          <w:rFonts w:ascii="Arial" w:eastAsia="Calibri" w:hAnsi="Arial" w:cs="Arial"/>
          <w:b/>
          <w:color w:val="000000" w:themeColor="text1"/>
          <w:sz w:val="22"/>
        </w:rPr>
      </w:pPr>
    </w:p>
    <w:p w14:paraId="551BA898" w14:textId="77777777" w:rsidR="00AF4983" w:rsidRPr="006237DE" w:rsidRDefault="00AF4983" w:rsidP="00AF4983">
      <w:pPr>
        <w:spacing w:line="276" w:lineRule="auto"/>
        <w:jc w:val="both"/>
        <w:rPr>
          <w:rFonts w:ascii="Arial" w:eastAsia="Calibri" w:hAnsi="Arial" w:cs="Arial"/>
          <w:b/>
          <w:color w:val="000000" w:themeColor="text1"/>
          <w:sz w:val="22"/>
        </w:rPr>
      </w:pPr>
      <w:r w:rsidRPr="006237DE">
        <w:rPr>
          <w:rFonts w:ascii="Arial" w:eastAsia="Calibri" w:hAnsi="Arial" w:cs="Arial"/>
          <w:b/>
          <w:color w:val="000000" w:themeColor="text1"/>
          <w:sz w:val="22"/>
        </w:rPr>
        <w:t xml:space="preserve">2.1 </w:t>
      </w:r>
      <w:r>
        <w:rPr>
          <w:rFonts w:ascii="Arial" w:eastAsia="Calibri" w:hAnsi="Arial" w:cs="Arial"/>
          <w:b/>
          <w:color w:val="000000" w:themeColor="text1"/>
          <w:sz w:val="22"/>
        </w:rPr>
        <w:t>Acreditación de la capacidad residual – capacidad de organización (CO) en la primera versión de los Documentos Tipo de Licitación de Obra Pública de Infraestructura de Transporte</w:t>
      </w:r>
    </w:p>
    <w:p w14:paraId="211FA7F0" w14:textId="77777777" w:rsidR="00AF4983" w:rsidRDefault="00AF4983" w:rsidP="00AF4983">
      <w:pPr>
        <w:spacing w:line="276" w:lineRule="auto"/>
        <w:jc w:val="both"/>
        <w:rPr>
          <w:rFonts w:ascii="Arial" w:eastAsia="Calibri" w:hAnsi="Arial" w:cs="Arial"/>
          <w:bCs/>
          <w:color w:val="000000" w:themeColor="text1"/>
          <w:sz w:val="22"/>
        </w:rPr>
      </w:pPr>
    </w:p>
    <w:p w14:paraId="567A580F" w14:textId="77777777" w:rsidR="00AF4983" w:rsidRDefault="00AF4983" w:rsidP="00AF4983">
      <w:pPr>
        <w:spacing w:after="120" w:line="276" w:lineRule="auto"/>
        <w:jc w:val="both"/>
        <w:rPr>
          <w:rFonts w:ascii="Arial" w:eastAsia="Calibri" w:hAnsi="Arial" w:cs="Arial"/>
          <w:bCs/>
          <w:color w:val="000000" w:themeColor="text1"/>
          <w:sz w:val="22"/>
        </w:rPr>
      </w:pPr>
      <w:r w:rsidRPr="009C5F92">
        <w:rPr>
          <w:rFonts w:ascii="Arial" w:eastAsia="Calibri" w:hAnsi="Arial" w:cs="Arial"/>
          <w:bCs/>
          <w:color w:val="000000" w:themeColor="text1"/>
          <w:sz w:val="22"/>
        </w:rPr>
        <w:t>En la primera versión de los Documentos Tipo de licitación de obra pública de infraestructura de transporte, en el numeral 3.10.2</w:t>
      </w:r>
      <w:r>
        <w:rPr>
          <w:rFonts w:ascii="Arial" w:eastAsia="Calibri" w:hAnsi="Arial" w:cs="Arial"/>
          <w:bCs/>
          <w:color w:val="000000" w:themeColor="text1"/>
          <w:sz w:val="22"/>
        </w:rPr>
        <w:t>,</w:t>
      </w:r>
      <w:r w:rsidRPr="009C5F92">
        <w:rPr>
          <w:rFonts w:ascii="Arial" w:eastAsia="Calibri" w:hAnsi="Arial" w:cs="Arial"/>
          <w:bCs/>
          <w:color w:val="000000" w:themeColor="text1"/>
          <w:sz w:val="22"/>
        </w:rPr>
        <w:t xml:space="preserve"> se </w:t>
      </w:r>
      <w:r>
        <w:rPr>
          <w:rFonts w:ascii="Arial" w:eastAsia="Calibri" w:hAnsi="Arial" w:cs="Arial"/>
          <w:bCs/>
          <w:color w:val="000000" w:themeColor="text1"/>
          <w:sz w:val="22"/>
        </w:rPr>
        <w:t>estableció</w:t>
      </w:r>
      <w:r w:rsidRPr="009C5F92">
        <w:rPr>
          <w:rFonts w:ascii="Arial" w:eastAsia="Calibri" w:hAnsi="Arial" w:cs="Arial"/>
          <w:bCs/>
          <w:color w:val="000000" w:themeColor="text1"/>
          <w:sz w:val="22"/>
        </w:rPr>
        <w:t xml:space="preserve"> que para acreditar la capacidad de organización (CO) el proponente deb</w:t>
      </w:r>
      <w:r>
        <w:rPr>
          <w:rFonts w:ascii="Arial" w:eastAsia="Calibri" w:hAnsi="Arial" w:cs="Arial"/>
          <w:bCs/>
          <w:color w:val="000000" w:themeColor="text1"/>
          <w:sz w:val="22"/>
        </w:rPr>
        <w:t>ía</w:t>
      </w:r>
      <w:r w:rsidRPr="009C5F92">
        <w:rPr>
          <w:rFonts w:ascii="Arial" w:eastAsia="Calibri" w:hAnsi="Arial" w:cs="Arial"/>
          <w:bCs/>
          <w:color w:val="000000" w:themeColor="text1"/>
          <w:sz w:val="22"/>
        </w:rPr>
        <w:t xml:space="preserve"> presentar los siguientes documentos:</w:t>
      </w:r>
    </w:p>
    <w:p w14:paraId="2E91284B" w14:textId="77777777" w:rsidR="00AF4983" w:rsidRPr="009C5F92" w:rsidRDefault="00AF4983" w:rsidP="00AF4983">
      <w:pPr>
        <w:spacing w:after="200" w:line="276" w:lineRule="auto"/>
        <w:ind w:firstLine="360"/>
        <w:jc w:val="both"/>
        <w:rPr>
          <w:rFonts w:ascii="Arial" w:eastAsia="Calibri" w:hAnsi="Arial" w:cs="Arial"/>
          <w:bCs/>
          <w:color w:val="000000" w:themeColor="text1"/>
          <w:sz w:val="22"/>
        </w:rPr>
      </w:pPr>
      <w:r>
        <w:rPr>
          <w:rFonts w:ascii="Arial" w:eastAsia="Calibri" w:hAnsi="Arial" w:cs="Arial"/>
          <w:bCs/>
          <w:color w:val="000000" w:themeColor="text1"/>
          <w:sz w:val="22"/>
        </w:rPr>
        <w:t xml:space="preserve">i) </w:t>
      </w:r>
      <w:r w:rsidRPr="009C5F92">
        <w:rPr>
          <w:rFonts w:ascii="Arial" w:eastAsia="Calibri" w:hAnsi="Arial" w:cs="Arial"/>
          <w:bCs/>
          <w:color w:val="000000" w:themeColor="text1"/>
          <w:sz w:val="22"/>
        </w:rPr>
        <w:t xml:space="preserve">Estado de resultados integral (estado de resultados o pérdida o ganancias), del año en que hayan obtenido el mayor ingreso operacional en los últimos cinco (5) años, debidamente firmado por el </w:t>
      </w:r>
      <w:r>
        <w:rPr>
          <w:rFonts w:ascii="Arial" w:eastAsia="Calibri" w:hAnsi="Arial" w:cs="Arial"/>
          <w:bCs/>
          <w:color w:val="000000" w:themeColor="text1"/>
          <w:sz w:val="22"/>
        </w:rPr>
        <w:t>r</w:t>
      </w:r>
      <w:r w:rsidRPr="009C5F92">
        <w:rPr>
          <w:rFonts w:ascii="Arial" w:eastAsia="Calibri" w:hAnsi="Arial" w:cs="Arial"/>
          <w:bCs/>
          <w:color w:val="000000" w:themeColor="text1"/>
          <w:sz w:val="22"/>
        </w:rPr>
        <w:t xml:space="preserve">epresentante </w:t>
      </w:r>
      <w:r>
        <w:rPr>
          <w:rFonts w:ascii="Arial" w:eastAsia="Calibri" w:hAnsi="Arial" w:cs="Arial"/>
          <w:bCs/>
          <w:color w:val="000000" w:themeColor="text1"/>
          <w:sz w:val="22"/>
        </w:rPr>
        <w:t>l</w:t>
      </w:r>
      <w:r w:rsidRPr="009C5F92">
        <w:rPr>
          <w:rFonts w:ascii="Arial" w:eastAsia="Calibri" w:hAnsi="Arial" w:cs="Arial"/>
          <w:bCs/>
          <w:color w:val="000000" w:themeColor="text1"/>
          <w:sz w:val="22"/>
        </w:rPr>
        <w:t xml:space="preserve">egal, </w:t>
      </w:r>
      <w:r>
        <w:rPr>
          <w:rFonts w:ascii="Arial" w:eastAsia="Calibri" w:hAnsi="Arial" w:cs="Arial"/>
          <w:bCs/>
          <w:color w:val="000000" w:themeColor="text1"/>
          <w:sz w:val="22"/>
        </w:rPr>
        <w:t>c</w:t>
      </w:r>
      <w:r w:rsidRPr="009C5F92">
        <w:rPr>
          <w:rFonts w:ascii="Arial" w:eastAsia="Calibri" w:hAnsi="Arial" w:cs="Arial"/>
          <w:bCs/>
          <w:color w:val="000000" w:themeColor="text1"/>
          <w:sz w:val="22"/>
        </w:rPr>
        <w:t xml:space="preserve">ontador y </w:t>
      </w:r>
      <w:r>
        <w:rPr>
          <w:rFonts w:ascii="Arial" w:eastAsia="Calibri" w:hAnsi="Arial" w:cs="Arial"/>
          <w:bCs/>
          <w:color w:val="000000" w:themeColor="text1"/>
          <w:sz w:val="22"/>
        </w:rPr>
        <w:t>r</w:t>
      </w:r>
      <w:r w:rsidRPr="009C5F92">
        <w:rPr>
          <w:rFonts w:ascii="Arial" w:eastAsia="Calibri" w:hAnsi="Arial" w:cs="Arial"/>
          <w:bCs/>
          <w:color w:val="000000" w:themeColor="text1"/>
          <w:sz w:val="22"/>
        </w:rPr>
        <w:t xml:space="preserve">evisor </w:t>
      </w:r>
      <w:r>
        <w:rPr>
          <w:rFonts w:ascii="Arial" w:eastAsia="Calibri" w:hAnsi="Arial" w:cs="Arial"/>
          <w:bCs/>
          <w:color w:val="000000" w:themeColor="text1"/>
          <w:sz w:val="22"/>
        </w:rPr>
        <w:t>f</w:t>
      </w:r>
      <w:r w:rsidRPr="009C5F92">
        <w:rPr>
          <w:rFonts w:ascii="Arial" w:eastAsia="Calibri" w:hAnsi="Arial" w:cs="Arial"/>
          <w:bCs/>
          <w:color w:val="000000" w:themeColor="text1"/>
          <w:sz w:val="22"/>
        </w:rPr>
        <w:t xml:space="preserve">iscal y/o </w:t>
      </w:r>
      <w:r>
        <w:rPr>
          <w:rFonts w:ascii="Arial" w:eastAsia="Calibri" w:hAnsi="Arial" w:cs="Arial"/>
          <w:bCs/>
          <w:color w:val="000000" w:themeColor="text1"/>
          <w:sz w:val="22"/>
        </w:rPr>
        <w:t>c</w:t>
      </w:r>
      <w:r w:rsidRPr="009C5F92">
        <w:rPr>
          <w:rFonts w:ascii="Arial" w:eastAsia="Calibri" w:hAnsi="Arial" w:cs="Arial"/>
          <w:bCs/>
          <w:color w:val="000000" w:themeColor="text1"/>
          <w:sz w:val="22"/>
        </w:rPr>
        <w:t>ontador independiente (externo), si está obligados a tenerlos.</w:t>
      </w:r>
    </w:p>
    <w:p w14:paraId="11C38DDB" w14:textId="77777777" w:rsidR="00AF4983" w:rsidRPr="002552DD" w:rsidRDefault="00AF4983" w:rsidP="00AF4983">
      <w:pPr>
        <w:spacing w:after="200" w:line="276" w:lineRule="auto"/>
        <w:ind w:firstLine="360"/>
        <w:jc w:val="both"/>
        <w:rPr>
          <w:rFonts w:ascii="Arial" w:eastAsia="Calibri" w:hAnsi="Arial" w:cs="Arial"/>
          <w:bCs/>
          <w:color w:val="000000" w:themeColor="text1"/>
          <w:sz w:val="22"/>
        </w:rPr>
      </w:pPr>
      <w:proofErr w:type="spellStart"/>
      <w:r>
        <w:rPr>
          <w:rFonts w:ascii="Arial" w:eastAsia="Calibri" w:hAnsi="Arial" w:cs="Arial"/>
          <w:bCs/>
          <w:color w:val="000000" w:themeColor="text1"/>
          <w:sz w:val="22"/>
        </w:rPr>
        <w:t>ii</w:t>
      </w:r>
      <w:proofErr w:type="spellEnd"/>
      <w:r>
        <w:rPr>
          <w:rFonts w:ascii="Arial" w:eastAsia="Calibri" w:hAnsi="Arial" w:cs="Arial"/>
          <w:bCs/>
          <w:color w:val="000000" w:themeColor="text1"/>
          <w:sz w:val="22"/>
        </w:rPr>
        <w:t xml:space="preserve">) </w:t>
      </w:r>
      <w:r w:rsidRPr="002552DD">
        <w:rPr>
          <w:rFonts w:ascii="Arial" w:eastAsia="Calibri" w:hAnsi="Arial" w:cs="Arial"/>
          <w:bCs/>
          <w:color w:val="000000" w:themeColor="text1"/>
          <w:sz w:val="22"/>
        </w:rPr>
        <w:t xml:space="preserve">Información financiera auditada y aprobada por el máximo órgano social que pretende acreditar el </w:t>
      </w:r>
      <w:r>
        <w:rPr>
          <w:rFonts w:ascii="Arial" w:eastAsia="Calibri" w:hAnsi="Arial" w:cs="Arial"/>
          <w:bCs/>
          <w:color w:val="000000" w:themeColor="text1"/>
          <w:sz w:val="22"/>
        </w:rPr>
        <w:t>p</w:t>
      </w:r>
      <w:r w:rsidRPr="002552DD">
        <w:rPr>
          <w:rFonts w:ascii="Arial" w:eastAsia="Calibri" w:hAnsi="Arial" w:cs="Arial"/>
          <w:bCs/>
          <w:color w:val="000000" w:themeColor="text1"/>
          <w:sz w:val="22"/>
        </w:rPr>
        <w:t>roponente</w:t>
      </w:r>
      <w:r>
        <w:rPr>
          <w:rFonts w:ascii="Arial" w:eastAsia="Calibri" w:hAnsi="Arial" w:cs="Arial"/>
          <w:bCs/>
          <w:color w:val="000000" w:themeColor="text1"/>
          <w:sz w:val="22"/>
        </w:rPr>
        <w:t>.</w:t>
      </w:r>
      <w:r w:rsidRPr="002552DD">
        <w:rPr>
          <w:rFonts w:ascii="Arial" w:eastAsia="Calibri" w:hAnsi="Arial" w:cs="Arial"/>
          <w:bCs/>
          <w:color w:val="000000" w:themeColor="text1"/>
          <w:sz w:val="22"/>
        </w:rPr>
        <w:t xml:space="preserve"> </w:t>
      </w:r>
    </w:p>
    <w:p w14:paraId="1625BE69" w14:textId="77777777" w:rsidR="00AF4983" w:rsidRPr="002552DD" w:rsidRDefault="00AF4983" w:rsidP="00AF4983">
      <w:pPr>
        <w:spacing w:after="200" w:line="276" w:lineRule="auto"/>
        <w:ind w:firstLine="360"/>
        <w:jc w:val="both"/>
        <w:rPr>
          <w:rFonts w:ascii="Arial" w:eastAsia="Calibri" w:hAnsi="Arial" w:cs="Arial"/>
          <w:bCs/>
          <w:color w:val="000000" w:themeColor="text1"/>
          <w:sz w:val="22"/>
        </w:rPr>
      </w:pPr>
      <w:proofErr w:type="spellStart"/>
      <w:r>
        <w:rPr>
          <w:rFonts w:ascii="Arial" w:eastAsia="Calibri" w:hAnsi="Arial" w:cs="Arial"/>
          <w:bCs/>
          <w:color w:val="000000" w:themeColor="text1"/>
          <w:sz w:val="22"/>
        </w:rPr>
        <w:t>iii</w:t>
      </w:r>
      <w:proofErr w:type="spellEnd"/>
      <w:r>
        <w:rPr>
          <w:rFonts w:ascii="Arial" w:eastAsia="Calibri" w:hAnsi="Arial" w:cs="Arial"/>
          <w:bCs/>
          <w:color w:val="000000" w:themeColor="text1"/>
          <w:sz w:val="22"/>
        </w:rPr>
        <w:t xml:space="preserve">) </w:t>
      </w:r>
      <w:r w:rsidRPr="002552DD">
        <w:rPr>
          <w:rFonts w:ascii="Arial" w:eastAsia="Calibri" w:hAnsi="Arial" w:cs="Arial"/>
          <w:bCs/>
          <w:color w:val="000000" w:themeColor="text1"/>
          <w:sz w:val="22"/>
        </w:rPr>
        <w:t xml:space="preserve">Certificación de los </w:t>
      </w:r>
      <w:r>
        <w:rPr>
          <w:rFonts w:ascii="Arial" w:eastAsia="Calibri" w:hAnsi="Arial" w:cs="Arial"/>
          <w:bCs/>
          <w:color w:val="000000" w:themeColor="text1"/>
          <w:sz w:val="22"/>
        </w:rPr>
        <w:t>es</w:t>
      </w:r>
      <w:r w:rsidRPr="002552DD">
        <w:rPr>
          <w:rFonts w:ascii="Arial" w:eastAsia="Calibri" w:hAnsi="Arial" w:cs="Arial"/>
          <w:bCs/>
          <w:color w:val="000000" w:themeColor="text1"/>
          <w:sz w:val="22"/>
        </w:rPr>
        <w:t xml:space="preserve">tados </w:t>
      </w:r>
      <w:r>
        <w:rPr>
          <w:rFonts w:ascii="Arial" w:eastAsia="Calibri" w:hAnsi="Arial" w:cs="Arial"/>
          <w:bCs/>
          <w:color w:val="000000" w:themeColor="text1"/>
          <w:sz w:val="22"/>
        </w:rPr>
        <w:t>f</w:t>
      </w:r>
      <w:r w:rsidRPr="002552DD">
        <w:rPr>
          <w:rFonts w:ascii="Arial" w:eastAsia="Calibri" w:hAnsi="Arial" w:cs="Arial"/>
          <w:bCs/>
          <w:color w:val="000000" w:themeColor="text1"/>
          <w:sz w:val="22"/>
        </w:rPr>
        <w:t xml:space="preserve">inancieros de la que trata el artículo 37 de la ley 222 de 1995, en la cual el </w:t>
      </w:r>
      <w:r>
        <w:rPr>
          <w:rFonts w:ascii="Arial" w:eastAsia="Calibri" w:hAnsi="Arial" w:cs="Arial"/>
          <w:bCs/>
          <w:color w:val="000000" w:themeColor="text1"/>
          <w:sz w:val="22"/>
        </w:rPr>
        <w:t>r</w:t>
      </w:r>
      <w:r w:rsidRPr="002552DD">
        <w:rPr>
          <w:rFonts w:ascii="Arial" w:eastAsia="Calibri" w:hAnsi="Arial" w:cs="Arial"/>
          <w:bCs/>
          <w:color w:val="000000" w:themeColor="text1"/>
          <w:sz w:val="22"/>
        </w:rPr>
        <w:t xml:space="preserve">epresentante </w:t>
      </w:r>
      <w:r>
        <w:rPr>
          <w:rFonts w:ascii="Arial" w:eastAsia="Calibri" w:hAnsi="Arial" w:cs="Arial"/>
          <w:bCs/>
          <w:color w:val="000000" w:themeColor="text1"/>
          <w:sz w:val="22"/>
        </w:rPr>
        <w:t>l</w:t>
      </w:r>
      <w:r w:rsidRPr="002552DD">
        <w:rPr>
          <w:rFonts w:ascii="Arial" w:eastAsia="Calibri" w:hAnsi="Arial" w:cs="Arial"/>
          <w:bCs/>
          <w:color w:val="000000" w:themeColor="text1"/>
          <w:sz w:val="22"/>
        </w:rPr>
        <w:t xml:space="preserve">egal y </w:t>
      </w:r>
      <w:r>
        <w:rPr>
          <w:rFonts w:ascii="Arial" w:eastAsia="Calibri" w:hAnsi="Arial" w:cs="Arial"/>
          <w:bCs/>
          <w:color w:val="000000" w:themeColor="text1"/>
          <w:sz w:val="22"/>
        </w:rPr>
        <w:t>c</w:t>
      </w:r>
      <w:r w:rsidRPr="002552DD">
        <w:rPr>
          <w:rFonts w:ascii="Arial" w:eastAsia="Calibri" w:hAnsi="Arial" w:cs="Arial"/>
          <w:bCs/>
          <w:color w:val="000000" w:themeColor="text1"/>
          <w:sz w:val="22"/>
        </w:rPr>
        <w:t xml:space="preserve">ontador </w:t>
      </w:r>
      <w:r>
        <w:rPr>
          <w:rFonts w:ascii="Arial" w:eastAsia="Calibri" w:hAnsi="Arial" w:cs="Arial"/>
          <w:bCs/>
          <w:color w:val="000000" w:themeColor="text1"/>
          <w:sz w:val="22"/>
        </w:rPr>
        <w:t>p</w:t>
      </w:r>
      <w:r w:rsidRPr="002552DD">
        <w:rPr>
          <w:rFonts w:ascii="Arial" w:eastAsia="Calibri" w:hAnsi="Arial" w:cs="Arial"/>
          <w:bCs/>
          <w:color w:val="000000" w:themeColor="text1"/>
          <w:sz w:val="22"/>
        </w:rPr>
        <w:t xml:space="preserve">úblico, bajo cuya responsabilidad se hubiesen preparado los </w:t>
      </w:r>
      <w:r>
        <w:rPr>
          <w:rFonts w:ascii="Arial" w:eastAsia="Calibri" w:hAnsi="Arial" w:cs="Arial"/>
          <w:bCs/>
          <w:color w:val="000000" w:themeColor="text1"/>
          <w:sz w:val="22"/>
        </w:rPr>
        <w:t>e</w:t>
      </w:r>
      <w:r w:rsidRPr="002552DD">
        <w:rPr>
          <w:rFonts w:ascii="Arial" w:eastAsia="Calibri" w:hAnsi="Arial" w:cs="Arial"/>
          <w:bCs/>
          <w:color w:val="000000" w:themeColor="text1"/>
          <w:sz w:val="22"/>
        </w:rPr>
        <w:t xml:space="preserve">stados </w:t>
      </w:r>
      <w:r>
        <w:rPr>
          <w:rFonts w:ascii="Arial" w:eastAsia="Calibri" w:hAnsi="Arial" w:cs="Arial"/>
          <w:bCs/>
          <w:color w:val="000000" w:themeColor="text1"/>
          <w:sz w:val="22"/>
        </w:rPr>
        <w:t>f</w:t>
      </w:r>
      <w:r w:rsidRPr="002552DD">
        <w:rPr>
          <w:rFonts w:ascii="Arial" w:eastAsia="Calibri" w:hAnsi="Arial" w:cs="Arial"/>
          <w:bCs/>
          <w:color w:val="000000" w:themeColor="text1"/>
          <w:sz w:val="22"/>
        </w:rPr>
        <w:t>inancieros, declaren que se han verificado previamente las afirmaciones contenidas en ellos, conforme al reglamento, y que las mismas se han tomado fielmente de los libros.</w:t>
      </w:r>
    </w:p>
    <w:p w14:paraId="4106904C" w14:textId="77777777" w:rsidR="00AF4983" w:rsidRPr="002552DD" w:rsidRDefault="00AF4983" w:rsidP="00AF4983">
      <w:pPr>
        <w:spacing w:after="200" w:line="276" w:lineRule="auto"/>
        <w:ind w:firstLine="360"/>
        <w:jc w:val="both"/>
        <w:rPr>
          <w:rFonts w:ascii="Arial" w:eastAsia="Calibri" w:hAnsi="Arial" w:cs="Arial"/>
          <w:bCs/>
          <w:color w:val="000000" w:themeColor="text1"/>
          <w:sz w:val="22"/>
        </w:rPr>
      </w:pPr>
      <w:proofErr w:type="spellStart"/>
      <w:r>
        <w:rPr>
          <w:rFonts w:ascii="Arial" w:eastAsia="Calibri" w:hAnsi="Arial" w:cs="Arial"/>
          <w:bCs/>
          <w:color w:val="000000" w:themeColor="text1"/>
          <w:sz w:val="22"/>
        </w:rPr>
        <w:t>iv</w:t>
      </w:r>
      <w:proofErr w:type="spellEnd"/>
      <w:r>
        <w:rPr>
          <w:rFonts w:ascii="Arial" w:eastAsia="Calibri" w:hAnsi="Arial" w:cs="Arial"/>
          <w:bCs/>
          <w:color w:val="000000" w:themeColor="text1"/>
          <w:sz w:val="22"/>
        </w:rPr>
        <w:t xml:space="preserve">) </w:t>
      </w:r>
      <w:r w:rsidRPr="002552DD">
        <w:rPr>
          <w:rFonts w:ascii="Arial" w:eastAsia="Calibri" w:hAnsi="Arial" w:cs="Arial"/>
          <w:bCs/>
          <w:color w:val="000000" w:themeColor="text1"/>
          <w:sz w:val="22"/>
        </w:rPr>
        <w:t xml:space="preserve">Dictamen del </w:t>
      </w:r>
      <w:r>
        <w:rPr>
          <w:rFonts w:ascii="Arial" w:eastAsia="Calibri" w:hAnsi="Arial" w:cs="Arial"/>
          <w:bCs/>
          <w:color w:val="000000" w:themeColor="text1"/>
          <w:sz w:val="22"/>
        </w:rPr>
        <w:t>r</w:t>
      </w:r>
      <w:r w:rsidRPr="002552DD">
        <w:rPr>
          <w:rFonts w:ascii="Arial" w:eastAsia="Calibri" w:hAnsi="Arial" w:cs="Arial"/>
          <w:bCs/>
          <w:color w:val="000000" w:themeColor="text1"/>
          <w:sz w:val="22"/>
        </w:rPr>
        <w:t xml:space="preserve">evisor </w:t>
      </w:r>
      <w:r>
        <w:rPr>
          <w:rFonts w:ascii="Arial" w:eastAsia="Calibri" w:hAnsi="Arial" w:cs="Arial"/>
          <w:bCs/>
          <w:color w:val="000000" w:themeColor="text1"/>
          <w:sz w:val="22"/>
        </w:rPr>
        <w:t>f</w:t>
      </w:r>
      <w:r w:rsidRPr="002552DD">
        <w:rPr>
          <w:rFonts w:ascii="Arial" w:eastAsia="Calibri" w:hAnsi="Arial" w:cs="Arial"/>
          <w:bCs/>
          <w:color w:val="000000" w:themeColor="text1"/>
          <w:sz w:val="22"/>
        </w:rPr>
        <w:t xml:space="preserve">iscal o, a falta de éste, del </w:t>
      </w:r>
      <w:r>
        <w:rPr>
          <w:rFonts w:ascii="Arial" w:eastAsia="Calibri" w:hAnsi="Arial" w:cs="Arial"/>
          <w:bCs/>
          <w:color w:val="000000" w:themeColor="text1"/>
          <w:sz w:val="22"/>
        </w:rPr>
        <w:t>c</w:t>
      </w:r>
      <w:r w:rsidRPr="002552DD">
        <w:rPr>
          <w:rFonts w:ascii="Arial" w:eastAsia="Calibri" w:hAnsi="Arial" w:cs="Arial"/>
          <w:bCs/>
          <w:color w:val="000000" w:themeColor="text1"/>
          <w:sz w:val="22"/>
        </w:rPr>
        <w:t xml:space="preserve">ontador </w:t>
      </w:r>
      <w:r>
        <w:rPr>
          <w:rFonts w:ascii="Arial" w:eastAsia="Calibri" w:hAnsi="Arial" w:cs="Arial"/>
          <w:bCs/>
          <w:color w:val="000000" w:themeColor="text1"/>
          <w:sz w:val="22"/>
        </w:rPr>
        <w:t>p</w:t>
      </w:r>
      <w:r w:rsidRPr="002552DD">
        <w:rPr>
          <w:rFonts w:ascii="Arial" w:eastAsia="Calibri" w:hAnsi="Arial" w:cs="Arial"/>
          <w:bCs/>
          <w:color w:val="000000" w:themeColor="text1"/>
          <w:sz w:val="22"/>
        </w:rPr>
        <w:t xml:space="preserve">úblico independiente cuando el </w:t>
      </w:r>
      <w:r>
        <w:rPr>
          <w:rFonts w:ascii="Arial" w:eastAsia="Calibri" w:hAnsi="Arial" w:cs="Arial"/>
          <w:bCs/>
          <w:color w:val="000000" w:themeColor="text1"/>
          <w:sz w:val="22"/>
        </w:rPr>
        <w:t>p</w:t>
      </w:r>
      <w:r w:rsidRPr="002552DD">
        <w:rPr>
          <w:rFonts w:ascii="Arial" w:eastAsia="Calibri" w:hAnsi="Arial" w:cs="Arial"/>
          <w:bCs/>
          <w:color w:val="000000" w:themeColor="text1"/>
          <w:sz w:val="22"/>
        </w:rPr>
        <w:t xml:space="preserve">roponente esté obligado a ello, del año o en que haya obtenido el mayor </w:t>
      </w:r>
      <w:r w:rsidRPr="002552DD">
        <w:rPr>
          <w:rFonts w:ascii="Arial" w:eastAsia="Calibri" w:hAnsi="Arial" w:cs="Arial"/>
          <w:bCs/>
          <w:color w:val="000000" w:themeColor="text1"/>
          <w:sz w:val="22"/>
        </w:rPr>
        <w:lastRenderedPageBreak/>
        <w:t xml:space="preserve">Ingreso Operacional en los últimos cinco (5) años, en los términos descritos en el artículo 38 de la </w:t>
      </w:r>
      <w:r>
        <w:rPr>
          <w:rFonts w:ascii="Arial" w:eastAsia="Calibri" w:hAnsi="Arial" w:cs="Arial"/>
          <w:bCs/>
          <w:color w:val="000000" w:themeColor="text1"/>
          <w:sz w:val="22"/>
        </w:rPr>
        <w:t>L</w:t>
      </w:r>
      <w:r w:rsidRPr="002552DD">
        <w:rPr>
          <w:rFonts w:ascii="Arial" w:eastAsia="Calibri" w:hAnsi="Arial" w:cs="Arial"/>
          <w:bCs/>
          <w:color w:val="000000" w:themeColor="text1"/>
          <w:sz w:val="22"/>
        </w:rPr>
        <w:t xml:space="preserve">ey 222 de 1995. </w:t>
      </w:r>
    </w:p>
    <w:p w14:paraId="33DA7865" w14:textId="77777777" w:rsidR="00AF4983" w:rsidRPr="002552DD" w:rsidRDefault="00AF4983" w:rsidP="00AF4983">
      <w:pPr>
        <w:spacing w:after="200" w:line="276" w:lineRule="auto"/>
        <w:ind w:firstLine="360"/>
        <w:jc w:val="both"/>
        <w:rPr>
          <w:rFonts w:ascii="Arial" w:eastAsia="Calibri" w:hAnsi="Arial" w:cs="Arial"/>
          <w:bCs/>
          <w:color w:val="000000" w:themeColor="text1"/>
          <w:sz w:val="22"/>
        </w:rPr>
      </w:pPr>
      <w:r>
        <w:rPr>
          <w:rFonts w:ascii="Arial" w:eastAsia="Calibri" w:hAnsi="Arial" w:cs="Arial"/>
          <w:bCs/>
          <w:color w:val="000000" w:themeColor="text1"/>
          <w:sz w:val="22"/>
        </w:rPr>
        <w:t xml:space="preserve">v) </w:t>
      </w:r>
      <w:r w:rsidRPr="002552DD">
        <w:rPr>
          <w:rFonts w:ascii="Arial" w:eastAsia="Calibri" w:hAnsi="Arial" w:cs="Arial"/>
          <w:bCs/>
          <w:color w:val="000000" w:themeColor="text1"/>
          <w:sz w:val="22"/>
        </w:rPr>
        <w:t xml:space="preserve">Copia de la tarjeta profesional y certificado de antecedentes disciplinarios vigentes de los </w:t>
      </w:r>
      <w:r>
        <w:rPr>
          <w:rFonts w:ascii="Arial" w:eastAsia="Calibri" w:hAnsi="Arial" w:cs="Arial"/>
          <w:bCs/>
          <w:color w:val="000000" w:themeColor="text1"/>
          <w:sz w:val="22"/>
        </w:rPr>
        <w:t>co</w:t>
      </w:r>
      <w:r w:rsidRPr="002552DD">
        <w:rPr>
          <w:rFonts w:ascii="Arial" w:eastAsia="Calibri" w:hAnsi="Arial" w:cs="Arial"/>
          <w:bCs/>
          <w:color w:val="000000" w:themeColor="text1"/>
          <w:sz w:val="22"/>
        </w:rPr>
        <w:t xml:space="preserve">ntadores </w:t>
      </w:r>
      <w:r>
        <w:rPr>
          <w:rFonts w:ascii="Arial" w:eastAsia="Calibri" w:hAnsi="Arial" w:cs="Arial"/>
          <w:bCs/>
          <w:color w:val="000000" w:themeColor="text1"/>
          <w:sz w:val="22"/>
        </w:rPr>
        <w:t>p</w:t>
      </w:r>
      <w:r w:rsidRPr="002552DD">
        <w:rPr>
          <w:rFonts w:ascii="Arial" w:eastAsia="Calibri" w:hAnsi="Arial" w:cs="Arial"/>
          <w:bCs/>
          <w:color w:val="000000" w:themeColor="text1"/>
          <w:sz w:val="22"/>
        </w:rPr>
        <w:t xml:space="preserve">úblicos, </w:t>
      </w:r>
      <w:r>
        <w:rPr>
          <w:rFonts w:ascii="Arial" w:eastAsia="Calibri" w:hAnsi="Arial" w:cs="Arial"/>
          <w:bCs/>
          <w:color w:val="000000" w:themeColor="text1"/>
          <w:sz w:val="22"/>
        </w:rPr>
        <w:t>r</w:t>
      </w:r>
      <w:r w:rsidRPr="002552DD">
        <w:rPr>
          <w:rFonts w:ascii="Arial" w:eastAsia="Calibri" w:hAnsi="Arial" w:cs="Arial"/>
          <w:bCs/>
          <w:color w:val="000000" w:themeColor="text1"/>
          <w:sz w:val="22"/>
        </w:rPr>
        <w:t xml:space="preserve">evisores </w:t>
      </w:r>
      <w:r>
        <w:rPr>
          <w:rFonts w:ascii="Arial" w:eastAsia="Calibri" w:hAnsi="Arial" w:cs="Arial"/>
          <w:bCs/>
          <w:color w:val="000000" w:themeColor="text1"/>
          <w:sz w:val="22"/>
        </w:rPr>
        <w:t>f</w:t>
      </w:r>
      <w:r w:rsidRPr="002552DD">
        <w:rPr>
          <w:rFonts w:ascii="Arial" w:eastAsia="Calibri" w:hAnsi="Arial" w:cs="Arial"/>
          <w:bCs/>
          <w:color w:val="000000" w:themeColor="text1"/>
          <w:sz w:val="22"/>
        </w:rPr>
        <w:t xml:space="preserve">iscales, </w:t>
      </w:r>
      <w:r>
        <w:rPr>
          <w:rFonts w:ascii="Arial" w:eastAsia="Calibri" w:hAnsi="Arial" w:cs="Arial"/>
          <w:bCs/>
          <w:color w:val="000000" w:themeColor="text1"/>
          <w:sz w:val="22"/>
        </w:rPr>
        <w:t>c</w:t>
      </w:r>
      <w:r w:rsidRPr="002552DD">
        <w:rPr>
          <w:rFonts w:ascii="Arial" w:eastAsia="Calibri" w:hAnsi="Arial" w:cs="Arial"/>
          <w:bCs/>
          <w:color w:val="000000" w:themeColor="text1"/>
          <w:sz w:val="22"/>
        </w:rPr>
        <w:t xml:space="preserve">ontadores independientes (externos), quienes suscribieron los documentos señalados en el presente literal. </w:t>
      </w:r>
    </w:p>
    <w:p w14:paraId="5F498ACA" w14:textId="77777777" w:rsidR="00AF4983" w:rsidRPr="002552DD" w:rsidRDefault="00AF4983" w:rsidP="00AF4983">
      <w:pPr>
        <w:spacing w:line="276" w:lineRule="auto"/>
        <w:jc w:val="both"/>
        <w:rPr>
          <w:rFonts w:ascii="Arial" w:hAnsi="Arial" w:cs="Arial"/>
          <w:color w:val="000000" w:themeColor="text1"/>
          <w:sz w:val="22"/>
        </w:rPr>
      </w:pPr>
      <w:r>
        <w:rPr>
          <w:rFonts w:ascii="Arial" w:hAnsi="Arial" w:cs="Arial"/>
          <w:color w:val="000000" w:themeColor="text1"/>
          <w:sz w:val="22"/>
        </w:rPr>
        <w:tab/>
        <w:t xml:space="preserve">Por su parte, los proponentes e integrantes extranjeros o sin sucursal en Colombia, deben presentar el estado de resultados integral consolidado (estado de resultados o pérdida o ganancias) del año en que hayan obtenido el mayor Ingreso Operacional en los últimos cinco (5) años, auditado, </w:t>
      </w:r>
      <w:r w:rsidRPr="002552DD">
        <w:rPr>
          <w:rFonts w:ascii="Arial" w:hAnsi="Arial" w:cs="Arial"/>
          <w:color w:val="000000" w:themeColor="text1"/>
          <w:sz w:val="22"/>
        </w:rPr>
        <w:t>con la firma de quien se encuentre en obligación de hacerlo, de acuerdo con la normativa vigente en el país de origen, en la moneda legal del país en el cual fue emitido, de conformidad con la legislación propia del país de origen y conforme a los lineamientos de Colombia Compra Eficiente.</w:t>
      </w:r>
    </w:p>
    <w:p w14:paraId="235E47E4" w14:textId="77777777" w:rsidR="00AF4983" w:rsidRDefault="00AF4983" w:rsidP="00AF4983">
      <w:pPr>
        <w:spacing w:before="120" w:line="276" w:lineRule="auto"/>
        <w:jc w:val="both"/>
        <w:rPr>
          <w:rFonts w:ascii="Arial" w:hAnsi="Arial" w:cs="Arial"/>
          <w:color w:val="000000" w:themeColor="text1"/>
          <w:sz w:val="22"/>
        </w:rPr>
      </w:pPr>
      <w:r>
        <w:rPr>
          <w:rFonts w:ascii="Arial" w:hAnsi="Arial" w:cs="Arial"/>
          <w:color w:val="000000" w:themeColor="text1"/>
          <w:sz w:val="22"/>
        </w:rPr>
        <w:tab/>
        <w:t xml:space="preserve">Asimismo, indica que adicional a lo anterior, deben allegar la traducción al idioma castellano de la información financiera: </w:t>
      </w:r>
      <w:r w:rsidRPr="002552DD">
        <w:rPr>
          <w:rFonts w:ascii="Arial" w:eastAsia="Calibri" w:hAnsi="Arial" w:cs="Arial"/>
          <w:color w:val="3B3838"/>
          <w:sz w:val="20"/>
          <w:lang w:val="es-CO"/>
        </w:rPr>
        <w:t>(</w:t>
      </w:r>
      <w:r w:rsidRPr="002552DD">
        <w:rPr>
          <w:rFonts w:ascii="Arial" w:hAnsi="Arial" w:cs="Arial"/>
          <w:color w:val="000000" w:themeColor="text1"/>
          <w:sz w:val="22"/>
        </w:rPr>
        <w:t>i) los valores convertidos a pesos colombianos a la tasa de cambio de la fecha de corte de los mismos; (</w:t>
      </w:r>
      <w:proofErr w:type="spellStart"/>
      <w:r w:rsidRPr="002552DD">
        <w:rPr>
          <w:rFonts w:ascii="Arial" w:hAnsi="Arial" w:cs="Arial"/>
          <w:color w:val="000000" w:themeColor="text1"/>
          <w:sz w:val="22"/>
        </w:rPr>
        <w:t>ii</w:t>
      </w:r>
      <w:proofErr w:type="spellEnd"/>
      <w:r w:rsidRPr="002552DD">
        <w:rPr>
          <w:rFonts w:ascii="Arial" w:hAnsi="Arial" w:cs="Arial"/>
          <w:color w:val="000000" w:themeColor="text1"/>
          <w:sz w:val="22"/>
        </w:rPr>
        <w:t>) presentados de acuerdo con las normas NIIF; (</w:t>
      </w:r>
      <w:proofErr w:type="spellStart"/>
      <w:r w:rsidRPr="002552DD">
        <w:rPr>
          <w:rFonts w:ascii="Arial" w:hAnsi="Arial" w:cs="Arial"/>
          <w:color w:val="000000" w:themeColor="text1"/>
          <w:sz w:val="22"/>
        </w:rPr>
        <w:t>iii</w:t>
      </w:r>
      <w:proofErr w:type="spellEnd"/>
      <w:r w:rsidRPr="002552DD">
        <w:rPr>
          <w:rFonts w:ascii="Arial" w:hAnsi="Arial" w:cs="Arial"/>
          <w:color w:val="000000" w:themeColor="text1"/>
          <w:sz w:val="22"/>
        </w:rPr>
        <w:t xml:space="preserve">) expresados en pesos colombianos, convertidos a la tasa representativa del mercado (TRM) de la fecha de corte de los mismos en los términos descritos en la sección </w:t>
      </w:r>
      <w:r>
        <w:rPr>
          <w:rFonts w:ascii="Arial" w:hAnsi="Arial" w:cs="Arial"/>
          <w:color w:val="000000" w:themeColor="text1"/>
          <w:sz w:val="22"/>
        </w:rPr>
        <w:t>1.13</w:t>
      </w:r>
      <w:r w:rsidRPr="002552DD">
        <w:rPr>
          <w:rFonts w:ascii="Arial" w:hAnsi="Arial" w:cs="Arial"/>
          <w:color w:val="000000" w:themeColor="text1"/>
          <w:sz w:val="22"/>
        </w:rPr>
        <w:t xml:space="preserve"> del presente Pliego de Condiciones y (</w:t>
      </w:r>
      <w:proofErr w:type="spellStart"/>
      <w:r w:rsidRPr="002552DD">
        <w:rPr>
          <w:rFonts w:ascii="Arial" w:hAnsi="Arial" w:cs="Arial"/>
          <w:color w:val="000000" w:themeColor="text1"/>
          <w:sz w:val="22"/>
        </w:rPr>
        <w:t>iv</w:t>
      </w:r>
      <w:proofErr w:type="spellEnd"/>
      <w:r w:rsidRPr="002552DD">
        <w:rPr>
          <w:rFonts w:ascii="Arial" w:hAnsi="Arial" w:cs="Arial"/>
          <w:color w:val="000000" w:themeColor="text1"/>
          <w:sz w:val="22"/>
        </w:rPr>
        <w:t>) debidamente firmados por el Contador Público Colombiano que los hubiere convertido</w:t>
      </w:r>
      <w:r>
        <w:rPr>
          <w:rFonts w:ascii="Arial" w:hAnsi="Arial" w:cs="Arial"/>
          <w:color w:val="000000" w:themeColor="text1"/>
          <w:sz w:val="22"/>
        </w:rPr>
        <w:t xml:space="preserve">. </w:t>
      </w:r>
    </w:p>
    <w:p w14:paraId="72F8CDDE" w14:textId="77777777" w:rsidR="00AF4983" w:rsidRDefault="00AF4983" w:rsidP="00AF4983">
      <w:pPr>
        <w:spacing w:line="276" w:lineRule="auto"/>
        <w:jc w:val="both"/>
        <w:rPr>
          <w:rFonts w:ascii="Arial" w:hAnsi="Arial" w:cs="Arial"/>
          <w:b/>
          <w:bCs/>
          <w:color w:val="000000" w:themeColor="text1"/>
          <w:sz w:val="22"/>
        </w:rPr>
      </w:pPr>
    </w:p>
    <w:p w14:paraId="4DFEA7E5" w14:textId="77777777" w:rsidR="00AF4983" w:rsidRPr="006237DE" w:rsidRDefault="00AF4983" w:rsidP="00AF4983">
      <w:pPr>
        <w:spacing w:line="276" w:lineRule="auto"/>
        <w:jc w:val="both"/>
        <w:rPr>
          <w:rFonts w:ascii="Arial" w:hAnsi="Arial" w:cs="Arial"/>
          <w:b/>
          <w:bCs/>
          <w:color w:val="000000" w:themeColor="text1"/>
          <w:sz w:val="22"/>
        </w:rPr>
      </w:pPr>
      <w:r w:rsidRPr="006237DE">
        <w:rPr>
          <w:rFonts w:ascii="Arial" w:hAnsi="Arial" w:cs="Arial"/>
          <w:b/>
          <w:bCs/>
          <w:color w:val="000000" w:themeColor="text1"/>
          <w:sz w:val="22"/>
        </w:rPr>
        <w:t>2.2</w:t>
      </w:r>
      <w:r>
        <w:rPr>
          <w:rFonts w:ascii="Arial" w:hAnsi="Arial" w:cs="Arial"/>
          <w:b/>
          <w:bCs/>
          <w:color w:val="000000" w:themeColor="text1"/>
          <w:sz w:val="22"/>
        </w:rPr>
        <w:t xml:space="preserve"> </w:t>
      </w:r>
      <w:r>
        <w:rPr>
          <w:rFonts w:ascii="Arial" w:eastAsia="Calibri" w:hAnsi="Arial" w:cs="Arial"/>
          <w:b/>
          <w:color w:val="000000" w:themeColor="text1"/>
          <w:sz w:val="22"/>
        </w:rPr>
        <w:t>Acreditación de la capacidad residual – capacidad de organización (CO) en la segunda versión de los Documentos Tipo de Licitación de Obra Pública de Infraestructura de Transporte</w:t>
      </w:r>
    </w:p>
    <w:p w14:paraId="3D7BEBE9" w14:textId="77777777" w:rsidR="00AF4983" w:rsidRDefault="00AF4983" w:rsidP="00AF4983">
      <w:pPr>
        <w:spacing w:after="120" w:line="276" w:lineRule="auto"/>
        <w:jc w:val="both"/>
        <w:rPr>
          <w:rFonts w:ascii="Arial" w:hAnsi="Arial" w:cs="Arial"/>
          <w:color w:val="000000" w:themeColor="text1"/>
          <w:sz w:val="22"/>
        </w:rPr>
      </w:pPr>
    </w:p>
    <w:p w14:paraId="56161CD0" w14:textId="77777777" w:rsidR="00AF4983" w:rsidRDefault="00AF4983" w:rsidP="00AF4983">
      <w:pPr>
        <w:spacing w:after="120" w:line="276" w:lineRule="auto"/>
        <w:jc w:val="both"/>
        <w:rPr>
          <w:rFonts w:ascii="Arial" w:hAnsi="Arial" w:cs="Arial"/>
          <w:color w:val="000000" w:themeColor="text1"/>
          <w:sz w:val="22"/>
        </w:rPr>
      </w:pPr>
      <w:r>
        <w:rPr>
          <w:rFonts w:ascii="Arial" w:hAnsi="Arial" w:cs="Arial"/>
          <w:color w:val="000000" w:themeColor="text1"/>
          <w:sz w:val="22"/>
        </w:rPr>
        <w:t xml:space="preserve">Por su parte, la segunda versión de los Documentos Tipo de licitación de obra pública de infraestructura de transporte regula el requisito habilitante de capacidad residual en el numeral 3.11.  Y, a su vez, en el numeral 3.11.2 indica los documentos que el proponente debe presentar para acreditar la capacidad de organización (CO). </w:t>
      </w:r>
    </w:p>
    <w:p w14:paraId="295C493B" w14:textId="77777777" w:rsidR="00AF4983" w:rsidRDefault="00AF4983" w:rsidP="00AF4983">
      <w:pPr>
        <w:spacing w:after="120" w:line="276" w:lineRule="auto"/>
        <w:ind w:firstLine="709"/>
        <w:jc w:val="both"/>
        <w:rPr>
          <w:rFonts w:ascii="Arial" w:hAnsi="Arial" w:cs="Arial"/>
          <w:color w:val="000000" w:themeColor="text1"/>
          <w:sz w:val="22"/>
        </w:rPr>
      </w:pPr>
      <w:r w:rsidRPr="00AF6ED3">
        <w:rPr>
          <w:rFonts w:ascii="Arial" w:hAnsi="Arial" w:cs="Arial"/>
          <w:color w:val="000000" w:themeColor="text1"/>
          <w:sz w:val="22"/>
        </w:rPr>
        <w:t>Al respecto</w:t>
      </w:r>
      <w:r>
        <w:rPr>
          <w:rFonts w:ascii="Arial" w:hAnsi="Arial" w:cs="Arial"/>
          <w:color w:val="000000" w:themeColor="text1"/>
          <w:sz w:val="22"/>
        </w:rPr>
        <w:t>,</w:t>
      </w:r>
      <w:r w:rsidRPr="00AF6ED3">
        <w:rPr>
          <w:rFonts w:ascii="Arial" w:hAnsi="Arial" w:cs="Arial"/>
          <w:color w:val="000000" w:themeColor="text1"/>
          <w:sz w:val="22"/>
        </w:rPr>
        <w:t xml:space="preserve"> se indica que los proponentes obligados a tener RUP deben presentar los siguientes documentos: i) </w:t>
      </w:r>
      <w:r>
        <w:rPr>
          <w:rFonts w:ascii="Arial" w:hAnsi="Arial" w:cs="Arial"/>
          <w:color w:val="000000" w:themeColor="text1"/>
          <w:sz w:val="22"/>
        </w:rPr>
        <w:t>el e</w:t>
      </w:r>
      <w:r w:rsidRPr="00AF6ED3">
        <w:rPr>
          <w:rFonts w:ascii="Arial" w:hAnsi="Arial" w:cs="Arial"/>
          <w:color w:val="000000" w:themeColor="text1"/>
          <w:sz w:val="22"/>
        </w:rPr>
        <w:t xml:space="preserve">stado de resultados integral (estado de resultados o pérdida o ganancias), del año en que hayan obtenido el mayor ingreso operacional en los últimos cinco (5) años, debidamente firmado por el interesado o su </w:t>
      </w:r>
      <w:r>
        <w:rPr>
          <w:rFonts w:ascii="Arial" w:hAnsi="Arial" w:cs="Arial"/>
          <w:color w:val="000000" w:themeColor="text1"/>
          <w:sz w:val="22"/>
        </w:rPr>
        <w:t>r</w:t>
      </w:r>
      <w:r w:rsidRPr="00AF6ED3">
        <w:rPr>
          <w:rFonts w:ascii="Arial" w:hAnsi="Arial" w:cs="Arial"/>
          <w:color w:val="000000" w:themeColor="text1"/>
          <w:sz w:val="22"/>
        </w:rPr>
        <w:t xml:space="preserve">epresentante </w:t>
      </w:r>
      <w:r>
        <w:rPr>
          <w:rFonts w:ascii="Arial" w:hAnsi="Arial" w:cs="Arial"/>
          <w:color w:val="000000" w:themeColor="text1"/>
          <w:sz w:val="22"/>
        </w:rPr>
        <w:t>l</w:t>
      </w:r>
      <w:r w:rsidRPr="00AF6ED3">
        <w:rPr>
          <w:rFonts w:ascii="Arial" w:hAnsi="Arial" w:cs="Arial"/>
          <w:color w:val="000000" w:themeColor="text1"/>
          <w:sz w:val="22"/>
        </w:rPr>
        <w:t xml:space="preserve">egal y el </w:t>
      </w:r>
      <w:r>
        <w:rPr>
          <w:rFonts w:ascii="Arial" w:hAnsi="Arial" w:cs="Arial"/>
          <w:color w:val="000000" w:themeColor="text1"/>
          <w:sz w:val="22"/>
        </w:rPr>
        <w:t>r</w:t>
      </w:r>
      <w:r w:rsidRPr="00AF6ED3">
        <w:rPr>
          <w:rFonts w:ascii="Arial" w:hAnsi="Arial" w:cs="Arial"/>
          <w:color w:val="000000" w:themeColor="text1"/>
          <w:sz w:val="22"/>
        </w:rPr>
        <w:t xml:space="preserve">evisor </w:t>
      </w:r>
      <w:r>
        <w:rPr>
          <w:rFonts w:ascii="Arial" w:hAnsi="Arial" w:cs="Arial"/>
          <w:color w:val="000000" w:themeColor="text1"/>
          <w:sz w:val="22"/>
        </w:rPr>
        <w:t>f</w:t>
      </w:r>
      <w:r w:rsidRPr="00AF6ED3">
        <w:rPr>
          <w:rFonts w:ascii="Arial" w:hAnsi="Arial" w:cs="Arial"/>
          <w:color w:val="000000" w:themeColor="text1"/>
          <w:sz w:val="22"/>
        </w:rPr>
        <w:t xml:space="preserve">iscal si está obligado a tenerlo, o el auditor o contador si no está obligado a tener revisor fiscal y </w:t>
      </w:r>
      <w:proofErr w:type="spellStart"/>
      <w:r w:rsidRPr="00AF6ED3">
        <w:rPr>
          <w:rFonts w:ascii="Arial" w:hAnsi="Arial" w:cs="Arial"/>
          <w:color w:val="000000" w:themeColor="text1"/>
          <w:sz w:val="22"/>
        </w:rPr>
        <w:t>ii</w:t>
      </w:r>
      <w:proofErr w:type="spellEnd"/>
      <w:r w:rsidRPr="00AF6ED3">
        <w:rPr>
          <w:rFonts w:ascii="Arial" w:hAnsi="Arial" w:cs="Arial"/>
          <w:color w:val="000000" w:themeColor="text1"/>
          <w:sz w:val="22"/>
        </w:rPr>
        <w:t xml:space="preserve">) </w:t>
      </w:r>
      <w:r>
        <w:rPr>
          <w:rFonts w:ascii="Arial" w:hAnsi="Arial" w:cs="Arial"/>
          <w:color w:val="000000" w:themeColor="text1"/>
          <w:sz w:val="22"/>
        </w:rPr>
        <w:t>la c</w:t>
      </w:r>
      <w:r w:rsidRPr="00AF6ED3">
        <w:rPr>
          <w:rFonts w:ascii="Arial" w:hAnsi="Arial" w:cs="Arial"/>
          <w:color w:val="000000" w:themeColor="text1"/>
          <w:sz w:val="22"/>
        </w:rPr>
        <w:t xml:space="preserve">opia de la tarjeta profesional y certificado de antecedentes disciplinarios vigentes de los </w:t>
      </w:r>
      <w:r>
        <w:rPr>
          <w:rFonts w:ascii="Arial" w:hAnsi="Arial" w:cs="Arial"/>
          <w:color w:val="000000" w:themeColor="text1"/>
          <w:sz w:val="22"/>
        </w:rPr>
        <w:t>c</w:t>
      </w:r>
      <w:r w:rsidRPr="00AF6ED3">
        <w:rPr>
          <w:rFonts w:ascii="Arial" w:hAnsi="Arial" w:cs="Arial"/>
          <w:color w:val="000000" w:themeColor="text1"/>
          <w:sz w:val="22"/>
        </w:rPr>
        <w:t xml:space="preserve">ontadores </w:t>
      </w:r>
      <w:r>
        <w:rPr>
          <w:rFonts w:ascii="Arial" w:hAnsi="Arial" w:cs="Arial"/>
          <w:color w:val="000000" w:themeColor="text1"/>
          <w:sz w:val="22"/>
        </w:rPr>
        <w:t>p</w:t>
      </w:r>
      <w:r w:rsidRPr="00AF6ED3">
        <w:rPr>
          <w:rFonts w:ascii="Arial" w:hAnsi="Arial" w:cs="Arial"/>
          <w:color w:val="000000" w:themeColor="text1"/>
          <w:sz w:val="22"/>
        </w:rPr>
        <w:t xml:space="preserve">úblicos, </w:t>
      </w:r>
      <w:r>
        <w:rPr>
          <w:rFonts w:ascii="Arial" w:hAnsi="Arial" w:cs="Arial"/>
          <w:color w:val="000000" w:themeColor="text1"/>
          <w:sz w:val="22"/>
        </w:rPr>
        <w:t>r</w:t>
      </w:r>
      <w:r w:rsidRPr="00AF6ED3">
        <w:rPr>
          <w:rFonts w:ascii="Arial" w:hAnsi="Arial" w:cs="Arial"/>
          <w:color w:val="000000" w:themeColor="text1"/>
          <w:sz w:val="22"/>
        </w:rPr>
        <w:t xml:space="preserve">evisores </w:t>
      </w:r>
      <w:r>
        <w:rPr>
          <w:rFonts w:ascii="Arial" w:hAnsi="Arial" w:cs="Arial"/>
          <w:color w:val="000000" w:themeColor="text1"/>
          <w:sz w:val="22"/>
        </w:rPr>
        <w:t>f</w:t>
      </w:r>
      <w:r w:rsidRPr="00AF6ED3">
        <w:rPr>
          <w:rFonts w:ascii="Arial" w:hAnsi="Arial" w:cs="Arial"/>
          <w:color w:val="000000" w:themeColor="text1"/>
          <w:sz w:val="22"/>
        </w:rPr>
        <w:t xml:space="preserve">iscales, </w:t>
      </w:r>
      <w:r>
        <w:rPr>
          <w:rFonts w:ascii="Arial" w:hAnsi="Arial" w:cs="Arial"/>
          <w:color w:val="000000" w:themeColor="text1"/>
          <w:sz w:val="22"/>
        </w:rPr>
        <w:t>c</w:t>
      </w:r>
      <w:r w:rsidRPr="00AF6ED3">
        <w:rPr>
          <w:rFonts w:ascii="Arial" w:hAnsi="Arial" w:cs="Arial"/>
          <w:color w:val="000000" w:themeColor="text1"/>
          <w:sz w:val="22"/>
        </w:rPr>
        <w:t>ontadores independientes (externos), quienes suscribieron los documentos señalados en el presente literal</w:t>
      </w:r>
      <w:r>
        <w:rPr>
          <w:rFonts w:ascii="Arial" w:hAnsi="Arial" w:cs="Arial"/>
          <w:color w:val="000000" w:themeColor="text1"/>
          <w:sz w:val="22"/>
        </w:rPr>
        <w:t>.</w:t>
      </w:r>
    </w:p>
    <w:p w14:paraId="547224F7" w14:textId="77777777" w:rsidR="00AF4983" w:rsidRPr="00146118" w:rsidRDefault="00AF4983" w:rsidP="00AF4983">
      <w:pPr>
        <w:spacing w:before="120" w:after="120" w:line="276" w:lineRule="auto"/>
        <w:ind w:firstLine="709"/>
        <w:jc w:val="both"/>
        <w:rPr>
          <w:rFonts w:ascii="Arial" w:hAnsi="Arial" w:cs="Arial"/>
          <w:color w:val="000000" w:themeColor="text1"/>
          <w:sz w:val="22"/>
        </w:rPr>
      </w:pPr>
      <w:r w:rsidRPr="00AF6ED3">
        <w:rPr>
          <w:rFonts w:ascii="Arial" w:hAnsi="Arial" w:cs="Arial"/>
          <w:color w:val="000000" w:themeColor="text1"/>
          <w:sz w:val="22"/>
        </w:rPr>
        <w:lastRenderedPageBreak/>
        <w:t>En relac</w:t>
      </w:r>
      <w:r>
        <w:rPr>
          <w:rFonts w:ascii="Arial" w:hAnsi="Arial" w:cs="Arial"/>
          <w:color w:val="000000" w:themeColor="text1"/>
          <w:sz w:val="22"/>
        </w:rPr>
        <w:t>ión con los proponentes personas naturales o jurídicas extranjeras sin domicilio o sucursal en Colombia, deben presentar el estado de</w:t>
      </w:r>
      <w:r w:rsidRPr="00AF6ED3">
        <w:rPr>
          <w:rFonts w:ascii="Arial" w:eastAsia="Arial," w:hAnsi="Arial" w:cs="Arial"/>
          <w:color w:val="3B3838"/>
          <w:sz w:val="20"/>
          <w:lang w:val="es-CO"/>
        </w:rPr>
        <w:t xml:space="preserve"> </w:t>
      </w:r>
      <w:r w:rsidRPr="00146118">
        <w:rPr>
          <w:rFonts w:ascii="Arial" w:hAnsi="Arial" w:cs="Arial"/>
          <w:color w:val="000000" w:themeColor="text1"/>
          <w:sz w:val="22"/>
        </w:rPr>
        <w:t xml:space="preserve">resultados integral consolidado (estado de resultados o pérdida o ganancias) del año en que hayan obtenido el mayor </w:t>
      </w:r>
      <w:r>
        <w:rPr>
          <w:rFonts w:ascii="Arial" w:hAnsi="Arial" w:cs="Arial"/>
          <w:color w:val="000000" w:themeColor="text1"/>
          <w:sz w:val="22"/>
        </w:rPr>
        <w:t>i</w:t>
      </w:r>
      <w:r w:rsidRPr="00146118">
        <w:rPr>
          <w:rFonts w:ascii="Arial" w:hAnsi="Arial" w:cs="Arial"/>
          <w:color w:val="000000" w:themeColor="text1"/>
          <w:sz w:val="22"/>
        </w:rPr>
        <w:t xml:space="preserve">ngreso </w:t>
      </w:r>
      <w:r>
        <w:rPr>
          <w:rFonts w:ascii="Arial" w:hAnsi="Arial" w:cs="Arial"/>
          <w:color w:val="000000" w:themeColor="text1"/>
          <w:sz w:val="22"/>
        </w:rPr>
        <w:t>o</w:t>
      </w:r>
      <w:r w:rsidRPr="00146118">
        <w:rPr>
          <w:rFonts w:ascii="Arial" w:hAnsi="Arial" w:cs="Arial"/>
          <w:color w:val="000000" w:themeColor="text1"/>
          <w:sz w:val="22"/>
        </w:rPr>
        <w:t>peracional en los últimos cinco (5) años, auditado, con la firma de quien se encuentre en obligación de hacerlo, de acuerdo con la normativa vigente en el país de origen, en la moneda legal del país en el cual fue emitido, de conformidad con la legislación propia del país de origen.</w:t>
      </w:r>
    </w:p>
    <w:p w14:paraId="3A00EAFA" w14:textId="77777777" w:rsidR="00AF4983" w:rsidRDefault="00AF4983" w:rsidP="00AF4983">
      <w:pPr>
        <w:spacing w:before="120" w:line="276" w:lineRule="auto"/>
        <w:ind w:firstLine="709"/>
        <w:jc w:val="both"/>
        <w:rPr>
          <w:rFonts w:ascii="Arial" w:hAnsi="Arial" w:cs="Arial"/>
          <w:color w:val="000000" w:themeColor="text1"/>
          <w:sz w:val="22"/>
        </w:rPr>
      </w:pPr>
      <w:r w:rsidRPr="00146118">
        <w:rPr>
          <w:rFonts w:ascii="Arial" w:hAnsi="Arial" w:cs="Arial"/>
          <w:color w:val="000000" w:themeColor="text1"/>
          <w:sz w:val="22"/>
        </w:rPr>
        <w:t xml:space="preserve">Adicional a lo anterior, deben allegar la traducción al idioma castellano de la información financiera, observando lo siguiente: (i) los valores deben ser expresados </w:t>
      </w:r>
      <w:r>
        <w:rPr>
          <w:rFonts w:ascii="Arial" w:hAnsi="Arial" w:cs="Arial"/>
          <w:color w:val="000000" w:themeColor="text1"/>
          <w:sz w:val="22"/>
        </w:rPr>
        <w:t xml:space="preserve">en </w:t>
      </w:r>
      <w:r w:rsidRPr="00146118">
        <w:rPr>
          <w:rFonts w:ascii="Arial" w:hAnsi="Arial" w:cs="Arial"/>
          <w:color w:val="000000" w:themeColor="text1"/>
          <w:sz w:val="22"/>
        </w:rPr>
        <w:t xml:space="preserve">pesos colombianos, convertidos a la tasa representativa del mercado (TRM) de la fecha de corte de los mismos, en los términos descritos en la sección </w:t>
      </w:r>
      <w:r>
        <w:rPr>
          <w:rFonts w:ascii="Arial" w:hAnsi="Arial" w:cs="Arial"/>
          <w:color w:val="000000" w:themeColor="text1"/>
          <w:sz w:val="22"/>
        </w:rPr>
        <w:t>1.13</w:t>
      </w:r>
      <w:r w:rsidRPr="00146118">
        <w:rPr>
          <w:rFonts w:ascii="Arial" w:hAnsi="Arial" w:cs="Arial"/>
          <w:color w:val="000000" w:themeColor="text1"/>
          <w:sz w:val="22"/>
        </w:rPr>
        <w:t xml:space="preserve"> del presente Pliego de Condiciones; (</w:t>
      </w:r>
      <w:proofErr w:type="spellStart"/>
      <w:r w:rsidRPr="00146118">
        <w:rPr>
          <w:rFonts w:ascii="Arial" w:hAnsi="Arial" w:cs="Arial"/>
          <w:color w:val="000000" w:themeColor="text1"/>
          <w:sz w:val="22"/>
        </w:rPr>
        <w:t>ii</w:t>
      </w:r>
      <w:proofErr w:type="spellEnd"/>
      <w:r w:rsidRPr="00146118">
        <w:rPr>
          <w:rFonts w:ascii="Arial" w:hAnsi="Arial" w:cs="Arial"/>
          <w:color w:val="000000" w:themeColor="text1"/>
          <w:sz w:val="22"/>
        </w:rPr>
        <w:t>) presentados de acuerdo con las normas NIIF; y (</w:t>
      </w:r>
      <w:proofErr w:type="spellStart"/>
      <w:r w:rsidRPr="00146118">
        <w:rPr>
          <w:rFonts w:ascii="Arial" w:hAnsi="Arial" w:cs="Arial"/>
          <w:color w:val="000000" w:themeColor="text1"/>
          <w:sz w:val="22"/>
        </w:rPr>
        <w:t>iii</w:t>
      </w:r>
      <w:proofErr w:type="spellEnd"/>
      <w:r w:rsidRPr="00146118">
        <w:rPr>
          <w:rFonts w:ascii="Arial" w:hAnsi="Arial" w:cs="Arial"/>
          <w:color w:val="000000" w:themeColor="text1"/>
          <w:sz w:val="22"/>
        </w:rPr>
        <w:t>) debidamente firmados por el Contador Público Colombiano que los hubiere convertido</w:t>
      </w:r>
      <w:r>
        <w:rPr>
          <w:rFonts w:ascii="Arial" w:hAnsi="Arial" w:cs="Arial"/>
          <w:color w:val="000000" w:themeColor="text1"/>
          <w:sz w:val="22"/>
        </w:rPr>
        <w:t>.</w:t>
      </w:r>
    </w:p>
    <w:p w14:paraId="50434B17" w14:textId="77777777" w:rsidR="00AF4983" w:rsidRDefault="00AF4983" w:rsidP="00AF4983">
      <w:pPr>
        <w:spacing w:line="276" w:lineRule="auto"/>
        <w:jc w:val="both"/>
        <w:rPr>
          <w:rFonts w:ascii="Arial" w:hAnsi="Arial" w:cs="Arial"/>
          <w:b/>
          <w:bCs/>
          <w:color w:val="000000" w:themeColor="text1"/>
          <w:sz w:val="22"/>
        </w:rPr>
      </w:pPr>
    </w:p>
    <w:p w14:paraId="40A49C21" w14:textId="77777777" w:rsidR="00AF4983" w:rsidRPr="006C14B2" w:rsidRDefault="00AF4983" w:rsidP="00AF4983">
      <w:pPr>
        <w:spacing w:line="276" w:lineRule="auto"/>
        <w:jc w:val="both"/>
        <w:rPr>
          <w:rFonts w:ascii="Arial" w:hAnsi="Arial" w:cs="Arial"/>
          <w:b/>
          <w:bCs/>
          <w:color w:val="000000" w:themeColor="text1"/>
          <w:sz w:val="22"/>
        </w:rPr>
      </w:pPr>
      <w:proofErr w:type="gramStart"/>
      <w:r w:rsidRPr="006C14B2">
        <w:rPr>
          <w:rFonts w:ascii="Arial" w:hAnsi="Arial" w:cs="Arial"/>
          <w:b/>
          <w:bCs/>
          <w:color w:val="000000" w:themeColor="text1"/>
          <w:sz w:val="22"/>
        </w:rPr>
        <w:t xml:space="preserve">2.3 </w:t>
      </w:r>
      <w:r>
        <w:rPr>
          <w:rFonts w:ascii="Arial" w:hAnsi="Arial" w:cs="Arial"/>
          <w:b/>
          <w:bCs/>
          <w:color w:val="000000" w:themeColor="text1"/>
          <w:sz w:val="22"/>
        </w:rPr>
        <w:t xml:space="preserve"> Principales</w:t>
      </w:r>
      <w:proofErr w:type="gramEnd"/>
      <w:r>
        <w:rPr>
          <w:rFonts w:ascii="Arial" w:hAnsi="Arial" w:cs="Arial"/>
          <w:b/>
          <w:bCs/>
          <w:color w:val="000000" w:themeColor="text1"/>
          <w:sz w:val="22"/>
        </w:rPr>
        <w:t xml:space="preserve"> ajustes al requisito de capacidad organizacional en los Documentos Tipo de Licitación de obra pública Versión 2 </w:t>
      </w:r>
    </w:p>
    <w:p w14:paraId="0606719D" w14:textId="77777777" w:rsidR="00AF4983" w:rsidRDefault="00AF4983" w:rsidP="00AF4983">
      <w:pPr>
        <w:spacing w:line="276" w:lineRule="auto"/>
        <w:jc w:val="both"/>
        <w:rPr>
          <w:rFonts w:ascii="Arial" w:hAnsi="Arial" w:cs="Arial"/>
          <w:color w:val="000000" w:themeColor="text1"/>
          <w:sz w:val="22"/>
        </w:rPr>
      </w:pPr>
    </w:p>
    <w:p w14:paraId="40413C6C" w14:textId="77777777" w:rsidR="00AF4983" w:rsidRDefault="00AF4983" w:rsidP="00AF4983">
      <w:pPr>
        <w:spacing w:after="120" w:line="276" w:lineRule="auto"/>
        <w:jc w:val="both"/>
        <w:rPr>
          <w:rFonts w:ascii="Arial" w:hAnsi="Arial" w:cs="Arial"/>
          <w:color w:val="000000" w:themeColor="text1"/>
          <w:sz w:val="22"/>
        </w:rPr>
      </w:pPr>
      <w:r w:rsidRPr="005910B3">
        <w:rPr>
          <w:rFonts w:ascii="Arial" w:hAnsi="Arial" w:cs="Arial"/>
          <w:color w:val="000000" w:themeColor="text1"/>
          <w:sz w:val="22"/>
        </w:rPr>
        <w:t>De la lectura de estos requisitos</w:t>
      </w:r>
      <w:r>
        <w:rPr>
          <w:rFonts w:ascii="Arial" w:hAnsi="Arial" w:cs="Arial"/>
          <w:color w:val="000000" w:themeColor="text1"/>
          <w:sz w:val="22"/>
        </w:rPr>
        <w:t>,</w:t>
      </w:r>
      <w:r w:rsidRPr="005910B3">
        <w:rPr>
          <w:rFonts w:ascii="Arial" w:hAnsi="Arial" w:cs="Arial"/>
          <w:color w:val="000000" w:themeColor="text1"/>
          <w:sz w:val="22"/>
        </w:rPr>
        <w:t xml:space="preserve"> se demuestra que </w:t>
      </w:r>
      <w:r>
        <w:rPr>
          <w:rFonts w:ascii="Arial" w:hAnsi="Arial" w:cs="Arial"/>
          <w:color w:val="000000" w:themeColor="text1"/>
          <w:sz w:val="22"/>
        </w:rPr>
        <w:t xml:space="preserve">para los proponentes obligados a tener RUP ya no es necesario presentar </w:t>
      </w:r>
      <w:r w:rsidRPr="005910B3">
        <w:rPr>
          <w:rFonts w:ascii="Arial" w:hAnsi="Arial" w:cs="Arial"/>
          <w:color w:val="000000" w:themeColor="text1"/>
          <w:sz w:val="22"/>
        </w:rPr>
        <w:t>los siguientes documentos: i)</w:t>
      </w:r>
      <w:r>
        <w:rPr>
          <w:rFonts w:ascii="Arial" w:hAnsi="Arial" w:cs="Arial"/>
          <w:color w:val="000000" w:themeColor="text1"/>
          <w:sz w:val="22"/>
        </w:rPr>
        <w:t xml:space="preserve"> la</w:t>
      </w:r>
      <w:r w:rsidRPr="005910B3">
        <w:rPr>
          <w:rFonts w:ascii="Arial" w:hAnsi="Arial" w:cs="Arial"/>
          <w:color w:val="000000" w:themeColor="text1"/>
          <w:sz w:val="22"/>
        </w:rPr>
        <w:t xml:space="preserve"> información financiera auditada y aprobada por el máximo órgano social que pretende acreditar el proponente</w:t>
      </w:r>
      <w:r>
        <w:rPr>
          <w:rFonts w:ascii="Arial" w:hAnsi="Arial" w:cs="Arial"/>
          <w:color w:val="000000" w:themeColor="text1"/>
          <w:sz w:val="22"/>
        </w:rPr>
        <w:t xml:space="preserve">, </w:t>
      </w:r>
      <w:proofErr w:type="spellStart"/>
      <w:r w:rsidRPr="005910B3">
        <w:rPr>
          <w:rFonts w:ascii="Arial" w:hAnsi="Arial" w:cs="Arial"/>
          <w:color w:val="000000" w:themeColor="text1"/>
          <w:sz w:val="22"/>
        </w:rPr>
        <w:t>ii</w:t>
      </w:r>
      <w:proofErr w:type="spellEnd"/>
      <w:r w:rsidRPr="005910B3">
        <w:rPr>
          <w:rFonts w:ascii="Arial" w:hAnsi="Arial" w:cs="Arial"/>
          <w:color w:val="000000" w:themeColor="text1"/>
          <w:sz w:val="22"/>
        </w:rPr>
        <w:t xml:space="preserve">) </w:t>
      </w:r>
      <w:r>
        <w:rPr>
          <w:rFonts w:ascii="Arial" w:hAnsi="Arial" w:cs="Arial"/>
          <w:color w:val="000000" w:themeColor="text1"/>
          <w:sz w:val="22"/>
        </w:rPr>
        <w:t xml:space="preserve">el </w:t>
      </w:r>
      <w:r w:rsidRPr="005910B3">
        <w:rPr>
          <w:rFonts w:ascii="Arial" w:hAnsi="Arial" w:cs="Arial"/>
          <w:color w:val="000000" w:themeColor="text1"/>
          <w:sz w:val="22"/>
        </w:rPr>
        <w:t xml:space="preserve">certificación de los </w:t>
      </w:r>
      <w:r>
        <w:rPr>
          <w:rFonts w:ascii="Arial" w:hAnsi="Arial" w:cs="Arial"/>
          <w:color w:val="000000" w:themeColor="text1"/>
          <w:sz w:val="22"/>
        </w:rPr>
        <w:t>e</w:t>
      </w:r>
      <w:r w:rsidRPr="005910B3">
        <w:rPr>
          <w:rFonts w:ascii="Arial" w:hAnsi="Arial" w:cs="Arial"/>
          <w:color w:val="000000" w:themeColor="text1"/>
          <w:sz w:val="22"/>
        </w:rPr>
        <w:t xml:space="preserve">stados </w:t>
      </w:r>
      <w:r>
        <w:rPr>
          <w:rFonts w:ascii="Arial" w:hAnsi="Arial" w:cs="Arial"/>
          <w:color w:val="000000" w:themeColor="text1"/>
          <w:sz w:val="22"/>
        </w:rPr>
        <w:t>f</w:t>
      </w:r>
      <w:r w:rsidRPr="005910B3">
        <w:rPr>
          <w:rFonts w:ascii="Arial" w:hAnsi="Arial" w:cs="Arial"/>
          <w:color w:val="000000" w:themeColor="text1"/>
          <w:sz w:val="22"/>
        </w:rPr>
        <w:t xml:space="preserve">inancieros de la que trata el artículo 37 de la ley 222 de 1995, en la cual el </w:t>
      </w:r>
      <w:r>
        <w:rPr>
          <w:rFonts w:ascii="Arial" w:hAnsi="Arial" w:cs="Arial"/>
          <w:color w:val="000000" w:themeColor="text1"/>
          <w:sz w:val="22"/>
        </w:rPr>
        <w:t>r</w:t>
      </w:r>
      <w:r w:rsidRPr="005910B3">
        <w:rPr>
          <w:rFonts w:ascii="Arial" w:hAnsi="Arial" w:cs="Arial"/>
          <w:color w:val="000000" w:themeColor="text1"/>
          <w:sz w:val="22"/>
        </w:rPr>
        <w:t xml:space="preserve">epresentante </w:t>
      </w:r>
      <w:r>
        <w:rPr>
          <w:rFonts w:ascii="Arial" w:hAnsi="Arial" w:cs="Arial"/>
          <w:color w:val="000000" w:themeColor="text1"/>
          <w:sz w:val="22"/>
        </w:rPr>
        <w:t>l</w:t>
      </w:r>
      <w:r w:rsidRPr="005910B3">
        <w:rPr>
          <w:rFonts w:ascii="Arial" w:hAnsi="Arial" w:cs="Arial"/>
          <w:color w:val="000000" w:themeColor="text1"/>
          <w:sz w:val="22"/>
        </w:rPr>
        <w:t xml:space="preserve">egal y </w:t>
      </w:r>
      <w:r>
        <w:rPr>
          <w:rFonts w:ascii="Arial" w:hAnsi="Arial" w:cs="Arial"/>
          <w:color w:val="000000" w:themeColor="text1"/>
          <w:sz w:val="22"/>
        </w:rPr>
        <w:t>c</w:t>
      </w:r>
      <w:r w:rsidRPr="005910B3">
        <w:rPr>
          <w:rFonts w:ascii="Arial" w:hAnsi="Arial" w:cs="Arial"/>
          <w:color w:val="000000" w:themeColor="text1"/>
          <w:sz w:val="22"/>
        </w:rPr>
        <w:t xml:space="preserve">ontador </w:t>
      </w:r>
      <w:r>
        <w:rPr>
          <w:rFonts w:ascii="Arial" w:hAnsi="Arial" w:cs="Arial"/>
          <w:color w:val="000000" w:themeColor="text1"/>
          <w:sz w:val="22"/>
        </w:rPr>
        <w:t>p</w:t>
      </w:r>
      <w:r w:rsidRPr="005910B3">
        <w:rPr>
          <w:rFonts w:ascii="Arial" w:hAnsi="Arial" w:cs="Arial"/>
          <w:color w:val="000000" w:themeColor="text1"/>
          <w:sz w:val="22"/>
        </w:rPr>
        <w:t xml:space="preserve">úblico, bajo cuya responsabilidad se hubiesen preparado los </w:t>
      </w:r>
      <w:r>
        <w:rPr>
          <w:rFonts w:ascii="Arial" w:hAnsi="Arial" w:cs="Arial"/>
          <w:color w:val="000000" w:themeColor="text1"/>
          <w:sz w:val="22"/>
        </w:rPr>
        <w:t>e</w:t>
      </w:r>
      <w:r w:rsidRPr="005910B3">
        <w:rPr>
          <w:rFonts w:ascii="Arial" w:hAnsi="Arial" w:cs="Arial"/>
          <w:color w:val="000000" w:themeColor="text1"/>
          <w:sz w:val="22"/>
        </w:rPr>
        <w:t xml:space="preserve">stados </w:t>
      </w:r>
      <w:r>
        <w:rPr>
          <w:rFonts w:ascii="Arial" w:hAnsi="Arial" w:cs="Arial"/>
          <w:color w:val="000000" w:themeColor="text1"/>
          <w:sz w:val="22"/>
        </w:rPr>
        <w:t>f</w:t>
      </w:r>
      <w:r w:rsidRPr="005910B3">
        <w:rPr>
          <w:rFonts w:ascii="Arial" w:hAnsi="Arial" w:cs="Arial"/>
          <w:color w:val="000000" w:themeColor="text1"/>
          <w:sz w:val="22"/>
        </w:rPr>
        <w:t>inancieros, declaren que se han verificado previamente las afirmaciones contenidas en ellos, conforme al reglamento, y que las mismas se han tomado fielmente de los libros</w:t>
      </w:r>
      <w:r>
        <w:rPr>
          <w:rFonts w:ascii="Arial" w:hAnsi="Arial" w:cs="Arial"/>
          <w:color w:val="000000" w:themeColor="text1"/>
          <w:sz w:val="22"/>
        </w:rPr>
        <w:t xml:space="preserve"> y </w:t>
      </w:r>
      <w:proofErr w:type="spellStart"/>
      <w:r>
        <w:rPr>
          <w:rFonts w:ascii="Arial" w:hAnsi="Arial" w:cs="Arial"/>
          <w:color w:val="000000" w:themeColor="text1"/>
          <w:sz w:val="22"/>
        </w:rPr>
        <w:t>iii</w:t>
      </w:r>
      <w:proofErr w:type="spellEnd"/>
      <w:r>
        <w:rPr>
          <w:rFonts w:ascii="Arial" w:hAnsi="Arial" w:cs="Arial"/>
          <w:color w:val="000000" w:themeColor="text1"/>
          <w:sz w:val="22"/>
        </w:rPr>
        <w:t>) el d</w:t>
      </w:r>
      <w:r w:rsidRPr="005910B3">
        <w:rPr>
          <w:rFonts w:ascii="Arial" w:hAnsi="Arial" w:cs="Arial"/>
          <w:color w:val="000000" w:themeColor="text1"/>
          <w:sz w:val="22"/>
        </w:rPr>
        <w:t xml:space="preserve">ictamen del </w:t>
      </w:r>
      <w:r>
        <w:rPr>
          <w:rFonts w:ascii="Arial" w:hAnsi="Arial" w:cs="Arial"/>
          <w:color w:val="000000" w:themeColor="text1"/>
          <w:sz w:val="22"/>
        </w:rPr>
        <w:t>r</w:t>
      </w:r>
      <w:r w:rsidRPr="005910B3">
        <w:rPr>
          <w:rFonts w:ascii="Arial" w:hAnsi="Arial" w:cs="Arial"/>
          <w:color w:val="000000" w:themeColor="text1"/>
          <w:sz w:val="22"/>
        </w:rPr>
        <w:t xml:space="preserve">evisor </w:t>
      </w:r>
      <w:r>
        <w:rPr>
          <w:rFonts w:ascii="Arial" w:hAnsi="Arial" w:cs="Arial"/>
          <w:color w:val="000000" w:themeColor="text1"/>
          <w:sz w:val="22"/>
        </w:rPr>
        <w:t>f</w:t>
      </w:r>
      <w:r w:rsidRPr="005910B3">
        <w:rPr>
          <w:rFonts w:ascii="Arial" w:hAnsi="Arial" w:cs="Arial"/>
          <w:color w:val="000000" w:themeColor="text1"/>
          <w:sz w:val="22"/>
        </w:rPr>
        <w:t xml:space="preserve">iscal o, a falta de éste, del </w:t>
      </w:r>
      <w:r>
        <w:rPr>
          <w:rFonts w:ascii="Arial" w:hAnsi="Arial" w:cs="Arial"/>
          <w:color w:val="000000" w:themeColor="text1"/>
          <w:sz w:val="22"/>
        </w:rPr>
        <w:t>c</w:t>
      </w:r>
      <w:r w:rsidRPr="005910B3">
        <w:rPr>
          <w:rFonts w:ascii="Arial" w:hAnsi="Arial" w:cs="Arial"/>
          <w:color w:val="000000" w:themeColor="text1"/>
          <w:sz w:val="22"/>
        </w:rPr>
        <w:t xml:space="preserve">ontador </w:t>
      </w:r>
      <w:r>
        <w:rPr>
          <w:rFonts w:ascii="Arial" w:hAnsi="Arial" w:cs="Arial"/>
          <w:color w:val="000000" w:themeColor="text1"/>
          <w:sz w:val="22"/>
        </w:rPr>
        <w:t>p</w:t>
      </w:r>
      <w:r w:rsidRPr="005910B3">
        <w:rPr>
          <w:rFonts w:ascii="Arial" w:hAnsi="Arial" w:cs="Arial"/>
          <w:color w:val="000000" w:themeColor="text1"/>
          <w:sz w:val="22"/>
        </w:rPr>
        <w:t xml:space="preserve">úblico independiente cuando el Proponente esté obligado a ello, del año o en que haya obtenido el mayor </w:t>
      </w:r>
      <w:r>
        <w:rPr>
          <w:rFonts w:ascii="Arial" w:hAnsi="Arial" w:cs="Arial"/>
          <w:color w:val="000000" w:themeColor="text1"/>
          <w:sz w:val="22"/>
        </w:rPr>
        <w:t>i</w:t>
      </w:r>
      <w:r w:rsidRPr="005910B3">
        <w:rPr>
          <w:rFonts w:ascii="Arial" w:hAnsi="Arial" w:cs="Arial"/>
          <w:color w:val="000000" w:themeColor="text1"/>
          <w:sz w:val="22"/>
        </w:rPr>
        <w:t xml:space="preserve">ngreso </w:t>
      </w:r>
      <w:r>
        <w:rPr>
          <w:rFonts w:ascii="Arial" w:hAnsi="Arial" w:cs="Arial"/>
          <w:color w:val="000000" w:themeColor="text1"/>
          <w:sz w:val="22"/>
        </w:rPr>
        <w:t>o</w:t>
      </w:r>
      <w:r w:rsidRPr="005910B3">
        <w:rPr>
          <w:rFonts w:ascii="Arial" w:hAnsi="Arial" w:cs="Arial"/>
          <w:color w:val="000000" w:themeColor="text1"/>
          <w:sz w:val="22"/>
        </w:rPr>
        <w:t>peracional en los últimos cinco (5) años, en los términos descritos en el artículo 38 de la ley 222 de 1995</w:t>
      </w:r>
      <w:r>
        <w:rPr>
          <w:rFonts w:ascii="Arial" w:hAnsi="Arial" w:cs="Arial"/>
          <w:color w:val="000000" w:themeColor="text1"/>
          <w:sz w:val="22"/>
        </w:rPr>
        <w:t xml:space="preserve">. </w:t>
      </w:r>
    </w:p>
    <w:p w14:paraId="21B7D167" w14:textId="77777777" w:rsidR="00AF4983" w:rsidRDefault="00AF4983" w:rsidP="00AF4983">
      <w:pPr>
        <w:spacing w:after="200" w:line="276" w:lineRule="auto"/>
        <w:ind w:firstLine="708"/>
        <w:jc w:val="both"/>
        <w:rPr>
          <w:rFonts w:ascii="Arial" w:hAnsi="Arial" w:cs="Arial"/>
          <w:color w:val="000000" w:themeColor="text1"/>
          <w:sz w:val="22"/>
        </w:rPr>
      </w:pPr>
      <w:r>
        <w:rPr>
          <w:rFonts w:ascii="Arial" w:hAnsi="Arial" w:cs="Arial"/>
          <w:color w:val="000000" w:themeColor="text1"/>
          <w:sz w:val="22"/>
        </w:rPr>
        <w:t xml:space="preserve">Las razones para eliminar estos documentos tienen como fundamento lo previsto en el artículo 2.2.1.1.1.6.4 del Decreto 1082 de 2015, que indica que para acreditar la capacidad residual solo se requiere presentar: «[…] 3. </w:t>
      </w:r>
      <w:r w:rsidRPr="005910B3">
        <w:rPr>
          <w:rFonts w:ascii="Arial" w:hAnsi="Arial" w:cs="Arial"/>
          <w:color w:val="000000" w:themeColor="text1"/>
          <w:sz w:val="22"/>
        </w:rPr>
        <w:t xml:space="preserve">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w:t>
      </w:r>
      <w:r w:rsidRPr="005910B3">
        <w:rPr>
          <w:rFonts w:ascii="Arial" w:hAnsi="Arial" w:cs="Arial"/>
          <w:color w:val="000000" w:themeColor="text1"/>
          <w:sz w:val="22"/>
        </w:rPr>
        <w:lastRenderedPageBreak/>
        <w:t>el mayor ingreso operacional en los últimos cinco (5) años</w:t>
      </w:r>
      <w:r>
        <w:rPr>
          <w:rStyle w:val="Refdenotaalpie"/>
          <w:rFonts w:ascii="Arial" w:hAnsi="Arial" w:cs="Arial"/>
          <w:color w:val="000000" w:themeColor="text1"/>
          <w:sz w:val="22"/>
        </w:rPr>
        <w:footnoteReference w:id="3"/>
      </w:r>
      <w:r>
        <w:rPr>
          <w:rFonts w:ascii="Arial" w:hAnsi="Arial" w:cs="Arial"/>
          <w:color w:val="000000" w:themeColor="text1"/>
          <w:sz w:val="22"/>
        </w:rPr>
        <w:t>»</w:t>
      </w:r>
      <w:r w:rsidRPr="005910B3">
        <w:rPr>
          <w:rFonts w:ascii="Arial" w:hAnsi="Arial" w:cs="Arial"/>
          <w:color w:val="000000" w:themeColor="text1"/>
          <w:sz w:val="22"/>
        </w:rPr>
        <w:t>.</w:t>
      </w:r>
      <w:r>
        <w:rPr>
          <w:rFonts w:ascii="Arial" w:hAnsi="Arial" w:cs="Arial"/>
          <w:color w:val="000000" w:themeColor="text1"/>
          <w:sz w:val="22"/>
        </w:rPr>
        <w:t xml:space="preserve"> En este sentido, el Decreto reglamentario de forma expresa indica los documentos necesarios para acreditar la capacidad residual sin prever la exigencia de que sea necesario presentar la información financiera auditada y aprobada por el máximo órgano social que pretende acreditar el proponente. </w:t>
      </w:r>
    </w:p>
    <w:p w14:paraId="23E931EA" w14:textId="77777777" w:rsidR="00AF4983" w:rsidRDefault="00AF4983" w:rsidP="00AF4983">
      <w:pPr>
        <w:spacing w:after="200" w:line="276" w:lineRule="auto"/>
        <w:ind w:firstLine="708"/>
        <w:jc w:val="both"/>
        <w:rPr>
          <w:rFonts w:ascii="Arial" w:hAnsi="Arial" w:cs="Arial"/>
          <w:color w:val="000000" w:themeColor="text1"/>
          <w:sz w:val="22"/>
        </w:rPr>
      </w:pPr>
      <w:r>
        <w:rPr>
          <w:rFonts w:ascii="Arial" w:hAnsi="Arial" w:cs="Arial"/>
          <w:color w:val="000000" w:themeColor="text1"/>
          <w:sz w:val="22"/>
        </w:rPr>
        <w:t>Por otro lado, es importante señalar que, de acuerdo con el artículo 10 de la Ley 43 de 1990, normativa que reglamenta la profesión de contador público, la firma de un contador público en los actos propios de su profesión hará presumir, salvo prueba en contrario, que el acto respectivo se ajusta a los requisitos legales. De igual forma, tratándose de balances, se presumirá además que los saldos se han tomado fielmente de los libros, que estos se ajustan a las normas legales y que las cifras registrados en ellos reflejan en forma fidedigna la correspondiente situación financiera en la fecha del balance</w:t>
      </w:r>
      <w:r>
        <w:rPr>
          <w:rStyle w:val="Refdenotaalpie"/>
          <w:rFonts w:ascii="Arial" w:hAnsi="Arial" w:cs="Arial"/>
          <w:color w:val="000000" w:themeColor="text1"/>
          <w:sz w:val="22"/>
        </w:rPr>
        <w:footnoteReference w:id="4"/>
      </w:r>
      <w:r>
        <w:rPr>
          <w:rFonts w:ascii="Arial" w:hAnsi="Arial" w:cs="Arial"/>
          <w:color w:val="000000" w:themeColor="text1"/>
          <w:sz w:val="22"/>
        </w:rPr>
        <w:t xml:space="preserve">. </w:t>
      </w:r>
    </w:p>
    <w:p w14:paraId="442C9B26" w14:textId="77777777" w:rsidR="00AF4983" w:rsidRPr="00D355A8" w:rsidRDefault="00AF4983" w:rsidP="00AF4983">
      <w:pPr>
        <w:spacing w:after="200" w:line="276" w:lineRule="auto"/>
        <w:ind w:firstLine="708"/>
        <w:jc w:val="both"/>
        <w:rPr>
          <w:rFonts w:ascii="Arial" w:hAnsi="Arial" w:cs="Arial"/>
          <w:sz w:val="22"/>
        </w:rPr>
      </w:pPr>
      <w:r>
        <w:rPr>
          <w:rFonts w:ascii="Arial" w:hAnsi="Arial" w:cs="Arial"/>
          <w:color w:val="000000" w:themeColor="text1"/>
          <w:sz w:val="22"/>
        </w:rPr>
        <w:t xml:space="preserve">La Corte Constitucional, en la sentencia C- 861 de 2008, reconoce que la profesión de contador público tiene un importante riesgo social en las relaciones económicas entre el Estado y los particulares, y por tanto es necesario, que tengan una </w:t>
      </w:r>
      <w:r>
        <w:rPr>
          <w:rFonts w:ascii="Arial" w:hAnsi="Arial" w:cs="Arial"/>
          <w:color w:val="000000" w:themeColor="text1"/>
          <w:sz w:val="22"/>
        </w:rPr>
        <w:lastRenderedPageBreak/>
        <w:t xml:space="preserve">mayor responsabilidad de los documentos que suscriben. Así lo </w:t>
      </w:r>
      <w:r w:rsidRPr="00D355A8">
        <w:rPr>
          <w:rFonts w:ascii="Arial" w:hAnsi="Arial" w:cs="Arial"/>
          <w:sz w:val="22"/>
        </w:rPr>
        <w:t xml:space="preserve">determinó en los siguientes términos:  </w:t>
      </w:r>
    </w:p>
    <w:p w14:paraId="7E48E308" w14:textId="77777777" w:rsidR="00AF4983" w:rsidRDefault="00AF4983" w:rsidP="00AF4983">
      <w:pPr>
        <w:tabs>
          <w:tab w:val="left" w:pos="8222"/>
        </w:tabs>
        <w:spacing w:before="120" w:after="120"/>
        <w:ind w:left="708" w:right="709"/>
        <w:jc w:val="both"/>
        <w:rPr>
          <w:rFonts w:ascii="Arial" w:hAnsi="Arial" w:cs="Arial"/>
          <w:sz w:val="21"/>
          <w:szCs w:val="21"/>
          <w:shd w:val="clear" w:color="auto" w:fill="FFFFFF"/>
        </w:rPr>
      </w:pPr>
      <w:r w:rsidRPr="00D355A8">
        <w:rPr>
          <w:rFonts w:ascii="Arial" w:hAnsi="Arial" w:cs="Arial"/>
          <w:sz w:val="21"/>
          <w:szCs w:val="21"/>
          <w:shd w:val="clear" w:color="auto" w:fill="FFFFFF"/>
        </w:rPr>
        <w:t xml:space="preserve">A los Contadores Públicos por el hecho de dar fe pública se les impone un mayor nivel de responsabilidad, pues con el ejercicio de su actividad pueden ocasionar un riesgo social al poner en peligro intereses tan importantes como el orden y la seguridad en las relaciones económicas entre el Estado y los particulares, o de éstos entre sí, de manera que se otorga un mayor ámbito de libertad a quienes no causan tal riesgo, evitando con ello una innecesaria y excesiva regulación de la profesión arte u oficio desarrollada por éstos últimos y obedeciendo así a criterios equitativos de equivalencia entre el interés protegido y las limitaciones fijadas. La decisión que adoptó el legislador de conferir una función </w:t>
      </w:r>
      <w:proofErr w:type="spellStart"/>
      <w:r w:rsidRPr="00D355A8">
        <w:rPr>
          <w:rFonts w:ascii="Arial" w:hAnsi="Arial" w:cs="Arial"/>
          <w:sz w:val="21"/>
          <w:szCs w:val="21"/>
          <w:shd w:val="clear" w:color="auto" w:fill="FFFFFF"/>
        </w:rPr>
        <w:t>fedante</w:t>
      </w:r>
      <w:proofErr w:type="spellEnd"/>
      <w:r w:rsidRPr="00D355A8">
        <w:rPr>
          <w:rFonts w:ascii="Arial" w:hAnsi="Arial" w:cs="Arial"/>
          <w:sz w:val="21"/>
          <w:szCs w:val="21"/>
          <w:shd w:val="clear" w:color="auto" w:fill="FFFFFF"/>
        </w:rPr>
        <w:t xml:space="preserve"> a los Contadores Públicos, obedece a una finalidad de interés general</w:t>
      </w:r>
      <w:r>
        <w:rPr>
          <w:rStyle w:val="Refdenotaalpie"/>
          <w:rFonts w:ascii="Arial" w:hAnsi="Arial" w:cs="Arial"/>
          <w:sz w:val="21"/>
          <w:szCs w:val="21"/>
          <w:shd w:val="clear" w:color="auto" w:fill="FFFFFF"/>
        </w:rPr>
        <w:footnoteReference w:id="5"/>
      </w:r>
      <w:r w:rsidRPr="00D355A8">
        <w:rPr>
          <w:rFonts w:ascii="Arial" w:hAnsi="Arial" w:cs="Arial"/>
          <w:sz w:val="21"/>
          <w:szCs w:val="21"/>
          <w:shd w:val="clear" w:color="auto" w:fill="FFFFFF"/>
        </w:rPr>
        <w:t>.</w:t>
      </w:r>
    </w:p>
    <w:p w14:paraId="4D3AAF21" w14:textId="77777777" w:rsidR="00AF4983" w:rsidRDefault="00AF4983" w:rsidP="00AF4983">
      <w:pPr>
        <w:tabs>
          <w:tab w:val="left" w:pos="8222"/>
        </w:tabs>
        <w:ind w:left="709" w:right="709"/>
        <w:jc w:val="both"/>
        <w:rPr>
          <w:rFonts w:ascii="Arial" w:hAnsi="Arial" w:cs="Arial"/>
          <w:color w:val="000000" w:themeColor="text1"/>
          <w:sz w:val="22"/>
        </w:rPr>
      </w:pPr>
      <w:r>
        <w:rPr>
          <w:rFonts w:ascii="Arial" w:hAnsi="Arial" w:cs="Arial"/>
          <w:color w:val="000000" w:themeColor="text1"/>
          <w:sz w:val="22"/>
        </w:rPr>
        <w:tab/>
      </w:r>
    </w:p>
    <w:p w14:paraId="5F5D5D54" w14:textId="77777777" w:rsidR="00AF4983" w:rsidRDefault="00AF4983" w:rsidP="00AF4983">
      <w:pPr>
        <w:spacing w:after="120" w:line="276" w:lineRule="auto"/>
        <w:jc w:val="both"/>
        <w:rPr>
          <w:rFonts w:ascii="Arial" w:hAnsi="Arial" w:cs="Arial"/>
          <w:color w:val="000000" w:themeColor="text1"/>
          <w:sz w:val="22"/>
        </w:rPr>
      </w:pPr>
      <w:r>
        <w:rPr>
          <w:rFonts w:ascii="Arial" w:hAnsi="Arial" w:cs="Arial"/>
          <w:color w:val="000000" w:themeColor="text1"/>
          <w:sz w:val="22"/>
        </w:rPr>
        <w:tab/>
        <w:t xml:space="preserve">De este modo, en virtud de la Ley 49 de 1990, todos los actos firmados por los contadores públicos se presumen estar acordes con los requisitos legales. Sin dejar de lado, que los balances generales también se presumen que se han tomado fielmente de los libros y que las cifras registradas en ellos reflejan en forma fidedigna la correspondiente situación financiera en la fecha del balance. En este sentido, todos los documentos suscritos por el contador público dan fe pública de que el documento está acorde con la normativa y, por tanto, para que sea válido este documento no se requerirán requisitos adicionales como la aprobación del máximo órgano social. </w:t>
      </w:r>
    </w:p>
    <w:p w14:paraId="1BD23F47" w14:textId="77777777" w:rsidR="00AF4983" w:rsidRDefault="00AF4983" w:rsidP="00AF4983">
      <w:pPr>
        <w:tabs>
          <w:tab w:val="left" w:pos="6663"/>
        </w:tabs>
        <w:spacing w:after="200" w:line="276" w:lineRule="auto"/>
        <w:ind w:firstLine="708"/>
        <w:jc w:val="both"/>
        <w:rPr>
          <w:rFonts w:ascii="Arial" w:hAnsi="Arial" w:cs="Arial"/>
          <w:color w:val="000000" w:themeColor="text1"/>
          <w:sz w:val="22"/>
        </w:rPr>
      </w:pPr>
      <w:r w:rsidRPr="00B73BE5">
        <w:rPr>
          <w:rFonts w:ascii="Arial" w:hAnsi="Arial" w:cs="Arial"/>
          <w:color w:val="000000" w:themeColor="text1"/>
          <w:sz w:val="22"/>
        </w:rPr>
        <w:t>Ahora, usted pregunta: ¿es necesario que la aprobación de los estados financieros vaya adjunta a estos para poder acreditar la capacidad organizacional de una empresa? De acuerdo con lo afirmado previamente</w:t>
      </w:r>
      <w:r>
        <w:rPr>
          <w:rFonts w:ascii="Arial" w:hAnsi="Arial" w:cs="Arial"/>
          <w:color w:val="000000" w:themeColor="text1"/>
          <w:sz w:val="22"/>
        </w:rPr>
        <w:t>,</w:t>
      </w:r>
      <w:r w:rsidRPr="00B73BE5">
        <w:rPr>
          <w:rFonts w:ascii="Arial" w:hAnsi="Arial" w:cs="Arial"/>
          <w:color w:val="000000" w:themeColor="text1"/>
          <w:sz w:val="22"/>
        </w:rPr>
        <w:t xml:space="preserve"> </w:t>
      </w:r>
      <w:r>
        <w:rPr>
          <w:rFonts w:ascii="Arial" w:hAnsi="Arial" w:cs="Arial"/>
          <w:color w:val="000000" w:themeColor="text1"/>
          <w:sz w:val="22"/>
        </w:rPr>
        <w:t xml:space="preserve">para acreditar la capacidad organizacional solo </w:t>
      </w:r>
      <w:r w:rsidRPr="00B73BE5">
        <w:rPr>
          <w:rFonts w:ascii="Arial" w:hAnsi="Arial" w:cs="Arial"/>
          <w:color w:val="000000" w:themeColor="text1"/>
          <w:sz w:val="22"/>
        </w:rPr>
        <w:t xml:space="preserve">se requerirá aportar el balance general debidamente firmado por el interesado o su </w:t>
      </w:r>
      <w:r>
        <w:rPr>
          <w:rFonts w:ascii="Arial" w:hAnsi="Arial" w:cs="Arial"/>
          <w:color w:val="000000" w:themeColor="text1"/>
          <w:sz w:val="22"/>
        </w:rPr>
        <w:t>r</w:t>
      </w:r>
      <w:r w:rsidRPr="00B73BE5">
        <w:rPr>
          <w:rFonts w:ascii="Arial" w:hAnsi="Arial" w:cs="Arial"/>
          <w:color w:val="000000" w:themeColor="text1"/>
          <w:sz w:val="22"/>
        </w:rPr>
        <w:t xml:space="preserve">epresentante </w:t>
      </w:r>
      <w:r>
        <w:rPr>
          <w:rFonts w:ascii="Arial" w:hAnsi="Arial" w:cs="Arial"/>
          <w:color w:val="000000" w:themeColor="text1"/>
          <w:sz w:val="22"/>
        </w:rPr>
        <w:t>l</w:t>
      </w:r>
      <w:r w:rsidRPr="00B73BE5">
        <w:rPr>
          <w:rFonts w:ascii="Arial" w:hAnsi="Arial" w:cs="Arial"/>
          <w:color w:val="000000" w:themeColor="text1"/>
          <w:sz w:val="22"/>
        </w:rPr>
        <w:t xml:space="preserve">egal y el </w:t>
      </w:r>
      <w:r>
        <w:rPr>
          <w:rFonts w:ascii="Arial" w:hAnsi="Arial" w:cs="Arial"/>
          <w:color w:val="000000" w:themeColor="text1"/>
          <w:sz w:val="22"/>
        </w:rPr>
        <w:t>r</w:t>
      </w:r>
      <w:r w:rsidRPr="00B73BE5">
        <w:rPr>
          <w:rFonts w:ascii="Arial" w:hAnsi="Arial" w:cs="Arial"/>
          <w:color w:val="000000" w:themeColor="text1"/>
          <w:sz w:val="22"/>
        </w:rPr>
        <w:t xml:space="preserve">evisor </w:t>
      </w:r>
      <w:r>
        <w:rPr>
          <w:rFonts w:ascii="Arial" w:hAnsi="Arial" w:cs="Arial"/>
          <w:color w:val="000000" w:themeColor="text1"/>
          <w:sz w:val="22"/>
        </w:rPr>
        <w:t>f</w:t>
      </w:r>
      <w:r w:rsidRPr="00B73BE5">
        <w:rPr>
          <w:rFonts w:ascii="Arial" w:hAnsi="Arial" w:cs="Arial"/>
          <w:color w:val="000000" w:themeColor="text1"/>
          <w:sz w:val="22"/>
        </w:rPr>
        <w:t>iscal si está obligado a tenerlo, o el auditor o contador si no está o</w:t>
      </w:r>
      <w:r>
        <w:rPr>
          <w:rFonts w:ascii="Arial" w:hAnsi="Arial" w:cs="Arial"/>
          <w:color w:val="000000" w:themeColor="text1"/>
          <w:sz w:val="22"/>
        </w:rPr>
        <w:t>bl</w:t>
      </w:r>
      <w:r w:rsidRPr="00B73BE5">
        <w:rPr>
          <w:rFonts w:ascii="Arial" w:hAnsi="Arial" w:cs="Arial"/>
          <w:color w:val="000000" w:themeColor="text1"/>
          <w:sz w:val="22"/>
        </w:rPr>
        <w:t>igado a tener revisor fiscal</w:t>
      </w:r>
      <w:r>
        <w:rPr>
          <w:rFonts w:ascii="Arial" w:hAnsi="Arial" w:cs="Arial"/>
          <w:color w:val="000000" w:themeColor="text1"/>
          <w:sz w:val="22"/>
        </w:rPr>
        <w:t xml:space="preserve"> y la c</w:t>
      </w:r>
      <w:r w:rsidRPr="00307F72">
        <w:rPr>
          <w:rFonts w:ascii="Arial" w:hAnsi="Arial" w:cs="Arial"/>
          <w:color w:val="000000" w:themeColor="text1"/>
          <w:sz w:val="22"/>
        </w:rPr>
        <w:t xml:space="preserve">opia de la tarjeta profesional y certificado de antecedentes disciplinarios vigentes de los </w:t>
      </w:r>
      <w:r>
        <w:rPr>
          <w:rFonts w:ascii="Arial" w:hAnsi="Arial" w:cs="Arial"/>
          <w:color w:val="000000" w:themeColor="text1"/>
          <w:sz w:val="22"/>
        </w:rPr>
        <w:t>c</w:t>
      </w:r>
      <w:r w:rsidRPr="00307F72">
        <w:rPr>
          <w:rFonts w:ascii="Arial" w:hAnsi="Arial" w:cs="Arial"/>
          <w:color w:val="000000" w:themeColor="text1"/>
          <w:sz w:val="22"/>
        </w:rPr>
        <w:t xml:space="preserve">ontadores </w:t>
      </w:r>
      <w:r>
        <w:rPr>
          <w:rFonts w:ascii="Arial" w:hAnsi="Arial" w:cs="Arial"/>
          <w:color w:val="000000" w:themeColor="text1"/>
          <w:sz w:val="22"/>
        </w:rPr>
        <w:t>p</w:t>
      </w:r>
      <w:r w:rsidRPr="00307F72">
        <w:rPr>
          <w:rFonts w:ascii="Arial" w:hAnsi="Arial" w:cs="Arial"/>
          <w:color w:val="000000" w:themeColor="text1"/>
          <w:sz w:val="22"/>
        </w:rPr>
        <w:t xml:space="preserve">úblicos, </w:t>
      </w:r>
      <w:r>
        <w:rPr>
          <w:rFonts w:ascii="Arial" w:hAnsi="Arial" w:cs="Arial"/>
          <w:color w:val="000000" w:themeColor="text1"/>
          <w:sz w:val="22"/>
        </w:rPr>
        <w:t>r</w:t>
      </w:r>
      <w:r w:rsidRPr="00307F72">
        <w:rPr>
          <w:rFonts w:ascii="Arial" w:hAnsi="Arial" w:cs="Arial"/>
          <w:color w:val="000000" w:themeColor="text1"/>
          <w:sz w:val="22"/>
        </w:rPr>
        <w:t xml:space="preserve">evisores </w:t>
      </w:r>
      <w:r>
        <w:rPr>
          <w:rFonts w:ascii="Arial" w:hAnsi="Arial" w:cs="Arial"/>
          <w:color w:val="000000" w:themeColor="text1"/>
          <w:sz w:val="22"/>
        </w:rPr>
        <w:t>f</w:t>
      </w:r>
      <w:r w:rsidRPr="00307F72">
        <w:rPr>
          <w:rFonts w:ascii="Arial" w:hAnsi="Arial" w:cs="Arial"/>
          <w:color w:val="000000" w:themeColor="text1"/>
          <w:sz w:val="22"/>
        </w:rPr>
        <w:t xml:space="preserve">iscales, </w:t>
      </w:r>
      <w:r>
        <w:rPr>
          <w:rFonts w:ascii="Arial" w:hAnsi="Arial" w:cs="Arial"/>
          <w:color w:val="000000" w:themeColor="text1"/>
          <w:sz w:val="22"/>
        </w:rPr>
        <w:t>c</w:t>
      </w:r>
      <w:r w:rsidRPr="00307F72">
        <w:rPr>
          <w:rFonts w:ascii="Arial" w:hAnsi="Arial" w:cs="Arial"/>
          <w:color w:val="000000" w:themeColor="text1"/>
          <w:sz w:val="22"/>
        </w:rPr>
        <w:t>ontadores independientes (externos), quienes suscribieron los documentos señalados en el presente literal</w:t>
      </w:r>
    </w:p>
    <w:p w14:paraId="6BD23F83" w14:textId="77777777" w:rsidR="00AF4983" w:rsidRDefault="00AF4983" w:rsidP="00AF4983">
      <w:pPr>
        <w:spacing w:after="200" w:line="276" w:lineRule="auto"/>
        <w:ind w:firstLine="708"/>
        <w:jc w:val="both"/>
        <w:rPr>
          <w:rFonts w:ascii="Arial" w:hAnsi="Arial" w:cs="Arial"/>
          <w:color w:val="000000" w:themeColor="text1"/>
          <w:sz w:val="22"/>
        </w:rPr>
      </w:pPr>
      <w:r>
        <w:rPr>
          <w:rFonts w:ascii="Arial" w:hAnsi="Arial" w:cs="Arial"/>
          <w:color w:val="000000" w:themeColor="text1"/>
          <w:sz w:val="22"/>
        </w:rPr>
        <w:t xml:space="preserve">En este sentido, las entidades no podrán exigir que el balance general esté auditado y aprobado por el máximo órgano social porque: i) el Decreto 1082 de 2015, en el artículo 2.2.1.1.1.6.4 en el numeral 3 no exige este requisito y </w:t>
      </w:r>
      <w:proofErr w:type="spellStart"/>
      <w:r>
        <w:rPr>
          <w:rFonts w:ascii="Arial" w:hAnsi="Arial" w:cs="Arial"/>
          <w:color w:val="000000" w:themeColor="text1"/>
          <w:sz w:val="22"/>
        </w:rPr>
        <w:t>ii</w:t>
      </w:r>
      <w:proofErr w:type="spellEnd"/>
      <w:r>
        <w:rPr>
          <w:rFonts w:ascii="Arial" w:hAnsi="Arial" w:cs="Arial"/>
          <w:color w:val="000000" w:themeColor="text1"/>
          <w:sz w:val="22"/>
        </w:rPr>
        <w:t xml:space="preserve">) la ley 49 de 1990 indica que los balances generales firmados por el contador se presumen que se han tomado fielmente de los libros y que las cifras registradas en ellos reflejan en forma fidedigna la correspondiente situación financiera en la fecha del balance. </w:t>
      </w:r>
    </w:p>
    <w:p w14:paraId="7BDB71AF" w14:textId="77777777" w:rsidR="00AF4983" w:rsidRPr="00197BA8" w:rsidRDefault="00AF4983" w:rsidP="00AF4983">
      <w:pPr>
        <w:spacing w:after="200" w:line="276" w:lineRule="auto"/>
        <w:ind w:firstLine="708"/>
        <w:jc w:val="both"/>
        <w:rPr>
          <w:rFonts w:ascii="Arial" w:hAnsi="Arial" w:cs="Arial"/>
          <w:color w:val="000000" w:themeColor="text1"/>
          <w:sz w:val="22"/>
        </w:rPr>
      </w:pPr>
    </w:p>
    <w:p w14:paraId="2CA53266" w14:textId="77777777" w:rsidR="00AF4983" w:rsidRPr="006C15D5" w:rsidRDefault="00AF4983" w:rsidP="00AF4983">
      <w:pPr>
        <w:pStyle w:val="Prrafodelista"/>
        <w:numPr>
          <w:ilvl w:val="0"/>
          <w:numId w:val="6"/>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lastRenderedPageBreak/>
        <w:t xml:space="preserve">Respuesta </w:t>
      </w:r>
    </w:p>
    <w:p w14:paraId="588B3537" w14:textId="77777777" w:rsidR="00AF4983" w:rsidRPr="006C15D5" w:rsidRDefault="00AF4983" w:rsidP="00AF4983">
      <w:pPr>
        <w:spacing w:line="276" w:lineRule="auto"/>
        <w:ind w:right="709"/>
        <w:jc w:val="both"/>
        <w:rPr>
          <w:rFonts w:ascii="Arial" w:hAnsi="Arial" w:cs="Arial"/>
          <w:color w:val="000000" w:themeColor="text1"/>
          <w:sz w:val="21"/>
          <w:szCs w:val="21"/>
          <w:lang w:val="es-CO"/>
        </w:rPr>
      </w:pPr>
    </w:p>
    <w:p w14:paraId="6F8567BA" w14:textId="77777777" w:rsidR="00AF4983" w:rsidRPr="00197BA8" w:rsidRDefault="00AF4983" w:rsidP="00AF4983">
      <w:pPr>
        <w:ind w:left="708" w:right="709"/>
        <w:jc w:val="both"/>
        <w:rPr>
          <w:rFonts w:ascii="Arial" w:eastAsia="Calibri" w:hAnsi="Arial" w:cs="Arial"/>
          <w:color w:val="000000" w:themeColor="text1"/>
          <w:sz w:val="21"/>
          <w:szCs w:val="21"/>
        </w:rPr>
      </w:pPr>
      <w:r w:rsidRPr="00197BA8">
        <w:rPr>
          <w:rFonts w:ascii="Arial" w:eastAsia="Calibri" w:hAnsi="Arial" w:cs="Arial"/>
          <w:color w:val="000000" w:themeColor="text1"/>
          <w:sz w:val="21"/>
          <w:szCs w:val="21"/>
        </w:rPr>
        <w:t xml:space="preserve">«¿Es necesario que la aprobación de los estados financieros vaya adjunta a estos para acreditar la capacidad organizacional de una empresa? Y si es así ¿es imperativo que este documento vaya estampado con el respectivo sello de la cámara de comercio de la persona jurídica en cuestión?». </w:t>
      </w:r>
    </w:p>
    <w:p w14:paraId="6BE94839" w14:textId="77777777" w:rsidR="00AF4983" w:rsidRPr="006C15D5" w:rsidRDefault="00AF4983" w:rsidP="00AF4983">
      <w:pPr>
        <w:jc w:val="both"/>
        <w:rPr>
          <w:rFonts w:ascii="Arial" w:eastAsia="Calibri" w:hAnsi="Arial" w:cs="Arial"/>
          <w:color w:val="000000" w:themeColor="text1"/>
          <w:sz w:val="22"/>
        </w:rPr>
      </w:pPr>
    </w:p>
    <w:p w14:paraId="6F84A412" w14:textId="77777777" w:rsidR="00AF4983" w:rsidRDefault="00AF4983" w:rsidP="00AF4983">
      <w:pPr>
        <w:tabs>
          <w:tab w:val="left" w:pos="6663"/>
        </w:tabs>
        <w:spacing w:after="200" w:line="276" w:lineRule="auto"/>
        <w:jc w:val="both"/>
        <w:rPr>
          <w:rFonts w:ascii="Arial" w:hAnsi="Arial" w:cs="Arial"/>
          <w:color w:val="000000" w:themeColor="text1"/>
          <w:sz w:val="22"/>
        </w:rPr>
      </w:pPr>
      <w:r w:rsidRPr="00B73BE5">
        <w:rPr>
          <w:rFonts w:ascii="Arial" w:hAnsi="Arial" w:cs="Arial"/>
          <w:color w:val="000000" w:themeColor="text1"/>
          <w:sz w:val="22"/>
        </w:rPr>
        <w:t>De acuerdo con lo afirmado previamente</w:t>
      </w:r>
      <w:r>
        <w:rPr>
          <w:rFonts w:ascii="Arial" w:hAnsi="Arial" w:cs="Arial"/>
          <w:color w:val="000000" w:themeColor="text1"/>
          <w:sz w:val="22"/>
        </w:rPr>
        <w:t>,</w:t>
      </w:r>
      <w:r w:rsidRPr="00B73BE5">
        <w:rPr>
          <w:rFonts w:ascii="Arial" w:hAnsi="Arial" w:cs="Arial"/>
          <w:color w:val="000000" w:themeColor="text1"/>
          <w:sz w:val="22"/>
        </w:rPr>
        <w:t xml:space="preserve"> </w:t>
      </w:r>
      <w:r>
        <w:rPr>
          <w:rFonts w:ascii="Arial" w:hAnsi="Arial" w:cs="Arial"/>
          <w:color w:val="000000" w:themeColor="text1"/>
          <w:sz w:val="22"/>
        </w:rPr>
        <w:t xml:space="preserve">para acreditar la capacidad organizacional solo </w:t>
      </w:r>
      <w:r w:rsidRPr="00B73BE5">
        <w:rPr>
          <w:rFonts w:ascii="Arial" w:hAnsi="Arial" w:cs="Arial"/>
          <w:color w:val="000000" w:themeColor="text1"/>
          <w:sz w:val="22"/>
        </w:rPr>
        <w:t xml:space="preserve">se requerirá aportar el balance general debidamente firmado por el interesado o su </w:t>
      </w:r>
      <w:r>
        <w:rPr>
          <w:rFonts w:ascii="Arial" w:hAnsi="Arial" w:cs="Arial"/>
          <w:color w:val="000000" w:themeColor="text1"/>
          <w:sz w:val="22"/>
        </w:rPr>
        <w:t>r</w:t>
      </w:r>
      <w:r w:rsidRPr="00B73BE5">
        <w:rPr>
          <w:rFonts w:ascii="Arial" w:hAnsi="Arial" w:cs="Arial"/>
          <w:color w:val="000000" w:themeColor="text1"/>
          <w:sz w:val="22"/>
        </w:rPr>
        <w:t xml:space="preserve">epresentante </w:t>
      </w:r>
      <w:r>
        <w:rPr>
          <w:rFonts w:ascii="Arial" w:hAnsi="Arial" w:cs="Arial"/>
          <w:color w:val="000000" w:themeColor="text1"/>
          <w:sz w:val="22"/>
        </w:rPr>
        <w:t>l</w:t>
      </w:r>
      <w:r w:rsidRPr="00B73BE5">
        <w:rPr>
          <w:rFonts w:ascii="Arial" w:hAnsi="Arial" w:cs="Arial"/>
          <w:color w:val="000000" w:themeColor="text1"/>
          <w:sz w:val="22"/>
        </w:rPr>
        <w:t xml:space="preserve">egal y el </w:t>
      </w:r>
      <w:r>
        <w:rPr>
          <w:rFonts w:ascii="Arial" w:hAnsi="Arial" w:cs="Arial"/>
          <w:color w:val="000000" w:themeColor="text1"/>
          <w:sz w:val="22"/>
        </w:rPr>
        <w:t>r</w:t>
      </w:r>
      <w:r w:rsidRPr="00B73BE5">
        <w:rPr>
          <w:rFonts w:ascii="Arial" w:hAnsi="Arial" w:cs="Arial"/>
          <w:color w:val="000000" w:themeColor="text1"/>
          <w:sz w:val="22"/>
        </w:rPr>
        <w:t xml:space="preserve">evisor </w:t>
      </w:r>
      <w:r>
        <w:rPr>
          <w:rFonts w:ascii="Arial" w:hAnsi="Arial" w:cs="Arial"/>
          <w:color w:val="000000" w:themeColor="text1"/>
          <w:sz w:val="22"/>
        </w:rPr>
        <w:t>f</w:t>
      </w:r>
      <w:r w:rsidRPr="00B73BE5">
        <w:rPr>
          <w:rFonts w:ascii="Arial" w:hAnsi="Arial" w:cs="Arial"/>
          <w:color w:val="000000" w:themeColor="text1"/>
          <w:sz w:val="22"/>
        </w:rPr>
        <w:t>iscal si está obligado a tenerlo, o el auditor o contador si no está o</w:t>
      </w:r>
      <w:r>
        <w:rPr>
          <w:rFonts w:ascii="Arial" w:hAnsi="Arial" w:cs="Arial"/>
          <w:color w:val="000000" w:themeColor="text1"/>
          <w:sz w:val="22"/>
        </w:rPr>
        <w:t>bl</w:t>
      </w:r>
      <w:r w:rsidRPr="00B73BE5">
        <w:rPr>
          <w:rFonts w:ascii="Arial" w:hAnsi="Arial" w:cs="Arial"/>
          <w:color w:val="000000" w:themeColor="text1"/>
          <w:sz w:val="22"/>
        </w:rPr>
        <w:t>igado a tener revisor fiscal</w:t>
      </w:r>
      <w:r>
        <w:rPr>
          <w:rFonts w:ascii="Arial" w:hAnsi="Arial" w:cs="Arial"/>
          <w:color w:val="000000" w:themeColor="text1"/>
          <w:sz w:val="22"/>
        </w:rPr>
        <w:t xml:space="preserve"> y la c</w:t>
      </w:r>
      <w:r w:rsidRPr="00307F72">
        <w:rPr>
          <w:rFonts w:ascii="Arial" w:hAnsi="Arial" w:cs="Arial"/>
          <w:color w:val="000000" w:themeColor="text1"/>
          <w:sz w:val="22"/>
        </w:rPr>
        <w:t xml:space="preserve">opia de la tarjeta profesional y certificado de antecedentes disciplinarios vigentes de los </w:t>
      </w:r>
      <w:r>
        <w:rPr>
          <w:rFonts w:ascii="Arial" w:hAnsi="Arial" w:cs="Arial"/>
          <w:color w:val="000000" w:themeColor="text1"/>
          <w:sz w:val="22"/>
        </w:rPr>
        <w:t>c</w:t>
      </w:r>
      <w:r w:rsidRPr="00307F72">
        <w:rPr>
          <w:rFonts w:ascii="Arial" w:hAnsi="Arial" w:cs="Arial"/>
          <w:color w:val="000000" w:themeColor="text1"/>
          <w:sz w:val="22"/>
        </w:rPr>
        <w:t xml:space="preserve">ontadores </w:t>
      </w:r>
      <w:r>
        <w:rPr>
          <w:rFonts w:ascii="Arial" w:hAnsi="Arial" w:cs="Arial"/>
          <w:color w:val="000000" w:themeColor="text1"/>
          <w:sz w:val="22"/>
        </w:rPr>
        <w:t>p</w:t>
      </w:r>
      <w:r w:rsidRPr="00307F72">
        <w:rPr>
          <w:rFonts w:ascii="Arial" w:hAnsi="Arial" w:cs="Arial"/>
          <w:color w:val="000000" w:themeColor="text1"/>
          <w:sz w:val="22"/>
        </w:rPr>
        <w:t xml:space="preserve">úblicos, </w:t>
      </w:r>
      <w:r>
        <w:rPr>
          <w:rFonts w:ascii="Arial" w:hAnsi="Arial" w:cs="Arial"/>
          <w:color w:val="000000" w:themeColor="text1"/>
          <w:sz w:val="22"/>
        </w:rPr>
        <w:t>r</w:t>
      </w:r>
      <w:r w:rsidRPr="00307F72">
        <w:rPr>
          <w:rFonts w:ascii="Arial" w:hAnsi="Arial" w:cs="Arial"/>
          <w:color w:val="000000" w:themeColor="text1"/>
          <w:sz w:val="22"/>
        </w:rPr>
        <w:t xml:space="preserve">evisores </w:t>
      </w:r>
      <w:r>
        <w:rPr>
          <w:rFonts w:ascii="Arial" w:hAnsi="Arial" w:cs="Arial"/>
          <w:color w:val="000000" w:themeColor="text1"/>
          <w:sz w:val="22"/>
        </w:rPr>
        <w:t>f</w:t>
      </w:r>
      <w:r w:rsidRPr="00307F72">
        <w:rPr>
          <w:rFonts w:ascii="Arial" w:hAnsi="Arial" w:cs="Arial"/>
          <w:color w:val="000000" w:themeColor="text1"/>
          <w:sz w:val="22"/>
        </w:rPr>
        <w:t xml:space="preserve">iscales, </w:t>
      </w:r>
      <w:r>
        <w:rPr>
          <w:rFonts w:ascii="Arial" w:hAnsi="Arial" w:cs="Arial"/>
          <w:color w:val="000000" w:themeColor="text1"/>
          <w:sz w:val="22"/>
        </w:rPr>
        <w:t>c</w:t>
      </w:r>
      <w:r w:rsidRPr="00307F72">
        <w:rPr>
          <w:rFonts w:ascii="Arial" w:hAnsi="Arial" w:cs="Arial"/>
          <w:color w:val="000000" w:themeColor="text1"/>
          <w:sz w:val="22"/>
        </w:rPr>
        <w:t>ontadores independientes (externos), quienes suscribieron los documentos señalados en el presente literal</w:t>
      </w:r>
    </w:p>
    <w:p w14:paraId="4E973FFF" w14:textId="77777777" w:rsidR="00AF4983" w:rsidRPr="00305940" w:rsidRDefault="00AF4983" w:rsidP="00AF4983">
      <w:pPr>
        <w:spacing w:after="200" w:line="276" w:lineRule="auto"/>
        <w:ind w:firstLine="708"/>
        <w:jc w:val="both"/>
        <w:rPr>
          <w:rFonts w:ascii="Arial" w:hAnsi="Arial" w:cs="Arial"/>
          <w:color w:val="000000" w:themeColor="text1"/>
          <w:sz w:val="22"/>
        </w:rPr>
      </w:pPr>
      <w:r>
        <w:rPr>
          <w:rFonts w:ascii="Arial" w:hAnsi="Arial" w:cs="Arial"/>
          <w:color w:val="000000" w:themeColor="text1"/>
          <w:sz w:val="22"/>
        </w:rPr>
        <w:t xml:space="preserve">En este sentido, las entidades no podrán exigir que el balance general esté auditado y aprobado por el máximo órgano social porque: i) el numeral 3 del artículo 2.2.1.1.1.6.4 del Decreto 1082 de 2015 no exige este requisito y </w:t>
      </w:r>
      <w:proofErr w:type="spellStart"/>
      <w:r>
        <w:rPr>
          <w:rFonts w:ascii="Arial" w:hAnsi="Arial" w:cs="Arial"/>
          <w:color w:val="000000" w:themeColor="text1"/>
          <w:sz w:val="22"/>
        </w:rPr>
        <w:t>ii</w:t>
      </w:r>
      <w:proofErr w:type="spellEnd"/>
      <w:r>
        <w:rPr>
          <w:rFonts w:ascii="Arial" w:hAnsi="Arial" w:cs="Arial"/>
          <w:color w:val="000000" w:themeColor="text1"/>
          <w:sz w:val="22"/>
        </w:rPr>
        <w:t xml:space="preserve">) la Ley 49 de 1990 prevé que los balances generales firmados por el contador se presumen que se han tomado fielmente de los libros y que las cifras registradas en ellos reflejan en forma fidedigna la correspondiente situación financiera en la fecha del balance. </w:t>
      </w:r>
    </w:p>
    <w:p w14:paraId="1B7F0469" w14:textId="77777777" w:rsidR="00AF4983" w:rsidRPr="00305940" w:rsidRDefault="00AF4983" w:rsidP="00AF4983">
      <w:pPr>
        <w:spacing w:before="120" w:line="276" w:lineRule="auto"/>
        <w:jc w:val="both"/>
        <w:rPr>
          <w:rFonts w:ascii="Arial" w:hAnsi="Arial" w:cs="Arial"/>
          <w:color w:val="000000" w:themeColor="text1"/>
          <w:sz w:val="22"/>
        </w:rPr>
      </w:pPr>
      <w:r w:rsidRPr="00305940">
        <w:rPr>
          <w:rFonts w:ascii="Arial" w:hAnsi="Arial" w:cs="Arial"/>
          <w:color w:val="000000" w:themeColor="text1"/>
          <w:sz w:val="22"/>
        </w:rPr>
        <w:t>Este concepto tiene el alcance previsto en el artículo 28 del Código de Procedimiento Administrativo y de lo Contencioso Administrativo.</w:t>
      </w:r>
    </w:p>
    <w:p w14:paraId="72D903C3" w14:textId="77777777" w:rsidR="00AF4983" w:rsidRPr="00305940" w:rsidRDefault="00AF4983" w:rsidP="00AF4983">
      <w:pPr>
        <w:ind w:firstLine="709"/>
        <w:jc w:val="both"/>
        <w:rPr>
          <w:rFonts w:ascii="Arial" w:hAnsi="Arial" w:cs="Arial"/>
          <w:color w:val="000000" w:themeColor="text1"/>
          <w:sz w:val="22"/>
        </w:rPr>
      </w:pPr>
    </w:p>
    <w:p w14:paraId="0A7244F5" w14:textId="77777777" w:rsidR="00AF4983" w:rsidRPr="006C15D5" w:rsidRDefault="00AF4983" w:rsidP="00AF4983">
      <w:pPr>
        <w:jc w:val="both"/>
        <w:rPr>
          <w:rFonts w:ascii="Arial" w:eastAsia="Times New Roman" w:hAnsi="Arial" w:cs="Arial"/>
          <w:color w:val="000000" w:themeColor="text1"/>
          <w:sz w:val="22"/>
          <w:lang w:eastAsia="es-CO"/>
        </w:rPr>
      </w:pPr>
      <w:r w:rsidRPr="006C15D5">
        <w:rPr>
          <w:rFonts w:ascii="Arial" w:eastAsia="Times New Roman" w:hAnsi="Arial" w:cs="Arial"/>
          <w:color w:val="000000" w:themeColor="text1"/>
          <w:sz w:val="22"/>
          <w:lang w:eastAsia="es-CO"/>
        </w:rPr>
        <w:t>Atentamente,</w:t>
      </w:r>
    </w:p>
    <w:p w14:paraId="5CCC1AE2" w14:textId="65405389" w:rsidR="00AF4983" w:rsidRDefault="004B54FA" w:rsidP="00AF4983">
      <w:pPr>
        <w:jc w:val="center"/>
        <w:rPr>
          <w:rFonts w:ascii="Arial" w:eastAsia="Times New Roman" w:hAnsi="Arial" w:cs="Arial"/>
          <w:color w:val="000000" w:themeColor="text1"/>
          <w:sz w:val="18"/>
          <w:szCs w:val="20"/>
          <w:lang w:eastAsia="es-CO"/>
        </w:rPr>
      </w:pPr>
      <w:r>
        <w:rPr>
          <w:noProof/>
        </w:rPr>
        <w:drawing>
          <wp:inline distT="0" distB="0" distL="0" distR="0" wp14:anchorId="6FD19DBC" wp14:editId="45580536">
            <wp:extent cx="2773144" cy="988695"/>
            <wp:effectExtent l="0" t="0" r="0" b="0"/>
            <wp:docPr id="1877294766"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1D302C91" w14:textId="77777777" w:rsidR="00AF4983" w:rsidRPr="006C15D5" w:rsidRDefault="00AF4983" w:rsidP="00AF4983">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F4983" w:rsidRPr="003F6D32" w14:paraId="0C23F55F" w14:textId="77777777" w:rsidTr="00EB3EF5">
        <w:trPr>
          <w:trHeight w:val="315"/>
        </w:trPr>
        <w:tc>
          <w:tcPr>
            <w:tcW w:w="812" w:type="dxa"/>
            <w:vAlign w:val="center"/>
            <w:hideMark/>
          </w:tcPr>
          <w:p w14:paraId="5C2A6FB2" w14:textId="77777777" w:rsidR="00AF4983" w:rsidRPr="006C15D5" w:rsidRDefault="00AF4983" w:rsidP="00EB3EF5">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630BE245" w14:textId="77777777" w:rsidR="00AF4983" w:rsidRPr="006C15D5" w:rsidRDefault="00AF4983" w:rsidP="00EB3EF5">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Sara Milena Núñez Aldana</w:t>
            </w:r>
          </w:p>
          <w:p w14:paraId="59F44C67" w14:textId="77777777" w:rsidR="00AF4983" w:rsidRPr="006C15D5" w:rsidRDefault="00AF4983" w:rsidP="00EB3EF5">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Analista T2 – Grado 06 Subdirección de Gestión Contractual </w:t>
            </w:r>
          </w:p>
        </w:tc>
      </w:tr>
      <w:tr w:rsidR="00AF4983" w:rsidRPr="003F6D32" w14:paraId="0534E7EB" w14:textId="77777777" w:rsidTr="00EB3EF5">
        <w:trPr>
          <w:trHeight w:val="330"/>
        </w:trPr>
        <w:tc>
          <w:tcPr>
            <w:tcW w:w="812" w:type="dxa"/>
            <w:vAlign w:val="center"/>
            <w:hideMark/>
          </w:tcPr>
          <w:p w14:paraId="5A88EAD8" w14:textId="77777777" w:rsidR="00AF4983" w:rsidRPr="006C15D5" w:rsidRDefault="00AF4983" w:rsidP="00EB3EF5">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1A63630" w14:textId="77777777" w:rsidR="00AF4983" w:rsidRPr="006C15D5" w:rsidRDefault="00AF4983" w:rsidP="00EB3EF5">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Cristian Andrés Díaz Díez</w:t>
            </w:r>
          </w:p>
          <w:p w14:paraId="7079A17B" w14:textId="77777777" w:rsidR="00AF4983" w:rsidRPr="006C15D5" w:rsidRDefault="00AF4983" w:rsidP="00EB3EF5">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Contratista, </w:t>
            </w:r>
            <w:r w:rsidRPr="006C15D5">
              <w:rPr>
                <w:rFonts w:ascii="Arial" w:eastAsia="Times New Roman" w:hAnsi="Arial" w:cs="Arial"/>
                <w:color w:val="000000" w:themeColor="text1"/>
                <w:sz w:val="16"/>
                <w:szCs w:val="16"/>
                <w:lang w:eastAsia="es-ES"/>
              </w:rPr>
              <w:t>Subdirec</w:t>
            </w:r>
            <w:r>
              <w:rPr>
                <w:rFonts w:ascii="Arial" w:eastAsia="Times New Roman" w:hAnsi="Arial" w:cs="Arial"/>
                <w:color w:val="000000" w:themeColor="text1"/>
                <w:sz w:val="16"/>
                <w:szCs w:val="16"/>
                <w:lang w:eastAsia="es-ES"/>
              </w:rPr>
              <w:t>ción</w:t>
            </w:r>
            <w:r w:rsidRPr="006C15D5">
              <w:rPr>
                <w:rFonts w:ascii="Arial" w:eastAsia="Times New Roman" w:hAnsi="Arial" w:cs="Arial"/>
                <w:color w:val="000000" w:themeColor="text1"/>
                <w:sz w:val="16"/>
                <w:szCs w:val="16"/>
                <w:lang w:eastAsia="es-ES"/>
              </w:rPr>
              <w:t xml:space="preserve"> de Gestión Contractual</w:t>
            </w:r>
          </w:p>
        </w:tc>
      </w:tr>
      <w:tr w:rsidR="00AF4983" w:rsidRPr="003F6D32" w14:paraId="089D41E0" w14:textId="77777777" w:rsidTr="00EB3EF5">
        <w:trPr>
          <w:trHeight w:val="300"/>
        </w:trPr>
        <w:tc>
          <w:tcPr>
            <w:tcW w:w="812" w:type="dxa"/>
            <w:vAlign w:val="center"/>
            <w:hideMark/>
          </w:tcPr>
          <w:p w14:paraId="59B1DC24" w14:textId="77777777" w:rsidR="00AF4983" w:rsidRPr="006C15D5" w:rsidRDefault="00AF4983" w:rsidP="00EB3EF5">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7572CA5" w14:textId="77777777" w:rsidR="00AF4983" w:rsidRPr="006C15D5" w:rsidRDefault="00AF4983" w:rsidP="00EB3EF5">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Fabián Gonzalo Marín Cortés</w:t>
            </w:r>
          </w:p>
          <w:p w14:paraId="06586813" w14:textId="77777777" w:rsidR="00AF4983" w:rsidRPr="006C15D5" w:rsidRDefault="00AF4983" w:rsidP="00EB3EF5">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Subdirector de Gestión Contractual</w:t>
            </w:r>
          </w:p>
        </w:tc>
      </w:tr>
    </w:tbl>
    <w:p w14:paraId="13F4DEDB" w14:textId="77777777" w:rsidR="00AF4983" w:rsidRPr="006C15D5" w:rsidRDefault="00AF4983" w:rsidP="00AF4983">
      <w:pPr>
        <w:rPr>
          <w:rFonts w:ascii="Arial" w:hAnsi="Arial" w:cs="Arial"/>
          <w:color w:val="000000" w:themeColor="text1"/>
        </w:rPr>
      </w:pPr>
    </w:p>
    <w:p w14:paraId="34163F0B" w14:textId="77777777" w:rsidR="00AF4983" w:rsidRDefault="00AF4983" w:rsidP="00AF4983">
      <w:pPr>
        <w:jc w:val="both"/>
        <w:rPr>
          <w:rFonts w:ascii="Arial" w:eastAsia="Calibri" w:hAnsi="Arial" w:cs="Arial"/>
          <w:color w:val="4E4D4D"/>
          <w:sz w:val="22"/>
        </w:rPr>
      </w:pPr>
    </w:p>
    <w:p w14:paraId="7EBF297E" w14:textId="77777777" w:rsidR="007B0854" w:rsidRPr="00AF4983" w:rsidRDefault="007B0854" w:rsidP="00AF4983"/>
    <w:sectPr w:rsidR="007B0854" w:rsidRPr="00AF4983"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AA443" w14:textId="77777777" w:rsidR="00C24CE3" w:rsidRDefault="00C24CE3">
      <w:r>
        <w:separator/>
      </w:r>
    </w:p>
  </w:endnote>
  <w:endnote w:type="continuationSeparator" w:id="0">
    <w:p w14:paraId="78CF9D3C" w14:textId="77777777" w:rsidR="00C24CE3" w:rsidRDefault="00C2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AF6ED3" w:rsidRDefault="00AF6ED3" w:rsidP="007B0854">
    <w:pPr>
      <w:pStyle w:val="Sinespaciado"/>
      <w:jc w:val="center"/>
      <w:rPr>
        <w:rFonts w:ascii="Arial" w:hAnsi="Arial" w:cs="Arial"/>
        <w:sz w:val="18"/>
        <w:szCs w:val="18"/>
      </w:rPr>
    </w:pPr>
  </w:p>
  <w:p w14:paraId="312C4A14" w14:textId="2BF74C95" w:rsidR="00AF6ED3" w:rsidRPr="005A79FE" w:rsidRDefault="00AF6ED3"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84257">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84257">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p>
  <w:p w14:paraId="48FC6A04" w14:textId="0E0B8C38" w:rsidR="00AF6ED3" w:rsidRDefault="1E43E16B" w:rsidP="007B0854">
    <w:pPr>
      <w:pStyle w:val="Piedepgina"/>
      <w:jc w:val="center"/>
      <w:rPr>
        <w:lang w:val="es-ES"/>
      </w:rPr>
    </w:pPr>
    <w:r>
      <w:rPr>
        <w:noProof/>
      </w:rPr>
      <w:drawing>
        <wp:inline distT="0" distB="0" distL="0" distR="0" wp14:anchorId="608B196D" wp14:editId="6BE1B073">
          <wp:extent cx="4241994" cy="595165"/>
          <wp:effectExtent l="0" t="0" r="6350" b="0"/>
          <wp:docPr id="50484586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AF6ED3" w:rsidRPr="007B0854" w:rsidRDefault="00AF6ED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4B6B5" w14:textId="77777777" w:rsidR="00C24CE3" w:rsidRDefault="00C24CE3">
      <w:r>
        <w:separator/>
      </w:r>
    </w:p>
  </w:footnote>
  <w:footnote w:type="continuationSeparator" w:id="0">
    <w:p w14:paraId="00D44D4E" w14:textId="77777777" w:rsidR="00C24CE3" w:rsidRDefault="00C24CE3">
      <w:r>
        <w:continuationSeparator/>
      </w:r>
    </w:p>
  </w:footnote>
  <w:footnote w:id="1">
    <w:p w14:paraId="013DC0EB" w14:textId="77777777" w:rsidR="00AF4983" w:rsidRDefault="00AF4983" w:rsidP="00AF4983">
      <w:pPr>
        <w:pStyle w:val="Textonotapie"/>
        <w:ind w:firstLine="708"/>
        <w:jc w:val="both"/>
        <w:rPr>
          <w:rFonts w:ascii="Arial" w:eastAsia="Calibri"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eastAsia="Calibri" w:hAnsi="Arial" w:cs="Arial"/>
          <w:color w:val="000000" w:themeColor="text1"/>
          <w:sz w:val="19"/>
          <w:szCs w:val="19"/>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391EAF91" w14:textId="77777777" w:rsidR="00AF4983" w:rsidRDefault="00AF4983" w:rsidP="00AF4983">
      <w:pPr>
        <w:pStyle w:val="Textonotapie"/>
        <w:ind w:firstLine="708"/>
        <w:jc w:val="both"/>
        <w:rPr>
          <w:rFonts w:ascii="Arial" w:eastAsia="Calibri" w:hAnsi="Arial" w:cs="Arial"/>
          <w:color w:val="000000" w:themeColor="text1"/>
          <w:sz w:val="19"/>
          <w:szCs w:val="19"/>
        </w:rPr>
      </w:pPr>
      <w:r>
        <w:rPr>
          <w:rFonts w:ascii="Arial" w:eastAsia="Calibri" w:hAnsi="Arial" w:cs="Arial"/>
          <w:color w:val="000000" w:themeColor="text1"/>
          <w:sz w:val="19"/>
          <w:szCs w:val="19"/>
        </w:rPr>
        <w:t>[…]</w:t>
      </w:r>
    </w:p>
    <w:p w14:paraId="6942305B" w14:textId="77777777" w:rsidR="00AF4983" w:rsidRDefault="00AF4983" w:rsidP="00AF4983">
      <w:pPr>
        <w:pStyle w:val="Textonotapie"/>
        <w:ind w:firstLine="708"/>
        <w:jc w:val="both"/>
        <w:rPr>
          <w:rFonts w:ascii="Arial" w:hAnsi="Arial" w:cs="Arial"/>
          <w:color w:val="000000" w:themeColor="text1"/>
          <w:sz w:val="19"/>
          <w:szCs w:val="19"/>
          <w:lang w:val="es-CO"/>
        </w:rPr>
      </w:pPr>
      <w:proofErr w:type="gramStart"/>
      <w:r>
        <w:rPr>
          <w:rFonts w:ascii="Arial" w:eastAsia="Calibri" w:hAnsi="Arial" w:cs="Arial"/>
          <w:color w:val="000000" w:themeColor="text1"/>
          <w:sz w:val="19"/>
          <w:szCs w:val="19"/>
        </w:rPr>
        <w:t>»Capacidad</w:t>
      </w:r>
      <w:proofErr w:type="gramEnd"/>
      <w:r>
        <w:rPr>
          <w:rFonts w:ascii="Arial" w:eastAsia="Calibri" w:hAnsi="Arial" w:cs="Arial"/>
          <w:color w:val="000000" w:themeColor="text1"/>
          <w:sz w:val="19"/>
          <w:szCs w:val="19"/>
        </w:rPr>
        <w:t xml:space="preserve"> Residual o K de Contratación: Aptitud de un oferente para cumplir oportuna y cabalmente con el objeto de un contrato de obra, sin que sus otros compromisos contractuales afecten su habilidad de cumplir con el contrato que está en proceso de selección».</w:t>
      </w:r>
      <w:r>
        <w:rPr>
          <w:rFonts w:ascii="Arial" w:hAnsi="Arial" w:cs="Arial"/>
          <w:color w:val="000000" w:themeColor="text1"/>
          <w:sz w:val="19"/>
          <w:szCs w:val="19"/>
          <w:lang w:val="es-CO"/>
        </w:rPr>
        <w:t xml:space="preserve"> </w:t>
      </w:r>
    </w:p>
    <w:p w14:paraId="2B4600D5" w14:textId="77777777" w:rsidR="00AF4983" w:rsidRDefault="00AF4983" w:rsidP="00AF4983">
      <w:pPr>
        <w:pStyle w:val="Textonotapie"/>
        <w:spacing w:line="276" w:lineRule="auto"/>
        <w:jc w:val="both"/>
        <w:rPr>
          <w:rFonts w:ascii="Arial" w:hAnsi="Arial" w:cs="Arial"/>
          <w:color w:val="000000" w:themeColor="text1"/>
          <w:sz w:val="19"/>
          <w:szCs w:val="19"/>
          <w:lang w:val="es-CO"/>
        </w:rPr>
      </w:pPr>
    </w:p>
  </w:footnote>
  <w:footnote w:id="2">
    <w:p w14:paraId="379AA2D4" w14:textId="77777777" w:rsidR="00AF4983" w:rsidRDefault="00AF4983" w:rsidP="00AF4983">
      <w:pPr>
        <w:pStyle w:val="Textonotapie"/>
        <w:spacing w:line="276" w:lineRule="auto"/>
        <w:ind w:firstLine="708"/>
        <w:jc w:val="both"/>
        <w:rPr>
          <w:rFonts w:ascii="Arial" w:hAnsi="Arial" w:cs="Arial"/>
          <w:color w:val="000000" w:themeColor="text1"/>
          <w:sz w:val="19"/>
          <w:szCs w:val="19"/>
          <w:lang w:val="es-CO"/>
        </w:rPr>
      </w:pPr>
      <w:r>
        <w:rPr>
          <w:rFonts w:ascii="Arial" w:eastAsia="Calibri" w:hAnsi="Arial" w:cs="Arial"/>
          <w:color w:val="000000" w:themeColor="text1"/>
          <w:sz w:val="19"/>
          <w:szCs w:val="19"/>
          <w:vertAlign w:val="superscript"/>
        </w:rPr>
        <w:footnoteRef/>
      </w:r>
      <w:r>
        <w:rPr>
          <w:rFonts w:ascii="Arial" w:eastAsia="Calibri" w:hAnsi="Arial" w:cs="Arial"/>
          <w:color w:val="000000" w:themeColor="text1"/>
          <w:sz w:val="19"/>
          <w:szCs w:val="19"/>
          <w:vertAlign w:val="superscript"/>
        </w:rPr>
        <w:t xml:space="preserve"> </w:t>
      </w:r>
      <w:r>
        <w:rPr>
          <w:rFonts w:ascii="Arial" w:eastAsia="Calibri" w:hAnsi="Arial" w:cs="Arial"/>
          <w:color w:val="000000" w:themeColor="text1"/>
          <w:sz w:val="19"/>
          <w:szCs w:val="19"/>
        </w:rPr>
        <w:t xml:space="preserve">CONSEJO DE ESTADO. Sección Tercera. Sentencia del 26 de junio de 2003. Rad. 13.354. C.P: María Elena Giraldo Gómez. </w:t>
      </w:r>
    </w:p>
  </w:footnote>
  <w:footnote w:id="3">
    <w:p w14:paraId="42656260" w14:textId="77777777" w:rsidR="00AF4983" w:rsidRPr="005910B3" w:rsidRDefault="00AF4983" w:rsidP="00AF4983">
      <w:pPr>
        <w:pStyle w:val="NormalWeb"/>
        <w:shd w:val="clear" w:color="auto" w:fill="FFFFFF"/>
        <w:spacing w:before="0" w:beforeAutospacing="0" w:after="150" w:afterAutospacing="0"/>
        <w:ind w:firstLine="708"/>
        <w:jc w:val="both"/>
        <w:rPr>
          <w:rFonts w:ascii="Arial" w:eastAsia="Calibri" w:hAnsi="Arial" w:cs="Arial"/>
          <w:color w:val="000000" w:themeColor="text1"/>
          <w:sz w:val="19"/>
          <w:szCs w:val="19"/>
          <w:lang w:val="es-MX" w:eastAsia="en-US"/>
        </w:rPr>
      </w:pPr>
      <w:r>
        <w:rPr>
          <w:rStyle w:val="Refdenotaalpie"/>
        </w:rPr>
        <w:footnoteRef/>
      </w:r>
      <w:r>
        <w:t xml:space="preserve"> </w:t>
      </w:r>
      <w:r w:rsidRPr="005910B3">
        <w:rPr>
          <w:rFonts w:ascii="Arial" w:eastAsia="Calibri" w:hAnsi="Arial" w:cs="Arial"/>
          <w:color w:val="000000" w:themeColor="text1"/>
          <w:sz w:val="19"/>
          <w:szCs w:val="19"/>
          <w:lang w:val="es-MX" w:eastAsia="en-US"/>
        </w:rPr>
        <w:t xml:space="preserve">Decreto 1082 de 2015. </w:t>
      </w:r>
      <w:r>
        <w:rPr>
          <w:rFonts w:ascii="Arial" w:eastAsia="Calibri" w:hAnsi="Arial" w:cs="Arial"/>
          <w:color w:val="000000" w:themeColor="text1"/>
          <w:sz w:val="19"/>
          <w:szCs w:val="19"/>
          <w:lang w:val="es-MX" w:eastAsia="en-US"/>
        </w:rPr>
        <w:t>«</w:t>
      </w:r>
      <w:r w:rsidRPr="005910B3">
        <w:rPr>
          <w:rFonts w:ascii="Arial" w:eastAsia="Calibri" w:hAnsi="Arial" w:cs="Arial"/>
          <w:color w:val="000000" w:themeColor="text1"/>
          <w:sz w:val="19"/>
          <w:szCs w:val="19"/>
          <w:lang w:val="es-MX" w:eastAsia="en-US"/>
        </w:rPr>
        <w:t>Artículo 2.2.1.1.1.6.4. Capacidad Residual. El interesado en celebrar contratos de obra pública con Entidades Estatales debe acreditar su Capacidad Residual o K de Contratación con los siguientes documentos:</w:t>
      </w:r>
    </w:p>
    <w:p w14:paraId="467BE207" w14:textId="77777777" w:rsidR="00AF4983" w:rsidRDefault="00AF4983" w:rsidP="00AF4983">
      <w:pPr>
        <w:shd w:val="clear" w:color="auto" w:fill="FFFFFF"/>
        <w:ind w:firstLine="709"/>
        <w:jc w:val="both"/>
        <w:rPr>
          <w:rFonts w:ascii="Arial" w:eastAsia="Calibri" w:hAnsi="Arial" w:cs="Arial"/>
          <w:color w:val="000000" w:themeColor="text1"/>
          <w:sz w:val="19"/>
          <w:szCs w:val="19"/>
        </w:rPr>
      </w:pPr>
      <w:r>
        <w:rPr>
          <w:rFonts w:ascii="Arial" w:eastAsia="Calibri" w:hAnsi="Arial" w:cs="Arial"/>
          <w:color w:val="000000" w:themeColor="text1"/>
          <w:sz w:val="19"/>
          <w:szCs w:val="19"/>
        </w:rPr>
        <w:t>»</w:t>
      </w:r>
      <w:r w:rsidRPr="005910B3">
        <w:rPr>
          <w:rFonts w:ascii="Arial" w:eastAsia="Calibri" w:hAnsi="Arial" w:cs="Arial"/>
          <w:color w:val="000000" w:themeColor="text1"/>
          <w:sz w:val="19"/>
          <w:szCs w:val="19"/>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199B08A0" w14:textId="77777777" w:rsidR="00AF4983" w:rsidRPr="005910B3" w:rsidRDefault="00AF4983" w:rsidP="00AF4983">
      <w:pPr>
        <w:shd w:val="clear" w:color="auto" w:fill="FFFFFF"/>
        <w:ind w:firstLine="709"/>
        <w:jc w:val="both"/>
        <w:rPr>
          <w:rFonts w:ascii="Arial" w:eastAsia="Calibri" w:hAnsi="Arial" w:cs="Arial"/>
          <w:color w:val="000000" w:themeColor="text1"/>
          <w:sz w:val="19"/>
          <w:szCs w:val="19"/>
        </w:rPr>
      </w:pPr>
      <w:r>
        <w:rPr>
          <w:rFonts w:ascii="Arial" w:eastAsia="Calibri" w:hAnsi="Arial" w:cs="Arial"/>
          <w:color w:val="000000" w:themeColor="text1"/>
          <w:sz w:val="19"/>
          <w:szCs w:val="19"/>
        </w:rPr>
        <w:t>»</w:t>
      </w:r>
      <w:r w:rsidRPr="005910B3">
        <w:rPr>
          <w:rFonts w:ascii="Arial" w:eastAsia="Calibri" w:hAnsi="Arial" w:cs="Arial"/>
          <w:color w:val="000000" w:themeColor="text1"/>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6BA6B30C" w14:textId="77777777" w:rsidR="00AF4983" w:rsidRPr="005910B3" w:rsidRDefault="00AF4983" w:rsidP="00AF4983">
      <w:pPr>
        <w:shd w:val="clear" w:color="auto" w:fill="FFFFFF"/>
        <w:spacing w:after="150"/>
        <w:ind w:firstLine="708"/>
        <w:jc w:val="both"/>
        <w:rPr>
          <w:rFonts w:ascii="Arial" w:eastAsia="Calibri" w:hAnsi="Arial" w:cs="Arial"/>
          <w:color w:val="000000" w:themeColor="text1"/>
          <w:sz w:val="19"/>
          <w:szCs w:val="19"/>
        </w:rPr>
      </w:pPr>
      <w:r>
        <w:rPr>
          <w:rFonts w:ascii="Arial" w:eastAsia="Calibri" w:hAnsi="Arial" w:cs="Arial"/>
          <w:color w:val="000000" w:themeColor="text1"/>
          <w:sz w:val="19"/>
          <w:szCs w:val="19"/>
        </w:rPr>
        <w:t>»</w:t>
      </w:r>
      <w:r w:rsidRPr="005910B3">
        <w:rPr>
          <w:rFonts w:ascii="Arial" w:eastAsia="Calibri" w:hAnsi="Arial" w:cs="Arial"/>
          <w:color w:val="000000" w:themeColor="text1"/>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r>
        <w:rPr>
          <w:rFonts w:ascii="Arial" w:eastAsia="Calibri" w:hAnsi="Arial" w:cs="Arial"/>
          <w:color w:val="000000" w:themeColor="text1"/>
          <w:sz w:val="19"/>
          <w:szCs w:val="19"/>
        </w:rPr>
        <w:t>»</w:t>
      </w:r>
      <w:r w:rsidRPr="005910B3">
        <w:rPr>
          <w:rFonts w:ascii="Arial" w:eastAsia="Calibri" w:hAnsi="Arial" w:cs="Arial"/>
          <w:color w:val="000000" w:themeColor="text1"/>
          <w:sz w:val="19"/>
          <w:szCs w:val="19"/>
        </w:rPr>
        <w:t>.</w:t>
      </w:r>
    </w:p>
  </w:footnote>
  <w:footnote w:id="4">
    <w:p w14:paraId="752FB3CA" w14:textId="77777777" w:rsidR="00AF4983" w:rsidRPr="00555ED1" w:rsidRDefault="00AF4983" w:rsidP="00AF4983">
      <w:pPr>
        <w:pStyle w:val="Textonotapie"/>
        <w:ind w:firstLine="708"/>
        <w:jc w:val="both"/>
        <w:rPr>
          <w:rFonts w:ascii="Arial" w:eastAsia="Calibri" w:hAnsi="Arial" w:cs="Arial"/>
          <w:color w:val="000000" w:themeColor="text1"/>
          <w:sz w:val="19"/>
          <w:szCs w:val="19"/>
        </w:rPr>
      </w:pPr>
      <w:r>
        <w:rPr>
          <w:rStyle w:val="Refdenotaalpie"/>
        </w:rPr>
        <w:footnoteRef/>
      </w:r>
      <w:r>
        <w:t xml:space="preserve"> </w:t>
      </w:r>
      <w:r w:rsidRPr="00555ED1">
        <w:rPr>
          <w:rFonts w:ascii="Arial" w:eastAsia="Calibri" w:hAnsi="Arial" w:cs="Arial"/>
          <w:color w:val="000000" w:themeColor="text1"/>
          <w:sz w:val="19"/>
          <w:szCs w:val="19"/>
        </w:rPr>
        <w:t xml:space="preserve">Ley </w:t>
      </w:r>
      <w:r>
        <w:rPr>
          <w:rFonts w:ascii="Arial" w:eastAsia="Calibri" w:hAnsi="Arial" w:cs="Arial"/>
          <w:color w:val="000000" w:themeColor="text1"/>
          <w:sz w:val="19"/>
          <w:szCs w:val="19"/>
        </w:rPr>
        <w:t>43 de 1990: «</w:t>
      </w:r>
      <w:r w:rsidRPr="00555ED1">
        <w:rPr>
          <w:rFonts w:ascii="Arial" w:eastAsia="Calibri" w:hAnsi="Arial" w:cs="Arial"/>
          <w:color w:val="000000" w:themeColor="text1"/>
          <w:sz w:val="19"/>
          <w:szCs w:val="19"/>
        </w:rPr>
        <w:t>Artículo 10. De la fe pública. La atestación o firma de un Contador Público en los actos propios de su profesión hará presumir, salvo prueba en contrario, que el acto respectivo se ajusta a los requisitos legales, lo mismo que a los estatutarios en casos de personas jurídicas. Tratándose de balances, se presumirá además que los saldos se han tomado fielmente de los libros, que éstos se ajustan a las normas legales y que las cifras registradas en ellos reflejan en forma fidedigna la correspondiente situación financiera en la fecha del balance. Parágrafo. Los Contadores Públicos, cuando otorguen fe pública en materia contable, se asimilarán a funcionarios públicos para efectos de las sanciones penales por los delitos que cometieren en el ejercicio de las actividades propias de su profesión, sin perjuicio de las responsabilidades de orden civil que hubiere lugar conforme a las leyes</w:t>
      </w:r>
      <w:r>
        <w:rPr>
          <w:rFonts w:ascii="Arial" w:eastAsia="Calibri" w:hAnsi="Arial" w:cs="Arial"/>
          <w:color w:val="000000" w:themeColor="text1"/>
          <w:sz w:val="19"/>
          <w:szCs w:val="19"/>
        </w:rPr>
        <w:t>»</w:t>
      </w:r>
      <w:r w:rsidRPr="00555ED1">
        <w:rPr>
          <w:rFonts w:ascii="Arial" w:eastAsia="Calibri" w:hAnsi="Arial" w:cs="Arial"/>
          <w:color w:val="000000" w:themeColor="text1"/>
          <w:sz w:val="19"/>
          <w:szCs w:val="19"/>
        </w:rPr>
        <w:t>.</w:t>
      </w:r>
    </w:p>
  </w:footnote>
  <w:footnote w:id="5">
    <w:p w14:paraId="421143E5" w14:textId="77777777" w:rsidR="00AF4983" w:rsidRPr="006F3E97" w:rsidRDefault="00AF4983" w:rsidP="00AF4983">
      <w:pPr>
        <w:pStyle w:val="Textonotapie"/>
        <w:ind w:firstLine="708"/>
        <w:jc w:val="both"/>
        <w:rPr>
          <w:rFonts w:ascii="Arial" w:eastAsia="Calibri" w:hAnsi="Arial" w:cs="Arial"/>
          <w:color w:val="000000" w:themeColor="text1"/>
          <w:sz w:val="19"/>
          <w:szCs w:val="19"/>
        </w:rPr>
      </w:pPr>
      <w:r>
        <w:rPr>
          <w:rStyle w:val="Refdenotaalpie"/>
        </w:rPr>
        <w:footnoteRef/>
      </w:r>
      <w:r>
        <w:t xml:space="preserve"> </w:t>
      </w:r>
      <w:r w:rsidRPr="006F3E97">
        <w:rPr>
          <w:rFonts w:ascii="Arial" w:eastAsia="Calibri" w:hAnsi="Arial" w:cs="Arial"/>
          <w:color w:val="000000" w:themeColor="text1"/>
          <w:sz w:val="19"/>
          <w:szCs w:val="19"/>
        </w:rPr>
        <w:t>CORTE CONSTITUCIONAL. Sentencia C- 861 de 2008. M.P: Mauricio González Cuervo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AF6ED3" w:rsidRDefault="00AF6ED3">
    <w:pPr>
      <w:pStyle w:val="Encabezado"/>
    </w:pPr>
  </w:p>
  <w:p w14:paraId="6A4C7F2C" w14:textId="7D093DBB" w:rsidR="00AF6ED3" w:rsidRDefault="00AF6ED3">
    <w:pPr>
      <w:pStyle w:val="Encabezado"/>
    </w:pPr>
  </w:p>
  <w:p w14:paraId="055F2E1F" w14:textId="0B935ADD" w:rsidR="00AF6ED3" w:rsidRDefault="00AF6ED3">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AF6ED3" w:rsidRDefault="00AF6ED3">
    <w:pPr>
      <w:pStyle w:val="Encabezado"/>
    </w:pPr>
  </w:p>
  <w:p w14:paraId="3D323BDB" w14:textId="04AF0DE6" w:rsidR="00AF6ED3" w:rsidRDefault="00AF6ED3">
    <w:pPr>
      <w:pStyle w:val="Encabezado"/>
    </w:pPr>
  </w:p>
  <w:p w14:paraId="6520770B" w14:textId="18EB07B5" w:rsidR="00AF6ED3" w:rsidRDefault="00AF6E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7462C18"/>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27784E50"/>
    <w:multiLevelType w:val="hybridMultilevel"/>
    <w:tmpl w:val="3D0C7AA0"/>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2A4F50B7"/>
    <w:multiLevelType w:val="hybridMultilevel"/>
    <w:tmpl w:val="A4168BA4"/>
    <w:lvl w:ilvl="0" w:tplc="E1446EAE">
      <w:start w:val="1"/>
      <w:numFmt w:val="lowerRoman"/>
      <w:lvlText w:val="%1)"/>
      <w:lvlJc w:val="left"/>
      <w:pPr>
        <w:ind w:left="1140" w:hanging="72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5"/>
  </w:num>
  <w:num w:numId="2">
    <w:abstractNumId w:val="4"/>
  </w:num>
  <w:num w:numId="3">
    <w:abstractNumId w:val="7"/>
  </w:num>
  <w:num w:numId="4">
    <w:abstractNumId w:val="8"/>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06388"/>
    <w:rsid w:val="00064775"/>
    <w:rsid w:val="000942EB"/>
    <w:rsid w:val="000B103F"/>
    <w:rsid w:val="000E2D71"/>
    <w:rsid w:val="000F14E8"/>
    <w:rsid w:val="00103915"/>
    <w:rsid w:val="00122B23"/>
    <w:rsid w:val="0013735E"/>
    <w:rsid w:val="00137FFA"/>
    <w:rsid w:val="00146118"/>
    <w:rsid w:val="00184257"/>
    <w:rsid w:val="00197BA8"/>
    <w:rsid w:val="00234B84"/>
    <w:rsid w:val="002552DD"/>
    <w:rsid w:val="003033BA"/>
    <w:rsid w:val="00305940"/>
    <w:rsid w:val="00307F72"/>
    <w:rsid w:val="0034680A"/>
    <w:rsid w:val="00386456"/>
    <w:rsid w:val="003A581E"/>
    <w:rsid w:val="004422D6"/>
    <w:rsid w:val="004778A2"/>
    <w:rsid w:val="00494898"/>
    <w:rsid w:val="00495BDB"/>
    <w:rsid w:val="004A34D2"/>
    <w:rsid w:val="004B54FA"/>
    <w:rsid w:val="0051074C"/>
    <w:rsid w:val="00513AF2"/>
    <w:rsid w:val="0054413A"/>
    <w:rsid w:val="005531E8"/>
    <w:rsid w:val="00555ED1"/>
    <w:rsid w:val="005564CA"/>
    <w:rsid w:val="005910B3"/>
    <w:rsid w:val="005A44B7"/>
    <w:rsid w:val="005A79FE"/>
    <w:rsid w:val="006237DE"/>
    <w:rsid w:val="006312FE"/>
    <w:rsid w:val="0064448D"/>
    <w:rsid w:val="00655371"/>
    <w:rsid w:val="00697665"/>
    <w:rsid w:val="006A7FD0"/>
    <w:rsid w:val="006D7687"/>
    <w:rsid w:val="006E0572"/>
    <w:rsid w:val="006F3E97"/>
    <w:rsid w:val="00705631"/>
    <w:rsid w:val="00742DD2"/>
    <w:rsid w:val="0075647A"/>
    <w:rsid w:val="007634AD"/>
    <w:rsid w:val="0078122E"/>
    <w:rsid w:val="00790124"/>
    <w:rsid w:val="007B0854"/>
    <w:rsid w:val="007F72CB"/>
    <w:rsid w:val="0083119B"/>
    <w:rsid w:val="00836EAB"/>
    <w:rsid w:val="0085092D"/>
    <w:rsid w:val="0089201E"/>
    <w:rsid w:val="0089567A"/>
    <w:rsid w:val="008E1C15"/>
    <w:rsid w:val="009047C5"/>
    <w:rsid w:val="0095385A"/>
    <w:rsid w:val="009C5F92"/>
    <w:rsid w:val="009D6EEF"/>
    <w:rsid w:val="009F767C"/>
    <w:rsid w:val="00A11F0C"/>
    <w:rsid w:val="00A24560"/>
    <w:rsid w:val="00A34538"/>
    <w:rsid w:val="00AA442B"/>
    <w:rsid w:val="00AF4983"/>
    <w:rsid w:val="00AF6ED3"/>
    <w:rsid w:val="00B22E22"/>
    <w:rsid w:val="00B31F5F"/>
    <w:rsid w:val="00B525CB"/>
    <w:rsid w:val="00B63CB2"/>
    <w:rsid w:val="00B65B81"/>
    <w:rsid w:val="00B73BE5"/>
    <w:rsid w:val="00BB1BA6"/>
    <w:rsid w:val="00BD78FE"/>
    <w:rsid w:val="00C24CE3"/>
    <w:rsid w:val="00CA12A6"/>
    <w:rsid w:val="00CA287E"/>
    <w:rsid w:val="00CC00CD"/>
    <w:rsid w:val="00CE5751"/>
    <w:rsid w:val="00D16E39"/>
    <w:rsid w:val="00D355A8"/>
    <w:rsid w:val="00D72E9D"/>
    <w:rsid w:val="00D82CE5"/>
    <w:rsid w:val="00D83B1D"/>
    <w:rsid w:val="00DA5AB1"/>
    <w:rsid w:val="00DC62E5"/>
    <w:rsid w:val="00DD735D"/>
    <w:rsid w:val="00DE3119"/>
    <w:rsid w:val="00DF119A"/>
    <w:rsid w:val="00DF236B"/>
    <w:rsid w:val="00E06BDA"/>
    <w:rsid w:val="00E13AB8"/>
    <w:rsid w:val="00E16D49"/>
    <w:rsid w:val="00E33B62"/>
    <w:rsid w:val="00E4084B"/>
    <w:rsid w:val="00E807C8"/>
    <w:rsid w:val="00EA03D5"/>
    <w:rsid w:val="00F12FF2"/>
    <w:rsid w:val="00F16030"/>
    <w:rsid w:val="00F84899"/>
    <w:rsid w:val="00F859F0"/>
    <w:rsid w:val="00FA6CFE"/>
    <w:rsid w:val="00FE141E"/>
    <w:rsid w:val="1DD29167"/>
    <w:rsid w:val="1E43E16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75"/>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uiPriority w:val="99"/>
    <w:unhideWhenUsed/>
    <w:qFormat/>
    <w:rsid w:val="007B0854"/>
    <w:rPr>
      <w:vertAlign w:val="superscript"/>
    </w:rPr>
  </w:style>
  <w:style w:type="paragraph" w:customStyle="1" w:styleId="InviasNormal">
    <w:name w:val="Invias Normal"/>
    <w:basedOn w:val="Normal"/>
    <w:link w:val="InviasNormalCar"/>
    <w:qFormat/>
    <w:rsid w:val="00CE5751"/>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CE5751"/>
    <w:rPr>
      <w:rFonts w:ascii="Arial Narrow" w:eastAsia="Times New Roman" w:hAnsi="Arial Narrow" w:cs="Times New Roman"/>
      <w:color w:val="3C3C3C"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CE5751"/>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CE5751"/>
    <w:rPr>
      <w:rFonts w:ascii="Arial Narrow" w:eastAsia="Times New Roman" w:hAnsi="Arial Narrow" w:cs="Times New Roman"/>
      <w:sz w:val="24"/>
      <w:szCs w:val="24"/>
      <w:lang w:val="en-US" w:eastAsia="es-ES"/>
    </w:rPr>
  </w:style>
  <w:style w:type="character" w:styleId="Textoennegrita">
    <w:name w:val="Strong"/>
    <w:basedOn w:val="Fuentedeprrafopredeter"/>
    <w:uiPriority w:val="22"/>
    <w:qFormat/>
    <w:rsid w:val="005910B3"/>
    <w:rPr>
      <w:b/>
      <w:bCs/>
    </w:rPr>
  </w:style>
  <w:style w:type="character" w:styleId="nfasis">
    <w:name w:val="Emphasis"/>
    <w:basedOn w:val="Fuentedeprrafopredeter"/>
    <w:uiPriority w:val="20"/>
    <w:qFormat/>
    <w:rsid w:val="005910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78611408">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62608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FFC00-A7F3-4D6B-A2B6-FD8D47ACF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4.xml><?xml version="1.0" encoding="utf-8"?>
<ds:datastoreItem xmlns:ds="http://schemas.openxmlformats.org/officeDocument/2006/customXml" ds:itemID="{7281FB96-223D-4CE8-ACB8-83D238E70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8</Pages>
  <Words>2762</Words>
  <Characters>15192</Characters>
  <Application>Microsoft Office Word</Application>
  <DocSecurity>0</DocSecurity>
  <Lines>126</Lines>
  <Paragraphs>35</Paragraphs>
  <ScaleCrop>false</ScaleCrop>
  <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9</cp:revision>
  <dcterms:created xsi:type="dcterms:W3CDTF">2020-06-23T15:57:00Z</dcterms:created>
  <dcterms:modified xsi:type="dcterms:W3CDTF">2020-08-06T18:08:00Z</dcterms:modified>
</cp:coreProperties>
</file>