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4FF01" w14:textId="77777777" w:rsidR="00E0507A" w:rsidRPr="00F35D4C" w:rsidRDefault="00E0507A" w:rsidP="00E0507A">
      <w:pPr>
        <w:spacing w:line="276" w:lineRule="auto"/>
        <w:jc w:val="right"/>
        <w:rPr>
          <w:rFonts w:ascii="Arial" w:eastAsia="Calibri" w:hAnsi="Arial" w:cs="Arial"/>
          <w:b/>
          <w:bCs/>
          <w:sz w:val="22"/>
        </w:rPr>
      </w:pPr>
      <w:bookmarkStart w:id="0" w:name="_Hlk29890381"/>
      <w:r w:rsidRPr="00F35D4C">
        <w:rPr>
          <w:rFonts w:ascii="Arial" w:eastAsia="Times New Roman" w:hAnsi="Arial" w:cs="Arial"/>
          <w:b/>
          <w:bCs/>
          <w:sz w:val="16"/>
          <w:szCs w:val="16"/>
          <w:lang w:eastAsia="es-ES"/>
        </w:rPr>
        <w:t>CCE-DES-FM-17</w:t>
      </w:r>
    </w:p>
    <w:p w14:paraId="57F79D35" w14:textId="77777777" w:rsidR="00E0507A" w:rsidRPr="00274D0F" w:rsidRDefault="00E0507A" w:rsidP="00E0507A">
      <w:pPr>
        <w:jc w:val="both"/>
        <w:rPr>
          <w:rFonts w:ascii="Arial" w:eastAsia="Calibri" w:hAnsi="Arial" w:cs="Arial"/>
          <w:b/>
          <w:sz w:val="16"/>
          <w:szCs w:val="16"/>
        </w:rPr>
      </w:pPr>
    </w:p>
    <w:p w14:paraId="5156DDE8" w14:textId="77777777" w:rsidR="00E0507A" w:rsidRPr="00333887" w:rsidRDefault="00E0507A" w:rsidP="00E0507A">
      <w:pPr>
        <w:jc w:val="both"/>
        <w:rPr>
          <w:rFonts w:ascii="Arial" w:eastAsia="Calibri" w:hAnsi="Arial" w:cs="Arial"/>
          <w:b/>
          <w:bCs/>
          <w:color w:val="000000" w:themeColor="text1"/>
          <w:sz w:val="22"/>
        </w:rPr>
      </w:pPr>
      <w:r w:rsidRPr="09CA183D">
        <w:rPr>
          <w:rFonts w:ascii="Arial" w:eastAsia="Calibri" w:hAnsi="Arial" w:cs="Arial"/>
          <w:b/>
          <w:bCs/>
          <w:color w:val="000000" w:themeColor="text1"/>
          <w:sz w:val="22"/>
        </w:rPr>
        <w:t>DOCUMENTOS TIPO – Oferta económica – Método ponderación – Determinación</w:t>
      </w:r>
    </w:p>
    <w:p w14:paraId="0C8BFD74" w14:textId="77777777" w:rsidR="00E0507A" w:rsidRPr="00333887" w:rsidRDefault="00E0507A" w:rsidP="00E0507A">
      <w:pPr>
        <w:jc w:val="both"/>
        <w:rPr>
          <w:rFonts w:ascii="Arial" w:eastAsia="Calibri" w:hAnsi="Arial" w:cs="Arial"/>
          <w:b/>
          <w:color w:val="000000" w:themeColor="text1"/>
          <w:sz w:val="20"/>
          <w:szCs w:val="20"/>
        </w:rPr>
      </w:pPr>
    </w:p>
    <w:p w14:paraId="7186FB64" w14:textId="77777777" w:rsidR="00E0507A" w:rsidRPr="00333887" w:rsidRDefault="00E0507A" w:rsidP="001E05A6">
      <w:pPr>
        <w:spacing w:after="120"/>
        <w:jc w:val="both"/>
        <w:rPr>
          <w:rFonts w:ascii="Arial" w:eastAsia="Calibri" w:hAnsi="Arial" w:cs="Arial"/>
          <w:color w:val="000000" w:themeColor="text1"/>
          <w:sz w:val="20"/>
          <w:szCs w:val="20"/>
        </w:rPr>
      </w:pPr>
      <w:r w:rsidRPr="00333887">
        <w:rPr>
          <w:rFonts w:ascii="Arial" w:eastAsia="Calibri" w:hAnsi="Arial" w:cs="Arial"/>
          <w:color w:val="000000" w:themeColor="text1"/>
          <w:sz w:val="20"/>
          <w:szCs w:val="20"/>
        </w:rPr>
        <w:t>Como se observa, la determinación del método para la ponderación de la oferta económica, primero, es aleatoria, tal y como lo dispone el artículo 30, parágrafo 3, inciso 3, de la Ley 80 de 1993, adicionado por el artículo 1 de la Ley 1882 de 2018; segundo, se hace de acuerdo con las tablas previamente transcritas; y, tercera, depende de los centavos de la tasa representativa del mercado. Por ejemplo, si la tasa de representativa del mercado a tener en cuenta es de 3.947,79, el método que se tiene que aplicar es el número 4, esto es, «menor valor», en el caso de la versión 2 de los Pliegos Tipo, o la «media aritmética baja», para el caso de la versión 1 de los Documentos Tipo, en ambos casos porque los centavos de la tasa tomada como ejemplo, son setenta y nueve, esto es, 0.79 si tal cifra se determina en relación en el peso que es la unidad de referencia: setenta y nueve centavos de peso.</w:t>
      </w:r>
    </w:p>
    <w:p w14:paraId="62672AA1" w14:textId="77777777" w:rsidR="00E0507A" w:rsidRPr="00333887" w:rsidRDefault="00E0507A" w:rsidP="001E05A6">
      <w:pPr>
        <w:spacing w:after="120"/>
        <w:jc w:val="both"/>
        <w:rPr>
          <w:rFonts w:ascii="Arial" w:eastAsia="Calibri" w:hAnsi="Arial" w:cs="Arial"/>
          <w:color w:val="000000" w:themeColor="text1"/>
          <w:sz w:val="20"/>
          <w:szCs w:val="20"/>
        </w:rPr>
      </w:pPr>
      <w:r w:rsidRPr="00333887">
        <w:rPr>
          <w:rFonts w:ascii="Arial" w:eastAsia="Calibri" w:hAnsi="Arial" w:cs="Arial"/>
          <w:color w:val="000000" w:themeColor="text1"/>
          <w:sz w:val="20"/>
          <w:szCs w:val="20"/>
        </w:rPr>
        <w:t xml:space="preserve">La versión de los Pliegos Tipo para tener en cuenta depende de la fecha de inicio del proceso contractual o, eventualmente, de la publicación del aviso de convocatoria, en los términos del artículo 3 de la Resolución 0045 del 14 de febrero de 2020, expedida por la Agencia Nacional de Contratación Estatal. En términos generales, si el proceso de contratación inició el o después del 10 de marzo del año en curso o, excepcionalmente, si inició antes, pero para ese momento aún no se había publicado el aviso de convocatoria, las entidades púbicas están obligadas </w:t>
      </w:r>
      <w:proofErr w:type="gramStart"/>
      <w:r w:rsidRPr="00333887">
        <w:rPr>
          <w:rFonts w:ascii="Arial" w:eastAsia="Calibri" w:hAnsi="Arial" w:cs="Arial"/>
          <w:color w:val="000000" w:themeColor="text1"/>
          <w:sz w:val="20"/>
          <w:szCs w:val="20"/>
        </w:rPr>
        <w:t>a</w:t>
      </w:r>
      <w:proofErr w:type="gramEnd"/>
      <w:r w:rsidRPr="00333887">
        <w:rPr>
          <w:rFonts w:ascii="Arial" w:eastAsia="Calibri" w:hAnsi="Arial" w:cs="Arial"/>
          <w:color w:val="000000" w:themeColor="text1"/>
          <w:sz w:val="20"/>
          <w:szCs w:val="20"/>
        </w:rPr>
        <w:t xml:space="preserve"> tener en cuenta y utilizar la versión número dos.</w:t>
      </w:r>
    </w:p>
    <w:p w14:paraId="2ADB53B5" w14:textId="77777777" w:rsidR="00E0507A" w:rsidRPr="00333887" w:rsidRDefault="00E0507A" w:rsidP="00E0507A">
      <w:pPr>
        <w:jc w:val="both"/>
        <w:rPr>
          <w:rFonts w:ascii="Arial" w:eastAsia="Calibri" w:hAnsi="Arial" w:cs="Arial"/>
          <w:color w:val="000000" w:themeColor="text1"/>
          <w:sz w:val="20"/>
          <w:szCs w:val="20"/>
        </w:rPr>
      </w:pPr>
    </w:p>
    <w:p w14:paraId="3B270BD7" w14:textId="77777777" w:rsidR="00E0507A" w:rsidRPr="00333887" w:rsidRDefault="00E0507A" w:rsidP="00E0507A">
      <w:pPr>
        <w:jc w:val="both"/>
        <w:rPr>
          <w:rFonts w:ascii="Arial" w:eastAsia="Calibri" w:hAnsi="Arial" w:cs="Arial"/>
          <w:b/>
          <w:bCs/>
          <w:color w:val="000000" w:themeColor="text1"/>
          <w:sz w:val="22"/>
        </w:rPr>
      </w:pPr>
      <w:r w:rsidRPr="09CA183D">
        <w:rPr>
          <w:rFonts w:ascii="Arial" w:eastAsia="Calibri" w:hAnsi="Arial" w:cs="Arial"/>
          <w:b/>
          <w:bCs/>
          <w:color w:val="000000" w:themeColor="text1"/>
          <w:sz w:val="22"/>
        </w:rPr>
        <w:t>DOCUMENTOS TIPO – Oferta económica – Método ponderación – TRM aplicable</w:t>
      </w:r>
    </w:p>
    <w:p w14:paraId="63FDFCB6" w14:textId="77777777" w:rsidR="00E0507A" w:rsidRPr="00333887" w:rsidRDefault="00E0507A" w:rsidP="00E0507A">
      <w:pPr>
        <w:jc w:val="both"/>
        <w:rPr>
          <w:rFonts w:ascii="Arial" w:eastAsia="Calibri" w:hAnsi="Arial" w:cs="Arial"/>
          <w:b/>
          <w:color w:val="000000" w:themeColor="text1"/>
          <w:sz w:val="20"/>
          <w:szCs w:val="20"/>
        </w:rPr>
      </w:pPr>
    </w:p>
    <w:p w14:paraId="21D4C882" w14:textId="77777777" w:rsidR="00E0507A" w:rsidRPr="00333887" w:rsidRDefault="00E0507A" w:rsidP="00E0507A">
      <w:pPr>
        <w:jc w:val="both"/>
        <w:rPr>
          <w:rFonts w:ascii="Arial" w:eastAsia="Calibri" w:hAnsi="Arial" w:cs="Arial"/>
          <w:color w:val="000000" w:themeColor="text1"/>
          <w:sz w:val="20"/>
          <w:szCs w:val="20"/>
        </w:rPr>
      </w:pPr>
      <w:r w:rsidRPr="00333887">
        <w:rPr>
          <w:rFonts w:ascii="Arial" w:eastAsia="Calibri" w:hAnsi="Arial" w:cs="Arial"/>
          <w:color w:val="000000" w:themeColor="text1"/>
          <w:sz w:val="20"/>
          <w:szCs w:val="20"/>
        </w:rPr>
        <w:t>Para saber cuál es la TRM que se debe tener en cuenta al determinar el método para la ponderación de la oferta económica, habida cuenta de la dificultad que  se genera por el mercado de valores abre con una TRM del día anterior, pero se cierra con una TRM que, de todos modos, regirá para el día siguiente, es necesario acudir a lo establecido en los Documentos Tipo, para lo que resulta indispensable distinguir si el proceso de contratación estatal se tramita con la versión uno o dos del Sistema Electrónica de Contratación Pública −SECOP−.</w:t>
      </w:r>
    </w:p>
    <w:p w14:paraId="7B1CD666" w14:textId="77777777" w:rsidR="00E0507A" w:rsidRPr="00333887" w:rsidRDefault="00E0507A" w:rsidP="00E0507A">
      <w:pPr>
        <w:spacing w:before="120"/>
        <w:jc w:val="both"/>
        <w:rPr>
          <w:rFonts w:ascii="Arial" w:eastAsia="Calibri" w:hAnsi="Arial" w:cs="Arial"/>
          <w:color w:val="000000" w:themeColor="text1"/>
          <w:sz w:val="20"/>
          <w:szCs w:val="20"/>
        </w:rPr>
      </w:pPr>
      <w:r w:rsidRPr="00333887">
        <w:rPr>
          <w:rFonts w:ascii="Arial" w:eastAsia="Calibri" w:hAnsi="Arial" w:cs="Arial"/>
          <w:color w:val="000000" w:themeColor="text1"/>
          <w:sz w:val="20"/>
          <w:szCs w:val="20"/>
        </w:rPr>
        <w:t>[…]</w:t>
      </w:r>
    </w:p>
    <w:p w14:paraId="1C5A0995" w14:textId="77777777" w:rsidR="00E0507A" w:rsidRPr="00333887" w:rsidRDefault="00E0507A" w:rsidP="00E0507A">
      <w:pPr>
        <w:spacing w:before="120"/>
        <w:jc w:val="both"/>
        <w:rPr>
          <w:rFonts w:ascii="Arial" w:eastAsia="Calibri" w:hAnsi="Arial" w:cs="Arial"/>
          <w:color w:val="000000" w:themeColor="text1"/>
          <w:sz w:val="20"/>
          <w:szCs w:val="20"/>
        </w:rPr>
      </w:pPr>
      <w:r w:rsidRPr="00333887">
        <w:rPr>
          <w:rFonts w:ascii="Arial" w:eastAsia="Calibri" w:hAnsi="Arial" w:cs="Arial"/>
          <w:color w:val="000000" w:themeColor="text1"/>
          <w:sz w:val="20"/>
          <w:szCs w:val="20"/>
        </w:rPr>
        <w:t xml:space="preserve">Ahora bien, si la entidad contratante está obligada a llevar el proceso de contratación en la plataforma SECOP II, la TRM que se debe tener en cuenta para la determinación del método de ponderación de la oferta económica, es la que rija para el día en el que abre el segundo sobre −que contiene la oferta económica−. Pero si la entidad no está obligada a utilizar dicha plataforma y, por ende, el proceso contractual se adelanta haciendo uso del SECOP I, la TRM es la que rija el día hábil siguiente a aquel en el que abre el segundo sobre. </w:t>
      </w:r>
    </w:p>
    <w:p w14:paraId="452E5CCA" w14:textId="77777777" w:rsidR="00E0507A" w:rsidRDefault="00E0507A" w:rsidP="00E0507A">
      <w:pPr>
        <w:spacing w:before="120"/>
        <w:jc w:val="both"/>
        <w:rPr>
          <w:rFonts w:ascii="Arial" w:eastAsia="Calibri" w:hAnsi="Arial" w:cs="Arial"/>
          <w:color w:val="000000" w:themeColor="text1"/>
          <w:sz w:val="20"/>
          <w:szCs w:val="20"/>
        </w:rPr>
      </w:pPr>
      <w:r w:rsidRPr="00333887">
        <w:rPr>
          <w:rFonts w:ascii="Arial" w:eastAsia="Calibri" w:hAnsi="Arial" w:cs="Arial"/>
          <w:color w:val="000000" w:themeColor="text1"/>
          <w:sz w:val="20"/>
          <w:szCs w:val="20"/>
        </w:rPr>
        <w:t xml:space="preserve">Es del caso precisar que el momento para tener en cuenta es el de la apertura de sobre y no el del inicio de la audiencia efectiva de adjudicación, pues puede pasar, por ejemplo, que dicha audiencia inicie el 1 de mayo de 2020, que ese mismo día se respondan y resuelvan las observaciones presentadas al informe final de evaluación, pero que sea necesario suspender la audiencia y reanudarla al día siguiente porque no se alcanzó a abrir el segundo sobre. En este caso hipotético, aunque la diligencia inició el 1 de mayo de 2020, lo cierto es que el momento que se debe tener en cuenta, para efectos de la determinación del método de ponderación de la oferta económica, es de la apertura efectiva del segundo sobre, para el caso presentado a título ilustrativo, el 2 de mayo de 2020. </w:t>
      </w:r>
    </w:p>
    <w:p w14:paraId="1EAA8C0C" w14:textId="77777777" w:rsidR="00E0507A" w:rsidRDefault="00E0507A" w:rsidP="00E0507A">
      <w:pPr>
        <w:jc w:val="both"/>
        <w:rPr>
          <w:rFonts w:ascii="Arial" w:eastAsia="Calibri" w:hAnsi="Arial" w:cs="Arial"/>
          <w:sz w:val="20"/>
          <w:szCs w:val="20"/>
        </w:rPr>
      </w:pPr>
    </w:p>
    <w:p w14:paraId="0FCB79F6" w14:textId="77777777" w:rsidR="00E0507A" w:rsidRDefault="00E0507A" w:rsidP="00E0507A">
      <w:pPr>
        <w:jc w:val="both"/>
        <w:rPr>
          <w:rFonts w:ascii="Arial" w:eastAsia="Calibri" w:hAnsi="Arial" w:cs="Arial"/>
          <w:sz w:val="20"/>
          <w:szCs w:val="20"/>
        </w:rPr>
      </w:pPr>
    </w:p>
    <w:p w14:paraId="0C127E6E" w14:textId="77777777" w:rsidR="00E0507A" w:rsidRDefault="00E0507A" w:rsidP="00E0507A">
      <w:pPr>
        <w:jc w:val="both"/>
        <w:rPr>
          <w:rFonts w:ascii="Arial" w:eastAsia="Calibri" w:hAnsi="Arial" w:cs="Arial"/>
          <w:sz w:val="20"/>
          <w:szCs w:val="20"/>
        </w:rPr>
      </w:pPr>
    </w:p>
    <w:p w14:paraId="3C88EDF2" w14:textId="77777777" w:rsidR="00E0507A" w:rsidRDefault="00E0507A" w:rsidP="00E0507A">
      <w:pPr>
        <w:jc w:val="both"/>
        <w:rPr>
          <w:rFonts w:ascii="Arial" w:eastAsia="Calibri" w:hAnsi="Arial" w:cs="Arial"/>
          <w:sz w:val="20"/>
          <w:szCs w:val="20"/>
        </w:rPr>
      </w:pPr>
    </w:p>
    <w:p w14:paraId="6C1D284A" w14:textId="77777777" w:rsidR="00E0507A" w:rsidRPr="000B55FB" w:rsidRDefault="00E0507A" w:rsidP="00E0507A">
      <w:pPr>
        <w:jc w:val="both"/>
        <w:rPr>
          <w:rFonts w:ascii="Arial" w:eastAsia="Calibri" w:hAnsi="Arial" w:cs="Arial"/>
          <w:sz w:val="20"/>
        </w:rPr>
      </w:pPr>
      <w:r w:rsidRPr="000B55FB">
        <w:rPr>
          <w:rFonts w:ascii="Arial" w:hAnsi="Arial" w:cs="Arial"/>
          <w:sz w:val="22"/>
        </w:rPr>
        <w:t xml:space="preserve">Bogotá D.C., </w:t>
      </w:r>
      <w:r w:rsidRPr="0058199C">
        <w:rPr>
          <w:rFonts w:ascii="Arial" w:hAnsi="Arial" w:cs="Arial"/>
          <w:b/>
          <w:sz w:val="22"/>
        </w:rPr>
        <w:t>30/06/2020 3:56:35s</w:t>
      </w:r>
    </w:p>
    <w:p w14:paraId="359F94BF" w14:textId="77777777" w:rsidR="00E0507A" w:rsidRPr="000B55FB" w:rsidRDefault="00E0507A" w:rsidP="00E0507A">
      <w:pPr>
        <w:jc w:val="right"/>
        <w:rPr>
          <w:rFonts w:ascii="Arial" w:eastAsia="Calibri" w:hAnsi="Arial" w:cs="Arial"/>
          <w:sz w:val="22"/>
        </w:rPr>
      </w:pPr>
      <w:proofErr w:type="spellStart"/>
      <w:r w:rsidRPr="000B55FB">
        <w:rPr>
          <w:rFonts w:ascii="Arial" w:hAnsi="Arial" w:cs="Arial"/>
          <w:b/>
          <w:sz w:val="22"/>
        </w:rPr>
        <w:t>N°</w:t>
      </w:r>
      <w:proofErr w:type="spellEnd"/>
      <w:r w:rsidRPr="000B55FB">
        <w:rPr>
          <w:rFonts w:ascii="Arial" w:hAnsi="Arial" w:cs="Arial"/>
          <w:b/>
          <w:sz w:val="22"/>
        </w:rPr>
        <w:t xml:space="preserve"> Radicado: </w:t>
      </w:r>
      <w:r w:rsidRPr="0058199C">
        <w:rPr>
          <w:rFonts w:ascii="Arial" w:hAnsi="Arial" w:cs="Arial"/>
          <w:b/>
          <w:sz w:val="22"/>
        </w:rPr>
        <w:t>2202013000005558</w:t>
      </w:r>
      <w:r w:rsidRPr="000B55FB">
        <w:rPr>
          <w:rFonts w:ascii="Arial" w:eastAsia="Calibri" w:hAnsi="Arial" w:cs="Arial"/>
          <w:sz w:val="22"/>
        </w:rPr>
        <w:tab/>
      </w:r>
    </w:p>
    <w:p w14:paraId="461A3296" w14:textId="77777777" w:rsidR="00E0507A" w:rsidRDefault="00E0507A" w:rsidP="00E0507A">
      <w:pPr>
        <w:rPr>
          <w:rFonts w:ascii="Arial" w:eastAsia="Calibri" w:hAnsi="Arial" w:cs="Arial"/>
          <w:sz w:val="22"/>
        </w:rPr>
      </w:pPr>
    </w:p>
    <w:p w14:paraId="76137E1A" w14:textId="77777777" w:rsidR="00E0507A" w:rsidRDefault="00E0507A" w:rsidP="00E0507A">
      <w:pPr>
        <w:rPr>
          <w:rFonts w:ascii="Arial" w:eastAsia="Calibri" w:hAnsi="Arial" w:cs="Arial"/>
          <w:sz w:val="22"/>
        </w:rPr>
      </w:pPr>
    </w:p>
    <w:p w14:paraId="64D9B4F0" w14:textId="77777777" w:rsidR="00E0507A" w:rsidRPr="000B55FB" w:rsidRDefault="00E0507A" w:rsidP="00E0507A">
      <w:pPr>
        <w:rPr>
          <w:rFonts w:ascii="Arial" w:eastAsia="Calibri" w:hAnsi="Arial" w:cs="Arial"/>
          <w:sz w:val="22"/>
        </w:rPr>
      </w:pPr>
      <w:r w:rsidRPr="000B55FB">
        <w:rPr>
          <w:rFonts w:ascii="Arial" w:eastAsia="Calibri" w:hAnsi="Arial" w:cs="Arial"/>
          <w:sz w:val="22"/>
        </w:rPr>
        <w:t>Señor</w:t>
      </w:r>
    </w:p>
    <w:p w14:paraId="0EFF4105" w14:textId="77777777" w:rsidR="00E0507A" w:rsidRPr="000B55FB" w:rsidRDefault="00E0507A" w:rsidP="00E0507A">
      <w:pPr>
        <w:rPr>
          <w:rFonts w:ascii="Arial" w:eastAsia="Calibri" w:hAnsi="Arial" w:cs="Arial"/>
          <w:b/>
          <w:sz w:val="22"/>
        </w:rPr>
      </w:pPr>
      <w:r>
        <w:rPr>
          <w:rFonts w:ascii="Arial" w:eastAsia="Calibri" w:hAnsi="Arial" w:cs="Arial"/>
          <w:b/>
          <w:sz w:val="22"/>
        </w:rPr>
        <w:t>Manuel de Jesús Durango Hernández</w:t>
      </w:r>
    </w:p>
    <w:p w14:paraId="716E0A85" w14:textId="77777777" w:rsidR="00E0507A" w:rsidRDefault="00E0507A" w:rsidP="00E0507A">
      <w:pPr>
        <w:rPr>
          <w:rFonts w:ascii="Arial" w:eastAsia="Calibri" w:hAnsi="Arial" w:cs="Arial"/>
          <w:sz w:val="22"/>
        </w:rPr>
      </w:pPr>
      <w:r>
        <w:rPr>
          <w:rFonts w:ascii="Arial" w:eastAsia="Calibri" w:hAnsi="Arial" w:cs="Arial"/>
          <w:sz w:val="22"/>
        </w:rPr>
        <w:t>Montería, Córdoba</w:t>
      </w:r>
    </w:p>
    <w:p w14:paraId="259688E1" w14:textId="77777777" w:rsidR="00E0507A" w:rsidRPr="000B55FB" w:rsidRDefault="00E0507A" w:rsidP="00E0507A">
      <w:pPr>
        <w:rPr>
          <w:rFonts w:ascii="Arial" w:eastAsia="Calibri" w:hAnsi="Arial" w:cs="Arial"/>
          <w:sz w:val="22"/>
        </w:rPr>
      </w:pPr>
    </w:p>
    <w:p w14:paraId="1B0DDD42" w14:textId="77777777" w:rsidR="00E0507A" w:rsidRDefault="00E0507A" w:rsidP="00E0507A">
      <w:pPr>
        <w:jc w:val="center"/>
        <w:rPr>
          <w:rFonts w:ascii="Arial" w:eastAsia="Calibri" w:hAnsi="Arial" w:cs="Arial"/>
          <w:b/>
          <w:sz w:val="22"/>
        </w:rPr>
      </w:pPr>
    </w:p>
    <w:p w14:paraId="7DEDE552" w14:textId="77777777" w:rsidR="00E0507A" w:rsidRDefault="00E0507A" w:rsidP="00E0507A">
      <w:pPr>
        <w:jc w:val="center"/>
        <w:rPr>
          <w:rFonts w:ascii="Arial" w:eastAsia="Calibri" w:hAnsi="Arial" w:cs="Arial"/>
          <w:b/>
          <w:sz w:val="22"/>
        </w:rPr>
      </w:pPr>
      <w:r w:rsidRPr="000B55FB">
        <w:rPr>
          <w:rFonts w:ascii="Arial" w:eastAsia="Calibri" w:hAnsi="Arial" w:cs="Arial"/>
          <w:b/>
          <w:sz w:val="22"/>
        </w:rPr>
        <w:t xml:space="preserve">Concepto C ─ </w:t>
      </w:r>
      <w:r>
        <w:rPr>
          <w:rFonts w:ascii="Arial" w:eastAsia="Calibri" w:hAnsi="Arial" w:cs="Arial"/>
          <w:b/>
          <w:sz w:val="22"/>
        </w:rPr>
        <w:t xml:space="preserve">385 </w:t>
      </w:r>
      <w:r w:rsidRPr="000B55FB">
        <w:rPr>
          <w:rFonts w:ascii="Arial" w:eastAsia="Calibri" w:hAnsi="Arial" w:cs="Arial"/>
          <w:b/>
          <w:sz w:val="22"/>
        </w:rPr>
        <w:t>de 2020</w:t>
      </w:r>
    </w:p>
    <w:p w14:paraId="2A836B68" w14:textId="77777777" w:rsidR="00E0507A" w:rsidRPr="000B55FB" w:rsidRDefault="00E0507A" w:rsidP="00E0507A">
      <w:pPr>
        <w:jc w:val="center"/>
        <w:rPr>
          <w:rFonts w:ascii="Arial" w:eastAsia="Calibri" w:hAnsi="Arial" w:cs="Arial"/>
          <w:b/>
          <w:sz w:val="22"/>
        </w:rPr>
      </w:pPr>
    </w:p>
    <w:p w14:paraId="0EBC4EEC" w14:textId="77777777" w:rsidR="00E0507A" w:rsidRPr="000B55FB" w:rsidRDefault="00E0507A" w:rsidP="00E0507A">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0507A" w:rsidRPr="000B55FB" w14:paraId="3C188DD5" w14:textId="77777777" w:rsidTr="004A6A97">
        <w:tc>
          <w:tcPr>
            <w:tcW w:w="2689" w:type="dxa"/>
            <w:hideMark/>
          </w:tcPr>
          <w:p w14:paraId="692C7AEA" w14:textId="77777777" w:rsidR="00E0507A" w:rsidRPr="000B55FB" w:rsidRDefault="00E0507A" w:rsidP="004A6A97">
            <w:pPr>
              <w:rPr>
                <w:rFonts w:ascii="Arial" w:eastAsia="Calibri" w:hAnsi="Arial" w:cs="Arial"/>
                <w:sz w:val="22"/>
              </w:rPr>
            </w:pPr>
            <w:r w:rsidRPr="000B55FB">
              <w:rPr>
                <w:rFonts w:ascii="Arial" w:eastAsia="Calibri" w:hAnsi="Arial" w:cs="Arial"/>
                <w:b/>
                <w:sz w:val="22"/>
              </w:rPr>
              <w:t>Temas:</w:t>
            </w:r>
            <w:r w:rsidRPr="000B55FB">
              <w:rPr>
                <w:rFonts w:ascii="Arial" w:eastAsia="Calibri" w:hAnsi="Arial" w:cs="Arial"/>
                <w:sz w:val="22"/>
              </w:rPr>
              <w:t xml:space="preserve">           </w:t>
            </w:r>
          </w:p>
          <w:p w14:paraId="6A745246" w14:textId="77777777" w:rsidR="00E0507A" w:rsidRPr="000B55FB" w:rsidRDefault="00E0507A" w:rsidP="004A6A97">
            <w:pPr>
              <w:rPr>
                <w:rFonts w:ascii="Arial" w:eastAsia="Calibri" w:hAnsi="Arial" w:cs="Arial"/>
                <w:sz w:val="22"/>
              </w:rPr>
            </w:pPr>
            <w:r w:rsidRPr="000B55FB">
              <w:rPr>
                <w:rFonts w:ascii="Arial" w:eastAsia="Calibri" w:hAnsi="Arial" w:cs="Arial"/>
                <w:sz w:val="22"/>
              </w:rPr>
              <w:t xml:space="preserve">                           </w:t>
            </w:r>
          </w:p>
        </w:tc>
        <w:tc>
          <w:tcPr>
            <w:tcW w:w="6237" w:type="dxa"/>
            <w:hideMark/>
          </w:tcPr>
          <w:p w14:paraId="0B853D85" w14:textId="77777777" w:rsidR="00E0507A" w:rsidRDefault="00E0507A" w:rsidP="004A6A97">
            <w:pPr>
              <w:jc w:val="both"/>
              <w:rPr>
                <w:rFonts w:ascii="Arial" w:eastAsia="Calibri" w:hAnsi="Arial" w:cs="Arial"/>
                <w:sz w:val="22"/>
              </w:rPr>
            </w:pPr>
            <w:r w:rsidRPr="00DD1A1C">
              <w:rPr>
                <w:rFonts w:ascii="Arial" w:eastAsia="Calibri" w:hAnsi="Arial" w:cs="Arial"/>
                <w:sz w:val="22"/>
              </w:rPr>
              <w:t xml:space="preserve">DOCUMENTOS TIPO – </w:t>
            </w:r>
            <w:r w:rsidRPr="00333887">
              <w:rPr>
                <w:rFonts w:ascii="Arial" w:eastAsia="Calibri" w:hAnsi="Arial" w:cs="Arial"/>
                <w:color w:val="000000" w:themeColor="text1"/>
                <w:sz w:val="22"/>
              </w:rPr>
              <w:t>MÉTODO PARA LA PONDERACIÓN DE LA OFERTA ECONÓMICA – Determinación / MÉTODO PARA LA PONDERACIÓN DE LA OFERTA ECONÓMICA – TRM aplicable</w:t>
            </w:r>
          </w:p>
          <w:p w14:paraId="1195D4FC" w14:textId="77777777" w:rsidR="00E0507A" w:rsidRPr="007B0716" w:rsidRDefault="00E0507A" w:rsidP="004A6A97">
            <w:pPr>
              <w:jc w:val="both"/>
              <w:rPr>
                <w:rFonts w:ascii="Arial" w:eastAsia="Calibri" w:hAnsi="Arial" w:cs="Arial"/>
                <w:sz w:val="22"/>
              </w:rPr>
            </w:pPr>
          </w:p>
        </w:tc>
      </w:tr>
      <w:tr w:rsidR="00E0507A" w:rsidRPr="000B55FB" w14:paraId="0C88F59D" w14:textId="77777777" w:rsidTr="004A6A97">
        <w:tc>
          <w:tcPr>
            <w:tcW w:w="2689" w:type="dxa"/>
          </w:tcPr>
          <w:p w14:paraId="1505E665" w14:textId="77777777" w:rsidR="00E0507A" w:rsidRPr="000B55FB" w:rsidRDefault="00E0507A" w:rsidP="004A6A97">
            <w:pPr>
              <w:rPr>
                <w:rFonts w:ascii="Arial" w:eastAsia="Calibri" w:hAnsi="Arial" w:cs="Arial"/>
                <w:b/>
                <w:sz w:val="22"/>
              </w:rPr>
            </w:pPr>
            <w:r w:rsidRPr="000B55FB">
              <w:rPr>
                <w:rFonts w:ascii="Arial" w:eastAsia="Calibri" w:hAnsi="Arial" w:cs="Arial"/>
                <w:b/>
                <w:sz w:val="22"/>
              </w:rPr>
              <w:t>Radicación:</w:t>
            </w:r>
            <w:r w:rsidRPr="000B55FB">
              <w:rPr>
                <w:rFonts w:ascii="Arial" w:eastAsia="Calibri" w:hAnsi="Arial" w:cs="Arial"/>
                <w:sz w:val="22"/>
              </w:rPr>
              <w:t xml:space="preserve">                              </w:t>
            </w:r>
          </w:p>
        </w:tc>
        <w:tc>
          <w:tcPr>
            <w:tcW w:w="6237" w:type="dxa"/>
          </w:tcPr>
          <w:p w14:paraId="1E646525" w14:textId="77777777" w:rsidR="00E0507A" w:rsidRPr="000B55FB" w:rsidRDefault="00E0507A" w:rsidP="004A6A97">
            <w:pPr>
              <w:jc w:val="both"/>
              <w:rPr>
                <w:rFonts w:ascii="Arial" w:eastAsia="Calibri" w:hAnsi="Arial" w:cs="Arial"/>
                <w:sz w:val="22"/>
              </w:rPr>
            </w:pPr>
            <w:r w:rsidRPr="000B55FB">
              <w:rPr>
                <w:rFonts w:ascii="Arial" w:eastAsia="Calibri" w:hAnsi="Arial" w:cs="Arial"/>
                <w:sz w:val="22"/>
              </w:rPr>
              <w:t>Respuesta a consulta # 420201</w:t>
            </w:r>
            <w:r>
              <w:rPr>
                <w:rFonts w:ascii="Arial" w:eastAsia="Calibri" w:hAnsi="Arial" w:cs="Arial"/>
                <w:sz w:val="22"/>
              </w:rPr>
              <w:t>2</w:t>
            </w:r>
            <w:r w:rsidRPr="000B55FB">
              <w:rPr>
                <w:rFonts w:ascii="Arial" w:eastAsia="Calibri" w:hAnsi="Arial" w:cs="Arial"/>
                <w:sz w:val="22"/>
              </w:rPr>
              <w:t>00000</w:t>
            </w:r>
            <w:r>
              <w:rPr>
                <w:rFonts w:ascii="Arial" w:eastAsia="Calibri" w:hAnsi="Arial" w:cs="Arial"/>
                <w:sz w:val="22"/>
              </w:rPr>
              <w:t>4292</w:t>
            </w:r>
          </w:p>
        </w:tc>
      </w:tr>
    </w:tbl>
    <w:p w14:paraId="7D435236" w14:textId="77777777" w:rsidR="00E0507A" w:rsidRPr="000B55FB" w:rsidRDefault="00E0507A" w:rsidP="00E0507A">
      <w:pPr>
        <w:jc w:val="both"/>
        <w:rPr>
          <w:rFonts w:ascii="Arial" w:eastAsia="Calibri" w:hAnsi="Arial" w:cs="Arial"/>
          <w:sz w:val="22"/>
        </w:rPr>
      </w:pPr>
    </w:p>
    <w:p w14:paraId="1AB5DB14" w14:textId="77777777" w:rsidR="00E0507A" w:rsidRDefault="00E0507A" w:rsidP="00E0507A">
      <w:pPr>
        <w:rPr>
          <w:rFonts w:ascii="Arial" w:eastAsia="Calibri" w:hAnsi="Arial" w:cs="Arial"/>
          <w:sz w:val="22"/>
        </w:rPr>
      </w:pPr>
    </w:p>
    <w:p w14:paraId="4DA252AD" w14:textId="77777777" w:rsidR="00E0507A" w:rsidRPr="000B55FB" w:rsidRDefault="00E0507A" w:rsidP="00E0507A">
      <w:pPr>
        <w:rPr>
          <w:rFonts w:ascii="Arial" w:eastAsia="Calibri" w:hAnsi="Arial" w:cs="Arial"/>
          <w:sz w:val="22"/>
        </w:rPr>
      </w:pPr>
      <w:r w:rsidRPr="000B55FB">
        <w:rPr>
          <w:rFonts w:ascii="Arial" w:eastAsia="Calibri" w:hAnsi="Arial" w:cs="Arial"/>
          <w:sz w:val="22"/>
        </w:rPr>
        <w:t xml:space="preserve">Estimado señor </w:t>
      </w:r>
      <w:r>
        <w:rPr>
          <w:rFonts w:ascii="Arial" w:eastAsia="Calibri" w:hAnsi="Arial" w:cs="Arial"/>
          <w:sz w:val="22"/>
        </w:rPr>
        <w:t>Durango</w:t>
      </w:r>
      <w:r w:rsidRPr="000B55FB">
        <w:rPr>
          <w:rFonts w:ascii="Arial" w:eastAsia="Calibri" w:hAnsi="Arial" w:cs="Arial"/>
          <w:sz w:val="22"/>
        </w:rPr>
        <w:t>,</w:t>
      </w:r>
    </w:p>
    <w:p w14:paraId="674A8A77" w14:textId="77777777" w:rsidR="00E0507A" w:rsidRPr="000B55FB" w:rsidRDefault="00E0507A" w:rsidP="00E0507A">
      <w:pPr>
        <w:rPr>
          <w:rFonts w:ascii="Arial" w:eastAsia="Calibri" w:hAnsi="Arial" w:cs="Arial"/>
          <w:sz w:val="22"/>
        </w:rPr>
      </w:pPr>
    </w:p>
    <w:p w14:paraId="31AEEC58" w14:textId="77777777" w:rsidR="00E0507A" w:rsidRPr="000B55FB" w:rsidRDefault="00E0507A" w:rsidP="00E0507A">
      <w:pPr>
        <w:spacing w:line="276" w:lineRule="auto"/>
        <w:ind w:right="49"/>
        <w:jc w:val="both"/>
        <w:rPr>
          <w:rFonts w:ascii="Arial" w:eastAsia="Calibri" w:hAnsi="Arial" w:cs="Arial"/>
          <w:sz w:val="22"/>
        </w:rPr>
      </w:pPr>
      <w:r w:rsidRPr="000B55FB">
        <w:rPr>
          <w:rFonts w:ascii="Arial" w:eastAsia="Calibri" w:hAnsi="Arial" w:cs="Arial"/>
          <w:sz w:val="22"/>
        </w:rPr>
        <w:t xml:space="preserve">La Agencia Nacional de Contratación Pública - Colombia Compra Eficiente responde su consulta del </w:t>
      </w:r>
      <w:r>
        <w:rPr>
          <w:rFonts w:ascii="Arial" w:eastAsia="Calibri" w:hAnsi="Arial" w:cs="Arial"/>
          <w:sz w:val="22"/>
        </w:rPr>
        <w:t>29 de mayo</w:t>
      </w:r>
      <w:r w:rsidRPr="000B55FB">
        <w:rPr>
          <w:rFonts w:ascii="Arial" w:eastAsia="Calibri" w:hAnsi="Arial" w:cs="Arial"/>
          <w:sz w:val="22"/>
        </w:rPr>
        <w:t xml:space="preserve"> de 2020, en ejercicio de la competencia otorgada por el numeral 8 del artículo 11 y el numeral 5 del artículo 3 del Decreto Ley 4170 de 2011. </w:t>
      </w:r>
    </w:p>
    <w:p w14:paraId="1EADC223" w14:textId="77777777" w:rsidR="00E0507A" w:rsidRPr="000B55FB" w:rsidRDefault="00E0507A" w:rsidP="00E0507A">
      <w:pPr>
        <w:spacing w:line="276" w:lineRule="auto"/>
        <w:jc w:val="both"/>
        <w:rPr>
          <w:rFonts w:ascii="Arial" w:eastAsia="Calibri" w:hAnsi="Arial" w:cs="Arial"/>
          <w:sz w:val="22"/>
        </w:rPr>
      </w:pPr>
    </w:p>
    <w:p w14:paraId="0AFD8E36" w14:textId="77777777" w:rsidR="00E0507A" w:rsidRPr="000B55FB" w:rsidRDefault="00E0507A" w:rsidP="00E0507A">
      <w:pPr>
        <w:pStyle w:val="Prrafodelista"/>
        <w:tabs>
          <w:tab w:val="left" w:pos="284"/>
        </w:tabs>
        <w:spacing w:line="276" w:lineRule="auto"/>
        <w:ind w:left="0"/>
        <w:jc w:val="both"/>
        <w:rPr>
          <w:rFonts w:ascii="Arial" w:eastAsia="Calibri" w:hAnsi="Arial" w:cs="Arial"/>
          <w:b/>
          <w:sz w:val="22"/>
        </w:rPr>
      </w:pPr>
      <w:r w:rsidRPr="000B55FB">
        <w:rPr>
          <w:rFonts w:ascii="Arial" w:eastAsia="Calibri" w:hAnsi="Arial" w:cs="Arial"/>
          <w:b/>
          <w:sz w:val="22"/>
        </w:rPr>
        <w:t xml:space="preserve">1. Problemas planteados </w:t>
      </w:r>
    </w:p>
    <w:p w14:paraId="3C456AC2" w14:textId="77777777" w:rsidR="00E0507A" w:rsidRPr="000B55FB" w:rsidRDefault="00E0507A" w:rsidP="00E0507A">
      <w:pPr>
        <w:tabs>
          <w:tab w:val="left" w:pos="426"/>
        </w:tabs>
        <w:spacing w:line="276" w:lineRule="auto"/>
        <w:jc w:val="both"/>
        <w:rPr>
          <w:rFonts w:ascii="Arial" w:eastAsia="Calibri" w:hAnsi="Arial" w:cs="Arial"/>
          <w:b/>
          <w:sz w:val="22"/>
        </w:rPr>
      </w:pPr>
    </w:p>
    <w:p w14:paraId="4E1D76B5" w14:textId="77777777" w:rsidR="00E0507A" w:rsidRPr="00175C11" w:rsidRDefault="00E0507A" w:rsidP="00E0507A">
      <w:pPr>
        <w:tabs>
          <w:tab w:val="left" w:pos="426"/>
        </w:tabs>
        <w:spacing w:line="276" w:lineRule="auto"/>
        <w:jc w:val="both"/>
        <w:rPr>
          <w:rFonts w:eastAsia="Calibri"/>
          <w:bCs/>
          <w:sz w:val="22"/>
          <w:lang w:val="es-ES_tradnl"/>
        </w:rPr>
      </w:pPr>
      <w:r w:rsidRPr="00175C11">
        <w:rPr>
          <w:rFonts w:ascii="Arial" w:eastAsia="Calibri" w:hAnsi="Arial" w:cs="Arial"/>
          <w:bCs/>
          <w:sz w:val="22"/>
          <w:lang w:val="es-ES_tradnl"/>
        </w:rPr>
        <w:t xml:space="preserve">Usted realiza las siguientes preguntas: Teniendo en cuenta que antes o durante la apertura de los sobres económicos se conoce la TRM del día hábil siguiente, i) «¿Cuál TRM se aplicaría, para la evaluación de las ofertas, la conocida de antemano por la entidad o la que rija el día hábil siguiente de haberse surtido EFECTIVAMENTE los procedimientos de apertura, Corrección y traslado del contenido de todos los sobres económicos? […] ¿La entidad debe garantizar que primero se conozcan por todos los oferentes, los valores ofertados antes de que se conozca la TRM?» </w:t>
      </w:r>
    </w:p>
    <w:p w14:paraId="5B5FDC9D" w14:textId="77777777" w:rsidR="00E0507A" w:rsidRPr="000B55FB" w:rsidRDefault="00E0507A" w:rsidP="00E0507A">
      <w:pPr>
        <w:tabs>
          <w:tab w:val="left" w:pos="426"/>
        </w:tabs>
        <w:spacing w:line="276" w:lineRule="auto"/>
        <w:jc w:val="both"/>
        <w:rPr>
          <w:rFonts w:ascii="Arial" w:eastAsia="Calibri" w:hAnsi="Arial" w:cs="Arial"/>
          <w:sz w:val="22"/>
        </w:rPr>
      </w:pPr>
    </w:p>
    <w:p w14:paraId="079F4B3B" w14:textId="77777777" w:rsidR="00E0507A" w:rsidRPr="000B55FB" w:rsidRDefault="00E0507A" w:rsidP="00E0507A">
      <w:pPr>
        <w:tabs>
          <w:tab w:val="left" w:pos="426"/>
        </w:tabs>
        <w:spacing w:line="276" w:lineRule="auto"/>
        <w:jc w:val="both"/>
        <w:rPr>
          <w:rFonts w:ascii="Arial" w:eastAsia="Calibri" w:hAnsi="Arial" w:cs="Arial"/>
          <w:b/>
          <w:sz w:val="22"/>
        </w:rPr>
      </w:pPr>
      <w:r w:rsidRPr="000B55FB">
        <w:rPr>
          <w:rFonts w:ascii="Arial" w:eastAsia="Calibri" w:hAnsi="Arial" w:cs="Arial"/>
          <w:b/>
          <w:sz w:val="22"/>
        </w:rPr>
        <w:t>2. Consideraciones</w:t>
      </w:r>
    </w:p>
    <w:p w14:paraId="0515C1E5" w14:textId="77777777" w:rsidR="00E0507A" w:rsidRPr="000B55FB" w:rsidRDefault="00E0507A" w:rsidP="00E0507A">
      <w:pPr>
        <w:tabs>
          <w:tab w:val="left" w:pos="426"/>
        </w:tabs>
        <w:spacing w:line="276" w:lineRule="auto"/>
        <w:jc w:val="both"/>
        <w:rPr>
          <w:rFonts w:ascii="Arial" w:eastAsia="Calibri" w:hAnsi="Arial" w:cs="Arial"/>
          <w:b/>
          <w:sz w:val="22"/>
        </w:rPr>
      </w:pPr>
    </w:p>
    <w:p w14:paraId="2EBC2F28" w14:textId="77777777" w:rsidR="00E0507A" w:rsidRPr="000B55FB" w:rsidRDefault="00E0507A" w:rsidP="00E0507A">
      <w:pPr>
        <w:tabs>
          <w:tab w:val="left" w:pos="426"/>
        </w:tabs>
        <w:spacing w:line="276" w:lineRule="auto"/>
        <w:jc w:val="both"/>
        <w:rPr>
          <w:rFonts w:ascii="Arial" w:eastAsia="Calibri" w:hAnsi="Arial" w:cs="Arial"/>
          <w:b/>
          <w:sz w:val="22"/>
        </w:rPr>
      </w:pPr>
      <w:r w:rsidRPr="000B55FB">
        <w:rPr>
          <w:rFonts w:ascii="Arial" w:eastAsia="Calibri" w:hAnsi="Arial" w:cs="Arial"/>
          <w:bCs/>
          <w:sz w:val="22"/>
          <w:lang w:val="es-ES_tradnl"/>
        </w:rPr>
        <w:t xml:space="preserve">Teniendo en cuenta que la consulta se realiza en vigencia de la versión </w:t>
      </w:r>
      <w:r>
        <w:rPr>
          <w:rFonts w:ascii="Arial" w:eastAsia="Calibri" w:hAnsi="Arial" w:cs="Arial"/>
          <w:bCs/>
          <w:sz w:val="22"/>
          <w:lang w:val="es-ES_tradnl"/>
        </w:rPr>
        <w:t>2</w:t>
      </w:r>
      <w:r w:rsidRPr="000B55FB">
        <w:rPr>
          <w:rFonts w:ascii="Arial" w:eastAsia="Calibri" w:hAnsi="Arial" w:cs="Arial"/>
          <w:bCs/>
          <w:sz w:val="22"/>
          <w:lang w:val="es-ES_tradnl"/>
        </w:rPr>
        <w:t xml:space="preserve"> de los Documentos Tipo para licitación de obra pública de infraestructura de transporte, las consideraciones que se presentan a continuación están relacionadas con los formatos de estos documentos.</w:t>
      </w:r>
    </w:p>
    <w:p w14:paraId="0469D785" w14:textId="77777777" w:rsidR="00E0507A" w:rsidRPr="000B55FB" w:rsidRDefault="00E0507A" w:rsidP="00E0507A">
      <w:pPr>
        <w:tabs>
          <w:tab w:val="left" w:pos="426"/>
        </w:tabs>
        <w:spacing w:line="276" w:lineRule="auto"/>
        <w:jc w:val="both"/>
        <w:rPr>
          <w:rFonts w:ascii="Arial" w:eastAsia="Calibri" w:hAnsi="Arial" w:cs="Arial"/>
          <w:b/>
          <w:sz w:val="22"/>
        </w:rPr>
      </w:pPr>
    </w:p>
    <w:p w14:paraId="6B7DAF74" w14:textId="77777777" w:rsidR="00E0507A" w:rsidRPr="000B55FB" w:rsidRDefault="00E0507A" w:rsidP="00E0507A">
      <w:pPr>
        <w:spacing w:line="276" w:lineRule="auto"/>
        <w:jc w:val="both"/>
        <w:rPr>
          <w:rFonts w:ascii="Arial" w:eastAsia="Calibri" w:hAnsi="Arial" w:cs="Arial"/>
          <w:b/>
          <w:bCs/>
          <w:sz w:val="22"/>
        </w:rPr>
      </w:pPr>
      <w:r w:rsidRPr="00A96334">
        <w:rPr>
          <w:rFonts w:ascii="Arial" w:eastAsia="Calibri" w:hAnsi="Arial" w:cs="Arial"/>
          <w:b/>
          <w:bCs/>
          <w:sz w:val="22"/>
        </w:rPr>
        <w:lastRenderedPageBreak/>
        <w:t>2.1. Ponderación de la oferta económica en procedimientos contractuales regidos por los Documentos Tipo</w:t>
      </w:r>
    </w:p>
    <w:p w14:paraId="4FC0E070" w14:textId="77777777" w:rsidR="00E0507A" w:rsidRPr="000B55FB" w:rsidRDefault="00E0507A" w:rsidP="00E0507A">
      <w:pPr>
        <w:spacing w:line="276" w:lineRule="auto"/>
        <w:jc w:val="both"/>
        <w:rPr>
          <w:rFonts w:ascii="Arial" w:eastAsia="Calibri" w:hAnsi="Arial" w:cs="Arial"/>
          <w:b/>
          <w:bCs/>
          <w:sz w:val="22"/>
        </w:rPr>
      </w:pPr>
    </w:p>
    <w:p w14:paraId="356F06B9" w14:textId="77777777" w:rsidR="00E0507A" w:rsidRDefault="00E0507A" w:rsidP="00E0507A">
      <w:pPr>
        <w:spacing w:after="120" w:line="276" w:lineRule="auto"/>
        <w:jc w:val="both"/>
        <w:rPr>
          <w:rFonts w:ascii="Arial" w:eastAsia="Calibri" w:hAnsi="Arial" w:cs="Arial"/>
          <w:bCs/>
          <w:sz w:val="22"/>
        </w:rPr>
      </w:pPr>
      <w:r w:rsidRPr="000B55FB">
        <w:rPr>
          <w:rFonts w:ascii="Arial" w:eastAsia="Calibri" w:hAnsi="Arial" w:cs="Arial"/>
          <w:sz w:val="22"/>
        </w:rPr>
        <w:t xml:space="preserve">La Agencia </w:t>
      </w:r>
      <w:r w:rsidRPr="000B55FB">
        <w:rPr>
          <w:rFonts w:ascii="Arial" w:eastAsia="Calibri" w:hAnsi="Arial" w:cs="Arial"/>
          <w:bCs/>
          <w:sz w:val="22"/>
        </w:rPr>
        <w:t>Nacional de Contratación Pública – Colombia Compra Eficiente</w:t>
      </w:r>
      <w:r>
        <w:rPr>
          <w:rFonts w:ascii="Arial" w:eastAsia="Calibri" w:hAnsi="Arial" w:cs="Arial"/>
          <w:bCs/>
          <w:sz w:val="22"/>
        </w:rPr>
        <w:t>,</w:t>
      </w:r>
      <w:r w:rsidRPr="000B55FB">
        <w:t xml:space="preserve"> </w:t>
      </w:r>
      <w:r w:rsidRPr="000B55FB">
        <w:rPr>
          <w:rFonts w:ascii="Arial" w:eastAsia="Calibri" w:hAnsi="Arial" w:cs="Arial"/>
          <w:bCs/>
          <w:sz w:val="22"/>
        </w:rPr>
        <w:t>en el concepto con radicado No.</w:t>
      </w:r>
      <w:r w:rsidRPr="003E24C2">
        <w:t xml:space="preserve"> </w:t>
      </w:r>
      <w:r w:rsidRPr="003E24C2">
        <w:rPr>
          <w:rFonts w:ascii="Arial" w:eastAsia="Calibri" w:hAnsi="Arial" w:cs="Arial"/>
          <w:bCs/>
          <w:sz w:val="22"/>
        </w:rPr>
        <w:t>4202013000001564</w:t>
      </w:r>
      <w:r>
        <w:rPr>
          <w:rFonts w:ascii="Arial" w:eastAsia="Calibri" w:hAnsi="Arial" w:cs="Arial"/>
          <w:bCs/>
          <w:sz w:val="22"/>
        </w:rPr>
        <w:t xml:space="preserve"> del 18 de marzo de 2020, reiterado y desarrollado en los conceptos</w:t>
      </w:r>
      <w:r w:rsidRPr="000B55FB">
        <w:rPr>
          <w:rFonts w:ascii="Arial" w:eastAsia="Calibri" w:hAnsi="Arial" w:cs="Arial"/>
          <w:bCs/>
          <w:sz w:val="22"/>
        </w:rPr>
        <w:t xml:space="preserve"> </w:t>
      </w:r>
      <w:r>
        <w:rPr>
          <w:rFonts w:ascii="Arial" w:eastAsia="Calibri" w:hAnsi="Arial" w:cs="Arial"/>
          <w:bCs/>
          <w:sz w:val="22"/>
        </w:rPr>
        <w:t>C-193</w:t>
      </w:r>
      <w:r w:rsidRPr="000B55FB">
        <w:rPr>
          <w:rFonts w:ascii="Arial" w:eastAsia="Calibri" w:hAnsi="Arial" w:cs="Arial"/>
          <w:bCs/>
          <w:sz w:val="22"/>
        </w:rPr>
        <w:t xml:space="preserve"> del </w:t>
      </w:r>
      <w:r>
        <w:rPr>
          <w:rFonts w:ascii="Arial" w:eastAsia="Calibri" w:hAnsi="Arial" w:cs="Arial"/>
          <w:bCs/>
          <w:sz w:val="22"/>
        </w:rPr>
        <w:t>6</w:t>
      </w:r>
      <w:r w:rsidRPr="000B55FB">
        <w:rPr>
          <w:rFonts w:ascii="Arial" w:eastAsia="Calibri" w:hAnsi="Arial" w:cs="Arial"/>
          <w:bCs/>
          <w:sz w:val="22"/>
        </w:rPr>
        <w:t xml:space="preserve"> de </w:t>
      </w:r>
      <w:r>
        <w:rPr>
          <w:rFonts w:ascii="Arial" w:eastAsia="Calibri" w:hAnsi="Arial" w:cs="Arial"/>
          <w:bCs/>
          <w:sz w:val="22"/>
        </w:rPr>
        <w:t>abril</w:t>
      </w:r>
      <w:r w:rsidRPr="000B55FB">
        <w:rPr>
          <w:rFonts w:ascii="Arial" w:eastAsia="Calibri" w:hAnsi="Arial" w:cs="Arial"/>
          <w:bCs/>
          <w:sz w:val="22"/>
        </w:rPr>
        <w:t xml:space="preserve"> de 20</w:t>
      </w:r>
      <w:r>
        <w:rPr>
          <w:rFonts w:ascii="Arial" w:eastAsia="Calibri" w:hAnsi="Arial" w:cs="Arial"/>
          <w:bCs/>
          <w:sz w:val="22"/>
        </w:rPr>
        <w:t xml:space="preserve">20, C-279 del 18 de mayo de 2020 y C-354 del 23 de junio de 2020 </w:t>
      </w:r>
      <w:r w:rsidRPr="000B55FB">
        <w:rPr>
          <w:rFonts w:ascii="Arial" w:eastAsia="Calibri" w:hAnsi="Arial" w:cs="Arial"/>
          <w:bCs/>
          <w:sz w:val="22"/>
        </w:rPr>
        <w:t xml:space="preserve">estudió la ponderación de la oferta económica en procedimientos contractuales </w:t>
      </w:r>
      <w:r>
        <w:rPr>
          <w:rFonts w:ascii="Arial" w:eastAsia="Calibri" w:hAnsi="Arial" w:cs="Arial"/>
          <w:bCs/>
          <w:sz w:val="22"/>
        </w:rPr>
        <w:t xml:space="preserve">que </w:t>
      </w:r>
      <w:r w:rsidRPr="000B55FB">
        <w:rPr>
          <w:rFonts w:ascii="Arial" w:eastAsia="Calibri" w:hAnsi="Arial" w:cs="Arial"/>
          <w:bCs/>
          <w:sz w:val="22"/>
        </w:rPr>
        <w:t xml:space="preserve">aplican los Documentos Tipo. </w:t>
      </w:r>
      <w:r w:rsidRPr="000B55FB">
        <w:rPr>
          <w:rFonts w:ascii="Arial" w:hAnsi="Arial" w:cs="Arial"/>
          <w:sz w:val="22"/>
        </w:rPr>
        <w:t>La tesis desarrollada se expone a continuación</w:t>
      </w:r>
      <w:r w:rsidRPr="000B55FB">
        <w:rPr>
          <w:rFonts w:ascii="Arial" w:eastAsia="Calibri" w:hAnsi="Arial" w:cs="Arial"/>
          <w:bCs/>
          <w:sz w:val="22"/>
        </w:rPr>
        <w:t>.</w:t>
      </w:r>
    </w:p>
    <w:p w14:paraId="7F61BF78" w14:textId="77777777" w:rsidR="00E0507A" w:rsidRPr="00333887" w:rsidRDefault="00E0507A" w:rsidP="00E0507A">
      <w:pPr>
        <w:spacing w:before="120" w:after="120" w:line="276" w:lineRule="auto"/>
        <w:ind w:firstLine="709"/>
        <w:jc w:val="both"/>
        <w:rPr>
          <w:rFonts w:ascii="Arial" w:hAnsi="Arial" w:cs="Arial"/>
          <w:color w:val="000000" w:themeColor="text1"/>
          <w:sz w:val="22"/>
        </w:rPr>
      </w:pPr>
      <w:r w:rsidRPr="00333887">
        <w:rPr>
          <w:rFonts w:ascii="Arial" w:hAnsi="Arial" w:cs="Arial"/>
          <w:color w:val="000000" w:themeColor="text1"/>
          <w:sz w:val="22"/>
        </w:rPr>
        <w:t xml:space="preserve">El Documento Base de los Pliegos Tipo establece la forma como se debe elegir el método para la ponderación de la oferta económica. En efecto, el numeral 4.1.4. establece: </w:t>
      </w:r>
    </w:p>
    <w:p w14:paraId="63FB5DBF" w14:textId="77777777" w:rsidR="00E0507A" w:rsidRPr="00333887" w:rsidRDefault="00E0507A" w:rsidP="00E0507A">
      <w:pPr>
        <w:tabs>
          <w:tab w:val="left" w:pos="1860"/>
        </w:tabs>
        <w:ind w:left="709" w:right="758"/>
        <w:jc w:val="both"/>
        <w:rPr>
          <w:rFonts w:ascii="Arial" w:eastAsia="Arial,Calibri" w:hAnsi="Arial" w:cs="Arial"/>
          <w:color w:val="000000" w:themeColor="text1"/>
          <w:sz w:val="21"/>
          <w:szCs w:val="21"/>
        </w:rPr>
      </w:pPr>
      <w:r w:rsidRPr="00333887">
        <w:rPr>
          <w:rFonts w:ascii="Arial" w:hAnsi="Arial" w:cs="Arial"/>
          <w:color w:val="000000" w:themeColor="text1"/>
          <w:sz w:val="21"/>
          <w:szCs w:val="21"/>
        </w:rPr>
        <w:t>Para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determinar</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el</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método</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ponderación,</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la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Entidad</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tomará</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los centavos</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la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Tasa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Cambio</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Representativa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del</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Mercado</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TRM), certificada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por</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la Superintendencia Financiera de Colombia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en</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su</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 xml:space="preserve">sitio web: </w:t>
      </w:r>
      <w:hyperlink r:id="rId9" w:history="1">
        <w:r w:rsidRPr="00333887">
          <w:rPr>
            <w:rStyle w:val="Hipervnculo"/>
            <w:rFonts w:ascii="Arial" w:hAnsi="Arial" w:cs="Arial"/>
            <w:color w:val="000000" w:themeColor="text1"/>
            <w:sz w:val="21"/>
            <w:szCs w:val="21"/>
          </w:rPr>
          <w:t>https://www.superfinanciera.gov.co/publicacion/60819</w:t>
        </w:r>
      </w:hyperlink>
      <w:r w:rsidRPr="00333887">
        <w:rPr>
          <w:rFonts w:ascii="Arial" w:eastAsia="Arial,Calibri" w:hAnsi="Arial" w:cs="Arial"/>
          <w:color w:val="000000" w:themeColor="text1"/>
          <w:sz w:val="21"/>
          <w:szCs w:val="21"/>
        </w:rPr>
        <w:t>).</w:t>
      </w:r>
    </w:p>
    <w:p w14:paraId="3D484BAB" w14:textId="77777777" w:rsidR="00E0507A" w:rsidRPr="00333887" w:rsidRDefault="00E0507A" w:rsidP="00E0507A">
      <w:pPr>
        <w:tabs>
          <w:tab w:val="left" w:pos="1860"/>
        </w:tabs>
        <w:ind w:left="709" w:right="758"/>
        <w:jc w:val="both"/>
        <w:rPr>
          <w:rFonts w:ascii="Arial" w:eastAsia="Arial,Calibri" w:hAnsi="Arial" w:cs="Arial"/>
          <w:color w:val="000000" w:themeColor="text1"/>
          <w:sz w:val="21"/>
          <w:szCs w:val="21"/>
        </w:rPr>
      </w:pPr>
      <w:r w:rsidRPr="00333887">
        <w:rPr>
          <w:rFonts w:ascii="Arial" w:eastAsia="Arial,Calibri" w:hAnsi="Arial" w:cs="Arial"/>
          <w:color w:val="000000" w:themeColor="text1"/>
          <w:sz w:val="21"/>
          <w:szCs w:val="21"/>
        </w:rPr>
        <w:t>[…]</w:t>
      </w:r>
    </w:p>
    <w:p w14:paraId="198BAC73" w14:textId="77777777" w:rsidR="00E0507A" w:rsidRPr="00333887" w:rsidRDefault="00E0507A" w:rsidP="00E0507A">
      <w:pPr>
        <w:tabs>
          <w:tab w:val="left" w:pos="1860"/>
        </w:tabs>
        <w:ind w:left="709" w:right="758"/>
        <w:jc w:val="both"/>
        <w:rPr>
          <w:rFonts w:ascii="Arial" w:eastAsia="Arial,Calibri" w:hAnsi="Arial" w:cs="Arial"/>
          <w:color w:val="000000" w:themeColor="text1"/>
          <w:sz w:val="21"/>
          <w:szCs w:val="21"/>
        </w:rPr>
      </w:pPr>
    </w:p>
    <w:p w14:paraId="1E637CA4" w14:textId="77777777" w:rsidR="00E0507A" w:rsidRPr="00333887" w:rsidRDefault="00E0507A" w:rsidP="00E0507A">
      <w:pPr>
        <w:tabs>
          <w:tab w:val="left" w:pos="1860"/>
        </w:tabs>
        <w:ind w:left="709" w:right="758"/>
        <w:jc w:val="both"/>
        <w:rPr>
          <w:rFonts w:ascii="Arial" w:eastAsia="Arial,Calibri" w:hAnsi="Arial" w:cs="Arial"/>
          <w:color w:val="000000" w:themeColor="text1"/>
          <w:sz w:val="21"/>
          <w:szCs w:val="21"/>
        </w:rPr>
      </w:pPr>
      <w:r w:rsidRPr="00333887">
        <w:rPr>
          <w:rFonts w:ascii="Arial" w:hAnsi="Arial" w:cs="Arial"/>
          <w:color w:val="000000" w:themeColor="text1"/>
          <w:sz w:val="21"/>
          <w:szCs w:val="21"/>
        </w:rPr>
        <w:t>El</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método</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ponderación</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se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determinará</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acuerdo</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con</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los</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rangos</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del</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siguiente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cuadro:</w:t>
      </w:r>
      <w:r w:rsidRPr="00333887">
        <w:rPr>
          <w:rFonts w:ascii="Arial" w:eastAsia="Arial,Calibri" w:hAnsi="Arial" w:cs="Arial"/>
          <w:color w:val="000000" w:themeColor="text1"/>
          <w:sz w:val="21"/>
          <w:szCs w:val="21"/>
        </w:rPr>
        <w:t xml:space="preserve"> </w:t>
      </w:r>
    </w:p>
    <w:p w14:paraId="69B15048" w14:textId="77777777" w:rsidR="00E0507A" w:rsidRPr="00333887" w:rsidRDefault="00E0507A" w:rsidP="00E0507A">
      <w:pPr>
        <w:tabs>
          <w:tab w:val="left" w:pos="1860"/>
        </w:tabs>
        <w:ind w:left="709" w:right="758"/>
        <w:jc w:val="both"/>
        <w:rPr>
          <w:rFonts w:ascii="Arial" w:eastAsia="Arial,Calibri" w:hAnsi="Arial" w:cs="Arial"/>
          <w:color w:val="000000" w:themeColor="text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E0507A" w:rsidRPr="00333887" w14:paraId="06049E7B" w14:textId="77777777" w:rsidTr="004A6A97">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5261B68B" w14:textId="77777777" w:rsidR="00E0507A" w:rsidRPr="00333887" w:rsidRDefault="00E0507A" w:rsidP="004A6A97">
            <w:pPr>
              <w:jc w:val="center"/>
              <w:rPr>
                <w:rFonts w:ascii="Arial" w:eastAsia="Arial,Calibri" w:hAnsi="Arial" w:cs="Arial"/>
                <w:b/>
                <w:bCs/>
                <w:color w:val="000000" w:themeColor="text1"/>
                <w:sz w:val="16"/>
                <w:szCs w:val="16"/>
              </w:rPr>
            </w:pPr>
            <w:r w:rsidRPr="00333887">
              <w:rPr>
                <w:rFonts w:ascii="Arial" w:hAnsi="Arial" w:cs="Arial"/>
                <w:b/>
                <w:bCs/>
                <w:color w:val="000000" w:themeColor="text1"/>
                <w:sz w:val="16"/>
                <w:szCs w:val="16"/>
              </w:rPr>
              <w:t>Rango</w:t>
            </w:r>
            <w:r w:rsidRPr="00333887">
              <w:rPr>
                <w:rFonts w:ascii="Arial" w:eastAsia="Arial,Calibri" w:hAnsi="Arial" w:cs="Arial"/>
                <w:b/>
                <w:bCs/>
                <w:color w:val="000000" w:themeColor="text1"/>
                <w:sz w:val="16"/>
                <w:szCs w:val="16"/>
              </w:rPr>
              <w:t xml:space="preserve"> </w:t>
            </w:r>
            <w:r w:rsidRPr="00333887">
              <w:rPr>
                <w:rFonts w:ascii="Arial" w:hAnsi="Arial" w:cs="Arial"/>
                <w:b/>
                <w:bCs/>
                <w:color w:val="000000" w:themeColor="text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09A4CAEA" w14:textId="77777777" w:rsidR="00E0507A" w:rsidRPr="00333887" w:rsidRDefault="00E0507A" w:rsidP="004A6A97">
            <w:pPr>
              <w:jc w:val="center"/>
              <w:rPr>
                <w:rFonts w:ascii="Arial" w:eastAsia="Arial,Calibri" w:hAnsi="Arial" w:cs="Arial"/>
                <w:b/>
                <w:bCs/>
                <w:color w:val="000000" w:themeColor="text1"/>
                <w:sz w:val="16"/>
                <w:szCs w:val="16"/>
              </w:rPr>
            </w:pPr>
            <w:r w:rsidRPr="00333887">
              <w:rPr>
                <w:rFonts w:ascii="Arial" w:hAnsi="Arial" w:cs="Arial"/>
                <w:b/>
                <w:bCs/>
                <w:color w:val="000000" w:themeColor="text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12093360" w14:textId="77777777" w:rsidR="00E0507A" w:rsidRPr="00333887" w:rsidRDefault="00E0507A" w:rsidP="004A6A97">
            <w:pPr>
              <w:jc w:val="center"/>
              <w:rPr>
                <w:rFonts w:ascii="Arial" w:eastAsia="Arial,Calibri" w:hAnsi="Arial" w:cs="Arial"/>
                <w:b/>
                <w:bCs/>
                <w:color w:val="000000" w:themeColor="text1"/>
                <w:sz w:val="16"/>
                <w:szCs w:val="16"/>
              </w:rPr>
            </w:pPr>
            <w:r w:rsidRPr="00333887">
              <w:rPr>
                <w:rFonts w:ascii="Arial" w:hAnsi="Arial" w:cs="Arial"/>
                <w:b/>
                <w:bCs/>
                <w:color w:val="000000" w:themeColor="text1"/>
                <w:sz w:val="16"/>
                <w:szCs w:val="16"/>
              </w:rPr>
              <w:t>Método</w:t>
            </w:r>
          </w:p>
        </w:tc>
      </w:tr>
      <w:tr w:rsidR="00E0507A" w:rsidRPr="00333887" w14:paraId="111499B6" w14:textId="77777777" w:rsidTr="004A6A9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7A40756D" w14:textId="77777777" w:rsidR="00E0507A" w:rsidRPr="00333887" w:rsidRDefault="00E0507A" w:rsidP="004A6A9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15E5BEE7" w14:textId="77777777" w:rsidR="00E0507A" w:rsidRPr="00333887" w:rsidRDefault="00E0507A" w:rsidP="004A6A97">
            <w:pPr>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29D95167" w14:textId="77777777" w:rsidR="00E0507A" w:rsidRPr="00333887" w:rsidRDefault="00E0507A" w:rsidP="004A6A97">
            <w:pPr>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Mediana con valor absoluto</w:t>
            </w:r>
          </w:p>
        </w:tc>
      </w:tr>
      <w:tr w:rsidR="00E0507A" w:rsidRPr="00333887" w14:paraId="237120FF" w14:textId="77777777" w:rsidTr="004A6A97">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5E59A4EC" w14:textId="77777777" w:rsidR="00E0507A" w:rsidRPr="00333887" w:rsidRDefault="00E0507A" w:rsidP="004A6A9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3018C85A" w14:textId="77777777" w:rsidR="00E0507A" w:rsidRPr="00333887" w:rsidRDefault="00E0507A" w:rsidP="004A6A97">
            <w:pPr>
              <w:jc w:val="center"/>
              <w:rPr>
                <w:rFonts w:ascii="Arial" w:eastAsia="Arial,Times New Roman" w:hAnsi="Arial" w:cs="Arial"/>
                <w:color w:val="000000" w:themeColor="text1"/>
                <w:sz w:val="16"/>
                <w:szCs w:val="16"/>
                <w:lang w:val="es-ES" w:eastAsia="es-CO"/>
              </w:rPr>
            </w:pPr>
            <w:r w:rsidRPr="00333887">
              <w:rPr>
                <w:rFonts w:ascii="Arial" w:eastAsia="Arial,Times New Roman" w:hAnsi="Arial" w:cs="Arial"/>
                <w:color w:val="000000" w:themeColor="text1"/>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41CAFDA3" w14:textId="77777777" w:rsidR="00E0507A" w:rsidRPr="00333887" w:rsidRDefault="00E0507A" w:rsidP="004A6A97">
            <w:pPr>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 geométrica</w:t>
            </w:r>
          </w:p>
        </w:tc>
      </w:tr>
      <w:tr w:rsidR="00E0507A" w:rsidRPr="00333887" w14:paraId="3E8912F6" w14:textId="77777777" w:rsidTr="004A6A9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460B94C1" w14:textId="77777777" w:rsidR="00E0507A" w:rsidRPr="00333887" w:rsidRDefault="00E0507A" w:rsidP="004A6A9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455679D8" w14:textId="77777777" w:rsidR="00E0507A" w:rsidRPr="00333887" w:rsidRDefault="00E0507A" w:rsidP="004A6A9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218D231F" w14:textId="77777777" w:rsidR="00E0507A" w:rsidRPr="00333887" w:rsidRDefault="00E0507A" w:rsidP="004A6A9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 aritmética baja</w:t>
            </w:r>
          </w:p>
        </w:tc>
      </w:tr>
      <w:tr w:rsidR="00E0507A" w:rsidRPr="00333887" w14:paraId="7EB35FDD" w14:textId="77777777" w:rsidTr="004A6A97">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2BA931C6" w14:textId="77777777" w:rsidR="00E0507A" w:rsidRPr="00333887" w:rsidRDefault="00E0507A" w:rsidP="004A6A9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14E73A92" w14:textId="77777777" w:rsidR="00E0507A" w:rsidRPr="00333887" w:rsidRDefault="00E0507A" w:rsidP="004A6A9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05BEAB04" w14:textId="77777777" w:rsidR="00E0507A" w:rsidRPr="00333887" w:rsidRDefault="00E0507A" w:rsidP="004A6A9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Menor valor</w:t>
            </w:r>
          </w:p>
        </w:tc>
      </w:tr>
    </w:tbl>
    <w:p w14:paraId="42718FF4" w14:textId="77777777" w:rsidR="00E0507A" w:rsidRPr="00333887" w:rsidRDefault="00E0507A" w:rsidP="00E0507A">
      <w:pPr>
        <w:tabs>
          <w:tab w:val="left" w:pos="1860"/>
        </w:tabs>
        <w:ind w:left="709" w:right="758"/>
        <w:jc w:val="both"/>
        <w:rPr>
          <w:rFonts w:ascii="Arial" w:eastAsia="Calibri" w:hAnsi="Arial" w:cs="Arial"/>
          <w:color w:val="000000" w:themeColor="text1"/>
          <w:sz w:val="21"/>
          <w:szCs w:val="21"/>
        </w:rPr>
      </w:pPr>
    </w:p>
    <w:p w14:paraId="19AC686C" w14:textId="77777777" w:rsidR="00E0507A" w:rsidRDefault="00E0507A" w:rsidP="00E0507A">
      <w:pPr>
        <w:tabs>
          <w:tab w:val="left" w:pos="1860"/>
        </w:tabs>
        <w:ind w:left="709" w:right="758"/>
        <w:jc w:val="both"/>
        <w:rPr>
          <w:rFonts w:ascii="Arial" w:hAnsi="Arial" w:cs="Arial"/>
          <w:color w:val="000000" w:themeColor="text1"/>
          <w:sz w:val="21"/>
          <w:szCs w:val="21"/>
        </w:rPr>
      </w:pPr>
      <w:r w:rsidRPr="00333887">
        <w:rPr>
          <w:rFonts w:ascii="Arial" w:hAnsi="Arial" w:cs="Arial"/>
          <w:color w:val="000000" w:themeColor="text1"/>
          <w:sz w:val="21"/>
          <w:szCs w:val="21"/>
        </w:rPr>
        <w:t>En todos los casos se tendrá en cuenta hasta el séptimo (7°) decimal del valor obtenido como puntaje y las fórmulas se aplicarán con las propuestas que no han sido rechazadas y se encuentran válidas.</w:t>
      </w:r>
    </w:p>
    <w:p w14:paraId="062EB67A" w14:textId="77777777" w:rsidR="00E0507A" w:rsidRDefault="00E0507A" w:rsidP="00E0507A">
      <w:pPr>
        <w:tabs>
          <w:tab w:val="left" w:pos="1860"/>
        </w:tabs>
        <w:ind w:left="709" w:right="758"/>
        <w:jc w:val="both"/>
        <w:rPr>
          <w:rFonts w:ascii="Arial" w:hAnsi="Arial" w:cs="Arial"/>
          <w:color w:val="000000" w:themeColor="text1"/>
          <w:sz w:val="21"/>
          <w:szCs w:val="21"/>
        </w:rPr>
      </w:pPr>
    </w:p>
    <w:p w14:paraId="491B257C" w14:textId="77777777" w:rsidR="00E0507A" w:rsidRPr="00333887" w:rsidRDefault="00E0507A" w:rsidP="00E0507A">
      <w:pPr>
        <w:spacing w:after="240" w:line="276" w:lineRule="auto"/>
        <w:ind w:firstLine="708"/>
        <w:jc w:val="both"/>
        <w:rPr>
          <w:rFonts w:ascii="Arial" w:hAnsi="Arial" w:cs="Arial"/>
          <w:color w:val="000000" w:themeColor="text1"/>
          <w:sz w:val="22"/>
        </w:rPr>
      </w:pPr>
      <w:r w:rsidRPr="00333887">
        <w:rPr>
          <w:rFonts w:ascii="Arial" w:hAnsi="Arial" w:cs="Arial"/>
          <w:color w:val="000000" w:themeColor="text1"/>
          <w:sz w:val="22"/>
        </w:rPr>
        <w:t>Como se observa, la determinación del método para la ponderación de la oferta económica, primero, es aleatoria, tal y como lo dispone el artículo 30, parágrafo 3, inciso 3, de la Ley 80 de 1993, adicionado por el artículo 1 de la Ley 1882 de 2018; segundo, se hace de acuerdo con la tabla previamente transcrita; y, tercera, depende de los centavos de la tasa representativa del mercado. Por ejemplo, si la tasa de representativa del mercado a tener en cuenta es de 3.947,79, el método que se tiene que aplicar es el número 4, esto es, «menor valor», en el caso de la</w:t>
      </w:r>
      <w:r>
        <w:rPr>
          <w:rFonts w:ascii="Arial" w:hAnsi="Arial" w:cs="Arial"/>
          <w:color w:val="000000" w:themeColor="text1"/>
          <w:sz w:val="22"/>
        </w:rPr>
        <w:t xml:space="preserve"> versión 2 de los Pliegos Tipo, </w:t>
      </w:r>
      <w:r w:rsidRPr="00333887">
        <w:rPr>
          <w:rFonts w:ascii="Arial" w:hAnsi="Arial" w:cs="Arial"/>
          <w:color w:val="000000" w:themeColor="text1"/>
          <w:sz w:val="22"/>
        </w:rPr>
        <w:t>porque los centavos de la tasa tomada como ejemplo, son setenta y nueve, esto es, 0.79 si tal cifra se determina en relación en el peso que es la unidad de referencia: setenta y nueve centavos de peso.</w:t>
      </w:r>
    </w:p>
    <w:p w14:paraId="3179E49C" w14:textId="77777777" w:rsidR="00E0507A" w:rsidRPr="00333887" w:rsidRDefault="00E0507A" w:rsidP="00E0507A">
      <w:pPr>
        <w:spacing w:after="240" w:line="276" w:lineRule="auto"/>
        <w:ind w:firstLine="709"/>
        <w:jc w:val="both"/>
        <w:rPr>
          <w:rFonts w:ascii="Arial" w:hAnsi="Arial" w:cs="Arial"/>
          <w:color w:val="000000" w:themeColor="text1"/>
          <w:sz w:val="22"/>
        </w:rPr>
      </w:pPr>
      <w:r w:rsidRPr="00333887">
        <w:rPr>
          <w:rFonts w:ascii="Arial" w:hAnsi="Arial" w:cs="Arial"/>
          <w:color w:val="000000" w:themeColor="text1"/>
          <w:sz w:val="22"/>
        </w:rPr>
        <w:lastRenderedPageBreak/>
        <w:t>Nótese que los Documentos Tipo hacen referencia a la tasa de cambio representativa del mercado −TRM</w:t>
      </w:r>
      <w:r w:rsidRPr="00333887">
        <w:rPr>
          <w:rStyle w:val="Refdenotaalpie"/>
          <w:rFonts w:ascii="Arial" w:hAnsi="Arial" w:cs="Arial"/>
          <w:color w:val="000000" w:themeColor="text1"/>
          <w:sz w:val="22"/>
        </w:rPr>
        <w:footnoteReference w:id="1"/>
      </w:r>
      <w:r w:rsidRPr="00333887">
        <w:rPr>
          <w:rFonts w:ascii="Arial" w:hAnsi="Arial" w:cs="Arial"/>
          <w:color w:val="000000" w:themeColor="text1"/>
          <w:sz w:val="22"/>
        </w:rPr>
        <w:t xml:space="preserve">−, establecida diariamente por la Superintendencia Financiera de Colombia, según lo que establece el artículo 40 de la Resolución Externa No. 1 de 2018 y la Circular Reglamentaria Externa- DODM-146, ambas expedidas por el Banco de la República. </w:t>
      </w:r>
    </w:p>
    <w:p w14:paraId="2C43F0FE" w14:textId="77777777" w:rsidR="00E0507A" w:rsidRPr="00333887" w:rsidRDefault="00E0507A" w:rsidP="00E0507A">
      <w:pPr>
        <w:spacing w:after="240" w:line="276" w:lineRule="auto"/>
        <w:ind w:firstLine="709"/>
        <w:jc w:val="both"/>
        <w:rPr>
          <w:rFonts w:ascii="Arial" w:hAnsi="Arial" w:cs="Arial"/>
          <w:color w:val="000000" w:themeColor="text1"/>
          <w:sz w:val="22"/>
        </w:rPr>
      </w:pPr>
      <w:r w:rsidRPr="00333887">
        <w:rPr>
          <w:rFonts w:ascii="Arial" w:hAnsi="Arial" w:cs="Arial"/>
          <w:color w:val="000000" w:themeColor="text1"/>
          <w:sz w:val="22"/>
        </w:rPr>
        <w:t>Para saber cuál es la TRM que se debe tener en cuenta al determinar el método para la ponderación de la oferta económica, habida cuenta de la dificultad que  se genera por el mercado de valores abre con una TRM del día anterior, pero se cierra con una TRM que, de todos modos, regirá para el día siguiente, es necesario acudir a lo establecido en los Documentos Tipo, para lo que resulta indispensable distinguir si el proceso de contratación estatal se tramita con la versión uno o dos del Sistema Electrónica de Contratación Pública −SECOP−.</w:t>
      </w:r>
    </w:p>
    <w:p w14:paraId="4580FC37" w14:textId="77777777" w:rsidR="00E0507A" w:rsidRPr="00333887" w:rsidRDefault="00E0507A" w:rsidP="00E0507A">
      <w:pPr>
        <w:spacing w:after="240" w:line="276" w:lineRule="auto"/>
        <w:ind w:firstLine="709"/>
        <w:jc w:val="both"/>
        <w:rPr>
          <w:rFonts w:ascii="Arial" w:eastAsia="Calibri" w:hAnsi="Arial" w:cs="Arial"/>
          <w:color w:val="000000" w:themeColor="text1"/>
          <w:sz w:val="22"/>
          <w:lang w:val="es-ES"/>
        </w:rPr>
      </w:pPr>
      <w:r w:rsidRPr="00333887">
        <w:rPr>
          <w:rFonts w:ascii="Arial" w:hAnsi="Arial" w:cs="Arial"/>
          <w:color w:val="000000" w:themeColor="text1"/>
          <w:sz w:val="22"/>
        </w:rPr>
        <w:t>Sea lo primero advertir que l</w:t>
      </w:r>
      <w:r w:rsidRPr="00333887">
        <w:rPr>
          <w:rFonts w:ascii="Arial" w:eastAsia="Calibri" w:hAnsi="Arial" w:cs="Arial"/>
          <w:color w:val="000000" w:themeColor="text1"/>
          <w:sz w:val="22"/>
          <w:lang w:val="es-ES"/>
        </w:rPr>
        <w:t xml:space="preserve">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La medida aplica para los procesos de contratación que se inicien a partir del 1 de enero de 2020. </w:t>
      </w:r>
    </w:p>
    <w:p w14:paraId="0058AFD0" w14:textId="77777777" w:rsidR="00E0507A" w:rsidRPr="00333887" w:rsidRDefault="00E0507A" w:rsidP="00E0507A">
      <w:pPr>
        <w:spacing w:after="240" w:line="276" w:lineRule="auto"/>
        <w:ind w:firstLine="709"/>
        <w:jc w:val="both"/>
        <w:rPr>
          <w:rFonts w:ascii="Arial" w:eastAsia="Calibri" w:hAnsi="Arial" w:cs="Arial"/>
          <w:color w:val="000000" w:themeColor="text1"/>
          <w:sz w:val="22"/>
          <w:lang w:val="es-ES"/>
        </w:rPr>
      </w:pPr>
      <w:r w:rsidRPr="00333887">
        <w:rPr>
          <w:rFonts w:ascii="Arial" w:eastAsia="Calibri" w:hAnsi="Arial" w:cs="Arial"/>
          <w:color w:val="000000" w:themeColor="text1"/>
          <w:sz w:val="22"/>
          <w:lang w:val="es-ES"/>
        </w:rPr>
        <w:t xml:space="preserve">Este plazo fue prorrogado por la Agencia Nacional de Contratación Pública – Colombia Compra Eficiente, mediante la Circular Externa No. 2 de 2019, a través de la cual se amplió «la </w:t>
      </w:r>
      <w:proofErr w:type="gramStart"/>
      <w:r w:rsidRPr="00333887">
        <w:rPr>
          <w:rFonts w:ascii="Arial" w:eastAsia="Calibri" w:hAnsi="Arial" w:cs="Arial"/>
          <w:color w:val="000000" w:themeColor="text1"/>
          <w:sz w:val="22"/>
          <w:lang w:val="es-ES"/>
        </w:rPr>
        <w:t>entrada en vigencia</w:t>
      </w:r>
      <w:proofErr w:type="gramEnd"/>
      <w:r w:rsidRPr="00333887">
        <w:rPr>
          <w:rFonts w:ascii="Arial" w:eastAsia="Calibri" w:hAnsi="Arial" w:cs="Arial"/>
          <w:color w:val="000000" w:themeColor="text1"/>
          <w:sz w:val="22"/>
          <w:lang w:val="es-ES"/>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w:t>
      </w:r>
      <w:r w:rsidRPr="00333887">
        <w:rPr>
          <w:rFonts w:ascii="Arial" w:eastAsia="Calibri" w:hAnsi="Arial" w:cs="Arial"/>
          <w:color w:val="000000" w:themeColor="text1"/>
          <w:sz w:val="22"/>
          <w:lang w:val="es-ES"/>
        </w:rPr>
        <w:lastRenderedPageBreak/>
        <w:t>Carreño, la Gobernación del Guaviare, la Alcaldía de San José del Guaviare, la Gobernación de Vaupés y la Alcaldía de Mitú.</w:t>
      </w:r>
    </w:p>
    <w:p w14:paraId="655D6C44" w14:textId="77777777" w:rsidR="00E0507A" w:rsidRPr="00333887" w:rsidRDefault="00E0507A" w:rsidP="00E0507A">
      <w:pPr>
        <w:spacing w:after="240" w:line="276" w:lineRule="auto"/>
        <w:ind w:firstLine="709"/>
        <w:jc w:val="both"/>
        <w:rPr>
          <w:rFonts w:ascii="Arial" w:eastAsia="Calibri" w:hAnsi="Arial" w:cs="Arial"/>
          <w:color w:val="000000" w:themeColor="text1"/>
          <w:sz w:val="22"/>
          <w:lang w:val="es-ES"/>
        </w:rPr>
      </w:pPr>
      <w:r w:rsidRPr="00333887">
        <w:rPr>
          <w:rFonts w:ascii="Arial" w:eastAsia="Calibri" w:hAnsi="Arial" w:cs="Arial"/>
          <w:color w:val="000000" w:themeColor="text1"/>
          <w:sz w:val="22"/>
          <w:lang w:val="es-ES"/>
        </w:rPr>
        <w:t>Los primeros, porque no alcanzaron a ser capacitados en el uso de la plataforma SECOP II, habida cuenta que los programas de formación a cargo de esta entidad se suspendieron por la emergencia en salud pública ocasionada por el Coronavirus - COVID 19. Los segundos, debido a que «las velocidades de carga son insuficientes para operar la plataforma en [sus] territorios», esto es, por problemas de capacidad técnica de las redes.</w:t>
      </w:r>
    </w:p>
    <w:p w14:paraId="4C0F6544" w14:textId="77777777" w:rsidR="00E0507A" w:rsidRPr="00333887" w:rsidRDefault="00E0507A" w:rsidP="00E0507A">
      <w:pPr>
        <w:spacing w:after="240" w:line="276" w:lineRule="auto"/>
        <w:ind w:firstLine="709"/>
        <w:jc w:val="both"/>
        <w:rPr>
          <w:rFonts w:ascii="Arial" w:hAnsi="Arial" w:cs="Arial"/>
          <w:color w:val="000000" w:themeColor="text1"/>
          <w:sz w:val="22"/>
        </w:rPr>
      </w:pPr>
      <w:r w:rsidRPr="00333887">
        <w:rPr>
          <w:rFonts w:ascii="Arial" w:hAnsi="Arial" w:cs="Arial"/>
          <w:color w:val="000000" w:themeColor="text1"/>
          <w:sz w:val="22"/>
        </w:rPr>
        <w:t>Ahora bien, si la entidad contratante está obligada a llevar el proceso de contratación en la plataforma SECOP II, la TRM que se debe tener en cuenta para la determinación del método de ponderación de la oferta económica, es la que rija para el día en el que abre el segundo sobre −que contiene la oferta económica−. Pero si la entidad no está obligada a utilizar dicha plataforma y, por ende, el proceso contractual se adelanta haciendo uso del SECOP I, la TRM es la que rija el día hábil siguiente a aquel en el que abre el segundo sobre. En efecto, en el numeral 4.1.4. del Documento Base se observa lo siguiente:</w:t>
      </w:r>
    </w:p>
    <w:p w14:paraId="05ACAD89" w14:textId="77777777" w:rsidR="00E0507A" w:rsidRPr="00333887" w:rsidRDefault="00E0507A" w:rsidP="00E0507A">
      <w:pPr>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 deberá incluirse lo siguiente:]</w:t>
      </w:r>
    </w:p>
    <w:p w14:paraId="4C8A0D5A"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w:t>
      </w:r>
    </w:p>
    <w:p w14:paraId="672F1274" w14:textId="77777777" w:rsidR="00E0507A" w:rsidRPr="00333887" w:rsidRDefault="00E0507A" w:rsidP="00E0507A">
      <w:pPr>
        <w:tabs>
          <w:tab w:val="left" w:pos="1860"/>
        </w:tabs>
        <w:ind w:right="760"/>
        <w:jc w:val="both"/>
        <w:rPr>
          <w:rFonts w:ascii="Arial" w:hAnsi="Arial" w:cs="Arial"/>
          <w:color w:val="000000" w:themeColor="text1"/>
          <w:sz w:val="21"/>
          <w:szCs w:val="21"/>
        </w:rPr>
      </w:pPr>
    </w:p>
    <w:p w14:paraId="13E3E767"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 xml:space="preserve">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 [Por ejemplo, si la Audiencia de Adjudicación se realiza el 10 de febrero de 2020 y ese mismo día se abre el segundo sobre, la TRM que se usará para determinar el método de evaluación será la del 11 de febrero de 2020, que se publica en la tarde del 10 de febrero de 2020.] </w:t>
      </w:r>
    </w:p>
    <w:p w14:paraId="2931062E"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p>
    <w:p w14:paraId="58C6C92F"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De esta manera una audiencia iniciada antes que se publique la TRM que rige al día hábil siguiente, podrá desarrollarse totalmente si ese mismo día se abre el sobre económico usando la TRM que publica la Superintendencia Financiera que rija al día hábil siguiente.</w:t>
      </w:r>
    </w:p>
    <w:p w14:paraId="5D20EBEF"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p>
    <w:p w14:paraId="53082430" w14:textId="77777777" w:rsidR="00E0507A" w:rsidRPr="00333887" w:rsidRDefault="00E0507A" w:rsidP="00E0507A">
      <w:pPr>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II deberá incluirse lo siguiente:]</w:t>
      </w:r>
    </w:p>
    <w:p w14:paraId="7A6122A5"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w:t>
      </w:r>
    </w:p>
    <w:p w14:paraId="7B7B12A4"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p>
    <w:p w14:paraId="3B8723C6" w14:textId="77777777" w:rsidR="00E0507A" w:rsidRPr="00333887" w:rsidRDefault="00E0507A" w:rsidP="00E0507A">
      <w:pPr>
        <w:tabs>
          <w:tab w:val="left" w:pos="1860"/>
        </w:tabs>
        <w:spacing w:after="240"/>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 xml:space="preserve">La TRM que la Entidad utilizará para determinar el método de ponderación será la que rija el día en que efectivamente realice la apertura del segundo sobre. Esto es, la que la Superintendencia Financiera publique en horas de la tarde el día anterior a la apertura del segundo sobre. [Por ejemplo, si la Audiencia de Adjudicación se realiza el 10 de febrero y ese mismo día se abre el segundo </w:t>
      </w:r>
      <w:r w:rsidRPr="00333887">
        <w:rPr>
          <w:rFonts w:ascii="Arial" w:hAnsi="Arial" w:cs="Arial"/>
          <w:color w:val="000000" w:themeColor="text1"/>
          <w:sz w:val="21"/>
          <w:szCs w:val="21"/>
        </w:rPr>
        <w:lastRenderedPageBreak/>
        <w:t xml:space="preserve">sobre, la TRM que se usará para determinar el método de evaluación será la que rige el 10 de febrero, que se publica en la tarde del 9 de febrero] </w:t>
      </w:r>
    </w:p>
    <w:p w14:paraId="4A74490E" w14:textId="77777777" w:rsidR="00E0507A" w:rsidRPr="00333887" w:rsidRDefault="00E0507A" w:rsidP="00E0507A">
      <w:pPr>
        <w:spacing w:after="240" w:line="276" w:lineRule="auto"/>
        <w:ind w:firstLine="709"/>
        <w:jc w:val="both"/>
        <w:rPr>
          <w:rFonts w:ascii="Arial" w:hAnsi="Arial" w:cs="Arial"/>
          <w:color w:val="000000" w:themeColor="text1"/>
          <w:sz w:val="22"/>
        </w:rPr>
      </w:pPr>
      <w:r w:rsidRPr="00333887">
        <w:rPr>
          <w:rFonts w:ascii="Arial" w:hAnsi="Arial" w:cs="Arial"/>
          <w:color w:val="000000" w:themeColor="text1"/>
          <w:sz w:val="22"/>
        </w:rPr>
        <w:t xml:space="preserve">Es del caso precisar que el momento para tener en cuenta es el de la apertura de sobre y no el del inicio de la </w:t>
      </w:r>
      <w:r w:rsidRPr="00333887">
        <w:rPr>
          <w:rFonts w:ascii="Arial" w:hAnsi="Arial" w:cs="Arial"/>
          <w:i/>
          <w:iCs/>
          <w:color w:val="000000" w:themeColor="text1"/>
          <w:sz w:val="22"/>
        </w:rPr>
        <w:t>audiencia efectiva de adjudicación</w:t>
      </w:r>
      <w:r w:rsidRPr="00333887">
        <w:rPr>
          <w:rFonts w:ascii="Arial" w:hAnsi="Arial" w:cs="Arial"/>
          <w:color w:val="000000" w:themeColor="text1"/>
          <w:sz w:val="22"/>
        </w:rPr>
        <w:t>, pues puede pasar, por ejemplo, que dicha audiencia inicie el 1 de mayo de 2020, que ese mismo día se respondan y resuelvan las observaciones presentadas al informe final de evaluación, pero que sea necesario suspender la audiencia y reanudarla al día siguiente porque no se alcanzó a abrir el segundo sobre. En este caso hipotético, aunque la diligencia inició el 1 de mayo de 2020, lo cierto es que el momento que se debe tener en cuenta, para efectos de la determinación del método de ponderación de la oferta económica, es de la apertura efectiva del segundo sobre, para el caso presentado a título ilustrativo, el 2 de mayo de 2020. Tal circunstancia se reconoce expresamente en el Documento Base, en estos términos:</w:t>
      </w:r>
    </w:p>
    <w:p w14:paraId="6A238E07" w14:textId="77777777" w:rsidR="00E0507A" w:rsidRPr="00333887" w:rsidRDefault="00E0507A" w:rsidP="00E0507A">
      <w:pPr>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 deberá incluirse lo siguiente:]</w:t>
      </w:r>
    </w:p>
    <w:p w14:paraId="710C8A9E"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p>
    <w:p w14:paraId="092EB4B5"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 xml:space="preserve">El día de la audiencia efectiva de adjudicación la Entidad iniciará respondiendo y resolviendo las observaciones presentadas al informe de evaluación. Acto seguido, la Entidad abrirá los sobres de las ofertas económicas y definirá el método de ponderación de las propuestas de acuerdo con la TRM que rija al día hábil siguiente. </w:t>
      </w:r>
    </w:p>
    <w:p w14:paraId="5FD7270B"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p>
    <w:p w14:paraId="5C01C00A"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el evento que la Entidad no agote la actividad prevista en la primera parte del párrafo anterior y deba suspender la audiencia, se tendrá como método de ponderación el que rija el día hábil siguiente del día en que efectivamente sea la apertura del segundo sobre.</w:t>
      </w:r>
    </w:p>
    <w:p w14:paraId="4A3120D1"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w:t>
      </w:r>
    </w:p>
    <w:p w14:paraId="59C4BBF4"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p>
    <w:p w14:paraId="6B6B6B29" w14:textId="77777777" w:rsidR="00E0507A" w:rsidRPr="00333887" w:rsidRDefault="00E0507A" w:rsidP="00E0507A">
      <w:pPr>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II deberá incluirse lo siguiente:]</w:t>
      </w:r>
    </w:p>
    <w:p w14:paraId="12FAF6D6"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p>
    <w:p w14:paraId="40DC3BCB"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 xml:space="preserve">El día de la audiencia efectiva de adjudicación la Entidad iniciará respondiendo y resolviendo las observaciones presentadas al informe de evaluación. Acto seguido, la Entidad abrirá los sobres de las ofertas económicas y definirá el método de ponderación de las propuestas de acuerdo con la TRM que rija ese mismo día. </w:t>
      </w:r>
    </w:p>
    <w:p w14:paraId="5BEEC298" w14:textId="77777777" w:rsidR="00E0507A" w:rsidRPr="00333887" w:rsidRDefault="00E0507A" w:rsidP="00E0507A">
      <w:pPr>
        <w:tabs>
          <w:tab w:val="left" w:pos="1860"/>
        </w:tabs>
        <w:ind w:left="709" w:right="760"/>
        <w:jc w:val="both"/>
        <w:rPr>
          <w:rFonts w:ascii="Arial" w:hAnsi="Arial" w:cs="Arial"/>
          <w:color w:val="000000" w:themeColor="text1"/>
          <w:sz w:val="21"/>
          <w:szCs w:val="21"/>
        </w:rPr>
      </w:pPr>
    </w:p>
    <w:p w14:paraId="71AC37FA" w14:textId="77777777" w:rsidR="00E0507A" w:rsidRPr="00333887" w:rsidRDefault="00E0507A" w:rsidP="00E0507A">
      <w:pPr>
        <w:tabs>
          <w:tab w:val="left" w:pos="1860"/>
        </w:tabs>
        <w:spacing w:after="240"/>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el evento que la Entidad no agote la actividad prevista en la primera parte del párrafo anterior y deba suspender la audiencia, se tendrá como método de ponderación el que rija el día en que efectivamente realice la apertura del segundo sobre. […]</w:t>
      </w:r>
    </w:p>
    <w:p w14:paraId="76EC6E33" w14:textId="77777777" w:rsidR="00E0507A" w:rsidRPr="00333887" w:rsidRDefault="00E0507A" w:rsidP="00E0507A">
      <w:pPr>
        <w:spacing w:after="240" w:line="276" w:lineRule="auto"/>
        <w:ind w:firstLine="708"/>
        <w:jc w:val="both"/>
        <w:rPr>
          <w:rFonts w:ascii="Arial" w:hAnsi="Arial" w:cs="Arial"/>
          <w:color w:val="000000" w:themeColor="text1"/>
          <w:sz w:val="22"/>
        </w:rPr>
      </w:pPr>
      <w:r>
        <w:rPr>
          <w:rFonts w:ascii="Arial" w:hAnsi="Arial" w:cs="Arial"/>
          <w:color w:val="000000" w:themeColor="text1"/>
          <w:sz w:val="22"/>
        </w:rPr>
        <w:t>Es del caso</w:t>
      </w:r>
      <w:r w:rsidRPr="00333887">
        <w:rPr>
          <w:rFonts w:ascii="Arial" w:hAnsi="Arial" w:cs="Arial"/>
          <w:color w:val="000000" w:themeColor="text1"/>
          <w:sz w:val="22"/>
        </w:rPr>
        <w:t xml:space="preserve"> precisar que, de todos modos, la apertura del segundo sobre y la definición del método de ponderación de las ofertas económicas, se tienen que hacer en un mismo día.</w:t>
      </w:r>
    </w:p>
    <w:p w14:paraId="674C8872" w14:textId="77777777" w:rsidR="00E0507A" w:rsidRDefault="00E0507A" w:rsidP="00E0507A">
      <w:pPr>
        <w:spacing w:after="240" w:line="276" w:lineRule="auto"/>
        <w:jc w:val="both"/>
        <w:rPr>
          <w:rFonts w:ascii="Arial" w:hAnsi="Arial" w:cs="Arial"/>
          <w:color w:val="000000" w:themeColor="text1"/>
          <w:sz w:val="22"/>
        </w:rPr>
      </w:pPr>
      <w:r w:rsidRPr="00333887">
        <w:rPr>
          <w:rFonts w:ascii="Arial" w:hAnsi="Arial" w:cs="Arial"/>
          <w:color w:val="000000" w:themeColor="text1"/>
          <w:sz w:val="22"/>
        </w:rPr>
        <w:lastRenderedPageBreak/>
        <w:tab/>
        <w:t xml:space="preserve">De acuerdo a lo dicho en los párrafos precedentes, en un caso hipotético en el que el segundo sobre se abrió el 1 de febrero de 2020, la TRM será la del 1 de febrero de 2020, si el proceso contractual se tramita por la plataforma SECOP II; pero si el proceso se tramita por el SECOP I, la TRM será la del 2 de febrero de 2020 −o la del día hábil siguiente </w:t>
      </w:r>
      <w:r>
        <w:rPr>
          <w:rFonts w:ascii="Arial" w:hAnsi="Arial" w:cs="Arial"/>
          <w:color w:val="000000" w:themeColor="text1"/>
          <w:sz w:val="22"/>
        </w:rPr>
        <w:t xml:space="preserve">si este día no lo es−, la cual </w:t>
      </w:r>
      <w:r w:rsidRPr="00333887">
        <w:rPr>
          <w:rFonts w:ascii="Arial" w:hAnsi="Arial" w:cs="Arial"/>
          <w:color w:val="000000" w:themeColor="text1"/>
          <w:sz w:val="22"/>
        </w:rPr>
        <w:t xml:space="preserve">se conoce desde el día anterior. En relación con esta última hipótesis, consideramos indispensable aclarar que la «[…] audiencia iniciada antes que se publique la TRM que rige al día hábil siguiente, podrá desarrollarse totalmente [únicamente] si ese mismo día se abre el sobre económico usando la TRM que publica la Superintendencia Financiera que rija al día hábil siguiente». </w:t>
      </w:r>
      <w:r>
        <w:rPr>
          <w:rFonts w:ascii="Arial" w:hAnsi="Arial" w:cs="Arial"/>
          <w:color w:val="000000" w:themeColor="text1"/>
          <w:sz w:val="22"/>
        </w:rPr>
        <w:t xml:space="preserve">En este sentido, tratándose de SECOP I, si la apertura del segundo sobre se realiza en las horas de la mañana la entidad debe esperar a que se expida la TRM que rige al día siguiente para determinar el factor de ponderación aplicable al proceso de contratación. </w:t>
      </w:r>
    </w:p>
    <w:p w14:paraId="7E1B693B" w14:textId="77777777" w:rsidR="00E0507A" w:rsidRDefault="00E0507A" w:rsidP="00E0507A">
      <w:pPr>
        <w:spacing w:after="240" w:line="276" w:lineRule="auto"/>
        <w:ind w:firstLine="709"/>
        <w:jc w:val="both"/>
        <w:rPr>
          <w:rFonts w:ascii="Arial" w:eastAsia="Times New Roman" w:hAnsi="Arial" w:cs="Arial"/>
          <w:sz w:val="22"/>
        </w:rPr>
      </w:pPr>
      <w:r>
        <w:rPr>
          <w:rFonts w:ascii="Arial" w:eastAsia="Calibri" w:hAnsi="Arial" w:cs="Arial"/>
          <w:sz w:val="22"/>
        </w:rPr>
        <w:t xml:space="preserve">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ya que es certificada por la Superintendencia Financiera de Colombia. </w:t>
      </w:r>
      <w:r w:rsidRPr="000B55FB">
        <w:rPr>
          <w:rFonts w:ascii="Arial" w:eastAsia="Times New Roman" w:hAnsi="Arial" w:cs="Arial"/>
          <w:sz w:val="22"/>
        </w:rPr>
        <w:t>Con relación a</w:t>
      </w:r>
      <w:r>
        <w:rPr>
          <w:rFonts w:ascii="Arial" w:eastAsia="Times New Roman" w:hAnsi="Arial" w:cs="Arial"/>
          <w:sz w:val="22"/>
        </w:rPr>
        <w:t xml:space="preserve"> </w:t>
      </w:r>
      <w:r w:rsidRPr="000B55FB">
        <w:rPr>
          <w:rFonts w:ascii="Arial" w:eastAsia="Times New Roman" w:hAnsi="Arial" w:cs="Arial"/>
          <w:sz w:val="22"/>
        </w:rPr>
        <w:t>l</w:t>
      </w:r>
      <w:r>
        <w:rPr>
          <w:rFonts w:ascii="Arial" w:eastAsia="Times New Roman" w:hAnsi="Arial" w:cs="Arial"/>
          <w:sz w:val="22"/>
        </w:rPr>
        <w:t>os</w:t>
      </w:r>
      <w:r w:rsidRPr="000B55FB">
        <w:rPr>
          <w:rFonts w:ascii="Arial" w:eastAsia="Times New Roman" w:hAnsi="Arial" w:cs="Arial"/>
          <w:sz w:val="22"/>
        </w:rPr>
        <w:t xml:space="preserve"> método</w:t>
      </w:r>
      <w:r>
        <w:rPr>
          <w:rFonts w:ascii="Arial" w:eastAsia="Times New Roman" w:hAnsi="Arial" w:cs="Arial"/>
          <w:sz w:val="22"/>
        </w:rPr>
        <w:t>s</w:t>
      </w:r>
      <w:r w:rsidRPr="000B55FB">
        <w:rPr>
          <w:rFonts w:ascii="Arial" w:eastAsia="Times New Roman" w:hAnsi="Arial" w:cs="Arial"/>
          <w:sz w:val="22"/>
        </w:rPr>
        <w:t xml:space="preserve"> de ponderación aplicable</w:t>
      </w:r>
      <w:r>
        <w:rPr>
          <w:rFonts w:ascii="Arial" w:eastAsia="Times New Roman" w:hAnsi="Arial" w:cs="Arial"/>
          <w:sz w:val="22"/>
        </w:rPr>
        <w:t>s</w:t>
      </w:r>
      <w:r w:rsidRPr="000B55FB">
        <w:rPr>
          <w:rFonts w:ascii="Arial" w:eastAsia="Times New Roman" w:hAnsi="Arial" w:cs="Arial"/>
          <w:sz w:val="22"/>
        </w:rPr>
        <w:t xml:space="preserve"> </w:t>
      </w:r>
      <w:r>
        <w:rPr>
          <w:rFonts w:ascii="Arial" w:eastAsia="Times New Roman" w:hAnsi="Arial" w:cs="Arial"/>
          <w:sz w:val="22"/>
        </w:rPr>
        <w:t>al</w:t>
      </w:r>
      <w:r w:rsidRPr="000B55FB">
        <w:rPr>
          <w:rFonts w:ascii="Arial" w:eastAsia="Times New Roman" w:hAnsi="Arial" w:cs="Arial"/>
          <w:sz w:val="22"/>
        </w:rPr>
        <w:t xml:space="preserve"> proce</w:t>
      </w:r>
      <w:r>
        <w:rPr>
          <w:rFonts w:ascii="Arial" w:eastAsia="Times New Roman" w:hAnsi="Arial" w:cs="Arial"/>
          <w:sz w:val="22"/>
        </w:rPr>
        <w:t>dimiento</w:t>
      </w:r>
      <w:r w:rsidRPr="000B55FB">
        <w:rPr>
          <w:rFonts w:ascii="Arial" w:eastAsia="Times New Roman" w:hAnsi="Arial" w:cs="Arial"/>
          <w:sz w:val="22"/>
        </w:rPr>
        <w:t xml:space="preserve"> de contratación</w:t>
      </w:r>
      <w:r>
        <w:rPr>
          <w:rFonts w:ascii="Arial" w:eastAsia="Times New Roman" w:hAnsi="Arial" w:cs="Arial"/>
          <w:sz w:val="22"/>
        </w:rPr>
        <w:t>, e</w:t>
      </w:r>
      <w:r w:rsidRPr="000B55FB">
        <w:rPr>
          <w:rFonts w:ascii="Arial" w:eastAsia="Times New Roman" w:hAnsi="Arial" w:cs="Arial"/>
          <w:sz w:val="22"/>
        </w:rPr>
        <w:t>n cuanto a la apertura de los sobres No</w:t>
      </w:r>
      <w:r>
        <w:rPr>
          <w:rFonts w:ascii="Arial" w:eastAsia="Times New Roman" w:hAnsi="Arial" w:cs="Arial"/>
          <w:sz w:val="22"/>
        </w:rPr>
        <w:t>.</w:t>
      </w:r>
      <w:r w:rsidRPr="000B55FB">
        <w:rPr>
          <w:rFonts w:ascii="Arial" w:eastAsia="Times New Roman" w:hAnsi="Arial" w:cs="Arial"/>
          <w:sz w:val="22"/>
        </w:rPr>
        <w:t xml:space="preserve"> 2, </w:t>
      </w:r>
      <w:r>
        <w:rPr>
          <w:rFonts w:ascii="Arial" w:eastAsia="Times New Roman" w:hAnsi="Arial" w:cs="Arial"/>
          <w:sz w:val="22"/>
        </w:rPr>
        <w:t>el Documento Base señala que «</w:t>
      </w:r>
      <w:r w:rsidRPr="001E0FFC">
        <w:rPr>
          <w:rFonts w:ascii="Arial" w:eastAsia="Times New Roman" w:hAnsi="Arial" w:cs="Arial"/>
          <w:sz w:val="22"/>
        </w:rPr>
        <w:t>la Entidad debe agotar la apertura de los sobres económicos y la definición del método de ponderación en un mismo día. Igualmente, el método definido el día de la apertura del sobre económico seguirá rigiendo aun cuando la Entidad deba suspender la audiencia</w:t>
      </w:r>
      <w:r>
        <w:rPr>
          <w:rFonts w:ascii="Arial" w:eastAsia="Times New Roman" w:hAnsi="Arial" w:cs="Arial"/>
          <w:sz w:val="22"/>
        </w:rPr>
        <w:t>»</w:t>
      </w:r>
      <w:r w:rsidRPr="001E0FFC">
        <w:rPr>
          <w:rFonts w:ascii="Arial" w:eastAsia="Times New Roman" w:hAnsi="Arial" w:cs="Arial"/>
          <w:sz w:val="22"/>
        </w:rPr>
        <w:t>.</w:t>
      </w:r>
    </w:p>
    <w:p w14:paraId="7CA10B3E" w14:textId="77777777" w:rsidR="00E0507A" w:rsidRDefault="00E0507A" w:rsidP="00E0507A">
      <w:pPr>
        <w:spacing w:after="240" w:line="276" w:lineRule="auto"/>
        <w:ind w:firstLine="709"/>
        <w:jc w:val="both"/>
        <w:rPr>
          <w:rFonts w:ascii="Arial" w:eastAsia="Calibri" w:hAnsi="Arial" w:cs="Arial"/>
          <w:sz w:val="22"/>
        </w:rPr>
      </w:pPr>
      <w:r>
        <w:rPr>
          <w:rFonts w:ascii="Arial" w:eastAsia="Times New Roman" w:hAnsi="Arial" w:cs="Arial"/>
          <w:sz w:val="22"/>
        </w:rPr>
        <w:t xml:space="preserve">De acuerdo con su consulta se presenta la situación en que la entidad se encuentra en la apertura de los sobres No. 2 y la </w:t>
      </w:r>
      <w:r>
        <w:rPr>
          <w:rFonts w:ascii="Arial" w:eastAsia="Calibri" w:hAnsi="Arial" w:cs="Arial"/>
          <w:sz w:val="22"/>
        </w:rPr>
        <w:t>Superintendencia Financiera de Colombia certifica la TRM del día siguiente, sin que la entidad haya finalizado la apertura de los sobres.</w:t>
      </w:r>
    </w:p>
    <w:p w14:paraId="493951D1" w14:textId="77777777" w:rsidR="00E0507A" w:rsidRDefault="00E0507A" w:rsidP="00E0507A">
      <w:pPr>
        <w:spacing w:after="240" w:line="276" w:lineRule="auto"/>
        <w:ind w:firstLine="709"/>
        <w:jc w:val="both"/>
        <w:rPr>
          <w:rFonts w:ascii="Arial" w:eastAsia="Calibri" w:hAnsi="Arial" w:cs="Arial"/>
          <w:sz w:val="22"/>
        </w:rPr>
      </w:pPr>
      <w:bookmarkStart w:id="1" w:name="_Hlk37983941"/>
      <w:r>
        <w:rPr>
          <w:rFonts w:ascii="Arial" w:eastAsia="Calibri" w:hAnsi="Arial" w:cs="Arial"/>
          <w:sz w:val="22"/>
        </w:rPr>
        <w:t>En el caso señalado en la petición se debe tener en cuenta que la entidad debe dar apertura a los sobres No. 2 en un mismo día, sin importar que durante ese procedimiento se conozca la TRM del día siguiente, ya que de acuerdo con esta se definirá el método de ponderación que no varía a pesar de que la entidad continúe realizando la apertura de las ofertas económicas, ya que de acuerdo con el Documento Base, el método seguirá rigiendo aun cuando se suspenda la audiencia de adjudicación.</w:t>
      </w:r>
    </w:p>
    <w:bookmarkEnd w:id="1"/>
    <w:p w14:paraId="3704A85A" w14:textId="77777777" w:rsidR="00E0507A" w:rsidRDefault="00E0507A" w:rsidP="00E0507A">
      <w:pPr>
        <w:spacing w:after="240" w:line="276" w:lineRule="auto"/>
        <w:ind w:firstLine="709"/>
        <w:jc w:val="both"/>
        <w:rPr>
          <w:rFonts w:ascii="Arial" w:hAnsi="Arial" w:cs="Arial"/>
          <w:sz w:val="22"/>
        </w:rPr>
      </w:pPr>
      <w:r>
        <w:rPr>
          <w:rFonts w:ascii="Arial" w:eastAsia="Calibri" w:hAnsi="Arial" w:cs="Arial"/>
          <w:sz w:val="22"/>
        </w:rPr>
        <w:t xml:space="preserve">Finalmente, se advierte que la petición también señala que la apertura de los sobres No. 2 que contienen la oferta económica comenzó después de que la Superintendencia Financiera de Colombia publicara la TRM aplicable para el día hábil siguiente a la apertura; frente a este supuesto se aclara que, a pesar que, al momento de abrir la oferta económica, la entidad y los proponentes conocieran la TRM aplicable, esto no afecta la determinación de la TRM que definirá el método de ponderación de las ofertas económicas y no necesario </w:t>
      </w:r>
      <w:r>
        <w:rPr>
          <w:rFonts w:ascii="Arial" w:eastAsia="Calibri" w:hAnsi="Arial" w:cs="Arial"/>
          <w:sz w:val="22"/>
        </w:rPr>
        <w:lastRenderedPageBreak/>
        <w:t xml:space="preserve">considerar otra. Así, de acuerdo con lo señalado en el Documento Base de los Documentos Tipo, </w:t>
      </w:r>
      <w:r>
        <w:rPr>
          <w:rFonts w:ascii="Arial" w:hAnsi="Arial" w:cs="Arial"/>
          <w:sz w:val="22"/>
        </w:rPr>
        <w:t xml:space="preserve">se deberá aplicar la TRM del día hábil siguiente, </w:t>
      </w:r>
      <w:proofErr w:type="gramStart"/>
      <w:r>
        <w:rPr>
          <w:rFonts w:ascii="Arial" w:hAnsi="Arial" w:cs="Arial"/>
          <w:sz w:val="22"/>
        </w:rPr>
        <w:t>a pesar que</w:t>
      </w:r>
      <w:proofErr w:type="gramEnd"/>
      <w:r>
        <w:rPr>
          <w:rFonts w:ascii="Arial" w:hAnsi="Arial" w:cs="Arial"/>
          <w:sz w:val="22"/>
        </w:rPr>
        <w:t xml:space="preserve"> fuese conocida por los proponentes y la entidad antes de la efectiva apertura de los sobres. </w:t>
      </w:r>
    </w:p>
    <w:p w14:paraId="48BB4DFA" w14:textId="77777777" w:rsidR="00E0507A" w:rsidRPr="000B55FB" w:rsidRDefault="00E0507A" w:rsidP="00E0507A">
      <w:pPr>
        <w:pStyle w:val="Prrafodelista"/>
        <w:tabs>
          <w:tab w:val="left" w:pos="284"/>
        </w:tabs>
        <w:spacing w:line="276" w:lineRule="auto"/>
        <w:ind w:left="0"/>
        <w:jc w:val="both"/>
        <w:rPr>
          <w:rFonts w:ascii="Arial" w:eastAsia="Calibri" w:hAnsi="Arial" w:cs="Arial"/>
          <w:sz w:val="22"/>
        </w:rPr>
      </w:pPr>
      <w:r w:rsidRPr="000B55FB">
        <w:rPr>
          <w:rFonts w:ascii="Arial" w:eastAsia="Calibri" w:hAnsi="Arial" w:cs="Arial"/>
          <w:b/>
          <w:sz w:val="22"/>
        </w:rPr>
        <w:t>3. Respuestas</w:t>
      </w:r>
    </w:p>
    <w:p w14:paraId="54AB3C05" w14:textId="77777777" w:rsidR="00E0507A" w:rsidRPr="00DA1FD5" w:rsidRDefault="00E0507A" w:rsidP="00E0507A">
      <w:pPr>
        <w:spacing w:line="276" w:lineRule="auto"/>
        <w:ind w:left="709" w:right="709"/>
        <w:jc w:val="both"/>
        <w:rPr>
          <w:rFonts w:ascii="Arial" w:eastAsia="Calibri" w:hAnsi="Arial" w:cs="Arial"/>
          <w:iCs/>
          <w:sz w:val="22"/>
        </w:rPr>
      </w:pPr>
    </w:p>
    <w:p w14:paraId="482A819A" w14:textId="77777777" w:rsidR="00E0507A" w:rsidRPr="005275FD" w:rsidRDefault="00E0507A" w:rsidP="00E0507A">
      <w:pPr>
        <w:ind w:left="709" w:right="709"/>
        <w:jc w:val="both"/>
        <w:rPr>
          <w:rFonts w:ascii="Arial" w:eastAsia="Calibri" w:hAnsi="Arial" w:cs="Arial"/>
          <w:sz w:val="21"/>
          <w:szCs w:val="21"/>
          <w:lang w:val="es-CO"/>
        </w:rPr>
      </w:pPr>
      <w:r>
        <w:rPr>
          <w:rFonts w:ascii="Arial" w:eastAsia="Calibri" w:hAnsi="Arial" w:cs="Arial"/>
          <w:sz w:val="21"/>
          <w:szCs w:val="21"/>
        </w:rPr>
        <w:t xml:space="preserve">Teniendo en cuenta que antes o durante la apertura de los sobres económicos se conoce la TRM del día hábil siguiente </w:t>
      </w:r>
      <w:r w:rsidRPr="005275FD">
        <w:rPr>
          <w:rFonts w:ascii="Arial" w:eastAsia="Calibri" w:hAnsi="Arial" w:cs="Arial"/>
          <w:sz w:val="21"/>
          <w:szCs w:val="21"/>
        </w:rPr>
        <w:t>«¿Cuál TRM se aplicaría, para la evaluación de las ofertas, la conocida de antemano por la entidad o la que rija el día hábil siguiente de haberse surtido EFECTIVAMENTE los procedimientos de apertura, Corrección y traslado del contenido de todos los sobres económicos? […] ¿La entidad debe garantizar que primero se conozcan por todos los oferentes, los valores ofertados antes de que se conozca la TRM?»</w:t>
      </w:r>
    </w:p>
    <w:p w14:paraId="21BADF77" w14:textId="77777777" w:rsidR="00E0507A" w:rsidRPr="00D87626" w:rsidRDefault="00E0507A" w:rsidP="00E0507A">
      <w:pPr>
        <w:spacing w:line="276" w:lineRule="auto"/>
        <w:ind w:left="708" w:right="709"/>
        <w:jc w:val="both"/>
        <w:rPr>
          <w:rFonts w:ascii="Arial" w:eastAsia="Calibri" w:hAnsi="Arial" w:cs="Arial"/>
          <w:sz w:val="22"/>
        </w:rPr>
      </w:pPr>
    </w:p>
    <w:p w14:paraId="191BAF00" w14:textId="77777777" w:rsidR="00E0507A" w:rsidRPr="00333887" w:rsidRDefault="00E0507A" w:rsidP="00E0507A">
      <w:pPr>
        <w:tabs>
          <w:tab w:val="left" w:pos="709"/>
        </w:tabs>
        <w:spacing w:before="120" w:after="240" w:line="276" w:lineRule="auto"/>
        <w:jc w:val="both"/>
        <w:rPr>
          <w:rFonts w:ascii="Arial" w:hAnsi="Arial" w:cs="Arial"/>
          <w:color w:val="000000" w:themeColor="text1"/>
          <w:sz w:val="22"/>
        </w:rPr>
      </w:pPr>
      <w:r w:rsidRPr="00333887">
        <w:rPr>
          <w:rFonts w:ascii="Arial" w:hAnsi="Arial" w:cs="Arial"/>
          <w:color w:val="000000" w:themeColor="text1"/>
          <w:sz w:val="22"/>
        </w:rPr>
        <w:t>Si la entidad contratante está obligada a llevar el proceso de contratación en la plataforma SECOP II, la TRM que se debe tener en cuenta para la determinación del método de ponderación de la oferta económica, es la que rija para el día en el que abre el segundo sobre −que contiene la oferta económica−. Pero si la entidad no está obligada a utilizar dicha plataforma y, por ende, el proceso contractual se adelanta haciendo uso del SECOP I, la TRM es la que rija el día hábil siguiente a aquel en el que se abre el segundo sobre.</w:t>
      </w:r>
    </w:p>
    <w:p w14:paraId="56155383" w14:textId="77777777" w:rsidR="00E0507A" w:rsidRPr="00333887" w:rsidRDefault="00E0507A" w:rsidP="00E0507A">
      <w:pPr>
        <w:tabs>
          <w:tab w:val="left" w:pos="709"/>
        </w:tabs>
        <w:spacing w:before="120" w:after="240" w:line="276" w:lineRule="auto"/>
        <w:jc w:val="both"/>
        <w:rPr>
          <w:rFonts w:ascii="Arial" w:hAnsi="Arial" w:cs="Arial"/>
          <w:color w:val="000000" w:themeColor="text1"/>
          <w:sz w:val="22"/>
        </w:rPr>
      </w:pPr>
      <w:r w:rsidRPr="00333887">
        <w:rPr>
          <w:rFonts w:ascii="Arial" w:hAnsi="Arial" w:cs="Arial"/>
          <w:color w:val="000000" w:themeColor="text1"/>
          <w:sz w:val="22"/>
        </w:rPr>
        <w:tab/>
        <w:t>Es del caso precisar que el momento para tener en cuenta es el de la apertura de sobre y no el del inicio de la audiencia efectiva de adjudicación, pues puede pasar, por ejemplo, que dicha audiencia inicie el 1 de mayo de 2020, que ese mismo día se respondan y resuelvan las observaciones presentadas al informe final de evaluación, pero que sea necesario suspender la audiencia y reanudarla al día siguiente porque no se alcanzó a abrir el segundo sobre. En este caso hipotético, aunque la diligencia inició el 1 de mayo de 2020, lo cierto es que el momento que se debe tener en cuenta, para efectos de la determinación del método de ponderación de la oferta económica, es de la apertura efectiva del segundo sobre, para el caso presentado a título ilustrativo, el 2 de mayo de 2020.</w:t>
      </w:r>
    </w:p>
    <w:p w14:paraId="0B31B17E" w14:textId="77777777" w:rsidR="00E0507A" w:rsidRDefault="00E0507A" w:rsidP="00E0507A">
      <w:pPr>
        <w:autoSpaceDE w:val="0"/>
        <w:autoSpaceDN w:val="0"/>
        <w:adjustRightInd w:val="0"/>
        <w:spacing w:after="240" w:line="276" w:lineRule="auto"/>
        <w:ind w:firstLine="708"/>
        <w:jc w:val="both"/>
        <w:rPr>
          <w:rFonts w:ascii="Arial" w:eastAsia="Calibri" w:hAnsi="Arial" w:cs="Arial"/>
          <w:sz w:val="22"/>
        </w:rPr>
      </w:pPr>
      <w:r w:rsidRPr="00D87626">
        <w:rPr>
          <w:rFonts w:ascii="Arial" w:eastAsia="Calibri" w:hAnsi="Arial" w:cs="Arial"/>
          <w:sz w:val="22"/>
        </w:rPr>
        <w:t xml:space="preserve">En consecuencia, </w:t>
      </w:r>
      <w:r>
        <w:rPr>
          <w:rFonts w:ascii="Arial" w:eastAsia="Calibri" w:hAnsi="Arial" w:cs="Arial"/>
          <w:sz w:val="22"/>
        </w:rPr>
        <w:t>tratándose de procesos que se realicen a través del SECOP I, si la entidad comienza la apertura de ofertas antes de que se publique la TRM y cuando esta se conoce la entidad no ha finalizado el procedimiento, esa será la TRM que seguirá rigiendo la escogencia del método de ponderación de la oferta económica, a pesar de que la TRM se conozca sin haber terminado la apertura de ofertas,</w:t>
      </w:r>
      <w:r w:rsidRPr="00D93489">
        <w:rPr>
          <w:rFonts w:ascii="Arial" w:eastAsia="Calibri" w:hAnsi="Arial" w:cs="Arial"/>
          <w:sz w:val="22"/>
        </w:rPr>
        <w:t xml:space="preserve"> </w:t>
      </w:r>
      <w:r>
        <w:rPr>
          <w:rFonts w:ascii="Arial" w:eastAsia="Calibri" w:hAnsi="Arial" w:cs="Arial"/>
          <w:sz w:val="22"/>
        </w:rPr>
        <w:t xml:space="preserve">por expresa disposición de los Documentos Tipo que rigen el procedimiento, ya que esto no afecta la definición del método de ponderación, porque la entidad debe continuar la apertura de ofertas y finalizarla el mismo día, sin que ello implique cambiar la TRM aplicable. Por su parte, si la apertura de sobres inicia una vez conocida la TRM del día hábil siguiente, la entidad deberá aplicar dicha TRM. </w:t>
      </w:r>
    </w:p>
    <w:p w14:paraId="0C72EDA4" w14:textId="77777777" w:rsidR="00E0507A" w:rsidRDefault="00E0507A" w:rsidP="00E0507A">
      <w:pPr>
        <w:autoSpaceDE w:val="0"/>
        <w:autoSpaceDN w:val="0"/>
        <w:adjustRightInd w:val="0"/>
        <w:spacing w:after="240" w:line="276" w:lineRule="auto"/>
        <w:ind w:firstLine="708"/>
        <w:jc w:val="both"/>
        <w:rPr>
          <w:rFonts w:ascii="Arial" w:eastAsia="Calibri" w:hAnsi="Arial" w:cs="Arial"/>
          <w:sz w:val="22"/>
        </w:rPr>
      </w:pPr>
      <w:r>
        <w:rPr>
          <w:rFonts w:ascii="Arial" w:eastAsia="Calibri" w:hAnsi="Arial" w:cs="Arial"/>
          <w:sz w:val="22"/>
        </w:rPr>
        <w:lastRenderedPageBreak/>
        <w:t xml:space="preserve">De esta forma, una vez iniciada la apertura del primer sobre económico, la entidad deberá definir el método de escogencia con la TRM del día hábil siguiente, sin que para el efecto sea necesario que los oferentes conozcan todos los valores ofertados, pues la apertura de sobres y por tanto el conocimiento de los valores ofertados no modifica la TRM aplicable. Así pues, el día en que se realiza la apertura de los sobres económicos es lo relevante para determinar la TRM aplicable. </w:t>
      </w:r>
    </w:p>
    <w:p w14:paraId="30136F44" w14:textId="77777777" w:rsidR="00E0507A" w:rsidRDefault="00E0507A" w:rsidP="00E0507A">
      <w:pPr>
        <w:autoSpaceDE w:val="0"/>
        <w:autoSpaceDN w:val="0"/>
        <w:adjustRightInd w:val="0"/>
        <w:spacing w:line="276" w:lineRule="auto"/>
        <w:ind w:firstLine="708"/>
        <w:jc w:val="both"/>
        <w:rPr>
          <w:rFonts w:ascii="Arial" w:hAnsi="Arial" w:cs="Arial"/>
          <w:sz w:val="22"/>
        </w:rPr>
      </w:pPr>
      <w:r>
        <w:rPr>
          <w:rFonts w:ascii="Arial" w:hAnsi="Arial" w:cs="Arial"/>
          <w:sz w:val="22"/>
        </w:rPr>
        <w:tab/>
      </w:r>
    </w:p>
    <w:p w14:paraId="74A05080" w14:textId="77777777" w:rsidR="00E0507A" w:rsidRPr="000B55FB" w:rsidRDefault="00E0507A" w:rsidP="00E0507A">
      <w:pPr>
        <w:spacing w:line="276" w:lineRule="auto"/>
        <w:jc w:val="both"/>
        <w:rPr>
          <w:rFonts w:ascii="Arial" w:eastAsia="Calibri" w:hAnsi="Arial" w:cs="Arial"/>
          <w:sz w:val="22"/>
        </w:rPr>
      </w:pPr>
      <w:bookmarkStart w:id="2" w:name="_Hlk37971083"/>
      <w:r w:rsidRPr="000B55FB">
        <w:rPr>
          <w:rFonts w:ascii="Arial" w:eastAsia="Calibri" w:hAnsi="Arial" w:cs="Arial"/>
          <w:sz w:val="22"/>
        </w:rPr>
        <w:t>Este concepto tiene el alcance previsto en el artículo 28 del Código de Procedimiento Administrativo y de lo Contencioso Administrativo.</w:t>
      </w:r>
    </w:p>
    <w:p w14:paraId="453D45AC" w14:textId="77777777" w:rsidR="00E0507A" w:rsidRPr="000B55FB" w:rsidRDefault="00E0507A" w:rsidP="00E0507A">
      <w:pPr>
        <w:spacing w:line="276" w:lineRule="auto"/>
        <w:jc w:val="both"/>
        <w:rPr>
          <w:rFonts w:ascii="Arial" w:eastAsia="Calibri" w:hAnsi="Arial" w:cs="Arial"/>
          <w:sz w:val="22"/>
        </w:rPr>
      </w:pPr>
    </w:p>
    <w:p w14:paraId="5AA6A509" w14:textId="77777777" w:rsidR="00E0507A" w:rsidRPr="000B55FB" w:rsidRDefault="00E0507A" w:rsidP="00E0507A">
      <w:pPr>
        <w:jc w:val="both"/>
        <w:rPr>
          <w:rFonts w:ascii="Arial" w:eastAsia="Calibri" w:hAnsi="Arial" w:cs="Arial"/>
          <w:sz w:val="22"/>
        </w:rPr>
      </w:pPr>
      <w:r w:rsidRPr="000B55FB">
        <w:rPr>
          <w:noProof/>
          <w:lang w:val="es-CO" w:eastAsia="es-CO"/>
        </w:rPr>
        <mc:AlternateContent>
          <mc:Choice Requires="wps">
            <w:drawing>
              <wp:anchor distT="0" distB="0" distL="114300" distR="114300" simplePos="0" relativeHeight="251659264" behindDoc="0" locked="0" layoutInCell="1" allowOverlap="1" wp14:anchorId="75C94AC6" wp14:editId="46468777">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A69E9A"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6162409" w14:textId="77777777" w:rsidR="00E0507A" w:rsidRPr="000B55FB" w:rsidRDefault="00E0507A" w:rsidP="00E0507A">
      <w:pPr>
        <w:rPr>
          <w:rFonts w:ascii="Arial" w:eastAsia="Times New Roman" w:hAnsi="Arial" w:cs="Arial"/>
          <w:sz w:val="22"/>
          <w:lang w:eastAsia="es-CO"/>
        </w:rPr>
      </w:pPr>
      <w:r w:rsidRPr="000B55FB">
        <w:rPr>
          <w:rFonts w:ascii="Arial" w:eastAsia="Times New Roman" w:hAnsi="Arial" w:cs="Arial"/>
          <w:sz w:val="22"/>
          <w:lang w:eastAsia="es-CO"/>
        </w:rPr>
        <w:t>Atentamente,</w:t>
      </w:r>
    </w:p>
    <w:p w14:paraId="5A7137F9" w14:textId="77777777" w:rsidR="00E0507A" w:rsidRPr="000B55FB" w:rsidRDefault="00E0507A" w:rsidP="00E0507A">
      <w:pPr>
        <w:rPr>
          <w:noProof/>
        </w:rPr>
      </w:pPr>
    </w:p>
    <w:p w14:paraId="447D28F8" w14:textId="77777777" w:rsidR="00E0507A" w:rsidRPr="000B55FB" w:rsidRDefault="00E0507A" w:rsidP="00E0507A">
      <w:pPr>
        <w:jc w:val="center"/>
        <w:rPr>
          <w:rFonts w:ascii="Arial" w:eastAsia="Times New Roman" w:hAnsi="Arial" w:cs="Arial"/>
          <w:sz w:val="22"/>
          <w:lang w:eastAsia="es-CO"/>
        </w:rPr>
      </w:pPr>
      <w:r>
        <w:rPr>
          <w:noProof/>
        </w:rPr>
        <w:drawing>
          <wp:inline distT="0" distB="0" distL="0" distR="0" wp14:anchorId="1AC7ABB0" wp14:editId="79122F0A">
            <wp:extent cx="2773045" cy="988695"/>
            <wp:effectExtent l="0" t="0" r="0" b="0"/>
            <wp:docPr id="16423942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0997FF3" w14:textId="77777777" w:rsidR="00E0507A" w:rsidRPr="000B55FB" w:rsidRDefault="00E0507A" w:rsidP="00E0507A">
      <w:pPr>
        <w:rPr>
          <w:rFonts w:ascii="Arial" w:eastAsia="Times New Roman" w:hAnsi="Arial" w:cs="Arial"/>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0507A" w:rsidRPr="000B55FB" w14:paraId="2DD8FAA7" w14:textId="77777777" w:rsidTr="004A6A97">
        <w:trPr>
          <w:trHeight w:val="315"/>
        </w:trPr>
        <w:tc>
          <w:tcPr>
            <w:tcW w:w="812" w:type="dxa"/>
            <w:vAlign w:val="center"/>
            <w:hideMark/>
          </w:tcPr>
          <w:p w14:paraId="6BCE3630" w14:textId="77777777" w:rsidR="00E0507A" w:rsidRPr="000B55FB" w:rsidRDefault="00E0507A" w:rsidP="004A6A97">
            <w:pPr>
              <w:rPr>
                <w:rFonts w:ascii="Arial" w:eastAsia="Times New Roman" w:hAnsi="Arial" w:cs="Arial"/>
                <w:sz w:val="16"/>
                <w:szCs w:val="16"/>
                <w:lang w:eastAsia="es-ES"/>
              </w:rPr>
            </w:pPr>
            <w:r w:rsidRPr="000B55FB">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101B005" w14:textId="77777777" w:rsidR="00E0507A" w:rsidRPr="000B55FB" w:rsidRDefault="00E0507A" w:rsidP="004A6A97">
            <w:pPr>
              <w:rPr>
                <w:rFonts w:ascii="Arial" w:eastAsia="Times New Roman" w:hAnsi="Arial" w:cs="Arial"/>
                <w:sz w:val="16"/>
                <w:szCs w:val="16"/>
                <w:lang w:eastAsia="es-ES"/>
              </w:rPr>
            </w:pPr>
            <w:r>
              <w:rPr>
                <w:rFonts w:ascii="Arial" w:eastAsia="Times New Roman" w:hAnsi="Arial" w:cs="Arial"/>
                <w:sz w:val="16"/>
                <w:szCs w:val="16"/>
                <w:lang w:eastAsia="es-ES"/>
              </w:rPr>
              <w:t>Nathalia Urrego Jiménez</w:t>
            </w:r>
          </w:p>
          <w:p w14:paraId="18CA8EE7" w14:textId="77777777" w:rsidR="00E0507A" w:rsidRPr="000B55FB" w:rsidRDefault="00E0507A" w:rsidP="004A6A97">
            <w:pPr>
              <w:rPr>
                <w:rFonts w:ascii="Arial" w:eastAsia="Times New Roman" w:hAnsi="Arial" w:cs="Arial"/>
                <w:sz w:val="16"/>
                <w:szCs w:val="16"/>
                <w:lang w:eastAsia="es-ES"/>
              </w:rPr>
            </w:pPr>
            <w:r>
              <w:rPr>
                <w:rFonts w:ascii="Arial" w:eastAsia="Times New Roman" w:hAnsi="Arial" w:cs="Arial"/>
                <w:sz w:val="16"/>
                <w:szCs w:val="16"/>
                <w:lang w:eastAsia="es-ES"/>
              </w:rPr>
              <w:t>Contratista – Subdirección de Gestión Contractual</w:t>
            </w:r>
          </w:p>
        </w:tc>
      </w:tr>
      <w:tr w:rsidR="00E0507A" w:rsidRPr="000B55FB" w14:paraId="1220D0BB" w14:textId="77777777" w:rsidTr="004A6A97">
        <w:trPr>
          <w:trHeight w:val="330"/>
        </w:trPr>
        <w:tc>
          <w:tcPr>
            <w:tcW w:w="812" w:type="dxa"/>
            <w:vAlign w:val="center"/>
            <w:hideMark/>
          </w:tcPr>
          <w:p w14:paraId="78149E20" w14:textId="77777777" w:rsidR="00E0507A" w:rsidRPr="000B55FB" w:rsidRDefault="00E0507A" w:rsidP="004A6A97">
            <w:pPr>
              <w:rPr>
                <w:rFonts w:ascii="Arial" w:eastAsia="Times New Roman" w:hAnsi="Arial" w:cs="Arial"/>
                <w:sz w:val="16"/>
                <w:szCs w:val="16"/>
                <w:lang w:eastAsia="es-ES"/>
              </w:rPr>
            </w:pPr>
            <w:r w:rsidRPr="000B55FB">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A031A13" w14:textId="77777777" w:rsidR="00E0507A" w:rsidRPr="000B55FB" w:rsidRDefault="00E0507A" w:rsidP="004A6A97">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740C2CD5" w14:textId="77777777" w:rsidR="00E0507A" w:rsidRPr="000B55FB" w:rsidRDefault="00E0507A" w:rsidP="004A6A97">
            <w:pPr>
              <w:rPr>
                <w:rFonts w:ascii="Arial" w:eastAsia="Times New Roman" w:hAnsi="Arial" w:cs="Arial"/>
                <w:sz w:val="16"/>
                <w:szCs w:val="16"/>
                <w:lang w:eastAsia="es-ES"/>
              </w:rPr>
            </w:pPr>
            <w:r>
              <w:rPr>
                <w:rFonts w:ascii="Arial" w:eastAsia="Times New Roman" w:hAnsi="Arial" w:cs="Arial"/>
                <w:sz w:val="16"/>
                <w:szCs w:val="16"/>
                <w:lang w:eastAsia="es-ES"/>
              </w:rPr>
              <w:t>Contratista – Subdirección de Gestión Contractual</w:t>
            </w:r>
          </w:p>
        </w:tc>
      </w:tr>
      <w:tr w:rsidR="00E0507A" w:rsidRPr="000B55FB" w14:paraId="00765B35" w14:textId="77777777" w:rsidTr="004A6A97">
        <w:trPr>
          <w:trHeight w:val="300"/>
        </w:trPr>
        <w:tc>
          <w:tcPr>
            <w:tcW w:w="812" w:type="dxa"/>
            <w:vAlign w:val="center"/>
            <w:hideMark/>
          </w:tcPr>
          <w:p w14:paraId="0FF45866" w14:textId="77777777" w:rsidR="00E0507A" w:rsidRPr="000B55FB" w:rsidRDefault="00E0507A" w:rsidP="004A6A97">
            <w:pPr>
              <w:rPr>
                <w:rFonts w:ascii="Arial" w:eastAsia="Times New Roman" w:hAnsi="Arial" w:cs="Arial"/>
                <w:sz w:val="16"/>
                <w:szCs w:val="16"/>
                <w:lang w:eastAsia="es-ES"/>
              </w:rPr>
            </w:pPr>
            <w:r w:rsidRPr="000B55FB">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EFF8F4" w14:textId="77777777" w:rsidR="00E0507A" w:rsidRPr="000B55FB" w:rsidRDefault="00E0507A" w:rsidP="004A6A97">
            <w:pPr>
              <w:rPr>
                <w:rFonts w:ascii="Arial" w:eastAsia="Times New Roman" w:hAnsi="Arial" w:cs="Arial"/>
                <w:sz w:val="16"/>
                <w:szCs w:val="16"/>
                <w:lang w:eastAsia="es-ES"/>
              </w:rPr>
            </w:pPr>
            <w:r w:rsidRPr="000B55FB">
              <w:rPr>
                <w:rFonts w:ascii="Arial" w:eastAsia="Times New Roman" w:hAnsi="Arial" w:cs="Arial"/>
                <w:sz w:val="16"/>
                <w:szCs w:val="16"/>
                <w:lang w:eastAsia="es-ES"/>
              </w:rPr>
              <w:t>Fabián Gonzalo Marín Cortés</w:t>
            </w:r>
          </w:p>
          <w:p w14:paraId="302E6F73" w14:textId="77777777" w:rsidR="00E0507A" w:rsidRPr="000B55FB" w:rsidRDefault="00E0507A" w:rsidP="004A6A97">
            <w:pPr>
              <w:rPr>
                <w:rFonts w:ascii="Arial" w:eastAsia="Times New Roman" w:hAnsi="Arial" w:cs="Arial"/>
                <w:sz w:val="16"/>
                <w:szCs w:val="16"/>
                <w:lang w:eastAsia="es-ES"/>
              </w:rPr>
            </w:pPr>
            <w:r w:rsidRPr="000B55FB">
              <w:rPr>
                <w:rFonts w:ascii="Arial" w:eastAsia="Times New Roman" w:hAnsi="Arial" w:cs="Arial"/>
                <w:sz w:val="16"/>
                <w:szCs w:val="16"/>
                <w:lang w:eastAsia="es-ES"/>
              </w:rPr>
              <w:t>Subdirector de Gestión Contractual</w:t>
            </w:r>
          </w:p>
        </w:tc>
      </w:tr>
      <w:tr w:rsidR="00E0507A" w:rsidRPr="000B55FB" w14:paraId="2E16ADDB" w14:textId="77777777" w:rsidTr="004A6A97">
        <w:trPr>
          <w:trHeight w:val="300"/>
        </w:trPr>
        <w:tc>
          <w:tcPr>
            <w:tcW w:w="812" w:type="dxa"/>
            <w:vAlign w:val="center"/>
            <w:hideMark/>
          </w:tcPr>
          <w:p w14:paraId="5795BE38" w14:textId="77777777" w:rsidR="00E0507A" w:rsidRPr="000B55FB" w:rsidRDefault="00E0507A" w:rsidP="004A6A97">
            <w:pPr>
              <w:rPr>
                <w:rFonts w:ascii="Arial" w:eastAsia="Times New Roman" w:hAnsi="Arial" w:cs="Arial"/>
                <w:sz w:val="16"/>
                <w:szCs w:val="16"/>
                <w:lang w:eastAsia="es-ES"/>
              </w:rPr>
            </w:pPr>
            <w:r w:rsidRPr="000B55FB">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6AF4C81" w14:textId="77777777" w:rsidR="00E0507A" w:rsidRPr="000B55FB" w:rsidRDefault="00E0507A" w:rsidP="004A6A97">
            <w:pPr>
              <w:rPr>
                <w:rFonts w:ascii="Arial" w:eastAsia="Times New Roman" w:hAnsi="Arial" w:cs="Arial"/>
                <w:sz w:val="16"/>
                <w:szCs w:val="16"/>
                <w:lang w:eastAsia="es-ES"/>
              </w:rPr>
            </w:pPr>
            <w:r w:rsidRPr="000B55FB">
              <w:rPr>
                <w:rFonts w:ascii="Arial" w:eastAsia="Times New Roman" w:hAnsi="Arial" w:cs="Arial"/>
                <w:sz w:val="16"/>
                <w:szCs w:val="16"/>
                <w:lang w:eastAsia="es-ES"/>
              </w:rPr>
              <w:t>0</w:t>
            </w:r>
          </w:p>
        </w:tc>
      </w:tr>
    </w:tbl>
    <w:p w14:paraId="37187EDB" w14:textId="77777777" w:rsidR="00E0507A" w:rsidRPr="000B55FB" w:rsidRDefault="00E0507A" w:rsidP="00E0507A">
      <w:pPr>
        <w:jc w:val="both"/>
        <w:rPr>
          <w:rFonts w:ascii="Arial" w:eastAsia="Calibri" w:hAnsi="Arial" w:cs="Arial"/>
          <w:sz w:val="22"/>
        </w:rPr>
      </w:pPr>
    </w:p>
    <w:bookmarkEnd w:id="2"/>
    <w:p w14:paraId="41C7584C" w14:textId="77777777" w:rsidR="00E0507A" w:rsidRPr="00560DB5" w:rsidRDefault="00E0507A" w:rsidP="00E0507A"/>
    <w:p w14:paraId="1793330E" w14:textId="77777777" w:rsidR="00E0507A" w:rsidRPr="000B391B" w:rsidRDefault="00E0507A" w:rsidP="00E0507A"/>
    <w:p w14:paraId="051A5297" w14:textId="77777777" w:rsidR="00E0507A" w:rsidRPr="003B2E57" w:rsidRDefault="00E0507A" w:rsidP="00E0507A"/>
    <w:bookmarkEnd w:id="0"/>
    <w:p w14:paraId="5DDF2EAA" w14:textId="77777777" w:rsidR="00E0507A" w:rsidRDefault="00E0507A" w:rsidP="00E0507A"/>
    <w:p w14:paraId="560E185B" w14:textId="77777777" w:rsidR="00E0507A" w:rsidRPr="00A24EBE" w:rsidRDefault="00E0507A" w:rsidP="00E0507A"/>
    <w:p w14:paraId="784800DD" w14:textId="77777777" w:rsidR="00612F13" w:rsidRPr="00DD7A15" w:rsidRDefault="00612F13" w:rsidP="00DD7A15"/>
    <w:sectPr w:rsidR="00612F13" w:rsidRPr="00DD7A15" w:rsidSect="005A79FE">
      <w:headerReference w:type="default" r:id="rId11"/>
      <w:footerReference w:type="default" r:id="rId12"/>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64BA1" w14:textId="77777777" w:rsidR="004B3DEB" w:rsidRDefault="004B3DEB" w:rsidP="00A73D63">
      <w:r>
        <w:separator/>
      </w:r>
    </w:p>
  </w:endnote>
  <w:endnote w:type="continuationSeparator" w:id="0">
    <w:p w14:paraId="4185DD0B" w14:textId="77777777" w:rsidR="004B3DEB" w:rsidRDefault="004B3DEB" w:rsidP="00A7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910BE" w14:textId="77777777" w:rsidR="007F1682" w:rsidRDefault="007F1682" w:rsidP="005A79FE">
    <w:pPr>
      <w:pStyle w:val="Piedepgina"/>
      <w:jc w:val="right"/>
      <w:rPr>
        <w:rFonts w:ascii="Arial" w:hAnsi="Arial" w:cs="Arial"/>
        <w:bCs/>
        <w:color w:val="7F7F7F" w:themeColor="text1" w:themeTint="80"/>
        <w:sz w:val="16"/>
        <w:szCs w:val="16"/>
      </w:rPr>
    </w:pPr>
  </w:p>
  <w:p w14:paraId="784800ED" w14:textId="7EA12518" w:rsidR="007B0854" w:rsidRPr="005A79FE" w:rsidRDefault="00921049"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8199C">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8199C">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784800EE" w14:textId="77777777" w:rsidR="009047C5" w:rsidRDefault="09CA183D" w:rsidP="007B0854">
    <w:pPr>
      <w:pStyle w:val="Piedepgina"/>
      <w:jc w:val="center"/>
      <w:rPr>
        <w:lang w:val="es-ES"/>
      </w:rPr>
    </w:pPr>
    <w:r>
      <w:rPr>
        <w:noProof/>
      </w:rPr>
      <w:drawing>
        <wp:inline distT="0" distB="0" distL="0" distR="0" wp14:anchorId="784800F2" wp14:editId="5DE048EF">
          <wp:extent cx="4241994" cy="595165"/>
          <wp:effectExtent l="0" t="0" r="6350" b="0"/>
          <wp:docPr id="42807893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84800EF" w14:textId="77777777" w:rsidR="004A34D2" w:rsidRPr="007B0854" w:rsidRDefault="001E05A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B1F63" w14:textId="77777777" w:rsidR="004B3DEB" w:rsidRDefault="004B3DEB" w:rsidP="00A73D63">
      <w:r>
        <w:separator/>
      </w:r>
    </w:p>
  </w:footnote>
  <w:footnote w:type="continuationSeparator" w:id="0">
    <w:p w14:paraId="48BC436E" w14:textId="77777777" w:rsidR="004B3DEB" w:rsidRDefault="004B3DEB" w:rsidP="00A73D63">
      <w:r>
        <w:continuationSeparator/>
      </w:r>
    </w:p>
  </w:footnote>
  <w:footnote w:id="1">
    <w:p w14:paraId="49A38400" w14:textId="77777777" w:rsidR="00E0507A" w:rsidRPr="00F002F6" w:rsidRDefault="00E0507A" w:rsidP="00E0507A">
      <w:pPr>
        <w:pStyle w:val="Textonotapie"/>
        <w:ind w:firstLine="708"/>
        <w:jc w:val="both"/>
        <w:rPr>
          <w:rFonts w:ascii="Arial" w:hAnsi="Arial" w:cs="Arial"/>
          <w:color w:val="000000" w:themeColor="text1"/>
          <w:sz w:val="19"/>
          <w:szCs w:val="19"/>
        </w:rPr>
      </w:pPr>
      <w:r w:rsidRPr="00F002F6">
        <w:rPr>
          <w:rStyle w:val="Refdenotaalpie"/>
          <w:rFonts w:ascii="Arial" w:hAnsi="Arial" w:cs="Arial"/>
          <w:color w:val="000000" w:themeColor="text1"/>
          <w:sz w:val="19"/>
          <w:szCs w:val="19"/>
        </w:rPr>
        <w:footnoteRef/>
      </w:r>
      <w:r w:rsidRPr="00F002F6">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 :00 p.m.</w:t>
      </w:r>
    </w:p>
    <w:p w14:paraId="210BC719" w14:textId="77777777" w:rsidR="00E0507A" w:rsidRPr="00F002F6" w:rsidRDefault="00E0507A" w:rsidP="00E0507A">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800E6" w14:textId="77777777" w:rsidR="005A79FE" w:rsidRDefault="001E05A6">
    <w:pPr>
      <w:pStyle w:val="Encabezado"/>
    </w:pPr>
  </w:p>
  <w:p w14:paraId="784800E7" w14:textId="77777777" w:rsidR="005A79FE" w:rsidRDefault="001E05A6">
    <w:pPr>
      <w:pStyle w:val="Encabezado"/>
    </w:pPr>
  </w:p>
  <w:p w14:paraId="784800E8" w14:textId="77777777" w:rsidR="005A79FE" w:rsidRDefault="00921049">
    <w:pPr>
      <w:pStyle w:val="Encabezado"/>
    </w:pPr>
    <w:r>
      <w:rPr>
        <w:noProof/>
        <w:lang w:val="es-CO" w:eastAsia="es-CO"/>
      </w:rPr>
      <w:drawing>
        <wp:anchor distT="0" distB="0" distL="114300" distR="114300" simplePos="0" relativeHeight="251659264" behindDoc="1" locked="0" layoutInCell="1" allowOverlap="1" wp14:anchorId="784800F0" wp14:editId="784800F1">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4800E9" w14:textId="77777777" w:rsidR="005A79FE" w:rsidRDefault="001E05A6">
    <w:pPr>
      <w:pStyle w:val="Encabezado"/>
    </w:pPr>
  </w:p>
  <w:p w14:paraId="784800EA" w14:textId="77777777" w:rsidR="005A79FE" w:rsidRDefault="001E05A6">
    <w:pPr>
      <w:pStyle w:val="Encabezado"/>
    </w:pPr>
  </w:p>
  <w:p w14:paraId="784800EB" w14:textId="77777777" w:rsidR="007B0854" w:rsidRDefault="001E05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D63"/>
    <w:rsid w:val="000C3C41"/>
    <w:rsid w:val="00175C11"/>
    <w:rsid w:val="001E05A6"/>
    <w:rsid w:val="001F2A4E"/>
    <w:rsid w:val="002103E3"/>
    <w:rsid w:val="00274D0F"/>
    <w:rsid w:val="002965EC"/>
    <w:rsid w:val="002E3C99"/>
    <w:rsid w:val="00355DA6"/>
    <w:rsid w:val="00442A3E"/>
    <w:rsid w:val="004B3DEB"/>
    <w:rsid w:val="004B4C75"/>
    <w:rsid w:val="0058199C"/>
    <w:rsid w:val="005C4788"/>
    <w:rsid w:val="005C5F52"/>
    <w:rsid w:val="00612F13"/>
    <w:rsid w:val="006B6BE1"/>
    <w:rsid w:val="007B4B17"/>
    <w:rsid w:val="007E034F"/>
    <w:rsid w:val="007F1682"/>
    <w:rsid w:val="00826512"/>
    <w:rsid w:val="008378B7"/>
    <w:rsid w:val="009161FC"/>
    <w:rsid w:val="00921049"/>
    <w:rsid w:val="00A25E3E"/>
    <w:rsid w:val="00A73D63"/>
    <w:rsid w:val="00AE3BCE"/>
    <w:rsid w:val="00B36E6E"/>
    <w:rsid w:val="00B42171"/>
    <w:rsid w:val="00C40747"/>
    <w:rsid w:val="00CB12E3"/>
    <w:rsid w:val="00D458CB"/>
    <w:rsid w:val="00DB01F6"/>
    <w:rsid w:val="00DD7A15"/>
    <w:rsid w:val="00E0507A"/>
    <w:rsid w:val="00E53924"/>
    <w:rsid w:val="00ED4333"/>
    <w:rsid w:val="00F35D4C"/>
    <w:rsid w:val="00FB5278"/>
    <w:rsid w:val="00FD51E7"/>
    <w:rsid w:val="015FDD6C"/>
    <w:rsid w:val="09CA183D"/>
    <w:rsid w:val="2315E240"/>
    <w:rsid w:val="2860A063"/>
    <w:rsid w:val="4E69D440"/>
    <w:rsid w:val="799F6F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006D"/>
  <w15:chartTrackingRefBased/>
  <w15:docId w15:val="{7FA9FE8E-C5A3-4A49-8B45-E5E86620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D63"/>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3D63"/>
    <w:pPr>
      <w:tabs>
        <w:tab w:val="center" w:pos="4419"/>
        <w:tab w:val="right" w:pos="8838"/>
      </w:tabs>
    </w:pPr>
  </w:style>
  <w:style w:type="character" w:customStyle="1" w:styleId="PiedepginaCar">
    <w:name w:val="Pie de página Car"/>
    <w:basedOn w:val="Fuentedeprrafopredeter"/>
    <w:link w:val="Piedepgina"/>
    <w:uiPriority w:val="99"/>
    <w:rsid w:val="00A73D63"/>
    <w:rPr>
      <w:sz w:val="24"/>
      <w:lang w:val="es-MX"/>
    </w:rPr>
  </w:style>
  <w:style w:type="paragraph" w:styleId="Encabezado">
    <w:name w:val="header"/>
    <w:basedOn w:val="Normal"/>
    <w:link w:val="EncabezadoCar"/>
    <w:uiPriority w:val="99"/>
    <w:unhideWhenUsed/>
    <w:rsid w:val="00A73D63"/>
    <w:pPr>
      <w:tabs>
        <w:tab w:val="center" w:pos="4252"/>
        <w:tab w:val="right" w:pos="8504"/>
      </w:tabs>
    </w:pPr>
  </w:style>
  <w:style w:type="character" w:customStyle="1" w:styleId="EncabezadoCar">
    <w:name w:val="Encabezado Car"/>
    <w:basedOn w:val="Fuentedeprrafopredeter"/>
    <w:link w:val="Encabezado"/>
    <w:uiPriority w:val="99"/>
    <w:rsid w:val="00A73D63"/>
    <w:rPr>
      <w:sz w:val="24"/>
      <w:lang w:val="es-MX"/>
    </w:rPr>
  </w:style>
  <w:style w:type="table" w:styleId="Tablaconcuadrcula">
    <w:name w:val="Table Grid"/>
    <w:basedOn w:val="Tablanormal"/>
    <w:uiPriority w:val="59"/>
    <w:rsid w:val="00A7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73D63"/>
    <w:pPr>
      <w:ind w:left="720"/>
      <w:contextualSpacing/>
    </w:pPr>
  </w:style>
  <w:style w:type="paragraph" w:styleId="Sinespaciado">
    <w:name w:val="No Spacing"/>
    <w:uiPriority w:val="1"/>
    <w:qFormat/>
    <w:rsid w:val="00A73D6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A73D6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A73D63"/>
    <w:rPr>
      <w:sz w:val="20"/>
      <w:szCs w:val="20"/>
    </w:rPr>
  </w:style>
  <w:style w:type="character" w:customStyle="1" w:styleId="TextonotapieCar1">
    <w:name w:val="Texto nota pie Car1"/>
    <w:basedOn w:val="Fuentedeprrafopredeter"/>
    <w:uiPriority w:val="99"/>
    <w:semiHidden/>
    <w:rsid w:val="00A73D63"/>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3D63"/>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A73D63"/>
    <w:rPr>
      <w:vertAlign w:val="superscript"/>
    </w:rPr>
  </w:style>
  <w:style w:type="paragraph" w:customStyle="1" w:styleId="Default">
    <w:name w:val="Default"/>
    <w:rsid w:val="00A73D63"/>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458CB"/>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458CB"/>
    <w:rPr>
      <w:rFonts w:ascii="Times New Roman" w:hAnsi="Times New Roman" w:cs="Times New Roman"/>
      <w:sz w:val="18"/>
      <w:szCs w:val="18"/>
      <w:lang w:val="es-MX"/>
    </w:rPr>
  </w:style>
  <w:style w:type="character" w:styleId="Refdecomentario">
    <w:name w:val="annotation reference"/>
    <w:basedOn w:val="Fuentedeprrafopredeter"/>
    <w:uiPriority w:val="99"/>
    <w:semiHidden/>
    <w:unhideWhenUsed/>
    <w:rsid w:val="002965EC"/>
    <w:rPr>
      <w:sz w:val="16"/>
      <w:szCs w:val="16"/>
    </w:rPr>
  </w:style>
  <w:style w:type="paragraph" w:styleId="Textocomentario">
    <w:name w:val="annotation text"/>
    <w:basedOn w:val="Normal"/>
    <w:link w:val="TextocomentarioCar"/>
    <w:uiPriority w:val="99"/>
    <w:semiHidden/>
    <w:unhideWhenUsed/>
    <w:rsid w:val="002965EC"/>
    <w:rPr>
      <w:sz w:val="20"/>
      <w:szCs w:val="20"/>
    </w:rPr>
  </w:style>
  <w:style w:type="character" w:customStyle="1" w:styleId="TextocomentarioCar">
    <w:name w:val="Texto comentario Car"/>
    <w:basedOn w:val="Fuentedeprrafopredeter"/>
    <w:link w:val="Textocomentario"/>
    <w:uiPriority w:val="99"/>
    <w:semiHidden/>
    <w:rsid w:val="002965EC"/>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965EC"/>
    <w:rPr>
      <w:b/>
      <w:bCs/>
    </w:rPr>
  </w:style>
  <w:style w:type="character" w:customStyle="1" w:styleId="AsuntodelcomentarioCar">
    <w:name w:val="Asunto del comentario Car"/>
    <w:basedOn w:val="TextocomentarioCar"/>
    <w:link w:val="Asuntodelcomentario"/>
    <w:uiPriority w:val="99"/>
    <w:semiHidden/>
    <w:rsid w:val="002965EC"/>
    <w:rPr>
      <w:b/>
      <w:bCs/>
      <w:sz w:val="20"/>
      <w:szCs w:val="20"/>
      <w:lang w:val="es-MX"/>
    </w:rPr>
  </w:style>
  <w:style w:type="character" w:styleId="Hipervnculo">
    <w:name w:val="Hyperlink"/>
    <w:basedOn w:val="Fuentedeprrafopredeter"/>
    <w:uiPriority w:val="99"/>
    <w:unhideWhenUsed/>
    <w:rsid w:val="00175C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superfinanciera.gov.co/publicacion/6081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A1519A1-7F62-45EC-BBB3-BA5BBC202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B45D6-DC35-4341-B98A-5208E59078A7}">
  <ds:schemaRefs>
    <ds:schemaRef ds:uri="http://schemas.microsoft.com/sharepoint/v3/contenttype/forms"/>
  </ds:schemaRefs>
</ds:datastoreItem>
</file>

<file path=customXml/itemProps3.xml><?xml version="1.0" encoding="utf-8"?>
<ds:datastoreItem xmlns:ds="http://schemas.openxmlformats.org/officeDocument/2006/customXml" ds:itemID="{3B6C3090-E6F1-4218-A865-157404C6C56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3407</Words>
  <Characters>18739</Characters>
  <Application>Microsoft Office Word</Application>
  <DocSecurity>0</DocSecurity>
  <Lines>156</Lines>
  <Paragraphs>44</Paragraphs>
  <ScaleCrop>false</ScaleCrop>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Carlos Mario Castrillón Endo</cp:lastModifiedBy>
  <cp:revision>14</cp:revision>
  <dcterms:created xsi:type="dcterms:W3CDTF">2020-06-30T19:12:00Z</dcterms:created>
  <dcterms:modified xsi:type="dcterms:W3CDTF">2020-08-06T18:13:00Z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