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66730D" w:rsidRDefault="009F59C2" w:rsidP="00D66CC3">
      <w:pPr>
        <w:jc w:val="right"/>
        <w:rPr>
          <w:rFonts w:ascii="Arial" w:hAnsi="Arial" w:cs="Arial"/>
          <w:b/>
          <w:sz w:val="16"/>
          <w:szCs w:val="16"/>
          <w:lang w:eastAsia="es-ES"/>
        </w:rPr>
      </w:pPr>
      <w:bookmarkStart w:id="0" w:name="_Hlk45689136"/>
      <w:bookmarkStart w:id="1" w:name="_Hlk28946138"/>
      <w:bookmarkStart w:id="2" w:name="_Hlk29548183"/>
      <w:bookmarkEnd w:id="0"/>
      <w:r w:rsidRPr="0066730D">
        <w:rPr>
          <w:rFonts w:ascii="Arial" w:hAnsi="Arial" w:cs="Arial"/>
          <w:b/>
          <w:sz w:val="21"/>
          <w:szCs w:val="21"/>
          <w:lang w:eastAsia="es-ES"/>
        </w:rPr>
        <w:tab/>
      </w:r>
      <w:r w:rsidR="0034177C" w:rsidRPr="0066730D">
        <w:rPr>
          <w:rFonts w:ascii="Arial" w:hAnsi="Arial" w:cs="Arial"/>
          <w:b/>
          <w:sz w:val="16"/>
          <w:szCs w:val="16"/>
          <w:lang w:eastAsia="es-ES"/>
        </w:rPr>
        <w:t>CCE-DES-FM-17</w:t>
      </w:r>
    </w:p>
    <w:p w14:paraId="33FF83A2" w14:textId="77777777" w:rsidR="0034177C" w:rsidRPr="0066730D" w:rsidRDefault="0034177C" w:rsidP="00D66CC3">
      <w:pPr>
        <w:jc w:val="both"/>
        <w:rPr>
          <w:rFonts w:ascii="Arial" w:eastAsia="Calibri" w:hAnsi="Arial" w:cs="Arial"/>
          <w:b/>
          <w:sz w:val="16"/>
          <w:szCs w:val="16"/>
        </w:rPr>
      </w:pPr>
    </w:p>
    <w:p w14:paraId="21600101" w14:textId="77777777" w:rsidR="008B632C" w:rsidRPr="0066730D" w:rsidRDefault="008B632C" w:rsidP="008B632C">
      <w:pPr>
        <w:pStyle w:val="Sinespaciado"/>
        <w:jc w:val="both"/>
        <w:rPr>
          <w:rFonts w:ascii="Arial" w:hAnsi="Arial" w:cs="Arial"/>
          <w:b/>
          <w:bCs/>
          <w:sz w:val="22"/>
        </w:rPr>
      </w:pPr>
      <w:r w:rsidRPr="0066730D">
        <w:rPr>
          <w:rFonts w:ascii="Arial" w:hAnsi="Arial" w:cs="Arial"/>
          <w:b/>
          <w:bCs/>
          <w:sz w:val="22"/>
        </w:rPr>
        <w:t>INHABILIDADES – Definición – Finalidad – Limitación capacidad</w:t>
      </w:r>
    </w:p>
    <w:p w14:paraId="7B135721" w14:textId="77777777" w:rsidR="008B632C" w:rsidRPr="0066730D" w:rsidRDefault="008B632C" w:rsidP="008B632C">
      <w:pPr>
        <w:pStyle w:val="Sinespaciado"/>
        <w:jc w:val="both"/>
        <w:rPr>
          <w:rFonts w:ascii="Arial" w:hAnsi="Arial" w:cs="Arial"/>
          <w:sz w:val="20"/>
          <w:szCs w:val="20"/>
        </w:rPr>
      </w:pPr>
    </w:p>
    <w:p w14:paraId="280B8DE7" w14:textId="77777777" w:rsidR="005F01C8" w:rsidRPr="0066730D" w:rsidRDefault="005F01C8" w:rsidP="001266B1">
      <w:pPr>
        <w:pStyle w:val="Sinespaciado"/>
        <w:spacing w:after="120"/>
        <w:jc w:val="both"/>
        <w:rPr>
          <w:rFonts w:ascii="Arial" w:hAnsi="Arial" w:cs="Arial"/>
          <w:sz w:val="20"/>
          <w:szCs w:val="20"/>
        </w:rPr>
      </w:pPr>
      <w:r w:rsidRPr="0066730D">
        <w:rPr>
          <w:rFonts w:ascii="Arial" w:hAnsi="Arial" w:cs="Arial"/>
          <w:sz w:val="20"/>
          <w:szCs w:val="20"/>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099354DB" w14:textId="4ADB2DB2" w:rsidR="005F01C8" w:rsidRPr="0066730D" w:rsidRDefault="005F01C8" w:rsidP="001266B1">
      <w:pPr>
        <w:pStyle w:val="Sinespaciado"/>
        <w:jc w:val="both"/>
        <w:rPr>
          <w:rFonts w:ascii="Arial" w:hAnsi="Arial" w:cs="Arial"/>
          <w:sz w:val="20"/>
          <w:szCs w:val="20"/>
        </w:rPr>
      </w:pPr>
      <w:r w:rsidRPr="0066730D">
        <w:rPr>
          <w:rFonts w:ascii="Arial" w:hAnsi="Arial" w:cs="Arial"/>
          <w:sz w:val="20"/>
          <w:szCs w:val="20"/>
        </w:rPr>
        <w:t>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66730D">
        <w:rPr>
          <w:rFonts w:ascii="Verdana" w:hAnsi="Verdana" w:cs="Arial"/>
          <w:sz w:val="20"/>
          <w:szCs w:val="20"/>
        </w:rPr>
        <w:t>»</w:t>
      </w:r>
      <w:r w:rsidRPr="0066730D">
        <w:rPr>
          <w:rFonts w:ascii="Arial" w:hAnsi="Arial" w:cs="Arial"/>
          <w:sz w:val="20"/>
          <w:szCs w:val="20"/>
        </w:rPr>
        <w:t>.</w:t>
      </w:r>
    </w:p>
    <w:p w14:paraId="15182D11" w14:textId="77777777" w:rsidR="008B632C" w:rsidRPr="0066730D" w:rsidRDefault="008B632C" w:rsidP="008B632C">
      <w:pPr>
        <w:pStyle w:val="Sinespaciado"/>
        <w:jc w:val="both"/>
        <w:rPr>
          <w:rFonts w:ascii="Arial" w:hAnsi="Arial" w:cs="Arial"/>
          <w:sz w:val="20"/>
          <w:szCs w:val="20"/>
        </w:rPr>
      </w:pPr>
    </w:p>
    <w:p w14:paraId="5B859727" w14:textId="77777777" w:rsidR="008B632C" w:rsidRPr="0066730D" w:rsidRDefault="008B632C" w:rsidP="008B632C">
      <w:pPr>
        <w:pStyle w:val="Sinespaciado"/>
        <w:jc w:val="both"/>
        <w:rPr>
          <w:rFonts w:ascii="Arial" w:hAnsi="Arial" w:cs="Arial"/>
          <w:sz w:val="21"/>
          <w:szCs w:val="21"/>
        </w:rPr>
      </w:pPr>
      <w:r w:rsidRPr="0066730D">
        <w:rPr>
          <w:rFonts w:ascii="Arial" w:hAnsi="Arial" w:cs="Arial"/>
          <w:b/>
          <w:bCs/>
          <w:sz w:val="22"/>
        </w:rPr>
        <w:t>INHABILIDADES – Clasificación – Sanción – Proceso sancionatorio – Requisito – Condiciones personales</w:t>
      </w:r>
    </w:p>
    <w:p w14:paraId="2F0492ED" w14:textId="77777777" w:rsidR="008B632C" w:rsidRPr="0066730D" w:rsidRDefault="008B632C" w:rsidP="008B632C">
      <w:pPr>
        <w:ind w:right="709"/>
        <w:rPr>
          <w:rFonts w:ascii="Arial" w:eastAsia="Times New Roman" w:hAnsi="Arial" w:cs="Arial"/>
          <w:sz w:val="20"/>
          <w:szCs w:val="20"/>
          <w:shd w:val="clear" w:color="auto" w:fill="FFFFFF"/>
          <w:lang w:val="es-CO" w:eastAsia="es-ES_tradnl"/>
        </w:rPr>
      </w:pPr>
    </w:p>
    <w:p w14:paraId="4EE970DE" w14:textId="7A215621" w:rsidR="005F01C8" w:rsidRPr="0066730D" w:rsidRDefault="005F01C8" w:rsidP="005B0191">
      <w:pPr>
        <w:spacing w:after="120"/>
        <w:jc w:val="both"/>
        <w:rPr>
          <w:rFonts w:ascii="Arial" w:hAnsi="Arial" w:cs="Arial"/>
          <w:sz w:val="20"/>
          <w:szCs w:val="20"/>
        </w:rPr>
      </w:pPr>
      <w:r w:rsidRPr="0066730D">
        <w:rPr>
          <w:rFonts w:ascii="Arial" w:hAnsi="Arial" w:cs="Arial"/>
          <w:sz w:val="20"/>
          <w:szCs w:val="20"/>
        </w:rPr>
        <w:t xml:space="preserve">Conviene también distinguir las fuentes de las inhabilidades, las cuales han sido clasificadas en dos (2) grupos: i) inhabilidades-sanción y </w:t>
      </w:r>
      <w:proofErr w:type="spellStart"/>
      <w:r w:rsidRPr="0066730D">
        <w:rPr>
          <w:rFonts w:ascii="Arial" w:hAnsi="Arial" w:cs="Arial"/>
          <w:sz w:val="20"/>
          <w:szCs w:val="20"/>
        </w:rPr>
        <w:t>ii</w:t>
      </w:r>
      <w:proofErr w:type="spellEnd"/>
      <w:r w:rsidRPr="0066730D">
        <w:rPr>
          <w:rFonts w:ascii="Arial" w:hAnsi="Arial" w:cs="Arial"/>
          <w:sz w:val="20"/>
          <w:szCs w:val="20"/>
        </w:rPr>
        <w:t xml:space="preserve">)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 </w:t>
      </w:r>
    </w:p>
    <w:p w14:paraId="6C9BC9FD" w14:textId="002A8447" w:rsidR="005F01C8" w:rsidRPr="0066730D" w:rsidRDefault="005F01C8" w:rsidP="005B0191">
      <w:pPr>
        <w:spacing w:after="120"/>
        <w:jc w:val="both"/>
        <w:rPr>
          <w:rFonts w:ascii="Arial" w:hAnsi="Arial" w:cs="Arial"/>
          <w:sz w:val="20"/>
          <w:szCs w:val="20"/>
        </w:rPr>
      </w:pPr>
      <w:r w:rsidRPr="0066730D">
        <w:rPr>
          <w:rFonts w:ascii="Arial" w:hAnsi="Arial" w:cs="Arial"/>
          <w:sz w:val="20"/>
          <w:szCs w:val="20"/>
        </w:rPr>
        <w:t>[…]</w:t>
      </w:r>
    </w:p>
    <w:p w14:paraId="1F3E0CB7" w14:textId="6BF234FC" w:rsidR="008B632C" w:rsidRPr="0066730D" w:rsidRDefault="005F01C8" w:rsidP="005B0191">
      <w:pPr>
        <w:jc w:val="both"/>
        <w:rPr>
          <w:rFonts w:ascii="Arial" w:hAnsi="Arial" w:cs="Arial"/>
          <w:sz w:val="20"/>
          <w:szCs w:val="20"/>
        </w:rPr>
      </w:pPr>
      <w:r w:rsidRPr="0066730D">
        <w:rPr>
          <w:rFonts w:ascii="Arial" w:hAnsi="Arial" w:cs="Arial"/>
          <w:sz w:val="20"/>
          <w:szCs w:val="20"/>
        </w:rPr>
        <w:t>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w:t>
      </w:r>
    </w:p>
    <w:p w14:paraId="45E79FA8" w14:textId="77777777" w:rsidR="005F01C8" w:rsidRPr="0066730D" w:rsidRDefault="005F01C8" w:rsidP="005B0191">
      <w:pPr>
        <w:jc w:val="both"/>
        <w:rPr>
          <w:rFonts w:ascii="Arial" w:eastAsia="Calibri" w:hAnsi="Arial" w:cs="Arial"/>
          <w:sz w:val="20"/>
          <w:szCs w:val="20"/>
        </w:rPr>
      </w:pPr>
    </w:p>
    <w:p w14:paraId="2A7A7836" w14:textId="77777777" w:rsidR="008B632C" w:rsidRPr="0066730D" w:rsidRDefault="008B632C" w:rsidP="005B0191">
      <w:pPr>
        <w:jc w:val="both"/>
        <w:rPr>
          <w:rFonts w:ascii="Arial" w:eastAsia="Calibri" w:hAnsi="Arial" w:cs="Arial"/>
          <w:b/>
          <w:bCs/>
          <w:sz w:val="22"/>
          <w:lang w:val="es-ES_tradnl"/>
        </w:rPr>
      </w:pPr>
      <w:r w:rsidRPr="0066730D">
        <w:rPr>
          <w:rFonts w:ascii="Arial" w:eastAsia="Calibri" w:hAnsi="Arial" w:cs="Arial"/>
          <w:b/>
          <w:bCs/>
          <w:sz w:val="22"/>
          <w:lang w:val="es-ES_tradnl"/>
        </w:rPr>
        <w:t>INHABILIDADES – Taxatividad – Principio de legalidad – Interpretación restrictiva</w:t>
      </w:r>
    </w:p>
    <w:p w14:paraId="37627E25" w14:textId="77777777" w:rsidR="008B632C" w:rsidRPr="0066730D" w:rsidRDefault="008B632C" w:rsidP="005B0191">
      <w:pPr>
        <w:jc w:val="both"/>
        <w:rPr>
          <w:rFonts w:ascii="Arial" w:eastAsia="Calibri" w:hAnsi="Arial" w:cs="Arial"/>
          <w:sz w:val="20"/>
          <w:szCs w:val="20"/>
          <w:lang w:val="es-ES_tradnl"/>
        </w:rPr>
      </w:pPr>
    </w:p>
    <w:p w14:paraId="7EB46F8F" w14:textId="1353DAC7" w:rsidR="008B632C" w:rsidRPr="0066730D" w:rsidRDefault="005F01C8" w:rsidP="005B0191">
      <w:pPr>
        <w:jc w:val="both"/>
        <w:rPr>
          <w:rFonts w:ascii="Arial" w:eastAsia="Calibri" w:hAnsi="Arial" w:cs="Arial"/>
          <w:sz w:val="20"/>
          <w:szCs w:val="20"/>
          <w:lang w:val="es-ES_tradnl"/>
        </w:rPr>
      </w:pPr>
      <w:r w:rsidRPr="0066730D">
        <w:rPr>
          <w:rFonts w:ascii="Arial" w:eastAsia="Calibri" w:hAnsi="Arial" w:cs="Arial"/>
          <w:sz w:val="20"/>
          <w:szCs w:val="20"/>
          <w:lang w:val="es-ES_tradnl"/>
        </w:rPr>
        <w:t xml:space="preserve">Ahora bien, las inhabilidades e incompatibilidades al ser restricciones o límites especiales a la capacidad para presentar ofertas y celebrar contratos estatales, solo pueden tipificarse en la ley –o sea, deben satisfacer el principio de legalidad– y su interpretación debe ser </w:t>
      </w:r>
      <w:r w:rsidRPr="0066730D">
        <w:rPr>
          <w:rFonts w:ascii="Arial" w:eastAsia="Calibri" w:hAnsi="Arial" w:cs="Arial"/>
          <w:i/>
          <w:iCs/>
          <w:sz w:val="20"/>
          <w:szCs w:val="20"/>
          <w:lang w:val="es-ES_tradnl"/>
        </w:rPr>
        <w:t>restrictiva</w:t>
      </w:r>
      <w:r w:rsidRPr="0066730D">
        <w:rPr>
          <w:rFonts w:ascii="Arial" w:eastAsia="Calibri" w:hAnsi="Arial" w:cs="Arial"/>
          <w:sz w:val="20"/>
          <w:szCs w:val="20"/>
          <w:lang w:val="es-ES_tradnl"/>
        </w:rPr>
        <w:t>,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 Tal ha sido la postura de la jurisprudencia, tanto de la Corte Constitucional como de la Sección Tercera del Consejo de Estado.</w:t>
      </w:r>
    </w:p>
    <w:p w14:paraId="127C0B52" w14:textId="77777777" w:rsidR="004A10E3" w:rsidRDefault="004A10E3" w:rsidP="005B0191">
      <w:pPr>
        <w:jc w:val="both"/>
        <w:rPr>
          <w:rFonts w:ascii="Arial" w:eastAsia="Calibri" w:hAnsi="Arial" w:cs="Arial"/>
          <w:sz w:val="20"/>
          <w:szCs w:val="20"/>
          <w:lang w:val="es-ES_tradnl"/>
        </w:rPr>
      </w:pPr>
    </w:p>
    <w:p w14:paraId="3BDD4079" w14:textId="475AED46" w:rsidR="004A10E3" w:rsidRPr="00593402" w:rsidRDefault="004A10E3" w:rsidP="005B0191">
      <w:pPr>
        <w:jc w:val="both"/>
        <w:rPr>
          <w:rFonts w:ascii="Arial" w:eastAsia="Calibri" w:hAnsi="Arial" w:cs="Arial"/>
          <w:sz w:val="22"/>
          <w:lang w:val="es-ES"/>
        </w:rPr>
      </w:pPr>
      <w:r w:rsidRPr="0DB55339">
        <w:rPr>
          <w:rFonts w:ascii="Arial" w:eastAsia="Calibri" w:hAnsi="Arial" w:cs="Arial"/>
          <w:b/>
          <w:bCs/>
          <w:sz w:val="22"/>
          <w:lang w:val="es-ES"/>
        </w:rPr>
        <w:t xml:space="preserve">INHABILIDADES – Interventoría – </w:t>
      </w:r>
      <w:r w:rsidR="00593402" w:rsidRPr="0DB55339">
        <w:rPr>
          <w:rFonts w:ascii="Arial" w:eastAsia="Calibri" w:hAnsi="Arial" w:cs="Arial"/>
          <w:b/>
          <w:bCs/>
          <w:sz w:val="22"/>
          <w:lang w:val="es-ES"/>
        </w:rPr>
        <w:t xml:space="preserve">Ley 1474 de 2011 – Artículo 5 </w:t>
      </w:r>
      <w:r w:rsidR="3E2847EE" w:rsidRPr="0DB55339">
        <w:rPr>
          <w:rFonts w:ascii="Arial" w:eastAsia="Calibri" w:hAnsi="Arial" w:cs="Arial"/>
          <w:b/>
          <w:bCs/>
          <w:sz w:val="22"/>
          <w:lang w:val="es-ES"/>
        </w:rPr>
        <w:t>– Artículo</w:t>
      </w:r>
      <w:r w:rsidR="00593402" w:rsidRPr="0DB55339">
        <w:rPr>
          <w:rFonts w:ascii="Arial" w:eastAsia="Calibri" w:hAnsi="Arial" w:cs="Arial"/>
          <w:b/>
          <w:bCs/>
          <w:sz w:val="22"/>
          <w:lang w:val="es-ES"/>
        </w:rPr>
        <w:t xml:space="preserve"> 84</w:t>
      </w:r>
    </w:p>
    <w:p w14:paraId="332E4C49" w14:textId="4BFE4010" w:rsidR="004A10E3" w:rsidRPr="004A10E3" w:rsidRDefault="004A10E3" w:rsidP="004A10E3">
      <w:pPr>
        <w:spacing w:after="120"/>
        <w:jc w:val="both"/>
        <w:rPr>
          <w:rFonts w:ascii="Arial" w:eastAsia="Calibri" w:hAnsi="Arial" w:cs="Arial"/>
          <w:sz w:val="20"/>
          <w:szCs w:val="20"/>
          <w:lang w:val="es-ES"/>
        </w:rPr>
      </w:pPr>
      <w:r w:rsidRPr="004A10E3">
        <w:rPr>
          <w:rFonts w:ascii="Arial" w:eastAsia="Calibri" w:hAnsi="Arial" w:cs="Arial"/>
          <w:sz w:val="20"/>
          <w:szCs w:val="20"/>
          <w:lang w:val="es-ES_tradnl"/>
        </w:rPr>
        <w:t>De una parte, entre</w:t>
      </w:r>
      <w:r w:rsidRPr="004A10E3">
        <w:rPr>
          <w:rFonts w:ascii="Arial" w:eastAsia="Calibri" w:hAnsi="Arial" w:cs="Arial"/>
          <w:sz w:val="20"/>
          <w:szCs w:val="20"/>
          <w:lang w:val="es-ES"/>
        </w:rPr>
        <w:t xml:space="preserve"> las inhabilidades e incompatibilidades que señala el ordenamiento jurídico para contratar con el Estado se encuentra la prevista en el artículo 5 de la Ley 1474 de 2011, que impide celebrar contratos de interventoría a quienes hayan celebrado con la misma entidad contratos de obra pública, de concesión, suministro de medicamentos y de alimentos, prohibición que se extiende al </w:t>
      </w:r>
      <w:r w:rsidRPr="004A10E3">
        <w:rPr>
          <w:rFonts w:ascii="Arial" w:eastAsia="Calibri" w:hAnsi="Arial" w:cs="Arial"/>
          <w:sz w:val="20"/>
          <w:szCs w:val="20"/>
          <w:lang w:val="es-ES"/>
        </w:rPr>
        <w:lastRenderedPageBreak/>
        <w:t>cónyuge, compañero o compañera permanente, pariente hasta el segundo grado de consanguinidad, segundo de afinidad y/o primero civil o sus socios en sociedades distintas de las anónimas abiertas.</w:t>
      </w:r>
    </w:p>
    <w:p w14:paraId="1231544E" w14:textId="77777777" w:rsidR="004A10E3" w:rsidRPr="004A10E3" w:rsidRDefault="004A10E3" w:rsidP="004A10E3">
      <w:pPr>
        <w:spacing w:after="120"/>
        <w:jc w:val="both"/>
        <w:rPr>
          <w:rFonts w:ascii="Arial" w:eastAsia="Calibri" w:hAnsi="Arial" w:cs="Arial"/>
          <w:sz w:val="20"/>
          <w:szCs w:val="20"/>
          <w:lang w:val="es-ES"/>
        </w:rPr>
      </w:pPr>
      <w:r w:rsidRPr="004A10E3">
        <w:rPr>
          <w:rFonts w:ascii="Arial" w:eastAsia="Calibri" w:hAnsi="Arial" w:cs="Arial"/>
          <w:sz w:val="20"/>
          <w:szCs w:val="20"/>
          <w:lang w:val="es-ES"/>
        </w:rPr>
        <w:t>No obstante, se descarta que esta inhabilidad sea aplicable al caso en torno al que se indaga, en la medida que esta se origina en un supuesto de hecho distinto, el cual exige la celebración de un contrato de obra pública, concesión, suministro de medicamentos o de alimentos, lo cual inhabilita al contratista para celebrar contratos de interventoría con la misma entidad. Es decir, acorde con lo manifestado por esta Agencia en el concepto con radicado 2201913000008314 del 7 de noviembre de 2020, «por haber suscrito uno de estos contratos con anterioridad a la interventoría este contratista no puede suscribir contratos de interventoría con la misma entidad, sin que sea necesaria la existencia de relación entre la interventoría y los demás contratos previstos en esta norma».</w:t>
      </w:r>
    </w:p>
    <w:p w14:paraId="718A2775" w14:textId="784BAC42" w:rsidR="004A10E3" w:rsidRPr="004A10E3" w:rsidRDefault="004A10E3" w:rsidP="004A10E3">
      <w:pPr>
        <w:spacing w:after="120"/>
        <w:jc w:val="both"/>
        <w:rPr>
          <w:rFonts w:ascii="Arial" w:eastAsia="Calibri" w:hAnsi="Arial" w:cs="Arial"/>
          <w:sz w:val="20"/>
          <w:szCs w:val="20"/>
          <w:lang w:val="es-ES_tradnl"/>
        </w:rPr>
      </w:pPr>
      <w:r w:rsidRPr="004A10E3">
        <w:rPr>
          <w:rFonts w:ascii="Arial" w:eastAsia="Calibri" w:hAnsi="Arial" w:cs="Arial"/>
          <w:sz w:val="20"/>
          <w:szCs w:val="20"/>
          <w:lang w:val="es-ES_tradnl"/>
        </w:rPr>
        <w:t xml:space="preserve">De otro lado, si bien el literal l) del numeral 1 del artículo 8 de la Ley 80 de 1993, adicionado por el parágrafo 2 del artículo 84 de la Ley 1474 de 2011, se refiere a una inhabilidad específicamente referida a los interventores, esta solo se configura cuando se incumple el deber de entregar información a la entidad contratante alusiva al incumplimiento del contrato o a posibles actos de corrupción tipificados como conductas punibles. </w:t>
      </w:r>
      <w:r w:rsidRPr="004A10E3">
        <w:rPr>
          <w:rFonts w:ascii="Arial" w:eastAsia="Calibri" w:hAnsi="Arial" w:cs="Arial"/>
          <w:sz w:val="20"/>
          <w:szCs w:val="20"/>
          <w:lang w:val="es-ES_tradnl"/>
        </w:rPr>
        <w:br/>
        <w:t xml:space="preserve">La configuración de esta inhabilidad además exige que se desarrolle una actuación administrativa, en el marco de la cual se expida un acto administrativo que declare el acaecimiento de la referida circunstancia, el cual deberá adquirir firmeza para que la inhabilidad comience a surtir sus efectos por el término de cinco (5) años. </w:t>
      </w:r>
    </w:p>
    <w:p w14:paraId="5C189A87" w14:textId="0A1C4FC6" w:rsidR="004A10E3" w:rsidRPr="004A10E3" w:rsidRDefault="004A10E3" w:rsidP="005B0191">
      <w:pPr>
        <w:jc w:val="both"/>
        <w:rPr>
          <w:rFonts w:ascii="Arial" w:eastAsia="Calibri" w:hAnsi="Arial" w:cs="Arial"/>
          <w:sz w:val="20"/>
          <w:szCs w:val="20"/>
          <w:lang w:val="es-ES_tradnl"/>
        </w:rPr>
      </w:pPr>
      <w:r w:rsidRPr="004A10E3">
        <w:rPr>
          <w:rFonts w:ascii="Arial" w:eastAsia="Calibri" w:hAnsi="Arial" w:cs="Arial"/>
          <w:sz w:val="20"/>
          <w:szCs w:val="20"/>
          <w:lang w:val="es-ES_tradnl"/>
        </w:rPr>
        <w:t xml:space="preserve">La circunstancia relatada en la primera pregunta tampoco encaja dentro del supuesto de hecho de la inhabilidad creada por el parágrafo 2 del artículo 84 de la Ley 1474 de 2011, ni dentro del de ninguna de las otras inhabilidades hasta ahora contempladas dentro del ordenamiento jurídico colombiano, máxime cuando en virtud el principio </w:t>
      </w:r>
      <w:r w:rsidRPr="004A10E3">
        <w:rPr>
          <w:rFonts w:ascii="Arial" w:eastAsia="Calibri" w:hAnsi="Arial" w:cs="Arial"/>
          <w:i/>
          <w:iCs/>
          <w:sz w:val="20"/>
          <w:szCs w:val="20"/>
          <w:lang w:val="es-ES_tradnl"/>
        </w:rPr>
        <w:t xml:space="preserve">pro </w:t>
      </w:r>
      <w:proofErr w:type="spellStart"/>
      <w:r w:rsidRPr="004A10E3">
        <w:rPr>
          <w:rFonts w:ascii="Arial" w:eastAsia="Calibri" w:hAnsi="Arial" w:cs="Arial"/>
          <w:i/>
          <w:iCs/>
          <w:sz w:val="20"/>
          <w:szCs w:val="20"/>
          <w:lang w:val="es-ES_tradnl"/>
        </w:rPr>
        <w:t>libertate</w:t>
      </w:r>
      <w:proofErr w:type="spellEnd"/>
      <w:r w:rsidRPr="004A10E3">
        <w:rPr>
          <w:rFonts w:ascii="Arial" w:eastAsia="Calibri" w:hAnsi="Arial" w:cs="Arial"/>
          <w:sz w:val="20"/>
          <w:szCs w:val="20"/>
          <w:lang w:val="es-ES_tradnl"/>
        </w:rPr>
        <w:t xml:space="preserve"> que dirige la interpretación de las disposiciones del régimen de inhabilidades e incompatibilidades, no resulta valido realizar interpretaciones analógicas, extensivas o finalistas de tales disposiciones, al estar regidas por un criterio de legalidad estricta.  </w:t>
      </w:r>
    </w:p>
    <w:p w14:paraId="6B5A9F1C" w14:textId="77777777" w:rsidR="004A10E3" w:rsidRPr="0066730D" w:rsidRDefault="004A10E3" w:rsidP="005B0191">
      <w:pPr>
        <w:jc w:val="both"/>
        <w:rPr>
          <w:rFonts w:ascii="Arial" w:eastAsia="Calibri" w:hAnsi="Arial" w:cs="Arial"/>
          <w:sz w:val="20"/>
          <w:szCs w:val="20"/>
          <w:lang w:val="es-ES_tradnl"/>
        </w:rPr>
      </w:pPr>
    </w:p>
    <w:p w14:paraId="09FB6CBD" w14:textId="3BA3A652" w:rsidR="001266B1" w:rsidRPr="0066730D" w:rsidRDefault="001266B1" w:rsidP="005B0191">
      <w:pPr>
        <w:jc w:val="both"/>
        <w:rPr>
          <w:rFonts w:ascii="Arial" w:eastAsia="Calibri" w:hAnsi="Arial" w:cs="Arial"/>
          <w:b/>
          <w:bCs/>
          <w:sz w:val="22"/>
        </w:rPr>
      </w:pPr>
      <w:r w:rsidRPr="0DB55339">
        <w:rPr>
          <w:rFonts w:ascii="Arial" w:eastAsia="Calibri" w:hAnsi="Arial" w:cs="Arial"/>
          <w:b/>
          <w:bCs/>
          <w:sz w:val="22"/>
        </w:rPr>
        <w:t xml:space="preserve">DOCUMENTOS TIPO – </w:t>
      </w:r>
      <w:r w:rsidR="2D9B1909" w:rsidRPr="0DB55339">
        <w:rPr>
          <w:rFonts w:ascii="Arial" w:eastAsia="Calibri" w:hAnsi="Arial" w:cs="Arial"/>
          <w:b/>
          <w:bCs/>
          <w:sz w:val="22"/>
        </w:rPr>
        <w:t xml:space="preserve">Método ponderación </w:t>
      </w:r>
      <w:r w:rsidR="2D9B1909" w:rsidRPr="0DB55339">
        <w:rPr>
          <w:rFonts w:ascii="Arial" w:eastAsia="Calibri" w:hAnsi="Arial" w:cs="Arial"/>
          <w:b/>
          <w:bCs/>
          <w:sz w:val="22"/>
          <w:lang w:val="es-ES"/>
        </w:rPr>
        <w:t>–</w:t>
      </w:r>
      <w:r w:rsidR="2D9B1909" w:rsidRPr="0DB55339">
        <w:rPr>
          <w:rFonts w:ascii="Arial" w:eastAsia="Calibri" w:hAnsi="Arial" w:cs="Arial"/>
          <w:b/>
          <w:bCs/>
          <w:sz w:val="22"/>
        </w:rPr>
        <w:t xml:space="preserve"> Oferta Económica </w:t>
      </w:r>
      <w:r w:rsidR="2D9B1909" w:rsidRPr="0DB55339">
        <w:rPr>
          <w:rFonts w:ascii="Arial" w:eastAsia="Calibri" w:hAnsi="Arial" w:cs="Arial"/>
          <w:b/>
          <w:bCs/>
          <w:sz w:val="22"/>
          <w:lang w:val="es-ES"/>
        </w:rPr>
        <w:t>–</w:t>
      </w:r>
      <w:r w:rsidRPr="0DB55339">
        <w:rPr>
          <w:rFonts w:ascii="Arial" w:eastAsia="Calibri" w:hAnsi="Arial" w:cs="Arial"/>
          <w:b/>
          <w:bCs/>
          <w:sz w:val="22"/>
        </w:rPr>
        <w:t xml:space="preserve"> Determinación</w:t>
      </w:r>
    </w:p>
    <w:p w14:paraId="0D873D0B" w14:textId="77777777" w:rsidR="001266B1" w:rsidRPr="0066730D" w:rsidRDefault="001266B1" w:rsidP="005B0191">
      <w:pPr>
        <w:jc w:val="both"/>
        <w:rPr>
          <w:rFonts w:ascii="Arial" w:eastAsia="Calibri" w:hAnsi="Arial" w:cs="Arial"/>
          <w:b/>
          <w:sz w:val="20"/>
          <w:szCs w:val="20"/>
        </w:rPr>
      </w:pPr>
    </w:p>
    <w:p w14:paraId="183D932F" w14:textId="77777777" w:rsidR="001266B1" w:rsidRPr="0066730D" w:rsidRDefault="001266B1" w:rsidP="005B0191">
      <w:pPr>
        <w:jc w:val="both"/>
        <w:rPr>
          <w:rFonts w:ascii="Arial" w:eastAsia="Calibri" w:hAnsi="Arial" w:cs="Arial"/>
          <w:sz w:val="20"/>
          <w:szCs w:val="20"/>
        </w:rPr>
      </w:pPr>
      <w:r w:rsidRPr="0066730D">
        <w:rPr>
          <w:rFonts w:ascii="Arial" w:eastAsia="Calibri" w:hAnsi="Arial" w:cs="Arial"/>
          <w:sz w:val="20"/>
          <w:szCs w:val="20"/>
        </w:rPr>
        <w:t>Como se observa, la determinación del método para la ponderación de la oferta económica, primero, es aleatoria, tal y como lo dispone el artículo 30, parágrafo 3, inciso 3, de la Ley 80 de 1993, adicionado por el artículo 1 de la Ley 1882 de 2018; segundo, se hace de acuerdo con las tablas previamente transcritas; y, tercera, depende de los centavos de la tasa representativa del mercado. Por ejemplo, si la tasa de representativa del mercado a tener en cuenta es de 3.947,79, el método que se tiene que aplicar es el número 4, esto es, «menor valor», en el caso de la versión 2 de los Pliegos Tipo, o la «media aritmética baja», para el caso de la versión 1 de los Documentos Tipo, en ambos casos porque los centavos de la tasa tomada como ejemplo, son setenta y nueve, esto es, 0.79 si tal cifra se determina en relación en el peso que es la unidad de referencia: setenta y nueve centavos de peso.</w:t>
      </w:r>
    </w:p>
    <w:p w14:paraId="0D4430CB" w14:textId="77777777" w:rsidR="001266B1" w:rsidRPr="0066730D" w:rsidRDefault="001266B1" w:rsidP="005B0191">
      <w:pPr>
        <w:jc w:val="both"/>
        <w:rPr>
          <w:rFonts w:ascii="Arial" w:eastAsia="Calibri" w:hAnsi="Arial" w:cs="Arial"/>
          <w:sz w:val="20"/>
          <w:szCs w:val="20"/>
        </w:rPr>
      </w:pPr>
      <w:r w:rsidRPr="0066730D">
        <w:rPr>
          <w:rFonts w:ascii="Arial" w:eastAsia="Calibri" w:hAnsi="Arial" w:cs="Arial"/>
          <w:sz w:val="20"/>
          <w:szCs w:val="20"/>
        </w:rPr>
        <w:t>La versión de los Pliegos Tipo para tener en cuenta depende de la fecha de inicio del proceso contractual o, eventualmente, de la publicación del aviso de convocatoria, en los términos del artículo 3 de la Resolución 0045 del 14 de febrero de 2020, expedida por la Agencia Nacional de Contratación Estatal. En términos generales, si el proceso de contratación inició el o después del 10 de marzo del año en curso o, excepcionalmente, si inició antes, pero para ese momento aún no se había publicado el aviso de convocatoria, las entidades púbicas están obligadas a tener en cuenta y utilizar la versión número dos.</w:t>
      </w:r>
    </w:p>
    <w:p w14:paraId="0C109080" w14:textId="77777777" w:rsidR="001266B1" w:rsidRPr="0066730D" w:rsidRDefault="001266B1" w:rsidP="005B0191">
      <w:pPr>
        <w:jc w:val="both"/>
        <w:rPr>
          <w:rFonts w:ascii="Arial" w:eastAsia="Calibri" w:hAnsi="Arial" w:cs="Arial"/>
          <w:sz w:val="20"/>
          <w:szCs w:val="20"/>
        </w:rPr>
      </w:pPr>
    </w:p>
    <w:p w14:paraId="72842D2D" w14:textId="36E9EE1B" w:rsidR="001266B1" w:rsidRPr="0066730D" w:rsidRDefault="001266B1" w:rsidP="005B0191">
      <w:pPr>
        <w:jc w:val="both"/>
        <w:rPr>
          <w:rFonts w:ascii="Arial" w:eastAsia="Calibri" w:hAnsi="Arial" w:cs="Arial"/>
          <w:b/>
          <w:bCs/>
          <w:sz w:val="22"/>
        </w:rPr>
      </w:pPr>
      <w:r w:rsidRPr="0DB55339">
        <w:rPr>
          <w:rFonts w:ascii="Arial" w:eastAsia="Calibri" w:hAnsi="Arial" w:cs="Arial"/>
          <w:b/>
          <w:bCs/>
          <w:sz w:val="22"/>
        </w:rPr>
        <w:t xml:space="preserve">DOCUMENTOS TIPO – </w:t>
      </w:r>
      <w:r w:rsidR="3532A3D3" w:rsidRPr="0DB55339">
        <w:rPr>
          <w:rFonts w:ascii="Arial" w:eastAsia="Calibri" w:hAnsi="Arial" w:cs="Arial"/>
          <w:b/>
          <w:bCs/>
          <w:sz w:val="22"/>
        </w:rPr>
        <w:t xml:space="preserve">Método ponderación </w:t>
      </w:r>
      <w:r w:rsidR="3532A3D3" w:rsidRPr="0DB55339">
        <w:rPr>
          <w:rFonts w:ascii="Arial" w:eastAsia="Calibri" w:hAnsi="Arial" w:cs="Arial"/>
          <w:b/>
          <w:bCs/>
          <w:sz w:val="22"/>
          <w:lang w:val="es-ES"/>
        </w:rPr>
        <w:t>–</w:t>
      </w:r>
      <w:r w:rsidR="3532A3D3" w:rsidRPr="0DB55339">
        <w:rPr>
          <w:rFonts w:ascii="Arial" w:eastAsia="Calibri" w:hAnsi="Arial" w:cs="Arial"/>
          <w:b/>
          <w:bCs/>
          <w:sz w:val="22"/>
        </w:rPr>
        <w:t xml:space="preserve"> Oferta Económica</w:t>
      </w:r>
      <w:r w:rsidRPr="0DB55339">
        <w:rPr>
          <w:rFonts w:ascii="Arial" w:eastAsia="Calibri" w:hAnsi="Arial" w:cs="Arial"/>
          <w:b/>
          <w:bCs/>
          <w:sz w:val="22"/>
        </w:rPr>
        <w:t xml:space="preserve"> – TRM aplicable</w:t>
      </w:r>
    </w:p>
    <w:p w14:paraId="53C61DC5" w14:textId="77777777" w:rsidR="001266B1" w:rsidRPr="0066730D" w:rsidRDefault="001266B1" w:rsidP="005B0191">
      <w:pPr>
        <w:jc w:val="both"/>
        <w:rPr>
          <w:rFonts w:ascii="Arial" w:eastAsia="Calibri" w:hAnsi="Arial" w:cs="Arial"/>
          <w:b/>
          <w:sz w:val="20"/>
          <w:szCs w:val="20"/>
        </w:rPr>
      </w:pPr>
    </w:p>
    <w:p w14:paraId="7270E34F" w14:textId="77777777" w:rsidR="001266B1" w:rsidRPr="0066730D" w:rsidRDefault="001266B1" w:rsidP="005B0191">
      <w:pPr>
        <w:jc w:val="both"/>
        <w:rPr>
          <w:rFonts w:ascii="Arial" w:eastAsia="Calibri" w:hAnsi="Arial" w:cs="Arial"/>
          <w:sz w:val="20"/>
          <w:szCs w:val="20"/>
        </w:rPr>
      </w:pPr>
      <w:r w:rsidRPr="0066730D">
        <w:rPr>
          <w:rFonts w:ascii="Arial" w:eastAsia="Calibri" w:hAnsi="Arial" w:cs="Arial"/>
          <w:sz w:val="20"/>
          <w:szCs w:val="20"/>
        </w:rPr>
        <w:t xml:space="preserve">Para saber cuál es la TRM que se debe tener en cuenta al determinar el método para la ponderación de la oferta económica, habida cuenta de la dificultad que  se genera por el mercado de valores abre </w:t>
      </w:r>
      <w:r w:rsidRPr="0066730D">
        <w:rPr>
          <w:rFonts w:ascii="Arial" w:eastAsia="Calibri" w:hAnsi="Arial" w:cs="Arial"/>
          <w:sz w:val="20"/>
          <w:szCs w:val="20"/>
        </w:rPr>
        <w:lastRenderedPageBreak/>
        <w:t>con una TRM del día anterior, pero se cierra con una TRM que, de todos modos, regirá para el día siguiente, es necesario acudir a lo establecido en los Documentos Tipo, para lo que resulta indispensable distinguir si el proceso de contratación estatal se tramita con la versión uno o dos del Sistema Electrónica de Contratación Pública −SECOP−.</w:t>
      </w:r>
    </w:p>
    <w:p w14:paraId="6FCD383F" w14:textId="77777777" w:rsidR="001266B1" w:rsidRPr="0066730D" w:rsidRDefault="001266B1" w:rsidP="001266B1">
      <w:pPr>
        <w:spacing w:before="120"/>
        <w:jc w:val="both"/>
        <w:rPr>
          <w:rFonts w:ascii="Arial" w:eastAsia="Calibri" w:hAnsi="Arial" w:cs="Arial"/>
          <w:sz w:val="20"/>
          <w:szCs w:val="20"/>
        </w:rPr>
      </w:pPr>
      <w:r w:rsidRPr="0066730D">
        <w:rPr>
          <w:rFonts w:ascii="Arial" w:eastAsia="Calibri" w:hAnsi="Arial" w:cs="Arial"/>
          <w:sz w:val="20"/>
          <w:szCs w:val="20"/>
        </w:rPr>
        <w:t>[…]</w:t>
      </w:r>
    </w:p>
    <w:p w14:paraId="2EF3AE1E" w14:textId="77777777" w:rsidR="001266B1" w:rsidRPr="0066730D" w:rsidRDefault="001266B1" w:rsidP="001266B1">
      <w:pPr>
        <w:spacing w:before="120"/>
        <w:jc w:val="both"/>
        <w:rPr>
          <w:rFonts w:ascii="Arial" w:eastAsia="Calibri" w:hAnsi="Arial" w:cs="Arial"/>
          <w:sz w:val="20"/>
          <w:szCs w:val="20"/>
        </w:rPr>
      </w:pPr>
      <w:r w:rsidRPr="0066730D">
        <w:rPr>
          <w:rFonts w:ascii="Arial" w:eastAsia="Calibri" w:hAnsi="Arial" w:cs="Arial"/>
          <w:sz w:val="20"/>
          <w:szCs w:val="20"/>
        </w:rPr>
        <w:t xml:space="preserve">Ahora bien, si la entidad contratante está obligada a llevar el proceso de contratación en la plataforma SECOP II, la TRM que se debe tener en cuenta para la determinación del método de ponderación de la oferta económica, es la que rija para el día en el que abre el segundo sobre −que contiene la oferta económica−. Pero si la entidad no está obligada a utilizar dicha plataforma y, por ende, el proceso contractual se adelanta haciendo uso del SECOP I, la TRM es la que rija el día hábil siguiente a aquel en el que abre el segundo sobre. </w:t>
      </w:r>
    </w:p>
    <w:p w14:paraId="556B77A9" w14:textId="77777777" w:rsidR="001266B1" w:rsidRPr="0066730D" w:rsidRDefault="001266B1" w:rsidP="001266B1">
      <w:pPr>
        <w:spacing w:before="120"/>
        <w:jc w:val="both"/>
        <w:rPr>
          <w:rFonts w:ascii="Arial" w:eastAsia="Calibri" w:hAnsi="Arial" w:cs="Arial"/>
          <w:sz w:val="20"/>
          <w:szCs w:val="20"/>
        </w:rPr>
      </w:pPr>
      <w:r w:rsidRPr="0066730D">
        <w:rPr>
          <w:rFonts w:ascii="Arial" w:eastAsia="Calibri" w:hAnsi="Arial" w:cs="Arial"/>
          <w:sz w:val="20"/>
          <w:szCs w:val="20"/>
        </w:rPr>
        <w:t xml:space="preserve">Es del caso precisar que el momento para tener en cuenta es el de la apertura de sobre y no el del inicio de la audiencia efectiva de adjudicación, pues puede pasar, por ejemplo, que dicha audiencia inicie el 1 de mayo de 2020, que ese mismo día se respondan y resuelvan las observaciones presentadas al informe final de evaluación, pero que sea necesario suspender la audiencia y reanudarla al día siguiente porque no se alcanzó a abrir el segundo sobre. En este caso hipotético, aunque la diligencia inició el 1 de mayo de 2020, lo cierto es que el momento que se debe tener en cuenta, para efectos de la determinación del método de ponderación de la oferta económica, es de la apertura efectiva del segundo sobre, para el caso presentado a título ilustrativo, el 2 de mayo de 2020. </w:t>
      </w:r>
    </w:p>
    <w:p w14:paraId="1B1EDC70" w14:textId="1A0F878F" w:rsidR="001266B1" w:rsidRPr="0066730D" w:rsidRDefault="001266B1" w:rsidP="00D66CC3">
      <w:pPr>
        <w:jc w:val="both"/>
        <w:rPr>
          <w:rFonts w:ascii="Arial" w:eastAsia="Calibri" w:hAnsi="Arial" w:cs="Arial"/>
          <w:sz w:val="20"/>
          <w:szCs w:val="20"/>
        </w:rPr>
      </w:pPr>
    </w:p>
    <w:p w14:paraId="7A2B66E2" w14:textId="3020BCCD" w:rsidR="001266B1" w:rsidRPr="0066730D" w:rsidRDefault="001266B1" w:rsidP="0DB55339">
      <w:pPr>
        <w:jc w:val="both"/>
        <w:rPr>
          <w:rFonts w:ascii="Arial" w:eastAsia="Calibri" w:hAnsi="Arial" w:cs="Arial"/>
          <w:b/>
          <w:bCs/>
          <w:sz w:val="22"/>
        </w:rPr>
      </w:pPr>
      <w:r w:rsidRPr="0DB55339">
        <w:rPr>
          <w:rFonts w:ascii="Arial" w:eastAsia="Calibri" w:hAnsi="Arial" w:cs="Arial"/>
          <w:b/>
          <w:bCs/>
          <w:sz w:val="22"/>
        </w:rPr>
        <w:t xml:space="preserve">DOCUMENTOS TIPO – </w:t>
      </w:r>
      <w:r w:rsidR="00951110" w:rsidRPr="0DB55339">
        <w:rPr>
          <w:rFonts w:ascii="Arial" w:eastAsia="Calibri" w:hAnsi="Arial" w:cs="Arial"/>
          <w:b/>
          <w:bCs/>
          <w:sz w:val="22"/>
        </w:rPr>
        <w:t xml:space="preserve">Método ponderación </w:t>
      </w:r>
      <w:r w:rsidR="00951110" w:rsidRPr="0DB55339">
        <w:rPr>
          <w:rFonts w:ascii="Arial" w:eastAsia="Calibri" w:hAnsi="Arial" w:cs="Arial"/>
          <w:b/>
          <w:bCs/>
          <w:sz w:val="22"/>
          <w:lang w:val="es-ES"/>
        </w:rPr>
        <w:t>–</w:t>
      </w:r>
      <w:r w:rsidR="00951110" w:rsidRPr="0DB55339">
        <w:rPr>
          <w:rFonts w:ascii="Arial" w:eastAsia="Calibri" w:hAnsi="Arial" w:cs="Arial"/>
          <w:b/>
          <w:bCs/>
          <w:sz w:val="22"/>
        </w:rPr>
        <w:t xml:space="preserve"> Oferta Económica </w:t>
      </w:r>
      <w:r w:rsidRPr="0DB55339">
        <w:rPr>
          <w:rFonts w:ascii="Arial" w:eastAsia="Calibri" w:hAnsi="Arial" w:cs="Arial"/>
          <w:b/>
          <w:bCs/>
          <w:sz w:val="22"/>
        </w:rPr>
        <w:t>– TRM aplicable – Apertura de sobres realizada un sábado</w:t>
      </w:r>
    </w:p>
    <w:p w14:paraId="748A56A8" w14:textId="77777777" w:rsidR="001266B1" w:rsidRPr="0066730D" w:rsidRDefault="001266B1" w:rsidP="001266B1">
      <w:pPr>
        <w:autoSpaceDE w:val="0"/>
        <w:autoSpaceDN w:val="0"/>
        <w:adjustRightInd w:val="0"/>
        <w:spacing w:line="276" w:lineRule="auto"/>
        <w:jc w:val="both"/>
        <w:rPr>
          <w:rFonts w:ascii="Arial" w:eastAsia="Calibri" w:hAnsi="Arial" w:cs="Arial"/>
          <w:sz w:val="22"/>
        </w:rPr>
      </w:pPr>
    </w:p>
    <w:p w14:paraId="2FAF2777" w14:textId="41B5BFC2" w:rsidR="001266B1" w:rsidRPr="0066730D" w:rsidRDefault="001266B1" w:rsidP="00E5509A">
      <w:pPr>
        <w:autoSpaceDE w:val="0"/>
        <w:autoSpaceDN w:val="0"/>
        <w:adjustRightInd w:val="0"/>
        <w:jc w:val="both"/>
        <w:rPr>
          <w:rFonts w:ascii="Arial" w:eastAsia="Calibri" w:hAnsi="Arial" w:cs="Arial"/>
          <w:sz w:val="20"/>
          <w:szCs w:val="21"/>
        </w:rPr>
      </w:pPr>
      <w:r w:rsidRPr="0066730D">
        <w:rPr>
          <w:rFonts w:ascii="Arial" w:eastAsia="Calibri" w:hAnsi="Arial" w:cs="Arial"/>
          <w:sz w:val="20"/>
          <w:szCs w:val="21"/>
        </w:rPr>
        <w:t xml:space="preserve">En el caso de audiencia de adjudicación celebrada un sábado, en un proceso adelantado en SECOP I, la TRM aplicable será la del día hábil siguiente, es decir, la del lunes –siempre que este no sea festivo–. En el mismo supuesto, pero en un proceso adelantado a través de SECOP II, deberá aplicarse la TRM vigente para ese día, la cual de conformidad con la </w:t>
      </w:r>
      <w:r w:rsidRPr="0066730D">
        <w:rPr>
          <w:rFonts w:ascii="Arial" w:eastAsia="Times New Roman" w:hAnsi="Arial" w:cs="Arial"/>
          <w:sz w:val="20"/>
          <w:szCs w:val="21"/>
        </w:rPr>
        <w:t xml:space="preserve">Circular Reglamentaria Externa- DODM-146 del 25 de mayo de 2018, expedida por el Banco de la República, contentiva del Manual del Departamento de Operaciones y Desarrollo de Mercados, será la que rija para día hábil siguiente. </w:t>
      </w:r>
    </w:p>
    <w:p w14:paraId="21A02E2A" w14:textId="77777777" w:rsidR="003830F0" w:rsidRPr="005B0191" w:rsidRDefault="003830F0" w:rsidP="00E6699A">
      <w:pPr>
        <w:jc w:val="both"/>
        <w:rPr>
          <w:rFonts w:ascii="Arial" w:hAnsi="Arial" w:cs="Arial"/>
          <w:sz w:val="20"/>
          <w:szCs w:val="20"/>
        </w:rPr>
      </w:pPr>
    </w:p>
    <w:p w14:paraId="300FD557" w14:textId="77777777" w:rsidR="00590AF1" w:rsidRPr="005B0191" w:rsidRDefault="00590AF1" w:rsidP="00590AF1">
      <w:pPr>
        <w:autoSpaceDE w:val="0"/>
        <w:autoSpaceDN w:val="0"/>
        <w:adjustRightInd w:val="0"/>
        <w:rPr>
          <w:rFonts w:ascii="Arial" w:hAnsi="Arial" w:cs="Arial"/>
          <w:color w:val="000000"/>
          <w:sz w:val="20"/>
          <w:szCs w:val="20"/>
          <w:lang w:val="es-CO"/>
        </w:rPr>
      </w:pPr>
      <w:bookmarkStart w:id="3" w:name="_Hlk46499359"/>
    </w:p>
    <w:p w14:paraId="6A782AAB" w14:textId="0C8EF332" w:rsidR="00590AF1" w:rsidRPr="00590AF1" w:rsidRDefault="00590AF1" w:rsidP="00590AF1">
      <w:pPr>
        <w:autoSpaceDE w:val="0"/>
        <w:autoSpaceDN w:val="0"/>
        <w:adjustRightInd w:val="0"/>
        <w:rPr>
          <w:rFonts w:ascii="Arial" w:hAnsi="Arial" w:cs="Arial"/>
          <w:color w:val="000000"/>
          <w:sz w:val="22"/>
          <w:lang w:val="es-CO"/>
        </w:rPr>
      </w:pPr>
      <w:r w:rsidRPr="00590AF1">
        <w:rPr>
          <w:rFonts w:ascii="Arial" w:hAnsi="Arial" w:cs="Arial"/>
          <w:color w:val="000000"/>
          <w:sz w:val="22"/>
          <w:lang w:val="es-CO"/>
        </w:rPr>
        <w:t xml:space="preserve">Bogotá D.C., </w:t>
      </w:r>
      <w:r w:rsidRPr="00590AF1">
        <w:rPr>
          <w:rFonts w:ascii="Arial" w:hAnsi="Arial" w:cs="Arial"/>
          <w:b/>
          <w:bCs/>
          <w:color w:val="000000"/>
          <w:sz w:val="22"/>
          <w:lang w:val="es-CO"/>
        </w:rPr>
        <w:t xml:space="preserve">24/07/2020 Hora 16:14:10s </w:t>
      </w:r>
    </w:p>
    <w:p w14:paraId="730F4C7D" w14:textId="1F09C794" w:rsidR="00DD782C" w:rsidRPr="0066730D" w:rsidRDefault="00590AF1" w:rsidP="00590AF1">
      <w:pPr>
        <w:jc w:val="right"/>
        <w:rPr>
          <w:rFonts w:ascii="Arial" w:eastAsia="Calibri" w:hAnsi="Arial" w:cs="Arial"/>
          <w:sz w:val="22"/>
        </w:rPr>
      </w:pPr>
      <w:proofErr w:type="spellStart"/>
      <w:r w:rsidRPr="00590AF1">
        <w:rPr>
          <w:rFonts w:ascii="Arial" w:hAnsi="Arial" w:cs="Arial"/>
          <w:b/>
          <w:bCs/>
          <w:color w:val="000000"/>
          <w:sz w:val="22"/>
          <w:lang w:val="es-CO"/>
        </w:rPr>
        <w:t>N°</w:t>
      </w:r>
      <w:proofErr w:type="spellEnd"/>
      <w:r w:rsidRPr="00590AF1">
        <w:rPr>
          <w:rFonts w:ascii="Arial" w:hAnsi="Arial" w:cs="Arial"/>
          <w:b/>
          <w:bCs/>
          <w:color w:val="000000"/>
          <w:sz w:val="22"/>
          <w:lang w:val="es-CO"/>
        </w:rPr>
        <w:t xml:space="preserve"> Radicado: 2202013000006603</w:t>
      </w:r>
    </w:p>
    <w:p w14:paraId="11924774" w14:textId="77777777" w:rsidR="00590AF1" w:rsidRDefault="00590AF1" w:rsidP="00D1044A">
      <w:pPr>
        <w:rPr>
          <w:rFonts w:ascii="Arial" w:eastAsia="Calibri" w:hAnsi="Arial" w:cs="Arial"/>
          <w:sz w:val="22"/>
          <w:szCs w:val="20"/>
          <w:lang w:val="es-ES_tradnl"/>
        </w:rPr>
      </w:pPr>
    </w:p>
    <w:p w14:paraId="69990749" w14:textId="2D362766" w:rsidR="00D1044A" w:rsidRPr="0066730D" w:rsidRDefault="00D1044A" w:rsidP="00D1044A">
      <w:pPr>
        <w:rPr>
          <w:rFonts w:ascii="Arial" w:eastAsia="Calibri" w:hAnsi="Arial" w:cs="Arial"/>
          <w:sz w:val="22"/>
          <w:szCs w:val="20"/>
          <w:lang w:val="es-ES_tradnl"/>
        </w:rPr>
      </w:pPr>
      <w:r w:rsidRPr="0066730D">
        <w:rPr>
          <w:rFonts w:ascii="Arial" w:eastAsia="Calibri" w:hAnsi="Arial" w:cs="Arial"/>
          <w:sz w:val="22"/>
          <w:szCs w:val="20"/>
          <w:lang w:val="es-ES_tradnl"/>
        </w:rPr>
        <w:t>Señor</w:t>
      </w:r>
    </w:p>
    <w:p w14:paraId="7134F820" w14:textId="254E9145" w:rsidR="00E6699A" w:rsidRPr="0066730D" w:rsidRDefault="00E6699A" w:rsidP="00D1044A">
      <w:pPr>
        <w:rPr>
          <w:rFonts w:ascii="Arial" w:eastAsia="Calibri" w:hAnsi="Arial" w:cs="Arial"/>
          <w:b/>
          <w:sz w:val="22"/>
          <w:szCs w:val="20"/>
          <w:lang w:val="es-ES_tradnl"/>
        </w:rPr>
      </w:pPr>
      <w:r w:rsidRPr="0066730D">
        <w:rPr>
          <w:rFonts w:ascii="Arial" w:eastAsia="Calibri" w:hAnsi="Arial" w:cs="Arial"/>
          <w:b/>
          <w:sz w:val="22"/>
          <w:szCs w:val="20"/>
          <w:lang w:val="es-ES_tradnl"/>
        </w:rPr>
        <w:t>Carlos Iván García Restrepo</w:t>
      </w:r>
    </w:p>
    <w:p w14:paraId="1D19D664" w14:textId="22DC1C43" w:rsidR="00D1044A" w:rsidRPr="0066730D" w:rsidRDefault="00D1044A" w:rsidP="00D1044A">
      <w:pPr>
        <w:rPr>
          <w:rFonts w:ascii="Arial" w:eastAsia="Calibri" w:hAnsi="Arial" w:cs="Arial"/>
          <w:b/>
          <w:sz w:val="22"/>
          <w:szCs w:val="20"/>
          <w:lang w:val="es-ES_tradnl"/>
        </w:rPr>
      </w:pPr>
      <w:r w:rsidRPr="0066730D">
        <w:rPr>
          <w:rFonts w:ascii="Arial" w:eastAsia="Calibri" w:hAnsi="Arial" w:cs="Arial"/>
          <w:sz w:val="22"/>
          <w:szCs w:val="20"/>
          <w:lang w:val="es-ES_tradnl"/>
        </w:rPr>
        <w:t>Ciudad</w:t>
      </w:r>
    </w:p>
    <w:p w14:paraId="0342712E" w14:textId="77777777" w:rsidR="00D1044A" w:rsidRPr="0066730D" w:rsidRDefault="00D1044A" w:rsidP="00D1044A">
      <w:pPr>
        <w:jc w:val="center"/>
        <w:rPr>
          <w:rFonts w:ascii="Arial" w:eastAsia="Calibri" w:hAnsi="Arial" w:cs="Arial"/>
          <w:b/>
          <w:sz w:val="22"/>
          <w:lang w:val="es-ES_tradnl"/>
        </w:rPr>
      </w:pPr>
    </w:p>
    <w:p w14:paraId="26FCA3B1" w14:textId="39D9561A" w:rsidR="00D1044A" w:rsidRPr="0066730D" w:rsidRDefault="00D1044A" w:rsidP="00D1044A">
      <w:pPr>
        <w:jc w:val="center"/>
        <w:rPr>
          <w:rFonts w:ascii="Arial" w:eastAsia="Calibri" w:hAnsi="Arial" w:cs="Arial"/>
          <w:b/>
          <w:sz w:val="22"/>
          <w:lang w:val="es-ES_tradnl"/>
        </w:rPr>
      </w:pPr>
      <w:r w:rsidRPr="0066730D">
        <w:rPr>
          <w:rFonts w:ascii="Arial" w:eastAsia="Calibri" w:hAnsi="Arial" w:cs="Arial"/>
          <w:b/>
          <w:sz w:val="22"/>
          <w:lang w:val="es-ES_tradnl"/>
        </w:rPr>
        <w:t xml:space="preserve">Concepto C </w:t>
      </w:r>
      <w:r w:rsidR="00593402">
        <w:rPr>
          <w:rFonts w:ascii="Arial" w:eastAsia="Calibri" w:hAnsi="Arial" w:cs="Arial"/>
          <w:b/>
          <w:sz w:val="22"/>
          <w:lang w:val="es-ES_tradnl"/>
        </w:rPr>
        <w:t xml:space="preserve">– </w:t>
      </w:r>
      <w:r w:rsidR="00E6699A" w:rsidRPr="0066730D">
        <w:rPr>
          <w:rFonts w:ascii="Arial" w:eastAsia="Calibri" w:hAnsi="Arial" w:cs="Arial"/>
          <w:b/>
          <w:sz w:val="22"/>
          <w:lang w:val="es-ES_tradnl"/>
        </w:rPr>
        <w:t>386</w:t>
      </w:r>
      <w:r w:rsidRPr="0066730D">
        <w:rPr>
          <w:rFonts w:ascii="Arial" w:eastAsia="Calibri" w:hAnsi="Arial" w:cs="Arial"/>
          <w:b/>
          <w:sz w:val="22"/>
          <w:lang w:val="es-ES_tradnl"/>
        </w:rPr>
        <w:t xml:space="preserve"> de 2020</w:t>
      </w:r>
    </w:p>
    <w:p w14:paraId="452076B3" w14:textId="77777777" w:rsidR="00D1044A" w:rsidRPr="0066730D" w:rsidRDefault="00D1044A" w:rsidP="00D1044A">
      <w:pPr>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6699A" w:rsidRPr="0066730D" w14:paraId="27E96D21" w14:textId="77777777" w:rsidTr="005C1DA3">
        <w:tc>
          <w:tcPr>
            <w:tcW w:w="2689" w:type="dxa"/>
            <w:hideMark/>
          </w:tcPr>
          <w:p w14:paraId="097680C1" w14:textId="77777777" w:rsidR="00D1044A" w:rsidRPr="0066730D" w:rsidRDefault="00D1044A" w:rsidP="005C1DA3">
            <w:pPr>
              <w:rPr>
                <w:rFonts w:ascii="Arial" w:eastAsia="Calibri" w:hAnsi="Arial" w:cs="Arial"/>
                <w:sz w:val="22"/>
                <w:lang w:val="es-ES_tradnl"/>
              </w:rPr>
            </w:pPr>
            <w:r w:rsidRPr="0066730D">
              <w:rPr>
                <w:rFonts w:ascii="Arial" w:eastAsia="Calibri" w:hAnsi="Arial" w:cs="Arial"/>
                <w:b/>
                <w:sz w:val="22"/>
                <w:lang w:val="es-ES_tradnl"/>
              </w:rPr>
              <w:t>Temas:</w:t>
            </w:r>
            <w:r w:rsidRPr="0066730D">
              <w:rPr>
                <w:rFonts w:ascii="Arial" w:eastAsia="Calibri" w:hAnsi="Arial" w:cs="Arial"/>
                <w:sz w:val="22"/>
                <w:lang w:val="es-ES_tradnl"/>
              </w:rPr>
              <w:t xml:space="preserve">           </w:t>
            </w:r>
          </w:p>
          <w:p w14:paraId="223629C8" w14:textId="77777777" w:rsidR="00D1044A" w:rsidRPr="0066730D" w:rsidRDefault="00D1044A" w:rsidP="005C1DA3">
            <w:pPr>
              <w:rPr>
                <w:rFonts w:ascii="Arial" w:eastAsia="Calibri" w:hAnsi="Arial" w:cs="Arial"/>
                <w:sz w:val="22"/>
                <w:lang w:val="es-ES_tradnl"/>
              </w:rPr>
            </w:pPr>
            <w:r w:rsidRPr="0066730D">
              <w:rPr>
                <w:rFonts w:ascii="Arial" w:eastAsia="Calibri" w:hAnsi="Arial" w:cs="Arial"/>
                <w:sz w:val="22"/>
                <w:lang w:val="es-ES_tradnl"/>
              </w:rPr>
              <w:t xml:space="preserve">                           </w:t>
            </w:r>
          </w:p>
        </w:tc>
        <w:tc>
          <w:tcPr>
            <w:tcW w:w="6237" w:type="dxa"/>
            <w:hideMark/>
          </w:tcPr>
          <w:p w14:paraId="3E613F9A" w14:textId="24052352" w:rsidR="00F54259" w:rsidRPr="0066730D" w:rsidRDefault="001266B1" w:rsidP="008C3804">
            <w:pPr>
              <w:jc w:val="both"/>
              <w:rPr>
                <w:rFonts w:ascii="Arial" w:hAnsi="Arial" w:cs="Arial"/>
                <w:sz w:val="22"/>
              </w:rPr>
            </w:pPr>
            <w:r w:rsidRPr="0066730D">
              <w:rPr>
                <w:rFonts w:ascii="Arial" w:hAnsi="Arial" w:cs="Arial"/>
                <w:sz w:val="22"/>
                <w:lang w:val="es-ES_tradnl"/>
              </w:rPr>
              <w:t>INHABILIDADES – Definición – Finalidad – Limitación capacidad / INHABILIDADES – Clasificación – Sanción – Proceso sancionatorio – Requisito – Condiciones personales / INHABILIDADES – Taxatividad – Principio de legalidad – Interpretación restrictiva</w:t>
            </w:r>
            <w:r w:rsidR="00593402">
              <w:rPr>
                <w:rFonts w:ascii="Arial" w:hAnsi="Arial" w:cs="Arial"/>
                <w:sz w:val="22"/>
                <w:lang w:val="es-ES_tradnl"/>
              </w:rPr>
              <w:t xml:space="preserve"> / </w:t>
            </w:r>
            <w:r w:rsidR="00593402" w:rsidRPr="00593402">
              <w:rPr>
                <w:rFonts w:ascii="Arial" w:hAnsi="Arial" w:cs="Arial"/>
                <w:sz w:val="22"/>
                <w:lang w:val="es-ES_tradnl"/>
              </w:rPr>
              <w:t>INHABILIDADES – Interventoría – Ley 1474 de 2011 – Artículos 5 y 84</w:t>
            </w:r>
            <w:r w:rsidR="00593402">
              <w:rPr>
                <w:rFonts w:ascii="Arial" w:hAnsi="Arial" w:cs="Arial"/>
                <w:sz w:val="22"/>
                <w:lang w:val="es-ES_tradnl"/>
              </w:rPr>
              <w:t xml:space="preserve"> </w:t>
            </w:r>
            <w:r w:rsidRPr="0066730D">
              <w:rPr>
                <w:rFonts w:ascii="Arial" w:hAnsi="Arial" w:cs="Arial"/>
                <w:sz w:val="22"/>
                <w:lang w:val="es-ES_tradnl"/>
              </w:rPr>
              <w:t xml:space="preserve">/ DOCUMENTOS TIPO – MÉTODO PARA LA PONDERACIÓN DE LA OFERTA </w:t>
            </w:r>
            <w:r w:rsidRPr="0066730D">
              <w:rPr>
                <w:rFonts w:ascii="Arial" w:hAnsi="Arial" w:cs="Arial"/>
                <w:sz w:val="22"/>
                <w:lang w:val="es-ES_tradnl"/>
              </w:rPr>
              <w:lastRenderedPageBreak/>
              <w:t xml:space="preserve">ECONÓMICA – Determinación / DOCUMENTOS TIPO – MÉTODO PARA LA PONDERACIÓN DE LA OFERTA ECONÓMICA – TRM aplicable / DOCUMENTOS TIPO – MÉTODO PARA LA PONDERACIÓN DE LA OFERTA ECONÓMICA – TRM aplicable – Apertura de sobres realizada un sábado  </w:t>
            </w:r>
          </w:p>
          <w:p w14:paraId="41B71690" w14:textId="66C8576F" w:rsidR="00D1044A" w:rsidRPr="0066730D" w:rsidRDefault="00D1044A" w:rsidP="007E0383">
            <w:pPr>
              <w:jc w:val="both"/>
              <w:rPr>
                <w:rFonts w:ascii="Arial" w:eastAsia="Calibri" w:hAnsi="Arial" w:cs="Arial"/>
                <w:sz w:val="22"/>
                <w:lang w:val="es-ES_tradnl"/>
              </w:rPr>
            </w:pPr>
          </w:p>
        </w:tc>
      </w:tr>
      <w:tr w:rsidR="00E6699A" w:rsidRPr="0066730D" w14:paraId="1D3FE300" w14:textId="77777777" w:rsidTr="009B2EE5">
        <w:trPr>
          <w:trHeight w:val="578"/>
        </w:trPr>
        <w:tc>
          <w:tcPr>
            <w:tcW w:w="2689" w:type="dxa"/>
          </w:tcPr>
          <w:p w14:paraId="410C4429" w14:textId="10EA6240" w:rsidR="00D1044A" w:rsidRPr="0066730D" w:rsidRDefault="001266B1" w:rsidP="005C1DA3">
            <w:pPr>
              <w:rPr>
                <w:rFonts w:ascii="Arial" w:eastAsia="Calibri" w:hAnsi="Arial" w:cs="Arial"/>
                <w:b/>
                <w:sz w:val="22"/>
                <w:lang w:val="es-ES_tradnl"/>
              </w:rPr>
            </w:pPr>
            <w:r w:rsidRPr="0066730D">
              <w:rPr>
                <w:rFonts w:ascii="Arial" w:eastAsia="Calibri" w:hAnsi="Arial" w:cs="Arial"/>
                <w:b/>
                <w:sz w:val="22"/>
                <w:lang w:val="es-ES_tradnl"/>
              </w:rPr>
              <w:lastRenderedPageBreak/>
              <w:t xml:space="preserve"> </w:t>
            </w:r>
            <w:r w:rsidR="00D1044A" w:rsidRPr="0066730D">
              <w:rPr>
                <w:rFonts w:ascii="Arial" w:eastAsia="Calibri" w:hAnsi="Arial" w:cs="Arial"/>
                <w:b/>
                <w:sz w:val="22"/>
                <w:lang w:val="es-ES_tradnl"/>
              </w:rPr>
              <w:t>Radicación:</w:t>
            </w:r>
            <w:r w:rsidR="00D1044A" w:rsidRPr="0066730D">
              <w:rPr>
                <w:rFonts w:ascii="Arial" w:eastAsia="Calibri" w:hAnsi="Arial" w:cs="Arial"/>
                <w:sz w:val="22"/>
                <w:lang w:val="es-ES_tradnl"/>
              </w:rPr>
              <w:t xml:space="preserve">                              </w:t>
            </w:r>
          </w:p>
        </w:tc>
        <w:tc>
          <w:tcPr>
            <w:tcW w:w="6237" w:type="dxa"/>
          </w:tcPr>
          <w:p w14:paraId="0E9FA314" w14:textId="70E25486" w:rsidR="00D1044A" w:rsidRPr="0066730D" w:rsidRDefault="00D1044A" w:rsidP="005C1DA3">
            <w:pPr>
              <w:jc w:val="both"/>
              <w:rPr>
                <w:rFonts w:ascii="Arial" w:eastAsia="Calibri" w:hAnsi="Arial" w:cs="Arial"/>
                <w:sz w:val="22"/>
                <w:lang w:val="es-ES_tradnl"/>
              </w:rPr>
            </w:pPr>
            <w:r w:rsidRPr="0066730D">
              <w:rPr>
                <w:rFonts w:ascii="Arial" w:eastAsia="Calibri" w:hAnsi="Arial" w:cs="Arial"/>
                <w:sz w:val="22"/>
                <w:lang w:val="es-ES_tradnl"/>
              </w:rPr>
              <w:t xml:space="preserve">Respuesta a consulta # </w:t>
            </w:r>
            <w:r w:rsidR="00E6699A" w:rsidRPr="0066730D">
              <w:rPr>
                <w:rFonts w:ascii="Arial" w:eastAsia="Calibri" w:hAnsi="Arial" w:cs="Arial"/>
                <w:sz w:val="22"/>
                <w:lang w:val="es-ES_tradnl"/>
              </w:rPr>
              <w:t>4202013000005637</w:t>
            </w:r>
          </w:p>
        </w:tc>
      </w:tr>
    </w:tbl>
    <w:p w14:paraId="52951EE5" w14:textId="77777777" w:rsidR="00D1044A" w:rsidRPr="0066730D" w:rsidRDefault="00D1044A" w:rsidP="00D1044A">
      <w:pPr>
        <w:jc w:val="both"/>
        <w:rPr>
          <w:rFonts w:ascii="Arial" w:eastAsia="Calibri" w:hAnsi="Arial" w:cs="Arial"/>
          <w:sz w:val="22"/>
          <w:lang w:val="es-ES_tradnl"/>
        </w:rPr>
      </w:pPr>
    </w:p>
    <w:p w14:paraId="3DCF0A10" w14:textId="74E75617" w:rsidR="00D1044A" w:rsidRPr="0066730D" w:rsidRDefault="00D1044A" w:rsidP="00D1044A">
      <w:pPr>
        <w:rPr>
          <w:rFonts w:ascii="Arial" w:eastAsia="Calibri" w:hAnsi="Arial" w:cs="Arial"/>
          <w:sz w:val="22"/>
          <w:lang w:val="es-ES_tradnl"/>
        </w:rPr>
      </w:pPr>
      <w:r w:rsidRPr="0066730D">
        <w:rPr>
          <w:rFonts w:ascii="Arial" w:eastAsia="Calibri" w:hAnsi="Arial" w:cs="Arial"/>
          <w:sz w:val="22"/>
          <w:lang w:val="es-ES_tradnl"/>
        </w:rPr>
        <w:t>Estimad</w:t>
      </w:r>
      <w:r w:rsidR="009B2EE5" w:rsidRPr="0066730D">
        <w:rPr>
          <w:rFonts w:ascii="Arial" w:eastAsia="Calibri" w:hAnsi="Arial" w:cs="Arial"/>
          <w:sz w:val="22"/>
          <w:lang w:val="es-ES_tradnl"/>
        </w:rPr>
        <w:t>o</w:t>
      </w:r>
      <w:r w:rsidRPr="0066730D">
        <w:rPr>
          <w:rFonts w:ascii="Arial" w:eastAsia="Calibri" w:hAnsi="Arial" w:cs="Arial"/>
          <w:sz w:val="22"/>
          <w:lang w:val="es-ES_tradnl"/>
        </w:rPr>
        <w:t xml:space="preserve"> señor </w:t>
      </w:r>
      <w:r w:rsidR="00E6699A" w:rsidRPr="0066730D">
        <w:rPr>
          <w:rFonts w:ascii="Arial" w:eastAsia="Calibri" w:hAnsi="Arial" w:cs="Arial"/>
          <w:sz w:val="22"/>
          <w:lang w:val="es-ES_tradnl"/>
        </w:rPr>
        <w:t>García</w:t>
      </w:r>
      <w:r w:rsidRPr="0066730D">
        <w:rPr>
          <w:rFonts w:ascii="Arial" w:eastAsia="Calibri" w:hAnsi="Arial" w:cs="Arial"/>
          <w:sz w:val="22"/>
          <w:lang w:val="es-ES_tradnl"/>
        </w:rPr>
        <w:t>,</w:t>
      </w:r>
    </w:p>
    <w:p w14:paraId="4AC1DD9B" w14:textId="77777777" w:rsidR="00D1044A" w:rsidRPr="0066730D" w:rsidRDefault="00D1044A" w:rsidP="00D1044A">
      <w:pPr>
        <w:rPr>
          <w:rFonts w:ascii="Arial" w:eastAsia="Calibri" w:hAnsi="Arial" w:cs="Arial"/>
          <w:sz w:val="22"/>
          <w:lang w:val="es-ES_tradnl"/>
        </w:rPr>
      </w:pPr>
    </w:p>
    <w:p w14:paraId="0A5F5C54" w14:textId="6F8F0B54" w:rsidR="00D1044A" w:rsidRPr="0066730D" w:rsidRDefault="00D1044A" w:rsidP="00D1044A">
      <w:pPr>
        <w:spacing w:line="276" w:lineRule="auto"/>
        <w:ind w:right="49"/>
        <w:jc w:val="both"/>
        <w:rPr>
          <w:rFonts w:ascii="Arial" w:eastAsia="Calibri" w:hAnsi="Arial" w:cs="Arial"/>
          <w:sz w:val="22"/>
          <w:lang w:val="es-ES_tradnl"/>
        </w:rPr>
      </w:pPr>
      <w:r w:rsidRPr="0066730D">
        <w:rPr>
          <w:rFonts w:ascii="Arial" w:eastAsia="Calibri" w:hAnsi="Arial" w:cs="Arial"/>
          <w:sz w:val="22"/>
          <w:lang w:val="es-ES_tradnl"/>
        </w:rPr>
        <w:t>La Agencia Nacional de Contratación Pública ―</w:t>
      </w:r>
      <w:r w:rsidR="00D16FA8" w:rsidRPr="0066730D">
        <w:rPr>
          <w:rFonts w:ascii="Arial" w:eastAsia="Calibri" w:hAnsi="Arial" w:cs="Arial"/>
          <w:sz w:val="22"/>
          <w:lang w:val="es-ES_tradnl"/>
        </w:rPr>
        <w:t xml:space="preserve"> </w:t>
      </w:r>
      <w:r w:rsidRPr="0066730D">
        <w:rPr>
          <w:rFonts w:ascii="Arial" w:eastAsia="Calibri" w:hAnsi="Arial" w:cs="Arial"/>
          <w:sz w:val="22"/>
          <w:lang w:val="es-ES_tradnl"/>
        </w:rPr>
        <w:t>Colombia Compra Eficiente</w:t>
      </w:r>
      <w:r w:rsidR="00A20399" w:rsidRPr="0066730D">
        <w:rPr>
          <w:rFonts w:ascii="Arial" w:eastAsia="Calibri" w:hAnsi="Arial" w:cs="Arial"/>
          <w:sz w:val="22"/>
          <w:lang w:val="es-ES_tradnl"/>
        </w:rPr>
        <w:t>,</w:t>
      </w:r>
      <w:r w:rsidRPr="0066730D">
        <w:rPr>
          <w:rFonts w:ascii="Arial" w:eastAsia="Calibri" w:hAnsi="Arial" w:cs="Arial"/>
          <w:sz w:val="22"/>
          <w:lang w:val="es-ES_tradnl"/>
        </w:rPr>
        <w:t xml:space="preserve"> en ejercicio de la competencia otorgada por el numeral 8 del artículo 11 y el numeral 5 del artículo 3 del Decreto Ley 4170 de 2011</w:t>
      </w:r>
      <w:r w:rsidR="009B2EE5" w:rsidRPr="0066730D">
        <w:rPr>
          <w:rFonts w:ascii="Arial" w:eastAsia="Calibri" w:hAnsi="Arial" w:cs="Arial"/>
          <w:sz w:val="22"/>
          <w:lang w:val="es-ES_tradnl"/>
        </w:rPr>
        <w:t>, responde a su consulta</w:t>
      </w:r>
      <w:r w:rsidR="00A20399" w:rsidRPr="0066730D">
        <w:rPr>
          <w:rFonts w:ascii="Arial" w:eastAsia="Calibri" w:hAnsi="Arial" w:cs="Arial"/>
          <w:sz w:val="22"/>
          <w:lang w:val="es-ES_tradnl"/>
        </w:rPr>
        <w:t>,</w:t>
      </w:r>
      <w:r w:rsidR="009B2EE5" w:rsidRPr="0066730D">
        <w:rPr>
          <w:rFonts w:ascii="Arial" w:eastAsia="Calibri" w:hAnsi="Arial" w:cs="Arial"/>
          <w:sz w:val="22"/>
          <w:lang w:val="es-ES_tradnl"/>
        </w:rPr>
        <w:t xml:space="preserve"> remitida el </w:t>
      </w:r>
      <w:r w:rsidR="00E6699A" w:rsidRPr="0066730D">
        <w:rPr>
          <w:rFonts w:ascii="Arial" w:eastAsia="Calibri" w:hAnsi="Arial" w:cs="Arial"/>
          <w:sz w:val="22"/>
          <w:lang w:val="es-ES_tradnl"/>
        </w:rPr>
        <w:t>6</w:t>
      </w:r>
      <w:r w:rsidR="002821D6" w:rsidRPr="0066730D">
        <w:rPr>
          <w:rFonts w:ascii="Arial" w:eastAsia="Calibri" w:hAnsi="Arial" w:cs="Arial"/>
          <w:sz w:val="22"/>
          <w:lang w:val="es-ES_tradnl"/>
        </w:rPr>
        <w:t xml:space="preserve"> </w:t>
      </w:r>
      <w:r w:rsidR="009B2EE5" w:rsidRPr="0066730D">
        <w:rPr>
          <w:rFonts w:ascii="Arial" w:eastAsia="Calibri" w:hAnsi="Arial" w:cs="Arial"/>
          <w:sz w:val="22"/>
          <w:lang w:val="es-ES_tradnl"/>
        </w:rPr>
        <w:t xml:space="preserve">de </w:t>
      </w:r>
      <w:r w:rsidR="002821D6" w:rsidRPr="0066730D">
        <w:rPr>
          <w:rFonts w:ascii="Arial" w:eastAsia="Calibri" w:hAnsi="Arial" w:cs="Arial"/>
          <w:sz w:val="22"/>
          <w:lang w:val="es-ES_tradnl"/>
        </w:rPr>
        <w:t>j</w:t>
      </w:r>
      <w:r w:rsidR="00E6699A" w:rsidRPr="0066730D">
        <w:rPr>
          <w:rFonts w:ascii="Arial" w:eastAsia="Calibri" w:hAnsi="Arial" w:cs="Arial"/>
          <w:sz w:val="22"/>
          <w:lang w:val="es-ES_tradnl"/>
        </w:rPr>
        <w:t>ul</w:t>
      </w:r>
      <w:r w:rsidR="002821D6" w:rsidRPr="0066730D">
        <w:rPr>
          <w:rFonts w:ascii="Arial" w:eastAsia="Calibri" w:hAnsi="Arial" w:cs="Arial"/>
          <w:sz w:val="22"/>
          <w:lang w:val="es-ES_tradnl"/>
        </w:rPr>
        <w:t xml:space="preserve">io </w:t>
      </w:r>
      <w:r w:rsidR="009B2EE5" w:rsidRPr="0066730D">
        <w:rPr>
          <w:rFonts w:ascii="Arial" w:eastAsia="Calibri" w:hAnsi="Arial" w:cs="Arial"/>
          <w:sz w:val="22"/>
          <w:lang w:val="es-ES_tradnl"/>
        </w:rPr>
        <w:t>de 2020.</w:t>
      </w:r>
    </w:p>
    <w:p w14:paraId="3F99F54D" w14:textId="77777777" w:rsidR="006C1C9E" w:rsidRPr="0066730D" w:rsidRDefault="006C1C9E" w:rsidP="00F23E3A">
      <w:pPr>
        <w:spacing w:line="276" w:lineRule="auto"/>
        <w:jc w:val="both"/>
        <w:rPr>
          <w:rFonts w:ascii="Arial" w:eastAsia="Calibri" w:hAnsi="Arial" w:cs="Arial"/>
          <w:sz w:val="22"/>
          <w:lang w:val="es-ES_tradnl"/>
        </w:rPr>
      </w:pPr>
    </w:p>
    <w:p w14:paraId="737E2623" w14:textId="77777777" w:rsidR="00A37FB6" w:rsidRPr="0066730D" w:rsidRDefault="00A37FB6" w:rsidP="00F23E3A">
      <w:pPr>
        <w:pStyle w:val="Prrafodelista"/>
        <w:numPr>
          <w:ilvl w:val="0"/>
          <w:numId w:val="6"/>
        </w:numPr>
        <w:tabs>
          <w:tab w:val="left" w:pos="284"/>
        </w:tabs>
        <w:spacing w:line="276" w:lineRule="auto"/>
        <w:ind w:left="0" w:firstLine="0"/>
        <w:jc w:val="both"/>
        <w:rPr>
          <w:rFonts w:ascii="Arial" w:eastAsia="Calibri" w:hAnsi="Arial" w:cs="Arial"/>
          <w:b/>
          <w:sz w:val="22"/>
        </w:rPr>
      </w:pPr>
      <w:r w:rsidRPr="0066730D">
        <w:rPr>
          <w:rFonts w:ascii="Arial" w:eastAsia="Calibri" w:hAnsi="Arial" w:cs="Arial"/>
          <w:b/>
          <w:sz w:val="22"/>
        </w:rPr>
        <w:t xml:space="preserve">Problemas planteados </w:t>
      </w:r>
    </w:p>
    <w:p w14:paraId="498A026D" w14:textId="77777777" w:rsidR="00A37FB6" w:rsidRPr="0066730D" w:rsidRDefault="00A37FB6" w:rsidP="00F23E3A">
      <w:pPr>
        <w:tabs>
          <w:tab w:val="left" w:pos="426"/>
        </w:tabs>
        <w:spacing w:line="276" w:lineRule="auto"/>
        <w:jc w:val="both"/>
        <w:rPr>
          <w:rFonts w:ascii="Arial" w:eastAsia="Calibri" w:hAnsi="Arial" w:cs="Arial"/>
          <w:b/>
          <w:sz w:val="22"/>
        </w:rPr>
      </w:pPr>
    </w:p>
    <w:p w14:paraId="4A4BC4C3" w14:textId="077251AE" w:rsidR="00261BAA" w:rsidRPr="0066730D" w:rsidRDefault="00C116F2" w:rsidP="00D04238">
      <w:pPr>
        <w:autoSpaceDE w:val="0"/>
        <w:autoSpaceDN w:val="0"/>
        <w:adjustRightInd w:val="0"/>
        <w:spacing w:line="276" w:lineRule="auto"/>
        <w:jc w:val="both"/>
        <w:rPr>
          <w:rFonts w:ascii="Arial" w:eastAsia="Calibri" w:hAnsi="Arial" w:cs="Arial"/>
          <w:sz w:val="22"/>
        </w:rPr>
      </w:pPr>
      <w:r w:rsidRPr="0066730D">
        <w:rPr>
          <w:rFonts w:ascii="Arial" w:eastAsia="Calibri" w:hAnsi="Arial" w:cs="Arial"/>
          <w:sz w:val="22"/>
        </w:rPr>
        <w:t>Usted realiza las siguientes preguntas «</w:t>
      </w:r>
      <w:r w:rsidRPr="0066730D">
        <w:rPr>
          <w:rFonts w:ascii="Arial" w:hAnsi="Arial" w:cs="Arial"/>
          <w:sz w:val="22"/>
          <w:lang w:val="es-CO"/>
        </w:rPr>
        <w:t xml:space="preserve">1. El contratista de una </w:t>
      </w:r>
      <w:proofErr w:type="spellStart"/>
      <w:r w:rsidRPr="0066730D">
        <w:rPr>
          <w:rFonts w:ascii="Arial" w:hAnsi="Arial" w:cs="Arial"/>
          <w:sz w:val="22"/>
          <w:lang w:val="es-CO"/>
        </w:rPr>
        <w:t>interventoria</w:t>
      </w:r>
      <w:proofErr w:type="spellEnd"/>
      <w:r w:rsidRPr="0066730D">
        <w:rPr>
          <w:rFonts w:ascii="Arial" w:hAnsi="Arial" w:cs="Arial"/>
          <w:sz w:val="22"/>
          <w:lang w:val="es-CO"/>
        </w:rPr>
        <w:t xml:space="preserve"> (sic) en una entidad </w:t>
      </w:r>
      <w:proofErr w:type="spellStart"/>
      <w:r w:rsidRPr="0066730D">
        <w:rPr>
          <w:rFonts w:ascii="Arial" w:hAnsi="Arial" w:cs="Arial"/>
          <w:sz w:val="22"/>
          <w:lang w:val="es-CO"/>
        </w:rPr>
        <w:t>publica</w:t>
      </w:r>
      <w:proofErr w:type="spellEnd"/>
      <w:r w:rsidRPr="0066730D">
        <w:rPr>
          <w:rFonts w:ascii="Arial" w:hAnsi="Arial" w:cs="Arial"/>
          <w:sz w:val="22"/>
          <w:lang w:val="es-CO"/>
        </w:rPr>
        <w:t xml:space="preserve">, (sic) puede presentarse a una licitación </w:t>
      </w:r>
      <w:proofErr w:type="spellStart"/>
      <w:r w:rsidRPr="0066730D">
        <w:rPr>
          <w:rFonts w:ascii="Arial" w:hAnsi="Arial" w:cs="Arial"/>
          <w:sz w:val="22"/>
          <w:lang w:val="es-CO"/>
        </w:rPr>
        <w:t>publica</w:t>
      </w:r>
      <w:proofErr w:type="spellEnd"/>
      <w:r w:rsidRPr="0066730D">
        <w:rPr>
          <w:rFonts w:ascii="Arial" w:hAnsi="Arial" w:cs="Arial"/>
          <w:sz w:val="22"/>
          <w:lang w:val="es-CO"/>
        </w:rPr>
        <w:t xml:space="preserve"> (sic) para un contrato de obra en la misma entidad </w:t>
      </w:r>
      <w:proofErr w:type="spellStart"/>
      <w:r w:rsidRPr="0066730D">
        <w:rPr>
          <w:rFonts w:ascii="Arial" w:hAnsi="Arial" w:cs="Arial"/>
          <w:sz w:val="22"/>
          <w:lang w:val="es-CO"/>
        </w:rPr>
        <w:t>publica</w:t>
      </w:r>
      <w:proofErr w:type="spellEnd"/>
      <w:r w:rsidRPr="0066730D">
        <w:rPr>
          <w:rFonts w:ascii="Arial" w:hAnsi="Arial" w:cs="Arial"/>
          <w:sz w:val="22"/>
          <w:lang w:val="es-CO"/>
        </w:rPr>
        <w:t xml:space="preserve">?(sic)  Podría ser el interventor en una obra y a su vez ser el ejecutor de otra obra </w:t>
      </w:r>
      <w:proofErr w:type="spellStart"/>
      <w:r w:rsidRPr="0066730D">
        <w:rPr>
          <w:rFonts w:ascii="Arial" w:hAnsi="Arial" w:cs="Arial"/>
          <w:sz w:val="22"/>
          <w:lang w:val="es-CO"/>
        </w:rPr>
        <w:t>publica</w:t>
      </w:r>
      <w:proofErr w:type="spellEnd"/>
      <w:r w:rsidRPr="0066730D">
        <w:rPr>
          <w:rFonts w:ascii="Arial" w:hAnsi="Arial" w:cs="Arial"/>
          <w:sz w:val="22"/>
          <w:lang w:val="es-CO"/>
        </w:rPr>
        <w:t xml:space="preserve"> (sic) que se le adjudico</w:t>
      </w:r>
      <w:r w:rsidR="00D46A22" w:rsidRPr="0066730D">
        <w:rPr>
          <w:rFonts w:ascii="Arial" w:hAnsi="Arial" w:cs="Arial"/>
          <w:sz w:val="22"/>
          <w:lang w:val="es-CO"/>
        </w:rPr>
        <w:t xml:space="preserve"> (sic)</w:t>
      </w:r>
      <w:r w:rsidRPr="0066730D">
        <w:rPr>
          <w:rFonts w:ascii="Arial" w:hAnsi="Arial" w:cs="Arial"/>
          <w:sz w:val="22"/>
          <w:lang w:val="es-CO"/>
        </w:rPr>
        <w:t xml:space="preserve"> con posterioridad? 2. Los pliego tipo de los procesos de las licitaciones de las obras publicas de infraestructura de transporte (versión 2), reglamentan que la TRM sobre la cual se aplicará la formula será la que aplique el día siguiente a el día que efectivamente se realizan la apertura del sobre No. 2. Ahora bien, hay muchas entidades del orden territorial que trabajan los días sábados, por lo cual mi consulta es: el día viernes se publica la TRM del día hábil siguiente (lunes), si la audiencia de adjudicación comienza el viernes, se suspende, y continua el sábado, día en que se realiza la apertura de los sobres No. 2, la TRM será la del lunes así la entidad estatal conociera la formula desde el viernes, antes de la apertura del sobre No. 2?».</w:t>
      </w:r>
    </w:p>
    <w:p w14:paraId="6A982790" w14:textId="77777777" w:rsidR="00A37FB6" w:rsidRPr="0066730D" w:rsidRDefault="00A37FB6" w:rsidP="00F23E3A">
      <w:pPr>
        <w:tabs>
          <w:tab w:val="left" w:pos="426"/>
        </w:tabs>
        <w:spacing w:line="276" w:lineRule="auto"/>
        <w:jc w:val="both"/>
        <w:rPr>
          <w:rFonts w:ascii="Arial" w:eastAsia="Calibri" w:hAnsi="Arial" w:cs="Arial"/>
          <w:sz w:val="22"/>
        </w:rPr>
      </w:pPr>
    </w:p>
    <w:p w14:paraId="6A32A1B1" w14:textId="77777777" w:rsidR="00A37FB6" w:rsidRPr="0066730D" w:rsidRDefault="00A37FB6" w:rsidP="00F23E3A">
      <w:pPr>
        <w:pStyle w:val="Prrafodelista"/>
        <w:numPr>
          <w:ilvl w:val="0"/>
          <w:numId w:val="6"/>
        </w:numPr>
        <w:tabs>
          <w:tab w:val="left" w:pos="426"/>
        </w:tabs>
        <w:spacing w:line="276" w:lineRule="auto"/>
        <w:ind w:left="284" w:hanging="284"/>
        <w:jc w:val="both"/>
        <w:rPr>
          <w:rFonts w:ascii="Arial" w:eastAsia="Calibri" w:hAnsi="Arial" w:cs="Arial"/>
          <w:b/>
          <w:sz w:val="22"/>
        </w:rPr>
      </w:pPr>
      <w:r w:rsidRPr="0066730D">
        <w:rPr>
          <w:rFonts w:ascii="Arial" w:eastAsia="Calibri" w:hAnsi="Arial" w:cs="Arial"/>
          <w:b/>
          <w:sz w:val="22"/>
        </w:rPr>
        <w:t>Consideraciones</w:t>
      </w:r>
    </w:p>
    <w:bookmarkEnd w:id="1"/>
    <w:bookmarkEnd w:id="2"/>
    <w:p w14:paraId="5D8BAB86" w14:textId="75FB41C1" w:rsidR="00D94962" w:rsidRPr="0066730D" w:rsidRDefault="00D94962" w:rsidP="00F23E3A">
      <w:pPr>
        <w:spacing w:line="276" w:lineRule="auto"/>
        <w:jc w:val="both"/>
        <w:rPr>
          <w:rFonts w:ascii="Arial" w:hAnsi="Arial" w:cs="Arial"/>
          <w:sz w:val="22"/>
          <w:lang w:val="es-ES_tradnl"/>
        </w:rPr>
      </w:pPr>
    </w:p>
    <w:p w14:paraId="431675E9" w14:textId="2B3EEFDF" w:rsidR="003D53A2" w:rsidRPr="0066730D" w:rsidRDefault="003D53A2" w:rsidP="00BD18DC">
      <w:pPr>
        <w:spacing w:line="276" w:lineRule="auto"/>
        <w:jc w:val="both"/>
        <w:rPr>
          <w:rFonts w:ascii="Arial" w:eastAsia="Calibri" w:hAnsi="Arial" w:cs="Arial"/>
          <w:sz w:val="22"/>
        </w:rPr>
      </w:pPr>
      <w:r w:rsidRPr="0066730D">
        <w:rPr>
          <w:rFonts w:ascii="Arial" w:hAnsi="Arial" w:cs="Arial"/>
          <w:sz w:val="22"/>
        </w:rPr>
        <w:t xml:space="preserve">La Agencia Nacional de Contratación Pública ― Colombia Compra Eficiente </w:t>
      </w:r>
      <w:r w:rsidRPr="0066730D">
        <w:rPr>
          <w:rFonts w:ascii="Arial" w:eastAsia="Calibri" w:hAnsi="Arial" w:cs="Arial"/>
          <w:sz w:val="22"/>
        </w:rPr>
        <w:t xml:space="preserve">en los conceptos </w:t>
      </w:r>
      <w:r w:rsidR="002A3949" w:rsidRPr="0066730D">
        <w:rPr>
          <w:rFonts w:ascii="Arial" w:eastAsia="Calibri" w:hAnsi="Arial" w:cs="Arial"/>
          <w:sz w:val="22"/>
        </w:rPr>
        <w:t xml:space="preserve">C─ 077 del 18 de marzo de 2020, C ─ 134 del 30 de marzo de 2020, C─ 192 del 15 de abril de 2020, C─274 del 19 de mayo de 2020 y C ─ 414 del 30 de junio de 2020, esta Agencia se refirió a la interventoría y el deber de controlar y vigilar la correcta ejecución de los contratos estatales. En los conceptos con radicados </w:t>
      </w:r>
      <w:r w:rsidRPr="0066730D">
        <w:rPr>
          <w:rFonts w:ascii="Arial" w:eastAsia="Calibri" w:hAnsi="Arial" w:cs="Arial"/>
          <w:sz w:val="22"/>
        </w:rPr>
        <w:t>números 4201912000003592 del 28 de agosto de 2019, 4201913000005649 del 17 septiembre de 2019, 4201912000006692 del 12 de noviembre de 2019, 4201913000006917 del 21 de noviembre de 2019,</w:t>
      </w:r>
      <w:r w:rsidR="002A3949" w:rsidRPr="0066730D">
        <w:rPr>
          <w:rFonts w:ascii="Arial" w:eastAsia="Calibri" w:hAnsi="Arial" w:cs="Arial"/>
          <w:sz w:val="22"/>
        </w:rPr>
        <w:t xml:space="preserve"> , C ─ 090 del 24 de febrero de 2020,</w:t>
      </w:r>
      <w:r w:rsidR="001266B1" w:rsidRPr="0066730D">
        <w:rPr>
          <w:rFonts w:ascii="Arial" w:eastAsia="Calibri" w:hAnsi="Arial" w:cs="Arial"/>
          <w:sz w:val="22"/>
        </w:rPr>
        <w:t xml:space="preserve"> C ─ 125 del 3 de marzo de 2020,</w:t>
      </w:r>
      <w:r w:rsidR="002A3949" w:rsidRPr="0066730D">
        <w:rPr>
          <w:rFonts w:ascii="Arial" w:eastAsia="Calibri" w:hAnsi="Arial" w:cs="Arial"/>
          <w:sz w:val="22"/>
        </w:rPr>
        <w:t xml:space="preserve">  </w:t>
      </w:r>
      <w:r w:rsidRPr="0066730D">
        <w:rPr>
          <w:rFonts w:ascii="Arial" w:eastAsia="Calibri" w:hAnsi="Arial" w:cs="Arial"/>
          <w:sz w:val="22"/>
        </w:rPr>
        <w:t xml:space="preserve"> C ─ 085 de</w:t>
      </w:r>
      <w:r w:rsidR="002A3949" w:rsidRPr="0066730D">
        <w:rPr>
          <w:rFonts w:ascii="Arial" w:eastAsia="Calibri" w:hAnsi="Arial" w:cs="Arial"/>
          <w:sz w:val="22"/>
        </w:rPr>
        <w:t>l 4 de marzo de</w:t>
      </w:r>
      <w:r w:rsidRPr="0066730D">
        <w:rPr>
          <w:rFonts w:ascii="Arial" w:eastAsia="Calibri" w:hAnsi="Arial" w:cs="Arial"/>
          <w:sz w:val="22"/>
        </w:rPr>
        <w:t xml:space="preserve"> 2020, C ─ 157 de</w:t>
      </w:r>
      <w:r w:rsidR="001266B1" w:rsidRPr="0066730D">
        <w:rPr>
          <w:rFonts w:ascii="Arial" w:eastAsia="Calibri" w:hAnsi="Arial" w:cs="Arial"/>
          <w:sz w:val="22"/>
        </w:rPr>
        <w:t xml:space="preserve">l 16 de marzo de </w:t>
      </w:r>
      <w:r w:rsidRPr="0066730D">
        <w:rPr>
          <w:rFonts w:ascii="Arial" w:eastAsia="Calibri" w:hAnsi="Arial" w:cs="Arial"/>
          <w:sz w:val="22"/>
        </w:rPr>
        <w:t xml:space="preserve"> 2020,</w:t>
      </w:r>
      <w:r w:rsidR="001266B1" w:rsidRPr="0066730D">
        <w:rPr>
          <w:rFonts w:ascii="Arial" w:eastAsia="Calibri" w:hAnsi="Arial" w:cs="Arial"/>
          <w:sz w:val="22"/>
        </w:rPr>
        <w:t xml:space="preserve"> C ─ 246 del 3 de abril de 2020,</w:t>
      </w:r>
      <w:r w:rsidRPr="0066730D">
        <w:rPr>
          <w:rFonts w:ascii="Arial" w:eastAsia="Calibri" w:hAnsi="Arial" w:cs="Arial"/>
          <w:sz w:val="22"/>
        </w:rPr>
        <w:t xml:space="preserve"> C ─ 239 de</w:t>
      </w:r>
      <w:r w:rsidR="001266B1" w:rsidRPr="0066730D">
        <w:rPr>
          <w:rFonts w:ascii="Arial" w:eastAsia="Calibri" w:hAnsi="Arial" w:cs="Arial"/>
          <w:sz w:val="22"/>
        </w:rPr>
        <w:t xml:space="preserve">l 16 de abril </w:t>
      </w:r>
      <w:r w:rsidR="001266B1" w:rsidRPr="0066730D">
        <w:rPr>
          <w:rFonts w:ascii="Arial" w:eastAsia="Calibri" w:hAnsi="Arial" w:cs="Arial"/>
          <w:sz w:val="22"/>
        </w:rPr>
        <w:lastRenderedPageBreak/>
        <w:t>de</w:t>
      </w:r>
      <w:r w:rsidRPr="0066730D">
        <w:rPr>
          <w:rFonts w:ascii="Arial" w:eastAsia="Calibri" w:hAnsi="Arial" w:cs="Arial"/>
          <w:sz w:val="22"/>
        </w:rPr>
        <w:t xml:space="preserve"> 2020,  C</w:t>
      </w:r>
      <w:r w:rsidR="0065580A" w:rsidRPr="0066730D">
        <w:rPr>
          <w:rFonts w:ascii="Arial" w:eastAsia="Calibri" w:hAnsi="Arial" w:cs="Arial"/>
          <w:sz w:val="22"/>
        </w:rPr>
        <w:t xml:space="preserve"> </w:t>
      </w:r>
      <w:r w:rsidR="003E0A47" w:rsidRPr="0066730D">
        <w:rPr>
          <w:rFonts w:ascii="Arial" w:eastAsia="Calibri" w:hAnsi="Arial" w:cs="Arial"/>
          <w:sz w:val="22"/>
        </w:rPr>
        <w:t xml:space="preserve">─ </w:t>
      </w:r>
      <w:r w:rsidRPr="0066730D">
        <w:rPr>
          <w:rFonts w:ascii="Arial" w:eastAsia="Calibri" w:hAnsi="Arial" w:cs="Arial"/>
          <w:sz w:val="22"/>
        </w:rPr>
        <w:t>273 de</w:t>
      </w:r>
      <w:r w:rsidR="001266B1" w:rsidRPr="0066730D">
        <w:rPr>
          <w:rFonts w:ascii="Arial" w:eastAsia="Calibri" w:hAnsi="Arial" w:cs="Arial"/>
          <w:sz w:val="22"/>
        </w:rPr>
        <w:t>l 21 de mayo de</w:t>
      </w:r>
      <w:r w:rsidRPr="0066730D">
        <w:rPr>
          <w:rFonts w:ascii="Arial" w:eastAsia="Calibri" w:hAnsi="Arial" w:cs="Arial"/>
          <w:sz w:val="22"/>
        </w:rPr>
        <w:t xml:space="preserve"> 2020</w:t>
      </w:r>
      <w:r w:rsidR="00401FFE" w:rsidRPr="0066730D">
        <w:rPr>
          <w:rFonts w:ascii="Arial" w:eastAsia="Calibri" w:hAnsi="Arial" w:cs="Arial"/>
          <w:sz w:val="22"/>
        </w:rPr>
        <w:t xml:space="preserve"> y C</w:t>
      </w:r>
      <w:r w:rsidR="003E0A47" w:rsidRPr="0066730D">
        <w:rPr>
          <w:rFonts w:ascii="Arial" w:eastAsia="Calibri" w:hAnsi="Arial" w:cs="Arial"/>
          <w:sz w:val="22"/>
        </w:rPr>
        <w:t xml:space="preserve">─ </w:t>
      </w:r>
      <w:r w:rsidR="00401FFE" w:rsidRPr="0066730D">
        <w:rPr>
          <w:rFonts w:ascii="Arial" w:eastAsia="Calibri" w:hAnsi="Arial" w:cs="Arial"/>
          <w:sz w:val="22"/>
        </w:rPr>
        <w:t>402 de</w:t>
      </w:r>
      <w:r w:rsidR="001266B1" w:rsidRPr="0066730D">
        <w:rPr>
          <w:rFonts w:ascii="Arial" w:eastAsia="Calibri" w:hAnsi="Arial" w:cs="Arial"/>
          <w:sz w:val="22"/>
        </w:rPr>
        <w:t>l 26 de junio de</w:t>
      </w:r>
      <w:r w:rsidR="00401FFE" w:rsidRPr="0066730D">
        <w:rPr>
          <w:rFonts w:ascii="Arial" w:eastAsia="Calibri" w:hAnsi="Arial" w:cs="Arial"/>
          <w:sz w:val="22"/>
        </w:rPr>
        <w:t xml:space="preserve"> 2020</w:t>
      </w:r>
      <w:r w:rsidRPr="0066730D">
        <w:rPr>
          <w:rFonts w:ascii="Arial" w:eastAsia="Calibri" w:hAnsi="Arial" w:cs="Arial"/>
          <w:sz w:val="22"/>
        </w:rPr>
        <w:t xml:space="preserve"> estudió la naturaleza jurídica del régimen de inhabilidades e incompatibilidades para contratar con el Estado, como límite a la capacidad contractual</w:t>
      </w:r>
      <w:r w:rsidR="003106F2" w:rsidRPr="0066730D">
        <w:rPr>
          <w:rFonts w:ascii="Arial" w:eastAsia="Calibri" w:hAnsi="Arial" w:cs="Arial"/>
          <w:sz w:val="22"/>
        </w:rPr>
        <w:t xml:space="preserve">, así como </w:t>
      </w:r>
      <w:r w:rsidRPr="0066730D">
        <w:rPr>
          <w:rFonts w:ascii="Arial" w:eastAsia="Calibri" w:hAnsi="Arial" w:cs="Arial"/>
          <w:sz w:val="22"/>
        </w:rPr>
        <w:t>l</w:t>
      </w:r>
      <w:r w:rsidR="003106F2" w:rsidRPr="0066730D">
        <w:rPr>
          <w:rFonts w:ascii="Arial" w:eastAsia="Calibri" w:hAnsi="Arial" w:cs="Arial"/>
          <w:sz w:val="22"/>
        </w:rPr>
        <w:t>os criterios de</w:t>
      </w:r>
      <w:r w:rsidRPr="0066730D">
        <w:rPr>
          <w:rFonts w:ascii="Arial" w:eastAsia="Calibri" w:hAnsi="Arial" w:cs="Arial"/>
          <w:sz w:val="22"/>
        </w:rPr>
        <w:t xml:space="preserve"> interpretación del régimen de inhabilidades e incompatibilidades.</w:t>
      </w:r>
      <w:r w:rsidR="002A3949" w:rsidRPr="0066730D">
        <w:rPr>
          <w:rFonts w:ascii="Arial" w:eastAsia="Calibri" w:hAnsi="Arial" w:cs="Arial"/>
          <w:sz w:val="22"/>
        </w:rPr>
        <w:t xml:space="preserve"> </w:t>
      </w:r>
      <w:r w:rsidR="00C116F2" w:rsidRPr="0066730D">
        <w:rPr>
          <w:rFonts w:ascii="Arial" w:eastAsia="Calibri" w:hAnsi="Arial" w:cs="Arial"/>
          <w:sz w:val="22"/>
        </w:rPr>
        <w:t>De otra part</w:t>
      </w:r>
      <w:r w:rsidR="00EA02C1" w:rsidRPr="0066730D">
        <w:rPr>
          <w:rFonts w:ascii="Arial" w:eastAsia="Calibri" w:hAnsi="Arial" w:cs="Arial"/>
          <w:sz w:val="22"/>
        </w:rPr>
        <w:t>e, en los conceptos C-279 de</w:t>
      </w:r>
      <w:r w:rsidR="001266B1" w:rsidRPr="0066730D">
        <w:rPr>
          <w:rFonts w:ascii="Arial" w:eastAsia="Calibri" w:hAnsi="Arial" w:cs="Arial"/>
          <w:sz w:val="22"/>
        </w:rPr>
        <w:t>l 18 de mayo de</w:t>
      </w:r>
      <w:r w:rsidR="00EA02C1" w:rsidRPr="0066730D">
        <w:rPr>
          <w:rFonts w:ascii="Arial" w:eastAsia="Calibri" w:hAnsi="Arial" w:cs="Arial"/>
          <w:sz w:val="22"/>
        </w:rPr>
        <w:t xml:space="preserve"> 2020, C</w:t>
      </w:r>
      <w:r w:rsidR="003E0A47" w:rsidRPr="0066730D">
        <w:rPr>
          <w:rFonts w:ascii="Arial" w:eastAsia="Calibri" w:hAnsi="Arial" w:cs="Arial"/>
          <w:sz w:val="22"/>
        </w:rPr>
        <w:t xml:space="preserve">─ </w:t>
      </w:r>
      <w:r w:rsidR="00EA02C1" w:rsidRPr="0066730D">
        <w:rPr>
          <w:rFonts w:ascii="Arial" w:eastAsia="Calibri" w:hAnsi="Arial" w:cs="Arial"/>
          <w:sz w:val="22"/>
        </w:rPr>
        <w:t>34</w:t>
      </w:r>
      <w:r w:rsidR="001266B1" w:rsidRPr="0066730D">
        <w:rPr>
          <w:rFonts w:ascii="Arial" w:eastAsia="Calibri" w:hAnsi="Arial" w:cs="Arial"/>
          <w:sz w:val="22"/>
        </w:rPr>
        <w:t>9</w:t>
      </w:r>
      <w:r w:rsidR="00EA02C1" w:rsidRPr="0066730D">
        <w:rPr>
          <w:rFonts w:ascii="Arial" w:eastAsia="Calibri" w:hAnsi="Arial" w:cs="Arial"/>
          <w:sz w:val="22"/>
        </w:rPr>
        <w:t xml:space="preserve"> de</w:t>
      </w:r>
      <w:r w:rsidR="001266B1" w:rsidRPr="0066730D">
        <w:rPr>
          <w:rFonts w:ascii="Arial" w:eastAsia="Calibri" w:hAnsi="Arial" w:cs="Arial"/>
          <w:sz w:val="22"/>
        </w:rPr>
        <w:t>l 23 de junio de</w:t>
      </w:r>
      <w:r w:rsidR="00EA02C1" w:rsidRPr="0066730D">
        <w:rPr>
          <w:rFonts w:ascii="Arial" w:eastAsia="Calibri" w:hAnsi="Arial" w:cs="Arial"/>
          <w:sz w:val="22"/>
        </w:rPr>
        <w:t xml:space="preserve"> 2020, C</w:t>
      </w:r>
      <w:r w:rsidR="003E0A47" w:rsidRPr="0066730D">
        <w:rPr>
          <w:rFonts w:ascii="Arial" w:eastAsia="Calibri" w:hAnsi="Arial" w:cs="Arial"/>
          <w:sz w:val="22"/>
        </w:rPr>
        <w:t xml:space="preserve">─ </w:t>
      </w:r>
      <w:r w:rsidR="00EA02C1" w:rsidRPr="0066730D">
        <w:rPr>
          <w:rFonts w:ascii="Arial" w:eastAsia="Calibri" w:hAnsi="Arial" w:cs="Arial"/>
          <w:sz w:val="22"/>
        </w:rPr>
        <w:t>382 de</w:t>
      </w:r>
      <w:r w:rsidR="001266B1" w:rsidRPr="0066730D">
        <w:rPr>
          <w:rFonts w:ascii="Arial" w:eastAsia="Calibri" w:hAnsi="Arial" w:cs="Arial"/>
          <w:sz w:val="22"/>
        </w:rPr>
        <w:t>l 30 de junio de</w:t>
      </w:r>
      <w:r w:rsidR="00EA02C1" w:rsidRPr="0066730D">
        <w:rPr>
          <w:rFonts w:ascii="Arial" w:eastAsia="Calibri" w:hAnsi="Arial" w:cs="Arial"/>
          <w:sz w:val="22"/>
        </w:rPr>
        <w:t xml:space="preserve"> 2020 y C</w:t>
      </w:r>
      <w:r w:rsidR="003E0A47" w:rsidRPr="0066730D">
        <w:rPr>
          <w:rFonts w:ascii="Arial" w:eastAsia="Calibri" w:hAnsi="Arial" w:cs="Arial"/>
          <w:sz w:val="22"/>
        </w:rPr>
        <w:t xml:space="preserve">─ </w:t>
      </w:r>
      <w:r w:rsidR="00EA02C1" w:rsidRPr="0066730D">
        <w:rPr>
          <w:rFonts w:ascii="Arial" w:eastAsia="Calibri" w:hAnsi="Arial" w:cs="Arial"/>
          <w:sz w:val="22"/>
        </w:rPr>
        <w:t>385 de</w:t>
      </w:r>
      <w:r w:rsidR="001266B1" w:rsidRPr="0066730D">
        <w:rPr>
          <w:rFonts w:ascii="Arial" w:eastAsia="Calibri" w:hAnsi="Arial" w:cs="Arial"/>
          <w:sz w:val="22"/>
        </w:rPr>
        <w:t>l 30 de junio de</w:t>
      </w:r>
      <w:r w:rsidR="00EA02C1" w:rsidRPr="0066730D">
        <w:rPr>
          <w:rFonts w:ascii="Arial" w:eastAsia="Calibri" w:hAnsi="Arial" w:cs="Arial"/>
          <w:sz w:val="22"/>
        </w:rPr>
        <w:t xml:space="preserve"> 2020, </w:t>
      </w:r>
      <w:r w:rsidR="001266B1" w:rsidRPr="0066730D">
        <w:rPr>
          <w:rFonts w:ascii="Arial" w:eastAsia="Calibri" w:hAnsi="Arial" w:cs="Arial"/>
          <w:sz w:val="22"/>
        </w:rPr>
        <w:t xml:space="preserve">se </w:t>
      </w:r>
      <w:r w:rsidR="00EA02C1" w:rsidRPr="0066730D">
        <w:rPr>
          <w:rFonts w:ascii="Arial" w:eastAsia="Calibri" w:hAnsi="Arial" w:cs="Arial"/>
          <w:sz w:val="22"/>
        </w:rPr>
        <w:t>estudi</w:t>
      </w:r>
      <w:r w:rsidR="001266B1" w:rsidRPr="0066730D">
        <w:rPr>
          <w:rFonts w:ascii="Arial" w:eastAsia="Calibri" w:hAnsi="Arial" w:cs="Arial"/>
          <w:sz w:val="22"/>
        </w:rPr>
        <w:t>ó</w:t>
      </w:r>
      <w:r w:rsidR="00EA02C1" w:rsidRPr="0066730D">
        <w:rPr>
          <w:rFonts w:ascii="Arial" w:eastAsia="Calibri" w:hAnsi="Arial" w:cs="Arial"/>
          <w:sz w:val="22"/>
        </w:rPr>
        <w:t xml:space="preserve"> el tema relativo a la TRM aplicable para efectos de determinar el método de ponderación de las ofertas económicas en licitaciones públicas adelantadas con la versión 2 de los Documentos Tipo –Resolución No. 045–. </w:t>
      </w:r>
      <w:r w:rsidRPr="0066730D">
        <w:rPr>
          <w:rFonts w:ascii="Arial" w:eastAsia="Calibri" w:hAnsi="Arial" w:cs="Arial"/>
          <w:sz w:val="22"/>
        </w:rPr>
        <w:t>La</w:t>
      </w:r>
      <w:r w:rsidR="00EA02C1" w:rsidRPr="0066730D">
        <w:rPr>
          <w:rFonts w:ascii="Arial" w:eastAsia="Calibri" w:hAnsi="Arial" w:cs="Arial"/>
          <w:sz w:val="22"/>
        </w:rPr>
        <w:t>s</w:t>
      </w:r>
      <w:r w:rsidRPr="0066730D">
        <w:rPr>
          <w:rFonts w:ascii="Arial" w:eastAsia="Calibri" w:hAnsi="Arial" w:cs="Arial"/>
          <w:sz w:val="22"/>
        </w:rPr>
        <w:t xml:space="preserve"> tesis desarrollada</w:t>
      </w:r>
      <w:r w:rsidR="00EA02C1" w:rsidRPr="0066730D">
        <w:rPr>
          <w:rFonts w:ascii="Arial" w:eastAsia="Calibri" w:hAnsi="Arial" w:cs="Arial"/>
          <w:sz w:val="22"/>
        </w:rPr>
        <w:t>s</w:t>
      </w:r>
      <w:r w:rsidRPr="0066730D">
        <w:rPr>
          <w:rFonts w:ascii="Arial" w:eastAsia="Calibri" w:hAnsi="Arial" w:cs="Arial"/>
          <w:sz w:val="22"/>
        </w:rPr>
        <w:t xml:space="preserve"> en estos conceptos se expone</w:t>
      </w:r>
      <w:r w:rsidR="00EA02C1" w:rsidRPr="0066730D">
        <w:rPr>
          <w:rFonts w:ascii="Arial" w:eastAsia="Calibri" w:hAnsi="Arial" w:cs="Arial"/>
          <w:sz w:val="22"/>
        </w:rPr>
        <w:t>n</w:t>
      </w:r>
      <w:r w:rsidRPr="0066730D">
        <w:rPr>
          <w:rFonts w:ascii="Arial" w:eastAsia="Calibri" w:hAnsi="Arial" w:cs="Arial"/>
          <w:sz w:val="22"/>
        </w:rPr>
        <w:t xml:space="preserve"> y reitera</w:t>
      </w:r>
      <w:r w:rsidR="00EA02C1" w:rsidRPr="0066730D">
        <w:rPr>
          <w:rFonts w:ascii="Arial" w:eastAsia="Calibri" w:hAnsi="Arial" w:cs="Arial"/>
          <w:sz w:val="22"/>
        </w:rPr>
        <w:t>n</w:t>
      </w:r>
      <w:r w:rsidRPr="0066730D">
        <w:rPr>
          <w:rFonts w:ascii="Arial" w:eastAsia="Calibri" w:hAnsi="Arial" w:cs="Arial"/>
          <w:sz w:val="22"/>
        </w:rPr>
        <w:t xml:space="preserve"> a continuación. </w:t>
      </w:r>
    </w:p>
    <w:p w14:paraId="1D1908CB" w14:textId="42631FFB" w:rsidR="003D53A2" w:rsidRPr="0066730D" w:rsidRDefault="003D53A2" w:rsidP="00F23E3A">
      <w:pPr>
        <w:spacing w:line="276" w:lineRule="auto"/>
        <w:jc w:val="both"/>
        <w:rPr>
          <w:rFonts w:ascii="Arial" w:hAnsi="Arial" w:cs="Arial"/>
          <w:sz w:val="22"/>
          <w:lang w:val="es-ES_tradnl"/>
        </w:rPr>
      </w:pPr>
    </w:p>
    <w:p w14:paraId="675ED9E3" w14:textId="138D3F02" w:rsidR="00E00962" w:rsidRPr="0066730D" w:rsidRDefault="00E00962" w:rsidP="00E00962">
      <w:pPr>
        <w:pStyle w:val="Sinespaciado"/>
        <w:widowControl w:val="0"/>
        <w:autoSpaceDE w:val="0"/>
        <w:autoSpaceDN w:val="0"/>
        <w:jc w:val="both"/>
        <w:rPr>
          <w:rFonts w:ascii="Arial" w:hAnsi="Arial" w:cs="Arial"/>
          <w:b/>
          <w:sz w:val="22"/>
          <w:lang w:val="es-ES"/>
        </w:rPr>
      </w:pPr>
      <w:r w:rsidRPr="0066730D">
        <w:rPr>
          <w:rFonts w:ascii="Arial" w:hAnsi="Arial" w:cs="Arial"/>
          <w:b/>
          <w:sz w:val="22"/>
          <w:lang w:val="es-ES"/>
        </w:rPr>
        <w:t>2.</w:t>
      </w:r>
      <w:r w:rsidR="0074415C" w:rsidRPr="0066730D">
        <w:rPr>
          <w:rFonts w:ascii="Arial" w:hAnsi="Arial" w:cs="Arial"/>
          <w:b/>
          <w:sz w:val="22"/>
          <w:lang w:val="es-ES"/>
        </w:rPr>
        <w:t>1</w:t>
      </w:r>
      <w:r w:rsidRPr="0066730D">
        <w:rPr>
          <w:rFonts w:ascii="Arial" w:hAnsi="Arial" w:cs="Arial"/>
          <w:b/>
          <w:sz w:val="22"/>
          <w:lang w:val="es-ES"/>
        </w:rPr>
        <w:t xml:space="preserve">. La obligación de controlar y vigilar la correcta ejecución de los contratos estatales </w:t>
      </w:r>
    </w:p>
    <w:p w14:paraId="3CD9BF4B" w14:textId="77777777" w:rsidR="00E00962" w:rsidRPr="0066730D" w:rsidRDefault="00E00962" w:rsidP="00E00962">
      <w:pPr>
        <w:pStyle w:val="Sinespaciado"/>
        <w:spacing w:line="276" w:lineRule="auto"/>
        <w:jc w:val="both"/>
        <w:rPr>
          <w:rFonts w:ascii="Arial" w:hAnsi="Arial" w:cs="Arial"/>
          <w:sz w:val="22"/>
          <w:lang w:val="es-ES"/>
        </w:rPr>
      </w:pPr>
    </w:p>
    <w:p w14:paraId="0F5719A0" w14:textId="77777777" w:rsidR="00E00962" w:rsidRPr="0066730D" w:rsidRDefault="00E00962" w:rsidP="00BD18DC">
      <w:pPr>
        <w:pStyle w:val="Sinespaciado"/>
        <w:spacing w:line="276" w:lineRule="auto"/>
        <w:jc w:val="both"/>
        <w:rPr>
          <w:rFonts w:ascii="Arial" w:hAnsi="Arial" w:cs="Arial"/>
          <w:bCs/>
          <w:sz w:val="22"/>
          <w:lang w:val="es-ES"/>
        </w:rPr>
      </w:pPr>
      <w:r w:rsidRPr="0066730D">
        <w:rPr>
          <w:rFonts w:ascii="Arial" w:hAnsi="Arial" w:cs="Arial"/>
          <w:bCs/>
          <w:sz w:val="22"/>
          <w:lang w:val="es-ES"/>
        </w:rPr>
        <w:t>El Estado acude a la contratación de bienes, obras y servicios para cumplir los fines que le impone el ordenamiento jurídico, la continuidad y eficiente prestación de los servicios públicos y la efectividad de los derechos e intereses de los administrados y de quienes colaboran en la consecución de dichos fines, entre otros</w:t>
      </w:r>
      <w:r w:rsidRPr="0066730D">
        <w:rPr>
          <w:rStyle w:val="Refdenotaalpie"/>
          <w:rFonts w:ascii="Arial" w:hAnsi="Arial" w:cs="Arial"/>
          <w:sz w:val="22"/>
          <w:lang w:val="es-ES"/>
        </w:rPr>
        <w:footnoteReference w:id="1"/>
      </w:r>
      <w:r w:rsidRPr="0066730D">
        <w:rPr>
          <w:rFonts w:ascii="Arial" w:hAnsi="Arial" w:cs="Arial"/>
          <w:bCs/>
          <w:sz w:val="22"/>
          <w:lang w:val="es-ES"/>
        </w:rPr>
        <w:t xml:space="preserve">. Para la garantía de los fines de interés general involucrados en la contratación de las entidades estatales, el Estatuto General de Contratación de la Administración Pública ―en adelante EGCAP― establece que, en la etapa de ejecución del contrato, las entidades estatales y los servidores públicos que participan en ella tienen la obligación de controlar y vigilar la correcta ejecución del objeto contratado, para efectos de que las finalidades perseguidas con la celebración de los negocios jurídicos se logren de manera satisfactoria. </w:t>
      </w:r>
    </w:p>
    <w:p w14:paraId="1B7ECC92" w14:textId="77777777" w:rsidR="00E00962" w:rsidRPr="0066730D" w:rsidRDefault="00E00962" w:rsidP="00E00962">
      <w:pPr>
        <w:pStyle w:val="Sinespaciado"/>
        <w:spacing w:before="120" w:line="276" w:lineRule="auto"/>
        <w:ind w:firstLine="708"/>
        <w:jc w:val="both"/>
        <w:rPr>
          <w:rFonts w:ascii="Arial" w:hAnsi="Arial" w:cs="Arial"/>
          <w:bCs/>
          <w:sz w:val="22"/>
          <w:lang w:val="es-ES"/>
        </w:rPr>
      </w:pPr>
      <w:r w:rsidRPr="0066730D">
        <w:rPr>
          <w:rFonts w:ascii="Arial" w:hAnsi="Arial" w:cs="Arial"/>
          <w:bCs/>
          <w:sz w:val="22"/>
          <w:lang w:val="es-ES"/>
        </w:rPr>
        <w:t>Por esto, el estatuto contractual alude a la obligación mencionada, que guarda relación con el principio de responsabilidad que rige la celebración y ejecución de los contratos estatales. Así, por ejemplo, los artículos 4, 5, 12, 14 y 26 de la Ley 80 de 1993 consagran normas relacionadas con el control y vigilancia de la ejecución de los contratos estatales. Estas disposiciones establecen, entre otros aspectos, la obligación de las entidades estatales de velar por el correcto y oportuno cumplimiento de las prestaciones del contrato, las especificaciones de los bienes, obras y servicios objeto de este,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p w14:paraId="6A7AAE6A" w14:textId="77777777" w:rsidR="00E00962" w:rsidRPr="0066730D" w:rsidRDefault="00E00962" w:rsidP="00E00962">
      <w:pPr>
        <w:pStyle w:val="Sinespaciado"/>
        <w:spacing w:before="120" w:line="276" w:lineRule="auto"/>
        <w:ind w:firstLine="708"/>
        <w:jc w:val="both"/>
        <w:rPr>
          <w:rFonts w:ascii="Arial" w:hAnsi="Arial" w:cs="Arial"/>
          <w:bCs/>
          <w:sz w:val="22"/>
          <w:lang w:val="es-ES"/>
        </w:rPr>
      </w:pPr>
      <w:r w:rsidRPr="0066730D">
        <w:rPr>
          <w:rFonts w:ascii="Arial" w:hAnsi="Arial" w:cs="Arial"/>
          <w:bCs/>
          <w:sz w:val="22"/>
          <w:lang w:val="es-ES"/>
        </w:rPr>
        <w:t xml:space="preserve">Las Leyes 1150 de 2007 y 1474 de 2011 complementan el régimen jurídico de la obligación de vigilar la correcta ejecución de los contratos estatales. Allí se impone el debido proceso como principio rector en materia sancionatoria contractual, entre otros, para la </w:t>
      </w:r>
      <w:r w:rsidRPr="0066730D">
        <w:rPr>
          <w:rFonts w:ascii="Arial" w:hAnsi="Arial" w:cs="Arial"/>
          <w:bCs/>
          <w:sz w:val="22"/>
          <w:lang w:val="es-ES"/>
        </w:rPr>
        <w:lastRenderedPageBreak/>
        <w:t>imposición de multas y la decisión de hacer efectiva la cláusula penal; principio que se debe respetar en el ejercicio del control y vigilancia de la ejecución contractual</w:t>
      </w:r>
      <w:r w:rsidRPr="0066730D">
        <w:rPr>
          <w:rStyle w:val="Refdenotaalpie"/>
          <w:rFonts w:ascii="Arial" w:hAnsi="Arial" w:cs="Arial"/>
          <w:sz w:val="22"/>
          <w:lang w:val="es-ES"/>
        </w:rPr>
        <w:footnoteReference w:id="2"/>
      </w:r>
      <w:r w:rsidRPr="0066730D">
        <w:rPr>
          <w:rFonts w:ascii="Arial" w:hAnsi="Arial" w:cs="Arial"/>
          <w:bCs/>
          <w:sz w:val="22"/>
          <w:lang w:val="es-ES"/>
        </w:rPr>
        <w:t>. También se establecen los límites de la responsabilidad del representante legal ante la delegación de sus funciones en materia contractual</w:t>
      </w:r>
      <w:r w:rsidRPr="0066730D">
        <w:rPr>
          <w:rStyle w:val="Refdenotaalpie"/>
          <w:rFonts w:ascii="Arial" w:hAnsi="Arial" w:cs="Arial"/>
          <w:sz w:val="22"/>
          <w:lang w:val="es-ES"/>
        </w:rPr>
        <w:footnoteReference w:id="3"/>
      </w:r>
      <w:r w:rsidRPr="0066730D">
        <w:rPr>
          <w:rFonts w:ascii="Arial" w:hAnsi="Arial" w:cs="Arial"/>
          <w:bCs/>
          <w:sz w:val="22"/>
          <w:lang w:val="es-ES"/>
        </w:rPr>
        <w:t xml:space="preserve"> y se regula la supervisión y la interventoría de los contratos estatales</w:t>
      </w:r>
      <w:r w:rsidRPr="0066730D">
        <w:rPr>
          <w:rStyle w:val="Refdenotaalpie"/>
          <w:rFonts w:ascii="Arial" w:hAnsi="Arial" w:cs="Arial"/>
          <w:sz w:val="22"/>
          <w:lang w:val="es-ES"/>
        </w:rPr>
        <w:footnoteReference w:id="4"/>
      </w:r>
      <w:r w:rsidRPr="0066730D">
        <w:rPr>
          <w:rFonts w:ascii="Arial" w:hAnsi="Arial" w:cs="Arial"/>
          <w:bCs/>
          <w:sz w:val="22"/>
          <w:lang w:val="es-ES"/>
        </w:rPr>
        <w:t xml:space="preserve">. </w:t>
      </w:r>
    </w:p>
    <w:p w14:paraId="7F820D3E" w14:textId="77777777" w:rsidR="00E00962" w:rsidRPr="0066730D" w:rsidRDefault="00E00962" w:rsidP="00E00962">
      <w:pPr>
        <w:pStyle w:val="Sinespaciado"/>
        <w:spacing w:before="120" w:line="276" w:lineRule="auto"/>
        <w:ind w:firstLine="708"/>
        <w:jc w:val="both"/>
        <w:rPr>
          <w:rFonts w:ascii="Arial" w:hAnsi="Arial" w:cs="Arial"/>
          <w:bCs/>
          <w:sz w:val="22"/>
          <w:lang w:val="es-ES"/>
        </w:rPr>
      </w:pPr>
      <w:r w:rsidRPr="0066730D">
        <w:rPr>
          <w:rFonts w:ascii="Arial" w:hAnsi="Arial" w:cs="Arial"/>
          <w:bCs/>
          <w:sz w:val="22"/>
          <w:lang w:val="es-ES"/>
        </w:rPr>
        <w:t>La jurisprudencia contencioso-administrativa, por su parte, ha considerado que la obligación de vigilar la correcta ejecución del objeto contractual es una función de la entidad contratante, en los siguientes términos:</w:t>
      </w:r>
    </w:p>
    <w:p w14:paraId="3B430394" w14:textId="77777777" w:rsidR="00E00962" w:rsidRPr="0066730D" w:rsidRDefault="00E00962" w:rsidP="00E00962">
      <w:pPr>
        <w:pStyle w:val="Sinespaciado"/>
        <w:spacing w:line="276" w:lineRule="auto"/>
        <w:jc w:val="both"/>
        <w:rPr>
          <w:rFonts w:ascii="Arial" w:hAnsi="Arial" w:cs="Arial"/>
          <w:bCs/>
          <w:lang w:val="es-ES"/>
        </w:rPr>
      </w:pPr>
      <w:r w:rsidRPr="0066730D">
        <w:rPr>
          <w:rFonts w:ascii="Arial" w:hAnsi="Arial" w:cs="Arial"/>
          <w:bCs/>
          <w:lang w:val="es-ES"/>
        </w:rPr>
        <w:t xml:space="preserve"> </w:t>
      </w:r>
    </w:p>
    <w:p w14:paraId="14ED0894" w14:textId="77777777" w:rsidR="00E00962" w:rsidRPr="0066730D" w:rsidRDefault="00E00962" w:rsidP="00E00962">
      <w:pPr>
        <w:pStyle w:val="Sinespaciado"/>
        <w:ind w:left="709" w:right="709"/>
        <w:jc w:val="both"/>
        <w:rPr>
          <w:rFonts w:ascii="Arial" w:hAnsi="Arial" w:cs="Arial"/>
          <w:bCs/>
          <w:sz w:val="21"/>
          <w:szCs w:val="21"/>
          <w:lang w:val="es-ES"/>
        </w:rPr>
      </w:pPr>
      <w:r w:rsidRPr="0066730D">
        <w:rPr>
          <w:rFonts w:ascii="Arial" w:hAnsi="Arial" w:cs="Arial"/>
          <w:bCs/>
          <w:sz w:val="21"/>
          <w:szCs w:val="21"/>
          <w:lang w:val="es-ES"/>
        </w:rPr>
        <w:t>La función de vigilancia y control del contrato estatal supone el cuidado y la supervisión, de forma tal que en ejercicio de esa función, quien administra la adecuada y oportuna ejecución del contrato no sólo debe velar por que las partes den cumplimiento a las obligaciones contractuales, sino que el contrato se ejecute en el tiempo y la forma convenidos, para de esta forma garantizar la satisfacción de las necesidades que la administración buscaba alcanzar con la celebración del respectivo contrato</w:t>
      </w:r>
      <w:r w:rsidRPr="0066730D">
        <w:rPr>
          <w:rStyle w:val="Refdenotaalpie"/>
          <w:rFonts w:ascii="Arial" w:hAnsi="Arial" w:cs="Arial"/>
          <w:sz w:val="21"/>
          <w:szCs w:val="21"/>
          <w:lang w:val="es-ES"/>
        </w:rPr>
        <w:footnoteReference w:id="5"/>
      </w:r>
      <w:r w:rsidRPr="0066730D">
        <w:rPr>
          <w:rFonts w:ascii="Arial" w:hAnsi="Arial" w:cs="Arial"/>
          <w:bCs/>
          <w:sz w:val="21"/>
          <w:szCs w:val="21"/>
          <w:lang w:val="es-ES"/>
        </w:rPr>
        <w:t>.</w:t>
      </w:r>
    </w:p>
    <w:p w14:paraId="646ED800" w14:textId="77777777" w:rsidR="00E00962" w:rsidRPr="0066730D" w:rsidRDefault="00E00962" w:rsidP="00E00962">
      <w:pPr>
        <w:pStyle w:val="Sinespaciado"/>
        <w:spacing w:line="276" w:lineRule="auto"/>
        <w:jc w:val="both"/>
        <w:rPr>
          <w:rFonts w:ascii="Arial" w:hAnsi="Arial" w:cs="Arial"/>
          <w:bCs/>
          <w:lang w:val="es-ES"/>
        </w:rPr>
      </w:pPr>
    </w:p>
    <w:p w14:paraId="0B6167B9" w14:textId="77777777" w:rsidR="00E00962" w:rsidRPr="0066730D" w:rsidRDefault="00E00962" w:rsidP="00E00962">
      <w:pPr>
        <w:pStyle w:val="Sinespaciado"/>
        <w:spacing w:line="276" w:lineRule="auto"/>
        <w:ind w:firstLine="567"/>
        <w:jc w:val="both"/>
        <w:rPr>
          <w:rFonts w:ascii="Arial" w:hAnsi="Arial" w:cs="Arial"/>
          <w:bCs/>
          <w:sz w:val="22"/>
          <w:lang w:val="es-ES"/>
        </w:rPr>
      </w:pPr>
      <w:r w:rsidRPr="0066730D">
        <w:rPr>
          <w:rFonts w:ascii="Arial" w:hAnsi="Arial" w:cs="Arial"/>
          <w:bCs/>
          <w:sz w:val="22"/>
          <w:lang w:val="es-ES"/>
        </w:rPr>
        <w:t xml:space="preserve">En este punto, se reitera lo expuesto en el concepto emitido por esta Agencia con el radicado 4201913000008240, del 20 de diciembre de 2019, esto es, que </w:t>
      </w:r>
    </w:p>
    <w:p w14:paraId="32D4D104" w14:textId="77777777" w:rsidR="00E00962" w:rsidRPr="0066730D" w:rsidRDefault="00E00962" w:rsidP="00E00962">
      <w:pPr>
        <w:pStyle w:val="Sinespaciado"/>
        <w:spacing w:line="276" w:lineRule="auto"/>
        <w:ind w:left="709" w:right="709" w:firstLine="567"/>
        <w:jc w:val="both"/>
        <w:rPr>
          <w:rFonts w:ascii="Arial" w:hAnsi="Arial" w:cs="Arial"/>
          <w:bCs/>
          <w:sz w:val="21"/>
          <w:szCs w:val="21"/>
          <w:lang w:val="es-ES"/>
        </w:rPr>
      </w:pPr>
    </w:p>
    <w:p w14:paraId="296351C2" w14:textId="3806F1E4" w:rsidR="00E00962" w:rsidRPr="0066730D" w:rsidRDefault="0074415C" w:rsidP="00E00962">
      <w:pPr>
        <w:pStyle w:val="Sinespaciado"/>
        <w:spacing w:line="276" w:lineRule="auto"/>
        <w:ind w:left="709" w:right="709"/>
        <w:jc w:val="both"/>
        <w:rPr>
          <w:rFonts w:ascii="Arial" w:hAnsi="Arial" w:cs="Arial"/>
          <w:bCs/>
          <w:sz w:val="21"/>
          <w:szCs w:val="21"/>
          <w:lang w:val="es-ES"/>
        </w:rPr>
      </w:pPr>
      <w:r w:rsidRPr="0066730D">
        <w:rPr>
          <w:rFonts w:ascii="Arial" w:hAnsi="Arial" w:cs="Arial"/>
          <w:bCs/>
          <w:sz w:val="21"/>
          <w:szCs w:val="21"/>
          <w:lang w:val="es-ES"/>
        </w:rPr>
        <w:t xml:space="preserve">(…) </w:t>
      </w:r>
      <w:r w:rsidR="00E00962" w:rsidRPr="0066730D">
        <w:rPr>
          <w:rFonts w:ascii="Arial" w:hAnsi="Arial" w:cs="Arial"/>
          <w:bCs/>
          <w:sz w:val="21"/>
          <w:szCs w:val="21"/>
          <w:lang w:val="es-ES"/>
        </w:rPr>
        <w:t>el seguimiento de la ejecución del contrato para su dirección, control y vigilancia del correcto cumplimiento del objeto es un deber legal que permite a las entidades estatales tomar medidas orientadas a la satisfacción de los fines de la contratación, dentro de las cuales, se encuentra la posibilidad de pactar y ejercer las cláusulas exorbitantes, la designación de una supervisión o la contratación de una interventoría para vigilar la ejecución del contrato y la facultad de pactar e imponer multas, cláusula penal o hacer efectivas las garantías del contrato, previa declaratoria de incumplimiento de las obligaciones del contrato, en aras de lograr la satisfacción de las necesidades de bienes, obras o servicios que se pretenden suplir con la celebración de los contratos estatales.</w:t>
      </w:r>
    </w:p>
    <w:p w14:paraId="62444801" w14:textId="77777777" w:rsidR="00E00962" w:rsidRPr="0066730D" w:rsidRDefault="00E00962" w:rsidP="00E00962">
      <w:pPr>
        <w:pStyle w:val="Sinespaciado"/>
        <w:spacing w:line="276" w:lineRule="auto"/>
        <w:jc w:val="both"/>
        <w:rPr>
          <w:rFonts w:ascii="Arial" w:hAnsi="Arial" w:cs="Arial"/>
          <w:b/>
          <w:sz w:val="22"/>
          <w:lang w:val="es-ES"/>
        </w:rPr>
      </w:pPr>
    </w:p>
    <w:p w14:paraId="1730E37F" w14:textId="27F94081" w:rsidR="00E00962" w:rsidRPr="0066730D" w:rsidRDefault="00E00962" w:rsidP="0074415C">
      <w:pPr>
        <w:pStyle w:val="Sinespaciado"/>
        <w:spacing w:line="276" w:lineRule="auto"/>
        <w:ind w:firstLine="708"/>
        <w:jc w:val="both"/>
        <w:rPr>
          <w:rFonts w:ascii="Arial" w:hAnsi="Arial" w:cs="Arial"/>
          <w:sz w:val="22"/>
          <w:lang w:val="es-ES"/>
        </w:rPr>
      </w:pPr>
      <w:r w:rsidRPr="0066730D">
        <w:rPr>
          <w:rFonts w:ascii="Arial" w:hAnsi="Arial" w:cs="Arial"/>
          <w:sz w:val="22"/>
          <w:lang w:val="es-ES"/>
        </w:rPr>
        <w:t xml:space="preserve">La Ley 1474 de 2011 enmarcó el seguimiento, control y vigilancia de la ejecución del contrato estatal dentro del principio de moralidad administrativa. El artículo 83 </w:t>
      </w:r>
      <w:proofErr w:type="spellStart"/>
      <w:r w:rsidRPr="0066730D">
        <w:rPr>
          <w:rFonts w:ascii="Arial" w:hAnsi="Arial" w:cs="Arial"/>
          <w:i/>
          <w:iCs/>
          <w:sz w:val="22"/>
          <w:lang w:val="es-ES"/>
        </w:rPr>
        <w:t>ib</w:t>
      </w:r>
      <w:r w:rsidR="0074415C" w:rsidRPr="0066730D">
        <w:rPr>
          <w:rFonts w:ascii="Arial" w:hAnsi="Arial" w:cs="Arial"/>
          <w:i/>
          <w:iCs/>
          <w:sz w:val="22"/>
          <w:lang w:val="es-ES"/>
        </w:rPr>
        <w:t>í</w:t>
      </w:r>
      <w:r w:rsidRPr="0066730D">
        <w:rPr>
          <w:rFonts w:ascii="Arial" w:hAnsi="Arial" w:cs="Arial"/>
          <w:i/>
          <w:iCs/>
          <w:sz w:val="22"/>
          <w:lang w:val="es-ES"/>
        </w:rPr>
        <w:t>dem</w:t>
      </w:r>
      <w:proofErr w:type="spellEnd"/>
      <w:r w:rsidRPr="0066730D">
        <w:rPr>
          <w:rFonts w:ascii="Arial" w:hAnsi="Arial" w:cs="Arial"/>
          <w:i/>
          <w:iCs/>
          <w:sz w:val="22"/>
          <w:lang w:val="es-ES"/>
        </w:rPr>
        <w:t xml:space="preserve"> </w:t>
      </w:r>
      <w:r w:rsidRPr="0066730D">
        <w:rPr>
          <w:rFonts w:ascii="Arial" w:hAnsi="Arial" w:cs="Arial"/>
          <w:sz w:val="22"/>
          <w:lang w:val="es-ES"/>
        </w:rPr>
        <w:t xml:space="preserve">establece que «con el fin de proteger la moralidad administrativa, de prevenir la ocurrencia </w:t>
      </w:r>
      <w:r w:rsidRPr="0066730D">
        <w:rPr>
          <w:rFonts w:ascii="Arial" w:hAnsi="Arial" w:cs="Arial"/>
          <w:sz w:val="22"/>
          <w:lang w:val="es-ES"/>
        </w:rPr>
        <w:lastRenderedPageBreak/>
        <w:t xml:space="preserve">de actos de corrupción y de tutelar la transparencia de la actividad contractual, las entidades públicas están obligadas a vigilar permanentemente la correcta ejecución del objeto contratado a través de un supervisor o un interventor, según corresponda». El legislador además definió las nociones de </w:t>
      </w:r>
      <w:r w:rsidRPr="0066730D">
        <w:rPr>
          <w:rFonts w:ascii="Arial" w:hAnsi="Arial" w:cs="Arial"/>
          <w:i/>
          <w:iCs/>
          <w:sz w:val="22"/>
          <w:lang w:val="es-ES"/>
        </w:rPr>
        <w:t>supervisión</w:t>
      </w:r>
      <w:r w:rsidRPr="0066730D">
        <w:rPr>
          <w:rFonts w:ascii="Arial" w:hAnsi="Arial" w:cs="Arial"/>
          <w:sz w:val="22"/>
          <w:lang w:val="es-ES"/>
        </w:rPr>
        <w:t xml:space="preserve"> e </w:t>
      </w:r>
      <w:r w:rsidRPr="0066730D">
        <w:rPr>
          <w:rFonts w:ascii="Arial" w:hAnsi="Arial" w:cs="Arial"/>
          <w:i/>
          <w:iCs/>
          <w:sz w:val="22"/>
          <w:lang w:val="es-ES"/>
        </w:rPr>
        <w:t>interventoría</w:t>
      </w:r>
      <w:r w:rsidRPr="0066730D">
        <w:rPr>
          <w:rFonts w:ascii="Arial" w:hAnsi="Arial" w:cs="Arial"/>
          <w:sz w:val="22"/>
          <w:lang w:val="es-ES"/>
        </w:rPr>
        <w:t xml:space="preserve">, como mecanismos que pueden usar las entidades estatales para vigilar el contrato, en estos términos: </w:t>
      </w:r>
    </w:p>
    <w:p w14:paraId="49943A54" w14:textId="77777777" w:rsidR="00E00962" w:rsidRPr="0066730D" w:rsidRDefault="00E00962" w:rsidP="00E00962">
      <w:pPr>
        <w:pStyle w:val="Sinespaciado"/>
        <w:spacing w:line="276" w:lineRule="auto"/>
        <w:jc w:val="both"/>
        <w:rPr>
          <w:rFonts w:ascii="Arial" w:hAnsi="Arial" w:cs="Arial"/>
          <w:lang w:val="es-ES"/>
        </w:rPr>
      </w:pPr>
    </w:p>
    <w:p w14:paraId="568E9563" w14:textId="77777777" w:rsidR="00E00962" w:rsidRPr="0066730D" w:rsidRDefault="00E00962" w:rsidP="00E00962">
      <w:pPr>
        <w:pStyle w:val="Sinespaciado"/>
        <w:ind w:left="709" w:right="709"/>
        <w:jc w:val="both"/>
        <w:rPr>
          <w:rFonts w:ascii="Arial" w:hAnsi="Arial" w:cs="Arial"/>
          <w:sz w:val="21"/>
          <w:szCs w:val="21"/>
          <w:lang w:val="es-ES"/>
        </w:rPr>
      </w:pPr>
      <w:r w:rsidRPr="0066730D">
        <w:rPr>
          <w:rFonts w:ascii="Arial" w:hAnsi="Arial" w:cs="Arial"/>
          <w:sz w:val="21"/>
          <w:szCs w:val="21"/>
          <w:lang w:val="es-ES"/>
        </w:rPr>
        <w:t>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3705CDE2" w14:textId="77777777" w:rsidR="00E00962" w:rsidRPr="0066730D" w:rsidRDefault="00E00962" w:rsidP="00E00962">
      <w:pPr>
        <w:pStyle w:val="Sinespaciado"/>
        <w:ind w:left="709" w:right="709"/>
        <w:jc w:val="both"/>
        <w:rPr>
          <w:rFonts w:ascii="Arial" w:hAnsi="Arial" w:cs="Arial"/>
          <w:sz w:val="21"/>
          <w:szCs w:val="21"/>
          <w:lang w:val="es-ES"/>
        </w:rPr>
      </w:pPr>
    </w:p>
    <w:p w14:paraId="74B8258C" w14:textId="77777777" w:rsidR="00E00962" w:rsidRPr="0066730D" w:rsidRDefault="00E00962" w:rsidP="00E00962">
      <w:pPr>
        <w:pStyle w:val="Sinespaciado"/>
        <w:ind w:left="709" w:right="709"/>
        <w:jc w:val="both"/>
        <w:rPr>
          <w:rFonts w:ascii="Arial" w:hAnsi="Arial" w:cs="Arial"/>
          <w:sz w:val="21"/>
          <w:szCs w:val="21"/>
          <w:lang w:val="es-ES"/>
        </w:rPr>
      </w:pPr>
      <w:r w:rsidRPr="0066730D">
        <w:rPr>
          <w:rFonts w:ascii="Arial" w:hAnsi="Arial" w:cs="Arial"/>
          <w:sz w:val="21"/>
          <w:szCs w:val="21"/>
          <w:lang w:val="es-ES"/>
        </w:rPr>
        <w:t>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578572E1" w14:textId="77777777" w:rsidR="00E00962" w:rsidRPr="0066730D" w:rsidRDefault="00E00962" w:rsidP="00E00962">
      <w:pPr>
        <w:pStyle w:val="Sinespaciado"/>
        <w:spacing w:line="276" w:lineRule="auto"/>
        <w:jc w:val="both"/>
        <w:rPr>
          <w:rFonts w:ascii="Arial" w:hAnsi="Arial" w:cs="Arial"/>
          <w:lang w:val="es-ES"/>
        </w:rPr>
      </w:pPr>
    </w:p>
    <w:p w14:paraId="359507DE" w14:textId="77777777" w:rsidR="00E00962" w:rsidRPr="0066730D" w:rsidRDefault="00E00962" w:rsidP="00E00962">
      <w:pPr>
        <w:pStyle w:val="Sinespaciado"/>
        <w:spacing w:line="276" w:lineRule="auto"/>
        <w:ind w:firstLine="708"/>
        <w:jc w:val="both"/>
        <w:rPr>
          <w:rFonts w:ascii="Arial" w:hAnsi="Arial" w:cs="Arial"/>
          <w:sz w:val="22"/>
          <w:lang w:val="es-ES"/>
        </w:rPr>
      </w:pPr>
      <w:r w:rsidRPr="0066730D">
        <w:rPr>
          <w:rFonts w:ascii="Arial" w:hAnsi="Arial" w:cs="Arial"/>
          <w:sz w:val="22"/>
          <w:lang w:val="es-ES"/>
        </w:rPr>
        <w:t xml:space="preserve">En relación con las definiciones de </w:t>
      </w:r>
      <w:r w:rsidRPr="0066730D">
        <w:rPr>
          <w:rFonts w:ascii="Arial" w:hAnsi="Arial" w:cs="Arial"/>
          <w:i/>
          <w:iCs/>
          <w:sz w:val="22"/>
          <w:lang w:val="es-ES"/>
        </w:rPr>
        <w:t xml:space="preserve">supervisión </w:t>
      </w:r>
      <w:r w:rsidRPr="0066730D">
        <w:rPr>
          <w:rFonts w:ascii="Arial" w:hAnsi="Arial" w:cs="Arial"/>
          <w:sz w:val="22"/>
          <w:lang w:val="es-ES"/>
        </w:rPr>
        <w:t xml:space="preserve">e </w:t>
      </w:r>
      <w:r w:rsidRPr="0066730D">
        <w:rPr>
          <w:rFonts w:ascii="Arial" w:hAnsi="Arial" w:cs="Arial"/>
          <w:i/>
          <w:iCs/>
          <w:sz w:val="22"/>
          <w:lang w:val="es-ES"/>
        </w:rPr>
        <w:t>interventoría</w:t>
      </w:r>
      <w:r w:rsidRPr="0066730D">
        <w:rPr>
          <w:rFonts w:ascii="Arial" w:hAnsi="Arial" w:cs="Arial"/>
          <w:sz w:val="22"/>
          <w:lang w:val="es-ES"/>
        </w:rPr>
        <w:t>, doctrinariamente se ha establecido la diferencia entre una y otra, de la siguiente manera:</w:t>
      </w:r>
    </w:p>
    <w:p w14:paraId="315B993B" w14:textId="77777777" w:rsidR="00E00962" w:rsidRPr="0066730D" w:rsidRDefault="00E00962" w:rsidP="00E00962">
      <w:pPr>
        <w:pStyle w:val="Sinespaciado"/>
        <w:ind w:left="709" w:right="709"/>
        <w:jc w:val="both"/>
        <w:rPr>
          <w:rFonts w:ascii="Arial" w:hAnsi="Arial" w:cs="Arial"/>
          <w:sz w:val="21"/>
          <w:szCs w:val="21"/>
          <w:lang w:val="es-ES"/>
        </w:rPr>
      </w:pPr>
    </w:p>
    <w:p w14:paraId="22122E26" w14:textId="77777777" w:rsidR="00E00962" w:rsidRPr="0066730D" w:rsidRDefault="00E00962" w:rsidP="00E00962">
      <w:pPr>
        <w:pStyle w:val="Sinespaciado"/>
        <w:ind w:left="709" w:right="709"/>
        <w:jc w:val="both"/>
        <w:rPr>
          <w:rFonts w:ascii="Arial" w:hAnsi="Arial" w:cs="Arial"/>
          <w:sz w:val="21"/>
          <w:szCs w:val="21"/>
          <w:lang w:val="es-ES"/>
        </w:rPr>
      </w:pPr>
      <w:r w:rsidRPr="0066730D">
        <w:rPr>
          <w:rFonts w:ascii="Arial" w:hAnsi="Arial" w:cs="Arial"/>
          <w:sz w:val="21"/>
          <w:szCs w:val="21"/>
          <w:lang w:val="es-ES"/>
        </w:rPr>
        <w:t>La supervisión […] es ejercida por la propia entidad contratante cuando no requiere conocimientos técnicos especializados. Por contraste, a la interventoría se le concibe alrededor de la necesidad de tales conocimientos. Esa diferenciación entonces nos permite decir que entre una y otra figuras hay una comunidad de propósito con una diferencia de grado: en la interventoría se acude a un consultor especializado con un grado de conocimiento técnico superior a aquel del que disponga la entidad, a propósito de que se constituya en «sus ojos» en frente de la ejecución del contrato. Es por ello que a la interventoría se le hace consistir de acuerdo con la definición legal, «en el seguimiento técnico» del cumplimiento del contrato, cuando el mismo «suponga conocimiento especializado en la materia, o cuando la complejidad o la extensión del mismo lo justifiquen». En su propósito de hacer evidente esta diferenciación, el proyecto de ley que condujo al Estatuto Anticorrupción buscaba enmarcar a la interventoría en la función técnica exclusivamente, intención que se vio frustrada cuando a la definición propuesta, y hoy contenida en el citado artículo 83, vino a agregarse una frase final que aclara que la misma podrá extenderse a «otros aspectos del contrato» en adición a aquellos de naturaleza técnica</w:t>
      </w:r>
      <w:r w:rsidRPr="0066730D">
        <w:rPr>
          <w:rStyle w:val="Refdenotaalpie"/>
          <w:rFonts w:ascii="Arial" w:hAnsi="Arial" w:cs="Arial"/>
          <w:sz w:val="21"/>
          <w:szCs w:val="21"/>
          <w:lang w:val="es-ES"/>
        </w:rPr>
        <w:footnoteReference w:id="6"/>
      </w:r>
      <w:r w:rsidRPr="0066730D">
        <w:rPr>
          <w:rFonts w:ascii="Arial" w:hAnsi="Arial" w:cs="Arial"/>
          <w:sz w:val="21"/>
          <w:szCs w:val="21"/>
          <w:lang w:val="es-ES"/>
        </w:rPr>
        <w:t xml:space="preserve">. </w:t>
      </w:r>
    </w:p>
    <w:p w14:paraId="2E8126BF" w14:textId="77777777" w:rsidR="00E00962" w:rsidRPr="0066730D" w:rsidRDefault="00E00962" w:rsidP="00E00962">
      <w:pPr>
        <w:pStyle w:val="Sinespaciado"/>
        <w:ind w:right="709"/>
        <w:jc w:val="both"/>
        <w:rPr>
          <w:rFonts w:ascii="Arial" w:hAnsi="Arial" w:cs="Arial"/>
          <w:sz w:val="21"/>
          <w:szCs w:val="21"/>
          <w:lang w:val="es-ES"/>
        </w:rPr>
      </w:pPr>
    </w:p>
    <w:p w14:paraId="2BB8370B" w14:textId="440E6141" w:rsidR="00E00962" w:rsidRPr="0066730D" w:rsidRDefault="00E00962" w:rsidP="00E00962">
      <w:pPr>
        <w:pStyle w:val="Sinespaciado"/>
        <w:spacing w:before="120" w:line="276" w:lineRule="auto"/>
        <w:ind w:firstLine="709"/>
        <w:jc w:val="both"/>
        <w:rPr>
          <w:rFonts w:ascii="Arial" w:hAnsi="Arial" w:cs="Arial"/>
          <w:sz w:val="22"/>
          <w:lang w:val="es-ES"/>
        </w:rPr>
      </w:pPr>
      <w:r w:rsidRPr="0066730D">
        <w:rPr>
          <w:rFonts w:ascii="Arial" w:hAnsi="Arial" w:cs="Arial"/>
          <w:sz w:val="22"/>
          <w:lang w:val="es-ES"/>
        </w:rPr>
        <w:lastRenderedPageBreak/>
        <w:t>Quien ejerza la vigilancia de la ejecución del contrato, ya sea mediante la interventoría, puede hacer uso de las facultades previstas en el artículo 84 de la Ley 1474 de 2011 para hacer el seguimiento al cumplimiento obligacional del contrato y estará sometido a los deberes y responsabilidades que implica el ejercicio de dicha actividad.</w:t>
      </w:r>
    </w:p>
    <w:p w14:paraId="70F6F307" w14:textId="35C790E5" w:rsidR="00E00962" w:rsidRPr="0066730D" w:rsidRDefault="00E00962" w:rsidP="00E00962">
      <w:pPr>
        <w:pStyle w:val="Sinespaciado"/>
        <w:spacing w:before="120" w:line="276" w:lineRule="auto"/>
        <w:ind w:firstLine="709"/>
        <w:jc w:val="both"/>
        <w:rPr>
          <w:rFonts w:ascii="Arial" w:hAnsi="Arial" w:cs="Arial"/>
          <w:sz w:val="22"/>
          <w:lang w:val="es-ES"/>
        </w:rPr>
      </w:pPr>
      <w:r w:rsidRPr="0066730D">
        <w:rPr>
          <w:rFonts w:ascii="Arial" w:hAnsi="Arial" w:cs="Arial"/>
          <w:sz w:val="22"/>
          <w:lang w:val="es-ES"/>
        </w:rPr>
        <w:t>Sin perjuicio de lo anterior, según lo expresado por esta entidad</w:t>
      </w:r>
      <w:r w:rsidRPr="0066730D">
        <w:rPr>
          <w:rStyle w:val="Refdenotaalpie"/>
          <w:rFonts w:ascii="Arial" w:hAnsi="Arial" w:cs="Arial"/>
          <w:sz w:val="22"/>
          <w:lang w:val="es-ES"/>
        </w:rPr>
        <w:footnoteReference w:id="7"/>
      </w:r>
      <w:r w:rsidRPr="0066730D">
        <w:rPr>
          <w:rFonts w:ascii="Arial" w:hAnsi="Arial" w:cs="Arial"/>
          <w:sz w:val="22"/>
          <w:lang w:val="es-ES"/>
        </w:rPr>
        <w:t xml:space="preserve">, de las disposiciones contenidas en la Ley 1474 de 2011 se infieren las siguientes características, en relación con la interventoría: i) será un mecanismo de vigilancia contingente en la medida que solo es obligatorio para el seguimiento de los contratos de obra adjudicados por licitación pública ―art. 32, numeral 1―; en los demás casos se requerirá cuando «el seguimiento del contrato suponga conocimiento especializado en la materia, o cuando la complejidad o la extensión del mismo lo justifiquen» ―art. 83, Ley 1474 de 2011―. </w:t>
      </w:r>
      <w:proofErr w:type="spellStart"/>
      <w:r w:rsidRPr="0066730D">
        <w:rPr>
          <w:rFonts w:ascii="Arial" w:hAnsi="Arial" w:cs="Arial"/>
          <w:sz w:val="22"/>
          <w:lang w:val="es-ES"/>
        </w:rPr>
        <w:t>ii</w:t>
      </w:r>
      <w:proofErr w:type="spellEnd"/>
      <w:r w:rsidRPr="0066730D">
        <w:rPr>
          <w:rFonts w:ascii="Arial" w:hAnsi="Arial" w:cs="Arial"/>
          <w:sz w:val="22"/>
          <w:lang w:val="es-ES"/>
        </w:rPr>
        <w:t xml:space="preserve">) Este mecanismo de vigilancia exige, en su ejecución, la utilización de conocimientos especializados. </w:t>
      </w:r>
      <w:proofErr w:type="spellStart"/>
      <w:r w:rsidRPr="0066730D">
        <w:rPr>
          <w:rFonts w:ascii="Arial" w:hAnsi="Arial" w:cs="Arial"/>
          <w:sz w:val="22"/>
          <w:lang w:val="es-ES"/>
        </w:rPr>
        <w:t>iii</w:t>
      </w:r>
      <w:proofErr w:type="spellEnd"/>
      <w:r w:rsidRPr="0066730D">
        <w:rPr>
          <w:rFonts w:ascii="Arial" w:hAnsi="Arial" w:cs="Arial"/>
          <w:sz w:val="22"/>
          <w:lang w:val="es-ES"/>
        </w:rPr>
        <w:t>) Por lo anterior, la entidad contrata un experto a través de un concurso de méritos, al tratarse la interventoría de una especie del contrato de consultoría ―art. 32, numeral 2, inciso 2, Ley 80 de 1993</w:t>
      </w:r>
      <w:r w:rsidRPr="0066730D">
        <w:rPr>
          <w:rStyle w:val="Refdenotaalpie"/>
          <w:rFonts w:ascii="Arial" w:hAnsi="Arial" w:cs="Arial"/>
          <w:sz w:val="22"/>
          <w:lang w:val="es-ES"/>
        </w:rPr>
        <w:footnoteReference w:id="8"/>
      </w:r>
      <w:r w:rsidRPr="0066730D">
        <w:rPr>
          <w:rFonts w:ascii="Arial" w:hAnsi="Arial" w:cs="Arial"/>
          <w:sz w:val="22"/>
          <w:lang w:val="es-ES"/>
        </w:rPr>
        <w:t xml:space="preserve">―, de manera que la interventoría es realizada por una «persona natural o jurídica contratada para tal fin por la Entidad Estatal» ―art. 83, Ley 1474―. </w:t>
      </w:r>
      <w:proofErr w:type="spellStart"/>
      <w:r w:rsidRPr="0066730D">
        <w:rPr>
          <w:rFonts w:ascii="Arial" w:hAnsi="Arial" w:cs="Arial"/>
          <w:sz w:val="22"/>
          <w:lang w:val="es-ES"/>
        </w:rPr>
        <w:t>iv</w:t>
      </w:r>
      <w:proofErr w:type="spellEnd"/>
      <w:r w:rsidRPr="0066730D">
        <w:rPr>
          <w:rFonts w:ascii="Arial" w:hAnsi="Arial" w:cs="Arial"/>
          <w:sz w:val="22"/>
          <w:lang w:val="es-ES"/>
        </w:rPr>
        <w:t>) Le es inherente el seguimiento técnico, frente a la vigilancia de la correcta ejecución del contrato vigilado; sin embargo, el artículo 83 de la Ley 1474 de 2011 permite que en el contrato de interventoría también se pacten obligaciones para que el contratista realice el seguimiento administrativo, financiero, contable o jurídico. v) En caso de que no se encomiende al interventor el seguimiento total del contrato, en el contrato de interventoría «se deberán indicar las actividades técnicas a cargo del interventor y las demás quedarán a cargo de la Entidad a través del supervisor» ―art. 83, inciso 3―. vi) El contrato de interventoría será supervisado directamente por la entidad ―art. 83, inciso 4―.</w:t>
      </w:r>
    </w:p>
    <w:p w14:paraId="52F91358" w14:textId="61C8F963" w:rsidR="00E00962" w:rsidRDefault="00E00962" w:rsidP="00E00962">
      <w:pPr>
        <w:pStyle w:val="Sinespaciado"/>
        <w:spacing w:before="120" w:line="276" w:lineRule="auto"/>
        <w:ind w:firstLine="709"/>
        <w:jc w:val="both"/>
        <w:rPr>
          <w:rFonts w:ascii="Arial" w:hAnsi="Arial" w:cs="Arial"/>
          <w:sz w:val="22"/>
          <w:lang w:val="es-ES"/>
        </w:rPr>
      </w:pPr>
      <w:r w:rsidRPr="0066730D">
        <w:rPr>
          <w:rFonts w:ascii="Arial" w:hAnsi="Arial" w:cs="Arial"/>
          <w:sz w:val="22"/>
          <w:lang w:val="es-ES"/>
        </w:rPr>
        <w:t xml:space="preserve">De acuerdo con lo anterior, el interventor es un contratista externo a la entidad estatal y al contratista vigilado, de manera que es seleccionado por la entidad estatal mediante los procedimientos de selección establecidos en el EGCAP; en principio, mediante un concurso de méritos. </w:t>
      </w:r>
    </w:p>
    <w:p w14:paraId="761431EA" w14:textId="77777777" w:rsidR="00593402" w:rsidRPr="0066730D" w:rsidRDefault="00593402" w:rsidP="00E00962">
      <w:pPr>
        <w:pStyle w:val="Sinespaciado"/>
        <w:spacing w:before="120" w:line="276" w:lineRule="auto"/>
        <w:ind w:firstLine="709"/>
        <w:jc w:val="both"/>
        <w:rPr>
          <w:rFonts w:ascii="Arial" w:hAnsi="Arial" w:cs="Arial"/>
          <w:sz w:val="22"/>
          <w:lang w:val="es-ES"/>
        </w:rPr>
      </w:pPr>
    </w:p>
    <w:p w14:paraId="6FCEB0BB" w14:textId="76B5E010" w:rsidR="00E00962" w:rsidRPr="0066730D" w:rsidRDefault="00E00962" w:rsidP="00F23E3A">
      <w:pPr>
        <w:spacing w:line="276" w:lineRule="auto"/>
        <w:jc w:val="both"/>
        <w:rPr>
          <w:rFonts w:ascii="Arial" w:hAnsi="Arial" w:cs="Arial"/>
          <w:sz w:val="22"/>
          <w:lang w:val="es-ES"/>
        </w:rPr>
      </w:pPr>
    </w:p>
    <w:p w14:paraId="75D01BF7" w14:textId="66710DD5" w:rsidR="003D53A2" w:rsidRPr="0066730D" w:rsidRDefault="00D04238" w:rsidP="00D04238">
      <w:pPr>
        <w:spacing w:line="276" w:lineRule="auto"/>
        <w:jc w:val="both"/>
        <w:rPr>
          <w:rFonts w:ascii="Arial" w:hAnsi="Arial" w:cs="Arial"/>
          <w:b/>
          <w:sz w:val="22"/>
        </w:rPr>
      </w:pPr>
      <w:r w:rsidRPr="0066730D">
        <w:rPr>
          <w:rFonts w:ascii="Arial" w:hAnsi="Arial" w:cs="Arial"/>
          <w:b/>
          <w:sz w:val="22"/>
          <w:lang w:val="es-ES"/>
        </w:rPr>
        <w:t>2.2.</w:t>
      </w:r>
      <w:r w:rsidR="003D53A2" w:rsidRPr="0066730D">
        <w:rPr>
          <w:rFonts w:ascii="Arial" w:hAnsi="Arial" w:cs="Arial"/>
          <w:b/>
          <w:sz w:val="22"/>
        </w:rPr>
        <w:t xml:space="preserve"> Régimen de inhabilidades e incompatibilidades para contratar con el Estado</w:t>
      </w:r>
      <w:r w:rsidR="00692D98" w:rsidRPr="0066730D">
        <w:rPr>
          <w:rFonts w:ascii="Arial" w:hAnsi="Arial" w:cs="Arial"/>
          <w:b/>
          <w:sz w:val="22"/>
        </w:rPr>
        <w:t>, la interpretación de sus disposiciones y la labor de interventoría</w:t>
      </w:r>
      <w:r w:rsidR="003D53A2" w:rsidRPr="0066730D">
        <w:rPr>
          <w:rFonts w:ascii="Arial" w:hAnsi="Arial" w:cs="Arial"/>
          <w:b/>
          <w:sz w:val="22"/>
        </w:rPr>
        <w:t xml:space="preserve"> </w:t>
      </w:r>
    </w:p>
    <w:p w14:paraId="4BCDC7FE" w14:textId="52943440" w:rsidR="003D53A2" w:rsidRPr="0066730D" w:rsidRDefault="003D53A2" w:rsidP="003D53A2">
      <w:pPr>
        <w:pStyle w:val="Sinespaciado"/>
        <w:spacing w:line="276" w:lineRule="auto"/>
        <w:jc w:val="both"/>
        <w:rPr>
          <w:rFonts w:ascii="Arial" w:hAnsi="Arial" w:cs="Arial"/>
          <w:sz w:val="22"/>
        </w:rPr>
      </w:pPr>
    </w:p>
    <w:p w14:paraId="396F2657" w14:textId="77777777" w:rsidR="00BE1549" w:rsidRPr="0066730D" w:rsidRDefault="00BE1549" w:rsidP="00BE1549">
      <w:pPr>
        <w:pStyle w:val="Sinespaciado"/>
        <w:spacing w:after="120" w:line="276" w:lineRule="auto"/>
        <w:jc w:val="both"/>
        <w:rPr>
          <w:rFonts w:ascii="Arial" w:hAnsi="Arial" w:cs="Arial"/>
          <w:sz w:val="22"/>
        </w:rPr>
      </w:pPr>
      <w:r w:rsidRPr="0066730D">
        <w:rPr>
          <w:rFonts w:ascii="Arial" w:hAnsi="Arial" w:cs="Arial"/>
          <w:sz w:val="22"/>
        </w:rPr>
        <w:t xml:space="preserve">Comoquiera que se indaga en torno a la posibilidad de que una persona que funge como interventor de un contrato de obra pública, ejecute otro contrato de obra pública adjudicado por con posterioridad por la misma entidad pública, se hace necesario referirnos al régimen </w:t>
      </w:r>
      <w:r w:rsidRPr="0066730D">
        <w:rPr>
          <w:rFonts w:ascii="Arial" w:hAnsi="Arial" w:cs="Arial"/>
          <w:sz w:val="22"/>
        </w:rPr>
        <w:lastRenderedPageBreak/>
        <w:t>de inhabilidades e incompatibilidades para contratar con el Estado, a efectos de confirmar o descartar que tal circunstancia incurra en alguna de estas restricciones a la capacidad para contratar.</w:t>
      </w:r>
    </w:p>
    <w:p w14:paraId="307E3F74" w14:textId="2F6B10C5" w:rsidR="003D53A2" w:rsidRPr="0066730D" w:rsidRDefault="003D53A2" w:rsidP="00BE1549">
      <w:pPr>
        <w:pStyle w:val="Sinespaciado"/>
        <w:spacing w:line="276" w:lineRule="auto"/>
        <w:ind w:firstLine="708"/>
        <w:jc w:val="both"/>
        <w:rPr>
          <w:rFonts w:ascii="Arial" w:hAnsi="Arial" w:cs="Arial"/>
          <w:sz w:val="22"/>
        </w:rPr>
      </w:pPr>
      <w:r w:rsidRPr="0066730D">
        <w:rPr>
          <w:rFonts w:ascii="Arial" w:hAnsi="Arial" w:cs="Arial"/>
          <w:sz w:val="22"/>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7655195B" w14:textId="2CC68D01" w:rsidR="003D53A2" w:rsidRPr="0066730D" w:rsidRDefault="003D53A2" w:rsidP="003D53A2">
      <w:pPr>
        <w:pStyle w:val="Sinespaciado"/>
        <w:spacing w:before="120" w:after="120" w:line="276" w:lineRule="auto"/>
        <w:ind w:firstLine="708"/>
        <w:jc w:val="both"/>
        <w:rPr>
          <w:rFonts w:ascii="Arial" w:hAnsi="Arial" w:cs="Arial"/>
          <w:sz w:val="22"/>
        </w:rPr>
      </w:pPr>
      <w:r w:rsidRPr="0066730D">
        <w:rPr>
          <w:rFonts w:ascii="Arial" w:hAnsi="Arial" w:cs="Arial"/>
          <w:sz w:val="22"/>
        </w:rPr>
        <w:t>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66730D">
        <w:rPr>
          <w:rFonts w:ascii="Arial" w:hAnsi="Arial" w:cs="Arial"/>
          <w:sz w:val="22"/>
          <w:vertAlign w:val="superscript"/>
        </w:rPr>
        <w:footnoteReference w:id="9"/>
      </w:r>
      <w:r w:rsidRPr="0066730D">
        <w:rPr>
          <w:rFonts w:ascii="Arial" w:hAnsi="Arial" w:cs="Arial"/>
          <w:sz w:val="22"/>
        </w:rPr>
        <w:t xml:space="preserve">. </w:t>
      </w:r>
    </w:p>
    <w:p w14:paraId="39BABE8E" w14:textId="35FB2EF0" w:rsidR="003D53A2" w:rsidRPr="0066730D" w:rsidRDefault="003D53A2" w:rsidP="003D53A2">
      <w:pPr>
        <w:pStyle w:val="Sinespaciado"/>
        <w:spacing w:before="120" w:line="276" w:lineRule="auto"/>
        <w:ind w:firstLine="709"/>
        <w:jc w:val="both"/>
        <w:rPr>
          <w:rFonts w:ascii="Arial" w:hAnsi="Arial" w:cs="Arial"/>
          <w:sz w:val="22"/>
        </w:rPr>
      </w:pPr>
      <w:r w:rsidRPr="0066730D">
        <w:rPr>
          <w:rFonts w:ascii="Arial" w:hAnsi="Arial" w:cs="Arial"/>
          <w:sz w:val="22"/>
        </w:rPr>
        <w:t>La</w:t>
      </w:r>
      <w:r w:rsidR="004B0D4F" w:rsidRPr="0066730D">
        <w:rPr>
          <w:rFonts w:ascii="Arial" w:hAnsi="Arial" w:cs="Arial"/>
          <w:sz w:val="22"/>
        </w:rPr>
        <w:t>s</w:t>
      </w:r>
      <w:r w:rsidRPr="0066730D">
        <w:rPr>
          <w:rFonts w:ascii="Arial" w:hAnsi="Arial" w:cs="Arial"/>
          <w:sz w:val="22"/>
        </w:rPr>
        <w:t xml:space="preserve"> limitaciones que afectan la capacidad jurídica para contratar desarrolla</w:t>
      </w:r>
      <w:r w:rsidR="004B0D4F" w:rsidRPr="0066730D">
        <w:rPr>
          <w:rFonts w:ascii="Arial" w:hAnsi="Arial" w:cs="Arial"/>
          <w:sz w:val="22"/>
        </w:rPr>
        <w:t>n</w:t>
      </w:r>
      <w:r w:rsidRPr="0066730D">
        <w:rPr>
          <w:rFonts w:ascii="Arial" w:hAnsi="Arial" w:cs="Arial"/>
          <w:sz w:val="22"/>
        </w:rPr>
        <w:t xml:space="preserve"> los principios de la función administrativa consagrados en el artículo 209 de la Constitución Política, con especial énfasis la moralidad</w:t>
      </w:r>
      <w:r w:rsidR="001C13AE" w:rsidRPr="0066730D">
        <w:rPr>
          <w:rFonts w:ascii="Arial" w:hAnsi="Arial" w:cs="Arial"/>
          <w:sz w:val="22"/>
        </w:rPr>
        <w:t xml:space="preserve"> administrativa</w:t>
      </w:r>
      <w:r w:rsidRPr="0066730D">
        <w:rPr>
          <w:rFonts w:ascii="Arial" w:hAnsi="Arial" w:cs="Arial"/>
          <w:sz w:val="22"/>
        </w:rPr>
        <w:t xml:space="preserve">. Así lo </w:t>
      </w:r>
      <w:r w:rsidR="004B0D4F" w:rsidRPr="0066730D">
        <w:rPr>
          <w:rFonts w:ascii="Arial" w:hAnsi="Arial" w:cs="Arial"/>
          <w:sz w:val="22"/>
        </w:rPr>
        <w:t>ha entendido</w:t>
      </w:r>
      <w:r w:rsidRPr="0066730D">
        <w:rPr>
          <w:rFonts w:ascii="Arial" w:hAnsi="Arial" w:cs="Arial"/>
          <w:sz w:val="22"/>
        </w:rPr>
        <w:t xml:space="preserve"> el Consejo de Estado</w:t>
      </w:r>
      <w:r w:rsidR="004B0D4F" w:rsidRPr="0066730D">
        <w:rPr>
          <w:rFonts w:ascii="Arial" w:hAnsi="Arial" w:cs="Arial"/>
          <w:sz w:val="22"/>
        </w:rPr>
        <w:t>, quien se ha pronunciado al respecto en los siguientes términos</w:t>
      </w:r>
      <w:r w:rsidRPr="0066730D">
        <w:rPr>
          <w:rFonts w:ascii="Arial" w:hAnsi="Arial" w:cs="Arial"/>
          <w:sz w:val="22"/>
        </w:rPr>
        <w:t xml:space="preserve">: </w:t>
      </w:r>
    </w:p>
    <w:p w14:paraId="4C2D2939" w14:textId="77777777" w:rsidR="003D53A2" w:rsidRPr="0066730D" w:rsidRDefault="003D53A2" w:rsidP="003D53A2">
      <w:pPr>
        <w:pStyle w:val="Sinespaciado"/>
        <w:spacing w:line="276" w:lineRule="auto"/>
        <w:jc w:val="both"/>
        <w:rPr>
          <w:rFonts w:ascii="Arial" w:hAnsi="Arial" w:cs="Arial"/>
          <w:sz w:val="22"/>
        </w:rPr>
      </w:pPr>
    </w:p>
    <w:p w14:paraId="7B934F2A" w14:textId="77777777" w:rsidR="003D53A2" w:rsidRPr="0066730D" w:rsidRDefault="003D53A2" w:rsidP="003D53A2">
      <w:pPr>
        <w:pStyle w:val="NormalWeb"/>
        <w:shd w:val="clear" w:color="auto" w:fill="FFFFFF"/>
        <w:spacing w:before="0" w:beforeAutospacing="0" w:after="120" w:afterAutospacing="0"/>
        <w:ind w:left="709" w:right="709"/>
        <w:jc w:val="both"/>
        <w:rPr>
          <w:rFonts w:ascii="Arial" w:eastAsiaTheme="minorHAnsi" w:hAnsi="Arial" w:cs="Arial"/>
          <w:sz w:val="21"/>
          <w:szCs w:val="21"/>
          <w:lang w:val="es-ES" w:eastAsia="en-US"/>
        </w:rPr>
      </w:pPr>
      <w:r w:rsidRPr="0066730D">
        <w:rPr>
          <w:rFonts w:ascii="Arial" w:eastAsiaTheme="minorHAnsi" w:hAnsi="Arial" w:cs="Arial"/>
          <w:sz w:val="21"/>
          <w:szCs w:val="21"/>
          <w:lang w:val="es-ES" w:eastAsia="en-U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5D50E7D5" w14:textId="77777777" w:rsidR="003D53A2" w:rsidRPr="0066730D" w:rsidRDefault="003D53A2" w:rsidP="003D53A2">
      <w:pPr>
        <w:pStyle w:val="NormalWeb"/>
        <w:shd w:val="clear" w:color="auto" w:fill="FFFFFF"/>
        <w:spacing w:before="0" w:beforeAutospacing="0" w:after="0" w:afterAutospacing="0"/>
        <w:ind w:left="709" w:right="709"/>
        <w:jc w:val="both"/>
        <w:rPr>
          <w:rFonts w:ascii="Arial" w:eastAsiaTheme="minorHAnsi" w:hAnsi="Arial" w:cs="Arial"/>
          <w:sz w:val="21"/>
          <w:szCs w:val="21"/>
          <w:lang w:val="es-ES" w:eastAsia="en-US"/>
        </w:rPr>
      </w:pPr>
      <w:r w:rsidRPr="0066730D">
        <w:rPr>
          <w:rFonts w:ascii="Arial" w:eastAsiaTheme="minorHAnsi" w:hAnsi="Arial" w:cs="Arial"/>
          <w:sz w:val="21"/>
          <w:szCs w:val="21"/>
          <w:lang w:val="es-ES" w:eastAsia="en-US"/>
        </w:rPr>
        <w:t xml:space="preserve">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w:t>
      </w:r>
      <w:r w:rsidRPr="0066730D">
        <w:rPr>
          <w:rFonts w:ascii="Arial" w:eastAsiaTheme="minorHAnsi" w:hAnsi="Arial" w:cs="Arial"/>
          <w:sz w:val="21"/>
          <w:szCs w:val="21"/>
          <w:lang w:val="es-ES" w:eastAsia="en-US"/>
        </w:rPr>
        <w:lastRenderedPageBreak/>
        <w:t>ese fin de interés general como regla legal prevalente, esto es que puede ser impuesta sobre el derecho individual a contratar con el Estado</w:t>
      </w:r>
      <w:r w:rsidRPr="0066730D">
        <w:rPr>
          <w:rStyle w:val="Refdenotaalpie"/>
          <w:rFonts w:ascii="Arial" w:eastAsiaTheme="minorHAnsi" w:hAnsi="Arial" w:cs="Arial"/>
          <w:sz w:val="21"/>
          <w:szCs w:val="21"/>
          <w:lang w:val="es-ES" w:eastAsia="en-US"/>
        </w:rPr>
        <w:footnoteReference w:id="10"/>
      </w:r>
      <w:r w:rsidRPr="0066730D">
        <w:rPr>
          <w:rFonts w:ascii="Arial" w:eastAsiaTheme="minorHAnsi" w:hAnsi="Arial" w:cs="Arial"/>
          <w:sz w:val="21"/>
          <w:szCs w:val="21"/>
          <w:lang w:val="es-ES" w:eastAsia="en-US"/>
        </w:rPr>
        <w:t xml:space="preserve">. </w:t>
      </w:r>
    </w:p>
    <w:p w14:paraId="03DAADAD" w14:textId="77777777" w:rsidR="003D53A2" w:rsidRPr="0066730D" w:rsidRDefault="003D53A2" w:rsidP="003D53A2">
      <w:pPr>
        <w:pStyle w:val="Sinespaciado"/>
        <w:spacing w:line="276" w:lineRule="auto"/>
        <w:jc w:val="both"/>
        <w:rPr>
          <w:rFonts w:ascii="Arial" w:hAnsi="Arial" w:cs="Arial"/>
          <w:sz w:val="22"/>
        </w:rPr>
      </w:pPr>
    </w:p>
    <w:p w14:paraId="77456A69" w14:textId="4F79E9E4" w:rsidR="003D53A2" w:rsidRPr="0066730D" w:rsidRDefault="004B0D4F" w:rsidP="00A51F52">
      <w:pPr>
        <w:pStyle w:val="Sinespaciado"/>
        <w:spacing w:line="276" w:lineRule="auto"/>
        <w:ind w:firstLine="708"/>
        <w:jc w:val="both"/>
        <w:rPr>
          <w:rFonts w:ascii="Arial" w:hAnsi="Arial" w:cs="Arial"/>
          <w:sz w:val="22"/>
        </w:rPr>
      </w:pPr>
      <w:r w:rsidRPr="0066730D">
        <w:rPr>
          <w:rFonts w:ascii="Arial" w:hAnsi="Arial" w:cs="Arial"/>
          <w:sz w:val="22"/>
        </w:rPr>
        <w:t>Se puede afirmar que</w:t>
      </w:r>
      <w:r w:rsidR="003D53A2" w:rsidRPr="0066730D">
        <w:rPr>
          <w:rFonts w:ascii="Arial" w:hAnsi="Arial" w:cs="Arial"/>
          <w:sz w:val="22"/>
        </w:rPr>
        <w:t xml:space="preserve">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14:paraId="3D10308F" w14:textId="77777777" w:rsidR="003D53A2" w:rsidRPr="0066730D" w:rsidRDefault="003D53A2" w:rsidP="003D53A2">
      <w:pPr>
        <w:rPr>
          <w:rFonts w:ascii="Arial" w:eastAsia="Times New Roman" w:hAnsi="Arial" w:cs="Arial"/>
          <w:sz w:val="22"/>
          <w:shd w:val="clear" w:color="auto" w:fill="FFFFFF"/>
          <w:lang w:val="es-CO" w:eastAsia="es-ES_tradnl"/>
        </w:rPr>
      </w:pPr>
    </w:p>
    <w:p w14:paraId="3123C5E0" w14:textId="77777777" w:rsidR="003D53A2" w:rsidRPr="0066730D" w:rsidRDefault="003D53A2" w:rsidP="003D53A2">
      <w:pPr>
        <w:spacing w:after="120"/>
        <w:ind w:left="709" w:right="709"/>
        <w:jc w:val="both"/>
        <w:rPr>
          <w:rFonts w:ascii="Arial" w:hAnsi="Arial" w:cs="Arial"/>
          <w:sz w:val="21"/>
          <w:szCs w:val="21"/>
        </w:rPr>
      </w:pPr>
      <w:r w:rsidRPr="0066730D">
        <w:rPr>
          <w:rFonts w:ascii="Arial" w:hAnsi="Arial" w:cs="Arial"/>
          <w:sz w:val="21"/>
          <w:szCs w:val="21"/>
        </w:rPr>
        <w:t>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incompatibilidades, se erige en causal de nulidad del contrato celebrado en esas condiciones (ley 80 de 1993, art. 44).</w:t>
      </w:r>
    </w:p>
    <w:p w14:paraId="446AF9BE" w14:textId="77777777" w:rsidR="003D53A2" w:rsidRPr="0066730D" w:rsidRDefault="003D53A2" w:rsidP="003D53A2">
      <w:pPr>
        <w:ind w:left="709" w:right="709"/>
        <w:jc w:val="both"/>
        <w:rPr>
          <w:rFonts w:ascii="Arial" w:hAnsi="Arial" w:cs="Arial"/>
          <w:sz w:val="21"/>
          <w:szCs w:val="21"/>
        </w:rPr>
      </w:pPr>
      <w:r w:rsidRPr="0066730D">
        <w:rPr>
          <w:rFonts w:ascii="Arial" w:hAnsi="Arial" w:cs="Arial"/>
          <w:sz w:val="21"/>
          <w:szCs w:val="21"/>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Pr="0066730D">
        <w:rPr>
          <w:rStyle w:val="Refdenotaalpie"/>
          <w:rFonts w:ascii="Arial" w:hAnsi="Arial" w:cs="Arial"/>
          <w:sz w:val="21"/>
          <w:szCs w:val="21"/>
        </w:rPr>
        <w:footnoteReference w:id="11"/>
      </w:r>
      <w:r w:rsidRPr="0066730D">
        <w:rPr>
          <w:rFonts w:ascii="Arial" w:hAnsi="Arial" w:cs="Arial"/>
          <w:sz w:val="21"/>
          <w:szCs w:val="21"/>
        </w:rPr>
        <w:t>.</w:t>
      </w:r>
    </w:p>
    <w:p w14:paraId="56FBBFEB" w14:textId="77777777" w:rsidR="003D53A2" w:rsidRPr="0066730D" w:rsidRDefault="003D53A2" w:rsidP="003D53A2">
      <w:pPr>
        <w:spacing w:line="276" w:lineRule="auto"/>
        <w:ind w:left="709" w:right="709"/>
        <w:rPr>
          <w:rFonts w:ascii="Arial" w:eastAsia="Times New Roman" w:hAnsi="Arial" w:cs="Arial"/>
          <w:sz w:val="22"/>
          <w:shd w:val="clear" w:color="auto" w:fill="FFFFFF"/>
          <w:lang w:val="es-CO" w:eastAsia="es-ES_tradnl"/>
        </w:rPr>
      </w:pPr>
    </w:p>
    <w:p w14:paraId="12FE88AB" w14:textId="581C251F" w:rsidR="003D53A2" w:rsidRPr="0066730D" w:rsidRDefault="003D53A2" w:rsidP="00A51F52">
      <w:pPr>
        <w:spacing w:line="276" w:lineRule="auto"/>
        <w:ind w:firstLine="708"/>
        <w:jc w:val="both"/>
        <w:rPr>
          <w:rFonts w:ascii="Arial" w:hAnsi="Arial" w:cs="Arial"/>
          <w:sz w:val="22"/>
        </w:rPr>
      </w:pPr>
      <w:r w:rsidRPr="0066730D">
        <w:rPr>
          <w:rFonts w:ascii="Arial" w:hAnsi="Arial" w:cs="Arial"/>
          <w:sz w:val="22"/>
        </w:rPr>
        <w:t xml:space="preserve">Además, la Corte Constitucional </w:t>
      </w:r>
      <w:r w:rsidR="004B0D4F" w:rsidRPr="0066730D">
        <w:rPr>
          <w:rFonts w:ascii="Arial" w:hAnsi="Arial" w:cs="Arial"/>
          <w:sz w:val="22"/>
        </w:rPr>
        <w:t>ha explicado</w:t>
      </w:r>
      <w:r w:rsidRPr="0066730D">
        <w:rPr>
          <w:rFonts w:ascii="Arial" w:hAnsi="Arial" w:cs="Arial"/>
          <w:sz w:val="22"/>
        </w:rPr>
        <w:t xml:space="preserve"> que el legislador tiene la competencia para determinar qué hechos o situaciones generan inhabilidad para contratar, pues este régimen es un aspecto propio del Estatuto General de Contratación </w:t>
      </w:r>
      <w:r w:rsidR="008B51E3" w:rsidRPr="0066730D">
        <w:rPr>
          <w:rFonts w:ascii="Arial" w:hAnsi="Arial" w:cs="Arial"/>
          <w:sz w:val="22"/>
        </w:rPr>
        <w:t xml:space="preserve">de la Administración </w:t>
      </w:r>
      <w:r w:rsidRPr="0066730D">
        <w:rPr>
          <w:rFonts w:ascii="Arial" w:hAnsi="Arial" w:cs="Arial"/>
          <w:sz w:val="22"/>
        </w:rPr>
        <w:t xml:space="preserve">Pública, cuya expedición compete al Congreso de la República </w:t>
      </w:r>
      <w:r w:rsidR="004B0D4F" w:rsidRPr="0066730D">
        <w:rPr>
          <w:rFonts w:ascii="Arial" w:hAnsi="Arial" w:cs="Arial"/>
          <w:sz w:val="22"/>
        </w:rPr>
        <w:t>de conformidad con</w:t>
      </w:r>
      <w:r w:rsidRPr="0066730D">
        <w:rPr>
          <w:rFonts w:ascii="Arial" w:hAnsi="Arial" w:cs="Arial"/>
          <w:sz w:val="22"/>
        </w:rPr>
        <w:t xml:space="preserve"> el artículo 150 de la Constitución Política, y que en esta materia rige el principio de legalidad:</w:t>
      </w:r>
    </w:p>
    <w:p w14:paraId="49CDC9FC" w14:textId="77777777" w:rsidR="003D53A2" w:rsidRPr="0066730D" w:rsidRDefault="003D53A2" w:rsidP="003D53A2">
      <w:pPr>
        <w:pStyle w:val="Sinespaciado"/>
        <w:tabs>
          <w:tab w:val="left" w:pos="1532"/>
        </w:tabs>
        <w:spacing w:line="276" w:lineRule="auto"/>
        <w:jc w:val="both"/>
        <w:rPr>
          <w:rFonts w:ascii="Arial" w:hAnsi="Arial" w:cs="Arial"/>
          <w:sz w:val="22"/>
        </w:rPr>
      </w:pPr>
    </w:p>
    <w:p w14:paraId="76CA956C" w14:textId="77777777" w:rsidR="003D53A2" w:rsidRPr="0066730D" w:rsidRDefault="003D53A2" w:rsidP="003D53A2">
      <w:pPr>
        <w:spacing w:after="120"/>
        <w:ind w:left="709" w:right="709"/>
        <w:jc w:val="both"/>
        <w:rPr>
          <w:rFonts w:ascii="Arial" w:hAnsi="Arial" w:cs="Arial"/>
          <w:sz w:val="21"/>
          <w:szCs w:val="21"/>
        </w:rPr>
      </w:pPr>
      <w:r w:rsidRPr="0066730D">
        <w:rPr>
          <w:rFonts w:ascii="Arial" w:hAnsi="Arial" w:cs="Arial"/>
          <w:sz w:val="21"/>
          <w:szCs w:val="21"/>
        </w:rPr>
        <w:t xml:space="preserve">Las limitaciones y restricciones que se contienen en el citado estatuto, predicables de la relación Estado-particulares y que afectan los diversos momentos de formación, celebración y ejecución de los contratos estatales, se refieren a una </w:t>
      </w:r>
      <w:r w:rsidRPr="0066730D">
        <w:rPr>
          <w:rFonts w:ascii="Arial" w:hAnsi="Arial" w:cs="Arial"/>
          <w:sz w:val="21"/>
          <w:szCs w:val="21"/>
        </w:rPr>
        <w:lastRenderedPageBreak/>
        <w:t xml:space="preserve">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w:t>
      </w:r>
      <w:proofErr w:type="spellStart"/>
      <w:r w:rsidRPr="0066730D">
        <w:rPr>
          <w:rFonts w:ascii="Arial" w:hAnsi="Arial" w:cs="Arial"/>
          <w:sz w:val="21"/>
          <w:szCs w:val="21"/>
        </w:rPr>
        <w:t>libertate</w:t>
      </w:r>
      <w:proofErr w:type="spellEnd"/>
      <w:r w:rsidRPr="0066730D">
        <w:rPr>
          <w:rFonts w:ascii="Arial" w:hAnsi="Arial" w:cs="Arial"/>
          <w:sz w:val="21"/>
          <w:szCs w:val="21"/>
        </w:rPr>
        <w:t xml:space="preserve">, sino el de legalidad, el que ordena que la función pública debe someterse estrictamente a lo que disponga la Constitución y la ley (CP art. 6). </w:t>
      </w:r>
    </w:p>
    <w:p w14:paraId="54D33802" w14:textId="77777777" w:rsidR="003D53A2" w:rsidRPr="0066730D" w:rsidRDefault="003D53A2" w:rsidP="003D53A2">
      <w:pPr>
        <w:spacing w:after="120"/>
        <w:ind w:left="709" w:right="709"/>
        <w:jc w:val="both"/>
        <w:rPr>
          <w:rFonts w:ascii="Arial" w:hAnsi="Arial" w:cs="Arial"/>
          <w:sz w:val="21"/>
          <w:szCs w:val="21"/>
        </w:rPr>
      </w:pPr>
      <w:r w:rsidRPr="0066730D">
        <w:rPr>
          <w:rFonts w:ascii="Arial" w:hAnsi="Arial" w:cs="Arial"/>
          <w:sz w:val="21"/>
          <w:szCs w:val="21"/>
        </w:rPr>
        <w:t xml:space="preserve">[…] </w:t>
      </w:r>
    </w:p>
    <w:p w14:paraId="46189498" w14:textId="77777777" w:rsidR="003D53A2" w:rsidRPr="0066730D" w:rsidRDefault="003D53A2" w:rsidP="003D53A2">
      <w:pPr>
        <w:ind w:left="709" w:right="709"/>
        <w:jc w:val="both"/>
        <w:rPr>
          <w:rFonts w:ascii="Arial" w:hAnsi="Arial" w:cs="Arial"/>
          <w:sz w:val="21"/>
          <w:szCs w:val="21"/>
        </w:rPr>
      </w:pPr>
      <w:r w:rsidRPr="0066730D">
        <w:rPr>
          <w:rFonts w:ascii="Arial" w:hAnsi="Arial" w:cs="Arial"/>
          <w:sz w:val="21"/>
          <w:szCs w:val="21"/>
        </w:rPr>
        <w:t>Se comprende con facilidad que el régimen de inhabilidades e incompatibilidades, corresponde a una materia de normal y obligada inclusión en un estatuto contractual. El legislador, a quien se ha confiado expedir el indicado estatuto, tiene, pues, competencia para establecerlo (CP art. 150)</w:t>
      </w:r>
      <w:r w:rsidRPr="0066730D">
        <w:rPr>
          <w:rStyle w:val="Refdenotaalpie"/>
          <w:rFonts w:ascii="Arial" w:hAnsi="Arial" w:cs="Arial"/>
          <w:sz w:val="21"/>
          <w:szCs w:val="21"/>
        </w:rPr>
        <w:footnoteReference w:id="12"/>
      </w:r>
      <w:r w:rsidRPr="0066730D">
        <w:rPr>
          <w:rFonts w:ascii="Arial" w:hAnsi="Arial" w:cs="Arial"/>
          <w:sz w:val="21"/>
          <w:szCs w:val="21"/>
        </w:rPr>
        <w:t>.</w:t>
      </w:r>
    </w:p>
    <w:p w14:paraId="38096C54" w14:textId="77777777" w:rsidR="003D53A2" w:rsidRPr="0066730D" w:rsidRDefault="003D53A2" w:rsidP="003D53A2">
      <w:pPr>
        <w:ind w:left="709" w:right="709"/>
        <w:rPr>
          <w:rFonts w:ascii="Arial" w:eastAsia="Times New Roman" w:hAnsi="Arial" w:cs="Arial"/>
          <w:sz w:val="22"/>
          <w:shd w:val="clear" w:color="auto" w:fill="FFFFFF"/>
          <w:lang w:val="es-CO" w:eastAsia="es-ES_tradnl"/>
        </w:rPr>
      </w:pPr>
    </w:p>
    <w:p w14:paraId="5C8D9593" w14:textId="77777777" w:rsidR="003D53A2" w:rsidRPr="0066730D" w:rsidRDefault="003D53A2" w:rsidP="00A51F52">
      <w:pPr>
        <w:spacing w:after="120" w:line="276" w:lineRule="auto"/>
        <w:ind w:firstLine="708"/>
        <w:jc w:val="both"/>
        <w:rPr>
          <w:rFonts w:ascii="Arial" w:hAnsi="Arial" w:cs="Arial"/>
          <w:sz w:val="22"/>
        </w:rPr>
      </w:pPr>
      <w:r w:rsidRPr="0066730D">
        <w:rPr>
          <w:rFonts w:ascii="Arial" w:hAnsi="Arial" w:cs="Arial"/>
          <w:sz w:val="22"/>
        </w:rPr>
        <w:t xml:space="preserve">Conviene también distinguir las fuentes de las inhabilidades, las cuales han sido clasificadas en dos (2) grupos: i) inhabilidades-sanción y </w:t>
      </w:r>
      <w:proofErr w:type="spellStart"/>
      <w:r w:rsidRPr="0066730D">
        <w:rPr>
          <w:rFonts w:ascii="Arial" w:hAnsi="Arial" w:cs="Arial"/>
          <w:sz w:val="22"/>
        </w:rPr>
        <w:t>ii</w:t>
      </w:r>
      <w:proofErr w:type="spellEnd"/>
      <w:r w:rsidRPr="0066730D">
        <w:rPr>
          <w:rFonts w:ascii="Arial" w:hAnsi="Arial" w:cs="Arial"/>
          <w:sz w:val="22"/>
        </w:rPr>
        <w:t>)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r w:rsidRPr="0066730D">
        <w:rPr>
          <w:rStyle w:val="Refdenotaalpie"/>
          <w:rFonts w:ascii="Arial" w:hAnsi="Arial" w:cs="Arial"/>
          <w:sz w:val="22"/>
        </w:rPr>
        <w:footnoteReference w:id="13"/>
      </w:r>
      <w:r w:rsidRPr="0066730D">
        <w:rPr>
          <w:rFonts w:ascii="Arial" w:hAnsi="Arial" w:cs="Arial"/>
          <w:sz w:val="22"/>
        </w:rPr>
        <w:t xml:space="preserve">. </w:t>
      </w:r>
    </w:p>
    <w:p w14:paraId="3EB0180C" w14:textId="77777777" w:rsidR="003D53A2" w:rsidRPr="0066730D" w:rsidRDefault="003D53A2" w:rsidP="003D53A2">
      <w:pPr>
        <w:spacing w:before="120" w:after="120" w:line="276" w:lineRule="auto"/>
        <w:ind w:firstLine="708"/>
        <w:jc w:val="both"/>
        <w:rPr>
          <w:rFonts w:ascii="Arial" w:hAnsi="Arial" w:cs="Arial"/>
          <w:sz w:val="22"/>
        </w:rPr>
      </w:pPr>
      <w:r w:rsidRPr="0066730D">
        <w:rPr>
          <w:rFonts w:ascii="Arial" w:hAnsi="Arial" w:cs="Arial"/>
          <w:sz w:val="22"/>
        </w:rPr>
        <w:t>A manera de ejemplo, en materia contractual, los literales c), d) y j) del numeral 1 del artículo 8 de la Ley 80 de 1993</w:t>
      </w:r>
      <w:r w:rsidRPr="0066730D">
        <w:rPr>
          <w:rFonts w:ascii="Arial" w:hAnsi="Arial" w:cs="Arial"/>
          <w:sz w:val="22"/>
          <w:vertAlign w:val="superscript"/>
        </w:rPr>
        <w:footnoteReference w:id="14"/>
      </w:r>
      <w:r w:rsidRPr="0066730D">
        <w:rPr>
          <w:rFonts w:ascii="Arial" w:hAnsi="Arial" w:cs="Arial"/>
          <w:sz w:val="22"/>
        </w:rPr>
        <w:t xml:space="preserve"> establecen inhabilidades-sanción, porque la prohibición </w:t>
      </w:r>
      <w:r w:rsidRPr="0066730D">
        <w:rPr>
          <w:rFonts w:ascii="Arial" w:hAnsi="Arial" w:cs="Arial"/>
          <w:sz w:val="22"/>
        </w:rPr>
        <w:lastRenderedPageBreak/>
        <w:t xml:space="preserve">para contratar con el Estado en esos eventos es una consecuencia de una declaratoria de responsabilidad que surge luego de un proceso sancionatorio –administrativo, disciplinario o penal–; mientras que las inhabilidades de los literales f), g) y h) del literal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w:t>
      </w:r>
    </w:p>
    <w:p w14:paraId="04975091" w14:textId="77777777" w:rsidR="003D53A2" w:rsidRPr="0066730D" w:rsidRDefault="003D53A2" w:rsidP="00BE1549">
      <w:pPr>
        <w:spacing w:before="120" w:after="120" w:line="276" w:lineRule="auto"/>
        <w:ind w:firstLine="709"/>
        <w:jc w:val="both"/>
        <w:rPr>
          <w:rFonts w:ascii="Arial" w:hAnsi="Arial" w:cs="Arial"/>
          <w:sz w:val="22"/>
        </w:rPr>
      </w:pPr>
      <w:bookmarkStart w:id="4" w:name="_Hlk40976328"/>
      <w:r w:rsidRPr="0066730D">
        <w:rPr>
          <w:rFonts w:ascii="Arial" w:hAnsi="Arial" w:cs="Arial"/>
          <w:sz w:val="22"/>
        </w:rPr>
        <w:t xml:space="preserve">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 </w:t>
      </w:r>
    </w:p>
    <w:bookmarkEnd w:id="4"/>
    <w:p w14:paraId="2EE30F1E" w14:textId="54E7A74E" w:rsidR="003D53A2" w:rsidRPr="0066730D" w:rsidRDefault="00BD73AB" w:rsidP="00BD73AB">
      <w:pPr>
        <w:spacing w:line="276" w:lineRule="auto"/>
        <w:ind w:firstLine="708"/>
        <w:jc w:val="both"/>
        <w:rPr>
          <w:rFonts w:ascii="Arial" w:eastAsia="Calibri" w:hAnsi="Arial" w:cs="Arial"/>
          <w:sz w:val="22"/>
          <w:lang w:val="es-ES_tradnl"/>
        </w:rPr>
      </w:pPr>
      <w:r w:rsidRPr="0066730D">
        <w:rPr>
          <w:rFonts w:ascii="Arial" w:eastAsia="Calibri" w:hAnsi="Arial" w:cs="Arial"/>
          <w:sz w:val="22"/>
          <w:lang w:val="es-ES_tradnl"/>
        </w:rPr>
        <w:t>Ahora bien, e</w:t>
      </w:r>
      <w:r w:rsidR="003D53A2" w:rsidRPr="0066730D">
        <w:rPr>
          <w:rFonts w:ascii="Arial" w:eastAsia="Calibri" w:hAnsi="Arial" w:cs="Arial"/>
          <w:sz w:val="22"/>
          <w:lang w:val="es-ES_tradnl"/>
        </w:rPr>
        <w:t>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57C7B495" w14:textId="641778E6" w:rsidR="003D53A2" w:rsidRPr="0066730D" w:rsidRDefault="00BE1549" w:rsidP="003D53A2">
      <w:pPr>
        <w:spacing w:before="120" w:after="120" w:line="276" w:lineRule="auto"/>
        <w:ind w:firstLine="709"/>
        <w:jc w:val="both"/>
        <w:rPr>
          <w:rFonts w:ascii="Arial" w:eastAsia="Calibri" w:hAnsi="Arial" w:cs="Arial"/>
          <w:sz w:val="22"/>
          <w:lang w:val="es-ES_tradnl"/>
        </w:rPr>
      </w:pPr>
      <w:r w:rsidRPr="0066730D">
        <w:rPr>
          <w:rFonts w:ascii="Arial" w:eastAsia="Calibri" w:hAnsi="Arial" w:cs="Arial"/>
          <w:sz w:val="22"/>
          <w:lang w:val="es-ES_tradnl"/>
        </w:rPr>
        <w:t>L</w:t>
      </w:r>
      <w:r w:rsidR="003D53A2" w:rsidRPr="0066730D">
        <w:rPr>
          <w:rFonts w:ascii="Arial" w:eastAsia="Calibri" w:hAnsi="Arial" w:cs="Arial"/>
          <w:sz w:val="22"/>
          <w:lang w:val="es-ES_tradnl"/>
        </w:rPr>
        <w:t xml:space="preserve">as inhabilidades e incompatibilidades al ser restricciones o límites especiales a la capacidad para presentar ofertas y celebrar contratos estatales, solo pueden tipificarse en la ley –o sea, deben satisfacer el principio de legalidad– y su interpretación debe ser </w:t>
      </w:r>
      <w:r w:rsidR="003D53A2" w:rsidRPr="0066730D">
        <w:rPr>
          <w:rFonts w:ascii="Arial" w:eastAsia="Calibri" w:hAnsi="Arial" w:cs="Arial"/>
          <w:i/>
          <w:iCs/>
          <w:sz w:val="22"/>
          <w:lang w:val="es-ES_tradnl"/>
        </w:rPr>
        <w:t>restrictiva</w:t>
      </w:r>
      <w:r w:rsidR="003D53A2" w:rsidRPr="0066730D">
        <w:rPr>
          <w:rFonts w:ascii="Arial" w:eastAsia="Calibri" w:hAnsi="Arial" w:cs="Arial"/>
          <w:sz w:val="22"/>
          <w:vertAlign w:val="superscript"/>
          <w:lang w:val="es-ES_tradnl"/>
        </w:rPr>
        <w:footnoteReference w:id="15"/>
      </w:r>
      <w:r w:rsidR="003D53A2" w:rsidRPr="0066730D">
        <w:rPr>
          <w:rFonts w:ascii="Arial" w:eastAsia="Calibri" w:hAnsi="Arial" w:cs="Arial"/>
          <w:sz w:val="22"/>
          <w:lang w:val="es-ES_tradnl"/>
        </w:rPr>
        <w:t xml:space="preserve">,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 Tal ha sido la postura de la jurisprudencia, tanto de la Corte Constitucional como de la Sección Tercera del Consejo de Estado. </w:t>
      </w:r>
    </w:p>
    <w:p w14:paraId="2367AB4C" w14:textId="77777777" w:rsidR="003D53A2" w:rsidRPr="0066730D" w:rsidRDefault="003D53A2" w:rsidP="003D53A2">
      <w:pPr>
        <w:spacing w:line="276" w:lineRule="auto"/>
        <w:ind w:firstLine="709"/>
        <w:jc w:val="both"/>
        <w:rPr>
          <w:rFonts w:ascii="Arial" w:eastAsia="Calibri" w:hAnsi="Arial" w:cs="Arial"/>
          <w:sz w:val="22"/>
          <w:lang w:val="es-ES_tradnl"/>
        </w:rPr>
      </w:pPr>
      <w:r w:rsidRPr="0066730D">
        <w:rPr>
          <w:rFonts w:ascii="Arial" w:eastAsia="Calibri" w:hAnsi="Arial" w:cs="Arial"/>
          <w:sz w:val="22"/>
          <w:lang w:val="es-ES_tradnl"/>
        </w:rPr>
        <w:t xml:space="preserve">En efecto, el máximo tribunal constitucional ha indicado que, al tratar de precisar el sentido de este tipo de normas, «[…] el intérprete de las disposiciones legislativas en la </w:t>
      </w:r>
      <w:r w:rsidRPr="0066730D">
        <w:rPr>
          <w:rFonts w:ascii="Arial" w:eastAsia="Calibri" w:hAnsi="Arial" w:cs="Arial"/>
          <w:sz w:val="22"/>
          <w:lang w:val="es-ES_tradnl"/>
        </w:rPr>
        <w:lastRenderedPageBreak/>
        <w:t>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66730D">
        <w:rPr>
          <w:rFonts w:ascii="Arial" w:eastAsia="Calibri" w:hAnsi="Arial" w:cs="Arial"/>
          <w:sz w:val="22"/>
          <w:vertAlign w:val="superscript"/>
          <w:lang w:val="es-ES_tradnl"/>
        </w:rPr>
        <w:footnoteReference w:id="16"/>
      </w:r>
      <w:r w:rsidRPr="0066730D">
        <w:rPr>
          <w:rFonts w:ascii="Arial" w:eastAsia="Calibri" w:hAnsi="Arial" w:cs="Arial"/>
          <w:sz w:val="22"/>
          <w:lang w:val="es-ES_tradnl"/>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66730D">
        <w:rPr>
          <w:rFonts w:ascii="Arial" w:eastAsia="Calibri" w:hAnsi="Arial" w:cs="Arial"/>
          <w:sz w:val="22"/>
          <w:vertAlign w:val="superscript"/>
          <w:lang w:val="es-ES_tradnl"/>
        </w:rPr>
        <w:footnoteReference w:id="17"/>
      </w:r>
      <w:r w:rsidRPr="0066730D">
        <w:rPr>
          <w:rFonts w:ascii="Arial" w:eastAsia="Calibri" w:hAnsi="Arial" w:cs="Arial"/>
          <w:sz w:val="22"/>
          <w:lang w:val="es-ES_tradnl"/>
        </w:rPr>
        <w:t>. En tal sentido, la Sección Tercera ha señalado que:</w:t>
      </w:r>
    </w:p>
    <w:p w14:paraId="5B233D0D" w14:textId="77777777" w:rsidR="003D53A2" w:rsidRPr="0066730D" w:rsidRDefault="003D53A2" w:rsidP="003D53A2">
      <w:pPr>
        <w:spacing w:line="276" w:lineRule="auto"/>
        <w:ind w:firstLine="709"/>
        <w:jc w:val="both"/>
        <w:rPr>
          <w:rFonts w:ascii="Arial" w:eastAsia="Calibri" w:hAnsi="Arial" w:cs="Arial"/>
          <w:sz w:val="22"/>
          <w:lang w:val="es-ES_tradnl"/>
        </w:rPr>
      </w:pPr>
    </w:p>
    <w:p w14:paraId="71EA0FA2" w14:textId="77777777" w:rsidR="003D53A2" w:rsidRPr="0066730D" w:rsidRDefault="003D53A2" w:rsidP="003D53A2">
      <w:pPr>
        <w:ind w:left="709" w:right="709"/>
        <w:jc w:val="both"/>
        <w:rPr>
          <w:rFonts w:ascii="Arial" w:hAnsi="Arial" w:cs="Arial"/>
          <w:sz w:val="21"/>
          <w:szCs w:val="21"/>
          <w:lang w:val="es-ES_tradnl"/>
        </w:rPr>
      </w:pPr>
      <w:r w:rsidRPr="0066730D">
        <w:rPr>
          <w:rFonts w:ascii="Arial" w:hAnsi="Arial" w:cs="Arial"/>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66730D">
        <w:rPr>
          <w:rFonts w:ascii="Arial" w:hAnsi="Arial" w:cs="Arial"/>
          <w:sz w:val="21"/>
          <w:szCs w:val="21"/>
          <w:vertAlign w:val="superscript"/>
          <w:lang w:val="es-ES_tradnl"/>
        </w:rPr>
        <w:footnoteReference w:id="18"/>
      </w:r>
      <w:r w:rsidRPr="0066730D">
        <w:rPr>
          <w:rFonts w:ascii="Arial" w:hAnsi="Arial" w:cs="Arial"/>
          <w:sz w:val="21"/>
          <w:szCs w:val="21"/>
          <w:lang w:val="es-ES_tradnl"/>
        </w:rPr>
        <w:t>.</w:t>
      </w:r>
    </w:p>
    <w:p w14:paraId="3B66B9FB" w14:textId="77777777" w:rsidR="003D53A2" w:rsidRPr="0066730D" w:rsidRDefault="003D53A2" w:rsidP="003D53A2">
      <w:pPr>
        <w:ind w:left="709" w:right="709"/>
        <w:jc w:val="both"/>
        <w:rPr>
          <w:rFonts w:ascii="Arial" w:eastAsia="Calibri" w:hAnsi="Arial" w:cs="Arial"/>
          <w:sz w:val="22"/>
          <w:lang w:val="es-ES_tradnl"/>
        </w:rPr>
      </w:pPr>
    </w:p>
    <w:p w14:paraId="6EF99D09" w14:textId="77777777" w:rsidR="003D53A2" w:rsidRPr="0066730D" w:rsidRDefault="003D53A2" w:rsidP="003D53A2">
      <w:pPr>
        <w:ind w:firstLine="709"/>
        <w:jc w:val="both"/>
        <w:rPr>
          <w:rFonts w:ascii="Arial" w:eastAsia="Calibri" w:hAnsi="Arial" w:cs="Arial"/>
          <w:sz w:val="22"/>
          <w:lang w:val="es-ES_tradnl"/>
        </w:rPr>
      </w:pPr>
      <w:r w:rsidRPr="0066730D">
        <w:rPr>
          <w:rFonts w:ascii="Arial" w:eastAsia="Calibri" w:hAnsi="Arial" w:cs="Arial"/>
          <w:sz w:val="22"/>
          <w:lang w:val="es-ES_tradnl"/>
        </w:rPr>
        <w:t>También ha dicho que:</w:t>
      </w:r>
    </w:p>
    <w:p w14:paraId="790A4DB7" w14:textId="77777777" w:rsidR="003D53A2" w:rsidRPr="0066730D" w:rsidRDefault="003D53A2" w:rsidP="003D53A2">
      <w:pPr>
        <w:ind w:firstLine="709"/>
        <w:jc w:val="both"/>
        <w:rPr>
          <w:rFonts w:ascii="Arial" w:eastAsia="Calibri" w:hAnsi="Arial" w:cs="Arial"/>
          <w:sz w:val="22"/>
          <w:lang w:val="es-ES_tradnl"/>
        </w:rPr>
      </w:pPr>
    </w:p>
    <w:p w14:paraId="1B54519B" w14:textId="77777777" w:rsidR="003D53A2" w:rsidRPr="0066730D" w:rsidRDefault="003D53A2" w:rsidP="003D53A2">
      <w:pPr>
        <w:ind w:left="709" w:right="709"/>
        <w:jc w:val="both"/>
        <w:rPr>
          <w:rFonts w:ascii="Arial" w:hAnsi="Arial" w:cs="Arial"/>
          <w:sz w:val="21"/>
          <w:szCs w:val="21"/>
          <w:lang w:val="es-ES_tradnl"/>
        </w:rPr>
      </w:pPr>
      <w:r w:rsidRPr="0066730D">
        <w:rPr>
          <w:rFonts w:ascii="Arial" w:hAnsi="Arial" w:cs="Arial"/>
          <w:sz w:val="21"/>
          <w:szCs w:val="21"/>
          <w:lang w:val="es-ES_tradnl"/>
        </w:rPr>
        <w:t xml:space="preserve">[…] la aplicación de estos preceptos exige una interpretación restrictiva, dado que según el principio hermenéutico </w:t>
      </w:r>
      <w:r w:rsidRPr="0066730D">
        <w:rPr>
          <w:rFonts w:ascii="Arial" w:hAnsi="Arial" w:cs="Arial"/>
          <w:i/>
          <w:iCs/>
          <w:sz w:val="21"/>
          <w:szCs w:val="21"/>
          <w:lang w:val="es-ES_tradnl"/>
        </w:rPr>
        <w:t xml:space="preserve">pro </w:t>
      </w:r>
      <w:proofErr w:type="spellStart"/>
      <w:r w:rsidRPr="0066730D">
        <w:rPr>
          <w:rFonts w:ascii="Arial" w:hAnsi="Arial" w:cs="Arial"/>
          <w:i/>
          <w:iCs/>
          <w:sz w:val="21"/>
          <w:szCs w:val="21"/>
          <w:lang w:val="es-ES_tradnl"/>
        </w:rPr>
        <w:t>libertate</w:t>
      </w:r>
      <w:proofErr w:type="spellEnd"/>
      <w:r w:rsidRPr="0066730D">
        <w:rPr>
          <w:rFonts w:ascii="Arial" w:hAnsi="Arial" w:cs="Arial"/>
          <w:sz w:val="21"/>
          <w:szCs w:val="21"/>
          <w:lang w:val="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66730D">
        <w:rPr>
          <w:rFonts w:ascii="Arial" w:hAnsi="Arial" w:cs="Arial"/>
          <w:sz w:val="21"/>
          <w:szCs w:val="21"/>
          <w:vertAlign w:val="superscript"/>
          <w:lang w:val="es-ES_tradnl"/>
        </w:rPr>
        <w:footnoteReference w:id="19"/>
      </w:r>
      <w:r w:rsidRPr="0066730D">
        <w:rPr>
          <w:rFonts w:ascii="Arial" w:hAnsi="Arial" w:cs="Arial"/>
          <w:sz w:val="21"/>
          <w:szCs w:val="21"/>
          <w:lang w:val="es-ES_tradnl"/>
        </w:rPr>
        <w:t>.</w:t>
      </w:r>
    </w:p>
    <w:p w14:paraId="0CCB5EFC" w14:textId="77777777" w:rsidR="003D53A2" w:rsidRPr="0066730D" w:rsidRDefault="003D53A2" w:rsidP="003D53A2">
      <w:pPr>
        <w:ind w:left="709" w:right="709"/>
        <w:jc w:val="both"/>
        <w:rPr>
          <w:rFonts w:ascii="Arial" w:eastAsia="Calibri" w:hAnsi="Arial" w:cs="Arial"/>
          <w:sz w:val="22"/>
          <w:lang w:val="es-ES_tradnl"/>
        </w:rPr>
      </w:pPr>
    </w:p>
    <w:p w14:paraId="4C38EB51" w14:textId="70409B10" w:rsidR="00B75B2B" w:rsidRPr="0066730D" w:rsidRDefault="003D53A2" w:rsidP="00A51F52">
      <w:pPr>
        <w:spacing w:after="120" w:line="276" w:lineRule="auto"/>
        <w:ind w:firstLine="708"/>
        <w:jc w:val="both"/>
        <w:rPr>
          <w:rFonts w:ascii="Arial" w:eastAsia="Calibri" w:hAnsi="Arial" w:cs="Arial"/>
          <w:sz w:val="22"/>
          <w:lang w:val="es-ES_tradnl"/>
        </w:rPr>
      </w:pPr>
      <w:r w:rsidRPr="0066730D">
        <w:rPr>
          <w:rFonts w:ascii="Arial" w:eastAsia="Calibri" w:hAnsi="Arial" w:cs="Arial"/>
          <w:sz w:val="22"/>
          <w:lang w:val="es-ES_tradnl"/>
        </w:rPr>
        <w:t xml:space="preserve">Como se aprecia, el principio </w:t>
      </w:r>
      <w:r w:rsidRPr="0066730D">
        <w:rPr>
          <w:rFonts w:ascii="Arial" w:eastAsia="Calibri" w:hAnsi="Arial" w:cs="Arial"/>
          <w:i/>
          <w:iCs/>
          <w:sz w:val="22"/>
          <w:lang w:val="es-ES_tradnl"/>
        </w:rPr>
        <w:t xml:space="preserve">pro </w:t>
      </w:r>
      <w:proofErr w:type="spellStart"/>
      <w:r w:rsidRPr="0066730D">
        <w:rPr>
          <w:rFonts w:ascii="Arial" w:eastAsia="Calibri" w:hAnsi="Arial" w:cs="Arial"/>
          <w:i/>
          <w:iCs/>
          <w:sz w:val="22"/>
          <w:lang w:val="es-ES_tradnl"/>
        </w:rPr>
        <w:t>libertate</w:t>
      </w:r>
      <w:proofErr w:type="spellEnd"/>
      <w:r w:rsidRPr="0066730D">
        <w:rPr>
          <w:rFonts w:ascii="Arial" w:eastAsia="Calibri" w:hAnsi="Arial" w:cs="Arial"/>
          <w:sz w:val="22"/>
          <w:lang w:val="es-ES_tradnl"/>
        </w:rPr>
        <w:t xml:space="preserve"> dirige la interpretación de las disposiciones que consagran restricciones de derechos, como sucede con las causales de inhabilidad e incompatibilidad en la contratación estatal.</w:t>
      </w:r>
    </w:p>
    <w:p w14:paraId="69FA4FB9" w14:textId="7F4AFC8C" w:rsidR="00854FC0" w:rsidRDefault="00D85262" w:rsidP="00854FC0">
      <w:pPr>
        <w:spacing w:after="120" w:line="276" w:lineRule="auto"/>
        <w:jc w:val="both"/>
        <w:rPr>
          <w:rFonts w:ascii="Arial" w:eastAsia="Calibri" w:hAnsi="Arial" w:cs="Arial"/>
          <w:sz w:val="22"/>
          <w:lang w:val="es-ES_tradnl"/>
        </w:rPr>
      </w:pPr>
      <w:r w:rsidRPr="0066730D">
        <w:rPr>
          <w:rFonts w:ascii="Arial" w:eastAsia="Calibri" w:hAnsi="Arial" w:cs="Arial"/>
          <w:sz w:val="22"/>
          <w:lang w:val="es-ES_tradnl"/>
        </w:rPr>
        <w:lastRenderedPageBreak/>
        <w:tab/>
        <w:t xml:space="preserve">Ahora bien, revisado </w:t>
      </w:r>
      <w:r w:rsidR="00854FC0" w:rsidRPr="0066730D">
        <w:rPr>
          <w:rFonts w:ascii="Arial" w:eastAsia="Calibri" w:hAnsi="Arial" w:cs="Arial"/>
          <w:sz w:val="22"/>
          <w:lang w:val="es-ES_tradnl"/>
        </w:rPr>
        <w:t>el régimen de inhabilidades e incompatibilidades no se advierte que la circunstancia relativa a ser el interventor de un contrato de obra pública ejecutado a ordenes de determinada entidad, est</w:t>
      </w:r>
      <w:r w:rsidR="00403215" w:rsidRPr="0066730D">
        <w:rPr>
          <w:rFonts w:ascii="Arial" w:eastAsia="Calibri" w:hAnsi="Arial" w:cs="Arial"/>
          <w:sz w:val="22"/>
          <w:lang w:val="es-ES_tradnl"/>
        </w:rPr>
        <w:t>é</w:t>
      </w:r>
      <w:r w:rsidR="00854FC0" w:rsidRPr="0066730D">
        <w:rPr>
          <w:rFonts w:ascii="Arial" w:eastAsia="Calibri" w:hAnsi="Arial" w:cs="Arial"/>
          <w:sz w:val="22"/>
          <w:lang w:val="es-ES_tradnl"/>
        </w:rPr>
        <w:t xml:space="preserve"> tipificada como una causal de inhabilidad o incompatibilidad que impida al interventor ser ejecutor de un contrato de obra pública adjudicado por la misma entidad contratante. </w:t>
      </w:r>
    </w:p>
    <w:p w14:paraId="6E3C5C87" w14:textId="30B9DC90" w:rsidR="002C4B31" w:rsidRPr="008416CA" w:rsidRDefault="002C4B31" w:rsidP="002C4B31">
      <w:pPr>
        <w:pStyle w:val="Textoindependiente"/>
        <w:spacing w:after="120" w:line="276" w:lineRule="auto"/>
        <w:ind w:firstLine="709"/>
        <w:jc w:val="both"/>
      </w:pPr>
      <w:r>
        <w:rPr>
          <w:rFonts w:eastAsia="Calibri"/>
          <w:lang w:val="es-ES_tradnl"/>
        </w:rPr>
        <w:t xml:space="preserve">De una parte, </w:t>
      </w:r>
      <w:r>
        <w:rPr>
          <w:lang w:val="es-ES_tradnl"/>
        </w:rPr>
        <w:t>entre</w:t>
      </w:r>
      <w:r w:rsidRPr="008416CA">
        <w:t xml:space="preserve"> las inhabilidades e incompatibilidades que señala el ordenamiento jurídico para contratar con el Estado se encuentra la prevista en el artículo 5 de la Ley 1474 de 2011, que impide celebrar contratos de interventoría a quienes hayan celebrado con la misma entidad contratos de obra pública, de concesión, suministro de medicamentos y de alimentos, </w:t>
      </w:r>
      <w:r>
        <w:t>p</w:t>
      </w:r>
      <w:r w:rsidRPr="008416CA">
        <w:t>rohibición</w:t>
      </w:r>
      <w:r>
        <w:t xml:space="preserve"> que</w:t>
      </w:r>
      <w:r w:rsidRPr="008416CA">
        <w:t xml:space="preserve"> se extiende al cónyuge, compañero o compañera permanente, pariente hasta el segundo grado de consanguinidad, segundo de afinidad y/o primero civil o sus socios en sociedades distintas de las anónimas</w:t>
      </w:r>
      <w:r w:rsidRPr="008416CA">
        <w:rPr>
          <w:spacing w:val="-12"/>
        </w:rPr>
        <w:t xml:space="preserve"> </w:t>
      </w:r>
      <w:r w:rsidRPr="008416CA">
        <w:t>abiertas</w:t>
      </w:r>
      <w:r>
        <w:rPr>
          <w:rStyle w:val="Refdenotaalpie"/>
        </w:rPr>
        <w:footnoteReference w:id="20"/>
      </w:r>
      <w:r>
        <w:t>.</w:t>
      </w:r>
    </w:p>
    <w:p w14:paraId="5F2B7352" w14:textId="5677C201" w:rsidR="002C4B31" w:rsidRDefault="002C4B31" w:rsidP="00C11A7B">
      <w:pPr>
        <w:pStyle w:val="Textoindependiente"/>
        <w:spacing w:after="120" w:line="276" w:lineRule="auto"/>
        <w:ind w:firstLine="709"/>
        <w:jc w:val="both"/>
      </w:pPr>
      <w:r>
        <w:t xml:space="preserve">No obstante, se descarta que esta </w:t>
      </w:r>
      <w:r w:rsidRPr="008416CA">
        <w:t xml:space="preserve">inhabilidad </w:t>
      </w:r>
      <w:r>
        <w:t xml:space="preserve">sea aplicable al caso en torno al que se indaga, en la medida que esta </w:t>
      </w:r>
      <w:r w:rsidRPr="008416CA">
        <w:t xml:space="preserve">se origina </w:t>
      </w:r>
      <w:r>
        <w:t>en un supuesto de hecho</w:t>
      </w:r>
      <w:r w:rsidR="00C11A7B">
        <w:t xml:space="preserve"> distinto, el cual</w:t>
      </w:r>
      <w:r>
        <w:t xml:space="preserve"> </w:t>
      </w:r>
      <w:r w:rsidR="00C11A7B">
        <w:t>exi</w:t>
      </w:r>
      <w:r>
        <w:t xml:space="preserve">ge la celebración de un </w:t>
      </w:r>
      <w:r w:rsidRPr="002C4B31">
        <w:t>contrato</w:t>
      </w:r>
      <w:r>
        <w:t xml:space="preserve"> </w:t>
      </w:r>
      <w:r w:rsidRPr="002C4B31">
        <w:t xml:space="preserve">de obra </w:t>
      </w:r>
      <w:r w:rsidR="00C11A7B" w:rsidRPr="002C4B31">
        <w:t>pública, concesión</w:t>
      </w:r>
      <w:r w:rsidRPr="002C4B31">
        <w:t xml:space="preserve">, suministro de medicamentos </w:t>
      </w:r>
      <w:r>
        <w:t>o</w:t>
      </w:r>
      <w:r w:rsidRPr="002C4B31">
        <w:t xml:space="preserve"> de alimentos</w:t>
      </w:r>
      <w:r>
        <w:t>, lo cual inhabilita al contratista para celebrar contratos de interventoría con la misma entidad.</w:t>
      </w:r>
      <w:r w:rsidRPr="008416CA">
        <w:t xml:space="preserve"> Es decir, </w:t>
      </w:r>
      <w:r>
        <w:t xml:space="preserve">acorde con lo manifestado por esta </w:t>
      </w:r>
      <w:r w:rsidR="00C11A7B">
        <w:t xml:space="preserve">Agencia en el concepto con radicado </w:t>
      </w:r>
      <w:r w:rsidR="00C11A7B" w:rsidRPr="00C11A7B">
        <w:t>2201913000008314</w:t>
      </w:r>
      <w:r w:rsidR="00C11A7B">
        <w:t xml:space="preserve"> del 7 de noviembre de 2020, </w:t>
      </w:r>
      <w:r>
        <w:t>«</w:t>
      </w:r>
      <w:r w:rsidRPr="008416CA">
        <w:t>por haber suscrito uno</w:t>
      </w:r>
      <w:r w:rsidR="008A4BBC">
        <w:t xml:space="preserve"> de</w:t>
      </w:r>
      <w:r w:rsidRPr="008416CA">
        <w:t xml:space="preserve"> estos contratos con anterioridad a la interventoría este contratista no puede suscribir contratos de interventoría con la misma entidad, sin que sea necesaria la existencia de relación entre la interventoría y los demás contratos previstos en esta</w:t>
      </w:r>
      <w:r w:rsidRPr="008416CA">
        <w:rPr>
          <w:spacing w:val="-5"/>
        </w:rPr>
        <w:t xml:space="preserve"> </w:t>
      </w:r>
      <w:r w:rsidRPr="008416CA">
        <w:t>norma</w:t>
      </w:r>
      <w:r w:rsidR="00C11A7B">
        <w:t>»</w:t>
      </w:r>
      <w:r w:rsidRPr="008416CA">
        <w:t>.</w:t>
      </w:r>
    </w:p>
    <w:p w14:paraId="62B1D45D" w14:textId="3A048991" w:rsidR="00C11A7B" w:rsidRPr="008416CA" w:rsidRDefault="00C11A7B" w:rsidP="00C11A7B">
      <w:pPr>
        <w:pStyle w:val="Textoindependiente"/>
        <w:spacing w:after="120" w:line="276" w:lineRule="auto"/>
        <w:ind w:firstLine="709"/>
        <w:jc w:val="both"/>
      </w:pPr>
      <w:r>
        <w:t>En ese orden, el supuesto de hecho establecido en el artículo 5 de la Ley 1474 de 2011, podría considera</w:t>
      </w:r>
      <w:r w:rsidR="00A64432">
        <w:t>rse</w:t>
      </w:r>
      <w:r>
        <w:t xml:space="preserve"> inverso a la situación cuestionada, en la que se pregunta por la posibilidad de quien actúa como interventor –contrato no contemplado en el puesto de hecho de la norma–, ejecute un contrato de obra pública adjudicado por la misma entidad</w:t>
      </w:r>
      <w:r w:rsidR="00A64432">
        <w:t xml:space="preserve">, razón por la que, en virtud de la interpretación restrictiva que procede respecto de la normas del régimen de inhabilidades e incompatibilidades, no resulta viable aplicar la consecuencia jurídica de la referida norma al evento señalado por el peticionario. </w:t>
      </w:r>
    </w:p>
    <w:p w14:paraId="1A260770" w14:textId="5C9F4469" w:rsidR="00854FC0" w:rsidRPr="0066730D" w:rsidRDefault="00854FC0" w:rsidP="00A8728C">
      <w:pPr>
        <w:pStyle w:val="NormalWeb"/>
        <w:spacing w:before="0" w:beforeAutospacing="0" w:after="144" w:afterAutospacing="0" w:line="276" w:lineRule="auto"/>
        <w:jc w:val="both"/>
        <w:rPr>
          <w:rFonts w:ascii="Arial" w:eastAsia="Calibri" w:hAnsi="Arial" w:cs="Arial"/>
          <w:sz w:val="22"/>
          <w:lang w:val="es-ES_tradnl"/>
        </w:rPr>
      </w:pPr>
      <w:r w:rsidRPr="0066730D">
        <w:rPr>
          <w:rFonts w:ascii="Arial" w:eastAsia="Calibri" w:hAnsi="Arial" w:cs="Arial"/>
          <w:sz w:val="22"/>
          <w:lang w:val="es-ES_tradnl"/>
        </w:rPr>
        <w:tab/>
      </w:r>
      <w:r w:rsidR="00C11A7B">
        <w:rPr>
          <w:rFonts w:ascii="Arial" w:eastAsia="Calibri" w:hAnsi="Arial" w:cs="Arial"/>
          <w:sz w:val="22"/>
          <w:lang w:val="es-ES_tradnl"/>
        </w:rPr>
        <w:t>De otro lado, s</w:t>
      </w:r>
      <w:r w:rsidRPr="0066730D">
        <w:rPr>
          <w:rFonts w:ascii="Arial" w:eastAsia="Calibri" w:hAnsi="Arial" w:cs="Arial"/>
          <w:sz w:val="22"/>
          <w:lang w:val="es-ES_tradnl"/>
        </w:rPr>
        <w:t xml:space="preserve">i bien el </w:t>
      </w:r>
      <w:r w:rsidR="00632781" w:rsidRPr="0066730D">
        <w:rPr>
          <w:rFonts w:ascii="Arial" w:eastAsia="Calibri" w:hAnsi="Arial" w:cs="Arial"/>
          <w:sz w:val="22"/>
          <w:lang w:val="es-ES_tradnl"/>
        </w:rPr>
        <w:t>literal l) del numeral 1 del artículo 8 de la Ley 80 de 1993, adicionado por el parágrafo 2 del artículo 84 de la Ley 1474 de 2011</w:t>
      </w:r>
      <w:r w:rsidRPr="0066730D">
        <w:rPr>
          <w:rFonts w:ascii="Arial" w:eastAsia="Calibri" w:hAnsi="Arial" w:cs="Arial"/>
          <w:sz w:val="22"/>
          <w:lang w:val="es-ES_tradnl"/>
        </w:rPr>
        <w:t xml:space="preserve">, se refiere a una inhabilidad </w:t>
      </w:r>
      <w:r w:rsidR="00A8728C" w:rsidRPr="0066730D">
        <w:rPr>
          <w:rFonts w:ascii="Arial" w:eastAsia="Calibri" w:hAnsi="Arial" w:cs="Arial"/>
          <w:sz w:val="22"/>
          <w:lang w:val="es-ES_tradnl"/>
        </w:rPr>
        <w:t xml:space="preserve">específicamente referida a los interventores, esta solo se configura cuando se </w:t>
      </w:r>
      <w:r w:rsidR="00A8728C" w:rsidRPr="0066730D">
        <w:rPr>
          <w:rFonts w:ascii="Arial" w:eastAsia="Calibri" w:hAnsi="Arial" w:cs="Arial"/>
          <w:sz w:val="22"/>
          <w:lang w:val="es-ES_tradnl"/>
        </w:rPr>
        <w:lastRenderedPageBreak/>
        <w:t xml:space="preserve">incumple el deber de entregar información a la entidad contratante alusiva al incumplimiento del contrato o a posibles actos de corrupción tipificados como conductas punibles. </w:t>
      </w:r>
      <w:r w:rsidR="00A8728C" w:rsidRPr="0066730D">
        <w:rPr>
          <w:rFonts w:ascii="Arial" w:eastAsia="Calibri" w:hAnsi="Arial" w:cs="Arial"/>
          <w:sz w:val="22"/>
          <w:lang w:val="es-ES_tradnl"/>
        </w:rPr>
        <w:br/>
        <w:t xml:space="preserve">La configuración de esta inhabilidad además exige que se desarrolle una actuación administrativa, en el marco de la cual se expida un acto administrativo que declare el acaecimiento de la referida circunstancia, el cual deberá adquirir firmeza para que la inhabilidad comience a surtir sus efectos por el término de cinco (5) años. </w:t>
      </w:r>
    </w:p>
    <w:p w14:paraId="4CBA98D2" w14:textId="6DCBCA75" w:rsidR="00A8728C" w:rsidRPr="0066730D" w:rsidRDefault="00A8728C" w:rsidP="00A8728C">
      <w:pPr>
        <w:pStyle w:val="NormalWeb"/>
        <w:spacing w:before="0" w:beforeAutospacing="0" w:after="144" w:afterAutospacing="0" w:line="276" w:lineRule="auto"/>
        <w:jc w:val="both"/>
        <w:rPr>
          <w:rFonts w:ascii="Arial" w:eastAsia="Calibri" w:hAnsi="Arial" w:cs="Arial"/>
          <w:sz w:val="22"/>
          <w:lang w:val="es-ES_tradnl"/>
        </w:rPr>
      </w:pPr>
      <w:r w:rsidRPr="0066730D">
        <w:rPr>
          <w:rFonts w:ascii="Arial" w:eastAsia="Calibri" w:hAnsi="Arial" w:cs="Arial"/>
          <w:sz w:val="22"/>
          <w:lang w:val="es-ES_tradnl"/>
        </w:rPr>
        <w:tab/>
        <w:t>La circunstancia relatada en la primera pregunta</w:t>
      </w:r>
      <w:r w:rsidR="00F54212" w:rsidRPr="0066730D">
        <w:rPr>
          <w:rFonts w:ascii="Arial" w:eastAsia="Calibri" w:hAnsi="Arial" w:cs="Arial"/>
          <w:sz w:val="22"/>
          <w:lang w:val="es-ES_tradnl"/>
        </w:rPr>
        <w:t xml:space="preserve"> </w:t>
      </w:r>
      <w:r w:rsidR="00C11A7B">
        <w:rPr>
          <w:rFonts w:ascii="Arial" w:eastAsia="Calibri" w:hAnsi="Arial" w:cs="Arial"/>
          <w:sz w:val="22"/>
          <w:lang w:val="es-ES_tradnl"/>
        </w:rPr>
        <w:t>tampoco</w:t>
      </w:r>
      <w:r w:rsidR="00F54212" w:rsidRPr="0066730D">
        <w:rPr>
          <w:rFonts w:ascii="Arial" w:eastAsia="Calibri" w:hAnsi="Arial" w:cs="Arial"/>
          <w:sz w:val="22"/>
          <w:lang w:val="es-ES_tradnl"/>
        </w:rPr>
        <w:t xml:space="preserve"> encaja dentro del supuesto de hecho de la inhabilidad creada por el parágrafo 2 del artículo 84 de la Ley 1474 de 2011,</w:t>
      </w:r>
      <w:r w:rsidRPr="0066730D">
        <w:rPr>
          <w:rFonts w:ascii="Arial" w:eastAsia="Calibri" w:hAnsi="Arial" w:cs="Arial"/>
          <w:sz w:val="22"/>
          <w:lang w:val="es-ES_tradnl"/>
        </w:rPr>
        <w:t xml:space="preserve"> </w:t>
      </w:r>
      <w:r w:rsidR="00F54212" w:rsidRPr="0066730D">
        <w:rPr>
          <w:rFonts w:ascii="Arial" w:eastAsia="Calibri" w:hAnsi="Arial" w:cs="Arial"/>
          <w:sz w:val="22"/>
          <w:lang w:val="es-ES_tradnl"/>
        </w:rPr>
        <w:t xml:space="preserve">ni dentro del de ninguna de las otras inhabilidades hasta ahora contempladas dentro del ordenamiento jurídico colombiano, máxime cuando en virtud el principio </w:t>
      </w:r>
      <w:r w:rsidR="00F54212" w:rsidRPr="0066730D">
        <w:rPr>
          <w:rFonts w:ascii="Arial" w:eastAsia="Calibri" w:hAnsi="Arial" w:cs="Arial"/>
          <w:i/>
          <w:iCs/>
          <w:sz w:val="22"/>
          <w:lang w:val="es-ES_tradnl"/>
        </w:rPr>
        <w:t xml:space="preserve">pro </w:t>
      </w:r>
      <w:proofErr w:type="spellStart"/>
      <w:r w:rsidR="00F54212" w:rsidRPr="0066730D">
        <w:rPr>
          <w:rFonts w:ascii="Arial" w:eastAsia="Calibri" w:hAnsi="Arial" w:cs="Arial"/>
          <w:i/>
          <w:iCs/>
          <w:sz w:val="22"/>
          <w:lang w:val="es-ES_tradnl"/>
        </w:rPr>
        <w:t>libertate</w:t>
      </w:r>
      <w:proofErr w:type="spellEnd"/>
      <w:r w:rsidR="00F54212" w:rsidRPr="0066730D">
        <w:rPr>
          <w:rFonts w:ascii="Arial" w:eastAsia="Calibri" w:hAnsi="Arial" w:cs="Arial"/>
          <w:sz w:val="22"/>
          <w:lang w:val="es-ES_tradnl"/>
        </w:rPr>
        <w:t xml:space="preserve"> que dirige la interpretación de las disposiciones del régimen de inhabilidades e incompatibilidades, no resulta valido realizar interpretaciones analógicas, extensivas o finalistas de tales disposiciones, al estar regidas por un criterio de legalidad estricta.  </w:t>
      </w:r>
    </w:p>
    <w:p w14:paraId="16424FF6" w14:textId="582FCC53" w:rsidR="00403215" w:rsidRPr="0066730D" w:rsidRDefault="00F54212" w:rsidP="00B8302B">
      <w:pPr>
        <w:pStyle w:val="NormalWeb"/>
        <w:spacing w:before="0" w:beforeAutospacing="0" w:after="144" w:afterAutospacing="0" w:line="276" w:lineRule="auto"/>
        <w:jc w:val="both"/>
        <w:rPr>
          <w:rFonts w:ascii="Arial" w:eastAsia="Calibri" w:hAnsi="Arial" w:cs="Arial"/>
          <w:sz w:val="22"/>
          <w:lang w:val="es-ES_tradnl"/>
        </w:rPr>
      </w:pPr>
      <w:r w:rsidRPr="0066730D">
        <w:rPr>
          <w:rFonts w:ascii="Arial" w:eastAsia="Calibri" w:hAnsi="Arial" w:cs="Arial"/>
          <w:sz w:val="22"/>
          <w:lang w:val="es-ES_tradnl"/>
        </w:rPr>
        <w:tab/>
        <w:t xml:space="preserve">No obstante, a pesar de que el solo hecho de ser interventor de un contrato no constituya una inhabilidad para ser contratista de obra pública ante la misma entidad respecto de la que se funge como interventor, ello no descarta la posibilidad de que en virtud de alguna otra circunstancia se incurra en </w:t>
      </w:r>
      <w:r w:rsidR="00692D98" w:rsidRPr="0066730D">
        <w:rPr>
          <w:rFonts w:ascii="Arial" w:eastAsia="Calibri" w:hAnsi="Arial" w:cs="Arial"/>
          <w:sz w:val="22"/>
          <w:lang w:val="es-ES_tradnl"/>
        </w:rPr>
        <w:t>la in</w:t>
      </w:r>
      <w:r w:rsidR="00403215" w:rsidRPr="0066730D">
        <w:rPr>
          <w:rFonts w:ascii="Arial" w:eastAsia="Calibri" w:hAnsi="Arial" w:cs="Arial"/>
          <w:sz w:val="22"/>
          <w:lang w:val="es-ES_tradnl"/>
        </w:rPr>
        <w:t xml:space="preserve">habilidad recién analizada o </w:t>
      </w:r>
      <w:r w:rsidRPr="0066730D">
        <w:rPr>
          <w:rFonts w:ascii="Arial" w:eastAsia="Calibri" w:hAnsi="Arial" w:cs="Arial"/>
          <w:sz w:val="22"/>
          <w:lang w:val="es-ES_tradnl"/>
        </w:rPr>
        <w:t xml:space="preserve">alguna. Así ocurriría, por ejemplo, en caso de que </w:t>
      </w:r>
      <w:r w:rsidR="00D46A22" w:rsidRPr="0066730D">
        <w:rPr>
          <w:rFonts w:ascii="Arial" w:eastAsia="Calibri" w:hAnsi="Arial" w:cs="Arial"/>
          <w:sz w:val="22"/>
          <w:lang w:val="es-ES_tradnl"/>
        </w:rPr>
        <w:t>en contra del</w:t>
      </w:r>
      <w:r w:rsidRPr="0066730D">
        <w:rPr>
          <w:rFonts w:ascii="Arial" w:eastAsia="Calibri" w:hAnsi="Arial" w:cs="Arial"/>
          <w:sz w:val="22"/>
          <w:lang w:val="es-ES_tradnl"/>
        </w:rPr>
        <w:t xml:space="preserve"> referido intervent</w:t>
      </w:r>
      <w:r w:rsidR="00D46A22" w:rsidRPr="0066730D">
        <w:rPr>
          <w:rFonts w:ascii="Arial" w:eastAsia="Calibri" w:hAnsi="Arial" w:cs="Arial"/>
          <w:sz w:val="22"/>
          <w:lang w:val="es-ES_tradnl"/>
        </w:rPr>
        <w:t>or pesara una declaratoria de incumplimiento dispuesta por un acto administrativo ejecutoriado, impuesta tras haberse comprobado el incumplimiento del interventor de</w:t>
      </w:r>
      <w:r w:rsidR="00C11A7B">
        <w:rPr>
          <w:rFonts w:ascii="Arial" w:eastAsia="Calibri" w:hAnsi="Arial" w:cs="Arial"/>
          <w:sz w:val="22"/>
          <w:lang w:val="es-ES_tradnl"/>
        </w:rPr>
        <w:t>l deber de</w:t>
      </w:r>
      <w:r w:rsidR="00D46A22" w:rsidRPr="0066730D">
        <w:rPr>
          <w:rFonts w:ascii="Arial" w:eastAsia="Calibri" w:hAnsi="Arial" w:cs="Arial"/>
          <w:sz w:val="22"/>
          <w:lang w:val="es-ES_tradnl"/>
        </w:rPr>
        <w:t xml:space="preserve"> suministrar información a la entidad contratante sobre actos de corrupción presentados en el marco de la labor de interventoría; tal declaratoria dentro de los cinco (5) años siguientes a su firmeza, inhabilitaría al interventor para ser contratista de obra pública en los términos del literal l) del numeral 1 del artículo 8 de la Ley 80 de 1993</w:t>
      </w:r>
      <w:r w:rsidR="00692D98" w:rsidRPr="0066730D">
        <w:rPr>
          <w:rFonts w:ascii="Arial" w:eastAsia="Calibri" w:hAnsi="Arial" w:cs="Arial"/>
          <w:sz w:val="22"/>
          <w:lang w:val="es-ES_tradnl"/>
        </w:rPr>
        <w:t>.</w:t>
      </w:r>
      <w:r w:rsidR="00403215" w:rsidRPr="0066730D">
        <w:rPr>
          <w:rFonts w:ascii="Arial" w:eastAsia="Calibri" w:hAnsi="Arial" w:cs="Arial"/>
          <w:sz w:val="22"/>
          <w:lang w:val="es-ES_tradnl"/>
        </w:rPr>
        <w:t xml:space="preserve"> </w:t>
      </w:r>
      <w:r w:rsidR="00B8302B" w:rsidRPr="0066730D">
        <w:rPr>
          <w:rFonts w:ascii="Arial" w:eastAsia="Calibri" w:hAnsi="Arial" w:cs="Arial"/>
          <w:sz w:val="22"/>
          <w:lang w:val="es-ES_tradnl"/>
        </w:rPr>
        <w:t>E</w:t>
      </w:r>
      <w:r w:rsidR="00403215" w:rsidRPr="0066730D">
        <w:rPr>
          <w:rFonts w:ascii="Arial" w:eastAsia="Calibri" w:hAnsi="Arial" w:cs="Arial"/>
          <w:sz w:val="22"/>
          <w:lang w:val="es-ES_tradnl"/>
        </w:rPr>
        <w:t xml:space="preserve">n caso de que se presente el supuesto de hecho de la referida inhabilidad respecto del contrato de interventoría, una vez se ha adjudicado al interventor un contrato de obra pública, esto es, de manera </w:t>
      </w:r>
      <w:r w:rsidR="00B8302B" w:rsidRPr="0066730D">
        <w:rPr>
          <w:rFonts w:ascii="Arial" w:eastAsia="Calibri" w:hAnsi="Arial" w:cs="Arial"/>
          <w:sz w:val="22"/>
          <w:lang w:val="es-ES_tradnl"/>
        </w:rPr>
        <w:t xml:space="preserve">sobreviniente, este no podrá ser ejecutado por </w:t>
      </w:r>
      <w:r w:rsidR="00C11A7B">
        <w:rPr>
          <w:rFonts w:ascii="Arial" w:eastAsia="Calibri" w:hAnsi="Arial" w:cs="Arial"/>
          <w:sz w:val="22"/>
          <w:lang w:val="es-ES_tradnl"/>
        </w:rPr>
        <w:t>é</w:t>
      </w:r>
      <w:r w:rsidR="00B8302B" w:rsidRPr="0066730D">
        <w:rPr>
          <w:rFonts w:ascii="Arial" w:eastAsia="Calibri" w:hAnsi="Arial" w:cs="Arial"/>
          <w:sz w:val="22"/>
          <w:lang w:val="es-ES_tradnl"/>
        </w:rPr>
        <w:t>l ya que de conformidad con el artículo 9 de la Ley 80 de 1993 le corresponde ceder el contrato</w:t>
      </w:r>
      <w:r w:rsidR="00B8302B" w:rsidRPr="0066730D">
        <w:rPr>
          <w:rStyle w:val="Refdenotaalpie"/>
          <w:rFonts w:ascii="Arial" w:eastAsia="Calibri" w:hAnsi="Arial" w:cs="Arial"/>
          <w:sz w:val="22"/>
          <w:lang w:val="es-ES_tradnl"/>
        </w:rPr>
        <w:footnoteReference w:id="21"/>
      </w:r>
      <w:r w:rsidR="00B8302B" w:rsidRPr="0066730D">
        <w:rPr>
          <w:rFonts w:ascii="Arial" w:eastAsia="Calibri" w:hAnsi="Arial" w:cs="Arial"/>
          <w:sz w:val="22"/>
          <w:lang w:val="es-ES_tradnl"/>
        </w:rPr>
        <w:t xml:space="preserve">. </w:t>
      </w:r>
    </w:p>
    <w:p w14:paraId="00FD10C8" w14:textId="77A96AC5" w:rsidR="00B8302B" w:rsidRPr="0066730D" w:rsidRDefault="00B8302B" w:rsidP="00B23B0F">
      <w:pPr>
        <w:pStyle w:val="NormalWeb"/>
        <w:spacing w:before="0" w:beforeAutospacing="0" w:after="0" w:afterAutospacing="0" w:line="276" w:lineRule="auto"/>
        <w:jc w:val="both"/>
        <w:rPr>
          <w:rFonts w:ascii="Arial" w:eastAsia="Calibri" w:hAnsi="Arial" w:cs="Arial"/>
          <w:sz w:val="22"/>
          <w:lang w:val="es-ES_tradnl"/>
        </w:rPr>
      </w:pPr>
      <w:r w:rsidRPr="0066730D">
        <w:rPr>
          <w:rFonts w:ascii="Arial" w:eastAsia="Calibri" w:hAnsi="Arial" w:cs="Arial"/>
          <w:sz w:val="22"/>
          <w:lang w:val="es-ES_tradnl"/>
        </w:rPr>
        <w:lastRenderedPageBreak/>
        <w:tab/>
        <w:t xml:space="preserve">En todo caso, se descarta que el hecho de ser interventor de un contrato de obra pública, constituya por si solo una inhabilidad o incompatibilidad que impida al interventor </w:t>
      </w:r>
      <w:r w:rsidR="00977E05">
        <w:rPr>
          <w:rFonts w:ascii="Arial" w:eastAsia="Calibri" w:hAnsi="Arial" w:cs="Arial"/>
          <w:sz w:val="22"/>
          <w:lang w:val="es-ES_tradnl"/>
        </w:rPr>
        <w:t>celebrar luego un contrato</w:t>
      </w:r>
      <w:r w:rsidRPr="0066730D">
        <w:rPr>
          <w:rFonts w:ascii="Arial" w:eastAsia="Calibri" w:hAnsi="Arial" w:cs="Arial"/>
          <w:sz w:val="22"/>
          <w:lang w:val="es-ES_tradnl"/>
        </w:rPr>
        <w:t xml:space="preserve"> de obra pública ante la misma entidad respecto de quien se realiza la interventoría. </w:t>
      </w:r>
    </w:p>
    <w:p w14:paraId="050CF9E4" w14:textId="77777777" w:rsidR="00B23B0F" w:rsidRPr="0066730D" w:rsidRDefault="00B23B0F" w:rsidP="00A51F52">
      <w:pPr>
        <w:pStyle w:val="NormalWeb"/>
        <w:spacing w:before="0" w:beforeAutospacing="0" w:after="0" w:afterAutospacing="0" w:line="276" w:lineRule="auto"/>
        <w:jc w:val="both"/>
        <w:rPr>
          <w:rFonts w:ascii="Arial" w:eastAsia="Calibri" w:hAnsi="Arial" w:cs="Arial"/>
          <w:sz w:val="22"/>
          <w:lang w:val="es-ES_tradnl"/>
        </w:rPr>
      </w:pPr>
    </w:p>
    <w:p w14:paraId="37F8FA78" w14:textId="53C3CAC5" w:rsidR="00806E01" w:rsidRPr="0066730D" w:rsidRDefault="00806E01" w:rsidP="00806E01">
      <w:pPr>
        <w:spacing w:line="276" w:lineRule="auto"/>
        <w:jc w:val="both"/>
        <w:rPr>
          <w:rFonts w:ascii="Arial" w:eastAsia="Calibri" w:hAnsi="Arial" w:cs="Arial"/>
          <w:b/>
          <w:bCs/>
          <w:sz w:val="22"/>
        </w:rPr>
      </w:pPr>
      <w:r w:rsidRPr="0066730D">
        <w:rPr>
          <w:rFonts w:ascii="Arial" w:eastAsia="Calibri" w:hAnsi="Arial" w:cs="Arial"/>
          <w:b/>
          <w:bCs/>
          <w:sz w:val="22"/>
        </w:rPr>
        <w:t>2.</w:t>
      </w:r>
      <w:r w:rsidR="00B23B0F" w:rsidRPr="0066730D">
        <w:rPr>
          <w:rFonts w:ascii="Arial" w:eastAsia="Calibri" w:hAnsi="Arial" w:cs="Arial"/>
          <w:b/>
          <w:bCs/>
          <w:sz w:val="22"/>
        </w:rPr>
        <w:t>3</w:t>
      </w:r>
      <w:r w:rsidRPr="0066730D">
        <w:rPr>
          <w:rFonts w:ascii="Arial" w:eastAsia="Calibri" w:hAnsi="Arial" w:cs="Arial"/>
          <w:b/>
          <w:bCs/>
          <w:sz w:val="22"/>
        </w:rPr>
        <w:t>. Ponderación de la oferta económica en procedimientos contractuales regidos por los Documentos Tipo</w:t>
      </w:r>
    </w:p>
    <w:p w14:paraId="65AD935A" w14:textId="77777777" w:rsidR="00806E01" w:rsidRPr="0066730D" w:rsidRDefault="00806E01" w:rsidP="00806E01">
      <w:pPr>
        <w:spacing w:line="276" w:lineRule="auto"/>
        <w:jc w:val="both"/>
        <w:rPr>
          <w:rFonts w:ascii="Arial" w:eastAsia="Calibri" w:hAnsi="Arial" w:cs="Arial"/>
          <w:b/>
          <w:bCs/>
          <w:sz w:val="22"/>
        </w:rPr>
      </w:pPr>
    </w:p>
    <w:p w14:paraId="04E41B55" w14:textId="77777777" w:rsidR="00806E01" w:rsidRPr="0066730D" w:rsidRDefault="00806E01" w:rsidP="00B23B0F">
      <w:pPr>
        <w:spacing w:before="120" w:after="120" w:line="276" w:lineRule="auto"/>
        <w:jc w:val="both"/>
        <w:rPr>
          <w:rFonts w:ascii="Arial" w:hAnsi="Arial" w:cs="Arial"/>
          <w:sz w:val="22"/>
        </w:rPr>
      </w:pPr>
      <w:r w:rsidRPr="0066730D">
        <w:rPr>
          <w:rFonts w:ascii="Arial" w:hAnsi="Arial" w:cs="Arial"/>
          <w:sz w:val="22"/>
        </w:rPr>
        <w:t xml:space="preserve">El Documento Base de los Pliegos Tipo establece la forma como se debe elegir el método para la ponderación de la oferta económica. En efecto, el numeral 4.1.4. establece: </w:t>
      </w:r>
    </w:p>
    <w:p w14:paraId="3DF9426D" w14:textId="77777777" w:rsidR="00806E01" w:rsidRPr="0066730D" w:rsidRDefault="00806E01" w:rsidP="00806E01">
      <w:pPr>
        <w:tabs>
          <w:tab w:val="left" w:pos="1860"/>
        </w:tabs>
        <w:ind w:left="709" w:right="758"/>
        <w:jc w:val="both"/>
        <w:rPr>
          <w:rFonts w:ascii="Arial" w:eastAsia="Arial,Calibri" w:hAnsi="Arial" w:cs="Arial"/>
          <w:sz w:val="21"/>
          <w:szCs w:val="21"/>
        </w:rPr>
      </w:pPr>
      <w:r w:rsidRPr="0066730D">
        <w:rPr>
          <w:rFonts w:ascii="Arial" w:hAnsi="Arial" w:cs="Arial"/>
          <w:sz w:val="21"/>
          <w:szCs w:val="21"/>
        </w:rPr>
        <w:t>Para</w:t>
      </w:r>
      <w:r w:rsidRPr="0066730D">
        <w:rPr>
          <w:rFonts w:ascii="Arial" w:eastAsia="Arial,Calibri" w:hAnsi="Arial" w:cs="Arial"/>
          <w:sz w:val="21"/>
          <w:szCs w:val="21"/>
        </w:rPr>
        <w:t xml:space="preserve"> </w:t>
      </w:r>
      <w:r w:rsidRPr="0066730D">
        <w:rPr>
          <w:rFonts w:ascii="Arial" w:hAnsi="Arial" w:cs="Arial"/>
          <w:sz w:val="21"/>
          <w:szCs w:val="21"/>
        </w:rPr>
        <w:t>determinar</w:t>
      </w:r>
      <w:r w:rsidRPr="0066730D">
        <w:rPr>
          <w:rFonts w:ascii="Arial" w:eastAsia="Arial,Calibri" w:hAnsi="Arial" w:cs="Arial"/>
          <w:sz w:val="21"/>
          <w:szCs w:val="21"/>
        </w:rPr>
        <w:t xml:space="preserve"> </w:t>
      </w:r>
      <w:r w:rsidRPr="0066730D">
        <w:rPr>
          <w:rFonts w:ascii="Arial" w:hAnsi="Arial" w:cs="Arial"/>
          <w:sz w:val="21"/>
          <w:szCs w:val="21"/>
        </w:rPr>
        <w:t>el</w:t>
      </w:r>
      <w:r w:rsidRPr="0066730D">
        <w:rPr>
          <w:rFonts w:ascii="Arial" w:eastAsia="Arial,Calibri" w:hAnsi="Arial" w:cs="Arial"/>
          <w:sz w:val="21"/>
          <w:szCs w:val="21"/>
        </w:rPr>
        <w:t xml:space="preserve"> </w:t>
      </w:r>
      <w:r w:rsidRPr="0066730D">
        <w:rPr>
          <w:rFonts w:ascii="Arial" w:hAnsi="Arial" w:cs="Arial"/>
          <w:sz w:val="21"/>
          <w:szCs w:val="21"/>
        </w:rPr>
        <w:t>método</w:t>
      </w:r>
      <w:r w:rsidRPr="0066730D">
        <w:rPr>
          <w:rFonts w:ascii="Arial" w:eastAsia="Arial,Calibri" w:hAnsi="Arial" w:cs="Arial"/>
          <w:sz w:val="21"/>
          <w:szCs w:val="21"/>
        </w:rPr>
        <w:t xml:space="preserve"> </w:t>
      </w:r>
      <w:r w:rsidRPr="0066730D">
        <w:rPr>
          <w:rFonts w:ascii="Arial" w:hAnsi="Arial" w:cs="Arial"/>
          <w:sz w:val="21"/>
          <w:szCs w:val="21"/>
        </w:rPr>
        <w:t>de</w:t>
      </w:r>
      <w:r w:rsidRPr="0066730D">
        <w:rPr>
          <w:rFonts w:ascii="Arial" w:eastAsia="Arial,Calibri" w:hAnsi="Arial" w:cs="Arial"/>
          <w:sz w:val="21"/>
          <w:szCs w:val="21"/>
        </w:rPr>
        <w:t xml:space="preserve"> </w:t>
      </w:r>
      <w:r w:rsidRPr="0066730D">
        <w:rPr>
          <w:rFonts w:ascii="Arial" w:hAnsi="Arial" w:cs="Arial"/>
          <w:sz w:val="21"/>
          <w:szCs w:val="21"/>
        </w:rPr>
        <w:t>ponderación,</w:t>
      </w:r>
      <w:r w:rsidRPr="0066730D">
        <w:rPr>
          <w:rFonts w:ascii="Arial" w:eastAsia="Arial,Calibri" w:hAnsi="Arial" w:cs="Arial"/>
          <w:sz w:val="21"/>
          <w:szCs w:val="21"/>
        </w:rPr>
        <w:t xml:space="preserve"> </w:t>
      </w:r>
      <w:r w:rsidRPr="0066730D">
        <w:rPr>
          <w:rFonts w:ascii="Arial" w:hAnsi="Arial" w:cs="Arial"/>
          <w:sz w:val="21"/>
          <w:szCs w:val="21"/>
        </w:rPr>
        <w:t>la</w:t>
      </w:r>
      <w:r w:rsidRPr="0066730D">
        <w:rPr>
          <w:rFonts w:ascii="Arial" w:eastAsia="Arial,Calibri" w:hAnsi="Arial" w:cs="Arial"/>
          <w:sz w:val="21"/>
          <w:szCs w:val="21"/>
        </w:rPr>
        <w:t xml:space="preserve"> </w:t>
      </w:r>
      <w:r w:rsidRPr="0066730D">
        <w:rPr>
          <w:rFonts w:ascii="Arial" w:hAnsi="Arial" w:cs="Arial"/>
          <w:sz w:val="21"/>
          <w:szCs w:val="21"/>
        </w:rPr>
        <w:t>Entidad</w:t>
      </w:r>
      <w:r w:rsidRPr="0066730D">
        <w:rPr>
          <w:rFonts w:ascii="Arial" w:eastAsia="Arial,Calibri" w:hAnsi="Arial" w:cs="Arial"/>
          <w:sz w:val="21"/>
          <w:szCs w:val="21"/>
        </w:rPr>
        <w:t xml:space="preserve"> </w:t>
      </w:r>
      <w:r w:rsidRPr="0066730D">
        <w:rPr>
          <w:rFonts w:ascii="Arial" w:hAnsi="Arial" w:cs="Arial"/>
          <w:sz w:val="21"/>
          <w:szCs w:val="21"/>
        </w:rPr>
        <w:t>tomará</w:t>
      </w:r>
      <w:r w:rsidRPr="0066730D">
        <w:rPr>
          <w:rFonts w:ascii="Arial" w:eastAsia="Arial,Calibri" w:hAnsi="Arial" w:cs="Arial"/>
          <w:sz w:val="21"/>
          <w:szCs w:val="21"/>
        </w:rPr>
        <w:t xml:space="preserve"> </w:t>
      </w:r>
      <w:r w:rsidRPr="0066730D">
        <w:rPr>
          <w:rFonts w:ascii="Arial" w:hAnsi="Arial" w:cs="Arial"/>
          <w:sz w:val="21"/>
          <w:szCs w:val="21"/>
        </w:rPr>
        <w:t>los centavos</w:t>
      </w:r>
      <w:r w:rsidRPr="0066730D">
        <w:rPr>
          <w:rFonts w:ascii="Arial" w:eastAsia="Arial,Calibri" w:hAnsi="Arial" w:cs="Arial"/>
          <w:sz w:val="21"/>
          <w:szCs w:val="21"/>
        </w:rPr>
        <w:t xml:space="preserve"> </w:t>
      </w:r>
      <w:r w:rsidRPr="0066730D">
        <w:rPr>
          <w:rFonts w:ascii="Arial" w:hAnsi="Arial" w:cs="Arial"/>
          <w:sz w:val="21"/>
          <w:szCs w:val="21"/>
        </w:rPr>
        <w:t>de</w:t>
      </w:r>
      <w:r w:rsidRPr="0066730D">
        <w:rPr>
          <w:rFonts w:ascii="Arial" w:eastAsia="Arial,Calibri" w:hAnsi="Arial" w:cs="Arial"/>
          <w:sz w:val="21"/>
          <w:szCs w:val="21"/>
        </w:rPr>
        <w:t xml:space="preserve"> </w:t>
      </w:r>
      <w:r w:rsidRPr="0066730D">
        <w:rPr>
          <w:rFonts w:ascii="Arial" w:hAnsi="Arial" w:cs="Arial"/>
          <w:sz w:val="21"/>
          <w:szCs w:val="21"/>
        </w:rPr>
        <w:t>la</w:t>
      </w:r>
      <w:r w:rsidRPr="0066730D">
        <w:rPr>
          <w:rFonts w:ascii="Arial" w:eastAsia="Arial,Calibri" w:hAnsi="Arial" w:cs="Arial"/>
          <w:sz w:val="21"/>
          <w:szCs w:val="21"/>
        </w:rPr>
        <w:t xml:space="preserve"> </w:t>
      </w:r>
      <w:r w:rsidRPr="0066730D">
        <w:rPr>
          <w:rFonts w:ascii="Arial" w:hAnsi="Arial" w:cs="Arial"/>
          <w:sz w:val="21"/>
          <w:szCs w:val="21"/>
        </w:rPr>
        <w:t>Tasa</w:t>
      </w:r>
      <w:r w:rsidRPr="0066730D">
        <w:rPr>
          <w:rFonts w:ascii="Arial" w:eastAsia="Arial,Calibri" w:hAnsi="Arial" w:cs="Arial"/>
          <w:sz w:val="21"/>
          <w:szCs w:val="21"/>
        </w:rPr>
        <w:t xml:space="preserve"> </w:t>
      </w:r>
      <w:r w:rsidRPr="0066730D">
        <w:rPr>
          <w:rFonts w:ascii="Arial" w:hAnsi="Arial" w:cs="Arial"/>
          <w:sz w:val="21"/>
          <w:szCs w:val="21"/>
        </w:rPr>
        <w:t>de</w:t>
      </w:r>
      <w:r w:rsidRPr="0066730D">
        <w:rPr>
          <w:rFonts w:ascii="Arial" w:eastAsia="Arial,Calibri" w:hAnsi="Arial" w:cs="Arial"/>
          <w:sz w:val="21"/>
          <w:szCs w:val="21"/>
        </w:rPr>
        <w:t xml:space="preserve"> </w:t>
      </w:r>
      <w:r w:rsidRPr="0066730D">
        <w:rPr>
          <w:rFonts w:ascii="Arial" w:hAnsi="Arial" w:cs="Arial"/>
          <w:sz w:val="21"/>
          <w:szCs w:val="21"/>
        </w:rPr>
        <w:t>Cambio</w:t>
      </w:r>
      <w:r w:rsidRPr="0066730D">
        <w:rPr>
          <w:rFonts w:ascii="Arial" w:eastAsia="Arial,Calibri" w:hAnsi="Arial" w:cs="Arial"/>
          <w:sz w:val="21"/>
          <w:szCs w:val="21"/>
        </w:rPr>
        <w:t xml:space="preserve"> </w:t>
      </w:r>
      <w:r w:rsidRPr="0066730D">
        <w:rPr>
          <w:rFonts w:ascii="Arial" w:hAnsi="Arial" w:cs="Arial"/>
          <w:sz w:val="21"/>
          <w:szCs w:val="21"/>
        </w:rPr>
        <w:t>Representativa</w:t>
      </w:r>
      <w:r w:rsidRPr="0066730D">
        <w:rPr>
          <w:rFonts w:ascii="Arial" w:eastAsia="Arial,Calibri" w:hAnsi="Arial" w:cs="Arial"/>
          <w:sz w:val="21"/>
          <w:szCs w:val="21"/>
        </w:rPr>
        <w:t xml:space="preserve"> </w:t>
      </w:r>
      <w:r w:rsidRPr="0066730D">
        <w:rPr>
          <w:rFonts w:ascii="Arial" w:hAnsi="Arial" w:cs="Arial"/>
          <w:sz w:val="21"/>
          <w:szCs w:val="21"/>
        </w:rPr>
        <w:t>del</w:t>
      </w:r>
      <w:r w:rsidRPr="0066730D">
        <w:rPr>
          <w:rFonts w:ascii="Arial" w:eastAsia="Arial,Calibri" w:hAnsi="Arial" w:cs="Arial"/>
          <w:sz w:val="21"/>
          <w:szCs w:val="21"/>
        </w:rPr>
        <w:t xml:space="preserve"> </w:t>
      </w:r>
      <w:r w:rsidRPr="0066730D">
        <w:rPr>
          <w:rFonts w:ascii="Arial" w:hAnsi="Arial" w:cs="Arial"/>
          <w:sz w:val="21"/>
          <w:szCs w:val="21"/>
        </w:rPr>
        <w:t>Mercado</w:t>
      </w:r>
      <w:r w:rsidRPr="0066730D">
        <w:rPr>
          <w:rFonts w:ascii="Arial" w:eastAsia="Arial,Calibri" w:hAnsi="Arial" w:cs="Arial"/>
          <w:sz w:val="21"/>
          <w:szCs w:val="21"/>
        </w:rPr>
        <w:t xml:space="preserve"> (</w:t>
      </w:r>
      <w:r w:rsidRPr="0066730D">
        <w:rPr>
          <w:rFonts w:ascii="Arial" w:hAnsi="Arial" w:cs="Arial"/>
          <w:sz w:val="21"/>
          <w:szCs w:val="21"/>
        </w:rPr>
        <w:t>TRM), certificada</w:t>
      </w:r>
      <w:r w:rsidRPr="0066730D">
        <w:rPr>
          <w:rFonts w:ascii="Arial" w:eastAsia="Arial,Calibri" w:hAnsi="Arial" w:cs="Arial"/>
          <w:sz w:val="21"/>
          <w:szCs w:val="21"/>
        </w:rPr>
        <w:t xml:space="preserve"> </w:t>
      </w:r>
      <w:r w:rsidRPr="0066730D">
        <w:rPr>
          <w:rFonts w:ascii="Arial" w:hAnsi="Arial" w:cs="Arial"/>
          <w:sz w:val="21"/>
          <w:szCs w:val="21"/>
        </w:rPr>
        <w:t>por</w:t>
      </w:r>
      <w:r w:rsidRPr="0066730D">
        <w:rPr>
          <w:rFonts w:ascii="Arial" w:eastAsia="Arial,Calibri" w:hAnsi="Arial" w:cs="Arial"/>
          <w:sz w:val="21"/>
          <w:szCs w:val="21"/>
        </w:rPr>
        <w:t xml:space="preserve"> </w:t>
      </w:r>
      <w:r w:rsidRPr="0066730D">
        <w:rPr>
          <w:rFonts w:ascii="Arial" w:hAnsi="Arial" w:cs="Arial"/>
          <w:sz w:val="21"/>
          <w:szCs w:val="21"/>
        </w:rPr>
        <w:t>la Superintendencia Financiera de Colombia</w:t>
      </w:r>
      <w:r w:rsidRPr="0066730D">
        <w:rPr>
          <w:rFonts w:ascii="Arial" w:eastAsia="Arial,Calibri" w:hAnsi="Arial" w:cs="Arial"/>
          <w:sz w:val="21"/>
          <w:szCs w:val="21"/>
        </w:rPr>
        <w:t xml:space="preserve"> (</w:t>
      </w:r>
      <w:r w:rsidRPr="0066730D">
        <w:rPr>
          <w:rFonts w:ascii="Arial" w:hAnsi="Arial" w:cs="Arial"/>
          <w:sz w:val="21"/>
          <w:szCs w:val="21"/>
        </w:rPr>
        <w:t>en</w:t>
      </w:r>
      <w:r w:rsidRPr="0066730D">
        <w:rPr>
          <w:rFonts w:ascii="Arial" w:eastAsia="Arial,Calibri" w:hAnsi="Arial" w:cs="Arial"/>
          <w:sz w:val="21"/>
          <w:szCs w:val="21"/>
        </w:rPr>
        <w:t xml:space="preserve"> </w:t>
      </w:r>
      <w:r w:rsidRPr="0066730D">
        <w:rPr>
          <w:rFonts w:ascii="Arial" w:hAnsi="Arial" w:cs="Arial"/>
          <w:sz w:val="21"/>
          <w:szCs w:val="21"/>
        </w:rPr>
        <w:t>su</w:t>
      </w:r>
      <w:r w:rsidRPr="0066730D">
        <w:rPr>
          <w:rFonts w:ascii="Arial" w:eastAsia="Arial,Calibri" w:hAnsi="Arial" w:cs="Arial"/>
          <w:sz w:val="21"/>
          <w:szCs w:val="21"/>
        </w:rPr>
        <w:t xml:space="preserve"> </w:t>
      </w:r>
      <w:r w:rsidRPr="0066730D">
        <w:rPr>
          <w:rFonts w:ascii="Arial" w:hAnsi="Arial" w:cs="Arial"/>
          <w:sz w:val="21"/>
          <w:szCs w:val="21"/>
        </w:rPr>
        <w:t xml:space="preserve">sitio web: </w:t>
      </w:r>
      <w:hyperlink r:id="rId11" w:history="1">
        <w:r w:rsidRPr="0066730D">
          <w:rPr>
            <w:rStyle w:val="Hipervnculo"/>
            <w:rFonts w:ascii="Arial" w:hAnsi="Arial" w:cs="Arial"/>
            <w:color w:val="auto"/>
            <w:sz w:val="21"/>
            <w:szCs w:val="21"/>
          </w:rPr>
          <w:t>https://www.superfinanciera.gov.co/publicacion/60819</w:t>
        </w:r>
      </w:hyperlink>
      <w:r w:rsidRPr="0066730D">
        <w:rPr>
          <w:rFonts w:ascii="Arial" w:eastAsia="Arial,Calibri" w:hAnsi="Arial" w:cs="Arial"/>
          <w:sz w:val="21"/>
          <w:szCs w:val="21"/>
        </w:rPr>
        <w:t>).</w:t>
      </w:r>
    </w:p>
    <w:p w14:paraId="1E76326E" w14:textId="77777777" w:rsidR="00806E01" w:rsidRPr="0066730D" w:rsidRDefault="00806E01" w:rsidP="00806E01">
      <w:pPr>
        <w:tabs>
          <w:tab w:val="left" w:pos="1860"/>
        </w:tabs>
        <w:ind w:left="709" w:right="758"/>
        <w:jc w:val="both"/>
        <w:rPr>
          <w:rFonts w:ascii="Arial" w:eastAsia="Arial,Calibri" w:hAnsi="Arial" w:cs="Arial"/>
          <w:sz w:val="21"/>
          <w:szCs w:val="21"/>
        </w:rPr>
      </w:pPr>
      <w:r w:rsidRPr="0066730D">
        <w:rPr>
          <w:rFonts w:ascii="Arial" w:eastAsia="Arial,Calibri" w:hAnsi="Arial" w:cs="Arial"/>
          <w:sz w:val="21"/>
          <w:szCs w:val="21"/>
        </w:rPr>
        <w:t>[…]</w:t>
      </w:r>
    </w:p>
    <w:p w14:paraId="37796FD7" w14:textId="77777777" w:rsidR="00806E01" w:rsidRPr="0066730D" w:rsidRDefault="00806E01" w:rsidP="00806E01">
      <w:pPr>
        <w:tabs>
          <w:tab w:val="left" w:pos="1860"/>
        </w:tabs>
        <w:ind w:left="709" w:right="758"/>
        <w:jc w:val="both"/>
        <w:rPr>
          <w:rFonts w:ascii="Arial" w:eastAsia="Arial,Calibri" w:hAnsi="Arial" w:cs="Arial"/>
          <w:sz w:val="21"/>
          <w:szCs w:val="21"/>
        </w:rPr>
      </w:pPr>
    </w:p>
    <w:p w14:paraId="48C468B1" w14:textId="77777777" w:rsidR="00806E01" w:rsidRPr="0066730D" w:rsidRDefault="00806E01" w:rsidP="00806E01">
      <w:pPr>
        <w:tabs>
          <w:tab w:val="left" w:pos="1860"/>
        </w:tabs>
        <w:ind w:left="709" w:right="758"/>
        <w:jc w:val="both"/>
        <w:rPr>
          <w:rFonts w:ascii="Arial" w:eastAsia="Arial,Calibri" w:hAnsi="Arial" w:cs="Arial"/>
          <w:sz w:val="21"/>
          <w:szCs w:val="21"/>
        </w:rPr>
      </w:pPr>
      <w:r w:rsidRPr="0066730D">
        <w:rPr>
          <w:rFonts w:ascii="Arial" w:hAnsi="Arial" w:cs="Arial"/>
          <w:sz w:val="21"/>
          <w:szCs w:val="21"/>
        </w:rPr>
        <w:t>El</w:t>
      </w:r>
      <w:r w:rsidRPr="0066730D">
        <w:rPr>
          <w:rFonts w:ascii="Arial" w:eastAsia="Arial,Calibri" w:hAnsi="Arial" w:cs="Arial"/>
          <w:sz w:val="21"/>
          <w:szCs w:val="21"/>
        </w:rPr>
        <w:t xml:space="preserve"> </w:t>
      </w:r>
      <w:r w:rsidRPr="0066730D">
        <w:rPr>
          <w:rFonts w:ascii="Arial" w:hAnsi="Arial" w:cs="Arial"/>
          <w:sz w:val="21"/>
          <w:szCs w:val="21"/>
        </w:rPr>
        <w:t>método</w:t>
      </w:r>
      <w:r w:rsidRPr="0066730D">
        <w:rPr>
          <w:rFonts w:ascii="Arial" w:eastAsia="Arial,Calibri" w:hAnsi="Arial" w:cs="Arial"/>
          <w:sz w:val="21"/>
          <w:szCs w:val="21"/>
        </w:rPr>
        <w:t xml:space="preserve"> </w:t>
      </w:r>
      <w:r w:rsidRPr="0066730D">
        <w:rPr>
          <w:rFonts w:ascii="Arial" w:hAnsi="Arial" w:cs="Arial"/>
          <w:sz w:val="21"/>
          <w:szCs w:val="21"/>
        </w:rPr>
        <w:t>de</w:t>
      </w:r>
      <w:r w:rsidRPr="0066730D">
        <w:rPr>
          <w:rFonts w:ascii="Arial" w:eastAsia="Arial,Calibri" w:hAnsi="Arial" w:cs="Arial"/>
          <w:sz w:val="21"/>
          <w:szCs w:val="21"/>
        </w:rPr>
        <w:t xml:space="preserve"> </w:t>
      </w:r>
      <w:r w:rsidRPr="0066730D">
        <w:rPr>
          <w:rFonts w:ascii="Arial" w:hAnsi="Arial" w:cs="Arial"/>
          <w:sz w:val="21"/>
          <w:szCs w:val="21"/>
        </w:rPr>
        <w:t>ponderación</w:t>
      </w:r>
      <w:r w:rsidRPr="0066730D">
        <w:rPr>
          <w:rFonts w:ascii="Arial" w:eastAsia="Arial,Calibri" w:hAnsi="Arial" w:cs="Arial"/>
          <w:sz w:val="21"/>
          <w:szCs w:val="21"/>
        </w:rPr>
        <w:t xml:space="preserve"> </w:t>
      </w:r>
      <w:r w:rsidRPr="0066730D">
        <w:rPr>
          <w:rFonts w:ascii="Arial" w:hAnsi="Arial" w:cs="Arial"/>
          <w:sz w:val="21"/>
          <w:szCs w:val="21"/>
        </w:rPr>
        <w:t>se</w:t>
      </w:r>
      <w:r w:rsidRPr="0066730D">
        <w:rPr>
          <w:rFonts w:ascii="Arial" w:eastAsia="Arial,Calibri" w:hAnsi="Arial" w:cs="Arial"/>
          <w:sz w:val="21"/>
          <w:szCs w:val="21"/>
        </w:rPr>
        <w:t xml:space="preserve"> </w:t>
      </w:r>
      <w:r w:rsidRPr="0066730D">
        <w:rPr>
          <w:rFonts w:ascii="Arial" w:hAnsi="Arial" w:cs="Arial"/>
          <w:sz w:val="21"/>
          <w:szCs w:val="21"/>
        </w:rPr>
        <w:t>determinará</w:t>
      </w:r>
      <w:r w:rsidRPr="0066730D">
        <w:rPr>
          <w:rFonts w:ascii="Arial" w:eastAsia="Arial,Calibri" w:hAnsi="Arial" w:cs="Arial"/>
          <w:sz w:val="21"/>
          <w:szCs w:val="21"/>
        </w:rPr>
        <w:t xml:space="preserve"> </w:t>
      </w:r>
      <w:r w:rsidRPr="0066730D">
        <w:rPr>
          <w:rFonts w:ascii="Arial" w:hAnsi="Arial" w:cs="Arial"/>
          <w:sz w:val="21"/>
          <w:szCs w:val="21"/>
        </w:rPr>
        <w:t>de</w:t>
      </w:r>
      <w:r w:rsidRPr="0066730D">
        <w:rPr>
          <w:rFonts w:ascii="Arial" w:eastAsia="Arial,Calibri" w:hAnsi="Arial" w:cs="Arial"/>
          <w:sz w:val="21"/>
          <w:szCs w:val="21"/>
        </w:rPr>
        <w:t xml:space="preserve"> </w:t>
      </w:r>
      <w:r w:rsidRPr="0066730D">
        <w:rPr>
          <w:rFonts w:ascii="Arial" w:hAnsi="Arial" w:cs="Arial"/>
          <w:sz w:val="21"/>
          <w:szCs w:val="21"/>
        </w:rPr>
        <w:t>acuerdo</w:t>
      </w:r>
      <w:r w:rsidRPr="0066730D">
        <w:rPr>
          <w:rFonts w:ascii="Arial" w:eastAsia="Arial,Calibri" w:hAnsi="Arial" w:cs="Arial"/>
          <w:sz w:val="21"/>
          <w:szCs w:val="21"/>
        </w:rPr>
        <w:t xml:space="preserve"> </w:t>
      </w:r>
      <w:r w:rsidRPr="0066730D">
        <w:rPr>
          <w:rFonts w:ascii="Arial" w:hAnsi="Arial" w:cs="Arial"/>
          <w:sz w:val="21"/>
          <w:szCs w:val="21"/>
        </w:rPr>
        <w:t>con</w:t>
      </w:r>
      <w:r w:rsidRPr="0066730D">
        <w:rPr>
          <w:rFonts w:ascii="Arial" w:eastAsia="Arial,Calibri" w:hAnsi="Arial" w:cs="Arial"/>
          <w:sz w:val="21"/>
          <w:szCs w:val="21"/>
        </w:rPr>
        <w:t xml:space="preserve"> </w:t>
      </w:r>
      <w:r w:rsidRPr="0066730D">
        <w:rPr>
          <w:rFonts w:ascii="Arial" w:hAnsi="Arial" w:cs="Arial"/>
          <w:sz w:val="21"/>
          <w:szCs w:val="21"/>
        </w:rPr>
        <w:t>los</w:t>
      </w:r>
      <w:r w:rsidRPr="0066730D">
        <w:rPr>
          <w:rFonts w:ascii="Arial" w:eastAsia="Arial,Calibri" w:hAnsi="Arial" w:cs="Arial"/>
          <w:sz w:val="21"/>
          <w:szCs w:val="21"/>
        </w:rPr>
        <w:t xml:space="preserve"> </w:t>
      </w:r>
      <w:r w:rsidRPr="0066730D">
        <w:rPr>
          <w:rFonts w:ascii="Arial" w:hAnsi="Arial" w:cs="Arial"/>
          <w:sz w:val="21"/>
          <w:szCs w:val="21"/>
        </w:rPr>
        <w:t>rangos</w:t>
      </w:r>
      <w:r w:rsidRPr="0066730D">
        <w:rPr>
          <w:rFonts w:ascii="Arial" w:eastAsia="Arial,Calibri" w:hAnsi="Arial" w:cs="Arial"/>
          <w:sz w:val="21"/>
          <w:szCs w:val="21"/>
        </w:rPr>
        <w:t xml:space="preserve"> </w:t>
      </w:r>
      <w:r w:rsidRPr="0066730D">
        <w:rPr>
          <w:rFonts w:ascii="Arial" w:hAnsi="Arial" w:cs="Arial"/>
          <w:sz w:val="21"/>
          <w:szCs w:val="21"/>
        </w:rPr>
        <w:t>del</w:t>
      </w:r>
      <w:r w:rsidRPr="0066730D">
        <w:rPr>
          <w:rFonts w:ascii="Arial" w:eastAsia="Arial,Calibri" w:hAnsi="Arial" w:cs="Arial"/>
          <w:sz w:val="21"/>
          <w:szCs w:val="21"/>
        </w:rPr>
        <w:t xml:space="preserve"> </w:t>
      </w:r>
      <w:r w:rsidRPr="0066730D">
        <w:rPr>
          <w:rFonts w:ascii="Arial" w:hAnsi="Arial" w:cs="Arial"/>
          <w:sz w:val="21"/>
          <w:szCs w:val="21"/>
        </w:rPr>
        <w:t>siguiente</w:t>
      </w:r>
      <w:r w:rsidRPr="0066730D">
        <w:rPr>
          <w:rFonts w:ascii="Arial" w:eastAsia="Arial,Calibri" w:hAnsi="Arial" w:cs="Arial"/>
          <w:sz w:val="21"/>
          <w:szCs w:val="21"/>
        </w:rPr>
        <w:t xml:space="preserve"> </w:t>
      </w:r>
      <w:r w:rsidRPr="0066730D">
        <w:rPr>
          <w:rFonts w:ascii="Arial" w:hAnsi="Arial" w:cs="Arial"/>
          <w:sz w:val="21"/>
          <w:szCs w:val="21"/>
        </w:rPr>
        <w:t>cuadro:</w:t>
      </w:r>
      <w:r w:rsidRPr="0066730D">
        <w:rPr>
          <w:rFonts w:ascii="Arial" w:eastAsia="Arial,Calibri" w:hAnsi="Arial" w:cs="Arial"/>
          <w:sz w:val="21"/>
          <w:szCs w:val="21"/>
        </w:rPr>
        <w:t xml:space="preserve"> </w:t>
      </w:r>
    </w:p>
    <w:p w14:paraId="31F1231F" w14:textId="77777777" w:rsidR="00806E01" w:rsidRPr="0066730D" w:rsidRDefault="00806E01" w:rsidP="00806E01">
      <w:pPr>
        <w:tabs>
          <w:tab w:val="left" w:pos="1860"/>
        </w:tabs>
        <w:ind w:left="709" w:right="758"/>
        <w:jc w:val="both"/>
        <w:rPr>
          <w:rFonts w:ascii="Arial" w:eastAsia="Arial,Calibri" w:hAnsi="Arial"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99"/>
        <w:gridCol w:w="2503"/>
      </w:tblGrid>
      <w:tr w:rsidR="00806E01" w:rsidRPr="0066730D" w14:paraId="27C4325E" w14:textId="77777777" w:rsidTr="00ED48DC">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14:paraId="0ADD276B" w14:textId="77777777" w:rsidR="00806E01" w:rsidRPr="0066730D" w:rsidRDefault="00806E01" w:rsidP="00ED48DC">
            <w:pPr>
              <w:jc w:val="center"/>
              <w:rPr>
                <w:rFonts w:ascii="Arial" w:eastAsia="Arial,Calibri" w:hAnsi="Arial" w:cs="Arial"/>
                <w:b/>
                <w:bCs/>
                <w:sz w:val="16"/>
                <w:szCs w:val="16"/>
              </w:rPr>
            </w:pPr>
            <w:r w:rsidRPr="0066730D">
              <w:rPr>
                <w:rFonts w:ascii="Arial" w:hAnsi="Arial" w:cs="Arial"/>
                <w:b/>
                <w:bCs/>
                <w:sz w:val="16"/>
                <w:szCs w:val="16"/>
              </w:rPr>
              <w:t>Rango</w:t>
            </w:r>
            <w:r w:rsidRPr="0066730D">
              <w:rPr>
                <w:rFonts w:ascii="Arial" w:eastAsia="Arial,Calibri" w:hAnsi="Arial" w:cs="Arial"/>
                <w:b/>
                <w:bCs/>
                <w:sz w:val="16"/>
                <w:szCs w:val="16"/>
              </w:rPr>
              <w:t xml:space="preserve"> </w:t>
            </w:r>
            <w:r w:rsidRPr="0066730D">
              <w:rPr>
                <w:rFonts w:ascii="Arial" w:hAnsi="Arial" w:cs="Arial"/>
                <w:b/>
                <w:bCs/>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613DEE77" w14:textId="77777777" w:rsidR="00806E01" w:rsidRPr="0066730D" w:rsidRDefault="00806E01" w:rsidP="00ED48DC">
            <w:pPr>
              <w:jc w:val="center"/>
              <w:rPr>
                <w:rFonts w:ascii="Arial" w:eastAsia="Arial,Calibri" w:hAnsi="Arial" w:cs="Arial"/>
                <w:b/>
                <w:bCs/>
                <w:sz w:val="16"/>
                <w:szCs w:val="16"/>
              </w:rPr>
            </w:pPr>
            <w:r w:rsidRPr="0066730D">
              <w:rPr>
                <w:rFonts w:ascii="Arial" w:hAnsi="Arial" w:cs="Arial"/>
                <w:b/>
                <w:bCs/>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14:paraId="1FF226B8" w14:textId="77777777" w:rsidR="00806E01" w:rsidRPr="0066730D" w:rsidRDefault="00806E01" w:rsidP="00ED48DC">
            <w:pPr>
              <w:jc w:val="center"/>
              <w:rPr>
                <w:rFonts w:ascii="Arial" w:eastAsia="Arial,Calibri" w:hAnsi="Arial" w:cs="Arial"/>
                <w:b/>
                <w:bCs/>
                <w:sz w:val="16"/>
                <w:szCs w:val="16"/>
              </w:rPr>
            </w:pPr>
            <w:r w:rsidRPr="0066730D">
              <w:rPr>
                <w:rFonts w:ascii="Arial" w:hAnsi="Arial" w:cs="Arial"/>
                <w:b/>
                <w:bCs/>
                <w:sz w:val="16"/>
                <w:szCs w:val="16"/>
              </w:rPr>
              <w:t>Método</w:t>
            </w:r>
          </w:p>
        </w:tc>
      </w:tr>
      <w:tr w:rsidR="00806E01" w:rsidRPr="0066730D" w14:paraId="40C73E9C" w14:textId="77777777" w:rsidTr="00ED48DC">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2CCD0B9A" w14:textId="77777777" w:rsidR="00806E01" w:rsidRPr="0066730D" w:rsidRDefault="00806E01" w:rsidP="00ED48DC">
            <w:pPr>
              <w:jc w:val="center"/>
              <w:rPr>
                <w:rFonts w:ascii="Arial" w:hAnsi="Arial" w:cs="Arial"/>
                <w:sz w:val="16"/>
                <w:szCs w:val="16"/>
                <w:lang w:val="es-ES" w:eastAsia="es-CO"/>
              </w:rPr>
            </w:pPr>
            <w:r w:rsidRPr="0066730D">
              <w:rPr>
                <w:rFonts w:ascii="Arial" w:hAnsi="Arial" w:cs="Arial"/>
                <w:sz w:val="16"/>
                <w:szCs w:val="16"/>
                <w:lang w:val="es-ES"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5142E969" w14:textId="77777777" w:rsidR="00806E01" w:rsidRPr="0066730D" w:rsidRDefault="00806E01" w:rsidP="00ED48DC">
            <w:pPr>
              <w:jc w:val="center"/>
              <w:rPr>
                <w:rFonts w:ascii="Arial" w:eastAsia="Arial,Times New Roman" w:hAnsi="Arial" w:cs="Arial"/>
                <w:sz w:val="16"/>
                <w:szCs w:val="16"/>
                <w:lang w:val="es-ES" w:eastAsia="es-CO"/>
              </w:rPr>
            </w:pPr>
            <w:r w:rsidRPr="0066730D">
              <w:rPr>
                <w:rFonts w:ascii="Arial" w:hAnsi="Arial" w:cs="Arial"/>
                <w:sz w:val="16"/>
                <w:szCs w:val="16"/>
                <w:lang w:val="es-ES" w:eastAsia="es-CO"/>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0F015284" w14:textId="77777777" w:rsidR="00806E01" w:rsidRPr="0066730D" w:rsidRDefault="00806E01" w:rsidP="00ED48DC">
            <w:pPr>
              <w:jc w:val="center"/>
              <w:rPr>
                <w:rFonts w:ascii="Arial" w:eastAsia="Arial,Times New Roman" w:hAnsi="Arial" w:cs="Arial"/>
                <w:sz w:val="16"/>
                <w:szCs w:val="16"/>
                <w:lang w:val="es-ES" w:eastAsia="es-CO"/>
              </w:rPr>
            </w:pPr>
            <w:r w:rsidRPr="0066730D">
              <w:rPr>
                <w:rFonts w:ascii="Arial" w:hAnsi="Arial" w:cs="Arial"/>
                <w:sz w:val="16"/>
                <w:szCs w:val="16"/>
                <w:lang w:val="es-ES" w:eastAsia="es-CO"/>
              </w:rPr>
              <w:t>Mediana con valor absoluto</w:t>
            </w:r>
          </w:p>
        </w:tc>
      </w:tr>
      <w:tr w:rsidR="00806E01" w:rsidRPr="0066730D" w14:paraId="0986B0ED" w14:textId="77777777" w:rsidTr="00ED48DC">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36B9CA67" w14:textId="77777777" w:rsidR="00806E01" w:rsidRPr="0066730D" w:rsidRDefault="00806E01" w:rsidP="00ED48DC">
            <w:pPr>
              <w:jc w:val="center"/>
              <w:rPr>
                <w:rFonts w:ascii="Arial" w:hAnsi="Arial" w:cs="Arial"/>
                <w:sz w:val="16"/>
                <w:szCs w:val="16"/>
                <w:lang w:val="es-ES" w:eastAsia="es-CO"/>
              </w:rPr>
            </w:pPr>
            <w:r w:rsidRPr="0066730D">
              <w:rPr>
                <w:rFonts w:ascii="Arial" w:hAnsi="Arial" w:cs="Arial"/>
                <w:sz w:val="16"/>
                <w:szCs w:val="16"/>
                <w:lang w:val="es-ES"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14:paraId="1096A232" w14:textId="77777777" w:rsidR="00806E01" w:rsidRPr="0066730D" w:rsidRDefault="00806E01" w:rsidP="00ED48DC">
            <w:pPr>
              <w:jc w:val="center"/>
              <w:rPr>
                <w:rFonts w:ascii="Arial" w:eastAsia="Arial,Times New Roman" w:hAnsi="Arial" w:cs="Arial"/>
                <w:sz w:val="16"/>
                <w:szCs w:val="16"/>
                <w:lang w:val="es-ES" w:eastAsia="es-CO"/>
              </w:rPr>
            </w:pPr>
            <w:r w:rsidRPr="0066730D">
              <w:rPr>
                <w:rFonts w:ascii="Arial" w:eastAsia="Arial,Times New Roman" w:hAnsi="Arial" w:cs="Arial"/>
                <w:sz w:val="16"/>
                <w:szCs w:val="16"/>
                <w:lang w:val="es-ES" w:eastAsia="es-CO"/>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7DD9044B" w14:textId="77777777" w:rsidR="00806E01" w:rsidRPr="0066730D" w:rsidRDefault="00806E01" w:rsidP="00ED48DC">
            <w:pPr>
              <w:jc w:val="center"/>
              <w:rPr>
                <w:rFonts w:ascii="Arial" w:eastAsia="Arial,Times New Roman" w:hAnsi="Arial" w:cs="Arial"/>
                <w:sz w:val="16"/>
                <w:szCs w:val="16"/>
                <w:lang w:val="es-ES" w:eastAsia="es-CO"/>
              </w:rPr>
            </w:pPr>
            <w:r w:rsidRPr="0066730D">
              <w:rPr>
                <w:rFonts w:ascii="Arial" w:hAnsi="Arial" w:cs="Arial"/>
                <w:sz w:val="16"/>
                <w:szCs w:val="16"/>
                <w:lang w:val="es-ES" w:eastAsia="es-CO"/>
              </w:rPr>
              <w:t>Media geométrica</w:t>
            </w:r>
          </w:p>
        </w:tc>
      </w:tr>
      <w:tr w:rsidR="00806E01" w:rsidRPr="0066730D" w14:paraId="1A2A8F01" w14:textId="77777777" w:rsidTr="00ED48DC">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0F3E3B5C" w14:textId="77777777" w:rsidR="00806E01" w:rsidRPr="0066730D" w:rsidRDefault="00806E01" w:rsidP="00ED48DC">
            <w:pPr>
              <w:jc w:val="center"/>
              <w:rPr>
                <w:rFonts w:ascii="Arial" w:hAnsi="Arial" w:cs="Arial"/>
                <w:sz w:val="16"/>
                <w:szCs w:val="16"/>
                <w:lang w:val="es-ES" w:eastAsia="es-CO"/>
              </w:rPr>
            </w:pPr>
            <w:r w:rsidRPr="0066730D">
              <w:rPr>
                <w:rFonts w:ascii="Arial" w:hAnsi="Arial" w:cs="Arial"/>
                <w:sz w:val="16"/>
                <w:szCs w:val="16"/>
                <w:lang w:val="es-ES"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6177E1EE" w14:textId="77777777" w:rsidR="00806E01" w:rsidRPr="0066730D" w:rsidRDefault="00806E01" w:rsidP="00ED48DC">
            <w:pPr>
              <w:jc w:val="center"/>
              <w:rPr>
                <w:rFonts w:ascii="Arial" w:hAnsi="Arial" w:cs="Arial"/>
                <w:sz w:val="16"/>
                <w:szCs w:val="16"/>
                <w:lang w:val="es-ES" w:eastAsia="es-CO"/>
              </w:rPr>
            </w:pPr>
            <w:r w:rsidRPr="0066730D">
              <w:rPr>
                <w:rFonts w:ascii="Arial" w:hAnsi="Arial" w:cs="Arial"/>
                <w:sz w:val="16"/>
                <w:szCs w:val="16"/>
                <w:lang w:val="es-ES" w:eastAsia="es-CO"/>
              </w:rPr>
              <w:t>3</w:t>
            </w:r>
          </w:p>
        </w:tc>
        <w:tc>
          <w:tcPr>
            <w:tcW w:w="2503" w:type="dxa"/>
            <w:tcBorders>
              <w:top w:val="single" w:sz="4" w:space="0" w:color="auto"/>
              <w:left w:val="single" w:sz="4" w:space="0" w:color="auto"/>
              <w:bottom w:val="single" w:sz="4" w:space="0" w:color="auto"/>
              <w:right w:val="double" w:sz="4" w:space="0" w:color="auto"/>
            </w:tcBorders>
            <w:vAlign w:val="center"/>
          </w:tcPr>
          <w:p w14:paraId="4F23596D" w14:textId="77777777" w:rsidR="00806E01" w:rsidRPr="0066730D" w:rsidRDefault="00806E01" w:rsidP="00ED48DC">
            <w:pPr>
              <w:jc w:val="center"/>
              <w:rPr>
                <w:rFonts w:ascii="Arial" w:hAnsi="Arial" w:cs="Arial"/>
                <w:sz w:val="16"/>
                <w:szCs w:val="16"/>
                <w:lang w:val="es-ES" w:eastAsia="es-CO"/>
              </w:rPr>
            </w:pPr>
            <w:r w:rsidRPr="0066730D">
              <w:rPr>
                <w:rFonts w:ascii="Arial" w:hAnsi="Arial" w:cs="Arial"/>
                <w:sz w:val="16"/>
                <w:szCs w:val="16"/>
                <w:lang w:val="es-ES" w:eastAsia="es-CO"/>
              </w:rPr>
              <w:t>Media aritmética baja</w:t>
            </w:r>
          </w:p>
        </w:tc>
      </w:tr>
      <w:tr w:rsidR="00806E01" w:rsidRPr="0066730D" w14:paraId="04EFDCE9" w14:textId="77777777" w:rsidTr="00ED48DC">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6DBCDC1F" w14:textId="77777777" w:rsidR="00806E01" w:rsidRPr="0066730D" w:rsidRDefault="00806E01" w:rsidP="00ED48DC">
            <w:pPr>
              <w:jc w:val="center"/>
              <w:rPr>
                <w:rFonts w:ascii="Arial" w:hAnsi="Arial" w:cs="Arial"/>
                <w:sz w:val="16"/>
                <w:szCs w:val="16"/>
                <w:lang w:val="es-ES" w:eastAsia="es-CO"/>
              </w:rPr>
            </w:pPr>
            <w:r w:rsidRPr="0066730D">
              <w:rPr>
                <w:rFonts w:ascii="Arial" w:hAnsi="Arial" w:cs="Arial"/>
                <w:sz w:val="16"/>
                <w:szCs w:val="16"/>
                <w:lang w:val="es-ES"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01558B66" w14:textId="77777777" w:rsidR="00806E01" w:rsidRPr="0066730D" w:rsidRDefault="00806E01" w:rsidP="00ED48DC">
            <w:pPr>
              <w:jc w:val="center"/>
              <w:rPr>
                <w:rFonts w:ascii="Arial" w:hAnsi="Arial" w:cs="Arial"/>
                <w:sz w:val="16"/>
                <w:szCs w:val="16"/>
                <w:lang w:val="es-ES" w:eastAsia="es-CO"/>
              </w:rPr>
            </w:pPr>
            <w:r w:rsidRPr="0066730D">
              <w:rPr>
                <w:rFonts w:ascii="Arial" w:hAnsi="Arial" w:cs="Arial"/>
                <w:sz w:val="16"/>
                <w:szCs w:val="16"/>
                <w:lang w:val="es-ES" w:eastAsia="es-CO"/>
              </w:rPr>
              <w:t>4</w:t>
            </w:r>
          </w:p>
        </w:tc>
        <w:tc>
          <w:tcPr>
            <w:tcW w:w="2503" w:type="dxa"/>
            <w:tcBorders>
              <w:top w:val="single" w:sz="4" w:space="0" w:color="auto"/>
              <w:left w:val="single" w:sz="4" w:space="0" w:color="auto"/>
              <w:bottom w:val="double" w:sz="4" w:space="0" w:color="auto"/>
              <w:right w:val="double" w:sz="4" w:space="0" w:color="auto"/>
            </w:tcBorders>
            <w:vAlign w:val="center"/>
          </w:tcPr>
          <w:p w14:paraId="49D17E87" w14:textId="77777777" w:rsidR="00806E01" w:rsidRPr="0066730D" w:rsidRDefault="00806E01" w:rsidP="00ED48DC">
            <w:pPr>
              <w:jc w:val="center"/>
              <w:rPr>
                <w:rFonts w:ascii="Arial" w:hAnsi="Arial" w:cs="Arial"/>
                <w:sz w:val="16"/>
                <w:szCs w:val="16"/>
                <w:lang w:val="es-ES" w:eastAsia="es-CO"/>
              </w:rPr>
            </w:pPr>
            <w:r w:rsidRPr="0066730D">
              <w:rPr>
                <w:rFonts w:ascii="Arial" w:hAnsi="Arial" w:cs="Arial"/>
                <w:sz w:val="16"/>
                <w:szCs w:val="16"/>
                <w:lang w:val="es-ES" w:eastAsia="es-CO"/>
              </w:rPr>
              <w:t>Menor valor</w:t>
            </w:r>
          </w:p>
        </w:tc>
      </w:tr>
    </w:tbl>
    <w:p w14:paraId="00FA89C0" w14:textId="77777777" w:rsidR="00806E01" w:rsidRPr="0066730D" w:rsidRDefault="00806E01" w:rsidP="00806E01">
      <w:pPr>
        <w:tabs>
          <w:tab w:val="left" w:pos="1860"/>
        </w:tabs>
        <w:ind w:left="709" w:right="758"/>
        <w:jc w:val="both"/>
        <w:rPr>
          <w:rFonts w:ascii="Arial" w:eastAsia="Calibri" w:hAnsi="Arial" w:cs="Arial"/>
          <w:sz w:val="21"/>
          <w:szCs w:val="21"/>
        </w:rPr>
      </w:pPr>
    </w:p>
    <w:p w14:paraId="26833995" w14:textId="77777777" w:rsidR="00806E01" w:rsidRPr="0066730D" w:rsidRDefault="00806E01" w:rsidP="00806E01">
      <w:pPr>
        <w:tabs>
          <w:tab w:val="left" w:pos="1860"/>
        </w:tabs>
        <w:ind w:left="709" w:right="758"/>
        <w:jc w:val="both"/>
        <w:rPr>
          <w:rFonts w:ascii="Arial" w:hAnsi="Arial" w:cs="Arial"/>
          <w:sz w:val="21"/>
          <w:szCs w:val="21"/>
        </w:rPr>
      </w:pPr>
      <w:r w:rsidRPr="0066730D">
        <w:rPr>
          <w:rFonts w:ascii="Arial" w:hAnsi="Arial" w:cs="Arial"/>
          <w:sz w:val="21"/>
          <w:szCs w:val="21"/>
        </w:rPr>
        <w:t>En todos los casos se tendrá en cuenta hasta el séptimo (7°) decimal del valor obtenido como puntaje y las fórmulas se aplicarán con las propuestas que no han sido rechazadas y se encuentran válidas.</w:t>
      </w:r>
    </w:p>
    <w:p w14:paraId="1344D0C4" w14:textId="77777777" w:rsidR="00806E01" w:rsidRPr="0066730D" w:rsidRDefault="00806E01" w:rsidP="00806E01">
      <w:pPr>
        <w:tabs>
          <w:tab w:val="left" w:pos="1860"/>
        </w:tabs>
        <w:ind w:left="709" w:right="758"/>
        <w:jc w:val="both"/>
        <w:rPr>
          <w:rFonts w:ascii="Arial" w:hAnsi="Arial" w:cs="Arial"/>
          <w:sz w:val="21"/>
          <w:szCs w:val="21"/>
        </w:rPr>
      </w:pPr>
    </w:p>
    <w:p w14:paraId="5209A0B1" w14:textId="42D56079" w:rsidR="00806E01" w:rsidRPr="0066730D" w:rsidRDefault="00806E01" w:rsidP="00FA59F7">
      <w:pPr>
        <w:spacing w:after="120" w:line="276" w:lineRule="auto"/>
        <w:jc w:val="both"/>
        <w:rPr>
          <w:rFonts w:ascii="Arial" w:hAnsi="Arial" w:cs="Arial"/>
          <w:sz w:val="22"/>
        </w:rPr>
      </w:pPr>
      <w:r w:rsidRPr="0066730D">
        <w:rPr>
          <w:rFonts w:ascii="Arial" w:hAnsi="Arial" w:cs="Arial"/>
          <w:sz w:val="22"/>
        </w:rPr>
        <w:t xml:space="preserve">Como se observa, la determinación del método para la ponderación de la oferta económica, primero, es aleatoria, tal y como lo dispone el artículo 30, parágrafo 3, inciso 3, de la Ley 80 de 1993, adicionado por el artículo 1 de la Ley 1882 de 2018; segundo, se hace de acuerdo con la tabla previamente transcrita; y, tercera, depende de los centavos de la tasa representativa del mercado. Por ejemplo, si la tasa de representativa del mercado a tener en cuenta es de 3.947,79, el método que se tiene que aplicar es el número 4, esto es, «menor valor», en el caso de la versión 2 de los Pliegos Tipo, porque los centavos de la tasa tomada </w:t>
      </w:r>
      <w:r w:rsidRPr="0066730D">
        <w:rPr>
          <w:rFonts w:ascii="Arial" w:hAnsi="Arial" w:cs="Arial"/>
          <w:sz w:val="22"/>
        </w:rPr>
        <w:lastRenderedPageBreak/>
        <w:t>como ejemplo, son setenta y nueve, esto es, 0.79 si tal cifra se determina en relación en el peso que es la unidad de referencia: setenta y nueve centavos de peso.</w:t>
      </w:r>
    </w:p>
    <w:p w14:paraId="5666924F" w14:textId="77777777" w:rsidR="00806E01" w:rsidRPr="0066730D" w:rsidRDefault="00806E01" w:rsidP="00FA59F7">
      <w:pPr>
        <w:spacing w:after="120" w:line="276" w:lineRule="auto"/>
        <w:ind w:firstLine="709"/>
        <w:jc w:val="both"/>
        <w:rPr>
          <w:rFonts w:ascii="Arial" w:hAnsi="Arial" w:cs="Arial"/>
          <w:sz w:val="22"/>
        </w:rPr>
      </w:pPr>
      <w:r w:rsidRPr="0066730D">
        <w:rPr>
          <w:rFonts w:ascii="Arial" w:hAnsi="Arial" w:cs="Arial"/>
          <w:sz w:val="22"/>
        </w:rPr>
        <w:t>Nótese que los Documentos Tipo hacen referencia a la tasa de cambio representativa del mercado −TRM</w:t>
      </w:r>
      <w:r w:rsidRPr="0066730D">
        <w:rPr>
          <w:rStyle w:val="Refdenotaalpie"/>
          <w:rFonts w:ascii="Arial" w:hAnsi="Arial" w:cs="Arial"/>
          <w:sz w:val="22"/>
        </w:rPr>
        <w:footnoteReference w:id="22"/>
      </w:r>
      <w:r w:rsidRPr="0066730D">
        <w:rPr>
          <w:rFonts w:ascii="Arial" w:hAnsi="Arial" w:cs="Arial"/>
          <w:sz w:val="22"/>
        </w:rPr>
        <w:t xml:space="preserve">−, establecida diariamente por la Superintendencia Financiera de Colombia, según lo que establece el artículo 40 de la Resolución Externa No. 1 de 2018 y la Circular Reglamentaria Externa- DODM-146, ambas expedidas por el Banco de la República. </w:t>
      </w:r>
    </w:p>
    <w:p w14:paraId="3807C75A" w14:textId="77777777" w:rsidR="00806E01" w:rsidRPr="0066730D" w:rsidRDefault="00806E01" w:rsidP="00FA59F7">
      <w:pPr>
        <w:spacing w:after="120" w:line="276" w:lineRule="auto"/>
        <w:ind w:firstLine="709"/>
        <w:jc w:val="both"/>
        <w:rPr>
          <w:rFonts w:ascii="Arial" w:hAnsi="Arial" w:cs="Arial"/>
          <w:sz w:val="22"/>
        </w:rPr>
      </w:pPr>
      <w:r w:rsidRPr="0066730D">
        <w:rPr>
          <w:rFonts w:ascii="Arial" w:hAnsi="Arial" w:cs="Arial"/>
          <w:sz w:val="22"/>
        </w:rPr>
        <w:t>Para saber cuál es la TRM que se debe tener en cuenta al determinar el método para la ponderación de la oferta económica, habida cuenta de la dificultad que  se genera por el mercado de valores abre con una TRM del día anterior, pero se cierra con una TRM que, de todos modos, regirá para el día siguiente, es necesario acudir a lo establecido en los Documentos Tipo, para lo que resulta indispensable distinguir si el proceso de contratación estatal se tramita con la versión uno o dos del Sistema Electrónica de Contratación Pública −SECOP−.</w:t>
      </w:r>
    </w:p>
    <w:p w14:paraId="1D779BB1" w14:textId="77777777" w:rsidR="00806E01" w:rsidRPr="0066730D" w:rsidRDefault="00806E01" w:rsidP="00FA59F7">
      <w:pPr>
        <w:spacing w:after="120" w:line="276" w:lineRule="auto"/>
        <w:ind w:firstLine="709"/>
        <w:jc w:val="both"/>
        <w:rPr>
          <w:rFonts w:ascii="Arial" w:eastAsia="Calibri" w:hAnsi="Arial" w:cs="Arial"/>
          <w:sz w:val="22"/>
          <w:lang w:val="es-ES"/>
        </w:rPr>
      </w:pPr>
      <w:r w:rsidRPr="0066730D">
        <w:rPr>
          <w:rFonts w:ascii="Arial" w:hAnsi="Arial" w:cs="Arial"/>
          <w:sz w:val="22"/>
        </w:rPr>
        <w:t>Sea lo primero advertir que l</w:t>
      </w:r>
      <w:r w:rsidRPr="0066730D">
        <w:rPr>
          <w:rFonts w:ascii="Arial" w:eastAsia="Calibri" w:hAnsi="Arial" w:cs="Arial"/>
          <w:sz w:val="22"/>
          <w:lang w:val="es-ES"/>
        </w:rPr>
        <w:t xml:space="preserve">a Agencia Nacional de Contratación Pública – Colombia Compra Eficiente realizó el despliegue de SECOP II a nivel territorial en el 2018 y 2019, por lo cual se expidió la Circular Externa No. 1 de 2019 sobre la obligatoriedad del uso del SECOP II en el 2020, que dispone: «A partir del 1 de enero de 2020, todos los procesos de contratación de las entidades relacionadas en el Anexo 1 de esta circular deberán gestionarse, exclusivamente, en el SECOP ll. La medida aplica para los procesos de contratación que se inicien a partir del 1 de enero de 2020. </w:t>
      </w:r>
    </w:p>
    <w:p w14:paraId="635D3EE8" w14:textId="77777777" w:rsidR="00FA59F7" w:rsidRPr="00217435" w:rsidRDefault="00806E01" w:rsidP="00FA59F7">
      <w:pPr>
        <w:spacing w:before="120" w:after="120" w:line="276" w:lineRule="auto"/>
        <w:ind w:firstLine="708"/>
        <w:jc w:val="both"/>
        <w:rPr>
          <w:rFonts w:ascii="Arial" w:eastAsia="Calibri" w:hAnsi="Arial" w:cs="Arial"/>
          <w:sz w:val="22"/>
          <w:lang w:val="es-ES"/>
        </w:rPr>
      </w:pPr>
      <w:r w:rsidRPr="0066730D">
        <w:rPr>
          <w:rFonts w:ascii="Arial" w:eastAsia="Calibri" w:hAnsi="Arial" w:cs="Arial"/>
          <w:sz w:val="22"/>
          <w:lang w:val="es-ES"/>
        </w:rPr>
        <w:t xml:space="preserve">Este plazo fue prorrogado por la Agencia Nacional de Contratación Pública – Colombia Compra Eficiente, mediante la Circular Externa No. 2 de 2019, a través de la cual se amplió «la entrada en vigencia de la obligatoriedad del SECOP ll. En consecuencia, las alcaldías capitales de departamento (Administración central) y los departamentos (Administración central) gestionarán todos sus procesos de contratación, exclusivamente en el SECOP ll, a partir del 1 de abril de 2020». </w:t>
      </w:r>
    </w:p>
    <w:p w14:paraId="748B5A16" w14:textId="77777777" w:rsidR="00FA59F7" w:rsidRPr="00217435" w:rsidRDefault="00FA59F7" w:rsidP="00FA59F7">
      <w:pPr>
        <w:spacing w:before="120" w:after="120" w:line="276" w:lineRule="auto"/>
        <w:ind w:firstLine="708"/>
        <w:jc w:val="both"/>
        <w:rPr>
          <w:rFonts w:ascii="Arial" w:eastAsia="Calibri" w:hAnsi="Arial" w:cs="Arial"/>
          <w:sz w:val="22"/>
          <w:lang w:val="es-ES"/>
        </w:rPr>
      </w:pPr>
      <w:r w:rsidRPr="00217435">
        <w:rPr>
          <w:rFonts w:ascii="Arial" w:eastAsia="Calibri" w:hAnsi="Arial" w:cs="Arial"/>
          <w:sz w:val="22"/>
          <w:lang w:val="es-ES"/>
        </w:rPr>
        <w:t xml:space="preserve">Con todo, de acuerdo con lo que se dispuso en la Circular Externa No. 3 de 2020, existen dos grupos de entidades que se excluyeron de dicho plazo. Por un lado, la Gobernación del Chocó, la Gobernación del Archipiélago de San Andrés, Providencia y Santa Catalina, la Alcaldía de Quibdó, la Gobernación del Cauca y la Alcaldía de Popayán y, por el otro, la Gobernación de Guainía, la Alcaldía de Inírida, la Gobernación del Amazonas, la Alcaldía de Leticia, la Gobernación del Vichada, la Alcaldía de Puerto Carreño, la Gobernación del Guaviare, la Alcaldía de San José del Guaviare, la Gobernación de </w:t>
      </w:r>
      <w:r w:rsidRPr="00217435">
        <w:rPr>
          <w:rFonts w:ascii="Arial" w:eastAsia="Calibri" w:hAnsi="Arial" w:cs="Arial"/>
          <w:sz w:val="22"/>
          <w:lang w:val="es-ES"/>
        </w:rPr>
        <w:lastRenderedPageBreak/>
        <w:t>Vaupés y la Alcaldía de Mitú. Los primeros, porque a la fecha de expedición de la Circular Externa No. 3 no alcanzaron a capacitarse en el uso de la plataforma SECOP II, por lo que se prorrogó el plazo para que se capacitaran en dos meses, correspondiéndoles gestionar sus procesos en SECOP II a partir del 1 de junio de 2020. Los segundos tienen en común un contexto de conectividad en el que «las velocidades de carga son insuficientes para operar la plataforma en [sus] territorios», esto es, problemas de capacidad técnica de las redes, razón por la que se le permitió seguir gestionando sus procesos en medio físico, pero cumpliendo con el deber de publicidad a través de SECOP I.</w:t>
      </w:r>
    </w:p>
    <w:p w14:paraId="63C742F7" w14:textId="77777777" w:rsidR="00806E01" w:rsidRPr="0066730D" w:rsidRDefault="00806E01" w:rsidP="00FA59F7">
      <w:pPr>
        <w:spacing w:after="120" w:line="276" w:lineRule="auto"/>
        <w:ind w:firstLine="709"/>
        <w:jc w:val="both"/>
        <w:rPr>
          <w:rFonts w:ascii="Arial" w:eastAsia="Calibri" w:hAnsi="Arial" w:cs="Arial"/>
          <w:sz w:val="22"/>
          <w:lang w:val="es-ES"/>
        </w:rPr>
      </w:pPr>
      <w:r w:rsidRPr="0066730D">
        <w:rPr>
          <w:rFonts w:ascii="Arial" w:eastAsia="Calibri" w:hAnsi="Arial" w:cs="Arial"/>
          <w:sz w:val="22"/>
          <w:lang w:val="es-ES"/>
        </w:rPr>
        <w:t>Los primeros, porque no alcanzaron a ser capacitados en el uso de la plataforma SECOP II, habida cuenta que los programas de formación a cargo de esta entidad se suspendieron por la emergencia en salud pública ocasionada por el Coronavirus - COVID 19. Los segundos, debido a que «las velocidades de carga son insuficientes para operar la plataforma en [sus] territorios», esto es, por problemas de capacidad técnica de las redes.</w:t>
      </w:r>
    </w:p>
    <w:p w14:paraId="6E60FB75" w14:textId="77777777" w:rsidR="00806E01" w:rsidRPr="0066730D" w:rsidRDefault="00806E01" w:rsidP="00FA59F7">
      <w:pPr>
        <w:spacing w:after="120" w:line="276" w:lineRule="auto"/>
        <w:ind w:firstLine="709"/>
        <w:jc w:val="both"/>
        <w:rPr>
          <w:rFonts w:ascii="Arial" w:hAnsi="Arial" w:cs="Arial"/>
          <w:sz w:val="22"/>
        </w:rPr>
      </w:pPr>
      <w:r w:rsidRPr="0066730D">
        <w:rPr>
          <w:rFonts w:ascii="Arial" w:hAnsi="Arial" w:cs="Arial"/>
          <w:sz w:val="22"/>
        </w:rPr>
        <w:t>Ahora bien, si la entidad contratante está obligada a llevar el proceso de contratación en la plataforma SECOP II, la TRM que se debe tener en cuenta para la determinación del método de ponderación de la oferta económica, es la que rija para el día en el que abre el segundo sobre −que contiene la oferta económica−. Pero si la entidad no está obligada a utilizar dicha plataforma y, por ende, el proceso contractual se adelanta haciendo uso del SECOP I, la TRM es la que rija el día hábil siguiente a aquel en el que abre el segundo sobre. En efecto, en el numeral 4.1.4. del Documento Base se observa lo siguiente:</w:t>
      </w:r>
    </w:p>
    <w:p w14:paraId="199BAFC4" w14:textId="77777777" w:rsidR="00806E01" w:rsidRPr="0066730D" w:rsidRDefault="00806E01" w:rsidP="00806E01">
      <w:pPr>
        <w:ind w:left="709" w:right="760"/>
        <w:jc w:val="both"/>
        <w:rPr>
          <w:rFonts w:ascii="Arial" w:hAnsi="Arial" w:cs="Arial"/>
          <w:sz w:val="21"/>
          <w:szCs w:val="21"/>
        </w:rPr>
      </w:pPr>
      <w:r w:rsidRPr="0066730D">
        <w:rPr>
          <w:rFonts w:ascii="Arial" w:hAnsi="Arial" w:cs="Arial"/>
          <w:sz w:val="21"/>
          <w:szCs w:val="21"/>
        </w:rPr>
        <w:t>[En caso de que el Proceso de Contratación se adelante a través del SECOP I deberá incluirse lo siguiente:]</w:t>
      </w:r>
    </w:p>
    <w:p w14:paraId="04B2BA37" w14:textId="77777777" w:rsidR="00806E01" w:rsidRPr="0066730D" w:rsidRDefault="00806E01" w:rsidP="00806E01">
      <w:pPr>
        <w:tabs>
          <w:tab w:val="left" w:pos="1860"/>
        </w:tabs>
        <w:ind w:left="709" w:right="760"/>
        <w:jc w:val="both"/>
        <w:rPr>
          <w:rFonts w:ascii="Arial" w:hAnsi="Arial" w:cs="Arial"/>
          <w:sz w:val="21"/>
          <w:szCs w:val="21"/>
        </w:rPr>
      </w:pPr>
      <w:r w:rsidRPr="0066730D">
        <w:rPr>
          <w:rFonts w:ascii="Arial" w:hAnsi="Arial" w:cs="Arial"/>
          <w:sz w:val="21"/>
          <w:szCs w:val="21"/>
        </w:rPr>
        <w:t>[…]</w:t>
      </w:r>
    </w:p>
    <w:p w14:paraId="579E7272" w14:textId="77777777" w:rsidR="00806E01" w:rsidRPr="0066730D" w:rsidRDefault="00806E01" w:rsidP="00806E01">
      <w:pPr>
        <w:tabs>
          <w:tab w:val="left" w:pos="1860"/>
        </w:tabs>
        <w:ind w:right="760"/>
        <w:jc w:val="both"/>
        <w:rPr>
          <w:rFonts w:ascii="Arial" w:hAnsi="Arial" w:cs="Arial"/>
          <w:sz w:val="21"/>
          <w:szCs w:val="21"/>
        </w:rPr>
      </w:pPr>
    </w:p>
    <w:p w14:paraId="74996E88" w14:textId="77777777" w:rsidR="00806E01" w:rsidRPr="0066730D" w:rsidRDefault="00806E01" w:rsidP="00806E01">
      <w:pPr>
        <w:tabs>
          <w:tab w:val="left" w:pos="1860"/>
        </w:tabs>
        <w:ind w:left="709" w:right="760"/>
        <w:jc w:val="both"/>
        <w:rPr>
          <w:rFonts w:ascii="Arial" w:hAnsi="Arial" w:cs="Arial"/>
          <w:sz w:val="21"/>
          <w:szCs w:val="21"/>
        </w:rPr>
      </w:pPr>
      <w:r w:rsidRPr="0066730D">
        <w:rPr>
          <w:rFonts w:ascii="Arial" w:hAnsi="Arial" w:cs="Arial"/>
          <w:sz w:val="21"/>
          <w:szCs w:val="21"/>
        </w:rPr>
        <w:t xml:space="preserve">La TRM que la Entidad utilizará para determinar el método de ponderación será la que rija el día hábil siguiente del día en que efectivamente sea la apertura del segundo sobre. Esto es, la que la Superintendencia Financiera publique en horas de la tarde el día de la apertura del segundo sobre. [Por ejemplo, si la Audiencia de Adjudicación se realiza el 10 de febrero de 2020 y ese mismo día se abre el segundo sobre, la TRM que se usará para determinar el método de evaluación será la del 11 de febrero de 2020, que se publica en la tarde del 10 de febrero de 2020.] </w:t>
      </w:r>
    </w:p>
    <w:p w14:paraId="3D323F8F" w14:textId="77777777" w:rsidR="00806E01" w:rsidRPr="0066730D" w:rsidRDefault="00806E01" w:rsidP="00806E01">
      <w:pPr>
        <w:tabs>
          <w:tab w:val="left" w:pos="1860"/>
        </w:tabs>
        <w:ind w:left="709" w:right="760"/>
        <w:jc w:val="both"/>
        <w:rPr>
          <w:rFonts w:ascii="Arial" w:hAnsi="Arial" w:cs="Arial"/>
          <w:sz w:val="21"/>
          <w:szCs w:val="21"/>
        </w:rPr>
      </w:pPr>
    </w:p>
    <w:p w14:paraId="4BBD1702" w14:textId="77777777" w:rsidR="00806E01" w:rsidRPr="0066730D" w:rsidRDefault="00806E01" w:rsidP="00806E01">
      <w:pPr>
        <w:tabs>
          <w:tab w:val="left" w:pos="1860"/>
        </w:tabs>
        <w:ind w:left="709" w:right="760"/>
        <w:jc w:val="both"/>
        <w:rPr>
          <w:rFonts w:ascii="Arial" w:hAnsi="Arial" w:cs="Arial"/>
          <w:sz w:val="21"/>
          <w:szCs w:val="21"/>
        </w:rPr>
      </w:pPr>
      <w:r w:rsidRPr="0066730D">
        <w:rPr>
          <w:rFonts w:ascii="Arial" w:hAnsi="Arial" w:cs="Arial"/>
          <w:sz w:val="21"/>
          <w:szCs w:val="21"/>
        </w:rPr>
        <w:t>De esta manera una audiencia iniciada antes que se publique la TRM que rige al día hábil siguiente, podrá desarrollarse totalmente si ese mismo día se abre el sobre económico usando la TRM que publica la Superintendencia Financiera que rija al día hábil siguiente.</w:t>
      </w:r>
    </w:p>
    <w:p w14:paraId="30287B33" w14:textId="77777777" w:rsidR="00806E01" w:rsidRPr="0066730D" w:rsidRDefault="00806E01" w:rsidP="00806E01">
      <w:pPr>
        <w:tabs>
          <w:tab w:val="left" w:pos="1860"/>
        </w:tabs>
        <w:ind w:left="709" w:right="760"/>
        <w:jc w:val="both"/>
        <w:rPr>
          <w:rFonts w:ascii="Arial" w:hAnsi="Arial" w:cs="Arial"/>
          <w:sz w:val="21"/>
          <w:szCs w:val="21"/>
        </w:rPr>
      </w:pPr>
    </w:p>
    <w:p w14:paraId="1C0B1458" w14:textId="77777777" w:rsidR="00806E01" w:rsidRPr="0066730D" w:rsidRDefault="00806E01" w:rsidP="00806E01">
      <w:pPr>
        <w:ind w:left="709" w:right="760"/>
        <w:jc w:val="both"/>
        <w:rPr>
          <w:rFonts w:ascii="Arial" w:hAnsi="Arial" w:cs="Arial"/>
          <w:sz w:val="21"/>
          <w:szCs w:val="21"/>
        </w:rPr>
      </w:pPr>
      <w:r w:rsidRPr="0066730D">
        <w:rPr>
          <w:rFonts w:ascii="Arial" w:hAnsi="Arial" w:cs="Arial"/>
          <w:sz w:val="21"/>
          <w:szCs w:val="21"/>
        </w:rPr>
        <w:t>[En caso de que el Proceso de Contratación se adelante a través del SECOP II deberá incluirse lo siguiente:]</w:t>
      </w:r>
    </w:p>
    <w:p w14:paraId="70182C03" w14:textId="77777777" w:rsidR="00806E01" w:rsidRPr="0066730D" w:rsidRDefault="00806E01" w:rsidP="00806E01">
      <w:pPr>
        <w:tabs>
          <w:tab w:val="left" w:pos="1860"/>
        </w:tabs>
        <w:ind w:left="709" w:right="760"/>
        <w:jc w:val="both"/>
        <w:rPr>
          <w:rFonts w:ascii="Arial" w:hAnsi="Arial" w:cs="Arial"/>
          <w:sz w:val="21"/>
          <w:szCs w:val="21"/>
        </w:rPr>
      </w:pPr>
      <w:r w:rsidRPr="0066730D">
        <w:rPr>
          <w:rFonts w:ascii="Arial" w:hAnsi="Arial" w:cs="Arial"/>
          <w:sz w:val="21"/>
          <w:szCs w:val="21"/>
        </w:rPr>
        <w:t>[…]</w:t>
      </w:r>
    </w:p>
    <w:p w14:paraId="6A5D6A32" w14:textId="77777777" w:rsidR="00806E01" w:rsidRPr="0066730D" w:rsidRDefault="00806E01" w:rsidP="00806E01">
      <w:pPr>
        <w:tabs>
          <w:tab w:val="left" w:pos="1860"/>
        </w:tabs>
        <w:ind w:left="709" w:right="760"/>
        <w:jc w:val="both"/>
        <w:rPr>
          <w:rFonts w:ascii="Arial" w:hAnsi="Arial" w:cs="Arial"/>
          <w:sz w:val="21"/>
          <w:szCs w:val="21"/>
        </w:rPr>
      </w:pPr>
    </w:p>
    <w:p w14:paraId="1CBFEACA" w14:textId="77777777" w:rsidR="00806E01" w:rsidRPr="0066730D" w:rsidRDefault="00806E01" w:rsidP="00806E01">
      <w:pPr>
        <w:tabs>
          <w:tab w:val="left" w:pos="1860"/>
        </w:tabs>
        <w:spacing w:after="240"/>
        <w:ind w:left="709" w:right="760"/>
        <w:jc w:val="both"/>
        <w:rPr>
          <w:rFonts w:ascii="Arial" w:hAnsi="Arial" w:cs="Arial"/>
          <w:sz w:val="21"/>
          <w:szCs w:val="21"/>
        </w:rPr>
      </w:pPr>
      <w:r w:rsidRPr="0066730D">
        <w:rPr>
          <w:rFonts w:ascii="Arial" w:hAnsi="Arial" w:cs="Arial"/>
          <w:sz w:val="21"/>
          <w:szCs w:val="21"/>
        </w:rPr>
        <w:lastRenderedPageBreak/>
        <w:t xml:space="preserve">La TRM que la Entidad utilizará para determinar el método de ponderación será la que rija el día en que efectivamente realice la apertura del segundo sobre. Esto es, la que la Superintendencia Financiera publique en horas de la tarde el día anterior a la apertura del segundo sobre. [Por ejemplo, si la Audiencia de Adjudicación se realiza el 10 de febrero y ese mismo día se abre el segundo sobre, la TRM que se usará para determinar el método de evaluación será la que rige el 10 de febrero, que se publica en la tarde del 9 de febrero] </w:t>
      </w:r>
    </w:p>
    <w:p w14:paraId="099F0D12" w14:textId="77777777" w:rsidR="00806E01" w:rsidRPr="0066730D" w:rsidRDefault="00806E01" w:rsidP="00A51F52">
      <w:pPr>
        <w:spacing w:after="240" w:line="276" w:lineRule="auto"/>
        <w:ind w:firstLine="708"/>
        <w:jc w:val="both"/>
        <w:rPr>
          <w:rFonts w:ascii="Arial" w:hAnsi="Arial" w:cs="Arial"/>
          <w:sz w:val="22"/>
        </w:rPr>
      </w:pPr>
      <w:r w:rsidRPr="0066730D">
        <w:rPr>
          <w:rFonts w:ascii="Arial" w:hAnsi="Arial" w:cs="Arial"/>
          <w:sz w:val="22"/>
        </w:rPr>
        <w:t xml:space="preserve">Es del caso precisar que el momento para tener en cuenta es el de la apertura de sobre y no el del inicio de la </w:t>
      </w:r>
      <w:r w:rsidRPr="0066730D">
        <w:rPr>
          <w:rFonts w:ascii="Arial" w:hAnsi="Arial" w:cs="Arial"/>
          <w:i/>
          <w:iCs/>
          <w:sz w:val="22"/>
        </w:rPr>
        <w:t>audiencia efectiva de adjudicación</w:t>
      </w:r>
      <w:r w:rsidRPr="0066730D">
        <w:rPr>
          <w:rFonts w:ascii="Arial" w:hAnsi="Arial" w:cs="Arial"/>
          <w:sz w:val="22"/>
        </w:rPr>
        <w:t>, pues puede pasar, por ejemplo, que dicha audiencia inicie el 1 de mayo de 2020, que ese mismo día se respondan y resuelvan las observaciones presentadas al informe final de evaluación, pero que sea necesario suspender la audiencia y reanudarla al día siguiente porque no se alcanzó a abrir el segundo sobre. En este caso hipotético, aunque la diligencia inició el 1 de mayo de 2020, lo cierto es que el momento que se debe tener en cuenta, para efectos de la determinación del método de ponderación de la oferta económica, es de la apertura efectiva del segundo sobre, para el caso presentado a título ilustrativo, el 2 de mayo de 2020. Tal circunstancia se reconoce expresamente en el Documento Base, en estos términos:</w:t>
      </w:r>
    </w:p>
    <w:p w14:paraId="35C51C2B" w14:textId="77777777" w:rsidR="00806E01" w:rsidRPr="0066730D" w:rsidRDefault="00806E01" w:rsidP="00806E01">
      <w:pPr>
        <w:ind w:left="709" w:right="760"/>
        <w:jc w:val="both"/>
        <w:rPr>
          <w:rFonts w:ascii="Arial" w:hAnsi="Arial" w:cs="Arial"/>
          <w:sz w:val="21"/>
          <w:szCs w:val="21"/>
        </w:rPr>
      </w:pPr>
      <w:r w:rsidRPr="0066730D">
        <w:rPr>
          <w:rFonts w:ascii="Arial" w:hAnsi="Arial" w:cs="Arial"/>
          <w:sz w:val="21"/>
          <w:szCs w:val="21"/>
        </w:rPr>
        <w:t>[En caso de que el Proceso de Contratación se adelante a través del SECOP I deberá incluirse lo siguiente:]</w:t>
      </w:r>
    </w:p>
    <w:p w14:paraId="65D6730A" w14:textId="77777777" w:rsidR="00806E01" w:rsidRPr="0066730D" w:rsidRDefault="00806E01" w:rsidP="00806E01">
      <w:pPr>
        <w:tabs>
          <w:tab w:val="left" w:pos="1860"/>
        </w:tabs>
        <w:ind w:left="709" w:right="760"/>
        <w:jc w:val="both"/>
        <w:rPr>
          <w:rFonts w:ascii="Arial" w:hAnsi="Arial" w:cs="Arial"/>
          <w:sz w:val="21"/>
          <w:szCs w:val="21"/>
        </w:rPr>
      </w:pPr>
    </w:p>
    <w:p w14:paraId="6F08232B" w14:textId="77777777" w:rsidR="00806E01" w:rsidRPr="0066730D" w:rsidRDefault="00806E01" w:rsidP="00806E01">
      <w:pPr>
        <w:tabs>
          <w:tab w:val="left" w:pos="1860"/>
        </w:tabs>
        <w:ind w:left="709" w:right="760"/>
        <w:jc w:val="both"/>
        <w:rPr>
          <w:rFonts w:ascii="Arial" w:hAnsi="Arial" w:cs="Arial"/>
          <w:sz w:val="21"/>
          <w:szCs w:val="21"/>
        </w:rPr>
      </w:pPr>
      <w:r w:rsidRPr="0066730D">
        <w:rPr>
          <w:rFonts w:ascii="Arial" w:hAnsi="Arial" w:cs="Arial"/>
          <w:sz w:val="21"/>
          <w:szCs w:val="21"/>
        </w:rPr>
        <w:t xml:space="preserve">El día de la audiencia efectiva de adjudicación la Entidad iniciará respondiendo y resolviendo las observaciones presentadas al informe de evaluación. Acto seguido, la Entidad abrirá los sobres de las ofertas económicas y definirá el método de ponderación de las propuestas de acuerdo con la TRM que rija al día hábil siguiente. </w:t>
      </w:r>
    </w:p>
    <w:p w14:paraId="263A0EFA" w14:textId="77777777" w:rsidR="00806E01" w:rsidRPr="0066730D" w:rsidRDefault="00806E01" w:rsidP="00806E01">
      <w:pPr>
        <w:tabs>
          <w:tab w:val="left" w:pos="1860"/>
        </w:tabs>
        <w:ind w:left="709" w:right="760"/>
        <w:jc w:val="both"/>
        <w:rPr>
          <w:rFonts w:ascii="Arial" w:hAnsi="Arial" w:cs="Arial"/>
          <w:sz w:val="21"/>
          <w:szCs w:val="21"/>
        </w:rPr>
      </w:pPr>
    </w:p>
    <w:p w14:paraId="1C5D4518" w14:textId="77777777" w:rsidR="00806E01" w:rsidRPr="0066730D" w:rsidRDefault="00806E01" w:rsidP="00806E01">
      <w:pPr>
        <w:tabs>
          <w:tab w:val="left" w:pos="1860"/>
        </w:tabs>
        <w:ind w:left="709" w:right="760"/>
        <w:jc w:val="both"/>
        <w:rPr>
          <w:rFonts w:ascii="Arial" w:hAnsi="Arial" w:cs="Arial"/>
          <w:sz w:val="21"/>
          <w:szCs w:val="21"/>
        </w:rPr>
      </w:pPr>
      <w:r w:rsidRPr="0066730D">
        <w:rPr>
          <w:rFonts w:ascii="Arial" w:hAnsi="Arial" w:cs="Arial"/>
          <w:sz w:val="21"/>
          <w:szCs w:val="21"/>
        </w:rPr>
        <w:t>En el evento que la Entidad no agote la actividad prevista en la primera parte del párrafo anterior y deba suspender la audiencia, se tendrá como método de ponderación el que rija el día hábil siguiente del día en que efectivamente sea la apertura del segundo sobre.</w:t>
      </w:r>
    </w:p>
    <w:p w14:paraId="41306D01" w14:textId="77777777" w:rsidR="00806E01" w:rsidRPr="0066730D" w:rsidRDefault="00806E01" w:rsidP="00806E01">
      <w:pPr>
        <w:tabs>
          <w:tab w:val="left" w:pos="1860"/>
        </w:tabs>
        <w:ind w:left="709" w:right="760"/>
        <w:jc w:val="both"/>
        <w:rPr>
          <w:rFonts w:ascii="Arial" w:hAnsi="Arial" w:cs="Arial"/>
          <w:sz w:val="21"/>
          <w:szCs w:val="21"/>
        </w:rPr>
      </w:pPr>
      <w:r w:rsidRPr="0066730D">
        <w:rPr>
          <w:rFonts w:ascii="Arial" w:hAnsi="Arial" w:cs="Arial"/>
          <w:sz w:val="21"/>
          <w:szCs w:val="21"/>
        </w:rPr>
        <w:t>[…]</w:t>
      </w:r>
    </w:p>
    <w:p w14:paraId="79D29D8C" w14:textId="77777777" w:rsidR="00806E01" w:rsidRPr="0066730D" w:rsidRDefault="00806E01" w:rsidP="00806E01">
      <w:pPr>
        <w:tabs>
          <w:tab w:val="left" w:pos="1860"/>
        </w:tabs>
        <w:ind w:left="709" w:right="760"/>
        <w:jc w:val="both"/>
        <w:rPr>
          <w:rFonts w:ascii="Arial" w:hAnsi="Arial" w:cs="Arial"/>
          <w:sz w:val="21"/>
          <w:szCs w:val="21"/>
        </w:rPr>
      </w:pPr>
    </w:p>
    <w:p w14:paraId="1FF2EA10" w14:textId="77777777" w:rsidR="00806E01" w:rsidRPr="0066730D" w:rsidRDefault="00806E01" w:rsidP="00806E01">
      <w:pPr>
        <w:ind w:left="709" w:right="760"/>
        <w:jc w:val="both"/>
        <w:rPr>
          <w:rFonts w:ascii="Arial" w:hAnsi="Arial" w:cs="Arial"/>
          <w:sz w:val="21"/>
          <w:szCs w:val="21"/>
        </w:rPr>
      </w:pPr>
      <w:r w:rsidRPr="0066730D">
        <w:rPr>
          <w:rFonts w:ascii="Arial" w:hAnsi="Arial" w:cs="Arial"/>
          <w:sz w:val="21"/>
          <w:szCs w:val="21"/>
        </w:rPr>
        <w:t>[En caso de que el Proceso de Contratación se adelante a través del SECOP II deberá incluirse lo siguiente:]</w:t>
      </w:r>
    </w:p>
    <w:p w14:paraId="450A385C" w14:textId="77777777" w:rsidR="00806E01" w:rsidRPr="0066730D" w:rsidRDefault="00806E01" w:rsidP="00806E01">
      <w:pPr>
        <w:tabs>
          <w:tab w:val="left" w:pos="1860"/>
        </w:tabs>
        <w:ind w:left="709" w:right="760"/>
        <w:jc w:val="both"/>
        <w:rPr>
          <w:rFonts w:ascii="Arial" w:hAnsi="Arial" w:cs="Arial"/>
          <w:sz w:val="21"/>
          <w:szCs w:val="21"/>
        </w:rPr>
      </w:pPr>
    </w:p>
    <w:p w14:paraId="34210561" w14:textId="77777777" w:rsidR="00806E01" w:rsidRPr="0066730D" w:rsidRDefault="00806E01" w:rsidP="00806E01">
      <w:pPr>
        <w:tabs>
          <w:tab w:val="left" w:pos="1860"/>
        </w:tabs>
        <w:ind w:left="709" w:right="760"/>
        <w:jc w:val="both"/>
        <w:rPr>
          <w:rFonts w:ascii="Arial" w:hAnsi="Arial" w:cs="Arial"/>
          <w:sz w:val="21"/>
          <w:szCs w:val="21"/>
        </w:rPr>
      </w:pPr>
      <w:r w:rsidRPr="0066730D">
        <w:rPr>
          <w:rFonts w:ascii="Arial" w:hAnsi="Arial" w:cs="Arial"/>
          <w:sz w:val="21"/>
          <w:szCs w:val="21"/>
        </w:rPr>
        <w:t xml:space="preserve">El día de la audiencia efectiva de adjudicación la Entidad iniciará respondiendo y resolviendo las observaciones presentadas al informe de evaluación. Acto seguido, la Entidad abrirá los sobres de las ofertas económicas y definirá el método de ponderación de las propuestas de acuerdo con la TRM que rija ese mismo día. </w:t>
      </w:r>
    </w:p>
    <w:p w14:paraId="71D8198D" w14:textId="77777777" w:rsidR="00806E01" w:rsidRPr="0066730D" w:rsidRDefault="00806E01" w:rsidP="00806E01">
      <w:pPr>
        <w:tabs>
          <w:tab w:val="left" w:pos="1860"/>
        </w:tabs>
        <w:ind w:left="709" w:right="760"/>
        <w:jc w:val="both"/>
        <w:rPr>
          <w:rFonts w:ascii="Arial" w:hAnsi="Arial" w:cs="Arial"/>
          <w:sz w:val="21"/>
          <w:szCs w:val="21"/>
        </w:rPr>
      </w:pPr>
    </w:p>
    <w:p w14:paraId="0A5922B9" w14:textId="77777777" w:rsidR="00806E01" w:rsidRPr="0066730D" w:rsidRDefault="00806E01" w:rsidP="00806E01">
      <w:pPr>
        <w:tabs>
          <w:tab w:val="left" w:pos="1860"/>
        </w:tabs>
        <w:spacing w:after="240"/>
        <w:ind w:left="709" w:right="760"/>
        <w:jc w:val="both"/>
        <w:rPr>
          <w:rFonts w:ascii="Arial" w:hAnsi="Arial" w:cs="Arial"/>
          <w:sz w:val="21"/>
          <w:szCs w:val="21"/>
        </w:rPr>
      </w:pPr>
      <w:r w:rsidRPr="0066730D">
        <w:rPr>
          <w:rFonts w:ascii="Arial" w:hAnsi="Arial" w:cs="Arial"/>
          <w:sz w:val="21"/>
          <w:szCs w:val="21"/>
        </w:rPr>
        <w:t xml:space="preserve">En el evento que la Entidad no agote la actividad prevista en la primera parte del párrafo anterior y deba suspender la audiencia, se tendrá como método de </w:t>
      </w:r>
      <w:r w:rsidRPr="0066730D">
        <w:rPr>
          <w:rFonts w:ascii="Arial" w:hAnsi="Arial" w:cs="Arial"/>
          <w:sz w:val="21"/>
          <w:szCs w:val="21"/>
        </w:rPr>
        <w:lastRenderedPageBreak/>
        <w:t>ponderación el que rija el día en que efectivamente realice la apertura del segundo sobre. […]</w:t>
      </w:r>
    </w:p>
    <w:p w14:paraId="1895C749" w14:textId="0EE2D7E7" w:rsidR="00806E01" w:rsidRPr="0066730D" w:rsidRDefault="00806E01" w:rsidP="00A51F52">
      <w:pPr>
        <w:spacing w:after="120" w:line="276" w:lineRule="auto"/>
        <w:ind w:firstLine="708"/>
        <w:jc w:val="both"/>
        <w:rPr>
          <w:rFonts w:ascii="Arial" w:hAnsi="Arial" w:cs="Arial"/>
          <w:sz w:val="22"/>
        </w:rPr>
      </w:pPr>
      <w:r w:rsidRPr="0066730D">
        <w:rPr>
          <w:rFonts w:ascii="Arial" w:hAnsi="Arial" w:cs="Arial"/>
          <w:sz w:val="22"/>
        </w:rPr>
        <w:t>Es del caso precisar que, de todos modos, la apertura del segundo sobre y la definición del método de ponderación de las ofertas económicas, se tienen que hacer en un mismo día.</w:t>
      </w:r>
    </w:p>
    <w:p w14:paraId="450AF836" w14:textId="77777777" w:rsidR="00806E01" w:rsidRPr="0066730D" w:rsidRDefault="00806E01" w:rsidP="00FA59F7">
      <w:pPr>
        <w:spacing w:after="120" w:line="276" w:lineRule="auto"/>
        <w:jc w:val="both"/>
        <w:rPr>
          <w:rFonts w:ascii="Arial" w:hAnsi="Arial" w:cs="Arial"/>
          <w:sz w:val="22"/>
        </w:rPr>
      </w:pPr>
      <w:r w:rsidRPr="0066730D">
        <w:rPr>
          <w:rFonts w:ascii="Arial" w:hAnsi="Arial" w:cs="Arial"/>
          <w:sz w:val="22"/>
        </w:rPr>
        <w:tab/>
        <w:t xml:space="preserve">De acuerdo a lo dicho en los párrafos precedentes, en un caso hipotético en el que el segundo sobre se abrió el 1 de febrero de 2020, la TRM será la del 1 de febrero de 2020, si el proceso contractual se tramita por la plataforma SECOP II; pero si el proceso se tramita por el SECOP I, la TRM será la del 2 de febrero de 2020 −o la del día hábil siguiente si este día no lo es−, la cual se conoce desde el día anterior. En relación con esta última hipótesis, consideramos indispensable aclarar que la «[…] audiencia iniciada antes que se publique la TRM que rige al día hábil siguiente, podrá desarrollarse totalmente [únicamente] si ese mismo día se abre el sobre económico usando la TRM que publica la Superintendencia Financiera que rija al día hábil siguiente». En este sentido, tratándose de SECOP I, si la apertura del segundo sobre se realiza en las horas de la mañana la entidad debe esperar a que se expida la TRM que rige al día siguiente para determinar el factor de ponderación aplicable al proceso de contratación. </w:t>
      </w:r>
    </w:p>
    <w:p w14:paraId="50E10E67" w14:textId="3E36C897" w:rsidR="00806E01" w:rsidRPr="0066730D" w:rsidRDefault="00806E01" w:rsidP="00FA59F7">
      <w:pPr>
        <w:spacing w:after="120" w:line="276" w:lineRule="auto"/>
        <w:ind w:firstLine="709"/>
        <w:jc w:val="both"/>
        <w:rPr>
          <w:rFonts w:ascii="Arial" w:eastAsia="Times New Roman" w:hAnsi="Arial" w:cs="Arial"/>
          <w:sz w:val="22"/>
        </w:rPr>
      </w:pPr>
      <w:r w:rsidRPr="0066730D">
        <w:rPr>
          <w:rFonts w:ascii="Arial" w:eastAsia="Calibri" w:hAnsi="Arial" w:cs="Arial"/>
          <w:sz w:val="22"/>
        </w:rPr>
        <w:t xml:space="preserve">Con lo anterior, se puede concluir que el método aleatorio para seleccionar la fórmula de ponderación de la oferta económica desestimula los actos de corrupción, puesto que no es posible manipular la TRM para conocer con anticipación la fórmula aplicable y poder adjudicar al proponente que la entidad desee, ya que es certificada por la Superintendencia Financiera de Colombia. </w:t>
      </w:r>
      <w:r w:rsidRPr="0066730D">
        <w:rPr>
          <w:rFonts w:ascii="Arial" w:eastAsia="Times New Roman" w:hAnsi="Arial" w:cs="Arial"/>
          <w:sz w:val="22"/>
        </w:rPr>
        <w:t>Con relación a los métodos de ponderación aplicables al procedimiento de contratación, en cuanto a la apertura de los sobres No. 2, el Documento Base señala que «la Entidad debe agotar la apertura de los sobres económicos y la definición del método de ponderación en un mismo día. Igualmente, el método definido el día de la apertura del sobre económico seguirá rigiendo aun cuando la Entidad deba suspender la audiencia».</w:t>
      </w:r>
    </w:p>
    <w:p w14:paraId="5C136176" w14:textId="29729E70" w:rsidR="00C9077F" w:rsidRPr="0066730D" w:rsidRDefault="00C9077F" w:rsidP="00FA59F7">
      <w:pPr>
        <w:spacing w:after="120" w:line="276" w:lineRule="auto"/>
        <w:ind w:firstLine="709"/>
        <w:jc w:val="both"/>
        <w:rPr>
          <w:rFonts w:ascii="Arial" w:eastAsia="Times New Roman" w:hAnsi="Arial" w:cs="Arial"/>
          <w:sz w:val="22"/>
        </w:rPr>
      </w:pPr>
      <w:r w:rsidRPr="0066730D">
        <w:rPr>
          <w:rFonts w:ascii="Arial" w:eastAsia="Times New Roman" w:hAnsi="Arial" w:cs="Arial"/>
          <w:sz w:val="22"/>
        </w:rPr>
        <w:t>Ahora, se refiere usted en su consulta a la aplicación de las anteriores reglas en el caso de una audiencia de adjudicación celebrada un sábado, día hábil para muchas entidades estatales, aunque no para la mayoría de estas. Tratándose de un proceso de selección adelantado en SECOP I, la aplicación de la correspondiente regla no presenta mayor problema, en la medida en que TRM aplicable será la del día hábil siguiente, es decir el lunes, la cual se conoce desde la tarde del viernes</w:t>
      </w:r>
      <w:r w:rsidR="008B2B54" w:rsidRPr="0066730D">
        <w:rPr>
          <w:rFonts w:ascii="Arial" w:eastAsia="Times New Roman" w:hAnsi="Arial" w:cs="Arial"/>
          <w:sz w:val="22"/>
        </w:rPr>
        <w:t>.</w:t>
      </w:r>
    </w:p>
    <w:p w14:paraId="6D684B65" w14:textId="77777777" w:rsidR="008B2B54" w:rsidRPr="0066730D" w:rsidRDefault="00C9077F" w:rsidP="00FA59F7">
      <w:pPr>
        <w:spacing w:after="120" w:line="276" w:lineRule="auto"/>
        <w:ind w:firstLine="709"/>
        <w:jc w:val="both"/>
        <w:rPr>
          <w:rFonts w:ascii="Arial" w:eastAsia="Times New Roman" w:hAnsi="Arial" w:cs="Arial"/>
          <w:sz w:val="22"/>
        </w:rPr>
      </w:pPr>
      <w:r w:rsidRPr="0066730D">
        <w:rPr>
          <w:rFonts w:ascii="Arial" w:eastAsia="Times New Roman" w:hAnsi="Arial" w:cs="Arial"/>
          <w:sz w:val="22"/>
        </w:rPr>
        <w:t xml:space="preserve">De otra parte, en un proceso adelantado mediante la plataforma SECOP II, la TRM aplicable debe </w:t>
      </w:r>
      <w:r w:rsidR="008B2B54" w:rsidRPr="0066730D">
        <w:rPr>
          <w:rFonts w:ascii="Arial" w:eastAsia="Times New Roman" w:hAnsi="Arial" w:cs="Arial"/>
          <w:sz w:val="22"/>
        </w:rPr>
        <w:t xml:space="preserve">ser la que rige para el mismo día en que se realiza la apertura de los sobres No. 2, asunto que, al tratarse de una audiencia celebrada un sábado, plantea en principio un vacío normativo comoquiera que para dicho día la Superintendencia Financiera no certifica </w:t>
      </w:r>
      <w:r w:rsidR="008B2B54" w:rsidRPr="0066730D">
        <w:rPr>
          <w:rFonts w:ascii="Arial" w:eastAsia="Times New Roman" w:hAnsi="Arial" w:cs="Arial"/>
          <w:sz w:val="22"/>
        </w:rPr>
        <w:lastRenderedPageBreak/>
        <w:t xml:space="preserve">una TRM al no ser considerado un día hábil para la generalidad de las entidades, ni llevarse a cabo un alto volumen de operaciones financieras. </w:t>
      </w:r>
    </w:p>
    <w:p w14:paraId="56BA1A4D" w14:textId="79B80F52" w:rsidR="00C9077F" w:rsidRPr="0066730D" w:rsidRDefault="008B2B54" w:rsidP="00FA59F7">
      <w:pPr>
        <w:spacing w:after="120" w:line="276" w:lineRule="auto"/>
        <w:ind w:firstLine="709"/>
        <w:jc w:val="both"/>
        <w:rPr>
          <w:rFonts w:ascii="Arial" w:eastAsia="Times New Roman" w:hAnsi="Arial" w:cs="Arial"/>
          <w:sz w:val="22"/>
        </w:rPr>
      </w:pPr>
      <w:r w:rsidRPr="0066730D">
        <w:rPr>
          <w:rFonts w:ascii="Arial" w:eastAsia="Times New Roman" w:hAnsi="Arial" w:cs="Arial"/>
          <w:sz w:val="22"/>
        </w:rPr>
        <w:t xml:space="preserve">No obstante, tal vacío </w:t>
      </w:r>
      <w:r w:rsidR="00860043" w:rsidRPr="0066730D">
        <w:rPr>
          <w:rFonts w:ascii="Arial" w:eastAsia="Times New Roman" w:hAnsi="Arial" w:cs="Arial"/>
          <w:sz w:val="22"/>
        </w:rPr>
        <w:t xml:space="preserve">es susceptible de ser completado con las disposiciones de la </w:t>
      </w:r>
      <w:r w:rsidRPr="0066730D">
        <w:rPr>
          <w:rFonts w:ascii="Arial" w:eastAsia="Times New Roman" w:hAnsi="Arial" w:cs="Arial"/>
          <w:sz w:val="22"/>
        </w:rPr>
        <w:t>Circular Reglamentaria Externa- DODM-146 del 25 de mayo de 2018, expedida por el Banco de la República, contentiva del Manual del Departamento de Operaciones y Desarrollo de Mercados, específicamente en su asunto 8</w:t>
      </w:r>
      <w:r w:rsidR="00860043" w:rsidRPr="0066730D">
        <w:rPr>
          <w:rFonts w:ascii="Arial" w:eastAsia="Times New Roman" w:hAnsi="Arial" w:cs="Arial"/>
          <w:sz w:val="22"/>
        </w:rPr>
        <w:t>, relativo a la Metodología de Cálculo de la Tasa de Cambio Representativa del Mercado, en donde se establece que «Para los días sábado, domingo, festivos y aquellos en los que el Banco de la República no preste los servicios del CUD, aplicará la TRM vigente en el día hábil inmediatamente siguiente»</w:t>
      </w:r>
      <w:r w:rsidR="00275382" w:rsidRPr="0066730D">
        <w:rPr>
          <w:rStyle w:val="Refdenotaalpie"/>
          <w:rFonts w:ascii="Arial" w:eastAsia="Times New Roman" w:hAnsi="Arial" w:cs="Arial"/>
          <w:sz w:val="22"/>
        </w:rPr>
        <w:footnoteReference w:id="23"/>
      </w:r>
      <w:r w:rsidR="00860043" w:rsidRPr="0066730D">
        <w:rPr>
          <w:rFonts w:ascii="Arial" w:eastAsia="Times New Roman" w:hAnsi="Arial" w:cs="Arial"/>
          <w:sz w:val="22"/>
        </w:rPr>
        <w:t>.</w:t>
      </w:r>
    </w:p>
    <w:p w14:paraId="7796E0E0" w14:textId="4CE8572F" w:rsidR="00C9077F" w:rsidRPr="0066730D" w:rsidRDefault="00860043" w:rsidP="00FA59F7">
      <w:pPr>
        <w:spacing w:after="120" w:line="276" w:lineRule="auto"/>
        <w:ind w:firstLine="709"/>
        <w:jc w:val="both"/>
        <w:rPr>
          <w:rFonts w:ascii="Arial" w:eastAsia="Times New Roman" w:hAnsi="Arial" w:cs="Arial"/>
          <w:sz w:val="22"/>
        </w:rPr>
      </w:pPr>
      <w:r w:rsidRPr="0066730D">
        <w:rPr>
          <w:rFonts w:ascii="Arial" w:eastAsia="Times New Roman" w:hAnsi="Arial" w:cs="Arial"/>
          <w:sz w:val="22"/>
        </w:rPr>
        <w:t xml:space="preserve">Esta última disposición permite concluir respecto al caso de una audiencia de adjudicación celebrada un sábado, en una licitación cursada en SECOP II, que la TRM aplicable conforme lo dispuesto en el Documento Base, será la que rige para el día en que se abren los sobres,  la cual, conforme a la disposición supletiva de la Circular Reglamentaria Externa- DODM-146 del 25 de mayo de 2018, será la del día hábil siguiente, es decir la del lunes –siempre que este no sea festivo–, publicada en la tarde del viernes. </w:t>
      </w:r>
    </w:p>
    <w:p w14:paraId="78E5312F" w14:textId="7A016143" w:rsidR="003D53A2" w:rsidRDefault="00806E01" w:rsidP="00A51F52">
      <w:pPr>
        <w:spacing w:line="276" w:lineRule="auto"/>
        <w:ind w:firstLine="709"/>
        <w:jc w:val="both"/>
        <w:rPr>
          <w:rFonts w:ascii="Arial" w:hAnsi="Arial" w:cs="Arial"/>
          <w:sz w:val="22"/>
        </w:rPr>
      </w:pPr>
      <w:r w:rsidRPr="0066730D">
        <w:rPr>
          <w:rFonts w:ascii="Arial" w:eastAsia="Calibri" w:hAnsi="Arial" w:cs="Arial"/>
          <w:sz w:val="22"/>
        </w:rPr>
        <w:t xml:space="preserve">Finalmente, se aclara que, a pesar que, al momento de abrir la oferta económica, la entidad y los proponentes conocieran la TRM aplicable, esto no afecta la determinación de la TRM que definirá el método de ponderación de las ofertas económicas y no necesario considerar otra. Así, de acuerdo con lo señalado en el Documento Base de los Documentos Tipo, </w:t>
      </w:r>
      <w:r w:rsidRPr="0066730D">
        <w:rPr>
          <w:rFonts w:ascii="Arial" w:hAnsi="Arial" w:cs="Arial"/>
          <w:sz w:val="22"/>
        </w:rPr>
        <w:t xml:space="preserve">se deberá aplicar la TRM del día hábil siguiente, a pesar que fuese conocida por los proponentes y la entidad antes de la efectiva apertura de los sobres. </w:t>
      </w:r>
    </w:p>
    <w:p w14:paraId="21FD4F30" w14:textId="77777777" w:rsidR="00A51F52" w:rsidRPr="0066730D" w:rsidRDefault="00A51F52" w:rsidP="00A51F52">
      <w:pPr>
        <w:spacing w:line="276" w:lineRule="auto"/>
        <w:ind w:firstLine="709"/>
        <w:jc w:val="both"/>
        <w:rPr>
          <w:rFonts w:ascii="Arial" w:eastAsia="Calibri" w:hAnsi="Arial" w:cs="Arial"/>
          <w:sz w:val="22"/>
        </w:rPr>
      </w:pPr>
    </w:p>
    <w:p w14:paraId="1369FD7E" w14:textId="17DA9CB6" w:rsidR="00A37FB6" w:rsidRPr="0066730D" w:rsidRDefault="00A37FB6" w:rsidP="00E53545">
      <w:pPr>
        <w:pStyle w:val="Prrafodelista"/>
        <w:numPr>
          <w:ilvl w:val="0"/>
          <w:numId w:val="6"/>
        </w:numPr>
        <w:tabs>
          <w:tab w:val="left" w:pos="284"/>
        </w:tabs>
        <w:spacing w:line="276" w:lineRule="auto"/>
        <w:ind w:left="0" w:hanging="142"/>
        <w:jc w:val="both"/>
        <w:rPr>
          <w:rFonts w:ascii="Arial" w:eastAsia="Calibri" w:hAnsi="Arial" w:cs="Arial"/>
          <w:sz w:val="22"/>
        </w:rPr>
      </w:pPr>
      <w:r w:rsidRPr="0066730D">
        <w:rPr>
          <w:rFonts w:ascii="Arial" w:eastAsia="Calibri" w:hAnsi="Arial" w:cs="Arial"/>
          <w:b/>
          <w:sz w:val="22"/>
        </w:rPr>
        <w:t>Respuestas</w:t>
      </w:r>
    </w:p>
    <w:p w14:paraId="38BAA1B3" w14:textId="77777777" w:rsidR="00E53545" w:rsidRPr="0066730D" w:rsidRDefault="00E53545" w:rsidP="00E53545">
      <w:pPr>
        <w:tabs>
          <w:tab w:val="left" w:pos="284"/>
        </w:tabs>
        <w:spacing w:line="276" w:lineRule="auto"/>
        <w:jc w:val="both"/>
        <w:rPr>
          <w:rFonts w:ascii="Arial" w:eastAsia="Calibri" w:hAnsi="Arial" w:cs="Arial"/>
          <w:sz w:val="22"/>
        </w:rPr>
      </w:pPr>
    </w:p>
    <w:p w14:paraId="4AB13A33" w14:textId="77777777" w:rsidR="007A4292" w:rsidRPr="0066730D" w:rsidRDefault="007A4292" w:rsidP="00E53545">
      <w:pPr>
        <w:ind w:left="709" w:right="709"/>
        <w:jc w:val="both"/>
        <w:rPr>
          <w:rFonts w:ascii="Arial" w:hAnsi="Arial" w:cs="Arial"/>
          <w:sz w:val="22"/>
          <w:lang w:val="es-CO"/>
        </w:rPr>
      </w:pPr>
      <w:r w:rsidRPr="0066730D">
        <w:rPr>
          <w:rFonts w:ascii="Arial" w:eastAsia="Calibri" w:hAnsi="Arial" w:cs="Arial"/>
          <w:sz w:val="22"/>
        </w:rPr>
        <w:t>«</w:t>
      </w:r>
      <w:r w:rsidRPr="0066730D">
        <w:rPr>
          <w:rFonts w:ascii="Arial" w:hAnsi="Arial" w:cs="Arial"/>
          <w:sz w:val="22"/>
          <w:lang w:val="es-CO"/>
        </w:rPr>
        <w:t xml:space="preserve">1. El contratista de una </w:t>
      </w:r>
      <w:proofErr w:type="spellStart"/>
      <w:r w:rsidRPr="0066730D">
        <w:rPr>
          <w:rFonts w:ascii="Arial" w:hAnsi="Arial" w:cs="Arial"/>
          <w:sz w:val="22"/>
          <w:lang w:val="es-CO"/>
        </w:rPr>
        <w:t>interventoria</w:t>
      </w:r>
      <w:proofErr w:type="spellEnd"/>
      <w:r w:rsidRPr="0066730D">
        <w:rPr>
          <w:rFonts w:ascii="Arial" w:hAnsi="Arial" w:cs="Arial"/>
          <w:sz w:val="22"/>
          <w:lang w:val="es-CO"/>
        </w:rPr>
        <w:t xml:space="preserve"> (sic) en una entidad </w:t>
      </w:r>
      <w:proofErr w:type="spellStart"/>
      <w:r w:rsidRPr="0066730D">
        <w:rPr>
          <w:rFonts w:ascii="Arial" w:hAnsi="Arial" w:cs="Arial"/>
          <w:sz w:val="22"/>
          <w:lang w:val="es-CO"/>
        </w:rPr>
        <w:t>publica</w:t>
      </w:r>
      <w:proofErr w:type="spellEnd"/>
      <w:r w:rsidRPr="0066730D">
        <w:rPr>
          <w:rFonts w:ascii="Arial" w:hAnsi="Arial" w:cs="Arial"/>
          <w:sz w:val="22"/>
          <w:lang w:val="es-CO"/>
        </w:rPr>
        <w:t xml:space="preserve">, (sic) puede presentarse a una licitación </w:t>
      </w:r>
      <w:proofErr w:type="spellStart"/>
      <w:r w:rsidRPr="0066730D">
        <w:rPr>
          <w:rFonts w:ascii="Arial" w:hAnsi="Arial" w:cs="Arial"/>
          <w:sz w:val="22"/>
          <w:lang w:val="es-CO"/>
        </w:rPr>
        <w:t>publica</w:t>
      </w:r>
      <w:proofErr w:type="spellEnd"/>
      <w:r w:rsidRPr="0066730D">
        <w:rPr>
          <w:rFonts w:ascii="Arial" w:hAnsi="Arial" w:cs="Arial"/>
          <w:sz w:val="22"/>
          <w:lang w:val="es-CO"/>
        </w:rPr>
        <w:t xml:space="preserve"> (sic) para un contrato de obra en la misma entidad </w:t>
      </w:r>
      <w:proofErr w:type="spellStart"/>
      <w:r w:rsidRPr="0066730D">
        <w:rPr>
          <w:rFonts w:ascii="Arial" w:hAnsi="Arial" w:cs="Arial"/>
          <w:sz w:val="22"/>
          <w:lang w:val="es-CO"/>
        </w:rPr>
        <w:t>publica</w:t>
      </w:r>
      <w:proofErr w:type="spellEnd"/>
      <w:r w:rsidRPr="0066730D">
        <w:rPr>
          <w:rFonts w:ascii="Arial" w:hAnsi="Arial" w:cs="Arial"/>
          <w:sz w:val="22"/>
          <w:lang w:val="es-CO"/>
        </w:rPr>
        <w:t xml:space="preserve">?(sic)  Podría ser el interventor en una obra y a su vez ser el ejecutor de otra obra </w:t>
      </w:r>
      <w:proofErr w:type="spellStart"/>
      <w:r w:rsidRPr="0066730D">
        <w:rPr>
          <w:rFonts w:ascii="Arial" w:hAnsi="Arial" w:cs="Arial"/>
          <w:sz w:val="22"/>
          <w:lang w:val="es-CO"/>
        </w:rPr>
        <w:t>publica</w:t>
      </w:r>
      <w:proofErr w:type="spellEnd"/>
      <w:r w:rsidRPr="0066730D">
        <w:rPr>
          <w:rFonts w:ascii="Arial" w:hAnsi="Arial" w:cs="Arial"/>
          <w:sz w:val="22"/>
          <w:lang w:val="es-CO"/>
        </w:rPr>
        <w:t xml:space="preserve"> (sic) que se le adjudico (sic) con posterioridad?»</w:t>
      </w:r>
    </w:p>
    <w:p w14:paraId="2EEB9B4A" w14:textId="0C12A473" w:rsidR="007F6DBB" w:rsidRPr="0066730D" w:rsidRDefault="007F6DBB" w:rsidP="00E53545">
      <w:pPr>
        <w:ind w:left="709" w:right="709"/>
        <w:jc w:val="both"/>
        <w:rPr>
          <w:rFonts w:ascii="Arial" w:eastAsia="Calibri" w:hAnsi="Arial" w:cs="Arial"/>
          <w:sz w:val="21"/>
          <w:szCs w:val="21"/>
          <w:lang w:val="es-CO"/>
        </w:rPr>
      </w:pPr>
    </w:p>
    <w:p w14:paraId="7727D7B8" w14:textId="3429E105" w:rsidR="007A4292" w:rsidRPr="0066730D" w:rsidRDefault="007A4292" w:rsidP="007A4292">
      <w:pPr>
        <w:spacing w:before="120" w:after="120" w:line="276" w:lineRule="auto"/>
        <w:jc w:val="both"/>
        <w:rPr>
          <w:rFonts w:ascii="Arial" w:eastAsia="Calibri" w:hAnsi="Arial" w:cs="Arial"/>
          <w:sz w:val="22"/>
        </w:rPr>
      </w:pPr>
      <w:r w:rsidRPr="0066730D">
        <w:rPr>
          <w:rFonts w:ascii="Arial" w:eastAsia="Calibri" w:hAnsi="Arial" w:cs="Arial"/>
          <w:sz w:val="22"/>
        </w:rPr>
        <w:t xml:space="preserve">El hecho de que una persona actúe como interventor de contrato de obra pública adjudicado por determinada entidad estatal, por </w:t>
      </w:r>
      <w:proofErr w:type="spellStart"/>
      <w:r w:rsidRPr="0066730D">
        <w:rPr>
          <w:rFonts w:ascii="Arial" w:eastAsia="Calibri" w:hAnsi="Arial" w:cs="Arial"/>
          <w:sz w:val="22"/>
        </w:rPr>
        <w:t>si</w:t>
      </w:r>
      <w:proofErr w:type="spellEnd"/>
      <w:r w:rsidRPr="0066730D">
        <w:rPr>
          <w:rFonts w:ascii="Arial" w:eastAsia="Calibri" w:hAnsi="Arial" w:cs="Arial"/>
          <w:sz w:val="22"/>
        </w:rPr>
        <w:t xml:space="preserve"> solo no constituye causal alguna de inhabilidad o incompatibilidad que impida al referido interventor ejecutar otro contrato de obra pública adjudicado por la misma entidad, </w:t>
      </w:r>
      <w:r w:rsidR="003842AB" w:rsidRPr="0066730D">
        <w:rPr>
          <w:rFonts w:ascii="Arial" w:eastAsia="Calibri" w:hAnsi="Arial" w:cs="Arial"/>
          <w:sz w:val="22"/>
        </w:rPr>
        <w:t>comoquiera que no</w:t>
      </w:r>
      <w:r w:rsidRPr="0066730D">
        <w:rPr>
          <w:rFonts w:ascii="Arial" w:eastAsia="Calibri" w:hAnsi="Arial" w:cs="Arial"/>
          <w:sz w:val="22"/>
        </w:rPr>
        <w:t xml:space="preserve"> encaja dentro de los supuestos de hecho contemplados en las causales de inhabilidad e incompatibilidad establecid</w:t>
      </w:r>
      <w:r w:rsidR="003842AB" w:rsidRPr="0066730D">
        <w:rPr>
          <w:rFonts w:ascii="Arial" w:eastAsia="Calibri" w:hAnsi="Arial" w:cs="Arial"/>
          <w:sz w:val="22"/>
        </w:rPr>
        <w:t>a</w:t>
      </w:r>
      <w:r w:rsidRPr="0066730D">
        <w:rPr>
          <w:rFonts w:ascii="Arial" w:eastAsia="Calibri" w:hAnsi="Arial" w:cs="Arial"/>
          <w:sz w:val="22"/>
        </w:rPr>
        <w:t xml:space="preserve">s en el ordenamiento jurídico, por lo que </w:t>
      </w:r>
      <w:r w:rsidR="003842AB" w:rsidRPr="0066730D">
        <w:rPr>
          <w:rFonts w:ascii="Arial" w:eastAsia="Calibri" w:hAnsi="Arial" w:cs="Arial"/>
          <w:sz w:val="22"/>
        </w:rPr>
        <w:t xml:space="preserve">en principio no habría inconveniente para ejecutar el segundo contrato. </w:t>
      </w:r>
    </w:p>
    <w:p w14:paraId="3DE558D4" w14:textId="68C69367" w:rsidR="007A4292" w:rsidRDefault="007A4292" w:rsidP="00A51F52">
      <w:pPr>
        <w:spacing w:before="120" w:line="276" w:lineRule="auto"/>
        <w:jc w:val="both"/>
        <w:rPr>
          <w:rFonts w:ascii="Arial" w:eastAsia="Calibri" w:hAnsi="Arial" w:cs="Arial"/>
          <w:sz w:val="22"/>
          <w:lang w:val="es-ES_tradnl"/>
        </w:rPr>
      </w:pPr>
      <w:r w:rsidRPr="0066730D">
        <w:rPr>
          <w:rFonts w:ascii="Arial" w:eastAsia="Calibri" w:hAnsi="Arial" w:cs="Arial"/>
          <w:sz w:val="22"/>
        </w:rPr>
        <w:lastRenderedPageBreak/>
        <w:tab/>
        <w:t xml:space="preserve">No obstante, no se descarta </w:t>
      </w:r>
      <w:r w:rsidR="003842AB" w:rsidRPr="0066730D">
        <w:rPr>
          <w:rFonts w:ascii="Arial" w:eastAsia="Calibri" w:hAnsi="Arial" w:cs="Arial"/>
          <w:sz w:val="22"/>
        </w:rPr>
        <w:t>la posibilidad de que en virtud de alguna circunstancia presentada en el marco de la ejecución del contrato de interventoría se puedan presentar circunstancias que si tipifiquen como causales</w:t>
      </w:r>
      <w:r w:rsidR="00632781" w:rsidRPr="0066730D">
        <w:rPr>
          <w:rFonts w:ascii="Arial" w:eastAsia="Calibri" w:hAnsi="Arial" w:cs="Arial"/>
          <w:sz w:val="22"/>
        </w:rPr>
        <w:t xml:space="preserve"> de inhabilidad, como por ejemplo, el hecho de no haber reportado actos de corrupción a la entidad contratante –</w:t>
      </w:r>
      <w:r w:rsidR="00632781" w:rsidRPr="0066730D">
        <w:rPr>
          <w:rFonts w:ascii="Arial" w:eastAsia="Calibri" w:hAnsi="Arial" w:cs="Arial"/>
          <w:sz w:val="22"/>
          <w:lang w:val="es-ES_tradnl"/>
        </w:rPr>
        <w:t xml:space="preserve">literal l del numeral 1 del artículo 8 de la Ley 80 de 1993, adicionado por el parágrafo 2 del artículo 84 de la Ley 1474 de 2011–, circunstancia que una vez ejecutoriado el acto administrativo que la declara, inhabilitará al interventor para participar en procesos de contratación o ejecutar contratos estatales. </w:t>
      </w:r>
    </w:p>
    <w:p w14:paraId="2511BFD8" w14:textId="77777777" w:rsidR="00E20ADA" w:rsidRPr="0066730D" w:rsidRDefault="00E20ADA" w:rsidP="007A4292">
      <w:pPr>
        <w:spacing w:before="120" w:after="120" w:line="276" w:lineRule="auto"/>
        <w:jc w:val="both"/>
        <w:rPr>
          <w:rFonts w:ascii="Arial" w:eastAsia="Calibri" w:hAnsi="Arial" w:cs="Arial"/>
          <w:sz w:val="22"/>
        </w:rPr>
      </w:pPr>
    </w:p>
    <w:p w14:paraId="02D62761" w14:textId="02E67BAD" w:rsidR="007A4292" w:rsidRDefault="007A4292" w:rsidP="007A4292">
      <w:pPr>
        <w:spacing w:before="120" w:after="120"/>
        <w:ind w:left="709" w:right="709"/>
        <w:jc w:val="both"/>
        <w:rPr>
          <w:rFonts w:ascii="Arial" w:hAnsi="Arial" w:cs="Arial"/>
          <w:sz w:val="21"/>
          <w:szCs w:val="21"/>
          <w:lang w:val="es-CO"/>
        </w:rPr>
      </w:pPr>
      <w:r w:rsidRPr="0066730D">
        <w:rPr>
          <w:rFonts w:ascii="Arial" w:hAnsi="Arial" w:cs="Arial"/>
          <w:sz w:val="21"/>
          <w:szCs w:val="21"/>
          <w:lang w:val="es-CO"/>
        </w:rPr>
        <w:t>«2. Los pliego tipo de los procesos de las licitaciones de las obras publicas de infraestructura de transporte (versión 2), reglamentan que la TRM sobre la cual se aplicará la formula será la que aplique el día siguiente a el día que efectivamente se realizan la apertura del sobre No. 2. Ahora bien, hay muchas entidades del orden territorial que trabajan los días sábados, por lo cual mi consulta es: el día viernes se publica la TRM del día hábil siguiente (lunes), si la audiencia de adjudicación comienza el viernes, se suspende, y continua el sábado, día en que se realiza la apertura de los sobres No. 2, la TRM será la del lunes así la entidad estatal conociera la formula desde el viernes, antes de la apertura del sobre No. 2?».</w:t>
      </w:r>
    </w:p>
    <w:p w14:paraId="5F235025" w14:textId="77777777" w:rsidR="00E20ADA" w:rsidRPr="0066730D" w:rsidRDefault="00E20ADA" w:rsidP="007A4292">
      <w:pPr>
        <w:spacing w:before="120" w:after="120"/>
        <w:ind w:left="709" w:right="709"/>
        <w:jc w:val="both"/>
        <w:rPr>
          <w:rFonts w:ascii="Arial" w:eastAsia="Calibri" w:hAnsi="Arial" w:cs="Arial"/>
          <w:sz w:val="21"/>
          <w:szCs w:val="21"/>
          <w:lang w:val="es-ES_tradnl"/>
        </w:rPr>
      </w:pPr>
    </w:p>
    <w:p w14:paraId="46740A46" w14:textId="77777777" w:rsidR="007A4292" w:rsidRPr="0066730D" w:rsidRDefault="007A4292" w:rsidP="007A4292">
      <w:pPr>
        <w:tabs>
          <w:tab w:val="left" w:pos="709"/>
        </w:tabs>
        <w:spacing w:before="120" w:after="240" w:line="276" w:lineRule="auto"/>
        <w:jc w:val="both"/>
        <w:rPr>
          <w:rFonts w:ascii="Arial" w:hAnsi="Arial" w:cs="Arial"/>
          <w:sz w:val="22"/>
        </w:rPr>
      </w:pPr>
      <w:r w:rsidRPr="0066730D">
        <w:rPr>
          <w:rFonts w:ascii="Arial" w:hAnsi="Arial" w:cs="Arial"/>
          <w:sz w:val="22"/>
        </w:rPr>
        <w:t>Si la entidad contratante está obligada a llevar el proceso de contratación en la plataforma SECOP II, la TRM que se debe tener en cuenta para la determinación del método de ponderación de la oferta económica, es la que rija para el día en el que abre el segundo sobre −que contiene la oferta económica−. Pero si la entidad no está obligada a utilizar dicha plataforma y, por ende, el proceso contractual se adelanta haciendo uso del SECOP I, la TRM es la que rija el día hábil siguiente a aquel en el que se abre el segundo sobre.</w:t>
      </w:r>
    </w:p>
    <w:p w14:paraId="6CBB087A" w14:textId="77777777" w:rsidR="007A4292" w:rsidRPr="0066730D" w:rsidRDefault="007A4292" w:rsidP="007A4292">
      <w:pPr>
        <w:tabs>
          <w:tab w:val="left" w:pos="709"/>
        </w:tabs>
        <w:spacing w:before="120" w:after="240" w:line="276" w:lineRule="auto"/>
        <w:jc w:val="both"/>
        <w:rPr>
          <w:rFonts w:ascii="Arial" w:hAnsi="Arial" w:cs="Arial"/>
          <w:sz w:val="22"/>
        </w:rPr>
      </w:pPr>
      <w:r w:rsidRPr="0066730D">
        <w:rPr>
          <w:rFonts w:ascii="Arial" w:hAnsi="Arial" w:cs="Arial"/>
          <w:sz w:val="22"/>
        </w:rPr>
        <w:tab/>
        <w:t>Es del caso precisar que el momento para tener en cuenta es el de la apertura de sobre y no el del inicio de la audiencia efectiva de adjudicación, pues puede pasar, por ejemplo, que dicha audiencia inicie el 1 de mayo de 2020, que ese mismo día se respondan y resuelvan las observaciones presentadas al informe final de evaluación, pero que sea necesario suspender la audiencia y reanudarla al día siguiente porque no se alcanzó a abrir el segundo sobre. En este caso hipotético, aunque la diligencia inició el 1 de mayo de 2020, lo cierto es que el momento que se debe tener en cuenta, para efectos de la determinación del método de ponderación de la oferta económica, es de la apertura efectiva del segundo sobre, para el caso presentado a título ilustrativo, el 2 de mayo de 2020.</w:t>
      </w:r>
    </w:p>
    <w:p w14:paraId="5E41237C" w14:textId="77777777" w:rsidR="007A4292" w:rsidRPr="0066730D" w:rsidRDefault="007A4292" w:rsidP="007A4292">
      <w:pPr>
        <w:autoSpaceDE w:val="0"/>
        <w:autoSpaceDN w:val="0"/>
        <w:adjustRightInd w:val="0"/>
        <w:spacing w:after="240" w:line="276" w:lineRule="auto"/>
        <w:ind w:firstLine="708"/>
        <w:jc w:val="both"/>
        <w:rPr>
          <w:rFonts w:ascii="Arial" w:eastAsia="Calibri" w:hAnsi="Arial" w:cs="Arial"/>
          <w:sz w:val="22"/>
        </w:rPr>
      </w:pPr>
      <w:r w:rsidRPr="0066730D">
        <w:rPr>
          <w:rFonts w:ascii="Arial" w:eastAsia="Calibri" w:hAnsi="Arial" w:cs="Arial"/>
          <w:sz w:val="22"/>
        </w:rPr>
        <w:t xml:space="preserve">En consecuencia, tratándose de procesos que se realicen a través del SECOP I, si la entidad comienza la apertura de ofertas antes de que se publique la TRM y cuando esta se conoce la entidad no ha finalizado el procedimiento, esa será la TRM que seguirá rigiendo la escogencia del método de ponderación de la oferta económica, a pesar de que la TRM se </w:t>
      </w:r>
      <w:r w:rsidRPr="0066730D">
        <w:rPr>
          <w:rFonts w:ascii="Arial" w:eastAsia="Calibri" w:hAnsi="Arial" w:cs="Arial"/>
          <w:sz w:val="22"/>
        </w:rPr>
        <w:lastRenderedPageBreak/>
        <w:t xml:space="preserve">conozca sin haber terminado la apertura de ofertas, por expresa disposición de los Documentos Tipo que rigen el procedimiento, ya que esto no afecta la definición del método de ponderación, porque la entidad debe continuar la apertura de ofertas y finalizarla el mismo día, sin que ello implique cambiar la TRM aplicable. Por su parte, si la apertura de sobres inicia una vez conocida la TRM del día hábil siguiente, la entidad deberá aplicar dicha TRM. </w:t>
      </w:r>
    </w:p>
    <w:p w14:paraId="03FB2CEF" w14:textId="02A0823E" w:rsidR="007A4292" w:rsidRPr="0066730D" w:rsidRDefault="007A4292" w:rsidP="007A4292">
      <w:pPr>
        <w:autoSpaceDE w:val="0"/>
        <w:autoSpaceDN w:val="0"/>
        <w:adjustRightInd w:val="0"/>
        <w:spacing w:after="240" w:line="276" w:lineRule="auto"/>
        <w:ind w:firstLine="708"/>
        <w:jc w:val="both"/>
        <w:rPr>
          <w:rFonts w:ascii="Arial" w:eastAsia="Calibri" w:hAnsi="Arial" w:cs="Arial"/>
          <w:sz w:val="22"/>
        </w:rPr>
      </w:pPr>
      <w:r w:rsidRPr="0066730D">
        <w:rPr>
          <w:rFonts w:ascii="Arial" w:eastAsia="Calibri" w:hAnsi="Arial" w:cs="Arial"/>
          <w:sz w:val="22"/>
        </w:rPr>
        <w:t xml:space="preserve">De esta forma, una vez iniciada la apertura del primer sobre económico, la entidad deberá definir el método de escogencia con la TRM del día hábil siguiente, sin que para el efecto sea necesario que los oferentes conozcan todos los valores ofertados, pues la apertura de sobres y por tanto el conocimiento de los valores ofertados no modifica la TRM aplicable. Así pues, el día en que se realiza la apertura de los sobres económicos es lo relevante para determinar la TRM aplicable. </w:t>
      </w:r>
    </w:p>
    <w:p w14:paraId="62B123EB" w14:textId="24CB42EC" w:rsidR="00632781" w:rsidRPr="0066730D" w:rsidRDefault="00632781" w:rsidP="00275382">
      <w:pPr>
        <w:autoSpaceDE w:val="0"/>
        <w:autoSpaceDN w:val="0"/>
        <w:adjustRightInd w:val="0"/>
        <w:spacing w:line="276" w:lineRule="auto"/>
        <w:ind w:firstLine="708"/>
        <w:jc w:val="both"/>
        <w:rPr>
          <w:rFonts w:ascii="Arial" w:eastAsia="Calibri" w:hAnsi="Arial" w:cs="Arial"/>
          <w:sz w:val="22"/>
        </w:rPr>
      </w:pPr>
      <w:r w:rsidRPr="0066730D">
        <w:rPr>
          <w:rFonts w:ascii="Arial" w:eastAsia="Calibri" w:hAnsi="Arial" w:cs="Arial"/>
          <w:sz w:val="22"/>
        </w:rPr>
        <w:t>En el caso de audiencia de adjudicación celebrada un sábado, en un proceso adelantado en SECOP I, la TRM aplicable será la del día hábil siguiente, es decir, la del lunes –siempre que este</w:t>
      </w:r>
      <w:r w:rsidR="00275382" w:rsidRPr="0066730D">
        <w:rPr>
          <w:rFonts w:ascii="Arial" w:eastAsia="Calibri" w:hAnsi="Arial" w:cs="Arial"/>
          <w:sz w:val="22"/>
        </w:rPr>
        <w:t xml:space="preserve"> no sea festivo–. En el mismo supuesto, pero en un proceso adelantado a través de SECOP II, deberá aplicarse la TRM vigente para ese día, la cual de conformidad con la </w:t>
      </w:r>
      <w:r w:rsidR="00275382" w:rsidRPr="0066730D">
        <w:rPr>
          <w:rFonts w:ascii="Arial" w:eastAsia="Times New Roman" w:hAnsi="Arial" w:cs="Arial"/>
          <w:sz w:val="22"/>
        </w:rPr>
        <w:t xml:space="preserve">Circular Reglamentaria Externa- DODM-146 del 25 de mayo de 2018, expedida por el Banco de la República, contentiva del Manual del Departamento de Operaciones y Desarrollo de Mercados, será la que rija para día hábil siguiente. </w:t>
      </w:r>
    </w:p>
    <w:p w14:paraId="4B7A51A2" w14:textId="77777777" w:rsidR="0066730D" w:rsidRPr="0066730D" w:rsidRDefault="0066730D" w:rsidP="00275382">
      <w:pPr>
        <w:spacing w:line="276" w:lineRule="auto"/>
        <w:ind w:firstLine="708"/>
        <w:jc w:val="both"/>
        <w:rPr>
          <w:rFonts w:ascii="Arial" w:eastAsia="Calibri" w:hAnsi="Arial" w:cs="Arial"/>
          <w:sz w:val="22"/>
          <w:lang w:val="es-ES_tradnl"/>
        </w:rPr>
      </w:pPr>
    </w:p>
    <w:p w14:paraId="7672980E" w14:textId="478721EA" w:rsidR="007F6DBB" w:rsidRPr="0066730D" w:rsidRDefault="00A37FB6" w:rsidP="00F23E3A">
      <w:pPr>
        <w:spacing w:line="276" w:lineRule="auto"/>
        <w:jc w:val="both"/>
        <w:rPr>
          <w:rFonts w:ascii="Arial" w:eastAsia="Calibri" w:hAnsi="Arial" w:cs="Arial"/>
          <w:sz w:val="22"/>
        </w:rPr>
      </w:pPr>
      <w:r w:rsidRPr="0066730D">
        <w:rPr>
          <w:rFonts w:ascii="Arial" w:eastAsia="Calibri" w:hAnsi="Arial" w:cs="Arial"/>
          <w:sz w:val="22"/>
        </w:rPr>
        <w:t>Este concepto tiene el alcance previsto en el artículo 28 del Código de Procedimiento Administrativo y de lo Contencioso Administrativo.</w:t>
      </w:r>
    </w:p>
    <w:p w14:paraId="0F8C901F" w14:textId="4CB60DF9" w:rsidR="00A37FB6" w:rsidRPr="0066730D" w:rsidRDefault="00A37FB6" w:rsidP="00F23E3A">
      <w:pPr>
        <w:spacing w:line="276" w:lineRule="auto"/>
        <w:jc w:val="both"/>
        <w:rPr>
          <w:rFonts w:ascii="Arial" w:eastAsia="Calibri" w:hAnsi="Arial" w:cs="Arial"/>
          <w:sz w:val="22"/>
        </w:rPr>
      </w:pPr>
      <w:r w:rsidRPr="0066730D">
        <w:rPr>
          <w:noProof/>
          <w:lang w:val="en-US"/>
        </w:rPr>
        <mc:AlternateContent>
          <mc:Choice Requires="wps">
            <w:drawing>
              <wp:anchor distT="0" distB="0" distL="114300" distR="114300" simplePos="0" relativeHeight="251658240" behindDoc="0" locked="0" layoutInCell="1" allowOverlap="1" wp14:anchorId="2171F34F" wp14:editId="7F42E02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4AC2055"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5857798B" w14:textId="2C3ABC83" w:rsidR="00275382" w:rsidRPr="0066730D" w:rsidRDefault="00A37FB6" w:rsidP="00DC422C">
      <w:pPr>
        <w:spacing w:line="276" w:lineRule="auto"/>
        <w:rPr>
          <w:noProof/>
          <w:lang w:val="en-US"/>
        </w:rPr>
      </w:pPr>
      <w:r w:rsidRPr="0066730D">
        <w:rPr>
          <w:rFonts w:ascii="Arial" w:eastAsia="Times New Roman" w:hAnsi="Arial" w:cs="Arial"/>
          <w:sz w:val="22"/>
          <w:lang w:eastAsia="es-CO"/>
        </w:rPr>
        <w:t>Atentamente,</w:t>
      </w:r>
    </w:p>
    <w:p w14:paraId="47F91288" w14:textId="5A7596BF" w:rsidR="00275382" w:rsidRPr="0066730D" w:rsidRDefault="00DC422C" w:rsidP="00F23E3A">
      <w:pPr>
        <w:spacing w:line="276" w:lineRule="auto"/>
        <w:jc w:val="center"/>
        <w:rPr>
          <w:noProof/>
          <w:lang w:val="en-US"/>
        </w:rPr>
      </w:pPr>
      <w:r>
        <w:rPr>
          <w:noProof/>
        </w:rPr>
        <w:drawing>
          <wp:inline distT="0" distB="0" distL="0" distR="0" wp14:anchorId="6C24F919" wp14:editId="61751A82">
            <wp:extent cx="2773045" cy="988695"/>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05D482F8" w14:textId="44B1141F" w:rsidR="00593402" w:rsidRDefault="00593402" w:rsidP="00F23E3A">
      <w:pPr>
        <w:spacing w:line="276" w:lineRule="auto"/>
        <w:jc w:val="center"/>
        <w:rPr>
          <w:rFonts w:ascii="Arial" w:eastAsia="Times New Roman" w:hAnsi="Arial" w:cs="Arial"/>
          <w:sz w:val="18"/>
          <w:szCs w:val="20"/>
          <w:lang w:eastAsia="es-CO"/>
        </w:rPr>
      </w:pPr>
    </w:p>
    <w:tbl>
      <w:tblPr>
        <w:tblStyle w:val="Tablaconcuadrcula"/>
        <w:tblpPr w:leftFromText="141" w:rightFromText="141" w:vertAnchor="text" w:horzAnchor="margin" w:tblp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20ADA" w:rsidRPr="0066730D" w14:paraId="16EFF169" w14:textId="77777777" w:rsidTr="00E20ADA">
        <w:trPr>
          <w:trHeight w:val="315"/>
        </w:trPr>
        <w:tc>
          <w:tcPr>
            <w:tcW w:w="812" w:type="dxa"/>
            <w:vAlign w:val="center"/>
            <w:hideMark/>
          </w:tcPr>
          <w:p w14:paraId="3A5786F5" w14:textId="77777777" w:rsidR="00E20ADA" w:rsidRPr="0066730D" w:rsidRDefault="00E20ADA" w:rsidP="00E20ADA">
            <w:pPr>
              <w:rPr>
                <w:rFonts w:ascii="Arial" w:eastAsia="Times New Roman" w:hAnsi="Arial" w:cs="Arial"/>
                <w:sz w:val="16"/>
                <w:szCs w:val="16"/>
                <w:lang w:eastAsia="es-ES"/>
              </w:rPr>
            </w:pPr>
            <w:r w:rsidRPr="0066730D">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AE140F1" w14:textId="77777777" w:rsidR="00E20ADA" w:rsidRPr="0066730D" w:rsidRDefault="00E20ADA" w:rsidP="00E20ADA">
            <w:pPr>
              <w:rPr>
                <w:rFonts w:ascii="Arial" w:eastAsia="Times New Roman" w:hAnsi="Arial" w:cs="Arial"/>
                <w:sz w:val="16"/>
                <w:szCs w:val="16"/>
                <w:lang w:eastAsia="es-ES"/>
              </w:rPr>
            </w:pPr>
            <w:r w:rsidRPr="0066730D">
              <w:rPr>
                <w:rFonts w:ascii="Arial" w:eastAsia="Times New Roman" w:hAnsi="Arial" w:cs="Arial"/>
                <w:sz w:val="16"/>
                <w:szCs w:val="16"/>
                <w:lang w:eastAsia="es-ES"/>
              </w:rPr>
              <w:t>Alejandro Sarmiento Cantillo</w:t>
            </w:r>
          </w:p>
          <w:p w14:paraId="3E853285" w14:textId="77777777" w:rsidR="00E20ADA" w:rsidRPr="0066730D" w:rsidRDefault="00E20ADA" w:rsidP="00E20ADA">
            <w:pPr>
              <w:rPr>
                <w:rFonts w:ascii="Arial" w:eastAsia="Times New Roman" w:hAnsi="Arial" w:cs="Arial"/>
                <w:sz w:val="16"/>
                <w:szCs w:val="16"/>
                <w:lang w:eastAsia="es-ES"/>
              </w:rPr>
            </w:pPr>
            <w:r w:rsidRPr="0066730D">
              <w:rPr>
                <w:rFonts w:ascii="Arial" w:eastAsia="Times New Roman" w:hAnsi="Arial" w:cs="Arial"/>
                <w:sz w:val="16"/>
                <w:szCs w:val="16"/>
                <w:lang w:eastAsia="es-ES"/>
              </w:rPr>
              <w:t>Contratista, Subdirección de Gestión Contractual</w:t>
            </w:r>
          </w:p>
        </w:tc>
      </w:tr>
      <w:tr w:rsidR="00E20ADA" w:rsidRPr="0066730D" w14:paraId="3B5EAFAA" w14:textId="77777777" w:rsidTr="00E20ADA">
        <w:trPr>
          <w:trHeight w:val="330"/>
        </w:trPr>
        <w:tc>
          <w:tcPr>
            <w:tcW w:w="812" w:type="dxa"/>
            <w:vAlign w:val="center"/>
            <w:hideMark/>
          </w:tcPr>
          <w:p w14:paraId="0E0CFB80" w14:textId="77777777" w:rsidR="00E20ADA" w:rsidRPr="0066730D" w:rsidRDefault="00E20ADA" w:rsidP="00E20ADA">
            <w:pPr>
              <w:rPr>
                <w:rFonts w:ascii="Arial" w:eastAsia="Times New Roman" w:hAnsi="Arial" w:cs="Arial"/>
                <w:sz w:val="16"/>
                <w:szCs w:val="16"/>
                <w:lang w:eastAsia="es-ES"/>
              </w:rPr>
            </w:pPr>
            <w:r w:rsidRPr="0066730D">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3191360" w14:textId="39720D8A" w:rsidR="00E20ADA" w:rsidRPr="0066730D" w:rsidRDefault="00E21972" w:rsidP="00E20ADA">
            <w:pPr>
              <w:rPr>
                <w:rFonts w:ascii="Arial" w:eastAsia="Times New Roman" w:hAnsi="Arial" w:cs="Arial"/>
                <w:sz w:val="16"/>
                <w:szCs w:val="16"/>
                <w:lang w:eastAsia="es-ES"/>
              </w:rPr>
            </w:pPr>
            <w:r>
              <w:rPr>
                <w:rFonts w:ascii="Arial" w:eastAsia="Times New Roman" w:hAnsi="Arial" w:cs="Arial"/>
                <w:sz w:val="16"/>
                <w:szCs w:val="16"/>
                <w:lang w:eastAsia="es-ES"/>
              </w:rPr>
              <w:t>Cristian Andrés Díaz Díez</w:t>
            </w:r>
          </w:p>
          <w:p w14:paraId="1409145B" w14:textId="77777777" w:rsidR="00E20ADA" w:rsidRPr="0066730D" w:rsidRDefault="00E20ADA" w:rsidP="00E20ADA">
            <w:pPr>
              <w:rPr>
                <w:rFonts w:ascii="Arial" w:eastAsia="Times New Roman" w:hAnsi="Arial" w:cs="Arial"/>
                <w:sz w:val="16"/>
                <w:szCs w:val="16"/>
                <w:lang w:eastAsia="es-ES"/>
              </w:rPr>
            </w:pPr>
            <w:r w:rsidRPr="0066730D">
              <w:rPr>
                <w:rFonts w:ascii="Arial" w:eastAsia="Times New Roman" w:hAnsi="Arial" w:cs="Arial"/>
                <w:sz w:val="16"/>
                <w:szCs w:val="16"/>
                <w:lang w:eastAsia="es-ES"/>
              </w:rPr>
              <w:t>Contratista, Subdirección de Gestión Contractual</w:t>
            </w:r>
          </w:p>
        </w:tc>
      </w:tr>
      <w:tr w:rsidR="00E20ADA" w:rsidRPr="0066730D" w14:paraId="638AD59A" w14:textId="77777777" w:rsidTr="00E20ADA">
        <w:trPr>
          <w:trHeight w:val="300"/>
        </w:trPr>
        <w:tc>
          <w:tcPr>
            <w:tcW w:w="812" w:type="dxa"/>
            <w:vAlign w:val="center"/>
            <w:hideMark/>
          </w:tcPr>
          <w:p w14:paraId="3A85E6F9" w14:textId="77777777" w:rsidR="00E20ADA" w:rsidRPr="0066730D" w:rsidRDefault="00E20ADA" w:rsidP="00E20ADA">
            <w:pPr>
              <w:rPr>
                <w:rFonts w:ascii="Arial" w:eastAsia="Times New Roman" w:hAnsi="Arial" w:cs="Arial"/>
                <w:sz w:val="16"/>
                <w:szCs w:val="16"/>
                <w:lang w:eastAsia="es-ES"/>
              </w:rPr>
            </w:pPr>
            <w:r w:rsidRPr="0066730D">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DFAAC9C" w14:textId="77777777" w:rsidR="00E20ADA" w:rsidRPr="0066730D" w:rsidRDefault="00E20ADA" w:rsidP="00E20ADA">
            <w:pPr>
              <w:rPr>
                <w:rFonts w:ascii="Arial" w:eastAsia="Times New Roman" w:hAnsi="Arial" w:cs="Arial"/>
                <w:sz w:val="16"/>
                <w:szCs w:val="16"/>
                <w:lang w:eastAsia="es-ES"/>
              </w:rPr>
            </w:pPr>
            <w:r w:rsidRPr="0066730D">
              <w:rPr>
                <w:rFonts w:ascii="Arial" w:eastAsia="Times New Roman" w:hAnsi="Arial" w:cs="Arial"/>
                <w:sz w:val="16"/>
                <w:szCs w:val="16"/>
                <w:lang w:eastAsia="es-ES"/>
              </w:rPr>
              <w:t>Fabián Gonzalo Marín Cortés</w:t>
            </w:r>
          </w:p>
          <w:p w14:paraId="54BCA175" w14:textId="77777777" w:rsidR="00E20ADA" w:rsidRPr="0066730D" w:rsidRDefault="00E20ADA" w:rsidP="00E20ADA">
            <w:pPr>
              <w:rPr>
                <w:rFonts w:ascii="Arial" w:eastAsia="Times New Roman" w:hAnsi="Arial" w:cs="Arial"/>
                <w:sz w:val="16"/>
                <w:szCs w:val="16"/>
                <w:lang w:eastAsia="es-ES"/>
              </w:rPr>
            </w:pPr>
            <w:r w:rsidRPr="0066730D">
              <w:rPr>
                <w:rFonts w:ascii="Arial" w:eastAsia="Times New Roman" w:hAnsi="Arial" w:cs="Arial"/>
                <w:sz w:val="16"/>
                <w:szCs w:val="16"/>
                <w:lang w:eastAsia="es-ES"/>
              </w:rPr>
              <w:t>Subdirector de Gestión Contractual</w:t>
            </w:r>
          </w:p>
        </w:tc>
      </w:tr>
    </w:tbl>
    <w:p w14:paraId="585DD3A9" w14:textId="77777777" w:rsidR="00593402" w:rsidRPr="0066730D" w:rsidRDefault="00593402" w:rsidP="00F23E3A">
      <w:pPr>
        <w:spacing w:line="276" w:lineRule="auto"/>
        <w:jc w:val="center"/>
        <w:rPr>
          <w:rFonts w:ascii="Arial" w:eastAsia="Times New Roman" w:hAnsi="Arial" w:cs="Arial"/>
          <w:sz w:val="18"/>
          <w:szCs w:val="20"/>
          <w:lang w:eastAsia="es-CO"/>
        </w:rPr>
      </w:pPr>
    </w:p>
    <w:bookmarkEnd w:id="3"/>
    <w:p w14:paraId="4418150F" w14:textId="77777777" w:rsidR="00E6699A" w:rsidRPr="0066730D" w:rsidRDefault="00E6699A">
      <w:pPr>
        <w:spacing w:line="276" w:lineRule="auto"/>
        <w:rPr>
          <w:rFonts w:ascii="Arial" w:eastAsia="Times New Roman" w:hAnsi="Arial" w:cs="Arial"/>
          <w:sz w:val="16"/>
          <w:szCs w:val="16"/>
          <w:lang w:eastAsia="es-ES"/>
        </w:rPr>
      </w:pPr>
    </w:p>
    <w:sectPr w:rsidR="00E6699A" w:rsidRPr="0066730D" w:rsidSect="00BC56A0">
      <w:headerReference w:type="default" r:id="rId13"/>
      <w:footerReference w:type="default" r:id="rId14"/>
      <w:pgSz w:w="12240" w:h="15840"/>
      <w:pgMar w:top="1985" w:right="1644" w:bottom="1361" w:left="1644"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28553" w14:textId="77777777" w:rsidR="004C5B64" w:rsidRDefault="004C5B64">
      <w:r>
        <w:separator/>
      </w:r>
    </w:p>
  </w:endnote>
  <w:endnote w:type="continuationSeparator" w:id="0">
    <w:p w14:paraId="62CD61E9" w14:textId="77777777" w:rsidR="004C5B64" w:rsidRDefault="004C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Calibri">
    <w:altName w:val="Times New Roman"/>
    <w:charset w:val="00"/>
    <w:family w:val="roman"/>
    <w:pitch w:val="default"/>
  </w:font>
  <w:font w:name="Arial,Times New Roman">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5C1DA3" w:rsidRDefault="005C1DA3" w:rsidP="00322937">
    <w:pPr>
      <w:pStyle w:val="Sinespaciado"/>
      <w:jc w:val="right"/>
      <w:rPr>
        <w:rFonts w:ascii="Arial" w:hAnsi="Arial" w:cs="Arial"/>
        <w:sz w:val="18"/>
        <w:szCs w:val="18"/>
      </w:rPr>
    </w:pPr>
  </w:p>
  <w:p w14:paraId="7A3785F3" w14:textId="3A1D3F49" w:rsidR="005C1DA3" w:rsidRPr="008217B7" w:rsidRDefault="005C1DA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314A5">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314A5">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48FC6A04" w14:textId="5FD1A7C9" w:rsidR="005C1DA3" w:rsidRDefault="0DB55339" w:rsidP="00322937">
    <w:pPr>
      <w:pStyle w:val="Piedepgina"/>
      <w:jc w:val="center"/>
      <w:rPr>
        <w:lang w:val="es-ES"/>
      </w:rPr>
    </w:pPr>
    <w:r>
      <w:rPr>
        <w:noProof/>
      </w:rPr>
      <w:drawing>
        <wp:inline distT="0" distB="0" distL="0" distR="0" wp14:anchorId="608B196D" wp14:editId="2372EAA8">
          <wp:extent cx="3700130" cy="519139"/>
          <wp:effectExtent l="0" t="0" r="0" b="0"/>
          <wp:docPr id="160694284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5C1DA3" w:rsidRDefault="005C1DA3" w:rsidP="007B0854">
    <w:pPr>
      <w:pStyle w:val="Piedepgina"/>
      <w:jc w:val="center"/>
      <w:rPr>
        <w:lang w:val="es-ES"/>
      </w:rPr>
    </w:pPr>
  </w:p>
  <w:p w14:paraId="6C0EFC49" w14:textId="77777777" w:rsidR="005C1DA3" w:rsidRPr="007B0854" w:rsidRDefault="005C1DA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486DF" w14:textId="77777777" w:rsidR="004C5B64" w:rsidRDefault="004C5B64">
      <w:r>
        <w:separator/>
      </w:r>
    </w:p>
  </w:footnote>
  <w:footnote w:type="continuationSeparator" w:id="0">
    <w:p w14:paraId="60596B0F" w14:textId="77777777" w:rsidR="004C5B64" w:rsidRDefault="004C5B64">
      <w:r>
        <w:continuationSeparator/>
      </w:r>
    </w:p>
  </w:footnote>
  <w:footnote w:id="1">
    <w:p w14:paraId="386809E9" w14:textId="77777777" w:rsidR="00E00962" w:rsidRPr="00C565AC" w:rsidRDefault="00E00962" w:rsidP="00A51F52">
      <w:pPr>
        <w:pStyle w:val="Textonotapie"/>
        <w:ind w:firstLine="708"/>
        <w:jc w:val="both"/>
        <w:rPr>
          <w:rFonts w:ascii="Arial" w:hAnsi="Arial" w:cs="Arial"/>
          <w:iCs/>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w:t>
      </w:r>
      <w:r w:rsidRPr="00C565AC">
        <w:rPr>
          <w:rFonts w:ascii="Arial" w:hAnsi="Arial" w:cs="Arial"/>
          <w:iCs/>
          <w:color w:val="000000" w:themeColor="text1"/>
          <w:sz w:val="19"/>
          <w:szCs w:val="19"/>
        </w:rPr>
        <w:t>Artículo 3 de la Ley 80 de 1993.</w:t>
      </w:r>
    </w:p>
    <w:p w14:paraId="0A50FB8D" w14:textId="77777777" w:rsidR="00E00962" w:rsidRPr="00C565AC" w:rsidRDefault="00E00962" w:rsidP="00A51F52">
      <w:pPr>
        <w:pStyle w:val="Textonotapie"/>
        <w:jc w:val="both"/>
        <w:rPr>
          <w:rFonts w:ascii="Arial" w:hAnsi="Arial" w:cs="Arial"/>
          <w:iCs/>
          <w:color w:val="000000" w:themeColor="text1"/>
          <w:sz w:val="19"/>
          <w:szCs w:val="19"/>
        </w:rPr>
      </w:pPr>
    </w:p>
  </w:footnote>
  <w:footnote w:id="2">
    <w:p w14:paraId="5FCF03C6" w14:textId="77777777" w:rsidR="00E00962" w:rsidRPr="00C565AC" w:rsidRDefault="00E00962" w:rsidP="00A51F52">
      <w:pPr>
        <w:pStyle w:val="Textonotapie"/>
        <w:ind w:firstLine="708"/>
        <w:jc w:val="both"/>
        <w:rPr>
          <w:rFonts w:ascii="Arial" w:hAnsi="Arial" w:cs="Arial"/>
          <w:iCs/>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w:t>
      </w:r>
      <w:r w:rsidRPr="00C565AC">
        <w:rPr>
          <w:rFonts w:ascii="Arial" w:hAnsi="Arial" w:cs="Arial"/>
          <w:iCs/>
          <w:color w:val="000000" w:themeColor="text1"/>
          <w:sz w:val="19"/>
          <w:szCs w:val="19"/>
        </w:rPr>
        <w:t>Artículo 17 de la Ley 1150 de 2007.</w:t>
      </w:r>
    </w:p>
    <w:p w14:paraId="23D09B92" w14:textId="77777777" w:rsidR="00E00962" w:rsidRPr="00C565AC" w:rsidRDefault="00E00962" w:rsidP="00A51F52">
      <w:pPr>
        <w:pStyle w:val="Textonotapie"/>
        <w:ind w:firstLine="708"/>
        <w:jc w:val="both"/>
        <w:rPr>
          <w:rFonts w:ascii="Arial" w:hAnsi="Arial" w:cs="Arial"/>
          <w:color w:val="000000" w:themeColor="text1"/>
          <w:sz w:val="19"/>
          <w:szCs w:val="19"/>
        </w:rPr>
      </w:pPr>
    </w:p>
  </w:footnote>
  <w:footnote w:id="3">
    <w:p w14:paraId="14ED054F" w14:textId="77777777" w:rsidR="00E00962" w:rsidRPr="00C565AC" w:rsidRDefault="00E00962" w:rsidP="00A51F52">
      <w:pPr>
        <w:pStyle w:val="Textonotapie"/>
        <w:ind w:firstLine="708"/>
        <w:jc w:val="both"/>
        <w:rPr>
          <w:rFonts w:ascii="Arial" w:hAnsi="Arial" w:cs="Arial"/>
          <w:iCs/>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w:t>
      </w:r>
      <w:r w:rsidRPr="00C565AC">
        <w:rPr>
          <w:rFonts w:ascii="Arial" w:hAnsi="Arial" w:cs="Arial"/>
          <w:iCs/>
          <w:color w:val="000000" w:themeColor="text1"/>
          <w:sz w:val="19"/>
          <w:szCs w:val="19"/>
        </w:rPr>
        <w:t>Artículo 21 de la Ley 1150 de 2007.</w:t>
      </w:r>
    </w:p>
    <w:p w14:paraId="63F1764C" w14:textId="77777777" w:rsidR="00E00962" w:rsidRPr="00C565AC" w:rsidRDefault="00E00962" w:rsidP="00A51F52">
      <w:pPr>
        <w:pStyle w:val="Textonotapie"/>
        <w:jc w:val="both"/>
        <w:rPr>
          <w:rFonts w:ascii="Arial" w:hAnsi="Arial" w:cs="Arial"/>
          <w:color w:val="000000" w:themeColor="text1"/>
          <w:sz w:val="19"/>
          <w:szCs w:val="19"/>
        </w:rPr>
      </w:pPr>
    </w:p>
  </w:footnote>
  <w:footnote w:id="4">
    <w:p w14:paraId="41543034" w14:textId="77777777" w:rsidR="00E00962" w:rsidRPr="00C565AC" w:rsidRDefault="00E00962" w:rsidP="00A51F52">
      <w:pPr>
        <w:pStyle w:val="Textonotapie"/>
        <w:ind w:firstLine="708"/>
        <w:jc w:val="both"/>
        <w:rPr>
          <w:rFonts w:ascii="Arial" w:hAnsi="Arial" w:cs="Arial"/>
          <w:iCs/>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w:t>
      </w:r>
      <w:r w:rsidRPr="00C565AC">
        <w:rPr>
          <w:rFonts w:ascii="Arial" w:hAnsi="Arial" w:cs="Arial"/>
          <w:iCs/>
          <w:color w:val="000000" w:themeColor="text1"/>
          <w:sz w:val="19"/>
          <w:szCs w:val="19"/>
        </w:rPr>
        <w:t>Artículos 83 a 86 de la Ley 1474 de 2011.</w:t>
      </w:r>
    </w:p>
    <w:p w14:paraId="55CA18A0" w14:textId="77777777" w:rsidR="00E00962" w:rsidRPr="00C565AC" w:rsidRDefault="00E00962" w:rsidP="00A51F52">
      <w:pPr>
        <w:pStyle w:val="Textonotapie"/>
        <w:jc w:val="both"/>
        <w:rPr>
          <w:rFonts w:ascii="Arial" w:hAnsi="Arial" w:cs="Arial"/>
          <w:color w:val="000000" w:themeColor="text1"/>
          <w:sz w:val="19"/>
          <w:szCs w:val="19"/>
        </w:rPr>
      </w:pPr>
    </w:p>
  </w:footnote>
  <w:footnote w:id="5">
    <w:p w14:paraId="451F94E1" w14:textId="77777777" w:rsidR="00E00962" w:rsidRPr="00C565AC" w:rsidRDefault="00E00962" w:rsidP="00A51F52">
      <w:pPr>
        <w:pStyle w:val="Textonotapie"/>
        <w:ind w:firstLine="708"/>
        <w:jc w:val="both"/>
        <w:rPr>
          <w:rFonts w:ascii="Arial" w:hAnsi="Arial" w:cs="Arial"/>
          <w:iCs/>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w:t>
      </w:r>
      <w:r w:rsidRPr="00C565AC">
        <w:rPr>
          <w:rFonts w:ascii="Arial" w:hAnsi="Arial" w:cs="Arial"/>
          <w:iCs/>
          <w:color w:val="000000" w:themeColor="text1"/>
          <w:sz w:val="19"/>
          <w:szCs w:val="19"/>
        </w:rPr>
        <w:t xml:space="preserve">Consejo de Estado. Sección 3ª. Sentencia del 27 de noviembre de 2017. M.P. Jaime Orlando Santofimio. </w:t>
      </w:r>
      <w:proofErr w:type="spellStart"/>
      <w:r w:rsidRPr="00C565AC">
        <w:rPr>
          <w:rFonts w:ascii="Arial" w:hAnsi="Arial" w:cs="Arial"/>
          <w:iCs/>
          <w:color w:val="000000" w:themeColor="text1"/>
          <w:sz w:val="19"/>
          <w:szCs w:val="19"/>
        </w:rPr>
        <w:t>Exp</w:t>
      </w:r>
      <w:proofErr w:type="spellEnd"/>
      <w:r w:rsidRPr="00C565AC">
        <w:rPr>
          <w:rFonts w:ascii="Arial" w:hAnsi="Arial" w:cs="Arial"/>
          <w:iCs/>
          <w:color w:val="000000" w:themeColor="text1"/>
          <w:sz w:val="19"/>
          <w:szCs w:val="19"/>
        </w:rPr>
        <w:t>. 51.802.</w:t>
      </w:r>
    </w:p>
    <w:p w14:paraId="679F6503" w14:textId="77777777" w:rsidR="00E00962" w:rsidRPr="00C565AC" w:rsidRDefault="00E00962" w:rsidP="00A51F52">
      <w:pPr>
        <w:pStyle w:val="Textonotapie"/>
        <w:jc w:val="both"/>
        <w:rPr>
          <w:rFonts w:ascii="Arial" w:hAnsi="Arial" w:cs="Arial"/>
          <w:color w:val="000000" w:themeColor="text1"/>
          <w:sz w:val="19"/>
          <w:szCs w:val="19"/>
          <w:lang w:val="es-CO"/>
        </w:rPr>
      </w:pPr>
    </w:p>
  </w:footnote>
  <w:footnote w:id="6">
    <w:p w14:paraId="68F305CB" w14:textId="77777777" w:rsidR="00E00962" w:rsidRPr="00C565AC" w:rsidRDefault="00E00962" w:rsidP="00A51F52">
      <w:pPr>
        <w:pStyle w:val="Textonotapie"/>
        <w:ind w:firstLine="708"/>
        <w:jc w:val="both"/>
        <w:rPr>
          <w:rFonts w:ascii="Arial" w:hAnsi="Arial" w:cs="Arial"/>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w:t>
      </w:r>
      <w:r w:rsidRPr="00C565AC">
        <w:rPr>
          <w:rFonts w:ascii="Arial" w:hAnsi="Arial" w:cs="Arial"/>
          <w:iCs/>
          <w:color w:val="000000" w:themeColor="text1"/>
          <w:sz w:val="19"/>
          <w:szCs w:val="19"/>
        </w:rPr>
        <w:t>SUÁREZ BELTRÁN, Gonzalo. Estudios de derecho contractual público. 1ª Ed. Legis, 2014. Bogotá. p. 256.</w:t>
      </w:r>
    </w:p>
    <w:p w14:paraId="4E32378E" w14:textId="77777777" w:rsidR="00E00962" w:rsidRPr="00C565AC" w:rsidRDefault="00E00962" w:rsidP="00A51F52">
      <w:pPr>
        <w:pStyle w:val="Textonotapie"/>
        <w:jc w:val="both"/>
        <w:rPr>
          <w:rFonts w:ascii="Arial" w:hAnsi="Arial" w:cs="Arial"/>
          <w:color w:val="000000" w:themeColor="text1"/>
          <w:sz w:val="19"/>
          <w:szCs w:val="19"/>
        </w:rPr>
      </w:pPr>
    </w:p>
  </w:footnote>
  <w:footnote w:id="7">
    <w:p w14:paraId="778A1142" w14:textId="77777777" w:rsidR="00E00962" w:rsidRPr="00C565AC" w:rsidRDefault="00E00962" w:rsidP="00A51F52">
      <w:pPr>
        <w:pStyle w:val="Textonotapie"/>
        <w:ind w:firstLine="708"/>
        <w:jc w:val="both"/>
        <w:rPr>
          <w:rFonts w:ascii="Arial" w:hAnsi="Arial" w:cs="Arial"/>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Radicado # 4201913000008240 del 20 de diciembre de 2019.</w:t>
      </w:r>
    </w:p>
    <w:p w14:paraId="06C5068B" w14:textId="77777777" w:rsidR="00E00962" w:rsidRPr="00C565AC" w:rsidRDefault="00E00962" w:rsidP="00A51F52">
      <w:pPr>
        <w:pStyle w:val="Textonotapie"/>
        <w:ind w:firstLine="708"/>
        <w:jc w:val="both"/>
        <w:rPr>
          <w:rFonts w:ascii="Arial" w:hAnsi="Arial" w:cs="Arial"/>
          <w:color w:val="000000" w:themeColor="text1"/>
          <w:sz w:val="19"/>
          <w:szCs w:val="19"/>
        </w:rPr>
      </w:pPr>
    </w:p>
  </w:footnote>
  <w:footnote w:id="8">
    <w:p w14:paraId="584E6E98" w14:textId="77777777" w:rsidR="00E00962" w:rsidRPr="00C565AC" w:rsidRDefault="00E00962" w:rsidP="00A51F52">
      <w:pPr>
        <w:pStyle w:val="Textonotapie"/>
        <w:ind w:firstLine="708"/>
        <w:jc w:val="both"/>
        <w:rPr>
          <w:rFonts w:ascii="Arial" w:hAnsi="Arial" w:cs="Arial"/>
          <w:color w:val="000000" w:themeColor="text1"/>
          <w:sz w:val="19"/>
          <w:szCs w:val="19"/>
          <w:lang w:val="es-CO"/>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«Son también contratos de consultoría los que tienen por objeto la interventoría[…]»</w:t>
      </w:r>
    </w:p>
  </w:footnote>
  <w:footnote w:id="9">
    <w:p w14:paraId="4BE36391" w14:textId="77777777" w:rsidR="005C1DA3" w:rsidRPr="004519BF" w:rsidRDefault="005C1DA3" w:rsidP="00A51F52">
      <w:pPr>
        <w:pStyle w:val="Textonotapie"/>
        <w:ind w:firstLine="709"/>
        <w:jc w:val="both"/>
        <w:rPr>
          <w:rFonts w:ascii="Arial" w:hAnsi="Arial" w:cs="Arial"/>
          <w:sz w:val="19"/>
          <w:szCs w:val="19"/>
        </w:rPr>
      </w:pPr>
      <w:r w:rsidRPr="004519BF">
        <w:rPr>
          <w:rStyle w:val="Refdenotaalpie"/>
          <w:rFonts w:ascii="Arial" w:hAnsi="Arial" w:cs="Arial"/>
          <w:sz w:val="19"/>
          <w:szCs w:val="19"/>
        </w:rPr>
        <w:footnoteRef/>
      </w:r>
      <w:r w:rsidRPr="004519BF">
        <w:rPr>
          <w:rFonts w:ascii="Arial" w:hAnsi="Arial" w:cs="Arial"/>
          <w:sz w:val="19"/>
          <w:szCs w:val="19"/>
        </w:rPr>
        <w:t xml:space="preserve"> CORTE CONSTITUCIONAL. Sentencia C-1016 de 2012. M.P. Jorge Iván Palacio. </w:t>
      </w:r>
    </w:p>
    <w:p w14:paraId="6D6F94F4" w14:textId="77777777" w:rsidR="005C1DA3" w:rsidRPr="004519BF" w:rsidRDefault="005C1DA3" w:rsidP="00A51F52">
      <w:pPr>
        <w:pStyle w:val="Textonotapie"/>
        <w:ind w:firstLine="709"/>
        <w:jc w:val="both"/>
        <w:rPr>
          <w:rFonts w:ascii="Arial" w:hAnsi="Arial" w:cs="Arial"/>
          <w:sz w:val="19"/>
          <w:szCs w:val="19"/>
        </w:rPr>
      </w:pPr>
    </w:p>
  </w:footnote>
  <w:footnote w:id="10">
    <w:p w14:paraId="0E8DA9BE" w14:textId="403FBF82" w:rsidR="005C1DA3" w:rsidRDefault="005C1DA3" w:rsidP="00A51F52">
      <w:pPr>
        <w:pStyle w:val="Textonotapie"/>
        <w:ind w:firstLine="709"/>
        <w:jc w:val="both"/>
        <w:rPr>
          <w:rFonts w:ascii="Arial" w:hAnsi="Arial" w:cs="Arial"/>
          <w:sz w:val="19"/>
          <w:szCs w:val="19"/>
        </w:rPr>
      </w:pPr>
      <w:r w:rsidRPr="004519BF">
        <w:rPr>
          <w:rStyle w:val="Refdenotaalpie"/>
          <w:rFonts w:ascii="Arial" w:hAnsi="Arial" w:cs="Arial"/>
          <w:sz w:val="19"/>
          <w:szCs w:val="19"/>
        </w:rPr>
        <w:footnoteRef/>
      </w:r>
      <w:r w:rsidRPr="004519BF">
        <w:rPr>
          <w:rFonts w:ascii="Arial" w:hAnsi="Arial" w:cs="Arial"/>
          <w:sz w:val="19"/>
          <w:szCs w:val="19"/>
        </w:rPr>
        <w:t xml:space="preserve"> CONSEJO DE ESTADO. Sección Tercera. Subsección A. Sentencia del 13 de noviembre de 2013. Rad. 25.646. C.P. Mauricio Fajardo Gómez.  </w:t>
      </w:r>
    </w:p>
    <w:p w14:paraId="68A2C2A1" w14:textId="77777777" w:rsidR="00A51F52" w:rsidRPr="004519BF" w:rsidRDefault="00A51F52" w:rsidP="00A51F52">
      <w:pPr>
        <w:pStyle w:val="Textonotapie"/>
        <w:ind w:firstLine="709"/>
        <w:jc w:val="both"/>
        <w:rPr>
          <w:rFonts w:ascii="Arial" w:hAnsi="Arial" w:cs="Arial"/>
          <w:sz w:val="19"/>
          <w:szCs w:val="19"/>
        </w:rPr>
      </w:pPr>
    </w:p>
  </w:footnote>
  <w:footnote w:id="11">
    <w:p w14:paraId="6BB58ECD" w14:textId="77777777" w:rsidR="005C1DA3" w:rsidRPr="004519BF" w:rsidRDefault="005C1DA3" w:rsidP="00A51F52">
      <w:pPr>
        <w:pStyle w:val="Textonotapie"/>
        <w:ind w:firstLine="709"/>
        <w:jc w:val="both"/>
        <w:rPr>
          <w:rFonts w:ascii="Arial" w:hAnsi="Arial" w:cs="Arial"/>
          <w:sz w:val="19"/>
          <w:szCs w:val="19"/>
        </w:rPr>
      </w:pPr>
      <w:r w:rsidRPr="004519BF">
        <w:rPr>
          <w:rFonts w:ascii="Arial" w:hAnsi="Arial" w:cs="Arial"/>
          <w:sz w:val="19"/>
          <w:szCs w:val="19"/>
          <w:vertAlign w:val="superscript"/>
        </w:rPr>
        <w:footnoteRef/>
      </w:r>
      <w:r w:rsidRPr="004519BF">
        <w:rPr>
          <w:rFonts w:ascii="Arial" w:hAnsi="Arial" w:cs="Arial"/>
          <w:sz w:val="19"/>
          <w:szCs w:val="19"/>
        </w:rPr>
        <w:t xml:space="preserve"> CORTE CONSTITUCIONAL. Sentencia C-415 de 1994. M.P. Eduardo Cifuentes Muñoz. </w:t>
      </w:r>
    </w:p>
    <w:p w14:paraId="2F3431D4" w14:textId="77777777" w:rsidR="005C1DA3" w:rsidRPr="004519BF" w:rsidRDefault="005C1DA3" w:rsidP="00A51F52">
      <w:pPr>
        <w:pStyle w:val="Textonotapie"/>
        <w:ind w:firstLine="709"/>
        <w:jc w:val="both"/>
        <w:rPr>
          <w:rFonts w:ascii="Arial" w:hAnsi="Arial" w:cs="Arial"/>
          <w:sz w:val="19"/>
          <w:szCs w:val="19"/>
        </w:rPr>
      </w:pPr>
    </w:p>
  </w:footnote>
  <w:footnote w:id="12">
    <w:p w14:paraId="402F8B8B" w14:textId="1A2C90F4" w:rsidR="005C1DA3" w:rsidRDefault="005C1DA3" w:rsidP="00A51F52">
      <w:pPr>
        <w:pStyle w:val="Textonotapie"/>
        <w:ind w:firstLine="709"/>
        <w:jc w:val="both"/>
        <w:rPr>
          <w:rFonts w:ascii="Arial" w:hAnsi="Arial" w:cs="Arial"/>
          <w:sz w:val="19"/>
          <w:szCs w:val="19"/>
        </w:rPr>
      </w:pPr>
      <w:r w:rsidRPr="004519BF">
        <w:rPr>
          <w:rStyle w:val="Refdenotaalpie"/>
          <w:rFonts w:ascii="Arial" w:hAnsi="Arial" w:cs="Arial"/>
          <w:sz w:val="19"/>
          <w:szCs w:val="19"/>
        </w:rPr>
        <w:footnoteRef/>
      </w:r>
      <w:r w:rsidRPr="004519BF">
        <w:rPr>
          <w:rFonts w:ascii="Arial" w:hAnsi="Arial" w:cs="Arial"/>
          <w:sz w:val="19"/>
          <w:szCs w:val="19"/>
        </w:rPr>
        <w:t xml:space="preserve"> </w:t>
      </w:r>
      <w:proofErr w:type="spellStart"/>
      <w:r w:rsidRPr="004519BF">
        <w:rPr>
          <w:rFonts w:ascii="Arial" w:hAnsi="Arial" w:cs="Arial"/>
          <w:sz w:val="19"/>
          <w:szCs w:val="19"/>
        </w:rPr>
        <w:t>Ibídem</w:t>
      </w:r>
      <w:proofErr w:type="spellEnd"/>
      <w:r w:rsidRPr="004519BF">
        <w:rPr>
          <w:rFonts w:ascii="Arial" w:hAnsi="Arial" w:cs="Arial"/>
          <w:sz w:val="19"/>
          <w:szCs w:val="19"/>
        </w:rPr>
        <w:t xml:space="preserve">. </w:t>
      </w:r>
    </w:p>
    <w:p w14:paraId="3AC19BAF" w14:textId="77777777" w:rsidR="00692D98" w:rsidRPr="004519BF" w:rsidRDefault="00692D98" w:rsidP="00A51F52">
      <w:pPr>
        <w:pStyle w:val="Textonotapie"/>
        <w:jc w:val="both"/>
        <w:rPr>
          <w:rFonts w:ascii="Arial" w:hAnsi="Arial" w:cs="Arial"/>
          <w:sz w:val="19"/>
          <w:szCs w:val="19"/>
        </w:rPr>
      </w:pPr>
    </w:p>
  </w:footnote>
  <w:footnote w:id="13">
    <w:p w14:paraId="2884EEAB" w14:textId="64E7D747" w:rsidR="005C1DA3" w:rsidRDefault="005C1DA3" w:rsidP="00A51F52">
      <w:pPr>
        <w:pStyle w:val="Textonotapie"/>
        <w:ind w:firstLine="709"/>
        <w:jc w:val="both"/>
        <w:rPr>
          <w:rFonts w:ascii="Arial" w:hAnsi="Arial" w:cs="Arial"/>
          <w:sz w:val="19"/>
          <w:szCs w:val="19"/>
        </w:rPr>
      </w:pPr>
      <w:r w:rsidRPr="004519BF">
        <w:rPr>
          <w:rStyle w:val="Refdenotaalpie"/>
          <w:rFonts w:ascii="Arial" w:hAnsi="Arial" w:cs="Arial"/>
          <w:sz w:val="19"/>
          <w:szCs w:val="19"/>
        </w:rPr>
        <w:footnoteRef/>
      </w:r>
      <w:r w:rsidRPr="004519BF">
        <w:rPr>
          <w:rFonts w:ascii="Arial" w:hAnsi="Arial" w:cs="Arial"/>
          <w:sz w:val="19"/>
          <w:szCs w:val="19"/>
        </w:rPr>
        <w:t xml:space="preserve"> CORTE CONSTITUCIONAL. Sentencia C-780 de 2001. M.P. Jaime Córdoba Triviño. </w:t>
      </w:r>
    </w:p>
    <w:p w14:paraId="2D3AB508" w14:textId="77777777" w:rsidR="00A51F52" w:rsidRPr="004519BF" w:rsidRDefault="00A51F52" w:rsidP="00A51F52">
      <w:pPr>
        <w:pStyle w:val="Textonotapie"/>
        <w:ind w:firstLine="709"/>
        <w:jc w:val="both"/>
        <w:rPr>
          <w:rFonts w:ascii="Arial" w:hAnsi="Arial" w:cs="Arial"/>
          <w:sz w:val="19"/>
          <w:szCs w:val="19"/>
        </w:rPr>
      </w:pPr>
    </w:p>
  </w:footnote>
  <w:footnote w:id="14">
    <w:p w14:paraId="0EC4CE19" w14:textId="77777777" w:rsidR="005C1DA3" w:rsidRPr="004519BF" w:rsidRDefault="005C1DA3" w:rsidP="00A51F52">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Style w:val="Refdenotaalpie"/>
          <w:rFonts w:ascii="Arial" w:hAnsi="Arial" w:cs="Arial"/>
          <w:sz w:val="19"/>
          <w:szCs w:val="19"/>
        </w:rPr>
        <w:footnoteRef/>
      </w:r>
      <w:r w:rsidRPr="004519BF">
        <w:rPr>
          <w:rFonts w:ascii="Arial" w:hAnsi="Arial" w:cs="Arial"/>
          <w:sz w:val="19"/>
          <w:szCs w:val="19"/>
        </w:rPr>
        <w:t xml:space="preserve"> </w:t>
      </w:r>
      <w:r w:rsidRPr="004519BF">
        <w:rPr>
          <w:rFonts w:ascii="Arial" w:eastAsiaTheme="minorHAnsi" w:hAnsi="Arial" w:cs="Arial"/>
          <w:sz w:val="19"/>
          <w:szCs w:val="19"/>
          <w:lang w:val="es-ES" w:eastAsia="en-US"/>
        </w:rPr>
        <w:t>Ley 80 de 1993: «Artículo 8: 1o. Son inhábiles para participar en licitaciones o concursos y para celebrar contratos con las entidades estatales: </w:t>
      </w:r>
    </w:p>
    <w:p w14:paraId="2F233C7F" w14:textId="1F9CF8E3" w:rsidR="005C1DA3" w:rsidRPr="004519BF" w:rsidRDefault="005C1DA3" w:rsidP="00A51F52">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»a) Las personas que se hallen inhabilitadas para contratar por la Constitución y las leyes. </w:t>
      </w:r>
    </w:p>
    <w:p w14:paraId="75D49C71" w14:textId="6404E777" w:rsidR="005C1DA3" w:rsidRPr="004519BF" w:rsidRDefault="005C1DA3" w:rsidP="00A51F52">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»b) Quienes participaron en las licitaciones o concursos o celebraron los contratos de que trata el literal anterior estando inhabilitados. </w:t>
      </w:r>
    </w:p>
    <w:p w14:paraId="78827FC0" w14:textId="2B30B99E" w:rsidR="005C1DA3" w:rsidRPr="004519BF" w:rsidRDefault="005C1DA3" w:rsidP="00A51F52">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»c) Quienes dieron lugar a la declaratoria de caducidad. </w:t>
      </w:r>
    </w:p>
    <w:p w14:paraId="416BEDBF" w14:textId="074D9FC5" w:rsidR="005C1DA3" w:rsidRPr="004519BF" w:rsidRDefault="005C1DA3" w:rsidP="00A51F52">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»d) Quienes en sentencia judicial hayan sido condenados a la pena accesoria de interdicción de derechos y funciones públicas y quienes hayan sido sancionados disciplinariamente con destitución. </w:t>
      </w:r>
    </w:p>
    <w:p w14:paraId="648CA21C" w14:textId="47F6F2FA" w:rsidR="005C1DA3" w:rsidRPr="004519BF" w:rsidRDefault="005C1DA3" w:rsidP="00A51F52">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»e) Quienes sin justa causa se abstengan de suscribir el contrato estatal adjudicado. </w:t>
      </w:r>
    </w:p>
    <w:p w14:paraId="0233F154" w14:textId="67D43350" w:rsidR="005C1DA3" w:rsidRPr="004519BF" w:rsidRDefault="005C1DA3" w:rsidP="00A51F52">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»f) Los servidores públicos. </w:t>
      </w:r>
    </w:p>
    <w:p w14:paraId="1DBDDF3C" w14:textId="52C183BD" w:rsidR="005C1DA3" w:rsidRPr="004519BF" w:rsidRDefault="005C1DA3" w:rsidP="00A51F52">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»g) Quienes sean cónyuges o compañeros permanentes y quienes se encuentren dentro del segundo grado de consanguinidad o segundo de afinidad con cualquier otra persona que formalmente haya presentado propuesta para una misma licitación o concurso. </w:t>
      </w:r>
    </w:p>
    <w:p w14:paraId="1829D1B9" w14:textId="77777777" w:rsidR="005C1DA3" w:rsidRPr="004519BF" w:rsidRDefault="005C1DA3" w:rsidP="00A51F52">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o concurso. </w:t>
      </w:r>
    </w:p>
    <w:p w14:paraId="175F7748" w14:textId="560412B3" w:rsidR="005C1DA3" w:rsidRPr="004519BF" w:rsidRDefault="005C1DA3" w:rsidP="00A51F52">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»i) Los socios de sociedades de personas a las cuales se haya declarado la caducidad, así como las sociedades de personas de las que aquellos formen parte con posterioridad a dicha declaratoria. </w:t>
      </w:r>
    </w:p>
    <w:p w14:paraId="446FCD2A" w14:textId="754E4CBE" w:rsidR="005C1DA3" w:rsidRPr="004519BF" w:rsidRDefault="005C1DA3" w:rsidP="00A51F52">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concurso, o de la de celebración del contrato, o de la de expiración del plazo para su firma. </w:t>
      </w:r>
    </w:p>
    <w:p w14:paraId="101E8D17" w14:textId="57E30E8E" w:rsidR="005C1DA3" w:rsidRPr="004519BF" w:rsidRDefault="005C1DA3" w:rsidP="00A51F52">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14:paraId="7F17741B" w14:textId="3CB24F67" w:rsidR="005C1DA3" w:rsidRPr="004519BF" w:rsidRDefault="005C1DA3" w:rsidP="00A51F52">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»Esta inhabilidad procederá preventivamente aún en los casos en los que esté pendiente la decisión sobre la impugnación de la sentencia condenatoria. Asimismo, la inhabilidad se extenderá a las sociedades de las que hagan parte dichas personas en calidad de administradores, represen</w:t>
      </w:r>
      <w:r w:rsidRPr="004519BF">
        <w:rPr>
          <w:rFonts w:ascii="Arial" w:eastAsiaTheme="minorHAnsi" w:hAnsi="Arial" w:cs="Arial"/>
          <w:sz w:val="19"/>
          <w:szCs w:val="19"/>
          <w:lang w:val="es-ES" w:eastAsia="en-US"/>
        </w:rPr>
        <w:softHyphen/>
        <w:t>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w:t>
      </w:r>
      <w:r w:rsidRPr="004519BF">
        <w:rPr>
          <w:rFonts w:ascii="Arial" w:eastAsiaTheme="minorHAnsi" w:hAnsi="Arial" w:cs="Arial"/>
          <w:sz w:val="19"/>
          <w:szCs w:val="19"/>
          <w:lang w:val="es-ES" w:eastAsia="en-US"/>
        </w:rPr>
        <w:softHyphen/>
        <w:t>cepción de las sociedades anónimas abiertas. También se considerarán inhabilitadas para contratar, las personas jurídicas sobre las cuales se haya ordenado la suspensión de la perso</w:t>
      </w:r>
      <w:r w:rsidRPr="004519BF">
        <w:rPr>
          <w:rFonts w:ascii="Arial" w:eastAsiaTheme="minorHAnsi" w:hAnsi="Arial" w:cs="Arial"/>
          <w:sz w:val="19"/>
          <w:szCs w:val="19"/>
          <w:lang w:val="es-ES" w:eastAsia="en-US"/>
        </w:rPr>
        <w:softHyphen/>
        <w:t>nería jurídica en los términos de ley, o cuyos representantes legales, ad</w:t>
      </w:r>
      <w:r w:rsidRPr="004519BF">
        <w:rPr>
          <w:rFonts w:ascii="Arial" w:eastAsiaTheme="minorHAnsi" w:hAnsi="Arial" w:cs="Arial"/>
          <w:sz w:val="19"/>
          <w:szCs w:val="19"/>
          <w:lang w:val="es-ES" w:eastAsia="en-US"/>
        </w:rPr>
        <w:softHyphen/>
        <w:t>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La inhabilidad prevista en este literal se extenderá de forma perma</w:t>
      </w:r>
      <w:r w:rsidRPr="004519BF">
        <w:rPr>
          <w:rFonts w:ascii="Arial" w:eastAsiaTheme="minorHAnsi" w:hAnsi="Arial" w:cs="Arial"/>
          <w:sz w:val="19"/>
          <w:szCs w:val="19"/>
          <w:lang w:val="es-ES" w:eastAsia="en-US"/>
        </w:rPr>
        <w:softHyphen/>
        <w:t>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w:t>
      </w:r>
    </w:p>
    <w:p w14:paraId="41CE3E53" w14:textId="77777777" w:rsidR="005C1DA3" w:rsidRPr="004519BF" w:rsidRDefault="005C1DA3" w:rsidP="00A51F52">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w:t>
      </w:r>
    </w:p>
    <w:p w14:paraId="2039BC36" w14:textId="77777777" w:rsidR="005C1DA3" w:rsidRPr="004519BF" w:rsidRDefault="005C1DA3" w:rsidP="00A51F52">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»2o. Tampoco podrán participar en licitaciones o concursos ni celebrar contratos estatales con la entidad respectiva: </w:t>
      </w:r>
    </w:p>
    <w:p w14:paraId="61F63716" w14:textId="77777777" w:rsidR="005C1DA3" w:rsidRPr="004519BF" w:rsidRDefault="005C1DA3" w:rsidP="00A51F52">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w:t>
      </w:r>
      <w:r w:rsidRPr="004519BF">
        <w:rPr>
          <w:rFonts w:ascii="Arial" w:eastAsiaTheme="minorHAnsi" w:hAnsi="Arial" w:cs="Arial"/>
          <w:sz w:val="19"/>
          <w:szCs w:val="19"/>
          <w:lang w:val="es-ES" w:eastAsia="en-US"/>
        </w:rPr>
        <w:tab/>
        <w:t>»a)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 </w:t>
      </w:r>
    </w:p>
    <w:p w14:paraId="3DAC2E2B" w14:textId="77777777" w:rsidR="005C1DA3" w:rsidRPr="004519BF" w:rsidRDefault="005C1DA3" w:rsidP="00A51F52">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w:t>
      </w:r>
      <w:r w:rsidRPr="004519BF">
        <w:rPr>
          <w:rFonts w:ascii="Arial" w:eastAsiaTheme="minorHAnsi" w:hAnsi="Arial" w:cs="Arial"/>
          <w:sz w:val="19"/>
          <w:szCs w:val="19"/>
          <w:lang w:val="es-ES" w:eastAsia="en-US"/>
        </w:rPr>
        <w:tab/>
        <w:t>»b)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w:t>
      </w:r>
    </w:p>
    <w:p w14:paraId="11740609" w14:textId="77777777" w:rsidR="005C1DA3" w:rsidRPr="004519BF" w:rsidRDefault="005C1DA3" w:rsidP="00A51F52">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w:t>
      </w:r>
      <w:r w:rsidRPr="004519BF">
        <w:rPr>
          <w:rFonts w:ascii="Arial" w:eastAsiaTheme="minorHAnsi" w:hAnsi="Arial" w:cs="Arial"/>
          <w:sz w:val="19"/>
          <w:szCs w:val="19"/>
          <w:lang w:val="es-ES" w:eastAsia="en-US"/>
        </w:rPr>
        <w:tab/>
        <w:t>»c) El cónyuge, compañero o compañera permanente del servidor público en los niveles directivo, asesor, ejecutivo, o de un miembro de la junta o consejo directivo, o de quien ejerza funciones de control interno o de control fiscal. </w:t>
      </w:r>
    </w:p>
    <w:p w14:paraId="2B1835A7" w14:textId="77777777" w:rsidR="005C1DA3" w:rsidRPr="004519BF" w:rsidRDefault="005C1DA3" w:rsidP="00A51F52">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w:t>
      </w:r>
      <w:r w:rsidRPr="004519BF">
        <w:rPr>
          <w:rFonts w:ascii="Arial" w:eastAsiaTheme="minorHAnsi" w:hAnsi="Arial" w:cs="Arial"/>
          <w:sz w:val="19"/>
          <w:szCs w:val="19"/>
          <w:lang w:val="es-ES" w:eastAsia="en-US"/>
        </w:rPr>
        <w:tab/>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w:t>
      </w:r>
    </w:p>
    <w:p w14:paraId="5ACF0BDA" w14:textId="3CBDBCE3" w:rsidR="005C1DA3" w:rsidRPr="004519BF" w:rsidRDefault="005C1DA3" w:rsidP="00A51F52">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»e) Los miembros de las juntas o consejos directivos. Esta incompatibilidad sólo se predica respecto de la entidad a la cual prestan sus servicios y de las del sector administrativo al que la misma esté adscrita o vinculada. </w:t>
      </w:r>
    </w:p>
    <w:p w14:paraId="1AB34B8C" w14:textId="13900B86" w:rsidR="005C1DA3" w:rsidRDefault="005C1DA3" w:rsidP="00A51F52">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xml:space="preserve">»f)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Esta incompatibilidad también operará para las personas que se encuentren dentro del primer grado de consanguinidad, primero de afinidad, o primero civil del ex empleado público». </w:t>
      </w:r>
    </w:p>
    <w:p w14:paraId="04AC6065" w14:textId="77777777" w:rsidR="00A51F52" w:rsidRPr="004519BF" w:rsidRDefault="00A51F52" w:rsidP="00A51F52">
      <w:pPr>
        <w:pStyle w:val="NormalWeb"/>
        <w:spacing w:before="0" w:beforeAutospacing="0" w:after="0" w:afterAutospacing="0"/>
        <w:ind w:firstLine="709"/>
        <w:jc w:val="both"/>
        <w:rPr>
          <w:rFonts w:ascii="Arial" w:eastAsiaTheme="minorHAnsi" w:hAnsi="Arial" w:cs="Arial"/>
          <w:sz w:val="19"/>
          <w:szCs w:val="19"/>
          <w:lang w:val="es-ES" w:eastAsia="en-US"/>
        </w:rPr>
      </w:pPr>
    </w:p>
  </w:footnote>
  <w:footnote w:id="15">
    <w:p w14:paraId="54BB7FD0" w14:textId="307E6782" w:rsidR="005C1DA3" w:rsidRDefault="005C1DA3" w:rsidP="00A51F52">
      <w:pPr>
        <w:pStyle w:val="Textonotapie"/>
        <w:ind w:firstLine="709"/>
        <w:jc w:val="both"/>
        <w:rPr>
          <w:rFonts w:ascii="Arial" w:hAnsi="Arial" w:cs="Arial"/>
          <w:sz w:val="19"/>
          <w:szCs w:val="19"/>
          <w:lang w:val="es-ES"/>
        </w:rPr>
      </w:pPr>
      <w:r w:rsidRPr="004519BF">
        <w:rPr>
          <w:rStyle w:val="Refdenotaalpie"/>
          <w:rFonts w:ascii="Arial" w:hAnsi="Arial" w:cs="Arial"/>
          <w:sz w:val="19"/>
          <w:szCs w:val="19"/>
        </w:rPr>
        <w:footnoteRef/>
      </w:r>
      <w:r w:rsidRPr="004519BF">
        <w:rPr>
          <w:rFonts w:ascii="Arial" w:hAnsi="Arial" w:cs="Arial"/>
          <w:sz w:val="19"/>
          <w:szCs w:val="19"/>
        </w:rPr>
        <w:t xml:space="preserve"> DÁVILA VINUEZA, Luis Guillermo. </w:t>
      </w:r>
      <w:r w:rsidRPr="004519BF">
        <w:rPr>
          <w:rFonts w:ascii="Arial" w:hAnsi="Arial" w:cs="Arial"/>
          <w:sz w:val="19"/>
          <w:szCs w:val="19"/>
          <w:lang w:val="es-ES"/>
        </w:rPr>
        <w:t xml:space="preserve">Régimen Jurídico De La Contratación Estatal. Recuperado de https://xperta.legis.co, Capítulo VI Inhabilidades e Incompatibilidades, Sección 2 Interpretación Restrictiva. </w:t>
      </w:r>
    </w:p>
    <w:p w14:paraId="7C55C562" w14:textId="77777777" w:rsidR="00692D98" w:rsidRPr="004519BF" w:rsidRDefault="00692D98" w:rsidP="00A51F52">
      <w:pPr>
        <w:pStyle w:val="Textonotapie"/>
        <w:ind w:firstLine="709"/>
        <w:jc w:val="both"/>
        <w:rPr>
          <w:rFonts w:ascii="Arial" w:hAnsi="Arial" w:cs="Arial"/>
          <w:sz w:val="19"/>
          <w:szCs w:val="19"/>
          <w:lang w:val="es-ES"/>
        </w:rPr>
      </w:pPr>
    </w:p>
  </w:footnote>
  <w:footnote w:id="16">
    <w:p w14:paraId="3811063F" w14:textId="018234AB" w:rsidR="005C1DA3" w:rsidRDefault="005C1DA3" w:rsidP="00A51F52">
      <w:pPr>
        <w:pStyle w:val="Textonotapie"/>
        <w:ind w:firstLine="709"/>
        <w:jc w:val="both"/>
        <w:rPr>
          <w:rFonts w:ascii="Arial" w:hAnsi="Arial" w:cs="Arial"/>
          <w:sz w:val="19"/>
          <w:szCs w:val="19"/>
          <w:lang w:val="es-ES"/>
        </w:rPr>
      </w:pPr>
      <w:r w:rsidRPr="004519BF">
        <w:rPr>
          <w:rStyle w:val="Refdenotaalpie"/>
          <w:rFonts w:ascii="Arial" w:hAnsi="Arial" w:cs="Arial"/>
          <w:sz w:val="19"/>
          <w:szCs w:val="19"/>
        </w:rPr>
        <w:footnoteRef/>
      </w:r>
      <w:r w:rsidRPr="004519BF">
        <w:rPr>
          <w:rFonts w:ascii="Arial" w:hAnsi="Arial" w:cs="Arial"/>
          <w:sz w:val="19"/>
          <w:szCs w:val="19"/>
        </w:rPr>
        <w:t xml:space="preserve"> </w:t>
      </w:r>
      <w:r w:rsidRPr="004519BF">
        <w:rPr>
          <w:rFonts w:ascii="Arial" w:hAnsi="Arial" w:cs="Arial"/>
          <w:sz w:val="19"/>
          <w:szCs w:val="19"/>
          <w:lang w:val="es-ES"/>
        </w:rPr>
        <w:t xml:space="preserve">CORTE CONSTITUCIONAL. Sentencia T-1039 de 2006. M.P. Humberto Sierra Porto. La Corte Constitucional ha mantenido este criterio en las sentencias: C-903 de 2008. M.P. Jaime Araujo Rentería; C-101 de 2018. M.P. Gloria Stella Ortiz Delgado; entre otras. </w:t>
      </w:r>
    </w:p>
    <w:p w14:paraId="7B2B4588" w14:textId="77777777" w:rsidR="00692D98" w:rsidRPr="004519BF" w:rsidRDefault="00692D98" w:rsidP="00A51F52">
      <w:pPr>
        <w:pStyle w:val="Textonotapie"/>
        <w:ind w:firstLine="709"/>
        <w:jc w:val="both"/>
        <w:rPr>
          <w:rFonts w:ascii="Arial" w:hAnsi="Arial" w:cs="Arial"/>
          <w:sz w:val="19"/>
          <w:szCs w:val="19"/>
          <w:lang w:val="es-ES"/>
        </w:rPr>
      </w:pPr>
    </w:p>
  </w:footnote>
  <w:footnote w:id="17">
    <w:p w14:paraId="4FE16212" w14:textId="48A8A42F" w:rsidR="005C1DA3" w:rsidRDefault="005C1DA3" w:rsidP="00A51F52">
      <w:pPr>
        <w:pStyle w:val="Textonotapie"/>
        <w:ind w:firstLine="709"/>
        <w:jc w:val="both"/>
        <w:rPr>
          <w:rFonts w:ascii="Arial" w:hAnsi="Arial" w:cs="Arial"/>
          <w:sz w:val="19"/>
          <w:szCs w:val="19"/>
          <w:lang w:val="es-ES"/>
        </w:rPr>
      </w:pPr>
      <w:r w:rsidRPr="004519BF">
        <w:rPr>
          <w:rStyle w:val="Refdenotaalpie"/>
          <w:rFonts w:ascii="Arial" w:hAnsi="Arial" w:cs="Arial"/>
          <w:sz w:val="19"/>
          <w:szCs w:val="19"/>
        </w:rPr>
        <w:footnoteRef/>
      </w:r>
      <w:r w:rsidRPr="004519BF">
        <w:rPr>
          <w:rFonts w:ascii="Arial" w:hAnsi="Arial" w:cs="Arial"/>
          <w:sz w:val="19"/>
          <w:szCs w:val="19"/>
        </w:rPr>
        <w:t xml:space="preserve"> </w:t>
      </w:r>
      <w:r w:rsidRPr="004519BF">
        <w:rPr>
          <w:rFonts w:ascii="Arial" w:hAnsi="Arial" w:cs="Arial"/>
          <w:sz w:val="19"/>
          <w:szCs w:val="19"/>
          <w:lang w:val="es-ES"/>
        </w:rPr>
        <w:t xml:space="preserve">CONSEJO DE ESTADO. Sala de Consulta y Servicio Civil. Concepto del 30 de abril de 2015. </w:t>
      </w:r>
      <w:proofErr w:type="spellStart"/>
      <w:r w:rsidRPr="004519BF">
        <w:rPr>
          <w:rFonts w:ascii="Arial" w:hAnsi="Arial" w:cs="Arial"/>
          <w:sz w:val="19"/>
          <w:szCs w:val="19"/>
          <w:lang w:val="es-ES"/>
        </w:rPr>
        <w:t>Exp</w:t>
      </w:r>
      <w:proofErr w:type="spellEnd"/>
      <w:r w:rsidRPr="004519BF">
        <w:rPr>
          <w:rFonts w:ascii="Arial" w:hAnsi="Arial" w:cs="Arial"/>
          <w:sz w:val="19"/>
          <w:szCs w:val="19"/>
          <w:lang w:val="es-ES"/>
        </w:rPr>
        <w:t xml:space="preserve">. 2251. Consejero Ponente: Álvaro </w:t>
      </w:r>
      <w:proofErr w:type="spellStart"/>
      <w:r w:rsidRPr="004519BF">
        <w:rPr>
          <w:rFonts w:ascii="Arial" w:hAnsi="Arial" w:cs="Arial"/>
          <w:sz w:val="19"/>
          <w:szCs w:val="19"/>
          <w:lang w:val="es-ES"/>
        </w:rPr>
        <w:t>Namén</w:t>
      </w:r>
      <w:proofErr w:type="spellEnd"/>
      <w:r w:rsidRPr="004519BF">
        <w:rPr>
          <w:rFonts w:ascii="Arial" w:hAnsi="Arial" w:cs="Arial"/>
          <w:sz w:val="19"/>
          <w:szCs w:val="19"/>
          <w:lang w:val="es-ES"/>
        </w:rPr>
        <w:t xml:space="preserve"> Vargas.</w:t>
      </w:r>
    </w:p>
    <w:p w14:paraId="08AF6B5B" w14:textId="77777777" w:rsidR="00A51F52" w:rsidRPr="004519BF" w:rsidRDefault="00A51F52" w:rsidP="00A51F52">
      <w:pPr>
        <w:pStyle w:val="Textonotapie"/>
        <w:ind w:firstLine="709"/>
        <w:jc w:val="both"/>
        <w:rPr>
          <w:rFonts w:ascii="Arial" w:hAnsi="Arial" w:cs="Arial"/>
          <w:sz w:val="19"/>
          <w:szCs w:val="19"/>
          <w:lang w:val="es-ES"/>
        </w:rPr>
      </w:pPr>
    </w:p>
  </w:footnote>
  <w:footnote w:id="18">
    <w:p w14:paraId="7D5FCEAF" w14:textId="08657E6B" w:rsidR="005C1DA3" w:rsidRDefault="005C1DA3" w:rsidP="00A51F52">
      <w:pPr>
        <w:pStyle w:val="Textonotapie"/>
        <w:ind w:firstLine="709"/>
        <w:jc w:val="both"/>
        <w:rPr>
          <w:rFonts w:ascii="Arial" w:hAnsi="Arial" w:cs="Arial"/>
          <w:sz w:val="19"/>
          <w:szCs w:val="19"/>
        </w:rPr>
      </w:pPr>
      <w:r w:rsidRPr="004519BF">
        <w:rPr>
          <w:rStyle w:val="Refdenotaalpie"/>
          <w:rFonts w:ascii="Arial" w:hAnsi="Arial" w:cs="Arial"/>
          <w:sz w:val="19"/>
          <w:szCs w:val="19"/>
        </w:rPr>
        <w:footnoteRef/>
      </w:r>
      <w:r w:rsidRPr="004519BF">
        <w:rPr>
          <w:rFonts w:ascii="Arial" w:hAnsi="Arial" w:cs="Arial"/>
          <w:sz w:val="19"/>
          <w:szCs w:val="19"/>
        </w:rPr>
        <w:t xml:space="preserve"> CONSEJO DE ESTADO. Sección Tercera. Subsección A. Sentencia del 24 de junio de 2015. Rad. 40.635. Consejero Ponente: Hernán Andrade Rincón (E).</w:t>
      </w:r>
    </w:p>
    <w:p w14:paraId="38AF8844" w14:textId="77777777" w:rsidR="007A4292" w:rsidRPr="004519BF" w:rsidRDefault="007A4292" w:rsidP="00A51F52">
      <w:pPr>
        <w:pStyle w:val="Textonotapie"/>
        <w:ind w:firstLine="709"/>
        <w:jc w:val="both"/>
        <w:rPr>
          <w:rFonts w:ascii="Arial" w:hAnsi="Arial" w:cs="Arial"/>
          <w:sz w:val="19"/>
          <w:szCs w:val="19"/>
        </w:rPr>
      </w:pPr>
    </w:p>
  </w:footnote>
  <w:footnote w:id="19">
    <w:p w14:paraId="28F28E3F" w14:textId="6B28AD4B" w:rsidR="005C1DA3" w:rsidRPr="004519BF" w:rsidRDefault="005C1DA3" w:rsidP="00A51F52">
      <w:pPr>
        <w:pStyle w:val="Textonotapie"/>
        <w:ind w:firstLine="709"/>
        <w:jc w:val="both"/>
        <w:rPr>
          <w:rFonts w:ascii="Arial" w:hAnsi="Arial" w:cs="Arial"/>
          <w:sz w:val="19"/>
          <w:szCs w:val="19"/>
        </w:rPr>
      </w:pPr>
      <w:r w:rsidRPr="004519BF">
        <w:rPr>
          <w:rStyle w:val="Refdenotaalpie"/>
          <w:rFonts w:ascii="Arial" w:hAnsi="Arial" w:cs="Arial"/>
          <w:sz w:val="19"/>
          <w:szCs w:val="19"/>
        </w:rPr>
        <w:footnoteRef/>
      </w:r>
      <w:r w:rsidRPr="004519BF">
        <w:rPr>
          <w:rFonts w:ascii="Arial" w:hAnsi="Arial" w:cs="Arial"/>
          <w:sz w:val="19"/>
          <w:szCs w:val="19"/>
        </w:rPr>
        <w:t xml:space="preserve"> CONSEJO DE ESTADO. Sección Tercera. Subsección C. Sentencia del 22 de mayo de 2013. Rad. 24.057. Consejera Ponente: Olga </w:t>
      </w:r>
      <w:proofErr w:type="spellStart"/>
      <w:r w:rsidRPr="004519BF">
        <w:rPr>
          <w:rFonts w:ascii="Arial" w:hAnsi="Arial" w:cs="Arial"/>
          <w:sz w:val="19"/>
          <w:szCs w:val="19"/>
        </w:rPr>
        <w:t>Melida</w:t>
      </w:r>
      <w:proofErr w:type="spellEnd"/>
      <w:r w:rsidRPr="004519BF">
        <w:rPr>
          <w:rFonts w:ascii="Arial" w:hAnsi="Arial" w:cs="Arial"/>
          <w:sz w:val="19"/>
          <w:szCs w:val="19"/>
        </w:rPr>
        <w:t xml:space="preserve"> Valle De </w:t>
      </w:r>
      <w:proofErr w:type="spellStart"/>
      <w:r w:rsidRPr="004519BF">
        <w:rPr>
          <w:rFonts w:ascii="Arial" w:hAnsi="Arial" w:cs="Arial"/>
          <w:sz w:val="19"/>
          <w:szCs w:val="19"/>
        </w:rPr>
        <w:t>De</w:t>
      </w:r>
      <w:proofErr w:type="spellEnd"/>
      <w:r w:rsidRPr="004519BF">
        <w:rPr>
          <w:rFonts w:ascii="Arial" w:hAnsi="Arial" w:cs="Arial"/>
          <w:sz w:val="19"/>
          <w:szCs w:val="19"/>
        </w:rPr>
        <w:t xml:space="preserve"> La Hoz.</w:t>
      </w:r>
    </w:p>
  </w:footnote>
  <w:footnote w:id="20">
    <w:p w14:paraId="7D3632EC" w14:textId="77777777" w:rsidR="002C4B31" w:rsidRDefault="002C4B31" w:rsidP="00A51F52">
      <w:pPr>
        <w:pStyle w:val="Textonotapie"/>
        <w:jc w:val="both"/>
      </w:pPr>
    </w:p>
    <w:p w14:paraId="1235345B" w14:textId="42A07B8B" w:rsidR="002C4B31" w:rsidRPr="002C4B31" w:rsidRDefault="002C4B31" w:rsidP="00A51F52">
      <w:pPr>
        <w:ind w:firstLine="708"/>
        <w:jc w:val="both"/>
        <w:rPr>
          <w:rFonts w:ascii="Arial" w:hAnsi="Arial" w:cs="Arial"/>
          <w:sz w:val="19"/>
          <w:szCs w:val="19"/>
        </w:rPr>
      </w:pPr>
      <w:r w:rsidRPr="002C4B31">
        <w:rPr>
          <w:rStyle w:val="Refdenotaalpie"/>
          <w:rFonts w:ascii="Arial" w:hAnsi="Arial" w:cs="Arial"/>
          <w:sz w:val="19"/>
          <w:szCs w:val="19"/>
        </w:rPr>
        <w:footnoteRef/>
      </w:r>
      <w:r w:rsidRPr="002C4B31">
        <w:rPr>
          <w:rFonts w:ascii="Arial" w:hAnsi="Arial" w:cs="Arial"/>
          <w:sz w:val="19"/>
          <w:szCs w:val="19"/>
        </w:rPr>
        <w:t xml:space="preserve">  Ley 1474 de 2011 «Artículo 5°. Quien haya celebrado un contrato estatal de obra pública, de concesión, suministro de medicamentos y de alimentos o su cónyuge, compañero o compañera permanente, pariente hasta el segundo grado de </w:t>
      </w:r>
      <w:proofErr w:type="spellStart"/>
      <w:r w:rsidRPr="002C4B31">
        <w:rPr>
          <w:rFonts w:ascii="Arial" w:hAnsi="Arial" w:cs="Arial"/>
          <w:sz w:val="19"/>
          <w:szCs w:val="19"/>
        </w:rPr>
        <w:t>consaguinidad</w:t>
      </w:r>
      <w:proofErr w:type="spellEnd"/>
      <w:r w:rsidRPr="002C4B31">
        <w:rPr>
          <w:rFonts w:ascii="Arial" w:hAnsi="Arial" w:cs="Arial"/>
          <w:sz w:val="19"/>
          <w:szCs w:val="19"/>
        </w:rPr>
        <w:t xml:space="preserve">, segundo de afinidad y/o primero civil o sus socios en sociedades distintas de las anónimas abiertas, con las entidades a que se refiere el artículo 2° de la Ley 80 de 1993, durante el plazo de ejecución y hasta la liquidación del mismo, no podrán celebrar contratos de interventoría con la misma entidad». </w:t>
      </w:r>
    </w:p>
    <w:p w14:paraId="654F4518" w14:textId="424404E5" w:rsidR="002C4B31" w:rsidRPr="002C4B31" w:rsidRDefault="002C4B31" w:rsidP="00A51F52">
      <w:pPr>
        <w:pStyle w:val="Textonotapie"/>
        <w:ind w:firstLine="708"/>
        <w:jc w:val="both"/>
        <w:rPr>
          <w:lang w:val="es-CO"/>
        </w:rPr>
      </w:pPr>
    </w:p>
  </w:footnote>
  <w:footnote w:id="21">
    <w:p w14:paraId="7A2B4D24" w14:textId="07499A9A" w:rsidR="00B8302B" w:rsidRPr="00B8302B" w:rsidRDefault="00B8302B" w:rsidP="00A51F52">
      <w:pPr>
        <w:pStyle w:val="Textonotapie"/>
        <w:ind w:firstLine="708"/>
        <w:jc w:val="both"/>
        <w:rPr>
          <w:rFonts w:ascii="Arial" w:hAnsi="Arial" w:cs="Arial"/>
          <w:sz w:val="19"/>
          <w:szCs w:val="19"/>
        </w:rPr>
      </w:pPr>
      <w:r w:rsidRPr="00B8302B">
        <w:rPr>
          <w:rStyle w:val="Refdenotaalpie"/>
          <w:rFonts w:ascii="Arial" w:hAnsi="Arial" w:cs="Arial"/>
          <w:sz w:val="19"/>
          <w:szCs w:val="19"/>
        </w:rPr>
        <w:footnoteRef/>
      </w:r>
      <w:r w:rsidRPr="00B8302B">
        <w:rPr>
          <w:rFonts w:ascii="Arial" w:hAnsi="Arial" w:cs="Arial"/>
          <w:sz w:val="19"/>
          <w:szCs w:val="19"/>
        </w:rPr>
        <w:t xml:space="preserve"> «Artículo 9º. De las inhabilidades e incompatibilidades sobrevi­nientes. Si llegare a sobrevenir inhabilidad o incompatibilidad en el contratista, este cederá el contrato previa autorización escrita de la en­tidad contratante o, si ello no fuere posible, renunciará a su ejecución.  </w:t>
      </w:r>
    </w:p>
    <w:p w14:paraId="010C192D" w14:textId="273F494A" w:rsidR="00B8302B" w:rsidRPr="00B8302B" w:rsidRDefault="00B8302B" w:rsidP="00A51F52">
      <w:pPr>
        <w:pStyle w:val="Textonotapie"/>
        <w:ind w:firstLine="708"/>
        <w:jc w:val="both"/>
        <w:rPr>
          <w:rFonts w:ascii="Arial" w:hAnsi="Arial" w:cs="Arial"/>
          <w:sz w:val="19"/>
          <w:szCs w:val="19"/>
        </w:rPr>
      </w:pPr>
      <w:r w:rsidRPr="00B8302B">
        <w:rPr>
          <w:rFonts w:ascii="Arial" w:hAnsi="Arial" w:cs="Arial"/>
          <w:sz w:val="19"/>
          <w:szCs w:val="19"/>
        </w:rPr>
        <w:t xml:space="preserve">»Cuando la inhabilidad o incompatibilidad sobrevenga en un propo­nente dentro de un proceso de selección, se entenderá que renuncia a la participación en el proceso de selección y a los derechos surgidos del mismo.  </w:t>
      </w:r>
    </w:p>
    <w:p w14:paraId="208C6191" w14:textId="18159574" w:rsidR="00B8302B" w:rsidRPr="00B8302B" w:rsidRDefault="00B8302B" w:rsidP="00A51F52">
      <w:pPr>
        <w:pStyle w:val="Textonotapie"/>
        <w:ind w:firstLine="708"/>
        <w:jc w:val="both"/>
        <w:rPr>
          <w:rFonts w:ascii="Arial" w:hAnsi="Arial" w:cs="Arial"/>
          <w:sz w:val="19"/>
          <w:szCs w:val="19"/>
        </w:rPr>
      </w:pPr>
      <w:r w:rsidRPr="00B8302B">
        <w:rPr>
          <w:rFonts w:ascii="Arial" w:hAnsi="Arial" w:cs="Arial"/>
          <w:sz w:val="19"/>
          <w:szCs w:val="19"/>
        </w:rPr>
        <w:t xml:space="preserve">»Si la inhabilidad o incompatibilidad sobreviene en uno de los miem­bros de un consorcio o unión temporal, este cederá su participación a un tercero previa autorización escrita de la entidad contratante. En ningún caso podrá haber cesión del contrato entre quienes integran el consorcio o unión temporal.  </w:t>
      </w:r>
    </w:p>
    <w:p w14:paraId="5887B667" w14:textId="33BDEC0E" w:rsidR="00B8302B" w:rsidRPr="00B8302B" w:rsidRDefault="00B8302B" w:rsidP="00A51F52">
      <w:pPr>
        <w:pStyle w:val="Textonotapie"/>
        <w:ind w:firstLine="708"/>
        <w:jc w:val="both"/>
        <w:rPr>
          <w:rFonts w:ascii="Arial" w:hAnsi="Arial" w:cs="Arial"/>
          <w:sz w:val="19"/>
          <w:szCs w:val="19"/>
        </w:rPr>
      </w:pPr>
      <w:r w:rsidRPr="00B8302B">
        <w:rPr>
          <w:rFonts w:ascii="Arial" w:hAnsi="Arial" w:cs="Arial"/>
          <w:sz w:val="19"/>
          <w:szCs w:val="19"/>
        </w:rPr>
        <w:t xml:space="preserve">»Parágrafo 1º. Cuando la inhabilidad sobreviniente sea la contem­plada en el literal j) del numeral 1 del artículo 8º de la Ley 80 de 1993, o cuando administrativamente se haya sancionado por actos de corrup­ción al contratista, no procederá la renuncia del contrato a la que se refiere este artículo. La entidad estatal ordenará mediante acto adminis­trativo motivado la cesión unilateral, sin lugar a indemnización alguna al contratista inhábil.  </w:t>
      </w:r>
    </w:p>
    <w:p w14:paraId="4FE08B14" w14:textId="6D6B09A9" w:rsidR="00B8302B" w:rsidRPr="00B8302B" w:rsidRDefault="00B8302B" w:rsidP="00A51F52">
      <w:pPr>
        <w:pStyle w:val="Textonotapie"/>
        <w:ind w:firstLine="708"/>
        <w:jc w:val="both"/>
        <w:rPr>
          <w:rFonts w:ascii="Arial" w:hAnsi="Arial" w:cs="Arial"/>
          <w:sz w:val="19"/>
          <w:szCs w:val="19"/>
        </w:rPr>
      </w:pPr>
      <w:r w:rsidRPr="00B8302B">
        <w:rPr>
          <w:rFonts w:ascii="Arial" w:hAnsi="Arial" w:cs="Arial"/>
          <w:sz w:val="19"/>
          <w:szCs w:val="19"/>
        </w:rPr>
        <w:t xml:space="preserve">»Para el caso de cesión, será la entidad contratante la encargada de determinar el cesionario del contrato.  </w:t>
      </w:r>
    </w:p>
    <w:p w14:paraId="208BED20" w14:textId="4EB1F016" w:rsidR="00B8302B" w:rsidRPr="00B8302B" w:rsidRDefault="00B8302B" w:rsidP="00A51F52">
      <w:pPr>
        <w:pStyle w:val="Textonotapie"/>
        <w:ind w:firstLine="708"/>
        <w:jc w:val="both"/>
        <w:rPr>
          <w:lang w:val="es-CO"/>
        </w:rPr>
      </w:pPr>
      <w:r w:rsidRPr="00B8302B">
        <w:rPr>
          <w:rFonts w:ascii="Arial" w:hAnsi="Arial" w:cs="Arial"/>
          <w:sz w:val="19"/>
          <w:szCs w:val="19"/>
        </w:rPr>
        <w:t>»Parágrafo 2º. El Gobierno nacional reglamentará el procedimiento de la cesión del contrato de que trata este artículo, en término no mayor a seis (6) meses».</w:t>
      </w:r>
    </w:p>
  </w:footnote>
  <w:footnote w:id="22">
    <w:p w14:paraId="4972A092" w14:textId="77777777" w:rsidR="00806E01" w:rsidRPr="00F002F6" w:rsidRDefault="00806E01" w:rsidP="00A51F52">
      <w:pPr>
        <w:pStyle w:val="Textonotapie"/>
        <w:ind w:firstLine="708"/>
        <w:jc w:val="both"/>
        <w:rPr>
          <w:rFonts w:ascii="Arial" w:hAnsi="Arial" w:cs="Arial"/>
          <w:color w:val="000000" w:themeColor="text1"/>
          <w:sz w:val="19"/>
          <w:szCs w:val="19"/>
        </w:rPr>
      </w:pPr>
      <w:r w:rsidRPr="00F002F6">
        <w:rPr>
          <w:rStyle w:val="Refdenotaalpie"/>
          <w:rFonts w:ascii="Arial" w:hAnsi="Arial" w:cs="Arial"/>
          <w:color w:val="000000" w:themeColor="text1"/>
          <w:sz w:val="19"/>
          <w:szCs w:val="19"/>
        </w:rPr>
        <w:footnoteRef/>
      </w:r>
      <w:r w:rsidRPr="00F002F6">
        <w:rPr>
          <w:rFonts w:ascii="Arial" w:hAnsi="Arial" w:cs="Arial"/>
          <w:color w:val="000000" w:themeColor="text1"/>
          <w:sz w:val="19"/>
          <w:szCs w:val="19"/>
        </w:rPr>
        <w:t xml:space="preserve"> 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entre las 7:30 a.m. y la 1 :00 p.m.</w:t>
      </w:r>
    </w:p>
    <w:p w14:paraId="4D86E225" w14:textId="77777777" w:rsidR="00806E01" w:rsidRPr="00F002F6" w:rsidRDefault="00806E01" w:rsidP="00A51F52">
      <w:pPr>
        <w:pStyle w:val="Textonotapie"/>
        <w:ind w:firstLine="708"/>
        <w:jc w:val="both"/>
        <w:rPr>
          <w:rFonts w:ascii="Arial" w:hAnsi="Arial" w:cs="Arial"/>
          <w:color w:val="000000" w:themeColor="text1"/>
          <w:sz w:val="19"/>
          <w:szCs w:val="19"/>
          <w:lang w:val="es-ES"/>
        </w:rPr>
      </w:pPr>
    </w:p>
  </w:footnote>
  <w:footnote w:id="23">
    <w:p w14:paraId="2530B02E" w14:textId="2EFEE1E9" w:rsidR="00275382" w:rsidRPr="00275382" w:rsidRDefault="00275382" w:rsidP="00A51F52">
      <w:pPr>
        <w:pStyle w:val="Textonotapie"/>
        <w:ind w:firstLine="708"/>
        <w:jc w:val="both"/>
        <w:rPr>
          <w:rFonts w:ascii="Arial" w:hAnsi="Arial" w:cs="Arial"/>
          <w:sz w:val="19"/>
          <w:szCs w:val="19"/>
          <w:lang w:val="es-CO"/>
        </w:rPr>
      </w:pPr>
      <w:r w:rsidRPr="00275382">
        <w:rPr>
          <w:rStyle w:val="Refdenotaalpie"/>
          <w:rFonts w:ascii="Arial" w:hAnsi="Arial" w:cs="Arial"/>
          <w:sz w:val="19"/>
          <w:szCs w:val="19"/>
        </w:rPr>
        <w:footnoteRef/>
      </w:r>
      <w:r w:rsidRPr="00275382">
        <w:rPr>
          <w:rFonts w:ascii="Arial" w:eastAsia="Times New Roman" w:hAnsi="Arial" w:cs="Arial"/>
          <w:sz w:val="19"/>
          <w:szCs w:val="19"/>
        </w:rPr>
        <w:t>BANCO DE LA REPÚBLICA. Circular Reglamentaria Externa- DODM-146 del 25 de mayo de 2018</w:t>
      </w:r>
      <w:r w:rsidRPr="00275382">
        <w:rPr>
          <w:rFonts w:ascii="Arial" w:hAnsi="Arial" w:cs="Arial"/>
          <w:sz w:val="19"/>
          <w:szCs w:val="19"/>
        </w:rPr>
        <w:t xml:space="preserve">. </w:t>
      </w:r>
      <w:r w:rsidRPr="00275382">
        <w:rPr>
          <w:rFonts w:ascii="Arial" w:eastAsia="Times New Roman" w:hAnsi="Arial" w:cs="Arial"/>
          <w:sz w:val="19"/>
          <w:szCs w:val="19"/>
        </w:rPr>
        <w:t>Manual del Departamento de Operaciones y Desarrollo de Mercados</w:t>
      </w:r>
      <w:r>
        <w:rPr>
          <w:rFonts w:ascii="Arial" w:hAnsi="Arial" w:cs="Arial"/>
          <w:sz w:val="19"/>
          <w:szCs w:val="19"/>
        </w:rPr>
        <w:t xml:space="preserve">. </w:t>
      </w:r>
      <w:r w:rsidRPr="00275382">
        <w:rPr>
          <w:rFonts w:ascii="Arial" w:hAnsi="Arial" w:cs="Arial"/>
          <w:sz w:val="19"/>
          <w:szCs w:val="19"/>
        </w:rPr>
        <w:t xml:space="preserve">Disponible en: </w:t>
      </w:r>
      <w:hyperlink r:id="rId1" w:history="1">
        <w:r w:rsidRPr="00275382">
          <w:rPr>
            <w:rStyle w:val="Hipervnculo"/>
            <w:rFonts w:ascii="Arial" w:hAnsi="Arial" w:cs="Arial"/>
            <w:color w:val="auto"/>
            <w:sz w:val="19"/>
            <w:szCs w:val="19"/>
          </w:rPr>
          <w:t>https://www.banrep.gov.co/sites/default/files/reglamentacion/archivos/dodm146-25052018.pdf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5C1DA3" w:rsidRDefault="005C1DA3">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B6EE74E4"/>
    <w:lvl w:ilvl="0">
      <w:start w:val="1"/>
      <w:numFmt w:val="decimal"/>
      <w:lvlText w:val="%1."/>
      <w:lvlJc w:val="left"/>
      <w:pPr>
        <w:ind w:left="6601" w:hanging="360"/>
      </w:pPr>
      <w:rPr>
        <w:b/>
        <w:bCs w:val="0"/>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6AF8"/>
    <w:rsid w:val="00027C8A"/>
    <w:rsid w:val="00036BA2"/>
    <w:rsid w:val="00052E6D"/>
    <w:rsid w:val="00062363"/>
    <w:rsid w:val="00070501"/>
    <w:rsid w:val="00083BF8"/>
    <w:rsid w:val="0008444E"/>
    <w:rsid w:val="00084AA0"/>
    <w:rsid w:val="00084B97"/>
    <w:rsid w:val="00084D5B"/>
    <w:rsid w:val="00085147"/>
    <w:rsid w:val="000921C6"/>
    <w:rsid w:val="000942EB"/>
    <w:rsid w:val="000958C6"/>
    <w:rsid w:val="00096EE0"/>
    <w:rsid w:val="000A07FB"/>
    <w:rsid w:val="000B103F"/>
    <w:rsid w:val="000B6F0F"/>
    <w:rsid w:val="000B71E4"/>
    <w:rsid w:val="000C0D40"/>
    <w:rsid w:val="000E3936"/>
    <w:rsid w:val="000F14E8"/>
    <w:rsid w:val="00103915"/>
    <w:rsid w:val="00122B23"/>
    <w:rsid w:val="00125C07"/>
    <w:rsid w:val="001266B1"/>
    <w:rsid w:val="00134461"/>
    <w:rsid w:val="00137FFA"/>
    <w:rsid w:val="00150BAE"/>
    <w:rsid w:val="00155152"/>
    <w:rsid w:val="00157A04"/>
    <w:rsid w:val="001659D9"/>
    <w:rsid w:val="001704FF"/>
    <w:rsid w:val="00170956"/>
    <w:rsid w:val="00172581"/>
    <w:rsid w:val="00172D04"/>
    <w:rsid w:val="00181317"/>
    <w:rsid w:val="001858BE"/>
    <w:rsid w:val="00191592"/>
    <w:rsid w:val="001A0258"/>
    <w:rsid w:val="001A7081"/>
    <w:rsid w:val="001B0444"/>
    <w:rsid w:val="001C13AE"/>
    <w:rsid w:val="001E60CB"/>
    <w:rsid w:val="001F2FFF"/>
    <w:rsid w:val="001F34D4"/>
    <w:rsid w:val="001F7D57"/>
    <w:rsid w:val="002014A1"/>
    <w:rsid w:val="0020632A"/>
    <w:rsid w:val="002110EB"/>
    <w:rsid w:val="00211338"/>
    <w:rsid w:val="002172CF"/>
    <w:rsid w:val="002233B1"/>
    <w:rsid w:val="002314A5"/>
    <w:rsid w:val="00234B84"/>
    <w:rsid w:val="00256641"/>
    <w:rsid w:val="00260F08"/>
    <w:rsid w:val="00261BAA"/>
    <w:rsid w:val="00275382"/>
    <w:rsid w:val="002821D6"/>
    <w:rsid w:val="002A11F2"/>
    <w:rsid w:val="002A3949"/>
    <w:rsid w:val="002A49C2"/>
    <w:rsid w:val="002C4B31"/>
    <w:rsid w:val="002C4C0C"/>
    <w:rsid w:val="002C6274"/>
    <w:rsid w:val="002C7F9C"/>
    <w:rsid w:val="002D6C6B"/>
    <w:rsid w:val="002F1A14"/>
    <w:rsid w:val="002F454C"/>
    <w:rsid w:val="00301123"/>
    <w:rsid w:val="00301184"/>
    <w:rsid w:val="003033BA"/>
    <w:rsid w:val="003074AE"/>
    <w:rsid w:val="003106F2"/>
    <w:rsid w:val="00322937"/>
    <w:rsid w:val="00325E6F"/>
    <w:rsid w:val="00336972"/>
    <w:rsid w:val="00337B47"/>
    <w:rsid w:val="0034177C"/>
    <w:rsid w:val="0034677C"/>
    <w:rsid w:val="0034680A"/>
    <w:rsid w:val="00353DD5"/>
    <w:rsid w:val="00365B43"/>
    <w:rsid w:val="003830F0"/>
    <w:rsid w:val="003842AB"/>
    <w:rsid w:val="00386456"/>
    <w:rsid w:val="00396FE0"/>
    <w:rsid w:val="003A0878"/>
    <w:rsid w:val="003A2753"/>
    <w:rsid w:val="003A581E"/>
    <w:rsid w:val="003A7231"/>
    <w:rsid w:val="003C63A9"/>
    <w:rsid w:val="003D000D"/>
    <w:rsid w:val="003D2E2C"/>
    <w:rsid w:val="003D53A2"/>
    <w:rsid w:val="003D5B6A"/>
    <w:rsid w:val="003E0A47"/>
    <w:rsid w:val="003E211C"/>
    <w:rsid w:val="003F49B8"/>
    <w:rsid w:val="00401FFE"/>
    <w:rsid w:val="00403215"/>
    <w:rsid w:val="004042CB"/>
    <w:rsid w:val="00412C63"/>
    <w:rsid w:val="00423F9F"/>
    <w:rsid w:val="00427331"/>
    <w:rsid w:val="00440622"/>
    <w:rsid w:val="004422D6"/>
    <w:rsid w:val="00445E12"/>
    <w:rsid w:val="00446BE0"/>
    <w:rsid w:val="004519BF"/>
    <w:rsid w:val="004569DB"/>
    <w:rsid w:val="004644A2"/>
    <w:rsid w:val="00471E8E"/>
    <w:rsid w:val="00473979"/>
    <w:rsid w:val="0048136F"/>
    <w:rsid w:val="0049094E"/>
    <w:rsid w:val="0049241A"/>
    <w:rsid w:val="004A10E3"/>
    <w:rsid w:val="004A34D2"/>
    <w:rsid w:val="004B0D4F"/>
    <w:rsid w:val="004C5B64"/>
    <w:rsid w:val="004D60B8"/>
    <w:rsid w:val="004E0E0D"/>
    <w:rsid w:val="004E5EAC"/>
    <w:rsid w:val="00503206"/>
    <w:rsid w:val="005078D7"/>
    <w:rsid w:val="0051074C"/>
    <w:rsid w:val="00513AF2"/>
    <w:rsid w:val="005178B0"/>
    <w:rsid w:val="00522707"/>
    <w:rsid w:val="005301D8"/>
    <w:rsid w:val="0054413A"/>
    <w:rsid w:val="005564CA"/>
    <w:rsid w:val="00557640"/>
    <w:rsid w:val="0056182B"/>
    <w:rsid w:val="005756AA"/>
    <w:rsid w:val="00576CEB"/>
    <w:rsid w:val="005816CA"/>
    <w:rsid w:val="00582C39"/>
    <w:rsid w:val="00590AF1"/>
    <w:rsid w:val="00593402"/>
    <w:rsid w:val="005962A5"/>
    <w:rsid w:val="00596405"/>
    <w:rsid w:val="00597799"/>
    <w:rsid w:val="005A5651"/>
    <w:rsid w:val="005B0191"/>
    <w:rsid w:val="005C0573"/>
    <w:rsid w:val="005C1DA3"/>
    <w:rsid w:val="005D0F03"/>
    <w:rsid w:val="005D3341"/>
    <w:rsid w:val="005D365E"/>
    <w:rsid w:val="005D4921"/>
    <w:rsid w:val="005D51FA"/>
    <w:rsid w:val="005D791B"/>
    <w:rsid w:val="005E301B"/>
    <w:rsid w:val="005E3666"/>
    <w:rsid w:val="005E504D"/>
    <w:rsid w:val="005F01C8"/>
    <w:rsid w:val="005F2818"/>
    <w:rsid w:val="006010F7"/>
    <w:rsid w:val="006119B2"/>
    <w:rsid w:val="00611B77"/>
    <w:rsid w:val="00614817"/>
    <w:rsid w:val="00617FF2"/>
    <w:rsid w:val="00632781"/>
    <w:rsid w:val="00633DBF"/>
    <w:rsid w:val="006344B7"/>
    <w:rsid w:val="00640AEF"/>
    <w:rsid w:val="006426BC"/>
    <w:rsid w:val="00644C0A"/>
    <w:rsid w:val="00655371"/>
    <w:rsid w:val="0065580A"/>
    <w:rsid w:val="00660B1A"/>
    <w:rsid w:val="006636B5"/>
    <w:rsid w:val="00664724"/>
    <w:rsid w:val="00665AA7"/>
    <w:rsid w:val="0066730D"/>
    <w:rsid w:val="0067348A"/>
    <w:rsid w:val="00680487"/>
    <w:rsid w:val="00682029"/>
    <w:rsid w:val="006911AD"/>
    <w:rsid w:val="00692D98"/>
    <w:rsid w:val="006967F3"/>
    <w:rsid w:val="00697665"/>
    <w:rsid w:val="006A7CB5"/>
    <w:rsid w:val="006A7FD0"/>
    <w:rsid w:val="006B4288"/>
    <w:rsid w:val="006B60C8"/>
    <w:rsid w:val="006C1C9E"/>
    <w:rsid w:val="006D10B1"/>
    <w:rsid w:val="006D687F"/>
    <w:rsid w:val="006D6F81"/>
    <w:rsid w:val="006D7687"/>
    <w:rsid w:val="006E0572"/>
    <w:rsid w:val="006F2A69"/>
    <w:rsid w:val="00705631"/>
    <w:rsid w:val="00715EAA"/>
    <w:rsid w:val="0072288F"/>
    <w:rsid w:val="00742DD2"/>
    <w:rsid w:val="0074415C"/>
    <w:rsid w:val="00746E08"/>
    <w:rsid w:val="00747C96"/>
    <w:rsid w:val="00747CD4"/>
    <w:rsid w:val="0075094E"/>
    <w:rsid w:val="00751504"/>
    <w:rsid w:val="007522E8"/>
    <w:rsid w:val="0075647A"/>
    <w:rsid w:val="007634AD"/>
    <w:rsid w:val="0078122E"/>
    <w:rsid w:val="00787F5C"/>
    <w:rsid w:val="00790122"/>
    <w:rsid w:val="00795647"/>
    <w:rsid w:val="007A4292"/>
    <w:rsid w:val="007A4609"/>
    <w:rsid w:val="007A5F3E"/>
    <w:rsid w:val="007B0854"/>
    <w:rsid w:val="007B6F1D"/>
    <w:rsid w:val="007D7BD9"/>
    <w:rsid w:val="007E0383"/>
    <w:rsid w:val="007F1D7D"/>
    <w:rsid w:val="007F4562"/>
    <w:rsid w:val="007F6B46"/>
    <w:rsid w:val="007F6DBB"/>
    <w:rsid w:val="007F72CB"/>
    <w:rsid w:val="00806E01"/>
    <w:rsid w:val="00811CB5"/>
    <w:rsid w:val="0081537B"/>
    <w:rsid w:val="008217B7"/>
    <w:rsid w:val="0083119B"/>
    <w:rsid w:val="00836EAB"/>
    <w:rsid w:val="00837BF7"/>
    <w:rsid w:val="0085092D"/>
    <w:rsid w:val="00850F79"/>
    <w:rsid w:val="00854CFC"/>
    <w:rsid w:val="00854FC0"/>
    <w:rsid w:val="00860043"/>
    <w:rsid w:val="00870F20"/>
    <w:rsid w:val="00871FD2"/>
    <w:rsid w:val="00894BAF"/>
    <w:rsid w:val="0089774F"/>
    <w:rsid w:val="008A4BBC"/>
    <w:rsid w:val="008A55BC"/>
    <w:rsid w:val="008A7A3B"/>
    <w:rsid w:val="008B2B54"/>
    <w:rsid w:val="008B51E3"/>
    <w:rsid w:val="008B5B04"/>
    <w:rsid w:val="008B632C"/>
    <w:rsid w:val="008C3804"/>
    <w:rsid w:val="008C6F27"/>
    <w:rsid w:val="008D6DE0"/>
    <w:rsid w:val="008D7CF7"/>
    <w:rsid w:val="008E1C15"/>
    <w:rsid w:val="008F538E"/>
    <w:rsid w:val="008F6999"/>
    <w:rsid w:val="009047C5"/>
    <w:rsid w:val="009058E3"/>
    <w:rsid w:val="00906B15"/>
    <w:rsid w:val="00923BCA"/>
    <w:rsid w:val="009256D5"/>
    <w:rsid w:val="0094362D"/>
    <w:rsid w:val="00950816"/>
    <w:rsid w:val="00951110"/>
    <w:rsid w:val="0095385A"/>
    <w:rsid w:val="00953E0F"/>
    <w:rsid w:val="00960D5C"/>
    <w:rsid w:val="00960E69"/>
    <w:rsid w:val="00962E23"/>
    <w:rsid w:val="0096318D"/>
    <w:rsid w:val="00975908"/>
    <w:rsid w:val="00977E05"/>
    <w:rsid w:val="00985EFB"/>
    <w:rsid w:val="00994B9B"/>
    <w:rsid w:val="0099575F"/>
    <w:rsid w:val="00996662"/>
    <w:rsid w:val="009A7824"/>
    <w:rsid w:val="009B2EE5"/>
    <w:rsid w:val="009D0BBF"/>
    <w:rsid w:val="009E1BE1"/>
    <w:rsid w:val="009F0BB6"/>
    <w:rsid w:val="009F59C2"/>
    <w:rsid w:val="009F5D34"/>
    <w:rsid w:val="00A114A5"/>
    <w:rsid w:val="00A114CB"/>
    <w:rsid w:val="00A20399"/>
    <w:rsid w:val="00A24560"/>
    <w:rsid w:val="00A278BD"/>
    <w:rsid w:val="00A34004"/>
    <w:rsid w:val="00A34538"/>
    <w:rsid w:val="00A346CD"/>
    <w:rsid w:val="00A37FB6"/>
    <w:rsid w:val="00A51F52"/>
    <w:rsid w:val="00A543B9"/>
    <w:rsid w:val="00A64432"/>
    <w:rsid w:val="00A649C6"/>
    <w:rsid w:val="00A754E3"/>
    <w:rsid w:val="00A8728C"/>
    <w:rsid w:val="00A910CB"/>
    <w:rsid w:val="00A97D21"/>
    <w:rsid w:val="00AA08E7"/>
    <w:rsid w:val="00AA442B"/>
    <w:rsid w:val="00AA669D"/>
    <w:rsid w:val="00AC7720"/>
    <w:rsid w:val="00AE6036"/>
    <w:rsid w:val="00AE70B1"/>
    <w:rsid w:val="00AF6DAE"/>
    <w:rsid w:val="00B030B1"/>
    <w:rsid w:val="00B05A55"/>
    <w:rsid w:val="00B073F3"/>
    <w:rsid w:val="00B13EC0"/>
    <w:rsid w:val="00B22024"/>
    <w:rsid w:val="00B22E22"/>
    <w:rsid w:val="00B23041"/>
    <w:rsid w:val="00B23B0F"/>
    <w:rsid w:val="00B25ADA"/>
    <w:rsid w:val="00B460E5"/>
    <w:rsid w:val="00B525CB"/>
    <w:rsid w:val="00B6189A"/>
    <w:rsid w:val="00B63872"/>
    <w:rsid w:val="00B63CB2"/>
    <w:rsid w:val="00B64EDB"/>
    <w:rsid w:val="00B65F77"/>
    <w:rsid w:val="00B7315F"/>
    <w:rsid w:val="00B745FD"/>
    <w:rsid w:val="00B75A9B"/>
    <w:rsid w:val="00B75B2B"/>
    <w:rsid w:val="00B8302B"/>
    <w:rsid w:val="00B86E53"/>
    <w:rsid w:val="00B91B8E"/>
    <w:rsid w:val="00B92156"/>
    <w:rsid w:val="00BA1266"/>
    <w:rsid w:val="00BC56A0"/>
    <w:rsid w:val="00BD16E3"/>
    <w:rsid w:val="00BD18DC"/>
    <w:rsid w:val="00BD2DDD"/>
    <w:rsid w:val="00BD3394"/>
    <w:rsid w:val="00BD3D51"/>
    <w:rsid w:val="00BD73AB"/>
    <w:rsid w:val="00BD78FE"/>
    <w:rsid w:val="00BD7ABD"/>
    <w:rsid w:val="00BE1549"/>
    <w:rsid w:val="00BE194E"/>
    <w:rsid w:val="00BE244C"/>
    <w:rsid w:val="00BE33E3"/>
    <w:rsid w:val="00BE5842"/>
    <w:rsid w:val="00BF4D87"/>
    <w:rsid w:val="00BF7505"/>
    <w:rsid w:val="00C116F2"/>
    <w:rsid w:val="00C11A7B"/>
    <w:rsid w:val="00C16250"/>
    <w:rsid w:val="00C36733"/>
    <w:rsid w:val="00C40E3E"/>
    <w:rsid w:val="00C60414"/>
    <w:rsid w:val="00C609AA"/>
    <w:rsid w:val="00C61D16"/>
    <w:rsid w:val="00C634EA"/>
    <w:rsid w:val="00C653AC"/>
    <w:rsid w:val="00C707CB"/>
    <w:rsid w:val="00C9077F"/>
    <w:rsid w:val="00C91FB2"/>
    <w:rsid w:val="00C93443"/>
    <w:rsid w:val="00CA3543"/>
    <w:rsid w:val="00CC00CD"/>
    <w:rsid w:val="00CC6E68"/>
    <w:rsid w:val="00CD078A"/>
    <w:rsid w:val="00CF4298"/>
    <w:rsid w:val="00CF70E8"/>
    <w:rsid w:val="00D01760"/>
    <w:rsid w:val="00D04238"/>
    <w:rsid w:val="00D1044A"/>
    <w:rsid w:val="00D165A9"/>
    <w:rsid w:val="00D16E39"/>
    <w:rsid w:val="00D16FA8"/>
    <w:rsid w:val="00D20AD0"/>
    <w:rsid w:val="00D223B6"/>
    <w:rsid w:val="00D26207"/>
    <w:rsid w:val="00D26A74"/>
    <w:rsid w:val="00D361BF"/>
    <w:rsid w:val="00D4557E"/>
    <w:rsid w:val="00D46A22"/>
    <w:rsid w:val="00D60327"/>
    <w:rsid w:val="00D622AF"/>
    <w:rsid w:val="00D66CC3"/>
    <w:rsid w:val="00D72E9D"/>
    <w:rsid w:val="00D746FD"/>
    <w:rsid w:val="00D7482C"/>
    <w:rsid w:val="00D82824"/>
    <w:rsid w:val="00D82CE5"/>
    <w:rsid w:val="00D85262"/>
    <w:rsid w:val="00D91951"/>
    <w:rsid w:val="00D94962"/>
    <w:rsid w:val="00DA5AB1"/>
    <w:rsid w:val="00DB04D4"/>
    <w:rsid w:val="00DB6633"/>
    <w:rsid w:val="00DC06A6"/>
    <w:rsid w:val="00DC422C"/>
    <w:rsid w:val="00DC62E5"/>
    <w:rsid w:val="00DC6DF2"/>
    <w:rsid w:val="00DD318A"/>
    <w:rsid w:val="00DD6ABE"/>
    <w:rsid w:val="00DD735D"/>
    <w:rsid w:val="00DD782C"/>
    <w:rsid w:val="00DE3119"/>
    <w:rsid w:val="00DE5B33"/>
    <w:rsid w:val="00DE6E0C"/>
    <w:rsid w:val="00DE74A8"/>
    <w:rsid w:val="00DF236B"/>
    <w:rsid w:val="00E00962"/>
    <w:rsid w:val="00E00F87"/>
    <w:rsid w:val="00E04179"/>
    <w:rsid w:val="00E10A7E"/>
    <w:rsid w:val="00E11C35"/>
    <w:rsid w:val="00E13AB8"/>
    <w:rsid w:val="00E20ADA"/>
    <w:rsid w:val="00E21972"/>
    <w:rsid w:val="00E22816"/>
    <w:rsid w:val="00E25CB3"/>
    <w:rsid w:val="00E33B62"/>
    <w:rsid w:val="00E4143A"/>
    <w:rsid w:val="00E53545"/>
    <w:rsid w:val="00E5509A"/>
    <w:rsid w:val="00E6039E"/>
    <w:rsid w:val="00E605C4"/>
    <w:rsid w:val="00E61AEE"/>
    <w:rsid w:val="00E6699A"/>
    <w:rsid w:val="00E91B3B"/>
    <w:rsid w:val="00EA02C1"/>
    <w:rsid w:val="00EA0B3F"/>
    <w:rsid w:val="00EA29EA"/>
    <w:rsid w:val="00EC16CA"/>
    <w:rsid w:val="00EC6C6C"/>
    <w:rsid w:val="00ED069A"/>
    <w:rsid w:val="00ED48DC"/>
    <w:rsid w:val="00EE59B5"/>
    <w:rsid w:val="00F132C2"/>
    <w:rsid w:val="00F16A2E"/>
    <w:rsid w:val="00F23E3A"/>
    <w:rsid w:val="00F31A6E"/>
    <w:rsid w:val="00F352DE"/>
    <w:rsid w:val="00F431BE"/>
    <w:rsid w:val="00F5291B"/>
    <w:rsid w:val="00F54212"/>
    <w:rsid w:val="00F54259"/>
    <w:rsid w:val="00F603CC"/>
    <w:rsid w:val="00F61F88"/>
    <w:rsid w:val="00F72043"/>
    <w:rsid w:val="00F73586"/>
    <w:rsid w:val="00F84899"/>
    <w:rsid w:val="00F859F0"/>
    <w:rsid w:val="00F977C7"/>
    <w:rsid w:val="00FA039C"/>
    <w:rsid w:val="00FA19FB"/>
    <w:rsid w:val="00FA59F7"/>
    <w:rsid w:val="00FB1417"/>
    <w:rsid w:val="00FB7FA5"/>
    <w:rsid w:val="00FC0512"/>
    <w:rsid w:val="00FC1D2E"/>
    <w:rsid w:val="00FC53F2"/>
    <w:rsid w:val="00FE141E"/>
    <w:rsid w:val="00FE180D"/>
    <w:rsid w:val="00FE36B6"/>
    <w:rsid w:val="00FE42ED"/>
    <w:rsid w:val="00FE5201"/>
    <w:rsid w:val="00FE75D2"/>
    <w:rsid w:val="00FF0706"/>
    <w:rsid w:val="0DB55339"/>
    <w:rsid w:val="222C9DC3"/>
    <w:rsid w:val="2CD75EB8"/>
    <w:rsid w:val="2D9B1909"/>
    <w:rsid w:val="3532A3D3"/>
    <w:rsid w:val="3E2847E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174CF50B-7349-4A8B-988F-38B1F1E2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paragraph" w:customStyle="1" w:styleId="Default">
    <w:name w:val="Default"/>
    <w:rsid w:val="00996662"/>
    <w:pPr>
      <w:autoSpaceDE w:val="0"/>
      <w:autoSpaceDN w:val="0"/>
      <w:adjustRightInd w:val="0"/>
      <w:spacing w:after="0" w:line="240" w:lineRule="auto"/>
    </w:pPr>
    <w:rPr>
      <w:rFonts w:ascii="Arial" w:hAnsi="Arial" w:cs="Arial"/>
      <w:color w:val="000000"/>
      <w:sz w:val="24"/>
      <w:szCs w:val="24"/>
    </w:rPr>
  </w:style>
  <w:style w:type="paragraph" w:customStyle="1" w:styleId="margender0punto5">
    <w:name w:val="margen_der_0punto5"/>
    <w:basedOn w:val="Normal"/>
    <w:rsid w:val="00680487"/>
    <w:pPr>
      <w:spacing w:before="100" w:beforeAutospacing="1" w:after="100" w:afterAutospacing="1"/>
    </w:pPr>
    <w:rPr>
      <w:rFonts w:ascii="Times New Roman" w:eastAsia="Times New Roman" w:hAnsi="Times New Roman" w:cs="Times New Roman"/>
      <w:szCs w:val="24"/>
      <w:lang w:val="es-CO" w:eastAsia="es-CO"/>
    </w:rPr>
  </w:style>
  <w:style w:type="character" w:customStyle="1" w:styleId="letra14pt">
    <w:name w:val="letra14pt"/>
    <w:basedOn w:val="Fuentedeprrafopredeter"/>
    <w:rsid w:val="00680487"/>
  </w:style>
  <w:style w:type="character" w:customStyle="1" w:styleId="Mencinsinresolver1">
    <w:name w:val="Mención sin resolver1"/>
    <w:basedOn w:val="Fuentedeprrafopredeter"/>
    <w:uiPriority w:val="99"/>
    <w:semiHidden/>
    <w:unhideWhenUsed/>
    <w:rsid w:val="008B632C"/>
    <w:rPr>
      <w:color w:val="605E5C"/>
      <w:shd w:val="clear" w:color="auto" w:fill="E1DFDD"/>
    </w:rPr>
  </w:style>
  <w:style w:type="character" w:customStyle="1" w:styleId="SinespaciadoCar">
    <w:name w:val="Sin espaciado Car"/>
    <w:aliases w:val="No Indent Car"/>
    <w:link w:val="Sinespaciado"/>
    <w:uiPriority w:val="3"/>
    <w:rsid w:val="00E00962"/>
    <w:rPr>
      <w:sz w:val="24"/>
      <w:lang w:val="es-MX"/>
    </w:rPr>
  </w:style>
  <w:style w:type="character" w:styleId="Mencinsinresolver">
    <w:name w:val="Unresolved Mention"/>
    <w:basedOn w:val="Fuentedeprrafopredeter"/>
    <w:uiPriority w:val="99"/>
    <w:semiHidden/>
    <w:unhideWhenUsed/>
    <w:rsid w:val="00275382"/>
    <w:rPr>
      <w:color w:val="605E5C"/>
      <w:shd w:val="clear" w:color="auto" w:fill="E1DFDD"/>
    </w:rPr>
  </w:style>
  <w:style w:type="paragraph" w:styleId="Textoindependiente">
    <w:name w:val="Body Text"/>
    <w:basedOn w:val="Normal"/>
    <w:link w:val="TextoindependienteCar"/>
    <w:uiPriority w:val="1"/>
    <w:qFormat/>
    <w:rsid w:val="002C4B31"/>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2C4B31"/>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58631">
      <w:bodyDiv w:val="1"/>
      <w:marLeft w:val="0"/>
      <w:marRight w:val="0"/>
      <w:marTop w:val="0"/>
      <w:marBottom w:val="0"/>
      <w:divBdr>
        <w:top w:val="none" w:sz="0" w:space="0" w:color="auto"/>
        <w:left w:val="none" w:sz="0" w:space="0" w:color="auto"/>
        <w:bottom w:val="none" w:sz="0" w:space="0" w:color="auto"/>
        <w:right w:val="none" w:sz="0" w:space="0" w:color="auto"/>
      </w:divBdr>
    </w:div>
    <w:div w:id="24065476">
      <w:bodyDiv w:val="1"/>
      <w:marLeft w:val="0"/>
      <w:marRight w:val="0"/>
      <w:marTop w:val="0"/>
      <w:marBottom w:val="0"/>
      <w:divBdr>
        <w:top w:val="none" w:sz="0" w:space="0" w:color="auto"/>
        <w:left w:val="none" w:sz="0" w:space="0" w:color="auto"/>
        <w:bottom w:val="none" w:sz="0" w:space="0" w:color="auto"/>
        <w:right w:val="none" w:sz="0" w:space="0" w:color="auto"/>
      </w:divBdr>
    </w:div>
    <w:div w:id="24791990">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82260876">
      <w:bodyDiv w:val="1"/>
      <w:marLeft w:val="0"/>
      <w:marRight w:val="0"/>
      <w:marTop w:val="0"/>
      <w:marBottom w:val="0"/>
      <w:divBdr>
        <w:top w:val="none" w:sz="0" w:space="0" w:color="auto"/>
        <w:left w:val="none" w:sz="0" w:space="0" w:color="auto"/>
        <w:bottom w:val="none" w:sz="0" w:space="0" w:color="auto"/>
        <w:right w:val="none" w:sz="0" w:space="0" w:color="auto"/>
      </w:divBdr>
    </w:div>
    <w:div w:id="102039720">
      <w:bodyDiv w:val="1"/>
      <w:marLeft w:val="0"/>
      <w:marRight w:val="0"/>
      <w:marTop w:val="0"/>
      <w:marBottom w:val="0"/>
      <w:divBdr>
        <w:top w:val="none" w:sz="0" w:space="0" w:color="auto"/>
        <w:left w:val="none" w:sz="0" w:space="0" w:color="auto"/>
        <w:bottom w:val="none" w:sz="0" w:space="0" w:color="auto"/>
        <w:right w:val="none" w:sz="0" w:space="0" w:color="auto"/>
      </w:divBdr>
    </w:div>
    <w:div w:id="154954944">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2278888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3727908">
      <w:bodyDiv w:val="1"/>
      <w:marLeft w:val="0"/>
      <w:marRight w:val="0"/>
      <w:marTop w:val="0"/>
      <w:marBottom w:val="0"/>
      <w:divBdr>
        <w:top w:val="none" w:sz="0" w:space="0" w:color="auto"/>
        <w:left w:val="none" w:sz="0" w:space="0" w:color="auto"/>
        <w:bottom w:val="none" w:sz="0" w:space="0" w:color="auto"/>
        <w:right w:val="none" w:sz="0" w:space="0" w:color="auto"/>
      </w:divBdr>
    </w:div>
    <w:div w:id="432438093">
      <w:bodyDiv w:val="1"/>
      <w:marLeft w:val="0"/>
      <w:marRight w:val="0"/>
      <w:marTop w:val="0"/>
      <w:marBottom w:val="0"/>
      <w:divBdr>
        <w:top w:val="none" w:sz="0" w:space="0" w:color="auto"/>
        <w:left w:val="none" w:sz="0" w:space="0" w:color="auto"/>
        <w:bottom w:val="none" w:sz="0" w:space="0" w:color="auto"/>
        <w:right w:val="none" w:sz="0" w:space="0" w:color="auto"/>
      </w:divBdr>
    </w:div>
    <w:div w:id="514265592">
      <w:bodyDiv w:val="1"/>
      <w:marLeft w:val="0"/>
      <w:marRight w:val="0"/>
      <w:marTop w:val="0"/>
      <w:marBottom w:val="0"/>
      <w:divBdr>
        <w:top w:val="none" w:sz="0" w:space="0" w:color="auto"/>
        <w:left w:val="none" w:sz="0" w:space="0" w:color="auto"/>
        <w:bottom w:val="none" w:sz="0" w:space="0" w:color="auto"/>
        <w:right w:val="none" w:sz="0" w:space="0" w:color="auto"/>
      </w:divBdr>
    </w:div>
    <w:div w:id="537471264">
      <w:bodyDiv w:val="1"/>
      <w:marLeft w:val="0"/>
      <w:marRight w:val="0"/>
      <w:marTop w:val="0"/>
      <w:marBottom w:val="0"/>
      <w:divBdr>
        <w:top w:val="none" w:sz="0" w:space="0" w:color="auto"/>
        <w:left w:val="none" w:sz="0" w:space="0" w:color="auto"/>
        <w:bottom w:val="none" w:sz="0" w:space="0" w:color="auto"/>
        <w:right w:val="none" w:sz="0" w:space="0" w:color="auto"/>
      </w:divBdr>
      <w:divsChild>
        <w:div w:id="407306331">
          <w:marLeft w:val="0"/>
          <w:marRight w:val="0"/>
          <w:marTop w:val="0"/>
          <w:marBottom w:val="0"/>
          <w:divBdr>
            <w:top w:val="none" w:sz="0" w:space="0" w:color="auto"/>
            <w:left w:val="none" w:sz="0" w:space="0" w:color="auto"/>
            <w:bottom w:val="none" w:sz="0" w:space="0" w:color="auto"/>
            <w:right w:val="none" w:sz="0" w:space="0" w:color="auto"/>
          </w:divBdr>
          <w:divsChild>
            <w:div w:id="243733940">
              <w:marLeft w:val="0"/>
              <w:marRight w:val="0"/>
              <w:marTop w:val="0"/>
              <w:marBottom w:val="0"/>
              <w:divBdr>
                <w:top w:val="none" w:sz="0" w:space="0" w:color="auto"/>
                <w:left w:val="none" w:sz="0" w:space="0" w:color="auto"/>
                <w:bottom w:val="none" w:sz="0" w:space="0" w:color="auto"/>
                <w:right w:val="none" w:sz="0" w:space="0" w:color="auto"/>
              </w:divBdr>
              <w:divsChild>
                <w:div w:id="180820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815027480">
      <w:bodyDiv w:val="1"/>
      <w:marLeft w:val="0"/>
      <w:marRight w:val="0"/>
      <w:marTop w:val="0"/>
      <w:marBottom w:val="0"/>
      <w:divBdr>
        <w:top w:val="none" w:sz="0" w:space="0" w:color="auto"/>
        <w:left w:val="none" w:sz="0" w:space="0" w:color="auto"/>
        <w:bottom w:val="none" w:sz="0" w:space="0" w:color="auto"/>
        <w:right w:val="none" w:sz="0" w:space="0" w:color="auto"/>
      </w:divBdr>
    </w:div>
    <w:div w:id="879364798">
      <w:bodyDiv w:val="1"/>
      <w:marLeft w:val="0"/>
      <w:marRight w:val="0"/>
      <w:marTop w:val="0"/>
      <w:marBottom w:val="0"/>
      <w:divBdr>
        <w:top w:val="none" w:sz="0" w:space="0" w:color="auto"/>
        <w:left w:val="none" w:sz="0" w:space="0" w:color="auto"/>
        <w:bottom w:val="none" w:sz="0" w:space="0" w:color="auto"/>
        <w:right w:val="none" w:sz="0" w:space="0" w:color="auto"/>
      </w:divBdr>
    </w:div>
    <w:div w:id="893737599">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05087839">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831480020">
      <w:bodyDiv w:val="1"/>
      <w:marLeft w:val="0"/>
      <w:marRight w:val="0"/>
      <w:marTop w:val="0"/>
      <w:marBottom w:val="0"/>
      <w:divBdr>
        <w:top w:val="none" w:sz="0" w:space="0" w:color="auto"/>
        <w:left w:val="none" w:sz="0" w:space="0" w:color="auto"/>
        <w:bottom w:val="none" w:sz="0" w:space="0" w:color="auto"/>
        <w:right w:val="none" w:sz="0" w:space="0" w:color="auto"/>
      </w:divBdr>
    </w:div>
    <w:div w:id="1878273581">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1895469">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perfinanciera.gov.co/publicacion/6081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banrep.gov.co/sites/default/files/reglamentacion/archivos/dodm146-250520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8B655760-4F8F-46AA-94C3-A2CC0F8B2198}">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A96F5A05-F546-42BC-AE25-3D2E9DFB5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7F102F-B51A-3248-9320-45001350A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24</Pages>
  <Words>9610</Words>
  <Characters>52861</Characters>
  <Application>Microsoft Office Word</Application>
  <DocSecurity>0</DocSecurity>
  <Lines>440</Lines>
  <Paragraphs>124</Paragraphs>
  <ScaleCrop>false</ScaleCrop>
  <Company/>
  <LinksUpToDate>false</LinksUpToDate>
  <CharactersWithSpaces>62347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Carlos Mario Castrillón Endo</cp:lastModifiedBy>
  <cp:revision>5</cp:revision>
  <cp:lastPrinted>2020-01-30T15:05:00Z</cp:lastPrinted>
  <dcterms:created xsi:type="dcterms:W3CDTF">2020-07-24T21:21:00Z</dcterms:created>
  <dcterms:modified xsi:type="dcterms:W3CDTF">2020-08-10T21:25:00Z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