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22C2F" w14:textId="203D4A02" w:rsidR="00994A03" w:rsidRDefault="009F59C2" w:rsidP="00A13437">
      <w:pPr>
        <w:spacing w:line="276" w:lineRule="auto"/>
        <w:jc w:val="right"/>
        <w:rPr>
          <w:rFonts w:ascii="Arial" w:hAnsi="Arial" w:cs="Arial"/>
          <w:b/>
          <w:color w:val="000000" w:themeColor="text1"/>
          <w:sz w:val="16"/>
          <w:szCs w:val="16"/>
          <w:lang w:eastAsia="es-ES"/>
        </w:rPr>
      </w:pPr>
      <w:bookmarkStart w:id="0" w:name="_Hlk28946138"/>
      <w:bookmarkStart w:id="1" w:name="_Hlk29548183"/>
      <w:r w:rsidRPr="00B2564A">
        <w:rPr>
          <w:rFonts w:ascii="Arial" w:hAnsi="Arial" w:cs="Arial"/>
          <w:b/>
          <w:color w:val="000000" w:themeColor="text1"/>
          <w:sz w:val="22"/>
          <w:lang w:eastAsia="es-ES"/>
        </w:rPr>
        <w:tab/>
      </w:r>
      <w:r w:rsidR="0034177C" w:rsidRPr="00CD3C38">
        <w:rPr>
          <w:rFonts w:ascii="Arial" w:hAnsi="Arial" w:cs="Arial"/>
          <w:b/>
          <w:color w:val="000000" w:themeColor="text1"/>
          <w:sz w:val="16"/>
          <w:szCs w:val="16"/>
          <w:lang w:eastAsia="es-ES"/>
        </w:rPr>
        <w:t>CCE-DES-FM-17</w:t>
      </w:r>
    </w:p>
    <w:p w14:paraId="6A4CFD53" w14:textId="77777777" w:rsidR="00A13437" w:rsidRDefault="00A13437" w:rsidP="00A13437">
      <w:pPr>
        <w:spacing w:line="276" w:lineRule="auto"/>
        <w:jc w:val="right"/>
        <w:rPr>
          <w:rFonts w:ascii="Arial" w:hAnsi="Arial" w:cs="Arial"/>
          <w:b/>
          <w:color w:val="000000" w:themeColor="text1"/>
          <w:sz w:val="16"/>
          <w:szCs w:val="16"/>
          <w:lang w:eastAsia="es-ES"/>
        </w:rPr>
      </w:pPr>
    </w:p>
    <w:p w14:paraId="13DB050A" w14:textId="0DBB2C98" w:rsidR="00A0405E" w:rsidRPr="00A0405E" w:rsidRDefault="00A0405E" w:rsidP="00A13437">
      <w:pPr>
        <w:jc w:val="both"/>
        <w:rPr>
          <w:rFonts w:ascii="Arial" w:eastAsia="Calibri" w:hAnsi="Arial" w:cs="Arial"/>
          <w:b/>
          <w:bCs/>
          <w:color w:val="000000" w:themeColor="text1"/>
          <w:sz w:val="22"/>
        </w:rPr>
      </w:pPr>
      <w:r w:rsidRPr="00A0405E">
        <w:rPr>
          <w:rFonts w:ascii="Arial" w:eastAsia="Calibri" w:hAnsi="Arial" w:cs="Arial"/>
          <w:b/>
          <w:bCs/>
          <w:color w:val="000000" w:themeColor="text1"/>
          <w:sz w:val="22"/>
        </w:rPr>
        <w:t xml:space="preserve">EXPERIENCIA – Registro Único de Proponentes – Forma de Acreditación </w:t>
      </w:r>
    </w:p>
    <w:p w14:paraId="111FC494" w14:textId="77777777" w:rsidR="00A0405E" w:rsidRDefault="00A0405E" w:rsidP="00A0405E">
      <w:pPr>
        <w:jc w:val="both"/>
        <w:rPr>
          <w:rFonts w:ascii="Arial" w:eastAsia="Calibri" w:hAnsi="Arial" w:cs="Arial"/>
          <w:color w:val="000000" w:themeColor="text1"/>
          <w:sz w:val="20"/>
          <w:szCs w:val="20"/>
        </w:rPr>
      </w:pPr>
    </w:p>
    <w:p w14:paraId="57C842DE" w14:textId="1D17BDEF" w:rsidR="00A0405E" w:rsidRPr="00A0405E" w:rsidRDefault="00A0405E" w:rsidP="00A0405E">
      <w:pPr>
        <w:jc w:val="both"/>
        <w:rPr>
          <w:rFonts w:ascii="Arial" w:eastAsia="Calibri" w:hAnsi="Arial" w:cs="Arial"/>
          <w:color w:val="000000" w:themeColor="text1"/>
          <w:sz w:val="20"/>
          <w:szCs w:val="20"/>
        </w:rPr>
      </w:pPr>
      <w:r w:rsidRPr="00A0405E">
        <w:rPr>
          <w:rFonts w:ascii="Arial" w:eastAsia="Calibri" w:hAnsi="Arial" w:cs="Arial"/>
          <w:color w:val="000000" w:themeColor="text1"/>
          <w:sz w:val="20"/>
          <w:szCs w:val="20"/>
        </w:rPr>
        <w:t xml:space="preserve">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6916511D" w14:textId="1BEB66AE" w:rsidR="004233A7" w:rsidRPr="00A0405E" w:rsidRDefault="004233A7" w:rsidP="00A0405E">
      <w:pPr>
        <w:pStyle w:val="Default"/>
        <w:rPr>
          <w:b/>
          <w:bCs/>
          <w:color w:val="000000" w:themeColor="text1"/>
          <w:sz w:val="20"/>
          <w:szCs w:val="20"/>
          <w:lang w:val="es-ES"/>
        </w:rPr>
      </w:pPr>
    </w:p>
    <w:p w14:paraId="73271B0E" w14:textId="7B7D09EF" w:rsidR="00E36114" w:rsidRPr="00A0405E" w:rsidRDefault="00A0405E" w:rsidP="006819EE">
      <w:pPr>
        <w:pStyle w:val="Default"/>
        <w:jc w:val="both"/>
        <w:rPr>
          <w:b/>
          <w:bCs/>
          <w:color w:val="000000" w:themeColor="text1"/>
          <w:sz w:val="22"/>
          <w:szCs w:val="22"/>
          <w:lang w:val="es-ES"/>
        </w:rPr>
      </w:pPr>
      <w:r w:rsidRPr="00A0405E">
        <w:rPr>
          <w:b/>
          <w:bCs/>
          <w:color w:val="000000" w:themeColor="text1"/>
          <w:sz w:val="22"/>
          <w:szCs w:val="22"/>
          <w:lang w:val="es-ES"/>
        </w:rPr>
        <w:t xml:space="preserve">EXPERIENCIA – Nociones Generales – Registro Único de Proponentes – Exceptuados de inscripción </w:t>
      </w:r>
    </w:p>
    <w:p w14:paraId="10DF2367" w14:textId="5B5DDEC3" w:rsidR="00A0405E" w:rsidRDefault="00A0405E" w:rsidP="006819EE">
      <w:pPr>
        <w:pStyle w:val="Default"/>
        <w:rPr>
          <w:color w:val="000000" w:themeColor="text1"/>
          <w:sz w:val="22"/>
          <w:szCs w:val="22"/>
          <w:lang w:val="es-ES"/>
        </w:rPr>
      </w:pPr>
    </w:p>
    <w:p w14:paraId="671E9591" w14:textId="77777777" w:rsidR="00A0405E" w:rsidRPr="00A0405E" w:rsidRDefault="00A0405E" w:rsidP="006819EE">
      <w:pPr>
        <w:spacing w:after="120"/>
        <w:jc w:val="both"/>
        <w:rPr>
          <w:rFonts w:ascii="Arial" w:hAnsi="Arial" w:cs="Arial"/>
          <w:color w:val="000000" w:themeColor="text1"/>
          <w:sz w:val="20"/>
          <w:szCs w:val="20"/>
        </w:rPr>
      </w:pPr>
      <w:r w:rsidRPr="00A0405E">
        <w:rPr>
          <w:rFonts w:ascii="Arial" w:hAnsi="Arial" w:cs="Arial"/>
          <w:color w:val="000000" w:themeColor="text1"/>
          <w:sz w:val="20"/>
          <w:szCs w:val="20"/>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1B5CC241" w14:textId="06F304DF" w:rsidR="00A0405E" w:rsidRDefault="00A0405E" w:rsidP="006819EE">
      <w:pPr>
        <w:spacing w:after="120"/>
        <w:jc w:val="both"/>
        <w:rPr>
          <w:rFonts w:ascii="Arial" w:hAnsi="Arial" w:cs="Arial"/>
          <w:color w:val="000000" w:themeColor="text1"/>
          <w:sz w:val="20"/>
          <w:szCs w:val="20"/>
        </w:rPr>
      </w:pPr>
      <w:r w:rsidRPr="00A0405E">
        <w:rPr>
          <w:rFonts w:ascii="Arial" w:hAnsi="Arial" w:cs="Arial"/>
          <w:color w:val="000000" w:themeColor="text1"/>
          <w:sz w:val="20"/>
          <w:szCs w:val="20"/>
        </w:rPr>
        <w:t xml:space="preserve">Como se dijo, la norma impuso la obligación a todos los proponentes de inscribirse en el Registro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340E99FB" w14:textId="2F360A27" w:rsidR="00A0405E" w:rsidRDefault="00A0405E" w:rsidP="006819EE">
      <w:pPr>
        <w:jc w:val="both"/>
        <w:rPr>
          <w:rFonts w:ascii="Arial" w:hAnsi="Arial" w:cs="Arial"/>
          <w:color w:val="000000" w:themeColor="text1"/>
          <w:sz w:val="20"/>
          <w:szCs w:val="20"/>
        </w:rPr>
      </w:pPr>
    </w:p>
    <w:p w14:paraId="47303716" w14:textId="0A93F18E" w:rsidR="00A0405E" w:rsidRDefault="00A0405E" w:rsidP="006819EE">
      <w:pPr>
        <w:jc w:val="both"/>
        <w:rPr>
          <w:rFonts w:ascii="Arial" w:hAnsi="Arial" w:cs="Arial"/>
          <w:b/>
          <w:bCs/>
          <w:color w:val="000000" w:themeColor="text1"/>
          <w:sz w:val="22"/>
        </w:rPr>
      </w:pPr>
      <w:r w:rsidRPr="0880C7F2">
        <w:rPr>
          <w:rFonts w:ascii="Arial" w:hAnsi="Arial" w:cs="Arial"/>
          <w:b/>
          <w:bCs/>
          <w:color w:val="000000" w:themeColor="text1"/>
          <w:sz w:val="22"/>
        </w:rPr>
        <w:t>SOCIEDADES NUEVAS –</w:t>
      </w:r>
      <w:r w:rsidR="3B1FEA05" w:rsidRPr="0880C7F2">
        <w:rPr>
          <w:rFonts w:ascii="Arial" w:hAnsi="Arial" w:cs="Arial"/>
          <w:b/>
          <w:bCs/>
          <w:color w:val="000000" w:themeColor="text1"/>
          <w:sz w:val="22"/>
        </w:rPr>
        <w:t xml:space="preserve"> Experiencia – </w:t>
      </w:r>
      <w:r w:rsidR="00A302BB" w:rsidRPr="0880C7F2">
        <w:rPr>
          <w:rFonts w:ascii="Arial" w:hAnsi="Arial" w:cs="Arial"/>
          <w:b/>
          <w:bCs/>
          <w:color w:val="000000" w:themeColor="text1"/>
          <w:sz w:val="22"/>
        </w:rPr>
        <w:t xml:space="preserve">Finalidad – Acreditación – Pluralidad de Oferentes </w:t>
      </w:r>
    </w:p>
    <w:p w14:paraId="68A6959F" w14:textId="77777777" w:rsidR="006819EE" w:rsidRPr="00A302BB" w:rsidRDefault="006819EE" w:rsidP="006819EE">
      <w:pPr>
        <w:jc w:val="both"/>
        <w:rPr>
          <w:rFonts w:ascii="Arial" w:hAnsi="Arial" w:cs="Arial"/>
          <w:b/>
          <w:bCs/>
          <w:color w:val="000000" w:themeColor="text1"/>
          <w:sz w:val="22"/>
        </w:rPr>
      </w:pPr>
    </w:p>
    <w:p w14:paraId="65F28700" w14:textId="4A07D549" w:rsidR="00A0405E" w:rsidRPr="00A302BB" w:rsidRDefault="00A0405E" w:rsidP="006819EE">
      <w:pPr>
        <w:jc w:val="both"/>
        <w:rPr>
          <w:rFonts w:ascii="Arial" w:hAnsi="Arial" w:cs="Arial"/>
          <w:color w:val="000000" w:themeColor="text1"/>
          <w:sz w:val="20"/>
          <w:szCs w:val="20"/>
        </w:rPr>
      </w:pPr>
      <w:r w:rsidRPr="00A302BB">
        <w:rPr>
          <w:rFonts w:ascii="Arial" w:hAnsi="Arial" w:cs="Arial"/>
          <w:color w:val="000000" w:themeColor="text1"/>
          <w:sz w:val="20"/>
          <w:szCs w:val="20"/>
        </w:rPr>
        <w:t xml:space="preserve">El numeral 2.5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243205BC" w14:textId="77777777" w:rsidR="00A0405E" w:rsidRPr="00A302BB" w:rsidRDefault="00A0405E" w:rsidP="00A302BB">
      <w:pPr>
        <w:spacing w:before="120" w:after="120"/>
        <w:jc w:val="both"/>
        <w:rPr>
          <w:rFonts w:ascii="Arial" w:hAnsi="Arial" w:cs="Arial"/>
          <w:color w:val="000000" w:themeColor="text1"/>
          <w:sz w:val="20"/>
          <w:szCs w:val="20"/>
        </w:rPr>
      </w:pPr>
      <w:r w:rsidRPr="00A302BB">
        <w:rPr>
          <w:rFonts w:ascii="Arial" w:hAnsi="Arial" w:cs="Arial"/>
          <w:color w:val="000000" w:themeColor="text1"/>
          <w:sz w:val="20"/>
          <w:szCs w:val="20"/>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2E12C501" w14:textId="6732F485" w:rsidR="00A0405E" w:rsidRDefault="00A0405E" w:rsidP="006819EE">
      <w:pPr>
        <w:jc w:val="both"/>
        <w:rPr>
          <w:rFonts w:ascii="Arial" w:hAnsi="Arial" w:cs="Arial"/>
          <w:color w:val="000000" w:themeColor="text1"/>
          <w:sz w:val="20"/>
          <w:szCs w:val="20"/>
        </w:rPr>
      </w:pPr>
      <w:r w:rsidRPr="00A302BB">
        <w:rPr>
          <w:rFonts w:ascii="Arial" w:hAnsi="Arial" w:cs="Arial"/>
          <w:color w:val="000000" w:themeColor="text1"/>
          <w:sz w:val="20"/>
          <w:szCs w:val="20"/>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A302BB">
        <w:rPr>
          <w:rFonts w:ascii="Arial" w:eastAsia="Calibri" w:hAnsi="Arial" w:cs="Arial"/>
          <w:color w:val="000000" w:themeColor="text1"/>
          <w:sz w:val="20"/>
          <w:szCs w:val="20"/>
        </w:rPr>
        <w:t>─</w:t>
      </w:r>
      <w:r w:rsidRPr="00A302BB">
        <w:rPr>
          <w:rFonts w:ascii="Arial" w:hAnsi="Arial" w:cs="Arial"/>
          <w:color w:val="000000" w:themeColor="text1"/>
          <w:sz w:val="20"/>
          <w:szCs w:val="20"/>
        </w:rPr>
        <w:t>con menos de 3 años de constitución</w:t>
      </w:r>
      <w:r w:rsidRPr="00A302BB">
        <w:rPr>
          <w:rFonts w:ascii="Arial" w:eastAsia="Calibri" w:hAnsi="Arial" w:cs="Arial"/>
          <w:color w:val="000000" w:themeColor="text1"/>
          <w:sz w:val="20"/>
          <w:szCs w:val="20"/>
        </w:rPr>
        <w:t>─</w:t>
      </w:r>
      <w:r w:rsidRPr="00A302BB">
        <w:rPr>
          <w:rFonts w:ascii="Arial" w:hAnsi="Arial" w:cs="Arial"/>
          <w:color w:val="000000" w:themeColor="text1"/>
          <w:sz w:val="20"/>
          <w:szCs w:val="20"/>
        </w:rPr>
        <w:t xml:space="preserve"> puedan acreditar como experiencia en el RUP la de sus accionistas, socios o constituyentes. </w:t>
      </w:r>
    </w:p>
    <w:p w14:paraId="28DB730D" w14:textId="77777777" w:rsidR="00A302BB" w:rsidRPr="00A302BB" w:rsidRDefault="00A302BB" w:rsidP="006819EE">
      <w:pPr>
        <w:jc w:val="both"/>
        <w:rPr>
          <w:rFonts w:ascii="Arial" w:hAnsi="Arial" w:cs="Arial"/>
          <w:color w:val="000000" w:themeColor="text1"/>
          <w:sz w:val="20"/>
          <w:szCs w:val="20"/>
        </w:rPr>
      </w:pPr>
    </w:p>
    <w:p w14:paraId="3B37CF75" w14:textId="33AD7C5D" w:rsidR="00A0405E" w:rsidRPr="00A0405E" w:rsidRDefault="00A302BB" w:rsidP="006819EE">
      <w:pPr>
        <w:pStyle w:val="Default"/>
        <w:rPr>
          <w:b/>
          <w:bCs/>
          <w:color w:val="000000" w:themeColor="text1"/>
          <w:sz w:val="22"/>
          <w:szCs w:val="22"/>
          <w:lang w:val="es-ES"/>
        </w:rPr>
      </w:pPr>
      <w:r w:rsidRPr="0880C7F2">
        <w:rPr>
          <w:b/>
          <w:bCs/>
          <w:color w:val="000000" w:themeColor="text1"/>
          <w:sz w:val="22"/>
          <w:szCs w:val="22"/>
        </w:rPr>
        <w:t>SOCIEDADES NUEVAS –</w:t>
      </w:r>
      <w:r w:rsidR="439CCC47" w:rsidRPr="0880C7F2">
        <w:rPr>
          <w:b/>
          <w:bCs/>
          <w:color w:val="000000" w:themeColor="text1"/>
          <w:sz w:val="22"/>
          <w:szCs w:val="22"/>
        </w:rPr>
        <w:t xml:space="preserve"> Experiencia –</w:t>
      </w:r>
      <w:r w:rsidRPr="0880C7F2">
        <w:rPr>
          <w:b/>
          <w:bCs/>
          <w:color w:val="000000" w:themeColor="text1"/>
          <w:sz w:val="22"/>
          <w:szCs w:val="22"/>
        </w:rPr>
        <w:t xml:space="preserve"> Porcentaje </w:t>
      </w:r>
      <w:r w:rsidR="66FBDA08" w:rsidRPr="0880C7F2">
        <w:rPr>
          <w:b/>
          <w:bCs/>
          <w:color w:val="000000" w:themeColor="text1"/>
          <w:sz w:val="22"/>
          <w:szCs w:val="22"/>
        </w:rPr>
        <w:t>t</w:t>
      </w:r>
      <w:r w:rsidRPr="0880C7F2">
        <w:rPr>
          <w:b/>
          <w:bCs/>
          <w:color w:val="000000" w:themeColor="text1"/>
          <w:sz w:val="22"/>
          <w:szCs w:val="22"/>
        </w:rPr>
        <w:t xml:space="preserve">ransferible – No </w:t>
      </w:r>
      <w:r w:rsidR="38BEAF07" w:rsidRPr="0880C7F2">
        <w:rPr>
          <w:b/>
          <w:bCs/>
          <w:color w:val="000000" w:themeColor="text1"/>
          <w:sz w:val="22"/>
          <w:szCs w:val="22"/>
        </w:rPr>
        <w:t>l</w:t>
      </w:r>
      <w:r w:rsidRPr="0880C7F2">
        <w:rPr>
          <w:b/>
          <w:bCs/>
          <w:color w:val="000000" w:themeColor="text1"/>
          <w:sz w:val="22"/>
          <w:szCs w:val="22"/>
        </w:rPr>
        <w:t>imitada</w:t>
      </w:r>
    </w:p>
    <w:p w14:paraId="182450B5" w14:textId="078FA489" w:rsidR="00E36114" w:rsidRDefault="00E36114" w:rsidP="006819EE">
      <w:pPr>
        <w:pStyle w:val="Default"/>
        <w:rPr>
          <w:color w:val="000000" w:themeColor="text1"/>
          <w:sz w:val="22"/>
          <w:szCs w:val="22"/>
          <w:lang w:val="es-ES"/>
        </w:rPr>
      </w:pPr>
    </w:p>
    <w:p w14:paraId="3F2ABA03" w14:textId="32DE4966" w:rsidR="00A302BB" w:rsidRPr="00A302BB" w:rsidRDefault="00A302BB" w:rsidP="006819EE">
      <w:pPr>
        <w:jc w:val="both"/>
        <w:rPr>
          <w:rFonts w:ascii="Arial" w:hAnsi="Arial" w:cs="Arial"/>
          <w:color w:val="000000" w:themeColor="text1"/>
          <w:sz w:val="20"/>
          <w:szCs w:val="20"/>
        </w:rPr>
      </w:pPr>
      <w:r w:rsidRPr="00A302BB">
        <w:rPr>
          <w:rFonts w:ascii="Arial" w:hAnsi="Arial" w:cs="Arial"/>
          <w:color w:val="000000" w:themeColor="text1"/>
          <w:sz w:val="20"/>
          <w:szCs w:val="20"/>
        </w:rPr>
        <w:lastRenderedPageBreak/>
        <w:t>[…] la finalidad de permitir a las sociedades acreditar la experiencia de sus accionistas, socios o constituyentes radica en fomentar la libre competencia y garantizar la pluralidad de oferentes dentro de los procesos de contratación</w:t>
      </w:r>
      <w:r w:rsidR="00EE3EBB">
        <w:rPr>
          <w:rFonts w:ascii="Arial" w:hAnsi="Arial" w:cs="Arial"/>
          <w:color w:val="000000" w:themeColor="text1"/>
          <w:sz w:val="20"/>
          <w:szCs w:val="20"/>
        </w:rPr>
        <w:t>;</w:t>
      </w:r>
      <w:r w:rsidRPr="00A302BB">
        <w:rPr>
          <w:rFonts w:ascii="Arial" w:hAnsi="Arial" w:cs="Arial"/>
          <w:color w:val="000000" w:themeColor="text1"/>
          <w:sz w:val="20"/>
          <w:szCs w:val="20"/>
        </w:rPr>
        <w:t xml:space="preserve"> así las cosas, la interpretación que se debe hacer del numeral 2.5 del artículo 2.2.1.1.1.5.2. del Decreto 1082 de 2015, no se debe hacer de forma restrictiva; por el contrario, se debe realizar por parte de las autoridades conforme a su finalidad. Por lo cual, limitar la posibilidad de acreditar la experiencia de los accionistas, socios o constituyentes para las sociedades con un plazo de constitución menor a tres años, contraviene la naturaleza de la norma. </w:t>
      </w:r>
    </w:p>
    <w:p w14:paraId="652EE30C" w14:textId="77777777" w:rsidR="00A302BB" w:rsidRPr="00A302BB" w:rsidRDefault="00A302BB" w:rsidP="006819EE">
      <w:pPr>
        <w:jc w:val="both"/>
        <w:rPr>
          <w:rFonts w:ascii="Arial" w:hAnsi="Arial" w:cs="Arial"/>
          <w:color w:val="000000" w:themeColor="text1"/>
          <w:sz w:val="20"/>
          <w:szCs w:val="20"/>
        </w:rPr>
      </w:pPr>
      <w:r w:rsidRPr="00A302BB">
        <w:rPr>
          <w:rFonts w:ascii="Arial" w:hAnsi="Arial" w:cs="Arial"/>
          <w:color w:val="000000" w:themeColor="text1"/>
          <w:sz w:val="20"/>
          <w:szCs w:val="20"/>
        </w:rPr>
        <w:t xml:space="preserve">En este sentido, la experiencia aportada por los integrantes de una sociedad, dentro de los tres primeros años de su constitución, deberá tenerse en cuenta en su totalidad, sin limitación al porcentaje de participación con la que cuente el integrante aportante dentro de esta, pues en caso contrario, se estaría creando una limitación no consagrada en la normatividad aplicable. Así pues, una vez sea transferida la experiencia, esta se constituirá como un activo de la sociedad en su totalidad, es decir, no se computará de acuerdo con el porcentaje de participación de quien la aporta. </w:t>
      </w:r>
    </w:p>
    <w:p w14:paraId="2CA7DF35" w14:textId="77777777" w:rsidR="00A302BB" w:rsidRPr="00A302BB" w:rsidRDefault="00A302BB" w:rsidP="006819EE">
      <w:pPr>
        <w:pStyle w:val="Default"/>
        <w:rPr>
          <w:color w:val="000000" w:themeColor="text1"/>
          <w:sz w:val="20"/>
          <w:szCs w:val="20"/>
          <w:lang w:val="es-ES"/>
        </w:rPr>
      </w:pPr>
    </w:p>
    <w:p w14:paraId="545B4CA6" w14:textId="77777777" w:rsidR="00E36114" w:rsidRPr="00CD3C38" w:rsidRDefault="00E36114" w:rsidP="006819EE">
      <w:pPr>
        <w:pStyle w:val="Default"/>
        <w:rPr>
          <w:color w:val="000000" w:themeColor="text1"/>
          <w:sz w:val="22"/>
          <w:szCs w:val="22"/>
          <w:lang w:val="es-ES"/>
        </w:rPr>
      </w:pPr>
    </w:p>
    <w:p w14:paraId="74B6FAFE" w14:textId="45979FC0" w:rsidR="000C7B89" w:rsidRPr="00CD3C38" w:rsidRDefault="000C7B89" w:rsidP="006819EE">
      <w:pPr>
        <w:jc w:val="both"/>
        <w:rPr>
          <w:rFonts w:ascii="Arial" w:hAnsi="Arial" w:cs="Arial"/>
          <w:b/>
          <w:sz w:val="22"/>
        </w:rPr>
      </w:pPr>
      <w:r w:rsidRPr="00CD3C38">
        <w:rPr>
          <w:rFonts w:ascii="Arial" w:hAnsi="Arial" w:cs="Arial"/>
          <w:sz w:val="22"/>
        </w:rPr>
        <w:t xml:space="preserve">Bogotá D.C., </w:t>
      </w:r>
      <w:r w:rsidR="0033307C">
        <w:rPr>
          <w:rFonts w:ascii="Arial" w:hAnsi="Arial" w:cs="Arial"/>
          <w:b/>
          <w:sz w:val="22"/>
        </w:rPr>
        <w:t>30/06/2020 Hora 19:26:57s</w:t>
      </w:r>
    </w:p>
    <w:p w14:paraId="4E0F391C" w14:textId="742D9878" w:rsidR="000C7B89" w:rsidRPr="00CD3C38" w:rsidRDefault="000C7B89" w:rsidP="000C7B89">
      <w:pPr>
        <w:jc w:val="right"/>
        <w:rPr>
          <w:rFonts w:ascii="Arial" w:hAnsi="Arial" w:cs="Arial"/>
          <w:b/>
          <w:sz w:val="22"/>
        </w:rPr>
      </w:pPr>
      <w:r w:rsidRPr="00CD3C38">
        <w:rPr>
          <w:rFonts w:ascii="Arial" w:hAnsi="Arial" w:cs="Arial"/>
          <w:b/>
          <w:sz w:val="22"/>
        </w:rPr>
        <w:t xml:space="preserve">N° Radicado: </w:t>
      </w:r>
      <w:r w:rsidR="0033307C">
        <w:rPr>
          <w:rFonts w:ascii="Arial" w:hAnsi="Arial" w:cs="Arial"/>
          <w:b/>
          <w:sz w:val="22"/>
        </w:rPr>
        <w:t>2202013000005614</w:t>
      </w:r>
    </w:p>
    <w:p w14:paraId="506C3D03" w14:textId="0791D767" w:rsidR="001215D3" w:rsidRPr="00CD3C38" w:rsidRDefault="00E6565C" w:rsidP="00A97435">
      <w:pPr>
        <w:pStyle w:val="Sinespaciado"/>
        <w:rPr>
          <w:rFonts w:ascii="Arial" w:hAnsi="Arial" w:cs="Arial"/>
          <w:color w:val="000000" w:themeColor="text1"/>
          <w:sz w:val="22"/>
          <w:lang w:val="es-ES"/>
        </w:rPr>
      </w:pPr>
      <w:r w:rsidRPr="00CD3C38">
        <w:rPr>
          <w:rFonts w:ascii="Arial" w:hAnsi="Arial" w:cs="Arial"/>
          <w:color w:val="000000" w:themeColor="text1"/>
          <w:sz w:val="22"/>
          <w:lang w:val="es-ES"/>
        </w:rPr>
        <w:t>Señor</w:t>
      </w:r>
    </w:p>
    <w:p w14:paraId="0144FCCB" w14:textId="2E4C2572" w:rsidR="006C10B1" w:rsidRPr="00CD3C38" w:rsidRDefault="000C7B89" w:rsidP="00A97435">
      <w:pPr>
        <w:pStyle w:val="Sinespaciado"/>
        <w:rPr>
          <w:rFonts w:ascii="Arial" w:hAnsi="Arial" w:cs="Arial"/>
          <w:b/>
          <w:bCs/>
          <w:color w:val="000000" w:themeColor="text1"/>
          <w:sz w:val="22"/>
          <w:lang w:val="es-ES"/>
        </w:rPr>
      </w:pPr>
      <w:r w:rsidRPr="00CD3C38">
        <w:rPr>
          <w:rFonts w:ascii="Arial" w:hAnsi="Arial" w:cs="Arial"/>
          <w:b/>
          <w:bCs/>
          <w:color w:val="000000" w:themeColor="text1"/>
          <w:sz w:val="22"/>
          <w:lang w:val="es-ES"/>
        </w:rPr>
        <w:t xml:space="preserve">Esteban Muñoz </w:t>
      </w:r>
    </w:p>
    <w:p w14:paraId="359C48BE" w14:textId="77777777" w:rsidR="00A37FB6" w:rsidRPr="00CD3C38" w:rsidRDefault="00A37FB6" w:rsidP="00A97435">
      <w:pPr>
        <w:pStyle w:val="Sinespaciado"/>
        <w:rPr>
          <w:rFonts w:ascii="Arial" w:hAnsi="Arial" w:cs="Arial"/>
          <w:color w:val="000000" w:themeColor="text1"/>
          <w:sz w:val="22"/>
          <w:lang w:val="es-ES"/>
        </w:rPr>
      </w:pPr>
      <w:r w:rsidRPr="00CD3C38">
        <w:rPr>
          <w:rFonts w:ascii="Arial" w:hAnsi="Arial" w:cs="Arial"/>
          <w:color w:val="000000" w:themeColor="text1"/>
          <w:sz w:val="22"/>
          <w:lang w:val="es-ES"/>
        </w:rPr>
        <w:t>Ciudad</w:t>
      </w:r>
    </w:p>
    <w:p w14:paraId="479F6A3A" w14:textId="15DFFA40" w:rsidR="00A37FB6" w:rsidRPr="00CD3C38" w:rsidRDefault="00AD1B0F" w:rsidP="008A2025">
      <w:pPr>
        <w:spacing w:before="120" w:after="120" w:line="276" w:lineRule="auto"/>
        <w:jc w:val="center"/>
        <w:rPr>
          <w:rFonts w:ascii="Arial" w:eastAsia="Calibri" w:hAnsi="Arial" w:cs="Arial"/>
          <w:b/>
          <w:color w:val="000000" w:themeColor="text1"/>
          <w:sz w:val="22"/>
        </w:rPr>
      </w:pPr>
      <w:r w:rsidRPr="00CD3C38">
        <w:rPr>
          <w:rFonts w:ascii="Arial" w:eastAsia="Calibri" w:hAnsi="Arial" w:cs="Arial"/>
          <w:b/>
          <w:color w:val="000000" w:themeColor="text1"/>
          <w:sz w:val="22"/>
        </w:rPr>
        <w:t>Concepto C</w:t>
      </w:r>
      <w:r w:rsidRPr="00CD3C38">
        <w:rPr>
          <w:rFonts w:ascii="Arial" w:eastAsia="Calibri" w:hAnsi="Arial" w:cs="Arial"/>
          <w:color w:val="000000" w:themeColor="text1"/>
          <w:sz w:val="22"/>
        </w:rPr>
        <w:t xml:space="preserve"> ─</w:t>
      </w:r>
      <w:r w:rsidRPr="00CD3C38">
        <w:rPr>
          <w:rFonts w:ascii="Arial" w:eastAsia="Calibri" w:hAnsi="Arial" w:cs="Arial"/>
          <w:b/>
          <w:color w:val="000000" w:themeColor="text1"/>
          <w:sz w:val="22"/>
        </w:rPr>
        <w:t xml:space="preserve"> </w:t>
      </w:r>
      <w:r w:rsidR="00CE3329" w:rsidRPr="00CD3C38">
        <w:rPr>
          <w:rFonts w:ascii="Arial" w:eastAsia="Calibri" w:hAnsi="Arial" w:cs="Arial"/>
          <w:b/>
          <w:color w:val="000000" w:themeColor="text1"/>
          <w:sz w:val="22"/>
        </w:rPr>
        <w:t>398</w:t>
      </w:r>
      <w:r w:rsidR="000C7B89" w:rsidRPr="00CD3C38">
        <w:rPr>
          <w:rFonts w:ascii="Arial" w:eastAsia="Calibri" w:hAnsi="Arial" w:cs="Arial"/>
          <w:b/>
          <w:color w:val="000000" w:themeColor="text1"/>
          <w:sz w:val="22"/>
        </w:rPr>
        <w:t xml:space="preserve"> </w:t>
      </w:r>
      <w:r w:rsidR="00A37FB6" w:rsidRPr="00CD3C38">
        <w:rPr>
          <w:rFonts w:ascii="Arial" w:eastAsia="Calibri" w:hAnsi="Arial" w:cs="Arial"/>
          <w:b/>
          <w:color w:val="000000" w:themeColor="text1"/>
          <w:sz w:val="22"/>
        </w:rPr>
        <w:t>de 2020</w:t>
      </w:r>
    </w:p>
    <w:p w14:paraId="49BB1EAB" w14:textId="77777777" w:rsidR="00A37FB6" w:rsidRPr="00CD3C38" w:rsidRDefault="00A37FB6" w:rsidP="008A2025">
      <w:pPr>
        <w:spacing w:before="120" w:after="120" w:line="276" w:lineRule="auto"/>
        <w:rPr>
          <w:rFonts w:ascii="Arial" w:eastAsia="Calibri" w:hAnsi="Arial" w:cs="Arial"/>
          <w:color w:val="000000" w:themeColor="text1"/>
          <w:sz w:val="22"/>
        </w:rPr>
      </w:pPr>
    </w:p>
    <w:tbl>
      <w:tblPr>
        <w:tblStyle w:val="Tablaconcuadrcula"/>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6206"/>
      </w:tblGrid>
      <w:tr w:rsidR="004D58A4" w:rsidRPr="00CD3C38" w14:paraId="20C2FA60" w14:textId="77777777" w:rsidTr="004D58A4">
        <w:trPr>
          <w:trHeight w:val="1006"/>
        </w:trPr>
        <w:tc>
          <w:tcPr>
            <w:tcW w:w="2614" w:type="dxa"/>
            <w:hideMark/>
          </w:tcPr>
          <w:p w14:paraId="2A9459AB" w14:textId="77777777" w:rsidR="00A37FB6" w:rsidRPr="00CD3C38" w:rsidRDefault="00A37FB6" w:rsidP="008A2025">
            <w:pPr>
              <w:spacing w:before="120" w:after="120" w:line="276" w:lineRule="auto"/>
              <w:rPr>
                <w:rFonts w:ascii="Arial" w:eastAsia="Calibri" w:hAnsi="Arial" w:cs="Arial"/>
                <w:color w:val="000000" w:themeColor="text1"/>
                <w:sz w:val="22"/>
              </w:rPr>
            </w:pPr>
            <w:r w:rsidRPr="00CD3C38">
              <w:rPr>
                <w:rFonts w:ascii="Arial" w:eastAsia="Calibri" w:hAnsi="Arial" w:cs="Arial"/>
                <w:b/>
                <w:color w:val="000000" w:themeColor="text1"/>
                <w:sz w:val="22"/>
              </w:rPr>
              <w:t>Temas:</w:t>
            </w:r>
            <w:r w:rsidRPr="00CD3C38">
              <w:rPr>
                <w:rFonts w:ascii="Arial" w:eastAsia="Calibri" w:hAnsi="Arial" w:cs="Arial"/>
                <w:color w:val="000000" w:themeColor="text1"/>
                <w:sz w:val="22"/>
              </w:rPr>
              <w:t xml:space="preserve">           </w:t>
            </w:r>
          </w:p>
          <w:p w14:paraId="1840BCE8" w14:textId="77777777" w:rsidR="00A37FB6" w:rsidRPr="00CD3C38" w:rsidRDefault="00A37FB6" w:rsidP="008A2025">
            <w:pPr>
              <w:spacing w:before="120" w:after="120" w:line="276" w:lineRule="auto"/>
              <w:rPr>
                <w:rFonts w:ascii="Arial" w:eastAsia="Calibri" w:hAnsi="Arial" w:cs="Arial"/>
                <w:color w:val="000000" w:themeColor="text1"/>
                <w:sz w:val="22"/>
              </w:rPr>
            </w:pPr>
            <w:r w:rsidRPr="00CD3C38">
              <w:rPr>
                <w:rFonts w:ascii="Arial" w:eastAsia="Calibri" w:hAnsi="Arial" w:cs="Arial"/>
                <w:color w:val="000000" w:themeColor="text1"/>
                <w:sz w:val="22"/>
              </w:rPr>
              <w:t xml:space="preserve">                           </w:t>
            </w:r>
          </w:p>
        </w:tc>
        <w:tc>
          <w:tcPr>
            <w:tcW w:w="6206" w:type="dxa"/>
            <w:hideMark/>
          </w:tcPr>
          <w:p w14:paraId="7CF86F4A" w14:textId="77777777" w:rsidR="00A302BB" w:rsidRPr="00A302BB" w:rsidRDefault="00A302BB" w:rsidP="00A302BB">
            <w:pPr>
              <w:pStyle w:val="Default"/>
              <w:jc w:val="both"/>
              <w:rPr>
                <w:color w:val="000000" w:themeColor="text1"/>
                <w:sz w:val="22"/>
                <w:szCs w:val="22"/>
                <w:lang w:val="es-ES"/>
              </w:rPr>
            </w:pPr>
            <w:r w:rsidRPr="00A302BB">
              <w:rPr>
                <w:rFonts w:eastAsia="Calibri"/>
                <w:color w:val="000000" w:themeColor="text1"/>
                <w:sz w:val="22"/>
                <w:szCs w:val="22"/>
              </w:rPr>
              <w:t xml:space="preserve">EXPERIENCIA – Registro Único de Proponentes – Forma de Acreditación </w:t>
            </w:r>
            <w:r w:rsidRPr="00A302BB">
              <w:rPr>
                <w:rFonts w:eastAsia="Calibri"/>
                <w:color w:val="000000" w:themeColor="text1"/>
                <w:sz w:val="22"/>
              </w:rPr>
              <w:t xml:space="preserve">/ </w:t>
            </w:r>
            <w:r w:rsidRPr="00A302BB">
              <w:rPr>
                <w:color w:val="000000" w:themeColor="text1"/>
                <w:sz w:val="22"/>
                <w:szCs w:val="22"/>
                <w:lang w:val="es-ES"/>
              </w:rPr>
              <w:t xml:space="preserve">EXPERIENCIA – Nociones Generales – Registro Único de Proponentes – Exceptuados de inscripción / </w:t>
            </w:r>
            <w:r w:rsidRPr="00A302BB">
              <w:rPr>
                <w:color w:val="000000" w:themeColor="text1"/>
                <w:sz w:val="22"/>
                <w:szCs w:val="22"/>
              </w:rPr>
              <w:t xml:space="preserve">EXPERIENCIA SOCIEDADES NUEVAS – Finalidad – </w:t>
            </w:r>
            <w:r w:rsidRPr="00A302BB">
              <w:rPr>
                <w:color w:val="000000" w:themeColor="text1"/>
                <w:sz w:val="22"/>
              </w:rPr>
              <w:t xml:space="preserve">Acreditación – Pluralidad de Oferentes / </w:t>
            </w:r>
            <w:r w:rsidRPr="00A302BB">
              <w:rPr>
                <w:color w:val="000000" w:themeColor="text1"/>
                <w:sz w:val="22"/>
                <w:szCs w:val="22"/>
              </w:rPr>
              <w:t xml:space="preserve">EXPERIENCIA SOCIEDADES NUEVAS – </w:t>
            </w:r>
            <w:r w:rsidRPr="00A302BB">
              <w:rPr>
                <w:color w:val="000000" w:themeColor="text1"/>
                <w:sz w:val="22"/>
              </w:rPr>
              <w:t>Porcentaje de Experiencia Transferible – No Limitada</w:t>
            </w:r>
          </w:p>
          <w:p w14:paraId="68427DD8" w14:textId="77777777" w:rsidR="00A302BB" w:rsidRDefault="00A302BB" w:rsidP="00A302BB">
            <w:pPr>
              <w:pStyle w:val="Default"/>
              <w:rPr>
                <w:color w:val="000000" w:themeColor="text1"/>
                <w:sz w:val="22"/>
                <w:szCs w:val="22"/>
                <w:lang w:val="es-ES"/>
              </w:rPr>
            </w:pPr>
          </w:p>
          <w:p w14:paraId="34EC173C" w14:textId="59E2C785" w:rsidR="00A302BB" w:rsidRPr="00A0405E" w:rsidRDefault="00A302BB" w:rsidP="00A302BB">
            <w:pPr>
              <w:jc w:val="both"/>
              <w:rPr>
                <w:rFonts w:ascii="Arial" w:eastAsia="Calibri" w:hAnsi="Arial" w:cs="Arial"/>
                <w:b/>
                <w:bCs/>
                <w:color w:val="000000" w:themeColor="text1"/>
                <w:sz w:val="22"/>
              </w:rPr>
            </w:pPr>
          </w:p>
          <w:p w14:paraId="069BC436" w14:textId="2C6EE24B" w:rsidR="00A37FB6" w:rsidRPr="00CD3C38" w:rsidRDefault="00A37FB6" w:rsidP="003A3A09">
            <w:pPr>
              <w:jc w:val="both"/>
              <w:rPr>
                <w:rFonts w:ascii="Arial" w:hAnsi="Arial" w:cs="Arial"/>
                <w:color w:val="000000" w:themeColor="text1"/>
                <w:sz w:val="22"/>
              </w:rPr>
            </w:pPr>
          </w:p>
        </w:tc>
      </w:tr>
      <w:tr w:rsidR="004D58A4" w:rsidRPr="00CD3C38" w14:paraId="62473A71" w14:textId="77777777" w:rsidTr="004D58A4">
        <w:trPr>
          <w:trHeight w:val="521"/>
        </w:trPr>
        <w:tc>
          <w:tcPr>
            <w:tcW w:w="2614" w:type="dxa"/>
          </w:tcPr>
          <w:p w14:paraId="730BF589" w14:textId="77777777" w:rsidR="00A37FB6" w:rsidRPr="00CD3C38" w:rsidRDefault="00A37FB6" w:rsidP="008A2025">
            <w:pPr>
              <w:spacing w:before="120" w:after="120" w:line="276" w:lineRule="auto"/>
              <w:rPr>
                <w:rFonts w:ascii="Arial" w:eastAsia="Calibri" w:hAnsi="Arial" w:cs="Arial"/>
                <w:b/>
                <w:color w:val="000000" w:themeColor="text1"/>
                <w:sz w:val="22"/>
              </w:rPr>
            </w:pPr>
            <w:r w:rsidRPr="00CD3C38">
              <w:rPr>
                <w:rFonts w:ascii="Arial" w:eastAsia="Calibri" w:hAnsi="Arial" w:cs="Arial"/>
                <w:b/>
                <w:color w:val="000000" w:themeColor="text1"/>
                <w:sz w:val="22"/>
              </w:rPr>
              <w:t>Radicación:</w:t>
            </w:r>
            <w:r w:rsidRPr="00CD3C38">
              <w:rPr>
                <w:rFonts w:ascii="Arial" w:eastAsia="Calibri" w:hAnsi="Arial" w:cs="Arial"/>
                <w:color w:val="000000" w:themeColor="text1"/>
                <w:sz w:val="22"/>
              </w:rPr>
              <w:t xml:space="preserve">                              </w:t>
            </w:r>
          </w:p>
        </w:tc>
        <w:tc>
          <w:tcPr>
            <w:tcW w:w="6206" w:type="dxa"/>
          </w:tcPr>
          <w:p w14:paraId="2CD77F9B" w14:textId="66CF3089" w:rsidR="00A37FB6" w:rsidRPr="00CD3C38" w:rsidRDefault="00AD1B0F" w:rsidP="008A2025">
            <w:pPr>
              <w:spacing w:before="120" w:after="120" w:line="276" w:lineRule="auto"/>
              <w:jc w:val="both"/>
              <w:rPr>
                <w:rFonts w:ascii="Arial" w:eastAsia="Calibri" w:hAnsi="Arial" w:cs="Arial"/>
                <w:color w:val="000000" w:themeColor="text1"/>
                <w:sz w:val="22"/>
              </w:rPr>
            </w:pPr>
            <w:r w:rsidRPr="00CD3C38">
              <w:rPr>
                <w:rFonts w:ascii="Arial" w:eastAsia="Calibri" w:hAnsi="Arial" w:cs="Arial"/>
                <w:color w:val="000000" w:themeColor="text1"/>
                <w:sz w:val="22"/>
              </w:rPr>
              <w:t>Respuesta a consulta #</w:t>
            </w:r>
            <w:r w:rsidR="000C7B89" w:rsidRPr="00CD3C38">
              <w:rPr>
                <w:rFonts w:ascii="Arial" w:eastAsia="Calibri" w:hAnsi="Arial" w:cs="Arial"/>
                <w:color w:val="000000" w:themeColor="text1"/>
                <w:sz w:val="22"/>
              </w:rPr>
              <w:t xml:space="preserve"> 4202013000004551</w:t>
            </w:r>
          </w:p>
        </w:tc>
      </w:tr>
    </w:tbl>
    <w:p w14:paraId="72693BD0" w14:textId="77777777" w:rsidR="00965ED6" w:rsidRPr="00CD3C38" w:rsidRDefault="00965ED6" w:rsidP="00DB22BC">
      <w:pPr>
        <w:spacing w:line="276" w:lineRule="auto"/>
        <w:rPr>
          <w:rFonts w:ascii="Arial" w:eastAsia="Calibri" w:hAnsi="Arial" w:cs="Arial"/>
          <w:color w:val="000000" w:themeColor="text1"/>
          <w:sz w:val="22"/>
        </w:rPr>
      </w:pPr>
    </w:p>
    <w:p w14:paraId="2F0DA2F5" w14:textId="510DBF6A" w:rsidR="00A37FB6" w:rsidRPr="00CD3C38" w:rsidRDefault="00E6565C" w:rsidP="00DB22BC">
      <w:pPr>
        <w:spacing w:line="276" w:lineRule="auto"/>
        <w:rPr>
          <w:rFonts w:ascii="Arial" w:eastAsia="Calibri" w:hAnsi="Arial" w:cs="Arial"/>
          <w:color w:val="000000" w:themeColor="text1"/>
          <w:sz w:val="22"/>
        </w:rPr>
      </w:pPr>
      <w:r w:rsidRPr="00CD3C38">
        <w:rPr>
          <w:rFonts w:ascii="Arial" w:eastAsia="Calibri" w:hAnsi="Arial" w:cs="Arial"/>
          <w:color w:val="000000" w:themeColor="text1"/>
          <w:sz w:val="22"/>
        </w:rPr>
        <w:t>Estimado</w:t>
      </w:r>
      <w:r w:rsidR="00834F2E" w:rsidRPr="00CD3C38">
        <w:rPr>
          <w:rFonts w:ascii="Arial" w:eastAsia="Calibri" w:hAnsi="Arial" w:cs="Arial"/>
          <w:color w:val="000000" w:themeColor="text1"/>
          <w:sz w:val="22"/>
        </w:rPr>
        <w:t xml:space="preserve"> señor</w:t>
      </w:r>
      <w:r w:rsidR="000C7B89" w:rsidRPr="00CD3C38">
        <w:rPr>
          <w:rFonts w:ascii="Arial" w:eastAsia="Calibri" w:hAnsi="Arial" w:cs="Arial"/>
          <w:color w:val="000000" w:themeColor="text1"/>
          <w:sz w:val="22"/>
        </w:rPr>
        <w:t xml:space="preserve"> Muñoz</w:t>
      </w:r>
      <w:r w:rsidR="00F93FC0" w:rsidRPr="00CD3C38">
        <w:rPr>
          <w:rFonts w:ascii="Arial" w:eastAsia="Calibri" w:hAnsi="Arial" w:cs="Arial"/>
          <w:color w:val="000000" w:themeColor="text1"/>
          <w:sz w:val="22"/>
        </w:rPr>
        <w:t>:</w:t>
      </w:r>
    </w:p>
    <w:p w14:paraId="5C46C846" w14:textId="77777777" w:rsidR="00965ED6" w:rsidRPr="00CD3C38" w:rsidRDefault="00965ED6" w:rsidP="00DB22BC">
      <w:pPr>
        <w:spacing w:line="276" w:lineRule="auto"/>
        <w:rPr>
          <w:rFonts w:ascii="Arial" w:eastAsia="Calibri" w:hAnsi="Arial" w:cs="Arial"/>
          <w:color w:val="000000" w:themeColor="text1"/>
          <w:sz w:val="22"/>
        </w:rPr>
      </w:pPr>
    </w:p>
    <w:p w14:paraId="7C0ECF63" w14:textId="15514A76" w:rsidR="00DB22BC" w:rsidRPr="00CD3C38" w:rsidRDefault="00A37FB6" w:rsidP="00965ED6">
      <w:pPr>
        <w:spacing w:line="276" w:lineRule="auto"/>
        <w:ind w:right="49"/>
        <w:jc w:val="both"/>
        <w:rPr>
          <w:rFonts w:ascii="Arial" w:eastAsia="Calibri" w:hAnsi="Arial" w:cs="Arial"/>
          <w:color w:val="000000" w:themeColor="text1"/>
          <w:sz w:val="22"/>
        </w:rPr>
      </w:pPr>
      <w:r w:rsidRPr="00CD3C38">
        <w:rPr>
          <w:rFonts w:ascii="Arial" w:eastAsia="Calibri" w:hAnsi="Arial" w:cs="Arial"/>
          <w:color w:val="000000" w:themeColor="text1"/>
          <w:sz w:val="22"/>
        </w:rPr>
        <w:t xml:space="preserve">La Agencia Nacional de Contratación Pública ―Colombia Compra Eficiente― responde su consulta </w:t>
      </w:r>
      <w:r w:rsidR="004141CB" w:rsidRPr="00CD3C38">
        <w:rPr>
          <w:rFonts w:ascii="Arial" w:eastAsia="Calibri" w:hAnsi="Arial" w:cs="Arial"/>
          <w:color w:val="000000" w:themeColor="text1"/>
          <w:sz w:val="22"/>
        </w:rPr>
        <w:t>del</w:t>
      </w:r>
      <w:r w:rsidR="009D270F" w:rsidRPr="00CD3C38">
        <w:rPr>
          <w:rFonts w:ascii="Arial" w:eastAsia="Calibri" w:hAnsi="Arial" w:cs="Arial"/>
          <w:color w:val="000000" w:themeColor="text1"/>
          <w:sz w:val="22"/>
        </w:rPr>
        <w:t xml:space="preserve"> </w:t>
      </w:r>
      <w:r w:rsidR="000C7B89" w:rsidRPr="00CD3C38">
        <w:rPr>
          <w:rFonts w:ascii="Arial" w:eastAsia="Calibri" w:hAnsi="Arial" w:cs="Arial"/>
          <w:color w:val="000000" w:themeColor="text1"/>
          <w:sz w:val="22"/>
        </w:rPr>
        <w:t xml:space="preserve">03 de </w:t>
      </w:r>
      <w:r w:rsidR="00FA46A4" w:rsidRPr="00CD3C38">
        <w:rPr>
          <w:rFonts w:ascii="Arial" w:eastAsia="Calibri" w:hAnsi="Arial" w:cs="Arial"/>
          <w:color w:val="000000" w:themeColor="text1"/>
          <w:sz w:val="22"/>
        </w:rPr>
        <w:t>junio de</w:t>
      </w:r>
      <w:r w:rsidR="004141CB" w:rsidRPr="00CD3C38">
        <w:rPr>
          <w:rFonts w:ascii="Arial" w:eastAsia="Calibri" w:hAnsi="Arial" w:cs="Arial"/>
          <w:color w:val="000000" w:themeColor="text1"/>
          <w:sz w:val="22"/>
        </w:rPr>
        <w:t xml:space="preserve"> 2020</w:t>
      </w:r>
      <w:r w:rsidRPr="00CD3C38">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59939D73" w14:textId="77777777" w:rsidR="009D270F" w:rsidRPr="00CD3C38" w:rsidRDefault="009D270F" w:rsidP="00DB22BC">
      <w:pPr>
        <w:pStyle w:val="Prrafodelista"/>
        <w:tabs>
          <w:tab w:val="left" w:pos="284"/>
        </w:tabs>
        <w:spacing w:line="276" w:lineRule="auto"/>
        <w:ind w:left="0"/>
        <w:contextualSpacing w:val="0"/>
        <w:jc w:val="both"/>
        <w:rPr>
          <w:rFonts w:ascii="Arial" w:eastAsia="Calibri" w:hAnsi="Arial" w:cs="Arial"/>
          <w:b/>
          <w:color w:val="000000" w:themeColor="text1"/>
          <w:sz w:val="22"/>
        </w:rPr>
      </w:pPr>
    </w:p>
    <w:p w14:paraId="737E2623" w14:textId="77777777" w:rsidR="00A37FB6" w:rsidRPr="00CD3C38" w:rsidRDefault="00A37FB6" w:rsidP="00DB22BC">
      <w:pPr>
        <w:pStyle w:val="Prrafodelista"/>
        <w:numPr>
          <w:ilvl w:val="0"/>
          <w:numId w:val="6"/>
        </w:numPr>
        <w:tabs>
          <w:tab w:val="left" w:pos="284"/>
        </w:tabs>
        <w:spacing w:line="276" w:lineRule="auto"/>
        <w:ind w:left="0" w:firstLine="0"/>
        <w:contextualSpacing w:val="0"/>
        <w:jc w:val="both"/>
        <w:rPr>
          <w:rFonts w:ascii="Arial" w:eastAsia="Calibri" w:hAnsi="Arial" w:cs="Arial"/>
          <w:b/>
          <w:color w:val="000000" w:themeColor="text1"/>
          <w:sz w:val="22"/>
        </w:rPr>
      </w:pPr>
      <w:r w:rsidRPr="00CD3C38">
        <w:rPr>
          <w:rFonts w:ascii="Arial" w:eastAsia="Calibri" w:hAnsi="Arial" w:cs="Arial"/>
          <w:b/>
          <w:color w:val="000000" w:themeColor="text1"/>
          <w:sz w:val="22"/>
        </w:rPr>
        <w:t xml:space="preserve">Problemas planteados </w:t>
      </w:r>
    </w:p>
    <w:p w14:paraId="498A026D" w14:textId="77777777" w:rsidR="00A37FB6" w:rsidRPr="00CD3C38" w:rsidRDefault="00A37FB6" w:rsidP="00DB22BC">
      <w:pPr>
        <w:tabs>
          <w:tab w:val="left" w:pos="426"/>
        </w:tabs>
        <w:spacing w:line="276" w:lineRule="auto"/>
        <w:jc w:val="both"/>
        <w:rPr>
          <w:rFonts w:ascii="Arial" w:eastAsia="Calibri" w:hAnsi="Arial" w:cs="Arial"/>
          <w:b/>
          <w:color w:val="000000" w:themeColor="text1"/>
          <w:sz w:val="22"/>
        </w:rPr>
      </w:pPr>
    </w:p>
    <w:p w14:paraId="5746E90B" w14:textId="51E86288" w:rsidR="00336B89" w:rsidRPr="00CE0AEC" w:rsidRDefault="00336B89" w:rsidP="00CE0AEC">
      <w:pPr>
        <w:spacing w:line="276" w:lineRule="auto"/>
        <w:jc w:val="both"/>
        <w:rPr>
          <w:rFonts w:ascii="Arial" w:hAnsi="Arial" w:cs="Arial"/>
          <w:color w:val="000000" w:themeColor="text1"/>
          <w:sz w:val="22"/>
        </w:rPr>
      </w:pPr>
      <w:r w:rsidRPr="00CE0AEC">
        <w:rPr>
          <w:rFonts w:ascii="Arial" w:hAnsi="Arial" w:cs="Arial"/>
          <w:color w:val="000000" w:themeColor="text1"/>
          <w:sz w:val="22"/>
        </w:rPr>
        <w:t xml:space="preserve">Usted dentro de su petición plantea las siguientes preguntas: i) De acuerdo con lo establecido en el numeral 2.5 del artículo 2.2.1.1.1.5.2. sobre la posibilidad de acreditar la experiencia de los socios dentro del Registro Único de Proponentes – RUP ¿La experiencia se cuenta en un 100% independiente del porcentaje de participación en la empresa o es </w:t>
      </w:r>
      <w:r w:rsidRPr="00CE0AEC">
        <w:rPr>
          <w:rFonts w:ascii="Arial" w:hAnsi="Arial" w:cs="Arial"/>
          <w:color w:val="000000" w:themeColor="text1"/>
          <w:sz w:val="22"/>
        </w:rPr>
        <w:lastRenderedPageBreak/>
        <w:t xml:space="preserve">proporcional al número de acciones que se tiene? y ii) </w:t>
      </w:r>
      <w:r w:rsidR="00FA46A4" w:rsidRPr="00CE0AEC">
        <w:rPr>
          <w:rFonts w:ascii="Arial" w:hAnsi="Arial" w:cs="Arial"/>
          <w:color w:val="000000" w:themeColor="text1"/>
          <w:sz w:val="22"/>
        </w:rPr>
        <w:t xml:space="preserve">¿La esposa del hermano de un secretario de despacho de una entidad territorial está inhabilitada o tiene incompatibilidad para contratar con ese municipio a través de una empresa de la cual es dueña? </w:t>
      </w:r>
    </w:p>
    <w:p w14:paraId="3593BAF3" w14:textId="77777777" w:rsidR="008B3DC3" w:rsidRPr="00CD3C38" w:rsidRDefault="008B3DC3" w:rsidP="00DB22BC">
      <w:pPr>
        <w:tabs>
          <w:tab w:val="left" w:pos="426"/>
        </w:tabs>
        <w:spacing w:line="276" w:lineRule="auto"/>
        <w:jc w:val="both"/>
        <w:rPr>
          <w:rFonts w:ascii="Arial" w:eastAsia="Calibri" w:hAnsi="Arial" w:cs="Arial"/>
          <w:color w:val="000000" w:themeColor="text1"/>
          <w:sz w:val="22"/>
        </w:rPr>
      </w:pPr>
    </w:p>
    <w:p w14:paraId="6A32A1B1" w14:textId="77777777" w:rsidR="00A37FB6" w:rsidRPr="00CD3C38" w:rsidRDefault="00A37FB6" w:rsidP="001127DA">
      <w:pPr>
        <w:pStyle w:val="Prrafodelista"/>
        <w:numPr>
          <w:ilvl w:val="0"/>
          <w:numId w:val="6"/>
        </w:numPr>
        <w:tabs>
          <w:tab w:val="left" w:pos="426"/>
        </w:tabs>
        <w:spacing w:line="276" w:lineRule="auto"/>
        <w:ind w:left="284" w:hanging="284"/>
        <w:contextualSpacing w:val="0"/>
        <w:jc w:val="both"/>
        <w:rPr>
          <w:rFonts w:ascii="Arial" w:eastAsia="Calibri" w:hAnsi="Arial" w:cs="Arial"/>
          <w:b/>
          <w:color w:val="000000" w:themeColor="text1"/>
          <w:sz w:val="22"/>
        </w:rPr>
      </w:pPr>
      <w:r w:rsidRPr="00CD3C38">
        <w:rPr>
          <w:rFonts w:ascii="Arial" w:eastAsia="Calibri" w:hAnsi="Arial" w:cs="Arial"/>
          <w:b/>
          <w:color w:val="000000" w:themeColor="text1"/>
          <w:sz w:val="22"/>
        </w:rPr>
        <w:t>Consideraciones</w:t>
      </w:r>
    </w:p>
    <w:p w14:paraId="28692669" w14:textId="77777777" w:rsidR="00495590" w:rsidRPr="00CD3C38" w:rsidRDefault="00495590" w:rsidP="001127DA">
      <w:pPr>
        <w:tabs>
          <w:tab w:val="left" w:pos="426"/>
        </w:tabs>
        <w:spacing w:line="276" w:lineRule="auto"/>
        <w:jc w:val="both"/>
        <w:rPr>
          <w:rFonts w:ascii="Arial" w:eastAsia="Calibri" w:hAnsi="Arial" w:cs="Arial"/>
          <w:b/>
          <w:color w:val="000000" w:themeColor="text1"/>
          <w:sz w:val="22"/>
        </w:rPr>
      </w:pPr>
    </w:p>
    <w:p w14:paraId="0DF5844E" w14:textId="14B2A426" w:rsidR="00DB201F" w:rsidRPr="00CD3C38" w:rsidRDefault="00DB201F" w:rsidP="001127DA">
      <w:pPr>
        <w:spacing w:line="276" w:lineRule="auto"/>
        <w:jc w:val="both"/>
        <w:rPr>
          <w:rFonts w:ascii="Arial" w:hAnsi="Arial" w:cs="Arial"/>
          <w:color w:val="000000" w:themeColor="text1"/>
          <w:sz w:val="22"/>
        </w:rPr>
      </w:pPr>
      <w:r w:rsidRPr="00CD3C38">
        <w:rPr>
          <w:rFonts w:ascii="Arial" w:hAnsi="Arial" w:cs="Arial"/>
          <w:color w:val="000000" w:themeColor="text1"/>
          <w:sz w:val="22"/>
        </w:rPr>
        <w:t xml:space="preserve">La Agencia Nacional de Contratación Pública – Colombia Compra Eficiente, se pronunció en el concepto </w:t>
      </w:r>
      <w:r w:rsidR="00726482" w:rsidRPr="00CD3C38">
        <w:rPr>
          <w:rFonts w:ascii="Arial" w:hAnsi="Arial" w:cs="Arial"/>
          <w:color w:val="000000" w:themeColor="text1"/>
          <w:sz w:val="22"/>
        </w:rPr>
        <w:t>C – 051</w:t>
      </w:r>
      <w:r w:rsidR="0050403E" w:rsidRPr="00CD3C38">
        <w:rPr>
          <w:rFonts w:ascii="Arial" w:hAnsi="Arial" w:cs="Arial"/>
          <w:color w:val="000000" w:themeColor="text1"/>
          <w:sz w:val="22"/>
        </w:rPr>
        <w:t xml:space="preserve"> de</w:t>
      </w:r>
      <w:r w:rsidR="00726482" w:rsidRPr="00CD3C38">
        <w:rPr>
          <w:rFonts w:ascii="Arial" w:hAnsi="Arial" w:cs="Arial"/>
          <w:color w:val="000000" w:themeColor="text1"/>
          <w:sz w:val="22"/>
        </w:rPr>
        <w:t>l 2 de marzo de</w:t>
      </w:r>
      <w:r w:rsidR="0050403E" w:rsidRPr="00CD3C38">
        <w:rPr>
          <w:rFonts w:ascii="Arial" w:hAnsi="Arial" w:cs="Arial"/>
          <w:color w:val="000000" w:themeColor="text1"/>
          <w:sz w:val="22"/>
        </w:rPr>
        <w:t xml:space="preserve"> 2020 sobre la experiencia en proc</w:t>
      </w:r>
      <w:r w:rsidR="006B38CC" w:rsidRPr="00CD3C38">
        <w:rPr>
          <w:rFonts w:ascii="Arial" w:hAnsi="Arial" w:cs="Arial"/>
          <w:color w:val="000000" w:themeColor="text1"/>
          <w:sz w:val="22"/>
        </w:rPr>
        <w:t>edimientos</w:t>
      </w:r>
      <w:r w:rsidR="0050403E" w:rsidRPr="00CD3C38">
        <w:rPr>
          <w:rFonts w:ascii="Arial" w:hAnsi="Arial" w:cs="Arial"/>
          <w:color w:val="000000" w:themeColor="text1"/>
          <w:sz w:val="22"/>
        </w:rPr>
        <w:t xml:space="preserve"> exceptuados de </w:t>
      </w:r>
      <w:r w:rsidR="00290227" w:rsidRPr="00CD3C38">
        <w:rPr>
          <w:rFonts w:ascii="Arial" w:hAnsi="Arial" w:cs="Arial"/>
          <w:color w:val="000000" w:themeColor="text1"/>
          <w:sz w:val="22"/>
        </w:rPr>
        <w:t xml:space="preserve">inscripción en el RUP y su forma de acreditación en estos </w:t>
      </w:r>
      <w:r w:rsidR="006B38CC" w:rsidRPr="00CD3C38">
        <w:rPr>
          <w:rFonts w:ascii="Arial" w:hAnsi="Arial" w:cs="Arial"/>
          <w:color w:val="000000" w:themeColor="text1"/>
          <w:sz w:val="22"/>
        </w:rPr>
        <w:t xml:space="preserve">procedimientos </w:t>
      </w:r>
      <w:r w:rsidR="00290227" w:rsidRPr="00CD3C38">
        <w:rPr>
          <w:rFonts w:ascii="Arial" w:hAnsi="Arial" w:cs="Arial"/>
          <w:color w:val="000000" w:themeColor="text1"/>
          <w:sz w:val="22"/>
        </w:rPr>
        <w:t xml:space="preserve">de </w:t>
      </w:r>
      <w:r w:rsidR="006B38CC" w:rsidRPr="00CD3C38">
        <w:rPr>
          <w:rFonts w:ascii="Arial" w:hAnsi="Arial" w:cs="Arial"/>
          <w:color w:val="000000" w:themeColor="text1"/>
          <w:sz w:val="22"/>
        </w:rPr>
        <w:t>selección</w:t>
      </w:r>
      <w:r w:rsidR="00290227" w:rsidRPr="00CD3C38">
        <w:rPr>
          <w:rFonts w:ascii="Arial" w:hAnsi="Arial" w:cs="Arial"/>
          <w:color w:val="000000" w:themeColor="text1"/>
          <w:sz w:val="22"/>
        </w:rPr>
        <w:t xml:space="preserve">. </w:t>
      </w:r>
      <w:r w:rsidRPr="00CD3C38">
        <w:rPr>
          <w:rFonts w:ascii="Arial" w:hAnsi="Arial" w:cs="Arial"/>
          <w:color w:val="000000" w:themeColor="text1"/>
          <w:sz w:val="22"/>
        </w:rPr>
        <w:t xml:space="preserve">La tesis desarrollada se expone a continuación. </w:t>
      </w:r>
    </w:p>
    <w:p w14:paraId="202FE2EE" w14:textId="0CC71ABC" w:rsidR="00DB201F" w:rsidRPr="00CD3C38" w:rsidRDefault="00DB201F" w:rsidP="001127DA">
      <w:pPr>
        <w:spacing w:line="276" w:lineRule="auto"/>
        <w:jc w:val="both"/>
        <w:rPr>
          <w:rFonts w:ascii="Arial" w:hAnsi="Arial" w:cs="Arial"/>
          <w:color w:val="000000" w:themeColor="text1"/>
          <w:sz w:val="22"/>
        </w:rPr>
      </w:pPr>
    </w:p>
    <w:p w14:paraId="2917D25A" w14:textId="1B75456C" w:rsidR="00495590" w:rsidRPr="00CD3C38" w:rsidRDefault="00495590" w:rsidP="001127DA">
      <w:pPr>
        <w:spacing w:line="276" w:lineRule="auto"/>
        <w:jc w:val="both"/>
        <w:rPr>
          <w:rFonts w:ascii="Arial" w:eastAsia="Calibri" w:hAnsi="Arial" w:cs="Arial"/>
          <w:b/>
          <w:color w:val="000000" w:themeColor="text1"/>
          <w:sz w:val="22"/>
        </w:rPr>
      </w:pPr>
      <w:r w:rsidRPr="00CD3C38">
        <w:rPr>
          <w:rFonts w:ascii="Arial" w:eastAsia="Calibri" w:hAnsi="Arial" w:cs="Arial"/>
          <w:b/>
          <w:color w:val="000000" w:themeColor="text1"/>
          <w:sz w:val="22"/>
        </w:rPr>
        <w:t>2.1</w:t>
      </w:r>
      <w:r w:rsidR="00241CA2">
        <w:rPr>
          <w:rFonts w:ascii="Arial" w:eastAsia="Calibri" w:hAnsi="Arial" w:cs="Arial"/>
          <w:b/>
          <w:color w:val="000000" w:themeColor="text1"/>
          <w:sz w:val="22"/>
        </w:rPr>
        <w:t>.</w:t>
      </w:r>
      <w:r w:rsidRPr="00CD3C38">
        <w:rPr>
          <w:rFonts w:ascii="Arial" w:eastAsia="Calibri" w:hAnsi="Arial" w:cs="Arial"/>
          <w:b/>
          <w:color w:val="000000" w:themeColor="text1"/>
          <w:sz w:val="22"/>
        </w:rPr>
        <w:t xml:space="preserve"> Introducción</w:t>
      </w:r>
    </w:p>
    <w:p w14:paraId="77644019" w14:textId="77777777" w:rsidR="00DB201F" w:rsidRPr="00CD3C38" w:rsidRDefault="00DB201F" w:rsidP="001127DA">
      <w:pPr>
        <w:spacing w:line="276" w:lineRule="auto"/>
        <w:jc w:val="both"/>
        <w:rPr>
          <w:rFonts w:ascii="Arial" w:eastAsia="Calibri" w:hAnsi="Arial" w:cs="Arial"/>
          <w:b/>
          <w:color w:val="000000" w:themeColor="text1"/>
          <w:sz w:val="22"/>
        </w:rPr>
      </w:pPr>
    </w:p>
    <w:p w14:paraId="5FCACC44" w14:textId="77777777" w:rsidR="00495590" w:rsidRPr="00CD3C38" w:rsidRDefault="00495590" w:rsidP="006D478D">
      <w:pPr>
        <w:spacing w:before="120" w:after="120" w:line="276" w:lineRule="auto"/>
        <w:jc w:val="both"/>
        <w:rPr>
          <w:rFonts w:ascii="Arial" w:eastAsia="Calibri" w:hAnsi="Arial" w:cs="Arial"/>
          <w:color w:val="000000" w:themeColor="text1"/>
          <w:sz w:val="22"/>
        </w:rPr>
      </w:pPr>
      <w:r w:rsidRPr="00CD3C38">
        <w:rPr>
          <w:rFonts w:ascii="Arial" w:eastAsia="Calibri" w:hAnsi="Arial" w:cs="Arial"/>
          <w:color w:val="000000" w:themeColor="text1"/>
          <w:sz w:val="22"/>
        </w:rP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14:paraId="020B2E6A" w14:textId="77777777" w:rsidR="00495590" w:rsidRPr="00CD3C38" w:rsidRDefault="00495590" w:rsidP="00CE0AEC">
      <w:pPr>
        <w:spacing w:before="120" w:line="276" w:lineRule="auto"/>
        <w:ind w:firstLine="709"/>
        <w:jc w:val="both"/>
        <w:rPr>
          <w:rFonts w:ascii="Arial" w:eastAsia="Calibri" w:hAnsi="Arial" w:cs="Arial"/>
          <w:color w:val="000000" w:themeColor="text1"/>
          <w:sz w:val="22"/>
        </w:rPr>
      </w:pPr>
      <w:r w:rsidRPr="00CD3C38">
        <w:rPr>
          <w:rFonts w:ascii="Arial" w:eastAsia="Calibri" w:hAnsi="Arial" w:cs="Arial"/>
          <w:color w:val="000000" w:themeColor="text1"/>
          <w:sz w:val="22"/>
        </w:rPr>
        <w:t>Por consiguiente, la normativa del Sistema de Compra Pública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 como documento del proceso</w:t>
      </w:r>
      <w:r w:rsidRPr="00CD3C38">
        <w:rPr>
          <w:rFonts w:ascii="Arial" w:eastAsia="Calibri" w:hAnsi="Arial" w:cs="Arial"/>
          <w:color w:val="000000" w:themeColor="text1"/>
          <w:sz w:val="22"/>
          <w:vertAlign w:val="superscript"/>
        </w:rPr>
        <w:footnoteReference w:id="1"/>
      </w:r>
      <w:r w:rsidRPr="00CD3C38">
        <w:rPr>
          <w:rFonts w:ascii="Arial" w:eastAsia="Calibri" w:hAnsi="Arial" w:cs="Arial"/>
          <w:color w:val="000000" w:themeColor="text1"/>
          <w:sz w:val="22"/>
        </w:rPr>
        <w:t xml:space="preserve">. </w:t>
      </w:r>
    </w:p>
    <w:p w14:paraId="15DF398C" w14:textId="77777777" w:rsidR="000A055B" w:rsidRPr="00CD3C38" w:rsidRDefault="000A055B" w:rsidP="00754D2B">
      <w:pPr>
        <w:spacing w:line="276" w:lineRule="auto"/>
        <w:ind w:firstLine="708"/>
        <w:jc w:val="both"/>
        <w:rPr>
          <w:rFonts w:ascii="Arial" w:eastAsia="Calibri" w:hAnsi="Arial" w:cs="Arial"/>
          <w:color w:val="000000" w:themeColor="text1"/>
          <w:sz w:val="22"/>
        </w:rPr>
      </w:pPr>
    </w:p>
    <w:p w14:paraId="223B5337" w14:textId="77777777" w:rsidR="00495590" w:rsidRPr="00CD3C38" w:rsidRDefault="00495590" w:rsidP="00754D2B">
      <w:pPr>
        <w:spacing w:line="276" w:lineRule="auto"/>
        <w:jc w:val="both"/>
        <w:rPr>
          <w:rFonts w:ascii="Arial" w:eastAsia="Calibri" w:hAnsi="Arial" w:cs="Arial"/>
          <w:b/>
          <w:color w:val="000000" w:themeColor="text1"/>
          <w:sz w:val="22"/>
        </w:rPr>
      </w:pPr>
      <w:r w:rsidRPr="00CD3C38">
        <w:rPr>
          <w:rFonts w:ascii="Arial" w:eastAsia="Calibri" w:hAnsi="Arial" w:cs="Arial"/>
          <w:b/>
          <w:color w:val="000000" w:themeColor="text1"/>
          <w:sz w:val="22"/>
        </w:rPr>
        <w:t>2.2 Experiencia en la contratación pública: aproximación general al concepto y consideraciones del ente rector de la contratación pública</w:t>
      </w:r>
    </w:p>
    <w:p w14:paraId="58F434B4" w14:textId="77777777" w:rsidR="00495590" w:rsidRPr="00CD3C38" w:rsidRDefault="00495590" w:rsidP="00754D2B">
      <w:pPr>
        <w:spacing w:line="276" w:lineRule="auto"/>
        <w:jc w:val="both"/>
        <w:rPr>
          <w:rFonts w:ascii="Arial" w:eastAsia="Calibri" w:hAnsi="Arial" w:cs="Arial"/>
          <w:b/>
          <w:color w:val="000000" w:themeColor="text1"/>
          <w:sz w:val="22"/>
        </w:rPr>
      </w:pPr>
    </w:p>
    <w:p w14:paraId="2B96C16C" w14:textId="77777777" w:rsidR="00495590" w:rsidRPr="00CD3C38" w:rsidRDefault="00495590" w:rsidP="00754D2B">
      <w:pPr>
        <w:spacing w:line="276" w:lineRule="auto"/>
        <w:jc w:val="both"/>
        <w:rPr>
          <w:rFonts w:ascii="Arial" w:eastAsia="Calibri" w:hAnsi="Arial" w:cs="Arial"/>
          <w:b/>
          <w:color w:val="000000" w:themeColor="text1"/>
          <w:sz w:val="22"/>
        </w:rPr>
      </w:pPr>
      <w:r w:rsidRPr="00CD3C38">
        <w:rPr>
          <w:rFonts w:ascii="Arial" w:eastAsia="Calibri" w:hAnsi="Arial" w:cs="Arial"/>
          <w:b/>
          <w:color w:val="000000" w:themeColor="text1"/>
          <w:sz w:val="22"/>
        </w:rPr>
        <w:t>a) Norma general</w:t>
      </w:r>
    </w:p>
    <w:p w14:paraId="45DE3A54" w14:textId="41A60103" w:rsidR="00495590" w:rsidRPr="00CD3C38" w:rsidRDefault="00495590" w:rsidP="006D478D">
      <w:pPr>
        <w:spacing w:before="120" w:after="120" w:line="276" w:lineRule="auto"/>
        <w:jc w:val="both"/>
        <w:rPr>
          <w:rFonts w:ascii="Arial" w:eastAsia="Calibri" w:hAnsi="Arial" w:cs="Arial"/>
          <w:color w:val="000000" w:themeColor="text1"/>
          <w:sz w:val="22"/>
        </w:rPr>
      </w:pPr>
      <w:r w:rsidRPr="00CD3C38">
        <w:rPr>
          <w:rFonts w:ascii="Arial" w:eastAsia="Calibri" w:hAnsi="Arial" w:cs="Arial"/>
          <w:color w:val="000000" w:themeColor="text1"/>
          <w:sz w:val="22"/>
        </w:rPr>
        <w:lastRenderedPageBreak/>
        <w:t>La Ley 1150 de 2007, en el artículo 5</w:t>
      </w:r>
      <w:r w:rsidR="00C24589" w:rsidRPr="00CD3C38">
        <w:rPr>
          <w:rStyle w:val="Refdenotaalpie"/>
          <w:rFonts w:ascii="Arial" w:eastAsia="Calibri" w:hAnsi="Arial" w:cs="Arial"/>
          <w:color w:val="000000" w:themeColor="text1"/>
          <w:sz w:val="22"/>
        </w:rPr>
        <w:footnoteReference w:id="2"/>
      </w:r>
      <w:r w:rsidRPr="00CD3C38">
        <w:rPr>
          <w:rFonts w:ascii="Arial" w:eastAsia="Calibri" w:hAnsi="Arial" w:cs="Arial"/>
          <w:color w:val="000000" w:themeColor="text1"/>
          <w:sz w:val="22"/>
        </w:rPr>
        <w:t>,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 En ese 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w:t>
      </w:r>
      <w:r w:rsidR="000E345B">
        <w:rPr>
          <w:rFonts w:ascii="Arial" w:eastAsia="Calibri" w:hAnsi="Arial" w:cs="Arial"/>
          <w:color w:val="000000" w:themeColor="text1"/>
          <w:sz w:val="22"/>
        </w:rPr>
        <w:t>,</w:t>
      </w:r>
      <w:r w:rsidRPr="00CD3C38">
        <w:rPr>
          <w:rFonts w:ascii="Arial" w:eastAsia="Calibri" w:hAnsi="Arial" w:cs="Arial"/>
          <w:color w:val="000000" w:themeColor="text1"/>
          <w:sz w:val="22"/>
        </w:rPr>
        <w:t xml:space="preserve"> como la identificación de riesgos, el mercado y precio del bien, obra o servicio a contratar</w:t>
      </w:r>
      <w:r w:rsidRPr="00CD3C38">
        <w:rPr>
          <w:rFonts w:ascii="Arial" w:eastAsia="Calibri" w:hAnsi="Arial" w:cs="Arial"/>
          <w:color w:val="000000" w:themeColor="text1"/>
          <w:sz w:val="22"/>
          <w:vertAlign w:val="superscript"/>
        </w:rPr>
        <w:footnoteReference w:id="3"/>
      </w:r>
      <w:r w:rsidRPr="00CD3C38">
        <w:rPr>
          <w:rFonts w:ascii="Arial" w:eastAsia="Calibri" w:hAnsi="Arial" w:cs="Arial"/>
          <w:color w:val="000000" w:themeColor="text1"/>
          <w:sz w:val="22"/>
        </w:rPr>
        <w:t>.</w:t>
      </w:r>
    </w:p>
    <w:p w14:paraId="79708353" w14:textId="77777777" w:rsidR="00495590" w:rsidRPr="00CD3C38" w:rsidRDefault="00495590" w:rsidP="006D478D">
      <w:pPr>
        <w:spacing w:before="120" w:after="120" w:line="276" w:lineRule="auto"/>
        <w:ind w:firstLine="708"/>
        <w:jc w:val="both"/>
        <w:rPr>
          <w:rFonts w:ascii="Arial" w:eastAsia="Calibri" w:hAnsi="Arial" w:cs="Arial"/>
          <w:color w:val="000000" w:themeColor="text1"/>
          <w:sz w:val="22"/>
        </w:rPr>
      </w:pPr>
      <w:r w:rsidRPr="00CD3C38">
        <w:rPr>
          <w:rFonts w:ascii="Arial" w:eastAsia="Calibri" w:hAnsi="Arial" w:cs="Arial"/>
          <w:color w:val="000000" w:themeColor="text1"/>
          <w:sz w:val="22"/>
        </w:rPr>
        <w:t>La experiencia que se deriva de los contratos que el proponente ha celebrado y ejecutado con diferentes contratantes, sin importar la naturaleza de estos, se verifica con el Registro Único de Proponentes (RUP)</w:t>
      </w:r>
      <w:r w:rsidRPr="00CD3C38">
        <w:rPr>
          <w:rFonts w:ascii="Arial" w:eastAsia="Calibri" w:hAnsi="Arial" w:cs="Arial"/>
          <w:color w:val="000000" w:themeColor="text1"/>
          <w:sz w:val="22"/>
          <w:vertAlign w:val="superscript"/>
        </w:rPr>
        <w:footnoteReference w:id="4"/>
      </w:r>
      <w:r w:rsidRPr="00CD3C38">
        <w:rPr>
          <w:rFonts w:ascii="Arial" w:eastAsia="Calibri" w:hAnsi="Arial" w:cs="Arial"/>
          <w:color w:val="000000" w:themeColor="text1"/>
          <w:sz w:val="22"/>
        </w:rPr>
        <w:t>, cuando este certificado sea exigible de acuerdo con la ley, en el cual constan los requisitos habilitantes que se evalúan exclusivamente con este documento, que es su plena prueba, sin que le sea posible a la entidad o al proponente solicitar o aportar otra documentación</w:t>
      </w:r>
      <w:r w:rsidRPr="00CD3C38">
        <w:rPr>
          <w:rFonts w:ascii="Arial" w:eastAsia="Calibri" w:hAnsi="Arial" w:cs="Arial"/>
          <w:color w:val="000000" w:themeColor="text1"/>
          <w:sz w:val="22"/>
          <w:vertAlign w:val="superscript"/>
        </w:rPr>
        <w:footnoteReference w:id="5"/>
      </w:r>
      <w:r w:rsidRPr="00CD3C38">
        <w:rPr>
          <w:rFonts w:ascii="Arial" w:eastAsia="Calibri" w:hAnsi="Arial" w:cs="Arial"/>
          <w:color w:val="000000" w:themeColor="text1"/>
          <w:sz w:val="22"/>
        </w:rPr>
        <w:t>.</w:t>
      </w:r>
    </w:p>
    <w:p w14:paraId="56117C01" w14:textId="52F6E121" w:rsidR="00BF5A02" w:rsidRPr="00CD3C38" w:rsidRDefault="00495590" w:rsidP="00726482">
      <w:pPr>
        <w:spacing w:line="276" w:lineRule="auto"/>
        <w:ind w:firstLine="708"/>
        <w:jc w:val="both"/>
        <w:rPr>
          <w:rFonts w:ascii="Arial" w:eastAsia="Calibri" w:hAnsi="Arial" w:cs="Arial"/>
          <w:color w:val="000000" w:themeColor="text1"/>
          <w:sz w:val="22"/>
        </w:rPr>
      </w:pPr>
      <w:r w:rsidRPr="00CD3C38">
        <w:rPr>
          <w:rFonts w:ascii="Arial" w:eastAsia="Calibri" w:hAnsi="Arial" w:cs="Arial"/>
          <w:color w:val="000000" w:themeColor="text1"/>
          <w:sz w:val="22"/>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CD3C38">
        <w:rPr>
          <w:rFonts w:ascii="Arial" w:eastAsia="Calibri" w:hAnsi="Arial" w:cs="Arial"/>
          <w:color w:val="000000" w:themeColor="text1"/>
          <w:sz w:val="22"/>
          <w:vertAlign w:val="superscript"/>
        </w:rPr>
        <w:footnoteReference w:id="6"/>
      </w:r>
      <w:r w:rsidRPr="00CD3C38">
        <w:rPr>
          <w:rFonts w:ascii="Arial" w:eastAsia="Calibri" w:hAnsi="Arial" w:cs="Arial"/>
          <w:color w:val="000000" w:themeColor="text1"/>
          <w:sz w:val="22"/>
        </w:rPr>
        <w:t xml:space="preserve">.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w:t>
      </w:r>
    </w:p>
    <w:p w14:paraId="77CF2779" w14:textId="77777777" w:rsidR="00BF5A02" w:rsidRPr="00CD3C38" w:rsidRDefault="00BF5A02" w:rsidP="00BF5A02">
      <w:pPr>
        <w:spacing w:line="276" w:lineRule="auto"/>
        <w:jc w:val="both"/>
        <w:rPr>
          <w:rFonts w:ascii="Arial" w:eastAsia="Calibri" w:hAnsi="Arial" w:cs="Arial"/>
          <w:color w:val="000000" w:themeColor="text1"/>
          <w:sz w:val="22"/>
        </w:rPr>
      </w:pPr>
    </w:p>
    <w:p w14:paraId="7B1AD1F5" w14:textId="77777777" w:rsidR="00495590" w:rsidRPr="00CD3C38" w:rsidRDefault="00495590" w:rsidP="00BF5A02">
      <w:pPr>
        <w:spacing w:line="276" w:lineRule="auto"/>
        <w:jc w:val="both"/>
        <w:rPr>
          <w:rFonts w:ascii="Arial" w:eastAsia="Calibri" w:hAnsi="Arial" w:cs="Arial"/>
          <w:b/>
          <w:bCs/>
          <w:color w:val="000000" w:themeColor="text1"/>
          <w:sz w:val="22"/>
        </w:rPr>
      </w:pPr>
      <w:r w:rsidRPr="00CD3C38">
        <w:rPr>
          <w:rFonts w:ascii="Arial" w:eastAsia="Calibri" w:hAnsi="Arial" w:cs="Arial"/>
          <w:b/>
          <w:bCs/>
          <w:color w:val="000000" w:themeColor="text1"/>
          <w:sz w:val="22"/>
        </w:rPr>
        <w:t>b) Consideraciones de Colombia Compra Eficiente respecto de la experiencia</w:t>
      </w:r>
    </w:p>
    <w:p w14:paraId="4EF5918C" w14:textId="77777777" w:rsidR="00495590" w:rsidRPr="00CD3C38" w:rsidRDefault="00495590" w:rsidP="00BF5A02">
      <w:pPr>
        <w:spacing w:line="276" w:lineRule="auto"/>
        <w:jc w:val="both"/>
        <w:rPr>
          <w:rFonts w:ascii="Arial" w:eastAsia="Calibri" w:hAnsi="Arial" w:cs="Arial"/>
          <w:b/>
          <w:bCs/>
          <w:color w:val="000000" w:themeColor="text1"/>
          <w:sz w:val="22"/>
        </w:rPr>
      </w:pPr>
    </w:p>
    <w:p w14:paraId="731D627A" w14:textId="3D7859F5" w:rsidR="008B0720" w:rsidRPr="00CD3C38" w:rsidRDefault="008B0720" w:rsidP="006D478D">
      <w:pPr>
        <w:spacing w:before="120" w:after="120" w:line="276" w:lineRule="auto"/>
        <w:jc w:val="both"/>
        <w:rPr>
          <w:rFonts w:ascii="Arial" w:eastAsia="Calibri" w:hAnsi="Arial" w:cs="Arial"/>
          <w:color w:val="000000" w:themeColor="text1"/>
          <w:sz w:val="22"/>
        </w:rPr>
      </w:pPr>
      <w:r w:rsidRPr="00CD3C38">
        <w:rPr>
          <w:rFonts w:ascii="Arial" w:eastAsia="Calibri" w:hAnsi="Arial" w:cs="Arial"/>
          <w:color w:val="000000" w:themeColor="text1"/>
          <w:sz w:val="22"/>
        </w:rPr>
        <w:t xml:space="preserve">La Agencia Nacional de Contratación Pública ― Colombia Compra Eficiente puso a disposición de los interesados del Sistema de Compra Pública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personal, lo cual significa que quien </w:t>
      </w:r>
      <w:r w:rsidRPr="00CD3C38">
        <w:rPr>
          <w:rFonts w:ascii="Arial" w:eastAsia="Calibri" w:hAnsi="Arial" w:cs="Arial"/>
          <w:color w:val="000000" w:themeColor="text1"/>
          <w:sz w:val="22"/>
        </w:rPr>
        <w:lastRenderedPageBreak/>
        <w:t>tiene la experiencia es en razón a su participación, con anterioridad, en actividades que le permitieron conocer cómo</w:t>
      </w:r>
      <w:r w:rsidR="009709B7" w:rsidRPr="00CD3C38">
        <w:rPr>
          <w:rFonts w:ascii="Arial" w:eastAsia="Calibri" w:hAnsi="Arial" w:cs="Arial"/>
          <w:color w:val="000000" w:themeColor="text1"/>
          <w:sz w:val="22"/>
        </w:rPr>
        <w:t xml:space="preserve"> ejecutar el objeto contractual</w:t>
      </w:r>
      <w:r w:rsidRPr="00CD3C38">
        <w:rPr>
          <w:rFonts w:ascii="Arial" w:eastAsia="Calibri" w:hAnsi="Arial" w:cs="Arial"/>
          <w:color w:val="000000" w:themeColor="text1"/>
          <w:sz w:val="22"/>
        </w:rPr>
        <w:t xml:space="preserve"> que la entidad pretende </w:t>
      </w:r>
      <w:r w:rsidR="009709B7" w:rsidRPr="00CD3C38">
        <w:rPr>
          <w:rFonts w:ascii="Arial" w:eastAsia="Calibri" w:hAnsi="Arial" w:cs="Arial"/>
          <w:color w:val="000000" w:themeColor="text1"/>
          <w:sz w:val="22"/>
        </w:rPr>
        <w:t>ejecutar</w:t>
      </w:r>
      <w:r w:rsidRPr="00CD3C38">
        <w:rPr>
          <w:rStyle w:val="Refdenotaalpie"/>
          <w:rFonts w:ascii="Arial" w:eastAsia="Calibri" w:hAnsi="Arial" w:cs="Arial"/>
          <w:color w:val="000000" w:themeColor="text1"/>
          <w:sz w:val="22"/>
        </w:rPr>
        <w:footnoteReference w:id="7"/>
      </w:r>
      <w:r w:rsidRPr="00CD3C38">
        <w:rPr>
          <w:rFonts w:ascii="Arial" w:eastAsia="Calibri" w:hAnsi="Arial" w:cs="Arial"/>
          <w:color w:val="000000" w:themeColor="text1"/>
          <w:sz w:val="22"/>
        </w:rPr>
        <w:t>.</w:t>
      </w:r>
    </w:p>
    <w:p w14:paraId="4957E392" w14:textId="36EE5FA4" w:rsidR="008B0720" w:rsidRPr="00CD3C38" w:rsidRDefault="008B0720" w:rsidP="006D478D">
      <w:pPr>
        <w:spacing w:before="120" w:after="120" w:line="276" w:lineRule="auto"/>
        <w:ind w:firstLine="709"/>
        <w:jc w:val="both"/>
        <w:rPr>
          <w:rFonts w:ascii="Arial" w:eastAsia="Calibri" w:hAnsi="Arial" w:cs="Arial"/>
          <w:color w:val="000000" w:themeColor="text1"/>
          <w:sz w:val="22"/>
        </w:rPr>
      </w:pPr>
      <w:r w:rsidRPr="00CD3C38">
        <w:rPr>
          <w:rFonts w:ascii="Arial" w:eastAsia="Calibri" w:hAnsi="Arial" w:cs="Arial"/>
          <w:color w:val="000000" w:themeColor="text1"/>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existirá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 en este caso la experiencia no deja de ser </w:t>
      </w:r>
      <w:r w:rsidR="00B2564A" w:rsidRPr="00CD3C38">
        <w:rPr>
          <w:rFonts w:ascii="Arial" w:eastAsia="Calibri" w:hAnsi="Arial" w:cs="Arial"/>
          <w:color w:val="000000" w:themeColor="text1"/>
          <w:sz w:val="22"/>
        </w:rPr>
        <w:t>personal,</w:t>
      </w:r>
      <w:r w:rsidRPr="00CD3C38">
        <w:rPr>
          <w:rFonts w:ascii="Arial" w:eastAsia="Calibri" w:hAnsi="Arial" w:cs="Arial"/>
          <w:color w:val="000000" w:themeColor="text1"/>
          <w:sz w:val="22"/>
        </w:rPr>
        <w:t xml:space="preserve">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ejecutado un objeto igual pero sí similar, que puede funcionar para las exigencias de la entidad ayudando a que exista pluralidad de oferentes. Finalmente, se pueden extraer conclusiones relevantes en relación con los rasgos característicos de la experiencia: </w:t>
      </w:r>
    </w:p>
    <w:p w14:paraId="4BC23E9E" w14:textId="77777777" w:rsidR="008B0720" w:rsidRPr="00CD3C38" w:rsidRDefault="008B0720" w:rsidP="006D478D">
      <w:pPr>
        <w:spacing w:before="120" w:after="120" w:line="276" w:lineRule="auto"/>
        <w:ind w:firstLine="709"/>
        <w:jc w:val="both"/>
        <w:rPr>
          <w:rFonts w:ascii="Arial" w:eastAsia="Calibri" w:hAnsi="Arial" w:cs="Arial"/>
          <w:color w:val="000000" w:themeColor="text1"/>
          <w:sz w:val="22"/>
        </w:rPr>
      </w:pPr>
      <w:r w:rsidRPr="00CD3C38">
        <w:rPr>
          <w:rFonts w:ascii="Arial" w:eastAsia="Calibri" w:hAnsi="Arial" w:cs="Arial"/>
          <w:color w:val="000000" w:themeColor="text1"/>
          <w:sz w:val="22"/>
        </w:rPr>
        <w:t>i) La experiencia es personal, esto es, se adquiere participando, directa o indirectamente, sin que sea posible no participar y tener una experiencia que no es propia.</w:t>
      </w:r>
    </w:p>
    <w:p w14:paraId="7CCB5A06" w14:textId="77777777" w:rsidR="00E36114" w:rsidRPr="00CD3C38" w:rsidRDefault="008B0720" w:rsidP="006D478D">
      <w:pPr>
        <w:spacing w:before="120" w:after="120" w:line="276" w:lineRule="auto"/>
        <w:ind w:firstLine="709"/>
        <w:jc w:val="both"/>
        <w:rPr>
          <w:rFonts w:ascii="Arial" w:eastAsia="Calibri" w:hAnsi="Arial" w:cs="Arial"/>
          <w:color w:val="000000" w:themeColor="text1"/>
          <w:sz w:val="22"/>
        </w:rPr>
      </w:pPr>
      <w:r w:rsidRPr="00CD3C38">
        <w:rPr>
          <w:rFonts w:ascii="Arial" w:eastAsia="Calibri" w:hAnsi="Arial" w:cs="Arial"/>
          <w:color w:val="000000" w:themeColor="text1"/>
          <w:sz w:val="22"/>
        </w:rPr>
        <w:t xml:space="preserve">ii) La experiencia se puede compartir, sin que la compartida se entienda suya, ya que dentro del procedimiento contractual se reflejará que esa persona tiene la experiencia de otra, como es el caso de la que aportan los socios a las sociedades con menos de 3 </w:t>
      </w:r>
      <w:r w:rsidRPr="00CD3C38">
        <w:rPr>
          <w:rFonts w:ascii="Arial" w:eastAsia="Calibri" w:hAnsi="Arial" w:cs="Arial"/>
          <w:color w:val="000000" w:themeColor="text1"/>
          <w:sz w:val="22"/>
        </w:rPr>
        <w:lastRenderedPageBreak/>
        <w:t xml:space="preserve">años de constitución, lo cual constará en el RUP; o de las figuras asociativas  ̶ </w:t>
      </w:r>
      <w:r w:rsidR="006D478D" w:rsidRPr="00CD3C38">
        <w:rPr>
          <w:rFonts w:ascii="Arial" w:eastAsia="Calibri" w:hAnsi="Arial" w:cs="Arial"/>
          <w:color w:val="000000" w:themeColor="text1"/>
          <w:sz w:val="22"/>
        </w:rPr>
        <w:t xml:space="preserve"> </w:t>
      </w:r>
      <w:r w:rsidRPr="00CD3C38">
        <w:rPr>
          <w:rFonts w:ascii="Arial" w:eastAsia="Calibri" w:hAnsi="Arial" w:cs="Arial"/>
          <w:color w:val="000000" w:themeColor="text1"/>
          <w:sz w:val="22"/>
        </w:rPr>
        <w:t>consorcios y uniones temporales ̶  que se verificará en el documento privado de constitución.</w:t>
      </w:r>
    </w:p>
    <w:p w14:paraId="06C224F3" w14:textId="4B404CB3" w:rsidR="008B0720" w:rsidRPr="00CD3C38" w:rsidRDefault="006D478D" w:rsidP="006D478D">
      <w:pPr>
        <w:spacing w:before="120" w:after="120" w:line="276" w:lineRule="auto"/>
        <w:ind w:firstLine="709"/>
        <w:jc w:val="both"/>
        <w:rPr>
          <w:rFonts w:ascii="Arial" w:eastAsia="Calibri" w:hAnsi="Arial" w:cs="Arial"/>
          <w:color w:val="000000" w:themeColor="text1"/>
          <w:sz w:val="22"/>
        </w:rPr>
      </w:pPr>
      <w:r w:rsidRPr="00CD3C38">
        <w:rPr>
          <w:rFonts w:ascii="Arial" w:eastAsia="Calibri" w:hAnsi="Arial" w:cs="Arial"/>
          <w:color w:val="000000" w:themeColor="text1"/>
          <w:sz w:val="22"/>
        </w:rPr>
        <w:t>i</w:t>
      </w:r>
      <w:r w:rsidR="008B0720" w:rsidRPr="00CD3C38">
        <w:rPr>
          <w:rFonts w:ascii="Arial" w:eastAsia="Calibri" w:hAnsi="Arial" w:cs="Arial"/>
          <w:color w:val="000000" w:themeColor="text1"/>
          <w:sz w:val="22"/>
        </w:rPr>
        <w:t xml:space="preserve">ii) La experiencia se puede transferir, y es diferente a compartir, puesto que implica que la experiencia de una persona se traslada a otra, y esta última acredita esa experiencia como propia, lo cual es el caso de algunas figuras y reformas estatutarias. </w:t>
      </w:r>
    </w:p>
    <w:p w14:paraId="61103F8A" w14:textId="77777777" w:rsidR="008B0720" w:rsidRPr="00CD3C38" w:rsidRDefault="008B0720" w:rsidP="006D478D">
      <w:pPr>
        <w:spacing w:before="120" w:after="120" w:line="276" w:lineRule="auto"/>
        <w:ind w:firstLine="709"/>
        <w:jc w:val="both"/>
        <w:rPr>
          <w:rFonts w:ascii="Arial" w:eastAsia="Calibri" w:hAnsi="Arial" w:cs="Arial"/>
          <w:color w:val="000000" w:themeColor="text1"/>
          <w:sz w:val="22"/>
        </w:rPr>
      </w:pPr>
      <w:r w:rsidRPr="00CD3C38">
        <w:rPr>
          <w:rFonts w:ascii="Arial" w:eastAsia="Calibri" w:hAnsi="Arial" w:cs="Arial"/>
          <w:color w:val="000000" w:themeColor="text1"/>
          <w:sz w:val="22"/>
        </w:rPr>
        <w:t>iv) Cuando la persona que adquirió la experiencia desaparece o se liquida, no es posible que comparta o transfiera su experiencia, porque al ser personal sigue la suerte de quien la adquirió.</w:t>
      </w:r>
    </w:p>
    <w:p w14:paraId="476272FD" w14:textId="38B643B9" w:rsidR="008B0720" w:rsidRPr="00CD3C38" w:rsidRDefault="008B0720" w:rsidP="006D478D">
      <w:pPr>
        <w:spacing w:before="120" w:after="120" w:line="276" w:lineRule="auto"/>
        <w:ind w:firstLine="709"/>
        <w:jc w:val="both"/>
        <w:rPr>
          <w:rFonts w:ascii="Arial" w:hAnsi="Arial" w:cs="Arial"/>
          <w:color w:val="000000" w:themeColor="text1"/>
          <w:sz w:val="22"/>
        </w:rPr>
      </w:pPr>
      <w:r w:rsidRPr="00CD3C38">
        <w:rPr>
          <w:rFonts w:ascii="Arial" w:hAnsi="Arial" w:cs="Arial"/>
          <w:color w:val="000000" w:themeColor="text1"/>
          <w:sz w:val="22"/>
        </w:rPr>
        <w:t xml:space="preserve">Ahora, el Registro Único de Proponentes </w:t>
      </w:r>
      <w:r w:rsidRPr="00CD3C38">
        <w:rPr>
          <w:rFonts w:ascii="Arial" w:eastAsia="Calibri" w:hAnsi="Arial" w:cs="Arial"/>
          <w:color w:val="000000" w:themeColor="text1"/>
          <w:sz w:val="22"/>
        </w:rPr>
        <w:t xml:space="preserve">― </w:t>
      </w:r>
      <w:r w:rsidRPr="00CD3C38">
        <w:rPr>
          <w:rFonts w:ascii="Arial" w:hAnsi="Arial" w:cs="Arial"/>
          <w:color w:val="000000" w:themeColor="text1"/>
          <w:sz w:val="22"/>
        </w:rPr>
        <w:t>RUP fue creado por el artículo 6 de la Ley 1150 de 2007, y se constituye como el medio idóneo para verificar las condiciones de los proponentes en procesos de contratación pública. Este registro, conforme a lo señalado por la Corte Constitucional</w:t>
      </w:r>
      <w:r w:rsidRPr="00CD3C38">
        <w:rPr>
          <w:rStyle w:val="Refdenotaalpie"/>
          <w:rFonts w:ascii="Arial" w:hAnsi="Arial" w:cs="Arial"/>
          <w:color w:val="000000" w:themeColor="text1"/>
          <w:sz w:val="22"/>
        </w:rPr>
        <w:footnoteReference w:id="8"/>
      </w:r>
      <w:r w:rsidRPr="00CD3C38">
        <w:rPr>
          <w:rFonts w:ascii="Arial" w:hAnsi="Arial" w:cs="Arial"/>
          <w:color w:val="000000" w:themeColor="text1"/>
          <w:sz w:val="22"/>
        </w:rPr>
        <w:t xml:space="preserve">, por atribución legal es administrado por las Cámaras de Comercio y la actividad relacionada en el mismo está «sometido a los principios de la función administrativa y de contratación estatal». </w:t>
      </w:r>
    </w:p>
    <w:p w14:paraId="26E2364B" w14:textId="77777777" w:rsidR="008B0720" w:rsidRPr="00CD3C38" w:rsidRDefault="008B0720" w:rsidP="006D478D">
      <w:pPr>
        <w:spacing w:before="120" w:after="120" w:line="276" w:lineRule="auto"/>
        <w:ind w:firstLine="705"/>
        <w:jc w:val="both"/>
        <w:rPr>
          <w:rFonts w:ascii="Arial" w:hAnsi="Arial" w:cs="Arial"/>
          <w:color w:val="000000" w:themeColor="text1"/>
          <w:sz w:val="22"/>
        </w:rPr>
      </w:pPr>
      <w:r w:rsidRPr="00CD3C38">
        <w:rPr>
          <w:rFonts w:ascii="Arial" w:hAnsi="Arial" w:cs="Arial"/>
          <w:color w:val="000000" w:themeColor="text1"/>
          <w:sz w:val="22"/>
        </w:rPr>
        <w:t xml:space="preserve">El artículo 6 de la Ley 1150 de 2007 señala que el RUP «es plena prueba de las circunstancias que en ella se hagan constar y que hayan sido verificadas por las Cámaras de Comercio», es decir, estableció una regla probatoria en lo que se refiere a las condiciones de las proponentes contenidas en el registro, y asignó la competencia a las Cámaras para verificarlas. </w:t>
      </w:r>
    </w:p>
    <w:p w14:paraId="4F49A1AE" w14:textId="0D0BFEF5" w:rsidR="008B0720" w:rsidRPr="00CD3C38" w:rsidRDefault="008B0720" w:rsidP="006D478D">
      <w:pPr>
        <w:spacing w:before="120" w:after="120" w:line="276" w:lineRule="auto"/>
        <w:ind w:left="180" w:firstLine="525"/>
        <w:jc w:val="both"/>
        <w:rPr>
          <w:rFonts w:ascii="Arial" w:hAnsi="Arial" w:cs="Arial"/>
          <w:color w:val="000000" w:themeColor="text1"/>
          <w:sz w:val="22"/>
        </w:rPr>
      </w:pPr>
      <w:r w:rsidRPr="00CD3C38">
        <w:rPr>
          <w:rFonts w:ascii="Arial" w:hAnsi="Arial" w:cs="Arial"/>
          <w:color w:val="000000" w:themeColor="text1"/>
          <w:sz w:val="22"/>
        </w:rPr>
        <w:t>Como se dijo, la norma impuso la obligación a todos los pr</w:t>
      </w:r>
      <w:r w:rsidR="009709B7" w:rsidRPr="00CD3C38">
        <w:rPr>
          <w:rFonts w:ascii="Arial" w:hAnsi="Arial" w:cs="Arial"/>
          <w:color w:val="000000" w:themeColor="text1"/>
          <w:sz w:val="22"/>
        </w:rPr>
        <w:t>oponentes de inscribirse en el R</w:t>
      </w:r>
      <w:r w:rsidRPr="00CD3C38">
        <w:rPr>
          <w:rFonts w:ascii="Arial" w:hAnsi="Arial" w:cs="Arial"/>
          <w:color w:val="000000" w:themeColor="text1"/>
          <w:sz w:val="22"/>
        </w:rPr>
        <w:t xml:space="preserve">egistro Único de Proponente, salvo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w:t>
      </w:r>
    </w:p>
    <w:p w14:paraId="56CC6029" w14:textId="77777777" w:rsidR="008B0720" w:rsidRPr="00CD3C38" w:rsidRDefault="008B0720" w:rsidP="006D478D">
      <w:pPr>
        <w:spacing w:before="120" w:after="120" w:line="276" w:lineRule="auto"/>
        <w:jc w:val="both"/>
        <w:rPr>
          <w:rFonts w:ascii="Arial" w:hAnsi="Arial" w:cs="Arial"/>
          <w:color w:val="000000" w:themeColor="text1"/>
          <w:sz w:val="22"/>
        </w:rPr>
      </w:pPr>
      <w:r w:rsidRPr="00CD3C38">
        <w:rPr>
          <w:rFonts w:ascii="Arial" w:hAnsi="Arial" w:cs="Arial"/>
          <w:color w:val="000000" w:themeColor="text1"/>
          <w:sz w:val="22"/>
        </w:rPr>
        <w:tab/>
        <w:t xml:space="preserve">Asimismo, correlativo a este deber de los proponentes, la norma impuso a las cámaras de comercio la obligación de verificar los requisitos habilitantes de quienes se registren en dicha base de datos. El inciso 2 del numeral 6.1. le otorga carácter de plena prueba a la información contenida en el registro que haya sido verificada por las Cámaras de Comercio y, además, consagró una especie de tarifa legal respecto de la acreditación de los requisitos habilitantes, pues señala que la verificación de las condiciones de que trata el numeral 1 el artículo 5 de la Ley 1150 de 2007 se demostrará «exclusivamente con el respectivo certificado del RUP en donde deberán constar dichas condiciones». </w:t>
      </w:r>
    </w:p>
    <w:p w14:paraId="6B03D083" w14:textId="0C7A6474" w:rsidR="008B0720" w:rsidRPr="00CD3C38" w:rsidRDefault="008B0720" w:rsidP="006D478D">
      <w:pPr>
        <w:spacing w:before="120" w:after="120" w:line="276" w:lineRule="auto"/>
        <w:ind w:firstLine="709"/>
        <w:jc w:val="both"/>
        <w:rPr>
          <w:rFonts w:ascii="Arial" w:hAnsi="Arial" w:cs="Arial"/>
          <w:color w:val="000000" w:themeColor="text1"/>
          <w:sz w:val="22"/>
        </w:rPr>
      </w:pPr>
      <w:r w:rsidRPr="00CD3C38">
        <w:rPr>
          <w:rFonts w:ascii="Arial" w:hAnsi="Arial" w:cs="Arial"/>
          <w:color w:val="000000" w:themeColor="text1"/>
          <w:sz w:val="22"/>
        </w:rPr>
        <w:t xml:space="preserve">Como consecuencia de lo anterior, la norma dispone que a las entidades les está prohibido exigir otros documentos para efectuar la inscripción en el registro, salvo lo </w:t>
      </w:r>
      <w:r w:rsidRPr="00CD3C38">
        <w:rPr>
          <w:rFonts w:ascii="Arial" w:hAnsi="Arial" w:cs="Arial"/>
          <w:color w:val="000000" w:themeColor="text1"/>
          <w:sz w:val="22"/>
        </w:rPr>
        <w:lastRenderedPageBreak/>
        <w:t xml:space="preserve">dispuesto en el inciso 3 del numeral 6.1.del artículo 6 de la Ley 1150 de 2007, en el que se prevé que la entidad podrá verificar requisitos adicionales a los contenidos en el registro cuando se requiera en virtud de la naturaleza del objeto a contratar. La misma norma señala que solo en este último evento la entidad podrá hacer la verificación en forma directa, es decir, cuando por el objeto del contrato se requieran verificar requisitos adicionales a los contenidos en el registro.  </w:t>
      </w:r>
    </w:p>
    <w:p w14:paraId="0C631B2B" w14:textId="77777777" w:rsidR="008B0720" w:rsidRPr="00CD3C38" w:rsidRDefault="008B0720" w:rsidP="00CE0AEC">
      <w:pPr>
        <w:spacing w:before="120" w:line="276" w:lineRule="auto"/>
        <w:ind w:firstLine="709"/>
        <w:jc w:val="both"/>
        <w:rPr>
          <w:rFonts w:ascii="Arial" w:hAnsi="Arial" w:cs="Arial"/>
          <w:color w:val="000000" w:themeColor="text1"/>
          <w:sz w:val="22"/>
        </w:rPr>
      </w:pPr>
      <w:r w:rsidRPr="00CD3C38">
        <w:rPr>
          <w:rFonts w:ascii="Arial" w:hAnsi="Arial" w:cs="Arial"/>
          <w:color w:val="000000" w:themeColor="text1"/>
          <w:sz w:val="22"/>
        </w:rPr>
        <w:t xml:space="preserve">De lo anterior se puede concluir que la regla general es que la experiencia se acredita a través del RUP y, en consecuencia, la evaluación de experiencia, como requisito habilitante, no puede ser evaluada nuevamente por la entidad pública a partir de otros criterios distintos a los señalados en el Registro Único. </w:t>
      </w:r>
    </w:p>
    <w:p w14:paraId="4C16AD74" w14:textId="77777777" w:rsidR="00965ED6" w:rsidRPr="00CD3C38" w:rsidRDefault="00965ED6" w:rsidP="00BF5A02">
      <w:pPr>
        <w:spacing w:line="276" w:lineRule="auto"/>
        <w:jc w:val="both"/>
        <w:rPr>
          <w:rFonts w:ascii="Arial" w:hAnsi="Arial" w:cs="Arial"/>
          <w:color w:val="000000" w:themeColor="text1"/>
          <w:sz w:val="22"/>
        </w:rPr>
      </w:pPr>
    </w:p>
    <w:bookmarkEnd w:id="0"/>
    <w:bookmarkEnd w:id="1"/>
    <w:p w14:paraId="17B7DF92" w14:textId="2BD290A2" w:rsidR="00AD1B0F" w:rsidRPr="00CD3C38" w:rsidRDefault="00D75C60" w:rsidP="00BF5A02">
      <w:pPr>
        <w:spacing w:line="276" w:lineRule="auto"/>
        <w:jc w:val="both"/>
        <w:rPr>
          <w:rFonts w:ascii="Arial" w:hAnsi="Arial" w:cs="Arial"/>
          <w:b/>
          <w:color w:val="000000" w:themeColor="text1"/>
          <w:sz w:val="22"/>
        </w:rPr>
      </w:pPr>
      <w:r w:rsidRPr="00CD3C38">
        <w:rPr>
          <w:rFonts w:ascii="Arial" w:hAnsi="Arial" w:cs="Arial"/>
          <w:b/>
          <w:color w:val="000000" w:themeColor="text1"/>
          <w:sz w:val="22"/>
        </w:rPr>
        <w:t>2.</w:t>
      </w:r>
      <w:r w:rsidR="00E3158C" w:rsidRPr="00CD3C38">
        <w:rPr>
          <w:rFonts w:ascii="Arial" w:hAnsi="Arial" w:cs="Arial"/>
          <w:b/>
          <w:color w:val="000000" w:themeColor="text1"/>
          <w:sz w:val="22"/>
        </w:rPr>
        <w:t>3</w:t>
      </w:r>
      <w:r w:rsidR="00AD1B0F" w:rsidRPr="00CD3C38">
        <w:rPr>
          <w:rFonts w:ascii="Arial" w:hAnsi="Arial" w:cs="Arial"/>
          <w:b/>
          <w:color w:val="000000" w:themeColor="text1"/>
          <w:sz w:val="22"/>
        </w:rPr>
        <w:t>.</w:t>
      </w:r>
      <w:r w:rsidR="00AD1B0F" w:rsidRPr="00CD3C38">
        <w:rPr>
          <w:rFonts w:ascii="Arial" w:hAnsi="Arial" w:cs="Arial"/>
          <w:b/>
          <w:color w:val="000000" w:themeColor="text1"/>
          <w:sz w:val="22"/>
        </w:rPr>
        <w:tab/>
        <w:t>Acreditación de ex</w:t>
      </w:r>
      <w:r w:rsidR="009F1F65" w:rsidRPr="00CD3C38">
        <w:rPr>
          <w:rFonts w:ascii="Arial" w:hAnsi="Arial" w:cs="Arial"/>
          <w:b/>
          <w:color w:val="000000" w:themeColor="text1"/>
          <w:sz w:val="22"/>
        </w:rPr>
        <w:t xml:space="preserve">periencia de sociedades nuevas </w:t>
      </w:r>
    </w:p>
    <w:p w14:paraId="05092DEB" w14:textId="77777777" w:rsidR="00DA23DB" w:rsidRPr="00CD3C38" w:rsidRDefault="00DA23DB" w:rsidP="00BF5A02">
      <w:pPr>
        <w:spacing w:line="276" w:lineRule="auto"/>
        <w:jc w:val="both"/>
        <w:rPr>
          <w:rFonts w:ascii="Arial" w:hAnsi="Arial" w:cs="Arial"/>
          <w:b/>
          <w:color w:val="000000" w:themeColor="text1"/>
          <w:sz w:val="22"/>
        </w:rPr>
      </w:pPr>
    </w:p>
    <w:p w14:paraId="4C33481E" w14:textId="77777777" w:rsidR="00DA23DB" w:rsidRPr="00CD3C38" w:rsidRDefault="00DA23DB" w:rsidP="00BF5A02">
      <w:pPr>
        <w:spacing w:line="276" w:lineRule="auto"/>
        <w:jc w:val="both"/>
        <w:rPr>
          <w:rFonts w:ascii="Arial" w:hAnsi="Arial" w:cs="Arial"/>
          <w:color w:val="000000" w:themeColor="text1"/>
          <w:sz w:val="22"/>
        </w:rPr>
      </w:pPr>
      <w:r w:rsidRPr="00CD3C38">
        <w:rPr>
          <w:rFonts w:ascii="Arial" w:hAnsi="Arial" w:cs="Arial"/>
          <w:color w:val="000000" w:themeColor="text1"/>
          <w:sz w:val="22"/>
        </w:rPr>
        <w:t xml:space="preserve">La Agencia Nacional de Contratación Pública – Colombia Compra Eficiente se pronunció en el concepto identificado con radicado No. 4201912000003636 del 20 de agosto de 2019, reiterado en los conceptos con radicados Nos. 4201912000004743 del 28 de agosto de 2019, 4201913000006797 del 19 de noviembre de 2019, 4201913000006173, 4201913000007132 del 17 de octubre de 2019, 4201912000007182 del 18 de octubre de 2019, sobre la acreditación de la experiencia de las sociedades cuya constitución es inferior a 3 años. La tesis propuesta en estos conceptos se expone a continuación. </w:t>
      </w:r>
    </w:p>
    <w:p w14:paraId="6CC09B05" w14:textId="50906D8C" w:rsidR="00DA23DB" w:rsidRPr="00CD3C38" w:rsidRDefault="00DA23DB" w:rsidP="006D478D">
      <w:pPr>
        <w:spacing w:before="120" w:after="120" w:line="276" w:lineRule="auto"/>
        <w:ind w:firstLine="708"/>
        <w:jc w:val="both"/>
        <w:rPr>
          <w:rFonts w:ascii="Arial" w:hAnsi="Arial" w:cs="Arial"/>
          <w:color w:val="000000" w:themeColor="text1"/>
          <w:sz w:val="22"/>
        </w:rPr>
      </w:pPr>
      <w:r w:rsidRPr="00CD3C38">
        <w:rPr>
          <w:rFonts w:ascii="Arial" w:hAnsi="Arial" w:cs="Arial"/>
          <w:color w:val="000000" w:themeColor="text1"/>
          <w:sz w:val="22"/>
        </w:rPr>
        <w:t xml:space="preserve">La Ley 1150 de 2007, en el artículo 5, establece que la capacidad jurídica y las condiciones de experiencia, capacidad financiera y de organización de los proponentes serán objeto de verificación por parte de las entidades como requisitos habilitantes para la participación en el proceso de selección y no otorgarán puntaje; con excepción del proceso de selección de consultores, donde es posible otorgar puntaje al criterio de experiencia. </w:t>
      </w:r>
    </w:p>
    <w:p w14:paraId="3407F266" w14:textId="52B5253A" w:rsidR="00DA23DB" w:rsidRPr="00CD3C38" w:rsidRDefault="00DA23DB" w:rsidP="006D478D">
      <w:pPr>
        <w:spacing w:before="120" w:after="120" w:line="276" w:lineRule="auto"/>
        <w:ind w:firstLine="708"/>
        <w:jc w:val="both"/>
        <w:rPr>
          <w:rFonts w:ascii="Arial" w:hAnsi="Arial" w:cs="Arial"/>
          <w:color w:val="000000" w:themeColor="text1"/>
          <w:sz w:val="22"/>
        </w:rPr>
      </w:pPr>
      <w:r w:rsidRPr="00CD3C38">
        <w:rPr>
          <w:rFonts w:ascii="Arial" w:hAnsi="Arial" w:cs="Arial"/>
          <w:color w:val="000000" w:themeColor="text1"/>
          <w:sz w:val="22"/>
        </w:rPr>
        <w:t>Por su parte, el artículo 6 de la Ley 1150 de 2007 señala que todas las personas naturales o jurídicas, nacionales o extranjeras, domiciliadas o con sucursal en Colombia, que aspiren celebrar contratos con las entidades</w:t>
      </w:r>
      <w:r w:rsidR="003D3F05">
        <w:rPr>
          <w:rFonts w:ascii="Arial" w:hAnsi="Arial" w:cs="Arial"/>
          <w:color w:val="000000" w:themeColor="text1"/>
          <w:sz w:val="22"/>
        </w:rPr>
        <w:t>,</w:t>
      </w:r>
      <w:r w:rsidRPr="00CD3C38">
        <w:rPr>
          <w:rFonts w:ascii="Arial" w:hAnsi="Arial" w:cs="Arial"/>
          <w:color w:val="000000" w:themeColor="text1"/>
          <w:sz w:val="22"/>
        </w:rPr>
        <w:t xml:space="preserve"> deberán estar inscritas en el Registro Único de Proponentes. En dicho registro constará la información relacionada con la experiencia, capacidad jurídica, financiera y de organización del proponente y su clasificación. Frente al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2FEAF5F8" w14:textId="3886505B" w:rsidR="00DA23DB" w:rsidRPr="00CD3C38" w:rsidRDefault="00DA23DB" w:rsidP="006D478D">
      <w:pPr>
        <w:spacing w:before="120" w:after="120" w:line="276" w:lineRule="auto"/>
        <w:ind w:firstLine="708"/>
        <w:jc w:val="both"/>
        <w:rPr>
          <w:rFonts w:ascii="Arial" w:hAnsi="Arial" w:cs="Arial"/>
          <w:color w:val="000000" w:themeColor="text1"/>
          <w:sz w:val="22"/>
        </w:rPr>
      </w:pPr>
      <w:r w:rsidRPr="00CD3C38">
        <w:rPr>
          <w:rFonts w:ascii="Arial" w:hAnsi="Arial" w:cs="Arial"/>
          <w:color w:val="000000" w:themeColor="text1"/>
          <w:sz w:val="22"/>
        </w:rPr>
        <w:t>El Decreto 1082 de 2015, en el artículo 2.2.1.1.1.5.2, numeral 2.1</w:t>
      </w:r>
      <w:r w:rsidRPr="00CD3C38">
        <w:rPr>
          <w:rStyle w:val="Refdenotaalpie"/>
          <w:rFonts w:ascii="Arial" w:hAnsi="Arial" w:cs="Arial"/>
          <w:color w:val="000000" w:themeColor="text1"/>
          <w:sz w:val="22"/>
        </w:rPr>
        <w:footnoteReference w:id="9"/>
      </w:r>
      <w:r w:rsidRPr="00CD3C38">
        <w:rPr>
          <w:rFonts w:ascii="Arial" w:hAnsi="Arial" w:cs="Arial"/>
          <w:color w:val="000000" w:themeColor="text1"/>
          <w:sz w:val="22"/>
        </w:rPr>
        <w:t xml:space="preserve">, establece </w:t>
      </w:r>
      <w:r w:rsidR="00B2564A" w:rsidRPr="00CD3C38">
        <w:rPr>
          <w:rFonts w:ascii="Arial" w:hAnsi="Arial" w:cs="Arial"/>
          <w:color w:val="000000" w:themeColor="text1"/>
          <w:sz w:val="22"/>
        </w:rPr>
        <w:t>que</w:t>
      </w:r>
      <w:r w:rsidRPr="00CD3C38">
        <w:rPr>
          <w:rFonts w:ascii="Arial" w:hAnsi="Arial" w:cs="Arial"/>
          <w:color w:val="000000" w:themeColor="text1"/>
          <w:sz w:val="22"/>
        </w:rPr>
        <w:t xml:space="preserve"> si una persona natural se inscribe en el RUP aportará los certificados de experiencia en </w:t>
      </w:r>
      <w:r w:rsidRPr="00CD3C38">
        <w:rPr>
          <w:rFonts w:ascii="Arial" w:hAnsi="Arial" w:cs="Arial"/>
          <w:color w:val="000000" w:themeColor="text1"/>
          <w:sz w:val="22"/>
        </w:rPr>
        <w:lastRenderedPageBreak/>
        <w:t xml:space="preserve">provisión de bienes, obras y servicios, los cuales deben ser expedidos por terceros que hayan recibido tales bienes, obras y servicios, y deben corresponder a contratos ejecutados o copias de los contratos cuando el interesado no puede obtener tal certificado.  </w:t>
      </w:r>
    </w:p>
    <w:p w14:paraId="45972B22" w14:textId="2FCB701A" w:rsidR="00DA23DB" w:rsidRPr="00CD3C38" w:rsidRDefault="00DA23DB" w:rsidP="006D478D">
      <w:pPr>
        <w:spacing w:before="120" w:after="120" w:line="276" w:lineRule="auto"/>
        <w:ind w:firstLine="708"/>
        <w:jc w:val="both"/>
        <w:rPr>
          <w:rFonts w:ascii="Arial" w:hAnsi="Arial" w:cs="Arial"/>
          <w:color w:val="000000" w:themeColor="text1"/>
          <w:sz w:val="22"/>
        </w:rPr>
      </w:pPr>
      <w:r w:rsidRPr="00CD3C38">
        <w:rPr>
          <w:rFonts w:ascii="Arial" w:hAnsi="Arial" w:cs="Arial"/>
          <w:color w:val="000000" w:themeColor="text1"/>
          <w:sz w:val="22"/>
        </w:rPr>
        <w:t>El numeral 2.5</w:t>
      </w:r>
      <w:r w:rsidRPr="00CD3C38">
        <w:rPr>
          <w:rStyle w:val="Refdenotaalpie"/>
          <w:rFonts w:ascii="Arial" w:hAnsi="Arial" w:cs="Arial"/>
          <w:color w:val="000000" w:themeColor="text1"/>
          <w:sz w:val="22"/>
        </w:rPr>
        <w:footnoteReference w:id="10"/>
      </w:r>
      <w:r w:rsidRPr="00CD3C38">
        <w:rPr>
          <w:rFonts w:ascii="Arial" w:hAnsi="Arial" w:cs="Arial"/>
          <w:color w:val="000000" w:themeColor="text1"/>
          <w:sz w:val="22"/>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535E8607" w14:textId="77777777" w:rsidR="00DA23DB" w:rsidRPr="00CD3C38" w:rsidRDefault="00DA23DB" w:rsidP="006D478D">
      <w:pPr>
        <w:spacing w:before="120" w:after="120" w:line="276" w:lineRule="auto"/>
        <w:ind w:firstLine="708"/>
        <w:jc w:val="both"/>
        <w:rPr>
          <w:rFonts w:ascii="Arial" w:hAnsi="Arial" w:cs="Arial"/>
          <w:color w:val="000000" w:themeColor="text1"/>
          <w:sz w:val="22"/>
        </w:rPr>
      </w:pPr>
      <w:r w:rsidRPr="00CD3C38">
        <w:rPr>
          <w:rFonts w:ascii="Arial" w:hAnsi="Arial" w:cs="Arial"/>
          <w:color w:val="000000" w:themeColor="text1"/>
          <w:sz w:val="22"/>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6C4889BD" w14:textId="77777777" w:rsidR="00DA23DB" w:rsidRPr="00CD3C38" w:rsidRDefault="00DA23DB" w:rsidP="006D478D">
      <w:pPr>
        <w:spacing w:before="120" w:after="120" w:line="276" w:lineRule="auto"/>
        <w:ind w:firstLine="708"/>
        <w:jc w:val="both"/>
        <w:rPr>
          <w:rFonts w:ascii="Arial" w:hAnsi="Arial" w:cs="Arial"/>
          <w:color w:val="000000" w:themeColor="text1"/>
          <w:sz w:val="22"/>
        </w:rPr>
      </w:pPr>
      <w:r w:rsidRPr="00CD3C38">
        <w:rPr>
          <w:rFonts w:ascii="Arial" w:hAnsi="Arial" w:cs="Arial"/>
          <w:color w:val="000000" w:themeColor="text1"/>
          <w:sz w:val="22"/>
        </w:rPr>
        <w:t xml:space="preserve">La parte final del numeral 2.5 del artículo citado incluye una medida diferenciada para las personas jurídicas cuya constitución sea menor a 3 años al momento del registro. Esta prerrogativa, que puede ser entendida como de fomento a la participación de pequeños oferentes en la contratación estatal, permite que las sociedades relativamente nuevas </w:t>
      </w:r>
      <w:r w:rsidRPr="00CD3C38">
        <w:rPr>
          <w:rFonts w:ascii="Arial" w:eastAsia="Calibri" w:hAnsi="Arial" w:cs="Arial"/>
          <w:color w:val="000000" w:themeColor="text1"/>
          <w:sz w:val="22"/>
        </w:rPr>
        <w:t>─</w:t>
      </w:r>
      <w:r w:rsidRPr="00CD3C38">
        <w:rPr>
          <w:rFonts w:ascii="Arial" w:hAnsi="Arial" w:cs="Arial"/>
          <w:color w:val="000000" w:themeColor="text1"/>
          <w:sz w:val="22"/>
        </w:rPr>
        <w:t>con menos de 3 años de constitución</w:t>
      </w:r>
      <w:r w:rsidRPr="00CD3C38">
        <w:rPr>
          <w:rFonts w:ascii="Arial" w:eastAsia="Calibri" w:hAnsi="Arial" w:cs="Arial"/>
          <w:color w:val="000000" w:themeColor="text1"/>
          <w:sz w:val="22"/>
        </w:rPr>
        <w:t>─</w:t>
      </w:r>
      <w:r w:rsidRPr="00CD3C38">
        <w:rPr>
          <w:rFonts w:ascii="Arial" w:hAnsi="Arial" w:cs="Arial"/>
          <w:color w:val="000000" w:themeColor="text1"/>
          <w:sz w:val="22"/>
        </w:rPr>
        <w:t xml:space="preserve"> puedan acreditar como experiencia en el RUP la de sus accionistas, socios o constituyentes. </w:t>
      </w:r>
    </w:p>
    <w:p w14:paraId="35D917A3" w14:textId="77777777" w:rsidR="00DA23DB" w:rsidRPr="00CD3C38" w:rsidRDefault="00DA23DB" w:rsidP="006D478D">
      <w:pPr>
        <w:spacing w:before="120" w:after="120" w:line="276" w:lineRule="auto"/>
        <w:ind w:firstLine="708"/>
        <w:jc w:val="both"/>
        <w:rPr>
          <w:rFonts w:ascii="Arial" w:hAnsi="Arial" w:cs="Arial"/>
          <w:color w:val="000000" w:themeColor="text1"/>
          <w:sz w:val="22"/>
        </w:rPr>
      </w:pPr>
      <w:r w:rsidRPr="00CD3C38">
        <w:rPr>
          <w:rFonts w:ascii="Arial" w:hAnsi="Arial" w:cs="Arial"/>
          <w:color w:val="000000" w:themeColor="text1"/>
          <w:sz w:val="22"/>
        </w:rPr>
        <w:t xml:space="preserve">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646CAB58" w14:textId="77777777" w:rsidR="00DA23DB" w:rsidRPr="00CD3C38" w:rsidRDefault="00DA23DB" w:rsidP="006D478D">
      <w:pPr>
        <w:spacing w:before="120" w:after="120" w:line="276" w:lineRule="auto"/>
        <w:ind w:firstLine="708"/>
        <w:jc w:val="both"/>
        <w:rPr>
          <w:rFonts w:ascii="Arial" w:hAnsi="Arial" w:cs="Arial"/>
          <w:color w:val="000000" w:themeColor="text1"/>
          <w:sz w:val="22"/>
        </w:rPr>
      </w:pPr>
      <w:r w:rsidRPr="00CD3C38">
        <w:rPr>
          <w:rFonts w:ascii="Arial" w:hAnsi="Arial" w:cs="Arial"/>
          <w:color w:val="000000" w:themeColor="text1"/>
          <w:sz w:val="22"/>
        </w:rPr>
        <w:t xml:space="preserve">La finalidad de esta norma es permitir que las sociedades que no cuentan con la experiencia suficiente para contratar con el Estado puedan apoyarse en la experiencia de </w:t>
      </w:r>
      <w:r w:rsidRPr="00CD3C38">
        <w:rPr>
          <w:rFonts w:ascii="Arial" w:hAnsi="Arial" w:cs="Arial"/>
          <w:color w:val="000000" w:themeColor="text1"/>
          <w:sz w:val="22"/>
        </w:rPr>
        <w:lastRenderedPageBreak/>
        <w:t>sus accionistas, socios o constituyentes con el fin de incentivar la competencia en la contratación estatal. Así las cosas, el socio transfiere la experiencia adquirida directamente a la sociedad de la que es parte, para que ésta,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7149FE4A" w14:textId="57F3841D" w:rsidR="008305BD" w:rsidRPr="00CD3C38" w:rsidRDefault="008305BD" w:rsidP="004D6343">
      <w:pPr>
        <w:spacing w:line="276" w:lineRule="auto"/>
        <w:jc w:val="both"/>
        <w:rPr>
          <w:rFonts w:ascii="Arial" w:hAnsi="Arial" w:cs="Arial"/>
          <w:color w:val="000000" w:themeColor="text1"/>
          <w:sz w:val="22"/>
        </w:rPr>
      </w:pPr>
    </w:p>
    <w:p w14:paraId="342038BC" w14:textId="49ADADCF" w:rsidR="004D6343" w:rsidRPr="00CD3C38" w:rsidRDefault="004D6343" w:rsidP="004D6343">
      <w:pPr>
        <w:spacing w:line="276" w:lineRule="auto"/>
        <w:jc w:val="both"/>
        <w:rPr>
          <w:rFonts w:ascii="Arial" w:hAnsi="Arial" w:cs="Arial"/>
          <w:b/>
          <w:bCs/>
          <w:color w:val="000000" w:themeColor="text1"/>
          <w:sz w:val="22"/>
        </w:rPr>
      </w:pPr>
      <w:r w:rsidRPr="00CD3C38">
        <w:rPr>
          <w:rFonts w:ascii="Arial" w:hAnsi="Arial" w:cs="Arial"/>
          <w:b/>
          <w:bCs/>
          <w:color w:val="000000" w:themeColor="text1"/>
          <w:sz w:val="22"/>
        </w:rPr>
        <w:t xml:space="preserve">2.4. Porcentaje de experiencia transferible en las sociedades nuevas </w:t>
      </w:r>
    </w:p>
    <w:p w14:paraId="26F1B019" w14:textId="20FD7704" w:rsidR="004D6343" w:rsidRPr="00CD3C38" w:rsidRDefault="004D6343" w:rsidP="004D6343">
      <w:pPr>
        <w:spacing w:line="276" w:lineRule="auto"/>
        <w:jc w:val="both"/>
        <w:rPr>
          <w:rFonts w:ascii="Arial" w:hAnsi="Arial" w:cs="Arial"/>
          <w:b/>
          <w:bCs/>
          <w:color w:val="000000" w:themeColor="text1"/>
          <w:sz w:val="22"/>
        </w:rPr>
      </w:pPr>
    </w:p>
    <w:p w14:paraId="751DA40B" w14:textId="13C5978B" w:rsidR="00564B87" w:rsidRPr="00CD3C38" w:rsidRDefault="00564B87" w:rsidP="000F5060">
      <w:pPr>
        <w:spacing w:before="120" w:after="120" w:line="276" w:lineRule="auto"/>
        <w:jc w:val="both"/>
        <w:rPr>
          <w:rFonts w:ascii="Arial" w:hAnsi="Arial" w:cs="Arial"/>
          <w:color w:val="000000" w:themeColor="text1"/>
          <w:sz w:val="22"/>
        </w:rPr>
      </w:pPr>
      <w:r w:rsidRPr="00CD3C38">
        <w:rPr>
          <w:rFonts w:ascii="Arial" w:hAnsi="Arial" w:cs="Arial"/>
          <w:color w:val="000000" w:themeColor="text1"/>
          <w:sz w:val="22"/>
        </w:rPr>
        <w:t xml:space="preserve">Como fue señalado en apartes superiores, la finalidad de permitir a las sociedades acreditar la experiencia de sus accionistas, socios o constituyentes radica en fomentar la libre competencia y garantizar la pluralidad de oferentes dentro de los procesos de contratación, </w:t>
      </w:r>
      <w:r w:rsidR="000F5060" w:rsidRPr="00CD3C38">
        <w:rPr>
          <w:rFonts w:ascii="Arial" w:hAnsi="Arial" w:cs="Arial"/>
          <w:color w:val="000000" w:themeColor="text1"/>
          <w:sz w:val="22"/>
        </w:rPr>
        <w:t xml:space="preserve">así las cosas, </w:t>
      </w:r>
      <w:r w:rsidRPr="00CD3C38">
        <w:rPr>
          <w:rFonts w:ascii="Arial" w:hAnsi="Arial" w:cs="Arial"/>
          <w:color w:val="000000" w:themeColor="text1"/>
          <w:sz w:val="22"/>
        </w:rPr>
        <w:t xml:space="preserve">la interpretación que se debe hacer del numeral 2.5 del artículo 2.2.1.1.1.5.2. del Decreto 1082 de 2015 no se debe hacer de forma restrictiva; </w:t>
      </w:r>
      <w:r w:rsidR="00B2564A" w:rsidRPr="00CD3C38">
        <w:rPr>
          <w:rFonts w:ascii="Arial" w:hAnsi="Arial" w:cs="Arial"/>
          <w:color w:val="000000" w:themeColor="text1"/>
          <w:sz w:val="22"/>
        </w:rPr>
        <w:t>por el</w:t>
      </w:r>
      <w:r w:rsidRPr="00CD3C38">
        <w:rPr>
          <w:rFonts w:ascii="Arial" w:hAnsi="Arial" w:cs="Arial"/>
          <w:color w:val="000000" w:themeColor="text1"/>
          <w:sz w:val="22"/>
        </w:rPr>
        <w:t xml:space="preserve"> contrario, se debe </w:t>
      </w:r>
      <w:r w:rsidR="000F5060" w:rsidRPr="00CD3C38">
        <w:rPr>
          <w:rFonts w:ascii="Arial" w:hAnsi="Arial" w:cs="Arial"/>
          <w:color w:val="000000" w:themeColor="text1"/>
          <w:sz w:val="22"/>
        </w:rPr>
        <w:t>realizar por parte de las autoridades conforme</w:t>
      </w:r>
      <w:r w:rsidRPr="00CD3C38">
        <w:rPr>
          <w:rFonts w:ascii="Arial" w:hAnsi="Arial" w:cs="Arial"/>
          <w:color w:val="000000" w:themeColor="text1"/>
          <w:sz w:val="22"/>
        </w:rPr>
        <w:t xml:space="preserve"> a su finalidad. </w:t>
      </w:r>
      <w:r w:rsidR="000F5060" w:rsidRPr="00CD3C38">
        <w:rPr>
          <w:rFonts w:ascii="Arial" w:hAnsi="Arial" w:cs="Arial"/>
          <w:color w:val="000000" w:themeColor="text1"/>
          <w:sz w:val="22"/>
        </w:rPr>
        <w:t xml:space="preserve">Por lo </w:t>
      </w:r>
      <w:r w:rsidR="004B4540" w:rsidRPr="00CD3C38">
        <w:rPr>
          <w:rFonts w:ascii="Arial" w:hAnsi="Arial" w:cs="Arial"/>
          <w:color w:val="000000" w:themeColor="text1"/>
          <w:sz w:val="22"/>
        </w:rPr>
        <w:t>cual</w:t>
      </w:r>
      <w:r w:rsidR="000F5060" w:rsidRPr="00CD3C38">
        <w:rPr>
          <w:rFonts w:ascii="Arial" w:hAnsi="Arial" w:cs="Arial"/>
          <w:color w:val="000000" w:themeColor="text1"/>
          <w:sz w:val="22"/>
        </w:rPr>
        <w:t>, l</w:t>
      </w:r>
      <w:r w:rsidRPr="00CD3C38">
        <w:rPr>
          <w:rFonts w:ascii="Arial" w:hAnsi="Arial" w:cs="Arial"/>
          <w:color w:val="000000" w:themeColor="text1"/>
          <w:sz w:val="22"/>
        </w:rPr>
        <w:t>imitar la posibilidad de acreditar la experiencia de los accionistas, socios o const</w:t>
      </w:r>
      <w:r w:rsidR="000F5060" w:rsidRPr="00CD3C38">
        <w:rPr>
          <w:rFonts w:ascii="Arial" w:hAnsi="Arial" w:cs="Arial"/>
          <w:color w:val="000000" w:themeColor="text1"/>
          <w:sz w:val="22"/>
        </w:rPr>
        <w:t>ituyentes</w:t>
      </w:r>
      <w:r w:rsidR="00C55B15">
        <w:rPr>
          <w:rFonts w:ascii="Arial" w:hAnsi="Arial" w:cs="Arial"/>
          <w:color w:val="000000" w:themeColor="text1"/>
          <w:sz w:val="22"/>
        </w:rPr>
        <w:t>,</w:t>
      </w:r>
      <w:r w:rsidR="000F5060" w:rsidRPr="00CD3C38">
        <w:rPr>
          <w:rFonts w:ascii="Arial" w:hAnsi="Arial" w:cs="Arial"/>
          <w:color w:val="000000" w:themeColor="text1"/>
          <w:sz w:val="22"/>
        </w:rPr>
        <w:t xml:space="preserve"> para las sociedades con un plazo de constitución menor a tres años, contraviene la naturaleza de la norma</w:t>
      </w:r>
      <w:r w:rsidR="00CB5556" w:rsidRPr="00CD3C38">
        <w:rPr>
          <w:rFonts w:ascii="Arial" w:hAnsi="Arial" w:cs="Arial"/>
          <w:color w:val="000000" w:themeColor="text1"/>
          <w:sz w:val="22"/>
        </w:rPr>
        <w:t xml:space="preserve">. </w:t>
      </w:r>
    </w:p>
    <w:p w14:paraId="2149AA82" w14:textId="1E535E54" w:rsidR="00CB5556" w:rsidRPr="00CD3C38" w:rsidRDefault="00CB5556" w:rsidP="00CB5556">
      <w:pPr>
        <w:spacing w:before="120" w:after="120" w:line="276" w:lineRule="auto"/>
        <w:ind w:firstLine="709"/>
        <w:jc w:val="both"/>
        <w:rPr>
          <w:rFonts w:ascii="Arial" w:hAnsi="Arial" w:cs="Arial"/>
          <w:color w:val="000000" w:themeColor="text1"/>
          <w:sz w:val="22"/>
        </w:rPr>
      </w:pPr>
      <w:r w:rsidRPr="00CD3C38">
        <w:rPr>
          <w:rFonts w:ascii="Arial" w:hAnsi="Arial" w:cs="Arial"/>
          <w:color w:val="000000" w:themeColor="text1"/>
          <w:sz w:val="22"/>
        </w:rPr>
        <w:t xml:space="preserve">En este sentido, </w:t>
      </w:r>
      <w:r w:rsidR="00D40985" w:rsidRPr="00CD3C38">
        <w:rPr>
          <w:rFonts w:ascii="Arial" w:hAnsi="Arial" w:cs="Arial"/>
          <w:color w:val="000000" w:themeColor="text1"/>
          <w:sz w:val="22"/>
        </w:rPr>
        <w:t>la experiencia aportada por los integrantes de una sociedad, dentro de los tres primeros años de su constitución, deberá tenerse en cuenta en su totalidad, sin limitación al porcentaje de participación con la que cuente el integrante aportante dentro de esta</w:t>
      </w:r>
      <w:r w:rsidRPr="00CD3C38">
        <w:rPr>
          <w:rFonts w:ascii="Arial" w:hAnsi="Arial" w:cs="Arial"/>
          <w:color w:val="000000" w:themeColor="text1"/>
          <w:sz w:val="22"/>
        </w:rPr>
        <w:t xml:space="preserve">, pues en caso contrario, se estaría creando una limitación no consagrada en la </w:t>
      </w:r>
      <w:r w:rsidR="00C55B15" w:rsidRPr="00CD3C38">
        <w:rPr>
          <w:rFonts w:ascii="Arial" w:hAnsi="Arial" w:cs="Arial"/>
          <w:color w:val="000000" w:themeColor="text1"/>
          <w:sz w:val="22"/>
        </w:rPr>
        <w:t>normativ</w:t>
      </w:r>
      <w:r w:rsidR="00C55B15">
        <w:rPr>
          <w:rFonts w:ascii="Arial" w:hAnsi="Arial" w:cs="Arial"/>
          <w:color w:val="000000" w:themeColor="text1"/>
          <w:sz w:val="22"/>
        </w:rPr>
        <w:t>a</w:t>
      </w:r>
      <w:r w:rsidR="00C55B15" w:rsidRPr="00CD3C38">
        <w:rPr>
          <w:rFonts w:ascii="Arial" w:hAnsi="Arial" w:cs="Arial"/>
          <w:color w:val="000000" w:themeColor="text1"/>
          <w:sz w:val="22"/>
        </w:rPr>
        <w:t xml:space="preserve"> </w:t>
      </w:r>
      <w:r w:rsidR="004B4540" w:rsidRPr="00CD3C38">
        <w:rPr>
          <w:rFonts w:ascii="Arial" w:hAnsi="Arial" w:cs="Arial"/>
          <w:color w:val="000000" w:themeColor="text1"/>
          <w:sz w:val="22"/>
        </w:rPr>
        <w:t>aplicable</w:t>
      </w:r>
      <w:r w:rsidR="005A507F" w:rsidRPr="00CD3C38">
        <w:rPr>
          <w:rFonts w:ascii="Arial" w:hAnsi="Arial" w:cs="Arial"/>
          <w:color w:val="000000" w:themeColor="text1"/>
          <w:sz w:val="22"/>
        </w:rPr>
        <w:t xml:space="preserve">. Así pues, una vez sea transferida la experiencia, esta se constituirá como un activo de la sociedad en su totalidad, es decir, no se computará </w:t>
      </w:r>
      <w:r w:rsidR="00B2564A" w:rsidRPr="00CD3C38">
        <w:rPr>
          <w:rFonts w:ascii="Arial" w:hAnsi="Arial" w:cs="Arial"/>
          <w:color w:val="000000" w:themeColor="text1"/>
          <w:sz w:val="22"/>
        </w:rPr>
        <w:t>de acuerdo con el</w:t>
      </w:r>
      <w:r w:rsidR="005A507F" w:rsidRPr="00CD3C38">
        <w:rPr>
          <w:rFonts w:ascii="Arial" w:hAnsi="Arial" w:cs="Arial"/>
          <w:color w:val="000000" w:themeColor="text1"/>
          <w:sz w:val="22"/>
        </w:rPr>
        <w:t xml:space="preserve"> porcentaje de participación de quien la aporta. </w:t>
      </w:r>
    </w:p>
    <w:p w14:paraId="001464F1" w14:textId="05E045F8" w:rsidR="00C6125D" w:rsidRPr="00CD3C38" w:rsidRDefault="00FA3E37" w:rsidP="00CD3C38">
      <w:pPr>
        <w:spacing w:before="120" w:after="120" w:line="276" w:lineRule="auto"/>
        <w:ind w:firstLine="708"/>
        <w:jc w:val="both"/>
        <w:rPr>
          <w:rFonts w:ascii="Arial" w:hAnsi="Arial" w:cs="Arial"/>
          <w:color w:val="000000" w:themeColor="text1"/>
          <w:sz w:val="22"/>
        </w:rPr>
      </w:pPr>
      <w:r w:rsidRPr="00CD3C38">
        <w:rPr>
          <w:rFonts w:ascii="Arial" w:hAnsi="Arial" w:cs="Arial"/>
          <w:color w:val="000000" w:themeColor="text1"/>
          <w:sz w:val="22"/>
        </w:rPr>
        <w:t>En suma,</w:t>
      </w:r>
      <w:r w:rsidR="00C6125D" w:rsidRPr="00CD3C38">
        <w:rPr>
          <w:rFonts w:ascii="Arial" w:hAnsi="Arial" w:cs="Arial"/>
          <w:color w:val="000000" w:themeColor="text1"/>
          <w:sz w:val="22"/>
        </w:rPr>
        <w:t xml:space="preserve"> la experiencia que se transfiere bajo el amparo legal </w:t>
      </w:r>
      <w:r w:rsidR="00D40985" w:rsidRPr="00CD3C38">
        <w:rPr>
          <w:rFonts w:ascii="Arial" w:hAnsi="Arial" w:cs="Arial"/>
          <w:color w:val="000000" w:themeColor="text1"/>
          <w:sz w:val="22"/>
        </w:rPr>
        <w:t>en estudio</w:t>
      </w:r>
      <w:r w:rsidR="00C6125D" w:rsidRPr="00CD3C38">
        <w:rPr>
          <w:rFonts w:ascii="Arial" w:hAnsi="Arial" w:cs="Arial"/>
          <w:color w:val="000000" w:themeColor="text1"/>
          <w:sz w:val="22"/>
        </w:rPr>
        <w:t>, no es susceptible</w:t>
      </w:r>
      <w:r w:rsidR="004B4540" w:rsidRPr="00CD3C38">
        <w:rPr>
          <w:rFonts w:ascii="Arial" w:hAnsi="Arial" w:cs="Arial"/>
          <w:color w:val="000000" w:themeColor="text1"/>
          <w:sz w:val="22"/>
        </w:rPr>
        <w:t xml:space="preserve"> </w:t>
      </w:r>
      <w:r w:rsidR="00C6125D" w:rsidRPr="00CD3C38">
        <w:rPr>
          <w:rFonts w:ascii="Arial" w:hAnsi="Arial" w:cs="Arial"/>
          <w:color w:val="000000" w:themeColor="text1"/>
          <w:sz w:val="22"/>
        </w:rPr>
        <w:t xml:space="preserve">de limitarse al aporte o al porcentaje de participación de quienes la trasladan a la sociedad recién constituida, </w:t>
      </w:r>
      <w:r w:rsidRPr="00CD3C38">
        <w:rPr>
          <w:rFonts w:ascii="Arial" w:hAnsi="Arial" w:cs="Arial"/>
          <w:color w:val="000000" w:themeColor="text1"/>
          <w:sz w:val="22"/>
        </w:rPr>
        <w:t>con lo cual,</w:t>
      </w:r>
      <w:r w:rsidR="00C6125D" w:rsidRPr="00CD3C38">
        <w:rPr>
          <w:rFonts w:ascii="Arial" w:hAnsi="Arial" w:cs="Arial"/>
          <w:color w:val="000000" w:themeColor="text1"/>
          <w:sz w:val="22"/>
        </w:rPr>
        <w:t xml:space="preserve"> </w:t>
      </w:r>
      <w:r w:rsidRPr="00CD3C38">
        <w:rPr>
          <w:rFonts w:ascii="Arial" w:hAnsi="Arial" w:cs="Arial"/>
          <w:color w:val="000000" w:themeColor="text1"/>
          <w:sz w:val="22"/>
        </w:rPr>
        <w:t xml:space="preserve">corresponde sumar la experiencia que </w:t>
      </w:r>
      <w:r w:rsidR="0085047F" w:rsidRPr="00CD3C38">
        <w:rPr>
          <w:rFonts w:ascii="Arial" w:hAnsi="Arial" w:cs="Arial"/>
          <w:color w:val="000000" w:themeColor="text1"/>
          <w:sz w:val="22"/>
        </w:rPr>
        <w:t xml:space="preserve">acredite </w:t>
      </w:r>
      <w:r w:rsidRPr="00CD3C38">
        <w:rPr>
          <w:rFonts w:ascii="Arial" w:hAnsi="Arial" w:cs="Arial"/>
          <w:color w:val="000000" w:themeColor="text1"/>
          <w:sz w:val="22"/>
        </w:rPr>
        <w:t>cada uno de los accionistas, socios o constituyentes, así pues, si uno s</w:t>
      </w:r>
      <w:r w:rsidR="00E43AB1" w:rsidRPr="00CD3C38">
        <w:rPr>
          <w:rFonts w:ascii="Arial" w:hAnsi="Arial" w:cs="Arial"/>
          <w:color w:val="000000" w:themeColor="text1"/>
          <w:sz w:val="22"/>
        </w:rPr>
        <w:t>o</w:t>
      </w:r>
      <w:r w:rsidRPr="00CD3C38">
        <w:rPr>
          <w:rFonts w:ascii="Arial" w:hAnsi="Arial" w:cs="Arial"/>
          <w:color w:val="000000" w:themeColor="text1"/>
          <w:sz w:val="22"/>
        </w:rPr>
        <w:t xml:space="preserve">lo de estos </w:t>
      </w:r>
      <w:r w:rsidR="0085047F" w:rsidRPr="00CD3C38">
        <w:rPr>
          <w:rFonts w:ascii="Arial" w:hAnsi="Arial" w:cs="Arial"/>
          <w:color w:val="000000" w:themeColor="text1"/>
          <w:sz w:val="22"/>
        </w:rPr>
        <w:t xml:space="preserve">aporta </w:t>
      </w:r>
      <w:r w:rsidRPr="00CD3C38">
        <w:rPr>
          <w:rFonts w:ascii="Arial" w:hAnsi="Arial" w:cs="Arial"/>
          <w:color w:val="000000" w:themeColor="text1"/>
          <w:sz w:val="22"/>
        </w:rPr>
        <w:t xml:space="preserve">la experiencia requerida por la Entidad Estatal, </w:t>
      </w:r>
      <w:r w:rsidR="00FE2CB8" w:rsidRPr="00CD3C38">
        <w:rPr>
          <w:rFonts w:ascii="Arial" w:hAnsi="Arial" w:cs="Arial"/>
          <w:color w:val="000000" w:themeColor="text1"/>
          <w:sz w:val="22"/>
        </w:rPr>
        <w:t>e</w:t>
      </w:r>
      <w:r w:rsidRPr="00CD3C38">
        <w:rPr>
          <w:rFonts w:ascii="Arial" w:hAnsi="Arial" w:cs="Arial"/>
          <w:color w:val="000000" w:themeColor="text1"/>
          <w:sz w:val="22"/>
        </w:rPr>
        <w:t>sta s</w:t>
      </w:r>
      <w:r w:rsidR="00FE2CB8" w:rsidRPr="00CD3C38">
        <w:rPr>
          <w:rFonts w:ascii="Arial" w:hAnsi="Arial" w:cs="Arial"/>
          <w:color w:val="000000" w:themeColor="text1"/>
          <w:sz w:val="22"/>
        </w:rPr>
        <w:t>ervirá</w:t>
      </w:r>
      <w:r w:rsidRPr="00CD3C38">
        <w:rPr>
          <w:rFonts w:ascii="Arial" w:hAnsi="Arial" w:cs="Arial"/>
          <w:color w:val="000000" w:themeColor="text1"/>
          <w:sz w:val="22"/>
        </w:rPr>
        <w:t xml:space="preserve"> para acreditar la exigida en el respectivo </w:t>
      </w:r>
      <w:r w:rsidR="00E73F2D">
        <w:rPr>
          <w:rFonts w:ascii="Arial" w:hAnsi="Arial" w:cs="Arial"/>
          <w:color w:val="000000" w:themeColor="text1"/>
          <w:sz w:val="22"/>
        </w:rPr>
        <w:t>p</w:t>
      </w:r>
      <w:r w:rsidRPr="00CD3C38">
        <w:rPr>
          <w:rFonts w:ascii="Arial" w:hAnsi="Arial" w:cs="Arial"/>
          <w:color w:val="000000" w:themeColor="text1"/>
          <w:sz w:val="22"/>
        </w:rPr>
        <w:t xml:space="preserve">roceso de </w:t>
      </w:r>
      <w:r w:rsidR="00E73F2D">
        <w:rPr>
          <w:rFonts w:ascii="Arial" w:hAnsi="Arial" w:cs="Arial"/>
          <w:color w:val="000000" w:themeColor="text1"/>
          <w:sz w:val="22"/>
        </w:rPr>
        <w:t>c</w:t>
      </w:r>
      <w:r w:rsidRPr="00CD3C38">
        <w:rPr>
          <w:rFonts w:ascii="Arial" w:hAnsi="Arial" w:cs="Arial"/>
          <w:color w:val="000000" w:themeColor="text1"/>
          <w:sz w:val="22"/>
        </w:rPr>
        <w:t>ontratación. Este mismo derrotero debe seguirse en aquellos casos en los que no se exija la inscripción en el Registro Único de Proponentes – RUP.</w:t>
      </w:r>
    </w:p>
    <w:p w14:paraId="36CB9651" w14:textId="77777777" w:rsidR="004D6343" w:rsidRPr="00CD3C38" w:rsidRDefault="004D6343" w:rsidP="004D6343">
      <w:pPr>
        <w:spacing w:line="276" w:lineRule="auto"/>
        <w:jc w:val="both"/>
        <w:rPr>
          <w:rFonts w:ascii="Arial" w:hAnsi="Arial" w:cs="Arial"/>
          <w:b/>
          <w:bCs/>
          <w:color w:val="000000" w:themeColor="text1"/>
          <w:sz w:val="22"/>
        </w:rPr>
      </w:pPr>
    </w:p>
    <w:p w14:paraId="4D8FF84F" w14:textId="68856107" w:rsidR="00AD1B0F" w:rsidRPr="00CD3C38" w:rsidRDefault="00AD1B0F" w:rsidP="009709B7">
      <w:pPr>
        <w:spacing w:line="276" w:lineRule="auto"/>
        <w:ind w:firstLine="709"/>
        <w:jc w:val="both"/>
        <w:rPr>
          <w:rFonts w:ascii="Arial" w:hAnsi="Arial" w:cs="Arial"/>
          <w:b/>
          <w:color w:val="000000" w:themeColor="text1"/>
          <w:sz w:val="22"/>
        </w:rPr>
      </w:pPr>
      <w:r w:rsidRPr="00CD3C38">
        <w:rPr>
          <w:rFonts w:ascii="Arial" w:hAnsi="Arial" w:cs="Arial"/>
          <w:b/>
          <w:color w:val="000000" w:themeColor="text1"/>
          <w:sz w:val="22"/>
        </w:rPr>
        <w:t>3.</w:t>
      </w:r>
      <w:r w:rsidRPr="00CD3C38">
        <w:rPr>
          <w:rFonts w:ascii="Arial" w:hAnsi="Arial" w:cs="Arial"/>
          <w:b/>
          <w:color w:val="000000" w:themeColor="text1"/>
          <w:sz w:val="22"/>
        </w:rPr>
        <w:tab/>
        <w:t xml:space="preserve">Respuesta </w:t>
      </w:r>
    </w:p>
    <w:p w14:paraId="560A32E9" w14:textId="77777777" w:rsidR="009709B7" w:rsidRPr="00CD3C38" w:rsidRDefault="009709B7" w:rsidP="009709B7">
      <w:pPr>
        <w:spacing w:line="276" w:lineRule="auto"/>
        <w:ind w:left="709" w:right="709" w:firstLine="709"/>
        <w:jc w:val="both"/>
        <w:rPr>
          <w:rFonts w:ascii="Arial" w:hAnsi="Arial" w:cs="Arial"/>
          <w:color w:val="000000" w:themeColor="text1"/>
          <w:sz w:val="22"/>
        </w:rPr>
      </w:pPr>
    </w:p>
    <w:p w14:paraId="1CA03807" w14:textId="556B40CA" w:rsidR="005A507F" w:rsidRPr="00CD3C38" w:rsidRDefault="005A507F" w:rsidP="005A507F">
      <w:pPr>
        <w:pStyle w:val="Prrafodelista"/>
        <w:ind w:left="851" w:right="709"/>
        <w:jc w:val="both"/>
        <w:rPr>
          <w:rFonts w:ascii="Arial" w:eastAsia="Calibri" w:hAnsi="Arial" w:cs="Arial"/>
          <w:color w:val="000000" w:themeColor="text1"/>
          <w:sz w:val="21"/>
          <w:szCs w:val="21"/>
        </w:rPr>
      </w:pPr>
      <w:r w:rsidRPr="00CD3C38">
        <w:rPr>
          <w:rFonts w:ascii="Arial" w:eastAsia="Calibri" w:hAnsi="Arial" w:cs="Arial"/>
          <w:color w:val="000000" w:themeColor="text1"/>
          <w:sz w:val="21"/>
          <w:szCs w:val="21"/>
        </w:rPr>
        <w:t>De acuerdo con lo establecido en el numeral 2.5 del artículo 2.2.1.1.1.5.2. sobre la posibilidad de acreditar la experiencia de los socios dentro del Registro Único de Proponentes – RUP ¿La experiencia se cuenta en un 100% independiente del porcentaje de participación en la empresa o es proporcional al número de acciones que se tiene?</w:t>
      </w:r>
    </w:p>
    <w:p w14:paraId="0EA17255" w14:textId="2382763E" w:rsidR="004B4540" w:rsidRPr="00CD3C38" w:rsidRDefault="004B4540" w:rsidP="004B4540">
      <w:pPr>
        <w:ind w:right="709"/>
        <w:jc w:val="both"/>
        <w:rPr>
          <w:rFonts w:ascii="Arial" w:eastAsia="Calibri" w:hAnsi="Arial" w:cs="Arial"/>
          <w:color w:val="000000" w:themeColor="text1"/>
          <w:sz w:val="21"/>
          <w:szCs w:val="21"/>
        </w:rPr>
      </w:pPr>
    </w:p>
    <w:p w14:paraId="5EFEE36A" w14:textId="10FDA738" w:rsidR="004B4540" w:rsidRPr="00CD3C38" w:rsidRDefault="00D40985" w:rsidP="00CE0AEC">
      <w:pPr>
        <w:spacing w:before="120" w:after="120" w:line="276" w:lineRule="auto"/>
        <w:jc w:val="both"/>
        <w:rPr>
          <w:rFonts w:ascii="Arial" w:eastAsia="Calibri" w:hAnsi="Arial" w:cs="Arial"/>
          <w:color w:val="000000" w:themeColor="text1"/>
          <w:sz w:val="21"/>
          <w:szCs w:val="21"/>
        </w:rPr>
      </w:pPr>
      <w:r w:rsidRPr="00CD3C38">
        <w:rPr>
          <w:rFonts w:ascii="Arial" w:hAnsi="Arial" w:cs="Arial"/>
          <w:color w:val="000000" w:themeColor="text1"/>
          <w:sz w:val="22"/>
        </w:rPr>
        <w:lastRenderedPageBreak/>
        <w:t xml:space="preserve">La experiencia aportada por los integrantes de una sociedad, dentro de los tres primeros años de su constitución, deberá tenerse en cuenta en su totalidad, sin limitación al porcentaje de participación con que cuente </w:t>
      </w:r>
      <w:r w:rsidR="00D67001" w:rsidRPr="00CD3C38">
        <w:rPr>
          <w:rFonts w:ascii="Arial" w:hAnsi="Arial" w:cs="Arial"/>
          <w:color w:val="000000" w:themeColor="text1"/>
          <w:sz w:val="22"/>
        </w:rPr>
        <w:t xml:space="preserve">dentro de esta </w:t>
      </w:r>
      <w:r w:rsidRPr="00CD3C38">
        <w:rPr>
          <w:rFonts w:ascii="Arial" w:hAnsi="Arial" w:cs="Arial"/>
          <w:color w:val="000000" w:themeColor="text1"/>
          <w:sz w:val="22"/>
        </w:rPr>
        <w:t>el integrante aportante</w:t>
      </w:r>
      <w:r w:rsidR="00FA3E37" w:rsidRPr="00CD3C38">
        <w:rPr>
          <w:rFonts w:ascii="Arial" w:eastAsia="Calibri" w:hAnsi="Arial" w:cs="Arial"/>
          <w:color w:val="000000" w:themeColor="text1"/>
          <w:sz w:val="21"/>
          <w:szCs w:val="21"/>
        </w:rPr>
        <w:t>.</w:t>
      </w:r>
      <w:r w:rsidRPr="00CD3C38">
        <w:rPr>
          <w:rFonts w:ascii="Arial" w:eastAsia="Calibri" w:hAnsi="Arial" w:cs="Arial"/>
          <w:color w:val="000000" w:themeColor="text1"/>
          <w:sz w:val="21"/>
          <w:szCs w:val="21"/>
        </w:rPr>
        <w:t xml:space="preserve"> En consecuencia, </w:t>
      </w:r>
      <w:r w:rsidRPr="00CD3C38">
        <w:rPr>
          <w:rFonts w:ascii="Arial" w:hAnsi="Arial" w:cs="Arial"/>
          <w:color w:val="000000" w:themeColor="text1"/>
          <w:sz w:val="22"/>
        </w:rPr>
        <w:t>si uno s</w:t>
      </w:r>
      <w:r w:rsidR="00E43AB1" w:rsidRPr="00CD3C38">
        <w:rPr>
          <w:rFonts w:ascii="Arial" w:hAnsi="Arial" w:cs="Arial"/>
          <w:color w:val="000000" w:themeColor="text1"/>
          <w:sz w:val="22"/>
        </w:rPr>
        <w:t>o</w:t>
      </w:r>
      <w:r w:rsidRPr="00CD3C38">
        <w:rPr>
          <w:rFonts w:ascii="Arial" w:hAnsi="Arial" w:cs="Arial"/>
          <w:color w:val="000000" w:themeColor="text1"/>
          <w:sz w:val="22"/>
        </w:rPr>
        <w:t>lo de sus accionistas, socios o constituyentes a</w:t>
      </w:r>
      <w:r w:rsidR="00815A64" w:rsidRPr="00CD3C38">
        <w:rPr>
          <w:rFonts w:ascii="Arial" w:hAnsi="Arial" w:cs="Arial"/>
          <w:color w:val="000000" w:themeColor="text1"/>
          <w:sz w:val="22"/>
        </w:rPr>
        <w:t>credita</w:t>
      </w:r>
      <w:r w:rsidRPr="00CD3C38">
        <w:rPr>
          <w:rFonts w:ascii="Arial" w:hAnsi="Arial" w:cs="Arial"/>
          <w:color w:val="000000" w:themeColor="text1"/>
          <w:sz w:val="22"/>
        </w:rPr>
        <w:t xml:space="preserve"> la experiencia requerida por la Entidad Estatal, </w:t>
      </w:r>
      <w:r w:rsidR="00FE2CB8" w:rsidRPr="00CD3C38">
        <w:rPr>
          <w:rFonts w:ascii="Arial" w:hAnsi="Arial" w:cs="Arial"/>
          <w:color w:val="000000" w:themeColor="text1"/>
          <w:sz w:val="22"/>
        </w:rPr>
        <w:t>e</w:t>
      </w:r>
      <w:r w:rsidRPr="00CD3C38">
        <w:rPr>
          <w:rFonts w:ascii="Arial" w:hAnsi="Arial" w:cs="Arial"/>
          <w:color w:val="000000" w:themeColor="text1"/>
          <w:sz w:val="22"/>
        </w:rPr>
        <w:t>sta s</w:t>
      </w:r>
      <w:r w:rsidR="00FE2CB8" w:rsidRPr="00CD3C38">
        <w:rPr>
          <w:rFonts w:ascii="Arial" w:hAnsi="Arial" w:cs="Arial"/>
          <w:color w:val="000000" w:themeColor="text1"/>
          <w:sz w:val="22"/>
        </w:rPr>
        <w:t>ervirá</w:t>
      </w:r>
      <w:r w:rsidRPr="00CD3C38">
        <w:rPr>
          <w:rFonts w:ascii="Arial" w:hAnsi="Arial" w:cs="Arial"/>
          <w:color w:val="000000" w:themeColor="text1"/>
          <w:sz w:val="22"/>
        </w:rPr>
        <w:t xml:space="preserve"> para </w:t>
      </w:r>
      <w:r w:rsidR="00815A64" w:rsidRPr="00CD3C38">
        <w:rPr>
          <w:rFonts w:ascii="Arial" w:hAnsi="Arial" w:cs="Arial"/>
          <w:color w:val="000000" w:themeColor="text1"/>
          <w:sz w:val="22"/>
        </w:rPr>
        <w:t>certificar</w:t>
      </w:r>
      <w:r w:rsidRPr="00CD3C38">
        <w:rPr>
          <w:rFonts w:ascii="Arial" w:hAnsi="Arial" w:cs="Arial"/>
          <w:color w:val="000000" w:themeColor="text1"/>
          <w:sz w:val="22"/>
        </w:rPr>
        <w:t xml:space="preserve"> la exigida en el respectivo Proceso de Contratación.</w:t>
      </w:r>
    </w:p>
    <w:p w14:paraId="65A58FF9" w14:textId="77777777" w:rsidR="00FA3E37" w:rsidRPr="00CD3C38" w:rsidRDefault="00FA3E37" w:rsidP="00CD3C38">
      <w:pPr>
        <w:ind w:right="709"/>
        <w:jc w:val="both"/>
        <w:rPr>
          <w:rFonts w:ascii="Arial" w:eastAsia="Calibri" w:hAnsi="Arial" w:cs="Arial"/>
          <w:color w:val="000000" w:themeColor="text1"/>
          <w:sz w:val="21"/>
          <w:szCs w:val="21"/>
        </w:rPr>
      </w:pPr>
    </w:p>
    <w:p w14:paraId="64C9020B" w14:textId="228D4881" w:rsidR="005A507F" w:rsidRPr="00CD3C38" w:rsidRDefault="005A507F" w:rsidP="005A507F">
      <w:pPr>
        <w:pStyle w:val="Prrafodelista"/>
        <w:ind w:left="709" w:right="709"/>
        <w:jc w:val="both"/>
        <w:rPr>
          <w:rFonts w:ascii="Arial" w:eastAsia="Calibri" w:hAnsi="Arial" w:cs="Arial"/>
          <w:color w:val="000000" w:themeColor="text1"/>
          <w:sz w:val="21"/>
          <w:szCs w:val="21"/>
        </w:rPr>
      </w:pPr>
      <w:r w:rsidRPr="00CD3C38">
        <w:rPr>
          <w:rFonts w:ascii="Arial" w:eastAsia="Calibri" w:hAnsi="Arial" w:cs="Arial"/>
          <w:color w:val="000000" w:themeColor="text1"/>
          <w:sz w:val="21"/>
          <w:szCs w:val="21"/>
        </w:rPr>
        <w:t xml:space="preserve">¿La esposa del hermano de un secretario de despacho de una entidad territorial está inhabilitada o tiene incompatibilidad para contratar con ese municipio a través de una empresa de la cual es dueña? </w:t>
      </w:r>
    </w:p>
    <w:p w14:paraId="1913AAD4" w14:textId="77777777" w:rsidR="005A507F" w:rsidRPr="00CD3C38" w:rsidRDefault="005A507F" w:rsidP="005A507F">
      <w:pPr>
        <w:pStyle w:val="Prrafodelista"/>
        <w:ind w:left="709" w:right="709"/>
        <w:jc w:val="both"/>
        <w:rPr>
          <w:rFonts w:ascii="Arial" w:eastAsia="Calibri" w:hAnsi="Arial" w:cs="Arial"/>
          <w:color w:val="000000" w:themeColor="text1"/>
          <w:sz w:val="21"/>
          <w:szCs w:val="21"/>
        </w:rPr>
      </w:pPr>
    </w:p>
    <w:p w14:paraId="2666D298" w14:textId="7B3E209C" w:rsidR="008305BD" w:rsidRPr="00CD3C38" w:rsidRDefault="005A507F" w:rsidP="005A507F">
      <w:pPr>
        <w:spacing w:before="120" w:after="120" w:line="276" w:lineRule="auto"/>
        <w:jc w:val="both"/>
        <w:rPr>
          <w:rFonts w:ascii="Arial" w:eastAsia="Arial" w:hAnsi="Arial" w:cs="Arial"/>
          <w:sz w:val="22"/>
        </w:rPr>
      </w:pPr>
      <w:r w:rsidRPr="00CD3C38">
        <w:rPr>
          <w:rFonts w:ascii="Arial" w:eastAsia="Arial" w:hAnsi="Arial" w:cs="Arial"/>
          <w:sz w:val="22"/>
        </w:rPr>
        <w:t>De conformidad con la competencia otorgada</w:t>
      </w:r>
      <w:r w:rsidR="00841FD2">
        <w:rPr>
          <w:rFonts w:ascii="Arial" w:eastAsia="Arial" w:hAnsi="Arial" w:cs="Arial"/>
          <w:sz w:val="22"/>
        </w:rPr>
        <w:t>,</w:t>
      </w:r>
      <w:r w:rsidRPr="00CD3C38">
        <w:rPr>
          <w:rFonts w:ascii="Arial" w:eastAsia="Arial" w:hAnsi="Arial" w:cs="Arial"/>
          <w:sz w:val="22"/>
        </w:rPr>
        <w:t xml:space="preserve"> según el numeral 8 del artículo 11 y numeral 5 del artículo 3 del Decreto Ley 4170 de 2011, la Agencia Nacional de Contratación Pública Colombia Compra Eficiente atiende consultas relativas a temas contractuales en lo que se refiere a la aplicación de normas de carácter general en materia de compras y contratación pública; por tal motivo, Colombia Compra Eficiente carece de competencia para decidir sobre la legalidad de las decisiones tomadas por las entidades estatales con ocasión de su actividad contractual, o para pronunciarse respecto de actuaciones contractuales específicas.</w:t>
      </w:r>
    </w:p>
    <w:p w14:paraId="5E422E63" w14:textId="77777777" w:rsidR="008305BD" w:rsidRPr="00CD3C38" w:rsidRDefault="00AD1B0F" w:rsidP="008A2025">
      <w:pPr>
        <w:spacing w:before="120" w:after="120" w:line="276" w:lineRule="auto"/>
        <w:jc w:val="both"/>
        <w:rPr>
          <w:rFonts w:ascii="Arial" w:hAnsi="Arial" w:cs="Arial"/>
          <w:color w:val="000000" w:themeColor="text1"/>
          <w:sz w:val="22"/>
        </w:rPr>
      </w:pPr>
      <w:r w:rsidRPr="00CD3C38">
        <w:rPr>
          <w:rFonts w:ascii="Arial" w:hAnsi="Arial" w:cs="Arial"/>
          <w:color w:val="000000" w:themeColor="text1"/>
          <w:sz w:val="22"/>
        </w:rPr>
        <w:t>Este concepto tiene el alcance previsto en el artículo 28 del Código de Procedimiento Administrativo y de lo Contencioso Administrativo.</w:t>
      </w:r>
    </w:p>
    <w:p w14:paraId="0F8C901F" w14:textId="2BFA77F0" w:rsidR="00A37FB6" w:rsidRPr="00CD3C38" w:rsidRDefault="00A37FB6" w:rsidP="008A2025">
      <w:pPr>
        <w:spacing w:before="120" w:after="120" w:line="276" w:lineRule="auto"/>
        <w:jc w:val="both"/>
        <w:rPr>
          <w:rFonts w:ascii="Arial" w:hAnsi="Arial" w:cs="Arial"/>
          <w:color w:val="000000" w:themeColor="text1"/>
          <w:sz w:val="22"/>
        </w:rPr>
      </w:pPr>
      <w:r w:rsidRPr="00CD3C38">
        <w:rPr>
          <w:rFonts w:ascii="Arial" w:hAnsi="Arial" w:cs="Arial"/>
          <w:noProof/>
          <w:color w:val="000000" w:themeColor="text1"/>
          <w:sz w:val="22"/>
          <w:lang w:val="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A61FEC">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D9926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1E81A930" w14:textId="77777777" w:rsidR="00A37FB6" w:rsidRPr="00CD3C38" w:rsidRDefault="00A37FB6" w:rsidP="008A2025">
      <w:pPr>
        <w:spacing w:before="120" w:after="120" w:line="276" w:lineRule="auto"/>
        <w:rPr>
          <w:rFonts w:ascii="Arial" w:eastAsia="Times New Roman" w:hAnsi="Arial" w:cs="Arial"/>
          <w:color w:val="000000" w:themeColor="text1"/>
          <w:sz w:val="22"/>
          <w:lang w:eastAsia="es-CO"/>
        </w:rPr>
      </w:pPr>
      <w:r w:rsidRPr="00CD3C38">
        <w:rPr>
          <w:rFonts w:ascii="Arial" w:eastAsia="Times New Roman" w:hAnsi="Arial" w:cs="Arial"/>
          <w:color w:val="000000" w:themeColor="text1"/>
          <w:sz w:val="22"/>
          <w:lang w:eastAsia="es-CO"/>
        </w:rPr>
        <w:t>Atentamente,</w:t>
      </w:r>
    </w:p>
    <w:p w14:paraId="57DD1EBD" w14:textId="06BE4D68" w:rsidR="00746E08" w:rsidRPr="00CD3C38" w:rsidRDefault="00A6240A" w:rsidP="008A2025">
      <w:pPr>
        <w:spacing w:before="120" w:after="120" w:line="276" w:lineRule="auto"/>
        <w:jc w:val="center"/>
        <w:rPr>
          <w:rFonts w:ascii="Arial" w:eastAsia="Times New Roman" w:hAnsi="Arial" w:cs="Arial"/>
          <w:color w:val="000000" w:themeColor="text1"/>
          <w:sz w:val="22"/>
          <w:lang w:eastAsia="es-CO"/>
        </w:rPr>
      </w:pPr>
      <w:r>
        <w:rPr>
          <w:noProof/>
        </w:rPr>
        <w:drawing>
          <wp:inline distT="0" distB="0" distL="0" distR="0" wp14:anchorId="4DAC373E" wp14:editId="05619096">
            <wp:extent cx="2773144" cy="988695"/>
            <wp:effectExtent l="0" t="0" r="0" b="0"/>
            <wp:docPr id="49402941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4D58A4" w:rsidRPr="00CD3C38" w14:paraId="469202AF" w14:textId="77777777" w:rsidTr="008F0344">
        <w:trPr>
          <w:trHeight w:val="315"/>
        </w:trPr>
        <w:tc>
          <w:tcPr>
            <w:tcW w:w="812" w:type="dxa"/>
            <w:vAlign w:val="center"/>
            <w:hideMark/>
          </w:tcPr>
          <w:p w14:paraId="3F62A0B3" w14:textId="77777777" w:rsidR="00746E08" w:rsidRPr="00CD3C38" w:rsidRDefault="00746E08" w:rsidP="001F4991">
            <w:pPr>
              <w:pStyle w:val="Sinespaciado"/>
              <w:rPr>
                <w:rFonts w:ascii="Arial" w:hAnsi="Arial" w:cs="Arial"/>
                <w:color w:val="000000" w:themeColor="text1"/>
                <w:sz w:val="16"/>
                <w:szCs w:val="16"/>
                <w:lang w:val="es-ES" w:eastAsia="es-ES"/>
              </w:rPr>
            </w:pPr>
            <w:r w:rsidRPr="00CD3C38">
              <w:rPr>
                <w:rFonts w:ascii="Arial" w:hAnsi="Arial" w:cs="Arial"/>
                <w:color w:val="000000" w:themeColor="text1"/>
                <w:sz w:val="16"/>
                <w:szCs w:val="16"/>
                <w:lang w:val="es-ES" w:eastAsia="es-ES"/>
              </w:rPr>
              <w:t>Elaboró:</w:t>
            </w:r>
          </w:p>
        </w:tc>
        <w:tc>
          <w:tcPr>
            <w:tcW w:w="4413" w:type="dxa"/>
            <w:tcBorders>
              <w:top w:val="nil"/>
              <w:left w:val="nil"/>
              <w:bottom w:val="dotted" w:sz="4" w:space="0" w:color="7F7F7F" w:themeColor="text1" w:themeTint="80"/>
              <w:right w:val="nil"/>
            </w:tcBorders>
            <w:vAlign w:val="center"/>
            <w:hideMark/>
          </w:tcPr>
          <w:p w14:paraId="45BBD40F" w14:textId="21CA8312" w:rsidR="00746E08" w:rsidRPr="00CD3C38" w:rsidRDefault="005A507F" w:rsidP="001F4991">
            <w:pPr>
              <w:pStyle w:val="Sinespaciado"/>
              <w:rPr>
                <w:rFonts w:ascii="Arial" w:hAnsi="Arial" w:cs="Arial"/>
                <w:color w:val="000000" w:themeColor="text1"/>
                <w:sz w:val="16"/>
                <w:szCs w:val="16"/>
                <w:lang w:val="es-ES" w:eastAsia="es-ES"/>
              </w:rPr>
            </w:pPr>
            <w:r w:rsidRPr="00CD3C38">
              <w:rPr>
                <w:rFonts w:ascii="Arial" w:hAnsi="Arial" w:cs="Arial"/>
                <w:color w:val="000000" w:themeColor="text1"/>
                <w:sz w:val="16"/>
                <w:szCs w:val="16"/>
                <w:lang w:val="es-ES" w:eastAsia="es-ES"/>
              </w:rPr>
              <w:t>Omar Germán Mejía Olmos</w:t>
            </w:r>
          </w:p>
          <w:p w14:paraId="51C325E7" w14:textId="6734F849" w:rsidR="00746E08" w:rsidRPr="00CD3C38" w:rsidRDefault="008F0344" w:rsidP="001F4991">
            <w:pPr>
              <w:pStyle w:val="Sinespaciado"/>
              <w:rPr>
                <w:rFonts w:ascii="Arial" w:hAnsi="Arial" w:cs="Arial"/>
                <w:color w:val="000000" w:themeColor="text1"/>
                <w:sz w:val="16"/>
                <w:szCs w:val="16"/>
                <w:lang w:val="es-ES" w:eastAsia="es-ES"/>
              </w:rPr>
            </w:pPr>
            <w:r w:rsidRPr="00CD3C38">
              <w:rPr>
                <w:rFonts w:ascii="Arial" w:hAnsi="Arial" w:cs="Arial"/>
                <w:color w:val="000000" w:themeColor="text1"/>
                <w:sz w:val="16"/>
                <w:szCs w:val="16"/>
                <w:lang w:val="es-ES" w:eastAsia="es-ES"/>
              </w:rPr>
              <w:t>Contratista Subdirección de Gestión Contractual</w:t>
            </w:r>
          </w:p>
        </w:tc>
      </w:tr>
      <w:tr w:rsidR="004D58A4" w:rsidRPr="00CD3C38" w14:paraId="10BC78E8" w14:textId="77777777" w:rsidTr="008F0344">
        <w:trPr>
          <w:trHeight w:val="330"/>
        </w:trPr>
        <w:tc>
          <w:tcPr>
            <w:tcW w:w="812" w:type="dxa"/>
            <w:vAlign w:val="center"/>
            <w:hideMark/>
          </w:tcPr>
          <w:p w14:paraId="6A7DBF66" w14:textId="77777777" w:rsidR="00746E08" w:rsidRPr="00CD3C38" w:rsidRDefault="00746E08" w:rsidP="001F4991">
            <w:pPr>
              <w:pStyle w:val="Sinespaciado"/>
              <w:rPr>
                <w:rFonts w:ascii="Arial" w:hAnsi="Arial" w:cs="Arial"/>
                <w:color w:val="000000" w:themeColor="text1"/>
                <w:sz w:val="16"/>
                <w:szCs w:val="16"/>
                <w:lang w:val="es-ES" w:eastAsia="es-ES"/>
              </w:rPr>
            </w:pPr>
            <w:r w:rsidRPr="00CD3C38">
              <w:rPr>
                <w:rFonts w:ascii="Arial" w:hAnsi="Arial" w:cs="Arial"/>
                <w:color w:val="000000" w:themeColor="text1"/>
                <w:sz w:val="16"/>
                <w:szCs w:val="16"/>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85CBF3D" w14:textId="6E04C930" w:rsidR="005A507F" w:rsidRPr="00CD3C38" w:rsidRDefault="00E61F99" w:rsidP="005A507F">
            <w:pPr>
              <w:pStyle w:val="Sinespaciado"/>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Cristian Andrés Díaz Díez</w:t>
            </w:r>
          </w:p>
          <w:p w14:paraId="19E8BD8D" w14:textId="48A718F8" w:rsidR="00746E08" w:rsidRPr="00CD3C38" w:rsidRDefault="00E61F99" w:rsidP="005A507F">
            <w:pPr>
              <w:pStyle w:val="Sinespaciado"/>
              <w:rPr>
                <w:rFonts w:ascii="Arial" w:hAnsi="Arial" w:cs="Arial"/>
                <w:color w:val="000000" w:themeColor="text1"/>
                <w:sz w:val="16"/>
                <w:szCs w:val="16"/>
                <w:lang w:val="es-ES" w:eastAsia="es-ES"/>
              </w:rPr>
            </w:pPr>
            <w:r>
              <w:rPr>
                <w:rFonts w:ascii="Arial" w:hAnsi="Arial" w:cs="Arial"/>
                <w:color w:val="000000" w:themeColor="text1"/>
                <w:sz w:val="16"/>
                <w:szCs w:val="16"/>
                <w:lang w:val="es-ES" w:eastAsia="es-ES"/>
              </w:rPr>
              <w:t xml:space="preserve">Contratista, </w:t>
            </w:r>
            <w:r w:rsidR="005A507F" w:rsidRPr="00CD3C38">
              <w:rPr>
                <w:rFonts w:ascii="Arial" w:hAnsi="Arial" w:cs="Arial"/>
                <w:color w:val="000000" w:themeColor="text1"/>
                <w:sz w:val="16"/>
                <w:szCs w:val="16"/>
                <w:lang w:val="es-ES" w:eastAsia="es-ES"/>
              </w:rPr>
              <w:t>Subdirec</w:t>
            </w:r>
            <w:r>
              <w:rPr>
                <w:rFonts w:ascii="Arial" w:hAnsi="Arial" w:cs="Arial"/>
                <w:color w:val="000000" w:themeColor="text1"/>
                <w:sz w:val="16"/>
                <w:szCs w:val="16"/>
                <w:lang w:val="es-ES" w:eastAsia="es-ES"/>
              </w:rPr>
              <w:t>ción</w:t>
            </w:r>
            <w:r w:rsidR="005A507F" w:rsidRPr="00CD3C38">
              <w:rPr>
                <w:rFonts w:ascii="Arial" w:hAnsi="Arial" w:cs="Arial"/>
                <w:color w:val="000000" w:themeColor="text1"/>
                <w:sz w:val="16"/>
                <w:szCs w:val="16"/>
                <w:lang w:val="es-ES" w:eastAsia="es-ES"/>
              </w:rPr>
              <w:t xml:space="preserve"> de Gestión Contractual</w:t>
            </w:r>
          </w:p>
        </w:tc>
      </w:tr>
      <w:tr w:rsidR="001F4991" w:rsidRPr="00B2564A" w14:paraId="50741B38" w14:textId="77777777" w:rsidTr="008F0344">
        <w:trPr>
          <w:trHeight w:val="300"/>
        </w:trPr>
        <w:tc>
          <w:tcPr>
            <w:tcW w:w="812" w:type="dxa"/>
            <w:vAlign w:val="center"/>
            <w:hideMark/>
          </w:tcPr>
          <w:p w14:paraId="297715FA" w14:textId="77777777" w:rsidR="00746E08" w:rsidRPr="00CD3C38" w:rsidRDefault="00746E08" w:rsidP="001F4991">
            <w:pPr>
              <w:pStyle w:val="Sinespaciado"/>
              <w:rPr>
                <w:rFonts w:ascii="Arial" w:hAnsi="Arial" w:cs="Arial"/>
                <w:color w:val="000000" w:themeColor="text1"/>
                <w:sz w:val="16"/>
                <w:szCs w:val="16"/>
                <w:lang w:val="es-ES" w:eastAsia="es-ES"/>
              </w:rPr>
            </w:pPr>
            <w:r w:rsidRPr="00CD3C38">
              <w:rPr>
                <w:rFonts w:ascii="Arial" w:hAnsi="Arial" w:cs="Arial"/>
                <w:color w:val="000000" w:themeColor="text1"/>
                <w:sz w:val="16"/>
                <w:szCs w:val="16"/>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CD3C38" w:rsidRDefault="00746E08" w:rsidP="001F4991">
            <w:pPr>
              <w:pStyle w:val="Sinespaciado"/>
              <w:rPr>
                <w:rFonts w:ascii="Arial" w:hAnsi="Arial" w:cs="Arial"/>
                <w:color w:val="000000" w:themeColor="text1"/>
                <w:sz w:val="16"/>
                <w:szCs w:val="16"/>
                <w:lang w:val="es-ES" w:eastAsia="es-ES"/>
              </w:rPr>
            </w:pPr>
            <w:r w:rsidRPr="00CD3C38">
              <w:rPr>
                <w:rFonts w:ascii="Arial" w:hAnsi="Arial" w:cs="Arial"/>
                <w:color w:val="000000" w:themeColor="text1"/>
                <w:sz w:val="16"/>
                <w:szCs w:val="16"/>
                <w:lang w:val="es-ES" w:eastAsia="es-ES"/>
              </w:rPr>
              <w:t>Fabián Gonzalo Marín Cortés</w:t>
            </w:r>
          </w:p>
          <w:p w14:paraId="17847B1F" w14:textId="71EB0D70" w:rsidR="00746E08" w:rsidRPr="00B2564A" w:rsidRDefault="00746E08" w:rsidP="001F4991">
            <w:pPr>
              <w:pStyle w:val="Sinespaciado"/>
              <w:rPr>
                <w:rFonts w:ascii="Arial" w:hAnsi="Arial" w:cs="Arial"/>
                <w:color w:val="000000" w:themeColor="text1"/>
                <w:sz w:val="16"/>
                <w:szCs w:val="16"/>
                <w:lang w:val="es-ES" w:eastAsia="es-ES"/>
              </w:rPr>
            </w:pPr>
            <w:r w:rsidRPr="00CD3C38">
              <w:rPr>
                <w:rFonts w:ascii="Arial" w:hAnsi="Arial" w:cs="Arial"/>
                <w:color w:val="000000" w:themeColor="text1"/>
                <w:sz w:val="16"/>
                <w:szCs w:val="16"/>
                <w:lang w:val="es-ES" w:eastAsia="es-ES"/>
              </w:rPr>
              <w:t>Subdirector de Gestión Contractual</w:t>
            </w:r>
          </w:p>
        </w:tc>
      </w:tr>
    </w:tbl>
    <w:p w14:paraId="299FEDB9" w14:textId="77777777" w:rsidR="00540DF9" w:rsidRPr="00B2564A" w:rsidRDefault="00540DF9" w:rsidP="008A2025">
      <w:pPr>
        <w:spacing w:before="120" w:after="120" w:line="276" w:lineRule="auto"/>
        <w:rPr>
          <w:rFonts w:ascii="Arial" w:eastAsia="Times New Roman" w:hAnsi="Arial" w:cs="Arial"/>
          <w:color w:val="000000" w:themeColor="text1"/>
          <w:sz w:val="22"/>
          <w:lang w:eastAsia="es-ES"/>
        </w:rPr>
      </w:pPr>
    </w:p>
    <w:sectPr w:rsidR="00540DF9" w:rsidRPr="00B2564A"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C1C78" w14:textId="77777777" w:rsidR="00A75F07" w:rsidRDefault="00A75F07">
      <w:r>
        <w:separator/>
      </w:r>
    </w:p>
  </w:endnote>
  <w:endnote w:type="continuationSeparator" w:id="0">
    <w:p w14:paraId="2B3FC5D3" w14:textId="77777777" w:rsidR="00A75F07" w:rsidRDefault="00A7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85F3" w14:textId="307EAACC" w:rsidR="00560147" w:rsidRPr="008217B7" w:rsidRDefault="0056014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B7550">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B7550">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48FC6A04" w14:textId="5FD1A7C9" w:rsidR="00560147" w:rsidRDefault="0880C7F2" w:rsidP="00322937">
    <w:pPr>
      <w:pStyle w:val="Piedepgina"/>
      <w:jc w:val="center"/>
    </w:pPr>
    <w:r>
      <w:rPr>
        <w:noProof/>
      </w:rPr>
      <w:drawing>
        <wp:inline distT="0" distB="0" distL="0" distR="0" wp14:anchorId="608B196D" wp14:editId="41BE355D">
          <wp:extent cx="3700130" cy="519139"/>
          <wp:effectExtent l="0" t="0" r="0" b="0"/>
          <wp:docPr id="19585473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560147" w:rsidRPr="007B0854" w:rsidRDefault="00560147" w:rsidP="007B085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0162A" w14:textId="77777777" w:rsidR="00A75F07" w:rsidRDefault="00A75F07">
      <w:r>
        <w:separator/>
      </w:r>
    </w:p>
  </w:footnote>
  <w:footnote w:type="continuationSeparator" w:id="0">
    <w:p w14:paraId="4AFFC328" w14:textId="77777777" w:rsidR="00A75F07" w:rsidRDefault="00A75F07">
      <w:r>
        <w:continuationSeparator/>
      </w:r>
    </w:p>
  </w:footnote>
  <w:footnote w:id="1">
    <w:p w14:paraId="548A773E" w14:textId="62E02D28"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F0D5971" w14:textId="50A227C4" w:rsidR="005601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w:t>
      </w:r>
      <w:r w:rsidRPr="004D58A4">
        <w:rPr>
          <w:rFonts w:ascii="Arial" w:hAnsi="Arial" w:cs="Arial"/>
          <w:color w:val="000000" w:themeColor="text1"/>
          <w:sz w:val="19"/>
          <w:szCs w:val="19"/>
        </w:rPr>
        <w:t>l Proceso de Contratación [...]»</w:t>
      </w:r>
      <w:r w:rsidR="00560147" w:rsidRPr="004D58A4">
        <w:rPr>
          <w:rFonts w:ascii="Arial" w:hAnsi="Arial" w:cs="Arial"/>
          <w:color w:val="000000" w:themeColor="text1"/>
          <w:sz w:val="19"/>
          <w:szCs w:val="19"/>
        </w:rPr>
        <w:t>.</w:t>
      </w:r>
    </w:p>
    <w:p w14:paraId="0C6D24D5" w14:textId="77777777" w:rsidR="00DA5C47" w:rsidRPr="004D58A4" w:rsidRDefault="00DA5C47" w:rsidP="006D478D">
      <w:pPr>
        <w:pStyle w:val="Textonotapie"/>
        <w:ind w:firstLine="708"/>
        <w:jc w:val="both"/>
        <w:rPr>
          <w:rFonts w:ascii="Arial" w:hAnsi="Arial" w:cs="Arial"/>
          <w:color w:val="000000" w:themeColor="text1"/>
          <w:sz w:val="19"/>
          <w:szCs w:val="19"/>
        </w:rPr>
      </w:pPr>
    </w:p>
  </w:footnote>
  <w:footnote w:id="2">
    <w:p w14:paraId="4BB25C21" w14:textId="268A76C0" w:rsidR="00A32BD5" w:rsidRPr="004D58A4" w:rsidRDefault="00C24589" w:rsidP="006D478D">
      <w:pPr>
        <w:pStyle w:val="Textonotapie"/>
        <w:ind w:firstLine="709"/>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w:t>
      </w:r>
      <w:r w:rsidR="00442D24" w:rsidRPr="004D58A4">
        <w:rPr>
          <w:rFonts w:ascii="Arial" w:hAnsi="Arial" w:cs="Arial"/>
          <w:color w:val="000000" w:themeColor="text1"/>
          <w:sz w:val="19"/>
          <w:szCs w:val="19"/>
        </w:rPr>
        <w:t>«</w:t>
      </w:r>
      <w:r w:rsidR="006D478D" w:rsidRPr="004D58A4">
        <w:rPr>
          <w:rFonts w:ascii="Arial" w:hAnsi="Arial" w:cs="Arial"/>
          <w:color w:val="000000" w:themeColor="text1"/>
          <w:sz w:val="19"/>
          <w:szCs w:val="19"/>
        </w:rPr>
        <w:t>Artículo 5. De la selección objetiva.</w:t>
      </w:r>
      <w:r w:rsidR="00A32BD5" w:rsidRPr="004D58A4">
        <w:rPr>
          <w:rFonts w:ascii="Arial" w:hAnsi="Arial" w:cs="Arial"/>
          <w:color w:val="000000" w:themeColor="text1"/>
          <w:sz w:val="19"/>
          <w:szCs w:val="19"/>
        </w:rPr>
        <w:t xml:space="preserve">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4B3A758" w14:textId="3CD92F31" w:rsidR="00C24589" w:rsidRPr="004D58A4" w:rsidRDefault="00442D24" w:rsidP="006D478D">
      <w:pPr>
        <w:pStyle w:val="Textonotapie"/>
        <w:ind w:firstLine="709"/>
        <w:jc w:val="both"/>
        <w:rPr>
          <w:rFonts w:ascii="Arial" w:hAnsi="Arial" w:cs="Arial"/>
          <w:color w:val="000000" w:themeColor="text1"/>
          <w:sz w:val="19"/>
          <w:szCs w:val="19"/>
        </w:rPr>
      </w:pPr>
      <w:r w:rsidRPr="004D58A4">
        <w:rPr>
          <w:rFonts w:ascii="Arial" w:hAnsi="Arial" w:cs="Arial"/>
          <w:color w:val="000000" w:themeColor="text1"/>
          <w:sz w:val="19"/>
          <w:szCs w:val="19"/>
        </w:rPr>
        <w:t>»</w:t>
      </w:r>
      <w:r w:rsidR="00A32BD5" w:rsidRPr="004D58A4">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4D58A4">
        <w:rPr>
          <w:rFonts w:ascii="Arial" w:hAnsi="Arial" w:cs="Arial"/>
          <w:color w:val="000000" w:themeColor="text1"/>
          <w:sz w:val="19"/>
          <w:szCs w:val="19"/>
        </w:rPr>
        <w:t>».</w:t>
      </w:r>
    </w:p>
    <w:p w14:paraId="55656BB6" w14:textId="77777777" w:rsidR="00BF5A02" w:rsidRPr="004D58A4" w:rsidRDefault="00BF5A02" w:rsidP="006D478D">
      <w:pPr>
        <w:pStyle w:val="Textonotapie"/>
        <w:ind w:firstLine="709"/>
        <w:jc w:val="both"/>
        <w:rPr>
          <w:rFonts w:ascii="Arial" w:hAnsi="Arial" w:cs="Arial"/>
          <w:color w:val="000000" w:themeColor="text1"/>
          <w:sz w:val="19"/>
          <w:szCs w:val="19"/>
          <w:lang w:val="es-CO"/>
        </w:rPr>
      </w:pPr>
    </w:p>
  </w:footnote>
  <w:footnote w:id="3">
    <w:p w14:paraId="043171BF" w14:textId="1EBC7E66"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77E55BE3" w14:textId="77777777" w:rsidR="00560147" w:rsidRPr="004D58A4" w:rsidRDefault="00560147" w:rsidP="006D478D">
      <w:pPr>
        <w:pStyle w:val="Textonotapie"/>
        <w:ind w:firstLine="708"/>
        <w:jc w:val="both"/>
        <w:rPr>
          <w:rFonts w:ascii="Arial" w:hAnsi="Arial" w:cs="Arial"/>
          <w:color w:val="000000" w:themeColor="text1"/>
          <w:sz w:val="19"/>
          <w:szCs w:val="19"/>
        </w:rPr>
      </w:pPr>
    </w:p>
  </w:footnote>
  <w:footnote w:id="4">
    <w:p w14:paraId="53020E43" w14:textId="6C419751"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2.2.1.1.1.5.3. Requisitos habilitantes contenidos en el RUP. Las cámaras de comercio, con base en la información a la que hace referencia el artículo anterior, deben verificar y certificar los siguientes requisitos habilitantes:</w:t>
      </w:r>
    </w:p>
    <w:p w14:paraId="7D435074" w14:textId="38B3FEC5" w:rsidR="005601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 […]».</w:t>
      </w:r>
    </w:p>
    <w:p w14:paraId="1A7276C4" w14:textId="77777777" w:rsidR="00560147" w:rsidRPr="004D58A4" w:rsidRDefault="00560147" w:rsidP="006D478D">
      <w:pPr>
        <w:pStyle w:val="Textonotapie"/>
        <w:ind w:firstLine="708"/>
        <w:jc w:val="both"/>
        <w:rPr>
          <w:rFonts w:ascii="Arial" w:hAnsi="Arial" w:cs="Arial"/>
          <w:color w:val="000000" w:themeColor="text1"/>
          <w:sz w:val="19"/>
          <w:szCs w:val="19"/>
        </w:rPr>
      </w:pPr>
    </w:p>
  </w:footnote>
  <w:footnote w:id="5">
    <w:p w14:paraId="41698710" w14:textId="05619042"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Ley 1150 de 2007: «Artículo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4A5161B4" w14:textId="5D699DB4" w:rsidR="00DA5C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 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w:t>
      </w:r>
      <w:r w:rsidRPr="004D58A4">
        <w:rPr>
          <w:rFonts w:ascii="Arial" w:hAnsi="Arial" w:cs="Arial"/>
          <w:color w:val="000000" w:themeColor="text1"/>
          <w:sz w:val="19"/>
          <w:szCs w:val="19"/>
        </w:rPr>
        <w:t xml:space="preserve">r la inscripción en el registro. </w:t>
      </w:r>
    </w:p>
    <w:p w14:paraId="343481C4" w14:textId="4AA75F48" w:rsidR="00560147" w:rsidRPr="004D58A4" w:rsidRDefault="00DA5C47"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 […]».</w:t>
      </w:r>
    </w:p>
    <w:p w14:paraId="5D631165" w14:textId="77777777" w:rsidR="00560147" w:rsidRPr="004D58A4" w:rsidRDefault="00560147" w:rsidP="006D478D">
      <w:pPr>
        <w:pStyle w:val="Textonotapie"/>
        <w:jc w:val="both"/>
        <w:rPr>
          <w:rFonts w:ascii="Arial" w:hAnsi="Arial" w:cs="Arial"/>
          <w:color w:val="000000" w:themeColor="text1"/>
          <w:sz w:val="19"/>
          <w:szCs w:val="19"/>
        </w:rPr>
      </w:pPr>
    </w:p>
  </w:footnote>
  <w:footnote w:id="6">
    <w:p w14:paraId="440E554A" w14:textId="482F7B64" w:rsidR="00560147" w:rsidRPr="004D58A4" w:rsidRDefault="00560147"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700391CC" w14:textId="1CECAE41" w:rsidR="00560147" w:rsidRPr="004D58A4" w:rsidRDefault="00780223"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1.    Si es una persona natural:</w:t>
      </w:r>
    </w:p>
    <w:p w14:paraId="53FD3D10" w14:textId="68018232" w:rsidR="00560147" w:rsidRPr="004D58A4" w:rsidRDefault="00780223"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»1</w:t>
      </w:r>
      <w:r w:rsidR="00560147" w:rsidRPr="004D58A4">
        <w:rPr>
          <w:rFonts w:ascii="Arial" w:hAnsi="Arial" w:cs="Arial"/>
          <w:color w:val="000000" w:themeColor="text1"/>
          <w:sz w:val="19"/>
          <w:szCs w:val="19"/>
        </w:rPr>
        <w:t>.1. Bienes, obras y servicios que ofrecerá a las Entidades Estatales, identificados con el Clasificador de Bienes y Servicios en el tercer nivel.</w:t>
      </w:r>
    </w:p>
    <w:p w14:paraId="1FDBC9D7" w14:textId="0CCEDD71" w:rsidR="00560147" w:rsidRPr="004D58A4" w:rsidRDefault="00780223"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r w:rsidR="00560147" w:rsidRPr="004D58A4">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p>
    <w:p w14:paraId="4DDAFBF8" w14:textId="77777777" w:rsidR="00560147" w:rsidRPr="004D58A4" w:rsidRDefault="00560147" w:rsidP="006D478D">
      <w:pPr>
        <w:pStyle w:val="Textonotapie"/>
        <w:ind w:firstLine="708"/>
        <w:jc w:val="both"/>
        <w:rPr>
          <w:rFonts w:ascii="Arial" w:hAnsi="Arial" w:cs="Arial"/>
          <w:color w:val="000000" w:themeColor="text1"/>
          <w:sz w:val="19"/>
          <w:szCs w:val="19"/>
        </w:rPr>
      </w:pPr>
    </w:p>
  </w:footnote>
  <w:footnote w:id="7">
    <w:p w14:paraId="5115F18C" w14:textId="4D1FE791" w:rsidR="008B0720" w:rsidRPr="004D58A4" w:rsidRDefault="008B0720"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009709B7" w:rsidRPr="004D58A4">
        <w:rPr>
          <w:rFonts w:ascii="Arial" w:hAnsi="Arial" w:cs="Arial"/>
          <w:color w:val="000000" w:themeColor="text1"/>
          <w:sz w:val="19"/>
          <w:szCs w:val="19"/>
        </w:rPr>
        <w:t xml:space="preserve"> </w:t>
      </w:r>
      <w:r w:rsidRPr="004D58A4">
        <w:rPr>
          <w:rFonts w:ascii="Arial" w:hAnsi="Arial" w:cs="Arial"/>
          <w:color w:val="000000" w:themeColor="text1"/>
          <w:sz w:val="19"/>
          <w:szCs w:val="19"/>
        </w:rPr>
        <w:t>Colombia Compra Eficiente, Manual para determinar y verificar requisitos habilitantes en los procesos de contratación: «La experiencia es el conocimiento del proponente derivado de su participación previa en actividades iguales o similares a las previstas en el objeto del contrato.</w:t>
      </w:r>
    </w:p>
    <w:p w14:paraId="51E07926"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 xml:space="preserve">»Los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w:t>
      </w:r>
    </w:p>
    <w:p w14:paraId="2B949939" w14:textId="77777777" w:rsidR="008B0720" w:rsidRPr="004D58A4" w:rsidRDefault="008B0720" w:rsidP="006D478D">
      <w:pPr>
        <w:pStyle w:val="Textonotapie"/>
        <w:jc w:val="both"/>
        <w:rPr>
          <w:rFonts w:ascii="Arial" w:hAnsi="Arial" w:cs="Arial"/>
          <w:color w:val="000000" w:themeColor="text1"/>
          <w:sz w:val="19"/>
          <w:szCs w:val="19"/>
        </w:rPr>
      </w:pPr>
      <w:r w:rsidRPr="004D58A4">
        <w:rPr>
          <w:rFonts w:ascii="Arial" w:hAnsi="Arial" w:cs="Arial"/>
          <w:color w:val="000000" w:themeColor="text1"/>
          <w:sz w:val="19"/>
          <w:szCs w:val="19"/>
        </w:rPr>
        <w:t>la participación en proponentes plurales. Esta experiencia se obtiene con contratantes públicos, privados, nacionales o extranjeros. No hay límite frente al número de contratos o a la fecha en la cual estos fueron celebrados.</w:t>
      </w:r>
    </w:p>
    <w:p w14:paraId="7EC6E131"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p>
    <w:p w14:paraId="2EBA0B90"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325A6968" w14:textId="77777777" w:rsidR="008B0720" w:rsidRPr="004D58A4" w:rsidRDefault="008B0720"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518A894E" w14:textId="77777777" w:rsidR="008B0720" w:rsidRPr="004D58A4" w:rsidRDefault="008B0720" w:rsidP="006D478D">
      <w:pPr>
        <w:pStyle w:val="Textonotapie"/>
        <w:jc w:val="both"/>
        <w:rPr>
          <w:rFonts w:ascii="Arial" w:hAnsi="Arial" w:cs="Arial"/>
          <w:color w:val="000000" w:themeColor="text1"/>
          <w:sz w:val="19"/>
          <w:szCs w:val="19"/>
        </w:rPr>
      </w:pPr>
    </w:p>
  </w:footnote>
  <w:footnote w:id="8">
    <w:p w14:paraId="4AC25CF6" w14:textId="77777777" w:rsidR="008B0720" w:rsidRPr="004D58A4" w:rsidRDefault="008B0720" w:rsidP="006D478D">
      <w:pPr>
        <w:pStyle w:val="Textonotapie"/>
        <w:ind w:firstLine="708"/>
        <w:jc w:val="both"/>
        <w:rPr>
          <w:rFonts w:ascii="Arial" w:hAnsi="Arial" w:cs="Arial"/>
          <w:color w:val="000000" w:themeColor="text1"/>
          <w:sz w:val="19"/>
          <w:szCs w:val="19"/>
          <w:lang w:val="es-CO"/>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Corte Constitucional. </w:t>
      </w:r>
      <w:r w:rsidRPr="004D58A4">
        <w:rPr>
          <w:rFonts w:ascii="Arial" w:hAnsi="Arial" w:cs="Arial"/>
          <w:color w:val="000000" w:themeColor="text1"/>
          <w:sz w:val="19"/>
          <w:szCs w:val="19"/>
          <w:lang w:val="es-CO"/>
        </w:rPr>
        <w:t xml:space="preserve">Sentencia C </w:t>
      </w:r>
      <w:r w:rsidRPr="004D58A4">
        <w:rPr>
          <w:rFonts w:ascii="Arial" w:eastAsia="Calibri" w:hAnsi="Arial" w:cs="Arial"/>
          <w:color w:val="000000" w:themeColor="text1"/>
          <w:sz w:val="19"/>
          <w:szCs w:val="19"/>
        </w:rPr>
        <w:t xml:space="preserve">― </w:t>
      </w:r>
      <w:r w:rsidRPr="004D58A4">
        <w:rPr>
          <w:rFonts w:ascii="Arial" w:hAnsi="Arial" w:cs="Arial"/>
          <w:color w:val="000000" w:themeColor="text1"/>
          <w:sz w:val="19"/>
          <w:szCs w:val="19"/>
          <w:lang w:val="es-CO"/>
        </w:rPr>
        <w:t xml:space="preserve">259 de 11 de marzo 2008. M.P. Jaime Córdoba Triviño. </w:t>
      </w:r>
    </w:p>
  </w:footnote>
  <w:footnote w:id="9">
    <w:p w14:paraId="373A38C6"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FA0D1C8"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p>
    <w:p w14:paraId="679CB4EE"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shd w:val="clear" w:color="auto" w:fill="FFFFFF"/>
        </w:rPr>
        <w:t>»2.1.   Bienes, obras y servicios que ofrecerá a las Entidades Estatales, identificados con el Clasificador de Bienes y Servicios en el tercer nivel</w:t>
      </w:r>
      <w:r w:rsidRPr="004D58A4">
        <w:rPr>
          <w:rFonts w:ascii="Arial" w:hAnsi="Arial" w:cs="Arial"/>
          <w:color w:val="000000" w:themeColor="text1"/>
          <w:sz w:val="19"/>
          <w:szCs w:val="19"/>
        </w:rPr>
        <w:t>»</w:t>
      </w:r>
      <w:r w:rsidRPr="004D58A4">
        <w:rPr>
          <w:rFonts w:ascii="Arial" w:hAnsi="Arial" w:cs="Arial"/>
          <w:color w:val="000000" w:themeColor="text1"/>
          <w:sz w:val="19"/>
          <w:szCs w:val="19"/>
          <w:shd w:val="clear" w:color="auto" w:fill="FFFFFF"/>
        </w:rPr>
        <w:t>.</w:t>
      </w:r>
    </w:p>
    <w:p w14:paraId="01D5EF0C" w14:textId="77777777" w:rsidR="00DA23DB" w:rsidRPr="004D58A4" w:rsidRDefault="00DA23DB" w:rsidP="006D478D">
      <w:pPr>
        <w:pStyle w:val="Textonotapie"/>
        <w:ind w:firstLine="708"/>
        <w:jc w:val="both"/>
        <w:rPr>
          <w:rFonts w:ascii="Arial" w:hAnsi="Arial" w:cs="Arial"/>
          <w:color w:val="000000" w:themeColor="text1"/>
          <w:sz w:val="19"/>
          <w:szCs w:val="19"/>
          <w:lang w:val="es-CO"/>
        </w:rPr>
      </w:pPr>
    </w:p>
  </w:footnote>
  <w:footnote w:id="10">
    <w:p w14:paraId="07405802"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Style w:val="Refdenotaalpie"/>
          <w:rFonts w:ascii="Arial" w:hAnsi="Arial" w:cs="Arial"/>
          <w:color w:val="000000" w:themeColor="text1"/>
          <w:sz w:val="19"/>
          <w:szCs w:val="19"/>
        </w:rPr>
        <w:footnoteRef/>
      </w:r>
      <w:r w:rsidRPr="004D58A4">
        <w:rPr>
          <w:rFonts w:ascii="Arial" w:hAnsi="Arial" w:cs="Arial"/>
          <w:color w:val="000000" w:themeColor="text1"/>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A7D047E"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rPr>
        <w:t>[…]</w:t>
      </w:r>
    </w:p>
    <w:p w14:paraId="39223659" w14:textId="77777777" w:rsidR="00DA23DB" w:rsidRPr="004D58A4" w:rsidRDefault="00DA23DB" w:rsidP="006D478D">
      <w:pPr>
        <w:pStyle w:val="Textonotapie"/>
        <w:ind w:firstLine="708"/>
        <w:jc w:val="both"/>
        <w:rPr>
          <w:rFonts w:ascii="Arial" w:hAnsi="Arial" w:cs="Arial"/>
          <w:color w:val="000000" w:themeColor="text1"/>
          <w:sz w:val="19"/>
          <w:szCs w:val="19"/>
          <w:shd w:val="clear" w:color="auto" w:fill="FFFFFF"/>
        </w:rPr>
      </w:pPr>
      <w:r w:rsidRPr="004D58A4">
        <w:rPr>
          <w:rFonts w:ascii="Arial" w:hAnsi="Arial" w:cs="Arial"/>
          <w:color w:val="000000" w:themeColor="text1"/>
          <w:sz w:val="19"/>
          <w:szCs w:val="19"/>
          <w:shd w:val="clear" w:color="auto" w:fill="FFFFFF"/>
        </w:rPr>
        <w:t xml:space="preserve">»2.5.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w:t>
      </w:r>
    </w:p>
    <w:p w14:paraId="708BC40E" w14:textId="77777777" w:rsidR="00DA23DB" w:rsidRPr="004D58A4" w:rsidRDefault="00DA23DB" w:rsidP="006D478D">
      <w:pPr>
        <w:pStyle w:val="Textonotapie"/>
        <w:ind w:firstLine="708"/>
        <w:jc w:val="both"/>
        <w:rPr>
          <w:rFonts w:ascii="Arial" w:hAnsi="Arial" w:cs="Arial"/>
          <w:color w:val="000000" w:themeColor="text1"/>
          <w:sz w:val="19"/>
          <w:szCs w:val="19"/>
        </w:rPr>
      </w:pPr>
      <w:r w:rsidRPr="004D58A4">
        <w:rPr>
          <w:rFonts w:ascii="Arial" w:hAnsi="Arial" w:cs="Arial"/>
          <w:color w:val="000000" w:themeColor="text1"/>
          <w:sz w:val="19"/>
          <w:szCs w:val="19"/>
          <w:shd w:val="clear" w:color="auto" w:fill="FFFFFF"/>
        </w:rPr>
        <w:t>interesado no puede obtener tal certificado. El interesado debe indicar en cada certificado o en cada copia de los contratos, los bienes, obras y servicios a los cuales corresponde la experiencia que pretende acreditar, identificándolos con el Clasi</w:t>
      </w:r>
      <w:r w:rsidRPr="004D58A4">
        <w:rPr>
          <w:rFonts w:ascii="Arial" w:hAnsi="Arial" w:cs="Arial"/>
          <w:color w:val="000000" w:themeColor="text1"/>
          <w:sz w:val="19"/>
          <w:szCs w:val="19"/>
          <w:shd w:val="clear" w:color="auto" w:fill="FFFFFF"/>
        </w:rPr>
        <w:softHyphen/>
        <w:t>ficador de Bienes y Servicios en el tercer nivel. Si la constitución del interesado es menor a 3 años, puede acreditar la experiencia de sus accionistas, socios o constituyentes</w:t>
      </w:r>
      <w:r w:rsidRPr="004D58A4">
        <w:rPr>
          <w:rFonts w:ascii="Arial" w:hAnsi="Arial" w:cs="Arial"/>
          <w:color w:val="000000" w:themeColor="text1"/>
          <w:sz w:val="19"/>
          <w:szCs w:val="19"/>
        </w:rPr>
        <w:t>».</w:t>
      </w:r>
    </w:p>
    <w:p w14:paraId="3CED311E" w14:textId="77777777" w:rsidR="00DA23DB" w:rsidRPr="004D58A4" w:rsidRDefault="00DA23DB" w:rsidP="006D478D">
      <w:pPr>
        <w:pStyle w:val="Textonotapie"/>
        <w:ind w:firstLine="708"/>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60147" w:rsidRDefault="00560147">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70E765A"/>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8845DCA"/>
    <w:multiLevelType w:val="hybridMultilevel"/>
    <w:tmpl w:val="876CBF54"/>
    <w:lvl w:ilvl="0" w:tplc="97B8EFAE">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671F8A"/>
    <w:multiLevelType w:val="hybridMultilevel"/>
    <w:tmpl w:val="B958F672"/>
    <w:lvl w:ilvl="0" w:tplc="D9D45C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5"/>
  </w:num>
  <w:num w:numId="4">
    <w:abstractNumId w:val="6"/>
  </w:num>
  <w:num w:numId="5">
    <w:abstractNumId w:val="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7BA0"/>
    <w:rsid w:val="00020441"/>
    <w:rsid w:val="00030BF5"/>
    <w:rsid w:val="00084B97"/>
    <w:rsid w:val="00085D81"/>
    <w:rsid w:val="00087955"/>
    <w:rsid w:val="000942EB"/>
    <w:rsid w:val="000A055B"/>
    <w:rsid w:val="000B103F"/>
    <w:rsid w:val="000C5BE9"/>
    <w:rsid w:val="000C7B89"/>
    <w:rsid w:val="000D2C15"/>
    <w:rsid w:val="000D6E16"/>
    <w:rsid w:val="000E345B"/>
    <w:rsid w:val="000F14E8"/>
    <w:rsid w:val="000F5060"/>
    <w:rsid w:val="00103915"/>
    <w:rsid w:val="00104DFA"/>
    <w:rsid w:val="001127DA"/>
    <w:rsid w:val="00116AB5"/>
    <w:rsid w:val="001215D3"/>
    <w:rsid w:val="00121D82"/>
    <w:rsid w:val="00122B23"/>
    <w:rsid w:val="00134EE1"/>
    <w:rsid w:val="001370F9"/>
    <w:rsid w:val="00137FFA"/>
    <w:rsid w:val="001421D9"/>
    <w:rsid w:val="001467B3"/>
    <w:rsid w:val="001477A5"/>
    <w:rsid w:val="001540F3"/>
    <w:rsid w:val="0019378B"/>
    <w:rsid w:val="001A21E3"/>
    <w:rsid w:val="001A5D9D"/>
    <w:rsid w:val="001B0444"/>
    <w:rsid w:val="001B0FFB"/>
    <w:rsid w:val="001C4DFD"/>
    <w:rsid w:val="001D586A"/>
    <w:rsid w:val="001E229D"/>
    <w:rsid w:val="001E7A7B"/>
    <w:rsid w:val="001F3B67"/>
    <w:rsid w:val="001F4991"/>
    <w:rsid w:val="0020632A"/>
    <w:rsid w:val="002110EB"/>
    <w:rsid w:val="00211338"/>
    <w:rsid w:val="0021583F"/>
    <w:rsid w:val="00224319"/>
    <w:rsid w:val="00234B84"/>
    <w:rsid w:val="002356D9"/>
    <w:rsid w:val="00236D5C"/>
    <w:rsid w:val="00241CA2"/>
    <w:rsid w:val="00242CE3"/>
    <w:rsid w:val="00247B09"/>
    <w:rsid w:val="00261D58"/>
    <w:rsid w:val="00290227"/>
    <w:rsid w:val="002938A9"/>
    <w:rsid w:val="002A26DD"/>
    <w:rsid w:val="002A48C2"/>
    <w:rsid w:val="002B128E"/>
    <w:rsid w:val="002C40EB"/>
    <w:rsid w:val="002C4C0C"/>
    <w:rsid w:val="002D1466"/>
    <w:rsid w:val="002D3025"/>
    <w:rsid w:val="002D5AB6"/>
    <w:rsid w:val="002D6F6E"/>
    <w:rsid w:val="003033BA"/>
    <w:rsid w:val="00315B3D"/>
    <w:rsid w:val="0032180D"/>
    <w:rsid w:val="00322937"/>
    <w:rsid w:val="0033307C"/>
    <w:rsid w:val="00336B89"/>
    <w:rsid w:val="00340A4D"/>
    <w:rsid w:val="0034177C"/>
    <w:rsid w:val="0034680A"/>
    <w:rsid w:val="0035094E"/>
    <w:rsid w:val="00353DD5"/>
    <w:rsid w:val="00354ABB"/>
    <w:rsid w:val="003557F9"/>
    <w:rsid w:val="00384A8C"/>
    <w:rsid w:val="00386456"/>
    <w:rsid w:val="00390405"/>
    <w:rsid w:val="003A0878"/>
    <w:rsid w:val="003A27D9"/>
    <w:rsid w:val="003A3A09"/>
    <w:rsid w:val="003A44BF"/>
    <w:rsid w:val="003A581E"/>
    <w:rsid w:val="003C657E"/>
    <w:rsid w:val="003C66C5"/>
    <w:rsid w:val="003D3F05"/>
    <w:rsid w:val="003E19BD"/>
    <w:rsid w:val="00400F44"/>
    <w:rsid w:val="004141CB"/>
    <w:rsid w:val="00414AD7"/>
    <w:rsid w:val="004202F3"/>
    <w:rsid w:val="004233A7"/>
    <w:rsid w:val="004237D3"/>
    <w:rsid w:val="00423F9F"/>
    <w:rsid w:val="00425776"/>
    <w:rsid w:val="00430473"/>
    <w:rsid w:val="004422D6"/>
    <w:rsid w:val="00442D24"/>
    <w:rsid w:val="00445C85"/>
    <w:rsid w:val="00453F59"/>
    <w:rsid w:val="0047298C"/>
    <w:rsid w:val="00475DDA"/>
    <w:rsid w:val="0049241A"/>
    <w:rsid w:val="00495590"/>
    <w:rsid w:val="00496148"/>
    <w:rsid w:val="00496AB0"/>
    <w:rsid w:val="004A34D2"/>
    <w:rsid w:val="004A69B7"/>
    <w:rsid w:val="004A6F32"/>
    <w:rsid w:val="004B29D7"/>
    <w:rsid w:val="004B4540"/>
    <w:rsid w:val="004B6465"/>
    <w:rsid w:val="004C029B"/>
    <w:rsid w:val="004D58A4"/>
    <w:rsid w:val="004D6343"/>
    <w:rsid w:val="004F5271"/>
    <w:rsid w:val="0050403E"/>
    <w:rsid w:val="0051074C"/>
    <w:rsid w:val="00513AF2"/>
    <w:rsid w:val="0053038F"/>
    <w:rsid w:val="00534B0A"/>
    <w:rsid w:val="00540DF9"/>
    <w:rsid w:val="0054413A"/>
    <w:rsid w:val="005564CA"/>
    <w:rsid w:val="00560147"/>
    <w:rsid w:val="0056182B"/>
    <w:rsid w:val="00564B87"/>
    <w:rsid w:val="005756AA"/>
    <w:rsid w:val="00590AB7"/>
    <w:rsid w:val="005A41AA"/>
    <w:rsid w:val="005A507F"/>
    <w:rsid w:val="005B7550"/>
    <w:rsid w:val="005C7C14"/>
    <w:rsid w:val="005D51FA"/>
    <w:rsid w:val="005D791B"/>
    <w:rsid w:val="005D7F2B"/>
    <w:rsid w:val="005F47B1"/>
    <w:rsid w:val="00601414"/>
    <w:rsid w:val="00602A89"/>
    <w:rsid w:val="00614817"/>
    <w:rsid w:val="00615A0B"/>
    <w:rsid w:val="00617C23"/>
    <w:rsid w:val="006250FE"/>
    <w:rsid w:val="00633DBF"/>
    <w:rsid w:val="00634A2A"/>
    <w:rsid w:val="0063643E"/>
    <w:rsid w:val="0064300C"/>
    <w:rsid w:val="00655371"/>
    <w:rsid w:val="00655904"/>
    <w:rsid w:val="00677888"/>
    <w:rsid w:val="006819EE"/>
    <w:rsid w:val="0069632F"/>
    <w:rsid w:val="00697665"/>
    <w:rsid w:val="006A4C1A"/>
    <w:rsid w:val="006A7CB5"/>
    <w:rsid w:val="006A7FD0"/>
    <w:rsid w:val="006B38CC"/>
    <w:rsid w:val="006C10B1"/>
    <w:rsid w:val="006C11B8"/>
    <w:rsid w:val="006C28A0"/>
    <w:rsid w:val="006D478D"/>
    <w:rsid w:val="006D7687"/>
    <w:rsid w:val="006E0572"/>
    <w:rsid w:val="006E47A2"/>
    <w:rsid w:val="006F1068"/>
    <w:rsid w:val="006F1595"/>
    <w:rsid w:val="006F21A6"/>
    <w:rsid w:val="006F4C35"/>
    <w:rsid w:val="00702F65"/>
    <w:rsid w:val="00705631"/>
    <w:rsid w:val="007061E5"/>
    <w:rsid w:val="00711CA6"/>
    <w:rsid w:val="00715EAA"/>
    <w:rsid w:val="00721013"/>
    <w:rsid w:val="0072620C"/>
    <w:rsid w:val="00726482"/>
    <w:rsid w:val="00742DD2"/>
    <w:rsid w:val="00746E08"/>
    <w:rsid w:val="00747C96"/>
    <w:rsid w:val="0075094E"/>
    <w:rsid w:val="007522E8"/>
    <w:rsid w:val="00754D2B"/>
    <w:rsid w:val="007558E5"/>
    <w:rsid w:val="0075647A"/>
    <w:rsid w:val="00761F85"/>
    <w:rsid w:val="007634AD"/>
    <w:rsid w:val="00765B1B"/>
    <w:rsid w:val="00780223"/>
    <w:rsid w:val="0078122E"/>
    <w:rsid w:val="007843E9"/>
    <w:rsid w:val="00795647"/>
    <w:rsid w:val="007B0854"/>
    <w:rsid w:val="007C0569"/>
    <w:rsid w:val="007D5F39"/>
    <w:rsid w:val="007E2A3D"/>
    <w:rsid w:val="007E2F6D"/>
    <w:rsid w:val="007F45ED"/>
    <w:rsid w:val="007F6B46"/>
    <w:rsid w:val="007F7227"/>
    <w:rsid w:val="007F72CB"/>
    <w:rsid w:val="008015A9"/>
    <w:rsid w:val="00815A64"/>
    <w:rsid w:val="008217B7"/>
    <w:rsid w:val="008305BD"/>
    <w:rsid w:val="0083119B"/>
    <w:rsid w:val="00834F2E"/>
    <w:rsid w:val="00836EAB"/>
    <w:rsid w:val="00841FD2"/>
    <w:rsid w:val="00842A04"/>
    <w:rsid w:val="0084660A"/>
    <w:rsid w:val="0085047F"/>
    <w:rsid w:val="0085092D"/>
    <w:rsid w:val="00850F79"/>
    <w:rsid w:val="00854D9C"/>
    <w:rsid w:val="008637AD"/>
    <w:rsid w:val="00864800"/>
    <w:rsid w:val="00885025"/>
    <w:rsid w:val="00887347"/>
    <w:rsid w:val="0089774F"/>
    <w:rsid w:val="008A2025"/>
    <w:rsid w:val="008B0720"/>
    <w:rsid w:val="008B3DC3"/>
    <w:rsid w:val="008B6C3E"/>
    <w:rsid w:val="008C35A2"/>
    <w:rsid w:val="008C6F1E"/>
    <w:rsid w:val="008E1C15"/>
    <w:rsid w:val="008F0344"/>
    <w:rsid w:val="008F4BBA"/>
    <w:rsid w:val="008F538E"/>
    <w:rsid w:val="009047C5"/>
    <w:rsid w:val="00911F2C"/>
    <w:rsid w:val="00936F9C"/>
    <w:rsid w:val="0095385A"/>
    <w:rsid w:val="00965ED6"/>
    <w:rsid w:val="009709B7"/>
    <w:rsid w:val="00993DC2"/>
    <w:rsid w:val="00994A03"/>
    <w:rsid w:val="009B0496"/>
    <w:rsid w:val="009C16BC"/>
    <w:rsid w:val="009C1C08"/>
    <w:rsid w:val="009D270F"/>
    <w:rsid w:val="009E15AC"/>
    <w:rsid w:val="009F1F65"/>
    <w:rsid w:val="009F294E"/>
    <w:rsid w:val="009F59C2"/>
    <w:rsid w:val="009F67A3"/>
    <w:rsid w:val="009F773B"/>
    <w:rsid w:val="00A012AD"/>
    <w:rsid w:val="00A02E64"/>
    <w:rsid w:val="00A0405E"/>
    <w:rsid w:val="00A13407"/>
    <w:rsid w:val="00A13437"/>
    <w:rsid w:val="00A13F54"/>
    <w:rsid w:val="00A16DE4"/>
    <w:rsid w:val="00A24560"/>
    <w:rsid w:val="00A25B36"/>
    <w:rsid w:val="00A302BB"/>
    <w:rsid w:val="00A32BD5"/>
    <w:rsid w:val="00A34538"/>
    <w:rsid w:val="00A37FB6"/>
    <w:rsid w:val="00A41034"/>
    <w:rsid w:val="00A42B53"/>
    <w:rsid w:val="00A51D72"/>
    <w:rsid w:val="00A6240A"/>
    <w:rsid w:val="00A64726"/>
    <w:rsid w:val="00A75F07"/>
    <w:rsid w:val="00A82284"/>
    <w:rsid w:val="00A82FDF"/>
    <w:rsid w:val="00A84A7F"/>
    <w:rsid w:val="00A97435"/>
    <w:rsid w:val="00AA08E7"/>
    <w:rsid w:val="00AA442B"/>
    <w:rsid w:val="00AA669D"/>
    <w:rsid w:val="00AB13DC"/>
    <w:rsid w:val="00AC411A"/>
    <w:rsid w:val="00AD1AE4"/>
    <w:rsid w:val="00AD1B0F"/>
    <w:rsid w:val="00AE4A81"/>
    <w:rsid w:val="00AF0EB4"/>
    <w:rsid w:val="00AF710E"/>
    <w:rsid w:val="00B13EC0"/>
    <w:rsid w:val="00B13EC4"/>
    <w:rsid w:val="00B16584"/>
    <w:rsid w:val="00B22E22"/>
    <w:rsid w:val="00B2564A"/>
    <w:rsid w:val="00B31D85"/>
    <w:rsid w:val="00B36769"/>
    <w:rsid w:val="00B525CB"/>
    <w:rsid w:val="00B63872"/>
    <w:rsid w:val="00B63CB2"/>
    <w:rsid w:val="00B64EDB"/>
    <w:rsid w:val="00B67884"/>
    <w:rsid w:val="00B7315F"/>
    <w:rsid w:val="00B7754B"/>
    <w:rsid w:val="00B91B8E"/>
    <w:rsid w:val="00BA6A67"/>
    <w:rsid w:val="00BD78FE"/>
    <w:rsid w:val="00BE6F12"/>
    <w:rsid w:val="00BF000A"/>
    <w:rsid w:val="00BF5A02"/>
    <w:rsid w:val="00C1780C"/>
    <w:rsid w:val="00C2112D"/>
    <w:rsid w:val="00C24589"/>
    <w:rsid w:val="00C27BE7"/>
    <w:rsid w:val="00C3240C"/>
    <w:rsid w:val="00C32D37"/>
    <w:rsid w:val="00C37664"/>
    <w:rsid w:val="00C54347"/>
    <w:rsid w:val="00C55B15"/>
    <w:rsid w:val="00C56F7B"/>
    <w:rsid w:val="00C6125D"/>
    <w:rsid w:val="00C81089"/>
    <w:rsid w:val="00C822B8"/>
    <w:rsid w:val="00C874F1"/>
    <w:rsid w:val="00C93025"/>
    <w:rsid w:val="00C96EF8"/>
    <w:rsid w:val="00CB5556"/>
    <w:rsid w:val="00CB6445"/>
    <w:rsid w:val="00CC00CD"/>
    <w:rsid w:val="00CC722B"/>
    <w:rsid w:val="00CD2774"/>
    <w:rsid w:val="00CD3C38"/>
    <w:rsid w:val="00CD54AB"/>
    <w:rsid w:val="00CE0AEC"/>
    <w:rsid w:val="00CE3329"/>
    <w:rsid w:val="00D01760"/>
    <w:rsid w:val="00D16E39"/>
    <w:rsid w:val="00D223B6"/>
    <w:rsid w:val="00D40985"/>
    <w:rsid w:val="00D43E86"/>
    <w:rsid w:val="00D4701E"/>
    <w:rsid w:val="00D60327"/>
    <w:rsid w:val="00D67001"/>
    <w:rsid w:val="00D72E9D"/>
    <w:rsid w:val="00D75C60"/>
    <w:rsid w:val="00D80A14"/>
    <w:rsid w:val="00D82CE5"/>
    <w:rsid w:val="00DA23DB"/>
    <w:rsid w:val="00DA5AB1"/>
    <w:rsid w:val="00DA5C47"/>
    <w:rsid w:val="00DB201F"/>
    <w:rsid w:val="00DB22BC"/>
    <w:rsid w:val="00DB37B0"/>
    <w:rsid w:val="00DB4F3B"/>
    <w:rsid w:val="00DC62E5"/>
    <w:rsid w:val="00DD735D"/>
    <w:rsid w:val="00DE3119"/>
    <w:rsid w:val="00DF236B"/>
    <w:rsid w:val="00E02B77"/>
    <w:rsid w:val="00E11604"/>
    <w:rsid w:val="00E13AB8"/>
    <w:rsid w:val="00E25CB3"/>
    <w:rsid w:val="00E273BC"/>
    <w:rsid w:val="00E2785A"/>
    <w:rsid w:val="00E3158C"/>
    <w:rsid w:val="00E33B62"/>
    <w:rsid w:val="00E36114"/>
    <w:rsid w:val="00E4143A"/>
    <w:rsid w:val="00E41DF1"/>
    <w:rsid w:val="00E43AB1"/>
    <w:rsid w:val="00E448E2"/>
    <w:rsid w:val="00E61F99"/>
    <w:rsid w:val="00E6565C"/>
    <w:rsid w:val="00E73F2D"/>
    <w:rsid w:val="00E82689"/>
    <w:rsid w:val="00E912A7"/>
    <w:rsid w:val="00E95AD1"/>
    <w:rsid w:val="00E97DF3"/>
    <w:rsid w:val="00EB4232"/>
    <w:rsid w:val="00EB526A"/>
    <w:rsid w:val="00EC3F12"/>
    <w:rsid w:val="00EE32AB"/>
    <w:rsid w:val="00EE3EBB"/>
    <w:rsid w:val="00EE59B5"/>
    <w:rsid w:val="00EE635B"/>
    <w:rsid w:val="00EF08C1"/>
    <w:rsid w:val="00EF4601"/>
    <w:rsid w:val="00EF5AC9"/>
    <w:rsid w:val="00EF79E1"/>
    <w:rsid w:val="00F3643D"/>
    <w:rsid w:val="00F4560B"/>
    <w:rsid w:val="00F4797F"/>
    <w:rsid w:val="00F61F29"/>
    <w:rsid w:val="00F72C2F"/>
    <w:rsid w:val="00F772DF"/>
    <w:rsid w:val="00F84899"/>
    <w:rsid w:val="00F84E70"/>
    <w:rsid w:val="00F859F0"/>
    <w:rsid w:val="00F85B65"/>
    <w:rsid w:val="00F93FC0"/>
    <w:rsid w:val="00F94C9C"/>
    <w:rsid w:val="00FA3E37"/>
    <w:rsid w:val="00FA46A4"/>
    <w:rsid w:val="00FB6FB9"/>
    <w:rsid w:val="00FE141E"/>
    <w:rsid w:val="00FE1858"/>
    <w:rsid w:val="00FE2CB8"/>
    <w:rsid w:val="00FE42ED"/>
    <w:rsid w:val="00FE6086"/>
    <w:rsid w:val="00FF28DC"/>
    <w:rsid w:val="00FF5407"/>
    <w:rsid w:val="0880C7F2"/>
    <w:rsid w:val="38BEAF07"/>
    <w:rsid w:val="3B1FEA05"/>
    <w:rsid w:val="439CCC47"/>
    <w:rsid w:val="485FE2CF"/>
    <w:rsid w:val="5A12E13A"/>
    <w:rsid w:val="66FBDA0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2F3"/>
    <w:pPr>
      <w:spacing w:after="0" w:line="240" w:lineRule="auto"/>
    </w:pPr>
    <w:rPr>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33A7"/>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564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90323139">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6157009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2852235">
      <w:bodyDiv w:val="1"/>
      <w:marLeft w:val="0"/>
      <w:marRight w:val="0"/>
      <w:marTop w:val="0"/>
      <w:marBottom w:val="0"/>
      <w:divBdr>
        <w:top w:val="none" w:sz="0" w:space="0" w:color="auto"/>
        <w:left w:val="none" w:sz="0" w:space="0" w:color="auto"/>
        <w:bottom w:val="none" w:sz="0" w:space="0" w:color="auto"/>
        <w:right w:val="none" w:sz="0" w:space="0" w:color="auto"/>
      </w:divBdr>
    </w:div>
    <w:div w:id="327026218">
      <w:bodyDiv w:val="1"/>
      <w:marLeft w:val="0"/>
      <w:marRight w:val="0"/>
      <w:marTop w:val="0"/>
      <w:marBottom w:val="0"/>
      <w:divBdr>
        <w:top w:val="none" w:sz="0" w:space="0" w:color="auto"/>
        <w:left w:val="none" w:sz="0" w:space="0" w:color="auto"/>
        <w:bottom w:val="none" w:sz="0" w:space="0" w:color="auto"/>
        <w:right w:val="none" w:sz="0" w:space="0" w:color="auto"/>
      </w:divBdr>
    </w:div>
    <w:div w:id="454522193">
      <w:bodyDiv w:val="1"/>
      <w:marLeft w:val="0"/>
      <w:marRight w:val="0"/>
      <w:marTop w:val="0"/>
      <w:marBottom w:val="0"/>
      <w:divBdr>
        <w:top w:val="none" w:sz="0" w:space="0" w:color="auto"/>
        <w:left w:val="none" w:sz="0" w:space="0" w:color="auto"/>
        <w:bottom w:val="none" w:sz="0" w:space="0" w:color="auto"/>
        <w:right w:val="none" w:sz="0" w:space="0" w:color="auto"/>
      </w:divBdr>
    </w:div>
    <w:div w:id="902641123">
      <w:bodyDiv w:val="1"/>
      <w:marLeft w:val="0"/>
      <w:marRight w:val="0"/>
      <w:marTop w:val="0"/>
      <w:marBottom w:val="0"/>
      <w:divBdr>
        <w:top w:val="none" w:sz="0" w:space="0" w:color="auto"/>
        <w:left w:val="none" w:sz="0" w:space="0" w:color="auto"/>
        <w:bottom w:val="none" w:sz="0" w:space="0" w:color="auto"/>
        <w:right w:val="none" w:sz="0" w:space="0" w:color="auto"/>
      </w:divBdr>
    </w:div>
    <w:div w:id="1156729055">
      <w:bodyDiv w:val="1"/>
      <w:marLeft w:val="0"/>
      <w:marRight w:val="0"/>
      <w:marTop w:val="0"/>
      <w:marBottom w:val="0"/>
      <w:divBdr>
        <w:top w:val="none" w:sz="0" w:space="0" w:color="auto"/>
        <w:left w:val="none" w:sz="0" w:space="0" w:color="auto"/>
        <w:bottom w:val="none" w:sz="0" w:space="0" w:color="auto"/>
        <w:right w:val="none" w:sz="0" w:space="0" w:color="auto"/>
      </w:divBdr>
    </w:div>
    <w:div w:id="1285038381">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201001884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626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982408-3E06-4B97-80B4-C77FE94B74E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B4F1605-3487-4C78-8738-BC0221C4DC46}">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E16F287B-9A9B-4D52-AEA4-6F4CDF0EE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11</Pages>
  <Words>3871</Words>
  <Characters>21292</Characters>
  <Application>Microsoft Office Word</Application>
  <DocSecurity>0</DocSecurity>
  <Lines>177</Lines>
  <Paragraphs>50</Paragraphs>
  <ScaleCrop>false</ScaleCrop>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cp:lastPrinted>2020-03-05T11:15:00Z</cp:lastPrinted>
  <dcterms:created xsi:type="dcterms:W3CDTF">2020-07-07T19:42:00Z</dcterms:created>
  <dcterms:modified xsi:type="dcterms:W3CDTF">2020-08-06T19:06:00Z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