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D606A5"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D606A5">
        <w:rPr>
          <w:rFonts w:ascii="Arial" w:hAnsi="Arial" w:cs="Arial"/>
          <w:b/>
          <w:color w:val="000000" w:themeColor="text1"/>
          <w:sz w:val="16"/>
          <w:szCs w:val="16"/>
          <w:lang w:eastAsia="es-ES"/>
        </w:rPr>
        <w:t>CCE-DES-FM-17</w:t>
      </w:r>
    </w:p>
    <w:p w14:paraId="25784C1D" w14:textId="77777777" w:rsidR="00BE1E33" w:rsidRPr="00124C22" w:rsidRDefault="00BE1E33" w:rsidP="00BE1E33">
      <w:pPr>
        <w:jc w:val="both"/>
        <w:rPr>
          <w:rFonts w:ascii="Arial" w:eastAsia="Calibri" w:hAnsi="Arial" w:cs="Arial"/>
          <w:b/>
          <w:color w:val="000000" w:themeColor="text1"/>
          <w:sz w:val="16"/>
          <w:szCs w:val="16"/>
        </w:rPr>
      </w:pPr>
    </w:p>
    <w:p w14:paraId="5461E4A9" w14:textId="59CA80C2" w:rsidR="005C38A3" w:rsidRPr="00F666D0" w:rsidRDefault="005C38A3" w:rsidP="005C38A3">
      <w:pPr>
        <w:jc w:val="both"/>
        <w:rPr>
          <w:rFonts w:ascii="Arial" w:eastAsia="Calibri" w:hAnsi="Arial" w:cs="Arial"/>
          <w:b/>
          <w:bCs/>
          <w:color w:val="000000" w:themeColor="text1"/>
          <w:sz w:val="22"/>
        </w:rPr>
      </w:pPr>
      <w:bookmarkStart w:id="2" w:name="_Hlk43657288"/>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Noción</w:t>
      </w:r>
    </w:p>
    <w:p w14:paraId="4A8E1CCF" w14:textId="77777777" w:rsidR="005C38A3" w:rsidRPr="00F666D0" w:rsidRDefault="005C38A3" w:rsidP="005C38A3">
      <w:pPr>
        <w:jc w:val="both"/>
        <w:rPr>
          <w:rFonts w:ascii="Arial" w:eastAsia="Calibri" w:hAnsi="Arial" w:cs="Arial"/>
          <w:b/>
          <w:bCs/>
          <w:color w:val="000000" w:themeColor="text1"/>
          <w:sz w:val="20"/>
          <w:szCs w:val="20"/>
        </w:rPr>
      </w:pPr>
    </w:p>
    <w:p w14:paraId="48F3FCE0" w14:textId="77777777" w:rsidR="005C38A3" w:rsidRPr="00F666D0" w:rsidRDefault="005C38A3" w:rsidP="005C38A3">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El concurso de méritos es una modalidad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establecido en el artículo 32, numeral 2, de la Ley 80 de 1993 .</w:t>
      </w:r>
    </w:p>
    <w:p w14:paraId="533908BF" w14:textId="77777777" w:rsidR="005C38A3" w:rsidRPr="00F666D0" w:rsidRDefault="005C38A3" w:rsidP="005C38A3">
      <w:pPr>
        <w:jc w:val="both"/>
        <w:rPr>
          <w:rFonts w:ascii="Arial" w:eastAsia="Calibri" w:hAnsi="Arial" w:cs="Arial"/>
          <w:color w:val="000000" w:themeColor="text1"/>
          <w:sz w:val="20"/>
          <w:szCs w:val="20"/>
          <w:lang w:val="es-ES"/>
        </w:rPr>
      </w:pPr>
    </w:p>
    <w:p w14:paraId="4E116C64" w14:textId="48BA7DEC" w:rsidR="005C38A3" w:rsidRPr="00F666D0" w:rsidRDefault="005C38A3" w:rsidP="005C38A3">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Modalidades </w:t>
      </w:r>
    </w:p>
    <w:p w14:paraId="0D780C7A" w14:textId="77777777" w:rsidR="005C38A3" w:rsidRPr="00F666D0" w:rsidRDefault="005C38A3" w:rsidP="005C38A3">
      <w:pPr>
        <w:jc w:val="both"/>
        <w:rPr>
          <w:rFonts w:ascii="Arial" w:eastAsia="Calibri" w:hAnsi="Arial" w:cs="Arial"/>
          <w:b/>
          <w:bCs/>
          <w:color w:val="000000" w:themeColor="text1"/>
          <w:sz w:val="20"/>
          <w:szCs w:val="20"/>
        </w:rPr>
      </w:pPr>
    </w:p>
    <w:p w14:paraId="5183571F" w14:textId="77777777" w:rsidR="005C38A3" w:rsidRPr="00F666D0" w:rsidRDefault="005C38A3" w:rsidP="005C38A3">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 xml:space="preserve">El Libro 2, Parte 2, Título 1, Capítulo 2, Sección 1, Subsección 3 del Decreto 1082 de 2015 regula el concurso de méritos. Allí se establecen sus distintas modalidades: i) concurso de méritos abierto o sin precalificación, </w:t>
      </w:r>
      <w:proofErr w:type="spellStart"/>
      <w:r w:rsidRPr="00F666D0">
        <w:rPr>
          <w:rFonts w:ascii="Arial" w:eastAsia="Calibri" w:hAnsi="Arial" w:cs="Arial"/>
          <w:color w:val="000000" w:themeColor="text1"/>
          <w:sz w:val="20"/>
          <w:szCs w:val="20"/>
          <w:lang w:val="es-ES"/>
        </w:rPr>
        <w:t>ii</w:t>
      </w:r>
      <w:proofErr w:type="spellEnd"/>
      <w:r w:rsidRPr="00F666D0">
        <w:rPr>
          <w:rFonts w:ascii="Arial" w:eastAsia="Calibri" w:hAnsi="Arial" w:cs="Arial"/>
          <w:color w:val="000000" w:themeColor="text1"/>
          <w:sz w:val="20"/>
          <w:szCs w:val="20"/>
          <w:lang w:val="es-ES"/>
        </w:rPr>
        <w:t xml:space="preserve">) concurso de méritos cerrado o con precalificación y </w:t>
      </w:r>
      <w:proofErr w:type="spellStart"/>
      <w:r w:rsidRPr="00F666D0">
        <w:rPr>
          <w:rFonts w:ascii="Arial" w:eastAsia="Calibri" w:hAnsi="Arial" w:cs="Arial"/>
          <w:color w:val="000000" w:themeColor="text1"/>
          <w:sz w:val="20"/>
          <w:szCs w:val="20"/>
          <w:lang w:val="es-ES"/>
        </w:rPr>
        <w:t>iii</w:t>
      </w:r>
      <w:proofErr w:type="spellEnd"/>
      <w:r w:rsidRPr="00F666D0">
        <w:rPr>
          <w:rFonts w:ascii="Arial" w:eastAsia="Calibri" w:hAnsi="Arial" w:cs="Arial"/>
          <w:color w:val="000000" w:themeColor="text1"/>
          <w:sz w:val="20"/>
          <w:szCs w:val="20"/>
          <w:lang w:val="es-ES"/>
        </w:rPr>
        <w:t xml:space="preserve">) concurso de méritos «para la selección de consultores de diseño, planos, anteproyectos y proyectos arquitectónicos». El primero está regulado en los artículos 2.2.1.2.1.3.1. y 2.2.1.2.1.3.2. </w:t>
      </w:r>
      <w:proofErr w:type="spellStart"/>
      <w:r w:rsidRPr="005C38A3">
        <w:rPr>
          <w:rFonts w:ascii="Arial" w:eastAsia="Calibri" w:hAnsi="Arial" w:cs="Arial"/>
          <w:i/>
          <w:iCs/>
          <w:color w:val="000000" w:themeColor="text1"/>
          <w:sz w:val="20"/>
          <w:szCs w:val="20"/>
          <w:lang w:val="es-ES"/>
        </w:rPr>
        <w:t>ibídem</w:t>
      </w:r>
      <w:proofErr w:type="spellEnd"/>
      <w:r w:rsidRPr="00F666D0">
        <w:rPr>
          <w:rFonts w:ascii="Arial" w:eastAsia="Calibri" w:hAnsi="Arial" w:cs="Arial"/>
          <w:color w:val="000000" w:themeColor="text1"/>
          <w:sz w:val="20"/>
          <w:szCs w:val="20"/>
          <w:lang w:val="es-ES"/>
        </w:rPr>
        <w:t xml:space="preserve">. El segundo, además de los dos artículos anteriores, lo regulan los artículos 2.2.1.2.1.3.3. a 2.2.1.2.1.3.7. </w:t>
      </w:r>
      <w:proofErr w:type="spellStart"/>
      <w:r w:rsidRPr="005C38A3">
        <w:rPr>
          <w:rFonts w:ascii="Arial" w:eastAsia="Calibri" w:hAnsi="Arial" w:cs="Arial"/>
          <w:i/>
          <w:iCs/>
          <w:color w:val="000000" w:themeColor="text1"/>
          <w:sz w:val="20"/>
          <w:szCs w:val="20"/>
          <w:lang w:val="es-ES"/>
        </w:rPr>
        <w:t>ejusdem</w:t>
      </w:r>
      <w:proofErr w:type="spellEnd"/>
      <w:r w:rsidRPr="00F666D0">
        <w:rPr>
          <w:rFonts w:ascii="Arial" w:eastAsia="Calibri" w:hAnsi="Arial" w:cs="Arial"/>
          <w:color w:val="000000" w:themeColor="text1"/>
          <w:sz w:val="20"/>
          <w:szCs w:val="20"/>
          <w:lang w:val="es-ES"/>
        </w:rPr>
        <w:t>. El tercero lo regulan los artículos 2.2.1.2.1.3.8. a 2.2.1.2.1.3.25. del mencionado decreto.</w:t>
      </w:r>
    </w:p>
    <w:p w14:paraId="66729242" w14:textId="63B3B326" w:rsidR="005C38A3" w:rsidRDefault="005C38A3" w:rsidP="0061786E">
      <w:pPr>
        <w:jc w:val="both"/>
        <w:rPr>
          <w:rFonts w:ascii="Arial" w:eastAsia="Calibri" w:hAnsi="Arial" w:cs="Arial"/>
          <w:b/>
          <w:color w:val="000000" w:themeColor="text1"/>
          <w:sz w:val="22"/>
        </w:rPr>
      </w:pPr>
    </w:p>
    <w:p w14:paraId="32B12AE1" w14:textId="7A3EE2E6" w:rsidR="005C38A3" w:rsidRPr="00F666D0" w:rsidRDefault="005C38A3" w:rsidP="005C38A3">
      <w:pPr>
        <w:jc w:val="both"/>
        <w:rPr>
          <w:rFonts w:ascii="Arial" w:eastAsia="Calibri" w:hAnsi="Arial" w:cs="Arial"/>
          <w:b/>
          <w:bCs/>
          <w:color w:val="000000" w:themeColor="text1"/>
          <w:sz w:val="20"/>
          <w:szCs w:val="20"/>
        </w:rPr>
      </w:pPr>
      <w:r w:rsidRPr="00F666D0">
        <w:rPr>
          <w:rFonts w:ascii="Arial" w:eastAsia="Calibri" w:hAnsi="Arial" w:cs="Arial"/>
          <w:b/>
          <w:bCs/>
          <w:color w:val="000000" w:themeColor="text1"/>
          <w:sz w:val="22"/>
        </w:rPr>
        <w:t xml:space="preserve">DECRETO 1082 DE 2015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Artículo </w:t>
      </w:r>
      <w:r w:rsidR="00A22E15">
        <w:rPr>
          <w:rFonts w:ascii="Arial" w:eastAsia="Calibri" w:hAnsi="Arial" w:cs="Arial"/>
          <w:b/>
          <w:bCs/>
          <w:color w:val="000000" w:themeColor="text1"/>
          <w:sz w:val="22"/>
        </w:rPr>
        <w:t>2.2.1.2.1.3.2</w:t>
      </w:r>
      <w:r>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F666D0">
        <w:rPr>
          <w:rFonts w:ascii="Arial" w:eastAsia="Calibri" w:hAnsi="Arial" w:cs="Arial"/>
          <w:b/>
          <w:bCs/>
          <w:color w:val="000000" w:themeColor="text1"/>
          <w:sz w:val="22"/>
        </w:rPr>
        <w:t>Suspensión provisional</w:t>
      </w:r>
      <w:r w:rsidRPr="00F666D0">
        <w:rPr>
          <w:rFonts w:ascii="Arial" w:eastAsia="Calibri" w:hAnsi="Arial" w:cs="Arial"/>
          <w:b/>
          <w:bCs/>
          <w:color w:val="000000" w:themeColor="text1"/>
          <w:sz w:val="20"/>
          <w:szCs w:val="20"/>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Selección de consultores</w:t>
      </w:r>
    </w:p>
    <w:p w14:paraId="51C6D66C" w14:textId="77777777" w:rsidR="005C38A3" w:rsidRPr="00F666D0" w:rsidRDefault="005C38A3" w:rsidP="005C38A3">
      <w:pPr>
        <w:jc w:val="both"/>
        <w:rPr>
          <w:rFonts w:ascii="Arial" w:eastAsia="Calibri" w:hAnsi="Arial" w:cs="Arial"/>
          <w:b/>
          <w:bCs/>
          <w:color w:val="000000" w:themeColor="text1"/>
          <w:sz w:val="20"/>
          <w:szCs w:val="20"/>
        </w:rPr>
      </w:pPr>
    </w:p>
    <w:p w14:paraId="541CE186" w14:textId="0D850EA4" w:rsidR="005C38A3" w:rsidRDefault="005C38A3" w:rsidP="00124C22">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5C38A3">
        <w:rPr>
          <w:rFonts w:ascii="Arial" w:eastAsia="Calibri" w:hAnsi="Arial" w:cs="Arial"/>
          <w:color w:val="000000" w:themeColor="text1"/>
          <w:sz w:val="20"/>
          <w:szCs w:val="20"/>
        </w:rPr>
        <w:t xml:space="preserve">la Sección Tercera del Consejo de Estado, en autos del 25 de julio de 2018 y el 20 de febrero de 2019, suspendió provisionalmente, por un lado, el numeral 6 del artículo </w:t>
      </w:r>
      <w:r w:rsidR="00A22E15">
        <w:rPr>
          <w:rFonts w:ascii="Arial" w:eastAsia="Calibri" w:hAnsi="Arial" w:cs="Arial"/>
          <w:color w:val="000000" w:themeColor="text1"/>
          <w:sz w:val="20"/>
          <w:szCs w:val="20"/>
        </w:rPr>
        <w:t>2.2.1.2.1.3.2</w:t>
      </w:r>
      <w:r w:rsidRPr="005C38A3">
        <w:rPr>
          <w:rFonts w:ascii="Arial" w:eastAsia="Calibri" w:hAnsi="Arial" w:cs="Arial"/>
          <w:color w:val="000000" w:themeColor="text1"/>
          <w:sz w:val="20"/>
          <w:szCs w:val="20"/>
        </w:rPr>
        <w:t>. del Decreto 1082 de 2015 y, por el otro, los numerales 3, 4 y 5 de la misma disposición. Las normas suspendidas regulan el concurso de méritos abierto o sin precalificación</w:t>
      </w:r>
      <w:r w:rsidRPr="00F666D0">
        <w:rPr>
          <w:rFonts w:ascii="Arial" w:eastAsia="Calibri" w:hAnsi="Arial" w:cs="Arial"/>
          <w:color w:val="000000" w:themeColor="text1"/>
          <w:sz w:val="20"/>
          <w:szCs w:val="20"/>
          <w:lang w:val="es-ES"/>
        </w:rPr>
        <w:t>.</w:t>
      </w:r>
    </w:p>
    <w:p w14:paraId="71B06F42" w14:textId="68E487A4" w:rsidR="005C38A3" w:rsidRDefault="005C38A3" w:rsidP="00124C22">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w:t>
      </w:r>
    </w:p>
    <w:p w14:paraId="7FEC98DC" w14:textId="48E57872" w:rsidR="005C38A3" w:rsidRDefault="005C38A3" w:rsidP="00124C22">
      <w:pPr>
        <w:jc w:val="both"/>
        <w:rPr>
          <w:rFonts w:ascii="Arial" w:eastAsia="Calibri" w:hAnsi="Arial" w:cs="Arial"/>
          <w:b/>
          <w:color w:val="000000" w:themeColor="text1"/>
          <w:sz w:val="22"/>
        </w:rPr>
      </w:pPr>
      <w:r w:rsidRPr="005C38A3">
        <w:rPr>
          <w:rFonts w:ascii="Arial" w:eastAsia="Calibri" w:hAnsi="Arial" w:cs="Arial"/>
          <w:color w:val="000000" w:themeColor="text1"/>
          <w:sz w:val="20"/>
          <w:szCs w:val="20"/>
          <w:lang w:val="es-ES"/>
        </w:rPr>
        <w:t>El Consejo de Estado considera que los numerales 3, 4 y 5 violarían el artículo 5, numeral 4, último inciso, de la Ley 1150 de 2007, pues señala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explica que la verificación de la coherencia del precio con la disponibilidad presupuestal y la necesidad de que se logre un acuerdo en relación con el mismo desconoce el principio de selección objetiva, convirtiendo el precio en un factor de selección. En lo que respecta al artículo 6, este violaría especialmente el artículo 25.18 del Estatuto General y e</w:t>
      </w:r>
      <w:r w:rsidR="009525A4">
        <w:rPr>
          <w:rFonts w:ascii="Arial" w:eastAsia="Calibri" w:hAnsi="Arial" w:cs="Arial"/>
          <w:color w:val="000000" w:themeColor="text1"/>
          <w:sz w:val="20"/>
          <w:szCs w:val="20"/>
          <w:lang w:val="es-ES"/>
        </w:rPr>
        <w:t>l</w:t>
      </w:r>
      <w:r w:rsidRPr="005C38A3">
        <w:rPr>
          <w:rFonts w:ascii="Arial" w:eastAsia="Calibri" w:hAnsi="Arial" w:cs="Arial"/>
          <w:color w:val="000000" w:themeColor="text1"/>
          <w:sz w:val="20"/>
          <w:szCs w:val="20"/>
          <w:lang w:val="es-ES"/>
        </w:rPr>
        <w:t xml:space="preserve"> artículo 5 de la Ley 1150 de 2007, pues la declaratoria de desierta solo procede cuando no es posible la selección objetiva del contratista</w:t>
      </w:r>
      <w:r w:rsidRPr="00F666D0">
        <w:rPr>
          <w:rFonts w:ascii="Arial" w:eastAsia="Calibri" w:hAnsi="Arial" w:cs="Arial"/>
          <w:color w:val="000000" w:themeColor="text1"/>
          <w:sz w:val="20"/>
          <w:szCs w:val="20"/>
          <w:lang w:val="es-ES"/>
        </w:rPr>
        <w:t>.</w:t>
      </w:r>
    </w:p>
    <w:p w14:paraId="0C2ADED8" w14:textId="77777777" w:rsidR="005C38A3" w:rsidRDefault="005C38A3" w:rsidP="00124C22">
      <w:pPr>
        <w:jc w:val="both"/>
        <w:rPr>
          <w:rFonts w:ascii="Arial" w:eastAsia="Calibri" w:hAnsi="Arial" w:cs="Arial"/>
          <w:b/>
          <w:color w:val="000000" w:themeColor="text1"/>
          <w:sz w:val="22"/>
        </w:rPr>
      </w:pPr>
    </w:p>
    <w:p w14:paraId="654CB17F" w14:textId="3F6B2302" w:rsidR="0061786E" w:rsidRPr="006C15D5" w:rsidRDefault="0061786E" w:rsidP="00124C22">
      <w:pPr>
        <w:jc w:val="both"/>
        <w:rPr>
          <w:rFonts w:ascii="Arial" w:eastAsia="Calibri" w:hAnsi="Arial" w:cs="Arial"/>
          <w:b/>
          <w:color w:val="000000" w:themeColor="text1"/>
          <w:sz w:val="22"/>
        </w:rPr>
      </w:pPr>
      <w:r>
        <w:rPr>
          <w:rFonts w:ascii="Arial" w:eastAsia="Calibri" w:hAnsi="Arial" w:cs="Arial"/>
          <w:b/>
          <w:color w:val="000000" w:themeColor="text1"/>
          <w:sz w:val="22"/>
        </w:rPr>
        <w:t>CONCURSO DE MÉRITOS</w:t>
      </w:r>
      <w:r w:rsidRPr="006C15D5">
        <w:rPr>
          <w:rFonts w:ascii="Arial" w:eastAsia="Calibri" w:hAnsi="Arial" w:cs="Arial"/>
          <w:b/>
          <w:color w:val="000000" w:themeColor="text1"/>
          <w:sz w:val="22"/>
        </w:rPr>
        <w:softHyphen/>
        <w:t xml:space="preserve"> </w:t>
      </w:r>
      <w:r>
        <w:rPr>
          <w:rFonts w:ascii="Arial" w:eastAsia="Calibri" w:hAnsi="Arial" w:cs="Arial"/>
          <w:b/>
          <w:color w:val="000000" w:themeColor="text1"/>
          <w:sz w:val="22"/>
        </w:rPr>
        <w:t xml:space="preserve">– Procedimiento – </w:t>
      </w:r>
      <w:r w:rsidR="005C38A3" w:rsidRPr="005C38A3">
        <w:rPr>
          <w:rFonts w:ascii="Arial" w:eastAsia="Calibri" w:hAnsi="Arial" w:cs="Arial"/>
          <w:b/>
          <w:color w:val="000000" w:themeColor="text1"/>
          <w:sz w:val="22"/>
        </w:rPr>
        <w:t>Audiencia</w:t>
      </w:r>
      <w:r w:rsidR="005C38A3">
        <w:rPr>
          <w:rFonts w:ascii="Arial" w:eastAsia="Calibri" w:hAnsi="Arial" w:cs="Arial"/>
          <w:b/>
          <w:color w:val="000000" w:themeColor="text1"/>
          <w:sz w:val="22"/>
        </w:rPr>
        <w:t xml:space="preserve"> – O</w:t>
      </w:r>
      <w:r w:rsidR="005C38A3" w:rsidRPr="005C38A3">
        <w:rPr>
          <w:rFonts w:ascii="Arial" w:eastAsia="Calibri" w:hAnsi="Arial" w:cs="Arial"/>
          <w:b/>
          <w:color w:val="000000" w:themeColor="text1"/>
          <w:sz w:val="22"/>
        </w:rPr>
        <w:t>rden de elegibilidad</w:t>
      </w:r>
      <w:r w:rsidR="005C38A3">
        <w:rPr>
          <w:rFonts w:ascii="Arial" w:eastAsia="Calibri" w:hAnsi="Arial" w:cs="Arial"/>
          <w:b/>
          <w:color w:val="000000" w:themeColor="text1"/>
          <w:sz w:val="22"/>
        </w:rPr>
        <w:t xml:space="preserve"> –</w:t>
      </w:r>
      <w:r w:rsidR="005C38A3" w:rsidRPr="005C38A3">
        <w:rPr>
          <w:rFonts w:ascii="Arial" w:eastAsia="Calibri" w:hAnsi="Arial" w:cs="Arial"/>
          <w:b/>
          <w:color w:val="000000" w:themeColor="text1"/>
          <w:sz w:val="22"/>
        </w:rPr>
        <w:t xml:space="preserve"> </w:t>
      </w:r>
      <w:r>
        <w:rPr>
          <w:rFonts w:ascii="Arial" w:eastAsia="Calibri" w:hAnsi="Arial" w:cs="Arial"/>
          <w:b/>
          <w:color w:val="000000" w:themeColor="text1"/>
          <w:sz w:val="22"/>
        </w:rPr>
        <w:t>Suspensión provisional</w:t>
      </w:r>
      <w:r w:rsidR="005C38A3">
        <w:rPr>
          <w:rFonts w:ascii="Arial" w:eastAsia="Calibri" w:hAnsi="Arial" w:cs="Arial"/>
          <w:b/>
          <w:color w:val="000000" w:themeColor="text1"/>
          <w:sz w:val="22"/>
        </w:rPr>
        <w:t xml:space="preserve"> – SECOP II</w:t>
      </w:r>
      <w:r>
        <w:rPr>
          <w:rFonts w:ascii="Arial" w:eastAsia="Calibri" w:hAnsi="Arial" w:cs="Arial"/>
          <w:b/>
          <w:color w:val="000000" w:themeColor="text1"/>
          <w:sz w:val="22"/>
        </w:rPr>
        <w:t xml:space="preserve"> </w:t>
      </w:r>
    </w:p>
    <w:p w14:paraId="4A4251F8" w14:textId="77777777" w:rsidR="0061786E" w:rsidRPr="006C15D5" w:rsidRDefault="0061786E" w:rsidP="00124C22">
      <w:pPr>
        <w:jc w:val="both"/>
        <w:rPr>
          <w:rFonts w:ascii="Arial" w:eastAsia="Calibri" w:hAnsi="Arial" w:cs="Arial"/>
          <w:color w:val="000000" w:themeColor="text1"/>
          <w:sz w:val="20"/>
          <w:szCs w:val="20"/>
        </w:rPr>
      </w:pPr>
    </w:p>
    <w:p w14:paraId="10BA4A4E" w14:textId="77777777" w:rsidR="00AC6C43" w:rsidRPr="00AC6C43" w:rsidRDefault="00AC6C43" w:rsidP="00124C22">
      <w:pPr>
        <w:spacing w:after="120"/>
        <w:jc w:val="both"/>
        <w:rPr>
          <w:rFonts w:ascii="Arial" w:eastAsia="Calibri" w:hAnsi="Arial" w:cs="Arial"/>
          <w:bCs/>
          <w:color w:val="000000" w:themeColor="text1"/>
          <w:sz w:val="20"/>
          <w:szCs w:val="20"/>
        </w:rPr>
      </w:pPr>
      <w:r w:rsidRPr="00AC6C43">
        <w:rPr>
          <w:rFonts w:ascii="Arial" w:eastAsia="Calibri" w:hAnsi="Arial" w:cs="Arial"/>
          <w:bCs/>
          <w:color w:val="000000" w:themeColor="text1"/>
          <w:sz w:val="20"/>
          <w:szCs w:val="20"/>
        </w:rPr>
        <w:t xml:space="preserve">Si bien esta Agencia –conforme al Concepto C-124 del 25 de marzo de 2020– considera que las entidades deben verificar que la propuesta económica se ajuste al presupuesto oficial conforme al artículo 25.6 de la Ley 80 de 1993 y el artículo 71 del Decreto 111 de 1996, con los autos de suspensión provisional el concurso de méritos abierto se desarrolla aplicando únicamente los </w:t>
      </w:r>
      <w:r w:rsidRPr="00AC6C43">
        <w:rPr>
          <w:rFonts w:ascii="Arial" w:eastAsia="Calibri" w:hAnsi="Arial" w:cs="Arial"/>
          <w:bCs/>
          <w:color w:val="000000" w:themeColor="text1"/>
          <w:sz w:val="20"/>
          <w:szCs w:val="20"/>
        </w:rPr>
        <w:lastRenderedPageBreak/>
        <w:t xml:space="preserve">numerales 1 y 2 del artículo 2.2.1.2.1.3.2 del Decreto 1082 de 2015. Esto significa que la entidad dispone los criterios de evaluación en el pliego y que, tanto con la verificación como con la ponderación de las propuestas económicas, se publica el informe por tres (3) días hábiles. </w:t>
      </w:r>
    </w:p>
    <w:p w14:paraId="4D4B857C" w14:textId="7E2D67B7" w:rsidR="0061786E" w:rsidRDefault="00B04895" w:rsidP="00124C22">
      <w:pPr>
        <w:jc w:val="both"/>
        <w:rPr>
          <w:rFonts w:ascii="Arial" w:eastAsia="Calibri" w:hAnsi="Arial" w:cs="Arial"/>
          <w:bCs/>
          <w:color w:val="000000" w:themeColor="text1"/>
          <w:sz w:val="20"/>
          <w:szCs w:val="20"/>
        </w:rPr>
      </w:pPr>
      <w:r w:rsidRPr="00B04895">
        <w:rPr>
          <w:rFonts w:ascii="Arial" w:eastAsia="Calibri" w:hAnsi="Arial" w:cs="Arial"/>
          <w:bCs/>
          <w:color w:val="000000" w:themeColor="text1"/>
          <w:sz w:val="20"/>
          <w:szCs w:val="20"/>
        </w:rPr>
        <w:t xml:space="preserve">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«Apertura del sobre económico» en el cronograma del proceso de selección. Sin embargo, estas no deben conducir a la aplicación de alguno de los numerales suspendidos por el Consejo de Estado, ya que conforme a los autos citados </w:t>
      </w:r>
      <w:r w:rsidRPr="00B04895">
        <w:rPr>
          <w:rFonts w:ascii="Arial" w:eastAsia="Calibri" w:hAnsi="Arial" w:cs="Arial"/>
          <w:bCs/>
          <w:i/>
          <w:iCs/>
          <w:color w:val="000000" w:themeColor="text1"/>
          <w:sz w:val="20"/>
          <w:szCs w:val="20"/>
        </w:rPr>
        <w:t>ut supra</w:t>
      </w:r>
      <w:r w:rsidRPr="00B04895">
        <w:rPr>
          <w:rFonts w:ascii="Arial" w:eastAsia="Calibri" w:hAnsi="Arial" w:cs="Arial"/>
          <w:bCs/>
          <w:color w:val="000000" w:themeColor="text1"/>
          <w:sz w:val="20"/>
          <w:szCs w:val="20"/>
        </w:rPr>
        <w:t>,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w:t>
      </w:r>
      <w:r w:rsidR="0061786E" w:rsidRPr="001B5E36">
        <w:rPr>
          <w:rFonts w:ascii="Arial" w:eastAsia="Calibri" w:hAnsi="Arial" w:cs="Arial"/>
          <w:bCs/>
          <w:color w:val="000000" w:themeColor="text1"/>
          <w:sz w:val="20"/>
          <w:szCs w:val="20"/>
        </w:rPr>
        <w:t>.</w:t>
      </w:r>
      <w:r w:rsidR="0061786E" w:rsidRPr="00DE3F87">
        <w:rPr>
          <w:rFonts w:ascii="Arial" w:eastAsia="Calibri" w:hAnsi="Arial" w:cs="Arial"/>
          <w:bCs/>
          <w:color w:val="000000" w:themeColor="text1"/>
          <w:sz w:val="20"/>
          <w:szCs w:val="20"/>
        </w:rPr>
        <w:t xml:space="preserve">  </w:t>
      </w:r>
    </w:p>
    <w:p w14:paraId="44EC201F" w14:textId="77777777" w:rsidR="0061786E" w:rsidRDefault="0061786E" w:rsidP="00124C22">
      <w:pPr>
        <w:jc w:val="both"/>
        <w:rPr>
          <w:rFonts w:ascii="Arial" w:eastAsia="Calibri" w:hAnsi="Arial" w:cs="Arial"/>
          <w:b/>
          <w:color w:val="000000" w:themeColor="text1"/>
          <w:sz w:val="22"/>
        </w:rPr>
      </w:pPr>
    </w:p>
    <w:bookmarkEnd w:id="2"/>
    <w:p w14:paraId="15B14F5B" w14:textId="7D487901" w:rsidR="001A369A" w:rsidRPr="006C15D5" w:rsidRDefault="001A369A" w:rsidP="00124C22">
      <w:pPr>
        <w:jc w:val="both"/>
        <w:rPr>
          <w:rFonts w:ascii="Arial" w:eastAsia="Calibri" w:hAnsi="Arial" w:cs="Arial"/>
          <w:b/>
          <w:bCs/>
          <w:color w:val="000000" w:themeColor="text1"/>
          <w:sz w:val="22"/>
        </w:rPr>
      </w:pPr>
      <w:r w:rsidRPr="0A7E3B1A">
        <w:rPr>
          <w:rFonts w:ascii="Arial" w:eastAsia="Calibri" w:hAnsi="Arial" w:cs="Arial"/>
          <w:b/>
          <w:bCs/>
          <w:color w:val="000000" w:themeColor="text1"/>
          <w:sz w:val="22"/>
        </w:rPr>
        <w:t xml:space="preserve">CONCURSO DE MÉRITOS – Adjudicación – Audiencia pública – Analogía – Inaplicable </w:t>
      </w:r>
      <w:r w:rsidR="3D3A4B8F" w:rsidRPr="0A7E3B1A">
        <w:rPr>
          <w:rFonts w:ascii="Arial" w:eastAsia="Arial" w:hAnsi="Arial" w:cs="Arial"/>
          <w:b/>
          <w:bCs/>
          <w:sz w:val="22"/>
        </w:rPr>
        <w:t xml:space="preserve">– Obligatoriedad </w:t>
      </w:r>
    </w:p>
    <w:p w14:paraId="4E3E2389" w14:textId="77777777" w:rsidR="001A369A" w:rsidRPr="006C15D5" w:rsidRDefault="001A369A" w:rsidP="00124C22">
      <w:pPr>
        <w:jc w:val="both"/>
        <w:rPr>
          <w:rFonts w:ascii="Arial" w:eastAsia="Calibri" w:hAnsi="Arial" w:cs="Arial"/>
          <w:color w:val="000000" w:themeColor="text1"/>
          <w:sz w:val="20"/>
          <w:szCs w:val="20"/>
        </w:rPr>
      </w:pPr>
    </w:p>
    <w:p w14:paraId="3304BA92" w14:textId="1A2047CE" w:rsidR="00124C22" w:rsidRPr="001B5E36" w:rsidRDefault="001A369A" w:rsidP="004F2A1C">
      <w:pPr>
        <w:spacing w:after="120"/>
        <w:jc w:val="both"/>
        <w:rPr>
          <w:rFonts w:ascii="Arial" w:eastAsia="Calibri" w:hAnsi="Arial" w:cs="Arial"/>
          <w:bCs/>
          <w:color w:val="000000" w:themeColor="text1"/>
          <w:sz w:val="20"/>
          <w:szCs w:val="20"/>
          <w:lang w:val="es-ES"/>
        </w:rPr>
      </w:pPr>
      <w:r w:rsidRPr="001B5E36">
        <w:rPr>
          <w:rFonts w:ascii="Arial" w:eastAsia="Calibri" w:hAnsi="Arial" w:cs="Arial"/>
          <w:bCs/>
          <w:color w:val="000000" w:themeColor="text1"/>
          <w:sz w:val="20"/>
          <w:szCs w:val="20"/>
          <w:lang w:val="es-ES"/>
        </w:rPr>
        <w:t xml:space="preserve">En lo que respecta al concurso de méritos, si bien la etapa de adjudicación es obligatoria, no existe una norma que obligue a realizarla por </w:t>
      </w:r>
      <w:r w:rsidRPr="001B5E36">
        <w:rPr>
          <w:rFonts w:ascii="Arial" w:eastAsia="Calibri" w:hAnsi="Arial" w:cs="Arial"/>
          <w:bCs/>
          <w:i/>
          <w:iCs/>
          <w:color w:val="000000" w:themeColor="text1"/>
          <w:sz w:val="20"/>
          <w:szCs w:val="20"/>
          <w:lang w:val="es-ES"/>
        </w:rPr>
        <w:t>audiencia pública</w:t>
      </w:r>
      <w:r w:rsidRPr="001B5E36">
        <w:rPr>
          <w:rFonts w:ascii="Arial" w:eastAsia="Calibri" w:hAnsi="Arial" w:cs="Arial"/>
          <w:bCs/>
          <w:color w:val="000000" w:themeColor="text1"/>
          <w:sz w:val="20"/>
          <w:szCs w:val="20"/>
          <w:lang w:val="es-ES"/>
        </w:rPr>
        <w:t xml:space="preserve">. </w:t>
      </w:r>
      <w:r w:rsidRPr="001B5E36">
        <w:rPr>
          <w:rFonts w:ascii="Arial" w:eastAsia="Calibri" w:hAnsi="Arial" w:cs="Arial"/>
          <w:bCs/>
          <w:i/>
          <w:iCs/>
          <w:color w:val="000000" w:themeColor="text1"/>
          <w:sz w:val="20"/>
          <w:szCs w:val="20"/>
          <w:lang w:val="es-ES"/>
        </w:rPr>
        <w:t>Por un lado</w:t>
      </w:r>
      <w:r w:rsidRPr="001B5E36">
        <w:rPr>
          <w:rFonts w:ascii="Arial" w:eastAsia="Calibri" w:hAnsi="Arial" w:cs="Arial"/>
          <w:bCs/>
          <w:color w:val="000000" w:themeColor="text1"/>
          <w:sz w:val="20"/>
          <w:szCs w:val="20"/>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p>
    <w:p w14:paraId="553CB680" w14:textId="77777777" w:rsidR="001A369A" w:rsidRPr="006C15D5" w:rsidRDefault="001A369A" w:rsidP="004F2A1C">
      <w:pPr>
        <w:jc w:val="both"/>
        <w:rPr>
          <w:rFonts w:ascii="Arial" w:eastAsia="Calibri" w:hAnsi="Arial" w:cs="Arial"/>
          <w:bCs/>
          <w:color w:val="000000" w:themeColor="text1"/>
          <w:sz w:val="20"/>
          <w:szCs w:val="20"/>
        </w:rPr>
      </w:pPr>
      <w:r w:rsidRPr="001B5E36">
        <w:rPr>
          <w:rFonts w:ascii="Arial" w:eastAsia="Calibri" w:hAnsi="Arial" w:cs="Arial"/>
          <w:bCs/>
          <w:i/>
          <w:iCs/>
          <w:color w:val="000000" w:themeColor="text1"/>
          <w:sz w:val="20"/>
          <w:szCs w:val="20"/>
          <w:lang w:val="es-ES"/>
        </w:rPr>
        <w:t>Por otra parte</w:t>
      </w:r>
      <w:r w:rsidRPr="001B5E36">
        <w:rPr>
          <w:rFonts w:ascii="Arial" w:eastAsia="Calibri" w:hAnsi="Arial" w:cs="Arial"/>
          <w:bCs/>
          <w:color w:val="000000" w:themeColor="text1"/>
          <w:sz w:val="20"/>
          <w:szCs w:val="20"/>
          <w:lang w:val="es-ES"/>
        </w:rPr>
        <w:t>, en la medida que –conforme al inciso segundo del citado artículo 273 superior– las audiencias públicas solo son exigibles en los supuestos expresamente regulados por la ley, no es posible la aplicación analógica el artículo 30.10 de la Ley 80 de 1993 ni el artículo 9, inciso primero, de la Ley 1150 de 2007. Aunque tanto la licitación como el concurso son «[…]</w:t>
      </w:r>
      <w:r w:rsidRPr="001B5E36">
        <w:rPr>
          <w:rFonts w:ascii="Arial" w:eastAsia="Calibri" w:hAnsi="Arial" w:cs="Arial"/>
          <w:bCs/>
          <w:color w:val="000000" w:themeColor="text1"/>
          <w:sz w:val="20"/>
          <w:szCs w:val="20"/>
        </w:rPr>
        <w:t xml:space="preserve"> </w:t>
      </w:r>
      <w:r w:rsidRPr="001B5E36">
        <w:rPr>
          <w:rFonts w:ascii="Arial" w:eastAsia="Calibri" w:hAnsi="Arial" w:cs="Arial"/>
          <w:bCs/>
          <w:color w:val="000000" w:themeColor="text1"/>
          <w:sz w:val="20"/>
          <w:szCs w:val="20"/>
          <w:lang w:val="es-ES"/>
        </w:rPr>
        <w:t xml:space="preserve">una convocatoria para que, en igualdad de oportunidades, los interesados presenten sus ofertas y seleccione entre ellas la más favorable» –par. del art. 30 del Estatuto General–, la analogía es inaceptable, </w:t>
      </w:r>
      <w:r w:rsidRPr="001B5E36">
        <w:rPr>
          <w:rFonts w:ascii="Arial" w:eastAsia="Calibri" w:hAnsi="Arial" w:cs="Arial"/>
          <w:bCs/>
          <w:color w:val="000000" w:themeColor="text1"/>
          <w:sz w:val="20"/>
          <w:szCs w:val="20"/>
        </w:rPr>
        <w:t>ya que se trata de procedimientos de selección completamente diferentes, razón por la cual en la medida que no se adelantan de la misma manera, es incorrecto aplicar las normas de la primera al segundo.</w:t>
      </w:r>
      <w:r w:rsidRPr="00DE3F87">
        <w:rPr>
          <w:rFonts w:ascii="Arial" w:eastAsia="Calibri" w:hAnsi="Arial" w:cs="Arial"/>
          <w:bCs/>
          <w:color w:val="000000" w:themeColor="text1"/>
          <w:sz w:val="20"/>
          <w:szCs w:val="20"/>
        </w:rPr>
        <w:t xml:space="preserve">  </w:t>
      </w:r>
    </w:p>
    <w:p w14:paraId="153229A4" w14:textId="77777777" w:rsidR="001A369A" w:rsidRPr="006C15D5" w:rsidRDefault="001A369A" w:rsidP="004F2A1C">
      <w:pPr>
        <w:jc w:val="both"/>
        <w:rPr>
          <w:rFonts w:ascii="Arial" w:eastAsia="Calibri" w:hAnsi="Arial" w:cs="Arial"/>
          <w:b/>
          <w:color w:val="000000" w:themeColor="text1"/>
          <w:sz w:val="20"/>
          <w:szCs w:val="20"/>
        </w:rPr>
      </w:pPr>
    </w:p>
    <w:p w14:paraId="40742396" w14:textId="77777777" w:rsidR="001A369A" w:rsidRPr="006C15D5" w:rsidRDefault="001A369A" w:rsidP="004F2A1C">
      <w:pPr>
        <w:jc w:val="both"/>
        <w:rPr>
          <w:rFonts w:ascii="Arial" w:eastAsia="Calibri" w:hAnsi="Arial" w:cs="Arial"/>
          <w:b/>
          <w:color w:val="000000" w:themeColor="text1"/>
          <w:sz w:val="22"/>
        </w:rPr>
      </w:pPr>
      <w:bookmarkStart w:id="3" w:name="_Hlk43658371"/>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Principio de publicidad –</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Procedimiento administrativo general –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Ausencia de regulación</w:t>
      </w:r>
    </w:p>
    <w:bookmarkEnd w:id="3"/>
    <w:p w14:paraId="4286155F" w14:textId="77777777" w:rsidR="001A369A" w:rsidRPr="006C15D5" w:rsidRDefault="001A369A" w:rsidP="004F2A1C">
      <w:pPr>
        <w:jc w:val="both"/>
        <w:rPr>
          <w:rFonts w:ascii="Arial" w:eastAsia="Calibri" w:hAnsi="Arial" w:cs="Arial"/>
          <w:b/>
          <w:color w:val="000000" w:themeColor="text1"/>
          <w:sz w:val="20"/>
          <w:szCs w:val="20"/>
        </w:rPr>
      </w:pPr>
    </w:p>
    <w:p w14:paraId="2CEEBC39" w14:textId="77777777" w:rsidR="001A369A" w:rsidRDefault="001A369A" w:rsidP="004F2A1C">
      <w:pPr>
        <w:spacing w:after="120"/>
        <w:jc w:val="both"/>
        <w:rPr>
          <w:rFonts w:ascii="Arial" w:eastAsia="Calibri" w:hAnsi="Arial" w:cs="Arial"/>
          <w:color w:val="000000" w:themeColor="text1"/>
          <w:sz w:val="20"/>
          <w:szCs w:val="20"/>
        </w:rPr>
      </w:pPr>
      <w:r w:rsidRPr="0041784E">
        <w:rPr>
          <w:rFonts w:ascii="Arial" w:eastAsia="Calibri" w:hAnsi="Arial" w:cs="Arial"/>
          <w:color w:val="000000" w:themeColor="text1"/>
          <w:sz w:val="20"/>
          <w:szCs w:val="20"/>
        </w:rPr>
        <w:t xml:space="preserve">Aunque las </w:t>
      </w:r>
      <w:r w:rsidRPr="0041784E">
        <w:rPr>
          <w:rFonts w:ascii="Arial" w:eastAsia="Calibri" w:hAnsi="Arial" w:cs="Arial"/>
          <w:i/>
          <w:iCs/>
          <w:color w:val="000000" w:themeColor="text1"/>
          <w:sz w:val="20"/>
          <w:szCs w:val="20"/>
        </w:rPr>
        <w:t>audiencias públicas</w:t>
      </w:r>
      <w:r w:rsidRPr="0041784E">
        <w:rPr>
          <w:rFonts w:ascii="Arial" w:eastAsia="Calibri" w:hAnsi="Arial" w:cs="Arial"/>
          <w:color w:val="000000" w:themeColor="text1"/>
          <w:sz w:val="20"/>
          <w:szCs w:val="20"/>
        </w:rPr>
        <w:t xml:space="preserve"> no son obligatorias en el concurso de méritos, cabe preguntarse si son </w:t>
      </w:r>
      <w:r w:rsidRPr="0041784E">
        <w:rPr>
          <w:rFonts w:ascii="Arial" w:eastAsia="Calibri" w:hAnsi="Arial" w:cs="Arial"/>
          <w:i/>
          <w:iCs/>
          <w:color w:val="000000" w:themeColor="text1"/>
          <w:sz w:val="20"/>
          <w:szCs w:val="20"/>
        </w:rPr>
        <w:t>potestativas</w:t>
      </w:r>
      <w:r w:rsidRPr="0041784E">
        <w:rPr>
          <w:rFonts w:ascii="Arial" w:eastAsia="Calibri" w:hAnsi="Arial" w:cs="Arial"/>
          <w:color w:val="000000" w:themeColor="text1"/>
          <w:sz w:val="20"/>
          <w:szCs w:val="20"/>
        </w:rPr>
        <w:t xml:space="preserve">. </w:t>
      </w:r>
      <w:r w:rsidRPr="007F684F">
        <w:rPr>
          <w:rFonts w:ascii="Arial" w:eastAsia="Calibri" w:hAnsi="Arial" w:cs="Arial"/>
          <w:color w:val="000000" w:themeColor="text1"/>
          <w:sz w:val="20"/>
          <w:szCs w:val="20"/>
        </w:rPr>
        <w:t>La respuesta positiva a esta inquietud se fundamenta en dos (2) argumentos.</w:t>
      </w:r>
      <w:r w:rsidRPr="007F684F">
        <w:rPr>
          <w:rFonts w:ascii="Arial" w:eastAsia="Calibri" w:hAnsi="Arial" w:cs="Arial"/>
          <w:i/>
          <w:iCs/>
          <w:color w:val="000000" w:themeColor="text1"/>
          <w:sz w:val="20"/>
          <w:szCs w:val="20"/>
        </w:rPr>
        <w:t xml:space="preserve"> En primer lugar</w:t>
      </w:r>
      <w:r w:rsidRPr="007F684F">
        <w:rPr>
          <w:rFonts w:ascii="Arial" w:eastAsia="Calibri" w:hAnsi="Arial" w:cs="Arial"/>
          <w:color w:val="000000" w:themeColor="text1"/>
          <w:sz w:val="20"/>
          <w:szCs w:val="20"/>
        </w:rPr>
        <w:t xml:space="preserve">, el principio de publicidad permitiría su realización eventual, ya que este tiene un carácter transversal y multifacético en las actuaciones estatales. Conforme al artículo 209 superior es un eje rector de la función administrativa, por lo que despliega sus efectos en las </w:t>
      </w:r>
      <w:proofErr w:type="spellStart"/>
      <w:r w:rsidRPr="007F684F">
        <w:rPr>
          <w:rFonts w:ascii="Arial" w:eastAsia="Calibri" w:hAnsi="Arial" w:cs="Arial"/>
          <w:color w:val="000000" w:themeColor="text1"/>
          <w:sz w:val="20"/>
          <w:szCs w:val="20"/>
        </w:rPr>
        <w:t>mas</w:t>
      </w:r>
      <w:proofErr w:type="spellEnd"/>
      <w:r w:rsidRPr="007F684F">
        <w:rPr>
          <w:rFonts w:ascii="Arial" w:eastAsia="Calibri" w:hAnsi="Arial" w:cs="Arial"/>
          <w:color w:val="000000" w:themeColor="text1"/>
          <w:sz w:val="20"/>
          <w:szCs w:val="20"/>
        </w:rPr>
        <w:t xml:space="preserve">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r>
        <w:rPr>
          <w:rFonts w:ascii="Arial" w:eastAsia="Calibri" w:hAnsi="Arial" w:cs="Arial"/>
          <w:color w:val="000000" w:themeColor="text1"/>
          <w:sz w:val="20"/>
          <w:szCs w:val="20"/>
        </w:rPr>
        <w:t xml:space="preserve"> </w:t>
      </w:r>
      <w:r w:rsidRPr="001B469E">
        <w:rPr>
          <w:rFonts w:ascii="Arial" w:eastAsia="Calibri" w:hAnsi="Arial" w:cs="Arial"/>
          <w:i/>
          <w:iCs/>
          <w:color w:val="000000" w:themeColor="text1"/>
          <w:sz w:val="20"/>
          <w:szCs w:val="20"/>
        </w:rPr>
        <w:t>En segundo lugar</w:t>
      </w:r>
      <w:r w:rsidRPr="001B469E">
        <w:rPr>
          <w:rFonts w:ascii="Arial" w:eastAsia="Calibri" w:hAnsi="Arial" w:cs="Arial"/>
          <w:color w:val="000000" w:themeColor="text1"/>
          <w:sz w:val="20"/>
          <w:szCs w:val="20"/>
        </w:rPr>
        <w:t xml:space="preserve">,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w:t>
      </w:r>
      <w:r w:rsidRPr="001B469E">
        <w:rPr>
          <w:rFonts w:ascii="Arial" w:eastAsia="Calibri" w:hAnsi="Arial" w:cs="Arial"/>
          <w:color w:val="000000" w:themeColor="text1"/>
          <w:sz w:val="20"/>
          <w:szCs w:val="20"/>
        </w:rPr>
        <w:lastRenderedPageBreak/>
        <w:t>en el curso de las actuaciones con el objeto de promover la participación ciudadana, asegurar el derecho de contradicción, o contribuir a la pronta adopción de decisiones. De toda audiencia se dejará constancia de lo acontecido en ella».</w:t>
      </w:r>
    </w:p>
    <w:p w14:paraId="5DB7A0F6" w14:textId="77777777" w:rsidR="001A369A" w:rsidRDefault="001A369A" w:rsidP="004F2A1C">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68A6D76E" w14:textId="77777777" w:rsidR="001A369A" w:rsidRDefault="001A369A" w:rsidP="004F2A1C">
      <w:pPr>
        <w:jc w:val="both"/>
        <w:rPr>
          <w:rFonts w:ascii="Arial" w:eastAsia="Calibri" w:hAnsi="Arial" w:cs="Arial"/>
          <w:bCs/>
          <w:color w:val="000000" w:themeColor="text1"/>
          <w:sz w:val="20"/>
          <w:szCs w:val="20"/>
          <w:lang w:val="es-ES"/>
        </w:rPr>
      </w:pPr>
      <w:r w:rsidRPr="0041784E">
        <w:rPr>
          <w:rFonts w:ascii="Arial" w:eastAsia="Calibri" w:hAnsi="Arial" w:cs="Arial"/>
          <w:bCs/>
          <w:color w:val="000000" w:themeColor="text1"/>
          <w:sz w:val="20"/>
          <w:szCs w:val="20"/>
          <w:lang w:val="es-ES"/>
        </w:rPr>
        <w:t xml:space="preserve">Para esta Subdirección no existe la prohibición tácita de realizar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en otros procedimientos de selección, ya que los supuestos mencionados en </w:t>
      </w:r>
      <w:r>
        <w:rPr>
          <w:rFonts w:ascii="Arial" w:eastAsia="Calibri" w:hAnsi="Arial" w:cs="Arial"/>
          <w:bCs/>
          <w:color w:val="000000" w:themeColor="text1"/>
          <w:sz w:val="20"/>
          <w:szCs w:val="20"/>
          <w:lang w:val="es-ES"/>
        </w:rPr>
        <w:t>[los artículos 30.10 de la Ley 80 de 1993, los artículos 4 y 9 de la Ley 1150 de 2007, así como el artículo 86 de la Ley 1474 de 2011]</w:t>
      </w:r>
      <w:r w:rsidRPr="0041784E">
        <w:rPr>
          <w:rFonts w:ascii="Arial" w:eastAsia="Calibri" w:hAnsi="Arial" w:cs="Arial"/>
          <w:bCs/>
          <w:color w:val="000000" w:themeColor="text1"/>
          <w:sz w:val="20"/>
          <w:szCs w:val="20"/>
          <w:lang w:val="es-ES"/>
        </w:rPr>
        <w:t xml:space="preserve"> se refieren a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En este último punto, es decir, sobre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fuera de los casos previstos en la ley, por lo que es posible integrar el vacío legal sobre la procedencia de las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con el citado </w:t>
      </w:r>
      <w:r w:rsidRPr="0041784E">
        <w:rPr>
          <w:rFonts w:ascii="Arial" w:eastAsia="Calibri" w:hAnsi="Arial" w:cs="Arial"/>
          <w:color w:val="000000" w:themeColor="text1"/>
          <w:sz w:val="20"/>
          <w:szCs w:val="20"/>
        </w:rPr>
        <w:t>inciso final del artículo 35 de la Ley 1437 de 2011, en la medida que estas últimas no se regularon en las normas que conforman el Estatuto General.</w:t>
      </w:r>
      <w:r w:rsidRPr="0041784E">
        <w:rPr>
          <w:rFonts w:ascii="Arial" w:eastAsia="Calibri" w:hAnsi="Arial" w:cs="Arial"/>
          <w:bCs/>
          <w:color w:val="000000" w:themeColor="text1"/>
          <w:sz w:val="20"/>
          <w:szCs w:val="20"/>
          <w:lang w:val="es-ES"/>
        </w:rPr>
        <w:t xml:space="preserve"> </w:t>
      </w:r>
    </w:p>
    <w:p w14:paraId="63A37D89" w14:textId="77777777" w:rsidR="001A369A" w:rsidRDefault="001A369A" w:rsidP="004F2A1C">
      <w:pPr>
        <w:jc w:val="both"/>
        <w:rPr>
          <w:rFonts w:ascii="Arial" w:eastAsia="Calibri" w:hAnsi="Arial" w:cs="Arial"/>
          <w:bCs/>
          <w:color w:val="000000" w:themeColor="text1"/>
          <w:sz w:val="20"/>
          <w:szCs w:val="20"/>
          <w:lang w:val="es-ES"/>
        </w:rPr>
      </w:pPr>
    </w:p>
    <w:p w14:paraId="1213E42A" w14:textId="77777777" w:rsidR="001A369A" w:rsidRDefault="001A369A" w:rsidP="004F2A1C">
      <w:pPr>
        <w:jc w:val="both"/>
        <w:rPr>
          <w:rFonts w:ascii="Arial" w:eastAsia="Calibri" w:hAnsi="Arial" w:cs="Arial"/>
          <w:b/>
          <w:color w:val="000000" w:themeColor="text1"/>
          <w:sz w:val="22"/>
        </w:rPr>
      </w:pPr>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Compatibles</w:t>
      </w:r>
    </w:p>
    <w:p w14:paraId="2024C83F" w14:textId="77777777" w:rsidR="001A369A" w:rsidRPr="006C15D5" w:rsidRDefault="001A369A" w:rsidP="004F2A1C">
      <w:pPr>
        <w:jc w:val="both"/>
        <w:rPr>
          <w:rFonts w:ascii="Arial" w:eastAsia="Calibri" w:hAnsi="Arial" w:cs="Arial"/>
          <w:b/>
          <w:color w:val="000000" w:themeColor="text1"/>
          <w:sz w:val="20"/>
          <w:szCs w:val="20"/>
        </w:rPr>
      </w:pPr>
    </w:p>
    <w:p w14:paraId="3E22DA13" w14:textId="77777777" w:rsidR="001A369A" w:rsidRPr="00697A99" w:rsidRDefault="001A369A" w:rsidP="004F2A1C">
      <w:pPr>
        <w:spacing w:after="120"/>
        <w:jc w:val="both"/>
        <w:rPr>
          <w:rFonts w:ascii="Arial" w:eastAsia="Calibri" w:hAnsi="Arial" w:cs="Arial"/>
          <w:color w:val="000000" w:themeColor="text1"/>
          <w:sz w:val="20"/>
          <w:szCs w:val="20"/>
        </w:rPr>
      </w:pPr>
      <w:r>
        <w:rPr>
          <w:rFonts w:ascii="Arial" w:eastAsia="Calibri" w:hAnsi="Arial" w:cs="Arial"/>
          <w:bCs/>
          <w:color w:val="000000" w:themeColor="text1"/>
          <w:sz w:val="20"/>
          <w:szCs w:val="20"/>
          <w:lang w:val="es-ES"/>
        </w:rPr>
        <w:t xml:space="preserve">[…] </w:t>
      </w:r>
      <w:r w:rsidRPr="00697A99">
        <w:rPr>
          <w:rFonts w:ascii="Arial" w:eastAsia="Calibri" w:hAnsi="Arial" w:cs="Arial"/>
          <w:bCs/>
          <w:color w:val="000000" w:themeColor="text1"/>
          <w:sz w:val="20"/>
          <w:szCs w:val="20"/>
          <w:lang w:val="es-ES"/>
        </w:rPr>
        <w:t xml:space="preserve">las </w:t>
      </w:r>
      <w:r w:rsidRPr="00697A99">
        <w:rPr>
          <w:rFonts w:ascii="Arial" w:eastAsia="Calibri" w:hAnsi="Arial" w:cs="Arial"/>
          <w:bCs/>
          <w:i/>
          <w:iCs/>
          <w:color w:val="000000" w:themeColor="text1"/>
          <w:sz w:val="20"/>
          <w:szCs w:val="20"/>
          <w:lang w:val="es-ES"/>
        </w:rPr>
        <w:t xml:space="preserve">audiencias potestativas </w:t>
      </w:r>
      <w:r w:rsidRPr="00697A99">
        <w:rPr>
          <w:rFonts w:ascii="Arial" w:eastAsia="Calibri" w:hAnsi="Arial" w:cs="Arial"/>
          <w:bCs/>
          <w:color w:val="000000" w:themeColor="text1"/>
          <w:sz w:val="20"/>
          <w:szCs w:val="20"/>
          <w:lang w:val="es-ES"/>
        </w:rPr>
        <w:t xml:space="preserve">del </w:t>
      </w:r>
      <w:r w:rsidRPr="00697A99">
        <w:rPr>
          <w:rFonts w:ascii="Arial" w:eastAsia="Calibri" w:hAnsi="Arial" w:cs="Arial"/>
          <w:color w:val="000000" w:themeColor="text1"/>
          <w:sz w:val="20"/>
          <w:szCs w:val="20"/>
        </w:rPr>
        <w:t>inciso final del artículo 35 de la Ley 1437 de 2011</w:t>
      </w:r>
      <w:r w:rsidRPr="00697A99">
        <w:rPr>
          <w:rFonts w:ascii="Arial" w:eastAsia="Calibri" w:hAnsi="Arial" w:cs="Arial"/>
          <w:bCs/>
          <w:color w:val="000000" w:themeColor="text1"/>
          <w:sz w:val="20"/>
          <w:szCs w:val="20"/>
          <w:lang w:val="es-ES"/>
        </w:rPr>
        <w:t xml:space="preserve"> deben ser compatibles con los principios de la actividad contractual –</w:t>
      </w:r>
      <w:r w:rsidRPr="00697A99">
        <w:rPr>
          <w:rFonts w:ascii="Arial" w:eastAsia="Calibri" w:hAnsi="Arial" w:cs="Arial"/>
          <w:color w:val="000000" w:themeColor="text1"/>
          <w:sz w:val="20"/>
          <w:szCs w:val="20"/>
        </w:rPr>
        <w:t xml:space="preserve">art 77 de la Ley 80 de 1993–. El asunto </w:t>
      </w:r>
      <w:r>
        <w:rPr>
          <w:rFonts w:ascii="Arial" w:eastAsia="Calibri" w:hAnsi="Arial" w:cs="Arial"/>
          <w:color w:val="000000" w:themeColor="text1"/>
          <w:sz w:val="20"/>
          <w:szCs w:val="20"/>
        </w:rPr>
        <w:t>[…]</w:t>
      </w:r>
      <w:r w:rsidRPr="00697A99">
        <w:rPr>
          <w:rFonts w:ascii="Arial" w:eastAsia="Calibri" w:hAnsi="Arial" w:cs="Arial"/>
          <w:color w:val="000000" w:themeColor="text1"/>
          <w:sz w:val="20"/>
          <w:szCs w:val="20"/>
        </w:rPr>
        <w:t xml:space="preserve"> es problemático,</w:t>
      </w:r>
      <w:r w:rsidRPr="00697A99">
        <w:rPr>
          <w:rFonts w:ascii="Arial" w:eastAsia="Calibri" w:hAnsi="Arial" w:cs="Arial"/>
          <w:bCs/>
          <w:color w:val="000000" w:themeColor="text1"/>
          <w:sz w:val="20"/>
          <w:szCs w:val="20"/>
          <w:lang w:val="es-ES"/>
        </w:rPr>
        <w:t xml:space="preserve"> </w:t>
      </w:r>
      <w:r w:rsidRPr="00697A99">
        <w:rPr>
          <w:rFonts w:ascii="Arial" w:eastAsia="Calibri" w:hAnsi="Arial" w:cs="Arial"/>
          <w:color w:val="000000" w:themeColor="text1"/>
          <w:sz w:val="20"/>
          <w:szCs w:val="20"/>
        </w:rPr>
        <w:t xml:space="preserve">porque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De esta manera, podría sostenerse que en la medida que la ley no reguló audiencias para procedimientos de selección distintos a la licitación pública, las entidades no podrían adelantarlas oficiosamente a falta de norma especial. </w:t>
      </w:r>
    </w:p>
    <w:p w14:paraId="1FCFEFA1" w14:textId="35B1537C" w:rsidR="00697A99" w:rsidRDefault="001A369A" w:rsidP="004F2A1C">
      <w:pPr>
        <w:jc w:val="both"/>
        <w:rPr>
          <w:rFonts w:ascii="Arial" w:eastAsia="Calibri" w:hAnsi="Arial" w:cs="Arial"/>
          <w:color w:val="000000" w:themeColor="text1"/>
          <w:sz w:val="20"/>
          <w:szCs w:val="20"/>
        </w:rPr>
      </w:pPr>
      <w:r w:rsidRPr="00697A99">
        <w:rPr>
          <w:rFonts w:ascii="Arial" w:eastAsia="Calibri" w:hAnsi="Arial" w:cs="Arial"/>
          <w:color w:val="000000" w:themeColor="text1"/>
          <w:sz w:val="20"/>
          <w:szCs w:val="20"/>
        </w:rPr>
        <w:t xml:space="preserve">La Subdirección no comparte la idea del párrafo precedente, ya que la audiencia no implica una fase adicional del procedimiento, pues tiene como objeto la adjudicación de contrato, es decir, una etapa existente dentro del concurso de méritos conforme al citado </w:t>
      </w:r>
      <w:r w:rsidRPr="00697A99">
        <w:rPr>
          <w:rFonts w:ascii="Arial" w:eastAsia="Calibri" w:hAnsi="Arial" w:cs="Arial"/>
          <w:bCs/>
          <w:color w:val="000000" w:themeColor="text1"/>
          <w:sz w:val="20"/>
          <w:szCs w:val="20"/>
          <w:lang w:val="es-ES"/>
        </w:rPr>
        <w:t xml:space="preserve">numeral 5 del artículo 2.2.1.1.2.1.3 del Decreto 1082 de 2015. Por lo anterior, la realización de </w:t>
      </w:r>
      <w:r w:rsidRPr="00697A99">
        <w:rPr>
          <w:rFonts w:ascii="Arial" w:eastAsia="Calibri" w:hAnsi="Arial" w:cs="Arial"/>
          <w:bCs/>
          <w:i/>
          <w:iCs/>
          <w:color w:val="000000" w:themeColor="text1"/>
          <w:sz w:val="20"/>
          <w:szCs w:val="20"/>
          <w:lang w:val="es-ES"/>
        </w:rPr>
        <w:t>audiencias públicas</w:t>
      </w:r>
      <w:r w:rsidRPr="00697A99">
        <w:rPr>
          <w:rFonts w:ascii="Arial" w:eastAsia="Calibri" w:hAnsi="Arial" w:cs="Arial"/>
          <w:bCs/>
          <w:color w:val="000000" w:themeColor="text1"/>
          <w:sz w:val="20"/>
          <w:szCs w:val="20"/>
          <w:lang w:val="es-ES"/>
        </w:rPr>
        <w:t xml:space="preserve"> en los términos del </w:t>
      </w:r>
      <w:r w:rsidRPr="00697A99">
        <w:rPr>
          <w:rFonts w:ascii="Arial" w:eastAsia="Calibri" w:hAnsi="Arial" w:cs="Arial"/>
          <w:color w:val="000000" w:themeColor="text1"/>
          <w:sz w:val="20"/>
          <w:szCs w:val="20"/>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w:t>
      </w:r>
      <w:r w:rsidR="00697A99" w:rsidRPr="00A40178">
        <w:rPr>
          <w:rFonts w:ascii="Arial" w:eastAsia="Calibri" w:hAnsi="Arial" w:cs="Arial"/>
          <w:color w:val="000000" w:themeColor="text1"/>
          <w:sz w:val="20"/>
          <w:szCs w:val="20"/>
        </w:rPr>
        <w:t xml:space="preserve">. </w:t>
      </w:r>
    </w:p>
    <w:p w14:paraId="37038558" w14:textId="7455F221" w:rsidR="00825FD3" w:rsidRPr="004F2A1C" w:rsidRDefault="00825FD3" w:rsidP="004F2A1C">
      <w:pPr>
        <w:jc w:val="both"/>
        <w:rPr>
          <w:rFonts w:ascii="Arial" w:eastAsia="Calibri" w:hAnsi="Arial" w:cs="Arial"/>
          <w:color w:val="000000" w:themeColor="text1"/>
          <w:sz w:val="20"/>
          <w:szCs w:val="20"/>
        </w:rPr>
      </w:pPr>
    </w:p>
    <w:p w14:paraId="2036CB1C" w14:textId="77777777" w:rsidR="005C5B7C" w:rsidRPr="004F2A1C" w:rsidRDefault="005C5B7C" w:rsidP="004F2A1C">
      <w:pPr>
        <w:jc w:val="both"/>
        <w:rPr>
          <w:rFonts w:ascii="Arial" w:eastAsia="Calibri" w:hAnsi="Arial" w:cs="Arial"/>
          <w:color w:val="000000" w:themeColor="text1"/>
          <w:sz w:val="20"/>
          <w:szCs w:val="20"/>
        </w:rPr>
      </w:pPr>
    </w:p>
    <w:p w14:paraId="6C2D1181" w14:textId="40D8AF36" w:rsidR="00387D0F" w:rsidRDefault="00387D0F" w:rsidP="004F2A1C">
      <w:pPr>
        <w:rPr>
          <w:rFonts w:ascii="Arial" w:hAnsi="Arial" w:cs="Arial"/>
          <w:b/>
          <w:sz w:val="22"/>
          <w:szCs w:val="20"/>
        </w:rPr>
      </w:pPr>
      <w:r w:rsidRPr="00387D0F">
        <w:rPr>
          <w:rFonts w:ascii="Arial" w:hAnsi="Arial" w:cs="Arial"/>
          <w:sz w:val="22"/>
          <w:szCs w:val="20"/>
        </w:rPr>
        <w:t xml:space="preserve">Bogotá D.C., </w:t>
      </w:r>
      <w:r w:rsidR="00DF58CA" w:rsidRPr="00DF58CA">
        <w:rPr>
          <w:rFonts w:ascii="Arial" w:hAnsi="Arial" w:cs="Arial"/>
          <w:b/>
          <w:sz w:val="22"/>
          <w:szCs w:val="20"/>
        </w:rPr>
        <w:t>13/07/2020 Hora 16:4:2s</w:t>
      </w:r>
    </w:p>
    <w:p w14:paraId="355C471E" w14:textId="77777777" w:rsidR="00387D0F" w:rsidRPr="00387D0F" w:rsidRDefault="00387D0F" w:rsidP="00387D0F">
      <w:pPr>
        <w:rPr>
          <w:rFonts w:ascii="Arial" w:hAnsi="Arial" w:cs="Arial"/>
          <w:b/>
          <w:sz w:val="22"/>
          <w:szCs w:val="20"/>
        </w:rPr>
      </w:pPr>
    </w:p>
    <w:p w14:paraId="18057FBF" w14:textId="3A31615F"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A9658B" w:rsidRPr="00A9658B">
        <w:rPr>
          <w:rFonts w:ascii="Arial" w:hAnsi="Arial" w:cs="Arial"/>
          <w:b/>
          <w:sz w:val="22"/>
          <w:szCs w:val="20"/>
        </w:rPr>
        <w:t>2202013000006170</w:t>
      </w:r>
    </w:p>
    <w:p w14:paraId="4ED669B5" w14:textId="77777777" w:rsidR="00BE1E33" w:rsidRPr="006C15D5" w:rsidRDefault="00BE1E33" w:rsidP="00BE1E33">
      <w:pPr>
        <w:rPr>
          <w:rFonts w:ascii="Arial" w:eastAsia="Calibri" w:hAnsi="Arial" w:cs="Arial"/>
          <w:color w:val="000000" w:themeColor="text1"/>
          <w:sz w:val="22"/>
        </w:rPr>
      </w:pPr>
    </w:p>
    <w:p w14:paraId="73D51859" w14:textId="4C0F51A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462FA0">
        <w:rPr>
          <w:rFonts w:ascii="Arial" w:eastAsia="Calibri" w:hAnsi="Arial" w:cs="Arial"/>
          <w:color w:val="000000" w:themeColor="text1"/>
          <w:sz w:val="22"/>
        </w:rPr>
        <w:t>a</w:t>
      </w:r>
    </w:p>
    <w:p w14:paraId="0ADC5F9B" w14:textId="3DB7B7B4" w:rsidR="00766030" w:rsidRDefault="00462FA0" w:rsidP="00BE1E33">
      <w:pPr>
        <w:rPr>
          <w:rFonts w:ascii="Arial" w:eastAsia="Calibri" w:hAnsi="Arial" w:cs="Arial"/>
          <w:b/>
          <w:color w:val="000000" w:themeColor="text1"/>
          <w:sz w:val="22"/>
        </w:rPr>
      </w:pPr>
      <w:r w:rsidRPr="00462FA0">
        <w:rPr>
          <w:rFonts w:ascii="Arial" w:eastAsia="Calibri" w:hAnsi="Arial" w:cs="Arial"/>
          <w:b/>
          <w:color w:val="000000" w:themeColor="text1"/>
          <w:sz w:val="22"/>
        </w:rPr>
        <w:t>Carolina Cort</w:t>
      </w:r>
      <w:r>
        <w:rPr>
          <w:rFonts w:ascii="Arial" w:eastAsia="Calibri" w:hAnsi="Arial" w:cs="Arial"/>
          <w:b/>
          <w:color w:val="000000" w:themeColor="text1"/>
          <w:sz w:val="22"/>
        </w:rPr>
        <w:t>é</w:t>
      </w:r>
      <w:r w:rsidRPr="00462FA0">
        <w:rPr>
          <w:rFonts w:ascii="Arial" w:eastAsia="Calibri" w:hAnsi="Arial" w:cs="Arial"/>
          <w:b/>
          <w:color w:val="000000" w:themeColor="text1"/>
          <w:sz w:val="22"/>
        </w:rPr>
        <w:t>s</w:t>
      </w:r>
    </w:p>
    <w:p w14:paraId="095BF112" w14:textId="12E8DFBF" w:rsidR="00BE1E33" w:rsidRPr="006C15D5" w:rsidRDefault="00EA62F1"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p>
    <w:p w14:paraId="04EF8353" w14:textId="77777777" w:rsidR="00BE1E33" w:rsidRPr="006C15D5" w:rsidRDefault="00BE1E33" w:rsidP="00BE1E33">
      <w:pPr>
        <w:rPr>
          <w:rFonts w:ascii="Arial" w:eastAsia="Calibri" w:hAnsi="Arial" w:cs="Arial"/>
          <w:color w:val="000000" w:themeColor="text1"/>
          <w:sz w:val="22"/>
        </w:rPr>
      </w:pPr>
    </w:p>
    <w:p w14:paraId="5CEA4ADF" w14:textId="2478F3E3"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353025" w:rsidRPr="00F86B27">
        <w:rPr>
          <w:rFonts w:ascii="Arial" w:eastAsia="Calibri" w:hAnsi="Arial" w:cs="Arial"/>
          <w:b/>
          <w:color w:val="000000" w:themeColor="text1"/>
          <w:sz w:val="22"/>
        </w:rPr>
        <w:t>406</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2C7E6F1B" w:rsidR="00BE1E33" w:rsidRPr="006C15D5" w:rsidRDefault="001E4EC1">
            <w:pPr>
              <w:jc w:val="both"/>
              <w:rPr>
                <w:rFonts w:ascii="Arial" w:eastAsia="Calibri" w:hAnsi="Arial" w:cs="Arial"/>
                <w:color w:val="000000" w:themeColor="text1"/>
                <w:sz w:val="22"/>
              </w:rPr>
            </w:pPr>
            <w:r w:rsidRPr="001E4EC1">
              <w:rPr>
                <w:rFonts w:ascii="Arial" w:eastAsia="Calibri" w:hAnsi="Arial" w:cs="Arial"/>
                <w:color w:val="000000" w:themeColor="text1"/>
                <w:sz w:val="22"/>
              </w:rPr>
              <w:t xml:space="preserve">CONCURSO DE MÉRITOS – Noción </w:t>
            </w:r>
            <w:r>
              <w:rPr>
                <w:rFonts w:ascii="Arial" w:eastAsia="Calibri" w:hAnsi="Arial" w:cs="Arial"/>
                <w:color w:val="000000" w:themeColor="text1"/>
                <w:sz w:val="22"/>
              </w:rPr>
              <w:t xml:space="preserve">/ </w:t>
            </w:r>
            <w:r w:rsidRPr="001E4EC1">
              <w:rPr>
                <w:rFonts w:ascii="Arial" w:eastAsia="Calibri" w:hAnsi="Arial" w:cs="Arial"/>
                <w:color w:val="000000" w:themeColor="text1"/>
                <w:sz w:val="22"/>
              </w:rPr>
              <w:t>CONCURSO DE MÉRITOS – Modalidades</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DECRETO 1082 DE 2015 – Artículo </w:t>
            </w:r>
            <w:r w:rsidR="00A22E15">
              <w:rPr>
                <w:rFonts w:ascii="Arial" w:eastAsia="Calibri" w:hAnsi="Arial" w:cs="Arial"/>
                <w:color w:val="000000" w:themeColor="text1"/>
                <w:sz w:val="22"/>
              </w:rPr>
              <w:t>2.2.1.2.1.3.2</w:t>
            </w:r>
            <w:r w:rsidRPr="001E4EC1">
              <w:rPr>
                <w:rFonts w:ascii="Arial" w:eastAsia="Calibri" w:hAnsi="Arial" w:cs="Arial"/>
                <w:color w:val="000000" w:themeColor="text1"/>
                <w:sz w:val="22"/>
              </w:rPr>
              <w:t xml:space="preserve"> – Suspensión provisional – Selección de consultores </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CONCURSO DE MÉRITOS – Procedimiento – Audiencia – Orden de elegibilidad – Suspensión provisional – SECOP II </w:t>
            </w:r>
            <w:r>
              <w:rPr>
                <w:rFonts w:ascii="Arial" w:eastAsia="Calibri" w:hAnsi="Arial" w:cs="Arial"/>
                <w:color w:val="000000" w:themeColor="text1"/>
                <w:sz w:val="22"/>
              </w:rPr>
              <w:t xml:space="preserve">/ </w:t>
            </w:r>
            <w:r w:rsidR="00B9572C" w:rsidRPr="00B9572C">
              <w:rPr>
                <w:rFonts w:ascii="Arial" w:eastAsia="Calibri" w:hAnsi="Arial" w:cs="Arial"/>
                <w:color w:val="000000" w:themeColor="text1"/>
                <w:sz w:val="22"/>
              </w:rPr>
              <w:t>CONCURSO DE MÉRITOS – Adjudicación – Audiencia pública – Analogía – Inaplicable</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00B9572C" w:rsidRPr="00B9572C">
              <w:rPr>
                <w:rFonts w:ascii="Arial" w:eastAsia="Calibri" w:hAnsi="Arial" w:cs="Arial"/>
                <w:color w:val="000000" w:themeColor="text1"/>
                <w:sz w:val="22"/>
              </w:rPr>
              <w:t>CONCURSO DE MÉRITOS – Adjudicación – Procedimiento administrativo general –Audiencias potestativas – Estatuto general de contratación – Ausencia de regulación</w:t>
            </w:r>
            <w:r w:rsidR="00BE1E33" w:rsidRPr="006C15D5">
              <w:rPr>
                <w:rFonts w:ascii="Arial" w:eastAsia="Calibri" w:hAnsi="Arial" w:cs="Arial"/>
                <w:color w:val="000000" w:themeColor="text1"/>
                <w:sz w:val="22"/>
              </w:rPr>
              <w:t xml:space="preserve"> / </w:t>
            </w:r>
            <w:r w:rsidR="00B9572C" w:rsidRPr="00B9572C">
              <w:rPr>
                <w:rFonts w:ascii="Arial" w:eastAsia="Calibri" w:hAnsi="Arial" w:cs="Arial"/>
                <w:color w:val="000000" w:themeColor="text1"/>
                <w:sz w:val="22"/>
              </w:rPr>
              <w:t>CONCURSO DE MÉRITOS – Adjudicación – Audiencias potestativas – Estatuto general de contratación – Compatibles</w:t>
            </w:r>
            <w:r w:rsidR="00B9572C">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467311E2"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4C10E4" w:rsidRPr="004C10E4">
              <w:rPr>
                <w:rFonts w:ascii="Arial" w:eastAsia="Calibri" w:hAnsi="Arial" w:cs="Arial"/>
                <w:color w:val="000000" w:themeColor="text1"/>
                <w:sz w:val="22"/>
              </w:rPr>
              <w:t>4202013000004727</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0BA57DC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0D7AC3">
        <w:rPr>
          <w:rFonts w:ascii="Arial" w:eastAsia="Calibri" w:hAnsi="Arial" w:cs="Arial"/>
          <w:color w:val="000000" w:themeColor="text1"/>
          <w:sz w:val="22"/>
        </w:rPr>
        <w:t>a</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señor</w:t>
      </w:r>
      <w:r w:rsidR="000D7AC3">
        <w:rPr>
          <w:rFonts w:ascii="Arial" w:eastAsia="Calibri" w:hAnsi="Arial" w:cs="Arial"/>
          <w:color w:val="000000" w:themeColor="text1"/>
          <w:sz w:val="22"/>
        </w:rPr>
        <w:t>a</w:t>
      </w:r>
      <w:r w:rsidRPr="006C15D5">
        <w:rPr>
          <w:rFonts w:ascii="Arial" w:eastAsia="Calibri" w:hAnsi="Arial" w:cs="Arial"/>
          <w:color w:val="000000" w:themeColor="text1"/>
          <w:sz w:val="22"/>
        </w:rPr>
        <w:t xml:space="preserve"> </w:t>
      </w:r>
      <w:r w:rsidR="000D7AC3">
        <w:rPr>
          <w:rFonts w:ascii="Arial" w:eastAsia="Calibri" w:hAnsi="Arial" w:cs="Arial"/>
          <w:color w:val="000000" w:themeColor="text1"/>
          <w:sz w:val="22"/>
        </w:rPr>
        <w:t>Cortés</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A88D7A3"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874193">
        <w:rPr>
          <w:rFonts w:ascii="Arial" w:eastAsia="Calibri" w:hAnsi="Arial" w:cs="Arial"/>
          <w:color w:val="000000" w:themeColor="text1"/>
          <w:sz w:val="22"/>
        </w:rPr>
        <w:t>8 de junio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21BFABFC" w:rsidR="00BE1E33" w:rsidRPr="006C15D5" w:rsidRDefault="00C07B5E" w:rsidP="00C07B5E">
      <w:pPr>
        <w:tabs>
          <w:tab w:val="left" w:pos="426"/>
        </w:tabs>
        <w:spacing w:line="276" w:lineRule="auto"/>
        <w:jc w:val="both"/>
        <w:rPr>
          <w:rFonts w:ascii="Arial" w:eastAsia="Calibri" w:hAnsi="Arial" w:cs="Arial"/>
          <w:color w:val="000000" w:themeColor="text1"/>
          <w:sz w:val="22"/>
        </w:rPr>
      </w:pPr>
      <w:bookmarkStart w:id="4" w:name="_Hlk41142281"/>
      <w:bookmarkStart w:id="5" w:name="_Hlk41043439"/>
      <w:r>
        <w:rPr>
          <w:rFonts w:ascii="Arial" w:eastAsia="Calibri" w:hAnsi="Arial" w:cs="Arial"/>
          <w:color w:val="000000" w:themeColor="text1"/>
          <w:sz w:val="22"/>
        </w:rPr>
        <w:t>U</w:t>
      </w:r>
      <w:r w:rsidR="00EA62F1">
        <w:rPr>
          <w:rFonts w:ascii="Arial" w:eastAsia="Calibri" w:hAnsi="Arial" w:cs="Arial"/>
          <w:color w:val="000000" w:themeColor="text1"/>
          <w:sz w:val="22"/>
        </w:rPr>
        <w:t xml:space="preserve">sted realiza la siguiente pregunta: </w:t>
      </w:r>
      <w:bookmarkEnd w:id="4"/>
      <w:bookmarkEnd w:id="5"/>
      <w:r w:rsidR="007564C1">
        <w:rPr>
          <w:rFonts w:ascii="Arial" w:eastAsia="Calibri" w:hAnsi="Arial" w:cs="Arial"/>
          <w:color w:val="000000" w:themeColor="text1"/>
          <w:sz w:val="22"/>
        </w:rPr>
        <w:t xml:space="preserve">«[...] </w:t>
      </w:r>
      <w:r w:rsidR="007564C1" w:rsidRPr="007564C1">
        <w:rPr>
          <w:rFonts w:ascii="Arial" w:eastAsia="Calibri" w:hAnsi="Arial" w:cs="Arial"/>
          <w:color w:val="000000" w:themeColor="text1"/>
          <w:sz w:val="22"/>
        </w:rPr>
        <w:t>teniendo en cuenta que el orden de elegibilidad en los concursos de méritos debe publicarse junto con la evaluación del proceso según lo contemplado en el numeral 2 del artículo 2.2.1.2.1.3.2. del decreto 1082 de 2015 y que el 20 de febrero de 2019 la Sala Contencioso Administrativa del Consejo de Estado (radicado 61463), suspendió los numerales 3 a 6 del citado artículo y por tanto la revisión de la propuesta económica corresponde hacerla a la entidad sin que medie audiencia o revisión  con los proponentes, de manera atenta solicito se informe si en el concurso de méritos debe efectuarse algún tipo de audiencia dado que la plataforma aún contempla esa posibilidad al solicitar en el cronograma una fecha obligatoria para “audiencia orden de elegibilidad”</w:t>
      </w:r>
      <w:r w:rsidR="007564C1">
        <w:rPr>
          <w:rFonts w:ascii="Arial" w:eastAsia="Calibri" w:hAnsi="Arial" w:cs="Arial"/>
          <w:color w:val="000000" w:themeColor="text1"/>
          <w:sz w:val="22"/>
        </w:rPr>
        <w:t>». Para la peticionaria la respuesta es importante, ya que «</w:t>
      </w:r>
      <w:r w:rsidR="007564C1" w:rsidRPr="007564C1">
        <w:rPr>
          <w:rFonts w:ascii="Arial" w:eastAsia="Calibri" w:hAnsi="Arial" w:cs="Arial"/>
          <w:color w:val="000000" w:themeColor="text1"/>
          <w:sz w:val="22"/>
        </w:rPr>
        <w:t>Esta situación puede generar a los futuros proponentes la expectativa que se llevará una audiencia cuando la norma así no lo exige</w:t>
      </w:r>
      <w:r w:rsidR="007564C1">
        <w:rPr>
          <w:rFonts w:ascii="Arial" w:eastAsia="Calibri" w:hAnsi="Arial" w:cs="Arial"/>
          <w:color w:val="000000" w:themeColor="text1"/>
          <w:sz w:val="22"/>
        </w:rPr>
        <w:t xml:space="preserve">». </w:t>
      </w:r>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6952D2D3"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 pregunta planteada, se analizarán los siguientes temas: i) </w:t>
      </w:r>
      <w:r w:rsidR="005A2781">
        <w:rPr>
          <w:rFonts w:ascii="Arial" w:eastAsia="Calibri" w:hAnsi="Arial" w:cs="Arial"/>
          <w:color w:val="000000" w:themeColor="text1"/>
          <w:sz w:val="22"/>
        </w:rPr>
        <w:t>cambios del</w:t>
      </w:r>
      <w:r w:rsidR="007564C1">
        <w:rPr>
          <w:rFonts w:ascii="Arial" w:eastAsia="Calibri" w:hAnsi="Arial" w:cs="Arial"/>
          <w:color w:val="000000" w:themeColor="text1"/>
          <w:sz w:val="22"/>
        </w:rPr>
        <w:t xml:space="preserve"> concurso de méritos después de los autos de suspensión provisional del Consejo de Estado y </w:t>
      </w:r>
      <w:proofErr w:type="spellStart"/>
      <w:r w:rsidR="007564C1">
        <w:rPr>
          <w:rFonts w:ascii="Arial" w:eastAsia="Calibri" w:hAnsi="Arial" w:cs="Arial"/>
          <w:color w:val="000000" w:themeColor="text1"/>
          <w:sz w:val="22"/>
        </w:rPr>
        <w:t>ii</w:t>
      </w:r>
      <w:proofErr w:type="spellEnd"/>
      <w:r w:rsidR="007564C1">
        <w:rPr>
          <w:rFonts w:ascii="Arial" w:eastAsia="Calibri" w:hAnsi="Arial" w:cs="Arial"/>
          <w:color w:val="000000" w:themeColor="text1"/>
          <w:sz w:val="22"/>
        </w:rPr>
        <w:t xml:space="preserve">) posibilidad de realizar </w:t>
      </w:r>
      <w:r w:rsidR="007C6894">
        <w:rPr>
          <w:rFonts w:ascii="Arial" w:eastAsia="Calibri" w:hAnsi="Arial" w:cs="Arial"/>
          <w:color w:val="000000" w:themeColor="text1"/>
          <w:sz w:val="22"/>
        </w:rPr>
        <w:t>audiencia</w:t>
      </w:r>
      <w:r w:rsidR="007564C1">
        <w:rPr>
          <w:rFonts w:ascii="Arial" w:eastAsia="Calibri" w:hAnsi="Arial" w:cs="Arial"/>
          <w:color w:val="000000" w:themeColor="text1"/>
          <w:sz w:val="22"/>
        </w:rPr>
        <w:t>s</w:t>
      </w:r>
      <w:r w:rsidR="007C6894">
        <w:rPr>
          <w:rFonts w:ascii="Arial" w:eastAsia="Calibri" w:hAnsi="Arial" w:cs="Arial"/>
          <w:color w:val="000000" w:themeColor="text1"/>
          <w:sz w:val="22"/>
        </w:rPr>
        <w:t xml:space="preserve"> de adjudicación e</w:t>
      </w:r>
      <w:r w:rsidR="007564C1">
        <w:rPr>
          <w:rFonts w:ascii="Arial" w:eastAsia="Calibri" w:hAnsi="Arial" w:cs="Arial"/>
          <w:color w:val="000000" w:themeColor="text1"/>
          <w:sz w:val="22"/>
        </w:rPr>
        <w:t>n este procedimiento de selección.</w:t>
      </w:r>
    </w:p>
    <w:p w14:paraId="1B62B743" w14:textId="43231BB9" w:rsidR="00AE7EF0" w:rsidRDefault="0096646C" w:rsidP="00431C2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r>
      <w:r w:rsidR="005A2781" w:rsidRPr="005A2781">
        <w:rPr>
          <w:rFonts w:ascii="Arial" w:eastAsia="Calibri" w:hAnsi="Arial" w:cs="Arial"/>
          <w:color w:val="000000" w:themeColor="text1"/>
          <w:sz w:val="22"/>
        </w:rPr>
        <w:t xml:space="preserve">Recientemente esta Subdirección expidió el Concepto C-124 del 25 de marzo de 2020, donde se explicó </w:t>
      </w:r>
      <w:r w:rsidR="00476DBC">
        <w:rPr>
          <w:rFonts w:ascii="Arial" w:eastAsia="Calibri" w:hAnsi="Arial" w:cs="Arial"/>
          <w:color w:val="000000" w:themeColor="text1"/>
          <w:sz w:val="22"/>
        </w:rPr>
        <w:t xml:space="preserve">no solo la forma de analizar el precio en el concurso de méritos sino </w:t>
      </w:r>
      <w:r w:rsidR="00881742">
        <w:rPr>
          <w:rFonts w:ascii="Arial" w:eastAsia="Calibri" w:hAnsi="Arial" w:cs="Arial"/>
          <w:color w:val="000000" w:themeColor="text1"/>
          <w:sz w:val="22"/>
        </w:rPr>
        <w:t xml:space="preserve">también </w:t>
      </w:r>
      <w:r w:rsidR="005A2781">
        <w:rPr>
          <w:rFonts w:ascii="Arial" w:eastAsia="Calibri" w:hAnsi="Arial" w:cs="Arial"/>
          <w:color w:val="000000" w:themeColor="text1"/>
          <w:sz w:val="22"/>
        </w:rPr>
        <w:t>que</w:t>
      </w:r>
      <w:r w:rsidR="005A2781" w:rsidRPr="005A2781">
        <w:rPr>
          <w:rFonts w:ascii="Arial" w:eastAsia="Calibri" w:hAnsi="Arial" w:cs="Arial"/>
          <w:color w:val="000000" w:themeColor="text1"/>
          <w:sz w:val="22"/>
        </w:rPr>
        <w:t xml:space="preserve"> la audiencia de adjudicación únicamente es obligatoria en la licitación pública o, lo que es lo mismo, dicha diligencia es potestativa en otros procedimientos de selección. </w:t>
      </w:r>
      <w:r w:rsidR="00476DBC">
        <w:rPr>
          <w:rFonts w:ascii="Arial" w:eastAsia="Calibri" w:hAnsi="Arial" w:cs="Arial"/>
          <w:color w:val="000000" w:themeColor="text1"/>
          <w:sz w:val="22"/>
        </w:rPr>
        <w:t>En lo pertinente, l</w:t>
      </w:r>
      <w:r w:rsidR="005A2781" w:rsidRPr="005A2781">
        <w:rPr>
          <w:rFonts w:ascii="Arial" w:eastAsia="Calibri" w:hAnsi="Arial" w:cs="Arial"/>
          <w:color w:val="000000" w:themeColor="text1"/>
          <w:sz w:val="22"/>
        </w:rPr>
        <w:t>a tesis propuesta en este concepto se expone a continuación</w:t>
      </w:r>
      <w:r w:rsidRPr="0096646C">
        <w:rPr>
          <w:rFonts w:ascii="Arial" w:eastAsia="Calibri" w:hAnsi="Arial" w:cs="Arial"/>
          <w:color w:val="000000" w:themeColor="text1"/>
          <w:sz w:val="22"/>
        </w:rPr>
        <w:t xml:space="preserve">: </w:t>
      </w:r>
    </w:p>
    <w:p w14:paraId="3DDFD2AD" w14:textId="77777777" w:rsidR="00AE7EF0" w:rsidRDefault="00AE7EF0" w:rsidP="00431C20">
      <w:pPr>
        <w:spacing w:line="276" w:lineRule="auto"/>
        <w:jc w:val="both"/>
        <w:rPr>
          <w:rFonts w:ascii="Arial" w:eastAsia="Calibri" w:hAnsi="Arial" w:cs="Arial"/>
          <w:color w:val="000000" w:themeColor="text1"/>
          <w:sz w:val="22"/>
        </w:rPr>
      </w:pPr>
    </w:p>
    <w:p w14:paraId="5F31DB0A" w14:textId="5909728D" w:rsidR="00431C20" w:rsidRDefault="00D44227" w:rsidP="00431C20">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sidR="005A2781">
        <w:rPr>
          <w:rFonts w:ascii="Arial" w:eastAsia="Calibri" w:hAnsi="Arial" w:cs="Arial"/>
          <w:b/>
          <w:bCs/>
          <w:color w:val="000000" w:themeColor="text1"/>
          <w:sz w:val="22"/>
        </w:rPr>
        <w:t>Procedimiento del concurso de méritos después de los autos de suspensión provisional del Consejo de Estado</w:t>
      </w:r>
    </w:p>
    <w:p w14:paraId="5A7C7B77" w14:textId="749961D0" w:rsidR="00450EB7" w:rsidRDefault="00450EB7" w:rsidP="00431C20">
      <w:pPr>
        <w:spacing w:line="276" w:lineRule="auto"/>
        <w:jc w:val="both"/>
        <w:rPr>
          <w:rFonts w:ascii="Arial" w:eastAsia="Calibri" w:hAnsi="Arial" w:cs="Arial"/>
          <w:b/>
          <w:bCs/>
          <w:color w:val="000000" w:themeColor="text1"/>
          <w:sz w:val="22"/>
        </w:rPr>
      </w:pPr>
    </w:p>
    <w:p w14:paraId="3074E278" w14:textId="61CA0436" w:rsidR="00450EB7" w:rsidRPr="00F666D0" w:rsidRDefault="00450EB7" w:rsidP="00450EB7">
      <w:pPr>
        <w:spacing w:line="276" w:lineRule="auto"/>
        <w:jc w:val="both"/>
        <w:rPr>
          <w:rFonts w:ascii="Arial" w:hAnsi="Arial" w:cs="Arial"/>
          <w:color w:val="000000" w:themeColor="text1"/>
          <w:sz w:val="22"/>
        </w:rPr>
      </w:pPr>
      <w:r w:rsidRPr="00F666D0">
        <w:rPr>
          <w:rFonts w:ascii="Arial" w:hAnsi="Arial" w:cs="Arial"/>
          <w:color w:val="000000" w:themeColor="text1"/>
          <w:sz w:val="22"/>
        </w:rPr>
        <w:t xml:space="preserve">El </w:t>
      </w:r>
      <w:r w:rsidRPr="00F666D0">
        <w:rPr>
          <w:rFonts w:ascii="Arial" w:hAnsi="Arial" w:cs="Arial"/>
          <w:i/>
          <w:iCs/>
          <w:color w:val="000000" w:themeColor="text1"/>
          <w:sz w:val="22"/>
        </w:rPr>
        <w:t xml:space="preserve">concurso de méritos </w:t>
      </w:r>
      <w:r w:rsidRPr="00F666D0">
        <w:rPr>
          <w:rFonts w:ascii="Arial" w:hAnsi="Arial" w:cs="Arial"/>
          <w:color w:val="000000" w:themeColor="text1"/>
          <w:sz w:val="22"/>
        </w:rPr>
        <w:t xml:space="preserve">es </w:t>
      </w:r>
      <w:r>
        <w:rPr>
          <w:rFonts w:ascii="Arial" w:hAnsi="Arial" w:cs="Arial"/>
          <w:color w:val="000000" w:themeColor="text1"/>
          <w:sz w:val="22"/>
        </w:rPr>
        <w:t>un procedimiento de selección</w:t>
      </w:r>
      <w:r w:rsidRPr="00F666D0">
        <w:rPr>
          <w:rFonts w:ascii="Arial" w:hAnsi="Arial" w:cs="Arial"/>
          <w:color w:val="000000" w:themeColor="text1"/>
          <w:sz w:val="22"/>
        </w:rPr>
        <w:t xml:space="preserve">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w:t>
      </w:r>
      <w:r w:rsidR="00881742">
        <w:rPr>
          <w:rFonts w:ascii="Arial" w:hAnsi="Arial" w:cs="Arial"/>
          <w:color w:val="000000" w:themeColor="text1"/>
          <w:sz w:val="22"/>
        </w:rPr>
        <w:t>dispuesto</w:t>
      </w:r>
      <w:r w:rsidRPr="00F666D0">
        <w:rPr>
          <w:rFonts w:ascii="Arial" w:hAnsi="Arial" w:cs="Arial"/>
          <w:color w:val="000000" w:themeColor="text1"/>
          <w:sz w:val="22"/>
        </w:rPr>
        <w:t xml:space="preserve"> en el artículo 32, numeral 2, de la Ley 80 de 1993.</w:t>
      </w:r>
    </w:p>
    <w:p w14:paraId="0F20DBCE" w14:textId="4F310EFA" w:rsidR="00450EB7" w:rsidRPr="00F666D0" w:rsidRDefault="00450EB7" w:rsidP="00450EB7">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El Libro 2, Parte 2, Título 1, Capítulo 2, Sección 1, Subsección 3 del Decreto 1082 de 2015 regula el concurso de méritos. Allí </w:t>
      </w:r>
      <w:r>
        <w:rPr>
          <w:rFonts w:ascii="Arial" w:hAnsi="Arial" w:cs="Arial"/>
          <w:color w:val="000000" w:themeColor="text1"/>
          <w:sz w:val="22"/>
        </w:rPr>
        <w:t>dispone</w:t>
      </w:r>
      <w:r w:rsidRPr="00F666D0">
        <w:rPr>
          <w:rFonts w:ascii="Arial" w:hAnsi="Arial" w:cs="Arial"/>
          <w:color w:val="000000" w:themeColor="text1"/>
          <w:sz w:val="22"/>
        </w:rPr>
        <w:t xml:space="preserve"> </w:t>
      </w:r>
      <w:r>
        <w:rPr>
          <w:rFonts w:ascii="Arial" w:hAnsi="Arial" w:cs="Arial"/>
          <w:color w:val="000000" w:themeColor="text1"/>
          <w:sz w:val="22"/>
        </w:rPr>
        <w:t>las</w:t>
      </w:r>
      <w:r w:rsidRPr="00F666D0">
        <w:rPr>
          <w:rFonts w:ascii="Arial" w:hAnsi="Arial" w:cs="Arial"/>
          <w:color w:val="000000" w:themeColor="text1"/>
          <w:sz w:val="22"/>
        </w:rPr>
        <w:t xml:space="preserve"> distintas modalidades: i) concurso de méritos abierto o sin precalificación, </w:t>
      </w:r>
      <w:proofErr w:type="spellStart"/>
      <w:r w:rsidRPr="00F666D0">
        <w:rPr>
          <w:rFonts w:ascii="Arial" w:hAnsi="Arial" w:cs="Arial"/>
          <w:color w:val="000000" w:themeColor="text1"/>
          <w:sz w:val="22"/>
        </w:rPr>
        <w:t>ii</w:t>
      </w:r>
      <w:proofErr w:type="spellEnd"/>
      <w:r w:rsidRPr="00F666D0">
        <w:rPr>
          <w:rFonts w:ascii="Arial" w:hAnsi="Arial" w:cs="Arial"/>
          <w:color w:val="000000" w:themeColor="text1"/>
          <w:sz w:val="22"/>
        </w:rPr>
        <w:t xml:space="preserve">) concurso de méritos cerrado o con precalificación y </w:t>
      </w:r>
      <w:proofErr w:type="spellStart"/>
      <w:r w:rsidRPr="00F666D0">
        <w:rPr>
          <w:rFonts w:ascii="Arial" w:hAnsi="Arial" w:cs="Arial"/>
          <w:color w:val="000000" w:themeColor="text1"/>
          <w:sz w:val="22"/>
        </w:rPr>
        <w:t>iii</w:t>
      </w:r>
      <w:proofErr w:type="spellEnd"/>
      <w:r w:rsidRPr="00F666D0">
        <w:rPr>
          <w:rFonts w:ascii="Arial" w:hAnsi="Arial" w:cs="Arial"/>
          <w:color w:val="000000" w:themeColor="text1"/>
          <w:sz w:val="22"/>
        </w:rPr>
        <w:t xml:space="preserve">) concurso de méritos «para la selección de consultores de diseño, planos, anteproyectos y proyectos arquitectónicos». El primero está regulado en los artículos 2.2.1.2.1.3.1. y 2.2.1.2.1.3.2. </w:t>
      </w:r>
      <w:proofErr w:type="spellStart"/>
      <w:r w:rsidRPr="00F666D0">
        <w:rPr>
          <w:rFonts w:ascii="Arial" w:hAnsi="Arial" w:cs="Arial"/>
          <w:i/>
          <w:iCs/>
          <w:color w:val="000000" w:themeColor="text1"/>
          <w:sz w:val="22"/>
        </w:rPr>
        <w:t>ibídem</w:t>
      </w:r>
      <w:proofErr w:type="spellEnd"/>
      <w:r w:rsidRPr="00F666D0">
        <w:rPr>
          <w:rFonts w:ascii="Arial" w:hAnsi="Arial" w:cs="Arial"/>
          <w:color w:val="000000" w:themeColor="text1"/>
          <w:sz w:val="22"/>
        </w:rPr>
        <w:t xml:space="preserve">. El segundo, además de los dos artículos anteriores, lo regulan los artículos 2.2.1.2.1.3.3. a 2.2.1.2.1.3.7. </w:t>
      </w:r>
      <w:proofErr w:type="spellStart"/>
      <w:r w:rsidRPr="00F666D0">
        <w:rPr>
          <w:rFonts w:ascii="Arial" w:hAnsi="Arial" w:cs="Arial"/>
          <w:i/>
          <w:iCs/>
          <w:color w:val="000000" w:themeColor="text1"/>
          <w:sz w:val="22"/>
        </w:rPr>
        <w:t>ejusdem</w:t>
      </w:r>
      <w:proofErr w:type="spellEnd"/>
      <w:r w:rsidRPr="00F666D0">
        <w:rPr>
          <w:rFonts w:ascii="Arial" w:hAnsi="Arial" w:cs="Arial"/>
          <w:color w:val="000000" w:themeColor="text1"/>
          <w:sz w:val="22"/>
        </w:rPr>
        <w:t xml:space="preserve">. El tercero lo regulan los artículos 2.2.1.2.1.3.8. a 2.2.1.2.1.3.25. del mencionado </w:t>
      </w:r>
      <w:r w:rsidR="00423C2C">
        <w:rPr>
          <w:rFonts w:ascii="Arial" w:hAnsi="Arial" w:cs="Arial"/>
          <w:color w:val="000000" w:themeColor="text1"/>
          <w:sz w:val="22"/>
        </w:rPr>
        <w:t>D</w:t>
      </w:r>
      <w:r w:rsidRPr="00F666D0">
        <w:rPr>
          <w:rFonts w:ascii="Arial" w:hAnsi="Arial" w:cs="Arial"/>
          <w:color w:val="000000" w:themeColor="text1"/>
          <w:sz w:val="22"/>
        </w:rPr>
        <w:t>ecreto.</w:t>
      </w:r>
    </w:p>
    <w:p w14:paraId="7A9D28E0" w14:textId="085722D0" w:rsidR="00450EB7" w:rsidRPr="00F666D0" w:rsidRDefault="00450EB7" w:rsidP="00450EB7">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Ahora bien, </w:t>
      </w:r>
      <w:bookmarkStart w:id="6" w:name="_Hlk43918348"/>
      <w:r w:rsidRPr="00F666D0">
        <w:rPr>
          <w:rFonts w:ascii="Arial" w:hAnsi="Arial" w:cs="Arial"/>
          <w:color w:val="000000" w:themeColor="text1"/>
          <w:sz w:val="22"/>
        </w:rPr>
        <w:t xml:space="preserve">la Sección Tercera del Consejo de Estado, en </w:t>
      </w:r>
      <w:r w:rsidR="00881742">
        <w:rPr>
          <w:rFonts w:ascii="Arial" w:hAnsi="Arial" w:cs="Arial"/>
          <w:color w:val="000000" w:themeColor="text1"/>
          <w:sz w:val="22"/>
        </w:rPr>
        <w:t>autos</w:t>
      </w:r>
      <w:r w:rsidRPr="00F666D0">
        <w:rPr>
          <w:rFonts w:ascii="Arial" w:hAnsi="Arial" w:cs="Arial"/>
          <w:color w:val="000000" w:themeColor="text1"/>
          <w:sz w:val="22"/>
        </w:rPr>
        <w:t xml:space="preserve"> del 25 de julio de 2018</w:t>
      </w:r>
      <w:r w:rsidRPr="00F666D0">
        <w:rPr>
          <w:rStyle w:val="Refdenotaalpie"/>
          <w:rFonts w:ascii="Arial" w:hAnsi="Arial" w:cs="Arial"/>
          <w:color w:val="000000" w:themeColor="text1"/>
          <w:sz w:val="22"/>
        </w:rPr>
        <w:footnoteReference w:id="1"/>
      </w:r>
      <w:r w:rsidRPr="00F666D0">
        <w:rPr>
          <w:rFonts w:ascii="Arial" w:hAnsi="Arial" w:cs="Arial"/>
          <w:color w:val="000000" w:themeColor="text1"/>
          <w:sz w:val="22"/>
        </w:rPr>
        <w:t xml:space="preserve"> y el 20 de febrero de 2019</w:t>
      </w:r>
      <w:r w:rsidRPr="00F666D0">
        <w:rPr>
          <w:rStyle w:val="Refdenotaalpie"/>
          <w:rFonts w:ascii="Arial" w:hAnsi="Arial" w:cs="Arial"/>
          <w:color w:val="000000" w:themeColor="text1"/>
          <w:sz w:val="22"/>
        </w:rPr>
        <w:footnoteReference w:id="2"/>
      </w:r>
      <w:r w:rsidRPr="00F666D0">
        <w:rPr>
          <w:rFonts w:ascii="Arial" w:hAnsi="Arial" w:cs="Arial"/>
          <w:color w:val="000000" w:themeColor="text1"/>
          <w:sz w:val="22"/>
        </w:rPr>
        <w:t xml:space="preserve">, suspendió provisionalmente, por un lado, el numeral 6 del artículo </w:t>
      </w:r>
      <w:r w:rsidR="00A22E15">
        <w:rPr>
          <w:rFonts w:ascii="Arial" w:hAnsi="Arial" w:cs="Arial"/>
          <w:color w:val="000000" w:themeColor="text1"/>
          <w:sz w:val="22"/>
        </w:rPr>
        <w:t>2.2.1.2.1.3.2</w:t>
      </w:r>
      <w:r w:rsidRPr="00F666D0">
        <w:rPr>
          <w:rFonts w:ascii="Arial" w:hAnsi="Arial" w:cs="Arial"/>
          <w:color w:val="000000" w:themeColor="text1"/>
          <w:sz w:val="22"/>
        </w:rPr>
        <w:t>. del Decreto 1082 de 2015 y, por el otro, los numerales 3, 4 y 5</w:t>
      </w:r>
      <w:r w:rsidR="00881742">
        <w:rPr>
          <w:rFonts w:ascii="Arial" w:hAnsi="Arial" w:cs="Arial"/>
          <w:color w:val="000000" w:themeColor="text1"/>
          <w:sz w:val="22"/>
        </w:rPr>
        <w:t xml:space="preserve"> de</w:t>
      </w:r>
      <w:r w:rsidRPr="00F666D0">
        <w:rPr>
          <w:rFonts w:ascii="Arial" w:hAnsi="Arial" w:cs="Arial"/>
          <w:color w:val="000000" w:themeColor="text1"/>
          <w:sz w:val="22"/>
        </w:rPr>
        <w:t xml:space="preserve"> la misma disposición. Las normas suspendidas regulan </w:t>
      </w:r>
      <w:r w:rsidR="008709D9">
        <w:rPr>
          <w:rFonts w:ascii="Arial" w:hAnsi="Arial" w:cs="Arial"/>
          <w:color w:val="000000" w:themeColor="text1"/>
          <w:sz w:val="22"/>
        </w:rPr>
        <w:t>el</w:t>
      </w:r>
      <w:r w:rsidRPr="00F666D0">
        <w:rPr>
          <w:rFonts w:ascii="Arial" w:hAnsi="Arial" w:cs="Arial"/>
          <w:color w:val="000000" w:themeColor="text1"/>
          <w:sz w:val="22"/>
        </w:rPr>
        <w:t xml:space="preserve"> concurso de méritos abierto o sin precalificación</w:t>
      </w:r>
      <w:bookmarkEnd w:id="6"/>
      <w:r w:rsidRPr="00F666D0">
        <w:rPr>
          <w:rFonts w:ascii="Arial" w:hAnsi="Arial" w:cs="Arial"/>
          <w:color w:val="000000" w:themeColor="text1"/>
          <w:sz w:val="22"/>
        </w:rPr>
        <w:t xml:space="preserve">. El texto de </w:t>
      </w:r>
      <w:r w:rsidR="00476DBC">
        <w:rPr>
          <w:rFonts w:ascii="Arial" w:hAnsi="Arial" w:cs="Arial"/>
          <w:color w:val="000000" w:themeColor="text1"/>
          <w:sz w:val="22"/>
        </w:rPr>
        <w:t>estos</w:t>
      </w:r>
      <w:r w:rsidRPr="00F666D0">
        <w:rPr>
          <w:rFonts w:ascii="Arial" w:hAnsi="Arial" w:cs="Arial"/>
          <w:color w:val="000000" w:themeColor="text1"/>
          <w:sz w:val="22"/>
        </w:rPr>
        <w:t xml:space="preserve"> numerales </w:t>
      </w:r>
      <w:r w:rsidR="00476DBC">
        <w:rPr>
          <w:rFonts w:ascii="Arial" w:hAnsi="Arial" w:cs="Arial"/>
          <w:color w:val="000000" w:themeColor="text1"/>
          <w:sz w:val="22"/>
        </w:rPr>
        <w:t>dispone lo siguiente</w:t>
      </w:r>
      <w:r w:rsidRPr="00F666D0">
        <w:rPr>
          <w:rFonts w:ascii="Arial" w:hAnsi="Arial" w:cs="Arial"/>
          <w:color w:val="000000" w:themeColor="text1"/>
          <w:sz w:val="22"/>
        </w:rPr>
        <w:t xml:space="preserve">: </w:t>
      </w:r>
    </w:p>
    <w:p w14:paraId="7A361EAB" w14:textId="77777777" w:rsidR="00450EB7" w:rsidRPr="00F666D0" w:rsidRDefault="00450EB7" w:rsidP="00450EB7">
      <w:pPr>
        <w:pStyle w:val="Sinespaciado"/>
        <w:spacing w:line="276" w:lineRule="auto"/>
        <w:jc w:val="both"/>
        <w:rPr>
          <w:rFonts w:ascii="Arial" w:hAnsi="Arial" w:cs="Arial"/>
          <w:color w:val="000000" w:themeColor="text1"/>
        </w:rPr>
      </w:pPr>
    </w:p>
    <w:p w14:paraId="09438BB9" w14:textId="77777777"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Artículo 2.2.1.2.1.3.2. Procedimiento del concurso de méritos. Además de las reglas generales previstas en la ley y en el presente título, las siguientes reglas son aplicables al concurso de méritos abierto o con precalificación:</w:t>
      </w:r>
    </w:p>
    <w:p w14:paraId="50C1F30A" w14:textId="77777777"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 xml:space="preserve">1. La Entidad Estatal en los pliegos de condiciones debe indicar la forma como calificará, entre otros, los siguientes criterios: a) la experiencia del interesado y </w:t>
      </w:r>
      <w:r w:rsidRPr="00F666D0">
        <w:rPr>
          <w:rFonts w:ascii="Arial" w:hAnsi="Arial" w:cs="Arial"/>
          <w:color w:val="000000" w:themeColor="text1"/>
          <w:sz w:val="21"/>
          <w:szCs w:val="21"/>
        </w:rPr>
        <w:lastRenderedPageBreak/>
        <w:t>del equipo de trabajo, y b) la formación académica y las publicaciones técnicas y científicas del equipo de trabajo.</w:t>
      </w:r>
    </w:p>
    <w:p w14:paraId="26DEC043" w14:textId="129FA31D"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2. La Entidad Estatal debe publicar durante tres (3) días hábiles el informe de evaluación, el cual debe contener la calificación técnica y el orden de elegibilidad.</w:t>
      </w:r>
    </w:p>
    <w:p w14:paraId="0C2FC072" w14:textId="3B7FF707"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3. La Entidad Estatal debe revisar la oferta económica y verificar que está en el rango del valor estimado consignado en los documentos y estudios previos y del presupuesto asignado para el contrato.</w:t>
      </w:r>
    </w:p>
    <w:p w14:paraId="724D6BBD" w14:textId="0FC5DAFD"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4. La Entidad Estatal debe revisar con el oferente calificado en el primer lugar de elegibilidad la coherencia y consistencia entre: i) la necesidad identificada por la Entidad Estatal y el alcance de la oferta; </w:t>
      </w:r>
      <w:proofErr w:type="spellStart"/>
      <w:r w:rsidRPr="00F666D0">
        <w:rPr>
          <w:rFonts w:ascii="Arial" w:hAnsi="Arial" w:cs="Arial"/>
          <w:i/>
          <w:color w:val="000000" w:themeColor="text1"/>
          <w:sz w:val="21"/>
          <w:szCs w:val="21"/>
        </w:rPr>
        <w:t>ii</w:t>
      </w:r>
      <w:proofErr w:type="spellEnd"/>
      <w:r w:rsidRPr="00F666D0">
        <w:rPr>
          <w:rFonts w:ascii="Arial" w:hAnsi="Arial" w:cs="Arial"/>
          <w:i/>
          <w:color w:val="000000" w:themeColor="text1"/>
          <w:sz w:val="21"/>
          <w:szCs w:val="21"/>
        </w:rPr>
        <w:t xml:space="preserve">) la </w:t>
      </w:r>
      <w:proofErr w:type="gramStart"/>
      <w:r w:rsidRPr="00F666D0">
        <w:rPr>
          <w:rFonts w:ascii="Arial" w:hAnsi="Arial" w:cs="Arial"/>
          <w:i/>
          <w:color w:val="000000" w:themeColor="text1"/>
          <w:sz w:val="21"/>
          <w:szCs w:val="21"/>
        </w:rPr>
        <w:t>consultoría ofrecida y el precio ofrecido</w:t>
      </w:r>
      <w:proofErr w:type="gramEnd"/>
      <w:r w:rsidRPr="00F666D0">
        <w:rPr>
          <w:rFonts w:ascii="Arial" w:hAnsi="Arial" w:cs="Arial"/>
          <w:i/>
          <w:color w:val="000000" w:themeColor="text1"/>
          <w:sz w:val="21"/>
          <w:szCs w:val="21"/>
        </w:rPr>
        <w:t xml:space="preserve">, y </w:t>
      </w:r>
      <w:proofErr w:type="spellStart"/>
      <w:r w:rsidRPr="00F666D0">
        <w:rPr>
          <w:rFonts w:ascii="Arial" w:hAnsi="Arial" w:cs="Arial"/>
          <w:i/>
          <w:color w:val="000000" w:themeColor="text1"/>
          <w:sz w:val="21"/>
          <w:szCs w:val="21"/>
        </w:rPr>
        <w:t>iii</w:t>
      </w:r>
      <w:proofErr w:type="spellEnd"/>
      <w:r w:rsidRPr="00F666D0">
        <w:rPr>
          <w:rFonts w:ascii="Arial" w:hAnsi="Arial" w:cs="Arial"/>
          <w:i/>
          <w:color w:val="000000" w:themeColor="text1"/>
          <w:sz w:val="21"/>
          <w:szCs w:val="21"/>
        </w:rPr>
        <w:t xml:space="preserve">) el precio ofrecido y la disponibilidad presupuestal del respectivo Proceso de Contratación. Si la Entidad Estatal y el oferente llegan a un acuerdo sobre el alcance y el valor del contrato, dejarán constancia </w:t>
      </w:r>
      <w:proofErr w:type="gramStart"/>
      <w:r w:rsidRPr="00F666D0">
        <w:rPr>
          <w:rFonts w:ascii="Arial" w:hAnsi="Arial" w:cs="Arial"/>
          <w:i/>
          <w:color w:val="000000" w:themeColor="text1"/>
          <w:sz w:val="21"/>
          <w:szCs w:val="21"/>
        </w:rPr>
        <w:t>del mismo</w:t>
      </w:r>
      <w:proofErr w:type="gramEnd"/>
      <w:r w:rsidRPr="00F666D0">
        <w:rPr>
          <w:rFonts w:ascii="Arial" w:hAnsi="Arial" w:cs="Arial"/>
          <w:i/>
          <w:color w:val="000000" w:themeColor="text1"/>
          <w:sz w:val="21"/>
          <w:szCs w:val="21"/>
        </w:rPr>
        <w:t xml:space="preserve"> y firmarán el contrato.</w:t>
      </w:r>
    </w:p>
    <w:p w14:paraId="572A7CC6" w14:textId="346EDC93"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F666D0">
        <w:rPr>
          <w:rFonts w:ascii="Arial" w:hAnsi="Arial" w:cs="Arial"/>
          <w:i/>
          <w:color w:val="000000" w:themeColor="text1"/>
          <w:sz w:val="21"/>
          <w:szCs w:val="21"/>
        </w:rPr>
        <w:t>del mismo</w:t>
      </w:r>
      <w:proofErr w:type="gramEnd"/>
      <w:r w:rsidRPr="00F666D0">
        <w:rPr>
          <w:rFonts w:ascii="Arial" w:hAnsi="Arial" w:cs="Arial"/>
          <w:i/>
          <w:color w:val="000000" w:themeColor="text1"/>
          <w:sz w:val="21"/>
          <w:szCs w:val="21"/>
        </w:rPr>
        <w:t xml:space="preserve"> y firmarán el contrato.</w:t>
      </w:r>
    </w:p>
    <w:p w14:paraId="1401900C" w14:textId="4FB6DFEC" w:rsidR="00450EB7" w:rsidRPr="00F666D0" w:rsidRDefault="00450EB7" w:rsidP="00881742">
      <w:pPr>
        <w:pStyle w:val="Sinespaciado"/>
        <w:ind w:left="709" w:right="709"/>
        <w:jc w:val="both"/>
        <w:rPr>
          <w:rFonts w:ascii="Arial" w:hAnsi="Arial" w:cs="Arial"/>
          <w:color w:val="000000" w:themeColor="text1"/>
          <w:sz w:val="21"/>
          <w:szCs w:val="21"/>
        </w:rPr>
      </w:pPr>
      <w:r w:rsidRPr="00F666D0">
        <w:rPr>
          <w:rFonts w:ascii="Arial" w:hAnsi="Arial" w:cs="Arial"/>
          <w:i/>
          <w:color w:val="000000" w:themeColor="text1"/>
          <w:sz w:val="21"/>
          <w:szCs w:val="21"/>
        </w:rPr>
        <w:t>6. Si la Entidad Estatal y el oferente calificado en el segundo lugar de elegibilidad no llegan a un acuerdo, la Entidad Estatal debe declarar desierto el Proceso de Contratación</w:t>
      </w:r>
      <w:r w:rsidRPr="00F666D0">
        <w:rPr>
          <w:rFonts w:ascii="Arial" w:hAnsi="Arial" w:cs="Arial"/>
          <w:color w:val="000000" w:themeColor="text1"/>
          <w:sz w:val="21"/>
          <w:szCs w:val="21"/>
        </w:rPr>
        <w:t xml:space="preserve">. </w:t>
      </w:r>
      <w:r w:rsidR="00476DBC">
        <w:rPr>
          <w:rFonts w:ascii="Arial" w:hAnsi="Arial" w:cs="Arial"/>
          <w:color w:val="000000" w:themeColor="text1"/>
          <w:sz w:val="21"/>
          <w:szCs w:val="21"/>
        </w:rPr>
        <w:t>(Énfasis fuera de texto</w:t>
      </w:r>
      <w:r w:rsidRPr="00F666D0">
        <w:rPr>
          <w:rFonts w:ascii="Arial" w:hAnsi="Arial" w:cs="Arial"/>
          <w:color w:val="000000" w:themeColor="text1"/>
          <w:sz w:val="21"/>
          <w:szCs w:val="21"/>
        </w:rPr>
        <w:t>)</w:t>
      </w:r>
    </w:p>
    <w:p w14:paraId="1AFFE737" w14:textId="77777777" w:rsidR="00450EB7" w:rsidRPr="00F666D0" w:rsidRDefault="00450EB7" w:rsidP="00450EB7">
      <w:pPr>
        <w:jc w:val="both"/>
        <w:rPr>
          <w:rFonts w:ascii="Arial" w:hAnsi="Arial" w:cs="Arial"/>
          <w:color w:val="000000" w:themeColor="text1"/>
          <w:sz w:val="22"/>
        </w:rPr>
      </w:pPr>
    </w:p>
    <w:p w14:paraId="6DF5F3EC" w14:textId="410CE7F5" w:rsidR="00044865" w:rsidRDefault="00E26EF5" w:rsidP="00463AB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w:t>
      </w:r>
      <w:r w:rsidR="00450EB7" w:rsidRPr="00F666D0">
        <w:rPr>
          <w:rFonts w:ascii="Arial" w:hAnsi="Arial" w:cs="Arial"/>
          <w:color w:val="000000" w:themeColor="text1"/>
          <w:sz w:val="22"/>
        </w:rPr>
        <w:t xml:space="preserve">os </w:t>
      </w:r>
      <w:r w:rsidR="008709D9">
        <w:rPr>
          <w:rFonts w:ascii="Arial" w:hAnsi="Arial" w:cs="Arial"/>
          <w:color w:val="000000" w:themeColor="text1"/>
          <w:sz w:val="22"/>
        </w:rPr>
        <w:t xml:space="preserve">citados </w:t>
      </w:r>
      <w:r w:rsidR="00450EB7" w:rsidRPr="00F666D0">
        <w:rPr>
          <w:rFonts w:ascii="Arial" w:hAnsi="Arial" w:cs="Arial"/>
          <w:color w:val="000000" w:themeColor="text1"/>
          <w:sz w:val="22"/>
        </w:rPr>
        <w:t xml:space="preserve">numerales 3, 4 y 5 </w:t>
      </w:r>
      <w:r w:rsidR="008709D9">
        <w:rPr>
          <w:rFonts w:ascii="Arial" w:hAnsi="Arial" w:cs="Arial"/>
          <w:color w:val="000000" w:themeColor="text1"/>
          <w:sz w:val="22"/>
        </w:rPr>
        <w:t>disponen</w:t>
      </w:r>
      <w:r w:rsidR="00450EB7" w:rsidRPr="00F666D0">
        <w:rPr>
          <w:rFonts w:ascii="Arial" w:hAnsi="Arial" w:cs="Arial"/>
          <w:color w:val="000000" w:themeColor="text1"/>
          <w:sz w:val="22"/>
        </w:rPr>
        <w:t xml:space="preserve"> la verificación del precio. Por un lado, los numerales 3 y 4 exigen que esté dentro del presupuesto disponible y </w:t>
      </w:r>
      <w:r w:rsidR="008709D9">
        <w:rPr>
          <w:rFonts w:ascii="Arial" w:hAnsi="Arial" w:cs="Arial"/>
          <w:color w:val="000000" w:themeColor="text1"/>
          <w:sz w:val="22"/>
        </w:rPr>
        <w:t>que es</w:t>
      </w:r>
      <w:r w:rsidR="001A2FA7">
        <w:rPr>
          <w:rFonts w:ascii="Arial" w:hAnsi="Arial" w:cs="Arial"/>
          <w:color w:val="000000" w:themeColor="text1"/>
          <w:sz w:val="22"/>
        </w:rPr>
        <w:t>te</w:t>
      </w:r>
      <w:r w:rsidR="008709D9">
        <w:rPr>
          <w:rFonts w:ascii="Arial" w:hAnsi="Arial" w:cs="Arial"/>
          <w:color w:val="000000" w:themeColor="text1"/>
          <w:sz w:val="22"/>
        </w:rPr>
        <w:t xml:space="preserve"> aspecto </w:t>
      </w:r>
      <w:r w:rsidR="001A2FA7">
        <w:rPr>
          <w:rFonts w:ascii="Arial" w:hAnsi="Arial" w:cs="Arial"/>
          <w:color w:val="000000" w:themeColor="text1"/>
          <w:sz w:val="22"/>
        </w:rPr>
        <w:t>sea producto del acuerdo</w:t>
      </w:r>
      <w:r w:rsidR="00450EB7" w:rsidRPr="00F666D0">
        <w:rPr>
          <w:rFonts w:ascii="Arial" w:hAnsi="Arial" w:cs="Arial"/>
          <w:color w:val="000000" w:themeColor="text1"/>
          <w:sz w:val="22"/>
        </w:rPr>
        <w:t xml:space="preserve"> entre la entidad y el </w:t>
      </w:r>
      <w:r w:rsidR="001A2FA7">
        <w:rPr>
          <w:rFonts w:ascii="Arial" w:hAnsi="Arial" w:cs="Arial"/>
          <w:color w:val="000000" w:themeColor="text1"/>
          <w:sz w:val="22"/>
        </w:rPr>
        <w:t>oferente calificado en primer lugar</w:t>
      </w:r>
      <w:r w:rsidR="00450EB7" w:rsidRPr="00F666D0">
        <w:rPr>
          <w:rFonts w:ascii="Arial" w:hAnsi="Arial" w:cs="Arial"/>
          <w:color w:val="000000" w:themeColor="text1"/>
          <w:sz w:val="22"/>
        </w:rPr>
        <w:t>. Por otro lado, el numeral 5 dispone el procedimiento a seguir en el evento en que la entidad estatal y el calificado en primer orden de elegibilidad no lleguen a un acuerdo sobre el precio</w:t>
      </w:r>
      <w:r w:rsidR="001A2FA7">
        <w:rPr>
          <w:rFonts w:ascii="Arial" w:hAnsi="Arial" w:cs="Arial"/>
          <w:color w:val="000000" w:themeColor="text1"/>
          <w:sz w:val="22"/>
        </w:rPr>
        <w:t xml:space="preserve"> del contrato</w:t>
      </w:r>
      <w:r w:rsidR="00450EB7" w:rsidRPr="00F666D0">
        <w:rPr>
          <w:rFonts w:ascii="Arial" w:hAnsi="Arial" w:cs="Arial"/>
          <w:color w:val="000000" w:themeColor="text1"/>
          <w:sz w:val="22"/>
        </w:rPr>
        <w:t>.</w:t>
      </w:r>
      <w:r w:rsidR="00463AB6">
        <w:rPr>
          <w:rFonts w:ascii="Arial" w:hAnsi="Arial" w:cs="Arial"/>
          <w:color w:val="000000" w:themeColor="text1"/>
          <w:sz w:val="22"/>
        </w:rPr>
        <w:t xml:space="preserve"> Además, el citado numeral 6 solo permite la negociación del precio con el proponente que ocupe en segundo orden de elegibilidad, por lo </w:t>
      </w:r>
      <w:proofErr w:type="gramStart"/>
      <w:r w:rsidR="00463AB6">
        <w:rPr>
          <w:rFonts w:ascii="Arial" w:hAnsi="Arial" w:cs="Arial"/>
          <w:color w:val="000000" w:themeColor="text1"/>
          <w:sz w:val="22"/>
        </w:rPr>
        <w:t>que</w:t>
      </w:r>
      <w:proofErr w:type="gramEnd"/>
      <w:r w:rsidR="00463AB6">
        <w:rPr>
          <w:rFonts w:ascii="Arial" w:hAnsi="Arial" w:cs="Arial"/>
          <w:color w:val="000000" w:themeColor="text1"/>
          <w:sz w:val="22"/>
        </w:rPr>
        <w:t xml:space="preserve"> si no es posible llegar a un acuerdo con este, procedería la declaración de desierta.</w:t>
      </w:r>
      <w:r w:rsidR="00044865">
        <w:rPr>
          <w:rFonts w:ascii="Arial" w:hAnsi="Arial" w:cs="Arial"/>
          <w:color w:val="000000" w:themeColor="text1"/>
          <w:sz w:val="22"/>
        </w:rPr>
        <w:t xml:space="preserve"> </w:t>
      </w:r>
    </w:p>
    <w:p w14:paraId="099AC7CA" w14:textId="6970E143" w:rsidR="00450EB7" w:rsidRDefault="00450EB7" w:rsidP="00463AB6">
      <w:pPr>
        <w:spacing w:after="120" w:line="276" w:lineRule="auto"/>
        <w:ind w:firstLine="709"/>
        <w:jc w:val="both"/>
        <w:rPr>
          <w:rFonts w:ascii="Arial" w:hAnsi="Arial" w:cs="Arial"/>
          <w:color w:val="000000" w:themeColor="text1"/>
          <w:sz w:val="22"/>
        </w:rPr>
      </w:pPr>
      <w:bookmarkStart w:id="8" w:name="_Hlk43918393"/>
      <w:r w:rsidRPr="00F666D0">
        <w:rPr>
          <w:rFonts w:ascii="Arial" w:hAnsi="Arial" w:cs="Arial"/>
          <w:color w:val="000000" w:themeColor="text1"/>
          <w:sz w:val="22"/>
        </w:rPr>
        <w:t xml:space="preserve">El Consejo de Estado </w:t>
      </w:r>
      <w:r w:rsidR="005F0964">
        <w:rPr>
          <w:rFonts w:ascii="Arial" w:hAnsi="Arial" w:cs="Arial"/>
          <w:color w:val="000000" w:themeColor="text1"/>
          <w:sz w:val="22"/>
        </w:rPr>
        <w:t xml:space="preserve">considera </w:t>
      </w:r>
      <w:r w:rsidRPr="00F666D0">
        <w:rPr>
          <w:rFonts w:ascii="Arial" w:hAnsi="Arial" w:cs="Arial"/>
          <w:color w:val="000000" w:themeColor="text1"/>
          <w:sz w:val="22"/>
        </w:rPr>
        <w:t>que</w:t>
      </w:r>
      <w:r w:rsidR="00463AB6">
        <w:rPr>
          <w:rFonts w:ascii="Arial" w:hAnsi="Arial" w:cs="Arial"/>
          <w:color w:val="000000" w:themeColor="text1"/>
          <w:sz w:val="22"/>
        </w:rPr>
        <w:t xml:space="preserve"> los </w:t>
      </w:r>
      <w:r w:rsidR="00463AB6" w:rsidRPr="00F666D0">
        <w:rPr>
          <w:rFonts w:ascii="Arial" w:hAnsi="Arial" w:cs="Arial"/>
          <w:color w:val="000000" w:themeColor="text1"/>
          <w:sz w:val="22"/>
        </w:rPr>
        <w:t xml:space="preserve">numerales 3, 4 y 5 </w:t>
      </w:r>
      <w:r w:rsidR="008709D9">
        <w:rPr>
          <w:rFonts w:ascii="Arial" w:hAnsi="Arial" w:cs="Arial"/>
          <w:color w:val="000000" w:themeColor="text1"/>
          <w:sz w:val="22"/>
        </w:rPr>
        <w:t>violarían</w:t>
      </w:r>
      <w:r w:rsidRPr="00F666D0">
        <w:rPr>
          <w:rFonts w:ascii="Arial" w:hAnsi="Arial" w:cs="Arial"/>
          <w:color w:val="000000" w:themeColor="text1"/>
          <w:sz w:val="22"/>
        </w:rPr>
        <w:t xml:space="preserve"> el artículo 5, numeral 4, último inciso, de la Ley 1150 de 2007, </w:t>
      </w:r>
      <w:r w:rsidR="00EB0CE8">
        <w:rPr>
          <w:rFonts w:ascii="Arial" w:hAnsi="Arial" w:cs="Arial"/>
          <w:color w:val="000000" w:themeColor="text1"/>
          <w:sz w:val="22"/>
        </w:rPr>
        <w:t>pues</w:t>
      </w:r>
      <w:r w:rsidRPr="00F666D0">
        <w:rPr>
          <w:rFonts w:ascii="Arial" w:hAnsi="Arial" w:cs="Arial"/>
          <w:color w:val="000000" w:themeColor="text1"/>
          <w:sz w:val="22"/>
        </w:rPr>
        <w:t xml:space="preserve"> señala que: «en ningún caso se podrá incluir el precio, como factor de escogencia para la selección de consultores», así como el artículo 25, numeral 2, de la Ley 80 de 1993 que dispone </w:t>
      </w:r>
      <w:r w:rsidR="00EB0CE8">
        <w:rPr>
          <w:rFonts w:ascii="Arial" w:hAnsi="Arial" w:cs="Arial"/>
          <w:color w:val="000000" w:themeColor="text1"/>
          <w:sz w:val="22"/>
        </w:rPr>
        <w:t>lo siguiente</w:t>
      </w:r>
      <w:r w:rsidRPr="00F666D0">
        <w:rPr>
          <w:rFonts w:ascii="Arial" w:hAnsi="Arial" w:cs="Arial"/>
          <w:color w:val="000000" w:themeColor="text1"/>
          <w:sz w:val="22"/>
        </w:rPr>
        <w:t xml:space="preserve">: «[…] las normas de los procedimientos contractuales se interpretarán de tal manera que no den ocasión a seguir trámites distintos y adicionales a los expresamente previstos </w:t>
      </w:r>
      <w:r w:rsidR="005F0964">
        <w:rPr>
          <w:rFonts w:ascii="Arial" w:hAnsi="Arial" w:cs="Arial"/>
          <w:color w:val="000000" w:themeColor="text1"/>
          <w:sz w:val="22"/>
        </w:rPr>
        <w:t>[…]</w:t>
      </w:r>
      <w:r w:rsidRPr="00F666D0">
        <w:rPr>
          <w:rFonts w:ascii="Arial" w:hAnsi="Arial" w:cs="Arial"/>
          <w:color w:val="000000" w:themeColor="text1"/>
          <w:sz w:val="22"/>
        </w:rPr>
        <w:t>».</w:t>
      </w:r>
      <w:r w:rsidR="005F0964">
        <w:rPr>
          <w:rFonts w:ascii="Arial" w:hAnsi="Arial" w:cs="Arial"/>
          <w:color w:val="000000" w:themeColor="text1"/>
          <w:sz w:val="22"/>
        </w:rPr>
        <w:t xml:space="preserve"> En este sentido, explica que </w:t>
      </w:r>
      <w:r w:rsidR="005F0964" w:rsidRPr="005F0964">
        <w:rPr>
          <w:rFonts w:ascii="Arial" w:hAnsi="Arial" w:cs="Arial"/>
          <w:color w:val="000000" w:themeColor="text1"/>
          <w:sz w:val="22"/>
        </w:rPr>
        <w:t>la verificación de la coherencia del precio con la disponibilidad presupuestal y la necesidad de que se logre un acuerdo en relación con el mismo desconoce el principio de selección objetiva</w:t>
      </w:r>
      <w:r w:rsidR="001A2FA7">
        <w:rPr>
          <w:rFonts w:ascii="Arial" w:hAnsi="Arial" w:cs="Arial"/>
          <w:color w:val="000000" w:themeColor="text1"/>
          <w:sz w:val="22"/>
        </w:rPr>
        <w:t xml:space="preserve">, </w:t>
      </w:r>
      <w:r w:rsidR="005F0964" w:rsidRPr="005F0964">
        <w:rPr>
          <w:rFonts w:ascii="Arial" w:hAnsi="Arial" w:cs="Arial"/>
          <w:color w:val="000000" w:themeColor="text1"/>
          <w:sz w:val="22"/>
        </w:rPr>
        <w:t>convi</w:t>
      </w:r>
      <w:r w:rsidR="001A2FA7">
        <w:rPr>
          <w:rFonts w:ascii="Arial" w:hAnsi="Arial" w:cs="Arial"/>
          <w:color w:val="000000" w:themeColor="text1"/>
          <w:sz w:val="22"/>
        </w:rPr>
        <w:t>rtiendo</w:t>
      </w:r>
      <w:r w:rsidR="005F0964" w:rsidRPr="005F0964">
        <w:rPr>
          <w:rFonts w:ascii="Arial" w:hAnsi="Arial" w:cs="Arial"/>
          <w:color w:val="000000" w:themeColor="text1"/>
          <w:sz w:val="22"/>
        </w:rPr>
        <w:t xml:space="preserve"> </w:t>
      </w:r>
      <w:r w:rsidR="001A2FA7">
        <w:rPr>
          <w:rFonts w:ascii="Arial" w:hAnsi="Arial" w:cs="Arial"/>
          <w:color w:val="000000" w:themeColor="text1"/>
          <w:sz w:val="22"/>
        </w:rPr>
        <w:t>e</w:t>
      </w:r>
      <w:r w:rsidR="005F0964" w:rsidRPr="005F0964">
        <w:rPr>
          <w:rFonts w:ascii="Arial" w:hAnsi="Arial" w:cs="Arial"/>
          <w:color w:val="000000" w:themeColor="text1"/>
          <w:sz w:val="22"/>
        </w:rPr>
        <w:t xml:space="preserve">l precio en un factor de </w:t>
      </w:r>
      <w:r w:rsidR="005F0964">
        <w:rPr>
          <w:rFonts w:ascii="Arial" w:hAnsi="Arial" w:cs="Arial"/>
          <w:color w:val="000000" w:themeColor="text1"/>
          <w:sz w:val="22"/>
        </w:rPr>
        <w:lastRenderedPageBreak/>
        <w:t>selección</w:t>
      </w:r>
      <w:r w:rsidR="005F0964">
        <w:rPr>
          <w:rStyle w:val="Refdenotaalpie"/>
          <w:rFonts w:ascii="Arial" w:hAnsi="Arial" w:cs="Arial"/>
          <w:color w:val="000000" w:themeColor="text1"/>
          <w:sz w:val="22"/>
        </w:rPr>
        <w:footnoteReference w:id="3"/>
      </w:r>
      <w:r w:rsidR="005F0964">
        <w:rPr>
          <w:rFonts w:ascii="Arial" w:hAnsi="Arial" w:cs="Arial"/>
          <w:color w:val="000000" w:themeColor="text1"/>
          <w:sz w:val="22"/>
        </w:rPr>
        <w:t xml:space="preserve">. </w:t>
      </w:r>
      <w:r w:rsidR="00463AB6">
        <w:rPr>
          <w:rFonts w:ascii="Arial" w:hAnsi="Arial" w:cs="Arial"/>
          <w:color w:val="000000" w:themeColor="text1"/>
          <w:sz w:val="22"/>
        </w:rPr>
        <w:t xml:space="preserve">En lo que respecta al artículo 6, este violaría </w:t>
      </w:r>
      <w:r w:rsidR="00AE4FF6">
        <w:rPr>
          <w:rFonts w:ascii="Arial" w:hAnsi="Arial" w:cs="Arial"/>
          <w:color w:val="000000" w:themeColor="text1"/>
          <w:sz w:val="22"/>
        </w:rPr>
        <w:t xml:space="preserve">especialmente </w:t>
      </w:r>
      <w:r w:rsidR="00463AB6">
        <w:rPr>
          <w:rFonts w:ascii="Arial" w:hAnsi="Arial" w:cs="Arial"/>
          <w:color w:val="000000" w:themeColor="text1"/>
          <w:sz w:val="22"/>
        </w:rPr>
        <w:t>el artículo 25.18 del Estatuto General</w:t>
      </w:r>
      <w:r w:rsidR="00AE4FF6">
        <w:rPr>
          <w:rFonts w:ascii="Arial" w:hAnsi="Arial" w:cs="Arial"/>
          <w:color w:val="000000" w:themeColor="text1"/>
          <w:sz w:val="22"/>
        </w:rPr>
        <w:t xml:space="preserve"> y le artículo 5 de la Ley 1150 de 2007</w:t>
      </w:r>
      <w:r w:rsidR="00463AB6">
        <w:rPr>
          <w:rFonts w:ascii="Arial" w:hAnsi="Arial" w:cs="Arial"/>
          <w:color w:val="000000" w:themeColor="text1"/>
          <w:sz w:val="22"/>
        </w:rPr>
        <w:t>, pues la declaratoria de desierta solo procede cuando no es posible la selección objetiva del contratista</w:t>
      </w:r>
      <w:bookmarkEnd w:id="8"/>
      <w:r w:rsidR="00AE4FF6">
        <w:rPr>
          <w:rStyle w:val="Refdenotaalpie"/>
          <w:rFonts w:ascii="Arial" w:hAnsi="Arial" w:cs="Arial"/>
          <w:color w:val="000000" w:themeColor="text1"/>
          <w:sz w:val="22"/>
        </w:rPr>
        <w:footnoteReference w:id="4"/>
      </w:r>
      <w:r w:rsidR="00463AB6">
        <w:rPr>
          <w:rFonts w:ascii="Arial" w:hAnsi="Arial" w:cs="Arial"/>
          <w:color w:val="000000" w:themeColor="text1"/>
          <w:sz w:val="22"/>
        </w:rPr>
        <w:t>.</w:t>
      </w:r>
    </w:p>
    <w:p w14:paraId="3B4A63BF" w14:textId="3962DFE9" w:rsidR="00450EB7" w:rsidRDefault="00AE4FF6" w:rsidP="001833B8">
      <w:pPr>
        <w:spacing w:after="120" w:line="276" w:lineRule="auto"/>
        <w:ind w:firstLine="709"/>
        <w:jc w:val="both"/>
        <w:rPr>
          <w:rFonts w:ascii="Arial" w:hAnsi="Arial" w:cs="Arial"/>
          <w:color w:val="000000" w:themeColor="text1"/>
          <w:sz w:val="22"/>
        </w:rPr>
      </w:pPr>
      <w:bookmarkStart w:id="9" w:name="_Hlk43916091"/>
      <w:r>
        <w:rPr>
          <w:rFonts w:ascii="Arial" w:hAnsi="Arial" w:cs="Arial"/>
          <w:color w:val="000000" w:themeColor="text1"/>
          <w:sz w:val="22"/>
        </w:rPr>
        <w:t>Si bien</w:t>
      </w:r>
      <w:r>
        <w:rPr>
          <w:rFonts w:ascii="Arial" w:eastAsia="Calibri" w:hAnsi="Arial" w:cs="Arial"/>
          <w:color w:val="000000" w:themeColor="text1"/>
          <w:sz w:val="22"/>
        </w:rPr>
        <w:t xml:space="preserve"> esta Agencia </w:t>
      </w:r>
      <w:r w:rsidR="00624450">
        <w:rPr>
          <w:rFonts w:ascii="Arial" w:eastAsia="Calibri" w:hAnsi="Arial" w:cs="Arial"/>
          <w:color w:val="000000" w:themeColor="text1"/>
          <w:sz w:val="22"/>
        </w:rPr>
        <w:t>–</w:t>
      </w:r>
      <w:r>
        <w:rPr>
          <w:rFonts w:ascii="Arial" w:eastAsia="Calibri" w:hAnsi="Arial" w:cs="Arial"/>
          <w:color w:val="000000" w:themeColor="text1"/>
          <w:sz w:val="22"/>
        </w:rPr>
        <w:t xml:space="preserve">conforme </w:t>
      </w:r>
      <w:r w:rsidR="00624450">
        <w:rPr>
          <w:rFonts w:ascii="Arial" w:eastAsia="Calibri" w:hAnsi="Arial" w:cs="Arial"/>
          <w:color w:val="000000" w:themeColor="text1"/>
          <w:sz w:val="22"/>
        </w:rPr>
        <w:t>al</w:t>
      </w:r>
      <w:r>
        <w:rPr>
          <w:rFonts w:ascii="Arial" w:eastAsia="Calibri" w:hAnsi="Arial" w:cs="Arial"/>
          <w:color w:val="000000" w:themeColor="text1"/>
          <w:sz w:val="22"/>
        </w:rPr>
        <w:t xml:space="preserve"> </w:t>
      </w:r>
      <w:r w:rsidRPr="005A2781">
        <w:rPr>
          <w:rFonts w:ascii="Arial" w:eastAsia="Calibri" w:hAnsi="Arial" w:cs="Arial"/>
          <w:color w:val="000000" w:themeColor="text1"/>
          <w:sz w:val="22"/>
        </w:rPr>
        <w:t>Concepto C-124 del 25 de marzo de 2020</w:t>
      </w:r>
      <w:r>
        <w:rPr>
          <w:rFonts w:ascii="Arial" w:eastAsia="Calibri" w:hAnsi="Arial" w:cs="Arial"/>
          <w:color w:val="000000" w:themeColor="text1"/>
          <w:sz w:val="22"/>
        </w:rPr>
        <w:t xml:space="preserve">– considera que las entidades deben verificar que la propuesta económica </w:t>
      </w:r>
      <w:r w:rsidR="001833B8">
        <w:rPr>
          <w:rFonts w:ascii="Arial" w:eastAsia="Calibri" w:hAnsi="Arial" w:cs="Arial"/>
          <w:color w:val="000000" w:themeColor="text1"/>
          <w:sz w:val="22"/>
        </w:rPr>
        <w:t>se ajuste al presupuesto oficial conforme al artículo 25.6 de la Ley 80 de 1993 y el artículo 71 del Decreto 111 de 1996, con los autos de suspensión provisional el concurso de méritos abierto se desarrolla aplicando</w:t>
      </w:r>
      <w:r w:rsidR="00624450">
        <w:rPr>
          <w:rFonts w:ascii="Arial" w:eastAsia="Calibri" w:hAnsi="Arial" w:cs="Arial"/>
          <w:color w:val="000000" w:themeColor="text1"/>
          <w:sz w:val="22"/>
        </w:rPr>
        <w:t xml:space="preserve"> únicamente</w:t>
      </w:r>
      <w:r w:rsidR="001833B8">
        <w:rPr>
          <w:rFonts w:ascii="Arial" w:eastAsia="Calibri" w:hAnsi="Arial" w:cs="Arial"/>
          <w:color w:val="000000" w:themeColor="text1"/>
          <w:sz w:val="22"/>
        </w:rPr>
        <w:t xml:space="preserve"> los numerales 1 y 2 del</w:t>
      </w:r>
      <w:r w:rsidR="00624450" w:rsidRPr="00F666D0">
        <w:rPr>
          <w:rFonts w:ascii="Arial" w:hAnsi="Arial" w:cs="Arial"/>
          <w:color w:val="000000" w:themeColor="text1"/>
          <w:sz w:val="22"/>
        </w:rPr>
        <w:t xml:space="preserve"> artículo </w:t>
      </w:r>
      <w:r w:rsidR="00A22E15">
        <w:rPr>
          <w:rFonts w:ascii="Arial" w:hAnsi="Arial" w:cs="Arial"/>
          <w:color w:val="000000" w:themeColor="text1"/>
          <w:sz w:val="22"/>
        </w:rPr>
        <w:t>2.2.1.2.1.3.2</w:t>
      </w:r>
      <w:r w:rsidR="00624450" w:rsidRPr="00F666D0">
        <w:rPr>
          <w:rFonts w:ascii="Arial" w:hAnsi="Arial" w:cs="Arial"/>
          <w:color w:val="000000" w:themeColor="text1"/>
          <w:sz w:val="22"/>
        </w:rPr>
        <w:t xml:space="preserve"> del Decreto 1082 de 2015</w:t>
      </w:r>
      <w:r w:rsidR="00624450">
        <w:rPr>
          <w:rFonts w:ascii="Arial" w:hAnsi="Arial" w:cs="Arial"/>
          <w:color w:val="000000" w:themeColor="text1"/>
          <w:sz w:val="22"/>
        </w:rPr>
        <w:t xml:space="preserve">. Esto significa que la entidad dispone los criterios de evaluación en el pliego y que, </w:t>
      </w:r>
      <w:r w:rsidR="004B7849">
        <w:rPr>
          <w:rFonts w:ascii="Arial" w:hAnsi="Arial" w:cs="Arial"/>
          <w:color w:val="000000" w:themeColor="text1"/>
          <w:sz w:val="22"/>
        </w:rPr>
        <w:t xml:space="preserve">tanto </w:t>
      </w:r>
      <w:r w:rsidR="00624450">
        <w:rPr>
          <w:rFonts w:ascii="Arial" w:hAnsi="Arial" w:cs="Arial"/>
          <w:color w:val="000000" w:themeColor="text1"/>
          <w:sz w:val="22"/>
        </w:rPr>
        <w:t xml:space="preserve">con la verificación </w:t>
      </w:r>
      <w:r w:rsidR="004B7849">
        <w:rPr>
          <w:rFonts w:ascii="Arial" w:hAnsi="Arial" w:cs="Arial"/>
          <w:color w:val="000000" w:themeColor="text1"/>
          <w:sz w:val="22"/>
        </w:rPr>
        <w:t>como con</w:t>
      </w:r>
      <w:r w:rsidR="00624450">
        <w:rPr>
          <w:rFonts w:ascii="Arial" w:hAnsi="Arial" w:cs="Arial"/>
          <w:color w:val="000000" w:themeColor="text1"/>
          <w:sz w:val="22"/>
        </w:rPr>
        <w:t xml:space="preserve"> la ponderación de las propuestas económicas, se p</w:t>
      </w:r>
      <w:r w:rsidR="003E5CE3">
        <w:rPr>
          <w:rFonts w:ascii="Arial" w:hAnsi="Arial" w:cs="Arial"/>
          <w:color w:val="000000" w:themeColor="text1"/>
          <w:sz w:val="22"/>
        </w:rPr>
        <w:t>u</w:t>
      </w:r>
      <w:r w:rsidR="00624450">
        <w:rPr>
          <w:rFonts w:ascii="Arial" w:hAnsi="Arial" w:cs="Arial"/>
          <w:color w:val="000000" w:themeColor="text1"/>
          <w:sz w:val="22"/>
        </w:rPr>
        <w:t>blica el informe por tres (3) días hábiles</w:t>
      </w:r>
      <w:r w:rsidR="004B7849">
        <w:rPr>
          <w:rFonts w:ascii="Arial" w:hAnsi="Arial" w:cs="Arial"/>
          <w:color w:val="000000" w:themeColor="text1"/>
          <w:sz w:val="22"/>
        </w:rPr>
        <w:t xml:space="preserve">. </w:t>
      </w:r>
    </w:p>
    <w:p w14:paraId="693DACE2" w14:textId="02E6A6F6" w:rsidR="006C512E" w:rsidRDefault="00B04895" w:rsidP="00174C18">
      <w:pPr>
        <w:spacing w:after="120" w:line="276" w:lineRule="auto"/>
        <w:ind w:firstLine="709"/>
        <w:jc w:val="both"/>
        <w:rPr>
          <w:rFonts w:ascii="Arial" w:hAnsi="Arial" w:cs="Arial"/>
          <w:color w:val="000000" w:themeColor="text1"/>
          <w:sz w:val="22"/>
        </w:rPr>
      </w:pPr>
      <w:bookmarkStart w:id="10" w:name="_Hlk43916290"/>
      <w:bookmarkEnd w:id="9"/>
      <w:r w:rsidRPr="00B04895">
        <w:rPr>
          <w:rFonts w:ascii="Arial" w:hAnsi="Arial" w:cs="Arial"/>
          <w:color w:val="000000" w:themeColor="text1"/>
          <w:sz w:val="22"/>
        </w:rPr>
        <w:t xml:space="preserve">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«Apertura del sobre económico» en el cronograma del proceso de selección. Sin embargo, estas no deben conducir a la aplicación de alguno de los numerales suspendidos por el Consejo de Estado, ya que conforme a los autos citados ut supra, </w:t>
      </w:r>
      <w:r w:rsidRPr="00B04895">
        <w:rPr>
          <w:rFonts w:ascii="Arial" w:hAnsi="Arial" w:cs="Arial"/>
          <w:color w:val="000000" w:themeColor="text1"/>
          <w:sz w:val="22"/>
        </w:rPr>
        <w:lastRenderedPageBreak/>
        <w:t>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w:t>
      </w:r>
      <w:r w:rsidR="002E7910">
        <w:rPr>
          <w:rFonts w:ascii="Arial" w:hAnsi="Arial" w:cs="Arial"/>
          <w:color w:val="000000" w:themeColor="text1"/>
          <w:sz w:val="22"/>
        </w:rPr>
        <w:t>.</w:t>
      </w:r>
      <w:r w:rsidR="001F02C5">
        <w:rPr>
          <w:rFonts w:ascii="Arial" w:hAnsi="Arial" w:cs="Arial"/>
          <w:color w:val="000000" w:themeColor="text1"/>
          <w:sz w:val="22"/>
        </w:rPr>
        <w:t xml:space="preserve">  </w:t>
      </w:r>
      <w:bookmarkEnd w:id="10"/>
    </w:p>
    <w:p w14:paraId="6D494F52" w14:textId="127E2936" w:rsidR="00450EB7" w:rsidRDefault="00224900" w:rsidP="00984C24">
      <w:pPr>
        <w:spacing w:line="276" w:lineRule="auto"/>
        <w:ind w:firstLine="709"/>
        <w:jc w:val="both"/>
        <w:rPr>
          <w:rFonts w:ascii="Arial" w:hAnsi="Arial" w:cs="Arial"/>
          <w:color w:val="000000" w:themeColor="text1"/>
          <w:sz w:val="22"/>
        </w:rPr>
      </w:pPr>
      <w:r>
        <w:rPr>
          <w:rFonts w:ascii="Arial" w:hAnsi="Arial" w:cs="Arial"/>
          <w:color w:val="000000" w:themeColor="text1"/>
          <w:sz w:val="22"/>
        </w:rPr>
        <w:t xml:space="preserve">Pese a que con los autos del Consejo de Estado </w:t>
      </w:r>
      <w:r w:rsidR="00174C18">
        <w:rPr>
          <w:rFonts w:ascii="Arial" w:hAnsi="Arial" w:cs="Arial"/>
          <w:color w:val="000000" w:themeColor="text1"/>
          <w:sz w:val="22"/>
        </w:rPr>
        <w:t>la</w:t>
      </w:r>
      <w:r>
        <w:rPr>
          <w:rFonts w:ascii="Arial" w:hAnsi="Arial" w:cs="Arial"/>
          <w:color w:val="000000" w:themeColor="text1"/>
          <w:sz w:val="22"/>
        </w:rPr>
        <w:t xml:space="preserve"> </w:t>
      </w:r>
      <w:r w:rsidRPr="00224900">
        <w:rPr>
          <w:rFonts w:ascii="Arial" w:hAnsi="Arial" w:cs="Arial"/>
          <w:color w:val="000000" w:themeColor="text1"/>
          <w:sz w:val="22"/>
        </w:rPr>
        <w:t>«Audiencia de comunicación del orden de elegibilidad»</w:t>
      </w:r>
      <w:r w:rsidR="00B04895">
        <w:rPr>
          <w:rFonts w:ascii="Arial" w:hAnsi="Arial" w:cs="Arial"/>
          <w:color w:val="000000" w:themeColor="text1"/>
          <w:sz w:val="22"/>
        </w:rPr>
        <w:t xml:space="preserve"> </w:t>
      </w:r>
      <w:r w:rsidR="00B04895" w:rsidRPr="00B04895">
        <w:rPr>
          <w:rFonts w:ascii="Arial" w:hAnsi="Arial" w:cs="Arial"/>
          <w:color w:val="000000" w:themeColor="text1"/>
          <w:sz w:val="22"/>
        </w:rPr>
        <w:t>y de «Apertura del sobre económico»</w:t>
      </w:r>
      <w:r w:rsidR="00174C18">
        <w:rPr>
          <w:rFonts w:ascii="Arial" w:hAnsi="Arial" w:cs="Arial"/>
          <w:color w:val="000000" w:themeColor="text1"/>
          <w:sz w:val="22"/>
        </w:rPr>
        <w:t xml:space="preserve"> no puede</w:t>
      </w:r>
      <w:r w:rsidR="00B04895">
        <w:rPr>
          <w:rFonts w:ascii="Arial" w:hAnsi="Arial" w:cs="Arial"/>
          <w:color w:val="000000" w:themeColor="text1"/>
          <w:sz w:val="22"/>
        </w:rPr>
        <w:t>n</w:t>
      </w:r>
      <w:r w:rsidR="00174C18">
        <w:rPr>
          <w:rFonts w:ascii="Arial" w:hAnsi="Arial" w:cs="Arial"/>
          <w:color w:val="000000" w:themeColor="text1"/>
          <w:sz w:val="22"/>
        </w:rPr>
        <w:t xml:space="preserve"> desarrollar alguna de las etapas suspendidas provisionalmente</w:t>
      </w:r>
      <w:r>
        <w:rPr>
          <w:rFonts w:ascii="Arial" w:hAnsi="Arial" w:cs="Arial"/>
          <w:color w:val="000000" w:themeColor="text1"/>
          <w:sz w:val="22"/>
        </w:rPr>
        <w:t xml:space="preserve">, vale la pena </w:t>
      </w:r>
      <w:r w:rsidR="00C917A1">
        <w:rPr>
          <w:rFonts w:ascii="Arial" w:hAnsi="Arial" w:cs="Arial"/>
          <w:color w:val="000000" w:themeColor="text1"/>
          <w:sz w:val="22"/>
        </w:rPr>
        <w:t>reflexionar sobre</w:t>
      </w:r>
      <w:r>
        <w:rPr>
          <w:rFonts w:ascii="Arial" w:hAnsi="Arial" w:cs="Arial"/>
          <w:color w:val="000000" w:themeColor="text1"/>
          <w:sz w:val="22"/>
        </w:rPr>
        <w:t xml:space="preserve"> </w:t>
      </w:r>
      <w:r w:rsidR="00C917A1">
        <w:rPr>
          <w:rFonts w:ascii="Arial" w:hAnsi="Arial" w:cs="Arial"/>
          <w:color w:val="000000" w:themeColor="text1"/>
          <w:sz w:val="22"/>
        </w:rPr>
        <w:t>la adjudicación</w:t>
      </w:r>
      <w:r>
        <w:rPr>
          <w:rFonts w:ascii="Arial" w:hAnsi="Arial" w:cs="Arial"/>
          <w:color w:val="000000" w:themeColor="text1"/>
          <w:sz w:val="22"/>
        </w:rPr>
        <w:t xml:space="preserve"> </w:t>
      </w:r>
      <w:r w:rsidR="00C917A1">
        <w:rPr>
          <w:rFonts w:ascii="Arial" w:hAnsi="Arial" w:cs="Arial"/>
          <w:color w:val="000000" w:themeColor="text1"/>
          <w:sz w:val="22"/>
        </w:rPr>
        <w:t>del concurso de méritos a través de audiencia pública. El tema se analizará en el siguiente apartado.</w:t>
      </w:r>
    </w:p>
    <w:p w14:paraId="65231511" w14:textId="77777777" w:rsidR="00984C24" w:rsidRDefault="00984C24" w:rsidP="00984C24">
      <w:pPr>
        <w:spacing w:line="276" w:lineRule="auto"/>
        <w:ind w:firstLine="709"/>
        <w:jc w:val="both"/>
        <w:rPr>
          <w:rFonts w:ascii="Arial" w:eastAsia="Calibri" w:hAnsi="Arial" w:cs="Arial"/>
          <w:b/>
          <w:bCs/>
          <w:color w:val="000000" w:themeColor="text1"/>
          <w:sz w:val="22"/>
        </w:rPr>
      </w:pPr>
    </w:p>
    <w:p w14:paraId="4196842D" w14:textId="295F8266" w:rsidR="00984C24" w:rsidRDefault="00984C24" w:rsidP="00984C24">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2.</w:t>
      </w:r>
      <w:r w:rsidR="005D1BCC">
        <w:rPr>
          <w:rFonts w:ascii="Arial" w:eastAsia="Calibri" w:hAnsi="Arial" w:cs="Arial"/>
          <w:b/>
          <w:bCs/>
          <w:color w:val="000000" w:themeColor="text1"/>
          <w:sz w:val="22"/>
        </w:rPr>
        <w:t>2</w:t>
      </w:r>
      <w:r w:rsidRPr="00D44227">
        <w:rPr>
          <w:rFonts w:ascii="Arial" w:eastAsia="Calibri" w:hAnsi="Arial" w:cs="Arial"/>
          <w:b/>
          <w:bCs/>
          <w:color w:val="000000" w:themeColor="text1"/>
          <w:sz w:val="22"/>
        </w:rPr>
        <w:t xml:space="preserve">. </w:t>
      </w:r>
      <w:r>
        <w:rPr>
          <w:rFonts w:ascii="Arial" w:eastAsia="Calibri" w:hAnsi="Arial" w:cs="Arial"/>
          <w:b/>
          <w:bCs/>
          <w:color w:val="000000" w:themeColor="text1"/>
          <w:sz w:val="22"/>
        </w:rPr>
        <w:t>Carácter potestativo de la audiencia pública de adjudicación en el concurso de méritos</w:t>
      </w:r>
    </w:p>
    <w:p w14:paraId="21F2E5AA" w14:textId="77777777" w:rsidR="004526D3" w:rsidRDefault="004526D3" w:rsidP="00FF0A4E">
      <w:pPr>
        <w:spacing w:line="276" w:lineRule="auto"/>
        <w:jc w:val="both"/>
        <w:rPr>
          <w:rFonts w:ascii="Arial" w:hAnsi="Arial" w:cs="Arial"/>
          <w:bCs/>
          <w:color w:val="000000" w:themeColor="text1"/>
          <w:sz w:val="22"/>
          <w:lang w:val="es-ES"/>
        </w:rPr>
      </w:pPr>
    </w:p>
    <w:p w14:paraId="1CF72308" w14:textId="77777777" w:rsidR="002C2D9D" w:rsidRDefault="002C2D9D" w:rsidP="002C2D9D">
      <w:pPr>
        <w:spacing w:after="120" w:line="276" w:lineRule="auto"/>
        <w:jc w:val="both"/>
        <w:rPr>
          <w:rFonts w:ascii="Arial" w:hAnsi="Arial" w:cs="Arial"/>
          <w:bCs/>
          <w:color w:val="000000" w:themeColor="text1"/>
          <w:sz w:val="22"/>
          <w:lang w:val="es-ES"/>
        </w:rPr>
      </w:pPr>
      <w:r w:rsidRPr="00F666D0">
        <w:rPr>
          <w:rFonts w:ascii="Arial" w:hAnsi="Arial" w:cs="Arial"/>
          <w:bCs/>
          <w:color w:val="000000" w:themeColor="text1"/>
          <w:sz w:val="22"/>
          <w:lang w:val="es-ES"/>
        </w:rPr>
        <w:t xml:space="preserve">Uno de los principios que rige la contratación </w:t>
      </w:r>
      <w:r>
        <w:rPr>
          <w:rFonts w:ascii="Arial" w:hAnsi="Arial" w:cs="Arial"/>
          <w:bCs/>
          <w:color w:val="000000" w:themeColor="text1"/>
          <w:sz w:val="22"/>
          <w:lang w:val="es-ES"/>
        </w:rPr>
        <w:t>estatal</w:t>
      </w:r>
      <w:r w:rsidRPr="00F666D0">
        <w:rPr>
          <w:rFonts w:ascii="Arial" w:hAnsi="Arial" w:cs="Arial"/>
          <w:bCs/>
          <w:color w:val="000000" w:themeColor="text1"/>
          <w:sz w:val="22"/>
          <w:lang w:val="es-ES"/>
        </w:rPr>
        <w:t xml:space="preserve"> es el de transparencia, cuya máxima expresión se traduce en la litación pública, procedimiento que, a su vez, </w:t>
      </w:r>
      <w:r>
        <w:rPr>
          <w:rFonts w:ascii="Arial" w:hAnsi="Arial" w:cs="Arial"/>
          <w:bCs/>
          <w:color w:val="000000" w:themeColor="text1"/>
          <w:sz w:val="22"/>
          <w:lang w:val="es-ES"/>
        </w:rPr>
        <w:t>constituye la</w:t>
      </w:r>
      <w:r w:rsidRPr="00F666D0">
        <w:rPr>
          <w:rFonts w:ascii="Arial" w:hAnsi="Arial" w:cs="Arial"/>
          <w:bCs/>
          <w:color w:val="000000" w:themeColor="text1"/>
          <w:sz w:val="22"/>
          <w:lang w:val="es-ES"/>
        </w:rPr>
        <w:t xml:space="preserve"> regla general para la</w:t>
      </w:r>
      <w:r>
        <w:rPr>
          <w:rFonts w:ascii="Arial" w:hAnsi="Arial" w:cs="Arial"/>
          <w:bCs/>
          <w:color w:val="000000" w:themeColor="text1"/>
          <w:sz w:val="22"/>
          <w:lang w:val="es-ES"/>
        </w:rPr>
        <w:t xml:space="preserve"> selección de contratistas</w:t>
      </w:r>
      <w:r w:rsidRPr="00F666D0">
        <w:rPr>
          <w:rFonts w:ascii="Arial" w:hAnsi="Arial" w:cs="Arial"/>
          <w:bCs/>
          <w:color w:val="000000" w:themeColor="text1"/>
          <w:sz w:val="22"/>
          <w:lang w:val="es-ES"/>
        </w:rPr>
        <w:t xml:space="preserve"> y en el que sus etapas se desarrollan mediante convocatoria pública en igualdad de condiciones, con libre concurrencia y orientadas a seleccionar objetivamente la oferta de bienes, obras o servicios más favorable para la </w:t>
      </w:r>
      <w:r>
        <w:rPr>
          <w:rFonts w:ascii="Arial" w:hAnsi="Arial" w:cs="Arial"/>
          <w:bCs/>
          <w:color w:val="000000" w:themeColor="text1"/>
          <w:sz w:val="22"/>
          <w:lang w:val="es-ES"/>
        </w:rPr>
        <w:t>Administración</w:t>
      </w:r>
      <w:r w:rsidRPr="00F666D0">
        <w:rPr>
          <w:rFonts w:ascii="Arial" w:hAnsi="Arial" w:cs="Arial"/>
          <w:bCs/>
          <w:color w:val="000000" w:themeColor="text1"/>
          <w:sz w:val="22"/>
          <w:lang w:val="es-ES"/>
        </w:rPr>
        <w:t>. Esta modalidad de selección de la Ley 80 de 1993, así como las demás previstas con la expedición de la Ley 1150 de 2007,</w:t>
      </w:r>
      <w:r>
        <w:rPr>
          <w:rFonts w:ascii="Arial" w:hAnsi="Arial" w:cs="Arial"/>
          <w:bCs/>
          <w:color w:val="000000" w:themeColor="text1"/>
          <w:sz w:val="22"/>
          <w:lang w:val="es-ES"/>
        </w:rPr>
        <w:t xml:space="preserve"> especialmente, la selección abreviada y el concurso de méritos,</w:t>
      </w:r>
      <w:r w:rsidRPr="00F666D0">
        <w:rPr>
          <w:rFonts w:ascii="Arial" w:hAnsi="Arial" w:cs="Arial"/>
          <w:bCs/>
          <w:color w:val="000000" w:themeColor="text1"/>
          <w:sz w:val="22"/>
          <w:lang w:val="es-ES"/>
        </w:rPr>
        <w:t xml:space="preserve"> culminan con el acto de adjudicación, decisión motivada de la entidad contratante por la que se concede el derecho a celebrar el contrato al mejor oferente</w:t>
      </w:r>
      <w:r>
        <w:rPr>
          <w:rStyle w:val="Refdenotaalpie"/>
          <w:rFonts w:ascii="Arial" w:hAnsi="Arial" w:cs="Arial"/>
          <w:bCs/>
          <w:color w:val="000000" w:themeColor="text1"/>
          <w:sz w:val="22"/>
          <w:lang w:val="es-ES"/>
        </w:rPr>
        <w:footnoteReference w:id="5"/>
      </w:r>
      <w:r w:rsidRPr="00F666D0">
        <w:rPr>
          <w:rFonts w:ascii="Arial" w:hAnsi="Arial" w:cs="Arial"/>
          <w:bCs/>
          <w:color w:val="000000" w:themeColor="text1"/>
          <w:sz w:val="22"/>
          <w:lang w:val="es-ES"/>
        </w:rPr>
        <w:t>.</w:t>
      </w:r>
    </w:p>
    <w:p w14:paraId="5007A972" w14:textId="77777777" w:rsidR="002C2D9D" w:rsidRDefault="002C2D9D" w:rsidP="002C2D9D">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 xml:space="preserve">En concordancia con el </w:t>
      </w:r>
      <w:r w:rsidRPr="00E56B59">
        <w:rPr>
          <w:rFonts w:ascii="Arial" w:hAnsi="Arial" w:cs="Arial"/>
          <w:bCs/>
          <w:color w:val="000000" w:themeColor="text1"/>
          <w:sz w:val="22"/>
          <w:lang w:val="es-ES"/>
        </w:rPr>
        <w:t>artículo 273 de la Constitución Política</w:t>
      </w:r>
      <w:r>
        <w:rPr>
          <w:rFonts w:ascii="Arial" w:hAnsi="Arial" w:cs="Arial"/>
          <w:bCs/>
          <w:color w:val="000000" w:themeColor="text1"/>
          <w:sz w:val="22"/>
          <w:lang w:val="es-ES"/>
        </w:rPr>
        <w:t>,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dispone que los procedimientos de licitación se adjudicaran en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en los casos previstos en la norma superior</w:t>
      </w:r>
      <w:r>
        <w:rPr>
          <w:rStyle w:val="Refdenotaalpie"/>
          <w:rFonts w:ascii="Arial" w:hAnsi="Arial" w:cs="Arial"/>
          <w:bCs/>
          <w:color w:val="000000" w:themeColor="text1"/>
          <w:sz w:val="22"/>
          <w:lang w:val="es-ES"/>
        </w:rPr>
        <w:footnoteReference w:id="6"/>
      </w:r>
      <w:r>
        <w:rPr>
          <w:rFonts w:ascii="Arial" w:hAnsi="Arial" w:cs="Arial"/>
          <w:bCs/>
          <w:color w:val="000000" w:themeColor="text1"/>
          <w:sz w:val="22"/>
          <w:lang w:val="es-ES"/>
        </w:rPr>
        <w:t xml:space="preserve">. Lo anterior se reitera en el artículo 9, </w:t>
      </w:r>
      <w:r>
        <w:rPr>
          <w:rFonts w:ascii="Arial" w:hAnsi="Arial" w:cs="Arial"/>
          <w:bCs/>
          <w:color w:val="000000" w:themeColor="text1"/>
          <w:sz w:val="22"/>
          <w:lang w:val="es-ES"/>
        </w:rPr>
        <w:lastRenderedPageBreak/>
        <w:t>inciso primero, de la Ley 1150 de 2007, pues «</w:t>
      </w:r>
      <w:r w:rsidRPr="006A172E">
        <w:rPr>
          <w:rFonts w:ascii="Arial" w:hAnsi="Arial" w:cs="Arial"/>
          <w:bCs/>
          <w:color w:val="000000" w:themeColor="text1"/>
          <w:sz w:val="22"/>
          <w:lang w:val="es-ES"/>
        </w:rPr>
        <w:t>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r>
        <w:rPr>
          <w:rFonts w:ascii="Arial" w:hAnsi="Arial" w:cs="Arial"/>
          <w:bCs/>
          <w:color w:val="000000" w:themeColor="text1"/>
          <w:sz w:val="22"/>
          <w:lang w:val="es-ES"/>
        </w:rPr>
        <w:t>». Para la Corte Constitucional la disposición citada</w:t>
      </w:r>
      <w:r w:rsidRPr="001F1A2D">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exequible, en la medida que –además de desarrollar una norma superior– las audiencias </w:t>
      </w:r>
      <w:r w:rsidRPr="001F1A2D">
        <w:rPr>
          <w:rFonts w:ascii="Arial" w:hAnsi="Arial" w:cs="Arial"/>
          <w:bCs/>
          <w:color w:val="000000" w:themeColor="text1"/>
          <w:sz w:val="22"/>
          <w:lang w:val="es-ES"/>
        </w:rPr>
        <w:t>garantiza</w:t>
      </w:r>
      <w:r>
        <w:rPr>
          <w:rFonts w:ascii="Arial" w:hAnsi="Arial" w:cs="Arial"/>
          <w:bCs/>
          <w:color w:val="000000" w:themeColor="text1"/>
          <w:sz w:val="22"/>
          <w:lang w:val="es-ES"/>
        </w:rPr>
        <w:t>n</w:t>
      </w:r>
      <w:r w:rsidRPr="001F1A2D">
        <w:rPr>
          <w:rFonts w:ascii="Arial" w:hAnsi="Arial" w:cs="Arial"/>
          <w:bCs/>
          <w:color w:val="000000" w:themeColor="text1"/>
          <w:sz w:val="22"/>
          <w:lang w:val="es-ES"/>
        </w:rPr>
        <w:t xml:space="preserve"> la transparencia de las decisiones</w:t>
      </w:r>
      <w:r>
        <w:rPr>
          <w:rStyle w:val="Refdenotaalpie"/>
          <w:rFonts w:ascii="Arial" w:hAnsi="Arial" w:cs="Arial"/>
          <w:bCs/>
          <w:color w:val="000000" w:themeColor="text1"/>
          <w:sz w:val="22"/>
          <w:lang w:val="es-ES"/>
        </w:rPr>
        <w:footnoteReference w:id="7"/>
      </w:r>
      <w:r>
        <w:rPr>
          <w:rFonts w:ascii="Arial" w:hAnsi="Arial" w:cs="Arial"/>
          <w:bCs/>
          <w:color w:val="000000" w:themeColor="text1"/>
          <w:sz w:val="22"/>
          <w:lang w:val="es-ES"/>
        </w:rPr>
        <w:t xml:space="preserve">. </w:t>
      </w:r>
    </w:p>
    <w:p w14:paraId="50FC5574" w14:textId="77777777" w:rsidR="002C2D9D" w:rsidRDefault="002C2D9D" w:rsidP="002C2D9D">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En lo que respecta al concurso de méritos, si bien la etapa de adjudicación</w:t>
      </w:r>
      <w:r w:rsidRPr="008103E9">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obligatoria, no existe una norma que obligue a realizarla por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w:t>
      </w:r>
      <w:r w:rsidRPr="00AE7EF0">
        <w:rPr>
          <w:rFonts w:ascii="Arial" w:hAnsi="Arial" w:cs="Arial"/>
          <w:bCs/>
          <w:i/>
          <w:iCs/>
          <w:color w:val="000000" w:themeColor="text1"/>
          <w:sz w:val="22"/>
          <w:lang w:val="es-ES"/>
        </w:rPr>
        <w:t>Por un lado</w:t>
      </w:r>
      <w:r>
        <w:rPr>
          <w:rFonts w:ascii="Arial" w:hAnsi="Arial" w:cs="Arial"/>
          <w:bCs/>
          <w:color w:val="000000" w:themeColor="text1"/>
          <w:sz w:val="22"/>
          <w:lang w:val="es-ES"/>
        </w:rPr>
        <w:t xml:space="preserve">, aunque </w:t>
      </w:r>
      <w:bookmarkStart w:id="11" w:name="_Hlk43384050"/>
      <w:r>
        <w:rPr>
          <w:rFonts w:ascii="Arial" w:hAnsi="Arial" w:cs="Arial"/>
          <w:bCs/>
          <w:color w:val="000000" w:themeColor="text1"/>
          <w:sz w:val="22"/>
          <w:lang w:val="es-ES"/>
        </w:rPr>
        <w:t>el artículo 2.3 de la Ley 1150 de 2007</w:t>
      </w:r>
      <w:bookmarkEnd w:id="11"/>
      <w:r>
        <w:rPr>
          <w:rFonts w:ascii="Arial" w:hAnsi="Arial" w:cs="Arial"/>
          <w:bCs/>
          <w:color w:val="000000" w:themeColor="text1"/>
          <w:sz w:val="22"/>
          <w:lang w:val="es-ES"/>
        </w:rPr>
        <w:t xml:space="preserve"> no se refiere expresamente a este aspecto del procedimiento, el 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dispone que el pliego de condiciones contiene información sobre «</w:t>
      </w:r>
      <w:r w:rsidRPr="0023576D">
        <w:rPr>
          <w:rFonts w:ascii="Arial" w:hAnsi="Arial" w:cs="Arial"/>
          <w:bCs/>
          <w:color w:val="000000" w:themeColor="text1"/>
          <w:sz w:val="22"/>
          <w:lang w:val="es-ES"/>
        </w:rPr>
        <w:t>Las reglas aplicables a la presentación de las ofertas, su evaluación y a la adjudicación del contrato</w:t>
      </w:r>
      <w:r>
        <w:rPr>
          <w:rFonts w:ascii="Arial" w:hAnsi="Arial" w:cs="Arial"/>
          <w:bCs/>
          <w:color w:val="000000" w:themeColor="text1"/>
          <w:sz w:val="22"/>
          <w:lang w:val="es-ES"/>
        </w:rPr>
        <w:t>»</w:t>
      </w:r>
      <w:r>
        <w:rPr>
          <w:rStyle w:val="Refdenotaalpie"/>
          <w:rFonts w:ascii="Arial" w:hAnsi="Arial" w:cs="Arial"/>
          <w:bCs/>
          <w:color w:val="000000" w:themeColor="text1"/>
          <w:sz w:val="22"/>
          <w:lang w:val="es-ES"/>
        </w:rPr>
        <w:footnoteReference w:id="8"/>
      </w:r>
      <w:r>
        <w:rPr>
          <w:rFonts w:ascii="Arial" w:hAnsi="Arial" w:cs="Arial"/>
          <w:bCs/>
          <w:color w:val="000000" w:themeColor="text1"/>
          <w:sz w:val="22"/>
          <w:lang w:val="es-ES"/>
        </w:rPr>
        <w:t>. En consecuencia, pese a que el reglamento dispone reglas especiales para el concurso de méritos, no es posible prescindir de la expedición de este acto administrativo.</w:t>
      </w:r>
    </w:p>
    <w:p w14:paraId="7B671136" w14:textId="77777777" w:rsidR="002C2D9D" w:rsidRDefault="002C2D9D" w:rsidP="002C2D9D">
      <w:pPr>
        <w:spacing w:before="120" w:line="276" w:lineRule="auto"/>
        <w:ind w:firstLine="709"/>
        <w:jc w:val="both"/>
        <w:rPr>
          <w:rFonts w:ascii="Arial" w:eastAsia="Calibri" w:hAnsi="Arial" w:cs="Arial"/>
          <w:sz w:val="22"/>
        </w:rPr>
      </w:pPr>
      <w:r w:rsidRPr="004161D4">
        <w:rPr>
          <w:rFonts w:ascii="Arial" w:hAnsi="Arial" w:cs="Arial"/>
          <w:bCs/>
          <w:i/>
          <w:iCs/>
          <w:color w:val="000000" w:themeColor="text1"/>
          <w:sz w:val="22"/>
          <w:lang w:val="es-ES"/>
        </w:rPr>
        <w:t>Por otra parte</w:t>
      </w:r>
      <w:r>
        <w:rPr>
          <w:rFonts w:ascii="Arial" w:hAnsi="Arial" w:cs="Arial"/>
          <w:bCs/>
          <w:color w:val="000000" w:themeColor="text1"/>
          <w:sz w:val="22"/>
          <w:lang w:val="es-ES"/>
        </w:rPr>
        <w:t>, en la medida que –conforme al inciso segundo del citado artículo 273 superior– las audiencias públicas solo son exigibles en los supuestos expresamente regulados por la ley, no es posible la aplicación analógica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ni el artículo 9, inciso primero, de la Ley 1150 de 2007. Aunque tanto la licitación como el concurso son «[…]</w:t>
      </w:r>
      <w:r w:rsidRPr="00A740E7">
        <w:t xml:space="preserve"> </w:t>
      </w:r>
      <w:r w:rsidRPr="00A740E7">
        <w:rPr>
          <w:rFonts w:ascii="Arial" w:hAnsi="Arial" w:cs="Arial"/>
          <w:bCs/>
          <w:color w:val="000000" w:themeColor="text1"/>
          <w:sz w:val="22"/>
          <w:lang w:val="es-ES"/>
        </w:rPr>
        <w:t>una convocatoria para que, en igualdad de oportunidades, los interesados presenten sus ofertas y seleccione entre ellas la más favorable»</w:t>
      </w:r>
      <w:r>
        <w:rPr>
          <w:rFonts w:ascii="Arial" w:hAnsi="Arial" w:cs="Arial"/>
          <w:bCs/>
          <w:color w:val="000000" w:themeColor="text1"/>
          <w:sz w:val="22"/>
          <w:lang w:val="es-ES"/>
        </w:rPr>
        <w:t xml:space="preserve"> –par. del art. 30 del Estatuto General–, la analogía es inaceptable, </w:t>
      </w:r>
      <w:r>
        <w:rPr>
          <w:rFonts w:ascii="Arial" w:eastAsia="Calibri" w:hAnsi="Arial" w:cs="Arial"/>
          <w:sz w:val="22"/>
        </w:rPr>
        <w:t xml:space="preserve">ya que se trata de procedimientos de selección completamente diferentes, razón por la cual en la medida que no se adelantan de la misma manera, es incorrecto aplicar las normas de la primera al segundo. </w:t>
      </w:r>
    </w:p>
    <w:p w14:paraId="3C0C4F29" w14:textId="77777777" w:rsidR="002C2D9D" w:rsidRDefault="002C2D9D" w:rsidP="002C2D9D">
      <w:pPr>
        <w:spacing w:before="120" w:after="120" w:line="276" w:lineRule="auto"/>
        <w:ind w:firstLine="709"/>
        <w:jc w:val="both"/>
        <w:rPr>
          <w:rFonts w:ascii="Arial" w:eastAsia="Calibri" w:hAnsi="Arial" w:cs="Arial"/>
          <w:sz w:val="22"/>
        </w:rPr>
      </w:pPr>
      <w:bookmarkStart w:id="12" w:name="_Hlk43657810"/>
      <w:r>
        <w:rPr>
          <w:rFonts w:ascii="Arial" w:eastAsia="Calibri" w:hAnsi="Arial" w:cs="Arial"/>
          <w:sz w:val="22"/>
        </w:rPr>
        <w:lastRenderedPageBreak/>
        <w:t xml:space="preserve">Aunque las </w:t>
      </w:r>
      <w:r w:rsidRPr="00BD31AB">
        <w:rPr>
          <w:rFonts w:ascii="Arial" w:eastAsia="Calibri" w:hAnsi="Arial" w:cs="Arial"/>
          <w:i/>
          <w:iCs/>
          <w:sz w:val="22"/>
        </w:rPr>
        <w:t>audiencias públicas</w:t>
      </w:r>
      <w:r>
        <w:rPr>
          <w:rFonts w:ascii="Arial" w:eastAsia="Calibri" w:hAnsi="Arial" w:cs="Arial"/>
          <w:sz w:val="22"/>
        </w:rPr>
        <w:t xml:space="preserve"> no son obligatorias</w:t>
      </w:r>
      <w:r w:rsidRPr="005820AB">
        <w:rPr>
          <w:rFonts w:ascii="Arial" w:eastAsia="Calibri" w:hAnsi="Arial" w:cs="Arial"/>
          <w:sz w:val="22"/>
        </w:rPr>
        <w:t xml:space="preserve"> </w:t>
      </w:r>
      <w:r>
        <w:rPr>
          <w:rFonts w:ascii="Arial" w:eastAsia="Calibri" w:hAnsi="Arial" w:cs="Arial"/>
          <w:sz w:val="22"/>
        </w:rPr>
        <w:t xml:space="preserve">en el concurso de méritos, cabe preguntarse si son </w:t>
      </w:r>
      <w:r w:rsidRPr="00BD31AB">
        <w:rPr>
          <w:rFonts w:ascii="Arial" w:eastAsia="Calibri" w:hAnsi="Arial" w:cs="Arial"/>
          <w:i/>
          <w:iCs/>
          <w:sz w:val="22"/>
        </w:rPr>
        <w:t>potestativas</w:t>
      </w:r>
      <w:r>
        <w:rPr>
          <w:rFonts w:ascii="Arial" w:eastAsia="Calibri" w:hAnsi="Arial" w:cs="Arial"/>
          <w:sz w:val="22"/>
        </w:rPr>
        <w:t xml:space="preserve">. </w:t>
      </w:r>
      <w:bookmarkStart w:id="13" w:name="_Hlk44411541"/>
      <w:r>
        <w:rPr>
          <w:rFonts w:ascii="Arial" w:eastAsia="Calibri" w:hAnsi="Arial" w:cs="Arial"/>
          <w:sz w:val="22"/>
        </w:rPr>
        <w:t>La respuesta positiva a esta inquietud se fundamenta en dos (2) argumentos.</w:t>
      </w:r>
      <w:r>
        <w:rPr>
          <w:rFonts w:ascii="Arial" w:eastAsia="Calibri" w:hAnsi="Arial" w:cs="Arial"/>
          <w:i/>
          <w:iCs/>
          <w:sz w:val="22"/>
        </w:rPr>
        <w:t xml:space="preserve"> </w:t>
      </w:r>
      <w:r w:rsidRPr="00036646">
        <w:rPr>
          <w:rFonts w:ascii="Arial" w:eastAsia="Calibri" w:hAnsi="Arial" w:cs="Arial"/>
          <w:i/>
          <w:iCs/>
          <w:sz w:val="22"/>
        </w:rPr>
        <w:t>En primer lugar</w:t>
      </w:r>
      <w:r>
        <w:rPr>
          <w:rFonts w:ascii="Arial" w:eastAsia="Calibri" w:hAnsi="Arial" w:cs="Arial"/>
          <w:sz w:val="22"/>
        </w:rPr>
        <w:t xml:space="preserve">, el principio de publicidad permitiría su realización eventual, ya que este tiene un carácter transversal y multifacético en las actuaciones estatales. Conforme al artículo 209 superior es un eje rector de la función administrativa, por lo que despliega sus efectos en las </w:t>
      </w:r>
      <w:proofErr w:type="spellStart"/>
      <w:r>
        <w:rPr>
          <w:rFonts w:ascii="Arial" w:eastAsia="Calibri" w:hAnsi="Arial" w:cs="Arial"/>
          <w:sz w:val="22"/>
        </w:rPr>
        <w:t>mas</w:t>
      </w:r>
      <w:proofErr w:type="spellEnd"/>
      <w:r>
        <w:rPr>
          <w:rFonts w:ascii="Arial" w:eastAsia="Calibri" w:hAnsi="Arial" w:cs="Arial"/>
          <w:sz w:val="22"/>
        </w:rPr>
        <w:t xml:space="preserve">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bookmarkEnd w:id="13"/>
      <w:r>
        <w:rPr>
          <w:rFonts w:ascii="Arial" w:eastAsia="Calibri" w:hAnsi="Arial" w:cs="Arial"/>
          <w:sz w:val="22"/>
        </w:rPr>
        <w:t xml:space="preserve">  </w:t>
      </w:r>
    </w:p>
    <w:p w14:paraId="3F45AC30" w14:textId="77777777" w:rsidR="002C2D9D" w:rsidRDefault="002C2D9D" w:rsidP="002C2D9D">
      <w:pPr>
        <w:spacing w:before="120" w:after="120" w:line="276" w:lineRule="auto"/>
        <w:ind w:firstLine="709"/>
        <w:jc w:val="both"/>
        <w:rPr>
          <w:rFonts w:ascii="Arial" w:eastAsia="Calibri" w:hAnsi="Arial" w:cs="Arial"/>
          <w:sz w:val="22"/>
        </w:rPr>
      </w:pPr>
      <w:bookmarkStart w:id="14" w:name="_Hlk44411615"/>
      <w:r w:rsidRPr="00036646">
        <w:rPr>
          <w:rFonts w:ascii="Arial" w:eastAsia="Calibri" w:hAnsi="Arial" w:cs="Arial"/>
          <w:i/>
          <w:iCs/>
          <w:sz w:val="22"/>
        </w:rPr>
        <w:t>En segundo lugar</w:t>
      </w:r>
      <w:r>
        <w:rPr>
          <w:rFonts w:ascii="Arial" w:eastAsia="Calibri" w:hAnsi="Arial" w:cs="Arial"/>
          <w:sz w:val="22"/>
        </w:rPr>
        <w:t>, teniendo en cuenta que el artículo 77 de la Ley 80 de 1993 remite al Código de Procedimiento Administrativo y Contencioso Administrativo, aplicaría el inciso final del artículo 35 de la Ley 1437 de 2011, el cual dispone que «</w:t>
      </w:r>
      <w:r w:rsidRPr="005678B1">
        <w:rPr>
          <w:rFonts w:ascii="Arial" w:eastAsia="Calibri" w:hAnsi="Arial" w:cs="Arial"/>
          <w:sz w:val="22"/>
        </w:rPr>
        <w:t>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r>
        <w:rPr>
          <w:rFonts w:ascii="Arial" w:eastAsia="Calibri" w:hAnsi="Arial" w:cs="Arial"/>
          <w:sz w:val="22"/>
        </w:rPr>
        <w:t>»</w:t>
      </w:r>
      <w:r w:rsidRPr="005678B1">
        <w:rPr>
          <w:rFonts w:ascii="Arial" w:eastAsia="Calibri" w:hAnsi="Arial" w:cs="Arial"/>
          <w:sz w:val="22"/>
        </w:rPr>
        <w:t>.</w:t>
      </w:r>
      <w:bookmarkEnd w:id="14"/>
      <w:r>
        <w:rPr>
          <w:rFonts w:ascii="Arial" w:eastAsia="Calibri" w:hAnsi="Arial" w:cs="Arial"/>
          <w:sz w:val="22"/>
        </w:rPr>
        <w:t xml:space="preserve"> </w:t>
      </w:r>
      <w:bookmarkEnd w:id="12"/>
    </w:p>
    <w:p w14:paraId="6EEB9489" w14:textId="77777777" w:rsidR="002C2D9D" w:rsidRDefault="002C2D9D" w:rsidP="002C2D9D">
      <w:pPr>
        <w:spacing w:after="120" w:line="276" w:lineRule="auto"/>
        <w:ind w:firstLine="709"/>
        <w:jc w:val="both"/>
        <w:rPr>
          <w:rFonts w:ascii="Arial" w:eastAsia="Calibri" w:hAnsi="Arial" w:cs="Arial"/>
          <w:sz w:val="22"/>
        </w:rPr>
      </w:pPr>
      <w:r>
        <w:rPr>
          <w:rFonts w:ascii="Arial" w:eastAsia="Calibri" w:hAnsi="Arial" w:cs="Arial"/>
          <w:sz w:val="22"/>
        </w:rPr>
        <w:t>En esta medida, las audiencias son una garantía para los principios de la función administrativa como el de publicidad, participación, contradicción y eficiencia, por lo que –</w:t>
      </w:r>
      <w:proofErr w:type="spellStart"/>
      <w:r>
        <w:rPr>
          <w:rFonts w:ascii="Arial" w:eastAsia="Calibri" w:hAnsi="Arial" w:cs="Arial"/>
          <w:sz w:val="22"/>
        </w:rPr>
        <w:t>mas</w:t>
      </w:r>
      <w:proofErr w:type="spellEnd"/>
      <w:r>
        <w:rPr>
          <w:rFonts w:ascii="Arial" w:eastAsia="Calibri" w:hAnsi="Arial" w:cs="Arial"/>
          <w:sz w:val="22"/>
        </w:rPr>
        <w:t xml:space="preserve"> allá de la sujeción estricta al principio de legalidad– contribuyen a la legitimación de las decisiones públicas</w:t>
      </w:r>
      <w:r>
        <w:rPr>
          <w:rStyle w:val="Refdenotaalpie"/>
          <w:rFonts w:ascii="Arial" w:eastAsia="Calibri" w:hAnsi="Arial" w:cs="Arial"/>
          <w:sz w:val="22"/>
        </w:rPr>
        <w:footnoteReference w:id="9"/>
      </w:r>
      <w:r>
        <w:rPr>
          <w:rFonts w:ascii="Arial" w:eastAsia="Calibri" w:hAnsi="Arial" w:cs="Arial"/>
          <w:sz w:val="22"/>
        </w:rPr>
        <w:t xml:space="preserve">. De hecho, el literal a) del artículo 32 de la Ley 489 de 1998 refuerza esta tesis, ya que permite la realización de </w:t>
      </w:r>
      <w:r w:rsidRPr="00BD31AB">
        <w:rPr>
          <w:rFonts w:ascii="Arial" w:eastAsia="Calibri" w:hAnsi="Arial" w:cs="Arial"/>
          <w:i/>
          <w:iCs/>
          <w:sz w:val="22"/>
        </w:rPr>
        <w:t>audiencias públicas</w:t>
      </w:r>
      <w:r>
        <w:rPr>
          <w:rStyle w:val="Refdenotaalpie"/>
          <w:rFonts w:ascii="Arial" w:eastAsia="Calibri" w:hAnsi="Arial" w:cs="Arial"/>
          <w:sz w:val="22"/>
        </w:rPr>
        <w:footnoteReference w:id="10"/>
      </w:r>
      <w:r>
        <w:rPr>
          <w:rFonts w:ascii="Arial" w:eastAsia="Calibri" w:hAnsi="Arial" w:cs="Arial"/>
          <w:sz w:val="22"/>
        </w:rPr>
        <w:t xml:space="preserve">. Pese a lo anterior, la aplicación del inciso final del artículo 35 de la Ley 1437 de 2011 no está exenta de </w:t>
      </w:r>
      <w:r>
        <w:rPr>
          <w:rFonts w:ascii="Arial" w:eastAsia="Calibri" w:hAnsi="Arial" w:cs="Arial"/>
          <w:sz w:val="22"/>
        </w:rPr>
        <w:lastRenderedPageBreak/>
        <w:t xml:space="preserve">problemas, pues la remisión a las normas del Código de Procedimiento Administrativo supone un vacío legal en los procedimientos contractuales y, además, la realización de audiencias no previstas en el Estatuto General podría violar el principio de economía. </w:t>
      </w:r>
    </w:p>
    <w:p w14:paraId="5EAE4993" w14:textId="77777777" w:rsidR="002C2D9D" w:rsidRDefault="002C2D9D" w:rsidP="002C2D9D">
      <w:pPr>
        <w:spacing w:after="120" w:line="276" w:lineRule="auto"/>
        <w:ind w:firstLine="709"/>
        <w:jc w:val="both"/>
        <w:rPr>
          <w:rFonts w:ascii="Arial" w:eastAsia="Calibri" w:hAnsi="Arial" w:cs="Arial"/>
          <w:sz w:val="22"/>
        </w:rPr>
      </w:pPr>
      <w:r w:rsidRPr="002F1C33">
        <w:rPr>
          <w:rFonts w:ascii="Arial" w:eastAsia="Calibri" w:hAnsi="Arial" w:cs="Arial"/>
          <w:i/>
          <w:iCs/>
          <w:sz w:val="22"/>
        </w:rPr>
        <w:t>Por un lado</w:t>
      </w:r>
      <w:r>
        <w:rPr>
          <w:rFonts w:ascii="Arial" w:eastAsia="Calibri" w:hAnsi="Arial" w:cs="Arial"/>
          <w:sz w:val="22"/>
        </w:rPr>
        <w:t>, si bien el artículo 77 de la Ley 80 de 1993 dispone la aplicación de la Ley 1437 de 2011 en los aspectos que sean compatibles con la finalidad y los principios del Estatuto General de Contratación, el inciso final del artículo 2 del Código de Procedimiento Administrativo prescribe que «</w:t>
      </w:r>
      <w:r w:rsidRPr="00421EA9">
        <w:rPr>
          <w:rFonts w:ascii="Arial" w:eastAsia="Calibri" w:hAnsi="Arial" w:cs="Arial"/>
          <w:sz w:val="22"/>
        </w:rPr>
        <w:t xml:space="preserve">Las autoridades sujetarán sus actuaciones a los procedimientos que se establecen en este Código, sin perjuicio de los procedimientos regulados en leyes especiales. </w:t>
      </w:r>
      <w:r w:rsidRPr="00421EA9">
        <w:rPr>
          <w:rFonts w:ascii="Arial" w:eastAsia="Calibri" w:hAnsi="Arial" w:cs="Arial"/>
          <w:i/>
          <w:iCs/>
          <w:sz w:val="22"/>
        </w:rPr>
        <w:t>En lo no previsto en los mismos se aplicarán las disposiciones de este Código</w:t>
      </w:r>
      <w:r>
        <w:rPr>
          <w:rFonts w:ascii="Arial" w:eastAsia="Calibri" w:hAnsi="Arial" w:cs="Arial"/>
          <w:sz w:val="22"/>
        </w:rPr>
        <w:t>» (Cursivas fuera de texto)</w:t>
      </w:r>
      <w:r w:rsidRPr="00421EA9">
        <w:rPr>
          <w:rFonts w:ascii="Arial" w:eastAsia="Calibri" w:hAnsi="Arial" w:cs="Arial"/>
          <w:sz w:val="22"/>
        </w:rPr>
        <w:t>.</w:t>
      </w:r>
      <w:r>
        <w:rPr>
          <w:rFonts w:ascii="Arial" w:eastAsia="Calibri" w:hAnsi="Arial" w:cs="Arial"/>
          <w:sz w:val="22"/>
        </w:rPr>
        <w:t xml:space="preserve"> De esta manera, la posibilidad de realizar audiencias con fundamento en el inciso final del artículo 35 de la Ley 1437 de 2011 supone que la Ley 80 de 1993 no haya regulado este aspecto.</w:t>
      </w:r>
    </w:p>
    <w:p w14:paraId="5F496557" w14:textId="77777777" w:rsidR="002C2D9D" w:rsidRDefault="002C2D9D" w:rsidP="002C2D9D">
      <w:pPr>
        <w:spacing w:after="120" w:line="276" w:lineRule="auto"/>
        <w:ind w:firstLine="709"/>
        <w:jc w:val="both"/>
        <w:rPr>
          <w:rFonts w:ascii="Arial" w:hAnsi="Arial" w:cs="Arial"/>
          <w:bCs/>
          <w:color w:val="000000" w:themeColor="text1"/>
          <w:sz w:val="22"/>
          <w:lang w:val="es-ES"/>
        </w:rPr>
      </w:pPr>
      <w:r>
        <w:rPr>
          <w:rFonts w:ascii="Arial" w:eastAsia="Calibri" w:hAnsi="Arial" w:cs="Arial"/>
          <w:sz w:val="22"/>
        </w:rPr>
        <w:t xml:space="preserve">El tema es controvertido, pues si bien el Estatuto General regula </w:t>
      </w:r>
      <w:r w:rsidRPr="00BD31AB">
        <w:rPr>
          <w:rFonts w:ascii="Arial" w:eastAsia="Calibri" w:hAnsi="Arial" w:cs="Arial"/>
          <w:i/>
          <w:iCs/>
          <w:sz w:val="22"/>
        </w:rPr>
        <w:t>audiencias obligatorias</w:t>
      </w:r>
      <w:r>
        <w:rPr>
          <w:rFonts w:ascii="Arial" w:eastAsia="Calibri" w:hAnsi="Arial" w:cs="Arial"/>
          <w:sz w:val="22"/>
        </w:rPr>
        <w:t xml:space="preserve"> como la de adjudicación en la licitación pública –</w:t>
      </w:r>
      <w:r w:rsidRPr="00F666D0">
        <w:rPr>
          <w:rFonts w:ascii="Arial" w:hAnsi="Arial" w:cs="Arial"/>
          <w:bCs/>
          <w:color w:val="000000" w:themeColor="text1"/>
          <w:sz w:val="22"/>
          <w:lang w:val="es-ES"/>
        </w:rPr>
        <w:t>art</w:t>
      </w:r>
      <w:r>
        <w:rPr>
          <w:rFonts w:ascii="Arial" w:hAnsi="Arial" w:cs="Arial"/>
          <w:bCs/>
          <w:color w:val="000000" w:themeColor="text1"/>
          <w:sz w:val="22"/>
          <w:lang w:val="es-ES"/>
        </w:rPr>
        <w:t>.</w:t>
      </w:r>
      <w:r w:rsidRPr="00F666D0">
        <w:rPr>
          <w:rFonts w:ascii="Arial" w:hAnsi="Arial" w:cs="Arial"/>
          <w:bCs/>
          <w:color w:val="000000" w:themeColor="text1"/>
          <w:sz w:val="22"/>
          <w:lang w:val="es-ES"/>
        </w:rPr>
        <w:t xml:space="preserve">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y art 9, inciso primero, de la Ley 1150 de 2007–, la de asignación de riesgos en el mismo procedimiento de selección –art. 4 de la Ley 1150 de 2007– o la de imposición de sanciones contractuales –art. 86 de la Ley 1474 de 2011–, la ausencia de regulación en otros aspectos del procedimiento significa una de las siguientes situaciones: i) la prohibición tácita de realizar audiencias que no estén presamente reguladas o </w:t>
      </w:r>
      <w:proofErr w:type="spellStart"/>
      <w:r>
        <w:rPr>
          <w:rFonts w:ascii="Arial" w:hAnsi="Arial" w:cs="Arial"/>
          <w:bCs/>
          <w:color w:val="000000" w:themeColor="text1"/>
          <w:sz w:val="22"/>
          <w:lang w:val="es-ES"/>
        </w:rPr>
        <w:t>ii</w:t>
      </w:r>
      <w:proofErr w:type="spellEnd"/>
      <w:r>
        <w:rPr>
          <w:rFonts w:ascii="Arial" w:hAnsi="Arial" w:cs="Arial"/>
          <w:bCs/>
          <w:color w:val="000000" w:themeColor="text1"/>
          <w:sz w:val="22"/>
          <w:lang w:val="es-ES"/>
        </w:rPr>
        <w:t>) la existencia de vacío legal que exige la integración del ordenamiento jurídico para llenarlo.</w:t>
      </w:r>
    </w:p>
    <w:p w14:paraId="1DC1ABC0" w14:textId="77777777" w:rsidR="002C2D9D" w:rsidRDefault="002C2D9D" w:rsidP="002C2D9D">
      <w:pPr>
        <w:spacing w:after="120" w:line="276" w:lineRule="auto"/>
        <w:ind w:firstLine="709"/>
        <w:jc w:val="both"/>
        <w:rPr>
          <w:rFonts w:ascii="Arial" w:hAnsi="Arial" w:cs="Arial"/>
          <w:bCs/>
          <w:color w:val="000000" w:themeColor="text1"/>
          <w:sz w:val="22"/>
          <w:lang w:val="es-ES"/>
        </w:rPr>
      </w:pPr>
      <w:bookmarkStart w:id="15" w:name="_Hlk43658077"/>
      <w:r>
        <w:rPr>
          <w:rFonts w:ascii="Arial" w:hAnsi="Arial" w:cs="Arial"/>
          <w:bCs/>
          <w:color w:val="000000" w:themeColor="text1"/>
          <w:sz w:val="22"/>
          <w:lang w:val="es-ES"/>
        </w:rPr>
        <w:t xml:space="preserve">Para esta Subdirección no existe la prohibición tácita de realizar </w:t>
      </w:r>
      <w:r w:rsidRPr="00BD31AB">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en otros procedimientos de selección, ya que los supuestos mencionados en el párrafo precedente se refieren a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En este último punto, es decir, sobre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fuera de los casos previstos en la ley, por lo que es posible integrar el vacío legal sobre la procedencia de las </w:t>
      </w:r>
      <w:r w:rsidRPr="000C5830">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con el citado </w:t>
      </w:r>
      <w:r>
        <w:rPr>
          <w:rFonts w:ascii="Arial" w:eastAsia="Calibri" w:hAnsi="Arial" w:cs="Arial"/>
          <w:sz w:val="22"/>
        </w:rPr>
        <w:t>inciso final del artículo 35 de la Ley 1437 de 2011, en la medida que estas últimas no se regularon en las normas que conforman el Estatuto General.</w:t>
      </w:r>
      <w:r>
        <w:rPr>
          <w:rFonts w:ascii="Arial" w:hAnsi="Arial" w:cs="Arial"/>
          <w:bCs/>
          <w:color w:val="000000" w:themeColor="text1"/>
          <w:sz w:val="22"/>
          <w:lang w:val="es-ES"/>
        </w:rPr>
        <w:t xml:space="preserve">   </w:t>
      </w:r>
    </w:p>
    <w:bookmarkEnd w:id="15"/>
    <w:p w14:paraId="29E6A2DE" w14:textId="77777777" w:rsidR="002C2D9D" w:rsidRDefault="002C2D9D" w:rsidP="002C2D9D">
      <w:pPr>
        <w:spacing w:after="120" w:line="276" w:lineRule="auto"/>
        <w:ind w:firstLine="709"/>
        <w:jc w:val="both"/>
        <w:rPr>
          <w:rFonts w:ascii="Arial" w:eastAsia="Calibri" w:hAnsi="Arial" w:cs="Arial"/>
          <w:sz w:val="22"/>
        </w:rPr>
      </w:pPr>
      <w:r>
        <w:rPr>
          <w:rFonts w:ascii="Arial" w:hAnsi="Arial" w:cs="Arial"/>
          <w:bCs/>
          <w:color w:val="000000" w:themeColor="text1"/>
          <w:sz w:val="22"/>
          <w:lang w:val="es-ES"/>
        </w:rPr>
        <w:t xml:space="preserve">Sin embargo, </w:t>
      </w:r>
      <w:r w:rsidRPr="00D36296">
        <w:rPr>
          <w:rFonts w:ascii="Arial" w:hAnsi="Arial" w:cs="Arial"/>
          <w:bCs/>
          <w:i/>
          <w:iCs/>
          <w:color w:val="000000" w:themeColor="text1"/>
          <w:sz w:val="22"/>
          <w:lang w:val="es-ES"/>
        </w:rPr>
        <w:t>por otra parte</w:t>
      </w:r>
      <w:r>
        <w:rPr>
          <w:rFonts w:ascii="Arial" w:hAnsi="Arial" w:cs="Arial"/>
          <w:bCs/>
          <w:color w:val="000000" w:themeColor="text1"/>
          <w:sz w:val="22"/>
          <w:lang w:val="es-ES"/>
        </w:rPr>
        <w:t xml:space="preserve">, </w:t>
      </w:r>
      <w:bookmarkStart w:id="16" w:name="_Hlk43658521"/>
      <w:r>
        <w:rPr>
          <w:rFonts w:ascii="Arial" w:hAnsi="Arial" w:cs="Arial"/>
          <w:bCs/>
          <w:color w:val="000000" w:themeColor="text1"/>
          <w:sz w:val="22"/>
          <w:lang w:val="es-ES"/>
        </w:rPr>
        <w:t xml:space="preserve">las </w:t>
      </w:r>
      <w:r w:rsidRPr="00D36296">
        <w:rPr>
          <w:rFonts w:ascii="Arial" w:hAnsi="Arial" w:cs="Arial"/>
          <w:bCs/>
          <w:i/>
          <w:iCs/>
          <w:color w:val="000000" w:themeColor="text1"/>
          <w:sz w:val="22"/>
          <w:lang w:val="es-ES"/>
        </w:rPr>
        <w:t>audiencias potestativas</w:t>
      </w:r>
      <w:r>
        <w:rPr>
          <w:rFonts w:ascii="Arial" w:hAnsi="Arial" w:cs="Arial"/>
          <w:bCs/>
          <w:i/>
          <w:iCs/>
          <w:color w:val="000000" w:themeColor="text1"/>
          <w:sz w:val="22"/>
          <w:lang w:val="es-ES"/>
        </w:rPr>
        <w:t xml:space="preserve"> </w:t>
      </w:r>
      <w:r>
        <w:rPr>
          <w:rFonts w:ascii="Arial" w:hAnsi="Arial" w:cs="Arial"/>
          <w:bCs/>
          <w:color w:val="000000" w:themeColor="text1"/>
          <w:sz w:val="22"/>
          <w:lang w:val="es-ES"/>
        </w:rPr>
        <w:t xml:space="preserve">del </w:t>
      </w:r>
      <w:r>
        <w:rPr>
          <w:rFonts w:ascii="Arial" w:eastAsia="Calibri" w:hAnsi="Arial" w:cs="Arial"/>
          <w:sz w:val="22"/>
        </w:rPr>
        <w:t>inciso final del artículo 35 de la Ley 1437 de 2011</w:t>
      </w:r>
      <w:r>
        <w:rPr>
          <w:rFonts w:ascii="Arial" w:hAnsi="Arial" w:cs="Arial"/>
          <w:bCs/>
          <w:color w:val="000000" w:themeColor="text1"/>
          <w:sz w:val="22"/>
          <w:lang w:val="es-ES"/>
        </w:rPr>
        <w:t xml:space="preserve"> deben ser compatibles con los principios de la actividad contractual –</w:t>
      </w:r>
      <w:r>
        <w:rPr>
          <w:rFonts w:ascii="Arial" w:eastAsia="Calibri" w:hAnsi="Arial" w:cs="Arial"/>
          <w:sz w:val="22"/>
        </w:rPr>
        <w:t>art 77 de la Ley 80 de 1993–. El asunto también es problemático,</w:t>
      </w:r>
      <w:r>
        <w:rPr>
          <w:rFonts w:ascii="Arial" w:hAnsi="Arial" w:cs="Arial"/>
          <w:bCs/>
          <w:color w:val="000000" w:themeColor="text1"/>
          <w:sz w:val="22"/>
          <w:lang w:val="es-ES"/>
        </w:rPr>
        <w:t xml:space="preserve"> </w:t>
      </w:r>
      <w:r>
        <w:rPr>
          <w:rFonts w:ascii="Arial" w:eastAsia="Calibri" w:hAnsi="Arial" w:cs="Arial"/>
          <w:sz w:val="22"/>
        </w:rPr>
        <w:t>porque el artículo 25.2 de la Ley 80 de 1993 dispone que conforme al principio de economía «</w:t>
      </w:r>
      <w:r w:rsidRPr="005820AB">
        <w:rPr>
          <w:rFonts w:ascii="Arial" w:eastAsia="Calibri" w:hAnsi="Arial" w:cs="Arial"/>
          <w:sz w:val="22"/>
        </w:rPr>
        <w:t>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Fonts w:ascii="Arial" w:eastAsia="Calibri" w:hAnsi="Arial" w:cs="Arial"/>
          <w:sz w:val="22"/>
        </w:rPr>
        <w:t>»</w:t>
      </w:r>
      <w:r w:rsidRPr="005820AB">
        <w:rPr>
          <w:rFonts w:ascii="Arial" w:eastAsia="Calibri" w:hAnsi="Arial" w:cs="Arial"/>
          <w:sz w:val="22"/>
        </w:rPr>
        <w:t>.</w:t>
      </w:r>
      <w:r>
        <w:rPr>
          <w:rFonts w:ascii="Arial" w:eastAsia="Calibri" w:hAnsi="Arial" w:cs="Arial"/>
          <w:sz w:val="22"/>
        </w:rPr>
        <w:t xml:space="preserve"> De esta manera, podría sostenerse que en la medida </w:t>
      </w:r>
      <w:r>
        <w:rPr>
          <w:rFonts w:ascii="Arial" w:eastAsia="Calibri" w:hAnsi="Arial" w:cs="Arial"/>
          <w:sz w:val="22"/>
        </w:rPr>
        <w:lastRenderedPageBreak/>
        <w:t xml:space="preserve">que la ley no reguló audiencias para procedimientos de selección distintos a la licitación pública, las entidades no podrían adelantarlas oficiosamente a falta de norma especial. </w:t>
      </w:r>
    </w:p>
    <w:p w14:paraId="1002E862" w14:textId="77777777" w:rsidR="002C2D9D" w:rsidRDefault="002C2D9D" w:rsidP="002C2D9D">
      <w:pPr>
        <w:spacing w:before="120" w:line="276" w:lineRule="auto"/>
        <w:ind w:firstLine="709"/>
        <w:jc w:val="both"/>
        <w:rPr>
          <w:rFonts w:ascii="Arial" w:eastAsia="Calibri" w:hAnsi="Arial" w:cs="Arial"/>
          <w:sz w:val="22"/>
        </w:rPr>
      </w:pPr>
      <w:r>
        <w:rPr>
          <w:rFonts w:ascii="Arial" w:eastAsia="Calibri" w:hAnsi="Arial" w:cs="Arial"/>
          <w:sz w:val="22"/>
        </w:rPr>
        <w:t xml:space="preserve">La Subdirección no comparte la idea del párrafo precedente, ya que la audiencia no implica una fase adicional del procedimiento, pues tiene como objeto la adjudicación del contrato, es decir, una etapa existente dentro del concurso de méritos conforme al citado </w:t>
      </w:r>
      <w:r>
        <w:rPr>
          <w:rFonts w:ascii="Arial" w:hAnsi="Arial" w:cs="Arial"/>
          <w:bCs/>
          <w:color w:val="000000" w:themeColor="text1"/>
          <w:sz w:val="22"/>
          <w:lang w:val="es-ES"/>
        </w:rPr>
        <w:t xml:space="preserve">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Por lo anterior, la realización de </w:t>
      </w:r>
      <w:r w:rsidRPr="006852EB">
        <w:rPr>
          <w:rFonts w:ascii="Arial" w:hAnsi="Arial" w:cs="Arial"/>
          <w:bCs/>
          <w:i/>
          <w:iCs/>
          <w:color w:val="000000" w:themeColor="text1"/>
          <w:sz w:val="22"/>
          <w:lang w:val="es-ES"/>
        </w:rPr>
        <w:t>audiencias públicas</w:t>
      </w:r>
      <w:r>
        <w:rPr>
          <w:rFonts w:ascii="Arial" w:hAnsi="Arial" w:cs="Arial"/>
          <w:bCs/>
          <w:color w:val="000000" w:themeColor="text1"/>
          <w:sz w:val="22"/>
          <w:lang w:val="es-ES"/>
        </w:rPr>
        <w:t xml:space="preserve"> en los términos del </w:t>
      </w:r>
      <w:r>
        <w:rPr>
          <w:rFonts w:ascii="Arial" w:eastAsia="Calibri" w:hAnsi="Arial" w:cs="Arial"/>
          <w:sz w:val="22"/>
        </w:rPr>
        <w:t xml:space="preserve">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  </w:t>
      </w:r>
    </w:p>
    <w:bookmarkEnd w:id="16"/>
    <w:p w14:paraId="1EF25F92" w14:textId="25521F95" w:rsidR="00D85E33" w:rsidRDefault="002C2D9D" w:rsidP="002C2D9D">
      <w:pPr>
        <w:spacing w:before="120" w:line="276" w:lineRule="auto"/>
        <w:ind w:firstLine="709"/>
        <w:jc w:val="both"/>
        <w:rPr>
          <w:rFonts w:ascii="Arial" w:eastAsia="Calibri" w:hAnsi="Arial" w:cs="Arial"/>
          <w:b/>
          <w:bCs/>
          <w:color w:val="000000" w:themeColor="text1"/>
          <w:sz w:val="22"/>
        </w:rPr>
      </w:pPr>
      <w:r w:rsidRPr="0086204F">
        <w:rPr>
          <w:rFonts w:ascii="Arial" w:eastAsia="Calibri" w:hAnsi="Arial" w:cs="Arial"/>
          <w:sz w:val="22"/>
        </w:rPr>
        <w:t>De esta manera, se concluye que la Administración –</w:t>
      </w:r>
      <w:r w:rsidR="004D30B6"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sidR="004D30B6">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la adjudicación de los contratos derivados de los concursos de méritos. Lo anterior con fundamento en i) el principio de publicidad como eje rector de las actuaciones administrativas y </w:t>
      </w:r>
      <w:proofErr w:type="spellStart"/>
      <w:r w:rsidRPr="0086204F">
        <w:rPr>
          <w:rFonts w:ascii="Arial" w:eastAsia="Calibri" w:hAnsi="Arial" w:cs="Arial"/>
          <w:sz w:val="22"/>
        </w:rPr>
        <w:t>ii</w:t>
      </w:r>
      <w:proofErr w:type="spellEnd"/>
      <w:r w:rsidRPr="0086204F">
        <w:rPr>
          <w:rFonts w:ascii="Arial" w:eastAsia="Calibri" w:hAnsi="Arial" w:cs="Arial"/>
          <w:sz w:val="22"/>
        </w:rPr>
        <w:t xml:space="preserve">)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sidR="00AF643C">
        <w:rPr>
          <w:rFonts w:ascii="Arial" w:eastAsia="Calibri" w:hAnsi="Arial" w:cs="Arial"/>
          <w:sz w:val="22"/>
        </w:rPr>
        <w:t>.</w:t>
      </w:r>
      <w:r w:rsidR="006852EB">
        <w:rPr>
          <w:rFonts w:ascii="Arial" w:eastAsia="Calibri" w:hAnsi="Arial" w:cs="Arial"/>
          <w:sz w:val="22"/>
        </w:rPr>
        <w:t xml:space="preserve"> </w:t>
      </w:r>
    </w:p>
    <w:p w14:paraId="4564D37B" w14:textId="2A76B188" w:rsidR="00BC7B6A" w:rsidRPr="006C15D5" w:rsidRDefault="00BC7B6A" w:rsidP="00EB0CE8">
      <w:pPr>
        <w:spacing w:line="276" w:lineRule="auto"/>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0A48E0DB" w:rsidR="00BE1E33" w:rsidRPr="006C15D5" w:rsidRDefault="003C579C" w:rsidP="00856B64">
      <w:pPr>
        <w:ind w:left="709" w:right="709"/>
        <w:jc w:val="both"/>
        <w:rPr>
          <w:rFonts w:ascii="Arial" w:eastAsia="Calibri" w:hAnsi="Arial" w:cs="Arial"/>
          <w:color w:val="000000" w:themeColor="text1"/>
          <w:sz w:val="21"/>
          <w:szCs w:val="21"/>
        </w:rPr>
      </w:pPr>
      <w:r w:rsidRPr="003C579C">
        <w:rPr>
          <w:rFonts w:ascii="Arial" w:eastAsia="Calibri" w:hAnsi="Arial" w:cs="Arial"/>
          <w:color w:val="000000" w:themeColor="text1"/>
          <w:sz w:val="21"/>
          <w:szCs w:val="21"/>
        </w:rPr>
        <w:t>«[...] teniendo en cuenta que el orden de elegibilidad en los concursos de méritos debe publicarse junto con la evaluación del proceso según lo contemplado en el numeral 2 del artículo 2.2.1.2.1.3.2. del decreto 1082 de 2015 y que el 20 de febrero de 2019 la Sala Contencioso Administrativa del Consejo de Estado (radicado 61463), suspendió los numerales 3 a 6 del citado artículo y por tanto la revisión de la propuesta económica corresponde hacerla a la entidad sin que medie audiencia o revisión  con los proponentes, de manera atenta solicito se informe si en el concurso de méritos debe efectuarse algún tipo de audiencia dado que la plataforma aún contempla esa posibilidad al solicitar en el cronograma una fecha obligatoria para “audiencia orden de elegibilidad”»</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7C02BAAC" w14:textId="269B5BCB" w:rsidR="003C579C" w:rsidRDefault="003C579C" w:rsidP="006B150B">
      <w:pPr>
        <w:spacing w:after="120" w:line="276" w:lineRule="auto"/>
        <w:jc w:val="both"/>
        <w:rPr>
          <w:rFonts w:ascii="Arial" w:eastAsia="Calibri" w:hAnsi="Arial" w:cs="Arial"/>
          <w:sz w:val="22"/>
        </w:rPr>
      </w:pPr>
      <w:r w:rsidRPr="003C579C">
        <w:rPr>
          <w:rFonts w:ascii="Arial" w:eastAsia="Calibri" w:hAnsi="Arial" w:cs="Arial"/>
          <w:sz w:val="22"/>
        </w:rPr>
        <w:t xml:space="preserve">Si bien esta </w:t>
      </w:r>
      <w:r w:rsidR="00F0790C">
        <w:rPr>
          <w:rFonts w:ascii="Arial" w:eastAsia="Calibri" w:hAnsi="Arial" w:cs="Arial"/>
          <w:sz w:val="22"/>
        </w:rPr>
        <w:t>Subdirección</w:t>
      </w:r>
      <w:r w:rsidRPr="003C579C">
        <w:rPr>
          <w:rFonts w:ascii="Arial" w:eastAsia="Calibri" w:hAnsi="Arial" w:cs="Arial"/>
          <w:sz w:val="22"/>
        </w:rPr>
        <w:t xml:space="preserve"> considera que</w:t>
      </w:r>
      <w:r w:rsidR="003B2FC1">
        <w:rPr>
          <w:rFonts w:ascii="Arial" w:eastAsia="Calibri" w:hAnsi="Arial" w:cs="Arial"/>
          <w:sz w:val="22"/>
        </w:rPr>
        <w:t>,</w:t>
      </w:r>
      <w:r w:rsidRPr="003C579C">
        <w:rPr>
          <w:rFonts w:ascii="Arial" w:eastAsia="Calibri" w:hAnsi="Arial" w:cs="Arial"/>
          <w:sz w:val="22"/>
        </w:rPr>
        <w:t xml:space="preserve"> </w:t>
      </w:r>
      <w:r w:rsidR="003B2FC1" w:rsidRPr="003C579C">
        <w:rPr>
          <w:rFonts w:ascii="Arial" w:eastAsia="Calibri" w:hAnsi="Arial" w:cs="Arial"/>
          <w:sz w:val="22"/>
        </w:rPr>
        <w:t xml:space="preserve">conforme al artículo 25.6 de la Ley 80 de 1993 y </w:t>
      </w:r>
      <w:r w:rsidR="002252C0">
        <w:rPr>
          <w:rFonts w:ascii="Arial" w:eastAsia="Calibri" w:hAnsi="Arial" w:cs="Arial"/>
          <w:sz w:val="22"/>
        </w:rPr>
        <w:t>a</w:t>
      </w:r>
      <w:r w:rsidR="003B2FC1" w:rsidRPr="003C579C">
        <w:rPr>
          <w:rFonts w:ascii="Arial" w:eastAsia="Calibri" w:hAnsi="Arial" w:cs="Arial"/>
          <w:sz w:val="22"/>
        </w:rPr>
        <w:t>l artículo 71 del Decreto 111 de 1996</w:t>
      </w:r>
      <w:r w:rsidR="003B2FC1">
        <w:rPr>
          <w:rFonts w:ascii="Arial" w:eastAsia="Calibri" w:hAnsi="Arial" w:cs="Arial"/>
          <w:sz w:val="22"/>
        </w:rPr>
        <w:t xml:space="preserve">, </w:t>
      </w:r>
      <w:r w:rsidRPr="003C579C">
        <w:rPr>
          <w:rFonts w:ascii="Arial" w:eastAsia="Calibri" w:hAnsi="Arial" w:cs="Arial"/>
          <w:sz w:val="22"/>
        </w:rPr>
        <w:t>las entidades deben verificar que la propuesta económica se ajuste al presupuesto oficial, con los autos de suspensión provisional</w:t>
      </w:r>
      <w:r w:rsidR="00397A6B">
        <w:rPr>
          <w:rFonts w:ascii="Arial" w:eastAsia="Calibri" w:hAnsi="Arial" w:cs="Arial"/>
          <w:sz w:val="22"/>
        </w:rPr>
        <w:t>,</w:t>
      </w:r>
      <w:r w:rsidRPr="003C579C">
        <w:rPr>
          <w:rFonts w:ascii="Arial" w:eastAsia="Calibri" w:hAnsi="Arial" w:cs="Arial"/>
          <w:sz w:val="22"/>
        </w:rPr>
        <w:t xml:space="preserve"> el concurso de méritos abierto se desarrolla aplicando únicamente los numerales 1 y 2 del artículo </w:t>
      </w:r>
      <w:r w:rsidR="00A22E15">
        <w:rPr>
          <w:rFonts w:ascii="Arial" w:eastAsia="Calibri" w:hAnsi="Arial" w:cs="Arial"/>
          <w:sz w:val="22"/>
        </w:rPr>
        <w:t>2.2.1.2.1.3.2</w:t>
      </w:r>
      <w:r w:rsidRPr="003C579C">
        <w:rPr>
          <w:rFonts w:ascii="Arial" w:eastAsia="Calibri" w:hAnsi="Arial" w:cs="Arial"/>
          <w:sz w:val="22"/>
        </w:rPr>
        <w:t xml:space="preserve"> del Decreto 1082 de 2015. Esto significa que la entidad dispone los criterios de evaluación en el pliego y que, tanto con la verificación como con la ponderación de las propuestas económicas, se p</w:t>
      </w:r>
      <w:r w:rsidR="00397A6B">
        <w:rPr>
          <w:rFonts w:ascii="Arial" w:eastAsia="Calibri" w:hAnsi="Arial" w:cs="Arial"/>
          <w:sz w:val="22"/>
        </w:rPr>
        <w:t>u</w:t>
      </w:r>
      <w:r w:rsidRPr="003C579C">
        <w:rPr>
          <w:rFonts w:ascii="Arial" w:eastAsia="Calibri" w:hAnsi="Arial" w:cs="Arial"/>
          <w:sz w:val="22"/>
        </w:rPr>
        <w:t>blica el informe por tres (3) días hábiles.</w:t>
      </w:r>
    </w:p>
    <w:p w14:paraId="2745F709" w14:textId="02F71B27" w:rsidR="00174C18" w:rsidRDefault="00F0790C" w:rsidP="00174C18">
      <w:pPr>
        <w:spacing w:after="120" w:line="276" w:lineRule="auto"/>
        <w:jc w:val="both"/>
        <w:rPr>
          <w:rFonts w:ascii="Arial" w:eastAsia="Calibri" w:hAnsi="Arial" w:cs="Arial"/>
          <w:sz w:val="22"/>
        </w:rPr>
      </w:pPr>
      <w:r>
        <w:rPr>
          <w:rFonts w:ascii="Arial" w:eastAsia="Calibri" w:hAnsi="Arial" w:cs="Arial"/>
          <w:sz w:val="22"/>
        </w:rPr>
        <w:lastRenderedPageBreak/>
        <w:tab/>
      </w:r>
      <w:r w:rsidR="00717725" w:rsidRPr="00717725">
        <w:rPr>
          <w:rFonts w:ascii="Arial" w:eastAsia="Calibri" w:hAnsi="Arial" w:cs="Arial"/>
          <w:sz w:val="22"/>
        </w:rPr>
        <w:t xml:space="preserve">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«Apertura del sobre económico» en el cronograma del proceso de selección. Sin embargo, estas no deben conducir a la aplicación de alguno de los numerales suspendidos por el Consejo de Estado, ya que conforme a los autos citados </w:t>
      </w:r>
      <w:r w:rsidR="00717725" w:rsidRPr="00717725">
        <w:rPr>
          <w:rFonts w:ascii="Arial" w:eastAsia="Calibri" w:hAnsi="Arial" w:cs="Arial"/>
          <w:i/>
          <w:iCs/>
          <w:sz w:val="22"/>
        </w:rPr>
        <w:t>ut supra</w:t>
      </w:r>
      <w:r w:rsidR="00717725" w:rsidRPr="00717725">
        <w:rPr>
          <w:rFonts w:ascii="Arial" w:eastAsia="Calibri" w:hAnsi="Arial" w:cs="Arial"/>
          <w:sz w:val="22"/>
        </w:rPr>
        <w:t xml:space="preserve">,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 </w:t>
      </w:r>
      <w:r w:rsidR="008D028F" w:rsidRPr="003B2FC1">
        <w:rPr>
          <w:rFonts w:ascii="Arial" w:eastAsia="Calibri" w:hAnsi="Arial" w:cs="Arial"/>
          <w:sz w:val="22"/>
        </w:rPr>
        <w:t xml:space="preserve"> </w:t>
      </w:r>
    </w:p>
    <w:p w14:paraId="09A1E546" w14:textId="77BBCA40" w:rsidR="003F4E8A" w:rsidRPr="00153CD1" w:rsidRDefault="00174C18" w:rsidP="00174C18">
      <w:pPr>
        <w:spacing w:after="120" w:line="276" w:lineRule="auto"/>
        <w:ind w:firstLine="708"/>
        <w:jc w:val="both"/>
        <w:rPr>
          <w:rFonts w:ascii="Arial" w:eastAsia="Calibri" w:hAnsi="Arial" w:cs="Arial"/>
          <w:sz w:val="22"/>
        </w:rPr>
      </w:pPr>
      <w:r>
        <w:rPr>
          <w:rFonts w:ascii="Arial" w:eastAsia="Calibri" w:hAnsi="Arial" w:cs="Arial"/>
          <w:sz w:val="22"/>
        </w:rPr>
        <w:t>En todo caso</w:t>
      </w:r>
      <w:r w:rsidR="009D013C">
        <w:rPr>
          <w:rFonts w:ascii="Arial" w:eastAsia="Calibri" w:hAnsi="Arial" w:cs="Arial"/>
          <w:sz w:val="22"/>
        </w:rPr>
        <w:t>,</w:t>
      </w:r>
      <w:r w:rsidR="009216CB">
        <w:rPr>
          <w:rFonts w:ascii="Arial" w:eastAsia="Calibri" w:hAnsi="Arial" w:cs="Arial"/>
          <w:sz w:val="22"/>
        </w:rPr>
        <w:t xml:space="preserve"> l</w:t>
      </w:r>
      <w:r w:rsidR="003F4E8A">
        <w:rPr>
          <w:rFonts w:ascii="Arial" w:eastAsia="Calibri" w:hAnsi="Arial" w:cs="Arial"/>
          <w:sz w:val="22"/>
        </w:rPr>
        <w:t>a Administración</w:t>
      </w:r>
      <w:r w:rsidR="00651F90">
        <w:rPr>
          <w:rFonts w:ascii="Arial" w:eastAsia="Calibri" w:hAnsi="Arial" w:cs="Arial"/>
          <w:sz w:val="22"/>
        </w:rPr>
        <w:t xml:space="preserve"> </w:t>
      </w:r>
      <w:r w:rsidR="003F4E8A">
        <w:rPr>
          <w:rFonts w:ascii="Arial" w:eastAsia="Calibri" w:hAnsi="Arial" w:cs="Arial"/>
          <w:sz w:val="22"/>
        </w:rPr>
        <w:t>–</w:t>
      </w:r>
      <w:bookmarkStart w:id="17" w:name="_Hlk45377646"/>
      <w:r w:rsidR="00916FF3">
        <w:rPr>
          <w:rFonts w:ascii="Arial" w:eastAsia="Calibri" w:hAnsi="Arial" w:cs="Arial"/>
          <w:sz w:val="22"/>
        </w:rPr>
        <w:t xml:space="preserve">siempre que lo disponga </w:t>
      </w:r>
      <w:r w:rsidR="004D30B6">
        <w:rPr>
          <w:rFonts w:ascii="Arial" w:eastAsia="Calibri" w:hAnsi="Arial" w:cs="Arial"/>
          <w:sz w:val="22"/>
        </w:rPr>
        <w:t>en el pliego de condiciones</w:t>
      </w:r>
      <w:bookmarkEnd w:id="17"/>
      <w:r w:rsidR="003F4E8A">
        <w:rPr>
          <w:rFonts w:ascii="Arial" w:eastAsia="Calibri" w:hAnsi="Arial" w:cs="Arial"/>
          <w:sz w:val="22"/>
        </w:rPr>
        <w:t xml:space="preserve">– puede </w:t>
      </w:r>
      <w:r w:rsidR="009216CB">
        <w:rPr>
          <w:rFonts w:ascii="Arial" w:eastAsia="Calibri" w:hAnsi="Arial" w:cs="Arial"/>
          <w:sz w:val="22"/>
        </w:rPr>
        <w:t>realizar</w:t>
      </w:r>
      <w:r w:rsidR="003F4E8A">
        <w:rPr>
          <w:rFonts w:ascii="Arial" w:eastAsia="Calibri" w:hAnsi="Arial" w:cs="Arial"/>
          <w:sz w:val="22"/>
        </w:rPr>
        <w:t xml:space="preserve"> </w:t>
      </w:r>
      <w:r w:rsidR="003F4E8A" w:rsidRPr="006852EB">
        <w:rPr>
          <w:rFonts w:ascii="Arial" w:eastAsia="Calibri" w:hAnsi="Arial" w:cs="Arial"/>
          <w:i/>
          <w:iCs/>
          <w:sz w:val="22"/>
        </w:rPr>
        <w:t>audiencias públicas</w:t>
      </w:r>
      <w:r w:rsidR="003F4E8A">
        <w:rPr>
          <w:rFonts w:ascii="Arial" w:eastAsia="Calibri" w:hAnsi="Arial" w:cs="Arial"/>
          <w:sz w:val="22"/>
        </w:rPr>
        <w:t xml:space="preserve"> para la adjudicación de los contratos derivados de los concursos de méritos</w:t>
      </w:r>
      <w:r w:rsidR="009D013C">
        <w:rPr>
          <w:rFonts w:ascii="Arial" w:eastAsia="Calibri" w:hAnsi="Arial" w:cs="Arial"/>
          <w:sz w:val="22"/>
        </w:rPr>
        <w:t xml:space="preserve">, pues </w:t>
      </w:r>
      <w:r w:rsidR="00153CD1">
        <w:rPr>
          <w:rFonts w:ascii="Arial" w:eastAsia="Calibri" w:hAnsi="Arial" w:cs="Arial"/>
          <w:sz w:val="22"/>
        </w:rPr>
        <w:t>son</w:t>
      </w:r>
      <w:r w:rsidR="009D013C">
        <w:rPr>
          <w:rFonts w:ascii="Arial" w:eastAsia="Calibri" w:hAnsi="Arial" w:cs="Arial"/>
          <w:sz w:val="22"/>
        </w:rPr>
        <w:t xml:space="preserve"> compatible</w:t>
      </w:r>
      <w:r w:rsidR="00153CD1">
        <w:rPr>
          <w:rFonts w:ascii="Arial" w:eastAsia="Calibri" w:hAnsi="Arial" w:cs="Arial"/>
          <w:sz w:val="22"/>
        </w:rPr>
        <w:t>s</w:t>
      </w:r>
      <w:r w:rsidR="009D013C">
        <w:rPr>
          <w:rFonts w:ascii="Arial" w:eastAsia="Calibri" w:hAnsi="Arial" w:cs="Arial"/>
          <w:sz w:val="22"/>
        </w:rPr>
        <w:t xml:space="preserve"> con </w:t>
      </w:r>
      <w:r w:rsidR="009D013C" w:rsidRPr="003C579C">
        <w:rPr>
          <w:rFonts w:ascii="Arial" w:eastAsia="Calibri" w:hAnsi="Arial" w:cs="Arial"/>
          <w:sz w:val="22"/>
        </w:rPr>
        <w:t xml:space="preserve">numerales 1 y 2 del artículo </w:t>
      </w:r>
      <w:r w:rsidR="009D013C">
        <w:rPr>
          <w:rFonts w:ascii="Arial" w:eastAsia="Calibri" w:hAnsi="Arial" w:cs="Arial"/>
          <w:sz w:val="22"/>
        </w:rPr>
        <w:t>2.2.1.2.1.3.2</w:t>
      </w:r>
      <w:r w:rsidR="009D013C" w:rsidRPr="003C579C">
        <w:rPr>
          <w:rFonts w:ascii="Arial" w:eastAsia="Calibri" w:hAnsi="Arial" w:cs="Arial"/>
          <w:sz w:val="22"/>
        </w:rPr>
        <w:t xml:space="preserve"> del Decreto 1082 de 2015</w:t>
      </w:r>
      <w:r w:rsidR="003F4E8A">
        <w:rPr>
          <w:rFonts w:ascii="Arial" w:eastAsia="Calibri" w:hAnsi="Arial" w:cs="Arial"/>
          <w:sz w:val="22"/>
        </w:rPr>
        <w:t xml:space="preserve">. </w:t>
      </w:r>
      <w:r w:rsidR="00ED277E" w:rsidRPr="00ED277E">
        <w:rPr>
          <w:rFonts w:ascii="Arial" w:eastAsia="Calibri" w:hAnsi="Arial" w:cs="Arial"/>
          <w:sz w:val="22"/>
        </w:rPr>
        <w:t xml:space="preserve">Lo anterior con fundamento en i) el principio de publicidad como eje rector de las actuaciones administrativas y </w:t>
      </w:r>
      <w:proofErr w:type="spellStart"/>
      <w:r w:rsidR="00ED277E" w:rsidRPr="00ED277E">
        <w:rPr>
          <w:rFonts w:ascii="Arial" w:eastAsia="Calibri" w:hAnsi="Arial" w:cs="Arial"/>
          <w:sz w:val="22"/>
        </w:rPr>
        <w:t>ii</w:t>
      </w:r>
      <w:proofErr w:type="spellEnd"/>
      <w:r w:rsidR="00ED277E" w:rsidRPr="00ED277E">
        <w:rPr>
          <w:rFonts w:ascii="Arial" w:eastAsia="Calibri" w:hAnsi="Arial" w:cs="Arial"/>
          <w:sz w:val="22"/>
        </w:rPr>
        <w:t>) la remisión del artículo 77 de la Ley 80 de 1993 a las normas del procedimiento administrativo general, en virtud de la cual aplica el inciso final del artículo 35 de la Ley 1437 de 2011</w:t>
      </w:r>
      <w:r w:rsidR="003F4E8A">
        <w:rPr>
          <w:rFonts w:ascii="Arial" w:eastAsia="Calibri" w:hAnsi="Arial" w:cs="Arial"/>
          <w:sz w:val="22"/>
        </w:rPr>
        <w:t xml:space="preserve">. </w:t>
      </w:r>
      <w:r w:rsidR="003F4E8A">
        <w:rPr>
          <w:rFonts w:ascii="Arial" w:eastAsia="Calibri" w:hAnsi="Arial" w:cs="Arial"/>
          <w:color w:val="000000" w:themeColor="text1"/>
          <w:sz w:val="22"/>
        </w:rPr>
        <w:t xml:space="preserve"> </w:t>
      </w:r>
    </w:p>
    <w:p w14:paraId="04048464" w14:textId="05C7E463" w:rsidR="00462A87" w:rsidRPr="009216CB" w:rsidRDefault="003F4E8A" w:rsidP="00462A87">
      <w:pPr>
        <w:spacing w:line="276" w:lineRule="auto"/>
        <w:jc w:val="both"/>
        <w:rPr>
          <w:rFonts w:ascii="Arial" w:hAnsi="Arial" w:cs="Arial"/>
          <w:bCs/>
          <w:color w:val="000000" w:themeColor="text1"/>
          <w:sz w:val="22"/>
          <w:lang w:val="es-ES"/>
        </w:rPr>
      </w:pPr>
      <w:r>
        <w:rPr>
          <w:rFonts w:ascii="Arial" w:eastAsia="Calibri" w:hAnsi="Arial" w:cs="Arial"/>
          <w:color w:val="000000" w:themeColor="text1"/>
          <w:sz w:val="22"/>
        </w:rPr>
        <w:tab/>
      </w:r>
    </w:p>
    <w:p w14:paraId="66CE4DD8" w14:textId="40186C6E" w:rsidR="00BE1E33" w:rsidRPr="006C15D5" w:rsidRDefault="00BE1E33" w:rsidP="009D013C">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37CF870" w:rsidR="00BE1E33" w:rsidRDefault="00223853" w:rsidP="00BE1E33">
      <w:pPr>
        <w:jc w:val="center"/>
        <w:rPr>
          <w:rFonts w:ascii="Arial" w:eastAsia="Times New Roman" w:hAnsi="Arial" w:cs="Arial"/>
          <w:color w:val="000000" w:themeColor="text1"/>
          <w:sz w:val="18"/>
          <w:szCs w:val="20"/>
          <w:lang w:eastAsia="es-CO"/>
        </w:rPr>
      </w:pPr>
      <w:r>
        <w:rPr>
          <w:noProof/>
        </w:rPr>
        <w:drawing>
          <wp:inline distT="0" distB="0" distL="0" distR="0" wp14:anchorId="7C53CCF5" wp14:editId="57211CA8">
            <wp:extent cx="2773144" cy="988695"/>
            <wp:effectExtent l="0" t="0" r="0" b="0"/>
            <wp:docPr id="13786024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76BC8AFA" w:rsidR="00730CDB" w:rsidRPr="006C15D5" w:rsidRDefault="00213667"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5A8A3D46" w:rsidR="00BE1E33" w:rsidRPr="006C15D5" w:rsidRDefault="00213667"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r w:rsidR="00A459B3">
              <w:rPr>
                <w:rFonts w:ascii="Arial" w:eastAsia="Times New Roman" w:hAnsi="Arial" w:cs="Arial"/>
                <w:color w:val="000000" w:themeColor="text1"/>
                <w:sz w:val="16"/>
                <w:szCs w:val="16"/>
                <w:lang w:eastAsia="es-ES"/>
              </w:rPr>
              <w:t xml:space="preserve"> de la</w:t>
            </w:r>
            <w:r>
              <w:rPr>
                <w:rFonts w:ascii="Arial" w:eastAsia="Times New Roman" w:hAnsi="Arial" w:cs="Arial"/>
                <w:color w:val="000000" w:themeColor="text1"/>
                <w:sz w:val="16"/>
                <w:szCs w:val="16"/>
                <w:lang w:eastAsia="es-ES"/>
              </w:rPr>
              <w:t xml:space="preserve"> </w:t>
            </w:r>
            <w:r w:rsidR="00730CDB"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730CDB" w:rsidRPr="006C15D5">
              <w:rPr>
                <w:rFonts w:ascii="Arial" w:eastAsia="Times New Roman" w:hAnsi="Arial" w:cs="Arial"/>
                <w:color w:val="000000" w:themeColor="text1"/>
                <w:sz w:val="16"/>
                <w:szCs w:val="16"/>
                <w:lang w:eastAsia="es-ES"/>
              </w:rPr>
              <w:t xml:space="preserve">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A76FA" w14:textId="77777777" w:rsidR="00816B8C" w:rsidRDefault="00816B8C" w:rsidP="008C487C">
      <w:r>
        <w:separator/>
      </w:r>
    </w:p>
  </w:endnote>
  <w:endnote w:type="continuationSeparator" w:id="0">
    <w:p w14:paraId="230F5C9F" w14:textId="77777777" w:rsidR="00816B8C" w:rsidRDefault="00816B8C"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7515" w:rsidRDefault="003C7515" w:rsidP="00AC43E7">
    <w:pPr>
      <w:pStyle w:val="Sinespaciado"/>
      <w:jc w:val="right"/>
      <w:rPr>
        <w:rFonts w:ascii="Arial" w:hAnsi="Arial" w:cs="Arial"/>
        <w:sz w:val="18"/>
        <w:szCs w:val="18"/>
      </w:rPr>
    </w:pPr>
  </w:p>
  <w:p w14:paraId="709352A1" w14:textId="77777777" w:rsidR="003C7515" w:rsidRDefault="003C7515" w:rsidP="00AC43E7">
    <w:pPr>
      <w:pStyle w:val="Sinespaciado"/>
      <w:jc w:val="right"/>
      <w:rPr>
        <w:rFonts w:ascii="Arial" w:hAnsi="Arial" w:cs="Arial"/>
        <w:sz w:val="18"/>
        <w:szCs w:val="18"/>
      </w:rPr>
    </w:pPr>
  </w:p>
  <w:p w14:paraId="3D3EB348" w14:textId="77777777" w:rsidR="003C7515" w:rsidRPr="008217B7" w:rsidRDefault="003C7515"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7515" w:rsidRDefault="0A7E3B1A" w:rsidP="00AC43E7">
    <w:pPr>
      <w:pStyle w:val="Piedepgina"/>
      <w:jc w:val="center"/>
      <w:rPr>
        <w:lang w:val="es-ES"/>
      </w:rPr>
    </w:pPr>
    <w:r>
      <w:rPr>
        <w:noProof/>
      </w:rPr>
      <w:drawing>
        <wp:inline distT="0" distB="0" distL="0" distR="0" wp14:anchorId="0323F87D" wp14:editId="3F0083B5">
          <wp:extent cx="3700130" cy="519139"/>
          <wp:effectExtent l="0" t="0" r="0" b="0"/>
          <wp:docPr id="2362429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C7515" w:rsidRPr="00E756AC" w:rsidRDefault="003C7515" w:rsidP="00AC43E7">
    <w:pPr>
      <w:pStyle w:val="Piedepgina"/>
      <w:jc w:val="center"/>
      <w:rPr>
        <w:sz w:val="18"/>
        <w:szCs w:val="18"/>
        <w:lang w:val="es-ES"/>
      </w:rPr>
    </w:pPr>
  </w:p>
  <w:p w14:paraId="428179B1" w14:textId="77777777" w:rsidR="003C7515" w:rsidRPr="00E756AC" w:rsidRDefault="003C7515"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8CB86" w14:textId="77777777" w:rsidR="00816B8C" w:rsidRDefault="00816B8C" w:rsidP="008C487C">
      <w:r>
        <w:separator/>
      </w:r>
    </w:p>
  </w:footnote>
  <w:footnote w:type="continuationSeparator" w:id="0">
    <w:p w14:paraId="621BA355" w14:textId="77777777" w:rsidR="00816B8C" w:rsidRDefault="00816B8C" w:rsidP="008C487C">
      <w:r>
        <w:continuationSeparator/>
      </w:r>
    </w:p>
  </w:footnote>
  <w:footnote w:id="1">
    <w:p w14:paraId="0EE610EF" w14:textId="482EA226" w:rsidR="003C7515" w:rsidRPr="00F666D0" w:rsidRDefault="003C7515" w:rsidP="00450EB7">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 xml:space="preserve">.P. Marta Nubia Velásquez Rico. </w:t>
      </w:r>
    </w:p>
    <w:p w14:paraId="2B246456" w14:textId="77777777" w:rsidR="003C7515" w:rsidRPr="00F666D0" w:rsidRDefault="003C7515" w:rsidP="00450EB7">
      <w:pPr>
        <w:pStyle w:val="Textonotapie"/>
        <w:ind w:firstLine="708"/>
        <w:jc w:val="both"/>
        <w:rPr>
          <w:rFonts w:ascii="Arial" w:hAnsi="Arial" w:cs="Arial"/>
          <w:color w:val="000000" w:themeColor="text1"/>
          <w:sz w:val="19"/>
          <w:szCs w:val="19"/>
          <w:lang w:val="es-ES"/>
        </w:rPr>
      </w:pPr>
    </w:p>
  </w:footnote>
  <w:footnote w:id="2">
    <w:p w14:paraId="2E2A03F8" w14:textId="2EA6957A" w:rsidR="003C7515" w:rsidRPr="00F666D0" w:rsidRDefault="003C7515" w:rsidP="00450EB7">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bookmarkStart w:id="7" w:name="_Hlk43903111"/>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20 de febrero de 2019.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61</w:t>
      </w:r>
      <w:r>
        <w:rPr>
          <w:rFonts w:ascii="Arial" w:hAnsi="Arial" w:cs="Arial"/>
          <w:color w:val="000000" w:themeColor="text1"/>
          <w:sz w:val="19"/>
          <w:szCs w:val="19"/>
        </w:rPr>
        <w:t>.</w:t>
      </w:r>
      <w:r w:rsidRPr="00F666D0">
        <w:rPr>
          <w:rFonts w:ascii="Arial" w:hAnsi="Arial" w:cs="Arial"/>
          <w:color w:val="000000" w:themeColor="text1"/>
          <w:sz w:val="19"/>
          <w:szCs w:val="19"/>
        </w:rPr>
        <w:t xml:space="preserve">463. </w:t>
      </w:r>
      <w:r>
        <w:rPr>
          <w:rFonts w:ascii="Arial" w:hAnsi="Arial" w:cs="Arial"/>
          <w:color w:val="000000" w:themeColor="text1"/>
          <w:sz w:val="19"/>
          <w:szCs w:val="19"/>
        </w:rPr>
        <w:t>C</w:t>
      </w:r>
      <w:r w:rsidRPr="00F666D0">
        <w:rPr>
          <w:rFonts w:ascii="Arial" w:hAnsi="Arial" w:cs="Arial"/>
          <w:color w:val="000000" w:themeColor="text1"/>
          <w:sz w:val="19"/>
          <w:szCs w:val="19"/>
        </w:rPr>
        <w:t>.P. Carlos Alberto Zambrano Barrera.</w:t>
      </w:r>
      <w:bookmarkEnd w:id="7"/>
    </w:p>
  </w:footnote>
  <w:footnote w:id="3">
    <w:p w14:paraId="513BA644" w14:textId="0AD54D5C" w:rsidR="003C7515" w:rsidRPr="008709D9" w:rsidRDefault="003C7515" w:rsidP="008709D9">
      <w:pPr>
        <w:pStyle w:val="Textonotapie"/>
        <w:ind w:firstLine="708"/>
        <w:jc w:val="both"/>
        <w:rPr>
          <w:rFonts w:ascii="Arial" w:hAnsi="Arial" w:cs="Arial"/>
          <w:sz w:val="19"/>
          <w:szCs w:val="19"/>
        </w:rPr>
      </w:pPr>
      <w:r w:rsidRPr="005F0964">
        <w:rPr>
          <w:rStyle w:val="Refdenotaalpie"/>
          <w:rFonts w:ascii="Arial" w:hAnsi="Arial" w:cs="Arial"/>
          <w:sz w:val="19"/>
          <w:szCs w:val="19"/>
        </w:rPr>
        <w:footnoteRef/>
      </w:r>
      <w:r w:rsidRPr="005F0964">
        <w:rPr>
          <w:rFonts w:ascii="Arial" w:hAnsi="Arial" w:cs="Arial"/>
          <w:sz w:val="19"/>
          <w:szCs w:val="19"/>
        </w:rPr>
        <w:t xml:space="preserve"> </w:t>
      </w:r>
      <w:r>
        <w:rPr>
          <w:rFonts w:ascii="Arial" w:hAnsi="Arial" w:cs="Arial"/>
          <w:sz w:val="19"/>
          <w:szCs w:val="19"/>
        </w:rPr>
        <w:t xml:space="preserve">Sobre este aspecto, «[…] </w:t>
      </w:r>
      <w:r w:rsidRPr="008709D9">
        <w:rPr>
          <w:rFonts w:ascii="Arial" w:hAnsi="Arial" w:cs="Arial"/>
          <w:sz w:val="19"/>
          <w:szCs w:val="19"/>
        </w:rPr>
        <w:t>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453E2637" w14:textId="59490B55" w:rsidR="003C7515" w:rsidRDefault="003C7515" w:rsidP="008709D9">
      <w:pPr>
        <w:pStyle w:val="Textonotapie"/>
        <w:ind w:firstLine="708"/>
        <w:jc w:val="both"/>
        <w:rPr>
          <w:rFonts w:ascii="Arial" w:hAnsi="Arial" w:cs="Arial"/>
          <w:sz w:val="19"/>
          <w:szCs w:val="19"/>
        </w:rPr>
      </w:pPr>
      <w:r>
        <w:rPr>
          <w:rFonts w:ascii="Arial" w:hAnsi="Arial" w:cs="Arial"/>
          <w:sz w:val="19"/>
          <w:szCs w:val="19"/>
        </w:rPr>
        <w:t>»</w:t>
      </w:r>
      <w:r w:rsidRPr="008709D9">
        <w:rPr>
          <w:rFonts w:ascii="Arial" w:hAnsi="Arial" w:cs="Arial"/>
          <w:sz w:val="19"/>
          <w:szCs w:val="19"/>
        </w:rPr>
        <w:t xml:space="preserve">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w:t>
      </w:r>
      <w:proofErr w:type="spellStart"/>
      <w:r w:rsidRPr="008709D9">
        <w:rPr>
          <w:rFonts w:ascii="Arial" w:hAnsi="Arial" w:cs="Arial"/>
          <w:sz w:val="19"/>
          <w:szCs w:val="19"/>
        </w:rPr>
        <w:t>porqué</w:t>
      </w:r>
      <w:proofErr w:type="spellEnd"/>
      <w:r w:rsidRPr="008709D9">
        <w:rPr>
          <w:rFonts w:ascii="Arial" w:hAnsi="Arial" w:cs="Arial"/>
          <w:sz w:val="19"/>
          <w:szCs w:val="19"/>
        </w:rPr>
        <w:t>, luego de agotado todo el procedimiento de selección objetiva, se tenga que realizar un acuerdo sobre el precio ofrecido</w:t>
      </w:r>
      <w:r>
        <w:rPr>
          <w:rFonts w:ascii="Arial" w:hAnsi="Arial" w:cs="Arial"/>
          <w:sz w:val="19"/>
          <w:szCs w:val="19"/>
        </w:rPr>
        <w:t>» (</w:t>
      </w:r>
      <w:r w:rsidRPr="008709D9">
        <w:rPr>
          <w:rFonts w:ascii="Arial" w:hAnsi="Arial" w:cs="Arial"/>
          <w:sz w:val="19"/>
          <w:szCs w:val="19"/>
        </w:rPr>
        <w:t>CONSEJO DE ESTADO. Sección Tercera. Subsección A. Auto del 20 de febrero de 2019. Rad. 61.463. C.P. Carlos Alberto Zambrano Barrera</w:t>
      </w:r>
      <w:r>
        <w:rPr>
          <w:rFonts w:ascii="Arial" w:hAnsi="Arial" w:cs="Arial"/>
          <w:sz w:val="19"/>
          <w:szCs w:val="19"/>
        </w:rPr>
        <w:t>)</w:t>
      </w:r>
      <w:r w:rsidRPr="008709D9">
        <w:rPr>
          <w:rFonts w:ascii="Arial" w:hAnsi="Arial" w:cs="Arial"/>
          <w:sz w:val="19"/>
          <w:szCs w:val="19"/>
        </w:rPr>
        <w:t>.</w:t>
      </w:r>
    </w:p>
    <w:p w14:paraId="62449A70" w14:textId="77777777" w:rsidR="003C7515" w:rsidRPr="005F0964" w:rsidRDefault="003C7515" w:rsidP="008709D9">
      <w:pPr>
        <w:pStyle w:val="Textonotapie"/>
        <w:ind w:firstLine="708"/>
        <w:jc w:val="both"/>
        <w:rPr>
          <w:rFonts w:ascii="Arial" w:hAnsi="Arial" w:cs="Arial"/>
          <w:sz w:val="19"/>
          <w:szCs w:val="19"/>
          <w:lang w:val="es-ES"/>
        </w:rPr>
      </w:pPr>
    </w:p>
  </w:footnote>
  <w:footnote w:id="4">
    <w:p w14:paraId="3345C2BA" w14:textId="36283097" w:rsidR="003C7515" w:rsidRPr="00AE4FF6" w:rsidRDefault="003C7515" w:rsidP="00AE4FF6">
      <w:pPr>
        <w:pStyle w:val="Textonotapie"/>
        <w:ind w:firstLine="708"/>
        <w:jc w:val="both"/>
        <w:rPr>
          <w:rFonts w:ascii="Arial" w:hAnsi="Arial" w:cs="Arial"/>
          <w:color w:val="000000" w:themeColor="text1"/>
          <w:sz w:val="19"/>
          <w:szCs w:val="19"/>
        </w:rPr>
      </w:pPr>
      <w:r w:rsidRPr="00AE4FF6">
        <w:rPr>
          <w:rStyle w:val="Refdenotaalpie"/>
          <w:rFonts w:ascii="Arial" w:hAnsi="Arial" w:cs="Arial"/>
          <w:sz w:val="19"/>
          <w:szCs w:val="19"/>
        </w:rPr>
        <w:footnoteRef/>
      </w:r>
      <w:r w:rsidRPr="00AE4FF6">
        <w:rPr>
          <w:rFonts w:ascii="Arial" w:hAnsi="Arial" w:cs="Arial"/>
          <w:sz w:val="19"/>
          <w:szCs w:val="19"/>
        </w:rPr>
        <w:t xml:space="preserve"> </w:t>
      </w:r>
      <w:r>
        <w:rPr>
          <w:rFonts w:ascii="Arial" w:hAnsi="Arial" w:cs="Arial"/>
          <w:sz w:val="19"/>
          <w:szCs w:val="19"/>
        </w:rPr>
        <w:t>En efecto, «</w:t>
      </w:r>
      <w:r>
        <w:t xml:space="preserve">[…] </w:t>
      </w:r>
      <w:r w:rsidRPr="00AE4FF6">
        <w:rPr>
          <w:rFonts w:ascii="Arial" w:hAnsi="Arial" w:cs="Arial"/>
          <w:sz w:val="19"/>
          <w:szCs w:val="19"/>
        </w:rPr>
        <w:t>cuando el numeral 6 del artículo 2.2.1.2.1.3.2 del Decreto 1082 de</w:t>
      </w:r>
      <w:r>
        <w:rPr>
          <w:rFonts w:ascii="Arial" w:hAnsi="Arial" w:cs="Arial"/>
          <w:sz w:val="19"/>
          <w:szCs w:val="19"/>
        </w:rPr>
        <w:t xml:space="preserve"> </w:t>
      </w:r>
      <w:r w:rsidRPr="00AE4FF6">
        <w:rPr>
          <w:rFonts w:ascii="Arial" w:hAnsi="Arial" w:cs="Arial"/>
          <w:sz w:val="19"/>
          <w:szCs w:val="19"/>
        </w:rPr>
        <w:t>2015 dispuso que la entidad estatal debe declarar desierto el concurso de méritos</w:t>
      </w:r>
      <w:r>
        <w:rPr>
          <w:rFonts w:ascii="Arial" w:hAnsi="Arial" w:cs="Arial"/>
          <w:sz w:val="19"/>
          <w:szCs w:val="19"/>
        </w:rPr>
        <w:t xml:space="preserve"> </w:t>
      </w:r>
      <w:r w:rsidRPr="00AE4FF6">
        <w:rPr>
          <w:rFonts w:ascii="Arial" w:hAnsi="Arial" w:cs="Arial"/>
          <w:sz w:val="19"/>
          <w:szCs w:val="19"/>
        </w:rPr>
        <w:t>cuando aquella no llegue a un acuerdo con el segundo lugar de elegibilidad, sí</w:t>
      </w:r>
      <w:r>
        <w:rPr>
          <w:rFonts w:ascii="Arial" w:hAnsi="Arial" w:cs="Arial"/>
          <w:sz w:val="19"/>
          <w:szCs w:val="19"/>
        </w:rPr>
        <w:t xml:space="preserve"> </w:t>
      </w:r>
      <w:r w:rsidRPr="00AE4FF6">
        <w:rPr>
          <w:rFonts w:ascii="Arial" w:hAnsi="Arial" w:cs="Arial"/>
          <w:sz w:val="19"/>
          <w:szCs w:val="19"/>
        </w:rPr>
        <w:t>excedió el contenido de los artículos 25 (numeral 18) de la Ley 80 de 1993 y 5 de</w:t>
      </w:r>
      <w:r>
        <w:rPr>
          <w:rFonts w:ascii="Arial" w:hAnsi="Arial" w:cs="Arial"/>
          <w:sz w:val="19"/>
          <w:szCs w:val="19"/>
        </w:rPr>
        <w:t xml:space="preserve"> </w:t>
      </w:r>
      <w:r w:rsidRPr="00AE4FF6">
        <w:rPr>
          <w:rFonts w:ascii="Arial" w:hAnsi="Arial" w:cs="Arial"/>
          <w:sz w:val="19"/>
          <w:szCs w:val="19"/>
        </w:rPr>
        <w:t>la Ley 1150 de 2007, puesto que, se reitera, dado que el legislador previó dicha</w:t>
      </w:r>
      <w:r>
        <w:rPr>
          <w:rFonts w:ascii="Arial" w:hAnsi="Arial" w:cs="Arial"/>
          <w:sz w:val="19"/>
          <w:szCs w:val="19"/>
        </w:rPr>
        <w:t xml:space="preserve"> </w:t>
      </w:r>
      <w:r w:rsidRPr="00AE4FF6">
        <w:rPr>
          <w:rFonts w:ascii="Arial" w:hAnsi="Arial" w:cs="Arial"/>
          <w:sz w:val="19"/>
          <w:szCs w:val="19"/>
        </w:rPr>
        <w:t>decisión para cuando se presentaran motivos que impidieran la selección objetiva,</w:t>
      </w:r>
      <w:r>
        <w:rPr>
          <w:rFonts w:ascii="Arial" w:hAnsi="Arial" w:cs="Arial"/>
          <w:sz w:val="19"/>
          <w:szCs w:val="19"/>
        </w:rPr>
        <w:t xml:space="preserve"> </w:t>
      </w:r>
      <w:r w:rsidRPr="00AE4FF6">
        <w:rPr>
          <w:rFonts w:ascii="Arial" w:hAnsi="Arial" w:cs="Arial"/>
          <w:sz w:val="19"/>
          <w:szCs w:val="19"/>
        </w:rPr>
        <w:t>sin restringirlos</w:t>
      </w:r>
      <w:r>
        <w:rPr>
          <w:rFonts w:ascii="Arial" w:hAnsi="Arial" w:cs="Arial"/>
          <w:sz w:val="19"/>
          <w:szCs w:val="19"/>
        </w:rPr>
        <w:t>»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.P. Marta Nubia Velásquez Rico</w:t>
      </w:r>
      <w:r>
        <w:rPr>
          <w:rFonts w:ascii="Arial" w:hAnsi="Arial" w:cs="Arial"/>
          <w:color w:val="000000" w:themeColor="text1"/>
          <w:sz w:val="19"/>
          <w:szCs w:val="19"/>
        </w:rPr>
        <w:t>)</w:t>
      </w:r>
      <w:r w:rsidRPr="00AE4FF6">
        <w:rPr>
          <w:rFonts w:ascii="Arial" w:hAnsi="Arial" w:cs="Arial"/>
          <w:sz w:val="19"/>
          <w:szCs w:val="19"/>
        </w:rPr>
        <w:t>.</w:t>
      </w:r>
    </w:p>
  </w:footnote>
  <w:footnote w:id="5">
    <w:p w14:paraId="52BE0186" w14:textId="77777777" w:rsidR="002C2D9D" w:rsidRDefault="002C2D9D" w:rsidP="002C2D9D">
      <w:pPr>
        <w:pStyle w:val="Textonotapie"/>
        <w:ind w:firstLine="708"/>
        <w:jc w:val="both"/>
        <w:rPr>
          <w:rFonts w:ascii="Arial" w:hAnsi="Arial" w:cs="Arial"/>
          <w:sz w:val="19"/>
          <w:szCs w:val="19"/>
        </w:rPr>
      </w:pPr>
      <w:r w:rsidRPr="00675BFE">
        <w:rPr>
          <w:rStyle w:val="Refdenotaalpie"/>
          <w:rFonts w:ascii="Arial" w:hAnsi="Arial" w:cs="Arial"/>
          <w:sz w:val="19"/>
          <w:szCs w:val="19"/>
        </w:rPr>
        <w:footnoteRef/>
      </w:r>
      <w:r w:rsidRPr="00675BFE">
        <w:rPr>
          <w:rFonts w:ascii="Arial" w:hAnsi="Arial" w:cs="Arial"/>
          <w:sz w:val="19"/>
          <w:szCs w:val="19"/>
        </w:rPr>
        <w:t xml:space="preserve"> </w:t>
      </w:r>
      <w:r>
        <w:rPr>
          <w:rFonts w:ascii="Arial" w:hAnsi="Arial" w:cs="Arial"/>
          <w:sz w:val="19"/>
          <w:szCs w:val="19"/>
        </w:rPr>
        <w:t xml:space="preserve">En efecto, «La adjudicación es una etapa previa al contrato. No es el contrato sino un acto administrativo </w:t>
      </w:r>
      <w:proofErr w:type="spellStart"/>
      <w:proofErr w:type="gramStart"/>
      <w:r>
        <w:rPr>
          <w:rFonts w:ascii="Arial" w:hAnsi="Arial" w:cs="Arial"/>
          <w:sz w:val="19"/>
          <w:szCs w:val="19"/>
        </w:rPr>
        <w:t>pre-contractual</w:t>
      </w:r>
      <w:proofErr w:type="spellEnd"/>
      <w:proofErr w:type="gramEnd"/>
      <w:r>
        <w:rPr>
          <w:rFonts w:ascii="Arial" w:hAnsi="Arial" w:cs="Arial"/>
          <w:sz w:val="19"/>
          <w:szCs w:val="19"/>
        </w:rPr>
        <w:t xml:space="preserve"> que declara la propuesta aceptable y por el cual el licitante se obliga a efectuar los actos integrativos del procedimiento y formalización contractual» (</w:t>
      </w:r>
      <w:r w:rsidRPr="00DE7335">
        <w:rPr>
          <w:rFonts w:ascii="Arial" w:hAnsi="Arial" w:cs="Arial"/>
          <w:sz w:val="19"/>
          <w:szCs w:val="19"/>
        </w:rPr>
        <w:t xml:space="preserve">DROMI, José Roberto. La licitación pública. Buenos Aires: Ciudad Argentina, 1980. p. </w:t>
      </w:r>
      <w:r>
        <w:rPr>
          <w:rFonts w:ascii="Arial" w:hAnsi="Arial" w:cs="Arial"/>
          <w:sz w:val="19"/>
          <w:szCs w:val="19"/>
        </w:rPr>
        <w:t>390)</w:t>
      </w:r>
      <w:r w:rsidRPr="00DE7335">
        <w:rPr>
          <w:rFonts w:ascii="Arial" w:hAnsi="Arial" w:cs="Arial"/>
          <w:sz w:val="19"/>
          <w:szCs w:val="19"/>
        </w:rPr>
        <w:t>.</w:t>
      </w:r>
      <w:r>
        <w:rPr>
          <w:rFonts w:ascii="Arial" w:hAnsi="Arial" w:cs="Arial"/>
          <w:sz w:val="19"/>
          <w:szCs w:val="19"/>
        </w:rPr>
        <w:t xml:space="preserve"> </w:t>
      </w:r>
    </w:p>
    <w:p w14:paraId="5E4D6272" w14:textId="77777777" w:rsidR="002C2D9D" w:rsidRPr="00675BFE" w:rsidRDefault="002C2D9D" w:rsidP="002C2D9D">
      <w:pPr>
        <w:pStyle w:val="Textonotapie"/>
        <w:ind w:firstLine="708"/>
        <w:jc w:val="both"/>
        <w:rPr>
          <w:rFonts w:ascii="Arial" w:hAnsi="Arial" w:cs="Arial"/>
          <w:sz w:val="19"/>
          <w:szCs w:val="19"/>
          <w:lang w:val="es-ES"/>
        </w:rPr>
      </w:pPr>
    </w:p>
  </w:footnote>
  <w:footnote w:id="6">
    <w:p w14:paraId="59C6976A" w14:textId="77777777" w:rsidR="002C2D9D" w:rsidRPr="006C1C02" w:rsidRDefault="002C2D9D" w:rsidP="002C2D9D">
      <w:pPr>
        <w:pStyle w:val="Textonotapie"/>
        <w:ind w:firstLine="708"/>
        <w:jc w:val="both"/>
        <w:rPr>
          <w:rFonts w:ascii="Arial" w:hAnsi="Arial" w:cs="Arial"/>
          <w:sz w:val="19"/>
          <w:szCs w:val="19"/>
        </w:rPr>
      </w:pPr>
      <w:r w:rsidRPr="00A57F74">
        <w:rPr>
          <w:rStyle w:val="Refdenotaalpie"/>
          <w:rFonts w:ascii="Arial" w:hAnsi="Arial" w:cs="Arial"/>
          <w:sz w:val="19"/>
          <w:szCs w:val="19"/>
        </w:rPr>
        <w:footnoteRef/>
      </w:r>
      <w:r w:rsidRPr="00A57F74">
        <w:rPr>
          <w:rFonts w:ascii="Arial" w:hAnsi="Arial" w:cs="Arial"/>
          <w:sz w:val="19"/>
          <w:szCs w:val="19"/>
        </w:rPr>
        <w:t xml:space="preserve"> </w:t>
      </w:r>
      <w:r>
        <w:rPr>
          <w:rFonts w:ascii="Arial" w:hAnsi="Arial" w:cs="Arial"/>
          <w:sz w:val="19"/>
          <w:szCs w:val="19"/>
        </w:rPr>
        <w:t>Al respecto, el artículo 273 de la Constitución Política de 1991 dispone lo siguiente: «</w:t>
      </w:r>
      <w:r w:rsidRPr="006C1C02">
        <w:rPr>
          <w:rFonts w:ascii="Arial" w:hAnsi="Arial" w:cs="Arial"/>
          <w:sz w:val="19"/>
          <w:szCs w:val="19"/>
        </w:rPr>
        <w:t>A solicitud de cualquiera de los proponentes, el Contralor General de la República y demás autoridades de control fiscal competentes, ordenarán que el acto de adjudicación de una licitación tenga lugar en audiencia pública.</w:t>
      </w:r>
    </w:p>
    <w:p w14:paraId="32AB9BD8" w14:textId="77777777" w:rsidR="002C2D9D" w:rsidRDefault="002C2D9D" w:rsidP="002C2D9D">
      <w:pPr>
        <w:pStyle w:val="Textonotapie"/>
        <w:ind w:firstLine="708"/>
        <w:jc w:val="both"/>
        <w:rPr>
          <w:rFonts w:ascii="Arial" w:hAnsi="Arial" w:cs="Arial"/>
          <w:sz w:val="19"/>
          <w:szCs w:val="19"/>
        </w:rPr>
      </w:pPr>
      <w:proofErr w:type="gramStart"/>
      <w:r w:rsidRPr="006C1C02">
        <w:rPr>
          <w:rFonts w:ascii="Arial" w:hAnsi="Arial" w:cs="Arial"/>
          <w:sz w:val="19"/>
          <w:szCs w:val="19"/>
        </w:rPr>
        <w:t>»Los</w:t>
      </w:r>
      <w:proofErr w:type="gramEnd"/>
      <w:r w:rsidRPr="006C1C02">
        <w:rPr>
          <w:rFonts w:ascii="Arial" w:hAnsi="Arial" w:cs="Arial"/>
          <w:sz w:val="19"/>
          <w:szCs w:val="19"/>
        </w:rPr>
        <w:t xml:space="preserve"> casos en que se aplique el mecanismo de audiencia pública, la manera como se efectuará la evaluación de las propuestas y las condiciones bajo las cuales se realizará aquella, serán señalados por la ley».</w:t>
      </w:r>
    </w:p>
    <w:p w14:paraId="7C867B3E" w14:textId="77777777" w:rsidR="002C2D9D" w:rsidRPr="006C1C02" w:rsidRDefault="002C2D9D" w:rsidP="002C2D9D">
      <w:pPr>
        <w:pStyle w:val="Textonotapie"/>
        <w:ind w:firstLine="708"/>
        <w:jc w:val="both"/>
        <w:rPr>
          <w:rFonts w:ascii="Arial" w:hAnsi="Arial" w:cs="Arial"/>
          <w:sz w:val="19"/>
          <w:szCs w:val="19"/>
        </w:rPr>
      </w:pPr>
      <w:r>
        <w:rPr>
          <w:rFonts w:ascii="Arial" w:hAnsi="Arial" w:cs="Arial"/>
          <w:sz w:val="19"/>
          <w:szCs w:val="19"/>
        </w:rPr>
        <w:t>En este sentido, el artículo 30.10 del Estatuto General de Contratación de la Administración Pública prescribe que «</w:t>
      </w:r>
      <w:r w:rsidRPr="006C1C02">
        <w:rPr>
          <w:rFonts w:ascii="Arial" w:hAnsi="Arial" w:cs="Arial"/>
          <w:sz w:val="19"/>
          <w:szCs w:val="19"/>
        </w:rPr>
        <w:t>En el evento previsto en el artículo 273 de la Constitución Política, la adjudicación se hará en audiencia pública. En dicha audiencia participaran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4E32E831" w14:textId="77777777" w:rsidR="002C2D9D" w:rsidRDefault="002C2D9D" w:rsidP="002C2D9D">
      <w:pPr>
        <w:pStyle w:val="Textonotapie"/>
        <w:ind w:firstLine="708"/>
        <w:jc w:val="both"/>
        <w:rPr>
          <w:rFonts w:ascii="Arial" w:hAnsi="Arial" w:cs="Arial"/>
          <w:sz w:val="19"/>
          <w:szCs w:val="19"/>
        </w:rPr>
      </w:pPr>
      <w:proofErr w:type="gramStart"/>
      <w:r>
        <w:rPr>
          <w:rFonts w:ascii="Arial" w:hAnsi="Arial" w:cs="Arial"/>
          <w:sz w:val="19"/>
          <w:szCs w:val="19"/>
        </w:rPr>
        <w:t>»</w:t>
      </w:r>
      <w:r w:rsidRPr="006C1C02">
        <w:rPr>
          <w:rFonts w:ascii="Arial" w:hAnsi="Arial" w:cs="Arial"/>
          <w:sz w:val="19"/>
          <w:szCs w:val="19"/>
        </w:rPr>
        <w:t>De</w:t>
      </w:r>
      <w:proofErr w:type="gramEnd"/>
      <w:r w:rsidRPr="006C1C02">
        <w:rPr>
          <w:rFonts w:ascii="Arial" w:hAnsi="Arial" w:cs="Arial"/>
          <w:sz w:val="19"/>
          <w:szCs w:val="19"/>
        </w:rPr>
        <w:t xml:space="preserve"> la audiencia se levantará un acta en la que se dejará constancia de las deliberaciones y decisiones que en el desarrollo de la misma se hubieren producido</w:t>
      </w:r>
      <w:r>
        <w:rPr>
          <w:rFonts w:ascii="Arial" w:hAnsi="Arial" w:cs="Arial"/>
          <w:sz w:val="19"/>
          <w:szCs w:val="19"/>
        </w:rPr>
        <w:t>»</w:t>
      </w:r>
      <w:r w:rsidRPr="006C1C02">
        <w:rPr>
          <w:rFonts w:ascii="Arial" w:hAnsi="Arial" w:cs="Arial"/>
          <w:sz w:val="19"/>
          <w:szCs w:val="19"/>
        </w:rPr>
        <w:t>.</w:t>
      </w:r>
    </w:p>
    <w:p w14:paraId="12028495" w14:textId="77777777" w:rsidR="002C2D9D" w:rsidRPr="00A57F74" w:rsidRDefault="002C2D9D" w:rsidP="002C2D9D">
      <w:pPr>
        <w:pStyle w:val="Textonotapie"/>
        <w:ind w:firstLine="708"/>
        <w:jc w:val="both"/>
        <w:rPr>
          <w:rFonts w:ascii="Arial" w:hAnsi="Arial" w:cs="Arial"/>
          <w:sz w:val="19"/>
          <w:szCs w:val="19"/>
          <w:lang w:val="es-ES"/>
        </w:rPr>
      </w:pPr>
    </w:p>
  </w:footnote>
  <w:footnote w:id="7">
    <w:p w14:paraId="05A5075F" w14:textId="77777777" w:rsidR="002C2D9D" w:rsidRDefault="002C2D9D" w:rsidP="002C2D9D">
      <w:pPr>
        <w:pStyle w:val="Textonotapie"/>
        <w:ind w:firstLine="708"/>
        <w:jc w:val="both"/>
        <w:rPr>
          <w:rFonts w:ascii="Arial" w:hAnsi="Arial" w:cs="Arial"/>
          <w:sz w:val="19"/>
          <w:szCs w:val="19"/>
        </w:rPr>
      </w:pPr>
      <w:r w:rsidRPr="001F1A2D">
        <w:rPr>
          <w:rStyle w:val="Refdenotaalpie"/>
          <w:rFonts w:ascii="Arial" w:hAnsi="Arial" w:cs="Arial"/>
          <w:sz w:val="19"/>
          <w:szCs w:val="19"/>
        </w:rPr>
        <w:footnoteRef/>
      </w:r>
      <w:r w:rsidRPr="001F1A2D">
        <w:rPr>
          <w:rFonts w:ascii="Arial" w:hAnsi="Arial" w:cs="Arial"/>
          <w:sz w:val="19"/>
          <w:szCs w:val="19"/>
        </w:rPr>
        <w:t xml:space="preserve"> CORTE CONSTITUCIONAL. Sentencia C-380 de 2008. M.P. Nilson Pinilla </w:t>
      </w:r>
      <w:proofErr w:type="spellStart"/>
      <w:r w:rsidRPr="001F1A2D">
        <w:rPr>
          <w:rFonts w:ascii="Arial" w:hAnsi="Arial" w:cs="Arial"/>
          <w:sz w:val="19"/>
          <w:szCs w:val="19"/>
        </w:rPr>
        <w:t>Pinilla</w:t>
      </w:r>
      <w:proofErr w:type="spellEnd"/>
      <w:r w:rsidRPr="001F1A2D">
        <w:rPr>
          <w:rFonts w:ascii="Arial" w:hAnsi="Arial" w:cs="Arial"/>
          <w:sz w:val="19"/>
          <w:szCs w:val="19"/>
        </w:rPr>
        <w:t>.</w:t>
      </w:r>
    </w:p>
    <w:p w14:paraId="271886AE" w14:textId="77777777" w:rsidR="002C2D9D" w:rsidRPr="00AE7EF0" w:rsidRDefault="002C2D9D" w:rsidP="002C2D9D">
      <w:pPr>
        <w:pStyle w:val="Textonotapie"/>
        <w:ind w:firstLine="708"/>
        <w:jc w:val="both"/>
        <w:rPr>
          <w:rFonts w:ascii="Arial" w:hAnsi="Arial" w:cs="Arial"/>
          <w:sz w:val="19"/>
          <w:szCs w:val="19"/>
        </w:rPr>
      </w:pPr>
    </w:p>
  </w:footnote>
  <w:footnote w:id="8">
    <w:p w14:paraId="72F37968" w14:textId="77777777" w:rsidR="002C2D9D" w:rsidRPr="00974A47" w:rsidRDefault="002C2D9D" w:rsidP="002C2D9D">
      <w:pPr>
        <w:pStyle w:val="Textonotapie"/>
        <w:ind w:firstLine="708"/>
        <w:jc w:val="both"/>
        <w:rPr>
          <w:rFonts w:ascii="Arial" w:hAnsi="Arial" w:cs="Arial"/>
          <w:sz w:val="19"/>
          <w:szCs w:val="19"/>
        </w:rPr>
      </w:pPr>
      <w:r w:rsidRPr="00974A47">
        <w:rPr>
          <w:rStyle w:val="Refdenotaalpie"/>
          <w:rFonts w:ascii="Arial" w:hAnsi="Arial" w:cs="Arial"/>
          <w:sz w:val="19"/>
          <w:szCs w:val="19"/>
        </w:rPr>
        <w:footnoteRef/>
      </w:r>
      <w:r w:rsidRPr="00974A47">
        <w:rPr>
          <w:rFonts w:ascii="Arial" w:hAnsi="Arial" w:cs="Arial"/>
          <w:sz w:val="19"/>
          <w:szCs w:val="19"/>
        </w:rPr>
        <w:t xml:space="preserve"> </w:t>
      </w:r>
      <w:r>
        <w:rPr>
          <w:rFonts w:ascii="Arial" w:hAnsi="Arial" w:cs="Arial"/>
          <w:sz w:val="19"/>
          <w:szCs w:val="19"/>
        </w:rPr>
        <w:t>E</w:t>
      </w:r>
      <w:r w:rsidRPr="00974A47">
        <w:rPr>
          <w:rFonts w:ascii="Arial" w:hAnsi="Arial" w:cs="Arial"/>
          <w:sz w:val="19"/>
          <w:szCs w:val="19"/>
        </w:rPr>
        <w:t>l artículo 2.3 de la Ley 1150 de 2007</w:t>
      </w:r>
      <w:r>
        <w:rPr>
          <w:rFonts w:ascii="Arial" w:hAnsi="Arial" w:cs="Arial"/>
          <w:sz w:val="19"/>
          <w:szCs w:val="19"/>
        </w:rPr>
        <w:t xml:space="preserve"> dispone que el concurso de méritos «</w:t>
      </w:r>
      <w:r w:rsidRPr="00974A47">
        <w:rPr>
          <w:rFonts w:ascii="Arial" w:hAnsi="Arial" w:cs="Arial"/>
          <w:sz w:val="19"/>
          <w:szCs w:val="19"/>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01856D77" w14:textId="77777777" w:rsidR="002C2D9D" w:rsidRDefault="002C2D9D" w:rsidP="002C2D9D">
      <w:pPr>
        <w:pStyle w:val="Textonotapie"/>
        <w:ind w:firstLine="708"/>
        <w:jc w:val="both"/>
        <w:rPr>
          <w:rFonts w:ascii="Arial" w:hAnsi="Arial" w:cs="Arial"/>
          <w:sz w:val="19"/>
          <w:szCs w:val="19"/>
        </w:rPr>
      </w:pPr>
      <w:proofErr w:type="gramStart"/>
      <w:r>
        <w:rPr>
          <w:rFonts w:ascii="Arial" w:hAnsi="Arial" w:cs="Arial"/>
          <w:sz w:val="19"/>
          <w:szCs w:val="19"/>
        </w:rPr>
        <w:t>»</w:t>
      </w:r>
      <w:r w:rsidRPr="00974A47">
        <w:rPr>
          <w:rFonts w:ascii="Arial" w:hAnsi="Arial" w:cs="Arial"/>
          <w:sz w:val="19"/>
          <w:szCs w:val="19"/>
        </w:rPr>
        <w:t>De</w:t>
      </w:r>
      <w:proofErr w:type="gramEnd"/>
      <w:r w:rsidRPr="00974A47">
        <w:rPr>
          <w:rFonts w:ascii="Arial" w:hAnsi="Arial" w:cs="Arial"/>
          <w:sz w:val="19"/>
          <w:szCs w:val="19"/>
        </w:rPr>
        <w:t xml:space="preserve"> conformidad con las condiciones que señale el reglamento, en desarrollo de estos procesos de selección, las propuestas técnicas o de proyectos podrán ser presentadas en forma anónima ante un jurado plural, impar deliberante y calificado</w:t>
      </w:r>
      <w:r>
        <w:rPr>
          <w:rFonts w:ascii="Arial" w:hAnsi="Arial" w:cs="Arial"/>
          <w:sz w:val="19"/>
          <w:szCs w:val="19"/>
        </w:rPr>
        <w:t>»</w:t>
      </w:r>
      <w:r w:rsidRPr="00974A47">
        <w:rPr>
          <w:rFonts w:ascii="Arial" w:hAnsi="Arial" w:cs="Arial"/>
          <w:sz w:val="19"/>
          <w:szCs w:val="19"/>
        </w:rPr>
        <w:t>.</w:t>
      </w:r>
    </w:p>
    <w:p w14:paraId="76C52A3F" w14:textId="77777777" w:rsidR="002C2D9D" w:rsidRPr="00974A47" w:rsidRDefault="002C2D9D" w:rsidP="002C2D9D">
      <w:pPr>
        <w:pStyle w:val="Textonotapie"/>
        <w:ind w:firstLine="708"/>
        <w:jc w:val="both"/>
        <w:rPr>
          <w:rFonts w:ascii="Arial" w:hAnsi="Arial" w:cs="Arial"/>
          <w:sz w:val="19"/>
          <w:szCs w:val="19"/>
          <w:lang w:val="es-ES"/>
        </w:rPr>
      </w:pPr>
    </w:p>
  </w:footnote>
  <w:footnote w:id="9">
    <w:p w14:paraId="04F29FB0" w14:textId="77777777" w:rsidR="002C2D9D" w:rsidRDefault="002C2D9D" w:rsidP="002C2D9D">
      <w:pPr>
        <w:pStyle w:val="Textonotapie"/>
        <w:ind w:firstLine="708"/>
        <w:jc w:val="both"/>
        <w:rPr>
          <w:rFonts w:ascii="Arial" w:hAnsi="Arial" w:cs="Arial"/>
          <w:sz w:val="19"/>
          <w:szCs w:val="19"/>
        </w:rPr>
      </w:pPr>
      <w:r w:rsidRPr="00A54828">
        <w:rPr>
          <w:rStyle w:val="Refdenotaalpie"/>
          <w:rFonts w:ascii="Arial" w:hAnsi="Arial" w:cs="Arial"/>
          <w:sz w:val="19"/>
          <w:szCs w:val="19"/>
        </w:rPr>
        <w:footnoteRef/>
      </w:r>
      <w:r w:rsidRPr="00A54828">
        <w:rPr>
          <w:rFonts w:ascii="Arial" w:hAnsi="Arial" w:cs="Arial"/>
          <w:sz w:val="19"/>
          <w:szCs w:val="19"/>
        </w:rPr>
        <w:t xml:space="preserve"> </w:t>
      </w:r>
      <w:r>
        <w:rPr>
          <w:rFonts w:ascii="Arial" w:hAnsi="Arial" w:cs="Arial"/>
          <w:sz w:val="19"/>
          <w:szCs w:val="19"/>
        </w:rPr>
        <w:t xml:space="preserve">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       </w:t>
      </w:r>
    </w:p>
    <w:p w14:paraId="6AE4D80F" w14:textId="77777777" w:rsidR="002C2D9D" w:rsidRPr="00A54828" w:rsidRDefault="002C2D9D" w:rsidP="002C2D9D">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10">
    <w:p w14:paraId="6841AF55" w14:textId="77777777" w:rsidR="002C2D9D" w:rsidRPr="002F1C33" w:rsidRDefault="002C2D9D" w:rsidP="002C2D9D">
      <w:pPr>
        <w:pStyle w:val="Textonotapie"/>
        <w:ind w:firstLine="708"/>
        <w:jc w:val="both"/>
        <w:rPr>
          <w:rFonts w:ascii="Arial" w:hAnsi="Arial" w:cs="Arial"/>
          <w:sz w:val="19"/>
          <w:szCs w:val="19"/>
        </w:rPr>
      </w:pPr>
      <w:r w:rsidRPr="002F1C33">
        <w:rPr>
          <w:rStyle w:val="Refdenotaalpie"/>
          <w:rFonts w:ascii="Arial" w:hAnsi="Arial" w:cs="Arial"/>
          <w:sz w:val="19"/>
          <w:szCs w:val="19"/>
        </w:rPr>
        <w:footnoteRef/>
      </w:r>
      <w:r w:rsidRPr="002F1C33">
        <w:rPr>
          <w:rFonts w:ascii="Arial" w:hAnsi="Arial" w:cs="Arial"/>
          <w:sz w:val="19"/>
          <w:szCs w:val="19"/>
        </w:rPr>
        <w:t xml:space="preserve"> </w:t>
      </w:r>
      <w:r>
        <w:rPr>
          <w:rFonts w:ascii="Arial" w:hAnsi="Arial" w:cs="Arial"/>
          <w:sz w:val="19"/>
          <w:szCs w:val="19"/>
        </w:rPr>
        <w:t>En concordancia, el artículo 33 de la Ley 489 de 1998 dispone lo siguiente: «</w:t>
      </w:r>
      <w:r w:rsidRPr="002F1C33">
        <w:rPr>
          <w:rFonts w:ascii="Arial" w:hAnsi="Arial" w:cs="Arial"/>
          <w:sz w:val="19"/>
          <w:szCs w:val="19"/>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3AF041B2" w14:textId="77777777" w:rsidR="002C2D9D" w:rsidRPr="002F1C33" w:rsidRDefault="002C2D9D" w:rsidP="002C2D9D">
      <w:pPr>
        <w:pStyle w:val="Textonotapie"/>
        <w:ind w:firstLine="708"/>
        <w:jc w:val="both"/>
        <w:rPr>
          <w:rFonts w:ascii="Arial" w:hAnsi="Arial" w:cs="Arial"/>
          <w:sz w:val="19"/>
          <w:szCs w:val="19"/>
        </w:rPr>
      </w:pPr>
      <w:proofErr w:type="gramStart"/>
      <w:r>
        <w:rPr>
          <w:rFonts w:ascii="Arial" w:hAnsi="Arial" w:cs="Arial"/>
          <w:sz w:val="19"/>
          <w:szCs w:val="19"/>
        </w:rPr>
        <w:t>»</w:t>
      </w:r>
      <w:r w:rsidRPr="002F1C33">
        <w:rPr>
          <w:rFonts w:ascii="Arial" w:hAnsi="Arial" w:cs="Arial"/>
          <w:sz w:val="19"/>
          <w:szCs w:val="19"/>
        </w:rPr>
        <w:t>Las</w:t>
      </w:r>
      <w:proofErr w:type="gramEnd"/>
      <w:r w:rsidRPr="002F1C33">
        <w:rPr>
          <w:rFonts w:ascii="Arial" w:hAnsi="Arial" w:cs="Arial"/>
          <w:sz w:val="19"/>
          <w:szCs w:val="19"/>
        </w:rPr>
        <w:t xml:space="preserve">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2E152022" w14:textId="77777777" w:rsidR="002C2D9D" w:rsidRPr="002F1C33" w:rsidRDefault="002C2D9D" w:rsidP="002C2D9D">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2F1C33">
        <w:rPr>
          <w:rFonts w:ascii="Arial" w:hAnsi="Arial" w:cs="Arial"/>
          <w:sz w:val="19"/>
          <w:szCs w:val="19"/>
        </w:rPr>
        <w:t>En</w:t>
      </w:r>
      <w:proofErr w:type="gramEnd"/>
      <w:r w:rsidRPr="002F1C33">
        <w:rPr>
          <w:rFonts w:ascii="Arial" w:hAnsi="Arial" w:cs="Arial"/>
          <w:sz w:val="19"/>
          <w:szCs w:val="19"/>
        </w:rPr>
        <w:t xml:space="preserve"> el acto de convocatoria a la audiencia, la institución respectiva definirá la metodología que será utilizada</w:t>
      </w:r>
      <w:r>
        <w:rPr>
          <w:rFonts w:ascii="Arial" w:hAnsi="Arial" w:cs="Arial"/>
          <w:sz w:val="19"/>
          <w:szCs w:val="19"/>
        </w:rPr>
        <w:t>»</w:t>
      </w:r>
      <w:r w:rsidRPr="002F1C3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7515" w:rsidRDefault="003C7515">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47EA"/>
    <w:rsid w:val="000072CE"/>
    <w:rsid w:val="00010D30"/>
    <w:rsid w:val="00023057"/>
    <w:rsid w:val="00024771"/>
    <w:rsid w:val="00025161"/>
    <w:rsid w:val="0003091B"/>
    <w:rsid w:val="000333A2"/>
    <w:rsid w:val="0003625C"/>
    <w:rsid w:val="00036E73"/>
    <w:rsid w:val="00040C88"/>
    <w:rsid w:val="00040D6E"/>
    <w:rsid w:val="00042C0C"/>
    <w:rsid w:val="00043A4D"/>
    <w:rsid w:val="00044865"/>
    <w:rsid w:val="00044FF2"/>
    <w:rsid w:val="00047050"/>
    <w:rsid w:val="00061E34"/>
    <w:rsid w:val="00061EE4"/>
    <w:rsid w:val="00062B0D"/>
    <w:rsid w:val="0006519B"/>
    <w:rsid w:val="00073968"/>
    <w:rsid w:val="00075227"/>
    <w:rsid w:val="00086A16"/>
    <w:rsid w:val="00091570"/>
    <w:rsid w:val="00091D8F"/>
    <w:rsid w:val="000929DE"/>
    <w:rsid w:val="00093E58"/>
    <w:rsid w:val="00093F39"/>
    <w:rsid w:val="000979A3"/>
    <w:rsid w:val="00097CD6"/>
    <w:rsid w:val="000A1DBA"/>
    <w:rsid w:val="000A3B96"/>
    <w:rsid w:val="000A6338"/>
    <w:rsid w:val="000A6B6F"/>
    <w:rsid w:val="000C0E39"/>
    <w:rsid w:val="000C3D66"/>
    <w:rsid w:val="000C51AF"/>
    <w:rsid w:val="000C5830"/>
    <w:rsid w:val="000C5C37"/>
    <w:rsid w:val="000D088F"/>
    <w:rsid w:val="000D7AC3"/>
    <w:rsid w:val="000E3AF7"/>
    <w:rsid w:val="000E4A3C"/>
    <w:rsid w:val="000E5BB2"/>
    <w:rsid w:val="000E6867"/>
    <w:rsid w:val="000F1E3D"/>
    <w:rsid w:val="000F211E"/>
    <w:rsid w:val="00100AEC"/>
    <w:rsid w:val="001056C0"/>
    <w:rsid w:val="00107607"/>
    <w:rsid w:val="00112597"/>
    <w:rsid w:val="0012074A"/>
    <w:rsid w:val="00124C22"/>
    <w:rsid w:val="001321AB"/>
    <w:rsid w:val="00140E57"/>
    <w:rsid w:val="00141B19"/>
    <w:rsid w:val="00141C64"/>
    <w:rsid w:val="00142E4E"/>
    <w:rsid w:val="0014462B"/>
    <w:rsid w:val="00153CD1"/>
    <w:rsid w:val="0015466A"/>
    <w:rsid w:val="001573F8"/>
    <w:rsid w:val="00163EED"/>
    <w:rsid w:val="00164E79"/>
    <w:rsid w:val="00164EDC"/>
    <w:rsid w:val="00166C81"/>
    <w:rsid w:val="00174C18"/>
    <w:rsid w:val="0017603D"/>
    <w:rsid w:val="00181A3E"/>
    <w:rsid w:val="001833B8"/>
    <w:rsid w:val="001865DB"/>
    <w:rsid w:val="00194C50"/>
    <w:rsid w:val="00196FB5"/>
    <w:rsid w:val="001A2FA7"/>
    <w:rsid w:val="001A369A"/>
    <w:rsid w:val="001B2E5D"/>
    <w:rsid w:val="001B53BD"/>
    <w:rsid w:val="001B587A"/>
    <w:rsid w:val="001B5E36"/>
    <w:rsid w:val="001B6F4A"/>
    <w:rsid w:val="001C1D25"/>
    <w:rsid w:val="001D38A0"/>
    <w:rsid w:val="001D5ECE"/>
    <w:rsid w:val="001E1C6D"/>
    <w:rsid w:val="001E3F37"/>
    <w:rsid w:val="001E44A9"/>
    <w:rsid w:val="001E4EC1"/>
    <w:rsid w:val="001E5745"/>
    <w:rsid w:val="001E5DBB"/>
    <w:rsid w:val="001E7044"/>
    <w:rsid w:val="001F02C5"/>
    <w:rsid w:val="001F1051"/>
    <w:rsid w:val="001F1A2D"/>
    <w:rsid w:val="001F34A8"/>
    <w:rsid w:val="001F40B2"/>
    <w:rsid w:val="001F4B99"/>
    <w:rsid w:val="00200F92"/>
    <w:rsid w:val="002034AD"/>
    <w:rsid w:val="00203BF1"/>
    <w:rsid w:val="00203F46"/>
    <w:rsid w:val="00207033"/>
    <w:rsid w:val="00210D66"/>
    <w:rsid w:val="00213667"/>
    <w:rsid w:val="00217339"/>
    <w:rsid w:val="00223853"/>
    <w:rsid w:val="002239B4"/>
    <w:rsid w:val="00224900"/>
    <w:rsid w:val="002252C0"/>
    <w:rsid w:val="00227D08"/>
    <w:rsid w:val="0023008F"/>
    <w:rsid w:val="0023180C"/>
    <w:rsid w:val="00234C6C"/>
    <w:rsid w:val="0023576D"/>
    <w:rsid w:val="00244A28"/>
    <w:rsid w:val="00247EBA"/>
    <w:rsid w:val="0025095A"/>
    <w:rsid w:val="002532DE"/>
    <w:rsid w:val="00265031"/>
    <w:rsid w:val="00266277"/>
    <w:rsid w:val="002723C7"/>
    <w:rsid w:val="00276BEE"/>
    <w:rsid w:val="002807AD"/>
    <w:rsid w:val="00283163"/>
    <w:rsid w:val="00284C12"/>
    <w:rsid w:val="00286834"/>
    <w:rsid w:val="00286FAD"/>
    <w:rsid w:val="00293623"/>
    <w:rsid w:val="00297358"/>
    <w:rsid w:val="002A153A"/>
    <w:rsid w:val="002A6417"/>
    <w:rsid w:val="002A6631"/>
    <w:rsid w:val="002B01A8"/>
    <w:rsid w:val="002B282F"/>
    <w:rsid w:val="002B4B30"/>
    <w:rsid w:val="002B56DF"/>
    <w:rsid w:val="002B79E1"/>
    <w:rsid w:val="002C004E"/>
    <w:rsid w:val="002C2D9D"/>
    <w:rsid w:val="002C441F"/>
    <w:rsid w:val="002E320B"/>
    <w:rsid w:val="002E52AD"/>
    <w:rsid w:val="002E67C5"/>
    <w:rsid w:val="002E7910"/>
    <w:rsid w:val="002E7BC2"/>
    <w:rsid w:val="002F1C33"/>
    <w:rsid w:val="002F2DB4"/>
    <w:rsid w:val="002F63BB"/>
    <w:rsid w:val="002F6C10"/>
    <w:rsid w:val="002F6DBB"/>
    <w:rsid w:val="002F701E"/>
    <w:rsid w:val="003001AC"/>
    <w:rsid w:val="00302F9F"/>
    <w:rsid w:val="00303EC5"/>
    <w:rsid w:val="00304386"/>
    <w:rsid w:val="00326B54"/>
    <w:rsid w:val="003302FA"/>
    <w:rsid w:val="00334E97"/>
    <w:rsid w:val="003373C2"/>
    <w:rsid w:val="003401FE"/>
    <w:rsid w:val="00340A7A"/>
    <w:rsid w:val="003417F0"/>
    <w:rsid w:val="00350A47"/>
    <w:rsid w:val="00353025"/>
    <w:rsid w:val="0036125C"/>
    <w:rsid w:val="00377CD3"/>
    <w:rsid w:val="00383A48"/>
    <w:rsid w:val="00387D0F"/>
    <w:rsid w:val="00390DCF"/>
    <w:rsid w:val="00396821"/>
    <w:rsid w:val="00397A6B"/>
    <w:rsid w:val="003A06BB"/>
    <w:rsid w:val="003A2944"/>
    <w:rsid w:val="003A3513"/>
    <w:rsid w:val="003B0DEF"/>
    <w:rsid w:val="003B2FC1"/>
    <w:rsid w:val="003C2074"/>
    <w:rsid w:val="003C3ADB"/>
    <w:rsid w:val="003C579C"/>
    <w:rsid w:val="003C7207"/>
    <w:rsid w:val="003C7515"/>
    <w:rsid w:val="003D0E4A"/>
    <w:rsid w:val="003D11B5"/>
    <w:rsid w:val="003D134C"/>
    <w:rsid w:val="003D69A5"/>
    <w:rsid w:val="003E14F9"/>
    <w:rsid w:val="003E5CE3"/>
    <w:rsid w:val="003F309F"/>
    <w:rsid w:val="003F3119"/>
    <w:rsid w:val="003F4E8A"/>
    <w:rsid w:val="003F6D32"/>
    <w:rsid w:val="00411760"/>
    <w:rsid w:val="004161D4"/>
    <w:rsid w:val="0041784E"/>
    <w:rsid w:val="00421EA9"/>
    <w:rsid w:val="00423C2C"/>
    <w:rsid w:val="00430B5A"/>
    <w:rsid w:val="00431C20"/>
    <w:rsid w:val="0044207D"/>
    <w:rsid w:val="004439E2"/>
    <w:rsid w:val="00447FE5"/>
    <w:rsid w:val="00450EB7"/>
    <w:rsid w:val="00451231"/>
    <w:rsid w:val="004526D3"/>
    <w:rsid w:val="00457CF2"/>
    <w:rsid w:val="004617B8"/>
    <w:rsid w:val="00462A87"/>
    <w:rsid w:val="00462FA0"/>
    <w:rsid w:val="00463AB6"/>
    <w:rsid w:val="00463E5F"/>
    <w:rsid w:val="0046504E"/>
    <w:rsid w:val="00467620"/>
    <w:rsid w:val="00467C7C"/>
    <w:rsid w:val="00475595"/>
    <w:rsid w:val="004758FE"/>
    <w:rsid w:val="00476C17"/>
    <w:rsid w:val="00476DBC"/>
    <w:rsid w:val="00480703"/>
    <w:rsid w:val="00480836"/>
    <w:rsid w:val="004830C8"/>
    <w:rsid w:val="004837AB"/>
    <w:rsid w:val="00483A2F"/>
    <w:rsid w:val="00490DBF"/>
    <w:rsid w:val="00495EC8"/>
    <w:rsid w:val="004A128C"/>
    <w:rsid w:val="004A1C13"/>
    <w:rsid w:val="004A3310"/>
    <w:rsid w:val="004A5E72"/>
    <w:rsid w:val="004A6EE1"/>
    <w:rsid w:val="004B07EC"/>
    <w:rsid w:val="004B1BEE"/>
    <w:rsid w:val="004B2AB8"/>
    <w:rsid w:val="004B5B9E"/>
    <w:rsid w:val="004B7849"/>
    <w:rsid w:val="004C10E4"/>
    <w:rsid w:val="004D1ADE"/>
    <w:rsid w:val="004D30B6"/>
    <w:rsid w:val="004D770C"/>
    <w:rsid w:val="004E0D21"/>
    <w:rsid w:val="004E370E"/>
    <w:rsid w:val="004E7102"/>
    <w:rsid w:val="004E7EAE"/>
    <w:rsid w:val="004F2A1C"/>
    <w:rsid w:val="004F4387"/>
    <w:rsid w:val="004F77E0"/>
    <w:rsid w:val="00510BF5"/>
    <w:rsid w:val="00510EDC"/>
    <w:rsid w:val="00513233"/>
    <w:rsid w:val="00521BA7"/>
    <w:rsid w:val="005252E2"/>
    <w:rsid w:val="005379AD"/>
    <w:rsid w:val="0054404F"/>
    <w:rsid w:val="005511D5"/>
    <w:rsid w:val="00561C9D"/>
    <w:rsid w:val="005678B1"/>
    <w:rsid w:val="00575DC6"/>
    <w:rsid w:val="005820AB"/>
    <w:rsid w:val="00585FB5"/>
    <w:rsid w:val="00590EE1"/>
    <w:rsid w:val="00591586"/>
    <w:rsid w:val="00592DB1"/>
    <w:rsid w:val="00595363"/>
    <w:rsid w:val="00595A2B"/>
    <w:rsid w:val="005A17D2"/>
    <w:rsid w:val="005A2781"/>
    <w:rsid w:val="005A5E4A"/>
    <w:rsid w:val="005B7357"/>
    <w:rsid w:val="005C38A3"/>
    <w:rsid w:val="005C5B7C"/>
    <w:rsid w:val="005C673B"/>
    <w:rsid w:val="005D1BCC"/>
    <w:rsid w:val="005E247C"/>
    <w:rsid w:val="005F0964"/>
    <w:rsid w:val="005F12C4"/>
    <w:rsid w:val="005F5D19"/>
    <w:rsid w:val="005F6CBF"/>
    <w:rsid w:val="00612D14"/>
    <w:rsid w:val="006135E6"/>
    <w:rsid w:val="0061552D"/>
    <w:rsid w:val="0061786E"/>
    <w:rsid w:val="00624450"/>
    <w:rsid w:val="00632E10"/>
    <w:rsid w:val="00632EA5"/>
    <w:rsid w:val="00635CBC"/>
    <w:rsid w:val="00637F5E"/>
    <w:rsid w:val="00644F52"/>
    <w:rsid w:val="00651F90"/>
    <w:rsid w:val="0065701C"/>
    <w:rsid w:val="006604A6"/>
    <w:rsid w:val="00662792"/>
    <w:rsid w:val="0066447D"/>
    <w:rsid w:val="00667868"/>
    <w:rsid w:val="00671B54"/>
    <w:rsid w:val="00673DB8"/>
    <w:rsid w:val="0067464B"/>
    <w:rsid w:val="00675BFE"/>
    <w:rsid w:val="006818B6"/>
    <w:rsid w:val="006824B8"/>
    <w:rsid w:val="0068288E"/>
    <w:rsid w:val="006843B8"/>
    <w:rsid w:val="006852EB"/>
    <w:rsid w:val="00692ABF"/>
    <w:rsid w:val="00694209"/>
    <w:rsid w:val="00697718"/>
    <w:rsid w:val="00697A99"/>
    <w:rsid w:val="006A1226"/>
    <w:rsid w:val="006A172E"/>
    <w:rsid w:val="006A3329"/>
    <w:rsid w:val="006A7743"/>
    <w:rsid w:val="006B0D19"/>
    <w:rsid w:val="006B150B"/>
    <w:rsid w:val="006B1785"/>
    <w:rsid w:val="006B317D"/>
    <w:rsid w:val="006B6C6A"/>
    <w:rsid w:val="006B7F25"/>
    <w:rsid w:val="006B7F67"/>
    <w:rsid w:val="006C15D5"/>
    <w:rsid w:val="006C1C02"/>
    <w:rsid w:val="006C234F"/>
    <w:rsid w:val="006C2D0C"/>
    <w:rsid w:val="006C3D0C"/>
    <w:rsid w:val="006C512E"/>
    <w:rsid w:val="006C5955"/>
    <w:rsid w:val="006D3624"/>
    <w:rsid w:val="006D39A8"/>
    <w:rsid w:val="006D519D"/>
    <w:rsid w:val="006E4EE7"/>
    <w:rsid w:val="006E65C2"/>
    <w:rsid w:val="006F31BC"/>
    <w:rsid w:val="006F3802"/>
    <w:rsid w:val="006F39D0"/>
    <w:rsid w:val="006F7746"/>
    <w:rsid w:val="0070582B"/>
    <w:rsid w:val="00711157"/>
    <w:rsid w:val="00714800"/>
    <w:rsid w:val="00715B7E"/>
    <w:rsid w:val="00717725"/>
    <w:rsid w:val="0072152F"/>
    <w:rsid w:val="00721C21"/>
    <w:rsid w:val="007229FD"/>
    <w:rsid w:val="00730CDB"/>
    <w:rsid w:val="007323E9"/>
    <w:rsid w:val="00736945"/>
    <w:rsid w:val="00736C89"/>
    <w:rsid w:val="00741965"/>
    <w:rsid w:val="0074421C"/>
    <w:rsid w:val="00745744"/>
    <w:rsid w:val="00745A21"/>
    <w:rsid w:val="0075032A"/>
    <w:rsid w:val="00750C12"/>
    <w:rsid w:val="00754433"/>
    <w:rsid w:val="007564C1"/>
    <w:rsid w:val="00763652"/>
    <w:rsid w:val="00764BF7"/>
    <w:rsid w:val="007650D8"/>
    <w:rsid w:val="00766030"/>
    <w:rsid w:val="00770D7D"/>
    <w:rsid w:val="00772497"/>
    <w:rsid w:val="007754C3"/>
    <w:rsid w:val="007768FE"/>
    <w:rsid w:val="007902C3"/>
    <w:rsid w:val="00790BB8"/>
    <w:rsid w:val="00791377"/>
    <w:rsid w:val="00795C86"/>
    <w:rsid w:val="007963D6"/>
    <w:rsid w:val="007A45E7"/>
    <w:rsid w:val="007B4AAA"/>
    <w:rsid w:val="007C6894"/>
    <w:rsid w:val="007D3B8C"/>
    <w:rsid w:val="007D62C7"/>
    <w:rsid w:val="007E001D"/>
    <w:rsid w:val="007F5F0C"/>
    <w:rsid w:val="007F7AC6"/>
    <w:rsid w:val="00803061"/>
    <w:rsid w:val="008057D4"/>
    <w:rsid w:val="00807EEE"/>
    <w:rsid w:val="008103E9"/>
    <w:rsid w:val="008135F4"/>
    <w:rsid w:val="00813893"/>
    <w:rsid w:val="00816B8C"/>
    <w:rsid w:val="0082266E"/>
    <w:rsid w:val="008234E2"/>
    <w:rsid w:val="00824361"/>
    <w:rsid w:val="00825FD3"/>
    <w:rsid w:val="0083146F"/>
    <w:rsid w:val="008327EE"/>
    <w:rsid w:val="00833F8E"/>
    <w:rsid w:val="0083539E"/>
    <w:rsid w:val="00836E71"/>
    <w:rsid w:val="00837EBE"/>
    <w:rsid w:val="00841F3C"/>
    <w:rsid w:val="00842E74"/>
    <w:rsid w:val="00843BE5"/>
    <w:rsid w:val="008535C9"/>
    <w:rsid w:val="00856B64"/>
    <w:rsid w:val="00860A39"/>
    <w:rsid w:val="0086177D"/>
    <w:rsid w:val="00862463"/>
    <w:rsid w:val="00863DD9"/>
    <w:rsid w:val="00865960"/>
    <w:rsid w:val="00866446"/>
    <w:rsid w:val="0086741B"/>
    <w:rsid w:val="008709D9"/>
    <w:rsid w:val="00871568"/>
    <w:rsid w:val="00872D25"/>
    <w:rsid w:val="00874193"/>
    <w:rsid w:val="00881742"/>
    <w:rsid w:val="00881CD2"/>
    <w:rsid w:val="00886E66"/>
    <w:rsid w:val="00886F29"/>
    <w:rsid w:val="008917A3"/>
    <w:rsid w:val="00891A49"/>
    <w:rsid w:val="00897DAB"/>
    <w:rsid w:val="008A0633"/>
    <w:rsid w:val="008A3386"/>
    <w:rsid w:val="008A53F2"/>
    <w:rsid w:val="008B09B1"/>
    <w:rsid w:val="008B10A9"/>
    <w:rsid w:val="008B6430"/>
    <w:rsid w:val="008C24B6"/>
    <w:rsid w:val="008C487C"/>
    <w:rsid w:val="008C4C28"/>
    <w:rsid w:val="008D028F"/>
    <w:rsid w:val="008D1BE3"/>
    <w:rsid w:val="008D3473"/>
    <w:rsid w:val="008D575A"/>
    <w:rsid w:val="008E0FCC"/>
    <w:rsid w:val="008E2FE3"/>
    <w:rsid w:val="008E3E54"/>
    <w:rsid w:val="008E5698"/>
    <w:rsid w:val="008E5F34"/>
    <w:rsid w:val="008E7D3F"/>
    <w:rsid w:val="008F00CF"/>
    <w:rsid w:val="008F2267"/>
    <w:rsid w:val="008F3EE2"/>
    <w:rsid w:val="008F5D4C"/>
    <w:rsid w:val="008F67FD"/>
    <w:rsid w:val="00905A7E"/>
    <w:rsid w:val="00905B18"/>
    <w:rsid w:val="00905B2F"/>
    <w:rsid w:val="00916FF3"/>
    <w:rsid w:val="009216CB"/>
    <w:rsid w:val="009231E0"/>
    <w:rsid w:val="00923548"/>
    <w:rsid w:val="00923B70"/>
    <w:rsid w:val="00925293"/>
    <w:rsid w:val="00930B6C"/>
    <w:rsid w:val="00930E4B"/>
    <w:rsid w:val="0094508D"/>
    <w:rsid w:val="00946E85"/>
    <w:rsid w:val="009506A7"/>
    <w:rsid w:val="0095113A"/>
    <w:rsid w:val="009525A4"/>
    <w:rsid w:val="00954CF5"/>
    <w:rsid w:val="0096646C"/>
    <w:rsid w:val="00967230"/>
    <w:rsid w:val="00971A45"/>
    <w:rsid w:val="00972087"/>
    <w:rsid w:val="00972C13"/>
    <w:rsid w:val="0097456D"/>
    <w:rsid w:val="00974A47"/>
    <w:rsid w:val="009812D7"/>
    <w:rsid w:val="00982E99"/>
    <w:rsid w:val="00984C24"/>
    <w:rsid w:val="009947D1"/>
    <w:rsid w:val="009A5714"/>
    <w:rsid w:val="009A5DA7"/>
    <w:rsid w:val="009B1AEC"/>
    <w:rsid w:val="009B7329"/>
    <w:rsid w:val="009C27A9"/>
    <w:rsid w:val="009C3B7D"/>
    <w:rsid w:val="009D013C"/>
    <w:rsid w:val="009D16ED"/>
    <w:rsid w:val="009D1D57"/>
    <w:rsid w:val="009D4F8F"/>
    <w:rsid w:val="009E2544"/>
    <w:rsid w:val="009E2770"/>
    <w:rsid w:val="009E4710"/>
    <w:rsid w:val="009E4A43"/>
    <w:rsid w:val="009F2261"/>
    <w:rsid w:val="009F3537"/>
    <w:rsid w:val="009F6ADC"/>
    <w:rsid w:val="009F78A4"/>
    <w:rsid w:val="00A032F8"/>
    <w:rsid w:val="00A10347"/>
    <w:rsid w:val="00A158AB"/>
    <w:rsid w:val="00A22E15"/>
    <w:rsid w:val="00A25657"/>
    <w:rsid w:val="00A329B6"/>
    <w:rsid w:val="00A367A1"/>
    <w:rsid w:val="00A40178"/>
    <w:rsid w:val="00A415D2"/>
    <w:rsid w:val="00A459B3"/>
    <w:rsid w:val="00A460BA"/>
    <w:rsid w:val="00A510F6"/>
    <w:rsid w:val="00A54828"/>
    <w:rsid w:val="00A57F74"/>
    <w:rsid w:val="00A651C9"/>
    <w:rsid w:val="00A67D0F"/>
    <w:rsid w:val="00A70E2D"/>
    <w:rsid w:val="00A73161"/>
    <w:rsid w:val="00A740E7"/>
    <w:rsid w:val="00A80739"/>
    <w:rsid w:val="00A810AF"/>
    <w:rsid w:val="00A83829"/>
    <w:rsid w:val="00A84A92"/>
    <w:rsid w:val="00A862C0"/>
    <w:rsid w:val="00A87EE1"/>
    <w:rsid w:val="00A91A20"/>
    <w:rsid w:val="00A9229F"/>
    <w:rsid w:val="00A95100"/>
    <w:rsid w:val="00A9658B"/>
    <w:rsid w:val="00AA0652"/>
    <w:rsid w:val="00AA2A39"/>
    <w:rsid w:val="00AA2C16"/>
    <w:rsid w:val="00AA615B"/>
    <w:rsid w:val="00AA6272"/>
    <w:rsid w:val="00AB0DED"/>
    <w:rsid w:val="00AB14AB"/>
    <w:rsid w:val="00AB2DB6"/>
    <w:rsid w:val="00AC0C81"/>
    <w:rsid w:val="00AC1B48"/>
    <w:rsid w:val="00AC29D6"/>
    <w:rsid w:val="00AC43E7"/>
    <w:rsid w:val="00AC6C43"/>
    <w:rsid w:val="00AD1E1B"/>
    <w:rsid w:val="00AD54C3"/>
    <w:rsid w:val="00AD7725"/>
    <w:rsid w:val="00AE0522"/>
    <w:rsid w:val="00AE0739"/>
    <w:rsid w:val="00AE4FF6"/>
    <w:rsid w:val="00AE668A"/>
    <w:rsid w:val="00AE6858"/>
    <w:rsid w:val="00AE7EF0"/>
    <w:rsid w:val="00AF2EFF"/>
    <w:rsid w:val="00AF5C62"/>
    <w:rsid w:val="00AF643C"/>
    <w:rsid w:val="00AF6B2F"/>
    <w:rsid w:val="00AF7270"/>
    <w:rsid w:val="00AF727E"/>
    <w:rsid w:val="00B04895"/>
    <w:rsid w:val="00B14450"/>
    <w:rsid w:val="00B17BC5"/>
    <w:rsid w:val="00B20582"/>
    <w:rsid w:val="00B2158C"/>
    <w:rsid w:val="00B217CA"/>
    <w:rsid w:val="00B24E57"/>
    <w:rsid w:val="00B30D96"/>
    <w:rsid w:val="00B5123E"/>
    <w:rsid w:val="00B522C4"/>
    <w:rsid w:val="00B52B0E"/>
    <w:rsid w:val="00B5337D"/>
    <w:rsid w:val="00B62BEA"/>
    <w:rsid w:val="00B64B90"/>
    <w:rsid w:val="00B65290"/>
    <w:rsid w:val="00B66EF2"/>
    <w:rsid w:val="00B70E26"/>
    <w:rsid w:val="00B86CB5"/>
    <w:rsid w:val="00B8745F"/>
    <w:rsid w:val="00B90754"/>
    <w:rsid w:val="00B936F7"/>
    <w:rsid w:val="00B9572C"/>
    <w:rsid w:val="00B9782C"/>
    <w:rsid w:val="00B97D95"/>
    <w:rsid w:val="00B97E3C"/>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2443"/>
    <w:rsid w:val="00C03771"/>
    <w:rsid w:val="00C07755"/>
    <w:rsid w:val="00C07B5E"/>
    <w:rsid w:val="00C10D3E"/>
    <w:rsid w:val="00C10DE8"/>
    <w:rsid w:val="00C12201"/>
    <w:rsid w:val="00C12AD2"/>
    <w:rsid w:val="00C1405A"/>
    <w:rsid w:val="00C14F61"/>
    <w:rsid w:val="00C31412"/>
    <w:rsid w:val="00C365AF"/>
    <w:rsid w:val="00C42740"/>
    <w:rsid w:val="00C4526C"/>
    <w:rsid w:val="00C50B1B"/>
    <w:rsid w:val="00C50C99"/>
    <w:rsid w:val="00C52801"/>
    <w:rsid w:val="00C60C0C"/>
    <w:rsid w:val="00C61C54"/>
    <w:rsid w:val="00C6210F"/>
    <w:rsid w:val="00C745C6"/>
    <w:rsid w:val="00C750BA"/>
    <w:rsid w:val="00C7706E"/>
    <w:rsid w:val="00C8232B"/>
    <w:rsid w:val="00C826EF"/>
    <w:rsid w:val="00C8442D"/>
    <w:rsid w:val="00C917A1"/>
    <w:rsid w:val="00C95AC9"/>
    <w:rsid w:val="00C964DE"/>
    <w:rsid w:val="00C96F18"/>
    <w:rsid w:val="00CA4545"/>
    <w:rsid w:val="00CA51AC"/>
    <w:rsid w:val="00CA53A0"/>
    <w:rsid w:val="00CA5790"/>
    <w:rsid w:val="00CA634C"/>
    <w:rsid w:val="00CA652B"/>
    <w:rsid w:val="00CA7BFF"/>
    <w:rsid w:val="00CB76CD"/>
    <w:rsid w:val="00CC0C56"/>
    <w:rsid w:val="00CC11B6"/>
    <w:rsid w:val="00CC4245"/>
    <w:rsid w:val="00CD23FE"/>
    <w:rsid w:val="00CD2948"/>
    <w:rsid w:val="00CE35D5"/>
    <w:rsid w:val="00CE36C4"/>
    <w:rsid w:val="00CF326B"/>
    <w:rsid w:val="00D0300E"/>
    <w:rsid w:val="00D0763E"/>
    <w:rsid w:val="00D12644"/>
    <w:rsid w:val="00D134CC"/>
    <w:rsid w:val="00D14C1E"/>
    <w:rsid w:val="00D24682"/>
    <w:rsid w:val="00D24F06"/>
    <w:rsid w:val="00D25AEF"/>
    <w:rsid w:val="00D31785"/>
    <w:rsid w:val="00D349EE"/>
    <w:rsid w:val="00D35298"/>
    <w:rsid w:val="00D36296"/>
    <w:rsid w:val="00D36DC3"/>
    <w:rsid w:val="00D418AD"/>
    <w:rsid w:val="00D44227"/>
    <w:rsid w:val="00D46629"/>
    <w:rsid w:val="00D527DA"/>
    <w:rsid w:val="00D56D47"/>
    <w:rsid w:val="00D57835"/>
    <w:rsid w:val="00D606A5"/>
    <w:rsid w:val="00D655FB"/>
    <w:rsid w:val="00D70FB4"/>
    <w:rsid w:val="00D724F9"/>
    <w:rsid w:val="00D73854"/>
    <w:rsid w:val="00D73A38"/>
    <w:rsid w:val="00D74A1C"/>
    <w:rsid w:val="00D815C1"/>
    <w:rsid w:val="00D82E7D"/>
    <w:rsid w:val="00D85C85"/>
    <w:rsid w:val="00D85E33"/>
    <w:rsid w:val="00D866EC"/>
    <w:rsid w:val="00D9096A"/>
    <w:rsid w:val="00D92F6C"/>
    <w:rsid w:val="00D95879"/>
    <w:rsid w:val="00D97A6B"/>
    <w:rsid w:val="00DA2FA3"/>
    <w:rsid w:val="00DA3760"/>
    <w:rsid w:val="00DA7875"/>
    <w:rsid w:val="00DB0AD7"/>
    <w:rsid w:val="00DB751D"/>
    <w:rsid w:val="00DC09BD"/>
    <w:rsid w:val="00DC679E"/>
    <w:rsid w:val="00DD0E98"/>
    <w:rsid w:val="00DD14BC"/>
    <w:rsid w:val="00DE3F87"/>
    <w:rsid w:val="00DE64DE"/>
    <w:rsid w:val="00DE73B4"/>
    <w:rsid w:val="00DE787B"/>
    <w:rsid w:val="00DE7AB4"/>
    <w:rsid w:val="00DF4D86"/>
    <w:rsid w:val="00DF58CA"/>
    <w:rsid w:val="00DF63E3"/>
    <w:rsid w:val="00DF6B09"/>
    <w:rsid w:val="00E00B41"/>
    <w:rsid w:val="00E01D84"/>
    <w:rsid w:val="00E048AB"/>
    <w:rsid w:val="00E104CD"/>
    <w:rsid w:val="00E111AA"/>
    <w:rsid w:val="00E137BB"/>
    <w:rsid w:val="00E20266"/>
    <w:rsid w:val="00E235DD"/>
    <w:rsid w:val="00E261CD"/>
    <w:rsid w:val="00E26EF5"/>
    <w:rsid w:val="00E3199C"/>
    <w:rsid w:val="00E41E74"/>
    <w:rsid w:val="00E42D0B"/>
    <w:rsid w:val="00E441BF"/>
    <w:rsid w:val="00E56980"/>
    <w:rsid w:val="00E56B59"/>
    <w:rsid w:val="00E62D29"/>
    <w:rsid w:val="00E64988"/>
    <w:rsid w:val="00E64A38"/>
    <w:rsid w:val="00E719F6"/>
    <w:rsid w:val="00E7345E"/>
    <w:rsid w:val="00E756AC"/>
    <w:rsid w:val="00E8168D"/>
    <w:rsid w:val="00E8381A"/>
    <w:rsid w:val="00E87596"/>
    <w:rsid w:val="00E87794"/>
    <w:rsid w:val="00E96422"/>
    <w:rsid w:val="00E97B21"/>
    <w:rsid w:val="00EA5A59"/>
    <w:rsid w:val="00EA62F1"/>
    <w:rsid w:val="00EB0CE8"/>
    <w:rsid w:val="00EB3D8F"/>
    <w:rsid w:val="00ED0FE3"/>
    <w:rsid w:val="00ED277E"/>
    <w:rsid w:val="00ED3F7E"/>
    <w:rsid w:val="00ED4715"/>
    <w:rsid w:val="00ED7ACF"/>
    <w:rsid w:val="00EE3B97"/>
    <w:rsid w:val="00EF2CA6"/>
    <w:rsid w:val="00F02034"/>
    <w:rsid w:val="00F0790C"/>
    <w:rsid w:val="00F117B1"/>
    <w:rsid w:val="00F134F9"/>
    <w:rsid w:val="00F13D5A"/>
    <w:rsid w:val="00F2461C"/>
    <w:rsid w:val="00F24C62"/>
    <w:rsid w:val="00F24FC8"/>
    <w:rsid w:val="00F331F0"/>
    <w:rsid w:val="00F34138"/>
    <w:rsid w:val="00F35E57"/>
    <w:rsid w:val="00F36959"/>
    <w:rsid w:val="00F44566"/>
    <w:rsid w:val="00F47FCE"/>
    <w:rsid w:val="00F501D2"/>
    <w:rsid w:val="00F5266F"/>
    <w:rsid w:val="00F52BC9"/>
    <w:rsid w:val="00F557C0"/>
    <w:rsid w:val="00F56447"/>
    <w:rsid w:val="00F61A04"/>
    <w:rsid w:val="00F64055"/>
    <w:rsid w:val="00F6564C"/>
    <w:rsid w:val="00F710C6"/>
    <w:rsid w:val="00F722BD"/>
    <w:rsid w:val="00F72873"/>
    <w:rsid w:val="00F73620"/>
    <w:rsid w:val="00F758ED"/>
    <w:rsid w:val="00F86B27"/>
    <w:rsid w:val="00F91CF0"/>
    <w:rsid w:val="00F9481A"/>
    <w:rsid w:val="00F956D1"/>
    <w:rsid w:val="00F9687F"/>
    <w:rsid w:val="00F97F15"/>
    <w:rsid w:val="00FA08DE"/>
    <w:rsid w:val="00FB328E"/>
    <w:rsid w:val="00FB3430"/>
    <w:rsid w:val="00FB5E18"/>
    <w:rsid w:val="00FC2626"/>
    <w:rsid w:val="00FC755D"/>
    <w:rsid w:val="00FD3922"/>
    <w:rsid w:val="00FD6452"/>
    <w:rsid w:val="00FF0A4E"/>
    <w:rsid w:val="00FF12D6"/>
    <w:rsid w:val="00FF14A6"/>
    <w:rsid w:val="00FF3F9C"/>
    <w:rsid w:val="0A7E3B1A"/>
    <w:rsid w:val="3D3A4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075227"/>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6888532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5296</Words>
  <Characters>29129</Characters>
  <Application>Microsoft Office Word</Application>
  <DocSecurity>0</DocSecurity>
  <Lines>242</Lines>
  <Paragraphs>68</Paragraphs>
  <ScaleCrop>false</ScaleCrop>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517</cp:revision>
  <cp:lastPrinted>2020-03-17T17:42:00Z</cp:lastPrinted>
  <dcterms:created xsi:type="dcterms:W3CDTF">2020-03-17T17:21:00Z</dcterms:created>
  <dcterms:modified xsi:type="dcterms:W3CDTF">2020-08-06T19:39:00Z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