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2BF02" w14:textId="77777777" w:rsidR="001637CE" w:rsidRPr="00602365" w:rsidRDefault="001637CE" w:rsidP="001637CE">
      <w:pPr>
        <w:spacing w:before="0" w:after="0" w:line="240" w:lineRule="auto"/>
        <w:jc w:val="right"/>
        <w:rPr>
          <w:rFonts w:ascii="Arial" w:eastAsiaTheme="minorHAnsi" w:hAnsi="Arial" w:cs="Arial"/>
          <w:b/>
          <w:sz w:val="16"/>
          <w:szCs w:val="16"/>
          <w:lang w:val="es-ES" w:eastAsia="es-ES"/>
        </w:rPr>
      </w:pPr>
      <w:bookmarkStart w:id="0" w:name="_Hlk39683314"/>
      <w:r w:rsidRPr="00602365">
        <w:rPr>
          <w:rFonts w:ascii="Arial" w:eastAsiaTheme="minorHAnsi" w:hAnsi="Arial" w:cs="Arial"/>
          <w:b/>
          <w:sz w:val="16"/>
          <w:szCs w:val="16"/>
          <w:lang w:val="es-ES" w:eastAsia="es-ES"/>
        </w:rPr>
        <w:t>CCE-DES-FM-17</w:t>
      </w:r>
      <w:bookmarkEnd w:id="0"/>
    </w:p>
    <w:p w14:paraId="65D693C1" w14:textId="00D4A3E2" w:rsidR="001637CE" w:rsidRPr="00602365" w:rsidRDefault="001637CE" w:rsidP="00801E19">
      <w:pPr>
        <w:spacing w:before="0" w:after="0" w:line="240" w:lineRule="auto"/>
        <w:rPr>
          <w:rFonts w:ascii="Arial" w:eastAsia="Calibri" w:hAnsi="Arial" w:cs="Arial"/>
          <w:b/>
          <w:color w:val="000000" w:themeColor="text1"/>
          <w:sz w:val="16"/>
          <w:szCs w:val="16"/>
          <w:lang w:val="es-ES" w:eastAsia="en-US"/>
        </w:rPr>
      </w:pPr>
    </w:p>
    <w:p w14:paraId="26F26F84" w14:textId="77777777" w:rsidR="00801E19" w:rsidRDefault="00801E19" w:rsidP="00BA0125">
      <w:pPr>
        <w:pStyle w:val="Prrafodelista"/>
        <w:spacing w:before="0" w:after="0" w:line="240" w:lineRule="auto"/>
        <w:ind w:left="0"/>
        <w:rPr>
          <w:rFonts w:ascii="Arial" w:eastAsia="Calibri" w:hAnsi="Arial" w:cs="Arial"/>
          <w:b/>
          <w:color w:val="000000" w:themeColor="text1"/>
          <w:sz w:val="22"/>
          <w:szCs w:val="20"/>
        </w:rPr>
      </w:pPr>
      <w:r>
        <w:rPr>
          <w:rFonts w:ascii="Arial" w:eastAsia="Calibri" w:hAnsi="Arial" w:cs="Arial"/>
          <w:b/>
          <w:color w:val="000000" w:themeColor="text1"/>
          <w:sz w:val="22"/>
          <w:szCs w:val="20"/>
        </w:rPr>
        <w:t>PRINCIPIO DE PUBLICIDAD – Noción – Acceso a la información pública</w:t>
      </w:r>
    </w:p>
    <w:p w14:paraId="791C848F" w14:textId="77777777" w:rsidR="002C4497" w:rsidRDefault="002C4497" w:rsidP="002C4497">
      <w:pPr>
        <w:spacing w:before="0" w:after="0" w:line="240" w:lineRule="auto"/>
        <w:rPr>
          <w:rFonts w:ascii="Arial" w:eastAsia="Calibri" w:hAnsi="Arial" w:cs="Arial"/>
          <w:bCs/>
          <w:color w:val="000000" w:themeColor="text1"/>
          <w:sz w:val="20"/>
          <w:szCs w:val="20"/>
          <w:lang w:val="es-MX" w:eastAsia="en-US"/>
        </w:rPr>
      </w:pPr>
    </w:p>
    <w:p w14:paraId="789FD670" w14:textId="67210728" w:rsidR="00801E19" w:rsidRPr="00801E19" w:rsidRDefault="00801E19" w:rsidP="00BB4023">
      <w:pPr>
        <w:spacing w:before="0" w:after="0" w:line="240" w:lineRule="auto"/>
        <w:rPr>
          <w:rFonts w:ascii="Arial" w:eastAsia="Calibri" w:hAnsi="Arial" w:cs="Arial"/>
          <w:bCs/>
          <w:color w:val="000000" w:themeColor="text1"/>
          <w:sz w:val="20"/>
          <w:szCs w:val="20"/>
          <w:lang w:val="es-MX" w:eastAsia="en-US"/>
        </w:rPr>
      </w:pPr>
      <w:r w:rsidRPr="00801E19">
        <w:rPr>
          <w:rFonts w:ascii="Arial" w:eastAsia="Calibri" w:hAnsi="Arial" w:cs="Arial"/>
          <w:bCs/>
          <w:color w:val="000000" w:themeColor="text1"/>
          <w:sz w:val="20"/>
          <w:szCs w:val="20"/>
          <w:lang w:val="es-MX" w:eastAsia="en-US"/>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p>
    <w:p w14:paraId="58FEF998" w14:textId="632F88B4" w:rsidR="006848AF" w:rsidRDefault="006848AF" w:rsidP="00BB4023">
      <w:pPr>
        <w:spacing w:before="0" w:after="0" w:line="240" w:lineRule="auto"/>
        <w:rPr>
          <w:rFonts w:ascii="Arial" w:eastAsia="Calibri" w:hAnsi="Arial" w:cs="Arial"/>
          <w:sz w:val="21"/>
          <w:szCs w:val="21"/>
          <w:lang w:val="es-ES"/>
        </w:rPr>
      </w:pPr>
    </w:p>
    <w:p w14:paraId="1C70B932" w14:textId="2B7D6A9D" w:rsidR="00801E19" w:rsidRPr="000C0FED" w:rsidRDefault="00801E19" w:rsidP="00BB4023">
      <w:pPr>
        <w:spacing w:before="0" w:after="0" w:line="240" w:lineRule="auto"/>
        <w:rPr>
          <w:rFonts w:ascii="Arial" w:hAnsi="Arial" w:cs="Arial"/>
          <w:b/>
          <w:bCs/>
          <w:color w:val="000000" w:themeColor="text1"/>
          <w:sz w:val="22"/>
          <w:lang w:val="es-CO"/>
        </w:rPr>
      </w:pPr>
      <w:r w:rsidRPr="000C0FED">
        <w:rPr>
          <w:rFonts w:ascii="Arial" w:hAnsi="Arial" w:cs="Arial"/>
          <w:b/>
          <w:bCs/>
          <w:color w:val="000000" w:themeColor="text1"/>
          <w:sz w:val="22"/>
          <w:lang w:val="es-CO"/>
        </w:rPr>
        <w:t>SECOP – Publicación – Documentos</w:t>
      </w:r>
    </w:p>
    <w:p w14:paraId="6F718B59" w14:textId="77777777" w:rsidR="00F036CC" w:rsidRDefault="00F036CC" w:rsidP="00BB4023">
      <w:pPr>
        <w:spacing w:before="0" w:after="0" w:line="240" w:lineRule="auto"/>
        <w:rPr>
          <w:rFonts w:ascii="Arial" w:eastAsia="Calibri" w:hAnsi="Arial" w:cs="Arial"/>
          <w:sz w:val="20"/>
          <w:szCs w:val="20"/>
          <w:lang w:val="es-MX"/>
        </w:rPr>
      </w:pPr>
    </w:p>
    <w:p w14:paraId="319C4B31" w14:textId="5E61F7F0" w:rsidR="00801E19" w:rsidRPr="00801E19" w:rsidRDefault="00801E19" w:rsidP="00BB4023">
      <w:pPr>
        <w:spacing w:before="0" w:after="0" w:line="240" w:lineRule="auto"/>
        <w:rPr>
          <w:rFonts w:ascii="Arial" w:eastAsia="Calibri" w:hAnsi="Arial" w:cs="Arial"/>
          <w:sz w:val="20"/>
          <w:szCs w:val="20"/>
          <w:lang w:val="es-MX"/>
        </w:rPr>
      </w:pPr>
      <w:r w:rsidRPr="00801E19">
        <w:rPr>
          <w:rFonts w:ascii="Arial" w:eastAsia="Calibri" w:hAnsi="Arial" w:cs="Arial"/>
          <w:sz w:val="20"/>
          <w:szCs w:val="20"/>
          <w:lang w:val="es-MX"/>
        </w:rPr>
        <w:t>[…] las entidades estatales, particularmente las sometidas al Estatuto al Estatuto General de Contratación de la Administración Pública, conforme al artículo 2.2.1.1.1.7.1. del Decreto 1082 de 2015, están en la obligación de publicar en el SECOP «[…] los Documentos del Proceso y los actos administrativos del Proceso de Contratación, dentro de los tres (3) días siguientes a su expedición […]».</w:t>
      </w:r>
    </w:p>
    <w:p w14:paraId="5677C29C" w14:textId="71AB0F47" w:rsidR="002C4497" w:rsidRDefault="00BB4023" w:rsidP="00BB4023">
      <w:pPr>
        <w:spacing w:before="0" w:line="240" w:lineRule="auto"/>
        <w:rPr>
          <w:rFonts w:ascii="Arial" w:eastAsia="Calibri" w:hAnsi="Arial" w:cs="Arial"/>
          <w:sz w:val="20"/>
          <w:szCs w:val="20"/>
          <w:lang w:val="es-MX"/>
        </w:rPr>
      </w:pPr>
      <w:r>
        <w:rPr>
          <w:rFonts w:ascii="Arial" w:eastAsia="Calibri" w:hAnsi="Arial" w:cs="Arial"/>
          <w:sz w:val="20"/>
          <w:szCs w:val="20"/>
          <w:lang w:val="es-MX"/>
        </w:rPr>
        <w:t>[…]</w:t>
      </w:r>
    </w:p>
    <w:p w14:paraId="51B557FF" w14:textId="1F749332" w:rsidR="00801E19" w:rsidRPr="00801E19" w:rsidRDefault="00801E19" w:rsidP="00BB4023">
      <w:pPr>
        <w:spacing w:before="0" w:after="0" w:line="240" w:lineRule="auto"/>
        <w:rPr>
          <w:rFonts w:ascii="Arial" w:eastAsia="Calibri" w:hAnsi="Arial" w:cs="Arial"/>
          <w:sz w:val="20"/>
          <w:szCs w:val="20"/>
          <w:lang w:val="es-ES"/>
        </w:rPr>
      </w:pPr>
      <w:r w:rsidRPr="00801E19">
        <w:rPr>
          <w:rFonts w:ascii="Arial" w:eastAsia="Calibri" w:hAnsi="Arial" w:cs="Arial"/>
          <w:sz w:val="20"/>
          <w:szCs w:val="20"/>
          <w:lang w:val="es-MX"/>
        </w:rPr>
        <w:t>[…]</w:t>
      </w:r>
      <w:r w:rsidR="00770E1A">
        <w:rPr>
          <w:rFonts w:ascii="Arial" w:eastAsia="Calibri" w:hAnsi="Arial" w:cs="Arial"/>
          <w:sz w:val="20"/>
          <w:szCs w:val="20"/>
          <w:lang w:val="es-MX"/>
        </w:rPr>
        <w:t xml:space="preserve"> </w:t>
      </w:r>
      <w:r w:rsidRPr="00801E19">
        <w:rPr>
          <w:rFonts w:ascii="Arial" w:eastAsia="Calibri" w:hAnsi="Arial" w:cs="Arial"/>
          <w:sz w:val="20"/>
          <w:szCs w:val="20"/>
          <w:lang w:val="es-ES"/>
        </w:rPr>
        <w:t xml:space="preserve">La expresión </w:t>
      </w:r>
      <w:r w:rsidRPr="00BA0125">
        <w:rPr>
          <w:rFonts w:ascii="Arial" w:eastAsia="Calibri" w:hAnsi="Arial" w:cs="Arial"/>
          <w:i/>
          <w:iCs/>
          <w:sz w:val="20"/>
          <w:szCs w:val="20"/>
          <w:lang w:val="es-ES"/>
        </w:rPr>
        <w:t>Documentos del Proceso</w:t>
      </w:r>
      <w:r w:rsidRPr="00801E19">
        <w:rPr>
          <w:rFonts w:ascii="Arial" w:eastAsia="Calibri" w:hAnsi="Arial" w:cs="Arial"/>
          <w:sz w:val="20"/>
          <w:szCs w:val="20"/>
          <w:lang w:val="es-ES"/>
        </w:rPr>
        <w:t xml:space="preserve"> se encuentra definida en el artículo 2.2.1.1.1.3.1. del Decreto 1082 de 2015, así: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5894E526" w14:textId="77777777" w:rsidR="00DE6EC3" w:rsidRPr="0060403F" w:rsidRDefault="00DE6EC3" w:rsidP="00BB4023">
      <w:pPr>
        <w:spacing w:before="0" w:after="0" w:line="240" w:lineRule="auto"/>
        <w:rPr>
          <w:rFonts w:ascii="Arial" w:eastAsia="Calibri" w:hAnsi="Arial" w:cs="Arial"/>
          <w:sz w:val="21"/>
          <w:szCs w:val="21"/>
          <w:lang w:val="es-ES"/>
        </w:rPr>
      </w:pPr>
    </w:p>
    <w:p w14:paraId="7D9E9D6A" w14:textId="3E27E1A8" w:rsidR="00801E19" w:rsidRDefault="00801E19" w:rsidP="00BB4023">
      <w:pPr>
        <w:spacing w:before="0" w:after="0" w:line="240" w:lineRule="auto"/>
        <w:rPr>
          <w:rFonts w:ascii="Arial" w:hAnsi="Arial" w:cs="Arial"/>
          <w:b/>
          <w:bCs/>
          <w:color w:val="000000" w:themeColor="text1"/>
          <w:sz w:val="22"/>
          <w:lang w:val="es-CO"/>
        </w:rPr>
      </w:pPr>
      <w:r w:rsidRPr="000C0FED">
        <w:rPr>
          <w:rFonts w:ascii="Arial" w:hAnsi="Arial" w:cs="Arial"/>
          <w:b/>
          <w:bCs/>
          <w:color w:val="000000" w:themeColor="text1"/>
          <w:sz w:val="22"/>
          <w:lang w:val="es-CO"/>
        </w:rPr>
        <w:t xml:space="preserve">SECOP – Publicación – </w:t>
      </w:r>
      <w:r>
        <w:rPr>
          <w:rFonts w:ascii="Arial" w:hAnsi="Arial" w:cs="Arial"/>
          <w:b/>
          <w:bCs/>
          <w:color w:val="000000" w:themeColor="text1"/>
          <w:sz w:val="22"/>
          <w:lang w:val="es-CO"/>
        </w:rPr>
        <w:t>Urgencia Manifiesta – Términos</w:t>
      </w:r>
    </w:p>
    <w:p w14:paraId="683D282F" w14:textId="77777777" w:rsidR="002C4497" w:rsidRDefault="002C4497" w:rsidP="00BB4023">
      <w:pPr>
        <w:spacing w:before="0" w:after="0" w:line="240" w:lineRule="auto"/>
        <w:rPr>
          <w:rFonts w:ascii="Arial" w:eastAsia="Calibri" w:hAnsi="Arial" w:cs="Arial"/>
          <w:sz w:val="20"/>
          <w:szCs w:val="20"/>
          <w:lang w:val="es-ES"/>
        </w:rPr>
      </w:pPr>
    </w:p>
    <w:p w14:paraId="77AAE0AB" w14:textId="43A60FCF" w:rsidR="00801E19" w:rsidRPr="00801E19" w:rsidRDefault="00801E19" w:rsidP="00BB4023">
      <w:pPr>
        <w:spacing w:before="0" w:after="0" w:line="240" w:lineRule="auto"/>
        <w:rPr>
          <w:rFonts w:ascii="Arial" w:eastAsia="Calibri" w:hAnsi="Arial" w:cs="Arial"/>
          <w:sz w:val="20"/>
          <w:szCs w:val="20"/>
          <w:lang w:val="es-ES"/>
        </w:rPr>
      </w:pPr>
      <w:r w:rsidRPr="00801E19">
        <w:rPr>
          <w:rFonts w:ascii="Arial" w:eastAsia="Calibri" w:hAnsi="Arial" w:cs="Arial"/>
          <w:sz w:val="20"/>
          <w:szCs w:val="20"/>
          <w:lang w:val="es-ES"/>
        </w:rPr>
        <w:t xml:space="preserve">El artículo 2.2.1.1.7.1 del Decreto 1082 de 2015 no hace distinción alguna en relación con modalidad de selección que precedió la celebración del </w:t>
      </w:r>
      <w:r w:rsidR="00E45BAF">
        <w:rPr>
          <w:rFonts w:ascii="Arial" w:eastAsia="Calibri" w:hAnsi="Arial" w:cs="Arial"/>
          <w:sz w:val="20"/>
          <w:szCs w:val="20"/>
          <w:lang w:val="es-ES"/>
        </w:rPr>
        <w:t>c</w:t>
      </w:r>
      <w:r w:rsidRPr="00801E19">
        <w:rPr>
          <w:rFonts w:ascii="Arial" w:eastAsia="Calibri" w:hAnsi="Arial" w:cs="Arial"/>
          <w:sz w:val="20"/>
          <w:szCs w:val="20"/>
          <w:lang w:val="es-ES"/>
        </w:rPr>
        <w:t xml:space="preserve">ontrato </w:t>
      </w:r>
      <w:r w:rsidR="00E45BAF">
        <w:rPr>
          <w:rFonts w:ascii="Arial" w:eastAsia="Calibri" w:hAnsi="Arial" w:cs="Arial"/>
          <w:sz w:val="20"/>
          <w:szCs w:val="20"/>
          <w:lang w:val="es-ES"/>
        </w:rPr>
        <w:t>e</w:t>
      </w:r>
      <w:r w:rsidRPr="00801E19">
        <w:rPr>
          <w:rFonts w:ascii="Arial" w:eastAsia="Calibri" w:hAnsi="Arial" w:cs="Arial"/>
          <w:sz w:val="20"/>
          <w:szCs w:val="20"/>
          <w:lang w:val="es-ES"/>
        </w:rPr>
        <w:t xml:space="preserve">statal. Como consecuencia, en aplicación del principio de interpretación según el cual donde la norma no distingue no le es dado distinguir al intérprete, la obligación de publicar en el SECOP los documentos del </w:t>
      </w:r>
      <w:r w:rsidR="009D4A8B">
        <w:rPr>
          <w:rFonts w:ascii="Arial" w:eastAsia="Calibri" w:hAnsi="Arial" w:cs="Arial"/>
          <w:sz w:val="20"/>
          <w:szCs w:val="20"/>
          <w:lang w:val="es-ES"/>
        </w:rPr>
        <w:t>p</w:t>
      </w:r>
      <w:r w:rsidRPr="00801E19">
        <w:rPr>
          <w:rFonts w:ascii="Arial" w:eastAsia="Calibri" w:hAnsi="Arial" w:cs="Arial"/>
          <w:sz w:val="20"/>
          <w:szCs w:val="20"/>
          <w:lang w:val="es-ES"/>
        </w:rPr>
        <w:t xml:space="preserve">roceso de </w:t>
      </w:r>
      <w:r w:rsidR="009D4A8B">
        <w:rPr>
          <w:rFonts w:ascii="Arial" w:eastAsia="Calibri" w:hAnsi="Arial" w:cs="Arial"/>
          <w:sz w:val="20"/>
          <w:szCs w:val="20"/>
          <w:lang w:val="es-ES"/>
        </w:rPr>
        <w:t>c</w:t>
      </w:r>
      <w:r w:rsidRPr="00801E19">
        <w:rPr>
          <w:rFonts w:ascii="Arial" w:eastAsia="Calibri" w:hAnsi="Arial" w:cs="Arial"/>
          <w:sz w:val="20"/>
          <w:szCs w:val="20"/>
          <w:lang w:val="es-ES"/>
        </w:rPr>
        <w:t xml:space="preserve">ontratación dentro de los 3 días siguientes a su expedición existe independientemente de la modalidad que precedió la escogencia del contratista o la causal invocada para utilizar dicha modalidad. Así, por ejemplo, en aquellos casos en que se utilice la modalidad de selección de contratación directa con invocación de la causal de urgencia manifiesta, existe también la obligación de publicar todos los Documentos del Proceso dentro de los 3 días siguientes a su expedición.  </w:t>
      </w:r>
    </w:p>
    <w:p w14:paraId="72064F7A" w14:textId="151277A0" w:rsidR="00801E19" w:rsidRDefault="00801E19" w:rsidP="00BA0125">
      <w:pPr>
        <w:spacing w:before="0" w:after="0" w:line="240" w:lineRule="auto"/>
        <w:rPr>
          <w:rFonts w:ascii="Arial" w:hAnsi="Arial" w:cs="Arial"/>
          <w:b/>
          <w:bCs/>
          <w:color w:val="000000" w:themeColor="text1"/>
          <w:sz w:val="22"/>
          <w:lang w:val="es-CO"/>
        </w:rPr>
      </w:pPr>
    </w:p>
    <w:p w14:paraId="2436E981" w14:textId="66909383" w:rsidR="00801E19" w:rsidRPr="00801E19" w:rsidRDefault="00801E19" w:rsidP="002C4497">
      <w:pPr>
        <w:spacing w:before="0" w:after="0" w:line="240" w:lineRule="auto"/>
        <w:rPr>
          <w:rFonts w:ascii="Arial" w:eastAsia="Calibri" w:hAnsi="Arial" w:cs="Arial"/>
          <w:b/>
          <w:bCs/>
          <w:sz w:val="22"/>
          <w:szCs w:val="22"/>
          <w:lang w:val="es-MX" w:eastAsia="en-US"/>
        </w:rPr>
      </w:pPr>
      <w:r w:rsidRPr="1D70CBFE">
        <w:rPr>
          <w:rFonts w:ascii="Arial" w:eastAsia="Calibri" w:hAnsi="Arial" w:cs="Arial"/>
          <w:b/>
          <w:bCs/>
          <w:sz w:val="22"/>
          <w:szCs w:val="22"/>
          <w:lang w:val="es-MX" w:eastAsia="en-US"/>
        </w:rPr>
        <w:t xml:space="preserve">PROCEDIMIENTO CONTRACTUAL – </w:t>
      </w:r>
      <w:proofErr w:type="spellStart"/>
      <w:r w:rsidRPr="1D70CBFE">
        <w:rPr>
          <w:rFonts w:ascii="Arial" w:eastAsia="Calibri" w:hAnsi="Arial" w:cs="Arial"/>
          <w:b/>
          <w:bCs/>
          <w:sz w:val="22"/>
          <w:szCs w:val="22"/>
          <w:lang w:val="es-MX" w:eastAsia="en-US"/>
        </w:rPr>
        <w:t>S</w:t>
      </w:r>
      <w:r w:rsidR="3CBC95C2" w:rsidRPr="1D70CBFE">
        <w:rPr>
          <w:rFonts w:ascii="Arial" w:eastAsia="Calibri" w:hAnsi="Arial" w:cs="Arial"/>
          <w:b/>
          <w:bCs/>
          <w:sz w:val="22"/>
          <w:szCs w:val="22"/>
          <w:lang w:val="es-MX" w:eastAsia="en-US"/>
        </w:rPr>
        <w:t>ecop</w:t>
      </w:r>
      <w:proofErr w:type="spellEnd"/>
    </w:p>
    <w:p w14:paraId="69A8D0A1" w14:textId="77777777" w:rsidR="00801E19" w:rsidRPr="00801E19" w:rsidRDefault="00801E19">
      <w:pPr>
        <w:spacing w:before="0" w:after="0" w:line="240" w:lineRule="auto"/>
        <w:rPr>
          <w:rFonts w:ascii="Arial" w:eastAsia="Calibri" w:hAnsi="Arial" w:cs="Arial"/>
          <w:sz w:val="20"/>
          <w:szCs w:val="20"/>
          <w:lang w:val="es-MX" w:eastAsia="en-US"/>
        </w:rPr>
      </w:pPr>
    </w:p>
    <w:p w14:paraId="67E7D658" w14:textId="2D516798" w:rsidR="00801E19" w:rsidRPr="00801E19" w:rsidRDefault="00801E19" w:rsidP="00BB4023">
      <w:pPr>
        <w:spacing w:before="0" w:line="240" w:lineRule="auto"/>
        <w:rPr>
          <w:rFonts w:ascii="Arial" w:eastAsia="Calibri" w:hAnsi="Arial" w:cs="Arial"/>
          <w:sz w:val="20"/>
          <w:szCs w:val="20"/>
          <w:lang w:val="es-MX" w:eastAsia="en-US"/>
        </w:rPr>
      </w:pPr>
      <w:r w:rsidRPr="00801E19">
        <w:rPr>
          <w:rFonts w:ascii="Arial" w:eastAsia="Calibri" w:hAnsi="Arial" w:cs="Arial"/>
          <w:sz w:val="20"/>
          <w:szCs w:val="20"/>
          <w:lang w:val="es-MX" w:eastAsia="en-US"/>
        </w:rPr>
        <w:t>La Agencia Nacional de Contratación Pública – Colombia Compra Eficiente tiene como función administrar el SECOP, por lo cual desarrolló la primera versión de la plataforma, denominada SECOP I, que funciona como medio de publicidad y no transaccional, lo que significa que, en la práctica, el procedimiento contractual ocurre fuera de la plataforma y que la entidad lleva un expediente físico del mismo, cuyos documentos se escanean para cargarlos en la plataforma por quien tenga la función dentro de la entidad, de acuerdo con su organización interna.</w:t>
      </w:r>
    </w:p>
    <w:p w14:paraId="0083E7DB" w14:textId="47A336FD" w:rsidR="00801E19" w:rsidRPr="00801E19" w:rsidRDefault="00801E19" w:rsidP="00BB4023">
      <w:pPr>
        <w:spacing w:before="0" w:after="0" w:line="240" w:lineRule="auto"/>
        <w:rPr>
          <w:rFonts w:ascii="Arial" w:hAnsi="Arial" w:cs="Arial"/>
          <w:b/>
          <w:bCs/>
          <w:color w:val="000000" w:themeColor="text1"/>
          <w:sz w:val="22"/>
          <w:lang w:val="es-MX"/>
        </w:rPr>
      </w:pPr>
      <w:r w:rsidRPr="00801E19">
        <w:rPr>
          <w:rFonts w:ascii="Arial" w:eastAsia="Calibri" w:hAnsi="Arial" w:cs="Arial"/>
          <w:sz w:val="20"/>
          <w:szCs w:val="20"/>
          <w:lang w:val="es-MX" w:eastAsia="en-US"/>
        </w:rPr>
        <w:t xml:space="preserve">El SECOP II es la segunda versión de la plataforma y se caracteriza por ser transaccional, esto es, permite la gestión en línea de los procedimientos de contratación, con cuentas y usuarios asociados a </w:t>
      </w:r>
      <w:r w:rsidR="00D3787E">
        <w:rPr>
          <w:rFonts w:ascii="Arial" w:eastAsia="Calibri" w:hAnsi="Arial" w:cs="Arial"/>
          <w:sz w:val="20"/>
          <w:szCs w:val="20"/>
          <w:lang w:val="es-MX" w:eastAsia="en-US"/>
        </w:rPr>
        <w:t>e</w:t>
      </w:r>
      <w:r w:rsidRPr="00801E19">
        <w:rPr>
          <w:rFonts w:ascii="Arial" w:eastAsia="Calibri" w:hAnsi="Arial" w:cs="Arial"/>
          <w:sz w:val="20"/>
          <w:szCs w:val="20"/>
          <w:lang w:val="es-MX" w:eastAsia="en-US"/>
        </w:rPr>
        <w:t>stas, para las entidades y los proveedores, así como el acceso de consulta para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235614D3" w14:textId="45EAD5C3" w:rsidR="003270C7" w:rsidRDefault="003270C7" w:rsidP="00BB4023">
      <w:pPr>
        <w:spacing w:before="0" w:after="0" w:line="240" w:lineRule="auto"/>
        <w:rPr>
          <w:rFonts w:ascii="Arial" w:hAnsi="Arial" w:cs="Arial"/>
          <w:color w:val="000000" w:themeColor="text1"/>
          <w:sz w:val="22"/>
          <w:lang w:val="es-ES"/>
        </w:rPr>
      </w:pPr>
    </w:p>
    <w:p w14:paraId="337F835F" w14:textId="11BF8D4B" w:rsidR="00801E19" w:rsidRPr="00801E19" w:rsidRDefault="00801E19" w:rsidP="00BB4023">
      <w:pPr>
        <w:spacing w:before="0" w:after="0" w:line="240" w:lineRule="auto"/>
        <w:rPr>
          <w:rFonts w:ascii="Arial" w:eastAsia="Arial" w:hAnsi="Arial" w:cs="Arial"/>
          <w:b/>
          <w:bCs/>
          <w:sz w:val="22"/>
          <w:szCs w:val="22"/>
          <w:lang w:val="es-MX"/>
        </w:rPr>
      </w:pPr>
      <w:r w:rsidRPr="1D70CBFE">
        <w:rPr>
          <w:rFonts w:ascii="Arial" w:eastAsia="Calibri" w:hAnsi="Arial" w:cs="Arial"/>
          <w:b/>
          <w:bCs/>
          <w:sz w:val="22"/>
          <w:szCs w:val="22"/>
          <w:lang w:val="es-MX" w:eastAsia="en-US"/>
        </w:rPr>
        <w:t xml:space="preserve">SECOP – </w:t>
      </w:r>
      <w:r w:rsidR="3708199E" w:rsidRPr="1D70CBFE">
        <w:rPr>
          <w:rFonts w:ascii="Arial" w:eastAsia="Calibri" w:hAnsi="Arial" w:cs="Arial"/>
          <w:b/>
          <w:bCs/>
          <w:sz w:val="22"/>
          <w:szCs w:val="22"/>
          <w:lang w:val="es-MX" w:eastAsia="en-US"/>
        </w:rPr>
        <w:t xml:space="preserve">Información </w:t>
      </w:r>
      <w:r w:rsidR="3708199E" w:rsidRPr="1D70CBFE">
        <w:rPr>
          <w:rFonts w:ascii="Arial" w:eastAsia="Arial" w:hAnsi="Arial" w:cs="Arial"/>
          <w:b/>
          <w:bCs/>
          <w:sz w:val="22"/>
          <w:szCs w:val="22"/>
          <w:lang w:val="es-MX"/>
        </w:rPr>
        <w:t>–</w:t>
      </w:r>
      <w:r w:rsidR="3708199E" w:rsidRPr="1D70CBFE">
        <w:rPr>
          <w:rFonts w:ascii="Arial" w:eastAsia="Calibri" w:hAnsi="Arial" w:cs="Arial"/>
          <w:b/>
          <w:bCs/>
          <w:sz w:val="22"/>
          <w:szCs w:val="22"/>
          <w:lang w:val="es-MX" w:eastAsia="en-US"/>
        </w:rPr>
        <w:t xml:space="preserve"> Duplicidad </w:t>
      </w:r>
      <w:r w:rsidR="3708199E" w:rsidRPr="1D70CBFE">
        <w:rPr>
          <w:rFonts w:ascii="Arial" w:eastAsia="Arial" w:hAnsi="Arial" w:cs="Arial"/>
          <w:b/>
          <w:bCs/>
          <w:sz w:val="22"/>
          <w:szCs w:val="22"/>
          <w:lang w:val="es-MX"/>
        </w:rPr>
        <w:t>–</w:t>
      </w:r>
      <w:r w:rsidR="3708199E" w:rsidRPr="1D70CBFE">
        <w:rPr>
          <w:rFonts w:ascii="Arial" w:eastAsia="Calibri" w:hAnsi="Arial" w:cs="Arial"/>
          <w:b/>
          <w:bCs/>
          <w:sz w:val="22"/>
          <w:szCs w:val="22"/>
          <w:lang w:val="es-MX" w:eastAsia="en-US"/>
        </w:rPr>
        <w:t xml:space="preserve"> </w:t>
      </w:r>
      <w:r w:rsidRPr="1D70CBFE">
        <w:rPr>
          <w:rFonts w:ascii="Arial" w:eastAsia="Calibri" w:hAnsi="Arial" w:cs="Arial"/>
          <w:b/>
          <w:bCs/>
          <w:sz w:val="22"/>
          <w:szCs w:val="22"/>
          <w:lang w:val="es-MX" w:eastAsia="en-US"/>
        </w:rPr>
        <w:t>Prohibición</w:t>
      </w:r>
    </w:p>
    <w:p w14:paraId="22A49CAF" w14:textId="75802DB5" w:rsidR="1D70CBFE" w:rsidRDefault="1D70CBFE" w:rsidP="00BB4023">
      <w:pPr>
        <w:spacing w:before="0" w:after="0" w:line="240" w:lineRule="auto"/>
        <w:rPr>
          <w:rFonts w:ascii="Arial" w:eastAsia="Calibri" w:hAnsi="Arial" w:cs="Arial"/>
          <w:b/>
          <w:bCs/>
          <w:sz w:val="22"/>
          <w:szCs w:val="22"/>
          <w:lang w:val="es-MX" w:eastAsia="en-US"/>
        </w:rPr>
      </w:pPr>
    </w:p>
    <w:p w14:paraId="01D41B70" w14:textId="2A18A91D" w:rsidR="00801E19" w:rsidRDefault="00801E19" w:rsidP="00BB4023">
      <w:pPr>
        <w:spacing w:before="0" w:line="240" w:lineRule="auto"/>
        <w:rPr>
          <w:rFonts w:ascii="Arial" w:eastAsia="Calibri" w:hAnsi="Arial" w:cs="Arial"/>
          <w:sz w:val="20"/>
          <w:szCs w:val="20"/>
          <w:lang w:val="es-MX" w:eastAsia="en-US"/>
        </w:rPr>
      </w:pPr>
      <w:r w:rsidRPr="00801E19">
        <w:rPr>
          <w:rFonts w:ascii="Arial" w:eastAsia="Calibri" w:hAnsi="Arial" w:cs="Arial"/>
          <w:sz w:val="20"/>
          <w:szCs w:val="20"/>
          <w:lang w:val="es-MX" w:eastAsia="en-US"/>
        </w:rPr>
        <w:t xml:space="preserve">Es necesario aclarar que, dado que el procedimiento contractual se desarrolla en línea y dentro de la plataforma, paulatinamente se va conformando un expediente electrónico, lo cual implica una </w:t>
      </w:r>
      <w:r w:rsidRPr="00801E19">
        <w:rPr>
          <w:rFonts w:ascii="Arial" w:eastAsia="Calibri" w:hAnsi="Arial" w:cs="Arial"/>
          <w:sz w:val="20"/>
          <w:szCs w:val="20"/>
          <w:lang w:val="es-MX" w:eastAsia="en-US"/>
        </w:rPr>
        <w:lastRenderedPageBreak/>
        <w:t xml:space="preserve">diferencia con el SECOP I, donde el procedimiento es físico, esto es, con documentos escritos que se publican posteriormente. Al existir esa diferencia entre las dos versiones del SECOP, por regla general, no es posible cargar en </w:t>
      </w:r>
      <w:r w:rsidR="0074423E">
        <w:rPr>
          <w:rFonts w:ascii="Arial" w:eastAsia="Calibri" w:hAnsi="Arial" w:cs="Arial"/>
          <w:sz w:val="20"/>
          <w:szCs w:val="20"/>
          <w:lang w:val="es-MX" w:eastAsia="en-US"/>
        </w:rPr>
        <w:t xml:space="preserve">el </w:t>
      </w:r>
      <w:r w:rsidRPr="00801E19">
        <w:rPr>
          <w:rFonts w:ascii="Arial" w:eastAsia="Calibri" w:hAnsi="Arial" w:cs="Arial"/>
          <w:sz w:val="20"/>
          <w:szCs w:val="20"/>
          <w:lang w:val="es-MX" w:eastAsia="en-US"/>
        </w:rPr>
        <w:t xml:space="preserve">SECOP II actuaciones por escrito realizadas por la entidad, como ocurre en el SECOP I, sino que los documentos y actuaciones son electrónicos. </w:t>
      </w:r>
    </w:p>
    <w:p w14:paraId="451F0B81" w14:textId="4DA659E9" w:rsidR="00801E19" w:rsidRPr="00801E19" w:rsidRDefault="00801E19" w:rsidP="00BB4023">
      <w:pPr>
        <w:spacing w:before="0" w:line="240" w:lineRule="auto"/>
        <w:rPr>
          <w:rFonts w:ascii="Arial" w:eastAsia="Calibri" w:hAnsi="Arial" w:cs="Arial"/>
          <w:sz w:val="20"/>
          <w:szCs w:val="20"/>
          <w:lang w:val="es-MX" w:eastAsia="en-US"/>
        </w:rPr>
      </w:pPr>
      <w:r w:rsidRPr="00801E19">
        <w:rPr>
          <w:rFonts w:ascii="Arial" w:eastAsia="Calibri" w:hAnsi="Arial" w:cs="Arial"/>
          <w:sz w:val="20"/>
          <w:szCs w:val="20"/>
          <w:lang w:val="es-MX" w:eastAsia="en-US"/>
        </w:rPr>
        <w:t>[…]</w:t>
      </w:r>
    </w:p>
    <w:p w14:paraId="530936FE" w14:textId="6B040DD6" w:rsidR="00801E19" w:rsidRPr="00801E19" w:rsidRDefault="00801E19" w:rsidP="00BB4023">
      <w:pPr>
        <w:spacing w:before="0" w:after="0" w:line="240" w:lineRule="auto"/>
        <w:rPr>
          <w:rFonts w:ascii="Arial" w:eastAsia="Calibri" w:hAnsi="Arial" w:cs="Arial"/>
          <w:sz w:val="20"/>
          <w:szCs w:val="20"/>
          <w:lang w:val="es-ES" w:eastAsia="en-US"/>
        </w:rPr>
      </w:pPr>
      <w:r w:rsidRPr="00801E19">
        <w:rPr>
          <w:rFonts w:ascii="Arial" w:eastAsia="Calibri" w:hAnsi="Arial" w:cs="Arial"/>
          <w:sz w:val="20"/>
          <w:szCs w:val="20"/>
          <w:lang w:val="es-ES" w:eastAsia="en-US"/>
        </w:rPr>
        <w:t xml:space="preserve">No obstante, eventualmente puede ocurrir que al SECOP II se deban cargar documentos </w:t>
      </w:r>
      <w:r w:rsidR="004735AD">
        <w:rPr>
          <w:rFonts w:ascii="Arial" w:eastAsia="Calibri" w:hAnsi="Arial" w:cs="Arial"/>
          <w:sz w:val="20"/>
          <w:szCs w:val="20"/>
          <w:lang w:val="es-ES" w:eastAsia="en-US"/>
        </w:rPr>
        <w:t>físicos elaborados</w:t>
      </w:r>
      <w:r w:rsidRPr="00801E19">
        <w:rPr>
          <w:rFonts w:ascii="Arial" w:eastAsia="Calibri" w:hAnsi="Arial" w:cs="Arial"/>
          <w:sz w:val="20"/>
          <w:szCs w:val="20"/>
          <w:lang w:val="es-ES" w:eastAsia="en-US"/>
        </w:rPr>
        <w:t xml:space="preserve"> por las partes, previamente digitalizados. Esto ocurre, por ejemplo, con los estudios previos, el informe de evaluación, la resolución de adjudicación o con el clausulado del contrato, entre otras actuaciones en las que los usuarios quedan habilitados para cargar documentos en la plataforma. Se trata de algo excepcional, pues, se insiste, el SECOP II es una plataforma esencialmente transaccional, distinta de</w:t>
      </w:r>
      <w:r w:rsidR="004735AD">
        <w:rPr>
          <w:rFonts w:ascii="Arial" w:eastAsia="Calibri" w:hAnsi="Arial" w:cs="Arial"/>
          <w:sz w:val="20"/>
          <w:szCs w:val="20"/>
          <w:lang w:val="es-ES" w:eastAsia="en-US"/>
        </w:rPr>
        <w:t xml:space="preserve">l </w:t>
      </w:r>
      <w:r w:rsidRPr="00801E19">
        <w:rPr>
          <w:rFonts w:ascii="Arial" w:eastAsia="Calibri" w:hAnsi="Arial" w:cs="Arial"/>
          <w:sz w:val="20"/>
          <w:szCs w:val="20"/>
          <w:lang w:val="es-ES" w:eastAsia="en-US"/>
        </w:rPr>
        <w:t>SECOP I que es una herramienta eminentemente publicitaria.</w:t>
      </w:r>
    </w:p>
    <w:p w14:paraId="5D17697D" w14:textId="633C8150" w:rsidR="00801E19" w:rsidRPr="00BB4023" w:rsidRDefault="00801E19" w:rsidP="00BB4023">
      <w:pPr>
        <w:spacing w:before="0" w:after="0" w:line="240" w:lineRule="auto"/>
        <w:rPr>
          <w:rFonts w:ascii="Arial" w:hAnsi="Arial" w:cs="Arial"/>
          <w:color w:val="000000" w:themeColor="text1"/>
          <w:sz w:val="20"/>
          <w:szCs w:val="20"/>
          <w:lang w:val="es-ES"/>
        </w:rPr>
      </w:pPr>
    </w:p>
    <w:p w14:paraId="2339D206" w14:textId="77777777" w:rsidR="00770E1A" w:rsidRPr="00BB4023" w:rsidRDefault="00770E1A" w:rsidP="00BB4023">
      <w:pPr>
        <w:spacing w:before="0" w:after="0" w:line="240" w:lineRule="auto"/>
        <w:rPr>
          <w:rFonts w:ascii="Arial" w:hAnsi="Arial" w:cs="Arial"/>
          <w:color w:val="000000" w:themeColor="text1"/>
          <w:sz w:val="20"/>
          <w:szCs w:val="20"/>
          <w:lang w:val="es-ES"/>
        </w:rPr>
      </w:pPr>
    </w:p>
    <w:p w14:paraId="57EEB2B3" w14:textId="563FA8D3" w:rsidR="001637CE" w:rsidRPr="0060403F" w:rsidRDefault="001637CE" w:rsidP="00BB4023">
      <w:pPr>
        <w:spacing w:before="0" w:after="0"/>
        <w:rPr>
          <w:rFonts w:ascii="Arial" w:eastAsia="Calibri" w:hAnsi="Arial" w:cs="Arial"/>
          <w:color w:val="000000" w:themeColor="text1"/>
          <w:sz w:val="22"/>
          <w:lang w:val="es-ES"/>
        </w:rPr>
      </w:pPr>
      <w:r w:rsidRPr="0060403F">
        <w:rPr>
          <w:rFonts w:ascii="Arial" w:hAnsi="Arial" w:cs="Arial"/>
          <w:color w:val="000000" w:themeColor="text1"/>
          <w:sz w:val="22"/>
          <w:lang w:val="es-ES"/>
        </w:rPr>
        <w:t xml:space="preserve">Bogotá D.C., </w:t>
      </w:r>
      <w:r w:rsidR="00AF7A5E">
        <w:rPr>
          <w:rFonts w:ascii="Arial" w:hAnsi="Arial" w:cs="Arial"/>
          <w:b/>
          <w:color w:val="000000" w:themeColor="text1"/>
          <w:sz w:val="22"/>
          <w:lang w:val="es-ES"/>
        </w:rPr>
        <w:t>26/06/2020 Hora 13:5:5s</w:t>
      </w:r>
    </w:p>
    <w:p w14:paraId="7B4A56B7" w14:textId="323359C0" w:rsidR="001637CE" w:rsidRPr="0060403F" w:rsidRDefault="001637CE" w:rsidP="001637CE">
      <w:pPr>
        <w:jc w:val="right"/>
        <w:rPr>
          <w:rFonts w:ascii="Arial" w:hAnsi="Arial" w:cs="Arial"/>
          <w:b/>
          <w:color w:val="000000" w:themeColor="text1"/>
          <w:sz w:val="22"/>
          <w:lang w:val="es-ES"/>
        </w:rPr>
      </w:pPr>
      <w:proofErr w:type="spellStart"/>
      <w:r w:rsidRPr="0060403F">
        <w:rPr>
          <w:rFonts w:ascii="Arial" w:hAnsi="Arial" w:cs="Arial"/>
          <w:b/>
          <w:color w:val="000000" w:themeColor="text1"/>
          <w:sz w:val="22"/>
          <w:lang w:val="es-ES"/>
        </w:rPr>
        <w:t>N°</w:t>
      </w:r>
      <w:proofErr w:type="spellEnd"/>
      <w:r w:rsidRPr="0060403F">
        <w:rPr>
          <w:rFonts w:ascii="Arial" w:hAnsi="Arial" w:cs="Arial"/>
          <w:b/>
          <w:color w:val="000000" w:themeColor="text1"/>
          <w:sz w:val="22"/>
          <w:lang w:val="es-ES"/>
        </w:rPr>
        <w:t xml:space="preserve"> Radicado: </w:t>
      </w:r>
      <w:r w:rsidR="00AF7A5E">
        <w:rPr>
          <w:rFonts w:ascii="Arial" w:hAnsi="Arial" w:cs="Arial"/>
          <w:b/>
          <w:color w:val="000000" w:themeColor="text1"/>
          <w:sz w:val="22"/>
          <w:szCs w:val="22"/>
          <w:lang w:val="es-ES"/>
        </w:rPr>
        <w:t>2202013000005478</w:t>
      </w:r>
    </w:p>
    <w:p w14:paraId="4E69D366" w14:textId="2C84C276" w:rsidR="001637CE" w:rsidRPr="0060403F" w:rsidRDefault="001637CE" w:rsidP="001637CE">
      <w:pPr>
        <w:spacing w:before="0" w:after="0" w:line="240" w:lineRule="auto"/>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t>Señor</w:t>
      </w:r>
      <w:r w:rsidR="002E31AF">
        <w:rPr>
          <w:rFonts w:ascii="Arial" w:eastAsia="Calibri" w:hAnsi="Arial" w:cs="Arial"/>
          <w:color w:val="000000" w:themeColor="text1"/>
          <w:sz w:val="22"/>
          <w:lang w:val="es-ES"/>
        </w:rPr>
        <w:t>a</w:t>
      </w:r>
    </w:p>
    <w:p w14:paraId="3E2D024A" w14:textId="77777777" w:rsidR="00A04EC3" w:rsidRDefault="00A04EC3" w:rsidP="001637CE">
      <w:pPr>
        <w:spacing w:before="0" w:after="0" w:line="240" w:lineRule="auto"/>
        <w:rPr>
          <w:rFonts w:ascii="Arial" w:eastAsia="Calibri" w:hAnsi="Arial" w:cs="Arial"/>
          <w:b/>
          <w:color w:val="000000" w:themeColor="text1"/>
          <w:sz w:val="22"/>
          <w:lang w:val="es-ES"/>
        </w:rPr>
      </w:pPr>
      <w:r w:rsidRPr="00A04EC3">
        <w:rPr>
          <w:rFonts w:ascii="Arial" w:eastAsia="Calibri" w:hAnsi="Arial" w:cs="Arial"/>
          <w:b/>
          <w:color w:val="000000" w:themeColor="text1"/>
          <w:sz w:val="22"/>
          <w:lang w:val="es-ES"/>
        </w:rPr>
        <w:t>ESTEFANIA YEPES</w:t>
      </w:r>
    </w:p>
    <w:p w14:paraId="3E79BD13" w14:textId="63C95775" w:rsidR="001637CE" w:rsidRPr="0060403F" w:rsidRDefault="001637CE" w:rsidP="001637CE">
      <w:pPr>
        <w:spacing w:before="0" w:after="0" w:line="240" w:lineRule="auto"/>
        <w:rPr>
          <w:rFonts w:ascii="Arial" w:eastAsia="Calibri" w:hAnsi="Arial" w:cs="Arial"/>
          <w:b/>
          <w:color w:val="000000" w:themeColor="text1"/>
          <w:sz w:val="22"/>
          <w:lang w:val="es-ES"/>
        </w:rPr>
      </w:pPr>
      <w:r w:rsidRPr="0060403F">
        <w:rPr>
          <w:rFonts w:ascii="Arial" w:eastAsia="Calibri" w:hAnsi="Arial" w:cs="Arial"/>
          <w:color w:val="000000" w:themeColor="text1"/>
          <w:sz w:val="22"/>
          <w:lang w:val="es-ES"/>
        </w:rPr>
        <w:t>Ciudad</w:t>
      </w:r>
    </w:p>
    <w:p w14:paraId="3322B3D2" w14:textId="584DCD12" w:rsidR="001637CE" w:rsidRDefault="001637CE" w:rsidP="001637CE">
      <w:pPr>
        <w:jc w:val="center"/>
        <w:rPr>
          <w:rFonts w:ascii="Arial" w:eastAsia="Calibri" w:hAnsi="Arial" w:cs="Arial"/>
          <w:b/>
          <w:color w:val="000000" w:themeColor="text1"/>
          <w:sz w:val="22"/>
          <w:lang w:val="es-ES"/>
        </w:rPr>
      </w:pPr>
      <w:r w:rsidRPr="0060403F">
        <w:rPr>
          <w:rFonts w:ascii="Arial" w:eastAsia="Calibri" w:hAnsi="Arial" w:cs="Arial"/>
          <w:b/>
          <w:color w:val="000000" w:themeColor="text1"/>
          <w:sz w:val="22"/>
          <w:lang w:val="es-ES"/>
        </w:rPr>
        <w:t>Concepto C−</w:t>
      </w:r>
      <w:r w:rsidR="002E31AF">
        <w:rPr>
          <w:rFonts w:ascii="Arial" w:eastAsia="Calibri" w:hAnsi="Arial" w:cs="Arial"/>
          <w:b/>
          <w:color w:val="000000" w:themeColor="text1"/>
          <w:sz w:val="22"/>
          <w:lang w:val="es-ES"/>
        </w:rPr>
        <w:t>408</w:t>
      </w:r>
      <w:r w:rsidRPr="0060403F">
        <w:rPr>
          <w:rFonts w:ascii="Arial" w:eastAsia="Calibri" w:hAnsi="Arial" w:cs="Arial"/>
          <w:b/>
          <w:color w:val="000000" w:themeColor="text1"/>
          <w:sz w:val="22"/>
          <w:lang w:val="es-ES"/>
        </w:rPr>
        <w:t xml:space="preserve">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637CE" w:rsidRPr="00CE1DCA" w14:paraId="410EA0CD" w14:textId="77777777" w:rsidTr="00274811">
        <w:tc>
          <w:tcPr>
            <w:tcW w:w="2689" w:type="dxa"/>
            <w:hideMark/>
          </w:tcPr>
          <w:p w14:paraId="55594D23" w14:textId="77777777" w:rsidR="001637CE" w:rsidRPr="0060403F" w:rsidRDefault="001637CE" w:rsidP="00274811">
            <w:pPr>
              <w:rPr>
                <w:rFonts w:ascii="Arial" w:eastAsia="Calibri" w:hAnsi="Arial" w:cs="Arial"/>
                <w:color w:val="000000" w:themeColor="text1"/>
                <w:lang w:val="es-ES"/>
              </w:rPr>
            </w:pPr>
            <w:r w:rsidRPr="0060403F">
              <w:rPr>
                <w:rFonts w:ascii="Arial" w:eastAsia="Calibri" w:hAnsi="Arial" w:cs="Arial"/>
                <w:b/>
                <w:color w:val="000000" w:themeColor="text1"/>
                <w:lang w:val="es-ES"/>
              </w:rPr>
              <w:t>Temas:</w:t>
            </w:r>
            <w:r w:rsidRPr="0060403F">
              <w:rPr>
                <w:rFonts w:ascii="Arial" w:eastAsia="Calibri" w:hAnsi="Arial" w:cs="Arial"/>
                <w:color w:val="000000" w:themeColor="text1"/>
                <w:lang w:val="es-ES"/>
              </w:rPr>
              <w:t xml:space="preserve">           </w:t>
            </w:r>
          </w:p>
          <w:p w14:paraId="5DF12D5A" w14:textId="77777777" w:rsidR="001637CE" w:rsidRPr="0060403F" w:rsidRDefault="001637CE" w:rsidP="00274811">
            <w:pPr>
              <w:rPr>
                <w:rFonts w:ascii="Arial" w:eastAsia="Calibri" w:hAnsi="Arial" w:cs="Arial"/>
                <w:color w:val="000000" w:themeColor="text1"/>
                <w:lang w:val="es-ES"/>
              </w:rPr>
            </w:pPr>
            <w:r w:rsidRPr="0060403F">
              <w:rPr>
                <w:rFonts w:ascii="Arial" w:eastAsia="Calibri" w:hAnsi="Arial" w:cs="Arial"/>
                <w:color w:val="000000" w:themeColor="text1"/>
                <w:lang w:val="es-ES"/>
              </w:rPr>
              <w:t xml:space="preserve">                           </w:t>
            </w:r>
          </w:p>
        </w:tc>
        <w:tc>
          <w:tcPr>
            <w:tcW w:w="6237" w:type="dxa"/>
            <w:hideMark/>
          </w:tcPr>
          <w:p w14:paraId="0865B648" w14:textId="6CD7236F" w:rsidR="001637CE" w:rsidRPr="00BA0125" w:rsidRDefault="00BA0125" w:rsidP="00274811">
            <w:pPr>
              <w:spacing w:before="0"/>
              <w:rPr>
                <w:rFonts w:ascii="Arial" w:eastAsia="Calibri" w:hAnsi="Arial" w:cs="Arial"/>
                <w:color w:val="000000" w:themeColor="text1"/>
                <w:lang w:val="es-MX" w:eastAsia="en-US"/>
              </w:rPr>
            </w:pPr>
            <w:r w:rsidRPr="00BA0125">
              <w:rPr>
                <w:rFonts w:ascii="Arial" w:eastAsia="Calibri" w:hAnsi="Arial" w:cs="Arial"/>
                <w:color w:val="000000" w:themeColor="text1"/>
                <w:lang w:val="es-ES" w:eastAsia="en-US"/>
              </w:rPr>
              <w:t>PRINCIPIO DE PUBLICIDAD – Noción – Acceso a la información pública</w:t>
            </w:r>
            <w:r>
              <w:rPr>
                <w:rFonts w:ascii="Arial" w:eastAsia="Calibri" w:hAnsi="Arial" w:cs="Arial"/>
                <w:color w:val="000000" w:themeColor="text1"/>
                <w:lang w:val="es-ES" w:eastAsia="en-US"/>
              </w:rPr>
              <w:t xml:space="preserve"> / </w:t>
            </w:r>
            <w:r w:rsidRPr="00BA0125">
              <w:rPr>
                <w:rFonts w:ascii="Arial" w:eastAsia="Calibri" w:hAnsi="Arial" w:cs="Arial"/>
                <w:color w:val="000000" w:themeColor="text1"/>
                <w:lang w:val="es-ES" w:eastAsia="en-US"/>
              </w:rPr>
              <w:t>SECOP – Publicación – Documentos</w:t>
            </w:r>
            <w:r>
              <w:rPr>
                <w:rFonts w:ascii="Arial" w:eastAsia="Calibri" w:hAnsi="Arial" w:cs="Arial"/>
                <w:color w:val="000000" w:themeColor="text1"/>
                <w:lang w:val="es-ES" w:eastAsia="en-US"/>
              </w:rPr>
              <w:t xml:space="preserve"> / </w:t>
            </w:r>
            <w:r w:rsidRPr="00BA0125">
              <w:rPr>
                <w:rFonts w:ascii="Arial" w:eastAsia="Calibri" w:hAnsi="Arial" w:cs="Arial"/>
                <w:color w:val="000000" w:themeColor="text1"/>
                <w:lang w:val="es-ES" w:eastAsia="en-US"/>
              </w:rPr>
              <w:t>SECOP – Publicación – Urgencia Manifiesta – Términos</w:t>
            </w:r>
            <w:r>
              <w:rPr>
                <w:rFonts w:ascii="Arial" w:eastAsia="Calibri" w:hAnsi="Arial" w:cs="Arial"/>
                <w:color w:val="000000" w:themeColor="text1"/>
                <w:lang w:val="es-ES" w:eastAsia="en-US"/>
              </w:rPr>
              <w:t xml:space="preserve"> / </w:t>
            </w:r>
            <w:r w:rsidRPr="00BA0125">
              <w:rPr>
                <w:rFonts w:ascii="Arial" w:eastAsia="Calibri" w:hAnsi="Arial" w:cs="Arial"/>
                <w:color w:val="000000" w:themeColor="text1"/>
                <w:lang w:val="es-ES" w:eastAsia="en-US"/>
              </w:rPr>
              <w:t>PROCEDIMIENTO CONTRACTUAL – SECOP</w:t>
            </w:r>
            <w:r>
              <w:rPr>
                <w:rFonts w:ascii="Arial" w:eastAsia="Calibri" w:hAnsi="Arial" w:cs="Arial"/>
                <w:color w:val="000000" w:themeColor="text1"/>
                <w:lang w:val="es-ES" w:eastAsia="en-US"/>
              </w:rPr>
              <w:t xml:space="preserve"> / </w:t>
            </w:r>
            <w:r w:rsidRPr="00BA0125">
              <w:rPr>
                <w:rFonts w:ascii="Arial" w:eastAsia="Calibri" w:hAnsi="Arial" w:cs="Arial"/>
                <w:color w:val="000000" w:themeColor="text1"/>
                <w:lang w:val="es-ES" w:eastAsia="en-US"/>
              </w:rPr>
              <w:t>SECOP – Prohibición de duplicar información</w:t>
            </w:r>
          </w:p>
        </w:tc>
      </w:tr>
      <w:tr w:rsidR="001637CE" w:rsidRPr="0060403F" w14:paraId="472473C1" w14:textId="77777777" w:rsidTr="00274811">
        <w:trPr>
          <w:trHeight w:val="303"/>
        </w:trPr>
        <w:tc>
          <w:tcPr>
            <w:tcW w:w="2689" w:type="dxa"/>
          </w:tcPr>
          <w:p w14:paraId="693BBE99" w14:textId="77777777" w:rsidR="001637CE" w:rsidRPr="0060403F" w:rsidRDefault="001637CE" w:rsidP="00274811">
            <w:pPr>
              <w:spacing w:before="60" w:after="60"/>
              <w:rPr>
                <w:rFonts w:ascii="Arial" w:eastAsia="Calibri" w:hAnsi="Arial" w:cs="Arial"/>
                <w:b/>
                <w:color w:val="000000" w:themeColor="text1"/>
                <w:lang w:val="es-ES"/>
              </w:rPr>
            </w:pPr>
            <w:r w:rsidRPr="0060403F">
              <w:rPr>
                <w:rFonts w:ascii="Arial" w:eastAsia="Calibri" w:hAnsi="Arial" w:cs="Arial"/>
                <w:b/>
                <w:color w:val="000000" w:themeColor="text1"/>
                <w:lang w:val="es-ES"/>
              </w:rPr>
              <w:t>Radicación:</w:t>
            </w:r>
            <w:r w:rsidRPr="0060403F">
              <w:rPr>
                <w:rFonts w:ascii="Arial" w:eastAsia="Calibri" w:hAnsi="Arial" w:cs="Arial"/>
                <w:color w:val="000000" w:themeColor="text1"/>
                <w:lang w:val="es-ES"/>
              </w:rPr>
              <w:t xml:space="preserve">                              </w:t>
            </w:r>
          </w:p>
        </w:tc>
        <w:tc>
          <w:tcPr>
            <w:tcW w:w="6237" w:type="dxa"/>
          </w:tcPr>
          <w:p w14:paraId="340BE387" w14:textId="12D2FE13" w:rsidR="001637CE" w:rsidRPr="0060403F" w:rsidRDefault="001637CE" w:rsidP="00274811">
            <w:pPr>
              <w:spacing w:before="60" w:after="60"/>
              <w:rPr>
                <w:rFonts w:ascii="Arial" w:eastAsia="Calibri" w:hAnsi="Arial" w:cs="Arial"/>
                <w:color w:val="000000" w:themeColor="text1"/>
                <w:lang w:val="es-ES"/>
              </w:rPr>
            </w:pPr>
            <w:r w:rsidRPr="0060403F">
              <w:rPr>
                <w:rFonts w:ascii="Arial" w:eastAsia="Calibri" w:hAnsi="Arial" w:cs="Arial"/>
                <w:color w:val="000000" w:themeColor="text1"/>
                <w:lang w:val="es-ES"/>
              </w:rPr>
              <w:t>Respuesta a consulta # 4202013000004</w:t>
            </w:r>
            <w:r w:rsidR="00A04EC3">
              <w:rPr>
                <w:rFonts w:ascii="Arial" w:eastAsia="Calibri" w:hAnsi="Arial" w:cs="Arial"/>
                <w:color w:val="000000" w:themeColor="text1"/>
                <w:lang w:val="es-ES"/>
              </w:rPr>
              <w:t>714</w:t>
            </w:r>
          </w:p>
        </w:tc>
      </w:tr>
    </w:tbl>
    <w:p w14:paraId="5C79986A" w14:textId="77777777" w:rsidR="001637CE" w:rsidRPr="0060403F" w:rsidRDefault="001637CE" w:rsidP="001637CE">
      <w:pPr>
        <w:spacing w:line="240" w:lineRule="auto"/>
        <w:rPr>
          <w:rFonts w:ascii="Arial" w:eastAsia="Calibri" w:hAnsi="Arial" w:cs="Arial"/>
          <w:color w:val="000000" w:themeColor="text1"/>
          <w:sz w:val="22"/>
          <w:lang w:val="es-ES"/>
        </w:rPr>
      </w:pPr>
    </w:p>
    <w:p w14:paraId="3FD90A87" w14:textId="49B87C40" w:rsidR="001637CE" w:rsidRPr="0060403F" w:rsidRDefault="001637CE" w:rsidP="001637CE">
      <w:pPr>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t>Estimad</w:t>
      </w:r>
      <w:r w:rsidR="00A04EC3">
        <w:rPr>
          <w:rFonts w:ascii="Arial" w:eastAsia="Calibri" w:hAnsi="Arial" w:cs="Arial"/>
          <w:color w:val="000000" w:themeColor="text1"/>
          <w:sz w:val="22"/>
          <w:lang w:val="es-ES"/>
        </w:rPr>
        <w:t>a</w:t>
      </w:r>
      <w:r w:rsidRPr="0060403F">
        <w:rPr>
          <w:rFonts w:ascii="Arial" w:eastAsia="Calibri" w:hAnsi="Arial" w:cs="Arial"/>
          <w:color w:val="000000" w:themeColor="text1"/>
          <w:sz w:val="22"/>
          <w:lang w:val="es-ES"/>
        </w:rPr>
        <w:t xml:space="preserve"> señor</w:t>
      </w:r>
      <w:r w:rsidR="00A04EC3">
        <w:rPr>
          <w:rFonts w:ascii="Arial" w:eastAsia="Calibri" w:hAnsi="Arial" w:cs="Arial"/>
          <w:color w:val="000000" w:themeColor="text1"/>
          <w:sz w:val="22"/>
          <w:lang w:val="es-ES"/>
        </w:rPr>
        <w:t>a</w:t>
      </w:r>
      <w:r w:rsidRPr="0060403F">
        <w:rPr>
          <w:rFonts w:ascii="Arial" w:eastAsia="Calibri" w:hAnsi="Arial" w:cs="Arial"/>
          <w:color w:val="000000" w:themeColor="text1"/>
          <w:sz w:val="22"/>
          <w:lang w:val="es-ES"/>
        </w:rPr>
        <w:t xml:space="preserve"> </w:t>
      </w:r>
      <w:r w:rsidR="00A04EC3">
        <w:rPr>
          <w:rFonts w:ascii="Arial" w:eastAsia="Calibri" w:hAnsi="Arial" w:cs="Arial"/>
          <w:color w:val="000000" w:themeColor="text1"/>
          <w:sz w:val="22"/>
          <w:lang w:val="es-ES"/>
        </w:rPr>
        <w:t>Yepes</w:t>
      </w:r>
      <w:r w:rsidRPr="0060403F">
        <w:rPr>
          <w:rFonts w:ascii="Arial" w:eastAsia="Calibri" w:hAnsi="Arial" w:cs="Arial"/>
          <w:color w:val="000000" w:themeColor="text1"/>
          <w:sz w:val="22"/>
          <w:lang w:val="es-ES"/>
        </w:rPr>
        <w:t>,</w:t>
      </w:r>
    </w:p>
    <w:p w14:paraId="30638B64" w14:textId="0A6BC435" w:rsidR="001637CE" w:rsidRPr="0060403F" w:rsidRDefault="001637CE" w:rsidP="00BA0125">
      <w:pPr>
        <w:tabs>
          <w:tab w:val="left" w:pos="426"/>
        </w:tabs>
        <w:spacing w:after="0"/>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A7526E">
        <w:rPr>
          <w:rFonts w:ascii="Arial" w:eastAsia="Calibri" w:hAnsi="Arial" w:cs="Arial"/>
          <w:color w:val="000000" w:themeColor="text1"/>
          <w:sz w:val="22"/>
          <w:lang w:val="es-ES"/>
        </w:rPr>
        <w:t>8</w:t>
      </w:r>
      <w:r w:rsidRPr="0060403F">
        <w:rPr>
          <w:rFonts w:ascii="Arial" w:eastAsia="Calibri" w:hAnsi="Arial" w:cs="Arial"/>
          <w:color w:val="000000" w:themeColor="text1"/>
          <w:sz w:val="22"/>
          <w:lang w:val="es-ES"/>
        </w:rPr>
        <w:t xml:space="preserve"> de </w:t>
      </w:r>
      <w:r w:rsidR="00A7526E">
        <w:rPr>
          <w:rFonts w:ascii="Arial" w:eastAsia="Calibri" w:hAnsi="Arial" w:cs="Arial"/>
          <w:color w:val="000000" w:themeColor="text1"/>
          <w:sz w:val="22"/>
          <w:lang w:val="es-ES"/>
        </w:rPr>
        <w:t>junio</w:t>
      </w:r>
      <w:r w:rsidRPr="0060403F">
        <w:rPr>
          <w:rFonts w:ascii="Arial" w:eastAsia="Calibri" w:hAnsi="Arial" w:cs="Arial"/>
          <w:color w:val="000000" w:themeColor="text1"/>
          <w:sz w:val="22"/>
          <w:lang w:val="es-ES"/>
        </w:rPr>
        <w:t xml:space="preserve"> de 2020. </w:t>
      </w:r>
    </w:p>
    <w:p w14:paraId="75E7455B" w14:textId="77777777" w:rsidR="001637CE" w:rsidRPr="0060403F" w:rsidRDefault="001637CE" w:rsidP="00BA0125">
      <w:pPr>
        <w:tabs>
          <w:tab w:val="left" w:pos="426"/>
        </w:tabs>
        <w:spacing w:before="0" w:after="0"/>
        <w:rPr>
          <w:rFonts w:ascii="Arial" w:eastAsia="Calibri" w:hAnsi="Arial" w:cs="Arial"/>
          <w:color w:val="000000" w:themeColor="text1"/>
          <w:sz w:val="22"/>
          <w:lang w:val="es-ES"/>
        </w:rPr>
      </w:pPr>
    </w:p>
    <w:p w14:paraId="445C9F95" w14:textId="77777777" w:rsidR="001637CE" w:rsidRPr="0060403F" w:rsidRDefault="001637CE" w:rsidP="001637CE">
      <w:pPr>
        <w:pStyle w:val="Prrafodelista"/>
        <w:tabs>
          <w:tab w:val="left" w:pos="284"/>
        </w:tabs>
        <w:ind w:left="0"/>
        <w:rPr>
          <w:rFonts w:ascii="Arial" w:eastAsia="Calibri" w:hAnsi="Arial" w:cs="Arial"/>
          <w:b/>
          <w:color w:val="000000" w:themeColor="text1"/>
          <w:sz w:val="22"/>
          <w:lang w:val="es-ES"/>
        </w:rPr>
      </w:pPr>
      <w:r w:rsidRPr="0060403F">
        <w:rPr>
          <w:rFonts w:ascii="Arial" w:eastAsia="Calibri" w:hAnsi="Arial" w:cs="Arial"/>
          <w:b/>
          <w:color w:val="000000" w:themeColor="text1"/>
          <w:sz w:val="22"/>
          <w:lang w:val="es-ES"/>
        </w:rPr>
        <w:t xml:space="preserve">1. Problemas planteados </w:t>
      </w:r>
    </w:p>
    <w:p w14:paraId="3062E3C8" w14:textId="082CD5E0" w:rsidR="001637CE" w:rsidRPr="0060403F" w:rsidRDefault="001637CE" w:rsidP="001637CE">
      <w:pPr>
        <w:pStyle w:val="Prrafodelista"/>
        <w:tabs>
          <w:tab w:val="left" w:pos="284"/>
        </w:tabs>
        <w:ind w:left="0"/>
        <w:rPr>
          <w:rFonts w:ascii="Arial" w:eastAsia="Calibri" w:hAnsi="Arial" w:cs="Arial"/>
          <w:b/>
          <w:color w:val="000000" w:themeColor="text1"/>
          <w:sz w:val="22"/>
          <w:lang w:val="es-ES"/>
        </w:rPr>
      </w:pPr>
    </w:p>
    <w:p w14:paraId="1B4B568B" w14:textId="45764FA4" w:rsidR="00602508" w:rsidRDefault="001637CE" w:rsidP="0060403F">
      <w:pPr>
        <w:tabs>
          <w:tab w:val="left" w:pos="426"/>
        </w:tabs>
        <w:spacing w:before="0" w:after="0"/>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t xml:space="preserve">Usted formula las siguientes preguntas: (i) </w:t>
      </w:r>
      <w:r w:rsidR="00602508">
        <w:rPr>
          <w:rFonts w:ascii="Arial" w:eastAsia="Calibri" w:hAnsi="Arial" w:cs="Arial"/>
          <w:color w:val="000000" w:themeColor="text1"/>
          <w:sz w:val="22"/>
          <w:lang w:val="es-ES"/>
        </w:rPr>
        <w:t>¿Se debe realizar la publicación de contratos celebrados en el marco de urgencia manifiesta dentro de los 3 días siguientes a su suscripción? (</w:t>
      </w:r>
      <w:proofErr w:type="spellStart"/>
      <w:r w:rsidR="00602508">
        <w:rPr>
          <w:rFonts w:ascii="Arial" w:eastAsia="Calibri" w:hAnsi="Arial" w:cs="Arial"/>
          <w:color w:val="000000" w:themeColor="text1"/>
          <w:sz w:val="22"/>
          <w:lang w:val="es-ES"/>
        </w:rPr>
        <w:t>ii</w:t>
      </w:r>
      <w:proofErr w:type="spellEnd"/>
      <w:r w:rsidR="00602508">
        <w:rPr>
          <w:rFonts w:ascii="Arial" w:eastAsia="Calibri" w:hAnsi="Arial" w:cs="Arial"/>
          <w:color w:val="000000" w:themeColor="text1"/>
          <w:sz w:val="22"/>
          <w:lang w:val="es-ES"/>
        </w:rPr>
        <w:t>) ¿</w:t>
      </w:r>
      <w:r w:rsidR="00A04EC3">
        <w:rPr>
          <w:rFonts w:ascii="Arial" w:eastAsia="Calibri" w:hAnsi="Arial" w:cs="Arial"/>
          <w:color w:val="000000" w:themeColor="text1"/>
          <w:sz w:val="22"/>
          <w:lang w:val="es-ES"/>
        </w:rPr>
        <w:t>Debe la entidad Estatal mantener un expediente físico del proceso contractual habida consideración de que la Circular Externa Única de la Agencia Nacional de Contratación- Colombia Compra Eficiente solamente menciona el expediente electrónico</w:t>
      </w:r>
      <w:r w:rsidR="00602508">
        <w:rPr>
          <w:rFonts w:ascii="Arial" w:eastAsia="Calibri" w:hAnsi="Arial" w:cs="Arial"/>
          <w:color w:val="000000" w:themeColor="text1"/>
          <w:sz w:val="22"/>
          <w:lang w:val="es-ES"/>
        </w:rPr>
        <w:t>?</w:t>
      </w:r>
    </w:p>
    <w:p w14:paraId="414D2BBD" w14:textId="77777777" w:rsidR="00A9642B" w:rsidRPr="0060403F" w:rsidRDefault="00A9642B" w:rsidP="00646E26">
      <w:pPr>
        <w:tabs>
          <w:tab w:val="left" w:pos="426"/>
        </w:tabs>
        <w:spacing w:before="0" w:after="0" w:line="240" w:lineRule="auto"/>
        <w:rPr>
          <w:rFonts w:ascii="Arial" w:eastAsia="Calibri" w:hAnsi="Arial" w:cs="Arial"/>
          <w:color w:val="000000" w:themeColor="text1"/>
          <w:sz w:val="22"/>
          <w:lang w:val="es-ES"/>
        </w:rPr>
      </w:pPr>
    </w:p>
    <w:p w14:paraId="73A39748" w14:textId="455C4A65" w:rsidR="001637CE" w:rsidRPr="0060403F" w:rsidRDefault="001637CE" w:rsidP="00646E26">
      <w:pPr>
        <w:tabs>
          <w:tab w:val="left" w:pos="426"/>
        </w:tabs>
        <w:spacing w:before="0" w:after="0" w:line="240" w:lineRule="auto"/>
        <w:rPr>
          <w:rFonts w:ascii="Arial" w:eastAsia="Calibri" w:hAnsi="Arial" w:cs="Arial"/>
          <w:b/>
          <w:color w:val="000000" w:themeColor="text1"/>
          <w:sz w:val="22"/>
          <w:lang w:val="es-ES"/>
        </w:rPr>
      </w:pPr>
      <w:r w:rsidRPr="0060403F">
        <w:rPr>
          <w:rFonts w:ascii="Arial" w:eastAsia="Calibri" w:hAnsi="Arial" w:cs="Arial"/>
          <w:b/>
          <w:color w:val="000000" w:themeColor="text1"/>
          <w:sz w:val="22"/>
          <w:lang w:val="es-ES"/>
        </w:rPr>
        <w:t xml:space="preserve">2. Consideraciones </w:t>
      </w:r>
    </w:p>
    <w:p w14:paraId="46CBA562" w14:textId="77777777" w:rsidR="00646E26" w:rsidRPr="003270C7" w:rsidRDefault="00646E26" w:rsidP="00646E26">
      <w:pPr>
        <w:tabs>
          <w:tab w:val="left" w:pos="426"/>
        </w:tabs>
        <w:spacing w:before="0" w:after="0" w:line="240" w:lineRule="auto"/>
        <w:rPr>
          <w:rFonts w:ascii="Arial" w:eastAsia="Calibri" w:hAnsi="Arial" w:cs="Arial"/>
          <w:color w:val="000000" w:themeColor="text1"/>
          <w:sz w:val="22"/>
          <w:lang w:val="es-ES"/>
        </w:rPr>
      </w:pPr>
    </w:p>
    <w:p w14:paraId="3EF5AE51" w14:textId="0F617F79" w:rsidR="00646E26" w:rsidRPr="00646E26" w:rsidRDefault="00646E26" w:rsidP="00646E26">
      <w:pPr>
        <w:rPr>
          <w:rFonts w:ascii="Arial" w:hAnsi="Arial" w:cs="Arial"/>
          <w:sz w:val="22"/>
          <w:lang w:val="es-ES"/>
        </w:rPr>
      </w:pPr>
      <w:r w:rsidRPr="00646E26">
        <w:rPr>
          <w:rFonts w:ascii="Arial" w:eastAsia="Calibri" w:hAnsi="Arial" w:cs="Arial"/>
          <w:bCs/>
          <w:sz w:val="22"/>
          <w:lang w:val="es-ES"/>
        </w:rPr>
        <w:t xml:space="preserve">La Agencia Nacional de Contratación Pública estudió por este tema en la consulta No. 4201913000005397 del 9 de agosto de 2019 y reiteró la posición en las siguientes consultas: 4201912000006611 del 25 de septiembre de 2019, </w:t>
      </w:r>
      <w:r w:rsidRPr="00646E26">
        <w:rPr>
          <w:rFonts w:ascii="Arial" w:hAnsi="Arial" w:cs="Arial"/>
          <w:sz w:val="22"/>
          <w:lang w:val="es-ES"/>
        </w:rPr>
        <w:t xml:space="preserve">4201913000006847 del 4 de octubre de 2019, </w:t>
      </w:r>
      <w:r w:rsidRPr="00646E26">
        <w:rPr>
          <w:rFonts w:ascii="Arial" w:hAnsi="Arial" w:cs="Arial"/>
          <w:bCs/>
          <w:sz w:val="22"/>
          <w:lang w:val="es-ES"/>
        </w:rPr>
        <w:t>4201912000007828 del 13 de noviembre de 2019,</w:t>
      </w:r>
      <w:r w:rsidRPr="00646E26">
        <w:rPr>
          <w:rFonts w:ascii="Arial" w:hAnsi="Arial" w:cs="Arial"/>
          <w:sz w:val="22"/>
          <w:lang w:val="es-ES"/>
        </w:rPr>
        <w:t xml:space="preserve"> </w:t>
      </w:r>
      <w:r w:rsidRPr="00646E26">
        <w:rPr>
          <w:rFonts w:ascii="Arial" w:eastAsia="Calibri" w:hAnsi="Arial" w:cs="Arial"/>
          <w:bCs/>
          <w:sz w:val="22"/>
          <w:lang w:val="es-ES"/>
        </w:rPr>
        <w:t xml:space="preserve">4201912000007762 del 18 de </w:t>
      </w:r>
      <w:r w:rsidRPr="00646E26">
        <w:rPr>
          <w:rFonts w:ascii="Arial" w:eastAsia="Calibri" w:hAnsi="Arial" w:cs="Arial"/>
          <w:bCs/>
          <w:sz w:val="22"/>
          <w:lang w:val="es-ES"/>
        </w:rPr>
        <w:lastRenderedPageBreak/>
        <w:t xml:space="preserve">noviembre de 2019, </w:t>
      </w:r>
      <w:r w:rsidRPr="00646E26">
        <w:rPr>
          <w:rFonts w:ascii="Arial" w:hAnsi="Arial" w:cs="Arial"/>
          <w:sz w:val="22"/>
          <w:lang w:val="es-ES"/>
        </w:rPr>
        <w:t xml:space="preserve"> las cuales fueron unificadas en el concepto CU – 003 de 3 de enero de 2020, confirmado en radicado C – 061 de 21 de enero de 2020, C – 115 de 11 de febrero de 2020, C – 149 de 14 de febrero de 2020</w:t>
      </w:r>
      <w:r>
        <w:rPr>
          <w:rFonts w:ascii="Arial" w:hAnsi="Arial" w:cs="Arial"/>
          <w:sz w:val="22"/>
          <w:lang w:val="es-ES"/>
        </w:rPr>
        <w:t>,</w:t>
      </w:r>
      <w:r w:rsidRPr="00646E26">
        <w:rPr>
          <w:rFonts w:ascii="Arial" w:hAnsi="Arial" w:cs="Arial"/>
          <w:sz w:val="22"/>
          <w:lang w:val="es-ES"/>
        </w:rPr>
        <w:t xml:space="preserve"> C – 312 del 6 de mayo de 2020</w:t>
      </w:r>
      <w:r w:rsidR="00771BC7">
        <w:rPr>
          <w:rFonts w:ascii="Arial" w:hAnsi="Arial" w:cs="Arial"/>
          <w:sz w:val="22"/>
          <w:lang w:val="es-ES"/>
        </w:rPr>
        <w:t xml:space="preserve"> y</w:t>
      </w:r>
      <w:r>
        <w:rPr>
          <w:rFonts w:ascii="Arial" w:hAnsi="Arial" w:cs="Arial"/>
          <w:sz w:val="22"/>
          <w:lang w:val="es-ES"/>
        </w:rPr>
        <w:t xml:space="preserve"> C-346 de 26 de mayo de 2020</w:t>
      </w:r>
      <w:r w:rsidRPr="00646E26">
        <w:rPr>
          <w:rFonts w:ascii="Arial" w:hAnsi="Arial" w:cs="Arial"/>
          <w:sz w:val="22"/>
          <w:lang w:val="es-ES"/>
        </w:rPr>
        <w:t xml:space="preserve">. </w:t>
      </w:r>
      <w:r w:rsidRPr="00646E26">
        <w:rPr>
          <w:rFonts w:ascii="Arial" w:eastAsia="Calibri" w:hAnsi="Arial" w:cs="Arial"/>
          <w:sz w:val="22"/>
          <w:lang w:val="es-ES"/>
        </w:rPr>
        <w:t>En todas</w:t>
      </w:r>
      <w:r w:rsidR="001C5325">
        <w:rPr>
          <w:rFonts w:ascii="Arial" w:eastAsia="Calibri" w:hAnsi="Arial" w:cs="Arial"/>
          <w:sz w:val="22"/>
          <w:lang w:val="es-ES"/>
        </w:rPr>
        <w:t xml:space="preserve"> estas oportunidades</w:t>
      </w:r>
      <w:r w:rsidRPr="00646E26">
        <w:rPr>
          <w:rFonts w:ascii="Arial" w:eastAsia="Calibri" w:hAnsi="Arial" w:cs="Arial"/>
          <w:sz w:val="22"/>
          <w:lang w:val="es-ES"/>
        </w:rPr>
        <w:t xml:space="preserve"> sostuvo la idea que se reitera a continuación:</w:t>
      </w:r>
    </w:p>
    <w:p w14:paraId="722D1DFC" w14:textId="77777777" w:rsidR="00646E26" w:rsidRPr="000C0FED" w:rsidRDefault="00646E26" w:rsidP="00646E26">
      <w:pPr>
        <w:widowControl w:val="0"/>
        <w:tabs>
          <w:tab w:val="left" w:pos="728"/>
        </w:tabs>
        <w:autoSpaceDE w:val="0"/>
        <w:autoSpaceDN w:val="0"/>
        <w:spacing w:before="0" w:after="0"/>
        <w:rPr>
          <w:rFonts w:ascii="Arial" w:eastAsia="Arial" w:hAnsi="Arial" w:cs="Arial"/>
          <w:color w:val="000000" w:themeColor="text1"/>
          <w:sz w:val="22"/>
          <w:lang w:val="es-ES"/>
        </w:rPr>
      </w:pPr>
    </w:p>
    <w:p w14:paraId="47E42E1A" w14:textId="77777777" w:rsidR="00646E26" w:rsidRPr="000C0FED" w:rsidRDefault="00646E26" w:rsidP="00646E26">
      <w:pPr>
        <w:widowControl w:val="0"/>
        <w:tabs>
          <w:tab w:val="left" w:pos="728"/>
        </w:tabs>
        <w:autoSpaceDE w:val="0"/>
        <w:autoSpaceDN w:val="0"/>
        <w:spacing w:before="0" w:after="0"/>
        <w:rPr>
          <w:rFonts w:ascii="Arial" w:eastAsia="Arial" w:hAnsi="Arial" w:cs="Arial"/>
          <w:b/>
          <w:bCs/>
          <w:color w:val="000000" w:themeColor="text1"/>
          <w:sz w:val="22"/>
          <w:lang w:val="es-ES"/>
        </w:rPr>
      </w:pPr>
      <w:r w:rsidRPr="000C0FED">
        <w:rPr>
          <w:rFonts w:ascii="Arial" w:eastAsia="Arial" w:hAnsi="Arial" w:cs="Arial"/>
          <w:b/>
          <w:bCs/>
          <w:color w:val="000000" w:themeColor="text1"/>
          <w:sz w:val="22"/>
          <w:lang w:val="es-ES"/>
        </w:rPr>
        <w:t xml:space="preserve">2.1. Principio de publicidad y acceso a la información pública </w:t>
      </w:r>
    </w:p>
    <w:p w14:paraId="17C98878" w14:textId="77777777" w:rsidR="00646E26" w:rsidRPr="00646E26" w:rsidRDefault="00646E26" w:rsidP="00646E26">
      <w:pPr>
        <w:widowControl w:val="0"/>
        <w:tabs>
          <w:tab w:val="left" w:pos="728"/>
        </w:tabs>
        <w:autoSpaceDE w:val="0"/>
        <w:autoSpaceDN w:val="0"/>
        <w:spacing w:before="0" w:after="0"/>
        <w:rPr>
          <w:rFonts w:ascii="Arial" w:eastAsia="Arial" w:hAnsi="Arial" w:cs="Arial"/>
          <w:color w:val="000000" w:themeColor="text1"/>
          <w:sz w:val="22"/>
          <w:lang w:val="es-ES"/>
        </w:rPr>
      </w:pPr>
    </w:p>
    <w:p w14:paraId="73796C32" w14:textId="0013C1F2" w:rsidR="00646E26" w:rsidRPr="00646E26" w:rsidRDefault="00646E26" w:rsidP="00BA0125">
      <w:pPr>
        <w:widowControl w:val="0"/>
        <w:tabs>
          <w:tab w:val="left" w:pos="728"/>
        </w:tabs>
        <w:autoSpaceDE w:val="0"/>
        <w:autoSpaceDN w:val="0"/>
        <w:spacing w:before="0" w:after="0"/>
        <w:rPr>
          <w:rFonts w:ascii="Arial" w:eastAsia="Arial" w:hAnsi="Arial" w:cs="Arial"/>
          <w:b/>
          <w:color w:val="000000" w:themeColor="text1"/>
          <w:sz w:val="22"/>
          <w:lang w:val="es-ES"/>
        </w:rPr>
      </w:pPr>
      <w:r w:rsidRPr="00646E26">
        <w:rPr>
          <w:rFonts w:ascii="Arial" w:eastAsia="Arial" w:hAnsi="Arial" w:cs="Arial"/>
          <w:color w:val="000000" w:themeColor="text1"/>
          <w:sz w:val="22"/>
          <w:lang w:val="es-ES"/>
        </w:rPr>
        <w:t xml:space="preserve">Para la Corte Constitucional el principio de publicidad es la garantía de las personas de conocer las actuaciones judiciales y administrativas y con base en ese conocimiento tener la posibilidad de exigir que se surtan conforme a la ley: </w:t>
      </w:r>
    </w:p>
    <w:p w14:paraId="1438C1F0" w14:textId="77777777" w:rsidR="00646E26" w:rsidRPr="00435129" w:rsidRDefault="00646E26" w:rsidP="00646E26">
      <w:pPr>
        <w:widowControl w:val="0"/>
        <w:tabs>
          <w:tab w:val="left" w:pos="728"/>
        </w:tabs>
        <w:autoSpaceDE w:val="0"/>
        <w:autoSpaceDN w:val="0"/>
        <w:spacing w:before="0" w:after="0" w:line="240" w:lineRule="auto"/>
        <w:rPr>
          <w:rFonts w:ascii="Arial" w:eastAsia="Arial" w:hAnsi="Arial" w:cs="Arial"/>
          <w:color w:val="000000" w:themeColor="text1"/>
          <w:sz w:val="21"/>
          <w:szCs w:val="21"/>
          <w:lang w:val="es-ES"/>
        </w:rPr>
      </w:pPr>
    </w:p>
    <w:p w14:paraId="7BE00DA2" w14:textId="110408B4" w:rsidR="00646E26" w:rsidRPr="000C0FED"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r w:rsidRPr="000C0FED">
        <w:rPr>
          <w:rFonts w:ascii="Arial" w:eastAsia="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E7499C5" w14:textId="77777777" w:rsidR="001C5325" w:rsidRDefault="001C5325"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p>
    <w:p w14:paraId="58FCCB73" w14:textId="0D41555D" w:rsid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r w:rsidRPr="000C0FED">
        <w:rPr>
          <w:rFonts w:ascii="Arial" w:eastAsia="Arial" w:hAnsi="Arial" w:cs="Arial"/>
          <w:color w:val="000000" w:themeColor="text1"/>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0C0FED">
        <w:rPr>
          <w:rFonts w:ascii="Arial" w:eastAsia="Arial" w:hAnsi="Arial" w:cs="Arial"/>
          <w:color w:val="000000" w:themeColor="text1"/>
          <w:sz w:val="21"/>
          <w:szCs w:val="21"/>
          <w:lang w:val="es-ES"/>
        </w:rPr>
        <w:t>autoridades públicas</w:t>
      </w:r>
      <w:proofErr w:type="gramEnd"/>
      <w:r w:rsidRPr="000C0FED">
        <w:rPr>
          <w:rFonts w:ascii="Arial" w:eastAsia="Arial" w:hAnsi="Arial" w:cs="Arial"/>
          <w:color w:val="000000" w:themeColor="text1"/>
          <w:sz w:val="21"/>
          <w:szCs w:val="21"/>
          <w:lang w:val="es-ES"/>
        </w:rPr>
        <w:t xml:space="preserve"> y, a través de ese conocimiento, a exigir que ellas se surtan conforme a la ley</w:t>
      </w:r>
      <w:r w:rsidRPr="000C0FED">
        <w:rPr>
          <w:rFonts w:ascii="Arial" w:eastAsia="Arial" w:hAnsi="Arial" w:cs="Arial"/>
          <w:color w:val="000000" w:themeColor="text1"/>
          <w:sz w:val="21"/>
          <w:szCs w:val="21"/>
          <w:vertAlign w:val="superscript"/>
        </w:rPr>
        <w:footnoteReference w:id="1"/>
      </w:r>
      <w:r w:rsidRPr="00646E26">
        <w:rPr>
          <w:rFonts w:ascii="Arial" w:eastAsia="Arial" w:hAnsi="Arial" w:cs="Arial"/>
          <w:color w:val="000000" w:themeColor="text1"/>
          <w:sz w:val="21"/>
          <w:szCs w:val="21"/>
          <w:lang w:val="es-ES"/>
        </w:rPr>
        <w:t>.</w:t>
      </w:r>
    </w:p>
    <w:p w14:paraId="5926C255" w14:textId="77777777" w:rsidR="00646E26" w:rsidRP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p>
    <w:p w14:paraId="7515D4EA" w14:textId="7A3BCAE4" w:rsidR="00646E26" w:rsidRPr="00646E26" w:rsidRDefault="00646E26" w:rsidP="00646E26">
      <w:pPr>
        <w:widowControl w:val="0"/>
        <w:tabs>
          <w:tab w:val="left" w:pos="728"/>
        </w:tabs>
        <w:autoSpaceDE w:val="0"/>
        <w:autoSpaceDN w:val="0"/>
        <w:spacing w:before="0"/>
        <w:rPr>
          <w:rFonts w:ascii="Arial" w:eastAsia="Arial" w:hAnsi="Arial" w:cs="Arial"/>
          <w:color w:val="000000" w:themeColor="text1"/>
          <w:sz w:val="22"/>
          <w:lang w:val="es-ES"/>
        </w:rPr>
      </w:pPr>
      <w:r w:rsidRPr="00646E26">
        <w:rPr>
          <w:rFonts w:ascii="Arial" w:eastAsia="Arial" w:hAnsi="Arial" w:cs="Arial"/>
          <w:color w:val="000000" w:themeColor="text1"/>
          <w:sz w:val="22"/>
          <w:lang w:val="es-ES"/>
        </w:rPr>
        <w:tab/>
        <w:t>El principio de publicidad impone a las autoridades administrativas el deber de dar a conocer sus actos, contratos y decisiones</w:t>
      </w:r>
      <w:r w:rsidR="001C5325">
        <w:rPr>
          <w:rFonts w:ascii="Arial" w:eastAsia="Arial" w:hAnsi="Arial" w:cs="Arial"/>
          <w:color w:val="000000" w:themeColor="text1"/>
          <w:sz w:val="22"/>
          <w:lang w:val="es-ES"/>
        </w:rPr>
        <w:t>,</w:t>
      </w:r>
      <w:r w:rsidRPr="00646E26">
        <w:rPr>
          <w:rFonts w:ascii="Arial" w:eastAsia="Arial" w:hAnsi="Arial" w:cs="Arial"/>
          <w:color w:val="000000" w:themeColor="text1"/>
          <w:sz w:val="22"/>
          <w:lang w:val="es-ES"/>
        </w:rPr>
        <w:t xml:space="preserve">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0C0FED">
        <w:rPr>
          <w:rFonts w:ascii="Arial" w:eastAsia="Arial" w:hAnsi="Arial" w:cs="Arial"/>
          <w:color w:val="000000" w:themeColor="text1"/>
          <w:sz w:val="22"/>
          <w:vertAlign w:val="superscript"/>
        </w:rPr>
        <w:footnoteReference w:id="2"/>
      </w:r>
      <w:r w:rsidRPr="00646E26">
        <w:rPr>
          <w:rFonts w:ascii="Arial" w:eastAsia="Arial" w:hAnsi="Arial" w:cs="Arial"/>
          <w:color w:val="000000" w:themeColor="text1"/>
          <w:sz w:val="22"/>
          <w:lang w:val="es-ES"/>
        </w:rPr>
        <w:t xml:space="preserve">. </w:t>
      </w:r>
    </w:p>
    <w:p w14:paraId="6196028D" w14:textId="56221782" w:rsidR="00646E26" w:rsidRPr="00646E26" w:rsidRDefault="00646E26" w:rsidP="00646E26">
      <w:pPr>
        <w:widowControl w:val="0"/>
        <w:tabs>
          <w:tab w:val="left" w:pos="728"/>
        </w:tabs>
        <w:autoSpaceDE w:val="0"/>
        <w:autoSpaceDN w:val="0"/>
        <w:spacing w:before="0"/>
        <w:rPr>
          <w:rFonts w:ascii="Arial" w:eastAsia="Arial" w:hAnsi="Arial" w:cs="Arial"/>
          <w:color w:val="000000" w:themeColor="text1"/>
          <w:sz w:val="22"/>
          <w:lang w:val="es-ES"/>
        </w:rPr>
      </w:pPr>
      <w:r w:rsidRPr="00646E26">
        <w:rPr>
          <w:rFonts w:ascii="Arial" w:eastAsia="Arial" w:hAnsi="Arial" w:cs="Arial"/>
          <w:color w:val="000000" w:themeColor="text1"/>
          <w:sz w:val="22"/>
          <w:lang w:val="es-ES"/>
        </w:rPr>
        <w:tab/>
        <w:t>De otra parte, la Ley 1712 de 2014 identifica como principios que orientan el derecho de acceso a la información públic</w:t>
      </w:r>
      <w:r w:rsidR="002F07F9">
        <w:rPr>
          <w:rFonts w:ascii="Arial" w:eastAsia="Arial" w:hAnsi="Arial" w:cs="Arial"/>
          <w:color w:val="000000" w:themeColor="text1"/>
          <w:sz w:val="22"/>
          <w:lang w:val="es-ES"/>
        </w:rPr>
        <w:t>a</w:t>
      </w:r>
      <w:r w:rsidRPr="00646E26">
        <w:rPr>
          <w:rFonts w:ascii="Arial" w:eastAsia="Arial" w:hAnsi="Arial" w:cs="Arial"/>
          <w:color w:val="000000" w:themeColor="text1"/>
          <w:sz w:val="22"/>
          <w:lang w:val="es-ES"/>
        </w:rPr>
        <w:t xml:space="preserve"> </w:t>
      </w:r>
      <w:r w:rsidR="002F07F9">
        <w:rPr>
          <w:rFonts w:ascii="Arial" w:eastAsia="Arial" w:hAnsi="Arial" w:cs="Arial"/>
          <w:color w:val="000000" w:themeColor="text1"/>
          <w:sz w:val="22"/>
          <w:lang w:val="es-ES"/>
        </w:rPr>
        <w:t>los siguientes:</w:t>
      </w:r>
      <w:r w:rsidRPr="00646E26">
        <w:rPr>
          <w:rFonts w:ascii="Arial" w:eastAsia="Arial" w:hAnsi="Arial" w:cs="Arial"/>
          <w:color w:val="000000" w:themeColor="text1"/>
          <w:sz w:val="22"/>
          <w:lang w:val="es-ES"/>
        </w:rPr>
        <w:t xml:space="preserv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0C0FED">
        <w:rPr>
          <w:rFonts w:ascii="Arial" w:eastAsia="Arial" w:hAnsi="Arial" w:cs="Arial"/>
          <w:color w:val="000000" w:themeColor="text1"/>
          <w:sz w:val="22"/>
          <w:vertAlign w:val="superscript"/>
        </w:rPr>
        <w:footnoteReference w:id="3"/>
      </w:r>
      <w:r w:rsidRPr="00646E26">
        <w:rPr>
          <w:rFonts w:ascii="Arial" w:eastAsia="Arial" w:hAnsi="Arial" w:cs="Arial"/>
          <w:color w:val="000000" w:themeColor="text1"/>
          <w:sz w:val="22"/>
          <w:lang w:val="es-ES"/>
        </w:rPr>
        <w:t xml:space="preserve">. El principio de transparencia en la </w:t>
      </w:r>
      <w:r w:rsidRPr="00646E26">
        <w:rPr>
          <w:rFonts w:ascii="Arial" w:eastAsia="Arial" w:hAnsi="Arial" w:cs="Arial"/>
          <w:color w:val="000000" w:themeColor="text1"/>
          <w:sz w:val="22"/>
          <w:lang w:val="es-ES"/>
        </w:rPr>
        <w:lastRenderedPageBreak/>
        <w:t xml:space="preserve">información alude al deber de los sujetos de proporcionar y facilitar el acceso a la misma en los términos más amplios posibles, y a través de los medios y procedimientos que establezca la ley. </w:t>
      </w:r>
    </w:p>
    <w:p w14:paraId="52ECCAA4" w14:textId="200449F3" w:rsidR="00646E26" w:rsidRPr="00646E26" w:rsidRDefault="00646E26" w:rsidP="00646E26">
      <w:pPr>
        <w:widowControl w:val="0"/>
        <w:tabs>
          <w:tab w:val="left" w:pos="728"/>
        </w:tabs>
        <w:autoSpaceDE w:val="0"/>
        <w:autoSpaceDN w:val="0"/>
        <w:spacing w:before="0"/>
        <w:rPr>
          <w:rFonts w:ascii="Arial" w:eastAsia="Arial" w:hAnsi="Arial" w:cs="Arial"/>
          <w:color w:val="000000" w:themeColor="text1"/>
          <w:sz w:val="22"/>
          <w:lang w:val="es-ES"/>
        </w:rPr>
      </w:pPr>
      <w:r w:rsidRPr="00646E26">
        <w:rPr>
          <w:rFonts w:ascii="Arial" w:eastAsia="Arial" w:hAnsi="Arial" w:cs="Arial"/>
          <w:color w:val="000000" w:themeColor="text1"/>
          <w:sz w:val="22"/>
          <w:lang w:val="es-ES"/>
        </w:rPr>
        <w:tab/>
        <w:t>La ley citada establece, en el literal e) del artículo 9, que los sujetos obligados, que son todas las entidades públicas</w:t>
      </w:r>
      <w:r w:rsidR="002F07F9">
        <w:rPr>
          <w:rFonts w:ascii="Arial" w:eastAsia="Arial" w:hAnsi="Arial" w:cs="Arial"/>
          <w:color w:val="000000" w:themeColor="text1"/>
          <w:sz w:val="22"/>
          <w:lang w:val="es-ES"/>
        </w:rPr>
        <w:t>, entre otros sujetos</w:t>
      </w:r>
      <w:r w:rsidRPr="000C0FED">
        <w:rPr>
          <w:rFonts w:ascii="Arial" w:eastAsia="Arial" w:hAnsi="Arial" w:cs="Arial"/>
          <w:color w:val="000000" w:themeColor="text1"/>
          <w:sz w:val="22"/>
          <w:vertAlign w:val="superscript"/>
        </w:rPr>
        <w:footnoteReference w:id="4"/>
      </w:r>
      <w:r w:rsidRPr="00646E26">
        <w:rPr>
          <w:rFonts w:ascii="Arial" w:eastAsia="Arial" w:hAnsi="Arial" w:cs="Arial"/>
          <w:color w:val="000000" w:themeColor="text1"/>
          <w:sz w:val="22"/>
          <w:lang w:val="es-ES"/>
        </w:rPr>
        <w:t>, deben publicar la información relativa a su contratación. Esta obligación fue desarrollada por el Decreto Único Reglamentario 1081 de 2015</w:t>
      </w:r>
      <w:r w:rsidRPr="000C0FED">
        <w:rPr>
          <w:rFonts w:ascii="Arial" w:eastAsia="Arial" w:hAnsi="Arial" w:cs="Arial"/>
          <w:color w:val="000000" w:themeColor="text1"/>
          <w:sz w:val="22"/>
          <w:vertAlign w:val="superscript"/>
        </w:rPr>
        <w:footnoteReference w:id="5"/>
      </w:r>
      <w:r w:rsidRPr="00646E26">
        <w:rPr>
          <w:rFonts w:ascii="Arial" w:eastAsia="Arial" w:hAnsi="Arial" w:cs="Arial"/>
          <w:color w:val="000000" w:themeColor="text1"/>
          <w:sz w:val="22"/>
          <w:lang w:val="es-ES"/>
        </w:rPr>
        <w:t xml:space="preserve">, el cual dispuso que la publicación de la información contractual de los sujetos obligados que contratan con cargo a recursos públicos debe hacerse en el Sistema Electrónico de Contratación Pública – </w:t>
      </w:r>
      <w:r w:rsidRPr="00646E26">
        <w:rPr>
          <w:rFonts w:ascii="Arial" w:eastAsia="Arial" w:hAnsi="Arial" w:cs="Arial"/>
          <w:color w:val="000000" w:themeColor="text1"/>
          <w:sz w:val="22"/>
          <w:lang w:val="es-ES"/>
        </w:rPr>
        <w:softHyphen/>
        <w:t>SECOP.</w:t>
      </w:r>
    </w:p>
    <w:p w14:paraId="6126D33D" w14:textId="77777777" w:rsidR="00646E26" w:rsidRPr="000C0FED" w:rsidRDefault="00646E26" w:rsidP="00646E26">
      <w:pPr>
        <w:widowControl w:val="0"/>
        <w:tabs>
          <w:tab w:val="left" w:pos="728"/>
        </w:tabs>
        <w:autoSpaceDE w:val="0"/>
        <w:autoSpaceDN w:val="0"/>
        <w:spacing w:before="0"/>
        <w:rPr>
          <w:rFonts w:ascii="Arial" w:eastAsia="Arial" w:hAnsi="Arial" w:cs="Arial"/>
          <w:color w:val="000000" w:themeColor="text1"/>
          <w:sz w:val="22"/>
          <w:lang w:val="es-ES"/>
        </w:rPr>
      </w:pPr>
      <w:r w:rsidRPr="00646E26">
        <w:rPr>
          <w:rFonts w:ascii="Arial" w:eastAsia="Arial" w:hAnsi="Arial" w:cs="Arial"/>
          <w:color w:val="000000" w:themeColor="text1"/>
          <w:sz w:val="22"/>
          <w:lang w:val="es-ES"/>
        </w:rPr>
        <w:tab/>
        <w:t xml:space="preserve">Asimismo, de </w:t>
      </w:r>
      <w:r w:rsidRPr="000C0FED">
        <w:rPr>
          <w:rFonts w:ascii="Arial" w:eastAsia="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982A6F3" w14:textId="77777777" w:rsidR="00646E26" w:rsidRPr="00646E26" w:rsidRDefault="00646E26" w:rsidP="00646E26">
      <w:pPr>
        <w:widowControl w:val="0"/>
        <w:tabs>
          <w:tab w:val="left" w:pos="728"/>
        </w:tabs>
        <w:autoSpaceDE w:val="0"/>
        <w:autoSpaceDN w:val="0"/>
        <w:spacing w:before="0"/>
        <w:rPr>
          <w:rFonts w:ascii="Arial" w:eastAsia="Arial" w:hAnsi="Arial" w:cs="Arial"/>
          <w:color w:val="000000" w:themeColor="text1"/>
          <w:sz w:val="22"/>
          <w:lang w:val="es-ES"/>
        </w:rPr>
      </w:pPr>
      <w:r w:rsidRPr="00646E26">
        <w:rPr>
          <w:rFonts w:ascii="Arial" w:eastAsia="Arial" w:hAnsi="Arial" w:cs="Arial"/>
          <w:color w:val="000000" w:themeColor="text1"/>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0C0FED">
        <w:rPr>
          <w:rFonts w:ascii="Arial" w:eastAsia="Arial" w:hAnsi="Arial" w:cs="Arial"/>
          <w:color w:val="000000" w:themeColor="text1"/>
          <w:sz w:val="22"/>
          <w:vertAlign w:val="superscript"/>
        </w:rPr>
        <w:footnoteReference w:id="6"/>
      </w:r>
      <w:r w:rsidRPr="00646E26">
        <w:rPr>
          <w:rFonts w:ascii="Arial" w:eastAsia="Arial" w:hAnsi="Arial" w:cs="Arial"/>
          <w:color w:val="000000" w:themeColor="text1"/>
          <w:sz w:val="22"/>
          <w:lang w:val="es-ES"/>
        </w:rPr>
        <w:t>.</w:t>
      </w:r>
    </w:p>
    <w:p w14:paraId="144B7F50" w14:textId="77777777" w:rsidR="00646E26" w:rsidRPr="000C0FED" w:rsidRDefault="00646E26" w:rsidP="00646E26">
      <w:pPr>
        <w:widowControl w:val="0"/>
        <w:tabs>
          <w:tab w:val="left" w:pos="728"/>
        </w:tabs>
        <w:autoSpaceDE w:val="0"/>
        <w:autoSpaceDN w:val="0"/>
        <w:spacing w:before="0"/>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ab/>
        <w:t xml:space="preserve">Para el año 2013, la Agencia Nacional de Contratación Pública </w:t>
      </w:r>
      <w:r>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 xml:space="preserve"> Colombia Compra Eficiente, mediante la Circular Externa No</w:t>
      </w:r>
      <w:r>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 xml:space="preserve"> 1 del</w:t>
      </w:r>
      <w:r w:rsidRPr="00646E26">
        <w:rPr>
          <w:rFonts w:ascii="Arial" w:eastAsia="Arial" w:hAnsi="Arial" w:cs="Arial"/>
          <w:color w:val="000000" w:themeColor="text1"/>
          <w:sz w:val="22"/>
          <w:lang w:val="es-ES"/>
        </w:rPr>
        <w:t xml:space="preserve"> </w:t>
      </w:r>
      <w:r w:rsidRPr="000C0FED">
        <w:rPr>
          <w:rFonts w:ascii="Arial" w:eastAsia="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distinguir su régimen jurídico, naturaleza jurídica o la pertenencia a una u otra rama del poder público</w:t>
      </w:r>
      <w:r w:rsidRPr="000C0FED">
        <w:rPr>
          <w:rFonts w:ascii="Arial" w:eastAsia="Arial" w:hAnsi="Arial" w:cs="Arial"/>
          <w:color w:val="000000" w:themeColor="text1"/>
          <w:sz w:val="22"/>
          <w:vertAlign w:val="superscript"/>
          <w:lang w:val="es-ES"/>
        </w:rPr>
        <w:footnoteReference w:id="7"/>
      </w:r>
      <w:r w:rsidRPr="000C0FED">
        <w:rPr>
          <w:rFonts w:ascii="Arial" w:eastAsia="Arial" w:hAnsi="Arial" w:cs="Arial"/>
          <w:color w:val="000000" w:themeColor="text1"/>
          <w:sz w:val="22"/>
          <w:lang w:val="es-ES"/>
        </w:rPr>
        <w:t xml:space="preserve">. </w:t>
      </w:r>
    </w:p>
    <w:p w14:paraId="5488CD08" w14:textId="5F95A719" w:rsidR="00646E26" w:rsidRDefault="00646E26" w:rsidP="00646E26">
      <w:pPr>
        <w:spacing w:before="0"/>
        <w:ind w:firstLine="708"/>
        <w:rPr>
          <w:rFonts w:ascii="Arial" w:hAnsi="Arial" w:cs="Arial"/>
          <w:color w:val="000000" w:themeColor="text1"/>
          <w:sz w:val="22"/>
          <w:lang w:val="es-ES"/>
        </w:rPr>
      </w:pPr>
      <w:r w:rsidRPr="000C0FED">
        <w:rPr>
          <w:rFonts w:ascii="Arial" w:hAnsi="Arial" w:cs="Arial"/>
          <w:color w:val="000000" w:themeColor="text1"/>
          <w:sz w:val="22"/>
          <w:lang w:val="es-ES"/>
        </w:rPr>
        <w:t xml:space="preserve">Adicionalmente, el deber de hacer pública la información contractual oficial no se determina por la naturaleza de la entidad ejecutora </w:t>
      </w:r>
      <w:r>
        <w:rPr>
          <w:rFonts w:ascii="Arial" w:hAnsi="Arial" w:cs="Arial"/>
          <w:color w:val="000000" w:themeColor="text1"/>
          <w:sz w:val="22"/>
          <w:lang w:val="es-ES"/>
        </w:rPr>
        <w:t>–</w:t>
      </w:r>
      <w:r w:rsidRPr="000C0FED">
        <w:rPr>
          <w:rFonts w:ascii="Arial" w:hAnsi="Arial" w:cs="Arial"/>
          <w:color w:val="000000" w:themeColor="text1"/>
          <w:sz w:val="22"/>
          <w:lang w:val="es-ES"/>
        </w:rPr>
        <w:t>pública o privada</w:t>
      </w:r>
      <w:r>
        <w:rPr>
          <w:rFonts w:ascii="Arial" w:hAnsi="Arial" w:cs="Arial"/>
          <w:color w:val="000000" w:themeColor="text1"/>
          <w:sz w:val="22"/>
          <w:lang w:val="es-ES"/>
        </w:rPr>
        <w:t>–</w:t>
      </w:r>
      <w:r w:rsidRPr="000C0FED">
        <w:rPr>
          <w:rFonts w:ascii="Arial" w:hAnsi="Arial" w:cs="Arial"/>
          <w:color w:val="000000" w:themeColor="text1"/>
          <w:sz w:val="22"/>
          <w:lang w:val="es-ES"/>
        </w:rPr>
        <w:t xml:space="preserve">, ni del régimen sustantivo contractual que aplique, sea de la Ley 80 de 1993 o de los regímenes exceptuados. En particular, sobre el deber de publicidad de estos, el Consejo de Estado sostuvo: </w:t>
      </w:r>
    </w:p>
    <w:p w14:paraId="0B38504A" w14:textId="77777777" w:rsidR="002F07F9" w:rsidRPr="00646E26" w:rsidRDefault="002F07F9" w:rsidP="002F07F9">
      <w:pPr>
        <w:spacing w:before="0" w:after="0" w:line="240" w:lineRule="auto"/>
        <w:ind w:firstLine="708"/>
        <w:rPr>
          <w:rFonts w:ascii="Arial" w:hAnsi="Arial" w:cs="Arial"/>
          <w:color w:val="000000" w:themeColor="text1"/>
          <w:sz w:val="22"/>
          <w:lang w:val="es-ES"/>
        </w:rPr>
      </w:pPr>
    </w:p>
    <w:p w14:paraId="0B084984" w14:textId="74ECC3FE" w:rsidR="00646E26" w:rsidRPr="000C0FED" w:rsidRDefault="00646E26" w:rsidP="00BA0125">
      <w:pPr>
        <w:widowControl w:val="0"/>
        <w:tabs>
          <w:tab w:val="left" w:pos="728"/>
        </w:tabs>
        <w:autoSpaceDE w:val="0"/>
        <w:autoSpaceDN w:val="0"/>
        <w:spacing w:before="0" w:after="0" w:line="240" w:lineRule="auto"/>
        <w:ind w:left="709" w:right="709"/>
        <w:rPr>
          <w:rFonts w:ascii="Arial" w:hAnsi="Arial" w:cs="Arial"/>
          <w:color w:val="000000" w:themeColor="text1"/>
          <w:sz w:val="21"/>
          <w:szCs w:val="21"/>
          <w:lang w:val="es-ES"/>
        </w:rPr>
      </w:pPr>
      <w:r w:rsidRPr="00646E26">
        <w:rPr>
          <w:rFonts w:ascii="Arial" w:eastAsia="Arial" w:hAnsi="Arial" w:cs="Arial"/>
          <w:color w:val="000000" w:themeColor="text1"/>
          <w:sz w:val="21"/>
          <w:szCs w:val="21"/>
          <w:lang w:val="es-ES"/>
        </w:rPr>
        <w:t xml:space="preserve">Por consiguiente, otra conclusión natural de lo que se viene de decir es que la </w:t>
      </w:r>
      <w:r w:rsidRPr="00646E26">
        <w:rPr>
          <w:rFonts w:ascii="Arial" w:eastAsia="Arial" w:hAnsi="Arial" w:cs="Arial"/>
          <w:color w:val="000000" w:themeColor="text1"/>
          <w:sz w:val="21"/>
          <w:szCs w:val="21"/>
          <w:lang w:val="es-ES"/>
        </w:rPr>
        <w:lastRenderedPageBreak/>
        <w:t>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4455B794" w14:textId="77777777" w:rsidR="00D97F80" w:rsidRDefault="00D97F80" w:rsidP="00646E26">
      <w:pPr>
        <w:spacing w:before="0"/>
        <w:ind w:firstLine="709"/>
        <w:rPr>
          <w:rFonts w:ascii="Arial" w:hAnsi="Arial" w:cs="Arial"/>
          <w:color w:val="000000" w:themeColor="text1"/>
          <w:sz w:val="22"/>
          <w:lang w:val="es-ES"/>
        </w:rPr>
      </w:pPr>
    </w:p>
    <w:p w14:paraId="57F90DEA" w14:textId="18E28003" w:rsidR="00646E26" w:rsidRPr="000C0FED" w:rsidRDefault="00646E26" w:rsidP="00646E26">
      <w:pPr>
        <w:spacing w:before="0"/>
        <w:ind w:firstLine="709"/>
        <w:rPr>
          <w:rFonts w:ascii="Arial" w:hAnsi="Arial" w:cs="Arial"/>
          <w:color w:val="000000" w:themeColor="text1"/>
          <w:sz w:val="21"/>
          <w:szCs w:val="21"/>
          <w:lang w:val="es-ES"/>
        </w:rPr>
      </w:pPr>
      <w:r w:rsidRPr="000C0FED">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w:t>
      </w:r>
    </w:p>
    <w:p w14:paraId="3F3B8D90" w14:textId="4F097F69" w:rsidR="00646E26" w:rsidRPr="00646E26" w:rsidRDefault="00646E26" w:rsidP="00646E26">
      <w:pPr>
        <w:spacing w:before="0"/>
        <w:ind w:firstLine="709"/>
        <w:rPr>
          <w:rFonts w:ascii="Arial" w:hAnsi="Arial" w:cs="Arial"/>
          <w:color w:val="000000" w:themeColor="text1"/>
          <w:sz w:val="22"/>
          <w:lang w:val="es-ES"/>
        </w:rPr>
      </w:pPr>
      <w:r w:rsidRPr="00646E26">
        <w:rPr>
          <w:rFonts w:ascii="Arial" w:hAnsi="Arial" w:cs="Arial"/>
          <w:color w:val="000000" w:themeColor="text1"/>
          <w:sz w:val="22"/>
          <w:lang w:val="es-ES"/>
        </w:rPr>
        <w:t xml:space="preserve">El deber de publicidad de los documentos expedidos en virtud de la actividad contractual que se desprende del artículo 3 de la Ley 1150 de 2007, se encuentra </w:t>
      </w:r>
      <w:r w:rsidR="002F07F9">
        <w:rPr>
          <w:rFonts w:ascii="Arial" w:hAnsi="Arial" w:cs="Arial"/>
          <w:color w:val="000000" w:themeColor="text1"/>
          <w:sz w:val="22"/>
          <w:lang w:val="es-ES"/>
        </w:rPr>
        <w:t>reglamentado</w:t>
      </w:r>
      <w:r w:rsidRPr="00646E26">
        <w:rPr>
          <w:rFonts w:ascii="Arial" w:hAnsi="Arial" w:cs="Arial"/>
          <w:color w:val="000000" w:themeColor="text1"/>
          <w:sz w:val="22"/>
          <w:lang w:val="es-ES"/>
        </w:rPr>
        <w:t xml:space="preserve"> por el artículo 2.2.1.1.1.7.1. del Decreto 1082 de 2015</w:t>
      </w:r>
      <w:r w:rsidR="002F07F9">
        <w:rPr>
          <w:rFonts w:ascii="Arial" w:hAnsi="Arial" w:cs="Arial"/>
          <w:color w:val="000000" w:themeColor="text1"/>
          <w:sz w:val="22"/>
          <w:lang w:val="es-ES"/>
        </w:rPr>
        <w:t xml:space="preserve"> que</w:t>
      </w:r>
      <w:r w:rsidRPr="00646E26">
        <w:rPr>
          <w:rFonts w:ascii="Arial" w:hAnsi="Arial" w:cs="Arial"/>
          <w:color w:val="000000" w:themeColor="text1"/>
          <w:sz w:val="22"/>
          <w:lang w:val="es-ES"/>
        </w:rPr>
        <w:t xml:space="preserve"> </w:t>
      </w:r>
      <w:r w:rsidR="00801E19">
        <w:rPr>
          <w:rFonts w:ascii="Arial" w:hAnsi="Arial" w:cs="Arial"/>
          <w:color w:val="000000" w:themeColor="text1"/>
          <w:sz w:val="22"/>
          <w:lang w:val="es-ES"/>
        </w:rPr>
        <w:t>define</w:t>
      </w:r>
      <w:r w:rsidRPr="00646E26">
        <w:rPr>
          <w:rFonts w:ascii="Arial" w:hAnsi="Arial" w:cs="Arial"/>
          <w:color w:val="000000" w:themeColor="text1"/>
          <w:sz w:val="22"/>
          <w:lang w:val="es-ES"/>
        </w:rPr>
        <w:t xml:space="preserve"> los documentos que deben publicar</w:t>
      </w:r>
      <w:r w:rsidR="00801E19">
        <w:rPr>
          <w:rFonts w:ascii="Arial" w:hAnsi="Arial" w:cs="Arial"/>
          <w:color w:val="000000" w:themeColor="text1"/>
          <w:sz w:val="22"/>
          <w:lang w:val="es-ES"/>
        </w:rPr>
        <w:t>se</w:t>
      </w:r>
      <w:r w:rsidRPr="00646E26">
        <w:rPr>
          <w:rFonts w:ascii="Arial" w:hAnsi="Arial" w:cs="Arial"/>
          <w:color w:val="000000" w:themeColor="text1"/>
          <w:sz w:val="22"/>
          <w:lang w:val="es-ES"/>
        </w:rPr>
        <w:t xml:space="preserve"> y al SECOP como medio de publicidad</w:t>
      </w:r>
      <w:r w:rsidRPr="000C0FED">
        <w:rPr>
          <w:rFonts w:ascii="Arial" w:hAnsi="Arial" w:cs="Arial"/>
          <w:color w:val="000000" w:themeColor="text1"/>
          <w:sz w:val="22"/>
          <w:vertAlign w:val="superscript"/>
        </w:rPr>
        <w:footnoteReference w:id="8"/>
      </w:r>
      <w:r w:rsidR="002F07F9">
        <w:rPr>
          <w:rFonts w:ascii="Arial" w:hAnsi="Arial" w:cs="Arial"/>
          <w:color w:val="000000" w:themeColor="text1"/>
          <w:sz w:val="22"/>
          <w:lang w:val="es-ES"/>
        </w:rPr>
        <w:t>.</w:t>
      </w:r>
      <w:r w:rsidRPr="00646E26">
        <w:rPr>
          <w:rFonts w:ascii="Arial" w:hAnsi="Arial" w:cs="Arial"/>
          <w:color w:val="000000" w:themeColor="text1"/>
          <w:sz w:val="22"/>
          <w:lang w:val="es-ES"/>
        </w:rPr>
        <w:t xml:space="preserve"> </w:t>
      </w:r>
      <w:r w:rsidR="002F07F9">
        <w:rPr>
          <w:rFonts w:ascii="Arial" w:hAnsi="Arial" w:cs="Arial"/>
          <w:color w:val="000000" w:themeColor="text1"/>
          <w:sz w:val="22"/>
          <w:lang w:val="es-ES"/>
        </w:rPr>
        <w:t>Ello</w:t>
      </w:r>
      <w:r w:rsidRPr="00646E26">
        <w:rPr>
          <w:rFonts w:ascii="Arial" w:hAnsi="Arial" w:cs="Arial"/>
          <w:color w:val="000000" w:themeColor="text1"/>
          <w:sz w:val="22"/>
          <w:lang w:val="es-ES"/>
        </w:rPr>
        <w:t xml:space="preserve"> permite controlar las actuaciones y decisiones de la Administración y el cumplimiento de los demás principios de la contratación pública. Así lo </w:t>
      </w:r>
      <w:r w:rsidR="002F07F9">
        <w:rPr>
          <w:rFonts w:ascii="Arial" w:hAnsi="Arial" w:cs="Arial"/>
          <w:color w:val="000000" w:themeColor="text1"/>
          <w:sz w:val="22"/>
          <w:lang w:val="es-ES"/>
        </w:rPr>
        <w:t>ha confirmado</w:t>
      </w:r>
      <w:r w:rsidRPr="00646E26">
        <w:rPr>
          <w:rFonts w:ascii="Arial" w:hAnsi="Arial" w:cs="Arial"/>
          <w:color w:val="000000" w:themeColor="text1"/>
          <w:sz w:val="22"/>
          <w:lang w:val="es-ES"/>
        </w:rPr>
        <w:t xml:space="preserve"> el Consejo de Estad</w:t>
      </w:r>
      <w:r w:rsidR="002F07F9">
        <w:rPr>
          <w:rFonts w:ascii="Arial" w:hAnsi="Arial" w:cs="Arial"/>
          <w:color w:val="000000" w:themeColor="text1"/>
          <w:sz w:val="22"/>
          <w:lang w:val="es-ES"/>
        </w:rPr>
        <w:t>o en los siguientes términos</w:t>
      </w:r>
      <w:r w:rsidRPr="00646E26">
        <w:rPr>
          <w:rFonts w:ascii="Arial" w:hAnsi="Arial" w:cs="Arial"/>
          <w:color w:val="000000" w:themeColor="text1"/>
          <w:sz w:val="22"/>
          <w:lang w:val="es-ES"/>
        </w:rPr>
        <w:t>:</w:t>
      </w:r>
    </w:p>
    <w:p w14:paraId="6AB2923F" w14:textId="77777777" w:rsidR="00646E26" w:rsidRP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p>
    <w:p w14:paraId="41C9D913" w14:textId="6DD2EEC0" w:rsid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r w:rsidRPr="00646E26">
        <w:rPr>
          <w:rFonts w:ascii="Arial" w:eastAsia="Arial" w:hAnsi="Arial" w:cs="Arial"/>
          <w:color w:val="000000" w:themeColor="text1"/>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501E39B4" w14:textId="77777777" w:rsidR="003270C7" w:rsidRPr="00646E26" w:rsidRDefault="003270C7"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p>
    <w:p w14:paraId="0484BE98" w14:textId="32989545" w:rsid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r w:rsidRPr="00646E26">
        <w:rPr>
          <w:rFonts w:ascii="Arial" w:eastAsia="Arial" w:hAnsi="Arial" w:cs="Arial"/>
          <w:color w:val="000000" w:themeColor="text1"/>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646E26">
        <w:rPr>
          <w:rFonts w:ascii="Arial" w:eastAsia="Arial" w:hAnsi="Arial" w:cs="Arial"/>
          <w:color w:val="000000" w:themeColor="text1"/>
          <w:sz w:val="21"/>
          <w:szCs w:val="21"/>
          <w:lang w:val="es-ES"/>
        </w:rPr>
        <w:t>ibídem</w:t>
      </w:r>
      <w:proofErr w:type="spellEnd"/>
      <w:r w:rsidRPr="00646E26">
        <w:rPr>
          <w:rFonts w:ascii="Arial" w:eastAsia="Arial" w:hAnsi="Arial" w:cs="Arial"/>
          <w:color w:val="000000" w:themeColor="text1"/>
          <w:sz w:val="21"/>
          <w:szCs w:val="21"/>
          <w:lang w:val="es-ES"/>
        </w:rPr>
        <w:t xml:space="preserve"> en armonía con el artículo 273 de la Constitución Política).</w:t>
      </w:r>
    </w:p>
    <w:p w14:paraId="22A33A9B" w14:textId="77777777" w:rsidR="003270C7" w:rsidRPr="00646E26" w:rsidRDefault="003270C7"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p>
    <w:p w14:paraId="40977736" w14:textId="00A095D5" w:rsid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r w:rsidRPr="00646E26">
        <w:rPr>
          <w:rFonts w:ascii="Arial" w:eastAsia="Arial" w:hAnsi="Arial" w:cs="Arial"/>
          <w:color w:val="000000" w:themeColor="text1"/>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Pr>
          <w:rStyle w:val="Refdenotaalpie"/>
          <w:rFonts w:ascii="Arial" w:eastAsia="Arial" w:hAnsi="Arial" w:cs="Arial"/>
          <w:color w:val="000000" w:themeColor="text1"/>
          <w:sz w:val="21"/>
          <w:szCs w:val="21"/>
          <w:lang w:val="es-ES"/>
        </w:rPr>
        <w:footnoteReference w:id="9"/>
      </w:r>
      <w:r w:rsidRPr="00646E26">
        <w:rPr>
          <w:rFonts w:ascii="Arial" w:eastAsia="Arial" w:hAnsi="Arial" w:cs="Arial"/>
          <w:color w:val="000000" w:themeColor="text1"/>
          <w:sz w:val="21"/>
          <w:szCs w:val="21"/>
          <w:lang w:val="es-ES"/>
        </w:rPr>
        <w:t>.</w:t>
      </w:r>
    </w:p>
    <w:p w14:paraId="7289733B" w14:textId="77777777" w:rsidR="00646E26" w:rsidRP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p>
    <w:p w14:paraId="0DC51A1A" w14:textId="77777777" w:rsidR="00646E26" w:rsidRPr="00646E26" w:rsidRDefault="00646E26" w:rsidP="00BA0125">
      <w:pPr>
        <w:spacing w:before="0" w:after="0"/>
        <w:ind w:firstLine="709"/>
        <w:rPr>
          <w:rFonts w:ascii="Arial" w:hAnsi="Arial" w:cs="Arial"/>
          <w:color w:val="000000" w:themeColor="text1"/>
          <w:sz w:val="22"/>
          <w:lang w:val="es-ES"/>
        </w:rPr>
      </w:pPr>
      <w:r w:rsidRPr="00646E26">
        <w:rPr>
          <w:rFonts w:ascii="Arial" w:hAnsi="Arial" w:cs="Arial"/>
          <w:color w:val="000000" w:themeColor="text1"/>
          <w:sz w:val="22"/>
          <w:lang w:val="es-ES"/>
        </w:rPr>
        <w:t xml:space="preserve">De acuerdo con esto, las entidades deben cumplir con el principio de publicidad respecto de su actividad contractual como garantía para los administrados, de conocer las actuaciones y participar en su control, siendo el SECOP la herramienta que dispuso el Estado para que las entidades cumplan el principio de publicidad. </w:t>
      </w:r>
    </w:p>
    <w:p w14:paraId="1E28C036" w14:textId="77777777" w:rsidR="00646E26" w:rsidRPr="00646E26" w:rsidRDefault="00646E26" w:rsidP="009F0786">
      <w:pPr>
        <w:spacing w:before="0" w:after="0"/>
        <w:rPr>
          <w:rFonts w:ascii="Arial" w:eastAsia="Calibri" w:hAnsi="Arial" w:cs="Arial"/>
          <w:b/>
          <w:bCs/>
          <w:color w:val="000000" w:themeColor="text1"/>
          <w:sz w:val="22"/>
          <w:lang w:val="es-ES"/>
        </w:rPr>
      </w:pPr>
    </w:p>
    <w:p w14:paraId="1C628FD1" w14:textId="77777777" w:rsidR="00646E26" w:rsidRPr="00646E26" w:rsidRDefault="00646E26" w:rsidP="009F0786">
      <w:pPr>
        <w:spacing w:before="0" w:after="0"/>
        <w:rPr>
          <w:rFonts w:ascii="Arial" w:eastAsia="Calibri" w:hAnsi="Arial" w:cs="Arial"/>
          <w:b/>
          <w:color w:val="000000" w:themeColor="text1"/>
          <w:sz w:val="22"/>
          <w:lang w:val="es-ES"/>
        </w:rPr>
      </w:pPr>
      <w:r w:rsidRPr="00646E26">
        <w:rPr>
          <w:rFonts w:ascii="Arial" w:eastAsia="Calibri" w:hAnsi="Arial" w:cs="Arial"/>
          <w:b/>
          <w:bCs/>
          <w:color w:val="000000" w:themeColor="text1"/>
          <w:sz w:val="22"/>
          <w:lang w:val="es-ES"/>
        </w:rPr>
        <w:t xml:space="preserve">2.2. </w:t>
      </w:r>
      <w:r w:rsidRPr="00646E26">
        <w:rPr>
          <w:rFonts w:ascii="Arial" w:eastAsia="Calibri" w:hAnsi="Arial" w:cs="Arial"/>
          <w:b/>
          <w:color w:val="000000" w:themeColor="text1"/>
          <w:sz w:val="22"/>
          <w:lang w:val="es-ES"/>
        </w:rPr>
        <w:t>Procedimientos contractuales, su publicidad y documentos que se deben publicar en el SECOP</w:t>
      </w:r>
    </w:p>
    <w:p w14:paraId="0C34013F" w14:textId="77777777" w:rsidR="00646E26" w:rsidRPr="00646E26" w:rsidRDefault="00646E26" w:rsidP="009F0786">
      <w:pPr>
        <w:spacing w:before="0" w:after="0"/>
        <w:ind w:left="360"/>
        <w:contextualSpacing/>
        <w:rPr>
          <w:rFonts w:ascii="Arial" w:hAnsi="Arial" w:cs="Arial"/>
          <w:b/>
          <w:color w:val="000000" w:themeColor="text1"/>
          <w:sz w:val="22"/>
          <w:lang w:val="es-ES"/>
        </w:rPr>
      </w:pPr>
    </w:p>
    <w:p w14:paraId="75546FD7" w14:textId="10C1219F" w:rsidR="00646E26" w:rsidRPr="00646E26" w:rsidRDefault="009F0786" w:rsidP="003270C7">
      <w:pPr>
        <w:spacing w:before="0"/>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646E26" w:rsidRPr="00646E26">
        <w:rPr>
          <w:rFonts w:ascii="Arial" w:eastAsia="Calibri" w:hAnsi="Arial" w:cs="Arial"/>
          <w:color w:val="000000" w:themeColor="text1"/>
          <w:sz w:val="22"/>
          <w:lang w:val="es-ES"/>
        </w:rPr>
        <w:t>l procedimiento de contratación de las entidades es reglado</w:t>
      </w:r>
      <w:r>
        <w:rPr>
          <w:rFonts w:ascii="Arial" w:eastAsia="Calibri" w:hAnsi="Arial" w:cs="Arial"/>
          <w:color w:val="000000" w:themeColor="text1"/>
          <w:sz w:val="22"/>
          <w:lang w:val="es-ES"/>
        </w:rPr>
        <w:t xml:space="preserve">. Como consecuencia de ello, </w:t>
      </w:r>
      <w:r w:rsidR="00646E26" w:rsidRPr="00646E26">
        <w:rPr>
          <w:rFonts w:ascii="Arial" w:eastAsia="Calibri" w:hAnsi="Arial" w:cs="Arial"/>
          <w:color w:val="000000" w:themeColor="text1"/>
          <w:sz w:val="22"/>
          <w:lang w:val="es-ES"/>
        </w:rPr>
        <w:t xml:space="preserve">se deben consultar las normas que lo rigen para determinar la forma que la ley prevé para adelantarlo. El Decreto 1082 de 2015 concreta varios aspectos </w:t>
      </w:r>
      <w:r>
        <w:rPr>
          <w:rFonts w:ascii="Arial" w:eastAsia="Calibri" w:hAnsi="Arial" w:cs="Arial"/>
          <w:color w:val="000000" w:themeColor="text1"/>
          <w:sz w:val="22"/>
          <w:lang w:val="es-ES"/>
        </w:rPr>
        <w:t>para</w:t>
      </w:r>
      <w:r w:rsidR="00646E26" w:rsidRPr="00646E26">
        <w:rPr>
          <w:rFonts w:ascii="Arial" w:eastAsia="Calibri" w:hAnsi="Arial" w:cs="Arial"/>
          <w:color w:val="000000" w:themeColor="text1"/>
          <w:sz w:val="22"/>
          <w:lang w:val="es-ES"/>
        </w:rPr>
        <w:t xml:space="preserve"> cada modalidad de selección, </w:t>
      </w:r>
      <w:r>
        <w:rPr>
          <w:rFonts w:ascii="Arial" w:eastAsia="Calibri" w:hAnsi="Arial" w:cs="Arial"/>
          <w:color w:val="000000" w:themeColor="text1"/>
          <w:sz w:val="22"/>
          <w:lang w:val="es-ES"/>
        </w:rPr>
        <w:t>se señalan</w:t>
      </w:r>
      <w:r w:rsidR="00646E26" w:rsidRPr="00646E26">
        <w:rPr>
          <w:rFonts w:ascii="Arial" w:eastAsia="Calibri" w:hAnsi="Arial" w:cs="Arial"/>
          <w:color w:val="000000" w:themeColor="text1"/>
          <w:sz w:val="22"/>
          <w:lang w:val="es-ES"/>
        </w:rPr>
        <w:t xml:space="preserve"> reglas</w:t>
      </w:r>
      <w:r>
        <w:rPr>
          <w:rFonts w:ascii="Arial" w:eastAsia="Calibri" w:hAnsi="Arial" w:cs="Arial"/>
          <w:color w:val="000000" w:themeColor="text1"/>
          <w:sz w:val="22"/>
          <w:lang w:val="es-ES"/>
        </w:rPr>
        <w:t xml:space="preserve"> y etapas</w:t>
      </w:r>
      <w:r w:rsidR="00646E26" w:rsidRPr="00646E26">
        <w:rPr>
          <w:rFonts w:ascii="Arial" w:eastAsia="Calibri" w:hAnsi="Arial" w:cs="Arial"/>
          <w:color w:val="000000" w:themeColor="text1"/>
          <w:sz w:val="22"/>
          <w:lang w:val="es-ES"/>
        </w:rPr>
        <w:t xml:space="preserve"> a seguir para celebrar el contrato estatal</w:t>
      </w:r>
      <w:r w:rsidR="00646E26" w:rsidRPr="000C0FED">
        <w:rPr>
          <w:rFonts w:ascii="Arial" w:eastAsia="Calibri" w:hAnsi="Arial" w:cs="Arial"/>
          <w:color w:val="000000" w:themeColor="text1"/>
          <w:sz w:val="22"/>
          <w:vertAlign w:val="superscript"/>
        </w:rPr>
        <w:footnoteReference w:id="10"/>
      </w:r>
      <w:r w:rsidR="00646E26" w:rsidRPr="00646E26">
        <w:rPr>
          <w:rFonts w:ascii="Arial" w:eastAsia="Calibri" w:hAnsi="Arial" w:cs="Arial"/>
          <w:color w:val="000000" w:themeColor="text1"/>
          <w:sz w:val="22"/>
          <w:lang w:val="es-ES"/>
        </w:rPr>
        <w:t>. Por consiguiente, para que los documentos de la actividad contractual se conozcan</w:t>
      </w:r>
      <w:r w:rsidR="00A06676">
        <w:rPr>
          <w:rFonts w:ascii="Arial" w:eastAsia="Calibri" w:hAnsi="Arial" w:cs="Arial"/>
          <w:color w:val="000000" w:themeColor="text1"/>
          <w:sz w:val="22"/>
          <w:lang w:val="es-ES"/>
        </w:rPr>
        <w:t>,</w:t>
      </w:r>
      <w:r w:rsidR="00646E26" w:rsidRPr="00646E26">
        <w:rPr>
          <w:rFonts w:ascii="Arial" w:eastAsia="Calibri" w:hAnsi="Arial" w:cs="Arial"/>
          <w:color w:val="000000" w:themeColor="text1"/>
          <w:sz w:val="22"/>
          <w:lang w:val="es-ES"/>
        </w:rPr>
        <w:t xml:space="preserve"> la entidad debe publicarlos, sin importar la modalidad de selección utilizada. </w:t>
      </w:r>
    </w:p>
    <w:p w14:paraId="4353858A" w14:textId="5AE2469F" w:rsidR="00646E26" w:rsidRPr="000C0FED" w:rsidRDefault="00646E26" w:rsidP="003270C7">
      <w:pPr>
        <w:widowControl w:val="0"/>
        <w:autoSpaceDE w:val="0"/>
        <w:autoSpaceDN w:val="0"/>
        <w:spacing w:before="0"/>
        <w:ind w:right="49" w:firstLine="709"/>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El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obligación de desarrollar el SECOP</w:t>
      </w:r>
      <w:r w:rsidRPr="000C0FED">
        <w:rPr>
          <w:rFonts w:ascii="Arial" w:eastAsia="Arial" w:hAnsi="Arial" w:cs="Arial"/>
          <w:color w:val="000000" w:themeColor="text1"/>
          <w:sz w:val="22"/>
          <w:vertAlign w:val="superscript"/>
          <w:lang w:val="es-ES"/>
        </w:rPr>
        <w:footnoteReference w:id="11"/>
      </w:r>
      <w:r w:rsidRPr="000C0FED">
        <w:rPr>
          <w:rFonts w:ascii="Arial" w:eastAsia="Arial" w:hAnsi="Arial" w:cs="Arial"/>
          <w:color w:val="000000" w:themeColor="text1"/>
          <w:sz w:val="22"/>
          <w:lang w:val="es-ES"/>
        </w:rPr>
        <w:t xml:space="preserve">. Este sistema debe contar con la </w:t>
      </w:r>
      <w:r w:rsidRPr="000C0FED">
        <w:rPr>
          <w:rFonts w:ascii="Arial" w:eastAsia="Arial" w:hAnsi="Arial" w:cs="Arial"/>
          <w:color w:val="000000" w:themeColor="text1"/>
          <w:sz w:val="22"/>
          <w:lang w:val="es-ES"/>
        </w:rPr>
        <w:lastRenderedPageBreak/>
        <w:t>información oficial de los procedimientos contractuales de las entidades.</w:t>
      </w:r>
    </w:p>
    <w:p w14:paraId="0C987354" w14:textId="28805E24" w:rsidR="009F0786" w:rsidRDefault="009F0786" w:rsidP="003270C7">
      <w:pPr>
        <w:widowControl w:val="0"/>
        <w:autoSpaceDE w:val="0"/>
        <w:autoSpaceDN w:val="0"/>
        <w:spacing w:before="0"/>
        <w:ind w:right="304" w:firstLine="709"/>
        <w:rPr>
          <w:rFonts w:ascii="Arial" w:eastAsia="Arial" w:hAnsi="Arial" w:cs="Arial"/>
          <w:color w:val="000000" w:themeColor="text1"/>
          <w:sz w:val="22"/>
          <w:lang w:val="es-ES"/>
        </w:rPr>
      </w:pPr>
      <w:r>
        <w:rPr>
          <w:rFonts w:ascii="Arial" w:eastAsia="Arial" w:hAnsi="Arial" w:cs="Arial"/>
          <w:color w:val="000000" w:themeColor="text1"/>
          <w:sz w:val="22"/>
          <w:lang w:val="es-ES"/>
        </w:rPr>
        <w:t xml:space="preserve">La norma citada ha </w:t>
      </w:r>
      <w:r w:rsidR="00801E19">
        <w:rPr>
          <w:rFonts w:ascii="Arial" w:eastAsia="Arial" w:hAnsi="Arial" w:cs="Arial"/>
          <w:color w:val="000000" w:themeColor="text1"/>
          <w:sz w:val="22"/>
          <w:lang w:val="es-ES"/>
        </w:rPr>
        <w:t>suscitado</w:t>
      </w:r>
      <w:r>
        <w:rPr>
          <w:rFonts w:ascii="Arial" w:eastAsia="Arial" w:hAnsi="Arial" w:cs="Arial"/>
          <w:color w:val="000000" w:themeColor="text1"/>
          <w:sz w:val="22"/>
          <w:lang w:val="es-ES"/>
        </w:rPr>
        <w:t xml:space="preserve"> un cambio en la práctica contractual de las </w:t>
      </w:r>
      <w:r w:rsidR="008C74E4">
        <w:rPr>
          <w:rFonts w:ascii="Arial" w:eastAsia="Arial" w:hAnsi="Arial" w:cs="Arial"/>
          <w:color w:val="000000" w:themeColor="text1"/>
          <w:sz w:val="22"/>
          <w:lang w:val="es-ES"/>
        </w:rPr>
        <w:t>entidades estatales</w:t>
      </w:r>
      <w:r>
        <w:rPr>
          <w:rFonts w:ascii="Arial" w:eastAsia="Arial" w:hAnsi="Arial" w:cs="Arial"/>
          <w:color w:val="000000" w:themeColor="text1"/>
          <w:sz w:val="22"/>
          <w:lang w:val="es-ES"/>
        </w:rPr>
        <w:t xml:space="preserve">, pues se ha </w:t>
      </w:r>
      <w:r w:rsidR="00801E19">
        <w:rPr>
          <w:rFonts w:ascii="Arial" w:eastAsia="Arial" w:hAnsi="Arial" w:cs="Arial"/>
          <w:color w:val="000000" w:themeColor="text1"/>
          <w:sz w:val="22"/>
          <w:lang w:val="es-ES"/>
        </w:rPr>
        <w:t>iniciado</w:t>
      </w:r>
      <w:r>
        <w:rPr>
          <w:rFonts w:ascii="Arial" w:eastAsia="Arial" w:hAnsi="Arial" w:cs="Arial"/>
          <w:color w:val="000000" w:themeColor="text1"/>
          <w:sz w:val="22"/>
          <w:lang w:val="es-ES"/>
        </w:rPr>
        <w:t xml:space="preserve"> una migración de procedimientos por escrito y en papel, con expediente físicos, a un esquema electrónico eficiente en el cual se reducen los costos para que se materialice</w:t>
      </w:r>
      <w:r w:rsidR="00042387">
        <w:rPr>
          <w:rFonts w:ascii="Arial" w:eastAsia="Arial" w:hAnsi="Arial" w:cs="Arial"/>
          <w:color w:val="000000" w:themeColor="text1"/>
          <w:sz w:val="22"/>
          <w:lang w:val="es-ES"/>
        </w:rPr>
        <w:t>,</w:t>
      </w:r>
      <w:r>
        <w:rPr>
          <w:rFonts w:ascii="Arial" w:eastAsia="Arial" w:hAnsi="Arial" w:cs="Arial"/>
          <w:color w:val="000000" w:themeColor="text1"/>
          <w:sz w:val="22"/>
          <w:lang w:val="es-ES"/>
        </w:rPr>
        <w:t xml:space="preserve"> en la mayor medida posible</w:t>
      </w:r>
      <w:r w:rsidR="00042387">
        <w:rPr>
          <w:rFonts w:ascii="Arial" w:eastAsia="Arial" w:hAnsi="Arial" w:cs="Arial"/>
          <w:color w:val="000000" w:themeColor="text1"/>
          <w:sz w:val="22"/>
          <w:lang w:val="es-ES"/>
        </w:rPr>
        <w:t>,</w:t>
      </w:r>
      <w:r>
        <w:rPr>
          <w:rFonts w:ascii="Arial" w:eastAsia="Arial" w:hAnsi="Arial" w:cs="Arial"/>
          <w:color w:val="000000" w:themeColor="text1"/>
          <w:sz w:val="22"/>
          <w:lang w:val="es-ES"/>
        </w:rPr>
        <w:t xml:space="preserve"> el principio de publicidad. </w:t>
      </w:r>
    </w:p>
    <w:p w14:paraId="505A6076" w14:textId="54457B5E" w:rsidR="00646E26" w:rsidRPr="00646E26" w:rsidRDefault="00646E26" w:rsidP="003270C7">
      <w:pPr>
        <w:widowControl w:val="0"/>
        <w:autoSpaceDE w:val="0"/>
        <w:autoSpaceDN w:val="0"/>
        <w:spacing w:before="0"/>
        <w:ind w:right="306" w:firstLine="708"/>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36336BEE" w14:textId="77777777" w:rsidR="00646E26" w:rsidRP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p>
    <w:p w14:paraId="6DC053DD" w14:textId="77777777" w:rsidR="00646E26" w:rsidRP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r w:rsidRPr="00646E26">
        <w:rPr>
          <w:rFonts w:ascii="Arial" w:eastAsia="Arial" w:hAnsi="Arial" w:cs="Arial"/>
          <w:color w:val="000000" w:themeColor="text1"/>
          <w:sz w:val="21"/>
          <w:szCs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w:t>
      </w:r>
    </w:p>
    <w:p w14:paraId="065E2D4A" w14:textId="77777777" w:rsidR="00646E26" w:rsidRP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p>
    <w:p w14:paraId="65FC27DA" w14:textId="77777777" w:rsidR="00646E26" w:rsidRPr="00646E26" w:rsidRDefault="00646E26" w:rsidP="00646E26">
      <w:pPr>
        <w:widowControl w:val="0"/>
        <w:tabs>
          <w:tab w:val="left" w:pos="728"/>
        </w:tabs>
        <w:autoSpaceDE w:val="0"/>
        <w:autoSpaceDN w:val="0"/>
        <w:spacing w:before="0" w:after="0" w:line="240" w:lineRule="auto"/>
        <w:ind w:left="709" w:right="709"/>
        <w:rPr>
          <w:rFonts w:ascii="Arial" w:eastAsia="Arial" w:hAnsi="Arial" w:cs="Arial"/>
          <w:color w:val="000000" w:themeColor="text1"/>
          <w:sz w:val="21"/>
          <w:szCs w:val="21"/>
          <w:lang w:val="es-ES"/>
        </w:rPr>
      </w:pPr>
      <w:r w:rsidRPr="00646E26">
        <w:rPr>
          <w:rFonts w:ascii="Arial" w:eastAsia="Arial" w:hAnsi="Arial" w:cs="Arial"/>
          <w:color w:val="000000" w:themeColor="text1"/>
          <w:sz w:val="21"/>
          <w:szCs w:val="21"/>
          <w:lang w:val="es-ES"/>
        </w:rPr>
        <w:t>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Y, de conteras, suple algunas de las limitaciones de las que adolecía el Diario Único de Contratación, en términos de cobertura geográfica, de cantidad de ejemplares y de posibilidad de acceso por parte de la ciudadanía.</w:t>
      </w:r>
    </w:p>
    <w:p w14:paraId="150C0D8D" w14:textId="77777777" w:rsidR="00646E26" w:rsidRPr="000C0FED" w:rsidRDefault="00646E26" w:rsidP="00646E26">
      <w:pPr>
        <w:widowControl w:val="0"/>
        <w:autoSpaceDE w:val="0"/>
        <w:autoSpaceDN w:val="0"/>
        <w:spacing w:before="1"/>
        <w:ind w:right="307"/>
        <w:rPr>
          <w:rFonts w:ascii="Arial" w:eastAsia="Arial" w:hAnsi="Arial" w:cs="Arial"/>
          <w:color w:val="000000" w:themeColor="text1"/>
          <w:sz w:val="25"/>
          <w:lang w:val="es-ES"/>
        </w:rPr>
      </w:pPr>
    </w:p>
    <w:p w14:paraId="0A709891" w14:textId="5FA849DE" w:rsidR="00646E26" w:rsidRDefault="00646E26" w:rsidP="003270C7">
      <w:pPr>
        <w:widowControl w:val="0"/>
        <w:autoSpaceDE w:val="0"/>
        <w:autoSpaceDN w:val="0"/>
        <w:spacing w:before="0"/>
        <w:ind w:firstLine="709"/>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Ahora bien, las entidades estatales, particularmente las sometidas al Estatuto General de Contratación de la Administración Pública, conforme al artículo 2.2.1.1.1.7.1. del Decreto 1082 de 2015, están en la obligación de publicar en el SECOP «[…] los Documentos del Proceso y los actos administrativos del Proceso de Contratación, dentro de los tres (3) días siguientes a su expedición […]». </w:t>
      </w:r>
    </w:p>
    <w:p w14:paraId="41B07515" w14:textId="3B798B59" w:rsidR="009F0786" w:rsidRDefault="009A6479" w:rsidP="003270C7">
      <w:pPr>
        <w:widowControl w:val="0"/>
        <w:autoSpaceDE w:val="0"/>
        <w:autoSpaceDN w:val="0"/>
        <w:spacing w:before="0"/>
        <w:ind w:firstLine="709"/>
        <w:rPr>
          <w:rFonts w:ascii="Arial" w:eastAsia="Arial" w:hAnsi="Arial" w:cs="Arial"/>
          <w:color w:val="000000" w:themeColor="text1"/>
          <w:sz w:val="22"/>
          <w:lang w:val="es-ES"/>
        </w:rPr>
      </w:pPr>
      <w:r>
        <w:rPr>
          <w:rFonts w:ascii="Arial" w:eastAsia="Arial" w:hAnsi="Arial" w:cs="Arial"/>
          <w:color w:val="000000" w:themeColor="text1"/>
          <w:sz w:val="22"/>
          <w:lang w:val="es-ES"/>
        </w:rPr>
        <w:t>E</w:t>
      </w:r>
      <w:r w:rsidR="009F0786">
        <w:rPr>
          <w:rFonts w:ascii="Arial" w:eastAsia="Arial" w:hAnsi="Arial" w:cs="Arial"/>
          <w:color w:val="000000" w:themeColor="text1"/>
          <w:sz w:val="22"/>
          <w:lang w:val="es-ES"/>
        </w:rPr>
        <w:t xml:space="preserve">l artículo </w:t>
      </w:r>
      <w:r w:rsidR="00F87704">
        <w:rPr>
          <w:rFonts w:ascii="Arial" w:eastAsia="Arial" w:hAnsi="Arial" w:cs="Arial"/>
          <w:color w:val="000000" w:themeColor="text1"/>
          <w:sz w:val="22"/>
          <w:lang w:val="es-ES"/>
        </w:rPr>
        <w:t>2.2.1.1.7.1</w:t>
      </w:r>
      <w:r>
        <w:rPr>
          <w:rFonts w:ascii="Arial" w:eastAsia="Arial" w:hAnsi="Arial" w:cs="Arial"/>
          <w:color w:val="000000" w:themeColor="text1"/>
          <w:sz w:val="22"/>
          <w:lang w:val="es-ES"/>
        </w:rPr>
        <w:t xml:space="preserve"> </w:t>
      </w:r>
      <w:r w:rsidR="00F87704">
        <w:rPr>
          <w:rFonts w:ascii="Arial" w:eastAsia="Arial" w:hAnsi="Arial" w:cs="Arial"/>
          <w:color w:val="000000" w:themeColor="text1"/>
          <w:sz w:val="22"/>
          <w:lang w:val="es-ES"/>
        </w:rPr>
        <w:t>del Decreto 1082 de 2015</w:t>
      </w:r>
      <w:r w:rsidR="009F0786">
        <w:rPr>
          <w:rFonts w:ascii="Arial" w:eastAsia="Arial" w:hAnsi="Arial" w:cs="Arial"/>
          <w:color w:val="000000" w:themeColor="text1"/>
          <w:sz w:val="22"/>
          <w:lang w:val="es-ES"/>
        </w:rPr>
        <w:t xml:space="preserve"> no hace distinción alguna en relación con la modalidad de selección que </w:t>
      </w:r>
      <w:r w:rsidR="00F87704">
        <w:rPr>
          <w:rFonts w:ascii="Arial" w:eastAsia="Arial" w:hAnsi="Arial" w:cs="Arial"/>
          <w:color w:val="000000" w:themeColor="text1"/>
          <w:sz w:val="22"/>
          <w:lang w:val="es-ES"/>
        </w:rPr>
        <w:t>precedió la celebración del Contrato</w:t>
      </w:r>
      <w:r>
        <w:rPr>
          <w:rFonts w:ascii="Arial" w:eastAsia="Arial" w:hAnsi="Arial" w:cs="Arial"/>
          <w:color w:val="000000" w:themeColor="text1"/>
          <w:sz w:val="22"/>
          <w:lang w:val="es-ES"/>
        </w:rPr>
        <w:t xml:space="preserve"> Estatal</w:t>
      </w:r>
      <w:r w:rsidR="00F87704">
        <w:rPr>
          <w:rFonts w:ascii="Arial" w:eastAsia="Arial" w:hAnsi="Arial" w:cs="Arial"/>
          <w:color w:val="000000" w:themeColor="text1"/>
          <w:sz w:val="22"/>
          <w:lang w:val="es-ES"/>
        </w:rPr>
        <w:t xml:space="preserve">. </w:t>
      </w:r>
      <w:r>
        <w:rPr>
          <w:rFonts w:ascii="Arial" w:eastAsia="Arial" w:hAnsi="Arial" w:cs="Arial"/>
          <w:color w:val="000000" w:themeColor="text1"/>
          <w:sz w:val="22"/>
          <w:lang w:val="es-ES"/>
        </w:rPr>
        <w:t>Como consecuencia</w:t>
      </w:r>
      <w:r w:rsidR="00F87704">
        <w:rPr>
          <w:rFonts w:ascii="Arial" w:eastAsia="Arial" w:hAnsi="Arial" w:cs="Arial"/>
          <w:color w:val="000000" w:themeColor="text1"/>
          <w:sz w:val="22"/>
          <w:lang w:val="es-ES"/>
        </w:rPr>
        <w:t xml:space="preserve">, en aplicación del principio de interpretación según el cual donde la norma no distingue no le es dado distinguir al intérprete, la obligación de publicar en el SECOP los documentos del </w:t>
      </w:r>
      <w:r w:rsidR="00113D6B">
        <w:rPr>
          <w:rFonts w:ascii="Arial" w:eastAsia="Arial" w:hAnsi="Arial" w:cs="Arial"/>
          <w:color w:val="000000" w:themeColor="text1"/>
          <w:sz w:val="22"/>
          <w:lang w:val="es-ES"/>
        </w:rPr>
        <w:t>p</w:t>
      </w:r>
      <w:r w:rsidR="00F87704">
        <w:rPr>
          <w:rFonts w:ascii="Arial" w:eastAsia="Arial" w:hAnsi="Arial" w:cs="Arial"/>
          <w:color w:val="000000" w:themeColor="text1"/>
          <w:sz w:val="22"/>
          <w:lang w:val="es-ES"/>
        </w:rPr>
        <w:t xml:space="preserve">roceso de </w:t>
      </w:r>
      <w:r w:rsidR="00113D6B">
        <w:rPr>
          <w:rFonts w:ascii="Arial" w:eastAsia="Arial" w:hAnsi="Arial" w:cs="Arial"/>
          <w:color w:val="000000" w:themeColor="text1"/>
          <w:sz w:val="22"/>
          <w:lang w:val="es-ES"/>
        </w:rPr>
        <w:t>c</w:t>
      </w:r>
      <w:r w:rsidR="00F87704">
        <w:rPr>
          <w:rFonts w:ascii="Arial" w:eastAsia="Arial" w:hAnsi="Arial" w:cs="Arial"/>
          <w:color w:val="000000" w:themeColor="text1"/>
          <w:sz w:val="22"/>
          <w:lang w:val="es-ES"/>
        </w:rPr>
        <w:t>ontratación</w:t>
      </w:r>
      <w:r w:rsidR="00113D6B">
        <w:rPr>
          <w:rFonts w:ascii="Arial" w:eastAsia="Arial" w:hAnsi="Arial" w:cs="Arial"/>
          <w:color w:val="000000" w:themeColor="text1"/>
          <w:sz w:val="22"/>
          <w:lang w:val="es-ES"/>
        </w:rPr>
        <w:t>,</w:t>
      </w:r>
      <w:r w:rsidR="00F87704">
        <w:rPr>
          <w:rFonts w:ascii="Arial" w:eastAsia="Arial" w:hAnsi="Arial" w:cs="Arial"/>
          <w:color w:val="000000" w:themeColor="text1"/>
          <w:sz w:val="22"/>
          <w:lang w:val="es-ES"/>
        </w:rPr>
        <w:t xml:space="preserve"> dentro de los 3 días siguientes a su expedición</w:t>
      </w:r>
      <w:r w:rsidR="00113D6B">
        <w:rPr>
          <w:rFonts w:ascii="Arial" w:eastAsia="Arial" w:hAnsi="Arial" w:cs="Arial"/>
          <w:color w:val="000000" w:themeColor="text1"/>
          <w:sz w:val="22"/>
          <w:lang w:val="es-ES"/>
        </w:rPr>
        <w:t>,</w:t>
      </w:r>
      <w:r w:rsidR="00F87704">
        <w:rPr>
          <w:rFonts w:ascii="Arial" w:eastAsia="Arial" w:hAnsi="Arial" w:cs="Arial"/>
          <w:color w:val="000000" w:themeColor="text1"/>
          <w:sz w:val="22"/>
          <w:lang w:val="es-ES"/>
        </w:rPr>
        <w:t xml:space="preserve"> existe independientemente de la modalidad que precedió la escogencia del contratista o la causal invocada para utilizar</w:t>
      </w:r>
      <w:r>
        <w:rPr>
          <w:rFonts w:ascii="Arial" w:eastAsia="Arial" w:hAnsi="Arial" w:cs="Arial"/>
          <w:color w:val="000000" w:themeColor="text1"/>
          <w:sz w:val="22"/>
          <w:lang w:val="es-ES"/>
        </w:rPr>
        <w:t xml:space="preserve"> dicha modalidad</w:t>
      </w:r>
      <w:r w:rsidR="00F87704">
        <w:rPr>
          <w:rFonts w:ascii="Arial" w:eastAsia="Arial" w:hAnsi="Arial" w:cs="Arial"/>
          <w:color w:val="000000" w:themeColor="text1"/>
          <w:sz w:val="22"/>
          <w:lang w:val="es-ES"/>
        </w:rPr>
        <w:t xml:space="preserve">. Así, por ejemplo, en aquellos casos en </w:t>
      </w:r>
      <w:r>
        <w:rPr>
          <w:rFonts w:ascii="Arial" w:eastAsia="Arial" w:hAnsi="Arial" w:cs="Arial"/>
          <w:color w:val="000000" w:themeColor="text1"/>
          <w:sz w:val="22"/>
          <w:lang w:val="es-ES"/>
        </w:rPr>
        <w:t xml:space="preserve">que se </w:t>
      </w:r>
      <w:r>
        <w:rPr>
          <w:rFonts w:ascii="Arial" w:eastAsia="Arial" w:hAnsi="Arial" w:cs="Arial"/>
          <w:color w:val="000000" w:themeColor="text1"/>
          <w:sz w:val="22"/>
          <w:lang w:val="es-ES"/>
        </w:rPr>
        <w:lastRenderedPageBreak/>
        <w:t xml:space="preserve">utilice </w:t>
      </w:r>
      <w:r w:rsidR="00F87704">
        <w:rPr>
          <w:rFonts w:ascii="Arial" w:eastAsia="Arial" w:hAnsi="Arial" w:cs="Arial"/>
          <w:color w:val="000000" w:themeColor="text1"/>
          <w:sz w:val="22"/>
          <w:lang w:val="es-ES"/>
        </w:rPr>
        <w:t xml:space="preserve">la modalidad de selección de contratación directa con invocación de la causal de urgencia manifiesta, existe también la obligación de publicar todos los Documentos del Proceso dentro de los 3 días siguientes a su expedición.  </w:t>
      </w:r>
    </w:p>
    <w:p w14:paraId="1C99AAF3" w14:textId="77777777" w:rsidR="00646E26" w:rsidRPr="000C0FED" w:rsidRDefault="00646E26" w:rsidP="003270C7">
      <w:pPr>
        <w:widowControl w:val="0"/>
        <w:autoSpaceDE w:val="0"/>
        <w:autoSpaceDN w:val="0"/>
        <w:spacing w:before="0"/>
        <w:ind w:firstLine="709"/>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La expresión </w:t>
      </w:r>
      <w:r w:rsidRPr="000C0FED">
        <w:rPr>
          <w:rFonts w:ascii="Arial" w:eastAsia="Arial" w:hAnsi="Arial" w:cs="Arial"/>
          <w:i/>
          <w:iCs/>
          <w:color w:val="000000" w:themeColor="text1"/>
          <w:sz w:val="22"/>
          <w:lang w:val="es-ES"/>
        </w:rPr>
        <w:t>Documentos del Proceso</w:t>
      </w:r>
      <w:r w:rsidRPr="000C0FED">
        <w:rPr>
          <w:rFonts w:ascii="Arial" w:eastAsia="Arial" w:hAnsi="Arial" w:cs="Arial"/>
          <w:color w:val="000000" w:themeColor="text1"/>
          <w:sz w:val="22"/>
          <w:lang w:val="es-ES"/>
        </w:rPr>
        <w:t xml:space="preserve"> se encuentra definida en el artículo 2.2.1.1.1.3.1. del Decreto 1082 de 2015, así: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4E3FEF90" w14:textId="1A5048E3" w:rsidR="00646E26" w:rsidRPr="000C0FED" w:rsidRDefault="00646E26" w:rsidP="003270C7">
      <w:pPr>
        <w:widowControl w:val="0"/>
        <w:autoSpaceDE w:val="0"/>
        <w:autoSpaceDN w:val="0"/>
        <w:spacing w:before="0"/>
        <w:ind w:firstLine="709"/>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No obstante, para precisar los documentos que deben ser objeto del deber de publicidad, es necesario realizar una interpretación sistemática de las disposiciones del Decreto 1082 del 2015, comoquiera que el anterior no es un listado taxativo, sino que tiene carácter enunciativo, ya que además de los documentos </w:t>
      </w:r>
      <w:r w:rsidR="00801E19">
        <w:rPr>
          <w:rFonts w:ascii="Arial" w:eastAsia="Arial" w:hAnsi="Arial" w:cs="Arial"/>
          <w:color w:val="000000" w:themeColor="text1"/>
          <w:sz w:val="22"/>
          <w:lang w:val="es-ES"/>
        </w:rPr>
        <w:t>listados</w:t>
      </w:r>
      <w:r w:rsidRPr="000C0FED">
        <w:rPr>
          <w:rFonts w:ascii="Arial" w:eastAsia="Arial" w:hAnsi="Arial" w:cs="Arial"/>
          <w:color w:val="000000" w:themeColor="text1"/>
          <w:sz w:val="22"/>
          <w:lang w:val="es-ES"/>
        </w:rPr>
        <w:t xml:space="preserve">, el artículo 2.2.1.1.1.3.1 </w:t>
      </w:r>
      <w:proofErr w:type="spellStart"/>
      <w:r w:rsidRPr="000C0FED">
        <w:rPr>
          <w:rFonts w:ascii="Arial" w:eastAsia="Arial" w:hAnsi="Arial" w:cs="Arial"/>
          <w:i/>
          <w:iCs/>
          <w:color w:val="000000" w:themeColor="text1"/>
          <w:sz w:val="22"/>
          <w:lang w:val="es-ES"/>
        </w:rPr>
        <w:t>Ibídem</w:t>
      </w:r>
      <w:proofErr w:type="spellEnd"/>
      <w:r w:rsidRPr="000C0FED">
        <w:rPr>
          <w:rFonts w:ascii="Arial" w:eastAsia="Arial" w:hAnsi="Arial" w:cs="Arial"/>
          <w:color w:val="000000" w:themeColor="text1"/>
          <w:sz w:val="22"/>
          <w:lang w:val="es-ES"/>
        </w:rPr>
        <w:t xml:space="preserve"> recoge dentro de la noción de </w:t>
      </w:r>
      <w:r w:rsidRPr="000C0FED">
        <w:rPr>
          <w:rFonts w:ascii="Arial" w:eastAsia="Arial" w:hAnsi="Arial" w:cs="Arial"/>
          <w:i/>
          <w:iCs/>
          <w:color w:val="000000" w:themeColor="text1"/>
          <w:sz w:val="22"/>
          <w:lang w:val="es-ES"/>
        </w:rPr>
        <w:t>Documentos del Proceso</w:t>
      </w:r>
      <w:r w:rsidRPr="000C0FED">
        <w:rPr>
          <w:rFonts w:ascii="Arial" w:eastAsia="Arial" w:hAnsi="Arial" w:cs="Arial"/>
          <w:color w:val="000000" w:themeColor="text1"/>
          <w:sz w:val="22"/>
          <w:lang w:val="es-ES"/>
        </w:rPr>
        <w:t xml:space="preserve"> a «cualquier otro documento expedido por la Entidad Estatal durante el </w:t>
      </w:r>
      <w:r w:rsidRPr="000C0FED">
        <w:rPr>
          <w:rFonts w:ascii="Arial" w:eastAsia="Arial" w:hAnsi="Arial" w:cs="Arial"/>
          <w:i/>
          <w:iCs/>
          <w:color w:val="000000" w:themeColor="text1"/>
          <w:sz w:val="22"/>
          <w:lang w:val="es-ES"/>
        </w:rPr>
        <w:t>Proceso de Contratación»</w:t>
      </w:r>
      <w:r w:rsidRPr="000C0FED">
        <w:rPr>
          <w:rFonts w:ascii="Arial" w:eastAsia="Arial" w:hAnsi="Arial" w:cs="Arial"/>
          <w:color w:val="000000" w:themeColor="text1"/>
          <w:sz w:val="22"/>
          <w:lang w:val="es-ES"/>
        </w:rPr>
        <w:t xml:space="preserve">. Este mismo artículo define la expresión </w:t>
      </w:r>
      <w:r w:rsidRPr="000C0FED">
        <w:rPr>
          <w:rFonts w:ascii="Arial" w:eastAsia="Arial" w:hAnsi="Arial" w:cs="Arial"/>
          <w:i/>
          <w:iCs/>
          <w:color w:val="000000" w:themeColor="text1"/>
          <w:sz w:val="22"/>
          <w:lang w:val="es-ES"/>
        </w:rPr>
        <w:t>Proceso de Contratación</w:t>
      </w:r>
      <w:r w:rsidRPr="000C0FED">
        <w:rPr>
          <w:rFonts w:ascii="Arial" w:eastAsia="Arial" w:hAnsi="Arial" w:cs="Arial"/>
          <w:color w:val="000000" w:themeColor="text1"/>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05D64580" w14:textId="40E39D57" w:rsidR="00646E26" w:rsidRPr="000C0FED" w:rsidRDefault="00646E26" w:rsidP="003270C7">
      <w:pPr>
        <w:widowControl w:val="0"/>
        <w:autoSpaceDE w:val="0"/>
        <w:autoSpaceDN w:val="0"/>
        <w:spacing w:before="0"/>
        <w:ind w:firstLine="708"/>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En ese sentido, la interpretación sistemática de los preceptos normativos del Decreto 1082 de 2015 en mención, acorde </w:t>
      </w:r>
      <w:r w:rsidR="00801E19">
        <w:rPr>
          <w:rFonts w:ascii="Arial" w:eastAsia="Arial" w:hAnsi="Arial" w:cs="Arial"/>
          <w:color w:val="000000" w:themeColor="text1"/>
          <w:sz w:val="22"/>
          <w:lang w:val="es-ES"/>
        </w:rPr>
        <w:t>con el</w:t>
      </w:r>
      <w:r w:rsidRPr="000C0FED">
        <w:rPr>
          <w:rFonts w:ascii="Arial" w:eastAsia="Arial" w:hAnsi="Arial" w:cs="Arial"/>
          <w:color w:val="000000" w:themeColor="text1"/>
          <w:sz w:val="22"/>
          <w:lang w:val="es-ES"/>
        </w:rPr>
        <w:t xml:space="preserve"> principio de publicidad</w:t>
      </w:r>
      <w:r w:rsidR="000E0CFC">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 xml:space="preserve"> indica que las entidades estatales tienen la obligación de publicar en el SECOP todos los documentos expedidos con ocasión del </w:t>
      </w:r>
      <w:r w:rsidRPr="000C0FED">
        <w:rPr>
          <w:rFonts w:ascii="Arial" w:eastAsia="Arial" w:hAnsi="Arial" w:cs="Arial"/>
          <w:i/>
          <w:iCs/>
          <w:color w:val="000000" w:themeColor="text1"/>
          <w:sz w:val="22"/>
          <w:lang w:val="es-ES"/>
        </w:rPr>
        <w:t>Proceso de Contratación</w:t>
      </w:r>
      <w:r w:rsidRPr="000C0FED">
        <w:rPr>
          <w:rFonts w:ascii="Arial" w:eastAsia="Arial" w:hAnsi="Arial" w:cs="Arial"/>
          <w:color w:val="000000" w:themeColor="text1"/>
          <w:sz w:val="22"/>
          <w:lang w:val="es-ES"/>
        </w:rPr>
        <w:t xml:space="preserve">, esto es, desde su fase de planeación, </w:t>
      </w:r>
      <w:r w:rsidR="009965A9">
        <w:rPr>
          <w:rFonts w:ascii="Arial" w:eastAsia="Arial" w:hAnsi="Arial" w:cs="Arial"/>
          <w:color w:val="000000" w:themeColor="text1"/>
          <w:sz w:val="22"/>
          <w:lang w:val="es-ES"/>
        </w:rPr>
        <w:t>condensada</w:t>
      </w:r>
      <w:r w:rsidRPr="000C0FED">
        <w:rPr>
          <w:rFonts w:ascii="Arial" w:eastAsia="Arial" w:hAnsi="Arial" w:cs="Arial"/>
          <w:color w:val="000000" w:themeColor="text1"/>
          <w:sz w:val="22"/>
          <w:lang w:val="es-ES"/>
        </w:rPr>
        <w:t xml:space="preserve"> en los estudios previos</w:t>
      </w:r>
      <w:r w:rsidR="009965A9">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 xml:space="preserve"> hasta «el vencimiento de las garantías de calidad, estabilidad y mantenimiento, o las condiciones de disposición final o recuperación ambiental de las obras o bienes o el vencimiento del plazo, lo que ocurra más tarde», lo cual significa que todos los documentos expedidos por la entidad estatal durante las etapas precontractual, de ejecución y </w:t>
      </w:r>
      <w:proofErr w:type="spellStart"/>
      <w:r w:rsidRPr="000C0FED">
        <w:rPr>
          <w:rFonts w:ascii="Arial" w:eastAsia="Arial" w:hAnsi="Arial" w:cs="Arial"/>
          <w:color w:val="000000" w:themeColor="text1"/>
          <w:sz w:val="22"/>
          <w:lang w:val="es-ES"/>
        </w:rPr>
        <w:t>postcontractual</w:t>
      </w:r>
      <w:proofErr w:type="spellEnd"/>
      <w:r w:rsidRPr="000C0FED">
        <w:rPr>
          <w:rFonts w:ascii="Arial" w:eastAsia="Arial" w:hAnsi="Arial" w:cs="Arial"/>
          <w:color w:val="000000" w:themeColor="text1"/>
          <w:sz w:val="22"/>
          <w:lang w:val="es-ES"/>
        </w:rPr>
        <w:t xml:space="preserve"> deben publica</w:t>
      </w:r>
      <w:r>
        <w:rPr>
          <w:rFonts w:ascii="Arial" w:eastAsia="Arial" w:hAnsi="Arial" w:cs="Arial"/>
          <w:color w:val="000000" w:themeColor="text1"/>
          <w:sz w:val="22"/>
          <w:lang w:val="es-ES"/>
        </w:rPr>
        <w:t>rse</w:t>
      </w:r>
      <w:r w:rsidRPr="000C0FED">
        <w:rPr>
          <w:rFonts w:ascii="Arial" w:eastAsia="Arial" w:hAnsi="Arial" w:cs="Arial"/>
          <w:color w:val="000000" w:themeColor="text1"/>
          <w:sz w:val="22"/>
          <w:lang w:val="es-ES"/>
        </w:rPr>
        <w:t xml:space="preserve"> en </w:t>
      </w:r>
      <w:r>
        <w:rPr>
          <w:rFonts w:ascii="Arial" w:eastAsia="Arial" w:hAnsi="Arial" w:cs="Arial"/>
          <w:color w:val="000000" w:themeColor="text1"/>
          <w:sz w:val="22"/>
          <w:lang w:val="es-ES"/>
        </w:rPr>
        <w:t xml:space="preserve">el </w:t>
      </w:r>
      <w:r w:rsidRPr="000C0FED">
        <w:rPr>
          <w:rFonts w:ascii="Arial" w:eastAsia="Arial" w:hAnsi="Arial" w:cs="Arial"/>
          <w:color w:val="000000" w:themeColor="text1"/>
          <w:sz w:val="22"/>
          <w:lang w:val="es-ES"/>
        </w:rPr>
        <w:t>SECOP dentro de los tres días siguientes a su expedición, a efectos de cumplir con el deber de publicidad regulado por el artículo 2.2.1.1.1.7.1. del Decreto 1082 de 2015.</w:t>
      </w:r>
    </w:p>
    <w:p w14:paraId="0834FF58" w14:textId="10886B19" w:rsidR="00646E26" w:rsidRPr="000C0FED" w:rsidRDefault="00646E26" w:rsidP="003270C7">
      <w:pPr>
        <w:widowControl w:val="0"/>
        <w:autoSpaceDE w:val="0"/>
        <w:autoSpaceDN w:val="0"/>
        <w:spacing w:before="0"/>
        <w:ind w:firstLine="708"/>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De conformidad con lo establecido en la segunda parte del inciso primero del artículo 2.2.1.1.1.7.1 </w:t>
      </w:r>
      <w:proofErr w:type="spellStart"/>
      <w:r w:rsidRPr="000C0FED">
        <w:rPr>
          <w:rFonts w:ascii="Arial" w:eastAsia="Arial" w:hAnsi="Arial" w:cs="Arial"/>
          <w:i/>
          <w:iCs/>
          <w:color w:val="000000" w:themeColor="text1"/>
          <w:sz w:val="22"/>
          <w:lang w:val="es-ES"/>
        </w:rPr>
        <w:t>Ibídem</w:t>
      </w:r>
      <w:proofErr w:type="spellEnd"/>
      <w:r w:rsidRPr="000C0FED">
        <w:rPr>
          <w:rFonts w:ascii="Arial" w:eastAsia="Arial" w:hAnsi="Arial" w:cs="Arial"/>
          <w:color w:val="000000" w:themeColor="text1"/>
          <w:sz w:val="22"/>
          <w:lang w:val="es-ES"/>
        </w:rPr>
        <w:t xml:space="preserve">, el deber de </w:t>
      </w:r>
      <w:r>
        <w:rPr>
          <w:rFonts w:ascii="Arial" w:eastAsia="Arial" w:hAnsi="Arial" w:cs="Arial"/>
          <w:color w:val="000000" w:themeColor="text1"/>
          <w:sz w:val="22"/>
          <w:lang w:val="es-ES"/>
        </w:rPr>
        <w:t>publicar</w:t>
      </w:r>
      <w:r w:rsidRPr="000C0FED">
        <w:rPr>
          <w:rFonts w:ascii="Arial" w:eastAsia="Arial" w:hAnsi="Arial" w:cs="Arial"/>
          <w:color w:val="000000" w:themeColor="text1"/>
          <w:sz w:val="22"/>
          <w:lang w:val="es-ES"/>
        </w:rPr>
        <w:t xml:space="preserve"> las actuaciones sucedidas en el marco del Proceso de Contratación, en lo refe</w:t>
      </w:r>
      <w:r>
        <w:rPr>
          <w:rFonts w:ascii="Arial" w:eastAsia="Arial" w:hAnsi="Arial" w:cs="Arial"/>
          <w:color w:val="000000" w:themeColor="text1"/>
          <w:sz w:val="22"/>
          <w:lang w:val="es-ES"/>
        </w:rPr>
        <w:t>re</w:t>
      </w:r>
      <w:r w:rsidRPr="000C0FED">
        <w:rPr>
          <w:rFonts w:ascii="Arial" w:eastAsia="Arial" w:hAnsi="Arial" w:cs="Arial"/>
          <w:color w:val="000000" w:themeColor="text1"/>
          <w:sz w:val="22"/>
          <w:lang w:val="es-ES"/>
        </w:rPr>
        <w:t>nte a las ofertas presentadas, solo se predica de la oferta del adju</w:t>
      </w:r>
      <w:r w:rsidR="00A97D9C">
        <w:rPr>
          <w:rFonts w:ascii="Arial" w:eastAsia="Arial" w:hAnsi="Arial" w:cs="Arial"/>
          <w:color w:val="000000" w:themeColor="text1"/>
          <w:sz w:val="22"/>
          <w:lang w:val="es-ES"/>
        </w:rPr>
        <w:t>di</w:t>
      </w:r>
      <w:r w:rsidRPr="000C0FED">
        <w:rPr>
          <w:rFonts w:ascii="Arial" w:eastAsia="Arial" w:hAnsi="Arial" w:cs="Arial"/>
          <w:color w:val="000000" w:themeColor="text1"/>
          <w:sz w:val="22"/>
          <w:lang w:val="es-ES"/>
        </w:rPr>
        <w:t xml:space="preserve">catario del proceso, por lo que no </w:t>
      </w:r>
      <w:r>
        <w:rPr>
          <w:rFonts w:ascii="Arial" w:eastAsia="Arial" w:hAnsi="Arial" w:cs="Arial"/>
          <w:color w:val="000000" w:themeColor="text1"/>
          <w:sz w:val="22"/>
          <w:lang w:val="es-ES"/>
        </w:rPr>
        <w:t>es</w:t>
      </w:r>
      <w:r w:rsidRPr="000C0FED">
        <w:rPr>
          <w:rFonts w:ascii="Arial" w:eastAsia="Arial" w:hAnsi="Arial" w:cs="Arial"/>
          <w:color w:val="000000" w:themeColor="text1"/>
          <w:sz w:val="22"/>
          <w:lang w:val="es-ES"/>
        </w:rPr>
        <w:t xml:space="preserve"> necesario publicar las otras ofertas. </w:t>
      </w:r>
      <w:r w:rsidRPr="000C0FED">
        <w:rPr>
          <w:rFonts w:ascii="Arial" w:eastAsia="Arial" w:hAnsi="Arial" w:cs="Arial"/>
          <w:i/>
          <w:iCs/>
          <w:color w:val="000000" w:themeColor="text1"/>
          <w:sz w:val="22"/>
          <w:lang w:val="es-ES"/>
        </w:rPr>
        <w:t xml:space="preserve"> </w:t>
      </w:r>
      <w:r w:rsidRPr="000C0FED">
        <w:rPr>
          <w:rFonts w:ascii="Arial" w:eastAsia="Arial" w:hAnsi="Arial" w:cs="Arial"/>
          <w:color w:val="000000" w:themeColor="text1"/>
          <w:sz w:val="22"/>
          <w:lang w:val="es-ES"/>
        </w:rPr>
        <w:t>De este deber de publicidad, de conformidad con la tercera parte del inciso primero de la referida norma, tambi</w:t>
      </w:r>
      <w:r>
        <w:rPr>
          <w:rFonts w:ascii="Arial" w:eastAsia="Arial" w:hAnsi="Arial" w:cs="Arial"/>
          <w:color w:val="000000" w:themeColor="text1"/>
          <w:sz w:val="22"/>
          <w:lang w:val="es-ES"/>
        </w:rPr>
        <w:t>é</w:t>
      </w:r>
      <w:r w:rsidRPr="000C0FED">
        <w:rPr>
          <w:rFonts w:ascii="Arial" w:eastAsia="Arial" w:hAnsi="Arial" w:cs="Arial"/>
          <w:color w:val="000000" w:themeColor="text1"/>
          <w:sz w:val="22"/>
          <w:lang w:val="es-ES"/>
        </w:rPr>
        <w:t>n se encuentran relevados los documentos de las operaciones que se realicen en bolsa de productos.</w:t>
      </w:r>
    </w:p>
    <w:p w14:paraId="1CB22520" w14:textId="77777777" w:rsidR="00646E26" w:rsidRPr="000C0FED" w:rsidRDefault="00646E26" w:rsidP="003270C7">
      <w:pPr>
        <w:widowControl w:val="0"/>
        <w:autoSpaceDE w:val="0"/>
        <w:autoSpaceDN w:val="0"/>
        <w:spacing w:before="0"/>
        <w:ind w:firstLine="708"/>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w:t>
      </w:r>
      <w:r>
        <w:rPr>
          <w:rFonts w:ascii="Arial" w:eastAsia="Arial" w:hAnsi="Arial" w:cs="Arial"/>
          <w:color w:val="000000" w:themeColor="text1"/>
          <w:sz w:val="22"/>
          <w:lang w:val="es-ES"/>
        </w:rPr>
        <w:t xml:space="preserve">y </w:t>
      </w:r>
      <w:r w:rsidRPr="000C0FED">
        <w:rPr>
          <w:rFonts w:ascii="Arial" w:eastAsia="Arial" w:hAnsi="Arial" w:cs="Arial"/>
          <w:color w:val="000000" w:themeColor="text1"/>
          <w:sz w:val="22"/>
          <w:lang w:val="es-ES"/>
        </w:rPr>
        <w:t>actuaciones relacionad</w:t>
      </w:r>
      <w:r>
        <w:rPr>
          <w:rFonts w:ascii="Arial" w:eastAsia="Arial" w:hAnsi="Arial" w:cs="Arial"/>
          <w:color w:val="000000" w:themeColor="text1"/>
          <w:sz w:val="22"/>
          <w:lang w:val="es-ES"/>
        </w:rPr>
        <w:t>a</w:t>
      </w:r>
      <w:r w:rsidRPr="000C0FED">
        <w:rPr>
          <w:rFonts w:ascii="Arial" w:eastAsia="Arial" w:hAnsi="Arial" w:cs="Arial"/>
          <w:color w:val="000000" w:themeColor="text1"/>
          <w:sz w:val="22"/>
          <w:lang w:val="es-ES"/>
        </w:rPr>
        <w:t xml:space="preserve">s con el proceso de contratación expedidos durante las etapas precontractual, de ejecución y </w:t>
      </w:r>
      <w:proofErr w:type="spellStart"/>
      <w:r w:rsidRPr="000C0FED">
        <w:rPr>
          <w:rFonts w:ascii="Arial" w:eastAsia="Arial" w:hAnsi="Arial" w:cs="Arial"/>
          <w:color w:val="000000" w:themeColor="text1"/>
          <w:sz w:val="22"/>
          <w:lang w:val="es-ES"/>
        </w:rPr>
        <w:t>postcontractual</w:t>
      </w:r>
      <w:proofErr w:type="spellEnd"/>
      <w:r w:rsidRPr="000C0FED">
        <w:rPr>
          <w:rFonts w:ascii="Arial" w:eastAsia="Arial" w:hAnsi="Arial" w:cs="Arial"/>
          <w:color w:val="000000" w:themeColor="text1"/>
          <w:sz w:val="22"/>
          <w:lang w:val="es-ES"/>
        </w:rPr>
        <w:t>, deber que alcanza a todas las modalidades de selección y entidades regidas por el Estatuto General de Contratación de la Administración Pública, y del que solo se encuentran relevad</w:t>
      </w:r>
      <w:r>
        <w:rPr>
          <w:rFonts w:ascii="Arial" w:eastAsia="Arial" w:hAnsi="Arial" w:cs="Arial"/>
          <w:color w:val="000000" w:themeColor="text1"/>
          <w:sz w:val="22"/>
          <w:lang w:val="es-ES"/>
        </w:rPr>
        <w:t>a</w:t>
      </w:r>
      <w:r w:rsidRPr="000C0FED">
        <w:rPr>
          <w:rFonts w:ascii="Arial" w:eastAsia="Arial" w:hAnsi="Arial" w:cs="Arial"/>
          <w:color w:val="000000" w:themeColor="text1"/>
          <w:sz w:val="22"/>
          <w:lang w:val="es-ES"/>
        </w:rPr>
        <w:t xml:space="preserve">s las ofertas </w:t>
      </w:r>
      <w:r>
        <w:rPr>
          <w:rFonts w:ascii="Arial" w:eastAsia="Arial" w:hAnsi="Arial" w:cs="Arial"/>
          <w:color w:val="000000" w:themeColor="text1"/>
          <w:sz w:val="22"/>
          <w:lang w:val="es-ES"/>
        </w:rPr>
        <w:t>de quienes no fueron adjudicatarios</w:t>
      </w:r>
      <w:r w:rsidRPr="000C0FED">
        <w:rPr>
          <w:rFonts w:ascii="Arial" w:eastAsia="Arial" w:hAnsi="Arial" w:cs="Arial"/>
          <w:color w:val="000000" w:themeColor="text1"/>
          <w:sz w:val="22"/>
          <w:lang w:val="es-ES"/>
        </w:rPr>
        <w:t xml:space="preserve"> y los documentos expedidos en el marco de operaciones de bolsa</w:t>
      </w:r>
      <w:r>
        <w:rPr>
          <w:rFonts w:ascii="Arial" w:eastAsia="Arial" w:hAnsi="Arial" w:cs="Arial"/>
          <w:color w:val="000000" w:themeColor="text1"/>
          <w:sz w:val="22"/>
          <w:lang w:val="es-ES"/>
        </w:rPr>
        <w:t>s</w:t>
      </w:r>
      <w:r w:rsidRPr="000C0FED">
        <w:rPr>
          <w:rFonts w:ascii="Arial" w:eastAsia="Arial" w:hAnsi="Arial" w:cs="Arial"/>
          <w:color w:val="000000" w:themeColor="text1"/>
          <w:sz w:val="22"/>
          <w:lang w:val="es-ES"/>
        </w:rPr>
        <w:t xml:space="preserve"> de productos.</w:t>
      </w:r>
    </w:p>
    <w:p w14:paraId="7946FC16" w14:textId="694A2071" w:rsidR="00646E26" w:rsidRPr="00646E26" w:rsidRDefault="00646E26" w:rsidP="003270C7">
      <w:pPr>
        <w:spacing w:before="0"/>
        <w:ind w:firstLine="709"/>
        <w:rPr>
          <w:rFonts w:ascii="Arial" w:eastAsia="Calibri" w:hAnsi="Arial" w:cs="Arial"/>
          <w:color w:val="000000" w:themeColor="text1"/>
          <w:sz w:val="22"/>
          <w:lang w:val="es-ES"/>
        </w:rPr>
      </w:pPr>
      <w:r w:rsidRPr="00646E26">
        <w:rPr>
          <w:rFonts w:ascii="Arial" w:eastAsia="Calibri" w:hAnsi="Arial" w:cs="Arial"/>
          <w:color w:val="000000" w:themeColor="text1"/>
          <w:sz w:val="22"/>
          <w:lang w:val="es-ES"/>
        </w:rPr>
        <w:lastRenderedPageBreak/>
        <w:t>No obstante, el deber de publicidad de los documentos relacionados con la contratación no se encuentra solamente regulado por las normas que conforman el Estatuto General de Contratación de la Administración Pública, ya que la Ley 1712 de 2014</w:t>
      </w:r>
      <w:r w:rsidR="005C669E">
        <w:rPr>
          <w:rFonts w:ascii="Arial" w:eastAsia="Calibri" w:hAnsi="Arial" w:cs="Arial"/>
          <w:color w:val="000000" w:themeColor="text1"/>
          <w:sz w:val="22"/>
          <w:lang w:val="es-ES"/>
        </w:rPr>
        <w:t xml:space="preserve"> –</w:t>
      </w:r>
      <w:r w:rsidRPr="00646E26">
        <w:rPr>
          <w:rFonts w:ascii="Arial" w:eastAsia="Calibri" w:hAnsi="Arial" w:cs="Arial"/>
          <w:color w:val="000000" w:themeColor="text1"/>
          <w:sz w:val="22"/>
          <w:lang w:val="es-ES"/>
        </w:rPr>
        <w:t>Ley de Transparencia y del Derecho de Acceso a la Información Pública</w:t>
      </w:r>
      <w:r w:rsidR="005C669E">
        <w:rPr>
          <w:rFonts w:ascii="Arial" w:eastAsia="Calibri" w:hAnsi="Arial" w:cs="Arial"/>
          <w:color w:val="000000" w:themeColor="text1"/>
          <w:sz w:val="22"/>
          <w:lang w:val="es-ES"/>
        </w:rPr>
        <w:t>–</w:t>
      </w:r>
      <w:r w:rsidRPr="00646E26">
        <w:rPr>
          <w:rFonts w:ascii="Arial" w:eastAsia="Calibri" w:hAnsi="Arial" w:cs="Arial"/>
          <w:color w:val="000000" w:themeColor="text1"/>
          <w:sz w:val="22"/>
          <w:lang w:val="es-ES"/>
        </w:rPr>
        <w:t xml:space="preserve">, señala en el literal g), </w:t>
      </w:r>
      <w:r w:rsidR="005C669E">
        <w:rPr>
          <w:rFonts w:ascii="Arial" w:eastAsia="Calibri" w:hAnsi="Arial" w:cs="Arial"/>
          <w:color w:val="000000" w:themeColor="text1"/>
          <w:sz w:val="22"/>
          <w:lang w:val="es-ES"/>
        </w:rPr>
        <w:t xml:space="preserve">del </w:t>
      </w:r>
      <w:r w:rsidRPr="00646E26">
        <w:rPr>
          <w:rFonts w:ascii="Arial" w:eastAsia="Calibri" w:hAnsi="Arial" w:cs="Arial"/>
          <w:color w:val="000000" w:themeColor="text1"/>
          <w:sz w:val="22"/>
          <w:lang w:val="es-ES"/>
        </w:rPr>
        <w:t xml:space="preserve">artículo 11, que todo sujeto obligado debe publicar sus procedimientos, lineamientos, políticas en materia de adquisiciones y </w:t>
      </w:r>
      <w:r w:rsidRPr="000C0FED">
        <w:rPr>
          <w:rFonts w:ascii="Arial" w:eastAsia="Calibri" w:hAnsi="Arial" w:cs="Arial"/>
          <w:color w:val="000000" w:themeColor="text1"/>
          <w:sz w:val="22"/>
          <w:lang w:val="es-ES"/>
        </w:rPr>
        <w:t>compras</w:t>
      </w:r>
      <w:r w:rsidRPr="00646E26">
        <w:rPr>
          <w:rFonts w:ascii="Arial" w:eastAsia="Calibri" w:hAnsi="Arial" w:cs="Arial"/>
          <w:color w:val="000000" w:themeColor="text1"/>
          <w:sz w:val="22"/>
          <w:lang w:val="es-ES"/>
        </w:rPr>
        <w:t>, así como todos los datos de adjudicación y ejecución de sus contratos. Esta obligación es reglamentada por el Decreto 1081 de 2015, el cual señala en el artículo 2.1.1.2.1.8, que se debe publicar la información relativa a la ejecución del contrato, señalando de forma enunciativa las aprobaciones, autorizaciones, requerimientos o informes del supervisor o interventor, que aprueben la ejecución del contrato</w:t>
      </w:r>
      <w:r w:rsidRPr="000C0FED">
        <w:rPr>
          <w:rStyle w:val="Refdenotaalpie"/>
          <w:rFonts w:ascii="Arial" w:eastAsia="Calibri" w:hAnsi="Arial" w:cs="Arial"/>
          <w:color w:val="000000" w:themeColor="text1"/>
          <w:sz w:val="22"/>
        </w:rPr>
        <w:footnoteReference w:id="12"/>
      </w:r>
      <w:r w:rsidRPr="00646E26">
        <w:rPr>
          <w:rFonts w:ascii="Arial" w:eastAsia="Calibri" w:hAnsi="Arial" w:cs="Arial"/>
          <w:color w:val="000000" w:themeColor="text1"/>
          <w:sz w:val="22"/>
          <w:lang w:val="es-ES"/>
        </w:rPr>
        <w:t>. Por su parte, el artículo 2.1.1.2.1.9 señala que las entidades deben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0C0FED">
        <w:rPr>
          <w:rStyle w:val="Refdenotaalpie"/>
          <w:rFonts w:ascii="Arial" w:eastAsia="Calibri" w:hAnsi="Arial" w:cs="Arial"/>
          <w:color w:val="000000" w:themeColor="text1"/>
          <w:sz w:val="22"/>
        </w:rPr>
        <w:footnoteReference w:id="13"/>
      </w:r>
      <w:r w:rsidRPr="00646E26">
        <w:rPr>
          <w:rFonts w:ascii="Arial" w:eastAsia="Calibri" w:hAnsi="Arial" w:cs="Arial"/>
          <w:color w:val="000000" w:themeColor="text1"/>
          <w:sz w:val="22"/>
          <w:lang w:val="es-ES"/>
        </w:rPr>
        <w:t>. Finalmente, el artículo 2.1.1.2.1.10 establece la obligación que tienen las entidades de publicar en el SECOP el Plan Anual de Adquisiciones</w:t>
      </w:r>
      <w:r w:rsidRPr="000C0FED">
        <w:rPr>
          <w:rStyle w:val="Refdenotaalpie"/>
          <w:rFonts w:ascii="Arial" w:eastAsia="Calibri" w:hAnsi="Arial" w:cs="Arial"/>
          <w:color w:val="000000" w:themeColor="text1"/>
          <w:sz w:val="22"/>
        </w:rPr>
        <w:footnoteReference w:id="14"/>
      </w:r>
      <w:r w:rsidRPr="00646E26">
        <w:rPr>
          <w:rFonts w:ascii="Arial" w:eastAsia="Calibri" w:hAnsi="Arial" w:cs="Arial"/>
          <w:color w:val="000000" w:themeColor="text1"/>
          <w:sz w:val="22"/>
          <w:lang w:val="es-ES"/>
        </w:rPr>
        <w:t xml:space="preserve">. </w:t>
      </w:r>
    </w:p>
    <w:p w14:paraId="3341D26D" w14:textId="77777777" w:rsidR="00646E26" w:rsidRPr="000C0FED" w:rsidRDefault="00646E26" w:rsidP="003270C7">
      <w:pPr>
        <w:spacing w:before="0"/>
        <w:ind w:firstLine="709"/>
        <w:rPr>
          <w:rFonts w:ascii="Arial" w:eastAsia="Calibri" w:hAnsi="Arial" w:cs="Arial"/>
          <w:bCs/>
          <w:color w:val="000000" w:themeColor="text1"/>
          <w:sz w:val="22"/>
          <w:lang w:val="es-ES_tradnl"/>
        </w:rPr>
      </w:pPr>
      <w:r w:rsidRPr="00646E26">
        <w:rPr>
          <w:rFonts w:ascii="Arial" w:eastAsia="Calibri" w:hAnsi="Arial" w:cs="Arial"/>
          <w:color w:val="000000" w:themeColor="text1"/>
          <w:sz w:val="22"/>
          <w:lang w:val="es-ES"/>
        </w:rPr>
        <w:t xml:space="preserve">De conformidad con lo anterior, el Decreto 1081 de 2015 señala que los documentos que deben publicar las entidades estatales, independientemente del régimen contractual aplicable, son: i) las autorizaciones, requerimientos, aprobaciones o informes del supervisor o del interventor, que prueben la ejecución del contrato, </w:t>
      </w:r>
      <w:proofErr w:type="spellStart"/>
      <w:r w:rsidRPr="00646E26">
        <w:rPr>
          <w:rFonts w:ascii="Arial" w:eastAsia="Calibri" w:hAnsi="Arial" w:cs="Arial"/>
          <w:color w:val="000000" w:themeColor="text1"/>
          <w:sz w:val="22"/>
          <w:lang w:val="es-ES"/>
        </w:rPr>
        <w:t>ii</w:t>
      </w:r>
      <w:proofErr w:type="spellEnd"/>
      <w:r w:rsidRPr="00646E26">
        <w:rPr>
          <w:rFonts w:ascii="Arial" w:eastAsia="Calibri" w:hAnsi="Arial" w:cs="Arial"/>
          <w:color w:val="000000" w:themeColor="text1"/>
          <w:sz w:val="22"/>
          <w:lang w:val="es-ES"/>
        </w:rPr>
        <w:t xml:space="preserve">) los procedimientos, lineamientos y políticas en materia de adquisición que corresponden a los documentos que los conforman, previstos en el manual de contratación de la entidad, y finalmente, </w:t>
      </w:r>
      <w:proofErr w:type="spellStart"/>
      <w:r w:rsidRPr="00646E26">
        <w:rPr>
          <w:rFonts w:ascii="Arial" w:eastAsia="Calibri" w:hAnsi="Arial" w:cs="Arial"/>
          <w:color w:val="000000" w:themeColor="text1"/>
          <w:sz w:val="22"/>
          <w:lang w:val="es-ES"/>
        </w:rPr>
        <w:t>iii</w:t>
      </w:r>
      <w:proofErr w:type="spellEnd"/>
      <w:r w:rsidRPr="00646E26">
        <w:rPr>
          <w:rFonts w:ascii="Arial" w:eastAsia="Calibri" w:hAnsi="Arial" w:cs="Arial"/>
          <w:color w:val="000000" w:themeColor="text1"/>
          <w:sz w:val="22"/>
          <w:lang w:val="es-ES"/>
        </w:rPr>
        <w:t>) el plan anual de adquisiciones. Sin embargo, a pesar de que</w:t>
      </w:r>
      <w:r w:rsidRPr="000C0FED">
        <w:rPr>
          <w:rFonts w:ascii="Arial" w:eastAsia="Calibri" w:hAnsi="Arial" w:cs="Arial"/>
          <w:bCs/>
          <w:color w:val="000000" w:themeColor="text1"/>
          <w:sz w:val="22"/>
          <w:lang w:val="es-ES_tradnl"/>
        </w:rPr>
        <w:t xml:space="preserve"> la Ley 1712 de 2014 y su reglamentación contribuyeron a materializar aspectos importantes relativos al derecho al acceso a la información pública, precisando documentos que los sujetos obligados deben publicar, trat</w:t>
      </w:r>
      <w:r>
        <w:rPr>
          <w:rFonts w:ascii="Arial" w:eastAsia="Calibri" w:hAnsi="Arial" w:cs="Arial"/>
          <w:bCs/>
          <w:color w:val="000000" w:themeColor="text1"/>
          <w:sz w:val="22"/>
          <w:lang w:val="es-ES_tradnl"/>
        </w:rPr>
        <w:t>á</w:t>
      </w:r>
      <w:r w:rsidRPr="000C0FED">
        <w:rPr>
          <w:rFonts w:ascii="Arial" w:eastAsia="Calibri" w:hAnsi="Arial" w:cs="Arial"/>
          <w:bCs/>
          <w:color w:val="000000" w:themeColor="text1"/>
          <w:sz w:val="22"/>
          <w:lang w:val="es-ES_tradnl"/>
        </w:rPr>
        <w:t xml:space="preserve">ndose de entidades sometidas al Estatuto General de Contratación de la Administración Pública, los documentos desarrollados por esta última normativa, con excepción del Plan </w:t>
      </w:r>
      <w:r w:rsidRPr="000C0FED">
        <w:rPr>
          <w:rFonts w:ascii="Arial" w:eastAsia="Calibri" w:hAnsi="Arial" w:cs="Arial"/>
          <w:bCs/>
          <w:color w:val="000000" w:themeColor="text1"/>
          <w:sz w:val="22"/>
          <w:lang w:val="es-ES_tradnl"/>
        </w:rPr>
        <w:lastRenderedPageBreak/>
        <w:t xml:space="preserve">Anual de Adquisiciones, se encuentran comprendidos dentro de la noción de </w:t>
      </w:r>
      <w:r w:rsidRPr="000C0FED">
        <w:rPr>
          <w:rFonts w:ascii="Arial" w:eastAsia="Calibri" w:hAnsi="Arial" w:cs="Arial"/>
          <w:bCs/>
          <w:i/>
          <w:iCs/>
          <w:color w:val="000000" w:themeColor="text1"/>
          <w:sz w:val="22"/>
          <w:lang w:val="es-ES_tradnl"/>
        </w:rPr>
        <w:t>Documentos del Proceso</w:t>
      </w:r>
      <w:r w:rsidRPr="000C0FED">
        <w:rPr>
          <w:rFonts w:ascii="Arial" w:eastAsia="Calibri" w:hAnsi="Arial" w:cs="Arial"/>
          <w:bCs/>
          <w:color w:val="000000" w:themeColor="text1"/>
          <w:sz w:val="22"/>
          <w:lang w:val="es-ES_tradnl"/>
        </w:rPr>
        <w:t xml:space="preserve"> antes acotada, razón por la que estas normas, más que sumar contenido obligacional al deber de public</w:t>
      </w:r>
      <w:r>
        <w:rPr>
          <w:rFonts w:ascii="Arial" w:eastAsia="Calibri" w:hAnsi="Arial" w:cs="Arial"/>
          <w:bCs/>
          <w:color w:val="000000" w:themeColor="text1"/>
          <w:sz w:val="22"/>
          <w:lang w:val="es-ES_tradnl"/>
        </w:rPr>
        <w:t>idad</w:t>
      </w:r>
      <w:r w:rsidRPr="000C0FED">
        <w:rPr>
          <w:rFonts w:ascii="Arial" w:eastAsia="Calibri" w:hAnsi="Arial" w:cs="Arial"/>
          <w:bCs/>
          <w:color w:val="000000" w:themeColor="text1"/>
          <w:sz w:val="22"/>
          <w:lang w:val="es-ES_tradnl"/>
        </w:rPr>
        <w:t xml:space="preserve"> de las actuaciones contractuales, refuerzan el fundamento normativo de dicho deber. </w:t>
      </w:r>
    </w:p>
    <w:p w14:paraId="7F3271F1" w14:textId="77777777" w:rsidR="00646E26" w:rsidRPr="00646E26" w:rsidRDefault="00646E26" w:rsidP="003270C7">
      <w:pPr>
        <w:spacing w:before="0"/>
        <w:ind w:firstLine="709"/>
        <w:rPr>
          <w:rFonts w:ascii="Arial" w:eastAsia="Calibri" w:hAnsi="Arial" w:cs="Arial"/>
          <w:color w:val="000000" w:themeColor="text1"/>
          <w:sz w:val="22"/>
          <w:lang w:val="es-ES"/>
        </w:rPr>
      </w:pPr>
      <w:r w:rsidRPr="000C0FED">
        <w:rPr>
          <w:rFonts w:ascii="Arial" w:eastAsia="Calibri" w:hAnsi="Arial" w:cs="Arial"/>
          <w:bCs/>
          <w:color w:val="000000" w:themeColor="text1"/>
          <w:sz w:val="22"/>
          <w:lang w:val="es-ES_tradnl"/>
        </w:rPr>
        <w:t>En lo relativo al Plan Anual de Adquisiciones, es preciso aclarar que si bien este es una herramienta de planeación para los procesos de contratación a la que concurren los elementos de un acto administrativo, de conformidad con lo expuesto por esta Agencia en el concepto C–237 del 24 de abril de 2020 –</w:t>
      </w:r>
      <w:r w:rsidRPr="00646E26">
        <w:rPr>
          <w:color w:val="000000" w:themeColor="text1"/>
          <w:lang w:val="es-ES"/>
        </w:rPr>
        <w:t xml:space="preserve"> </w:t>
      </w:r>
      <w:r w:rsidRPr="000C0FED">
        <w:rPr>
          <w:rFonts w:ascii="Arial" w:eastAsia="Calibri" w:hAnsi="Arial" w:cs="Arial"/>
          <w:bCs/>
          <w:color w:val="000000" w:themeColor="text1"/>
          <w:sz w:val="22"/>
          <w:lang w:val="es-ES_tradnl"/>
        </w:rPr>
        <w:t xml:space="preserve">4202013000001884–, </w:t>
      </w:r>
      <w:r w:rsidRPr="00646E26">
        <w:rPr>
          <w:rFonts w:ascii="Arial" w:eastAsia="Calibri" w:hAnsi="Arial" w:cs="Arial"/>
          <w:color w:val="000000" w:themeColor="text1"/>
          <w:sz w:val="22"/>
          <w:lang w:val="es-ES"/>
        </w:rPr>
        <w:t>este es un acto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4D4A1C4B" w14:textId="316401C6" w:rsidR="00646E26" w:rsidRPr="00BA0125" w:rsidRDefault="00646E26" w:rsidP="003270C7">
      <w:pPr>
        <w:spacing w:before="0"/>
        <w:ind w:firstLine="709"/>
        <w:rPr>
          <w:rStyle w:val="Textoennegrita"/>
          <w:rFonts w:ascii="Arial" w:hAnsi="Arial" w:cs="Arial"/>
          <w:b w:val="0"/>
          <w:bCs w:val="0"/>
          <w:color w:val="000000" w:themeColor="text1"/>
          <w:sz w:val="22"/>
          <w:lang w:val="es-ES"/>
        </w:rPr>
      </w:pPr>
      <w:r w:rsidRPr="00646E26">
        <w:rPr>
          <w:rFonts w:ascii="Arial" w:eastAsia="Calibri" w:hAnsi="Arial" w:cs="Arial"/>
          <w:color w:val="000000" w:themeColor="text1"/>
          <w:sz w:val="22"/>
          <w:lang w:val="es-ES"/>
        </w:rPr>
        <w:t xml:space="preserve">En ese sentido, el Plan Anual de Adquisiciones no se encuentra inmerso dentro de la noción omnicomprensiva de </w:t>
      </w:r>
      <w:r w:rsidRPr="00646E26">
        <w:rPr>
          <w:rFonts w:ascii="Arial" w:eastAsia="Calibri" w:hAnsi="Arial" w:cs="Arial"/>
          <w:i/>
          <w:iCs/>
          <w:color w:val="000000" w:themeColor="text1"/>
          <w:sz w:val="22"/>
          <w:lang w:val="es-ES"/>
        </w:rPr>
        <w:t xml:space="preserve">Documentos del Proceso </w:t>
      </w:r>
      <w:r w:rsidRPr="00646E26">
        <w:rPr>
          <w:rFonts w:ascii="Arial" w:eastAsia="Calibri" w:hAnsi="Arial" w:cs="Arial"/>
          <w:color w:val="000000" w:themeColor="text1"/>
          <w:sz w:val="22"/>
          <w:lang w:val="es-ES"/>
        </w:rPr>
        <w:t xml:space="preserve">del artículo </w:t>
      </w:r>
      <w:r w:rsidRPr="000C0FED">
        <w:rPr>
          <w:rFonts w:ascii="Arial" w:eastAsia="Calibri" w:hAnsi="Arial" w:cs="Arial"/>
          <w:color w:val="000000" w:themeColor="text1"/>
          <w:sz w:val="22"/>
          <w:lang w:val="es-ES"/>
        </w:rPr>
        <w:t xml:space="preserve">2.2.1.1.1.3.1 del Decreto 1082 de 2015, por lo que el deber de su publicación encuentra sustento en normas distintas del artículo 2.2.1.1.1.7.1 </w:t>
      </w:r>
      <w:proofErr w:type="spellStart"/>
      <w:r>
        <w:rPr>
          <w:rFonts w:ascii="Arial" w:eastAsia="Calibri" w:hAnsi="Arial" w:cs="Arial"/>
          <w:i/>
          <w:iCs/>
          <w:color w:val="000000" w:themeColor="text1"/>
          <w:sz w:val="22"/>
          <w:lang w:val="es-ES"/>
        </w:rPr>
        <w:t>I</w:t>
      </w:r>
      <w:r w:rsidRPr="000C0FED">
        <w:rPr>
          <w:rFonts w:ascii="Arial" w:eastAsia="Calibri" w:hAnsi="Arial" w:cs="Arial"/>
          <w:i/>
          <w:iCs/>
          <w:color w:val="000000" w:themeColor="text1"/>
          <w:sz w:val="22"/>
          <w:lang w:val="es-ES"/>
        </w:rPr>
        <w:t>bídem</w:t>
      </w:r>
      <w:proofErr w:type="spellEnd"/>
      <w:r w:rsidRPr="000C0FED">
        <w:rPr>
          <w:rFonts w:ascii="Arial" w:eastAsia="Calibri" w:hAnsi="Arial" w:cs="Arial"/>
          <w:i/>
          <w:iCs/>
          <w:color w:val="000000" w:themeColor="text1"/>
          <w:sz w:val="22"/>
          <w:lang w:val="es-ES"/>
        </w:rPr>
        <w:t xml:space="preserve">, </w:t>
      </w:r>
      <w:r w:rsidRPr="000C0FED">
        <w:rPr>
          <w:rFonts w:ascii="Arial" w:eastAsia="Calibri" w:hAnsi="Arial" w:cs="Arial"/>
          <w:color w:val="000000" w:themeColor="text1"/>
          <w:sz w:val="22"/>
          <w:lang w:val="es-ES"/>
        </w:rPr>
        <w:t xml:space="preserve"> como en el artículo 74 de la Ley 1474 de 2011</w:t>
      </w:r>
      <w:r w:rsidRPr="000C0FED">
        <w:rPr>
          <w:rStyle w:val="Refdenotaalpie"/>
          <w:rFonts w:ascii="Arial" w:eastAsia="Calibri" w:hAnsi="Arial" w:cs="Arial"/>
          <w:color w:val="000000" w:themeColor="text1"/>
          <w:sz w:val="22"/>
          <w:lang w:val="es-ES"/>
        </w:rPr>
        <w:footnoteReference w:id="15"/>
      </w:r>
      <w:r w:rsidRPr="000C0FED">
        <w:rPr>
          <w:rFonts w:ascii="Arial" w:eastAsia="Calibri" w:hAnsi="Arial" w:cs="Arial"/>
          <w:color w:val="000000" w:themeColor="text1"/>
          <w:sz w:val="22"/>
          <w:lang w:val="es-ES"/>
        </w:rPr>
        <w:t xml:space="preserve"> que dispone </w:t>
      </w:r>
      <w:r>
        <w:rPr>
          <w:rFonts w:ascii="Arial" w:eastAsia="Calibri" w:hAnsi="Arial" w:cs="Arial"/>
          <w:color w:val="000000" w:themeColor="text1"/>
          <w:sz w:val="22"/>
          <w:lang w:val="es-ES"/>
        </w:rPr>
        <w:t xml:space="preserve">que </w:t>
      </w:r>
      <w:r w:rsidRPr="00646E26">
        <w:rPr>
          <w:rFonts w:ascii="Arial" w:hAnsi="Arial" w:cs="Arial"/>
          <w:color w:val="000000" w:themeColor="text1"/>
          <w:sz w:val="22"/>
          <w:lang w:val="es-ES"/>
        </w:rPr>
        <w:t xml:space="preserve">a más tardar el 31 de enero de cada año las entidades públicas deben publicar en su respectiva página web el Plan de Acción para el año siguiente; el artículo </w:t>
      </w:r>
      <w:r w:rsidRPr="00BA0125">
        <w:rPr>
          <w:rStyle w:val="Textoennegrita"/>
          <w:rFonts w:ascii="Arial" w:hAnsi="Arial" w:cs="Arial"/>
          <w:b w:val="0"/>
          <w:bCs w:val="0"/>
          <w:color w:val="000000" w:themeColor="text1"/>
          <w:sz w:val="22"/>
          <w:lang w:val="es-ES"/>
        </w:rPr>
        <w:t>2.2.1.1.1.4.3</w:t>
      </w:r>
      <w:r w:rsidRPr="005B77BB">
        <w:rPr>
          <w:rStyle w:val="Refdenotaalpie"/>
          <w:rFonts w:ascii="Arial" w:hAnsi="Arial" w:cs="Arial"/>
          <w:b/>
          <w:color w:val="000000" w:themeColor="text1"/>
          <w:sz w:val="22"/>
        </w:rPr>
        <w:footnoteReference w:id="16"/>
      </w:r>
      <w:r w:rsidRPr="00BA0125">
        <w:rPr>
          <w:rStyle w:val="Textoennegrita"/>
          <w:rFonts w:ascii="Arial" w:hAnsi="Arial" w:cs="Arial"/>
          <w:b w:val="0"/>
          <w:bCs w:val="0"/>
          <w:color w:val="000000" w:themeColor="text1"/>
          <w:sz w:val="22"/>
          <w:lang w:val="es-ES"/>
        </w:rPr>
        <w:t xml:space="preserve"> del Decreto 1082 de 2015, que obliga a publicar el Plan Anual de Adquisiciones en el SECOP; y el citado artículo 2.1.1.2.1.10 del Decreto 1081 de 2015.</w:t>
      </w:r>
    </w:p>
    <w:p w14:paraId="09ED7839" w14:textId="6F41FD21" w:rsidR="002902C0" w:rsidRPr="000F7FC3" w:rsidRDefault="002902C0" w:rsidP="003270C7">
      <w:pPr>
        <w:spacing w:before="0"/>
        <w:ind w:firstLine="708"/>
        <w:rPr>
          <w:rFonts w:ascii="Arial" w:eastAsia="Calibri" w:hAnsi="Arial" w:cs="Arial"/>
          <w:sz w:val="22"/>
          <w:lang w:val="es-ES"/>
        </w:rPr>
      </w:pPr>
      <w:r>
        <w:rPr>
          <w:rFonts w:ascii="Arial" w:eastAsia="Arial" w:hAnsi="Arial" w:cs="Arial"/>
          <w:color w:val="000000" w:themeColor="text1"/>
          <w:sz w:val="22"/>
          <w:lang w:val="es-ES"/>
        </w:rPr>
        <w:t xml:space="preserve">De otra parte, se considera relevante llamar la atención sobre otro aspecto importante en materia de publicidad cuando se ha dado aplicación a la causal de urgencia manifiesta. Sobre la actualización del Plan Anual de Adquisiciones, la Agencia Nacional de Contratación Pública – Colombia Compra Eficiente en concepto CU-348 de 2020 sostuvo que </w:t>
      </w:r>
      <w:r>
        <w:rPr>
          <w:rFonts w:ascii="Arial" w:eastAsia="Calibri" w:hAnsi="Arial" w:cs="Arial"/>
          <w:sz w:val="22"/>
          <w:lang w:val="es-ES"/>
        </w:rPr>
        <w:t>e</w:t>
      </w:r>
      <w:r w:rsidRPr="000F7FC3">
        <w:rPr>
          <w:rFonts w:ascii="Arial" w:eastAsia="Calibri" w:hAnsi="Arial" w:cs="Arial"/>
          <w:sz w:val="22"/>
          <w:lang w:val="es-ES"/>
        </w:rPr>
        <w:t>n la medida en que la previsión de las nuevas contrataciones y la disponibilidad de tiempo de los funcionarios lo permita, es recomendable que la autoridad actualice el Plan para incluir los bienes, obras y servicios nuevos cumpliendo con ello</w:t>
      </w:r>
      <w:r>
        <w:rPr>
          <w:rFonts w:ascii="Arial" w:eastAsia="Calibri" w:hAnsi="Arial" w:cs="Arial"/>
          <w:sz w:val="22"/>
          <w:lang w:val="es-ES"/>
        </w:rPr>
        <w:t xml:space="preserve"> con</w:t>
      </w:r>
      <w:r w:rsidRPr="000F7FC3">
        <w:rPr>
          <w:rFonts w:ascii="Arial" w:eastAsia="Calibri" w:hAnsi="Arial" w:cs="Arial"/>
          <w:sz w:val="22"/>
          <w:lang w:val="es-ES"/>
        </w:rPr>
        <w:t xml:space="preserve"> la obligación impuesta por el inciso segundo del artículo 2.2.1.1.1.4.4. del Decreto 1082 de 2015. </w:t>
      </w:r>
    </w:p>
    <w:p w14:paraId="7629D55B" w14:textId="77777777" w:rsidR="002902C0" w:rsidRPr="000F7FC3" w:rsidRDefault="002902C0" w:rsidP="003270C7">
      <w:pPr>
        <w:spacing w:before="0"/>
        <w:ind w:firstLine="708"/>
        <w:rPr>
          <w:rFonts w:ascii="Arial" w:eastAsia="Calibri" w:hAnsi="Arial" w:cs="Arial"/>
          <w:sz w:val="22"/>
          <w:lang w:val="es-ES"/>
        </w:rPr>
      </w:pPr>
      <w:r w:rsidRPr="000F7FC3">
        <w:rPr>
          <w:rFonts w:ascii="Arial" w:eastAsia="Calibri" w:hAnsi="Arial" w:cs="Arial"/>
          <w:sz w:val="22"/>
          <w:lang w:val="es-ES"/>
        </w:rPr>
        <w:t xml:space="preserve">La decisión o no de actualizar el plan en un momento concreto corresponde exclusivamente a la autoridad y debe ser tomada habida consideración de las circunstancias </w:t>
      </w:r>
      <w:r w:rsidRPr="000F7FC3">
        <w:rPr>
          <w:rFonts w:ascii="Arial" w:eastAsia="Calibri" w:hAnsi="Arial" w:cs="Arial"/>
          <w:sz w:val="22"/>
          <w:lang w:val="es-ES"/>
        </w:rPr>
        <w:lastRenderedPageBreak/>
        <w:t>del caso concreto y la necesidad de garantizar la concreción de los principios de la función administrativa.</w:t>
      </w:r>
    </w:p>
    <w:p w14:paraId="3DEAFC2B" w14:textId="7FE5A6E5" w:rsidR="002902C0" w:rsidRPr="002902C0" w:rsidRDefault="002902C0" w:rsidP="00BA0125">
      <w:pPr>
        <w:spacing w:before="0" w:after="0"/>
        <w:ind w:firstLine="709"/>
        <w:rPr>
          <w:rFonts w:ascii="Arial" w:eastAsia="Calibri" w:hAnsi="Arial" w:cs="Arial"/>
          <w:sz w:val="22"/>
          <w:lang w:val="es-ES"/>
        </w:rPr>
      </w:pPr>
      <w:r w:rsidRPr="000F7FC3">
        <w:rPr>
          <w:rFonts w:ascii="Arial" w:eastAsia="Calibri" w:hAnsi="Arial" w:cs="Arial"/>
          <w:sz w:val="22"/>
          <w:lang w:val="es-ES"/>
        </w:rPr>
        <w:t xml:space="preserve">Así las cosas, existen supuestos en el marco de una declaratoria de urgencia manifiesta en los que es imposible actualizar el Plan Anual de Adquisiciones con las contrataciones derivadas de la contingencia, tal es el caso </w:t>
      </w:r>
      <w:r w:rsidR="002C22FB">
        <w:rPr>
          <w:rFonts w:ascii="Arial" w:eastAsia="Calibri" w:hAnsi="Arial" w:cs="Arial"/>
          <w:sz w:val="22"/>
          <w:lang w:val="es-ES"/>
        </w:rPr>
        <w:t xml:space="preserve">de </w:t>
      </w:r>
      <w:r w:rsidRPr="000F7FC3">
        <w:rPr>
          <w:rFonts w:ascii="Arial" w:eastAsia="Calibri" w:hAnsi="Arial" w:cs="Arial"/>
          <w:sz w:val="22"/>
          <w:lang w:val="es-ES"/>
        </w:rPr>
        <w:t xml:space="preserve">cuando es imposible su previsión, y la necesidad de la obra, bien o servicio requiere una actuación inmediata por parte de la Administración pública. En los demás casos, es decir, siempre que durante la extensión de los efectos de la declaratoria de la urgencia las entidades prevean necesidades que, aunque necesarias para atender la crisis, no requieren la celebración inmediata de los contratos, se deberá actualizar el </w:t>
      </w:r>
      <w:r w:rsidR="00F955F0">
        <w:rPr>
          <w:rFonts w:ascii="Arial" w:eastAsia="Calibri" w:hAnsi="Arial" w:cs="Arial"/>
          <w:sz w:val="22"/>
          <w:lang w:val="es-ES"/>
        </w:rPr>
        <w:t>P</w:t>
      </w:r>
      <w:r w:rsidRPr="000F7FC3">
        <w:rPr>
          <w:rFonts w:ascii="Arial" w:eastAsia="Calibri" w:hAnsi="Arial" w:cs="Arial"/>
          <w:sz w:val="22"/>
          <w:lang w:val="es-ES"/>
        </w:rPr>
        <w:t xml:space="preserve">lan </w:t>
      </w:r>
      <w:r w:rsidR="00F955F0">
        <w:rPr>
          <w:rFonts w:ascii="Arial" w:eastAsia="Calibri" w:hAnsi="Arial" w:cs="Arial"/>
          <w:sz w:val="22"/>
          <w:lang w:val="es-ES"/>
        </w:rPr>
        <w:t>A</w:t>
      </w:r>
      <w:r w:rsidRPr="000F7FC3">
        <w:rPr>
          <w:rFonts w:ascii="Arial" w:eastAsia="Calibri" w:hAnsi="Arial" w:cs="Arial"/>
          <w:sz w:val="22"/>
          <w:lang w:val="es-ES"/>
        </w:rPr>
        <w:t xml:space="preserve">nual de </w:t>
      </w:r>
      <w:r w:rsidR="00F955F0">
        <w:rPr>
          <w:rFonts w:ascii="Arial" w:eastAsia="Calibri" w:hAnsi="Arial" w:cs="Arial"/>
          <w:sz w:val="22"/>
          <w:lang w:val="es-ES"/>
        </w:rPr>
        <w:t>A</w:t>
      </w:r>
      <w:r w:rsidRPr="000F7FC3">
        <w:rPr>
          <w:rFonts w:ascii="Arial" w:eastAsia="Calibri" w:hAnsi="Arial" w:cs="Arial"/>
          <w:sz w:val="22"/>
          <w:lang w:val="es-ES"/>
        </w:rPr>
        <w:t>dquisiciones de conformidad con el artículo 2.2.1.1.1.4.4 del Decreto 1082 de 2015, y es recomendable que lo hagan en la mayor medida de lo posible para garantizar la eficiencia de los principios de la función administrativa. En cada caso, la entidad pública ponderará cuidadosamente la necesidad, habida cuenta de que su decisión de no actualizar el plan de adquisiciones se sujeta a la revisión posterior de los órganos de control.</w:t>
      </w:r>
    </w:p>
    <w:p w14:paraId="79701633" w14:textId="5C10A341" w:rsidR="009A6479" w:rsidRDefault="009A6479" w:rsidP="003270C7">
      <w:pPr>
        <w:spacing w:before="0" w:after="0"/>
        <w:rPr>
          <w:rStyle w:val="Textoennegrita"/>
          <w:rFonts w:ascii="Arial" w:hAnsi="Arial" w:cs="Arial"/>
          <w:color w:val="000000" w:themeColor="text1"/>
          <w:sz w:val="22"/>
          <w:lang w:val="es-ES"/>
        </w:rPr>
      </w:pPr>
    </w:p>
    <w:p w14:paraId="0553D0DB" w14:textId="2B680CC5" w:rsidR="009A6479" w:rsidRDefault="009A6479" w:rsidP="003270C7">
      <w:pPr>
        <w:spacing w:before="0" w:after="0"/>
        <w:rPr>
          <w:rStyle w:val="Textoennegrita"/>
          <w:rFonts w:ascii="Arial" w:hAnsi="Arial" w:cs="Arial"/>
          <w:color w:val="000000" w:themeColor="text1"/>
          <w:sz w:val="22"/>
          <w:lang w:val="es-ES"/>
        </w:rPr>
      </w:pPr>
      <w:r>
        <w:rPr>
          <w:rStyle w:val="Textoennegrita"/>
          <w:rFonts w:ascii="Arial" w:hAnsi="Arial" w:cs="Arial"/>
          <w:color w:val="000000" w:themeColor="text1"/>
          <w:sz w:val="22"/>
          <w:lang w:val="es-ES"/>
        </w:rPr>
        <w:t>2.3. El expediente electrónico en los procedimientos administrativos contractuales</w:t>
      </w:r>
    </w:p>
    <w:p w14:paraId="5748E9CB" w14:textId="233DF467" w:rsidR="009A6479" w:rsidRDefault="009A6479" w:rsidP="003270C7">
      <w:pPr>
        <w:spacing w:before="0" w:after="0"/>
        <w:rPr>
          <w:rStyle w:val="Textoennegrita"/>
          <w:rFonts w:ascii="Arial" w:hAnsi="Arial" w:cs="Arial"/>
          <w:b w:val="0"/>
          <w:bCs w:val="0"/>
          <w:color w:val="000000" w:themeColor="text1"/>
          <w:sz w:val="22"/>
          <w:lang w:val="es-ES"/>
        </w:rPr>
      </w:pPr>
    </w:p>
    <w:p w14:paraId="1E4AB816" w14:textId="77777777" w:rsidR="0093086A" w:rsidRPr="00BF2545" w:rsidRDefault="0093086A" w:rsidP="003270C7">
      <w:pPr>
        <w:spacing w:before="0"/>
        <w:rPr>
          <w:rFonts w:ascii="Arial" w:eastAsia="Calibri" w:hAnsi="Arial" w:cs="Arial"/>
          <w:sz w:val="22"/>
          <w:lang w:val="es-ES"/>
        </w:rPr>
      </w:pPr>
      <w:r w:rsidRPr="00BF2545">
        <w:rPr>
          <w:rFonts w:ascii="Arial" w:eastAsia="Calibri" w:hAnsi="Arial" w:cs="Arial"/>
          <w:sz w:val="22"/>
          <w:lang w:val="es-ES"/>
        </w:rPr>
        <w:t>La Agencia Nacional de Contratación Pública – Colombia Compra Eficiente tiene como función administrar el SECOP</w:t>
      </w:r>
      <w:r w:rsidRPr="00BF2545">
        <w:rPr>
          <w:rStyle w:val="Refdenotaalpie"/>
          <w:rFonts w:ascii="Arial" w:eastAsia="Calibri" w:hAnsi="Arial" w:cs="Arial"/>
          <w:sz w:val="22"/>
          <w:lang w:val="es-ES"/>
        </w:rPr>
        <w:footnoteReference w:id="17"/>
      </w:r>
      <w:r w:rsidRPr="00BF2545">
        <w:rPr>
          <w:rFonts w:ascii="Arial" w:eastAsia="Calibri" w:hAnsi="Arial" w:cs="Arial"/>
          <w:sz w:val="22"/>
          <w:lang w:val="es-ES"/>
        </w:rPr>
        <w:t>, por lo cual desarrolló la primera versión de la plataforma, denominada SECOP I, que funciona como medio de publicidad y no transaccional, lo que significa que, en la práctica, el procedimiento contractual ocurre fuera de la plataforma y que la entidad lleva un expediente físico del mismo, cuyos documentos se escanean para cargarlos en la plataforma por quien tenga la función dentro de la entidad, de acuerdo con su organización interna.</w:t>
      </w:r>
    </w:p>
    <w:p w14:paraId="3384F5D1" w14:textId="28408EFC" w:rsidR="0093086A" w:rsidRPr="00BF2545" w:rsidRDefault="0093086A" w:rsidP="003270C7">
      <w:pPr>
        <w:spacing w:before="0"/>
        <w:ind w:firstLine="709"/>
        <w:rPr>
          <w:rFonts w:ascii="Arial" w:eastAsia="Calibri" w:hAnsi="Arial" w:cs="Arial"/>
          <w:sz w:val="22"/>
          <w:lang w:val="es-ES"/>
        </w:rPr>
      </w:pPr>
      <w:r w:rsidRPr="00BF2545">
        <w:rPr>
          <w:rFonts w:ascii="Arial" w:eastAsia="Calibri" w:hAnsi="Arial" w:cs="Arial"/>
          <w:sz w:val="22"/>
          <w:lang w:val="es-ES"/>
        </w:rPr>
        <w:t xml:space="preserve">El SECOP II es la segunda versión de la plataforma y se caracteriza por ser transaccional, esto es, permite la gestión en línea de los procedimientos de contratación, con cuentas y usuarios asociados a </w:t>
      </w:r>
      <w:r w:rsidR="009220A1">
        <w:rPr>
          <w:rFonts w:ascii="Arial" w:eastAsia="Calibri" w:hAnsi="Arial" w:cs="Arial"/>
          <w:sz w:val="22"/>
          <w:lang w:val="es-ES"/>
        </w:rPr>
        <w:t>e</w:t>
      </w:r>
      <w:r w:rsidRPr="00BF2545">
        <w:rPr>
          <w:rFonts w:ascii="Arial" w:eastAsia="Calibri" w:hAnsi="Arial" w:cs="Arial"/>
          <w:sz w:val="22"/>
          <w:lang w:val="es-ES"/>
        </w:rPr>
        <w:t>stas, para las entidades y los proveedores, así como el acceso de consulta para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0ED713E4" w14:textId="77777777" w:rsidR="0093086A" w:rsidRPr="00BF2545" w:rsidRDefault="0093086A" w:rsidP="003270C7">
      <w:pPr>
        <w:spacing w:before="0"/>
        <w:ind w:firstLine="709"/>
        <w:rPr>
          <w:rFonts w:ascii="Arial" w:eastAsia="Calibri" w:hAnsi="Arial" w:cs="Arial"/>
          <w:sz w:val="22"/>
          <w:lang w:val="es-ES"/>
        </w:rPr>
      </w:pPr>
      <w:r w:rsidRPr="00BF2545">
        <w:rPr>
          <w:rFonts w:ascii="Arial" w:eastAsia="Calibri" w:hAnsi="Arial" w:cs="Arial"/>
          <w:sz w:val="22"/>
          <w:lang w:val="es-ES"/>
        </w:rPr>
        <w:t xml:space="preserve">Es necesario aclarar que, dado que el procedimiento contractual se desarrolla en línea y dentro de la plataforma, paulatinamente se va conformando un expediente electrónico, lo cual implica una diferencia con el SECOP I, donde el procedimiento es físico, esto es, con documentos escritos que se publican posteriormente. Al existir esa diferencia entre las dos versiones del SECOP, por regla general, no es posible cargar en SECOP II actuaciones por escrito realizadas por la entidad, como ocurre en el SECOP I, sino que los documentos y </w:t>
      </w:r>
      <w:r w:rsidRPr="00BF2545">
        <w:rPr>
          <w:rFonts w:ascii="Arial" w:eastAsia="Calibri" w:hAnsi="Arial" w:cs="Arial"/>
          <w:sz w:val="22"/>
          <w:lang w:val="es-ES"/>
        </w:rPr>
        <w:lastRenderedPageBreak/>
        <w:t>actuaciones son electrónicos. En efecto, en una de las orientaciones jurídicas del SECOP II</w:t>
      </w:r>
      <w:r w:rsidRPr="00BF2545">
        <w:rPr>
          <w:rStyle w:val="Refdenotaalpie"/>
          <w:rFonts w:ascii="Arial" w:eastAsia="Calibri" w:hAnsi="Arial" w:cs="Arial"/>
          <w:sz w:val="22"/>
          <w:lang w:val="es-ES"/>
        </w:rPr>
        <w:footnoteReference w:id="18"/>
      </w:r>
      <w:r w:rsidRPr="00BF2545">
        <w:rPr>
          <w:rFonts w:ascii="Arial" w:eastAsia="Calibri" w:hAnsi="Arial" w:cs="Arial"/>
          <w:sz w:val="22"/>
          <w:lang w:val="es-ES"/>
        </w:rPr>
        <w:t>, la Subdirección de Gestión Contractual explicó que:</w:t>
      </w:r>
    </w:p>
    <w:p w14:paraId="6C22D7CF" w14:textId="77777777" w:rsidR="0093086A" w:rsidRPr="00BF2545" w:rsidRDefault="0093086A" w:rsidP="003270C7">
      <w:pPr>
        <w:spacing w:before="0" w:after="0" w:line="240" w:lineRule="auto"/>
        <w:ind w:firstLine="708"/>
        <w:rPr>
          <w:rFonts w:ascii="Arial" w:eastAsia="Calibri" w:hAnsi="Arial" w:cs="Arial"/>
          <w:sz w:val="22"/>
          <w:lang w:val="es-ES"/>
        </w:rPr>
      </w:pPr>
    </w:p>
    <w:p w14:paraId="0FBE1311" w14:textId="77777777" w:rsidR="0093086A" w:rsidRPr="00BF2545" w:rsidRDefault="0093086A" w:rsidP="003270C7">
      <w:pPr>
        <w:spacing w:before="0" w:after="0" w:line="240" w:lineRule="auto"/>
        <w:ind w:left="709" w:right="707"/>
        <w:rPr>
          <w:rFonts w:ascii="Arial" w:eastAsia="Calibri" w:hAnsi="Arial" w:cs="Arial"/>
          <w:sz w:val="21"/>
          <w:szCs w:val="21"/>
          <w:lang w:val="es-ES"/>
        </w:rPr>
      </w:pPr>
      <w:r w:rsidRPr="00BF2545">
        <w:rPr>
          <w:rFonts w:ascii="Arial" w:eastAsia="Calibri" w:hAnsi="Arial" w:cs="Arial"/>
          <w:sz w:val="21"/>
          <w:szCs w:val="21"/>
          <w:lang w:val="es-ES"/>
        </w:rPr>
        <w:t xml:space="preserve">[…] los contratos en SECOP II son electrónicos, por lo cual su publicación se da de manera simultánea a la actuación al ser una plataforma en línea. Teniendo en cuenta lo anterior no hay lugar a la publicación de manera posterior porque las actuaciones se hacen en la plataforma de manera inmediata. </w:t>
      </w:r>
    </w:p>
    <w:p w14:paraId="09EE3830" w14:textId="77777777" w:rsidR="0093086A" w:rsidRPr="00BF2545" w:rsidRDefault="0093086A" w:rsidP="003270C7">
      <w:pPr>
        <w:spacing w:before="0" w:after="0" w:line="240" w:lineRule="auto"/>
        <w:ind w:left="709" w:right="707"/>
        <w:rPr>
          <w:rFonts w:ascii="Arial" w:eastAsia="Calibri" w:hAnsi="Arial" w:cs="Arial"/>
          <w:sz w:val="21"/>
          <w:szCs w:val="21"/>
          <w:lang w:val="es-ES"/>
        </w:rPr>
      </w:pPr>
    </w:p>
    <w:p w14:paraId="12EE4815" w14:textId="0D9A24EA" w:rsidR="0093086A" w:rsidRDefault="0093086A" w:rsidP="003270C7">
      <w:pPr>
        <w:spacing w:before="0" w:after="0" w:line="240" w:lineRule="auto"/>
        <w:ind w:left="709" w:right="707"/>
        <w:rPr>
          <w:rFonts w:ascii="Arial" w:eastAsia="Calibri" w:hAnsi="Arial" w:cs="Arial"/>
          <w:sz w:val="21"/>
          <w:szCs w:val="21"/>
          <w:lang w:val="es-ES"/>
        </w:rPr>
      </w:pPr>
      <w:r w:rsidRPr="00BF2545">
        <w:rPr>
          <w:rFonts w:ascii="Arial" w:eastAsia="Calibri" w:hAnsi="Arial" w:cs="Arial"/>
          <w:sz w:val="21"/>
          <w:szCs w:val="21"/>
          <w:lang w:val="es-ES"/>
        </w:rPr>
        <w:t>Los contratos en el SECOP II están compuestos por el formulario y los anexos que son, mensajes de datos que la Entidad envía al proveedor como “contrato” y el mensaje de datos de aceptación por parte del proveedor, estos mensajes acompañados de la firma electrónica y el sello de tiempo que provee la plataforma constituyen el contrato electrónico el cual tiene plena validez y fuerza obligatoria.</w:t>
      </w:r>
    </w:p>
    <w:p w14:paraId="6D86D004" w14:textId="77777777" w:rsidR="003270C7" w:rsidRPr="00BF2545" w:rsidRDefault="003270C7" w:rsidP="003270C7">
      <w:pPr>
        <w:spacing w:before="0" w:after="0" w:line="240" w:lineRule="auto"/>
        <w:ind w:left="709" w:right="707"/>
        <w:rPr>
          <w:rFonts w:ascii="Arial" w:eastAsia="Calibri" w:hAnsi="Arial" w:cs="Arial"/>
          <w:sz w:val="21"/>
          <w:szCs w:val="21"/>
          <w:lang w:val="es-ES"/>
        </w:rPr>
      </w:pPr>
    </w:p>
    <w:p w14:paraId="496CC44F" w14:textId="5AF728ED" w:rsidR="0093086A" w:rsidRPr="00BF2545" w:rsidRDefault="0093086A" w:rsidP="003270C7">
      <w:pPr>
        <w:spacing w:before="0"/>
        <w:ind w:firstLine="709"/>
        <w:rPr>
          <w:rFonts w:ascii="Arial" w:eastAsia="Calibri" w:hAnsi="Arial" w:cs="Arial"/>
          <w:sz w:val="22"/>
          <w:lang w:val="es-ES"/>
        </w:rPr>
      </w:pPr>
      <w:r w:rsidRPr="00BF2545">
        <w:rPr>
          <w:rFonts w:ascii="Arial" w:eastAsia="Calibri" w:hAnsi="Arial" w:cs="Arial"/>
          <w:sz w:val="22"/>
          <w:lang w:val="es-ES"/>
        </w:rPr>
        <w:t>La plataforma SECOP II es totalmente transaccional, por lo que el trámite se realiza en línea y la publicidad de las actuaciones es concomitante, según transcurran cada una de las etapas del procedimiento, lo que descarta la necesidad cargar documentación alguna</w:t>
      </w:r>
      <w:r w:rsidR="00103836">
        <w:rPr>
          <w:rFonts w:ascii="Arial" w:eastAsia="Calibri" w:hAnsi="Arial" w:cs="Arial"/>
          <w:sz w:val="22"/>
          <w:lang w:val="es-ES"/>
        </w:rPr>
        <w:t xml:space="preserve"> o de tener un expediente físico</w:t>
      </w:r>
      <w:r w:rsidRPr="00BF2545">
        <w:rPr>
          <w:rFonts w:ascii="Arial" w:eastAsia="Calibri" w:hAnsi="Arial" w:cs="Arial"/>
          <w:sz w:val="22"/>
          <w:lang w:val="es-ES"/>
        </w:rPr>
        <w:t xml:space="preserve">. Además, de acuerdo con lo prescrito en el artículo 14 de </w:t>
      </w:r>
      <w:proofErr w:type="spellStart"/>
      <w:r w:rsidRPr="00BF2545">
        <w:rPr>
          <w:rFonts w:ascii="Arial" w:eastAsia="Calibri" w:hAnsi="Arial" w:cs="Arial"/>
          <w:sz w:val="22"/>
          <w:lang w:val="es-ES"/>
        </w:rPr>
        <w:t>a</w:t>
      </w:r>
      <w:proofErr w:type="spellEnd"/>
      <w:r w:rsidRPr="00BF2545">
        <w:rPr>
          <w:rFonts w:ascii="Arial" w:eastAsia="Calibri" w:hAnsi="Arial" w:cs="Arial"/>
          <w:sz w:val="22"/>
          <w:lang w:val="es-ES"/>
        </w:rPr>
        <w:t xml:space="preserve"> Ley 527 de 1999, en la formación del contrato, salvo acuerdo expreso entre las partes, la oferta y su aceptación podrán expresarse por medio de un mensaje de datos, lo que implica que «[n]o se negará validez o fuerza obligatoria a un contrato por la sola razón de haberse utilizado en su formación uno o más mensajes de datos». Igualmente, el artículo 22 </w:t>
      </w:r>
      <w:r w:rsidRPr="00BF2545">
        <w:rPr>
          <w:rFonts w:ascii="Arial" w:eastAsia="Calibri" w:hAnsi="Arial" w:cs="Arial"/>
          <w:i/>
          <w:iCs/>
          <w:sz w:val="22"/>
          <w:lang w:val="es-ES"/>
        </w:rPr>
        <w:t>ibidem</w:t>
      </w:r>
      <w:r w:rsidRPr="00BF2545">
        <w:rPr>
          <w:rFonts w:ascii="Arial" w:eastAsia="Calibri" w:hAnsi="Arial" w:cs="Arial"/>
          <w:sz w:val="22"/>
          <w:lang w:val="es-ES"/>
        </w:rPr>
        <w:t xml:space="preserve"> permite dispone que los contratos electrónicos compuestos por mensajes de datos tienen los efectos jurídicos según las normas aplicables al negocio jurídico contenido en dichos mensajes, esto es, las normas que regulan el sistema de contratación pública.</w:t>
      </w:r>
    </w:p>
    <w:p w14:paraId="6CB3EA61" w14:textId="725482CE" w:rsidR="0093086A" w:rsidRPr="00BF2545" w:rsidRDefault="0093086A" w:rsidP="003270C7">
      <w:pPr>
        <w:spacing w:before="0"/>
        <w:ind w:firstLine="709"/>
        <w:rPr>
          <w:rFonts w:ascii="Arial" w:eastAsia="Calibri" w:hAnsi="Arial" w:cs="Arial"/>
          <w:sz w:val="22"/>
          <w:lang w:val="es-ES"/>
        </w:rPr>
      </w:pPr>
      <w:r w:rsidRPr="00BF2545">
        <w:rPr>
          <w:rFonts w:ascii="Arial" w:eastAsia="Calibri" w:hAnsi="Arial" w:cs="Arial"/>
          <w:sz w:val="22"/>
          <w:lang w:val="es-ES"/>
        </w:rPr>
        <w:t xml:space="preserve">No obstante, eventualmente puede ocurrir que al SECOP II se deban cargar documentos </w:t>
      </w:r>
      <w:r w:rsidR="004735AD">
        <w:rPr>
          <w:rFonts w:ascii="Arial" w:eastAsia="Calibri" w:hAnsi="Arial" w:cs="Arial"/>
          <w:sz w:val="22"/>
          <w:lang w:val="es-ES"/>
        </w:rPr>
        <w:t>físicos elaborados</w:t>
      </w:r>
      <w:r w:rsidRPr="00BF2545">
        <w:rPr>
          <w:rFonts w:ascii="Arial" w:eastAsia="Calibri" w:hAnsi="Arial" w:cs="Arial"/>
          <w:sz w:val="22"/>
          <w:lang w:val="es-ES"/>
        </w:rPr>
        <w:t xml:space="preserve"> por las partes, previamente digitalizados. Esto ocurre, por ejemplo, con los estudios previos, el informe de evaluación, la resolución de adjudicación o con el clausulado del contrato, entre otras actuaciones en las que los usuarios quedan habilitados para cargar documentos en la plataforma. Se trata de algo excepcional, pues, se insiste, el SECOP II es una plataforma esencialmente transaccional, distinta de</w:t>
      </w:r>
      <w:r w:rsidR="004735AD">
        <w:rPr>
          <w:rFonts w:ascii="Arial" w:eastAsia="Calibri" w:hAnsi="Arial" w:cs="Arial"/>
          <w:sz w:val="22"/>
          <w:lang w:val="es-ES"/>
        </w:rPr>
        <w:t xml:space="preserve">l </w:t>
      </w:r>
      <w:r w:rsidRPr="00BF2545">
        <w:rPr>
          <w:rFonts w:ascii="Arial" w:eastAsia="Calibri" w:hAnsi="Arial" w:cs="Arial"/>
          <w:sz w:val="22"/>
          <w:lang w:val="es-ES"/>
        </w:rPr>
        <w:t>SECOP I que es una herramienta eminentemente publicitaria.</w:t>
      </w:r>
    </w:p>
    <w:p w14:paraId="4D3389B7" w14:textId="65F8FBED" w:rsidR="0093086A" w:rsidRPr="00BF2545" w:rsidRDefault="0093086A" w:rsidP="003270C7">
      <w:pPr>
        <w:spacing w:before="0"/>
        <w:ind w:firstLine="709"/>
        <w:rPr>
          <w:rFonts w:ascii="Arial" w:eastAsia="Calibri" w:hAnsi="Arial" w:cs="Arial"/>
          <w:sz w:val="22"/>
          <w:lang w:val="es-ES"/>
        </w:rPr>
      </w:pPr>
      <w:r w:rsidRPr="00BF2545">
        <w:rPr>
          <w:rFonts w:ascii="Arial" w:eastAsia="Calibri" w:hAnsi="Arial" w:cs="Arial"/>
          <w:sz w:val="22"/>
          <w:lang w:val="es-ES"/>
        </w:rPr>
        <w:t xml:space="preserve">Dicho carácter excepcional, además, se justifica en la necesidad de evitar los problemas que pueden surgir ante la duplicidad de información, como, por ejemplo, la discrepancia entre el texto tramitado en el SECOP II y el que la entidad carga a la plataforma. </w:t>
      </w:r>
    </w:p>
    <w:p w14:paraId="1AD5DD3A" w14:textId="6DE3F766" w:rsidR="009A6479" w:rsidRDefault="00103836" w:rsidP="00103836">
      <w:pPr>
        <w:spacing w:before="0"/>
        <w:ind w:firstLine="708"/>
        <w:rPr>
          <w:rFonts w:ascii="Arial" w:eastAsia="Calibri" w:hAnsi="Arial" w:cs="Arial"/>
          <w:sz w:val="22"/>
          <w:lang w:val="es-ES"/>
        </w:rPr>
      </w:pPr>
      <w:r>
        <w:rPr>
          <w:rFonts w:ascii="Arial" w:eastAsia="Calibri" w:hAnsi="Arial" w:cs="Arial"/>
          <w:sz w:val="22"/>
          <w:lang w:val="es-ES"/>
        </w:rPr>
        <w:t>L</w:t>
      </w:r>
      <w:r w:rsidR="0093086A" w:rsidRPr="0093086A">
        <w:rPr>
          <w:rFonts w:ascii="Arial" w:eastAsia="Calibri" w:hAnsi="Arial" w:cs="Arial"/>
          <w:sz w:val="22"/>
          <w:lang w:val="es-ES"/>
        </w:rPr>
        <w:t xml:space="preserve">os procedimientos contractuales son reglados y, por ende, las entidades públicas están obligadas </w:t>
      </w:r>
      <w:r>
        <w:rPr>
          <w:rFonts w:ascii="Arial" w:eastAsia="Calibri" w:hAnsi="Arial" w:cs="Arial"/>
          <w:sz w:val="22"/>
          <w:lang w:val="es-ES"/>
        </w:rPr>
        <w:t xml:space="preserve">a </w:t>
      </w:r>
      <w:r w:rsidR="0093086A" w:rsidRPr="0093086A">
        <w:rPr>
          <w:rFonts w:ascii="Arial" w:eastAsia="Calibri" w:hAnsi="Arial" w:cs="Arial"/>
          <w:sz w:val="22"/>
          <w:lang w:val="es-ES"/>
        </w:rPr>
        <w:t>adelantarlo</w:t>
      </w:r>
      <w:r w:rsidR="00B07042">
        <w:rPr>
          <w:rFonts w:ascii="Arial" w:eastAsia="Calibri" w:hAnsi="Arial" w:cs="Arial"/>
          <w:sz w:val="22"/>
          <w:lang w:val="es-ES"/>
        </w:rPr>
        <w:t>s,</w:t>
      </w:r>
      <w:r w:rsidR="0093086A" w:rsidRPr="0093086A">
        <w:rPr>
          <w:rFonts w:ascii="Arial" w:eastAsia="Calibri" w:hAnsi="Arial" w:cs="Arial"/>
          <w:sz w:val="22"/>
          <w:lang w:val="es-ES"/>
        </w:rPr>
        <w:t xml:space="preserve"> según los términos y etapas establecidas en la ley. Estos podrán tramitarse de forma escrita y tradicional o de forma electrónica a través del SECOP II, dentro de los límites y criterios de obligatoriedad indicados</w:t>
      </w:r>
      <w:r>
        <w:rPr>
          <w:rFonts w:ascii="Arial" w:eastAsia="Calibri" w:hAnsi="Arial" w:cs="Arial"/>
          <w:i/>
          <w:iCs/>
          <w:sz w:val="22"/>
          <w:lang w:val="es-ES"/>
        </w:rPr>
        <w:t xml:space="preserve"> </w:t>
      </w:r>
      <w:r>
        <w:rPr>
          <w:rFonts w:ascii="Arial" w:eastAsia="Calibri" w:hAnsi="Arial" w:cs="Arial"/>
          <w:sz w:val="22"/>
          <w:lang w:val="es-ES"/>
        </w:rPr>
        <w:t>más adelante</w:t>
      </w:r>
      <w:r w:rsidR="0093086A" w:rsidRPr="0093086A">
        <w:rPr>
          <w:rFonts w:ascii="Arial" w:eastAsia="Calibri" w:hAnsi="Arial" w:cs="Arial"/>
          <w:sz w:val="22"/>
          <w:lang w:val="es-ES"/>
        </w:rPr>
        <w:t xml:space="preserve">. </w:t>
      </w:r>
      <w:r>
        <w:rPr>
          <w:rFonts w:ascii="Arial" w:eastAsia="Calibri" w:hAnsi="Arial" w:cs="Arial"/>
          <w:sz w:val="22"/>
          <w:lang w:val="es-ES"/>
        </w:rPr>
        <w:t>N</w:t>
      </w:r>
      <w:r w:rsidR="0093086A" w:rsidRPr="0093086A">
        <w:rPr>
          <w:rFonts w:ascii="Arial" w:eastAsia="Calibri" w:hAnsi="Arial" w:cs="Arial"/>
          <w:sz w:val="22"/>
          <w:lang w:val="es-ES"/>
        </w:rPr>
        <w:t>o es posible realizar el trámite de forma mixta, esto es, escrito y electrónico, lo cual no excluye que, excepcionalmente, puedan y deban cargarse algunos documentos digitalizados al SECOP II.</w:t>
      </w:r>
    </w:p>
    <w:p w14:paraId="7F3D7418" w14:textId="77777777" w:rsidR="00103836" w:rsidRPr="00BF2545" w:rsidRDefault="00103836" w:rsidP="00103836">
      <w:pPr>
        <w:spacing w:before="0"/>
        <w:ind w:firstLine="708"/>
        <w:rPr>
          <w:rFonts w:ascii="Arial" w:eastAsia="Calibri" w:hAnsi="Arial" w:cs="Arial"/>
          <w:sz w:val="22"/>
          <w:lang w:val="es-ES"/>
        </w:rPr>
      </w:pPr>
      <w:r w:rsidRPr="00BF2545">
        <w:rPr>
          <w:rFonts w:ascii="Arial" w:eastAsia="Calibri" w:hAnsi="Arial" w:cs="Arial"/>
          <w:sz w:val="22"/>
          <w:lang w:val="es-ES"/>
        </w:rPr>
        <w:t xml:space="preserve">Colombia Compra Eficiente realizó el despliegue de SECOP II a nivel territorial en el 2018 y 2019, por lo que expidió la Circular Externa No. 1 de 2019 sobre la obligatoriedad del </w:t>
      </w:r>
      <w:r w:rsidRPr="00BF2545">
        <w:rPr>
          <w:rFonts w:ascii="Arial" w:eastAsia="Calibri" w:hAnsi="Arial" w:cs="Arial"/>
          <w:sz w:val="22"/>
          <w:lang w:val="es-ES"/>
        </w:rPr>
        <w:lastRenderedPageBreak/>
        <w:t>uso del SECOP II en el 2020, la cual dispone que: «a partir del 1 de enero de 2020, todos los procesos de contratación de las entidades relacionadas en el Anexo 1 de esta circular deberán gestionarse, exclusivamente, en el SECOP ll». Las entidades públicas relacionadas en dicho anexo están obligadas al uso de la plataforma.</w:t>
      </w:r>
    </w:p>
    <w:p w14:paraId="739BA910" w14:textId="77777777" w:rsidR="00103836" w:rsidRPr="00BF2545" w:rsidRDefault="00103836" w:rsidP="00103836">
      <w:pPr>
        <w:spacing w:before="0"/>
        <w:ind w:firstLine="708"/>
        <w:rPr>
          <w:rFonts w:ascii="Arial" w:eastAsia="Calibri" w:hAnsi="Arial" w:cs="Arial"/>
          <w:sz w:val="22"/>
          <w:lang w:val="es-ES"/>
        </w:rPr>
      </w:pPr>
      <w:r w:rsidRPr="00BF2545">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w:t>
      </w:r>
      <w:proofErr w:type="gramStart"/>
      <w:r w:rsidRPr="00BF2545">
        <w:rPr>
          <w:rFonts w:ascii="Arial" w:eastAsia="Calibri" w:hAnsi="Arial" w:cs="Arial"/>
          <w:sz w:val="22"/>
          <w:lang w:val="es-ES"/>
        </w:rPr>
        <w:t>entrada en vigencia</w:t>
      </w:r>
      <w:proofErr w:type="gramEnd"/>
      <w:r w:rsidRPr="00BF2545">
        <w:rPr>
          <w:rFonts w:ascii="Arial" w:eastAsia="Calibri" w:hAnsi="Arial" w:cs="Arial"/>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5538482D" w14:textId="355DAE1F" w:rsidR="0004077E" w:rsidRPr="0060403F" w:rsidRDefault="00103836" w:rsidP="00BA0125">
      <w:pPr>
        <w:spacing w:before="0" w:after="0"/>
        <w:ind w:firstLine="709"/>
        <w:rPr>
          <w:rFonts w:ascii="Arial" w:eastAsiaTheme="minorHAnsi" w:hAnsi="Arial" w:cs="Arial"/>
          <w:color w:val="000000" w:themeColor="text1"/>
          <w:sz w:val="22"/>
          <w:szCs w:val="22"/>
          <w:lang w:val="es-ES" w:eastAsia="en-US"/>
        </w:rPr>
      </w:pPr>
      <w:r w:rsidRPr="00BF2545">
        <w:rPr>
          <w:rFonts w:ascii="Arial" w:eastAsia="Calibri" w:hAnsi="Arial" w:cs="Arial"/>
          <w:sz w:val="22"/>
          <w:lang w:val="es-ES"/>
        </w:rPr>
        <w:t xml:space="preserve">Los primeros, porque no alcanzaron a capacitarse en el uso de la plataforma SECOP II, dado que los programas de formación se suspendieron por la </w:t>
      </w:r>
      <w:r w:rsidR="00ED7213">
        <w:rPr>
          <w:rFonts w:ascii="Arial" w:eastAsia="Calibri" w:hAnsi="Arial" w:cs="Arial"/>
          <w:sz w:val="22"/>
          <w:lang w:val="es-ES"/>
        </w:rPr>
        <w:t xml:space="preserve">emergencia </w:t>
      </w:r>
      <w:r w:rsidRPr="00BF2545">
        <w:rPr>
          <w:rFonts w:ascii="Arial" w:eastAsia="Calibri" w:hAnsi="Arial" w:cs="Arial"/>
          <w:sz w:val="22"/>
          <w:lang w:val="es-ES"/>
        </w:rPr>
        <w:t>ocasionada por el Coronavirus –COVID 19–. Los segundos, debido a que «las velocidades de carga son insuficientes para operar la plataforma en [sus] territorios», esto es, por problemas de capacidad técnica de las redes.</w:t>
      </w:r>
    </w:p>
    <w:p w14:paraId="2F30E8D2" w14:textId="77777777" w:rsidR="00C404DE" w:rsidRDefault="00C404DE" w:rsidP="00BA0125">
      <w:pPr>
        <w:spacing w:before="0" w:after="0"/>
        <w:rPr>
          <w:rFonts w:ascii="Arial" w:eastAsia="Calibri" w:hAnsi="Arial" w:cs="Arial"/>
          <w:b/>
          <w:color w:val="000000" w:themeColor="text1"/>
          <w:sz w:val="22"/>
          <w:lang w:val="es-ES"/>
        </w:rPr>
      </w:pPr>
    </w:p>
    <w:p w14:paraId="699AD40D" w14:textId="4FCAB93B" w:rsidR="0004077E" w:rsidRDefault="0004077E" w:rsidP="00BA0125">
      <w:pPr>
        <w:spacing w:before="0"/>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3. </w:t>
      </w:r>
      <w:r w:rsidRPr="00241311">
        <w:rPr>
          <w:rFonts w:ascii="Arial" w:eastAsia="Calibri" w:hAnsi="Arial" w:cs="Arial"/>
          <w:b/>
          <w:color w:val="000000" w:themeColor="text1"/>
          <w:sz w:val="22"/>
          <w:lang w:val="es-ES"/>
        </w:rPr>
        <w:t>Respuestas</w:t>
      </w:r>
    </w:p>
    <w:p w14:paraId="7092FCD9" w14:textId="77777777" w:rsidR="0004077E" w:rsidRDefault="0004077E" w:rsidP="0004077E">
      <w:pPr>
        <w:spacing w:before="0" w:after="0" w:line="240" w:lineRule="auto"/>
        <w:ind w:right="940"/>
        <w:rPr>
          <w:rFonts w:ascii="Arial" w:eastAsia="Calibri" w:hAnsi="Arial" w:cs="Arial"/>
          <w:b/>
          <w:color w:val="000000" w:themeColor="text1"/>
          <w:sz w:val="22"/>
          <w:lang w:val="es-ES"/>
        </w:rPr>
      </w:pPr>
    </w:p>
    <w:p w14:paraId="716EDED5" w14:textId="35572F23" w:rsidR="003270C7" w:rsidRDefault="003270C7" w:rsidP="003270C7">
      <w:pPr>
        <w:spacing w:before="0" w:after="0" w:line="240" w:lineRule="auto"/>
        <w:ind w:left="709" w:right="707"/>
        <w:rPr>
          <w:rFonts w:ascii="Arial" w:eastAsia="Calibri" w:hAnsi="Arial" w:cs="Arial"/>
          <w:sz w:val="21"/>
          <w:szCs w:val="21"/>
          <w:lang w:val="es-ES"/>
        </w:rPr>
      </w:pPr>
      <w:r w:rsidRPr="003270C7">
        <w:rPr>
          <w:rFonts w:ascii="Arial" w:eastAsia="Calibri" w:hAnsi="Arial" w:cs="Arial"/>
          <w:sz w:val="21"/>
          <w:szCs w:val="21"/>
          <w:lang w:val="es-ES"/>
        </w:rPr>
        <w:t xml:space="preserve">(i) ¿Se debe realizar la publicación de contratos celebrados en el marco de urgencia manifiesta dentro de los 3 días siguientes a su suscripción? </w:t>
      </w:r>
    </w:p>
    <w:p w14:paraId="42EEA916" w14:textId="17E0A3D7" w:rsidR="003270C7" w:rsidRDefault="003270C7" w:rsidP="003270C7">
      <w:pPr>
        <w:spacing w:before="0" w:after="0" w:line="240" w:lineRule="auto"/>
        <w:ind w:right="707"/>
        <w:rPr>
          <w:rFonts w:ascii="Arial" w:eastAsia="Calibri" w:hAnsi="Arial" w:cs="Arial"/>
          <w:sz w:val="21"/>
          <w:szCs w:val="21"/>
          <w:lang w:val="es-ES"/>
        </w:rPr>
      </w:pPr>
    </w:p>
    <w:p w14:paraId="5B9D0DD3" w14:textId="65EDA42A" w:rsidR="003270C7" w:rsidRDefault="003270C7" w:rsidP="003270C7">
      <w:pPr>
        <w:widowControl w:val="0"/>
        <w:autoSpaceDE w:val="0"/>
        <w:autoSpaceDN w:val="0"/>
        <w:spacing w:before="0"/>
        <w:rPr>
          <w:rFonts w:ascii="Arial" w:eastAsia="Arial" w:hAnsi="Arial" w:cs="Arial"/>
          <w:color w:val="000000" w:themeColor="text1"/>
          <w:sz w:val="22"/>
          <w:lang w:val="es-ES"/>
        </w:rPr>
      </w:pPr>
      <w:r>
        <w:rPr>
          <w:rFonts w:ascii="Arial" w:eastAsia="Arial" w:hAnsi="Arial" w:cs="Arial"/>
          <w:color w:val="000000" w:themeColor="text1"/>
          <w:sz w:val="22"/>
          <w:lang w:val="es-ES"/>
        </w:rPr>
        <w:t>L</w:t>
      </w:r>
      <w:r w:rsidRPr="000C0FED">
        <w:rPr>
          <w:rFonts w:ascii="Arial" w:eastAsia="Arial" w:hAnsi="Arial" w:cs="Arial"/>
          <w:color w:val="000000" w:themeColor="text1"/>
          <w:sz w:val="22"/>
          <w:lang w:val="es-ES"/>
        </w:rPr>
        <w:t xml:space="preserve">as entidades estatales, particularmente las sometidas al Estatuto General de Contratación de la Administración Pública, conforme al artículo 2.2.1.1.1.7.1. del Decreto 1082 de 2015, están en la obligación de publicar en el SECOP «[…] los Documentos del Proceso y los actos administrativos del Proceso de Contratación, dentro de los tres (3) días siguientes a su expedición […]». </w:t>
      </w:r>
    </w:p>
    <w:p w14:paraId="332833AA" w14:textId="047C65EC" w:rsidR="003270C7" w:rsidRDefault="003270C7" w:rsidP="003270C7">
      <w:pPr>
        <w:widowControl w:val="0"/>
        <w:autoSpaceDE w:val="0"/>
        <w:autoSpaceDN w:val="0"/>
        <w:spacing w:before="0"/>
        <w:ind w:firstLine="709"/>
        <w:rPr>
          <w:rFonts w:ascii="Arial" w:eastAsia="Arial" w:hAnsi="Arial" w:cs="Arial"/>
          <w:color w:val="000000" w:themeColor="text1"/>
          <w:sz w:val="22"/>
          <w:lang w:val="es-ES"/>
        </w:rPr>
      </w:pPr>
      <w:r>
        <w:rPr>
          <w:rFonts w:ascii="Arial" w:eastAsia="Arial" w:hAnsi="Arial" w:cs="Arial"/>
          <w:color w:val="000000" w:themeColor="text1"/>
          <w:sz w:val="22"/>
          <w:lang w:val="es-ES"/>
        </w:rPr>
        <w:t xml:space="preserve">El artículo 2.2.1.1.7.1 del Decreto 1082 de 2015 no hace distinción alguna en relación con la modalidad de selección que precedió la celebración del </w:t>
      </w:r>
      <w:r w:rsidR="007439F8">
        <w:rPr>
          <w:rFonts w:ascii="Arial" w:eastAsia="Arial" w:hAnsi="Arial" w:cs="Arial"/>
          <w:color w:val="000000" w:themeColor="text1"/>
          <w:sz w:val="22"/>
          <w:lang w:val="es-ES"/>
        </w:rPr>
        <w:t>c</w:t>
      </w:r>
      <w:r>
        <w:rPr>
          <w:rFonts w:ascii="Arial" w:eastAsia="Arial" w:hAnsi="Arial" w:cs="Arial"/>
          <w:color w:val="000000" w:themeColor="text1"/>
          <w:sz w:val="22"/>
          <w:lang w:val="es-ES"/>
        </w:rPr>
        <w:t xml:space="preserve">ontrato </w:t>
      </w:r>
      <w:r w:rsidR="007439F8">
        <w:rPr>
          <w:rFonts w:ascii="Arial" w:eastAsia="Arial" w:hAnsi="Arial" w:cs="Arial"/>
          <w:color w:val="000000" w:themeColor="text1"/>
          <w:sz w:val="22"/>
          <w:lang w:val="es-ES"/>
        </w:rPr>
        <w:t>e</w:t>
      </w:r>
      <w:r>
        <w:rPr>
          <w:rFonts w:ascii="Arial" w:eastAsia="Arial" w:hAnsi="Arial" w:cs="Arial"/>
          <w:color w:val="000000" w:themeColor="text1"/>
          <w:sz w:val="22"/>
          <w:lang w:val="es-ES"/>
        </w:rPr>
        <w:t xml:space="preserve">statal. Como consecuencia, en aplicación del principio de interpretación según el cual donde la norma no distingue no le es dado distinguir al intérprete, la obligación de publicar en el SECOP los documentos del </w:t>
      </w:r>
      <w:r w:rsidR="00C15CB3">
        <w:rPr>
          <w:rFonts w:ascii="Arial" w:eastAsia="Arial" w:hAnsi="Arial" w:cs="Arial"/>
          <w:color w:val="000000" w:themeColor="text1"/>
          <w:sz w:val="22"/>
          <w:lang w:val="es-ES"/>
        </w:rPr>
        <w:t>p</w:t>
      </w:r>
      <w:r>
        <w:rPr>
          <w:rFonts w:ascii="Arial" w:eastAsia="Arial" w:hAnsi="Arial" w:cs="Arial"/>
          <w:color w:val="000000" w:themeColor="text1"/>
          <w:sz w:val="22"/>
          <w:lang w:val="es-ES"/>
        </w:rPr>
        <w:t xml:space="preserve">roceso de </w:t>
      </w:r>
      <w:r w:rsidR="00C15CB3">
        <w:rPr>
          <w:rFonts w:ascii="Arial" w:eastAsia="Arial" w:hAnsi="Arial" w:cs="Arial"/>
          <w:color w:val="000000" w:themeColor="text1"/>
          <w:sz w:val="22"/>
          <w:lang w:val="es-ES"/>
        </w:rPr>
        <w:t>c</w:t>
      </w:r>
      <w:r>
        <w:rPr>
          <w:rFonts w:ascii="Arial" w:eastAsia="Arial" w:hAnsi="Arial" w:cs="Arial"/>
          <w:color w:val="000000" w:themeColor="text1"/>
          <w:sz w:val="22"/>
          <w:lang w:val="es-ES"/>
        </w:rPr>
        <w:t xml:space="preserve">ontratación dentro de los 3 días siguientes a su expedición existe independientemente de la modalidad que precedió la escogencia del contratista o la causal invocada para utilizar dicha modalidad. Así, por ejemplo, en aquellos casos en que se utilice la modalidad de selección de contratación directa con invocación de la causal de urgencia manifiesta, existe también la obligación de publicar todos los Documentos del Proceso dentro de los 3 días siguientes a su expedición.  </w:t>
      </w:r>
    </w:p>
    <w:p w14:paraId="3E2E3626" w14:textId="0F06CE45" w:rsidR="003270C7" w:rsidRPr="003270C7" w:rsidRDefault="003270C7" w:rsidP="003270C7">
      <w:pPr>
        <w:widowControl w:val="0"/>
        <w:autoSpaceDE w:val="0"/>
        <w:autoSpaceDN w:val="0"/>
        <w:spacing w:before="0"/>
        <w:ind w:firstLine="709"/>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La expresión </w:t>
      </w:r>
      <w:r w:rsidRPr="000C0FED">
        <w:rPr>
          <w:rFonts w:ascii="Arial" w:eastAsia="Arial" w:hAnsi="Arial" w:cs="Arial"/>
          <w:i/>
          <w:iCs/>
          <w:color w:val="000000" w:themeColor="text1"/>
          <w:sz w:val="22"/>
          <w:lang w:val="es-ES"/>
        </w:rPr>
        <w:t>Documentos del Proceso</w:t>
      </w:r>
      <w:r w:rsidRPr="000C0FED">
        <w:rPr>
          <w:rFonts w:ascii="Arial" w:eastAsia="Arial" w:hAnsi="Arial" w:cs="Arial"/>
          <w:color w:val="000000" w:themeColor="text1"/>
          <w:sz w:val="22"/>
          <w:lang w:val="es-ES"/>
        </w:rPr>
        <w:t xml:space="preserve"> se encuentra definida en el artículo 2.2.1.1.1.3.1. del Decreto 1082 de 2015, así: «son: (a) los estudios y documentos previos; (b) </w:t>
      </w:r>
      <w:r w:rsidRPr="000C0FED">
        <w:rPr>
          <w:rFonts w:ascii="Arial" w:eastAsia="Arial" w:hAnsi="Arial" w:cs="Arial"/>
          <w:color w:val="000000" w:themeColor="text1"/>
          <w:sz w:val="22"/>
          <w:lang w:val="es-ES"/>
        </w:rPr>
        <w:lastRenderedPageBreak/>
        <w:t xml:space="preserve">el aviso de convocatoria; (c) los pliegos de condiciones o la invitación; (d) las Adendas; (e) la oferta; (f) el informe de evaluación; (g) el contrato; y cualquier otro documento expedido por la Entidad Estatal durante el Proceso de Contratación». </w:t>
      </w:r>
    </w:p>
    <w:p w14:paraId="6A687F18" w14:textId="77777777" w:rsidR="003270C7" w:rsidRPr="003270C7" w:rsidRDefault="003270C7" w:rsidP="003270C7">
      <w:pPr>
        <w:spacing w:before="0" w:after="0" w:line="240" w:lineRule="auto"/>
        <w:ind w:right="707"/>
        <w:rPr>
          <w:rFonts w:ascii="Arial" w:eastAsia="Calibri" w:hAnsi="Arial" w:cs="Arial"/>
          <w:sz w:val="21"/>
          <w:szCs w:val="21"/>
          <w:lang w:val="es-ES"/>
        </w:rPr>
      </w:pPr>
    </w:p>
    <w:p w14:paraId="13ED07EB" w14:textId="641591E0" w:rsidR="004077FE" w:rsidRDefault="003270C7" w:rsidP="003270C7">
      <w:pPr>
        <w:spacing w:before="0" w:after="0" w:line="240" w:lineRule="auto"/>
        <w:ind w:left="709" w:right="707"/>
        <w:rPr>
          <w:rFonts w:ascii="Arial" w:eastAsia="Calibri" w:hAnsi="Arial" w:cs="Arial"/>
          <w:sz w:val="21"/>
          <w:szCs w:val="21"/>
          <w:lang w:val="es-ES"/>
        </w:rPr>
      </w:pPr>
      <w:r w:rsidRPr="003270C7">
        <w:rPr>
          <w:rFonts w:ascii="Arial" w:eastAsia="Calibri" w:hAnsi="Arial" w:cs="Arial"/>
          <w:sz w:val="21"/>
          <w:szCs w:val="21"/>
          <w:lang w:val="es-ES"/>
        </w:rPr>
        <w:t>(</w:t>
      </w:r>
      <w:proofErr w:type="spellStart"/>
      <w:r w:rsidRPr="003270C7">
        <w:rPr>
          <w:rFonts w:ascii="Arial" w:eastAsia="Calibri" w:hAnsi="Arial" w:cs="Arial"/>
          <w:sz w:val="21"/>
          <w:szCs w:val="21"/>
          <w:lang w:val="es-ES"/>
        </w:rPr>
        <w:t>ii</w:t>
      </w:r>
      <w:proofErr w:type="spellEnd"/>
      <w:r w:rsidRPr="003270C7">
        <w:rPr>
          <w:rFonts w:ascii="Arial" w:eastAsia="Calibri" w:hAnsi="Arial" w:cs="Arial"/>
          <w:sz w:val="21"/>
          <w:szCs w:val="21"/>
          <w:lang w:val="es-ES"/>
        </w:rPr>
        <w:t>) ¿Debe la entidad Estatal mantener un expediente físico del proceso contractual habida consideración de que la Circular Externa Única de la Agencia Nacional de Contratación- Colombia Compra Eficiente solamente menciona el expediente electrónico?</w:t>
      </w:r>
      <w:r w:rsidR="004077FE" w:rsidRPr="003270C7">
        <w:rPr>
          <w:rFonts w:ascii="Arial" w:eastAsia="Calibri" w:hAnsi="Arial" w:cs="Arial"/>
          <w:sz w:val="21"/>
          <w:szCs w:val="21"/>
          <w:lang w:val="es-ES"/>
        </w:rPr>
        <w:t xml:space="preserve"> </w:t>
      </w:r>
    </w:p>
    <w:p w14:paraId="2A8A2D92" w14:textId="77777777" w:rsidR="004735AD" w:rsidRPr="003270C7" w:rsidRDefault="004735AD" w:rsidP="003270C7">
      <w:pPr>
        <w:spacing w:before="0" w:after="0" w:line="240" w:lineRule="auto"/>
        <w:ind w:left="709" w:right="707"/>
        <w:rPr>
          <w:rFonts w:ascii="Arial" w:eastAsia="Calibri" w:hAnsi="Arial" w:cs="Arial"/>
          <w:sz w:val="21"/>
          <w:szCs w:val="21"/>
          <w:lang w:val="es-ES"/>
        </w:rPr>
      </w:pPr>
    </w:p>
    <w:p w14:paraId="1A72C207" w14:textId="15A44E14" w:rsidR="00103836" w:rsidRDefault="00103836" w:rsidP="00082E38">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 respuesta a esta pregunta depende de la plataforma, SECOP I o SECOP II, en la cual la entidad estatal esté obligada a realizar la publicación de su actividad contractual. Si se trata de la primera de estas plataformas, la entidad deberá llevar un expediente físico que deberá ser digitalizado para efectos de publicidad en el SECOP I. </w:t>
      </w:r>
    </w:p>
    <w:p w14:paraId="32F79790" w14:textId="39F58545" w:rsidR="00082E38" w:rsidRDefault="00103836" w:rsidP="00103836">
      <w:pPr>
        <w:ind w:firstLine="720"/>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Por el contrario, si se trata de la segunda de estas plataformas, SECOP II, los documentos y el expediente mismo son electrónicos y no es posible tener expediente físico y electrónico, entre otras razones con el objetivo de evitar duplicidad de información y potenciales contradicciones entre los dos expedientes. </w:t>
      </w:r>
    </w:p>
    <w:p w14:paraId="07CF711D" w14:textId="52B1B1EB" w:rsidR="00082E38" w:rsidRPr="004735AD" w:rsidRDefault="004735AD" w:rsidP="004735AD">
      <w:pPr>
        <w:spacing w:before="0"/>
        <w:ind w:firstLine="709"/>
        <w:rPr>
          <w:rFonts w:ascii="Arial" w:eastAsia="Calibri" w:hAnsi="Arial" w:cs="Arial"/>
          <w:sz w:val="22"/>
          <w:lang w:val="es-ES"/>
        </w:rPr>
      </w:pPr>
      <w:r w:rsidRPr="00BF2545">
        <w:rPr>
          <w:rFonts w:ascii="Arial" w:eastAsia="Calibri" w:hAnsi="Arial" w:cs="Arial"/>
          <w:sz w:val="22"/>
          <w:lang w:val="es-ES"/>
        </w:rPr>
        <w:t xml:space="preserve">No obstante, eventualmente puede ocurrir que al SECOP II se deban cargar documentos </w:t>
      </w:r>
      <w:r>
        <w:rPr>
          <w:rFonts w:ascii="Arial" w:eastAsia="Calibri" w:hAnsi="Arial" w:cs="Arial"/>
          <w:sz w:val="22"/>
          <w:lang w:val="es-ES"/>
        </w:rPr>
        <w:t xml:space="preserve">físicos elaborados </w:t>
      </w:r>
      <w:r w:rsidRPr="00BF2545">
        <w:rPr>
          <w:rFonts w:ascii="Arial" w:eastAsia="Calibri" w:hAnsi="Arial" w:cs="Arial"/>
          <w:sz w:val="22"/>
          <w:lang w:val="es-ES"/>
        </w:rPr>
        <w:t>por las partes, previamente digitalizados. Esto ocurre, por ejemplo, con los estudios previos, el informe de evaluación, la resolución de adjudicación o con el clausulado del contrato, entre otras actuaciones en las que los usuarios quedan habilitados para cargar documentos en la plataforma. Se trata de algo excepcional, pues, se insiste, el SECOP II es una plataforma esencialmente transaccional, distinta de</w:t>
      </w:r>
      <w:r>
        <w:rPr>
          <w:rFonts w:ascii="Arial" w:eastAsia="Calibri" w:hAnsi="Arial" w:cs="Arial"/>
          <w:sz w:val="22"/>
          <w:lang w:val="es-ES"/>
        </w:rPr>
        <w:t xml:space="preserve">l </w:t>
      </w:r>
      <w:r w:rsidRPr="00BF2545">
        <w:rPr>
          <w:rFonts w:ascii="Arial" w:eastAsia="Calibri" w:hAnsi="Arial" w:cs="Arial"/>
          <w:sz w:val="22"/>
          <w:lang w:val="es-ES"/>
        </w:rPr>
        <w:t>SECOP I que es una herramienta eminentemente publicitaria.</w:t>
      </w:r>
    </w:p>
    <w:p w14:paraId="4E08BCD2" w14:textId="77777777" w:rsidR="00082E38" w:rsidRPr="00082E38" w:rsidRDefault="00082E38" w:rsidP="00082E38">
      <w:pPr>
        <w:rPr>
          <w:rFonts w:ascii="Arial" w:eastAsia="Calibri" w:hAnsi="Arial" w:cs="Arial"/>
          <w:color w:val="000000"/>
          <w:sz w:val="22"/>
          <w:szCs w:val="22"/>
          <w:lang w:val="es-MX" w:eastAsia="en-US"/>
        </w:rPr>
      </w:pPr>
      <w:r w:rsidRPr="00082E38">
        <w:rPr>
          <w:rFonts w:ascii="Arial" w:eastAsia="Calibri" w:hAnsi="Arial" w:cs="Arial"/>
          <w:color w:val="000000"/>
          <w:sz w:val="22"/>
          <w:szCs w:val="22"/>
          <w:lang w:val="es-MX" w:eastAsia="en-US"/>
        </w:rPr>
        <w:t>Este concepto tiene el alcance previsto en el artículo 28 del Código de Procedimiento Administrativo y de lo Contencioso Administrativo.</w:t>
      </w:r>
    </w:p>
    <w:p w14:paraId="40409FC7" w14:textId="77777777" w:rsidR="00082E38" w:rsidRPr="00082E38" w:rsidRDefault="00082E38" w:rsidP="00082E38">
      <w:pPr>
        <w:spacing w:before="0" w:after="0" w:line="240" w:lineRule="auto"/>
        <w:rPr>
          <w:rFonts w:ascii="Arial" w:eastAsia="Calibri" w:hAnsi="Arial" w:cs="Arial"/>
          <w:color w:val="000000"/>
          <w:sz w:val="22"/>
          <w:szCs w:val="22"/>
          <w:lang w:val="es-MX" w:eastAsia="en-US"/>
        </w:rPr>
      </w:pPr>
      <w:r w:rsidRPr="00082E38">
        <w:rPr>
          <w:rFonts w:ascii="Calibri" w:eastAsia="Calibri" w:hAnsi="Calibri"/>
          <w:noProof/>
          <w:color w:val="000000"/>
          <w:szCs w:val="22"/>
          <w:lang w:val="en-US" w:eastAsia="en-US"/>
        </w:rPr>
        <mc:AlternateContent>
          <mc:Choice Requires="wps">
            <w:drawing>
              <wp:anchor distT="0" distB="0" distL="114300" distR="114300" simplePos="0" relativeHeight="251659264" behindDoc="0" locked="0" layoutInCell="1" allowOverlap="1" wp14:anchorId="1750BD79" wp14:editId="0F8180C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0FD8FB">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C4FC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0A3E66D2" w14:textId="77777777" w:rsidR="00082E38" w:rsidRPr="00082E38" w:rsidRDefault="00082E38" w:rsidP="00082E38">
      <w:pPr>
        <w:spacing w:before="0" w:after="0" w:line="240" w:lineRule="auto"/>
        <w:jc w:val="left"/>
        <w:rPr>
          <w:rFonts w:ascii="Arial" w:hAnsi="Arial" w:cs="Arial"/>
          <w:color w:val="000000"/>
          <w:sz w:val="22"/>
          <w:szCs w:val="22"/>
          <w:lang w:val="es-MX" w:eastAsia="es-CO"/>
        </w:rPr>
      </w:pPr>
      <w:r w:rsidRPr="00082E38">
        <w:rPr>
          <w:rFonts w:ascii="Arial" w:hAnsi="Arial" w:cs="Arial"/>
          <w:color w:val="000000"/>
          <w:sz w:val="22"/>
          <w:szCs w:val="22"/>
          <w:lang w:val="es-MX" w:eastAsia="es-CO"/>
        </w:rPr>
        <w:t>Atentamente,</w:t>
      </w:r>
    </w:p>
    <w:p w14:paraId="42CBF370" w14:textId="620D310B" w:rsidR="00082E38" w:rsidRDefault="00CE1DCA" w:rsidP="00082E38">
      <w:pPr>
        <w:spacing w:before="0" w:after="0" w:line="240" w:lineRule="auto"/>
        <w:jc w:val="center"/>
        <w:rPr>
          <w:rFonts w:ascii="Arial" w:hAnsi="Arial" w:cs="Arial"/>
          <w:color w:val="000000"/>
          <w:sz w:val="18"/>
          <w:szCs w:val="20"/>
          <w:lang w:val="es-MX" w:eastAsia="es-CO"/>
        </w:rPr>
      </w:pPr>
      <w:r>
        <w:rPr>
          <w:noProof/>
        </w:rPr>
        <w:drawing>
          <wp:inline distT="0" distB="0" distL="0" distR="0" wp14:anchorId="2AB7F2E7" wp14:editId="089D4DCA">
            <wp:extent cx="2773144" cy="988695"/>
            <wp:effectExtent l="0" t="0" r="0" b="0"/>
            <wp:docPr id="35212501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2F1F6018" w14:textId="77777777" w:rsidR="00BB4023" w:rsidRPr="00082E38" w:rsidRDefault="00BB4023" w:rsidP="00082E38">
      <w:pPr>
        <w:spacing w:before="0" w:after="0" w:line="240" w:lineRule="auto"/>
        <w:jc w:val="center"/>
        <w:rPr>
          <w:rFonts w:ascii="Arial" w:hAnsi="Arial" w:cs="Arial"/>
          <w:color w:val="000000"/>
          <w:sz w:val="18"/>
          <w:szCs w:val="20"/>
          <w:lang w:val="es-MX" w:eastAsia="es-CO"/>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82E38" w:rsidRPr="00CE1DCA" w14:paraId="150E0004" w14:textId="77777777" w:rsidTr="00082E38">
        <w:trPr>
          <w:trHeight w:val="315"/>
        </w:trPr>
        <w:tc>
          <w:tcPr>
            <w:tcW w:w="812" w:type="dxa"/>
            <w:vAlign w:val="center"/>
            <w:hideMark/>
          </w:tcPr>
          <w:p w14:paraId="2546EE40" w14:textId="77777777" w:rsidR="00082E38" w:rsidRPr="00082E38" w:rsidRDefault="00082E38" w:rsidP="00082E38">
            <w:pPr>
              <w:spacing w:before="0" w:after="0" w:line="240" w:lineRule="auto"/>
              <w:jc w:val="left"/>
              <w:rPr>
                <w:rFonts w:ascii="Arial" w:hAnsi="Arial" w:cs="Arial"/>
                <w:color w:val="000000"/>
                <w:sz w:val="16"/>
                <w:szCs w:val="16"/>
                <w:lang w:val="es-MX" w:eastAsia="es-ES"/>
              </w:rPr>
            </w:pPr>
            <w:r w:rsidRPr="00082E38">
              <w:rPr>
                <w:rFonts w:ascii="Arial" w:hAnsi="Arial" w:cs="Arial"/>
                <w:color w:val="000000"/>
                <w:sz w:val="16"/>
                <w:szCs w:val="16"/>
                <w:lang w:val="es-MX" w:eastAsia="es-ES"/>
              </w:rPr>
              <w:t>Elaboró:</w:t>
            </w:r>
          </w:p>
        </w:tc>
        <w:tc>
          <w:tcPr>
            <w:tcW w:w="4413" w:type="dxa"/>
            <w:tcBorders>
              <w:top w:val="nil"/>
              <w:left w:val="nil"/>
              <w:bottom w:val="dotted" w:sz="4" w:space="0" w:color="7F7F7F"/>
              <w:right w:val="nil"/>
            </w:tcBorders>
            <w:vAlign w:val="center"/>
            <w:hideMark/>
          </w:tcPr>
          <w:p w14:paraId="2D2EC992" w14:textId="77777777" w:rsidR="00082E38" w:rsidRPr="00082E38" w:rsidRDefault="00082E38" w:rsidP="00082E38">
            <w:pPr>
              <w:spacing w:before="0" w:after="0" w:line="240" w:lineRule="auto"/>
              <w:jc w:val="left"/>
              <w:rPr>
                <w:rFonts w:ascii="Arial" w:hAnsi="Arial" w:cs="Arial"/>
                <w:color w:val="000000"/>
                <w:sz w:val="16"/>
                <w:szCs w:val="16"/>
                <w:lang w:val="es-MX" w:eastAsia="es-ES"/>
              </w:rPr>
            </w:pPr>
            <w:r w:rsidRPr="00082E38">
              <w:rPr>
                <w:rFonts w:ascii="Arial" w:hAnsi="Arial" w:cs="Arial"/>
                <w:color w:val="000000"/>
                <w:sz w:val="16"/>
                <w:szCs w:val="16"/>
                <w:lang w:val="es-MX" w:eastAsia="es-ES"/>
              </w:rPr>
              <w:t>Sebastián Barreto Cifuentes</w:t>
            </w:r>
          </w:p>
          <w:p w14:paraId="76F7A1FB" w14:textId="77777777" w:rsidR="00082E38" w:rsidRPr="00082E38" w:rsidRDefault="00082E38" w:rsidP="00082E38">
            <w:pPr>
              <w:spacing w:before="0" w:after="0" w:line="240" w:lineRule="auto"/>
              <w:jc w:val="left"/>
              <w:rPr>
                <w:rFonts w:ascii="Arial" w:hAnsi="Arial" w:cs="Arial"/>
                <w:color w:val="000000"/>
                <w:sz w:val="16"/>
                <w:szCs w:val="16"/>
                <w:lang w:val="es-MX" w:eastAsia="es-ES"/>
              </w:rPr>
            </w:pPr>
            <w:r w:rsidRPr="00082E38">
              <w:rPr>
                <w:rFonts w:ascii="Arial" w:hAnsi="Arial" w:cs="Arial"/>
                <w:color w:val="000000"/>
                <w:sz w:val="16"/>
                <w:szCs w:val="16"/>
                <w:lang w:val="es-MX" w:eastAsia="es-ES"/>
              </w:rPr>
              <w:t>Contratista Dirección y Subdirección de Gestión Contractual</w:t>
            </w:r>
          </w:p>
        </w:tc>
      </w:tr>
      <w:tr w:rsidR="00082E38" w:rsidRPr="00CE1DCA" w14:paraId="2979DCD7" w14:textId="77777777" w:rsidTr="00082E38">
        <w:trPr>
          <w:trHeight w:val="330"/>
        </w:trPr>
        <w:tc>
          <w:tcPr>
            <w:tcW w:w="812" w:type="dxa"/>
            <w:vAlign w:val="center"/>
            <w:hideMark/>
          </w:tcPr>
          <w:p w14:paraId="5523473C" w14:textId="77777777" w:rsidR="00082E38" w:rsidRPr="00082E38" w:rsidRDefault="00082E38" w:rsidP="00082E38">
            <w:pPr>
              <w:spacing w:before="0" w:after="0" w:line="240" w:lineRule="auto"/>
              <w:jc w:val="left"/>
              <w:rPr>
                <w:rFonts w:ascii="Arial" w:hAnsi="Arial" w:cs="Arial"/>
                <w:color w:val="000000"/>
                <w:sz w:val="16"/>
                <w:szCs w:val="16"/>
                <w:lang w:val="es-MX" w:eastAsia="es-ES"/>
              </w:rPr>
            </w:pPr>
            <w:r w:rsidRPr="00082E38">
              <w:rPr>
                <w:rFonts w:ascii="Arial" w:hAnsi="Arial" w:cs="Arial"/>
                <w:color w:val="000000"/>
                <w:sz w:val="16"/>
                <w:szCs w:val="16"/>
                <w:lang w:val="es-MX" w:eastAsia="es-ES"/>
              </w:rPr>
              <w:t>Revisó:</w:t>
            </w:r>
          </w:p>
        </w:tc>
        <w:tc>
          <w:tcPr>
            <w:tcW w:w="4413" w:type="dxa"/>
            <w:tcBorders>
              <w:top w:val="dotted" w:sz="4" w:space="0" w:color="7F7F7F"/>
              <w:left w:val="nil"/>
              <w:bottom w:val="dotted" w:sz="4" w:space="0" w:color="7F7F7F"/>
              <w:right w:val="nil"/>
            </w:tcBorders>
            <w:vAlign w:val="center"/>
            <w:hideMark/>
          </w:tcPr>
          <w:p w14:paraId="4570A1F6" w14:textId="335EBB78" w:rsidR="00082E38" w:rsidRPr="00082E38" w:rsidRDefault="005E0CAE" w:rsidP="00082E38">
            <w:pPr>
              <w:spacing w:before="0" w:after="0" w:line="240" w:lineRule="auto"/>
              <w:jc w:val="left"/>
              <w:rPr>
                <w:rFonts w:ascii="Arial" w:hAnsi="Arial" w:cs="Arial"/>
                <w:color w:val="000000"/>
                <w:sz w:val="16"/>
                <w:szCs w:val="16"/>
                <w:lang w:val="es-MX" w:eastAsia="es-ES"/>
              </w:rPr>
            </w:pPr>
            <w:r>
              <w:rPr>
                <w:rFonts w:ascii="Arial" w:hAnsi="Arial" w:cs="Arial"/>
                <w:color w:val="000000"/>
                <w:sz w:val="16"/>
                <w:szCs w:val="16"/>
                <w:lang w:val="es-MX" w:eastAsia="es-ES"/>
              </w:rPr>
              <w:t>Cristian Andrés Díaz Díez</w:t>
            </w:r>
          </w:p>
          <w:p w14:paraId="0D023A0E" w14:textId="544AAEED" w:rsidR="00082E38" w:rsidRPr="00082E38" w:rsidRDefault="005E0CAE" w:rsidP="00082E38">
            <w:pPr>
              <w:spacing w:before="0" w:after="0" w:line="240" w:lineRule="auto"/>
              <w:jc w:val="left"/>
              <w:rPr>
                <w:rFonts w:ascii="Arial" w:hAnsi="Arial" w:cs="Arial"/>
                <w:color w:val="000000"/>
                <w:sz w:val="16"/>
                <w:szCs w:val="16"/>
                <w:lang w:val="es-MX" w:eastAsia="es-ES"/>
              </w:rPr>
            </w:pPr>
            <w:r>
              <w:rPr>
                <w:rFonts w:ascii="Arial" w:hAnsi="Arial" w:cs="Arial"/>
                <w:color w:val="000000"/>
                <w:sz w:val="16"/>
                <w:szCs w:val="16"/>
                <w:lang w:val="es-MX" w:eastAsia="es-ES"/>
              </w:rPr>
              <w:t xml:space="preserve">Contratista, </w:t>
            </w:r>
            <w:r w:rsidR="00082E38" w:rsidRPr="00082E38">
              <w:rPr>
                <w:rFonts w:ascii="Arial" w:hAnsi="Arial" w:cs="Arial"/>
                <w:color w:val="000000"/>
                <w:sz w:val="16"/>
                <w:szCs w:val="16"/>
                <w:lang w:val="es-MX" w:eastAsia="es-ES"/>
              </w:rPr>
              <w:t>Subdirec</w:t>
            </w:r>
            <w:r>
              <w:rPr>
                <w:rFonts w:ascii="Arial" w:hAnsi="Arial" w:cs="Arial"/>
                <w:color w:val="000000"/>
                <w:sz w:val="16"/>
                <w:szCs w:val="16"/>
                <w:lang w:val="es-MX" w:eastAsia="es-ES"/>
              </w:rPr>
              <w:t>ción</w:t>
            </w:r>
            <w:r w:rsidR="00082E38" w:rsidRPr="00082E38">
              <w:rPr>
                <w:rFonts w:ascii="Arial" w:hAnsi="Arial" w:cs="Arial"/>
                <w:color w:val="000000"/>
                <w:sz w:val="16"/>
                <w:szCs w:val="16"/>
                <w:lang w:val="es-MX" w:eastAsia="es-ES"/>
              </w:rPr>
              <w:t xml:space="preserve"> de Gestión Contractual</w:t>
            </w:r>
          </w:p>
        </w:tc>
      </w:tr>
      <w:tr w:rsidR="00082E38" w:rsidRPr="00CE1DCA" w14:paraId="06EB98C7" w14:textId="77777777" w:rsidTr="00082E38">
        <w:trPr>
          <w:trHeight w:val="300"/>
        </w:trPr>
        <w:tc>
          <w:tcPr>
            <w:tcW w:w="812" w:type="dxa"/>
            <w:vAlign w:val="center"/>
            <w:hideMark/>
          </w:tcPr>
          <w:p w14:paraId="4319EEF5" w14:textId="77777777" w:rsidR="00082E38" w:rsidRPr="00082E38" w:rsidRDefault="00082E38" w:rsidP="00082E38">
            <w:pPr>
              <w:spacing w:before="0" w:after="0" w:line="240" w:lineRule="auto"/>
              <w:jc w:val="left"/>
              <w:rPr>
                <w:rFonts w:ascii="Arial" w:hAnsi="Arial" w:cs="Arial"/>
                <w:color w:val="000000"/>
                <w:sz w:val="16"/>
                <w:szCs w:val="16"/>
                <w:lang w:val="es-MX" w:eastAsia="es-ES"/>
              </w:rPr>
            </w:pPr>
            <w:r w:rsidRPr="00082E38">
              <w:rPr>
                <w:rFonts w:ascii="Arial" w:hAnsi="Arial" w:cs="Arial"/>
                <w:color w:val="000000"/>
                <w:sz w:val="16"/>
                <w:szCs w:val="16"/>
                <w:lang w:val="es-MX" w:eastAsia="es-ES"/>
              </w:rPr>
              <w:t>Aprobó:</w:t>
            </w:r>
          </w:p>
        </w:tc>
        <w:tc>
          <w:tcPr>
            <w:tcW w:w="4413" w:type="dxa"/>
            <w:tcBorders>
              <w:top w:val="dotted" w:sz="4" w:space="0" w:color="7F7F7F"/>
              <w:left w:val="nil"/>
              <w:bottom w:val="dotted" w:sz="4" w:space="0" w:color="7F7F7F"/>
              <w:right w:val="nil"/>
            </w:tcBorders>
            <w:vAlign w:val="center"/>
            <w:hideMark/>
          </w:tcPr>
          <w:p w14:paraId="54F11873" w14:textId="77777777" w:rsidR="00082E38" w:rsidRPr="00082E38" w:rsidRDefault="00082E38" w:rsidP="00082E38">
            <w:pPr>
              <w:spacing w:before="0" w:after="0" w:line="240" w:lineRule="auto"/>
              <w:jc w:val="left"/>
              <w:rPr>
                <w:rFonts w:ascii="Arial" w:hAnsi="Arial" w:cs="Arial"/>
                <w:color w:val="000000"/>
                <w:sz w:val="16"/>
                <w:szCs w:val="16"/>
                <w:lang w:val="es-MX" w:eastAsia="es-ES"/>
              </w:rPr>
            </w:pPr>
            <w:r w:rsidRPr="00082E38">
              <w:rPr>
                <w:rFonts w:ascii="Arial" w:hAnsi="Arial" w:cs="Arial"/>
                <w:color w:val="000000"/>
                <w:sz w:val="16"/>
                <w:szCs w:val="16"/>
                <w:lang w:val="es-MX" w:eastAsia="es-ES"/>
              </w:rPr>
              <w:t>Fabián Gonzalo Marín Cortés</w:t>
            </w:r>
          </w:p>
          <w:p w14:paraId="4043DFC0" w14:textId="77777777" w:rsidR="00082E38" w:rsidRPr="00082E38" w:rsidRDefault="00082E38" w:rsidP="00082E38">
            <w:pPr>
              <w:spacing w:before="0" w:after="0" w:line="240" w:lineRule="auto"/>
              <w:jc w:val="left"/>
              <w:rPr>
                <w:rFonts w:ascii="Arial" w:hAnsi="Arial" w:cs="Arial"/>
                <w:color w:val="000000"/>
                <w:sz w:val="16"/>
                <w:szCs w:val="16"/>
                <w:lang w:val="es-MX" w:eastAsia="es-ES"/>
              </w:rPr>
            </w:pPr>
            <w:r w:rsidRPr="00082E38">
              <w:rPr>
                <w:rFonts w:ascii="Arial" w:hAnsi="Arial" w:cs="Arial"/>
                <w:color w:val="000000"/>
                <w:sz w:val="16"/>
                <w:szCs w:val="16"/>
                <w:lang w:val="es-MX" w:eastAsia="es-ES"/>
              </w:rPr>
              <w:t>Subdirector de Gestión Contractual</w:t>
            </w:r>
          </w:p>
        </w:tc>
      </w:tr>
    </w:tbl>
    <w:p w14:paraId="11F11BA2" w14:textId="77777777" w:rsidR="00082E38" w:rsidRPr="00082E38" w:rsidRDefault="00082E38" w:rsidP="00082E38">
      <w:pPr>
        <w:rPr>
          <w:rFonts w:ascii="Arial" w:eastAsia="Calibri" w:hAnsi="Arial" w:cs="Arial"/>
          <w:color w:val="000000" w:themeColor="text1"/>
          <w:sz w:val="22"/>
          <w:lang w:val="es-MX"/>
        </w:rPr>
      </w:pPr>
    </w:p>
    <w:sectPr w:rsidR="00082E38" w:rsidRPr="00082E38" w:rsidSect="008D48F5">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098F6" w14:textId="77777777" w:rsidR="005D37CE" w:rsidRDefault="005D37CE" w:rsidP="001637CE">
      <w:pPr>
        <w:spacing w:before="0" w:after="0" w:line="240" w:lineRule="auto"/>
      </w:pPr>
      <w:r>
        <w:separator/>
      </w:r>
    </w:p>
  </w:endnote>
  <w:endnote w:type="continuationSeparator" w:id="0">
    <w:p w14:paraId="667C5CDA" w14:textId="77777777" w:rsidR="005D37CE" w:rsidRDefault="005D37CE" w:rsidP="001637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CE7C3" w14:textId="77777777" w:rsidR="003E141B" w:rsidRPr="008217B7" w:rsidRDefault="003E141B" w:rsidP="003E141B">
    <w:pPr>
      <w:pStyle w:val="Piedepgina"/>
      <w:jc w:val="right"/>
      <w:rPr>
        <w:rFonts w:ascii="Arial" w:hAnsi="Arial" w:cs="Arial"/>
        <w:color w:val="7F7F7F" w:themeColor="text1" w:themeTint="80"/>
        <w:sz w:val="16"/>
        <w:szCs w:val="16"/>
      </w:rPr>
    </w:pPr>
    <w:proofErr w:type="spellStart"/>
    <w:r w:rsidRPr="008217B7">
      <w:rPr>
        <w:rFonts w:ascii="Arial" w:hAnsi="Arial" w:cs="Arial"/>
        <w:bCs/>
        <w:color w:val="7F7F7F" w:themeColor="text1" w:themeTint="80"/>
        <w:sz w:val="16"/>
        <w:szCs w:val="16"/>
      </w:rPr>
      <w:t>Página</w:t>
    </w:r>
    <w:proofErr w:type="spellEnd"/>
    <w:r w:rsidRPr="008217B7">
      <w:rPr>
        <w:rFonts w:ascii="Arial" w:hAnsi="Arial" w:cs="Arial"/>
        <w:bCs/>
        <w:color w:val="7F7F7F" w:themeColor="text1" w:themeTint="80"/>
        <w:sz w:val="16"/>
        <w:szCs w:val="16"/>
      </w:rPr>
      <w:t xml:space="preserv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5753F86F" w14:textId="77777777" w:rsidR="003E141B" w:rsidRDefault="003E141B" w:rsidP="003E141B">
    <w:pPr>
      <w:pStyle w:val="Piedepgina"/>
      <w:jc w:val="center"/>
      <w:rPr>
        <w:lang w:val="es-ES"/>
      </w:rPr>
    </w:pPr>
    <w:r>
      <w:rPr>
        <w:noProof/>
        <w:lang w:val="en-US"/>
      </w:rPr>
      <w:drawing>
        <wp:inline distT="0" distB="0" distL="0" distR="0" wp14:anchorId="6CA13C24" wp14:editId="008D31CF">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B67AA" w14:textId="77777777" w:rsidR="005D37CE" w:rsidRDefault="005D37CE" w:rsidP="001637CE">
      <w:pPr>
        <w:spacing w:before="0" w:after="0" w:line="240" w:lineRule="auto"/>
      </w:pPr>
      <w:r>
        <w:separator/>
      </w:r>
    </w:p>
  </w:footnote>
  <w:footnote w:type="continuationSeparator" w:id="0">
    <w:p w14:paraId="7CF76F18" w14:textId="77777777" w:rsidR="005D37CE" w:rsidRDefault="005D37CE" w:rsidP="001637CE">
      <w:pPr>
        <w:spacing w:before="0" w:after="0" w:line="240" w:lineRule="auto"/>
      </w:pPr>
      <w:r>
        <w:continuationSeparator/>
      </w:r>
    </w:p>
  </w:footnote>
  <w:footnote w:id="1">
    <w:p w14:paraId="30D0FFAD"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Corte Constitucional. Sentencia C- 341 del 4 de junio de 2014. M. P. Mauricio González Cuervo.</w:t>
      </w:r>
    </w:p>
  </w:footnote>
  <w:footnote w:id="2">
    <w:p w14:paraId="5CED53E2"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7B7DC3F"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proofErr w:type="gramStart"/>
      <w:r w:rsidRPr="000C0FED">
        <w:rPr>
          <w:rFonts w:ascii="Arial" w:hAnsi="Arial" w:cs="Arial"/>
          <w:color w:val="000000" w:themeColor="text1"/>
          <w:sz w:val="19"/>
          <w:szCs w:val="19"/>
        </w:rPr>
        <w:t>»Lo</w:t>
      </w:r>
      <w:proofErr w:type="gramEnd"/>
      <w:r w:rsidRPr="000C0FED">
        <w:rPr>
          <w:rFonts w:ascii="Arial" w:hAnsi="Arial" w:cs="Arial"/>
          <w:color w:val="000000" w:themeColor="text1"/>
          <w:sz w:val="19"/>
          <w:szCs w:val="19"/>
        </w:rPr>
        <w:t xml:space="preserve"> anterior, sin perjuicio de las publicaciones previstas en el numeral 3 del artículo 30 de la Ley 80 de 1993.</w:t>
      </w:r>
    </w:p>
    <w:p w14:paraId="038919E2"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proofErr w:type="gramStart"/>
      <w:r w:rsidRPr="000C0FED">
        <w:rPr>
          <w:rFonts w:ascii="Arial" w:hAnsi="Arial" w:cs="Arial"/>
          <w:color w:val="000000" w:themeColor="text1"/>
          <w:sz w:val="19"/>
          <w:szCs w:val="19"/>
        </w:rPr>
        <w:t>»Con</w:t>
      </w:r>
      <w:proofErr w:type="gramEnd"/>
      <w:r w:rsidRPr="000C0FED">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0C0FED">
        <w:rPr>
          <w:rFonts w:ascii="Arial" w:hAnsi="Arial" w:cs="Arial"/>
          <w:color w:val="000000" w:themeColor="text1"/>
          <w:sz w:val="19"/>
          <w:szCs w:val="19"/>
        </w:rPr>
        <w:t>Secop</w:t>
      </w:r>
      <w:proofErr w:type="spellEnd"/>
      <w:r w:rsidRPr="000C0FED">
        <w:rPr>
          <w:rFonts w:ascii="Arial" w:hAnsi="Arial" w:cs="Arial"/>
          <w:color w:val="000000" w:themeColor="text1"/>
          <w:sz w:val="19"/>
          <w:szCs w:val="19"/>
        </w:rPr>
        <w:t xml:space="preserve">, el cual: </w:t>
      </w:r>
    </w:p>
    <w:p w14:paraId="3DB2A108"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Fonts w:ascii="Arial" w:hAnsi="Arial" w:cs="Arial"/>
          <w:color w:val="000000" w:themeColor="text1"/>
          <w:sz w:val="19"/>
          <w:szCs w:val="19"/>
        </w:rPr>
        <w:t>[…]</w:t>
      </w:r>
    </w:p>
    <w:p w14:paraId="08D89703"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footnote>
  <w:footnote w:id="3">
    <w:p w14:paraId="7825FF2A"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4">
    <w:p w14:paraId="64BAED7C"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7235985E"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proofErr w:type="gramStart"/>
      <w:r w:rsidRPr="000C0FED">
        <w:rPr>
          <w:rFonts w:ascii="Arial" w:hAnsi="Arial" w:cs="Arial"/>
          <w:color w:val="000000" w:themeColor="text1"/>
          <w:sz w:val="19"/>
          <w:szCs w:val="19"/>
        </w:rPr>
        <w:t>»a</w:t>
      </w:r>
      <w:proofErr w:type="gramEnd"/>
      <w:r w:rsidRPr="000C0FED">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footnote>
  <w:footnote w:id="5">
    <w:p w14:paraId="0D2344B0"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Fonts w:ascii="Arial" w:hAnsi="Arial" w:cs="Arial"/>
          <w:color w:val="000000" w:themeColor="text1"/>
          <w:sz w:val="19"/>
          <w:szCs w:val="19"/>
          <w:vertAlign w:val="superscript"/>
          <w:lang w:val="es-ES" w:eastAsia="es-ES"/>
        </w:rPr>
        <w:footnoteRef/>
      </w:r>
      <w:r w:rsidRPr="000C0FED">
        <w:rPr>
          <w:rFonts w:ascii="Arial" w:hAnsi="Arial" w:cs="Arial"/>
          <w:color w:val="000000" w:themeColor="text1"/>
          <w:sz w:val="19"/>
          <w:szCs w:val="19"/>
          <w:vertAlign w:val="superscript"/>
          <w:lang w:val="es-ES" w:eastAsia="es-ES"/>
        </w:rPr>
        <w:t xml:space="preserve"> </w:t>
      </w:r>
      <w:r w:rsidRPr="000C0FED">
        <w:rPr>
          <w:rFonts w:ascii="Arial" w:hAnsi="Arial" w:cs="Arial"/>
          <w:color w:val="000000" w:themeColor="text1"/>
          <w:sz w:val="19"/>
          <w:szCs w:val="19"/>
          <w:lang w:val="es-ES" w:eastAsia="es-ES"/>
        </w:rPr>
        <w:t>«</w:t>
      </w:r>
      <w:r w:rsidRPr="000C0FE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D0ED534"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lang w:val="es-ES" w:eastAsia="es-ES"/>
        </w:rPr>
      </w:pPr>
      <w:r w:rsidRPr="000C0FED">
        <w:rPr>
          <w:rFonts w:ascii="Arial" w:hAnsi="Arial" w:cs="Arial"/>
          <w:color w:val="000000" w:themeColor="text1"/>
          <w:sz w:val="19"/>
          <w:szCs w:val="19"/>
        </w:rPr>
        <w:t>[…].</w:t>
      </w:r>
    </w:p>
    <w:p w14:paraId="2C5A7CFC" w14:textId="488D6F58"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lang w:val="es-ES" w:eastAsia="es-ES"/>
        </w:rPr>
      </w:pPr>
      <w:proofErr w:type="gramStart"/>
      <w:r w:rsidRPr="000C0FED">
        <w:rPr>
          <w:rFonts w:ascii="Arial" w:hAnsi="Arial" w:cs="Arial"/>
          <w:color w:val="000000" w:themeColor="text1"/>
          <w:sz w:val="19"/>
          <w:szCs w:val="19"/>
          <w:lang w:val="es-ES" w:eastAsia="es-ES"/>
        </w:rPr>
        <w:t>»Los</w:t>
      </w:r>
      <w:proofErr w:type="gramEnd"/>
      <w:r w:rsidRPr="000C0FED">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footnote>
  <w:footnote w:id="6">
    <w:p w14:paraId="267995FB"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C</w:t>
      </w:r>
      <w:proofErr w:type="spellStart"/>
      <w:r w:rsidRPr="000C0FED">
        <w:rPr>
          <w:rFonts w:ascii="Arial" w:hAnsi="Arial" w:cs="Arial"/>
          <w:color w:val="000000" w:themeColor="text1"/>
          <w:sz w:val="19"/>
          <w:szCs w:val="19"/>
          <w:lang w:val="es-ES" w:eastAsia="es-ES"/>
        </w:rPr>
        <w:t>orte</w:t>
      </w:r>
      <w:proofErr w:type="spellEnd"/>
      <w:r w:rsidRPr="000C0FED">
        <w:rPr>
          <w:rFonts w:ascii="Arial" w:hAnsi="Arial" w:cs="Arial"/>
          <w:color w:val="000000" w:themeColor="text1"/>
          <w:sz w:val="19"/>
          <w:szCs w:val="19"/>
          <w:lang w:val="es-ES" w:eastAsia="es-ES"/>
        </w:rPr>
        <w:t xml:space="preserve"> Constitucional. Sentencia C-274 de 9 de mayo de 2013. M.P. María Victoria Calle Correa. </w:t>
      </w:r>
    </w:p>
  </w:footnote>
  <w:footnote w:id="7">
    <w:p w14:paraId="1C0880ED" w14:textId="43CA723D"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14:paraId="6DF488F3" w14:textId="77777777" w:rsidR="00646E26" w:rsidRPr="000C0FED" w:rsidRDefault="00646E26" w:rsidP="00103836">
      <w:pPr>
        <w:pStyle w:val="Textonotapie"/>
        <w:spacing w:before="0" w:after="0" w:line="240" w:lineRule="auto"/>
        <w:ind w:right="49" w:firstLine="708"/>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5C59AFC" w14:textId="4DE90CE5" w:rsidR="00646E26" w:rsidRPr="00646E26" w:rsidRDefault="00646E26" w:rsidP="00103836">
      <w:pPr>
        <w:pStyle w:val="Textonotapie"/>
        <w:spacing w:before="0" w:after="0" w:line="240" w:lineRule="auto"/>
        <w:ind w:right="49" w:firstLine="708"/>
        <w:rPr>
          <w:rFonts w:ascii="Arial" w:hAnsi="Arial" w:cs="Arial"/>
          <w:color w:val="000000" w:themeColor="text1"/>
          <w:sz w:val="19"/>
          <w:szCs w:val="19"/>
        </w:rPr>
      </w:pPr>
      <w:proofErr w:type="gramStart"/>
      <w:r w:rsidRPr="000C0FED">
        <w:rPr>
          <w:rFonts w:ascii="Arial" w:hAnsi="Arial" w:cs="Arial"/>
          <w:color w:val="000000" w:themeColor="text1"/>
          <w:sz w:val="19"/>
          <w:szCs w:val="19"/>
        </w:rPr>
        <w:t>»La</w:t>
      </w:r>
      <w:proofErr w:type="gramEnd"/>
      <w:r w:rsidRPr="000C0FED">
        <w:rPr>
          <w:rFonts w:ascii="Arial" w:hAnsi="Arial" w:cs="Arial"/>
          <w:color w:val="000000" w:themeColor="text1"/>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9">
    <w:p w14:paraId="61330E9A" w14:textId="0BC4921D" w:rsidR="00646E26" w:rsidRDefault="00646E26" w:rsidP="00103836">
      <w:pPr>
        <w:pStyle w:val="Textonotapie"/>
        <w:spacing w:before="0" w:after="0" w:line="240" w:lineRule="auto"/>
        <w:ind w:firstLine="708"/>
        <w:rPr>
          <w:rFonts w:ascii="Arial" w:hAnsi="Arial" w:cs="Arial"/>
          <w:color w:val="000000" w:themeColor="text1"/>
          <w:sz w:val="19"/>
          <w:szCs w:val="19"/>
        </w:rPr>
      </w:pPr>
      <w:r>
        <w:rPr>
          <w:rStyle w:val="Refdenotaalpie"/>
        </w:rPr>
        <w:footnoteRef/>
      </w:r>
      <w:r>
        <w:t xml:space="preserve"> </w:t>
      </w:r>
      <w:r w:rsidRPr="000C0FED">
        <w:rPr>
          <w:rFonts w:ascii="Arial" w:hAnsi="Arial" w:cs="Arial"/>
          <w:color w:val="000000" w:themeColor="text1"/>
          <w:sz w:val="19"/>
          <w:szCs w:val="19"/>
        </w:rPr>
        <w:t xml:space="preserve">Consejo de Estado. Sección Tercera. Sentencia del 14 de diciembre de 2007. </w:t>
      </w:r>
      <w:proofErr w:type="spellStart"/>
      <w:r w:rsidRPr="000C0FED">
        <w:rPr>
          <w:rFonts w:ascii="Arial" w:hAnsi="Arial" w:cs="Arial"/>
          <w:color w:val="000000" w:themeColor="text1"/>
          <w:sz w:val="19"/>
          <w:szCs w:val="19"/>
        </w:rPr>
        <w:t>Exp</w:t>
      </w:r>
      <w:proofErr w:type="spellEnd"/>
      <w:r w:rsidRPr="000C0FED">
        <w:rPr>
          <w:rFonts w:ascii="Arial" w:hAnsi="Arial" w:cs="Arial"/>
          <w:color w:val="000000" w:themeColor="text1"/>
          <w:sz w:val="19"/>
          <w:szCs w:val="19"/>
        </w:rPr>
        <w:t>. 24.715. C.P. Ruth Stella Correa Palacio.</w:t>
      </w:r>
    </w:p>
    <w:p w14:paraId="0F2616B1" w14:textId="77777777" w:rsidR="00F902E0" w:rsidRPr="00646E26" w:rsidRDefault="00F902E0" w:rsidP="00103836">
      <w:pPr>
        <w:pStyle w:val="Textonotapie"/>
        <w:spacing w:before="0" w:after="0" w:line="240" w:lineRule="auto"/>
        <w:ind w:firstLine="708"/>
        <w:rPr>
          <w:lang w:val="es-ES"/>
        </w:rPr>
      </w:pPr>
    </w:p>
  </w:footnote>
  <w:footnote w:id="10">
    <w:p w14:paraId="4C864316" w14:textId="77777777" w:rsidR="00646E26" w:rsidRPr="000C0FED" w:rsidRDefault="00646E26" w:rsidP="00103836">
      <w:pPr>
        <w:pStyle w:val="Textonotapie"/>
        <w:spacing w:before="0" w:after="0" w:line="240" w:lineRule="auto"/>
        <w:ind w:right="49" w:firstLine="708"/>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5C88838" w14:textId="77777777" w:rsidR="00646E26" w:rsidRPr="000C0FED" w:rsidRDefault="00646E26" w:rsidP="00103836">
      <w:pPr>
        <w:pStyle w:val="Textonotapie"/>
        <w:spacing w:before="0" w:after="0" w:line="240" w:lineRule="auto"/>
        <w:ind w:right="49" w:firstLine="708"/>
        <w:rPr>
          <w:rFonts w:ascii="Arial" w:hAnsi="Arial" w:cs="Arial"/>
          <w:color w:val="000000" w:themeColor="text1"/>
          <w:sz w:val="19"/>
          <w:szCs w:val="19"/>
        </w:rPr>
      </w:pPr>
      <w:r w:rsidRPr="000C0FED">
        <w:rPr>
          <w:rFonts w:ascii="Arial" w:hAnsi="Arial" w:cs="Arial"/>
          <w:color w:val="000000" w:themeColor="text1"/>
          <w:sz w:val="19"/>
          <w:szCs w:val="19"/>
        </w:rPr>
        <w:t>[...]</w:t>
      </w:r>
    </w:p>
    <w:p w14:paraId="091EB566" w14:textId="43413897" w:rsidR="00646E26" w:rsidRDefault="00646E26" w:rsidP="00103836">
      <w:pPr>
        <w:pStyle w:val="Textonotapie"/>
        <w:spacing w:before="0" w:after="0" w:line="240" w:lineRule="auto"/>
        <w:ind w:right="49" w:firstLine="708"/>
        <w:rPr>
          <w:rFonts w:ascii="Arial" w:hAnsi="Arial" w:cs="Arial"/>
          <w:color w:val="000000" w:themeColor="text1"/>
          <w:sz w:val="19"/>
          <w:szCs w:val="19"/>
        </w:rPr>
      </w:pPr>
      <w:proofErr w:type="gramStart"/>
      <w:r w:rsidRPr="000C0FED">
        <w:rPr>
          <w:rFonts w:ascii="Arial" w:hAnsi="Arial" w:cs="Arial"/>
          <w:color w:val="000000" w:themeColor="text1"/>
          <w:sz w:val="19"/>
          <w:szCs w:val="19"/>
        </w:rPr>
        <w:t>»Proceso</w:t>
      </w:r>
      <w:proofErr w:type="gramEnd"/>
      <w:r w:rsidRPr="000C0FED">
        <w:rPr>
          <w:rFonts w:ascii="Arial" w:hAnsi="Arial" w:cs="Arial"/>
          <w:color w:val="000000" w:themeColor="text1"/>
          <w:sz w:val="19"/>
          <w:szCs w:val="19"/>
        </w:rPr>
        <w:t xml:space="preserve">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3824E192" w14:textId="77777777" w:rsidR="00F902E0" w:rsidRPr="009213AC" w:rsidRDefault="00F902E0" w:rsidP="00103836">
      <w:pPr>
        <w:pStyle w:val="Textonotapie"/>
        <w:spacing w:before="0" w:after="0" w:line="240" w:lineRule="auto"/>
        <w:ind w:right="49" w:firstLine="708"/>
        <w:rPr>
          <w:rFonts w:ascii="Arial" w:hAnsi="Arial" w:cs="Arial"/>
          <w:color w:val="000000" w:themeColor="text1"/>
          <w:sz w:val="19"/>
          <w:szCs w:val="19"/>
        </w:rPr>
      </w:pPr>
    </w:p>
  </w:footnote>
  <w:footnote w:id="11">
    <w:p w14:paraId="7A21B07D" w14:textId="77777777" w:rsidR="00646E26" w:rsidRPr="00646E26" w:rsidRDefault="00646E26" w:rsidP="00103836">
      <w:pPr>
        <w:spacing w:before="0" w:after="0" w:line="240" w:lineRule="auto"/>
        <w:ind w:right="49" w:firstLine="708"/>
        <w:rPr>
          <w:rFonts w:ascii="Arial" w:hAnsi="Arial" w:cs="Arial"/>
          <w:color w:val="000000" w:themeColor="text1"/>
          <w:sz w:val="19"/>
          <w:szCs w:val="19"/>
          <w:lang w:val="es-ES"/>
        </w:rPr>
      </w:pPr>
      <w:r w:rsidRPr="000C0FED">
        <w:rPr>
          <w:rStyle w:val="Refdenotaalpie"/>
          <w:rFonts w:ascii="Arial" w:hAnsi="Arial" w:cs="Arial"/>
          <w:color w:val="000000" w:themeColor="text1"/>
          <w:sz w:val="19"/>
          <w:szCs w:val="19"/>
        </w:rPr>
        <w:footnoteRef/>
      </w:r>
      <w:r w:rsidRPr="00646E26">
        <w:rPr>
          <w:rFonts w:ascii="Arial" w:hAnsi="Arial" w:cs="Arial"/>
          <w:color w:val="000000" w:themeColor="text1"/>
          <w:sz w:val="19"/>
          <w:szCs w:val="19"/>
          <w:lang w:val="es-ES"/>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646E26">
        <w:rPr>
          <w:rFonts w:ascii="Arial" w:hAnsi="Arial" w:cs="Arial"/>
          <w:color w:val="000000" w:themeColor="text1"/>
          <w:spacing w:val="-3"/>
          <w:sz w:val="19"/>
          <w:szCs w:val="19"/>
          <w:lang w:val="es-ES"/>
        </w:rPr>
        <w:t xml:space="preserve"> </w:t>
      </w:r>
      <w:r w:rsidRPr="00646E26">
        <w:rPr>
          <w:rFonts w:ascii="Arial" w:hAnsi="Arial" w:cs="Arial"/>
          <w:color w:val="000000" w:themeColor="text1"/>
          <w:sz w:val="19"/>
          <w:szCs w:val="19"/>
          <w:lang w:val="es-ES"/>
        </w:rPr>
        <w:t>Nacional.</w:t>
      </w:r>
    </w:p>
    <w:p w14:paraId="797CB294" w14:textId="77777777" w:rsidR="00646E26" w:rsidRPr="00646E26" w:rsidRDefault="00646E26" w:rsidP="00103836">
      <w:pPr>
        <w:spacing w:before="0" w:after="0" w:line="240" w:lineRule="auto"/>
        <w:ind w:right="49" w:firstLine="708"/>
        <w:rPr>
          <w:rFonts w:ascii="Arial" w:hAnsi="Arial" w:cs="Arial"/>
          <w:color w:val="000000" w:themeColor="text1"/>
          <w:sz w:val="19"/>
          <w:szCs w:val="19"/>
          <w:lang w:val="es-ES"/>
        </w:rPr>
      </w:pPr>
      <w:proofErr w:type="gramStart"/>
      <w:r w:rsidRPr="00646E26">
        <w:rPr>
          <w:rFonts w:ascii="Arial" w:hAnsi="Arial" w:cs="Arial"/>
          <w:color w:val="000000" w:themeColor="text1"/>
          <w:sz w:val="19"/>
          <w:szCs w:val="19"/>
          <w:lang w:val="es-ES"/>
        </w:rPr>
        <w:t>»Lo</w:t>
      </w:r>
      <w:proofErr w:type="gramEnd"/>
      <w:r w:rsidRPr="00646E26">
        <w:rPr>
          <w:rFonts w:ascii="Arial" w:hAnsi="Arial" w:cs="Arial"/>
          <w:color w:val="000000" w:themeColor="text1"/>
          <w:sz w:val="19"/>
          <w:szCs w:val="19"/>
          <w:lang w:val="es-ES"/>
        </w:rPr>
        <w:t xml:space="preserve"> anterior, sin perjuicio de las publicaciones previstas en el numeral 3 del artículo 30 de la Ley 80 de 1993.</w:t>
      </w:r>
    </w:p>
    <w:p w14:paraId="3FDBCBAE" w14:textId="77777777" w:rsidR="00646E26" w:rsidRPr="00646E26" w:rsidRDefault="00646E26" w:rsidP="00103836">
      <w:pPr>
        <w:spacing w:before="0" w:after="0" w:line="240" w:lineRule="auto"/>
        <w:ind w:right="49" w:firstLine="708"/>
        <w:rPr>
          <w:rFonts w:ascii="Arial" w:hAnsi="Arial" w:cs="Arial"/>
          <w:color w:val="000000" w:themeColor="text1"/>
          <w:sz w:val="19"/>
          <w:szCs w:val="19"/>
          <w:lang w:val="es-ES"/>
        </w:rPr>
      </w:pPr>
      <w:proofErr w:type="gramStart"/>
      <w:r w:rsidRPr="00646E26">
        <w:rPr>
          <w:rFonts w:ascii="Arial" w:hAnsi="Arial" w:cs="Arial"/>
          <w:color w:val="000000" w:themeColor="text1"/>
          <w:sz w:val="19"/>
          <w:szCs w:val="19"/>
          <w:lang w:val="es-ES"/>
        </w:rPr>
        <w:t>»Con</w:t>
      </w:r>
      <w:proofErr w:type="gramEnd"/>
      <w:r w:rsidRPr="00646E26">
        <w:rPr>
          <w:rFonts w:ascii="Arial" w:hAnsi="Arial" w:cs="Arial"/>
          <w:color w:val="000000" w:themeColor="text1"/>
          <w:sz w:val="19"/>
          <w:szCs w:val="19"/>
          <w:lang w:val="es-ES"/>
        </w:rPr>
        <w:t xml:space="preserve"> el fin de materializar los objetivos a que se refiere el inciso anterior, el Gobierno Nacional desarrollará el Sistema Electrónico para la Contratación Pública, </w:t>
      </w:r>
      <w:proofErr w:type="spellStart"/>
      <w:r w:rsidRPr="00646E26">
        <w:rPr>
          <w:rFonts w:ascii="Arial" w:hAnsi="Arial" w:cs="Arial"/>
          <w:color w:val="000000" w:themeColor="text1"/>
          <w:sz w:val="19"/>
          <w:szCs w:val="19"/>
          <w:lang w:val="es-ES"/>
        </w:rPr>
        <w:t>Secop</w:t>
      </w:r>
      <w:proofErr w:type="spellEnd"/>
      <w:r w:rsidRPr="00646E26">
        <w:rPr>
          <w:rFonts w:ascii="Arial" w:hAnsi="Arial" w:cs="Arial"/>
          <w:color w:val="000000" w:themeColor="text1"/>
          <w:sz w:val="19"/>
          <w:szCs w:val="19"/>
          <w:lang w:val="es-ES"/>
        </w:rPr>
        <w:t>, el cual:</w:t>
      </w:r>
    </w:p>
    <w:p w14:paraId="6E21AC0C" w14:textId="77777777" w:rsidR="00646E26" w:rsidRPr="00646E26" w:rsidRDefault="00646E26" w:rsidP="00103836">
      <w:pPr>
        <w:spacing w:before="0" w:after="0" w:line="240" w:lineRule="auto"/>
        <w:ind w:right="49" w:firstLine="708"/>
        <w:rPr>
          <w:rFonts w:ascii="Arial" w:hAnsi="Arial" w:cs="Arial"/>
          <w:color w:val="000000" w:themeColor="text1"/>
          <w:sz w:val="19"/>
          <w:szCs w:val="19"/>
          <w:lang w:val="es-ES"/>
        </w:rPr>
      </w:pPr>
      <w:proofErr w:type="gramStart"/>
      <w:r w:rsidRPr="00646E26">
        <w:rPr>
          <w:rFonts w:ascii="Arial" w:hAnsi="Arial" w:cs="Arial"/>
          <w:color w:val="000000" w:themeColor="text1"/>
          <w:sz w:val="19"/>
          <w:szCs w:val="19"/>
          <w:lang w:val="es-ES"/>
        </w:rPr>
        <w:t>»a</w:t>
      </w:r>
      <w:proofErr w:type="gramEnd"/>
      <w:r w:rsidRPr="00646E26">
        <w:rPr>
          <w:rFonts w:ascii="Arial" w:hAnsi="Arial" w:cs="Arial"/>
          <w:color w:val="000000" w:themeColor="text1"/>
          <w:sz w:val="19"/>
          <w:szCs w:val="19"/>
          <w:lang w:val="es-ES"/>
        </w:rPr>
        <w:t>) Dispondrá de las funcionalidades tecnológicas para realizar procesos de contratación electrónicos bajo los métodos de selección señalados en el artículo 2o de la presente ley según lo defina el reglamento;</w:t>
      </w:r>
    </w:p>
    <w:p w14:paraId="1CD24066" w14:textId="77777777" w:rsidR="00646E26" w:rsidRPr="00646E26" w:rsidRDefault="00646E26" w:rsidP="00103836">
      <w:pPr>
        <w:spacing w:before="0" w:after="0" w:line="240" w:lineRule="auto"/>
        <w:ind w:right="49" w:firstLine="708"/>
        <w:rPr>
          <w:rFonts w:ascii="Arial" w:hAnsi="Arial" w:cs="Arial"/>
          <w:color w:val="000000" w:themeColor="text1"/>
          <w:sz w:val="19"/>
          <w:szCs w:val="19"/>
          <w:lang w:val="es-ES"/>
        </w:rPr>
      </w:pPr>
      <w:proofErr w:type="gramStart"/>
      <w:r w:rsidRPr="00646E26">
        <w:rPr>
          <w:rFonts w:ascii="Arial" w:hAnsi="Arial" w:cs="Arial"/>
          <w:color w:val="000000" w:themeColor="text1"/>
          <w:sz w:val="19"/>
          <w:szCs w:val="19"/>
          <w:lang w:val="es-ES"/>
        </w:rPr>
        <w:t>»b</w:t>
      </w:r>
      <w:proofErr w:type="gramEnd"/>
      <w:r w:rsidRPr="00646E26">
        <w:rPr>
          <w:rFonts w:ascii="Arial" w:hAnsi="Arial" w:cs="Arial"/>
          <w:color w:val="000000" w:themeColor="text1"/>
          <w:sz w:val="19"/>
          <w:szCs w:val="19"/>
          <w:lang w:val="es-ES"/>
        </w:rPr>
        <w:t>) Servirá de punto único de ingreso de información y de generación de reportes para las entidades estatales y la ciudadanía;</w:t>
      </w:r>
    </w:p>
    <w:p w14:paraId="48FD3C3B" w14:textId="77777777" w:rsidR="00646E26" w:rsidRPr="00646E26" w:rsidRDefault="00646E26" w:rsidP="00103836">
      <w:pPr>
        <w:spacing w:before="0" w:after="0" w:line="240" w:lineRule="auto"/>
        <w:ind w:right="49" w:firstLine="708"/>
        <w:rPr>
          <w:rFonts w:ascii="Arial" w:hAnsi="Arial" w:cs="Arial"/>
          <w:color w:val="000000" w:themeColor="text1"/>
          <w:sz w:val="19"/>
          <w:szCs w:val="19"/>
          <w:lang w:val="es-ES"/>
        </w:rPr>
      </w:pPr>
      <w:r w:rsidRPr="00646E26">
        <w:rPr>
          <w:rFonts w:ascii="Arial" w:hAnsi="Arial" w:cs="Arial"/>
          <w:color w:val="000000" w:themeColor="text1"/>
          <w:sz w:val="19"/>
          <w:szCs w:val="19"/>
          <w:lang w:val="es-ES"/>
        </w:rPr>
        <w:t>»c) Contará con la información oficial de la contratación realizada con dineros públicos, para lo cual establecerá los patrones a que haya lugar y se encargará de su difusión a través de canales electrónicos y;</w:t>
      </w:r>
    </w:p>
    <w:p w14:paraId="35FC7F99" w14:textId="5025AD1D" w:rsidR="00646E26" w:rsidRPr="00646E26" w:rsidRDefault="00646E26" w:rsidP="00103836">
      <w:pPr>
        <w:spacing w:before="0" w:after="0" w:line="240" w:lineRule="auto"/>
        <w:ind w:right="49" w:firstLine="708"/>
        <w:rPr>
          <w:rFonts w:ascii="Arial" w:hAnsi="Arial" w:cs="Arial"/>
          <w:color w:val="000000" w:themeColor="text1"/>
          <w:sz w:val="19"/>
          <w:szCs w:val="19"/>
          <w:lang w:val="es-ES"/>
        </w:rPr>
      </w:pPr>
      <w:proofErr w:type="gramStart"/>
      <w:r w:rsidRPr="00646E26">
        <w:rPr>
          <w:rFonts w:ascii="Arial" w:hAnsi="Arial" w:cs="Arial"/>
          <w:color w:val="000000" w:themeColor="text1"/>
          <w:sz w:val="19"/>
          <w:szCs w:val="19"/>
          <w:lang w:val="es-ES"/>
        </w:rPr>
        <w:t>»d</w:t>
      </w:r>
      <w:proofErr w:type="gramEnd"/>
      <w:r w:rsidRPr="00646E26">
        <w:rPr>
          <w:rFonts w:ascii="Arial" w:hAnsi="Arial" w:cs="Arial"/>
          <w:color w:val="000000" w:themeColor="text1"/>
          <w:sz w:val="19"/>
          <w:szCs w:val="19"/>
          <w:lang w:val="es-ES"/>
        </w:rPr>
        <w:t xml:space="preserve">) Integrará el Registro </w:t>
      </w:r>
      <w:r w:rsidR="007F6D0B" w:rsidRPr="00646E26">
        <w:rPr>
          <w:rFonts w:ascii="Arial" w:hAnsi="Arial" w:cs="Arial"/>
          <w:color w:val="000000" w:themeColor="text1"/>
          <w:sz w:val="19"/>
          <w:szCs w:val="19"/>
          <w:lang w:val="es-ES"/>
        </w:rPr>
        <w:t>Único</w:t>
      </w:r>
      <w:r w:rsidRPr="00646E26">
        <w:rPr>
          <w:rFonts w:ascii="Arial" w:hAnsi="Arial" w:cs="Arial"/>
          <w:color w:val="000000" w:themeColor="text1"/>
          <w:sz w:val="19"/>
          <w:szCs w:val="19"/>
          <w:lang w:val="es-ES"/>
        </w:rPr>
        <w:t xml:space="preserve">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32B7D418" w14:textId="77777777" w:rsidR="00646E26" w:rsidRPr="000C0FED" w:rsidRDefault="00646E26" w:rsidP="00103836">
      <w:pPr>
        <w:pStyle w:val="Textonotapie"/>
        <w:spacing w:before="0" w:after="0" w:line="240" w:lineRule="auto"/>
        <w:ind w:right="49"/>
        <w:rPr>
          <w:rFonts w:ascii="Arial" w:hAnsi="Arial" w:cs="Arial"/>
          <w:color w:val="000000" w:themeColor="text1"/>
          <w:sz w:val="19"/>
          <w:szCs w:val="19"/>
        </w:rPr>
      </w:pPr>
    </w:p>
  </w:footnote>
  <w:footnote w:id="12">
    <w:p w14:paraId="51506972"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roofErr w:type="gramStart"/>
      <w:r w:rsidRPr="000C0FED">
        <w:rPr>
          <w:rFonts w:ascii="Arial" w:hAnsi="Arial" w:cs="Arial"/>
          <w:color w:val="000000" w:themeColor="text1"/>
          <w:sz w:val="19"/>
          <w:szCs w:val="19"/>
        </w:rPr>
        <w:t>. »</w:t>
      </w:r>
      <w:proofErr w:type="gramEnd"/>
      <w:r w:rsidRPr="000C0FED">
        <w:rPr>
          <w:rFonts w:ascii="Arial" w:hAnsi="Arial" w:cs="Arial"/>
          <w:color w:val="000000" w:themeColor="text1"/>
          <w:sz w:val="19"/>
          <w:szCs w:val="19"/>
        </w:rPr>
        <w:t>.</w:t>
      </w:r>
    </w:p>
  </w:footnote>
  <w:footnote w:id="13">
    <w:p w14:paraId="14EA1442"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footnote>
  <w:footnote w:id="14">
    <w:p w14:paraId="7317D348"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741170E8"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proofErr w:type="gramStart"/>
      <w:r w:rsidRPr="000C0FED">
        <w:rPr>
          <w:rFonts w:ascii="Arial" w:hAnsi="Arial" w:cs="Arial"/>
          <w:color w:val="000000" w:themeColor="text1"/>
          <w:sz w:val="19"/>
          <w:szCs w:val="19"/>
        </w:rPr>
        <w:t>»Los</w:t>
      </w:r>
      <w:proofErr w:type="gramEnd"/>
      <w:r w:rsidRPr="000C0FED">
        <w:rPr>
          <w:rFonts w:ascii="Arial" w:hAnsi="Arial" w:cs="Arial"/>
          <w:color w:val="000000" w:themeColor="text1"/>
          <w:sz w:val="19"/>
          <w:szCs w:val="19"/>
        </w:rPr>
        <w:t xml:space="preserve"> sujetos obligados que no contratan con cargo a recursos públicos no están obligados a publicar su Plan Anual de Adquisiciones. </w:t>
      </w:r>
    </w:p>
    <w:p w14:paraId="5C2568F1" w14:textId="77777777"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proofErr w:type="gramStart"/>
      <w:r w:rsidRPr="000C0FED">
        <w:rPr>
          <w:rFonts w:ascii="Arial" w:hAnsi="Arial" w:cs="Arial"/>
          <w:color w:val="000000" w:themeColor="text1"/>
          <w:sz w:val="19"/>
          <w:szCs w:val="19"/>
        </w:rPr>
        <w:t>»Los</w:t>
      </w:r>
      <w:proofErr w:type="gramEnd"/>
      <w:r w:rsidRPr="000C0FED">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 </w:t>
      </w:r>
    </w:p>
    <w:p w14:paraId="5467BAF1" w14:textId="411C6558" w:rsidR="00646E26" w:rsidRPr="000C0FED" w:rsidRDefault="00646E26" w:rsidP="00103836">
      <w:pPr>
        <w:pStyle w:val="Textonotapie"/>
        <w:spacing w:before="0" w:after="0" w:line="240" w:lineRule="auto"/>
        <w:ind w:right="49" w:firstLine="709"/>
        <w:rPr>
          <w:rFonts w:ascii="Arial" w:hAnsi="Arial" w:cs="Arial"/>
          <w:color w:val="000000" w:themeColor="text1"/>
          <w:sz w:val="19"/>
          <w:szCs w:val="19"/>
        </w:rPr>
      </w:pPr>
      <w:proofErr w:type="gramStart"/>
      <w:r w:rsidRPr="000C0FED">
        <w:rPr>
          <w:rFonts w:ascii="Arial" w:hAnsi="Arial" w:cs="Arial"/>
          <w:color w:val="000000" w:themeColor="text1"/>
          <w:sz w:val="19"/>
          <w:szCs w:val="19"/>
        </w:rPr>
        <w:t>»Se</w:t>
      </w:r>
      <w:proofErr w:type="gramEnd"/>
      <w:r w:rsidRPr="000C0FED">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footnote>
  <w:footnote w:id="15">
    <w:p w14:paraId="2A7B8CB0" w14:textId="77777777" w:rsidR="00646E26" w:rsidRPr="000C0FED" w:rsidRDefault="00646E26" w:rsidP="00103836">
      <w:pPr>
        <w:pStyle w:val="Textonotapie"/>
        <w:spacing w:before="0" w:after="0" w:line="240" w:lineRule="auto"/>
        <w:ind w:firstLine="708"/>
        <w:rPr>
          <w:rFonts w:ascii="Arial" w:hAnsi="Arial" w:cs="Arial"/>
          <w:color w:val="000000" w:themeColor="text1"/>
          <w:sz w:val="19"/>
          <w:szCs w:val="19"/>
          <w:lang w:val="es-CO"/>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1474 de 2011 «</w:t>
      </w:r>
      <w:r w:rsidRPr="000C0FED">
        <w:rPr>
          <w:rFonts w:ascii="Arial" w:hAnsi="Arial" w:cs="Arial"/>
          <w:color w:val="000000" w:themeColor="text1"/>
          <w:sz w:val="19"/>
          <w:szCs w:val="19"/>
          <w:lang w:val="es-CO"/>
        </w:rPr>
        <w:t>Artículo 74. </w:t>
      </w:r>
      <w:r w:rsidRPr="000C0FED">
        <w:rPr>
          <w:rFonts w:ascii="Arial" w:hAnsi="Arial" w:cs="Arial"/>
          <w:i/>
          <w:iCs/>
          <w:color w:val="000000" w:themeColor="text1"/>
          <w:sz w:val="19"/>
          <w:szCs w:val="19"/>
          <w:lang w:val="es-CO"/>
        </w:rPr>
        <w:t>Plan de acción de las entidades públicas</w:t>
      </w:r>
      <w:r w:rsidRPr="000C0FED">
        <w:rPr>
          <w:rFonts w:ascii="Arial" w:hAnsi="Arial" w:cs="Arial"/>
          <w:color w:val="000000" w:themeColor="text1"/>
          <w:sz w:val="19"/>
          <w:szCs w:val="19"/>
          <w:lang w:val="es-CO"/>
        </w:rPr>
        <w:t xml:space="preserve">. A partir de la vigencia de la presente ley, todas las entidades del Estado a más tardar el 31 de enero de cada </w:t>
      </w:r>
      <w:proofErr w:type="gramStart"/>
      <w:r w:rsidRPr="000C0FED">
        <w:rPr>
          <w:rFonts w:ascii="Arial" w:hAnsi="Arial" w:cs="Arial"/>
          <w:color w:val="000000" w:themeColor="text1"/>
          <w:sz w:val="19"/>
          <w:szCs w:val="19"/>
          <w:lang w:val="es-CO"/>
        </w:rPr>
        <w:t>año,</w:t>
      </w:r>
      <w:proofErr w:type="gramEnd"/>
      <w:r w:rsidRPr="000C0FED">
        <w:rPr>
          <w:rFonts w:ascii="Arial" w:hAnsi="Arial" w:cs="Arial"/>
          <w:color w:val="000000" w:themeColor="text1"/>
          <w:sz w:val="19"/>
          <w:szCs w:val="19"/>
          <w:lang w:val="es-CO"/>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60D10D4F" w14:textId="77777777" w:rsidR="00646E26" w:rsidRPr="000C0FED" w:rsidRDefault="00646E26" w:rsidP="00103836">
      <w:pPr>
        <w:pStyle w:val="Textonotapie"/>
        <w:spacing w:before="0" w:after="0" w:line="240" w:lineRule="auto"/>
        <w:rPr>
          <w:rFonts w:ascii="Arial" w:hAnsi="Arial" w:cs="Arial"/>
          <w:color w:val="000000" w:themeColor="text1"/>
          <w:sz w:val="19"/>
          <w:szCs w:val="19"/>
          <w:lang w:val="es-CO"/>
        </w:rPr>
      </w:pPr>
      <w:r w:rsidRPr="000C0FED">
        <w:rPr>
          <w:rFonts w:ascii="Arial" w:hAnsi="Arial" w:cs="Arial"/>
          <w:color w:val="000000" w:themeColor="text1"/>
          <w:sz w:val="19"/>
          <w:szCs w:val="19"/>
          <w:lang w:val="es-CO"/>
        </w:rPr>
        <w:t>  </w:t>
      </w:r>
      <w:r w:rsidRPr="000C0FED">
        <w:rPr>
          <w:rFonts w:ascii="Arial" w:hAnsi="Arial" w:cs="Arial"/>
          <w:color w:val="000000" w:themeColor="text1"/>
          <w:sz w:val="19"/>
          <w:szCs w:val="19"/>
          <w:lang w:val="es-CO"/>
        </w:rPr>
        <w:tab/>
      </w:r>
      <w:proofErr w:type="gramStart"/>
      <w:r w:rsidRPr="000C0FED">
        <w:rPr>
          <w:rFonts w:ascii="Arial" w:hAnsi="Arial" w:cs="Arial"/>
          <w:color w:val="000000" w:themeColor="text1"/>
          <w:sz w:val="19"/>
          <w:szCs w:val="19"/>
          <w:lang w:val="es-CO"/>
        </w:rPr>
        <w:t>»A</w:t>
      </w:r>
      <w:proofErr w:type="gramEnd"/>
      <w:r w:rsidRPr="000C0FED">
        <w:rPr>
          <w:rFonts w:ascii="Arial" w:hAnsi="Arial" w:cs="Arial"/>
          <w:color w:val="000000" w:themeColor="text1"/>
          <w:sz w:val="19"/>
          <w:szCs w:val="19"/>
          <w:lang w:val="es-CO"/>
        </w:rPr>
        <w:t xml:space="preserve"> partir del año siguiente, el Plan de Acción deberá estar acompañado del informe de gestión del año inmediatamente anterior. </w:t>
      </w:r>
    </w:p>
    <w:p w14:paraId="4EF87394" w14:textId="77777777" w:rsidR="00646E26" w:rsidRPr="000C0FED" w:rsidRDefault="00646E26" w:rsidP="00103836">
      <w:pPr>
        <w:pStyle w:val="Textonotapie"/>
        <w:spacing w:before="0" w:after="0" w:line="240" w:lineRule="auto"/>
        <w:rPr>
          <w:rFonts w:ascii="Arial" w:hAnsi="Arial" w:cs="Arial"/>
          <w:color w:val="000000" w:themeColor="text1"/>
          <w:sz w:val="19"/>
          <w:szCs w:val="19"/>
          <w:lang w:val="es-CO"/>
        </w:rPr>
      </w:pPr>
      <w:r w:rsidRPr="000C0FED">
        <w:rPr>
          <w:rFonts w:ascii="Arial" w:hAnsi="Arial" w:cs="Arial"/>
          <w:color w:val="000000" w:themeColor="text1"/>
          <w:sz w:val="19"/>
          <w:szCs w:val="19"/>
          <w:lang w:val="es-CO"/>
        </w:rPr>
        <w:t>  </w:t>
      </w:r>
    </w:p>
    <w:p w14:paraId="2C76D37A" w14:textId="77777777" w:rsidR="00646E26" w:rsidRPr="000C0FED" w:rsidRDefault="00646E26" w:rsidP="00103836">
      <w:pPr>
        <w:pStyle w:val="Textonotapie"/>
        <w:spacing w:before="0" w:after="0" w:line="240" w:lineRule="auto"/>
        <w:rPr>
          <w:rFonts w:ascii="Arial" w:hAnsi="Arial" w:cs="Arial"/>
          <w:color w:val="000000" w:themeColor="text1"/>
          <w:sz w:val="19"/>
          <w:szCs w:val="19"/>
          <w:lang w:val="es-CO"/>
        </w:rPr>
      </w:pPr>
      <w:r w:rsidRPr="000C0FED">
        <w:rPr>
          <w:rFonts w:ascii="Arial" w:hAnsi="Arial" w:cs="Arial"/>
          <w:color w:val="000000" w:themeColor="text1"/>
          <w:sz w:val="19"/>
          <w:szCs w:val="19"/>
          <w:lang w:val="es-CO"/>
        </w:rPr>
        <w:t>Igualmente publicarán por dicho medio su presupuesto debidamente desagregado, así como las modificaciones a este o a su desagregación. </w:t>
      </w:r>
    </w:p>
    <w:p w14:paraId="659BB993" w14:textId="77777777" w:rsidR="00646E26" w:rsidRPr="000C0FED" w:rsidRDefault="00646E26" w:rsidP="00103836">
      <w:pPr>
        <w:pStyle w:val="Textonotapie"/>
        <w:spacing w:before="0" w:after="0" w:line="240" w:lineRule="auto"/>
        <w:rPr>
          <w:rFonts w:ascii="Arial" w:hAnsi="Arial" w:cs="Arial"/>
          <w:color w:val="000000" w:themeColor="text1"/>
          <w:sz w:val="19"/>
          <w:szCs w:val="19"/>
          <w:lang w:val="es-CO"/>
        </w:rPr>
      </w:pPr>
      <w:r w:rsidRPr="000C0FED">
        <w:rPr>
          <w:rFonts w:ascii="Arial" w:hAnsi="Arial" w:cs="Arial"/>
          <w:color w:val="000000" w:themeColor="text1"/>
          <w:sz w:val="19"/>
          <w:szCs w:val="19"/>
          <w:lang w:val="es-CO"/>
        </w:rPr>
        <w:t>  </w:t>
      </w:r>
      <w:r w:rsidRPr="000C0FED">
        <w:rPr>
          <w:rFonts w:ascii="Arial" w:hAnsi="Arial" w:cs="Arial"/>
          <w:color w:val="000000" w:themeColor="text1"/>
          <w:sz w:val="19"/>
          <w:szCs w:val="19"/>
          <w:lang w:val="es-CO"/>
        </w:rPr>
        <w:tab/>
      </w:r>
      <w:proofErr w:type="gramStart"/>
      <w:r w:rsidRPr="000C0FED">
        <w:rPr>
          <w:rFonts w:ascii="Arial" w:hAnsi="Arial" w:cs="Arial"/>
          <w:color w:val="000000" w:themeColor="text1"/>
          <w:sz w:val="19"/>
          <w:szCs w:val="19"/>
          <w:lang w:val="es-CO"/>
        </w:rPr>
        <w:t>»Parágrafo</w:t>
      </w:r>
      <w:proofErr w:type="gramEnd"/>
      <w:r w:rsidRPr="000C0FED">
        <w:rPr>
          <w:rFonts w:ascii="Arial" w:hAnsi="Arial" w:cs="Arial"/>
          <w:color w:val="000000" w:themeColor="text1"/>
          <w:sz w:val="19"/>
          <w:szCs w:val="19"/>
          <w:lang w:val="es-CO"/>
        </w:rPr>
        <w:t>. Las empresas industriales y comerciales del Estado y las Sociedades de Economía Mixta estarán exentas de publicar la información relacionada con sus proyectos de inversión». </w:t>
      </w:r>
    </w:p>
    <w:p w14:paraId="222B1678" w14:textId="77777777" w:rsidR="00646E26" w:rsidRPr="000C0FED" w:rsidRDefault="00646E26" w:rsidP="00103836">
      <w:pPr>
        <w:pStyle w:val="Textonotapie"/>
        <w:spacing w:before="0" w:after="0" w:line="240" w:lineRule="auto"/>
        <w:rPr>
          <w:rFonts w:ascii="Arial" w:hAnsi="Arial" w:cs="Arial"/>
          <w:color w:val="000000" w:themeColor="text1"/>
          <w:sz w:val="19"/>
          <w:szCs w:val="19"/>
          <w:lang w:val="es-CO"/>
        </w:rPr>
      </w:pPr>
    </w:p>
  </w:footnote>
  <w:footnote w:id="16">
    <w:p w14:paraId="6A09B9CE" w14:textId="77777777" w:rsidR="00646E26" w:rsidRPr="000C0FED" w:rsidRDefault="00646E26" w:rsidP="00103836">
      <w:pPr>
        <w:pStyle w:val="Textonotapie"/>
        <w:spacing w:before="0" w:after="0" w:line="240" w:lineRule="auto"/>
        <w:ind w:firstLine="708"/>
        <w:rPr>
          <w:rFonts w:ascii="Arial" w:hAnsi="Arial" w:cs="Arial"/>
          <w:color w:val="000000" w:themeColor="text1"/>
          <w:sz w:val="19"/>
          <w:szCs w:val="19"/>
          <w:lang w:val="es-CO"/>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1082 de 2015«Artículo 2.2.1.1.1.4.3. Publicación del Plan Anual de Adquisiciones. La Entidad Estatal debe publicar su Plan Anual de Adquisiciones y las actualizaciones </w:t>
      </w:r>
      <w:proofErr w:type="gramStart"/>
      <w:r w:rsidRPr="000C0FED">
        <w:rPr>
          <w:rFonts w:ascii="Arial" w:hAnsi="Arial" w:cs="Arial"/>
          <w:color w:val="000000" w:themeColor="text1"/>
          <w:sz w:val="19"/>
          <w:szCs w:val="19"/>
        </w:rPr>
        <w:t>del mismo</w:t>
      </w:r>
      <w:proofErr w:type="gramEnd"/>
      <w:r w:rsidRPr="000C0FED">
        <w:rPr>
          <w:rFonts w:ascii="Arial" w:hAnsi="Arial" w:cs="Arial"/>
          <w:color w:val="000000" w:themeColor="text1"/>
          <w:sz w:val="19"/>
          <w:szCs w:val="19"/>
        </w:rPr>
        <w:t xml:space="preserve"> en su página web y en el SECOP, en la forma que para el efecto disponga Colombia Compra Eficiente».</w:t>
      </w:r>
    </w:p>
  </w:footnote>
  <w:footnote w:id="17">
    <w:p w14:paraId="271905C6" w14:textId="77777777" w:rsidR="0093086A" w:rsidRPr="00645B79" w:rsidRDefault="0093086A" w:rsidP="00103836">
      <w:pPr>
        <w:pStyle w:val="Textonotapie"/>
        <w:spacing w:before="0" w:after="0" w:line="240" w:lineRule="auto"/>
        <w:ind w:firstLine="708"/>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Decreto 4170 de 2011: «Artículo 3. Funciones: La Agencia Nacional de Contratación Pública –Colombia Compra Eficiente– ejercerá las siguientes funciones:</w:t>
      </w:r>
    </w:p>
    <w:p w14:paraId="2A49F372" w14:textId="1CEDD3F3" w:rsidR="0093086A" w:rsidRPr="00645B79" w:rsidRDefault="0093086A" w:rsidP="00103836">
      <w:pPr>
        <w:pStyle w:val="Textonotapie"/>
        <w:spacing w:before="0" w:after="0" w:line="240" w:lineRule="auto"/>
        <w:ind w:firstLine="708"/>
        <w:rPr>
          <w:rFonts w:ascii="Arial" w:hAnsi="Arial" w:cs="Arial"/>
          <w:sz w:val="19"/>
          <w:szCs w:val="19"/>
        </w:rPr>
      </w:pPr>
      <w:r w:rsidRPr="00645B79">
        <w:rPr>
          <w:rFonts w:ascii="Arial" w:hAnsi="Arial" w:cs="Arial"/>
          <w:sz w:val="19"/>
          <w:szCs w:val="19"/>
        </w:rPr>
        <w:t>[...]</w:t>
      </w:r>
    </w:p>
    <w:p w14:paraId="720D2923" w14:textId="77777777" w:rsidR="0093086A" w:rsidRPr="00645B79" w:rsidRDefault="0093086A" w:rsidP="00103836">
      <w:pPr>
        <w:pStyle w:val="Textonotapie"/>
        <w:spacing w:before="0" w:after="0" w:line="240" w:lineRule="auto"/>
        <w:ind w:firstLine="708"/>
        <w:rPr>
          <w:rFonts w:ascii="Arial" w:hAnsi="Arial" w:cs="Arial"/>
          <w:sz w:val="19"/>
          <w:szCs w:val="19"/>
        </w:rPr>
      </w:pPr>
      <w:r w:rsidRPr="00645B79">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7DF023EA" w14:textId="77777777" w:rsidR="0093086A" w:rsidRPr="00645B79" w:rsidRDefault="0093086A" w:rsidP="00103836">
      <w:pPr>
        <w:pStyle w:val="Textonotapie"/>
        <w:spacing w:before="0" w:after="0" w:line="240" w:lineRule="auto"/>
        <w:ind w:firstLine="708"/>
        <w:rPr>
          <w:rFonts w:ascii="Arial" w:hAnsi="Arial" w:cs="Arial"/>
          <w:sz w:val="19"/>
          <w:szCs w:val="19"/>
        </w:rPr>
      </w:pPr>
      <w:r w:rsidRPr="00645B79">
        <w:rPr>
          <w:rFonts w:ascii="Arial" w:hAnsi="Arial" w:cs="Arial"/>
          <w:sz w:val="19"/>
          <w:szCs w:val="19"/>
        </w:rPr>
        <w:t>[...]».</w:t>
      </w:r>
    </w:p>
  </w:footnote>
  <w:footnote w:id="18">
    <w:p w14:paraId="009EC01F" w14:textId="77777777" w:rsidR="0093086A" w:rsidRPr="00645B79" w:rsidRDefault="0093086A" w:rsidP="00103836">
      <w:pPr>
        <w:pStyle w:val="Textonotapie"/>
        <w:spacing w:before="0" w:after="0" w:line="240" w:lineRule="auto"/>
        <w:ind w:firstLine="708"/>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El documento se puede consultar en el siguiente link: </w:t>
      </w:r>
      <w:hyperlink r:id="rId1" w:history="1">
        <w:r w:rsidRPr="00645B79">
          <w:rPr>
            <w:rStyle w:val="Hipervnculo"/>
            <w:rFonts w:ascii="Arial" w:hAnsi="Arial" w:cs="Arial"/>
            <w:sz w:val="19"/>
            <w:szCs w:val="19"/>
          </w:rPr>
          <w:t>https://www.colombiacompra.gov.co/sites/cce_public/files/cce_documentos/concepto_firma_y_contrato_electronico_0.pdf</w:t>
        </w:r>
      </w:hyperlink>
      <w:r w:rsidRPr="00645B79">
        <w:rPr>
          <w:rFonts w:ascii="Arial" w:hAnsi="Arial" w:cs="Arial"/>
          <w:sz w:val="19"/>
          <w:szCs w:val="19"/>
        </w:rPr>
        <w:t>. Consultado el 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EE7D" w14:textId="43FAB770" w:rsidR="006C0830" w:rsidRDefault="00F052E1" w:rsidP="006C0830">
    <w:pPr>
      <w:pStyle w:val="Encabezado"/>
      <w:tabs>
        <w:tab w:val="clear" w:pos="4419"/>
      </w:tabs>
    </w:pPr>
    <w:r>
      <w:rPr>
        <w:noProof/>
        <w:lang w:val="en-US"/>
      </w:rPr>
      <w:drawing>
        <wp:anchor distT="0" distB="0" distL="114300" distR="114300" simplePos="0" relativeHeight="251659264" behindDoc="1" locked="0" layoutInCell="1" allowOverlap="1" wp14:anchorId="045C2D31" wp14:editId="577B2FCD">
          <wp:simplePos x="0" y="0"/>
          <wp:positionH relativeFrom="margin">
            <wp:posOffset>4496279</wp:posOffset>
          </wp:positionH>
          <wp:positionV relativeFrom="paragraph">
            <wp:posOffset>-64507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0830">
      <w:tab/>
    </w:r>
  </w:p>
  <w:p w14:paraId="67015CAE" w14:textId="77777777" w:rsidR="00A02997" w:rsidRDefault="00A029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FA305E"/>
    <w:multiLevelType w:val="hybridMultilevel"/>
    <w:tmpl w:val="7C681A06"/>
    <w:lvl w:ilvl="0" w:tplc="A546F8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1634A1"/>
    <w:multiLevelType w:val="multilevel"/>
    <w:tmpl w:val="6928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CE"/>
    <w:rsid w:val="0004077E"/>
    <w:rsid w:val="00042387"/>
    <w:rsid w:val="00082E38"/>
    <w:rsid w:val="000E0CFC"/>
    <w:rsid w:val="00103836"/>
    <w:rsid w:val="00113D6B"/>
    <w:rsid w:val="001323CA"/>
    <w:rsid w:val="001372E1"/>
    <w:rsid w:val="001637CE"/>
    <w:rsid w:val="001C5325"/>
    <w:rsid w:val="002454B7"/>
    <w:rsid w:val="00286D9E"/>
    <w:rsid w:val="002902C0"/>
    <w:rsid w:val="002C22FB"/>
    <w:rsid w:val="002C4497"/>
    <w:rsid w:val="002E31AF"/>
    <w:rsid w:val="002F07F9"/>
    <w:rsid w:val="003270C7"/>
    <w:rsid w:val="00357AF9"/>
    <w:rsid w:val="003E141B"/>
    <w:rsid w:val="003F0452"/>
    <w:rsid w:val="004077FE"/>
    <w:rsid w:val="00433E45"/>
    <w:rsid w:val="00435129"/>
    <w:rsid w:val="004735AD"/>
    <w:rsid w:val="004B3AF8"/>
    <w:rsid w:val="004B53ED"/>
    <w:rsid w:val="004D35D8"/>
    <w:rsid w:val="0052110F"/>
    <w:rsid w:val="00545706"/>
    <w:rsid w:val="00577DA1"/>
    <w:rsid w:val="00586037"/>
    <w:rsid w:val="005A48EC"/>
    <w:rsid w:val="005B77BB"/>
    <w:rsid w:val="005C669E"/>
    <w:rsid w:val="005D37CE"/>
    <w:rsid w:val="005E0CAE"/>
    <w:rsid w:val="00602365"/>
    <w:rsid w:val="00602508"/>
    <w:rsid w:val="0060403F"/>
    <w:rsid w:val="00646E26"/>
    <w:rsid w:val="00657DC8"/>
    <w:rsid w:val="006848AF"/>
    <w:rsid w:val="006C0830"/>
    <w:rsid w:val="006F0793"/>
    <w:rsid w:val="007439F8"/>
    <w:rsid w:val="0074423E"/>
    <w:rsid w:val="00770E1A"/>
    <w:rsid w:val="00771BC7"/>
    <w:rsid w:val="00783AE9"/>
    <w:rsid w:val="007E4058"/>
    <w:rsid w:val="007F6D0B"/>
    <w:rsid w:val="00801E19"/>
    <w:rsid w:val="008C74E4"/>
    <w:rsid w:val="008D0082"/>
    <w:rsid w:val="008D48F5"/>
    <w:rsid w:val="008E0CA0"/>
    <w:rsid w:val="009220A1"/>
    <w:rsid w:val="00927337"/>
    <w:rsid w:val="0093086A"/>
    <w:rsid w:val="0094411C"/>
    <w:rsid w:val="00953F78"/>
    <w:rsid w:val="009965A9"/>
    <w:rsid w:val="009A6479"/>
    <w:rsid w:val="009A6D73"/>
    <w:rsid w:val="009D4A8B"/>
    <w:rsid w:val="009F0786"/>
    <w:rsid w:val="009F6553"/>
    <w:rsid w:val="00A02997"/>
    <w:rsid w:val="00A04EC3"/>
    <w:rsid w:val="00A06676"/>
    <w:rsid w:val="00A7526E"/>
    <w:rsid w:val="00A9642B"/>
    <w:rsid w:val="00A97D9C"/>
    <w:rsid w:val="00AA1D5D"/>
    <w:rsid w:val="00AF11CA"/>
    <w:rsid w:val="00AF558B"/>
    <w:rsid w:val="00AF7A5E"/>
    <w:rsid w:val="00B07042"/>
    <w:rsid w:val="00B15075"/>
    <w:rsid w:val="00B178FF"/>
    <w:rsid w:val="00B820F0"/>
    <w:rsid w:val="00BA0125"/>
    <w:rsid w:val="00BB4023"/>
    <w:rsid w:val="00C15CB3"/>
    <w:rsid w:val="00C2370A"/>
    <w:rsid w:val="00C404DE"/>
    <w:rsid w:val="00C441CC"/>
    <w:rsid w:val="00C870C2"/>
    <w:rsid w:val="00C930C8"/>
    <w:rsid w:val="00C94B5E"/>
    <w:rsid w:val="00C956CA"/>
    <w:rsid w:val="00CD2534"/>
    <w:rsid w:val="00CE1DCA"/>
    <w:rsid w:val="00D3787E"/>
    <w:rsid w:val="00D97F80"/>
    <w:rsid w:val="00DE6EC3"/>
    <w:rsid w:val="00E45BAF"/>
    <w:rsid w:val="00ED7213"/>
    <w:rsid w:val="00F036CC"/>
    <w:rsid w:val="00F052E1"/>
    <w:rsid w:val="00F51542"/>
    <w:rsid w:val="00F87704"/>
    <w:rsid w:val="00F902E0"/>
    <w:rsid w:val="00F955F0"/>
    <w:rsid w:val="1D70CBFE"/>
    <w:rsid w:val="24584C32"/>
    <w:rsid w:val="3708199E"/>
    <w:rsid w:val="3CBC9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0464A"/>
  <w14:defaultImageDpi w14:val="32767"/>
  <w15:chartTrackingRefBased/>
  <w15:docId w15:val="{CB54DFFE-05A3-0E4D-BF54-8E8E237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CE"/>
    <w:pPr>
      <w:spacing w:before="120" w:after="120" w:line="276" w:lineRule="auto"/>
      <w:jc w:val="both"/>
    </w:pPr>
    <w:rPr>
      <w:rFonts w:ascii="Times New Roman" w:eastAsia="Times New Roman" w:hAnsi="Times New Roman" w:cs="Times New Roman"/>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37CE"/>
    <w:pPr>
      <w:spacing w:before="120"/>
      <w:jc w:val="both"/>
    </w:pPr>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637CE"/>
    <w:pPr>
      <w:ind w:left="720"/>
      <w:contextualSpacing/>
    </w:pPr>
    <w:rPr>
      <w:rFonts w:asciiTheme="minorHAnsi" w:eastAsiaTheme="minorHAnsi" w:hAnsiTheme="minorHAnsi" w:cstheme="minorBid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637C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637CE"/>
    <w:rPr>
      <w:rFonts w:asciiTheme="minorHAnsi" w:eastAsiaTheme="minorHAnsi" w:hAnsiTheme="minorHAnsi" w:cstheme="minorBidi"/>
      <w:sz w:val="20"/>
      <w:szCs w:val="20"/>
      <w:lang w:val="es-MX" w:eastAsia="en-US"/>
    </w:rPr>
  </w:style>
  <w:style w:type="character" w:customStyle="1" w:styleId="FootnoteTextChar1">
    <w:name w:val="Footnote Text Char1"/>
    <w:basedOn w:val="Fuentedeprrafopredeter"/>
    <w:uiPriority w:val="99"/>
    <w:semiHidden/>
    <w:rsid w:val="001637CE"/>
    <w:rPr>
      <w:rFonts w:ascii="Times New Roman" w:eastAsia="Times New Roman" w:hAnsi="Times New Roman" w:cs="Times New Roman"/>
      <w:sz w:val="20"/>
      <w:szCs w:val="20"/>
      <w:lang w:eastAsia="en-GB"/>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637CE"/>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1637CE"/>
    <w:rPr>
      <w:vertAlign w:val="superscript"/>
    </w:rPr>
  </w:style>
  <w:style w:type="paragraph" w:customStyle="1" w:styleId="Appelnotedebasde">
    <w:name w:val="Appel note de bas de..."/>
    <w:basedOn w:val="Normal"/>
    <w:link w:val="Refdenotaalpie"/>
    <w:uiPriority w:val="99"/>
    <w:rsid w:val="001637CE"/>
    <w:pPr>
      <w:spacing w:before="0" w:after="160" w:line="240" w:lineRule="exact"/>
      <w:jc w:val="left"/>
    </w:pPr>
    <w:rPr>
      <w:rFonts w:asciiTheme="minorHAnsi" w:eastAsiaTheme="minorHAnsi" w:hAnsiTheme="minorHAnsi" w:cstheme="minorBidi"/>
      <w:vertAlign w:val="superscript"/>
      <w:lang w:eastAsia="en-US"/>
    </w:rPr>
  </w:style>
  <w:style w:type="paragraph" w:styleId="NormalWeb">
    <w:name w:val="Normal (Web)"/>
    <w:basedOn w:val="Normal"/>
    <w:uiPriority w:val="99"/>
    <w:semiHidden/>
    <w:unhideWhenUsed/>
    <w:rsid w:val="00A9642B"/>
    <w:pPr>
      <w:spacing w:before="100" w:beforeAutospacing="1" w:after="100" w:afterAutospacing="1" w:line="240" w:lineRule="auto"/>
      <w:jc w:val="left"/>
    </w:pPr>
  </w:style>
  <w:style w:type="paragraph" w:styleId="Textoindependiente">
    <w:name w:val="Body Text"/>
    <w:basedOn w:val="Normal"/>
    <w:link w:val="TextoindependienteCar"/>
    <w:uiPriority w:val="99"/>
    <w:unhideWhenUsed/>
    <w:rsid w:val="006848AF"/>
    <w:pPr>
      <w:spacing w:before="0"/>
      <w:jc w:val="left"/>
    </w:pPr>
    <w:rPr>
      <w:rFonts w:asciiTheme="minorHAnsi" w:eastAsiaTheme="minorEastAsia" w:hAnsiTheme="minorHAnsi" w:cstheme="minorBidi"/>
      <w:sz w:val="22"/>
      <w:szCs w:val="22"/>
      <w:lang w:val="es-CO" w:eastAsia="es-CO"/>
    </w:rPr>
  </w:style>
  <w:style w:type="character" w:customStyle="1" w:styleId="TextoindependienteCar">
    <w:name w:val="Texto independiente Car"/>
    <w:basedOn w:val="Fuentedeprrafopredeter"/>
    <w:link w:val="Textoindependiente"/>
    <w:uiPriority w:val="99"/>
    <w:rsid w:val="006848AF"/>
    <w:rPr>
      <w:rFonts w:eastAsiaTheme="minorEastAsia"/>
      <w:sz w:val="22"/>
      <w:szCs w:val="22"/>
      <w:lang w:val="es-CO" w:eastAsia="es-CO"/>
    </w:rPr>
  </w:style>
  <w:style w:type="character" w:styleId="Textoennegrita">
    <w:name w:val="Strong"/>
    <w:basedOn w:val="Fuentedeprrafopredeter"/>
    <w:uiPriority w:val="22"/>
    <w:qFormat/>
    <w:rsid w:val="00646E26"/>
    <w:rPr>
      <w:b/>
      <w:bCs/>
    </w:rPr>
  </w:style>
  <w:style w:type="paragraph" w:styleId="Textodeglobo">
    <w:name w:val="Balloon Text"/>
    <w:basedOn w:val="Normal"/>
    <w:link w:val="TextodegloboCar"/>
    <w:uiPriority w:val="99"/>
    <w:semiHidden/>
    <w:unhideWhenUsed/>
    <w:rsid w:val="009A6479"/>
    <w:pPr>
      <w:spacing w:before="0" w:after="0" w:line="240" w:lineRule="auto"/>
    </w:pPr>
    <w:rPr>
      <w:sz w:val="18"/>
      <w:szCs w:val="18"/>
    </w:rPr>
  </w:style>
  <w:style w:type="character" w:customStyle="1" w:styleId="TextodegloboCar">
    <w:name w:val="Texto de globo Car"/>
    <w:basedOn w:val="Fuentedeprrafopredeter"/>
    <w:link w:val="Textodeglobo"/>
    <w:uiPriority w:val="99"/>
    <w:semiHidden/>
    <w:rsid w:val="009A6479"/>
    <w:rPr>
      <w:rFonts w:ascii="Times New Roman" w:eastAsia="Times New Roman" w:hAnsi="Times New Roman" w:cs="Times New Roman"/>
      <w:sz w:val="18"/>
      <w:szCs w:val="18"/>
      <w:lang w:eastAsia="en-GB"/>
    </w:rPr>
  </w:style>
  <w:style w:type="table" w:customStyle="1" w:styleId="TableGrid1">
    <w:name w:val="Table Grid1"/>
    <w:basedOn w:val="Tablanormal"/>
    <w:next w:val="Tablaconcuadrcula"/>
    <w:uiPriority w:val="39"/>
    <w:rsid w:val="00082E38"/>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86A"/>
    <w:rPr>
      <w:color w:val="0563C1" w:themeColor="hyperlink"/>
      <w:u w:val="single"/>
    </w:rPr>
  </w:style>
  <w:style w:type="character" w:styleId="Refdecomentario">
    <w:name w:val="annotation reference"/>
    <w:basedOn w:val="Fuentedeprrafopredeter"/>
    <w:uiPriority w:val="99"/>
    <w:semiHidden/>
    <w:unhideWhenUsed/>
    <w:rsid w:val="008D0082"/>
    <w:rPr>
      <w:sz w:val="16"/>
      <w:szCs w:val="16"/>
    </w:rPr>
  </w:style>
  <w:style w:type="paragraph" w:styleId="Textocomentario">
    <w:name w:val="annotation text"/>
    <w:basedOn w:val="Normal"/>
    <w:link w:val="TextocomentarioCar"/>
    <w:uiPriority w:val="99"/>
    <w:semiHidden/>
    <w:unhideWhenUsed/>
    <w:rsid w:val="008D00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0082"/>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8D0082"/>
    <w:rPr>
      <w:b/>
      <w:bCs/>
    </w:rPr>
  </w:style>
  <w:style w:type="character" w:customStyle="1" w:styleId="AsuntodelcomentarioCar">
    <w:name w:val="Asunto del comentario Car"/>
    <w:basedOn w:val="TextocomentarioCar"/>
    <w:link w:val="Asuntodelcomentario"/>
    <w:uiPriority w:val="99"/>
    <w:semiHidden/>
    <w:rsid w:val="008D0082"/>
    <w:rPr>
      <w:rFonts w:ascii="Times New Roman" w:eastAsia="Times New Roman" w:hAnsi="Times New Roman" w:cs="Times New Roman"/>
      <w:b/>
      <w:bCs/>
      <w:sz w:val="20"/>
      <w:szCs w:val="20"/>
      <w:lang w:eastAsia="en-GB"/>
    </w:rPr>
  </w:style>
  <w:style w:type="paragraph" w:styleId="Encabezado">
    <w:name w:val="header"/>
    <w:basedOn w:val="Normal"/>
    <w:link w:val="EncabezadoCar"/>
    <w:uiPriority w:val="99"/>
    <w:unhideWhenUsed/>
    <w:rsid w:val="00A0299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02997"/>
    <w:rPr>
      <w:rFonts w:ascii="Times New Roman" w:eastAsia="Times New Roman" w:hAnsi="Times New Roman" w:cs="Times New Roman"/>
      <w:lang w:eastAsia="en-GB"/>
    </w:rPr>
  </w:style>
  <w:style w:type="paragraph" w:styleId="Piedepgina">
    <w:name w:val="footer"/>
    <w:basedOn w:val="Normal"/>
    <w:link w:val="PiedepginaCar"/>
    <w:uiPriority w:val="99"/>
    <w:unhideWhenUsed/>
    <w:rsid w:val="00A0299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02997"/>
    <w:rPr>
      <w:rFonts w:ascii="Times New Roman" w:eastAsia="Times New Roman" w:hAnsi="Times New Roman" w:cs="Times New Roman"/>
      <w:lang w:eastAsia="en-GB"/>
    </w:rPr>
  </w:style>
  <w:style w:type="paragraph" w:styleId="Sinespaciado">
    <w:name w:val="No Spacing"/>
    <w:uiPriority w:val="1"/>
    <w:qFormat/>
    <w:rsid w:val="003E141B"/>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1786">
      <w:bodyDiv w:val="1"/>
      <w:marLeft w:val="0"/>
      <w:marRight w:val="0"/>
      <w:marTop w:val="0"/>
      <w:marBottom w:val="0"/>
      <w:divBdr>
        <w:top w:val="none" w:sz="0" w:space="0" w:color="auto"/>
        <w:left w:val="none" w:sz="0" w:space="0" w:color="auto"/>
        <w:bottom w:val="none" w:sz="0" w:space="0" w:color="auto"/>
        <w:right w:val="none" w:sz="0" w:space="0" w:color="auto"/>
      </w:divBdr>
      <w:divsChild>
        <w:div w:id="727652784">
          <w:marLeft w:val="0"/>
          <w:marRight w:val="0"/>
          <w:marTop w:val="0"/>
          <w:marBottom w:val="0"/>
          <w:divBdr>
            <w:top w:val="none" w:sz="0" w:space="0" w:color="auto"/>
            <w:left w:val="none" w:sz="0" w:space="0" w:color="auto"/>
            <w:bottom w:val="none" w:sz="0" w:space="0" w:color="auto"/>
            <w:right w:val="none" w:sz="0" w:space="0" w:color="auto"/>
          </w:divBdr>
          <w:divsChild>
            <w:div w:id="357704497">
              <w:marLeft w:val="0"/>
              <w:marRight w:val="0"/>
              <w:marTop w:val="0"/>
              <w:marBottom w:val="0"/>
              <w:divBdr>
                <w:top w:val="none" w:sz="0" w:space="0" w:color="auto"/>
                <w:left w:val="none" w:sz="0" w:space="0" w:color="auto"/>
                <w:bottom w:val="none" w:sz="0" w:space="0" w:color="auto"/>
                <w:right w:val="none" w:sz="0" w:space="0" w:color="auto"/>
              </w:divBdr>
              <w:divsChild>
                <w:div w:id="1140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0364">
      <w:bodyDiv w:val="1"/>
      <w:marLeft w:val="0"/>
      <w:marRight w:val="0"/>
      <w:marTop w:val="0"/>
      <w:marBottom w:val="0"/>
      <w:divBdr>
        <w:top w:val="none" w:sz="0" w:space="0" w:color="auto"/>
        <w:left w:val="none" w:sz="0" w:space="0" w:color="auto"/>
        <w:bottom w:val="none" w:sz="0" w:space="0" w:color="auto"/>
        <w:right w:val="none" w:sz="0" w:space="0" w:color="auto"/>
      </w:divBdr>
    </w:div>
    <w:div w:id="558982539">
      <w:bodyDiv w:val="1"/>
      <w:marLeft w:val="0"/>
      <w:marRight w:val="0"/>
      <w:marTop w:val="0"/>
      <w:marBottom w:val="0"/>
      <w:divBdr>
        <w:top w:val="none" w:sz="0" w:space="0" w:color="auto"/>
        <w:left w:val="none" w:sz="0" w:space="0" w:color="auto"/>
        <w:bottom w:val="none" w:sz="0" w:space="0" w:color="auto"/>
        <w:right w:val="none" w:sz="0" w:space="0" w:color="auto"/>
      </w:divBdr>
    </w:div>
    <w:div w:id="627591635">
      <w:bodyDiv w:val="1"/>
      <w:marLeft w:val="0"/>
      <w:marRight w:val="0"/>
      <w:marTop w:val="0"/>
      <w:marBottom w:val="0"/>
      <w:divBdr>
        <w:top w:val="none" w:sz="0" w:space="0" w:color="auto"/>
        <w:left w:val="none" w:sz="0" w:space="0" w:color="auto"/>
        <w:bottom w:val="none" w:sz="0" w:space="0" w:color="auto"/>
        <w:right w:val="none" w:sz="0" w:space="0" w:color="auto"/>
      </w:divBdr>
    </w:div>
    <w:div w:id="942614633">
      <w:bodyDiv w:val="1"/>
      <w:marLeft w:val="0"/>
      <w:marRight w:val="0"/>
      <w:marTop w:val="0"/>
      <w:marBottom w:val="0"/>
      <w:divBdr>
        <w:top w:val="none" w:sz="0" w:space="0" w:color="auto"/>
        <w:left w:val="none" w:sz="0" w:space="0" w:color="auto"/>
        <w:bottom w:val="none" w:sz="0" w:space="0" w:color="auto"/>
        <w:right w:val="none" w:sz="0" w:space="0" w:color="auto"/>
      </w:divBdr>
    </w:div>
    <w:div w:id="1308902476">
      <w:bodyDiv w:val="1"/>
      <w:marLeft w:val="0"/>
      <w:marRight w:val="0"/>
      <w:marTop w:val="0"/>
      <w:marBottom w:val="0"/>
      <w:divBdr>
        <w:top w:val="none" w:sz="0" w:space="0" w:color="auto"/>
        <w:left w:val="none" w:sz="0" w:space="0" w:color="auto"/>
        <w:bottom w:val="none" w:sz="0" w:space="0" w:color="auto"/>
        <w:right w:val="none" w:sz="0" w:space="0" w:color="auto"/>
      </w:divBdr>
      <w:divsChild>
        <w:div w:id="1810904753">
          <w:marLeft w:val="0"/>
          <w:marRight w:val="0"/>
          <w:marTop w:val="0"/>
          <w:marBottom w:val="0"/>
          <w:divBdr>
            <w:top w:val="none" w:sz="0" w:space="0" w:color="auto"/>
            <w:left w:val="none" w:sz="0" w:space="0" w:color="auto"/>
            <w:bottom w:val="none" w:sz="0" w:space="0" w:color="auto"/>
            <w:right w:val="none" w:sz="0" w:space="0" w:color="auto"/>
          </w:divBdr>
          <w:divsChild>
            <w:div w:id="1564484390">
              <w:marLeft w:val="0"/>
              <w:marRight w:val="0"/>
              <w:marTop w:val="0"/>
              <w:marBottom w:val="0"/>
              <w:divBdr>
                <w:top w:val="none" w:sz="0" w:space="0" w:color="auto"/>
                <w:left w:val="none" w:sz="0" w:space="0" w:color="auto"/>
                <w:bottom w:val="none" w:sz="0" w:space="0" w:color="auto"/>
                <w:right w:val="none" w:sz="0" w:space="0" w:color="auto"/>
              </w:divBdr>
              <w:divsChild>
                <w:div w:id="2420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79890">
      <w:bodyDiv w:val="1"/>
      <w:marLeft w:val="0"/>
      <w:marRight w:val="0"/>
      <w:marTop w:val="0"/>
      <w:marBottom w:val="0"/>
      <w:divBdr>
        <w:top w:val="none" w:sz="0" w:space="0" w:color="auto"/>
        <w:left w:val="none" w:sz="0" w:space="0" w:color="auto"/>
        <w:bottom w:val="none" w:sz="0" w:space="0" w:color="auto"/>
        <w:right w:val="none" w:sz="0" w:space="0" w:color="auto"/>
      </w:divBdr>
    </w:div>
    <w:div w:id="1849979444">
      <w:bodyDiv w:val="1"/>
      <w:marLeft w:val="0"/>
      <w:marRight w:val="0"/>
      <w:marTop w:val="0"/>
      <w:marBottom w:val="0"/>
      <w:divBdr>
        <w:top w:val="none" w:sz="0" w:space="0" w:color="auto"/>
        <w:left w:val="none" w:sz="0" w:space="0" w:color="auto"/>
        <w:bottom w:val="none" w:sz="0" w:space="0" w:color="auto"/>
        <w:right w:val="none" w:sz="0" w:space="0" w:color="auto"/>
      </w:divBdr>
      <w:divsChild>
        <w:div w:id="1087339351">
          <w:marLeft w:val="0"/>
          <w:marRight w:val="0"/>
          <w:marTop w:val="0"/>
          <w:marBottom w:val="0"/>
          <w:divBdr>
            <w:top w:val="none" w:sz="0" w:space="0" w:color="auto"/>
            <w:left w:val="none" w:sz="0" w:space="0" w:color="auto"/>
            <w:bottom w:val="none" w:sz="0" w:space="0" w:color="auto"/>
            <w:right w:val="none" w:sz="0" w:space="0" w:color="auto"/>
          </w:divBdr>
          <w:divsChild>
            <w:div w:id="1245844056">
              <w:marLeft w:val="0"/>
              <w:marRight w:val="0"/>
              <w:marTop w:val="0"/>
              <w:marBottom w:val="0"/>
              <w:divBdr>
                <w:top w:val="none" w:sz="0" w:space="0" w:color="auto"/>
                <w:left w:val="none" w:sz="0" w:space="0" w:color="auto"/>
                <w:bottom w:val="none" w:sz="0" w:space="0" w:color="auto"/>
                <w:right w:val="none" w:sz="0" w:space="0" w:color="auto"/>
              </w:divBdr>
              <w:divsChild>
                <w:div w:id="1338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os/concepto_firma_y_contrato_electronico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5B953D1-A093-4FAE-AE28-677D4E916010}">
  <ds:schemaRefs>
    <ds:schemaRef ds:uri="http://schemas.microsoft.com/sharepoint/v3/contenttype/forms"/>
  </ds:schemaRefs>
</ds:datastoreItem>
</file>

<file path=customXml/itemProps2.xml><?xml version="1.0" encoding="utf-8"?>
<ds:datastoreItem xmlns:ds="http://schemas.openxmlformats.org/officeDocument/2006/customXml" ds:itemID="{32C94A3A-194A-4F9E-9222-12C61E0B8BB2}">
  <ds:schemaRefs>
    <ds:schemaRef ds:uri="http://schemas.openxmlformats.org/officeDocument/2006/bibliography"/>
  </ds:schemaRefs>
</ds:datastoreItem>
</file>

<file path=customXml/itemProps3.xml><?xml version="1.0" encoding="utf-8"?>
<ds:datastoreItem xmlns:ds="http://schemas.openxmlformats.org/officeDocument/2006/customXml" ds:itemID="{E650D21C-9A42-4B05-831D-34EE8EE23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BBE8D-A39E-489C-B8D2-560B0C32716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6022</Words>
  <Characters>33123</Characters>
  <Application>Microsoft Office Word</Application>
  <DocSecurity>0</DocSecurity>
  <Lines>276</Lines>
  <Paragraphs>78</Paragraphs>
  <ScaleCrop>false</ScaleCrop>
  <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Carlos Mario Castrillón Endo</cp:lastModifiedBy>
  <cp:revision>17</cp:revision>
  <dcterms:created xsi:type="dcterms:W3CDTF">2020-06-26T17:12:00Z</dcterms:created>
  <dcterms:modified xsi:type="dcterms:W3CDTF">2020-08-06T19:50:00Z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