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6F62F8" w14:textId="7FFAC4E9" w:rsidR="007F7C03" w:rsidRPr="00830F50" w:rsidRDefault="00A71CEA" w:rsidP="0063204C">
      <w:pPr>
        <w:jc w:val="right"/>
        <w:rPr>
          <w:rFonts w:ascii="Arial" w:hAnsi="Arial" w:cs="Arial"/>
          <w:b/>
          <w:sz w:val="16"/>
          <w:szCs w:val="16"/>
          <w:lang w:eastAsia="es-ES"/>
        </w:rPr>
      </w:pPr>
      <w:r w:rsidRPr="00830F50">
        <w:rPr>
          <w:rFonts w:ascii="Arial" w:hAnsi="Arial" w:cs="Arial"/>
          <w:b/>
          <w:sz w:val="16"/>
          <w:szCs w:val="16"/>
          <w:lang w:eastAsia="es-ES"/>
        </w:rPr>
        <w:t>CCE-DES-FM-17</w:t>
      </w:r>
    </w:p>
    <w:p w14:paraId="3E6509C7" w14:textId="77777777" w:rsidR="0031456F" w:rsidRPr="00830F50" w:rsidRDefault="0031456F" w:rsidP="00C33A69">
      <w:pPr>
        <w:spacing w:line="276" w:lineRule="auto"/>
        <w:rPr>
          <w:rFonts w:ascii="Arial" w:eastAsia="Calibri" w:hAnsi="Arial" w:cs="Arial"/>
          <w:b/>
          <w:sz w:val="22"/>
        </w:rPr>
      </w:pPr>
    </w:p>
    <w:p w14:paraId="20327AA7" w14:textId="6B3F59B8" w:rsidR="005C180C" w:rsidRPr="00340697" w:rsidRDefault="003738E5" w:rsidP="00340697">
      <w:pPr>
        <w:jc w:val="both"/>
        <w:rPr>
          <w:rFonts w:ascii="Arial" w:eastAsia="Calibri" w:hAnsi="Arial" w:cs="Arial"/>
          <w:b/>
          <w:sz w:val="22"/>
          <w:szCs w:val="22"/>
        </w:rPr>
      </w:pPr>
      <w:r w:rsidRPr="00340697">
        <w:rPr>
          <w:rFonts w:ascii="Arial" w:eastAsia="Calibri" w:hAnsi="Arial" w:cs="Arial"/>
          <w:b/>
          <w:sz w:val="22"/>
          <w:szCs w:val="22"/>
        </w:rPr>
        <w:t xml:space="preserve">CONTRATO ESTATAL – </w:t>
      </w:r>
      <w:r w:rsidR="000935CA" w:rsidRPr="00340697">
        <w:rPr>
          <w:rFonts w:ascii="Arial" w:eastAsia="Calibri" w:hAnsi="Arial" w:cs="Arial"/>
          <w:b/>
          <w:sz w:val="22"/>
          <w:szCs w:val="22"/>
        </w:rPr>
        <w:t>C</w:t>
      </w:r>
      <w:r w:rsidR="009B027C" w:rsidRPr="00340697">
        <w:rPr>
          <w:rFonts w:ascii="Arial" w:eastAsia="Calibri" w:hAnsi="Arial" w:cs="Arial"/>
          <w:b/>
          <w:sz w:val="22"/>
          <w:szCs w:val="22"/>
        </w:rPr>
        <w:t>ontrol y vigilancia</w:t>
      </w:r>
    </w:p>
    <w:p w14:paraId="125FCD4A" w14:textId="441043CF" w:rsidR="008A3377" w:rsidRDefault="008A3377" w:rsidP="00340697">
      <w:pPr>
        <w:jc w:val="both"/>
        <w:rPr>
          <w:rFonts w:ascii="Arial" w:eastAsia="Calibri" w:hAnsi="Arial" w:cs="Arial"/>
          <w:b/>
          <w:sz w:val="20"/>
          <w:szCs w:val="20"/>
        </w:rPr>
      </w:pPr>
    </w:p>
    <w:p w14:paraId="4EF459F5" w14:textId="43C15760" w:rsidR="009B027C" w:rsidRPr="00830F50" w:rsidRDefault="008A202D" w:rsidP="00340697">
      <w:pPr>
        <w:jc w:val="both"/>
        <w:rPr>
          <w:rFonts w:ascii="Arial" w:eastAsia="Calibri" w:hAnsi="Arial" w:cs="Arial"/>
          <w:b/>
          <w:sz w:val="20"/>
          <w:szCs w:val="20"/>
        </w:rPr>
      </w:pPr>
      <w:r w:rsidRPr="008A202D">
        <w:rPr>
          <w:rFonts w:ascii="Arial" w:eastAsia="Calibri" w:hAnsi="Arial" w:cs="Arial"/>
          <w:bCs/>
          <w:sz w:val="20"/>
          <w:szCs w:val="20"/>
        </w:rPr>
        <w:t>[…] el seguimiento de la ejecución del contrato para su dirección, control y vigilancia del correcto cumplimiento del objeto es un deber legal que permite a las entidades estatales tomar medidas orientadas a la satisfacción de los fines de la contratación, dentro de las cuales, se encuentra la posibilidad de pactar y ejercer las cláusulas exorbitantes, la designación de una supervisión o la contratación de una interventoría para vigilar la ejecución del contrato y la facultad de pactar e imponer multas, cláusula penal o hacer efectivas las garantías del contrato, previa declaratoria de incumplimiento de las obligaciones del contrato, en aras de lograr la satisfacción de las necesidades de bienes, obras o servicios que se pretenden suplir con la celebración de los contratos estatales</w:t>
      </w:r>
    </w:p>
    <w:p w14:paraId="14CA97EB" w14:textId="77777777" w:rsidR="008A3377" w:rsidRPr="00830F50" w:rsidRDefault="008A3377" w:rsidP="00340697">
      <w:pPr>
        <w:spacing w:after="120"/>
        <w:jc w:val="both"/>
        <w:rPr>
          <w:rFonts w:ascii="Arial" w:eastAsia="Calibri" w:hAnsi="Arial" w:cs="Arial"/>
          <w:b/>
          <w:sz w:val="20"/>
          <w:szCs w:val="20"/>
        </w:rPr>
      </w:pPr>
    </w:p>
    <w:p w14:paraId="27A5C49C" w14:textId="3F610AC2" w:rsidR="005C180C" w:rsidRPr="00340697" w:rsidRDefault="003738E5" w:rsidP="00340697">
      <w:pPr>
        <w:jc w:val="both"/>
        <w:rPr>
          <w:rFonts w:ascii="Arial" w:eastAsia="Calibri" w:hAnsi="Arial" w:cs="Arial"/>
          <w:b/>
          <w:sz w:val="22"/>
          <w:szCs w:val="22"/>
        </w:rPr>
      </w:pPr>
      <w:r w:rsidRPr="00340697">
        <w:rPr>
          <w:rFonts w:ascii="Arial" w:eastAsia="Calibri" w:hAnsi="Arial" w:cs="Arial"/>
          <w:b/>
          <w:sz w:val="22"/>
          <w:szCs w:val="22"/>
        </w:rPr>
        <w:t>INTERVENTOR</w:t>
      </w:r>
      <w:r w:rsidR="00D0123D">
        <w:rPr>
          <w:rFonts w:ascii="Arial" w:eastAsia="Calibri" w:hAnsi="Arial" w:cs="Arial"/>
          <w:b/>
          <w:sz w:val="22"/>
          <w:szCs w:val="22"/>
        </w:rPr>
        <w:t>Í</w:t>
      </w:r>
      <w:r w:rsidRPr="00340697">
        <w:rPr>
          <w:rFonts w:ascii="Arial" w:eastAsia="Calibri" w:hAnsi="Arial" w:cs="Arial"/>
          <w:b/>
          <w:sz w:val="22"/>
          <w:szCs w:val="22"/>
        </w:rPr>
        <w:t xml:space="preserve">A </w:t>
      </w:r>
      <w:r w:rsidR="00D0123D">
        <w:rPr>
          <w:rFonts w:ascii="Arial" w:eastAsia="Calibri" w:hAnsi="Arial" w:cs="Arial"/>
          <w:b/>
          <w:sz w:val="22"/>
          <w:szCs w:val="22"/>
        </w:rPr>
        <w:t>–</w:t>
      </w:r>
      <w:r w:rsidRPr="00340697">
        <w:rPr>
          <w:rFonts w:ascii="Arial" w:eastAsia="Calibri" w:hAnsi="Arial" w:cs="Arial"/>
          <w:b/>
          <w:sz w:val="22"/>
          <w:szCs w:val="22"/>
        </w:rPr>
        <w:t xml:space="preserve"> </w:t>
      </w:r>
      <w:r w:rsidR="00D0123D">
        <w:rPr>
          <w:rFonts w:ascii="Arial" w:eastAsia="Calibri" w:hAnsi="Arial" w:cs="Arial"/>
          <w:b/>
          <w:sz w:val="22"/>
          <w:szCs w:val="22"/>
        </w:rPr>
        <w:t>Adición – Inaplicación tope – Artículo 85 Ley 1474</w:t>
      </w:r>
    </w:p>
    <w:p w14:paraId="4CAA4936" w14:textId="5D055CF9" w:rsidR="00340697" w:rsidRPr="00340697" w:rsidRDefault="00340697" w:rsidP="00340697">
      <w:pPr>
        <w:spacing w:before="120" w:after="120"/>
        <w:jc w:val="both"/>
        <w:rPr>
          <w:rFonts w:ascii="Arial" w:eastAsia="Calibri" w:hAnsi="Arial" w:cs="Arial"/>
          <w:sz w:val="20"/>
          <w:szCs w:val="20"/>
        </w:rPr>
      </w:pPr>
      <w:r w:rsidRPr="00340697">
        <w:rPr>
          <w:rFonts w:ascii="Arial" w:eastAsia="Calibri" w:hAnsi="Arial" w:cs="Arial"/>
          <w:bCs/>
          <w:sz w:val="20"/>
          <w:szCs w:val="20"/>
        </w:rPr>
        <w:t>[</w:t>
      </w:r>
      <w:r w:rsidR="002E06B3" w:rsidRPr="00340697">
        <w:rPr>
          <w:rFonts w:ascii="Arial" w:eastAsia="Calibri" w:hAnsi="Arial" w:cs="Arial"/>
          <w:bCs/>
          <w:sz w:val="20"/>
          <w:szCs w:val="20"/>
        </w:rPr>
        <w:t xml:space="preserve">…] </w:t>
      </w:r>
      <w:r w:rsidRPr="00340697">
        <w:rPr>
          <w:rFonts w:ascii="Arial" w:eastAsia="Calibri" w:hAnsi="Arial" w:cs="Arial"/>
          <w:sz w:val="20"/>
          <w:szCs w:val="20"/>
        </w:rPr>
        <w:t>el límite previsto en el parágrafo del artículo 40 de la Ley 80 de 1993: «Los contratos no podrán adicionarse en más del cincuenta por ciento (50%) de su valor inicial, expresado éste en salarios mínimos legales mensuales». De manera que, aunque es posible celebrar todos los tipos de acuerdos indicados, siempre debe observarse esta última disposición.</w:t>
      </w:r>
    </w:p>
    <w:p w14:paraId="6C63C1D0" w14:textId="1A741441" w:rsidR="00D00240" w:rsidRPr="00830F50" w:rsidRDefault="00340697" w:rsidP="00340697">
      <w:pPr>
        <w:jc w:val="both"/>
        <w:rPr>
          <w:rFonts w:ascii="Arial" w:eastAsia="Calibri" w:hAnsi="Arial" w:cs="Arial"/>
          <w:b/>
          <w:sz w:val="22"/>
        </w:rPr>
      </w:pPr>
      <w:r w:rsidRPr="00340697">
        <w:rPr>
          <w:rFonts w:ascii="Arial" w:eastAsia="Calibri" w:hAnsi="Arial" w:cs="Arial"/>
          <w:sz w:val="20"/>
          <w:szCs w:val="20"/>
        </w:rPr>
        <w:t>Dicha norma además de consagrar una prohibición trae implícita una autorización, consistente en la posibilidad de adicionar los contratos estatales, siempre que no se supere el tope establecido</w:t>
      </w:r>
      <w:r w:rsidRPr="00830F50">
        <w:rPr>
          <w:rFonts w:ascii="Arial" w:eastAsia="Calibri" w:hAnsi="Arial" w:cs="Arial"/>
          <w:sz w:val="22"/>
        </w:rPr>
        <w:t xml:space="preserve">. </w:t>
      </w:r>
    </w:p>
    <w:p w14:paraId="7A5E7B45" w14:textId="281FFA60" w:rsidR="005C180C" w:rsidRPr="00830F50" w:rsidRDefault="005C180C" w:rsidP="00C33A69">
      <w:pPr>
        <w:spacing w:line="276" w:lineRule="auto"/>
        <w:rPr>
          <w:rFonts w:ascii="Arial" w:eastAsia="Calibri" w:hAnsi="Arial" w:cs="Arial"/>
          <w:b/>
          <w:sz w:val="22"/>
        </w:rPr>
      </w:pPr>
    </w:p>
    <w:p w14:paraId="6DD508A4" w14:textId="77777777" w:rsidR="00B8754C" w:rsidRPr="00830F50" w:rsidRDefault="00B8754C" w:rsidP="00C33A69">
      <w:pPr>
        <w:spacing w:line="276" w:lineRule="auto"/>
        <w:rPr>
          <w:rFonts w:ascii="Arial" w:eastAsia="Calibri" w:hAnsi="Arial" w:cs="Arial"/>
          <w:b/>
          <w:sz w:val="22"/>
        </w:rPr>
      </w:pPr>
    </w:p>
    <w:p w14:paraId="0384D64D" w14:textId="1A1DF17C" w:rsidR="005C180C" w:rsidRPr="00830F50" w:rsidRDefault="005C180C" w:rsidP="00C33A69">
      <w:pPr>
        <w:spacing w:line="276" w:lineRule="auto"/>
        <w:rPr>
          <w:rFonts w:ascii="Arial" w:eastAsia="Calibri" w:hAnsi="Arial" w:cs="Arial"/>
          <w:b/>
          <w:sz w:val="22"/>
        </w:rPr>
      </w:pPr>
    </w:p>
    <w:p w14:paraId="09C5EDA7" w14:textId="093ADDB6" w:rsidR="005C180C" w:rsidRPr="00830F50" w:rsidRDefault="005C180C" w:rsidP="00C33A69">
      <w:pPr>
        <w:spacing w:line="276" w:lineRule="auto"/>
        <w:rPr>
          <w:rFonts w:ascii="Arial" w:eastAsia="Calibri" w:hAnsi="Arial" w:cs="Arial"/>
          <w:b/>
          <w:sz w:val="22"/>
        </w:rPr>
      </w:pPr>
    </w:p>
    <w:p w14:paraId="325851E1" w14:textId="0149F883" w:rsidR="005C180C" w:rsidRPr="00830F50" w:rsidRDefault="005C180C" w:rsidP="00C33A69">
      <w:pPr>
        <w:spacing w:line="276" w:lineRule="auto"/>
        <w:rPr>
          <w:rFonts w:ascii="Arial" w:eastAsia="Calibri" w:hAnsi="Arial" w:cs="Arial"/>
          <w:b/>
          <w:sz w:val="22"/>
        </w:rPr>
      </w:pPr>
    </w:p>
    <w:p w14:paraId="0DCF6FEB" w14:textId="6A0531EF" w:rsidR="005C180C" w:rsidRPr="00830F50" w:rsidRDefault="005C180C" w:rsidP="00C33A69">
      <w:pPr>
        <w:spacing w:line="276" w:lineRule="auto"/>
        <w:rPr>
          <w:rFonts w:ascii="Arial" w:eastAsia="Calibri" w:hAnsi="Arial" w:cs="Arial"/>
          <w:b/>
          <w:sz w:val="22"/>
        </w:rPr>
      </w:pPr>
    </w:p>
    <w:p w14:paraId="64597F91" w14:textId="587FC8D2" w:rsidR="005C180C" w:rsidRPr="00830F50" w:rsidRDefault="005C180C" w:rsidP="00C33A69">
      <w:pPr>
        <w:spacing w:line="276" w:lineRule="auto"/>
        <w:rPr>
          <w:rFonts w:ascii="Arial" w:eastAsia="Calibri" w:hAnsi="Arial" w:cs="Arial"/>
          <w:b/>
          <w:sz w:val="22"/>
        </w:rPr>
      </w:pPr>
    </w:p>
    <w:p w14:paraId="23620D24" w14:textId="77777777" w:rsidR="0098230F" w:rsidRPr="00830F50" w:rsidRDefault="0098230F" w:rsidP="00C33A69">
      <w:pPr>
        <w:spacing w:line="276" w:lineRule="auto"/>
        <w:rPr>
          <w:rFonts w:ascii="Arial" w:eastAsia="Calibri" w:hAnsi="Arial" w:cs="Arial"/>
          <w:b/>
          <w:sz w:val="22"/>
        </w:rPr>
      </w:pPr>
    </w:p>
    <w:p w14:paraId="7BA41CF7" w14:textId="77777777" w:rsidR="002E06B3" w:rsidRDefault="002E06B3" w:rsidP="0093085B">
      <w:pPr>
        <w:jc w:val="both"/>
        <w:rPr>
          <w:rFonts w:ascii="Arial" w:hAnsi="Arial" w:cs="Arial"/>
          <w:b/>
          <w:bCs/>
          <w:sz w:val="22"/>
          <w:szCs w:val="22"/>
        </w:rPr>
      </w:pPr>
    </w:p>
    <w:p w14:paraId="0A9B66D5" w14:textId="77777777" w:rsidR="002E06B3" w:rsidRDefault="002E06B3" w:rsidP="0093085B">
      <w:pPr>
        <w:jc w:val="both"/>
        <w:rPr>
          <w:rFonts w:ascii="Arial" w:hAnsi="Arial" w:cs="Arial"/>
          <w:b/>
          <w:bCs/>
          <w:sz w:val="22"/>
          <w:szCs w:val="22"/>
        </w:rPr>
      </w:pPr>
    </w:p>
    <w:p w14:paraId="6CCB3064" w14:textId="77777777" w:rsidR="00D0123D" w:rsidRDefault="00D0123D" w:rsidP="0093085B">
      <w:pPr>
        <w:jc w:val="both"/>
        <w:rPr>
          <w:rFonts w:ascii="Arial" w:hAnsi="Arial" w:cs="Arial"/>
          <w:b/>
          <w:bCs/>
          <w:sz w:val="22"/>
          <w:szCs w:val="22"/>
        </w:rPr>
      </w:pPr>
    </w:p>
    <w:p w14:paraId="58FA372C" w14:textId="3DDA7FDD" w:rsidR="00D0123D" w:rsidRDefault="00D0123D" w:rsidP="0093085B">
      <w:pPr>
        <w:jc w:val="both"/>
        <w:rPr>
          <w:rFonts w:ascii="Arial" w:hAnsi="Arial" w:cs="Arial"/>
          <w:b/>
          <w:bCs/>
          <w:sz w:val="22"/>
          <w:szCs w:val="22"/>
        </w:rPr>
      </w:pPr>
    </w:p>
    <w:p w14:paraId="02682804" w14:textId="70D3D60D" w:rsidR="00340697" w:rsidRDefault="00340697" w:rsidP="0093085B">
      <w:pPr>
        <w:jc w:val="both"/>
        <w:rPr>
          <w:rFonts w:ascii="Arial" w:hAnsi="Arial" w:cs="Arial"/>
          <w:b/>
          <w:bCs/>
          <w:sz w:val="22"/>
          <w:szCs w:val="22"/>
        </w:rPr>
      </w:pPr>
    </w:p>
    <w:p w14:paraId="09C79E33" w14:textId="4A0CBD1B" w:rsidR="00340697" w:rsidRDefault="00340697" w:rsidP="0093085B">
      <w:pPr>
        <w:jc w:val="both"/>
        <w:rPr>
          <w:rFonts w:ascii="Arial" w:hAnsi="Arial" w:cs="Arial"/>
          <w:b/>
          <w:bCs/>
          <w:sz w:val="22"/>
          <w:szCs w:val="22"/>
        </w:rPr>
      </w:pPr>
    </w:p>
    <w:p w14:paraId="65BF7F96" w14:textId="7E8E81F8" w:rsidR="00340697" w:rsidRDefault="00340697" w:rsidP="0093085B">
      <w:pPr>
        <w:jc w:val="both"/>
        <w:rPr>
          <w:rFonts w:ascii="Arial" w:hAnsi="Arial" w:cs="Arial"/>
          <w:b/>
          <w:bCs/>
          <w:sz w:val="22"/>
          <w:szCs w:val="22"/>
        </w:rPr>
      </w:pPr>
    </w:p>
    <w:p w14:paraId="3C1CF730" w14:textId="3E43BC16" w:rsidR="00340697" w:rsidRDefault="00340697" w:rsidP="0093085B">
      <w:pPr>
        <w:jc w:val="both"/>
        <w:rPr>
          <w:rFonts w:ascii="Arial" w:hAnsi="Arial" w:cs="Arial"/>
          <w:b/>
          <w:bCs/>
          <w:sz w:val="22"/>
          <w:szCs w:val="22"/>
        </w:rPr>
      </w:pPr>
    </w:p>
    <w:p w14:paraId="4793750E" w14:textId="56FD0D8D" w:rsidR="00340697" w:rsidRDefault="00340697" w:rsidP="0093085B">
      <w:pPr>
        <w:jc w:val="both"/>
        <w:rPr>
          <w:rFonts w:ascii="Arial" w:hAnsi="Arial" w:cs="Arial"/>
          <w:b/>
          <w:bCs/>
          <w:sz w:val="22"/>
          <w:szCs w:val="22"/>
        </w:rPr>
      </w:pPr>
    </w:p>
    <w:p w14:paraId="44FDAE98" w14:textId="531FC4ED" w:rsidR="00340697" w:rsidRDefault="00340697" w:rsidP="0093085B">
      <w:pPr>
        <w:jc w:val="both"/>
        <w:rPr>
          <w:rFonts w:ascii="Arial" w:hAnsi="Arial" w:cs="Arial"/>
          <w:b/>
          <w:bCs/>
          <w:sz w:val="22"/>
          <w:szCs w:val="22"/>
        </w:rPr>
      </w:pPr>
    </w:p>
    <w:p w14:paraId="04D28B6C" w14:textId="1C3B611D" w:rsidR="00340697" w:rsidRDefault="00340697" w:rsidP="0093085B">
      <w:pPr>
        <w:jc w:val="both"/>
        <w:rPr>
          <w:rFonts w:ascii="Arial" w:hAnsi="Arial" w:cs="Arial"/>
          <w:b/>
          <w:bCs/>
          <w:sz w:val="22"/>
          <w:szCs w:val="22"/>
        </w:rPr>
      </w:pPr>
    </w:p>
    <w:p w14:paraId="2D0955D3" w14:textId="5A2E53A5" w:rsidR="00340697" w:rsidRDefault="00340697" w:rsidP="0093085B">
      <w:pPr>
        <w:jc w:val="both"/>
        <w:rPr>
          <w:rFonts w:ascii="Arial" w:hAnsi="Arial" w:cs="Arial"/>
          <w:b/>
          <w:bCs/>
          <w:sz w:val="22"/>
          <w:szCs w:val="22"/>
        </w:rPr>
      </w:pPr>
    </w:p>
    <w:p w14:paraId="3E4BD288" w14:textId="7DD89354" w:rsidR="00340697" w:rsidRDefault="00340697" w:rsidP="0093085B">
      <w:pPr>
        <w:jc w:val="both"/>
        <w:rPr>
          <w:rFonts w:ascii="Arial" w:hAnsi="Arial" w:cs="Arial"/>
          <w:b/>
          <w:bCs/>
          <w:sz w:val="22"/>
          <w:szCs w:val="22"/>
        </w:rPr>
      </w:pPr>
    </w:p>
    <w:p w14:paraId="7898FB3E" w14:textId="77777777" w:rsidR="00340697" w:rsidRDefault="00340697" w:rsidP="0093085B">
      <w:pPr>
        <w:jc w:val="both"/>
        <w:rPr>
          <w:rFonts w:ascii="Arial" w:hAnsi="Arial" w:cs="Arial"/>
          <w:b/>
          <w:bCs/>
          <w:sz w:val="22"/>
          <w:szCs w:val="22"/>
        </w:rPr>
      </w:pPr>
    </w:p>
    <w:p w14:paraId="0061F76A" w14:textId="495D557B" w:rsidR="00340697" w:rsidRDefault="00340697" w:rsidP="0093085B">
      <w:pPr>
        <w:jc w:val="both"/>
        <w:rPr>
          <w:rFonts w:ascii="Arial" w:hAnsi="Arial" w:cs="Arial"/>
          <w:b/>
          <w:bCs/>
          <w:sz w:val="22"/>
          <w:szCs w:val="22"/>
        </w:rPr>
      </w:pPr>
    </w:p>
    <w:p w14:paraId="1CA51D77" w14:textId="05680E90" w:rsidR="00340697" w:rsidRDefault="00340697" w:rsidP="0093085B">
      <w:pPr>
        <w:jc w:val="both"/>
        <w:rPr>
          <w:rFonts w:ascii="Arial" w:hAnsi="Arial" w:cs="Arial"/>
          <w:b/>
          <w:bCs/>
          <w:sz w:val="22"/>
          <w:szCs w:val="22"/>
        </w:rPr>
      </w:pPr>
    </w:p>
    <w:p w14:paraId="040363DD" w14:textId="77777777" w:rsidR="00340697" w:rsidRDefault="00340697" w:rsidP="0093085B">
      <w:pPr>
        <w:jc w:val="both"/>
        <w:rPr>
          <w:rFonts w:ascii="Arial" w:hAnsi="Arial" w:cs="Arial"/>
          <w:b/>
          <w:bCs/>
          <w:sz w:val="22"/>
          <w:szCs w:val="22"/>
        </w:rPr>
      </w:pPr>
    </w:p>
    <w:p w14:paraId="093A014A" w14:textId="096D65F3" w:rsidR="007A5777" w:rsidRPr="007A5777" w:rsidRDefault="007A5777" w:rsidP="006B35F1">
      <w:pPr>
        <w:jc w:val="right"/>
      </w:pPr>
      <w:r w:rsidRPr="007A5777">
        <w:lastRenderedPageBreak/>
        <w:fldChar w:fldCharType="begin"/>
      </w:r>
      <w:r w:rsidRPr="007A5777">
        <w:instrText xml:space="preserve"> INCLUDEPICTURE "/var/folders/tb/0fmk9b510f57pz5rwhv8lnpw0000gp/T/com.microsoft.Word/WebArchiveCopyPasteTempFiles/page1image31498160" \* MERGEFORMATINET </w:instrText>
      </w:r>
      <w:r w:rsidRPr="007A5777">
        <w:fldChar w:fldCharType="separate"/>
      </w:r>
      <w:r w:rsidRPr="007A5777">
        <w:rPr>
          <w:noProof/>
        </w:rPr>
        <w:drawing>
          <wp:inline distT="0" distB="0" distL="0" distR="0" wp14:anchorId="1B619266" wp14:editId="54C7A0B7">
            <wp:extent cx="2397125" cy="609600"/>
            <wp:effectExtent l="0" t="0" r="3175" b="0"/>
            <wp:docPr id="4" name="Imagen 4" descr="page1image31498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3149816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97125" cy="609600"/>
                    </a:xfrm>
                    <a:prstGeom prst="rect">
                      <a:avLst/>
                    </a:prstGeom>
                    <a:noFill/>
                    <a:ln>
                      <a:noFill/>
                    </a:ln>
                  </pic:spPr>
                </pic:pic>
              </a:graphicData>
            </a:graphic>
          </wp:inline>
        </w:drawing>
      </w:r>
      <w:r w:rsidRPr="007A5777">
        <w:fldChar w:fldCharType="end"/>
      </w:r>
    </w:p>
    <w:p w14:paraId="606A0E28" w14:textId="5FADFFC1" w:rsidR="005C180C" w:rsidRPr="00830F50" w:rsidRDefault="005C180C" w:rsidP="0093085B">
      <w:pPr>
        <w:jc w:val="both"/>
        <w:rPr>
          <w:rFonts w:ascii="Arial" w:hAnsi="Arial" w:cs="Arial"/>
          <w:b/>
          <w:bCs/>
        </w:rPr>
      </w:pPr>
    </w:p>
    <w:p w14:paraId="3139662E" w14:textId="77777777" w:rsidR="005C180C" w:rsidRPr="00830F50" w:rsidRDefault="005C180C" w:rsidP="0093085B">
      <w:pPr>
        <w:jc w:val="both"/>
        <w:rPr>
          <w:rFonts w:ascii="Arial" w:hAnsi="Arial" w:cs="Arial"/>
          <w:b/>
          <w:bCs/>
        </w:rPr>
      </w:pPr>
    </w:p>
    <w:p w14:paraId="67AC7ECE" w14:textId="53B50DA0" w:rsidR="00C33A69" w:rsidRPr="00830F50" w:rsidRDefault="00C33A69" w:rsidP="00C33A69">
      <w:pPr>
        <w:rPr>
          <w:rFonts w:ascii="Arial" w:eastAsia="Calibri" w:hAnsi="Arial" w:cs="Arial"/>
          <w:sz w:val="22"/>
        </w:rPr>
      </w:pPr>
      <w:r w:rsidRPr="00830F50">
        <w:rPr>
          <w:rFonts w:ascii="Arial" w:eastAsia="Calibri" w:hAnsi="Arial" w:cs="Arial"/>
          <w:sz w:val="22"/>
        </w:rPr>
        <w:t>Señor</w:t>
      </w:r>
    </w:p>
    <w:p w14:paraId="4F9DF387" w14:textId="487D6BB1" w:rsidR="003C1F96" w:rsidRPr="00830F50" w:rsidRDefault="006B35F1" w:rsidP="00C33A69">
      <w:pPr>
        <w:rPr>
          <w:rFonts w:ascii="Arial" w:eastAsia="Calibri" w:hAnsi="Arial" w:cs="Arial"/>
          <w:b/>
          <w:bCs/>
          <w:sz w:val="22"/>
        </w:rPr>
      </w:pPr>
      <w:r>
        <w:rPr>
          <w:rFonts w:ascii="Arial" w:eastAsia="Calibri" w:hAnsi="Arial" w:cs="Arial"/>
          <w:b/>
          <w:bCs/>
          <w:sz w:val="22"/>
        </w:rPr>
        <w:t xml:space="preserve">Carlos Andrés Ruiz González </w:t>
      </w:r>
    </w:p>
    <w:p w14:paraId="3BB8E2E5" w14:textId="49ECF8AC" w:rsidR="00C33A69" w:rsidRPr="00830F50" w:rsidRDefault="005C180C" w:rsidP="00C33A69">
      <w:pPr>
        <w:rPr>
          <w:rFonts w:ascii="Arial" w:eastAsia="Calibri" w:hAnsi="Arial" w:cs="Arial"/>
          <w:sz w:val="22"/>
        </w:rPr>
      </w:pPr>
      <w:r w:rsidRPr="00830F50">
        <w:rPr>
          <w:rFonts w:ascii="Arial" w:eastAsia="Calibri" w:hAnsi="Arial" w:cs="Arial"/>
          <w:sz w:val="22"/>
        </w:rPr>
        <w:t>Bogotá, D.C</w:t>
      </w:r>
      <w:r w:rsidR="00052D69" w:rsidRPr="00830F50">
        <w:rPr>
          <w:rFonts w:ascii="Arial" w:eastAsia="Calibri" w:hAnsi="Arial" w:cs="Arial"/>
          <w:sz w:val="22"/>
        </w:rPr>
        <w:t>.</w:t>
      </w:r>
      <w:r w:rsidRPr="00830F50">
        <w:rPr>
          <w:rFonts w:ascii="Arial" w:eastAsia="Calibri" w:hAnsi="Arial" w:cs="Arial"/>
          <w:sz w:val="22"/>
        </w:rPr>
        <w:t xml:space="preserve"> </w:t>
      </w:r>
    </w:p>
    <w:p w14:paraId="3EE54747" w14:textId="3317939C" w:rsidR="00C33A69" w:rsidRDefault="00C33A69" w:rsidP="00C33A69">
      <w:pPr>
        <w:rPr>
          <w:rFonts w:ascii="Arial" w:eastAsia="Calibri" w:hAnsi="Arial" w:cs="Arial"/>
          <w:sz w:val="22"/>
        </w:rPr>
      </w:pPr>
    </w:p>
    <w:p w14:paraId="2A86985F" w14:textId="77777777" w:rsidR="002E06B3" w:rsidRPr="00830F50" w:rsidRDefault="002E06B3" w:rsidP="00C33A69">
      <w:pPr>
        <w:rPr>
          <w:rFonts w:ascii="Arial" w:eastAsia="Calibri" w:hAnsi="Arial" w:cs="Arial"/>
          <w:sz w:val="22"/>
        </w:rPr>
      </w:pPr>
    </w:p>
    <w:p w14:paraId="5A1EF225" w14:textId="77777777" w:rsidR="00667FCB" w:rsidRPr="00830F50" w:rsidRDefault="00667FCB" w:rsidP="00667FCB">
      <w:pPr>
        <w:rPr>
          <w:rFonts w:ascii="Arial" w:eastAsia="Calibri" w:hAnsi="Arial" w:cs="Arial"/>
          <w:b/>
          <w:sz w:val="22"/>
        </w:rPr>
      </w:pPr>
    </w:p>
    <w:p w14:paraId="110710E1" w14:textId="1776BA1B" w:rsidR="00C33A69" w:rsidRPr="00830F50" w:rsidRDefault="00C33A69" w:rsidP="00052D69">
      <w:pPr>
        <w:ind w:left="2124" w:firstLine="570"/>
        <w:rPr>
          <w:rFonts w:ascii="Arial" w:eastAsia="Calibri" w:hAnsi="Arial" w:cs="Arial"/>
          <w:b/>
          <w:sz w:val="22"/>
        </w:rPr>
      </w:pPr>
      <w:r w:rsidRPr="00830F50">
        <w:rPr>
          <w:rFonts w:ascii="Arial" w:eastAsia="Calibri" w:hAnsi="Arial" w:cs="Arial"/>
          <w:b/>
          <w:sz w:val="22"/>
        </w:rPr>
        <w:t>Concepto C</w:t>
      </w:r>
      <w:r w:rsidR="0098230F" w:rsidRPr="00830F50">
        <w:rPr>
          <w:rFonts w:ascii="Arial" w:eastAsia="Calibri" w:hAnsi="Arial" w:cs="Arial"/>
          <w:b/>
          <w:sz w:val="22"/>
        </w:rPr>
        <w:t>–</w:t>
      </w:r>
      <w:r w:rsidR="005C180C" w:rsidRPr="00830F50">
        <w:rPr>
          <w:rFonts w:ascii="Arial" w:eastAsia="Calibri" w:hAnsi="Arial" w:cs="Arial"/>
          <w:b/>
          <w:sz w:val="22"/>
        </w:rPr>
        <w:t>411</w:t>
      </w:r>
      <w:r w:rsidRPr="00830F50">
        <w:rPr>
          <w:rFonts w:ascii="Arial" w:eastAsia="Calibri" w:hAnsi="Arial" w:cs="Arial"/>
          <w:b/>
          <w:sz w:val="22"/>
        </w:rPr>
        <w:t xml:space="preserve"> de 2021 </w:t>
      </w:r>
    </w:p>
    <w:p w14:paraId="571F3AEA" w14:textId="0890400B" w:rsidR="00C33A69" w:rsidRDefault="00C33A69" w:rsidP="00C33A69">
      <w:pPr>
        <w:jc w:val="center"/>
        <w:rPr>
          <w:rFonts w:ascii="Arial" w:eastAsia="Calibri" w:hAnsi="Arial" w:cs="Arial"/>
          <w:b/>
          <w:sz w:val="22"/>
        </w:rPr>
      </w:pPr>
    </w:p>
    <w:p w14:paraId="20F59D12" w14:textId="77777777" w:rsidR="002E06B3" w:rsidRPr="00830F50" w:rsidRDefault="002E06B3" w:rsidP="00C33A69">
      <w:pPr>
        <w:jc w:val="center"/>
        <w:rPr>
          <w:rFonts w:ascii="Arial" w:eastAsia="Calibri" w:hAnsi="Arial" w:cs="Arial"/>
          <w:b/>
          <w:sz w:val="22"/>
        </w:rPr>
      </w:pPr>
    </w:p>
    <w:p w14:paraId="5530D2AD" w14:textId="77777777" w:rsidR="00667FCB" w:rsidRPr="00830F50" w:rsidRDefault="00667FCB" w:rsidP="00C33A69">
      <w:pPr>
        <w:jc w:val="center"/>
        <w:rPr>
          <w:rFonts w:ascii="Arial" w:eastAsia="Calibri" w:hAnsi="Arial" w:cs="Arial"/>
          <w:b/>
          <w:sz w:val="22"/>
        </w:rPr>
      </w:pPr>
    </w:p>
    <w:tbl>
      <w:tblPr>
        <w:tblStyle w:val="Tablaconcuadrcul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525"/>
      </w:tblGrid>
      <w:tr w:rsidR="00830F50" w:rsidRPr="00830F50" w14:paraId="098B1F4D" w14:textId="77777777" w:rsidTr="00052D69">
        <w:trPr>
          <w:trHeight w:val="423"/>
        </w:trPr>
        <w:tc>
          <w:tcPr>
            <w:tcW w:w="2689" w:type="dxa"/>
          </w:tcPr>
          <w:p w14:paraId="5400FE7E" w14:textId="77777777" w:rsidR="00C33A69" w:rsidRPr="00830F50" w:rsidRDefault="00C33A69" w:rsidP="007C6F1C">
            <w:pPr>
              <w:rPr>
                <w:rFonts w:ascii="Arial" w:eastAsia="Calibri" w:hAnsi="Arial" w:cs="Arial"/>
              </w:rPr>
            </w:pPr>
            <w:r w:rsidRPr="00830F50">
              <w:rPr>
                <w:rFonts w:ascii="Arial" w:eastAsia="Calibri" w:hAnsi="Arial" w:cs="Arial"/>
                <w:b/>
              </w:rPr>
              <w:t>Temas:</w:t>
            </w:r>
            <w:r w:rsidRPr="00830F50">
              <w:rPr>
                <w:rFonts w:ascii="Arial" w:eastAsia="Calibri" w:hAnsi="Arial" w:cs="Arial"/>
              </w:rPr>
              <w:t xml:space="preserve">                                      </w:t>
            </w:r>
          </w:p>
        </w:tc>
        <w:tc>
          <w:tcPr>
            <w:tcW w:w="6525" w:type="dxa"/>
          </w:tcPr>
          <w:p w14:paraId="1073C10A" w14:textId="2ACB2631" w:rsidR="0093085B" w:rsidRDefault="003738E5" w:rsidP="00052D69">
            <w:pPr>
              <w:spacing w:line="276" w:lineRule="auto"/>
              <w:jc w:val="both"/>
              <w:rPr>
                <w:rFonts w:ascii="Arial" w:eastAsia="Calibri" w:hAnsi="Arial" w:cs="Arial"/>
                <w:bCs/>
              </w:rPr>
            </w:pPr>
            <w:r w:rsidRPr="00830F50">
              <w:rPr>
                <w:rFonts w:ascii="Arial" w:eastAsia="Calibri" w:hAnsi="Arial" w:cs="Arial"/>
                <w:bCs/>
              </w:rPr>
              <w:t xml:space="preserve">CONTRATO ESTATAL – </w:t>
            </w:r>
            <w:r w:rsidR="009B027C">
              <w:rPr>
                <w:rFonts w:ascii="Arial" w:eastAsia="Calibri" w:hAnsi="Arial" w:cs="Arial"/>
                <w:bCs/>
              </w:rPr>
              <w:t>Control y vigilancia</w:t>
            </w:r>
            <w:r w:rsidRPr="00830F50">
              <w:rPr>
                <w:rFonts w:ascii="Arial" w:eastAsia="Calibri" w:hAnsi="Arial" w:cs="Arial"/>
                <w:bCs/>
              </w:rPr>
              <w:t xml:space="preserve"> / </w:t>
            </w:r>
            <w:r w:rsidR="009B027C">
              <w:rPr>
                <w:rFonts w:ascii="Arial" w:eastAsia="Calibri" w:hAnsi="Arial" w:cs="Arial"/>
                <w:bCs/>
              </w:rPr>
              <w:t xml:space="preserve">/ </w:t>
            </w:r>
            <w:r w:rsidR="009B027C" w:rsidRPr="00830F50">
              <w:rPr>
                <w:rFonts w:ascii="Arial" w:eastAsia="Calibri" w:hAnsi="Arial" w:cs="Arial"/>
                <w:bCs/>
              </w:rPr>
              <w:t>INTERVENTORIA - Adición de la interventoría</w:t>
            </w:r>
          </w:p>
          <w:p w14:paraId="61836A1F" w14:textId="65C34D27" w:rsidR="00340697" w:rsidRPr="00830F50" w:rsidRDefault="00340697" w:rsidP="00052D69">
            <w:pPr>
              <w:spacing w:line="276" w:lineRule="auto"/>
              <w:jc w:val="both"/>
              <w:rPr>
                <w:rFonts w:ascii="Arial" w:eastAsia="Calibri" w:hAnsi="Arial" w:cs="Arial"/>
                <w:bCs/>
              </w:rPr>
            </w:pPr>
          </w:p>
        </w:tc>
      </w:tr>
      <w:tr w:rsidR="00C33A69" w:rsidRPr="00830F50" w14:paraId="7050D2D2" w14:textId="77777777" w:rsidTr="009B1654">
        <w:tc>
          <w:tcPr>
            <w:tcW w:w="2689" w:type="dxa"/>
          </w:tcPr>
          <w:p w14:paraId="393C8000" w14:textId="77777777" w:rsidR="00C33A69" w:rsidRPr="00830F50" w:rsidRDefault="00C33A69" w:rsidP="007C6F1C">
            <w:pPr>
              <w:rPr>
                <w:rFonts w:ascii="Arial" w:eastAsia="Calibri" w:hAnsi="Arial" w:cs="Arial"/>
              </w:rPr>
            </w:pPr>
            <w:r w:rsidRPr="00830F50">
              <w:rPr>
                <w:rFonts w:ascii="Arial" w:eastAsia="Calibri" w:hAnsi="Arial" w:cs="Arial"/>
                <w:b/>
              </w:rPr>
              <w:t>Radicación:</w:t>
            </w:r>
            <w:r w:rsidRPr="00830F50">
              <w:rPr>
                <w:rFonts w:ascii="Arial" w:eastAsia="Calibri" w:hAnsi="Arial" w:cs="Arial"/>
              </w:rPr>
              <w:t xml:space="preserve">                              </w:t>
            </w:r>
          </w:p>
        </w:tc>
        <w:tc>
          <w:tcPr>
            <w:tcW w:w="6525" w:type="dxa"/>
          </w:tcPr>
          <w:p w14:paraId="61074E39" w14:textId="695F34DD" w:rsidR="00C33A69" w:rsidRPr="00830F50" w:rsidRDefault="00C33A69" w:rsidP="007C6F1C">
            <w:pPr>
              <w:rPr>
                <w:rFonts w:ascii="Arial" w:eastAsia="Calibri" w:hAnsi="Arial" w:cs="Arial"/>
              </w:rPr>
            </w:pPr>
            <w:r w:rsidRPr="00830F50">
              <w:rPr>
                <w:rFonts w:ascii="Arial" w:eastAsia="Calibri" w:hAnsi="Arial" w:cs="Arial"/>
              </w:rPr>
              <w:t>Respuesta a consulta P20210</w:t>
            </w:r>
            <w:r w:rsidR="005C180C" w:rsidRPr="00830F50">
              <w:rPr>
                <w:rFonts w:ascii="Arial" w:eastAsia="Calibri" w:hAnsi="Arial" w:cs="Arial"/>
              </w:rPr>
              <w:t>701005779</w:t>
            </w:r>
          </w:p>
        </w:tc>
      </w:tr>
    </w:tbl>
    <w:p w14:paraId="67B4B4A1" w14:textId="77777777" w:rsidR="00C33A69" w:rsidRPr="00830F50" w:rsidRDefault="00C33A69" w:rsidP="00C33A69">
      <w:pPr>
        <w:spacing w:line="276" w:lineRule="auto"/>
        <w:rPr>
          <w:rFonts w:ascii="Arial" w:eastAsia="Calibri" w:hAnsi="Arial" w:cs="Arial"/>
          <w:sz w:val="22"/>
        </w:rPr>
      </w:pPr>
    </w:p>
    <w:p w14:paraId="1A826586" w14:textId="0997826D" w:rsidR="00C33A69" w:rsidRDefault="00C33A69" w:rsidP="00C33A69">
      <w:pPr>
        <w:spacing w:line="276" w:lineRule="auto"/>
        <w:rPr>
          <w:rFonts w:ascii="Arial" w:eastAsia="Calibri" w:hAnsi="Arial" w:cs="Arial"/>
          <w:sz w:val="22"/>
        </w:rPr>
      </w:pPr>
    </w:p>
    <w:p w14:paraId="14733CA2" w14:textId="77777777" w:rsidR="002E06B3" w:rsidRPr="00830F50" w:rsidRDefault="002E06B3" w:rsidP="00C33A69">
      <w:pPr>
        <w:spacing w:line="276" w:lineRule="auto"/>
        <w:rPr>
          <w:rFonts w:ascii="Arial" w:eastAsia="Calibri" w:hAnsi="Arial" w:cs="Arial"/>
          <w:sz w:val="22"/>
        </w:rPr>
      </w:pPr>
    </w:p>
    <w:p w14:paraId="177D81C6" w14:textId="29378CD2" w:rsidR="00C33A69" w:rsidRPr="00830F50" w:rsidRDefault="00C33A69" w:rsidP="00C33A69">
      <w:pPr>
        <w:tabs>
          <w:tab w:val="left" w:pos="3736"/>
        </w:tabs>
        <w:spacing w:line="276" w:lineRule="auto"/>
        <w:rPr>
          <w:rFonts w:ascii="Arial" w:eastAsia="Calibri" w:hAnsi="Arial" w:cs="Arial"/>
          <w:sz w:val="22"/>
        </w:rPr>
      </w:pPr>
      <w:r w:rsidRPr="00830F50">
        <w:rPr>
          <w:rFonts w:ascii="Arial" w:eastAsia="Calibri" w:hAnsi="Arial" w:cs="Arial"/>
          <w:sz w:val="22"/>
        </w:rPr>
        <w:t>Estimad</w:t>
      </w:r>
      <w:r w:rsidR="005C180C" w:rsidRPr="00830F50">
        <w:rPr>
          <w:rFonts w:ascii="Arial" w:eastAsia="Calibri" w:hAnsi="Arial" w:cs="Arial"/>
          <w:sz w:val="22"/>
        </w:rPr>
        <w:t xml:space="preserve">o </w:t>
      </w:r>
      <w:r w:rsidRPr="00830F50">
        <w:rPr>
          <w:rFonts w:ascii="Arial" w:eastAsia="Calibri" w:hAnsi="Arial" w:cs="Arial"/>
          <w:sz w:val="22"/>
        </w:rPr>
        <w:t>seño</w:t>
      </w:r>
      <w:r w:rsidR="007A5777">
        <w:rPr>
          <w:rFonts w:ascii="Arial" w:eastAsia="Calibri" w:hAnsi="Arial" w:cs="Arial"/>
          <w:sz w:val="22"/>
        </w:rPr>
        <w:t>r</w:t>
      </w:r>
      <w:r w:rsidR="006B35F1">
        <w:rPr>
          <w:rFonts w:ascii="Arial" w:eastAsia="Calibri" w:hAnsi="Arial" w:cs="Arial"/>
          <w:sz w:val="22"/>
        </w:rPr>
        <w:t xml:space="preserve"> Ruiz</w:t>
      </w:r>
      <w:r w:rsidRPr="00830F50">
        <w:rPr>
          <w:rFonts w:ascii="Arial" w:eastAsia="Calibri" w:hAnsi="Arial" w:cs="Arial"/>
          <w:sz w:val="22"/>
        </w:rPr>
        <w:t>,</w:t>
      </w:r>
      <w:r w:rsidRPr="00830F50">
        <w:rPr>
          <w:rFonts w:ascii="Arial" w:eastAsia="Calibri" w:hAnsi="Arial" w:cs="Arial"/>
          <w:sz w:val="22"/>
        </w:rPr>
        <w:tab/>
      </w:r>
    </w:p>
    <w:p w14:paraId="44E85655" w14:textId="77777777" w:rsidR="00C33A69" w:rsidRPr="00830F50" w:rsidRDefault="00C33A69" w:rsidP="00C33A69">
      <w:pPr>
        <w:spacing w:line="276" w:lineRule="auto"/>
        <w:rPr>
          <w:rFonts w:ascii="Arial" w:eastAsia="Calibri" w:hAnsi="Arial" w:cs="Arial"/>
          <w:sz w:val="22"/>
        </w:rPr>
      </w:pPr>
    </w:p>
    <w:p w14:paraId="2044C6B5" w14:textId="08E6876D" w:rsidR="00C33A69" w:rsidRPr="00830F50" w:rsidRDefault="00C33A69" w:rsidP="00C33A69">
      <w:pPr>
        <w:spacing w:line="276" w:lineRule="auto"/>
        <w:jc w:val="both"/>
        <w:rPr>
          <w:rFonts w:ascii="Arial" w:eastAsia="Calibri" w:hAnsi="Arial" w:cs="Arial"/>
          <w:sz w:val="22"/>
        </w:rPr>
      </w:pPr>
      <w:r w:rsidRPr="00830F50">
        <w:rPr>
          <w:rFonts w:ascii="Arial" w:eastAsia="Calibri" w:hAnsi="Arial" w:cs="Arial"/>
          <w:sz w:val="22"/>
        </w:rPr>
        <w:t xml:space="preserve">La Agencia Nacional de Contratación Pública </w:t>
      </w:r>
      <w:r w:rsidR="00E1095A">
        <w:rPr>
          <w:rFonts w:ascii="Arial" w:eastAsia="Calibri" w:hAnsi="Arial" w:cs="Arial"/>
          <w:sz w:val="22"/>
        </w:rPr>
        <w:t xml:space="preserve">– </w:t>
      </w:r>
      <w:r w:rsidRPr="00830F50">
        <w:rPr>
          <w:rFonts w:ascii="Arial" w:eastAsia="Calibri" w:hAnsi="Arial" w:cs="Arial"/>
          <w:sz w:val="22"/>
        </w:rPr>
        <w:t xml:space="preserve">Colombia Compra Eficiente responde a su consulta del </w:t>
      </w:r>
      <w:r w:rsidR="005C180C" w:rsidRPr="00830F50">
        <w:rPr>
          <w:rFonts w:ascii="Arial" w:eastAsia="Calibri" w:hAnsi="Arial" w:cs="Arial"/>
          <w:sz w:val="22"/>
        </w:rPr>
        <w:t>1 de julio</w:t>
      </w:r>
      <w:r w:rsidR="005621EE" w:rsidRPr="00830F50">
        <w:rPr>
          <w:rFonts w:ascii="Arial" w:eastAsia="Calibri" w:hAnsi="Arial" w:cs="Arial"/>
          <w:sz w:val="22"/>
        </w:rPr>
        <w:t xml:space="preserve"> de 2021</w:t>
      </w:r>
      <w:r w:rsidRPr="00830F50">
        <w:rPr>
          <w:rFonts w:ascii="Arial" w:eastAsia="Calibri" w:hAnsi="Arial" w:cs="Arial"/>
          <w:sz w:val="22"/>
        </w:rPr>
        <w:t xml:space="preserve">, en ejercicio de la competencia otorgada por el numeral 8 del artículo 11 y el numeral 5 del artículo 3 del Decreto Ley 4170 de 2011. </w:t>
      </w:r>
    </w:p>
    <w:p w14:paraId="0987E0B4" w14:textId="77777777" w:rsidR="00C33A69" w:rsidRPr="00830F50" w:rsidRDefault="00C33A69" w:rsidP="00C33A69">
      <w:pPr>
        <w:pStyle w:val="Prrafodelista"/>
        <w:spacing w:line="276" w:lineRule="auto"/>
        <w:ind w:left="0"/>
        <w:rPr>
          <w:rFonts w:ascii="Arial" w:eastAsia="Calibri" w:hAnsi="Arial" w:cs="Arial"/>
          <w:sz w:val="22"/>
        </w:rPr>
      </w:pPr>
    </w:p>
    <w:p w14:paraId="6238CC02" w14:textId="5C902F55" w:rsidR="003C1F96" w:rsidRPr="00830F50" w:rsidRDefault="00C33A69" w:rsidP="008B79F9">
      <w:pPr>
        <w:pStyle w:val="Prrafodelista"/>
        <w:numPr>
          <w:ilvl w:val="0"/>
          <w:numId w:val="11"/>
        </w:numPr>
        <w:tabs>
          <w:tab w:val="left" w:pos="0"/>
        </w:tabs>
        <w:spacing w:line="276" w:lineRule="auto"/>
        <w:jc w:val="both"/>
        <w:rPr>
          <w:rFonts w:ascii="Arial" w:eastAsia="Calibri" w:hAnsi="Arial" w:cs="Arial"/>
          <w:b/>
          <w:sz w:val="22"/>
        </w:rPr>
      </w:pPr>
      <w:r w:rsidRPr="00830F50">
        <w:rPr>
          <w:rFonts w:ascii="Arial" w:eastAsia="Calibri" w:hAnsi="Arial" w:cs="Arial"/>
          <w:b/>
          <w:sz w:val="22"/>
        </w:rPr>
        <w:t>Problemas planteados</w:t>
      </w:r>
    </w:p>
    <w:p w14:paraId="77236A27" w14:textId="48135C68" w:rsidR="00F3681E" w:rsidRPr="00830F50" w:rsidRDefault="00C33A69" w:rsidP="008B79F9">
      <w:pPr>
        <w:pStyle w:val="NormalWeb"/>
        <w:spacing w:line="276" w:lineRule="auto"/>
        <w:jc w:val="both"/>
        <w:rPr>
          <w:rFonts w:ascii="Arial" w:eastAsia="Calibri" w:hAnsi="Arial" w:cs="Arial"/>
          <w:sz w:val="22"/>
          <w:szCs w:val="22"/>
        </w:rPr>
      </w:pPr>
      <w:r w:rsidRPr="00830F50">
        <w:rPr>
          <w:rFonts w:ascii="Arial" w:eastAsia="Calibri" w:hAnsi="Arial" w:cs="Arial"/>
          <w:sz w:val="22"/>
          <w:szCs w:val="22"/>
        </w:rPr>
        <w:t xml:space="preserve">Usted formula </w:t>
      </w:r>
      <w:r w:rsidR="003C1F96" w:rsidRPr="00830F50">
        <w:rPr>
          <w:rFonts w:ascii="Arial" w:eastAsia="Calibri" w:hAnsi="Arial" w:cs="Arial"/>
          <w:sz w:val="22"/>
          <w:szCs w:val="22"/>
        </w:rPr>
        <w:t xml:space="preserve">la siguiente </w:t>
      </w:r>
      <w:r w:rsidR="005C180C" w:rsidRPr="00830F50">
        <w:rPr>
          <w:rFonts w:ascii="Arial" w:eastAsia="Calibri" w:hAnsi="Arial" w:cs="Arial"/>
          <w:sz w:val="22"/>
          <w:szCs w:val="22"/>
        </w:rPr>
        <w:t>pregunta</w:t>
      </w:r>
      <w:r w:rsidR="003C1F96" w:rsidRPr="00830F50">
        <w:rPr>
          <w:rFonts w:ascii="Arial" w:eastAsia="Calibri" w:hAnsi="Arial" w:cs="Arial"/>
          <w:sz w:val="22"/>
          <w:szCs w:val="22"/>
        </w:rPr>
        <w:t>:</w:t>
      </w:r>
      <w:r w:rsidR="005C180C" w:rsidRPr="00830F50">
        <w:rPr>
          <w:rFonts w:ascii="Arial" w:eastAsia="Calibri" w:hAnsi="Arial" w:cs="Arial"/>
          <w:sz w:val="22"/>
          <w:szCs w:val="22"/>
        </w:rPr>
        <w:t xml:space="preserve"> </w:t>
      </w:r>
      <w:r w:rsidR="00F3681E" w:rsidRPr="00830F50">
        <w:rPr>
          <w:rFonts w:ascii="Arial" w:eastAsia="Calibri" w:hAnsi="Arial" w:cs="Arial"/>
          <w:sz w:val="22"/>
          <w:szCs w:val="22"/>
        </w:rPr>
        <w:t>«</w:t>
      </w:r>
      <w:r w:rsidR="005C180C" w:rsidRPr="00830F50">
        <w:rPr>
          <w:rFonts w:ascii="Arial" w:eastAsia="Calibri" w:hAnsi="Arial" w:cs="Arial"/>
          <w:sz w:val="22"/>
          <w:szCs w:val="22"/>
        </w:rPr>
        <w:t>¿</w:t>
      </w:r>
      <w:r w:rsidR="005C180C" w:rsidRPr="00830F50">
        <w:rPr>
          <w:rFonts w:ascii="Arial" w:hAnsi="Arial" w:cs="Arial"/>
          <w:sz w:val="22"/>
          <w:szCs w:val="22"/>
          <w:bdr w:val="none" w:sz="0" w:space="0" w:color="auto" w:frame="1"/>
        </w:rPr>
        <w:t>Resultan aplicables los fenómenos de prorroga y adición por más del 50% a los contratos interadministrativos de interventoría.</w:t>
      </w:r>
      <w:r w:rsidR="003738E5" w:rsidRPr="00830F50">
        <w:rPr>
          <w:rFonts w:ascii="Arial" w:hAnsi="Arial" w:cs="Arial"/>
          <w:sz w:val="22"/>
          <w:szCs w:val="22"/>
          <w:bdr w:val="none" w:sz="0" w:space="0" w:color="auto" w:frame="1"/>
        </w:rPr>
        <w:t xml:space="preserve"> (sic)</w:t>
      </w:r>
      <w:r w:rsidR="005C180C" w:rsidRPr="00830F50">
        <w:rPr>
          <w:rFonts w:ascii="Arial" w:hAnsi="Arial" w:cs="Arial"/>
          <w:sz w:val="22"/>
          <w:szCs w:val="22"/>
          <w:bdr w:val="none" w:sz="0" w:space="0" w:color="auto" w:frame="1"/>
        </w:rPr>
        <w:t xml:space="preserve"> Conforme lo dispuesto en el primer inciso del artículo 85 de la Ley 1474 de 2011</w:t>
      </w:r>
      <w:r w:rsidR="005C180C" w:rsidRPr="00830F50">
        <w:rPr>
          <w:rFonts w:ascii="Arial" w:hAnsi="Arial" w:cs="Arial"/>
          <w:sz w:val="22"/>
          <w:szCs w:val="22"/>
        </w:rPr>
        <w:t>?</w:t>
      </w:r>
      <w:r w:rsidR="00F3681E" w:rsidRPr="00830F50">
        <w:rPr>
          <w:rFonts w:ascii="Arial" w:eastAsia="Calibri" w:hAnsi="Arial" w:cs="Arial"/>
          <w:sz w:val="22"/>
          <w:szCs w:val="22"/>
        </w:rPr>
        <w:t xml:space="preserve">». </w:t>
      </w:r>
    </w:p>
    <w:p w14:paraId="0FCD980D" w14:textId="2BF3B09B" w:rsidR="00C33A69" w:rsidRPr="00830F50" w:rsidRDefault="00C33A69" w:rsidP="008B79F9">
      <w:pPr>
        <w:pStyle w:val="Prrafodelista"/>
        <w:numPr>
          <w:ilvl w:val="0"/>
          <w:numId w:val="11"/>
        </w:numPr>
        <w:rPr>
          <w:rFonts w:ascii="Arial" w:eastAsia="Calibri" w:hAnsi="Arial" w:cs="Arial"/>
          <w:sz w:val="22"/>
        </w:rPr>
      </w:pPr>
      <w:r w:rsidRPr="00830F50">
        <w:rPr>
          <w:rFonts w:ascii="Arial" w:eastAsia="Calibri" w:hAnsi="Arial" w:cs="Arial"/>
          <w:b/>
          <w:sz w:val="22"/>
        </w:rPr>
        <w:t>Consideraciones</w:t>
      </w:r>
    </w:p>
    <w:p w14:paraId="099E4395" w14:textId="77777777" w:rsidR="00C33A69" w:rsidRPr="00830F50" w:rsidRDefault="00C33A69" w:rsidP="00843442">
      <w:pPr>
        <w:pStyle w:val="Prrafodelista"/>
        <w:ind w:left="284"/>
        <w:jc w:val="both"/>
        <w:rPr>
          <w:rFonts w:ascii="Arial" w:eastAsia="Calibri" w:hAnsi="Arial" w:cs="Arial"/>
          <w:sz w:val="22"/>
        </w:rPr>
      </w:pPr>
    </w:p>
    <w:p w14:paraId="1581C8B9" w14:textId="1F7E75EE" w:rsidR="005C180C" w:rsidRPr="00830F50" w:rsidRDefault="00C33A69" w:rsidP="00FC3697">
      <w:pPr>
        <w:spacing w:before="120" w:after="120" w:line="276" w:lineRule="auto"/>
        <w:jc w:val="both"/>
        <w:rPr>
          <w:rFonts w:eastAsia="Calibri"/>
          <w:b/>
          <w:sz w:val="22"/>
          <w:szCs w:val="22"/>
        </w:rPr>
      </w:pPr>
      <w:r w:rsidRPr="00830F50">
        <w:rPr>
          <w:rFonts w:ascii="Arial" w:eastAsia="Calibri" w:hAnsi="Arial" w:cs="Arial"/>
          <w:sz w:val="22"/>
        </w:rPr>
        <w:t xml:space="preserve">Para </w:t>
      </w:r>
      <w:r w:rsidR="00830F50" w:rsidRPr="00830F50">
        <w:rPr>
          <w:rFonts w:ascii="Arial" w:eastAsia="Calibri" w:hAnsi="Arial" w:cs="Arial"/>
          <w:sz w:val="22"/>
        </w:rPr>
        <w:t>resolver</w:t>
      </w:r>
      <w:r w:rsidRPr="00830F50">
        <w:rPr>
          <w:rFonts w:ascii="Arial" w:eastAsia="Calibri" w:hAnsi="Arial" w:cs="Arial"/>
          <w:sz w:val="22"/>
        </w:rPr>
        <w:t xml:space="preserve"> </w:t>
      </w:r>
      <w:r w:rsidR="004903B7" w:rsidRPr="00830F50">
        <w:rPr>
          <w:rFonts w:ascii="Arial" w:eastAsia="Calibri" w:hAnsi="Arial" w:cs="Arial"/>
          <w:sz w:val="22"/>
        </w:rPr>
        <w:t xml:space="preserve">el problema </w:t>
      </w:r>
      <w:r w:rsidRPr="00830F50">
        <w:rPr>
          <w:rFonts w:ascii="Arial" w:eastAsia="Calibri" w:hAnsi="Arial" w:cs="Arial"/>
          <w:sz w:val="22"/>
        </w:rPr>
        <w:t>plantead</w:t>
      </w:r>
      <w:r w:rsidR="00F3681E" w:rsidRPr="00830F50">
        <w:rPr>
          <w:rFonts w:ascii="Arial" w:eastAsia="Calibri" w:hAnsi="Arial" w:cs="Arial"/>
          <w:sz w:val="22"/>
        </w:rPr>
        <w:t>o</w:t>
      </w:r>
      <w:r w:rsidRPr="00830F50">
        <w:rPr>
          <w:rFonts w:ascii="Arial" w:eastAsia="Calibri" w:hAnsi="Arial" w:cs="Arial"/>
          <w:sz w:val="22"/>
        </w:rPr>
        <w:t xml:space="preserve"> se </w:t>
      </w:r>
      <w:r w:rsidR="00830F50" w:rsidRPr="00830F50">
        <w:rPr>
          <w:rFonts w:ascii="Arial" w:eastAsia="Calibri" w:hAnsi="Arial" w:cs="Arial"/>
          <w:sz w:val="22"/>
        </w:rPr>
        <w:t>abordarán los siguientes temas</w:t>
      </w:r>
      <w:r w:rsidR="0061648F" w:rsidRPr="00830F50">
        <w:rPr>
          <w:rFonts w:ascii="Arial" w:eastAsia="Calibri" w:hAnsi="Arial" w:cs="Arial"/>
          <w:sz w:val="22"/>
        </w:rPr>
        <w:t>:</w:t>
      </w:r>
      <w:r w:rsidRPr="00830F50">
        <w:rPr>
          <w:rFonts w:ascii="Arial" w:eastAsia="Calibri" w:hAnsi="Arial" w:cs="Arial"/>
          <w:sz w:val="22"/>
        </w:rPr>
        <w:t xml:space="preserve"> </w:t>
      </w:r>
      <w:r w:rsidR="005C180C" w:rsidRPr="00830F50">
        <w:rPr>
          <w:rFonts w:ascii="Arial" w:eastAsia="Calibri" w:hAnsi="Arial" w:cs="Arial"/>
          <w:sz w:val="22"/>
        </w:rPr>
        <w:t>i)</w:t>
      </w:r>
      <w:r w:rsidR="00830F50" w:rsidRPr="00830F50">
        <w:rPr>
          <w:rFonts w:ascii="Arial" w:eastAsia="Calibri" w:hAnsi="Arial" w:cs="Arial"/>
          <w:sz w:val="22"/>
        </w:rPr>
        <w:t xml:space="preserve"> la</w:t>
      </w:r>
      <w:r w:rsidR="005C180C" w:rsidRPr="00830F50">
        <w:rPr>
          <w:rFonts w:ascii="Arial" w:eastAsia="Calibri" w:hAnsi="Arial" w:cs="Arial"/>
          <w:sz w:val="22"/>
        </w:rPr>
        <w:t xml:space="preserve"> obligación de controlar y vigilar la correcta ejecución de los contratos estatale</w:t>
      </w:r>
      <w:r w:rsidR="005224BC">
        <w:rPr>
          <w:rFonts w:ascii="Arial" w:eastAsia="Calibri" w:hAnsi="Arial" w:cs="Arial"/>
          <w:sz w:val="22"/>
        </w:rPr>
        <w:t xml:space="preserve">s, </w:t>
      </w:r>
      <w:r w:rsidR="005C180C" w:rsidRPr="00830F50">
        <w:rPr>
          <w:rFonts w:ascii="Arial" w:eastAsia="Calibri" w:hAnsi="Arial" w:cs="Arial"/>
          <w:sz w:val="22"/>
        </w:rPr>
        <w:t xml:space="preserve">ii) </w:t>
      </w:r>
      <w:r w:rsidR="00830F50" w:rsidRPr="00830F50">
        <w:rPr>
          <w:rFonts w:ascii="Arial" w:eastAsia="Calibri" w:hAnsi="Arial" w:cs="Arial"/>
          <w:sz w:val="22"/>
        </w:rPr>
        <w:t xml:space="preserve">el contrato </w:t>
      </w:r>
      <w:r w:rsidR="005C180C" w:rsidRPr="00830F50">
        <w:rPr>
          <w:rFonts w:ascii="Arial" w:eastAsia="Calibri" w:hAnsi="Arial" w:cs="Arial"/>
          <w:sz w:val="22"/>
        </w:rPr>
        <w:t>de interventoría</w:t>
      </w:r>
      <w:r w:rsidR="005224BC">
        <w:rPr>
          <w:rFonts w:ascii="Arial" w:eastAsia="Calibri" w:hAnsi="Arial" w:cs="Arial"/>
          <w:sz w:val="22"/>
        </w:rPr>
        <w:t xml:space="preserve"> y iii) </w:t>
      </w:r>
      <w:r w:rsidR="005224BC" w:rsidRPr="00830F50">
        <w:rPr>
          <w:rFonts w:ascii="Arial" w:eastAsia="Calibri" w:hAnsi="Arial" w:cs="Arial"/>
          <w:sz w:val="22"/>
        </w:rPr>
        <w:t>la adición de los contratos estatales</w:t>
      </w:r>
      <w:r w:rsidR="005224BC">
        <w:rPr>
          <w:rFonts w:ascii="Arial" w:eastAsia="Calibri" w:hAnsi="Arial" w:cs="Arial"/>
          <w:sz w:val="22"/>
        </w:rPr>
        <w:t xml:space="preserve"> y las particularidades en el contrato de interventoría.</w:t>
      </w:r>
    </w:p>
    <w:p w14:paraId="2BB7A452" w14:textId="5D009B78" w:rsidR="00F534AE" w:rsidRPr="00830F50" w:rsidRDefault="006327D2" w:rsidP="00FC3697">
      <w:pPr>
        <w:pStyle w:val="Sinespaciado"/>
        <w:spacing w:before="120" w:after="120" w:line="276" w:lineRule="auto"/>
        <w:jc w:val="both"/>
        <w:rPr>
          <w:rFonts w:ascii="Arial" w:eastAsia="Calibri" w:hAnsi="Arial" w:cs="Arial"/>
          <w:sz w:val="22"/>
        </w:rPr>
      </w:pPr>
      <w:r w:rsidRPr="00830F50">
        <w:rPr>
          <w:rFonts w:ascii="Arial" w:hAnsi="Arial" w:cs="Arial"/>
          <w:sz w:val="22"/>
        </w:rPr>
        <w:lastRenderedPageBreak/>
        <w:tab/>
      </w:r>
      <w:r w:rsidR="005C180C" w:rsidRPr="00830F50">
        <w:rPr>
          <w:rFonts w:ascii="Arial" w:hAnsi="Arial" w:cs="Arial"/>
          <w:sz w:val="22"/>
        </w:rPr>
        <w:t xml:space="preserve">La </w:t>
      </w:r>
      <w:r w:rsidR="005C180C" w:rsidRPr="00830F50">
        <w:rPr>
          <w:rFonts w:ascii="Arial" w:eastAsia="Calibri" w:hAnsi="Arial" w:cs="Arial"/>
          <w:sz w:val="22"/>
        </w:rPr>
        <w:t>Agencia Nacional de Contratación Pública ‒ Colombia Compra Eficiente se ha pronunciado sobre la obligación de controlar y vigilar la ejecución de los contratos estatales, en los conceptos del 30 de agosto y el 20 de diciembre de 2019 ‒radicados Nos. 2201913000006394 y 2201913000009467‒. De igual forma, en los conceptos C‒064 del 28 de febrero de 2020, C‒150 del 18 de marzo de 2020, C‒075 del 26 de marzo de 2020, C‒180 del 13 de abril de 2020, C‒344 del 26 de mayo de 2020 y en el C‒765 del 7 de enero de 2021. En tal sentido, en este concepto se reiterarán en lo pertinente las consideraciones realizadas en dichos conceptos.</w:t>
      </w:r>
    </w:p>
    <w:p w14:paraId="567E0FB8" w14:textId="2C0D0988" w:rsidR="005C180C" w:rsidRPr="00830F50" w:rsidRDefault="00F534AE" w:rsidP="00FC3697">
      <w:pPr>
        <w:pStyle w:val="Sinespaciado"/>
        <w:spacing w:before="120" w:after="120" w:line="276" w:lineRule="auto"/>
        <w:ind w:firstLine="709"/>
        <w:jc w:val="both"/>
        <w:rPr>
          <w:rFonts w:ascii="Arial" w:eastAsia="Calibri" w:hAnsi="Arial" w:cs="Arial"/>
          <w:sz w:val="22"/>
        </w:rPr>
      </w:pPr>
      <w:r w:rsidRPr="00830F50">
        <w:rPr>
          <w:rFonts w:ascii="Arial" w:eastAsia="Calibri" w:hAnsi="Arial" w:cs="Arial"/>
          <w:sz w:val="22"/>
        </w:rPr>
        <w:t xml:space="preserve">Así mismo, en </w:t>
      </w:r>
      <w:r w:rsidR="00E1095A">
        <w:rPr>
          <w:rFonts w:ascii="Arial" w:eastAsia="Calibri" w:hAnsi="Arial" w:cs="Arial"/>
          <w:sz w:val="22"/>
        </w:rPr>
        <w:t xml:space="preserve">los </w:t>
      </w:r>
      <w:r w:rsidRPr="00830F50">
        <w:rPr>
          <w:rFonts w:ascii="Arial" w:eastAsia="Calibri" w:hAnsi="Arial" w:cs="Arial"/>
          <w:sz w:val="22"/>
        </w:rPr>
        <w:t xml:space="preserve">conceptos con radicado Nos. 4201912000007298 de 23 de octubre de 2019, 4201913000006294 del 16 de septiembre de 2019, C–062 del 25 de marzo de 2020, C–100 del 27 de marzo de 2020 y en el C-308 del 28 de mayo </w:t>
      </w:r>
      <w:r w:rsidR="00E1095A">
        <w:rPr>
          <w:rFonts w:ascii="Arial" w:eastAsia="Calibri" w:hAnsi="Arial" w:cs="Arial"/>
          <w:sz w:val="22"/>
        </w:rPr>
        <w:t xml:space="preserve">de 2020 </w:t>
      </w:r>
      <w:r w:rsidRPr="00830F50">
        <w:rPr>
          <w:rFonts w:ascii="Arial" w:eastAsia="Calibri" w:hAnsi="Arial" w:cs="Arial"/>
          <w:sz w:val="22"/>
        </w:rPr>
        <w:t>estudió asuntos relacionados con la adición de los contratos estatales.</w:t>
      </w:r>
      <w:r w:rsidR="00FC3697">
        <w:rPr>
          <w:rFonts w:ascii="Arial" w:eastAsia="Calibri" w:hAnsi="Arial" w:cs="Arial"/>
          <w:sz w:val="22"/>
        </w:rPr>
        <w:t xml:space="preserve"> Las tesis sostenidas en los conceptos referenciados se reitera</w:t>
      </w:r>
      <w:r w:rsidR="003015B6">
        <w:rPr>
          <w:rFonts w:ascii="Arial" w:eastAsia="Calibri" w:hAnsi="Arial" w:cs="Arial"/>
          <w:sz w:val="22"/>
        </w:rPr>
        <w:t>n</w:t>
      </w:r>
      <w:r w:rsidR="00FC3697">
        <w:rPr>
          <w:rFonts w:ascii="Arial" w:eastAsia="Calibri" w:hAnsi="Arial" w:cs="Arial"/>
          <w:sz w:val="22"/>
        </w:rPr>
        <w:t xml:space="preserve"> y se complementan en lo pertinente.</w:t>
      </w:r>
    </w:p>
    <w:p w14:paraId="43A736D6" w14:textId="77777777" w:rsidR="005224BC" w:rsidRDefault="005224BC" w:rsidP="00947B9D">
      <w:pPr>
        <w:pStyle w:val="Sinespaciado"/>
        <w:widowControl w:val="0"/>
        <w:autoSpaceDE w:val="0"/>
        <w:autoSpaceDN w:val="0"/>
        <w:jc w:val="both"/>
        <w:rPr>
          <w:rFonts w:ascii="Arial" w:hAnsi="Arial" w:cs="Arial"/>
          <w:b/>
          <w:sz w:val="22"/>
        </w:rPr>
      </w:pPr>
    </w:p>
    <w:p w14:paraId="780248A3" w14:textId="0B337888" w:rsidR="00947B9D" w:rsidRPr="00830F50" w:rsidRDefault="00947B9D" w:rsidP="00947B9D">
      <w:pPr>
        <w:pStyle w:val="Sinespaciado"/>
        <w:widowControl w:val="0"/>
        <w:autoSpaceDE w:val="0"/>
        <w:autoSpaceDN w:val="0"/>
        <w:jc w:val="both"/>
        <w:rPr>
          <w:rFonts w:ascii="Arial" w:hAnsi="Arial" w:cs="Arial"/>
          <w:b/>
          <w:sz w:val="22"/>
        </w:rPr>
      </w:pPr>
      <w:r w:rsidRPr="00830F50">
        <w:rPr>
          <w:rFonts w:ascii="Arial" w:hAnsi="Arial" w:cs="Arial"/>
          <w:b/>
          <w:sz w:val="22"/>
        </w:rPr>
        <w:t>2.</w:t>
      </w:r>
      <w:r w:rsidR="005224BC">
        <w:rPr>
          <w:rFonts w:ascii="Arial" w:hAnsi="Arial" w:cs="Arial"/>
          <w:b/>
          <w:sz w:val="22"/>
        </w:rPr>
        <w:t>1</w:t>
      </w:r>
      <w:r w:rsidRPr="00830F50">
        <w:rPr>
          <w:rFonts w:ascii="Arial" w:hAnsi="Arial" w:cs="Arial"/>
          <w:b/>
          <w:sz w:val="22"/>
        </w:rPr>
        <w:t xml:space="preserve">. </w:t>
      </w:r>
      <w:r w:rsidR="00E1095A">
        <w:rPr>
          <w:rFonts w:ascii="Arial" w:hAnsi="Arial" w:cs="Arial"/>
          <w:b/>
          <w:sz w:val="22"/>
        </w:rPr>
        <w:t>O</w:t>
      </w:r>
      <w:r w:rsidRPr="00830F50">
        <w:rPr>
          <w:rFonts w:ascii="Arial" w:hAnsi="Arial" w:cs="Arial"/>
          <w:b/>
          <w:sz w:val="22"/>
        </w:rPr>
        <w:t xml:space="preserve">bligación de controlar y vigilar la correcta ejecución de los contratos estatales </w:t>
      </w:r>
    </w:p>
    <w:p w14:paraId="0AA989E2" w14:textId="77777777" w:rsidR="00947B9D" w:rsidRPr="00830F50" w:rsidRDefault="00947B9D" w:rsidP="00947B9D">
      <w:pPr>
        <w:pStyle w:val="Sinespaciado"/>
        <w:ind w:left="567"/>
        <w:jc w:val="both"/>
        <w:rPr>
          <w:rFonts w:ascii="Arial" w:hAnsi="Arial" w:cs="Arial"/>
          <w:b/>
          <w:sz w:val="22"/>
        </w:rPr>
      </w:pPr>
    </w:p>
    <w:p w14:paraId="251B6677" w14:textId="77777777" w:rsidR="00947B9D" w:rsidRPr="00830F50" w:rsidRDefault="00947B9D" w:rsidP="00947B9D">
      <w:pPr>
        <w:pStyle w:val="Sinespaciado"/>
        <w:spacing w:before="120" w:line="276" w:lineRule="auto"/>
        <w:jc w:val="both"/>
        <w:rPr>
          <w:rFonts w:ascii="Arial" w:hAnsi="Arial" w:cs="Arial"/>
          <w:bCs/>
          <w:sz w:val="22"/>
        </w:rPr>
      </w:pPr>
      <w:r w:rsidRPr="00830F50">
        <w:rPr>
          <w:rFonts w:ascii="Arial" w:hAnsi="Arial" w:cs="Arial"/>
          <w:bCs/>
          <w:sz w:val="22"/>
        </w:rPr>
        <w:t>El Estado acude a la contratación de bienes, obras y servicios para cumplir los fines que le impone el ordenamiento jurídico, la continuidad y eficiente prestación de los servicios públicos y la efectividad de los derechos e intereses de los administrados y de quienes colaboran en la consecución de dichos fines, entre otros</w:t>
      </w:r>
      <w:r w:rsidRPr="00830F50">
        <w:rPr>
          <w:rStyle w:val="Refdenotaalpie"/>
          <w:rFonts w:ascii="Arial" w:hAnsi="Arial" w:cs="Arial"/>
          <w:sz w:val="22"/>
        </w:rPr>
        <w:footnoteReference w:id="1"/>
      </w:r>
      <w:r w:rsidRPr="00830F50">
        <w:rPr>
          <w:rFonts w:ascii="Arial" w:hAnsi="Arial" w:cs="Arial"/>
          <w:bCs/>
          <w:sz w:val="22"/>
        </w:rPr>
        <w:t xml:space="preserve">. Para la garantía de los fines de interés general involucrados en la contratación de las entidades estatales, el Estatuto General de Contratación de la Administración Pública ‒en adelante EGCAP‒ establece que, en la etapa de ejecución del contrato, las entidades estatales y los servidores públicos que participan en ella tienen la obligación de controlar y vigilar la correcta ejecución del objeto contratado, para efectos de que las finalidades perseguidas con la celebración de los negocios jurídicos se logren de manera satisfactoria. </w:t>
      </w:r>
    </w:p>
    <w:p w14:paraId="2736A206" w14:textId="0AC70809" w:rsidR="00947B9D" w:rsidRPr="00830F50" w:rsidRDefault="00947B9D" w:rsidP="00DE0512">
      <w:pPr>
        <w:pStyle w:val="Sinespaciado"/>
        <w:spacing w:before="120" w:after="120" w:line="276" w:lineRule="auto"/>
        <w:ind w:firstLine="709"/>
        <w:jc w:val="both"/>
        <w:rPr>
          <w:rFonts w:ascii="Arial" w:hAnsi="Arial" w:cs="Arial"/>
          <w:bCs/>
          <w:sz w:val="22"/>
        </w:rPr>
      </w:pPr>
      <w:r w:rsidRPr="00830F50">
        <w:rPr>
          <w:rFonts w:ascii="Arial" w:hAnsi="Arial" w:cs="Arial"/>
          <w:bCs/>
          <w:sz w:val="22"/>
        </w:rPr>
        <w:t xml:space="preserve">Por esto, el </w:t>
      </w:r>
      <w:r w:rsidR="0027763F">
        <w:rPr>
          <w:rFonts w:ascii="Arial" w:hAnsi="Arial" w:cs="Arial"/>
          <w:bCs/>
          <w:sz w:val="22"/>
        </w:rPr>
        <w:t>EGCAP</w:t>
      </w:r>
      <w:r w:rsidRPr="00830F50">
        <w:rPr>
          <w:rFonts w:ascii="Arial" w:hAnsi="Arial" w:cs="Arial"/>
          <w:bCs/>
          <w:sz w:val="22"/>
        </w:rPr>
        <w:t xml:space="preserve"> alude a la obligación mencionada, que guarda relación con el principio de responsabilidad que rige la celebración y ejecución de los contratos estatales. Así, por ejemplo, los artículos 4, 5, 12, 14 y 26 de la Ley 80 de 1993 consagran normas relacionadas con el control y vigilancia de la ejecución de los contratos estatales. Estas disposiciones establecen, entre otros aspectos, la obligación de las entidades estatales de velar por el correcto y oportuno cumplimiento de las prestaciones del contrato, incluyendo las especificaciones de los bienes, obras y servicios, las condiciones de calidad ofrecidas, etc. Esta obligación se predica, en principio, del jefe o representante legal de la entidad, por tener la responsabilidad de la dirección y manejo de la actividad contractual, pero también de los servidores públicos que intervienen en ella. En ese sentido, las entidades estatales </w:t>
      </w:r>
      <w:r w:rsidRPr="00830F50">
        <w:rPr>
          <w:rFonts w:ascii="Arial" w:hAnsi="Arial" w:cs="Arial"/>
          <w:bCs/>
          <w:sz w:val="22"/>
        </w:rPr>
        <w:lastRenderedPageBreak/>
        <w:t>deben ejercer el control de la ejecución del contrato y, de ser el caso, tomar medidas para exigir el adecuado cumplimiento.</w:t>
      </w:r>
    </w:p>
    <w:p w14:paraId="75F27BE5" w14:textId="062A81CD" w:rsidR="00947B9D" w:rsidRPr="00830F50" w:rsidRDefault="00947B9D" w:rsidP="00DE0512">
      <w:pPr>
        <w:pStyle w:val="Sinespaciado"/>
        <w:spacing w:before="120" w:after="120" w:line="276" w:lineRule="auto"/>
        <w:ind w:firstLine="709"/>
        <w:jc w:val="both"/>
        <w:rPr>
          <w:rFonts w:ascii="Arial" w:hAnsi="Arial" w:cs="Arial"/>
          <w:bCs/>
          <w:sz w:val="22"/>
        </w:rPr>
      </w:pPr>
      <w:r w:rsidRPr="00830F50">
        <w:rPr>
          <w:rFonts w:ascii="Arial" w:hAnsi="Arial" w:cs="Arial"/>
          <w:bCs/>
          <w:sz w:val="22"/>
        </w:rPr>
        <w:t xml:space="preserve">Las Leyes 1150 de 2007 y 1474 de 2011 complementan el régimen jurídico de la obligación de vigilar la correcta ejecución de los contratos estatales. En dichas </w:t>
      </w:r>
      <w:r w:rsidR="00DE0512">
        <w:rPr>
          <w:rFonts w:ascii="Arial" w:hAnsi="Arial" w:cs="Arial"/>
          <w:bCs/>
          <w:sz w:val="22"/>
        </w:rPr>
        <w:t>l</w:t>
      </w:r>
      <w:r w:rsidRPr="00830F50">
        <w:rPr>
          <w:rFonts w:ascii="Arial" w:hAnsi="Arial" w:cs="Arial"/>
          <w:bCs/>
          <w:sz w:val="22"/>
        </w:rPr>
        <w:t>eyes se impone el debido proceso como principio rector en materia sancionatoria contractual para la imposición de multas y la decisión de hacer efectiva la cláusula penal; principio que se debe respetar en el ejercicio del control y vigilancia de la ejecución contractual</w:t>
      </w:r>
      <w:r w:rsidRPr="00830F50">
        <w:rPr>
          <w:rStyle w:val="Refdenotaalpie"/>
          <w:rFonts w:ascii="Arial" w:hAnsi="Arial" w:cs="Arial"/>
          <w:sz w:val="22"/>
        </w:rPr>
        <w:footnoteReference w:id="2"/>
      </w:r>
      <w:r w:rsidRPr="00830F50">
        <w:rPr>
          <w:rFonts w:ascii="Arial" w:hAnsi="Arial" w:cs="Arial"/>
          <w:bCs/>
          <w:sz w:val="22"/>
        </w:rPr>
        <w:t>. De igual forma, se establecen los límites de la responsabilidad del representante legal ante la delegación de sus funciones en materia contractual</w:t>
      </w:r>
      <w:r w:rsidRPr="00830F50">
        <w:rPr>
          <w:rStyle w:val="Refdenotaalpie"/>
          <w:rFonts w:ascii="Arial" w:hAnsi="Arial" w:cs="Arial"/>
          <w:sz w:val="22"/>
        </w:rPr>
        <w:footnoteReference w:id="3"/>
      </w:r>
      <w:r w:rsidRPr="00830F50">
        <w:rPr>
          <w:rFonts w:ascii="Arial" w:hAnsi="Arial" w:cs="Arial"/>
          <w:bCs/>
          <w:sz w:val="22"/>
        </w:rPr>
        <w:t xml:space="preserve"> y se regula la supervisión y la interventoría de los contratos estatales</w:t>
      </w:r>
      <w:r w:rsidRPr="00830F50">
        <w:rPr>
          <w:rStyle w:val="Refdenotaalpie"/>
          <w:rFonts w:ascii="Arial" w:hAnsi="Arial" w:cs="Arial"/>
          <w:sz w:val="22"/>
        </w:rPr>
        <w:footnoteReference w:id="4"/>
      </w:r>
      <w:r w:rsidRPr="00830F50">
        <w:rPr>
          <w:rFonts w:ascii="Arial" w:hAnsi="Arial" w:cs="Arial"/>
          <w:bCs/>
          <w:sz w:val="22"/>
        </w:rPr>
        <w:t xml:space="preserve">. </w:t>
      </w:r>
    </w:p>
    <w:p w14:paraId="7287F779" w14:textId="2F2EAC09" w:rsidR="00947B9D" w:rsidRPr="00830F50" w:rsidRDefault="00947B9D" w:rsidP="00947B9D">
      <w:pPr>
        <w:pStyle w:val="Sinespaciado"/>
        <w:spacing w:before="120" w:line="276" w:lineRule="auto"/>
        <w:ind w:firstLine="708"/>
        <w:jc w:val="both"/>
        <w:rPr>
          <w:rFonts w:ascii="Arial" w:hAnsi="Arial" w:cs="Arial"/>
          <w:bCs/>
          <w:sz w:val="22"/>
        </w:rPr>
      </w:pPr>
      <w:r w:rsidRPr="00830F50">
        <w:rPr>
          <w:rFonts w:ascii="Arial" w:hAnsi="Arial" w:cs="Arial"/>
          <w:bCs/>
          <w:sz w:val="22"/>
        </w:rPr>
        <w:t xml:space="preserve">La jurisprudencia </w:t>
      </w:r>
      <w:r w:rsidR="00DE0512">
        <w:rPr>
          <w:rFonts w:ascii="Arial" w:hAnsi="Arial" w:cs="Arial"/>
          <w:bCs/>
          <w:sz w:val="22"/>
        </w:rPr>
        <w:t xml:space="preserve">de lo </w:t>
      </w:r>
      <w:r w:rsidRPr="00830F50">
        <w:rPr>
          <w:rFonts w:ascii="Arial" w:hAnsi="Arial" w:cs="Arial"/>
          <w:bCs/>
          <w:sz w:val="22"/>
        </w:rPr>
        <w:t>contencioso-administrativ</w:t>
      </w:r>
      <w:r w:rsidR="00DE0512">
        <w:rPr>
          <w:rFonts w:ascii="Arial" w:hAnsi="Arial" w:cs="Arial"/>
          <w:bCs/>
          <w:sz w:val="22"/>
        </w:rPr>
        <w:t>o</w:t>
      </w:r>
      <w:r w:rsidRPr="00830F50">
        <w:rPr>
          <w:rFonts w:ascii="Arial" w:hAnsi="Arial" w:cs="Arial"/>
          <w:bCs/>
          <w:sz w:val="22"/>
        </w:rPr>
        <w:t>, por su parte, ha considerado que la obligación de vigilar la correcta ejecución del objeto contractual es una función de la entidad contratante, en los siguientes términos:</w:t>
      </w:r>
    </w:p>
    <w:p w14:paraId="652DE3C0" w14:textId="77777777" w:rsidR="00947B9D" w:rsidRPr="00830F50" w:rsidRDefault="00947B9D" w:rsidP="00947B9D">
      <w:pPr>
        <w:pStyle w:val="Sinespaciado"/>
        <w:spacing w:line="276" w:lineRule="auto"/>
        <w:jc w:val="both"/>
        <w:rPr>
          <w:rFonts w:ascii="Arial" w:hAnsi="Arial" w:cs="Arial"/>
          <w:bCs/>
          <w:sz w:val="22"/>
          <w:szCs w:val="20"/>
        </w:rPr>
      </w:pPr>
      <w:r w:rsidRPr="00830F50">
        <w:rPr>
          <w:rFonts w:ascii="Arial" w:hAnsi="Arial" w:cs="Arial"/>
          <w:bCs/>
        </w:rPr>
        <w:t xml:space="preserve"> </w:t>
      </w:r>
    </w:p>
    <w:p w14:paraId="2C873443" w14:textId="3D17E65E" w:rsidR="00947B9D" w:rsidRPr="00830F50" w:rsidRDefault="00947B9D" w:rsidP="00947B9D">
      <w:pPr>
        <w:pStyle w:val="Sinespaciado"/>
        <w:ind w:left="709" w:right="709"/>
        <w:jc w:val="both"/>
        <w:rPr>
          <w:rFonts w:ascii="Arial" w:hAnsi="Arial" w:cs="Arial"/>
          <w:bCs/>
          <w:sz w:val="21"/>
          <w:szCs w:val="21"/>
          <w:lang w:val="es-CO"/>
        </w:rPr>
      </w:pPr>
      <w:r w:rsidRPr="00830F50">
        <w:rPr>
          <w:rFonts w:ascii="Arial" w:hAnsi="Arial" w:cs="Arial"/>
          <w:bCs/>
          <w:sz w:val="21"/>
          <w:szCs w:val="21"/>
        </w:rPr>
        <w:t>La función de vigilancia y control del contrato estatal supone el cuidado y la supervisión, de forma tal que en ejercicio de esa función, quien administra la adecuada y oportuna ejecución del contrato no sólo debe velar por que las partes den cumplimiento a las obligaciones contractuales, sino que el contrato se ejecute en el tiempo y la forma convenidos, para de esta forma garantizar la satisfacción de las necesidades que la administración buscaba alcanzar con la celebración del respectivo contrato</w:t>
      </w:r>
      <w:r w:rsidRPr="00830F50">
        <w:rPr>
          <w:rStyle w:val="Refdenotaalpie"/>
          <w:rFonts w:ascii="Arial" w:hAnsi="Arial" w:cs="Arial"/>
          <w:sz w:val="21"/>
          <w:szCs w:val="21"/>
        </w:rPr>
        <w:footnoteReference w:id="5"/>
      </w:r>
      <w:r w:rsidR="00E76BFF">
        <w:rPr>
          <w:rFonts w:ascii="Arial" w:eastAsia="Calibri" w:hAnsi="Arial" w:cs="Arial"/>
          <w:sz w:val="22"/>
        </w:rPr>
        <w:t>.</w:t>
      </w:r>
    </w:p>
    <w:p w14:paraId="59ECBD50" w14:textId="77777777" w:rsidR="00947B9D" w:rsidRPr="00830F50" w:rsidRDefault="00947B9D" w:rsidP="00947B9D">
      <w:pPr>
        <w:pStyle w:val="Sinespaciado"/>
        <w:spacing w:line="276" w:lineRule="auto"/>
        <w:jc w:val="both"/>
        <w:rPr>
          <w:rFonts w:ascii="Arial" w:hAnsi="Arial" w:cs="Arial"/>
          <w:bCs/>
          <w:lang w:val="es-ES"/>
        </w:rPr>
      </w:pPr>
    </w:p>
    <w:p w14:paraId="6A279122" w14:textId="58ED864E" w:rsidR="00947B9D" w:rsidRPr="00830F50" w:rsidRDefault="00947B9D" w:rsidP="00947B9D">
      <w:pPr>
        <w:pStyle w:val="Sinespaciado"/>
        <w:spacing w:line="276" w:lineRule="auto"/>
        <w:ind w:firstLine="567"/>
        <w:jc w:val="both"/>
        <w:rPr>
          <w:rFonts w:ascii="Arial" w:hAnsi="Arial" w:cs="Arial"/>
          <w:bCs/>
          <w:sz w:val="22"/>
        </w:rPr>
      </w:pPr>
      <w:r w:rsidRPr="00830F50">
        <w:rPr>
          <w:rFonts w:ascii="Arial" w:hAnsi="Arial" w:cs="Arial"/>
          <w:bCs/>
          <w:sz w:val="22"/>
        </w:rPr>
        <w:t xml:space="preserve">En este punto, se reitera lo expuesto en el concepto emitido por esta Agencia con el radicado 4201913000008240, del 20 de diciembre de 2019, esto es, que «el seguimiento de la ejecución del contrato para su dirección, control y vigilancia del correcto cumplimiento del objeto es un deber legal que permite a las entidades estatales tomar medidas orientadas a la satisfacción de los fines de la contratación, dentro de las cuales, se encuentra la posibilidad de pactar y ejercer las cláusulas exorbitantes, la designación de una supervisión o la contratación de una interventoría para vigilar la ejecución del contrato y la facultad de pactar e imponer multas, cláusula penal o hacer efectivas las garantías del contrato, previa declaratoria de incumplimiento de las obligaciones del contrato, en aras de lograr la satisfacción de las necesidades de bienes, obras o servicios que se pretenden suplir con la </w:t>
      </w:r>
      <w:r w:rsidRPr="00830F50">
        <w:rPr>
          <w:rFonts w:ascii="Arial" w:hAnsi="Arial" w:cs="Arial"/>
          <w:bCs/>
          <w:sz w:val="22"/>
        </w:rPr>
        <w:lastRenderedPageBreak/>
        <w:t>celebración de los contratos estatales».</w:t>
      </w:r>
      <w:r w:rsidR="00E1095A">
        <w:rPr>
          <w:rFonts w:ascii="Arial" w:hAnsi="Arial" w:cs="Arial"/>
          <w:bCs/>
          <w:sz w:val="22"/>
        </w:rPr>
        <w:t xml:space="preserve"> En desarrollo del deber </w:t>
      </w:r>
      <w:r w:rsidR="006B35C9">
        <w:rPr>
          <w:rFonts w:ascii="Arial" w:hAnsi="Arial" w:cs="Arial"/>
          <w:bCs/>
          <w:sz w:val="22"/>
        </w:rPr>
        <w:t>descrito</w:t>
      </w:r>
      <w:r w:rsidR="00E1095A">
        <w:rPr>
          <w:rFonts w:ascii="Arial" w:hAnsi="Arial" w:cs="Arial"/>
          <w:bCs/>
          <w:sz w:val="22"/>
        </w:rPr>
        <w:t>, se analizará uno de los instrumentos dispuestos por el ordenamiento jurídico para su cumplimiento, relacionado con la interventoría de los contratos estatales.</w:t>
      </w:r>
    </w:p>
    <w:p w14:paraId="6F2D93C7" w14:textId="6745A75D" w:rsidR="00947B9D" w:rsidRPr="00830F50" w:rsidRDefault="00947B9D" w:rsidP="00947B9D">
      <w:pPr>
        <w:pStyle w:val="Sinespaciado"/>
        <w:spacing w:line="276" w:lineRule="auto"/>
        <w:jc w:val="both"/>
        <w:rPr>
          <w:rFonts w:ascii="Arial" w:hAnsi="Arial" w:cs="Arial"/>
          <w:bCs/>
          <w:sz w:val="22"/>
        </w:rPr>
      </w:pPr>
    </w:p>
    <w:p w14:paraId="76329BBC" w14:textId="286600D1" w:rsidR="00947B9D" w:rsidRPr="00830F50" w:rsidRDefault="00947B9D" w:rsidP="00947B9D">
      <w:pPr>
        <w:pStyle w:val="Sinespaciado"/>
        <w:spacing w:line="276" w:lineRule="auto"/>
        <w:jc w:val="both"/>
        <w:rPr>
          <w:rFonts w:ascii="Arial" w:hAnsi="Arial" w:cs="Arial"/>
          <w:b/>
          <w:sz w:val="22"/>
        </w:rPr>
      </w:pPr>
      <w:r w:rsidRPr="00830F50">
        <w:rPr>
          <w:rFonts w:ascii="Arial" w:hAnsi="Arial" w:cs="Arial"/>
          <w:b/>
          <w:sz w:val="22"/>
        </w:rPr>
        <w:t xml:space="preserve">2.3. </w:t>
      </w:r>
      <w:r w:rsidR="005224BC">
        <w:rPr>
          <w:rFonts w:ascii="Arial" w:hAnsi="Arial" w:cs="Arial"/>
          <w:b/>
          <w:sz w:val="22"/>
        </w:rPr>
        <w:t xml:space="preserve">El contrato de </w:t>
      </w:r>
      <w:r w:rsidR="005224BC" w:rsidRPr="00830F50">
        <w:rPr>
          <w:rFonts w:ascii="Arial" w:hAnsi="Arial" w:cs="Arial"/>
          <w:b/>
          <w:sz w:val="22"/>
        </w:rPr>
        <w:t>interventoría</w:t>
      </w:r>
    </w:p>
    <w:p w14:paraId="3CCC7FD3" w14:textId="0C50A323" w:rsidR="00947B9D" w:rsidRPr="00830F50" w:rsidRDefault="00947B9D" w:rsidP="00947B9D">
      <w:pPr>
        <w:pStyle w:val="Sinespaciado"/>
        <w:spacing w:line="276" w:lineRule="auto"/>
        <w:jc w:val="both"/>
        <w:rPr>
          <w:rFonts w:ascii="Arial" w:hAnsi="Arial" w:cs="Arial"/>
          <w:b/>
          <w:sz w:val="22"/>
        </w:rPr>
      </w:pPr>
    </w:p>
    <w:p w14:paraId="6CFAD9A6" w14:textId="77777777" w:rsidR="00947B9D" w:rsidRPr="00830F50" w:rsidRDefault="00947B9D" w:rsidP="00947B9D">
      <w:pPr>
        <w:pStyle w:val="Sinespaciado"/>
        <w:spacing w:line="276" w:lineRule="auto"/>
        <w:jc w:val="both"/>
        <w:rPr>
          <w:rFonts w:ascii="Arial" w:hAnsi="Arial" w:cs="Arial"/>
          <w:sz w:val="22"/>
        </w:rPr>
      </w:pPr>
      <w:r w:rsidRPr="00830F50">
        <w:rPr>
          <w:rFonts w:ascii="Arial" w:hAnsi="Arial" w:cs="Arial"/>
          <w:sz w:val="22"/>
        </w:rPr>
        <w:t xml:space="preserve">La Ley 1474 de 2011 enmarcó el seguimiento, control y vigilancia de la ejecución del contrato estatal dentro del principio de moralidad administrativa. El artículo 83 </w:t>
      </w:r>
      <w:r w:rsidRPr="00830F50">
        <w:rPr>
          <w:rFonts w:ascii="Arial" w:hAnsi="Arial" w:cs="Arial"/>
          <w:i/>
          <w:iCs/>
          <w:sz w:val="22"/>
        </w:rPr>
        <w:t xml:space="preserve">ibidem </w:t>
      </w:r>
      <w:r w:rsidRPr="00830F50">
        <w:rPr>
          <w:rFonts w:ascii="Arial" w:hAnsi="Arial" w:cs="Arial"/>
          <w:sz w:val="22"/>
        </w:rPr>
        <w:t xml:space="preserve">establece que «con el fin de proteger la moralidad administrativa, de prevenir la ocurrencia de actos de corrupción y de tutelar la transparencia de la actividad contractual, las entidades públicas están obligadas a vigilar permanentemente la correcta ejecución del objeto contratado a través de un supervisor o un interventor, según corresponda». Además, el legislador, en el mismo artículo, definió las nociones de </w:t>
      </w:r>
      <w:r w:rsidRPr="00830F50">
        <w:rPr>
          <w:rFonts w:ascii="Arial" w:hAnsi="Arial" w:cs="Arial"/>
          <w:i/>
          <w:iCs/>
          <w:sz w:val="22"/>
        </w:rPr>
        <w:t>supervisión</w:t>
      </w:r>
      <w:r w:rsidRPr="00830F50">
        <w:rPr>
          <w:rFonts w:ascii="Arial" w:hAnsi="Arial" w:cs="Arial"/>
          <w:sz w:val="22"/>
        </w:rPr>
        <w:t xml:space="preserve"> e </w:t>
      </w:r>
      <w:r w:rsidRPr="00830F50">
        <w:rPr>
          <w:rFonts w:ascii="Arial" w:hAnsi="Arial" w:cs="Arial"/>
          <w:i/>
          <w:iCs/>
          <w:sz w:val="22"/>
        </w:rPr>
        <w:t>interventoría</w:t>
      </w:r>
      <w:r w:rsidRPr="00830F50">
        <w:rPr>
          <w:rFonts w:ascii="Arial" w:hAnsi="Arial" w:cs="Arial"/>
          <w:sz w:val="22"/>
        </w:rPr>
        <w:t xml:space="preserve">, como mecanismos que pueden usar las entidades estatales para vigilar el contrato, en estos términos: </w:t>
      </w:r>
    </w:p>
    <w:p w14:paraId="6E7CA9BE" w14:textId="77777777" w:rsidR="00947B9D" w:rsidRPr="00830F50" w:rsidRDefault="00947B9D" w:rsidP="00947B9D">
      <w:pPr>
        <w:pStyle w:val="Sinespaciado"/>
        <w:spacing w:line="276" w:lineRule="auto"/>
        <w:jc w:val="both"/>
        <w:rPr>
          <w:rFonts w:ascii="Arial" w:hAnsi="Arial" w:cs="Arial"/>
        </w:rPr>
      </w:pPr>
    </w:p>
    <w:p w14:paraId="3F88C25A" w14:textId="2B46363A" w:rsidR="00947B9D" w:rsidRPr="00340697" w:rsidRDefault="00947B9D" w:rsidP="00AB344D">
      <w:pPr>
        <w:pStyle w:val="Sinespaciado"/>
        <w:ind w:left="709" w:right="709"/>
        <w:jc w:val="both"/>
        <w:rPr>
          <w:rFonts w:ascii="Arial" w:hAnsi="Arial" w:cs="Arial"/>
          <w:sz w:val="21"/>
          <w:szCs w:val="21"/>
        </w:rPr>
      </w:pPr>
      <w:r w:rsidRPr="00340697">
        <w:rPr>
          <w:rFonts w:ascii="Arial" w:hAnsi="Arial" w:cs="Arial"/>
          <w:sz w:val="21"/>
          <w:szCs w:val="21"/>
        </w:rPr>
        <w:t>La supervisión consistirá en el seguimiento técnico, administrativo, financiero, contable, y jurídico que sobre el cumplimiento del objeto del contrato, es ejercida por la misma entidad estatal cuando no requieren conocimientos especializados. Para la supervisión, la Entidad estatal podrá contratar personal de apoyo, a través de los contratos de prestación de servicios que sean requeridos.</w:t>
      </w:r>
    </w:p>
    <w:p w14:paraId="7C94D8EC" w14:textId="77777777" w:rsidR="00947B9D" w:rsidRPr="00340697" w:rsidRDefault="00947B9D" w:rsidP="00AB344D">
      <w:pPr>
        <w:pStyle w:val="Sinespaciado"/>
        <w:ind w:left="709" w:right="709"/>
        <w:jc w:val="both"/>
        <w:rPr>
          <w:rFonts w:ascii="Arial" w:hAnsi="Arial" w:cs="Arial"/>
          <w:sz w:val="21"/>
          <w:szCs w:val="21"/>
        </w:rPr>
      </w:pPr>
    </w:p>
    <w:p w14:paraId="7552DAF4" w14:textId="3F9B2B62" w:rsidR="00947B9D" w:rsidRPr="00830F50" w:rsidRDefault="00947B9D" w:rsidP="00AB344D">
      <w:pPr>
        <w:pStyle w:val="Sinespaciado"/>
        <w:ind w:left="709" w:right="709"/>
        <w:jc w:val="both"/>
        <w:rPr>
          <w:rFonts w:ascii="Arial" w:hAnsi="Arial" w:cs="Arial"/>
          <w:sz w:val="21"/>
          <w:szCs w:val="21"/>
        </w:rPr>
      </w:pPr>
      <w:r w:rsidRPr="00340697">
        <w:rPr>
          <w:rFonts w:ascii="Arial" w:hAnsi="Arial" w:cs="Arial"/>
          <w:sz w:val="21"/>
          <w:szCs w:val="21"/>
        </w:rPr>
        <w:t>La interventoría consistirá en el seguimiento técnico que sobre el cumplimiento del contrato realice una persona natural o jurídica contratada para tal fin por la Entidad Estatal, cuando el seguimiento del contrato suponga conocimiento especializado en la materia, o cuando la complejidad o la extensión del mismo lo justifiquen. No obstante, lo anterior cuando la entidad lo encuentre justificado y acorde a la naturaleza del contrato principal, podrá contratar el seguimiento administrativo, técnico, financiero, contable, jurídico del objeto o contrato dentro de la interventoría.</w:t>
      </w:r>
    </w:p>
    <w:p w14:paraId="06A6C159" w14:textId="77777777" w:rsidR="00947B9D" w:rsidRPr="00830F50" w:rsidRDefault="00947B9D" w:rsidP="00947B9D">
      <w:pPr>
        <w:pStyle w:val="Sinespaciado"/>
        <w:spacing w:line="276" w:lineRule="auto"/>
        <w:jc w:val="both"/>
        <w:rPr>
          <w:rFonts w:ascii="Arial" w:hAnsi="Arial" w:cs="Arial"/>
          <w:lang w:val="es-ES"/>
        </w:rPr>
      </w:pPr>
    </w:p>
    <w:p w14:paraId="0C8F3542" w14:textId="3EDC200D" w:rsidR="00947B9D" w:rsidRPr="00830F50" w:rsidRDefault="00AB344D" w:rsidP="00947B9D">
      <w:pPr>
        <w:pStyle w:val="Sinespaciado"/>
        <w:spacing w:before="120" w:line="276" w:lineRule="auto"/>
        <w:ind w:firstLine="709"/>
        <w:jc w:val="both"/>
        <w:rPr>
          <w:rFonts w:ascii="Arial" w:hAnsi="Arial" w:cs="Arial"/>
          <w:sz w:val="22"/>
        </w:rPr>
      </w:pPr>
      <w:r>
        <w:rPr>
          <w:rFonts w:ascii="Arial" w:hAnsi="Arial" w:cs="Arial"/>
          <w:sz w:val="22"/>
        </w:rPr>
        <w:t xml:space="preserve">De este modo, </w:t>
      </w:r>
      <w:r w:rsidR="00947B9D" w:rsidRPr="00830F50">
        <w:rPr>
          <w:rFonts w:ascii="Arial" w:hAnsi="Arial" w:cs="Arial"/>
          <w:sz w:val="22"/>
        </w:rPr>
        <w:t>la interventoría: i) será un mecanismo de vigilancia contingente en la medida que solo es obligatorio para el seguimiento de los contratos de obra adjudicados por licitación pública ‒art. 32, numeral 1‒; en los demás casos se requerirá cuando «el seguimiento del contrato suponga conocimiento especializado en la materia, o cuando la complejidad o la extensión del mismo lo justifiquen» ‒art. 83, Ley 1474 de 2011‒. ii) Este mecanismo de vigilancia exige, en su ejecución, la utilización de conocimientos especializados. iii) Por lo anterior, la entidad contrata un experto a través de un concurso de méritos, al tratarse la interventoría de una especie del contrato de consultoría ‒art. 32, numeral 2, inciso 2, Ley 80 de 1993</w:t>
      </w:r>
      <w:r w:rsidR="00947B9D" w:rsidRPr="00830F50">
        <w:rPr>
          <w:rStyle w:val="Refdenotaalpie"/>
          <w:rFonts w:ascii="Arial" w:hAnsi="Arial" w:cs="Arial"/>
          <w:sz w:val="22"/>
        </w:rPr>
        <w:footnoteReference w:id="6"/>
      </w:r>
      <w:r w:rsidR="00947B9D" w:rsidRPr="00830F50">
        <w:rPr>
          <w:rFonts w:ascii="Arial" w:hAnsi="Arial" w:cs="Arial"/>
          <w:sz w:val="22"/>
        </w:rPr>
        <w:t xml:space="preserve">‒, de manera que la interventoría es realizada por una </w:t>
      </w:r>
      <w:r w:rsidR="00947B9D" w:rsidRPr="00830F50">
        <w:rPr>
          <w:rFonts w:ascii="Arial" w:hAnsi="Arial" w:cs="Arial"/>
          <w:sz w:val="22"/>
        </w:rPr>
        <w:lastRenderedPageBreak/>
        <w:t xml:space="preserve">«persona natural o jurídica contratada para tal fin por la Entidad Estatal» ‒art. 83, Ley 1474‒ iv) Le es inherente el seguimiento técnico, frente a la vigilancia de la correcta ejecución del contrato vigilado; sin embargo, el artículo 83 de la Ley 1474 de 2011 permite que en el contrato de interventoría también se pacten obligaciones para que el contratista realice el seguimiento administrativo, financiero, contable o jurídico. v) En caso de que no se encomiende al interventor el seguimiento total del contrato, en el contrato de interventoría «se deberán indicar las actividades técnicas a cargo del interventor y las demás quedarán a cargo de la Entidad a través del supervisor» ‒art. 83, inciso 3‒. </w:t>
      </w:r>
      <w:r w:rsidR="00EA7311">
        <w:rPr>
          <w:rFonts w:ascii="Arial" w:hAnsi="Arial" w:cs="Arial"/>
          <w:sz w:val="22"/>
        </w:rPr>
        <w:t xml:space="preserve">Finalmente, </w:t>
      </w:r>
      <w:r w:rsidR="00947B9D" w:rsidRPr="00830F50">
        <w:rPr>
          <w:rFonts w:ascii="Arial" w:hAnsi="Arial" w:cs="Arial"/>
          <w:sz w:val="22"/>
        </w:rPr>
        <w:t xml:space="preserve">vi) </w:t>
      </w:r>
      <w:r w:rsidR="00EA7311">
        <w:rPr>
          <w:rFonts w:ascii="Arial" w:hAnsi="Arial" w:cs="Arial"/>
          <w:sz w:val="22"/>
        </w:rPr>
        <w:t>e</w:t>
      </w:r>
      <w:r w:rsidR="00947B9D" w:rsidRPr="00830F50">
        <w:rPr>
          <w:rFonts w:ascii="Arial" w:hAnsi="Arial" w:cs="Arial"/>
          <w:sz w:val="22"/>
        </w:rPr>
        <w:t>l contrato de interventoría será supervisado directamente por la entidad ‒art. 83, inciso 4‒.</w:t>
      </w:r>
    </w:p>
    <w:p w14:paraId="5B7A5305" w14:textId="7E98909F" w:rsidR="006327D2" w:rsidRDefault="00947B9D" w:rsidP="009B1654">
      <w:pPr>
        <w:pStyle w:val="Sinespaciado"/>
        <w:spacing w:before="120" w:line="276" w:lineRule="auto"/>
        <w:ind w:firstLine="709"/>
        <w:jc w:val="both"/>
        <w:rPr>
          <w:rFonts w:ascii="Arial" w:hAnsi="Arial" w:cs="Arial"/>
          <w:sz w:val="22"/>
        </w:rPr>
      </w:pPr>
      <w:r w:rsidRPr="00830F50">
        <w:rPr>
          <w:rFonts w:ascii="Arial" w:hAnsi="Arial" w:cs="Arial"/>
          <w:sz w:val="22"/>
        </w:rPr>
        <w:t xml:space="preserve">De acuerdo con lo anterior, el interventor es un contratista externo a la entidad estatal y al contratista vigilado, de manera que es seleccionado por la entidad estatal mediante los procedimientos de selección establecidos en el EGCAP; en principio, </w:t>
      </w:r>
      <w:r w:rsidR="00553CEA">
        <w:rPr>
          <w:rFonts w:ascii="Arial" w:hAnsi="Arial" w:cs="Arial"/>
          <w:sz w:val="22"/>
        </w:rPr>
        <w:t>a través de</w:t>
      </w:r>
      <w:r w:rsidRPr="00830F50">
        <w:rPr>
          <w:rFonts w:ascii="Arial" w:hAnsi="Arial" w:cs="Arial"/>
          <w:sz w:val="22"/>
        </w:rPr>
        <w:t xml:space="preserve"> un concurso de méritos. </w:t>
      </w:r>
      <w:r w:rsidR="005F377F">
        <w:rPr>
          <w:rFonts w:ascii="Arial" w:hAnsi="Arial" w:cs="Arial"/>
          <w:sz w:val="22"/>
        </w:rPr>
        <w:t>Lo anterior, s</w:t>
      </w:r>
      <w:r w:rsidR="00E73283">
        <w:rPr>
          <w:rFonts w:ascii="Arial" w:hAnsi="Arial" w:cs="Arial"/>
          <w:sz w:val="22"/>
        </w:rPr>
        <w:t>in perjuicio de que eventualmente aplique alguna causal especial que permita la celebración de este tipo de contratos</w:t>
      </w:r>
      <w:r w:rsidR="005F377F">
        <w:rPr>
          <w:rFonts w:ascii="Arial" w:hAnsi="Arial" w:cs="Arial"/>
          <w:sz w:val="22"/>
        </w:rPr>
        <w:t xml:space="preserve"> mediante una modalidad diferente</w:t>
      </w:r>
      <w:r w:rsidR="00E73283">
        <w:rPr>
          <w:rFonts w:ascii="Arial" w:hAnsi="Arial" w:cs="Arial"/>
          <w:sz w:val="22"/>
        </w:rPr>
        <w:t xml:space="preserve">, como podría suceder frente a la posibilidad de realizar, por ejemplo, una contratación </w:t>
      </w:r>
      <w:r w:rsidR="005F377F">
        <w:rPr>
          <w:rFonts w:ascii="Arial" w:hAnsi="Arial" w:cs="Arial"/>
          <w:sz w:val="22"/>
        </w:rPr>
        <w:t>d</w:t>
      </w:r>
      <w:r w:rsidR="00E73283">
        <w:rPr>
          <w:rFonts w:ascii="Arial" w:hAnsi="Arial" w:cs="Arial"/>
          <w:sz w:val="22"/>
        </w:rPr>
        <w:t xml:space="preserve">e mínima cuantía o </w:t>
      </w:r>
      <w:r w:rsidR="005F377F">
        <w:rPr>
          <w:rFonts w:ascii="Arial" w:hAnsi="Arial" w:cs="Arial"/>
          <w:sz w:val="22"/>
        </w:rPr>
        <w:t>una</w:t>
      </w:r>
      <w:r w:rsidR="00E73283">
        <w:rPr>
          <w:rFonts w:ascii="Arial" w:hAnsi="Arial" w:cs="Arial"/>
          <w:sz w:val="22"/>
        </w:rPr>
        <w:t xml:space="preserve"> contratación directa, en caso de presentarse alguna de las causales establecidas en el artículo 2 de la Ley 1150 de 2007</w:t>
      </w:r>
      <w:r w:rsidR="005F377F">
        <w:rPr>
          <w:rFonts w:ascii="Arial" w:hAnsi="Arial" w:cs="Arial"/>
          <w:sz w:val="22"/>
        </w:rPr>
        <w:t>, que d</w:t>
      </w:r>
      <w:r w:rsidR="00B24B65">
        <w:rPr>
          <w:rFonts w:ascii="Arial" w:hAnsi="Arial" w:cs="Arial"/>
          <w:sz w:val="22"/>
        </w:rPr>
        <w:t>é</w:t>
      </w:r>
      <w:r w:rsidR="005F377F">
        <w:rPr>
          <w:rFonts w:ascii="Arial" w:hAnsi="Arial" w:cs="Arial"/>
          <w:sz w:val="22"/>
        </w:rPr>
        <w:t xml:space="preserve"> lugar a acudir a otra modalidad de selección. </w:t>
      </w:r>
    </w:p>
    <w:p w14:paraId="04A3C013" w14:textId="77777777" w:rsidR="005224BC" w:rsidRDefault="005224BC" w:rsidP="005224BC">
      <w:pPr>
        <w:spacing w:line="276" w:lineRule="auto"/>
        <w:jc w:val="both"/>
        <w:rPr>
          <w:rFonts w:ascii="Arial" w:eastAsia="Calibri" w:hAnsi="Arial" w:cs="Arial"/>
          <w:b/>
          <w:bCs/>
          <w:sz w:val="22"/>
        </w:rPr>
      </w:pPr>
    </w:p>
    <w:p w14:paraId="1BB48920" w14:textId="65CFBA21" w:rsidR="005224BC" w:rsidRPr="00830F50" w:rsidRDefault="005224BC" w:rsidP="005224BC">
      <w:pPr>
        <w:spacing w:line="276" w:lineRule="auto"/>
        <w:jc w:val="both"/>
        <w:rPr>
          <w:rFonts w:ascii="Arial" w:eastAsia="Calibri" w:hAnsi="Arial" w:cs="Arial"/>
          <w:b/>
          <w:bCs/>
          <w:sz w:val="22"/>
        </w:rPr>
      </w:pPr>
      <w:r w:rsidRPr="00830F50">
        <w:rPr>
          <w:rFonts w:ascii="Arial" w:eastAsia="Calibri" w:hAnsi="Arial" w:cs="Arial"/>
          <w:b/>
          <w:bCs/>
          <w:sz w:val="22"/>
        </w:rPr>
        <w:t>2.</w:t>
      </w:r>
      <w:r>
        <w:rPr>
          <w:rFonts w:ascii="Arial" w:eastAsia="Calibri" w:hAnsi="Arial" w:cs="Arial"/>
          <w:b/>
          <w:bCs/>
          <w:sz w:val="22"/>
        </w:rPr>
        <w:t>3</w:t>
      </w:r>
      <w:r w:rsidRPr="00830F50">
        <w:rPr>
          <w:rFonts w:ascii="Arial" w:eastAsia="Calibri" w:hAnsi="Arial" w:cs="Arial"/>
          <w:b/>
          <w:bCs/>
          <w:sz w:val="22"/>
        </w:rPr>
        <w:t xml:space="preserve">. </w:t>
      </w:r>
      <w:r>
        <w:rPr>
          <w:rFonts w:ascii="Arial" w:eastAsia="Calibri" w:hAnsi="Arial" w:cs="Arial"/>
          <w:b/>
          <w:bCs/>
          <w:sz w:val="22"/>
        </w:rPr>
        <w:t>La a</w:t>
      </w:r>
      <w:r w:rsidRPr="00830F50">
        <w:rPr>
          <w:rFonts w:ascii="Arial" w:eastAsia="Calibri" w:hAnsi="Arial" w:cs="Arial"/>
          <w:b/>
          <w:bCs/>
          <w:sz w:val="22"/>
        </w:rPr>
        <w:t>dición en los contratos estatales</w:t>
      </w:r>
      <w:r w:rsidR="0033660E">
        <w:rPr>
          <w:rFonts w:ascii="Arial" w:eastAsia="Calibri" w:hAnsi="Arial" w:cs="Arial"/>
          <w:b/>
          <w:bCs/>
          <w:sz w:val="22"/>
        </w:rPr>
        <w:t>.</w:t>
      </w:r>
      <w:r>
        <w:rPr>
          <w:rFonts w:ascii="Arial" w:eastAsia="Calibri" w:hAnsi="Arial" w:cs="Arial"/>
          <w:b/>
          <w:bCs/>
          <w:sz w:val="22"/>
        </w:rPr>
        <w:t xml:space="preserve"> </w:t>
      </w:r>
      <w:r w:rsidR="0033660E">
        <w:rPr>
          <w:rFonts w:ascii="Arial" w:eastAsia="Calibri" w:hAnsi="Arial" w:cs="Arial"/>
          <w:b/>
          <w:bCs/>
          <w:sz w:val="22"/>
        </w:rPr>
        <w:t>P</w:t>
      </w:r>
      <w:r>
        <w:rPr>
          <w:rFonts w:ascii="Arial" w:eastAsia="Calibri" w:hAnsi="Arial" w:cs="Arial"/>
          <w:b/>
          <w:bCs/>
          <w:sz w:val="22"/>
        </w:rPr>
        <w:t>articularidades de la interventoría</w:t>
      </w:r>
    </w:p>
    <w:p w14:paraId="77FD4393" w14:textId="77777777" w:rsidR="005224BC" w:rsidRPr="00830F50" w:rsidRDefault="005224BC" w:rsidP="005224BC">
      <w:pPr>
        <w:spacing w:line="276" w:lineRule="auto"/>
        <w:jc w:val="both"/>
        <w:rPr>
          <w:rFonts w:ascii="Arial" w:eastAsia="Calibri" w:hAnsi="Arial" w:cs="Arial"/>
          <w:b/>
          <w:bCs/>
          <w:sz w:val="22"/>
        </w:rPr>
      </w:pPr>
    </w:p>
    <w:p w14:paraId="4A164C06" w14:textId="77777777" w:rsidR="005224BC" w:rsidRPr="00830F50" w:rsidRDefault="005224BC" w:rsidP="005224BC">
      <w:pPr>
        <w:spacing w:after="120" w:line="276" w:lineRule="auto"/>
        <w:jc w:val="both"/>
        <w:rPr>
          <w:rFonts w:ascii="Arial" w:eastAsia="Calibri" w:hAnsi="Arial" w:cs="Arial"/>
          <w:sz w:val="22"/>
        </w:rPr>
      </w:pPr>
      <w:r>
        <w:rPr>
          <w:rFonts w:ascii="Arial" w:eastAsia="Calibri" w:hAnsi="Arial" w:cs="Arial"/>
          <w:sz w:val="22"/>
        </w:rPr>
        <w:t>L</w:t>
      </w:r>
      <w:r w:rsidRPr="00830F50">
        <w:rPr>
          <w:rFonts w:ascii="Arial" w:eastAsia="Calibri" w:hAnsi="Arial" w:cs="Arial"/>
          <w:sz w:val="22"/>
        </w:rPr>
        <w:t xml:space="preserve">a palabra </w:t>
      </w:r>
      <w:r w:rsidRPr="00830F50">
        <w:rPr>
          <w:rFonts w:ascii="Arial" w:eastAsia="Calibri" w:hAnsi="Arial" w:cs="Arial"/>
          <w:i/>
          <w:iCs/>
          <w:sz w:val="22"/>
        </w:rPr>
        <w:t xml:space="preserve">adición </w:t>
      </w:r>
      <w:r w:rsidRPr="00830F50">
        <w:rPr>
          <w:rFonts w:ascii="Arial" w:eastAsia="Calibri" w:hAnsi="Arial" w:cs="Arial"/>
          <w:sz w:val="22"/>
        </w:rPr>
        <w:t xml:space="preserve">significa «acción y efecto de añadir </w:t>
      </w:r>
      <w:r>
        <w:rPr>
          <w:rFonts w:ascii="Arial" w:eastAsia="Calibri" w:hAnsi="Arial" w:cs="Arial"/>
          <w:sz w:val="22"/>
        </w:rPr>
        <w:t>||</w:t>
      </w:r>
      <w:r w:rsidRPr="00830F50">
        <w:rPr>
          <w:rFonts w:ascii="Arial" w:eastAsia="Calibri" w:hAnsi="Arial" w:cs="Arial"/>
          <w:sz w:val="22"/>
        </w:rPr>
        <w:t xml:space="preserve"> agregar»</w:t>
      </w:r>
      <w:r>
        <w:rPr>
          <w:rStyle w:val="Refdenotaalpie"/>
          <w:rFonts w:ascii="Arial" w:eastAsia="Calibri" w:hAnsi="Arial" w:cs="Arial"/>
          <w:sz w:val="22"/>
        </w:rPr>
        <w:footnoteReference w:id="7"/>
      </w:r>
      <w:r w:rsidRPr="00830F50">
        <w:rPr>
          <w:rFonts w:ascii="Arial" w:eastAsia="Calibri" w:hAnsi="Arial" w:cs="Arial"/>
          <w:sz w:val="22"/>
        </w:rPr>
        <w:t xml:space="preserve">. </w:t>
      </w:r>
      <w:r>
        <w:rPr>
          <w:rFonts w:ascii="Arial" w:eastAsia="Calibri" w:hAnsi="Arial" w:cs="Arial"/>
          <w:sz w:val="22"/>
        </w:rPr>
        <w:t>En este sentido, es oportuno resaltar que l</w:t>
      </w:r>
      <w:r w:rsidRPr="00830F50">
        <w:rPr>
          <w:rFonts w:ascii="Arial" w:eastAsia="Calibri" w:hAnsi="Arial" w:cs="Arial"/>
          <w:sz w:val="22"/>
        </w:rPr>
        <w:t>os contratos estatales pueden ser objeto de situaciones que impliquen la necesidad de adicionar o modificar las condiciones inicialmente pactadas, conforme lo establece el artículo 40 de la Ley 80 de 1993, pudiendo incluirse las modalidades, condiciones y, en general</w:t>
      </w:r>
      <w:r>
        <w:rPr>
          <w:rFonts w:ascii="Arial" w:eastAsia="Calibri" w:hAnsi="Arial" w:cs="Arial"/>
          <w:sz w:val="22"/>
        </w:rPr>
        <w:t>,</w:t>
      </w:r>
      <w:r w:rsidRPr="00830F50">
        <w:rPr>
          <w:rFonts w:ascii="Arial" w:eastAsia="Calibri" w:hAnsi="Arial" w:cs="Arial"/>
          <w:sz w:val="22"/>
        </w:rPr>
        <w:t xml:space="preserve"> las cláusulas o estipulaciones que las partes consideren necesarias para el cabal cumplimiento del objeto contractual. </w:t>
      </w:r>
    </w:p>
    <w:p w14:paraId="546F5221" w14:textId="77777777" w:rsidR="005224BC" w:rsidRPr="00340697" w:rsidRDefault="005224BC" w:rsidP="005224BC">
      <w:pPr>
        <w:spacing w:after="120" w:line="276" w:lineRule="auto"/>
        <w:ind w:firstLine="709"/>
        <w:jc w:val="both"/>
        <w:rPr>
          <w:rFonts w:ascii="Arial" w:eastAsia="Calibri" w:hAnsi="Arial" w:cs="Arial"/>
          <w:sz w:val="22"/>
        </w:rPr>
      </w:pPr>
      <w:r w:rsidRPr="00830F50">
        <w:rPr>
          <w:rFonts w:ascii="Arial" w:eastAsia="Calibri" w:hAnsi="Arial" w:cs="Arial"/>
          <w:sz w:val="22"/>
        </w:rPr>
        <w:t xml:space="preserve">La ejecución de los contratos estatales está sujeta a los cambios propios del paso del tiempo. Así, durante la etapa de planeación, las entidades públicas estiman y determinan las prestaciones que demanda </w:t>
      </w:r>
      <w:r>
        <w:rPr>
          <w:rFonts w:ascii="Arial" w:eastAsia="Calibri" w:hAnsi="Arial" w:cs="Arial"/>
          <w:sz w:val="22"/>
        </w:rPr>
        <w:t xml:space="preserve">el cumplimiento </w:t>
      </w:r>
      <w:r w:rsidRPr="00830F50">
        <w:rPr>
          <w:rFonts w:ascii="Arial" w:eastAsia="Calibri" w:hAnsi="Arial" w:cs="Arial"/>
          <w:sz w:val="22"/>
        </w:rPr>
        <w:t xml:space="preserve">de la necesidad de interés </w:t>
      </w:r>
      <w:r>
        <w:rPr>
          <w:rFonts w:ascii="Arial" w:eastAsia="Calibri" w:hAnsi="Arial" w:cs="Arial"/>
          <w:sz w:val="22"/>
        </w:rPr>
        <w:t>general</w:t>
      </w:r>
      <w:r w:rsidRPr="00830F50">
        <w:rPr>
          <w:rFonts w:ascii="Arial" w:eastAsia="Calibri" w:hAnsi="Arial" w:cs="Arial"/>
          <w:sz w:val="22"/>
        </w:rPr>
        <w:t xml:space="preserve"> que pretende satisfacer. No obstante, durante la ejecución del contrato, las partes </w:t>
      </w:r>
      <w:r>
        <w:rPr>
          <w:rFonts w:ascii="Arial" w:eastAsia="Calibri" w:hAnsi="Arial" w:cs="Arial"/>
          <w:sz w:val="22"/>
        </w:rPr>
        <w:t xml:space="preserve">pueden </w:t>
      </w:r>
      <w:r w:rsidRPr="00830F50">
        <w:rPr>
          <w:rFonts w:ascii="Arial" w:eastAsia="Calibri" w:hAnsi="Arial" w:cs="Arial"/>
          <w:sz w:val="22"/>
        </w:rPr>
        <w:t>identifica</w:t>
      </w:r>
      <w:r>
        <w:rPr>
          <w:rFonts w:ascii="Arial" w:eastAsia="Calibri" w:hAnsi="Arial" w:cs="Arial"/>
          <w:sz w:val="22"/>
        </w:rPr>
        <w:t>r</w:t>
      </w:r>
      <w:r w:rsidRPr="00830F50">
        <w:rPr>
          <w:rFonts w:ascii="Arial" w:eastAsia="Calibri" w:hAnsi="Arial" w:cs="Arial"/>
          <w:sz w:val="22"/>
        </w:rPr>
        <w:t xml:space="preserve"> alguna de las siguientes situaciones: i) la necesidad de mayores cantidades de bienes o actividades inicialmente previstos, a lo que se le conoce como «mayores cantidades de obra», «obras adicionales» o adición de «ítems contractuales»; y ii) la necesidad de ampliar las prestaciones contractuales, mediante la ejecución de nuevos ítems o actividades, no incluidos en el contrato inicial, para lo que en la práctica las entidades ejecutan «obras extra» o «amplían el alcance» del contrato mediante la </w:t>
      </w:r>
      <w:r w:rsidRPr="00830F50">
        <w:rPr>
          <w:rFonts w:ascii="Arial" w:eastAsia="Calibri" w:hAnsi="Arial" w:cs="Arial"/>
          <w:sz w:val="22"/>
        </w:rPr>
        <w:lastRenderedPageBreak/>
        <w:t xml:space="preserve">celebración de un «contrato adicional». No obstante, estos términos –algunos de ellos usualmente empleados en contratos de obra– son nociones doctrinarias que se utilizan en la práctica por las entidades estatales, que actualmente no tienen un fundamento particular </w:t>
      </w:r>
      <w:r w:rsidRPr="00340697">
        <w:rPr>
          <w:rFonts w:ascii="Arial" w:eastAsia="Calibri" w:hAnsi="Arial" w:cs="Arial"/>
          <w:sz w:val="22"/>
        </w:rPr>
        <w:t xml:space="preserve">en el ordenamiento jurídico, el cual no le asigna efectos específicos a cada uno de ellos. </w:t>
      </w:r>
    </w:p>
    <w:p w14:paraId="4DAE8E8F" w14:textId="1AB5BE2F" w:rsidR="005224BC" w:rsidRDefault="005224BC" w:rsidP="005224BC">
      <w:pPr>
        <w:spacing w:before="120" w:after="120" w:line="276" w:lineRule="auto"/>
        <w:ind w:firstLine="709"/>
        <w:jc w:val="both"/>
        <w:rPr>
          <w:rFonts w:ascii="Arial" w:eastAsia="Calibri" w:hAnsi="Arial" w:cs="Arial"/>
          <w:sz w:val="22"/>
        </w:rPr>
      </w:pPr>
      <w:r w:rsidRPr="00340697">
        <w:rPr>
          <w:rFonts w:ascii="Arial" w:eastAsia="Calibri" w:hAnsi="Arial" w:cs="Arial"/>
          <w:sz w:val="22"/>
        </w:rPr>
        <w:t>Lo importante es que, frente a cualquier incremento del valor inicial del contrato,</w:t>
      </w:r>
      <w:r w:rsidRPr="00340697">
        <w:rPr>
          <w:rFonts w:ascii="Arial" w:eastAsia="Calibri" w:hAnsi="Arial" w:cs="Arial"/>
          <w:i/>
          <w:iCs/>
          <w:sz w:val="22"/>
        </w:rPr>
        <w:t xml:space="preserve"> </w:t>
      </w:r>
      <w:r w:rsidRPr="00340697">
        <w:rPr>
          <w:rFonts w:ascii="Arial" w:eastAsia="Calibri" w:hAnsi="Arial" w:cs="Arial"/>
          <w:sz w:val="22"/>
        </w:rPr>
        <w:t>por cualquiera de los dos supuestos señalados previamente, e independiente del nombre que se le dé al acuerdo, aplica el límite previsto en el parágrafo del artículo 40 de la Ley 80 de 1993: «Los contratos no podrán adicionarse en más del cincuenta por ciento (50%) de su valor inicial, expresado éste en salarios mínimos legales mensuales». De manera que, aunque es posible celebrar todos los tipos de acuerdos indicados, siempre debe observarse esta última disposición</w:t>
      </w:r>
      <w:r w:rsidRPr="00340697">
        <w:rPr>
          <w:rStyle w:val="Refdenotaalpie"/>
          <w:rFonts w:ascii="Arial" w:eastAsia="Calibri" w:hAnsi="Arial" w:cs="Arial"/>
          <w:sz w:val="22"/>
        </w:rPr>
        <w:footnoteReference w:id="8"/>
      </w:r>
      <w:r w:rsidRPr="00340697">
        <w:rPr>
          <w:rFonts w:ascii="Arial" w:eastAsia="Calibri" w:hAnsi="Arial" w:cs="Arial"/>
          <w:sz w:val="22"/>
        </w:rPr>
        <w:t>.</w:t>
      </w:r>
    </w:p>
    <w:p w14:paraId="3C9FE43C" w14:textId="28AB5716" w:rsidR="005224BC" w:rsidRPr="00830F50" w:rsidRDefault="005224BC" w:rsidP="005224BC">
      <w:pPr>
        <w:spacing w:after="120" w:line="276" w:lineRule="auto"/>
        <w:ind w:firstLine="709"/>
        <w:jc w:val="both"/>
        <w:rPr>
          <w:rFonts w:ascii="Arial" w:eastAsia="Calibri" w:hAnsi="Arial" w:cs="Arial"/>
          <w:sz w:val="22"/>
        </w:rPr>
      </w:pPr>
      <w:r w:rsidRPr="00830F50">
        <w:rPr>
          <w:rFonts w:ascii="Arial" w:eastAsia="Calibri" w:hAnsi="Arial" w:cs="Arial"/>
          <w:sz w:val="22"/>
        </w:rPr>
        <w:t xml:space="preserve">Dicha norma además de consagrar una prohibición trae implícita una autorización, consistente en la posibilidad de adicionar los contratos estatales, siempre que no se supere el tope establecido. Debe tenerse en cuenta que el límite debe establecerse en salarios mínimos para que el cálculo del tope sea preciso; de manera que para adicionar un contrato debe dividirse el valor inicial por el salario mínimo vigente al momento de la suscripción del contrato, y luego dividirlo por 2; el resultado obtenido constituirá el número de SMLMV por los cuales podrá adicionarse el contrato. En este sentido, para evitar equivocaciones, lo ideal es que cada </w:t>
      </w:r>
      <w:r>
        <w:rPr>
          <w:rFonts w:ascii="Arial" w:eastAsia="Calibri" w:hAnsi="Arial" w:cs="Arial"/>
          <w:sz w:val="22"/>
        </w:rPr>
        <w:t xml:space="preserve">vez </w:t>
      </w:r>
      <w:r w:rsidRPr="00830F50">
        <w:rPr>
          <w:rFonts w:ascii="Arial" w:eastAsia="Calibri" w:hAnsi="Arial" w:cs="Arial"/>
          <w:sz w:val="22"/>
        </w:rPr>
        <w:t xml:space="preserve">que se efectúe una adición, se estime su valor en salarios mínimos, </w:t>
      </w:r>
      <w:r>
        <w:rPr>
          <w:rFonts w:ascii="Arial" w:eastAsia="Calibri" w:hAnsi="Arial" w:cs="Arial"/>
          <w:sz w:val="22"/>
        </w:rPr>
        <w:t>los cuales</w:t>
      </w:r>
      <w:r w:rsidRPr="00830F50">
        <w:rPr>
          <w:rFonts w:ascii="Arial" w:eastAsia="Calibri" w:hAnsi="Arial" w:cs="Arial"/>
          <w:sz w:val="22"/>
        </w:rPr>
        <w:t xml:space="preserve"> se calcularán con base en el </w:t>
      </w:r>
      <w:r>
        <w:rPr>
          <w:rFonts w:ascii="Arial" w:eastAsia="Calibri" w:hAnsi="Arial" w:cs="Arial"/>
          <w:sz w:val="22"/>
        </w:rPr>
        <w:t xml:space="preserve">salario </w:t>
      </w:r>
      <w:r w:rsidRPr="00830F50">
        <w:rPr>
          <w:rFonts w:ascii="Arial" w:eastAsia="Calibri" w:hAnsi="Arial" w:cs="Arial"/>
          <w:sz w:val="22"/>
        </w:rPr>
        <w:t>vigente al momento de la adición, de manera que se descuenten estos de los salarios mínimos que restan por adicionar</w:t>
      </w:r>
      <w:r w:rsidR="0095566C">
        <w:rPr>
          <w:rFonts w:ascii="Arial" w:eastAsia="Calibri" w:hAnsi="Arial" w:cs="Arial"/>
          <w:sz w:val="22"/>
        </w:rPr>
        <w:t>. Esto teniendo en cuenta que</w:t>
      </w:r>
      <w:r w:rsidRPr="00830F50">
        <w:rPr>
          <w:rFonts w:ascii="Arial" w:eastAsia="Calibri" w:hAnsi="Arial" w:cs="Arial"/>
          <w:sz w:val="22"/>
        </w:rPr>
        <w:t xml:space="preserve"> las modificaciones podrían hacerse en diferentes años, porque si el contrato se ejecuta sin existir variación en el valor del salario mínimo la operación sería la misma si se toma el monto en pesos</w:t>
      </w:r>
      <w:r>
        <w:rPr>
          <w:rFonts w:ascii="Arial" w:eastAsia="Calibri" w:hAnsi="Arial" w:cs="Arial"/>
          <w:sz w:val="22"/>
        </w:rPr>
        <w:t xml:space="preserve"> </w:t>
      </w:r>
      <w:r w:rsidR="0095566C">
        <w:rPr>
          <w:rFonts w:ascii="Arial" w:eastAsia="Calibri" w:hAnsi="Arial" w:cs="Arial"/>
          <w:sz w:val="22"/>
        </w:rPr>
        <w:t>o</w:t>
      </w:r>
      <w:r>
        <w:rPr>
          <w:rFonts w:ascii="Arial" w:eastAsia="Calibri" w:hAnsi="Arial" w:cs="Arial"/>
          <w:sz w:val="22"/>
        </w:rPr>
        <w:t xml:space="preserve"> en salarios</w:t>
      </w:r>
      <w:r w:rsidR="0095566C">
        <w:rPr>
          <w:rFonts w:ascii="Arial" w:eastAsia="Calibri" w:hAnsi="Arial" w:cs="Arial"/>
          <w:sz w:val="22"/>
        </w:rPr>
        <w:t xml:space="preserve"> mínimos</w:t>
      </w:r>
      <w:r>
        <w:rPr>
          <w:rFonts w:ascii="Arial" w:eastAsia="Calibri" w:hAnsi="Arial" w:cs="Arial"/>
          <w:sz w:val="22"/>
        </w:rPr>
        <w:t>.</w:t>
      </w:r>
    </w:p>
    <w:p w14:paraId="5D0394EE" w14:textId="77777777" w:rsidR="005224BC" w:rsidRPr="00830F50" w:rsidRDefault="005224BC" w:rsidP="005224BC">
      <w:pPr>
        <w:spacing w:before="120" w:after="120" w:line="276" w:lineRule="auto"/>
        <w:ind w:firstLine="709"/>
        <w:jc w:val="both"/>
        <w:rPr>
          <w:rFonts w:ascii="Arial" w:eastAsia="Calibri" w:hAnsi="Arial" w:cs="Arial"/>
          <w:sz w:val="22"/>
        </w:rPr>
      </w:pPr>
      <w:r w:rsidRPr="00830F50">
        <w:rPr>
          <w:rFonts w:ascii="Arial" w:eastAsia="Calibri" w:hAnsi="Arial" w:cs="Arial"/>
          <w:sz w:val="22"/>
        </w:rPr>
        <w:t xml:space="preserve">El razonamiento anterior se fundamenta en la forma </w:t>
      </w:r>
      <w:r>
        <w:rPr>
          <w:rFonts w:ascii="Arial" w:eastAsia="Calibri" w:hAnsi="Arial" w:cs="Arial"/>
          <w:sz w:val="22"/>
        </w:rPr>
        <w:t>en que</w:t>
      </w:r>
      <w:r w:rsidRPr="00830F50">
        <w:rPr>
          <w:rFonts w:ascii="Arial" w:eastAsia="Calibri" w:hAnsi="Arial" w:cs="Arial"/>
          <w:sz w:val="22"/>
        </w:rPr>
        <w:t xml:space="preserve"> la Ley 80 de 1993 estableció el tope para las adiciones, acudiendo a una forma de actualización del valor, de acuerdo con los incrementos que tenga el salario mínimo, lo que resulta especialmente relevante en contratos de larga duración. </w:t>
      </w:r>
    </w:p>
    <w:p w14:paraId="6D756512" w14:textId="618FBB35" w:rsidR="005224BC" w:rsidRDefault="0095566C" w:rsidP="005224BC">
      <w:pPr>
        <w:spacing w:before="120" w:after="120" w:line="276" w:lineRule="auto"/>
        <w:ind w:firstLine="709"/>
        <w:jc w:val="both"/>
        <w:rPr>
          <w:rFonts w:ascii="Arial" w:eastAsia="Calibri" w:hAnsi="Arial" w:cs="Arial"/>
          <w:sz w:val="22"/>
        </w:rPr>
      </w:pPr>
      <w:r>
        <w:rPr>
          <w:rFonts w:ascii="Arial" w:eastAsia="Calibri" w:hAnsi="Arial" w:cs="Arial"/>
          <w:sz w:val="22"/>
        </w:rPr>
        <w:t>No obstante lo anterior</w:t>
      </w:r>
      <w:r w:rsidR="005224BC">
        <w:rPr>
          <w:rFonts w:ascii="Arial" w:eastAsia="Calibri" w:hAnsi="Arial" w:cs="Arial"/>
          <w:sz w:val="22"/>
        </w:rPr>
        <w:t>,</w:t>
      </w:r>
      <w:r>
        <w:rPr>
          <w:rFonts w:ascii="Arial" w:eastAsia="Calibri" w:hAnsi="Arial" w:cs="Arial"/>
          <w:sz w:val="22"/>
        </w:rPr>
        <w:t xml:space="preserve"> que constituye la regla general en los contratos estatales sometidos al EGCAP,</w:t>
      </w:r>
      <w:r w:rsidR="005224BC">
        <w:rPr>
          <w:rFonts w:ascii="Arial" w:eastAsia="Calibri" w:hAnsi="Arial" w:cs="Arial"/>
          <w:sz w:val="22"/>
        </w:rPr>
        <w:t xml:space="preserve"> e</w:t>
      </w:r>
      <w:r w:rsidR="005224BC" w:rsidRPr="00830F50">
        <w:rPr>
          <w:rFonts w:ascii="Arial" w:eastAsia="Calibri" w:hAnsi="Arial" w:cs="Arial"/>
          <w:sz w:val="22"/>
        </w:rPr>
        <w:t xml:space="preserve">n los casos </w:t>
      </w:r>
      <w:r w:rsidR="005224BC">
        <w:rPr>
          <w:rFonts w:ascii="Arial" w:eastAsia="Calibri" w:hAnsi="Arial" w:cs="Arial"/>
          <w:sz w:val="22"/>
        </w:rPr>
        <w:t xml:space="preserve">en </w:t>
      </w:r>
      <w:r w:rsidR="005224BC" w:rsidRPr="00830F50">
        <w:rPr>
          <w:rFonts w:ascii="Arial" w:eastAsia="Calibri" w:hAnsi="Arial" w:cs="Arial"/>
          <w:sz w:val="22"/>
        </w:rPr>
        <w:t>que se requiera adicionar el servicio de interventoría</w:t>
      </w:r>
      <w:r w:rsidR="005224BC">
        <w:rPr>
          <w:rFonts w:ascii="Arial" w:eastAsia="Calibri" w:hAnsi="Arial" w:cs="Arial"/>
          <w:sz w:val="22"/>
        </w:rPr>
        <w:t>,</w:t>
      </w:r>
      <w:r w:rsidR="005224BC" w:rsidRPr="00830F50">
        <w:rPr>
          <w:rFonts w:ascii="Arial" w:eastAsia="Calibri" w:hAnsi="Arial" w:cs="Arial"/>
          <w:sz w:val="22"/>
        </w:rPr>
        <w:t xml:space="preserve"> por cuanto el contrato objeto de vigilancia no ha concluido, ya sea porque fue suspendido </w:t>
      </w:r>
      <w:r w:rsidR="005224BC" w:rsidRPr="00830F50">
        <w:rPr>
          <w:rFonts w:ascii="Arial" w:eastAsia="Calibri" w:hAnsi="Arial" w:cs="Arial"/>
          <w:sz w:val="22"/>
        </w:rPr>
        <w:lastRenderedPageBreak/>
        <w:t xml:space="preserve">el plazo o porque se </w:t>
      </w:r>
      <w:r>
        <w:rPr>
          <w:rFonts w:ascii="Arial" w:eastAsia="Calibri" w:hAnsi="Arial" w:cs="Arial"/>
          <w:sz w:val="22"/>
        </w:rPr>
        <w:t>amplió</w:t>
      </w:r>
      <w:r w:rsidRPr="00830F50">
        <w:rPr>
          <w:rFonts w:ascii="Arial" w:eastAsia="Calibri" w:hAnsi="Arial" w:cs="Arial"/>
          <w:sz w:val="22"/>
        </w:rPr>
        <w:t xml:space="preserve"> </w:t>
      </w:r>
      <w:r w:rsidR="005224BC" w:rsidRPr="00830F50">
        <w:rPr>
          <w:rFonts w:ascii="Arial" w:eastAsia="Calibri" w:hAnsi="Arial" w:cs="Arial"/>
          <w:sz w:val="22"/>
        </w:rPr>
        <w:t>el plazo</w:t>
      </w:r>
      <w:r>
        <w:rPr>
          <w:rFonts w:ascii="Arial" w:eastAsia="Calibri" w:hAnsi="Arial" w:cs="Arial"/>
          <w:sz w:val="22"/>
        </w:rPr>
        <w:t xml:space="preserve"> de ejecución</w:t>
      </w:r>
      <w:r w:rsidR="005224BC" w:rsidRPr="00830F50">
        <w:rPr>
          <w:rFonts w:ascii="Arial" w:eastAsia="Calibri" w:hAnsi="Arial" w:cs="Arial"/>
          <w:sz w:val="22"/>
        </w:rPr>
        <w:t>, la situación se regirá por</w:t>
      </w:r>
      <w:r w:rsidR="005224BC">
        <w:rPr>
          <w:rFonts w:ascii="Arial" w:eastAsia="Calibri" w:hAnsi="Arial" w:cs="Arial"/>
          <w:sz w:val="22"/>
        </w:rPr>
        <w:t xml:space="preserve"> una norma especial, contenida en</w:t>
      </w:r>
      <w:r w:rsidR="005224BC" w:rsidRPr="00830F50">
        <w:rPr>
          <w:rFonts w:ascii="Arial" w:eastAsia="Calibri" w:hAnsi="Arial" w:cs="Arial"/>
          <w:sz w:val="22"/>
        </w:rPr>
        <w:t xml:space="preserve"> el artículo 85 de la Ley 1474 de 2011</w:t>
      </w:r>
      <w:r w:rsidR="005224BC">
        <w:rPr>
          <w:rFonts w:ascii="Arial" w:eastAsia="Calibri" w:hAnsi="Arial" w:cs="Arial"/>
          <w:sz w:val="22"/>
        </w:rPr>
        <w:t xml:space="preserve">. </w:t>
      </w:r>
      <w:r w:rsidR="007E1178">
        <w:rPr>
          <w:rFonts w:ascii="Arial" w:eastAsia="Calibri" w:hAnsi="Arial" w:cs="Arial"/>
          <w:sz w:val="22"/>
        </w:rPr>
        <w:t>Dicha norma</w:t>
      </w:r>
      <w:r>
        <w:rPr>
          <w:rFonts w:ascii="Arial" w:eastAsia="Calibri" w:hAnsi="Arial" w:cs="Arial"/>
          <w:sz w:val="22"/>
        </w:rPr>
        <w:t xml:space="preserve"> establece</w:t>
      </w:r>
      <w:r w:rsidR="005224BC">
        <w:rPr>
          <w:rFonts w:ascii="Arial" w:eastAsia="Calibri" w:hAnsi="Arial" w:cs="Arial"/>
          <w:sz w:val="22"/>
        </w:rPr>
        <w:t xml:space="preserve">: </w:t>
      </w:r>
    </w:p>
    <w:p w14:paraId="4BB351FC" w14:textId="620DBCDD" w:rsidR="005224BC" w:rsidRPr="00340697" w:rsidRDefault="005224BC" w:rsidP="005224BC">
      <w:pPr>
        <w:spacing w:before="120" w:after="120"/>
        <w:ind w:left="708" w:right="900"/>
        <w:jc w:val="both"/>
        <w:rPr>
          <w:rFonts w:ascii="Arial" w:eastAsia="Calibri" w:hAnsi="Arial" w:cs="Arial"/>
          <w:sz w:val="21"/>
          <w:szCs w:val="21"/>
        </w:rPr>
      </w:pPr>
      <w:r w:rsidRPr="00340697">
        <w:rPr>
          <w:rFonts w:ascii="Arial" w:eastAsia="Calibri" w:hAnsi="Arial" w:cs="Arial"/>
          <w:sz w:val="21"/>
          <w:szCs w:val="21"/>
        </w:rPr>
        <w:t>Artículo 85. Continuidad de la interventoría. Los contratos de interventoría podrán prorrogarse por el mismo plazo que se haya prorrogado el contrato objeto de vigilancia. En tal caso el valor podrá ajustarse en atención a las obligaciones del objeto de interventoría, sin que resulte aplicable lo dispuesto en el parágrafo del artículo 40 de la Ley 80 de 1993.</w:t>
      </w:r>
    </w:p>
    <w:p w14:paraId="395D007F" w14:textId="4413579B" w:rsidR="005224BC" w:rsidRPr="00340697" w:rsidRDefault="005224BC" w:rsidP="00340697">
      <w:pPr>
        <w:spacing w:before="120"/>
        <w:ind w:left="708" w:right="900" w:firstLine="1"/>
        <w:jc w:val="both"/>
        <w:rPr>
          <w:rFonts w:ascii="Arial" w:eastAsia="Calibri" w:hAnsi="Arial" w:cs="Arial"/>
          <w:sz w:val="21"/>
          <w:szCs w:val="21"/>
        </w:rPr>
      </w:pPr>
      <w:r w:rsidRPr="00340697">
        <w:rPr>
          <w:rFonts w:ascii="Arial" w:eastAsia="Calibri" w:hAnsi="Arial" w:cs="Arial"/>
          <w:sz w:val="21"/>
          <w:szCs w:val="21"/>
        </w:rPr>
        <w:t>Parágrafo. Para la ejecución de los contratos de interventoría es obligatoria la constitución y aprobación de la garantía de cumplimiento hasta por el mismo término de la garantía de estabilidad del contrato principal; el Gobierno Nacional regulará la materia. En este evento podrá darse aplicación al artículo 7° de la Ley 1150, en cuanto a la posibilidad de que la garantía pueda ser dividida teniendo en cuenta las etapas o riesgos relativos a la ejecución del respectivo contrato»</w:t>
      </w:r>
      <w:r w:rsidR="0095566C" w:rsidRPr="00340697">
        <w:rPr>
          <w:rFonts w:ascii="Arial" w:eastAsia="Calibri" w:hAnsi="Arial" w:cs="Arial"/>
          <w:sz w:val="21"/>
          <w:szCs w:val="21"/>
        </w:rPr>
        <w:t xml:space="preserve"> (Cursiva fuera de texto). </w:t>
      </w:r>
    </w:p>
    <w:p w14:paraId="56EF6D72" w14:textId="77777777" w:rsidR="0095566C" w:rsidRDefault="0095566C" w:rsidP="00340697">
      <w:pPr>
        <w:spacing w:line="276" w:lineRule="auto"/>
        <w:ind w:firstLine="708"/>
        <w:jc w:val="both"/>
        <w:rPr>
          <w:rFonts w:ascii="Arial" w:eastAsia="Calibri" w:hAnsi="Arial" w:cs="Arial"/>
          <w:sz w:val="22"/>
        </w:rPr>
      </w:pPr>
    </w:p>
    <w:p w14:paraId="4BC9E720" w14:textId="5ADBADCC" w:rsidR="005224BC" w:rsidRDefault="005224BC" w:rsidP="00985488">
      <w:pPr>
        <w:spacing w:after="120" w:line="276" w:lineRule="auto"/>
        <w:ind w:firstLine="708"/>
        <w:jc w:val="both"/>
        <w:rPr>
          <w:rFonts w:ascii="Arial" w:eastAsia="Calibri" w:hAnsi="Arial" w:cs="Arial"/>
          <w:sz w:val="22"/>
        </w:rPr>
      </w:pPr>
      <w:r w:rsidRPr="00830F50">
        <w:rPr>
          <w:rFonts w:ascii="Arial" w:eastAsia="Calibri" w:hAnsi="Arial" w:cs="Arial"/>
          <w:sz w:val="22"/>
        </w:rPr>
        <w:t>Este supuesto normativo</w:t>
      </w:r>
      <w:r>
        <w:rPr>
          <w:rFonts w:ascii="Arial" w:eastAsia="Calibri" w:hAnsi="Arial" w:cs="Arial"/>
          <w:sz w:val="22"/>
        </w:rPr>
        <w:t xml:space="preserve">, que materializa la </w:t>
      </w:r>
      <w:r w:rsidR="0095566C">
        <w:rPr>
          <w:rFonts w:ascii="Arial" w:eastAsia="Calibri" w:hAnsi="Arial" w:cs="Arial"/>
          <w:sz w:val="22"/>
        </w:rPr>
        <w:t>«</w:t>
      </w:r>
      <w:r>
        <w:rPr>
          <w:rFonts w:ascii="Arial" w:eastAsia="Calibri" w:hAnsi="Arial" w:cs="Arial"/>
          <w:sz w:val="22"/>
        </w:rPr>
        <w:t>continuidad de la interventoría</w:t>
      </w:r>
      <w:r w:rsidR="0095566C">
        <w:rPr>
          <w:rFonts w:ascii="Arial" w:eastAsia="Calibri" w:hAnsi="Arial" w:cs="Arial"/>
          <w:sz w:val="22"/>
        </w:rPr>
        <w:t>»</w:t>
      </w:r>
      <w:r>
        <w:rPr>
          <w:rFonts w:ascii="Arial" w:eastAsia="Calibri" w:hAnsi="Arial" w:cs="Arial"/>
          <w:sz w:val="22"/>
        </w:rPr>
        <w:t>,</w:t>
      </w:r>
      <w:r w:rsidRPr="00830F50">
        <w:rPr>
          <w:rFonts w:ascii="Arial" w:eastAsia="Calibri" w:hAnsi="Arial" w:cs="Arial"/>
          <w:sz w:val="22"/>
        </w:rPr>
        <w:t xml:space="preserve"> </w:t>
      </w:r>
      <w:r w:rsidR="0095566C">
        <w:rPr>
          <w:rFonts w:ascii="Arial" w:eastAsia="Calibri" w:hAnsi="Arial" w:cs="Arial"/>
          <w:sz w:val="22"/>
        </w:rPr>
        <w:t>establece</w:t>
      </w:r>
      <w:r w:rsidRPr="00830F50">
        <w:rPr>
          <w:rFonts w:ascii="Arial" w:eastAsia="Calibri" w:hAnsi="Arial" w:cs="Arial"/>
          <w:sz w:val="22"/>
        </w:rPr>
        <w:t xml:space="preserve"> una excepción a la regla general de adición de los contratos estatales, en la medida en que no se tendrá en cuenta el límite del 50% del valor </w:t>
      </w:r>
      <w:r w:rsidR="00AD51BE">
        <w:rPr>
          <w:rFonts w:ascii="Arial" w:eastAsia="Calibri" w:hAnsi="Arial" w:cs="Arial"/>
          <w:sz w:val="22"/>
        </w:rPr>
        <w:t>inicial</w:t>
      </w:r>
      <w:r w:rsidR="00AD51BE" w:rsidRPr="00830F50">
        <w:rPr>
          <w:rFonts w:ascii="Arial" w:eastAsia="Calibri" w:hAnsi="Arial" w:cs="Arial"/>
          <w:sz w:val="22"/>
        </w:rPr>
        <w:t xml:space="preserve"> </w:t>
      </w:r>
      <w:r w:rsidRPr="00830F50">
        <w:rPr>
          <w:rFonts w:ascii="Arial" w:eastAsia="Calibri" w:hAnsi="Arial" w:cs="Arial"/>
          <w:sz w:val="22"/>
        </w:rPr>
        <w:t xml:space="preserve">del contrato. </w:t>
      </w:r>
      <w:r w:rsidR="00985488">
        <w:rPr>
          <w:rFonts w:ascii="Arial" w:eastAsia="Calibri" w:hAnsi="Arial" w:cs="Arial"/>
          <w:sz w:val="22"/>
        </w:rPr>
        <w:t>En este sentido, l</w:t>
      </w:r>
      <w:r w:rsidRPr="00830F50">
        <w:rPr>
          <w:rFonts w:ascii="Arial" w:eastAsia="Calibri" w:hAnsi="Arial" w:cs="Arial"/>
          <w:sz w:val="22"/>
        </w:rPr>
        <w:t xml:space="preserve">a doctrina ha manifestado sobre esta </w:t>
      </w:r>
      <w:r w:rsidR="00AD51BE">
        <w:rPr>
          <w:rFonts w:ascii="Arial" w:eastAsia="Calibri" w:hAnsi="Arial" w:cs="Arial"/>
          <w:sz w:val="22"/>
        </w:rPr>
        <w:t>disposición</w:t>
      </w:r>
      <w:r w:rsidR="00AD51BE" w:rsidRPr="00830F50">
        <w:rPr>
          <w:rFonts w:ascii="Arial" w:eastAsia="Calibri" w:hAnsi="Arial" w:cs="Arial"/>
          <w:sz w:val="22"/>
        </w:rPr>
        <w:t xml:space="preserve"> </w:t>
      </w:r>
      <w:r w:rsidRPr="00830F50">
        <w:rPr>
          <w:rFonts w:ascii="Arial" w:eastAsia="Calibri" w:hAnsi="Arial" w:cs="Arial"/>
          <w:sz w:val="22"/>
        </w:rPr>
        <w:t>que «el artículo 85 no contiene impedimento para adicionar sin límite el contrato de interventoría, con una ventaja adicional: que puede ser para cualquier objeto de contrato que haya requerido contratar externamente la interventoría»</w:t>
      </w:r>
      <w:r w:rsidRPr="00830F50">
        <w:rPr>
          <w:rStyle w:val="Refdenotaalpie"/>
          <w:rFonts w:ascii="Arial" w:eastAsia="Calibri" w:hAnsi="Arial" w:cs="Arial"/>
          <w:sz w:val="22"/>
        </w:rPr>
        <w:footnoteReference w:id="9"/>
      </w:r>
      <w:r w:rsidR="00985488">
        <w:rPr>
          <w:rFonts w:ascii="Arial" w:eastAsia="Calibri" w:hAnsi="Arial" w:cs="Arial"/>
          <w:sz w:val="22"/>
        </w:rPr>
        <w:t xml:space="preserve">. </w:t>
      </w:r>
    </w:p>
    <w:p w14:paraId="188E6499" w14:textId="4F5F44CC" w:rsidR="00985488" w:rsidRPr="00830F50" w:rsidRDefault="00F23685" w:rsidP="00340697">
      <w:pPr>
        <w:spacing w:after="120" w:line="276" w:lineRule="auto"/>
        <w:ind w:firstLine="708"/>
        <w:jc w:val="both"/>
        <w:rPr>
          <w:rFonts w:ascii="Arial" w:hAnsi="Arial" w:cs="Arial"/>
          <w:sz w:val="22"/>
        </w:rPr>
      </w:pPr>
      <w:r>
        <w:rPr>
          <w:rFonts w:ascii="Arial" w:eastAsia="Calibri" w:hAnsi="Arial" w:cs="Arial"/>
          <w:sz w:val="22"/>
        </w:rPr>
        <w:t xml:space="preserve">La disposición anterior tiene como finalidad que se mantenga la vigilancia frente a la ejecución de los contratos estatales, mediante el mecanismo especializado de la interventoría, sin que este seguimiento sea afectado por el tope establecido en el </w:t>
      </w:r>
      <w:r w:rsidR="004C0471">
        <w:rPr>
          <w:rFonts w:ascii="Arial" w:eastAsia="Calibri" w:hAnsi="Arial" w:cs="Arial"/>
          <w:sz w:val="22"/>
        </w:rPr>
        <w:t xml:space="preserve">inciso segundo del </w:t>
      </w:r>
      <w:r>
        <w:rPr>
          <w:rFonts w:ascii="Arial" w:eastAsia="Calibri" w:hAnsi="Arial" w:cs="Arial"/>
          <w:sz w:val="22"/>
        </w:rPr>
        <w:t>parágrafo del artículo 40 de la Ley 80 de 1993. En tal sentido, la excepción se establece de forma especial frente a un objeto contractual específico, que hace parte de la tipología contractual de la consultoría</w:t>
      </w:r>
      <w:r w:rsidR="004C0471">
        <w:rPr>
          <w:rFonts w:ascii="Arial" w:eastAsia="Calibri" w:hAnsi="Arial" w:cs="Arial"/>
          <w:sz w:val="22"/>
        </w:rPr>
        <w:t>, consistente en que se trate de un contrato de interventoría</w:t>
      </w:r>
      <w:r>
        <w:rPr>
          <w:rFonts w:ascii="Arial" w:eastAsia="Calibri" w:hAnsi="Arial" w:cs="Arial"/>
          <w:sz w:val="22"/>
        </w:rPr>
        <w:t xml:space="preserve">. De esta manera, independientemente de la modalidad de selección o del sujeto con quien se celebre el contrato de interventoría aplica la norma especial del artículo 85 de la Ley 1474 de 2011, por lo que incluso en un contrato </w:t>
      </w:r>
      <w:r w:rsidR="0024522C">
        <w:rPr>
          <w:rFonts w:ascii="Arial" w:eastAsia="Calibri" w:hAnsi="Arial" w:cs="Arial"/>
          <w:sz w:val="22"/>
        </w:rPr>
        <w:t>interadministrativo,</w:t>
      </w:r>
      <w:r>
        <w:rPr>
          <w:rFonts w:ascii="Arial" w:eastAsia="Calibri" w:hAnsi="Arial" w:cs="Arial"/>
          <w:sz w:val="22"/>
        </w:rPr>
        <w:t xml:space="preserve"> cuyo objeto sea la interventoría de un contrato estatal</w:t>
      </w:r>
      <w:r w:rsidR="0024522C">
        <w:rPr>
          <w:rFonts w:ascii="Arial" w:eastAsia="Calibri" w:hAnsi="Arial" w:cs="Arial"/>
          <w:sz w:val="22"/>
        </w:rPr>
        <w:t>,</w:t>
      </w:r>
      <w:r>
        <w:rPr>
          <w:rFonts w:ascii="Arial" w:eastAsia="Calibri" w:hAnsi="Arial" w:cs="Arial"/>
          <w:sz w:val="22"/>
        </w:rPr>
        <w:t xml:space="preserve"> </w:t>
      </w:r>
      <w:r w:rsidR="004C0471">
        <w:rPr>
          <w:rFonts w:ascii="Arial" w:eastAsia="Calibri" w:hAnsi="Arial" w:cs="Arial"/>
          <w:sz w:val="22"/>
        </w:rPr>
        <w:t>se debe tener en cuenta</w:t>
      </w:r>
      <w:r>
        <w:rPr>
          <w:rFonts w:ascii="Arial" w:eastAsia="Calibri" w:hAnsi="Arial" w:cs="Arial"/>
          <w:sz w:val="22"/>
        </w:rPr>
        <w:t xml:space="preserve"> esta última disposición, por lo que no aplica</w:t>
      </w:r>
      <w:r w:rsidR="004C0471">
        <w:rPr>
          <w:rFonts w:ascii="Arial" w:eastAsia="Calibri" w:hAnsi="Arial" w:cs="Arial"/>
          <w:sz w:val="22"/>
        </w:rPr>
        <w:t>ría</w:t>
      </w:r>
      <w:r>
        <w:rPr>
          <w:rFonts w:ascii="Arial" w:eastAsia="Calibri" w:hAnsi="Arial" w:cs="Arial"/>
          <w:sz w:val="22"/>
        </w:rPr>
        <w:t xml:space="preserve"> el tope establecido en el </w:t>
      </w:r>
      <w:r w:rsidR="004C0471">
        <w:rPr>
          <w:rFonts w:ascii="Arial" w:eastAsia="Calibri" w:hAnsi="Arial" w:cs="Arial"/>
          <w:sz w:val="22"/>
        </w:rPr>
        <w:t xml:space="preserve">inciso segundo del </w:t>
      </w:r>
      <w:r>
        <w:rPr>
          <w:rFonts w:ascii="Arial" w:eastAsia="Calibri" w:hAnsi="Arial" w:cs="Arial"/>
          <w:sz w:val="22"/>
        </w:rPr>
        <w:t>parágrafo del artículo 40 de la Ley 80 de 1993.</w:t>
      </w:r>
    </w:p>
    <w:p w14:paraId="1EF5174F" w14:textId="20158690" w:rsidR="003B7F22" w:rsidRDefault="00057275" w:rsidP="009B1654">
      <w:pPr>
        <w:tabs>
          <w:tab w:val="left" w:pos="709"/>
        </w:tabs>
        <w:spacing w:line="276" w:lineRule="auto"/>
        <w:ind w:firstLine="709"/>
        <w:jc w:val="both"/>
        <w:rPr>
          <w:rFonts w:ascii="Arial" w:eastAsia="Calibri" w:hAnsi="Arial" w:cs="Arial"/>
          <w:bCs/>
          <w:sz w:val="22"/>
          <w:szCs w:val="22"/>
          <w:lang w:val="es-ES_tradnl"/>
        </w:rPr>
      </w:pPr>
      <w:r>
        <w:rPr>
          <w:rFonts w:ascii="Arial" w:eastAsia="Calibri" w:hAnsi="Arial" w:cs="Arial"/>
          <w:bCs/>
          <w:sz w:val="22"/>
          <w:szCs w:val="22"/>
          <w:lang w:val="es-ES_tradnl"/>
        </w:rPr>
        <w:t xml:space="preserve">Pero, el hecho de que </w:t>
      </w:r>
      <w:r w:rsidR="008251B3">
        <w:rPr>
          <w:rFonts w:ascii="Arial" w:eastAsia="Calibri" w:hAnsi="Arial" w:cs="Arial"/>
          <w:bCs/>
          <w:sz w:val="22"/>
          <w:szCs w:val="22"/>
          <w:lang w:val="es-ES_tradnl"/>
        </w:rPr>
        <w:t xml:space="preserve">el artículo 85 de la Ley 1474 de 2011 disponga que no aplica el límite </w:t>
      </w:r>
      <w:r w:rsidR="00F067A6">
        <w:rPr>
          <w:rFonts w:ascii="Arial" w:eastAsia="Calibri" w:hAnsi="Arial" w:cs="Arial"/>
          <w:bCs/>
          <w:sz w:val="22"/>
          <w:szCs w:val="22"/>
          <w:lang w:val="es-ES_tradnl"/>
        </w:rPr>
        <w:t>previsto en el parágrafo</w:t>
      </w:r>
      <w:r w:rsidR="002E16D6">
        <w:rPr>
          <w:rFonts w:ascii="Arial" w:eastAsia="Calibri" w:hAnsi="Arial" w:cs="Arial"/>
          <w:bCs/>
          <w:sz w:val="22"/>
          <w:szCs w:val="22"/>
          <w:lang w:val="es-ES_tradnl"/>
        </w:rPr>
        <w:t xml:space="preserve"> del artículo 40 de la Ley 80 de 1993 respecto de los contratos que tengan por objeto la interventoría no significa que</w:t>
      </w:r>
      <w:r w:rsidR="00F12766">
        <w:rPr>
          <w:rFonts w:ascii="Arial" w:eastAsia="Calibri" w:hAnsi="Arial" w:cs="Arial"/>
          <w:bCs/>
          <w:sz w:val="22"/>
          <w:szCs w:val="22"/>
          <w:lang w:val="es-ES_tradnl"/>
        </w:rPr>
        <w:t xml:space="preserve"> la posibilidad de </w:t>
      </w:r>
      <w:r w:rsidR="00F12766">
        <w:rPr>
          <w:rFonts w:ascii="Arial" w:eastAsia="Calibri" w:hAnsi="Arial" w:cs="Arial"/>
          <w:bCs/>
          <w:sz w:val="22"/>
          <w:szCs w:val="22"/>
          <w:lang w:val="es-ES_tradnl"/>
        </w:rPr>
        <w:lastRenderedPageBreak/>
        <w:t xml:space="preserve">incrementar </w:t>
      </w:r>
      <w:r w:rsidR="00EA581D">
        <w:rPr>
          <w:rFonts w:ascii="Arial" w:eastAsia="Calibri" w:hAnsi="Arial" w:cs="Arial"/>
          <w:bCs/>
          <w:sz w:val="22"/>
          <w:szCs w:val="22"/>
          <w:lang w:val="es-ES_tradnl"/>
        </w:rPr>
        <w:t xml:space="preserve">su </w:t>
      </w:r>
      <w:r w:rsidR="00F12766">
        <w:rPr>
          <w:rFonts w:ascii="Arial" w:eastAsia="Calibri" w:hAnsi="Arial" w:cs="Arial"/>
          <w:bCs/>
          <w:sz w:val="22"/>
          <w:szCs w:val="22"/>
          <w:lang w:val="es-ES_tradnl"/>
        </w:rPr>
        <w:t xml:space="preserve">valor sea absoluta. </w:t>
      </w:r>
      <w:r w:rsidR="008257DF">
        <w:rPr>
          <w:rFonts w:ascii="Arial" w:eastAsia="Calibri" w:hAnsi="Arial" w:cs="Arial"/>
          <w:bCs/>
          <w:sz w:val="22"/>
          <w:szCs w:val="22"/>
          <w:lang w:val="es-ES_tradnl"/>
        </w:rPr>
        <w:t>Como lo señaló la Corte Constitucional en la Sentencia C-300 de 2012</w:t>
      </w:r>
      <w:r w:rsidR="00645311">
        <w:rPr>
          <w:rFonts w:ascii="Arial" w:eastAsia="Calibri" w:hAnsi="Arial" w:cs="Arial"/>
          <w:bCs/>
          <w:sz w:val="22"/>
          <w:szCs w:val="22"/>
          <w:lang w:val="es-ES_tradnl"/>
        </w:rPr>
        <w:t>, las adiciones de los contratos</w:t>
      </w:r>
      <w:r w:rsidR="00543D56">
        <w:rPr>
          <w:rFonts w:ascii="Arial" w:eastAsia="Calibri" w:hAnsi="Arial" w:cs="Arial"/>
          <w:bCs/>
          <w:sz w:val="22"/>
          <w:szCs w:val="22"/>
          <w:lang w:val="es-ES_tradnl"/>
        </w:rPr>
        <w:t xml:space="preserve"> estatales</w:t>
      </w:r>
      <w:r w:rsidR="00645311">
        <w:rPr>
          <w:rFonts w:ascii="Arial" w:eastAsia="Calibri" w:hAnsi="Arial" w:cs="Arial"/>
          <w:bCs/>
          <w:sz w:val="22"/>
          <w:szCs w:val="22"/>
          <w:lang w:val="es-ES_tradnl"/>
        </w:rPr>
        <w:t xml:space="preserve"> siempre deben respetar el principio de plan</w:t>
      </w:r>
      <w:r w:rsidR="00A33AA1">
        <w:rPr>
          <w:rFonts w:ascii="Arial" w:eastAsia="Calibri" w:hAnsi="Arial" w:cs="Arial"/>
          <w:bCs/>
          <w:sz w:val="22"/>
          <w:szCs w:val="22"/>
          <w:lang w:val="es-ES_tradnl"/>
        </w:rPr>
        <w:t xml:space="preserve">eación. A esto puede agregarse que, en el caso de los contratos de </w:t>
      </w:r>
      <w:r w:rsidR="00AF782A">
        <w:rPr>
          <w:rFonts w:ascii="Arial" w:eastAsia="Calibri" w:hAnsi="Arial" w:cs="Arial"/>
          <w:bCs/>
          <w:sz w:val="22"/>
          <w:szCs w:val="22"/>
          <w:lang w:val="es-ES_tradnl"/>
        </w:rPr>
        <w:t xml:space="preserve">consultoría cuyo objeto es la interventoría de </w:t>
      </w:r>
      <w:r w:rsidR="00C2503A">
        <w:rPr>
          <w:rFonts w:ascii="Arial" w:eastAsia="Calibri" w:hAnsi="Arial" w:cs="Arial"/>
          <w:bCs/>
          <w:sz w:val="22"/>
          <w:szCs w:val="22"/>
          <w:lang w:val="es-ES_tradnl"/>
        </w:rPr>
        <w:t>un contrato,</w:t>
      </w:r>
      <w:r w:rsidR="00FC5DFB">
        <w:rPr>
          <w:rFonts w:ascii="Arial" w:eastAsia="Calibri" w:hAnsi="Arial" w:cs="Arial"/>
          <w:bCs/>
          <w:sz w:val="22"/>
          <w:szCs w:val="22"/>
          <w:lang w:val="es-ES_tradnl"/>
        </w:rPr>
        <w:t xml:space="preserve"> </w:t>
      </w:r>
      <w:r w:rsidR="00C2503A">
        <w:rPr>
          <w:rFonts w:ascii="Arial" w:eastAsia="Calibri" w:hAnsi="Arial" w:cs="Arial"/>
          <w:bCs/>
          <w:sz w:val="22"/>
          <w:szCs w:val="22"/>
          <w:lang w:val="es-ES_tradnl"/>
        </w:rPr>
        <w:t>debe existir una relación de consonancia</w:t>
      </w:r>
      <w:r w:rsidR="00A57D52">
        <w:rPr>
          <w:rFonts w:ascii="Arial" w:eastAsia="Calibri" w:hAnsi="Arial" w:cs="Arial"/>
          <w:bCs/>
          <w:sz w:val="22"/>
          <w:szCs w:val="22"/>
          <w:lang w:val="es-ES_tradnl"/>
        </w:rPr>
        <w:t xml:space="preserve"> entre </w:t>
      </w:r>
      <w:r w:rsidR="00671C76">
        <w:rPr>
          <w:rFonts w:ascii="Arial" w:eastAsia="Calibri" w:hAnsi="Arial" w:cs="Arial"/>
          <w:bCs/>
          <w:sz w:val="22"/>
          <w:szCs w:val="22"/>
          <w:lang w:val="es-ES_tradnl"/>
        </w:rPr>
        <w:t>el plazo y valor de este</w:t>
      </w:r>
      <w:r w:rsidR="00F0683E">
        <w:rPr>
          <w:rFonts w:ascii="Arial" w:eastAsia="Calibri" w:hAnsi="Arial" w:cs="Arial"/>
          <w:bCs/>
          <w:sz w:val="22"/>
          <w:szCs w:val="22"/>
          <w:lang w:val="es-ES_tradnl"/>
        </w:rPr>
        <w:t>, con la adición del contrato de interventoría, pues esto es lo que permite</w:t>
      </w:r>
      <w:r w:rsidR="009549A3">
        <w:rPr>
          <w:rFonts w:ascii="Arial" w:eastAsia="Calibri" w:hAnsi="Arial" w:cs="Arial"/>
          <w:bCs/>
          <w:sz w:val="22"/>
          <w:szCs w:val="22"/>
          <w:lang w:val="es-ES_tradnl"/>
        </w:rPr>
        <w:t xml:space="preserve"> justificar –técnica y financieramente– por qué debe garantizarse la continuidad del contrat</w:t>
      </w:r>
      <w:r w:rsidR="00BD0045">
        <w:rPr>
          <w:rFonts w:ascii="Arial" w:eastAsia="Calibri" w:hAnsi="Arial" w:cs="Arial"/>
          <w:bCs/>
          <w:sz w:val="22"/>
          <w:szCs w:val="22"/>
          <w:lang w:val="es-ES_tradnl"/>
        </w:rPr>
        <w:t xml:space="preserve">ista que seguirá efectuando el seguimiento a la ejecución del contrato principal. </w:t>
      </w:r>
      <w:r w:rsidR="00FC5DFB">
        <w:rPr>
          <w:rFonts w:ascii="Arial" w:eastAsia="Calibri" w:hAnsi="Arial" w:cs="Arial"/>
          <w:bCs/>
          <w:sz w:val="22"/>
          <w:szCs w:val="22"/>
          <w:lang w:val="es-ES_tradnl"/>
        </w:rPr>
        <w:t>En pocas palabras, la entidad estatal debe garantizar los principios de la función administrativa y de la gestión fiscal al momento de autorizar las adiciones de los contratos de interventoría</w:t>
      </w:r>
      <w:r w:rsidR="00962AB7">
        <w:rPr>
          <w:rFonts w:ascii="Arial" w:eastAsia="Calibri" w:hAnsi="Arial" w:cs="Arial"/>
          <w:bCs/>
          <w:sz w:val="22"/>
          <w:szCs w:val="22"/>
          <w:lang w:val="es-ES_tradnl"/>
        </w:rPr>
        <w:t>.</w:t>
      </w:r>
      <w:r w:rsidR="00FC5DFB">
        <w:rPr>
          <w:rFonts w:ascii="Arial" w:eastAsia="Calibri" w:hAnsi="Arial" w:cs="Arial"/>
          <w:bCs/>
          <w:sz w:val="22"/>
          <w:szCs w:val="22"/>
          <w:lang w:val="es-ES_tradnl"/>
        </w:rPr>
        <w:t xml:space="preserve"> </w:t>
      </w:r>
    </w:p>
    <w:p w14:paraId="74D800E0" w14:textId="77777777" w:rsidR="00962AB7" w:rsidRPr="00830F50" w:rsidRDefault="00962AB7" w:rsidP="009B1654">
      <w:pPr>
        <w:tabs>
          <w:tab w:val="left" w:pos="709"/>
        </w:tabs>
        <w:spacing w:line="276" w:lineRule="auto"/>
        <w:ind w:firstLine="709"/>
        <w:jc w:val="both"/>
        <w:rPr>
          <w:rFonts w:ascii="Arial" w:eastAsia="Calibri" w:hAnsi="Arial" w:cs="Arial"/>
          <w:bCs/>
          <w:sz w:val="22"/>
          <w:szCs w:val="22"/>
          <w:lang w:val="es-ES_tradnl"/>
        </w:rPr>
      </w:pPr>
    </w:p>
    <w:p w14:paraId="13355948" w14:textId="174F96A7" w:rsidR="00C33A69" w:rsidRPr="00830F50" w:rsidRDefault="00C33A69" w:rsidP="006327D2">
      <w:pPr>
        <w:pStyle w:val="Prrafodelista"/>
        <w:numPr>
          <w:ilvl w:val="0"/>
          <w:numId w:val="11"/>
        </w:numPr>
        <w:tabs>
          <w:tab w:val="left" w:pos="709"/>
        </w:tabs>
        <w:spacing w:line="276" w:lineRule="auto"/>
        <w:jc w:val="both"/>
        <w:rPr>
          <w:rFonts w:ascii="Arial" w:eastAsia="Calibri" w:hAnsi="Arial" w:cs="Arial"/>
          <w:b/>
          <w:sz w:val="22"/>
          <w:lang w:val="es-ES_tradnl"/>
        </w:rPr>
      </w:pPr>
      <w:r w:rsidRPr="00830F50">
        <w:rPr>
          <w:rFonts w:ascii="Arial" w:eastAsia="Calibri" w:hAnsi="Arial" w:cs="Arial"/>
          <w:b/>
          <w:sz w:val="22"/>
          <w:lang w:val="es-ES_tradnl"/>
        </w:rPr>
        <w:t>Respuesta</w:t>
      </w:r>
    </w:p>
    <w:p w14:paraId="63533AB0" w14:textId="7C8C191B" w:rsidR="0004028A" w:rsidRPr="00830F50" w:rsidRDefault="0004028A" w:rsidP="0004028A">
      <w:pPr>
        <w:tabs>
          <w:tab w:val="left" w:pos="709"/>
        </w:tabs>
        <w:spacing w:line="276" w:lineRule="auto"/>
        <w:jc w:val="both"/>
        <w:rPr>
          <w:rFonts w:ascii="Arial" w:eastAsia="Calibri" w:hAnsi="Arial" w:cs="Arial"/>
          <w:b/>
          <w:sz w:val="22"/>
          <w:lang w:val="es-ES_tradnl"/>
        </w:rPr>
      </w:pPr>
    </w:p>
    <w:p w14:paraId="77F910E9" w14:textId="5AA62BB7" w:rsidR="00947B9D" w:rsidRPr="00830F50" w:rsidRDefault="0004028A" w:rsidP="005C180C">
      <w:pPr>
        <w:ind w:left="709" w:right="709"/>
        <w:jc w:val="both"/>
        <w:rPr>
          <w:rFonts w:ascii="Arial" w:eastAsia="Calibri" w:hAnsi="Arial" w:cs="Arial"/>
          <w:sz w:val="21"/>
          <w:szCs w:val="21"/>
        </w:rPr>
      </w:pPr>
      <w:r w:rsidRPr="00830F50">
        <w:rPr>
          <w:rFonts w:ascii="Arial" w:eastAsia="Calibri" w:hAnsi="Arial" w:cs="Arial"/>
          <w:sz w:val="21"/>
          <w:szCs w:val="21"/>
        </w:rPr>
        <w:t>«</w:t>
      </w:r>
      <w:r w:rsidR="005C180C" w:rsidRPr="00830F50">
        <w:rPr>
          <w:rFonts w:ascii="Arial" w:hAnsi="Arial" w:cs="Arial"/>
          <w:sz w:val="21"/>
          <w:szCs w:val="21"/>
          <w:bdr w:val="none" w:sz="0" w:space="0" w:color="auto" w:frame="1"/>
          <w:lang w:val="es-ES"/>
        </w:rPr>
        <w:t>¿</w:t>
      </w:r>
      <w:r w:rsidR="005C180C" w:rsidRPr="00830F50">
        <w:rPr>
          <w:rFonts w:ascii="Arial" w:hAnsi="Arial" w:cs="Arial"/>
          <w:sz w:val="21"/>
          <w:szCs w:val="21"/>
          <w:bdr w:val="none" w:sz="0" w:space="0" w:color="auto" w:frame="1"/>
        </w:rPr>
        <w:t>Resultan aplicables los fenómenos de prorroga y adición por más del 50% a los contratos interadministrativos de interventoría.</w:t>
      </w:r>
      <w:r w:rsidR="009F4E5D">
        <w:rPr>
          <w:rFonts w:ascii="Arial" w:hAnsi="Arial" w:cs="Arial"/>
          <w:sz w:val="21"/>
          <w:szCs w:val="21"/>
          <w:bdr w:val="none" w:sz="0" w:space="0" w:color="auto" w:frame="1"/>
        </w:rPr>
        <w:t xml:space="preserve"> (sic)</w:t>
      </w:r>
      <w:r w:rsidR="005C180C" w:rsidRPr="00830F50">
        <w:rPr>
          <w:rFonts w:ascii="Arial" w:hAnsi="Arial" w:cs="Arial"/>
          <w:sz w:val="21"/>
          <w:szCs w:val="21"/>
          <w:bdr w:val="none" w:sz="0" w:space="0" w:color="auto" w:frame="1"/>
        </w:rPr>
        <w:t xml:space="preserve"> Conforme lo dispuesto en el primer inciso del artículo 85 de la Ley 1474 de 2011?</w:t>
      </w:r>
      <w:r w:rsidRPr="00830F50">
        <w:rPr>
          <w:rFonts w:ascii="Arial" w:eastAsia="Calibri" w:hAnsi="Arial" w:cs="Arial"/>
          <w:sz w:val="21"/>
          <w:szCs w:val="21"/>
        </w:rPr>
        <w:t>».</w:t>
      </w:r>
    </w:p>
    <w:p w14:paraId="7F02BDB7" w14:textId="77777777" w:rsidR="005C180C" w:rsidRPr="00830F50" w:rsidRDefault="005C180C" w:rsidP="009B1654">
      <w:pPr>
        <w:ind w:left="709" w:right="709"/>
        <w:jc w:val="both"/>
        <w:rPr>
          <w:rFonts w:ascii="Arial" w:hAnsi="Arial" w:cs="Arial"/>
          <w:sz w:val="21"/>
          <w:szCs w:val="21"/>
        </w:rPr>
      </w:pPr>
    </w:p>
    <w:p w14:paraId="3419CEF3" w14:textId="0B91FF06" w:rsidR="00947B9D" w:rsidRPr="00830F50" w:rsidRDefault="00947B9D" w:rsidP="009B1654">
      <w:pPr>
        <w:spacing w:line="276" w:lineRule="auto"/>
        <w:jc w:val="both"/>
        <w:rPr>
          <w:rFonts w:ascii="Arial" w:hAnsi="Arial" w:cs="Arial"/>
          <w:sz w:val="22"/>
          <w:szCs w:val="22"/>
        </w:rPr>
      </w:pPr>
      <w:r w:rsidRPr="00830F50">
        <w:rPr>
          <w:rFonts w:ascii="Arial" w:hAnsi="Arial" w:cs="Arial"/>
          <w:sz w:val="22"/>
          <w:szCs w:val="22"/>
          <w:bdr w:val="none" w:sz="0" w:space="0" w:color="auto" w:frame="1"/>
          <w:lang w:val="es-ES"/>
        </w:rPr>
        <w:t xml:space="preserve">Con base en las consideraciones expuestas, es posible </w:t>
      </w:r>
      <w:r w:rsidR="00C10792">
        <w:rPr>
          <w:rFonts w:ascii="Arial" w:hAnsi="Arial" w:cs="Arial"/>
          <w:sz w:val="22"/>
          <w:szCs w:val="22"/>
          <w:bdr w:val="none" w:sz="0" w:space="0" w:color="auto" w:frame="1"/>
          <w:lang w:val="es-ES"/>
        </w:rPr>
        <w:t>afirmar</w:t>
      </w:r>
      <w:r w:rsidRPr="00830F50">
        <w:rPr>
          <w:rFonts w:ascii="Arial" w:hAnsi="Arial" w:cs="Arial"/>
          <w:sz w:val="22"/>
          <w:szCs w:val="22"/>
          <w:bdr w:val="none" w:sz="0" w:space="0" w:color="auto" w:frame="1"/>
          <w:lang w:val="es-ES"/>
        </w:rPr>
        <w:t xml:space="preserve"> que la normativa aplicable a la pr</w:t>
      </w:r>
      <w:r w:rsidR="00985488">
        <w:rPr>
          <w:rFonts w:ascii="Arial" w:hAnsi="Arial" w:cs="Arial"/>
          <w:sz w:val="22"/>
          <w:szCs w:val="22"/>
          <w:bdr w:val="none" w:sz="0" w:space="0" w:color="auto" w:frame="1"/>
          <w:lang w:val="es-ES"/>
        </w:rPr>
        <w:t>ó</w:t>
      </w:r>
      <w:r w:rsidRPr="00830F50">
        <w:rPr>
          <w:rFonts w:ascii="Arial" w:hAnsi="Arial" w:cs="Arial"/>
          <w:sz w:val="22"/>
          <w:szCs w:val="22"/>
          <w:bdr w:val="none" w:sz="0" w:space="0" w:color="auto" w:frame="1"/>
          <w:lang w:val="es-ES"/>
        </w:rPr>
        <w:t xml:space="preserve">rroga y adición de los contratos de interventoría, incluidos los interadministrativos de interventoría, </w:t>
      </w:r>
      <w:r w:rsidR="00CD3B95">
        <w:rPr>
          <w:rFonts w:ascii="Arial" w:hAnsi="Arial" w:cs="Arial"/>
          <w:sz w:val="22"/>
          <w:szCs w:val="22"/>
          <w:bdr w:val="none" w:sz="0" w:space="0" w:color="auto" w:frame="1"/>
          <w:lang w:val="es-ES"/>
        </w:rPr>
        <w:t xml:space="preserve">se </w:t>
      </w:r>
      <w:r w:rsidRPr="00830F50">
        <w:rPr>
          <w:rFonts w:ascii="Arial" w:hAnsi="Arial" w:cs="Arial"/>
          <w:sz w:val="22"/>
          <w:szCs w:val="22"/>
          <w:bdr w:val="none" w:sz="0" w:space="0" w:color="auto" w:frame="1"/>
          <w:lang w:val="es-ES"/>
        </w:rPr>
        <w:t>prevé una clara y expresa excepción, contenida en el artículo 85 de la Ley 1474 de 2011, según la cual no es aplicable la regla que las limita a un tope máximo del 50% del valor inicial del contrato. En efecto, en los contratos de interventoría, incluidos los de interventoría</w:t>
      </w:r>
      <w:r w:rsidR="00985488">
        <w:rPr>
          <w:rFonts w:ascii="Arial" w:hAnsi="Arial" w:cs="Arial"/>
          <w:sz w:val="22"/>
          <w:szCs w:val="22"/>
          <w:bdr w:val="none" w:sz="0" w:space="0" w:color="auto" w:frame="1"/>
          <w:lang w:val="es-ES"/>
        </w:rPr>
        <w:t xml:space="preserve"> celebrados entre entidades estatales</w:t>
      </w:r>
      <w:r w:rsidRPr="00830F50">
        <w:rPr>
          <w:rFonts w:ascii="Arial" w:hAnsi="Arial" w:cs="Arial"/>
          <w:sz w:val="22"/>
          <w:szCs w:val="22"/>
          <w:bdr w:val="none" w:sz="0" w:space="0" w:color="auto" w:frame="1"/>
          <w:lang w:val="es-ES"/>
        </w:rPr>
        <w:t>,</w:t>
      </w:r>
      <w:r w:rsidR="00985488">
        <w:rPr>
          <w:rFonts w:ascii="Arial" w:hAnsi="Arial" w:cs="Arial"/>
          <w:sz w:val="22"/>
          <w:szCs w:val="22"/>
          <w:bdr w:val="none" w:sz="0" w:space="0" w:color="auto" w:frame="1"/>
          <w:lang w:val="es-ES"/>
        </w:rPr>
        <w:t xml:space="preserve"> que serían interadministrativos,</w:t>
      </w:r>
      <w:r w:rsidRPr="00830F50">
        <w:rPr>
          <w:rFonts w:ascii="Arial" w:hAnsi="Arial" w:cs="Arial"/>
          <w:sz w:val="22"/>
          <w:szCs w:val="22"/>
          <w:bdr w:val="none" w:sz="0" w:space="0" w:color="auto" w:frame="1"/>
          <w:lang w:val="es-ES"/>
        </w:rPr>
        <w:t xml:space="preserve"> la regla aplicable es la de la </w:t>
      </w:r>
      <w:r w:rsidR="00985488">
        <w:rPr>
          <w:rFonts w:ascii="Arial" w:hAnsi="Arial" w:cs="Arial"/>
          <w:sz w:val="22"/>
          <w:szCs w:val="22"/>
          <w:bdr w:val="none" w:sz="0" w:space="0" w:color="auto" w:frame="1"/>
          <w:lang w:val="es-ES"/>
        </w:rPr>
        <w:t>«</w:t>
      </w:r>
      <w:r w:rsidRPr="00830F50">
        <w:rPr>
          <w:rFonts w:ascii="Arial" w:hAnsi="Arial" w:cs="Arial"/>
          <w:sz w:val="22"/>
          <w:szCs w:val="22"/>
          <w:bdr w:val="none" w:sz="0" w:space="0" w:color="auto" w:frame="1"/>
          <w:lang w:val="es-ES"/>
        </w:rPr>
        <w:t>continuidad de la interventoría</w:t>
      </w:r>
      <w:r w:rsidR="00985488">
        <w:rPr>
          <w:rFonts w:ascii="Arial" w:hAnsi="Arial" w:cs="Arial"/>
          <w:sz w:val="22"/>
          <w:szCs w:val="22"/>
          <w:bdr w:val="none" w:sz="0" w:space="0" w:color="auto" w:frame="1"/>
          <w:lang w:val="es-ES"/>
        </w:rPr>
        <w:t>»</w:t>
      </w:r>
      <w:r w:rsidRPr="00830F50">
        <w:rPr>
          <w:rFonts w:ascii="Arial" w:hAnsi="Arial" w:cs="Arial"/>
          <w:sz w:val="22"/>
          <w:szCs w:val="22"/>
          <w:bdr w:val="none" w:sz="0" w:space="0" w:color="auto" w:frame="1"/>
          <w:lang w:val="es-ES"/>
        </w:rPr>
        <w:t xml:space="preserve"> y, por tanto, dichos contratos </w:t>
      </w:r>
      <w:r w:rsidR="002E06B3" w:rsidRPr="00830F50">
        <w:rPr>
          <w:rFonts w:ascii="Arial" w:eastAsia="Calibri" w:hAnsi="Arial" w:cs="Arial"/>
          <w:sz w:val="22"/>
          <w:szCs w:val="22"/>
        </w:rPr>
        <w:t>«</w:t>
      </w:r>
      <w:r w:rsidRPr="00830F50">
        <w:rPr>
          <w:rFonts w:ascii="Arial" w:hAnsi="Arial" w:cs="Arial"/>
          <w:sz w:val="22"/>
          <w:szCs w:val="22"/>
          <w:bdr w:val="none" w:sz="0" w:space="0" w:color="auto" w:frame="1"/>
          <w:lang w:val="es-ES"/>
        </w:rPr>
        <w:t>podrán prorrogarse por el mismo plazo que se haya prorrogado el contrato objeto de vigilancia. En tal caso el valor podrá ajustarse en atención a las obligaciones del objeto de interventoría, sin que resulte aplicable lo dispuesto en el parágrafo del artículo 40 de la Ley 80 de 1993</w:t>
      </w:r>
      <w:r w:rsidR="002E06B3" w:rsidRPr="00830F50">
        <w:rPr>
          <w:rFonts w:ascii="Arial" w:eastAsia="Calibri" w:hAnsi="Arial" w:cs="Arial"/>
          <w:sz w:val="22"/>
          <w:szCs w:val="22"/>
        </w:rPr>
        <w:t>»</w:t>
      </w:r>
      <w:r w:rsidRPr="00830F50">
        <w:rPr>
          <w:rFonts w:ascii="Arial" w:hAnsi="Arial" w:cs="Arial"/>
          <w:sz w:val="22"/>
          <w:szCs w:val="22"/>
          <w:bdr w:val="none" w:sz="0" w:space="0" w:color="auto" w:frame="1"/>
          <w:lang w:val="es-ES"/>
        </w:rPr>
        <w:t>.</w:t>
      </w:r>
      <w:r w:rsidR="00CD3B95">
        <w:rPr>
          <w:rFonts w:ascii="Arial" w:hAnsi="Arial" w:cs="Arial"/>
          <w:sz w:val="22"/>
          <w:szCs w:val="22"/>
          <w:bdr w:val="none" w:sz="0" w:space="0" w:color="auto" w:frame="1"/>
          <w:lang w:val="es-ES"/>
        </w:rPr>
        <w:t xml:space="preserve"> En tal sentido, a juicio de esta Agencia </w:t>
      </w:r>
      <w:r w:rsidR="005F01EA">
        <w:rPr>
          <w:rFonts w:ascii="Arial" w:hAnsi="Arial" w:cs="Arial"/>
          <w:sz w:val="22"/>
          <w:szCs w:val="22"/>
          <w:bdr w:val="none" w:sz="0" w:space="0" w:color="auto" w:frame="1"/>
          <w:lang w:val="es-ES"/>
        </w:rPr>
        <w:t>en los contratos por los que pregunta el peticionario resulta aplicable el artículo 85 de la Ley 1474 de 2011.</w:t>
      </w:r>
    </w:p>
    <w:p w14:paraId="79826A5B" w14:textId="77777777" w:rsidR="0031456F" w:rsidRPr="00830F50" w:rsidRDefault="0031456F" w:rsidP="009B1654">
      <w:pPr>
        <w:pStyle w:val="xmsonospacing"/>
        <w:spacing w:before="0" w:beforeAutospacing="0" w:after="0" w:afterAutospacing="0" w:line="276" w:lineRule="auto"/>
        <w:jc w:val="both"/>
        <w:rPr>
          <w:rFonts w:ascii="Arial" w:hAnsi="Arial" w:cs="Arial"/>
          <w:sz w:val="22"/>
          <w:szCs w:val="22"/>
        </w:rPr>
      </w:pPr>
    </w:p>
    <w:p w14:paraId="0738C8F4" w14:textId="29CC140C" w:rsidR="00A71CEA" w:rsidRPr="00830F50" w:rsidRDefault="00A71CEA" w:rsidP="00FC46E7">
      <w:pPr>
        <w:spacing w:line="276" w:lineRule="auto"/>
        <w:jc w:val="both"/>
        <w:rPr>
          <w:rFonts w:ascii="Arial" w:eastAsia="Calibri" w:hAnsi="Arial" w:cs="Arial"/>
          <w:sz w:val="22"/>
        </w:rPr>
      </w:pPr>
      <w:r w:rsidRPr="00830F50">
        <w:rPr>
          <w:rFonts w:ascii="Arial" w:eastAsia="Calibri" w:hAnsi="Arial" w:cs="Arial"/>
          <w:sz w:val="22"/>
          <w:szCs w:val="22"/>
        </w:rPr>
        <w:t>Este concepto tiene el alcance previsto en el artículo 28 del Cód</w:t>
      </w:r>
      <w:r w:rsidRPr="00830F50">
        <w:rPr>
          <w:rFonts w:ascii="Arial" w:eastAsia="Calibri" w:hAnsi="Arial" w:cs="Arial"/>
          <w:sz w:val="22"/>
        </w:rPr>
        <w:t>igo de Procedimiento Administrativo y de lo Contencioso Administrativo.</w:t>
      </w:r>
    </w:p>
    <w:p w14:paraId="27A116DB" w14:textId="77777777" w:rsidR="00B55679" w:rsidRPr="00830F50" w:rsidRDefault="00B55679" w:rsidP="00FC46E7">
      <w:pPr>
        <w:jc w:val="both"/>
        <w:rPr>
          <w:rFonts w:ascii="Arial" w:eastAsia="Calibri" w:hAnsi="Arial" w:cs="Arial"/>
          <w:sz w:val="22"/>
        </w:rPr>
      </w:pPr>
    </w:p>
    <w:p w14:paraId="1BD8E63C" w14:textId="77777777" w:rsidR="00A71CEA" w:rsidRPr="00830F50" w:rsidRDefault="00A71CEA" w:rsidP="00FC46E7">
      <w:pPr>
        <w:jc w:val="both"/>
        <w:rPr>
          <w:rFonts w:ascii="Arial" w:hAnsi="Arial" w:cs="Arial"/>
          <w:sz w:val="22"/>
          <w:lang w:eastAsia="es-CO"/>
        </w:rPr>
      </w:pPr>
      <w:r w:rsidRPr="00830F50">
        <w:rPr>
          <w:rFonts w:ascii="Arial" w:hAnsi="Arial" w:cs="Arial"/>
          <w:sz w:val="22"/>
          <w:lang w:eastAsia="es-CO"/>
        </w:rPr>
        <w:t>Atentamente,</w:t>
      </w:r>
    </w:p>
    <w:p w14:paraId="6B055B12" w14:textId="40DD90EB" w:rsidR="00A71CEA" w:rsidRPr="00830F50" w:rsidRDefault="00A71CEA" w:rsidP="00FC46E7">
      <w:pPr>
        <w:jc w:val="center"/>
        <w:rPr>
          <w:rFonts w:ascii="Arial" w:hAnsi="Arial" w:cs="Arial"/>
          <w:sz w:val="22"/>
          <w:lang w:eastAsia="es-CO"/>
        </w:rPr>
      </w:pPr>
    </w:p>
    <w:p w14:paraId="4783A21F" w14:textId="77777777" w:rsidR="00A71CEA" w:rsidRPr="00830F50" w:rsidRDefault="00A71CEA" w:rsidP="00FC46E7">
      <w:pPr>
        <w:jc w:val="center"/>
        <w:rPr>
          <w:rFonts w:ascii="Arial" w:hAnsi="Arial" w:cs="Arial"/>
          <w:sz w:val="18"/>
          <w:szCs w:val="20"/>
          <w:lang w:eastAsia="es-CO"/>
        </w:rPr>
      </w:pPr>
    </w:p>
    <w:p w14:paraId="1FEF5E59" w14:textId="77777777" w:rsidR="00A71CEA" w:rsidRPr="00830F50" w:rsidRDefault="00A71CEA" w:rsidP="00FC46E7">
      <w:pPr>
        <w:jc w:val="center"/>
        <w:rPr>
          <w:rFonts w:ascii="Arial" w:hAnsi="Arial" w:cs="Arial"/>
          <w:sz w:val="18"/>
          <w:szCs w:val="20"/>
          <w:lang w:eastAsia="es-C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
        <w:gridCol w:w="4413"/>
      </w:tblGrid>
      <w:tr w:rsidR="00830F50" w:rsidRPr="00830F50" w14:paraId="6FD066C0" w14:textId="77777777" w:rsidTr="007F1895">
        <w:trPr>
          <w:trHeight w:val="315"/>
        </w:trPr>
        <w:tc>
          <w:tcPr>
            <w:tcW w:w="812" w:type="dxa"/>
            <w:vAlign w:val="center"/>
            <w:hideMark/>
          </w:tcPr>
          <w:p w14:paraId="3D034311" w14:textId="77777777" w:rsidR="00A71CEA" w:rsidRPr="00830F50" w:rsidRDefault="00A71CEA" w:rsidP="00FC46E7">
            <w:pPr>
              <w:rPr>
                <w:rFonts w:ascii="Arial" w:hAnsi="Arial" w:cs="Arial"/>
                <w:sz w:val="16"/>
                <w:szCs w:val="16"/>
                <w:lang w:eastAsia="es-ES"/>
              </w:rPr>
            </w:pPr>
            <w:r w:rsidRPr="00830F50">
              <w:rPr>
                <w:rFonts w:ascii="Arial" w:hAnsi="Arial" w:cs="Arial"/>
                <w:sz w:val="16"/>
                <w:szCs w:val="16"/>
                <w:lang w:eastAsia="es-ES"/>
              </w:rPr>
              <w:t>Elaboró:</w:t>
            </w:r>
          </w:p>
        </w:tc>
        <w:tc>
          <w:tcPr>
            <w:tcW w:w="4413" w:type="dxa"/>
            <w:tcBorders>
              <w:top w:val="nil"/>
              <w:left w:val="nil"/>
              <w:bottom w:val="dotted" w:sz="4" w:space="0" w:color="7F7F7F" w:themeColor="text1" w:themeTint="80"/>
              <w:right w:val="nil"/>
            </w:tcBorders>
            <w:vAlign w:val="center"/>
            <w:hideMark/>
          </w:tcPr>
          <w:p w14:paraId="4130A8A2" w14:textId="77777777" w:rsidR="00A71CEA" w:rsidRPr="00830F50" w:rsidRDefault="00A71CEA" w:rsidP="00FC46E7">
            <w:pPr>
              <w:rPr>
                <w:rFonts w:ascii="Arial" w:hAnsi="Arial" w:cs="Arial"/>
                <w:sz w:val="16"/>
                <w:szCs w:val="16"/>
                <w:lang w:eastAsia="es-ES"/>
              </w:rPr>
            </w:pPr>
            <w:r w:rsidRPr="00830F50">
              <w:rPr>
                <w:rFonts w:ascii="Arial" w:hAnsi="Arial" w:cs="Arial"/>
                <w:sz w:val="16"/>
                <w:szCs w:val="16"/>
                <w:lang w:eastAsia="es-ES"/>
              </w:rPr>
              <w:t xml:space="preserve">Camilo Perdomo Villamil </w:t>
            </w:r>
          </w:p>
          <w:p w14:paraId="02C2374E" w14:textId="77777777" w:rsidR="00A71CEA" w:rsidRPr="00830F50" w:rsidRDefault="00A71CEA" w:rsidP="00FC46E7">
            <w:pPr>
              <w:rPr>
                <w:rFonts w:ascii="Arial" w:hAnsi="Arial" w:cs="Arial"/>
                <w:sz w:val="16"/>
                <w:szCs w:val="16"/>
                <w:lang w:eastAsia="es-ES"/>
              </w:rPr>
            </w:pPr>
            <w:r w:rsidRPr="00830F50">
              <w:rPr>
                <w:rFonts w:ascii="Arial" w:hAnsi="Arial" w:cs="Arial"/>
                <w:sz w:val="16"/>
                <w:szCs w:val="16"/>
                <w:lang w:eastAsia="es-ES"/>
              </w:rPr>
              <w:t>Contratista de la Subdirección de Gestión Contractual</w:t>
            </w:r>
          </w:p>
        </w:tc>
      </w:tr>
      <w:tr w:rsidR="00830F50" w:rsidRPr="00830F50" w14:paraId="6CE7FA18" w14:textId="77777777" w:rsidTr="007F1895">
        <w:trPr>
          <w:trHeight w:val="330"/>
        </w:trPr>
        <w:tc>
          <w:tcPr>
            <w:tcW w:w="812" w:type="dxa"/>
            <w:vAlign w:val="center"/>
            <w:hideMark/>
          </w:tcPr>
          <w:p w14:paraId="2902D588" w14:textId="77777777" w:rsidR="00A71CEA" w:rsidRPr="00830F50" w:rsidRDefault="00A71CEA" w:rsidP="00FC46E7">
            <w:pPr>
              <w:rPr>
                <w:rFonts w:ascii="Arial" w:hAnsi="Arial" w:cs="Arial"/>
                <w:sz w:val="16"/>
                <w:szCs w:val="16"/>
                <w:lang w:eastAsia="es-ES"/>
              </w:rPr>
            </w:pPr>
            <w:r w:rsidRPr="00830F50">
              <w:rPr>
                <w:rFonts w:ascii="Arial" w:hAnsi="Arial" w:cs="Arial"/>
                <w:sz w:val="16"/>
                <w:szCs w:val="16"/>
                <w:lang w:eastAsia="es-ES"/>
              </w:rPr>
              <w:t>Revisó:</w:t>
            </w:r>
          </w:p>
        </w:tc>
        <w:tc>
          <w:tcPr>
            <w:tcW w:w="4413" w:type="dxa"/>
            <w:tcBorders>
              <w:top w:val="dotted" w:sz="4" w:space="0" w:color="7F7F7F" w:themeColor="text1" w:themeTint="80"/>
              <w:left w:val="nil"/>
              <w:bottom w:val="dotted" w:sz="4" w:space="0" w:color="7F7F7F" w:themeColor="text1" w:themeTint="80"/>
              <w:right w:val="nil"/>
            </w:tcBorders>
            <w:vAlign w:val="center"/>
            <w:hideMark/>
          </w:tcPr>
          <w:p w14:paraId="6CC67DAC" w14:textId="0F17364B" w:rsidR="00A71CEA" w:rsidRPr="00830F50" w:rsidRDefault="005C180C" w:rsidP="00FC46E7">
            <w:pPr>
              <w:rPr>
                <w:rFonts w:ascii="Arial" w:hAnsi="Arial" w:cs="Arial"/>
                <w:sz w:val="16"/>
                <w:szCs w:val="16"/>
                <w:lang w:eastAsia="es-ES"/>
              </w:rPr>
            </w:pPr>
            <w:r w:rsidRPr="00830F50">
              <w:rPr>
                <w:rFonts w:ascii="Arial" w:hAnsi="Arial" w:cs="Arial"/>
                <w:sz w:val="16"/>
                <w:szCs w:val="16"/>
                <w:lang w:eastAsia="es-ES"/>
              </w:rPr>
              <w:t>Sebastián Ramírez Grisales</w:t>
            </w:r>
          </w:p>
          <w:p w14:paraId="15D02354" w14:textId="5F8430C7" w:rsidR="00A71CEA" w:rsidRPr="00830F50" w:rsidRDefault="00A71CEA" w:rsidP="00FC46E7">
            <w:pPr>
              <w:rPr>
                <w:rFonts w:ascii="Arial" w:hAnsi="Arial" w:cs="Arial"/>
                <w:sz w:val="16"/>
                <w:szCs w:val="16"/>
                <w:lang w:eastAsia="es-ES"/>
              </w:rPr>
            </w:pPr>
            <w:r w:rsidRPr="00830F50">
              <w:rPr>
                <w:rFonts w:ascii="Arial" w:hAnsi="Arial" w:cs="Arial"/>
                <w:sz w:val="16"/>
                <w:szCs w:val="16"/>
                <w:lang w:eastAsia="es-ES"/>
              </w:rPr>
              <w:t>Gestor T1-1</w:t>
            </w:r>
            <w:r w:rsidR="00AF0F4E" w:rsidRPr="00830F50">
              <w:rPr>
                <w:rFonts w:ascii="Arial" w:hAnsi="Arial" w:cs="Arial"/>
                <w:sz w:val="16"/>
                <w:szCs w:val="16"/>
                <w:lang w:eastAsia="es-ES"/>
              </w:rPr>
              <w:t>1</w:t>
            </w:r>
            <w:r w:rsidRPr="00830F50">
              <w:rPr>
                <w:rFonts w:ascii="Arial" w:hAnsi="Arial" w:cs="Arial"/>
                <w:sz w:val="16"/>
                <w:szCs w:val="16"/>
                <w:lang w:eastAsia="es-ES"/>
              </w:rPr>
              <w:t xml:space="preserve"> de la Subdirección de Gestión Contractual</w:t>
            </w:r>
          </w:p>
        </w:tc>
      </w:tr>
      <w:tr w:rsidR="00A71CEA" w:rsidRPr="00830F50" w14:paraId="4BA2BDE6" w14:textId="77777777" w:rsidTr="007F1895">
        <w:trPr>
          <w:trHeight w:val="300"/>
        </w:trPr>
        <w:tc>
          <w:tcPr>
            <w:tcW w:w="812" w:type="dxa"/>
            <w:vAlign w:val="center"/>
            <w:hideMark/>
          </w:tcPr>
          <w:p w14:paraId="1A726DD9" w14:textId="77777777" w:rsidR="00A71CEA" w:rsidRPr="00830F50" w:rsidRDefault="00A71CEA" w:rsidP="00FC46E7">
            <w:pPr>
              <w:rPr>
                <w:rFonts w:ascii="Arial" w:hAnsi="Arial" w:cs="Arial"/>
                <w:sz w:val="16"/>
                <w:szCs w:val="16"/>
                <w:lang w:eastAsia="es-ES"/>
              </w:rPr>
            </w:pPr>
            <w:r w:rsidRPr="00830F50">
              <w:rPr>
                <w:rFonts w:ascii="Arial" w:hAnsi="Arial" w:cs="Arial"/>
                <w:sz w:val="16"/>
                <w:szCs w:val="16"/>
                <w:lang w:eastAsia="es-ES"/>
              </w:rPr>
              <w:t>Aprobó:</w:t>
            </w:r>
          </w:p>
        </w:tc>
        <w:tc>
          <w:tcPr>
            <w:tcW w:w="4413" w:type="dxa"/>
            <w:tcBorders>
              <w:top w:val="dotted" w:sz="4" w:space="0" w:color="7F7F7F" w:themeColor="text1" w:themeTint="80"/>
              <w:left w:val="nil"/>
              <w:bottom w:val="dotted" w:sz="4" w:space="0" w:color="7F7F7F" w:themeColor="text1" w:themeTint="80"/>
              <w:right w:val="nil"/>
            </w:tcBorders>
            <w:vAlign w:val="center"/>
            <w:hideMark/>
          </w:tcPr>
          <w:p w14:paraId="32ECCC83" w14:textId="77777777" w:rsidR="00A71CEA" w:rsidRPr="00830F50" w:rsidRDefault="00A71CEA" w:rsidP="00FC46E7">
            <w:pPr>
              <w:rPr>
                <w:rFonts w:ascii="Arial" w:hAnsi="Arial" w:cs="Arial"/>
                <w:sz w:val="16"/>
                <w:szCs w:val="16"/>
                <w:lang w:eastAsia="es-ES"/>
              </w:rPr>
            </w:pPr>
            <w:r w:rsidRPr="00830F50">
              <w:rPr>
                <w:rFonts w:ascii="Arial" w:hAnsi="Arial" w:cs="Arial"/>
                <w:sz w:val="16"/>
                <w:szCs w:val="16"/>
                <w:lang w:eastAsia="es-ES"/>
              </w:rPr>
              <w:t>Jorge Augusto Tirado Navarro</w:t>
            </w:r>
          </w:p>
          <w:p w14:paraId="416E9DA6" w14:textId="77777777" w:rsidR="00A71CEA" w:rsidRPr="00830F50" w:rsidRDefault="00A71CEA" w:rsidP="00FC46E7">
            <w:pPr>
              <w:rPr>
                <w:rFonts w:ascii="Arial" w:hAnsi="Arial" w:cs="Arial"/>
                <w:sz w:val="16"/>
                <w:szCs w:val="16"/>
                <w:lang w:eastAsia="es-ES"/>
              </w:rPr>
            </w:pPr>
            <w:r w:rsidRPr="00830F50">
              <w:rPr>
                <w:rFonts w:ascii="Arial" w:hAnsi="Arial" w:cs="Arial"/>
                <w:sz w:val="16"/>
                <w:szCs w:val="16"/>
                <w:lang w:eastAsia="es-ES"/>
              </w:rPr>
              <w:t>Subdirector de Gestión Contractual ANCP – CCE</w:t>
            </w:r>
          </w:p>
        </w:tc>
      </w:tr>
    </w:tbl>
    <w:p w14:paraId="3D5BFD2B" w14:textId="77777777" w:rsidR="00A71CEA" w:rsidRPr="00830F50" w:rsidRDefault="00A71CEA" w:rsidP="00FC46E7"/>
    <w:sectPr w:rsidR="00A71CEA" w:rsidRPr="00830F50" w:rsidSect="007F1895">
      <w:headerReference w:type="default" r:id="rId12"/>
      <w:footerReference w:type="default" r:id="rId13"/>
      <w:pgSz w:w="12240" w:h="15840"/>
      <w:pgMar w:top="2041" w:right="1701" w:bottom="1418" w:left="1701" w:header="34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DBC9E" w14:textId="77777777" w:rsidR="008313D6" w:rsidRDefault="008313D6" w:rsidP="00A71CEA">
      <w:r>
        <w:separator/>
      </w:r>
    </w:p>
  </w:endnote>
  <w:endnote w:type="continuationSeparator" w:id="0">
    <w:p w14:paraId="1A33D2B1" w14:textId="77777777" w:rsidR="008313D6" w:rsidRDefault="008313D6" w:rsidP="00A71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MT">
    <w:altName w:val="Arial"/>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EB0DB" w14:textId="77777777" w:rsidR="00387886" w:rsidRDefault="00387886" w:rsidP="007F1895">
    <w:pPr>
      <w:pStyle w:val="Sinespaciado"/>
      <w:jc w:val="right"/>
      <w:rPr>
        <w:rFonts w:ascii="Arial" w:hAnsi="Arial" w:cs="Arial"/>
        <w:sz w:val="18"/>
        <w:szCs w:val="18"/>
      </w:rPr>
    </w:pPr>
  </w:p>
  <w:p w14:paraId="1A83C429" w14:textId="77777777" w:rsidR="00387886" w:rsidRDefault="00387886" w:rsidP="007F1895">
    <w:pPr>
      <w:pStyle w:val="Sinespaciado"/>
      <w:jc w:val="right"/>
      <w:rPr>
        <w:rFonts w:ascii="Arial" w:hAnsi="Arial" w:cs="Arial"/>
        <w:sz w:val="18"/>
        <w:szCs w:val="18"/>
      </w:rPr>
    </w:pPr>
  </w:p>
  <w:p w14:paraId="4C092373" w14:textId="77777777" w:rsidR="00387886" w:rsidRPr="008217B7" w:rsidRDefault="00387886" w:rsidP="007F1895">
    <w:pPr>
      <w:pStyle w:val="Piedepgina"/>
      <w:jc w:val="right"/>
      <w:rPr>
        <w:rFonts w:ascii="Arial" w:hAnsi="Arial" w:cs="Arial"/>
        <w:color w:val="7F7F7F" w:themeColor="text1" w:themeTint="80"/>
        <w:sz w:val="16"/>
        <w:szCs w:val="16"/>
      </w:rPr>
    </w:pPr>
    <w:r w:rsidRPr="008217B7">
      <w:rPr>
        <w:rFonts w:ascii="Arial" w:hAnsi="Arial" w:cs="Arial"/>
        <w:bCs/>
        <w:color w:val="7F7F7F" w:themeColor="text1" w:themeTint="80"/>
        <w:sz w:val="16"/>
        <w:szCs w:val="16"/>
      </w:rPr>
      <w:t xml:space="preserve">Página </w:t>
    </w:r>
    <w:r w:rsidRPr="00084B97">
      <w:rPr>
        <w:rFonts w:ascii="Arial" w:hAnsi="Arial" w:cs="Arial"/>
        <w:b/>
        <w:bCs/>
        <w:color w:val="7F7F7F" w:themeColor="text1" w:themeTint="80"/>
        <w:sz w:val="16"/>
        <w:szCs w:val="16"/>
      </w:rPr>
      <w:fldChar w:fldCharType="begin"/>
    </w:r>
    <w:r w:rsidRPr="00084B97">
      <w:rPr>
        <w:rFonts w:ascii="Arial" w:hAnsi="Arial" w:cs="Arial"/>
        <w:b/>
        <w:bCs/>
        <w:color w:val="7F7F7F" w:themeColor="text1" w:themeTint="80"/>
        <w:sz w:val="16"/>
        <w:szCs w:val="16"/>
      </w:rPr>
      <w:instrText>PAGE  \* Arabic  \* MERGEFORMAT</w:instrText>
    </w:r>
    <w:r w:rsidRPr="00084B97">
      <w:rPr>
        <w:rFonts w:ascii="Arial" w:hAnsi="Arial" w:cs="Arial"/>
        <w:b/>
        <w:bCs/>
        <w:color w:val="7F7F7F" w:themeColor="text1" w:themeTint="80"/>
        <w:sz w:val="16"/>
        <w:szCs w:val="16"/>
      </w:rPr>
      <w:fldChar w:fldCharType="separate"/>
    </w:r>
    <w:r w:rsidRPr="00084B97">
      <w:rPr>
        <w:rFonts w:ascii="Arial" w:hAnsi="Arial" w:cs="Arial"/>
        <w:b/>
        <w:bCs/>
        <w:color w:val="7F7F7F" w:themeColor="text1" w:themeTint="80"/>
        <w:sz w:val="16"/>
        <w:szCs w:val="16"/>
      </w:rPr>
      <w:t>1</w:t>
    </w:r>
    <w:r w:rsidRPr="00084B97">
      <w:rPr>
        <w:rFonts w:ascii="Arial" w:hAnsi="Arial" w:cs="Arial"/>
        <w:b/>
        <w:bCs/>
        <w:color w:val="7F7F7F" w:themeColor="text1" w:themeTint="80"/>
        <w:sz w:val="16"/>
        <w:szCs w:val="16"/>
      </w:rPr>
      <w:fldChar w:fldCharType="end"/>
    </w:r>
    <w:r w:rsidRPr="008217B7">
      <w:rPr>
        <w:rFonts w:ascii="Arial" w:hAnsi="Arial" w:cs="Arial"/>
        <w:color w:val="7F7F7F" w:themeColor="text1" w:themeTint="80"/>
        <w:sz w:val="16"/>
        <w:szCs w:val="16"/>
      </w:rPr>
      <w:t xml:space="preserve"> de </w:t>
    </w:r>
    <w:r w:rsidRPr="00084B97">
      <w:rPr>
        <w:rFonts w:ascii="Arial" w:hAnsi="Arial" w:cs="Arial"/>
        <w:b/>
        <w:bCs/>
        <w:color w:val="7F7F7F" w:themeColor="text1" w:themeTint="80"/>
        <w:sz w:val="16"/>
        <w:szCs w:val="16"/>
      </w:rPr>
      <w:fldChar w:fldCharType="begin"/>
    </w:r>
    <w:r w:rsidRPr="00084B97">
      <w:rPr>
        <w:rFonts w:ascii="Arial" w:hAnsi="Arial" w:cs="Arial"/>
        <w:b/>
        <w:bCs/>
        <w:color w:val="7F7F7F" w:themeColor="text1" w:themeTint="80"/>
        <w:sz w:val="16"/>
        <w:szCs w:val="16"/>
      </w:rPr>
      <w:instrText>NUMPAGES  \* Arabic  \* MERGEFORMAT</w:instrText>
    </w:r>
    <w:r w:rsidRPr="00084B97">
      <w:rPr>
        <w:rFonts w:ascii="Arial" w:hAnsi="Arial" w:cs="Arial"/>
        <w:b/>
        <w:bCs/>
        <w:color w:val="7F7F7F" w:themeColor="text1" w:themeTint="80"/>
        <w:sz w:val="16"/>
        <w:szCs w:val="16"/>
      </w:rPr>
      <w:fldChar w:fldCharType="separate"/>
    </w:r>
    <w:r w:rsidRPr="00084B97">
      <w:rPr>
        <w:rFonts w:ascii="Arial" w:hAnsi="Arial" w:cs="Arial"/>
        <w:b/>
        <w:bCs/>
        <w:color w:val="7F7F7F" w:themeColor="text1" w:themeTint="80"/>
        <w:sz w:val="16"/>
        <w:szCs w:val="16"/>
      </w:rPr>
      <w:t>2</w:t>
    </w:r>
    <w:r w:rsidRPr="00084B97">
      <w:rPr>
        <w:rFonts w:ascii="Arial" w:hAnsi="Arial" w:cs="Arial"/>
        <w:b/>
        <w:bCs/>
        <w:color w:val="7F7F7F" w:themeColor="text1" w:themeTint="80"/>
        <w:sz w:val="16"/>
        <w:szCs w:val="16"/>
      </w:rPr>
      <w:fldChar w:fldCharType="end"/>
    </w:r>
  </w:p>
  <w:p w14:paraId="15A1C25B" w14:textId="77777777" w:rsidR="00387886" w:rsidRDefault="00387886" w:rsidP="007F1895">
    <w:pPr>
      <w:pStyle w:val="Piedepgina"/>
      <w:jc w:val="center"/>
      <w:rPr>
        <w:lang w:val="es-ES"/>
      </w:rPr>
    </w:pPr>
    <w:r>
      <w:rPr>
        <w:noProof/>
      </w:rPr>
      <w:drawing>
        <wp:inline distT="0" distB="0" distL="0" distR="0" wp14:anchorId="1A50E6AF" wp14:editId="2CAE943A">
          <wp:extent cx="3700130" cy="519139"/>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e_pagina_pie_pagina_excel.png"/>
                  <pic:cNvPicPr/>
                </pic:nvPicPr>
                <pic:blipFill>
                  <a:blip r:embed="rId1">
                    <a:extLst>
                      <a:ext uri="{28A0092B-C50C-407E-A947-70E740481C1C}">
                        <a14:useLocalDpi xmlns:a14="http://schemas.microsoft.com/office/drawing/2010/main" val="0"/>
                      </a:ext>
                    </a:extLst>
                  </a:blip>
                  <a:stretch>
                    <a:fillRect/>
                  </a:stretch>
                </pic:blipFill>
                <pic:spPr>
                  <a:xfrm>
                    <a:off x="0" y="0"/>
                    <a:ext cx="3779589" cy="530287"/>
                  </a:xfrm>
                  <a:prstGeom prst="rect">
                    <a:avLst/>
                  </a:prstGeom>
                </pic:spPr>
              </pic:pic>
            </a:graphicData>
          </a:graphic>
        </wp:inline>
      </w:drawing>
    </w:r>
  </w:p>
  <w:p w14:paraId="79A9CCC9" w14:textId="77777777" w:rsidR="00387886" w:rsidRPr="00E756AC" w:rsidRDefault="00387886" w:rsidP="007F1895">
    <w:pPr>
      <w:pStyle w:val="Piedepgina"/>
      <w:jc w:val="center"/>
      <w:rPr>
        <w:sz w:val="18"/>
        <w:szCs w:val="18"/>
        <w:lang w:val="es-ES"/>
      </w:rPr>
    </w:pPr>
  </w:p>
  <w:p w14:paraId="02222FE9" w14:textId="77777777" w:rsidR="00387886" w:rsidRPr="00E756AC" w:rsidRDefault="00387886" w:rsidP="007F1895">
    <w:pPr>
      <w:pStyle w:val="Piedepgina"/>
      <w:jc w:val="center"/>
      <w:rPr>
        <w:sz w:val="18"/>
        <w:szCs w:val="18"/>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E7F85" w14:textId="77777777" w:rsidR="008313D6" w:rsidRDefault="008313D6" w:rsidP="00A71CEA">
      <w:r>
        <w:separator/>
      </w:r>
    </w:p>
  </w:footnote>
  <w:footnote w:type="continuationSeparator" w:id="0">
    <w:p w14:paraId="6F04FC56" w14:textId="77777777" w:rsidR="008313D6" w:rsidRDefault="008313D6" w:rsidP="00A71CEA">
      <w:r>
        <w:continuationSeparator/>
      </w:r>
    </w:p>
  </w:footnote>
  <w:footnote w:id="1">
    <w:p w14:paraId="0AF7B4D9" w14:textId="77777777" w:rsidR="00947B9D" w:rsidRPr="00C97BD5" w:rsidRDefault="00947B9D" w:rsidP="00D05045">
      <w:pPr>
        <w:pStyle w:val="Textonotapie"/>
        <w:ind w:firstLine="708"/>
        <w:jc w:val="both"/>
        <w:rPr>
          <w:rFonts w:ascii="Arial" w:hAnsi="Arial" w:cs="Arial"/>
          <w:iCs/>
          <w:color w:val="1A1A1A" w:themeColor="background1" w:themeShade="1A"/>
          <w:sz w:val="19"/>
          <w:szCs w:val="19"/>
        </w:rPr>
      </w:pPr>
      <w:r w:rsidRPr="00C97BD5">
        <w:rPr>
          <w:rStyle w:val="Refdenotaalpie"/>
          <w:rFonts w:ascii="Arial" w:hAnsi="Arial" w:cs="Arial"/>
          <w:color w:val="1A1A1A" w:themeColor="background1" w:themeShade="1A"/>
          <w:sz w:val="19"/>
          <w:szCs w:val="19"/>
        </w:rPr>
        <w:footnoteRef/>
      </w:r>
      <w:r w:rsidRPr="00C97BD5">
        <w:rPr>
          <w:rFonts w:ascii="Arial" w:hAnsi="Arial" w:cs="Arial"/>
          <w:color w:val="1A1A1A" w:themeColor="background1" w:themeShade="1A"/>
          <w:sz w:val="19"/>
          <w:szCs w:val="19"/>
        </w:rPr>
        <w:t xml:space="preserve"> </w:t>
      </w:r>
      <w:r w:rsidRPr="00C97BD5">
        <w:rPr>
          <w:rFonts w:ascii="Arial" w:hAnsi="Arial" w:cs="Arial"/>
          <w:iCs/>
          <w:color w:val="1A1A1A" w:themeColor="background1" w:themeShade="1A"/>
          <w:sz w:val="19"/>
          <w:szCs w:val="19"/>
        </w:rPr>
        <w:t>Artículo 3 de la Ley 80 de 1993.</w:t>
      </w:r>
    </w:p>
    <w:p w14:paraId="5BE1A719" w14:textId="77777777" w:rsidR="00947B9D" w:rsidRPr="00C97BD5" w:rsidRDefault="00947B9D" w:rsidP="00D05045">
      <w:pPr>
        <w:pStyle w:val="Textonotapie"/>
        <w:jc w:val="both"/>
        <w:rPr>
          <w:rFonts w:ascii="Arial" w:hAnsi="Arial" w:cs="Arial"/>
          <w:iCs/>
          <w:color w:val="1A1A1A" w:themeColor="background1" w:themeShade="1A"/>
          <w:sz w:val="19"/>
          <w:szCs w:val="19"/>
        </w:rPr>
      </w:pPr>
    </w:p>
  </w:footnote>
  <w:footnote w:id="2">
    <w:p w14:paraId="7AD441BF" w14:textId="77777777" w:rsidR="00947B9D" w:rsidRPr="00C97BD5" w:rsidRDefault="00947B9D" w:rsidP="00D05045">
      <w:pPr>
        <w:pStyle w:val="Textonotapie"/>
        <w:ind w:firstLine="708"/>
        <w:jc w:val="both"/>
        <w:rPr>
          <w:rFonts w:ascii="Arial" w:hAnsi="Arial" w:cs="Arial"/>
          <w:iCs/>
          <w:color w:val="1A1A1A" w:themeColor="background1" w:themeShade="1A"/>
          <w:sz w:val="19"/>
          <w:szCs w:val="19"/>
        </w:rPr>
      </w:pPr>
      <w:r w:rsidRPr="00C97BD5">
        <w:rPr>
          <w:rStyle w:val="Refdenotaalpie"/>
          <w:rFonts w:ascii="Arial" w:hAnsi="Arial" w:cs="Arial"/>
          <w:color w:val="1A1A1A" w:themeColor="background1" w:themeShade="1A"/>
          <w:sz w:val="19"/>
          <w:szCs w:val="19"/>
        </w:rPr>
        <w:footnoteRef/>
      </w:r>
      <w:r w:rsidRPr="00C97BD5">
        <w:rPr>
          <w:rFonts w:ascii="Arial" w:hAnsi="Arial" w:cs="Arial"/>
          <w:color w:val="1A1A1A" w:themeColor="background1" w:themeShade="1A"/>
          <w:sz w:val="19"/>
          <w:szCs w:val="19"/>
        </w:rPr>
        <w:t xml:space="preserve"> </w:t>
      </w:r>
      <w:r w:rsidRPr="00C97BD5">
        <w:rPr>
          <w:rFonts w:ascii="Arial" w:hAnsi="Arial" w:cs="Arial"/>
          <w:iCs/>
          <w:color w:val="1A1A1A" w:themeColor="background1" w:themeShade="1A"/>
          <w:sz w:val="19"/>
          <w:szCs w:val="19"/>
        </w:rPr>
        <w:t>Artículo 17 de la Ley 1150 de 2007.</w:t>
      </w:r>
    </w:p>
    <w:p w14:paraId="3BEB2A28" w14:textId="77777777" w:rsidR="00947B9D" w:rsidRPr="00C97BD5" w:rsidRDefault="00947B9D" w:rsidP="00D05045">
      <w:pPr>
        <w:pStyle w:val="Textonotapie"/>
        <w:ind w:firstLine="708"/>
        <w:jc w:val="both"/>
        <w:rPr>
          <w:rFonts w:ascii="Arial" w:hAnsi="Arial" w:cs="Arial"/>
          <w:color w:val="1A1A1A" w:themeColor="background1" w:themeShade="1A"/>
          <w:sz w:val="19"/>
          <w:szCs w:val="19"/>
          <w:lang w:val="es-ES"/>
        </w:rPr>
      </w:pPr>
    </w:p>
  </w:footnote>
  <w:footnote w:id="3">
    <w:p w14:paraId="47BD1E6B" w14:textId="77777777" w:rsidR="00947B9D" w:rsidRPr="00C97BD5" w:rsidRDefault="00947B9D" w:rsidP="00D05045">
      <w:pPr>
        <w:pStyle w:val="Textonotapie"/>
        <w:ind w:firstLine="708"/>
        <w:jc w:val="both"/>
        <w:rPr>
          <w:rFonts w:ascii="Arial" w:hAnsi="Arial" w:cs="Arial"/>
          <w:iCs/>
          <w:color w:val="1A1A1A" w:themeColor="background1" w:themeShade="1A"/>
          <w:sz w:val="19"/>
          <w:szCs w:val="19"/>
        </w:rPr>
      </w:pPr>
      <w:r w:rsidRPr="00C97BD5">
        <w:rPr>
          <w:rStyle w:val="Refdenotaalpie"/>
          <w:rFonts w:ascii="Arial" w:hAnsi="Arial" w:cs="Arial"/>
          <w:color w:val="1A1A1A" w:themeColor="background1" w:themeShade="1A"/>
          <w:sz w:val="19"/>
          <w:szCs w:val="19"/>
        </w:rPr>
        <w:footnoteRef/>
      </w:r>
      <w:r w:rsidRPr="00C97BD5">
        <w:rPr>
          <w:rFonts w:ascii="Arial" w:hAnsi="Arial" w:cs="Arial"/>
          <w:color w:val="1A1A1A" w:themeColor="background1" w:themeShade="1A"/>
          <w:sz w:val="19"/>
          <w:szCs w:val="19"/>
        </w:rPr>
        <w:t xml:space="preserve"> </w:t>
      </w:r>
      <w:r w:rsidRPr="00C97BD5">
        <w:rPr>
          <w:rFonts w:ascii="Arial" w:hAnsi="Arial" w:cs="Arial"/>
          <w:iCs/>
          <w:color w:val="1A1A1A" w:themeColor="background1" w:themeShade="1A"/>
          <w:sz w:val="19"/>
          <w:szCs w:val="19"/>
        </w:rPr>
        <w:t>Artículo 21 de la Ley 1150 de 2007.</w:t>
      </w:r>
    </w:p>
    <w:p w14:paraId="3D44B933" w14:textId="77777777" w:rsidR="00947B9D" w:rsidRPr="00C97BD5" w:rsidRDefault="00947B9D" w:rsidP="00D05045">
      <w:pPr>
        <w:pStyle w:val="Textonotapie"/>
        <w:jc w:val="both"/>
        <w:rPr>
          <w:rFonts w:ascii="Arial" w:hAnsi="Arial" w:cs="Arial"/>
          <w:color w:val="1A1A1A" w:themeColor="background1" w:themeShade="1A"/>
          <w:sz w:val="19"/>
          <w:szCs w:val="19"/>
        </w:rPr>
      </w:pPr>
    </w:p>
  </w:footnote>
  <w:footnote w:id="4">
    <w:p w14:paraId="1081BA90" w14:textId="77777777" w:rsidR="00947B9D" w:rsidRPr="00C97BD5" w:rsidRDefault="00947B9D" w:rsidP="00D05045">
      <w:pPr>
        <w:pStyle w:val="Textonotapie"/>
        <w:ind w:firstLine="708"/>
        <w:jc w:val="both"/>
        <w:rPr>
          <w:rFonts w:ascii="Arial" w:hAnsi="Arial" w:cs="Arial"/>
          <w:iCs/>
          <w:color w:val="1A1A1A" w:themeColor="background1" w:themeShade="1A"/>
          <w:sz w:val="19"/>
          <w:szCs w:val="19"/>
        </w:rPr>
      </w:pPr>
      <w:r w:rsidRPr="00C97BD5">
        <w:rPr>
          <w:rStyle w:val="Refdenotaalpie"/>
          <w:rFonts w:ascii="Arial" w:hAnsi="Arial" w:cs="Arial"/>
          <w:color w:val="1A1A1A" w:themeColor="background1" w:themeShade="1A"/>
          <w:sz w:val="19"/>
          <w:szCs w:val="19"/>
        </w:rPr>
        <w:footnoteRef/>
      </w:r>
      <w:r w:rsidRPr="00C97BD5">
        <w:rPr>
          <w:rFonts w:ascii="Arial" w:hAnsi="Arial" w:cs="Arial"/>
          <w:color w:val="1A1A1A" w:themeColor="background1" w:themeShade="1A"/>
          <w:sz w:val="19"/>
          <w:szCs w:val="19"/>
        </w:rPr>
        <w:t xml:space="preserve"> </w:t>
      </w:r>
      <w:r w:rsidRPr="00C97BD5">
        <w:rPr>
          <w:rFonts w:ascii="Arial" w:hAnsi="Arial" w:cs="Arial"/>
          <w:iCs/>
          <w:color w:val="1A1A1A" w:themeColor="background1" w:themeShade="1A"/>
          <w:sz w:val="19"/>
          <w:szCs w:val="19"/>
        </w:rPr>
        <w:t>Artículos 83 a 86 de la Ley 1474 de 2011.</w:t>
      </w:r>
    </w:p>
    <w:p w14:paraId="5BDEE267" w14:textId="77777777" w:rsidR="00947B9D" w:rsidRPr="00C97BD5" w:rsidRDefault="00947B9D" w:rsidP="00D05045">
      <w:pPr>
        <w:pStyle w:val="Textonotapie"/>
        <w:jc w:val="both"/>
        <w:rPr>
          <w:rFonts w:ascii="Arial" w:hAnsi="Arial" w:cs="Arial"/>
          <w:color w:val="1A1A1A" w:themeColor="background1" w:themeShade="1A"/>
          <w:sz w:val="19"/>
          <w:szCs w:val="19"/>
        </w:rPr>
      </w:pPr>
    </w:p>
  </w:footnote>
  <w:footnote w:id="5">
    <w:p w14:paraId="10A07D2F" w14:textId="77777777" w:rsidR="00947B9D" w:rsidRPr="00C97BD5" w:rsidRDefault="00947B9D" w:rsidP="00D05045">
      <w:pPr>
        <w:pStyle w:val="Textonotapie"/>
        <w:ind w:firstLine="708"/>
        <w:jc w:val="both"/>
        <w:rPr>
          <w:rFonts w:ascii="Arial" w:hAnsi="Arial" w:cs="Arial"/>
          <w:iCs/>
          <w:color w:val="1A1A1A" w:themeColor="background1" w:themeShade="1A"/>
          <w:sz w:val="19"/>
          <w:szCs w:val="19"/>
        </w:rPr>
      </w:pPr>
      <w:r w:rsidRPr="00C97BD5">
        <w:rPr>
          <w:rStyle w:val="Refdenotaalpie"/>
          <w:rFonts w:ascii="Arial" w:hAnsi="Arial" w:cs="Arial"/>
          <w:color w:val="1A1A1A" w:themeColor="background1" w:themeShade="1A"/>
          <w:sz w:val="19"/>
          <w:szCs w:val="19"/>
        </w:rPr>
        <w:footnoteRef/>
      </w:r>
      <w:r w:rsidRPr="00C97BD5">
        <w:rPr>
          <w:rFonts w:ascii="Arial" w:hAnsi="Arial" w:cs="Arial"/>
          <w:color w:val="1A1A1A" w:themeColor="background1" w:themeShade="1A"/>
          <w:sz w:val="19"/>
          <w:szCs w:val="19"/>
        </w:rPr>
        <w:t xml:space="preserve"> </w:t>
      </w:r>
      <w:r w:rsidRPr="00C97BD5">
        <w:rPr>
          <w:rFonts w:ascii="Arial" w:hAnsi="Arial" w:cs="Arial"/>
          <w:iCs/>
          <w:color w:val="1A1A1A" w:themeColor="background1" w:themeShade="1A"/>
          <w:sz w:val="19"/>
          <w:szCs w:val="19"/>
        </w:rPr>
        <w:t>Consejo de Estado. Sección 3ª. Sentencia del 27 de noviembre de 2017. M.P. Jaime Orlando Santofimio. Exp. 51.802.</w:t>
      </w:r>
    </w:p>
    <w:p w14:paraId="77EF3FE6" w14:textId="77777777" w:rsidR="00947B9D" w:rsidRPr="00C97BD5" w:rsidRDefault="00947B9D" w:rsidP="00D05045">
      <w:pPr>
        <w:pStyle w:val="Textonotapie"/>
        <w:jc w:val="both"/>
        <w:rPr>
          <w:rFonts w:ascii="Arial" w:hAnsi="Arial" w:cs="Arial"/>
          <w:color w:val="1A1A1A" w:themeColor="background1" w:themeShade="1A"/>
          <w:sz w:val="19"/>
          <w:szCs w:val="19"/>
          <w:lang w:val="es-CO"/>
        </w:rPr>
      </w:pPr>
    </w:p>
  </w:footnote>
  <w:footnote w:id="6">
    <w:p w14:paraId="3070ECF0" w14:textId="77777777" w:rsidR="00947B9D" w:rsidRPr="00C97BD5" w:rsidRDefault="00947B9D" w:rsidP="00D05045">
      <w:pPr>
        <w:pStyle w:val="Textonotapie"/>
        <w:ind w:firstLine="708"/>
        <w:rPr>
          <w:rFonts w:ascii="Arial" w:hAnsi="Arial" w:cs="Arial"/>
          <w:color w:val="1A1A1A" w:themeColor="background1" w:themeShade="1A"/>
          <w:sz w:val="19"/>
          <w:szCs w:val="19"/>
          <w:lang w:val="es-CO"/>
        </w:rPr>
      </w:pPr>
      <w:r w:rsidRPr="00C97BD5">
        <w:rPr>
          <w:rStyle w:val="Refdenotaalpie"/>
          <w:rFonts w:ascii="Arial" w:hAnsi="Arial" w:cs="Arial"/>
          <w:color w:val="1A1A1A" w:themeColor="background1" w:themeShade="1A"/>
          <w:sz w:val="19"/>
          <w:szCs w:val="19"/>
        </w:rPr>
        <w:footnoteRef/>
      </w:r>
      <w:r w:rsidRPr="00C97BD5">
        <w:rPr>
          <w:rFonts w:ascii="Arial" w:hAnsi="Arial" w:cs="Arial"/>
          <w:color w:val="1A1A1A" w:themeColor="background1" w:themeShade="1A"/>
          <w:sz w:val="19"/>
          <w:szCs w:val="19"/>
        </w:rPr>
        <w:t xml:space="preserve"> «Son también contratos de consultoría los que tienen por objeto la interventoría […]»</w:t>
      </w:r>
    </w:p>
  </w:footnote>
  <w:footnote w:id="7">
    <w:p w14:paraId="255B6CC5" w14:textId="77777777" w:rsidR="005224BC" w:rsidRPr="00C97BD5" w:rsidRDefault="005224BC" w:rsidP="00D05045">
      <w:pPr>
        <w:pStyle w:val="Textonotapie"/>
        <w:ind w:firstLine="708"/>
        <w:rPr>
          <w:rFonts w:ascii="Arial" w:hAnsi="Arial" w:cs="Arial"/>
          <w:sz w:val="19"/>
          <w:szCs w:val="19"/>
          <w:lang w:val="es-CO"/>
        </w:rPr>
      </w:pPr>
      <w:r w:rsidRPr="00C97BD5">
        <w:rPr>
          <w:rStyle w:val="Refdenotaalpie"/>
          <w:rFonts w:ascii="Arial" w:hAnsi="Arial" w:cs="Arial"/>
          <w:sz w:val="19"/>
          <w:szCs w:val="19"/>
        </w:rPr>
        <w:footnoteRef/>
      </w:r>
      <w:r w:rsidRPr="00C97BD5">
        <w:rPr>
          <w:rFonts w:ascii="Arial" w:hAnsi="Arial" w:cs="Arial"/>
          <w:sz w:val="19"/>
          <w:szCs w:val="19"/>
        </w:rPr>
        <w:t xml:space="preserve"> </w:t>
      </w:r>
      <w:r w:rsidRPr="00C97BD5">
        <w:rPr>
          <w:rFonts w:ascii="Arial" w:hAnsi="Arial" w:cs="Arial"/>
          <w:sz w:val="19"/>
          <w:szCs w:val="19"/>
          <w:lang w:val="es-CO"/>
        </w:rPr>
        <w:t xml:space="preserve">REAL ACADEMIA DE LA LENGUA ESPAÑOLA, </w:t>
      </w:r>
      <w:hyperlink r:id="rId1" w:history="1">
        <w:r w:rsidRPr="00C97BD5">
          <w:rPr>
            <w:rStyle w:val="Hipervnculo"/>
            <w:rFonts w:ascii="Arial" w:hAnsi="Arial" w:cs="Arial"/>
            <w:sz w:val="19"/>
            <w:szCs w:val="19"/>
            <w:lang w:val="es-CO"/>
          </w:rPr>
          <w:t>https://dle.rae.es/adici%C3%B3n</w:t>
        </w:r>
      </w:hyperlink>
      <w:r w:rsidRPr="00C97BD5">
        <w:rPr>
          <w:rFonts w:ascii="Arial" w:hAnsi="Arial" w:cs="Arial"/>
          <w:sz w:val="19"/>
          <w:szCs w:val="19"/>
          <w:lang w:val="es-CO"/>
        </w:rPr>
        <w:t xml:space="preserve"> (en línea)</w:t>
      </w:r>
    </w:p>
  </w:footnote>
  <w:footnote w:id="8">
    <w:p w14:paraId="1FCF2558" w14:textId="77777777" w:rsidR="008A202D" w:rsidRDefault="008A202D" w:rsidP="00D05045">
      <w:pPr>
        <w:pStyle w:val="Textonotapie"/>
        <w:ind w:firstLine="708"/>
        <w:jc w:val="both"/>
        <w:rPr>
          <w:rFonts w:ascii="Arial" w:hAnsi="Arial" w:cs="Arial"/>
          <w:color w:val="000000" w:themeColor="text1"/>
          <w:sz w:val="19"/>
          <w:szCs w:val="19"/>
        </w:rPr>
      </w:pPr>
    </w:p>
    <w:p w14:paraId="473528D0" w14:textId="77777777" w:rsidR="00D05045" w:rsidRPr="00340697" w:rsidRDefault="005224BC" w:rsidP="00D05045">
      <w:pPr>
        <w:ind w:firstLine="709"/>
        <w:jc w:val="both"/>
        <w:rPr>
          <w:rFonts w:ascii="Arial" w:eastAsia="Calibri" w:hAnsi="Arial" w:cs="Arial"/>
          <w:sz w:val="19"/>
          <w:szCs w:val="19"/>
        </w:rPr>
      </w:pPr>
      <w:r w:rsidRPr="00340697">
        <w:rPr>
          <w:rStyle w:val="Refdenotaalpie"/>
          <w:rFonts w:ascii="Arial" w:hAnsi="Arial" w:cs="Arial"/>
          <w:color w:val="000000" w:themeColor="text1"/>
          <w:sz w:val="19"/>
          <w:szCs w:val="19"/>
        </w:rPr>
        <w:footnoteRef/>
      </w:r>
      <w:r w:rsidRPr="00340697">
        <w:rPr>
          <w:rFonts w:ascii="Arial" w:hAnsi="Arial" w:cs="Arial"/>
          <w:color w:val="000000" w:themeColor="text1"/>
          <w:sz w:val="19"/>
          <w:szCs w:val="19"/>
        </w:rPr>
        <w:t xml:space="preserve"> </w:t>
      </w:r>
      <w:r w:rsidR="00124E70" w:rsidRPr="00340697">
        <w:rPr>
          <w:rFonts w:ascii="Arial" w:eastAsia="Calibri" w:hAnsi="Arial" w:cs="Arial"/>
          <w:sz w:val="19"/>
          <w:szCs w:val="19"/>
        </w:rPr>
        <w:t xml:space="preserve">El entendimiento anterior, frente al límite en la adición de los contratos estatales ha sido explicado de forma más detallada por esta Subdirección en conceptos como el C-100 del 27 de marzo de 2020 y el C-130 del 2 de abril de 2020. </w:t>
      </w:r>
    </w:p>
    <w:p w14:paraId="3F6891D1" w14:textId="1351EEF9" w:rsidR="005224BC" w:rsidRPr="00C97BD5" w:rsidRDefault="005224BC" w:rsidP="00340697">
      <w:pPr>
        <w:ind w:firstLine="709"/>
        <w:jc w:val="both"/>
        <w:rPr>
          <w:rFonts w:ascii="Arial" w:hAnsi="Arial" w:cs="Arial"/>
          <w:color w:val="000000" w:themeColor="text1"/>
          <w:sz w:val="19"/>
          <w:szCs w:val="19"/>
        </w:rPr>
      </w:pPr>
      <w:r w:rsidRPr="00340697">
        <w:rPr>
          <w:rFonts w:ascii="Arial" w:hAnsi="Arial" w:cs="Arial"/>
          <w:color w:val="000000" w:themeColor="text1"/>
          <w:sz w:val="19"/>
          <w:szCs w:val="19"/>
        </w:rPr>
        <w:t xml:space="preserve">Lo anterior, sin perjuicio de lo prescrito por la Ley 1474 de 2011, que en su artículo 85, </w:t>
      </w:r>
      <w:r w:rsidR="00D05045" w:rsidRPr="00340697">
        <w:rPr>
          <w:rFonts w:ascii="Arial" w:hAnsi="Arial" w:cs="Arial"/>
          <w:color w:val="000000" w:themeColor="text1"/>
          <w:sz w:val="19"/>
          <w:szCs w:val="19"/>
        </w:rPr>
        <w:t xml:space="preserve">como se explicará, </w:t>
      </w:r>
      <w:r w:rsidRPr="00340697">
        <w:rPr>
          <w:rFonts w:ascii="Arial" w:hAnsi="Arial" w:cs="Arial"/>
          <w:color w:val="000000" w:themeColor="text1"/>
          <w:sz w:val="19"/>
          <w:szCs w:val="19"/>
        </w:rPr>
        <w:t>en relación con los contratos de interventoría, excepciona la aplicación de la restricción analizada, de manera que podrán adicionarse sin importar su monto.</w:t>
      </w:r>
    </w:p>
    <w:p w14:paraId="29AEC702" w14:textId="77777777" w:rsidR="005224BC" w:rsidRPr="00C97BD5" w:rsidRDefault="005224BC">
      <w:pPr>
        <w:pStyle w:val="Textonotapie"/>
        <w:rPr>
          <w:rFonts w:ascii="Arial" w:hAnsi="Arial" w:cs="Arial"/>
          <w:sz w:val="19"/>
          <w:szCs w:val="19"/>
          <w:lang w:val="es-ES"/>
        </w:rPr>
      </w:pPr>
    </w:p>
  </w:footnote>
  <w:footnote w:id="9">
    <w:p w14:paraId="31156787" w14:textId="38D2F7A2" w:rsidR="005224BC" w:rsidRPr="00C97BD5" w:rsidRDefault="005224BC">
      <w:pPr>
        <w:pStyle w:val="Textonotapie"/>
        <w:ind w:firstLine="708"/>
        <w:jc w:val="both"/>
        <w:rPr>
          <w:rFonts w:ascii="Arial" w:hAnsi="Arial" w:cs="Arial"/>
          <w:sz w:val="19"/>
          <w:szCs w:val="19"/>
          <w:lang w:val="es-ES"/>
        </w:rPr>
      </w:pPr>
      <w:r w:rsidRPr="00C97BD5">
        <w:rPr>
          <w:rStyle w:val="Refdenotaalpie"/>
          <w:rFonts w:ascii="Arial" w:hAnsi="Arial" w:cs="Arial"/>
          <w:sz w:val="19"/>
          <w:szCs w:val="19"/>
        </w:rPr>
        <w:footnoteRef/>
      </w:r>
      <w:r w:rsidRPr="00C97BD5">
        <w:rPr>
          <w:rFonts w:ascii="Arial" w:hAnsi="Arial" w:cs="Arial"/>
          <w:sz w:val="19"/>
          <w:szCs w:val="19"/>
        </w:rPr>
        <w:t xml:space="preserve"> </w:t>
      </w:r>
      <w:r w:rsidRPr="00C97BD5">
        <w:rPr>
          <w:rFonts w:ascii="Arial" w:hAnsi="Arial" w:cs="Arial"/>
          <w:sz w:val="19"/>
          <w:szCs w:val="19"/>
          <w:lang w:val="es-ES"/>
        </w:rPr>
        <w:t>MATALLANA CAMACHO, Ernesto. Manual de contratación de la administración pública: reforma de la Ley 80 de 1993</w:t>
      </w:r>
      <w:r w:rsidR="00AD51BE">
        <w:rPr>
          <w:rFonts w:ascii="Arial" w:hAnsi="Arial" w:cs="Arial"/>
          <w:sz w:val="19"/>
          <w:szCs w:val="19"/>
          <w:lang w:val="es-ES"/>
        </w:rPr>
        <w:t>.</w:t>
      </w:r>
      <w:r w:rsidRPr="00C97BD5">
        <w:rPr>
          <w:rFonts w:ascii="Arial" w:hAnsi="Arial" w:cs="Arial"/>
          <w:sz w:val="19"/>
          <w:szCs w:val="19"/>
          <w:lang w:val="es-ES"/>
        </w:rPr>
        <w:t xml:space="preserve"> </w:t>
      </w:r>
      <w:r w:rsidR="00AD51BE" w:rsidRPr="00C97BD5">
        <w:rPr>
          <w:rFonts w:ascii="Arial" w:hAnsi="Arial" w:cs="Arial"/>
          <w:sz w:val="19"/>
          <w:szCs w:val="19"/>
          <w:lang w:val="es-ES"/>
        </w:rPr>
        <w:t>4</w:t>
      </w:r>
      <w:r w:rsidR="00AD51BE">
        <w:rPr>
          <w:rFonts w:ascii="Arial" w:hAnsi="Arial" w:cs="Arial"/>
          <w:sz w:val="19"/>
          <w:szCs w:val="19"/>
          <w:lang w:val="es-ES"/>
        </w:rPr>
        <w:t>ª</w:t>
      </w:r>
      <w:r w:rsidR="00AD51BE" w:rsidRPr="00C97BD5">
        <w:rPr>
          <w:rFonts w:ascii="Arial" w:hAnsi="Arial" w:cs="Arial"/>
          <w:sz w:val="19"/>
          <w:szCs w:val="19"/>
          <w:lang w:val="es-ES"/>
        </w:rPr>
        <w:t xml:space="preserve"> edición</w:t>
      </w:r>
      <w:r w:rsidR="00AD51BE">
        <w:rPr>
          <w:rFonts w:ascii="Arial" w:hAnsi="Arial" w:cs="Arial"/>
          <w:sz w:val="19"/>
          <w:szCs w:val="19"/>
          <w:lang w:val="es-ES"/>
        </w:rPr>
        <w:t>.</w:t>
      </w:r>
      <w:r w:rsidR="00AD51BE" w:rsidRPr="00C97BD5">
        <w:rPr>
          <w:rFonts w:ascii="Arial" w:hAnsi="Arial" w:cs="Arial"/>
          <w:sz w:val="19"/>
          <w:szCs w:val="19"/>
          <w:lang w:val="es-ES"/>
        </w:rPr>
        <w:t xml:space="preserve"> </w:t>
      </w:r>
      <w:r w:rsidR="00AD51BE">
        <w:rPr>
          <w:rFonts w:ascii="Arial" w:hAnsi="Arial" w:cs="Arial"/>
          <w:sz w:val="19"/>
          <w:szCs w:val="19"/>
          <w:lang w:val="es-ES"/>
        </w:rPr>
        <w:t xml:space="preserve">Bogotá: </w:t>
      </w:r>
      <w:r w:rsidRPr="00C97BD5">
        <w:rPr>
          <w:rFonts w:ascii="Arial" w:hAnsi="Arial" w:cs="Arial"/>
          <w:sz w:val="19"/>
          <w:szCs w:val="19"/>
          <w:lang w:val="es-ES"/>
        </w:rPr>
        <w:t>Universidad Externado de Colombia</w:t>
      </w:r>
      <w:r w:rsidR="00AD51BE">
        <w:rPr>
          <w:rFonts w:ascii="Arial" w:hAnsi="Arial" w:cs="Arial"/>
          <w:sz w:val="19"/>
          <w:szCs w:val="19"/>
          <w:lang w:val="es-ES"/>
        </w:rPr>
        <w:t>,</w:t>
      </w:r>
      <w:r w:rsidRPr="00C97BD5">
        <w:rPr>
          <w:rFonts w:ascii="Arial" w:hAnsi="Arial" w:cs="Arial"/>
          <w:sz w:val="19"/>
          <w:szCs w:val="19"/>
          <w:lang w:val="es-ES"/>
        </w:rPr>
        <w:t xml:space="preserve"> 2015</w:t>
      </w:r>
      <w:r w:rsidR="00AD51BE">
        <w:rPr>
          <w:rFonts w:ascii="Arial" w:hAnsi="Arial" w:cs="Arial"/>
          <w:sz w:val="19"/>
          <w:szCs w:val="19"/>
          <w:lang w:val="es-ES"/>
        </w:rPr>
        <w:t>.</w:t>
      </w:r>
      <w:r w:rsidRPr="00C97BD5">
        <w:rPr>
          <w:rFonts w:ascii="Arial" w:hAnsi="Arial" w:cs="Arial"/>
          <w:sz w:val="19"/>
          <w:szCs w:val="19"/>
          <w:lang w:val="es-ES"/>
        </w:rPr>
        <w:t xml:space="preserve"> p. 971 </w:t>
      </w:r>
    </w:p>
    <w:p w14:paraId="1D316AAE" w14:textId="77777777" w:rsidR="005224BC" w:rsidRPr="00C97BD5" w:rsidRDefault="005224BC">
      <w:pPr>
        <w:pStyle w:val="Textonotapie"/>
        <w:ind w:firstLine="708"/>
        <w:rPr>
          <w:rFonts w:ascii="Arial" w:hAnsi="Arial" w:cs="Arial"/>
          <w:sz w:val="19"/>
          <w:szCs w:val="19"/>
          <w:lang w:val="es-E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A2914" w14:textId="77777777" w:rsidR="00387886" w:rsidRDefault="00387886">
    <w:pPr>
      <w:pStyle w:val="Encabezado"/>
    </w:pPr>
    <w:r>
      <w:rPr>
        <w:noProof/>
        <w:lang w:val="es-CO" w:eastAsia="es-CO"/>
      </w:rPr>
      <w:drawing>
        <wp:anchor distT="0" distB="0" distL="114300" distR="114300" simplePos="0" relativeHeight="251659264" behindDoc="1" locked="0" layoutInCell="1" allowOverlap="1" wp14:anchorId="096CAC25" wp14:editId="2914B42D">
          <wp:simplePos x="0" y="0"/>
          <wp:positionH relativeFrom="column">
            <wp:posOffset>4382135</wp:posOffset>
          </wp:positionH>
          <wp:positionV relativeFrom="paragraph">
            <wp:posOffset>483226</wp:posOffset>
          </wp:positionV>
          <wp:extent cx="1257300" cy="516255"/>
          <wp:effectExtent l="0" t="0" r="0" b="0"/>
          <wp:wrapTight wrapText="bothSides">
            <wp:wrapPolygon edited="0">
              <wp:start x="327" y="0"/>
              <wp:lineTo x="327" y="18332"/>
              <wp:lineTo x="1964" y="19129"/>
              <wp:lineTo x="11127" y="20723"/>
              <wp:lineTo x="12764" y="20723"/>
              <wp:lineTo x="19636" y="19129"/>
              <wp:lineTo x="21273" y="18332"/>
              <wp:lineTo x="20945" y="0"/>
              <wp:lineTo x="327" y="0"/>
            </wp:wrapPolygon>
          </wp:wrapTight>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E Logo.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257300" cy="5162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06310"/>
    <w:multiLevelType w:val="multilevel"/>
    <w:tmpl w:val="D2D0F12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D6C16A1"/>
    <w:multiLevelType w:val="hybridMultilevel"/>
    <w:tmpl w:val="1AB4BA0C"/>
    <w:lvl w:ilvl="0" w:tplc="A24CC236">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 w15:restartNumberingAfterBreak="0">
    <w:nsid w:val="0ECA0D0B"/>
    <w:multiLevelType w:val="hybridMultilevel"/>
    <w:tmpl w:val="9B36D16A"/>
    <w:lvl w:ilvl="0" w:tplc="CFAEEA4A">
      <w:start w:val="1"/>
      <w:numFmt w:val="lowerRoman"/>
      <w:lvlText w:val="%1)"/>
      <w:lvlJc w:val="left"/>
      <w:pPr>
        <w:ind w:left="1429" w:hanging="72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3" w15:restartNumberingAfterBreak="0">
    <w:nsid w:val="227477DC"/>
    <w:multiLevelType w:val="hybridMultilevel"/>
    <w:tmpl w:val="A266AFD0"/>
    <w:lvl w:ilvl="0" w:tplc="89AC263E">
      <w:start w:val="1"/>
      <w:numFmt w:val="decimal"/>
      <w:lvlText w:val="%1."/>
      <w:lvlJc w:val="left"/>
      <w:pPr>
        <w:ind w:left="720" w:hanging="360"/>
      </w:pPr>
      <w:rPr>
        <w:rFonts w:ascii="ArialMT" w:hAnsi="ArialMT"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ECA0A6E"/>
    <w:multiLevelType w:val="multilevel"/>
    <w:tmpl w:val="E68E61D6"/>
    <w:lvl w:ilvl="0">
      <w:start w:val="2"/>
      <w:numFmt w:val="decimal"/>
      <w:lvlText w:val="%1."/>
      <w:lvlJc w:val="left"/>
      <w:pPr>
        <w:ind w:left="720"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28068A8"/>
    <w:multiLevelType w:val="hybridMultilevel"/>
    <w:tmpl w:val="B308C2F4"/>
    <w:lvl w:ilvl="0" w:tplc="A4889B92">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5796B77"/>
    <w:multiLevelType w:val="hybridMultilevel"/>
    <w:tmpl w:val="C3C2806E"/>
    <w:lvl w:ilvl="0" w:tplc="852208B0">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72C06CD"/>
    <w:multiLevelType w:val="hybridMultilevel"/>
    <w:tmpl w:val="9C2A93E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A9A2200"/>
    <w:multiLevelType w:val="multilevel"/>
    <w:tmpl w:val="614E70D0"/>
    <w:lvl w:ilvl="0">
      <w:start w:val="1"/>
      <w:numFmt w:val="decimal"/>
      <w:lvlText w:val="%1."/>
      <w:lvlJc w:val="left"/>
      <w:pPr>
        <w:ind w:left="360" w:hanging="360"/>
      </w:pPr>
      <w:rPr>
        <w:rFonts w:hint="default"/>
        <w:b/>
        <w:sz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5C3072E5"/>
    <w:multiLevelType w:val="multilevel"/>
    <w:tmpl w:val="1512B600"/>
    <w:lvl w:ilvl="0">
      <w:start w:val="1"/>
      <w:numFmt w:val="decimal"/>
      <w:lvlText w:val="%1."/>
      <w:lvlJc w:val="left"/>
      <w:pPr>
        <w:ind w:left="720" w:hanging="360"/>
      </w:pPr>
      <w:rPr>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D682DF6"/>
    <w:multiLevelType w:val="hybridMultilevel"/>
    <w:tmpl w:val="01B03BA8"/>
    <w:lvl w:ilvl="0" w:tplc="04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B41602F"/>
    <w:multiLevelType w:val="hybridMultilevel"/>
    <w:tmpl w:val="3BDE0786"/>
    <w:lvl w:ilvl="0" w:tplc="4956E6F8">
      <w:start w:val="1"/>
      <w:numFmt w:val="lowerRoman"/>
      <w:lvlText w:val="%1)"/>
      <w:lvlJc w:val="left"/>
      <w:pPr>
        <w:ind w:left="780" w:hanging="720"/>
      </w:pPr>
      <w:rPr>
        <w:rFonts w:eastAsia="Calibri" w:hint="default"/>
        <w:color w:val="000000" w:themeColor="text1"/>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12" w15:restartNumberingAfterBreak="0">
    <w:nsid w:val="799C33D4"/>
    <w:multiLevelType w:val="multilevel"/>
    <w:tmpl w:val="7020D8D4"/>
    <w:lvl w:ilvl="0">
      <w:start w:val="1"/>
      <w:numFmt w:val="decimal"/>
      <w:pStyle w:val="Ttulo"/>
      <w:lvlText w:val="11.%1."/>
      <w:lvlJc w:val="left"/>
      <w:pPr>
        <w:ind w:left="1068" w:hanging="360"/>
      </w:pPr>
      <w:rPr>
        <w:rFonts w:hint="default"/>
      </w:rPr>
    </w:lvl>
    <w:lvl w:ilvl="1">
      <w:start w:val="1"/>
      <w:numFmt w:val="lowerLetter"/>
      <w:lvlText w:val="%2."/>
      <w:lvlJc w:val="left"/>
      <w:pPr>
        <w:ind w:left="1788" w:hanging="360"/>
      </w:pPr>
      <w:rPr>
        <w:rFonts w:hint="default"/>
      </w:rPr>
    </w:lvl>
    <w:lvl w:ilvl="2">
      <w:start w:val="1"/>
      <w:numFmt w:val="lowerRoman"/>
      <w:lvlText w:val="%3."/>
      <w:lvlJc w:val="right"/>
      <w:pPr>
        <w:ind w:left="2508" w:hanging="180"/>
      </w:pPr>
      <w:rPr>
        <w:rFonts w:hint="default"/>
      </w:rPr>
    </w:lvl>
    <w:lvl w:ilvl="3">
      <w:start w:val="1"/>
      <w:numFmt w:val="decimal"/>
      <w:lvlText w:val="%4."/>
      <w:lvlJc w:val="left"/>
      <w:pPr>
        <w:ind w:left="3228" w:hanging="360"/>
      </w:pPr>
      <w:rPr>
        <w:rFonts w:hint="default"/>
      </w:rPr>
    </w:lvl>
    <w:lvl w:ilvl="4">
      <w:start w:val="1"/>
      <w:numFmt w:val="lowerLetter"/>
      <w:lvlText w:val="%5."/>
      <w:lvlJc w:val="left"/>
      <w:pPr>
        <w:ind w:left="3948" w:hanging="360"/>
      </w:pPr>
      <w:rPr>
        <w:rFonts w:hint="default"/>
      </w:rPr>
    </w:lvl>
    <w:lvl w:ilvl="5">
      <w:start w:val="1"/>
      <w:numFmt w:val="lowerRoman"/>
      <w:lvlText w:val="%6."/>
      <w:lvlJc w:val="right"/>
      <w:pPr>
        <w:ind w:left="4668" w:hanging="180"/>
      </w:pPr>
      <w:rPr>
        <w:rFonts w:hint="default"/>
      </w:rPr>
    </w:lvl>
    <w:lvl w:ilvl="6">
      <w:start w:val="1"/>
      <w:numFmt w:val="decimal"/>
      <w:lvlText w:val="%7."/>
      <w:lvlJc w:val="left"/>
      <w:pPr>
        <w:ind w:left="5388" w:hanging="360"/>
      </w:pPr>
      <w:rPr>
        <w:rFonts w:hint="default"/>
      </w:rPr>
    </w:lvl>
    <w:lvl w:ilvl="7">
      <w:start w:val="1"/>
      <w:numFmt w:val="lowerLetter"/>
      <w:lvlText w:val="%8."/>
      <w:lvlJc w:val="left"/>
      <w:pPr>
        <w:ind w:left="6108" w:hanging="360"/>
      </w:pPr>
      <w:rPr>
        <w:rFonts w:hint="default"/>
      </w:rPr>
    </w:lvl>
    <w:lvl w:ilvl="8">
      <w:start w:val="1"/>
      <w:numFmt w:val="lowerRoman"/>
      <w:lvlText w:val="%9."/>
      <w:lvlJc w:val="right"/>
      <w:pPr>
        <w:ind w:left="6828" w:hanging="180"/>
      </w:pPr>
      <w:rPr>
        <w:rFonts w:hint="default"/>
      </w:r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2"/>
  </w:num>
  <w:num w:numId="4">
    <w:abstractNumId w:val="2"/>
  </w:num>
  <w:num w:numId="5">
    <w:abstractNumId w:val="8"/>
  </w:num>
  <w:num w:numId="6">
    <w:abstractNumId w:val="11"/>
  </w:num>
  <w:num w:numId="7">
    <w:abstractNumId w:val="5"/>
  </w:num>
  <w:num w:numId="8">
    <w:abstractNumId w:val="4"/>
  </w:num>
  <w:num w:numId="9">
    <w:abstractNumId w:val="1"/>
  </w:num>
  <w:num w:numId="10">
    <w:abstractNumId w:val="10"/>
  </w:num>
  <w:num w:numId="11">
    <w:abstractNumId w:val="9"/>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CEA"/>
    <w:rsid w:val="00001B57"/>
    <w:rsid w:val="00006860"/>
    <w:rsid w:val="000116D4"/>
    <w:rsid w:val="00015425"/>
    <w:rsid w:val="00026C88"/>
    <w:rsid w:val="0004028A"/>
    <w:rsid w:val="00052D69"/>
    <w:rsid w:val="00057275"/>
    <w:rsid w:val="000656E8"/>
    <w:rsid w:val="00072333"/>
    <w:rsid w:val="000755E1"/>
    <w:rsid w:val="000935CA"/>
    <w:rsid w:val="00094B59"/>
    <w:rsid w:val="000A5E3D"/>
    <w:rsid w:val="000A615D"/>
    <w:rsid w:val="000A787A"/>
    <w:rsid w:val="000B3835"/>
    <w:rsid w:val="000B627E"/>
    <w:rsid w:val="000B6A48"/>
    <w:rsid w:val="000C7645"/>
    <w:rsid w:val="000F1A28"/>
    <w:rsid w:val="00112852"/>
    <w:rsid w:val="0011553A"/>
    <w:rsid w:val="001177A4"/>
    <w:rsid w:val="00124E70"/>
    <w:rsid w:val="00135CEA"/>
    <w:rsid w:val="0015117A"/>
    <w:rsid w:val="001561B2"/>
    <w:rsid w:val="00161966"/>
    <w:rsid w:val="00182F8C"/>
    <w:rsid w:val="001900DE"/>
    <w:rsid w:val="00195596"/>
    <w:rsid w:val="0019728C"/>
    <w:rsid w:val="0019762F"/>
    <w:rsid w:val="001B1773"/>
    <w:rsid w:val="001C068E"/>
    <w:rsid w:val="001E2E1C"/>
    <w:rsid w:val="001E6EA0"/>
    <w:rsid w:val="001F2332"/>
    <w:rsid w:val="001F5D6E"/>
    <w:rsid w:val="00201DB9"/>
    <w:rsid w:val="00202668"/>
    <w:rsid w:val="002057A4"/>
    <w:rsid w:val="00214AAC"/>
    <w:rsid w:val="00214E9F"/>
    <w:rsid w:val="00216826"/>
    <w:rsid w:val="00222032"/>
    <w:rsid w:val="00223F65"/>
    <w:rsid w:val="00235E08"/>
    <w:rsid w:val="0024522C"/>
    <w:rsid w:val="002500F3"/>
    <w:rsid w:val="002533FA"/>
    <w:rsid w:val="00256784"/>
    <w:rsid w:val="00256962"/>
    <w:rsid w:val="00262DCF"/>
    <w:rsid w:val="00263999"/>
    <w:rsid w:val="0026403F"/>
    <w:rsid w:val="002641CE"/>
    <w:rsid w:val="00265A2D"/>
    <w:rsid w:val="002663A9"/>
    <w:rsid w:val="0026761A"/>
    <w:rsid w:val="002676B8"/>
    <w:rsid w:val="002762D1"/>
    <w:rsid w:val="0027763F"/>
    <w:rsid w:val="00282D3F"/>
    <w:rsid w:val="00286B8C"/>
    <w:rsid w:val="002A5C76"/>
    <w:rsid w:val="002A75EC"/>
    <w:rsid w:val="002B19F5"/>
    <w:rsid w:val="002C5401"/>
    <w:rsid w:val="002E0303"/>
    <w:rsid w:val="002E06B3"/>
    <w:rsid w:val="002E16D6"/>
    <w:rsid w:val="002F0E3F"/>
    <w:rsid w:val="002F1597"/>
    <w:rsid w:val="00300B5B"/>
    <w:rsid w:val="00301055"/>
    <w:rsid w:val="003015B6"/>
    <w:rsid w:val="0031456F"/>
    <w:rsid w:val="003233A2"/>
    <w:rsid w:val="003239DF"/>
    <w:rsid w:val="00324FA5"/>
    <w:rsid w:val="00332594"/>
    <w:rsid w:val="0033660E"/>
    <w:rsid w:val="00336AC6"/>
    <w:rsid w:val="00337876"/>
    <w:rsid w:val="00340697"/>
    <w:rsid w:val="00345FBC"/>
    <w:rsid w:val="0035145C"/>
    <w:rsid w:val="00353092"/>
    <w:rsid w:val="003564F7"/>
    <w:rsid w:val="0035732E"/>
    <w:rsid w:val="00365D3A"/>
    <w:rsid w:val="0037075E"/>
    <w:rsid w:val="0037178A"/>
    <w:rsid w:val="003738E5"/>
    <w:rsid w:val="00380F1A"/>
    <w:rsid w:val="00384FE5"/>
    <w:rsid w:val="00387886"/>
    <w:rsid w:val="00392411"/>
    <w:rsid w:val="00397000"/>
    <w:rsid w:val="003A5C98"/>
    <w:rsid w:val="003B7F22"/>
    <w:rsid w:val="003C1F96"/>
    <w:rsid w:val="003C5DD6"/>
    <w:rsid w:val="003D09BA"/>
    <w:rsid w:val="003D22F3"/>
    <w:rsid w:val="003E248F"/>
    <w:rsid w:val="003E3E01"/>
    <w:rsid w:val="003F461C"/>
    <w:rsid w:val="003F7FB1"/>
    <w:rsid w:val="00403054"/>
    <w:rsid w:val="004053CD"/>
    <w:rsid w:val="0041470E"/>
    <w:rsid w:val="00416435"/>
    <w:rsid w:val="004164FC"/>
    <w:rsid w:val="00454997"/>
    <w:rsid w:val="00457367"/>
    <w:rsid w:val="004710AE"/>
    <w:rsid w:val="00475DD2"/>
    <w:rsid w:val="00476147"/>
    <w:rsid w:val="00476544"/>
    <w:rsid w:val="0048044A"/>
    <w:rsid w:val="0048469A"/>
    <w:rsid w:val="004853AF"/>
    <w:rsid w:val="004903B7"/>
    <w:rsid w:val="00491FEA"/>
    <w:rsid w:val="004B3968"/>
    <w:rsid w:val="004C0471"/>
    <w:rsid w:val="004C6ABD"/>
    <w:rsid w:val="004D6FBB"/>
    <w:rsid w:val="004D7DE2"/>
    <w:rsid w:val="004E4A1E"/>
    <w:rsid w:val="004E7410"/>
    <w:rsid w:val="004F2E83"/>
    <w:rsid w:val="00502061"/>
    <w:rsid w:val="00521FC6"/>
    <w:rsid w:val="005224BC"/>
    <w:rsid w:val="00524B49"/>
    <w:rsid w:val="005303D7"/>
    <w:rsid w:val="00531E6B"/>
    <w:rsid w:val="005342DB"/>
    <w:rsid w:val="00543D56"/>
    <w:rsid w:val="00547A9E"/>
    <w:rsid w:val="0055029E"/>
    <w:rsid w:val="00553CEA"/>
    <w:rsid w:val="00554D93"/>
    <w:rsid w:val="0055693F"/>
    <w:rsid w:val="005621EE"/>
    <w:rsid w:val="00563519"/>
    <w:rsid w:val="005668C1"/>
    <w:rsid w:val="0057067B"/>
    <w:rsid w:val="0057168B"/>
    <w:rsid w:val="00572216"/>
    <w:rsid w:val="00587130"/>
    <w:rsid w:val="00591EB1"/>
    <w:rsid w:val="005A5EFD"/>
    <w:rsid w:val="005A6059"/>
    <w:rsid w:val="005B056E"/>
    <w:rsid w:val="005B14A6"/>
    <w:rsid w:val="005B76C7"/>
    <w:rsid w:val="005C180C"/>
    <w:rsid w:val="005D46D0"/>
    <w:rsid w:val="005D4FC8"/>
    <w:rsid w:val="005E1123"/>
    <w:rsid w:val="005E481C"/>
    <w:rsid w:val="005E66B0"/>
    <w:rsid w:val="005F01EA"/>
    <w:rsid w:val="005F04B8"/>
    <w:rsid w:val="005F1D9D"/>
    <w:rsid w:val="005F377F"/>
    <w:rsid w:val="00605A84"/>
    <w:rsid w:val="00606451"/>
    <w:rsid w:val="006065A9"/>
    <w:rsid w:val="00611B99"/>
    <w:rsid w:val="0061648F"/>
    <w:rsid w:val="00623378"/>
    <w:rsid w:val="0063204C"/>
    <w:rsid w:val="006327D2"/>
    <w:rsid w:val="00641E89"/>
    <w:rsid w:val="00645311"/>
    <w:rsid w:val="00653357"/>
    <w:rsid w:val="00662701"/>
    <w:rsid w:val="006663C2"/>
    <w:rsid w:val="00667FCB"/>
    <w:rsid w:val="00671C76"/>
    <w:rsid w:val="006757CA"/>
    <w:rsid w:val="006760E1"/>
    <w:rsid w:val="00676D9E"/>
    <w:rsid w:val="006870D1"/>
    <w:rsid w:val="00687BDD"/>
    <w:rsid w:val="00695B76"/>
    <w:rsid w:val="006A5502"/>
    <w:rsid w:val="006B04C0"/>
    <w:rsid w:val="006B35C9"/>
    <w:rsid w:val="006B35F1"/>
    <w:rsid w:val="006D2C01"/>
    <w:rsid w:val="006D36A9"/>
    <w:rsid w:val="006D3DBD"/>
    <w:rsid w:val="006D64B1"/>
    <w:rsid w:val="006E75EC"/>
    <w:rsid w:val="006F61DB"/>
    <w:rsid w:val="00703E5A"/>
    <w:rsid w:val="00705F6D"/>
    <w:rsid w:val="007066E6"/>
    <w:rsid w:val="007118B2"/>
    <w:rsid w:val="007209F4"/>
    <w:rsid w:val="0072221E"/>
    <w:rsid w:val="007308F7"/>
    <w:rsid w:val="00745302"/>
    <w:rsid w:val="00754032"/>
    <w:rsid w:val="00756FD9"/>
    <w:rsid w:val="007675C8"/>
    <w:rsid w:val="00773948"/>
    <w:rsid w:val="00776374"/>
    <w:rsid w:val="007820EF"/>
    <w:rsid w:val="00783EBD"/>
    <w:rsid w:val="00784FEF"/>
    <w:rsid w:val="007A0123"/>
    <w:rsid w:val="007A4AE6"/>
    <w:rsid w:val="007A5777"/>
    <w:rsid w:val="007B1D87"/>
    <w:rsid w:val="007B2580"/>
    <w:rsid w:val="007C574A"/>
    <w:rsid w:val="007C5E25"/>
    <w:rsid w:val="007D7B44"/>
    <w:rsid w:val="007E1178"/>
    <w:rsid w:val="007E5394"/>
    <w:rsid w:val="007F1895"/>
    <w:rsid w:val="007F304E"/>
    <w:rsid w:val="007F7A62"/>
    <w:rsid w:val="007F7C03"/>
    <w:rsid w:val="00801EE9"/>
    <w:rsid w:val="0081181F"/>
    <w:rsid w:val="00811D01"/>
    <w:rsid w:val="00820F88"/>
    <w:rsid w:val="008251B3"/>
    <w:rsid w:val="008257DF"/>
    <w:rsid w:val="00827A2A"/>
    <w:rsid w:val="00830F50"/>
    <w:rsid w:val="008312A3"/>
    <w:rsid w:val="008313D6"/>
    <w:rsid w:val="00833D8C"/>
    <w:rsid w:val="00843442"/>
    <w:rsid w:val="00847BA2"/>
    <w:rsid w:val="00861714"/>
    <w:rsid w:val="00875F7C"/>
    <w:rsid w:val="00880110"/>
    <w:rsid w:val="0088392A"/>
    <w:rsid w:val="008855C4"/>
    <w:rsid w:val="008873A3"/>
    <w:rsid w:val="00897109"/>
    <w:rsid w:val="008A202D"/>
    <w:rsid w:val="008A3377"/>
    <w:rsid w:val="008A3B3A"/>
    <w:rsid w:val="008A51D3"/>
    <w:rsid w:val="008B52AD"/>
    <w:rsid w:val="008B79F9"/>
    <w:rsid w:val="008C3F91"/>
    <w:rsid w:val="008C425C"/>
    <w:rsid w:val="008C5B45"/>
    <w:rsid w:val="008F3AB1"/>
    <w:rsid w:val="008F6437"/>
    <w:rsid w:val="00902AA1"/>
    <w:rsid w:val="0090460B"/>
    <w:rsid w:val="0093085B"/>
    <w:rsid w:val="00930FAE"/>
    <w:rsid w:val="009332FC"/>
    <w:rsid w:val="00947B9D"/>
    <w:rsid w:val="009549A3"/>
    <w:rsid w:val="0095566C"/>
    <w:rsid w:val="00960FD1"/>
    <w:rsid w:val="00962AB7"/>
    <w:rsid w:val="00965D7F"/>
    <w:rsid w:val="00973FF7"/>
    <w:rsid w:val="0098230F"/>
    <w:rsid w:val="00985488"/>
    <w:rsid w:val="009A3A2B"/>
    <w:rsid w:val="009B027C"/>
    <w:rsid w:val="009B1654"/>
    <w:rsid w:val="009B54C7"/>
    <w:rsid w:val="009B586F"/>
    <w:rsid w:val="009D5279"/>
    <w:rsid w:val="009D554B"/>
    <w:rsid w:val="009D7A61"/>
    <w:rsid w:val="009E36A9"/>
    <w:rsid w:val="009F1B3C"/>
    <w:rsid w:val="009F4E5D"/>
    <w:rsid w:val="00A012BF"/>
    <w:rsid w:val="00A20565"/>
    <w:rsid w:val="00A21E65"/>
    <w:rsid w:val="00A335C2"/>
    <w:rsid w:val="00A33AA1"/>
    <w:rsid w:val="00A35546"/>
    <w:rsid w:val="00A4095E"/>
    <w:rsid w:val="00A4457D"/>
    <w:rsid w:val="00A5027F"/>
    <w:rsid w:val="00A5157B"/>
    <w:rsid w:val="00A51E80"/>
    <w:rsid w:val="00A53195"/>
    <w:rsid w:val="00A57D52"/>
    <w:rsid w:val="00A71CEA"/>
    <w:rsid w:val="00A80425"/>
    <w:rsid w:val="00A860DE"/>
    <w:rsid w:val="00A9164B"/>
    <w:rsid w:val="00AA2D55"/>
    <w:rsid w:val="00AA5749"/>
    <w:rsid w:val="00AB0071"/>
    <w:rsid w:val="00AB344D"/>
    <w:rsid w:val="00AB3B0A"/>
    <w:rsid w:val="00AB6125"/>
    <w:rsid w:val="00AC2212"/>
    <w:rsid w:val="00AC44CB"/>
    <w:rsid w:val="00AC7423"/>
    <w:rsid w:val="00AC7AE5"/>
    <w:rsid w:val="00AD4216"/>
    <w:rsid w:val="00AD51BE"/>
    <w:rsid w:val="00AE35EA"/>
    <w:rsid w:val="00AF0F4E"/>
    <w:rsid w:val="00AF782A"/>
    <w:rsid w:val="00B02D49"/>
    <w:rsid w:val="00B06567"/>
    <w:rsid w:val="00B12F0E"/>
    <w:rsid w:val="00B213D0"/>
    <w:rsid w:val="00B24B65"/>
    <w:rsid w:val="00B2523E"/>
    <w:rsid w:val="00B315E0"/>
    <w:rsid w:val="00B31C5C"/>
    <w:rsid w:val="00B33E20"/>
    <w:rsid w:val="00B43119"/>
    <w:rsid w:val="00B432EB"/>
    <w:rsid w:val="00B4436B"/>
    <w:rsid w:val="00B52EF4"/>
    <w:rsid w:val="00B55679"/>
    <w:rsid w:val="00B5768A"/>
    <w:rsid w:val="00B6131E"/>
    <w:rsid w:val="00B651A5"/>
    <w:rsid w:val="00B7045A"/>
    <w:rsid w:val="00B71711"/>
    <w:rsid w:val="00B72FB5"/>
    <w:rsid w:val="00B81F3F"/>
    <w:rsid w:val="00B8754C"/>
    <w:rsid w:val="00B8757F"/>
    <w:rsid w:val="00B878A9"/>
    <w:rsid w:val="00B913DC"/>
    <w:rsid w:val="00B933DD"/>
    <w:rsid w:val="00B937CA"/>
    <w:rsid w:val="00B96688"/>
    <w:rsid w:val="00BA084A"/>
    <w:rsid w:val="00BA0BD7"/>
    <w:rsid w:val="00BA3C72"/>
    <w:rsid w:val="00BA55C6"/>
    <w:rsid w:val="00BA75D3"/>
    <w:rsid w:val="00BA7F22"/>
    <w:rsid w:val="00BB05AC"/>
    <w:rsid w:val="00BB0D17"/>
    <w:rsid w:val="00BB32FE"/>
    <w:rsid w:val="00BB51F3"/>
    <w:rsid w:val="00BC0FB8"/>
    <w:rsid w:val="00BC1F98"/>
    <w:rsid w:val="00BC3923"/>
    <w:rsid w:val="00BD0045"/>
    <w:rsid w:val="00BD1EE6"/>
    <w:rsid w:val="00BD2356"/>
    <w:rsid w:val="00BF18D6"/>
    <w:rsid w:val="00BF7CAF"/>
    <w:rsid w:val="00C014D3"/>
    <w:rsid w:val="00C10792"/>
    <w:rsid w:val="00C1196F"/>
    <w:rsid w:val="00C12881"/>
    <w:rsid w:val="00C12E90"/>
    <w:rsid w:val="00C15D6A"/>
    <w:rsid w:val="00C2503A"/>
    <w:rsid w:val="00C33A69"/>
    <w:rsid w:val="00C33B62"/>
    <w:rsid w:val="00C35FD1"/>
    <w:rsid w:val="00C47C47"/>
    <w:rsid w:val="00C50267"/>
    <w:rsid w:val="00C54211"/>
    <w:rsid w:val="00C634E7"/>
    <w:rsid w:val="00C635D5"/>
    <w:rsid w:val="00C63CEA"/>
    <w:rsid w:val="00C71ACE"/>
    <w:rsid w:val="00C72AB3"/>
    <w:rsid w:val="00C72B17"/>
    <w:rsid w:val="00C87984"/>
    <w:rsid w:val="00C9071B"/>
    <w:rsid w:val="00C9429E"/>
    <w:rsid w:val="00C97BD5"/>
    <w:rsid w:val="00CA5B8C"/>
    <w:rsid w:val="00CC5AFE"/>
    <w:rsid w:val="00CD3B95"/>
    <w:rsid w:val="00CD6BD0"/>
    <w:rsid w:val="00CE1110"/>
    <w:rsid w:val="00D00240"/>
    <w:rsid w:val="00D0122C"/>
    <w:rsid w:val="00D0123D"/>
    <w:rsid w:val="00D039FB"/>
    <w:rsid w:val="00D05045"/>
    <w:rsid w:val="00D361AE"/>
    <w:rsid w:val="00D41A9C"/>
    <w:rsid w:val="00D53EC8"/>
    <w:rsid w:val="00D60108"/>
    <w:rsid w:val="00D61F57"/>
    <w:rsid w:val="00D7246A"/>
    <w:rsid w:val="00D750C2"/>
    <w:rsid w:val="00D76B34"/>
    <w:rsid w:val="00D77BB0"/>
    <w:rsid w:val="00D80564"/>
    <w:rsid w:val="00D811B8"/>
    <w:rsid w:val="00D83DF9"/>
    <w:rsid w:val="00D842C4"/>
    <w:rsid w:val="00D848EA"/>
    <w:rsid w:val="00D8778D"/>
    <w:rsid w:val="00DA2C5A"/>
    <w:rsid w:val="00DA352E"/>
    <w:rsid w:val="00DB0FC7"/>
    <w:rsid w:val="00DB2199"/>
    <w:rsid w:val="00DB63BB"/>
    <w:rsid w:val="00DB6A2B"/>
    <w:rsid w:val="00DC1D74"/>
    <w:rsid w:val="00DC56A7"/>
    <w:rsid w:val="00DC7A25"/>
    <w:rsid w:val="00DD0D94"/>
    <w:rsid w:val="00DD2F62"/>
    <w:rsid w:val="00DE0512"/>
    <w:rsid w:val="00DE2C4E"/>
    <w:rsid w:val="00DE48B6"/>
    <w:rsid w:val="00DE736C"/>
    <w:rsid w:val="00DE7F80"/>
    <w:rsid w:val="00DF2E9E"/>
    <w:rsid w:val="00DF4980"/>
    <w:rsid w:val="00E02A6A"/>
    <w:rsid w:val="00E1095A"/>
    <w:rsid w:val="00E131F1"/>
    <w:rsid w:val="00E231C5"/>
    <w:rsid w:val="00E24DB2"/>
    <w:rsid w:val="00E32788"/>
    <w:rsid w:val="00E46C4E"/>
    <w:rsid w:val="00E53D75"/>
    <w:rsid w:val="00E56973"/>
    <w:rsid w:val="00E640A9"/>
    <w:rsid w:val="00E673A1"/>
    <w:rsid w:val="00E73283"/>
    <w:rsid w:val="00E76BFF"/>
    <w:rsid w:val="00E833FA"/>
    <w:rsid w:val="00EA41E8"/>
    <w:rsid w:val="00EA513C"/>
    <w:rsid w:val="00EA581D"/>
    <w:rsid w:val="00EA7311"/>
    <w:rsid w:val="00EB1E4A"/>
    <w:rsid w:val="00EB27BA"/>
    <w:rsid w:val="00EB5133"/>
    <w:rsid w:val="00EC07EF"/>
    <w:rsid w:val="00EC0B51"/>
    <w:rsid w:val="00EC1382"/>
    <w:rsid w:val="00EC1AC1"/>
    <w:rsid w:val="00EC433E"/>
    <w:rsid w:val="00EC4E42"/>
    <w:rsid w:val="00ED3195"/>
    <w:rsid w:val="00EE309B"/>
    <w:rsid w:val="00EE54C6"/>
    <w:rsid w:val="00EE66CC"/>
    <w:rsid w:val="00F0401C"/>
    <w:rsid w:val="00F053F3"/>
    <w:rsid w:val="00F06565"/>
    <w:rsid w:val="00F067A6"/>
    <w:rsid w:val="00F0683E"/>
    <w:rsid w:val="00F10A2F"/>
    <w:rsid w:val="00F12766"/>
    <w:rsid w:val="00F13BAE"/>
    <w:rsid w:val="00F23685"/>
    <w:rsid w:val="00F3225B"/>
    <w:rsid w:val="00F34F98"/>
    <w:rsid w:val="00F3681E"/>
    <w:rsid w:val="00F3683B"/>
    <w:rsid w:val="00F40BB1"/>
    <w:rsid w:val="00F44B4C"/>
    <w:rsid w:val="00F5219A"/>
    <w:rsid w:val="00F534AE"/>
    <w:rsid w:val="00F53CB0"/>
    <w:rsid w:val="00F55F52"/>
    <w:rsid w:val="00F66114"/>
    <w:rsid w:val="00F735A7"/>
    <w:rsid w:val="00F779BA"/>
    <w:rsid w:val="00F80877"/>
    <w:rsid w:val="00F8666F"/>
    <w:rsid w:val="00F909BB"/>
    <w:rsid w:val="00F96DEA"/>
    <w:rsid w:val="00FA42DC"/>
    <w:rsid w:val="00FA4BCE"/>
    <w:rsid w:val="00FA4CC2"/>
    <w:rsid w:val="00FC3697"/>
    <w:rsid w:val="00FC46E7"/>
    <w:rsid w:val="00FC5DFB"/>
    <w:rsid w:val="00FD0147"/>
    <w:rsid w:val="00FD27D7"/>
    <w:rsid w:val="00FD3E77"/>
    <w:rsid w:val="00FD6D80"/>
    <w:rsid w:val="00FE11D0"/>
    <w:rsid w:val="00FF0F91"/>
    <w:rsid w:val="00FF1F9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067A5"/>
  <w15:chartTrackingRefBased/>
  <w15:docId w15:val="{E97E14D6-0A90-404C-8C98-EB4AE6065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33DD"/>
    <w:rPr>
      <w:rFonts w:ascii="Times New Roman" w:eastAsia="Times New Roman" w:hAnsi="Times New Roman" w:cs="Times New Roman"/>
      <w:lang w:eastAsia="es-MX"/>
    </w:rPr>
  </w:style>
  <w:style w:type="paragraph" w:styleId="Ttulo2">
    <w:name w:val="heading 2"/>
    <w:basedOn w:val="Normal"/>
    <w:link w:val="Ttulo2Car"/>
    <w:uiPriority w:val="9"/>
    <w:qFormat/>
    <w:rsid w:val="00F40BB1"/>
    <w:pPr>
      <w:spacing w:before="100" w:beforeAutospacing="1" w:after="100" w:afterAutospacing="1"/>
      <w:outlineLvl w:val="1"/>
    </w:pPr>
    <w:rPr>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A71CEA"/>
    <w:pPr>
      <w:tabs>
        <w:tab w:val="center" w:pos="4419"/>
        <w:tab w:val="right" w:pos="8838"/>
      </w:tabs>
    </w:pPr>
    <w:rPr>
      <w:rFonts w:asciiTheme="minorHAnsi" w:eastAsiaTheme="minorHAnsi" w:hAnsiTheme="minorHAnsi" w:cstheme="minorBidi"/>
      <w:szCs w:val="22"/>
      <w:lang w:val="es-MX" w:eastAsia="en-US"/>
    </w:rPr>
  </w:style>
  <w:style w:type="character" w:customStyle="1" w:styleId="PiedepginaCar">
    <w:name w:val="Pie de página Car"/>
    <w:basedOn w:val="Fuentedeprrafopredeter"/>
    <w:link w:val="Piedepgina"/>
    <w:uiPriority w:val="99"/>
    <w:rsid w:val="00A71CEA"/>
    <w:rPr>
      <w:szCs w:val="22"/>
      <w:lang w:val="es-MX"/>
    </w:rPr>
  </w:style>
  <w:style w:type="paragraph" w:styleId="Encabezado">
    <w:name w:val="header"/>
    <w:basedOn w:val="Normal"/>
    <w:link w:val="EncabezadoCar"/>
    <w:uiPriority w:val="99"/>
    <w:unhideWhenUsed/>
    <w:rsid w:val="00A71CEA"/>
    <w:pPr>
      <w:tabs>
        <w:tab w:val="center" w:pos="4252"/>
        <w:tab w:val="right" w:pos="8504"/>
      </w:tabs>
    </w:pPr>
    <w:rPr>
      <w:rFonts w:asciiTheme="minorHAnsi" w:eastAsiaTheme="minorHAnsi" w:hAnsiTheme="minorHAnsi" w:cstheme="minorBidi"/>
      <w:szCs w:val="22"/>
      <w:lang w:val="es-MX" w:eastAsia="en-US"/>
    </w:rPr>
  </w:style>
  <w:style w:type="character" w:customStyle="1" w:styleId="EncabezadoCar">
    <w:name w:val="Encabezado Car"/>
    <w:basedOn w:val="Fuentedeprrafopredeter"/>
    <w:link w:val="Encabezado"/>
    <w:uiPriority w:val="99"/>
    <w:rsid w:val="00A71CEA"/>
    <w:rPr>
      <w:szCs w:val="22"/>
      <w:lang w:val="es-MX"/>
    </w:rPr>
  </w:style>
  <w:style w:type="table" w:styleId="Tablaconcuadrcula">
    <w:name w:val="Table Grid"/>
    <w:basedOn w:val="Tablanormal"/>
    <w:uiPriority w:val="59"/>
    <w:rsid w:val="00A71CE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
    <w:basedOn w:val="Normal"/>
    <w:link w:val="PrrafodelistaCar"/>
    <w:uiPriority w:val="34"/>
    <w:qFormat/>
    <w:rsid w:val="00A71CEA"/>
    <w:pPr>
      <w:ind w:left="720"/>
      <w:contextualSpacing/>
    </w:pPr>
    <w:rPr>
      <w:rFonts w:asciiTheme="minorHAnsi" w:eastAsiaTheme="minorHAnsi" w:hAnsiTheme="minorHAnsi" w:cstheme="minorBidi"/>
      <w:szCs w:val="22"/>
      <w:lang w:val="es-MX" w:eastAsia="en-US"/>
    </w:rPr>
  </w:style>
  <w:style w:type="paragraph" w:styleId="Sinespaciado">
    <w:name w:val="No Spacing"/>
    <w:aliases w:val="No Indent"/>
    <w:link w:val="SinespaciadoCar"/>
    <w:uiPriority w:val="3"/>
    <w:qFormat/>
    <w:rsid w:val="00A71CEA"/>
    <w:rPr>
      <w:szCs w:val="22"/>
      <w:lang w:val="es-MX"/>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A71CEA"/>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Car"/>
    <w:basedOn w:val="Normal"/>
    <w:link w:val="TextonotapieCar"/>
    <w:uiPriority w:val="99"/>
    <w:unhideWhenUsed/>
    <w:qFormat/>
    <w:rsid w:val="00A71CEA"/>
    <w:rPr>
      <w:rFonts w:asciiTheme="minorHAnsi" w:eastAsiaTheme="minorHAnsi" w:hAnsiTheme="minorHAnsi" w:cstheme="minorBidi"/>
      <w:sz w:val="20"/>
      <w:szCs w:val="20"/>
      <w:lang w:val="es-MX" w:eastAsia="en-US"/>
    </w:rPr>
  </w:style>
  <w:style w:type="character" w:customStyle="1" w:styleId="TextonotapieCar1">
    <w:name w:val="Texto nota pie Car1"/>
    <w:basedOn w:val="Fuentedeprrafopredeter"/>
    <w:uiPriority w:val="99"/>
    <w:semiHidden/>
    <w:rsid w:val="00A71CEA"/>
    <w:rPr>
      <w:rFonts w:ascii="Times New Roman" w:eastAsia="Times New Roman" w:hAnsi="Times New Roman" w:cs="Times New Roman"/>
      <w:sz w:val="20"/>
      <w:szCs w:val="20"/>
      <w:lang w:eastAsia="es-MX"/>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A71CEA"/>
    <w:rPr>
      <w:szCs w:val="22"/>
      <w:lang w:val="es-MX"/>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A71CEA"/>
    <w:rPr>
      <w:vertAlign w:val="superscript"/>
    </w:rPr>
  </w:style>
  <w:style w:type="paragraph" w:styleId="Textoindependiente">
    <w:name w:val="Body Text"/>
    <w:basedOn w:val="Normal"/>
    <w:link w:val="TextoindependienteCar"/>
    <w:uiPriority w:val="1"/>
    <w:qFormat/>
    <w:rsid w:val="00A71CEA"/>
    <w:pPr>
      <w:widowControl w:val="0"/>
      <w:autoSpaceDE w:val="0"/>
      <w:autoSpaceDN w:val="0"/>
    </w:pPr>
    <w:rPr>
      <w:rFonts w:ascii="Arial" w:eastAsia="Arial" w:hAnsi="Arial" w:cs="Arial"/>
      <w:sz w:val="20"/>
      <w:szCs w:val="20"/>
      <w:lang w:val="es-ES" w:eastAsia="en-US"/>
    </w:rPr>
  </w:style>
  <w:style w:type="character" w:customStyle="1" w:styleId="TextoindependienteCar">
    <w:name w:val="Texto independiente Car"/>
    <w:basedOn w:val="Fuentedeprrafopredeter"/>
    <w:link w:val="Textoindependiente"/>
    <w:uiPriority w:val="1"/>
    <w:rsid w:val="00A71CEA"/>
    <w:rPr>
      <w:rFonts w:ascii="Arial" w:eastAsia="Arial" w:hAnsi="Arial" w:cs="Arial"/>
      <w:sz w:val="20"/>
      <w:szCs w:val="20"/>
      <w:lang w:val="es-ES"/>
    </w:rPr>
  </w:style>
  <w:style w:type="paragraph" w:customStyle="1" w:styleId="Appelnotedebasde">
    <w:name w:val="Appel note de bas de..."/>
    <w:basedOn w:val="Normal"/>
    <w:link w:val="Refdenotaalpie"/>
    <w:uiPriority w:val="99"/>
    <w:rsid w:val="00A71CEA"/>
    <w:pPr>
      <w:spacing w:after="160" w:line="240" w:lineRule="exact"/>
    </w:pPr>
    <w:rPr>
      <w:rFonts w:asciiTheme="minorHAnsi" w:eastAsiaTheme="minorHAnsi" w:hAnsiTheme="minorHAnsi" w:cstheme="minorBidi"/>
      <w:vertAlign w:val="superscript"/>
      <w:lang w:eastAsia="en-US"/>
    </w:rPr>
  </w:style>
  <w:style w:type="character" w:customStyle="1" w:styleId="apple-converted-space">
    <w:name w:val="apple-converted-space"/>
    <w:basedOn w:val="Fuentedeprrafopredeter"/>
    <w:rsid w:val="00A71CEA"/>
  </w:style>
  <w:style w:type="paragraph" w:styleId="NormalWeb">
    <w:name w:val="Normal (Web)"/>
    <w:basedOn w:val="Normal"/>
    <w:link w:val="NormalWebCar"/>
    <w:uiPriority w:val="99"/>
    <w:unhideWhenUsed/>
    <w:rsid w:val="00524B49"/>
    <w:pPr>
      <w:spacing w:before="100" w:beforeAutospacing="1" w:after="100" w:afterAutospacing="1"/>
    </w:pPr>
  </w:style>
  <w:style w:type="character" w:styleId="Hipervnculo">
    <w:name w:val="Hyperlink"/>
    <w:basedOn w:val="Fuentedeprrafopredeter"/>
    <w:uiPriority w:val="99"/>
    <w:unhideWhenUsed/>
    <w:rsid w:val="00524B49"/>
    <w:rPr>
      <w:color w:val="0000FF"/>
      <w:u w:val="single"/>
    </w:rPr>
  </w:style>
  <w:style w:type="character" w:styleId="Hipervnculovisitado">
    <w:name w:val="FollowedHyperlink"/>
    <w:basedOn w:val="Fuentedeprrafopredeter"/>
    <w:uiPriority w:val="99"/>
    <w:semiHidden/>
    <w:unhideWhenUsed/>
    <w:rsid w:val="00524B49"/>
    <w:rPr>
      <w:color w:val="954F72" w:themeColor="followedHyperlink"/>
      <w:u w:val="single"/>
    </w:rPr>
  </w:style>
  <w:style w:type="character" w:customStyle="1" w:styleId="Ttulo2Car">
    <w:name w:val="Título 2 Car"/>
    <w:basedOn w:val="Fuentedeprrafopredeter"/>
    <w:link w:val="Ttulo2"/>
    <w:uiPriority w:val="9"/>
    <w:rsid w:val="00F40BB1"/>
    <w:rPr>
      <w:rFonts w:ascii="Times New Roman" w:eastAsia="Times New Roman" w:hAnsi="Times New Roman" w:cs="Times New Roman"/>
      <w:b/>
      <w:bCs/>
      <w:sz w:val="36"/>
      <w:szCs w:val="36"/>
      <w:lang w:eastAsia="es-MX"/>
    </w:rPr>
  </w:style>
  <w:style w:type="character" w:styleId="Textoennegrita">
    <w:name w:val="Strong"/>
    <w:basedOn w:val="Fuentedeprrafopredeter"/>
    <w:uiPriority w:val="22"/>
    <w:qFormat/>
    <w:rsid w:val="00F40BB1"/>
    <w:rPr>
      <w:b/>
      <w:bCs/>
    </w:rPr>
  </w:style>
  <w:style w:type="character" w:styleId="Refdecomentario">
    <w:name w:val="annotation reference"/>
    <w:basedOn w:val="Fuentedeprrafopredeter"/>
    <w:uiPriority w:val="99"/>
    <w:semiHidden/>
    <w:unhideWhenUsed/>
    <w:rsid w:val="00776374"/>
    <w:rPr>
      <w:sz w:val="16"/>
      <w:szCs w:val="16"/>
    </w:rPr>
  </w:style>
  <w:style w:type="paragraph" w:styleId="Textocomentario">
    <w:name w:val="annotation text"/>
    <w:basedOn w:val="Normal"/>
    <w:link w:val="TextocomentarioCar"/>
    <w:uiPriority w:val="99"/>
    <w:unhideWhenUsed/>
    <w:rsid w:val="00776374"/>
    <w:rPr>
      <w:sz w:val="20"/>
      <w:szCs w:val="20"/>
    </w:rPr>
  </w:style>
  <w:style w:type="character" w:customStyle="1" w:styleId="TextocomentarioCar">
    <w:name w:val="Texto comentario Car"/>
    <w:basedOn w:val="Fuentedeprrafopredeter"/>
    <w:link w:val="Textocomentario"/>
    <w:uiPriority w:val="99"/>
    <w:rsid w:val="00776374"/>
    <w:rPr>
      <w:rFonts w:ascii="Times New Roman" w:eastAsia="Times New Roman" w:hAnsi="Times New Roman"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776374"/>
    <w:rPr>
      <w:b/>
      <w:bCs/>
    </w:rPr>
  </w:style>
  <w:style w:type="character" w:customStyle="1" w:styleId="AsuntodelcomentarioCar">
    <w:name w:val="Asunto del comentario Car"/>
    <w:basedOn w:val="TextocomentarioCar"/>
    <w:link w:val="Asuntodelcomentario"/>
    <w:uiPriority w:val="99"/>
    <w:semiHidden/>
    <w:rsid w:val="00776374"/>
    <w:rPr>
      <w:rFonts w:ascii="Times New Roman" w:eastAsia="Times New Roman" w:hAnsi="Times New Roman" w:cs="Times New Roman"/>
      <w:b/>
      <w:bCs/>
      <w:sz w:val="20"/>
      <w:szCs w:val="20"/>
      <w:lang w:eastAsia="es-MX"/>
    </w:rPr>
  </w:style>
  <w:style w:type="character" w:styleId="nfasis">
    <w:name w:val="Emphasis"/>
    <w:basedOn w:val="Fuentedeprrafopredeter"/>
    <w:uiPriority w:val="20"/>
    <w:qFormat/>
    <w:rsid w:val="00A012BF"/>
    <w:rPr>
      <w:i/>
      <w:iCs/>
    </w:rPr>
  </w:style>
  <w:style w:type="paragraph" w:styleId="Ttulo">
    <w:name w:val="Title"/>
    <w:aliases w:val="Cláusula 9"/>
    <w:basedOn w:val="Normal"/>
    <w:next w:val="Normal"/>
    <w:link w:val="TtuloCar"/>
    <w:uiPriority w:val="10"/>
    <w:qFormat/>
    <w:rsid w:val="00DD0D94"/>
    <w:pPr>
      <w:numPr>
        <w:numId w:val="3"/>
      </w:numPr>
      <w:spacing w:after="300"/>
      <w:contextualSpacing/>
      <w:jc w:val="both"/>
    </w:pPr>
    <w:rPr>
      <w:rFonts w:asciiTheme="majorHAnsi" w:eastAsiaTheme="majorEastAsia" w:hAnsiTheme="majorHAnsi" w:cstheme="majorBidi"/>
      <w:color w:val="AEAAAA" w:themeColor="background2" w:themeShade="BF"/>
      <w:spacing w:val="5"/>
      <w:kern w:val="28"/>
      <w:sz w:val="20"/>
      <w:szCs w:val="52"/>
      <w:lang w:val="es-MX" w:eastAsia="en-US"/>
    </w:rPr>
  </w:style>
  <w:style w:type="character" w:customStyle="1" w:styleId="TtuloCar">
    <w:name w:val="Título Car"/>
    <w:aliases w:val="Cláusula 9 Car"/>
    <w:basedOn w:val="Fuentedeprrafopredeter"/>
    <w:link w:val="Ttulo"/>
    <w:uiPriority w:val="10"/>
    <w:rsid w:val="00DD0D94"/>
    <w:rPr>
      <w:rFonts w:asciiTheme="majorHAnsi" w:eastAsiaTheme="majorEastAsia" w:hAnsiTheme="majorHAnsi" w:cstheme="majorBidi"/>
      <w:color w:val="AEAAAA" w:themeColor="background2" w:themeShade="BF"/>
      <w:spacing w:val="5"/>
      <w:kern w:val="28"/>
      <w:sz w:val="20"/>
      <w:szCs w:val="52"/>
      <w:lang w:val="es-MX"/>
    </w:rPr>
  </w:style>
  <w:style w:type="paragraph" w:customStyle="1" w:styleId="paragraph">
    <w:name w:val="paragraph"/>
    <w:basedOn w:val="Normal"/>
    <w:rsid w:val="00687BDD"/>
    <w:pPr>
      <w:spacing w:before="100" w:beforeAutospacing="1" w:after="100" w:afterAutospacing="1" w:line="276" w:lineRule="auto"/>
      <w:ind w:firstLine="709"/>
      <w:jc w:val="both"/>
    </w:pPr>
    <w:rPr>
      <w:lang w:eastAsia="es-ES_tradnl"/>
    </w:rPr>
  </w:style>
  <w:style w:type="character" w:customStyle="1" w:styleId="normaltextrun">
    <w:name w:val="normaltextrun"/>
    <w:basedOn w:val="Fuentedeprrafopredeter"/>
    <w:rsid w:val="00687BDD"/>
  </w:style>
  <w:style w:type="character" w:customStyle="1" w:styleId="eop">
    <w:name w:val="eop"/>
    <w:basedOn w:val="Fuentedeprrafopredeter"/>
    <w:rsid w:val="00687BDD"/>
  </w:style>
  <w:style w:type="character" w:styleId="Mencinsinresolver">
    <w:name w:val="Unresolved Mention"/>
    <w:basedOn w:val="Fuentedeprrafopredeter"/>
    <w:uiPriority w:val="99"/>
    <w:semiHidden/>
    <w:unhideWhenUsed/>
    <w:rsid w:val="00094B59"/>
    <w:rPr>
      <w:color w:val="605E5C"/>
      <w:shd w:val="clear" w:color="auto" w:fill="E1DFDD"/>
    </w:rPr>
  </w:style>
  <w:style w:type="character" w:customStyle="1" w:styleId="NormalWebCar">
    <w:name w:val="Normal (Web) Car"/>
    <w:link w:val="NormalWeb"/>
    <w:uiPriority w:val="99"/>
    <w:rsid w:val="00C33A69"/>
    <w:rPr>
      <w:rFonts w:ascii="Times New Roman" w:eastAsia="Times New Roman" w:hAnsi="Times New Roman" w:cs="Times New Roman"/>
      <w:lang w:eastAsia="es-MX"/>
    </w:rPr>
  </w:style>
  <w:style w:type="paragraph" w:customStyle="1" w:styleId="Default">
    <w:name w:val="Default"/>
    <w:rsid w:val="00C33A69"/>
    <w:pPr>
      <w:autoSpaceDE w:val="0"/>
      <w:autoSpaceDN w:val="0"/>
      <w:adjustRightInd w:val="0"/>
    </w:pPr>
    <w:rPr>
      <w:rFonts w:ascii="Arial" w:hAnsi="Arial" w:cs="Arial"/>
      <w:color w:val="000000"/>
    </w:rPr>
  </w:style>
  <w:style w:type="paragraph" w:customStyle="1" w:styleId="xxmsonormal">
    <w:name w:val="x_x_msonormal"/>
    <w:basedOn w:val="Normal"/>
    <w:rsid w:val="00C33A69"/>
    <w:pPr>
      <w:spacing w:before="100" w:beforeAutospacing="1" w:after="100" w:afterAutospacing="1"/>
    </w:pPr>
  </w:style>
  <w:style w:type="character" w:customStyle="1" w:styleId="spellingerror">
    <w:name w:val="spellingerror"/>
    <w:basedOn w:val="Fuentedeprrafopredeter"/>
    <w:rsid w:val="00EB1E4A"/>
  </w:style>
  <w:style w:type="paragraph" w:customStyle="1" w:styleId="xmsonospacing">
    <w:name w:val="x_msonospacing"/>
    <w:basedOn w:val="Normal"/>
    <w:rsid w:val="0031456F"/>
    <w:pPr>
      <w:spacing w:before="100" w:beforeAutospacing="1" w:after="100" w:afterAutospacing="1"/>
    </w:pPr>
  </w:style>
  <w:style w:type="character" w:customStyle="1" w:styleId="SinespaciadoCar">
    <w:name w:val="Sin espaciado Car"/>
    <w:aliases w:val="No Indent Car"/>
    <w:link w:val="Sinespaciado"/>
    <w:uiPriority w:val="3"/>
    <w:rsid w:val="00947B9D"/>
    <w:rPr>
      <w:szCs w:val="22"/>
      <w:lang w:val="es-MX"/>
    </w:rPr>
  </w:style>
  <w:style w:type="paragraph" w:styleId="Revisin">
    <w:name w:val="Revision"/>
    <w:hidden/>
    <w:uiPriority w:val="99"/>
    <w:semiHidden/>
    <w:rsid w:val="006B35F1"/>
    <w:rPr>
      <w:rFonts w:ascii="Times New Roman" w:eastAsia="Times New Roman" w:hAnsi="Times New Roman" w:cs="Times New Roman"/>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91926">
      <w:bodyDiv w:val="1"/>
      <w:marLeft w:val="0"/>
      <w:marRight w:val="0"/>
      <w:marTop w:val="0"/>
      <w:marBottom w:val="0"/>
      <w:divBdr>
        <w:top w:val="none" w:sz="0" w:space="0" w:color="auto"/>
        <w:left w:val="none" w:sz="0" w:space="0" w:color="auto"/>
        <w:bottom w:val="none" w:sz="0" w:space="0" w:color="auto"/>
        <w:right w:val="none" w:sz="0" w:space="0" w:color="auto"/>
      </w:divBdr>
    </w:div>
    <w:div w:id="56173611">
      <w:bodyDiv w:val="1"/>
      <w:marLeft w:val="0"/>
      <w:marRight w:val="0"/>
      <w:marTop w:val="0"/>
      <w:marBottom w:val="0"/>
      <w:divBdr>
        <w:top w:val="none" w:sz="0" w:space="0" w:color="auto"/>
        <w:left w:val="none" w:sz="0" w:space="0" w:color="auto"/>
        <w:bottom w:val="none" w:sz="0" w:space="0" w:color="auto"/>
        <w:right w:val="none" w:sz="0" w:space="0" w:color="auto"/>
      </w:divBdr>
    </w:div>
    <w:div w:id="114636653">
      <w:bodyDiv w:val="1"/>
      <w:marLeft w:val="0"/>
      <w:marRight w:val="0"/>
      <w:marTop w:val="0"/>
      <w:marBottom w:val="0"/>
      <w:divBdr>
        <w:top w:val="none" w:sz="0" w:space="0" w:color="auto"/>
        <w:left w:val="none" w:sz="0" w:space="0" w:color="auto"/>
        <w:bottom w:val="none" w:sz="0" w:space="0" w:color="auto"/>
        <w:right w:val="none" w:sz="0" w:space="0" w:color="auto"/>
      </w:divBdr>
    </w:div>
    <w:div w:id="127668976">
      <w:bodyDiv w:val="1"/>
      <w:marLeft w:val="0"/>
      <w:marRight w:val="0"/>
      <w:marTop w:val="0"/>
      <w:marBottom w:val="0"/>
      <w:divBdr>
        <w:top w:val="none" w:sz="0" w:space="0" w:color="auto"/>
        <w:left w:val="none" w:sz="0" w:space="0" w:color="auto"/>
        <w:bottom w:val="none" w:sz="0" w:space="0" w:color="auto"/>
        <w:right w:val="none" w:sz="0" w:space="0" w:color="auto"/>
      </w:divBdr>
      <w:divsChild>
        <w:div w:id="116996380">
          <w:marLeft w:val="0"/>
          <w:marRight w:val="0"/>
          <w:marTop w:val="0"/>
          <w:marBottom w:val="0"/>
          <w:divBdr>
            <w:top w:val="none" w:sz="0" w:space="0" w:color="auto"/>
            <w:left w:val="none" w:sz="0" w:space="0" w:color="auto"/>
            <w:bottom w:val="none" w:sz="0" w:space="0" w:color="auto"/>
            <w:right w:val="none" w:sz="0" w:space="0" w:color="auto"/>
          </w:divBdr>
        </w:div>
      </w:divsChild>
    </w:div>
    <w:div w:id="183596897">
      <w:bodyDiv w:val="1"/>
      <w:marLeft w:val="0"/>
      <w:marRight w:val="0"/>
      <w:marTop w:val="0"/>
      <w:marBottom w:val="0"/>
      <w:divBdr>
        <w:top w:val="none" w:sz="0" w:space="0" w:color="auto"/>
        <w:left w:val="none" w:sz="0" w:space="0" w:color="auto"/>
        <w:bottom w:val="none" w:sz="0" w:space="0" w:color="auto"/>
        <w:right w:val="none" w:sz="0" w:space="0" w:color="auto"/>
      </w:divBdr>
    </w:div>
    <w:div w:id="279412230">
      <w:bodyDiv w:val="1"/>
      <w:marLeft w:val="0"/>
      <w:marRight w:val="0"/>
      <w:marTop w:val="0"/>
      <w:marBottom w:val="0"/>
      <w:divBdr>
        <w:top w:val="none" w:sz="0" w:space="0" w:color="auto"/>
        <w:left w:val="none" w:sz="0" w:space="0" w:color="auto"/>
        <w:bottom w:val="none" w:sz="0" w:space="0" w:color="auto"/>
        <w:right w:val="none" w:sz="0" w:space="0" w:color="auto"/>
      </w:divBdr>
    </w:div>
    <w:div w:id="298219995">
      <w:bodyDiv w:val="1"/>
      <w:marLeft w:val="0"/>
      <w:marRight w:val="0"/>
      <w:marTop w:val="0"/>
      <w:marBottom w:val="0"/>
      <w:divBdr>
        <w:top w:val="none" w:sz="0" w:space="0" w:color="auto"/>
        <w:left w:val="none" w:sz="0" w:space="0" w:color="auto"/>
        <w:bottom w:val="none" w:sz="0" w:space="0" w:color="auto"/>
        <w:right w:val="none" w:sz="0" w:space="0" w:color="auto"/>
      </w:divBdr>
    </w:div>
    <w:div w:id="324893756">
      <w:bodyDiv w:val="1"/>
      <w:marLeft w:val="0"/>
      <w:marRight w:val="0"/>
      <w:marTop w:val="0"/>
      <w:marBottom w:val="0"/>
      <w:divBdr>
        <w:top w:val="none" w:sz="0" w:space="0" w:color="auto"/>
        <w:left w:val="none" w:sz="0" w:space="0" w:color="auto"/>
        <w:bottom w:val="none" w:sz="0" w:space="0" w:color="auto"/>
        <w:right w:val="none" w:sz="0" w:space="0" w:color="auto"/>
      </w:divBdr>
    </w:div>
    <w:div w:id="331495140">
      <w:bodyDiv w:val="1"/>
      <w:marLeft w:val="0"/>
      <w:marRight w:val="0"/>
      <w:marTop w:val="0"/>
      <w:marBottom w:val="0"/>
      <w:divBdr>
        <w:top w:val="none" w:sz="0" w:space="0" w:color="auto"/>
        <w:left w:val="none" w:sz="0" w:space="0" w:color="auto"/>
        <w:bottom w:val="none" w:sz="0" w:space="0" w:color="auto"/>
        <w:right w:val="none" w:sz="0" w:space="0" w:color="auto"/>
      </w:divBdr>
    </w:div>
    <w:div w:id="374349182">
      <w:bodyDiv w:val="1"/>
      <w:marLeft w:val="0"/>
      <w:marRight w:val="0"/>
      <w:marTop w:val="0"/>
      <w:marBottom w:val="0"/>
      <w:divBdr>
        <w:top w:val="none" w:sz="0" w:space="0" w:color="auto"/>
        <w:left w:val="none" w:sz="0" w:space="0" w:color="auto"/>
        <w:bottom w:val="none" w:sz="0" w:space="0" w:color="auto"/>
        <w:right w:val="none" w:sz="0" w:space="0" w:color="auto"/>
      </w:divBdr>
    </w:div>
    <w:div w:id="392705629">
      <w:bodyDiv w:val="1"/>
      <w:marLeft w:val="0"/>
      <w:marRight w:val="0"/>
      <w:marTop w:val="0"/>
      <w:marBottom w:val="0"/>
      <w:divBdr>
        <w:top w:val="none" w:sz="0" w:space="0" w:color="auto"/>
        <w:left w:val="none" w:sz="0" w:space="0" w:color="auto"/>
        <w:bottom w:val="none" w:sz="0" w:space="0" w:color="auto"/>
        <w:right w:val="none" w:sz="0" w:space="0" w:color="auto"/>
      </w:divBdr>
    </w:div>
    <w:div w:id="411238431">
      <w:bodyDiv w:val="1"/>
      <w:marLeft w:val="0"/>
      <w:marRight w:val="0"/>
      <w:marTop w:val="0"/>
      <w:marBottom w:val="0"/>
      <w:divBdr>
        <w:top w:val="none" w:sz="0" w:space="0" w:color="auto"/>
        <w:left w:val="none" w:sz="0" w:space="0" w:color="auto"/>
        <w:bottom w:val="none" w:sz="0" w:space="0" w:color="auto"/>
        <w:right w:val="none" w:sz="0" w:space="0" w:color="auto"/>
      </w:divBdr>
    </w:div>
    <w:div w:id="471215269">
      <w:bodyDiv w:val="1"/>
      <w:marLeft w:val="0"/>
      <w:marRight w:val="0"/>
      <w:marTop w:val="0"/>
      <w:marBottom w:val="0"/>
      <w:divBdr>
        <w:top w:val="none" w:sz="0" w:space="0" w:color="auto"/>
        <w:left w:val="none" w:sz="0" w:space="0" w:color="auto"/>
        <w:bottom w:val="none" w:sz="0" w:space="0" w:color="auto"/>
        <w:right w:val="none" w:sz="0" w:space="0" w:color="auto"/>
      </w:divBdr>
    </w:div>
    <w:div w:id="486366192">
      <w:bodyDiv w:val="1"/>
      <w:marLeft w:val="0"/>
      <w:marRight w:val="0"/>
      <w:marTop w:val="0"/>
      <w:marBottom w:val="0"/>
      <w:divBdr>
        <w:top w:val="none" w:sz="0" w:space="0" w:color="auto"/>
        <w:left w:val="none" w:sz="0" w:space="0" w:color="auto"/>
        <w:bottom w:val="none" w:sz="0" w:space="0" w:color="auto"/>
        <w:right w:val="none" w:sz="0" w:space="0" w:color="auto"/>
      </w:divBdr>
      <w:divsChild>
        <w:div w:id="1352760980">
          <w:marLeft w:val="0"/>
          <w:marRight w:val="0"/>
          <w:marTop w:val="0"/>
          <w:marBottom w:val="0"/>
          <w:divBdr>
            <w:top w:val="none" w:sz="0" w:space="0" w:color="auto"/>
            <w:left w:val="none" w:sz="0" w:space="0" w:color="auto"/>
            <w:bottom w:val="none" w:sz="0" w:space="0" w:color="auto"/>
            <w:right w:val="none" w:sz="0" w:space="0" w:color="auto"/>
          </w:divBdr>
          <w:divsChild>
            <w:div w:id="1312324098">
              <w:marLeft w:val="0"/>
              <w:marRight w:val="0"/>
              <w:marTop w:val="0"/>
              <w:marBottom w:val="0"/>
              <w:divBdr>
                <w:top w:val="none" w:sz="0" w:space="0" w:color="auto"/>
                <w:left w:val="none" w:sz="0" w:space="0" w:color="auto"/>
                <w:bottom w:val="none" w:sz="0" w:space="0" w:color="auto"/>
                <w:right w:val="none" w:sz="0" w:space="0" w:color="auto"/>
              </w:divBdr>
              <w:divsChild>
                <w:div w:id="1584954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377665">
      <w:bodyDiv w:val="1"/>
      <w:marLeft w:val="0"/>
      <w:marRight w:val="0"/>
      <w:marTop w:val="0"/>
      <w:marBottom w:val="0"/>
      <w:divBdr>
        <w:top w:val="none" w:sz="0" w:space="0" w:color="auto"/>
        <w:left w:val="none" w:sz="0" w:space="0" w:color="auto"/>
        <w:bottom w:val="none" w:sz="0" w:space="0" w:color="auto"/>
        <w:right w:val="none" w:sz="0" w:space="0" w:color="auto"/>
      </w:divBdr>
    </w:div>
    <w:div w:id="504789930">
      <w:bodyDiv w:val="1"/>
      <w:marLeft w:val="0"/>
      <w:marRight w:val="0"/>
      <w:marTop w:val="0"/>
      <w:marBottom w:val="0"/>
      <w:divBdr>
        <w:top w:val="none" w:sz="0" w:space="0" w:color="auto"/>
        <w:left w:val="none" w:sz="0" w:space="0" w:color="auto"/>
        <w:bottom w:val="none" w:sz="0" w:space="0" w:color="auto"/>
        <w:right w:val="none" w:sz="0" w:space="0" w:color="auto"/>
      </w:divBdr>
      <w:divsChild>
        <w:div w:id="1849827054">
          <w:marLeft w:val="0"/>
          <w:marRight w:val="0"/>
          <w:marTop w:val="0"/>
          <w:marBottom w:val="0"/>
          <w:divBdr>
            <w:top w:val="none" w:sz="0" w:space="0" w:color="auto"/>
            <w:left w:val="none" w:sz="0" w:space="0" w:color="auto"/>
            <w:bottom w:val="none" w:sz="0" w:space="0" w:color="auto"/>
            <w:right w:val="none" w:sz="0" w:space="0" w:color="auto"/>
          </w:divBdr>
          <w:divsChild>
            <w:div w:id="1343824708">
              <w:marLeft w:val="0"/>
              <w:marRight w:val="0"/>
              <w:marTop w:val="0"/>
              <w:marBottom w:val="0"/>
              <w:divBdr>
                <w:top w:val="none" w:sz="0" w:space="0" w:color="auto"/>
                <w:left w:val="none" w:sz="0" w:space="0" w:color="auto"/>
                <w:bottom w:val="none" w:sz="0" w:space="0" w:color="auto"/>
                <w:right w:val="none" w:sz="0" w:space="0" w:color="auto"/>
              </w:divBdr>
              <w:divsChild>
                <w:div w:id="177412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198692">
      <w:bodyDiv w:val="1"/>
      <w:marLeft w:val="0"/>
      <w:marRight w:val="0"/>
      <w:marTop w:val="0"/>
      <w:marBottom w:val="0"/>
      <w:divBdr>
        <w:top w:val="none" w:sz="0" w:space="0" w:color="auto"/>
        <w:left w:val="none" w:sz="0" w:space="0" w:color="auto"/>
        <w:bottom w:val="none" w:sz="0" w:space="0" w:color="auto"/>
        <w:right w:val="none" w:sz="0" w:space="0" w:color="auto"/>
      </w:divBdr>
    </w:div>
    <w:div w:id="704448476">
      <w:bodyDiv w:val="1"/>
      <w:marLeft w:val="0"/>
      <w:marRight w:val="0"/>
      <w:marTop w:val="0"/>
      <w:marBottom w:val="0"/>
      <w:divBdr>
        <w:top w:val="none" w:sz="0" w:space="0" w:color="auto"/>
        <w:left w:val="none" w:sz="0" w:space="0" w:color="auto"/>
        <w:bottom w:val="none" w:sz="0" w:space="0" w:color="auto"/>
        <w:right w:val="none" w:sz="0" w:space="0" w:color="auto"/>
      </w:divBdr>
    </w:div>
    <w:div w:id="882785361">
      <w:bodyDiv w:val="1"/>
      <w:marLeft w:val="0"/>
      <w:marRight w:val="0"/>
      <w:marTop w:val="0"/>
      <w:marBottom w:val="0"/>
      <w:divBdr>
        <w:top w:val="none" w:sz="0" w:space="0" w:color="auto"/>
        <w:left w:val="none" w:sz="0" w:space="0" w:color="auto"/>
        <w:bottom w:val="none" w:sz="0" w:space="0" w:color="auto"/>
        <w:right w:val="none" w:sz="0" w:space="0" w:color="auto"/>
      </w:divBdr>
    </w:div>
    <w:div w:id="914783788">
      <w:bodyDiv w:val="1"/>
      <w:marLeft w:val="0"/>
      <w:marRight w:val="0"/>
      <w:marTop w:val="0"/>
      <w:marBottom w:val="0"/>
      <w:divBdr>
        <w:top w:val="none" w:sz="0" w:space="0" w:color="auto"/>
        <w:left w:val="none" w:sz="0" w:space="0" w:color="auto"/>
        <w:bottom w:val="none" w:sz="0" w:space="0" w:color="auto"/>
        <w:right w:val="none" w:sz="0" w:space="0" w:color="auto"/>
      </w:divBdr>
    </w:div>
    <w:div w:id="956109359">
      <w:bodyDiv w:val="1"/>
      <w:marLeft w:val="0"/>
      <w:marRight w:val="0"/>
      <w:marTop w:val="0"/>
      <w:marBottom w:val="0"/>
      <w:divBdr>
        <w:top w:val="none" w:sz="0" w:space="0" w:color="auto"/>
        <w:left w:val="none" w:sz="0" w:space="0" w:color="auto"/>
        <w:bottom w:val="none" w:sz="0" w:space="0" w:color="auto"/>
        <w:right w:val="none" w:sz="0" w:space="0" w:color="auto"/>
      </w:divBdr>
    </w:div>
    <w:div w:id="964624696">
      <w:bodyDiv w:val="1"/>
      <w:marLeft w:val="0"/>
      <w:marRight w:val="0"/>
      <w:marTop w:val="0"/>
      <w:marBottom w:val="0"/>
      <w:divBdr>
        <w:top w:val="none" w:sz="0" w:space="0" w:color="auto"/>
        <w:left w:val="none" w:sz="0" w:space="0" w:color="auto"/>
        <w:bottom w:val="none" w:sz="0" w:space="0" w:color="auto"/>
        <w:right w:val="none" w:sz="0" w:space="0" w:color="auto"/>
      </w:divBdr>
    </w:div>
    <w:div w:id="1009454661">
      <w:bodyDiv w:val="1"/>
      <w:marLeft w:val="0"/>
      <w:marRight w:val="0"/>
      <w:marTop w:val="0"/>
      <w:marBottom w:val="0"/>
      <w:divBdr>
        <w:top w:val="none" w:sz="0" w:space="0" w:color="auto"/>
        <w:left w:val="none" w:sz="0" w:space="0" w:color="auto"/>
        <w:bottom w:val="none" w:sz="0" w:space="0" w:color="auto"/>
        <w:right w:val="none" w:sz="0" w:space="0" w:color="auto"/>
      </w:divBdr>
      <w:divsChild>
        <w:div w:id="399794745">
          <w:marLeft w:val="0"/>
          <w:marRight w:val="0"/>
          <w:marTop w:val="0"/>
          <w:marBottom w:val="0"/>
          <w:divBdr>
            <w:top w:val="none" w:sz="0" w:space="0" w:color="auto"/>
            <w:left w:val="none" w:sz="0" w:space="0" w:color="auto"/>
            <w:bottom w:val="none" w:sz="0" w:space="0" w:color="auto"/>
            <w:right w:val="none" w:sz="0" w:space="0" w:color="auto"/>
          </w:divBdr>
        </w:div>
      </w:divsChild>
    </w:div>
    <w:div w:id="1126898605">
      <w:bodyDiv w:val="1"/>
      <w:marLeft w:val="0"/>
      <w:marRight w:val="0"/>
      <w:marTop w:val="0"/>
      <w:marBottom w:val="0"/>
      <w:divBdr>
        <w:top w:val="none" w:sz="0" w:space="0" w:color="auto"/>
        <w:left w:val="none" w:sz="0" w:space="0" w:color="auto"/>
        <w:bottom w:val="none" w:sz="0" w:space="0" w:color="auto"/>
        <w:right w:val="none" w:sz="0" w:space="0" w:color="auto"/>
      </w:divBdr>
    </w:div>
    <w:div w:id="1173640563">
      <w:bodyDiv w:val="1"/>
      <w:marLeft w:val="0"/>
      <w:marRight w:val="0"/>
      <w:marTop w:val="0"/>
      <w:marBottom w:val="0"/>
      <w:divBdr>
        <w:top w:val="none" w:sz="0" w:space="0" w:color="auto"/>
        <w:left w:val="none" w:sz="0" w:space="0" w:color="auto"/>
        <w:bottom w:val="none" w:sz="0" w:space="0" w:color="auto"/>
        <w:right w:val="none" w:sz="0" w:space="0" w:color="auto"/>
      </w:divBdr>
      <w:divsChild>
        <w:div w:id="236667670">
          <w:marLeft w:val="0"/>
          <w:marRight w:val="0"/>
          <w:marTop w:val="0"/>
          <w:marBottom w:val="0"/>
          <w:divBdr>
            <w:top w:val="none" w:sz="0" w:space="0" w:color="auto"/>
            <w:left w:val="none" w:sz="0" w:space="0" w:color="auto"/>
            <w:bottom w:val="none" w:sz="0" w:space="0" w:color="auto"/>
            <w:right w:val="none" w:sz="0" w:space="0" w:color="auto"/>
          </w:divBdr>
          <w:divsChild>
            <w:div w:id="444160927">
              <w:marLeft w:val="0"/>
              <w:marRight w:val="0"/>
              <w:marTop w:val="0"/>
              <w:marBottom w:val="0"/>
              <w:divBdr>
                <w:top w:val="none" w:sz="0" w:space="0" w:color="auto"/>
                <w:left w:val="none" w:sz="0" w:space="0" w:color="auto"/>
                <w:bottom w:val="none" w:sz="0" w:space="0" w:color="auto"/>
                <w:right w:val="none" w:sz="0" w:space="0" w:color="auto"/>
              </w:divBdr>
              <w:divsChild>
                <w:div w:id="205180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430790">
      <w:bodyDiv w:val="1"/>
      <w:marLeft w:val="0"/>
      <w:marRight w:val="0"/>
      <w:marTop w:val="0"/>
      <w:marBottom w:val="0"/>
      <w:divBdr>
        <w:top w:val="none" w:sz="0" w:space="0" w:color="auto"/>
        <w:left w:val="none" w:sz="0" w:space="0" w:color="auto"/>
        <w:bottom w:val="none" w:sz="0" w:space="0" w:color="auto"/>
        <w:right w:val="none" w:sz="0" w:space="0" w:color="auto"/>
      </w:divBdr>
    </w:div>
    <w:div w:id="1375883382">
      <w:bodyDiv w:val="1"/>
      <w:marLeft w:val="0"/>
      <w:marRight w:val="0"/>
      <w:marTop w:val="0"/>
      <w:marBottom w:val="0"/>
      <w:divBdr>
        <w:top w:val="none" w:sz="0" w:space="0" w:color="auto"/>
        <w:left w:val="none" w:sz="0" w:space="0" w:color="auto"/>
        <w:bottom w:val="none" w:sz="0" w:space="0" w:color="auto"/>
        <w:right w:val="none" w:sz="0" w:space="0" w:color="auto"/>
      </w:divBdr>
    </w:div>
    <w:div w:id="1486707341">
      <w:bodyDiv w:val="1"/>
      <w:marLeft w:val="0"/>
      <w:marRight w:val="0"/>
      <w:marTop w:val="0"/>
      <w:marBottom w:val="0"/>
      <w:divBdr>
        <w:top w:val="none" w:sz="0" w:space="0" w:color="auto"/>
        <w:left w:val="none" w:sz="0" w:space="0" w:color="auto"/>
        <w:bottom w:val="none" w:sz="0" w:space="0" w:color="auto"/>
        <w:right w:val="none" w:sz="0" w:space="0" w:color="auto"/>
      </w:divBdr>
      <w:divsChild>
        <w:div w:id="277177450">
          <w:marLeft w:val="0"/>
          <w:marRight w:val="0"/>
          <w:marTop w:val="0"/>
          <w:marBottom w:val="0"/>
          <w:divBdr>
            <w:top w:val="none" w:sz="0" w:space="0" w:color="auto"/>
            <w:left w:val="none" w:sz="0" w:space="0" w:color="auto"/>
            <w:bottom w:val="none" w:sz="0" w:space="0" w:color="auto"/>
            <w:right w:val="none" w:sz="0" w:space="0" w:color="auto"/>
          </w:divBdr>
          <w:divsChild>
            <w:div w:id="37970307">
              <w:marLeft w:val="0"/>
              <w:marRight w:val="0"/>
              <w:marTop w:val="0"/>
              <w:marBottom w:val="0"/>
              <w:divBdr>
                <w:top w:val="none" w:sz="0" w:space="0" w:color="auto"/>
                <w:left w:val="none" w:sz="0" w:space="0" w:color="auto"/>
                <w:bottom w:val="none" w:sz="0" w:space="0" w:color="auto"/>
                <w:right w:val="none" w:sz="0" w:space="0" w:color="auto"/>
              </w:divBdr>
              <w:divsChild>
                <w:div w:id="1223295099">
                  <w:marLeft w:val="0"/>
                  <w:marRight w:val="0"/>
                  <w:marTop w:val="0"/>
                  <w:marBottom w:val="0"/>
                  <w:divBdr>
                    <w:top w:val="none" w:sz="0" w:space="0" w:color="auto"/>
                    <w:left w:val="none" w:sz="0" w:space="0" w:color="auto"/>
                    <w:bottom w:val="none" w:sz="0" w:space="0" w:color="auto"/>
                    <w:right w:val="none" w:sz="0" w:space="0" w:color="auto"/>
                  </w:divBdr>
                  <w:divsChild>
                    <w:div w:id="118293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719270">
      <w:bodyDiv w:val="1"/>
      <w:marLeft w:val="0"/>
      <w:marRight w:val="0"/>
      <w:marTop w:val="0"/>
      <w:marBottom w:val="0"/>
      <w:divBdr>
        <w:top w:val="none" w:sz="0" w:space="0" w:color="auto"/>
        <w:left w:val="none" w:sz="0" w:space="0" w:color="auto"/>
        <w:bottom w:val="none" w:sz="0" w:space="0" w:color="auto"/>
        <w:right w:val="none" w:sz="0" w:space="0" w:color="auto"/>
      </w:divBdr>
    </w:div>
    <w:div w:id="1652827071">
      <w:bodyDiv w:val="1"/>
      <w:marLeft w:val="0"/>
      <w:marRight w:val="0"/>
      <w:marTop w:val="0"/>
      <w:marBottom w:val="0"/>
      <w:divBdr>
        <w:top w:val="none" w:sz="0" w:space="0" w:color="auto"/>
        <w:left w:val="none" w:sz="0" w:space="0" w:color="auto"/>
        <w:bottom w:val="none" w:sz="0" w:space="0" w:color="auto"/>
        <w:right w:val="none" w:sz="0" w:space="0" w:color="auto"/>
      </w:divBdr>
    </w:div>
    <w:div w:id="1698769485">
      <w:bodyDiv w:val="1"/>
      <w:marLeft w:val="0"/>
      <w:marRight w:val="0"/>
      <w:marTop w:val="0"/>
      <w:marBottom w:val="0"/>
      <w:divBdr>
        <w:top w:val="none" w:sz="0" w:space="0" w:color="auto"/>
        <w:left w:val="none" w:sz="0" w:space="0" w:color="auto"/>
        <w:bottom w:val="none" w:sz="0" w:space="0" w:color="auto"/>
        <w:right w:val="none" w:sz="0" w:space="0" w:color="auto"/>
      </w:divBdr>
    </w:div>
    <w:div w:id="1722093247">
      <w:bodyDiv w:val="1"/>
      <w:marLeft w:val="0"/>
      <w:marRight w:val="0"/>
      <w:marTop w:val="0"/>
      <w:marBottom w:val="0"/>
      <w:divBdr>
        <w:top w:val="none" w:sz="0" w:space="0" w:color="auto"/>
        <w:left w:val="none" w:sz="0" w:space="0" w:color="auto"/>
        <w:bottom w:val="none" w:sz="0" w:space="0" w:color="auto"/>
        <w:right w:val="none" w:sz="0" w:space="0" w:color="auto"/>
      </w:divBdr>
    </w:div>
    <w:div w:id="1770154424">
      <w:bodyDiv w:val="1"/>
      <w:marLeft w:val="0"/>
      <w:marRight w:val="0"/>
      <w:marTop w:val="0"/>
      <w:marBottom w:val="0"/>
      <w:divBdr>
        <w:top w:val="none" w:sz="0" w:space="0" w:color="auto"/>
        <w:left w:val="none" w:sz="0" w:space="0" w:color="auto"/>
        <w:bottom w:val="none" w:sz="0" w:space="0" w:color="auto"/>
        <w:right w:val="none" w:sz="0" w:space="0" w:color="auto"/>
      </w:divBdr>
    </w:div>
    <w:div w:id="1835338930">
      <w:bodyDiv w:val="1"/>
      <w:marLeft w:val="0"/>
      <w:marRight w:val="0"/>
      <w:marTop w:val="0"/>
      <w:marBottom w:val="0"/>
      <w:divBdr>
        <w:top w:val="none" w:sz="0" w:space="0" w:color="auto"/>
        <w:left w:val="none" w:sz="0" w:space="0" w:color="auto"/>
        <w:bottom w:val="none" w:sz="0" w:space="0" w:color="auto"/>
        <w:right w:val="none" w:sz="0" w:space="0" w:color="auto"/>
      </w:divBdr>
    </w:div>
    <w:div w:id="1908418874">
      <w:bodyDiv w:val="1"/>
      <w:marLeft w:val="0"/>
      <w:marRight w:val="0"/>
      <w:marTop w:val="0"/>
      <w:marBottom w:val="0"/>
      <w:divBdr>
        <w:top w:val="none" w:sz="0" w:space="0" w:color="auto"/>
        <w:left w:val="none" w:sz="0" w:space="0" w:color="auto"/>
        <w:bottom w:val="none" w:sz="0" w:space="0" w:color="auto"/>
        <w:right w:val="none" w:sz="0" w:space="0" w:color="auto"/>
      </w:divBdr>
      <w:divsChild>
        <w:div w:id="793448235">
          <w:marLeft w:val="0"/>
          <w:marRight w:val="0"/>
          <w:marTop w:val="0"/>
          <w:marBottom w:val="0"/>
          <w:divBdr>
            <w:top w:val="none" w:sz="0" w:space="0" w:color="auto"/>
            <w:left w:val="none" w:sz="0" w:space="0" w:color="auto"/>
            <w:bottom w:val="none" w:sz="0" w:space="0" w:color="auto"/>
            <w:right w:val="none" w:sz="0" w:space="0" w:color="auto"/>
          </w:divBdr>
          <w:divsChild>
            <w:div w:id="1859854039">
              <w:marLeft w:val="0"/>
              <w:marRight w:val="0"/>
              <w:marTop w:val="0"/>
              <w:marBottom w:val="0"/>
              <w:divBdr>
                <w:top w:val="none" w:sz="0" w:space="0" w:color="auto"/>
                <w:left w:val="none" w:sz="0" w:space="0" w:color="auto"/>
                <w:bottom w:val="none" w:sz="0" w:space="0" w:color="auto"/>
                <w:right w:val="none" w:sz="0" w:space="0" w:color="auto"/>
              </w:divBdr>
              <w:divsChild>
                <w:div w:id="156116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14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dle.rae.es/adici%C3%B3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13" ma:contentTypeDescription="Crear nuevo documento." ma:contentTypeScope="" ma:versionID="5ce307a3737c73d7fc56b8c56af85e28">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23b5beffdcd85b5c8f742a4950b070b"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08B3AF-CEE9-45FC-8A68-E97939FE7AAC}">
  <ds:schemaRefs>
    <ds:schemaRef ds:uri="http://schemas.microsoft.com/office/2006/metadata/properties"/>
    <ds:schemaRef ds:uri="http://schemas.microsoft.com/office/infopath/2007/PartnerControls"/>
    <ds:schemaRef ds:uri="9d85dbaf-23eb-4e57-a637-93dcacc8b1a1"/>
  </ds:schemaRefs>
</ds:datastoreItem>
</file>

<file path=customXml/itemProps2.xml><?xml version="1.0" encoding="utf-8"?>
<ds:datastoreItem xmlns:ds="http://schemas.openxmlformats.org/officeDocument/2006/customXml" ds:itemID="{54D21D28-F4E6-46DE-9A79-4FF00C78C669}">
  <ds:schemaRefs>
    <ds:schemaRef ds:uri="http://schemas.microsoft.com/sharepoint/v3/contenttype/forms"/>
  </ds:schemaRefs>
</ds:datastoreItem>
</file>

<file path=customXml/itemProps3.xml><?xml version="1.0" encoding="utf-8"?>
<ds:datastoreItem xmlns:ds="http://schemas.openxmlformats.org/officeDocument/2006/customXml" ds:itemID="{303C52AE-CEDA-FD42-B40D-BD0DC712E3CF}">
  <ds:schemaRefs>
    <ds:schemaRef ds:uri="http://schemas.openxmlformats.org/officeDocument/2006/bibliography"/>
  </ds:schemaRefs>
</ds:datastoreItem>
</file>

<file path=customXml/itemProps4.xml><?xml version="1.0" encoding="utf-8"?>
<ds:datastoreItem xmlns:ds="http://schemas.openxmlformats.org/officeDocument/2006/customXml" ds:itemID="{EA8D94E6-E0C3-4488-984B-599A4CDC4A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9</Pages>
  <Words>3382</Words>
  <Characters>18603</Characters>
  <Application>Microsoft Office Word</Application>
  <DocSecurity>0</DocSecurity>
  <Lines>155</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nicolle saenz camargo</dc:creator>
  <cp:keywords/>
  <dc:description/>
  <cp:lastModifiedBy>nicolle saenz camargo</cp:lastModifiedBy>
  <cp:revision>4</cp:revision>
  <dcterms:created xsi:type="dcterms:W3CDTF">2021-08-17T21:36:00Z</dcterms:created>
  <dcterms:modified xsi:type="dcterms:W3CDTF">2021-11-30T22:25:00Z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ies>
</file>