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0CA69BF" w:rsidR="0034177C" w:rsidRDefault="009F59C2" w:rsidP="0034177C">
      <w:pPr>
        <w:jc w:val="right"/>
        <w:rPr>
          <w:rFonts w:ascii="Arial" w:hAnsi="Arial" w:cs="Arial"/>
          <w:b/>
          <w:color w:val="181818" w:themeColor="accent6" w:themeShade="1A"/>
          <w:sz w:val="16"/>
          <w:szCs w:val="16"/>
          <w:lang w:eastAsia="es-ES"/>
        </w:rPr>
      </w:pPr>
      <w:bookmarkStart w:id="0" w:name="_Hlk28946138"/>
      <w:bookmarkStart w:id="1" w:name="_Hlk29548183"/>
      <w:r w:rsidRPr="006063B6">
        <w:rPr>
          <w:rFonts w:ascii="Arial" w:hAnsi="Arial" w:cs="Arial"/>
          <w:b/>
          <w:color w:val="181818" w:themeColor="accent6" w:themeShade="1A"/>
          <w:sz w:val="16"/>
          <w:szCs w:val="16"/>
          <w:lang w:eastAsia="es-ES"/>
        </w:rPr>
        <w:tab/>
      </w:r>
      <w:r w:rsidR="0034177C" w:rsidRPr="006063B6">
        <w:rPr>
          <w:rFonts w:ascii="Arial" w:hAnsi="Arial" w:cs="Arial"/>
          <w:b/>
          <w:color w:val="181818" w:themeColor="accent6" w:themeShade="1A"/>
          <w:sz w:val="16"/>
          <w:szCs w:val="16"/>
          <w:lang w:eastAsia="es-ES"/>
        </w:rPr>
        <w:t>CCE-DES-FM-17</w:t>
      </w:r>
    </w:p>
    <w:p w14:paraId="2047B1DC" w14:textId="77777777" w:rsidR="008E2B9A" w:rsidRPr="006063B6" w:rsidRDefault="008E2B9A" w:rsidP="0034177C">
      <w:pPr>
        <w:jc w:val="right"/>
        <w:rPr>
          <w:rFonts w:ascii="Arial" w:hAnsi="Arial" w:cs="Arial"/>
          <w:b/>
          <w:color w:val="181818" w:themeColor="accent6" w:themeShade="1A"/>
          <w:sz w:val="16"/>
          <w:szCs w:val="16"/>
          <w:lang w:eastAsia="es-ES"/>
        </w:rPr>
      </w:pPr>
    </w:p>
    <w:bookmarkEnd w:id="0"/>
    <w:bookmarkEnd w:id="1"/>
    <w:p w14:paraId="0FB9EAC5" w14:textId="3032B1E7" w:rsidR="006063B6" w:rsidRPr="006063B6" w:rsidRDefault="006063B6" w:rsidP="006063B6">
      <w:pPr>
        <w:jc w:val="both"/>
        <w:rPr>
          <w:rFonts w:ascii="Arial" w:eastAsia="Calibri" w:hAnsi="Arial" w:cs="Arial"/>
          <w:b/>
          <w:bCs/>
          <w:color w:val="181818" w:themeColor="accent6" w:themeShade="1A"/>
          <w:sz w:val="22"/>
          <w:lang w:val="es-ES"/>
        </w:rPr>
      </w:pPr>
      <w:r w:rsidRPr="006063B6">
        <w:rPr>
          <w:rFonts w:ascii="Arial" w:eastAsia="Calibri" w:hAnsi="Arial" w:cs="Arial"/>
          <w:b/>
          <w:bCs/>
          <w:color w:val="181818" w:themeColor="accent6" w:themeShade="1A"/>
          <w:sz w:val="22"/>
          <w:lang w:val="es-ES"/>
        </w:rPr>
        <w:t>DOCUMENTOS TIPO – Obligatoriedad – Inalterabilidad</w:t>
      </w:r>
    </w:p>
    <w:p w14:paraId="71648655" w14:textId="77777777" w:rsidR="006063B6" w:rsidRPr="006063B6" w:rsidRDefault="006063B6" w:rsidP="006063B6">
      <w:pPr>
        <w:jc w:val="both"/>
        <w:rPr>
          <w:rFonts w:ascii="Arial" w:eastAsia="Calibri" w:hAnsi="Arial" w:cs="Arial"/>
          <w:color w:val="181818" w:themeColor="accent6" w:themeShade="1A"/>
          <w:sz w:val="20"/>
          <w:szCs w:val="20"/>
          <w:lang w:val="es-ES"/>
        </w:rPr>
      </w:pPr>
    </w:p>
    <w:p w14:paraId="5396FE44" w14:textId="2E1BB41A" w:rsidR="006063B6" w:rsidRPr="006063B6" w:rsidRDefault="006063B6" w:rsidP="006063B6">
      <w:pPr>
        <w:jc w:val="both"/>
        <w:rPr>
          <w:rFonts w:ascii="Arial" w:eastAsia="Calibri" w:hAnsi="Arial" w:cs="Arial"/>
          <w:color w:val="181818" w:themeColor="accent6" w:themeShade="1A"/>
          <w:sz w:val="20"/>
          <w:szCs w:val="20"/>
          <w:lang w:val="es-ES"/>
        </w:rPr>
      </w:pPr>
      <w:r w:rsidRPr="006063B6">
        <w:rPr>
          <w:rFonts w:ascii="Arial" w:eastAsia="Calibri" w:hAnsi="Arial" w:cs="Arial"/>
          <w:color w:val="181818" w:themeColor="accent6" w:themeShade="1A"/>
          <w:sz w:val="20"/>
          <w:szCs w:val="20"/>
          <w:lang w:val="es-ES"/>
        </w:rPr>
        <w:t>Estos documentos [tipo] contienen parámetros de obligatoria observancia para las entidades estatales regidas el régimen de contratación de la Ley 80 de 1993, que adelanten procesos de selección en las referidas modalidades para la contratación de obra pública de infraestructura de transporte. Conforme a lo anterior, y en desarrollo de lo dispuesto en el artículo 4 de la Ley 1882 de 2018, los Documentos Tipo adoptados para las referidas modalidades de selección establecieron las condiciones habilitantes aplicables, así como los factores técnicos y económicos de escogencia para los procesos de selección en los que corresponda su aplicación, los cuales son de obligatoria observancia. Estos factores además son inalterables e inmodificables por parte de las entidades a la hora de utilizar los Documentos Tipo para adelantar sus procesos de contratación de conformidad con los artículos 2.2.1.2.6.1.4, 2.2.1.2.6.2.3. y 2.2.1.2.6.3.4 del Decreto 1082 de 2015.</w:t>
      </w:r>
    </w:p>
    <w:p w14:paraId="17246A15" w14:textId="77777777" w:rsidR="006063B6" w:rsidRPr="006063B6" w:rsidRDefault="006063B6" w:rsidP="00127AF2">
      <w:pPr>
        <w:jc w:val="both"/>
        <w:rPr>
          <w:rFonts w:ascii="Arial" w:eastAsia="Calibri" w:hAnsi="Arial" w:cs="Arial"/>
          <w:b/>
          <w:color w:val="181818" w:themeColor="accent6" w:themeShade="1A"/>
          <w:sz w:val="22"/>
          <w:lang w:val="es-ES_tradnl"/>
        </w:rPr>
      </w:pPr>
    </w:p>
    <w:p w14:paraId="779D26A9" w14:textId="19A98372" w:rsidR="00127AF2" w:rsidRPr="006063B6" w:rsidRDefault="00522C81" w:rsidP="00127AF2">
      <w:pPr>
        <w:jc w:val="both"/>
        <w:rPr>
          <w:rFonts w:ascii="Arial" w:eastAsia="Calibri" w:hAnsi="Arial" w:cs="Arial"/>
          <w:b/>
          <w:color w:val="181818" w:themeColor="accent6" w:themeShade="1A"/>
          <w:sz w:val="22"/>
          <w:lang w:val="es-ES_tradnl"/>
        </w:rPr>
      </w:pPr>
      <w:r w:rsidRPr="006063B6">
        <w:rPr>
          <w:rFonts w:ascii="Arial" w:eastAsia="Calibri" w:hAnsi="Arial" w:cs="Arial"/>
          <w:b/>
          <w:color w:val="181818" w:themeColor="accent6" w:themeShade="1A"/>
          <w:sz w:val="22"/>
          <w:lang w:val="es-ES_tradnl"/>
        </w:rPr>
        <w:t>ESTUDIOS DEL SECTOR</w:t>
      </w:r>
      <w:r w:rsidR="005E1574" w:rsidRPr="006063B6">
        <w:rPr>
          <w:rFonts w:ascii="Arial" w:eastAsia="Calibri" w:hAnsi="Arial" w:cs="Arial"/>
          <w:b/>
          <w:color w:val="181818" w:themeColor="accent6" w:themeShade="1A"/>
          <w:sz w:val="22"/>
          <w:lang w:val="es-ES_tradnl"/>
        </w:rPr>
        <w:t xml:space="preserve"> </w:t>
      </w:r>
      <w:r w:rsidR="00002D94" w:rsidRPr="006063B6">
        <w:rPr>
          <w:rFonts w:ascii="Arial" w:eastAsia="Calibri" w:hAnsi="Arial" w:cs="Arial"/>
          <w:b/>
          <w:color w:val="181818" w:themeColor="accent6" w:themeShade="1A"/>
          <w:sz w:val="22"/>
        </w:rPr>
        <w:t>–</w:t>
      </w:r>
      <w:r w:rsidR="005E1574" w:rsidRPr="006063B6">
        <w:rPr>
          <w:rFonts w:ascii="Arial" w:eastAsia="Calibri" w:hAnsi="Arial" w:cs="Arial"/>
          <w:b/>
          <w:color w:val="181818" w:themeColor="accent6" w:themeShade="1A"/>
          <w:sz w:val="22"/>
          <w:lang w:val="es-ES_tradnl"/>
        </w:rPr>
        <w:t xml:space="preserve"> </w:t>
      </w:r>
      <w:r w:rsidRPr="006063B6">
        <w:rPr>
          <w:rFonts w:ascii="Arial" w:eastAsia="Calibri" w:hAnsi="Arial" w:cs="Arial"/>
          <w:b/>
          <w:color w:val="181818" w:themeColor="accent6" w:themeShade="1A"/>
          <w:sz w:val="22"/>
          <w:lang w:val="es-ES_tradnl"/>
        </w:rPr>
        <w:t xml:space="preserve">Manifestación </w:t>
      </w:r>
      <w:r w:rsidR="00FA4DCC" w:rsidRPr="006063B6">
        <w:rPr>
          <w:rFonts w:ascii="Arial" w:eastAsia="Calibri" w:hAnsi="Arial" w:cs="Arial"/>
          <w:b/>
          <w:color w:val="181818" w:themeColor="accent6" w:themeShade="1A"/>
          <w:sz w:val="22"/>
        </w:rPr>
        <w:t xml:space="preserve">– </w:t>
      </w:r>
      <w:r w:rsidR="000E22DD" w:rsidRPr="006063B6">
        <w:rPr>
          <w:rFonts w:ascii="Arial" w:eastAsia="Calibri" w:hAnsi="Arial" w:cs="Arial"/>
          <w:b/>
          <w:color w:val="181818" w:themeColor="accent6" w:themeShade="1A"/>
          <w:sz w:val="22"/>
          <w:lang w:val="es-ES_tradnl"/>
        </w:rPr>
        <w:t>Principio</w:t>
      </w:r>
      <w:r w:rsidRPr="006063B6">
        <w:rPr>
          <w:rFonts w:ascii="Arial" w:eastAsia="Calibri" w:hAnsi="Arial" w:cs="Arial"/>
          <w:b/>
          <w:color w:val="181818" w:themeColor="accent6" w:themeShade="1A"/>
          <w:sz w:val="22"/>
          <w:lang w:val="es-ES_tradnl"/>
        </w:rPr>
        <w:t xml:space="preserve"> de planeación</w:t>
      </w:r>
      <w:r w:rsidR="00AE491A" w:rsidRPr="006063B6">
        <w:rPr>
          <w:rFonts w:ascii="Arial" w:eastAsia="Calibri" w:hAnsi="Arial" w:cs="Arial"/>
          <w:b/>
          <w:color w:val="181818" w:themeColor="accent6" w:themeShade="1A"/>
          <w:sz w:val="22"/>
          <w:lang w:val="es-ES_tradnl"/>
        </w:rPr>
        <w:t xml:space="preserve"> </w:t>
      </w:r>
    </w:p>
    <w:p w14:paraId="271BC427" w14:textId="77777777" w:rsidR="005E1574" w:rsidRPr="006063B6" w:rsidRDefault="005E1574" w:rsidP="00127AF2">
      <w:pPr>
        <w:jc w:val="both"/>
        <w:rPr>
          <w:rFonts w:ascii="Arial" w:eastAsia="Calibri" w:hAnsi="Arial" w:cs="Arial"/>
          <w:color w:val="181818" w:themeColor="accent6" w:themeShade="1A"/>
          <w:sz w:val="20"/>
          <w:szCs w:val="20"/>
          <w:lang w:val="es-ES_tradnl"/>
        </w:rPr>
      </w:pPr>
    </w:p>
    <w:p w14:paraId="0C2CE1CC" w14:textId="4D591C27" w:rsidR="0095402D" w:rsidRPr="006063B6" w:rsidRDefault="00321169" w:rsidP="389A21D5">
      <w:pPr>
        <w:tabs>
          <w:tab w:val="left" w:pos="426"/>
        </w:tabs>
        <w:spacing w:after="120"/>
        <w:jc w:val="both"/>
        <w:rPr>
          <w:rFonts w:ascii="Arial" w:eastAsia="Calibri" w:hAnsi="Arial" w:cs="Arial"/>
          <w:color w:val="181818" w:themeColor="accent6" w:themeShade="1A"/>
          <w:sz w:val="20"/>
          <w:szCs w:val="20"/>
          <w:lang w:val="es-ES"/>
        </w:rPr>
      </w:pPr>
      <w:r w:rsidRPr="006063B6">
        <w:rPr>
          <w:rFonts w:ascii="Arial" w:eastAsia="Calibri" w:hAnsi="Arial" w:cs="Arial"/>
          <w:color w:val="181818" w:themeColor="accent6" w:themeShade="1A"/>
          <w:sz w:val="20"/>
          <w:szCs w:val="20"/>
          <w:lang w:val="es-ES"/>
        </w:rPr>
        <w:t xml:space="preserve">[…] </w:t>
      </w:r>
      <w:r w:rsidR="59BDB65A" w:rsidRPr="006063B6">
        <w:rPr>
          <w:rFonts w:ascii="Arial" w:eastAsia="Calibri" w:hAnsi="Arial" w:cs="Arial"/>
          <w:color w:val="181818" w:themeColor="accent6" w:themeShade="1A"/>
          <w:sz w:val="20"/>
          <w:szCs w:val="20"/>
          <w:lang w:val="es-ES"/>
        </w:rPr>
        <w:t>l</w:t>
      </w:r>
      <w:r w:rsidR="0034322C" w:rsidRPr="006063B6">
        <w:rPr>
          <w:rFonts w:ascii="Arial" w:eastAsia="Calibri" w:hAnsi="Arial" w:cs="Arial"/>
          <w:color w:val="181818" w:themeColor="accent6" w:themeShade="1A"/>
          <w:sz w:val="20"/>
          <w:szCs w:val="20"/>
          <w:lang w:val="es-ES"/>
        </w:rPr>
        <w:t xml:space="preserve">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a la hora de determinar los requisitos habilitantes, entre otros. Desde una perspectiva financiera, el análisis conlleva una revisión de las características financieras que se presentan dentro del mercado del bien o servicio, </w:t>
      </w:r>
      <w:proofErr w:type="gramStart"/>
      <w:r w:rsidR="0034322C" w:rsidRPr="006063B6">
        <w:rPr>
          <w:rFonts w:ascii="Arial" w:eastAsia="Calibri" w:hAnsi="Arial" w:cs="Arial"/>
          <w:color w:val="181818" w:themeColor="accent6" w:themeShade="1A"/>
          <w:sz w:val="20"/>
          <w:szCs w:val="20"/>
          <w:lang w:val="es-ES"/>
        </w:rPr>
        <w:t>como</w:t>
      </w:r>
      <w:proofErr w:type="gramEnd"/>
      <w:r w:rsidR="0034322C" w:rsidRPr="006063B6">
        <w:rPr>
          <w:rFonts w:ascii="Arial" w:eastAsia="Calibri" w:hAnsi="Arial" w:cs="Arial"/>
          <w:color w:val="181818" w:themeColor="accent6" w:themeShade="1A"/>
          <w:sz w:val="20"/>
          <w:szCs w:val="20"/>
          <w:lang w:val="es-ES"/>
        </w:rPr>
        <w:t xml:space="preserve"> por ejemplo, el índice de endeudamiento que tienen las empresas o personas naturales que ofrecen dicho bien o servicio. Con la perspectiva organizacional se pretende que la </w:t>
      </w:r>
      <w:r w:rsidR="007A2F81" w:rsidRPr="006063B6">
        <w:rPr>
          <w:rFonts w:ascii="Arial" w:eastAsia="Calibri" w:hAnsi="Arial" w:cs="Arial"/>
          <w:color w:val="181818" w:themeColor="accent6" w:themeShade="1A"/>
          <w:sz w:val="20"/>
          <w:szCs w:val="20"/>
          <w:lang w:val="es-ES"/>
        </w:rPr>
        <w:t>e</w:t>
      </w:r>
      <w:r w:rsidR="0034322C" w:rsidRPr="006063B6">
        <w:rPr>
          <w:rFonts w:ascii="Arial" w:eastAsia="Calibri" w:hAnsi="Arial" w:cs="Arial"/>
          <w:color w:val="181818" w:themeColor="accent6" w:themeShade="1A"/>
          <w:sz w:val="20"/>
          <w:szCs w:val="20"/>
          <w:lang w:val="es-ES"/>
        </w:rPr>
        <w:t xml:space="preserve">ntidad </w:t>
      </w:r>
      <w:r w:rsidR="007A2F81" w:rsidRPr="006063B6">
        <w:rPr>
          <w:rFonts w:ascii="Arial" w:eastAsia="Calibri" w:hAnsi="Arial" w:cs="Arial"/>
          <w:color w:val="181818" w:themeColor="accent6" w:themeShade="1A"/>
          <w:sz w:val="20"/>
          <w:szCs w:val="20"/>
          <w:lang w:val="es-ES"/>
        </w:rPr>
        <w:t>e</w:t>
      </w:r>
      <w:r w:rsidR="0034322C" w:rsidRPr="006063B6">
        <w:rPr>
          <w:rFonts w:ascii="Arial" w:eastAsia="Calibri" w:hAnsi="Arial" w:cs="Arial"/>
          <w:color w:val="181818" w:themeColor="accent6" w:themeShade="1A"/>
          <w:sz w:val="20"/>
          <w:szCs w:val="20"/>
          <w:lang w:val="es-ES"/>
        </w:rPr>
        <w:t>statal entienda cómo están organizados internamente los posibles oferentes y de qué manera realizan sus negocios y operaciones.</w:t>
      </w:r>
    </w:p>
    <w:p w14:paraId="5245D671" w14:textId="6C476FA6" w:rsidR="0095402D" w:rsidRPr="006063B6" w:rsidRDefault="0034322C" w:rsidP="000E22DD">
      <w:pPr>
        <w:tabs>
          <w:tab w:val="left" w:pos="426"/>
        </w:tabs>
        <w:jc w:val="both"/>
        <w:rPr>
          <w:rFonts w:ascii="Arial" w:eastAsia="Calibri" w:hAnsi="Arial" w:cs="Arial"/>
          <w:color w:val="181818" w:themeColor="accent6" w:themeShade="1A"/>
          <w:sz w:val="20"/>
          <w:lang w:val="es-ES_tradnl"/>
        </w:rPr>
      </w:pPr>
      <w:r w:rsidRPr="006063B6">
        <w:rPr>
          <w:rFonts w:ascii="Arial" w:eastAsia="Calibri" w:hAnsi="Arial" w:cs="Arial"/>
          <w:color w:val="181818" w:themeColor="accent6" w:themeShade="1A"/>
          <w:sz w:val="20"/>
          <w:lang w:val="es-ES_tradnl"/>
        </w:rPr>
        <w:t>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0B931384" w14:textId="224F21CD" w:rsidR="00E63134" w:rsidRPr="006063B6" w:rsidRDefault="00E63134" w:rsidP="000E22DD">
      <w:pPr>
        <w:tabs>
          <w:tab w:val="left" w:pos="426"/>
        </w:tabs>
        <w:jc w:val="both"/>
        <w:rPr>
          <w:rFonts w:ascii="Arial" w:eastAsia="Calibri" w:hAnsi="Arial" w:cs="Arial"/>
          <w:color w:val="181818" w:themeColor="accent6" w:themeShade="1A"/>
          <w:sz w:val="20"/>
          <w:lang w:val="es-ES_tradnl"/>
        </w:rPr>
      </w:pPr>
    </w:p>
    <w:p w14:paraId="50D08AD1" w14:textId="2EF33A48" w:rsidR="00E63134" w:rsidRPr="006063B6" w:rsidRDefault="00E63134" w:rsidP="0095402D">
      <w:pPr>
        <w:tabs>
          <w:tab w:val="left" w:pos="426"/>
        </w:tabs>
        <w:spacing w:after="120"/>
        <w:jc w:val="both"/>
        <w:rPr>
          <w:rFonts w:ascii="Arial" w:eastAsia="Calibri" w:hAnsi="Arial" w:cs="Arial"/>
          <w:b/>
          <w:bCs/>
          <w:color w:val="181818" w:themeColor="accent6" w:themeShade="1A"/>
          <w:sz w:val="22"/>
          <w:szCs w:val="24"/>
          <w:lang w:val="es-ES_tradnl"/>
        </w:rPr>
      </w:pPr>
      <w:r w:rsidRPr="006063B6">
        <w:rPr>
          <w:rFonts w:ascii="Arial" w:eastAsia="Calibri" w:hAnsi="Arial" w:cs="Arial"/>
          <w:b/>
          <w:bCs/>
          <w:color w:val="181818" w:themeColor="accent6" w:themeShade="1A"/>
          <w:sz w:val="22"/>
          <w:szCs w:val="24"/>
          <w:lang w:val="es-ES_tradnl"/>
        </w:rPr>
        <w:t>DOCUMENTOS TIPO – Requisitos habilitantes – Inalterabilidad</w:t>
      </w:r>
    </w:p>
    <w:p w14:paraId="09C3FF26" w14:textId="127782F8" w:rsidR="00E63134" w:rsidRPr="006063B6" w:rsidRDefault="00E63134" w:rsidP="00E63134">
      <w:pPr>
        <w:tabs>
          <w:tab w:val="left" w:pos="426"/>
        </w:tabs>
        <w:spacing w:after="120"/>
        <w:jc w:val="both"/>
        <w:rPr>
          <w:rFonts w:ascii="Arial" w:eastAsia="Calibri" w:hAnsi="Arial" w:cs="Arial"/>
          <w:color w:val="181818" w:themeColor="accent6" w:themeShade="1A"/>
          <w:sz w:val="20"/>
          <w:lang w:val="es-CO"/>
        </w:rPr>
      </w:pPr>
      <w:r w:rsidRPr="006063B6">
        <w:rPr>
          <w:rFonts w:ascii="Arial" w:eastAsia="Calibri" w:hAnsi="Arial" w:cs="Arial"/>
          <w:color w:val="181818" w:themeColor="accent6" w:themeShade="1A"/>
          <w:sz w:val="20"/>
          <w:lang w:val="es-ES"/>
        </w:rPr>
        <w:t xml:space="preserve">Los Documentos Tipo estandarizaron los diferentes requisitos habilitantes, estableciendo para los procesos de licitación pública y selección abreviada los siguientes: </w:t>
      </w:r>
      <w:r w:rsidRPr="006063B6">
        <w:rPr>
          <w:rFonts w:ascii="Arial" w:eastAsia="Calibri" w:hAnsi="Arial" w:cs="Arial"/>
          <w:color w:val="181818" w:themeColor="accent6" w:themeShade="1A"/>
          <w:sz w:val="20"/>
          <w:lang w:val="es-CO"/>
        </w:rPr>
        <w:t xml:space="preserve">i) capacidad jurídica; </w:t>
      </w:r>
      <w:proofErr w:type="spellStart"/>
      <w:r w:rsidRPr="006063B6">
        <w:rPr>
          <w:rFonts w:ascii="Arial" w:eastAsia="Calibri" w:hAnsi="Arial" w:cs="Arial"/>
          <w:color w:val="181818" w:themeColor="accent6" w:themeShade="1A"/>
          <w:sz w:val="20"/>
          <w:lang w:val="es-CO"/>
        </w:rPr>
        <w:t>ii</w:t>
      </w:r>
      <w:proofErr w:type="spellEnd"/>
      <w:r w:rsidRPr="006063B6">
        <w:rPr>
          <w:rFonts w:ascii="Arial" w:eastAsia="Calibri" w:hAnsi="Arial" w:cs="Arial"/>
          <w:color w:val="181818" w:themeColor="accent6" w:themeShade="1A"/>
          <w:sz w:val="20"/>
          <w:lang w:val="es-CO"/>
        </w:rPr>
        <w:t xml:space="preserve">) existencia y representación legal; </w:t>
      </w:r>
      <w:proofErr w:type="spellStart"/>
      <w:r w:rsidRPr="006063B6">
        <w:rPr>
          <w:rFonts w:ascii="Arial" w:eastAsia="Calibri" w:hAnsi="Arial" w:cs="Arial"/>
          <w:color w:val="181818" w:themeColor="accent6" w:themeShade="1A"/>
          <w:sz w:val="20"/>
          <w:lang w:val="es-CO"/>
        </w:rPr>
        <w:t>iii</w:t>
      </w:r>
      <w:proofErr w:type="spellEnd"/>
      <w:r w:rsidRPr="006063B6">
        <w:rPr>
          <w:rFonts w:ascii="Arial" w:eastAsia="Calibri" w:hAnsi="Arial" w:cs="Arial"/>
          <w:color w:val="181818" w:themeColor="accent6" w:themeShade="1A"/>
          <w:sz w:val="20"/>
          <w:lang w:val="es-CO"/>
        </w:rPr>
        <w:t xml:space="preserve">) certificación de pagos de seguridad social y aportes legales; </w:t>
      </w:r>
      <w:proofErr w:type="spellStart"/>
      <w:r w:rsidRPr="006063B6">
        <w:rPr>
          <w:rFonts w:ascii="Arial" w:eastAsia="Calibri" w:hAnsi="Arial" w:cs="Arial"/>
          <w:color w:val="181818" w:themeColor="accent6" w:themeShade="1A"/>
          <w:sz w:val="20"/>
          <w:lang w:val="es-CO"/>
        </w:rPr>
        <w:t>iv</w:t>
      </w:r>
      <w:proofErr w:type="spellEnd"/>
      <w:r w:rsidRPr="006063B6">
        <w:rPr>
          <w:rFonts w:ascii="Arial" w:eastAsia="Calibri" w:hAnsi="Arial" w:cs="Arial"/>
          <w:color w:val="181818" w:themeColor="accent6" w:themeShade="1A"/>
          <w:sz w:val="20"/>
          <w:lang w:val="es-CO"/>
        </w:rPr>
        <w:t xml:space="preserve">) experiencia; v) visita al sitio de la obra; vi) capacidad financiera; </w:t>
      </w:r>
      <w:proofErr w:type="spellStart"/>
      <w:r w:rsidRPr="006063B6">
        <w:rPr>
          <w:rFonts w:ascii="Arial" w:eastAsia="Calibri" w:hAnsi="Arial" w:cs="Arial"/>
          <w:color w:val="181818" w:themeColor="accent6" w:themeShade="1A"/>
          <w:sz w:val="20"/>
          <w:lang w:val="es-CO"/>
        </w:rPr>
        <w:t>vii</w:t>
      </w:r>
      <w:proofErr w:type="spellEnd"/>
      <w:r w:rsidRPr="006063B6">
        <w:rPr>
          <w:rFonts w:ascii="Arial" w:eastAsia="Calibri" w:hAnsi="Arial" w:cs="Arial"/>
          <w:color w:val="181818" w:themeColor="accent6" w:themeShade="1A"/>
          <w:sz w:val="20"/>
          <w:lang w:val="es-CO"/>
        </w:rPr>
        <w:t xml:space="preserve">) capital de trabajo; </w:t>
      </w:r>
      <w:proofErr w:type="spellStart"/>
      <w:r w:rsidRPr="006063B6">
        <w:rPr>
          <w:rFonts w:ascii="Arial" w:eastAsia="Calibri" w:hAnsi="Arial" w:cs="Arial"/>
          <w:color w:val="181818" w:themeColor="accent6" w:themeShade="1A"/>
          <w:sz w:val="20"/>
          <w:lang w:val="es-CO"/>
        </w:rPr>
        <w:t>viii</w:t>
      </w:r>
      <w:proofErr w:type="spellEnd"/>
      <w:r w:rsidRPr="006063B6">
        <w:rPr>
          <w:rFonts w:ascii="Arial" w:eastAsia="Calibri" w:hAnsi="Arial" w:cs="Arial"/>
          <w:color w:val="181818" w:themeColor="accent6" w:themeShade="1A"/>
          <w:sz w:val="20"/>
          <w:lang w:val="es-CO"/>
        </w:rPr>
        <w:t xml:space="preserve">) capacidad organizacional; y </w:t>
      </w:r>
      <w:proofErr w:type="spellStart"/>
      <w:r w:rsidRPr="006063B6">
        <w:rPr>
          <w:rFonts w:ascii="Arial" w:eastAsia="Calibri" w:hAnsi="Arial" w:cs="Arial"/>
          <w:color w:val="181818" w:themeColor="accent6" w:themeShade="1A"/>
          <w:sz w:val="20"/>
          <w:lang w:val="es-CO"/>
        </w:rPr>
        <w:t>ix</w:t>
      </w:r>
      <w:proofErr w:type="spellEnd"/>
      <w:r w:rsidRPr="006063B6">
        <w:rPr>
          <w:rFonts w:ascii="Arial" w:eastAsia="Calibri" w:hAnsi="Arial" w:cs="Arial"/>
          <w:color w:val="181818" w:themeColor="accent6" w:themeShade="1A"/>
          <w:sz w:val="20"/>
          <w:lang w:val="es-CO"/>
        </w:rPr>
        <w:t xml:space="preserve">) capacidad residual. Para los procesos de mínima cuantía se fijaron los requisitos de: i) capacidad jurídica; </w:t>
      </w:r>
      <w:proofErr w:type="spellStart"/>
      <w:r w:rsidRPr="006063B6">
        <w:rPr>
          <w:rFonts w:ascii="Arial" w:eastAsia="Calibri" w:hAnsi="Arial" w:cs="Arial"/>
          <w:color w:val="181818" w:themeColor="accent6" w:themeShade="1A"/>
          <w:sz w:val="20"/>
          <w:lang w:val="es-CO"/>
        </w:rPr>
        <w:t>ii</w:t>
      </w:r>
      <w:proofErr w:type="spellEnd"/>
      <w:r w:rsidRPr="006063B6">
        <w:rPr>
          <w:rFonts w:ascii="Arial" w:eastAsia="Calibri" w:hAnsi="Arial" w:cs="Arial"/>
          <w:color w:val="181818" w:themeColor="accent6" w:themeShade="1A"/>
          <w:sz w:val="20"/>
          <w:lang w:val="es-CO"/>
        </w:rPr>
        <w:t xml:space="preserve">) existencia y representación legal; </w:t>
      </w:r>
      <w:proofErr w:type="spellStart"/>
      <w:r w:rsidRPr="006063B6">
        <w:rPr>
          <w:rFonts w:ascii="Arial" w:eastAsia="Calibri" w:hAnsi="Arial" w:cs="Arial"/>
          <w:color w:val="181818" w:themeColor="accent6" w:themeShade="1A"/>
          <w:sz w:val="20"/>
          <w:lang w:val="es-CO"/>
        </w:rPr>
        <w:t>iii</w:t>
      </w:r>
      <w:proofErr w:type="spellEnd"/>
      <w:r w:rsidRPr="006063B6">
        <w:rPr>
          <w:rFonts w:ascii="Arial" w:eastAsia="Calibri" w:hAnsi="Arial" w:cs="Arial"/>
          <w:color w:val="181818" w:themeColor="accent6" w:themeShade="1A"/>
          <w:sz w:val="20"/>
          <w:lang w:val="es-CO"/>
        </w:rPr>
        <w:t xml:space="preserve">) certificación de pagos de seguridad social y aportes legales; </w:t>
      </w:r>
      <w:proofErr w:type="spellStart"/>
      <w:r w:rsidRPr="006063B6">
        <w:rPr>
          <w:rFonts w:ascii="Arial" w:eastAsia="Calibri" w:hAnsi="Arial" w:cs="Arial"/>
          <w:color w:val="181818" w:themeColor="accent6" w:themeShade="1A"/>
          <w:sz w:val="20"/>
          <w:lang w:val="es-CO"/>
        </w:rPr>
        <w:t>iv</w:t>
      </w:r>
      <w:proofErr w:type="spellEnd"/>
      <w:r w:rsidRPr="006063B6">
        <w:rPr>
          <w:rFonts w:ascii="Arial" w:eastAsia="Calibri" w:hAnsi="Arial" w:cs="Arial"/>
          <w:color w:val="181818" w:themeColor="accent6" w:themeShade="1A"/>
          <w:sz w:val="20"/>
          <w:lang w:val="es-CO"/>
        </w:rPr>
        <w:t>) experiencia; v) capacidad financiera; y vi) capacidad residual. Estos requisitos se encuentran detalladamente regulados por los «Documentos Base o Pliegos Tipo» de las modalidades de licitación pública y selección abreviada, al igual que en la «Invitación» desarrollada para procesos de mínima cuantía. Esta regulación abarca desde la cuantificación del requisito exigible, hasta la forma y documentación mediante los que deben ser acreditados por los proponentes, criterios que, se itera, son inmodificables e inalterables por las entidades.</w:t>
      </w:r>
    </w:p>
    <w:p w14:paraId="19D74DD5" w14:textId="114EB927" w:rsidR="00E63134" w:rsidRPr="006063B6" w:rsidRDefault="00E63134" w:rsidP="000E22DD">
      <w:pPr>
        <w:tabs>
          <w:tab w:val="left" w:pos="426"/>
        </w:tabs>
        <w:jc w:val="both"/>
        <w:rPr>
          <w:rFonts w:ascii="Arial" w:eastAsia="Calibri" w:hAnsi="Arial" w:cs="Arial"/>
          <w:color w:val="181818" w:themeColor="accent6" w:themeShade="1A"/>
          <w:sz w:val="20"/>
          <w:lang w:val="es-CO"/>
        </w:rPr>
      </w:pPr>
      <w:r w:rsidRPr="006063B6">
        <w:rPr>
          <w:rFonts w:ascii="Arial" w:eastAsia="Calibri" w:hAnsi="Arial" w:cs="Arial"/>
          <w:color w:val="181818" w:themeColor="accent6" w:themeShade="1A"/>
          <w:sz w:val="20"/>
          <w:lang w:val="es-CO"/>
        </w:rPr>
        <w:t xml:space="preserve">Conforme a lo anterior, los requisitos habilitantes, entre ellos la experiencia, la capacidad financiera y organizacional, al igual que los indicadores financieros y organizacionales, se encuentran determinados por los Documentos Tipo, lo que dada su obligatoria observancia e inalterabilidad, </w:t>
      </w:r>
      <w:r w:rsidRPr="006063B6">
        <w:rPr>
          <w:rFonts w:ascii="Arial" w:eastAsia="Calibri" w:hAnsi="Arial" w:cs="Arial"/>
          <w:color w:val="181818" w:themeColor="accent6" w:themeShade="1A"/>
          <w:sz w:val="20"/>
          <w:lang w:val="es-CO"/>
        </w:rPr>
        <w:lastRenderedPageBreak/>
        <w:t>supone un reducido margen de potestad de las entidades estatales en la configuración de estos requisitos, que necesariamente se traduce una disminución de los esfuerzos que conforme al principio de planeación se imponen para la determinación de los requisitos habilitantes para cada proceso de contratación.</w:t>
      </w:r>
    </w:p>
    <w:p w14:paraId="18AB036D" w14:textId="77777777" w:rsidR="000E22DD" w:rsidRPr="00EA46E7" w:rsidRDefault="000E22DD" w:rsidP="000E22DD">
      <w:pPr>
        <w:tabs>
          <w:tab w:val="left" w:pos="426"/>
        </w:tabs>
        <w:jc w:val="both"/>
        <w:rPr>
          <w:rFonts w:ascii="Arial" w:eastAsia="Calibri" w:hAnsi="Arial" w:cs="Arial"/>
          <w:b/>
          <w:bCs/>
          <w:color w:val="181818" w:themeColor="accent6" w:themeShade="1A"/>
          <w:sz w:val="20"/>
          <w:szCs w:val="20"/>
          <w:lang w:val="es-CO"/>
        </w:rPr>
      </w:pPr>
    </w:p>
    <w:p w14:paraId="05716663" w14:textId="0AA29781" w:rsidR="000E22DD" w:rsidRPr="006063B6" w:rsidRDefault="000E22DD" w:rsidP="589CB948">
      <w:pPr>
        <w:tabs>
          <w:tab w:val="left" w:pos="426"/>
        </w:tabs>
        <w:jc w:val="both"/>
        <w:rPr>
          <w:rFonts w:ascii="Arial" w:eastAsia="Calibri" w:hAnsi="Arial" w:cs="Arial"/>
          <w:b/>
          <w:bCs/>
          <w:color w:val="181818" w:themeColor="accent6" w:themeShade="1A"/>
          <w:sz w:val="22"/>
          <w:lang w:val="es-CO"/>
        </w:rPr>
      </w:pPr>
      <w:r w:rsidRPr="589CB948">
        <w:rPr>
          <w:rFonts w:ascii="Arial" w:eastAsia="Calibri" w:hAnsi="Arial" w:cs="Arial"/>
          <w:b/>
          <w:bCs/>
          <w:color w:val="181818" w:themeColor="accent6" w:themeShade="1A"/>
          <w:sz w:val="22"/>
          <w:lang w:val="es-CO"/>
        </w:rPr>
        <w:t xml:space="preserve">DOCUMENTOS TIPO – Estudio del sector – Determinación </w:t>
      </w:r>
      <w:r w:rsidR="5C15100B" w:rsidRPr="589CB948">
        <w:rPr>
          <w:rFonts w:ascii="Arial" w:eastAsia="Arial" w:hAnsi="Arial" w:cs="Arial"/>
          <w:b/>
          <w:bCs/>
          <w:sz w:val="22"/>
          <w:lang w:val="es-CO"/>
        </w:rPr>
        <w:t>–</w:t>
      </w:r>
      <w:r w:rsidRPr="589CB948">
        <w:rPr>
          <w:rFonts w:ascii="Arial" w:eastAsia="Calibri" w:hAnsi="Arial" w:cs="Arial"/>
          <w:b/>
          <w:bCs/>
          <w:color w:val="181818" w:themeColor="accent6" w:themeShade="1A"/>
          <w:sz w:val="22"/>
          <w:lang w:val="es-CO"/>
        </w:rPr>
        <w:t xml:space="preserve"> </w:t>
      </w:r>
      <w:r w:rsidR="2024CA84" w:rsidRPr="589CB948">
        <w:rPr>
          <w:rFonts w:ascii="Arial" w:eastAsia="Calibri" w:hAnsi="Arial" w:cs="Arial"/>
          <w:b/>
          <w:bCs/>
          <w:color w:val="181818" w:themeColor="accent6" w:themeShade="1A"/>
          <w:sz w:val="22"/>
          <w:lang w:val="es-CO"/>
        </w:rPr>
        <w:t>R</w:t>
      </w:r>
      <w:r w:rsidRPr="589CB948">
        <w:rPr>
          <w:rFonts w:ascii="Arial" w:eastAsia="Calibri" w:hAnsi="Arial" w:cs="Arial"/>
          <w:b/>
          <w:bCs/>
          <w:color w:val="181818" w:themeColor="accent6" w:themeShade="1A"/>
          <w:sz w:val="22"/>
          <w:lang w:val="es-CO"/>
        </w:rPr>
        <w:t>equisitos habilitantes</w:t>
      </w:r>
    </w:p>
    <w:p w14:paraId="5C65E75D" w14:textId="77777777" w:rsidR="000E22DD" w:rsidRPr="006063B6" w:rsidRDefault="000E22DD" w:rsidP="000E22DD">
      <w:pPr>
        <w:tabs>
          <w:tab w:val="left" w:pos="426"/>
        </w:tabs>
        <w:jc w:val="both"/>
        <w:rPr>
          <w:rFonts w:ascii="Arial" w:eastAsia="Calibri" w:hAnsi="Arial" w:cs="Arial"/>
          <w:color w:val="181818" w:themeColor="accent6" w:themeShade="1A"/>
          <w:sz w:val="20"/>
          <w:lang w:val="es-CO"/>
        </w:rPr>
      </w:pPr>
    </w:p>
    <w:p w14:paraId="3FFF7F38" w14:textId="32AD81DE" w:rsidR="000E22DD" w:rsidRPr="006063B6" w:rsidRDefault="000E22DD" w:rsidP="000E22DD">
      <w:pPr>
        <w:tabs>
          <w:tab w:val="left" w:pos="426"/>
        </w:tabs>
        <w:jc w:val="both"/>
        <w:rPr>
          <w:rFonts w:ascii="Arial" w:eastAsia="Calibri" w:hAnsi="Arial" w:cs="Arial"/>
          <w:color w:val="181818" w:themeColor="accent6" w:themeShade="1A"/>
          <w:sz w:val="20"/>
          <w:lang w:val="es-CO"/>
        </w:rPr>
      </w:pPr>
      <w:r w:rsidRPr="006063B6">
        <w:rPr>
          <w:rFonts w:ascii="Arial" w:eastAsia="Calibri" w:hAnsi="Arial" w:cs="Arial"/>
          <w:color w:val="181818" w:themeColor="accent6" w:themeShade="1A"/>
          <w:sz w:val="20"/>
          <w:lang w:val="es-CO"/>
        </w:rPr>
        <w:t xml:space="preserve">En ese entendido, si bien el artículo 2.2.1.1.1.6.2 del Decreto de 2015 establece que uno de los factores en virtud del cual deben determinarse los requisitos habilitantes aplicables para los procesos de contratación es el análisis o estudio del sector económico, tratándose de procesos en los que resulte obligatoria la aplicación de Documentos Tipo, tal determinación </w:t>
      </w:r>
      <w:proofErr w:type="spellStart"/>
      <w:r w:rsidRPr="006063B6">
        <w:rPr>
          <w:rFonts w:ascii="Arial" w:eastAsia="Calibri" w:hAnsi="Arial" w:cs="Arial"/>
          <w:color w:val="181818" w:themeColor="accent6" w:themeShade="1A"/>
          <w:sz w:val="20"/>
          <w:lang w:val="es-CO"/>
        </w:rPr>
        <w:t>esta</w:t>
      </w:r>
      <w:proofErr w:type="spellEnd"/>
      <w:r w:rsidRPr="006063B6">
        <w:rPr>
          <w:rFonts w:ascii="Arial" w:eastAsia="Calibri" w:hAnsi="Arial" w:cs="Arial"/>
          <w:color w:val="181818" w:themeColor="accent6" w:themeShade="1A"/>
          <w:sz w:val="20"/>
          <w:lang w:val="es-CO"/>
        </w:rPr>
        <w:t xml:space="preserve"> vedada a las entidades por cuenta de la obligatoriedad e inalterabilidad de estos requisitos, lo que en virtud de una interpretación integradora de lo dispuesto en el artículo 4 de la Ley 1882 de 2018, </w:t>
      </w:r>
      <w:r w:rsidRPr="006063B6">
        <w:rPr>
          <w:rFonts w:ascii="Arial" w:eastAsia="Calibri" w:hAnsi="Arial" w:cs="Arial"/>
          <w:color w:val="181818" w:themeColor="accent6" w:themeShade="1A"/>
          <w:sz w:val="20"/>
          <w:lang w:val="es-ES"/>
        </w:rPr>
        <w:t xml:space="preserve">2.2.1.2.6.1.4, 2.2.1.2.6.2.3 y 2.2.1.2.6.3.4 del Decreto 1082 de 2015, hace forzoso concluir que </w:t>
      </w:r>
      <w:r w:rsidRPr="006063B6">
        <w:rPr>
          <w:rFonts w:ascii="Arial" w:eastAsia="Calibri" w:hAnsi="Arial" w:cs="Arial"/>
          <w:color w:val="181818" w:themeColor="accent6" w:themeShade="1A"/>
          <w:sz w:val="20"/>
          <w:lang w:val="es-CO"/>
        </w:rPr>
        <w:t>el artículo 2.2.1.1.1.6.2 no es aplicable a los procesos adelantados con Documentos Tipo.</w:t>
      </w:r>
    </w:p>
    <w:p w14:paraId="0F915B3D" w14:textId="77777777" w:rsidR="000E22DD" w:rsidRPr="006063B6" w:rsidRDefault="000E22DD" w:rsidP="000E22DD">
      <w:pPr>
        <w:tabs>
          <w:tab w:val="left" w:pos="426"/>
        </w:tabs>
        <w:jc w:val="both"/>
        <w:rPr>
          <w:rFonts w:ascii="Arial" w:eastAsia="Calibri" w:hAnsi="Arial" w:cs="Arial"/>
          <w:b/>
          <w:bCs/>
          <w:color w:val="181818" w:themeColor="accent6" w:themeShade="1A"/>
          <w:sz w:val="22"/>
          <w:szCs w:val="24"/>
          <w:lang w:val="es-CO"/>
        </w:rPr>
      </w:pPr>
    </w:p>
    <w:p w14:paraId="455BE1A3" w14:textId="2F3140D8" w:rsidR="000E22DD" w:rsidRPr="006063B6" w:rsidRDefault="000E22DD" w:rsidP="000E22DD">
      <w:pPr>
        <w:tabs>
          <w:tab w:val="left" w:pos="426"/>
        </w:tabs>
        <w:jc w:val="both"/>
        <w:rPr>
          <w:rFonts w:ascii="Arial" w:eastAsia="Calibri" w:hAnsi="Arial" w:cs="Arial"/>
          <w:b/>
          <w:bCs/>
          <w:color w:val="181818" w:themeColor="accent6" w:themeShade="1A"/>
          <w:sz w:val="22"/>
          <w:szCs w:val="24"/>
          <w:lang w:val="es-CO"/>
        </w:rPr>
      </w:pPr>
      <w:r w:rsidRPr="006063B6">
        <w:rPr>
          <w:rFonts w:ascii="Arial" w:eastAsia="Calibri" w:hAnsi="Arial" w:cs="Arial"/>
          <w:b/>
          <w:bCs/>
          <w:color w:val="181818" w:themeColor="accent6" w:themeShade="1A"/>
          <w:sz w:val="22"/>
          <w:szCs w:val="24"/>
          <w:lang w:val="es-CO"/>
        </w:rPr>
        <w:t>ESTUDIO DEL SECTOR – Finalidad</w:t>
      </w:r>
    </w:p>
    <w:p w14:paraId="7FD96F50" w14:textId="77777777" w:rsidR="000E22DD" w:rsidRPr="006063B6" w:rsidRDefault="000E22DD" w:rsidP="000E22DD">
      <w:pPr>
        <w:tabs>
          <w:tab w:val="left" w:pos="426"/>
        </w:tabs>
        <w:jc w:val="both"/>
        <w:rPr>
          <w:rFonts w:ascii="Arial" w:eastAsia="Calibri" w:hAnsi="Arial" w:cs="Arial"/>
          <w:color w:val="181818" w:themeColor="accent6" w:themeShade="1A"/>
          <w:sz w:val="20"/>
          <w:lang w:val="es-CO"/>
        </w:rPr>
      </w:pPr>
    </w:p>
    <w:p w14:paraId="4DEF6D48" w14:textId="5469F499" w:rsidR="000E22DD" w:rsidRPr="006063B6" w:rsidRDefault="000E22DD" w:rsidP="000E22DD">
      <w:pPr>
        <w:tabs>
          <w:tab w:val="left" w:pos="426"/>
        </w:tabs>
        <w:spacing w:after="120"/>
        <w:jc w:val="both"/>
        <w:rPr>
          <w:rFonts w:ascii="Arial" w:eastAsia="Calibri" w:hAnsi="Arial" w:cs="Arial"/>
          <w:color w:val="181818" w:themeColor="accent6" w:themeShade="1A"/>
          <w:sz w:val="20"/>
        </w:rPr>
      </w:pPr>
      <w:r w:rsidRPr="006063B6">
        <w:rPr>
          <w:rFonts w:ascii="Arial" w:eastAsia="Calibri" w:hAnsi="Arial" w:cs="Arial"/>
          <w:color w:val="181818" w:themeColor="accent6" w:themeShade="1A"/>
          <w:sz w:val="20"/>
          <w:lang w:val="es-CO"/>
        </w:rPr>
        <w:t xml:space="preserve">En conclusión, análisis del sector debe ser visto desde una perspectiva funcional, como una labor enfocada a situar la adquisición de bienes y servicios por parte de entidades estatales dentro de las condiciones del mercado del sector en el que serán adquiridos, la cual constituye una aplicación de los principios de planeación y economía. Dicha labor debe evidenciarse de manera palpable en los </w:t>
      </w:r>
      <w:r w:rsidRPr="006063B6">
        <w:rPr>
          <w:rFonts w:ascii="Arial" w:eastAsia="Calibri" w:hAnsi="Arial" w:cs="Arial"/>
          <w:i/>
          <w:iCs/>
          <w:color w:val="181818" w:themeColor="accent6" w:themeShade="1A"/>
          <w:sz w:val="20"/>
          <w:lang w:val="es-CO"/>
        </w:rPr>
        <w:t>Documentos del Proceso</w:t>
      </w:r>
      <w:r w:rsidRPr="006063B6">
        <w:rPr>
          <w:rFonts w:ascii="Arial" w:eastAsia="Calibri" w:hAnsi="Arial" w:cs="Arial"/>
          <w:color w:val="181818" w:themeColor="accent6" w:themeShade="1A"/>
          <w:sz w:val="20"/>
          <w:lang w:val="es-CO"/>
        </w:rPr>
        <w:t xml:space="preserve">, ya sea dentro de los estudios previos, como documento autónomo o dentro de alguno de los soportes del proceso de contratación, abarcando los campos legal, comercial, financiero, organizacional, técnico y de riesgos, de conformidad con el artículo </w:t>
      </w:r>
      <w:r w:rsidRPr="006063B6">
        <w:rPr>
          <w:rFonts w:ascii="Arial" w:eastAsia="Calibri" w:hAnsi="Arial" w:cs="Arial"/>
          <w:color w:val="181818" w:themeColor="accent6" w:themeShade="1A"/>
          <w:sz w:val="20"/>
        </w:rPr>
        <w:t>2.2.1.1.1.6.1 del Decreto 1082 del 2015.</w:t>
      </w:r>
    </w:p>
    <w:p w14:paraId="75403520" w14:textId="77777777" w:rsidR="000E22DD" w:rsidRPr="006063B6" w:rsidRDefault="000E22DD" w:rsidP="000E22DD">
      <w:pPr>
        <w:tabs>
          <w:tab w:val="left" w:pos="426"/>
        </w:tabs>
        <w:jc w:val="both"/>
        <w:rPr>
          <w:rFonts w:ascii="Arial" w:eastAsia="Calibri" w:hAnsi="Arial" w:cs="Arial"/>
          <w:bCs/>
          <w:color w:val="181818" w:themeColor="accent6" w:themeShade="1A"/>
          <w:sz w:val="20"/>
          <w:lang w:val="es-ES_tradnl"/>
        </w:rPr>
      </w:pPr>
      <w:r w:rsidRPr="006063B6">
        <w:rPr>
          <w:rFonts w:ascii="Arial" w:eastAsia="Calibri" w:hAnsi="Arial" w:cs="Arial"/>
          <w:color w:val="181818" w:themeColor="accent6" w:themeShade="1A"/>
          <w:sz w:val="20"/>
        </w:rPr>
        <w:t xml:space="preserve">En ese orden, el análisis del sector sirve de sustento a la decisión de </w:t>
      </w:r>
      <w:r w:rsidRPr="006063B6">
        <w:rPr>
          <w:rFonts w:ascii="Arial" w:eastAsia="Calibri" w:hAnsi="Arial" w:cs="Arial"/>
          <w:bCs/>
          <w:color w:val="181818" w:themeColor="accent6" w:themeShade="1A"/>
          <w:sz w:val="20"/>
          <w:lang w:val="es-ES_tradnl"/>
        </w:rPr>
        <w:t>realizar un proceso de contratación desde el punto de vista de la eficiencia, eficacia y economía, ya que parte de un estudio del sector donde realizara la contratación desde una perspectiva multidisciplinaria, que implica un estudio de la oferta y la demanda que permite identificar los factores que inciden en el valor del contrato, tales como el análisis de precios, las cargas tributarias, la tasa de cambio, las garantías, los gastos de transporte, etc. En últimas, el estudio o análisis del sector permite a las entidades entender el mercado del bien, obra o servicio que pretenden adquirir, obteniendo información valiosa para el diseño del proceso.</w:t>
      </w:r>
    </w:p>
    <w:p w14:paraId="1C168DAA" w14:textId="77777777" w:rsidR="000E22DD" w:rsidRPr="006063B6" w:rsidRDefault="000E22DD" w:rsidP="000E22DD">
      <w:pPr>
        <w:tabs>
          <w:tab w:val="left" w:pos="426"/>
        </w:tabs>
        <w:jc w:val="both"/>
        <w:rPr>
          <w:rFonts w:ascii="Arial" w:eastAsia="Calibri" w:hAnsi="Arial" w:cs="Arial"/>
          <w:color w:val="181818" w:themeColor="accent6" w:themeShade="1A"/>
          <w:sz w:val="20"/>
          <w:lang w:val="es-ES_tradnl"/>
        </w:rPr>
      </w:pPr>
    </w:p>
    <w:p w14:paraId="73A1843C" w14:textId="0180B13C" w:rsidR="000E22DD" w:rsidRDefault="000E22DD" w:rsidP="589CB948">
      <w:pPr>
        <w:spacing w:after="120"/>
        <w:jc w:val="both"/>
        <w:rPr>
          <w:rFonts w:ascii="Arial" w:eastAsia="Calibri" w:hAnsi="Arial" w:cs="Arial"/>
          <w:b/>
          <w:bCs/>
          <w:color w:val="181818" w:themeColor="accent6" w:themeShade="1A"/>
          <w:sz w:val="22"/>
          <w:lang w:val="es-CO"/>
        </w:rPr>
      </w:pPr>
      <w:r w:rsidRPr="589CB948">
        <w:rPr>
          <w:rFonts w:ascii="Arial" w:eastAsia="Calibri" w:hAnsi="Arial" w:cs="Arial"/>
          <w:b/>
          <w:bCs/>
          <w:color w:val="181818" w:themeColor="accent6" w:themeShade="1A"/>
          <w:sz w:val="22"/>
          <w:lang w:val="es-CO"/>
        </w:rPr>
        <w:t xml:space="preserve">ESTUDIO DEL SECTOR – </w:t>
      </w:r>
      <w:r w:rsidR="671F3AD3" w:rsidRPr="589CB948">
        <w:rPr>
          <w:rFonts w:ascii="Arial" w:eastAsia="Calibri" w:hAnsi="Arial" w:cs="Arial"/>
          <w:b/>
          <w:bCs/>
          <w:color w:val="181818" w:themeColor="accent6" w:themeShade="1A"/>
          <w:sz w:val="22"/>
          <w:lang w:val="es-CO"/>
        </w:rPr>
        <w:t xml:space="preserve">Procesos de contratación </w:t>
      </w:r>
      <w:r w:rsidR="671F3AD3" w:rsidRPr="589CB948">
        <w:rPr>
          <w:rFonts w:ascii="Arial" w:eastAsia="Arial" w:hAnsi="Arial" w:cs="Arial"/>
          <w:b/>
          <w:bCs/>
          <w:sz w:val="22"/>
          <w:lang w:val="es-CO"/>
        </w:rPr>
        <w:t>–</w:t>
      </w:r>
      <w:r w:rsidR="671F3AD3" w:rsidRPr="589CB948">
        <w:rPr>
          <w:rFonts w:ascii="Arial" w:eastAsia="Calibri" w:hAnsi="Arial" w:cs="Arial"/>
          <w:b/>
          <w:bCs/>
          <w:color w:val="181818" w:themeColor="accent6" w:themeShade="1A"/>
          <w:sz w:val="22"/>
          <w:lang w:val="es-CO"/>
        </w:rPr>
        <w:t xml:space="preserve"> Documentos Tipo </w:t>
      </w:r>
      <w:r w:rsidR="671F3AD3" w:rsidRPr="589CB948">
        <w:rPr>
          <w:rFonts w:ascii="Arial" w:eastAsia="Arial" w:hAnsi="Arial" w:cs="Arial"/>
          <w:b/>
          <w:bCs/>
          <w:sz w:val="22"/>
          <w:lang w:val="es-CO"/>
        </w:rPr>
        <w:t>–</w:t>
      </w:r>
      <w:r w:rsidR="671F3AD3" w:rsidRPr="589CB948">
        <w:rPr>
          <w:rFonts w:ascii="Arial" w:eastAsia="Calibri" w:hAnsi="Arial" w:cs="Arial"/>
          <w:b/>
          <w:bCs/>
          <w:color w:val="181818" w:themeColor="accent6" w:themeShade="1A"/>
          <w:sz w:val="22"/>
          <w:lang w:val="es-CO"/>
        </w:rPr>
        <w:t xml:space="preserve"> </w:t>
      </w:r>
      <w:r w:rsidRPr="589CB948">
        <w:rPr>
          <w:rFonts w:ascii="Arial" w:eastAsia="Calibri" w:hAnsi="Arial" w:cs="Arial"/>
          <w:b/>
          <w:bCs/>
          <w:color w:val="181818" w:themeColor="accent6" w:themeShade="1A"/>
          <w:sz w:val="22"/>
          <w:lang w:val="es-CO"/>
        </w:rPr>
        <w:t xml:space="preserve">Alcance </w:t>
      </w:r>
    </w:p>
    <w:p w14:paraId="36F412FC" w14:textId="67761D74" w:rsidR="000E22DD" w:rsidRPr="006063B6" w:rsidRDefault="000E22DD" w:rsidP="000E22DD">
      <w:pPr>
        <w:tabs>
          <w:tab w:val="left" w:pos="426"/>
        </w:tabs>
        <w:spacing w:after="120"/>
        <w:jc w:val="both"/>
        <w:rPr>
          <w:rFonts w:ascii="Arial" w:eastAsia="Calibri" w:hAnsi="Arial" w:cs="Arial"/>
          <w:color w:val="181818" w:themeColor="accent6" w:themeShade="1A"/>
          <w:sz w:val="20"/>
        </w:rPr>
      </w:pPr>
      <w:r w:rsidRPr="006063B6">
        <w:rPr>
          <w:rFonts w:ascii="Arial" w:eastAsia="Calibri" w:hAnsi="Arial" w:cs="Arial"/>
          <w:color w:val="181818" w:themeColor="accent6" w:themeShade="1A"/>
          <w:sz w:val="20"/>
        </w:rPr>
        <w:t xml:space="preserve">[…] los procedimientos para selección de contratistas de obra pública de infraestructura de transporte en las modalidades de licitación pública, selección abreviada de menor cuantía y mínima cuantía adelantados con Documentos Tipo, a pesar de contar requisitos habilitantes e índices financieros previamente acotados por dichos documentos, con efectos obligatorios y carácter inalterable, no se encuentran exentos de la obligación de realizar un análisis del sector en el que tendrá lugar la contratación, para lo cual deberán necesariamente abordar los campos a los que se refiere </w:t>
      </w:r>
      <w:r w:rsidRPr="006063B6">
        <w:rPr>
          <w:rFonts w:ascii="Arial" w:eastAsia="Calibri" w:hAnsi="Arial" w:cs="Arial"/>
          <w:color w:val="181818" w:themeColor="accent6" w:themeShade="1A"/>
          <w:sz w:val="20"/>
          <w:lang w:val="es-CO"/>
        </w:rPr>
        <w:t xml:space="preserve">el artículo </w:t>
      </w:r>
      <w:r w:rsidRPr="006063B6">
        <w:rPr>
          <w:rFonts w:ascii="Arial" w:eastAsia="Calibri" w:hAnsi="Arial" w:cs="Arial"/>
          <w:color w:val="181818" w:themeColor="accent6" w:themeShade="1A"/>
          <w:sz w:val="20"/>
        </w:rPr>
        <w:t xml:space="preserve">2.2.1.1.1.6.1 del Decreto 1082 del 2015, evidenciando dicho análisis dentro de los </w:t>
      </w:r>
      <w:r w:rsidRPr="006063B6">
        <w:rPr>
          <w:rFonts w:ascii="Arial" w:eastAsia="Calibri" w:hAnsi="Arial" w:cs="Arial"/>
          <w:i/>
          <w:iCs/>
          <w:color w:val="181818" w:themeColor="accent6" w:themeShade="1A"/>
          <w:sz w:val="20"/>
        </w:rPr>
        <w:t>Documentos del Proceso.</w:t>
      </w:r>
      <w:r w:rsidRPr="006063B6">
        <w:rPr>
          <w:rFonts w:ascii="Arial" w:eastAsia="Calibri" w:hAnsi="Arial" w:cs="Arial"/>
          <w:color w:val="181818" w:themeColor="accent6" w:themeShade="1A"/>
          <w:sz w:val="20"/>
        </w:rPr>
        <w:t xml:space="preserve"> </w:t>
      </w:r>
    </w:p>
    <w:p w14:paraId="46FC6619" w14:textId="209AD521" w:rsidR="00F1108B" w:rsidRPr="006063B6" w:rsidRDefault="000E22DD" w:rsidP="00EA46E7">
      <w:pPr>
        <w:tabs>
          <w:tab w:val="left" w:pos="426"/>
        </w:tabs>
        <w:jc w:val="both"/>
        <w:rPr>
          <w:rFonts w:ascii="Arial" w:eastAsia="Calibri" w:hAnsi="Arial" w:cs="Arial"/>
          <w:color w:val="181818" w:themeColor="accent6" w:themeShade="1A"/>
          <w:sz w:val="20"/>
          <w:lang w:val="es-ES_tradnl"/>
        </w:rPr>
      </w:pPr>
      <w:r w:rsidRPr="006063B6">
        <w:rPr>
          <w:rFonts w:ascii="Arial" w:eastAsia="Calibri" w:hAnsi="Arial" w:cs="Arial"/>
          <w:color w:val="181818" w:themeColor="accent6" w:themeShade="1A"/>
          <w:sz w:val="20"/>
        </w:rPr>
        <w:t xml:space="preserve">La información producto de este análisis, si bien no le servirá a las entidades para determinar los requisitos habilitantes e índices financieros, si permitirá por ejemplo tener un antecedente del compromiso presupuestal que involucra el contrato, realizar el análisis de los riesgos, determinar si una oferta contienes precios artificialmente bajos, sustentar la escogencia de los factores de calidad, determinar la posibilidad de que en un proceso los proponentes acrediten la experiencia de los </w:t>
      </w:r>
      <w:r w:rsidRPr="006063B6">
        <w:rPr>
          <w:rFonts w:ascii="Arial" w:eastAsia="Calibri" w:hAnsi="Arial" w:cs="Arial"/>
          <w:color w:val="181818" w:themeColor="accent6" w:themeShade="1A"/>
          <w:sz w:val="20"/>
        </w:rPr>
        <w:lastRenderedPageBreak/>
        <w:t>integrantes de su grupo empresarial o la necesidad de exigir garantías en los procesos de mínima cuantía.</w:t>
      </w:r>
    </w:p>
    <w:p w14:paraId="05A95112" w14:textId="6D75D9ED" w:rsidR="008C3363" w:rsidRDefault="008C3363" w:rsidP="00EA46E7">
      <w:pPr>
        <w:autoSpaceDE w:val="0"/>
        <w:autoSpaceDN w:val="0"/>
        <w:adjustRightInd w:val="0"/>
        <w:rPr>
          <w:rFonts w:ascii="Arial" w:hAnsi="Arial" w:cs="Arial"/>
          <w:color w:val="000000"/>
          <w:sz w:val="20"/>
          <w:szCs w:val="20"/>
          <w:lang w:val="es-CO"/>
        </w:rPr>
      </w:pPr>
    </w:p>
    <w:p w14:paraId="5D365660" w14:textId="77777777" w:rsidR="00EA46E7" w:rsidRPr="00EA46E7" w:rsidRDefault="00EA46E7" w:rsidP="00EA46E7">
      <w:pPr>
        <w:autoSpaceDE w:val="0"/>
        <w:autoSpaceDN w:val="0"/>
        <w:adjustRightInd w:val="0"/>
        <w:rPr>
          <w:rFonts w:ascii="Arial" w:hAnsi="Arial" w:cs="Arial"/>
          <w:color w:val="000000"/>
          <w:sz w:val="20"/>
          <w:szCs w:val="20"/>
          <w:lang w:val="es-CO"/>
        </w:rPr>
      </w:pPr>
    </w:p>
    <w:p w14:paraId="4B97CD95" w14:textId="089C95B1" w:rsidR="008C3363" w:rsidRPr="008C3363" w:rsidRDefault="008C3363" w:rsidP="00EA46E7">
      <w:pPr>
        <w:autoSpaceDE w:val="0"/>
        <w:autoSpaceDN w:val="0"/>
        <w:adjustRightInd w:val="0"/>
        <w:rPr>
          <w:rFonts w:ascii="Arial" w:hAnsi="Arial" w:cs="Arial"/>
          <w:color w:val="000000"/>
          <w:sz w:val="22"/>
          <w:lang w:val="es-CO"/>
        </w:rPr>
      </w:pPr>
      <w:r w:rsidRPr="008C3363">
        <w:rPr>
          <w:rFonts w:ascii="Arial" w:hAnsi="Arial" w:cs="Arial"/>
          <w:color w:val="000000"/>
          <w:sz w:val="22"/>
          <w:lang w:val="es-CO"/>
        </w:rPr>
        <w:t xml:space="preserve">Bogotá D.C., </w:t>
      </w:r>
      <w:r w:rsidRPr="008C3363">
        <w:rPr>
          <w:rFonts w:ascii="Arial" w:hAnsi="Arial" w:cs="Arial"/>
          <w:b/>
          <w:bCs/>
          <w:color w:val="000000"/>
          <w:sz w:val="22"/>
          <w:lang w:val="es-CO"/>
        </w:rPr>
        <w:t xml:space="preserve">07/07/2020 Hora 16:35:35s </w:t>
      </w:r>
    </w:p>
    <w:p w14:paraId="4F858A68" w14:textId="19B6AB81" w:rsidR="0061108C" w:rsidRPr="006063B6" w:rsidRDefault="008C3363" w:rsidP="008C3363">
      <w:pPr>
        <w:jc w:val="right"/>
        <w:rPr>
          <w:rFonts w:ascii="Arial" w:hAnsi="Arial" w:cs="Arial"/>
          <w:b/>
          <w:color w:val="181818" w:themeColor="accent6" w:themeShade="1A"/>
          <w:sz w:val="22"/>
        </w:rPr>
      </w:pPr>
      <w:proofErr w:type="spellStart"/>
      <w:r w:rsidRPr="008C3363">
        <w:rPr>
          <w:rFonts w:ascii="Arial" w:hAnsi="Arial" w:cs="Arial"/>
          <w:b/>
          <w:bCs/>
          <w:color w:val="000000"/>
          <w:sz w:val="22"/>
          <w:lang w:val="es-CO"/>
        </w:rPr>
        <w:t>N°</w:t>
      </w:r>
      <w:proofErr w:type="spellEnd"/>
      <w:r w:rsidRPr="008C3363">
        <w:rPr>
          <w:rFonts w:ascii="Arial" w:hAnsi="Arial" w:cs="Arial"/>
          <w:b/>
          <w:bCs/>
          <w:color w:val="000000"/>
          <w:sz w:val="22"/>
          <w:lang w:val="es-CO"/>
        </w:rPr>
        <w:t xml:space="preserve"> Radicado: 2202013000005931</w:t>
      </w:r>
    </w:p>
    <w:p w14:paraId="51422DDA" w14:textId="3CD98EFB" w:rsidR="001350C4" w:rsidRDefault="001350C4" w:rsidP="00F1108B">
      <w:pPr>
        <w:rPr>
          <w:rFonts w:ascii="Arial" w:eastAsia="Calibri" w:hAnsi="Arial" w:cs="Arial"/>
          <w:color w:val="181818" w:themeColor="accent6" w:themeShade="1A"/>
          <w:sz w:val="22"/>
          <w:szCs w:val="20"/>
        </w:rPr>
      </w:pPr>
    </w:p>
    <w:p w14:paraId="1AC01C9C" w14:textId="2FFB2834" w:rsidR="00F1108B" w:rsidRPr="006063B6" w:rsidRDefault="00F1108B" w:rsidP="00F1108B">
      <w:pPr>
        <w:rPr>
          <w:rFonts w:ascii="Arial" w:eastAsia="Calibri" w:hAnsi="Arial" w:cs="Arial"/>
          <w:color w:val="181818" w:themeColor="accent6" w:themeShade="1A"/>
          <w:sz w:val="22"/>
          <w:szCs w:val="20"/>
        </w:rPr>
      </w:pPr>
      <w:r w:rsidRPr="006063B6">
        <w:rPr>
          <w:rFonts w:ascii="Arial" w:eastAsia="Calibri" w:hAnsi="Arial" w:cs="Arial"/>
          <w:color w:val="181818" w:themeColor="accent6" w:themeShade="1A"/>
          <w:sz w:val="22"/>
          <w:szCs w:val="20"/>
        </w:rPr>
        <w:t>Señor</w:t>
      </w:r>
      <w:r w:rsidR="00CA0EEF" w:rsidRPr="006063B6">
        <w:rPr>
          <w:rFonts w:ascii="Arial" w:eastAsia="Calibri" w:hAnsi="Arial" w:cs="Arial"/>
          <w:color w:val="181818" w:themeColor="accent6" w:themeShade="1A"/>
          <w:sz w:val="22"/>
          <w:szCs w:val="20"/>
        </w:rPr>
        <w:t>a</w:t>
      </w:r>
    </w:p>
    <w:p w14:paraId="76D0093E" w14:textId="7114436E" w:rsidR="0061108C" w:rsidRPr="006063B6" w:rsidRDefault="004D42DE" w:rsidP="00F1108B">
      <w:pPr>
        <w:rPr>
          <w:rFonts w:ascii="Arial" w:eastAsia="Calibri" w:hAnsi="Arial" w:cs="Arial"/>
          <w:b/>
          <w:color w:val="181818" w:themeColor="accent6" w:themeShade="1A"/>
          <w:sz w:val="22"/>
          <w:szCs w:val="20"/>
        </w:rPr>
      </w:pPr>
      <w:r w:rsidRPr="006063B6">
        <w:rPr>
          <w:rFonts w:ascii="Arial" w:eastAsia="Calibri" w:hAnsi="Arial" w:cs="Arial"/>
          <w:b/>
          <w:color w:val="181818" w:themeColor="accent6" w:themeShade="1A"/>
          <w:sz w:val="22"/>
          <w:szCs w:val="20"/>
        </w:rPr>
        <w:t>Yanet Ibáñez Angulo</w:t>
      </w:r>
    </w:p>
    <w:p w14:paraId="0C515BDA" w14:textId="0CCAE14A" w:rsidR="00F1108B" w:rsidRPr="006063B6" w:rsidRDefault="004D42DE" w:rsidP="00F1108B">
      <w:pPr>
        <w:rPr>
          <w:rFonts w:ascii="Arial" w:eastAsia="Calibri" w:hAnsi="Arial" w:cs="Arial"/>
          <w:color w:val="181818" w:themeColor="accent6" w:themeShade="1A"/>
          <w:sz w:val="22"/>
          <w:szCs w:val="20"/>
        </w:rPr>
      </w:pPr>
      <w:r w:rsidRPr="006063B6">
        <w:rPr>
          <w:rFonts w:ascii="Arial" w:eastAsia="Calibri" w:hAnsi="Arial" w:cs="Arial"/>
          <w:color w:val="181818" w:themeColor="accent6" w:themeShade="1A"/>
          <w:sz w:val="22"/>
          <w:szCs w:val="20"/>
        </w:rPr>
        <w:t>Cali, Valle del Cauca</w:t>
      </w:r>
    </w:p>
    <w:p w14:paraId="7A74EF0E" w14:textId="5B4FFE45" w:rsidR="001350C4" w:rsidRDefault="001350C4" w:rsidP="00F1108B">
      <w:pPr>
        <w:rPr>
          <w:rFonts w:ascii="Arial" w:eastAsia="Calibri" w:hAnsi="Arial" w:cs="Arial"/>
          <w:color w:val="181818" w:themeColor="accent6" w:themeShade="1A"/>
          <w:sz w:val="22"/>
          <w:szCs w:val="20"/>
        </w:rPr>
      </w:pPr>
    </w:p>
    <w:p w14:paraId="283D6043" w14:textId="07A80C00" w:rsidR="00F1108B" w:rsidRDefault="00F1108B" w:rsidP="00F1108B">
      <w:pPr>
        <w:jc w:val="center"/>
        <w:rPr>
          <w:rFonts w:ascii="Arial" w:eastAsia="Calibri" w:hAnsi="Arial" w:cs="Arial"/>
          <w:b/>
          <w:color w:val="181818" w:themeColor="accent6" w:themeShade="1A"/>
          <w:sz w:val="22"/>
        </w:rPr>
      </w:pPr>
      <w:r w:rsidRPr="00827FA6">
        <w:rPr>
          <w:rFonts w:ascii="Arial" w:eastAsia="Calibri" w:hAnsi="Arial" w:cs="Arial"/>
          <w:b/>
          <w:color w:val="181818" w:themeColor="accent6" w:themeShade="1A"/>
          <w:sz w:val="22"/>
        </w:rPr>
        <w:t xml:space="preserve">Concepto C </w:t>
      </w:r>
      <w:r w:rsidR="0061108C" w:rsidRPr="00827FA6">
        <w:rPr>
          <w:rFonts w:ascii="Arial" w:eastAsia="Calibri" w:hAnsi="Arial" w:cs="Arial"/>
          <w:b/>
          <w:color w:val="181818" w:themeColor="accent6" w:themeShade="1A"/>
          <w:sz w:val="22"/>
        </w:rPr>
        <w:t xml:space="preserve">– </w:t>
      </w:r>
      <w:r w:rsidR="00827FA6" w:rsidRPr="00827FA6">
        <w:rPr>
          <w:rFonts w:ascii="Arial" w:eastAsia="Calibri" w:hAnsi="Arial" w:cs="Arial"/>
          <w:b/>
          <w:color w:val="181818" w:themeColor="accent6" w:themeShade="1A"/>
          <w:sz w:val="22"/>
        </w:rPr>
        <w:t>415</w:t>
      </w:r>
      <w:r w:rsidRPr="00827FA6">
        <w:rPr>
          <w:rFonts w:ascii="Arial" w:eastAsia="Calibri" w:hAnsi="Arial" w:cs="Arial"/>
          <w:b/>
          <w:color w:val="181818" w:themeColor="accent6" w:themeShade="1A"/>
          <w:sz w:val="22"/>
        </w:rPr>
        <w:t xml:space="preserve"> de 2020</w:t>
      </w:r>
    </w:p>
    <w:p w14:paraId="55A2A84E" w14:textId="77777777" w:rsidR="00F1108B" w:rsidRPr="006063B6" w:rsidRDefault="00F1108B" w:rsidP="00F1108B">
      <w:pPr>
        <w:rPr>
          <w:rFonts w:ascii="Arial" w:eastAsia="Calibri" w:hAnsi="Arial" w:cs="Arial"/>
          <w:color w:val="181818" w:themeColor="accent6" w:themeShade="1A"/>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41F7F" w:rsidRPr="006063B6" w14:paraId="522C04FC" w14:textId="77777777" w:rsidTr="0034322C">
        <w:tc>
          <w:tcPr>
            <w:tcW w:w="2689" w:type="dxa"/>
            <w:hideMark/>
          </w:tcPr>
          <w:p w14:paraId="5C1F9A7E" w14:textId="77777777" w:rsidR="00F1108B" w:rsidRPr="006063B6" w:rsidRDefault="00F1108B" w:rsidP="0034322C">
            <w:pPr>
              <w:rPr>
                <w:rFonts w:ascii="Arial" w:eastAsia="Calibri" w:hAnsi="Arial" w:cs="Arial"/>
                <w:color w:val="181818" w:themeColor="accent6" w:themeShade="1A"/>
                <w:sz w:val="22"/>
              </w:rPr>
            </w:pPr>
            <w:r w:rsidRPr="006063B6">
              <w:rPr>
                <w:rFonts w:ascii="Arial" w:eastAsia="Calibri" w:hAnsi="Arial" w:cs="Arial"/>
                <w:b/>
                <w:color w:val="181818" w:themeColor="accent6" w:themeShade="1A"/>
                <w:sz w:val="22"/>
              </w:rPr>
              <w:t>Temas:</w:t>
            </w:r>
            <w:r w:rsidRPr="006063B6">
              <w:rPr>
                <w:rFonts w:ascii="Arial" w:eastAsia="Calibri" w:hAnsi="Arial" w:cs="Arial"/>
                <w:color w:val="181818" w:themeColor="accent6" w:themeShade="1A"/>
                <w:sz w:val="22"/>
              </w:rPr>
              <w:t xml:space="preserve">           </w:t>
            </w:r>
          </w:p>
          <w:p w14:paraId="4376ABAA" w14:textId="77777777" w:rsidR="00F1108B" w:rsidRPr="006063B6" w:rsidRDefault="00F1108B" w:rsidP="0034322C">
            <w:pPr>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 xml:space="preserve">                           </w:t>
            </w:r>
          </w:p>
        </w:tc>
        <w:tc>
          <w:tcPr>
            <w:tcW w:w="6237" w:type="dxa"/>
            <w:hideMark/>
          </w:tcPr>
          <w:p w14:paraId="3AA47512" w14:textId="033E9C54" w:rsidR="00F1108B" w:rsidRPr="006063B6" w:rsidRDefault="006063B6" w:rsidP="00AE491A">
            <w:pPr>
              <w:jc w:val="both"/>
              <w:rPr>
                <w:rFonts w:ascii="Arial" w:eastAsia="Calibri" w:hAnsi="Arial" w:cs="Arial"/>
                <w:color w:val="181818" w:themeColor="accent6" w:themeShade="1A"/>
                <w:sz w:val="22"/>
                <w:lang w:val="es-CO"/>
              </w:rPr>
            </w:pPr>
            <w:r w:rsidRPr="006063B6">
              <w:rPr>
                <w:rFonts w:ascii="Arial" w:eastAsia="Calibri" w:hAnsi="Arial" w:cs="Arial"/>
                <w:color w:val="181818" w:themeColor="accent6" w:themeShade="1A"/>
                <w:sz w:val="22"/>
              </w:rPr>
              <w:t xml:space="preserve">DOCUMENTOS TIPO – Obligatoriedad – Inalterabilidad / </w:t>
            </w:r>
            <w:r w:rsidR="000E22DD" w:rsidRPr="006063B6">
              <w:rPr>
                <w:rFonts w:ascii="Arial" w:eastAsia="Calibri" w:hAnsi="Arial" w:cs="Arial"/>
                <w:color w:val="181818" w:themeColor="accent6" w:themeShade="1A"/>
                <w:sz w:val="22"/>
              </w:rPr>
              <w:t>ESTUDIOS DEL SECTOR – Manifestación – Principio de planeación / DOCUMENTOS TIPO – Requisitos habilitantes – Inalterabilidad / DOCUMENTOS TIPO – Estudio del sector – Determinación de requisitos habilitantes / ESTUDIO DEL SECTOR – Finalidad / ESTUDIO DEL SECTOR – Alcance en procesos con Documento Tipo</w:t>
            </w:r>
          </w:p>
        </w:tc>
      </w:tr>
      <w:tr w:rsidR="0061108C" w:rsidRPr="006063B6" w14:paraId="7D0D2FDB" w14:textId="77777777" w:rsidTr="0034322C">
        <w:tc>
          <w:tcPr>
            <w:tcW w:w="2689" w:type="dxa"/>
          </w:tcPr>
          <w:p w14:paraId="7DC82264" w14:textId="77777777" w:rsidR="00F1108B" w:rsidRPr="006063B6" w:rsidRDefault="00F1108B" w:rsidP="0034322C">
            <w:pPr>
              <w:rPr>
                <w:rFonts w:ascii="Arial" w:eastAsia="Calibri" w:hAnsi="Arial" w:cs="Arial"/>
                <w:b/>
                <w:color w:val="181818" w:themeColor="accent6" w:themeShade="1A"/>
                <w:sz w:val="22"/>
              </w:rPr>
            </w:pPr>
            <w:r w:rsidRPr="006063B6">
              <w:rPr>
                <w:rFonts w:ascii="Arial" w:eastAsia="Calibri" w:hAnsi="Arial" w:cs="Arial"/>
                <w:b/>
                <w:color w:val="181818" w:themeColor="accent6" w:themeShade="1A"/>
                <w:sz w:val="22"/>
              </w:rPr>
              <w:t>Radicación:</w:t>
            </w:r>
            <w:r w:rsidRPr="006063B6">
              <w:rPr>
                <w:rFonts w:ascii="Arial" w:eastAsia="Calibri" w:hAnsi="Arial" w:cs="Arial"/>
                <w:color w:val="181818" w:themeColor="accent6" w:themeShade="1A"/>
                <w:sz w:val="22"/>
              </w:rPr>
              <w:t xml:space="preserve">                              </w:t>
            </w:r>
          </w:p>
        </w:tc>
        <w:tc>
          <w:tcPr>
            <w:tcW w:w="6237" w:type="dxa"/>
          </w:tcPr>
          <w:p w14:paraId="01DC5749" w14:textId="1F9BEB8D" w:rsidR="00F1108B" w:rsidRPr="006063B6" w:rsidRDefault="00F1108B" w:rsidP="007F785F">
            <w:pPr>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 xml:space="preserve">Respuesta a consulta # </w:t>
            </w:r>
            <w:r w:rsidR="00CA0EEF" w:rsidRPr="006063B6">
              <w:rPr>
                <w:rFonts w:ascii="Arial" w:eastAsia="Calibri" w:hAnsi="Arial" w:cs="Arial"/>
                <w:color w:val="181818" w:themeColor="accent6" w:themeShade="1A"/>
                <w:sz w:val="22"/>
              </w:rPr>
              <w:t>420201</w:t>
            </w:r>
            <w:r w:rsidR="004D42DE" w:rsidRPr="006063B6">
              <w:rPr>
                <w:rFonts w:ascii="Arial" w:eastAsia="Calibri" w:hAnsi="Arial" w:cs="Arial"/>
                <w:color w:val="181818" w:themeColor="accent6" w:themeShade="1A"/>
                <w:sz w:val="22"/>
              </w:rPr>
              <w:t>2</w:t>
            </w:r>
            <w:r w:rsidR="00CA0EEF" w:rsidRPr="006063B6">
              <w:rPr>
                <w:rFonts w:ascii="Arial" w:eastAsia="Calibri" w:hAnsi="Arial" w:cs="Arial"/>
                <w:color w:val="181818" w:themeColor="accent6" w:themeShade="1A"/>
                <w:sz w:val="22"/>
              </w:rPr>
              <w:t>00000</w:t>
            </w:r>
            <w:r w:rsidR="0061108C" w:rsidRPr="006063B6">
              <w:rPr>
                <w:rFonts w:ascii="Arial" w:eastAsia="Calibri" w:hAnsi="Arial" w:cs="Arial"/>
                <w:color w:val="181818" w:themeColor="accent6" w:themeShade="1A"/>
                <w:sz w:val="22"/>
              </w:rPr>
              <w:t>4</w:t>
            </w:r>
            <w:r w:rsidR="004D42DE" w:rsidRPr="006063B6">
              <w:rPr>
                <w:rFonts w:ascii="Arial" w:eastAsia="Calibri" w:hAnsi="Arial" w:cs="Arial"/>
                <w:color w:val="181818" w:themeColor="accent6" w:themeShade="1A"/>
                <w:sz w:val="22"/>
              </w:rPr>
              <w:t>737</w:t>
            </w:r>
            <w:r w:rsidR="00632C7A">
              <w:rPr>
                <w:rFonts w:ascii="Arial" w:eastAsia="Calibri" w:hAnsi="Arial" w:cs="Arial"/>
                <w:color w:val="181818" w:themeColor="accent6" w:themeShade="1A"/>
                <w:sz w:val="22"/>
              </w:rPr>
              <w:t xml:space="preserve"> y </w:t>
            </w:r>
            <w:r w:rsidR="00632C7A" w:rsidRPr="00632C7A">
              <w:rPr>
                <w:rFonts w:ascii="Arial" w:eastAsia="Calibri" w:hAnsi="Arial" w:cs="Arial"/>
                <w:color w:val="181818" w:themeColor="accent6" w:themeShade="1A"/>
                <w:sz w:val="22"/>
              </w:rPr>
              <w:t>4202012000004858</w:t>
            </w:r>
            <w:r w:rsidR="00632C7A">
              <w:rPr>
                <w:rFonts w:ascii="Arial" w:eastAsia="Calibri" w:hAnsi="Arial" w:cs="Arial"/>
                <w:color w:val="181818" w:themeColor="accent6" w:themeShade="1A"/>
                <w:sz w:val="22"/>
              </w:rPr>
              <w:t xml:space="preserve"> (acumulados)</w:t>
            </w:r>
          </w:p>
        </w:tc>
      </w:tr>
    </w:tbl>
    <w:p w14:paraId="7DF1E86E" w14:textId="3E74305B" w:rsidR="00F1108B" w:rsidRPr="006063B6" w:rsidRDefault="00F1108B" w:rsidP="00F1108B">
      <w:pPr>
        <w:jc w:val="both"/>
        <w:rPr>
          <w:rFonts w:ascii="Arial" w:eastAsia="Calibri" w:hAnsi="Arial" w:cs="Arial"/>
          <w:color w:val="181818" w:themeColor="accent6" w:themeShade="1A"/>
          <w:sz w:val="22"/>
        </w:rPr>
      </w:pPr>
    </w:p>
    <w:p w14:paraId="45ADAB8A" w14:textId="40426C04" w:rsidR="00F1108B" w:rsidRPr="006063B6" w:rsidRDefault="00CA0EEF" w:rsidP="00DF453C">
      <w:pPr>
        <w:spacing w:before="120"/>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Estimada</w:t>
      </w:r>
      <w:r w:rsidR="00F1108B" w:rsidRPr="006063B6">
        <w:rPr>
          <w:rFonts w:ascii="Arial" w:eastAsia="Calibri" w:hAnsi="Arial" w:cs="Arial"/>
          <w:color w:val="181818" w:themeColor="accent6" w:themeShade="1A"/>
          <w:sz w:val="22"/>
        </w:rPr>
        <w:t xml:space="preserve"> señor</w:t>
      </w:r>
      <w:r w:rsidRPr="006063B6">
        <w:rPr>
          <w:rFonts w:ascii="Arial" w:eastAsia="Calibri" w:hAnsi="Arial" w:cs="Arial"/>
          <w:color w:val="181818" w:themeColor="accent6" w:themeShade="1A"/>
          <w:sz w:val="22"/>
        </w:rPr>
        <w:t>a</w:t>
      </w:r>
      <w:r w:rsidR="00F1108B" w:rsidRPr="006063B6">
        <w:rPr>
          <w:rFonts w:ascii="Arial" w:eastAsia="Calibri" w:hAnsi="Arial" w:cs="Arial"/>
          <w:color w:val="181818" w:themeColor="accent6" w:themeShade="1A"/>
          <w:sz w:val="22"/>
        </w:rPr>
        <w:t xml:space="preserve"> </w:t>
      </w:r>
      <w:r w:rsidR="004D42DE" w:rsidRPr="006063B6">
        <w:rPr>
          <w:rFonts w:ascii="Arial" w:eastAsia="Calibri" w:hAnsi="Arial" w:cs="Arial"/>
          <w:color w:val="181818" w:themeColor="accent6" w:themeShade="1A"/>
          <w:sz w:val="22"/>
        </w:rPr>
        <w:t>Ibáñez</w:t>
      </w:r>
      <w:r w:rsidR="00F1108B" w:rsidRPr="006063B6">
        <w:rPr>
          <w:rFonts w:ascii="Arial" w:eastAsia="Calibri" w:hAnsi="Arial" w:cs="Arial"/>
          <w:color w:val="181818" w:themeColor="accent6" w:themeShade="1A"/>
          <w:sz w:val="22"/>
        </w:rPr>
        <w:t>,</w:t>
      </w:r>
    </w:p>
    <w:p w14:paraId="10829D8B" w14:textId="77777777" w:rsidR="00DF453C" w:rsidRPr="006063B6" w:rsidRDefault="00DF453C" w:rsidP="00DF453C">
      <w:pPr>
        <w:rPr>
          <w:rFonts w:ascii="Arial" w:eastAsia="Calibri" w:hAnsi="Arial" w:cs="Arial"/>
          <w:color w:val="181818" w:themeColor="accent6" w:themeShade="1A"/>
          <w:sz w:val="22"/>
        </w:rPr>
      </w:pPr>
    </w:p>
    <w:p w14:paraId="329AA852" w14:textId="6355BF4D" w:rsidR="00F1108B" w:rsidRPr="006063B6" w:rsidRDefault="00F1108B" w:rsidP="00D557A4">
      <w:pPr>
        <w:spacing w:before="120" w:line="276" w:lineRule="auto"/>
        <w:ind w:right="51"/>
        <w:jc w:val="both"/>
        <w:rPr>
          <w:rFonts w:ascii="Arial" w:hAnsi="Arial" w:cs="Arial"/>
          <w:color w:val="181818" w:themeColor="accent6" w:themeShade="1A"/>
          <w:sz w:val="22"/>
        </w:rPr>
      </w:pPr>
      <w:r w:rsidRPr="006063B6">
        <w:rPr>
          <w:rFonts w:ascii="Arial" w:hAnsi="Arial" w:cs="Arial"/>
          <w:color w:val="181818" w:themeColor="accent6" w:themeShade="1A"/>
          <w:sz w:val="22"/>
        </w:rPr>
        <w:t xml:space="preserve">La Agencia Nacional de Contratación Pública </w:t>
      </w:r>
      <w:r w:rsidR="00453E56">
        <w:rPr>
          <w:rFonts w:ascii="Arial" w:hAnsi="Arial" w:cs="Arial"/>
          <w:color w:val="181818" w:themeColor="accent6" w:themeShade="1A"/>
          <w:sz w:val="22"/>
        </w:rPr>
        <w:t xml:space="preserve">– </w:t>
      </w:r>
      <w:r w:rsidRPr="006063B6">
        <w:rPr>
          <w:rFonts w:ascii="Arial" w:hAnsi="Arial" w:cs="Arial"/>
          <w:color w:val="181818" w:themeColor="accent6" w:themeShade="1A"/>
          <w:sz w:val="22"/>
        </w:rPr>
        <w:t>Colombia Compra Eficiente responde su</w:t>
      </w:r>
      <w:r w:rsidR="00632C7A">
        <w:rPr>
          <w:rFonts w:ascii="Arial" w:hAnsi="Arial" w:cs="Arial"/>
          <w:color w:val="181818" w:themeColor="accent6" w:themeShade="1A"/>
          <w:sz w:val="22"/>
        </w:rPr>
        <w:t>s</w:t>
      </w:r>
      <w:r w:rsidRPr="006063B6">
        <w:rPr>
          <w:rFonts w:ascii="Arial" w:hAnsi="Arial" w:cs="Arial"/>
          <w:color w:val="181818" w:themeColor="accent6" w:themeShade="1A"/>
          <w:sz w:val="22"/>
        </w:rPr>
        <w:t xml:space="preserve"> consulta</w:t>
      </w:r>
      <w:r w:rsidR="00632C7A">
        <w:rPr>
          <w:rFonts w:ascii="Arial" w:hAnsi="Arial" w:cs="Arial"/>
          <w:color w:val="181818" w:themeColor="accent6" w:themeShade="1A"/>
          <w:sz w:val="22"/>
        </w:rPr>
        <w:t>s</w:t>
      </w:r>
      <w:r w:rsidRPr="006063B6">
        <w:rPr>
          <w:rFonts w:ascii="Arial" w:hAnsi="Arial" w:cs="Arial"/>
          <w:color w:val="181818" w:themeColor="accent6" w:themeShade="1A"/>
          <w:sz w:val="22"/>
        </w:rPr>
        <w:t xml:space="preserve"> del </w:t>
      </w:r>
      <w:r w:rsidR="004D42DE" w:rsidRPr="006063B6">
        <w:rPr>
          <w:rFonts w:ascii="Arial" w:hAnsi="Arial" w:cs="Arial"/>
          <w:color w:val="181818" w:themeColor="accent6" w:themeShade="1A"/>
          <w:sz w:val="22"/>
        </w:rPr>
        <w:t>9</w:t>
      </w:r>
      <w:r w:rsidR="00632C7A">
        <w:rPr>
          <w:rFonts w:ascii="Arial" w:hAnsi="Arial" w:cs="Arial"/>
          <w:color w:val="181818" w:themeColor="accent6" w:themeShade="1A"/>
          <w:sz w:val="22"/>
        </w:rPr>
        <w:t xml:space="preserve"> y 10</w:t>
      </w:r>
      <w:r w:rsidR="00EC0E7E" w:rsidRPr="006063B6">
        <w:rPr>
          <w:rFonts w:ascii="Arial" w:hAnsi="Arial" w:cs="Arial"/>
          <w:color w:val="181818" w:themeColor="accent6" w:themeShade="1A"/>
          <w:sz w:val="22"/>
        </w:rPr>
        <w:t xml:space="preserve"> de </w:t>
      </w:r>
      <w:r w:rsidR="004D42DE" w:rsidRPr="006063B6">
        <w:rPr>
          <w:rFonts w:ascii="Arial" w:hAnsi="Arial" w:cs="Arial"/>
          <w:color w:val="181818" w:themeColor="accent6" w:themeShade="1A"/>
          <w:sz w:val="22"/>
        </w:rPr>
        <w:t>junio</w:t>
      </w:r>
      <w:r w:rsidRPr="006063B6">
        <w:rPr>
          <w:rFonts w:ascii="Arial" w:hAnsi="Arial" w:cs="Arial"/>
          <w:color w:val="181818" w:themeColor="accent6" w:themeShade="1A"/>
          <w:sz w:val="22"/>
        </w:rPr>
        <w:t xml:space="preserve"> de 2020, en ejercicio de la competencia otorgada por el numeral 8 del artículo 11 y el numeral 5 del artículo 3 del Decreto Ley 4170 de 2011. </w:t>
      </w:r>
    </w:p>
    <w:p w14:paraId="72382DCC" w14:textId="77777777" w:rsidR="00F1108B" w:rsidRPr="006063B6" w:rsidRDefault="00F1108B" w:rsidP="006063B6">
      <w:pPr>
        <w:pStyle w:val="Prrafodelista"/>
        <w:tabs>
          <w:tab w:val="left" w:pos="284"/>
        </w:tabs>
        <w:spacing w:line="276" w:lineRule="auto"/>
        <w:ind w:left="0"/>
        <w:jc w:val="both"/>
        <w:rPr>
          <w:rFonts w:ascii="Arial" w:hAnsi="Arial" w:cs="Arial"/>
          <w:color w:val="181818" w:themeColor="accent6" w:themeShade="1A"/>
          <w:sz w:val="22"/>
        </w:rPr>
      </w:pPr>
    </w:p>
    <w:p w14:paraId="2C3DAA31" w14:textId="1E5725D3" w:rsidR="00F1108B" w:rsidRPr="006063B6" w:rsidRDefault="00F1108B" w:rsidP="00D557A4">
      <w:pPr>
        <w:pStyle w:val="Prrafodelista"/>
        <w:tabs>
          <w:tab w:val="left" w:pos="284"/>
        </w:tabs>
        <w:spacing w:line="276" w:lineRule="auto"/>
        <w:ind w:left="0"/>
        <w:jc w:val="both"/>
        <w:rPr>
          <w:rFonts w:ascii="Arial" w:eastAsia="Calibri" w:hAnsi="Arial" w:cs="Arial"/>
          <w:b/>
          <w:color w:val="181818" w:themeColor="accent6" w:themeShade="1A"/>
          <w:sz w:val="22"/>
        </w:rPr>
      </w:pPr>
      <w:r w:rsidRPr="006063B6">
        <w:rPr>
          <w:rFonts w:ascii="Arial" w:eastAsia="Calibri" w:hAnsi="Arial" w:cs="Arial"/>
          <w:b/>
          <w:color w:val="181818" w:themeColor="accent6" w:themeShade="1A"/>
          <w:sz w:val="22"/>
        </w:rPr>
        <w:t>1.</w:t>
      </w:r>
      <w:r w:rsidRPr="006063B6">
        <w:rPr>
          <w:rFonts w:ascii="Arial" w:eastAsia="Calibri" w:hAnsi="Arial" w:cs="Arial"/>
          <w:color w:val="181818" w:themeColor="accent6" w:themeShade="1A"/>
          <w:sz w:val="22"/>
        </w:rPr>
        <w:t xml:space="preserve"> </w:t>
      </w:r>
      <w:r w:rsidRPr="006063B6">
        <w:rPr>
          <w:rFonts w:ascii="Arial" w:eastAsia="Calibri" w:hAnsi="Arial" w:cs="Arial"/>
          <w:b/>
          <w:color w:val="181818" w:themeColor="accent6" w:themeShade="1A"/>
          <w:sz w:val="22"/>
        </w:rPr>
        <w:t xml:space="preserve">Problemas planteados </w:t>
      </w:r>
    </w:p>
    <w:p w14:paraId="1052CB86" w14:textId="77777777" w:rsidR="00DF453C" w:rsidRPr="006063B6" w:rsidRDefault="00DF453C" w:rsidP="00DF453C">
      <w:pPr>
        <w:pStyle w:val="Prrafodelista"/>
        <w:tabs>
          <w:tab w:val="left" w:pos="284"/>
        </w:tabs>
        <w:spacing w:before="120" w:line="276" w:lineRule="auto"/>
        <w:ind w:left="0"/>
        <w:jc w:val="both"/>
        <w:rPr>
          <w:rFonts w:ascii="Arial" w:eastAsia="Calibri" w:hAnsi="Arial" w:cs="Arial"/>
          <w:b/>
          <w:color w:val="181818" w:themeColor="accent6" w:themeShade="1A"/>
          <w:sz w:val="22"/>
        </w:rPr>
      </w:pPr>
    </w:p>
    <w:p w14:paraId="07D9D6B4" w14:textId="5F7A4673" w:rsidR="004D42DE" w:rsidRPr="006063B6" w:rsidRDefault="00F1108B" w:rsidP="008F238D">
      <w:pPr>
        <w:tabs>
          <w:tab w:val="left" w:pos="426"/>
        </w:tabs>
        <w:spacing w:line="276" w:lineRule="auto"/>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Usted realiza la</w:t>
      </w:r>
      <w:r w:rsidR="004D42DE" w:rsidRPr="006063B6">
        <w:rPr>
          <w:rFonts w:ascii="Arial" w:eastAsia="Calibri" w:hAnsi="Arial" w:cs="Arial"/>
          <w:color w:val="181818" w:themeColor="accent6" w:themeShade="1A"/>
          <w:sz w:val="22"/>
        </w:rPr>
        <w:t>s</w:t>
      </w:r>
      <w:r w:rsidR="00CA0EEF" w:rsidRPr="006063B6">
        <w:rPr>
          <w:rFonts w:ascii="Arial" w:eastAsia="Calibri" w:hAnsi="Arial" w:cs="Arial"/>
          <w:color w:val="181818" w:themeColor="accent6" w:themeShade="1A"/>
          <w:sz w:val="22"/>
        </w:rPr>
        <w:t xml:space="preserve"> siguiente</w:t>
      </w:r>
      <w:r w:rsidR="004D42DE" w:rsidRPr="006063B6">
        <w:rPr>
          <w:rFonts w:ascii="Arial" w:eastAsia="Calibri" w:hAnsi="Arial" w:cs="Arial"/>
          <w:color w:val="181818" w:themeColor="accent6" w:themeShade="1A"/>
          <w:sz w:val="22"/>
        </w:rPr>
        <w:t>s</w:t>
      </w:r>
      <w:r w:rsidR="00CA0EEF" w:rsidRPr="006063B6">
        <w:rPr>
          <w:rFonts w:ascii="Arial" w:eastAsia="Calibri" w:hAnsi="Arial" w:cs="Arial"/>
          <w:color w:val="181818" w:themeColor="accent6" w:themeShade="1A"/>
          <w:sz w:val="22"/>
        </w:rPr>
        <w:t xml:space="preserve"> pregunta</w:t>
      </w:r>
      <w:r w:rsidR="004D42DE" w:rsidRPr="006063B6">
        <w:rPr>
          <w:rFonts w:ascii="Arial" w:eastAsia="Calibri" w:hAnsi="Arial" w:cs="Arial"/>
          <w:color w:val="181818" w:themeColor="accent6" w:themeShade="1A"/>
          <w:sz w:val="22"/>
        </w:rPr>
        <w:t>s relacionadas con la aplicación de requisitos habilitantes</w:t>
      </w:r>
      <w:r w:rsidR="00453E56">
        <w:rPr>
          <w:rFonts w:ascii="Arial" w:eastAsia="Calibri" w:hAnsi="Arial" w:cs="Arial"/>
          <w:color w:val="181818" w:themeColor="accent6" w:themeShade="1A"/>
          <w:sz w:val="22"/>
        </w:rPr>
        <w:t xml:space="preserve"> en procedimientos de selección sujetos a </w:t>
      </w:r>
      <w:r w:rsidR="004D42DE" w:rsidRPr="006063B6">
        <w:rPr>
          <w:rFonts w:ascii="Arial" w:eastAsia="Calibri" w:hAnsi="Arial" w:cs="Arial"/>
          <w:color w:val="181818" w:themeColor="accent6" w:themeShade="1A"/>
          <w:sz w:val="22"/>
        </w:rPr>
        <w:t>los Documentos Tipo</w:t>
      </w:r>
      <w:r w:rsidRPr="006063B6">
        <w:rPr>
          <w:rFonts w:ascii="Arial" w:eastAsia="Calibri" w:hAnsi="Arial" w:cs="Arial"/>
          <w:color w:val="181818" w:themeColor="accent6" w:themeShade="1A"/>
          <w:sz w:val="22"/>
        </w:rPr>
        <w:t xml:space="preserve">: </w:t>
      </w:r>
      <w:bookmarkStart w:id="2" w:name="_Hlk34854961"/>
      <w:r w:rsidR="004D42DE" w:rsidRPr="006063B6">
        <w:rPr>
          <w:rFonts w:ascii="Arial" w:eastAsia="Calibri" w:hAnsi="Arial" w:cs="Arial"/>
          <w:color w:val="181818" w:themeColor="accent6" w:themeShade="1A"/>
          <w:sz w:val="22"/>
        </w:rPr>
        <w:t xml:space="preserve"> i) «[…] ¿ESTOS VALORES CONSIGNADOS EN LA MATRIZ [2] APLICAN PARA TODOS LOS PROCESOS O SON MODIFICABLES?</w:t>
      </w:r>
      <w:r w:rsidR="00537BF0">
        <w:rPr>
          <w:rFonts w:ascii="Arial" w:eastAsia="Calibri" w:hAnsi="Arial" w:cs="Arial"/>
          <w:color w:val="181818" w:themeColor="accent6" w:themeShade="1A"/>
          <w:sz w:val="22"/>
        </w:rPr>
        <w:t xml:space="preserve">»; </w:t>
      </w:r>
      <w:proofErr w:type="spellStart"/>
      <w:r w:rsidR="00537BF0">
        <w:rPr>
          <w:rFonts w:ascii="Arial" w:eastAsia="Calibri" w:hAnsi="Arial" w:cs="Arial"/>
          <w:color w:val="181818" w:themeColor="accent6" w:themeShade="1A"/>
          <w:sz w:val="22"/>
        </w:rPr>
        <w:t>ii</w:t>
      </w:r>
      <w:proofErr w:type="spellEnd"/>
      <w:r w:rsidR="00537BF0">
        <w:rPr>
          <w:rFonts w:ascii="Arial" w:eastAsia="Calibri" w:hAnsi="Arial" w:cs="Arial"/>
          <w:color w:val="181818" w:themeColor="accent6" w:themeShade="1A"/>
          <w:sz w:val="22"/>
        </w:rPr>
        <w:t>) «</w:t>
      </w:r>
      <w:r w:rsidR="00537BF0" w:rsidRPr="00537BF0">
        <w:rPr>
          <w:rFonts w:ascii="Arial" w:eastAsia="Calibri" w:hAnsi="Arial" w:cs="Arial"/>
          <w:color w:val="181818" w:themeColor="accent6" w:themeShade="1A"/>
          <w:sz w:val="22"/>
        </w:rPr>
        <w:t xml:space="preserve">¿SON MODIFICABLES </w:t>
      </w:r>
      <w:proofErr w:type="gramStart"/>
      <w:r w:rsidR="00537BF0" w:rsidRPr="00537BF0">
        <w:rPr>
          <w:rFonts w:ascii="Arial" w:eastAsia="Calibri" w:hAnsi="Arial" w:cs="Arial"/>
          <w:color w:val="181818" w:themeColor="accent6" w:themeShade="1A"/>
          <w:sz w:val="22"/>
        </w:rPr>
        <w:t>DE ACUERDO AL</w:t>
      </w:r>
      <w:proofErr w:type="gramEnd"/>
      <w:r w:rsidR="00537BF0" w:rsidRPr="00537BF0">
        <w:rPr>
          <w:rFonts w:ascii="Arial" w:eastAsia="Calibri" w:hAnsi="Arial" w:cs="Arial"/>
          <w:color w:val="181818" w:themeColor="accent6" w:themeShade="1A"/>
          <w:sz w:val="22"/>
        </w:rPr>
        <w:t xml:space="preserve"> ESTUDIO DEL SECTOR?</w:t>
      </w:r>
      <w:r w:rsidR="004D42DE" w:rsidRPr="006063B6">
        <w:rPr>
          <w:rFonts w:ascii="Arial" w:eastAsia="Calibri" w:hAnsi="Arial" w:cs="Arial"/>
          <w:color w:val="181818" w:themeColor="accent6" w:themeShade="1A"/>
          <w:sz w:val="22"/>
        </w:rPr>
        <w:t xml:space="preserve"> […]»; </w:t>
      </w:r>
      <w:proofErr w:type="spellStart"/>
      <w:r w:rsidR="00537BF0">
        <w:rPr>
          <w:rFonts w:ascii="Arial" w:eastAsia="Calibri" w:hAnsi="Arial" w:cs="Arial"/>
          <w:color w:val="181818" w:themeColor="accent6" w:themeShade="1A"/>
          <w:sz w:val="22"/>
        </w:rPr>
        <w:t>i</w:t>
      </w:r>
      <w:r w:rsidR="004D42DE" w:rsidRPr="006063B6">
        <w:rPr>
          <w:rFonts w:ascii="Arial" w:eastAsia="Calibri" w:hAnsi="Arial" w:cs="Arial"/>
          <w:color w:val="181818" w:themeColor="accent6" w:themeShade="1A"/>
          <w:sz w:val="22"/>
        </w:rPr>
        <w:t>ii</w:t>
      </w:r>
      <w:proofErr w:type="spellEnd"/>
      <w:r w:rsidR="004D42DE" w:rsidRPr="006063B6">
        <w:rPr>
          <w:rFonts w:ascii="Arial" w:eastAsia="Calibri" w:hAnsi="Arial" w:cs="Arial"/>
          <w:color w:val="181818" w:themeColor="accent6" w:themeShade="1A"/>
          <w:sz w:val="22"/>
        </w:rPr>
        <w:t>) «EL ESTUDIO DEL SECTOR TIENE UNA ESTRUCTURA DEFINIDA, APOYADA EN LOS REQUISITOS HABILITANTES […] ¿DEBO HACER LOS ANALISIS DE LOS INDICADORES FINANCIEROS</w:t>
      </w:r>
      <w:r w:rsidR="00EC6583">
        <w:rPr>
          <w:rFonts w:ascii="Arial" w:eastAsia="Calibri" w:hAnsi="Arial" w:cs="Arial"/>
          <w:color w:val="181818" w:themeColor="accent6" w:themeShade="1A"/>
          <w:sz w:val="22"/>
        </w:rPr>
        <w:t xml:space="preserve"> </w:t>
      </w:r>
      <w:r w:rsidR="004D42DE" w:rsidRPr="006063B6">
        <w:rPr>
          <w:rFonts w:ascii="Arial" w:eastAsia="Calibri" w:hAnsi="Arial" w:cs="Arial"/>
          <w:color w:val="181818" w:themeColor="accent6" w:themeShade="1A"/>
          <w:sz w:val="22"/>
        </w:rPr>
        <w:t>(CAPACIDAD FINANCIERA Y ORGANIZACIONAL) Y OTROS INDICADORES NECESARIOS PARA ESTABLECER ESTOS REQUISITOS</w:t>
      </w:r>
      <w:r w:rsidR="00537BF0" w:rsidRPr="00537BF0">
        <w:rPr>
          <w:rFonts w:ascii="Arial" w:eastAsia="Calibri" w:hAnsi="Arial" w:cs="Arial"/>
          <w:color w:val="181818" w:themeColor="accent6" w:themeShade="1A"/>
          <w:sz w:val="22"/>
        </w:rPr>
        <w:t>O SIMPLEMENTE TOMAR LOS DE LA MATRIZ?</w:t>
      </w:r>
      <w:r w:rsidR="004D42DE" w:rsidRPr="006063B6">
        <w:rPr>
          <w:rFonts w:ascii="Arial" w:eastAsia="Calibri" w:hAnsi="Arial" w:cs="Arial"/>
          <w:color w:val="181818" w:themeColor="accent6" w:themeShade="1A"/>
          <w:sz w:val="22"/>
        </w:rPr>
        <w:t>».</w:t>
      </w:r>
    </w:p>
    <w:bookmarkEnd w:id="2"/>
    <w:p w14:paraId="0194D558" w14:textId="77777777" w:rsidR="006063B6" w:rsidRPr="006063B6" w:rsidRDefault="006063B6" w:rsidP="00743BC8">
      <w:pPr>
        <w:tabs>
          <w:tab w:val="left" w:pos="426"/>
        </w:tabs>
        <w:spacing w:line="276" w:lineRule="auto"/>
        <w:jc w:val="both"/>
        <w:rPr>
          <w:rFonts w:ascii="Arial" w:eastAsia="Calibri" w:hAnsi="Arial" w:cs="Arial"/>
          <w:color w:val="181818" w:themeColor="accent6" w:themeShade="1A"/>
          <w:sz w:val="22"/>
        </w:rPr>
      </w:pPr>
    </w:p>
    <w:p w14:paraId="08FCE370" w14:textId="77777777" w:rsidR="00F1108B" w:rsidRPr="006063B6" w:rsidRDefault="00F1108B" w:rsidP="00283610">
      <w:pPr>
        <w:tabs>
          <w:tab w:val="left" w:pos="426"/>
        </w:tabs>
        <w:spacing w:line="276" w:lineRule="auto"/>
        <w:jc w:val="both"/>
        <w:rPr>
          <w:rFonts w:ascii="Arial" w:eastAsia="Calibri" w:hAnsi="Arial" w:cs="Arial"/>
          <w:b/>
          <w:color w:val="181818" w:themeColor="accent6" w:themeShade="1A"/>
          <w:sz w:val="22"/>
        </w:rPr>
      </w:pPr>
      <w:r w:rsidRPr="006063B6">
        <w:rPr>
          <w:rFonts w:ascii="Arial" w:eastAsia="Calibri" w:hAnsi="Arial" w:cs="Arial"/>
          <w:b/>
          <w:color w:val="181818" w:themeColor="accent6" w:themeShade="1A"/>
          <w:sz w:val="22"/>
        </w:rPr>
        <w:t>2.</w:t>
      </w:r>
      <w:r w:rsidRPr="006063B6">
        <w:rPr>
          <w:rFonts w:ascii="Arial" w:eastAsia="Calibri" w:hAnsi="Arial" w:cs="Arial"/>
          <w:color w:val="181818" w:themeColor="accent6" w:themeShade="1A"/>
          <w:sz w:val="22"/>
        </w:rPr>
        <w:t xml:space="preserve"> </w:t>
      </w:r>
      <w:r w:rsidRPr="006063B6">
        <w:rPr>
          <w:rFonts w:ascii="Arial" w:eastAsia="Calibri" w:hAnsi="Arial" w:cs="Arial"/>
          <w:b/>
          <w:color w:val="181818" w:themeColor="accent6" w:themeShade="1A"/>
          <w:sz w:val="22"/>
        </w:rPr>
        <w:t>Consideraciones</w:t>
      </w:r>
    </w:p>
    <w:p w14:paraId="68AE0704" w14:textId="77777777" w:rsidR="00F1108B" w:rsidRPr="006063B6" w:rsidRDefault="00F1108B" w:rsidP="00DF453C">
      <w:pPr>
        <w:pStyle w:val="Prrafodelista"/>
        <w:tabs>
          <w:tab w:val="left" w:pos="284"/>
        </w:tabs>
        <w:spacing w:line="276" w:lineRule="auto"/>
        <w:ind w:left="0"/>
        <w:jc w:val="both"/>
        <w:rPr>
          <w:rFonts w:ascii="Arial" w:eastAsia="Calibri" w:hAnsi="Arial" w:cs="Arial"/>
          <w:b/>
          <w:color w:val="181818" w:themeColor="accent6" w:themeShade="1A"/>
          <w:sz w:val="22"/>
        </w:rPr>
      </w:pPr>
    </w:p>
    <w:p w14:paraId="0D33448E" w14:textId="1591D935" w:rsidR="000529A0" w:rsidRPr="006063B6" w:rsidRDefault="00F1108B" w:rsidP="00283610">
      <w:pPr>
        <w:spacing w:line="276" w:lineRule="auto"/>
        <w:jc w:val="both"/>
        <w:rPr>
          <w:rFonts w:ascii="Arial" w:eastAsia="Calibri" w:hAnsi="Arial" w:cs="Arial"/>
          <w:bCs/>
          <w:color w:val="181818" w:themeColor="accent6" w:themeShade="1A"/>
          <w:sz w:val="22"/>
          <w:lang w:val="es-ES_tradnl"/>
        </w:rPr>
      </w:pPr>
      <w:r w:rsidRPr="006063B6">
        <w:rPr>
          <w:rFonts w:ascii="Arial" w:eastAsia="Calibri" w:hAnsi="Arial" w:cs="Arial"/>
          <w:color w:val="181818" w:themeColor="accent6" w:themeShade="1A"/>
          <w:sz w:val="22"/>
          <w:lang w:val="es-ES_tradnl"/>
        </w:rPr>
        <w:lastRenderedPageBreak/>
        <w:t xml:space="preserve">Para desarrollar </w:t>
      </w:r>
      <w:r w:rsidR="005F5F8F" w:rsidRPr="006063B6">
        <w:rPr>
          <w:rFonts w:ascii="Arial" w:eastAsia="Calibri" w:hAnsi="Arial" w:cs="Arial"/>
          <w:color w:val="181818" w:themeColor="accent6" w:themeShade="1A"/>
          <w:sz w:val="22"/>
          <w:lang w:val="es-ES_tradnl"/>
        </w:rPr>
        <w:t>l</w:t>
      </w:r>
      <w:r w:rsidR="003F14DE" w:rsidRPr="006063B6">
        <w:rPr>
          <w:rFonts w:ascii="Arial" w:eastAsia="Calibri" w:hAnsi="Arial" w:cs="Arial"/>
          <w:color w:val="181818" w:themeColor="accent6" w:themeShade="1A"/>
          <w:sz w:val="22"/>
          <w:lang w:val="es-ES_tradnl"/>
        </w:rPr>
        <w:t>os</w:t>
      </w:r>
      <w:r w:rsidRPr="006063B6">
        <w:rPr>
          <w:rFonts w:ascii="Arial" w:eastAsia="Calibri" w:hAnsi="Arial" w:cs="Arial"/>
          <w:color w:val="181818" w:themeColor="accent6" w:themeShade="1A"/>
          <w:sz w:val="22"/>
          <w:lang w:val="es-ES_tradnl"/>
        </w:rPr>
        <w:t xml:space="preserve"> proble</w:t>
      </w:r>
      <w:r w:rsidR="008A796E" w:rsidRPr="006063B6">
        <w:rPr>
          <w:rFonts w:ascii="Arial" w:eastAsia="Calibri" w:hAnsi="Arial" w:cs="Arial"/>
          <w:color w:val="181818" w:themeColor="accent6" w:themeShade="1A"/>
          <w:sz w:val="22"/>
          <w:lang w:val="es-ES_tradnl"/>
        </w:rPr>
        <w:t>ma</w:t>
      </w:r>
      <w:r w:rsidR="003F14DE" w:rsidRPr="006063B6">
        <w:rPr>
          <w:rFonts w:ascii="Arial" w:eastAsia="Calibri" w:hAnsi="Arial" w:cs="Arial"/>
          <w:color w:val="181818" w:themeColor="accent6" w:themeShade="1A"/>
          <w:sz w:val="22"/>
          <w:lang w:val="es-ES_tradnl"/>
        </w:rPr>
        <w:t>s</w:t>
      </w:r>
      <w:r w:rsidR="008A796E" w:rsidRPr="006063B6">
        <w:rPr>
          <w:rFonts w:ascii="Arial" w:eastAsia="Calibri" w:hAnsi="Arial" w:cs="Arial"/>
          <w:color w:val="181818" w:themeColor="accent6" w:themeShade="1A"/>
          <w:sz w:val="22"/>
          <w:lang w:val="es-ES_tradnl"/>
        </w:rPr>
        <w:t xml:space="preserve"> planteado</w:t>
      </w:r>
      <w:r w:rsidR="003F14DE" w:rsidRPr="006063B6">
        <w:rPr>
          <w:rFonts w:ascii="Arial" w:eastAsia="Calibri" w:hAnsi="Arial" w:cs="Arial"/>
          <w:color w:val="181818" w:themeColor="accent6" w:themeShade="1A"/>
          <w:sz w:val="22"/>
          <w:lang w:val="es-ES_tradnl"/>
        </w:rPr>
        <w:t>s</w:t>
      </w:r>
      <w:r w:rsidR="00D32256" w:rsidRPr="006063B6">
        <w:rPr>
          <w:rFonts w:ascii="Arial" w:eastAsia="Calibri" w:hAnsi="Arial" w:cs="Arial"/>
          <w:color w:val="181818" w:themeColor="accent6" w:themeShade="1A"/>
          <w:sz w:val="22"/>
          <w:lang w:val="es-ES_tradnl"/>
        </w:rPr>
        <w:t>,</w:t>
      </w:r>
      <w:r w:rsidR="008A796E" w:rsidRPr="006063B6">
        <w:rPr>
          <w:rFonts w:ascii="Arial" w:eastAsia="Calibri" w:hAnsi="Arial" w:cs="Arial"/>
          <w:color w:val="181818" w:themeColor="accent6" w:themeShade="1A"/>
          <w:sz w:val="22"/>
          <w:lang w:val="es-ES_tradnl"/>
        </w:rPr>
        <w:t xml:space="preserve"> </w:t>
      </w:r>
      <w:r w:rsidR="00CA0EEF" w:rsidRPr="006063B6">
        <w:rPr>
          <w:rFonts w:ascii="Arial" w:eastAsia="Calibri" w:hAnsi="Arial" w:cs="Arial"/>
          <w:color w:val="181818" w:themeColor="accent6" w:themeShade="1A"/>
          <w:sz w:val="22"/>
          <w:lang w:val="es-ES_tradnl"/>
        </w:rPr>
        <w:t>se analizarán los siguientes temas</w:t>
      </w:r>
      <w:r w:rsidR="0046677A" w:rsidRPr="006063B6">
        <w:rPr>
          <w:rFonts w:ascii="Arial" w:eastAsia="Calibri" w:hAnsi="Arial" w:cs="Arial"/>
          <w:color w:val="181818" w:themeColor="accent6" w:themeShade="1A"/>
          <w:sz w:val="22"/>
          <w:lang w:val="es-ES_tradnl"/>
        </w:rPr>
        <w:t>:</w:t>
      </w:r>
      <w:r w:rsidR="00CA0EEF" w:rsidRPr="006063B6">
        <w:rPr>
          <w:rFonts w:ascii="Arial" w:eastAsia="Calibri" w:hAnsi="Arial" w:cs="Arial"/>
          <w:color w:val="181818" w:themeColor="accent6" w:themeShade="1A"/>
          <w:sz w:val="22"/>
          <w:lang w:val="es-ES_tradnl"/>
        </w:rPr>
        <w:t xml:space="preserve"> i) </w:t>
      </w:r>
      <w:r w:rsidR="006063B6" w:rsidRPr="006063B6">
        <w:rPr>
          <w:rFonts w:ascii="Arial" w:eastAsia="Calibri" w:hAnsi="Arial" w:cs="Arial"/>
          <w:color w:val="181818" w:themeColor="accent6" w:themeShade="1A"/>
          <w:sz w:val="22"/>
          <w:lang w:val="es-ES_tradnl"/>
        </w:rPr>
        <w:t xml:space="preserve">inalterabilidad de las condiciones habilitantes en los documentos tipo, </w:t>
      </w:r>
      <w:proofErr w:type="spellStart"/>
      <w:r w:rsidR="006063B6" w:rsidRPr="006063B6">
        <w:rPr>
          <w:rFonts w:ascii="Arial" w:eastAsia="Calibri" w:hAnsi="Arial" w:cs="Arial"/>
          <w:color w:val="181818" w:themeColor="accent6" w:themeShade="1A"/>
          <w:sz w:val="22"/>
          <w:lang w:val="es-ES_tradnl"/>
        </w:rPr>
        <w:t>ii</w:t>
      </w:r>
      <w:proofErr w:type="spellEnd"/>
      <w:r w:rsidR="006063B6" w:rsidRPr="006063B6">
        <w:rPr>
          <w:rFonts w:ascii="Arial" w:eastAsia="Calibri" w:hAnsi="Arial" w:cs="Arial"/>
          <w:color w:val="181818" w:themeColor="accent6" w:themeShade="1A"/>
          <w:sz w:val="22"/>
          <w:lang w:val="es-ES_tradnl"/>
        </w:rPr>
        <w:t xml:space="preserve">) </w:t>
      </w:r>
      <w:r w:rsidR="009E3B99" w:rsidRPr="006063B6">
        <w:rPr>
          <w:rFonts w:ascii="Arial" w:eastAsia="Calibri" w:hAnsi="Arial" w:cs="Arial"/>
          <w:color w:val="181818" w:themeColor="accent6" w:themeShade="1A"/>
          <w:sz w:val="22"/>
          <w:lang w:val="es-ES_tradnl"/>
        </w:rPr>
        <w:t>estudios del sector en el Estatuto General de Contratación</w:t>
      </w:r>
      <w:r w:rsidR="00453E56">
        <w:rPr>
          <w:rFonts w:ascii="Arial" w:eastAsia="Calibri" w:hAnsi="Arial" w:cs="Arial"/>
          <w:color w:val="181818" w:themeColor="accent6" w:themeShade="1A"/>
          <w:sz w:val="22"/>
          <w:lang w:val="es-ES_tradnl"/>
        </w:rPr>
        <w:t xml:space="preserve"> de la Administración Pública</w:t>
      </w:r>
      <w:r w:rsidR="009E3B99" w:rsidRPr="006063B6">
        <w:rPr>
          <w:rFonts w:ascii="Arial" w:eastAsia="Calibri" w:hAnsi="Arial" w:cs="Arial"/>
          <w:color w:val="181818" w:themeColor="accent6" w:themeShade="1A"/>
          <w:sz w:val="22"/>
          <w:lang w:val="es-ES_tradnl"/>
        </w:rPr>
        <w:t xml:space="preserve"> y</w:t>
      </w:r>
      <w:r w:rsidR="00AA16A5" w:rsidRPr="006063B6">
        <w:rPr>
          <w:rFonts w:ascii="Arial" w:eastAsia="Calibri" w:hAnsi="Arial" w:cs="Arial"/>
          <w:color w:val="181818" w:themeColor="accent6" w:themeShade="1A"/>
          <w:sz w:val="22"/>
          <w:lang w:val="es-ES_tradnl"/>
        </w:rPr>
        <w:t xml:space="preserve"> </w:t>
      </w:r>
      <w:proofErr w:type="spellStart"/>
      <w:r w:rsidR="00AA16A5" w:rsidRPr="006063B6">
        <w:rPr>
          <w:rFonts w:ascii="Arial" w:eastAsia="Calibri" w:hAnsi="Arial" w:cs="Arial"/>
          <w:color w:val="181818" w:themeColor="accent6" w:themeShade="1A"/>
          <w:sz w:val="22"/>
          <w:lang w:val="es-ES_tradnl"/>
        </w:rPr>
        <w:t>i</w:t>
      </w:r>
      <w:r w:rsidR="006063B6" w:rsidRPr="006063B6">
        <w:rPr>
          <w:rFonts w:ascii="Arial" w:eastAsia="Calibri" w:hAnsi="Arial" w:cs="Arial"/>
          <w:color w:val="181818" w:themeColor="accent6" w:themeShade="1A"/>
          <w:sz w:val="22"/>
          <w:lang w:val="es-ES_tradnl"/>
        </w:rPr>
        <w:t>i</w:t>
      </w:r>
      <w:r w:rsidR="00AA16A5" w:rsidRPr="006063B6">
        <w:rPr>
          <w:rFonts w:ascii="Arial" w:eastAsia="Calibri" w:hAnsi="Arial" w:cs="Arial"/>
          <w:color w:val="181818" w:themeColor="accent6" w:themeShade="1A"/>
          <w:sz w:val="22"/>
          <w:lang w:val="es-ES_tradnl"/>
        </w:rPr>
        <w:t>i</w:t>
      </w:r>
      <w:proofErr w:type="spellEnd"/>
      <w:r w:rsidR="00AA16A5" w:rsidRPr="006063B6">
        <w:rPr>
          <w:rFonts w:ascii="Arial" w:eastAsia="Calibri" w:hAnsi="Arial" w:cs="Arial"/>
          <w:color w:val="181818" w:themeColor="accent6" w:themeShade="1A"/>
          <w:sz w:val="22"/>
          <w:lang w:val="es-ES_tradnl"/>
        </w:rPr>
        <w:t>)</w:t>
      </w:r>
      <w:r w:rsidR="00886323" w:rsidRPr="006063B6">
        <w:rPr>
          <w:rFonts w:ascii="Arial" w:eastAsia="Calibri" w:hAnsi="Arial" w:cs="Arial"/>
          <w:color w:val="181818" w:themeColor="accent6" w:themeShade="1A"/>
          <w:sz w:val="22"/>
          <w:lang w:val="es-ES_tradnl"/>
        </w:rPr>
        <w:t xml:space="preserve"> </w:t>
      </w:r>
      <w:r w:rsidR="00283610" w:rsidRPr="006063B6">
        <w:rPr>
          <w:rFonts w:ascii="Arial" w:eastAsia="Calibri" w:hAnsi="Arial" w:cs="Arial"/>
          <w:color w:val="181818" w:themeColor="accent6" w:themeShade="1A"/>
          <w:sz w:val="22"/>
          <w:lang w:val="es-ES_tradnl"/>
        </w:rPr>
        <w:t xml:space="preserve">alcance del estudio del sector en procesos de selección con </w:t>
      </w:r>
      <w:r w:rsidR="00453E56">
        <w:rPr>
          <w:rFonts w:ascii="Arial" w:eastAsia="Calibri" w:hAnsi="Arial" w:cs="Arial"/>
          <w:color w:val="181818" w:themeColor="accent6" w:themeShade="1A"/>
          <w:sz w:val="22"/>
          <w:lang w:val="es-ES_tradnl"/>
        </w:rPr>
        <w:t>d</w:t>
      </w:r>
      <w:r w:rsidR="00283610" w:rsidRPr="006063B6">
        <w:rPr>
          <w:rFonts w:ascii="Arial" w:eastAsia="Calibri" w:hAnsi="Arial" w:cs="Arial"/>
          <w:color w:val="181818" w:themeColor="accent6" w:themeShade="1A"/>
          <w:sz w:val="22"/>
          <w:lang w:val="es-ES_tradnl"/>
        </w:rPr>
        <w:t xml:space="preserve">ocumentos </w:t>
      </w:r>
      <w:r w:rsidR="00453E56">
        <w:rPr>
          <w:rFonts w:ascii="Arial" w:eastAsia="Calibri" w:hAnsi="Arial" w:cs="Arial"/>
          <w:color w:val="181818" w:themeColor="accent6" w:themeShade="1A"/>
          <w:sz w:val="22"/>
          <w:lang w:val="es-ES_tradnl"/>
        </w:rPr>
        <w:t>t</w:t>
      </w:r>
      <w:r w:rsidR="00283610" w:rsidRPr="006063B6">
        <w:rPr>
          <w:rFonts w:ascii="Arial" w:eastAsia="Calibri" w:hAnsi="Arial" w:cs="Arial"/>
          <w:color w:val="181818" w:themeColor="accent6" w:themeShade="1A"/>
          <w:sz w:val="22"/>
          <w:lang w:val="es-ES_tradnl"/>
        </w:rPr>
        <w:t>ipo.</w:t>
      </w:r>
    </w:p>
    <w:p w14:paraId="582817E0" w14:textId="0E5B2B50" w:rsidR="00F1108B" w:rsidRPr="006063B6" w:rsidRDefault="00F87E29" w:rsidP="00743BC8">
      <w:pPr>
        <w:spacing w:line="276" w:lineRule="auto"/>
        <w:jc w:val="both"/>
        <w:rPr>
          <w:rFonts w:ascii="Arial" w:eastAsia="Calibri" w:hAnsi="Arial" w:cs="Arial"/>
          <w:color w:val="181818" w:themeColor="accent6" w:themeShade="1A"/>
          <w:sz w:val="22"/>
          <w:lang w:val="es-ES_tradnl"/>
        </w:rPr>
      </w:pPr>
      <w:r w:rsidRPr="006063B6">
        <w:rPr>
          <w:rFonts w:ascii="Arial" w:eastAsia="Calibri" w:hAnsi="Arial" w:cs="Arial"/>
          <w:color w:val="181818" w:themeColor="accent6" w:themeShade="1A"/>
          <w:sz w:val="22"/>
          <w:lang w:val="es-ES_tradnl"/>
        </w:rPr>
        <w:t xml:space="preserve"> </w:t>
      </w:r>
    </w:p>
    <w:p w14:paraId="5A994CB1" w14:textId="327F7216" w:rsidR="00477DFA" w:rsidRPr="006063B6" w:rsidRDefault="00477DFA" w:rsidP="00743BC8">
      <w:pPr>
        <w:spacing w:line="276" w:lineRule="auto"/>
        <w:jc w:val="both"/>
        <w:rPr>
          <w:rFonts w:ascii="Arial" w:eastAsia="Calibri" w:hAnsi="Arial" w:cs="Arial"/>
          <w:b/>
          <w:bCs/>
          <w:color w:val="181818" w:themeColor="accent6" w:themeShade="1A"/>
          <w:sz w:val="22"/>
          <w:lang w:val="es-ES_tradnl"/>
        </w:rPr>
      </w:pPr>
      <w:r w:rsidRPr="006063B6">
        <w:rPr>
          <w:rFonts w:ascii="Arial" w:eastAsia="Calibri" w:hAnsi="Arial" w:cs="Arial"/>
          <w:b/>
          <w:bCs/>
          <w:color w:val="181818" w:themeColor="accent6" w:themeShade="1A"/>
          <w:sz w:val="22"/>
          <w:lang w:val="es-ES_tradnl"/>
        </w:rPr>
        <w:t>2.1. Inalterabilidad de l</w:t>
      </w:r>
      <w:r w:rsidR="00970D41" w:rsidRPr="006063B6">
        <w:rPr>
          <w:rFonts w:ascii="Arial" w:eastAsia="Calibri" w:hAnsi="Arial" w:cs="Arial"/>
          <w:b/>
          <w:bCs/>
          <w:color w:val="181818" w:themeColor="accent6" w:themeShade="1A"/>
          <w:sz w:val="22"/>
          <w:lang w:val="es-ES_tradnl"/>
        </w:rPr>
        <w:t>as condiciones habilitantes en los</w:t>
      </w:r>
      <w:r w:rsidRPr="006063B6">
        <w:rPr>
          <w:rFonts w:ascii="Arial" w:eastAsia="Calibri" w:hAnsi="Arial" w:cs="Arial"/>
          <w:b/>
          <w:bCs/>
          <w:color w:val="181818" w:themeColor="accent6" w:themeShade="1A"/>
          <w:sz w:val="22"/>
          <w:lang w:val="es-ES_tradnl"/>
        </w:rPr>
        <w:t xml:space="preserve"> </w:t>
      </w:r>
      <w:r w:rsidR="006063B6" w:rsidRPr="006063B6">
        <w:rPr>
          <w:rFonts w:ascii="Arial" w:eastAsia="Calibri" w:hAnsi="Arial" w:cs="Arial"/>
          <w:b/>
          <w:bCs/>
          <w:color w:val="181818" w:themeColor="accent6" w:themeShade="1A"/>
          <w:sz w:val="22"/>
          <w:lang w:val="es-ES_tradnl"/>
        </w:rPr>
        <w:t>d</w:t>
      </w:r>
      <w:r w:rsidRPr="006063B6">
        <w:rPr>
          <w:rFonts w:ascii="Arial" w:eastAsia="Calibri" w:hAnsi="Arial" w:cs="Arial"/>
          <w:b/>
          <w:bCs/>
          <w:color w:val="181818" w:themeColor="accent6" w:themeShade="1A"/>
          <w:sz w:val="22"/>
          <w:lang w:val="es-ES_tradnl"/>
        </w:rPr>
        <w:t xml:space="preserve">ocumentos </w:t>
      </w:r>
      <w:r w:rsidR="006063B6" w:rsidRPr="006063B6">
        <w:rPr>
          <w:rFonts w:ascii="Arial" w:eastAsia="Calibri" w:hAnsi="Arial" w:cs="Arial"/>
          <w:b/>
          <w:bCs/>
          <w:color w:val="181818" w:themeColor="accent6" w:themeShade="1A"/>
          <w:sz w:val="22"/>
          <w:lang w:val="es-ES_tradnl"/>
        </w:rPr>
        <w:t>t</w:t>
      </w:r>
      <w:r w:rsidRPr="006063B6">
        <w:rPr>
          <w:rFonts w:ascii="Arial" w:eastAsia="Calibri" w:hAnsi="Arial" w:cs="Arial"/>
          <w:b/>
          <w:bCs/>
          <w:color w:val="181818" w:themeColor="accent6" w:themeShade="1A"/>
          <w:sz w:val="22"/>
          <w:lang w:val="es-ES_tradnl"/>
        </w:rPr>
        <w:t>ipo</w:t>
      </w:r>
    </w:p>
    <w:p w14:paraId="380C1CC7" w14:textId="43B8CCE5" w:rsidR="00477DFA" w:rsidRPr="006063B6" w:rsidRDefault="00477DFA" w:rsidP="00743BC8">
      <w:pPr>
        <w:spacing w:line="276" w:lineRule="auto"/>
        <w:jc w:val="both"/>
        <w:rPr>
          <w:rFonts w:ascii="Arial" w:eastAsia="Calibri" w:hAnsi="Arial" w:cs="Arial"/>
          <w:color w:val="181818" w:themeColor="accent6" w:themeShade="1A"/>
          <w:sz w:val="22"/>
          <w:lang w:val="es-ES_tradnl"/>
        </w:rPr>
      </w:pPr>
    </w:p>
    <w:p w14:paraId="70BFE733" w14:textId="798915A0" w:rsidR="00285104" w:rsidRPr="006063B6" w:rsidRDefault="00285104" w:rsidP="00285104">
      <w:pPr>
        <w:spacing w:line="276" w:lineRule="auto"/>
        <w:jc w:val="both"/>
        <w:rPr>
          <w:rFonts w:ascii="Arial" w:eastAsia="Calibri" w:hAnsi="Arial" w:cs="Arial"/>
          <w:b/>
          <w:bCs/>
          <w:color w:val="181818" w:themeColor="accent6" w:themeShade="1A"/>
          <w:sz w:val="22"/>
          <w:lang w:val="es-ES_tradnl"/>
        </w:rPr>
      </w:pPr>
      <w:r w:rsidRPr="006063B6">
        <w:rPr>
          <w:rFonts w:ascii="Arial" w:hAnsi="Arial" w:cs="Arial"/>
          <w:color w:val="181818" w:themeColor="accent6" w:themeShade="1A"/>
          <w:sz w:val="22"/>
        </w:rPr>
        <w:t>El artículo 4 de la Ley 1882 de 2018 establece que al Gobierno Nacional le corresponde adoptar los «documentos tipo para los pliegos de condiciones de los procesos de selección de obras públicas</w:t>
      </w:r>
      <w:r w:rsidR="00B541E4">
        <w:rPr>
          <w:rFonts w:ascii="Arial" w:hAnsi="Arial" w:cs="Arial"/>
          <w:color w:val="181818" w:themeColor="accent6" w:themeShade="1A"/>
          <w:sz w:val="22"/>
        </w:rPr>
        <w:t xml:space="preserve"> […]</w:t>
      </w:r>
      <w:r w:rsidRPr="006063B6">
        <w:rPr>
          <w:rFonts w:ascii="Arial" w:hAnsi="Arial" w:cs="Arial"/>
          <w:color w:val="181818" w:themeColor="accent6" w:themeShade="1A"/>
          <w:sz w:val="22"/>
        </w:rPr>
        <w:t>» y que estos «</w:t>
      </w:r>
      <w:r w:rsidRPr="006063B6">
        <w:rPr>
          <w:rFonts w:ascii="Arial" w:hAnsi="Arial" w:cs="Arial"/>
          <w:i/>
          <w:color w:val="181818" w:themeColor="accent6" w:themeShade="1A"/>
          <w:sz w:val="22"/>
        </w:rPr>
        <w:t>deberán</w:t>
      </w:r>
      <w:r w:rsidRPr="006063B6">
        <w:rPr>
          <w:rFonts w:ascii="Arial" w:hAnsi="Arial" w:cs="Arial"/>
          <w:color w:val="181818" w:themeColor="accent6" w:themeShade="1A"/>
          <w:sz w:val="22"/>
        </w:rPr>
        <w:t xml:space="preserve">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w:t>
      </w:r>
      <w:r w:rsidRPr="006063B6">
        <w:rPr>
          <w:rFonts w:ascii="Arial" w:hAnsi="Arial" w:cs="Arial"/>
          <w:i/>
          <w:color w:val="181818" w:themeColor="accent6" w:themeShade="1A"/>
          <w:sz w:val="22"/>
        </w:rPr>
        <w:t>alcance obligatorio</w:t>
      </w:r>
      <w:r w:rsidRPr="006063B6">
        <w:rPr>
          <w:rFonts w:ascii="Arial" w:hAnsi="Arial" w:cs="Arial"/>
          <w:color w:val="181818" w:themeColor="accent6" w:themeShade="1A"/>
          <w:sz w:val="22"/>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0D15804C" w14:textId="17467F0D" w:rsidR="00285104" w:rsidRPr="006063B6" w:rsidRDefault="00285104" w:rsidP="00285104">
      <w:pPr>
        <w:spacing w:before="120" w:after="120" w:line="276" w:lineRule="auto"/>
        <w:ind w:firstLine="705"/>
        <w:jc w:val="both"/>
        <w:rPr>
          <w:rFonts w:ascii="Arial" w:hAnsi="Arial" w:cs="Arial"/>
          <w:color w:val="181818" w:themeColor="accent6" w:themeShade="1A"/>
          <w:sz w:val="22"/>
          <w:lang w:val="es-ES"/>
        </w:rPr>
      </w:pPr>
      <w:r w:rsidRPr="006063B6">
        <w:rPr>
          <w:rFonts w:ascii="Arial" w:hAnsi="Arial" w:cs="Arial"/>
          <w:color w:val="181818" w:themeColor="accent6" w:themeShade="1A"/>
          <w:sz w:val="22"/>
          <w:lang w:val="es-ES"/>
        </w:rPr>
        <w:t xml:space="preserve">En ejercicio de la competencia conferida por el citado parágrafo, el Gobierno Nacional expidió el Decreto 342 de 2019, por medio del que se adoptaron los Documentos Tipo para licitaciones públicas para selección de contratistas de obra de infraestructura de transporte, por lo que adicionó </w:t>
      </w:r>
      <w:r w:rsidRPr="006063B6">
        <w:rPr>
          <w:rFonts w:ascii="Arial" w:hAnsi="Arial" w:cs="Arial"/>
          <w:color w:val="181818" w:themeColor="accent6" w:themeShade="1A"/>
          <w:sz w:val="22"/>
        </w:rPr>
        <w:t>la Sección 6 y la Subsección 1 al Capítulo 2 del Título 1 de la Parte 2 del Libro 2 del Decreto 1082 de 2015, Decreto Único Reglamentario del Sector Administrativo de Planeación Nacional.</w:t>
      </w:r>
      <w:r w:rsidRPr="006063B6">
        <w:rPr>
          <w:rFonts w:ascii="Arial" w:hAnsi="Arial" w:cs="Arial"/>
          <w:color w:val="181818" w:themeColor="accent6" w:themeShade="1A"/>
          <w:sz w:val="22"/>
          <w:lang w:val="es-ES"/>
        </w:rPr>
        <w:t xml:space="preserve"> Posteriormente el Gobierno Nacional profirió el Decreto 2096 de 2019, el cual de manera análoga a lo realizado mediante el Decreto 342 de 201</w:t>
      </w:r>
      <w:r w:rsidR="00B541E4">
        <w:rPr>
          <w:rFonts w:ascii="Arial" w:hAnsi="Arial" w:cs="Arial"/>
          <w:color w:val="181818" w:themeColor="accent6" w:themeShade="1A"/>
          <w:sz w:val="22"/>
          <w:lang w:val="es-ES"/>
        </w:rPr>
        <w:t>9</w:t>
      </w:r>
      <w:r w:rsidRPr="006063B6">
        <w:rPr>
          <w:rFonts w:ascii="Arial" w:hAnsi="Arial" w:cs="Arial"/>
          <w:color w:val="181818" w:themeColor="accent6" w:themeShade="1A"/>
          <w:sz w:val="22"/>
          <w:lang w:val="es-ES"/>
        </w:rPr>
        <w:t xml:space="preserve">, respecto de la licitación de obra pública, adoptó los Documentos Tipo para procesos de contratación de obra pública de infraestructura de transporte adelantados en la modalidad de selección abreviada de menor cuantía, para lo que se adicionó la Subsección 2 a la Sección 6 </w:t>
      </w:r>
      <w:r w:rsidRPr="006063B6">
        <w:rPr>
          <w:rFonts w:ascii="Arial" w:hAnsi="Arial" w:cs="Arial"/>
          <w:color w:val="181818" w:themeColor="accent6" w:themeShade="1A"/>
          <w:sz w:val="22"/>
        </w:rPr>
        <w:t xml:space="preserve">del Capítulo 2 del Título 1 de la parte 2 del Libro 2 </w:t>
      </w:r>
      <w:r w:rsidRPr="006063B6">
        <w:rPr>
          <w:rFonts w:ascii="Arial" w:hAnsi="Arial" w:cs="Arial"/>
          <w:color w:val="181818" w:themeColor="accent6" w:themeShade="1A"/>
          <w:sz w:val="22"/>
          <w:lang w:val="es-ES"/>
        </w:rPr>
        <w:t xml:space="preserve">del Decreto 1082 de 2015. En el mismo sentido, el Gobierno Nacional expidió el Decreto 594 de 2020, por medio de los que se adoptaron Documentos Tipo para la selección de contratistas de obra pública de infraestructura de transporte en la modalidad de mínima cuantía, modificando el artículo 2.2.1.2.6.1.6. y adicionando la Subsección 3, a la Sección 6, del Capítulo 2, del Título 1, de la Parte 2, del Libro 2 del Decreto 1082 de 2015. </w:t>
      </w:r>
    </w:p>
    <w:p w14:paraId="0CE7A553" w14:textId="77777777" w:rsidR="00285104" w:rsidRPr="006063B6" w:rsidRDefault="00285104" w:rsidP="00285104">
      <w:pPr>
        <w:spacing w:before="120" w:after="120" w:line="276" w:lineRule="auto"/>
        <w:ind w:firstLine="705"/>
        <w:jc w:val="both"/>
        <w:rPr>
          <w:rFonts w:ascii="Arial" w:hAnsi="Arial" w:cs="Arial"/>
          <w:color w:val="181818" w:themeColor="accent6" w:themeShade="1A"/>
          <w:sz w:val="22"/>
          <w:lang w:val="es-ES"/>
        </w:rPr>
      </w:pPr>
      <w:r w:rsidRPr="006063B6">
        <w:rPr>
          <w:rFonts w:ascii="Arial" w:hAnsi="Arial" w:cs="Arial"/>
          <w:color w:val="181818" w:themeColor="accent6" w:themeShade="1A"/>
          <w:sz w:val="22"/>
          <w:lang w:val="es-ES"/>
        </w:rPr>
        <w:t xml:space="preserve">El desarrollo e implementación de estos Documentos Tipo fue encomendado a la Agencia Nacional de Contratación Pública – Colombia Compra eficiente en coordinación con el Ministerio de Transporte y el Departamento Nacional de Planeación. La Agencia ejerció esta competencia expidiendo la Resolución No. 1798 de 2019, referida a procesos de licitación pública –Versión 1–, la cual fue actualizada por la Resolución No. 045 de 2020 –Versión 2–-.  Así mismo se expidieron la Resolución No. 044 de 2020 que implementó los Documentos Tipo para la modalidad de selección abreviada de menor cuantía, y la </w:t>
      </w:r>
      <w:r w:rsidRPr="006063B6">
        <w:rPr>
          <w:rFonts w:ascii="Arial" w:hAnsi="Arial" w:cs="Arial"/>
          <w:color w:val="181818" w:themeColor="accent6" w:themeShade="1A"/>
          <w:sz w:val="22"/>
          <w:lang w:val="es-ES"/>
        </w:rPr>
        <w:lastRenderedPageBreak/>
        <w:t xml:space="preserve">Resolución No. 094 de 2020, que se hizo lo propio respecto de la modalidad de mínima cuantía. </w:t>
      </w:r>
    </w:p>
    <w:p w14:paraId="2DBE2018" w14:textId="0684E36D" w:rsidR="00285104" w:rsidRPr="006063B6" w:rsidRDefault="00285104" w:rsidP="00285104">
      <w:pPr>
        <w:spacing w:before="120" w:after="120" w:line="276" w:lineRule="auto"/>
        <w:ind w:firstLine="705"/>
        <w:jc w:val="both"/>
        <w:rPr>
          <w:rFonts w:ascii="Arial" w:hAnsi="Arial" w:cs="Arial"/>
          <w:color w:val="181818" w:themeColor="accent6" w:themeShade="1A"/>
          <w:sz w:val="22"/>
          <w:lang w:val="es-ES"/>
        </w:rPr>
      </w:pPr>
      <w:r w:rsidRPr="006063B6">
        <w:rPr>
          <w:rFonts w:ascii="Arial" w:hAnsi="Arial" w:cs="Arial"/>
          <w:color w:val="181818" w:themeColor="accent6" w:themeShade="1A"/>
          <w:sz w:val="22"/>
          <w:lang w:val="es-ES"/>
        </w:rPr>
        <w:t>Estos documentos contienen parámetros de obligatoria observancia para las entidades estatales regidas el régimen de contratación de la Ley 80 de 1993, que adelanten procesos de selección en las referidas modalidades para la contratación de obra pública de infraestructura de transporte. Conforme a lo anterior, y en desarrollo de lo dispuesto en el artículo 4 de la Ley 1882 de 2018, los Documentos Tipo adoptados para las referidas modalidades de selección establecieron las condiciones habilitantes aplicables, así como los factores técnicos y económicos de escogencia para los procesos de selección en los que corresponda su aplicación, los cuales son de obligatoria observancia. Estos factores además son inalterables e inmodificables por parte de las entidades a</w:t>
      </w:r>
      <w:r w:rsidR="00EC6583">
        <w:rPr>
          <w:rFonts w:ascii="Arial" w:hAnsi="Arial" w:cs="Arial"/>
          <w:color w:val="181818" w:themeColor="accent6" w:themeShade="1A"/>
          <w:sz w:val="22"/>
          <w:lang w:val="es-ES"/>
        </w:rPr>
        <w:t>l</w:t>
      </w:r>
      <w:r w:rsidRPr="006063B6">
        <w:rPr>
          <w:rFonts w:ascii="Arial" w:hAnsi="Arial" w:cs="Arial"/>
          <w:color w:val="181818" w:themeColor="accent6" w:themeShade="1A"/>
          <w:sz w:val="22"/>
          <w:lang w:val="es-ES"/>
        </w:rPr>
        <w:t xml:space="preserve"> utilizar los Documentos Tipo para adelantar sus procesos de contratación</w:t>
      </w:r>
      <w:r w:rsidR="00EC6583">
        <w:rPr>
          <w:rFonts w:ascii="Arial" w:hAnsi="Arial" w:cs="Arial"/>
          <w:color w:val="181818" w:themeColor="accent6" w:themeShade="1A"/>
          <w:sz w:val="22"/>
          <w:lang w:val="es-ES"/>
        </w:rPr>
        <w:t>,</w:t>
      </w:r>
      <w:r w:rsidRPr="006063B6">
        <w:rPr>
          <w:rFonts w:ascii="Arial" w:hAnsi="Arial" w:cs="Arial"/>
          <w:color w:val="181818" w:themeColor="accent6" w:themeShade="1A"/>
          <w:sz w:val="22"/>
          <w:lang w:val="es-ES"/>
        </w:rPr>
        <w:t xml:space="preserve"> de conformidad con los artículos 2.2.1.2.6.1.4</w:t>
      </w:r>
      <w:r w:rsidRPr="006063B6">
        <w:rPr>
          <w:rStyle w:val="Refdenotaalpie"/>
          <w:rFonts w:ascii="Arial" w:hAnsi="Arial" w:cs="Arial"/>
          <w:color w:val="181818" w:themeColor="accent6" w:themeShade="1A"/>
          <w:sz w:val="22"/>
          <w:lang w:val="es-ES"/>
        </w:rPr>
        <w:footnoteReference w:id="1"/>
      </w:r>
      <w:r w:rsidRPr="006063B6">
        <w:rPr>
          <w:rFonts w:ascii="Arial" w:hAnsi="Arial" w:cs="Arial"/>
          <w:color w:val="181818" w:themeColor="accent6" w:themeShade="1A"/>
          <w:sz w:val="22"/>
          <w:lang w:val="es-ES"/>
        </w:rPr>
        <w:t>, 2.2.1.2.6.2.3</w:t>
      </w:r>
      <w:r w:rsidRPr="006063B6">
        <w:rPr>
          <w:rStyle w:val="Refdenotaalpie"/>
          <w:rFonts w:ascii="Arial" w:hAnsi="Arial" w:cs="Arial"/>
          <w:color w:val="181818" w:themeColor="accent6" w:themeShade="1A"/>
          <w:sz w:val="22"/>
          <w:lang w:val="es-ES"/>
        </w:rPr>
        <w:footnoteReference w:id="2"/>
      </w:r>
      <w:r w:rsidRPr="006063B6">
        <w:rPr>
          <w:rFonts w:ascii="Arial" w:hAnsi="Arial" w:cs="Arial"/>
          <w:color w:val="181818" w:themeColor="accent6" w:themeShade="1A"/>
          <w:sz w:val="22"/>
          <w:lang w:val="es-ES"/>
        </w:rPr>
        <w:t>. y 2.2.1.2.6.3.4</w:t>
      </w:r>
      <w:r w:rsidRPr="006063B6">
        <w:rPr>
          <w:rStyle w:val="Refdenotaalpie"/>
          <w:rFonts w:ascii="Arial" w:hAnsi="Arial" w:cs="Arial"/>
          <w:color w:val="181818" w:themeColor="accent6" w:themeShade="1A"/>
          <w:sz w:val="22"/>
          <w:lang w:val="es-ES"/>
        </w:rPr>
        <w:footnoteReference w:id="3"/>
      </w:r>
      <w:r w:rsidRPr="006063B6">
        <w:rPr>
          <w:rFonts w:ascii="Arial" w:hAnsi="Arial" w:cs="Arial"/>
          <w:color w:val="181818" w:themeColor="accent6" w:themeShade="1A"/>
          <w:sz w:val="22"/>
          <w:lang w:val="es-ES"/>
        </w:rPr>
        <w:t xml:space="preserve"> del Decreto 1082 de 2015.</w:t>
      </w:r>
    </w:p>
    <w:p w14:paraId="71E2025F" w14:textId="33158DF0" w:rsidR="00285104" w:rsidRPr="006063B6" w:rsidRDefault="00285104" w:rsidP="00285104">
      <w:pPr>
        <w:spacing w:before="120" w:after="120" w:line="276" w:lineRule="auto"/>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ES"/>
        </w:rPr>
        <w:tab/>
        <w:t xml:space="preserve">Los Documentos Tipo estandarizaron </w:t>
      </w:r>
      <w:r w:rsidR="00EC6583">
        <w:rPr>
          <w:rFonts w:ascii="Arial" w:hAnsi="Arial" w:cs="Arial"/>
          <w:color w:val="181818" w:themeColor="accent6" w:themeShade="1A"/>
          <w:sz w:val="22"/>
          <w:lang w:val="es-ES"/>
        </w:rPr>
        <w:t>algunos</w:t>
      </w:r>
      <w:r w:rsidRPr="006063B6">
        <w:rPr>
          <w:rFonts w:ascii="Arial" w:hAnsi="Arial" w:cs="Arial"/>
          <w:color w:val="181818" w:themeColor="accent6" w:themeShade="1A"/>
          <w:sz w:val="22"/>
          <w:lang w:val="es-ES"/>
        </w:rPr>
        <w:t xml:space="preserve"> requisitos habilitantes, estableciendo para los procesos de licitación pública y selección abreviada los siguientes: </w:t>
      </w:r>
      <w:r w:rsidRPr="006063B6">
        <w:rPr>
          <w:rFonts w:ascii="Arial" w:hAnsi="Arial" w:cs="Arial"/>
          <w:color w:val="181818" w:themeColor="accent6" w:themeShade="1A"/>
          <w:sz w:val="22"/>
          <w:lang w:val="es-CO"/>
        </w:rPr>
        <w:t xml:space="preserve">i) capacidad jurídica; </w:t>
      </w:r>
      <w:proofErr w:type="spellStart"/>
      <w:r w:rsidRPr="006063B6">
        <w:rPr>
          <w:rFonts w:ascii="Arial" w:hAnsi="Arial" w:cs="Arial"/>
          <w:color w:val="181818" w:themeColor="accent6" w:themeShade="1A"/>
          <w:sz w:val="22"/>
          <w:lang w:val="es-CO"/>
        </w:rPr>
        <w:t>ii</w:t>
      </w:r>
      <w:proofErr w:type="spellEnd"/>
      <w:r w:rsidRPr="006063B6">
        <w:rPr>
          <w:rFonts w:ascii="Arial" w:hAnsi="Arial" w:cs="Arial"/>
          <w:color w:val="181818" w:themeColor="accent6" w:themeShade="1A"/>
          <w:sz w:val="22"/>
          <w:lang w:val="es-CO"/>
        </w:rPr>
        <w:t xml:space="preserve">) existencia y representación legal; </w:t>
      </w:r>
      <w:proofErr w:type="spellStart"/>
      <w:r w:rsidRPr="006063B6">
        <w:rPr>
          <w:rFonts w:ascii="Arial" w:hAnsi="Arial" w:cs="Arial"/>
          <w:color w:val="181818" w:themeColor="accent6" w:themeShade="1A"/>
          <w:sz w:val="22"/>
          <w:lang w:val="es-CO"/>
        </w:rPr>
        <w:t>iii</w:t>
      </w:r>
      <w:proofErr w:type="spellEnd"/>
      <w:r w:rsidRPr="006063B6">
        <w:rPr>
          <w:rFonts w:ascii="Arial" w:hAnsi="Arial" w:cs="Arial"/>
          <w:color w:val="181818" w:themeColor="accent6" w:themeShade="1A"/>
          <w:sz w:val="22"/>
          <w:lang w:val="es-CO"/>
        </w:rPr>
        <w:t xml:space="preserve">) certificación de pagos de seguridad social y aportes legales; </w:t>
      </w:r>
      <w:proofErr w:type="spellStart"/>
      <w:r w:rsidRPr="006063B6">
        <w:rPr>
          <w:rFonts w:ascii="Arial" w:hAnsi="Arial" w:cs="Arial"/>
          <w:color w:val="181818" w:themeColor="accent6" w:themeShade="1A"/>
          <w:sz w:val="22"/>
          <w:lang w:val="es-CO"/>
        </w:rPr>
        <w:t>iv</w:t>
      </w:r>
      <w:proofErr w:type="spellEnd"/>
      <w:r w:rsidRPr="006063B6">
        <w:rPr>
          <w:rFonts w:ascii="Arial" w:hAnsi="Arial" w:cs="Arial"/>
          <w:color w:val="181818" w:themeColor="accent6" w:themeShade="1A"/>
          <w:sz w:val="22"/>
          <w:lang w:val="es-CO"/>
        </w:rPr>
        <w:t xml:space="preserve">) experiencia; v) visita al sitio de la obra; vi) capacidad financiera; </w:t>
      </w:r>
      <w:proofErr w:type="spellStart"/>
      <w:r w:rsidRPr="006063B6">
        <w:rPr>
          <w:rFonts w:ascii="Arial" w:hAnsi="Arial" w:cs="Arial"/>
          <w:color w:val="181818" w:themeColor="accent6" w:themeShade="1A"/>
          <w:sz w:val="22"/>
          <w:lang w:val="es-CO"/>
        </w:rPr>
        <w:t>vii</w:t>
      </w:r>
      <w:proofErr w:type="spellEnd"/>
      <w:r w:rsidRPr="006063B6">
        <w:rPr>
          <w:rFonts w:ascii="Arial" w:hAnsi="Arial" w:cs="Arial"/>
          <w:color w:val="181818" w:themeColor="accent6" w:themeShade="1A"/>
          <w:sz w:val="22"/>
          <w:lang w:val="es-CO"/>
        </w:rPr>
        <w:t xml:space="preserve">) capital de trabajo; </w:t>
      </w:r>
      <w:proofErr w:type="spellStart"/>
      <w:r w:rsidRPr="006063B6">
        <w:rPr>
          <w:rFonts w:ascii="Arial" w:hAnsi="Arial" w:cs="Arial"/>
          <w:color w:val="181818" w:themeColor="accent6" w:themeShade="1A"/>
          <w:sz w:val="22"/>
          <w:lang w:val="es-CO"/>
        </w:rPr>
        <w:t>viii</w:t>
      </w:r>
      <w:proofErr w:type="spellEnd"/>
      <w:r w:rsidRPr="006063B6">
        <w:rPr>
          <w:rFonts w:ascii="Arial" w:hAnsi="Arial" w:cs="Arial"/>
          <w:color w:val="181818" w:themeColor="accent6" w:themeShade="1A"/>
          <w:sz w:val="22"/>
          <w:lang w:val="es-CO"/>
        </w:rPr>
        <w:t xml:space="preserve">) capacidad organizacional; y </w:t>
      </w:r>
      <w:proofErr w:type="spellStart"/>
      <w:r w:rsidRPr="006063B6">
        <w:rPr>
          <w:rFonts w:ascii="Arial" w:hAnsi="Arial" w:cs="Arial"/>
          <w:color w:val="181818" w:themeColor="accent6" w:themeShade="1A"/>
          <w:sz w:val="22"/>
          <w:lang w:val="es-CO"/>
        </w:rPr>
        <w:t>ix</w:t>
      </w:r>
      <w:proofErr w:type="spellEnd"/>
      <w:r w:rsidRPr="006063B6">
        <w:rPr>
          <w:rFonts w:ascii="Arial" w:hAnsi="Arial" w:cs="Arial"/>
          <w:color w:val="181818" w:themeColor="accent6" w:themeShade="1A"/>
          <w:sz w:val="22"/>
          <w:lang w:val="es-CO"/>
        </w:rPr>
        <w:t xml:space="preserve">) capacidad residual. Para los procesos de mínima cuantía se fijaron los requisitos de: i) capacidad jurídica; </w:t>
      </w:r>
      <w:proofErr w:type="spellStart"/>
      <w:r w:rsidRPr="006063B6">
        <w:rPr>
          <w:rFonts w:ascii="Arial" w:hAnsi="Arial" w:cs="Arial"/>
          <w:color w:val="181818" w:themeColor="accent6" w:themeShade="1A"/>
          <w:sz w:val="22"/>
          <w:lang w:val="es-CO"/>
        </w:rPr>
        <w:t>ii</w:t>
      </w:r>
      <w:proofErr w:type="spellEnd"/>
      <w:r w:rsidRPr="006063B6">
        <w:rPr>
          <w:rFonts w:ascii="Arial" w:hAnsi="Arial" w:cs="Arial"/>
          <w:color w:val="181818" w:themeColor="accent6" w:themeShade="1A"/>
          <w:sz w:val="22"/>
          <w:lang w:val="es-CO"/>
        </w:rPr>
        <w:t xml:space="preserve">) existencia y representación legal; </w:t>
      </w:r>
      <w:proofErr w:type="spellStart"/>
      <w:r w:rsidRPr="006063B6">
        <w:rPr>
          <w:rFonts w:ascii="Arial" w:hAnsi="Arial" w:cs="Arial"/>
          <w:color w:val="181818" w:themeColor="accent6" w:themeShade="1A"/>
          <w:sz w:val="22"/>
          <w:lang w:val="es-CO"/>
        </w:rPr>
        <w:t>iii</w:t>
      </w:r>
      <w:proofErr w:type="spellEnd"/>
      <w:r w:rsidRPr="006063B6">
        <w:rPr>
          <w:rFonts w:ascii="Arial" w:hAnsi="Arial" w:cs="Arial"/>
          <w:color w:val="181818" w:themeColor="accent6" w:themeShade="1A"/>
          <w:sz w:val="22"/>
          <w:lang w:val="es-CO"/>
        </w:rPr>
        <w:t xml:space="preserve">) certificación de pagos de seguridad social y aportes legales; </w:t>
      </w:r>
      <w:proofErr w:type="spellStart"/>
      <w:r w:rsidRPr="006063B6">
        <w:rPr>
          <w:rFonts w:ascii="Arial" w:hAnsi="Arial" w:cs="Arial"/>
          <w:color w:val="181818" w:themeColor="accent6" w:themeShade="1A"/>
          <w:sz w:val="22"/>
          <w:lang w:val="es-CO"/>
        </w:rPr>
        <w:t>iv</w:t>
      </w:r>
      <w:proofErr w:type="spellEnd"/>
      <w:r w:rsidRPr="006063B6">
        <w:rPr>
          <w:rFonts w:ascii="Arial" w:hAnsi="Arial" w:cs="Arial"/>
          <w:color w:val="181818" w:themeColor="accent6" w:themeShade="1A"/>
          <w:sz w:val="22"/>
          <w:lang w:val="es-CO"/>
        </w:rPr>
        <w:t xml:space="preserve">) experiencia; v) capacidad financiera; y vi) capacidad residual. </w:t>
      </w:r>
    </w:p>
    <w:p w14:paraId="0681E58F" w14:textId="77777777" w:rsidR="00285104" w:rsidRPr="006063B6" w:rsidRDefault="00285104" w:rsidP="00285104">
      <w:pPr>
        <w:spacing w:before="120" w:after="120" w:line="276" w:lineRule="auto"/>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ab/>
        <w:t xml:space="preserve">Estos requisitos se encuentran detalladamente regulados por los «Documentos Base o Pliegos Tipo» de las modalidades de licitación pública y selección abreviada, al igual que en la «Invitación» desarrollada para procesos de mínima cuantía. Esta regulación </w:t>
      </w:r>
      <w:r w:rsidRPr="006063B6">
        <w:rPr>
          <w:rFonts w:ascii="Arial" w:hAnsi="Arial" w:cs="Arial"/>
          <w:color w:val="181818" w:themeColor="accent6" w:themeShade="1A"/>
          <w:sz w:val="22"/>
          <w:lang w:val="es-CO"/>
        </w:rPr>
        <w:lastRenderedPageBreak/>
        <w:t>abarca desde la cuantificación del requisito exigible, hasta la forma y documentación mediante los que deben ser acreditados por los proponentes, criterios que, se itera, son inmodificables e inalterables por las entidades.</w:t>
      </w:r>
    </w:p>
    <w:p w14:paraId="770D9C00" w14:textId="7776897B" w:rsidR="00477DFA" w:rsidRPr="006063B6" w:rsidRDefault="00477DFA" w:rsidP="00477DFA">
      <w:pPr>
        <w:spacing w:before="120" w:after="120" w:line="276" w:lineRule="auto"/>
        <w:ind w:firstLine="709"/>
        <w:jc w:val="both"/>
        <w:rPr>
          <w:rFonts w:ascii="Arial" w:eastAsia="Calibri" w:hAnsi="Arial" w:cs="Arial"/>
          <w:bCs/>
          <w:color w:val="181818" w:themeColor="accent6" w:themeShade="1A"/>
          <w:sz w:val="22"/>
          <w:lang w:val="es-CO"/>
        </w:rPr>
      </w:pPr>
      <w:r w:rsidRPr="006063B6">
        <w:rPr>
          <w:rFonts w:ascii="Arial" w:eastAsia="Calibri" w:hAnsi="Arial" w:cs="Arial"/>
          <w:bCs/>
          <w:color w:val="181818" w:themeColor="accent6" w:themeShade="1A"/>
          <w:sz w:val="22"/>
          <w:lang w:val="es-CO"/>
        </w:rPr>
        <w:t>Esta prohibición se ratifica actualmente</w:t>
      </w:r>
      <w:r w:rsidR="00832CFD" w:rsidRPr="006063B6">
        <w:rPr>
          <w:rFonts w:ascii="Arial" w:eastAsia="Calibri" w:hAnsi="Arial" w:cs="Arial"/>
          <w:bCs/>
          <w:color w:val="181818" w:themeColor="accent6" w:themeShade="1A"/>
          <w:sz w:val="22"/>
          <w:lang w:val="es-CO"/>
        </w:rPr>
        <w:t>, tanto</w:t>
      </w:r>
      <w:r w:rsidRPr="006063B6">
        <w:rPr>
          <w:rFonts w:ascii="Arial" w:eastAsia="Calibri" w:hAnsi="Arial" w:cs="Arial"/>
          <w:bCs/>
          <w:color w:val="181818" w:themeColor="accent6" w:themeShade="1A"/>
          <w:sz w:val="22"/>
          <w:lang w:val="es-CO"/>
        </w:rPr>
        <w:t xml:space="preserve"> en el artículo 2</w:t>
      </w:r>
      <w:r w:rsidR="00DB2F49" w:rsidRPr="006063B6">
        <w:rPr>
          <w:rFonts w:ascii="Arial" w:eastAsia="Calibri" w:hAnsi="Arial" w:cs="Arial"/>
          <w:bCs/>
          <w:color w:val="181818" w:themeColor="accent6" w:themeShade="1A"/>
          <w:sz w:val="22"/>
          <w:lang w:val="es-CO"/>
        </w:rPr>
        <w:t>°</w:t>
      </w:r>
      <w:r w:rsidRPr="006063B6">
        <w:rPr>
          <w:rFonts w:ascii="Arial" w:eastAsia="Calibri" w:hAnsi="Arial" w:cs="Arial"/>
          <w:bCs/>
          <w:color w:val="181818" w:themeColor="accent6" w:themeShade="1A"/>
          <w:sz w:val="22"/>
          <w:lang w:val="es-CO"/>
        </w:rPr>
        <w:t xml:space="preserve"> de la Resolución No. 0045 de 2020,</w:t>
      </w:r>
      <w:r w:rsidR="00832CFD" w:rsidRPr="006063B6">
        <w:rPr>
          <w:rFonts w:ascii="Arial" w:eastAsia="Calibri" w:hAnsi="Arial" w:cs="Arial"/>
          <w:bCs/>
          <w:color w:val="181818" w:themeColor="accent6" w:themeShade="1A"/>
          <w:sz w:val="22"/>
          <w:lang w:val="es-CO"/>
        </w:rPr>
        <w:t xml:space="preserve"> como en </w:t>
      </w:r>
      <w:r w:rsidR="00DB2F49" w:rsidRPr="006063B6">
        <w:rPr>
          <w:rFonts w:ascii="Arial" w:eastAsia="Calibri" w:hAnsi="Arial" w:cs="Arial"/>
          <w:bCs/>
          <w:color w:val="181818" w:themeColor="accent6" w:themeShade="1A"/>
          <w:sz w:val="22"/>
          <w:lang w:val="es-CO"/>
        </w:rPr>
        <w:t>los</w:t>
      </w:r>
      <w:r w:rsidR="00832CFD" w:rsidRPr="006063B6">
        <w:rPr>
          <w:rFonts w:ascii="Arial" w:eastAsia="Calibri" w:hAnsi="Arial" w:cs="Arial"/>
          <w:bCs/>
          <w:color w:val="181818" w:themeColor="accent6" w:themeShade="1A"/>
          <w:sz w:val="22"/>
          <w:lang w:val="es-CO"/>
        </w:rPr>
        <w:t xml:space="preserve"> artículo</w:t>
      </w:r>
      <w:r w:rsidR="00DB2F49" w:rsidRPr="006063B6">
        <w:rPr>
          <w:rFonts w:ascii="Arial" w:eastAsia="Calibri" w:hAnsi="Arial" w:cs="Arial"/>
          <w:bCs/>
          <w:color w:val="181818" w:themeColor="accent6" w:themeShade="1A"/>
          <w:sz w:val="22"/>
          <w:lang w:val="es-CO"/>
        </w:rPr>
        <w:t>s</w:t>
      </w:r>
      <w:r w:rsidR="00832CFD" w:rsidRPr="006063B6">
        <w:rPr>
          <w:rFonts w:ascii="Arial" w:eastAsia="Calibri" w:hAnsi="Arial" w:cs="Arial"/>
          <w:bCs/>
          <w:color w:val="181818" w:themeColor="accent6" w:themeShade="1A"/>
          <w:sz w:val="22"/>
          <w:lang w:val="es-CO"/>
        </w:rPr>
        <w:t xml:space="preserve"> 2</w:t>
      </w:r>
      <w:r w:rsidR="00DB2F49" w:rsidRPr="006063B6">
        <w:rPr>
          <w:rFonts w:ascii="Arial" w:eastAsia="Calibri" w:hAnsi="Arial" w:cs="Arial"/>
          <w:bCs/>
          <w:color w:val="181818" w:themeColor="accent6" w:themeShade="1A"/>
          <w:sz w:val="22"/>
          <w:lang w:val="es-CO"/>
        </w:rPr>
        <w:t>°</w:t>
      </w:r>
      <w:r w:rsidR="00832CFD" w:rsidRPr="006063B6">
        <w:rPr>
          <w:rFonts w:ascii="Arial" w:eastAsia="Calibri" w:hAnsi="Arial" w:cs="Arial"/>
          <w:bCs/>
          <w:color w:val="181818" w:themeColor="accent6" w:themeShade="1A"/>
          <w:sz w:val="22"/>
          <w:lang w:val="es-CO"/>
        </w:rPr>
        <w:t xml:space="preserve"> de la Resoluci</w:t>
      </w:r>
      <w:r w:rsidR="00DB2F49" w:rsidRPr="006063B6">
        <w:rPr>
          <w:rFonts w:ascii="Arial" w:eastAsia="Calibri" w:hAnsi="Arial" w:cs="Arial"/>
          <w:bCs/>
          <w:color w:val="181818" w:themeColor="accent6" w:themeShade="1A"/>
          <w:sz w:val="22"/>
          <w:lang w:val="es-CO"/>
        </w:rPr>
        <w:t>ones</w:t>
      </w:r>
      <w:r w:rsidR="00832CFD" w:rsidRPr="006063B6">
        <w:rPr>
          <w:rFonts w:ascii="Arial" w:eastAsia="Calibri" w:hAnsi="Arial" w:cs="Arial"/>
          <w:bCs/>
          <w:color w:val="181818" w:themeColor="accent6" w:themeShade="1A"/>
          <w:sz w:val="22"/>
          <w:lang w:val="es-CO"/>
        </w:rPr>
        <w:t xml:space="preserve"> No. 0044</w:t>
      </w:r>
      <w:r w:rsidR="00DB2F49" w:rsidRPr="006063B6">
        <w:rPr>
          <w:rFonts w:ascii="Arial" w:eastAsia="Calibri" w:hAnsi="Arial" w:cs="Arial"/>
          <w:bCs/>
          <w:color w:val="181818" w:themeColor="accent6" w:themeShade="1A"/>
          <w:sz w:val="22"/>
          <w:lang w:val="es-CO"/>
        </w:rPr>
        <w:t xml:space="preserve"> y 0094</w:t>
      </w:r>
      <w:r w:rsidR="00832CFD" w:rsidRPr="006063B6">
        <w:rPr>
          <w:rFonts w:ascii="Arial" w:eastAsia="Calibri" w:hAnsi="Arial" w:cs="Arial"/>
          <w:bCs/>
          <w:color w:val="181818" w:themeColor="accent6" w:themeShade="1A"/>
          <w:sz w:val="22"/>
          <w:lang w:val="es-CO"/>
        </w:rPr>
        <w:t xml:space="preserve"> del 2020,</w:t>
      </w:r>
      <w:r w:rsidRPr="006063B6">
        <w:rPr>
          <w:rFonts w:ascii="Arial" w:eastAsia="Calibri" w:hAnsi="Arial" w:cs="Arial"/>
          <w:bCs/>
          <w:color w:val="181818" w:themeColor="accent6" w:themeShade="1A"/>
          <w:sz w:val="22"/>
          <w:lang w:val="es-CO"/>
        </w:rPr>
        <w:t xml:space="preserve"> al consagrar la inalterabilidad de los documentos tipo en términos</w:t>
      </w:r>
      <w:r w:rsidR="00EC6583">
        <w:rPr>
          <w:rFonts w:ascii="Arial" w:eastAsia="Calibri" w:hAnsi="Arial" w:cs="Arial"/>
          <w:bCs/>
          <w:color w:val="181818" w:themeColor="accent6" w:themeShade="1A"/>
          <w:sz w:val="22"/>
          <w:lang w:val="es-CO"/>
        </w:rPr>
        <w:t xml:space="preserve"> </w:t>
      </w:r>
      <w:r w:rsidR="00EC6583" w:rsidRPr="006063B6">
        <w:rPr>
          <w:rFonts w:ascii="Arial" w:eastAsia="Calibri" w:hAnsi="Arial" w:cs="Arial"/>
          <w:bCs/>
          <w:color w:val="181818" w:themeColor="accent6" w:themeShade="1A"/>
          <w:sz w:val="22"/>
          <w:lang w:val="es-CO"/>
        </w:rPr>
        <w:t>idénticos</w:t>
      </w:r>
      <w:r w:rsidRPr="006063B6">
        <w:rPr>
          <w:rFonts w:ascii="Arial" w:eastAsia="Calibri" w:hAnsi="Arial" w:cs="Arial"/>
          <w:bCs/>
          <w:color w:val="181818" w:themeColor="accent6" w:themeShade="1A"/>
          <w:sz w:val="22"/>
          <w:lang w:val="es-CO"/>
        </w:rPr>
        <w:t xml:space="preserve">: «Las Entidades Estatales no pueden incluir condiciones o modificar las señaladas en los Documentos Tipo, a menos que expresamente se les faculte para hacerlo». </w:t>
      </w:r>
    </w:p>
    <w:p w14:paraId="1340B532" w14:textId="61B4DF1D" w:rsidR="00832CFD" w:rsidRPr="006063B6" w:rsidRDefault="00832CFD" w:rsidP="00970D41">
      <w:pPr>
        <w:pStyle w:val="NormalWeb"/>
        <w:spacing w:before="0" w:beforeAutospacing="0" w:after="120" w:afterAutospacing="0" w:line="276" w:lineRule="auto"/>
        <w:ind w:firstLine="709"/>
        <w:jc w:val="both"/>
        <w:rPr>
          <w:rFonts w:ascii="Arial" w:hAnsi="Arial" w:cs="Arial"/>
          <w:bCs/>
          <w:color w:val="181818" w:themeColor="accent6" w:themeShade="1A"/>
          <w:sz w:val="22"/>
          <w:szCs w:val="22"/>
          <w:lang w:val="es-MX"/>
        </w:rPr>
      </w:pPr>
      <w:r w:rsidRPr="006063B6">
        <w:rPr>
          <w:rFonts w:ascii="Arial" w:eastAsia="Calibri" w:hAnsi="Arial" w:cs="Arial"/>
          <w:bCs/>
          <w:color w:val="181818" w:themeColor="accent6" w:themeShade="1A"/>
          <w:sz w:val="22"/>
          <w:szCs w:val="22"/>
        </w:rPr>
        <w:t>Ahora bien, en el caso de la licitación pública</w:t>
      </w:r>
      <w:r w:rsidR="00EC6583">
        <w:rPr>
          <w:rFonts w:ascii="Arial" w:eastAsia="Calibri" w:hAnsi="Arial" w:cs="Arial"/>
          <w:bCs/>
          <w:color w:val="181818" w:themeColor="accent6" w:themeShade="1A"/>
          <w:sz w:val="22"/>
          <w:szCs w:val="22"/>
        </w:rPr>
        <w:t>,</w:t>
      </w:r>
      <w:r w:rsidRPr="006063B6">
        <w:rPr>
          <w:rFonts w:ascii="Arial" w:eastAsia="Calibri" w:hAnsi="Arial" w:cs="Arial"/>
          <w:bCs/>
          <w:color w:val="181818" w:themeColor="accent6" w:themeShade="1A"/>
          <w:sz w:val="22"/>
          <w:szCs w:val="22"/>
        </w:rPr>
        <w:t xml:space="preserve"> </w:t>
      </w:r>
      <w:r w:rsidRPr="006063B6">
        <w:rPr>
          <w:rFonts w:ascii="Arial" w:eastAsia="Calibri" w:hAnsi="Arial" w:cs="Arial" w:hint="eastAsia"/>
          <w:bCs/>
          <w:color w:val="181818" w:themeColor="accent6" w:themeShade="1A"/>
          <w:sz w:val="22"/>
          <w:szCs w:val="22"/>
          <w:lang w:val="es-MX"/>
        </w:rPr>
        <w:t>el artículo 2.2.1.2.6.1.2</w:t>
      </w:r>
      <w:r w:rsidRPr="006063B6">
        <w:rPr>
          <w:rFonts w:ascii="Arial" w:eastAsia="Calibri" w:hAnsi="Arial" w:cs="Arial"/>
          <w:bCs/>
          <w:color w:val="181818" w:themeColor="accent6" w:themeShade="1A"/>
          <w:sz w:val="22"/>
          <w:szCs w:val="22"/>
        </w:rPr>
        <w:t>, adicionado por el Decreto 342 de 2019</w:t>
      </w:r>
      <w:r w:rsidRPr="006063B6">
        <w:rPr>
          <w:rFonts w:ascii="Arial" w:eastAsia="Calibri" w:hAnsi="Arial" w:cs="Arial" w:hint="eastAsia"/>
          <w:bCs/>
          <w:color w:val="181818" w:themeColor="accent6" w:themeShade="1A"/>
          <w:sz w:val="22"/>
          <w:szCs w:val="22"/>
          <w:lang w:val="es-MX"/>
        </w:rPr>
        <w:t xml:space="preserve"> </w:t>
      </w:r>
      <w:r w:rsidRPr="006063B6">
        <w:rPr>
          <w:rFonts w:ascii="Arial" w:eastAsia="Calibri" w:hAnsi="Arial" w:cs="Arial"/>
          <w:bCs/>
          <w:color w:val="181818" w:themeColor="accent6" w:themeShade="1A"/>
          <w:sz w:val="22"/>
          <w:szCs w:val="22"/>
        </w:rPr>
        <w:t>a</w:t>
      </w:r>
      <w:r w:rsidRPr="006063B6">
        <w:rPr>
          <w:rFonts w:ascii="Arial" w:eastAsia="Calibri" w:hAnsi="Arial" w:cs="Arial" w:hint="eastAsia"/>
          <w:bCs/>
          <w:color w:val="181818" w:themeColor="accent6" w:themeShade="1A"/>
          <w:sz w:val="22"/>
          <w:szCs w:val="22"/>
          <w:lang w:val="es-MX"/>
        </w:rPr>
        <w:t>l Decreto 1082 de 2015</w:t>
      </w:r>
      <w:r w:rsidRPr="006063B6">
        <w:rPr>
          <w:rFonts w:ascii="Arial" w:eastAsia="Calibri" w:hAnsi="Arial" w:cs="Arial"/>
          <w:bCs/>
          <w:color w:val="181818" w:themeColor="accent6" w:themeShade="1A"/>
          <w:sz w:val="22"/>
          <w:szCs w:val="22"/>
        </w:rPr>
        <w:t>,</w:t>
      </w:r>
      <w:r w:rsidRPr="006063B6">
        <w:rPr>
          <w:rFonts w:ascii="Arial" w:eastAsia="Calibri" w:hAnsi="Arial" w:cs="Arial" w:hint="eastAsia"/>
          <w:bCs/>
          <w:color w:val="181818" w:themeColor="accent6" w:themeShade="1A"/>
          <w:sz w:val="22"/>
          <w:szCs w:val="22"/>
          <w:lang w:val="es-MX"/>
        </w:rPr>
        <w:t xml:space="preserve"> establece un listado </w:t>
      </w:r>
      <w:r w:rsidRPr="006063B6">
        <w:rPr>
          <w:rFonts w:ascii="Arial" w:eastAsia="Calibri" w:hAnsi="Arial" w:cs="Arial"/>
          <w:bCs/>
          <w:color w:val="181818" w:themeColor="accent6" w:themeShade="1A"/>
          <w:sz w:val="22"/>
          <w:szCs w:val="22"/>
        </w:rPr>
        <w:t>de los</w:t>
      </w:r>
      <w:r w:rsidRPr="006063B6">
        <w:rPr>
          <w:rFonts w:ascii="Arial" w:eastAsia="Calibri" w:hAnsi="Arial" w:cs="Arial" w:hint="eastAsia"/>
          <w:bCs/>
          <w:color w:val="181818" w:themeColor="accent6" w:themeShade="1A"/>
          <w:sz w:val="22"/>
          <w:szCs w:val="22"/>
          <w:lang w:val="es-MX"/>
        </w:rPr>
        <w:t xml:space="preserve"> </w:t>
      </w:r>
      <w:r w:rsidRPr="006063B6">
        <w:rPr>
          <w:rFonts w:ascii="Arial" w:eastAsia="Calibri" w:hAnsi="Arial" w:cs="Arial"/>
          <w:bCs/>
          <w:color w:val="181818" w:themeColor="accent6" w:themeShade="1A"/>
          <w:sz w:val="22"/>
          <w:szCs w:val="22"/>
        </w:rPr>
        <w:t>documentos tipo aplicables a esta modalidad de selección. Lo propio hace</w:t>
      </w:r>
      <w:r w:rsidR="00DB2F49" w:rsidRPr="006063B6">
        <w:rPr>
          <w:rFonts w:ascii="Arial" w:eastAsia="Calibri" w:hAnsi="Arial" w:cs="Arial"/>
          <w:bCs/>
          <w:color w:val="181818" w:themeColor="accent6" w:themeShade="1A"/>
          <w:sz w:val="22"/>
          <w:szCs w:val="22"/>
        </w:rPr>
        <w:t>n</w:t>
      </w:r>
      <w:r w:rsidRPr="006063B6">
        <w:rPr>
          <w:rFonts w:ascii="Arial" w:eastAsia="Calibri" w:hAnsi="Arial" w:cs="Arial"/>
          <w:bCs/>
          <w:color w:val="181818" w:themeColor="accent6" w:themeShade="1A"/>
          <w:sz w:val="22"/>
          <w:szCs w:val="22"/>
        </w:rPr>
        <w:t xml:space="preserve"> </w:t>
      </w:r>
      <w:r w:rsidR="00DB2F49" w:rsidRPr="006063B6">
        <w:rPr>
          <w:rFonts w:ascii="Arial" w:eastAsia="Calibri" w:hAnsi="Arial" w:cs="Arial"/>
          <w:bCs/>
          <w:color w:val="181818" w:themeColor="accent6" w:themeShade="1A"/>
          <w:sz w:val="22"/>
          <w:szCs w:val="22"/>
        </w:rPr>
        <w:t>los</w:t>
      </w:r>
      <w:r w:rsidRPr="006063B6">
        <w:rPr>
          <w:rFonts w:ascii="Arial" w:eastAsia="Calibri" w:hAnsi="Arial" w:cs="Arial"/>
          <w:bCs/>
          <w:color w:val="181818" w:themeColor="accent6" w:themeShade="1A"/>
          <w:sz w:val="22"/>
          <w:szCs w:val="22"/>
        </w:rPr>
        <w:t xml:space="preserve"> artículo</w:t>
      </w:r>
      <w:r w:rsidR="00DB2F49" w:rsidRPr="006063B6">
        <w:rPr>
          <w:rFonts w:ascii="Arial" w:eastAsia="Calibri" w:hAnsi="Arial" w:cs="Arial"/>
          <w:bCs/>
          <w:color w:val="181818" w:themeColor="accent6" w:themeShade="1A"/>
          <w:sz w:val="22"/>
          <w:szCs w:val="22"/>
        </w:rPr>
        <w:t>s</w:t>
      </w:r>
      <w:r w:rsidRPr="006063B6">
        <w:rPr>
          <w:rFonts w:ascii="Arial" w:eastAsia="Calibri" w:hAnsi="Arial" w:cs="Arial"/>
          <w:bCs/>
          <w:color w:val="181818" w:themeColor="accent6" w:themeShade="1A"/>
          <w:sz w:val="22"/>
          <w:szCs w:val="22"/>
        </w:rPr>
        <w:t xml:space="preserve"> 2.2.1.2.6.2.2 adicionado por el Decreto 2096 de 2019, respecto de la modalidad de selección abreviada de menor cuantía</w:t>
      </w:r>
      <w:r w:rsidR="00DB2F49" w:rsidRPr="006063B6">
        <w:rPr>
          <w:rFonts w:ascii="Arial" w:eastAsia="Calibri" w:hAnsi="Arial" w:cs="Arial"/>
          <w:bCs/>
          <w:color w:val="181818" w:themeColor="accent6" w:themeShade="1A"/>
          <w:sz w:val="22"/>
          <w:szCs w:val="22"/>
        </w:rPr>
        <w:t xml:space="preserve"> y el 2.2.1.2.6.3.2 adicionado por el Decreto 594 de 2020 para la modalidad de mínima cuantía.</w:t>
      </w:r>
      <w:r w:rsidRPr="006063B6">
        <w:rPr>
          <w:rFonts w:ascii="Arial" w:eastAsia="Calibri" w:hAnsi="Arial" w:cs="Arial"/>
          <w:bCs/>
          <w:color w:val="181818" w:themeColor="accent6" w:themeShade="1A"/>
          <w:sz w:val="22"/>
          <w:szCs w:val="22"/>
        </w:rPr>
        <w:t xml:space="preserve"> En ambos listados, implementados y desarrollados por la Agencia Nacional de Contratación Pública a través de las Resoluciones No. 1798 de 2019, 0044</w:t>
      </w:r>
      <w:r w:rsidR="00DB2F49" w:rsidRPr="006063B6">
        <w:rPr>
          <w:rFonts w:ascii="Arial" w:eastAsia="Calibri" w:hAnsi="Arial" w:cs="Arial"/>
          <w:bCs/>
          <w:color w:val="181818" w:themeColor="accent6" w:themeShade="1A"/>
          <w:sz w:val="22"/>
          <w:szCs w:val="22"/>
        </w:rPr>
        <w:t>,</w:t>
      </w:r>
      <w:r w:rsidRPr="006063B6">
        <w:rPr>
          <w:rFonts w:ascii="Arial" w:eastAsia="Calibri" w:hAnsi="Arial" w:cs="Arial"/>
          <w:bCs/>
          <w:color w:val="181818" w:themeColor="accent6" w:themeShade="1A"/>
          <w:sz w:val="22"/>
          <w:szCs w:val="22"/>
        </w:rPr>
        <w:t xml:space="preserve"> 0045</w:t>
      </w:r>
      <w:r w:rsidR="00DB2F49" w:rsidRPr="006063B6">
        <w:rPr>
          <w:rFonts w:ascii="Arial" w:eastAsia="Calibri" w:hAnsi="Arial" w:cs="Arial"/>
          <w:bCs/>
          <w:color w:val="181818" w:themeColor="accent6" w:themeShade="1A"/>
          <w:sz w:val="22"/>
          <w:szCs w:val="22"/>
        </w:rPr>
        <w:t xml:space="preserve"> y 0094</w:t>
      </w:r>
      <w:r w:rsidRPr="006063B6">
        <w:rPr>
          <w:rFonts w:ascii="Arial" w:eastAsia="Calibri" w:hAnsi="Arial" w:cs="Arial"/>
          <w:bCs/>
          <w:color w:val="181818" w:themeColor="accent6" w:themeShade="1A"/>
          <w:sz w:val="22"/>
          <w:szCs w:val="22"/>
        </w:rPr>
        <w:t xml:space="preserve"> del 2020, se incluye</w:t>
      </w:r>
      <w:r w:rsidR="00034130" w:rsidRPr="006063B6">
        <w:rPr>
          <w:rFonts w:ascii="Arial" w:eastAsia="Calibri" w:hAnsi="Arial" w:cs="Arial"/>
          <w:bCs/>
          <w:color w:val="181818" w:themeColor="accent6" w:themeShade="1A"/>
          <w:sz w:val="22"/>
          <w:szCs w:val="22"/>
        </w:rPr>
        <w:t>ron</w:t>
      </w:r>
      <w:r w:rsidRPr="006063B6">
        <w:rPr>
          <w:rFonts w:ascii="Arial" w:eastAsia="Calibri" w:hAnsi="Arial" w:cs="Arial"/>
          <w:bCs/>
          <w:color w:val="181818" w:themeColor="accent6" w:themeShade="1A"/>
          <w:sz w:val="22"/>
          <w:szCs w:val="22"/>
        </w:rPr>
        <w:t xml:space="preserve"> la </w:t>
      </w:r>
      <w:r w:rsidR="00034130" w:rsidRPr="006063B6">
        <w:rPr>
          <w:rFonts w:ascii="Arial" w:hAnsi="Arial" w:cs="Arial"/>
          <w:color w:val="181818" w:themeColor="accent6" w:themeShade="1A"/>
          <w:sz w:val="22"/>
          <w:szCs w:val="22"/>
        </w:rPr>
        <w:t>«</w:t>
      </w:r>
      <w:r w:rsidRPr="006063B6">
        <w:rPr>
          <w:rFonts w:ascii="Arial" w:hAnsi="Arial" w:cs="Arial"/>
          <w:color w:val="181818" w:themeColor="accent6" w:themeShade="1A"/>
          <w:sz w:val="22"/>
          <w:szCs w:val="22"/>
        </w:rPr>
        <w:t xml:space="preserve">Matriz 1 </w:t>
      </w:r>
      <w:r w:rsidR="00034130" w:rsidRPr="006063B6">
        <w:rPr>
          <w:rFonts w:ascii="Arial" w:hAnsi="Arial" w:cs="Arial"/>
          <w:color w:val="181818" w:themeColor="accent6" w:themeShade="1A"/>
          <w:sz w:val="22"/>
          <w:szCs w:val="22"/>
        </w:rPr>
        <w:t>–</w:t>
      </w:r>
      <w:r w:rsidRPr="006063B6">
        <w:rPr>
          <w:rFonts w:ascii="Arial" w:hAnsi="Arial" w:cs="Arial"/>
          <w:color w:val="181818" w:themeColor="accent6" w:themeShade="1A"/>
          <w:sz w:val="22"/>
          <w:szCs w:val="22"/>
        </w:rPr>
        <w:t xml:space="preserve"> Experiencia</w:t>
      </w:r>
      <w:r w:rsidR="00034130" w:rsidRPr="006063B6">
        <w:rPr>
          <w:rFonts w:ascii="Arial" w:hAnsi="Arial" w:cs="Arial"/>
          <w:color w:val="181818" w:themeColor="accent6" w:themeShade="1A"/>
          <w:sz w:val="22"/>
          <w:szCs w:val="22"/>
        </w:rPr>
        <w:t>» y la «M</w:t>
      </w:r>
      <w:r w:rsidRPr="006063B6">
        <w:rPr>
          <w:rFonts w:ascii="Arial" w:hAnsi="Arial" w:cs="Arial"/>
          <w:color w:val="181818" w:themeColor="accent6" w:themeShade="1A"/>
          <w:sz w:val="22"/>
          <w:szCs w:val="22"/>
        </w:rPr>
        <w:t>atriz 2 - Indicadores financieros y organizacionales</w:t>
      </w:r>
      <w:r w:rsidR="00034130" w:rsidRPr="006063B6">
        <w:rPr>
          <w:rFonts w:ascii="Arial" w:hAnsi="Arial" w:cs="Arial"/>
          <w:color w:val="181818" w:themeColor="accent6" w:themeShade="1A"/>
          <w:sz w:val="22"/>
          <w:szCs w:val="22"/>
        </w:rPr>
        <w:t>», documentos a partir de los cuales las entidades deben determinar los requisitos habilitantes aplicables a los procesos de selección en los que corresponda la aplicación de los documentos tipo</w:t>
      </w:r>
      <w:r w:rsidR="00C03232" w:rsidRPr="006063B6">
        <w:rPr>
          <w:rFonts w:ascii="Arial" w:hAnsi="Arial" w:cs="Arial"/>
          <w:color w:val="181818" w:themeColor="accent6" w:themeShade="1A"/>
          <w:sz w:val="22"/>
          <w:szCs w:val="22"/>
        </w:rPr>
        <w:t>.</w:t>
      </w:r>
    </w:p>
    <w:p w14:paraId="21A91AB4" w14:textId="66980454" w:rsidR="000B0791" w:rsidRPr="006063B6" w:rsidRDefault="002E4771" w:rsidP="00970D41">
      <w:pPr>
        <w:pStyle w:val="NormalWeb"/>
        <w:spacing w:before="0" w:beforeAutospacing="0" w:after="120" w:afterAutospacing="0" w:line="276" w:lineRule="auto"/>
        <w:ind w:firstLine="709"/>
        <w:jc w:val="both"/>
        <w:rPr>
          <w:rFonts w:ascii="Arial" w:hAnsi="Arial" w:cs="Arial"/>
          <w:bCs/>
          <w:color w:val="181818" w:themeColor="accent6" w:themeShade="1A"/>
          <w:sz w:val="22"/>
          <w:szCs w:val="22"/>
          <w:lang w:val="es-MX"/>
        </w:rPr>
      </w:pPr>
      <w:r w:rsidRPr="006063B6">
        <w:rPr>
          <w:rFonts w:ascii="Arial" w:hAnsi="Arial" w:cs="Arial"/>
          <w:bCs/>
          <w:color w:val="181818" w:themeColor="accent6" w:themeShade="1A"/>
          <w:sz w:val="22"/>
          <w:szCs w:val="22"/>
          <w:lang w:val="es-MX"/>
        </w:rPr>
        <w:t xml:space="preserve">Por un lado, la «Matriz 1 – Experiencia» –en adelante Matriz 1–, sirve a las entidades a determinar si el objeto a contratar se encuentra dentro del ámbito de aplicación de los documentos tipo. Para tales efectos la Matriz 1 se encuentra </w:t>
      </w:r>
      <w:r w:rsidR="000B0791" w:rsidRPr="006063B6">
        <w:rPr>
          <w:rFonts w:ascii="Arial" w:hAnsi="Arial" w:cs="Arial"/>
          <w:bCs/>
          <w:color w:val="181818" w:themeColor="accent6" w:themeShade="1A"/>
          <w:sz w:val="22"/>
          <w:szCs w:val="22"/>
          <w:lang w:val="es-MX"/>
        </w:rPr>
        <w:t>dividida en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Tales tipos de obra, a la vez se subdividen en varias actividades. De ser subsumible el objeto a contratar dentro de estos tipos de obra y actividades</w:t>
      </w:r>
      <w:r w:rsidR="00EC6583">
        <w:rPr>
          <w:rFonts w:ascii="Arial" w:hAnsi="Arial" w:cs="Arial"/>
          <w:bCs/>
          <w:color w:val="181818" w:themeColor="accent6" w:themeShade="1A"/>
          <w:sz w:val="22"/>
          <w:szCs w:val="22"/>
          <w:lang w:val="es-MX"/>
        </w:rPr>
        <w:t>,</w:t>
      </w:r>
      <w:r w:rsidR="000B0791" w:rsidRPr="006063B6">
        <w:rPr>
          <w:rFonts w:ascii="Arial" w:hAnsi="Arial" w:cs="Arial"/>
          <w:bCs/>
          <w:color w:val="181818" w:themeColor="accent6" w:themeShade="1A"/>
          <w:sz w:val="22"/>
          <w:szCs w:val="22"/>
          <w:lang w:val="es-MX"/>
        </w:rPr>
        <w:t xml:space="preserve"> corresponde aplica</w:t>
      </w:r>
      <w:r w:rsidR="00EC6583">
        <w:rPr>
          <w:rFonts w:ascii="Arial" w:hAnsi="Arial" w:cs="Arial"/>
          <w:bCs/>
          <w:color w:val="181818" w:themeColor="accent6" w:themeShade="1A"/>
          <w:sz w:val="22"/>
          <w:szCs w:val="22"/>
          <w:lang w:val="es-MX"/>
        </w:rPr>
        <w:t>r</w:t>
      </w:r>
      <w:r w:rsidR="000B0791" w:rsidRPr="006063B6">
        <w:rPr>
          <w:rFonts w:ascii="Arial" w:hAnsi="Arial" w:cs="Arial"/>
          <w:bCs/>
          <w:color w:val="181818" w:themeColor="accent6" w:themeShade="1A"/>
          <w:sz w:val="22"/>
          <w:szCs w:val="22"/>
          <w:lang w:val="es-MX"/>
        </w:rPr>
        <w:t xml:space="preserve"> los documentos tipo. </w:t>
      </w:r>
    </w:p>
    <w:p w14:paraId="3613CF9E" w14:textId="66CA822C" w:rsidR="002E4771" w:rsidRPr="006063B6" w:rsidRDefault="000B0791" w:rsidP="00F57A58">
      <w:pPr>
        <w:pStyle w:val="NormalWeb"/>
        <w:spacing w:before="0" w:beforeAutospacing="0" w:after="120" w:afterAutospacing="0" w:line="276" w:lineRule="auto"/>
        <w:ind w:firstLine="709"/>
        <w:jc w:val="both"/>
        <w:rPr>
          <w:rFonts w:ascii="Arial" w:hAnsi="Arial" w:cs="Arial"/>
          <w:bCs/>
          <w:color w:val="181818" w:themeColor="accent6" w:themeShade="1A"/>
          <w:sz w:val="22"/>
          <w:szCs w:val="22"/>
          <w:lang w:val="es-MX"/>
        </w:rPr>
      </w:pPr>
      <w:r w:rsidRPr="006063B6">
        <w:rPr>
          <w:rFonts w:ascii="Arial" w:hAnsi="Arial" w:cs="Arial"/>
          <w:bCs/>
          <w:color w:val="181818" w:themeColor="accent6" w:themeShade="1A"/>
          <w:sz w:val="22"/>
          <w:szCs w:val="22"/>
          <w:lang w:val="es-MX"/>
        </w:rPr>
        <w:t xml:space="preserve">La Matriz 1 además cumple </w:t>
      </w:r>
      <w:r w:rsidR="00BD2945" w:rsidRPr="006063B6">
        <w:rPr>
          <w:rFonts w:ascii="Arial" w:hAnsi="Arial" w:cs="Arial"/>
          <w:bCs/>
          <w:color w:val="181818" w:themeColor="accent6" w:themeShade="1A"/>
          <w:sz w:val="22"/>
          <w:szCs w:val="22"/>
          <w:lang w:val="es-MX"/>
        </w:rPr>
        <w:t>la</w:t>
      </w:r>
      <w:r w:rsidRPr="006063B6">
        <w:rPr>
          <w:rFonts w:ascii="Arial" w:hAnsi="Arial" w:cs="Arial"/>
          <w:bCs/>
          <w:color w:val="181818" w:themeColor="accent6" w:themeShade="1A"/>
          <w:sz w:val="22"/>
          <w:szCs w:val="22"/>
          <w:lang w:val="es-MX"/>
        </w:rPr>
        <w:t xml:space="preserve"> importante función</w:t>
      </w:r>
      <w:r w:rsidR="00BD2945" w:rsidRPr="006063B6">
        <w:rPr>
          <w:rFonts w:ascii="Arial" w:hAnsi="Arial" w:cs="Arial"/>
          <w:bCs/>
          <w:color w:val="181818" w:themeColor="accent6" w:themeShade="1A"/>
          <w:sz w:val="22"/>
          <w:szCs w:val="22"/>
          <w:lang w:val="es-MX"/>
        </w:rPr>
        <w:t xml:space="preserve"> de</w:t>
      </w:r>
      <w:r w:rsidRPr="006063B6">
        <w:rPr>
          <w:rFonts w:ascii="Arial" w:hAnsi="Arial" w:cs="Arial"/>
          <w:bCs/>
          <w:color w:val="181818" w:themeColor="accent6" w:themeShade="1A"/>
          <w:sz w:val="22"/>
          <w:szCs w:val="22"/>
          <w:lang w:val="es-MX"/>
        </w:rPr>
        <w:t xml:space="preserve"> estandarizar el requisito habilitante de experiencia. En ese sentido, el ejercicio de subsunción del objeto contractual en los campos de la </w:t>
      </w:r>
      <w:r w:rsidR="00F57A58" w:rsidRPr="006063B6">
        <w:rPr>
          <w:rFonts w:ascii="Arial" w:hAnsi="Arial" w:cs="Arial"/>
          <w:bCs/>
          <w:color w:val="181818" w:themeColor="accent6" w:themeShade="1A"/>
          <w:sz w:val="22"/>
          <w:szCs w:val="22"/>
          <w:lang w:val="es-MX"/>
        </w:rPr>
        <w:t>matriz</w:t>
      </w:r>
      <w:r w:rsidRPr="006063B6">
        <w:rPr>
          <w:rFonts w:ascii="Arial" w:hAnsi="Arial" w:cs="Arial"/>
          <w:bCs/>
          <w:color w:val="181818" w:themeColor="accent6" w:themeShade="1A"/>
          <w:sz w:val="22"/>
          <w:szCs w:val="22"/>
          <w:lang w:val="es-MX"/>
        </w:rPr>
        <w:t xml:space="preserve"> determina cu</w:t>
      </w:r>
      <w:r w:rsidR="00EC6583">
        <w:rPr>
          <w:rFonts w:ascii="Arial" w:hAnsi="Arial" w:cs="Arial"/>
          <w:bCs/>
          <w:color w:val="181818" w:themeColor="accent6" w:themeShade="1A"/>
          <w:sz w:val="22"/>
          <w:szCs w:val="22"/>
          <w:lang w:val="es-MX"/>
        </w:rPr>
        <w:t>á</w:t>
      </w:r>
      <w:r w:rsidRPr="006063B6">
        <w:rPr>
          <w:rFonts w:ascii="Arial" w:hAnsi="Arial" w:cs="Arial"/>
          <w:bCs/>
          <w:color w:val="181818" w:themeColor="accent6" w:themeShade="1A"/>
          <w:sz w:val="22"/>
          <w:szCs w:val="22"/>
          <w:lang w:val="es-MX"/>
        </w:rPr>
        <w:t>l es la experiencia exigible como condición habilitante. Para ello las entidades, además del tipo de obra y actividad a contratar, deben tener en cuenta</w:t>
      </w:r>
      <w:r w:rsidR="00BD2945" w:rsidRPr="006063B6">
        <w:rPr>
          <w:rFonts w:ascii="Arial" w:hAnsi="Arial" w:cs="Arial"/>
          <w:bCs/>
          <w:color w:val="181818" w:themeColor="accent6" w:themeShade="1A"/>
          <w:sz w:val="22"/>
          <w:szCs w:val="22"/>
          <w:lang w:val="es-MX"/>
        </w:rPr>
        <w:t xml:space="preserve"> </w:t>
      </w:r>
      <w:r w:rsidRPr="006063B6">
        <w:rPr>
          <w:rFonts w:ascii="Arial" w:hAnsi="Arial" w:cs="Arial"/>
          <w:bCs/>
          <w:color w:val="181818" w:themeColor="accent6" w:themeShade="1A"/>
          <w:sz w:val="22"/>
          <w:szCs w:val="22"/>
          <w:lang w:val="es-MX"/>
        </w:rPr>
        <w:t>la cuantía del proceso de contratación y</w:t>
      </w:r>
      <w:r w:rsidR="00EC6583">
        <w:rPr>
          <w:rFonts w:ascii="Arial" w:hAnsi="Arial" w:cs="Arial"/>
          <w:bCs/>
          <w:color w:val="181818" w:themeColor="accent6" w:themeShade="1A"/>
          <w:sz w:val="22"/>
          <w:szCs w:val="22"/>
          <w:lang w:val="es-MX"/>
        </w:rPr>
        <w:t>,</w:t>
      </w:r>
      <w:r w:rsidRPr="006063B6">
        <w:rPr>
          <w:rFonts w:ascii="Arial" w:hAnsi="Arial" w:cs="Arial"/>
          <w:bCs/>
          <w:color w:val="181818" w:themeColor="accent6" w:themeShade="1A"/>
          <w:sz w:val="22"/>
          <w:szCs w:val="22"/>
          <w:lang w:val="es-MX"/>
        </w:rPr>
        <w:t xml:space="preserve"> en algunos casos</w:t>
      </w:r>
      <w:r w:rsidR="00EC6583">
        <w:rPr>
          <w:rFonts w:ascii="Arial" w:hAnsi="Arial" w:cs="Arial"/>
          <w:bCs/>
          <w:color w:val="181818" w:themeColor="accent6" w:themeShade="1A"/>
          <w:sz w:val="22"/>
          <w:szCs w:val="22"/>
          <w:lang w:val="es-MX"/>
        </w:rPr>
        <w:t>,</w:t>
      </w:r>
      <w:r w:rsidRPr="006063B6">
        <w:rPr>
          <w:rFonts w:ascii="Arial" w:hAnsi="Arial" w:cs="Arial"/>
          <w:bCs/>
          <w:color w:val="181818" w:themeColor="accent6" w:themeShade="1A"/>
          <w:sz w:val="22"/>
          <w:szCs w:val="22"/>
          <w:lang w:val="es-MX"/>
        </w:rPr>
        <w:t xml:space="preserve"> el dimensionamiento en términos de </w:t>
      </w:r>
      <w:r w:rsidR="00EC6583">
        <w:rPr>
          <w:rFonts w:ascii="Arial" w:hAnsi="Arial" w:cs="Arial"/>
          <w:bCs/>
          <w:color w:val="181818" w:themeColor="accent6" w:themeShade="1A"/>
          <w:sz w:val="22"/>
          <w:szCs w:val="22"/>
          <w:lang w:val="es-MX"/>
        </w:rPr>
        <w:t>cantidades de actividades ejecutadas</w:t>
      </w:r>
      <w:r w:rsidRPr="006063B6">
        <w:rPr>
          <w:rFonts w:ascii="Arial" w:hAnsi="Arial" w:cs="Arial"/>
          <w:bCs/>
          <w:color w:val="181818" w:themeColor="accent6" w:themeShade="1A"/>
          <w:sz w:val="22"/>
          <w:szCs w:val="22"/>
          <w:lang w:val="es-MX"/>
        </w:rPr>
        <w:t xml:space="preserve">. </w:t>
      </w:r>
      <w:r w:rsidR="00BD2945" w:rsidRPr="006063B6">
        <w:rPr>
          <w:rFonts w:ascii="Arial" w:hAnsi="Arial" w:cs="Arial"/>
          <w:bCs/>
          <w:color w:val="181818" w:themeColor="accent6" w:themeShade="1A"/>
          <w:sz w:val="22"/>
          <w:szCs w:val="22"/>
          <w:lang w:val="es-MX"/>
        </w:rPr>
        <w:t>Tales aspectos</w:t>
      </w:r>
      <w:r w:rsidR="00EC6583">
        <w:rPr>
          <w:rFonts w:ascii="Arial" w:hAnsi="Arial" w:cs="Arial"/>
          <w:bCs/>
          <w:color w:val="181818" w:themeColor="accent6" w:themeShade="1A"/>
          <w:sz w:val="22"/>
          <w:szCs w:val="22"/>
          <w:lang w:val="es-MX"/>
        </w:rPr>
        <w:t xml:space="preserve"> </w:t>
      </w:r>
      <w:r w:rsidR="00BD2945" w:rsidRPr="006063B6">
        <w:rPr>
          <w:rFonts w:ascii="Arial" w:hAnsi="Arial" w:cs="Arial"/>
          <w:bCs/>
          <w:color w:val="181818" w:themeColor="accent6" w:themeShade="1A"/>
          <w:sz w:val="22"/>
          <w:szCs w:val="22"/>
          <w:lang w:val="es-MX"/>
        </w:rPr>
        <w:t>determinan qu</w:t>
      </w:r>
      <w:r w:rsidR="00EC6583">
        <w:rPr>
          <w:rFonts w:ascii="Arial" w:hAnsi="Arial" w:cs="Arial"/>
          <w:bCs/>
          <w:color w:val="181818" w:themeColor="accent6" w:themeShade="1A"/>
          <w:sz w:val="22"/>
          <w:szCs w:val="22"/>
          <w:lang w:val="es-MX"/>
        </w:rPr>
        <w:t>é</w:t>
      </w:r>
      <w:r w:rsidR="00BD2945" w:rsidRPr="006063B6">
        <w:rPr>
          <w:rFonts w:ascii="Arial" w:hAnsi="Arial" w:cs="Arial"/>
          <w:bCs/>
          <w:color w:val="181818" w:themeColor="accent6" w:themeShade="1A"/>
          <w:sz w:val="22"/>
          <w:szCs w:val="22"/>
          <w:lang w:val="es-MX"/>
        </w:rPr>
        <w:t xml:space="preserve"> deben acreditar los proponentes para cumplir con los requisitos de experiencia general y específica, los cuales se encuentran predeterminados en la matriz</w:t>
      </w:r>
      <w:r w:rsidR="00EC6583">
        <w:rPr>
          <w:rFonts w:ascii="Arial" w:hAnsi="Arial" w:cs="Arial"/>
          <w:bCs/>
          <w:color w:val="181818" w:themeColor="accent6" w:themeShade="1A"/>
          <w:sz w:val="22"/>
          <w:szCs w:val="22"/>
          <w:lang w:val="es-MX"/>
        </w:rPr>
        <w:t>,</w:t>
      </w:r>
      <w:r w:rsidR="00BD2945" w:rsidRPr="006063B6">
        <w:rPr>
          <w:rFonts w:ascii="Arial" w:hAnsi="Arial" w:cs="Arial"/>
          <w:bCs/>
          <w:color w:val="181818" w:themeColor="accent6" w:themeShade="1A"/>
          <w:sz w:val="22"/>
          <w:szCs w:val="22"/>
          <w:lang w:val="es-MX"/>
        </w:rPr>
        <w:t xml:space="preserve"> en función de los mencionados factores, condiciones habilitantes que –se itera– no p</w:t>
      </w:r>
      <w:r w:rsidR="00EC6583">
        <w:rPr>
          <w:rFonts w:ascii="Arial" w:hAnsi="Arial" w:cs="Arial"/>
          <w:bCs/>
          <w:color w:val="181818" w:themeColor="accent6" w:themeShade="1A"/>
          <w:sz w:val="22"/>
          <w:szCs w:val="22"/>
          <w:lang w:val="es-MX"/>
        </w:rPr>
        <w:t>uede</w:t>
      </w:r>
      <w:r w:rsidR="00BD2945" w:rsidRPr="006063B6">
        <w:rPr>
          <w:rFonts w:ascii="Arial" w:hAnsi="Arial" w:cs="Arial"/>
          <w:bCs/>
          <w:color w:val="181818" w:themeColor="accent6" w:themeShade="1A"/>
          <w:sz w:val="22"/>
          <w:szCs w:val="22"/>
          <w:lang w:val="es-MX"/>
        </w:rPr>
        <w:t>n ser modificad</w:t>
      </w:r>
      <w:r w:rsidR="00F57A58" w:rsidRPr="006063B6">
        <w:rPr>
          <w:rFonts w:ascii="Arial" w:hAnsi="Arial" w:cs="Arial"/>
          <w:bCs/>
          <w:color w:val="181818" w:themeColor="accent6" w:themeShade="1A"/>
          <w:sz w:val="22"/>
          <w:szCs w:val="22"/>
          <w:lang w:val="es-MX"/>
        </w:rPr>
        <w:t>a</w:t>
      </w:r>
      <w:r w:rsidR="00BD2945" w:rsidRPr="006063B6">
        <w:rPr>
          <w:rFonts w:ascii="Arial" w:hAnsi="Arial" w:cs="Arial"/>
          <w:bCs/>
          <w:color w:val="181818" w:themeColor="accent6" w:themeShade="1A"/>
          <w:sz w:val="22"/>
          <w:szCs w:val="22"/>
          <w:lang w:val="es-MX"/>
        </w:rPr>
        <w:t>s por las entidades</w:t>
      </w:r>
      <w:r w:rsidR="00EC6583">
        <w:rPr>
          <w:rFonts w:ascii="Arial" w:hAnsi="Arial" w:cs="Arial"/>
          <w:bCs/>
          <w:color w:val="181818" w:themeColor="accent6" w:themeShade="1A"/>
          <w:sz w:val="22"/>
          <w:szCs w:val="22"/>
          <w:lang w:val="es-MX"/>
        </w:rPr>
        <w:t xml:space="preserve"> estatales</w:t>
      </w:r>
      <w:r w:rsidR="00BD2945" w:rsidRPr="006063B6">
        <w:rPr>
          <w:rFonts w:ascii="Arial" w:hAnsi="Arial" w:cs="Arial"/>
          <w:bCs/>
          <w:color w:val="181818" w:themeColor="accent6" w:themeShade="1A"/>
          <w:sz w:val="22"/>
          <w:szCs w:val="22"/>
          <w:lang w:val="es-MX"/>
        </w:rPr>
        <w:t xml:space="preserve">. </w:t>
      </w:r>
    </w:p>
    <w:p w14:paraId="7F18412C" w14:textId="2464049F" w:rsidR="00005CA2" w:rsidRPr="006063B6" w:rsidRDefault="00F57A58" w:rsidP="00970D41">
      <w:pPr>
        <w:pStyle w:val="NormalWeb"/>
        <w:spacing w:before="0" w:beforeAutospacing="0" w:after="120" w:afterAutospacing="0" w:line="276" w:lineRule="auto"/>
        <w:ind w:firstLine="709"/>
        <w:jc w:val="both"/>
        <w:rPr>
          <w:rFonts w:ascii="Arial" w:hAnsi="Arial" w:cs="Arial"/>
          <w:bCs/>
          <w:color w:val="181818" w:themeColor="accent6" w:themeShade="1A"/>
          <w:sz w:val="22"/>
          <w:szCs w:val="22"/>
          <w:lang w:val="es-MX"/>
        </w:rPr>
      </w:pPr>
      <w:r w:rsidRPr="006063B6">
        <w:rPr>
          <w:rFonts w:ascii="Arial" w:hAnsi="Arial" w:cs="Arial"/>
          <w:bCs/>
          <w:color w:val="181818" w:themeColor="accent6" w:themeShade="1A"/>
          <w:sz w:val="22"/>
          <w:szCs w:val="22"/>
          <w:lang w:val="es-MX"/>
        </w:rPr>
        <w:lastRenderedPageBreak/>
        <w:t xml:space="preserve">De otro lado, la «Matriz 2 - Indicadores financieros y organizacionales» –en adelante Matriz 2–, como su nombre lo </w:t>
      </w:r>
      <w:r w:rsidR="00EC6583">
        <w:rPr>
          <w:rFonts w:ascii="Arial" w:hAnsi="Arial" w:cs="Arial"/>
          <w:bCs/>
          <w:color w:val="181818" w:themeColor="accent6" w:themeShade="1A"/>
          <w:sz w:val="22"/>
          <w:szCs w:val="22"/>
          <w:lang w:val="es-MX"/>
        </w:rPr>
        <w:t>señala</w:t>
      </w:r>
      <w:r w:rsidRPr="006063B6">
        <w:rPr>
          <w:rFonts w:ascii="Arial" w:hAnsi="Arial" w:cs="Arial"/>
          <w:bCs/>
          <w:color w:val="181818" w:themeColor="accent6" w:themeShade="1A"/>
          <w:sz w:val="22"/>
          <w:szCs w:val="22"/>
          <w:lang w:val="es-MX"/>
        </w:rPr>
        <w:t>, estable</w:t>
      </w:r>
      <w:r w:rsidR="00005CA2" w:rsidRPr="006063B6">
        <w:rPr>
          <w:rFonts w:ascii="Arial" w:hAnsi="Arial" w:cs="Arial"/>
          <w:bCs/>
          <w:color w:val="181818" w:themeColor="accent6" w:themeShade="1A"/>
          <w:sz w:val="22"/>
          <w:szCs w:val="22"/>
          <w:lang w:val="es-MX"/>
        </w:rPr>
        <w:t>ce</w:t>
      </w:r>
      <w:r w:rsidRPr="006063B6">
        <w:rPr>
          <w:rFonts w:ascii="Arial" w:hAnsi="Arial" w:cs="Arial"/>
          <w:bCs/>
          <w:color w:val="181818" w:themeColor="accent6" w:themeShade="1A"/>
          <w:sz w:val="22"/>
          <w:szCs w:val="22"/>
          <w:lang w:val="es-MX"/>
        </w:rPr>
        <w:t xml:space="preserve"> los indicadores financieros y organizacionales</w:t>
      </w:r>
      <w:r w:rsidR="00005CA2" w:rsidRPr="006063B6">
        <w:rPr>
          <w:rFonts w:ascii="Arial" w:hAnsi="Arial" w:cs="Arial"/>
          <w:bCs/>
          <w:color w:val="181818" w:themeColor="accent6" w:themeShade="1A"/>
          <w:sz w:val="22"/>
          <w:szCs w:val="22"/>
          <w:lang w:val="es-MX"/>
        </w:rPr>
        <w:t xml:space="preserve"> aplicables al proceso de contratación, los cuales sirven </w:t>
      </w:r>
      <w:r w:rsidR="00EC6583">
        <w:rPr>
          <w:rFonts w:ascii="Arial" w:hAnsi="Arial" w:cs="Arial"/>
          <w:bCs/>
          <w:color w:val="181818" w:themeColor="accent6" w:themeShade="1A"/>
          <w:sz w:val="22"/>
          <w:szCs w:val="22"/>
          <w:lang w:val="es-MX"/>
        </w:rPr>
        <w:t>para</w:t>
      </w:r>
      <w:r w:rsidR="00005CA2" w:rsidRPr="006063B6">
        <w:rPr>
          <w:rFonts w:ascii="Arial" w:hAnsi="Arial" w:cs="Arial"/>
          <w:bCs/>
          <w:color w:val="181818" w:themeColor="accent6" w:themeShade="1A"/>
          <w:sz w:val="22"/>
          <w:szCs w:val="22"/>
          <w:lang w:val="es-MX"/>
        </w:rPr>
        <w:t xml:space="preserve"> determinar los requisitos habilitantes de capacidad financiera y organizacional con los que deben cumplir los proponentes. </w:t>
      </w:r>
    </w:p>
    <w:p w14:paraId="7EE80A56" w14:textId="5EC59D7A" w:rsidR="00005CA2" w:rsidRPr="006063B6" w:rsidRDefault="00005CA2" w:rsidP="00034130">
      <w:pPr>
        <w:pStyle w:val="NormalWeb"/>
        <w:spacing w:before="0" w:beforeAutospacing="0" w:after="0" w:afterAutospacing="0" w:line="276" w:lineRule="auto"/>
        <w:ind w:firstLine="708"/>
        <w:jc w:val="both"/>
        <w:rPr>
          <w:rFonts w:ascii="Arial" w:eastAsia="Calibri" w:hAnsi="Arial" w:cs="Arial"/>
          <w:color w:val="181818" w:themeColor="accent6" w:themeShade="1A"/>
          <w:sz w:val="22"/>
        </w:rPr>
      </w:pPr>
      <w:r w:rsidRPr="006063B6">
        <w:rPr>
          <w:rFonts w:ascii="Arial" w:hAnsi="Arial" w:cs="Arial"/>
          <w:bCs/>
          <w:color w:val="181818" w:themeColor="accent6" w:themeShade="1A"/>
          <w:sz w:val="22"/>
          <w:szCs w:val="22"/>
          <w:lang w:val="es-MX"/>
        </w:rPr>
        <w:t xml:space="preserve">Respecto de la capacidad financiera se establecen los indicadores: </w:t>
      </w:r>
      <w:r w:rsidRPr="006063B6">
        <w:rPr>
          <w:rFonts w:ascii="Arial" w:eastAsia="Calibri" w:hAnsi="Arial" w:cs="Arial"/>
          <w:color w:val="181818" w:themeColor="accent6" w:themeShade="1A"/>
          <w:sz w:val="22"/>
        </w:rPr>
        <w:t xml:space="preserve">i) </w:t>
      </w:r>
      <w:r w:rsidRPr="006063B6">
        <w:rPr>
          <w:rFonts w:ascii="Arial" w:eastAsia="Calibri" w:hAnsi="Arial" w:cs="Arial"/>
          <w:i/>
          <w:iCs/>
          <w:color w:val="181818" w:themeColor="accent6" w:themeShade="1A"/>
          <w:sz w:val="22"/>
        </w:rPr>
        <w:t>Índice de Liquidez</w:t>
      </w:r>
      <w:r w:rsidRPr="006063B6">
        <w:rPr>
          <w:rFonts w:ascii="Arial" w:eastAsia="Calibri" w:hAnsi="Arial" w:cs="Arial"/>
          <w:color w:val="181818" w:themeColor="accent6" w:themeShade="1A"/>
          <w:sz w:val="22"/>
        </w:rPr>
        <w:t xml:space="preserve">, que corresponde a la división entre el activo corriente y el pasivo corriente, que determina la capacidad que tiene el proponente para cumplir con sus obligaciones de corto plazo, el cual debe ser mayor o igual a uno [≥1]; </w:t>
      </w:r>
      <w:proofErr w:type="spellStart"/>
      <w:r w:rsidRPr="006063B6">
        <w:rPr>
          <w:rFonts w:ascii="Arial" w:eastAsia="Calibri" w:hAnsi="Arial" w:cs="Arial"/>
          <w:color w:val="181818" w:themeColor="accent6" w:themeShade="1A"/>
          <w:sz w:val="22"/>
        </w:rPr>
        <w:t>ii</w:t>
      </w:r>
      <w:proofErr w:type="spellEnd"/>
      <w:r w:rsidRPr="006063B6">
        <w:rPr>
          <w:rFonts w:ascii="Arial" w:eastAsia="Calibri" w:hAnsi="Arial" w:cs="Arial"/>
          <w:color w:val="181818" w:themeColor="accent6" w:themeShade="1A"/>
          <w:sz w:val="22"/>
        </w:rPr>
        <w:t xml:space="preserve">) el </w:t>
      </w:r>
      <w:r w:rsidRPr="006063B6">
        <w:rPr>
          <w:rFonts w:ascii="Arial" w:eastAsia="Calibri" w:hAnsi="Arial" w:cs="Arial"/>
          <w:i/>
          <w:iCs/>
          <w:color w:val="181818" w:themeColor="accent6" w:themeShade="1A"/>
          <w:sz w:val="22"/>
        </w:rPr>
        <w:t>Índice de Endeudamiento</w:t>
      </w:r>
      <w:r w:rsidRPr="006063B6">
        <w:rPr>
          <w:rFonts w:ascii="Arial" w:eastAsia="Calibri" w:hAnsi="Arial" w:cs="Arial"/>
          <w:color w:val="181818" w:themeColor="accent6" w:themeShade="1A"/>
          <w:sz w:val="22"/>
        </w:rPr>
        <w:t xml:space="preserve">, que se calcula dividiendo el pasivo total por el activo total, el cual determina el grado de endeudamiento en la estructura de financiación del proponente, el cual para estos procesos debe ser menor o igual al setenta por ciento [≤70%]; y </w:t>
      </w:r>
      <w:proofErr w:type="spellStart"/>
      <w:r w:rsidRPr="006063B6">
        <w:rPr>
          <w:rFonts w:ascii="Arial" w:eastAsia="Calibri" w:hAnsi="Arial" w:cs="Arial"/>
          <w:color w:val="181818" w:themeColor="accent6" w:themeShade="1A"/>
          <w:sz w:val="22"/>
        </w:rPr>
        <w:t>iii</w:t>
      </w:r>
      <w:proofErr w:type="spellEnd"/>
      <w:r w:rsidRPr="006063B6">
        <w:rPr>
          <w:rFonts w:ascii="Arial" w:eastAsia="Calibri" w:hAnsi="Arial" w:cs="Arial"/>
          <w:color w:val="181818" w:themeColor="accent6" w:themeShade="1A"/>
          <w:sz w:val="22"/>
        </w:rPr>
        <w:t xml:space="preserve">) la </w:t>
      </w:r>
      <w:r w:rsidRPr="006063B6">
        <w:rPr>
          <w:rFonts w:ascii="Arial" w:eastAsia="Calibri" w:hAnsi="Arial" w:cs="Arial"/>
          <w:i/>
          <w:iCs/>
          <w:color w:val="181818" w:themeColor="accent6" w:themeShade="1A"/>
          <w:sz w:val="22"/>
        </w:rPr>
        <w:t>Razón de Cobertura de Intereses</w:t>
      </w:r>
      <w:r w:rsidRPr="006063B6">
        <w:rPr>
          <w:rFonts w:ascii="Arial" w:eastAsia="Calibri" w:hAnsi="Arial" w:cs="Arial"/>
          <w:color w:val="181818" w:themeColor="accent6" w:themeShade="1A"/>
          <w:sz w:val="22"/>
        </w:rPr>
        <w:t>, que es igual a la utilidad operacional, sobre los gastos de intereses, y que refleja la capacidad del proponente de cumplir con sus obligaciones financieras, el cual es fijado en</w:t>
      </w:r>
      <w:r w:rsidRPr="006063B6">
        <w:rPr>
          <w:rFonts w:ascii="Arial" w:eastAsia="Calibri" w:hAnsi="Arial" w:cs="Arial"/>
          <w:color w:val="181818" w:themeColor="accent6" w:themeShade="1A"/>
          <w:sz w:val="22"/>
          <w:lang w:val="es-MX"/>
        </w:rPr>
        <w:t xml:space="preserve"> mayor o igual a uno [≥1]</w:t>
      </w:r>
      <w:r w:rsidRPr="006063B6">
        <w:rPr>
          <w:rFonts w:ascii="Arial" w:eastAsia="Calibri" w:hAnsi="Arial" w:cs="Arial"/>
          <w:color w:val="181818" w:themeColor="accent6" w:themeShade="1A"/>
          <w:sz w:val="22"/>
        </w:rPr>
        <w:t xml:space="preserve">. </w:t>
      </w:r>
      <w:r w:rsidR="00DB2F49" w:rsidRPr="006063B6">
        <w:rPr>
          <w:rFonts w:ascii="Arial" w:eastAsia="Calibri" w:hAnsi="Arial" w:cs="Arial"/>
          <w:color w:val="181818" w:themeColor="accent6" w:themeShade="1A"/>
          <w:sz w:val="22"/>
        </w:rPr>
        <w:t xml:space="preserve"> Estos indicadores son comunes a las modalidades de selección de licitación </w:t>
      </w:r>
      <w:proofErr w:type="spellStart"/>
      <w:r w:rsidR="00DB2F49" w:rsidRPr="006063B6">
        <w:rPr>
          <w:rFonts w:ascii="Arial" w:eastAsia="Calibri" w:hAnsi="Arial" w:cs="Arial"/>
          <w:color w:val="181818" w:themeColor="accent6" w:themeShade="1A"/>
          <w:sz w:val="22"/>
        </w:rPr>
        <w:t>publica</w:t>
      </w:r>
      <w:proofErr w:type="spellEnd"/>
      <w:r w:rsidR="00DB2F49" w:rsidRPr="006063B6">
        <w:rPr>
          <w:rFonts w:ascii="Arial" w:eastAsia="Calibri" w:hAnsi="Arial" w:cs="Arial"/>
          <w:color w:val="181818" w:themeColor="accent6" w:themeShade="1A"/>
          <w:sz w:val="22"/>
        </w:rPr>
        <w:t>, selección abreviada de menor cuantía y mínima cuantía.</w:t>
      </w:r>
    </w:p>
    <w:p w14:paraId="3E61EC91" w14:textId="49BA3F07" w:rsidR="00B93B05" w:rsidRPr="006063B6" w:rsidRDefault="00B93B05" w:rsidP="00B93B05">
      <w:pPr>
        <w:spacing w:before="120" w:line="276" w:lineRule="auto"/>
        <w:ind w:firstLine="709"/>
        <w:jc w:val="both"/>
        <w:rPr>
          <w:rFonts w:ascii="Arial" w:eastAsia="Calibri" w:hAnsi="Arial" w:cs="Arial"/>
          <w:color w:val="181818" w:themeColor="accent6" w:themeShade="1A"/>
          <w:sz w:val="22"/>
        </w:rPr>
      </w:pPr>
      <w:r w:rsidRPr="006063B6">
        <w:rPr>
          <w:rFonts w:ascii="Arial" w:hAnsi="Arial" w:cs="Arial"/>
          <w:color w:val="181818" w:themeColor="accent6" w:themeShade="1A"/>
          <w:sz w:val="22"/>
          <w:lang w:val="es-CO"/>
        </w:rPr>
        <w:t xml:space="preserve">De otra parte, para </w:t>
      </w:r>
      <w:r w:rsidR="007A6247" w:rsidRPr="006063B6">
        <w:rPr>
          <w:rFonts w:ascii="Arial" w:hAnsi="Arial" w:cs="Arial"/>
          <w:color w:val="181818" w:themeColor="accent6" w:themeShade="1A"/>
          <w:sz w:val="22"/>
          <w:lang w:val="es-CO"/>
        </w:rPr>
        <w:t>determinar</w:t>
      </w:r>
      <w:r w:rsidRPr="006063B6">
        <w:rPr>
          <w:rFonts w:ascii="Arial" w:hAnsi="Arial" w:cs="Arial"/>
          <w:color w:val="181818" w:themeColor="accent6" w:themeShade="1A"/>
          <w:sz w:val="22"/>
          <w:lang w:val="es-CO"/>
        </w:rPr>
        <w:t xml:space="preserve"> la</w:t>
      </w:r>
      <w:r w:rsidRPr="006063B6">
        <w:rPr>
          <w:rFonts w:ascii="Arial" w:eastAsia="Calibri" w:hAnsi="Arial" w:cs="Arial"/>
          <w:color w:val="181818" w:themeColor="accent6" w:themeShade="1A"/>
          <w:sz w:val="22"/>
        </w:rPr>
        <w:t xml:space="preserve"> </w:t>
      </w:r>
      <w:r w:rsidRPr="006063B6">
        <w:rPr>
          <w:rFonts w:ascii="Arial" w:eastAsia="Calibri" w:hAnsi="Arial" w:cs="Arial"/>
          <w:bCs/>
          <w:i/>
          <w:iCs/>
          <w:color w:val="181818" w:themeColor="accent6" w:themeShade="1A"/>
          <w:sz w:val="22"/>
        </w:rPr>
        <w:t xml:space="preserve">capacidad de organización </w:t>
      </w:r>
      <w:r w:rsidRPr="006063B6">
        <w:rPr>
          <w:rFonts w:ascii="Arial" w:eastAsia="Calibri" w:hAnsi="Arial" w:cs="Arial"/>
          <w:bCs/>
          <w:color w:val="181818" w:themeColor="accent6" w:themeShade="1A"/>
          <w:sz w:val="22"/>
        </w:rPr>
        <w:t>de un proponente</w:t>
      </w:r>
      <w:r w:rsidRPr="006063B6">
        <w:rPr>
          <w:rStyle w:val="Refdenotaalpie"/>
          <w:rFonts w:ascii="Arial" w:eastAsia="Calibri" w:hAnsi="Arial" w:cs="Arial"/>
          <w:bCs/>
          <w:color w:val="181818" w:themeColor="accent6" w:themeShade="1A"/>
          <w:sz w:val="22"/>
        </w:rPr>
        <w:footnoteReference w:id="4"/>
      </w:r>
      <w:r w:rsidRPr="006063B6">
        <w:rPr>
          <w:rFonts w:ascii="Arial" w:eastAsia="Calibri" w:hAnsi="Arial" w:cs="Arial"/>
          <w:color w:val="181818" w:themeColor="accent6" w:themeShade="1A"/>
          <w:sz w:val="22"/>
        </w:rPr>
        <w:t>, la Matriz 2</w:t>
      </w:r>
      <w:r w:rsidR="00DB2F49" w:rsidRPr="006063B6">
        <w:rPr>
          <w:rFonts w:ascii="Arial" w:eastAsia="Calibri" w:hAnsi="Arial" w:cs="Arial"/>
          <w:color w:val="181818" w:themeColor="accent6" w:themeShade="1A"/>
          <w:sz w:val="22"/>
        </w:rPr>
        <w:t xml:space="preserve"> de los procesos de licitación pública y selección abreviada de menor cuantía, </w:t>
      </w:r>
      <w:r w:rsidR="007A6247" w:rsidRPr="006063B6">
        <w:rPr>
          <w:rFonts w:ascii="Arial" w:eastAsia="Calibri" w:hAnsi="Arial" w:cs="Arial"/>
          <w:color w:val="181818" w:themeColor="accent6" w:themeShade="1A"/>
          <w:sz w:val="22"/>
        </w:rPr>
        <w:t>establece</w:t>
      </w:r>
      <w:r w:rsidRPr="006063B6">
        <w:rPr>
          <w:rFonts w:ascii="Arial" w:eastAsia="Calibri" w:hAnsi="Arial" w:cs="Arial"/>
          <w:color w:val="181818" w:themeColor="accent6" w:themeShade="1A"/>
          <w:sz w:val="22"/>
        </w:rPr>
        <w:t xml:space="preserve"> los indicadores de: i) la </w:t>
      </w:r>
      <w:r w:rsidRPr="006063B6">
        <w:rPr>
          <w:rFonts w:ascii="Arial" w:eastAsia="Calibri" w:hAnsi="Arial" w:cs="Arial"/>
          <w:i/>
          <w:iCs/>
          <w:color w:val="181818" w:themeColor="accent6" w:themeShade="1A"/>
          <w:sz w:val="22"/>
        </w:rPr>
        <w:t>rentabilidad del patrimonio</w:t>
      </w:r>
      <w:r w:rsidRPr="006063B6">
        <w:rPr>
          <w:rFonts w:ascii="Arial" w:eastAsia="Calibri" w:hAnsi="Arial" w:cs="Arial"/>
          <w:color w:val="181818" w:themeColor="accent6" w:themeShade="1A"/>
          <w:sz w:val="22"/>
        </w:rPr>
        <w:t>, que corresponde a la utilidad operacional dividida por el patrimonio, y que determina la rentabilidad del patrimonio del proponente, es decir, la capacidad de generación de utilidad operacional por cada peso invertido en el patrimonio, del tal forma que</w:t>
      </w:r>
      <w:r w:rsidR="005D467A">
        <w:rPr>
          <w:rFonts w:ascii="Arial" w:eastAsia="Calibri" w:hAnsi="Arial" w:cs="Arial"/>
          <w:color w:val="181818" w:themeColor="accent6" w:themeShade="1A"/>
          <w:sz w:val="22"/>
        </w:rPr>
        <w:t>,</w:t>
      </w:r>
      <w:r w:rsidRPr="006063B6">
        <w:rPr>
          <w:rFonts w:ascii="Arial" w:eastAsia="Calibri" w:hAnsi="Arial" w:cs="Arial"/>
          <w:color w:val="181818" w:themeColor="accent6" w:themeShade="1A"/>
          <w:sz w:val="22"/>
        </w:rPr>
        <w:t xml:space="preserve"> a mayor rentabilidad sobre el patrimonio, mayor es la rentabilidad de los accionistas y mejor la capacidad organizacional del proponente. Este indicador es fijado por la Matriz 2 en mayor o igual a cero [≥0]. </w:t>
      </w:r>
      <w:proofErr w:type="spellStart"/>
      <w:r w:rsidRPr="006063B6">
        <w:rPr>
          <w:rFonts w:ascii="Arial" w:eastAsia="Calibri" w:hAnsi="Arial" w:cs="Arial"/>
          <w:color w:val="181818" w:themeColor="accent6" w:themeShade="1A"/>
          <w:sz w:val="22"/>
        </w:rPr>
        <w:t>ii</w:t>
      </w:r>
      <w:proofErr w:type="spellEnd"/>
      <w:r w:rsidRPr="006063B6">
        <w:rPr>
          <w:rFonts w:ascii="Arial" w:eastAsia="Calibri" w:hAnsi="Arial" w:cs="Arial"/>
          <w:color w:val="181818" w:themeColor="accent6" w:themeShade="1A"/>
          <w:sz w:val="22"/>
        </w:rPr>
        <w:t xml:space="preserve">) Por otro lado, se establece el indicador de </w:t>
      </w:r>
      <w:r w:rsidRPr="006063B6">
        <w:rPr>
          <w:rFonts w:ascii="Arial" w:eastAsia="Calibri" w:hAnsi="Arial" w:cs="Arial"/>
          <w:i/>
          <w:iCs/>
          <w:color w:val="181818" w:themeColor="accent6" w:themeShade="1A"/>
          <w:sz w:val="22"/>
        </w:rPr>
        <w:t>rentabilidad del activo</w:t>
      </w:r>
      <w:r w:rsidRPr="006063B6">
        <w:rPr>
          <w:rFonts w:ascii="Arial" w:eastAsia="Calibri" w:hAnsi="Arial" w:cs="Arial"/>
          <w:color w:val="181818" w:themeColor="accent6" w:themeShade="1A"/>
          <w:sz w:val="22"/>
        </w:rPr>
        <w:t>, que se calcula al dividir la utilidad operacional por el activo total, y que mide la rentabilidad de los activos del proponente, esto es, la capacidad de generación de utilidad operacional por cada peso invertido en el activo, de tal manera que, a mayor rentabilidad sobre activos, mayor es la rentabilidad del negocio y mejor la capacidad organizacional del proponente. Este último indicador debe ser, en todo caso, menor o igual que el referido indicador de rentabilidad sobre patrimonio. Este indicador también es fijado por la Matriz 2 en mayor o igual a cero [≥0].</w:t>
      </w:r>
    </w:p>
    <w:p w14:paraId="65570FE6" w14:textId="56CE81A4" w:rsidR="005E77B0" w:rsidRPr="006063B6" w:rsidRDefault="007A6247" w:rsidP="008F47E1">
      <w:pPr>
        <w:spacing w:before="120" w:after="120" w:line="276" w:lineRule="auto"/>
        <w:ind w:firstLine="709"/>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Ahora bien, en el común de los procesos de selección, tal y como lo manifestó esta Agencia en el concepto C – 166 de</w:t>
      </w:r>
      <w:r w:rsidR="008F47E1" w:rsidRPr="006063B6">
        <w:rPr>
          <w:rFonts w:ascii="Arial" w:eastAsia="Calibri" w:hAnsi="Arial" w:cs="Arial"/>
          <w:color w:val="181818" w:themeColor="accent6" w:themeShade="1A"/>
          <w:sz w:val="22"/>
        </w:rPr>
        <w:t>l</w:t>
      </w:r>
      <w:r w:rsidRPr="006063B6">
        <w:rPr>
          <w:rFonts w:ascii="Arial" w:eastAsia="Calibri" w:hAnsi="Arial" w:cs="Arial"/>
          <w:color w:val="181818" w:themeColor="accent6" w:themeShade="1A"/>
          <w:sz w:val="22"/>
        </w:rPr>
        <w:t xml:space="preserve"> 13 de abril de 2020 –radicado No. 2202013000002610–, l</w:t>
      </w:r>
      <w:r w:rsidR="00C03232" w:rsidRPr="006063B6">
        <w:rPr>
          <w:rFonts w:ascii="Arial" w:eastAsia="Calibri" w:hAnsi="Arial" w:cs="Arial"/>
          <w:color w:val="181818" w:themeColor="accent6" w:themeShade="1A"/>
          <w:sz w:val="22"/>
        </w:rPr>
        <w:t xml:space="preserve">as condiciones </w:t>
      </w:r>
      <w:r w:rsidRPr="006063B6">
        <w:rPr>
          <w:rFonts w:ascii="Arial" w:eastAsia="Calibri" w:hAnsi="Arial" w:cs="Arial"/>
          <w:color w:val="181818" w:themeColor="accent6" w:themeShade="1A"/>
          <w:sz w:val="22"/>
        </w:rPr>
        <w:t>habilitantes de capacidad jurídica, experiencia, capacidad financiera y la capacidad de organización,</w:t>
      </w:r>
      <w:r w:rsidR="00C03232" w:rsidRPr="006063B6">
        <w:rPr>
          <w:rFonts w:ascii="Arial" w:eastAsia="Calibri" w:hAnsi="Arial" w:cs="Arial"/>
          <w:color w:val="181818" w:themeColor="accent6" w:themeShade="1A"/>
          <w:sz w:val="22"/>
        </w:rPr>
        <w:t xml:space="preserve"> establecid</w:t>
      </w:r>
      <w:r w:rsidR="003E0272">
        <w:rPr>
          <w:rFonts w:ascii="Arial" w:eastAsia="Calibri" w:hAnsi="Arial" w:cs="Arial"/>
          <w:color w:val="181818" w:themeColor="accent6" w:themeShade="1A"/>
          <w:sz w:val="22"/>
        </w:rPr>
        <w:t>a</w:t>
      </w:r>
      <w:r w:rsidR="00C03232" w:rsidRPr="006063B6">
        <w:rPr>
          <w:rFonts w:ascii="Arial" w:eastAsia="Calibri" w:hAnsi="Arial" w:cs="Arial"/>
          <w:color w:val="181818" w:themeColor="accent6" w:themeShade="1A"/>
          <w:sz w:val="22"/>
        </w:rPr>
        <w:t xml:space="preserve">s en el artículo 5 de la Ley 1150 de 2007, </w:t>
      </w:r>
      <w:r w:rsidRPr="006063B6">
        <w:rPr>
          <w:rFonts w:ascii="Arial" w:eastAsia="Calibri" w:hAnsi="Arial" w:cs="Arial"/>
          <w:color w:val="181818" w:themeColor="accent6" w:themeShade="1A"/>
          <w:sz w:val="22"/>
        </w:rPr>
        <w:t xml:space="preserve">no son </w:t>
      </w:r>
      <w:r w:rsidRPr="006063B6">
        <w:rPr>
          <w:rFonts w:ascii="Arial" w:eastAsia="Calibri" w:hAnsi="Arial" w:cs="Arial"/>
          <w:color w:val="181818" w:themeColor="accent6" w:themeShade="1A"/>
          <w:sz w:val="22"/>
        </w:rPr>
        <w:lastRenderedPageBreak/>
        <w:t>taxativ</w:t>
      </w:r>
      <w:r w:rsidR="003E0272">
        <w:rPr>
          <w:rFonts w:ascii="Arial" w:eastAsia="Calibri" w:hAnsi="Arial" w:cs="Arial"/>
          <w:color w:val="181818" w:themeColor="accent6" w:themeShade="1A"/>
          <w:sz w:val="22"/>
        </w:rPr>
        <w:t>a</w:t>
      </w:r>
      <w:r w:rsidRPr="006063B6">
        <w:rPr>
          <w:rFonts w:ascii="Arial" w:eastAsia="Calibri" w:hAnsi="Arial" w:cs="Arial"/>
          <w:color w:val="181818" w:themeColor="accent6" w:themeShade="1A"/>
          <w:sz w:val="22"/>
        </w:rPr>
        <w:t>s</w:t>
      </w:r>
      <w:r w:rsidR="00C03232" w:rsidRPr="006063B6">
        <w:rPr>
          <w:rFonts w:ascii="Arial" w:eastAsia="Calibri" w:hAnsi="Arial" w:cs="Arial"/>
          <w:color w:val="181818" w:themeColor="accent6" w:themeShade="1A"/>
          <w:sz w:val="22"/>
        </w:rPr>
        <w:t>,</w:t>
      </w:r>
      <w:r w:rsidRPr="006063B6">
        <w:rPr>
          <w:rFonts w:ascii="Arial" w:eastAsia="Calibri" w:hAnsi="Arial" w:cs="Arial"/>
          <w:color w:val="181818" w:themeColor="accent6" w:themeShade="1A"/>
          <w:sz w:val="22"/>
        </w:rPr>
        <w:t xml:space="preserve"> </w:t>
      </w:r>
      <w:r w:rsidR="00C03232" w:rsidRPr="006063B6">
        <w:rPr>
          <w:rFonts w:ascii="Arial" w:eastAsia="Calibri" w:hAnsi="Arial" w:cs="Arial"/>
          <w:color w:val="181818" w:themeColor="accent6" w:themeShade="1A"/>
          <w:sz w:val="22"/>
        </w:rPr>
        <w:t>por lo que</w:t>
      </w:r>
      <w:r w:rsidRPr="006063B6">
        <w:rPr>
          <w:rFonts w:ascii="Arial" w:eastAsia="Calibri" w:hAnsi="Arial" w:cs="Arial"/>
          <w:color w:val="181818" w:themeColor="accent6" w:themeShade="1A"/>
          <w:sz w:val="22"/>
        </w:rPr>
        <w:t xml:space="preserve"> los requisitos habilitantes deben ser establecidos por la entidad en cada proceso contractual de acuerdo con los parámetros fijados en el Decreto 1082 de 2015</w:t>
      </w:r>
      <w:r w:rsidR="00C03232" w:rsidRPr="006063B6">
        <w:rPr>
          <w:rFonts w:ascii="Arial" w:eastAsia="Calibri" w:hAnsi="Arial" w:cs="Arial"/>
          <w:color w:val="181818" w:themeColor="accent6" w:themeShade="1A"/>
          <w:sz w:val="22"/>
        </w:rPr>
        <w:t>. Sin embargo, tal aseveración no resulta aplicable a los procesos adelantados con documentos tipo</w:t>
      </w:r>
      <w:r w:rsidR="003E0272">
        <w:rPr>
          <w:rFonts w:ascii="Arial" w:eastAsia="Calibri" w:hAnsi="Arial" w:cs="Arial"/>
          <w:color w:val="181818" w:themeColor="accent6" w:themeShade="1A"/>
          <w:sz w:val="22"/>
        </w:rPr>
        <w:t>,</w:t>
      </w:r>
      <w:r w:rsidR="00C03232" w:rsidRPr="006063B6">
        <w:rPr>
          <w:rFonts w:ascii="Arial" w:eastAsia="Calibri" w:hAnsi="Arial" w:cs="Arial"/>
          <w:color w:val="181818" w:themeColor="accent6" w:themeShade="1A"/>
          <w:sz w:val="22"/>
        </w:rPr>
        <w:t xml:space="preserve"> en virtud de la estandarización de los requisitos habilitantes dispuesta por el artículo 4 de la Ley 1882 de 2018, e implementada por las Resoluciones No. 1798 de 2019, 0044 y 0045 de 2020, las cuales</w:t>
      </w:r>
      <w:r w:rsidR="00C8140C">
        <w:rPr>
          <w:rFonts w:ascii="Arial" w:eastAsia="Calibri" w:hAnsi="Arial" w:cs="Arial"/>
          <w:color w:val="181818" w:themeColor="accent6" w:themeShade="1A"/>
          <w:sz w:val="22"/>
        </w:rPr>
        <w:t>,</w:t>
      </w:r>
      <w:r w:rsidR="00C03232" w:rsidRPr="006063B6">
        <w:rPr>
          <w:rFonts w:ascii="Arial" w:eastAsia="Calibri" w:hAnsi="Arial" w:cs="Arial"/>
          <w:color w:val="181818" w:themeColor="accent6" w:themeShade="1A"/>
          <w:sz w:val="22"/>
        </w:rPr>
        <w:t xml:space="preserve"> a través de la Matrices 1 y 2</w:t>
      </w:r>
      <w:r w:rsidR="00C8140C">
        <w:rPr>
          <w:rFonts w:ascii="Arial" w:eastAsia="Calibri" w:hAnsi="Arial" w:cs="Arial"/>
          <w:color w:val="181818" w:themeColor="accent6" w:themeShade="1A"/>
          <w:sz w:val="22"/>
        </w:rPr>
        <w:t>,</w:t>
      </w:r>
      <w:r w:rsidR="00C03232" w:rsidRPr="006063B6">
        <w:rPr>
          <w:rFonts w:ascii="Arial" w:eastAsia="Calibri" w:hAnsi="Arial" w:cs="Arial"/>
          <w:color w:val="181818" w:themeColor="accent6" w:themeShade="1A"/>
          <w:sz w:val="22"/>
        </w:rPr>
        <w:t xml:space="preserve"> </w:t>
      </w:r>
      <w:r w:rsidR="00970D41" w:rsidRPr="006063B6">
        <w:rPr>
          <w:rFonts w:ascii="Arial" w:eastAsia="Calibri" w:hAnsi="Arial" w:cs="Arial"/>
          <w:color w:val="181818" w:themeColor="accent6" w:themeShade="1A"/>
          <w:sz w:val="22"/>
        </w:rPr>
        <w:t xml:space="preserve">establecieron </w:t>
      </w:r>
      <w:r w:rsidR="00C03232" w:rsidRPr="006063B6">
        <w:rPr>
          <w:rFonts w:ascii="Arial" w:eastAsia="Calibri" w:hAnsi="Arial" w:cs="Arial"/>
          <w:color w:val="181818" w:themeColor="accent6" w:themeShade="1A"/>
          <w:sz w:val="22"/>
        </w:rPr>
        <w:t>los requisitos habilitantes de experiencia, así como los indicadores en función de los cuales se determina la capacidad financiera y capacidad organizacional exigibles en el marco de</w:t>
      </w:r>
      <w:r w:rsidR="00C8140C">
        <w:rPr>
          <w:rFonts w:ascii="Arial" w:eastAsia="Calibri" w:hAnsi="Arial" w:cs="Arial"/>
          <w:color w:val="181818" w:themeColor="accent6" w:themeShade="1A"/>
          <w:sz w:val="22"/>
        </w:rPr>
        <w:t xml:space="preserve"> </w:t>
      </w:r>
      <w:r w:rsidR="00C03232" w:rsidRPr="006063B6">
        <w:rPr>
          <w:rFonts w:ascii="Arial" w:eastAsia="Calibri" w:hAnsi="Arial" w:cs="Arial"/>
          <w:color w:val="181818" w:themeColor="accent6" w:themeShade="1A"/>
          <w:sz w:val="22"/>
        </w:rPr>
        <w:t>l</w:t>
      </w:r>
      <w:r w:rsidR="00C8140C">
        <w:rPr>
          <w:rFonts w:ascii="Arial" w:eastAsia="Calibri" w:hAnsi="Arial" w:cs="Arial"/>
          <w:color w:val="181818" w:themeColor="accent6" w:themeShade="1A"/>
          <w:sz w:val="22"/>
        </w:rPr>
        <w:t>os</w:t>
      </w:r>
      <w:r w:rsidR="00C03232" w:rsidRPr="006063B6">
        <w:rPr>
          <w:rFonts w:ascii="Arial" w:eastAsia="Calibri" w:hAnsi="Arial" w:cs="Arial"/>
          <w:color w:val="181818" w:themeColor="accent6" w:themeShade="1A"/>
          <w:sz w:val="22"/>
        </w:rPr>
        <w:t xml:space="preserve"> proceso</w:t>
      </w:r>
      <w:r w:rsidR="00C8140C">
        <w:rPr>
          <w:rFonts w:ascii="Arial" w:eastAsia="Calibri" w:hAnsi="Arial" w:cs="Arial"/>
          <w:color w:val="181818" w:themeColor="accent6" w:themeShade="1A"/>
          <w:sz w:val="22"/>
        </w:rPr>
        <w:t>s</w:t>
      </w:r>
      <w:r w:rsidR="00C03232" w:rsidRPr="006063B6">
        <w:rPr>
          <w:rFonts w:ascii="Arial" w:eastAsia="Calibri" w:hAnsi="Arial" w:cs="Arial"/>
          <w:color w:val="181818" w:themeColor="accent6" w:themeShade="1A"/>
          <w:sz w:val="22"/>
        </w:rPr>
        <w:t xml:space="preserve"> de </w:t>
      </w:r>
      <w:r w:rsidR="00C8140C">
        <w:rPr>
          <w:rFonts w:ascii="Arial" w:eastAsia="Calibri" w:hAnsi="Arial" w:cs="Arial"/>
          <w:color w:val="181818" w:themeColor="accent6" w:themeShade="1A"/>
          <w:sz w:val="22"/>
        </w:rPr>
        <w:t>selección</w:t>
      </w:r>
      <w:r w:rsidR="00C03232" w:rsidRPr="006063B6">
        <w:rPr>
          <w:rFonts w:ascii="Arial" w:eastAsia="Calibri" w:hAnsi="Arial" w:cs="Arial"/>
          <w:color w:val="181818" w:themeColor="accent6" w:themeShade="1A"/>
          <w:sz w:val="22"/>
        </w:rPr>
        <w:t xml:space="preserve">, los cuales, </w:t>
      </w:r>
      <w:r w:rsidR="00C8140C">
        <w:rPr>
          <w:rFonts w:ascii="Arial" w:eastAsia="Calibri" w:hAnsi="Arial" w:cs="Arial"/>
          <w:color w:val="181818" w:themeColor="accent6" w:themeShade="1A"/>
          <w:sz w:val="22"/>
        </w:rPr>
        <w:t>debido a</w:t>
      </w:r>
      <w:r w:rsidR="00C03232" w:rsidRPr="006063B6">
        <w:rPr>
          <w:rFonts w:ascii="Arial" w:eastAsia="Calibri" w:hAnsi="Arial" w:cs="Arial"/>
          <w:color w:val="181818" w:themeColor="accent6" w:themeShade="1A"/>
          <w:sz w:val="22"/>
        </w:rPr>
        <w:t xml:space="preserve"> la </w:t>
      </w:r>
      <w:r w:rsidR="00C8140C">
        <w:rPr>
          <w:rFonts w:ascii="Arial" w:eastAsia="Calibri" w:hAnsi="Arial" w:cs="Arial"/>
          <w:color w:val="181818" w:themeColor="accent6" w:themeShade="1A"/>
          <w:sz w:val="22"/>
        </w:rPr>
        <w:t xml:space="preserve">regla de la </w:t>
      </w:r>
      <w:r w:rsidR="00C03232" w:rsidRPr="00694D36">
        <w:rPr>
          <w:rFonts w:ascii="Arial" w:eastAsia="Calibri" w:hAnsi="Arial" w:cs="Arial"/>
          <w:i/>
          <w:iCs/>
          <w:color w:val="181818" w:themeColor="accent6" w:themeShade="1A"/>
          <w:sz w:val="22"/>
        </w:rPr>
        <w:t>inalterabilidad</w:t>
      </w:r>
      <w:r w:rsidR="00C03232" w:rsidRPr="006063B6">
        <w:rPr>
          <w:rFonts w:ascii="Arial" w:eastAsia="Calibri" w:hAnsi="Arial" w:cs="Arial"/>
          <w:color w:val="181818" w:themeColor="accent6" w:themeShade="1A"/>
          <w:sz w:val="22"/>
        </w:rPr>
        <w:t xml:space="preserve"> establecida por el artículo 2.2.1.2.6.1.4 </w:t>
      </w:r>
      <w:proofErr w:type="spellStart"/>
      <w:r w:rsidR="00C03232" w:rsidRPr="006063B6">
        <w:rPr>
          <w:rFonts w:ascii="Arial" w:eastAsia="Calibri" w:hAnsi="Arial" w:cs="Arial"/>
          <w:i/>
          <w:iCs/>
          <w:color w:val="181818" w:themeColor="accent6" w:themeShade="1A"/>
          <w:sz w:val="22"/>
        </w:rPr>
        <w:t>Ibídem</w:t>
      </w:r>
      <w:proofErr w:type="spellEnd"/>
      <w:r w:rsidR="00C03232" w:rsidRPr="006063B6">
        <w:rPr>
          <w:rFonts w:ascii="Arial" w:eastAsia="Calibri" w:hAnsi="Arial" w:cs="Arial"/>
          <w:color w:val="181818" w:themeColor="accent6" w:themeShade="1A"/>
          <w:sz w:val="22"/>
        </w:rPr>
        <w:t>, no pueden ser modificados por las entidades.</w:t>
      </w:r>
    </w:p>
    <w:p w14:paraId="33DA0FBC" w14:textId="4B505116" w:rsidR="00B93B05" w:rsidRPr="006063B6" w:rsidRDefault="008F47E1" w:rsidP="00034130">
      <w:pPr>
        <w:pStyle w:val="NormalWeb"/>
        <w:spacing w:before="0" w:beforeAutospacing="0" w:after="0" w:afterAutospacing="0" w:line="276" w:lineRule="auto"/>
        <w:ind w:firstLine="708"/>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lang w:val="es-MX"/>
        </w:rPr>
        <w:t>No sobra agregar que además de los mencionados requisitos habilitantes, el «Documento Base» también contempla los de capacidad jurídica, certificación de pagos de seguridad social y aportes legales, visita al sitio de la obra, capital de trabajo y capacidad residual, respecto de los cuales se determinan las condiciones en los que procede su aplicación y las formas para acreditar su cumplimiento.</w:t>
      </w:r>
      <w:r w:rsidR="00970D41" w:rsidRPr="006063B6">
        <w:rPr>
          <w:rFonts w:ascii="Arial" w:eastAsia="Calibri" w:hAnsi="Arial" w:cs="Arial"/>
          <w:color w:val="181818" w:themeColor="accent6" w:themeShade="1A"/>
          <w:sz w:val="22"/>
          <w:lang w:val="es-MX"/>
        </w:rPr>
        <w:t xml:space="preserve"> Estos parámetros y reglas determinadas en el </w:t>
      </w:r>
      <w:proofErr w:type="spellStart"/>
      <w:r w:rsidR="00970D41" w:rsidRPr="006063B6">
        <w:rPr>
          <w:rFonts w:ascii="Arial" w:eastAsia="Calibri" w:hAnsi="Arial" w:cs="Arial"/>
          <w:color w:val="181818" w:themeColor="accent6" w:themeShade="1A"/>
          <w:sz w:val="22"/>
          <w:lang w:val="es-MX"/>
        </w:rPr>
        <w:t>capitulo</w:t>
      </w:r>
      <w:proofErr w:type="spellEnd"/>
      <w:r w:rsidR="00970D41" w:rsidRPr="006063B6">
        <w:rPr>
          <w:rFonts w:ascii="Arial" w:eastAsia="Calibri" w:hAnsi="Arial" w:cs="Arial"/>
          <w:color w:val="181818" w:themeColor="accent6" w:themeShade="1A"/>
          <w:sz w:val="22"/>
          <w:lang w:val="es-MX"/>
        </w:rPr>
        <w:t xml:space="preserve"> III del «Documento Base»</w:t>
      </w:r>
      <w:r w:rsidR="00C8140C">
        <w:rPr>
          <w:rFonts w:ascii="Arial" w:eastAsia="Calibri" w:hAnsi="Arial" w:cs="Arial"/>
          <w:color w:val="181818" w:themeColor="accent6" w:themeShade="1A"/>
          <w:sz w:val="22"/>
          <w:lang w:val="es-MX"/>
        </w:rPr>
        <w:t>,</w:t>
      </w:r>
      <w:r w:rsidR="00970D41" w:rsidRPr="006063B6">
        <w:rPr>
          <w:rFonts w:ascii="Arial" w:eastAsia="Calibri" w:hAnsi="Arial" w:cs="Arial"/>
          <w:color w:val="181818" w:themeColor="accent6" w:themeShade="1A"/>
          <w:sz w:val="22"/>
          <w:lang w:val="es-MX"/>
        </w:rPr>
        <w:t xml:space="preserve"> para el cumplimiento de los requisitos habilitantes, con excepción de los espacios grises entre corchetes, se encuentran afectados por la inalterabilidad, razón por la que tampoco está dado a las entidades introducir modificaciones.</w:t>
      </w:r>
    </w:p>
    <w:p w14:paraId="6234E579" w14:textId="77777777" w:rsidR="00477DFA" w:rsidRPr="006063B6" w:rsidRDefault="00477DFA" w:rsidP="00743BC8">
      <w:pPr>
        <w:spacing w:line="276" w:lineRule="auto"/>
        <w:jc w:val="both"/>
        <w:rPr>
          <w:rFonts w:ascii="Arial" w:eastAsia="Calibri" w:hAnsi="Arial" w:cs="Arial"/>
          <w:color w:val="181818" w:themeColor="accent6" w:themeShade="1A"/>
          <w:sz w:val="22"/>
          <w:lang w:val="es-ES_tradnl"/>
        </w:rPr>
      </w:pPr>
    </w:p>
    <w:p w14:paraId="3F7CF7BE" w14:textId="79D9D7FD" w:rsidR="004E61D5" w:rsidRPr="006063B6" w:rsidRDefault="00F1108B" w:rsidP="00D557A4">
      <w:pPr>
        <w:spacing w:line="276" w:lineRule="auto"/>
        <w:jc w:val="both"/>
        <w:rPr>
          <w:rFonts w:ascii="Arial" w:eastAsia="Calibri" w:hAnsi="Arial" w:cs="Arial"/>
          <w:b/>
          <w:bCs/>
          <w:color w:val="181818" w:themeColor="accent6" w:themeShade="1A"/>
          <w:sz w:val="22"/>
          <w:lang w:val="es-ES_tradnl"/>
        </w:rPr>
      </w:pPr>
      <w:bookmarkStart w:id="3" w:name="_Hlk36022667"/>
      <w:r w:rsidRPr="006063B6">
        <w:rPr>
          <w:rFonts w:ascii="Arial" w:eastAsia="Calibri" w:hAnsi="Arial" w:cs="Arial"/>
          <w:b/>
          <w:bCs/>
          <w:color w:val="181818" w:themeColor="accent6" w:themeShade="1A"/>
          <w:sz w:val="22"/>
          <w:lang w:val="es-ES_tradnl"/>
        </w:rPr>
        <w:t xml:space="preserve">2.2. </w:t>
      </w:r>
      <w:r w:rsidR="000E2BB6" w:rsidRPr="006063B6">
        <w:rPr>
          <w:rFonts w:ascii="Arial" w:eastAsia="Calibri" w:hAnsi="Arial" w:cs="Arial"/>
          <w:b/>
          <w:bCs/>
          <w:color w:val="181818" w:themeColor="accent6" w:themeShade="1A"/>
          <w:sz w:val="22"/>
          <w:lang w:val="es-ES_tradnl"/>
        </w:rPr>
        <w:t xml:space="preserve">Estudios del </w:t>
      </w:r>
      <w:r w:rsidR="00EA3E75" w:rsidRPr="006063B6">
        <w:rPr>
          <w:rFonts w:ascii="Arial" w:eastAsia="Calibri" w:hAnsi="Arial" w:cs="Arial"/>
          <w:b/>
          <w:bCs/>
          <w:color w:val="181818" w:themeColor="accent6" w:themeShade="1A"/>
          <w:sz w:val="22"/>
          <w:lang w:val="es-ES_tradnl"/>
        </w:rPr>
        <w:t xml:space="preserve">sector en el </w:t>
      </w:r>
      <w:r w:rsidR="00F47F2D" w:rsidRPr="006063B6">
        <w:rPr>
          <w:rFonts w:ascii="Arial" w:eastAsia="Calibri" w:hAnsi="Arial" w:cs="Arial"/>
          <w:b/>
          <w:bCs/>
          <w:color w:val="181818" w:themeColor="accent6" w:themeShade="1A"/>
          <w:sz w:val="22"/>
          <w:lang w:val="es-ES_tradnl"/>
        </w:rPr>
        <w:t xml:space="preserve">Estatuto General de Contratación </w:t>
      </w:r>
      <w:r w:rsidR="00B541E4">
        <w:rPr>
          <w:rFonts w:ascii="Arial" w:eastAsia="Calibri" w:hAnsi="Arial" w:cs="Arial"/>
          <w:b/>
          <w:bCs/>
          <w:color w:val="181818" w:themeColor="accent6" w:themeShade="1A"/>
          <w:sz w:val="22"/>
          <w:lang w:val="es-ES_tradnl"/>
        </w:rPr>
        <w:t>de la Administración Pública</w:t>
      </w:r>
      <w:r w:rsidR="00EA3E75" w:rsidRPr="006063B6">
        <w:rPr>
          <w:rFonts w:ascii="Arial" w:eastAsia="Calibri" w:hAnsi="Arial" w:cs="Arial"/>
          <w:b/>
          <w:bCs/>
          <w:color w:val="181818" w:themeColor="accent6" w:themeShade="1A"/>
          <w:sz w:val="22"/>
          <w:lang w:val="es-ES_tradnl"/>
        </w:rPr>
        <w:t xml:space="preserve"> </w:t>
      </w:r>
      <w:r w:rsidR="000E2BB6" w:rsidRPr="006063B6">
        <w:rPr>
          <w:rFonts w:ascii="Arial" w:eastAsia="Calibri" w:hAnsi="Arial" w:cs="Arial"/>
          <w:b/>
          <w:bCs/>
          <w:color w:val="181818" w:themeColor="accent6" w:themeShade="1A"/>
          <w:sz w:val="22"/>
          <w:lang w:val="es-ES_tradnl"/>
        </w:rPr>
        <w:t xml:space="preserve"> </w:t>
      </w:r>
      <w:bookmarkEnd w:id="3"/>
    </w:p>
    <w:p w14:paraId="0FA26B80" w14:textId="6768642B" w:rsidR="00743BC8" w:rsidRPr="006063B6" w:rsidRDefault="00743BC8" w:rsidP="00743BC8">
      <w:pPr>
        <w:spacing w:line="276" w:lineRule="auto"/>
        <w:jc w:val="both"/>
        <w:rPr>
          <w:rFonts w:ascii="Arial" w:eastAsia="Calibri" w:hAnsi="Arial" w:cs="Arial"/>
          <w:b/>
          <w:bCs/>
          <w:color w:val="181818" w:themeColor="accent6" w:themeShade="1A"/>
          <w:sz w:val="22"/>
          <w:lang w:val="es-ES_tradnl"/>
        </w:rPr>
      </w:pPr>
    </w:p>
    <w:p w14:paraId="2AD7BE08" w14:textId="6343A809" w:rsidR="00283610" w:rsidRPr="006063B6" w:rsidRDefault="00283610" w:rsidP="00283610">
      <w:pPr>
        <w:spacing w:after="120" w:line="276" w:lineRule="auto"/>
        <w:jc w:val="both"/>
        <w:rPr>
          <w:rFonts w:ascii="Arial" w:eastAsia="Calibri" w:hAnsi="Arial" w:cs="Arial"/>
          <w:color w:val="181818" w:themeColor="accent6" w:themeShade="1A"/>
          <w:sz w:val="22"/>
          <w:lang w:val="es-ES_tradnl"/>
        </w:rPr>
      </w:pPr>
      <w:r w:rsidRPr="006063B6">
        <w:rPr>
          <w:rFonts w:ascii="Arial" w:eastAsia="Calibri" w:hAnsi="Arial" w:cs="Arial"/>
          <w:color w:val="181818" w:themeColor="accent6" w:themeShade="1A"/>
          <w:sz w:val="22"/>
          <w:lang w:val="es-ES_tradnl"/>
        </w:rPr>
        <w:t>En el presente acápite se reiteran algunas de las consideraciones expuestas por la Agencia Nacional de Contratación Pública – Colombia Compra Eficiente en el concepto C-223 del 29 de abril de 2020 –radicado No. 2202013000003261–, en el que se estudió la finalidad y regulación del estudio del sector. La tesis expuesta fue la siguiente:</w:t>
      </w:r>
    </w:p>
    <w:p w14:paraId="05186F46" w14:textId="66E80179" w:rsidR="00B30D48" w:rsidRPr="006063B6" w:rsidRDefault="00C768FD" w:rsidP="00283610">
      <w:pPr>
        <w:spacing w:line="276" w:lineRule="auto"/>
        <w:ind w:firstLine="708"/>
        <w:jc w:val="both"/>
        <w:rPr>
          <w:color w:val="181818" w:themeColor="accent6" w:themeShade="1A"/>
        </w:rPr>
      </w:pPr>
      <w:r w:rsidRPr="006063B6">
        <w:rPr>
          <w:rFonts w:ascii="Arial" w:eastAsia="Calibri" w:hAnsi="Arial" w:cs="Arial"/>
          <w:bCs/>
          <w:color w:val="181818" w:themeColor="accent6" w:themeShade="1A"/>
          <w:sz w:val="22"/>
          <w:lang w:val="es-ES_tradnl"/>
        </w:rPr>
        <w:t>L</w:t>
      </w:r>
      <w:r w:rsidR="004E61D5" w:rsidRPr="006063B6">
        <w:rPr>
          <w:rFonts w:ascii="Arial" w:eastAsia="Calibri" w:hAnsi="Arial" w:cs="Arial"/>
          <w:bCs/>
          <w:color w:val="181818" w:themeColor="accent6" w:themeShade="1A"/>
          <w:sz w:val="22"/>
          <w:lang w:val="es-ES_tradnl"/>
        </w:rPr>
        <w:t>a planeación contractual es una herramienta de gerencia pública, la cual exige estructurar el proceso contractual dedicando tiempo y esfuerzos para elaborar estudios previos, con el fin de determinar la necesidad que 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00B30D48" w:rsidRPr="006063B6">
        <w:rPr>
          <w:rFonts w:ascii="Arial" w:eastAsia="Calibri" w:hAnsi="Arial" w:cs="Arial"/>
          <w:bCs/>
          <w:color w:val="181818" w:themeColor="accent6" w:themeShade="1A"/>
          <w:sz w:val="21"/>
          <w:szCs w:val="21"/>
          <w:lang w:val="es-ES_tradnl"/>
        </w:rPr>
        <w:t>.</w:t>
      </w:r>
    </w:p>
    <w:p w14:paraId="2E6DDC95" w14:textId="6427D11C" w:rsidR="0028449C" w:rsidRPr="006063B6" w:rsidRDefault="0028449C" w:rsidP="00DF453C">
      <w:pPr>
        <w:pStyle w:val="Sinespaciado"/>
        <w:spacing w:before="120" w:line="276" w:lineRule="auto"/>
        <w:ind w:firstLine="708"/>
        <w:jc w:val="both"/>
        <w:rPr>
          <w:rFonts w:ascii="Arial" w:hAnsi="Arial" w:cs="Arial"/>
          <w:bCs/>
          <w:color w:val="181818" w:themeColor="accent6" w:themeShade="1A"/>
          <w:sz w:val="22"/>
          <w:lang w:val="es-ES"/>
        </w:rPr>
      </w:pPr>
      <w:r w:rsidRPr="006063B6">
        <w:rPr>
          <w:rFonts w:ascii="Arial" w:hAnsi="Arial" w:cs="Arial"/>
          <w:bCs/>
          <w:color w:val="181818" w:themeColor="accent6" w:themeShade="1A"/>
          <w:sz w:val="22"/>
        </w:rPr>
        <w:t xml:space="preserve">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w:t>
      </w:r>
      <w:r w:rsidRPr="006063B6">
        <w:rPr>
          <w:rFonts w:ascii="Arial" w:hAnsi="Arial" w:cs="Arial"/>
          <w:bCs/>
          <w:color w:val="181818" w:themeColor="accent6" w:themeShade="1A"/>
          <w:sz w:val="22"/>
        </w:rPr>
        <w:lastRenderedPageBreak/>
        <w:t xml:space="preserve">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668DFCE8" w14:textId="77777777" w:rsidR="00DF453C" w:rsidRPr="006063B6" w:rsidRDefault="00DF453C" w:rsidP="006B22D4">
      <w:pPr>
        <w:pStyle w:val="Sinespaciado"/>
        <w:spacing w:line="276" w:lineRule="auto"/>
        <w:ind w:firstLine="708"/>
        <w:jc w:val="both"/>
        <w:rPr>
          <w:rFonts w:ascii="Arial" w:hAnsi="Arial" w:cs="Arial"/>
          <w:bCs/>
          <w:color w:val="181818" w:themeColor="accent6" w:themeShade="1A"/>
          <w:sz w:val="22"/>
          <w:lang w:val="es-ES"/>
        </w:rPr>
      </w:pPr>
    </w:p>
    <w:p w14:paraId="62245E79" w14:textId="642DE6BD" w:rsidR="0028449C" w:rsidRPr="006063B6" w:rsidRDefault="0028449C" w:rsidP="00743BC8">
      <w:pPr>
        <w:pStyle w:val="Sinespaciado"/>
        <w:ind w:left="709" w:right="709"/>
        <w:jc w:val="both"/>
        <w:rPr>
          <w:rFonts w:ascii="Arial" w:hAnsi="Arial" w:cs="Arial"/>
          <w:color w:val="181818" w:themeColor="accent6" w:themeShade="1A"/>
          <w:sz w:val="21"/>
          <w:szCs w:val="21"/>
        </w:rPr>
      </w:pPr>
      <w:r w:rsidRPr="006063B6">
        <w:rPr>
          <w:rFonts w:ascii="Arial" w:hAnsi="Arial" w:cs="Arial"/>
          <w:color w:val="181818" w:themeColor="accent6" w:themeShade="1A"/>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296D6D06" w14:textId="20874BE6" w:rsidR="0028449C" w:rsidRPr="006063B6" w:rsidRDefault="0028449C" w:rsidP="0028449C">
      <w:pPr>
        <w:pStyle w:val="Sinespaciado"/>
        <w:ind w:left="709" w:right="709"/>
        <w:jc w:val="both"/>
        <w:rPr>
          <w:rFonts w:ascii="Arial" w:hAnsi="Arial" w:cs="Arial"/>
          <w:color w:val="181818" w:themeColor="accent6" w:themeShade="1A"/>
          <w:sz w:val="21"/>
          <w:szCs w:val="21"/>
        </w:rPr>
      </w:pPr>
      <w:r w:rsidRPr="006063B6">
        <w:rPr>
          <w:rFonts w:ascii="Arial" w:hAnsi="Arial" w:cs="Arial"/>
          <w:color w:val="181818" w:themeColor="accent6" w:themeShade="1A"/>
          <w:sz w:val="21"/>
          <w:szCs w:val="21"/>
        </w:rPr>
        <w:t>[…]</w:t>
      </w:r>
    </w:p>
    <w:p w14:paraId="2849302F" w14:textId="77777777" w:rsidR="0028449C" w:rsidRPr="006063B6" w:rsidRDefault="0028449C" w:rsidP="0028449C">
      <w:pPr>
        <w:pStyle w:val="Sinespaciado"/>
        <w:ind w:left="709" w:right="709"/>
        <w:jc w:val="both"/>
        <w:rPr>
          <w:rFonts w:ascii="Arial" w:hAnsi="Arial" w:cs="Arial"/>
          <w:color w:val="181818" w:themeColor="accent6" w:themeShade="1A"/>
          <w:sz w:val="21"/>
          <w:szCs w:val="21"/>
        </w:rPr>
      </w:pPr>
    </w:p>
    <w:p w14:paraId="1ACA47F4" w14:textId="4FF9C4B0" w:rsidR="0028449C" w:rsidRPr="006063B6" w:rsidRDefault="0028449C" w:rsidP="0028449C">
      <w:pPr>
        <w:pStyle w:val="Sinespaciado"/>
        <w:ind w:left="709" w:right="709"/>
        <w:jc w:val="both"/>
        <w:rPr>
          <w:rFonts w:ascii="Arial" w:hAnsi="Arial" w:cs="Arial"/>
          <w:color w:val="181818" w:themeColor="accent6" w:themeShade="1A"/>
          <w:sz w:val="21"/>
          <w:szCs w:val="21"/>
        </w:rPr>
      </w:pPr>
      <w:r w:rsidRPr="006063B6">
        <w:rPr>
          <w:rFonts w:ascii="Arial" w:hAnsi="Arial" w:cs="Arial"/>
          <w:color w:val="181818" w:themeColor="accent6" w:themeShade="1A"/>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D371D0D" w14:textId="77777777" w:rsidR="0028449C" w:rsidRPr="006063B6" w:rsidRDefault="0028449C" w:rsidP="0028449C">
      <w:pPr>
        <w:pStyle w:val="Sinespaciado"/>
        <w:ind w:left="709" w:right="709"/>
        <w:jc w:val="both"/>
        <w:rPr>
          <w:rFonts w:ascii="Arial" w:hAnsi="Arial" w:cs="Arial"/>
          <w:color w:val="181818" w:themeColor="accent6" w:themeShade="1A"/>
          <w:sz w:val="21"/>
          <w:szCs w:val="21"/>
        </w:rPr>
      </w:pPr>
    </w:p>
    <w:p w14:paraId="26626B84" w14:textId="77777777" w:rsidR="0028449C" w:rsidRPr="006063B6" w:rsidRDefault="0028449C" w:rsidP="0028449C">
      <w:pPr>
        <w:pStyle w:val="Sinespaciado"/>
        <w:ind w:left="709" w:right="709"/>
        <w:jc w:val="both"/>
        <w:rPr>
          <w:rFonts w:ascii="Arial" w:hAnsi="Arial" w:cs="Arial"/>
          <w:color w:val="181818" w:themeColor="accent6" w:themeShade="1A"/>
          <w:sz w:val="21"/>
          <w:szCs w:val="21"/>
        </w:rPr>
      </w:pPr>
      <w:r w:rsidRPr="006063B6">
        <w:rPr>
          <w:rFonts w:ascii="Arial" w:hAnsi="Arial" w:cs="Arial"/>
          <w:color w:val="181818" w:themeColor="accent6" w:themeShade="1A"/>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28C38118" w14:textId="167C0B18" w:rsidR="0028449C" w:rsidRPr="006063B6" w:rsidRDefault="0028449C" w:rsidP="0028449C">
      <w:pPr>
        <w:spacing w:before="100" w:beforeAutospacing="1" w:after="100" w:afterAutospacing="1"/>
        <w:ind w:left="709" w:right="709"/>
        <w:jc w:val="both"/>
        <w:rPr>
          <w:rFonts w:ascii="Arial" w:hAnsi="Arial" w:cs="Arial"/>
          <w:color w:val="181818" w:themeColor="accent6" w:themeShade="1A"/>
          <w:sz w:val="21"/>
          <w:szCs w:val="21"/>
        </w:rPr>
      </w:pPr>
      <w:r w:rsidRPr="006063B6">
        <w:rPr>
          <w:rFonts w:ascii="Arial" w:hAnsi="Arial" w:cs="Arial"/>
          <w:color w:val="181818" w:themeColor="accent6" w:themeShade="1A"/>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1FC59BAE" w14:textId="1078FF72" w:rsidR="0028449C" w:rsidRDefault="0028449C" w:rsidP="0028449C">
      <w:pPr>
        <w:spacing w:before="100" w:beforeAutospacing="1" w:after="100" w:afterAutospacing="1"/>
        <w:ind w:left="709" w:right="709"/>
        <w:jc w:val="both"/>
        <w:rPr>
          <w:rFonts w:ascii="Arial" w:hAnsi="Arial" w:cs="Arial"/>
          <w:color w:val="181818" w:themeColor="accent6" w:themeShade="1A"/>
          <w:sz w:val="22"/>
        </w:rPr>
      </w:pPr>
      <w:r w:rsidRPr="006063B6">
        <w:rPr>
          <w:rFonts w:ascii="Arial" w:hAnsi="Arial" w:cs="Arial"/>
          <w:color w:val="181818" w:themeColor="accent6" w:themeShade="1A"/>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Pr="006063B6">
        <w:rPr>
          <w:rFonts w:ascii="Arial" w:hAnsi="Arial" w:cs="Arial"/>
          <w:color w:val="181818" w:themeColor="accent6" w:themeShade="1A"/>
          <w:sz w:val="22"/>
        </w:rPr>
        <w:t xml:space="preserve"> </w:t>
      </w:r>
    </w:p>
    <w:p w14:paraId="74F932D2" w14:textId="38212B25" w:rsidR="0028449C" w:rsidRPr="006063B6" w:rsidRDefault="0028449C" w:rsidP="00DF453C">
      <w:pPr>
        <w:pStyle w:val="Sinespaciado"/>
        <w:spacing w:before="120" w:line="276" w:lineRule="auto"/>
        <w:ind w:firstLine="708"/>
        <w:jc w:val="both"/>
        <w:rPr>
          <w:rFonts w:ascii="Arial" w:hAnsi="Arial" w:cs="Arial"/>
          <w:color w:val="181818" w:themeColor="accent6" w:themeShade="1A"/>
          <w:sz w:val="22"/>
        </w:rPr>
      </w:pPr>
      <w:r w:rsidRPr="006063B6">
        <w:rPr>
          <w:rFonts w:ascii="Arial" w:hAnsi="Arial" w:cs="Arial"/>
          <w:color w:val="181818" w:themeColor="accent6" w:themeShade="1A"/>
          <w:sz w:val="22"/>
        </w:rPr>
        <w:t xml:space="preserve">De las normas citadas se resalta que, en virtud del principio de economía, </w:t>
      </w:r>
      <w:r w:rsidR="00726E6A" w:rsidRPr="006063B6">
        <w:rPr>
          <w:rFonts w:ascii="Arial" w:hAnsi="Arial" w:cs="Arial"/>
          <w:color w:val="181818" w:themeColor="accent6" w:themeShade="1A"/>
          <w:sz w:val="22"/>
        </w:rPr>
        <w:t xml:space="preserve">para </w:t>
      </w:r>
      <w:r w:rsidRPr="006063B6">
        <w:rPr>
          <w:rFonts w:ascii="Arial" w:hAnsi="Arial" w:cs="Arial"/>
          <w:color w:val="181818" w:themeColor="accent6" w:themeShade="1A"/>
          <w:sz w:val="22"/>
        </w:rPr>
        <w:t>inici</w:t>
      </w:r>
      <w:r w:rsidR="00726E6A" w:rsidRPr="006063B6">
        <w:rPr>
          <w:rFonts w:ascii="Arial" w:hAnsi="Arial" w:cs="Arial"/>
          <w:color w:val="181818" w:themeColor="accent6" w:themeShade="1A"/>
          <w:sz w:val="22"/>
        </w:rPr>
        <w:t>ar</w:t>
      </w:r>
      <w:r w:rsidRPr="006063B6">
        <w:rPr>
          <w:rFonts w:ascii="Arial" w:hAnsi="Arial" w:cs="Arial"/>
          <w:color w:val="181818" w:themeColor="accent6" w:themeShade="1A"/>
          <w:sz w:val="22"/>
        </w:rPr>
        <w:t xml:space="preserve"> un proceso de contratación </w:t>
      </w:r>
      <w:r w:rsidR="00726E6A" w:rsidRPr="006063B6">
        <w:rPr>
          <w:rFonts w:ascii="Arial" w:hAnsi="Arial" w:cs="Arial"/>
          <w:color w:val="181818" w:themeColor="accent6" w:themeShade="1A"/>
          <w:sz w:val="22"/>
        </w:rPr>
        <w:t xml:space="preserve">se </w:t>
      </w:r>
      <w:r w:rsidRPr="006063B6">
        <w:rPr>
          <w:rFonts w:ascii="Arial" w:hAnsi="Arial" w:cs="Arial"/>
          <w:color w:val="181818" w:themeColor="accent6" w:themeShade="1A"/>
          <w:sz w:val="22"/>
        </w:rPr>
        <w:t>requiere</w:t>
      </w:r>
      <w:r w:rsidR="00726E6A" w:rsidRPr="006063B6">
        <w:rPr>
          <w:rFonts w:ascii="Arial" w:hAnsi="Arial" w:cs="Arial"/>
          <w:color w:val="181818" w:themeColor="accent6" w:themeShade="1A"/>
          <w:sz w:val="22"/>
        </w:rPr>
        <w:t>n</w:t>
      </w:r>
      <w:r w:rsidRPr="006063B6">
        <w:rPr>
          <w:rFonts w:ascii="Arial" w:hAnsi="Arial" w:cs="Arial"/>
          <w:color w:val="181818" w:themeColor="accent6" w:themeShade="1A"/>
          <w:sz w:val="22"/>
        </w:rPr>
        <w:t xml:space="preserve">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w:t>
      </w:r>
      <w:r w:rsidR="009E751B" w:rsidRPr="006063B6">
        <w:rPr>
          <w:rFonts w:ascii="Arial" w:hAnsi="Arial" w:cs="Arial"/>
          <w:color w:val="181818" w:themeColor="accent6" w:themeShade="1A"/>
          <w:sz w:val="22"/>
        </w:rPr>
        <w:t xml:space="preserve">previstos </w:t>
      </w:r>
      <w:r w:rsidRPr="006063B6">
        <w:rPr>
          <w:rFonts w:ascii="Arial" w:hAnsi="Arial" w:cs="Arial"/>
          <w:color w:val="181818" w:themeColor="accent6" w:themeShade="1A"/>
          <w:sz w:val="22"/>
        </w:rPr>
        <w:t>en el artículo 2.2.1.1.2.1.1 del Decreto 1082 de 2015, norma que exige que se determine el objeto a contratar con sus especificaciones y se estime el costo que implica celebra</w:t>
      </w:r>
      <w:r w:rsidR="009C5AE1">
        <w:rPr>
          <w:rFonts w:ascii="Arial" w:hAnsi="Arial" w:cs="Arial"/>
          <w:color w:val="181818" w:themeColor="accent6" w:themeShade="1A"/>
          <w:sz w:val="22"/>
        </w:rPr>
        <w:t>r</w:t>
      </w:r>
      <w:r w:rsidRPr="006063B6">
        <w:rPr>
          <w:rFonts w:ascii="Arial" w:hAnsi="Arial" w:cs="Arial"/>
          <w:color w:val="181818" w:themeColor="accent6" w:themeShade="1A"/>
          <w:sz w:val="22"/>
        </w:rPr>
        <w:t xml:space="preserve"> el contrato</w:t>
      </w:r>
      <w:r w:rsidR="009C5AE1">
        <w:rPr>
          <w:rFonts w:ascii="Arial" w:hAnsi="Arial" w:cs="Arial"/>
          <w:color w:val="181818" w:themeColor="accent6" w:themeShade="1A"/>
          <w:sz w:val="22"/>
        </w:rPr>
        <w:t>,</w:t>
      </w:r>
      <w:r w:rsidRPr="006063B6">
        <w:rPr>
          <w:rFonts w:ascii="Arial" w:hAnsi="Arial" w:cs="Arial"/>
          <w:color w:val="181818" w:themeColor="accent6" w:themeShade="1A"/>
          <w:sz w:val="22"/>
        </w:rPr>
        <w:t xml:space="preserve"> de la siguiente manera: </w:t>
      </w:r>
    </w:p>
    <w:p w14:paraId="171F9874" w14:textId="77777777" w:rsidR="0028449C" w:rsidRPr="006063B6" w:rsidRDefault="0028449C" w:rsidP="00743BC8">
      <w:pPr>
        <w:pStyle w:val="Sinespaciado"/>
        <w:spacing w:line="276" w:lineRule="auto"/>
        <w:jc w:val="both"/>
        <w:rPr>
          <w:rFonts w:ascii="Arial" w:hAnsi="Arial" w:cs="Arial"/>
          <w:color w:val="181818" w:themeColor="accent6" w:themeShade="1A"/>
        </w:rPr>
      </w:pPr>
    </w:p>
    <w:p w14:paraId="51CB9A53" w14:textId="77CC7BAC" w:rsidR="0028449C" w:rsidRPr="006063B6" w:rsidRDefault="0028449C" w:rsidP="00743BC8">
      <w:pPr>
        <w:pStyle w:val="Sinespaciado"/>
        <w:spacing w:line="276" w:lineRule="auto"/>
        <w:ind w:left="709" w:right="709"/>
        <w:jc w:val="both"/>
        <w:rPr>
          <w:rFonts w:ascii="Arial" w:hAnsi="Arial" w:cs="Arial"/>
          <w:color w:val="181818" w:themeColor="accent6" w:themeShade="1A"/>
          <w:sz w:val="21"/>
          <w:szCs w:val="21"/>
        </w:rPr>
      </w:pPr>
      <w:r w:rsidRPr="006063B6">
        <w:rPr>
          <w:rFonts w:ascii="Arial" w:hAnsi="Arial" w:cs="Arial"/>
          <w:color w:val="181818" w:themeColor="accent6" w:themeShade="1A"/>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65253F89" w14:textId="7D4BE58B" w:rsidR="0028449C" w:rsidRPr="006063B6" w:rsidRDefault="0028449C" w:rsidP="0028449C">
      <w:pPr>
        <w:pStyle w:val="Sinespaciado"/>
        <w:spacing w:line="276" w:lineRule="auto"/>
        <w:ind w:left="709" w:right="709"/>
        <w:jc w:val="both"/>
        <w:rPr>
          <w:rFonts w:ascii="Arial" w:hAnsi="Arial" w:cs="Arial"/>
          <w:color w:val="181818" w:themeColor="accent6" w:themeShade="1A"/>
          <w:sz w:val="21"/>
          <w:szCs w:val="21"/>
        </w:rPr>
      </w:pPr>
      <w:r w:rsidRPr="006063B6">
        <w:rPr>
          <w:rFonts w:ascii="Arial" w:hAnsi="Arial" w:cs="Arial"/>
          <w:color w:val="181818" w:themeColor="accent6" w:themeShade="1A"/>
          <w:sz w:val="21"/>
          <w:szCs w:val="21"/>
        </w:rPr>
        <w:t>[…]</w:t>
      </w:r>
    </w:p>
    <w:p w14:paraId="0AEC46C9" w14:textId="77777777" w:rsidR="0028449C" w:rsidRPr="006063B6" w:rsidRDefault="0028449C" w:rsidP="0028449C">
      <w:pPr>
        <w:pStyle w:val="Sinespaciado"/>
        <w:spacing w:line="276" w:lineRule="auto"/>
        <w:ind w:left="709" w:right="709"/>
        <w:jc w:val="both"/>
        <w:rPr>
          <w:rFonts w:ascii="Arial" w:hAnsi="Arial" w:cs="Arial"/>
          <w:color w:val="181818" w:themeColor="accent6" w:themeShade="1A"/>
          <w:sz w:val="21"/>
          <w:szCs w:val="21"/>
        </w:rPr>
      </w:pPr>
    </w:p>
    <w:p w14:paraId="25643E53" w14:textId="7AB17B61" w:rsidR="0028449C" w:rsidRPr="006063B6" w:rsidRDefault="0028449C" w:rsidP="0028449C">
      <w:pPr>
        <w:pStyle w:val="Sinespaciado"/>
        <w:spacing w:line="276" w:lineRule="auto"/>
        <w:ind w:left="709" w:right="709"/>
        <w:jc w:val="both"/>
        <w:rPr>
          <w:rFonts w:ascii="Arial" w:hAnsi="Arial" w:cs="Arial"/>
          <w:color w:val="181818" w:themeColor="accent6" w:themeShade="1A"/>
        </w:rPr>
      </w:pPr>
      <w:r w:rsidRPr="006063B6">
        <w:rPr>
          <w:rFonts w:ascii="Arial" w:hAnsi="Arial" w:cs="Arial"/>
          <w:color w:val="181818" w:themeColor="accent6" w:themeShade="1A"/>
          <w:sz w:val="21"/>
          <w:szCs w:val="21"/>
        </w:rPr>
        <w:lastRenderedPageBreak/>
        <w:t xml:space="preserve">4. El valor estimado del contrato y la justificación </w:t>
      </w:r>
      <w:proofErr w:type="gramStart"/>
      <w:r w:rsidRPr="006063B6">
        <w:rPr>
          <w:rFonts w:ascii="Arial" w:hAnsi="Arial" w:cs="Arial"/>
          <w:color w:val="181818" w:themeColor="accent6" w:themeShade="1A"/>
          <w:sz w:val="21"/>
          <w:szCs w:val="21"/>
        </w:rPr>
        <w:t>del mismo</w:t>
      </w:r>
      <w:proofErr w:type="gramEnd"/>
      <w:r w:rsidRPr="006063B6">
        <w:rPr>
          <w:rFonts w:ascii="Arial" w:hAnsi="Arial" w:cs="Arial"/>
          <w:color w:val="181818" w:themeColor="accent6" w:themeShade="1A"/>
          <w:sz w:val="21"/>
          <w:szCs w:val="21"/>
        </w:rPr>
        <w:t>.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r w:rsidRPr="006063B6">
        <w:rPr>
          <w:rFonts w:ascii="Arial" w:hAnsi="Arial" w:cs="Arial"/>
          <w:color w:val="181818" w:themeColor="accent6" w:themeShade="1A"/>
        </w:rPr>
        <w:t xml:space="preserve">    </w:t>
      </w:r>
    </w:p>
    <w:p w14:paraId="17527F2C" w14:textId="77777777" w:rsidR="0028449C" w:rsidRPr="006063B6" w:rsidRDefault="0028449C" w:rsidP="00DF453C">
      <w:pPr>
        <w:spacing w:line="276" w:lineRule="auto"/>
        <w:ind w:firstLine="709"/>
        <w:jc w:val="both"/>
        <w:rPr>
          <w:rFonts w:ascii="Arial" w:eastAsia="Calibri" w:hAnsi="Arial" w:cs="Arial"/>
          <w:bCs/>
          <w:color w:val="181818" w:themeColor="accent6" w:themeShade="1A"/>
          <w:sz w:val="22"/>
          <w:lang w:val="es-ES_tradnl"/>
        </w:rPr>
      </w:pPr>
    </w:p>
    <w:p w14:paraId="15D6DD7F" w14:textId="5F904628" w:rsidR="005715A2" w:rsidRPr="006063B6" w:rsidRDefault="005A145F" w:rsidP="006B22D4">
      <w:pPr>
        <w:spacing w:line="276" w:lineRule="auto"/>
        <w:ind w:firstLine="709"/>
        <w:jc w:val="both"/>
        <w:rPr>
          <w:rFonts w:ascii="Arial" w:eastAsia="Calibri" w:hAnsi="Arial" w:cs="Arial"/>
          <w:bCs/>
          <w:color w:val="181818" w:themeColor="accent6" w:themeShade="1A"/>
          <w:sz w:val="22"/>
          <w:lang w:val="es-ES_tradnl"/>
        </w:rPr>
      </w:pPr>
      <w:r w:rsidRPr="006063B6">
        <w:rPr>
          <w:rFonts w:ascii="Arial" w:eastAsia="Calibri" w:hAnsi="Arial" w:cs="Arial"/>
          <w:bCs/>
          <w:color w:val="181818" w:themeColor="accent6" w:themeShade="1A"/>
          <w:sz w:val="22"/>
          <w:lang w:val="es-ES_tradnl"/>
        </w:rPr>
        <w:t xml:space="preserve">Para </w:t>
      </w:r>
      <w:r w:rsidR="00726E6A" w:rsidRPr="006063B6">
        <w:rPr>
          <w:rFonts w:ascii="Arial" w:eastAsia="Calibri" w:hAnsi="Arial" w:cs="Arial"/>
          <w:bCs/>
          <w:color w:val="181818" w:themeColor="accent6" w:themeShade="1A"/>
          <w:sz w:val="22"/>
          <w:lang w:val="es-ES_tradnl"/>
        </w:rPr>
        <w:t>cumplir</w:t>
      </w:r>
      <w:r w:rsidRPr="006063B6">
        <w:rPr>
          <w:rFonts w:ascii="Arial" w:eastAsia="Calibri" w:hAnsi="Arial" w:cs="Arial"/>
          <w:bCs/>
          <w:color w:val="181818" w:themeColor="accent6" w:themeShade="1A"/>
          <w:sz w:val="22"/>
          <w:lang w:val="es-ES_tradnl"/>
        </w:rPr>
        <w:t xml:space="preserve"> este objetivo es necesario el</w:t>
      </w:r>
      <w:r w:rsidR="004E61D5" w:rsidRPr="006063B6">
        <w:rPr>
          <w:rFonts w:ascii="Arial" w:eastAsia="Calibri" w:hAnsi="Arial" w:cs="Arial"/>
          <w:bCs/>
          <w:color w:val="181818" w:themeColor="accent6" w:themeShade="1A"/>
          <w:sz w:val="22"/>
          <w:lang w:val="es-ES_tradnl"/>
        </w:rPr>
        <w:t xml:space="preserve"> estudio del mercado y el análisis del sector económico y de los oferentes, actividad de planeación previa que sirve para identificar aspectos concretos del mercado que pueden afectar el proceso de selección o las condiciones del negocio a realizar</w:t>
      </w:r>
      <w:r w:rsidR="00902FFE">
        <w:rPr>
          <w:rFonts w:ascii="Arial" w:eastAsia="Calibri" w:hAnsi="Arial" w:cs="Arial"/>
          <w:bCs/>
          <w:color w:val="181818" w:themeColor="accent6" w:themeShade="1A"/>
          <w:sz w:val="22"/>
          <w:lang w:val="es-ES_tradnl"/>
        </w:rPr>
        <w:t>,</w:t>
      </w:r>
      <w:r w:rsidR="004E61D5" w:rsidRPr="006063B6">
        <w:rPr>
          <w:rFonts w:ascii="Arial" w:eastAsia="Calibri" w:hAnsi="Arial" w:cs="Arial"/>
          <w:bCs/>
          <w:color w:val="181818" w:themeColor="accent6" w:themeShade="1A"/>
          <w:sz w:val="22"/>
          <w:lang w:val="es-ES_tradnl"/>
        </w:rPr>
        <w:t xml:space="preserve"> a través del proceso de contratación </w:t>
      </w:r>
      <w:r w:rsidR="00726E6A" w:rsidRPr="006063B6">
        <w:rPr>
          <w:rFonts w:ascii="Arial" w:eastAsia="Calibri" w:hAnsi="Arial" w:cs="Arial"/>
          <w:bCs/>
          <w:color w:val="181818" w:themeColor="accent6" w:themeShade="1A"/>
          <w:sz w:val="22"/>
          <w:lang w:val="es-ES_tradnl"/>
        </w:rPr>
        <w:t xml:space="preserve">de </w:t>
      </w:r>
      <w:r w:rsidR="004E61D5" w:rsidRPr="006063B6">
        <w:rPr>
          <w:rFonts w:ascii="Arial" w:eastAsia="Calibri" w:hAnsi="Arial" w:cs="Arial"/>
          <w:bCs/>
          <w:color w:val="181818" w:themeColor="accent6" w:themeShade="1A"/>
          <w:sz w:val="22"/>
          <w:lang w:val="es-ES_tradnl"/>
        </w:rPr>
        <w:t>bie</w:t>
      </w:r>
      <w:r w:rsidRPr="006063B6">
        <w:rPr>
          <w:rFonts w:ascii="Arial" w:eastAsia="Calibri" w:hAnsi="Arial" w:cs="Arial"/>
          <w:bCs/>
          <w:color w:val="181818" w:themeColor="accent6" w:themeShade="1A"/>
          <w:sz w:val="22"/>
          <w:lang w:val="es-ES_tradnl"/>
        </w:rPr>
        <w:t xml:space="preserve">nes, obras o servicios. </w:t>
      </w:r>
      <w:r w:rsidR="005715A2" w:rsidRPr="006063B6">
        <w:rPr>
          <w:rFonts w:ascii="Arial" w:eastAsia="Calibri" w:hAnsi="Arial" w:cs="Arial"/>
          <w:bCs/>
          <w:color w:val="181818" w:themeColor="accent6" w:themeShade="1A"/>
          <w:sz w:val="22"/>
          <w:lang w:val="es-ES_tradnl"/>
        </w:rPr>
        <w:t xml:space="preserve">En este sentido, el artículo </w:t>
      </w:r>
      <w:bookmarkStart w:id="4" w:name="_Hlk36117416"/>
      <w:r w:rsidR="005715A2" w:rsidRPr="006063B6">
        <w:rPr>
          <w:rFonts w:ascii="Arial" w:eastAsia="Calibri" w:hAnsi="Arial" w:cs="Arial"/>
          <w:bCs/>
          <w:color w:val="181818" w:themeColor="accent6" w:themeShade="1A"/>
          <w:sz w:val="22"/>
          <w:lang w:val="es-ES_tradnl"/>
        </w:rPr>
        <w:t>2.2.1.1.1.6.1 del Decreto 1082 de 2015</w:t>
      </w:r>
      <w:bookmarkEnd w:id="4"/>
      <w:r w:rsidR="005715A2" w:rsidRPr="006063B6">
        <w:rPr>
          <w:rFonts w:ascii="Arial" w:eastAsia="Calibri" w:hAnsi="Arial" w:cs="Arial"/>
          <w:bCs/>
          <w:color w:val="181818" w:themeColor="accent6" w:themeShade="1A"/>
          <w:sz w:val="22"/>
          <w:lang w:val="es-ES_tradnl"/>
        </w:rPr>
        <w:t xml:space="preserve">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FCBD2BF" w14:textId="435EA2F3" w:rsidR="00C934F1" w:rsidRPr="006063B6" w:rsidRDefault="00C934F1" w:rsidP="00DF453C">
      <w:pPr>
        <w:spacing w:before="120" w:line="276" w:lineRule="auto"/>
        <w:ind w:firstLine="709"/>
        <w:jc w:val="both"/>
        <w:rPr>
          <w:rFonts w:ascii="Arial" w:eastAsia="Calibri" w:hAnsi="Arial" w:cs="Arial"/>
          <w:bCs/>
          <w:color w:val="181818" w:themeColor="accent6" w:themeShade="1A"/>
          <w:sz w:val="22"/>
          <w:lang w:val="es-ES_tradnl"/>
        </w:rPr>
      </w:pPr>
      <w:r w:rsidRPr="006063B6">
        <w:rPr>
          <w:rFonts w:ascii="Arial" w:eastAsia="Calibri" w:hAnsi="Arial" w:cs="Arial"/>
          <w:bCs/>
          <w:color w:val="181818" w:themeColor="accent6" w:themeShade="1A"/>
          <w:sz w:val="22"/>
          <w:lang w:val="es-ES_tradnl"/>
        </w:rPr>
        <w:t xml:space="preserve">De acuerdo con la norma citada, </w:t>
      </w:r>
      <w:bookmarkStart w:id="5" w:name="_Hlk36140682"/>
      <w:r w:rsidRPr="006063B6">
        <w:rPr>
          <w:rFonts w:ascii="Arial" w:eastAsia="Calibri" w:hAnsi="Arial" w:cs="Arial"/>
          <w:bCs/>
          <w:color w:val="181818" w:themeColor="accent6" w:themeShade="1A"/>
          <w:sz w:val="22"/>
          <w:lang w:val="es-ES_tradnl"/>
        </w:rPr>
        <w:t>la entidad</w:t>
      </w:r>
      <w:r w:rsidR="00EA3E75" w:rsidRPr="006063B6">
        <w:rPr>
          <w:rFonts w:ascii="Arial" w:eastAsia="Calibri" w:hAnsi="Arial" w:cs="Arial"/>
          <w:bCs/>
          <w:color w:val="181818" w:themeColor="accent6" w:themeShade="1A"/>
          <w:sz w:val="22"/>
          <w:lang w:val="es-ES_tradnl"/>
        </w:rPr>
        <w:t xml:space="preserve"> </w:t>
      </w:r>
      <w:r w:rsidRPr="006063B6">
        <w:rPr>
          <w:rFonts w:ascii="Arial" w:eastAsia="Calibri" w:hAnsi="Arial" w:cs="Arial"/>
          <w:bCs/>
          <w:color w:val="181818" w:themeColor="accent6" w:themeShade="1A"/>
          <w:sz w:val="22"/>
          <w:lang w:val="es-ES_tradnl"/>
        </w:rPr>
        <w:t xml:space="preserve">debe </w:t>
      </w:r>
      <w:r w:rsidR="00EA3E75" w:rsidRPr="006063B6">
        <w:rPr>
          <w:rFonts w:ascii="Arial" w:eastAsia="Calibri" w:hAnsi="Arial" w:cs="Arial"/>
          <w:bCs/>
          <w:color w:val="181818" w:themeColor="accent6" w:themeShade="1A"/>
          <w:sz w:val="22"/>
          <w:lang w:val="es-ES_tradnl"/>
        </w:rPr>
        <w:t>realizar</w:t>
      </w:r>
      <w:r w:rsidRPr="006063B6">
        <w:rPr>
          <w:rFonts w:ascii="Arial" w:eastAsia="Calibri" w:hAnsi="Arial" w:cs="Arial"/>
          <w:bCs/>
          <w:color w:val="181818" w:themeColor="accent6" w:themeShade="1A"/>
          <w:sz w:val="22"/>
          <w:lang w:val="es-ES_tradnl"/>
        </w:rPr>
        <w:t xml:space="preserve"> el análisis necesario para conocer el sector relativo al objeto del </w:t>
      </w:r>
      <w:r w:rsidR="00EA3E75" w:rsidRPr="006063B6">
        <w:rPr>
          <w:rFonts w:ascii="Arial" w:eastAsia="Calibri" w:hAnsi="Arial" w:cs="Arial"/>
          <w:bCs/>
          <w:color w:val="181818" w:themeColor="accent6" w:themeShade="1A"/>
          <w:sz w:val="22"/>
          <w:lang w:val="es-ES_tradnl"/>
        </w:rPr>
        <w:t>p</w:t>
      </w:r>
      <w:r w:rsidRPr="006063B6">
        <w:rPr>
          <w:rFonts w:ascii="Arial" w:eastAsia="Calibri" w:hAnsi="Arial" w:cs="Arial"/>
          <w:bCs/>
          <w:color w:val="181818" w:themeColor="accent6" w:themeShade="1A"/>
          <w:sz w:val="22"/>
          <w:lang w:val="es-ES_tradnl"/>
        </w:rPr>
        <w:t xml:space="preserve">roceso de </w:t>
      </w:r>
      <w:r w:rsidR="00EA3E75" w:rsidRPr="006063B6">
        <w:rPr>
          <w:rFonts w:ascii="Arial" w:eastAsia="Calibri" w:hAnsi="Arial" w:cs="Arial"/>
          <w:bCs/>
          <w:color w:val="181818" w:themeColor="accent6" w:themeShade="1A"/>
          <w:sz w:val="22"/>
          <w:lang w:val="es-ES_tradnl"/>
        </w:rPr>
        <w:t>c</w:t>
      </w:r>
      <w:r w:rsidRPr="006063B6">
        <w:rPr>
          <w:rFonts w:ascii="Arial" w:eastAsia="Calibri" w:hAnsi="Arial" w:cs="Arial"/>
          <w:bCs/>
          <w:color w:val="181818" w:themeColor="accent6" w:themeShade="1A"/>
          <w:sz w:val="22"/>
          <w:lang w:val="es-ES_tradnl"/>
        </w:rPr>
        <w:t>ontratación, sin que sea relevante la modalidad de selección.</w:t>
      </w:r>
      <w:r w:rsidR="000E2BB6" w:rsidRPr="006063B6">
        <w:rPr>
          <w:rFonts w:ascii="Arial" w:eastAsia="Calibri" w:hAnsi="Arial" w:cs="Arial"/>
          <w:bCs/>
          <w:color w:val="181818" w:themeColor="accent6" w:themeShade="1A"/>
          <w:sz w:val="22"/>
          <w:lang w:val="es-ES_tradnl"/>
        </w:rPr>
        <w:t xml:space="preserve"> </w:t>
      </w:r>
      <w:r w:rsidRPr="006063B6">
        <w:rPr>
          <w:rFonts w:ascii="Arial" w:eastAsia="Calibri" w:hAnsi="Arial" w:cs="Arial"/>
          <w:bCs/>
          <w:color w:val="181818" w:themeColor="accent6" w:themeShade="1A"/>
          <w:sz w:val="22"/>
          <w:lang w:val="es-ES_tradnl"/>
        </w:rPr>
        <w:t>Hacer un análisis desde la perspectiva legal implica la revisión de la regulación vigente para el mercado dentro del que se encuentra el objeto del contrato.</w:t>
      </w:r>
      <w:r w:rsidR="000E2BB6" w:rsidRPr="006063B6">
        <w:rPr>
          <w:rFonts w:ascii="Arial" w:eastAsia="Calibri" w:hAnsi="Arial" w:cs="Arial"/>
          <w:bCs/>
          <w:color w:val="181818" w:themeColor="accent6" w:themeShade="1A"/>
          <w:sz w:val="22"/>
          <w:lang w:val="es-ES_tradnl"/>
        </w:rPr>
        <w:t xml:space="preserve"> </w:t>
      </w:r>
      <w:r w:rsidRPr="006063B6">
        <w:rPr>
          <w:rFonts w:ascii="Arial" w:eastAsia="Calibri" w:hAnsi="Arial" w:cs="Arial"/>
          <w:bCs/>
          <w:color w:val="181818" w:themeColor="accent6" w:themeShade="1A"/>
          <w:sz w:val="22"/>
          <w:lang w:val="es-ES_tradnl"/>
        </w:rPr>
        <w:t xml:space="preserve">La perspectiva comercial hace referencia a analizar quiénes pueden ofrecer el bien o servicio que se quiere contratar, cuáles son sus condiciones, si tienen condiciones especiales que sean relevantes </w:t>
      </w:r>
      <w:r w:rsidR="00726E6A" w:rsidRPr="006063B6">
        <w:rPr>
          <w:rFonts w:ascii="Arial" w:eastAsia="Calibri" w:hAnsi="Arial" w:cs="Arial"/>
          <w:bCs/>
          <w:color w:val="181818" w:themeColor="accent6" w:themeShade="1A"/>
          <w:sz w:val="22"/>
          <w:lang w:val="es-ES_tradnl"/>
        </w:rPr>
        <w:t>para</w:t>
      </w:r>
      <w:r w:rsidRPr="006063B6">
        <w:rPr>
          <w:rFonts w:ascii="Arial" w:eastAsia="Calibri" w:hAnsi="Arial" w:cs="Arial"/>
          <w:bCs/>
          <w:color w:val="181818" w:themeColor="accent6" w:themeShade="1A"/>
          <w:sz w:val="22"/>
          <w:lang w:val="es-ES_tradnl"/>
        </w:rPr>
        <w:t xml:space="preserve"> determinar los requisitos habilitantes, entre otros.</w:t>
      </w:r>
      <w:r w:rsidR="000E2BB6" w:rsidRPr="006063B6">
        <w:rPr>
          <w:rFonts w:ascii="Arial" w:eastAsia="Calibri" w:hAnsi="Arial" w:cs="Arial"/>
          <w:bCs/>
          <w:color w:val="181818" w:themeColor="accent6" w:themeShade="1A"/>
          <w:sz w:val="22"/>
          <w:lang w:val="es-ES_tradnl"/>
        </w:rPr>
        <w:t xml:space="preserve"> </w:t>
      </w:r>
      <w:r w:rsidRPr="006063B6">
        <w:rPr>
          <w:rFonts w:ascii="Arial" w:eastAsia="Calibri" w:hAnsi="Arial" w:cs="Arial"/>
          <w:bCs/>
          <w:color w:val="181818" w:themeColor="accent6" w:themeShade="1A"/>
          <w:sz w:val="22"/>
          <w:lang w:val="es-ES_tradnl"/>
        </w:rPr>
        <w:t>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w:t>
      </w:r>
      <w:r w:rsidR="000E2BB6" w:rsidRPr="006063B6">
        <w:rPr>
          <w:rFonts w:ascii="Arial" w:eastAsia="Calibri" w:hAnsi="Arial" w:cs="Arial"/>
          <w:bCs/>
          <w:color w:val="181818" w:themeColor="accent6" w:themeShade="1A"/>
          <w:sz w:val="22"/>
          <w:lang w:val="es-ES_tradnl"/>
        </w:rPr>
        <w:t xml:space="preserve"> </w:t>
      </w:r>
      <w:r w:rsidRPr="006063B6">
        <w:rPr>
          <w:rFonts w:ascii="Arial" w:eastAsia="Calibri" w:hAnsi="Arial" w:cs="Arial"/>
          <w:bCs/>
          <w:color w:val="181818" w:themeColor="accent6" w:themeShade="1A"/>
          <w:sz w:val="22"/>
          <w:lang w:val="es-ES_tradnl"/>
        </w:rPr>
        <w:t xml:space="preserve">Con la perspectiva organizacional se pretende que la </w:t>
      </w:r>
      <w:r w:rsidR="00726E6A" w:rsidRPr="006063B6">
        <w:rPr>
          <w:rFonts w:ascii="Arial" w:eastAsia="Calibri" w:hAnsi="Arial" w:cs="Arial"/>
          <w:bCs/>
          <w:color w:val="181818" w:themeColor="accent6" w:themeShade="1A"/>
          <w:sz w:val="22"/>
          <w:lang w:val="es-ES_tradnl"/>
        </w:rPr>
        <w:t>e</w:t>
      </w:r>
      <w:r w:rsidRPr="006063B6">
        <w:rPr>
          <w:rFonts w:ascii="Arial" w:eastAsia="Calibri" w:hAnsi="Arial" w:cs="Arial"/>
          <w:bCs/>
          <w:color w:val="181818" w:themeColor="accent6" w:themeShade="1A"/>
          <w:sz w:val="22"/>
          <w:lang w:val="es-ES_tradnl"/>
        </w:rPr>
        <w:t xml:space="preserve">ntidad </w:t>
      </w:r>
      <w:r w:rsidR="00726E6A" w:rsidRPr="006063B6">
        <w:rPr>
          <w:rFonts w:ascii="Arial" w:eastAsia="Calibri" w:hAnsi="Arial" w:cs="Arial"/>
          <w:bCs/>
          <w:color w:val="181818" w:themeColor="accent6" w:themeShade="1A"/>
          <w:sz w:val="22"/>
          <w:lang w:val="es-ES_tradnl"/>
        </w:rPr>
        <w:t>e</w:t>
      </w:r>
      <w:r w:rsidRPr="006063B6">
        <w:rPr>
          <w:rFonts w:ascii="Arial" w:eastAsia="Calibri" w:hAnsi="Arial" w:cs="Arial"/>
          <w:bCs/>
          <w:color w:val="181818" w:themeColor="accent6" w:themeShade="1A"/>
          <w:sz w:val="22"/>
          <w:lang w:val="es-ES_tradnl"/>
        </w:rPr>
        <w:t>statal entienda cómo están organizados internamente los posibles oferentes y de qué manera realizan sus negocios y operaciones.</w:t>
      </w:r>
    </w:p>
    <w:p w14:paraId="5A5EDE45" w14:textId="6D3293DA" w:rsidR="00C934F1" w:rsidRPr="006063B6" w:rsidRDefault="00C934F1" w:rsidP="00DF453C">
      <w:pPr>
        <w:spacing w:before="120" w:line="276" w:lineRule="auto"/>
        <w:ind w:firstLine="709"/>
        <w:jc w:val="both"/>
        <w:rPr>
          <w:rFonts w:ascii="Arial" w:eastAsia="Calibri" w:hAnsi="Arial" w:cs="Arial"/>
          <w:bCs/>
          <w:color w:val="181818" w:themeColor="accent6" w:themeShade="1A"/>
          <w:sz w:val="22"/>
          <w:lang w:val="es-ES_tradnl"/>
        </w:rPr>
      </w:pPr>
      <w:r w:rsidRPr="006063B6">
        <w:rPr>
          <w:rFonts w:ascii="Arial" w:eastAsia="Calibri" w:hAnsi="Arial" w:cs="Arial"/>
          <w:bCs/>
          <w:color w:val="181818" w:themeColor="accent6" w:themeShade="1A"/>
          <w:sz w:val="22"/>
          <w:lang w:val="es-ES_tradnl"/>
        </w:rPr>
        <w:t xml:space="preserve">Para </w:t>
      </w:r>
      <w:r w:rsidR="00EA3E75" w:rsidRPr="006063B6">
        <w:rPr>
          <w:rFonts w:ascii="Arial" w:eastAsia="Calibri" w:hAnsi="Arial" w:cs="Arial"/>
          <w:bCs/>
          <w:color w:val="181818" w:themeColor="accent6" w:themeShade="1A"/>
          <w:sz w:val="22"/>
          <w:lang w:val="es-ES_tradnl"/>
        </w:rPr>
        <w:t>negociar</w:t>
      </w:r>
      <w:r w:rsidRPr="006063B6">
        <w:rPr>
          <w:rFonts w:ascii="Arial" w:eastAsia="Calibri" w:hAnsi="Arial" w:cs="Arial"/>
          <w:bCs/>
          <w:color w:val="181818" w:themeColor="accent6" w:themeShade="1A"/>
          <w:sz w:val="22"/>
          <w:lang w:val="es-ES_tradnl"/>
        </w:rPr>
        <w:t xml:space="preserve"> de manera adecuada, </w:t>
      </w:r>
      <w:r w:rsidR="00EA3E75" w:rsidRPr="006063B6">
        <w:rPr>
          <w:rFonts w:ascii="Arial" w:eastAsia="Calibri" w:hAnsi="Arial" w:cs="Arial"/>
          <w:bCs/>
          <w:color w:val="181818" w:themeColor="accent6" w:themeShade="1A"/>
          <w:sz w:val="22"/>
          <w:lang w:val="es-ES_tradnl"/>
        </w:rPr>
        <w:t>es necesario</w:t>
      </w:r>
      <w:r w:rsidR="000E2BB6" w:rsidRPr="006063B6">
        <w:rPr>
          <w:rFonts w:ascii="Arial" w:eastAsia="Calibri" w:hAnsi="Arial" w:cs="Arial"/>
          <w:bCs/>
          <w:color w:val="181818" w:themeColor="accent6" w:themeShade="1A"/>
          <w:sz w:val="22"/>
          <w:lang w:val="es-ES_tradnl"/>
        </w:rPr>
        <w:t xml:space="preserve"> conocer</w:t>
      </w:r>
      <w:r w:rsidRPr="006063B6">
        <w:rPr>
          <w:rFonts w:ascii="Arial" w:eastAsia="Calibri" w:hAnsi="Arial" w:cs="Arial"/>
          <w:bCs/>
          <w:color w:val="181818" w:themeColor="accent6" w:themeShade="1A"/>
          <w:sz w:val="22"/>
          <w:lang w:val="es-ES_tradnl"/>
        </w:rPr>
        <w:t xml:space="preserve"> la estructura </w:t>
      </w:r>
      <w:r w:rsidR="000E2BB6" w:rsidRPr="006063B6">
        <w:rPr>
          <w:rFonts w:ascii="Arial" w:eastAsia="Calibri" w:hAnsi="Arial" w:cs="Arial"/>
          <w:bCs/>
          <w:color w:val="181818" w:themeColor="accent6" w:themeShade="1A"/>
          <w:sz w:val="22"/>
          <w:lang w:val="es-ES_tradnl"/>
        </w:rPr>
        <w:t xml:space="preserve">de los posibles </w:t>
      </w:r>
      <w:r w:rsidR="00726E6A" w:rsidRPr="006063B6">
        <w:rPr>
          <w:rFonts w:ascii="Arial" w:eastAsia="Calibri" w:hAnsi="Arial" w:cs="Arial"/>
          <w:bCs/>
          <w:color w:val="181818" w:themeColor="accent6" w:themeShade="1A"/>
          <w:sz w:val="22"/>
          <w:lang w:val="es-ES_tradnl"/>
        </w:rPr>
        <w:t>contratistas</w:t>
      </w:r>
      <w:r w:rsidRPr="006063B6">
        <w:rPr>
          <w:rFonts w:ascii="Arial" w:eastAsia="Calibri" w:hAnsi="Arial" w:cs="Arial"/>
          <w:bCs/>
          <w:color w:val="181818" w:themeColor="accent6" w:themeShade="1A"/>
          <w:sz w:val="22"/>
          <w:lang w:val="es-ES_tradnl"/>
        </w:rPr>
        <w:t xml:space="preserve">, </w:t>
      </w:r>
      <w:r w:rsidR="000E2BB6" w:rsidRPr="006063B6">
        <w:rPr>
          <w:rFonts w:ascii="Arial" w:eastAsia="Calibri" w:hAnsi="Arial" w:cs="Arial"/>
          <w:bCs/>
          <w:color w:val="181818" w:themeColor="accent6" w:themeShade="1A"/>
          <w:sz w:val="22"/>
          <w:lang w:val="es-ES_tradnl"/>
        </w:rPr>
        <w:t>pues permite</w:t>
      </w:r>
      <w:r w:rsidRPr="006063B6">
        <w:rPr>
          <w:rFonts w:ascii="Arial" w:eastAsia="Calibri" w:hAnsi="Arial" w:cs="Arial"/>
          <w:bCs/>
          <w:color w:val="181818" w:themeColor="accent6" w:themeShade="1A"/>
          <w:sz w:val="22"/>
          <w:lang w:val="es-ES_tradnl"/>
        </w:rPr>
        <w:t xml:space="preserve"> identificar la forma en la que suplirá los requerimientos de la </w:t>
      </w:r>
      <w:r w:rsidR="000E2BB6" w:rsidRPr="006063B6">
        <w:rPr>
          <w:rFonts w:ascii="Arial" w:eastAsia="Calibri" w:hAnsi="Arial" w:cs="Arial"/>
          <w:bCs/>
          <w:color w:val="181818" w:themeColor="accent6" w:themeShade="1A"/>
          <w:sz w:val="22"/>
          <w:lang w:val="es-ES_tradnl"/>
        </w:rPr>
        <w:t>entidad</w:t>
      </w:r>
      <w:r w:rsidRPr="006063B6">
        <w:rPr>
          <w:rFonts w:ascii="Arial" w:eastAsia="Calibri" w:hAnsi="Arial" w:cs="Arial"/>
          <w:bCs/>
          <w:color w:val="181818" w:themeColor="accent6" w:themeShade="1A"/>
          <w:sz w:val="22"/>
          <w:lang w:val="es-ES_tradnl"/>
        </w:rPr>
        <w:t>.</w:t>
      </w:r>
      <w:r w:rsidR="000E2BB6" w:rsidRPr="006063B6">
        <w:rPr>
          <w:rFonts w:ascii="Arial" w:eastAsia="Calibri" w:hAnsi="Arial" w:cs="Arial"/>
          <w:bCs/>
          <w:color w:val="181818" w:themeColor="accent6" w:themeShade="1A"/>
          <w:sz w:val="22"/>
          <w:lang w:val="es-ES_tradnl"/>
        </w:rPr>
        <w:t xml:space="preserve"> </w:t>
      </w:r>
      <w:r w:rsidRPr="006063B6">
        <w:rPr>
          <w:rFonts w:ascii="Arial" w:eastAsia="Calibri" w:hAnsi="Arial" w:cs="Arial"/>
          <w:bCs/>
          <w:color w:val="181818" w:themeColor="accent6" w:themeShade="1A"/>
          <w:sz w:val="22"/>
          <w:lang w:val="es-ES_tradnl"/>
        </w:rPr>
        <w:t>El análisis del sector debe tener en cuenta el objeto del</w:t>
      </w:r>
      <w:r w:rsidR="000E2BB6" w:rsidRPr="006063B6">
        <w:rPr>
          <w:rFonts w:ascii="Arial" w:eastAsia="Calibri" w:hAnsi="Arial" w:cs="Arial"/>
          <w:bCs/>
          <w:color w:val="181818" w:themeColor="accent6" w:themeShade="1A"/>
          <w:sz w:val="22"/>
          <w:lang w:val="es-ES_tradnl"/>
        </w:rPr>
        <w:t xml:space="preserve"> p</w:t>
      </w:r>
      <w:r w:rsidRPr="006063B6">
        <w:rPr>
          <w:rFonts w:ascii="Arial" w:eastAsia="Calibri" w:hAnsi="Arial" w:cs="Arial"/>
          <w:bCs/>
          <w:color w:val="181818" w:themeColor="accent6" w:themeShade="1A"/>
          <w:sz w:val="22"/>
          <w:lang w:val="es-ES_tradnl"/>
        </w:rPr>
        <w:t xml:space="preserve">roceso de </w:t>
      </w:r>
      <w:r w:rsidR="000E2BB6" w:rsidRPr="006063B6">
        <w:rPr>
          <w:rFonts w:ascii="Arial" w:eastAsia="Calibri" w:hAnsi="Arial" w:cs="Arial"/>
          <w:bCs/>
          <w:color w:val="181818" w:themeColor="accent6" w:themeShade="1A"/>
          <w:sz w:val="22"/>
          <w:lang w:val="es-ES_tradnl"/>
        </w:rPr>
        <w:t>c</w:t>
      </w:r>
      <w:r w:rsidRPr="006063B6">
        <w:rPr>
          <w:rFonts w:ascii="Arial" w:eastAsia="Calibri" w:hAnsi="Arial" w:cs="Arial"/>
          <w:bCs/>
          <w:color w:val="181818" w:themeColor="accent6" w:themeShade="1A"/>
          <w:sz w:val="22"/>
          <w:lang w:val="es-ES_tradnl"/>
        </w:rPr>
        <w:t xml:space="preserve">ontratación, las condiciones del bien o servicio y las ventajas que representa para la </w:t>
      </w:r>
      <w:r w:rsidR="000E2BB6" w:rsidRPr="006063B6">
        <w:rPr>
          <w:rFonts w:ascii="Arial" w:eastAsia="Calibri" w:hAnsi="Arial" w:cs="Arial"/>
          <w:bCs/>
          <w:color w:val="181818" w:themeColor="accent6" w:themeShade="1A"/>
          <w:sz w:val="22"/>
          <w:lang w:val="es-ES_tradnl"/>
        </w:rPr>
        <w:t>Administración</w:t>
      </w:r>
      <w:r w:rsidRPr="006063B6">
        <w:rPr>
          <w:rFonts w:ascii="Arial" w:eastAsia="Calibri" w:hAnsi="Arial" w:cs="Arial"/>
          <w:bCs/>
          <w:color w:val="181818" w:themeColor="accent6" w:themeShade="1A"/>
          <w:sz w:val="22"/>
          <w:lang w:val="es-ES_tradnl"/>
        </w:rPr>
        <w:t xml:space="preserve"> contratar el bien o servicio con el contratista. En este último punto</w:t>
      </w:r>
      <w:r w:rsidR="000E2BB6" w:rsidRPr="006063B6">
        <w:rPr>
          <w:rFonts w:ascii="Arial" w:eastAsia="Calibri" w:hAnsi="Arial" w:cs="Arial"/>
          <w:bCs/>
          <w:color w:val="181818" w:themeColor="accent6" w:themeShade="1A"/>
          <w:sz w:val="22"/>
          <w:lang w:val="es-ES_tradnl"/>
        </w:rPr>
        <w:t>, el análisis del sector permite</w:t>
      </w:r>
      <w:r w:rsidRPr="006063B6">
        <w:rPr>
          <w:rFonts w:ascii="Arial" w:eastAsia="Calibri" w:hAnsi="Arial" w:cs="Arial"/>
          <w:bCs/>
          <w:color w:val="181818" w:themeColor="accent6" w:themeShade="1A"/>
          <w:sz w:val="22"/>
          <w:lang w:val="es-ES_tradnl"/>
        </w:rPr>
        <w:t xml:space="preserve"> sustentar </w:t>
      </w:r>
      <w:r w:rsidR="000E2BB6" w:rsidRPr="006063B6">
        <w:rPr>
          <w:rFonts w:ascii="Arial" w:eastAsia="Calibri" w:hAnsi="Arial" w:cs="Arial"/>
          <w:bCs/>
          <w:color w:val="181818" w:themeColor="accent6" w:themeShade="1A"/>
          <w:sz w:val="22"/>
          <w:lang w:val="es-ES_tradnl"/>
        </w:rPr>
        <w:t>la</w:t>
      </w:r>
      <w:r w:rsidRPr="006063B6">
        <w:rPr>
          <w:rFonts w:ascii="Arial" w:eastAsia="Calibri" w:hAnsi="Arial" w:cs="Arial"/>
          <w:bCs/>
          <w:color w:val="181818" w:themeColor="accent6" w:themeShade="1A"/>
          <w:sz w:val="22"/>
          <w:lang w:val="es-ES_tradnl"/>
        </w:rPr>
        <w:t xml:space="preserve"> decisión de </w:t>
      </w:r>
      <w:r w:rsidR="000E2BB6" w:rsidRPr="006063B6">
        <w:rPr>
          <w:rFonts w:ascii="Arial" w:eastAsia="Calibri" w:hAnsi="Arial" w:cs="Arial"/>
          <w:bCs/>
          <w:color w:val="181818" w:themeColor="accent6" w:themeShade="1A"/>
          <w:sz w:val="22"/>
          <w:lang w:val="es-ES_tradnl"/>
        </w:rPr>
        <w:t>realizar</w:t>
      </w:r>
      <w:r w:rsidRPr="006063B6">
        <w:rPr>
          <w:rFonts w:ascii="Arial" w:eastAsia="Calibri" w:hAnsi="Arial" w:cs="Arial"/>
          <w:bCs/>
          <w:color w:val="181818" w:themeColor="accent6" w:themeShade="1A"/>
          <w:sz w:val="22"/>
          <w:lang w:val="es-ES_tradnl"/>
        </w:rPr>
        <w:t xml:space="preserve"> un</w:t>
      </w:r>
      <w:r w:rsidR="000E2BB6" w:rsidRPr="006063B6">
        <w:rPr>
          <w:rFonts w:ascii="Arial" w:eastAsia="Calibri" w:hAnsi="Arial" w:cs="Arial"/>
          <w:bCs/>
          <w:color w:val="181818" w:themeColor="accent6" w:themeShade="1A"/>
          <w:sz w:val="22"/>
          <w:lang w:val="es-ES_tradnl"/>
        </w:rPr>
        <w:t xml:space="preserve"> proceso de</w:t>
      </w:r>
      <w:r w:rsidRPr="006063B6">
        <w:rPr>
          <w:rFonts w:ascii="Arial" w:eastAsia="Calibri" w:hAnsi="Arial" w:cs="Arial"/>
          <w:bCs/>
          <w:color w:val="181818" w:themeColor="accent6" w:themeShade="1A"/>
          <w:sz w:val="22"/>
          <w:lang w:val="es-ES_tradnl"/>
        </w:rPr>
        <w:t xml:space="preserve"> contratación desde el punto de vista de la eficiencia, eficacia y economía.</w:t>
      </w:r>
    </w:p>
    <w:p w14:paraId="575B2A99" w14:textId="6B80F704" w:rsidR="00E8395B" w:rsidRPr="006063B6" w:rsidRDefault="005715A2" w:rsidP="00DF453C">
      <w:pPr>
        <w:spacing w:before="120" w:line="276" w:lineRule="auto"/>
        <w:ind w:firstLine="709"/>
        <w:jc w:val="both"/>
        <w:rPr>
          <w:rFonts w:ascii="Arial" w:eastAsia="Calibri" w:hAnsi="Arial" w:cs="Arial"/>
          <w:bCs/>
          <w:color w:val="181818" w:themeColor="accent6" w:themeShade="1A"/>
          <w:sz w:val="22"/>
          <w:lang w:val="es-ES_tradnl"/>
        </w:rPr>
      </w:pPr>
      <w:r w:rsidRPr="006063B6">
        <w:rPr>
          <w:rFonts w:ascii="Arial" w:eastAsia="Calibri" w:hAnsi="Arial" w:cs="Arial"/>
          <w:bCs/>
          <w:color w:val="181818" w:themeColor="accent6" w:themeShade="1A"/>
          <w:sz w:val="22"/>
          <w:lang w:val="es-ES_tradnl"/>
        </w:rPr>
        <w:t>D</w:t>
      </w:r>
      <w:r w:rsidR="004E61D5" w:rsidRPr="006063B6">
        <w:rPr>
          <w:rFonts w:ascii="Arial" w:eastAsia="Calibri" w:hAnsi="Arial" w:cs="Arial"/>
          <w:bCs/>
          <w:color w:val="181818" w:themeColor="accent6" w:themeShade="1A"/>
          <w:sz w:val="22"/>
          <w:lang w:val="es-ES_tradnl"/>
        </w:rPr>
        <w:t xml:space="preserve">icho análisis facilita </w:t>
      </w:r>
      <w:r w:rsidR="005A145F" w:rsidRPr="006063B6">
        <w:rPr>
          <w:rFonts w:ascii="Arial" w:eastAsia="Calibri" w:hAnsi="Arial" w:cs="Arial"/>
          <w:bCs/>
          <w:color w:val="181818" w:themeColor="accent6" w:themeShade="1A"/>
          <w:sz w:val="22"/>
          <w:lang w:val="es-ES_tradnl"/>
        </w:rPr>
        <w:t xml:space="preserve">tanto </w:t>
      </w:r>
      <w:r w:rsidR="004E61D5" w:rsidRPr="006063B6">
        <w:rPr>
          <w:rFonts w:ascii="Arial" w:eastAsia="Calibri" w:hAnsi="Arial" w:cs="Arial"/>
          <w:bCs/>
          <w:color w:val="181818" w:themeColor="accent6" w:themeShade="1A"/>
          <w:sz w:val="22"/>
          <w:lang w:val="es-ES_tradnl"/>
        </w:rPr>
        <w:t>el conocimiento del sector</w:t>
      </w:r>
      <w:r w:rsidR="00726E6A" w:rsidRPr="006063B6">
        <w:rPr>
          <w:rFonts w:ascii="Arial" w:eastAsia="Calibri" w:hAnsi="Arial" w:cs="Arial"/>
          <w:bCs/>
          <w:color w:val="181818" w:themeColor="accent6" w:themeShade="1A"/>
          <w:sz w:val="22"/>
          <w:lang w:val="es-ES_tradnl"/>
        </w:rPr>
        <w:t>,</w:t>
      </w:r>
      <w:r w:rsidR="005A145F" w:rsidRPr="006063B6">
        <w:rPr>
          <w:rFonts w:ascii="Arial" w:eastAsia="Calibri" w:hAnsi="Arial" w:cs="Arial"/>
          <w:bCs/>
          <w:color w:val="181818" w:themeColor="accent6" w:themeShade="1A"/>
          <w:sz w:val="22"/>
          <w:lang w:val="es-ES_tradnl"/>
        </w:rPr>
        <w:t xml:space="preserve"> desde una perspectiva multidisciplinaria</w:t>
      </w:r>
      <w:r w:rsidR="00726E6A" w:rsidRPr="006063B6">
        <w:rPr>
          <w:rFonts w:ascii="Arial" w:eastAsia="Calibri" w:hAnsi="Arial" w:cs="Arial"/>
          <w:bCs/>
          <w:color w:val="181818" w:themeColor="accent6" w:themeShade="1A"/>
          <w:sz w:val="22"/>
          <w:lang w:val="es-ES_tradnl"/>
        </w:rPr>
        <w:t>,</w:t>
      </w:r>
      <w:r w:rsidR="005A145F" w:rsidRPr="006063B6">
        <w:rPr>
          <w:rFonts w:ascii="Arial" w:eastAsia="Calibri" w:hAnsi="Arial" w:cs="Arial"/>
          <w:bCs/>
          <w:color w:val="181818" w:themeColor="accent6" w:themeShade="1A"/>
          <w:sz w:val="22"/>
          <w:lang w:val="es-ES_tradnl"/>
        </w:rPr>
        <w:t xml:space="preserve"> como de los</w:t>
      </w:r>
      <w:r w:rsidR="004E61D5" w:rsidRPr="006063B6">
        <w:rPr>
          <w:rFonts w:ascii="Arial" w:eastAsia="Calibri" w:hAnsi="Arial" w:cs="Arial"/>
          <w:bCs/>
          <w:color w:val="181818" w:themeColor="accent6" w:themeShade="1A"/>
          <w:sz w:val="22"/>
          <w:lang w:val="es-ES_tradnl"/>
        </w:rPr>
        <w:t xml:space="preserve"> proveedores disponibles en el mercado para satisfacer la </w:t>
      </w:r>
      <w:r w:rsidR="004E61D5" w:rsidRPr="006063B6">
        <w:rPr>
          <w:rFonts w:ascii="Arial" w:eastAsia="Calibri" w:hAnsi="Arial" w:cs="Arial"/>
          <w:bCs/>
          <w:color w:val="181818" w:themeColor="accent6" w:themeShade="1A"/>
          <w:sz w:val="22"/>
          <w:lang w:val="es-ES_tradnl"/>
        </w:rPr>
        <w:lastRenderedPageBreak/>
        <w:t>necesidad de la entidad contratante.</w:t>
      </w:r>
      <w:r w:rsidRPr="006063B6">
        <w:rPr>
          <w:rFonts w:ascii="Arial" w:eastAsia="Calibri" w:hAnsi="Arial" w:cs="Arial"/>
          <w:bCs/>
          <w:color w:val="181818" w:themeColor="accent6" w:themeShade="1A"/>
          <w:sz w:val="22"/>
          <w:lang w:val="es-ES_tradnl"/>
        </w:rPr>
        <w:t xml:space="preserve"> Así mismo, </w:t>
      </w:r>
      <w:r w:rsidR="000E2BB6" w:rsidRPr="006063B6">
        <w:rPr>
          <w:rFonts w:ascii="Arial" w:eastAsia="Calibri" w:hAnsi="Arial" w:cs="Arial"/>
          <w:bCs/>
          <w:color w:val="181818" w:themeColor="accent6" w:themeShade="1A"/>
          <w:sz w:val="22"/>
          <w:lang w:val="es-ES_tradnl"/>
        </w:rPr>
        <w:t>e</w:t>
      </w:r>
      <w:r w:rsidRPr="006063B6">
        <w:rPr>
          <w:rFonts w:ascii="Arial" w:eastAsia="Calibri" w:hAnsi="Arial" w:cs="Arial"/>
          <w:bCs/>
          <w:color w:val="181818" w:themeColor="accent6" w:themeShade="1A"/>
          <w:sz w:val="22"/>
          <w:lang w:val="es-ES_tradnl"/>
        </w:rPr>
        <w:t xml:space="preserv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las entidades estatales y los particulares </w:t>
      </w:r>
      <w:r w:rsidR="00902FFE">
        <w:rPr>
          <w:rFonts w:ascii="Arial" w:eastAsia="Calibri" w:hAnsi="Arial" w:cs="Arial"/>
          <w:bCs/>
          <w:color w:val="181818" w:themeColor="accent6" w:themeShade="1A"/>
          <w:sz w:val="22"/>
          <w:lang w:val="es-ES_tradnl"/>
        </w:rPr>
        <w:t xml:space="preserve">cómo </w:t>
      </w:r>
      <w:r w:rsidRPr="006063B6">
        <w:rPr>
          <w:rFonts w:ascii="Arial" w:eastAsia="Calibri" w:hAnsi="Arial" w:cs="Arial"/>
          <w:bCs/>
          <w:color w:val="181818" w:themeColor="accent6" w:themeShade="1A"/>
          <w:sz w:val="22"/>
          <w:lang w:val="es-ES_tradnl"/>
        </w:rPr>
        <w:t>adquieren esos bienes, obras o servicios</w:t>
      </w:r>
      <w:r w:rsidR="00902FFE">
        <w:rPr>
          <w:rFonts w:ascii="Arial" w:eastAsia="Calibri" w:hAnsi="Arial" w:cs="Arial"/>
          <w:bCs/>
          <w:color w:val="181818" w:themeColor="accent6" w:themeShade="1A"/>
          <w:sz w:val="22"/>
          <w:lang w:val="es-ES_tradnl"/>
        </w:rPr>
        <w:t>,</w:t>
      </w:r>
      <w:r w:rsidRPr="006063B6">
        <w:rPr>
          <w:rFonts w:ascii="Arial" w:eastAsia="Calibri" w:hAnsi="Arial" w:cs="Arial"/>
          <w:bCs/>
          <w:color w:val="181818" w:themeColor="accent6" w:themeShade="1A"/>
          <w:sz w:val="22"/>
          <w:lang w:val="es-ES_tradnl"/>
        </w:rPr>
        <w:t xml:space="preserve"> para extraer las mejores prácticas e información para el proceso de contratación. </w:t>
      </w:r>
    </w:p>
    <w:bookmarkEnd w:id="5"/>
    <w:p w14:paraId="7E9D852C" w14:textId="5952DAD5" w:rsidR="0028449C" w:rsidRPr="006063B6" w:rsidRDefault="00902FFE" w:rsidP="006B22D4">
      <w:pPr>
        <w:spacing w:before="120" w:after="120" w:line="276" w:lineRule="auto"/>
        <w:ind w:firstLine="709"/>
        <w:jc w:val="both"/>
        <w:rPr>
          <w:rFonts w:ascii="Arial" w:eastAsia="Calibri" w:hAnsi="Arial" w:cs="Arial"/>
          <w:bCs/>
          <w:color w:val="181818" w:themeColor="accent6" w:themeShade="1A"/>
          <w:sz w:val="22"/>
          <w:lang w:val="es-ES_tradnl"/>
        </w:rPr>
      </w:pPr>
      <w:r>
        <w:rPr>
          <w:rFonts w:ascii="Arial" w:eastAsia="Calibri" w:hAnsi="Arial" w:cs="Arial"/>
          <w:bCs/>
          <w:color w:val="181818" w:themeColor="accent6" w:themeShade="1A"/>
          <w:sz w:val="22"/>
          <w:lang w:val="es-ES_tradnl"/>
        </w:rPr>
        <w:t>La Agencia Nacional de Contratación Pública</w:t>
      </w:r>
      <w:r w:rsidR="0028449C" w:rsidRPr="006063B6">
        <w:rPr>
          <w:rFonts w:ascii="Arial" w:eastAsia="Calibri" w:hAnsi="Arial" w:cs="Arial"/>
          <w:bCs/>
          <w:color w:val="181818" w:themeColor="accent6" w:themeShade="1A"/>
          <w:sz w:val="22"/>
          <w:lang w:val="es-ES_tradnl"/>
        </w:rPr>
        <w:t xml:space="preserve"> dispone de una «Guía para la Elaboración de Estudios del Sector», instrumento que sirve de apoyo para entender el mercado del bien, obra o servicio que la entidad estatal pretende adquirir</w:t>
      </w:r>
      <w:r>
        <w:rPr>
          <w:rFonts w:ascii="Arial" w:eastAsia="Calibri" w:hAnsi="Arial" w:cs="Arial"/>
          <w:bCs/>
          <w:color w:val="181818" w:themeColor="accent6" w:themeShade="1A"/>
          <w:sz w:val="22"/>
          <w:lang w:val="es-ES_tradnl"/>
        </w:rPr>
        <w:t>,</w:t>
      </w:r>
      <w:r w:rsidR="0028449C" w:rsidRPr="006063B6">
        <w:rPr>
          <w:rFonts w:ascii="Arial" w:eastAsia="Calibri" w:hAnsi="Arial" w:cs="Arial"/>
          <w:bCs/>
          <w:color w:val="181818" w:themeColor="accent6" w:themeShade="1A"/>
          <w:sz w:val="22"/>
          <w:lang w:val="es-ES_tradnl"/>
        </w:rPr>
        <w:t xml:space="preserve"> para diseñar el proceso de contratación con la información necesaria para alcanzar los objetivos de eficacia, eficiencia, economía, promoción de la competencia y manejo del riesgo. En dicho instrumento, se recomienda </w:t>
      </w:r>
      <w:r w:rsidR="00615D36" w:rsidRPr="006063B6">
        <w:rPr>
          <w:rFonts w:ascii="Arial" w:eastAsia="Calibri" w:hAnsi="Arial" w:cs="Arial"/>
          <w:bCs/>
          <w:color w:val="181818" w:themeColor="accent6" w:themeShade="1A"/>
          <w:sz w:val="22"/>
          <w:lang w:val="es-ES_tradnl"/>
        </w:rPr>
        <w:t>un</w:t>
      </w:r>
      <w:r w:rsidR="0028449C" w:rsidRPr="006063B6">
        <w:rPr>
          <w:rFonts w:ascii="Arial" w:eastAsia="Calibri" w:hAnsi="Arial" w:cs="Arial"/>
          <w:bCs/>
          <w:color w:val="181818" w:themeColor="accent6" w:themeShade="1A"/>
          <w:sz w:val="22"/>
          <w:lang w:val="es-ES_tradnl"/>
        </w:rPr>
        <w:t xml:space="preserve"> análisis </w:t>
      </w:r>
      <w:r w:rsidR="00726E6A" w:rsidRPr="006063B6">
        <w:rPr>
          <w:rFonts w:ascii="Arial" w:eastAsia="Calibri" w:hAnsi="Arial" w:cs="Arial"/>
          <w:bCs/>
          <w:color w:val="181818" w:themeColor="accent6" w:themeShade="1A"/>
          <w:sz w:val="22"/>
          <w:lang w:val="es-ES_tradnl"/>
        </w:rPr>
        <w:t xml:space="preserve">integral </w:t>
      </w:r>
      <w:r w:rsidR="0028449C" w:rsidRPr="006063B6">
        <w:rPr>
          <w:rFonts w:ascii="Arial" w:eastAsia="Calibri" w:hAnsi="Arial" w:cs="Arial"/>
          <w:bCs/>
          <w:color w:val="181818" w:themeColor="accent6" w:themeShade="1A"/>
          <w:sz w:val="22"/>
          <w:lang w:val="es-ES_tradnl"/>
        </w:rPr>
        <w:t>sobre varios aspectos del mercado –económico, técnico, regulatorio, etc</w:t>
      </w:r>
      <w:r w:rsidR="00726E6A" w:rsidRPr="006063B6">
        <w:rPr>
          <w:rFonts w:ascii="Arial" w:eastAsia="Calibri" w:hAnsi="Arial" w:cs="Arial"/>
          <w:bCs/>
          <w:color w:val="181818" w:themeColor="accent6" w:themeShade="1A"/>
          <w:sz w:val="22"/>
          <w:lang w:val="es-ES_tradnl"/>
        </w:rPr>
        <w:t>.</w:t>
      </w:r>
      <w:r w:rsidR="0028449C" w:rsidRPr="006063B6">
        <w:rPr>
          <w:rFonts w:ascii="Arial" w:eastAsia="Calibri" w:hAnsi="Arial" w:cs="Arial"/>
          <w:bCs/>
          <w:color w:val="181818" w:themeColor="accent6" w:themeShade="1A"/>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0CE74DF7" w14:textId="1373470F" w:rsidR="00CC7F62" w:rsidRPr="006063B6" w:rsidRDefault="00CC7F62" w:rsidP="008F1FE7">
      <w:pPr>
        <w:spacing w:before="120" w:after="120" w:line="276" w:lineRule="auto"/>
        <w:jc w:val="both"/>
        <w:rPr>
          <w:rFonts w:ascii="Arial" w:eastAsia="Calibri" w:hAnsi="Arial" w:cs="Arial"/>
          <w:bCs/>
          <w:color w:val="181818" w:themeColor="accent6" w:themeShade="1A"/>
          <w:sz w:val="22"/>
          <w:lang w:val="es-ES_tradnl"/>
        </w:rPr>
      </w:pPr>
      <w:r w:rsidRPr="006063B6">
        <w:rPr>
          <w:rFonts w:ascii="Arial" w:eastAsia="Calibri" w:hAnsi="Arial" w:cs="Arial"/>
          <w:bCs/>
          <w:color w:val="181818" w:themeColor="accent6" w:themeShade="1A"/>
          <w:sz w:val="22"/>
          <w:lang w:val="es-ES_tradnl"/>
        </w:rPr>
        <w:tab/>
        <w:t xml:space="preserve">Otro de las funciones del estudio o análisis del sector económico, </w:t>
      </w:r>
      <w:r w:rsidR="00902FFE">
        <w:rPr>
          <w:rFonts w:ascii="Arial" w:eastAsia="Calibri" w:hAnsi="Arial" w:cs="Arial"/>
          <w:bCs/>
          <w:color w:val="181818" w:themeColor="accent6" w:themeShade="1A"/>
          <w:sz w:val="22"/>
          <w:lang w:val="es-ES_tradnl"/>
        </w:rPr>
        <w:t>consiste en</w:t>
      </w:r>
      <w:r w:rsidR="008F1FE7" w:rsidRPr="006063B6">
        <w:rPr>
          <w:rFonts w:ascii="Arial" w:eastAsia="Calibri" w:hAnsi="Arial" w:cs="Arial"/>
          <w:bCs/>
          <w:color w:val="181818" w:themeColor="accent6" w:themeShade="1A"/>
          <w:sz w:val="22"/>
          <w:lang w:val="es-ES_tradnl"/>
        </w:rPr>
        <w:t xml:space="preserve"> </w:t>
      </w:r>
      <w:r w:rsidRPr="006063B6">
        <w:rPr>
          <w:rFonts w:ascii="Arial" w:eastAsia="Calibri" w:hAnsi="Arial" w:cs="Arial"/>
          <w:bCs/>
          <w:color w:val="181818" w:themeColor="accent6" w:themeShade="1A"/>
          <w:sz w:val="22"/>
          <w:lang w:val="es-ES_tradnl"/>
        </w:rPr>
        <w:t>servir de insumo para la determinación de los requisitos habilitantes que se incluirán en el pliego de condiciones o invitación, en la medida que de conformidad con el artículo 2.2.1.1.1.6.2 del Decreto 1082 de 2015, estos deben ser establecidos teniendo en cuenta «</w:t>
      </w:r>
      <w:r w:rsidRPr="006063B6">
        <w:rPr>
          <w:rFonts w:ascii="Arial" w:hAnsi="Arial" w:cs="Arial"/>
          <w:color w:val="181818" w:themeColor="accent6" w:themeShade="1A"/>
          <w:sz w:val="22"/>
        </w:rPr>
        <w:t>(a) el Riesgo del Proceso de Contratación; (b) el valor del contrato objeto del Proceso de Contratación; (c) el análisis del sector económico respectivo; y (d) el conocimiento de fondo de los posibles oferentes desde la perspectiva comercial</w:t>
      </w:r>
      <w:r w:rsidR="008F1FE7" w:rsidRPr="006063B6">
        <w:rPr>
          <w:rFonts w:ascii="Arial" w:hAnsi="Arial" w:cs="Arial"/>
          <w:color w:val="181818" w:themeColor="accent6" w:themeShade="1A"/>
          <w:sz w:val="22"/>
        </w:rPr>
        <w:t>», norma que además establece que la verificación de los requisitos habilitantes «</w:t>
      </w:r>
      <w:r w:rsidRPr="006063B6">
        <w:rPr>
          <w:rFonts w:ascii="Arial" w:hAnsi="Arial" w:cs="Arial"/>
          <w:color w:val="181818" w:themeColor="accent6" w:themeShade="1A"/>
          <w:sz w:val="22"/>
        </w:rPr>
        <w:t>no debe limitarse a la aplicación mecánica de fórmulas financieras</w:t>
      </w:r>
      <w:r w:rsidR="008F1FE7" w:rsidRPr="006063B6">
        <w:rPr>
          <w:rFonts w:ascii="Arial" w:hAnsi="Arial" w:cs="Arial"/>
          <w:color w:val="181818" w:themeColor="accent6" w:themeShade="1A"/>
          <w:sz w:val="22"/>
        </w:rPr>
        <w:t>». Frente a este cometido, la información recolectada al elaborar el estudio o análisis del sector resulta de vital importancia ya que «permite conocer las particularidades correspondientes a cada sector económico, como el tamaño empresarial de los posibles oferentes, su modelo de negocio y si es posible que se presenten proponentes plurales</w:t>
      </w:r>
      <w:r w:rsidR="00A737F7" w:rsidRPr="006063B6">
        <w:rPr>
          <w:rFonts w:ascii="Arial" w:hAnsi="Arial" w:cs="Arial"/>
          <w:color w:val="181818" w:themeColor="accent6" w:themeShade="1A"/>
          <w:sz w:val="22"/>
        </w:rPr>
        <w:t xml:space="preserve"> […] </w:t>
      </w:r>
      <w:r w:rsidR="008F1FE7" w:rsidRPr="006063B6">
        <w:rPr>
          <w:rFonts w:ascii="Arial" w:hAnsi="Arial" w:cs="Arial"/>
          <w:color w:val="181818" w:themeColor="accent6" w:themeShade="1A"/>
          <w:sz w:val="22"/>
        </w:rPr>
        <w:t xml:space="preserve"> </w:t>
      </w:r>
      <w:r w:rsidR="00A737F7" w:rsidRPr="006063B6">
        <w:rPr>
          <w:rFonts w:ascii="Arial" w:hAnsi="Arial" w:cs="Arial"/>
          <w:color w:val="181818" w:themeColor="accent6" w:themeShade="1A"/>
          <w:sz w:val="22"/>
        </w:rPr>
        <w:t>e</w:t>
      </w:r>
      <w:r w:rsidR="008F1FE7" w:rsidRPr="006063B6">
        <w:rPr>
          <w:rFonts w:ascii="Arial" w:hAnsi="Arial" w:cs="Arial"/>
          <w:color w:val="181818" w:themeColor="accent6" w:themeShade="1A"/>
          <w:sz w:val="22"/>
        </w:rPr>
        <w:t>stas particularidades deben ser tenidas en cuenta para evitar direccionar los requisitos habilitantes hacia un tipo de proponente»</w:t>
      </w:r>
      <w:r w:rsidR="00A737F7" w:rsidRPr="006063B6">
        <w:rPr>
          <w:rStyle w:val="Refdenotaalpie"/>
          <w:rFonts w:ascii="Arial" w:hAnsi="Arial" w:cs="Arial"/>
          <w:color w:val="181818" w:themeColor="accent6" w:themeShade="1A"/>
          <w:sz w:val="22"/>
        </w:rPr>
        <w:footnoteReference w:id="5"/>
      </w:r>
      <w:r w:rsidR="00A737F7" w:rsidRPr="006063B6">
        <w:rPr>
          <w:rFonts w:ascii="Arial" w:hAnsi="Arial" w:cs="Arial"/>
          <w:color w:val="181818" w:themeColor="accent6" w:themeShade="1A"/>
          <w:sz w:val="22"/>
        </w:rPr>
        <w:t>.</w:t>
      </w:r>
    </w:p>
    <w:p w14:paraId="428C4B0C" w14:textId="4879D96C" w:rsidR="00076A78" w:rsidRPr="006063B6" w:rsidRDefault="009E751B" w:rsidP="006B22D4">
      <w:pPr>
        <w:spacing w:line="276" w:lineRule="auto"/>
        <w:ind w:firstLine="708"/>
        <w:jc w:val="both"/>
        <w:rPr>
          <w:rFonts w:ascii="Arial" w:eastAsia="Calibri" w:hAnsi="Arial" w:cs="Arial"/>
          <w:b/>
          <w:bCs/>
          <w:color w:val="181818" w:themeColor="accent6" w:themeShade="1A"/>
          <w:sz w:val="22"/>
          <w:lang w:val="es-ES_tradnl"/>
        </w:rPr>
      </w:pPr>
      <w:r w:rsidRPr="006063B6">
        <w:rPr>
          <w:rFonts w:ascii="Arial" w:eastAsia="Calibri" w:hAnsi="Arial" w:cs="Arial"/>
          <w:bCs/>
          <w:color w:val="181818" w:themeColor="accent6" w:themeShade="1A"/>
          <w:sz w:val="22"/>
          <w:lang w:val="es-ES_tradnl"/>
        </w:rPr>
        <w:t xml:space="preserve">Adicionalmente, si bien los estudios del sector son de gran relevancia en los procesos de contratación donde existe pluralidad de oferentes, nada obsta para que se </w:t>
      </w:r>
      <w:r w:rsidR="00BE3565" w:rsidRPr="006063B6">
        <w:rPr>
          <w:rFonts w:ascii="Arial" w:eastAsia="Calibri" w:hAnsi="Arial" w:cs="Arial"/>
          <w:bCs/>
          <w:color w:val="181818" w:themeColor="accent6" w:themeShade="1A"/>
          <w:sz w:val="22"/>
          <w:lang w:val="es-ES_tradnl"/>
        </w:rPr>
        <w:t xml:space="preserve">elaboren </w:t>
      </w:r>
      <w:r w:rsidRPr="006063B6">
        <w:rPr>
          <w:rFonts w:ascii="Arial" w:eastAsia="Calibri" w:hAnsi="Arial" w:cs="Arial"/>
          <w:bCs/>
          <w:color w:val="181818" w:themeColor="accent6" w:themeShade="1A"/>
          <w:sz w:val="22"/>
          <w:lang w:val="es-ES_tradnl"/>
        </w:rPr>
        <w:t xml:space="preserve">donde no existiría competencia. Para estos efectos, la guía mencionada en el precedente explica que «En la contratación directa, el análisis del sector debe tener en cuenta el objeto del Proceso de Contratación, particularmente las condiciones del contrato, </w:t>
      </w:r>
      <w:r w:rsidRPr="006063B6">
        <w:rPr>
          <w:rFonts w:ascii="Arial" w:eastAsia="Calibri" w:hAnsi="Arial" w:cs="Arial"/>
          <w:bCs/>
          <w:color w:val="181818" w:themeColor="accent6" w:themeShade="1A"/>
          <w:sz w:val="22"/>
          <w:lang w:val="es-ES_tradnl"/>
        </w:rPr>
        <w:lastRenderedPageBreak/>
        <w:t xml:space="preserve">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w:t>
      </w:r>
      <w:r w:rsidRPr="006063B6">
        <w:rPr>
          <w:rFonts w:ascii="Arial" w:eastAsia="Calibri" w:hAnsi="Arial" w:cs="Arial"/>
          <w:bCs/>
          <w:i/>
          <w:iCs/>
          <w:color w:val="181818" w:themeColor="accent6" w:themeShade="1A"/>
          <w:sz w:val="22"/>
          <w:lang w:val="es-ES_tradnl"/>
        </w:rPr>
        <w:t>Documentos del Proceso</w:t>
      </w:r>
      <w:r w:rsidRPr="006063B6">
        <w:rPr>
          <w:rFonts w:ascii="Arial" w:eastAsia="Calibri" w:hAnsi="Arial" w:cs="Arial"/>
          <w:bCs/>
          <w:color w:val="181818" w:themeColor="accent6" w:themeShade="1A"/>
          <w:sz w:val="22"/>
          <w:lang w:val="es-ES_tradnl"/>
        </w:rPr>
        <w:t xml:space="preserve">, bien sea en los estudios previos o en la información de soporte de </w:t>
      </w:r>
      <w:proofErr w:type="gramStart"/>
      <w:r w:rsidRPr="006063B6">
        <w:rPr>
          <w:rFonts w:ascii="Arial" w:eastAsia="Calibri" w:hAnsi="Arial" w:cs="Arial"/>
          <w:bCs/>
          <w:color w:val="181818" w:themeColor="accent6" w:themeShade="1A"/>
          <w:sz w:val="22"/>
          <w:lang w:val="es-ES_tradnl"/>
        </w:rPr>
        <w:t>los mismos</w:t>
      </w:r>
      <w:proofErr w:type="gramEnd"/>
      <w:r w:rsidRPr="006063B6">
        <w:rPr>
          <w:rFonts w:ascii="Arial" w:eastAsia="Calibri" w:hAnsi="Arial" w:cs="Arial"/>
          <w:bCs/>
          <w:color w:val="181818" w:themeColor="accent6" w:themeShade="1A"/>
          <w:sz w:val="22"/>
          <w:lang w:val="es-ES_tradnl"/>
        </w:rPr>
        <w:t>, los aspectos de que trata el artículo 2.2.1.1.1.6.1 del Decreto 1082 de 2015</w:t>
      </w:r>
      <w:r w:rsidR="00902FFE">
        <w:rPr>
          <w:rFonts w:ascii="Arial" w:eastAsia="Calibri" w:hAnsi="Arial" w:cs="Arial"/>
          <w:bCs/>
          <w:color w:val="181818" w:themeColor="accent6" w:themeShade="1A"/>
          <w:sz w:val="22"/>
          <w:lang w:val="es-ES_tradnl"/>
        </w:rPr>
        <w:t>»</w:t>
      </w:r>
      <w:r w:rsidRPr="006063B6">
        <w:rPr>
          <w:rFonts w:ascii="Arial" w:eastAsia="Calibri" w:hAnsi="Arial" w:cs="Arial"/>
          <w:bCs/>
          <w:color w:val="181818" w:themeColor="accent6" w:themeShade="1A"/>
          <w:sz w:val="22"/>
          <w:lang w:val="es-ES_tradnl"/>
        </w:rPr>
        <w:t>.</w:t>
      </w:r>
      <w:r w:rsidR="005E66BE" w:rsidRPr="006063B6">
        <w:rPr>
          <w:rFonts w:ascii="Arial" w:eastAsia="Calibri" w:hAnsi="Arial" w:cs="Arial"/>
          <w:bCs/>
          <w:color w:val="181818" w:themeColor="accent6" w:themeShade="1A"/>
          <w:sz w:val="22"/>
          <w:lang w:val="es-ES_tradnl"/>
        </w:rPr>
        <w:t xml:space="preserve"> </w:t>
      </w:r>
    </w:p>
    <w:p w14:paraId="0851B136" w14:textId="77777777" w:rsidR="00076A78" w:rsidRPr="006063B6" w:rsidRDefault="00076A78" w:rsidP="00D557A4">
      <w:pPr>
        <w:spacing w:line="276" w:lineRule="auto"/>
        <w:jc w:val="both"/>
        <w:rPr>
          <w:rFonts w:ascii="Arial" w:eastAsia="Calibri" w:hAnsi="Arial" w:cs="Arial"/>
          <w:b/>
          <w:bCs/>
          <w:color w:val="181818" w:themeColor="accent6" w:themeShade="1A"/>
          <w:sz w:val="22"/>
          <w:lang w:val="es-ES_tradnl"/>
        </w:rPr>
      </w:pPr>
    </w:p>
    <w:p w14:paraId="5F22E6C7" w14:textId="4B821145" w:rsidR="002B3C1A" w:rsidRPr="006063B6" w:rsidRDefault="000529A0" w:rsidP="002B3C1A">
      <w:pPr>
        <w:spacing w:line="276" w:lineRule="auto"/>
        <w:jc w:val="both"/>
        <w:rPr>
          <w:rFonts w:ascii="Arial" w:eastAsia="Calibri" w:hAnsi="Arial" w:cs="Arial"/>
          <w:b/>
          <w:bCs/>
          <w:color w:val="181818" w:themeColor="accent6" w:themeShade="1A"/>
          <w:sz w:val="22"/>
          <w:lang w:val="es-ES_tradnl"/>
        </w:rPr>
      </w:pPr>
      <w:r w:rsidRPr="00B207A6">
        <w:rPr>
          <w:rFonts w:ascii="Arial" w:eastAsia="Calibri" w:hAnsi="Arial" w:cs="Arial"/>
          <w:b/>
          <w:bCs/>
          <w:color w:val="181818" w:themeColor="accent6" w:themeShade="1A"/>
          <w:sz w:val="22"/>
          <w:lang w:val="es-ES_tradnl"/>
        </w:rPr>
        <w:t>2.</w:t>
      </w:r>
      <w:r w:rsidR="00EF005A" w:rsidRPr="00B207A6">
        <w:rPr>
          <w:rFonts w:ascii="Arial" w:eastAsia="Calibri" w:hAnsi="Arial" w:cs="Arial"/>
          <w:b/>
          <w:bCs/>
          <w:color w:val="181818" w:themeColor="accent6" w:themeShade="1A"/>
          <w:sz w:val="22"/>
          <w:lang w:val="es-ES_tradnl"/>
        </w:rPr>
        <w:t>3</w:t>
      </w:r>
      <w:r w:rsidRPr="00B207A6">
        <w:rPr>
          <w:rFonts w:ascii="Arial" w:eastAsia="Calibri" w:hAnsi="Arial" w:cs="Arial"/>
          <w:b/>
          <w:bCs/>
          <w:color w:val="181818" w:themeColor="accent6" w:themeShade="1A"/>
          <w:sz w:val="22"/>
          <w:lang w:val="es-ES_tradnl"/>
        </w:rPr>
        <w:t xml:space="preserve">. </w:t>
      </w:r>
      <w:r w:rsidR="00327372" w:rsidRPr="00B207A6">
        <w:rPr>
          <w:rFonts w:ascii="Arial" w:eastAsia="Calibri" w:hAnsi="Arial" w:cs="Arial"/>
          <w:b/>
          <w:bCs/>
          <w:color w:val="181818" w:themeColor="accent6" w:themeShade="1A"/>
          <w:sz w:val="22"/>
          <w:lang w:val="es-ES_tradnl"/>
        </w:rPr>
        <w:t>Alcance de</w:t>
      </w:r>
      <w:r w:rsidR="009220A5" w:rsidRPr="00B207A6">
        <w:rPr>
          <w:rFonts w:ascii="Arial" w:eastAsia="Calibri" w:hAnsi="Arial" w:cs="Arial"/>
          <w:b/>
          <w:bCs/>
          <w:color w:val="181818" w:themeColor="accent6" w:themeShade="1A"/>
          <w:sz w:val="22"/>
          <w:lang w:val="es-ES_tradnl"/>
        </w:rPr>
        <w:t xml:space="preserve">l </w:t>
      </w:r>
      <w:r w:rsidR="009E3B99" w:rsidRPr="00B207A6">
        <w:rPr>
          <w:rFonts w:ascii="Arial" w:eastAsia="Calibri" w:hAnsi="Arial" w:cs="Arial"/>
          <w:b/>
          <w:bCs/>
          <w:color w:val="181818" w:themeColor="accent6" w:themeShade="1A"/>
          <w:sz w:val="22"/>
          <w:lang w:val="es-ES_tradnl"/>
        </w:rPr>
        <w:t>estudio</w:t>
      </w:r>
      <w:r w:rsidR="00F4765C" w:rsidRPr="00B207A6">
        <w:rPr>
          <w:rFonts w:ascii="Arial" w:eastAsia="Calibri" w:hAnsi="Arial" w:cs="Arial"/>
          <w:b/>
          <w:bCs/>
          <w:color w:val="181818" w:themeColor="accent6" w:themeShade="1A"/>
          <w:sz w:val="22"/>
          <w:lang w:val="es-ES_tradnl"/>
        </w:rPr>
        <w:t xml:space="preserve"> del sector en procesos de selección con </w:t>
      </w:r>
      <w:r w:rsidR="006063B6" w:rsidRPr="00B207A6">
        <w:rPr>
          <w:rFonts w:ascii="Arial" w:eastAsia="Calibri" w:hAnsi="Arial" w:cs="Arial"/>
          <w:b/>
          <w:bCs/>
          <w:color w:val="181818" w:themeColor="accent6" w:themeShade="1A"/>
          <w:sz w:val="22"/>
          <w:lang w:val="es-ES_tradnl"/>
        </w:rPr>
        <w:t>d</w:t>
      </w:r>
      <w:r w:rsidR="00F4765C" w:rsidRPr="00B207A6">
        <w:rPr>
          <w:rFonts w:ascii="Arial" w:eastAsia="Calibri" w:hAnsi="Arial" w:cs="Arial"/>
          <w:b/>
          <w:bCs/>
          <w:color w:val="181818" w:themeColor="accent6" w:themeShade="1A"/>
          <w:sz w:val="22"/>
          <w:lang w:val="es-ES_tradnl"/>
        </w:rPr>
        <w:t xml:space="preserve">ocumentos </w:t>
      </w:r>
      <w:r w:rsidR="006063B6" w:rsidRPr="00B207A6">
        <w:rPr>
          <w:rFonts w:ascii="Arial" w:eastAsia="Calibri" w:hAnsi="Arial" w:cs="Arial"/>
          <w:b/>
          <w:bCs/>
          <w:color w:val="181818" w:themeColor="accent6" w:themeShade="1A"/>
          <w:sz w:val="22"/>
          <w:lang w:val="es-ES_tradnl"/>
        </w:rPr>
        <w:t>t</w:t>
      </w:r>
      <w:r w:rsidR="00F4765C" w:rsidRPr="00B207A6">
        <w:rPr>
          <w:rFonts w:ascii="Arial" w:eastAsia="Calibri" w:hAnsi="Arial" w:cs="Arial"/>
          <w:b/>
          <w:bCs/>
          <w:color w:val="181818" w:themeColor="accent6" w:themeShade="1A"/>
          <w:sz w:val="22"/>
          <w:lang w:val="es-ES_tradnl"/>
        </w:rPr>
        <w:t>ipo</w:t>
      </w:r>
    </w:p>
    <w:p w14:paraId="629EF5DF" w14:textId="77777777" w:rsidR="002B3C1A" w:rsidRPr="006063B6" w:rsidRDefault="002B3C1A" w:rsidP="002B3C1A">
      <w:pPr>
        <w:spacing w:line="276" w:lineRule="auto"/>
        <w:jc w:val="both"/>
        <w:rPr>
          <w:rFonts w:ascii="Arial" w:eastAsia="Calibri" w:hAnsi="Arial" w:cs="Arial"/>
          <w:b/>
          <w:bCs/>
          <w:color w:val="181818" w:themeColor="accent6" w:themeShade="1A"/>
          <w:sz w:val="22"/>
          <w:lang w:val="es-ES_tradnl"/>
        </w:rPr>
      </w:pPr>
    </w:p>
    <w:p w14:paraId="39BFBE81" w14:textId="0B2E9D90" w:rsidR="002E49B4" w:rsidRPr="006063B6" w:rsidRDefault="00A737F7" w:rsidP="00A737F7">
      <w:pPr>
        <w:spacing w:after="120" w:line="276" w:lineRule="auto"/>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ES"/>
        </w:rPr>
        <w:t>Como se estableció en el numeral 2.1, los</w:t>
      </w:r>
      <w:r w:rsidR="002E49B4" w:rsidRPr="006063B6">
        <w:rPr>
          <w:rFonts w:ascii="Arial" w:hAnsi="Arial" w:cs="Arial"/>
          <w:color w:val="181818" w:themeColor="accent6" w:themeShade="1A"/>
          <w:sz w:val="22"/>
          <w:lang w:val="es-ES"/>
        </w:rPr>
        <w:t xml:space="preserve"> </w:t>
      </w:r>
      <w:r w:rsidRPr="006063B6">
        <w:rPr>
          <w:rFonts w:ascii="Arial" w:hAnsi="Arial" w:cs="Arial"/>
          <w:color w:val="181818" w:themeColor="accent6" w:themeShade="1A"/>
          <w:sz w:val="22"/>
          <w:lang w:val="es-ES"/>
        </w:rPr>
        <w:t>d</w:t>
      </w:r>
      <w:r w:rsidR="002E49B4" w:rsidRPr="006063B6">
        <w:rPr>
          <w:rFonts w:ascii="Arial" w:hAnsi="Arial" w:cs="Arial"/>
          <w:color w:val="181818" w:themeColor="accent6" w:themeShade="1A"/>
          <w:sz w:val="22"/>
          <w:lang w:val="es-ES"/>
        </w:rPr>
        <w:t xml:space="preserve">ocumentos </w:t>
      </w:r>
      <w:r w:rsidRPr="006063B6">
        <w:rPr>
          <w:rFonts w:ascii="Arial" w:hAnsi="Arial" w:cs="Arial"/>
          <w:color w:val="181818" w:themeColor="accent6" w:themeShade="1A"/>
          <w:sz w:val="22"/>
          <w:lang w:val="es-ES"/>
        </w:rPr>
        <w:t>t</w:t>
      </w:r>
      <w:r w:rsidR="002E49B4" w:rsidRPr="006063B6">
        <w:rPr>
          <w:rFonts w:ascii="Arial" w:hAnsi="Arial" w:cs="Arial"/>
          <w:color w:val="181818" w:themeColor="accent6" w:themeShade="1A"/>
          <w:sz w:val="22"/>
          <w:lang w:val="es-ES"/>
        </w:rPr>
        <w:t>ipo</w:t>
      </w:r>
      <w:r w:rsidRPr="006063B6">
        <w:rPr>
          <w:rFonts w:ascii="Arial" w:hAnsi="Arial" w:cs="Arial"/>
          <w:color w:val="181818" w:themeColor="accent6" w:themeShade="1A"/>
          <w:sz w:val="22"/>
          <w:lang w:val="es-ES"/>
        </w:rPr>
        <w:t xml:space="preserve"> adoptados por los Decretos 342 y 2096, desarrollados e implementados por esta Agencia a través de las Resoluciones Nos. 1798 de 2019, 0044 y 0045 de 2020, </w:t>
      </w:r>
      <w:r w:rsidR="002E49B4" w:rsidRPr="006063B6">
        <w:rPr>
          <w:rFonts w:ascii="Arial" w:hAnsi="Arial" w:cs="Arial"/>
          <w:color w:val="181818" w:themeColor="accent6" w:themeShade="1A"/>
          <w:sz w:val="22"/>
          <w:lang w:val="es-ES"/>
        </w:rPr>
        <w:t>estandarizaron lo</w:t>
      </w:r>
      <w:r w:rsidR="00DA1D2E" w:rsidRPr="006063B6">
        <w:rPr>
          <w:rFonts w:ascii="Arial" w:hAnsi="Arial" w:cs="Arial"/>
          <w:color w:val="181818" w:themeColor="accent6" w:themeShade="1A"/>
          <w:sz w:val="22"/>
          <w:lang w:val="es-ES"/>
        </w:rPr>
        <w:t>s</w:t>
      </w:r>
      <w:r w:rsidR="002E49B4" w:rsidRPr="006063B6">
        <w:rPr>
          <w:rFonts w:ascii="Arial" w:hAnsi="Arial" w:cs="Arial"/>
          <w:color w:val="181818" w:themeColor="accent6" w:themeShade="1A"/>
          <w:sz w:val="22"/>
          <w:lang w:val="es-ES"/>
        </w:rPr>
        <w:t xml:space="preserve"> requisitos habilitantes estableciendo</w:t>
      </w:r>
      <w:r w:rsidR="00DA1D2E" w:rsidRPr="006063B6">
        <w:rPr>
          <w:rFonts w:ascii="Arial" w:hAnsi="Arial" w:cs="Arial"/>
          <w:color w:val="181818" w:themeColor="accent6" w:themeShade="1A"/>
          <w:sz w:val="22"/>
          <w:lang w:val="es-ES"/>
        </w:rPr>
        <w:t xml:space="preserve"> </w:t>
      </w:r>
      <w:r w:rsidR="00034C5A" w:rsidRPr="006063B6">
        <w:rPr>
          <w:rFonts w:ascii="Arial" w:hAnsi="Arial" w:cs="Arial"/>
          <w:color w:val="181818" w:themeColor="accent6" w:themeShade="1A"/>
          <w:sz w:val="22"/>
          <w:lang w:val="es-ES"/>
        </w:rPr>
        <w:t xml:space="preserve">para los procesos de licitación pública y selección abreviada los siguientes: </w:t>
      </w:r>
      <w:bookmarkStart w:id="6" w:name="_Hlk42169679"/>
      <w:r w:rsidR="00034C5A" w:rsidRPr="006063B6">
        <w:rPr>
          <w:rFonts w:ascii="Arial" w:hAnsi="Arial" w:cs="Arial"/>
          <w:color w:val="181818" w:themeColor="accent6" w:themeShade="1A"/>
          <w:sz w:val="22"/>
          <w:lang w:val="es-CO"/>
        </w:rPr>
        <w:t xml:space="preserve">i) capacidad jurídica; </w:t>
      </w:r>
      <w:proofErr w:type="spellStart"/>
      <w:r w:rsidR="00034C5A" w:rsidRPr="006063B6">
        <w:rPr>
          <w:rFonts w:ascii="Arial" w:hAnsi="Arial" w:cs="Arial"/>
          <w:color w:val="181818" w:themeColor="accent6" w:themeShade="1A"/>
          <w:sz w:val="22"/>
          <w:lang w:val="es-CO"/>
        </w:rPr>
        <w:t>ii</w:t>
      </w:r>
      <w:proofErr w:type="spellEnd"/>
      <w:r w:rsidR="00034C5A" w:rsidRPr="006063B6">
        <w:rPr>
          <w:rFonts w:ascii="Arial" w:hAnsi="Arial" w:cs="Arial"/>
          <w:color w:val="181818" w:themeColor="accent6" w:themeShade="1A"/>
          <w:sz w:val="22"/>
          <w:lang w:val="es-CO"/>
        </w:rPr>
        <w:t xml:space="preserve">) existencia y representación legal; </w:t>
      </w:r>
      <w:proofErr w:type="spellStart"/>
      <w:r w:rsidR="00034C5A" w:rsidRPr="006063B6">
        <w:rPr>
          <w:rFonts w:ascii="Arial" w:hAnsi="Arial" w:cs="Arial"/>
          <w:color w:val="181818" w:themeColor="accent6" w:themeShade="1A"/>
          <w:sz w:val="22"/>
          <w:lang w:val="es-CO"/>
        </w:rPr>
        <w:t>iii</w:t>
      </w:r>
      <w:proofErr w:type="spellEnd"/>
      <w:r w:rsidR="00034C5A" w:rsidRPr="006063B6">
        <w:rPr>
          <w:rFonts w:ascii="Arial" w:hAnsi="Arial" w:cs="Arial"/>
          <w:color w:val="181818" w:themeColor="accent6" w:themeShade="1A"/>
          <w:sz w:val="22"/>
          <w:lang w:val="es-CO"/>
        </w:rPr>
        <w:t xml:space="preserve">) certificación de pagos de seguridad social y aportes legales; </w:t>
      </w:r>
      <w:proofErr w:type="spellStart"/>
      <w:r w:rsidR="00034C5A" w:rsidRPr="006063B6">
        <w:rPr>
          <w:rFonts w:ascii="Arial" w:hAnsi="Arial" w:cs="Arial"/>
          <w:color w:val="181818" w:themeColor="accent6" w:themeShade="1A"/>
          <w:sz w:val="22"/>
          <w:lang w:val="es-CO"/>
        </w:rPr>
        <w:t>iv</w:t>
      </w:r>
      <w:proofErr w:type="spellEnd"/>
      <w:r w:rsidR="00034C5A" w:rsidRPr="006063B6">
        <w:rPr>
          <w:rFonts w:ascii="Arial" w:hAnsi="Arial" w:cs="Arial"/>
          <w:color w:val="181818" w:themeColor="accent6" w:themeShade="1A"/>
          <w:sz w:val="22"/>
          <w:lang w:val="es-CO"/>
        </w:rPr>
        <w:t xml:space="preserve">) experiencia; </w:t>
      </w:r>
      <w:bookmarkEnd w:id="6"/>
      <w:r w:rsidR="00034C5A" w:rsidRPr="006063B6">
        <w:rPr>
          <w:rFonts w:ascii="Arial" w:hAnsi="Arial" w:cs="Arial"/>
          <w:color w:val="181818" w:themeColor="accent6" w:themeShade="1A"/>
          <w:sz w:val="22"/>
          <w:lang w:val="es-CO"/>
        </w:rPr>
        <w:t xml:space="preserve">v) visita al sitio de la obra; vi) capacidad financiera; </w:t>
      </w:r>
      <w:proofErr w:type="spellStart"/>
      <w:r w:rsidR="00034C5A" w:rsidRPr="006063B6">
        <w:rPr>
          <w:rFonts w:ascii="Arial" w:hAnsi="Arial" w:cs="Arial"/>
          <w:color w:val="181818" w:themeColor="accent6" w:themeShade="1A"/>
          <w:sz w:val="22"/>
          <w:lang w:val="es-CO"/>
        </w:rPr>
        <w:t>vii</w:t>
      </w:r>
      <w:proofErr w:type="spellEnd"/>
      <w:r w:rsidR="00034C5A" w:rsidRPr="006063B6">
        <w:rPr>
          <w:rFonts w:ascii="Arial" w:hAnsi="Arial" w:cs="Arial"/>
          <w:color w:val="181818" w:themeColor="accent6" w:themeShade="1A"/>
          <w:sz w:val="22"/>
          <w:lang w:val="es-CO"/>
        </w:rPr>
        <w:t xml:space="preserve">) capital de trabajo; </w:t>
      </w:r>
      <w:proofErr w:type="spellStart"/>
      <w:r w:rsidR="00034C5A" w:rsidRPr="006063B6">
        <w:rPr>
          <w:rFonts w:ascii="Arial" w:hAnsi="Arial" w:cs="Arial"/>
          <w:color w:val="181818" w:themeColor="accent6" w:themeShade="1A"/>
          <w:sz w:val="22"/>
          <w:lang w:val="es-CO"/>
        </w:rPr>
        <w:t>viii</w:t>
      </w:r>
      <w:proofErr w:type="spellEnd"/>
      <w:r w:rsidR="00034C5A" w:rsidRPr="006063B6">
        <w:rPr>
          <w:rFonts w:ascii="Arial" w:hAnsi="Arial" w:cs="Arial"/>
          <w:color w:val="181818" w:themeColor="accent6" w:themeShade="1A"/>
          <w:sz w:val="22"/>
          <w:lang w:val="es-CO"/>
        </w:rPr>
        <w:t>)</w:t>
      </w:r>
      <w:r w:rsidR="002B3C1A" w:rsidRPr="006063B6">
        <w:rPr>
          <w:rFonts w:ascii="Arial" w:hAnsi="Arial" w:cs="Arial"/>
          <w:color w:val="181818" w:themeColor="accent6" w:themeShade="1A"/>
          <w:sz w:val="22"/>
          <w:lang w:val="es-CO"/>
        </w:rPr>
        <w:t xml:space="preserve"> </w:t>
      </w:r>
      <w:r w:rsidR="00034C5A" w:rsidRPr="006063B6">
        <w:rPr>
          <w:rFonts w:ascii="Arial" w:hAnsi="Arial" w:cs="Arial"/>
          <w:color w:val="181818" w:themeColor="accent6" w:themeShade="1A"/>
          <w:sz w:val="22"/>
          <w:lang w:val="es-CO"/>
        </w:rPr>
        <w:t xml:space="preserve">capacidad organizacional; y </w:t>
      </w:r>
      <w:proofErr w:type="spellStart"/>
      <w:r w:rsidR="00034C5A" w:rsidRPr="006063B6">
        <w:rPr>
          <w:rFonts w:ascii="Arial" w:hAnsi="Arial" w:cs="Arial"/>
          <w:color w:val="181818" w:themeColor="accent6" w:themeShade="1A"/>
          <w:sz w:val="22"/>
          <w:lang w:val="es-CO"/>
        </w:rPr>
        <w:t>ix</w:t>
      </w:r>
      <w:proofErr w:type="spellEnd"/>
      <w:r w:rsidR="00034C5A" w:rsidRPr="006063B6">
        <w:rPr>
          <w:rFonts w:ascii="Arial" w:hAnsi="Arial" w:cs="Arial"/>
          <w:color w:val="181818" w:themeColor="accent6" w:themeShade="1A"/>
          <w:sz w:val="22"/>
          <w:lang w:val="es-CO"/>
        </w:rPr>
        <w:t>) capacidad residual. Para los procesos de mínima cuantía se fijaron los requisitos de</w:t>
      </w:r>
      <w:r w:rsidR="00F43976" w:rsidRPr="006063B6">
        <w:rPr>
          <w:rFonts w:ascii="Arial" w:hAnsi="Arial" w:cs="Arial"/>
          <w:color w:val="181818" w:themeColor="accent6" w:themeShade="1A"/>
          <w:sz w:val="22"/>
          <w:lang w:val="es-CO"/>
        </w:rPr>
        <w:t>:</w:t>
      </w:r>
      <w:r w:rsidR="00034C5A" w:rsidRPr="006063B6">
        <w:rPr>
          <w:rFonts w:ascii="Arial" w:hAnsi="Arial" w:cs="Arial"/>
          <w:color w:val="181818" w:themeColor="accent6" w:themeShade="1A"/>
          <w:sz w:val="22"/>
          <w:lang w:val="es-CO"/>
        </w:rPr>
        <w:t xml:space="preserve"> i) capacidad jurídica; </w:t>
      </w:r>
      <w:proofErr w:type="spellStart"/>
      <w:r w:rsidR="00034C5A" w:rsidRPr="006063B6">
        <w:rPr>
          <w:rFonts w:ascii="Arial" w:hAnsi="Arial" w:cs="Arial"/>
          <w:color w:val="181818" w:themeColor="accent6" w:themeShade="1A"/>
          <w:sz w:val="22"/>
          <w:lang w:val="es-CO"/>
        </w:rPr>
        <w:t>ii</w:t>
      </w:r>
      <w:proofErr w:type="spellEnd"/>
      <w:r w:rsidR="00034C5A" w:rsidRPr="006063B6">
        <w:rPr>
          <w:rFonts w:ascii="Arial" w:hAnsi="Arial" w:cs="Arial"/>
          <w:color w:val="181818" w:themeColor="accent6" w:themeShade="1A"/>
          <w:sz w:val="22"/>
          <w:lang w:val="es-CO"/>
        </w:rPr>
        <w:t xml:space="preserve">) existencia y representación legal; </w:t>
      </w:r>
      <w:proofErr w:type="spellStart"/>
      <w:r w:rsidR="00034C5A" w:rsidRPr="006063B6">
        <w:rPr>
          <w:rFonts w:ascii="Arial" w:hAnsi="Arial" w:cs="Arial"/>
          <w:color w:val="181818" w:themeColor="accent6" w:themeShade="1A"/>
          <w:sz w:val="22"/>
          <w:lang w:val="es-CO"/>
        </w:rPr>
        <w:t>iii</w:t>
      </w:r>
      <w:proofErr w:type="spellEnd"/>
      <w:r w:rsidR="00034C5A" w:rsidRPr="006063B6">
        <w:rPr>
          <w:rFonts w:ascii="Arial" w:hAnsi="Arial" w:cs="Arial"/>
          <w:color w:val="181818" w:themeColor="accent6" w:themeShade="1A"/>
          <w:sz w:val="22"/>
          <w:lang w:val="es-CO"/>
        </w:rPr>
        <w:t xml:space="preserve">) certificación de pagos de seguridad social y aportes legales; </w:t>
      </w:r>
      <w:proofErr w:type="spellStart"/>
      <w:r w:rsidR="00034C5A" w:rsidRPr="006063B6">
        <w:rPr>
          <w:rFonts w:ascii="Arial" w:hAnsi="Arial" w:cs="Arial"/>
          <w:color w:val="181818" w:themeColor="accent6" w:themeShade="1A"/>
          <w:sz w:val="22"/>
          <w:lang w:val="es-CO"/>
        </w:rPr>
        <w:t>iv</w:t>
      </w:r>
      <w:proofErr w:type="spellEnd"/>
      <w:r w:rsidR="00034C5A" w:rsidRPr="006063B6">
        <w:rPr>
          <w:rFonts w:ascii="Arial" w:hAnsi="Arial" w:cs="Arial"/>
          <w:color w:val="181818" w:themeColor="accent6" w:themeShade="1A"/>
          <w:sz w:val="22"/>
          <w:lang w:val="es-CO"/>
        </w:rPr>
        <w:t>) experiencia; v) capacidad financiera; y vi) capacidad residual.</w:t>
      </w:r>
      <w:r w:rsidR="00F43976" w:rsidRPr="006063B6">
        <w:rPr>
          <w:rFonts w:ascii="Arial" w:hAnsi="Arial" w:cs="Arial"/>
          <w:color w:val="181818" w:themeColor="accent6" w:themeShade="1A"/>
          <w:sz w:val="22"/>
          <w:lang w:val="es-CO"/>
        </w:rPr>
        <w:t xml:space="preserve"> </w:t>
      </w:r>
    </w:p>
    <w:p w14:paraId="6F508E27" w14:textId="77777777" w:rsidR="00416006" w:rsidRPr="006063B6" w:rsidRDefault="00F43976" w:rsidP="00034C5A">
      <w:pPr>
        <w:spacing w:before="120" w:after="120" w:line="276" w:lineRule="auto"/>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ab/>
        <w:t xml:space="preserve">Estos requisitos se encuentran detalladamente regulados por los «Documentos Base o Pliegos Tipo» de las modalidades de licitación pública y selección abreviada, al igual que en la «Invitación» desarrollada para procesos de mínima cuantía. Esta regulación </w:t>
      </w:r>
      <w:r w:rsidR="00DA1D2E" w:rsidRPr="006063B6">
        <w:rPr>
          <w:rFonts w:ascii="Arial" w:hAnsi="Arial" w:cs="Arial"/>
          <w:color w:val="181818" w:themeColor="accent6" w:themeShade="1A"/>
          <w:sz w:val="22"/>
          <w:lang w:val="es-CO"/>
        </w:rPr>
        <w:t>abarca desde la cuantificación del requisito exigible, hasta la forma y documentación mediante los que deben ser acreditados por los proponentes, criterios que, se itera, son inmodificables e inalterables por las entidades</w:t>
      </w:r>
      <w:r w:rsidR="00416006" w:rsidRPr="006063B6">
        <w:rPr>
          <w:rFonts w:ascii="Arial" w:hAnsi="Arial" w:cs="Arial"/>
          <w:color w:val="181818" w:themeColor="accent6" w:themeShade="1A"/>
          <w:sz w:val="22"/>
          <w:lang w:val="es-CO"/>
        </w:rPr>
        <w:t>.</w:t>
      </w:r>
    </w:p>
    <w:p w14:paraId="0F63BA5B" w14:textId="051255BA" w:rsidR="00F43976" w:rsidRPr="006063B6" w:rsidRDefault="00416006"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En el caso de la experiencia, la Matriz 1</w:t>
      </w:r>
      <w:r w:rsidR="0061659F" w:rsidRPr="006063B6">
        <w:rPr>
          <w:rFonts w:ascii="Arial" w:hAnsi="Arial" w:cs="Arial"/>
          <w:color w:val="181818" w:themeColor="accent6" w:themeShade="1A"/>
          <w:sz w:val="22"/>
          <w:lang w:val="es-CO"/>
        </w:rPr>
        <w:t xml:space="preserve">, se </w:t>
      </w:r>
      <w:r w:rsidRPr="006063B6">
        <w:rPr>
          <w:rFonts w:ascii="Arial" w:hAnsi="Arial" w:cs="Arial"/>
          <w:color w:val="181818" w:themeColor="accent6" w:themeShade="1A"/>
          <w:sz w:val="22"/>
          <w:lang w:val="es-CO"/>
        </w:rPr>
        <w:t>establece una</w:t>
      </w:r>
      <w:r w:rsidR="00DA1D2E" w:rsidRPr="006063B6">
        <w:rPr>
          <w:rFonts w:ascii="Arial" w:hAnsi="Arial" w:cs="Arial"/>
          <w:color w:val="181818" w:themeColor="accent6" w:themeShade="1A"/>
          <w:sz w:val="22"/>
          <w:lang w:val="es-CO"/>
        </w:rPr>
        <w:t xml:space="preserve"> metodología para la configuración de</w:t>
      </w:r>
      <w:r w:rsidRPr="006063B6">
        <w:rPr>
          <w:rFonts w:ascii="Arial" w:hAnsi="Arial" w:cs="Arial"/>
          <w:color w:val="181818" w:themeColor="accent6" w:themeShade="1A"/>
          <w:sz w:val="22"/>
          <w:lang w:val="es-CO"/>
        </w:rPr>
        <w:t>l</w:t>
      </w:r>
      <w:r w:rsidR="00DA1D2E" w:rsidRPr="006063B6">
        <w:rPr>
          <w:rFonts w:ascii="Arial" w:hAnsi="Arial" w:cs="Arial"/>
          <w:color w:val="181818" w:themeColor="accent6" w:themeShade="1A"/>
          <w:sz w:val="22"/>
          <w:lang w:val="es-CO"/>
        </w:rPr>
        <w:t xml:space="preserve"> requisito</w:t>
      </w:r>
      <w:r w:rsidRPr="006063B6">
        <w:rPr>
          <w:rFonts w:ascii="Arial" w:hAnsi="Arial" w:cs="Arial"/>
          <w:color w:val="181818" w:themeColor="accent6" w:themeShade="1A"/>
          <w:sz w:val="22"/>
          <w:lang w:val="es-CO"/>
        </w:rPr>
        <w:t xml:space="preserve"> exigible</w:t>
      </w:r>
      <w:r w:rsidR="00DA1D2E" w:rsidRPr="006063B6">
        <w:rPr>
          <w:rFonts w:ascii="Arial" w:hAnsi="Arial" w:cs="Arial"/>
          <w:color w:val="181818" w:themeColor="accent6" w:themeShade="1A"/>
          <w:sz w:val="22"/>
          <w:lang w:val="es-CO"/>
        </w:rPr>
        <w:t xml:space="preserve"> respecto del objeto especifico </w:t>
      </w:r>
      <w:r w:rsidRPr="006063B6">
        <w:rPr>
          <w:rFonts w:ascii="Arial" w:hAnsi="Arial" w:cs="Arial"/>
          <w:color w:val="181818" w:themeColor="accent6" w:themeShade="1A"/>
          <w:sz w:val="22"/>
          <w:lang w:val="es-CO"/>
        </w:rPr>
        <w:t>de</w:t>
      </w:r>
      <w:r w:rsidR="00DA1D2E" w:rsidRPr="006063B6">
        <w:rPr>
          <w:rFonts w:ascii="Arial" w:hAnsi="Arial" w:cs="Arial"/>
          <w:color w:val="181818" w:themeColor="accent6" w:themeShade="1A"/>
          <w:sz w:val="22"/>
          <w:lang w:val="es-CO"/>
        </w:rPr>
        <w:t xml:space="preserve"> contrata</w:t>
      </w:r>
      <w:r w:rsidRPr="006063B6">
        <w:rPr>
          <w:rFonts w:ascii="Arial" w:hAnsi="Arial" w:cs="Arial"/>
          <w:color w:val="181818" w:themeColor="accent6" w:themeShade="1A"/>
          <w:sz w:val="22"/>
          <w:lang w:val="es-CO"/>
        </w:rPr>
        <w:t>ción</w:t>
      </w:r>
      <w:r w:rsidR="00DA1D2E" w:rsidRPr="006063B6">
        <w:rPr>
          <w:rFonts w:ascii="Arial" w:hAnsi="Arial" w:cs="Arial"/>
          <w:color w:val="181818" w:themeColor="accent6" w:themeShade="1A"/>
          <w:sz w:val="22"/>
          <w:lang w:val="es-CO"/>
        </w:rPr>
        <w:t>,</w:t>
      </w:r>
      <w:r w:rsidRPr="006063B6">
        <w:rPr>
          <w:rFonts w:ascii="Arial" w:hAnsi="Arial" w:cs="Arial"/>
          <w:color w:val="181818" w:themeColor="accent6" w:themeShade="1A"/>
          <w:sz w:val="22"/>
          <w:lang w:val="es-CO"/>
        </w:rPr>
        <w:t xml:space="preserve"> </w:t>
      </w:r>
      <w:r w:rsidR="00DA1D2E" w:rsidRPr="006063B6">
        <w:rPr>
          <w:rFonts w:ascii="Arial" w:hAnsi="Arial" w:cs="Arial"/>
          <w:color w:val="181818" w:themeColor="accent6" w:themeShade="1A"/>
          <w:sz w:val="22"/>
          <w:lang w:val="es-CO"/>
        </w:rPr>
        <w:t>en función de</w:t>
      </w:r>
      <w:r w:rsidRPr="006063B6">
        <w:rPr>
          <w:rFonts w:ascii="Arial" w:hAnsi="Arial" w:cs="Arial"/>
          <w:color w:val="181818" w:themeColor="accent6" w:themeShade="1A"/>
          <w:sz w:val="22"/>
          <w:lang w:val="es-CO"/>
        </w:rPr>
        <w:t xml:space="preserve"> factores como el </w:t>
      </w:r>
      <w:r w:rsidR="00DA1D2E" w:rsidRPr="006063B6">
        <w:rPr>
          <w:rFonts w:ascii="Arial" w:hAnsi="Arial" w:cs="Arial"/>
          <w:color w:val="181818" w:themeColor="accent6" w:themeShade="1A"/>
          <w:sz w:val="22"/>
          <w:lang w:val="es-CO"/>
        </w:rPr>
        <w:t xml:space="preserve">tipo de obra, actividad a desarrollar y dimensionamiento de </w:t>
      </w:r>
      <w:proofErr w:type="gramStart"/>
      <w:r w:rsidR="00DA1D2E" w:rsidRPr="006063B6">
        <w:rPr>
          <w:rFonts w:ascii="Arial" w:hAnsi="Arial" w:cs="Arial"/>
          <w:color w:val="181818" w:themeColor="accent6" w:themeShade="1A"/>
          <w:sz w:val="22"/>
          <w:lang w:val="es-CO"/>
        </w:rPr>
        <w:t>la misma</w:t>
      </w:r>
      <w:proofErr w:type="gramEnd"/>
      <w:r w:rsidRPr="006063B6">
        <w:rPr>
          <w:rFonts w:ascii="Arial" w:hAnsi="Arial" w:cs="Arial"/>
          <w:color w:val="181818" w:themeColor="accent6" w:themeShade="1A"/>
          <w:sz w:val="22"/>
          <w:lang w:val="es-CO"/>
        </w:rPr>
        <w:t xml:space="preserve">, los cuales subsumidos en la matriz dan como resultado el requisito que deberán acreditar los proponentes. De otra parte, en lo que </w:t>
      </w:r>
      <w:r w:rsidR="002B3C1A" w:rsidRPr="006063B6">
        <w:rPr>
          <w:rFonts w:ascii="Arial" w:hAnsi="Arial" w:cs="Arial"/>
          <w:color w:val="181818" w:themeColor="accent6" w:themeShade="1A"/>
          <w:sz w:val="22"/>
          <w:lang w:val="es-CO"/>
        </w:rPr>
        <w:t xml:space="preserve">tienen que ver </w:t>
      </w:r>
      <w:r w:rsidR="002320F1" w:rsidRPr="006063B6">
        <w:rPr>
          <w:rFonts w:ascii="Arial" w:hAnsi="Arial" w:cs="Arial"/>
          <w:color w:val="181818" w:themeColor="accent6" w:themeShade="1A"/>
          <w:sz w:val="22"/>
          <w:lang w:val="es-CO"/>
        </w:rPr>
        <w:t xml:space="preserve">con la capacidad financiera y organizacional, la Matriz </w:t>
      </w:r>
      <w:proofErr w:type="gramStart"/>
      <w:r w:rsidR="002320F1" w:rsidRPr="006063B6">
        <w:rPr>
          <w:rFonts w:ascii="Arial" w:hAnsi="Arial" w:cs="Arial"/>
          <w:color w:val="181818" w:themeColor="accent6" w:themeShade="1A"/>
          <w:sz w:val="22"/>
          <w:lang w:val="es-CO"/>
        </w:rPr>
        <w:t>2  establece</w:t>
      </w:r>
      <w:proofErr w:type="gramEnd"/>
      <w:r w:rsidR="002320F1" w:rsidRPr="006063B6">
        <w:rPr>
          <w:rFonts w:ascii="Arial" w:hAnsi="Arial" w:cs="Arial"/>
          <w:color w:val="181818" w:themeColor="accent6" w:themeShade="1A"/>
          <w:sz w:val="22"/>
          <w:lang w:val="es-CO"/>
        </w:rPr>
        <w:t xml:space="preserve"> los respectivos indicadores con los que deben cumplir proponentes para acreditar estos requisitos habilitantes, mientras que el «Documento Base o Pliego Tipo», y la «Invitación» en el caso de la mínima cuantía, establece</w:t>
      </w:r>
      <w:r w:rsidR="0061659F" w:rsidRPr="006063B6">
        <w:rPr>
          <w:rFonts w:ascii="Arial" w:hAnsi="Arial" w:cs="Arial"/>
          <w:color w:val="181818" w:themeColor="accent6" w:themeShade="1A"/>
          <w:sz w:val="22"/>
          <w:lang w:val="es-CO"/>
        </w:rPr>
        <w:t>n</w:t>
      </w:r>
      <w:r w:rsidR="002320F1" w:rsidRPr="006063B6">
        <w:rPr>
          <w:rFonts w:ascii="Arial" w:hAnsi="Arial" w:cs="Arial"/>
          <w:color w:val="181818" w:themeColor="accent6" w:themeShade="1A"/>
          <w:sz w:val="22"/>
          <w:lang w:val="es-CO"/>
        </w:rPr>
        <w:t xml:space="preserve"> las fórmulas para el cálculo de los mismos. </w:t>
      </w:r>
    </w:p>
    <w:p w14:paraId="5A0EB291" w14:textId="1D6FC208" w:rsidR="00646D60" w:rsidRPr="006063B6" w:rsidRDefault="00646D60"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 xml:space="preserve">Conforme a lo anterior, los requisitos habilitantes, entre ellos la experiencia, la capacidad financiera y organizacional, al igual que los indicadores financieros y organizacionales, se encuentran determinados por los </w:t>
      </w:r>
      <w:r w:rsidR="0061659F" w:rsidRPr="006063B6">
        <w:rPr>
          <w:rFonts w:ascii="Arial" w:hAnsi="Arial" w:cs="Arial"/>
          <w:color w:val="181818" w:themeColor="accent6" w:themeShade="1A"/>
          <w:sz w:val="22"/>
          <w:lang w:val="es-CO"/>
        </w:rPr>
        <w:t>d</w:t>
      </w:r>
      <w:r w:rsidRPr="006063B6">
        <w:rPr>
          <w:rFonts w:ascii="Arial" w:hAnsi="Arial" w:cs="Arial"/>
          <w:color w:val="181818" w:themeColor="accent6" w:themeShade="1A"/>
          <w:sz w:val="22"/>
          <w:lang w:val="es-CO"/>
        </w:rPr>
        <w:t xml:space="preserve">ocumentos </w:t>
      </w:r>
      <w:r w:rsidR="0061659F" w:rsidRPr="006063B6">
        <w:rPr>
          <w:rFonts w:ascii="Arial" w:hAnsi="Arial" w:cs="Arial"/>
          <w:color w:val="181818" w:themeColor="accent6" w:themeShade="1A"/>
          <w:sz w:val="22"/>
          <w:lang w:val="es-CO"/>
        </w:rPr>
        <w:t>t</w:t>
      </w:r>
      <w:r w:rsidRPr="006063B6">
        <w:rPr>
          <w:rFonts w:ascii="Arial" w:hAnsi="Arial" w:cs="Arial"/>
          <w:color w:val="181818" w:themeColor="accent6" w:themeShade="1A"/>
          <w:sz w:val="22"/>
          <w:lang w:val="es-CO"/>
        </w:rPr>
        <w:t xml:space="preserve">ipo, lo que dada su obligatoria observancia e inalterabilidad, supone un reducido margen de potestad </w:t>
      </w:r>
      <w:r w:rsidR="00C16631" w:rsidRPr="006063B6">
        <w:rPr>
          <w:rFonts w:ascii="Arial" w:hAnsi="Arial" w:cs="Arial"/>
          <w:color w:val="181818" w:themeColor="accent6" w:themeShade="1A"/>
          <w:sz w:val="22"/>
          <w:lang w:val="es-CO"/>
        </w:rPr>
        <w:t>de</w:t>
      </w:r>
      <w:r w:rsidRPr="006063B6">
        <w:rPr>
          <w:rFonts w:ascii="Arial" w:hAnsi="Arial" w:cs="Arial"/>
          <w:color w:val="181818" w:themeColor="accent6" w:themeShade="1A"/>
          <w:sz w:val="22"/>
          <w:lang w:val="es-CO"/>
        </w:rPr>
        <w:t xml:space="preserve"> las entidades estatales en la configuración de estos requisitos, que necesariamente se traduce </w:t>
      </w:r>
      <w:r w:rsidRPr="006063B6">
        <w:rPr>
          <w:rFonts w:ascii="Arial" w:hAnsi="Arial" w:cs="Arial"/>
          <w:color w:val="181818" w:themeColor="accent6" w:themeShade="1A"/>
          <w:sz w:val="22"/>
          <w:lang w:val="es-CO"/>
        </w:rPr>
        <w:lastRenderedPageBreak/>
        <w:t>una disminución de los esfuerzos que conforme al principio de planeación se imponen para la determinación de los requisitos habilitantes para cada proceso de contratación.</w:t>
      </w:r>
    </w:p>
    <w:p w14:paraId="763B8A78" w14:textId="66993348" w:rsidR="009B4D9A" w:rsidRPr="006063B6" w:rsidRDefault="00646D60"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En ese entendido, si bien el artículo</w:t>
      </w:r>
      <w:r w:rsidR="00C16631" w:rsidRPr="006063B6">
        <w:rPr>
          <w:rFonts w:ascii="Arial" w:hAnsi="Arial" w:cs="Arial"/>
          <w:color w:val="181818" w:themeColor="accent6" w:themeShade="1A"/>
          <w:sz w:val="22"/>
          <w:lang w:val="es-CO"/>
        </w:rPr>
        <w:t xml:space="preserve"> 2.2.1.1.1.6.2 del Decreto de 2015</w:t>
      </w:r>
      <w:r w:rsidR="00277630" w:rsidRPr="006063B6">
        <w:rPr>
          <w:rStyle w:val="Refdenotaalpie"/>
          <w:rFonts w:ascii="Arial" w:hAnsi="Arial" w:cs="Arial"/>
          <w:color w:val="181818" w:themeColor="accent6" w:themeShade="1A"/>
          <w:sz w:val="22"/>
          <w:lang w:val="es-CO"/>
        </w:rPr>
        <w:footnoteReference w:id="6"/>
      </w:r>
      <w:r w:rsidR="00C16631" w:rsidRPr="006063B6">
        <w:rPr>
          <w:rFonts w:ascii="Arial" w:hAnsi="Arial" w:cs="Arial"/>
          <w:color w:val="181818" w:themeColor="accent6" w:themeShade="1A"/>
          <w:sz w:val="22"/>
          <w:lang w:val="es-CO"/>
        </w:rPr>
        <w:t xml:space="preserve"> establece que uno de los factores en virtud del cual deben determinarse los requisitos habilitantes aplicables para los procesos de contratación es el análisis o estudio del sector económico,</w:t>
      </w:r>
      <w:r w:rsidR="009B4D9A" w:rsidRPr="006063B6">
        <w:rPr>
          <w:rFonts w:ascii="Arial" w:hAnsi="Arial" w:cs="Arial"/>
          <w:color w:val="181818" w:themeColor="accent6" w:themeShade="1A"/>
          <w:sz w:val="22"/>
          <w:lang w:val="es-CO"/>
        </w:rPr>
        <w:t xml:space="preserve"> </w:t>
      </w:r>
      <w:r w:rsidR="00C16631" w:rsidRPr="006063B6">
        <w:rPr>
          <w:rFonts w:ascii="Arial" w:hAnsi="Arial" w:cs="Arial"/>
          <w:color w:val="181818" w:themeColor="accent6" w:themeShade="1A"/>
          <w:sz w:val="22"/>
          <w:lang w:val="es-CO"/>
        </w:rPr>
        <w:t xml:space="preserve">tratándose </w:t>
      </w:r>
      <w:r w:rsidR="009B4D9A" w:rsidRPr="006063B6">
        <w:rPr>
          <w:rFonts w:ascii="Arial" w:hAnsi="Arial" w:cs="Arial"/>
          <w:color w:val="181818" w:themeColor="accent6" w:themeShade="1A"/>
          <w:sz w:val="22"/>
          <w:lang w:val="es-CO"/>
        </w:rPr>
        <w:t xml:space="preserve">de procesos </w:t>
      </w:r>
      <w:r w:rsidR="00C16631" w:rsidRPr="006063B6">
        <w:rPr>
          <w:rFonts w:ascii="Arial" w:hAnsi="Arial" w:cs="Arial"/>
          <w:color w:val="181818" w:themeColor="accent6" w:themeShade="1A"/>
          <w:sz w:val="22"/>
          <w:lang w:val="es-CO"/>
        </w:rPr>
        <w:t xml:space="preserve">en los que resulte obligatoria la aplicación de </w:t>
      </w:r>
      <w:r w:rsidR="0061659F" w:rsidRPr="006063B6">
        <w:rPr>
          <w:rFonts w:ascii="Arial" w:hAnsi="Arial" w:cs="Arial"/>
          <w:color w:val="181818" w:themeColor="accent6" w:themeShade="1A"/>
          <w:sz w:val="22"/>
          <w:lang w:val="es-CO"/>
        </w:rPr>
        <w:t>d</w:t>
      </w:r>
      <w:r w:rsidR="00C16631" w:rsidRPr="006063B6">
        <w:rPr>
          <w:rFonts w:ascii="Arial" w:hAnsi="Arial" w:cs="Arial"/>
          <w:color w:val="181818" w:themeColor="accent6" w:themeShade="1A"/>
          <w:sz w:val="22"/>
          <w:lang w:val="es-CO"/>
        </w:rPr>
        <w:t xml:space="preserve">ocumentos </w:t>
      </w:r>
      <w:r w:rsidR="0061659F" w:rsidRPr="006063B6">
        <w:rPr>
          <w:rFonts w:ascii="Arial" w:hAnsi="Arial" w:cs="Arial"/>
          <w:color w:val="181818" w:themeColor="accent6" w:themeShade="1A"/>
          <w:sz w:val="22"/>
          <w:lang w:val="es-CO"/>
        </w:rPr>
        <w:t>t</w:t>
      </w:r>
      <w:r w:rsidR="00C16631" w:rsidRPr="006063B6">
        <w:rPr>
          <w:rFonts w:ascii="Arial" w:hAnsi="Arial" w:cs="Arial"/>
          <w:color w:val="181818" w:themeColor="accent6" w:themeShade="1A"/>
          <w:sz w:val="22"/>
          <w:lang w:val="es-CO"/>
        </w:rPr>
        <w:t>ipo</w:t>
      </w:r>
      <w:r w:rsidR="009B4D9A" w:rsidRPr="006063B6">
        <w:rPr>
          <w:rFonts w:ascii="Arial" w:hAnsi="Arial" w:cs="Arial"/>
          <w:color w:val="181818" w:themeColor="accent6" w:themeShade="1A"/>
          <w:sz w:val="22"/>
          <w:lang w:val="es-CO"/>
        </w:rPr>
        <w:t xml:space="preserve">, tal determinación </w:t>
      </w:r>
      <w:proofErr w:type="spellStart"/>
      <w:r w:rsidR="009B4D9A" w:rsidRPr="006063B6">
        <w:rPr>
          <w:rFonts w:ascii="Arial" w:hAnsi="Arial" w:cs="Arial"/>
          <w:color w:val="181818" w:themeColor="accent6" w:themeShade="1A"/>
          <w:sz w:val="22"/>
          <w:lang w:val="es-CO"/>
        </w:rPr>
        <w:t>esta</w:t>
      </w:r>
      <w:proofErr w:type="spellEnd"/>
      <w:r w:rsidR="009B4D9A" w:rsidRPr="006063B6">
        <w:rPr>
          <w:rFonts w:ascii="Arial" w:hAnsi="Arial" w:cs="Arial"/>
          <w:color w:val="181818" w:themeColor="accent6" w:themeShade="1A"/>
          <w:sz w:val="22"/>
          <w:lang w:val="es-CO"/>
        </w:rPr>
        <w:t xml:space="preserve"> vedada a las entidades por cuenta de la obligatoriedad e inalterabilidad de estos requisitos, lo que en virtud de una interpretación integradora</w:t>
      </w:r>
      <w:r w:rsidR="00277630" w:rsidRPr="006063B6">
        <w:rPr>
          <w:rFonts w:ascii="Arial" w:hAnsi="Arial" w:cs="Arial"/>
          <w:color w:val="181818" w:themeColor="accent6" w:themeShade="1A"/>
          <w:sz w:val="22"/>
          <w:lang w:val="es-CO"/>
        </w:rPr>
        <w:t xml:space="preserve"> de lo dispuesto en el artículo 4 de la Ley 1882 de 2018, </w:t>
      </w:r>
      <w:r w:rsidR="00277630" w:rsidRPr="006063B6">
        <w:rPr>
          <w:rFonts w:ascii="Arial" w:hAnsi="Arial" w:cs="Arial"/>
          <w:color w:val="181818" w:themeColor="accent6" w:themeShade="1A"/>
          <w:sz w:val="22"/>
          <w:lang w:val="es-ES"/>
        </w:rPr>
        <w:t xml:space="preserve">2.2.1.2.6.1.4, 2.2.1.2.6.2.3 y 2.2.1.2.6.3.4 del Decreto 1082 de 2015, hace forzoso concluir que </w:t>
      </w:r>
      <w:r w:rsidR="00277630" w:rsidRPr="006063B6">
        <w:rPr>
          <w:rFonts w:ascii="Arial" w:hAnsi="Arial" w:cs="Arial"/>
          <w:color w:val="181818" w:themeColor="accent6" w:themeShade="1A"/>
          <w:sz w:val="22"/>
          <w:lang w:val="es-CO"/>
        </w:rPr>
        <w:t>el artículo 2.2.1.1.1.6.2 no es aplicable a los procesos adelantados con Documentos Tipo.</w:t>
      </w:r>
    </w:p>
    <w:p w14:paraId="5087FCE1" w14:textId="0596EF50" w:rsidR="00277630" w:rsidRPr="006063B6" w:rsidRDefault="00277630"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Lo anterior no significa que la determinación de los requisitos habilitantes de los procesos adelantados con Documentos Tipo se encuentre desprovista de un análisis de las condiciones del sector económico en donde tiene lugar este tipo de contratación, sino</w:t>
      </w:r>
      <w:r w:rsidR="000A42C9" w:rsidRPr="006063B6">
        <w:rPr>
          <w:rFonts w:ascii="Arial" w:hAnsi="Arial" w:cs="Arial"/>
          <w:color w:val="181818" w:themeColor="accent6" w:themeShade="1A"/>
          <w:sz w:val="22"/>
          <w:lang w:val="es-CO"/>
        </w:rPr>
        <w:t xml:space="preserve"> que</w:t>
      </w:r>
      <w:r w:rsidR="00F120F0">
        <w:rPr>
          <w:rFonts w:ascii="Arial" w:hAnsi="Arial" w:cs="Arial"/>
          <w:color w:val="181818" w:themeColor="accent6" w:themeShade="1A"/>
          <w:sz w:val="22"/>
          <w:lang w:val="es-CO"/>
        </w:rPr>
        <w:t>,</w:t>
      </w:r>
      <w:r w:rsidRPr="006063B6">
        <w:rPr>
          <w:rFonts w:ascii="Arial" w:hAnsi="Arial" w:cs="Arial"/>
          <w:color w:val="181818" w:themeColor="accent6" w:themeShade="1A"/>
          <w:sz w:val="22"/>
          <w:lang w:val="es-CO"/>
        </w:rPr>
        <w:t xml:space="preserve"> por el contrario</w:t>
      </w:r>
      <w:r w:rsidR="000A42C9" w:rsidRPr="006063B6">
        <w:rPr>
          <w:rFonts w:ascii="Arial" w:hAnsi="Arial" w:cs="Arial"/>
          <w:color w:val="181818" w:themeColor="accent6" w:themeShade="1A"/>
          <w:sz w:val="22"/>
          <w:lang w:val="es-CO"/>
        </w:rPr>
        <w:t xml:space="preserve">, </w:t>
      </w:r>
      <w:r w:rsidRPr="006063B6">
        <w:rPr>
          <w:rFonts w:ascii="Arial" w:hAnsi="Arial" w:cs="Arial"/>
          <w:color w:val="181818" w:themeColor="accent6" w:themeShade="1A"/>
          <w:sz w:val="22"/>
          <w:lang w:val="es-CO"/>
        </w:rPr>
        <w:t>d</w:t>
      </w:r>
      <w:r w:rsidR="000A42C9" w:rsidRPr="006063B6">
        <w:rPr>
          <w:rFonts w:ascii="Arial" w:hAnsi="Arial" w:cs="Arial"/>
          <w:color w:val="181818" w:themeColor="accent6" w:themeShade="1A"/>
          <w:sz w:val="22"/>
          <w:lang w:val="es-CO"/>
        </w:rPr>
        <w:t>ada</w:t>
      </w:r>
      <w:r w:rsidRPr="006063B6">
        <w:rPr>
          <w:rFonts w:ascii="Arial" w:hAnsi="Arial" w:cs="Arial"/>
          <w:color w:val="181818" w:themeColor="accent6" w:themeShade="1A"/>
          <w:sz w:val="22"/>
          <w:lang w:val="es-CO"/>
        </w:rPr>
        <w:t xml:space="preserve"> la importancia de la materia</w:t>
      </w:r>
      <w:r w:rsidR="000A42C9" w:rsidRPr="006063B6">
        <w:rPr>
          <w:rFonts w:ascii="Arial" w:hAnsi="Arial" w:cs="Arial"/>
          <w:color w:val="181818" w:themeColor="accent6" w:themeShade="1A"/>
          <w:sz w:val="22"/>
          <w:lang w:val="es-CO"/>
        </w:rPr>
        <w:t xml:space="preserve">, este análisis debió ser incorporado al proceso de desarrollo e implementación de estas herramientas, que el Gobierno Nacional a través de los Decretos 342 de 2019, 2096 de 2019 y 594 de 2020, encomendó a autoridades con conocimientos y capacidades técnicas en el sector del transporte y la contratación pública como el Departamento Nacional de Planeación, el Ministerio de Transporte y la Agencia Nacional de Contratación Pública – Colombia Compra Eficiente. </w:t>
      </w:r>
      <w:r w:rsidRPr="006063B6">
        <w:rPr>
          <w:rFonts w:ascii="Arial" w:hAnsi="Arial" w:cs="Arial"/>
          <w:color w:val="181818" w:themeColor="accent6" w:themeShade="1A"/>
          <w:sz w:val="22"/>
          <w:lang w:val="es-CO"/>
        </w:rPr>
        <w:t xml:space="preserve"> </w:t>
      </w:r>
    </w:p>
    <w:p w14:paraId="3F9D729A" w14:textId="0A6772D5" w:rsidR="00C16631" w:rsidRPr="006063B6" w:rsidRDefault="000A42C9"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 xml:space="preserve">Ahora bien, tampoco quiere decir </w:t>
      </w:r>
      <w:r w:rsidR="00F120F0">
        <w:rPr>
          <w:rFonts w:ascii="Arial" w:hAnsi="Arial" w:cs="Arial"/>
          <w:color w:val="181818" w:themeColor="accent6" w:themeShade="1A"/>
          <w:sz w:val="22"/>
          <w:lang w:val="es-CO"/>
        </w:rPr>
        <w:t xml:space="preserve">esto </w:t>
      </w:r>
      <w:r w:rsidRPr="006063B6">
        <w:rPr>
          <w:rFonts w:ascii="Arial" w:hAnsi="Arial" w:cs="Arial"/>
          <w:color w:val="181818" w:themeColor="accent6" w:themeShade="1A"/>
          <w:sz w:val="22"/>
          <w:lang w:val="es-CO"/>
        </w:rPr>
        <w:t>que las entidades que adelanten procesos con Documentos Tipo</w:t>
      </w:r>
      <w:r w:rsidR="007F3E7C" w:rsidRPr="006063B6">
        <w:rPr>
          <w:rFonts w:ascii="Arial" w:hAnsi="Arial" w:cs="Arial"/>
          <w:color w:val="181818" w:themeColor="accent6" w:themeShade="1A"/>
          <w:sz w:val="22"/>
          <w:lang w:val="es-CO"/>
        </w:rPr>
        <w:t>, dada la estandarización de los requisitos habilitantes e indicadores financieros y organizacionales, se encuentren relevadas del deber de realizar el análisis del sector al que se refiere el artículo 2.2.1.1.1.6.1 del Decreto 1082 de 2015,</w:t>
      </w:r>
      <w:r w:rsidR="00C16631" w:rsidRPr="006063B6">
        <w:rPr>
          <w:rFonts w:ascii="Arial" w:hAnsi="Arial" w:cs="Arial"/>
          <w:color w:val="181818" w:themeColor="accent6" w:themeShade="1A"/>
          <w:sz w:val="22"/>
          <w:lang w:val="es-CO"/>
        </w:rPr>
        <w:t xml:space="preserve"> </w:t>
      </w:r>
      <w:r w:rsidR="007F3E7C" w:rsidRPr="006063B6">
        <w:rPr>
          <w:rFonts w:ascii="Arial" w:hAnsi="Arial" w:cs="Arial"/>
          <w:color w:val="181818" w:themeColor="accent6" w:themeShade="1A"/>
          <w:sz w:val="22"/>
          <w:lang w:val="es-CO"/>
        </w:rPr>
        <w:t>comoquiera que brindar información para la determinación de los requisitos habilitantes e indicadores financieros no es la única finalidad del análisis del sector.</w:t>
      </w:r>
    </w:p>
    <w:p w14:paraId="1C32DCFF" w14:textId="082EC14D" w:rsidR="007F3E7C" w:rsidRPr="006063B6" w:rsidRDefault="007F3E7C"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Tal como se evidenció en el acápite anterior,</w:t>
      </w:r>
      <w:r w:rsidR="00970B5F" w:rsidRPr="006063B6">
        <w:rPr>
          <w:rFonts w:ascii="Arial" w:hAnsi="Arial" w:cs="Arial"/>
          <w:color w:val="181818" w:themeColor="accent6" w:themeShade="1A"/>
          <w:sz w:val="22"/>
          <w:lang w:val="es-CO"/>
        </w:rPr>
        <w:t xml:space="preserve"> el análisis del sector abarca l</w:t>
      </w:r>
      <w:r w:rsidR="00D479F2" w:rsidRPr="006063B6">
        <w:rPr>
          <w:rFonts w:ascii="Arial" w:hAnsi="Arial" w:cs="Arial"/>
          <w:color w:val="181818" w:themeColor="accent6" w:themeShade="1A"/>
          <w:sz w:val="22"/>
          <w:lang w:val="es-CO"/>
        </w:rPr>
        <w:t xml:space="preserve">os </w:t>
      </w:r>
      <w:r w:rsidR="00F120F0">
        <w:rPr>
          <w:rFonts w:ascii="Arial" w:hAnsi="Arial" w:cs="Arial"/>
          <w:color w:val="181818" w:themeColor="accent6" w:themeShade="1A"/>
          <w:sz w:val="22"/>
          <w:lang w:val="es-CO"/>
        </w:rPr>
        <w:t>aspectos:</w:t>
      </w:r>
      <w:r w:rsidR="00F120F0" w:rsidRPr="006063B6">
        <w:rPr>
          <w:rFonts w:ascii="Arial" w:hAnsi="Arial" w:cs="Arial"/>
          <w:color w:val="181818" w:themeColor="accent6" w:themeShade="1A"/>
          <w:sz w:val="22"/>
          <w:lang w:val="es-CO"/>
        </w:rPr>
        <w:t xml:space="preserve"> </w:t>
      </w:r>
      <w:r w:rsidR="00970B5F" w:rsidRPr="006063B6">
        <w:rPr>
          <w:rFonts w:ascii="Arial" w:hAnsi="Arial" w:cs="Arial"/>
          <w:color w:val="181818" w:themeColor="accent6" w:themeShade="1A"/>
          <w:sz w:val="22"/>
          <w:lang w:val="es-CO"/>
        </w:rPr>
        <w:t>legal, comercial, financier</w:t>
      </w:r>
      <w:r w:rsidR="00D479F2" w:rsidRPr="006063B6">
        <w:rPr>
          <w:rFonts w:ascii="Arial" w:hAnsi="Arial" w:cs="Arial"/>
          <w:color w:val="181818" w:themeColor="accent6" w:themeShade="1A"/>
          <w:sz w:val="22"/>
          <w:lang w:val="es-CO"/>
        </w:rPr>
        <w:t>o</w:t>
      </w:r>
      <w:r w:rsidR="00970B5F" w:rsidRPr="006063B6">
        <w:rPr>
          <w:rFonts w:ascii="Arial" w:hAnsi="Arial" w:cs="Arial"/>
          <w:color w:val="181818" w:themeColor="accent6" w:themeShade="1A"/>
          <w:sz w:val="22"/>
          <w:lang w:val="es-CO"/>
        </w:rPr>
        <w:t>, organizacional, técnic</w:t>
      </w:r>
      <w:r w:rsidR="00D479F2" w:rsidRPr="006063B6">
        <w:rPr>
          <w:rFonts w:ascii="Arial" w:hAnsi="Arial" w:cs="Arial"/>
          <w:color w:val="181818" w:themeColor="accent6" w:themeShade="1A"/>
          <w:sz w:val="22"/>
          <w:lang w:val="es-CO"/>
        </w:rPr>
        <w:t>o</w:t>
      </w:r>
      <w:r w:rsidR="00970B5F" w:rsidRPr="006063B6">
        <w:rPr>
          <w:rFonts w:ascii="Arial" w:hAnsi="Arial" w:cs="Arial"/>
          <w:color w:val="181818" w:themeColor="accent6" w:themeShade="1A"/>
          <w:sz w:val="22"/>
          <w:lang w:val="es-CO"/>
        </w:rPr>
        <w:t xml:space="preserve"> y de riesgos del sector en donde tendrá lugar la contratación, permitiendo a las entidades acopiar información importante para el desarrollo de los procesos de contratación, </w:t>
      </w:r>
      <w:r w:rsidR="00915850" w:rsidRPr="006063B6">
        <w:rPr>
          <w:rFonts w:ascii="Arial" w:hAnsi="Arial" w:cs="Arial"/>
          <w:color w:val="181818" w:themeColor="accent6" w:themeShade="1A"/>
          <w:sz w:val="22"/>
          <w:lang w:val="es-CO"/>
        </w:rPr>
        <w:t xml:space="preserve">que </w:t>
      </w:r>
      <w:r w:rsidR="00970B5F" w:rsidRPr="006063B6">
        <w:rPr>
          <w:rFonts w:ascii="Arial" w:hAnsi="Arial" w:cs="Arial"/>
          <w:color w:val="181818" w:themeColor="accent6" w:themeShade="1A"/>
          <w:sz w:val="22"/>
          <w:lang w:val="es-CO"/>
        </w:rPr>
        <w:t xml:space="preserve">permite irradiar estos con una aplicación más acentuada del </w:t>
      </w:r>
      <w:r w:rsidR="00D479F2" w:rsidRPr="006063B6">
        <w:rPr>
          <w:rFonts w:ascii="Arial" w:hAnsi="Arial" w:cs="Arial"/>
          <w:color w:val="181818" w:themeColor="accent6" w:themeShade="1A"/>
          <w:sz w:val="22"/>
          <w:lang w:val="es-CO"/>
        </w:rPr>
        <w:t>principio de planeación</w:t>
      </w:r>
      <w:r w:rsidR="00915850" w:rsidRPr="006063B6">
        <w:rPr>
          <w:rFonts w:ascii="Arial" w:hAnsi="Arial" w:cs="Arial"/>
          <w:color w:val="181818" w:themeColor="accent6" w:themeShade="1A"/>
          <w:sz w:val="22"/>
          <w:lang w:val="es-CO"/>
        </w:rPr>
        <w:t>.</w:t>
      </w:r>
      <w:r w:rsidR="00970B5F" w:rsidRPr="006063B6">
        <w:rPr>
          <w:rFonts w:ascii="Arial" w:hAnsi="Arial" w:cs="Arial"/>
          <w:color w:val="181818" w:themeColor="accent6" w:themeShade="1A"/>
          <w:sz w:val="22"/>
          <w:lang w:val="es-CO"/>
        </w:rPr>
        <w:t xml:space="preserve"> </w:t>
      </w:r>
      <w:r w:rsidR="00915850" w:rsidRPr="006063B6">
        <w:rPr>
          <w:rFonts w:ascii="Arial" w:hAnsi="Arial" w:cs="Arial"/>
          <w:color w:val="181818" w:themeColor="accent6" w:themeShade="1A"/>
          <w:sz w:val="22"/>
          <w:lang w:val="es-CO"/>
        </w:rPr>
        <w:t xml:space="preserve">En ese sentido, </w:t>
      </w:r>
      <w:r w:rsidR="00970B5F" w:rsidRPr="006063B6">
        <w:rPr>
          <w:rFonts w:ascii="Arial" w:hAnsi="Arial" w:cs="Arial"/>
          <w:color w:val="181818" w:themeColor="accent6" w:themeShade="1A"/>
          <w:sz w:val="22"/>
          <w:lang w:val="es-CO"/>
        </w:rPr>
        <w:t xml:space="preserve">a diferencia de posturas como la del profesor </w:t>
      </w:r>
      <w:r w:rsidR="00915850" w:rsidRPr="006063B6">
        <w:rPr>
          <w:rFonts w:ascii="Arial" w:hAnsi="Arial" w:cs="Arial"/>
          <w:color w:val="181818" w:themeColor="accent6" w:themeShade="1A"/>
          <w:sz w:val="22"/>
          <w:lang w:val="es-CO"/>
        </w:rPr>
        <w:t xml:space="preserve">Luis Guillermo </w:t>
      </w:r>
      <w:r w:rsidR="00970B5F" w:rsidRPr="006063B6">
        <w:rPr>
          <w:rFonts w:ascii="Arial" w:hAnsi="Arial" w:cs="Arial"/>
          <w:color w:val="181818" w:themeColor="accent6" w:themeShade="1A"/>
          <w:sz w:val="22"/>
          <w:lang w:val="es-CO"/>
        </w:rPr>
        <w:t>D</w:t>
      </w:r>
      <w:r w:rsidR="00915850" w:rsidRPr="006063B6">
        <w:rPr>
          <w:rFonts w:ascii="Arial" w:hAnsi="Arial" w:cs="Arial"/>
          <w:color w:val="181818" w:themeColor="accent6" w:themeShade="1A"/>
          <w:sz w:val="22"/>
          <w:lang w:val="es-CO"/>
        </w:rPr>
        <w:t>á</w:t>
      </w:r>
      <w:r w:rsidR="00970B5F" w:rsidRPr="006063B6">
        <w:rPr>
          <w:rFonts w:ascii="Arial" w:hAnsi="Arial" w:cs="Arial"/>
          <w:color w:val="181818" w:themeColor="accent6" w:themeShade="1A"/>
          <w:sz w:val="22"/>
          <w:lang w:val="es-CO"/>
        </w:rPr>
        <w:t>vila Vinueza</w:t>
      </w:r>
      <w:r w:rsidR="00915850" w:rsidRPr="006063B6">
        <w:rPr>
          <w:rFonts w:ascii="Arial" w:hAnsi="Arial" w:cs="Arial"/>
          <w:color w:val="181818" w:themeColor="accent6" w:themeShade="1A"/>
          <w:sz w:val="22"/>
          <w:lang w:val="es-CO"/>
        </w:rPr>
        <w:t xml:space="preserve">, que tildan al análisis del </w:t>
      </w:r>
      <w:r w:rsidR="00915850" w:rsidRPr="006063B6">
        <w:rPr>
          <w:rFonts w:ascii="Arial" w:hAnsi="Arial" w:cs="Arial"/>
          <w:color w:val="181818" w:themeColor="accent6" w:themeShade="1A"/>
          <w:sz w:val="22"/>
          <w:lang w:val="es-CO"/>
        </w:rPr>
        <w:lastRenderedPageBreak/>
        <w:t>sector de «absurdo e innecesario, amén del agravamiento de la gestión contractual»</w:t>
      </w:r>
      <w:r w:rsidR="00AE5E16" w:rsidRPr="006063B6">
        <w:rPr>
          <w:rStyle w:val="Refdenotaalpie"/>
          <w:rFonts w:ascii="Arial" w:hAnsi="Arial" w:cs="Arial"/>
          <w:color w:val="181818" w:themeColor="accent6" w:themeShade="1A"/>
          <w:sz w:val="22"/>
          <w:lang w:val="es-CO"/>
        </w:rPr>
        <w:footnoteReference w:id="7"/>
      </w:r>
      <w:r w:rsidR="00915850" w:rsidRPr="006063B6">
        <w:rPr>
          <w:rFonts w:ascii="Arial" w:hAnsi="Arial" w:cs="Arial"/>
          <w:color w:val="181818" w:themeColor="accent6" w:themeShade="1A"/>
          <w:sz w:val="22"/>
          <w:lang w:val="es-CO"/>
        </w:rPr>
        <w:t>, esta Agencia estima que el análisis del sector</w:t>
      </w:r>
      <w:r w:rsidR="00F120F0">
        <w:rPr>
          <w:rFonts w:ascii="Arial" w:hAnsi="Arial" w:cs="Arial"/>
          <w:color w:val="181818" w:themeColor="accent6" w:themeShade="1A"/>
          <w:sz w:val="22"/>
          <w:lang w:val="es-CO"/>
        </w:rPr>
        <w:t>,</w:t>
      </w:r>
      <w:r w:rsidR="00915850" w:rsidRPr="006063B6">
        <w:rPr>
          <w:rFonts w:ascii="Arial" w:hAnsi="Arial" w:cs="Arial"/>
          <w:color w:val="181818" w:themeColor="accent6" w:themeShade="1A"/>
          <w:sz w:val="22"/>
          <w:lang w:val="es-CO"/>
        </w:rPr>
        <w:t xml:space="preserve"> más que un requisito adicional para </w:t>
      </w:r>
      <w:r w:rsidR="00F120F0">
        <w:rPr>
          <w:rFonts w:ascii="Arial" w:hAnsi="Arial" w:cs="Arial"/>
          <w:color w:val="181818" w:themeColor="accent6" w:themeShade="1A"/>
          <w:sz w:val="22"/>
          <w:lang w:val="es-CO"/>
        </w:rPr>
        <w:t>realizar</w:t>
      </w:r>
      <w:r w:rsidR="00915850" w:rsidRPr="006063B6">
        <w:rPr>
          <w:rFonts w:ascii="Arial" w:hAnsi="Arial" w:cs="Arial"/>
          <w:color w:val="181818" w:themeColor="accent6" w:themeShade="1A"/>
          <w:sz w:val="22"/>
          <w:lang w:val="es-CO"/>
        </w:rPr>
        <w:t xml:space="preserve"> los procesos contractuales,</w:t>
      </w:r>
      <w:r w:rsidR="00D479F2" w:rsidRPr="006063B6">
        <w:rPr>
          <w:rFonts w:ascii="Arial" w:hAnsi="Arial" w:cs="Arial"/>
          <w:color w:val="181818" w:themeColor="accent6" w:themeShade="1A"/>
          <w:sz w:val="22"/>
          <w:lang w:val="es-CO"/>
        </w:rPr>
        <w:t xml:space="preserve"> visto desde una perspectiva funcional,</w:t>
      </w:r>
      <w:r w:rsidR="00915850" w:rsidRPr="006063B6">
        <w:rPr>
          <w:rFonts w:ascii="Arial" w:hAnsi="Arial" w:cs="Arial"/>
          <w:color w:val="181818" w:themeColor="accent6" w:themeShade="1A"/>
          <w:sz w:val="22"/>
          <w:lang w:val="es-CO"/>
        </w:rPr>
        <w:t xml:space="preserve"> constituye un deber que permite que las entidades sitúen la adquisición de los bienes</w:t>
      </w:r>
      <w:r w:rsidR="00302A74" w:rsidRPr="006063B6">
        <w:rPr>
          <w:rFonts w:ascii="Arial" w:hAnsi="Arial" w:cs="Arial"/>
          <w:color w:val="181818" w:themeColor="accent6" w:themeShade="1A"/>
          <w:sz w:val="22"/>
          <w:lang w:val="es-CO"/>
        </w:rPr>
        <w:t>, obras</w:t>
      </w:r>
      <w:r w:rsidR="00915850" w:rsidRPr="006063B6">
        <w:rPr>
          <w:rFonts w:ascii="Arial" w:hAnsi="Arial" w:cs="Arial"/>
          <w:color w:val="181818" w:themeColor="accent6" w:themeShade="1A"/>
          <w:sz w:val="22"/>
          <w:lang w:val="es-CO"/>
        </w:rPr>
        <w:t xml:space="preserve"> </w:t>
      </w:r>
      <w:r w:rsidR="00302A74" w:rsidRPr="006063B6">
        <w:rPr>
          <w:rFonts w:ascii="Arial" w:hAnsi="Arial" w:cs="Arial"/>
          <w:color w:val="181818" w:themeColor="accent6" w:themeShade="1A"/>
          <w:sz w:val="22"/>
          <w:lang w:val="es-CO"/>
        </w:rPr>
        <w:t>o</w:t>
      </w:r>
      <w:r w:rsidR="00915850" w:rsidRPr="006063B6">
        <w:rPr>
          <w:rFonts w:ascii="Arial" w:hAnsi="Arial" w:cs="Arial"/>
          <w:color w:val="181818" w:themeColor="accent6" w:themeShade="1A"/>
          <w:sz w:val="22"/>
          <w:lang w:val="es-CO"/>
        </w:rPr>
        <w:t xml:space="preserve"> servicios necesarios para la satisfacción de sus necesidades dentro de las condiciones del mercado en donde se ofrecen, permitiéndoles</w:t>
      </w:r>
      <w:r w:rsidR="00302A74" w:rsidRPr="006063B6">
        <w:rPr>
          <w:rFonts w:ascii="Arial" w:hAnsi="Arial" w:cs="Arial"/>
          <w:color w:val="181818" w:themeColor="accent6" w:themeShade="1A"/>
          <w:sz w:val="22"/>
          <w:lang w:val="es-CO"/>
        </w:rPr>
        <w:t xml:space="preserve"> tener un sustento para </w:t>
      </w:r>
      <w:r w:rsidR="00F120F0">
        <w:rPr>
          <w:rFonts w:ascii="Arial" w:hAnsi="Arial" w:cs="Arial"/>
          <w:color w:val="181818" w:themeColor="accent6" w:themeShade="1A"/>
          <w:sz w:val="22"/>
          <w:lang w:val="es-CO"/>
        </w:rPr>
        <w:t>decidir</w:t>
      </w:r>
      <w:r w:rsidR="00302A74" w:rsidRPr="006063B6">
        <w:rPr>
          <w:rFonts w:ascii="Arial" w:hAnsi="Arial" w:cs="Arial"/>
          <w:color w:val="181818" w:themeColor="accent6" w:themeShade="1A"/>
          <w:sz w:val="22"/>
          <w:lang w:val="es-CO"/>
        </w:rPr>
        <w:t xml:space="preserve"> adelantar el proceso de contratación</w:t>
      </w:r>
      <w:r w:rsidR="00915850" w:rsidRPr="006063B6">
        <w:rPr>
          <w:rFonts w:ascii="Arial" w:hAnsi="Arial" w:cs="Arial"/>
          <w:color w:val="181818" w:themeColor="accent6" w:themeShade="1A"/>
          <w:sz w:val="22"/>
          <w:lang w:val="es-CO"/>
        </w:rPr>
        <w:t xml:space="preserve"> </w:t>
      </w:r>
      <w:r w:rsidR="00302A74" w:rsidRPr="006063B6">
        <w:rPr>
          <w:rFonts w:ascii="Arial" w:hAnsi="Arial" w:cs="Arial"/>
          <w:color w:val="181818" w:themeColor="accent6" w:themeShade="1A"/>
          <w:sz w:val="22"/>
          <w:lang w:val="es-CO"/>
        </w:rPr>
        <w:t>desde el punto de vista de la eficiencia, eficacia y econo</w:t>
      </w:r>
      <w:r w:rsidR="001B03BF" w:rsidRPr="006063B6">
        <w:rPr>
          <w:rFonts w:ascii="Arial" w:hAnsi="Arial" w:cs="Arial"/>
          <w:color w:val="181818" w:themeColor="accent6" w:themeShade="1A"/>
          <w:sz w:val="22"/>
          <w:lang w:val="es-CO"/>
        </w:rPr>
        <w:t xml:space="preserve">mía, que parte de una aproximación al </w:t>
      </w:r>
      <w:r w:rsidR="00915850" w:rsidRPr="006063B6">
        <w:rPr>
          <w:rFonts w:ascii="Arial" w:hAnsi="Arial" w:cs="Arial"/>
          <w:color w:val="181818" w:themeColor="accent6" w:themeShade="1A"/>
          <w:sz w:val="22"/>
          <w:lang w:val="es-CO"/>
        </w:rPr>
        <w:t>panorama</w:t>
      </w:r>
      <w:r w:rsidR="00F120F0">
        <w:rPr>
          <w:rFonts w:ascii="Arial" w:hAnsi="Arial" w:cs="Arial"/>
          <w:color w:val="181818" w:themeColor="accent6" w:themeShade="1A"/>
          <w:sz w:val="22"/>
          <w:lang w:val="es-CO"/>
        </w:rPr>
        <w:t xml:space="preserve"> a</w:t>
      </w:r>
      <w:r w:rsidR="00915850" w:rsidRPr="006063B6">
        <w:rPr>
          <w:rFonts w:ascii="Arial" w:hAnsi="Arial" w:cs="Arial"/>
          <w:color w:val="181818" w:themeColor="accent6" w:themeShade="1A"/>
          <w:sz w:val="22"/>
          <w:lang w:val="es-CO"/>
        </w:rPr>
        <w:t xml:space="preserve"> </w:t>
      </w:r>
      <w:r w:rsidR="001B03BF" w:rsidRPr="006063B6">
        <w:rPr>
          <w:rFonts w:ascii="Arial" w:hAnsi="Arial" w:cs="Arial"/>
          <w:color w:val="181818" w:themeColor="accent6" w:themeShade="1A"/>
          <w:sz w:val="22"/>
          <w:lang w:val="es-CO"/>
        </w:rPr>
        <w:t xml:space="preserve">que se </w:t>
      </w:r>
      <w:r w:rsidR="00915850" w:rsidRPr="006063B6">
        <w:rPr>
          <w:rFonts w:ascii="Arial" w:hAnsi="Arial" w:cs="Arial"/>
          <w:color w:val="181818" w:themeColor="accent6" w:themeShade="1A"/>
          <w:sz w:val="22"/>
          <w:lang w:val="es-CO"/>
        </w:rPr>
        <w:t>enfrentan a</w:t>
      </w:r>
      <w:r w:rsidR="00F120F0">
        <w:rPr>
          <w:rFonts w:ascii="Arial" w:hAnsi="Arial" w:cs="Arial"/>
          <w:color w:val="181818" w:themeColor="accent6" w:themeShade="1A"/>
          <w:sz w:val="22"/>
          <w:lang w:val="es-CO"/>
        </w:rPr>
        <w:t>l</w:t>
      </w:r>
      <w:r w:rsidR="00915850" w:rsidRPr="006063B6">
        <w:rPr>
          <w:rFonts w:ascii="Arial" w:hAnsi="Arial" w:cs="Arial"/>
          <w:color w:val="181818" w:themeColor="accent6" w:themeShade="1A"/>
          <w:sz w:val="22"/>
          <w:lang w:val="es-CO"/>
        </w:rPr>
        <w:t xml:space="preserve"> adelantar un proceso de contratación</w:t>
      </w:r>
      <w:r w:rsidR="00F120F0">
        <w:rPr>
          <w:rFonts w:ascii="Arial" w:hAnsi="Arial" w:cs="Arial"/>
          <w:color w:val="181818" w:themeColor="accent6" w:themeShade="1A"/>
          <w:sz w:val="22"/>
          <w:lang w:val="es-CO"/>
        </w:rPr>
        <w:t>.</w:t>
      </w:r>
    </w:p>
    <w:p w14:paraId="4D86597B" w14:textId="7D29B411" w:rsidR="00E13F9F" w:rsidRPr="006063B6" w:rsidRDefault="00AE5E16"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 xml:space="preserve">Un ejemplo </w:t>
      </w:r>
      <w:r w:rsidR="00E13F9F" w:rsidRPr="006063B6">
        <w:rPr>
          <w:rFonts w:ascii="Arial" w:hAnsi="Arial" w:cs="Arial"/>
          <w:color w:val="181818" w:themeColor="accent6" w:themeShade="1A"/>
          <w:sz w:val="22"/>
          <w:lang w:val="es-CO"/>
        </w:rPr>
        <w:t>de la funcionalidad del análisis sector</w:t>
      </w:r>
      <w:r w:rsidR="00F120F0">
        <w:rPr>
          <w:rFonts w:ascii="Arial" w:hAnsi="Arial" w:cs="Arial"/>
          <w:color w:val="181818" w:themeColor="accent6" w:themeShade="1A"/>
          <w:sz w:val="22"/>
          <w:lang w:val="es-CO"/>
        </w:rPr>
        <w:t>,</w:t>
      </w:r>
      <w:r w:rsidR="00E13F9F" w:rsidRPr="006063B6">
        <w:rPr>
          <w:rFonts w:ascii="Arial" w:hAnsi="Arial" w:cs="Arial"/>
          <w:color w:val="181818" w:themeColor="accent6" w:themeShade="1A"/>
          <w:sz w:val="22"/>
          <w:lang w:val="es-CO"/>
        </w:rPr>
        <w:t xml:space="preserve"> y su importancia en el proceso de contratación</w:t>
      </w:r>
      <w:r w:rsidR="00F120F0">
        <w:rPr>
          <w:rFonts w:ascii="Arial" w:hAnsi="Arial" w:cs="Arial"/>
          <w:color w:val="181818" w:themeColor="accent6" w:themeShade="1A"/>
          <w:sz w:val="22"/>
          <w:lang w:val="es-CO"/>
        </w:rPr>
        <w:t>,</w:t>
      </w:r>
      <w:r w:rsidR="00E13F9F" w:rsidRPr="006063B6">
        <w:rPr>
          <w:rFonts w:ascii="Arial" w:hAnsi="Arial" w:cs="Arial"/>
          <w:color w:val="181818" w:themeColor="accent6" w:themeShade="1A"/>
          <w:sz w:val="22"/>
          <w:lang w:val="es-CO"/>
        </w:rPr>
        <w:t xml:space="preserve"> </w:t>
      </w:r>
      <w:r w:rsidR="00F120F0">
        <w:rPr>
          <w:rFonts w:ascii="Arial" w:hAnsi="Arial" w:cs="Arial"/>
          <w:color w:val="181818" w:themeColor="accent6" w:themeShade="1A"/>
          <w:sz w:val="22"/>
          <w:lang w:val="es-CO"/>
        </w:rPr>
        <w:t>se desprende</w:t>
      </w:r>
      <w:r w:rsidR="00E13F9F" w:rsidRPr="006063B6">
        <w:rPr>
          <w:rFonts w:ascii="Arial" w:hAnsi="Arial" w:cs="Arial"/>
          <w:color w:val="181818" w:themeColor="accent6" w:themeShade="1A"/>
          <w:sz w:val="22"/>
          <w:lang w:val="es-CO"/>
        </w:rPr>
        <w:t xml:space="preserve"> </w:t>
      </w:r>
      <w:r w:rsidR="00F120F0">
        <w:rPr>
          <w:rFonts w:ascii="Arial" w:hAnsi="Arial" w:cs="Arial"/>
          <w:color w:val="181818" w:themeColor="accent6" w:themeShade="1A"/>
          <w:sz w:val="22"/>
          <w:lang w:val="es-CO"/>
        </w:rPr>
        <w:t>de</w:t>
      </w:r>
      <w:r w:rsidR="00E13F9F" w:rsidRPr="006063B6">
        <w:rPr>
          <w:rFonts w:ascii="Arial" w:hAnsi="Arial" w:cs="Arial"/>
          <w:color w:val="181818" w:themeColor="accent6" w:themeShade="1A"/>
          <w:sz w:val="22"/>
          <w:lang w:val="es-CO"/>
        </w:rPr>
        <w:t xml:space="preserve"> su calidad de antecedente </w:t>
      </w:r>
      <w:r w:rsidR="00E13F9F" w:rsidRPr="006063B6">
        <w:rPr>
          <w:rFonts w:ascii="Arial" w:eastAsia="Calibri" w:hAnsi="Arial" w:cs="Arial"/>
          <w:color w:val="181818" w:themeColor="accent6" w:themeShade="1A"/>
          <w:sz w:val="22"/>
        </w:rPr>
        <w:t>tanto</w:t>
      </w:r>
      <w:r w:rsidR="00F120F0">
        <w:rPr>
          <w:rFonts w:ascii="Arial" w:eastAsia="Calibri" w:hAnsi="Arial" w:cs="Arial"/>
          <w:color w:val="181818" w:themeColor="accent6" w:themeShade="1A"/>
          <w:sz w:val="22"/>
        </w:rPr>
        <w:t xml:space="preserve"> de</w:t>
      </w:r>
      <w:r w:rsidR="00E13F9F" w:rsidRPr="006063B6">
        <w:rPr>
          <w:rFonts w:ascii="Arial" w:eastAsia="Calibri" w:hAnsi="Arial" w:cs="Arial"/>
          <w:color w:val="181818" w:themeColor="accent6" w:themeShade="1A"/>
          <w:sz w:val="22"/>
        </w:rPr>
        <w:t xml:space="preserve"> la disponibilidad como el compromiso presupuestal que involucra cada contrato, ya que como lo evidenció esta Agencia en el concepto C-291 del 18 de mayo de 2020 –radicado No. 2202013000003857–, el «estudio del sector relativo a los bienes, obras o servicios que adquirirá la entidad mediante el proceso contractual, permite conocer el mercado respecto de los proveedores, cadenas de producción, costos, calidad, entre otros, para lograr que el presupuesto que se comprometa al proceso corresponda al valor real, y así se cumpla el deber de la entidad de planear y conocer las adquisiciones que pretende realizar, particularmente para estimar el valor del contrato».</w:t>
      </w:r>
    </w:p>
    <w:p w14:paraId="7D2B8069" w14:textId="7F6973C9" w:rsidR="00D479F2" w:rsidRPr="006063B6" w:rsidRDefault="00E13F9F" w:rsidP="00416006">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Otro ejemplo</w:t>
      </w:r>
      <w:r w:rsidR="00AE5E16" w:rsidRPr="006063B6">
        <w:rPr>
          <w:rFonts w:ascii="Arial" w:hAnsi="Arial" w:cs="Arial"/>
          <w:color w:val="181818" w:themeColor="accent6" w:themeShade="1A"/>
          <w:sz w:val="22"/>
          <w:lang w:val="es-CO"/>
        </w:rPr>
        <w:t xml:space="preserve"> lo constituye el análisis de riesgo y la forma de mitigarlo</w:t>
      </w:r>
      <w:r w:rsidR="00F120F0">
        <w:rPr>
          <w:rFonts w:ascii="Arial" w:hAnsi="Arial" w:cs="Arial"/>
          <w:color w:val="181818" w:themeColor="accent6" w:themeShade="1A"/>
          <w:sz w:val="22"/>
          <w:lang w:val="es-CO"/>
        </w:rPr>
        <w:t>,</w:t>
      </w:r>
      <w:r w:rsidR="00AE5E16" w:rsidRPr="006063B6">
        <w:rPr>
          <w:rFonts w:ascii="Arial" w:hAnsi="Arial" w:cs="Arial"/>
          <w:color w:val="181818" w:themeColor="accent6" w:themeShade="1A"/>
          <w:sz w:val="22"/>
          <w:lang w:val="es-CO"/>
        </w:rPr>
        <w:t xml:space="preserve"> que según el numeral 6 del artículo 2.2.1.1.2.1.1 del Decreto 1082 de 2015 debe incorporarse en los estudios y documentos previos</w:t>
      </w:r>
      <w:r w:rsidR="00D479F2" w:rsidRPr="006063B6">
        <w:rPr>
          <w:rFonts w:ascii="Arial" w:hAnsi="Arial" w:cs="Arial"/>
          <w:color w:val="181818" w:themeColor="accent6" w:themeShade="1A"/>
          <w:sz w:val="22"/>
          <w:lang w:val="es-CO"/>
        </w:rPr>
        <w:t>. El cumplimiento de este requisito necesariamente debe servirse del estudio producto del análisis del sector, comoquiera que este último debe permitir a las entidades conocer las dinámicas y comportamiento de los riesgos relacionados con el objeto a contratar</w:t>
      </w:r>
      <w:r w:rsidR="00F120F0">
        <w:rPr>
          <w:rFonts w:ascii="Arial" w:hAnsi="Arial" w:cs="Arial"/>
          <w:color w:val="181818" w:themeColor="accent6" w:themeShade="1A"/>
          <w:sz w:val="22"/>
          <w:lang w:val="es-CO"/>
        </w:rPr>
        <w:t>,</w:t>
      </w:r>
      <w:r w:rsidR="00D479F2" w:rsidRPr="006063B6">
        <w:rPr>
          <w:rFonts w:ascii="Arial" w:hAnsi="Arial" w:cs="Arial"/>
          <w:color w:val="181818" w:themeColor="accent6" w:themeShade="1A"/>
          <w:sz w:val="22"/>
          <w:lang w:val="es-CO"/>
        </w:rPr>
        <w:t xml:space="preserve"> dentro</w:t>
      </w:r>
      <w:r w:rsidR="00F120F0">
        <w:rPr>
          <w:rFonts w:ascii="Arial" w:hAnsi="Arial" w:cs="Arial"/>
          <w:color w:val="181818" w:themeColor="accent6" w:themeShade="1A"/>
          <w:sz w:val="22"/>
          <w:lang w:val="es-CO"/>
        </w:rPr>
        <w:t xml:space="preserve"> del</w:t>
      </w:r>
      <w:r w:rsidR="00D479F2" w:rsidRPr="006063B6">
        <w:rPr>
          <w:rFonts w:ascii="Arial" w:hAnsi="Arial" w:cs="Arial"/>
          <w:color w:val="181818" w:themeColor="accent6" w:themeShade="1A"/>
          <w:sz w:val="22"/>
          <w:lang w:val="es-CO"/>
        </w:rPr>
        <w:t xml:space="preserve"> respectivo sector, lo que brinda herramientas para determinar las posibles formas y mecanismos mediante los que podrían mitigarse. </w:t>
      </w:r>
    </w:p>
    <w:p w14:paraId="53E36A19" w14:textId="7FB0AB44" w:rsidR="008D0C07" w:rsidRPr="006063B6" w:rsidRDefault="001A6FE9" w:rsidP="00606DCD">
      <w:pPr>
        <w:spacing w:before="120" w:after="120" w:line="276" w:lineRule="auto"/>
        <w:ind w:firstLine="708"/>
        <w:jc w:val="both"/>
        <w:rPr>
          <w:rFonts w:ascii="Arial" w:eastAsia="Yu Mincho" w:hAnsi="Arial" w:cs="Arial"/>
          <w:color w:val="181818" w:themeColor="accent6" w:themeShade="1A"/>
          <w:sz w:val="22"/>
          <w:lang w:eastAsia="es-ES"/>
        </w:rPr>
      </w:pPr>
      <w:r w:rsidRPr="006063B6">
        <w:rPr>
          <w:rFonts w:ascii="Arial" w:hAnsi="Arial" w:cs="Arial"/>
          <w:color w:val="181818" w:themeColor="accent6" w:themeShade="1A"/>
          <w:sz w:val="22"/>
        </w:rPr>
        <w:t xml:space="preserve">De otra parte, el </w:t>
      </w:r>
      <w:r w:rsidR="00606DCD" w:rsidRPr="006063B6">
        <w:rPr>
          <w:rFonts w:ascii="Arial" w:hAnsi="Arial" w:cs="Arial"/>
          <w:color w:val="181818" w:themeColor="accent6" w:themeShade="1A"/>
          <w:sz w:val="22"/>
        </w:rPr>
        <w:t>artículo 2.2.1.1.2.2.4. del Decreto 1082 de 2015</w:t>
      </w:r>
      <w:r w:rsidR="00606DCD" w:rsidRPr="006063B6">
        <w:rPr>
          <w:rFonts w:ascii="Arial" w:hAnsi="Arial" w:cs="Arial"/>
          <w:color w:val="181818" w:themeColor="accent6" w:themeShade="1A"/>
          <w:sz w:val="22"/>
          <w:vertAlign w:val="superscript"/>
        </w:rPr>
        <w:footnoteReference w:id="8"/>
      </w:r>
      <w:r w:rsidR="00606DCD" w:rsidRPr="006063B6">
        <w:rPr>
          <w:rFonts w:ascii="Arial" w:hAnsi="Arial" w:cs="Arial"/>
          <w:color w:val="181818" w:themeColor="accent6" w:themeShade="1A"/>
          <w:sz w:val="22"/>
        </w:rPr>
        <w:t>, en el que se regula la metodología para la evalua</w:t>
      </w:r>
      <w:r w:rsidR="00421043">
        <w:rPr>
          <w:rFonts w:ascii="Arial" w:hAnsi="Arial" w:cs="Arial"/>
          <w:color w:val="181818" w:themeColor="accent6" w:themeShade="1A"/>
          <w:sz w:val="22"/>
        </w:rPr>
        <w:t>r</w:t>
      </w:r>
      <w:r w:rsidR="00606DCD" w:rsidRPr="006063B6">
        <w:rPr>
          <w:rFonts w:ascii="Arial" w:hAnsi="Arial" w:cs="Arial"/>
          <w:color w:val="181818" w:themeColor="accent6" w:themeShade="1A"/>
          <w:sz w:val="22"/>
        </w:rPr>
        <w:t xml:space="preserve"> y esclarec</w:t>
      </w:r>
      <w:r w:rsidR="00421043">
        <w:rPr>
          <w:rFonts w:ascii="Arial" w:hAnsi="Arial" w:cs="Arial"/>
          <w:color w:val="181818" w:themeColor="accent6" w:themeShade="1A"/>
          <w:sz w:val="22"/>
        </w:rPr>
        <w:t>er</w:t>
      </w:r>
      <w:r w:rsidR="00606DCD" w:rsidRPr="006063B6">
        <w:rPr>
          <w:rFonts w:ascii="Arial" w:hAnsi="Arial" w:cs="Arial"/>
          <w:color w:val="181818" w:themeColor="accent6" w:themeShade="1A"/>
          <w:sz w:val="22"/>
        </w:rPr>
        <w:t xml:space="preserve"> ofertas </w:t>
      </w:r>
      <w:r w:rsidR="00421043">
        <w:rPr>
          <w:rFonts w:ascii="Arial" w:hAnsi="Arial" w:cs="Arial"/>
          <w:color w:val="181818" w:themeColor="accent6" w:themeShade="1A"/>
          <w:sz w:val="22"/>
        </w:rPr>
        <w:t xml:space="preserve">aparentemente </w:t>
      </w:r>
      <w:r w:rsidR="00606DCD" w:rsidRPr="006063B6">
        <w:rPr>
          <w:rFonts w:ascii="Arial" w:hAnsi="Arial" w:cs="Arial"/>
          <w:color w:val="181818" w:themeColor="accent6" w:themeShade="1A"/>
          <w:sz w:val="22"/>
        </w:rPr>
        <w:t xml:space="preserve">con precios </w:t>
      </w:r>
      <w:r w:rsidR="00606DCD" w:rsidRPr="006063B6">
        <w:rPr>
          <w:rFonts w:ascii="Arial" w:hAnsi="Arial" w:cs="Arial"/>
          <w:color w:val="181818" w:themeColor="accent6" w:themeShade="1A"/>
          <w:sz w:val="22"/>
        </w:rPr>
        <w:lastRenderedPageBreak/>
        <w:t>artificialmente bajos</w:t>
      </w:r>
      <w:r w:rsidR="00421043">
        <w:rPr>
          <w:rFonts w:ascii="Arial" w:hAnsi="Arial" w:cs="Arial"/>
          <w:color w:val="181818" w:themeColor="accent6" w:themeShade="1A"/>
          <w:sz w:val="22"/>
        </w:rPr>
        <w:t>,</w:t>
      </w:r>
      <w:r w:rsidR="00606DCD" w:rsidRPr="006063B6">
        <w:rPr>
          <w:rFonts w:ascii="Arial" w:hAnsi="Arial" w:cs="Arial"/>
          <w:color w:val="181818" w:themeColor="accent6" w:themeShade="1A"/>
          <w:sz w:val="22"/>
        </w:rPr>
        <w:t xml:space="preserve"> se refiere al artículo 2.2.1.1.1.6.1, que regula el análisis del sector y los </w:t>
      </w:r>
      <w:r w:rsidR="00421043">
        <w:rPr>
          <w:rFonts w:ascii="Arial" w:hAnsi="Arial" w:cs="Arial"/>
          <w:color w:val="181818" w:themeColor="accent6" w:themeShade="1A"/>
          <w:sz w:val="22"/>
        </w:rPr>
        <w:t>aspectos</w:t>
      </w:r>
      <w:r w:rsidR="00421043" w:rsidRPr="006063B6">
        <w:rPr>
          <w:rFonts w:ascii="Arial" w:hAnsi="Arial" w:cs="Arial"/>
          <w:color w:val="181818" w:themeColor="accent6" w:themeShade="1A"/>
          <w:sz w:val="22"/>
        </w:rPr>
        <w:t xml:space="preserve"> </w:t>
      </w:r>
      <w:r w:rsidR="00606DCD" w:rsidRPr="006063B6">
        <w:rPr>
          <w:rFonts w:ascii="Arial" w:hAnsi="Arial" w:cs="Arial"/>
          <w:color w:val="181818" w:themeColor="accent6" w:themeShade="1A"/>
          <w:sz w:val="22"/>
        </w:rPr>
        <w:t>que este abarca, situando a este como el principal insumo para llevar dicho cometido. En desarrollo de esto, la</w:t>
      </w:r>
      <w:r w:rsidR="008D0C07" w:rsidRPr="006063B6">
        <w:rPr>
          <w:rFonts w:ascii="Arial" w:hAnsi="Arial" w:cs="Arial"/>
          <w:color w:val="181818" w:themeColor="accent6" w:themeShade="1A"/>
          <w:sz w:val="22"/>
        </w:rPr>
        <w:t xml:space="preserve"> «Guía para el manejo de ofertas artificialmente bajas en Procesos de Contratación», establece 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Esto pone de presente otra importante finalidad de la información recolectada en el ejercicio de análisis o estudio del sector, </w:t>
      </w:r>
      <w:r w:rsidRPr="006063B6">
        <w:rPr>
          <w:rFonts w:ascii="Arial" w:hAnsi="Arial" w:cs="Arial"/>
          <w:color w:val="181818" w:themeColor="accent6" w:themeShade="1A"/>
          <w:sz w:val="22"/>
        </w:rPr>
        <w:t xml:space="preserve">a </w:t>
      </w:r>
      <w:r w:rsidR="008D0C07" w:rsidRPr="006063B6">
        <w:rPr>
          <w:rFonts w:ascii="Arial" w:hAnsi="Arial" w:cs="Arial"/>
          <w:color w:val="181818" w:themeColor="accent6" w:themeShade="1A"/>
          <w:sz w:val="22"/>
        </w:rPr>
        <w:t xml:space="preserve">la cual no fue ajena la expedición de los </w:t>
      </w:r>
      <w:r w:rsidR="00285104" w:rsidRPr="006063B6">
        <w:rPr>
          <w:rFonts w:ascii="Arial" w:hAnsi="Arial" w:cs="Arial"/>
          <w:color w:val="181818" w:themeColor="accent6" w:themeShade="1A"/>
          <w:sz w:val="22"/>
        </w:rPr>
        <w:t>d</w:t>
      </w:r>
      <w:r w:rsidR="008D0C07" w:rsidRPr="006063B6">
        <w:rPr>
          <w:rFonts w:ascii="Arial" w:hAnsi="Arial" w:cs="Arial"/>
          <w:color w:val="181818" w:themeColor="accent6" w:themeShade="1A"/>
          <w:sz w:val="22"/>
        </w:rPr>
        <w:t xml:space="preserve">ocumentos </w:t>
      </w:r>
      <w:r w:rsidR="00285104" w:rsidRPr="006063B6">
        <w:rPr>
          <w:rFonts w:ascii="Arial" w:hAnsi="Arial" w:cs="Arial"/>
          <w:color w:val="181818" w:themeColor="accent6" w:themeShade="1A"/>
          <w:sz w:val="22"/>
        </w:rPr>
        <w:t>t</w:t>
      </w:r>
      <w:r w:rsidR="008D0C07" w:rsidRPr="006063B6">
        <w:rPr>
          <w:rFonts w:ascii="Arial" w:hAnsi="Arial" w:cs="Arial"/>
          <w:color w:val="181818" w:themeColor="accent6" w:themeShade="1A"/>
          <w:sz w:val="22"/>
        </w:rPr>
        <w:t xml:space="preserve">ipo, los </w:t>
      </w:r>
      <w:r w:rsidR="00606DCD" w:rsidRPr="006063B6">
        <w:rPr>
          <w:rFonts w:ascii="Arial" w:hAnsi="Arial" w:cs="Arial"/>
          <w:color w:val="181818" w:themeColor="accent6" w:themeShade="1A"/>
          <w:sz w:val="22"/>
        </w:rPr>
        <w:t>que</w:t>
      </w:r>
      <w:r w:rsidR="008D0C07" w:rsidRPr="006063B6">
        <w:rPr>
          <w:rFonts w:ascii="Arial" w:hAnsi="Arial" w:cs="Arial"/>
          <w:color w:val="181818" w:themeColor="accent6" w:themeShade="1A"/>
          <w:sz w:val="22"/>
        </w:rPr>
        <w:t xml:space="preserve"> particularmente en el numeral 4.1.3 de los «Documentos Base» para licitación pública y selección abreviada, y</w:t>
      </w:r>
      <w:r w:rsidR="00606DCD" w:rsidRPr="006063B6">
        <w:rPr>
          <w:rFonts w:ascii="Arial" w:hAnsi="Arial" w:cs="Arial"/>
          <w:color w:val="181818" w:themeColor="accent6" w:themeShade="1A"/>
          <w:sz w:val="22"/>
        </w:rPr>
        <w:t xml:space="preserve"> en</w:t>
      </w:r>
      <w:r w:rsidR="008D0C07" w:rsidRPr="006063B6">
        <w:rPr>
          <w:rFonts w:ascii="Arial" w:hAnsi="Arial" w:cs="Arial"/>
          <w:color w:val="181818" w:themeColor="accent6" w:themeShade="1A"/>
          <w:sz w:val="22"/>
        </w:rPr>
        <w:t xml:space="preserve"> e</w:t>
      </w:r>
      <w:r w:rsidRPr="006063B6">
        <w:rPr>
          <w:rFonts w:ascii="Arial" w:hAnsi="Arial" w:cs="Arial"/>
          <w:color w:val="181818" w:themeColor="accent6" w:themeShade="1A"/>
          <w:sz w:val="22"/>
        </w:rPr>
        <w:t>l</w:t>
      </w:r>
      <w:r w:rsidR="008D0C07" w:rsidRPr="006063B6">
        <w:rPr>
          <w:rFonts w:ascii="Arial" w:hAnsi="Arial" w:cs="Arial"/>
          <w:color w:val="181818" w:themeColor="accent6" w:themeShade="1A"/>
          <w:sz w:val="22"/>
        </w:rPr>
        <w:t xml:space="preserve"> numeral 5.1.3 de la «Invitación» para procesos de mínima cuantía, </w:t>
      </w:r>
      <w:r w:rsidRPr="006063B6">
        <w:rPr>
          <w:rFonts w:ascii="Arial" w:hAnsi="Arial" w:cs="Arial"/>
          <w:color w:val="181818" w:themeColor="accent6" w:themeShade="1A"/>
          <w:sz w:val="22"/>
        </w:rPr>
        <w:t xml:space="preserve">hacen expresa referencia a la información del estudio del sector como el más importante insumo para determinar si una oferta es artificialmente baja y dar aplicación al artículo </w:t>
      </w:r>
      <w:r w:rsidRPr="006063B6">
        <w:rPr>
          <w:rFonts w:ascii="Arial" w:eastAsia="Yu Mincho" w:hAnsi="Arial" w:cs="Arial"/>
          <w:color w:val="181818" w:themeColor="accent6" w:themeShade="1A"/>
          <w:sz w:val="22"/>
          <w:lang w:eastAsia="es-ES"/>
        </w:rPr>
        <w:t>2.2.1.1.2.2.4. del Decreto 1082 de 2015</w:t>
      </w:r>
      <w:r w:rsidR="00606DCD" w:rsidRPr="006063B6">
        <w:rPr>
          <w:rFonts w:ascii="Arial" w:eastAsia="Yu Mincho" w:hAnsi="Arial" w:cs="Arial"/>
          <w:color w:val="181818" w:themeColor="accent6" w:themeShade="1A"/>
          <w:sz w:val="22"/>
          <w:lang w:eastAsia="es-ES"/>
        </w:rPr>
        <w:t>.</w:t>
      </w:r>
    </w:p>
    <w:p w14:paraId="5D585B51" w14:textId="5DBEDA01" w:rsidR="00606DCD" w:rsidRPr="006063B6" w:rsidRDefault="00A75FE5" w:rsidP="00606DCD">
      <w:pPr>
        <w:spacing w:before="120" w:after="120" w:line="276" w:lineRule="auto"/>
        <w:ind w:firstLine="708"/>
        <w:jc w:val="both"/>
        <w:rPr>
          <w:rFonts w:ascii="Arial" w:hAnsi="Arial" w:cs="Arial"/>
          <w:color w:val="181818" w:themeColor="accent6" w:themeShade="1A"/>
          <w:sz w:val="22"/>
        </w:rPr>
      </w:pPr>
      <w:r w:rsidRPr="006063B6">
        <w:rPr>
          <w:rFonts w:ascii="Arial" w:hAnsi="Arial" w:cs="Arial"/>
          <w:color w:val="181818" w:themeColor="accent6" w:themeShade="1A"/>
          <w:sz w:val="22"/>
          <w:lang w:val="es-CO"/>
        </w:rPr>
        <w:t xml:space="preserve">Otras referencias al estudio del sector en los </w:t>
      </w:r>
      <w:r w:rsidR="00285104" w:rsidRPr="006063B6">
        <w:rPr>
          <w:rFonts w:ascii="Arial" w:hAnsi="Arial" w:cs="Arial"/>
          <w:color w:val="181818" w:themeColor="accent6" w:themeShade="1A"/>
          <w:sz w:val="22"/>
          <w:lang w:val="es-CO"/>
        </w:rPr>
        <w:t>d</w:t>
      </w:r>
      <w:r w:rsidRPr="006063B6">
        <w:rPr>
          <w:rFonts w:ascii="Arial" w:hAnsi="Arial" w:cs="Arial"/>
          <w:color w:val="181818" w:themeColor="accent6" w:themeShade="1A"/>
          <w:sz w:val="22"/>
          <w:lang w:val="es-CO"/>
        </w:rPr>
        <w:t xml:space="preserve">ocumentos </w:t>
      </w:r>
      <w:r w:rsidR="00285104" w:rsidRPr="006063B6">
        <w:rPr>
          <w:rFonts w:ascii="Arial" w:hAnsi="Arial" w:cs="Arial"/>
          <w:color w:val="181818" w:themeColor="accent6" w:themeShade="1A"/>
          <w:sz w:val="22"/>
          <w:lang w:val="es-CO"/>
        </w:rPr>
        <w:t>t</w:t>
      </w:r>
      <w:r w:rsidRPr="006063B6">
        <w:rPr>
          <w:rFonts w:ascii="Arial" w:hAnsi="Arial" w:cs="Arial"/>
          <w:color w:val="181818" w:themeColor="accent6" w:themeShade="1A"/>
          <w:sz w:val="22"/>
          <w:lang w:val="es-CO"/>
        </w:rPr>
        <w:t>ipo, las encontramos en</w:t>
      </w:r>
      <w:r w:rsidR="00C80762" w:rsidRPr="006063B6">
        <w:rPr>
          <w:rFonts w:ascii="Arial" w:hAnsi="Arial" w:cs="Arial"/>
          <w:color w:val="181818" w:themeColor="accent6" w:themeShade="1A"/>
          <w:sz w:val="22"/>
          <w:lang w:val="es-CO"/>
        </w:rPr>
        <w:t xml:space="preserve"> </w:t>
      </w:r>
      <w:r w:rsidRPr="006063B6">
        <w:rPr>
          <w:rFonts w:ascii="Arial" w:hAnsi="Arial" w:cs="Arial"/>
          <w:color w:val="181818" w:themeColor="accent6" w:themeShade="1A"/>
          <w:sz w:val="22"/>
          <w:lang w:val="es-CO"/>
        </w:rPr>
        <w:t xml:space="preserve">el numeral 4.2 de los </w:t>
      </w:r>
      <w:r w:rsidR="00C80762" w:rsidRPr="006063B6">
        <w:rPr>
          <w:rFonts w:ascii="Arial" w:hAnsi="Arial" w:cs="Arial"/>
          <w:color w:val="181818" w:themeColor="accent6" w:themeShade="1A"/>
          <w:sz w:val="22"/>
          <w:lang w:val="es-CO"/>
        </w:rPr>
        <w:t>«</w:t>
      </w:r>
      <w:r w:rsidRPr="006063B6">
        <w:rPr>
          <w:rFonts w:ascii="Arial" w:hAnsi="Arial" w:cs="Arial"/>
          <w:color w:val="181818" w:themeColor="accent6" w:themeShade="1A"/>
          <w:sz w:val="22"/>
          <w:lang w:val="es-CO"/>
        </w:rPr>
        <w:t>Documentos Base</w:t>
      </w:r>
      <w:r w:rsidR="00C80762" w:rsidRPr="006063B6">
        <w:rPr>
          <w:rFonts w:ascii="Arial" w:hAnsi="Arial" w:cs="Arial"/>
          <w:color w:val="181818" w:themeColor="accent6" w:themeShade="1A"/>
          <w:sz w:val="22"/>
          <w:lang w:val="es-CO"/>
        </w:rPr>
        <w:t>»</w:t>
      </w:r>
      <w:r w:rsidRPr="006063B6">
        <w:rPr>
          <w:rFonts w:ascii="Arial" w:hAnsi="Arial" w:cs="Arial"/>
          <w:color w:val="181818" w:themeColor="accent6" w:themeShade="1A"/>
          <w:sz w:val="22"/>
          <w:lang w:val="es-CO"/>
        </w:rPr>
        <w:t xml:space="preserve"> para licitación pública </w:t>
      </w:r>
      <w:r w:rsidR="00C80762" w:rsidRPr="006063B6">
        <w:rPr>
          <w:rFonts w:ascii="Arial" w:hAnsi="Arial" w:cs="Arial"/>
          <w:color w:val="181818" w:themeColor="accent6" w:themeShade="1A"/>
          <w:sz w:val="22"/>
          <w:lang w:val="es-CO"/>
        </w:rPr>
        <w:t>y</w:t>
      </w:r>
      <w:r w:rsidRPr="006063B6">
        <w:rPr>
          <w:rFonts w:ascii="Arial" w:hAnsi="Arial" w:cs="Arial"/>
          <w:color w:val="181818" w:themeColor="accent6" w:themeShade="1A"/>
          <w:sz w:val="22"/>
          <w:lang w:val="es-CO"/>
        </w:rPr>
        <w:t xml:space="preserve"> selección abreviada</w:t>
      </w:r>
      <w:r w:rsidR="00C80762" w:rsidRPr="006063B6">
        <w:rPr>
          <w:rFonts w:ascii="Arial" w:hAnsi="Arial" w:cs="Arial"/>
          <w:color w:val="181818" w:themeColor="accent6" w:themeShade="1A"/>
          <w:sz w:val="22"/>
          <w:lang w:val="es-CO"/>
        </w:rPr>
        <w:t xml:space="preserve"> de menor cuantía, en donde se hace referencia a la información del estudio del sector como sustento </w:t>
      </w:r>
      <w:r w:rsidR="00421043">
        <w:rPr>
          <w:rFonts w:ascii="Arial" w:hAnsi="Arial" w:cs="Arial"/>
          <w:color w:val="181818" w:themeColor="accent6" w:themeShade="1A"/>
          <w:sz w:val="22"/>
          <w:lang w:val="es-CO"/>
        </w:rPr>
        <w:t>para escoger los</w:t>
      </w:r>
      <w:r w:rsidR="00C80762" w:rsidRPr="006063B6">
        <w:rPr>
          <w:rFonts w:ascii="Arial" w:hAnsi="Arial" w:cs="Arial"/>
          <w:color w:val="181818" w:themeColor="accent6" w:themeShade="1A"/>
          <w:sz w:val="22"/>
          <w:lang w:val="es-CO"/>
        </w:rPr>
        <w:t xml:space="preserve"> criterios que darán lugar a otorgar el puntaje del factor de calidad que procede en est</w:t>
      </w:r>
      <w:r w:rsidR="00671919" w:rsidRPr="006063B6">
        <w:rPr>
          <w:rFonts w:ascii="Arial" w:hAnsi="Arial" w:cs="Arial"/>
          <w:color w:val="181818" w:themeColor="accent6" w:themeShade="1A"/>
          <w:sz w:val="22"/>
          <w:lang w:val="es-CO"/>
        </w:rPr>
        <w:t xml:space="preserve">as modalidades </w:t>
      </w:r>
      <w:r w:rsidR="00C80762" w:rsidRPr="006063B6">
        <w:rPr>
          <w:rFonts w:ascii="Arial" w:hAnsi="Arial" w:cs="Arial"/>
          <w:color w:val="181818" w:themeColor="accent6" w:themeShade="1A"/>
          <w:sz w:val="22"/>
          <w:lang w:val="es-CO"/>
        </w:rPr>
        <w:t xml:space="preserve">de selección. </w:t>
      </w:r>
      <w:r w:rsidR="00671919" w:rsidRPr="006063B6">
        <w:rPr>
          <w:rFonts w:ascii="Arial" w:hAnsi="Arial" w:cs="Arial"/>
          <w:color w:val="181818" w:themeColor="accent6" w:themeShade="1A"/>
          <w:sz w:val="22"/>
          <w:lang w:val="es-CO"/>
        </w:rPr>
        <w:t>Asimismo,</w:t>
      </w:r>
      <w:r w:rsidR="00C80762" w:rsidRPr="006063B6">
        <w:rPr>
          <w:rFonts w:ascii="Arial" w:hAnsi="Arial" w:cs="Arial"/>
          <w:color w:val="181818" w:themeColor="accent6" w:themeShade="1A"/>
          <w:sz w:val="22"/>
          <w:lang w:val="es-CO"/>
        </w:rPr>
        <w:t xml:space="preserve"> estos documentos en el numeral 3.5, al igual que la «Invitación» para procesos de mínima cuantía</w:t>
      </w:r>
      <w:r w:rsidR="00B207A6">
        <w:rPr>
          <w:rFonts w:ascii="Arial" w:hAnsi="Arial" w:cs="Arial"/>
          <w:color w:val="181818" w:themeColor="accent6" w:themeShade="1A"/>
          <w:sz w:val="22"/>
          <w:lang w:val="es-CO"/>
        </w:rPr>
        <w:t>,</w:t>
      </w:r>
      <w:r w:rsidR="00C80762" w:rsidRPr="006063B6">
        <w:rPr>
          <w:rFonts w:ascii="Arial" w:hAnsi="Arial" w:cs="Arial"/>
          <w:color w:val="181818" w:themeColor="accent6" w:themeShade="1A"/>
          <w:sz w:val="22"/>
          <w:lang w:val="es-CO"/>
        </w:rPr>
        <w:t xml:space="preserve"> en el numeral 4.5, se refieren al estudio del sector como una herramienta que sirve </w:t>
      </w:r>
      <w:r w:rsidR="00B207A6">
        <w:rPr>
          <w:rFonts w:ascii="Arial" w:hAnsi="Arial" w:cs="Arial"/>
          <w:color w:val="181818" w:themeColor="accent6" w:themeShade="1A"/>
          <w:sz w:val="22"/>
          <w:lang w:val="es-CO"/>
        </w:rPr>
        <w:t>para</w:t>
      </w:r>
      <w:r w:rsidR="00C80762" w:rsidRPr="006063B6">
        <w:rPr>
          <w:rFonts w:ascii="Arial" w:hAnsi="Arial" w:cs="Arial"/>
          <w:color w:val="181818" w:themeColor="accent6" w:themeShade="1A"/>
          <w:sz w:val="22"/>
          <w:lang w:val="es-CO"/>
        </w:rPr>
        <w:t xml:space="preserve"> determinar la necesidad de que en</w:t>
      </w:r>
      <w:r w:rsidR="00671919" w:rsidRPr="006063B6">
        <w:rPr>
          <w:rFonts w:ascii="Arial" w:hAnsi="Arial" w:cs="Arial"/>
          <w:color w:val="181818" w:themeColor="accent6" w:themeShade="1A"/>
          <w:sz w:val="22"/>
          <w:lang w:val="es-CO"/>
        </w:rPr>
        <w:t xml:space="preserve"> un</w:t>
      </w:r>
      <w:r w:rsidR="00C80762" w:rsidRPr="006063B6">
        <w:rPr>
          <w:rFonts w:ascii="Arial" w:hAnsi="Arial" w:cs="Arial"/>
          <w:color w:val="181818" w:themeColor="accent6" w:themeShade="1A"/>
          <w:sz w:val="22"/>
          <w:lang w:val="es-CO"/>
        </w:rPr>
        <w:t xml:space="preserve"> proceso de selección se haga una excepción a la regla general que solo permite a los proponentes acreditar la experiencia que han adquirido por cuenta propia y </w:t>
      </w:r>
      <w:r w:rsidR="00671919" w:rsidRPr="006063B6">
        <w:rPr>
          <w:rFonts w:ascii="Arial" w:hAnsi="Arial" w:cs="Arial"/>
          <w:color w:val="181818" w:themeColor="accent6" w:themeShade="1A"/>
          <w:sz w:val="22"/>
          <w:lang w:val="es-CO"/>
        </w:rPr>
        <w:t>no la de</w:t>
      </w:r>
      <w:r w:rsidR="00C80762" w:rsidRPr="006063B6">
        <w:rPr>
          <w:rFonts w:ascii="Arial" w:hAnsi="Arial" w:cs="Arial"/>
          <w:color w:val="181818" w:themeColor="accent6" w:themeShade="1A"/>
          <w:sz w:val="22"/>
          <w:lang w:val="es-CO"/>
        </w:rPr>
        <w:t xml:space="preserve"> su matriz, subsidiarias o integrantes del mismo grupo empresarial</w:t>
      </w:r>
      <w:r w:rsidR="00671919" w:rsidRPr="006063B6">
        <w:rPr>
          <w:rStyle w:val="Refdenotaalpie"/>
          <w:rFonts w:ascii="Arial" w:hAnsi="Arial" w:cs="Arial"/>
          <w:color w:val="181818" w:themeColor="accent6" w:themeShade="1A"/>
          <w:sz w:val="22"/>
          <w:lang w:val="es-CO"/>
        </w:rPr>
        <w:footnoteReference w:id="9"/>
      </w:r>
      <w:r w:rsidR="00671919" w:rsidRPr="006063B6">
        <w:rPr>
          <w:rFonts w:ascii="Arial" w:hAnsi="Arial" w:cs="Arial"/>
          <w:color w:val="181818" w:themeColor="accent6" w:themeShade="1A"/>
          <w:sz w:val="22"/>
          <w:lang w:val="es-CO"/>
        </w:rPr>
        <w:t xml:space="preserve">. Por su parte, el documento de «Invitación» para procesos de mínima cuantía dispone en su numeral 2.8 que «la entidad debe justificar la inclusión o exclusión de anticipos basada en el estudio del sector y otros estudios que realice», estableciendo además al iniciar el capítulo VIII que la posibilidad de exigir garantías en estos procesos debe </w:t>
      </w:r>
      <w:r w:rsidR="00B207A6">
        <w:rPr>
          <w:rFonts w:ascii="Arial" w:hAnsi="Arial" w:cs="Arial"/>
          <w:color w:val="181818" w:themeColor="accent6" w:themeShade="1A"/>
          <w:sz w:val="22"/>
          <w:lang w:val="es-CO"/>
        </w:rPr>
        <w:t xml:space="preserve">sustentarse en </w:t>
      </w:r>
      <w:r w:rsidR="00671919" w:rsidRPr="006063B6">
        <w:rPr>
          <w:rFonts w:ascii="Arial" w:hAnsi="Arial" w:cs="Arial"/>
          <w:color w:val="181818" w:themeColor="accent6" w:themeShade="1A"/>
          <w:sz w:val="22"/>
          <w:lang w:val="es-CO"/>
        </w:rPr>
        <w:t>el «análisis de los riesgos del proceso y del sector económico».</w:t>
      </w:r>
    </w:p>
    <w:p w14:paraId="15663A28" w14:textId="0D174BD4" w:rsidR="00C80762" w:rsidRPr="006063B6" w:rsidRDefault="00671919" w:rsidP="00606DCD">
      <w:pPr>
        <w:spacing w:before="120" w:after="120" w:line="276" w:lineRule="auto"/>
        <w:ind w:firstLine="708"/>
        <w:jc w:val="both"/>
        <w:rPr>
          <w:rFonts w:ascii="Arial" w:hAnsi="Arial" w:cs="Arial"/>
          <w:color w:val="181818" w:themeColor="accent6" w:themeShade="1A"/>
          <w:sz w:val="22"/>
          <w:lang w:val="es-CO"/>
        </w:rPr>
      </w:pPr>
      <w:r w:rsidRPr="006063B6">
        <w:rPr>
          <w:rFonts w:ascii="Arial" w:hAnsi="Arial" w:cs="Arial"/>
          <w:color w:val="181818" w:themeColor="accent6" w:themeShade="1A"/>
          <w:sz w:val="22"/>
          <w:lang w:val="es-CO"/>
        </w:rPr>
        <w:t xml:space="preserve">Lo </w:t>
      </w:r>
      <w:r w:rsidR="00B207A6" w:rsidRPr="006063B6">
        <w:rPr>
          <w:rFonts w:ascii="Arial" w:hAnsi="Arial" w:cs="Arial"/>
          <w:color w:val="181818" w:themeColor="accent6" w:themeShade="1A"/>
          <w:sz w:val="22"/>
          <w:lang w:val="es-CO"/>
        </w:rPr>
        <w:t xml:space="preserve">dicho </w:t>
      </w:r>
      <w:r w:rsidRPr="006063B6">
        <w:rPr>
          <w:rFonts w:ascii="Arial" w:hAnsi="Arial" w:cs="Arial"/>
          <w:color w:val="181818" w:themeColor="accent6" w:themeShade="1A"/>
          <w:sz w:val="22"/>
          <w:lang w:val="es-CO"/>
        </w:rPr>
        <w:t xml:space="preserve">hasta aquí ilustra la importancia del análisis o estudio del sector para el desarrollo de los procesos de contratación, </w:t>
      </w:r>
      <w:r w:rsidR="00550AA0" w:rsidRPr="006063B6">
        <w:rPr>
          <w:rFonts w:ascii="Arial" w:hAnsi="Arial" w:cs="Arial"/>
          <w:color w:val="181818" w:themeColor="accent6" w:themeShade="1A"/>
          <w:sz w:val="22"/>
          <w:lang w:val="es-CO"/>
        </w:rPr>
        <w:t xml:space="preserve">como un deber de las entidades en el marco de la planeación de su gestión contractual, cuyo ejercicio </w:t>
      </w:r>
      <w:r w:rsidR="00B207A6">
        <w:rPr>
          <w:rFonts w:ascii="Arial" w:hAnsi="Arial" w:cs="Arial"/>
          <w:color w:val="181818" w:themeColor="accent6" w:themeShade="1A"/>
          <w:sz w:val="22"/>
          <w:lang w:val="es-CO"/>
        </w:rPr>
        <w:t>les permite</w:t>
      </w:r>
      <w:r w:rsidR="00550AA0" w:rsidRPr="006063B6">
        <w:rPr>
          <w:rFonts w:ascii="Arial" w:hAnsi="Arial" w:cs="Arial"/>
          <w:color w:val="181818" w:themeColor="accent6" w:themeShade="1A"/>
          <w:sz w:val="22"/>
          <w:lang w:val="es-CO"/>
        </w:rPr>
        <w:t xml:space="preserve"> </w:t>
      </w:r>
      <w:r w:rsidR="00B207A6">
        <w:rPr>
          <w:rFonts w:ascii="Arial" w:hAnsi="Arial" w:cs="Arial"/>
          <w:color w:val="181818" w:themeColor="accent6" w:themeShade="1A"/>
          <w:sz w:val="22"/>
          <w:lang w:val="es-CO"/>
        </w:rPr>
        <w:t>obtener</w:t>
      </w:r>
      <w:r w:rsidR="00550AA0" w:rsidRPr="006063B6">
        <w:rPr>
          <w:rFonts w:ascii="Arial" w:hAnsi="Arial" w:cs="Arial"/>
          <w:color w:val="181818" w:themeColor="accent6" w:themeShade="1A"/>
          <w:sz w:val="22"/>
          <w:lang w:val="es-CO"/>
        </w:rPr>
        <w:t xml:space="preserve"> información </w:t>
      </w:r>
      <w:r w:rsidR="00550AA0" w:rsidRPr="006063B6">
        <w:rPr>
          <w:rFonts w:ascii="Arial" w:hAnsi="Arial" w:cs="Arial"/>
          <w:color w:val="181818" w:themeColor="accent6" w:themeShade="1A"/>
          <w:sz w:val="22"/>
          <w:lang w:val="es-CO"/>
        </w:rPr>
        <w:lastRenderedPageBreak/>
        <w:t>valiosa para configura</w:t>
      </w:r>
      <w:r w:rsidR="00B207A6">
        <w:rPr>
          <w:rFonts w:ascii="Arial" w:hAnsi="Arial" w:cs="Arial"/>
          <w:color w:val="181818" w:themeColor="accent6" w:themeShade="1A"/>
          <w:sz w:val="22"/>
          <w:lang w:val="es-CO"/>
        </w:rPr>
        <w:t>r</w:t>
      </w:r>
      <w:r w:rsidR="00550AA0" w:rsidRPr="006063B6">
        <w:rPr>
          <w:rFonts w:ascii="Arial" w:hAnsi="Arial" w:cs="Arial"/>
          <w:color w:val="181818" w:themeColor="accent6" w:themeShade="1A"/>
          <w:sz w:val="22"/>
          <w:lang w:val="es-CO"/>
        </w:rPr>
        <w:t xml:space="preserve"> las condiciones del </w:t>
      </w:r>
      <w:r w:rsidR="00B207A6">
        <w:rPr>
          <w:rFonts w:ascii="Arial" w:hAnsi="Arial" w:cs="Arial"/>
          <w:color w:val="181818" w:themeColor="accent6" w:themeShade="1A"/>
          <w:sz w:val="22"/>
          <w:lang w:val="es-CO"/>
        </w:rPr>
        <w:t>contrato</w:t>
      </w:r>
      <w:r w:rsidR="00550AA0" w:rsidRPr="006063B6">
        <w:rPr>
          <w:rFonts w:ascii="Arial" w:hAnsi="Arial" w:cs="Arial"/>
          <w:color w:val="181818" w:themeColor="accent6" w:themeShade="1A"/>
          <w:sz w:val="22"/>
          <w:lang w:val="es-CO"/>
        </w:rPr>
        <w:t xml:space="preserve">, así como para </w:t>
      </w:r>
      <w:r w:rsidR="00B207A6">
        <w:rPr>
          <w:rFonts w:ascii="Arial" w:hAnsi="Arial" w:cs="Arial"/>
          <w:color w:val="181818" w:themeColor="accent6" w:themeShade="1A"/>
          <w:sz w:val="22"/>
          <w:lang w:val="es-CO"/>
        </w:rPr>
        <w:t>e</w:t>
      </w:r>
      <w:r w:rsidR="00550AA0" w:rsidRPr="006063B6">
        <w:rPr>
          <w:rFonts w:ascii="Arial" w:hAnsi="Arial" w:cs="Arial"/>
          <w:color w:val="181818" w:themeColor="accent6" w:themeShade="1A"/>
          <w:sz w:val="22"/>
          <w:lang w:val="es-CO"/>
        </w:rPr>
        <w:t>l desarrollo de</w:t>
      </w:r>
      <w:r w:rsidR="00B207A6">
        <w:rPr>
          <w:rFonts w:ascii="Arial" w:hAnsi="Arial" w:cs="Arial"/>
          <w:color w:val="181818" w:themeColor="accent6" w:themeShade="1A"/>
          <w:sz w:val="22"/>
          <w:lang w:val="es-CO"/>
        </w:rPr>
        <w:t xml:space="preserve"> </w:t>
      </w:r>
      <w:r w:rsidR="00550AA0" w:rsidRPr="006063B6">
        <w:rPr>
          <w:rFonts w:ascii="Arial" w:hAnsi="Arial" w:cs="Arial"/>
          <w:color w:val="181818" w:themeColor="accent6" w:themeShade="1A"/>
          <w:sz w:val="22"/>
          <w:lang w:val="es-CO"/>
        </w:rPr>
        <w:t>l</w:t>
      </w:r>
      <w:r w:rsidR="00B207A6">
        <w:rPr>
          <w:rFonts w:ascii="Arial" w:hAnsi="Arial" w:cs="Arial"/>
          <w:color w:val="181818" w:themeColor="accent6" w:themeShade="1A"/>
          <w:sz w:val="22"/>
          <w:lang w:val="es-CO"/>
        </w:rPr>
        <w:t>a</w:t>
      </w:r>
      <w:r w:rsidR="00550AA0" w:rsidRPr="006063B6">
        <w:rPr>
          <w:rFonts w:ascii="Arial" w:hAnsi="Arial" w:cs="Arial"/>
          <w:color w:val="181818" w:themeColor="accent6" w:themeShade="1A"/>
          <w:sz w:val="22"/>
          <w:lang w:val="es-CO"/>
        </w:rPr>
        <w:t xml:space="preserve"> etapa precontractual, lo cual supone aborda</w:t>
      </w:r>
      <w:r w:rsidR="00B207A6">
        <w:rPr>
          <w:rFonts w:ascii="Arial" w:hAnsi="Arial" w:cs="Arial"/>
          <w:color w:val="181818" w:themeColor="accent6" w:themeShade="1A"/>
          <w:sz w:val="22"/>
          <w:lang w:val="es-CO"/>
        </w:rPr>
        <w:t>r</w:t>
      </w:r>
      <w:r w:rsidR="00550AA0" w:rsidRPr="006063B6">
        <w:rPr>
          <w:rFonts w:ascii="Arial" w:hAnsi="Arial" w:cs="Arial"/>
          <w:color w:val="181818" w:themeColor="accent6" w:themeShade="1A"/>
          <w:sz w:val="22"/>
          <w:lang w:val="es-CO"/>
        </w:rPr>
        <w:t xml:space="preserve"> los </w:t>
      </w:r>
      <w:r w:rsidR="00B207A6">
        <w:rPr>
          <w:rFonts w:ascii="Arial" w:hAnsi="Arial" w:cs="Arial"/>
          <w:color w:val="181818" w:themeColor="accent6" w:themeShade="1A"/>
          <w:sz w:val="22"/>
          <w:lang w:val="es-CO"/>
        </w:rPr>
        <w:t>aspectos</w:t>
      </w:r>
      <w:r w:rsidR="00550AA0" w:rsidRPr="006063B6">
        <w:rPr>
          <w:rFonts w:ascii="Arial" w:hAnsi="Arial" w:cs="Arial"/>
          <w:color w:val="181818" w:themeColor="accent6" w:themeShade="1A"/>
          <w:sz w:val="22"/>
          <w:lang w:val="es-CO"/>
        </w:rPr>
        <w:t xml:space="preserve"> legal, comercial, financiero, organizacional, técnico y de riesgos del sector </w:t>
      </w:r>
      <w:r w:rsidR="00B207A6">
        <w:rPr>
          <w:rFonts w:ascii="Arial" w:hAnsi="Arial" w:cs="Arial"/>
          <w:color w:val="181818" w:themeColor="accent6" w:themeShade="1A"/>
          <w:sz w:val="22"/>
          <w:lang w:val="es-CO"/>
        </w:rPr>
        <w:t>asociados al proceso de</w:t>
      </w:r>
      <w:r w:rsidR="00550AA0" w:rsidRPr="006063B6">
        <w:rPr>
          <w:rFonts w:ascii="Arial" w:hAnsi="Arial" w:cs="Arial"/>
          <w:color w:val="181818" w:themeColor="accent6" w:themeShade="1A"/>
          <w:sz w:val="22"/>
          <w:lang w:val="es-CO"/>
        </w:rPr>
        <w:t xml:space="preserve"> contratación, </w:t>
      </w:r>
      <w:r w:rsidR="00B207A6">
        <w:rPr>
          <w:rFonts w:ascii="Arial" w:hAnsi="Arial" w:cs="Arial"/>
          <w:color w:val="181818" w:themeColor="accent6" w:themeShade="1A"/>
          <w:sz w:val="22"/>
          <w:lang w:val="es-CO"/>
        </w:rPr>
        <w:t>lo que va más allá de una</w:t>
      </w:r>
      <w:r w:rsidR="00550AA0" w:rsidRPr="006063B6">
        <w:rPr>
          <w:rFonts w:ascii="Arial" w:hAnsi="Arial" w:cs="Arial"/>
          <w:color w:val="181818" w:themeColor="accent6" w:themeShade="1A"/>
          <w:sz w:val="22"/>
          <w:lang w:val="es-CO"/>
        </w:rPr>
        <w:t xml:space="preserve"> labor dirigida </w:t>
      </w:r>
      <w:r w:rsidR="00B207A6">
        <w:rPr>
          <w:rFonts w:ascii="Arial" w:hAnsi="Arial" w:cs="Arial"/>
          <w:color w:val="181818" w:themeColor="accent6" w:themeShade="1A"/>
          <w:sz w:val="22"/>
          <w:lang w:val="es-CO"/>
        </w:rPr>
        <w:t xml:space="preserve">exclusivamente a </w:t>
      </w:r>
      <w:r w:rsidR="00550AA0" w:rsidRPr="006063B6">
        <w:rPr>
          <w:rFonts w:ascii="Arial" w:hAnsi="Arial" w:cs="Arial"/>
          <w:color w:val="181818" w:themeColor="accent6" w:themeShade="1A"/>
          <w:sz w:val="22"/>
          <w:lang w:val="es-CO"/>
        </w:rPr>
        <w:t>determina</w:t>
      </w:r>
      <w:r w:rsidR="00B207A6">
        <w:rPr>
          <w:rFonts w:ascii="Arial" w:hAnsi="Arial" w:cs="Arial"/>
          <w:color w:val="181818" w:themeColor="accent6" w:themeShade="1A"/>
          <w:sz w:val="22"/>
          <w:lang w:val="es-CO"/>
        </w:rPr>
        <w:t>r</w:t>
      </w:r>
      <w:r w:rsidR="00550AA0" w:rsidRPr="006063B6">
        <w:rPr>
          <w:rFonts w:ascii="Arial" w:hAnsi="Arial" w:cs="Arial"/>
          <w:color w:val="181818" w:themeColor="accent6" w:themeShade="1A"/>
          <w:sz w:val="22"/>
          <w:lang w:val="es-CO"/>
        </w:rPr>
        <w:t xml:space="preserve"> los requisitos habilitantes e índices financieros aplicables a cada proceso.</w:t>
      </w:r>
    </w:p>
    <w:p w14:paraId="1E33A90A" w14:textId="033EA8C2" w:rsidR="00550AA0" w:rsidRPr="006063B6" w:rsidRDefault="006C054A" w:rsidP="00606DCD">
      <w:pPr>
        <w:spacing w:before="120" w:after="120" w:line="276" w:lineRule="auto"/>
        <w:ind w:firstLine="708"/>
        <w:jc w:val="both"/>
        <w:rPr>
          <w:rFonts w:ascii="Arial" w:hAnsi="Arial" w:cs="Arial"/>
          <w:color w:val="181818" w:themeColor="accent6" w:themeShade="1A"/>
          <w:sz w:val="22"/>
        </w:rPr>
      </w:pPr>
      <w:r w:rsidRPr="006063B6">
        <w:rPr>
          <w:rFonts w:ascii="Arial" w:hAnsi="Arial" w:cs="Arial"/>
          <w:color w:val="181818" w:themeColor="accent6" w:themeShade="1A"/>
          <w:sz w:val="22"/>
          <w:lang w:val="es-CO"/>
        </w:rPr>
        <w:t>En conclusión,</w:t>
      </w:r>
      <w:r w:rsidR="00550AA0" w:rsidRPr="006063B6">
        <w:rPr>
          <w:rFonts w:ascii="Arial" w:hAnsi="Arial" w:cs="Arial"/>
          <w:color w:val="181818" w:themeColor="accent6" w:themeShade="1A"/>
          <w:sz w:val="22"/>
          <w:lang w:val="es-CO"/>
        </w:rPr>
        <w:t xml:space="preserve"> </w:t>
      </w:r>
      <w:r w:rsidR="001A1EA7">
        <w:rPr>
          <w:rFonts w:ascii="Arial" w:hAnsi="Arial" w:cs="Arial"/>
          <w:color w:val="181818" w:themeColor="accent6" w:themeShade="1A"/>
          <w:sz w:val="22"/>
          <w:lang w:val="es-CO"/>
        </w:rPr>
        <w:t xml:space="preserve">el </w:t>
      </w:r>
      <w:r w:rsidR="00550AA0" w:rsidRPr="006063B6">
        <w:rPr>
          <w:rFonts w:ascii="Arial" w:hAnsi="Arial" w:cs="Arial"/>
          <w:color w:val="181818" w:themeColor="accent6" w:themeShade="1A"/>
          <w:sz w:val="22"/>
          <w:lang w:val="es-CO"/>
        </w:rPr>
        <w:t>análisis del sector debe ser visto desde una perspectiva funcional, como una labor enfocada a situar la adquisición de bienes y servicios por parte de entidades estatales</w:t>
      </w:r>
      <w:r w:rsidRPr="006063B6">
        <w:rPr>
          <w:rFonts w:ascii="Arial" w:hAnsi="Arial" w:cs="Arial"/>
          <w:color w:val="181818" w:themeColor="accent6" w:themeShade="1A"/>
          <w:sz w:val="22"/>
          <w:lang w:val="es-CO"/>
        </w:rPr>
        <w:t xml:space="preserve"> dentro de las condiciones del mercado del sector en el que serán adquiridos, l</w:t>
      </w:r>
      <w:r w:rsidR="001A1EA7">
        <w:rPr>
          <w:rFonts w:ascii="Arial" w:hAnsi="Arial" w:cs="Arial"/>
          <w:color w:val="181818" w:themeColor="accent6" w:themeShade="1A"/>
          <w:sz w:val="22"/>
          <w:lang w:val="es-CO"/>
        </w:rPr>
        <w:t>o</w:t>
      </w:r>
      <w:r w:rsidRPr="006063B6">
        <w:rPr>
          <w:rFonts w:ascii="Arial" w:hAnsi="Arial" w:cs="Arial"/>
          <w:color w:val="181818" w:themeColor="accent6" w:themeShade="1A"/>
          <w:sz w:val="22"/>
          <w:lang w:val="es-CO"/>
        </w:rPr>
        <w:t xml:space="preserve"> </w:t>
      </w:r>
      <w:r w:rsidR="001A1EA7">
        <w:rPr>
          <w:rFonts w:ascii="Arial" w:hAnsi="Arial" w:cs="Arial"/>
          <w:color w:val="181818" w:themeColor="accent6" w:themeShade="1A"/>
          <w:sz w:val="22"/>
          <w:lang w:val="es-CO"/>
        </w:rPr>
        <w:t>que</w:t>
      </w:r>
      <w:r w:rsidRPr="006063B6">
        <w:rPr>
          <w:rFonts w:ascii="Arial" w:hAnsi="Arial" w:cs="Arial"/>
          <w:color w:val="181818" w:themeColor="accent6" w:themeShade="1A"/>
          <w:sz w:val="22"/>
          <w:lang w:val="es-CO"/>
        </w:rPr>
        <w:t xml:space="preserve"> constituye una aplicación de los principios de planeación y economía. Dicha labor debe evidenciarse de manera palpable en los </w:t>
      </w:r>
      <w:r w:rsidRPr="006063B6">
        <w:rPr>
          <w:rFonts w:ascii="Arial" w:hAnsi="Arial" w:cs="Arial"/>
          <w:i/>
          <w:iCs/>
          <w:color w:val="181818" w:themeColor="accent6" w:themeShade="1A"/>
          <w:sz w:val="22"/>
          <w:lang w:val="es-CO"/>
        </w:rPr>
        <w:t>Documentos del Proceso</w:t>
      </w:r>
      <w:r w:rsidRPr="006063B6">
        <w:rPr>
          <w:rFonts w:ascii="Arial" w:hAnsi="Arial" w:cs="Arial"/>
          <w:color w:val="181818" w:themeColor="accent6" w:themeShade="1A"/>
          <w:sz w:val="22"/>
          <w:lang w:val="es-CO"/>
        </w:rPr>
        <w:t xml:space="preserve">, ya sea dentro de los estudios previos, como documento autónomo o dentro de alguno de los soportes del proceso de contratación, abarcando los campos legal, comercial, financiero, organizacional, técnico y de riesgos, de conformidad con el artículo </w:t>
      </w:r>
      <w:r w:rsidRPr="006063B6">
        <w:rPr>
          <w:rFonts w:ascii="Arial" w:hAnsi="Arial" w:cs="Arial"/>
          <w:color w:val="181818" w:themeColor="accent6" w:themeShade="1A"/>
          <w:sz w:val="22"/>
        </w:rPr>
        <w:t>2.2.1.1.1.6.1 del Decreto 1082 del 2015.</w:t>
      </w:r>
    </w:p>
    <w:p w14:paraId="5B13C05C" w14:textId="545709FC" w:rsidR="001E7EFF" w:rsidRPr="006063B6" w:rsidRDefault="00FE1A68" w:rsidP="009220A5">
      <w:pPr>
        <w:spacing w:before="120" w:after="120" w:line="276" w:lineRule="auto"/>
        <w:ind w:firstLine="708"/>
        <w:jc w:val="both"/>
        <w:rPr>
          <w:rFonts w:ascii="Arial" w:hAnsi="Arial" w:cs="Arial"/>
          <w:bCs/>
          <w:color w:val="181818" w:themeColor="accent6" w:themeShade="1A"/>
          <w:sz w:val="22"/>
          <w:lang w:val="es-ES_tradnl"/>
        </w:rPr>
      </w:pPr>
      <w:r w:rsidRPr="006063B6">
        <w:rPr>
          <w:rFonts w:ascii="Arial" w:hAnsi="Arial" w:cs="Arial"/>
          <w:color w:val="181818" w:themeColor="accent6" w:themeShade="1A"/>
          <w:sz w:val="22"/>
        </w:rPr>
        <w:t>En ese orden</w:t>
      </w:r>
      <w:r w:rsidR="001E7EFF" w:rsidRPr="006063B6">
        <w:rPr>
          <w:rFonts w:ascii="Arial" w:hAnsi="Arial" w:cs="Arial"/>
          <w:color w:val="181818" w:themeColor="accent6" w:themeShade="1A"/>
          <w:sz w:val="22"/>
        </w:rPr>
        <w:t>,</w:t>
      </w:r>
      <w:r w:rsidRPr="006063B6">
        <w:rPr>
          <w:rFonts w:ascii="Arial" w:hAnsi="Arial" w:cs="Arial"/>
          <w:color w:val="181818" w:themeColor="accent6" w:themeShade="1A"/>
          <w:sz w:val="22"/>
        </w:rPr>
        <w:t xml:space="preserve"> el análisis del sector </w:t>
      </w:r>
      <w:r w:rsidR="001E7EFF" w:rsidRPr="006063B6">
        <w:rPr>
          <w:rFonts w:ascii="Arial" w:hAnsi="Arial" w:cs="Arial"/>
          <w:color w:val="181818" w:themeColor="accent6" w:themeShade="1A"/>
          <w:sz w:val="22"/>
        </w:rPr>
        <w:t>sirve de sustento a</w:t>
      </w:r>
      <w:r w:rsidR="009220A5" w:rsidRPr="006063B6">
        <w:rPr>
          <w:rFonts w:ascii="Arial" w:hAnsi="Arial" w:cs="Arial"/>
          <w:color w:val="181818" w:themeColor="accent6" w:themeShade="1A"/>
          <w:sz w:val="22"/>
        </w:rPr>
        <w:t xml:space="preserve"> la decisión de </w:t>
      </w:r>
      <w:r w:rsidR="009220A5" w:rsidRPr="006063B6">
        <w:rPr>
          <w:rFonts w:ascii="Arial" w:hAnsi="Arial" w:cs="Arial"/>
          <w:bCs/>
          <w:color w:val="181818" w:themeColor="accent6" w:themeShade="1A"/>
          <w:sz w:val="22"/>
          <w:lang w:val="es-ES_tradnl"/>
        </w:rPr>
        <w:t>realizar un proceso de contratación desde el punto de vista de la eficiencia, eficacia y economía</w:t>
      </w:r>
      <w:r w:rsidR="001E7EFF" w:rsidRPr="006063B6">
        <w:rPr>
          <w:rFonts w:ascii="Arial" w:hAnsi="Arial" w:cs="Arial"/>
          <w:bCs/>
          <w:color w:val="181818" w:themeColor="accent6" w:themeShade="1A"/>
          <w:sz w:val="22"/>
          <w:lang w:val="es-ES_tradnl"/>
        </w:rPr>
        <w:t>, ya que parte de</w:t>
      </w:r>
      <w:r w:rsidRPr="006063B6">
        <w:rPr>
          <w:rFonts w:ascii="Arial" w:hAnsi="Arial" w:cs="Arial"/>
          <w:bCs/>
          <w:color w:val="181818" w:themeColor="accent6" w:themeShade="1A"/>
          <w:sz w:val="22"/>
          <w:lang w:val="es-ES_tradnl"/>
        </w:rPr>
        <w:t xml:space="preserve"> un</w:t>
      </w:r>
      <w:r w:rsidR="001E7EFF" w:rsidRPr="006063B6">
        <w:rPr>
          <w:rFonts w:ascii="Arial" w:hAnsi="Arial" w:cs="Arial"/>
          <w:bCs/>
          <w:color w:val="181818" w:themeColor="accent6" w:themeShade="1A"/>
          <w:sz w:val="22"/>
          <w:lang w:val="es-ES_tradnl"/>
        </w:rPr>
        <w:t xml:space="preserve"> estudio</w:t>
      </w:r>
      <w:r w:rsidR="009220A5" w:rsidRPr="006063B6">
        <w:rPr>
          <w:rFonts w:ascii="Arial" w:hAnsi="Arial" w:cs="Arial"/>
          <w:bCs/>
          <w:color w:val="181818" w:themeColor="accent6" w:themeShade="1A"/>
          <w:sz w:val="22"/>
          <w:lang w:val="es-ES_tradnl"/>
        </w:rPr>
        <w:t xml:space="preserve"> del sector</w:t>
      </w:r>
      <w:r w:rsidR="001E7EFF" w:rsidRPr="006063B6">
        <w:rPr>
          <w:rFonts w:ascii="Arial" w:hAnsi="Arial" w:cs="Arial"/>
          <w:bCs/>
          <w:color w:val="181818" w:themeColor="accent6" w:themeShade="1A"/>
          <w:sz w:val="22"/>
          <w:lang w:val="es-ES_tradnl"/>
        </w:rPr>
        <w:t xml:space="preserve"> </w:t>
      </w:r>
      <w:r w:rsidR="00780399">
        <w:rPr>
          <w:rFonts w:ascii="Arial" w:hAnsi="Arial" w:cs="Arial"/>
          <w:bCs/>
          <w:color w:val="181818" w:themeColor="accent6" w:themeShade="1A"/>
          <w:sz w:val="22"/>
          <w:lang w:val="es-ES_tradnl"/>
        </w:rPr>
        <w:t xml:space="preserve">en el cual se enmarca la contratación </w:t>
      </w:r>
      <w:r w:rsidR="009220A5" w:rsidRPr="006063B6">
        <w:rPr>
          <w:rFonts w:ascii="Arial" w:hAnsi="Arial" w:cs="Arial"/>
          <w:bCs/>
          <w:color w:val="181818" w:themeColor="accent6" w:themeShade="1A"/>
          <w:sz w:val="22"/>
          <w:lang w:val="es-ES_tradnl"/>
        </w:rPr>
        <w:t xml:space="preserve">desde una perspectiva multidisciplinaria, </w:t>
      </w:r>
      <w:r w:rsidR="001E7EFF" w:rsidRPr="006063B6">
        <w:rPr>
          <w:rFonts w:ascii="Arial" w:hAnsi="Arial" w:cs="Arial"/>
          <w:bCs/>
          <w:color w:val="181818" w:themeColor="accent6" w:themeShade="1A"/>
          <w:sz w:val="22"/>
          <w:lang w:val="es-ES_tradnl"/>
        </w:rPr>
        <w:t xml:space="preserve">que implica un estudio de la oferta </w:t>
      </w:r>
      <w:r w:rsidR="009220A5" w:rsidRPr="006063B6">
        <w:rPr>
          <w:rFonts w:ascii="Arial" w:hAnsi="Arial" w:cs="Arial"/>
          <w:bCs/>
          <w:color w:val="181818" w:themeColor="accent6" w:themeShade="1A"/>
          <w:sz w:val="22"/>
          <w:lang w:val="es-ES_tradnl"/>
        </w:rPr>
        <w:t xml:space="preserve">y </w:t>
      </w:r>
      <w:r w:rsidR="001E7EFF" w:rsidRPr="006063B6">
        <w:rPr>
          <w:rFonts w:ascii="Arial" w:hAnsi="Arial" w:cs="Arial"/>
          <w:bCs/>
          <w:color w:val="181818" w:themeColor="accent6" w:themeShade="1A"/>
          <w:sz w:val="22"/>
          <w:lang w:val="es-ES_tradnl"/>
        </w:rPr>
        <w:t>la demanda</w:t>
      </w:r>
      <w:r w:rsidR="00270632" w:rsidRPr="006063B6">
        <w:rPr>
          <w:rFonts w:ascii="Arial" w:hAnsi="Arial" w:cs="Arial"/>
          <w:bCs/>
          <w:color w:val="181818" w:themeColor="accent6" w:themeShade="1A"/>
          <w:sz w:val="22"/>
          <w:lang w:val="es-ES_tradnl"/>
        </w:rPr>
        <w:t xml:space="preserve"> que permite</w:t>
      </w:r>
      <w:r w:rsidR="001E7EFF" w:rsidRPr="006063B6">
        <w:rPr>
          <w:rFonts w:ascii="Arial" w:hAnsi="Arial" w:cs="Arial"/>
          <w:bCs/>
          <w:color w:val="181818" w:themeColor="accent6" w:themeShade="1A"/>
          <w:sz w:val="22"/>
          <w:lang w:val="es-ES_tradnl"/>
        </w:rPr>
        <w:t xml:space="preserve"> identificar los factores que inciden en el valor del contrato, tales como el análisis de precios, las cargas tributarias, la tasa de cambio, las garantías, los gastos de transporte</w:t>
      </w:r>
      <w:r w:rsidRPr="006063B6">
        <w:rPr>
          <w:rFonts w:ascii="Arial" w:hAnsi="Arial" w:cs="Arial"/>
          <w:bCs/>
          <w:color w:val="181818" w:themeColor="accent6" w:themeShade="1A"/>
          <w:sz w:val="22"/>
          <w:lang w:val="es-ES_tradnl"/>
        </w:rPr>
        <w:t>, etc</w:t>
      </w:r>
      <w:r w:rsidR="001E7EFF" w:rsidRPr="006063B6">
        <w:rPr>
          <w:rFonts w:ascii="Arial" w:hAnsi="Arial" w:cs="Arial"/>
          <w:bCs/>
          <w:color w:val="181818" w:themeColor="accent6" w:themeShade="1A"/>
          <w:sz w:val="22"/>
          <w:lang w:val="es-ES_tradnl"/>
        </w:rPr>
        <w:t>.</w:t>
      </w:r>
      <w:r w:rsidRPr="006063B6">
        <w:rPr>
          <w:rFonts w:ascii="Arial" w:hAnsi="Arial" w:cs="Arial"/>
          <w:bCs/>
          <w:color w:val="181818" w:themeColor="accent6" w:themeShade="1A"/>
          <w:sz w:val="22"/>
          <w:lang w:val="es-ES_tradnl"/>
        </w:rPr>
        <w:t xml:space="preserve"> </w:t>
      </w:r>
      <w:r w:rsidR="001E7EFF" w:rsidRPr="006063B6">
        <w:rPr>
          <w:rFonts w:ascii="Arial" w:hAnsi="Arial" w:cs="Arial"/>
          <w:bCs/>
          <w:color w:val="181818" w:themeColor="accent6" w:themeShade="1A"/>
          <w:sz w:val="22"/>
          <w:lang w:val="es-ES_tradnl"/>
        </w:rPr>
        <w:t>En últimas, e</w:t>
      </w:r>
      <w:r w:rsidRPr="006063B6">
        <w:rPr>
          <w:rFonts w:ascii="Arial" w:hAnsi="Arial" w:cs="Arial"/>
          <w:bCs/>
          <w:color w:val="181818" w:themeColor="accent6" w:themeShade="1A"/>
          <w:sz w:val="22"/>
          <w:lang w:val="es-ES_tradnl"/>
        </w:rPr>
        <w:t>l estudio o análisis del sector permite a las entidades</w:t>
      </w:r>
      <w:r w:rsidR="009220A5" w:rsidRPr="006063B6">
        <w:rPr>
          <w:rFonts w:ascii="Arial" w:hAnsi="Arial" w:cs="Arial"/>
          <w:bCs/>
          <w:color w:val="181818" w:themeColor="accent6" w:themeShade="1A"/>
          <w:sz w:val="22"/>
          <w:lang w:val="es-ES_tradnl"/>
        </w:rPr>
        <w:t xml:space="preserve"> entender el mercado del bien, obra o servicio que pretende</w:t>
      </w:r>
      <w:r w:rsidRPr="006063B6">
        <w:rPr>
          <w:rFonts w:ascii="Arial" w:hAnsi="Arial" w:cs="Arial"/>
          <w:bCs/>
          <w:color w:val="181818" w:themeColor="accent6" w:themeShade="1A"/>
          <w:sz w:val="22"/>
          <w:lang w:val="es-ES_tradnl"/>
        </w:rPr>
        <w:t>n</w:t>
      </w:r>
      <w:r w:rsidR="009220A5" w:rsidRPr="006063B6">
        <w:rPr>
          <w:rFonts w:ascii="Arial" w:hAnsi="Arial" w:cs="Arial"/>
          <w:bCs/>
          <w:color w:val="181818" w:themeColor="accent6" w:themeShade="1A"/>
          <w:sz w:val="22"/>
          <w:lang w:val="es-ES_tradnl"/>
        </w:rPr>
        <w:t xml:space="preserve"> adquirir</w:t>
      </w:r>
      <w:r w:rsidRPr="006063B6">
        <w:rPr>
          <w:rFonts w:ascii="Arial" w:hAnsi="Arial" w:cs="Arial"/>
          <w:bCs/>
          <w:color w:val="181818" w:themeColor="accent6" w:themeShade="1A"/>
          <w:sz w:val="22"/>
          <w:lang w:val="es-ES_tradnl"/>
        </w:rPr>
        <w:t>, obteniendo</w:t>
      </w:r>
      <w:r w:rsidR="009220A5" w:rsidRPr="006063B6">
        <w:rPr>
          <w:rFonts w:ascii="Arial" w:hAnsi="Arial" w:cs="Arial"/>
          <w:bCs/>
          <w:color w:val="181818" w:themeColor="accent6" w:themeShade="1A"/>
          <w:sz w:val="22"/>
          <w:lang w:val="es-ES_tradnl"/>
        </w:rPr>
        <w:t xml:space="preserve"> </w:t>
      </w:r>
      <w:r w:rsidRPr="006063B6">
        <w:rPr>
          <w:rFonts w:ascii="Arial" w:hAnsi="Arial" w:cs="Arial"/>
          <w:bCs/>
          <w:color w:val="181818" w:themeColor="accent6" w:themeShade="1A"/>
          <w:sz w:val="22"/>
          <w:lang w:val="es-ES_tradnl"/>
        </w:rPr>
        <w:t>información valiosa para el diseño del proceso.</w:t>
      </w:r>
    </w:p>
    <w:p w14:paraId="26D7ABB7" w14:textId="1F9756C8" w:rsidR="001E76D1" w:rsidRPr="006063B6" w:rsidRDefault="006C054A" w:rsidP="00F424EA">
      <w:pPr>
        <w:spacing w:before="120" w:after="120" w:line="276" w:lineRule="auto"/>
        <w:ind w:firstLine="708"/>
        <w:jc w:val="both"/>
        <w:rPr>
          <w:rFonts w:ascii="Arial" w:hAnsi="Arial" w:cs="Arial"/>
          <w:color w:val="181818" w:themeColor="accent6" w:themeShade="1A"/>
          <w:sz w:val="22"/>
        </w:rPr>
      </w:pPr>
      <w:r w:rsidRPr="006063B6">
        <w:rPr>
          <w:rFonts w:ascii="Arial" w:hAnsi="Arial" w:cs="Arial"/>
          <w:color w:val="181818" w:themeColor="accent6" w:themeShade="1A"/>
          <w:sz w:val="22"/>
        </w:rPr>
        <w:t xml:space="preserve">Conforme a lo anterior, los procedimientos </w:t>
      </w:r>
      <w:r w:rsidR="00F424EA" w:rsidRPr="006063B6">
        <w:rPr>
          <w:rFonts w:ascii="Arial" w:hAnsi="Arial" w:cs="Arial"/>
          <w:color w:val="181818" w:themeColor="accent6" w:themeShade="1A"/>
          <w:sz w:val="22"/>
        </w:rPr>
        <w:t>para selecci</w:t>
      </w:r>
      <w:r w:rsidR="00780399">
        <w:rPr>
          <w:rFonts w:ascii="Arial" w:hAnsi="Arial" w:cs="Arial"/>
          <w:color w:val="181818" w:themeColor="accent6" w:themeShade="1A"/>
          <w:sz w:val="22"/>
        </w:rPr>
        <w:t>onar</w:t>
      </w:r>
      <w:r w:rsidR="00F424EA" w:rsidRPr="006063B6">
        <w:rPr>
          <w:rFonts w:ascii="Arial" w:hAnsi="Arial" w:cs="Arial"/>
          <w:color w:val="181818" w:themeColor="accent6" w:themeShade="1A"/>
          <w:sz w:val="22"/>
        </w:rPr>
        <w:t xml:space="preserve"> de contratistas de obra pública de infraestructura de transporte en las modalidades de licitación pública, selección abreviada de menor cuantía y mínima cuantía</w:t>
      </w:r>
      <w:r w:rsidRPr="006063B6">
        <w:rPr>
          <w:rFonts w:ascii="Arial" w:hAnsi="Arial" w:cs="Arial"/>
          <w:color w:val="181818" w:themeColor="accent6" w:themeShade="1A"/>
          <w:sz w:val="22"/>
        </w:rPr>
        <w:t xml:space="preserve"> adelantados con Documentos Tipo</w:t>
      </w:r>
      <w:r w:rsidR="00F424EA" w:rsidRPr="006063B6">
        <w:rPr>
          <w:rFonts w:ascii="Arial" w:hAnsi="Arial" w:cs="Arial"/>
          <w:color w:val="181818" w:themeColor="accent6" w:themeShade="1A"/>
          <w:sz w:val="22"/>
        </w:rPr>
        <w:t xml:space="preserve">, a pesar de contar </w:t>
      </w:r>
      <w:r w:rsidR="00780399">
        <w:rPr>
          <w:rFonts w:ascii="Arial" w:hAnsi="Arial" w:cs="Arial"/>
          <w:color w:val="181818" w:themeColor="accent6" w:themeShade="1A"/>
          <w:sz w:val="22"/>
        </w:rPr>
        <w:t xml:space="preserve">con </w:t>
      </w:r>
      <w:r w:rsidR="00F424EA" w:rsidRPr="006063B6">
        <w:rPr>
          <w:rFonts w:ascii="Arial" w:hAnsi="Arial" w:cs="Arial"/>
          <w:color w:val="181818" w:themeColor="accent6" w:themeShade="1A"/>
          <w:sz w:val="22"/>
        </w:rPr>
        <w:t xml:space="preserve">requisitos habilitantes e índices financieros previamente acotados por dichos documentos, con efectos obligatorios y </w:t>
      </w:r>
      <w:r w:rsidR="00780399">
        <w:rPr>
          <w:rFonts w:ascii="Arial" w:hAnsi="Arial" w:cs="Arial"/>
          <w:color w:val="181818" w:themeColor="accent6" w:themeShade="1A"/>
          <w:sz w:val="22"/>
        </w:rPr>
        <w:t xml:space="preserve">con </w:t>
      </w:r>
      <w:r w:rsidR="00F424EA" w:rsidRPr="006063B6">
        <w:rPr>
          <w:rFonts w:ascii="Arial" w:hAnsi="Arial" w:cs="Arial"/>
          <w:color w:val="181818" w:themeColor="accent6" w:themeShade="1A"/>
          <w:sz w:val="22"/>
        </w:rPr>
        <w:t xml:space="preserve">carácter inalterable, no se encuentran exentos de la obligación de realizar un análisis del sector en el que tendrá lugar la contratación, para lo cual </w:t>
      </w:r>
      <w:r w:rsidR="00780399">
        <w:rPr>
          <w:rFonts w:ascii="Arial" w:hAnsi="Arial" w:cs="Arial"/>
          <w:color w:val="181818" w:themeColor="accent6" w:themeShade="1A"/>
          <w:sz w:val="22"/>
        </w:rPr>
        <w:t>se deben</w:t>
      </w:r>
      <w:r w:rsidR="00F424EA" w:rsidRPr="006063B6">
        <w:rPr>
          <w:rFonts w:ascii="Arial" w:hAnsi="Arial" w:cs="Arial"/>
          <w:color w:val="181818" w:themeColor="accent6" w:themeShade="1A"/>
          <w:sz w:val="22"/>
        </w:rPr>
        <w:t xml:space="preserve"> abordar los </w:t>
      </w:r>
      <w:r w:rsidR="00780399">
        <w:rPr>
          <w:rFonts w:ascii="Arial" w:hAnsi="Arial" w:cs="Arial"/>
          <w:color w:val="181818" w:themeColor="accent6" w:themeShade="1A"/>
          <w:sz w:val="22"/>
        </w:rPr>
        <w:t>aspectos</w:t>
      </w:r>
      <w:r w:rsidR="00F424EA" w:rsidRPr="006063B6">
        <w:rPr>
          <w:rFonts w:ascii="Arial" w:hAnsi="Arial" w:cs="Arial"/>
          <w:color w:val="181818" w:themeColor="accent6" w:themeShade="1A"/>
          <w:sz w:val="22"/>
        </w:rPr>
        <w:t xml:space="preserve"> a los que se refiere </w:t>
      </w:r>
      <w:r w:rsidR="00F424EA" w:rsidRPr="006063B6">
        <w:rPr>
          <w:rFonts w:ascii="Arial" w:hAnsi="Arial" w:cs="Arial"/>
          <w:color w:val="181818" w:themeColor="accent6" w:themeShade="1A"/>
          <w:sz w:val="22"/>
          <w:lang w:val="es-CO"/>
        </w:rPr>
        <w:t xml:space="preserve">el artículo </w:t>
      </w:r>
      <w:r w:rsidR="00F424EA" w:rsidRPr="006063B6">
        <w:rPr>
          <w:rFonts w:ascii="Arial" w:hAnsi="Arial" w:cs="Arial"/>
          <w:color w:val="181818" w:themeColor="accent6" w:themeShade="1A"/>
          <w:sz w:val="22"/>
        </w:rPr>
        <w:t xml:space="preserve">2.2.1.1.1.6.1 del Decreto 1082 del 2015, evidenciando dicho análisis dentro de los </w:t>
      </w:r>
      <w:r w:rsidR="00F424EA" w:rsidRPr="006063B6">
        <w:rPr>
          <w:rFonts w:ascii="Arial" w:hAnsi="Arial" w:cs="Arial"/>
          <w:i/>
          <w:iCs/>
          <w:color w:val="181818" w:themeColor="accent6" w:themeShade="1A"/>
          <w:sz w:val="22"/>
        </w:rPr>
        <w:t>Documentos del Proceso.</w:t>
      </w:r>
      <w:r w:rsidR="00F424EA" w:rsidRPr="006063B6">
        <w:rPr>
          <w:rFonts w:ascii="Arial" w:hAnsi="Arial" w:cs="Arial"/>
          <w:color w:val="181818" w:themeColor="accent6" w:themeShade="1A"/>
          <w:sz w:val="22"/>
        </w:rPr>
        <w:t xml:space="preserve"> </w:t>
      </w:r>
    </w:p>
    <w:p w14:paraId="33847C9D" w14:textId="053C400E" w:rsidR="00F424EA" w:rsidRPr="006063B6" w:rsidRDefault="00F424EA" w:rsidP="009220A5">
      <w:pPr>
        <w:spacing w:before="120" w:line="276" w:lineRule="auto"/>
        <w:ind w:firstLine="708"/>
        <w:jc w:val="both"/>
        <w:rPr>
          <w:rFonts w:ascii="Arial" w:hAnsi="Arial" w:cs="Arial"/>
          <w:color w:val="181818" w:themeColor="accent6" w:themeShade="1A"/>
          <w:sz w:val="22"/>
        </w:rPr>
      </w:pPr>
      <w:r w:rsidRPr="006063B6">
        <w:rPr>
          <w:rFonts w:ascii="Arial" w:hAnsi="Arial" w:cs="Arial"/>
          <w:color w:val="181818" w:themeColor="accent6" w:themeShade="1A"/>
          <w:sz w:val="22"/>
        </w:rPr>
        <w:t xml:space="preserve">La información producto de este análisis, si bien </w:t>
      </w:r>
      <w:r w:rsidR="00FE1A68" w:rsidRPr="006063B6">
        <w:rPr>
          <w:rFonts w:ascii="Arial" w:hAnsi="Arial" w:cs="Arial"/>
          <w:color w:val="181818" w:themeColor="accent6" w:themeShade="1A"/>
          <w:sz w:val="22"/>
        </w:rPr>
        <w:t xml:space="preserve">no </w:t>
      </w:r>
      <w:r w:rsidRPr="006063B6">
        <w:rPr>
          <w:rFonts w:ascii="Arial" w:hAnsi="Arial" w:cs="Arial"/>
          <w:color w:val="181818" w:themeColor="accent6" w:themeShade="1A"/>
          <w:sz w:val="22"/>
        </w:rPr>
        <w:t xml:space="preserve">le servirá a las entidades para determinar </w:t>
      </w:r>
      <w:r w:rsidR="00780399">
        <w:rPr>
          <w:rFonts w:ascii="Arial" w:hAnsi="Arial" w:cs="Arial"/>
          <w:color w:val="181818" w:themeColor="accent6" w:themeShade="1A"/>
          <w:sz w:val="22"/>
        </w:rPr>
        <w:t>algunos</w:t>
      </w:r>
      <w:r w:rsidR="00780399" w:rsidRPr="006063B6">
        <w:rPr>
          <w:rFonts w:ascii="Arial" w:hAnsi="Arial" w:cs="Arial"/>
          <w:color w:val="181818" w:themeColor="accent6" w:themeShade="1A"/>
          <w:sz w:val="22"/>
        </w:rPr>
        <w:t xml:space="preserve"> </w:t>
      </w:r>
      <w:r w:rsidRPr="006063B6">
        <w:rPr>
          <w:rFonts w:ascii="Arial" w:hAnsi="Arial" w:cs="Arial"/>
          <w:color w:val="181818" w:themeColor="accent6" w:themeShade="1A"/>
          <w:sz w:val="22"/>
        </w:rPr>
        <w:t>requisitos habilitantes</w:t>
      </w:r>
      <w:r w:rsidR="001E76D1" w:rsidRPr="006063B6">
        <w:rPr>
          <w:rFonts w:ascii="Arial" w:hAnsi="Arial" w:cs="Arial"/>
          <w:color w:val="181818" w:themeColor="accent6" w:themeShade="1A"/>
          <w:sz w:val="22"/>
        </w:rPr>
        <w:t xml:space="preserve"> e índices financieros, s</w:t>
      </w:r>
      <w:r w:rsidR="00780399">
        <w:rPr>
          <w:rFonts w:ascii="Arial" w:hAnsi="Arial" w:cs="Arial"/>
          <w:color w:val="181818" w:themeColor="accent6" w:themeShade="1A"/>
          <w:sz w:val="22"/>
        </w:rPr>
        <w:t>í</w:t>
      </w:r>
      <w:r w:rsidR="001E76D1" w:rsidRPr="006063B6">
        <w:rPr>
          <w:rFonts w:ascii="Arial" w:hAnsi="Arial" w:cs="Arial"/>
          <w:color w:val="181818" w:themeColor="accent6" w:themeShade="1A"/>
          <w:sz w:val="22"/>
        </w:rPr>
        <w:t xml:space="preserve"> permitirá</w:t>
      </w:r>
      <w:r w:rsidR="00780399">
        <w:rPr>
          <w:rFonts w:ascii="Arial" w:hAnsi="Arial" w:cs="Arial"/>
          <w:color w:val="181818" w:themeColor="accent6" w:themeShade="1A"/>
          <w:sz w:val="22"/>
        </w:rPr>
        <w:t>,</w:t>
      </w:r>
      <w:r w:rsidR="001E76D1" w:rsidRPr="006063B6">
        <w:rPr>
          <w:rFonts w:ascii="Arial" w:hAnsi="Arial" w:cs="Arial"/>
          <w:color w:val="181818" w:themeColor="accent6" w:themeShade="1A"/>
          <w:sz w:val="22"/>
        </w:rPr>
        <w:t xml:space="preserve"> por ejemplo</w:t>
      </w:r>
      <w:r w:rsidR="00780399">
        <w:rPr>
          <w:rFonts w:ascii="Arial" w:hAnsi="Arial" w:cs="Arial"/>
          <w:color w:val="181818" w:themeColor="accent6" w:themeShade="1A"/>
          <w:sz w:val="22"/>
        </w:rPr>
        <w:t>,</w:t>
      </w:r>
      <w:r w:rsidR="001E76D1" w:rsidRPr="006063B6">
        <w:rPr>
          <w:rFonts w:ascii="Arial" w:hAnsi="Arial" w:cs="Arial"/>
          <w:color w:val="181818" w:themeColor="accent6" w:themeShade="1A"/>
          <w:sz w:val="22"/>
        </w:rPr>
        <w:t xml:space="preserve"> tener un antecedente del compromiso presupuestal que involucra el contrato, realizar el análisis de los riesgos, determinar si una oferta contienes precios artificialmente bajos, sustentar la escogencia de los factores de calidad, determinar la posibilidad de que en un proceso los proponentes acrediten la experiencia de los integrantes de su grupo empresarial o la necesidad de exigir garantías en los procesos de mínima cuantía.</w:t>
      </w:r>
    </w:p>
    <w:p w14:paraId="442DB8AC" w14:textId="77777777" w:rsidR="006063B6" w:rsidRPr="006063B6" w:rsidRDefault="006063B6" w:rsidP="009220A5">
      <w:pPr>
        <w:pStyle w:val="Prrafodelista"/>
        <w:tabs>
          <w:tab w:val="left" w:pos="284"/>
        </w:tabs>
        <w:spacing w:line="276" w:lineRule="auto"/>
        <w:ind w:left="0"/>
        <w:jc w:val="both"/>
        <w:rPr>
          <w:rFonts w:ascii="Arial" w:eastAsia="Calibri" w:hAnsi="Arial" w:cs="Arial"/>
          <w:b/>
          <w:color w:val="181818" w:themeColor="accent6" w:themeShade="1A"/>
          <w:sz w:val="22"/>
        </w:rPr>
      </w:pPr>
    </w:p>
    <w:p w14:paraId="6E4BB750" w14:textId="3FD40CE6" w:rsidR="00F1108B" w:rsidRPr="006063B6" w:rsidRDefault="00F1108B" w:rsidP="00743BC8">
      <w:pPr>
        <w:pStyle w:val="Prrafodelista"/>
        <w:tabs>
          <w:tab w:val="left" w:pos="284"/>
        </w:tabs>
        <w:spacing w:before="120" w:line="276" w:lineRule="auto"/>
        <w:ind w:left="0"/>
        <w:jc w:val="both"/>
        <w:rPr>
          <w:rFonts w:ascii="Arial" w:eastAsia="Calibri" w:hAnsi="Arial" w:cs="Arial"/>
          <w:color w:val="181818" w:themeColor="accent6" w:themeShade="1A"/>
          <w:sz w:val="22"/>
        </w:rPr>
      </w:pPr>
      <w:r w:rsidRPr="006063B6">
        <w:rPr>
          <w:rFonts w:ascii="Arial" w:eastAsia="Calibri" w:hAnsi="Arial" w:cs="Arial"/>
          <w:b/>
          <w:color w:val="181818" w:themeColor="accent6" w:themeShade="1A"/>
          <w:sz w:val="22"/>
        </w:rPr>
        <w:t>3. Respuesta</w:t>
      </w:r>
    </w:p>
    <w:p w14:paraId="67A0DD35" w14:textId="77777777" w:rsidR="00B708FD" w:rsidRPr="006063B6" w:rsidRDefault="00B708FD" w:rsidP="00743BC8">
      <w:pPr>
        <w:tabs>
          <w:tab w:val="left" w:pos="426"/>
        </w:tabs>
        <w:spacing w:line="276" w:lineRule="auto"/>
        <w:ind w:right="709"/>
        <w:jc w:val="both"/>
        <w:rPr>
          <w:rFonts w:ascii="Arial" w:eastAsia="Calibri" w:hAnsi="Arial" w:cs="Arial"/>
          <w:color w:val="181818" w:themeColor="accent6" w:themeShade="1A"/>
          <w:sz w:val="22"/>
        </w:rPr>
      </w:pPr>
    </w:p>
    <w:p w14:paraId="1925C131" w14:textId="06FCC2EB" w:rsidR="0061659F" w:rsidRDefault="00537BF0" w:rsidP="0061659F">
      <w:pPr>
        <w:tabs>
          <w:tab w:val="left" w:pos="709"/>
        </w:tabs>
        <w:spacing w:line="276" w:lineRule="auto"/>
        <w:ind w:left="709" w:right="709"/>
        <w:jc w:val="both"/>
        <w:rPr>
          <w:rFonts w:ascii="Arial" w:eastAsia="Calibri" w:hAnsi="Arial" w:cs="Arial"/>
          <w:color w:val="181818" w:themeColor="accent6" w:themeShade="1A"/>
          <w:sz w:val="22"/>
        </w:rPr>
      </w:pPr>
      <w:r>
        <w:rPr>
          <w:rFonts w:ascii="Arial" w:eastAsia="Calibri" w:hAnsi="Arial" w:cs="Arial"/>
          <w:color w:val="181818" w:themeColor="accent6" w:themeShade="1A"/>
          <w:sz w:val="21"/>
          <w:szCs w:val="21"/>
        </w:rPr>
        <w:t>i</w:t>
      </w:r>
      <w:r w:rsidRPr="00537BF0">
        <w:rPr>
          <w:rFonts w:ascii="Arial" w:eastAsia="Calibri" w:hAnsi="Arial" w:cs="Arial"/>
          <w:color w:val="181818" w:themeColor="accent6" w:themeShade="1A"/>
          <w:sz w:val="21"/>
          <w:szCs w:val="21"/>
        </w:rPr>
        <w:t>) «[…] ¿ESTOS VALORES CONSIGNADOS EN LA MATRIZ [2] APLICAN PARA TODOS LOS PROCESOS O SON MODIFICABLES?</w:t>
      </w:r>
      <w:proofErr w:type="gramStart"/>
      <w:r w:rsidRPr="00537BF0">
        <w:rPr>
          <w:rFonts w:ascii="Arial" w:eastAsia="Calibri" w:hAnsi="Arial" w:cs="Arial"/>
          <w:color w:val="181818" w:themeColor="accent6" w:themeShade="1A"/>
          <w:sz w:val="21"/>
          <w:szCs w:val="21"/>
        </w:rPr>
        <w:t xml:space="preserve">»;  </w:t>
      </w:r>
      <w:proofErr w:type="spellStart"/>
      <w:r w:rsidRPr="00537BF0">
        <w:rPr>
          <w:rFonts w:ascii="Arial" w:eastAsia="Calibri" w:hAnsi="Arial" w:cs="Arial"/>
          <w:color w:val="181818" w:themeColor="accent6" w:themeShade="1A"/>
          <w:sz w:val="21"/>
          <w:szCs w:val="21"/>
        </w:rPr>
        <w:t>ii</w:t>
      </w:r>
      <w:proofErr w:type="spellEnd"/>
      <w:proofErr w:type="gramEnd"/>
      <w:r w:rsidRPr="00537BF0">
        <w:rPr>
          <w:rFonts w:ascii="Arial" w:eastAsia="Calibri" w:hAnsi="Arial" w:cs="Arial"/>
          <w:color w:val="181818" w:themeColor="accent6" w:themeShade="1A"/>
          <w:sz w:val="21"/>
          <w:szCs w:val="21"/>
        </w:rPr>
        <w:t xml:space="preserve">) «¿SON MODIFICABLES DE ACUERDO AL ESTUDIO DEL SECTOR? […]»; </w:t>
      </w:r>
    </w:p>
    <w:p w14:paraId="100D96A8" w14:textId="77777777" w:rsidR="00B708FD" w:rsidRPr="006063B6" w:rsidRDefault="00B708FD" w:rsidP="0061659F">
      <w:pPr>
        <w:tabs>
          <w:tab w:val="left" w:pos="709"/>
        </w:tabs>
        <w:spacing w:line="276" w:lineRule="auto"/>
        <w:ind w:left="709" w:right="709"/>
        <w:jc w:val="both"/>
        <w:rPr>
          <w:rFonts w:ascii="Arial" w:eastAsia="Calibri" w:hAnsi="Arial" w:cs="Arial"/>
          <w:color w:val="181818" w:themeColor="accent6" w:themeShade="1A"/>
          <w:sz w:val="22"/>
        </w:rPr>
      </w:pPr>
    </w:p>
    <w:p w14:paraId="0E2B1C29" w14:textId="2C3CD64D" w:rsidR="00E5064F" w:rsidRPr="006063B6" w:rsidRDefault="00E5064F" w:rsidP="00C54828">
      <w:pPr>
        <w:tabs>
          <w:tab w:val="left" w:pos="709"/>
        </w:tabs>
        <w:spacing w:after="120" w:line="276" w:lineRule="auto"/>
        <w:jc w:val="both"/>
        <w:rPr>
          <w:rFonts w:ascii="Arial" w:eastAsia="Calibri" w:hAnsi="Arial" w:cs="Arial"/>
          <w:color w:val="181818" w:themeColor="accent6" w:themeShade="1A"/>
          <w:sz w:val="22"/>
          <w:lang w:val="es-ES"/>
        </w:rPr>
      </w:pPr>
      <w:r w:rsidRPr="006063B6">
        <w:rPr>
          <w:rFonts w:ascii="Arial" w:eastAsia="Calibri" w:hAnsi="Arial" w:cs="Arial"/>
          <w:color w:val="181818" w:themeColor="accent6" w:themeShade="1A"/>
          <w:sz w:val="22"/>
        </w:rPr>
        <w:t>Los requisitos habilitantes, indicadores financieros  y organizacionales determinados por los «Documentos Base» y «M</w:t>
      </w:r>
      <w:proofErr w:type="spellStart"/>
      <w:r w:rsidRPr="006063B6">
        <w:rPr>
          <w:rFonts w:ascii="Arial" w:eastAsia="Calibri" w:hAnsi="Arial" w:cs="Arial"/>
          <w:color w:val="181818" w:themeColor="accent6" w:themeShade="1A"/>
          <w:sz w:val="22"/>
          <w:lang w:val="es-CO"/>
        </w:rPr>
        <w:t>atriz</w:t>
      </w:r>
      <w:proofErr w:type="spellEnd"/>
      <w:r w:rsidRPr="006063B6">
        <w:rPr>
          <w:rFonts w:ascii="Arial" w:eastAsia="Calibri" w:hAnsi="Arial" w:cs="Arial"/>
          <w:color w:val="181818" w:themeColor="accent6" w:themeShade="1A"/>
          <w:sz w:val="22"/>
          <w:lang w:val="es-CO"/>
        </w:rPr>
        <w:t xml:space="preserve"> 2 - Indicadores financieros y organizacionales</w:t>
      </w:r>
      <w:r w:rsidRPr="006063B6">
        <w:rPr>
          <w:rFonts w:ascii="Arial" w:eastAsia="Calibri" w:hAnsi="Arial" w:cs="Arial"/>
          <w:color w:val="181818" w:themeColor="accent6" w:themeShade="1A"/>
          <w:sz w:val="22"/>
        </w:rPr>
        <w:t xml:space="preserve">», implementados por las Resoluciones No. 1798 de 2019, 0044, 0045 y 0094 expedidas por esta Agencia, en virtud de lo dispuesto en </w:t>
      </w:r>
      <w:r w:rsidR="00537BF0">
        <w:rPr>
          <w:rFonts w:ascii="Arial" w:eastAsia="Calibri" w:hAnsi="Arial" w:cs="Arial"/>
          <w:color w:val="181818" w:themeColor="accent6" w:themeShade="1A"/>
          <w:sz w:val="22"/>
        </w:rPr>
        <w:t>los artículos</w:t>
      </w:r>
      <w:r w:rsidRPr="006063B6">
        <w:rPr>
          <w:rFonts w:ascii="Arial" w:eastAsia="Calibri" w:hAnsi="Arial" w:cs="Arial"/>
          <w:color w:val="181818" w:themeColor="accent6" w:themeShade="1A"/>
          <w:sz w:val="22"/>
        </w:rPr>
        <w:t xml:space="preserve"> 4 de la Ley 1882 de 2018, </w:t>
      </w:r>
      <w:r w:rsidRPr="006063B6">
        <w:rPr>
          <w:rFonts w:ascii="Arial" w:eastAsia="Calibri" w:hAnsi="Arial" w:cs="Arial"/>
          <w:color w:val="181818" w:themeColor="accent6" w:themeShade="1A"/>
          <w:sz w:val="22"/>
          <w:lang w:val="es-ES"/>
        </w:rPr>
        <w:t>2.2.1.2.6.1.4, 2.2.1.2.6.2.3 y 2.2.1.2.6.3.4 del Decreto 1082 de 2015, son inalterables e inmodificables por las entidades estatales.</w:t>
      </w:r>
    </w:p>
    <w:p w14:paraId="2453B75D" w14:textId="18336667" w:rsidR="00E5064F" w:rsidRPr="006063B6" w:rsidRDefault="00E5064F" w:rsidP="00270632">
      <w:pPr>
        <w:tabs>
          <w:tab w:val="left" w:pos="709"/>
        </w:tabs>
        <w:spacing w:line="276" w:lineRule="auto"/>
        <w:jc w:val="both"/>
        <w:rPr>
          <w:rFonts w:ascii="Arial" w:eastAsia="Calibri" w:hAnsi="Arial" w:cs="Arial"/>
          <w:color w:val="181818" w:themeColor="accent6" w:themeShade="1A"/>
          <w:sz w:val="22"/>
          <w:lang w:val="es-ES"/>
        </w:rPr>
      </w:pPr>
      <w:r w:rsidRPr="006063B6">
        <w:rPr>
          <w:rFonts w:ascii="Arial" w:eastAsia="Calibri" w:hAnsi="Arial" w:cs="Arial"/>
          <w:color w:val="181818" w:themeColor="accent6" w:themeShade="1A"/>
          <w:sz w:val="22"/>
          <w:lang w:val="es-ES"/>
        </w:rPr>
        <w:tab/>
        <w:t>Estos</w:t>
      </w:r>
      <w:r w:rsidR="00C54828" w:rsidRPr="006063B6">
        <w:rPr>
          <w:rFonts w:ascii="Arial" w:eastAsia="Calibri" w:hAnsi="Arial" w:cs="Arial"/>
          <w:color w:val="181818" w:themeColor="accent6" w:themeShade="1A"/>
          <w:sz w:val="22"/>
          <w:lang w:val="es-ES"/>
        </w:rPr>
        <w:t xml:space="preserve"> son </w:t>
      </w:r>
      <w:r w:rsidRPr="006063B6">
        <w:rPr>
          <w:rFonts w:ascii="Arial" w:eastAsia="Calibri" w:hAnsi="Arial" w:cs="Arial"/>
          <w:color w:val="181818" w:themeColor="accent6" w:themeShade="1A"/>
          <w:sz w:val="22"/>
          <w:lang w:val="es-ES"/>
        </w:rPr>
        <w:t>de obligatoria observancia para los procesos adelantados por las entidades estatales sometidas al Estatuto General de Contratación de la Administración Pública, en las modalidades de licitación pública, selección abreviada de menor cuantía y mínima cuantía para la selección de contratistas de obra pública de infraestructura de transporte, en los que corresponda la aplicación de los documentos tipo adoptados por los Decretos 342</w:t>
      </w:r>
      <w:r w:rsidR="00C54828" w:rsidRPr="006063B6">
        <w:rPr>
          <w:rFonts w:ascii="Arial" w:eastAsia="Calibri" w:hAnsi="Arial" w:cs="Arial"/>
          <w:color w:val="181818" w:themeColor="accent6" w:themeShade="1A"/>
          <w:sz w:val="22"/>
          <w:lang w:val="es-ES"/>
        </w:rPr>
        <w:t xml:space="preserve"> de 2019, 2096 de 2019 y 594 de 2020, siempre que el objeto contractual sea subsumible dentro de los tipos de obra y actividades establecidas en la «Matriz 1 – Experiencia».</w:t>
      </w:r>
      <w:r w:rsidR="00537BF0">
        <w:rPr>
          <w:rFonts w:ascii="Arial" w:eastAsia="Calibri" w:hAnsi="Arial" w:cs="Arial"/>
          <w:color w:val="181818" w:themeColor="accent6" w:themeShade="1A"/>
          <w:sz w:val="22"/>
          <w:lang w:val="es-ES"/>
        </w:rPr>
        <w:t xml:space="preserve"> En ese orden, los indicadores establecidos en la </w:t>
      </w:r>
      <w:r w:rsidR="00537BF0" w:rsidRPr="00537BF0">
        <w:rPr>
          <w:rFonts w:ascii="Arial" w:eastAsia="Calibri" w:hAnsi="Arial" w:cs="Arial"/>
          <w:color w:val="181818" w:themeColor="accent6" w:themeShade="1A"/>
          <w:sz w:val="22"/>
        </w:rPr>
        <w:t>«M</w:t>
      </w:r>
      <w:proofErr w:type="spellStart"/>
      <w:r w:rsidR="00537BF0" w:rsidRPr="00537BF0">
        <w:rPr>
          <w:rFonts w:ascii="Arial" w:eastAsia="Calibri" w:hAnsi="Arial" w:cs="Arial"/>
          <w:color w:val="181818" w:themeColor="accent6" w:themeShade="1A"/>
          <w:sz w:val="22"/>
          <w:lang w:val="es-CO"/>
        </w:rPr>
        <w:t>atriz</w:t>
      </w:r>
      <w:proofErr w:type="spellEnd"/>
      <w:r w:rsidR="00537BF0" w:rsidRPr="00537BF0">
        <w:rPr>
          <w:rFonts w:ascii="Arial" w:eastAsia="Calibri" w:hAnsi="Arial" w:cs="Arial"/>
          <w:color w:val="181818" w:themeColor="accent6" w:themeShade="1A"/>
          <w:sz w:val="22"/>
          <w:lang w:val="es-CO"/>
        </w:rPr>
        <w:t xml:space="preserve"> 2 - Indicadores financieros y organizacionales</w:t>
      </w:r>
      <w:r w:rsidR="00537BF0">
        <w:rPr>
          <w:rFonts w:ascii="Arial" w:eastAsia="Calibri" w:hAnsi="Arial" w:cs="Arial"/>
          <w:color w:val="181818" w:themeColor="accent6" w:themeShade="1A"/>
          <w:sz w:val="22"/>
          <w:lang w:val="es-CO"/>
        </w:rPr>
        <w:t xml:space="preserve">», tampoco son modificables en atención a la información recolectada en el estudio del sector. </w:t>
      </w:r>
    </w:p>
    <w:p w14:paraId="1387A5D4" w14:textId="74595297" w:rsidR="00E5064F" w:rsidRDefault="00E5064F" w:rsidP="00270632">
      <w:pPr>
        <w:tabs>
          <w:tab w:val="left" w:pos="709"/>
        </w:tabs>
        <w:spacing w:line="276" w:lineRule="auto"/>
        <w:jc w:val="both"/>
        <w:rPr>
          <w:rFonts w:ascii="Arial" w:eastAsia="Calibri" w:hAnsi="Arial" w:cs="Arial"/>
          <w:color w:val="181818" w:themeColor="accent6" w:themeShade="1A"/>
          <w:sz w:val="22"/>
          <w:lang w:val="es-ES"/>
        </w:rPr>
      </w:pPr>
      <w:r w:rsidRPr="006063B6">
        <w:rPr>
          <w:rFonts w:ascii="Arial" w:eastAsia="Calibri" w:hAnsi="Arial" w:cs="Arial"/>
          <w:color w:val="181818" w:themeColor="accent6" w:themeShade="1A"/>
          <w:sz w:val="22"/>
          <w:lang w:val="es-ES"/>
        </w:rPr>
        <w:tab/>
      </w:r>
    </w:p>
    <w:p w14:paraId="313A0E82" w14:textId="0254194C" w:rsidR="00E5064F" w:rsidRDefault="00537BF0" w:rsidP="00537BF0">
      <w:pPr>
        <w:tabs>
          <w:tab w:val="left" w:pos="709"/>
        </w:tabs>
        <w:ind w:left="709" w:right="709"/>
        <w:jc w:val="both"/>
        <w:rPr>
          <w:rFonts w:ascii="Arial" w:eastAsia="Calibri" w:hAnsi="Arial" w:cs="Arial"/>
          <w:color w:val="181818" w:themeColor="accent6" w:themeShade="1A"/>
          <w:sz w:val="22"/>
        </w:rPr>
      </w:pPr>
      <w:proofErr w:type="spellStart"/>
      <w:r w:rsidRPr="00537BF0">
        <w:rPr>
          <w:rFonts w:ascii="Arial" w:eastAsia="Calibri" w:hAnsi="Arial" w:cs="Arial"/>
          <w:color w:val="181818" w:themeColor="accent6" w:themeShade="1A"/>
          <w:sz w:val="21"/>
          <w:szCs w:val="21"/>
        </w:rPr>
        <w:t>iii</w:t>
      </w:r>
      <w:proofErr w:type="spellEnd"/>
      <w:r w:rsidRPr="00537BF0">
        <w:rPr>
          <w:rFonts w:ascii="Arial" w:eastAsia="Calibri" w:hAnsi="Arial" w:cs="Arial"/>
          <w:color w:val="181818" w:themeColor="accent6" w:themeShade="1A"/>
          <w:sz w:val="21"/>
          <w:szCs w:val="21"/>
        </w:rPr>
        <w:t xml:space="preserve">) «EL ESTUDIO DEL SECTOR TIENE UNA ESTRUCTURA DEFINIDA, APOYADA EN LOS REQUISITOS HABILITANTES […] ¿DEBO HACER LOS ANALISIS DE LOS INDICADORES </w:t>
      </w:r>
      <w:proofErr w:type="gramStart"/>
      <w:r w:rsidRPr="00537BF0">
        <w:rPr>
          <w:rFonts w:ascii="Arial" w:eastAsia="Calibri" w:hAnsi="Arial" w:cs="Arial"/>
          <w:color w:val="181818" w:themeColor="accent6" w:themeShade="1A"/>
          <w:sz w:val="21"/>
          <w:szCs w:val="21"/>
        </w:rPr>
        <w:t>FINANCIEROS(</w:t>
      </w:r>
      <w:proofErr w:type="gramEnd"/>
      <w:r w:rsidRPr="00537BF0">
        <w:rPr>
          <w:rFonts w:ascii="Arial" w:eastAsia="Calibri" w:hAnsi="Arial" w:cs="Arial"/>
          <w:color w:val="181818" w:themeColor="accent6" w:themeShade="1A"/>
          <w:sz w:val="21"/>
          <w:szCs w:val="21"/>
        </w:rPr>
        <w:t>CAPACIDAD FINANCIERA Y ORGANIZACIONAL) Y OTROS INDICADORES NECESARIOS PARA ESTABLECER ESTOS REQUISITOSO SIMPLEMENTE TOMAR LOS DE LA MATRIZ?»</w:t>
      </w:r>
    </w:p>
    <w:p w14:paraId="3618E847" w14:textId="77777777" w:rsidR="00B708FD" w:rsidRPr="006063B6" w:rsidRDefault="00B708FD" w:rsidP="00270632">
      <w:pPr>
        <w:tabs>
          <w:tab w:val="left" w:pos="709"/>
        </w:tabs>
        <w:spacing w:line="276" w:lineRule="auto"/>
        <w:jc w:val="both"/>
        <w:rPr>
          <w:rFonts w:ascii="Arial" w:eastAsia="Calibri" w:hAnsi="Arial" w:cs="Arial"/>
          <w:color w:val="181818" w:themeColor="accent6" w:themeShade="1A"/>
          <w:sz w:val="22"/>
        </w:rPr>
      </w:pPr>
    </w:p>
    <w:p w14:paraId="51CB9DB0" w14:textId="003211C8" w:rsidR="00C54828" w:rsidRPr="006063B6" w:rsidRDefault="00C54828" w:rsidP="00B708FD">
      <w:pPr>
        <w:tabs>
          <w:tab w:val="left" w:pos="709"/>
        </w:tabs>
        <w:spacing w:after="120" w:line="276" w:lineRule="auto"/>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 xml:space="preserve">Comoquiera que en virtud de los artículos 4 de la Ley 1882 de 2018, y </w:t>
      </w:r>
      <w:r w:rsidRPr="006063B6">
        <w:rPr>
          <w:rFonts w:ascii="Arial" w:eastAsia="Calibri" w:hAnsi="Arial" w:cs="Arial"/>
          <w:color w:val="181818" w:themeColor="accent6" w:themeShade="1A"/>
          <w:sz w:val="22"/>
          <w:lang w:val="es-ES"/>
        </w:rPr>
        <w:t xml:space="preserve">2.2.1.2.6.1.4, 2.2.1.2.6.2.3 y 2.2.1.2.6.3.4 del Decreto 1082 de 2015, los requisitos habilitantes determinados por los </w:t>
      </w:r>
      <w:r w:rsidR="00285104" w:rsidRPr="006063B6">
        <w:rPr>
          <w:rFonts w:ascii="Arial" w:eastAsia="Calibri" w:hAnsi="Arial" w:cs="Arial"/>
          <w:color w:val="181818" w:themeColor="accent6" w:themeShade="1A"/>
          <w:sz w:val="22"/>
          <w:lang w:val="es-ES"/>
        </w:rPr>
        <w:t>d</w:t>
      </w:r>
      <w:r w:rsidRPr="006063B6">
        <w:rPr>
          <w:rFonts w:ascii="Arial" w:eastAsia="Calibri" w:hAnsi="Arial" w:cs="Arial"/>
          <w:color w:val="181818" w:themeColor="accent6" w:themeShade="1A"/>
          <w:sz w:val="22"/>
          <w:lang w:val="es-ES"/>
        </w:rPr>
        <w:t xml:space="preserve">ocumentos </w:t>
      </w:r>
      <w:r w:rsidR="00285104" w:rsidRPr="006063B6">
        <w:rPr>
          <w:rFonts w:ascii="Arial" w:eastAsia="Calibri" w:hAnsi="Arial" w:cs="Arial"/>
          <w:color w:val="181818" w:themeColor="accent6" w:themeShade="1A"/>
          <w:sz w:val="22"/>
          <w:lang w:val="es-ES"/>
        </w:rPr>
        <w:t>t</w:t>
      </w:r>
      <w:r w:rsidRPr="006063B6">
        <w:rPr>
          <w:rFonts w:ascii="Arial" w:eastAsia="Calibri" w:hAnsi="Arial" w:cs="Arial"/>
          <w:color w:val="181818" w:themeColor="accent6" w:themeShade="1A"/>
          <w:sz w:val="22"/>
          <w:lang w:val="es-ES"/>
        </w:rPr>
        <w:t>ipo son obligatorios e inmodificables, las entidades al</w:t>
      </w:r>
      <w:r w:rsidR="00780399">
        <w:rPr>
          <w:rFonts w:ascii="Arial" w:eastAsia="Calibri" w:hAnsi="Arial" w:cs="Arial"/>
          <w:color w:val="181818" w:themeColor="accent6" w:themeShade="1A"/>
          <w:sz w:val="22"/>
          <w:lang w:val="es-ES"/>
        </w:rPr>
        <w:t xml:space="preserve"> </w:t>
      </w:r>
      <w:r w:rsidRPr="006063B6">
        <w:rPr>
          <w:rFonts w:ascii="Arial" w:eastAsia="Calibri" w:hAnsi="Arial" w:cs="Arial"/>
          <w:color w:val="181818" w:themeColor="accent6" w:themeShade="1A"/>
          <w:sz w:val="22"/>
          <w:lang w:val="es-ES"/>
        </w:rPr>
        <w:t xml:space="preserve">adelantar procesos de contratación no </w:t>
      </w:r>
      <w:r w:rsidR="00780399">
        <w:rPr>
          <w:rFonts w:ascii="Arial" w:eastAsia="Calibri" w:hAnsi="Arial" w:cs="Arial"/>
          <w:color w:val="181818" w:themeColor="accent6" w:themeShade="1A"/>
          <w:sz w:val="22"/>
          <w:lang w:val="es-ES"/>
        </w:rPr>
        <w:t>están obligadas a</w:t>
      </w:r>
      <w:r w:rsidRPr="006063B6">
        <w:rPr>
          <w:rFonts w:ascii="Arial" w:eastAsia="Calibri" w:hAnsi="Arial" w:cs="Arial"/>
          <w:color w:val="181818" w:themeColor="accent6" w:themeShade="1A"/>
          <w:sz w:val="22"/>
          <w:lang w:val="es-ES"/>
        </w:rPr>
        <w:t xml:space="preserve"> </w:t>
      </w:r>
      <w:r w:rsidR="00285104" w:rsidRPr="006063B6">
        <w:rPr>
          <w:rFonts w:ascii="Arial" w:eastAsia="Calibri" w:hAnsi="Arial" w:cs="Arial"/>
          <w:color w:val="181818" w:themeColor="accent6" w:themeShade="1A"/>
          <w:sz w:val="22"/>
          <w:lang w:val="es-ES"/>
        </w:rPr>
        <w:t>realizar</w:t>
      </w:r>
      <w:r w:rsidRPr="006063B6">
        <w:rPr>
          <w:rFonts w:ascii="Arial" w:eastAsia="Calibri" w:hAnsi="Arial" w:cs="Arial"/>
          <w:color w:val="181818" w:themeColor="accent6" w:themeShade="1A"/>
          <w:sz w:val="22"/>
          <w:lang w:val="es-ES"/>
        </w:rPr>
        <w:t xml:space="preserve">  estudios o análisis </w:t>
      </w:r>
      <w:r w:rsidR="00285104" w:rsidRPr="006063B6">
        <w:rPr>
          <w:rFonts w:ascii="Arial" w:eastAsia="Calibri" w:hAnsi="Arial" w:cs="Arial"/>
          <w:color w:val="181818" w:themeColor="accent6" w:themeShade="1A"/>
          <w:sz w:val="22"/>
          <w:lang w:val="es-ES"/>
        </w:rPr>
        <w:t>específicos</w:t>
      </w:r>
      <w:r w:rsidRPr="006063B6">
        <w:rPr>
          <w:rFonts w:ascii="Arial" w:eastAsia="Calibri" w:hAnsi="Arial" w:cs="Arial"/>
          <w:color w:val="181818" w:themeColor="accent6" w:themeShade="1A"/>
          <w:sz w:val="22"/>
          <w:lang w:val="es-ES"/>
        </w:rPr>
        <w:t xml:space="preserve"> dirigidos a configurar</w:t>
      </w:r>
      <w:r w:rsidR="00285104" w:rsidRPr="006063B6">
        <w:rPr>
          <w:rFonts w:ascii="Arial" w:eastAsia="Calibri" w:hAnsi="Arial" w:cs="Arial"/>
          <w:color w:val="181818" w:themeColor="accent6" w:themeShade="1A"/>
          <w:sz w:val="22"/>
          <w:lang w:val="es-ES"/>
        </w:rPr>
        <w:t xml:space="preserve"> los indicadores financieros y organizacionales en función de los cuales se determinan la capacidad financiera y de organización</w:t>
      </w:r>
      <w:r w:rsidR="00537BF0">
        <w:rPr>
          <w:rFonts w:ascii="Arial" w:eastAsia="Calibri" w:hAnsi="Arial" w:cs="Arial"/>
          <w:color w:val="181818" w:themeColor="accent6" w:themeShade="1A"/>
          <w:sz w:val="22"/>
          <w:lang w:val="es-ES"/>
        </w:rPr>
        <w:t xml:space="preserve">, debiendo ceñirse a lo establecido en la </w:t>
      </w:r>
      <w:r w:rsidR="00537BF0" w:rsidRPr="00537BF0">
        <w:rPr>
          <w:rFonts w:ascii="Arial" w:eastAsia="Calibri" w:hAnsi="Arial" w:cs="Arial"/>
          <w:color w:val="181818" w:themeColor="accent6" w:themeShade="1A"/>
          <w:sz w:val="22"/>
        </w:rPr>
        <w:t>«M</w:t>
      </w:r>
      <w:proofErr w:type="spellStart"/>
      <w:r w:rsidR="00537BF0" w:rsidRPr="00537BF0">
        <w:rPr>
          <w:rFonts w:ascii="Arial" w:eastAsia="Calibri" w:hAnsi="Arial" w:cs="Arial"/>
          <w:color w:val="181818" w:themeColor="accent6" w:themeShade="1A"/>
          <w:sz w:val="22"/>
          <w:lang w:val="es-CO"/>
        </w:rPr>
        <w:t>atriz</w:t>
      </w:r>
      <w:proofErr w:type="spellEnd"/>
      <w:r w:rsidR="00537BF0" w:rsidRPr="00537BF0">
        <w:rPr>
          <w:rFonts w:ascii="Arial" w:eastAsia="Calibri" w:hAnsi="Arial" w:cs="Arial"/>
          <w:color w:val="181818" w:themeColor="accent6" w:themeShade="1A"/>
          <w:sz w:val="22"/>
          <w:lang w:val="es-CO"/>
        </w:rPr>
        <w:t xml:space="preserve"> 2 - Indicadores financieros y organizacionale</w:t>
      </w:r>
      <w:r w:rsidR="00537BF0">
        <w:rPr>
          <w:rFonts w:ascii="Arial" w:eastAsia="Calibri" w:hAnsi="Arial" w:cs="Arial"/>
          <w:color w:val="181818" w:themeColor="accent6" w:themeShade="1A"/>
          <w:sz w:val="22"/>
          <w:lang w:val="es-CO"/>
        </w:rPr>
        <w:t>s».</w:t>
      </w:r>
      <w:r w:rsidR="00285104" w:rsidRPr="006063B6">
        <w:rPr>
          <w:rFonts w:ascii="Arial" w:eastAsia="Calibri" w:hAnsi="Arial" w:cs="Arial"/>
          <w:color w:val="181818" w:themeColor="accent6" w:themeShade="1A"/>
          <w:sz w:val="22"/>
          <w:lang w:val="es-ES"/>
        </w:rPr>
        <w:t xml:space="preserve"> </w:t>
      </w:r>
      <w:r w:rsidR="00537BF0">
        <w:rPr>
          <w:rFonts w:ascii="Arial" w:eastAsia="Calibri" w:hAnsi="Arial" w:cs="Arial"/>
          <w:color w:val="181818" w:themeColor="accent6" w:themeShade="1A"/>
          <w:sz w:val="22"/>
          <w:lang w:val="es-ES"/>
        </w:rPr>
        <w:t>Al respecto</w:t>
      </w:r>
      <w:r w:rsidR="00780399">
        <w:rPr>
          <w:rFonts w:ascii="Arial" w:eastAsia="Calibri" w:hAnsi="Arial" w:cs="Arial"/>
          <w:color w:val="181818" w:themeColor="accent6" w:themeShade="1A"/>
          <w:sz w:val="22"/>
          <w:lang w:val="es-ES"/>
        </w:rPr>
        <w:t>, solo</w:t>
      </w:r>
      <w:r w:rsidR="00537BF0">
        <w:rPr>
          <w:rFonts w:ascii="Arial" w:eastAsia="Calibri" w:hAnsi="Arial" w:cs="Arial"/>
          <w:color w:val="181818" w:themeColor="accent6" w:themeShade="1A"/>
          <w:sz w:val="22"/>
          <w:lang w:val="es-ES"/>
        </w:rPr>
        <w:t xml:space="preserve"> le</w:t>
      </w:r>
      <w:r w:rsidR="00780399">
        <w:rPr>
          <w:rFonts w:ascii="Arial" w:eastAsia="Calibri" w:hAnsi="Arial" w:cs="Arial"/>
          <w:color w:val="181818" w:themeColor="accent6" w:themeShade="1A"/>
          <w:sz w:val="22"/>
          <w:lang w:val="es-ES"/>
        </w:rPr>
        <w:t>s</w:t>
      </w:r>
      <w:r w:rsidR="00537BF0">
        <w:rPr>
          <w:rFonts w:ascii="Arial" w:eastAsia="Calibri" w:hAnsi="Arial" w:cs="Arial"/>
          <w:color w:val="181818" w:themeColor="accent6" w:themeShade="1A"/>
          <w:sz w:val="22"/>
          <w:lang w:val="es-ES"/>
        </w:rPr>
        <w:t xml:space="preserve"> corresponde </w:t>
      </w:r>
      <w:r w:rsidR="00285104" w:rsidRPr="006063B6">
        <w:rPr>
          <w:rFonts w:ascii="Arial" w:eastAsia="Calibri" w:hAnsi="Arial" w:cs="Arial"/>
          <w:color w:val="181818" w:themeColor="accent6" w:themeShade="1A"/>
          <w:sz w:val="22"/>
          <w:lang w:val="es-ES"/>
        </w:rPr>
        <w:t xml:space="preserve">verificar </w:t>
      </w:r>
      <w:r w:rsidR="00780399">
        <w:rPr>
          <w:rFonts w:ascii="Arial" w:eastAsia="Calibri" w:hAnsi="Arial" w:cs="Arial"/>
          <w:color w:val="181818" w:themeColor="accent6" w:themeShade="1A"/>
          <w:sz w:val="22"/>
          <w:lang w:val="es-ES"/>
        </w:rPr>
        <w:t>su</w:t>
      </w:r>
      <w:r w:rsidR="00285104" w:rsidRPr="006063B6">
        <w:rPr>
          <w:rFonts w:ascii="Arial" w:eastAsia="Calibri" w:hAnsi="Arial" w:cs="Arial"/>
          <w:color w:val="181818" w:themeColor="accent6" w:themeShade="1A"/>
          <w:sz w:val="22"/>
          <w:lang w:val="es-ES"/>
        </w:rPr>
        <w:t xml:space="preserve"> cumplimiento conforme a las reglas establecidas en el «Documento Base».</w:t>
      </w:r>
    </w:p>
    <w:p w14:paraId="4C4E27AC" w14:textId="1AA38E4A" w:rsidR="00FE1A68" w:rsidRPr="006063B6" w:rsidRDefault="00B708FD" w:rsidP="00270632">
      <w:pPr>
        <w:tabs>
          <w:tab w:val="left" w:pos="709"/>
        </w:tabs>
        <w:spacing w:line="276" w:lineRule="auto"/>
        <w:jc w:val="both"/>
        <w:rPr>
          <w:rFonts w:ascii="Arial" w:eastAsia="Calibri" w:hAnsi="Arial" w:cs="Arial"/>
          <w:color w:val="181818" w:themeColor="accent6" w:themeShade="1A"/>
          <w:sz w:val="22"/>
        </w:rPr>
      </w:pPr>
      <w:r>
        <w:rPr>
          <w:rFonts w:ascii="Arial" w:eastAsia="Calibri" w:hAnsi="Arial" w:cs="Arial"/>
          <w:color w:val="181818" w:themeColor="accent6" w:themeShade="1A"/>
          <w:sz w:val="22"/>
        </w:rPr>
        <w:tab/>
      </w:r>
      <w:r w:rsidR="00285104" w:rsidRPr="006063B6">
        <w:rPr>
          <w:rFonts w:ascii="Arial" w:eastAsia="Calibri" w:hAnsi="Arial" w:cs="Arial"/>
          <w:color w:val="181818" w:themeColor="accent6" w:themeShade="1A"/>
          <w:sz w:val="22"/>
        </w:rPr>
        <w:t>No obstante, de conformidad con el artículo 2.2.1.1.1.6.1 del Decreto 1082 de 2015, en estos procesos también es</w:t>
      </w:r>
      <w:r w:rsidR="00FE1A68" w:rsidRPr="006063B6">
        <w:rPr>
          <w:rFonts w:ascii="Arial" w:eastAsia="Calibri" w:hAnsi="Arial" w:cs="Arial"/>
          <w:color w:val="181818" w:themeColor="accent6" w:themeShade="1A"/>
          <w:sz w:val="22"/>
        </w:rPr>
        <w:t xml:space="preserve"> obligatorio</w:t>
      </w:r>
      <w:r w:rsidR="00780399">
        <w:rPr>
          <w:rFonts w:ascii="Arial" w:eastAsia="Calibri" w:hAnsi="Arial" w:cs="Arial"/>
          <w:color w:val="181818" w:themeColor="accent6" w:themeShade="1A"/>
          <w:sz w:val="22"/>
        </w:rPr>
        <w:t xml:space="preserve"> realizar</w:t>
      </w:r>
      <w:r w:rsidR="00FE1A68" w:rsidRPr="006063B6">
        <w:rPr>
          <w:rFonts w:ascii="Arial" w:eastAsia="Calibri" w:hAnsi="Arial" w:cs="Arial"/>
          <w:color w:val="181818" w:themeColor="accent6" w:themeShade="1A"/>
          <w:sz w:val="22"/>
        </w:rPr>
        <w:t xml:space="preserve"> el análisis del sector desde las perspectivas</w:t>
      </w:r>
      <w:r w:rsidR="00270632" w:rsidRPr="006063B6">
        <w:rPr>
          <w:rFonts w:ascii="Arial" w:eastAsia="Calibri" w:hAnsi="Arial" w:cs="Arial"/>
          <w:color w:val="181818" w:themeColor="accent6" w:themeShade="1A"/>
          <w:sz w:val="22"/>
        </w:rPr>
        <w:t xml:space="preserve"> </w:t>
      </w:r>
      <w:r w:rsidR="00270632" w:rsidRPr="006063B6">
        <w:rPr>
          <w:rFonts w:ascii="Arial" w:eastAsia="Calibri" w:hAnsi="Arial" w:cs="Arial"/>
          <w:color w:val="181818" w:themeColor="accent6" w:themeShade="1A"/>
          <w:sz w:val="22"/>
          <w:lang w:val="es-CO"/>
        </w:rPr>
        <w:t>legal, comercial, financiera, organizacional, técnica y de riesgos</w:t>
      </w:r>
      <w:r w:rsidR="00285104" w:rsidRPr="006063B6">
        <w:rPr>
          <w:rFonts w:ascii="Arial" w:eastAsia="Calibri" w:hAnsi="Arial" w:cs="Arial"/>
          <w:color w:val="181818" w:themeColor="accent6" w:themeShade="1A"/>
          <w:sz w:val="22"/>
          <w:lang w:val="es-CO"/>
        </w:rPr>
        <w:t>.</w:t>
      </w:r>
    </w:p>
    <w:p w14:paraId="0F1F57AE" w14:textId="45E1FB1B" w:rsidR="00FE1A68" w:rsidRPr="006063B6" w:rsidRDefault="00270632" w:rsidP="006F021B">
      <w:pPr>
        <w:tabs>
          <w:tab w:val="left" w:pos="709"/>
        </w:tabs>
        <w:spacing w:before="120" w:line="276" w:lineRule="auto"/>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lastRenderedPageBreak/>
        <w:tab/>
        <w:t xml:space="preserve">En cumplimiento de dicho deber, </w:t>
      </w:r>
      <w:r w:rsidR="00285104" w:rsidRPr="006063B6">
        <w:rPr>
          <w:rFonts w:ascii="Arial" w:eastAsia="Calibri" w:hAnsi="Arial" w:cs="Arial"/>
          <w:color w:val="181818" w:themeColor="accent6" w:themeShade="1A"/>
          <w:sz w:val="22"/>
        </w:rPr>
        <w:t xml:space="preserve">si bien </w:t>
      </w:r>
      <w:r w:rsidRPr="006063B6">
        <w:rPr>
          <w:rFonts w:ascii="Arial" w:eastAsia="Calibri" w:hAnsi="Arial" w:cs="Arial"/>
          <w:color w:val="181818" w:themeColor="accent6" w:themeShade="1A"/>
          <w:sz w:val="22"/>
        </w:rPr>
        <w:t>les está vedado a las entidades configura</w:t>
      </w:r>
      <w:r w:rsidR="00780399">
        <w:rPr>
          <w:rFonts w:ascii="Arial" w:eastAsia="Calibri" w:hAnsi="Arial" w:cs="Arial"/>
          <w:color w:val="181818" w:themeColor="accent6" w:themeShade="1A"/>
          <w:sz w:val="22"/>
        </w:rPr>
        <w:t>r</w:t>
      </w:r>
      <w:r w:rsidRPr="006063B6">
        <w:rPr>
          <w:rFonts w:ascii="Arial" w:eastAsia="Calibri" w:hAnsi="Arial" w:cs="Arial"/>
          <w:color w:val="181818" w:themeColor="accent6" w:themeShade="1A"/>
          <w:sz w:val="22"/>
        </w:rPr>
        <w:t xml:space="preserve"> </w:t>
      </w:r>
      <w:r w:rsidR="00780399">
        <w:rPr>
          <w:rFonts w:ascii="Arial" w:eastAsia="Calibri" w:hAnsi="Arial" w:cs="Arial"/>
          <w:color w:val="181818" w:themeColor="accent6" w:themeShade="1A"/>
          <w:sz w:val="22"/>
        </w:rPr>
        <w:t>los</w:t>
      </w:r>
      <w:r w:rsidRPr="006063B6">
        <w:rPr>
          <w:rFonts w:ascii="Arial" w:eastAsia="Calibri" w:hAnsi="Arial" w:cs="Arial"/>
          <w:color w:val="181818" w:themeColor="accent6" w:themeShade="1A"/>
          <w:sz w:val="22"/>
        </w:rPr>
        <w:t xml:space="preserve"> requisitos habilitantes </w:t>
      </w:r>
      <w:r w:rsidR="002619A2">
        <w:rPr>
          <w:rFonts w:ascii="Arial" w:eastAsia="Calibri" w:hAnsi="Arial" w:cs="Arial"/>
          <w:color w:val="181818" w:themeColor="accent6" w:themeShade="1A"/>
          <w:sz w:val="22"/>
        </w:rPr>
        <w:t xml:space="preserve">y los indicadores </w:t>
      </w:r>
      <w:r w:rsidRPr="006063B6">
        <w:rPr>
          <w:rFonts w:ascii="Arial" w:eastAsia="Calibri" w:hAnsi="Arial" w:cs="Arial"/>
          <w:color w:val="181818" w:themeColor="accent6" w:themeShade="1A"/>
          <w:sz w:val="22"/>
        </w:rPr>
        <w:t>financieros y organizacionales establecidos en dichos documentos</w:t>
      </w:r>
      <w:r w:rsidR="00285104" w:rsidRPr="006063B6">
        <w:rPr>
          <w:rFonts w:ascii="Arial" w:eastAsia="Calibri" w:hAnsi="Arial" w:cs="Arial"/>
          <w:color w:val="181818" w:themeColor="accent6" w:themeShade="1A"/>
          <w:sz w:val="22"/>
        </w:rPr>
        <w:t>,</w:t>
      </w:r>
      <w:r w:rsidRPr="006063B6">
        <w:rPr>
          <w:rFonts w:ascii="Arial" w:eastAsia="Calibri" w:hAnsi="Arial" w:cs="Arial"/>
          <w:color w:val="181818" w:themeColor="accent6" w:themeShade="1A"/>
          <w:sz w:val="22"/>
        </w:rPr>
        <w:t xml:space="preserve"> la información recolectada en el marco de</w:t>
      </w:r>
      <w:r w:rsidR="002619A2">
        <w:rPr>
          <w:rFonts w:ascii="Arial" w:eastAsia="Calibri" w:hAnsi="Arial" w:cs="Arial"/>
          <w:color w:val="181818" w:themeColor="accent6" w:themeShade="1A"/>
          <w:sz w:val="22"/>
        </w:rPr>
        <w:t xml:space="preserve">l estudio del sector </w:t>
      </w:r>
      <w:r w:rsidR="009E3B99" w:rsidRPr="006063B6">
        <w:rPr>
          <w:rFonts w:ascii="Arial" w:eastAsia="Calibri" w:hAnsi="Arial" w:cs="Arial"/>
          <w:color w:val="181818" w:themeColor="accent6" w:themeShade="1A"/>
          <w:sz w:val="22"/>
        </w:rPr>
        <w:t>les</w:t>
      </w:r>
      <w:r w:rsidRPr="006063B6">
        <w:rPr>
          <w:rFonts w:ascii="Arial" w:eastAsia="Calibri" w:hAnsi="Arial" w:cs="Arial"/>
          <w:color w:val="181818" w:themeColor="accent6" w:themeShade="1A"/>
          <w:sz w:val="22"/>
        </w:rPr>
        <w:t xml:space="preserve"> permitirá a las entidades conocer las condiciones del mercado en el que se oferta la obra pública de infraestructura de transporte, sirviendo de sustento a la decisión de adelantar el proceso de selección </w:t>
      </w:r>
      <w:r w:rsidRPr="006063B6">
        <w:rPr>
          <w:rFonts w:ascii="Arial" w:eastAsia="Calibri" w:hAnsi="Arial" w:cs="Arial"/>
          <w:bCs/>
          <w:color w:val="181818" w:themeColor="accent6" w:themeShade="1A"/>
          <w:sz w:val="22"/>
          <w:lang w:val="es-ES_tradnl"/>
        </w:rPr>
        <w:t>desde el punto de vista de la eficiencia, eficacia y economía</w:t>
      </w:r>
      <w:r w:rsidR="009E3B99" w:rsidRPr="006063B6">
        <w:rPr>
          <w:rFonts w:ascii="Arial" w:eastAsia="Calibri" w:hAnsi="Arial" w:cs="Arial"/>
          <w:bCs/>
          <w:color w:val="181818" w:themeColor="accent6" w:themeShade="1A"/>
          <w:sz w:val="22"/>
          <w:lang w:val="es-ES_tradnl"/>
        </w:rPr>
        <w:t>.</w:t>
      </w:r>
    </w:p>
    <w:p w14:paraId="0DB80B59" w14:textId="31DAA74F" w:rsidR="009E3B99" w:rsidRPr="006063B6" w:rsidRDefault="000E22DD" w:rsidP="000E22DD">
      <w:pPr>
        <w:tabs>
          <w:tab w:val="left" w:pos="709"/>
        </w:tabs>
        <w:spacing w:before="120" w:line="276" w:lineRule="auto"/>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ab/>
      </w:r>
      <w:r w:rsidR="009E3B99" w:rsidRPr="006063B6">
        <w:rPr>
          <w:rFonts w:ascii="Arial" w:eastAsia="Calibri" w:hAnsi="Arial" w:cs="Arial"/>
          <w:color w:val="181818" w:themeColor="accent6" w:themeShade="1A"/>
          <w:sz w:val="22"/>
        </w:rPr>
        <w:t>Además, según lo determinan las reglas establecidas en los «Documentos Base» de los procesos de licitación pública y selección abreviada de menor cuantía, así como en la «Invitación» para procesos de mínima cuantía, la información resultante del análisis del sector servirá a las entidades para configura</w:t>
      </w:r>
      <w:r w:rsidR="002619A2">
        <w:rPr>
          <w:rFonts w:ascii="Arial" w:eastAsia="Calibri" w:hAnsi="Arial" w:cs="Arial"/>
          <w:color w:val="181818" w:themeColor="accent6" w:themeShade="1A"/>
          <w:sz w:val="22"/>
        </w:rPr>
        <w:t>r</w:t>
      </w:r>
      <w:r w:rsidR="009E3B99" w:rsidRPr="006063B6">
        <w:rPr>
          <w:rFonts w:ascii="Arial" w:eastAsia="Calibri" w:hAnsi="Arial" w:cs="Arial"/>
          <w:color w:val="181818" w:themeColor="accent6" w:themeShade="1A"/>
          <w:sz w:val="22"/>
        </w:rPr>
        <w:t xml:space="preserve"> el proceso de contratación en aspectos como la generación de un antecedente del compromiso presupuestal que involucra el contrato, la  elaboración del análisis de los riesgos, la identificación de ofertas con precios artificialmente bajos, la escogencia de los factores de calidad,  la determinación de la posibilidad de que en un proceso los proponentes acrediten la experiencia de los integrantes de su grupo empresarial o la necesidad de exigir garantías en los procesos de mínima cuantía.</w:t>
      </w:r>
    </w:p>
    <w:p w14:paraId="65923E66" w14:textId="77777777" w:rsidR="00B708FD" w:rsidRPr="006063B6" w:rsidRDefault="00B708FD" w:rsidP="00743BC8">
      <w:pPr>
        <w:tabs>
          <w:tab w:val="left" w:pos="709"/>
        </w:tabs>
        <w:spacing w:line="276" w:lineRule="auto"/>
        <w:jc w:val="both"/>
        <w:rPr>
          <w:rFonts w:ascii="Arial" w:eastAsia="Calibri" w:hAnsi="Arial" w:cs="Arial"/>
          <w:color w:val="181818" w:themeColor="accent6" w:themeShade="1A"/>
          <w:sz w:val="22"/>
        </w:rPr>
      </w:pPr>
    </w:p>
    <w:p w14:paraId="7CC88A7D" w14:textId="77777777" w:rsidR="00F1108B" w:rsidRPr="006063B6" w:rsidRDefault="00F1108B" w:rsidP="009E3B99">
      <w:pPr>
        <w:spacing w:line="276" w:lineRule="auto"/>
        <w:jc w:val="both"/>
        <w:rPr>
          <w:rFonts w:ascii="Arial" w:eastAsia="Calibri" w:hAnsi="Arial" w:cs="Arial"/>
          <w:color w:val="181818" w:themeColor="accent6" w:themeShade="1A"/>
          <w:sz w:val="22"/>
        </w:rPr>
      </w:pPr>
      <w:r w:rsidRPr="006063B6">
        <w:rPr>
          <w:rFonts w:ascii="Arial" w:eastAsia="Calibri" w:hAnsi="Arial" w:cs="Arial"/>
          <w:color w:val="181818" w:themeColor="accent6" w:themeShade="1A"/>
          <w:sz w:val="22"/>
        </w:rPr>
        <w:t>Este concepto tiene el alcance previsto en el artículo 28 del Código de Procedimiento Administrativo y de lo Contencioso Administrativo.</w:t>
      </w:r>
    </w:p>
    <w:p w14:paraId="43D2F84E" w14:textId="77777777" w:rsidR="00A37FB6" w:rsidRPr="006063B6" w:rsidRDefault="00A37FB6" w:rsidP="00D01760">
      <w:pPr>
        <w:spacing w:line="276" w:lineRule="auto"/>
        <w:jc w:val="both"/>
        <w:rPr>
          <w:rFonts w:ascii="Arial" w:eastAsia="Calibri" w:hAnsi="Arial" w:cs="Arial"/>
          <w:color w:val="181818" w:themeColor="accent6" w:themeShade="1A"/>
          <w:sz w:val="22"/>
        </w:rPr>
      </w:pPr>
    </w:p>
    <w:p w14:paraId="0F8C901F" w14:textId="77777777" w:rsidR="00A37FB6" w:rsidRPr="006063B6" w:rsidRDefault="00A37FB6" w:rsidP="00D01760">
      <w:pPr>
        <w:jc w:val="both"/>
        <w:rPr>
          <w:rFonts w:ascii="Arial" w:eastAsia="Calibri" w:hAnsi="Arial" w:cs="Arial"/>
          <w:color w:val="181818" w:themeColor="accent6" w:themeShade="1A"/>
          <w:sz w:val="22"/>
        </w:rPr>
      </w:pPr>
      <w:r w:rsidRPr="006063B6">
        <w:rPr>
          <w:noProof/>
          <w:color w:val="181818" w:themeColor="accent6" w:themeShade="1A"/>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96A7FE">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6365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19E78280" w:rsidR="00A37FB6" w:rsidRDefault="00A37FB6" w:rsidP="00D01760">
      <w:pPr>
        <w:rPr>
          <w:rFonts w:ascii="Arial" w:eastAsia="Times New Roman" w:hAnsi="Arial" w:cs="Arial"/>
          <w:color w:val="181818" w:themeColor="accent6" w:themeShade="1A"/>
          <w:sz w:val="22"/>
          <w:lang w:eastAsia="es-CO"/>
        </w:rPr>
      </w:pPr>
      <w:r w:rsidRPr="006063B6">
        <w:rPr>
          <w:rFonts w:ascii="Arial" w:eastAsia="Times New Roman" w:hAnsi="Arial" w:cs="Arial"/>
          <w:color w:val="181818" w:themeColor="accent6" w:themeShade="1A"/>
          <w:sz w:val="22"/>
          <w:lang w:eastAsia="es-CO"/>
        </w:rPr>
        <w:t>Atentamente,</w:t>
      </w:r>
    </w:p>
    <w:p w14:paraId="61862A5C" w14:textId="09490FB5" w:rsidR="008E2B9A" w:rsidRPr="006063B6" w:rsidRDefault="008E2B9A" w:rsidP="008E2B9A">
      <w:pPr>
        <w:jc w:val="center"/>
        <w:rPr>
          <w:rFonts w:ascii="Arial" w:eastAsia="Times New Roman" w:hAnsi="Arial" w:cs="Arial"/>
          <w:color w:val="181818" w:themeColor="accent6" w:themeShade="1A"/>
          <w:sz w:val="22"/>
          <w:lang w:eastAsia="es-CO"/>
        </w:rPr>
      </w:pPr>
      <w:r>
        <w:rPr>
          <w:noProof/>
        </w:rPr>
        <w:drawing>
          <wp:inline distT="0" distB="0" distL="0" distR="0" wp14:anchorId="52EC4B19" wp14:editId="65B24FEA">
            <wp:extent cx="2773144" cy="988695"/>
            <wp:effectExtent l="0" t="0" r="0" b="0"/>
            <wp:docPr id="23824758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7DD1EBD" w14:textId="2A8F0C8E" w:rsidR="00746E08" w:rsidRPr="006063B6" w:rsidRDefault="00746E08" w:rsidP="00746E08">
      <w:pPr>
        <w:jc w:val="center"/>
        <w:rPr>
          <w:rFonts w:ascii="Arial" w:eastAsia="Times New Roman" w:hAnsi="Arial" w:cs="Arial"/>
          <w:color w:val="181818" w:themeColor="accent6" w:themeShade="1A"/>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41F7F" w:rsidRPr="006063B6" w14:paraId="469202AF" w14:textId="77777777" w:rsidTr="003432C8">
        <w:trPr>
          <w:trHeight w:val="315"/>
        </w:trPr>
        <w:tc>
          <w:tcPr>
            <w:tcW w:w="812" w:type="dxa"/>
            <w:vAlign w:val="center"/>
            <w:hideMark/>
          </w:tcPr>
          <w:p w14:paraId="3F62A0B3" w14:textId="77777777" w:rsidR="00746E08" w:rsidRPr="006063B6" w:rsidRDefault="00746E08">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F99335" w14:textId="42BDDDD4" w:rsidR="00746E08" w:rsidRPr="006063B6" w:rsidRDefault="009E3B99">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Alejandro Sarmiento Cantillo</w:t>
            </w:r>
            <w:r w:rsidR="00A668BA" w:rsidRPr="006063B6">
              <w:rPr>
                <w:rFonts w:ascii="Arial" w:eastAsia="Times New Roman" w:hAnsi="Arial" w:cs="Arial"/>
                <w:color w:val="181818" w:themeColor="accent6" w:themeShade="1A"/>
                <w:sz w:val="16"/>
                <w:szCs w:val="16"/>
                <w:lang w:eastAsia="es-ES"/>
              </w:rPr>
              <w:t xml:space="preserve"> </w:t>
            </w:r>
          </w:p>
          <w:p w14:paraId="51C325E7" w14:textId="2C513DDE" w:rsidR="00BD664D" w:rsidRPr="006063B6" w:rsidRDefault="00BD664D">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Contratista</w:t>
            </w:r>
            <w:r w:rsidR="001E7193">
              <w:rPr>
                <w:rFonts w:ascii="Arial" w:eastAsia="Times New Roman" w:hAnsi="Arial" w:cs="Arial"/>
                <w:color w:val="181818" w:themeColor="accent6" w:themeShade="1A"/>
                <w:sz w:val="16"/>
                <w:szCs w:val="16"/>
                <w:lang w:eastAsia="es-ES"/>
              </w:rPr>
              <w:t xml:space="preserve"> –</w:t>
            </w:r>
            <w:r w:rsidRPr="006063B6">
              <w:rPr>
                <w:rFonts w:ascii="Arial" w:eastAsia="Times New Roman" w:hAnsi="Arial" w:cs="Arial"/>
                <w:color w:val="181818" w:themeColor="accent6" w:themeShade="1A"/>
                <w:sz w:val="16"/>
                <w:szCs w:val="16"/>
                <w:lang w:eastAsia="es-ES"/>
              </w:rPr>
              <w:t xml:space="preserve"> Subdirección de Gestión Contractual</w:t>
            </w:r>
          </w:p>
        </w:tc>
      </w:tr>
      <w:tr w:rsidR="00E41F7F" w:rsidRPr="006063B6" w14:paraId="10BC78E8" w14:textId="77777777" w:rsidTr="003432C8">
        <w:trPr>
          <w:trHeight w:val="330"/>
        </w:trPr>
        <w:tc>
          <w:tcPr>
            <w:tcW w:w="812" w:type="dxa"/>
            <w:vAlign w:val="center"/>
            <w:hideMark/>
          </w:tcPr>
          <w:p w14:paraId="6A7DBF66" w14:textId="77777777" w:rsidR="00746E08" w:rsidRPr="006063B6" w:rsidRDefault="00746E08">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43BF4205" w:rsidR="00746E08" w:rsidRPr="006063B6" w:rsidRDefault="001E7193" w:rsidP="00746E08">
            <w:pPr>
              <w:rPr>
                <w:rFonts w:ascii="Arial" w:eastAsia="Times New Roman" w:hAnsi="Arial" w:cs="Arial"/>
                <w:color w:val="181818" w:themeColor="accent6" w:themeShade="1A"/>
                <w:sz w:val="16"/>
                <w:szCs w:val="16"/>
                <w:lang w:eastAsia="es-ES"/>
              </w:rPr>
            </w:pPr>
            <w:r>
              <w:rPr>
                <w:rFonts w:ascii="Arial" w:eastAsia="Times New Roman" w:hAnsi="Arial" w:cs="Arial"/>
                <w:color w:val="181818" w:themeColor="accent6" w:themeShade="1A"/>
                <w:sz w:val="16"/>
                <w:szCs w:val="16"/>
                <w:lang w:eastAsia="es-ES"/>
              </w:rPr>
              <w:t>Sebastián Ramírez Grisales</w:t>
            </w:r>
          </w:p>
          <w:p w14:paraId="19E8BD8D" w14:textId="1B548186" w:rsidR="00746E08" w:rsidRPr="006063B6" w:rsidRDefault="000744B4">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Contratista</w:t>
            </w:r>
            <w:r w:rsidR="001E7193">
              <w:rPr>
                <w:rFonts w:ascii="Arial" w:eastAsia="Times New Roman" w:hAnsi="Arial" w:cs="Arial"/>
                <w:color w:val="181818" w:themeColor="accent6" w:themeShade="1A"/>
                <w:sz w:val="16"/>
                <w:szCs w:val="16"/>
                <w:lang w:eastAsia="es-ES"/>
              </w:rPr>
              <w:t xml:space="preserve"> – </w:t>
            </w:r>
            <w:r w:rsidRPr="006063B6">
              <w:rPr>
                <w:rFonts w:ascii="Arial" w:eastAsia="Times New Roman" w:hAnsi="Arial" w:cs="Arial"/>
                <w:color w:val="181818" w:themeColor="accent6" w:themeShade="1A"/>
                <w:sz w:val="16"/>
                <w:szCs w:val="16"/>
                <w:lang w:eastAsia="es-ES"/>
              </w:rPr>
              <w:t xml:space="preserve">Subdirección </w:t>
            </w:r>
            <w:r w:rsidR="00746E08" w:rsidRPr="006063B6">
              <w:rPr>
                <w:rFonts w:ascii="Arial" w:eastAsia="Times New Roman" w:hAnsi="Arial" w:cs="Arial"/>
                <w:color w:val="181818" w:themeColor="accent6" w:themeShade="1A"/>
                <w:sz w:val="16"/>
                <w:szCs w:val="16"/>
                <w:lang w:eastAsia="es-ES"/>
              </w:rPr>
              <w:t>de Gestión Contractual</w:t>
            </w:r>
          </w:p>
        </w:tc>
      </w:tr>
      <w:tr w:rsidR="00746E08" w:rsidRPr="006063B6" w14:paraId="50741B38" w14:textId="77777777" w:rsidTr="003432C8">
        <w:trPr>
          <w:trHeight w:val="300"/>
        </w:trPr>
        <w:tc>
          <w:tcPr>
            <w:tcW w:w="812" w:type="dxa"/>
            <w:vAlign w:val="center"/>
            <w:hideMark/>
          </w:tcPr>
          <w:p w14:paraId="297715FA" w14:textId="77777777" w:rsidR="00746E08" w:rsidRPr="006063B6" w:rsidRDefault="00746E08">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6063B6" w:rsidRDefault="00746E08" w:rsidP="00746E08">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Fabián Gonzalo Marín Cortés</w:t>
            </w:r>
          </w:p>
          <w:p w14:paraId="17847B1F" w14:textId="71EB0D70" w:rsidR="00746E08" w:rsidRPr="006063B6" w:rsidRDefault="00746E08">
            <w:pPr>
              <w:rPr>
                <w:rFonts w:ascii="Arial" w:eastAsia="Times New Roman" w:hAnsi="Arial" w:cs="Arial"/>
                <w:color w:val="181818" w:themeColor="accent6" w:themeShade="1A"/>
                <w:sz w:val="16"/>
                <w:szCs w:val="16"/>
                <w:lang w:eastAsia="es-ES"/>
              </w:rPr>
            </w:pPr>
            <w:r w:rsidRPr="006063B6">
              <w:rPr>
                <w:rFonts w:ascii="Arial" w:eastAsia="Times New Roman" w:hAnsi="Arial" w:cs="Arial"/>
                <w:color w:val="181818" w:themeColor="accent6" w:themeShade="1A"/>
                <w:sz w:val="16"/>
                <w:szCs w:val="16"/>
                <w:lang w:eastAsia="es-ES"/>
              </w:rPr>
              <w:t>Subdirector de Gestión Contractual</w:t>
            </w:r>
          </w:p>
        </w:tc>
      </w:tr>
    </w:tbl>
    <w:p w14:paraId="35B56F46" w14:textId="77777777" w:rsidR="00746E08" w:rsidRPr="006063B6" w:rsidRDefault="00746E08" w:rsidP="00746E08">
      <w:pPr>
        <w:rPr>
          <w:rFonts w:ascii="Arial" w:eastAsia="Times New Roman" w:hAnsi="Arial" w:cs="Arial"/>
          <w:color w:val="181818" w:themeColor="accent6" w:themeShade="1A"/>
          <w:sz w:val="16"/>
          <w:szCs w:val="16"/>
          <w:lang w:eastAsia="es-ES"/>
        </w:rPr>
      </w:pPr>
    </w:p>
    <w:sectPr w:rsidR="00746E08" w:rsidRPr="006063B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B3A8B" w14:textId="77777777" w:rsidR="009B2511" w:rsidRDefault="009B2511">
      <w:r>
        <w:separator/>
      </w:r>
    </w:p>
  </w:endnote>
  <w:endnote w:type="continuationSeparator" w:id="0">
    <w:p w14:paraId="502E36AB" w14:textId="77777777" w:rsidR="009B2511" w:rsidRDefault="009B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DB2F49" w:rsidRPr="00EA46E7" w:rsidRDefault="00DB2F49" w:rsidP="00322937">
    <w:pPr>
      <w:pStyle w:val="Sinespaciado"/>
      <w:jc w:val="right"/>
      <w:rPr>
        <w:rFonts w:ascii="Arial" w:hAnsi="Arial" w:cs="Arial"/>
        <w:sz w:val="12"/>
        <w:szCs w:val="12"/>
      </w:rPr>
    </w:pPr>
  </w:p>
  <w:p w14:paraId="7A3785F3" w14:textId="30AF0C32" w:rsidR="00DB2F49" w:rsidRPr="008217B7" w:rsidRDefault="00DB2F4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A7FD0">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A7FD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p>
  <w:p w14:paraId="48FC6A04" w14:textId="5FD1A7C9" w:rsidR="00DB2F49" w:rsidRDefault="589CB948" w:rsidP="00322937">
    <w:pPr>
      <w:pStyle w:val="Piedepgina"/>
      <w:jc w:val="center"/>
      <w:rPr>
        <w:lang w:val="es-ES"/>
      </w:rPr>
    </w:pPr>
    <w:r>
      <w:rPr>
        <w:noProof/>
      </w:rPr>
      <w:drawing>
        <wp:inline distT="0" distB="0" distL="0" distR="0" wp14:anchorId="608B196D" wp14:editId="5C3D5620">
          <wp:extent cx="3700130" cy="519139"/>
          <wp:effectExtent l="0" t="0" r="0" b="0"/>
          <wp:docPr id="10783326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DB2F49" w:rsidRDefault="00DB2F49" w:rsidP="007B0854">
    <w:pPr>
      <w:pStyle w:val="Piedepgina"/>
      <w:jc w:val="center"/>
      <w:rPr>
        <w:lang w:val="es-ES"/>
      </w:rPr>
    </w:pPr>
  </w:p>
  <w:p w14:paraId="6C0EFC49" w14:textId="77777777" w:rsidR="00DB2F49" w:rsidRPr="007B0854" w:rsidRDefault="00DB2F4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3FE4A" w14:textId="77777777" w:rsidR="009B2511" w:rsidRDefault="009B2511">
      <w:r>
        <w:separator/>
      </w:r>
    </w:p>
  </w:footnote>
  <w:footnote w:type="continuationSeparator" w:id="0">
    <w:p w14:paraId="366726DE" w14:textId="77777777" w:rsidR="009B2511" w:rsidRDefault="009B2511">
      <w:r>
        <w:continuationSeparator/>
      </w:r>
    </w:p>
  </w:footnote>
  <w:footnote w:id="1">
    <w:p w14:paraId="405059EB" w14:textId="77777777" w:rsidR="00DB2F49" w:rsidRPr="00EC6583" w:rsidRDefault="00DB2F49" w:rsidP="00694D36">
      <w:pPr>
        <w:ind w:firstLine="705"/>
        <w:jc w:val="both"/>
        <w:rPr>
          <w:rFonts w:ascii="Arial" w:hAnsi="Arial" w:cs="Arial"/>
          <w:sz w:val="19"/>
          <w:szCs w:val="19"/>
          <w:lang w:val="es-ES"/>
        </w:rPr>
      </w:pPr>
      <w:r w:rsidRPr="00EC6583">
        <w:rPr>
          <w:rStyle w:val="Refdenotaalpie"/>
          <w:rFonts w:ascii="Arial" w:hAnsi="Arial" w:cs="Arial"/>
          <w:sz w:val="19"/>
          <w:szCs w:val="19"/>
        </w:rPr>
        <w:footnoteRef/>
      </w:r>
      <w:r w:rsidRPr="00EC6583">
        <w:rPr>
          <w:rFonts w:ascii="Arial" w:hAnsi="Arial" w:cs="Arial"/>
          <w:sz w:val="19"/>
          <w:szCs w:val="19"/>
        </w:rPr>
        <w:t xml:space="preserve"> Licitación Pública «</w:t>
      </w:r>
      <w:r w:rsidRPr="00694D36">
        <w:rPr>
          <w:rStyle w:val="Textoennegrita"/>
          <w:rFonts w:ascii="Arial" w:hAnsi="Arial" w:cs="Arial"/>
          <w:b w:val="0"/>
          <w:bCs w:val="0"/>
          <w:color w:val="000000"/>
          <w:sz w:val="19"/>
          <w:szCs w:val="19"/>
        </w:rPr>
        <w:t>2.2.1.2.6.1.4. Inalterabilidad de los Documentos Tipo</w:t>
      </w:r>
      <w:r w:rsidRPr="00421043">
        <w:rPr>
          <w:rFonts w:ascii="Arial" w:hAnsi="Arial" w:cs="Arial"/>
          <w:color w:val="000000"/>
          <w:sz w:val="19"/>
          <w:szCs w:val="19"/>
        </w:rPr>
        <w:t xml:space="preserve">. Las entidades estatales </w:t>
      </w:r>
      <w:r w:rsidRPr="00EC6583">
        <w:rPr>
          <w:rFonts w:ascii="Arial" w:hAnsi="Arial" w:cs="Arial"/>
          <w:color w:val="000000"/>
          <w:sz w:val="19"/>
          <w:szCs w:val="19"/>
        </w:rPr>
        <w:t>contratantes no podrán incluir o modificar dentro de los Documentos del Proceso las condiciones habilitantes, los factores técnicos y económicos de escogencia y los sistemas de ponderación distintos a los señalados en los Documentos Tipo». </w:t>
      </w:r>
    </w:p>
    <w:p w14:paraId="65966456" w14:textId="77777777" w:rsidR="00DB2F49" w:rsidRPr="00EC6583" w:rsidRDefault="00DB2F49">
      <w:pPr>
        <w:pStyle w:val="Textonotapie"/>
        <w:rPr>
          <w:rFonts w:ascii="Arial" w:hAnsi="Arial" w:cs="Arial"/>
          <w:sz w:val="19"/>
          <w:szCs w:val="19"/>
          <w:lang w:val="es-ES"/>
        </w:rPr>
      </w:pPr>
    </w:p>
  </w:footnote>
  <w:footnote w:id="2">
    <w:p w14:paraId="55941A85" w14:textId="77777777" w:rsidR="00DB2F49" w:rsidRPr="00EC6583" w:rsidRDefault="00DB2F49">
      <w:pPr>
        <w:pStyle w:val="Textonotapie"/>
        <w:ind w:firstLine="705"/>
        <w:jc w:val="both"/>
        <w:rPr>
          <w:rFonts w:ascii="Arial" w:hAnsi="Arial" w:cs="Arial"/>
          <w:sz w:val="19"/>
          <w:szCs w:val="19"/>
        </w:rPr>
      </w:pPr>
      <w:r w:rsidRPr="00421043">
        <w:rPr>
          <w:rStyle w:val="Refdenotaalpie"/>
          <w:rFonts w:ascii="Arial" w:hAnsi="Arial" w:cs="Arial"/>
          <w:sz w:val="19"/>
          <w:szCs w:val="19"/>
        </w:rPr>
        <w:footnoteRef/>
      </w:r>
      <w:r w:rsidRPr="00421043">
        <w:rPr>
          <w:rFonts w:ascii="Arial" w:hAnsi="Arial" w:cs="Arial"/>
          <w:sz w:val="19"/>
          <w:szCs w:val="19"/>
        </w:rPr>
        <w:t xml:space="preserve"> «2.2.1.2.6.2.3. Criterios para selección abreviada de menor cuantía. La Agencia Nacional de Contratación Pública -Colombia Compra Eficiente- en coordinación con el Departamento Nacional de Planeación (DNP) y el Ministerio de Transporte, deberán tener en cuenta los par</w:t>
      </w:r>
      <w:r w:rsidRPr="00EC6583">
        <w:rPr>
          <w:rFonts w:ascii="Arial" w:hAnsi="Arial" w:cs="Arial"/>
          <w:sz w:val="19"/>
          <w:szCs w:val="19"/>
        </w:rPr>
        <w:t xml:space="preserve">ámetros definidos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 decreto.   </w:t>
      </w:r>
    </w:p>
    <w:p w14:paraId="2DCA5402" w14:textId="77777777" w:rsidR="00DB2F49" w:rsidRPr="00EC6583" w:rsidRDefault="00DB2F49">
      <w:pPr>
        <w:pStyle w:val="Textonotapie"/>
        <w:ind w:firstLine="705"/>
        <w:jc w:val="both"/>
        <w:rPr>
          <w:rFonts w:ascii="Arial" w:hAnsi="Arial" w:cs="Arial"/>
          <w:sz w:val="19"/>
          <w:szCs w:val="19"/>
          <w:lang w:val="es-CO"/>
        </w:rPr>
      </w:pPr>
      <w:proofErr w:type="gramStart"/>
      <w:r w:rsidRPr="00EC6583">
        <w:rPr>
          <w:rFonts w:ascii="Arial" w:hAnsi="Arial" w:cs="Arial"/>
          <w:sz w:val="19"/>
          <w:szCs w:val="19"/>
        </w:rPr>
        <w:t>»Los</w:t>
      </w:r>
      <w:proofErr w:type="gramEnd"/>
      <w:r w:rsidRPr="00EC6583">
        <w:rPr>
          <w:rFonts w:ascii="Arial" w:hAnsi="Arial" w:cs="Arial"/>
          <w:sz w:val="19"/>
          <w:szCs w:val="19"/>
        </w:rPr>
        <w:t xml:space="preserve"> artículos 2.2.1.2.6.1.4. y 2.2.1.2.6.1.5. del presente decreto aplican para la modalidad de selección abreviada de menor cuantía para la contratación obra pública de infraestructura de transporte».  </w:t>
      </w:r>
    </w:p>
  </w:footnote>
  <w:footnote w:id="3">
    <w:p w14:paraId="46059596" w14:textId="77777777" w:rsidR="00DB2F49" w:rsidRPr="00694D36" w:rsidRDefault="00DB2F49">
      <w:pPr>
        <w:pStyle w:val="Textonotapie"/>
        <w:rPr>
          <w:sz w:val="19"/>
          <w:szCs w:val="19"/>
        </w:rPr>
      </w:pPr>
    </w:p>
    <w:p w14:paraId="5F48728F" w14:textId="77777777" w:rsidR="00DB2F49" w:rsidRPr="00EC6583" w:rsidRDefault="00DB2F49">
      <w:pPr>
        <w:pStyle w:val="Textonotapie"/>
        <w:ind w:firstLine="705"/>
        <w:jc w:val="both"/>
        <w:rPr>
          <w:rFonts w:ascii="Arial" w:hAnsi="Arial" w:cs="Arial"/>
          <w:sz w:val="19"/>
          <w:szCs w:val="19"/>
        </w:rPr>
      </w:pPr>
      <w:r w:rsidRPr="00421043">
        <w:rPr>
          <w:rStyle w:val="Refdenotaalpie"/>
          <w:rFonts w:ascii="Arial" w:hAnsi="Arial" w:cs="Arial"/>
          <w:sz w:val="19"/>
          <w:szCs w:val="19"/>
        </w:rPr>
        <w:footnoteRef/>
      </w:r>
      <w:r w:rsidRPr="00421043">
        <w:rPr>
          <w:rFonts w:ascii="Arial" w:hAnsi="Arial" w:cs="Arial"/>
          <w:sz w:val="19"/>
          <w:szCs w:val="19"/>
        </w:rPr>
        <w:t xml:space="preserve"> Mínima cuantía: «2.2.1.2.6.3.4 Inalterabilidad de los Documentos Tipo. Las entidades estatales contratantes no podrán incluir o modificar dentro de los Documentos del Proceso, condiciones habilitantes y factores económicos de escogencia distintos a los señalados en los Documentos Tipo».</w:t>
      </w:r>
    </w:p>
    <w:p w14:paraId="795FB455" w14:textId="77777777" w:rsidR="00DB2F49" w:rsidRPr="00694D36" w:rsidRDefault="00DB2F49">
      <w:pPr>
        <w:pStyle w:val="Textonotapie"/>
        <w:ind w:firstLine="705"/>
        <w:rPr>
          <w:sz w:val="19"/>
          <w:szCs w:val="19"/>
          <w:lang w:val="es-CO"/>
        </w:rPr>
      </w:pPr>
      <w:r w:rsidRPr="00694D36">
        <w:rPr>
          <w:sz w:val="19"/>
          <w:szCs w:val="19"/>
        </w:rPr>
        <w:t xml:space="preserve">  </w:t>
      </w:r>
    </w:p>
  </w:footnote>
  <w:footnote w:id="4">
    <w:p w14:paraId="598F69DD" w14:textId="53F3B728" w:rsidR="00DB2F49" w:rsidRPr="00694D36" w:rsidRDefault="00DB2F49">
      <w:pPr>
        <w:pStyle w:val="Textonotapie"/>
        <w:ind w:firstLine="708"/>
        <w:jc w:val="both"/>
        <w:rPr>
          <w:rFonts w:ascii="Arial" w:hAnsi="Arial" w:cs="Arial"/>
          <w:sz w:val="19"/>
          <w:szCs w:val="19"/>
        </w:rPr>
      </w:pPr>
      <w:r w:rsidRPr="00694D36">
        <w:rPr>
          <w:rStyle w:val="Refdenotaalpie"/>
          <w:rFonts w:ascii="Arial" w:hAnsi="Arial" w:cs="Arial"/>
          <w:sz w:val="19"/>
          <w:szCs w:val="19"/>
        </w:rPr>
        <w:footnoteRef/>
      </w:r>
      <w:r w:rsidRPr="00694D36">
        <w:rPr>
          <w:rFonts w:ascii="Arial" w:hAnsi="Arial" w:cs="Arial"/>
          <w:sz w:val="19"/>
          <w:szCs w:val="19"/>
        </w:rPr>
        <w:t xml:space="preserve"> Entendida según el «Manual para determinar y verificar los requisitos habilitantes en los Procesos de Contratación», elaborado por la Agencia Nacional de Contratación Pública, como «la aptitud de un proponente para cumplir oportuna y cabalmente el objeto del contrato en función de su organización interna».</w:t>
      </w:r>
    </w:p>
  </w:footnote>
  <w:footnote w:id="5">
    <w:p w14:paraId="1CD26D96" w14:textId="407A4896" w:rsidR="00DB2F49" w:rsidRPr="00694D36" w:rsidRDefault="00DB2F49">
      <w:pPr>
        <w:pStyle w:val="Textonotapie"/>
        <w:ind w:firstLine="705"/>
        <w:jc w:val="both"/>
        <w:rPr>
          <w:rFonts w:ascii="Arial" w:hAnsi="Arial" w:cs="Arial"/>
          <w:sz w:val="19"/>
          <w:szCs w:val="19"/>
          <w:lang w:val="es-CO"/>
        </w:rPr>
      </w:pPr>
      <w:r w:rsidRPr="00694D36">
        <w:rPr>
          <w:rStyle w:val="Refdenotaalpie"/>
          <w:rFonts w:ascii="Arial" w:hAnsi="Arial" w:cs="Arial"/>
          <w:sz w:val="19"/>
          <w:szCs w:val="19"/>
        </w:rPr>
        <w:footnoteRef/>
      </w:r>
      <w:r w:rsidRPr="00694D36">
        <w:rPr>
          <w:rFonts w:ascii="Arial" w:hAnsi="Arial" w:cs="Arial"/>
          <w:sz w:val="19"/>
          <w:szCs w:val="19"/>
        </w:rPr>
        <w:t xml:space="preserve"> Agencia Nacional de Contratación Pública – Colombia Compra Eficiente. Manual para determinar y verificar los requisitos habilitantes en los Procesos de Contratación M-DVRHPC-05. 2018</w:t>
      </w:r>
      <w:r w:rsidR="005C0754">
        <w:rPr>
          <w:rFonts w:ascii="Arial" w:hAnsi="Arial" w:cs="Arial"/>
          <w:sz w:val="19"/>
          <w:szCs w:val="19"/>
        </w:rPr>
        <w:t>.</w:t>
      </w:r>
    </w:p>
  </w:footnote>
  <w:footnote w:id="6">
    <w:p w14:paraId="23E74F4A" w14:textId="733C6CE4" w:rsidR="00DB2F49" w:rsidRPr="00694D36" w:rsidRDefault="00DB2F49">
      <w:pPr>
        <w:pStyle w:val="Textonotapie"/>
        <w:ind w:firstLine="705"/>
        <w:jc w:val="both"/>
        <w:rPr>
          <w:rFonts w:ascii="Arial" w:hAnsi="Arial" w:cs="Arial"/>
          <w:sz w:val="19"/>
          <w:szCs w:val="19"/>
          <w:lang w:val="es-CO"/>
        </w:rPr>
      </w:pPr>
      <w:r w:rsidRPr="00694D36">
        <w:rPr>
          <w:rStyle w:val="Refdenotaalpie"/>
          <w:rFonts w:ascii="Arial" w:hAnsi="Arial" w:cs="Arial"/>
          <w:sz w:val="19"/>
          <w:szCs w:val="19"/>
        </w:rPr>
        <w:footnoteRef/>
      </w:r>
      <w:r w:rsidRPr="00694D36">
        <w:rPr>
          <w:rFonts w:ascii="Arial" w:hAnsi="Arial" w:cs="Arial"/>
          <w:sz w:val="19"/>
          <w:szCs w:val="19"/>
        </w:rPr>
        <w:t xml:space="preserve">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7">
    <w:p w14:paraId="31D685C5" w14:textId="33B798A1" w:rsidR="00DB2F49" w:rsidRPr="00694D36" w:rsidRDefault="00DB2F49">
      <w:pPr>
        <w:pStyle w:val="Textonotapie"/>
        <w:ind w:firstLine="705"/>
        <w:jc w:val="both"/>
        <w:rPr>
          <w:rFonts w:ascii="Arial" w:hAnsi="Arial" w:cs="Arial"/>
          <w:sz w:val="19"/>
          <w:szCs w:val="19"/>
        </w:rPr>
      </w:pPr>
      <w:r w:rsidRPr="00694D36">
        <w:rPr>
          <w:rStyle w:val="Refdenotaalpie"/>
          <w:rFonts w:ascii="Arial" w:hAnsi="Arial" w:cs="Arial"/>
          <w:sz w:val="19"/>
          <w:szCs w:val="19"/>
        </w:rPr>
        <w:footnoteRef/>
      </w:r>
      <w:r w:rsidRPr="00694D36">
        <w:rPr>
          <w:rFonts w:ascii="Arial" w:hAnsi="Arial" w:cs="Arial"/>
          <w:sz w:val="19"/>
          <w:szCs w:val="19"/>
        </w:rPr>
        <w:t xml:space="preserve"> DÁVILA VINUEZA, Luis Guillermo. Régimen jurídico de la contratación estatal. Tercera edición. Editorial Legis, Bogotá, 2016, p. 304 </w:t>
      </w:r>
    </w:p>
    <w:p w14:paraId="07F98248" w14:textId="2567284A" w:rsidR="00DB2F49" w:rsidRPr="00694D36" w:rsidRDefault="00DB2F49">
      <w:pPr>
        <w:pStyle w:val="Textonotapie"/>
        <w:jc w:val="both"/>
        <w:rPr>
          <w:rFonts w:ascii="Arial" w:hAnsi="Arial" w:cs="Arial"/>
          <w:sz w:val="19"/>
          <w:szCs w:val="19"/>
        </w:rPr>
      </w:pPr>
    </w:p>
  </w:footnote>
  <w:footnote w:id="8">
    <w:p w14:paraId="19832235" w14:textId="77777777" w:rsidR="00DB2F49" w:rsidRPr="00694D36" w:rsidRDefault="00DB2F49">
      <w:pPr>
        <w:pStyle w:val="Textonotapie"/>
        <w:ind w:firstLine="705"/>
        <w:jc w:val="both"/>
        <w:rPr>
          <w:rFonts w:ascii="Arial" w:hAnsi="Arial" w:cs="Arial"/>
          <w:sz w:val="19"/>
          <w:szCs w:val="19"/>
        </w:rPr>
      </w:pPr>
      <w:r w:rsidRPr="00694D36">
        <w:rPr>
          <w:rStyle w:val="Refdenotaalpie"/>
          <w:rFonts w:ascii="Arial" w:hAnsi="Arial" w:cs="Arial"/>
          <w:sz w:val="19"/>
          <w:szCs w:val="19"/>
        </w:rPr>
        <w:footnoteRef/>
      </w:r>
      <w:r w:rsidRPr="00694D36">
        <w:rPr>
          <w:rFonts w:ascii="Arial" w:hAnsi="Arial" w:cs="Arial"/>
          <w:sz w:val="19"/>
          <w:szCs w:val="19"/>
        </w:rPr>
        <w:t xml:space="preserve">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w:t>
      </w:r>
      <w:proofErr w:type="gramStart"/>
      <w:r w:rsidRPr="00694D36">
        <w:rPr>
          <w:rFonts w:ascii="Arial" w:hAnsi="Arial" w:cs="Arial"/>
          <w:sz w:val="19"/>
          <w:szCs w:val="19"/>
        </w:rPr>
        <w:t>la misma</w:t>
      </w:r>
      <w:proofErr w:type="gramEnd"/>
      <w:r w:rsidRPr="00694D36">
        <w:rPr>
          <w:rFonts w:ascii="Arial" w:hAnsi="Arial" w:cs="Arial"/>
          <w:sz w:val="19"/>
          <w:szCs w:val="19"/>
        </w:rPr>
        <w:t xml:space="preserve"> en la evaluación de las ofertas. </w:t>
      </w:r>
    </w:p>
    <w:p w14:paraId="56C40E5A" w14:textId="77777777" w:rsidR="00DB2F49" w:rsidRPr="00694D36" w:rsidRDefault="00DB2F49">
      <w:pPr>
        <w:pStyle w:val="Textonotapie"/>
        <w:ind w:firstLine="705"/>
        <w:jc w:val="both"/>
        <w:rPr>
          <w:rFonts w:ascii="Arial" w:hAnsi="Arial" w:cs="Arial"/>
          <w:sz w:val="19"/>
          <w:szCs w:val="19"/>
        </w:rPr>
      </w:pPr>
      <w:proofErr w:type="gramStart"/>
      <w:r w:rsidRPr="00694D36">
        <w:rPr>
          <w:rFonts w:ascii="Arial" w:hAnsi="Arial" w:cs="Arial"/>
          <w:sz w:val="19"/>
          <w:szCs w:val="19"/>
        </w:rPr>
        <w:t>»Cuando</w:t>
      </w:r>
      <w:proofErr w:type="gramEnd"/>
      <w:r w:rsidRPr="00694D36">
        <w:rPr>
          <w:rFonts w:ascii="Arial" w:hAnsi="Arial" w:cs="Arial"/>
          <w:sz w:val="19"/>
          <w:szCs w:val="19"/>
        </w:rPr>
        <w:t xml:space="preserve">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 </w:t>
      </w:r>
    </w:p>
    <w:p w14:paraId="3A677E25" w14:textId="77777777" w:rsidR="00DB2F49" w:rsidRPr="00694D36" w:rsidRDefault="00DB2F49">
      <w:pPr>
        <w:pStyle w:val="Textonotapie"/>
        <w:ind w:firstLine="705"/>
        <w:jc w:val="both"/>
        <w:rPr>
          <w:rFonts w:ascii="Arial" w:hAnsi="Arial" w:cs="Arial"/>
          <w:sz w:val="19"/>
          <w:szCs w:val="19"/>
          <w:lang w:val="es-CO"/>
        </w:rPr>
      </w:pPr>
      <w:proofErr w:type="gramStart"/>
      <w:r w:rsidRPr="00694D36">
        <w:rPr>
          <w:rFonts w:ascii="Arial" w:hAnsi="Arial" w:cs="Arial"/>
          <w:sz w:val="19"/>
          <w:szCs w:val="19"/>
        </w:rPr>
        <w:t>»En</w:t>
      </w:r>
      <w:proofErr w:type="gramEnd"/>
      <w:r w:rsidRPr="00694D36">
        <w:rPr>
          <w:rFonts w:ascii="Arial" w:hAnsi="Arial" w:cs="Arial"/>
          <w:sz w:val="19"/>
          <w:szCs w:val="19"/>
        </w:rPr>
        <w:t xml:space="preserve"> la subasta inversa esta disposición es aplicable sobre el precio obtenido al final de la misma».</w:t>
      </w:r>
    </w:p>
  </w:footnote>
  <w:footnote w:id="9">
    <w:p w14:paraId="3758D114" w14:textId="77777777" w:rsidR="00DB2F49" w:rsidRPr="00694D36" w:rsidRDefault="00DB2F49">
      <w:pPr>
        <w:pStyle w:val="Textonotapie"/>
        <w:ind w:firstLine="705"/>
        <w:jc w:val="both"/>
        <w:rPr>
          <w:rFonts w:ascii="Arial" w:hAnsi="Arial" w:cs="Arial"/>
          <w:sz w:val="19"/>
          <w:szCs w:val="19"/>
        </w:rPr>
      </w:pPr>
    </w:p>
    <w:p w14:paraId="1D9ADD4F" w14:textId="3B63F1A8" w:rsidR="00DB2F49" w:rsidRPr="00694D36" w:rsidRDefault="00DB2F49" w:rsidP="00694D36">
      <w:pPr>
        <w:ind w:firstLine="708"/>
        <w:jc w:val="both"/>
        <w:rPr>
          <w:rFonts w:ascii="Arial" w:hAnsi="Arial" w:cs="Arial"/>
          <w:sz w:val="19"/>
          <w:szCs w:val="19"/>
          <w:lang w:val="es-CO"/>
        </w:rPr>
      </w:pPr>
      <w:r w:rsidRPr="00694D36">
        <w:rPr>
          <w:rStyle w:val="Refdenotaalpie"/>
          <w:rFonts w:ascii="Arial" w:hAnsi="Arial" w:cs="Arial"/>
          <w:sz w:val="19"/>
          <w:szCs w:val="19"/>
        </w:rPr>
        <w:footnoteRef/>
      </w:r>
      <w:r w:rsidRPr="00694D36">
        <w:rPr>
          <w:rFonts w:ascii="Arial" w:hAnsi="Arial" w:cs="Arial"/>
          <w:sz w:val="19"/>
          <w:szCs w:val="19"/>
        </w:rPr>
        <w:t xml:space="preserve"> Los referidos documentos disponen «</w:t>
      </w:r>
      <w:r w:rsidRPr="00694D36">
        <w:rPr>
          <w:rFonts w:ascii="Arial" w:eastAsia="Times New Roman" w:hAnsi="Arial" w:cs="Arial"/>
          <w:color w:val="565659"/>
          <w:sz w:val="19"/>
          <w:szCs w:val="19"/>
          <w:highlight w:val="lightGray"/>
        </w:rPr>
        <w:t>[</w:t>
      </w:r>
      <w:r w:rsidRPr="00694D36">
        <w:rPr>
          <w:rFonts w:ascii="Arial" w:eastAsia="Arial" w:hAnsi="Arial" w:cs="Arial"/>
          <w:sz w:val="19"/>
          <w:szCs w:val="19"/>
          <w:highlight w:val="lightGray"/>
          <w:lang w:eastAsia="es-ES"/>
        </w:rPr>
        <w:t>Por regla general, el Proponente solo puede acreditar la experiencia que ha obtenido y no la experiencia de su matriz, subsidiarias o integrantes del mismo grupo empresarial. No obstante, si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694D36">
        <w:rPr>
          <w:rFonts w:ascii="Arial" w:eastAsia="Arial" w:hAnsi="Arial" w:cs="Arial"/>
          <w:sz w:val="19"/>
          <w:szCs w:val="19"/>
          <w:lang w:eastAsia="es-ES"/>
        </w:rPr>
        <w:t>».</w:t>
      </w:r>
    </w:p>
    <w:p w14:paraId="7432A894" w14:textId="0969096A" w:rsidR="00DB2F49" w:rsidRPr="00694D36" w:rsidRDefault="00DB2F49">
      <w:pPr>
        <w:pStyle w:val="Textonotapie"/>
        <w:ind w:firstLine="705"/>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DB2F49" w:rsidRDefault="00DB2F49">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05CA2"/>
    <w:rsid w:val="0001035E"/>
    <w:rsid w:val="00013664"/>
    <w:rsid w:val="00022E15"/>
    <w:rsid w:val="000279B3"/>
    <w:rsid w:val="00032912"/>
    <w:rsid w:val="00034130"/>
    <w:rsid w:val="00034C5A"/>
    <w:rsid w:val="00037573"/>
    <w:rsid w:val="00040DEA"/>
    <w:rsid w:val="00043734"/>
    <w:rsid w:val="00045246"/>
    <w:rsid w:val="0004752B"/>
    <w:rsid w:val="000529A0"/>
    <w:rsid w:val="0005551F"/>
    <w:rsid w:val="0005657D"/>
    <w:rsid w:val="000565DF"/>
    <w:rsid w:val="00056BD1"/>
    <w:rsid w:val="0006537A"/>
    <w:rsid w:val="000744B4"/>
    <w:rsid w:val="00076A78"/>
    <w:rsid w:val="00080ACD"/>
    <w:rsid w:val="00082FC1"/>
    <w:rsid w:val="00084B97"/>
    <w:rsid w:val="00093C9C"/>
    <w:rsid w:val="000942EB"/>
    <w:rsid w:val="0009676A"/>
    <w:rsid w:val="000A0158"/>
    <w:rsid w:val="000A2953"/>
    <w:rsid w:val="000A3B5A"/>
    <w:rsid w:val="000A3C64"/>
    <w:rsid w:val="000A42C9"/>
    <w:rsid w:val="000A47AF"/>
    <w:rsid w:val="000B0791"/>
    <w:rsid w:val="000B0FAB"/>
    <w:rsid w:val="000B103F"/>
    <w:rsid w:val="000B419B"/>
    <w:rsid w:val="000C2392"/>
    <w:rsid w:val="000C639D"/>
    <w:rsid w:val="000C75EC"/>
    <w:rsid w:val="000D0ED2"/>
    <w:rsid w:val="000D1EBE"/>
    <w:rsid w:val="000D68EA"/>
    <w:rsid w:val="000E0AF1"/>
    <w:rsid w:val="000E22DD"/>
    <w:rsid w:val="000E2BB6"/>
    <w:rsid w:val="000F14E8"/>
    <w:rsid w:val="000F576E"/>
    <w:rsid w:val="000F5896"/>
    <w:rsid w:val="001019AF"/>
    <w:rsid w:val="00103915"/>
    <w:rsid w:val="001051E5"/>
    <w:rsid w:val="00113705"/>
    <w:rsid w:val="00122B23"/>
    <w:rsid w:val="00125BED"/>
    <w:rsid w:val="00125C59"/>
    <w:rsid w:val="00127AF2"/>
    <w:rsid w:val="00130016"/>
    <w:rsid w:val="001344EB"/>
    <w:rsid w:val="001350C4"/>
    <w:rsid w:val="00136BF7"/>
    <w:rsid w:val="00137FFA"/>
    <w:rsid w:val="001402C5"/>
    <w:rsid w:val="00141245"/>
    <w:rsid w:val="001418A4"/>
    <w:rsid w:val="001458D4"/>
    <w:rsid w:val="00145CF3"/>
    <w:rsid w:val="00146DE2"/>
    <w:rsid w:val="00150F04"/>
    <w:rsid w:val="00160401"/>
    <w:rsid w:val="00161B15"/>
    <w:rsid w:val="00161B32"/>
    <w:rsid w:val="0016200B"/>
    <w:rsid w:val="00163A34"/>
    <w:rsid w:val="001640DB"/>
    <w:rsid w:val="00165D90"/>
    <w:rsid w:val="001753F7"/>
    <w:rsid w:val="00182F57"/>
    <w:rsid w:val="00187333"/>
    <w:rsid w:val="00187B5D"/>
    <w:rsid w:val="00195789"/>
    <w:rsid w:val="00196CBA"/>
    <w:rsid w:val="001A0F0E"/>
    <w:rsid w:val="001A1EA7"/>
    <w:rsid w:val="001A2ADE"/>
    <w:rsid w:val="001A2DD2"/>
    <w:rsid w:val="001A3EC0"/>
    <w:rsid w:val="001A6FE9"/>
    <w:rsid w:val="001A7FD0"/>
    <w:rsid w:val="001B03BF"/>
    <w:rsid w:val="001B0444"/>
    <w:rsid w:val="001B07AA"/>
    <w:rsid w:val="001B2456"/>
    <w:rsid w:val="001B76A8"/>
    <w:rsid w:val="001C26F2"/>
    <w:rsid w:val="001C3E5C"/>
    <w:rsid w:val="001C435C"/>
    <w:rsid w:val="001C6D2E"/>
    <w:rsid w:val="001E7193"/>
    <w:rsid w:val="001E76D1"/>
    <w:rsid w:val="001E7EFF"/>
    <w:rsid w:val="001F0E9B"/>
    <w:rsid w:val="001F115F"/>
    <w:rsid w:val="001F2356"/>
    <w:rsid w:val="001F7547"/>
    <w:rsid w:val="00202A9C"/>
    <w:rsid w:val="0020632A"/>
    <w:rsid w:val="0021094E"/>
    <w:rsid w:val="002110EB"/>
    <w:rsid w:val="00211338"/>
    <w:rsid w:val="00211388"/>
    <w:rsid w:val="0021234D"/>
    <w:rsid w:val="00213A1F"/>
    <w:rsid w:val="002143A8"/>
    <w:rsid w:val="002157D0"/>
    <w:rsid w:val="002304E7"/>
    <w:rsid w:val="002320F1"/>
    <w:rsid w:val="00234B84"/>
    <w:rsid w:val="0024107C"/>
    <w:rsid w:val="0024506E"/>
    <w:rsid w:val="00245778"/>
    <w:rsid w:val="00247712"/>
    <w:rsid w:val="0025797C"/>
    <w:rsid w:val="002619A2"/>
    <w:rsid w:val="00261CA9"/>
    <w:rsid w:val="00263ECC"/>
    <w:rsid w:val="00270632"/>
    <w:rsid w:val="00270F5A"/>
    <w:rsid w:val="002765EE"/>
    <w:rsid w:val="00277630"/>
    <w:rsid w:val="0028243F"/>
    <w:rsid w:val="00283610"/>
    <w:rsid w:val="00283FB7"/>
    <w:rsid w:val="0028449C"/>
    <w:rsid w:val="00285104"/>
    <w:rsid w:val="00295A3E"/>
    <w:rsid w:val="002B25ED"/>
    <w:rsid w:val="002B3C1A"/>
    <w:rsid w:val="002C496D"/>
    <w:rsid w:val="002C4C0C"/>
    <w:rsid w:val="002C62F3"/>
    <w:rsid w:val="002D708C"/>
    <w:rsid w:val="002D7E0C"/>
    <w:rsid w:val="002E4771"/>
    <w:rsid w:val="002E49B4"/>
    <w:rsid w:val="002E55ED"/>
    <w:rsid w:val="002F49AB"/>
    <w:rsid w:val="00302A74"/>
    <w:rsid w:val="003033BA"/>
    <w:rsid w:val="00305BDF"/>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680A"/>
    <w:rsid w:val="00352F08"/>
    <w:rsid w:val="00353DD5"/>
    <w:rsid w:val="00361021"/>
    <w:rsid w:val="00363B8C"/>
    <w:rsid w:val="003713CB"/>
    <w:rsid w:val="00371889"/>
    <w:rsid w:val="00376ADC"/>
    <w:rsid w:val="003775C1"/>
    <w:rsid w:val="00382349"/>
    <w:rsid w:val="003856A6"/>
    <w:rsid w:val="00386456"/>
    <w:rsid w:val="00387D23"/>
    <w:rsid w:val="003953D2"/>
    <w:rsid w:val="00397FF0"/>
    <w:rsid w:val="003A0878"/>
    <w:rsid w:val="003A2039"/>
    <w:rsid w:val="003A2109"/>
    <w:rsid w:val="003A5718"/>
    <w:rsid w:val="003A581E"/>
    <w:rsid w:val="003B09C2"/>
    <w:rsid w:val="003B2B10"/>
    <w:rsid w:val="003B3E7C"/>
    <w:rsid w:val="003B4C4C"/>
    <w:rsid w:val="003B6C79"/>
    <w:rsid w:val="003C1AF4"/>
    <w:rsid w:val="003C27D7"/>
    <w:rsid w:val="003C5E5D"/>
    <w:rsid w:val="003E0272"/>
    <w:rsid w:val="003F14DE"/>
    <w:rsid w:val="003F1DE4"/>
    <w:rsid w:val="003F79C4"/>
    <w:rsid w:val="00400E2E"/>
    <w:rsid w:val="004068B0"/>
    <w:rsid w:val="00407E41"/>
    <w:rsid w:val="00413FFA"/>
    <w:rsid w:val="00416006"/>
    <w:rsid w:val="004178A0"/>
    <w:rsid w:val="00421043"/>
    <w:rsid w:val="00423F9F"/>
    <w:rsid w:val="00432813"/>
    <w:rsid w:val="00434787"/>
    <w:rsid w:val="00435489"/>
    <w:rsid w:val="0043561A"/>
    <w:rsid w:val="004422D6"/>
    <w:rsid w:val="00442F3F"/>
    <w:rsid w:val="00447D96"/>
    <w:rsid w:val="0045255A"/>
    <w:rsid w:val="0045271D"/>
    <w:rsid w:val="00452803"/>
    <w:rsid w:val="00453E56"/>
    <w:rsid w:val="00454217"/>
    <w:rsid w:val="00455354"/>
    <w:rsid w:val="0045661E"/>
    <w:rsid w:val="00461B68"/>
    <w:rsid w:val="00461B96"/>
    <w:rsid w:val="00464030"/>
    <w:rsid w:val="00466520"/>
    <w:rsid w:val="0046677A"/>
    <w:rsid w:val="00474C5E"/>
    <w:rsid w:val="00477DFA"/>
    <w:rsid w:val="004808DE"/>
    <w:rsid w:val="004861B4"/>
    <w:rsid w:val="0049241A"/>
    <w:rsid w:val="00494A1C"/>
    <w:rsid w:val="00495786"/>
    <w:rsid w:val="004A08D1"/>
    <w:rsid w:val="004A34D2"/>
    <w:rsid w:val="004B0CD0"/>
    <w:rsid w:val="004B602F"/>
    <w:rsid w:val="004C22F7"/>
    <w:rsid w:val="004D245F"/>
    <w:rsid w:val="004D42DE"/>
    <w:rsid w:val="004E61D5"/>
    <w:rsid w:val="00505308"/>
    <w:rsid w:val="005053B0"/>
    <w:rsid w:val="0051074C"/>
    <w:rsid w:val="00512961"/>
    <w:rsid w:val="00512C4F"/>
    <w:rsid w:val="00513AF2"/>
    <w:rsid w:val="00522C81"/>
    <w:rsid w:val="00523559"/>
    <w:rsid w:val="00525706"/>
    <w:rsid w:val="00530F05"/>
    <w:rsid w:val="00530FEA"/>
    <w:rsid w:val="005312DB"/>
    <w:rsid w:val="00537BF0"/>
    <w:rsid w:val="0054311A"/>
    <w:rsid w:val="0054413A"/>
    <w:rsid w:val="00550AA0"/>
    <w:rsid w:val="005527B3"/>
    <w:rsid w:val="00552E97"/>
    <w:rsid w:val="0055305B"/>
    <w:rsid w:val="005564CA"/>
    <w:rsid w:val="0056182B"/>
    <w:rsid w:val="00562315"/>
    <w:rsid w:val="00562A57"/>
    <w:rsid w:val="005715A2"/>
    <w:rsid w:val="00573BE5"/>
    <w:rsid w:val="005756AA"/>
    <w:rsid w:val="005813DE"/>
    <w:rsid w:val="0058223E"/>
    <w:rsid w:val="005868D7"/>
    <w:rsid w:val="00586DD4"/>
    <w:rsid w:val="00594FFF"/>
    <w:rsid w:val="005A145F"/>
    <w:rsid w:val="005A1976"/>
    <w:rsid w:val="005A35EF"/>
    <w:rsid w:val="005A3F3E"/>
    <w:rsid w:val="005A58CE"/>
    <w:rsid w:val="005A5A3D"/>
    <w:rsid w:val="005C0652"/>
    <w:rsid w:val="005C0754"/>
    <w:rsid w:val="005C117E"/>
    <w:rsid w:val="005C3047"/>
    <w:rsid w:val="005C5C52"/>
    <w:rsid w:val="005D467A"/>
    <w:rsid w:val="005D51FA"/>
    <w:rsid w:val="005D791B"/>
    <w:rsid w:val="005E1574"/>
    <w:rsid w:val="005E5A60"/>
    <w:rsid w:val="005E5AB9"/>
    <w:rsid w:val="005E66BE"/>
    <w:rsid w:val="005E77B0"/>
    <w:rsid w:val="005F2C11"/>
    <w:rsid w:val="005F368F"/>
    <w:rsid w:val="005F3969"/>
    <w:rsid w:val="005F46FD"/>
    <w:rsid w:val="005F5F8F"/>
    <w:rsid w:val="005F688C"/>
    <w:rsid w:val="006003F5"/>
    <w:rsid w:val="0060057C"/>
    <w:rsid w:val="0060361A"/>
    <w:rsid w:val="006043FE"/>
    <w:rsid w:val="006063B6"/>
    <w:rsid w:val="00606DCD"/>
    <w:rsid w:val="0061108C"/>
    <w:rsid w:val="00614817"/>
    <w:rsid w:val="00615D36"/>
    <w:rsid w:val="0061659F"/>
    <w:rsid w:val="006167DA"/>
    <w:rsid w:val="00622313"/>
    <w:rsid w:val="00623AC2"/>
    <w:rsid w:val="00632C7A"/>
    <w:rsid w:val="00633DBF"/>
    <w:rsid w:val="00640C1D"/>
    <w:rsid w:val="00646D60"/>
    <w:rsid w:val="00655371"/>
    <w:rsid w:val="00662BB0"/>
    <w:rsid w:val="0066493E"/>
    <w:rsid w:val="006673AF"/>
    <w:rsid w:val="00670B20"/>
    <w:rsid w:val="00671919"/>
    <w:rsid w:val="0067359B"/>
    <w:rsid w:val="00676127"/>
    <w:rsid w:val="006908DB"/>
    <w:rsid w:val="00694D36"/>
    <w:rsid w:val="0069634F"/>
    <w:rsid w:val="00697665"/>
    <w:rsid w:val="00697CA8"/>
    <w:rsid w:val="006A7CB5"/>
    <w:rsid w:val="006A7FD0"/>
    <w:rsid w:val="006B1B56"/>
    <w:rsid w:val="006B22D4"/>
    <w:rsid w:val="006B46C8"/>
    <w:rsid w:val="006C054A"/>
    <w:rsid w:val="006C0A3F"/>
    <w:rsid w:val="006C405D"/>
    <w:rsid w:val="006C4782"/>
    <w:rsid w:val="006D7687"/>
    <w:rsid w:val="006E0572"/>
    <w:rsid w:val="006F021B"/>
    <w:rsid w:val="00700883"/>
    <w:rsid w:val="00705631"/>
    <w:rsid w:val="007057EC"/>
    <w:rsid w:val="00715C29"/>
    <w:rsid w:val="00715EAA"/>
    <w:rsid w:val="00722CE7"/>
    <w:rsid w:val="0072427F"/>
    <w:rsid w:val="00725AFD"/>
    <w:rsid w:val="00726E6A"/>
    <w:rsid w:val="007279B4"/>
    <w:rsid w:val="00727F71"/>
    <w:rsid w:val="0073425D"/>
    <w:rsid w:val="00740243"/>
    <w:rsid w:val="00740E48"/>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80199"/>
    <w:rsid w:val="00780399"/>
    <w:rsid w:val="00780F32"/>
    <w:rsid w:val="0078122E"/>
    <w:rsid w:val="00781CF5"/>
    <w:rsid w:val="007873A0"/>
    <w:rsid w:val="00790037"/>
    <w:rsid w:val="0079299F"/>
    <w:rsid w:val="007936A3"/>
    <w:rsid w:val="0079381F"/>
    <w:rsid w:val="00795647"/>
    <w:rsid w:val="007A0419"/>
    <w:rsid w:val="007A2F81"/>
    <w:rsid w:val="007A6247"/>
    <w:rsid w:val="007B0854"/>
    <w:rsid w:val="007B6EC8"/>
    <w:rsid w:val="007C1BE1"/>
    <w:rsid w:val="007C29FB"/>
    <w:rsid w:val="007C2EB2"/>
    <w:rsid w:val="007D66E2"/>
    <w:rsid w:val="007E4AA9"/>
    <w:rsid w:val="007F067B"/>
    <w:rsid w:val="007F22A0"/>
    <w:rsid w:val="007F3E7C"/>
    <w:rsid w:val="007F6B46"/>
    <w:rsid w:val="007F72CB"/>
    <w:rsid w:val="007F785F"/>
    <w:rsid w:val="00811C61"/>
    <w:rsid w:val="0081766B"/>
    <w:rsid w:val="008217B7"/>
    <w:rsid w:val="008240B3"/>
    <w:rsid w:val="0082736A"/>
    <w:rsid w:val="00827FA6"/>
    <w:rsid w:val="0083119B"/>
    <w:rsid w:val="00832CFD"/>
    <w:rsid w:val="00836EAB"/>
    <w:rsid w:val="0083724E"/>
    <w:rsid w:val="0085092D"/>
    <w:rsid w:val="00850F79"/>
    <w:rsid w:val="00851DFA"/>
    <w:rsid w:val="00857630"/>
    <w:rsid w:val="008618BB"/>
    <w:rsid w:val="00863624"/>
    <w:rsid w:val="00863ED2"/>
    <w:rsid w:val="0087039D"/>
    <w:rsid w:val="008720B5"/>
    <w:rsid w:val="0087534A"/>
    <w:rsid w:val="0087726C"/>
    <w:rsid w:val="00886323"/>
    <w:rsid w:val="0089774F"/>
    <w:rsid w:val="008978EB"/>
    <w:rsid w:val="008A1491"/>
    <w:rsid w:val="008A2B4A"/>
    <w:rsid w:val="008A5007"/>
    <w:rsid w:val="008A796E"/>
    <w:rsid w:val="008B10A0"/>
    <w:rsid w:val="008C11F0"/>
    <w:rsid w:val="008C3363"/>
    <w:rsid w:val="008C45BD"/>
    <w:rsid w:val="008C57A8"/>
    <w:rsid w:val="008D0C07"/>
    <w:rsid w:val="008D69B1"/>
    <w:rsid w:val="008D747C"/>
    <w:rsid w:val="008E1503"/>
    <w:rsid w:val="008E1C15"/>
    <w:rsid w:val="008E2B9A"/>
    <w:rsid w:val="008E7D6E"/>
    <w:rsid w:val="008F1FE7"/>
    <w:rsid w:val="008F238D"/>
    <w:rsid w:val="008F47E1"/>
    <w:rsid w:val="008F47E2"/>
    <w:rsid w:val="008F4B5E"/>
    <w:rsid w:val="008F538E"/>
    <w:rsid w:val="00902E5C"/>
    <w:rsid w:val="00902FFE"/>
    <w:rsid w:val="009047C5"/>
    <w:rsid w:val="009106F5"/>
    <w:rsid w:val="00915850"/>
    <w:rsid w:val="009220A5"/>
    <w:rsid w:val="0092758D"/>
    <w:rsid w:val="00932C98"/>
    <w:rsid w:val="00933333"/>
    <w:rsid w:val="00937401"/>
    <w:rsid w:val="009422A0"/>
    <w:rsid w:val="009528B3"/>
    <w:rsid w:val="0095385A"/>
    <w:rsid w:val="0095402D"/>
    <w:rsid w:val="0095780A"/>
    <w:rsid w:val="00966C46"/>
    <w:rsid w:val="00970B5F"/>
    <w:rsid w:val="00970D41"/>
    <w:rsid w:val="009715D4"/>
    <w:rsid w:val="00977951"/>
    <w:rsid w:val="009809E7"/>
    <w:rsid w:val="00982682"/>
    <w:rsid w:val="0098427D"/>
    <w:rsid w:val="009865D5"/>
    <w:rsid w:val="009953AD"/>
    <w:rsid w:val="009A6C94"/>
    <w:rsid w:val="009A7808"/>
    <w:rsid w:val="009B0019"/>
    <w:rsid w:val="009B2511"/>
    <w:rsid w:val="009B4D9A"/>
    <w:rsid w:val="009B7B3C"/>
    <w:rsid w:val="009C118E"/>
    <w:rsid w:val="009C1812"/>
    <w:rsid w:val="009C5AE1"/>
    <w:rsid w:val="009C7EC7"/>
    <w:rsid w:val="009D45A0"/>
    <w:rsid w:val="009E2F55"/>
    <w:rsid w:val="009E3B99"/>
    <w:rsid w:val="009E3DB3"/>
    <w:rsid w:val="009E61EA"/>
    <w:rsid w:val="009E74F4"/>
    <w:rsid w:val="009E751B"/>
    <w:rsid w:val="009F59C2"/>
    <w:rsid w:val="00A0188B"/>
    <w:rsid w:val="00A02186"/>
    <w:rsid w:val="00A021E2"/>
    <w:rsid w:val="00A041BC"/>
    <w:rsid w:val="00A06E51"/>
    <w:rsid w:val="00A127D2"/>
    <w:rsid w:val="00A13AAC"/>
    <w:rsid w:val="00A1403F"/>
    <w:rsid w:val="00A17358"/>
    <w:rsid w:val="00A20264"/>
    <w:rsid w:val="00A2270E"/>
    <w:rsid w:val="00A24560"/>
    <w:rsid w:val="00A337FB"/>
    <w:rsid w:val="00A34538"/>
    <w:rsid w:val="00A37FB6"/>
    <w:rsid w:val="00A42844"/>
    <w:rsid w:val="00A431FE"/>
    <w:rsid w:val="00A45FAA"/>
    <w:rsid w:val="00A501CA"/>
    <w:rsid w:val="00A53E79"/>
    <w:rsid w:val="00A668BA"/>
    <w:rsid w:val="00A715F6"/>
    <w:rsid w:val="00A737F7"/>
    <w:rsid w:val="00A75FE5"/>
    <w:rsid w:val="00A8043B"/>
    <w:rsid w:val="00A839EF"/>
    <w:rsid w:val="00A852EB"/>
    <w:rsid w:val="00A876C2"/>
    <w:rsid w:val="00A91512"/>
    <w:rsid w:val="00A965EA"/>
    <w:rsid w:val="00AA08E7"/>
    <w:rsid w:val="00AA16A5"/>
    <w:rsid w:val="00AA442B"/>
    <w:rsid w:val="00AA669D"/>
    <w:rsid w:val="00AA68E2"/>
    <w:rsid w:val="00AA7416"/>
    <w:rsid w:val="00AB2BA0"/>
    <w:rsid w:val="00AC0D43"/>
    <w:rsid w:val="00AC24AF"/>
    <w:rsid w:val="00AC49DA"/>
    <w:rsid w:val="00AC75AB"/>
    <w:rsid w:val="00AD2FD7"/>
    <w:rsid w:val="00AE24CB"/>
    <w:rsid w:val="00AE491A"/>
    <w:rsid w:val="00AE5E16"/>
    <w:rsid w:val="00AF26CF"/>
    <w:rsid w:val="00AF3F88"/>
    <w:rsid w:val="00AF45AA"/>
    <w:rsid w:val="00B01474"/>
    <w:rsid w:val="00B05A55"/>
    <w:rsid w:val="00B06595"/>
    <w:rsid w:val="00B06D20"/>
    <w:rsid w:val="00B13EC0"/>
    <w:rsid w:val="00B142B9"/>
    <w:rsid w:val="00B207A6"/>
    <w:rsid w:val="00B214ED"/>
    <w:rsid w:val="00B22E22"/>
    <w:rsid w:val="00B251C2"/>
    <w:rsid w:val="00B30D48"/>
    <w:rsid w:val="00B324EA"/>
    <w:rsid w:val="00B3296D"/>
    <w:rsid w:val="00B3622A"/>
    <w:rsid w:val="00B40595"/>
    <w:rsid w:val="00B42225"/>
    <w:rsid w:val="00B4347D"/>
    <w:rsid w:val="00B43F68"/>
    <w:rsid w:val="00B46978"/>
    <w:rsid w:val="00B525CB"/>
    <w:rsid w:val="00B530AE"/>
    <w:rsid w:val="00B541E4"/>
    <w:rsid w:val="00B57782"/>
    <w:rsid w:val="00B63872"/>
    <w:rsid w:val="00B63CB2"/>
    <w:rsid w:val="00B64EDB"/>
    <w:rsid w:val="00B70328"/>
    <w:rsid w:val="00B708FD"/>
    <w:rsid w:val="00B7252A"/>
    <w:rsid w:val="00B7315F"/>
    <w:rsid w:val="00B74C52"/>
    <w:rsid w:val="00B7534F"/>
    <w:rsid w:val="00B90817"/>
    <w:rsid w:val="00B91B8E"/>
    <w:rsid w:val="00B9230A"/>
    <w:rsid w:val="00B93B05"/>
    <w:rsid w:val="00B97305"/>
    <w:rsid w:val="00BA1382"/>
    <w:rsid w:val="00BA22FC"/>
    <w:rsid w:val="00BA37F9"/>
    <w:rsid w:val="00BA4771"/>
    <w:rsid w:val="00BC6501"/>
    <w:rsid w:val="00BD1CEE"/>
    <w:rsid w:val="00BD2945"/>
    <w:rsid w:val="00BD447D"/>
    <w:rsid w:val="00BD664D"/>
    <w:rsid w:val="00BD78FE"/>
    <w:rsid w:val="00BE2DB4"/>
    <w:rsid w:val="00BE3565"/>
    <w:rsid w:val="00BE4B35"/>
    <w:rsid w:val="00BF23A3"/>
    <w:rsid w:val="00BF5980"/>
    <w:rsid w:val="00BF7C52"/>
    <w:rsid w:val="00C03232"/>
    <w:rsid w:val="00C165FC"/>
    <w:rsid w:val="00C16631"/>
    <w:rsid w:val="00C229DD"/>
    <w:rsid w:val="00C258BA"/>
    <w:rsid w:val="00C273CC"/>
    <w:rsid w:val="00C30123"/>
    <w:rsid w:val="00C32017"/>
    <w:rsid w:val="00C419E3"/>
    <w:rsid w:val="00C41E6A"/>
    <w:rsid w:val="00C50CA8"/>
    <w:rsid w:val="00C54828"/>
    <w:rsid w:val="00C610FB"/>
    <w:rsid w:val="00C62ECC"/>
    <w:rsid w:val="00C630F3"/>
    <w:rsid w:val="00C63E99"/>
    <w:rsid w:val="00C6581D"/>
    <w:rsid w:val="00C732A4"/>
    <w:rsid w:val="00C768FD"/>
    <w:rsid w:val="00C76E32"/>
    <w:rsid w:val="00C80762"/>
    <w:rsid w:val="00C811FF"/>
    <w:rsid w:val="00C8140C"/>
    <w:rsid w:val="00C90AC4"/>
    <w:rsid w:val="00C913E3"/>
    <w:rsid w:val="00C91B89"/>
    <w:rsid w:val="00C91F75"/>
    <w:rsid w:val="00C934F1"/>
    <w:rsid w:val="00C93D8C"/>
    <w:rsid w:val="00CA0EEF"/>
    <w:rsid w:val="00CA383B"/>
    <w:rsid w:val="00CA48A4"/>
    <w:rsid w:val="00CB43A0"/>
    <w:rsid w:val="00CB5F4F"/>
    <w:rsid w:val="00CC00CD"/>
    <w:rsid w:val="00CC11F9"/>
    <w:rsid w:val="00CC315F"/>
    <w:rsid w:val="00CC7F62"/>
    <w:rsid w:val="00CD1721"/>
    <w:rsid w:val="00CE0566"/>
    <w:rsid w:val="00CF550D"/>
    <w:rsid w:val="00D01760"/>
    <w:rsid w:val="00D0412A"/>
    <w:rsid w:val="00D056A5"/>
    <w:rsid w:val="00D10E7C"/>
    <w:rsid w:val="00D13FEB"/>
    <w:rsid w:val="00D16E39"/>
    <w:rsid w:val="00D17E38"/>
    <w:rsid w:val="00D21BB5"/>
    <w:rsid w:val="00D223B6"/>
    <w:rsid w:val="00D24489"/>
    <w:rsid w:val="00D31C6A"/>
    <w:rsid w:val="00D32256"/>
    <w:rsid w:val="00D32352"/>
    <w:rsid w:val="00D36A58"/>
    <w:rsid w:val="00D479F2"/>
    <w:rsid w:val="00D50F51"/>
    <w:rsid w:val="00D547F0"/>
    <w:rsid w:val="00D557A4"/>
    <w:rsid w:val="00D57940"/>
    <w:rsid w:val="00D60327"/>
    <w:rsid w:val="00D64E0B"/>
    <w:rsid w:val="00D72E9D"/>
    <w:rsid w:val="00D74158"/>
    <w:rsid w:val="00D75E99"/>
    <w:rsid w:val="00D80493"/>
    <w:rsid w:val="00D82CE5"/>
    <w:rsid w:val="00D8342C"/>
    <w:rsid w:val="00D93726"/>
    <w:rsid w:val="00D96760"/>
    <w:rsid w:val="00D974C8"/>
    <w:rsid w:val="00DA1D2E"/>
    <w:rsid w:val="00DA5AB1"/>
    <w:rsid w:val="00DB1AFF"/>
    <w:rsid w:val="00DB2F49"/>
    <w:rsid w:val="00DB7276"/>
    <w:rsid w:val="00DC1944"/>
    <w:rsid w:val="00DC430C"/>
    <w:rsid w:val="00DC518A"/>
    <w:rsid w:val="00DC62E5"/>
    <w:rsid w:val="00DD5EC6"/>
    <w:rsid w:val="00DD735D"/>
    <w:rsid w:val="00DE02B7"/>
    <w:rsid w:val="00DE2630"/>
    <w:rsid w:val="00DE3119"/>
    <w:rsid w:val="00DE52D6"/>
    <w:rsid w:val="00DE6601"/>
    <w:rsid w:val="00DE76E6"/>
    <w:rsid w:val="00DF236B"/>
    <w:rsid w:val="00DF2F4F"/>
    <w:rsid w:val="00DF4451"/>
    <w:rsid w:val="00DF453C"/>
    <w:rsid w:val="00E109DD"/>
    <w:rsid w:val="00E12707"/>
    <w:rsid w:val="00E13AB8"/>
    <w:rsid w:val="00E13F9F"/>
    <w:rsid w:val="00E16A32"/>
    <w:rsid w:val="00E20C2F"/>
    <w:rsid w:val="00E25CB3"/>
    <w:rsid w:val="00E267B7"/>
    <w:rsid w:val="00E27359"/>
    <w:rsid w:val="00E33B62"/>
    <w:rsid w:val="00E356DF"/>
    <w:rsid w:val="00E36CEB"/>
    <w:rsid w:val="00E37F96"/>
    <w:rsid w:val="00E4143A"/>
    <w:rsid w:val="00E41F7F"/>
    <w:rsid w:val="00E5064F"/>
    <w:rsid w:val="00E53189"/>
    <w:rsid w:val="00E558C8"/>
    <w:rsid w:val="00E56090"/>
    <w:rsid w:val="00E5641B"/>
    <w:rsid w:val="00E565B9"/>
    <w:rsid w:val="00E6143E"/>
    <w:rsid w:val="00E63134"/>
    <w:rsid w:val="00E63F11"/>
    <w:rsid w:val="00E71BD5"/>
    <w:rsid w:val="00E82D14"/>
    <w:rsid w:val="00E8395B"/>
    <w:rsid w:val="00E87DD5"/>
    <w:rsid w:val="00E90220"/>
    <w:rsid w:val="00E91454"/>
    <w:rsid w:val="00E95100"/>
    <w:rsid w:val="00E9556D"/>
    <w:rsid w:val="00E961A5"/>
    <w:rsid w:val="00EA3E75"/>
    <w:rsid w:val="00EA46E7"/>
    <w:rsid w:val="00EA5464"/>
    <w:rsid w:val="00EC0E7E"/>
    <w:rsid w:val="00EC164A"/>
    <w:rsid w:val="00EC1910"/>
    <w:rsid w:val="00EC1CE7"/>
    <w:rsid w:val="00EC6583"/>
    <w:rsid w:val="00EC6F21"/>
    <w:rsid w:val="00ED0ED8"/>
    <w:rsid w:val="00ED2CE9"/>
    <w:rsid w:val="00ED587F"/>
    <w:rsid w:val="00EE0C5C"/>
    <w:rsid w:val="00EE55E7"/>
    <w:rsid w:val="00EE59B5"/>
    <w:rsid w:val="00EF005A"/>
    <w:rsid w:val="00EF4D78"/>
    <w:rsid w:val="00F017F5"/>
    <w:rsid w:val="00F1108B"/>
    <w:rsid w:val="00F120F0"/>
    <w:rsid w:val="00F21C5F"/>
    <w:rsid w:val="00F257B4"/>
    <w:rsid w:val="00F25971"/>
    <w:rsid w:val="00F30727"/>
    <w:rsid w:val="00F31A68"/>
    <w:rsid w:val="00F36681"/>
    <w:rsid w:val="00F36B35"/>
    <w:rsid w:val="00F41E63"/>
    <w:rsid w:val="00F424EA"/>
    <w:rsid w:val="00F43976"/>
    <w:rsid w:val="00F463A8"/>
    <w:rsid w:val="00F46FE1"/>
    <w:rsid w:val="00F4765C"/>
    <w:rsid w:val="00F47F2D"/>
    <w:rsid w:val="00F56584"/>
    <w:rsid w:val="00F57729"/>
    <w:rsid w:val="00F57A58"/>
    <w:rsid w:val="00F57B4F"/>
    <w:rsid w:val="00F57B72"/>
    <w:rsid w:val="00F57C75"/>
    <w:rsid w:val="00F715EE"/>
    <w:rsid w:val="00F7517F"/>
    <w:rsid w:val="00F770E5"/>
    <w:rsid w:val="00F7741E"/>
    <w:rsid w:val="00F84899"/>
    <w:rsid w:val="00F859F0"/>
    <w:rsid w:val="00F87E29"/>
    <w:rsid w:val="00F90B96"/>
    <w:rsid w:val="00F92839"/>
    <w:rsid w:val="00F941F3"/>
    <w:rsid w:val="00F9522F"/>
    <w:rsid w:val="00FA050F"/>
    <w:rsid w:val="00FA22FF"/>
    <w:rsid w:val="00FA4DCC"/>
    <w:rsid w:val="00FB27B7"/>
    <w:rsid w:val="00FB3520"/>
    <w:rsid w:val="00FB5572"/>
    <w:rsid w:val="00FB656D"/>
    <w:rsid w:val="00FB6738"/>
    <w:rsid w:val="00FB7000"/>
    <w:rsid w:val="00FC113C"/>
    <w:rsid w:val="00FC1644"/>
    <w:rsid w:val="00FC18DC"/>
    <w:rsid w:val="00FC1D91"/>
    <w:rsid w:val="00FC32DA"/>
    <w:rsid w:val="00FC7C7B"/>
    <w:rsid w:val="00FD10FB"/>
    <w:rsid w:val="00FE0323"/>
    <w:rsid w:val="00FE141E"/>
    <w:rsid w:val="00FE1A68"/>
    <w:rsid w:val="00FE1E7C"/>
    <w:rsid w:val="00FE2265"/>
    <w:rsid w:val="00FE42ED"/>
    <w:rsid w:val="00FE5C5A"/>
    <w:rsid w:val="00FE71C5"/>
    <w:rsid w:val="00FF5FA6"/>
    <w:rsid w:val="136B4A4F"/>
    <w:rsid w:val="2024CA84"/>
    <w:rsid w:val="389A21D5"/>
    <w:rsid w:val="589CB948"/>
    <w:rsid w:val="5983EE4E"/>
    <w:rsid w:val="59BDB65A"/>
    <w:rsid w:val="5C15100B"/>
    <w:rsid w:val="671F3A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0A2953"/>
    <w:rPr>
      <w:b/>
      <w:bCs/>
    </w:rPr>
  </w:style>
  <w:style w:type="character" w:styleId="nfasis">
    <w:name w:val="Emphasis"/>
    <w:basedOn w:val="Fuentedeprrafopredeter"/>
    <w:uiPriority w:val="20"/>
    <w:qFormat/>
    <w:rsid w:val="000A2953"/>
    <w:rPr>
      <w:i/>
      <w:iCs/>
    </w:rPr>
  </w:style>
  <w:style w:type="paragraph" w:customStyle="1" w:styleId="Capitulo3">
    <w:name w:val="Capitulo 3"/>
    <w:basedOn w:val="Normal"/>
    <w:qFormat/>
    <w:rsid w:val="002E49B4"/>
    <w:pPr>
      <w:keepNext/>
      <w:numPr>
        <w:numId w:val="8"/>
      </w:numPr>
      <w:spacing w:before="120" w:after="200" w:line="276" w:lineRule="auto"/>
      <w:outlineLvl w:val="1"/>
    </w:pPr>
    <w:rPr>
      <w:rFonts w:ascii="Arial" w:eastAsia="Times New Roman" w:hAnsi="Arial"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03725134">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031610142">
      <w:bodyDiv w:val="1"/>
      <w:marLeft w:val="0"/>
      <w:marRight w:val="0"/>
      <w:marTop w:val="0"/>
      <w:marBottom w:val="0"/>
      <w:divBdr>
        <w:top w:val="none" w:sz="0" w:space="0" w:color="auto"/>
        <w:left w:val="none" w:sz="0" w:space="0" w:color="auto"/>
        <w:bottom w:val="none" w:sz="0" w:space="0" w:color="auto"/>
        <w:right w:val="none" w:sz="0" w:space="0" w:color="auto"/>
      </w:divBdr>
    </w:div>
    <w:div w:id="114111711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03436240">
      <w:bodyDiv w:val="1"/>
      <w:marLeft w:val="0"/>
      <w:marRight w:val="0"/>
      <w:marTop w:val="0"/>
      <w:marBottom w:val="0"/>
      <w:divBdr>
        <w:top w:val="none" w:sz="0" w:space="0" w:color="auto"/>
        <w:left w:val="none" w:sz="0" w:space="0" w:color="auto"/>
        <w:bottom w:val="none" w:sz="0" w:space="0" w:color="auto"/>
        <w:right w:val="none" w:sz="0" w:space="0" w:color="auto"/>
      </w:divBdr>
    </w:div>
    <w:div w:id="203588827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CEAE549-AE95-4C70-A50D-F173917A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DE3F8-BC32-4B5F-829A-55EA1FB6AF05}">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18</Pages>
  <Words>7994</Words>
  <Characters>43972</Characters>
  <Application>Microsoft Office Word</Application>
  <DocSecurity>0</DocSecurity>
  <Lines>366</Lines>
  <Paragraphs>103</Paragraphs>
  <ScaleCrop>false</ScaleCrop>
  <Company/>
  <LinksUpToDate>false</LinksUpToDate>
  <CharactersWithSpaces>51863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cp:revision>
  <cp:lastPrinted>2020-01-30T15:05:00Z</cp:lastPrinted>
  <dcterms:created xsi:type="dcterms:W3CDTF">2020-07-14T22:31:00Z</dcterms:created>
  <dcterms:modified xsi:type="dcterms:W3CDTF">2020-08-06T20:39:00Z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