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6C15D5" w:rsidRDefault="00BE1E33" w:rsidP="00BE1E33">
      <w:pPr>
        <w:jc w:val="right"/>
        <w:rPr>
          <w:rFonts w:ascii="Arial" w:hAnsi="Arial" w:cs="Arial"/>
          <w:bCs/>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14:paraId="153229A4" w14:textId="77777777" w:rsidR="001A369A" w:rsidRPr="00D5259F" w:rsidRDefault="001A369A" w:rsidP="001A369A">
      <w:pPr>
        <w:jc w:val="both"/>
        <w:rPr>
          <w:rFonts w:ascii="Arial" w:eastAsia="Calibri" w:hAnsi="Arial" w:cs="Arial"/>
          <w:b/>
          <w:color w:val="000000" w:themeColor="text1"/>
          <w:sz w:val="16"/>
          <w:szCs w:val="16"/>
        </w:rPr>
      </w:pPr>
    </w:p>
    <w:p w14:paraId="40742396" w14:textId="3FDA826E" w:rsidR="001A369A" w:rsidRPr="006C15D5" w:rsidRDefault="004A5DAA" w:rsidP="75D82D90">
      <w:pPr>
        <w:jc w:val="both"/>
        <w:rPr>
          <w:rFonts w:ascii="Arial" w:eastAsia="Calibri" w:hAnsi="Arial" w:cs="Arial"/>
          <w:b/>
          <w:bCs/>
          <w:color w:val="000000" w:themeColor="text1"/>
          <w:sz w:val="22"/>
        </w:rPr>
      </w:pPr>
      <w:bookmarkStart w:id="2" w:name="_Hlk43658371"/>
      <w:r w:rsidRPr="75D82D90">
        <w:rPr>
          <w:rFonts w:ascii="Arial" w:eastAsia="Calibri" w:hAnsi="Arial" w:cs="Arial"/>
          <w:b/>
          <w:bCs/>
          <w:color w:val="000000" w:themeColor="text1"/>
          <w:sz w:val="22"/>
        </w:rPr>
        <w:t xml:space="preserve">CONTRATO DE PRESTACIÓN DE SERVICIOS – Limitación – Honorarios </w:t>
      </w:r>
      <w:r w:rsidR="00D70AEA" w:rsidRPr="75D82D90">
        <w:rPr>
          <w:rFonts w:ascii="Arial" w:eastAsia="Calibri" w:hAnsi="Arial" w:cs="Arial"/>
          <w:b/>
          <w:bCs/>
          <w:color w:val="000000" w:themeColor="text1"/>
          <w:sz w:val="22"/>
        </w:rPr>
        <w:t>– Servicios calificados –</w:t>
      </w:r>
      <w:r w:rsidR="000348A0" w:rsidRPr="75D82D90">
        <w:rPr>
          <w:rFonts w:ascii="Arial" w:eastAsia="Calibri" w:hAnsi="Arial" w:cs="Arial"/>
          <w:b/>
          <w:bCs/>
          <w:color w:val="000000" w:themeColor="text1"/>
          <w:sz w:val="22"/>
        </w:rPr>
        <w:t xml:space="preserve"> Remuneración </w:t>
      </w:r>
      <w:r w:rsidR="0C2E6B42" w:rsidRPr="75D82D90">
        <w:rPr>
          <w:rFonts w:ascii="Arial" w:eastAsia="Calibri" w:hAnsi="Arial" w:cs="Arial"/>
          <w:b/>
          <w:bCs/>
          <w:color w:val="000000" w:themeColor="text1"/>
          <w:sz w:val="22"/>
        </w:rPr>
        <w:t>– S</w:t>
      </w:r>
      <w:r w:rsidR="000348A0" w:rsidRPr="75D82D90">
        <w:rPr>
          <w:rFonts w:ascii="Arial" w:eastAsia="Calibri" w:hAnsi="Arial" w:cs="Arial"/>
          <w:b/>
          <w:bCs/>
          <w:color w:val="000000" w:themeColor="text1"/>
          <w:sz w:val="22"/>
        </w:rPr>
        <w:t>ervicios técnicos</w:t>
      </w:r>
    </w:p>
    <w:bookmarkEnd w:id="2"/>
    <w:p w14:paraId="4286155F" w14:textId="77777777" w:rsidR="001A369A" w:rsidRPr="006C15D5" w:rsidRDefault="001A369A" w:rsidP="001A369A">
      <w:pPr>
        <w:jc w:val="both"/>
        <w:rPr>
          <w:rFonts w:ascii="Arial" w:eastAsia="Calibri" w:hAnsi="Arial" w:cs="Arial"/>
          <w:b/>
          <w:color w:val="000000" w:themeColor="text1"/>
          <w:sz w:val="20"/>
          <w:szCs w:val="20"/>
        </w:rPr>
      </w:pPr>
    </w:p>
    <w:p w14:paraId="3CF5B341" w14:textId="42B1FC1E" w:rsidR="00BA6C5D" w:rsidRDefault="00E862D2" w:rsidP="00D5259F">
      <w:pPr>
        <w:spacing w:after="120"/>
        <w:jc w:val="both"/>
        <w:rPr>
          <w:rFonts w:ascii="Arial" w:eastAsia="Calibri" w:hAnsi="Arial" w:cs="Arial"/>
          <w:color w:val="000000" w:themeColor="text1"/>
          <w:sz w:val="20"/>
          <w:szCs w:val="20"/>
        </w:rPr>
      </w:pPr>
      <w:r w:rsidRPr="00E862D2">
        <w:rPr>
          <w:rFonts w:ascii="Arial" w:eastAsia="Calibri" w:hAnsi="Arial" w:cs="Arial"/>
          <w:color w:val="000000" w:themeColor="text1"/>
          <w:sz w:val="20"/>
          <w:szCs w:val="20"/>
        </w:rPr>
        <w:t xml:space="preserve">En términos generales, el Estatuto General de Contratación de la Administración Pública y las normas que lo reglamentan no establecen límites en cuanto al valor de los contratos de prestación de servicios personales que se suscriban mediante la modalidad de contratación directa. No obstante, en 1998 se </w:t>
      </w:r>
      <w:proofErr w:type="spellStart"/>
      <w:r w:rsidRPr="00E862D2">
        <w:rPr>
          <w:rFonts w:ascii="Arial" w:eastAsia="Calibri" w:hAnsi="Arial" w:cs="Arial"/>
          <w:color w:val="000000" w:themeColor="text1"/>
          <w:sz w:val="20"/>
          <w:szCs w:val="20"/>
        </w:rPr>
        <w:t>expidio</w:t>
      </w:r>
      <w:proofErr w:type="spellEnd"/>
      <w:r w:rsidRPr="00E862D2">
        <w:rPr>
          <w:rFonts w:ascii="Arial" w:eastAsia="Calibri" w:hAnsi="Arial" w:cs="Arial"/>
          <w:color w:val="000000" w:themeColor="text1"/>
          <w:sz w:val="20"/>
          <w:szCs w:val="20"/>
        </w:rPr>
        <w:t xml:space="preserve">́ el Decreto 1737, por medio del cual «Se expiden medidas de austeridad y eficiencia y se someten a condiciones especiales la </w:t>
      </w:r>
      <w:proofErr w:type="spellStart"/>
      <w:r w:rsidRPr="00E862D2">
        <w:rPr>
          <w:rFonts w:ascii="Arial" w:eastAsia="Calibri" w:hAnsi="Arial" w:cs="Arial"/>
          <w:color w:val="000000" w:themeColor="text1"/>
          <w:sz w:val="20"/>
          <w:szCs w:val="20"/>
        </w:rPr>
        <w:t>asunción</w:t>
      </w:r>
      <w:proofErr w:type="spellEnd"/>
      <w:r w:rsidRPr="00E862D2">
        <w:rPr>
          <w:rFonts w:ascii="Arial" w:eastAsia="Calibri" w:hAnsi="Arial" w:cs="Arial"/>
          <w:color w:val="000000" w:themeColor="text1"/>
          <w:sz w:val="20"/>
          <w:szCs w:val="20"/>
        </w:rPr>
        <w:t xml:space="preserve"> de compromisos por parte de las entidades </w:t>
      </w:r>
      <w:proofErr w:type="spellStart"/>
      <w:r w:rsidRPr="00E862D2">
        <w:rPr>
          <w:rFonts w:ascii="Arial" w:eastAsia="Calibri" w:hAnsi="Arial" w:cs="Arial"/>
          <w:color w:val="000000" w:themeColor="text1"/>
          <w:sz w:val="20"/>
          <w:szCs w:val="20"/>
        </w:rPr>
        <w:t>públicas</w:t>
      </w:r>
      <w:proofErr w:type="spellEnd"/>
      <w:r w:rsidRPr="00E862D2">
        <w:rPr>
          <w:rFonts w:ascii="Arial" w:eastAsia="Calibri" w:hAnsi="Arial" w:cs="Arial"/>
          <w:color w:val="000000" w:themeColor="text1"/>
          <w:sz w:val="20"/>
          <w:szCs w:val="20"/>
        </w:rPr>
        <w:t xml:space="preserve"> que manejan recursos del Tesoro </w:t>
      </w:r>
      <w:proofErr w:type="spellStart"/>
      <w:r w:rsidRPr="00E862D2">
        <w:rPr>
          <w:rFonts w:ascii="Arial" w:eastAsia="Calibri" w:hAnsi="Arial" w:cs="Arial"/>
          <w:color w:val="000000" w:themeColor="text1"/>
          <w:sz w:val="20"/>
          <w:szCs w:val="20"/>
        </w:rPr>
        <w:t>Público</w:t>
      </w:r>
      <w:proofErr w:type="spellEnd"/>
      <w:r w:rsidRPr="00E862D2">
        <w:rPr>
          <w:rFonts w:ascii="Arial" w:eastAsia="Calibri" w:hAnsi="Arial" w:cs="Arial"/>
          <w:color w:val="000000" w:themeColor="text1"/>
          <w:sz w:val="20"/>
          <w:szCs w:val="20"/>
        </w:rPr>
        <w:t xml:space="preserve">». El </w:t>
      </w:r>
      <w:proofErr w:type="spellStart"/>
      <w:r w:rsidRPr="00E862D2">
        <w:rPr>
          <w:rFonts w:ascii="Arial" w:eastAsia="Calibri" w:hAnsi="Arial" w:cs="Arial"/>
          <w:color w:val="000000" w:themeColor="text1"/>
          <w:sz w:val="20"/>
          <w:szCs w:val="20"/>
        </w:rPr>
        <w:t>artículo</w:t>
      </w:r>
      <w:proofErr w:type="spellEnd"/>
      <w:r w:rsidRPr="00E862D2">
        <w:rPr>
          <w:rFonts w:ascii="Arial" w:eastAsia="Calibri" w:hAnsi="Arial" w:cs="Arial"/>
          <w:color w:val="000000" w:themeColor="text1"/>
          <w:sz w:val="20"/>
          <w:szCs w:val="20"/>
        </w:rPr>
        <w:t xml:space="preserve"> 4 prohibió pactar remuneraciones de servicios personales calificados, con personas naturales y </w:t>
      </w:r>
      <w:proofErr w:type="spellStart"/>
      <w:r w:rsidRPr="00E862D2">
        <w:rPr>
          <w:rFonts w:ascii="Arial" w:eastAsia="Calibri" w:hAnsi="Arial" w:cs="Arial"/>
          <w:color w:val="000000" w:themeColor="text1"/>
          <w:sz w:val="20"/>
          <w:szCs w:val="20"/>
        </w:rPr>
        <w:t>jurídicas</w:t>
      </w:r>
      <w:proofErr w:type="spellEnd"/>
      <w:r w:rsidRPr="00E862D2">
        <w:rPr>
          <w:rFonts w:ascii="Arial" w:eastAsia="Calibri" w:hAnsi="Arial" w:cs="Arial"/>
          <w:color w:val="000000" w:themeColor="text1"/>
          <w:sz w:val="20"/>
          <w:szCs w:val="20"/>
        </w:rPr>
        <w:t xml:space="preserve">, cuando el valor excediera el total de la </w:t>
      </w:r>
      <w:proofErr w:type="spellStart"/>
      <w:r w:rsidRPr="00E862D2">
        <w:rPr>
          <w:rFonts w:ascii="Arial" w:eastAsia="Calibri" w:hAnsi="Arial" w:cs="Arial"/>
          <w:color w:val="000000" w:themeColor="text1"/>
          <w:sz w:val="20"/>
          <w:szCs w:val="20"/>
        </w:rPr>
        <w:t>remuneración</w:t>
      </w:r>
      <w:proofErr w:type="spellEnd"/>
      <w:r w:rsidRPr="00E862D2">
        <w:rPr>
          <w:rFonts w:ascii="Arial" w:eastAsia="Calibri" w:hAnsi="Arial" w:cs="Arial"/>
          <w:color w:val="000000" w:themeColor="text1"/>
          <w:sz w:val="20"/>
          <w:szCs w:val="20"/>
        </w:rPr>
        <w:t xml:space="preserve"> establecida para el jefe de la entidad, sin incluir factores prestacionales</w:t>
      </w:r>
      <w:r w:rsidR="00BA6C5D">
        <w:rPr>
          <w:rFonts w:ascii="Arial" w:eastAsia="Calibri" w:hAnsi="Arial" w:cs="Arial"/>
          <w:color w:val="000000" w:themeColor="text1"/>
          <w:sz w:val="20"/>
          <w:szCs w:val="20"/>
        </w:rPr>
        <w:t xml:space="preserve"> […]</w:t>
      </w:r>
      <w:r w:rsidR="001A369A" w:rsidRPr="0041784E">
        <w:rPr>
          <w:rFonts w:ascii="Arial" w:eastAsia="Calibri" w:hAnsi="Arial" w:cs="Arial"/>
          <w:color w:val="000000" w:themeColor="text1"/>
          <w:sz w:val="20"/>
          <w:szCs w:val="20"/>
        </w:rPr>
        <w:t>.</w:t>
      </w:r>
    </w:p>
    <w:p w14:paraId="0CF75CED" w14:textId="7D434EE9" w:rsidR="00BA6C5D" w:rsidRDefault="00BA6C5D" w:rsidP="00D5259F">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p>
    <w:p w14:paraId="1A37462B" w14:textId="1A595FA4" w:rsidR="00E862D2" w:rsidRDefault="00E862D2" w:rsidP="00D5259F">
      <w:pPr>
        <w:jc w:val="both"/>
        <w:rPr>
          <w:rFonts w:ascii="Arial" w:eastAsia="Calibri" w:hAnsi="Arial" w:cs="Arial"/>
          <w:color w:val="000000" w:themeColor="text1"/>
          <w:sz w:val="20"/>
          <w:szCs w:val="20"/>
        </w:rPr>
      </w:pPr>
      <w:r w:rsidRPr="00E862D2">
        <w:rPr>
          <w:rFonts w:ascii="Arial" w:eastAsia="Calibri" w:hAnsi="Arial" w:cs="Arial"/>
          <w:color w:val="000000" w:themeColor="text1"/>
          <w:sz w:val="20"/>
          <w:szCs w:val="20"/>
        </w:rPr>
        <w:t xml:space="preserve">Esta norma fue modificada, por imprecisiones que hicieron difícil su </w:t>
      </w:r>
      <w:proofErr w:type="spellStart"/>
      <w:r w:rsidRPr="00E862D2">
        <w:rPr>
          <w:rFonts w:ascii="Arial" w:eastAsia="Calibri" w:hAnsi="Arial" w:cs="Arial"/>
          <w:color w:val="000000" w:themeColor="text1"/>
          <w:sz w:val="20"/>
          <w:szCs w:val="20"/>
        </w:rPr>
        <w:t>aplicación</w:t>
      </w:r>
      <w:proofErr w:type="spellEnd"/>
      <w:r w:rsidRPr="00E862D2">
        <w:rPr>
          <w:rFonts w:ascii="Arial" w:eastAsia="Calibri" w:hAnsi="Arial" w:cs="Arial"/>
          <w:color w:val="000000" w:themeColor="text1"/>
          <w:sz w:val="20"/>
          <w:szCs w:val="20"/>
        </w:rPr>
        <w:t xml:space="preserve">. En esta medida, </w:t>
      </w:r>
      <w:r>
        <w:rPr>
          <w:rFonts w:ascii="Arial" w:eastAsia="Calibri" w:hAnsi="Arial" w:cs="Arial"/>
          <w:color w:val="000000" w:themeColor="text1"/>
          <w:sz w:val="20"/>
          <w:szCs w:val="20"/>
        </w:rPr>
        <w:t>[</w:t>
      </w:r>
      <w:r w:rsidRPr="00E862D2">
        <w:rPr>
          <w:rFonts w:ascii="Arial" w:eastAsia="Calibri" w:hAnsi="Arial" w:cs="Arial"/>
          <w:bCs/>
          <w:color w:val="000000" w:themeColor="text1"/>
          <w:sz w:val="20"/>
          <w:szCs w:val="20"/>
          <w:lang w:val="es-ES"/>
        </w:rPr>
        <w:t xml:space="preserve">el </w:t>
      </w:r>
      <w:proofErr w:type="spellStart"/>
      <w:r w:rsidRPr="00E862D2">
        <w:rPr>
          <w:rFonts w:ascii="Arial" w:eastAsia="Calibri" w:hAnsi="Arial" w:cs="Arial"/>
          <w:bCs/>
          <w:color w:val="000000" w:themeColor="text1"/>
          <w:sz w:val="20"/>
          <w:szCs w:val="20"/>
          <w:lang w:val="es-ES"/>
        </w:rPr>
        <w:t>artículo</w:t>
      </w:r>
      <w:proofErr w:type="spellEnd"/>
      <w:r w:rsidRPr="00E862D2">
        <w:rPr>
          <w:rFonts w:ascii="Arial" w:eastAsia="Calibri" w:hAnsi="Arial" w:cs="Arial"/>
          <w:bCs/>
          <w:color w:val="000000" w:themeColor="text1"/>
          <w:sz w:val="20"/>
          <w:szCs w:val="20"/>
          <w:lang w:val="es-ES"/>
        </w:rPr>
        <w:t xml:space="preserve"> 2 del Decreto 2209 de 1998, que adicionó el </w:t>
      </w:r>
      <w:proofErr w:type="spellStart"/>
      <w:r w:rsidRPr="00E862D2">
        <w:rPr>
          <w:rFonts w:ascii="Arial" w:eastAsia="Calibri" w:hAnsi="Arial" w:cs="Arial"/>
          <w:bCs/>
          <w:color w:val="000000" w:themeColor="text1"/>
          <w:sz w:val="20"/>
          <w:szCs w:val="20"/>
          <w:lang w:val="es-ES"/>
        </w:rPr>
        <w:t>parágrafo</w:t>
      </w:r>
      <w:proofErr w:type="spellEnd"/>
      <w:r w:rsidRPr="00E862D2">
        <w:rPr>
          <w:rFonts w:ascii="Arial" w:eastAsia="Calibri" w:hAnsi="Arial" w:cs="Arial"/>
          <w:bCs/>
          <w:color w:val="000000" w:themeColor="text1"/>
          <w:sz w:val="20"/>
          <w:szCs w:val="20"/>
          <w:lang w:val="es-ES"/>
        </w:rPr>
        <w:t xml:space="preserve"> 2 al </w:t>
      </w:r>
      <w:proofErr w:type="spellStart"/>
      <w:r w:rsidRPr="00E862D2">
        <w:rPr>
          <w:rFonts w:ascii="Arial" w:eastAsia="Calibri" w:hAnsi="Arial" w:cs="Arial"/>
          <w:bCs/>
          <w:color w:val="000000" w:themeColor="text1"/>
          <w:sz w:val="20"/>
          <w:szCs w:val="20"/>
          <w:lang w:val="es-ES"/>
        </w:rPr>
        <w:t>artículo</w:t>
      </w:r>
      <w:proofErr w:type="spellEnd"/>
      <w:r w:rsidRPr="00E862D2">
        <w:rPr>
          <w:rFonts w:ascii="Arial" w:eastAsia="Calibri" w:hAnsi="Arial" w:cs="Arial"/>
          <w:bCs/>
          <w:color w:val="000000" w:themeColor="text1"/>
          <w:sz w:val="20"/>
          <w:szCs w:val="20"/>
          <w:lang w:val="es-ES"/>
        </w:rPr>
        <w:t xml:space="preserve"> 4 del Decreto 1737 de 1998,]</w:t>
      </w:r>
      <w:r w:rsidRPr="00E862D2">
        <w:rPr>
          <w:rFonts w:ascii="Arial" w:eastAsia="Calibri" w:hAnsi="Arial" w:cs="Arial"/>
          <w:color w:val="000000" w:themeColor="text1"/>
          <w:sz w:val="20"/>
          <w:szCs w:val="20"/>
        </w:rPr>
        <w:t xml:space="preserve"> identificó mejor los servicios a los que se </w:t>
      </w:r>
      <w:proofErr w:type="spellStart"/>
      <w:r w:rsidRPr="00E862D2">
        <w:rPr>
          <w:rFonts w:ascii="Arial" w:eastAsia="Calibri" w:hAnsi="Arial" w:cs="Arial"/>
          <w:color w:val="000000" w:themeColor="text1"/>
          <w:sz w:val="20"/>
          <w:szCs w:val="20"/>
        </w:rPr>
        <w:t>refería</w:t>
      </w:r>
      <w:proofErr w:type="spellEnd"/>
      <w:r w:rsidRPr="00E862D2">
        <w:rPr>
          <w:rFonts w:ascii="Arial" w:eastAsia="Calibri" w:hAnsi="Arial" w:cs="Arial"/>
          <w:color w:val="000000" w:themeColor="text1"/>
          <w:sz w:val="20"/>
          <w:szCs w:val="20"/>
        </w:rPr>
        <w:t xml:space="preserve"> el artículo, aclarando que eran los exclusivamente comprendidos en el concepto «</w:t>
      </w:r>
      <w:proofErr w:type="spellStart"/>
      <w:r w:rsidRPr="00E862D2">
        <w:rPr>
          <w:rFonts w:ascii="Arial" w:eastAsia="Calibri" w:hAnsi="Arial" w:cs="Arial"/>
          <w:color w:val="000000" w:themeColor="text1"/>
          <w:sz w:val="20"/>
          <w:szCs w:val="20"/>
        </w:rPr>
        <w:t>remuneración</w:t>
      </w:r>
      <w:proofErr w:type="spellEnd"/>
      <w:r w:rsidRPr="00E862D2">
        <w:rPr>
          <w:rFonts w:ascii="Arial" w:eastAsia="Calibri" w:hAnsi="Arial" w:cs="Arial"/>
          <w:color w:val="000000" w:themeColor="text1"/>
          <w:sz w:val="20"/>
          <w:szCs w:val="20"/>
        </w:rPr>
        <w:t xml:space="preserve"> servicios </w:t>
      </w:r>
      <w:proofErr w:type="spellStart"/>
      <w:r w:rsidRPr="00E862D2">
        <w:rPr>
          <w:rFonts w:ascii="Arial" w:eastAsia="Calibri" w:hAnsi="Arial" w:cs="Arial"/>
          <w:color w:val="000000" w:themeColor="text1"/>
          <w:sz w:val="20"/>
          <w:szCs w:val="20"/>
        </w:rPr>
        <w:t>técnicos</w:t>
      </w:r>
      <w:proofErr w:type="spellEnd"/>
      <w:r w:rsidRPr="00E862D2">
        <w:rPr>
          <w:rFonts w:ascii="Arial" w:eastAsia="Calibri" w:hAnsi="Arial" w:cs="Arial"/>
          <w:color w:val="000000" w:themeColor="text1"/>
          <w:sz w:val="20"/>
          <w:szCs w:val="20"/>
        </w:rPr>
        <w:t xml:space="preserve">», desarrollado en el decreto de </w:t>
      </w:r>
      <w:proofErr w:type="spellStart"/>
      <w:r w:rsidRPr="00E862D2">
        <w:rPr>
          <w:rFonts w:ascii="Arial" w:eastAsia="Calibri" w:hAnsi="Arial" w:cs="Arial"/>
          <w:color w:val="000000" w:themeColor="text1"/>
          <w:sz w:val="20"/>
          <w:szCs w:val="20"/>
        </w:rPr>
        <w:t>liquidación</w:t>
      </w:r>
      <w:proofErr w:type="spellEnd"/>
      <w:r w:rsidRPr="00E862D2">
        <w:rPr>
          <w:rFonts w:ascii="Arial" w:eastAsia="Calibri" w:hAnsi="Arial" w:cs="Arial"/>
          <w:color w:val="000000" w:themeColor="text1"/>
          <w:sz w:val="20"/>
          <w:szCs w:val="20"/>
        </w:rPr>
        <w:t xml:space="preserve"> del presupuesto general de la nación</w:t>
      </w:r>
      <w:r>
        <w:rPr>
          <w:rFonts w:ascii="Arial" w:eastAsia="Calibri" w:hAnsi="Arial" w:cs="Arial"/>
          <w:color w:val="000000" w:themeColor="text1"/>
          <w:sz w:val="20"/>
          <w:szCs w:val="20"/>
        </w:rPr>
        <w:t xml:space="preserve"> […].</w:t>
      </w:r>
    </w:p>
    <w:p w14:paraId="15E55CCE" w14:textId="1B26062F" w:rsidR="00D3509A" w:rsidRDefault="00D3509A" w:rsidP="00D5259F">
      <w:pPr>
        <w:jc w:val="both"/>
        <w:rPr>
          <w:rFonts w:ascii="Arial" w:eastAsia="Calibri" w:hAnsi="Arial" w:cs="Arial"/>
          <w:color w:val="000000" w:themeColor="text1"/>
          <w:sz w:val="20"/>
          <w:szCs w:val="20"/>
        </w:rPr>
      </w:pPr>
    </w:p>
    <w:p w14:paraId="3BFBB835" w14:textId="35783E80" w:rsidR="00D3509A" w:rsidRDefault="00340C82" w:rsidP="00D5259F">
      <w:pPr>
        <w:jc w:val="both"/>
        <w:rPr>
          <w:rFonts w:ascii="Arial" w:eastAsia="Calibri" w:hAnsi="Arial" w:cs="Arial"/>
          <w:b/>
          <w:color w:val="000000" w:themeColor="text1"/>
          <w:sz w:val="22"/>
        </w:rPr>
      </w:pPr>
      <w:r w:rsidRPr="00576A2B">
        <w:rPr>
          <w:rFonts w:ascii="Arial" w:eastAsia="Calibri" w:hAnsi="Arial" w:cs="Arial"/>
          <w:b/>
          <w:color w:val="000000" w:themeColor="text1"/>
          <w:sz w:val="22"/>
        </w:rPr>
        <w:t>LIMITACIÓN</w:t>
      </w:r>
      <w:r w:rsidR="00576A2B" w:rsidRPr="00576A2B">
        <w:rPr>
          <w:rFonts w:ascii="Arial" w:eastAsia="Calibri" w:hAnsi="Arial" w:cs="Arial"/>
          <w:b/>
          <w:color w:val="000000" w:themeColor="text1"/>
          <w:sz w:val="22"/>
        </w:rPr>
        <w:t xml:space="preserve"> – Honorarios –</w:t>
      </w:r>
      <w:bookmarkStart w:id="3" w:name="_Hlk45627857"/>
      <w:r>
        <w:rPr>
          <w:rFonts w:ascii="Arial" w:eastAsia="Calibri" w:hAnsi="Arial" w:cs="Arial"/>
          <w:b/>
          <w:color w:val="000000" w:themeColor="text1"/>
          <w:sz w:val="22"/>
        </w:rPr>
        <w:t xml:space="preserve"> </w:t>
      </w:r>
      <w:bookmarkEnd w:id="3"/>
      <w:r w:rsidR="000348A0">
        <w:rPr>
          <w:rFonts w:ascii="Arial" w:eastAsia="Calibri" w:hAnsi="Arial" w:cs="Arial"/>
          <w:b/>
          <w:color w:val="000000" w:themeColor="text1"/>
          <w:sz w:val="22"/>
        </w:rPr>
        <w:t>Servicio altamente calificados</w:t>
      </w:r>
      <w:r w:rsidR="00AE74D6">
        <w:rPr>
          <w:rFonts w:ascii="Arial" w:eastAsia="Calibri" w:hAnsi="Arial" w:cs="Arial"/>
          <w:b/>
          <w:color w:val="000000" w:themeColor="text1"/>
          <w:sz w:val="22"/>
        </w:rPr>
        <w:t xml:space="preserve"> </w:t>
      </w:r>
      <w:r w:rsidR="00576A2B">
        <w:rPr>
          <w:rFonts w:ascii="Arial" w:eastAsia="Calibri" w:hAnsi="Arial" w:cs="Arial"/>
          <w:b/>
          <w:color w:val="000000" w:themeColor="text1"/>
          <w:sz w:val="22"/>
        </w:rPr>
        <w:t xml:space="preserve"> </w:t>
      </w:r>
    </w:p>
    <w:p w14:paraId="42D69874" w14:textId="77777777" w:rsidR="00D3509A" w:rsidRPr="006C15D5" w:rsidRDefault="00D3509A" w:rsidP="00D5259F">
      <w:pPr>
        <w:jc w:val="both"/>
        <w:rPr>
          <w:rFonts w:ascii="Arial" w:eastAsia="Calibri" w:hAnsi="Arial" w:cs="Arial"/>
          <w:b/>
          <w:color w:val="000000" w:themeColor="text1"/>
          <w:sz w:val="20"/>
          <w:szCs w:val="20"/>
        </w:rPr>
      </w:pPr>
    </w:p>
    <w:p w14:paraId="1CC7E728" w14:textId="4DA5D04F" w:rsidR="00D3509A" w:rsidRDefault="000348A0" w:rsidP="00D5259F">
      <w:pPr>
        <w:jc w:val="both"/>
        <w:rPr>
          <w:rFonts w:ascii="Arial" w:eastAsia="Calibri" w:hAnsi="Arial" w:cs="Arial"/>
          <w:bCs/>
          <w:color w:val="000000" w:themeColor="text1"/>
          <w:sz w:val="20"/>
          <w:szCs w:val="20"/>
          <w:lang w:val="es-ES"/>
        </w:rPr>
      </w:pPr>
      <w:r w:rsidRPr="000348A0">
        <w:rPr>
          <w:rFonts w:ascii="Arial" w:eastAsia="Calibri" w:hAnsi="Arial" w:cs="Arial"/>
          <w:bCs/>
          <w:color w:val="000000" w:themeColor="text1"/>
          <w:sz w:val="20"/>
          <w:szCs w:val="20"/>
          <w:lang w:val="es-ES"/>
        </w:rPr>
        <w:t xml:space="preserve">Posteriormente, el artículo 1 del Decreto 2785 de 2011 modificó nuevamente el </w:t>
      </w:r>
      <w:proofErr w:type="spellStart"/>
      <w:r w:rsidRPr="000348A0">
        <w:rPr>
          <w:rFonts w:ascii="Arial" w:eastAsia="Calibri" w:hAnsi="Arial" w:cs="Arial"/>
          <w:bCs/>
          <w:color w:val="000000" w:themeColor="text1"/>
          <w:sz w:val="20"/>
          <w:szCs w:val="20"/>
          <w:lang w:val="es-ES"/>
        </w:rPr>
        <w:t>artículo</w:t>
      </w:r>
      <w:proofErr w:type="spellEnd"/>
      <w:r w:rsidRPr="000348A0">
        <w:rPr>
          <w:rFonts w:ascii="Arial" w:eastAsia="Calibri" w:hAnsi="Arial" w:cs="Arial"/>
          <w:bCs/>
          <w:color w:val="000000" w:themeColor="text1"/>
          <w:sz w:val="20"/>
          <w:szCs w:val="20"/>
          <w:lang w:val="es-ES"/>
        </w:rPr>
        <w:t xml:space="preserve"> 4 del Decreto 1737 de 1998, agregando los </w:t>
      </w:r>
      <w:proofErr w:type="spellStart"/>
      <w:r w:rsidRPr="000348A0">
        <w:rPr>
          <w:rFonts w:ascii="Arial" w:eastAsia="Calibri" w:hAnsi="Arial" w:cs="Arial"/>
          <w:bCs/>
          <w:color w:val="000000" w:themeColor="text1"/>
          <w:sz w:val="20"/>
          <w:szCs w:val="20"/>
          <w:lang w:val="es-ES"/>
        </w:rPr>
        <w:t>parágrafos</w:t>
      </w:r>
      <w:proofErr w:type="spellEnd"/>
      <w:r w:rsidRPr="000348A0">
        <w:rPr>
          <w:rFonts w:ascii="Arial" w:eastAsia="Calibri" w:hAnsi="Arial" w:cs="Arial"/>
          <w:bCs/>
          <w:color w:val="000000" w:themeColor="text1"/>
          <w:sz w:val="20"/>
          <w:szCs w:val="20"/>
          <w:lang w:val="es-ES"/>
        </w:rPr>
        <w:t xml:space="preserve"> 3 y 4, que introdujeron la </w:t>
      </w:r>
      <w:proofErr w:type="spellStart"/>
      <w:r w:rsidRPr="000348A0">
        <w:rPr>
          <w:rFonts w:ascii="Arial" w:eastAsia="Calibri" w:hAnsi="Arial" w:cs="Arial"/>
          <w:bCs/>
          <w:color w:val="000000" w:themeColor="text1"/>
          <w:sz w:val="20"/>
          <w:szCs w:val="20"/>
          <w:lang w:val="es-ES"/>
        </w:rPr>
        <w:t>noción</w:t>
      </w:r>
      <w:proofErr w:type="spellEnd"/>
      <w:r w:rsidRPr="000348A0">
        <w:rPr>
          <w:rFonts w:ascii="Arial" w:eastAsia="Calibri" w:hAnsi="Arial" w:cs="Arial"/>
          <w:bCs/>
          <w:color w:val="000000" w:themeColor="text1"/>
          <w:sz w:val="20"/>
          <w:szCs w:val="20"/>
          <w:lang w:val="es-ES"/>
        </w:rPr>
        <w:t xml:space="preserve"> de «servicios altamente calificados», y de qué manera aplicaban. La norma dispuso que excepcionalmente es posible contratar servicios «altamente calificados», superando la </w:t>
      </w:r>
      <w:proofErr w:type="spellStart"/>
      <w:r w:rsidRPr="000348A0">
        <w:rPr>
          <w:rFonts w:ascii="Arial" w:eastAsia="Calibri" w:hAnsi="Arial" w:cs="Arial"/>
          <w:bCs/>
          <w:color w:val="000000" w:themeColor="text1"/>
          <w:sz w:val="20"/>
          <w:szCs w:val="20"/>
          <w:lang w:val="es-ES"/>
        </w:rPr>
        <w:t>remuneración</w:t>
      </w:r>
      <w:proofErr w:type="spellEnd"/>
      <w:r w:rsidRPr="000348A0">
        <w:rPr>
          <w:rFonts w:ascii="Arial" w:eastAsia="Calibri" w:hAnsi="Arial" w:cs="Arial"/>
          <w:bCs/>
          <w:color w:val="000000" w:themeColor="text1"/>
          <w:sz w:val="20"/>
          <w:szCs w:val="20"/>
          <w:lang w:val="es-ES"/>
        </w:rPr>
        <w:t xml:space="preserve"> total establecida para el jefe de la entidad, incluidos los factores prestacionales y las contribuciones asociadas a la </w:t>
      </w:r>
      <w:proofErr w:type="spellStart"/>
      <w:r w:rsidRPr="000348A0">
        <w:rPr>
          <w:rFonts w:ascii="Arial" w:eastAsia="Calibri" w:hAnsi="Arial" w:cs="Arial"/>
          <w:bCs/>
          <w:color w:val="000000" w:themeColor="text1"/>
          <w:sz w:val="20"/>
          <w:szCs w:val="20"/>
          <w:lang w:val="es-ES"/>
        </w:rPr>
        <w:t>nómina</w:t>
      </w:r>
      <w:proofErr w:type="spellEnd"/>
      <w:r w:rsidRPr="000348A0">
        <w:rPr>
          <w:rFonts w:ascii="Arial" w:eastAsia="Calibri" w:hAnsi="Arial" w:cs="Arial"/>
          <w:bCs/>
          <w:color w:val="000000" w:themeColor="text1"/>
          <w:sz w:val="20"/>
          <w:szCs w:val="20"/>
          <w:lang w:val="es-ES"/>
        </w:rPr>
        <w:t xml:space="preserve">, siempre que el representante legal de la entidad justifique la necesidad del servicio y sus </w:t>
      </w:r>
      <w:proofErr w:type="spellStart"/>
      <w:r w:rsidRPr="000348A0">
        <w:rPr>
          <w:rFonts w:ascii="Arial" w:eastAsia="Calibri" w:hAnsi="Arial" w:cs="Arial"/>
          <w:bCs/>
          <w:color w:val="000000" w:themeColor="text1"/>
          <w:sz w:val="20"/>
          <w:szCs w:val="20"/>
          <w:lang w:val="es-ES"/>
        </w:rPr>
        <w:t>características</w:t>
      </w:r>
      <w:proofErr w:type="spellEnd"/>
      <w:r w:rsidRPr="000348A0">
        <w:rPr>
          <w:rFonts w:ascii="Arial" w:eastAsia="Calibri" w:hAnsi="Arial" w:cs="Arial"/>
          <w:bCs/>
          <w:color w:val="000000" w:themeColor="text1"/>
          <w:sz w:val="20"/>
          <w:szCs w:val="20"/>
          <w:lang w:val="es-ES"/>
        </w:rPr>
        <w:t xml:space="preserve"> específicas, además de establecer las condiciones de los productos o servicios a obtener</w:t>
      </w:r>
      <w:r>
        <w:rPr>
          <w:rFonts w:ascii="Arial" w:eastAsia="Calibri" w:hAnsi="Arial" w:cs="Arial"/>
          <w:bCs/>
          <w:color w:val="000000" w:themeColor="text1"/>
          <w:sz w:val="20"/>
          <w:szCs w:val="20"/>
          <w:lang w:val="es-ES"/>
        </w:rPr>
        <w:t xml:space="preserve"> […]</w:t>
      </w:r>
      <w:r w:rsidR="00CB1CDD" w:rsidRPr="00CB1CDD">
        <w:rPr>
          <w:rFonts w:ascii="Arial" w:eastAsia="Calibri" w:hAnsi="Arial" w:cs="Arial"/>
          <w:bCs/>
          <w:color w:val="000000" w:themeColor="text1"/>
          <w:sz w:val="20"/>
          <w:szCs w:val="20"/>
          <w:lang w:val="es-ES"/>
        </w:rPr>
        <w:t>.</w:t>
      </w:r>
    </w:p>
    <w:p w14:paraId="78AA793C" w14:textId="3EF9F8EB" w:rsidR="00AA7B10" w:rsidRDefault="00AA7B10" w:rsidP="00D5259F">
      <w:pPr>
        <w:jc w:val="both"/>
        <w:rPr>
          <w:rFonts w:ascii="Arial" w:eastAsia="Calibri" w:hAnsi="Arial" w:cs="Arial"/>
          <w:bCs/>
          <w:color w:val="000000" w:themeColor="text1"/>
          <w:sz w:val="20"/>
          <w:szCs w:val="20"/>
          <w:lang w:val="es-ES"/>
        </w:rPr>
      </w:pPr>
    </w:p>
    <w:p w14:paraId="16CF2E9C" w14:textId="5405B3C0" w:rsidR="00AA7B10" w:rsidRPr="00AA7B10" w:rsidRDefault="000348A0" w:rsidP="00D5259F">
      <w:pPr>
        <w:jc w:val="both"/>
        <w:rPr>
          <w:rFonts w:ascii="Arial" w:eastAsia="Calibri" w:hAnsi="Arial" w:cs="Arial"/>
          <w:b/>
          <w:color w:val="000000" w:themeColor="text1"/>
          <w:sz w:val="22"/>
          <w:lang w:val="es-ES"/>
        </w:rPr>
      </w:pPr>
      <w:r w:rsidRPr="00AA7B10">
        <w:rPr>
          <w:rFonts w:ascii="Arial" w:eastAsia="Calibri" w:hAnsi="Arial" w:cs="Arial"/>
          <w:b/>
          <w:color w:val="000000" w:themeColor="text1"/>
          <w:sz w:val="22"/>
          <w:lang w:val="es-ES"/>
        </w:rPr>
        <w:t>HONORARIOS</w:t>
      </w:r>
      <w:r w:rsidR="00AA7B10" w:rsidRPr="00AA7B10">
        <w:rPr>
          <w:rFonts w:ascii="Arial" w:eastAsia="Calibri" w:hAnsi="Arial" w:cs="Arial"/>
          <w:b/>
          <w:color w:val="000000" w:themeColor="text1"/>
          <w:sz w:val="22"/>
          <w:lang w:val="es-ES"/>
        </w:rPr>
        <w:t xml:space="preserve"> </w:t>
      </w:r>
      <w:r w:rsidR="00AA7B10">
        <w:rPr>
          <w:rFonts w:ascii="Arial" w:eastAsia="Calibri" w:hAnsi="Arial" w:cs="Arial"/>
          <w:b/>
          <w:color w:val="000000" w:themeColor="text1"/>
          <w:sz w:val="22"/>
          <w:lang w:val="es-ES"/>
        </w:rPr>
        <w:t>–</w:t>
      </w:r>
      <w:r w:rsidR="00AA7B10" w:rsidRPr="00AA7B10">
        <w:rPr>
          <w:rFonts w:ascii="Arial" w:eastAsia="Calibri" w:hAnsi="Arial" w:cs="Arial"/>
          <w:b/>
          <w:color w:val="000000" w:themeColor="text1"/>
          <w:sz w:val="22"/>
          <w:lang w:val="es-ES"/>
        </w:rPr>
        <w:t xml:space="preserve"> </w:t>
      </w:r>
      <w:r>
        <w:rPr>
          <w:rFonts w:ascii="Arial" w:eastAsia="Calibri" w:hAnsi="Arial" w:cs="Arial"/>
          <w:b/>
          <w:color w:val="000000" w:themeColor="text1"/>
          <w:sz w:val="22"/>
          <w:lang w:val="es-ES"/>
        </w:rPr>
        <w:t>Limitación – Ámbito de aplicación</w:t>
      </w:r>
      <w:r w:rsidR="00EA4B35">
        <w:rPr>
          <w:rFonts w:ascii="Arial" w:eastAsia="Calibri" w:hAnsi="Arial" w:cs="Arial"/>
          <w:b/>
          <w:color w:val="000000" w:themeColor="text1"/>
          <w:sz w:val="22"/>
          <w:lang w:val="es-ES"/>
        </w:rPr>
        <w:t xml:space="preserve"> </w:t>
      </w:r>
    </w:p>
    <w:p w14:paraId="2CC49FA3" w14:textId="77777777" w:rsidR="00F96F05" w:rsidRDefault="00F96F05" w:rsidP="00D5259F">
      <w:pPr>
        <w:jc w:val="both"/>
        <w:rPr>
          <w:rFonts w:ascii="Arial" w:eastAsia="Calibri" w:hAnsi="Arial" w:cs="Arial"/>
          <w:bCs/>
          <w:color w:val="000000" w:themeColor="text1"/>
          <w:sz w:val="20"/>
          <w:szCs w:val="20"/>
          <w:lang w:val="es-ES"/>
        </w:rPr>
      </w:pPr>
    </w:p>
    <w:p w14:paraId="39BC6843" w14:textId="35D7A43E" w:rsidR="000348A0" w:rsidRPr="000348A0" w:rsidRDefault="00EA4B35" w:rsidP="00D5259F">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000348A0" w:rsidRPr="000348A0">
        <w:rPr>
          <w:rFonts w:ascii="Arial" w:eastAsia="Calibri" w:hAnsi="Arial" w:cs="Arial"/>
          <w:bCs/>
          <w:color w:val="000000" w:themeColor="text1"/>
          <w:sz w:val="20"/>
          <w:szCs w:val="20"/>
          <w:lang w:val="es-ES"/>
        </w:rPr>
        <w:t xml:space="preserve">en el </w:t>
      </w:r>
      <w:proofErr w:type="spellStart"/>
      <w:r w:rsidR="000348A0" w:rsidRPr="000348A0">
        <w:rPr>
          <w:rFonts w:ascii="Arial" w:eastAsia="Calibri" w:hAnsi="Arial" w:cs="Arial"/>
          <w:bCs/>
          <w:color w:val="000000" w:themeColor="text1"/>
          <w:sz w:val="20"/>
          <w:szCs w:val="20"/>
          <w:lang w:val="es-ES"/>
        </w:rPr>
        <w:t>artículo</w:t>
      </w:r>
      <w:proofErr w:type="spellEnd"/>
      <w:r w:rsidR="000348A0" w:rsidRPr="000348A0">
        <w:rPr>
          <w:rFonts w:ascii="Arial" w:eastAsia="Calibri" w:hAnsi="Arial" w:cs="Arial"/>
          <w:bCs/>
          <w:color w:val="000000" w:themeColor="text1"/>
          <w:sz w:val="20"/>
          <w:szCs w:val="20"/>
          <w:lang w:val="es-ES"/>
        </w:rPr>
        <w:t xml:space="preserve"> 2.8.4.1.1</w:t>
      </w:r>
      <w:r w:rsidR="000348A0">
        <w:rPr>
          <w:rFonts w:ascii="Arial" w:eastAsia="Calibri" w:hAnsi="Arial" w:cs="Arial"/>
          <w:bCs/>
          <w:color w:val="000000" w:themeColor="text1"/>
          <w:sz w:val="20"/>
          <w:szCs w:val="20"/>
          <w:lang w:val="es-ES"/>
        </w:rPr>
        <w:t xml:space="preserve"> [del Decreto 1068 de 2015, que compiló el Decreto 1738 de 1998 y sus modificaciones]</w:t>
      </w:r>
      <w:r w:rsidR="000348A0" w:rsidRPr="000348A0">
        <w:rPr>
          <w:rFonts w:ascii="Arial" w:eastAsia="Calibri" w:hAnsi="Arial" w:cs="Arial"/>
          <w:bCs/>
          <w:color w:val="000000" w:themeColor="text1"/>
          <w:sz w:val="20"/>
          <w:szCs w:val="20"/>
          <w:lang w:val="es-ES"/>
        </w:rPr>
        <w:t xml:space="preserve">, dispone que «Se sujetan a la </w:t>
      </w:r>
      <w:proofErr w:type="spellStart"/>
      <w:r w:rsidR="000348A0" w:rsidRPr="000348A0">
        <w:rPr>
          <w:rFonts w:ascii="Arial" w:eastAsia="Calibri" w:hAnsi="Arial" w:cs="Arial"/>
          <w:bCs/>
          <w:color w:val="000000" w:themeColor="text1"/>
          <w:sz w:val="20"/>
          <w:szCs w:val="20"/>
          <w:lang w:val="es-ES"/>
        </w:rPr>
        <w:t>regulación</w:t>
      </w:r>
      <w:proofErr w:type="spellEnd"/>
      <w:r w:rsidR="000348A0" w:rsidRPr="000348A0">
        <w:rPr>
          <w:rFonts w:ascii="Arial" w:eastAsia="Calibri" w:hAnsi="Arial" w:cs="Arial"/>
          <w:bCs/>
          <w:color w:val="000000" w:themeColor="text1"/>
          <w:sz w:val="20"/>
          <w:szCs w:val="20"/>
          <w:lang w:val="es-ES"/>
        </w:rPr>
        <w:t xml:space="preserve"> de este </w:t>
      </w:r>
      <w:proofErr w:type="spellStart"/>
      <w:r w:rsidR="000348A0" w:rsidRPr="000348A0">
        <w:rPr>
          <w:rFonts w:ascii="Arial" w:eastAsia="Calibri" w:hAnsi="Arial" w:cs="Arial"/>
          <w:bCs/>
          <w:color w:val="000000" w:themeColor="text1"/>
          <w:sz w:val="20"/>
          <w:szCs w:val="20"/>
          <w:lang w:val="es-ES"/>
        </w:rPr>
        <w:t>título</w:t>
      </w:r>
      <w:proofErr w:type="spellEnd"/>
      <w:r w:rsidR="000348A0" w:rsidRPr="000348A0">
        <w:rPr>
          <w:rFonts w:ascii="Arial" w:eastAsia="Calibri" w:hAnsi="Arial" w:cs="Arial"/>
          <w:bCs/>
          <w:color w:val="000000" w:themeColor="text1"/>
          <w:sz w:val="20"/>
          <w:szCs w:val="20"/>
          <w:lang w:val="es-ES"/>
        </w:rPr>
        <w:t xml:space="preserve">, salvo en lo expresamente exceptuando, los organismos, entidades, entes </w:t>
      </w:r>
      <w:proofErr w:type="spellStart"/>
      <w:r w:rsidR="000348A0" w:rsidRPr="000348A0">
        <w:rPr>
          <w:rFonts w:ascii="Arial" w:eastAsia="Calibri" w:hAnsi="Arial" w:cs="Arial"/>
          <w:bCs/>
          <w:color w:val="000000" w:themeColor="text1"/>
          <w:sz w:val="20"/>
          <w:szCs w:val="20"/>
          <w:lang w:val="es-ES"/>
        </w:rPr>
        <w:t>públicos</w:t>
      </w:r>
      <w:proofErr w:type="spellEnd"/>
      <w:r w:rsidR="000348A0" w:rsidRPr="000348A0">
        <w:rPr>
          <w:rFonts w:ascii="Arial" w:eastAsia="Calibri" w:hAnsi="Arial" w:cs="Arial"/>
          <w:bCs/>
          <w:color w:val="000000" w:themeColor="text1"/>
          <w:sz w:val="20"/>
          <w:szCs w:val="20"/>
          <w:lang w:val="es-ES"/>
        </w:rPr>
        <w:t xml:space="preserve">, y personas </w:t>
      </w:r>
      <w:proofErr w:type="spellStart"/>
      <w:r w:rsidR="000348A0" w:rsidRPr="000348A0">
        <w:rPr>
          <w:rFonts w:ascii="Arial" w:eastAsia="Calibri" w:hAnsi="Arial" w:cs="Arial"/>
          <w:bCs/>
          <w:color w:val="000000" w:themeColor="text1"/>
          <w:sz w:val="20"/>
          <w:szCs w:val="20"/>
          <w:lang w:val="es-ES"/>
        </w:rPr>
        <w:t>jurídicas</w:t>
      </w:r>
      <w:proofErr w:type="spellEnd"/>
      <w:r w:rsidR="000348A0" w:rsidRPr="000348A0">
        <w:rPr>
          <w:rFonts w:ascii="Arial" w:eastAsia="Calibri" w:hAnsi="Arial" w:cs="Arial"/>
          <w:bCs/>
          <w:color w:val="000000" w:themeColor="text1"/>
          <w:sz w:val="20"/>
          <w:szCs w:val="20"/>
          <w:lang w:val="es-ES"/>
        </w:rPr>
        <w:t xml:space="preserve"> que financien sus gastos con recursos del Tesoro </w:t>
      </w:r>
      <w:proofErr w:type="spellStart"/>
      <w:r w:rsidR="000348A0" w:rsidRPr="000348A0">
        <w:rPr>
          <w:rFonts w:ascii="Arial" w:eastAsia="Calibri" w:hAnsi="Arial" w:cs="Arial"/>
          <w:bCs/>
          <w:color w:val="000000" w:themeColor="text1"/>
          <w:sz w:val="20"/>
          <w:szCs w:val="20"/>
          <w:lang w:val="es-ES"/>
        </w:rPr>
        <w:t>Público</w:t>
      </w:r>
      <w:proofErr w:type="spellEnd"/>
      <w:r w:rsidR="000348A0" w:rsidRPr="000348A0">
        <w:rPr>
          <w:rFonts w:ascii="Arial" w:eastAsia="Calibri" w:hAnsi="Arial" w:cs="Arial"/>
          <w:bCs/>
          <w:color w:val="000000" w:themeColor="text1"/>
          <w:sz w:val="20"/>
          <w:szCs w:val="20"/>
          <w:lang w:val="es-ES"/>
        </w:rPr>
        <w:t xml:space="preserve">. Art. 1 Decreto 1737 de 1998)». Aunque el inciso 2 del artículo 128 de la Constitución Política dispone que el tesoro público comprende el de la Nación, el de las entidades territoriales y el de las descentralizadas, es necesario considerar que –conforme al artículo 287.3 de la Constitución Política– las entidades territoriales son autónomas para administrar sus </w:t>
      </w:r>
      <w:proofErr w:type="gramStart"/>
      <w:r w:rsidR="000348A0" w:rsidRPr="000348A0">
        <w:rPr>
          <w:rFonts w:ascii="Arial" w:eastAsia="Calibri" w:hAnsi="Arial" w:cs="Arial"/>
          <w:bCs/>
          <w:color w:val="000000" w:themeColor="text1"/>
          <w:sz w:val="20"/>
          <w:szCs w:val="20"/>
          <w:lang w:val="es-ES"/>
        </w:rPr>
        <w:t>recursos .</w:t>
      </w:r>
      <w:proofErr w:type="gramEnd"/>
      <w:r w:rsidR="000348A0" w:rsidRPr="000348A0">
        <w:rPr>
          <w:rFonts w:ascii="Arial" w:eastAsia="Calibri" w:hAnsi="Arial" w:cs="Arial"/>
          <w:bCs/>
          <w:color w:val="000000" w:themeColor="text1"/>
          <w:sz w:val="20"/>
          <w:szCs w:val="20"/>
          <w:lang w:val="es-ES"/>
        </w:rPr>
        <w:t xml:space="preserve"> En esta medida, a las entidades territoriales no les aplica directamente el límite dispuesto en las normas citadas, pues depende de que lo incluyan en sus normas presupuestales. </w:t>
      </w:r>
    </w:p>
    <w:p w14:paraId="4C26AE9B" w14:textId="4303E3D9" w:rsidR="00EA4B35" w:rsidRDefault="000348A0" w:rsidP="000348A0">
      <w:pPr>
        <w:jc w:val="both"/>
        <w:rPr>
          <w:rFonts w:ascii="Arial" w:eastAsia="Calibri" w:hAnsi="Arial" w:cs="Arial"/>
          <w:bCs/>
          <w:color w:val="000000" w:themeColor="text1"/>
          <w:sz w:val="20"/>
          <w:szCs w:val="20"/>
          <w:lang w:val="es-ES"/>
        </w:rPr>
      </w:pPr>
      <w:r w:rsidRPr="000348A0">
        <w:rPr>
          <w:rFonts w:ascii="Arial" w:eastAsia="Calibri" w:hAnsi="Arial" w:cs="Arial"/>
          <w:bCs/>
          <w:color w:val="000000" w:themeColor="text1"/>
          <w:sz w:val="20"/>
          <w:szCs w:val="20"/>
          <w:lang w:val="es-ES"/>
        </w:rPr>
        <w:t xml:space="preserve">Por ello, el Decreto 1068 de 2015, en el artículo 2.8.4.1.2, dispone que «Las entidades territoriales </w:t>
      </w:r>
      <w:proofErr w:type="spellStart"/>
      <w:r w:rsidRPr="000348A0">
        <w:rPr>
          <w:rFonts w:ascii="Arial" w:eastAsia="Calibri" w:hAnsi="Arial" w:cs="Arial"/>
          <w:bCs/>
          <w:color w:val="000000" w:themeColor="text1"/>
          <w:sz w:val="20"/>
          <w:szCs w:val="20"/>
          <w:lang w:val="es-ES"/>
        </w:rPr>
        <w:t>adoptarán</w:t>
      </w:r>
      <w:proofErr w:type="spellEnd"/>
      <w:r w:rsidRPr="000348A0">
        <w:rPr>
          <w:rFonts w:ascii="Arial" w:eastAsia="Calibri" w:hAnsi="Arial" w:cs="Arial"/>
          <w:bCs/>
          <w:color w:val="000000" w:themeColor="text1"/>
          <w:sz w:val="20"/>
          <w:szCs w:val="20"/>
          <w:lang w:val="es-ES"/>
        </w:rPr>
        <w:t xml:space="preserve"> medidas equivalentes a las </w:t>
      </w:r>
      <w:proofErr w:type="spellStart"/>
      <w:r w:rsidRPr="000348A0">
        <w:rPr>
          <w:rFonts w:ascii="Arial" w:eastAsia="Calibri" w:hAnsi="Arial" w:cs="Arial"/>
          <w:bCs/>
          <w:color w:val="000000" w:themeColor="text1"/>
          <w:sz w:val="20"/>
          <w:szCs w:val="20"/>
          <w:lang w:val="es-ES"/>
        </w:rPr>
        <w:t>aqui</w:t>
      </w:r>
      <w:proofErr w:type="spellEnd"/>
      <w:r w:rsidRPr="000348A0">
        <w:rPr>
          <w:rFonts w:ascii="Arial" w:eastAsia="Calibri" w:hAnsi="Arial" w:cs="Arial"/>
          <w:bCs/>
          <w:color w:val="000000" w:themeColor="text1"/>
          <w:sz w:val="20"/>
          <w:szCs w:val="20"/>
          <w:lang w:val="es-ES"/>
        </w:rPr>
        <w:t xml:space="preserve">́ dispuestas en sus organizaciones administrativas. (Art. 2 Decreto 1737 de 1998)». Esto implica que el Decreto 1068 de 2015 –es decir, el Decreto 1737 de 1998, con sus modificaciones– aplica a los organismos, entidades, entes </w:t>
      </w:r>
      <w:proofErr w:type="spellStart"/>
      <w:r w:rsidRPr="000348A0">
        <w:rPr>
          <w:rFonts w:ascii="Arial" w:eastAsia="Calibri" w:hAnsi="Arial" w:cs="Arial"/>
          <w:bCs/>
          <w:color w:val="000000" w:themeColor="text1"/>
          <w:sz w:val="20"/>
          <w:szCs w:val="20"/>
          <w:lang w:val="es-ES"/>
        </w:rPr>
        <w:t>públicos</w:t>
      </w:r>
      <w:proofErr w:type="spellEnd"/>
      <w:r w:rsidRPr="000348A0">
        <w:rPr>
          <w:rFonts w:ascii="Arial" w:eastAsia="Calibri" w:hAnsi="Arial" w:cs="Arial"/>
          <w:bCs/>
          <w:color w:val="000000" w:themeColor="text1"/>
          <w:sz w:val="20"/>
          <w:szCs w:val="20"/>
          <w:lang w:val="es-ES"/>
        </w:rPr>
        <w:t xml:space="preserve"> y personas </w:t>
      </w:r>
      <w:proofErr w:type="spellStart"/>
      <w:r w:rsidRPr="000348A0">
        <w:rPr>
          <w:rFonts w:ascii="Arial" w:eastAsia="Calibri" w:hAnsi="Arial" w:cs="Arial"/>
          <w:bCs/>
          <w:color w:val="000000" w:themeColor="text1"/>
          <w:sz w:val="20"/>
          <w:szCs w:val="20"/>
          <w:lang w:val="es-ES"/>
        </w:rPr>
        <w:t>jurídicas</w:t>
      </w:r>
      <w:proofErr w:type="spellEnd"/>
      <w:r w:rsidRPr="000348A0">
        <w:rPr>
          <w:rFonts w:ascii="Arial" w:eastAsia="Calibri" w:hAnsi="Arial" w:cs="Arial"/>
          <w:bCs/>
          <w:color w:val="000000" w:themeColor="text1"/>
          <w:sz w:val="20"/>
          <w:szCs w:val="20"/>
          <w:lang w:val="es-ES"/>
        </w:rPr>
        <w:t xml:space="preserve"> que financien sus gastos con recursos del tesoro público de la nación, sin incluir a las entidades territoriales</w:t>
      </w:r>
      <w:r w:rsidR="00EA4B35" w:rsidRPr="00EA4B35">
        <w:rPr>
          <w:rFonts w:ascii="Arial" w:eastAsia="Calibri" w:hAnsi="Arial" w:cs="Arial"/>
          <w:bCs/>
          <w:color w:val="000000" w:themeColor="text1"/>
          <w:sz w:val="20"/>
          <w:szCs w:val="20"/>
          <w:lang w:val="es-ES"/>
        </w:rPr>
        <w:t>.</w:t>
      </w:r>
    </w:p>
    <w:p w14:paraId="5E8072DA" w14:textId="00C30C30" w:rsidR="00E71632" w:rsidRDefault="00E71632" w:rsidP="005B7726">
      <w:pPr>
        <w:jc w:val="both"/>
        <w:rPr>
          <w:rFonts w:ascii="Arial" w:eastAsia="Calibri" w:hAnsi="Arial" w:cs="Arial"/>
          <w:bCs/>
          <w:color w:val="000000" w:themeColor="text1"/>
          <w:sz w:val="20"/>
          <w:szCs w:val="20"/>
        </w:rPr>
      </w:pPr>
    </w:p>
    <w:p w14:paraId="7F6522F2" w14:textId="03D87602" w:rsidR="00E71632" w:rsidRPr="005B7726" w:rsidRDefault="00F96F05" w:rsidP="00E71632">
      <w:pPr>
        <w:jc w:val="both"/>
        <w:rPr>
          <w:rFonts w:ascii="Arial" w:eastAsia="Calibri" w:hAnsi="Arial" w:cs="Arial"/>
          <w:b/>
          <w:color w:val="000000" w:themeColor="text1"/>
          <w:sz w:val="20"/>
          <w:szCs w:val="20"/>
        </w:rPr>
      </w:pPr>
      <w:bookmarkStart w:id="4" w:name="_Hlk45875552"/>
      <w:r>
        <w:rPr>
          <w:rFonts w:ascii="Arial" w:eastAsia="Calibri" w:hAnsi="Arial" w:cs="Arial"/>
          <w:b/>
          <w:color w:val="000000" w:themeColor="text1"/>
          <w:sz w:val="22"/>
          <w:lang w:val="es-ES"/>
        </w:rPr>
        <w:lastRenderedPageBreak/>
        <w:t>REMUNERACIÓN SERVICIOS TÉCNICOS</w:t>
      </w:r>
      <w:r w:rsidR="00E71632" w:rsidRPr="00AA7B10">
        <w:rPr>
          <w:rFonts w:ascii="Arial" w:eastAsia="Calibri" w:hAnsi="Arial" w:cs="Arial"/>
          <w:b/>
          <w:color w:val="000000" w:themeColor="text1"/>
          <w:sz w:val="22"/>
          <w:lang w:val="es-ES"/>
        </w:rPr>
        <w:t xml:space="preserve"> – Limitación – Honorarios – </w:t>
      </w:r>
      <w:bookmarkEnd w:id="4"/>
      <w:r>
        <w:rPr>
          <w:rFonts w:ascii="Arial" w:eastAsia="Calibri" w:hAnsi="Arial" w:cs="Arial"/>
          <w:b/>
          <w:color w:val="000000" w:themeColor="text1"/>
          <w:sz w:val="22"/>
          <w:lang w:val="es-ES"/>
        </w:rPr>
        <w:t>Contrato de prestación de servicios</w:t>
      </w:r>
      <w:r w:rsidR="00E71632">
        <w:rPr>
          <w:rFonts w:ascii="Arial" w:eastAsia="Calibri" w:hAnsi="Arial" w:cs="Arial"/>
          <w:b/>
          <w:color w:val="000000" w:themeColor="text1"/>
          <w:sz w:val="22"/>
          <w:lang w:val="es-ES"/>
        </w:rPr>
        <w:t xml:space="preserve"> </w:t>
      </w:r>
      <w:r w:rsidR="00E71632" w:rsidRPr="005B7726">
        <w:rPr>
          <w:rFonts w:ascii="Arial" w:eastAsia="Calibri" w:hAnsi="Arial" w:cs="Arial"/>
          <w:b/>
          <w:color w:val="000000" w:themeColor="text1"/>
          <w:sz w:val="20"/>
          <w:szCs w:val="20"/>
        </w:rPr>
        <w:t xml:space="preserve"> </w:t>
      </w:r>
    </w:p>
    <w:p w14:paraId="55B72BA2" w14:textId="77777777" w:rsidR="00E71632" w:rsidRDefault="00E71632" w:rsidP="005B7726">
      <w:pPr>
        <w:jc w:val="both"/>
        <w:rPr>
          <w:rFonts w:ascii="Arial" w:eastAsia="Calibri" w:hAnsi="Arial" w:cs="Arial"/>
          <w:bCs/>
          <w:color w:val="000000" w:themeColor="text1"/>
          <w:sz w:val="20"/>
          <w:szCs w:val="20"/>
        </w:rPr>
      </w:pPr>
    </w:p>
    <w:p w14:paraId="13D3532D" w14:textId="1F13D448" w:rsidR="00E71632" w:rsidRPr="00E71632" w:rsidRDefault="00E71632" w:rsidP="00E71632">
      <w:pPr>
        <w:spacing w:after="120"/>
        <w:jc w:val="both"/>
        <w:rPr>
          <w:rFonts w:ascii="Arial" w:eastAsia="Calibri" w:hAnsi="Arial" w:cs="Arial"/>
          <w:bCs/>
          <w:color w:val="000000" w:themeColor="text1"/>
          <w:sz w:val="20"/>
          <w:szCs w:val="20"/>
          <w:lang w:val="es-ES"/>
        </w:rPr>
      </w:pPr>
      <w:r w:rsidRPr="00E71632">
        <w:rPr>
          <w:rFonts w:ascii="Arial" w:eastAsia="Calibri" w:hAnsi="Arial" w:cs="Arial"/>
          <w:bCs/>
          <w:color w:val="000000" w:themeColor="text1"/>
          <w:sz w:val="20"/>
          <w:szCs w:val="20"/>
          <w:lang w:val="es-ES"/>
        </w:rPr>
        <w:t xml:space="preserve">El </w:t>
      </w:r>
      <w:r>
        <w:rPr>
          <w:rFonts w:ascii="Arial" w:eastAsia="Calibri" w:hAnsi="Arial" w:cs="Arial"/>
          <w:bCs/>
          <w:color w:val="000000" w:themeColor="text1"/>
          <w:sz w:val="20"/>
          <w:szCs w:val="20"/>
          <w:lang w:val="es-ES"/>
        </w:rPr>
        <w:t>[</w:t>
      </w:r>
      <w:r w:rsidRPr="00E71632">
        <w:rPr>
          <w:rFonts w:ascii="Arial" w:eastAsia="Calibri" w:hAnsi="Arial" w:cs="Arial"/>
          <w:bCs/>
          <w:color w:val="000000" w:themeColor="text1"/>
          <w:sz w:val="20"/>
          <w:szCs w:val="20"/>
          <w:lang w:val="es-ES"/>
        </w:rPr>
        <w:t>el artículo 35, numeral «02 02», de Decreto 2411 de 2019</w:t>
      </w:r>
      <w:r>
        <w:rPr>
          <w:rFonts w:ascii="Arial" w:eastAsia="Calibri" w:hAnsi="Arial" w:cs="Arial"/>
          <w:bCs/>
          <w:color w:val="000000" w:themeColor="text1"/>
          <w:sz w:val="20"/>
          <w:szCs w:val="20"/>
          <w:lang w:val="es-ES"/>
        </w:rPr>
        <w:t>]</w:t>
      </w:r>
      <w:r w:rsidRPr="00E71632">
        <w:rPr>
          <w:rFonts w:ascii="Arial" w:eastAsia="Calibri" w:hAnsi="Arial" w:cs="Arial"/>
          <w:bCs/>
          <w:color w:val="000000" w:themeColor="text1"/>
          <w:sz w:val="20"/>
          <w:szCs w:val="20"/>
          <w:lang w:val="es-ES"/>
        </w:rPr>
        <w:t xml:space="preserve"> no dispone que la «remuneración servicios técnicos» sea una categoría autónoma dentro del presupuesto; todo lo contrario, la subsume dentro las «adquisiciones diferentes de activos» y se remite al artículo 2.8.4.4.6 del Decreto 1068 de 2015. Como la derogatoria tácita es lógicamente incompatible con la remisión, se concluye que la norma mencionada continua vigente. </w:t>
      </w:r>
    </w:p>
    <w:p w14:paraId="2D2AA377" w14:textId="630AF7C6" w:rsidR="00E71632" w:rsidRPr="00E71632" w:rsidRDefault="00E71632" w:rsidP="00E71632">
      <w:pPr>
        <w:jc w:val="both"/>
        <w:rPr>
          <w:rFonts w:ascii="Arial" w:eastAsia="Calibri" w:hAnsi="Arial" w:cs="Arial"/>
          <w:bCs/>
          <w:color w:val="000000" w:themeColor="text1"/>
          <w:sz w:val="20"/>
          <w:szCs w:val="20"/>
          <w:lang w:val="es-ES"/>
        </w:rPr>
      </w:pPr>
      <w:r w:rsidRPr="00E71632">
        <w:rPr>
          <w:rFonts w:ascii="Arial" w:eastAsia="Calibri" w:hAnsi="Arial" w:cs="Arial"/>
          <w:bCs/>
          <w:color w:val="000000" w:themeColor="text1"/>
          <w:sz w:val="20"/>
          <w:szCs w:val="20"/>
          <w:lang w:val="es-ES"/>
        </w:rPr>
        <w:t xml:space="preserve">En consecuencia, dado que el artículo 35, numeral «02 02», de Decreto 2411 de 2019 desarrolla la categoría de «remuneración servicios técnicos», también aplica el límite al tope de los honorarios en los contratos de prestación de servicios del artículo 2.8.4.4.6 del Decreto 1068 de 2015, anteriormente citado. Por tanto, los «servicios personales calificados» no puede superar la remuneración total mensual establecida para el jefe de la entidad, la cual –conforme al parágrafo primero– no incluye los factores prestacionales; mientras que los «servicios personales altamente calificados», esto es, aquellos de alto nivel de especialidad, complejidad y detalle que cumplen los requisitos del parágrafo tercero, inciso segundo, pueden superar la remuneración mensual total mensual del jefe de la entidad, pero sin sobrepasar la suma de este valor con los factores prestacionales y las contribuciones inherentes a la nómina, relacionadas con seguridad social y parafiscales a cargo del empleador.     </w:t>
      </w:r>
    </w:p>
    <w:p w14:paraId="3FCF357B" w14:textId="3B09C4DC" w:rsidR="00E71632" w:rsidRDefault="00E71632" w:rsidP="005B7726">
      <w:pPr>
        <w:jc w:val="both"/>
        <w:rPr>
          <w:rFonts w:ascii="Arial" w:eastAsia="Calibri" w:hAnsi="Arial" w:cs="Arial"/>
          <w:bCs/>
          <w:color w:val="000000" w:themeColor="text1"/>
          <w:sz w:val="20"/>
          <w:szCs w:val="20"/>
        </w:rPr>
      </w:pPr>
    </w:p>
    <w:p w14:paraId="00D20B03" w14:textId="7C06720E" w:rsidR="00DA38A8" w:rsidRDefault="00DA38A8" w:rsidP="005B7726">
      <w:pPr>
        <w:jc w:val="both"/>
        <w:rPr>
          <w:rFonts w:ascii="Arial" w:eastAsia="Calibri" w:hAnsi="Arial" w:cs="Arial"/>
          <w:bCs/>
          <w:color w:val="000000" w:themeColor="text1"/>
          <w:sz w:val="20"/>
          <w:szCs w:val="20"/>
        </w:rPr>
      </w:pPr>
      <w:r w:rsidRPr="00AA7B10">
        <w:rPr>
          <w:rFonts w:ascii="Arial" w:eastAsia="Calibri" w:hAnsi="Arial" w:cs="Arial"/>
          <w:b/>
          <w:color w:val="000000" w:themeColor="text1"/>
          <w:sz w:val="22"/>
          <w:lang w:val="es-ES"/>
        </w:rPr>
        <w:t xml:space="preserve">CONTRATO DE PRESTACIÓN DE SERVICIOS – Limitación – Honorarios – </w:t>
      </w:r>
      <w:r>
        <w:rPr>
          <w:rFonts w:ascii="Arial" w:eastAsia="Calibri" w:hAnsi="Arial" w:cs="Arial"/>
          <w:b/>
          <w:color w:val="000000" w:themeColor="text1"/>
          <w:sz w:val="22"/>
          <w:lang w:val="es-ES"/>
        </w:rPr>
        <w:t>Vigencia fiscal 2020</w:t>
      </w:r>
    </w:p>
    <w:p w14:paraId="4BB9FE54" w14:textId="77777777" w:rsidR="00DA38A8" w:rsidRPr="005B7726" w:rsidRDefault="00DA38A8" w:rsidP="005B7726">
      <w:pPr>
        <w:jc w:val="both"/>
        <w:rPr>
          <w:rFonts w:ascii="Arial" w:eastAsia="Calibri" w:hAnsi="Arial" w:cs="Arial"/>
          <w:bCs/>
          <w:color w:val="000000" w:themeColor="text1"/>
          <w:sz w:val="20"/>
          <w:szCs w:val="20"/>
        </w:rPr>
      </w:pPr>
    </w:p>
    <w:p w14:paraId="64EECA9D" w14:textId="6D332444" w:rsidR="00EA4B35" w:rsidRPr="00EA4B35" w:rsidRDefault="00EA4B35" w:rsidP="00EA4B35">
      <w:pPr>
        <w:spacing w:after="120"/>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009C1B05" w:rsidRPr="009C1B05">
        <w:rPr>
          <w:rFonts w:ascii="Arial" w:eastAsia="Calibri" w:hAnsi="Arial" w:cs="Arial"/>
          <w:bCs/>
          <w:color w:val="000000" w:themeColor="text1"/>
          <w:sz w:val="20"/>
          <w:szCs w:val="20"/>
          <w:lang w:val="es-ES"/>
        </w:rPr>
        <w:t xml:space="preserve">para la vigencia fiscal de 2020, nuevamente aplica el límite del valor de los honorarios para los contratos de prestación de servicios, por dos (2) razones. Por un lado, porque el numeral «02» del artículo 35 del Decreto 2411 de 2019 prohíbe expresamente pactarlos por un valor mayor al de la remuneración mensual del jefe de la entidad, </w:t>
      </w:r>
      <w:proofErr w:type="gramStart"/>
      <w:r w:rsidR="009C1B05" w:rsidRPr="009C1B05">
        <w:rPr>
          <w:rFonts w:ascii="Arial" w:eastAsia="Calibri" w:hAnsi="Arial" w:cs="Arial"/>
          <w:bCs/>
          <w:color w:val="000000" w:themeColor="text1"/>
          <w:sz w:val="20"/>
          <w:szCs w:val="20"/>
          <w:lang w:val="es-ES"/>
        </w:rPr>
        <w:t>y</w:t>
      </w:r>
      <w:proofErr w:type="gramEnd"/>
      <w:r w:rsidR="009C1B05" w:rsidRPr="009C1B05">
        <w:rPr>
          <w:rFonts w:ascii="Arial" w:eastAsia="Calibri" w:hAnsi="Arial" w:cs="Arial"/>
          <w:bCs/>
          <w:color w:val="000000" w:themeColor="text1"/>
          <w:sz w:val="20"/>
          <w:szCs w:val="20"/>
          <w:lang w:val="es-ES"/>
        </w:rPr>
        <w:t xml:space="preserve"> por otra parte, porque el numeral «02 02» de la misma disposición lo ratifica, al remitirse expresamente al artículo 2.8.4.4.6 del Decreto 1068 de 2015</w:t>
      </w:r>
      <w:r w:rsidRPr="00EA4B35">
        <w:rPr>
          <w:rFonts w:ascii="Arial" w:eastAsia="Calibri" w:hAnsi="Arial" w:cs="Arial"/>
          <w:bCs/>
          <w:color w:val="000000" w:themeColor="text1"/>
          <w:sz w:val="20"/>
          <w:szCs w:val="20"/>
          <w:lang w:val="es-ES"/>
        </w:rPr>
        <w:t xml:space="preserve">. </w:t>
      </w:r>
    </w:p>
    <w:p w14:paraId="44021FC2" w14:textId="4F5FC191" w:rsidR="00EA4B35" w:rsidRPr="00CB1CDD" w:rsidRDefault="009C1B05" w:rsidP="00EA4B35">
      <w:pPr>
        <w:jc w:val="both"/>
        <w:rPr>
          <w:rFonts w:ascii="Arial" w:eastAsia="Calibri" w:hAnsi="Arial" w:cs="Arial"/>
          <w:bCs/>
          <w:color w:val="000000" w:themeColor="text1"/>
          <w:sz w:val="20"/>
          <w:szCs w:val="20"/>
          <w:lang w:val="es-ES"/>
        </w:rPr>
      </w:pPr>
      <w:r w:rsidRPr="009C1B05">
        <w:rPr>
          <w:rFonts w:ascii="Arial" w:eastAsia="Calibri" w:hAnsi="Arial" w:cs="Arial"/>
          <w:bCs/>
          <w:color w:val="000000" w:themeColor="text1"/>
          <w:sz w:val="20"/>
          <w:szCs w:val="20"/>
          <w:lang w:val="es-ES"/>
        </w:rPr>
        <w:t>Lo anterior implica que el Decreto 2411 de 2019 no tenía la intención de derogar el Decreto 1068 de 2015, pues aquel incluye el concepto «remuneración servicios técnicos» como un gasto relacionado con las «adquisiciones diferentes de activos». Por lo tanto, en los órganos y entidades que conforman el presupuesto general de la nación –no así en las entidades territoriales, salvo que sus propias normas presupuestales lo establezcan–, conforme al artículo 3 del Decreto 2411 de 2019, el límite de los honorarios para los contratos de prestación de servicios se fundamenta actualmente tanto en numeral «02» como en el «02 02» del artículo 35, y adicionalmente en el artículo 2.8.4.4.6 del Decreto 1068 de 2015</w:t>
      </w:r>
      <w:r w:rsidR="00EA4B35">
        <w:rPr>
          <w:rFonts w:ascii="Arial" w:eastAsia="Calibri" w:hAnsi="Arial" w:cs="Arial"/>
          <w:bCs/>
          <w:color w:val="000000" w:themeColor="text1"/>
          <w:sz w:val="20"/>
          <w:szCs w:val="20"/>
          <w:lang w:val="es-ES"/>
        </w:rPr>
        <w:t>.</w:t>
      </w:r>
      <w:r w:rsidR="00EA4B35" w:rsidRPr="00EA4B35">
        <w:rPr>
          <w:rFonts w:ascii="Arial" w:eastAsia="Calibri" w:hAnsi="Arial" w:cs="Arial"/>
          <w:bCs/>
          <w:color w:val="000000" w:themeColor="text1"/>
          <w:sz w:val="20"/>
          <w:szCs w:val="20"/>
          <w:lang w:val="es-ES"/>
        </w:rPr>
        <w:t xml:space="preserve"> </w:t>
      </w:r>
      <w:r w:rsidR="00EA4B35" w:rsidRPr="00CB1CDD">
        <w:rPr>
          <w:rFonts w:ascii="Arial" w:eastAsia="Calibri" w:hAnsi="Arial" w:cs="Arial"/>
          <w:bCs/>
          <w:color w:val="000000" w:themeColor="text1"/>
          <w:sz w:val="20"/>
          <w:szCs w:val="20"/>
          <w:lang w:val="es-ES"/>
        </w:rPr>
        <w:t xml:space="preserve"> </w:t>
      </w:r>
    </w:p>
    <w:p w14:paraId="37038558" w14:textId="7455F221" w:rsidR="00825FD3" w:rsidRPr="005D08A8" w:rsidRDefault="00825FD3" w:rsidP="005C5B7C">
      <w:pPr>
        <w:jc w:val="both"/>
        <w:rPr>
          <w:rFonts w:ascii="Arial" w:eastAsia="Calibri" w:hAnsi="Arial" w:cs="Arial"/>
          <w:color w:val="000000" w:themeColor="text1"/>
          <w:sz w:val="20"/>
          <w:szCs w:val="20"/>
        </w:rPr>
      </w:pPr>
    </w:p>
    <w:p w14:paraId="2036CB1C" w14:textId="77777777" w:rsidR="005C5B7C" w:rsidRPr="005D08A8" w:rsidRDefault="005C5B7C" w:rsidP="005C5B7C">
      <w:pPr>
        <w:jc w:val="both"/>
        <w:rPr>
          <w:rFonts w:ascii="Arial" w:eastAsia="Calibri" w:hAnsi="Arial" w:cs="Arial"/>
          <w:color w:val="000000" w:themeColor="text1"/>
          <w:sz w:val="20"/>
          <w:szCs w:val="20"/>
        </w:rPr>
      </w:pPr>
    </w:p>
    <w:p w14:paraId="6C2D1181" w14:textId="70D19209" w:rsidR="00387D0F" w:rsidRDefault="00387D0F" w:rsidP="00387D0F">
      <w:pPr>
        <w:rPr>
          <w:rFonts w:ascii="Arial" w:hAnsi="Arial" w:cs="Arial"/>
          <w:b/>
          <w:sz w:val="22"/>
          <w:szCs w:val="20"/>
        </w:rPr>
      </w:pPr>
      <w:r w:rsidRPr="00387D0F">
        <w:rPr>
          <w:rFonts w:ascii="Arial" w:hAnsi="Arial" w:cs="Arial"/>
          <w:sz w:val="22"/>
          <w:szCs w:val="20"/>
        </w:rPr>
        <w:t xml:space="preserve">Bogotá D.C., </w:t>
      </w:r>
      <w:r w:rsidR="0004714D" w:rsidRPr="0004714D">
        <w:rPr>
          <w:rFonts w:ascii="Arial" w:hAnsi="Arial" w:cs="Arial"/>
          <w:b/>
          <w:sz w:val="22"/>
          <w:szCs w:val="20"/>
        </w:rPr>
        <w:t>27/07/2020 Hora 17:30:39s</w:t>
      </w:r>
    </w:p>
    <w:p w14:paraId="355C471E" w14:textId="77777777" w:rsidR="00387D0F" w:rsidRPr="00387D0F" w:rsidRDefault="00387D0F" w:rsidP="00387D0F">
      <w:pPr>
        <w:rPr>
          <w:rFonts w:ascii="Arial" w:hAnsi="Arial" w:cs="Arial"/>
          <w:b/>
          <w:sz w:val="22"/>
          <w:szCs w:val="20"/>
        </w:rPr>
      </w:pPr>
    </w:p>
    <w:p w14:paraId="18057FBF" w14:textId="4029A2E7" w:rsidR="00387D0F" w:rsidRPr="00387D0F" w:rsidRDefault="00387D0F" w:rsidP="00387D0F">
      <w:pPr>
        <w:jc w:val="right"/>
        <w:rPr>
          <w:rFonts w:ascii="Arial" w:hAnsi="Arial" w:cs="Arial"/>
          <w:b/>
          <w:sz w:val="22"/>
          <w:szCs w:val="20"/>
        </w:rPr>
      </w:pPr>
      <w:proofErr w:type="spellStart"/>
      <w:r w:rsidRPr="00387D0F">
        <w:rPr>
          <w:rFonts w:ascii="Arial" w:hAnsi="Arial" w:cs="Arial"/>
          <w:b/>
          <w:sz w:val="22"/>
          <w:szCs w:val="20"/>
        </w:rPr>
        <w:t>N°</w:t>
      </w:r>
      <w:proofErr w:type="spellEnd"/>
      <w:r w:rsidRPr="00387D0F">
        <w:rPr>
          <w:rFonts w:ascii="Arial" w:hAnsi="Arial" w:cs="Arial"/>
          <w:b/>
          <w:sz w:val="22"/>
          <w:szCs w:val="20"/>
        </w:rPr>
        <w:t xml:space="preserve"> Radicado: </w:t>
      </w:r>
      <w:r w:rsidR="0004714D" w:rsidRPr="0004714D">
        <w:rPr>
          <w:rFonts w:ascii="Arial" w:hAnsi="Arial" w:cs="Arial"/>
          <w:b/>
          <w:sz w:val="22"/>
          <w:szCs w:val="20"/>
        </w:rPr>
        <w:t>2202013000006679</w:t>
      </w:r>
    </w:p>
    <w:p w14:paraId="4ED669B5" w14:textId="77777777" w:rsidR="00BE1E33" w:rsidRPr="006C15D5" w:rsidRDefault="00BE1E33" w:rsidP="00BE1E33">
      <w:pPr>
        <w:rPr>
          <w:rFonts w:ascii="Arial" w:eastAsia="Calibri" w:hAnsi="Arial" w:cs="Arial"/>
          <w:color w:val="000000" w:themeColor="text1"/>
          <w:sz w:val="22"/>
        </w:rPr>
      </w:pPr>
    </w:p>
    <w:p w14:paraId="12A234ED" w14:textId="77777777" w:rsidR="00BE1E33" w:rsidRPr="006C15D5" w:rsidRDefault="00BE1E33" w:rsidP="00BE1E33">
      <w:pPr>
        <w:rPr>
          <w:rFonts w:ascii="Arial" w:eastAsia="Calibri" w:hAnsi="Arial" w:cs="Arial"/>
          <w:color w:val="000000" w:themeColor="text1"/>
          <w:sz w:val="22"/>
        </w:rPr>
      </w:pPr>
    </w:p>
    <w:p w14:paraId="73D51859" w14:textId="0A81EBD1"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06174A77" w14:textId="1D32F376" w:rsidR="00A01C74" w:rsidRDefault="00A01C74" w:rsidP="00BE1E33">
      <w:pPr>
        <w:rPr>
          <w:rFonts w:ascii="Arial" w:eastAsia="Calibri" w:hAnsi="Arial" w:cs="Arial"/>
          <w:b/>
          <w:color w:val="000000" w:themeColor="text1"/>
          <w:sz w:val="22"/>
        </w:rPr>
      </w:pPr>
      <w:r w:rsidRPr="00A01C74">
        <w:rPr>
          <w:rFonts w:ascii="Arial" w:eastAsia="Calibri" w:hAnsi="Arial" w:cs="Arial"/>
          <w:b/>
          <w:color w:val="000000" w:themeColor="text1"/>
          <w:sz w:val="22"/>
        </w:rPr>
        <w:t>Jorge Hernán Beltrán Pardo</w:t>
      </w:r>
    </w:p>
    <w:p w14:paraId="095BF112" w14:textId="1D3B46C9" w:rsidR="00BE1E33" w:rsidRPr="006C15D5" w:rsidRDefault="0011041A" w:rsidP="00BE1E33">
      <w:pPr>
        <w:rPr>
          <w:rFonts w:ascii="Arial" w:eastAsia="Calibri" w:hAnsi="Arial" w:cs="Arial"/>
          <w:color w:val="000000" w:themeColor="text1"/>
          <w:sz w:val="22"/>
        </w:rPr>
      </w:pPr>
      <w:r>
        <w:rPr>
          <w:rFonts w:ascii="Arial" w:eastAsia="Calibri" w:hAnsi="Arial" w:cs="Arial"/>
          <w:color w:val="000000" w:themeColor="text1"/>
          <w:sz w:val="22"/>
        </w:rPr>
        <w:t>Bogotá D.C.</w:t>
      </w:r>
      <w:r w:rsidR="00BE1E33" w:rsidRPr="006C15D5">
        <w:rPr>
          <w:rFonts w:ascii="Arial" w:eastAsia="Calibri" w:hAnsi="Arial" w:cs="Arial"/>
          <w:color w:val="000000" w:themeColor="text1"/>
          <w:sz w:val="22"/>
        </w:rPr>
        <w:t xml:space="preserve">, </w:t>
      </w:r>
      <w:r>
        <w:rPr>
          <w:rFonts w:ascii="Arial" w:eastAsia="Calibri" w:hAnsi="Arial" w:cs="Arial"/>
          <w:color w:val="000000" w:themeColor="text1"/>
          <w:sz w:val="22"/>
        </w:rPr>
        <w:t>Cundinamarca</w:t>
      </w:r>
      <w:r w:rsidR="006D078C">
        <w:rPr>
          <w:rFonts w:ascii="Arial" w:eastAsia="Calibri" w:hAnsi="Arial" w:cs="Arial"/>
          <w:color w:val="000000" w:themeColor="text1"/>
          <w:sz w:val="22"/>
        </w:rPr>
        <w:t xml:space="preserve"> </w:t>
      </w:r>
    </w:p>
    <w:p w14:paraId="04EF8353" w14:textId="77777777" w:rsidR="00BE1E33" w:rsidRPr="006C15D5" w:rsidRDefault="00BE1E33" w:rsidP="00BE1E33">
      <w:pPr>
        <w:rPr>
          <w:rFonts w:ascii="Arial" w:eastAsia="Calibri" w:hAnsi="Arial" w:cs="Arial"/>
          <w:color w:val="000000" w:themeColor="text1"/>
          <w:sz w:val="22"/>
        </w:rPr>
      </w:pPr>
    </w:p>
    <w:p w14:paraId="738DBA53" w14:textId="77777777" w:rsidR="00BE1E33" w:rsidRPr="006C15D5" w:rsidRDefault="00BE1E33" w:rsidP="00BE1E33">
      <w:pPr>
        <w:rPr>
          <w:rFonts w:ascii="Arial" w:eastAsia="Calibri" w:hAnsi="Arial" w:cs="Arial"/>
          <w:color w:val="000000" w:themeColor="text1"/>
          <w:sz w:val="22"/>
        </w:rPr>
      </w:pPr>
    </w:p>
    <w:p w14:paraId="5CEA4ADF" w14:textId="7F0552A7"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lastRenderedPageBreak/>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A0244F">
        <w:rPr>
          <w:rFonts w:ascii="Arial" w:eastAsia="Calibri" w:hAnsi="Arial" w:cs="Arial"/>
          <w:b/>
          <w:color w:val="000000" w:themeColor="text1"/>
          <w:sz w:val="22"/>
        </w:rPr>
        <w:t>418</w:t>
      </w:r>
      <w:r w:rsidRPr="006C15D5">
        <w:rPr>
          <w:rFonts w:ascii="Arial" w:eastAsia="Calibri" w:hAnsi="Arial" w:cs="Arial"/>
          <w:b/>
          <w:color w:val="000000" w:themeColor="text1"/>
          <w:sz w:val="22"/>
        </w:rPr>
        <w:t xml:space="preserve"> de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2BDFDDA8" w:rsidR="00BE1E33" w:rsidRPr="006C15D5" w:rsidRDefault="00783FEB">
            <w:pPr>
              <w:jc w:val="both"/>
              <w:rPr>
                <w:rFonts w:ascii="Arial" w:eastAsia="Calibri" w:hAnsi="Arial" w:cs="Arial"/>
                <w:color w:val="000000" w:themeColor="text1"/>
                <w:sz w:val="22"/>
              </w:rPr>
            </w:pPr>
            <w:r w:rsidRPr="00783FEB">
              <w:rPr>
                <w:rFonts w:ascii="Arial" w:eastAsia="Calibri" w:hAnsi="Arial" w:cs="Arial"/>
                <w:color w:val="000000" w:themeColor="text1"/>
                <w:sz w:val="22"/>
              </w:rPr>
              <w:t>CONTRATO DE PRESTACIÓN DE SERVICIOS – Limitación – Honorarios – Servicios calificados – Remuneración servicios técnicos</w:t>
            </w:r>
            <w:r w:rsidRPr="00783FEB" w:rsidDel="00783FEB">
              <w:rPr>
                <w:rFonts w:ascii="Arial" w:eastAsia="Calibri" w:hAnsi="Arial" w:cs="Arial"/>
                <w:color w:val="000000" w:themeColor="text1"/>
                <w:sz w:val="22"/>
              </w:rPr>
              <w:t xml:space="preserve"> </w:t>
            </w:r>
            <w:r>
              <w:rPr>
                <w:rFonts w:ascii="Arial" w:eastAsia="Calibri" w:hAnsi="Arial" w:cs="Arial"/>
                <w:color w:val="000000" w:themeColor="text1"/>
                <w:sz w:val="22"/>
              </w:rPr>
              <w:t xml:space="preserve">/ </w:t>
            </w:r>
            <w:r w:rsidRPr="00783FEB">
              <w:rPr>
                <w:rFonts w:ascii="Arial" w:eastAsia="Calibri" w:hAnsi="Arial" w:cs="Arial"/>
                <w:color w:val="000000" w:themeColor="text1"/>
                <w:sz w:val="22"/>
              </w:rPr>
              <w:t>LIMITACIÓN – Honorarios – Servicio altamente calificados</w:t>
            </w:r>
            <w:r>
              <w:rPr>
                <w:rFonts w:ascii="Arial" w:eastAsia="Calibri" w:hAnsi="Arial" w:cs="Arial"/>
                <w:color w:val="000000" w:themeColor="text1"/>
                <w:sz w:val="22"/>
              </w:rPr>
              <w:t xml:space="preserve"> / </w:t>
            </w:r>
            <w:r w:rsidRPr="00783FEB">
              <w:rPr>
                <w:rFonts w:ascii="Arial" w:eastAsia="Calibri" w:hAnsi="Arial" w:cs="Arial"/>
                <w:color w:val="000000" w:themeColor="text1"/>
                <w:sz w:val="22"/>
              </w:rPr>
              <w:t xml:space="preserve">HONORARIOS – Limitación – Ámbito de </w:t>
            </w:r>
            <w:proofErr w:type="gramStart"/>
            <w:r w:rsidRPr="00783FEB">
              <w:rPr>
                <w:rFonts w:ascii="Arial" w:eastAsia="Calibri" w:hAnsi="Arial" w:cs="Arial"/>
                <w:color w:val="000000" w:themeColor="text1"/>
                <w:sz w:val="22"/>
              </w:rPr>
              <w:t>aplicación</w:t>
            </w:r>
            <w:r w:rsidRPr="00783FEB" w:rsidDel="00783FEB">
              <w:rPr>
                <w:rFonts w:ascii="Arial" w:eastAsia="Calibri" w:hAnsi="Arial" w:cs="Arial"/>
                <w:color w:val="000000" w:themeColor="text1"/>
                <w:sz w:val="22"/>
              </w:rPr>
              <w:t xml:space="preserve"> </w:t>
            </w:r>
            <w:r>
              <w:rPr>
                <w:rFonts w:ascii="Arial" w:eastAsia="Calibri" w:hAnsi="Arial" w:cs="Arial"/>
                <w:color w:val="000000" w:themeColor="text1"/>
                <w:sz w:val="22"/>
              </w:rPr>
              <w:t xml:space="preserve"> /</w:t>
            </w:r>
            <w:proofErr w:type="gramEnd"/>
            <w:r>
              <w:rPr>
                <w:rFonts w:ascii="Arial" w:eastAsia="Calibri" w:hAnsi="Arial" w:cs="Arial"/>
                <w:color w:val="000000" w:themeColor="text1"/>
                <w:sz w:val="22"/>
              </w:rPr>
              <w:t xml:space="preserve"> </w:t>
            </w:r>
            <w:r w:rsidRPr="00783FEB">
              <w:rPr>
                <w:rFonts w:ascii="Arial" w:eastAsia="Calibri" w:hAnsi="Arial" w:cs="Arial"/>
                <w:color w:val="000000" w:themeColor="text1"/>
                <w:sz w:val="22"/>
              </w:rPr>
              <w:t xml:space="preserve">REMUNERACIÓN SERVICIOS TÉCNICOS – Limitación – Honorarios – Contrato de prestación de servicios </w:t>
            </w:r>
            <w:r>
              <w:rPr>
                <w:rFonts w:ascii="Arial" w:eastAsia="Calibri" w:hAnsi="Arial" w:cs="Arial"/>
                <w:color w:val="000000" w:themeColor="text1"/>
                <w:sz w:val="22"/>
              </w:rPr>
              <w:t xml:space="preserve">/ </w:t>
            </w:r>
            <w:r w:rsidR="00643377" w:rsidRPr="00643377">
              <w:rPr>
                <w:rFonts w:ascii="Arial" w:eastAsia="Calibri" w:hAnsi="Arial" w:cs="Arial"/>
                <w:color w:val="000000" w:themeColor="text1"/>
                <w:sz w:val="22"/>
              </w:rPr>
              <w:t>CONTRATO DE PRESTACIÓN DE SERVICIOS – Limitación – Honorarios – Vigencia fiscal 2020</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613DE4B1"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A0244F" w:rsidRPr="00A0244F">
              <w:rPr>
                <w:rFonts w:ascii="Arial" w:eastAsia="Calibri" w:hAnsi="Arial" w:cs="Arial"/>
                <w:color w:val="000000" w:themeColor="text1"/>
                <w:sz w:val="22"/>
              </w:rPr>
              <w:t>4202013000004836</w:t>
            </w:r>
          </w:p>
        </w:tc>
      </w:tr>
      <w:tr w:rsidR="00770D7D" w:rsidRPr="003F6D32" w14:paraId="27C2F130" w14:textId="77777777" w:rsidTr="00AC43E7">
        <w:tc>
          <w:tcPr>
            <w:tcW w:w="2689" w:type="dxa"/>
          </w:tcPr>
          <w:p w14:paraId="2CAB0965" w14:textId="77777777" w:rsidR="00770D7D" w:rsidRPr="006C15D5" w:rsidRDefault="00770D7D" w:rsidP="00AC43E7">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AC43E7">
            <w:pPr>
              <w:spacing w:before="120"/>
              <w:jc w:val="both"/>
              <w:rPr>
                <w:rFonts w:ascii="Arial" w:eastAsia="Calibri" w:hAnsi="Arial" w:cs="Arial"/>
                <w:color w:val="000000" w:themeColor="text1"/>
                <w:sz w:val="22"/>
              </w:rPr>
            </w:pPr>
          </w:p>
        </w:tc>
      </w:tr>
    </w:tbl>
    <w:p w14:paraId="417ABDA8" w14:textId="3D6925CA"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981C12">
        <w:rPr>
          <w:rFonts w:ascii="Arial" w:eastAsia="Calibri" w:hAnsi="Arial" w:cs="Arial"/>
          <w:color w:val="000000" w:themeColor="text1"/>
          <w:sz w:val="22"/>
        </w:rPr>
        <w:t>o</w:t>
      </w:r>
      <w:r w:rsidR="009C27A9">
        <w:rPr>
          <w:rFonts w:ascii="Arial" w:eastAsia="Calibri" w:hAnsi="Arial" w:cs="Arial"/>
          <w:color w:val="000000" w:themeColor="text1"/>
          <w:sz w:val="22"/>
        </w:rPr>
        <w:t xml:space="preserve"> </w:t>
      </w:r>
      <w:r w:rsidRPr="006C15D5">
        <w:rPr>
          <w:rFonts w:ascii="Arial" w:eastAsia="Calibri" w:hAnsi="Arial" w:cs="Arial"/>
          <w:color w:val="000000" w:themeColor="text1"/>
          <w:sz w:val="22"/>
        </w:rPr>
        <w:t xml:space="preserve">señor </w:t>
      </w:r>
      <w:r w:rsidR="00601B7F" w:rsidRPr="00601B7F">
        <w:rPr>
          <w:rFonts w:ascii="Arial" w:eastAsia="Calibri" w:hAnsi="Arial" w:cs="Arial"/>
          <w:color w:val="000000" w:themeColor="text1"/>
          <w:sz w:val="22"/>
        </w:rPr>
        <w:t>Beltrán Pardo</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42634FD4"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1A12FC">
        <w:rPr>
          <w:rFonts w:ascii="Arial" w:eastAsia="Calibri" w:hAnsi="Arial" w:cs="Arial"/>
          <w:color w:val="000000" w:themeColor="text1"/>
          <w:sz w:val="22"/>
        </w:rPr>
        <w:t>10</w:t>
      </w:r>
      <w:r w:rsidR="006D078C">
        <w:rPr>
          <w:rFonts w:ascii="Arial" w:eastAsia="Calibri" w:hAnsi="Arial" w:cs="Arial"/>
          <w:color w:val="000000" w:themeColor="text1"/>
          <w:sz w:val="22"/>
        </w:rPr>
        <w:t xml:space="preserve"> de ju</w:t>
      </w:r>
      <w:r w:rsidR="001A12FC">
        <w:rPr>
          <w:rFonts w:ascii="Arial" w:eastAsia="Calibri" w:hAnsi="Arial" w:cs="Arial"/>
          <w:color w:val="000000" w:themeColor="text1"/>
          <w:sz w:val="22"/>
        </w:rPr>
        <w:t>nio</w:t>
      </w:r>
      <w:r w:rsidRPr="006C15D5">
        <w:rPr>
          <w:rFonts w:ascii="Arial" w:eastAsia="Calibri" w:hAnsi="Arial" w:cs="Arial"/>
          <w:color w:val="000000" w:themeColor="text1"/>
          <w:sz w:val="22"/>
        </w:rPr>
        <w:t xml:space="preserve"> de 2020.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49C79B7F" w14:textId="77777777" w:rsidR="00381D77" w:rsidRDefault="00C07B5E" w:rsidP="00AD0D89">
      <w:pPr>
        <w:tabs>
          <w:tab w:val="left" w:pos="426"/>
        </w:tabs>
        <w:spacing w:line="276" w:lineRule="auto"/>
        <w:jc w:val="both"/>
        <w:rPr>
          <w:rFonts w:ascii="Arial" w:eastAsia="Calibri" w:hAnsi="Arial" w:cs="Arial"/>
          <w:color w:val="000000" w:themeColor="text1"/>
          <w:sz w:val="22"/>
        </w:rPr>
      </w:pPr>
      <w:bookmarkStart w:id="5" w:name="_Hlk41142281"/>
      <w:bookmarkStart w:id="6" w:name="_Hlk41043439"/>
      <w:r>
        <w:rPr>
          <w:rFonts w:ascii="Arial" w:eastAsia="Calibri" w:hAnsi="Arial" w:cs="Arial"/>
          <w:color w:val="000000" w:themeColor="text1"/>
          <w:sz w:val="22"/>
        </w:rPr>
        <w:t>U</w:t>
      </w:r>
      <w:r w:rsidR="00EA62F1">
        <w:rPr>
          <w:rFonts w:ascii="Arial" w:eastAsia="Calibri" w:hAnsi="Arial" w:cs="Arial"/>
          <w:color w:val="000000" w:themeColor="text1"/>
          <w:sz w:val="22"/>
        </w:rPr>
        <w:t>sted realiza la</w:t>
      </w:r>
      <w:r w:rsidR="007F7C00">
        <w:rPr>
          <w:rFonts w:ascii="Arial" w:eastAsia="Calibri" w:hAnsi="Arial" w:cs="Arial"/>
          <w:color w:val="000000" w:themeColor="text1"/>
          <w:sz w:val="22"/>
        </w:rPr>
        <w:t>s</w:t>
      </w:r>
      <w:r w:rsidR="00EA62F1">
        <w:rPr>
          <w:rFonts w:ascii="Arial" w:eastAsia="Calibri" w:hAnsi="Arial" w:cs="Arial"/>
          <w:color w:val="000000" w:themeColor="text1"/>
          <w:sz w:val="22"/>
        </w:rPr>
        <w:t xml:space="preserve"> siguiente</w:t>
      </w:r>
      <w:r w:rsidR="007F7C00">
        <w:rPr>
          <w:rFonts w:ascii="Arial" w:eastAsia="Calibri" w:hAnsi="Arial" w:cs="Arial"/>
          <w:color w:val="000000" w:themeColor="text1"/>
          <w:sz w:val="22"/>
        </w:rPr>
        <w:t>s</w:t>
      </w:r>
      <w:r w:rsidR="00EA62F1">
        <w:rPr>
          <w:rFonts w:ascii="Arial" w:eastAsia="Calibri" w:hAnsi="Arial" w:cs="Arial"/>
          <w:color w:val="000000" w:themeColor="text1"/>
          <w:sz w:val="22"/>
        </w:rPr>
        <w:t xml:space="preserve"> pregunta</w:t>
      </w:r>
      <w:r w:rsidR="007F7C00">
        <w:rPr>
          <w:rFonts w:ascii="Arial" w:eastAsia="Calibri" w:hAnsi="Arial" w:cs="Arial"/>
          <w:color w:val="000000" w:themeColor="text1"/>
          <w:sz w:val="22"/>
        </w:rPr>
        <w:t>s</w:t>
      </w:r>
      <w:r w:rsidR="00EA62F1">
        <w:rPr>
          <w:rFonts w:ascii="Arial" w:eastAsia="Calibri" w:hAnsi="Arial" w:cs="Arial"/>
          <w:color w:val="000000" w:themeColor="text1"/>
          <w:sz w:val="22"/>
        </w:rPr>
        <w:t>:</w:t>
      </w:r>
      <w:bookmarkEnd w:id="5"/>
      <w:bookmarkEnd w:id="6"/>
    </w:p>
    <w:p w14:paraId="206EC2D7" w14:textId="77777777" w:rsidR="00381D77" w:rsidRDefault="00381D77" w:rsidP="00AD0D89">
      <w:pPr>
        <w:tabs>
          <w:tab w:val="left" w:pos="426"/>
        </w:tabs>
        <w:spacing w:line="276" w:lineRule="auto"/>
        <w:jc w:val="both"/>
        <w:rPr>
          <w:rFonts w:ascii="Arial" w:eastAsia="Calibri" w:hAnsi="Arial" w:cs="Arial"/>
          <w:color w:val="000000" w:themeColor="text1"/>
          <w:sz w:val="22"/>
        </w:rPr>
      </w:pPr>
    </w:p>
    <w:p w14:paraId="093519EF" w14:textId="465ECBCF" w:rsidR="00381D77" w:rsidRPr="00DB4197" w:rsidRDefault="00381D77" w:rsidP="0093586F">
      <w:pPr>
        <w:tabs>
          <w:tab w:val="left" w:pos="426"/>
        </w:tabs>
        <w:spacing w:after="120"/>
        <w:ind w:left="709" w:right="709"/>
        <w:jc w:val="both"/>
        <w:rPr>
          <w:rFonts w:ascii="Arial" w:eastAsia="Calibri" w:hAnsi="Arial" w:cs="Arial"/>
          <w:color w:val="000000" w:themeColor="text1"/>
          <w:sz w:val="21"/>
          <w:szCs w:val="21"/>
        </w:rPr>
      </w:pPr>
      <w:r w:rsidRPr="00DB4197">
        <w:rPr>
          <w:rFonts w:ascii="Arial" w:eastAsia="Calibri" w:hAnsi="Arial" w:cs="Arial"/>
          <w:color w:val="000000" w:themeColor="text1"/>
          <w:sz w:val="21"/>
          <w:szCs w:val="21"/>
        </w:rPr>
        <w:t>1. Conforme al Decreto 2411 de 2019 ¿Qué debe entenderse por “remuneración servicios técnicos” y qué servicios comprenden este concepto?</w:t>
      </w:r>
    </w:p>
    <w:p w14:paraId="670BC185" w14:textId="77777777" w:rsidR="00381D77" w:rsidRPr="00DB4197" w:rsidRDefault="00381D77" w:rsidP="0093586F">
      <w:pPr>
        <w:tabs>
          <w:tab w:val="left" w:pos="426"/>
        </w:tabs>
        <w:spacing w:after="120"/>
        <w:ind w:left="709" w:right="709"/>
        <w:jc w:val="both"/>
        <w:rPr>
          <w:rFonts w:ascii="Arial" w:eastAsia="Calibri" w:hAnsi="Arial" w:cs="Arial"/>
          <w:color w:val="000000" w:themeColor="text1"/>
          <w:sz w:val="21"/>
          <w:szCs w:val="21"/>
        </w:rPr>
      </w:pPr>
      <w:bookmarkStart w:id="7" w:name="_Hlk46070105"/>
      <w:r w:rsidRPr="00DB4197">
        <w:rPr>
          <w:rFonts w:ascii="Arial" w:eastAsia="Calibri" w:hAnsi="Arial" w:cs="Arial"/>
          <w:color w:val="000000" w:themeColor="text1"/>
          <w:sz w:val="21"/>
          <w:szCs w:val="21"/>
        </w:rPr>
        <w:t>2. ¿Qué servicios son objeto de la limitación de honorarios contenida en el Decreto 2411 de 2019 concordante con el Decreto Único Reglamentario del Sector Hacienda?</w:t>
      </w:r>
      <w:bookmarkEnd w:id="7"/>
    </w:p>
    <w:p w14:paraId="27B65FBF" w14:textId="4D958F3E" w:rsidR="00381D77" w:rsidRPr="00DB4197" w:rsidRDefault="00381D77" w:rsidP="0093586F">
      <w:pPr>
        <w:tabs>
          <w:tab w:val="left" w:pos="426"/>
        </w:tabs>
        <w:spacing w:after="120"/>
        <w:ind w:left="709" w:right="709"/>
        <w:jc w:val="both"/>
        <w:rPr>
          <w:rFonts w:ascii="Arial" w:eastAsia="Calibri" w:hAnsi="Arial" w:cs="Arial"/>
          <w:color w:val="000000" w:themeColor="text1"/>
          <w:sz w:val="21"/>
          <w:szCs w:val="21"/>
        </w:rPr>
      </w:pPr>
      <w:r w:rsidRPr="00DB4197">
        <w:rPr>
          <w:rFonts w:ascii="Arial" w:eastAsia="Calibri" w:hAnsi="Arial" w:cs="Arial"/>
          <w:color w:val="000000" w:themeColor="text1"/>
          <w:sz w:val="21"/>
          <w:szCs w:val="21"/>
        </w:rPr>
        <w:t>3. Las restricciones contenidas respecto de honorarios establecido en el Decreto 2411 de 2019, aplica a:</w:t>
      </w:r>
    </w:p>
    <w:p w14:paraId="5187903D" w14:textId="31D4124D" w:rsidR="00381D77" w:rsidRPr="00DB4197" w:rsidRDefault="00381D77" w:rsidP="0093586F">
      <w:pPr>
        <w:tabs>
          <w:tab w:val="left" w:pos="426"/>
        </w:tabs>
        <w:spacing w:after="120"/>
        <w:ind w:left="992" w:right="992"/>
        <w:jc w:val="both"/>
        <w:rPr>
          <w:rFonts w:ascii="Arial" w:eastAsia="Calibri" w:hAnsi="Arial" w:cs="Arial"/>
          <w:color w:val="000000" w:themeColor="text1"/>
          <w:sz w:val="21"/>
          <w:szCs w:val="21"/>
        </w:rPr>
      </w:pPr>
      <w:r w:rsidRPr="00DB4197">
        <w:rPr>
          <w:rFonts w:ascii="Arial" w:eastAsia="Calibri" w:hAnsi="Arial" w:cs="Arial"/>
          <w:color w:val="000000" w:themeColor="text1"/>
          <w:sz w:val="21"/>
          <w:szCs w:val="21"/>
        </w:rPr>
        <w:t>a. ¿Servicios cuyo pago está pactado por productos? Ejemplo entrega de un manual, un concepto o cualquier resultado.</w:t>
      </w:r>
    </w:p>
    <w:p w14:paraId="3BC961E8" w14:textId="2FCEDA1C" w:rsidR="00381D77" w:rsidRPr="00DB4197" w:rsidRDefault="00381D77" w:rsidP="0093586F">
      <w:pPr>
        <w:tabs>
          <w:tab w:val="left" w:pos="426"/>
        </w:tabs>
        <w:spacing w:after="120"/>
        <w:ind w:left="992" w:right="992"/>
        <w:jc w:val="both"/>
        <w:rPr>
          <w:rFonts w:ascii="Arial" w:eastAsia="Calibri" w:hAnsi="Arial" w:cs="Arial"/>
          <w:color w:val="000000" w:themeColor="text1"/>
          <w:sz w:val="21"/>
          <w:szCs w:val="21"/>
        </w:rPr>
      </w:pPr>
      <w:r w:rsidRPr="00DB4197">
        <w:rPr>
          <w:rFonts w:ascii="Arial" w:eastAsia="Calibri" w:hAnsi="Arial" w:cs="Arial"/>
          <w:color w:val="000000" w:themeColor="text1"/>
          <w:sz w:val="21"/>
          <w:szCs w:val="21"/>
        </w:rPr>
        <w:t>b. ¿Servicios que abarcan varios servicios integrados? Como cuándo se brinda asesoría por componentes (componente 1, componente 2, etc.), ramas del derecho (administrativo, penal, etc.), áreas del conocimiento (financiero, jurídico, técnico); En tal caso, ¿La restricción de honorarios aplica para cada componente, rama o área del conocimiento contratado?</w:t>
      </w:r>
    </w:p>
    <w:p w14:paraId="6BF92A20" w14:textId="2D922F40" w:rsidR="00381D77" w:rsidRPr="00DB4197" w:rsidRDefault="00381D77" w:rsidP="0093586F">
      <w:pPr>
        <w:tabs>
          <w:tab w:val="left" w:pos="426"/>
        </w:tabs>
        <w:spacing w:after="120"/>
        <w:ind w:left="992" w:right="992"/>
        <w:jc w:val="both"/>
        <w:rPr>
          <w:rFonts w:ascii="Arial" w:eastAsia="Calibri" w:hAnsi="Arial" w:cs="Arial"/>
          <w:color w:val="000000" w:themeColor="text1"/>
          <w:sz w:val="21"/>
          <w:szCs w:val="21"/>
        </w:rPr>
      </w:pPr>
      <w:r w:rsidRPr="00DB4197">
        <w:rPr>
          <w:rFonts w:ascii="Arial" w:eastAsia="Calibri" w:hAnsi="Arial" w:cs="Arial"/>
          <w:color w:val="000000" w:themeColor="text1"/>
          <w:sz w:val="21"/>
          <w:szCs w:val="21"/>
        </w:rPr>
        <w:t>c. ¿Servicios que implican un acompañamiento de larga duración o que implique una asesoría integral como la estructuración o acompañamiento de un proceso de contratación,</w:t>
      </w:r>
      <w:r w:rsidR="00DB4197" w:rsidRPr="00DB4197">
        <w:rPr>
          <w:rFonts w:ascii="Arial" w:eastAsia="Calibri" w:hAnsi="Arial" w:cs="Arial"/>
          <w:color w:val="000000" w:themeColor="text1"/>
          <w:sz w:val="21"/>
          <w:szCs w:val="21"/>
        </w:rPr>
        <w:t xml:space="preserve"> </w:t>
      </w:r>
      <w:r w:rsidRPr="00DB4197">
        <w:rPr>
          <w:rFonts w:ascii="Arial" w:eastAsia="Calibri" w:hAnsi="Arial" w:cs="Arial"/>
          <w:color w:val="000000" w:themeColor="text1"/>
          <w:sz w:val="21"/>
          <w:szCs w:val="21"/>
        </w:rPr>
        <w:t>o la representación judicial de un proceso judicial?</w:t>
      </w:r>
    </w:p>
    <w:p w14:paraId="5A21DED2" w14:textId="0B5C0607" w:rsidR="00DB4197" w:rsidRPr="00DB4197" w:rsidRDefault="00DB4197" w:rsidP="0093586F">
      <w:pPr>
        <w:tabs>
          <w:tab w:val="left" w:pos="426"/>
        </w:tabs>
        <w:spacing w:after="120"/>
        <w:ind w:left="709" w:right="709"/>
        <w:jc w:val="both"/>
        <w:rPr>
          <w:rFonts w:ascii="Arial" w:eastAsia="Calibri" w:hAnsi="Arial" w:cs="Arial"/>
          <w:color w:val="000000" w:themeColor="text1"/>
          <w:sz w:val="21"/>
          <w:szCs w:val="21"/>
        </w:rPr>
      </w:pPr>
      <w:r w:rsidRPr="00DB4197">
        <w:rPr>
          <w:rFonts w:ascii="Arial" w:eastAsia="Calibri" w:hAnsi="Arial" w:cs="Arial"/>
          <w:color w:val="000000" w:themeColor="text1"/>
          <w:sz w:val="21"/>
          <w:szCs w:val="21"/>
        </w:rPr>
        <w:t xml:space="preserve">4. ¿A qué entidades le es aplicable la restricción referida de honorarios mensuales en el Decreto 2411 de 2019 concordante con el Decreto Único </w:t>
      </w:r>
      <w:r w:rsidRPr="00DB4197">
        <w:rPr>
          <w:rFonts w:ascii="Arial" w:eastAsia="Calibri" w:hAnsi="Arial" w:cs="Arial"/>
          <w:color w:val="000000" w:themeColor="text1"/>
          <w:sz w:val="21"/>
          <w:szCs w:val="21"/>
        </w:rPr>
        <w:lastRenderedPageBreak/>
        <w:t>Reglamentario del Sector Hacienda? ¿Obliga a entidades que no ejecutan presupuesto del Tesoro Nacional tales como entidades territoriales, empresas industriales y comerciales del Estado y sociedades de economía mixta o solo a entidades que reciben recursos del presupuesto general de la Nación?</w:t>
      </w:r>
    </w:p>
    <w:p w14:paraId="6CFFCB17" w14:textId="63A48A41" w:rsidR="00DB4197" w:rsidRPr="00DB4197" w:rsidRDefault="00DB4197" w:rsidP="0093586F">
      <w:pPr>
        <w:tabs>
          <w:tab w:val="left" w:pos="426"/>
        </w:tabs>
        <w:spacing w:after="120"/>
        <w:ind w:left="709" w:right="709"/>
        <w:jc w:val="both"/>
        <w:rPr>
          <w:rFonts w:ascii="Arial" w:eastAsia="Calibri" w:hAnsi="Arial" w:cs="Arial"/>
          <w:color w:val="000000" w:themeColor="text1"/>
          <w:sz w:val="21"/>
          <w:szCs w:val="21"/>
        </w:rPr>
      </w:pPr>
      <w:r w:rsidRPr="00DB4197">
        <w:rPr>
          <w:rFonts w:ascii="Arial" w:eastAsia="Calibri" w:hAnsi="Arial" w:cs="Arial"/>
          <w:color w:val="000000" w:themeColor="text1"/>
          <w:sz w:val="21"/>
          <w:szCs w:val="21"/>
        </w:rPr>
        <w:t>5. ¿Qué se entiende por servicios ocasionales o transitorios y por servicios de forma continua? ¿Una asesoría externa contratada de manera directa por prestación de servicios profesionales, en cualquier área del conocimiento, con un plazo cierto y cuya remuneración se pacta en mensualidades se entiende como la prestación de un servicio continuo?</w:t>
      </w:r>
    </w:p>
    <w:p w14:paraId="497D5921" w14:textId="62D43132" w:rsidR="00DB4197" w:rsidRPr="00DB4197" w:rsidRDefault="00DB4197" w:rsidP="0093586F">
      <w:pPr>
        <w:tabs>
          <w:tab w:val="left" w:pos="426"/>
        </w:tabs>
        <w:spacing w:after="120"/>
        <w:ind w:left="709" w:right="709"/>
        <w:jc w:val="both"/>
        <w:rPr>
          <w:rFonts w:ascii="Arial" w:eastAsia="Calibri" w:hAnsi="Arial" w:cs="Arial"/>
          <w:color w:val="000000" w:themeColor="text1"/>
          <w:sz w:val="21"/>
          <w:szCs w:val="21"/>
        </w:rPr>
      </w:pPr>
      <w:bookmarkStart w:id="8" w:name="_Hlk46214340"/>
      <w:r w:rsidRPr="00DB4197">
        <w:rPr>
          <w:rFonts w:ascii="Arial" w:eastAsia="Calibri" w:hAnsi="Arial" w:cs="Arial"/>
          <w:color w:val="000000" w:themeColor="text1"/>
          <w:sz w:val="21"/>
          <w:szCs w:val="21"/>
        </w:rPr>
        <w:t>6. En términos del Decreto 2411 de 2019, ¿Los servicios que se prestan de forma transitoria u ocasional son objeto de la limitación, aun cuando el Decreto Único Reglamentario la fija únicamente para aquellos servicios encaminados a la prestación de servicios en forma continua para atender asuntos propios de la respectiva entidad?</w:t>
      </w:r>
      <w:bookmarkEnd w:id="8"/>
    </w:p>
    <w:p w14:paraId="646003F9" w14:textId="107A939B" w:rsidR="00DB4197" w:rsidRDefault="00DB4197" w:rsidP="0093586F">
      <w:pPr>
        <w:tabs>
          <w:tab w:val="left" w:pos="426"/>
        </w:tabs>
        <w:ind w:left="709" w:right="709"/>
        <w:jc w:val="both"/>
        <w:rPr>
          <w:rFonts w:ascii="Arial" w:eastAsia="Calibri" w:hAnsi="Arial" w:cs="Arial"/>
          <w:color w:val="000000" w:themeColor="text1"/>
          <w:sz w:val="22"/>
        </w:rPr>
      </w:pPr>
      <w:bookmarkStart w:id="9" w:name="_Hlk46216257"/>
      <w:r w:rsidRPr="00DB4197">
        <w:rPr>
          <w:rFonts w:ascii="Arial" w:eastAsia="Calibri" w:hAnsi="Arial" w:cs="Arial"/>
          <w:color w:val="000000" w:themeColor="text1"/>
          <w:sz w:val="21"/>
          <w:szCs w:val="21"/>
        </w:rPr>
        <w:t xml:space="preserve">7. </w:t>
      </w:r>
      <w:bookmarkStart w:id="10" w:name="_Hlk46216229"/>
      <w:proofErr w:type="gramStart"/>
      <w:r w:rsidRPr="00DB4197">
        <w:rPr>
          <w:rFonts w:ascii="Arial" w:eastAsia="Calibri" w:hAnsi="Arial" w:cs="Arial"/>
          <w:color w:val="000000" w:themeColor="text1"/>
          <w:sz w:val="21"/>
          <w:szCs w:val="21"/>
        </w:rPr>
        <w:t>¿Cómo debe interpretarse lo indicado en el parágrafo 1o del artículo 2.</w:t>
      </w:r>
      <w:proofErr w:type="gramEnd"/>
      <w:r w:rsidRPr="00DB4197">
        <w:rPr>
          <w:rFonts w:ascii="Arial" w:eastAsia="Calibri" w:hAnsi="Arial" w:cs="Arial"/>
          <w:color w:val="000000" w:themeColor="text1"/>
          <w:sz w:val="21"/>
          <w:szCs w:val="21"/>
        </w:rPr>
        <w:t>8.4.4.6 del Decreto 1068 de 2019, respecto a “remuneración total mensual”, “factores prestacionales”? y “contribuciones inherentes a la nómina, relacionadas con seguridad social y parafiscales a cargo del empleador”?</w:t>
      </w:r>
      <w:bookmarkEnd w:id="9"/>
      <w:bookmarkEnd w:id="10"/>
    </w:p>
    <w:p w14:paraId="6D375D8C" w14:textId="3CD21749" w:rsidR="00BE1E33" w:rsidRPr="006C15D5" w:rsidRDefault="00BE1E33" w:rsidP="00DB4197">
      <w:pPr>
        <w:tabs>
          <w:tab w:val="left" w:pos="426"/>
        </w:tabs>
        <w:spacing w:line="276" w:lineRule="auto"/>
        <w:jc w:val="both"/>
        <w:rPr>
          <w:rFonts w:ascii="Arial" w:eastAsia="Calibri" w:hAnsi="Arial" w:cs="Arial"/>
          <w:color w:val="000000" w:themeColor="text1"/>
          <w:sz w:val="22"/>
        </w:rPr>
      </w:pPr>
    </w:p>
    <w:p w14:paraId="000CB06F" w14:textId="77777777" w:rsidR="00BE1E33" w:rsidRPr="006C15D5"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01D94D72" w14:textId="056761A8" w:rsidR="00BE1E33" w:rsidRDefault="00BE1E33" w:rsidP="00BE1E33">
      <w:pPr>
        <w:spacing w:line="276" w:lineRule="auto"/>
        <w:jc w:val="both"/>
        <w:rPr>
          <w:rFonts w:ascii="Arial" w:eastAsia="Calibri" w:hAnsi="Arial" w:cs="Arial"/>
          <w:color w:val="000000" w:themeColor="text1"/>
          <w:sz w:val="22"/>
        </w:rPr>
      </w:pPr>
    </w:p>
    <w:p w14:paraId="106570DD" w14:textId="4F9BB8C8" w:rsidR="00EC5C96" w:rsidRPr="00EC5C96" w:rsidRDefault="00811E0D" w:rsidP="00811E0D">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Bajo la vigencia del Decreto </w:t>
      </w:r>
      <w:r w:rsidR="00841506">
        <w:rPr>
          <w:rFonts w:ascii="Arial" w:eastAsia="Calibri" w:hAnsi="Arial" w:cs="Arial"/>
          <w:color w:val="000000" w:themeColor="text1"/>
          <w:sz w:val="22"/>
        </w:rPr>
        <w:t xml:space="preserve">2467 de 2018, </w:t>
      </w:r>
      <w:r w:rsidR="00EE21E4">
        <w:rPr>
          <w:rFonts w:ascii="Arial" w:eastAsia="Calibri" w:hAnsi="Arial" w:cs="Arial"/>
          <w:color w:val="000000" w:themeColor="text1"/>
          <w:sz w:val="22"/>
        </w:rPr>
        <w:t>p</w:t>
      </w:r>
      <w:r w:rsidR="006621AF" w:rsidRPr="006621AF">
        <w:rPr>
          <w:rFonts w:ascii="Arial" w:eastAsia="Calibri" w:hAnsi="Arial" w:cs="Arial"/>
          <w:color w:val="000000" w:themeColor="text1"/>
          <w:sz w:val="22"/>
        </w:rPr>
        <w:t>or el cual se liquid</w:t>
      </w:r>
      <w:r w:rsidR="0046519E">
        <w:rPr>
          <w:rFonts w:ascii="Arial" w:eastAsia="Calibri" w:hAnsi="Arial" w:cs="Arial"/>
          <w:color w:val="000000" w:themeColor="text1"/>
          <w:sz w:val="22"/>
        </w:rPr>
        <w:t>ó</w:t>
      </w:r>
      <w:r w:rsidR="006621AF" w:rsidRPr="006621AF">
        <w:rPr>
          <w:rFonts w:ascii="Arial" w:eastAsia="Calibri" w:hAnsi="Arial" w:cs="Arial"/>
          <w:color w:val="000000" w:themeColor="text1"/>
          <w:sz w:val="22"/>
        </w:rPr>
        <w:t xml:space="preserve"> el </w:t>
      </w:r>
      <w:r w:rsidR="00EE21E4" w:rsidRPr="006621AF">
        <w:rPr>
          <w:rFonts w:ascii="Arial" w:eastAsia="Calibri" w:hAnsi="Arial" w:cs="Arial"/>
          <w:color w:val="000000" w:themeColor="text1"/>
          <w:sz w:val="22"/>
        </w:rPr>
        <w:t>presupuesto general de la nación</w:t>
      </w:r>
      <w:r w:rsidR="006621AF" w:rsidRPr="006621AF">
        <w:rPr>
          <w:rFonts w:ascii="Arial" w:eastAsia="Calibri" w:hAnsi="Arial" w:cs="Arial"/>
          <w:color w:val="000000" w:themeColor="text1"/>
          <w:sz w:val="22"/>
        </w:rPr>
        <w:t xml:space="preserve"> para la vigencia fiscal de 2019</w:t>
      </w:r>
      <w:r w:rsidR="00EE21E4">
        <w:rPr>
          <w:rFonts w:ascii="Arial" w:eastAsia="Calibri" w:hAnsi="Arial" w:cs="Arial"/>
          <w:color w:val="000000" w:themeColor="text1"/>
          <w:sz w:val="22"/>
        </w:rPr>
        <w:t>,</w:t>
      </w:r>
      <w:r w:rsidR="006621AF">
        <w:rPr>
          <w:rFonts w:ascii="Arial" w:eastAsia="Calibri" w:hAnsi="Arial" w:cs="Arial"/>
          <w:color w:val="000000" w:themeColor="text1"/>
          <w:sz w:val="22"/>
        </w:rPr>
        <w:t xml:space="preserve"> l</w:t>
      </w:r>
      <w:r w:rsidR="009B3856" w:rsidRPr="009B3856">
        <w:rPr>
          <w:rFonts w:ascii="Arial" w:eastAsia="Calibri" w:hAnsi="Arial" w:cs="Arial"/>
          <w:color w:val="000000" w:themeColor="text1"/>
          <w:sz w:val="22"/>
        </w:rPr>
        <w:t xml:space="preserve">a Agencia Nacional de Contratación Pública – </w:t>
      </w:r>
      <w:bookmarkStart w:id="11" w:name="_Hlk45452651"/>
      <w:r w:rsidR="009B3856" w:rsidRPr="009B3856">
        <w:rPr>
          <w:rFonts w:ascii="Arial" w:eastAsia="Calibri" w:hAnsi="Arial" w:cs="Arial"/>
          <w:color w:val="000000" w:themeColor="text1"/>
          <w:sz w:val="22"/>
        </w:rPr>
        <w:t>Colombia Compra Eficiente</w:t>
      </w:r>
      <w:bookmarkEnd w:id="11"/>
      <w:r w:rsidR="009B3856" w:rsidRPr="009B3856">
        <w:rPr>
          <w:rFonts w:ascii="Arial" w:eastAsia="Calibri" w:hAnsi="Arial" w:cs="Arial"/>
          <w:color w:val="000000" w:themeColor="text1"/>
          <w:sz w:val="22"/>
        </w:rPr>
        <w:t xml:space="preserve"> se pronunció sobre el </w:t>
      </w:r>
      <w:r w:rsidR="007832C9">
        <w:rPr>
          <w:rFonts w:ascii="Arial" w:eastAsia="Calibri" w:hAnsi="Arial" w:cs="Arial"/>
          <w:color w:val="000000" w:themeColor="text1"/>
          <w:sz w:val="22"/>
        </w:rPr>
        <w:t>límite de los honorarios en los</w:t>
      </w:r>
      <w:r w:rsidR="009B3856" w:rsidRPr="009B3856">
        <w:rPr>
          <w:rFonts w:ascii="Arial" w:eastAsia="Calibri" w:hAnsi="Arial" w:cs="Arial"/>
          <w:color w:val="000000" w:themeColor="text1"/>
          <w:sz w:val="22"/>
        </w:rPr>
        <w:t xml:space="preserve"> contrato</w:t>
      </w:r>
      <w:r w:rsidR="007832C9">
        <w:rPr>
          <w:rFonts w:ascii="Arial" w:eastAsia="Calibri" w:hAnsi="Arial" w:cs="Arial"/>
          <w:color w:val="000000" w:themeColor="text1"/>
          <w:sz w:val="22"/>
        </w:rPr>
        <w:t>s</w:t>
      </w:r>
      <w:r w:rsidR="009B3856" w:rsidRPr="009B3856">
        <w:rPr>
          <w:rFonts w:ascii="Arial" w:eastAsia="Calibri" w:hAnsi="Arial" w:cs="Arial"/>
          <w:color w:val="000000" w:themeColor="text1"/>
          <w:sz w:val="22"/>
        </w:rPr>
        <w:t xml:space="preserve"> de prestación de servicios profesionales</w:t>
      </w:r>
      <w:r w:rsidR="009B3856">
        <w:rPr>
          <w:rFonts w:ascii="Arial" w:eastAsia="Calibri" w:hAnsi="Arial" w:cs="Arial"/>
          <w:color w:val="000000" w:themeColor="text1"/>
          <w:sz w:val="22"/>
        </w:rPr>
        <w:t xml:space="preserve"> en </w:t>
      </w:r>
      <w:r>
        <w:rPr>
          <w:rFonts w:ascii="Arial" w:eastAsia="Calibri" w:hAnsi="Arial" w:cs="Arial"/>
          <w:color w:val="000000" w:themeColor="text1"/>
          <w:sz w:val="22"/>
        </w:rPr>
        <w:t>el</w:t>
      </w:r>
      <w:r w:rsidR="009B3856">
        <w:rPr>
          <w:rFonts w:ascii="Arial" w:eastAsia="Calibri" w:hAnsi="Arial" w:cs="Arial"/>
          <w:color w:val="000000" w:themeColor="text1"/>
          <w:sz w:val="22"/>
        </w:rPr>
        <w:t xml:space="preserve"> Concepto </w:t>
      </w:r>
      <w:r w:rsidR="009B3856" w:rsidRPr="009B3856">
        <w:rPr>
          <w:rFonts w:ascii="Arial" w:eastAsia="Calibri" w:hAnsi="Arial" w:cs="Arial"/>
          <w:color w:val="000000" w:themeColor="text1"/>
          <w:sz w:val="22"/>
        </w:rPr>
        <w:t>2201913000005631</w:t>
      </w:r>
      <w:r w:rsidR="009B3856">
        <w:rPr>
          <w:rFonts w:ascii="Arial" w:eastAsia="Calibri" w:hAnsi="Arial" w:cs="Arial"/>
          <w:color w:val="000000" w:themeColor="text1"/>
          <w:sz w:val="22"/>
        </w:rPr>
        <w:t xml:space="preserve"> del 6 de agosto de 2019</w:t>
      </w:r>
      <w:r w:rsidR="006621AF">
        <w:rPr>
          <w:rFonts w:ascii="Arial" w:eastAsia="Calibri" w:hAnsi="Arial" w:cs="Arial"/>
          <w:color w:val="000000" w:themeColor="text1"/>
          <w:sz w:val="22"/>
        </w:rPr>
        <w:t xml:space="preserve">. Por otra parte, </w:t>
      </w:r>
      <w:r w:rsidR="00EE21E4">
        <w:rPr>
          <w:rFonts w:ascii="Arial" w:eastAsia="Calibri" w:hAnsi="Arial" w:cs="Arial"/>
          <w:color w:val="000000" w:themeColor="text1"/>
          <w:sz w:val="22"/>
        </w:rPr>
        <w:t>conforme al</w:t>
      </w:r>
      <w:r w:rsidR="006621AF">
        <w:rPr>
          <w:rFonts w:ascii="Arial" w:eastAsia="Calibri" w:hAnsi="Arial" w:cs="Arial"/>
          <w:color w:val="000000" w:themeColor="text1"/>
          <w:sz w:val="22"/>
        </w:rPr>
        <w:t xml:space="preserve"> Decreto</w:t>
      </w:r>
      <w:r w:rsidR="00EE21E4">
        <w:rPr>
          <w:rFonts w:ascii="Arial" w:eastAsia="Calibri" w:hAnsi="Arial" w:cs="Arial"/>
          <w:color w:val="000000" w:themeColor="text1"/>
          <w:sz w:val="22"/>
        </w:rPr>
        <w:t xml:space="preserve"> 2411 de 2019, p</w:t>
      </w:r>
      <w:r w:rsidR="00EE21E4" w:rsidRPr="006621AF">
        <w:rPr>
          <w:rFonts w:ascii="Arial" w:eastAsia="Calibri" w:hAnsi="Arial" w:cs="Arial"/>
          <w:color w:val="000000" w:themeColor="text1"/>
          <w:sz w:val="22"/>
        </w:rPr>
        <w:t>or el cual se liquid</w:t>
      </w:r>
      <w:r w:rsidR="0046519E">
        <w:rPr>
          <w:rFonts w:ascii="Arial" w:eastAsia="Calibri" w:hAnsi="Arial" w:cs="Arial"/>
          <w:color w:val="000000" w:themeColor="text1"/>
          <w:sz w:val="22"/>
        </w:rPr>
        <w:t>ó</w:t>
      </w:r>
      <w:r w:rsidR="00EE21E4" w:rsidRPr="006621AF">
        <w:rPr>
          <w:rFonts w:ascii="Arial" w:eastAsia="Calibri" w:hAnsi="Arial" w:cs="Arial"/>
          <w:color w:val="000000" w:themeColor="text1"/>
          <w:sz w:val="22"/>
        </w:rPr>
        <w:t xml:space="preserve"> el presupuesto general de la nación para la vigencia fiscal de 20</w:t>
      </w:r>
      <w:r w:rsidR="00EE21E4">
        <w:rPr>
          <w:rFonts w:ascii="Arial" w:eastAsia="Calibri" w:hAnsi="Arial" w:cs="Arial"/>
          <w:color w:val="000000" w:themeColor="text1"/>
          <w:sz w:val="22"/>
        </w:rPr>
        <w:t>20,</w:t>
      </w:r>
      <w:r w:rsidR="006621AF">
        <w:rPr>
          <w:rFonts w:ascii="Arial" w:eastAsia="Calibri" w:hAnsi="Arial" w:cs="Arial"/>
          <w:color w:val="000000" w:themeColor="text1"/>
          <w:sz w:val="22"/>
        </w:rPr>
        <w:t xml:space="preserve"> también explicó el mismo tema en los Conceptos </w:t>
      </w:r>
      <w:r w:rsidR="006621AF" w:rsidRPr="009B3856">
        <w:rPr>
          <w:rFonts w:ascii="Arial" w:eastAsia="Calibri" w:hAnsi="Arial" w:cs="Arial"/>
          <w:color w:val="000000" w:themeColor="text1"/>
          <w:sz w:val="22"/>
        </w:rPr>
        <w:t>C-</w:t>
      </w:r>
      <w:r w:rsidR="00B6033D">
        <w:rPr>
          <w:rFonts w:ascii="Arial" w:eastAsia="Calibri" w:hAnsi="Arial" w:cs="Arial"/>
          <w:color w:val="000000" w:themeColor="text1"/>
          <w:sz w:val="22"/>
        </w:rPr>
        <w:t>208</w:t>
      </w:r>
      <w:r w:rsidR="006621AF" w:rsidRPr="009B3856">
        <w:rPr>
          <w:rFonts w:ascii="Arial" w:eastAsia="Calibri" w:hAnsi="Arial" w:cs="Arial"/>
          <w:color w:val="000000" w:themeColor="text1"/>
          <w:sz w:val="22"/>
        </w:rPr>
        <w:t xml:space="preserve"> del 24 de </w:t>
      </w:r>
      <w:r w:rsidR="00B6033D">
        <w:rPr>
          <w:rFonts w:ascii="Arial" w:eastAsia="Calibri" w:hAnsi="Arial" w:cs="Arial"/>
          <w:color w:val="000000" w:themeColor="text1"/>
          <w:sz w:val="22"/>
        </w:rPr>
        <w:t>marzo</w:t>
      </w:r>
      <w:r w:rsidR="006621AF" w:rsidRPr="009B3856">
        <w:rPr>
          <w:rFonts w:ascii="Arial" w:eastAsia="Calibri" w:hAnsi="Arial" w:cs="Arial"/>
          <w:color w:val="000000" w:themeColor="text1"/>
          <w:sz w:val="22"/>
        </w:rPr>
        <w:t xml:space="preserve"> de 2020</w:t>
      </w:r>
      <w:r w:rsidR="00597376">
        <w:rPr>
          <w:rFonts w:ascii="Arial" w:eastAsia="Calibri" w:hAnsi="Arial" w:cs="Arial"/>
          <w:color w:val="000000" w:themeColor="text1"/>
          <w:sz w:val="22"/>
        </w:rPr>
        <w:t>,</w:t>
      </w:r>
      <w:r w:rsidR="006621AF">
        <w:rPr>
          <w:rFonts w:ascii="Arial" w:eastAsia="Calibri" w:hAnsi="Arial" w:cs="Arial"/>
          <w:color w:val="000000" w:themeColor="text1"/>
          <w:sz w:val="22"/>
        </w:rPr>
        <w:t xml:space="preserve"> C-359 del 4 de junio de 2020</w:t>
      </w:r>
      <w:r w:rsidR="00597376">
        <w:rPr>
          <w:rFonts w:ascii="Arial" w:eastAsia="Calibri" w:hAnsi="Arial" w:cs="Arial"/>
          <w:color w:val="000000" w:themeColor="text1"/>
          <w:sz w:val="22"/>
        </w:rPr>
        <w:t xml:space="preserve"> y C-475 del 22 de julio de 2020</w:t>
      </w:r>
      <w:r w:rsidR="005A2781" w:rsidRPr="005A2781">
        <w:rPr>
          <w:rFonts w:ascii="Arial" w:eastAsia="Calibri" w:hAnsi="Arial" w:cs="Arial"/>
          <w:color w:val="000000" w:themeColor="text1"/>
          <w:sz w:val="22"/>
        </w:rPr>
        <w:t xml:space="preserve">. </w:t>
      </w:r>
      <w:r w:rsidR="00EE21E4">
        <w:rPr>
          <w:rFonts w:ascii="Arial" w:eastAsia="Calibri" w:hAnsi="Arial" w:cs="Arial"/>
          <w:color w:val="000000" w:themeColor="text1"/>
          <w:sz w:val="22"/>
        </w:rPr>
        <w:t>L</w:t>
      </w:r>
      <w:r w:rsidR="005A2781" w:rsidRPr="005A2781">
        <w:rPr>
          <w:rFonts w:ascii="Arial" w:eastAsia="Calibri" w:hAnsi="Arial" w:cs="Arial"/>
          <w:color w:val="000000" w:themeColor="text1"/>
          <w:sz w:val="22"/>
        </w:rPr>
        <w:t>a tesis propuesta en est</w:t>
      </w:r>
      <w:r w:rsidR="009B3856">
        <w:rPr>
          <w:rFonts w:ascii="Arial" w:eastAsia="Calibri" w:hAnsi="Arial" w:cs="Arial"/>
          <w:color w:val="000000" w:themeColor="text1"/>
          <w:sz w:val="22"/>
        </w:rPr>
        <w:t>os</w:t>
      </w:r>
      <w:r w:rsidR="005A2781" w:rsidRPr="005A2781">
        <w:rPr>
          <w:rFonts w:ascii="Arial" w:eastAsia="Calibri" w:hAnsi="Arial" w:cs="Arial"/>
          <w:color w:val="000000" w:themeColor="text1"/>
          <w:sz w:val="22"/>
        </w:rPr>
        <w:t xml:space="preserve"> concepto</w:t>
      </w:r>
      <w:r w:rsidR="009B3856">
        <w:rPr>
          <w:rFonts w:ascii="Arial" w:eastAsia="Calibri" w:hAnsi="Arial" w:cs="Arial"/>
          <w:color w:val="000000" w:themeColor="text1"/>
          <w:sz w:val="22"/>
        </w:rPr>
        <w:t>s</w:t>
      </w:r>
      <w:r w:rsidR="005A2781" w:rsidRPr="005A2781">
        <w:rPr>
          <w:rFonts w:ascii="Arial" w:eastAsia="Calibri" w:hAnsi="Arial" w:cs="Arial"/>
          <w:color w:val="000000" w:themeColor="text1"/>
          <w:sz w:val="22"/>
        </w:rPr>
        <w:t xml:space="preserve"> </w:t>
      </w:r>
      <w:r>
        <w:rPr>
          <w:rFonts w:ascii="Arial" w:eastAsia="Calibri" w:hAnsi="Arial" w:cs="Arial"/>
          <w:color w:val="000000" w:themeColor="text1"/>
          <w:sz w:val="22"/>
        </w:rPr>
        <w:t>se reitera a continuación</w:t>
      </w:r>
      <w:r w:rsidR="0096646C" w:rsidRPr="0096646C">
        <w:rPr>
          <w:rFonts w:ascii="Arial" w:eastAsia="Calibri" w:hAnsi="Arial" w:cs="Arial"/>
          <w:color w:val="000000" w:themeColor="text1"/>
          <w:sz w:val="22"/>
        </w:rPr>
        <w:t xml:space="preserve">: </w:t>
      </w:r>
    </w:p>
    <w:p w14:paraId="417E5B87" w14:textId="77777777" w:rsidR="008A638F" w:rsidRPr="008A638F" w:rsidRDefault="008A638F" w:rsidP="00811E0D">
      <w:pPr>
        <w:spacing w:line="276" w:lineRule="auto"/>
        <w:ind w:firstLine="708"/>
        <w:jc w:val="both"/>
        <w:rPr>
          <w:rFonts w:ascii="Arial" w:hAnsi="Arial" w:cs="Arial"/>
          <w:sz w:val="22"/>
          <w:lang w:val="es-ES"/>
        </w:rPr>
      </w:pPr>
      <w:bookmarkStart w:id="12" w:name="_Hlk45532939"/>
      <w:r w:rsidRPr="008A638F">
        <w:rPr>
          <w:rFonts w:ascii="Arial" w:hAnsi="Arial" w:cs="Arial"/>
          <w:sz w:val="22"/>
          <w:lang w:val="es-ES"/>
        </w:rPr>
        <w:t xml:space="preserve">En términos generales, el Estatuto General de Contratación de la Administración Pública y las normas que lo reglamentan no establecen límites en cuanto al valor de los contratos de prestación de servicios personales que se suscriban mediante la modalidad de contratación directa. No obstante, en 1998 se </w:t>
      </w:r>
      <w:proofErr w:type="spellStart"/>
      <w:r w:rsidRPr="008A638F">
        <w:rPr>
          <w:rFonts w:ascii="Arial" w:hAnsi="Arial" w:cs="Arial"/>
          <w:sz w:val="22"/>
          <w:lang w:val="es-ES"/>
        </w:rPr>
        <w:t>expidio</w:t>
      </w:r>
      <w:proofErr w:type="spellEnd"/>
      <w:r w:rsidRPr="008A638F">
        <w:rPr>
          <w:rFonts w:ascii="Arial" w:hAnsi="Arial" w:cs="Arial"/>
          <w:sz w:val="22"/>
          <w:lang w:val="es-ES"/>
        </w:rPr>
        <w:t xml:space="preserve">́ el Decreto 1737, por medio del cual «Se expiden medidas de austeridad y eficiencia y se someten a condiciones especiales la </w:t>
      </w:r>
      <w:proofErr w:type="spellStart"/>
      <w:r w:rsidRPr="008A638F">
        <w:rPr>
          <w:rFonts w:ascii="Arial" w:hAnsi="Arial" w:cs="Arial"/>
          <w:sz w:val="22"/>
          <w:lang w:val="es-ES"/>
        </w:rPr>
        <w:t>asunción</w:t>
      </w:r>
      <w:proofErr w:type="spellEnd"/>
      <w:r w:rsidRPr="008A638F">
        <w:rPr>
          <w:rFonts w:ascii="Arial" w:hAnsi="Arial" w:cs="Arial"/>
          <w:sz w:val="22"/>
          <w:lang w:val="es-ES"/>
        </w:rPr>
        <w:t xml:space="preserve"> de compromisos por parte de las entidades </w:t>
      </w:r>
      <w:proofErr w:type="spellStart"/>
      <w:r w:rsidRPr="008A638F">
        <w:rPr>
          <w:rFonts w:ascii="Arial" w:hAnsi="Arial" w:cs="Arial"/>
          <w:sz w:val="22"/>
          <w:lang w:val="es-ES"/>
        </w:rPr>
        <w:t>públicas</w:t>
      </w:r>
      <w:proofErr w:type="spellEnd"/>
      <w:r w:rsidRPr="008A638F">
        <w:rPr>
          <w:rFonts w:ascii="Arial" w:hAnsi="Arial" w:cs="Arial"/>
          <w:sz w:val="22"/>
          <w:lang w:val="es-ES"/>
        </w:rPr>
        <w:t xml:space="preserve"> que manejan recursos del Tesoro </w:t>
      </w:r>
      <w:proofErr w:type="spellStart"/>
      <w:r w:rsidRPr="008A638F">
        <w:rPr>
          <w:rFonts w:ascii="Arial" w:hAnsi="Arial" w:cs="Arial"/>
          <w:sz w:val="22"/>
          <w:lang w:val="es-ES"/>
        </w:rPr>
        <w:t>Público</w:t>
      </w:r>
      <w:proofErr w:type="spellEnd"/>
      <w:r w:rsidRPr="008A638F">
        <w:rPr>
          <w:rFonts w:ascii="Arial" w:hAnsi="Arial" w:cs="Arial"/>
          <w:sz w:val="22"/>
          <w:lang w:val="es-ES"/>
        </w:rPr>
        <w:t xml:space="preserve">». El </w:t>
      </w:r>
      <w:proofErr w:type="spellStart"/>
      <w:r w:rsidRPr="008A638F">
        <w:rPr>
          <w:rFonts w:ascii="Arial" w:hAnsi="Arial" w:cs="Arial"/>
          <w:sz w:val="22"/>
          <w:lang w:val="es-ES"/>
        </w:rPr>
        <w:t>artículo</w:t>
      </w:r>
      <w:proofErr w:type="spellEnd"/>
      <w:r w:rsidRPr="008A638F">
        <w:rPr>
          <w:rFonts w:ascii="Arial" w:hAnsi="Arial" w:cs="Arial"/>
          <w:sz w:val="22"/>
          <w:lang w:val="es-ES"/>
        </w:rPr>
        <w:t xml:space="preserve"> 4 prohibió pactar remuneraciones de servicios personales calificados, con personas naturales y </w:t>
      </w:r>
      <w:proofErr w:type="spellStart"/>
      <w:r w:rsidRPr="008A638F">
        <w:rPr>
          <w:rFonts w:ascii="Arial" w:hAnsi="Arial" w:cs="Arial"/>
          <w:sz w:val="22"/>
          <w:lang w:val="es-ES"/>
        </w:rPr>
        <w:t>jurídicas</w:t>
      </w:r>
      <w:proofErr w:type="spellEnd"/>
      <w:r w:rsidRPr="008A638F">
        <w:rPr>
          <w:rFonts w:ascii="Arial" w:hAnsi="Arial" w:cs="Arial"/>
          <w:sz w:val="22"/>
          <w:lang w:val="es-ES"/>
        </w:rPr>
        <w:t xml:space="preserve">, cuando el valor excediera el total de la </w:t>
      </w:r>
      <w:proofErr w:type="spellStart"/>
      <w:r w:rsidRPr="008A638F">
        <w:rPr>
          <w:rFonts w:ascii="Arial" w:hAnsi="Arial" w:cs="Arial"/>
          <w:sz w:val="22"/>
          <w:lang w:val="es-ES"/>
        </w:rPr>
        <w:t>remuneración</w:t>
      </w:r>
      <w:proofErr w:type="spellEnd"/>
      <w:r w:rsidRPr="008A638F">
        <w:rPr>
          <w:rFonts w:ascii="Arial" w:hAnsi="Arial" w:cs="Arial"/>
          <w:sz w:val="22"/>
          <w:lang w:val="es-ES"/>
        </w:rPr>
        <w:t xml:space="preserve"> establecida para el jefe de la entidad, sin incluir factores prestacionales</w:t>
      </w:r>
      <w:bookmarkEnd w:id="12"/>
      <w:r w:rsidRPr="008A638F">
        <w:rPr>
          <w:rFonts w:ascii="Arial" w:hAnsi="Arial" w:cs="Arial"/>
          <w:sz w:val="22"/>
          <w:lang w:val="es-ES"/>
        </w:rPr>
        <w:t>:</w:t>
      </w:r>
    </w:p>
    <w:p w14:paraId="278A2169" w14:textId="77777777" w:rsidR="008A638F" w:rsidRPr="008A638F" w:rsidRDefault="008A638F" w:rsidP="008A638F">
      <w:pPr>
        <w:ind w:left="709" w:right="709"/>
        <w:jc w:val="both"/>
        <w:rPr>
          <w:rFonts w:ascii="Arial" w:hAnsi="Arial" w:cs="Arial"/>
          <w:sz w:val="21"/>
          <w:szCs w:val="21"/>
          <w:lang w:val="es-ES"/>
        </w:rPr>
      </w:pPr>
    </w:p>
    <w:p w14:paraId="79308B0A" w14:textId="77777777" w:rsidR="008A638F" w:rsidRPr="008A638F" w:rsidRDefault="008A638F" w:rsidP="008A638F">
      <w:pPr>
        <w:spacing w:after="120"/>
        <w:ind w:left="709" w:right="709"/>
        <w:jc w:val="both"/>
        <w:rPr>
          <w:rFonts w:ascii="Arial" w:hAnsi="Arial" w:cs="Arial"/>
          <w:sz w:val="22"/>
          <w:lang w:val="es-ES"/>
        </w:rPr>
      </w:pP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4°. Está prohibido el pacto de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para pago de servicios personales calificados con personas naturales y </w:t>
      </w:r>
      <w:proofErr w:type="spellStart"/>
      <w:r w:rsidRPr="008A638F">
        <w:rPr>
          <w:rFonts w:ascii="Arial" w:hAnsi="Arial" w:cs="Arial"/>
          <w:sz w:val="21"/>
          <w:szCs w:val="21"/>
          <w:lang w:val="es-ES"/>
        </w:rPr>
        <w:t>jurídicas</w:t>
      </w:r>
      <w:proofErr w:type="spellEnd"/>
      <w:r w:rsidRPr="008A638F">
        <w:rPr>
          <w:rFonts w:ascii="Arial" w:hAnsi="Arial" w:cs="Arial"/>
          <w:sz w:val="21"/>
          <w:szCs w:val="21"/>
          <w:lang w:val="es-ES"/>
        </w:rPr>
        <w:t xml:space="preserve">, encaminados a la </w:t>
      </w:r>
      <w:proofErr w:type="spellStart"/>
      <w:r w:rsidRPr="008A638F">
        <w:rPr>
          <w:rFonts w:ascii="Arial" w:hAnsi="Arial" w:cs="Arial"/>
          <w:sz w:val="21"/>
          <w:szCs w:val="21"/>
          <w:lang w:val="es-ES"/>
        </w:rPr>
        <w:t>prestación</w:t>
      </w:r>
      <w:proofErr w:type="spellEnd"/>
      <w:r w:rsidRPr="008A638F">
        <w:rPr>
          <w:rFonts w:ascii="Arial" w:hAnsi="Arial" w:cs="Arial"/>
          <w:sz w:val="21"/>
          <w:szCs w:val="21"/>
          <w:lang w:val="es-ES"/>
        </w:rPr>
        <w:t xml:space="preserve"> de servicios en forma continua para asuntos propios de la respectiva </w:t>
      </w:r>
      <w:r w:rsidRPr="008A638F">
        <w:rPr>
          <w:rFonts w:ascii="Arial" w:hAnsi="Arial" w:cs="Arial"/>
          <w:sz w:val="21"/>
          <w:szCs w:val="21"/>
          <w:lang w:val="es-ES"/>
        </w:rPr>
        <w:lastRenderedPageBreak/>
        <w:t xml:space="preserve">entidad, por valor mensual superior a la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total mensual establecida para el jefe de la entidad.</w:t>
      </w:r>
    </w:p>
    <w:p w14:paraId="5652ECED" w14:textId="77777777" w:rsidR="008A638F" w:rsidRPr="008A638F" w:rsidRDefault="008A638F" w:rsidP="008A638F">
      <w:pPr>
        <w:ind w:left="709" w:right="709"/>
        <w:jc w:val="both"/>
        <w:rPr>
          <w:rFonts w:ascii="Arial" w:hAnsi="Arial" w:cs="Arial"/>
          <w:sz w:val="21"/>
          <w:szCs w:val="21"/>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Se entiende por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total mensual del jefe de la entidad, la que corresponda a </w:t>
      </w:r>
      <w:proofErr w:type="spellStart"/>
      <w:r w:rsidRPr="008A638F">
        <w:rPr>
          <w:rFonts w:ascii="Arial" w:hAnsi="Arial" w:cs="Arial"/>
          <w:sz w:val="21"/>
          <w:szCs w:val="21"/>
          <w:lang w:val="es-ES"/>
        </w:rPr>
        <w:t>éste</w:t>
      </w:r>
      <w:proofErr w:type="spellEnd"/>
      <w:r w:rsidRPr="008A638F">
        <w:rPr>
          <w:rFonts w:ascii="Arial" w:hAnsi="Arial" w:cs="Arial"/>
          <w:sz w:val="21"/>
          <w:szCs w:val="21"/>
          <w:lang w:val="es-ES"/>
        </w:rPr>
        <w:t xml:space="preserve"> en cada uno de dichos </w:t>
      </w:r>
      <w:proofErr w:type="spellStart"/>
      <w:r w:rsidRPr="008A638F">
        <w:rPr>
          <w:rFonts w:ascii="Arial" w:hAnsi="Arial" w:cs="Arial"/>
          <w:sz w:val="21"/>
          <w:szCs w:val="21"/>
          <w:lang w:val="es-ES"/>
        </w:rPr>
        <w:t>períodos</w:t>
      </w:r>
      <w:proofErr w:type="spellEnd"/>
      <w:r w:rsidRPr="008A638F">
        <w:rPr>
          <w:rFonts w:ascii="Arial" w:hAnsi="Arial" w:cs="Arial"/>
          <w:sz w:val="21"/>
          <w:szCs w:val="21"/>
          <w:lang w:val="es-ES"/>
        </w:rPr>
        <w:t xml:space="preserve">, sin que en </w:t>
      </w:r>
      <w:proofErr w:type="spellStart"/>
      <w:r w:rsidRPr="008A638F">
        <w:rPr>
          <w:rFonts w:ascii="Arial" w:hAnsi="Arial" w:cs="Arial"/>
          <w:sz w:val="21"/>
          <w:szCs w:val="21"/>
          <w:lang w:val="es-ES"/>
        </w:rPr>
        <w:t>ningún</w:t>
      </w:r>
      <w:proofErr w:type="spellEnd"/>
      <w:r w:rsidRPr="008A638F">
        <w:rPr>
          <w:rFonts w:ascii="Arial" w:hAnsi="Arial" w:cs="Arial"/>
          <w:sz w:val="21"/>
          <w:szCs w:val="21"/>
          <w:lang w:val="es-ES"/>
        </w:rPr>
        <w:t xml:space="preserve"> caso puedan tenerse en </w:t>
      </w:r>
      <w:proofErr w:type="spellStart"/>
      <w:r w:rsidRPr="008A638F">
        <w:rPr>
          <w:rFonts w:ascii="Arial" w:hAnsi="Arial" w:cs="Arial"/>
          <w:sz w:val="21"/>
          <w:szCs w:val="21"/>
          <w:lang w:val="es-ES"/>
        </w:rPr>
        <w:t>consideración</w:t>
      </w:r>
      <w:proofErr w:type="spellEnd"/>
      <w:r w:rsidRPr="008A638F">
        <w:rPr>
          <w:rFonts w:ascii="Arial" w:hAnsi="Arial" w:cs="Arial"/>
          <w:sz w:val="21"/>
          <w:szCs w:val="21"/>
          <w:lang w:val="es-ES"/>
        </w:rPr>
        <w:t xml:space="preserve"> los factores prestacionales.</w:t>
      </w:r>
    </w:p>
    <w:p w14:paraId="46582853" w14:textId="77777777" w:rsidR="008A638F" w:rsidRPr="008A638F" w:rsidRDefault="008A638F" w:rsidP="008A638F">
      <w:pPr>
        <w:ind w:left="709" w:right="709"/>
        <w:jc w:val="both"/>
        <w:rPr>
          <w:rFonts w:ascii="Arial" w:hAnsi="Arial" w:cs="Arial"/>
          <w:sz w:val="22"/>
          <w:lang w:val="es-ES"/>
        </w:rPr>
      </w:pPr>
    </w:p>
    <w:p w14:paraId="3F0FC507" w14:textId="77777777" w:rsidR="008A638F" w:rsidRPr="008A638F" w:rsidRDefault="008A638F" w:rsidP="008A638F">
      <w:pPr>
        <w:spacing w:line="276" w:lineRule="auto"/>
        <w:ind w:firstLine="709"/>
        <w:jc w:val="both"/>
        <w:rPr>
          <w:rFonts w:ascii="Arial" w:hAnsi="Arial" w:cs="Arial"/>
          <w:sz w:val="22"/>
          <w:lang w:val="es-ES"/>
        </w:rPr>
      </w:pPr>
      <w:bookmarkStart w:id="13" w:name="_Hlk45635831"/>
      <w:bookmarkStart w:id="14" w:name="_Hlk45533162"/>
      <w:r w:rsidRPr="008A638F">
        <w:rPr>
          <w:rFonts w:ascii="Arial" w:hAnsi="Arial" w:cs="Arial"/>
          <w:sz w:val="22"/>
          <w:lang w:val="es-ES"/>
        </w:rPr>
        <w:t xml:space="preserve">Esta norma fue modificada, por imprecisiones que hicieron difícil su </w:t>
      </w:r>
      <w:proofErr w:type="spellStart"/>
      <w:r w:rsidRPr="008A638F">
        <w:rPr>
          <w:rFonts w:ascii="Arial" w:hAnsi="Arial" w:cs="Arial"/>
          <w:sz w:val="22"/>
          <w:lang w:val="es-ES"/>
        </w:rPr>
        <w:t>aplicación</w:t>
      </w:r>
      <w:proofErr w:type="spellEnd"/>
      <w:r w:rsidRPr="008A638F">
        <w:rPr>
          <w:rFonts w:ascii="Arial" w:hAnsi="Arial" w:cs="Arial"/>
          <w:sz w:val="22"/>
          <w:lang w:val="es-ES"/>
        </w:rPr>
        <w:t xml:space="preserve">. En esta medida, la nueva norma identificó mejor los servicios a los que se </w:t>
      </w:r>
      <w:proofErr w:type="spellStart"/>
      <w:r w:rsidRPr="008A638F">
        <w:rPr>
          <w:rFonts w:ascii="Arial" w:hAnsi="Arial" w:cs="Arial"/>
          <w:sz w:val="22"/>
          <w:lang w:val="es-ES"/>
        </w:rPr>
        <w:t>refería</w:t>
      </w:r>
      <w:proofErr w:type="spellEnd"/>
      <w:r w:rsidRPr="008A638F">
        <w:rPr>
          <w:rFonts w:ascii="Arial" w:hAnsi="Arial" w:cs="Arial"/>
          <w:sz w:val="22"/>
          <w:lang w:val="es-ES"/>
        </w:rPr>
        <w:t xml:space="preserve"> el artículo, aclarando que eran los exclusivamente comprendidos en el concepto «</w:t>
      </w:r>
      <w:proofErr w:type="spellStart"/>
      <w:r w:rsidRPr="008A638F">
        <w:rPr>
          <w:rFonts w:ascii="Arial" w:hAnsi="Arial" w:cs="Arial"/>
          <w:sz w:val="22"/>
          <w:lang w:val="es-ES"/>
        </w:rPr>
        <w:t>remuneración</w:t>
      </w:r>
      <w:proofErr w:type="spellEnd"/>
      <w:r w:rsidRPr="008A638F">
        <w:rPr>
          <w:rFonts w:ascii="Arial" w:hAnsi="Arial" w:cs="Arial"/>
          <w:sz w:val="22"/>
          <w:lang w:val="es-ES"/>
        </w:rPr>
        <w:t xml:space="preserve"> servicios </w:t>
      </w:r>
      <w:proofErr w:type="spellStart"/>
      <w:r w:rsidRPr="008A638F">
        <w:rPr>
          <w:rFonts w:ascii="Arial" w:hAnsi="Arial" w:cs="Arial"/>
          <w:sz w:val="22"/>
          <w:lang w:val="es-ES"/>
        </w:rPr>
        <w:t>técnicos</w:t>
      </w:r>
      <w:proofErr w:type="spellEnd"/>
      <w:r w:rsidRPr="008A638F">
        <w:rPr>
          <w:rFonts w:ascii="Arial" w:hAnsi="Arial" w:cs="Arial"/>
          <w:sz w:val="22"/>
          <w:lang w:val="es-ES"/>
        </w:rPr>
        <w:t xml:space="preserve">», desarrollado en el decreto de </w:t>
      </w:r>
      <w:proofErr w:type="spellStart"/>
      <w:r w:rsidRPr="008A638F">
        <w:rPr>
          <w:rFonts w:ascii="Arial" w:hAnsi="Arial" w:cs="Arial"/>
          <w:sz w:val="22"/>
          <w:lang w:val="es-ES"/>
        </w:rPr>
        <w:t>liquidación</w:t>
      </w:r>
      <w:proofErr w:type="spellEnd"/>
      <w:r w:rsidRPr="008A638F">
        <w:rPr>
          <w:rFonts w:ascii="Arial" w:hAnsi="Arial" w:cs="Arial"/>
          <w:sz w:val="22"/>
          <w:lang w:val="es-ES"/>
        </w:rPr>
        <w:t xml:space="preserve"> del presupuesto general de la nación</w:t>
      </w:r>
      <w:bookmarkEnd w:id="13"/>
      <w:r w:rsidRPr="008A638F">
        <w:rPr>
          <w:rFonts w:ascii="Arial" w:hAnsi="Arial" w:cs="Arial"/>
          <w:sz w:val="22"/>
          <w:lang w:val="es-ES"/>
        </w:rPr>
        <w:t xml:space="preserve">. Por ello, </w:t>
      </w:r>
      <w:bookmarkStart w:id="15" w:name="_Hlk45524900"/>
      <w:r w:rsidRPr="008A638F">
        <w:rPr>
          <w:rFonts w:ascii="Arial" w:hAnsi="Arial" w:cs="Arial"/>
          <w:sz w:val="22"/>
          <w:lang w:val="es-ES"/>
        </w:rPr>
        <w:t xml:space="preserve">el </w:t>
      </w:r>
      <w:proofErr w:type="spellStart"/>
      <w:r w:rsidRPr="008A638F">
        <w:rPr>
          <w:rFonts w:ascii="Arial" w:hAnsi="Arial" w:cs="Arial"/>
          <w:sz w:val="22"/>
          <w:lang w:val="es-ES"/>
        </w:rPr>
        <w:t>artículo</w:t>
      </w:r>
      <w:proofErr w:type="spellEnd"/>
      <w:r w:rsidRPr="008A638F">
        <w:rPr>
          <w:rFonts w:ascii="Arial" w:hAnsi="Arial" w:cs="Arial"/>
          <w:sz w:val="22"/>
          <w:lang w:val="es-ES"/>
        </w:rPr>
        <w:t xml:space="preserve"> 2 del Decreto 2209 de 1998</w:t>
      </w:r>
      <w:bookmarkEnd w:id="15"/>
      <w:r w:rsidRPr="008A638F">
        <w:rPr>
          <w:rFonts w:ascii="Arial" w:hAnsi="Arial" w:cs="Arial"/>
          <w:sz w:val="22"/>
          <w:lang w:val="es-ES"/>
        </w:rPr>
        <w:t xml:space="preserve"> adicionó el </w:t>
      </w:r>
      <w:proofErr w:type="spellStart"/>
      <w:r w:rsidRPr="008A638F">
        <w:rPr>
          <w:rFonts w:ascii="Arial" w:hAnsi="Arial" w:cs="Arial"/>
          <w:sz w:val="22"/>
          <w:lang w:val="es-ES"/>
        </w:rPr>
        <w:t>parágrafo</w:t>
      </w:r>
      <w:proofErr w:type="spellEnd"/>
      <w:r w:rsidRPr="008A638F">
        <w:rPr>
          <w:rFonts w:ascii="Arial" w:hAnsi="Arial" w:cs="Arial"/>
          <w:sz w:val="22"/>
          <w:lang w:val="es-ES"/>
        </w:rPr>
        <w:t xml:space="preserve"> 2 al </w:t>
      </w:r>
      <w:proofErr w:type="spellStart"/>
      <w:r w:rsidRPr="008A638F">
        <w:rPr>
          <w:rFonts w:ascii="Arial" w:hAnsi="Arial" w:cs="Arial"/>
          <w:sz w:val="22"/>
          <w:lang w:val="es-ES"/>
        </w:rPr>
        <w:t>artículo</w:t>
      </w:r>
      <w:proofErr w:type="spellEnd"/>
      <w:r w:rsidRPr="008A638F">
        <w:rPr>
          <w:rFonts w:ascii="Arial" w:hAnsi="Arial" w:cs="Arial"/>
          <w:sz w:val="22"/>
          <w:lang w:val="es-ES"/>
        </w:rPr>
        <w:t xml:space="preserve"> 4 del Decreto 1737 de 1998</w:t>
      </w:r>
      <w:bookmarkEnd w:id="14"/>
      <w:r w:rsidRPr="008A638F">
        <w:rPr>
          <w:rFonts w:ascii="Arial" w:hAnsi="Arial" w:cs="Arial"/>
          <w:sz w:val="22"/>
          <w:lang w:val="es-ES"/>
        </w:rPr>
        <w:t>:</w:t>
      </w:r>
    </w:p>
    <w:p w14:paraId="5B068551" w14:textId="77777777" w:rsidR="008A638F" w:rsidRPr="008A638F" w:rsidRDefault="008A638F" w:rsidP="008A638F">
      <w:pPr>
        <w:ind w:left="709" w:right="709"/>
        <w:jc w:val="both"/>
        <w:rPr>
          <w:rFonts w:ascii="Arial" w:hAnsi="Arial" w:cs="Arial"/>
          <w:sz w:val="22"/>
          <w:lang w:val="es-ES"/>
        </w:rPr>
      </w:pPr>
    </w:p>
    <w:p w14:paraId="24356439"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4°. Está prohibido el pacto de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para pago de servicios personales calificados con personas naturales, o </w:t>
      </w:r>
      <w:proofErr w:type="spellStart"/>
      <w:r w:rsidRPr="008A638F">
        <w:rPr>
          <w:rFonts w:ascii="Arial" w:hAnsi="Arial" w:cs="Arial"/>
          <w:sz w:val="21"/>
          <w:szCs w:val="21"/>
          <w:lang w:val="es-ES"/>
        </w:rPr>
        <w:t>jurídicas</w:t>
      </w:r>
      <w:proofErr w:type="spellEnd"/>
      <w:r w:rsidRPr="008A638F">
        <w:rPr>
          <w:rFonts w:ascii="Arial" w:hAnsi="Arial" w:cs="Arial"/>
          <w:sz w:val="21"/>
          <w:szCs w:val="21"/>
          <w:lang w:val="es-ES"/>
        </w:rPr>
        <w:t xml:space="preserve">, encaminados a la </w:t>
      </w:r>
      <w:proofErr w:type="spellStart"/>
      <w:r w:rsidRPr="008A638F">
        <w:rPr>
          <w:rFonts w:ascii="Arial" w:hAnsi="Arial" w:cs="Arial"/>
          <w:sz w:val="21"/>
          <w:szCs w:val="21"/>
          <w:lang w:val="es-ES"/>
        </w:rPr>
        <w:t>prestación</w:t>
      </w:r>
      <w:proofErr w:type="spellEnd"/>
      <w:r w:rsidRPr="008A638F">
        <w:rPr>
          <w:rFonts w:ascii="Arial" w:hAnsi="Arial" w:cs="Arial"/>
          <w:sz w:val="21"/>
          <w:szCs w:val="21"/>
          <w:lang w:val="es-ES"/>
        </w:rPr>
        <w:t xml:space="preserve"> de servicios en forma continua para atender asuntos propios de la respectiva entidad, por valor mensual superior a la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total mensual establecida para el jefe de la entidad.</w:t>
      </w:r>
    </w:p>
    <w:p w14:paraId="2F52927C"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1°. Se entiende por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total mensual del jefe de la entidad, la que corresponda a </w:t>
      </w:r>
      <w:proofErr w:type="spellStart"/>
      <w:r w:rsidRPr="008A638F">
        <w:rPr>
          <w:rFonts w:ascii="Arial" w:hAnsi="Arial" w:cs="Arial"/>
          <w:sz w:val="21"/>
          <w:szCs w:val="21"/>
          <w:lang w:val="es-ES"/>
        </w:rPr>
        <w:t>éste</w:t>
      </w:r>
      <w:proofErr w:type="spellEnd"/>
      <w:r w:rsidRPr="008A638F">
        <w:rPr>
          <w:rFonts w:ascii="Arial" w:hAnsi="Arial" w:cs="Arial"/>
          <w:sz w:val="21"/>
          <w:szCs w:val="21"/>
          <w:lang w:val="es-ES"/>
        </w:rPr>
        <w:t xml:space="preserve"> en cada uno de dichos </w:t>
      </w:r>
      <w:proofErr w:type="spellStart"/>
      <w:r w:rsidRPr="008A638F">
        <w:rPr>
          <w:rFonts w:ascii="Arial" w:hAnsi="Arial" w:cs="Arial"/>
          <w:sz w:val="21"/>
          <w:szCs w:val="21"/>
          <w:lang w:val="es-ES"/>
        </w:rPr>
        <w:t>períodos</w:t>
      </w:r>
      <w:proofErr w:type="spellEnd"/>
      <w:r w:rsidRPr="008A638F">
        <w:rPr>
          <w:rFonts w:ascii="Arial" w:hAnsi="Arial" w:cs="Arial"/>
          <w:sz w:val="21"/>
          <w:szCs w:val="21"/>
          <w:lang w:val="es-ES"/>
        </w:rPr>
        <w:t xml:space="preserve">, sin que en </w:t>
      </w:r>
      <w:proofErr w:type="spellStart"/>
      <w:r w:rsidRPr="008A638F">
        <w:rPr>
          <w:rFonts w:ascii="Arial" w:hAnsi="Arial" w:cs="Arial"/>
          <w:sz w:val="21"/>
          <w:szCs w:val="21"/>
          <w:lang w:val="es-ES"/>
        </w:rPr>
        <w:t>ningún</w:t>
      </w:r>
      <w:proofErr w:type="spellEnd"/>
      <w:r w:rsidRPr="008A638F">
        <w:rPr>
          <w:rFonts w:ascii="Arial" w:hAnsi="Arial" w:cs="Arial"/>
          <w:sz w:val="21"/>
          <w:szCs w:val="21"/>
          <w:lang w:val="es-ES"/>
        </w:rPr>
        <w:t xml:space="preserve"> caso puedan tenerse en </w:t>
      </w:r>
      <w:proofErr w:type="spellStart"/>
      <w:r w:rsidRPr="008A638F">
        <w:rPr>
          <w:rFonts w:ascii="Arial" w:hAnsi="Arial" w:cs="Arial"/>
          <w:sz w:val="21"/>
          <w:szCs w:val="21"/>
          <w:lang w:val="es-ES"/>
        </w:rPr>
        <w:t>consideración</w:t>
      </w:r>
      <w:proofErr w:type="spellEnd"/>
      <w:r w:rsidRPr="008A638F">
        <w:rPr>
          <w:rFonts w:ascii="Arial" w:hAnsi="Arial" w:cs="Arial"/>
          <w:sz w:val="21"/>
          <w:szCs w:val="21"/>
          <w:lang w:val="es-ES"/>
        </w:rPr>
        <w:t xml:space="preserve"> los factores prestacionales.</w:t>
      </w:r>
    </w:p>
    <w:p w14:paraId="0DCA663B" w14:textId="77777777" w:rsidR="008A638F" w:rsidRPr="008A638F" w:rsidRDefault="008A638F" w:rsidP="008A638F">
      <w:pPr>
        <w:ind w:left="709" w:right="709"/>
        <w:jc w:val="both"/>
        <w:rPr>
          <w:rFonts w:ascii="Arial" w:hAnsi="Arial" w:cs="Arial"/>
          <w:sz w:val="21"/>
          <w:szCs w:val="21"/>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2°. Los servicios a que hace referencia el presente </w:t>
      </w: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corresponden exclusivamente a aquellos comprendidos en el concepto de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servicios </w:t>
      </w:r>
      <w:proofErr w:type="spellStart"/>
      <w:r w:rsidRPr="008A638F">
        <w:rPr>
          <w:rFonts w:ascii="Arial" w:hAnsi="Arial" w:cs="Arial"/>
          <w:sz w:val="21"/>
          <w:szCs w:val="21"/>
          <w:lang w:val="es-ES"/>
        </w:rPr>
        <w:t>técnicos</w:t>
      </w:r>
      <w:proofErr w:type="spellEnd"/>
      <w:r w:rsidRPr="008A638F">
        <w:rPr>
          <w:rFonts w:ascii="Arial" w:hAnsi="Arial" w:cs="Arial"/>
          <w:sz w:val="21"/>
          <w:szCs w:val="21"/>
          <w:lang w:val="es-ES"/>
        </w:rPr>
        <w:t xml:space="preserve">» desarrollado en el decreto de </w:t>
      </w:r>
      <w:proofErr w:type="spellStart"/>
      <w:r w:rsidRPr="008A638F">
        <w:rPr>
          <w:rFonts w:ascii="Arial" w:hAnsi="Arial" w:cs="Arial"/>
          <w:sz w:val="21"/>
          <w:szCs w:val="21"/>
          <w:lang w:val="es-ES"/>
        </w:rPr>
        <w:t>liquidación</w:t>
      </w:r>
      <w:proofErr w:type="spellEnd"/>
      <w:r w:rsidRPr="008A638F">
        <w:rPr>
          <w:rFonts w:ascii="Arial" w:hAnsi="Arial" w:cs="Arial"/>
          <w:sz w:val="21"/>
          <w:szCs w:val="21"/>
          <w:lang w:val="es-ES"/>
        </w:rPr>
        <w:t xml:space="preserve"> del presupuesto general de la </w:t>
      </w:r>
      <w:proofErr w:type="spellStart"/>
      <w:r w:rsidRPr="008A638F">
        <w:rPr>
          <w:rFonts w:ascii="Arial" w:hAnsi="Arial" w:cs="Arial"/>
          <w:sz w:val="21"/>
          <w:szCs w:val="21"/>
          <w:lang w:val="es-ES"/>
        </w:rPr>
        <w:t>Nación</w:t>
      </w:r>
      <w:proofErr w:type="spellEnd"/>
      <w:r w:rsidRPr="008A638F">
        <w:rPr>
          <w:rFonts w:ascii="Arial" w:hAnsi="Arial" w:cs="Arial"/>
          <w:sz w:val="21"/>
          <w:szCs w:val="21"/>
          <w:lang w:val="es-ES"/>
        </w:rPr>
        <w:t>, con independencia del presupuesto con cargo al cual se realice su pago.</w:t>
      </w:r>
    </w:p>
    <w:p w14:paraId="28C0AE57" w14:textId="77777777" w:rsidR="008A638F" w:rsidRPr="008A638F" w:rsidRDefault="008A638F" w:rsidP="008A638F">
      <w:pPr>
        <w:ind w:left="709" w:right="709"/>
        <w:jc w:val="both"/>
        <w:rPr>
          <w:rFonts w:ascii="Arial" w:hAnsi="Arial" w:cs="Arial"/>
          <w:sz w:val="21"/>
          <w:szCs w:val="21"/>
          <w:lang w:val="es-ES"/>
        </w:rPr>
      </w:pPr>
    </w:p>
    <w:p w14:paraId="02ED0F55" w14:textId="77777777" w:rsidR="008A638F" w:rsidRPr="008A638F" w:rsidRDefault="008A638F" w:rsidP="008A638F">
      <w:pPr>
        <w:spacing w:line="276" w:lineRule="auto"/>
        <w:ind w:firstLine="709"/>
        <w:jc w:val="both"/>
        <w:rPr>
          <w:rFonts w:ascii="Arial" w:hAnsi="Arial" w:cs="Arial"/>
          <w:sz w:val="21"/>
          <w:szCs w:val="21"/>
          <w:lang w:val="es-ES"/>
        </w:rPr>
      </w:pPr>
      <w:bookmarkStart w:id="16" w:name="_Hlk45533390"/>
      <w:r w:rsidRPr="008A638F">
        <w:rPr>
          <w:rFonts w:ascii="Arial" w:hAnsi="Arial" w:cs="Arial"/>
          <w:sz w:val="22"/>
          <w:lang w:val="es-ES"/>
        </w:rPr>
        <w:t xml:space="preserve">Posteriormente, el artículo 1 del Decreto 2785 de 2011 modificó nuevamente el </w:t>
      </w:r>
      <w:proofErr w:type="spellStart"/>
      <w:r w:rsidRPr="008A638F">
        <w:rPr>
          <w:rFonts w:ascii="Arial" w:hAnsi="Arial" w:cs="Arial"/>
          <w:sz w:val="22"/>
          <w:lang w:val="es-ES"/>
        </w:rPr>
        <w:t>artículo</w:t>
      </w:r>
      <w:proofErr w:type="spellEnd"/>
      <w:r w:rsidRPr="008A638F">
        <w:rPr>
          <w:rFonts w:ascii="Arial" w:hAnsi="Arial" w:cs="Arial"/>
          <w:sz w:val="22"/>
          <w:lang w:val="es-ES"/>
        </w:rPr>
        <w:t xml:space="preserve"> 4 del Decreto 1737 de 1998, agregando los </w:t>
      </w:r>
      <w:proofErr w:type="spellStart"/>
      <w:r w:rsidRPr="008A638F">
        <w:rPr>
          <w:rFonts w:ascii="Arial" w:hAnsi="Arial" w:cs="Arial"/>
          <w:sz w:val="22"/>
          <w:lang w:val="es-ES"/>
        </w:rPr>
        <w:t>parágrafos</w:t>
      </w:r>
      <w:proofErr w:type="spellEnd"/>
      <w:r w:rsidRPr="008A638F">
        <w:rPr>
          <w:rFonts w:ascii="Arial" w:hAnsi="Arial" w:cs="Arial"/>
          <w:sz w:val="22"/>
          <w:lang w:val="es-ES"/>
        </w:rPr>
        <w:t xml:space="preserve"> 3 y 4, que introdujeron la </w:t>
      </w:r>
      <w:proofErr w:type="spellStart"/>
      <w:r w:rsidRPr="008A638F">
        <w:rPr>
          <w:rFonts w:ascii="Arial" w:hAnsi="Arial" w:cs="Arial"/>
          <w:sz w:val="22"/>
          <w:lang w:val="es-ES"/>
        </w:rPr>
        <w:t>noción</w:t>
      </w:r>
      <w:proofErr w:type="spellEnd"/>
      <w:r w:rsidRPr="008A638F">
        <w:rPr>
          <w:rFonts w:ascii="Arial" w:hAnsi="Arial" w:cs="Arial"/>
          <w:sz w:val="22"/>
          <w:lang w:val="es-ES"/>
        </w:rPr>
        <w:t xml:space="preserve"> de «servicios altamente calificados», y de qué manera aplicaban. La norma dispuso que excepcionalmente es posible contratar servicios «altamente calificados», superando la </w:t>
      </w:r>
      <w:proofErr w:type="spellStart"/>
      <w:r w:rsidRPr="008A638F">
        <w:rPr>
          <w:rFonts w:ascii="Arial" w:hAnsi="Arial" w:cs="Arial"/>
          <w:sz w:val="22"/>
          <w:lang w:val="es-ES"/>
        </w:rPr>
        <w:t>remuneración</w:t>
      </w:r>
      <w:proofErr w:type="spellEnd"/>
      <w:r w:rsidRPr="008A638F">
        <w:rPr>
          <w:rFonts w:ascii="Arial" w:hAnsi="Arial" w:cs="Arial"/>
          <w:sz w:val="22"/>
          <w:lang w:val="es-ES"/>
        </w:rPr>
        <w:t xml:space="preserve"> total establecida para el jefe de la entidad, incluidos los factores prestacionales y las contribuciones asociadas a la </w:t>
      </w:r>
      <w:proofErr w:type="spellStart"/>
      <w:r w:rsidRPr="008A638F">
        <w:rPr>
          <w:rFonts w:ascii="Arial" w:hAnsi="Arial" w:cs="Arial"/>
          <w:sz w:val="22"/>
          <w:lang w:val="es-ES"/>
        </w:rPr>
        <w:t>nómina</w:t>
      </w:r>
      <w:proofErr w:type="spellEnd"/>
      <w:r w:rsidRPr="008A638F">
        <w:rPr>
          <w:rFonts w:ascii="Arial" w:hAnsi="Arial" w:cs="Arial"/>
          <w:sz w:val="22"/>
          <w:lang w:val="es-ES"/>
        </w:rPr>
        <w:t xml:space="preserve">, siempre que el representante legal de la entidad justifique la necesidad del servicio y sus </w:t>
      </w:r>
      <w:proofErr w:type="spellStart"/>
      <w:r w:rsidRPr="008A638F">
        <w:rPr>
          <w:rFonts w:ascii="Arial" w:hAnsi="Arial" w:cs="Arial"/>
          <w:sz w:val="22"/>
          <w:lang w:val="es-ES"/>
        </w:rPr>
        <w:t>características</w:t>
      </w:r>
      <w:proofErr w:type="spellEnd"/>
      <w:r w:rsidRPr="008A638F">
        <w:rPr>
          <w:rFonts w:ascii="Arial" w:hAnsi="Arial" w:cs="Arial"/>
          <w:sz w:val="22"/>
          <w:lang w:val="es-ES"/>
        </w:rPr>
        <w:t xml:space="preserve"> específicas, además de establecer las condiciones de los productos o servicios a obtener</w:t>
      </w:r>
      <w:bookmarkEnd w:id="16"/>
      <w:r w:rsidRPr="008A638F">
        <w:rPr>
          <w:rFonts w:ascii="Arial" w:hAnsi="Arial" w:cs="Arial"/>
          <w:sz w:val="22"/>
          <w:lang w:val="es-ES"/>
        </w:rPr>
        <w:t>. La norma establece que:</w:t>
      </w:r>
    </w:p>
    <w:p w14:paraId="5B71ED8B" w14:textId="77777777" w:rsidR="008A638F" w:rsidRPr="008A638F" w:rsidRDefault="008A638F" w:rsidP="008A638F">
      <w:pPr>
        <w:ind w:left="709" w:right="709"/>
        <w:jc w:val="both"/>
        <w:rPr>
          <w:rFonts w:ascii="Arial" w:hAnsi="Arial" w:cs="Arial"/>
          <w:sz w:val="22"/>
          <w:lang w:val="es-ES"/>
        </w:rPr>
      </w:pPr>
    </w:p>
    <w:p w14:paraId="3CB2DA25"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1°. </w:t>
      </w:r>
      <w:proofErr w:type="spellStart"/>
      <w:r w:rsidRPr="008A638F">
        <w:rPr>
          <w:rFonts w:ascii="Arial" w:hAnsi="Arial" w:cs="Arial"/>
          <w:sz w:val="21"/>
          <w:szCs w:val="21"/>
          <w:lang w:val="es-ES"/>
        </w:rPr>
        <w:t>Modifíquese</w:t>
      </w:r>
      <w:proofErr w:type="spellEnd"/>
      <w:r w:rsidRPr="008A638F">
        <w:rPr>
          <w:rFonts w:ascii="Arial" w:hAnsi="Arial" w:cs="Arial"/>
          <w:sz w:val="21"/>
          <w:szCs w:val="21"/>
          <w:lang w:val="es-ES"/>
        </w:rPr>
        <w:t xml:space="preserve"> el </w:t>
      </w: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4° del Decreto 1737 de 1998 modificado por el </w:t>
      </w: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2° del Decreto 2209 de 1998, el cual quedará </w:t>
      </w:r>
      <w:proofErr w:type="spellStart"/>
      <w:r w:rsidRPr="008A638F">
        <w:rPr>
          <w:rFonts w:ascii="Arial" w:hAnsi="Arial" w:cs="Arial"/>
          <w:sz w:val="21"/>
          <w:szCs w:val="21"/>
          <w:lang w:val="es-ES"/>
        </w:rPr>
        <w:t>asi</w:t>
      </w:r>
      <w:proofErr w:type="spellEnd"/>
      <w:r w:rsidRPr="008A638F">
        <w:rPr>
          <w:rFonts w:ascii="Arial" w:hAnsi="Arial" w:cs="Arial"/>
          <w:sz w:val="21"/>
          <w:szCs w:val="21"/>
          <w:lang w:val="es-ES"/>
        </w:rPr>
        <w:t>́:</w:t>
      </w:r>
    </w:p>
    <w:p w14:paraId="34679675"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4°. Está prohibido el pacto de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para pago de servicios personales calificados con personas naturales, o </w:t>
      </w:r>
      <w:proofErr w:type="spellStart"/>
      <w:r w:rsidRPr="008A638F">
        <w:rPr>
          <w:rFonts w:ascii="Arial" w:hAnsi="Arial" w:cs="Arial"/>
          <w:sz w:val="21"/>
          <w:szCs w:val="21"/>
          <w:lang w:val="es-ES"/>
        </w:rPr>
        <w:t>jurídicas</w:t>
      </w:r>
      <w:proofErr w:type="spellEnd"/>
      <w:r w:rsidRPr="008A638F">
        <w:rPr>
          <w:rFonts w:ascii="Arial" w:hAnsi="Arial" w:cs="Arial"/>
          <w:sz w:val="21"/>
          <w:szCs w:val="21"/>
          <w:lang w:val="es-ES"/>
        </w:rPr>
        <w:t xml:space="preserve">, encaminados a la </w:t>
      </w:r>
      <w:proofErr w:type="spellStart"/>
      <w:r w:rsidRPr="008A638F">
        <w:rPr>
          <w:rFonts w:ascii="Arial" w:hAnsi="Arial" w:cs="Arial"/>
          <w:sz w:val="21"/>
          <w:szCs w:val="21"/>
          <w:lang w:val="es-ES"/>
        </w:rPr>
        <w:t>prestación</w:t>
      </w:r>
      <w:proofErr w:type="spellEnd"/>
      <w:r w:rsidRPr="008A638F">
        <w:rPr>
          <w:rFonts w:ascii="Arial" w:hAnsi="Arial" w:cs="Arial"/>
          <w:sz w:val="21"/>
          <w:szCs w:val="21"/>
          <w:lang w:val="es-ES"/>
        </w:rPr>
        <w:t xml:space="preserve"> de servicios en forma continua para atender asuntos propios de la </w:t>
      </w:r>
      <w:r w:rsidRPr="008A638F">
        <w:rPr>
          <w:rFonts w:ascii="Arial" w:hAnsi="Arial" w:cs="Arial"/>
          <w:sz w:val="21"/>
          <w:szCs w:val="21"/>
          <w:lang w:val="es-ES"/>
        </w:rPr>
        <w:lastRenderedPageBreak/>
        <w:t xml:space="preserve">respectiva entidad, por valor mensual superior a la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total mensual establecida para el jefe de la entidad.</w:t>
      </w:r>
    </w:p>
    <w:p w14:paraId="0503D841"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1°. Se entiende por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total mensual del jefe de la entidad, la que corresponda a este en cada uno de dichos </w:t>
      </w:r>
      <w:proofErr w:type="spellStart"/>
      <w:r w:rsidRPr="008A638F">
        <w:rPr>
          <w:rFonts w:ascii="Arial" w:hAnsi="Arial" w:cs="Arial"/>
          <w:sz w:val="21"/>
          <w:szCs w:val="21"/>
          <w:lang w:val="es-ES"/>
        </w:rPr>
        <w:t>períodos</w:t>
      </w:r>
      <w:proofErr w:type="spellEnd"/>
      <w:r w:rsidRPr="008A638F">
        <w:rPr>
          <w:rFonts w:ascii="Arial" w:hAnsi="Arial" w:cs="Arial"/>
          <w:sz w:val="21"/>
          <w:szCs w:val="21"/>
          <w:lang w:val="es-ES"/>
        </w:rPr>
        <w:t xml:space="preserve">, sin que en </w:t>
      </w:r>
      <w:proofErr w:type="spellStart"/>
      <w:r w:rsidRPr="008A638F">
        <w:rPr>
          <w:rFonts w:ascii="Arial" w:hAnsi="Arial" w:cs="Arial"/>
          <w:sz w:val="21"/>
          <w:szCs w:val="21"/>
          <w:lang w:val="es-ES"/>
        </w:rPr>
        <w:t>ningún</w:t>
      </w:r>
      <w:proofErr w:type="spellEnd"/>
      <w:r w:rsidRPr="008A638F">
        <w:rPr>
          <w:rFonts w:ascii="Arial" w:hAnsi="Arial" w:cs="Arial"/>
          <w:sz w:val="21"/>
          <w:szCs w:val="21"/>
          <w:lang w:val="es-ES"/>
        </w:rPr>
        <w:t xml:space="preserve"> caso puedan tenerse en </w:t>
      </w:r>
      <w:proofErr w:type="spellStart"/>
      <w:r w:rsidRPr="008A638F">
        <w:rPr>
          <w:rFonts w:ascii="Arial" w:hAnsi="Arial" w:cs="Arial"/>
          <w:sz w:val="21"/>
          <w:szCs w:val="21"/>
          <w:lang w:val="es-ES"/>
        </w:rPr>
        <w:t>consideración</w:t>
      </w:r>
      <w:proofErr w:type="spellEnd"/>
      <w:r w:rsidRPr="008A638F">
        <w:rPr>
          <w:rFonts w:ascii="Arial" w:hAnsi="Arial" w:cs="Arial"/>
          <w:sz w:val="21"/>
          <w:szCs w:val="21"/>
          <w:lang w:val="es-ES"/>
        </w:rPr>
        <w:t xml:space="preserve"> los factores prestacionales.</w:t>
      </w:r>
    </w:p>
    <w:p w14:paraId="7F8BEF9B"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2°. Los servicios a que hace referencia el presente </w:t>
      </w: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corresponden exclusivamente a aquellos comprendidos en el concepto de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servicios </w:t>
      </w:r>
      <w:proofErr w:type="spellStart"/>
      <w:r w:rsidRPr="008A638F">
        <w:rPr>
          <w:rFonts w:ascii="Arial" w:hAnsi="Arial" w:cs="Arial"/>
          <w:sz w:val="21"/>
          <w:szCs w:val="21"/>
          <w:lang w:val="es-ES"/>
        </w:rPr>
        <w:t>técnicos</w:t>
      </w:r>
      <w:proofErr w:type="spellEnd"/>
      <w:r w:rsidRPr="008A638F">
        <w:rPr>
          <w:rFonts w:ascii="Arial" w:hAnsi="Arial" w:cs="Arial"/>
          <w:sz w:val="21"/>
          <w:szCs w:val="21"/>
          <w:lang w:val="es-ES"/>
        </w:rPr>
        <w:t xml:space="preserve">» desarrollado en el decreto de </w:t>
      </w:r>
      <w:proofErr w:type="spellStart"/>
      <w:r w:rsidRPr="008A638F">
        <w:rPr>
          <w:rFonts w:ascii="Arial" w:hAnsi="Arial" w:cs="Arial"/>
          <w:sz w:val="21"/>
          <w:szCs w:val="21"/>
          <w:lang w:val="es-ES"/>
        </w:rPr>
        <w:t>liquidación</w:t>
      </w:r>
      <w:proofErr w:type="spellEnd"/>
      <w:r w:rsidRPr="008A638F">
        <w:rPr>
          <w:rFonts w:ascii="Arial" w:hAnsi="Arial" w:cs="Arial"/>
          <w:sz w:val="21"/>
          <w:szCs w:val="21"/>
          <w:lang w:val="es-ES"/>
        </w:rPr>
        <w:t xml:space="preserve"> del presupuesto general de la </w:t>
      </w:r>
      <w:proofErr w:type="spellStart"/>
      <w:r w:rsidRPr="008A638F">
        <w:rPr>
          <w:rFonts w:ascii="Arial" w:hAnsi="Arial" w:cs="Arial"/>
          <w:sz w:val="21"/>
          <w:szCs w:val="21"/>
          <w:lang w:val="es-ES"/>
        </w:rPr>
        <w:t>Nación</w:t>
      </w:r>
      <w:proofErr w:type="spellEnd"/>
      <w:r w:rsidRPr="008A638F">
        <w:rPr>
          <w:rFonts w:ascii="Arial" w:hAnsi="Arial" w:cs="Arial"/>
          <w:sz w:val="21"/>
          <w:szCs w:val="21"/>
          <w:lang w:val="es-ES"/>
        </w:rPr>
        <w:t>, con independencia del presupuesto con cargo al cual se realice su pago.</w:t>
      </w:r>
    </w:p>
    <w:p w14:paraId="3673FDC7"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3°. De manera excepcional, para aquellos eventos en los que se requiera contratar servicios altamente calificados, </w:t>
      </w:r>
      <w:proofErr w:type="spellStart"/>
      <w:r w:rsidRPr="008A638F">
        <w:rPr>
          <w:rFonts w:ascii="Arial" w:hAnsi="Arial" w:cs="Arial"/>
          <w:sz w:val="21"/>
          <w:szCs w:val="21"/>
          <w:lang w:val="es-ES"/>
        </w:rPr>
        <w:t>podrán</w:t>
      </w:r>
      <w:proofErr w:type="spellEnd"/>
      <w:r w:rsidRPr="008A638F">
        <w:rPr>
          <w:rFonts w:ascii="Arial" w:hAnsi="Arial" w:cs="Arial"/>
          <w:sz w:val="21"/>
          <w:szCs w:val="21"/>
          <w:lang w:val="es-ES"/>
        </w:rPr>
        <w:t xml:space="preserve"> pactarse honorarios superiores a la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total mensual establecida para el jefe de la entidad, los cuales no </w:t>
      </w:r>
      <w:proofErr w:type="spellStart"/>
      <w:r w:rsidRPr="008A638F">
        <w:rPr>
          <w:rFonts w:ascii="Arial" w:hAnsi="Arial" w:cs="Arial"/>
          <w:sz w:val="21"/>
          <w:szCs w:val="21"/>
          <w:lang w:val="es-ES"/>
        </w:rPr>
        <w:t>podrán</w:t>
      </w:r>
      <w:proofErr w:type="spellEnd"/>
      <w:r w:rsidRPr="008A638F">
        <w:rPr>
          <w:rFonts w:ascii="Arial" w:hAnsi="Arial" w:cs="Arial"/>
          <w:sz w:val="21"/>
          <w:szCs w:val="21"/>
          <w:lang w:val="es-ES"/>
        </w:rPr>
        <w:t xml:space="preserve"> exceder del valor total mensual de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del jefe de la entidad incluidos los factores prestacionales y las contribuciones inherentes a la </w:t>
      </w:r>
      <w:proofErr w:type="spellStart"/>
      <w:r w:rsidRPr="008A638F">
        <w:rPr>
          <w:rFonts w:ascii="Arial" w:hAnsi="Arial" w:cs="Arial"/>
          <w:sz w:val="21"/>
          <w:szCs w:val="21"/>
          <w:lang w:val="es-ES"/>
        </w:rPr>
        <w:t>nómina</w:t>
      </w:r>
      <w:proofErr w:type="spellEnd"/>
      <w:r w:rsidRPr="008A638F">
        <w:rPr>
          <w:rFonts w:ascii="Arial" w:hAnsi="Arial" w:cs="Arial"/>
          <w:sz w:val="21"/>
          <w:szCs w:val="21"/>
          <w:lang w:val="es-ES"/>
        </w:rPr>
        <w:t xml:space="preserve">, relacionadas con seguridad social y para fiscales a cargo del empleador. En estos eventos el Representante Legal de la entidad </w:t>
      </w:r>
      <w:proofErr w:type="spellStart"/>
      <w:r w:rsidRPr="008A638F">
        <w:rPr>
          <w:rFonts w:ascii="Arial" w:hAnsi="Arial" w:cs="Arial"/>
          <w:sz w:val="21"/>
          <w:szCs w:val="21"/>
          <w:lang w:val="es-ES"/>
        </w:rPr>
        <w:t>debera</w:t>
      </w:r>
      <w:proofErr w:type="spellEnd"/>
      <w:r w:rsidRPr="008A638F">
        <w:rPr>
          <w:rFonts w:ascii="Arial" w:hAnsi="Arial" w:cs="Arial"/>
          <w:sz w:val="21"/>
          <w:szCs w:val="21"/>
          <w:lang w:val="es-ES"/>
        </w:rPr>
        <w:t xml:space="preserve">́ certificar el cumplimiento de los siguientes aspectos: 1. Justificar la necesidad del servicio personal altamente calificado. 2. Indicar las </w:t>
      </w:r>
      <w:proofErr w:type="spellStart"/>
      <w:r w:rsidRPr="008A638F">
        <w:rPr>
          <w:rFonts w:ascii="Arial" w:hAnsi="Arial" w:cs="Arial"/>
          <w:sz w:val="21"/>
          <w:szCs w:val="21"/>
          <w:lang w:val="es-ES"/>
        </w:rPr>
        <w:t>características</w:t>
      </w:r>
      <w:proofErr w:type="spellEnd"/>
      <w:r w:rsidRPr="008A638F">
        <w:rPr>
          <w:rFonts w:ascii="Arial" w:hAnsi="Arial" w:cs="Arial"/>
          <w:sz w:val="21"/>
          <w:szCs w:val="21"/>
          <w:lang w:val="es-ES"/>
        </w:rPr>
        <w:t xml:space="preserve"> y calidades </w:t>
      </w:r>
      <w:proofErr w:type="spellStart"/>
      <w:r w:rsidRPr="008A638F">
        <w:rPr>
          <w:rFonts w:ascii="Arial" w:hAnsi="Arial" w:cs="Arial"/>
          <w:sz w:val="21"/>
          <w:szCs w:val="21"/>
          <w:lang w:val="es-ES"/>
        </w:rPr>
        <w:t>específicas</w:t>
      </w:r>
      <w:proofErr w:type="spellEnd"/>
      <w:r w:rsidRPr="008A638F">
        <w:rPr>
          <w:rFonts w:ascii="Arial" w:hAnsi="Arial" w:cs="Arial"/>
          <w:sz w:val="21"/>
          <w:szCs w:val="21"/>
          <w:lang w:val="es-ES"/>
        </w:rPr>
        <w:t xml:space="preserve">, altamente calificadas, que </w:t>
      </w:r>
      <w:proofErr w:type="spellStart"/>
      <w:r w:rsidRPr="008A638F">
        <w:rPr>
          <w:rFonts w:ascii="Arial" w:hAnsi="Arial" w:cs="Arial"/>
          <w:sz w:val="21"/>
          <w:szCs w:val="21"/>
          <w:lang w:val="es-ES"/>
        </w:rPr>
        <w:t>reúne</w:t>
      </w:r>
      <w:proofErr w:type="spellEnd"/>
      <w:r w:rsidRPr="008A638F">
        <w:rPr>
          <w:rFonts w:ascii="Arial" w:hAnsi="Arial" w:cs="Arial"/>
          <w:sz w:val="21"/>
          <w:szCs w:val="21"/>
          <w:lang w:val="es-ES"/>
        </w:rPr>
        <w:t xml:space="preserve"> el contratista para la </w:t>
      </w:r>
      <w:proofErr w:type="spellStart"/>
      <w:r w:rsidRPr="008A638F">
        <w:rPr>
          <w:rFonts w:ascii="Arial" w:hAnsi="Arial" w:cs="Arial"/>
          <w:sz w:val="21"/>
          <w:szCs w:val="21"/>
          <w:lang w:val="es-ES"/>
        </w:rPr>
        <w:t>ejecución</w:t>
      </w:r>
      <w:proofErr w:type="spellEnd"/>
      <w:r w:rsidRPr="008A638F">
        <w:rPr>
          <w:rFonts w:ascii="Arial" w:hAnsi="Arial" w:cs="Arial"/>
          <w:sz w:val="21"/>
          <w:szCs w:val="21"/>
          <w:lang w:val="es-ES"/>
        </w:rPr>
        <w:t xml:space="preserve"> del contrato, y 3. Determinar las </w:t>
      </w:r>
      <w:proofErr w:type="spellStart"/>
      <w:r w:rsidRPr="008A638F">
        <w:rPr>
          <w:rFonts w:ascii="Arial" w:hAnsi="Arial" w:cs="Arial"/>
          <w:sz w:val="21"/>
          <w:szCs w:val="21"/>
          <w:lang w:val="es-ES"/>
        </w:rPr>
        <w:t>características</w:t>
      </w:r>
      <w:proofErr w:type="spellEnd"/>
      <w:r w:rsidRPr="008A638F">
        <w:rPr>
          <w:rFonts w:ascii="Arial" w:hAnsi="Arial" w:cs="Arial"/>
          <w:sz w:val="21"/>
          <w:szCs w:val="21"/>
          <w:lang w:val="es-ES"/>
        </w:rPr>
        <w:t xml:space="preserve"> de los productos y/o servicios que se espera obtener.</w:t>
      </w:r>
    </w:p>
    <w:p w14:paraId="1ADB877F" w14:textId="77777777" w:rsidR="008A638F" w:rsidRPr="008A638F" w:rsidRDefault="008A638F" w:rsidP="008A638F">
      <w:pPr>
        <w:ind w:left="709" w:right="709"/>
        <w:jc w:val="both"/>
        <w:rPr>
          <w:rFonts w:ascii="Arial" w:hAnsi="Arial" w:cs="Arial"/>
          <w:sz w:val="22"/>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4°. Se entiende por servicios altamente calificados aquellos requeridos en situaciones de alto nivel de especialidad, complejidad y detalle.</w:t>
      </w:r>
    </w:p>
    <w:p w14:paraId="72E9E28F" w14:textId="77777777" w:rsidR="008A638F" w:rsidRPr="008A638F" w:rsidRDefault="008A638F" w:rsidP="008A638F">
      <w:pPr>
        <w:ind w:left="709" w:right="709"/>
        <w:jc w:val="both"/>
        <w:rPr>
          <w:rFonts w:ascii="Arial" w:hAnsi="Arial" w:cs="Arial"/>
          <w:sz w:val="22"/>
          <w:lang w:val="es-ES"/>
        </w:rPr>
      </w:pPr>
    </w:p>
    <w:p w14:paraId="11A57679" w14:textId="75DA2DF6" w:rsidR="008A638F" w:rsidRPr="008A638F" w:rsidRDefault="008A638F" w:rsidP="008A638F">
      <w:pPr>
        <w:spacing w:line="276" w:lineRule="auto"/>
        <w:ind w:firstLine="709"/>
        <w:jc w:val="both"/>
        <w:rPr>
          <w:rFonts w:ascii="Arial" w:hAnsi="Arial" w:cs="Arial"/>
          <w:sz w:val="22"/>
          <w:lang w:val="es-ES"/>
        </w:rPr>
      </w:pPr>
      <w:bookmarkStart w:id="17" w:name="_Hlk45635981"/>
      <w:r>
        <w:rPr>
          <w:rFonts w:ascii="Arial" w:hAnsi="Arial" w:cs="Arial"/>
          <w:sz w:val="22"/>
          <w:lang w:val="es-ES"/>
        </w:rPr>
        <w:t>E</w:t>
      </w:r>
      <w:r w:rsidRPr="008A638F">
        <w:rPr>
          <w:rFonts w:ascii="Arial" w:hAnsi="Arial" w:cs="Arial"/>
          <w:sz w:val="22"/>
          <w:lang w:val="es-ES"/>
        </w:rPr>
        <w:t xml:space="preserve">l Decreto 1068 de 2015 –por medio del cual se </w:t>
      </w:r>
      <w:proofErr w:type="spellStart"/>
      <w:r w:rsidRPr="008A638F">
        <w:rPr>
          <w:rFonts w:ascii="Arial" w:hAnsi="Arial" w:cs="Arial"/>
          <w:sz w:val="22"/>
          <w:lang w:val="es-ES"/>
        </w:rPr>
        <w:t>expidio</w:t>
      </w:r>
      <w:proofErr w:type="spellEnd"/>
      <w:r w:rsidRPr="008A638F">
        <w:rPr>
          <w:rFonts w:ascii="Arial" w:hAnsi="Arial" w:cs="Arial"/>
          <w:sz w:val="22"/>
          <w:lang w:val="es-ES"/>
        </w:rPr>
        <w:t xml:space="preserve">́ el Decreto </w:t>
      </w:r>
      <w:proofErr w:type="spellStart"/>
      <w:r w:rsidRPr="008A638F">
        <w:rPr>
          <w:rFonts w:ascii="Arial" w:hAnsi="Arial" w:cs="Arial"/>
          <w:sz w:val="22"/>
          <w:lang w:val="es-ES"/>
        </w:rPr>
        <w:t>Único</w:t>
      </w:r>
      <w:proofErr w:type="spellEnd"/>
      <w:r w:rsidRPr="008A638F">
        <w:rPr>
          <w:rFonts w:ascii="Arial" w:hAnsi="Arial" w:cs="Arial"/>
          <w:sz w:val="22"/>
          <w:lang w:val="es-ES"/>
        </w:rPr>
        <w:t xml:space="preserve"> Reglamentario del Sector Hacienda y </w:t>
      </w:r>
      <w:proofErr w:type="spellStart"/>
      <w:r w:rsidRPr="008A638F">
        <w:rPr>
          <w:rFonts w:ascii="Arial" w:hAnsi="Arial" w:cs="Arial"/>
          <w:sz w:val="22"/>
          <w:lang w:val="es-ES"/>
        </w:rPr>
        <w:t>Crédito</w:t>
      </w:r>
      <w:proofErr w:type="spellEnd"/>
      <w:r w:rsidRPr="008A638F">
        <w:rPr>
          <w:rFonts w:ascii="Arial" w:hAnsi="Arial" w:cs="Arial"/>
          <w:sz w:val="22"/>
          <w:lang w:val="es-ES"/>
        </w:rPr>
        <w:t xml:space="preserve"> </w:t>
      </w:r>
      <w:proofErr w:type="spellStart"/>
      <w:r w:rsidRPr="008A638F">
        <w:rPr>
          <w:rFonts w:ascii="Arial" w:hAnsi="Arial" w:cs="Arial"/>
          <w:sz w:val="22"/>
          <w:lang w:val="es-ES"/>
        </w:rPr>
        <w:t>Público</w:t>
      </w:r>
      <w:proofErr w:type="spellEnd"/>
      <w:r w:rsidRPr="008A638F">
        <w:rPr>
          <w:rFonts w:ascii="Arial" w:hAnsi="Arial" w:cs="Arial"/>
          <w:sz w:val="22"/>
          <w:lang w:val="es-ES"/>
        </w:rPr>
        <w:t xml:space="preserve">, en su </w:t>
      </w:r>
      <w:proofErr w:type="spellStart"/>
      <w:r w:rsidRPr="008A638F">
        <w:rPr>
          <w:rFonts w:ascii="Arial" w:hAnsi="Arial" w:cs="Arial"/>
          <w:sz w:val="22"/>
          <w:lang w:val="es-ES"/>
        </w:rPr>
        <w:t>Título</w:t>
      </w:r>
      <w:proofErr w:type="spellEnd"/>
      <w:r w:rsidRPr="008A638F">
        <w:rPr>
          <w:rFonts w:ascii="Arial" w:hAnsi="Arial" w:cs="Arial"/>
          <w:sz w:val="22"/>
          <w:lang w:val="es-ES"/>
        </w:rPr>
        <w:t xml:space="preserve"> 4, de las «Medidas de Austeridad del Gasto </w:t>
      </w:r>
      <w:proofErr w:type="spellStart"/>
      <w:r w:rsidRPr="008A638F">
        <w:rPr>
          <w:rFonts w:ascii="Arial" w:hAnsi="Arial" w:cs="Arial"/>
          <w:sz w:val="22"/>
          <w:lang w:val="es-ES"/>
        </w:rPr>
        <w:t>Público</w:t>
      </w:r>
      <w:proofErr w:type="spellEnd"/>
      <w:r w:rsidRPr="008A638F">
        <w:rPr>
          <w:rFonts w:ascii="Arial" w:hAnsi="Arial" w:cs="Arial"/>
          <w:sz w:val="22"/>
          <w:lang w:val="es-ES"/>
        </w:rPr>
        <w:t xml:space="preserve">»– compiló el Decreto 1737 de 1998, incluidas las modificaciones del </w:t>
      </w:r>
      <w:proofErr w:type="spellStart"/>
      <w:r w:rsidRPr="008A638F">
        <w:rPr>
          <w:rFonts w:ascii="Arial" w:hAnsi="Arial" w:cs="Arial"/>
          <w:sz w:val="22"/>
          <w:lang w:val="es-ES"/>
        </w:rPr>
        <w:t>artículo</w:t>
      </w:r>
      <w:proofErr w:type="spellEnd"/>
      <w:r w:rsidRPr="008A638F">
        <w:rPr>
          <w:rFonts w:ascii="Arial" w:hAnsi="Arial" w:cs="Arial"/>
          <w:sz w:val="22"/>
          <w:lang w:val="es-ES"/>
        </w:rPr>
        <w:t xml:space="preserve"> 2 del Decreto 2209 de 1998, modificado por el </w:t>
      </w:r>
      <w:proofErr w:type="spellStart"/>
      <w:r w:rsidRPr="008A638F">
        <w:rPr>
          <w:rFonts w:ascii="Arial" w:hAnsi="Arial" w:cs="Arial"/>
          <w:sz w:val="22"/>
          <w:lang w:val="es-ES"/>
        </w:rPr>
        <w:t>artículo</w:t>
      </w:r>
      <w:proofErr w:type="spellEnd"/>
      <w:r w:rsidRPr="008A638F">
        <w:rPr>
          <w:rFonts w:ascii="Arial" w:hAnsi="Arial" w:cs="Arial"/>
          <w:sz w:val="22"/>
          <w:lang w:val="es-ES"/>
        </w:rPr>
        <w:t xml:space="preserve"> 1 del Decreto 2785 de 2011</w:t>
      </w:r>
      <w:bookmarkEnd w:id="17"/>
      <w:r w:rsidRPr="008A638F">
        <w:rPr>
          <w:rFonts w:ascii="Arial" w:hAnsi="Arial" w:cs="Arial"/>
          <w:sz w:val="22"/>
          <w:lang w:val="es-ES"/>
        </w:rPr>
        <w:t>.</w:t>
      </w:r>
    </w:p>
    <w:p w14:paraId="13BEB070" w14:textId="77777777" w:rsidR="008A638F" w:rsidRPr="008A638F" w:rsidRDefault="008A638F" w:rsidP="008A638F">
      <w:pPr>
        <w:spacing w:before="120" w:line="276" w:lineRule="auto"/>
        <w:ind w:firstLine="709"/>
        <w:jc w:val="both"/>
        <w:rPr>
          <w:rFonts w:ascii="Arial" w:hAnsi="Arial" w:cs="Arial"/>
          <w:sz w:val="22"/>
          <w:lang w:val="es-ES"/>
        </w:rPr>
      </w:pPr>
      <w:r w:rsidRPr="008A638F">
        <w:rPr>
          <w:rFonts w:ascii="Arial" w:hAnsi="Arial" w:cs="Arial"/>
          <w:sz w:val="22"/>
          <w:lang w:val="es-ES"/>
        </w:rPr>
        <w:t xml:space="preserve">Este Decreto, </w:t>
      </w:r>
      <w:bookmarkStart w:id="18" w:name="_Hlk46492478"/>
      <w:r w:rsidRPr="008A638F">
        <w:rPr>
          <w:rFonts w:ascii="Arial" w:hAnsi="Arial" w:cs="Arial"/>
          <w:sz w:val="22"/>
          <w:lang w:val="es-ES"/>
        </w:rPr>
        <w:t xml:space="preserve">en el </w:t>
      </w:r>
      <w:proofErr w:type="spellStart"/>
      <w:r w:rsidRPr="008A638F">
        <w:rPr>
          <w:rFonts w:ascii="Arial" w:hAnsi="Arial" w:cs="Arial"/>
          <w:sz w:val="22"/>
          <w:lang w:val="es-ES"/>
        </w:rPr>
        <w:t>artículo</w:t>
      </w:r>
      <w:proofErr w:type="spellEnd"/>
      <w:r w:rsidRPr="008A638F">
        <w:rPr>
          <w:rFonts w:ascii="Arial" w:hAnsi="Arial" w:cs="Arial"/>
          <w:sz w:val="22"/>
          <w:lang w:val="es-ES"/>
        </w:rPr>
        <w:t xml:space="preserve"> 2.8.4.1.1., dispone que «Se sujetan a la </w:t>
      </w:r>
      <w:proofErr w:type="spellStart"/>
      <w:r w:rsidRPr="008A638F">
        <w:rPr>
          <w:rFonts w:ascii="Arial" w:hAnsi="Arial" w:cs="Arial"/>
          <w:sz w:val="22"/>
          <w:lang w:val="es-ES"/>
        </w:rPr>
        <w:t>regulación</w:t>
      </w:r>
      <w:proofErr w:type="spellEnd"/>
      <w:r w:rsidRPr="008A638F">
        <w:rPr>
          <w:rFonts w:ascii="Arial" w:hAnsi="Arial" w:cs="Arial"/>
          <w:sz w:val="22"/>
          <w:lang w:val="es-ES"/>
        </w:rPr>
        <w:t xml:space="preserve"> de este </w:t>
      </w:r>
      <w:proofErr w:type="spellStart"/>
      <w:r w:rsidRPr="008A638F">
        <w:rPr>
          <w:rFonts w:ascii="Arial" w:hAnsi="Arial" w:cs="Arial"/>
          <w:sz w:val="22"/>
          <w:lang w:val="es-ES"/>
        </w:rPr>
        <w:t>título</w:t>
      </w:r>
      <w:proofErr w:type="spellEnd"/>
      <w:r w:rsidRPr="008A638F">
        <w:rPr>
          <w:rFonts w:ascii="Arial" w:hAnsi="Arial" w:cs="Arial"/>
          <w:sz w:val="22"/>
          <w:lang w:val="es-ES"/>
        </w:rPr>
        <w:t xml:space="preserve">, salvo en lo expresamente exceptuando, los organismos, entidades, entes </w:t>
      </w:r>
      <w:proofErr w:type="spellStart"/>
      <w:r w:rsidRPr="008A638F">
        <w:rPr>
          <w:rFonts w:ascii="Arial" w:hAnsi="Arial" w:cs="Arial"/>
          <w:sz w:val="22"/>
          <w:lang w:val="es-ES"/>
        </w:rPr>
        <w:t>públicos</w:t>
      </w:r>
      <w:proofErr w:type="spellEnd"/>
      <w:r w:rsidRPr="008A638F">
        <w:rPr>
          <w:rFonts w:ascii="Arial" w:hAnsi="Arial" w:cs="Arial"/>
          <w:sz w:val="22"/>
          <w:lang w:val="es-ES"/>
        </w:rPr>
        <w:t xml:space="preserve">, y personas </w:t>
      </w:r>
      <w:proofErr w:type="spellStart"/>
      <w:r w:rsidRPr="008A638F">
        <w:rPr>
          <w:rFonts w:ascii="Arial" w:hAnsi="Arial" w:cs="Arial"/>
          <w:sz w:val="22"/>
          <w:lang w:val="es-ES"/>
        </w:rPr>
        <w:t>jurídicas</w:t>
      </w:r>
      <w:proofErr w:type="spellEnd"/>
      <w:r w:rsidRPr="008A638F">
        <w:rPr>
          <w:rFonts w:ascii="Arial" w:hAnsi="Arial" w:cs="Arial"/>
          <w:sz w:val="22"/>
          <w:lang w:val="es-ES"/>
        </w:rPr>
        <w:t xml:space="preserve"> que financien sus gastos con recursos del Tesoro </w:t>
      </w:r>
      <w:proofErr w:type="spellStart"/>
      <w:r w:rsidRPr="008A638F">
        <w:rPr>
          <w:rFonts w:ascii="Arial" w:hAnsi="Arial" w:cs="Arial"/>
          <w:sz w:val="22"/>
          <w:lang w:val="es-ES"/>
        </w:rPr>
        <w:t>Público</w:t>
      </w:r>
      <w:proofErr w:type="spellEnd"/>
      <w:r w:rsidRPr="008A638F">
        <w:rPr>
          <w:rFonts w:ascii="Arial" w:hAnsi="Arial" w:cs="Arial"/>
          <w:sz w:val="22"/>
          <w:lang w:val="es-ES"/>
        </w:rPr>
        <w:t>. Art. 1 Decreto 1737 de 1998)». Aunque el inciso 2 del artículo 128 de la Constitución Política dispone que el tesoro público comprende el de la Nación, el de las entidades territoriales y el de las descentralizadas, es necesario considerar que –conforme al artículo 287.3 de la Constitución Política– las entidades territoriales son autónomas para administrar sus recursos</w:t>
      </w:r>
      <w:r w:rsidRPr="008A638F">
        <w:rPr>
          <w:rStyle w:val="Refdenotaalpie"/>
          <w:rFonts w:ascii="Arial" w:hAnsi="Arial" w:cs="Arial"/>
          <w:sz w:val="22"/>
          <w:lang w:val="es-ES"/>
        </w:rPr>
        <w:footnoteReference w:id="1"/>
      </w:r>
      <w:r w:rsidRPr="008A638F">
        <w:rPr>
          <w:rFonts w:ascii="Arial" w:hAnsi="Arial" w:cs="Arial"/>
          <w:sz w:val="22"/>
          <w:lang w:val="es-ES"/>
        </w:rPr>
        <w:t xml:space="preserve">. En esta medida, a las entidades territoriales no les aplica directamente el límite </w:t>
      </w:r>
      <w:r w:rsidRPr="008A638F">
        <w:rPr>
          <w:rFonts w:ascii="Arial" w:hAnsi="Arial" w:cs="Arial"/>
          <w:sz w:val="22"/>
          <w:lang w:val="es-ES"/>
        </w:rPr>
        <w:lastRenderedPageBreak/>
        <w:t xml:space="preserve">dispuesto en las normas citadas, pues depende de que lo incluyan en sus normas presupuestales. </w:t>
      </w:r>
    </w:p>
    <w:p w14:paraId="1583802C" w14:textId="39AB2681" w:rsidR="008A638F" w:rsidRPr="008A638F" w:rsidRDefault="008A638F" w:rsidP="008A638F">
      <w:pPr>
        <w:spacing w:before="120" w:line="276" w:lineRule="auto"/>
        <w:ind w:firstLine="709"/>
        <w:jc w:val="both"/>
        <w:rPr>
          <w:rFonts w:ascii="Arial" w:hAnsi="Arial" w:cs="Arial"/>
          <w:sz w:val="22"/>
          <w:lang w:val="es-ES"/>
        </w:rPr>
      </w:pPr>
      <w:bookmarkStart w:id="19" w:name="_Hlk45636056"/>
      <w:r w:rsidRPr="008A638F">
        <w:rPr>
          <w:rFonts w:ascii="Arial" w:hAnsi="Arial" w:cs="Arial"/>
          <w:sz w:val="22"/>
          <w:lang w:val="es-ES"/>
        </w:rPr>
        <w:t xml:space="preserve">Por ello, el Decreto 1068 de 2015, en el artículo 2.8.4.1.2, dispone que «Las entidades territoriales </w:t>
      </w:r>
      <w:proofErr w:type="spellStart"/>
      <w:r w:rsidRPr="008A638F">
        <w:rPr>
          <w:rFonts w:ascii="Arial" w:hAnsi="Arial" w:cs="Arial"/>
          <w:sz w:val="22"/>
          <w:lang w:val="es-ES"/>
        </w:rPr>
        <w:t>adoptarán</w:t>
      </w:r>
      <w:proofErr w:type="spellEnd"/>
      <w:r w:rsidRPr="008A638F">
        <w:rPr>
          <w:rFonts w:ascii="Arial" w:hAnsi="Arial" w:cs="Arial"/>
          <w:sz w:val="22"/>
          <w:lang w:val="es-ES"/>
        </w:rPr>
        <w:t xml:space="preserve"> medidas equivalentes a las </w:t>
      </w:r>
      <w:proofErr w:type="spellStart"/>
      <w:r w:rsidRPr="008A638F">
        <w:rPr>
          <w:rFonts w:ascii="Arial" w:hAnsi="Arial" w:cs="Arial"/>
          <w:sz w:val="22"/>
          <w:lang w:val="es-ES"/>
        </w:rPr>
        <w:t>aqui</w:t>
      </w:r>
      <w:proofErr w:type="spellEnd"/>
      <w:r w:rsidRPr="008A638F">
        <w:rPr>
          <w:rFonts w:ascii="Arial" w:hAnsi="Arial" w:cs="Arial"/>
          <w:sz w:val="22"/>
          <w:lang w:val="es-ES"/>
        </w:rPr>
        <w:t xml:space="preserve">́ dispuestas en sus organizaciones administrativas. (Art. 2 Decreto 1737 de 1998)». Esto implica que el Decreto 1068 de 2015 –es decir, el Decreto 1737 de 1998, con sus modificaciones– aplica a los organismos, entidades, entes </w:t>
      </w:r>
      <w:proofErr w:type="spellStart"/>
      <w:r w:rsidRPr="008A638F">
        <w:rPr>
          <w:rFonts w:ascii="Arial" w:hAnsi="Arial" w:cs="Arial"/>
          <w:sz w:val="22"/>
          <w:lang w:val="es-ES"/>
        </w:rPr>
        <w:t>públicos</w:t>
      </w:r>
      <w:proofErr w:type="spellEnd"/>
      <w:r w:rsidRPr="008A638F">
        <w:rPr>
          <w:rFonts w:ascii="Arial" w:hAnsi="Arial" w:cs="Arial"/>
          <w:sz w:val="22"/>
          <w:lang w:val="es-ES"/>
        </w:rPr>
        <w:t xml:space="preserve"> y personas </w:t>
      </w:r>
      <w:proofErr w:type="spellStart"/>
      <w:r w:rsidRPr="008A638F">
        <w:rPr>
          <w:rFonts w:ascii="Arial" w:hAnsi="Arial" w:cs="Arial"/>
          <w:sz w:val="22"/>
          <w:lang w:val="es-ES"/>
        </w:rPr>
        <w:t>jurídicas</w:t>
      </w:r>
      <w:proofErr w:type="spellEnd"/>
      <w:r w:rsidRPr="008A638F">
        <w:rPr>
          <w:rFonts w:ascii="Arial" w:hAnsi="Arial" w:cs="Arial"/>
          <w:sz w:val="22"/>
          <w:lang w:val="es-ES"/>
        </w:rPr>
        <w:t xml:space="preserve"> que financien sus gastos con recursos del tesoro público de la nación, sin in</w:t>
      </w:r>
      <w:r w:rsidR="00B17B4C">
        <w:rPr>
          <w:rFonts w:ascii="Arial" w:hAnsi="Arial" w:cs="Arial"/>
          <w:sz w:val="22"/>
          <w:lang w:val="es-ES"/>
        </w:rPr>
        <w:t>cl</w:t>
      </w:r>
      <w:r w:rsidRPr="008A638F">
        <w:rPr>
          <w:rFonts w:ascii="Arial" w:hAnsi="Arial" w:cs="Arial"/>
          <w:sz w:val="22"/>
          <w:lang w:val="es-ES"/>
        </w:rPr>
        <w:t>uir a las entidades territoriales</w:t>
      </w:r>
      <w:bookmarkEnd w:id="19"/>
      <w:r w:rsidRPr="008A638F">
        <w:rPr>
          <w:rFonts w:ascii="Arial" w:hAnsi="Arial" w:cs="Arial"/>
          <w:sz w:val="22"/>
          <w:lang w:val="es-ES"/>
        </w:rPr>
        <w:t>.</w:t>
      </w:r>
    </w:p>
    <w:bookmarkEnd w:id="18"/>
    <w:p w14:paraId="70D8D666" w14:textId="77777777" w:rsidR="008A638F" w:rsidRPr="008A638F" w:rsidRDefault="008A638F" w:rsidP="008A638F">
      <w:pPr>
        <w:spacing w:before="120" w:line="276" w:lineRule="auto"/>
        <w:ind w:firstLine="709"/>
        <w:jc w:val="both"/>
        <w:rPr>
          <w:rFonts w:ascii="Arial" w:hAnsi="Arial" w:cs="Arial"/>
          <w:sz w:val="22"/>
          <w:lang w:val="es-ES"/>
        </w:rPr>
      </w:pPr>
      <w:r w:rsidRPr="008A638F">
        <w:rPr>
          <w:rFonts w:ascii="Arial" w:hAnsi="Arial" w:cs="Arial"/>
          <w:sz w:val="22"/>
          <w:lang w:val="es-ES"/>
        </w:rPr>
        <w:t xml:space="preserve">Precisado el campo de aplicación de la restricción que se viene comentando, el Decreto 1068 de 2015, en el </w:t>
      </w:r>
      <w:proofErr w:type="spellStart"/>
      <w:r w:rsidRPr="008A638F">
        <w:rPr>
          <w:rFonts w:ascii="Arial" w:hAnsi="Arial" w:cs="Arial"/>
          <w:sz w:val="22"/>
          <w:lang w:val="es-ES"/>
        </w:rPr>
        <w:t>artículo</w:t>
      </w:r>
      <w:proofErr w:type="spellEnd"/>
      <w:r w:rsidRPr="008A638F">
        <w:rPr>
          <w:rFonts w:ascii="Arial" w:hAnsi="Arial" w:cs="Arial"/>
          <w:sz w:val="22"/>
          <w:lang w:val="es-ES"/>
        </w:rPr>
        <w:t xml:space="preserve"> 2.8.4.4.6, establece reglas particulares para suscribir contratos de </w:t>
      </w:r>
      <w:proofErr w:type="spellStart"/>
      <w:r w:rsidRPr="008A638F">
        <w:rPr>
          <w:rFonts w:ascii="Arial" w:hAnsi="Arial" w:cs="Arial"/>
          <w:sz w:val="22"/>
          <w:lang w:val="es-ES"/>
        </w:rPr>
        <w:t>prestación</w:t>
      </w:r>
      <w:proofErr w:type="spellEnd"/>
      <w:r w:rsidRPr="008A638F">
        <w:rPr>
          <w:rFonts w:ascii="Arial" w:hAnsi="Arial" w:cs="Arial"/>
          <w:sz w:val="22"/>
          <w:lang w:val="es-ES"/>
        </w:rPr>
        <w:t xml:space="preserve"> de servicios personales «calificados» y «altamente calificados»:</w:t>
      </w:r>
    </w:p>
    <w:p w14:paraId="49A5ECA8" w14:textId="77777777" w:rsidR="008A638F" w:rsidRPr="008A638F" w:rsidRDefault="008A638F" w:rsidP="008A638F">
      <w:pPr>
        <w:ind w:left="709" w:right="709"/>
        <w:jc w:val="both"/>
        <w:rPr>
          <w:rFonts w:ascii="Arial" w:hAnsi="Arial" w:cs="Arial"/>
          <w:sz w:val="22"/>
          <w:lang w:val="es-ES"/>
        </w:rPr>
      </w:pPr>
    </w:p>
    <w:p w14:paraId="7D74CE8E"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w:t>
      </w:r>
      <w:bookmarkStart w:id="20" w:name="_Hlk46073370"/>
      <w:r w:rsidRPr="008A638F">
        <w:rPr>
          <w:rFonts w:ascii="Arial" w:hAnsi="Arial" w:cs="Arial"/>
          <w:sz w:val="21"/>
          <w:szCs w:val="21"/>
          <w:lang w:val="es-ES"/>
        </w:rPr>
        <w:t>2.8.4.4.6</w:t>
      </w:r>
      <w:bookmarkEnd w:id="20"/>
      <w:r w:rsidRPr="008A638F">
        <w:rPr>
          <w:rFonts w:ascii="Arial" w:hAnsi="Arial" w:cs="Arial"/>
          <w:sz w:val="21"/>
          <w:szCs w:val="21"/>
          <w:lang w:val="es-ES"/>
        </w:rPr>
        <w:t xml:space="preserve">. </w:t>
      </w:r>
      <w:bookmarkStart w:id="21" w:name="_Hlk45878347"/>
      <w:proofErr w:type="spellStart"/>
      <w:r w:rsidRPr="008A638F">
        <w:rPr>
          <w:rFonts w:ascii="Arial" w:hAnsi="Arial" w:cs="Arial"/>
          <w:sz w:val="21"/>
          <w:szCs w:val="21"/>
          <w:lang w:val="es-ES"/>
        </w:rPr>
        <w:t>Prohibición</w:t>
      </w:r>
      <w:proofErr w:type="spellEnd"/>
      <w:r w:rsidRPr="008A638F">
        <w:rPr>
          <w:rFonts w:ascii="Arial" w:hAnsi="Arial" w:cs="Arial"/>
          <w:sz w:val="21"/>
          <w:szCs w:val="21"/>
          <w:lang w:val="es-ES"/>
        </w:rPr>
        <w:t xml:space="preserve"> de contratar </w:t>
      </w:r>
      <w:proofErr w:type="spellStart"/>
      <w:r w:rsidRPr="008A638F">
        <w:rPr>
          <w:rFonts w:ascii="Arial" w:hAnsi="Arial" w:cs="Arial"/>
          <w:sz w:val="21"/>
          <w:szCs w:val="21"/>
          <w:lang w:val="es-ES"/>
        </w:rPr>
        <w:t>prestación</w:t>
      </w:r>
      <w:proofErr w:type="spellEnd"/>
      <w:r w:rsidRPr="008A638F">
        <w:rPr>
          <w:rFonts w:ascii="Arial" w:hAnsi="Arial" w:cs="Arial"/>
          <w:sz w:val="21"/>
          <w:szCs w:val="21"/>
          <w:lang w:val="es-ES"/>
        </w:rPr>
        <w:t xml:space="preserve"> de servicios de forma continua</w:t>
      </w:r>
      <w:bookmarkEnd w:id="21"/>
      <w:r w:rsidRPr="008A638F">
        <w:rPr>
          <w:rFonts w:ascii="Arial" w:hAnsi="Arial" w:cs="Arial"/>
          <w:sz w:val="21"/>
          <w:szCs w:val="21"/>
          <w:lang w:val="es-ES"/>
        </w:rPr>
        <w:t xml:space="preserve">. Está prohibido el pacto de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para pago de servicios personales calificados con personas naturales, o </w:t>
      </w:r>
      <w:proofErr w:type="spellStart"/>
      <w:r w:rsidRPr="008A638F">
        <w:rPr>
          <w:rFonts w:ascii="Arial" w:hAnsi="Arial" w:cs="Arial"/>
          <w:sz w:val="21"/>
          <w:szCs w:val="21"/>
          <w:lang w:val="es-ES"/>
        </w:rPr>
        <w:t>jurídicas</w:t>
      </w:r>
      <w:proofErr w:type="spellEnd"/>
      <w:r w:rsidRPr="008A638F">
        <w:rPr>
          <w:rFonts w:ascii="Arial" w:hAnsi="Arial" w:cs="Arial"/>
          <w:sz w:val="21"/>
          <w:szCs w:val="21"/>
          <w:lang w:val="es-ES"/>
        </w:rPr>
        <w:t xml:space="preserve">, </w:t>
      </w:r>
      <w:bookmarkStart w:id="22" w:name="_Hlk45696671"/>
      <w:r w:rsidRPr="008A638F">
        <w:rPr>
          <w:rFonts w:ascii="Arial" w:hAnsi="Arial" w:cs="Arial"/>
          <w:sz w:val="21"/>
          <w:szCs w:val="21"/>
          <w:lang w:val="es-ES"/>
        </w:rPr>
        <w:t xml:space="preserve">encaminados a la </w:t>
      </w:r>
      <w:proofErr w:type="spellStart"/>
      <w:r w:rsidRPr="008A638F">
        <w:rPr>
          <w:rFonts w:ascii="Arial" w:hAnsi="Arial" w:cs="Arial"/>
          <w:sz w:val="21"/>
          <w:szCs w:val="21"/>
          <w:lang w:val="es-ES"/>
        </w:rPr>
        <w:t>prestación</w:t>
      </w:r>
      <w:proofErr w:type="spellEnd"/>
      <w:r w:rsidRPr="008A638F">
        <w:rPr>
          <w:rFonts w:ascii="Arial" w:hAnsi="Arial" w:cs="Arial"/>
          <w:sz w:val="21"/>
          <w:szCs w:val="21"/>
          <w:lang w:val="es-ES"/>
        </w:rPr>
        <w:t xml:space="preserve"> de servicios en forma continua para atender asuntos propios de la respectiva entidad</w:t>
      </w:r>
      <w:bookmarkEnd w:id="22"/>
      <w:r w:rsidRPr="008A638F">
        <w:rPr>
          <w:rFonts w:ascii="Arial" w:hAnsi="Arial" w:cs="Arial"/>
          <w:sz w:val="21"/>
          <w:szCs w:val="21"/>
          <w:lang w:val="es-ES"/>
        </w:rPr>
        <w:t xml:space="preserve">, por valor mensual superior a la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total mensual establecida para el jefe de la entidad.</w:t>
      </w:r>
    </w:p>
    <w:p w14:paraId="05252283"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1°. Se entiende por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total mensual del jefe de la entidad, la que corresponda a este en cada uno de dichos </w:t>
      </w:r>
      <w:proofErr w:type="spellStart"/>
      <w:r w:rsidRPr="008A638F">
        <w:rPr>
          <w:rFonts w:ascii="Arial" w:hAnsi="Arial" w:cs="Arial"/>
          <w:sz w:val="21"/>
          <w:szCs w:val="21"/>
          <w:lang w:val="es-ES"/>
        </w:rPr>
        <w:t>períodos</w:t>
      </w:r>
      <w:proofErr w:type="spellEnd"/>
      <w:r w:rsidRPr="008A638F">
        <w:rPr>
          <w:rFonts w:ascii="Arial" w:hAnsi="Arial" w:cs="Arial"/>
          <w:sz w:val="21"/>
          <w:szCs w:val="21"/>
          <w:lang w:val="es-ES"/>
        </w:rPr>
        <w:t xml:space="preserve">, sin que en </w:t>
      </w:r>
      <w:proofErr w:type="spellStart"/>
      <w:r w:rsidRPr="008A638F">
        <w:rPr>
          <w:rFonts w:ascii="Arial" w:hAnsi="Arial" w:cs="Arial"/>
          <w:sz w:val="21"/>
          <w:szCs w:val="21"/>
          <w:lang w:val="es-ES"/>
        </w:rPr>
        <w:t>ningún</w:t>
      </w:r>
      <w:proofErr w:type="spellEnd"/>
      <w:r w:rsidRPr="008A638F">
        <w:rPr>
          <w:rFonts w:ascii="Arial" w:hAnsi="Arial" w:cs="Arial"/>
          <w:sz w:val="21"/>
          <w:szCs w:val="21"/>
          <w:lang w:val="es-ES"/>
        </w:rPr>
        <w:t xml:space="preserve"> caso puedan tenerse en </w:t>
      </w:r>
      <w:proofErr w:type="spellStart"/>
      <w:r w:rsidRPr="008A638F">
        <w:rPr>
          <w:rFonts w:ascii="Arial" w:hAnsi="Arial" w:cs="Arial"/>
          <w:sz w:val="21"/>
          <w:szCs w:val="21"/>
          <w:lang w:val="es-ES"/>
        </w:rPr>
        <w:t>consideración</w:t>
      </w:r>
      <w:proofErr w:type="spellEnd"/>
      <w:r w:rsidRPr="008A638F">
        <w:rPr>
          <w:rFonts w:ascii="Arial" w:hAnsi="Arial" w:cs="Arial"/>
          <w:sz w:val="21"/>
          <w:szCs w:val="21"/>
          <w:lang w:val="es-ES"/>
        </w:rPr>
        <w:t xml:space="preserve"> los factores prestacionales.</w:t>
      </w:r>
    </w:p>
    <w:p w14:paraId="7CA9B80E"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2°. Los servicios a que hace referencia el presente </w:t>
      </w: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corresponden exclusivamente a aquellos comprendidos en el concepto de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servicios </w:t>
      </w:r>
      <w:proofErr w:type="spellStart"/>
      <w:r w:rsidRPr="008A638F">
        <w:rPr>
          <w:rFonts w:ascii="Arial" w:hAnsi="Arial" w:cs="Arial"/>
          <w:sz w:val="21"/>
          <w:szCs w:val="21"/>
          <w:lang w:val="es-ES"/>
        </w:rPr>
        <w:t>técnicos</w:t>
      </w:r>
      <w:proofErr w:type="spellEnd"/>
      <w:r w:rsidRPr="008A638F">
        <w:rPr>
          <w:rFonts w:ascii="Arial" w:hAnsi="Arial" w:cs="Arial"/>
          <w:sz w:val="21"/>
          <w:szCs w:val="21"/>
          <w:lang w:val="es-ES"/>
        </w:rPr>
        <w:t xml:space="preserve">» desarrollado en el decreto de </w:t>
      </w:r>
      <w:proofErr w:type="spellStart"/>
      <w:r w:rsidRPr="008A638F">
        <w:rPr>
          <w:rFonts w:ascii="Arial" w:hAnsi="Arial" w:cs="Arial"/>
          <w:sz w:val="21"/>
          <w:szCs w:val="21"/>
          <w:lang w:val="es-ES"/>
        </w:rPr>
        <w:t>liquidación</w:t>
      </w:r>
      <w:proofErr w:type="spellEnd"/>
      <w:r w:rsidRPr="008A638F">
        <w:rPr>
          <w:rFonts w:ascii="Arial" w:hAnsi="Arial" w:cs="Arial"/>
          <w:sz w:val="21"/>
          <w:szCs w:val="21"/>
          <w:lang w:val="es-ES"/>
        </w:rPr>
        <w:t xml:space="preserve"> del presupuesto general de la </w:t>
      </w:r>
      <w:proofErr w:type="spellStart"/>
      <w:r w:rsidRPr="008A638F">
        <w:rPr>
          <w:rFonts w:ascii="Arial" w:hAnsi="Arial" w:cs="Arial"/>
          <w:sz w:val="21"/>
          <w:szCs w:val="21"/>
          <w:lang w:val="es-ES"/>
        </w:rPr>
        <w:t>Nación</w:t>
      </w:r>
      <w:proofErr w:type="spellEnd"/>
      <w:r w:rsidRPr="008A638F">
        <w:rPr>
          <w:rFonts w:ascii="Arial" w:hAnsi="Arial" w:cs="Arial"/>
          <w:sz w:val="21"/>
          <w:szCs w:val="21"/>
          <w:lang w:val="es-ES"/>
        </w:rPr>
        <w:t>, con independencia del presupuesto con cargo al cual se realice su pago.</w:t>
      </w:r>
    </w:p>
    <w:p w14:paraId="1606E155"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3°. De manera excepcional, para aquellos eventos en los que se requiera contratar servicios altamente calificados, </w:t>
      </w:r>
      <w:proofErr w:type="spellStart"/>
      <w:r w:rsidRPr="008A638F">
        <w:rPr>
          <w:rFonts w:ascii="Arial" w:hAnsi="Arial" w:cs="Arial"/>
          <w:sz w:val="21"/>
          <w:szCs w:val="21"/>
          <w:lang w:val="es-ES"/>
        </w:rPr>
        <w:t>podrán</w:t>
      </w:r>
      <w:proofErr w:type="spellEnd"/>
      <w:r w:rsidRPr="008A638F">
        <w:rPr>
          <w:rFonts w:ascii="Arial" w:hAnsi="Arial" w:cs="Arial"/>
          <w:sz w:val="21"/>
          <w:szCs w:val="21"/>
          <w:lang w:val="es-ES"/>
        </w:rPr>
        <w:t xml:space="preserve"> pactarse honorarios superiores a la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total mensual establecida para el jefe de la entidad, los cuales no </w:t>
      </w:r>
      <w:proofErr w:type="spellStart"/>
      <w:r w:rsidRPr="008A638F">
        <w:rPr>
          <w:rFonts w:ascii="Arial" w:hAnsi="Arial" w:cs="Arial"/>
          <w:sz w:val="21"/>
          <w:szCs w:val="21"/>
          <w:lang w:val="es-ES"/>
        </w:rPr>
        <w:t>podrán</w:t>
      </w:r>
      <w:proofErr w:type="spellEnd"/>
      <w:r w:rsidRPr="008A638F">
        <w:rPr>
          <w:rFonts w:ascii="Arial" w:hAnsi="Arial" w:cs="Arial"/>
          <w:sz w:val="21"/>
          <w:szCs w:val="21"/>
          <w:lang w:val="es-ES"/>
        </w:rPr>
        <w:t xml:space="preserve"> exceder del valor total mensual de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del jefe de la entidad incluidos los factores prestacionales y las contribuciones inherentes a la </w:t>
      </w:r>
      <w:proofErr w:type="spellStart"/>
      <w:r w:rsidRPr="008A638F">
        <w:rPr>
          <w:rFonts w:ascii="Arial" w:hAnsi="Arial" w:cs="Arial"/>
          <w:sz w:val="21"/>
          <w:szCs w:val="21"/>
          <w:lang w:val="es-ES"/>
        </w:rPr>
        <w:t>nómina</w:t>
      </w:r>
      <w:proofErr w:type="spellEnd"/>
      <w:r w:rsidRPr="008A638F">
        <w:rPr>
          <w:rFonts w:ascii="Arial" w:hAnsi="Arial" w:cs="Arial"/>
          <w:sz w:val="21"/>
          <w:szCs w:val="21"/>
          <w:lang w:val="es-ES"/>
        </w:rPr>
        <w:t>, relacionadas con seguridad social y parafiscales a cargo del empleador.</w:t>
      </w:r>
    </w:p>
    <w:p w14:paraId="20FF3141"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t xml:space="preserve">En estos eventos el Representante Legal de la entidad </w:t>
      </w:r>
      <w:proofErr w:type="spellStart"/>
      <w:r w:rsidRPr="008A638F">
        <w:rPr>
          <w:rFonts w:ascii="Arial" w:hAnsi="Arial" w:cs="Arial"/>
          <w:sz w:val="21"/>
          <w:szCs w:val="21"/>
          <w:lang w:val="es-ES"/>
        </w:rPr>
        <w:t>debera</w:t>
      </w:r>
      <w:proofErr w:type="spellEnd"/>
      <w:r w:rsidRPr="008A638F">
        <w:rPr>
          <w:rFonts w:ascii="Arial" w:hAnsi="Arial" w:cs="Arial"/>
          <w:sz w:val="21"/>
          <w:szCs w:val="21"/>
          <w:lang w:val="es-ES"/>
        </w:rPr>
        <w:t xml:space="preserve">́ certificar el cumplimiento de los siguientes aspectos: 1. Justificar la necesidad del servicio personal altamente calificado. 2. Indicar las </w:t>
      </w:r>
      <w:proofErr w:type="spellStart"/>
      <w:r w:rsidRPr="008A638F">
        <w:rPr>
          <w:rFonts w:ascii="Arial" w:hAnsi="Arial" w:cs="Arial"/>
          <w:sz w:val="21"/>
          <w:szCs w:val="21"/>
          <w:lang w:val="es-ES"/>
        </w:rPr>
        <w:t>características</w:t>
      </w:r>
      <w:proofErr w:type="spellEnd"/>
      <w:r w:rsidRPr="008A638F">
        <w:rPr>
          <w:rFonts w:ascii="Arial" w:hAnsi="Arial" w:cs="Arial"/>
          <w:sz w:val="21"/>
          <w:szCs w:val="21"/>
          <w:lang w:val="es-ES"/>
        </w:rPr>
        <w:t xml:space="preserve"> y calidades </w:t>
      </w:r>
      <w:proofErr w:type="spellStart"/>
      <w:r w:rsidRPr="008A638F">
        <w:rPr>
          <w:rFonts w:ascii="Arial" w:hAnsi="Arial" w:cs="Arial"/>
          <w:sz w:val="21"/>
          <w:szCs w:val="21"/>
          <w:lang w:val="es-ES"/>
        </w:rPr>
        <w:t>específicas</w:t>
      </w:r>
      <w:proofErr w:type="spellEnd"/>
      <w:r w:rsidRPr="008A638F">
        <w:rPr>
          <w:rFonts w:ascii="Arial" w:hAnsi="Arial" w:cs="Arial"/>
          <w:sz w:val="21"/>
          <w:szCs w:val="21"/>
          <w:lang w:val="es-ES"/>
        </w:rPr>
        <w:t xml:space="preserve">, altamente calificadas, que </w:t>
      </w:r>
      <w:proofErr w:type="spellStart"/>
      <w:r w:rsidRPr="008A638F">
        <w:rPr>
          <w:rFonts w:ascii="Arial" w:hAnsi="Arial" w:cs="Arial"/>
          <w:sz w:val="21"/>
          <w:szCs w:val="21"/>
          <w:lang w:val="es-ES"/>
        </w:rPr>
        <w:t>reúne</w:t>
      </w:r>
      <w:proofErr w:type="spellEnd"/>
      <w:r w:rsidRPr="008A638F">
        <w:rPr>
          <w:rFonts w:ascii="Arial" w:hAnsi="Arial" w:cs="Arial"/>
          <w:sz w:val="21"/>
          <w:szCs w:val="21"/>
          <w:lang w:val="es-ES"/>
        </w:rPr>
        <w:t xml:space="preserve"> el contratista para la </w:t>
      </w:r>
      <w:proofErr w:type="spellStart"/>
      <w:r w:rsidRPr="008A638F">
        <w:rPr>
          <w:rFonts w:ascii="Arial" w:hAnsi="Arial" w:cs="Arial"/>
          <w:sz w:val="21"/>
          <w:szCs w:val="21"/>
          <w:lang w:val="es-ES"/>
        </w:rPr>
        <w:t>ejecución</w:t>
      </w:r>
      <w:proofErr w:type="spellEnd"/>
      <w:r w:rsidRPr="008A638F">
        <w:rPr>
          <w:rFonts w:ascii="Arial" w:hAnsi="Arial" w:cs="Arial"/>
          <w:sz w:val="21"/>
          <w:szCs w:val="21"/>
          <w:lang w:val="es-ES"/>
        </w:rPr>
        <w:t xml:space="preserve"> del contrato, y 3. Determinar las </w:t>
      </w:r>
      <w:proofErr w:type="spellStart"/>
      <w:r w:rsidRPr="008A638F">
        <w:rPr>
          <w:rFonts w:ascii="Arial" w:hAnsi="Arial" w:cs="Arial"/>
          <w:sz w:val="21"/>
          <w:szCs w:val="21"/>
          <w:lang w:val="es-ES"/>
        </w:rPr>
        <w:t>características</w:t>
      </w:r>
      <w:proofErr w:type="spellEnd"/>
      <w:r w:rsidRPr="008A638F">
        <w:rPr>
          <w:rFonts w:ascii="Arial" w:hAnsi="Arial" w:cs="Arial"/>
          <w:sz w:val="21"/>
          <w:szCs w:val="21"/>
          <w:lang w:val="es-ES"/>
        </w:rPr>
        <w:t xml:space="preserve"> de los productos y/o servicios que se espera obtener.</w:t>
      </w:r>
    </w:p>
    <w:p w14:paraId="79114701"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lastRenderedPageBreak/>
        <w:t>Parágrafo</w:t>
      </w:r>
      <w:proofErr w:type="spellEnd"/>
      <w:r w:rsidRPr="008A638F">
        <w:rPr>
          <w:rFonts w:ascii="Arial" w:hAnsi="Arial" w:cs="Arial"/>
          <w:sz w:val="21"/>
          <w:szCs w:val="21"/>
          <w:lang w:val="es-ES"/>
        </w:rPr>
        <w:t xml:space="preserve"> 4°. Se entiende por servicios altamente calificados aquellos requeridos en situaciones de alto nivel de especialidad, complejidad y detalle.</w:t>
      </w:r>
    </w:p>
    <w:p w14:paraId="26DDDAA4" w14:textId="77777777" w:rsidR="008A638F" w:rsidRPr="008A638F" w:rsidRDefault="008A638F" w:rsidP="008A638F">
      <w:pPr>
        <w:ind w:left="709" w:right="709"/>
        <w:jc w:val="both"/>
        <w:rPr>
          <w:rFonts w:ascii="Arial" w:hAnsi="Arial" w:cs="Arial"/>
          <w:sz w:val="21"/>
          <w:szCs w:val="21"/>
          <w:lang w:val="es-ES"/>
        </w:rPr>
      </w:pPr>
      <w:r w:rsidRPr="008A638F">
        <w:rPr>
          <w:rFonts w:ascii="Arial" w:hAnsi="Arial" w:cs="Arial"/>
          <w:sz w:val="21"/>
          <w:szCs w:val="21"/>
          <w:lang w:val="es-ES"/>
        </w:rPr>
        <w:t>(Art.4 Decreto 1737 de 1998, modificado por el Art .2 del Decreto 2209 de 1998, modificado por el art. 1 del Decreto 2785 de 2011).</w:t>
      </w:r>
    </w:p>
    <w:p w14:paraId="28198100" w14:textId="77777777" w:rsidR="008A638F" w:rsidRPr="008A638F" w:rsidRDefault="008A638F" w:rsidP="008A638F">
      <w:pPr>
        <w:ind w:left="709" w:right="709"/>
        <w:jc w:val="both"/>
        <w:rPr>
          <w:rFonts w:ascii="Arial" w:hAnsi="Arial" w:cs="Arial"/>
          <w:sz w:val="21"/>
          <w:szCs w:val="21"/>
          <w:lang w:val="es-ES"/>
        </w:rPr>
      </w:pPr>
    </w:p>
    <w:p w14:paraId="7576920C" w14:textId="6658E916" w:rsidR="008A638F" w:rsidRPr="008A638F" w:rsidRDefault="008A638F" w:rsidP="008A638F">
      <w:pPr>
        <w:spacing w:line="276" w:lineRule="auto"/>
        <w:ind w:firstLine="709"/>
        <w:jc w:val="both"/>
        <w:rPr>
          <w:rFonts w:ascii="Arial" w:hAnsi="Arial" w:cs="Arial"/>
          <w:sz w:val="21"/>
          <w:szCs w:val="21"/>
          <w:lang w:val="es-ES"/>
        </w:rPr>
      </w:pPr>
      <w:r w:rsidRPr="008A638F">
        <w:rPr>
          <w:rFonts w:ascii="Arial" w:hAnsi="Arial" w:cs="Arial"/>
          <w:sz w:val="22"/>
          <w:lang w:val="es-ES"/>
        </w:rPr>
        <w:t xml:space="preserve">En este contexto, </w:t>
      </w:r>
      <w:bookmarkStart w:id="23" w:name="_Hlk45533719"/>
      <w:r w:rsidRPr="008A638F">
        <w:rPr>
          <w:rFonts w:ascii="Arial" w:hAnsi="Arial" w:cs="Arial"/>
          <w:sz w:val="22"/>
          <w:lang w:val="es-ES"/>
        </w:rPr>
        <w:t xml:space="preserve">el Decreto 1068 de 2015 distingue dos (2) </w:t>
      </w:r>
      <w:proofErr w:type="spellStart"/>
      <w:r w:rsidRPr="008A638F">
        <w:rPr>
          <w:rFonts w:ascii="Arial" w:hAnsi="Arial" w:cs="Arial"/>
          <w:sz w:val="22"/>
          <w:lang w:val="es-ES"/>
        </w:rPr>
        <w:t>categorías</w:t>
      </w:r>
      <w:proofErr w:type="spellEnd"/>
      <w:r w:rsidRPr="008A638F">
        <w:rPr>
          <w:rFonts w:ascii="Arial" w:hAnsi="Arial" w:cs="Arial"/>
          <w:sz w:val="22"/>
          <w:lang w:val="es-ES"/>
        </w:rPr>
        <w:t xml:space="preserve"> de contratos de </w:t>
      </w:r>
      <w:proofErr w:type="spellStart"/>
      <w:r w:rsidRPr="008A638F">
        <w:rPr>
          <w:rFonts w:ascii="Arial" w:hAnsi="Arial" w:cs="Arial"/>
          <w:sz w:val="22"/>
          <w:lang w:val="es-ES"/>
        </w:rPr>
        <w:t>prestación</w:t>
      </w:r>
      <w:proofErr w:type="spellEnd"/>
      <w:r w:rsidRPr="008A638F">
        <w:rPr>
          <w:rFonts w:ascii="Arial" w:hAnsi="Arial" w:cs="Arial"/>
          <w:sz w:val="22"/>
          <w:lang w:val="es-ES"/>
        </w:rPr>
        <w:t xml:space="preserve"> de servicios, en función de los honorarios: los «calificados» y los «altamente calificados», indicando que uno y otro quedan cubiertos por el tope indicado en la norma. Tratándose de </w:t>
      </w:r>
      <w:r w:rsidR="006F6D21">
        <w:rPr>
          <w:rFonts w:ascii="Arial" w:hAnsi="Arial" w:cs="Arial"/>
          <w:sz w:val="22"/>
          <w:lang w:val="es-ES"/>
        </w:rPr>
        <w:t>l</w:t>
      </w:r>
      <w:r w:rsidRPr="008A638F">
        <w:rPr>
          <w:rFonts w:ascii="Arial" w:hAnsi="Arial" w:cs="Arial"/>
          <w:sz w:val="22"/>
          <w:lang w:val="es-ES"/>
        </w:rPr>
        <w:t>os contratos «calificados», los honorarios no excederán la «</w:t>
      </w:r>
      <w:proofErr w:type="spellStart"/>
      <w:r w:rsidRPr="008A638F">
        <w:rPr>
          <w:rFonts w:ascii="Arial" w:hAnsi="Arial" w:cs="Arial"/>
          <w:sz w:val="22"/>
          <w:lang w:val="es-ES"/>
        </w:rPr>
        <w:t>remuneración</w:t>
      </w:r>
      <w:proofErr w:type="spellEnd"/>
      <w:r w:rsidRPr="008A638F">
        <w:rPr>
          <w:rFonts w:ascii="Arial" w:hAnsi="Arial" w:cs="Arial"/>
          <w:sz w:val="22"/>
          <w:lang w:val="es-ES"/>
        </w:rPr>
        <w:t xml:space="preserve"> total mensual» establecida para el jefe de la entidad; y los «altamente calificados» no excederán el valor total mensual de la </w:t>
      </w:r>
      <w:proofErr w:type="spellStart"/>
      <w:r w:rsidRPr="008A638F">
        <w:rPr>
          <w:rFonts w:ascii="Arial" w:hAnsi="Arial" w:cs="Arial"/>
          <w:sz w:val="22"/>
          <w:lang w:val="es-ES"/>
        </w:rPr>
        <w:t>remuneración</w:t>
      </w:r>
      <w:proofErr w:type="spellEnd"/>
      <w:r w:rsidRPr="008A638F">
        <w:rPr>
          <w:rFonts w:ascii="Arial" w:hAnsi="Arial" w:cs="Arial"/>
          <w:sz w:val="22"/>
          <w:lang w:val="es-ES"/>
        </w:rPr>
        <w:t xml:space="preserve"> del jefe de la entidad, incluidos los factores prestacionales y las contribuciones inherentes a la </w:t>
      </w:r>
      <w:proofErr w:type="spellStart"/>
      <w:r w:rsidRPr="008A638F">
        <w:rPr>
          <w:rFonts w:ascii="Arial" w:hAnsi="Arial" w:cs="Arial"/>
          <w:sz w:val="22"/>
          <w:lang w:val="es-ES"/>
        </w:rPr>
        <w:t>nómina</w:t>
      </w:r>
      <w:proofErr w:type="spellEnd"/>
      <w:r w:rsidRPr="008A638F">
        <w:rPr>
          <w:rFonts w:ascii="Arial" w:hAnsi="Arial" w:cs="Arial"/>
          <w:sz w:val="22"/>
          <w:lang w:val="es-ES"/>
        </w:rPr>
        <w:t>, relacionadas con la seguridad social y parafiscales a cargo del empleador.</w:t>
      </w:r>
    </w:p>
    <w:p w14:paraId="60CDC746" w14:textId="77777777" w:rsidR="008A638F" w:rsidRPr="008A638F" w:rsidRDefault="008A638F" w:rsidP="008A638F">
      <w:pPr>
        <w:spacing w:before="120" w:line="276" w:lineRule="auto"/>
        <w:ind w:firstLine="709"/>
        <w:jc w:val="both"/>
        <w:rPr>
          <w:rFonts w:ascii="Arial" w:hAnsi="Arial" w:cs="Arial"/>
          <w:sz w:val="22"/>
          <w:lang w:val="es-ES"/>
        </w:rPr>
      </w:pPr>
      <w:r w:rsidRPr="008A638F">
        <w:rPr>
          <w:rFonts w:ascii="Arial" w:hAnsi="Arial" w:cs="Arial"/>
          <w:sz w:val="22"/>
          <w:lang w:val="es-ES"/>
        </w:rPr>
        <w:t xml:space="preserve">Sin embargo, la </w:t>
      </w:r>
      <w:proofErr w:type="spellStart"/>
      <w:r w:rsidRPr="008A638F">
        <w:rPr>
          <w:rFonts w:ascii="Arial" w:hAnsi="Arial" w:cs="Arial"/>
          <w:sz w:val="22"/>
          <w:lang w:val="es-ES"/>
        </w:rPr>
        <w:t>aplicación</w:t>
      </w:r>
      <w:proofErr w:type="spellEnd"/>
      <w:r w:rsidRPr="008A638F">
        <w:rPr>
          <w:rFonts w:ascii="Arial" w:hAnsi="Arial" w:cs="Arial"/>
          <w:sz w:val="22"/>
          <w:lang w:val="es-ES"/>
        </w:rPr>
        <w:t xml:space="preserve"> del </w:t>
      </w:r>
      <w:proofErr w:type="spellStart"/>
      <w:r w:rsidRPr="008A638F">
        <w:rPr>
          <w:rFonts w:ascii="Arial" w:hAnsi="Arial" w:cs="Arial"/>
          <w:sz w:val="22"/>
          <w:lang w:val="es-ES"/>
        </w:rPr>
        <w:t>artículo</w:t>
      </w:r>
      <w:proofErr w:type="spellEnd"/>
      <w:r w:rsidRPr="008A638F">
        <w:rPr>
          <w:rFonts w:ascii="Arial" w:hAnsi="Arial" w:cs="Arial"/>
          <w:sz w:val="22"/>
          <w:lang w:val="es-ES"/>
        </w:rPr>
        <w:t xml:space="preserve"> 2.8.4.4.6 del Decreto 1068 de 2015 –sobre el tope de los contratos de </w:t>
      </w:r>
      <w:proofErr w:type="spellStart"/>
      <w:r w:rsidRPr="008A638F">
        <w:rPr>
          <w:rFonts w:ascii="Arial" w:hAnsi="Arial" w:cs="Arial"/>
          <w:sz w:val="22"/>
          <w:lang w:val="es-ES"/>
        </w:rPr>
        <w:t>prestación</w:t>
      </w:r>
      <w:proofErr w:type="spellEnd"/>
      <w:r w:rsidRPr="008A638F">
        <w:rPr>
          <w:rFonts w:ascii="Arial" w:hAnsi="Arial" w:cs="Arial"/>
          <w:sz w:val="22"/>
          <w:lang w:val="es-ES"/>
        </w:rPr>
        <w:t xml:space="preserve"> de servicios calificados y altamente calificados– está condicionada al rubro del presupuesto denominado «</w:t>
      </w:r>
      <w:proofErr w:type="spellStart"/>
      <w:r w:rsidRPr="008A638F">
        <w:rPr>
          <w:rFonts w:ascii="Arial" w:hAnsi="Arial" w:cs="Arial"/>
          <w:sz w:val="22"/>
          <w:lang w:val="es-ES"/>
        </w:rPr>
        <w:t>remuneración</w:t>
      </w:r>
      <w:proofErr w:type="spellEnd"/>
      <w:r w:rsidRPr="008A638F">
        <w:rPr>
          <w:rFonts w:ascii="Arial" w:hAnsi="Arial" w:cs="Arial"/>
          <w:sz w:val="22"/>
          <w:lang w:val="es-ES"/>
        </w:rPr>
        <w:t xml:space="preserve"> servicios </w:t>
      </w:r>
      <w:proofErr w:type="spellStart"/>
      <w:r w:rsidRPr="008A638F">
        <w:rPr>
          <w:rFonts w:ascii="Arial" w:hAnsi="Arial" w:cs="Arial"/>
          <w:sz w:val="22"/>
          <w:lang w:val="es-ES"/>
        </w:rPr>
        <w:t>técnicos</w:t>
      </w:r>
      <w:proofErr w:type="spellEnd"/>
      <w:r w:rsidRPr="008A638F">
        <w:rPr>
          <w:rFonts w:ascii="Arial" w:hAnsi="Arial" w:cs="Arial"/>
          <w:sz w:val="22"/>
          <w:lang w:val="es-ES"/>
        </w:rPr>
        <w:t>»</w:t>
      </w:r>
      <w:bookmarkEnd w:id="23"/>
      <w:r w:rsidRPr="008A638F">
        <w:rPr>
          <w:rFonts w:ascii="Arial" w:hAnsi="Arial" w:cs="Arial"/>
          <w:sz w:val="22"/>
          <w:lang w:val="es-ES"/>
        </w:rPr>
        <w:t xml:space="preserve">, como dispone el </w:t>
      </w:r>
      <w:proofErr w:type="spellStart"/>
      <w:r w:rsidRPr="008A638F">
        <w:rPr>
          <w:rFonts w:ascii="Arial" w:hAnsi="Arial" w:cs="Arial"/>
          <w:sz w:val="22"/>
          <w:lang w:val="es-ES"/>
        </w:rPr>
        <w:t>parágrafo</w:t>
      </w:r>
      <w:proofErr w:type="spellEnd"/>
      <w:r w:rsidRPr="008A638F">
        <w:rPr>
          <w:rFonts w:ascii="Arial" w:hAnsi="Arial" w:cs="Arial"/>
          <w:sz w:val="22"/>
          <w:lang w:val="es-ES"/>
        </w:rPr>
        <w:t xml:space="preserve"> 2:</w:t>
      </w:r>
    </w:p>
    <w:p w14:paraId="5162BE71" w14:textId="77777777" w:rsidR="008A638F" w:rsidRPr="008A638F" w:rsidRDefault="008A638F" w:rsidP="008A638F">
      <w:pPr>
        <w:ind w:left="709" w:right="709"/>
        <w:jc w:val="both"/>
        <w:rPr>
          <w:rFonts w:ascii="Arial" w:hAnsi="Arial" w:cs="Arial"/>
          <w:sz w:val="22"/>
          <w:lang w:val="es-ES"/>
        </w:rPr>
      </w:pPr>
    </w:p>
    <w:p w14:paraId="5430D21C" w14:textId="77777777" w:rsidR="008A638F" w:rsidRPr="008A638F" w:rsidRDefault="008A638F" w:rsidP="008A638F">
      <w:pPr>
        <w:ind w:left="709" w:right="709"/>
        <w:jc w:val="both"/>
        <w:rPr>
          <w:rFonts w:ascii="Arial" w:hAnsi="Arial" w:cs="Arial"/>
          <w:sz w:val="21"/>
          <w:szCs w:val="21"/>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2°. Los servicios a que hace referencia el presente </w:t>
      </w: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corresponden exclusivamente a aquellos comprendidos en el concepto de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servicios </w:t>
      </w:r>
      <w:proofErr w:type="spellStart"/>
      <w:r w:rsidRPr="008A638F">
        <w:rPr>
          <w:rFonts w:ascii="Arial" w:hAnsi="Arial" w:cs="Arial"/>
          <w:sz w:val="21"/>
          <w:szCs w:val="21"/>
          <w:lang w:val="es-ES"/>
        </w:rPr>
        <w:t>técnicos</w:t>
      </w:r>
      <w:proofErr w:type="spellEnd"/>
      <w:r w:rsidRPr="008A638F">
        <w:rPr>
          <w:rFonts w:ascii="Arial" w:hAnsi="Arial" w:cs="Arial"/>
          <w:sz w:val="21"/>
          <w:szCs w:val="21"/>
          <w:lang w:val="es-ES"/>
        </w:rPr>
        <w:t xml:space="preserve">» desarrollado en el decreto de </w:t>
      </w:r>
      <w:proofErr w:type="spellStart"/>
      <w:r w:rsidRPr="008A638F">
        <w:rPr>
          <w:rFonts w:ascii="Arial" w:hAnsi="Arial" w:cs="Arial"/>
          <w:sz w:val="21"/>
          <w:szCs w:val="21"/>
          <w:lang w:val="es-ES"/>
        </w:rPr>
        <w:t>liquidación</w:t>
      </w:r>
      <w:proofErr w:type="spellEnd"/>
      <w:r w:rsidRPr="008A638F">
        <w:rPr>
          <w:rFonts w:ascii="Arial" w:hAnsi="Arial" w:cs="Arial"/>
          <w:sz w:val="21"/>
          <w:szCs w:val="21"/>
          <w:lang w:val="es-ES"/>
        </w:rPr>
        <w:t xml:space="preserve"> del presupuesto general de la </w:t>
      </w:r>
      <w:proofErr w:type="spellStart"/>
      <w:r w:rsidRPr="008A638F">
        <w:rPr>
          <w:rFonts w:ascii="Arial" w:hAnsi="Arial" w:cs="Arial"/>
          <w:sz w:val="21"/>
          <w:szCs w:val="21"/>
          <w:lang w:val="es-ES"/>
        </w:rPr>
        <w:t>Nación</w:t>
      </w:r>
      <w:proofErr w:type="spellEnd"/>
      <w:r w:rsidRPr="008A638F">
        <w:rPr>
          <w:rFonts w:ascii="Arial" w:hAnsi="Arial" w:cs="Arial"/>
          <w:sz w:val="21"/>
          <w:szCs w:val="21"/>
          <w:lang w:val="es-ES"/>
        </w:rPr>
        <w:t>, con independencia del presupuesto con cargo al cual se realice su pago.</w:t>
      </w:r>
    </w:p>
    <w:p w14:paraId="6FF96CF0" w14:textId="77777777" w:rsidR="008A638F" w:rsidRPr="008A638F" w:rsidRDefault="008A638F" w:rsidP="008A638F">
      <w:pPr>
        <w:spacing w:line="276" w:lineRule="auto"/>
        <w:ind w:firstLine="709"/>
        <w:jc w:val="both"/>
        <w:rPr>
          <w:rFonts w:ascii="Arial" w:hAnsi="Arial" w:cs="Arial"/>
          <w:sz w:val="22"/>
          <w:lang w:val="es-ES"/>
        </w:rPr>
      </w:pPr>
    </w:p>
    <w:p w14:paraId="4ED51B30" w14:textId="77777777" w:rsidR="008A638F" w:rsidRPr="008A638F" w:rsidRDefault="008A638F" w:rsidP="008A638F">
      <w:pPr>
        <w:spacing w:after="120" w:line="276" w:lineRule="auto"/>
        <w:ind w:firstLine="709"/>
        <w:jc w:val="both"/>
        <w:rPr>
          <w:rFonts w:ascii="Arial" w:hAnsi="Arial" w:cs="Arial"/>
          <w:sz w:val="22"/>
          <w:lang w:val="es-ES"/>
        </w:rPr>
      </w:pPr>
      <w:r w:rsidRPr="008A638F">
        <w:rPr>
          <w:rFonts w:ascii="Arial" w:hAnsi="Arial" w:cs="Arial"/>
          <w:sz w:val="22"/>
          <w:lang w:val="es-ES"/>
        </w:rPr>
        <w:t>En esta medida, es necesario ubicar el concepto «</w:t>
      </w:r>
      <w:proofErr w:type="spellStart"/>
      <w:r w:rsidRPr="008A638F">
        <w:rPr>
          <w:rFonts w:ascii="Arial" w:hAnsi="Arial" w:cs="Arial"/>
          <w:sz w:val="22"/>
          <w:lang w:val="es-ES"/>
        </w:rPr>
        <w:t>remuneración</w:t>
      </w:r>
      <w:proofErr w:type="spellEnd"/>
      <w:r w:rsidRPr="008A638F">
        <w:rPr>
          <w:rFonts w:ascii="Arial" w:hAnsi="Arial" w:cs="Arial"/>
          <w:sz w:val="22"/>
          <w:lang w:val="es-ES"/>
        </w:rPr>
        <w:t xml:space="preserve"> servicios </w:t>
      </w:r>
      <w:proofErr w:type="spellStart"/>
      <w:r w:rsidRPr="008A638F">
        <w:rPr>
          <w:rFonts w:ascii="Arial" w:hAnsi="Arial" w:cs="Arial"/>
          <w:sz w:val="22"/>
          <w:lang w:val="es-ES"/>
        </w:rPr>
        <w:t>técnicos</w:t>
      </w:r>
      <w:proofErr w:type="spellEnd"/>
      <w:r w:rsidRPr="008A638F">
        <w:rPr>
          <w:rFonts w:ascii="Arial" w:hAnsi="Arial" w:cs="Arial"/>
          <w:sz w:val="22"/>
          <w:lang w:val="es-ES"/>
        </w:rPr>
        <w:t xml:space="preserve">» en los decretos de </w:t>
      </w:r>
      <w:proofErr w:type="spellStart"/>
      <w:r w:rsidRPr="008A638F">
        <w:rPr>
          <w:rFonts w:ascii="Arial" w:hAnsi="Arial" w:cs="Arial"/>
          <w:sz w:val="22"/>
          <w:lang w:val="es-ES"/>
        </w:rPr>
        <w:t>liquidación</w:t>
      </w:r>
      <w:proofErr w:type="spellEnd"/>
      <w:r w:rsidRPr="008A638F">
        <w:rPr>
          <w:rFonts w:ascii="Arial" w:hAnsi="Arial" w:cs="Arial"/>
          <w:sz w:val="22"/>
          <w:lang w:val="es-ES"/>
        </w:rPr>
        <w:t xml:space="preserve"> del presupuesto general de la nación, comparando históricamente las normas de las vigencias fiscales de 2018, 2019 y 2020, para determinar si en cada una rigió la prohibición del Decreto 1068 de 2015. </w:t>
      </w:r>
    </w:p>
    <w:p w14:paraId="6080DEC5" w14:textId="7BF2D505" w:rsidR="008A638F" w:rsidRPr="008A638F" w:rsidRDefault="008A638F" w:rsidP="008A638F">
      <w:pPr>
        <w:spacing w:after="120" w:line="276" w:lineRule="auto"/>
        <w:ind w:firstLine="709"/>
        <w:jc w:val="both"/>
        <w:rPr>
          <w:rFonts w:ascii="Arial" w:hAnsi="Arial" w:cs="Arial"/>
          <w:sz w:val="22"/>
          <w:lang w:val="es-ES"/>
        </w:rPr>
      </w:pPr>
      <w:r w:rsidRPr="008A638F">
        <w:rPr>
          <w:rFonts w:ascii="Arial" w:hAnsi="Arial" w:cs="Arial"/>
          <w:sz w:val="22"/>
          <w:lang w:val="es-ES"/>
        </w:rPr>
        <w:t>Para empezar, el presupuesto de 2018 lo liquidó el Decreto 2236 de 2017. El artículo 37, numeral 1.2, dispuso que hacían parte de los gastos de funcionamiento los «servicios personales indirectos</w:t>
      </w:r>
      <w:r w:rsidR="006F6D21">
        <w:rPr>
          <w:rFonts w:ascii="Arial" w:hAnsi="Arial" w:cs="Arial"/>
          <w:sz w:val="22"/>
          <w:lang w:val="es-ES"/>
        </w:rPr>
        <w:t>»</w:t>
      </w:r>
      <w:r w:rsidRPr="008A638F">
        <w:rPr>
          <w:rStyle w:val="Refdenotaalpie"/>
          <w:rFonts w:ascii="Arial" w:hAnsi="Arial" w:cs="Arial"/>
          <w:sz w:val="22"/>
          <w:lang w:val="es-ES"/>
        </w:rPr>
        <w:footnoteReference w:id="2"/>
      </w:r>
      <w:r w:rsidRPr="008A638F">
        <w:rPr>
          <w:rFonts w:ascii="Arial" w:hAnsi="Arial" w:cs="Arial"/>
          <w:sz w:val="22"/>
          <w:lang w:val="es-ES"/>
        </w:rPr>
        <w:t xml:space="preserve">. La norma citada agregó que la categoría de «servicios personales indirectos» incluía, entre otros gastos, la «remuneración servicios técnicos», definiéndola como el «Pago por servicios calificados a personas naturales o jurídicas que se prestan en forma continua para asuntos propios del órgano, los cuales no pueden ser atendidos con </w:t>
      </w:r>
      <w:r w:rsidRPr="008A638F">
        <w:rPr>
          <w:rFonts w:ascii="Arial" w:hAnsi="Arial" w:cs="Arial"/>
          <w:sz w:val="22"/>
          <w:lang w:val="es-ES"/>
        </w:rPr>
        <w:lastRenderedPageBreak/>
        <w:t xml:space="preserve">personal de planta o que se requieran conocimientos especializados y están sujetos al régimen contractual vigente». Con esta regulación se cumplió el requisito exigido en el parágrafo 2 del 2.8.4.4.6 del Decreto 1068 de 2015 para la limitar el pago de honorarios en los contratos de prestación servicios: es decir, con cargo a ese rubro los honorarios no podían exceder el valor indicado. </w:t>
      </w:r>
    </w:p>
    <w:p w14:paraId="4AEF1FB4" w14:textId="201B40CC" w:rsidR="008A638F" w:rsidRPr="008A638F" w:rsidRDefault="008A638F" w:rsidP="008A638F">
      <w:pPr>
        <w:spacing w:line="276" w:lineRule="auto"/>
        <w:ind w:firstLine="709"/>
        <w:jc w:val="both"/>
        <w:rPr>
          <w:rFonts w:ascii="Arial" w:hAnsi="Arial" w:cs="Arial"/>
          <w:sz w:val="22"/>
          <w:lang w:val="es-ES"/>
        </w:rPr>
      </w:pPr>
      <w:bookmarkStart w:id="24" w:name="_Hlk45636158"/>
      <w:r w:rsidRPr="008A638F">
        <w:rPr>
          <w:rFonts w:ascii="Arial" w:hAnsi="Arial" w:cs="Arial"/>
          <w:sz w:val="22"/>
          <w:lang w:val="es-ES"/>
        </w:rPr>
        <w:t>Teniendo en cuenta el principio de anualidad, el Decreto 2467 de 2018 liquidó el presupuesto de 2019. A diferencia de los rubros incluidos en el numeral 1.2 del artículo 37 del Decreto 2236 de 2017, no se incluyó entre los gastos de funcionamiento el concepto</w:t>
      </w:r>
      <w:r w:rsidR="006F6D21">
        <w:rPr>
          <w:rFonts w:ascii="Arial" w:hAnsi="Arial" w:cs="Arial"/>
          <w:sz w:val="22"/>
          <w:lang w:val="es-ES"/>
        </w:rPr>
        <w:t xml:space="preserve"> de</w:t>
      </w:r>
      <w:r w:rsidRPr="008A638F">
        <w:rPr>
          <w:rFonts w:ascii="Arial" w:hAnsi="Arial" w:cs="Arial"/>
          <w:sz w:val="22"/>
          <w:lang w:val="es-ES"/>
        </w:rPr>
        <w:t xml:space="preserve"> «servicios personales indirectos» ni </w:t>
      </w:r>
      <w:r w:rsidR="006F6D21">
        <w:rPr>
          <w:rFonts w:ascii="Arial" w:hAnsi="Arial" w:cs="Arial"/>
          <w:sz w:val="22"/>
          <w:lang w:val="es-ES"/>
        </w:rPr>
        <w:t xml:space="preserve">de </w:t>
      </w:r>
      <w:r w:rsidRPr="008A638F">
        <w:rPr>
          <w:rFonts w:ascii="Arial" w:hAnsi="Arial" w:cs="Arial"/>
          <w:sz w:val="22"/>
          <w:lang w:val="es-ES"/>
        </w:rPr>
        <w:t>«remuneración servicios técnicos». De hecho, conforme a los lineamientos técnicos del sistema integrado de información financiera, el artículo 37 del Decreto 2467 de 2018 creó una nueva categoría o clasificación, denominada «adquisición de bienes y servicios» que aparentemente subsumió los «servicios personales indirectos» en las «adquisiciones diferentes de activos»</w:t>
      </w:r>
      <w:bookmarkEnd w:id="24"/>
      <w:r w:rsidRPr="008A638F">
        <w:rPr>
          <w:rFonts w:ascii="Arial" w:hAnsi="Arial" w:cs="Arial"/>
          <w:sz w:val="22"/>
          <w:lang w:val="es-ES"/>
        </w:rPr>
        <w:t xml:space="preserve">. El artículo 38 </w:t>
      </w:r>
      <w:proofErr w:type="spellStart"/>
      <w:r w:rsidRPr="008A638F">
        <w:rPr>
          <w:rFonts w:ascii="Arial" w:hAnsi="Arial" w:cs="Arial"/>
          <w:i/>
          <w:iCs/>
          <w:sz w:val="22"/>
          <w:lang w:val="es-ES"/>
        </w:rPr>
        <w:t>ibídem</w:t>
      </w:r>
      <w:proofErr w:type="spellEnd"/>
      <w:r w:rsidRPr="008A638F">
        <w:rPr>
          <w:rFonts w:ascii="Arial" w:hAnsi="Arial" w:cs="Arial"/>
          <w:sz w:val="22"/>
          <w:lang w:val="es-ES"/>
        </w:rPr>
        <w:t xml:space="preserve"> los define de la siguiente manera:</w:t>
      </w:r>
    </w:p>
    <w:p w14:paraId="52A02B0F" w14:textId="77777777" w:rsidR="008A638F" w:rsidRPr="008A638F" w:rsidRDefault="008A638F" w:rsidP="008A638F">
      <w:pPr>
        <w:spacing w:line="276" w:lineRule="auto"/>
        <w:ind w:firstLine="709"/>
        <w:jc w:val="both"/>
        <w:rPr>
          <w:rFonts w:ascii="Arial" w:hAnsi="Arial" w:cs="Arial"/>
          <w:sz w:val="22"/>
          <w:lang w:val="es-ES"/>
        </w:rPr>
      </w:pPr>
    </w:p>
    <w:p w14:paraId="65A0C327" w14:textId="77777777" w:rsidR="008A638F" w:rsidRPr="008A638F" w:rsidRDefault="008A638F" w:rsidP="008A638F">
      <w:pPr>
        <w:ind w:left="709" w:right="709"/>
        <w:jc w:val="both"/>
        <w:rPr>
          <w:rFonts w:ascii="Arial" w:hAnsi="Arial" w:cs="Arial"/>
          <w:sz w:val="21"/>
          <w:szCs w:val="21"/>
          <w:lang w:val="es-ES"/>
        </w:rPr>
      </w:pPr>
      <w:r w:rsidRPr="008A638F">
        <w:rPr>
          <w:rFonts w:ascii="Arial" w:hAnsi="Arial" w:cs="Arial"/>
          <w:sz w:val="21"/>
          <w:szCs w:val="21"/>
          <w:lang w:val="es-ES"/>
        </w:rPr>
        <w:t>Artículo 38. Los gastos incluidos en el presupuesto para la vigencia fiscal 2019 se definen de la siguiente forma:</w:t>
      </w:r>
    </w:p>
    <w:p w14:paraId="636B8DCD"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t xml:space="preserve">[…]   </w:t>
      </w:r>
    </w:p>
    <w:p w14:paraId="302BDB1F"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t xml:space="preserve">02 ADQUISICIÓN DE BIENES Y SERVICIOS  </w:t>
      </w:r>
    </w:p>
    <w:p w14:paraId="1D821273"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t xml:space="preserve">Son los gastos asociados a la compra de bienes y a la contratación de servicios, suministrados por personas naturales o jurídicas, que son necesarios para el cumplimiento de las funciones asignadas por la Constitución Política y la ley al órgano del PGN. </w:t>
      </w:r>
    </w:p>
    <w:p w14:paraId="220A859E" w14:textId="77777777" w:rsidR="008A638F" w:rsidRPr="008A638F" w:rsidRDefault="008A638F" w:rsidP="008A638F">
      <w:pPr>
        <w:ind w:left="709" w:right="709"/>
        <w:jc w:val="both"/>
        <w:rPr>
          <w:rFonts w:ascii="Arial" w:hAnsi="Arial" w:cs="Arial"/>
          <w:sz w:val="21"/>
          <w:szCs w:val="21"/>
          <w:lang w:val="es-ES"/>
        </w:rPr>
      </w:pPr>
      <w:r w:rsidRPr="008A638F">
        <w:rPr>
          <w:rFonts w:ascii="Arial" w:hAnsi="Arial" w:cs="Arial"/>
          <w:sz w:val="21"/>
          <w:szCs w:val="21"/>
          <w:lang w:val="es-ES"/>
        </w:rPr>
        <w:t xml:space="preserve">02 01 ADQUISICIÓN DE ACTIVOS NO FINANCIEROS </w:t>
      </w:r>
    </w:p>
    <w:p w14:paraId="08B4CEF3"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t xml:space="preserve">[…] </w:t>
      </w:r>
    </w:p>
    <w:p w14:paraId="1B73FDDF"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t xml:space="preserve">02 02 ADQUISICIONES DIFERENTES DE ACTIVOS  </w:t>
      </w:r>
    </w:p>
    <w:p w14:paraId="4BDF1353" w14:textId="77777777" w:rsidR="008A638F" w:rsidRPr="008A638F" w:rsidRDefault="008A638F" w:rsidP="008A638F">
      <w:pPr>
        <w:ind w:left="709" w:right="709"/>
        <w:jc w:val="both"/>
        <w:rPr>
          <w:rFonts w:ascii="Arial" w:hAnsi="Arial" w:cs="Arial"/>
          <w:sz w:val="21"/>
          <w:szCs w:val="21"/>
          <w:lang w:val="es-ES"/>
        </w:rPr>
      </w:pPr>
      <w:r w:rsidRPr="008A638F">
        <w:rPr>
          <w:rFonts w:ascii="Arial" w:hAnsi="Arial" w:cs="Arial"/>
          <w:sz w:val="21"/>
          <w:szCs w:val="21"/>
          <w:lang w:val="es-ES"/>
        </w:rPr>
        <w:t>Son los gastos asociados a la adquisición de bienes (que no constituyen activos), y servicios, suministrados por personas naturales y jurídicas, que se utilizan apoyar el desarrollo de las funciones de la entidad.</w:t>
      </w:r>
    </w:p>
    <w:p w14:paraId="47F543A6" w14:textId="77777777" w:rsidR="008A638F" w:rsidRPr="008A638F" w:rsidRDefault="008A638F" w:rsidP="008A638F">
      <w:pPr>
        <w:ind w:left="709" w:right="709"/>
        <w:jc w:val="both"/>
        <w:rPr>
          <w:rFonts w:ascii="Arial" w:hAnsi="Arial" w:cs="Arial"/>
          <w:sz w:val="21"/>
          <w:szCs w:val="21"/>
          <w:lang w:val="es-ES"/>
        </w:rPr>
      </w:pPr>
      <w:r w:rsidRPr="008A638F">
        <w:rPr>
          <w:rFonts w:ascii="Arial" w:hAnsi="Arial" w:cs="Arial"/>
          <w:sz w:val="21"/>
          <w:szCs w:val="21"/>
          <w:lang w:val="es-ES"/>
        </w:rPr>
        <w:t xml:space="preserve">[…] </w:t>
      </w:r>
    </w:p>
    <w:p w14:paraId="273111BF" w14:textId="77777777" w:rsidR="008A638F" w:rsidRPr="008A638F" w:rsidRDefault="008A638F" w:rsidP="008A638F">
      <w:pPr>
        <w:spacing w:line="276" w:lineRule="auto"/>
        <w:ind w:left="709" w:right="709"/>
        <w:jc w:val="both"/>
        <w:rPr>
          <w:rFonts w:ascii="Arial" w:hAnsi="Arial" w:cs="Arial"/>
          <w:sz w:val="21"/>
          <w:szCs w:val="21"/>
          <w:lang w:val="es-ES"/>
        </w:rPr>
      </w:pPr>
    </w:p>
    <w:p w14:paraId="20828915" w14:textId="48815B27" w:rsidR="008A638F" w:rsidRPr="008A638F" w:rsidRDefault="008A638F" w:rsidP="008A638F">
      <w:pPr>
        <w:spacing w:after="120" w:line="276" w:lineRule="auto"/>
        <w:jc w:val="both"/>
        <w:rPr>
          <w:rFonts w:ascii="Arial" w:hAnsi="Arial" w:cs="Arial"/>
          <w:sz w:val="22"/>
          <w:lang w:val="es-ES"/>
        </w:rPr>
      </w:pPr>
      <w:r w:rsidRPr="008A638F">
        <w:rPr>
          <w:rFonts w:ascii="Arial" w:hAnsi="Arial" w:cs="Arial"/>
          <w:sz w:val="22"/>
          <w:lang w:val="es-ES"/>
        </w:rPr>
        <w:tab/>
      </w:r>
      <w:r w:rsidRPr="00FA1260">
        <w:rPr>
          <w:rFonts w:ascii="Arial" w:hAnsi="Arial" w:cs="Arial"/>
          <w:sz w:val="22"/>
          <w:lang w:val="es-ES"/>
        </w:rPr>
        <w:t>Como</w:t>
      </w:r>
      <w:r w:rsidR="00FA1260" w:rsidRPr="00FA1260">
        <w:rPr>
          <w:rFonts w:ascii="Arial" w:hAnsi="Arial" w:cs="Arial"/>
          <w:sz w:val="22"/>
          <w:lang w:val="es-ES"/>
        </w:rPr>
        <w:t xml:space="preserve"> explicó la Subdirección en el Concepto </w:t>
      </w:r>
      <w:r w:rsidR="00FA1260" w:rsidRPr="00FA1260">
        <w:rPr>
          <w:rFonts w:ascii="Arial" w:eastAsia="Calibri" w:hAnsi="Arial" w:cs="Arial"/>
          <w:color w:val="000000" w:themeColor="text1"/>
          <w:sz w:val="22"/>
        </w:rPr>
        <w:t>2201913000005631 del 6 de agosto de 2019</w:t>
      </w:r>
      <w:r w:rsidR="00FA1260">
        <w:rPr>
          <w:rFonts w:ascii="Arial" w:eastAsia="Calibri" w:hAnsi="Arial" w:cs="Arial"/>
          <w:color w:val="000000" w:themeColor="text1"/>
          <w:sz w:val="22"/>
        </w:rPr>
        <w:t xml:space="preserve">, considerando que </w:t>
      </w:r>
      <w:r w:rsidRPr="008A638F">
        <w:rPr>
          <w:rFonts w:ascii="Arial" w:hAnsi="Arial" w:cs="Arial"/>
          <w:sz w:val="22"/>
          <w:lang w:val="es-ES"/>
        </w:rPr>
        <w:t>el Decreto 2467 de 2018 no incluyó el rubro presupuestal denominado «remuneración servicios técnicos», en la vigencia de 2019 no se cumplió el requisito o la condición que impuso el parágrafo 2 d</w:t>
      </w:r>
      <w:bookmarkStart w:id="25" w:name="_Hlk45887875"/>
      <w:r w:rsidRPr="008A638F">
        <w:rPr>
          <w:rFonts w:ascii="Arial" w:hAnsi="Arial" w:cs="Arial"/>
          <w:sz w:val="22"/>
          <w:lang w:val="es-ES"/>
        </w:rPr>
        <w:t>el 2.8.4.4.6 del Decreto 1068 de 2015</w:t>
      </w:r>
      <w:bookmarkEnd w:id="25"/>
      <w:r w:rsidRPr="008A638F">
        <w:rPr>
          <w:rFonts w:ascii="Arial" w:hAnsi="Arial" w:cs="Arial"/>
          <w:sz w:val="22"/>
          <w:lang w:val="es-ES"/>
        </w:rPr>
        <w:t>, y por lo tanto en los contratos de prestación de servicios era posible pactar honorarios por un valor mayor a la remuneración mensual del jefe de la entidad</w:t>
      </w:r>
      <w:r w:rsidR="007D4A01">
        <w:rPr>
          <w:rStyle w:val="Refdenotaalpie"/>
          <w:rFonts w:ascii="Arial" w:hAnsi="Arial" w:cs="Arial"/>
          <w:sz w:val="22"/>
          <w:lang w:val="es-ES"/>
        </w:rPr>
        <w:footnoteReference w:id="3"/>
      </w:r>
      <w:r w:rsidRPr="008A638F">
        <w:rPr>
          <w:rFonts w:ascii="Arial" w:hAnsi="Arial" w:cs="Arial"/>
          <w:sz w:val="22"/>
          <w:lang w:val="es-ES"/>
        </w:rPr>
        <w:t xml:space="preserve">. Vale la pena recordar, </w:t>
      </w:r>
      <w:r w:rsidRPr="008A638F">
        <w:rPr>
          <w:rFonts w:ascii="Arial" w:hAnsi="Arial" w:cs="Arial"/>
          <w:sz w:val="22"/>
          <w:lang w:val="es-ES"/>
        </w:rPr>
        <w:lastRenderedPageBreak/>
        <w:t>por claridad, que estas normas que se analizan no aplican directamente a las entidades territoriales, como se explicó antes.</w:t>
      </w:r>
    </w:p>
    <w:p w14:paraId="4AD1A30D" w14:textId="27B57D68" w:rsidR="008A638F" w:rsidRPr="008A638F" w:rsidRDefault="008A638F" w:rsidP="008A638F">
      <w:pPr>
        <w:spacing w:line="276" w:lineRule="auto"/>
        <w:jc w:val="both"/>
        <w:rPr>
          <w:rFonts w:ascii="Arial" w:hAnsi="Arial" w:cs="Arial"/>
          <w:sz w:val="22"/>
          <w:lang w:val="es-ES"/>
        </w:rPr>
      </w:pPr>
      <w:r w:rsidRPr="008A638F">
        <w:rPr>
          <w:rFonts w:ascii="Arial" w:hAnsi="Arial" w:cs="Arial"/>
          <w:sz w:val="22"/>
          <w:lang w:val="es-ES"/>
        </w:rPr>
        <w:tab/>
      </w:r>
      <w:bookmarkStart w:id="26" w:name="_Hlk45874711"/>
      <w:r w:rsidR="00FA1260" w:rsidRPr="00FA1260">
        <w:rPr>
          <w:rFonts w:ascii="Arial" w:hAnsi="Arial" w:cs="Arial"/>
          <w:sz w:val="22"/>
          <w:lang w:val="es-ES"/>
        </w:rPr>
        <w:t>No obstante, es necesario revisar</w:t>
      </w:r>
      <w:r w:rsidR="00AE0448">
        <w:rPr>
          <w:rFonts w:ascii="Arial" w:hAnsi="Arial" w:cs="Arial"/>
          <w:sz w:val="22"/>
          <w:lang w:val="es-ES"/>
        </w:rPr>
        <w:t xml:space="preserve"> la conclusión</w:t>
      </w:r>
      <w:r w:rsidR="00FA1260" w:rsidRPr="00FA1260">
        <w:rPr>
          <w:rFonts w:ascii="Arial" w:hAnsi="Arial" w:cs="Arial"/>
          <w:sz w:val="22"/>
          <w:lang w:val="es-ES"/>
        </w:rPr>
        <w:t xml:space="preserve"> del concepto anteriormente citado, pues e</w:t>
      </w:r>
      <w:r w:rsidRPr="00FA1260">
        <w:rPr>
          <w:rFonts w:ascii="Arial" w:hAnsi="Arial" w:cs="Arial"/>
          <w:sz w:val="22"/>
          <w:lang w:val="es-ES"/>
        </w:rPr>
        <w:t xml:space="preserve">l panorama cambió nuevamente en la vigencia fiscal de 2020, </w:t>
      </w:r>
      <w:r w:rsidR="00FA1260" w:rsidRPr="00FA1260">
        <w:rPr>
          <w:rFonts w:ascii="Arial" w:hAnsi="Arial" w:cs="Arial"/>
          <w:sz w:val="22"/>
          <w:lang w:val="es-ES"/>
        </w:rPr>
        <w:t>en la medida que</w:t>
      </w:r>
      <w:r w:rsidRPr="00FA1260">
        <w:rPr>
          <w:rFonts w:ascii="Arial" w:hAnsi="Arial" w:cs="Arial"/>
          <w:sz w:val="22"/>
          <w:lang w:val="es-ES"/>
        </w:rPr>
        <w:t xml:space="preserve"> el presupuesto se liquidó a través de Decreto 2411 de 2019</w:t>
      </w:r>
      <w:r w:rsidRPr="008A638F">
        <w:rPr>
          <w:rFonts w:ascii="Arial" w:hAnsi="Arial" w:cs="Arial"/>
          <w:sz w:val="22"/>
          <w:lang w:val="es-ES"/>
        </w:rPr>
        <w:t>. Como se mantiene la clasificación de 2018, el artículo 34 del decreto tampoco dispone que la «remuneración servicios técnicos» sea una categoría autónoma dentro de los «gastos de funcionamiento». Sin embargo, para los rubros de «adquisición de bienes y servicios» y</w:t>
      </w:r>
      <w:r w:rsidR="00CB269F">
        <w:rPr>
          <w:rFonts w:ascii="Arial" w:hAnsi="Arial" w:cs="Arial"/>
          <w:sz w:val="22"/>
          <w:lang w:val="es-ES"/>
        </w:rPr>
        <w:t xml:space="preserve"> </w:t>
      </w:r>
      <w:r w:rsidRPr="008A638F">
        <w:rPr>
          <w:rFonts w:ascii="Arial" w:hAnsi="Arial" w:cs="Arial"/>
          <w:sz w:val="22"/>
          <w:lang w:val="es-ES"/>
        </w:rPr>
        <w:t xml:space="preserve">«adquisiciones diferentes de activos» el artículo 35 </w:t>
      </w:r>
      <w:proofErr w:type="spellStart"/>
      <w:r w:rsidRPr="008A638F">
        <w:rPr>
          <w:rFonts w:ascii="Arial" w:hAnsi="Arial" w:cs="Arial"/>
          <w:i/>
          <w:iCs/>
          <w:sz w:val="22"/>
          <w:lang w:val="es-ES"/>
        </w:rPr>
        <w:t>ibídem</w:t>
      </w:r>
      <w:proofErr w:type="spellEnd"/>
      <w:r w:rsidRPr="008A638F">
        <w:rPr>
          <w:rFonts w:ascii="Arial" w:hAnsi="Arial" w:cs="Arial"/>
          <w:sz w:val="22"/>
          <w:lang w:val="es-ES"/>
        </w:rPr>
        <w:t xml:space="preserve"> directamente prohíbe la remuneración que exceda valor mensual superior a la remuneración total mensual establecida para el jefe de la entidad. Esto significa que la prohibición ya no solo procede del Decreto 1068 de 2015, sino directamente de esta norma</w:t>
      </w:r>
      <w:bookmarkEnd w:id="26"/>
      <w:r w:rsidRPr="008A638F">
        <w:rPr>
          <w:rFonts w:ascii="Arial" w:hAnsi="Arial" w:cs="Arial"/>
          <w:sz w:val="22"/>
          <w:lang w:val="es-ES"/>
        </w:rPr>
        <w:t xml:space="preserve">: </w:t>
      </w:r>
    </w:p>
    <w:p w14:paraId="6768FAF1" w14:textId="77777777" w:rsidR="008A638F" w:rsidRPr="008A638F" w:rsidRDefault="008A638F" w:rsidP="008A638F">
      <w:pPr>
        <w:spacing w:line="276" w:lineRule="auto"/>
        <w:jc w:val="both"/>
        <w:rPr>
          <w:rFonts w:ascii="Arial" w:hAnsi="Arial" w:cs="Arial"/>
          <w:sz w:val="22"/>
          <w:lang w:val="es-ES"/>
        </w:rPr>
      </w:pPr>
    </w:p>
    <w:p w14:paraId="416FEBDB" w14:textId="77777777" w:rsidR="008A638F" w:rsidRPr="008A638F" w:rsidRDefault="008A638F" w:rsidP="008A638F">
      <w:pPr>
        <w:ind w:left="709" w:right="709"/>
        <w:jc w:val="both"/>
        <w:rPr>
          <w:rFonts w:ascii="Arial" w:hAnsi="Arial" w:cs="Arial"/>
          <w:sz w:val="21"/>
          <w:szCs w:val="21"/>
          <w:lang w:val="es-ES"/>
        </w:rPr>
      </w:pPr>
      <w:r w:rsidRPr="008A638F">
        <w:rPr>
          <w:rFonts w:ascii="Arial" w:hAnsi="Arial" w:cs="Arial"/>
          <w:sz w:val="21"/>
          <w:szCs w:val="21"/>
          <w:lang w:val="es-ES"/>
        </w:rPr>
        <w:t xml:space="preserve">Artículo 35. Los gastos incluidos en el presupuesto para la vigencia fiscal 2020 se definen de la siguiente forma:  </w:t>
      </w:r>
    </w:p>
    <w:p w14:paraId="7DB81782"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t>[…]</w:t>
      </w:r>
    </w:p>
    <w:p w14:paraId="1A6AC619"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t xml:space="preserve">02 ADQUISICIÓN DE BIENES Y SERVICIOS  </w:t>
      </w:r>
    </w:p>
    <w:p w14:paraId="0D3E67E7"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t xml:space="preserve">Son los gastos asociados a la compra de bienes y a la contratación de servicios, suministrados por personas naturales o jurídicas, que son necesarios para el cumplimiento de las funciones asignadas por la Constitución Política y la ley al órgano del PGN.  </w:t>
      </w:r>
    </w:p>
    <w:p w14:paraId="2E24D2F3" w14:textId="77777777" w:rsidR="008A638F" w:rsidRPr="008A638F" w:rsidRDefault="008A638F" w:rsidP="008A638F">
      <w:pPr>
        <w:spacing w:after="120"/>
        <w:ind w:left="709" w:right="709"/>
        <w:jc w:val="both"/>
        <w:rPr>
          <w:rFonts w:ascii="Arial" w:hAnsi="Arial" w:cs="Arial"/>
          <w:i/>
          <w:iCs/>
          <w:sz w:val="21"/>
          <w:szCs w:val="21"/>
          <w:lang w:val="es-ES"/>
        </w:rPr>
      </w:pPr>
      <w:bookmarkStart w:id="27" w:name="_Hlk45696515"/>
      <w:r w:rsidRPr="008A638F">
        <w:rPr>
          <w:rFonts w:ascii="Arial" w:hAnsi="Arial" w:cs="Arial"/>
          <w:i/>
          <w:iCs/>
          <w:sz w:val="21"/>
          <w:szCs w:val="21"/>
          <w:lang w:val="es-ES"/>
        </w:rPr>
        <w:t>La remuneración para la contratación de servicios, suministrados por personas naturales o jurídicas, no podrá pactarse por valor mensual superior a la remuneración total mensual establecida para el jefe de la entidad</w:t>
      </w:r>
      <w:bookmarkEnd w:id="27"/>
      <w:r w:rsidRPr="008A638F">
        <w:rPr>
          <w:rFonts w:ascii="Arial" w:hAnsi="Arial" w:cs="Arial"/>
          <w:i/>
          <w:iCs/>
          <w:sz w:val="21"/>
          <w:szCs w:val="21"/>
          <w:lang w:val="es-ES"/>
        </w:rPr>
        <w:t xml:space="preserve">.  </w:t>
      </w:r>
    </w:p>
    <w:p w14:paraId="55BD796F" w14:textId="77777777" w:rsidR="008A638F" w:rsidRPr="008A638F" w:rsidRDefault="008A638F" w:rsidP="008A638F">
      <w:pPr>
        <w:spacing w:after="120"/>
        <w:ind w:left="709" w:right="709"/>
        <w:jc w:val="both"/>
        <w:rPr>
          <w:rFonts w:ascii="Arial" w:hAnsi="Arial" w:cs="Arial"/>
          <w:i/>
          <w:iCs/>
          <w:sz w:val="21"/>
          <w:szCs w:val="21"/>
          <w:lang w:val="es-ES"/>
        </w:rPr>
      </w:pPr>
      <w:r w:rsidRPr="008A638F">
        <w:rPr>
          <w:rFonts w:ascii="Arial" w:hAnsi="Arial" w:cs="Arial"/>
          <w:i/>
          <w:iCs/>
          <w:sz w:val="21"/>
          <w:szCs w:val="21"/>
          <w:lang w:val="es-ES"/>
        </w:rPr>
        <w:t xml:space="preserve">Se entiende por remuneración total mensual del jefe de la entidad, la que corresponda a este en cada uno de dichos períodos, sin que en ningún caso puedan tenerse en consideración los factores prestacionales.  </w:t>
      </w:r>
    </w:p>
    <w:p w14:paraId="60E88A43" w14:textId="77777777" w:rsidR="008A638F" w:rsidRPr="008A638F" w:rsidRDefault="008A638F" w:rsidP="008A638F">
      <w:pPr>
        <w:spacing w:after="120"/>
        <w:ind w:left="709" w:right="709"/>
        <w:jc w:val="both"/>
        <w:rPr>
          <w:rFonts w:ascii="Arial" w:hAnsi="Arial" w:cs="Arial"/>
          <w:i/>
          <w:iCs/>
          <w:sz w:val="21"/>
          <w:szCs w:val="21"/>
          <w:lang w:val="es-ES"/>
        </w:rPr>
      </w:pPr>
      <w:r w:rsidRPr="008A638F">
        <w:rPr>
          <w:rFonts w:ascii="Arial" w:hAnsi="Arial" w:cs="Arial"/>
          <w:i/>
          <w:iCs/>
          <w:sz w:val="21"/>
          <w:szCs w:val="21"/>
          <w:lang w:val="es-ES"/>
        </w:rPr>
        <w:t xml:space="preserve">De manera excepcional, para aquellos eventos en los que se requiera contratar servicios altamente calificados, entendidos estos como los de alto nivel de especialidad, complejidad y detalle, podrán pactarse honorarios superiores a la remuneración total mensual establecida para el jefe de la entidad, los cuales no podrán exceder del valor total mensual de remuneración del jefe de la entidad incluidos los factores prestacionales y las contribuciones inherentes a la nómina, </w:t>
      </w:r>
      <w:r w:rsidRPr="008A638F">
        <w:rPr>
          <w:rFonts w:ascii="Arial" w:hAnsi="Arial" w:cs="Arial"/>
          <w:i/>
          <w:iCs/>
          <w:sz w:val="21"/>
          <w:szCs w:val="21"/>
          <w:lang w:val="es-ES"/>
        </w:rPr>
        <w:lastRenderedPageBreak/>
        <w:t xml:space="preserve">relacionadas con seguridad social y parafiscales a cargo del empleador. En estos eventos el Representante Legal de la entidad deberá certificar el cumplimiento de los siguientes aspectos: 1. Justificar la necesidad del servicio personal altamente calificado. 2. Indicar las características y calidades específicas, altamente calificadas, que reúne el contratista para la ejecución del contrato, y 3. Determinar las características de los productos y/o servicios que se espera obtener. </w:t>
      </w:r>
    </w:p>
    <w:p w14:paraId="540D1E9B" w14:textId="77777777" w:rsidR="008A638F" w:rsidRPr="008A638F" w:rsidRDefault="008A638F" w:rsidP="008A638F">
      <w:pPr>
        <w:ind w:left="709" w:right="709"/>
        <w:jc w:val="both"/>
        <w:rPr>
          <w:rFonts w:ascii="Arial" w:hAnsi="Arial" w:cs="Arial"/>
          <w:sz w:val="21"/>
          <w:szCs w:val="21"/>
          <w:lang w:val="es-ES"/>
        </w:rPr>
      </w:pPr>
      <w:r w:rsidRPr="008A638F">
        <w:rPr>
          <w:rFonts w:ascii="Arial" w:hAnsi="Arial" w:cs="Arial"/>
          <w:sz w:val="21"/>
          <w:szCs w:val="21"/>
          <w:lang w:val="es-ES"/>
        </w:rPr>
        <w:t xml:space="preserve">02 01 ADQUISICIÓN DE ACTIVOS NO FINANCIEROS </w:t>
      </w:r>
    </w:p>
    <w:p w14:paraId="165BFA3A"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t xml:space="preserve">[…] </w:t>
      </w:r>
    </w:p>
    <w:p w14:paraId="619B3558"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t xml:space="preserve">02 02 ADQUISICIONES DIFERENTES DE ACTIVOS  </w:t>
      </w:r>
    </w:p>
    <w:p w14:paraId="1A5A6C9A" w14:textId="77777777" w:rsidR="008A638F" w:rsidRPr="008A638F" w:rsidRDefault="008A638F" w:rsidP="008A638F">
      <w:pPr>
        <w:ind w:left="709" w:right="709"/>
        <w:jc w:val="both"/>
        <w:rPr>
          <w:rFonts w:ascii="Arial" w:hAnsi="Arial" w:cs="Arial"/>
          <w:sz w:val="21"/>
          <w:szCs w:val="21"/>
          <w:lang w:val="es-ES"/>
        </w:rPr>
      </w:pPr>
      <w:r w:rsidRPr="008A638F">
        <w:rPr>
          <w:rFonts w:ascii="Arial" w:hAnsi="Arial" w:cs="Arial"/>
          <w:sz w:val="21"/>
          <w:szCs w:val="21"/>
          <w:lang w:val="es-ES"/>
        </w:rPr>
        <w:t xml:space="preserve">Son los gastos asociados a la adquisición de bienes (que no constituyen activos); así como los servicios suministrados por personas naturales y jurídicas que se utilizan para apoyar el desarrollo de las funciones de la entidad, </w:t>
      </w:r>
      <w:r w:rsidRPr="008A638F">
        <w:rPr>
          <w:rFonts w:ascii="Arial" w:hAnsi="Arial" w:cs="Arial"/>
          <w:i/>
          <w:iCs/>
          <w:sz w:val="21"/>
          <w:szCs w:val="21"/>
          <w:lang w:val="es-ES"/>
        </w:rPr>
        <w:t xml:space="preserve">tales como honorarios y remuneración servicios técnicos, para lo cual se deberá tener en cuenta lo establecido por </w:t>
      </w:r>
      <w:bookmarkStart w:id="28" w:name="_Hlk45618992"/>
      <w:r w:rsidRPr="008A638F">
        <w:rPr>
          <w:rFonts w:ascii="Arial" w:hAnsi="Arial" w:cs="Arial"/>
          <w:i/>
          <w:iCs/>
          <w:sz w:val="21"/>
          <w:szCs w:val="21"/>
          <w:lang w:val="es-ES"/>
        </w:rPr>
        <w:t>el artículo 2.8.4.4.6 del Decreto 1068 de 2015</w:t>
      </w:r>
      <w:bookmarkEnd w:id="28"/>
      <w:r w:rsidRPr="008A638F">
        <w:rPr>
          <w:rFonts w:ascii="Arial" w:hAnsi="Arial" w:cs="Arial"/>
          <w:sz w:val="21"/>
          <w:szCs w:val="21"/>
          <w:lang w:val="es-ES"/>
        </w:rPr>
        <w:t>. (Cursivas fuera de texto)</w:t>
      </w:r>
    </w:p>
    <w:p w14:paraId="1A051E8C" w14:textId="77777777" w:rsidR="008A638F" w:rsidRPr="008A638F" w:rsidRDefault="008A638F" w:rsidP="008A638F">
      <w:pPr>
        <w:ind w:left="709" w:right="709"/>
        <w:jc w:val="both"/>
        <w:rPr>
          <w:rFonts w:ascii="Arial" w:hAnsi="Arial" w:cs="Arial"/>
          <w:sz w:val="21"/>
          <w:szCs w:val="21"/>
          <w:lang w:val="es-ES"/>
        </w:rPr>
      </w:pPr>
      <w:r w:rsidRPr="008A638F">
        <w:rPr>
          <w:rFonts w:ascii="Arial" w:hAnsi="Arial" w:cs="Arial"/>
          <w:sz w:val="21"/>
          <w:szCs w:val="21"/>
          <w:lang w:val="es-ES"/>
        </w:rPr>
        <w:t xml:space="preserve"> </w:t>
      </w:r>
    </w:p>
    <w:p w14:paraId="06C04D62" w14:textId="6A5E3F29" w:rsidR="004A4114" w:rsidRDefault="008A638F" w:rsidP="008A638F">
      <w:pPr>
        <w:spacing w:after="120" w:line="276" w:lineRule="auto"/>
        <w:jc w:val="both"/>
        <w:rPr>
          <w:rFonts w:ascii="Arial" w:hAnsi="Arial" w:cs="Arial"/>
          <w:sz w:val="22"/>
          <w:lang w:val="es-ES"/>
        </w:rPr>
      </w:pPr>
      <w:r w:rsidRPr="008A638F">
        <w:rPr>
          <w:rFonts w:ascii="Arial" w:hAnsi="Arial" w:cs="Arial"/>
          <w:sz w:val="22"/>
          <w:lang w:val="es-ES"/>
        </w:rPr>
        <w:tab/>
      </w:r>
      <w:r w:rsidR="00711C34">
        <w:rPr>
          <w:rFonts w:ascii="Arial" w:hAnsi="Arial" w:cs="Arial"/>
          <w:sz w:val="22"/>
          <w:lang w:val="es-ES"/>
        </w:rPr>
        <w:t>El numeral «02»</w:t>
      </w:r>
      <w:r w:rsidR="00E409C2">
        <w:rPr>
          <w:rFonts w:ascii="Arial" w:hAnsi="Arial" w:cs="Arial"/>
          <w:sz w:val="22"/>
          <w:lang w:val="es-ES"/>
        </w:rPr>
        <w:t>, incisos 3 y 4,</w:t>
      </w:r>
      <w:r w:rsidR="00711C34">
        <w:rPr>
          <w:rFonts w:ascii="Arial" w:hAnsi="Arial" w:cs="Arial"/>
          <w:sz w:val="22"/>
          <w:lang w:val="es-ES"/>
        </w:rPr>
        <w:t xml:space="preserve"> del artículo 35 del </w:t>
      </w:r>
      <w:r w:rsidR="00711C34" w:rsidRPr="00FA1260">
        <w:rPr>
          <w:rFonts w:ascii="Arial" w:hAnsi="Arial" w:cs="Arial"/>
          <w:sz w:val="22"/>
          <w:lang w:val="es-ES"/>
        </w:rPr>
        <w:t>Decreto 2411 de 2019</w:t>
      </w:r>
      <w:r w:rsidR="00711C34">
        <w:rPr>
          <w:rFonts w:ascii="Arial" w:hAnsi="Arial" w:cs="Arial"/>
          <w:sz w:val="22"/>
          <w:lang w:val="es-ES"/>
        </w:rPr>
        <w:t xml:space="preserve"> retoma textualmente los parágrafos 1, 3 y 4 del </w:t>
      </w:r>
      <w:r w:rsidR="00711C34" w:rsidRPr="008A638F">
        <w:rPr>
          <w:rFonts w:ascii="Arial" w:hAnsi="Arial" w:cs="Arial"/>
          <w:sz w:val="22"/>
          <w:lang w:val="es-ES"/>
        </w:rPr>
        <w:t>artículo 2.8.4.4.6</w:t>
      </w:r>
      <w:r w:rsidR="00711C34">
        <w:rPr>
          <w:rFonts w:ascii="Arial" w:hAnsi="Arial" w:cs="Arial"/>
          <w:sz w:val="22"/>
          <w:lang w:val="es-ES"/>
        </w:rPr>
        <w:t xml:space="preserve"> del Decreto 1068 de 2015, disposiciones que definen qué se entiende por «remuneración total mensual» para efectos </w:t>
      </w:r>
      <w:r w:rsidR="00E409C2">
        <w:rPr>
          <w:rFonts w:ascii="Arial" w:hAnsi="Arial" w:cs="Arial"/>
          <w:sz w:val="22"/>
          <w:lang w:val="es-ES"/>
        </w:rPr>
        <w:t>del límite de los honorarios –inc. 3– y el alcance de los «servicios altamente calificados»</w:t>
      </w:r>
      <w:r w:rsidR="004E1B67">
        <w:rPr>
          <w:rFonts w:ascii="Arial" w:hAnsi="Arial" w:cs="Arial"/>
          <w:sz w:val="22"/>
          <w:lang w:val="es-ES"/>
        </w:rPr>
        <w:t xml:space="preserve"> –inc. 4–</w:t>
      </w:r>
      <w:r w:rsidR="00711C34">
        <w:rPr>
          <w:rFonts w:ascii="Arial" w:hAnsi="Arial" w:cs="Arial"/>
          <w:sz w:val="22"/>
          <w:lang w:val="es-ES"/>
        </w:rPr>
        <w:t xml:space="preserve">. En esta medida, a diferencia del inciso primero </w:t>
      </w:r>
      <w:r w:rsidR="00E409C2">
        <w:rPr>
          <w:rFonts w:ascii="Arial" w:hAnsi="Arial" w:cs="Arial"/>
          <w:sz w:val="22"/>
          <w:lang w:val="es-ES"/>
        </w:rPr>
        <w:t xml:space="preserve">del </w:t>
      </w:r>
      <w:r w:rsidR="00E409C2" w:rsidRPr="008A638F">
        <w:rPr>
          <w:rFonts w:ascii="Arial" w:hAnsi="Arial" w:cs="Arial"/>
          <w:sz w:val="22"/>
          <w:lang w:val="es-ES"/>
        </w:rPr>
        <w:t>artículo 2.8.4.4.6</w:t>
      </w:r>
      <w:r w:rsidR="00E409C2">
        <w:rPr>
          <w:rFonts w:ascii="Arial" w:hAnsi="Arial" w:cs="Arial"/>
          <w:sz w:val="22"/>
          <w:lang w:val="es-ES"/>
        </w:rPr>
        <w:t xml:space="preserve"> del Decreto 1068 de 2015</w:t>
      </w:r>
      <w:r w:rsidR="00711C34">
        <w:rPr>
          <w:rFonts w:ascii="Arial" w:hAnsi="Arial" w:cs="Arial"/>
          <w:sz w:val="22"/>
          <w:lang w:val="es-ES"/>
        </w:rPr>
        <w:t>,</w:t>
      </w:r>
      <w:r w:rsidR="001B5E3F">
        <w:rPr>
          <w:rFonts w:ascii="Arial" w:hAnsi="Arial" w:cs="Arial"/>
          <w:sz w:val="22"/>
          <w:lang w:val="es-ES"/>
        </w:rPr>
        <w:t xml:space="preserve"> </w:t>
      </w:r>
      <w:r w:rsidR="00711C34">
        <w:rPr>
          <w:rFonts w:ascii="Arial" w:hAnsi="Arial" w:cs="Arial"/>
          <w:sz w:val="22"/>
          <w:lang w:val="es-ES"/>
        </w:rPr>
        <w:t xml:space="preserve">la liquidación del presupuesto para la vigencia de 2020 </w:t>
      </w:r>
      <w:r w:rsidR="00E409C2">
        <w:rPr>
          <w:rFonts w:ascii="Arial" w:hAnsi="Arial" w:cs="Arial"/>
          <w:sz w:val="22"/>
          <w:lang w:val="es-ES"/>
        </w:rPr>
        <w:t>dispone que «</w:t>
      </w:r>
      <w:r w:rsidR="00E409C2" w:rsidRPr="00E409C2">
        <w:rPr>
          <w:rFonts w:ascii="Arial" w:hAnsi="Arial" w:cs="Arial"/>
          <w:sz w:val="22"/>
          <w:lang w:val="es-ES"/>
        </w:rPr>
        <w:t>La remuneración para la contratación de servicios, suministrados por personas naturales o jurídicas, no podrá pactarse por valor mensual superior a la remuneración total mensual establecida para el jefe de la entidad</w:t>
      </w:r>
      <w:r w:rsidR="00E409C2">
        <w:rPr>
          <w:rFonts w:ascii="Arial" w:hAnsi="Arial" w:cs="Arial"/>
          <w:sz w:val="22"/>
          <w:lang w:val="es-ES"/>
        </w:rPr>
        <w:t>»</w:t>
      </w:r>
      <w:r w:rsidR="004A4114">
        <w:rPr>
          <w:rFonts w:ascii="Arial" w:hAnsi="Arial" w:cs="Arial"/>
          <w:sz w:val="22"/>
          <w:lang w:val="es-ES"/>
        </w:rPr>
        <w:t>.</w:t>
      </w:r>
      <w:r w:rsidR="001B5E3F">
        <w:rPr>
          <w:rFonts w:ascii="Arial" w:hAnsi="Arial" w:cs="Arial"/>
          <w:sz w:val="22"/>
          <w:lang w:val="es-ES"/>
        </w:rPr>
        <w:t xml:space="preserve"> </w:t>
      </w:r>
    </w:p>
    <w:p w14:paraId="2F6087EE" w14:textId="1EE1143C" w:rsidR="00F73C69" w:rsidRDefault="004A4114" w:rsidP="004A4114">
      <w:pPr>
        <w:spacing w:after="120" w:line="276" w:lineRule="auto"/>
        <w:ind w:firstLine="708"/>
        <w:jc w:val="both"/>
        <w:rPr>
          <w:rFonts w:ascii="Arial" w:hAnsi="Arial" w:cs="Arial"/>
          <w:sz w:val="22"/>
          <w:lang w:val="es-ES"/>
        </w:rPr>
      </w:pPr>
      <w:r>
        <w:rPr>
          <w:rFonts w:ascii="Arial" w:hAnsi="Arial" w:cs="Arial"/>
          <w:sz w:val="22"/>
          <w:lang w:val="es-ES"/>
        </w:rPr>
        <w:t>En esta medida</w:t>
      </w:r>
      <w:r w:rsidR="001B5E3F">
        <w:rPr>
          <w:rFonts w:ascii="Arial" w:hAnsi="Arial" w:cs="Arial"/>
          <w:sz w:val="22"/>
          <w:lang w:val="es-ES"/>
        </w:rPr>
        <w:t>, el Decreto</w:t>
      </w:r>
      <w:r w:rsidR="001B5E3F" w:rsidRPr="00FA1260">
        <w:rPr>
          <w:rFonts w:ascii="Arial" w:hAnsi="Arial" w:cs="Arial"/>
          <w:sz w:val="22"/>
          <w:lang w:val="es-ES"/>
        </w:rPr>
        <w:t xml:space="preserve"> 2411 de 2019</w:t>
      </w:r>
      <w:r w:rsidR="004E1B67">
        <w:rPr>
          <w:rFonts w:ascii="Arial" w:hAnsi="Arial" w:cs="Arial"/>
          <w:sz w:val="22"/>
          <w:lang w:val="es-ES"/>
        </w:rPr>
        <w:t xml:space="preserve"> dispone una limitación general al pago de honorarios</w:t>
      </w:r>
      <w:r>
        <w:rPr>
          <w:rFonts w:ascii="Arial" w:hAnsi="Arial" w:cs="Arial"/>
          <w:sz w:val="22"/>
          <w:lang w:val="es-ES"/>
        </w:rPr>
        <w:t xml:space="preserve">, lo que se ratifica cuando el numeral «02» del artículo 35 no reproduce nuevamente el contenido del </w:t>
      </w:r>
      <w:r w:rsidRPr="008A638F">
        <w:rPr>
          <w:rFonts w:ascii="Arial" w:hAnsi="Arial" w:cs="Arial"/>
          <w:sz w:val="22"/>
          <w:lang w:val="es-ES"/>
        </w:rPr>
        <w:t>artículo 2.8.4.4.6</w:t>
      </w:r>
      <w:r>
        <w:rPr>
          <w:rFonts w:ascii="Arial" w:hAnsi="Arial" w:cs="Arial"/>
          <w:sz w:val="22"/>
          <w:lang w:val="es-ES"/>
        </w:rPr>
        <w:t>, parágrafo 2, del Decreto 1068 de 2015, pues la prohibición también es independiente de que la liquidación del presupuesto contenga un rubro autónomo para la «remuneración servicios técnicos»</w:t>
      </w:r>
      <w:r w:rsidR="00F73C69">
        <w:rPr>
          <w:rFonts w:ascii="Arial" w:hAnsi="Arial" w:cs="Arial"/>
          <w:sz w:val="22"/>
          <w:lang w:val="es-ES"/>
        </w:rPr>
        <w:t xml:space="preserve">, es decir, </w:t>
      </w:r>
      <w:r>
        <w:rPr>
          <w:rFonts w:ascii="Arial" w:hAnsi="Arial" w:cs="Arial"/>
          <w:sz w:val="22"/>
          <w:lang w:val="es-ES"/>
        </w:rPr>
        <w:t xml:space="preserve">la prohibición </w:t>
      </w:r>
      <w:r w:rsidR="00F73C69">
        <w:rPr>
          <w:rFonts w:ascii="Arial" w:hAnsi="Arial" w:cs="Arial"/>
          <w:sz w:val="22"/>
          <w:lang w:val="es-ES"/>
        </w:rPr>
        <w:t>rige en toda la contratación de servicios.</w:t>
      </w:r>
      <w:r>
        <w:rPr>
          <w:rFonts w:ascii="Arial" w:hAnsi="Arial" w:cs="Arial"/>
          <w:sz w:val="22"/>
          <w:lang w:val="es-ES"/>
        </w:rPr>
        <w:t xml:space="preserve">    </w:t>
      </w:r>
    </w:p>
    <w:p w14:paraId="1E4C72E9" w14:textId="096CC6A0" w:rsidR="00B32CF1" w:rsidRDefault="000938A4" w:rsidP="00B32CF1">
      <w:pPr>
        <w:spacing w:line="276" w:lineRule="auto"/>
        <w:ind w:firstLine="708"/>
        <w:jc w:val="both"/>
        <w:rPr>
          <w:rFonts w:ascii="Arial" w:hAnsi="Arial" w:cs="Arial"/>
          <w:sz w:val="22"/>
          <w:lang w:val="es-ES"/>
        </w:rPr>
      </w:pPr>
      <w:r>
        <w:rPr>
          <w:rFonts w:ascii="Arial" w:hAnsi="Arial" w:cs="Arial"/>
          <w:sz w:val="22"/>
          <w:lang w:val="es-ES"/>
        </w:rPr>
        <w:t xml:space="preserve">Considerando </w:t>
      </w:r>
      <w:r w:rsidR="009D412D">
        <w:rPr>
          <w:rFonts w:ascii="Arial" w:hAnsi="Arial" w:cs="Arial"/>
          <w:sz w:val="22"/>
          <w:lang w:val="es-ES"/>
        </w:rPr>
        <w:t>los cambios que introduce e</w:t>
      </w:r>
      <w:r w:rsidR="00F73C69">
        <w:rPr>
          <w:rFonts w:ascii="Arial" w:hAnsi="Arial" w:cs="Arial"/>
          <w:sz w:val="22"/>
          <w:lang w:val="es-ES"/>
        </w:rPr>
        <w:t>l numeral «02»</w:t>
      </w:r>
      <w:r w:rsidR="004A4114">
        <w:rPr>
          <w:rFonts w:ascii="Arial" w:hAnsi="Arial" w:cs="Arial"/>
          <w:sz w:val="22"/>
          <w:lang w:val="es-ES"/>
        </w:rPr>
        <w:t xml:space="preserve"> </w:t>
      </w:r>
      <w:r w:rsidR="00F73C69">
        <w:rPr>
          <w:rFonts w:ascii="Arial" w:hAnsi="Arial" w:cs="Arial"/>
          <w:sz w:val="22"/>
          <w:lang w:val="es-ES"/>
        </w:rPr>
        <w:t xml:space="preserve">del artículo 35 del </w:t>
      </w:r>
      <w:r w:rsidR="00F73C69" w:rsidRPr="00FA1260">
        <w:rPr>
          <w:rFonts w:ascii="Arial" w:hAnsi="Arial" w:cs="Arial"/>
          <w:sz w:val="22"/>
          <w:lang w:val="es-ES"/>
        </w:rPr>
        <w:t>Decreto 2411 de 2019</w:t>
      </w:r>
      <w:r w:rsidR="009D412D">
        <w:rPr>
          <w:rFonts w:ascii="Arial" w:hAnsi="Arial" w:cs="Arial"/>
          <w:sz w:val="22"/>
          <w:lang w:val="es-ES"/>
        </w:rPr>
        <w:t>, es claro que para la vigencia fiscal del año en curso aplica nuevamente la prohibición de pactar honorarios. No obstante, ¿</w:t>
      </w:r>
      <w:r>
        <w:rPr>
          <w:rFonts w:ascii="Arial" w:hAnsi="Arial" w:cs="Arial"/>
          <w:sz w:val="22"/>
          <w:lang w:val="es-ES"/>
        </w:rPr>
        <w:t>deroga tácitamente el artículo</w:t>
      </w:r>
      <w:r w:rsidRPr="008A638F">
        <w:rPr>
          <w:rFonts w:ascii="Arial" w:hAnsi="Arial" w:cs="Arial"/>
          <w:sz w:val="22"/>
          <w:lang w:val="es-ES"/>
        </w:rPr>
        <w:t xml:space="preserve"> 2.8.4.4.6</w:t>
      </w:r>
      <w:r>
        <w:rPr>
          <w:rFonts w:ascii="Arial" w:hAnsi="Arial" w:cs="Arial"/>
          <w:sz w:val="22"/>
          <w:lang w:val="es-ES"/>
        </w:rPr>
        <w:t xml:space="preserve"> del Decreto 1068 de 2015</w:t>
      </w:r>
      <w:r w:rsidR="00B32CF1">
        <w:rPr>
          <w:rFonts w:ascii="Arial" w:hAnsi="Arial" w:cs="Arial"/>
          <w:sz w:val="22"/>
          <w:lang w:val="es-ES"/>
        </w:rPr>
        <w:t>? En principio, la respuesta sería positiva por tratarse de una norma posterior; pero es dudos</w:t>
      </w:r>
      <w:r w:rsidR="00C45F49">
        <w:rPr>
          <w:rFonts w:ascii="Arial" w:hAnsi="Arial" w:cs="Arial"/>
          <w:sz w:val="22"/>
          <w:lang w:val="es-ES"/>
        </w:rPr>
        <w:t>a</w:t>
      </w:r>
      <w:r w:rsidR="00B32CF1">
        <w:rPr>
          <w:rFonts w:ascii="Arial" w:hAnsi="Arial" w:cs="Arial"/>
          <w:sz w:val="22"/>
          <w:lang w:val="es-ES"/>
        </w:rPr>
        <w:t xml:space="preserve"> en la medida que el decreto que liquidó el presupuesto para 2020 disp</w:t>
      </w:r>
      <w:r w:rsidR="00C45F49">
        <w:rPr>
          <w:rFonts w:ascii="Arial" w:hAnsi="Arial" w:cs="Arial"/>
          <w:sz w:val="22"/>
          <w:lang w:val="es-ES"/>
        </w:rPr>
        <w:t>uso</w:t>
      </w:r>
      <w:r w:rsidR="00B32CF1">
        <w:rPr>
          <w:rFonts w:ascii="Arial" w:hAnsi="Arial" w:cs="Arial"/>
          <w:sz w:val="22"/>
          <w:lang w:val="es-ES"/>
        </w:rPr>
        <w:t xml:space="preserve"> lo siguiente:</w:t>
      </w:r>
    </w:p>
    <w:p w14:paraId="0016AC37" w14:textId="77777777" w:rsidR="00B32CF1" w:rsidRDefault="00B32CF1" w:rsidP="00B32CF1">
      <w:pPr>
        <w:spacing w:line="276" w:lineRule="auto"/>
        <w:ind w:firstLine="708"/>
        <w:jc w:val="both"/>
        <w:rPr>
          <w:rFonts w:ascii="Arial" w:hAnsi="Arial" w:cs="Arial"/>
          <w:sz w:val="22"/>
          <w:lang w:val="es-ES"/>
        </w:rPr>
      </w:pPr>
    </w:p>
    <w:p w14:paraId="797538EC" w14:textId="77777777" w:rsidR="00B32CF1" w:rsidRPr="008A638F" w:rsidRDefault="00B32CF1" w:rsidP="00B32CF1">
      <w:pPr>
        <w:ind w:left="709" w:right="709"/>
        <w:jc w:val="both"/>
        <w:rPr>
          <w:rFonts w:ascii="Arial" w:hAnsi="Arial" w:cs="Arial"/>
          <w:sz w:val="21"/>
          <w:szCs w:val="21"/>
          <w:lang w:val="es-ES"/>
        </w:rPr>
      </w:pPr>
      <w:r w:rsidRPr="008A638F">
        <w:rPr>
          <w:rFonts w:ascii="Arial" w:hAnsi="Arial" w:cs="Arial"/>
          <w:sz w:val="21"/>
          <w:szCs w:val="21"/>
          <w:lang w:val="es-ES"/>
        </w:rPr>
        <w:t xml:space="preserve">Artículo 35. Los gastos incluidos en el presupuesto para la vigencia fiscal 2020 se definen de la siguiente forma:  </w:t>
      </w:r>
    </w:p>
    <w:p w14:paraId="7B1E150B" w14:textId="77777777" w:rsidR="00B32CF1" w:rsidRDefault="00B32CF1" w:rsidP="00B32CF1">
      <w:pPr>
        <w:spacing w:after="120"/>
        <w:ind w:left="709" w:right="709"/>
        <w:jc w:val="both"/>
        <w:rPr>
          <w:rFonts w:ascii="Arial" w:hAnsi="Arial" w:cs="Arial"/>
          <w:sz w:val="21"/>
          <w:szCs w:val="21"/>
          <w:lang w:val="es-ES"/>
        </w:rPr>
      </w:pPr>
      <w:r w:rsidRPr="008A638F">
        <w:rPr>
          <w:rFonts w:ascii="Arial" w:hAnsi="Arial" w:cs="Arial"/>
          <w:sz w:val="21"/>
          <w:szCs w:val="21"/>
          <w:lang w:val="es-ES"/>
        </w:rPr>
        <w:lastRenderedPageBreak/>
        <w:t>[…]</w:t>
      </w:r>
    </w:p>
    <w:p w14:paraId="4C1A3B82" w14:textId="77777777" w:rsidR="00B32CF1" w:rsidRPr="008A638F" w:rsidRDefault="00B32CF1" w:rsidP="00B32CF1">
      <w:pPr>
        <w:spacing w:after="120"/>
        <w:ind w:left="709" w:right="709"/>
        <w:jc w:val="both"/>
        <w:rPr>
          <w:rFonts w:ascii="Arial" w:hAnsi="Arial" w:cs="Arial"/>
          <w:sz w:val="21"/>
          <w:szCs w:val="21"/>
          <w:lang w:val="es-ES"/>
        </w:rPr>
      </w:pPr>
      <w:r w:rsidRPr="008A638F">
        <w:rPr>
          <w:rFonts w:ascii="Arial" w:hAnsi="Arial" w:cs="Arial"/>
          <w:sz w:val="21"/>
          <w:szCs w:val="21"/>
          <w:lang w:val="es-ES"/>
        </w:rPr>
        <w:t xml:space="preserve">02 02 ADQUISICIONES DIFERENTES DE ACTIVOS  </w:t>
      </w:r>
    </w:p>
    <w:p w14:paraId="6F4FA846" w14:textId="77777777" w:rsidR="00B32CF1" w:rsidRDefault="00B32CF1" w:rsidP="00B32CF1">
      <w:pPr>
        <w:ind w:left="709" w:right="709"/>
        <w:jc w:val="both"/>
        <w:rPr>
          <w:rFonts w:ascii="Arial" w:hAnsi="Arial" w:cs="Arial"/>
          <w:sz w:val="22"/>
          <w:lang w:val="es-ES"/>
        </w:rPr>
      </w:pPr>
      <w:r w:rsidRPr="008A638F">
        <w:rPr>
          <w:rFonts w:ascii="Arial" w:hAnsi="Arial" w:cs="Arial"/>
          <w:sz w:val="21"/>
          <w:szCs w:val="21"/>
          <w:lang w:val="es-ES"/>
        </w:rPr>
        <w:t xml:space="preserve">Son los gastos asociados a la adquisición de bienes (que no constituyen activos); así como los servicios suministrados por personas naturales y jurídicas que se utilizan para apoyar el desarrollo de las funciones de la entidad, </w:t>
      </w:r>
      <w:r w:rsidRPr="008A638F">
        <w:rPr>
          <w:rFonts w:ascii="Arial" w:hAnsi="Arial" w:cs="Arial"/>
          <w:i/>
          <w:iCs/>
          <w:sz w:val="21"/>
          <w:szCs w:val="21"/>
          <w:lang w:val="es-ES"/>
        </w:rPr>
        <w:t xml:space="preserve">tales como honorarios y remuneración servicios técnicos, para lo cual se deberá tener en cuenta lo establecido por </w:t>
      </w:r>
      <w:bookmarkStart w:id="29" w:name="_Hlk45700797"/>
      <w:r w:rsidRPr="008A638F">
        <w:rPr>
          <w:rFonts w:ascii="Arial" w:hAnsi="Arial" w:cs="Arial"/>
          <w:i/>
          <w:iCs/>
          <w:sz w:val="21"/>
          <w:szCs w:val="21"/>
          <w:lang w:val="es-ES"/>
        </w:rPr>
        <w:t>el artículo 2.8.4.4.6 del Decreto 1068 de 2015</w:t>
      </w:r>
      <w:bookmarkEnd w:id="29"/>
      <w:r w:rsidRPr="008A638F">
        <w:rPr>
          <w:rFonts w:ascii="Arial" w:hAnsi="Arial" w:cs="Arial"/>
          <w:sz w:val="21"/>
          <w:szCs w:val="21"/>
          <w:lang w:val="es-ES"/>
        </w:rPr>
        <w:t>. (Cursivas fuera de texto)</w:t>
      </w:r>
      <w:r>
        <w:rPr>
          <w:rFonts w:ascii="Arial" w:hAnsi="Arial" w:cs="Arial"/>
          <w:sz w:val="22"/>
          <w:lang w:val="es-ES"/>
        </w:rPr>
        <w:t xml:space="preserve"> </w:t>
      </w:r>
      <w:r w:rsidR="000938A4">
        <w:rPr>
          <w:rFonts w:ascii="Arial" w:hAnsi="Arial" w:cs="Arial"/>
          <w:sz w:val="22"/>
          <w:lang w:val="es-ES"/>
        </w:rPr>
        <w:t xml:space="preserve"> </w:t>
      </w:r>
    </w:p>
    <w:p w14:paraId="231E94CD" w14:textId="123751F4" w:rsidR="00711C34" w:rsidRPr="00B32CF1" w:rsidRDefault="009D412D" w:rsidP="00B32CF1">
      <w:pPr>
        <w:ind w:left="709" w:right="709"/>
        <w:jc w:val="both"/>
        <w:rPr>
          <w:rFonts w:ascii="Arial" w:hAnsi="Arial" w:cs="Arial"/>
          <w:sz w:val="21"/>
          <w:szCs w:val="21"/>
          <w:lang w:val="es-ES"/>
        </w:rPr>
      </w:pPr>
      <w:r>
        <w:rPr>
          <w:rFonts w:ascii="Arial" w:hAnsi="Arial" w:cs="Arial"/>
          <w:sz w:val="22"/>
          <w:lang w:val="es-ES"/>
        </w:rPr>
        <w:t xml:space="preserve"> </w:t>
      </w:r>
    </w:p>
    <w:p w14:paraId="33109CEA" w14:textId="77777777" w:rsidR="000D2130" w:rsidRDefault="00C45F49" w:rsidP="00711C34">
      <w:pPr>
        <w:spacing w:after="120" w:line="276" w:lineRule="auto"/>
        <w:ind w:firstLine="708"/>
        <w:jc w:val="both"/>
        <w:rPr>
          <w:rFonts w:ascii="Arial" w:hAnsi="Arial" w:cs="Arial"/>
          <w:sz w:val="22"/>
          <w:lang w:val="es-ES"/>
        </w:rPr>
      </w:pPr>
      <w:bookmarkStart w:id="30" w:name="_Hlk45875336"/>
      <w:r>
        <w:rPr>
          <w:rFonts w:ascii="Arial" w:hAnsi="Arial" w:cs="Arial"/>
          <w:sz w:val="22"/>
          <w:lang w:val="es-ES"/>
        </w:rPr>
        <w:t>El numeral citado no dispone que la «remuneración servicios técnicos» sea una categoría autónoma dentro del presupuesto; todo lo contrario, la subsume dentro las «adquisiciones diferentes de activos» y se remite a</w:t>
      </w:r>
      <w:r w:rsidRPr="00C45F49">
        <w:rPr>
          <w:rFonts w:ascii="Arial" w:hAnsi="Arial" w:cs="Arial"/>
          <w:sz w:val="22"/>
          <w:lang w:val="es-ES"/>
        </w:rPr>
        <w:t>l artículo 2.8.4.4.6 del Decreto 1068 de 2015</w:t>
      </w:r>
      <w:r>
        <w:rPr>
          <w:rFonts w:ascii="Arial" w:hAnsi="Arial" w:cs="Arial"/>
          <w:sz w:val="22"/>
          <w:lang w:val="es-ES"/>
        </w:rPr>
        <w:t xml:space="preserve">. </w:t>
      </w:r>
      <w:r w:rsidR="00D41A34">
        <w:rPr>
          <w:rFonts w:ascii="Arial" w:hAnsi="Arial" w:cs="Arial"/>
          <w:sz w:val="22"/>
          <w:lang w:val="es-ES"/>
        </w:rPr>
        <w:t xml:space="preserve">Como la derogatoria tácita es lógicamente incompatible con la remisión, se concluye que la norma mencionada continua vigente. </w:t>
      </w:r>
    </w:p>
    <w:p w14:paraId="55F8D665" w14:textId="01E642A8" w:rsidR="00C45F49" w:rsidRDefault="000D2130" w:rsidP="00711C34">
      <w:pPr>
        <w:spacing w:after="120" w:line="276" w:lineRule="auto"/>
        <w:ind w:firstLine="708"/>
        <w:jc w:val="both"/>
        <w:rPr>
          <w:rFonts w:ascii="Arial" w:hAnsi="Arial" w:cs="Arial"/>
          <w:sz w:val="22"/>
          <w:lang w:val="es-ES"/>
        </w:rPr>
      </w:pPr>
      <w:r w:rsidRPr="000D2130">
        <w:rPr>
          <w:rFonts w:ascii="Arial" w:hAnsi="Arial" w:cs="Arial"/>
          <w:sz w:val="22"/>
          <w:lang w:val="es-ES"/>
        </w:rPr>
        <w:t>En consecuencia, dado que el</w:t>
      </w:r>
      <w:r>
        <w:rPr>
          <w:rFonts w:ascii="Arial" w:hAnsi="Arial" w:cs="Arial"/>
          <w:sz w:val="22"/>
          <w:lang w:val="es-ES"/>
        </w:rPr>
        <w:t xml:space="preserve"> artículo 35, numeral «02 02», de</w:t>
      </w:r>
      <w:r w:rsidRPr="000D2130">
        <w:rPr>
          <w:rFonts w:ascii="Arial" w:hAnsi="Arial" w:cs="Arial"/>
          <w:sz w:val="22"/>
          <w:lang w:val="es-ES"/>
        </w:rPr>
        <w:t xml:space="preserve"> Decreto 2411 de 2019 desarrolla la categoría de «remuneración servicios técnicos», </w:t>
      </w:r>
      <w:r>
        <w:rPr>
          <w:rFonts w:ascii="Arial" w:hAnsi="Arial" w:cs="Arial"/>
          <w:sz w:val="22"/>
          <w:lang w:val="es-ES"/>
        </w:rPr>
        <w:t>también aplica</w:t>
      </w:r>
      <w:r w:rsidRPr="000D2130">
        <w:rPr>
          <w:rFonts w:ascii="Arial" w:hAnsi="Arial" w:cs="Arial"/>
          <w:sz w:val="22"/>
          <w:lang w:val="es-ES"/>
        </w:rPr>
        <w:t xml:space="preserve"> el límite al tope de los honorarios en los contratos de prestación de servicios d</w:t>
      </w:r>
      <w:bookmarkStart w:id="31" w:name="_Hlk45702144"/>
      <w:r w:rsidRPr="000D2130">
        <w:rPr>
          <w:rFonts w:ascii="Arial" w:hAnsi="Arial" w:cs="Arial"/>
          <w:sz w:val="22"/>
          <w:lang w:val="es-ES"/>
        </w:rPr>
        <w:t>el artículo 2.8.4.4.6 del Decreto 1068 de 2015</w:t>
      </w:r>
      <w:bookmarkEnd w:id="31"/>
      <w:r w:rsidRPr="000D2130">
        <w:rPr>
          <w:rFonts w:ascii="Arial" w:hAnsi="Arial" w:cs="Arial"/>
          <w:sz w:val="22"/>
          <w:lang w:val="es-ES"/>
        </w:rPr>
        <w:t>, anteriormente citado. Por tanto, los «servicios personales calificados» no puede superar la remuneración total mensual establecida para el jefe de la entidad, la cual –conforme al parágrafo primero– no incluye los factores prestacionales; mientras que los «servicios personales altamente calificados», esto es, aquellos de alto nivel de especialidad, complejidad y detalle que cumplen los requisitos del parágrafo tercero, inciso segundo, pueden superar la remuneración mensual total mensual del jefe de la entidad, pero sin sobrepasar la suma de este valor con los factores prestacionales y las contribuciones inherentes a la nómina, relacionadas con seguridad social y parafiscales a cargo del empleador.</w:t>
      </w:r>
      <w:r w:rsidR="00D41A34">
        <w:rPr>
          <w:rFonts w:ascii="Arial" w:hAnsi="Arial" w:cs="Arial"/>
          <w:sz w:val="22"/>
          <w:lang w:val="es-ES"/>
        </w:rPr>
        <w:t xml:space="preserve">  </w:t>
      </w:r>
      <w:r w:rsidR="00C45F49">
        <w:rPr>
          <w:rFonts w:ascii="Arial" w:hAnsi="Arial" w:cs="Arial"/>
          <w:sz w:val="22"/>
          <w:lang w:val="es-ES"/>
        </w:rPr>
        <w:t xml:space="preserve">   </w:t>
      </w:r>
    </w:p>
    <w:bookmarkEnd w:id="30"/>
    <w:p w14:paraId="0749DBD3" w14:textId="77777777" w:rsidR="00C80962" w:rsidRDefault="000D2130" w:rsidP="00C80962">
      <w:pPr>
        <w:spacing w:after="120" w:line="276" w:lineRule="auto"/>
        <w:ind w:firstLine="708"/>
        <w:jc w:val="both"/>
        <w:rPr>
          <w:rFonts w:ascii="Arial" w:hAnsi="Arial" w:cs="Arial"/>
          <w:sz w:val="22"/>
          <w:lang w:val="es-ES"/>
        </w:rPr>
      </w:pPr>
      <w:r>
        <w:rPr>
          <w:rFonts w:ascii="Arial" w:hAnsi="Arial" w:cs="Arial"/>
          <w:sz w:val="22"/>
          <w:lang w:val="es-ES"/>
        </w:rPr>
        <w:t xml:space="preserve">Sin embargo, surge una pregunta adicional: </w:t>
      </w:r>
      <w:bookmarkStart w:id="32" w:name="_Hlk45875628"/>
      <w:r>
        <w:rPr>
          <w:rFonts w:ascii="Arial" w:hAnsi="Arial" w:cs="Arial"/>
          <w:sz w:val="22"/>
          <w:lang w:val="es-ES"/>
        </w:rPr>
        <w:t xml:space="preserve">¿cuál es el fundamento de la limitación?, ¿únicamente el numeral «02» del artículo 35 del Decreto 2411 de 2019?, ¿el numeral «02 02» </w:t>
      </w:r>
      <w:proofErr w:type="spellStart"/>
      <w:r w:rsidRPr="000D2130">
        <w:rPr>
          <w:rFonts w:ascii="Arial" w:hAnsi="Arial" w:cs="Arial"/>
          <w:i/>
          <w:iCs/>
          <w:sz w:val="22"/>
          <w:lang w:val="es-ES"/>
        </w:rPr>
        <w:t>ibídem</w:t>
      </w:r>
      <w:proofErr w:type="spellEnd"/>
      <w:r>
        <w:rPr>
          <w:rFonts w:ascii="Arial" w:hAnsi="Arial" w:cs="Arial"/>
          <w:sz w:val="22"/>
          <w:lang w:val="es-ES"/>
        </w:rPr>
        <w:t>? ¿ambas normas al mismo tiempo? Una primera mirada daría a entender que</w:t>
      </w:r>
      <w:r w:rsidR="00981E70">
        <w:rPr>
          <w:rFonts w:ascii="Arial" w:hAnsi="Arial" w:cs="Arial"/>
          <w:sz w:val="22"/>
          <w:lang w:val="es-ES"/>
        </w:rPr>
        <w:t xml:space="preserve"> la prohibición de pactar honorarios por un valor mayor a la remuneración total mensual de jefe de la entidad deriva exclusivamente del numeral «02 02» del artículo 35 del Decreto 2411 de 2019</w:t>
      </w:r>
      <w:r w:rsidR="008F3251">
        <w:rPr>
          <w:rFonts w:ascii="Arial" w:hAnsi="Arial" w:cs="Arial"/>
          <w:sz w:val="22"/>
          <w:lang w:val="es-ES"/>
        </w:rPr>
        <w:t xml:space="preserve">, en concordancia con </w:t>
      </w:r>
      <w:r w:rsidR="008F3251" w:rsidRPr="000D2130">
        <w:rPr>
          <w:rFonts w:ascii="Arial" w:hAnsi="Arial" w:cs="Arial"/>
          <w:sz w:val="22"/>
          <w:lang w:val="es-ES"/>
        </w:rPr>
        <w:t>el artículo 2.8.4.4.6 del Decreto 1068 de 2015</w:t>
      </w:r>
      <w:r w:rsidR="008F3251">
        <w:rPr>
          <w:rFonts w:ascii="Arial" w:hAnsi="Arial" w:cs="Arial"/>
          <w:sz w:val="22"/>
          <w:lang w:val="es-ES"/>
        </w:rPr>
        <w:t xml:space="preserve">. Esta conclusión se fundamentaría en el artículo </w:t>
      </w:r>
      <w:r w:rsidR="00C80962">
        <w:rPr>
          <w:rFonts w:ascii="Arial" w:hAnsi="Arial" w:cs="Arial"/>
          <w:sz w:val="22"/>
          <w:lang w:val="es-ES"/>
        </w:rPr>
        <w:t>5.2 de la Ley 57 de 1887, pues dispone que «</w:t>
      </w:r>
      <w:r w:rsidR="00C80962" w:rsidRPr="00C80962">
        <w:rPr>
          <w:rFonts w:ascii="Arial" w:hAnsi="Arial" w:cs="Arial"/>
          <w:sz w:val="22"/>
          <w:lang w:val="es-ES"/>
        </w:rPr>
        <w:t xml:space="preserve">Cuando las disposiciones tengan una misma especialidad </w:t>
      </w:r>
      <w:r w:rsidR="00C80962">
        <w:rPr>
          <w:rFonts w:ascii="Arial" w:hAnsi="Arial" w:cs="Arial"/>
          <w:sz w:val="22"/>
          <w:lang w:val="es-ES"/>
        </w:rPr>
        <w:t>o</w:t>
      </w:r>
      <w:r w:rsidR="00C80962" w:rsidRPr="00C80962">
        <w:rPr>
          <w:rFonts w:ascii="Arial" w:hAnsi="Arial" w:cs="Arial"/>
          <w:sz w:val="22"/>
          <w:lang w:val="es-ES"/>
        </w:rPr>
        <w:t xml:space="preserve"> generalidad, y se hallen en un mismo Código, preferirá la disposición consignada en artículo posterior</w:t>
      </w:r>
      <w:r w:rsidR="00C80962">
        <w:rPr>
          <w:rFonts w:ascii="Arial" w:hAnsi="Arial" w:cs="Arial"/>
          <w:sz w:val="22"/>
          <w:lang w:val="es-ES"/>
        </w:rPr>
        <w:t xml:space="preserve"> […]». Según esta interpretación, el numeral «02 02» del artículo 35 del Decreto 2411 de 2019 se aplicaría con preferencia al numeral «02» </w:t>
      </w:r>
      <w:proofErr w:type="spellStart"/>
      <w:r w:rsidR="00C80962" w:rsidRPr="00C80962">
        <w:rPr>
          <w:rFonts w:ascii="Arial" w:hAnsi="Arial" w:cs="Arial"/>
          <w:i/>
          <w:iCs/>
          <w:sz w:val="22"/>
          <w:lang w:val="es-ES"/>
        </w:rPr>
        <w:t>ibídem</w:t>
      </w:r>
      <w:proofErr w:type="spellEnd"/>
      <w:r w:rsidR="00C80962">
        <w:rPr>
          <w:rFonts w:ascii="Arial" w:hAnsi="Arial" w:cs="Arial"/>
          <w:sz w:val="22"/>
          <w:lang w:val="es-ES"/>
        </w:rPr>
        <w:t xml:space="preserve">.  </w:t>
      </w:r>
    </w:p>
    <w:p w14:paraId="2CE1890A" w14:textId="1AB570A1" w:rsidR="000D2130" w:rsidRPr="00C80962" w:rsidRDefault="00C80962" w:rsidP="00C80962">
      <w:pPr>
        <w:spacing w:after="120" w:line="276" w:lineRule="auto"/>
        <w:ind w:firstLine="708"/>
        <w:jc w:val="both"/>
        <w:rPr>
          <w:rFonts w:ascii="Arial" w:hAnsi="Arial" w:cs="Arial"/>
          <w:i/>
          <w:iCs/>
          <w:sz w:val="22"/>
          <w:lang w:val="es-ES"/>
        </w:rPr>
      </w:pPr>
      <w:r>
        <w:rPr>
          <w:rFonts w:ascii="Arial" w:hAnsi="Arial" w:cs="Arial"/>
          <w:sz w:val="22"/>
          <w:lang w:val="es-ES"/>
        </w:rPr>
        <w:t>Esta posición no se comparte</w:t>
      </w:r>
      <w:r w:rsidR="00F513E5">
        <w:rPr>
          <w:rFonts w:ascii="Arial" w:hAnsi="Arial" w:cs="Arial"/>
          <w:sz w:val="22"/>
          <w:lang w:val="es-ES"/>
        </w:rPr>
        <w:t>:</w:t>
      </w:r>
      <w:r>
        <w:rPr>
          <w:rFonts w:ascii="Arial" w:hAnsi="Arial" w:cs="Arial"/>
          <w:sz w:val="22"/>
          <w:lang w:val="es-ES"/>
        </w:rPr>
        <w:t xml:space="preserve"> ambos numerales son compatibles, ya que ratifican el límite de los honorarios en los contratos de prestación de servicios</w:t>
      </w:r>
      <w:r w:rsidR="00F95AD3">
        <w:rPr>
          <w:rFonts w:ascii="Arial" w:hAnsi="Arial" w:cs="Arial"/>
          <w:sz w:val="22"/>
          <w:lang w:val="es-ES"/>
        </w:rPr>
        <w:t xml:space="preserve">; </w:t>
      </w:r>
      <w:proofErr w:type="gramStart"/>
      <w:r w:rsidR="00F95AD3">
        <w:rPr>
          <w:rFonts w:ascii="Arial" w:hAnsi="Arial" w:cs="Arial"/>
          <w:sz w:val="22"/>
          <w:lang w:val="es-ES"/>
        </w:rPr>
        <w:t>y</w:t>
      </w:r>
      <w:proofErr w:type="gramEnd"/>
      <w:r w:rsidR="00F95AD3">
        <w:rPr>
          <w:rFonts w:ascii="Arial" w:hAnsi="Arial" w:cs="Arial"/>
          <w:sz w:val="22"/>
          <w:lang w:val="es-ES"/>
        </w:rPr>
        <w:t xml:space="preserve"> además, porque el numeral «02 02» del artículo 35 del Decreto 2411 de 2019 se remite al </w:t>
      </w:r>
      <w:r w:rsidR="00F95AD3" w:rsidRPr="000D2130">
        <w:rPr>
          <w:rFonts w:ascii="Arial" w:hAnsi="Arial" w:cs="Arial"/>
          <w:sz w:val="22"/>
          <w:lang w:val="es-ES"/>
        </w:rPr>
        <w:t xml:space="preserve">artículo 2.8.4.4.6 del </w:t>
      </w:r>
      <w:r w:rsidR="00F95AD3" w:rsidRPr="000D2130">
        <w:rPr>
          <w:rFonts w:ascii="Arial" w:hAnsi="Arial" w:cs="Arial"/>
          <w:sz w:val="22"/>
          <w:lang w:val="es-ES"/>
        </w:rPr>
        <w:lastRenderedPageBreak/>
        <w:t>Decreto 1068 de 2015</w:t>
      </w:r>
      <w:r w:rsidR="00F95AD3">
        <w:rPr>
          <w:rFonts w:ascii="Arial" w:hAnsi="Arial" w:cs="Arial"/>
          <w:sz w:val="22"/>
          <w:lang w:val="es-ES"/>
        </w:rPr>
        <w:t xml:space="preserve"> que es una norma anterior, no posterior</w:t>
      </w:r>
      <w:r w:rsidR="00F513E5">
        <w:rPr>
          <w:rFonts w:ascii="Arial" w:hAnsi="Arial" w:cs="Arial"/>
          <w:sz w:val="22"/>
          <w:lang w:val="es-ES"/>
        </w:rPr>
        <w:t>, impidiendo la aplicación del citado artículo 5.2 de la Ley 57 de 1887</w:t>
      </w:r>
      <w:r w:rsidR="0054336D">
        <w:rPr>
          <w:rFonts w:ascii="Arial" w:hAnsi="Arial" w:cs="Arial"/>
          <w:sz w:val="22"/>
          <w:lang w:val="es-ES"/>
        </w:rPr>
        <w:t xml:space="preserve">. </w:t>
      </w:r>
      <w:r w:rsidR="0028445C">
        <w:rPr>
          <w:rFonts w:ascii="Arial" w:hAnsi="Arial" w:cs="Arial"/>
          <w:sz w:val="22"/>
          <w:lang w:val="es-ES"/>
        </w:rPr>
        <w:t xml:space="preserve">Como ambas normas están vigentes </w:t>
      </w:r>
      <w:r w:rsidR="00B85ED8">
        <w:rPr>
          <w:rFonts w:ascii="Arial" w:hAnsi="Arial" w:cs="Arial"/>
          <w:sz w:val="22"/>
          <w:lang w:val="es-ES"/>
        </w:rPr>
        <w:t xml:space="preserve">no rige </w:t>
      </w:r>
      <w:r w:rsidR="0028445C">
        <w:rPr>
          <w:rFonts w:ascii="Arial" w:hAnsi="Arial" w:cs="Arial"/>
          <w:sz w:val="22"/>
          <w:lang w:val="es-ES"/>
        </w:rPr>
        <w:t xml:space="preserve">el principio de </w:t>
      </w:r>
      <w:r w:rsidR="0028445C" w:rsidRPr="0028445C">
        <w:rPr>
          <w:rFonts w:ascii="Arial" w:hAnsi="Arial" w:cs="Arial"/>
          <w:i/>
          <w:iCs/>
          <w:sz w:val="22"/>
          <w:lang w:val="es-ES"/>
        </w:rPr>
        <w:t>lex posterior</w:t>
      </w:r>
      <w:r w:rsidR="0028445C">
        <w:rPr>
          <w:rFonts w:ascii="Arial" w:hAnsi="Arial" w:cs="Arial"/>
          <w:sz w:val="22"/>
          <w:lang w:val="es-ES"/>
        </w:rPr>
        <w:t xml:space="preserve">. </w:t>
      </w:r>
      <w:r w:rsidR="00F95AD3">
        <w:rPr>
          <w:rFonts w:ascii="Arial" w:hAnsi="Arial" w:cs="Arial"/>
          <w:sz w:val="22"/>
          <w:lang w:val="es-ES"/>
        </w:rPr>
        <w:t xml:space="preserve">   </w:t>
      </w:r>
      <w:r>
        <w:rPr>
          <w:rFonts w:ascii="Arial" w:hAnsi="Arial" w:cs="Arial"/>
          <w:sz w:val="22"/>
          <w:lang w:val="es-ES"/>
        </w:rPr>
        <w:t xml:space="preserve"> </w:t>
      </w:r>
      <w:r w:rsidR="000D2130">
        <w:rPr>
          <w:rFonts w:ascii="Arial" w:hAnsi="Arial" w:cs="Arial"/>
          <w:sz w:val="22"/>
          <w:lang w:val="es-ES"/>
        </w:rPr>
        <w:t xml:space="preserve">     </w:t>
      </w:r>
    </w:p>
    <w:bookmarkEnd w:id="32"/>
    <w:p w14:paraId="5171A917" w14:textId="23BFBA15" w:rsidR="008A638F" w:rsidRPr="008A638F" w:rsidRDefault="00F513E5" w:rsidP="00711C34">
      <w:pPr>
        <w:spacing w:after="120" w:line="276" w:lineRule="auto"/>
        <w:ind w:firstLine="708"/>
        <w:jc w:val="both"/>
        <w:rPr>
          <w:rFonts w:ascii="Arial" w:hAnsi="Arial" w:cs="Arial"/>
          <w:sz w:val="22"/>
          <w:lang w:val="es-ES"/>
        </w:rPr>
      </w:pPr>
      <w:r>
        <w:rPr>
          <w:rFonts w:ascii="Arial" w:hAnsi="Arial" w:cs="Arial"/>
          <w:sz w:val="22"/>
          <w:lang w:val="es-ES"/>
        </w:rPr>
        <w:t>Por tanto</w:t>
      </w:r>
      <w:r w:rsidR="008A638F" w:rsidRPr="008A638F">
        <w:rPr>
          <w:rFonts w:ascii="Arial" w:hAnsi="Arial" w:cs="Arial"/>
          <w:sz w:val="22"/>
          <w:lang w:val="es-ES"/>
        </w:rPr>
        <w:t xml:space="preserve">, </w:t>
      </w:r>
      <w:bookmarkStart w:id="33" w:name="_Hlk45636290"/>
      <w:r w:rsidR="008A638F" w:rsidRPr="008A638F">
        <w:rPr>
          <w:rFonts w:ascii="Arial" w:hAnsi="Arial" w:cs="Arial"/>
          <w:sz w:val="22"/>
          <w:lang w:val="es-ES"/>
        </w:rPr>
        <w:t xml:space="preserve">para la vigencia fiscal de 2020, </w:t>
      </w:r>
      <w:bookmarkStart w:id="34" w:name="_Hlk45891429"/>
      <w:r w:rsidR="008A638F" w:rsidRPr="008A638F">
        <w:rPr>
          <w:rFonts w:ascii="Arial" w:hAnsi="Arial" w:cs="Arial"/>
          <w:sz w:val="22"/>
          <w:lang w:val="es-ES"/>
        </w:rPr>
        <w:t xml:space="preserve">nuevamente aplica el límite del valor de los honorarios para los contratos de prestación de servicios, por dos (2) razones. Por un lado, porque el numeral </w:t>
      </w:r>
      <w:r w:rsidR="009C1B05">
        <w:rPr>
          <w:rFonts w:ascii="Arial" w:hAnsi="Arial" w:cs="Arial"/>
          <w:sz w:val="22"/>
          <w:lang w:val="es-ES"/>
        </w:rPr>
        <w:t>«</w:t>
      </w:r>
      <w:r w:rsidR="008A638F" w:rsidRPr="008A638F">
        <w:rPr>
          <w:rFonts w:ascii="Arial" w:hAnsi="Arial" w:cs="Arial"/>
          <w:sz w:val="22"/>
          <w:lang w:val="es-ES"/>
        </w:rPr>
        <w:t>02</w:t>
      </w:r>
      <w:r w:rsidR="009C1B05">
        <w:rPr>
          <w:rFonts w:ascii="Arial" w:hAnsi="Arial" w:cs="Arial"/>
          <w:sz w:val="22"/>
          <w:lang w:val="es-ES"/>
        </w:rPr>
        <w:t>»</w:t>
      </w:r>
      <w:r w:rsidR="008A638F" w:rsidRPr="008A638F">
        <w:rPr>
          <w:rFonts w:ascii="Arial" w:hAnsi="Arial" w:cs="Arial"/>
          <w:sz w:val="22"/>
          <w:lang w:val="es-ES"/>
        </w:rPr>
        <w:t xml:space="preserve"> del artículo 35 del Decreto 2411 de 2019 prohíbe expresamente pactarlos por un valor mayor al de la remuneración mensual del jefe de la entidad, </w:t>
      </w:r>
      <w:proofErr w:type="gramStart"/>
      <w:r w:rsidR="008A638F" w:rsidRPr="008A638F">
        <w:rPr>
          <w:rFonts w:ascii="Arial" w:hAnsi="Arial" w:cs="Arial"/>
          <w:sz w:val="22"/>
          <w:lang w:val="es-ES"/>
        </w:rPr>
        <w:t>y</w:t>
      </w:r>
      <w:proofErr w:type="gramEnd"/>
      <w:r w:rsidR="008A638F" w:rsidRPr="008A638F">
        <w:rPr>
          <w:rFonts w:ascii="Arial" w:hAnsi="Arial" w:cs="Arial"/>
          <w:sz w:val="22"/>
          <w:lang w:val="es-ES"/>
        </w:rPr>
        <w:t xml:space="preserve"> por otra parte, porque el numeral </w:t>
      </w:r>
      <w:r w:rsidR="001978BC">
        <w:rPr>
          <w:rFonts w:ascii="Arial" w:hAnsi="Arial" w:cs="Arial"/>
          <w:sz w:val="22"/>
          <w:lang w:val="es-ES"/>
        </w:rPr>
        <w:t>«</w:t>
      </w:r>
      <w:r w:rsidR="008A638F" w:rsidRPr="008A638F">
        <w:rPr>
          <w:rFonts w:ascii="Arial" w:hAnsi="Arial" w:cs="Arial"/>
          <w:sz w:val="22"/>
          <w:lang w:val="es-ES"/>
        </w:rPr>
        <w:t>02 02</w:t>
      </w:r>
      <w:r w:rsidR="001978BC">
        <w:rPr>
          <w:rFonts w:ascii="Arial" w:hAnsi="Arial" w:cs="Arial"/>
          <w:sz w:val="22"/>
          <w:lang w:val="es-ES"/>
        </w:rPr>
        <w:t>»</w:t>
      </w:r>
      <w:r w:rsidR="008A638F" w:rsidRPr="008A638F">
        <w:rPr>
          <w:rFonts w:ascii="Arial" w:hAnsi="Arial" w:cs="Arial"/>
          <w:sz w:val="22"/>
          <w:lang w:val="es-ES"/>
        </w:rPr>
        <w:t xml:space="preserve"> de la misma disposición lo ratifica, al remitirse expresamente al artículo 2.8.4.4.6 del Decreto 1068 de 2015</w:t>
      </w:r>
      <w:bookmarkEnd w:id="33"/>
      <w:bookmarkEnd w:id="34"/>
      <w:r w:rsidR="008A638F" w:rsidRPr="008A638F">
        <w:rPr>
          <w:rFonts w:ascii="Arial" w:hAnsi="Arial" w:cs="Arial"/>
          <w:sz w:val="22"/>
          <w:lang w:val="es-ES"/>
        </w:rPr>
        <w:t xml:space="preserve">. </w:t>
      </w:r>
    </w:p>
    <w:p w14:paraId="1070B518" w14:textId="2FAD16A3" w:rsidR="008A638F" w:rsidRPr="008A638F" w:rsidRDefault="008A638F" w:rsidP="008A638F">
      <w:pPr>
        <w:spacing w:line="276" w:lineRule="auto"/>
        <w:ind w:firstLine="708"/>
        <w:jc w:val="both"/>
        <w:rPr>
          <w:rFonts w:ascii="Arial" w:hAnsi="Arial" w:cs="Arial"/>
          <w:sz w:val="22"/>
          <w:lang w:val="es-ES"/>
        </w:rPr>
      </w:pPr>
      <w:bookmarkStart w:id="35" w:name="_Hlk45636355"/>
      <w:r w:rsidRPr="008A638F">
        <w:rPr>
          <w:rFonts w:ascii="Arial" w:hAnsi="Arial" w:cs="Arial"/>
          <w:sz w:val="22"/>
          <w:lang w:val="es-ES"/>
        </w:rPr>
        <w:t xml:space="preserve">Lo anterior implica que el Decreto 2411 de 2019 no tenía la intención de derogar el Decreto 1068 de 2015, pues aquel incluye el concepto «remuneración servicios técnicos» como un gasto relacionado con las «adquisiciones diferentes de activos». Por lo tanto, en los órganos y entidades que conforman el presupuesto general de la nación </w:t>
      </w:r>
      <w:r w:rsidR="00F513E5" w:rsidRPr="008A638F">
        <w:rPr>
          <w:rFonts w:ascii="Arial" w:hAnsi="Arial" w:cs="Arial"/>
          <w:sz w:val="22"/>
          <w:lang w:val="es-ES"/>
        </w:rPr>
        <w:t>conforme al artículo 3 del Decreto 2411 de 2019</w:t>
      </w:r>
      <w:r w:rsidR="00F513E5">
        <w:rPr>
          <w:rFonts w:ascii="Arial" w:hAnsi="Arial" w:cs="Arial"/>
          <w:sz w:val="22"/>
          <w:lang w:val="es-ES"/>
        </w:rPr>
        <w:t xml:space="preserve"> </w:t>
      </w:r>
      <w:r w:rsidRPr="008A638F">
        <w:rPr>
          <w:rFonts w:ascii="Arial" w:hAnsi="Arial" w:cs="Arial"/>
          <w:sz w:val="22"/>
          <w:lang w:val="es-ES"/>
        </w:rPr>
        <w:t>–no así en las entidades territoriales, salvo que sus propias normas presupuestales lo establezcan–,</w:t>
      </w:r>
      <w:r w:rsidR="00F513E5">
        <w:rPr>
          <w:rFonts w:ascii="Arial" w:hAnsi="Arial" w:cs="Arial"/>
          <w:sz w:val="22"/>
          <w:lang w:val="es-ES"/>
        </w:rPr>
        <w:t xml:space="preserve"> </w:t>
      </w:r>
      <w:r w:rsidRPr="008A638F">
        <w:rPr>
          <w:rFonts w:ascii="Arial" w:hAnsi="Arial" w:cs="Arial"/>
          <w:sz w:val="22"/>
          <w:lang w:val="es-ES"/>
        </w:rPr>
        <w:t xml:space="preserve">el límite de los honorarios para los contratos de prestación de servicios se fundamenta actualmente tanto en numeral «02» como en el </w:t>
      </w:r>
      <w:r w:rsidR="00F513E5">
        <w:rPr>
          <w:rFonts w:ascii="Arial" w:hAnsi="Arial" w:cs="Arial"/>
          <w:sz w:val="22"/>
          <w:lang w:val="es-ES"/>
        </w:rPr>
        <w:t xml:space="preserve">numeral </w:t>
      </w:r>
      <w:r w:rsidRPr="008A638F">
        <w:rPr>
          <w:rFonts w:ascii="Arial" w:hAnsi="Arial" w:cs="Arial"/>
          <w:sz w:val="22"/>
          <w:lang w:val="es-ES"/>
        </w:rPr>
        <w:t>«02 02» del artículo 35, y adicionalmente en el artículo 2.8.4.4.6 del Decreto 1068 de 2015</w:t>
      </w:r>
      <w:bookmarkEnd w:id="35"/>
      <w:r w:rsidRPr="008A638F">
        <w:rPr>
          <w:rStyle w:val="Refdenotaalpie"/>
          <w:rFonts w:ascii="Arial" w:hAnsi="Arial" w:cs="Arial"/>
          <w:sz w:val="22"/>
          <w:lang w:val="es-ES"/>
        </w:rPr>
        <w:footnoteReference w:id="4"/>
      </w:r>
      <w:r w:rsidRPr="008A638F">
        <w:rPr>
          <w:rFonts w:ascii="Arial" w:hAnsi="Arial" w:cs="Arial"/>
          <w:sz w:val="22"/>
          <w:lang w:val="es-ES"/>
        </w:rPr>
        <w:t xml:space="preserve">.  </w:t>
      </w:r>
    </w:p>
    <w:p w14:paraId="14AB2ADA" w14:textId="77777777" w:rsidR="00A12342" w:rsidRPr="00A12342" w:rsidRDefault="00A12342" w:rsidP="00A12342">
      <w:pPr>
        <w:spacing w:line="276" w:lineRule="auto"/>
        <w:jc w:val="both"/>
        <w:rPr>
          <w:rFonts w:ascii="Arial" w:hAnsi="Arial" w:cs="Arial"/>
          <w:sz w:val="22"/>
          <w:lang w:val="es-CO"/>
        </w:rPr>
      </w:pP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6C15D5" w:rsidRDefault="00BE1E33" w:rsidP="00BE1E33">
      <w:pPr>
        <w:spacing w:line="276" w:lineRule="auto"/>
        <w:ind w:right="709"/>
        <w:jc w:val="both"/>
        <w:rPr>
          <w:rFonts w:ascii="Arial" w:hAnsi="Arial" w:cs="Arial"/>
          <w:color w:val="000000" w:themeColor="text1"/>
          <w:sz w:val="21"/>
          <w:szCs w:val="21"/>
          <w:lang w:val="es-CO"/>
        </w:rPr>
      </w:pPr>
    </w:p>
    <w:p w14:paraId="5C2D6EF8" w14:textId="216B46F9" w:rsidR="00BE1E33" w:rsidRPr="006C15D5" w:rsidRDefault="00F119AE" w:rsidP="00856B64">
      <w:pPr>
        <w:ind w:left="709" w:right="709"/>
        <w:jc w:val="both"/>
        <w:rPr>
          <w:rFonts w:ascii="Arial" w:eastAsia="Calibri" w:hAnsi="Arial" w:cs="Arial"/>
          <w:color w:val="000000" w:themeColor="text1"/>
          <w:sz w:val="21"/>
          <w:szCs w:val="21"/>
        </w:rPr>
      </w:pPr>
      <w:r w:rsidRPr="00F119AE">
        <w:rPr>
          <w:rFonts w:ascii="Arial" w:eastAsia="Calibri" w:hAnsi="Arial" w:cs="Arial"/>
          <w:color w:val="000000" w:themeColor="text1"/>
          <w:sz w:val="21"/>
          <w:szCs w:val="21"/>
        </w:rPr>
        <w:t xml:space="preserve">1. </w:t>
      </w:r>
      <w:r w:rsidR="00B06A2E">
        <w:rPr>
          <w:rFonts w:ascii="Arial" w:eastAsia="Calibri" w:hAnsi="Arial" w:cs="Arial"/>
          <w:color w:val="000000" w:themeColor="text1"/>
          <w:sz w:val="21"/>
          <w:szCs w:val="21"/>
        </w:rPr>
        <w:t>«</w:t>
      </w:r>
      <w:r w:rsidRPr="00F119AE">
        <w:rPr>
          <w:rFonts w:ascii="Arial" w:eastAsia="Calibri" w:hAnsi="Arial" w:cs="Arial"/>
          <w:color w:val="000000" w:themeColor="text1"/>
          <w:sz w:val="21"/>
          <w:szCs w:val="21"/>
        </w:rPr>
        <w:t>Conforme al Decreto 2411 de 2019 ¿Qué debe entenderse por “remuneración servicios técnicos” y qué servicios comprenden este concepto?</w:t>
      </w:r>
      <w:r w:rsidR="00B06A2E">
        <w:rPr>
          <w:rFonts w:ascii="Arial" w:eastAsia="Calibri" w:hAnsi="Arial" w:cs="Arial"/>
          <w:color w:val="000000" w:themeColor="text1"/>
          <w:sz w:val="21"/>
          <w:szCs w:val="21"/>
        </w:rPr>
        <w:t>».</w:t>
      </w:r>
    </w:p>
    <w:p w14:paraId="543576F5" w14:textId="77777777" w:rsidR="00F722BD" w:rsidRDefault="00F722BD" w:rsidP="00CE35D5">
      <w:pPr>
        <w:spacing w:line="276" w:lineRule="auto"/>
        <w:jc w:val="both"/>
        <w:rPr>
          <w:rFonts w:ascii="Arial" w:eastAsia="Calibri" w:hAnsi="Arial" w:cs="Arial"/>
          <w:color w:val="000000" w:themeColor="text1"/>
          <w:sz w:val="22"/>
        </w:rPr>
      </w:pPr>
    </w:p>
    <w:p w14:paraId="403B9016" w14:textId="1D8E11C7" w:rsidR="0081556E" w:rsidRDefault="00DE74A0" w:rsidP="0075725E">
      <w:pPr>
        <w:spacing w:after="120" w:line="276" w:lineRule="auto"/>
        <w:jc w:val="both"/>
        <w:rPr>
          <w:rFonts w:ascii="Arial" w:eastAsia="Calibri" w:hAnsi="Arial" w:cs="Arial"/>
          <w:sz w:val="22"/>
          <w:lang w:val="es-ES"/>
        </w:rPr>
      </w:pPr>
      <w:r>
        <w:rPr>
          <w:rFonts w:ascii="Arial" w:eastAsia="Calibri" w:hAnsi="Arial" w:cs="Arial"/>
          <w:sz w:val="22"/>
          <w:lang w:val="es-ES"/>
        </w:rPr>
        <w:t xml:space="preserve">De acuerdo con el artículo 35, numeral «02 02», del Decreto 2411 de 2019, </w:t>
      </w:r>
      <w:r w:rsidR="00CC0E2D">
        <w:rPr>
          <w:rFonts w:ascii="Arial" w:eastAsia="Calibri" w:hAnsi="Arial" w:cs="Arial"/>
          <w:sz w:val="22"/>
          <w:lang w:val="es-ES"/>
        </w:rPr>
        <w:t>la «remuneración servicios técnicos» es una especie de las «adquisiciones diferentes de activos», que corresponde</w:t>
      </w:r>
      <w:r w:rsidR="00053518">
        <w:rPr>
          <w:rFonts w:ascii="Arial" w:eastAsia="Calibri" w:hAnsi="Arial" w:cs="Arial"/>
          <w:sz w:val="22"/>
          <w:lang w:val="es-ES"/>
        </w:rPr>
        <w:t>n</w:t>
      </w:r>
      <w:r w:rsidR="00CC0E2D">
        <w:rPr>
          <w:rFonts w:ascii="Arial" w:eastAsia="Calibri" w:hAnsi="Arial" w:cs="Arial"/>
          <w:sz w:val="22"/>
          <w:lang w:val="es-ES"/>
        </w:rPr>
        <w:t xml:space="preserve"> al género. M</w:t>
      </w:r>
      <w:r w:rsidR="00053518">
        <w:rPr>
          <w:rFonts w:ascii="Arial" w:eastAsia="Calibri" w:hAnsi="Arial" w:cs="Arial"/>
          <w:sz w:val="22"/>
          <w:lang w:val="es-ES"/>
        </w:rPr>
        <w:t>a</w:t>
      </w:r>
      <w:r w:rsidR="00CC0E2D">
        <w:rPr>
          <w:rFonts w:ascii="Arial" w:eastAsia="Calibri" w:hAnsi="Arial" w:cs="Arial"/>
          <w:sz w:val="22"/>
          <w:lang w:val="es-ES"/>
        </w:rPr>
        <w:t xml:space="preserve">s allá de esta relación, la norma –a diferencia del artículo 38 del Decreto 2236 de 2017– no definió </w:t>
      </w:r>
      <w:r w:rsidR="002A356F">
        <w:rPr>
          <w:rFonts w:ascii="Arial" w:eastAsia="Calibri" w:hAnsi="Arial" w:cs="Arial"/>
          <w:sz w:val="22"/>
          <w:lang w:val="es-ES"/>
        </w:rPr>
        <w:t xml:space="preserve">los servicios que comprende, por lo que </w:t>
      </w:r>
      <w:r w:rsidR="00053518">
        <w:rPr>
          <w:rFonts w:ascii="Arial" w:eastAsia="Calibri" w:hAnsi="Arial" w:cs="Arial"/>
          <w:sz w:val="22"/>
          <w:lang w:val="es-ES"/>
        </w:rPr>
        <w:t>se trata de</w:t>
      </w:r>
      <w:r w:rsidR="002A356F">
        <w:rPr>
          <w:rFonts w:ascii="Arial" w:eastAsia="Calibri" w:hAnsi="Arial" w:cs="Arial"/>
          <w:sz w:val="22"/>
          <w:lang w:val="es-ES"/>
        </w:rPr>
        <w:t xml:space="preserve"> un </w:t>
      </w:r>
      <w:r w:rsidR="002A356F" w:rsidRPr="00CB35E1">
        <w:rPr>
          <w:rFonts w:ascii="Arial" w:eastAsia="Calibri" w:hAnsi="Arial" w:cs="Arial"/>
          <w:i/>
          <w:iCs/>
          <w:sz w:val="22"/>
          <w:lang w:val="es-ES"/>
        </w:rPr>
        <w:t>concepto jurídico indeterminado</w:t>
      </w:r>
      <w:r w:rsidR="0081556E" w:rsidRPr="0081556E">
        <w:rPr>
          <w:rFonts w:ascii="Arial" w:eastAsia="Calibri" w:hAnsi="Arial" w:cs="Arial"/>
          <w:sz w:val="22"/>
          <w:lang w:val="es-ES"/>
        </w:rPr>
        <w:t>.</w:t>
      </w:r>
    </w:p>
    <w:p w14:paraId="6E4CAF18" w14:textId="60C55212" w:rsidR="009F11F0" w:rsidRDefault="009F11F0" w:rsidP="002A356F">
      <w:pPr>
        <w:spacing w:line="276" w:lineRule="auto"/>
        <w:jc w:val="both"/>
        <w:rPr>
          <w:rFonts w:ascii="Arial" w:eastAsia="Calibri" w:hAnsi="Arial" w:cs="Arial"/>
          <w:sz w:val="22"/>
          <w:lang w:val="es-ES"/>
        </w:rPr>
      </w:pPr>
      <w:r>
        <w:rPr>
          <w:rFonts w:ascii="Arial" w:eastAsia="Calibri" w:hAnsi="Arial" w:cs="Arial"/>
          <w:sz w:val="22"/>
          <w:lang w:val="es-ES"/>
        </w:rPr>
        <w:lastRenderedPageBreak/>
        <w:tab/>
      </w:r>
      <w:r w:rsidR="00E06363">
        <w:rPr>
          <w:rFonts w:ascii="Arial" w:eastAsia="Calibri" w:hAnsi="Arial" w:cs="Arial"/>
          <w:sz w:val="22"/>
          <w:lang w:val="es-ES"/>
        </w:rPr>
        <w:t>T</w:t>
      </w:r>
      <w:r w:rsidR="00BB5473">
        <w:rPr>
          <w:rFonts w:ascii="Arial" w:eastAsia="Calibri" w:hAnsi="Arial" w:cs="Arial"/>
          <w:sz w:val="22"/>
          <w:lang w:val="es-ES"/>
        </w:rPr>
        <w:t>eniendo en cuenta el carácter técnico-presupuestal del concepto de «remuneración servicios técnicos»</w:t>
      </w:r>
      <w:r w:rsidR="00BB5473" w:rsidRPr="00BB5473">
        <w:rPr>
          <w:rFonts w:ascii="Arial" w:eastAsia="Calibri" w:hAnsi="Arial" w:cs="Arial"/>
          <w:sz w:val="22"/>
          <w:lang w:val="es-ES"/>
        </w:rPr>
        <w:t xml:space="preserve">, se considera prudente exhortar al peticionario a que formule </w:t>
      </w:r>
      <w:r w:rsidR="00BB5473">
        <w:rPr>
          <w:rFonts w:ascii="Arial" w:eastAsia="Calibri" w:hAnsi="Arial" w:cs="Arial"/>
          <w:sz w:val="22"/>
          <w:lang w:val="es-ES"/>
        </w:rPr>
        <w:t>esta inquietud al Ministerio de Hacienda</w:t>
      </w:r>
      <w:r w:rsidR="009B25F9">
        <w:rPr>
          <w:rFonts w:ascii="Arial" w:eastAsia="Calibri" w:hAnsi="Arial" w:cs="Arial"/>
          <w:sz w:val="22"/>
          <w:lang w:val="es-ES"/>
        </w:rPr>
        <w:t xml:space="preserve"> y Crédito Público</w:t>
      </w:r>
      <w:r w:rsidR="00000665">
        <w:rPr>
          <w:rFonts w:ascii="Arial" w:eastAsia="Calibri" w:hAnsi="Arial" w:cs="Arial"/>
          <w:sz w:val="22"/>
          <w:lang w:val="es-ES"/>
        </w:rPr>
        <w:t>;</w:t>
      </w:r>
      <w:r w:rsidR="00BB5473" w:rsidRPr="00BB5473">
        <w:rPr>
          <w:rFonts w:ascii="Arial" w:eastAsia="Calibri" w:hAnsi="Arial" w:cs="Arial"/>
          <w:sz w:val="22"/>
          <w:lang w:val="es-ES"/>
        </w:rPr>
        <w:t xml:space="preserve"> </w:t>
      </w:r>
      <w:r w:rsidR="00000665">
        <w:rPr>
          <w:rFonts w:ascii="Arial" w:eastAsia="Calibri" w:hAnsi="Arial" w:cs="Arial"/>
          <w:sz w:val="22"/>
          <w:lang w:val="es-ES"/>
        </w:rPr>
        <w:t>l</w:t>
      </w:r>
      <w:r w:rsidR="00BB5473" w:rsidRPr="00BB5473">
        <w:rPr>
          <w:rFonts w:ascii="Arial" w:eastAsia="Calibri" w:hAnsi="Arial" w:cs="Arial"/>
          <w:sz w:val="22"/>
          <w:lang w:val="es-ES"/>
        </w:rPr>
        <w:t xml:space="preserve">o anterior, en la medida que el artículo </w:t>
      </w:r>
      <w:r w:rsidR="009B25F9">
        <w:rPr>
          <w:rFonts w:ascii="Arial" w:eastAsia="Calibri" w:hAnsi="Arial" w:cs="Arial"/>
          <w:sz w:val="22"/>
          <w:lang w:val="es-ES"/>
        </w:rPr>
        <w:t>3, numeral</w:t>
      </w:r>
      <w:r w:rsidR="00E57065">
        <w:rPr>
          <w:rFonts w:ascii="Arial" w:eastAsia="Calibri" w:hAnsi="Arial" w:cs="Arial"/>
          <w:sz w:val="22"/>
          <w:lang w:val="es-ES"/>
        </w:rPr>
        <w:t>es</w:t>
      </w:r>
      <w:r w:rsidR="009B25F9">
        <w:rPr>
          <w:rFonts w:ascii="Arial" w:eastAsia="Calibri" w:hAnsi="Arial" w:cs="Arial"/>
          <w:sz w:val="22"/>
          <w:lang w:val="es-ES"/>
        </w:rPr>
        <w:t xml:space="preserve"> 3</w:t>
      </w:r>
      <w:r w:rsidR="00E57065">
        <w:rPr>
          <w:rFonts w:ascii="Arial" w:eastAsia="Calibri" w:hAnsi="Arial" w:cs="Arial"/>
          <w:sz w:val="22"/>
          <w:lang w:val="es-ES"/>
        </w:rPr>
        <w:t xml:space="preserve"> y 15</w:t>
      </w:r>
      <w:r w:rsidR="009B25F9">
        <w:rPr>
          <w:rFonts w:ascii="Arial" w:eastAsia="Calibri" w:hAnsi="Arial" w:cs="Arial"/>
          <w:sz w:val="22"/>
          <w:lang w:val="es-ES"/>
        </w:rPr>
        <w:t>,</w:t>
      </w:r>
      <w:r w:rsidR="00BB5473" w:rsidRPr="00BB5473">
        <w:rPr>
          <w:rFonts w:ascii="Arial" w:eastAsia="Calibri" w:hAnsi="Arial" w:cs="Arial"/>
          <w:sz w:val="22"/>
          <w:lang w:val="es-ES"/>
        </w:rPr>
        <w:t xml:space="preserve"> de</w:t>
      </w:r>
      <w:r w:rsidR="009B25F9">
        <w:rPr>
          <w:rFonts w:ascii="Arial" w:eastAsia="Calibri" w:hAnsi="Arial" w:cs="Arial"/>
          <w:sz w:val="22"/>
          <w:lang w:val="es-ES"/>
        </w:rPr>
        <w:t xml:space="preserve">l Decreto 4712 de 2008 </w:t>
      </w:r>
      <w:r w:rsidR="00BB5473" w:rsidRPr="00BB5473">
        <w:rPr>
          <w:rFonts w:ascii="Arial" w:eastAsia="Calibri" w:hAnsi="Arial" w:cs="Arial"/>
          <w:sz w:val="22"/>
          <w:lang w:val="es-ES"/>
        </w:rPr>
        <w:t xml:space="preserve">le atribuye competencia </w:t>
      </w:r>
      <w:r w:rsidR="00A9271B" w:rsidRPr="00BB5473">
        <w:rPr>
          <w:rFonts w:ascii="Arial" w:eastAsia="Calibri" w:hAnsi="Arial" w:cs="Arial"/>
          <w:sz w:val="22"/>
          <w:lang w:val="es-ES"/>
        </w:rPr>
        <w:t xml:space="preserve">para </w:t>
      </w:r>
      <w:r w:rsidR="00A9271B">
        <w:rPr>
          <w:rFonts w:ascii="Arial" w:eastAsia="Calibri" w:hAnsi="Arial" w:cs="Arial"/>
          <w:sz w:val="22"/>
          <w:lang w:val="es-ES"/>
        </w:rPr>
        <w:t>preparar</w:t>
      </w:r>
      <w:r w:rsidR="009B25F9">
        <w:rPr>
          <w:rFonts w:ascii="Arial" w:eastAsia="Calibri" w:hAnsi="Arial" w:cs="Arial"/>
          <w:sz w:val="22"/>
          <w:lang w:val="es-ES"/>
        </w:rPr>
        <w:t xml:space="preserve"> el proyecto del presupuesto general de la nación</w:t>
      </w:r>
      <w:r w:rsidR="00A9271B">
        <w:rPr>
          <w:rFonts w:ascii="Arial" w:eastAsia="Calibri" w:hAnsi="Arial" w:cs="Arial"/>
          <w:sz w:val="22"/>
          <w:lang w:val="es-ES"/>
        </w:rPr>
        <w:t>, por lo que este ministerio</w:t>
      </w:r>
      <w:r w:rsidR="00BB5473" w:rsidRPr="00BB5473">
        <w:rPr>
          <w:rFonts w:ascii="Arial" w:eastAsia="Calibri" w:hAnsi="Arial" w:cs="Arial"/>
          <w:sz w:val="22"/>
          <w:lang w:val="es-ES"/>
        </w:rPr>
        <w:t xml:space="preserve"> define con criterio de autoridad </w:t>
      </w:r>
      <w:r w:rsidR="00A9271B">
        <w:rPr>
          <w:rFonts w:ascii="Arial" w:eastAsia="Calibri" w:hAnsi="Arial" w:cs="Arial"/>
          <w:sz w:val="22"/>
          <w:lang w:val="es-ES"/>
        </w:rPr>
        <w:t>qué alcance tiene la noción y qué servicios comprende.</w:t>
      </w:r>
      <w:r w:rsidR="008066BE">
        <w:rPr>
          <w:rFonts w:ascii="Arial" w:eastAsia="Calibri" w:hAnsi="Arial" w:cs="Arial"/>
          <w:sz w:val="22"/>
          <w:lang w:val="es-ES"/>
        </w:rPr>
        <w:t xml:space="preserve"> </w:t>
      </w:r>
    </w:p>
    <w:p w14:paraId="7BAD8739" w14:textId="5EB426A6" w:rsidR="00534840" w:rsidRDefault="00534840" w:rsidP="0081556E">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 </w:t>
      </w:r>
    </w:p>
    <w:p w14:paraId="534C9A1E" w14:textId="014E28DF" w:rsidR="00502970" w:rsidRDefault="002A356F" w:rsidP="0093586F">
      <w:pPr>
        <w:spacing w:after="120"/>
        <w:ind w:left="709" w:right="709"/>
        <w:jc w:val="both"/>
        <w:rPr>
          <w:rFonts w:ascii="Arial" w:eastAsia="Calibri" w:hAnsi="Arial" w:cs="Arial"/>
          <w:color w:val="000000" w:themeColor="text1"/>
          <w:sz w:val="21"/>
          <w:szCs w:val="21"/>
        </w:rPr>
      </w:pPr>
      <w:r w:rsidRPr="002A356F">
        <w:rPr>
          <w:rFonts w:ascii="Arial" w:eastAsia="Calibri" w:hAnsi="Arial" w:cs="Arial"/>
          <w:color w:val="000000" w:themeColor="text1"/>
          <w:sz w:val="21"/>
          <w:szCs w:val="21"/>
        </w:rPr>
        <w:t xml:space="preserve">2. </w:t>
      </w:r>
      <w:r w:rsidR="00B06A2E">
        <w:rPr>
          <w:rFonts w:ascii="Arial" w:eastAsia="Calibri" w:hAnsi="Arial" w:cs="Arial"/>
          <w:color w:val="000000" w:themeColor="text1"/>
          <w:sz w:val="21"/>
          <w:szCs w:val="21"/>
        </w:rPr>
        <w:t>«</w:t>
      </w:r>
      <w:r w:rsidRPr="002A356F">
        <w:rPr>
          <w:rFonts w:ascii="Arial" w:eastAsia="Calibri" w:hAnsi="Arial" w:cs="Arial"/>
          <w:color w:val="000000" w:themeColor="text1"/>
          <w:sz w:val="21"/>
          <w:szCs w:val="21"/>
        </w:rPr>
        <w:t>¿Qué servicios son objeto de la limitación de honorarios contenida en el Decreto 2411 de 2019 concordante con el Decreto Único Reglamentario del Sector Hacienda?</w:t>
      </w:r>
      <w:r w:rsidR="00B06A2E">
        <w:rPr>
          <w:rFonts w:ascii="Arial" w:eastAsia="Calibri" w:hAnsi="Arial" w:cs="Arial"/>
          <w:color w:val="000000" w:themeColor="text1"/>
          <w:sz w:val="21"/>
          <w:szCs w:val="21"/>
        </w:rPr>
        <w:t>».</w:t>
      </w:r>
    </w:p>
    <w:p w14:paraId="5B52D8AE" w14:textId="65F869AC" w:rsidR="00945D3E" w:rsidRPr="006C15D5" w:rsidRDefault="00945D3E" w:rsidP="00945D3E">
      <w:pPr>
        <w:ind w:left="709" w:right="709"/>
        <w:jc w:val="both"/>
        <w:rPr>
          <w:rFonts w:ascii="Arial" w:eastAsia="Calibri" w:hAnsi="Arial" w:cs="Arial"/>
          <w:color w:val="000000" w:themeColor="text1"/>
          <w:sz w:val="21"/>
          <w:szCs w:val="21"/>
        </w:rPr>
      </w:pPr>
      <w:r w:rsidRPr="00945D3E">
        <w:rPr>
          <w:rFonts w:ascii="Arial" w:eastAsia="Calibri" w:hAnsi="Arial" w:cs="Arial"/>
          <w:color w:val="000000" w:themeColor="text1"/>
          <w:sz w:val="21"/>
          <w:szCs w:val="21"/>
        </w:rPr>
        <w:t xml:space="preserve">6. </w:t>
      </w:r>
      <w:r w:rsidR="00B06A2E">
        <w:rPr>
          <w:rFonts w:ascii="Arial" w:eastAsia="Calibri" w:hAnsi="Arial" w:cs="Arial"/>
          <w:color w:val="000000" w:themeColor="text1"/>
          <w:sz w:val="21"/>
          <w:szCs w:val="21"/>
        </w:rPr>
        <w:t>«</w:t>
      </w:r>
      <w:r w:rsidRPr="00945D3E">
        <w:rPr>
          <w:rFonts w:ascii="Arial" w:eastAsia="Calibri" w:hAnsi="Arial" w:cs="Arial"/>
          <w:color w:val="000000" w:themeColor="text1"/>
          <w:sz w:val="21"/>
          <w:szCs w:val="21"/>
        </w:rPr>
        <w:t>En términos del Decreto 2411 de 2019, ¿Los servicios que se prestan de forma transitoria u ocasional son objeto de la limitación, aun cuando el Decreto Único Reglamentario la fija únicamente para aquellos servicios encaminados a la prestación de servicios en forma continua para atender asuntos propios de la respectiva entidad?</w:t>
      </w:r>
      <w:r w:rsidR="00B06A2E">
        <w:rPr>
          <w:rFonts w:ascii="Arial" w:eastAsia="Calibri" w:hAnsi="Arial" w:cs="Arial"/>
          <w:color w:val="000000" w:themeColor="text1"/>
          <w:sz w:val="21"/>
          <w:szCs w:val="21"/>
        </w:rPr>
        <w:t>».</w:t>
      </w:r>
    </w:p>
    <w:p w14:paraId="4A994FEA" w14:textId="77777777" w:rsidR="005F3286" w:rsidRDefault="005F3286" w:rsidP="005F3286">
      <w:pPr>
        <w:spacing w:line="276" w:lineRule="auto"/>
        <w:jc w:val="both"/>
        <w:rPr>
          <w:rFonts w:ascii="Arial" w:eastAsia="Calibri" w:hAnsi="Arial" w:cs="Arial"/>
          <w:color w:val="000000" w:themeColor="text1"/>
          <w:sz w:val="22"/>
        </w:rPr>
      </w:pPr>
    </w:p>
    <w:p w14:paraId="1D8D7D3E" w14:textId="54AA9086" w:rsidR="00053518" w:rsidRDefault="00821ED0" w:rsidP="00053518">
      <w:pPr>
        <w:spacing w:after="120" w:line="276" w:lineRule="auto"/>
        <w:jc w:val="both"/>
        <w:rPr>
          <w:rFonts w:ascii="Arial" w:hAnsi="Arial" w:cs="Arial"/>
          <w:sz w:val="22"/>
          <w:lang w:val="es-ES"/>
        </w:rPr>
      </w:pPr>
      <w:r w:rsidRPr="00821ED0">
        <w:rPr>
          <w:rFonts w:ascii="Arial" w:eastAsia="Calibri" w:hAnsi="Arial" w:cs="Arial"/>
          <w:sz w:val="22"/>
          <w:lang w:val="es-ES"/>
        </w:rPr>
        <w:t>Siempre que se cumpla la condición prevista en el parágrafo 2, la prohibición del artículo 2.8.4.4.6 del Decreto 1068 de 2015 se aplica a los servicios personales que se identifiquen como calificados y altamente calificados. Los «servicios personales calificados» no puede superar la remuneración total mensual establecida para el jefe de la entidad, la cual –conforme al parágrafo primero– no incluye los factores prestacionales; mientras que los «servicios personales altamente calificados», esto es, aquellos de alto nivel de especialidad, complejidad y detalle que cumplen los requisitos del parágrafo tercero, inciso segundo, pueden superar la remuneración mensual total mensual del jefe de la entidad, pero sin sobrepasar la suma de este valor con los factores prestacionales y las contribuciones inherentes a la nómina, relacionadas con seguridad social y parafiscales a cargo del empleador</w:t>
      </w:r>
      <w:r w:rsidR="00053518">
        <w:rPr>
          <w:rFonts w:ascii="Arial" w:hAnsi="Arial" w:cs="Arial"/>
          <w:sz w:val="22"/>
          <w:lang w:val="es-ES"/>
        </w:rPr>
        <w:t>.</w:t>
      </w:r>
    </w:p>
    <w:p w14:paraId="3EB6C62C" w14:textId="204F6DED" w:rsidR="00790FE0" w:rsidRDefault="00053518" w:rsidP="0075725E">
      <w:pPr>
        <w:spacing w:after="120" w:line="276" w:lineRule="auto"/>
        <w:jc w:val="both"/>
        <w:rPr>
          <w:rFonts w:ascii="Arial" w:hAnsi="Arial" w:cs="Arial"/>
          <w:sz w:val="22"/>
          <w:lang w:val="es-ES"/>
        </w:rPr>
      </w:pPr>
      <w:r>
        <w:rPr>
          <w:rFonts w:ascii="Arial" w:hAnsi="Arial" w:cs="Arial"/>
          <w:sz w:val="22"/>
          <w:lang w:val="es-ES"/>
        </w:rPr>
        <w:tab/>
      </w:r>
      <w:r w:rsidR="00821ED0" w:rsidRPr="00821ED0">
        <w:rPr>
          <w:rFonts w:ascii="Arial" w:hAnsi="Arial" w:cs="Arial"/>
          <w:sz w:val="22"/>
          <w:lang w:val="es-ES"/>
        </w:rPr>
        <w:t>No obstante, para el 2020, las entidades también deben tener en cuenta el artículo 35, numeral «02», del Decreto 2411 de 2019, el cual dispone que «La remuneración para la contratación de servicios, suministrados por personas naturales o jurídicas, no podrá pactarse por valor mensual superior a la remuneración total mensual establecida para el jefe de la entidad»</w:t>
      </w:r>
      <w:r>
        <w:rPr>
          <w:rFonts w:ascii="Arial" w:eastAsia="Calibri" w:hAnsi="Arial" w:cs="Arial"/>
          <w:color w:val="000000" w:themeColor="text1"/>
          <w:sz w:val="22"/>
        </w:rPr>
        <w:t xml:space="preserve">. </w:t>
      </w:r>
      <w:r w:rsidR="007E6A6B">
        <w:rPr>
          <w:rFonts w:ascii="Arial" w:hAnsi="Arial" w:cs="Arial"/>
          <w:sz w:val="22"/>
          <w:lang w:val="es-ES"/>
        </w:rPr>
        <w:t xml:space="preserve"> </w:t>
      </w:r>
    </w:p>
    <w:p w14:paraId="272C52D2" w14:textId="633FFF99" w:rsidR="00E57065" w:rsidRDefault="00E57065" w:rsidP="00053518">
      <w:pPr>
        <w:spacing w:line="276" w:lineRule="auto"/>
        <w:jc w:val="both"/>
        <w:rPr>
          <w:rFonts w:ascii="Arial" w:hAnsi="Arial" w:cs="Arial"/>
          <w:sz w:val="22"/>
          <w:lang w:val="es-ES"/>
        </w:rPr>
      </w:pPr>
      <w:r>
        <w:rPr>
          <w:rFonts w:ascii="Arial" w:hAnsi="Arial" w:cs="Arial"/>
          <w:sz w:val="22"/>
          <w:lang w:val="es-ES"/>
        </w:rPr>
        <w:tab/>
      </w:r>
      <w:r w:rsidRPr="00BB5473">
        <w:rPr>
          <w:rFonts w:ascii="Arial" w:eastAsia="Calibri" w:hAnsi="Arial" w:cs="Arial"/>
          <w:sz w:val="22"/>
          <w:lang w:val="es-ES"/>
        </w:rPr>
        <w:t xml:space="preserve">De todas formas, </w:t>
      </w:r>
      <w:bookmarkStart w:id="36" w:name="_Hlk46489060"/>
      <w:r>
        <w:rPr>
          <w:rFonts w:ascii="Arial" w:eastAsia="Calibri" w:hAnsi="Arial" w:cs="Arial"/>
          <w:sz w:val="22"/>
          <w:lang w:val="es-ES"/>
        </w:rPr>
        <w:t>teniendo en cuenta el carácter técnico-presupuestal de los Decretos 1068 de 2015 y 2411 de 2019</w:t>
      </w:r>
      <w:r w:rsidRPr="00BB5473">
        <w:rPr>
          <w:rFonts w:ascii="Arial" w:eastAsia="Calibri" w:hAnsi="Arial" w:cs="Arial"/>
          <w:sz w:val="22"/>
          <w:lang w:val="es-ES"/>
        </w:rPr>
        <w:t xml:space="preserve">, se </w:t>
      </w:r>
      <w:r w:rsidR="001F1319">
        <w:rPr>
          <w:rFonts w:ascii="Arial" w:eastAsia="Calibri" w:hAnsi="Arial" w:cs="Arial"/>
          <w:sz w:val="22"/>
          <w:lang w:val="es-ES"/>
        </w:rPr>
        <w:t>exhorta nuevamente</w:t>
      </w:r>
      <w:r w:rsidRPr="00BB5473">
        <w:rPr>
          <w:rFonts w:ascii="Arial" w:eastAsia="Calibri" w:hAnsi="Arial" w:cs="Arial"/>
          <w:sz w:val="22"/>
          <w:lang w:val="es-ES"/>
        </w:rPr>
        <w:t xml:space="preserve"> al peticionario a que formule </w:t>
      </w:r>
      <w:r>
        <w:rPr>
          <w:rFonts w:ascii="Arial" w:eastAsia="Calibri" w:hAnsi="Arial" w:cs="Arial"/>
          <w:sz w:val="22"/>
          <w:lang w:val="es-ES"/>
        </w:rPr>
        <w:t>esta</w:t>
      </w:r>
      <w:r w:rsidR="001F1319">
        <w:rPr>
          <w:rFonts w:ascii="Arial" w:eastAsia="Calibri" w:hAnsi="Arial" w:cs="Arial"/>
          <w:sz w:val="22"/>
          <w:lang w:val="es-ES"/>
        </w:rPr>
        <w:t>s</w:t>
      </w:r>
      <w:r>
        <w:rPr>
          <w:rFonts w:ascii="Arial" w:eastAsia="Calibri" w:hAnsi="Arial" w:cs="Arial"/>
          <w:sz w:val="22"/>
          <w:lang w:val="es-ES"/>
        </w:rPr>
        <w:t xml:space="preserve"> inquietud</w:t>
      </w:r>
      <w:r w:rsidR="001F1319">
        <w:rPr>
          <w:rFonts w:ascii="Arial" w:eastAsia="Calibri" w:hAnsi="Arial" w:cs="Arial"/>
          <w:sz w:val="22"/>
          <w:lang w:val="es-ES"/>
        </w:rPr>
        <w:t>es</w:t>
      </w:r>
      <w:r>
        <w:rPr>
          <w:rFonts w:ascii="Arial" w:eastAsia="Calibri" w:hAnsi="Arial" w:cs="Arial"/>
          <w:sz w:val="22"/>
          <w:lang w:val="es-ES"/>
        </w:rPr>
        <w:t xml:space="preserve"> al Ministerio de Hacienda y Crédito Público</w:t>
      </w:r>
      <w:r w:rsidRPr="00BB5473">
        <w:rPr>
          <w:rFonts w:ascii="Arial" w:eastAsia="Calibri" w:hAnsi="Arial" w:cs="Arial"/>
          <w:sz w:val="22"/>
          <w:lang w:val="es-ES"/>
        </w:rPr>
        <w:t xml:space="preserve">. Lo anterior, en la medida que el artículo </w:t>
      </w:r>
      <w:r>
        <w:rPr>
          <w:rFonts w:ascii="Arial" w:eastAsia="Calibri" w:hAnsi="Arial" w:cs="Arial"/>
          <w:sz w:val="22"/>
          <w:lang w:val="es-ES"/>
        </w:rPr>
        <w:t xml:space="preserve">3, numeral </w:t>
      </w:r>
      <w:r w:rsidR="00A91E9D">
        <w:rPr>
          <w:rFonts w:ascii="Arial" w:eastAsia="Calibri" w:hAnsi="Arial" w:cs="Arial"/>
          <w:sz w:val="22"/>
          <w:lang w:val="es-ES"/>
        </w:rPr>
        <w:t xml:space="preserve">1, </w:t>
      </w:r>
      <w:r>
        <w:rPr>
          <w:rFonts w:ascii="Arial" w:eastAsia="Calibri" w:hAnsi="Arial" w:cs="Arial"/>
          <w:sz w:val="22"/>
          <w:lang w:val="es-ES"/>
        </w:rPr>
        <w:t>3</w:t>
      </w:r>
      <w:r w:rsidR="00A91E9D">
        <w:rPr>
          <w:rFonts w:ascii="Arial" w:eastAsia="Calibri" w:hAnsi="Arial" w:cs="Arial"/>
          <w:sz w:val="22"/>
          <w:lang w:val="es-ES"/>
        </w:rPr>
        <w:t>, 4 y 15</w:t>
      </w:r>
      <w:r>
        <w:rPr>
          <w:rFonts w:ascii="Arial" w:eastAsia="Calibri" w:hAnsi="Arial" w:cs="Arial"/>
          <w:sz w:val="22"/>
          <w:lang w:val="es-ES"/>
        </w:rPr>
        <w:t>,</w:t>
      </w:r>
      <w:r w:rsidRPr="00BB5473">
        <w:rPr>
          <w:rFonts w:ascii="Arial" w:eastAsia="Calibri" w:hAnsi="Arial" w:cs="Arial"/>
          <w:sz w:val="22"/>
          <w:lang w:val="es-ES"/>
        </w:rPr>
        <w:t xml:space="preserve"> de</w:t>
      </w:r>
      <w:r>
        <w:rPr>
          <w:rFonts w:ascii="Arial" w:eastAsia="Calibri" w:hAnsi="Arial" w:cs="Arial"/>
          <w:sz w:val="22"/>
          <w:lang w:val="es-ES"/>
        </w:rPr>
        <w:t xml:space="preserve">l Decreto 4712 de 2008 </w:t>
      </w:r>
      <w:r w:rsidRPr="00BB5473">
        <w:rPr>
          <w:rFonts w:ascii="Arial" w:eastAsia="Calibri" w:hAnsi="Arial" w:cs="Arial"/>
          <w:sz w:val="22"/>
          <w:lang w:val="es-ES"/>
        </w:rPr>
        <w:t xml:space="preserve">le atribuye competencia para </w:t>
      </w:r>
      <w:r>
        <w:rPr>
          <w:rFonts w:ascii="Arial" w:eastAsia="Calibri" w:hAnsi="Arial" w:cs="Arial"/>
          <w:sz w:val="22"/>
          <w:lang w:val="es-ES"/>
        </w:rPr>
        <w:t>preparar</w:t>
      </w:r>
      <w:r w:rsidR="00A91E9D">
        <w:rPr>
          <w:rFonts w:ascii="Arial" w:eastAsia="Calibri" w:hAnsi="Arial" w:cs="Arial"/>
          <w:sz w:val="22"/>
          <w:lang w:val="es-ES"/>
        </w:rPr>
        <w:t xml:space="preserve"> proyectos de decreto para la ejecución de la política económica y fiscal del </w:t>
      </w:r>
      <w:proofErr w:type="gramStart"/>
      <w:r w:rsidR="00A91E9D">
        <w:rPr>
          <w:rFonts w:ascii="Arial" w:eastAsia="Calibri" w:hAnsi="Arial" w:cs="Arial"/>
          <w:sz w:val="22"/>
          <w:lang w:val="es-ES"/>
        </w:rPr>
        <w:t>Estado</w:t>
      </w:r>
      <w:proofErr w:type="gramEnd"/>
      <w:r w:rsidR="00A91E9D">
        <w:rPr>
          <w:rFonts w:ascii="Arial" w:eastAsia="Calibri" w:hAnsi="Arial" w:cs="Arial"/>
          <w:sz w:val="22"/>
          <w:lang w:val="es-ES"/>
        </w:rPr>
        <w:t xml:space="preserve"> así como</w:t>
      </w:r>
      <w:r>
        <w:rPr>
          <w:rFonts w:ascii="Arial" w:eastAsia="Calibri" w:hAnsi="Arial" w:cs="Arial"/>
          <w:sz w:val="22"/>
          <w:lang w:val="es-ES"/>
        </w:rPr>
        <w:t xml:space="preserve"> el proyecto del presupuesto general de la nación, por lo que este ministerio</w:t>
      </w:r>
      <w:r w:rsidRPr="00BB5473">
        <w:rPr>
          <w:rFonts w:ascii="Arial" w:eastAsia="Calibri" w:hAnsi="Arial" w:cs="Arial"/>
          <w:sz w:val="22"/>
          <w:lang w:val="es-ES"/>
        </w:rPr>
        <w:t xml:space="preserve"> define con criterio de autoridad </w:t>
      </w:r>
      <w:r w:rsidR="00A91E9D">
        <w:rPr>
          <w:rFonts w:ascii="Arial" w:eastAsia="Calibri" w:hAnsi="Arial" w:cs="Arial"/>
          <w:sz w:val="22"/>
          <w:lang w:val="es-ES"/>
        </w:rPr>
        <w:t>el ámbito de aplicación de estas normas</w:t>
      </w:r>
      <w:r w:rsidR="001F1319">
        <w:rPr>
          <w:rFonts w:ascii="Arial" w:eastAsia="Calibri" w:hAnsi="Arial" w:cs="Arial"/>
          <w:sz w:val="22"/>
          <w:lang w:val="es-ES"/>
        </w:rPr>
        <w:t xml:space="preserve"> y si los servicios transitorios también es</w:t>
      </w:r>
      <w:r w:rsidR="00B9186D">
        <w:rPr>
          <w:rFonts w:ascii="Arial" w:eastAsia="Calibri" w:hAnsi="Arial" w:cs="Arial"/>
          <w:sz w:val="22"/>
          <w:lang w:val="es-ES"/>
        </w:rPr>
        <w:t>tán dentro de la limitación</w:t>
      </w:r>
      <w:r>
        <w:rPr>
          <w:rFonts w:ascii="Arial" w:eastAsia="Calibri" w:hAnsi="Arial" w:cs="Arial"/>
          <w:sz w:val="22"/>
          <w:lang w:val="es-ES"/>
        </w:rPr>
        <w:t>.</w:t>
      </w:r>
      <w:bookmarkEnd w:id="36"/>
    </w:p>
    <w:p w14:paraId="67D83497" w14:textId="77777777" w:rsidR="00790FE0" w:rsidRDefault="00790FE0" w:rsidP="00790FE0">
      <w:pPr>
        <w:spacing w:line="276" w:lineRule="auto"/>
        <w:jc w:val="both"/>
        <w:rPr>
          <w:rFonts w:ascii="Arial" w:eastAsia="Calibri" w:hAnsi="Arial" w:cs="Arial"/>
          <w:color w:val="000000" w:themeColor="text1"/>
          <w:sz w:val="22"/>
        </w:rPr>
      </w:pPr>
    </w:p>
    <w:p w14:paraId="6C66752C" w14:textId="1BF50B31" w:rsidR="00790FE0" w:rsidRPr="00DB4197" w:rsidRDefault="00790FE0" w:rsidP="00790FE0">
      <w:pPr>
        <w:tabs>
          <w:tab w:val="left" w:pos="426"/>
        </w:tabs>
        <w:spacing w:after="120" w:line="276" w:lineRule="auto"/>
        <w:ind w:left="709" w:right="709"/>
        <w:jc w:val="both"/>
        <w:rPr>
          <w:rFonts w:ascii="Arial" w:eastAsia="Calibri" w:hAnsi="Arial" w:cs="Arial"/>
          <w:color w:val="000000" w:themeColor="text1"/>
          <w:sz w:val="21"/>
          <w:szCs w:val="21"/>
        </w:rPr>
      </w:pPr>
      <w:r w:rsidRPr="00DB4197">
        <w:rPr>
          <w:rFonts w:ascii="Arial" w:eastAsia="Calibri" w:hAnsi="Arial" w:cs="Arial"/>
          <w:color w:val="000000" w:themeColor="text1"/>
          <w:sz w:val="21"/>
          <w:szCs w:val="21"/>
        </w:rPr>
        <w:t xml:space="preserve">3. </w:t>
      </w:r>
      <w:r w:rsidR="00070D62">
        <w:rPr>
          <w:rFonts w:ascii="Arial" w:eastAsia="Calibri" w:hAnsi="Arial" w:cs="Arial"/>
          <w:color w:val="000000" w:themeColor="text1"/>
          <w:sz w:val="21"/>
          <w:szCs w:val="21"/>
        </w:rPr>
        <w:t>«</w:t>
      </w:r>
      <w:r w:rsidRPr="00DB4197">
        <w:rPr>
          <w:rFonts w:ascii="Arial" w:eastAsia="Calibri" w:hAnsi="Arial" w:cs="Arial"/>
          <w:color w:val="000000" w:themeColor="text1"/>
          <w:sz w:val="21"/>
          <w:szCs w:val="21"/>
        </w:rPr>
        <w:t>Las restricciones contenidas respecto de honorarios establecido en el Decreto 2411 de 2019, aplica a:</w:t>
      </w:r>
    </w:p>
    <w:p w14:paraId="31A9FD8A" w14:textId="77777777" w:rsidR="00790FE0" w:rsidRPr="00DB4197" w:rsidRDefault="00790FE0" w:rsidP="00790FE0">
      <w:pPr>
        <w:tabs>
          <w:tab w:val="left" w:pos="426"/>
        </w:tabs>
        <w:spacing w:after="120" w:line="276" w:lineRule="auto"/>
        <w:ind w:left="992" w:right="992"/>
        <w:jc w:val="both"/>
        <w:rPr>
          <w:rFonts w:ascii="Arial" w:eastAsia="Calibri" w:hAnsi="Arial" w:cs="Arial"/>
          <w:color w:val="000000" w:themeColor="text1"/>
          <w:sz w:val="21"/>
          <w:szCs w:val="21"/>
        </w:rPr>
      </w:pPr>
      <w:r w:rsidRPr="00DB4197">
        <w:rPr>
          <w:rFonts w:ascii="Arial" w:eastAsia="Calibri" w:hAnsi="Arial" w:cs="Arial"/>
          <w:color w:val="000000" w:themeColor="text1"/>
          <w:sz w:val="21"/>
          <w:szCs w:val="21"/>
        </w:rPr>
        <w:t>a. ¿Servicios cuyo pago está pactado por productos? Ejemplo entrega de un manual, un concepto o cualquier resultado.</w:t>
      </w:r>
    </w:p>
    <w:p w14:paraId="617067FB" w14:textId="77777777" w:rsidR="00790FE0" w:rsidRPr="00DB4197" w:rsidRDefault="00790FE0" w:rsidP="00790FE0">
      <w:pPr>
        <w:tabs>
          <w:tab w:val="left" w:pos="426"/>
        </w:tabs>
        <w:spacing w:after="120" w:line="276" w:lineRule="auto"/>
        <w:ind w:left="992" w:right="992"/>
        <w:jc w:val="both"/>
        <w:rPr>
          <w:rFonts w:ascii="Arial" w:eastAsia="Calibri" w:hAnsi="Arial" w:cs="Arial"/>
          <w:color w:val="000000" w:themeColor="text1"/>
          <w:sz w:val="21"/>
          <w:szCs w:val="21"/>
        </w:rPr>
      </w:pPr>
      <w:r w:rsidRPr="00DB4197">
        <w:rPr>
          <w:rFonts w:ascii="Arial" w:eastAsia="Calibri" w:hAnsi="Arial" w:cs="Arial"/>
          <w:color w:val="000000" w:themeColor="text1"/>
          <w:sz w:val="21"/>
          <w:szCs w:val="21"/>
        </w:rPr>
        <w:t>b. ¿Servicios que abarcan varios servicios integrados? Como cuándo se brinda asesoría por componentes (componente 1, componente 2, etc.), ramas del derecho (administrativo, penal, etc.), áreas del conocimiento (financiero, jurídico, técnico); En tal caso, ¿La restricción de honorarios aplica para cada componente, rama o área del conocimiento contratado?</w:t>
      </w:r>
    </w:p>
    <w:p w14:paraId="3051E1A6" w14:textId="0088494D" w:rsidR="00790FE0" w:rsidRPr="009854F6" w:rsidRDefault="00790FE0" w:rsidP="00790FE0">
      <w:pPr>
        <w:spacing w:after="120"/>
        <w:ind w:left="992" w:right="992"/>
        <w:jc w:val="both"/>
        <w:rPr>
          <w:rFonts w:ascii="Arial" w:eastAsia="Calibri" w:hAnsi="Arial" w:cs="Arial"/>
          <w:color w:val="000000" w:themeColor="text1"/>
          <w:sz w:val="21"/>
          <w:szCs w:val="21"/>
        </w:rPr>
      </w:pPr>
      <w:r w:rsidRPr="00DB4197">
        <w:rPr>
          <w:rFonts w:ascii="Arial" w:eastAsia="Calibri" w:hAnsi="Arial" w:cs="Arial"/>
          <w:color w:val="000000" w:themeColor="text1"/>
          <w:sz w:val="21"/>
          <w:szCs w:val="21"/>
        </w:rPr>
        <w:t>c. ¿Servicios que implican un acompañamiento de larga duración o que implique una asesoría integral como la estructuración o acompañamiento de un proceso de contratación, o la representación judicial de un proceso judicial?</w:t>
      </w:r>
      <w:r w:rsidR="00070D62">
        <w:rPr>
          <w:rFonts w:ascii="Arial" w:eastAsia="Calibri" w:hAnsi="Arial" w:cs="Arial"/>
          <w:color w:val="000000" w:themeColor="text1"/>
          <w:sz w:val="21"/>
          <w:szCs w:val="21"/>
        </w:rPr>
        <w:t>».</w:t>
      </w:r>
      <w:r>
        <w:rPr>
          <w:rFonts w:ascii="Arial" w:eastAsia="Calibri" w:hAnsi="Arial" w:cs="Arial"/>
          <w:color w:val="000000" w:themeColor="text1"/>
          <w:sz w:val="22"/>
        </w:rPr>
        <w:t xml:space="preserve"> </w:t>
      </w:r>
      <w:r>
        <w:rPr>
          <w:rFonts w:ascii="Arial" w:hAnsi="Arial" w:cs="Arial"/>
          <w:sz w:val="22"/>
          <w:lang w:val="es-ES"/>
        </w:rPr>
        <w:t xml:space="preserve">     </w:t>
      </w:r>
      <w:r>
        <w:rPr>
          <w:rFonts w:ascii="Arial" w:eastAsia="Calibri" w:hAnsi="Arial" w:cs="Arial"/>
          <w:color w:val="000000" w:themeColor="text1"/>
          <w:sz w:val="22"/>
        </w:rPr>
        <w:t xml:space="preserve"> </w:t>
      </w:r>
    </w:p>
    <w:p w14:paraId="504A727F" w14:textId="4BC87143" w:rsidR="00790FE0" w:rsidRPr="006C15D5" w:rsidRDefault="00790FE0" w:rsidP="00790FE0">
      <w:pPr>
        <w:tabs>
          <w:tab w:val="left" w:pos="426"/>
        </w:tabs>
        <w:ind w:left="709" w:right="709"/>
        <w:jc w:val="both"/>
        <w:rPr>
          <w:rFonts w:ascii="Arial" w:eastAsia="Calibri" w:hAnsi="Arial" w:cs="Arial"/>
          <w:color w:val="000000" w:themeColor="text1"/>
          <w:sz w:val="21"/>
          <w:szCs w:val="21"/>
        </w:rPr>
      </w:pPr>
      <w:r w:rsidRPr="00DB4197">
        <w:rPr>
          <w:rFonts w:ascii="Arial" w:eastAsia="Calibri" w:hAnsi="Arial" w:cs="Arial"/>
          <w:color w:val="000000" w:themeColor="text1"/>
          <w:sz w:val="21"/>
          <w:szCs w:val="21"/>
        </w:rPr>
        <w:t xml:space="preserve">5. </w:t>
      </w:r>
      <w:r w:rsidR="00070D62">
        <w:rPr>
          <w:rFonts w:ascii="Arial" w:eastAsia="Calibri" w:hAnsi="Arial" w:cs="Arial"/>
          <w:color w:val="000000" w:themeColor="text1"/>
          <w:sz w:val="21"/>
          <w:szCs w:val="21"/>
        </w:rPr>
        <w:t>«</w:t>
      </w:r>
      <w:r w:rsidRPr="00DB4197">
        <w:rPr>
          <w:rFonts w:ascii="Arial" w:eastAsia="Calibri" w:hAnsi="Arial" w:cs="Arial"/>
          <w:color w:val="000000" w:themeColor="text1"/>
          <w:sz w:val="21"/>
          <w:szCs w:val="21"/>
        </w:rPr>
        <w:t>¿Qué se entiende por servicios ocasionales o transitorios y por servicios de forma continua? ¿</w:t>
      </w:r>
      <w:bookmarkStart w:id="37" w:name="_Hlk46074177"/>
      <w:r w:rsidRPr="00DB4197">
        <w:rPr>
          <w:rFonts w:ascii="Arial" w:eastAsia="Calibri" w:hAnsi="Arial" w:cs="Arial"/>
          <w:color w:val="000000" w:themeColor="text1"/>
          <w:sz w:val="21"/>
          <w:szCs w:val="21"/>
        </w:rPr>
        <w:t>Una asesoría externa contratada de manera directa por prestación de servicios profesionales, en cualquier área del conocimiento, con un plazo cierto y cuya remuneración se pacta en mensualidades se entiende como la prestación de un servicio continuo</w:t>
      </w:r>
      <w:bookmarkEnd w:id="37"/>
      <w:r w:rsidRPr="00DB4197">
        <w:rPr>
          <w:rFonts w:ascii="Arial" w:eastAsia="Calibri" w:hAnsi="Arial" w:cs="Arial"/>
          <w:color w:val="000000" w:themeColor="text1"/>
          <w:sz w:val="21"/>
          <w:szCs w:val="21"/>
        </w:rPr>
        <w:t>?</w:t>
      </w:r>
      <w:r w:rsidR="00070D62">
        <w:rPr>
          <w:rFonts w:ascii="Arial" w:eastAsia="Calibri" w:hAnsi="Arial" w:cs="Arial"/>
          <w:color w:val="000000" w:themeColor="text1"/>
          <w:sz w:val="21"/>
          <w:szCs w:val="21"/>
        </w:rPr>
        <w:t>».</w:t>
      </w:r>
    </w:p>
    <w:p w14:paraId="53176021" w14:textId="77777777" w:rsidR="00790FE0" w:rsidRDefault="00790FE0" w:rsidP="00790FE0">
      <w:pPr>
        <w:spacing w:line="276" w:lineRule="auto"/>
        <w:jc w:val="both"/>
        <w:rPr>
          <w:rFonts w:ascii="Arial" w:eastAsia="Calibri" w:hAnsi="Arial" w:cs="Arial"/>
          <w:color w:val="000000" w:themeColor="text1"/>
          <w:sz w:val="22"/>
        </w:rPr>
      </w:pPr>
    </w:p>
    <w:p w14:paraId="42CFC4B4" w14:textId="2FF40E3F" w:rsidR="00790FE0" w:rsidRDefault="00790FE0" w:rsidP="00790FE0">
      <w:pPr>
        <w:spacing w:after="120" w:line="276" w:lineRule="auto"/>
        <w:jc w:val="both"/>
        <w:rPr>
          <w:rFonts w:ascii="Arial" w:eastAsia="Calibri" w:hAnsi="Arial" w:cs="Arial"/>
          <w:color w:val="000000" w:themeColor="text1"/>
          <w:sz w:val="22"/>
        </w:rPr>
      </w:pPr>
      <w:r w:rsidRPr="004D244E">
        <w:rPr>
          <w:rFonts w:ascii="Arial" w:eastAsia="Calibri" w:hAnsi="Arial" w:cs="Arial"/>
          <w:sz w:val="22"/>
          <w:lang w:val="es-ES"/>
        </w:rPr>
        <w:t>De conformidad con el numeral 5 del artículo 3 y el numeral 8 del artículo 11 del Decreto 4170 de 2011, la Agencia Nacional de Contratación Pública – Colombia Compra Eficiente tiene competencia para atender consultas relativas a temas contractuales, pero solo para «absolver consultas sobre la aplicación de normas de carácter general»</w:t>
      </w:r>
      <w:r>
        <w:rPr>
          <w:rFonts w:ascii="Arial" w:eastAsia="Calibri" w:hAnsi="Arial" w:cs="Arial"/>
          <w:sz w:val="22"/>
          <w:lang w:val="es-ES"/>
        </w:rPr>
        <w:t xml:space="preserve">. </w:t>
      </w:r>
      <w:r w:rsidRPr="004D244E">
        <w:rPr>
          <w:rFonts w:ascii="Arial" w:eastAsia="Calibri" w:hAnsi="Arial" w:cs="Arial"/>
          <w:sz w:val="22"/>
          <w:lang w:val="es-ES"/>
        </w:rPr>
        <w:t>Esto significa que la entidad no puede pronunciarse sobre situaciones particulares</w:t>
      </w:r>
      <w:r>
        <w:rPr>
          <w:rFonts w:ascii="Arial" w:eastAsia="Calibri" w:hAnsi="Arial" w:cs="Arial"/>
          <w:sz w:val="22"/>
          <w:lang w:val="es-ES"/>
        </w:rPr>
        <w:t xml:space="preserve">, por lo que carece de competencia para definir qué servicios son continuos o transitorios para efectos del </w:t>
      </w:r>
      <w:r w:rsidRPr="008C03F9">
        <w:rPr>
          <w:rFonts w:ascii="Arial" w:eastAsia="Calibri" w:hAnsi="Arial" w:cs="Arial"/>
          <w:color w:val="000000" w:themeColor="text1"/>
          <w:sz w:val="22"/>
        </w:rPr>
        <w:t>artículo 2.8.4.4.6 del Decreto 1068 de 201</w:t>
      </w:r>
      <w:r>
        <w:rPr>
          <w:rFonts w:ascii="Arial" w:eastAsia="Calibri" w:hAnsi="Arial" w:cs="Arial"/>
          <w:color w:val="000000" w:themeColor="text1"/>
          <w:sz w:val="22"/>
        </w:rPr>
        <w:t>5</w:t>
      </w:r>
      <w:r>
        <w:rPr>
          <w:rFonts w:ascii="Arial" w:eastAsia="Calibri" w:hAnsi="Arial" w:cs="Arial"/>
          <w:sz w:val="22"/>
          <w:lang w:val="es-ES"/>
        </w:rPr>
        <w:t xml:space="preserve">, ya que al tratarse de </w:t>
      </w:r>
      <w:r w:rsidRPr="00863748">
        <w:rPr>
          <w:rFonts w:ascii="Arial" w:eastAsia="Calibri" w:hAnsi="Arial" w:cs="Arial"/>
          <w:i/>
          <w:iCs/>
          <w:sz w:val="22"/>
          <w:lang w:val="es-ES"/>
        </w:rPr>
        <w:t>conceptos jurídicos indeterminados</w:t>
      </w:r>
      <w:r>
        <w:rPr>
          <w:rFonts w:ascii="Arial" w:eastAsia="Calibri" w:hAnsi="Arial" w:cs="Arial"/>
          <w:sz w:val="22"/>
          <w:lang w:val="es-ES"/>
        </w:rPr>
        <w:t xml:space="preserve"> la calificación corresponde exclusivamente a las entidades contratantes en cada caso concreto</w:t>
      </w:r>
      <w:r>
        <w:rPr>
          <w:rStyle w:val="Refdenotaalpie"/>
          <w:rFonts w:ascii="Arial" w:eastAsia="Calibri" w:hAnsi="Arial" w:cs="Arial"/>
          <w:sz w:val="22"/>
          <w:lang w:val="es-ES"/>
        </w:rPr>
        <w:footnoteReference w:id="5"/>
      </w:r>
      <w:r>
        <w:rPr>
          <w:rFonts w:ascii="Arial" w:eastAsia="Calibri" w:hAnsi="Arial" w:cs="Arial"/>
          <w:sz w:val="22"/>
          <w:lang w:val="es-ES"/>
        </w:rPr>
        <w:t>.</w:t>
      </w:r>
      <w:r>
        <w:rPr>
          <w:rFonts w:ascii="Arial" w:eastAsia="Calibri" w:hAnsi="Arial" w:cs="Arial"/>
          <w:color w:val="000000" w:themeColor="text1"/>
          <w:sz w:val="22"/>
        </w:rPr>
        <w:t xml:space="preserve"> </w:t>
      </w:r>
    </w:p>
    <w:p w14:paraId="2CCEB9A2" w14:textId="6288A79E" w:rsidR="00790FE0" w:rsidRDefault="00790FE0" w:rsidP="0075725E">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lastRenderedPageBreak/>
        <w:tab/>
      </w:r>
      <w:r>
        <w:rPr>
          <w:rFonts w:ascii="Arial" w:eastAsia="Calibri" w:hAnsi="Arial" w:cs="Arial"/>
          <w:sz w:val="22"/>
          <w:lang w:val="es-ES"/>
        </w:rPr>
        <w:t xml:space="preserve">En todo caso, </w:t>
      </w:r>
      <w:r w:rsidR="00F93642">
        <w:rPr>
          <w:rFonts w:ascii="Arial" w:eastAsia="Calibri" w:hAnsi="Arial" w:cs="Arial"/>
          <w:sz w:val="22"/>
          <w:lang w:val="es-ES"/>
        </w:rPr>
        <w:t xml:space="preserve">se reitera que </w:t>
      </w:r>
      <w:r w:rsidR="00F93642">
        <w:rPr>
          <w:rFonts w:ascii="Arial" w:eastAsia="Calibri" w:hAnsi="Arial" w:cs="Arial"/>
          <w:color w:val="000000" w:themeColor="text1"/>
          <w:sz w:val="22"/>
        </w:rPr>
        <w:t xml:space="preserve">el Decreto 2411 de 2019, especialmente, el numeral «02» del artículo 35, dispone </w:t>
      </w:r>
      <w:r w:rsidR="00E06363" w:rsidRPr="00E06363">
        <w:rPr>
          <w:rFonts w:ascii="Arial" w:eastAsia="Calibri" w:hAnsi="Arial" w:cs="Arial"/>
          <w:color w:val="000000" w:themeColor="text1"/>
          <w:sz w:val="22"/>
        </w:rPr>
        <w:t>que «La remuneración para la contratación de servicios, suministrados por personas naturales o jurídicas, no podrá pactarse por valor mensual superior a la remuneración total mensual establecida para el jefe de la entidad»</w:t>
      </w:r>
      <w:r w:rsidR="00F93642">
        <w:rPr>
          <w:rFonts w:ascii="Arial" w:eastAsia="Calibri" w:hAnsi="Arial" w:cs="Arial"/>
          <w:color w:val="000000" w:themeColor="text1"/>
          <w:sz w:val="22"/>
        </w:rPr>
        <w:t>.</w:t>
      </w:r>
    </w:p>
    <w:p w14:paraId="781A0163" w14:textId="72580779" w:rsidR="00A91E9D" w:rsidRDefault="00A91E9D" w:rsidP="0075725E">
      <w:pPr>
        <w:spacing w:line="276" w:lineRule="auto"/>
        <w:jc w:val="both"/>
        <w:rPr>
          <w:rFonts w:ascii="Arial" w:eastAsia="Calibri" w:hAnsi="Arial" w:cs="Arial"/>
          <w:sz w:val="22"/>
          <w:lang w:val="es-ES"/>
        </w:rPr>
      </w:pPr>
      <w:r>
        <w:rPr>
          <w:rFonts w:ascii="Arial" w:eastAsia="Calibri" w:hAnsi="Arial" w:cs="Arial"/>
          <w:color w:val="000000" w:themeColor="text1"/>
          <w:sz w:val="22"/>
        </w:rPr>
        <w:tab/>
        <w:t xml:space="preserve">No obstante, </w:t>
      </w:r>
      <w:r w:rsidRPr="00A91E9D">
        <w:rPr>
          <w:rFonts w:ascii="Arial" w:eastAsia="Calibri" w:hAnsi="Arial" w:cs="Arial"/>
          <w:color w:val="000000" w:themeColor="text1"/>
          <w:sz w:val="22"/>
        </w:rPr>
        <w:t xml:space="preserve">teniendo en cuenta el carácter técnico-presupuestal de los Decretos 1068 de 2015 y 2411 de 2019, se exhorta al peticionario </w:t>
      </w:r>
      <w:r w:rsidR="00B9186D">
        <w:rPr>
          <w:rFonts w:ascii="Arial" w:eastAsia="Calibri" w:hAnsi="Arial" w:cs="Arial"/>
          <w:color w:val="000000" w:themeColor="text1"/>
          <w:sz w:val="22"/>
        </w:rPr>
        <w:t>para</w:t>
      </w:r>
      <w:r w:rsidRPr="00A91E9D">
        <w:rPr>
          <w:rFonts w:ascii="Arial" w:eastAsia="Calibri" w:hAnsi="Arial" w:cs="Arial"/>
          <w:color w:val="000000" w:themeColor="text1"/>
          <w:sz w:val="22"/>
        </w:rPr>
        <w:t xml:space="preserve"> que formule esta</w:t>
      </w:r>
      <w:r>
        <w:rPr>
          <w:rFonts w:ascii="Arial" w:eastAsia="Calibri" w:hAnsi="Arial" w:cs="Arial"/>
          <w:color w:val="000000" w:themeColor="text1"/>
          <w:sz w:val="22"/>
        </w:rPr>
        <w:t>s</w:t>
      </w:r>
      <w:r w:rsidRPr="00A91E9D">
        <w:rPr>
          <w:rFonts w:ascii="Arial" w:eastAsia="Calibri" w:hAnsi="Arial" w:cs="Arial"/>
          <w:color w:val="000000" w:themeColor="text1"/>
          <w:sz w:val="22"/>
        </w:rPr>
        <w:t xml:space="preserve"> inquietud</w:t>
      </w:r>
      <w:r>
        <w:rPr>
          <w:rFonts w:ascii="Arial" w:eastAsia="Calibri" w:hAnsi="Arial" w:cs="Arial"/>
          <w:color w:val="000000" w:themeColor="text1"/>
          <w:sz w:val="22"/>
        </w:rPr>
        <w:t>es</w:t>
      </w:r>
      <w:r w:rsidRPr="00A91E9D">
        <w:rPr>
          <w:rFonts w:ascii="Arial" w:eastAsia="Calibri" w:hAnsi="Arial" w:cs="Arial"/>
          <w:color w:val="000000" w:themeColor="text1"/>
          <w:sz w:val="22"/>
        </w:rPr>
        <w:t xml:space="preserve"> al Ministerio de Hacienda y Crédito Público</w:t>
      </w:r>
      <w:r w:rsidR="00865AAE">
        <w:rPr>
          <w:rFonts w:ascii="Arial" w:eastAsia="Calibri" w:hAnsi="Arial" w:cs="Arial"/>
          <w:color w:val="000000" w:themeColor="text1"/>
          <w:sz w:val="22"/>
        </w:rPr>
        <w:t>; l</w:t>
      </w:r>
      <w:r w:rsidRPr="00A91E9D">
        <w:rPr>
          <w:rFonts w:ascii="Arial" w:eastAsia="Calibri" w:hAnsi="Arial" w:cs="Arial"/>
          <w:color w:val="000000" w:themeColor="text1"/>
          <w:sz w:val="22"/>
        </w:rPr>
        <w:t xml:space="preserve">o anterior, en la medida que el artículo 3, numeral 1, 3, 4 y 15, del Decreto 4712 de 2008 le atribuye competencia para preparar proyectos de decreto para la ejecución de la política económica y fiscal del Estado así como el proyecto del presupuesto general de la nación, por lo que este ministerio define con criterio de autoridad </w:t>
      </w:r>
      <w:r>
        <w:rPr>
          <w:rFonts w:ascii="Arial" w:eastAsia="Calibri" w:hAnsi="Arial" w:cs="Arial"/>
          <w:color w:val="000000" w:themeColor="text1"/>
          <w:sz w:val="22"/>
        </w:rPr>
        <w:t>qué se entiende por servicios continuos o transitorios</w:t>
      </w:r>
      <w:r w:rsidRPr="00A91E9D">
        <w:rPr>
          <w:rFonts w:ascii="Arial" w:eastAsia="Calibri" w:hAnsi="Arial" w:cs="Arial"/>
          <w:color w:val="000000" w:themeColor="text1"/>
          <w:sz w:val="22"/>
        </w:rPr>
        <w:t>.</w:t>
      </w:r>
    </w:p>
    <w:p w14:paraId="52470025" w14:textId="77777777" w:rsidR="00546D85" w:rsidRDefault="00DF3BFA" w:rsidP="00546D85">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 </w:t>
      </w:r>
      <w:r>
        <w:rPr>
          <w:rFonts w:ascii="Arial" w:hAnsi="Arial" w:cs="Arial"/>
          <w:sz w:val="22"/>
          <w:lang w:val="es-ES"/>
        </w:rPr>
        <w:t xml:space="preserve"> </w:t>
      </w:r>
      <w:r w:rsidR="00BF45E5">
        <w:rPr>
          <w:rFonts w:ascii="Arial" w:hAnsi="Arial" w:cs="Arial"/>
          <w:sz w:val="22"/>
          <w:lang w:val="es-ES"/>
        </w:rPr>
        <w:t xml:space="preserve">   </w:t>
      </w:r>
      <w:r w:rsidR="00C960C5">
        <w:rPr>
          <w:rFonts w:ascii="Arial" w:hAnsi="Arial" w:cs="Arial"/>
          <w:sz w:val="22"/>
          <w:lang w:val="es-ES"/>
        </w:rPr>
        <w:t xml:space="preserve"> </w:t>
      </w:r>
      <w:r w:rsidR="00546D85">
        <w:rPr>
          <w:rFonts w:ascii="Arial" w:eastAsia="Calibri" w:hAnsi="Arial" w:cs="Arial"/>
          <w:color w:val="000000" w:themeColor="text1"/>
          <w:sz w:val="22"/>
        </w:rPr>
        <w:t xml:space="preserve"> </w:t>
      </w:r>
    </w:p>
    <w:p w14:paraId="08DD7F82" w14:textId="7703EA6B" w:rsidR="00546D85" w:rsidRPr="006C15D5" w:rsidRDefault="00085A44" w:rsidP="00546D85">
      <w:pPr>
        <w:ind w:left="709" w:right="709"/>
        <w:jc w:val="both"/>
        <w:rPr>
          <w:rFonts w:ascii="Arial" w:eastAsia="Calibri" w:hAnsi="Arial" w:cs="Arial"/>
          <w:color w:val="000000" w:themeColor="text1"/>
          <w:sz w:val="21"/>
          <w:szCs w:val="21"/>
        </w:rPr>
      </w:pPr>
      <w:r w:rsidRPr="00085A44">
        <w:rPr>
          <w:rFonts w:ascii="Arial" w:eastAsia="Calibri" w:hAnsi="Arial" w:cs="Arial"/>
          <w:color w:val="000000" w:themeColor="text1"/>
          <w:sz w:val="21"/>
          <w:szCs w:val="21"/>
        </w:rPr>
        <w:t xml:space="preserve">4. </w:t>
      </w:r>
      <w:r w:rsidR="00070D62">
        <w:rPr>
          <w:rFonts w:ascii="Arial" w:eastAsia="Calibri" w:hAnsi="Arial" w:cs="Arial"/>
          <w:color w:val="000000" w:themeColor="text1"/>
          <w:sz w:val="21"/>
          <w:szCs w:val="21"/>
        </w:rPr>
        <w:t>«</w:t>
      </w:r>
      <w:r w:rsidRPr="00085A44">
        <w:rPr>
          <w:rFonts w:ascii="Arial" w:eastAsia="Calibri" w:hAnsi="Arial" w:cs="Arial"/>
          <w:color w:val="000000" w:themeColor="text1"/>
          <w:sz w:val="21"/>
          <w:szCs w:val="21"/>
        </w:rPr>
        <w:t>¿A qué entidades le es aplicable la restricción referida de honorarios mensuales en el Decreto 2411 de 2019 concordante con el Decreto Único Reglamentario del Sector Hacienda? ¿Obliga a entidades que no ejecutan presupuesto del Tesoro Nacional tales como entidades territoriales, empresas industriales y comerciales del Estado y sociedades de economía mixta o solo a entidades que reciben recursos del presupuesto general de la Nación?</w:t>
      </w:r>
      <w:r w:rsidR="00070D62">
        <w:rPr>
          <w:rFonts w:ascii="Arial" w:eastAsia="Calibri" w:hAnsi="Arial" w:cs="Arial"/>
          <w:color w:val="000000" w:themeColor="text1"/>
          <w:sz w:val="21"/>
          <w:szCs w:val="21"/>
        </w:rPr>
        <w:t>».</w:t>
      </w:r>
    </w:p>
    <w:p w14:paraId="34715F91" w14:textId="77777777" w:rsidR="00546D85" w:rsidRDefault="00546D85" w:rsidP="00546D85">
      <w:pPr>
        <w:spacing w:line="276" w:lineRule="auto"/>
        <w:jc w:val="both"/>
        <w:rPr>
          <w:rFonts w:ascii="Arial" w:eastAsia="Calibri" w:hAnsi="Arial" w:cs="Arial"/>
          <w:color w:val="000000" w:themeColor="text1"/>
          <w:sz w:val="22"/>
        </w:rPr>
      </w:pPr>
    </w:p>
    <w:p w14:paraId="655A6B0C" w14:textId="43A57758" w:rsidR="00133EB7" w:rsidRDefault="000F4704" w:rsidP="00546D85">
      <w:pPr>
        <w:spacing w:after="120" w:line="276" w:lineRule="auto"/>
        <w:jc w:val="both"/>
        <w:rPr>
          <w:rFonts w:ascii="Arial" w:eastAsia="Calibri" w:hAnsi="Arial" w:cs="Arial"/>
          <w:sz w:val="22"/>
          <w:lang w:val="es-ES"/>
        </w:rPr>
      </w:pPr>
      <w:r>
        <w:rPr>
          <w:rFonts w:ascii="Arial" w:eastAsia="Calibri" w:hAnsi="Arial" w:cs="Arial"/>
          <w:sz w:val="22"/>
          <w:lang w:val="es-ES"/>
        </w:rPr>
        <w:t>Para las entidades incluidas en el</w:t>
      </w:r>
      <w:r w:rsidR="00133EB7" w:rsidRPr="008A638F">
        <w:rPr>
          <w:rFonts w:ascii="Arial" w:hAnsi="Arial" w:cs="Arial"/>
          <w:sz w:val="22"/>
          <w:lang w:val="es-ES"/>
        </w:rPr>
        <w:t xml:space="preserve"> </w:t>
      </w:r>
      <w:r w:rsidR="00133EB7" w:rsidRPr="00CB2932">
        <w:rPr>
          <w:rFonts w:ascii="Arial" w:hAnsi="Arial" w:cs="Arial"/>
          <w:sz w:val="22"/>
          <w:lang w:val="es-ES"/>
        </w:rPr>
        <w:t>artículo 3 del Decreto 2411 de 2019</w:t>
      </w:r>
      <w:r w:rsidR="00A301D1">
        <w:rPr>
          <w:rFonts w:ascii="Arial" w:hAnsi="Arial" w:cs="Arial"/>
          <w:sz w:val="22"/>
          <w:lang w:val="es-ES"/>
        </w:rPr>
        <w:t xml:space="preserve"> –es decir, «[…] </w:t>
      </w:r>
      <w:r w:rsidR="00A301D1" w:rsidRPr="00A301D1">
        <w:rPr>
          <w:rFonts w:ascii="Arial" w:hAnsi="Arial" w:cs="Arial"/>
          <w:sz w:val="22"/>
          <w:lang w:val="es-ES"/>
        </w:rPr>
        <w:t>para los órganos que conforman el Presupuesto General de la Nación, y para los recursos de la Nación asignados a las Empresas Industriales y Comerciales del Estado y a las Sociedades de Economía Mixta con el régimen de aquellas</w:t>
      </w:r>
      <w:r w:rsidR="00A301D1">
        <w:rPr>
          <w:rFonts w:ascii="Arial" w:hAnsi="Arial" w:cs="Arial"/>
          <w:sz w:val="22"/>
          <w:lang w:val="es-ES"/>
        </w:rPr>
        <w:t>»–</w:t>
      </w:r>
      <w:r w:rsidR="00B305FF">
        <w:rPr>
          <w:rFonts w:ascii="Arial" w:hAnsi="Arial" w:cs="Arial"/>
          <w:sz w:val="22"/>
          <w:lang w:val="es-ES"/>
        </w:rPr>
        <w:t>,</w:t>
      </w:r>
      <w:r w:rsidR="00133EB7">
        <w:rPr>
          <w:rFonts w:ascii="Arial" w:hAnsi="Arial" w:cs="Arial"/>
          <w:sz w:val="22"/>
          <w:lang w:val="es-ES"/>
        </w:rPr>
        <w:t xml:space="preserve"> </w:t>
      </w:r>
      <w:r w:rsidR="00133EB7" w:rsidRPr="008A638F">
        <w:rPr>
          <w:rFonts w:ascii="Arial" w:hAnsi="Arial" w:cs="Arial"/>
          <w:sz w:val="22"/>
          <w:lang w:val="es-ES"/>
        </w:rPr>
        <w:t xml:space="preserve">el límite de los honorarios para los contratos de prestación de servicios se fundamenta actualmente tanto en numeral «02» como en el </w:t>
      </w:r>
      <w:r w:rsidR="00133EB7">
        <w:rPr>
          <w:rFonts w:ascii="Arial" w:hAnsi="Arial" w:cs="Arial"/>
          <w:sz w:val="22"/>
          <w:lang w:val="es-ES"/>
        </w:rPr>
        <w:t xml:space="preserve">numeral </w:t>
      </w:r>
      <w:r w:rsidR="00133EB7" w:rsidRPr="008A638F">
        <w:rPr>
          <w:rFonts w:ascii="Arial" w:hAnsi="Arial" w:cs="Arial"/>
          <w:sz w:val="22"/>
          <w:lang w:val="es-ES"/>
        </w:rPr>
        <w:t xml:space="preserve">«02 02» del artículo 35, y </w:t>
      </w:r>
      <w:r w:rsidR="0001715D">
        <w:rPr>
          <w:rFonts w:ascii="Arial" w:hAnsi="Arial" w:cs="Arial"/>
          <w:sz w:val="22"/>
          <w:lang w:val="es-ES"/>
        </w:rPr>
        <w:t>además</w:t>
      </w:r>
      <w:r w:rsidR="0001715D" w:rsidRPr="008A638F">
        <w:rPr>
          <w:rFonts w:ascii="Arial" w:hAnsi="Arial" w:cs="Arial"/>
          <w:sz w:val="22"/>
          <w:lang w:val="es-ES"/>
        </w:rPr>
        <w:t xml:space="preserve"> </w:t>
      </w:r>
      <w:r w:rsidR="00133EB7" w:rsidRPr="008A638F">
        <w:rPr>
          <w:rFonts w:ascii="Arial" w:hAnsi="Arial" w:cs="Arial"/>
          <w:sz w:val="22"/>
          <w:lang w:val="es-ES"/>
        </w:rPr>
        <w:t>en el artículo 2.8.4.4.6 del Decreto 1068 de 2015</w:t>
      </w:r>
      <w:r w:rsidR="00133EB7">
        <w:rPr>
          <w:rFonts w:ascii="Arial" w:hAnsi="Arial" w:cs="Arial"/>
          <w:sz w:val="22"/>
          <w:lang w:val="es-ES"/>
        </w:rPr>
        <w:t>.</w:t>
      </w:r>
      <w:r w:rsidR="00133EB7">
        <w:rPr>
          <w:rFonts w:ascii="Arial" w:eastAsia="Calibri" w:hAnsi="Arial" w:cs="Arial"/>
          <w:sz w:val="22"/>
          <w:lang w:val="es-ES"/>
        </w:rPr>
        <w:t xml:space="preserve"> </w:t>
      </w:r>
    </w:p>
    <w:p w14:paraId="3CD317F1" w14:textId="47310D3B" w:rsidR="008830FE" w:rsidRDefault="001979F6" w:rsidP="008830FE">
      <w:pPr>
        <w:spacing w:before="120" w:line="276" w:lineRule="auto"/>
        <w:ind w:firstLine="709"/>
        <w:jc w:val="both"/>
        <w:rPr>
          <w:rFonts w:ascii="Arial" w:hAnsi="Arial" w:cs="Arial"/>
          <w:sz w:val="22"/>
          <w:lang w:val="es-ES"/>
        </w:rPr>
      </w:pPr>
      <w:r>
        <w:rPr>
          <w:rFonts w:ascii="Arial" w:hAnsi="Arial" w:cs="Arial"/>
          <w:sz w:val="22"/>
          <w:lang w:val="es-ES"/>
        </w:rPr>
        <w:t>Adicionalmente, e</w:t>
      </w:r>
      <w:r w:rsidR="008830FE" w:rsidRPr="008A638F">
        <w:rPr>
          <w:rFonts w:ascii="Arial" w:hAnsi="Arial" w:cs="Arial"/>
          <w:sz w:val="22"/>
          <w:lang w:val="es-ES"/>
        </w:rPr>
        <w:t xml:space="preserve">l Decreto 1068 de 2015, en el artículo </w:t>
      </w:r>
      <w:bookmarkStart w:id="38" w:name="_Hlk46073324"/>
      <w:r w:rsidR="008830FE" w:rsidRPr="008A638F">
        <w:rPr>
          <w:rFonts w:ascii="Arial" w:hAnsi="Arial" w:cs="Arial"/>
          <w:sz w:val="22"/>
          <w:lang w:val="es-ES"/>
        </w:rPr>
        <w:t>2.8.4.1.2</w:t>
      </w:r>
      <w:bookmarkEnd w:id="38"/>
      <w:r w:rsidR="008830FE" w:rsidRPr="008A638F">
        <w:rPr>
          <w:rFonts w:ascii="Arial" w:hAnsi="Arial" w:cs="Arial"/>
          <w:sz w:val="22"/>
          <w:lang w:val="es-ES"/>
        </w:rPr>
        <w:t xml:space="preserve">, dispone que «Las entidades territoriales </w:t>
      </w:r>
      <w:proofErr w:type="spellStart"/>
      <w:r w:rsidR="008830FE" w:rsidRPr="008A638F">
        <w:rPr>
          <w:rFonts w:ascii="Arial" w:hAnsi="Arial" w:cs="Arial"/>
          <w:sz w:val="22"/>
          <w:lang w:val="es-ES"/>
        </w:rPr>
        <w:t>adoptarán</w:t>
      </w:r>
      <w:proofErr w:type="spellEnd"/>
      <w:r w:rsidR="008830FE" w:rsidRPr="008A638F">
        <w:rPr>
          <w:rFonts w:ascii="Arial" w:hAnsi="Arial" w:cs="Arial"/>
          <w:sz w:val="22"/>
          <w:lang w:val="es-ES"/>
        </w:rPr>
        <w:t xml:space="preserve"> medidas equivalentes a las </w:t>
      </w:r>
      <w:proofErr w:type="spellStart"/>
      <w:r w:rsidR="008830FE" w:rsidRPr="008A638F">
        <w:rPr>
          <w:rFonts w:ascii="Arial" w:hAnsi="Arial" w:cs="Arial"/>
          <w:sz w:val="22"/>
          <w:lang w:val="es-ES"/>
        </w:rPr>
        <w:t>aqui</w:t>
      </w:r>
      <w:proofErr w:type="spellEnd"/>
      <w:r w:rsidR="008830FE" w:rsidRPr="008A638F">
        <w:rPr>
          <w:rFonts w:ascii="Arial" w:hAnsi="Arial" w:cs="Arial"/>
          <w:sz w:val="22"/>
          <w:lang w:val="es-ES"/>
        </w:rPr>
        <w:t xml:space="preserve">́ dispuestas en sus organizaciones administrativas. (Art. 2 Decreto 1737 de 1998)». Esto implica que el Decreto 1068 de 2015 –es decir, el Decreto 1737 de 1998, con sus modificaciones– aplica a los organismos, entidades, entes </w:t>
      </w:r>
      <w:proofErr w:type="spellStart"/>
      <w:r w:rsidR="008830FE" w:rsidRPr="008A638F">
        <w:rPr>
          <w:rFonts w:ascii="Arial" w:hAnsi="Arial" w:cs="Arial"/>
          <w:sz w:val="22"/>
          <w:lang w:val="es-ES"/>
        </w:rPr>
        <w:t>públicos</w:t>
      </w:r>
      <w:proofErr w:type="spellEnd"/>
      <w:r w:rsidR="008830FE" w:rsidRPr="008A638F">
        <w:rPr>
          <w:rFonts w:ascii="Arial" w:hAnsi="Arial" w:cs="Arial"/>
          <w:sz w:val="22"/>
          <w:lang w:val="es-ES"/>
        </w:rPr>
        <w:t xml:space="preserve"> y personas </w:t>
      </w:r>
      <w:proofErr w:type="spellStart"/>
      <w:r w:rsidR="008830FE" w:rsidRPr="008A638F">
        <w:rPr>
          <w:rFonts w:ascii="Arial" w:hAnsi="Arial" w:cs="Arial"/>
          <w:sz w:val="22"/>
          <w:lang w:val="es-ES"/>
        </w:rPr>
        <w:t>jurídicas</w:t>
      </w:r>
      <w:proofErr w:type="spellEnd"/>
      <w:r w:rsidR="008830FE" w:rsidRPr="008A638F">
        <w:rPr>
          <w:rFonts w:ascii="Arial" w:hAnsi="Arial" w:cs="Arial"/>
          <w:sz w:val="22"/>
          <w:lang w:val="es-ES"/>
        </w:rPr>
        <w:t xml:space="preserve"> que financien sus gastos con recursos del tesoro público de la nación, sin in</w:t>
      </w:r>
      <w:r w:rsidR="008830FE">
        <w:rPr>
          <w:rFonts w:ascii="Arial" w:hAnsi="Arial" w:cs="Arial"/>
          <w:sz w:val="22"/>
          <w:lang w:val="es-ES"/>
        </w:rPr>
        <w:t>cl</w:t>
      </w:r>
      <w:r w:rsidR="008830FE" w:rsidRPr="008A638F">
        <w:rPr>
          <w:rFonts w:ascii="Arial" w:hAnsi="Arial" w:cs="Arial"/>
          <w:sz w:val="22"/>
          <w:lang w:val="es-ES"/>
        </w:rPr>
        <w:t>uir a las entidades territoriales</w:t>
      </w:r>
      <w:r w:rsidR="00731CAA">
        <w:rPr>
          <w:rFonts w:ascii="Arial" w:hAnsi="Arial" w:cs="Arial"/>
          <w:sz w:val="22"/>
          <w:lang w:val="es-ES"/>
        </w:rPr>
        <w:t>, salvo que ellas dicten normas equivalentes para sus administraciones</w:t>
      </w:r>
      <w:r w:rsidR="008830FE" w:rsidRPr="008A638F">
        <w:rPr>
          <w:rFonts w:ascii="Arial" w:hAnsi="Arial" w:cs="Arial"/>
          <w:sz w:val="22"/>
          <w:lang w:val="es-ES"/>
        </w:rPr>
        <w:t>.</w:t>
      </w:r>
    </w:p>
    <w:p w14:paraId="3DE9F9DE" w14:textId="77777777" w:rsidR="007374B4" w:rsidRDefault="007374B4" w:rsidP="007374B4">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 </w:t>
      </w:r>
      <w:r>
        <w:rPr>
          <w:rFonts w:ascii="Arial" w:hAnsi="Arial" w:cs="Arial"/>
          <w:sz w:val="22"/>
          <w:lang w:val="es-ES"/>
        </w:rPr>
        <w:t xml:space="preserve">     </w:t>
      </w:r>
      <w:r>
        <w:rPr>
          <w:rFonts w:ascii="Arial" w:eastAsia="Calibri" w:hAnsi="Arial" w:cs="Arial"/>
          <w:color w:val="000000" w:themeColor="text1"/>
          <w:sz w:val="22"/>
        </w:rPr>
        <w:t xml:space="preserve"> </w:t>
      </w:r>
    </w:p>
    <w:p w14:paraId="5423809B" w14:textId="1D49ACCB" w:rsidR="007374B4" w:rsidRPr="006C15D5" w:rsidRDefault="007374B4" w:rsidP="007374B4">
      <w:pPr>
        <w:tabs>
          <w:tab w:val="left" w:pos="426"/>
        </w:tabs>
        <w:ind w:left="709" w:right="709"/>
        <w:jc w:val="both"/>
        <w:rPr>
          <w:rFonts w:ascii="Arial" w:eastAsia="Calibri" w:hAnsi="Arial" w:cs="Arial"/>
          <w:color w:val="000000" w:themeColor="text1"/>
          <w:sz w:val="21"/>
          <w:szCs w:val="21"/>
        </w:rPr>
      </w:pPr>
      <w:r w:rsidRPr="007374B4">
        <w:rPr>
          <w:rFonts w:ascii="Arial" w:eastAsia="Calibri" w:hAnsi="Arial" w:cs="Arial"/>
          <w:color w:val="000000" w:themeColor="text1"/>
          <w:sz w:val="21"/>
          <w:szCs w:val="21"/>
        </w:rPr>
        <w:t xml:space="preserve">7. </w:t>
      </w:r>
      <w:r w:rsidR="00070D62">
        <w:rPr>
          <w:rFonts w:ascii="Arial" w:eastAsia="Calibri" w:hAnsi="Arial" w:cs="Arial"/>
          <w:color w:val="000000" w:themeColor="text1"/>
          <w:sz w:val="21"/>
          <w:szCs w:val="21"/>
        </w:rPr>
        <w:t>«</w:t>
      </w:r>
      <w:proofErr w:type="gramStart"/>
      <w:r w:rsidRPr="007374B4">
        <w:rPr>
          <w:rFonts w:ascii="Arial" w:eastAsia="Calibri" w:hAnsi="Arial" w:cs="Arial"/>
          <w:color w:val="000000" w:themeColor="text1"/>
          <w:sz w:val="21"/>
          <w:szCs w:val="21"/>
        </w:rPr>
        <w:t xml:space="preserve">¿Cómo debe interpretarse lo indicado en el parágrafo 1o del </w:t>
      </w:r>
      <w:bookmarkStart w:id="39" w:name="_Hlk46221172"/>
      <w:r w:rsidRPr="007374B4">
        <w:rPr>
          <w:rFonts w:ascii="Arial" w:eastAsia="Calibri" w:hAnsi="Arial" w:cs="Arial"/>
          <w:color w:val="000000" w:themeColor="text1"/>
          <w:sz w:val="21"/>
          <w:szCs w:val="21"/>
        </w:rPr>
        <w:t>artículo 2.</w:t>
      </w:r>
      <w:proofErr w:type="gramEnd"/>
      <w:r w:rsidRPr="007374B4">
        <w:rPr>
          <w:rFonts w:ascii="Arial" w:eastAsia="Calibri" w:hAnsi="Arial" w:cs="Arial"/>
          <w:color w:val="000000" w:themeColor="text1"/>
          <w:sz w:val="21"/>
          <w:szCs w:val="21"/>
        </w:rPr>
        <w:t>8.4.4.6 del Decreto 1068 de 2019</w:t>
      </w:r>
      <w:bookmarkEnd w:id="39"/>
      <w:r w:rsidRPr="007374B4">
        <w:rPr>
          <w:rFonts w:ascii="Arial" w:eastAsia="Calibri" w:hAnsi="Arial" w:cs="Arial"/>
          <w:color w:val="000000" w:themeColor="text1"/>
          <w:sz w:val="21"/>
          <w:szCs w:val="21"/>
        </w:rPr>
        <w:t>, respecto a “remuneración total mensual”, “factores prestacionales”? y “contribuciones inherentes a la nómina, relacionadas con seguridad social y parafiscales a cargo del empleador”</w:t>
      </w:r>
      <w:r w:rsidRPr="00DB4197">
        <w:rPr>
          <w:rFonts w:ascii="Arial" w:eastAsia="Calibri" w:hAnsi="Arial" w:cs="Arial"/>
          <w:color w:val="000000" w:themeColor="text1"/>
          <w:sz w:val="21"/>
          <w:szCs w:val="21"/>
        </w:rPr>
        <w:t>?</w:t>
      </w:r>
      <w:r w:rsidR="00070D62">
        <w:rPr>
          <w:rFonts w:ascii="Arial" w:eastAsia="Calibri" w:hAnsi="Arial" w:cs="Arial"/>
          <w:color w:val="000000" w:themeColor="text1"/>
          <w:sz w:val="21"/>
          <w:szCs w:val="21"/>
        </w:rPr>
        <w:t>».</w:t>
      </w:r>
    </w:p>
    <w:p w14:paraId="710994AB" w14:textId="77777777" w:rsidR="007374B4" w:rsidRDefault="007374B4" w:rsidP="007374B4">
      <w:pPr>
        <w:spacing w:line="276" w:lineRule="auto"/>
        <w:jc w:val="both"/>
        <w:rPr>
          <w:rFonts w:ascii="Arial" w:eastAsia="Calibri" w:hAnsi="Arial" w:cs="Arial"/>
          <w:color w:val="000000" w:themeColor="text1"/>
          <w:sz w:val="22"/>
        </w:rPr>
      </w:pPr>
    </w:p>
    <w:p w14:paraId="51BBA40A" w14:textId="77777777" w:rsidR="004A31F4" w:rsidRPr="004A31F4" w:rsidRDefault="00AE2A43" w:rsidP="007374B4">
      <w:pPr>
        <w:spacing w:after="120" w:line="276" w:lineRule="auto"/>
        <w:jc w:val="both"/>
        <w:rPr>
          <w:rFonts w:ascii="Arial" w:eastAsia="Calibri" w:hAnsi="Arial" w:cs="Arial"/>
          <w:sz w:val="22"/>
          <w:lang w:val="es-ES"/>
        </w:rPr>
      </w:pPr>
      <w:r w:rsidRPr="004A31F4">
        <w:rPr>
          <w:rFonts w:ascii="Arial" w:eastAsia="Calibri" w:hAnsi="Arial" w:cs="Arial"/>
          <w:sz w:val="22"/>
          <w:lang w:val="es-ES"/>
        </w:rPr>
        <w:t xml:space="preserve">Las expresiones </w:t>
      </w:r>
      <w:r w:rsidRPr="004A31F4">
        <w:rPr>
          <w:rFonts w:ascii="Arial" w:eastAsia="Calibri" w:hAnsi="Arial" w:cs="Arial"/>
          <w:color w:val="000000" w:themeColor="text1"/>
          <w:sz w:val="22"/>
        </w:rPr>
        <w:t xml:space="preserve">«remuneración total mensual», «factores prestacionales» y «contribuciones inherentes a la nómina, relacionadas con seguridad social y parafiscales a </w:t>
      </w:r>
      <w:r w:rsidRPr="004A31F4">
        <w:rPr>
          <w:rFonts w:ascii="Arial" w:eastAsia="Calibri" w:hAnsi="Arial" w:cs="Arial"/>
          <w:color w:val="000000" w:themeColor="text1"/>
          <w:sz w:val="22"/>
        </w:rPr>
        <w:lastRenderedPageBreak/>
        <w:t xml:space="preserve">cargo del empleador» deben interpretarse conforme a las </w:t>
      </w:r>
      <w:r w:rsidR="00BD354C" w:rsidRPr="004A31F4">
        <w:rPr>
          <w:rFonts w:ascii="Arial" w:eastAsia="Calibri" w:hAnsi="Arial" w:cs="Arial"/>
          <w:color w:val="000000" w:themeColor="text1"/>
          <w:sz w:val="22"/>
        </w:rPr>
        <w:t>normas</w:t>
      </w:r>
      <w:r w:rsidRPr="004A31F4">
        <w:rPr>
          <w:rFonts w:ascii="Arial" w:eastAsia="Calibri" w:hAnsi="Arial" w:cs="Arial"/>
          <w:color w:val="000000" w:themeColor="text1"/>
          <w:sz w:val="22"/>
        </w:rPr>
        <w:t xml:space="preserve"> </w:t>
      </w:r>
      <w:r w:rsidR="00926403" w:rsidRPr="004A31F4">
        <w:rPr>
          <w:rFonts w:ascii="Arial" w:eastAsia="Calibri" w:hAnsi="Arial" w:cs="Arial"/>
          <w:color w:val="000000" w:themeColor="text1"/>
          <w:sz w:val="22"/>
        </w:rPr>
        <w:t>que regul</w:t>
      </w:r>
      <w:r w:rsidR="00BD354C" w:rsidRPr="004A31F4">
        <w:rPr>
          <w:rFonts w:ascii="Arial" w:eastAsia="Calibri" w:hAnsi="Arial" w:cs="Arial"/>
          <w:color w:val="000000" w:themeColor="text1"/>
          <w:sz w:val="22"/>
        </w:rPr>
        <w:t>a</w:t>
      </w:r>
      <w:r w:rsidR="00926403" w:rsidRPr="004A31F4">
        <w:rPr>
          <w:rFonts w:ascii="Arial" w:eastAsia="Calibri" w:hAnsi="Arial" w:cs="Arial"/>
          <w:color w:val="000000" w:themeColor="text1"/>
          <w:sz w:val="22"/>
        </w:rPr>
        <w:t xml:space="preserve">n el régimen salarial y prestacional de los jefes de las diferentes </w:t>
      </w:r>
      <w:proofErr w:type="gramStart"/>
      <w:r w:rsidR="004A31F4" w:rsidRPr="004A31F4">
        <w:rPr>
          <w:rFonts w:ascii="Arial" w:eastAsia="Calibri" w:hAnsi="Arial" w:cs="Arial"/>
          <w:color w:val="000000" w:themeColor="text1"/>
          <w:sz w:val="22"/>
        </w:rPr>
        <w:t>autoridades</w:t>
      </w:r>
      <w:r w:rsidR="00926403" w:rsidRPr="004A31F4">
        <w:rPr>
          <w:rFonts w:ascii="Arial" w:eastAsia="Calibri" w:hAnsi="Arial" w:cs="Arial"/>
          <w:color w:val="000000" w:themeColor="text1"/>
          <w:sz w:val="22"/>
        </w:rPr>
        <w:t xml:space="preserve"> </w:t>
      </w:r>
      <w:r w:rsidR="004A31F4" w:rsidRPr="004A31F4">
        <w:rPr>
          <w:rFonts w:ascii="Arial" w:eastAsia="Calibri" w:hAnsi="Arial" w:cs="Arial"/>
          <w:color w:val="000000" w:themeColor="text1"/>
          <w:sz w:val="22"/>
        </w:rPr>
        <w:t>públicas</w:t>
      </w:r>
      <w:proofErr w:type="gramEnd"/>
      <w:r w:rsidR="00BD354C" w:rsidRPr="004A31F4">
        <w:rPr>
          <w:rFonts w:ascii="Arial" w:eastAsia="Calibri" w:hAnsi="Arial" w:cs="Arial"/>
          <w:color w:val="000000" w:themeColor="text1"/>
          <w:sz w:val="22"/>
        </w:rPr>
        <w:t xml:space="preserve">. Estos conceptos son elementos normativos del supuesto de hecho previsto en el </w:t>
      </w:r>
      <w:r w:rsidR="008C03F9" w:rsidRPr="004A31F4">
        <w:rPr>
          <w:rFonts w:ascii="Arial" w:eastAsia="Calibri" w:hAnsi="Arial" w:cs="Arial"/>
          <w:color w:val="000000" w:themeColor="text1"/>
          <w:sz w:val="22"/>
        </w:rPr>
        <w:t>artículo 2.8.4.4.6 del Decreto 1068 de 201</w:t>
      </w:r>
      <w:r w:rsidR="00790FE0" w:rsidRPr="004A31F4">
        <w:rPr>
          <w:rFonts w:ascii="Arial" w:eastAsia="Calibri" w:hAnsi="Arial" w:cs="Arial"/>
          <w:color w:val="000000" w:themeColor="text1"/>
          <w:sz w:val="22"/>
        </w:rPr>
        <w:t>5</w:t>
      </w:r>
      <w:r w:rsidR="008C03F9" w:rsidRPr="004A31F4">
        <w:rPr>
          <w:rFonts w:ascii="Arial" w:eastAsia="Calibri" w:hAnsi="Arial" w:cs="Arial"/>
          <w:sz w:val="22"/>
          <w:lang w:val="es-ES"/>
        </w:rPr>
        <w:t xml:space="preserve">, por lo que –conforme al </w:t>
      </w:r>
      <w:r w:rsidR="00A23BEB" w:rsidRPr="004A31F4">
        <w:rPr>
          <w:rFonts w:ascii="Arial" w:eastAsia="Calibri" w:hAnsi="Arial" w:cs="Arial"/>
          <w:sz w:val="22"/>
          <w:lang w:val="es-ES"/>
        </w:rPr>
        <w:t xml:space="preserve">artículo 28 del Código Civil– </w:t>
      </w:r>
      <w:r w:rsidR="008C03F9" w:rsidRPr="004A31F4">
        <w:rPr>
          <w:rFonts w:ascii="Arial" w:eastAsia="Calibri" w:hAnsi="Arial" w:cs="Arial"/>
          <w:sz w:val="22"/>
          <w:lang w:val="es-ES"/>
        </w:rPr>
        <w:t xml:space="preserve">se llenan de contenido con la remisión </w:t>
      </w:r>
      <w:r w:rsidR="00A23BEB" w:rsidRPr="004A31F4">
        <w:rPr>
          <w:rFonts w:ascii="Arial" w:eastAsia="Calibri" w:hAnsi="Arial" w:cs="Arial"/>
          <w:sz w:val="22"/>
          <w:lang w:val="es-ES"/>
        </w:rPr>
        <w:t>a las disposiciones</w:t>
      </w:r>
      <w:r w:rsidR="008C03F9" w:rsidRPr="004A31F4">
        <w:rPr>
          <w:rFonts w:ascii="Arial" w:eastAsia="Calibri" w:hAnsi="Arial" w:cs="Arial"/>
          <w:sz w:val="22"/>
          <w:lang w:val="es-ES"/>
        </w:rPr>
        <w:t xml:space="preserve"> sobre la materia</w:t>
      </w:r>
      <w:r w:rsidR="00A23BEB" w:rsidRPr="004A31F4">
        <w:rPr>
          <w:rStyle w:val="Refdenotaalpie"/>
          <w:rFonts w:ascii="Arial" w:eastAsia="Calibri" w:hAnsi="Arial" w:cs="Arial"/>
          <w:sz w:val="22"/>
          <w:lang w:val="es-ES"/>
        </w:rPr>
        <w:footnoteReference w:id="6"/>
      </w:r>
      <w:r w:rsidR="00A23BEB" w:rsidRPr="004A31F4">
        <w:rPr>
          <w:rFonts w:ascii="Arial" w:eastAsia="Calibri" w:hAnsi="Arial" w:cs="Arial"/>
          <w:sz w:val="22"/>
          <w:lang w:val="es-ES"/>
        </w:rPr>
        <w:t>.</w:t>
      </w:r>
      <w:r w:rsidR="00F93642" w:rsidRPr="004A31F4">
        <w:rPr>
          <w:rFonts w:ascii="Arial" w:eastAsia="Calibri" w:hAnsi="Arial" w:cs="Arial"/>
          <w:sz w:val="22"/>
          <w:lang w:val="es-ES"/>
        </w:rPr>
        <w:t xml:space="preserve"> </w:t>
      </w:r>
    </w:p>
    <w:p w14:paraId="412AD567" w14:textId="1CD7DEC7" w:rsidR="00A23BEB" w:rsidRDefault="004A31F4" w:rsidP="004A31F4">
      <w:pPr>
        <w:spacing w:after="120" w:line="276" w:lineRule="auto"/>
        <w:ind w:firstLine="708"/>
        <w:jc w:val="both"/>
        <w:rPr>
          <w:rFonts w:ascii="Arial" w:eastAsia="Calibri" w:hAnsi="Arial" w:cs="Arial"/>
          <w:sz w:val="22"/>
          <w:lang w:val="es-ES"/>
        </w:rPr>
      </w:pPr>
      <w:r>
        <w:rPr>
          <w:rFonts w:ascii="Arial" w:eastAsia="Calibri" w:hAnsi="Arial" w:cs="Arial"/>
          <w:sz w:val="22"/>
          <w:lang w:val="es-ES"/>
        </w:rPr>
        <w:t>En esta medida, p</w:t>
      </w:r>
      <w:r w:rsidR="00F93642">
        <w:rPr>
          <w:rFonts w:ascii="Arial" w:eastAsia="Calibri" w:hAnsi="Arial" w:cs="Arial"/>
          <w:sz w:val="22"/>
          <w:lang w:val="es-ES"/>
        </w:rPr>
        <w:t xml:space="preserve">ese a la existencia de normas generales sobre el salario y las prestaciones de los servidores públicos, </w:t>
      </w:r>
      <w:r>
        <w:rPr>
          <w:rFonts w:ascii="Arial" w:eastAsia="Calibri" w:hAnsi="Arial" w:cs="Arial"/>
          <w:sz w:val="22"/>
          <w:lang w:val="es-ES"/>
        </w:rPr>
        <w:t>las expresiones mencionadas</w:t>
      </w:r>
      <w:r w:rsidR="00F93642">
        <w:rPr>
          <w:rFonts w:ascii="Arial" w:eastAsia="Calibri" w:hAnsi="Arial" w:cs="Arial"/>
          <w:sz w:val="22"/>
          <w:lang w:val="es-ES"/>
        </w:rPr>
        <w:t xml:space="preserve"> deben integrarse con las disposiciones especiales y los actos administrativos correspondientes, por lo que </w:t>
      </w:r>
      <w:r>
        <w:rPr>
          <w:rFonts w:ascii="Arial" w:eastAsia="Calibri" w:hAnsi="Arial" w:cs="Arial"/>
          <w:sz w:val="22"/>
          <w:lang w:val="es-ES"/>
        </w:rPr>
        <w:t>su contenido y alcance</w:t>
      </w:r>
      <w:r w:rsidR="00F93642">
        <w:rPr>
          <w:rFonts w:ascii="Arial" w:eastAsia="Calibri" w:hAnsi="Arial" w:cs="Arial"/>
          <w:sz w:val="22"/>
          <w:lang w:val="es-ES"/>
        </w:rPr>
        <w:t xml:space="preserve"> depende </w:t>
      </w:r>
      <w:r>
        <w:rPr>
          <w:rFonts w:ascii="Arial" w:eastAsia="Calibri" w:hAnsi="Arial" w:cs="Arial"/>
          <w:sz w:val="22"/>
          <w:lang w:val="es-ES"/>
        </w:rPr>
        <w:t>de la naturaleza jurídica y el régimen laboral de cada entidad contratante</w:t>
      </w:r>
      <w:r w:rsidR="00F93642">
        <w:rPr>
          <w:rFonts w:ascii="Arial" w:eastAsia="Calibri" w:hAnsi="Arial" w:cs="Arial"/>
          <w:sz w:val="22"/>
          <w:lang w:val="es-ES"/>
        </w:rPr>
        <w:t>.</w:t>
      </w:r>
    </w:p>
    <w:p w14:paraId="208A4180" w14:textId="320097C1" w:rsidR="001B7BC2" w:rsidRDefault="001B7BC2" w:rsidP="0075725E">
      <w:pPr>
        <w:spacing w:line="276" w:lineRule="auto"/>
        <w:ind w:firstLine="708"/>
        <w:jc w:val="both"/>
        <w:rPr>
          <w:rFonts w:ascii="Arial" w:eastAsia="Calibri" w:hAnsi="Arial" w:cs="Arial"/>
          <w:sz w:val="22"/>
          <w:lang w:val="es-ES"/>
        </w:rPr>
      </w:pPr>
      <w:r w:rsidRPr="00BB5473">
        <w:rPr>
          <w:rFonts w:ascii="Arial" w:eastAsia="Calibri" w:hAnsi="Arial" w:cs="Arial"/>
          <w:sz w:val="22"/>
          <w:lang w:val="es-ES"/>
        </w:rPr>
        <w:t xml:space="preserve">De todas formas, </w:t>
      </w:r>
      <w:r>
        <w:rPr>
          <w:rFonts w:ascii="Arial" w:eastAsia="Calibri" w:hAnsi="Arial" w:cs="Arial"/>
          <w:sz w:val="22"/>
          <w:lang w:val="es-ES"/>
        </w:rPr>
        <w:t>teniendo en cuenta el carácter técnico-</w:t>
      </w:r>
      <w:r w:rsidR="009269A8">
        <w:rPr>
          <w:rFonts w:ascii="Arial" w:eastAsia="Calibri" w:hAnsi="Arial" w:cs="Arial"/>
          <w:sz w:val="22"/>
          <w:lang w:val="es-ES"/>
        </w:rPr>
        <w:t>laboral</w:t>
      </w:r>
      <w:r>
        <w:rPr>
          <w:rFonts w:ascii="Arial" w:eastAsia="Calibri" w:hAnsi="Arial" w:cs="Arial"/>
          <w:sz w:val="22"/>
          <w:lang w:val="es-ES"/>
        </w:rPr>
        <w:t xml:space="preserve"> de</w:t>
      </w:r>
      <w:r w:rsidR="009269A8">
        <w:rPr>
          <w:rFonts w:ascii="Arial" w:eastAsia="Calibri" w:hAnsi="Arial" w:cs="Arial"/>
          <w:sz w:val="22"/>
          <w:lang w:val="es-ES"/>
        </w:rPr>
        <w:t xml:space="preserve"> </w:t>
      </w:r>
      <w:r>
        <w:rPr>
          <w:rFonts w:ascii="Arial" w:eastAsia="Calibri" w:hAnsi="Arial" w:cs="Arial"/>
          <w:sz w:val="22"/>
          <w:lang w:val="es-ES"/>
        </w:rPr>
        <w:t>l</w:t>
      </w:r>
      <w:r w:rsidR="009269A8">
        <w:rPr>
          <w:rFonts w:ascii="Arial" w:eastAsia="Calibri" w:hAnsi="Arial" w:cs="Arial"/>
          <w:sz w:val="22"/>
          <w:lang w:val="es-ES"/>
        </w:rPr>
        <w:t>os</w:t>
      </w:r>
      <w:r>
        <w:rPr>
          <w:rFonts w:ascii="Arial" w:eastAsia="Calibri" w:hAnsi="Arial" w:cs="Arial"/>
          <w:sz w:val="22"/>
          <w:lang w:val="es-ES"/>
        </w:rPr>
        <w:t xml:space="preserve"> concepto</w:t>
      </w:r>
      <w:r w:rsidR="009269A8">
        <w:rPr>
          <w:rFonts w:ascii="Arial" w:eastAsia="Calibri" w:hAnsi="Arial" w:cs="Arial"/>
          <w:sz w:val="22"/>
          <w:lang w:val="es-ES"/>
        </w:rPr>
        <w:t>s</w:t>
      </w:r>
      <w:r>
        <w:rPr>
          <w:rFonts w:ascii="Arial" w:eastAsia="Calibri" w:hAnsi="Arial" w:cs="Arial"/>
          <w:sz w:val="22"/>
          <w:lang w:val="es-ES"/>
        </w:rPr>
        <w:t xml:space="preserve"> de </w:t>
      </w:r>
      <w:r w:rsidR="009269A8" w:rsidRPr="004A31F4">
        <w:rPr>
          <w:rFonts w:ascii="Arial" w:eastAsia="Calibri" w:hAnsi="Arial" w:cs="Arial"/>
          <w:color w:val="000000" w:themeColor="text1"/>
          <w:sz w:val="22"/>
        </w:rPr>
        <w:t>«remuneración total mensual», «factores prestacionales» y «contribuciones inherentes a la nómina, relacionadas con seguridad social y parafiscales a cargo del empleador»</w:t>
      </w:r>
      <w:r w:rsidRPr="00BB5473">
        <w:rPr>
          <w:rFonts w:ascii="Arial" w:eastAsia="Calibri" w:hAnsi="Arial" w:cs="Arial"/>
          <w:sz w:val="22"/>
          <w:lang w:val="es-ES"/>
        </w:rPr>
        <w:t xml:space="preserve">, se considera prudente exhortar al peticionario a que formule </w:t>
      </w:r>
      <w:r>
        <w:rPr>
          <w:rFonts w:ascii="Arial" w:eastAsia="Calibri" w:hAnsi="Arial" w:cs="Arial"/>
          <w:sz w:val="22"/>
          <w:lang w:val="es-ES"/>
        </w:rPr>
        <w:t>esta inquietud al</w:t>
      </w:r>
      <w:r w:rsidR="00DD06FC">
        <w:rPr>
          <w:rFonts w:ascii="Arial" w:eastAsia="Calibri" w:hAnsi="Arial" w:cs="Arial"/>
          <w:sz w:val="22"/>
          <w:lang w:val="es-ES"/>
        </w:rPr>
        <w:t xml:space="preserve"> Ministerio del Trabajo o al</w:t>
      </w:r>
      <w:r>
        <w:rPr>
          <w:rFonts w:ascii="Arial" w:eastAsia="Calibri" w:hAnsi="Arial" w:cs="Arial"/>
          <w:sz w:val="22"/>
          <w:lang w:val="es-ES"/>
        </w:rPr>
        <w:t xml:space="preserve"> </w:t>
      </w:r>
      <w:r w:rsidR="009269A8">
        <w:rPr>
          <w:rFonts w:ascii="Arial" w:eastAsia="Calibri" w:hAnsi="Arial" w:cs="Arial"/>
          <w:sz w:val="22"/>
          <w:lang w:val="es-ES"/>
        </w:rPr>
        <w:t>Departamento Administrativo de la Función Pública</w:t>
      </w:r>
      <w:r w:rsidRPr="00BB5473">
        <w:rPr>
          <w:rFonts w:ascii="Arial" w:eastAsia="Calibri" w:hAnsi="Arial" w:cs="Arial"/>
          <w:sz w:val="22"/>
          <w:lang w:val="es-ES"/>
        </w:rPr>
        <w:t>. Lo anterior, en la medida</w:t>
      </w:r>
      <w:r w:rsidR="00DD06FC">
        <w:rPr>
          <w:rFonts w:ascii="Arial" w:eastAsia="Calibri" w:hAnsi="Arial" w:cs="Arial"/>
          <w:sz w:val="22"/>
          <w:lang w:val="es-ES"/>
        </w:rPr>
        <w:t xml:space="preserve"> estas entidades</w:t>
      </w:r>
      <w:r w:rsidRPr="00BB5473">
        <w:rPr>
          <w:rFonts w:ascii="Arial" w:eastAsia="Calibri" w:hAnsi="Arial" w:cs="Arial"/>
          <w:sz w:val="22"/>
          <w:lang w:val="es-ES"/>
        </w:rPr>
        <w:t xml:space="preserve"> </w:t>
      </w:r>
      <w:r w:rsidR="00DD06FC">
        <w:rPr>
          <w:rFonts w:ascii="Arial" w:eastAsia="Calibri" w:hAnsi="Arial" w:cs="Arial"/>
          <w:sz w:val="22"/>
          <w:lang w:val="es-ES"/>
        </w:rPr>
        <w:t>pueden definir</w:t>
      </w:r>
      <w:r w:rsidRPr="00BB5473">
        <w:rPr>
          <w:rFonts w:ascii="Arial" w:eastAsia="Calibri" w:hAnsi="Arial" w:cs="Arial"/>
          <w:sz w:val="22"/>
          <w:lang w:val="es-ES"/>
        </w:rPr>
        <w:t xml:space="preserve"> con</w:t>
      </w:r>
      <w:r w:rsidR="00DD06FC">
        <w:rPr>
          <w:rFonts w:ascii="Arial" w:eastAsia="Calibri" w:hAnsi="Arial" w:cs="Arial"/>
          <w:sz w:val="22"/>
          <w:lang w:val="es-ES"/>
        </w:rPr>
        <w:t xml:space="preserve"> mejor</w:t>
      </w:r>
      <w:r w:rsidRPr="00BB5473">
        <w:rPr>
          <w:rFonts w:ascii="Arial" w:eastAsia="Calibri" w:hAnsi="Arial" w:cs="Arial"/>
          <w:sz w:val="22"/>
          <w:lang w:val="es-ES"/>
        </w:rPr>
        <w:t xml:space="preserve"> criterio </w:t>
      </w:r>
      <w:r>
        <w:rPr>
          <w:rFonts w:ascii="Arial" w:eastAsia="Calibri" w:hAnsi="Arial" w:cs="Arial"/>
          <w:sz w:val="22"/>
          <w:lang w:val="es-ES"/>
        </w:rPr>
        <w:t xml:space="preserve">qué alcance </w:t>
      </w:r>
      <w:r w:rsidR="00DD06FC">
        <w:rPr>
          <w:rFonts w:ascii="Arial" w:eastAsia="Calibri" w:hAnsi="Arial" w:cs="Arial"/>
          <w:sz w:val="22"/>
          <w:lang w:val="es-ES"/>
        </w:rPr>
        <w:t>tienen estas nociones</w:t>
      </w:r>
      <w:r>
        <w:rPr>
          <w:rFonts w:ascii="Arial" w:eastAsia="Calibri" w:hAnsi="Arial" w:cs="Arial"/>
          <w:sz w:val="22"/>
          <w:lang w:val="es-ES"/>
        </w:rPr>
        <w:t xml:space="preserve">. </w:t>
      </w:r>
    </w:p>
    <w:p w14:paraId="04048464" w14:textId="30FF9CBD" w:rsidR="00462A87" w:rsidRPr="00DF003F" w:rsidRDefault="00462A87" w:rsidP="0075725E">
      <w:pPr>
        <w:spacing w:after="120" w:line="276" w:lineRule="auto"/>
        <w:jc w:val="both"/>
        <w:rPr>
          <w:rFonts w:ascii="Arial" w:eastAsia="Calibri" w:hAnsi="Arial" w:cs="Arial"/>
          <w:sz w:val="22"/>
        </w:rPr>
      </w:pPr>
    </w:p>
    <w:p w14:paraId="66CE4DD8" w14:textId="40186C6E" w:rsidR="00BE1E33" w:rsidRPr="006C15D5" w:rsidRDefault="00BE1E33" w:rsidP="009D013C">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7BEA7F3B" w:rsidR="00BE1E33" w:rsidRDefault="00F6674B" w:rsidP="00BE1E33">
      <w:pPr>
        <w:jc w:val="center"/>
        <w:rPr>
          <w:rFonts w:ascii="Arial" w:eastAsia="Times New Roman" w:hAnsi="Arial" w:cs="Arial"/>
          <w:color w:val="000000" w:themeColor="text1"/>
          <w:sz w:val="18"/>
          <w:szCs w:val="20"/>
          <w:lang w:eastAsia="es-CO"/>
        </w:rPr>
      </w:pPr>
      <w:r>
        <w:rPr>
          <w:noProof/>
        </w:rPr>
        <w:drawing>
          <wp:inline distT="0" distB="0" distL="0" distR="0" wp14:anchorId="6E1FE8E0" wp14:editId="1CEC515C">
            <wp:extent cx="2773045" cy="988695"/>
            <wp:effectExtent l="0" t="0" r="0" b="0"/>
            <wp:docPr id="1581324425"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AC43E7">
        <w:trPr>
          <w:trHeight w:val="315"/>
        </w:trPr>
        <w:tc>
          <w:tcPr>
            <w:tcW w:w="812" w:type="dxa"/>
            <w:vAlign w:val="center"/>
            <w:hideMark/>
          </w:tcPr>
          <w:p w14:paraId="44CFA06E"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41DB6AA3" w:rsidR="00BE1E33" w:rsidRPr="006C15D5" w:rsidRDefault="00D418AD"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C4A6DA1" w14:textId="5897BB3C" w:rsidR="00982E99" w:rsidRPr="006C15D5" w:rsidRDefault="00982E99"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Contratista de la Subdirección de Gestión Contractual</w:t>
            </w:r>
          </w:p>
        </w:tc>
      </w:tr>
      <w:tr w:rsidR="003F6D32" w:rsidRPr="003F6D32" w14:paraId="092BCD16" w14:textId="77777777" w:rsidTr="00AC43E7">
        <w:trPr>
          <w:trHeight w:val="330"/>
        </w:trPr>
        <w:tc>
          <w:tcPr>
            <w:tcW w:w="812" w:type="dxa"/>
            <w:vAlign w:val="center"/>
            <w:hideMark/>
          </w:tcPr>
          <w:p w14:paraId="463B4DD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17166F" w14:textId="77777777" w:rsidR="00DF003F" w:rsidRPr="006C15D5" w:rsidRDefault="00DF003F" w:rsidP="00DF003F">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72718C99" w14:textId="27C46556" w:rsidR="00BE1E33" w:rsidRPr="006C15D5" w:rsidRDefault="00DF003F" w:rsidP="00DF003F">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r w:rsidR="00982E99" w:rsidRPr="003F6D32" w14:paraId="57DAFEF9" w14:textId="77777777" w:rsidTr="00AC43E7">
        <w:trPr>
          <w:trHeight w:val="300"/>
        </w:trPr>
        <w:tc>
          <w:tcPr>
            <w:tcW w:w="812" w:type="dxa"/>
            <w:vAlign w:val="center"/>
            <w:hideMark/>
          </w:tcPr>
          <w:p w14:paraId="7067701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75BC677C"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07748B46" w14:textId="77777777" w:rsidR="00BE1E33" w:rsidRPr="006C15D5" w:rsidRDefault="00BE1E33" w:rsidP="00BE1E33">
      <w:pPr>
        <w:rPr>
          <w:rFonts w:ascii="Arial" w:hAnsi="Arial" w:cs="Arial"/>
          <w:color w:val="000000" w:themeColor="text1"/>
        </w:rPr>
      </w:pPr>
    </w:p>
    <w:p w14:paraId="085A31AB" w14:textId="77777777" w:rsidR="006C5955" w:rsidRPr="006C15D5" w:rsidRDefault="006C5955" w:rsidP="00BE1E33">
      <w:pPr>
        <w:rPr>
          <w:color w:val="000000" w:themeColor="text1"/>
        </w:rPr>
      </w:pPr>
    </w:p>
    <w:sectPr w:rsidR="006C5955" w:rsidRPr="006C15D5" w:rsidSect="00AC43E7">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4BE9C" w14:textId="77777777" w:rsidR="007C22D5" w:rsidRDefault="007C22D5" w:rsidP="008C487C">
      <w:r>
        <w:separator/>
      </w:r>
    </w:p>
  </w:endnote>
  <w:endnote w:type="continuationSeparator" w:id="0">
    <w:p w14:paraId="070D82B7" w14:textId="77777777" w:rsidR="007C22D5" w:rsidRDefault="007C22D5"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20D21" w14:textId="77777777" w:rsidR="005D08A8" w:rsidRDefault="005D08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576A2B" w:rsidRPr="005D08A8" w:rsidRDefault="00576A2B" w:rsidP="00AC43E7">
    <w:pPr>
      <w:pStyle w:val="Sinespaciado"/>
      <w:jc w:val="right"/>
      <w:rPr>
        <w:rFonts w:ascii="Arial" w:hAnsi="Arial" w:cs="Arial"/>
        <w:sz w:val="12"/>
        <w:szCs w:val="12"/>
      </w:rPr>
    </w:pPr>
  </w:p>
  <w:p w14:paraId="709352A1" w14:textId="77777777" w:rsidR="00576A2B" w:rsidRDefault="00576A2B" w:rsidP="00AC43E7">
    <w:pPr>
      <w:pStyle w:val="Sinespaciado"/>
      <w:jc w:val="right"/>
      <w:rPr>
        <w:rFonts w:ascii="Arial" w:hAnsi="Arial" w:cs="Arial"/>
        <w:sz w:val="18"/>
        <w:szCs w:val="18"/>
      </w:rPr>
    </w:pPr>
  </w:p>
  <w:p w14:paraId="3D3EB348" w14:textId="77777777" w:rsidR="00576A2B" w:rsidRPr="008217B7" w:rsidRDefault="00576A2B"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576A2B" w:rsidRDefault="75D82D90" w:rsidP="00AC43E7">
    <w:pPr>
      <w:pStyle w:val="Piedepgina"/>
      <w:jc w:val="center"/>
      <w:rPr>
        <w:lang w:val="es-ES"/>
      </w:rPr>
    </w:pPr>
    <w:r>
      <w:rPr>
        <w:noProof/>
      </w:rPr>
      <w:drawing>
        <wp:inline distT="0" distB="0" distL="0" distR="0" wp14:anchorId="0323F87D" wp14:editId="7A28DF6B">
          <wp:extent cx="3700130" cy="519139"/>
          <wp:effectExtent l="0" t="0" r="0" b="0"/>
          <wp:docPr id="15829743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576A2B" w:rsidRPr="00E756AC" w:rsidRDefault="00576A2B" w:rsidP="00AC43E7">
    <w:pPr>
      <w:pStyle w:val="Piedepgina"/>
      <w:jc w:val="center"/>
      <w:rPr>
        <w:sz w:val="18"/>
        <w:szCs w:val="18"/>
        <w:lang w:val="es-ES"/>
      </w:rPr>
    </w:pPr>
  </w:p>
  <w:p w14:paraId="428179B1" w14:textId="77777777" w:rsidR="00576A2B" w:rsidRPr="00E756AC" w:rsidRDefault="00576A2B" w:rsidP="00AC43E7">
    <w:pPr>
      <w:pStyle w:val="Piedepgina"/>
      <w:jc w:val="center"/>
      <w:rPr>
        <w:sz w:val="18"/>
        <w:szCs w:val="18"/>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20F51" w14:textId="77777777" w:rsidR="005D08A8" w:rsidRDefault="005D08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54710" w14:textId="77777777" w:rsidR="007C22D5" w:rsidRDefault="007C22D5" w:rsidP="008C487C">
      <w:r>
        <w:separator/>
      </w:r>
    </w:p>
  </w:footnote>
  <w:footnote w:type="continuationSeparator" w:id="0">
    <w:p w14:paraId="68273E1B" w14:textId="77777777" w:rsidR="007C22D5" w:rsidRDefault="007C22D5" w:rsidP="008C487C">
      <w:r>
        <w:continuationSeparator/>
      </w:r>
    </w:p>
  </w:footnote>
  <w:footnote w:id="1">
    <w:p w14:paraId="4EE0161C" w14:textId="77777777" w:rsidR="008A638F" w:rsidRPr="00AF1DE4" w:rsidRDefault="008A638F" w:rsidP="008A638F">
      <w:pPr>
        <w:pStyle w:val="Textonotapie"/>
        <w:ind w:firstLine="708"/>
        <w:jc w:val="both"/>
        <w:rPr>
          <w:rFonts w:ascii="Arial" w:hAnsi="Arial" w:cs="Arial"/>
          <w:sz w:val="19"/>
          <w:szCs w:val="19"/>
          <w:lang w:val="es-ES"/>
        </w:rPr>
      </w:pPr>
      <w:r w:rsidRPr="00AF1DE4">
        <w:rPr>
          <w:rStyle w:val="Refdenotaalpie"/>
          <w:rFonts w:ascii="Arial" w:hAnsi="Arial" w:cs="Arial"/>
          <w:sz w:val="19"/>
          <w:szCs w:val="19"/>
        </w:rPr>
        <w:footnoteRef/>
      </w:r>
      <w:r w:rsidRPr="00AF1DE4">
        <w:rPr>
          <w:rFonts w:ascii="Arial" w:hAnsi="Arial" w:cs="Arial"/>
          <w:sz w:val="19"/>
          <w:szCs w:val="19"/>
        </w:rPr>
        <w:t xml:space="preserve"> </w:t>
      </w:r>
      <w:r>
        <w:rPr>
          <w:rFonts w:ascii="Arial" w:hAnsi="Arial" w:cs="Arial"/>
          <w:sz w:val="19"/>
          <w:szCs w:val="19"/>
        </w:rPr>
        <w:t>En concordancia, los artículos 104 y 109 del Decreto 111 de 1996 disponen, respectivamente, que «</w:t>
      </w:r>
      <w:r w:rsidRPr="00495E37">
        <w:rPr>
          <w:rFonts w:ascii="Arial" w:hAnsi="Arial" w:cs="Arial"/>
          <w:sz w:val="19"/>
          <w:szCs w:val="19"/>
        </w:rPr>
        <w:t>A más tardar el 31 de diciembre de 1996, las entidades territoriales ajustarán las normas sobre programación, elaboración, aprobación y ejecución de sus presupuestos a las normas previstas en la ley orgánica del presupuesto</w:t>
      </w:r>
      <w:r>
        <w:rPr>
          <w:rFonts w:ascii="Arial" w:hAnsi="Arial" w:cs="Arial"/>
          <w:sz w:val="19"/>
          <w:szCs w:val="19"/>
        </w:rPr>
        <w:t>» y que «</w:t>
      </w:r>
      <w:r w:rsidRPr="00495E37">
        <w:rPr>
          <w:rFonts w:ascii="Arial" w:hAnsi="Arial" w:cs="Arial"/>
          <w:sz w:val="19"/>
          <w:szCs w:val="19"/>
        </w:rPr>
        <w:t>Las entidades territoriales al expedir las normas orgánicas de presupuesto deberán seguir las disposiciones de la Ley Orgánica del Presupuesto, adaptándolas a la organización, normas constitucionales y condiciones de cada entidad territorial. Mientras se expiden estas normas, se aplicará la Ley Orgánica del Presupuesto en lo que fuere pertinente</w:t>
      </w:r>
      <w:r>
        <w:rPr>
          <w:rFonts w:ascii="Arial" w:hAnsi="Arial" w:cs="Arial"/>
          <w:sz w:val="19"/>
          <w:szCs w:val="19"/>
        </w:rPr>
        <w:t>»</w:t>
      </w:r>
      <w:r w:rsidRPr="00495E37">
        <w:rPr>
          <w:rFonts w:ascii="Arial" w:hAnsi="Arial" w:cs="Arial"/>
          <w:sz w:val="19"/>
          <w:szCs w:val="19"/>
        </w:rPr>
        <w:t>.</w:t>
      </w:r>
    </w:p>
  </w:footnote>
  <w:footnote w:id="2">
    <w:p w14:paraId="05BD1973" w14:textId="77777777" w:rsidR="008A638F" w:rsidRPr="008F70DA" w:rsidRDefault="008A638F" w:rsidP="008A638F">
      <w:pPr>
        <w:pStyle w:val="Textonotapie"/>
        <w:ind w:firstLine="708"/>
        <w:jc w:val="both"/>
        <w:rPr>
          <w:rFonts w:ascii="Arial" w:hAnsi="Arial" w:cs="Arial"/>
          <w:sz w:val="19"/>
          <w:szCs w:val="19"/>
          <w:lang w:val="es-ES"/>
        </w:rPr>
      </w:pPr>
      <w:r w:rsidRPr="008F70DA">
        <w:rPr>
          <w:rStyle w:val="Refdenotaalpie"/>
          <w:rFonts w:ascii="Arial" w:hAnsi="Arial" w:cs="Arial"/>
          <w:sz w:val="19"/>
          <w:szCs w:val="19"/>
        </w:rPr>
        <w:footnoteRef/>
      </w:r>
      <w:r w:rsidRPr="008F70DA">
        <w:rPr>
          <w:rFonts w:ascii="Arial" w:hAnsi="Arial" w:cs="Arial"/>
          <w:sz w:val="19"/>
          <w:szCs w:val="19"/>
        </w:rPr>
        <w:t xml:space="preserve"> Según el artículo 38, numeral 1.2, del Decreto 2236 de 2017, los servicios personales indirectos «Son gastos destinados a atender la contratación de personas jurídicas y naturales para que presten servicios calificados o profesionales, cuando no puedan ser desarrollados con personal de planta. Así mismo, incluye la remuneración del personal que se vincule en forma ocasional, para desarrollar actividades netamente temporales o para suplir a los servidores públicos en caso de licencias o vacaciones, dicha remuneración cubrirá las prestaciones sociales a que tenga derecho</w:t>
      </w:r>
      <w:r w:rsidRPr="006426D6">
        <w:rPr>
          <w:rFonts w:ascii="Arial" w:hAnsi="Arial" w:cs="Arial"/>
          <w:sz w:val="19"/>
          <w:szCs w:val="19"/>
        </w:rPr>
        <w:t>, así como las contribuciones a que haya lugar</w:t>
      </w:r>
      <w:r w:rsidRPr="008F70DA">
        <w:rPr>
          <w:rFonts w:ascii="Arial" w:hAnsi="Arial" w:cs="Arial"/>
          <w:sz w:val="19"/>
          <w:szCs w:val="19"/>
        </w:rPr>
        <w:t xml:space="preserve"> […]».</w:t>
      </w:r>
    </w:p>
  </w:footnote>
  <w:footnote w:id="3">
    <w:p w14:paraId="4FD6600F" w14:textId="77777777" w:rsidR="00A2409D" w:rsidRDefault="007D4A01" w:rsidP="007D4A01">
      <w:pPr>
        <w:pStyle w:val="Textonotapie"/>
        <w:ind w:firstLine="708"/>
        <w:jc w:val="both"/>
        <w:rPr>
          <w:rFonts w:ascii="Arial" w:hAnsi="Arial" w:cs="Arial"/>
          <w:sz w:val="19"/>
          <w:szCs w:val="19"/>
        </w:rPr>
      </w:pPr>
      <w:r w:rsidRPr="007D4A01">
        <w:rPr>
          <w:rStyle w:val="Refdenotaalpie"/>
          <w:rFonts w:ascii="Arial" w:hAnsi="Arial" w:cs="Arial"/>
          <w:sz w:val="19"/>
          <w:szCs w:val="19"/>
        </w:rPr>
        <w:footnoteRef/>
      </w:r>
      <w:r w:rsidRPr="007D4A01">
        <w:rPr>
          <w:rFonts w:ascii="Arial" w:hAnsi="Arial" w:cs="Arial"/>
          <w:sz w:val="19"/>
          <w:szCs w:val="19"/>
        </w:rPr>
        <w:t xml:space="preserve"> </w:t>
      </w:r>
      <w:r w:rsidR="00A2409D">
        <w:rPr>
          <w:rFonts w:ascii="Arial" w:hAnsi="Arial" w:cs="Arial"/>
          <w:sz w:val="19"/>
          <w:szCs w:val="19"/>
        </w:rPr>
        <w:t xml:space="preserve">En el Concepto </w:t>
      </w:r>
      <w:r w:rsidR="00A2409D" w:rsidRPr="00A2409D">
        <w:rPr>
          <w:rFonts w:ascii="Arial" w:hAnsi="Arial" w:cs="Arial"/>
          <w:sz w:val="19"/>
          <w:szCs w:val="19"/>
        </w:rPr>
        <w:t>2201913000005631 del 6 de agosto de 2019</w:t>
      </w:r>
      <w:r w:rsidR="00A2409D">
        <w:rPr>
          <w:rFonts w:ascii="Arial" w:hAnsi="Arial" w:cs="Arial"/>
          <w:sz w:val="19"/>
          <w:szCs w:val="19"/>
        </w:rPr>
        <w:t xml:space="preserve"> explicó que «[…] </w:t>
      </w:r>
      <w:r w:rsidR="00A2409D" w:rsidRPr="00A2409D">
        <w:rPr>
          <w:rFonts w:ascii="Arial" w:hAnsi="Arial" w:cs="Arial"/>
          <w:sz w:val="19"/>
          <w:szCs w:val="19"/>
        </w:rPr>
        <w:t xml:space="preserve">La nueva clasificación de gastos aplicable a la vigencia 2019, une en una sola categoría los bienes y servicios, por lo que es evidente que el concepto “remuneración servicios técnicos” fue suprimido. Dicho concepto hacía referencia al pago por servicios calificados a personas naturales o jurídicas que se prestan en forma continua, al igual que suprimió los honorarios, noción que hacía referencia al pago por servicios profesionales prestados en forma transitoria y esporádica, por personas naturales o jurídicas, proveniente del Decreto de Liquidación de Presupuesto No. 2236 de 2017, aplicable a la vigencia 2018. </w:t>
      </w:r>
    </w:p>
    <w:p w14:paraId="2592C8BA" w14:textId="42AEEFB8" w:rsidR="007D4A01" w:rsidRPr="007D4A01" w:rsidRDefault="00A2409D" w:rsidP="007D4A01">
      <w:pPr>
        <w:pStyle w:val="Textonotapie"/>
        <w:ind w:firstLine="708"/>
        <w:jc w:val="both"/>
        <w:rPr>
          <w:rFonts w:ascii="Arial" w:hAnsi="Arial" w:cs="Arial"/>
          <w:sz w:val="19"/>
          <w:szCs w:val="19"/>
          <w:lang w:val="es-ES"/>
        </w:rPr>
      </w:pPr>
      <w:proofErr w:type="gramStart"/>
      <w:r>
        <w:rPr>
          <w:rFonts w:ascii="Arial" w:hAnsi="Arial" w:cs="Arial"/>
          <w:sz w:val="19"/>
          <w:szCs w:val="19"/>
        </w:rPr>
        <w:t>»</w:t>
      </w:r>
      <w:r w:rsidRPr="00A2409D">
        <w:rPr>
          <w:rFonts w:ascii="Arial" w:hAnsi="Arial" w:cs="Arial"/>
          <w:sz w:val="19"/>
          <w:szCs w:val="19"/>
        </w:rPr>
        <w:t>Para</w:t>
      </w:r>
      <w:proofErr w:type="gramEnd"/>
      <w:r w:rsidRPr="00A2409D">
        <w:rPr>
          <w:rFonts w:ascii="Arial" w:hAnsi="Arial" w:cs="Arial"/>
          <w:sz w:val="19"/>
          <w:szCs w:val="19"/>
        </w:rPr>
        <w:t xml:space="preserve"> concluir, el marco de aplicación de las reglas contenidas en el artículo 2.8.4.4.6 del Decreto 1068 de 2015, relacionado con el tope para la suscripción de contratos de prestación de servicios calificados y altamente calificados, condicionaba su aplicación a la existencia del concepto “remuneración servicios técnicos” del respectivo decreto de liquidación, pero debido a que el decreto de liquidación vigente suprimió dicha clasificación de gasto, es imposible su aplicación</w:t>
      </w:r>
      <w:r>
        <w:rPr>
          <w:rFonts w:ascii="Arial" w:hAnsi="Arial" w:cs="Arial"/>
          <w:sz w:val="19"/>
          <w:szCs w:val="19"/>
        </w:rPr>
        <w:t>»</w:t>
      </w:r>
      <w:r w:rsidRPr="00A2409D">
        <w:rPr>
          <w:rFonts w:ascii="Arial" w:hAnsi="Arial" w:cs="Arial"/>
          <w:sz w:val="19"/>
          <w:szCs w:val="19"/>
        </w:rPr>
        <w:t>.</w:t>
      </w:r>
    </w:p>
  </w:footnote>
  <w:footnote w:id="4">
    <w:p w14:paraId="42860C1F" w14:textId="77777777" w:rsidR="008A638F" w:rsidRPr="00712DC2" w:rsidRDefault="008A638F" w:rsidP="008A638F">
      <w:pPr>
        <w:pStyle w:val="Textonotapie"/>
        <w:ind w:firstLine="708"/>
        <w:jc w:val="both"/>
        <w:rPr>
          <w:rFonts w:ascii="Arial" w:hAnsi="Arial" w:cs="Arial"/>
          <w:sz w:val="19"/>
          <w:szCs w:val="19"/>
        </w:rPr>
      </w:pPr>
      <w:r w:rsidRPr="005507E4">
        <w:rPr>
          <w:rStyle w:val="Refdenotaalpie"/>
          <w:rFonts w:ascii="Arial" w:hAnsi="Arial" w:cs="Arial"/>
          <w:sz w:val="19"/>
          <w:szCs w:val="19"/>
        </w:rPr>
        <w:footnoteRef/>
      </w:r>
      <w:r w:rsidRPr="005507E4">
        <w:rPr>
          <w:rFonts w:ascii="Arial" w:hAnsi="Arial" w:cs="Arial"/>
          <w:sz w:val="19"/>
          <w:szCs w:val="19"/>
        </w:rPr>
        <w:t xml:space="preserve"> </w:t>
      </w:r>
      <w:r>
        <w:rPr>
          <w:rFonts w:ascii="Arial" w:hAnsi="Arial" w:cs="Arial"/>
          <w:sz w:val="19"/>
          <w:szCs w:val="19"/>
        </w:rPr>
        <w:t>El Decreto 2411 de 2019, en el artículo 3, dispone lo siguiente: «</w:t>
      </w:r>
      <w:r w:rsidRPr="00712DC2">
        <w:rPr>
          <w:rFonts w:ascii="Arial" w:hAnsi="Arial" w:cs="Arial"/>
          <w:sz w:val="19"/>
          <w:szCs w:val="19"/>
        </w:rPr>
        <w:t xml:space="preserve">Las disposiciones generales del presente decreto son complementarias de las Leyes 38 de 1989, 179 de 1994, 225 de 1995, 819 de 2003, 1473 de 2011 y 1508 de 2012 y demás normas de carácter orgánico y deben aplicarse en armonía con estas. </w:t>
      </w:r>
    </w:p>
    <w:p w14:paraId="2B8BD5B5" w14:textId="77777777" w:rsidR="008A638F" w:rsidRPr="00712DC2" w:rsidRDefault="008A638F" w:rsidP="008A638F">
      <w:pPr>
        <w:pStyle w:val="Textonotapie"/>
        <w:ind w:firstLine="708"/>
        <w:jc w:val="both"/>
        <w:rPr>
          <w:rFonts w:ascii="Arial" w:hAnsi="Arial" w:cs="Arial"/>
          <w:sz w:val="19"/>
          <w:szCs w:val="19"/>
        </w:rPr>
      </w:pPr>
      <w:proofErr w:type="gramStart"/>
      <w:r>
        <w:rPr>
          <w:rFonts w:ascii="Arial" w:hAnsi="Arial" w:cs="Arial"/>
          <w:sz w:val="19"/>
          <w:szCs w:val="19"/>
        </w:rPr>
        <w:t>»</w:t>
      </w:r>
      <w:r w:rsidRPr="00712DC2">
        <w:rPr>
          <w:rFonts w:ascii="Arial" w:hAnsi="Arial" w:cs="Arial"/>
          <w:sz w:val="19"/>
          <w:szCs w:val="19"/>
        </w:rPr>
        <w:t>Estas</w:t>
      </w:r>
      <w:proofErr w:type="gramEnd"/>
      <w:r w:rsidRPr="00712DC2">
        <w:rPr>
          <w:rFonts w:ascii="Arial" w:hAnsi="Arial" w:cs="Arial"/>
          <w:sz w:val="19"/>
          <w:szCs w:val="19"/>
        </w:rPr>
        <w:t xml:space="preserve"> normas rigen para los órganos que conforman el Presupuesto General de la Nación, y para los recursos de la Nación asignados a las Empresas Industriales y Comerciales del Estado y a las Sociedades de Economía Mixta con el régimen de aquellas. </w:t>
      </w:r>
    </w:p>
    <w:p w14:paraId="2E924F6E" w14:textId="57E4E863" w:rsidR="008A638F" w:rsidRDefault="008A638F" w:rsidP="008A638F">
      <w:pPr>
        <w:pStyle w:val="Textonotapie"/>
        <w:ind w:firstLine="708"/>
        <w:jc w:val="both"/>
        <w:rPr>
          <w:rFonts w:ascii="Arial" w:hAnsi="Arial" w:cs="Arial"/>
          <w:sz w:val="19"/>
          <w:szCs w:val="19"/>
        </w:rPr>
      </w:pPr>
      <w:proofErr w:type="gramStart"/>
      <w:r>
        <w:rPr>
          <w:rFonts w:ascii="Arial" w:hAnsi="Arial" w:cs="Arial"/>
          <w:sz w:val="19"/>
          <w:szCs w:val="19"/>
        </w:rPr>
        <w:t>»</w:t>
      </w:r>
      <w:r w:rsidRPr="00712DC2">
        <w:rPr>
          <w:rFonts w:ascii="Arial" w:hAnsi="Arial" w:cs="Arial"/>
          <w:sz w:val="19"/>
          <w:szCs w:val="19"/>
        </w:rPr>
        <w:t>Los</w:t>
      </w:r>
      <w:proofErr w:type="gramEnd"/>
      <w:r w:rsidRPr="00712DC2">
        <w:rPr>
          <w:rFonts w:ascii="Arial" w:hAnsi="Arial" w:cs="Arial"/>
          <w:sz w:val="19"/>
          <w:szCs w:val="19"/>
        </w:rPr>
        <w:t xml:space="preserve"> fondos sin personería jurídica deben ser creados por ley o por su autorización expresa y estarán sujetos a las normas y procedimientos establecidos en la Constitución Política, el Estatuto Orgánico del Presupuesto, del presente decreto y las demás normas que reglamenten los órganos a los cuales pertenecen</w:t>
      </w:r>
      <w:r>
        <w:rPr>
          <w:rFonts w:ascii="Arial" w:hAnsi="Arial" w:cs="Arial"/>
          <w:sz w:val="19"/>
          <w:szCs w:val="19"/>
        </w:rPr>
        <w:t>»</w:t>
      </w:r>
      <w:r w:rsidRPr="00712DC2">
        <w:rPr>
          <w:rFonts w:ascii="Arial" w:hAnsi="Arial" w:cs="Arial"/>
          <w:sz w:val="19"/>
          <w:szCs w:val="19"/>
        </w:rPr>
        <w:t>.</w:t>
      </w:r>
    </w:p>
    <w:p w14:paraId="03B3F363" w14:textId="77777777" w:rsidR="00BC6977" w:rsidRPr="005507E4" w:rsidRDefault="00BC6977" w:rsidP="008A638F">
      <w:pPr>
        <w:pStyle w:val="Textonotapie"/>
        <w:ind w:firstLine="708"/>
        <w:jc w:val="both"/>
        <w:rPr>
          <w:rFonts w:ascii="Arial" w:hAnsi="Arial" w:cs="Arial"/>
          <w:sz w:val="19"/>
          <w:szCs w:val="19"/>
          <w:lang w:val="es-ES"/>
        </w:rPr>
      </w:pPr>
    </w:p>
  </w:footnote>
  <w:footnote w:id="5">
    <w:p w14:paraId="773B4E06" w14:textId="77777777" w:rsidR="00790FE0" w:rsidRDefault="00790FE0" w:rsidP="00790FE0">
      <w:pPr>
        <w:pStyle w:val="Textonotapie"/>
        <w:ind w:firstLine="708"/>
        <w:jc w:val="both"/>
        <w:rPr>
          <w:rFonts w:ascii="Arial" w:hAnsi="Arial" w:cs="Arial"/>
          <w:sz w:val="19"/>
          <w:szCs w:val="19"/>
        </w:rPr>
      </w:pPr>
      <w:r w:rsidRPr="00F43FE1">
        <w:rPr>
          <w:rStyle w:val="Refdenotaalpie"/>
          <w:rFonts w:ascii="Arial" w:hAnsi="Arial" w:cs="Arial"/>
          <w:sz w:val="19"/>
          <w:szCs w:val="19"/>
        </w:rPr>
        <w:footnoteRef/>
      </w:r>
      <w:r w:rsidRPr="00F43FE1">
        <w:rPr>
          <w:rFonts w:ascii="Arial" w:hAnsi="Arial" w:cs="Arial"/>
          <w:sz w:val="19"/>
          <w:szCs w:val="19"/>
        </w:rPr>
        <w:t xml:space="preserve"> No en vano, la doctrina anota que «Los conceptos jurídicos indeterminados traen causa, pues, de la dificultad de la completa y acabada programación normativa de la acción administrativa. Aunque por razón de la imprecisión propia de todo lenguaje y también del jurídico, todo concepto jurídico requiere interpretación, lo específico del calificado como indeterminado es su utilización por el legislador por razón de no proceder o no poder realizar una predeterminación precisa de la acción administrativa. El legislador conoce ciertamente el supuesto que quiere establecer, pero las características de éste impondrían </w:t>
      </w:r>
      <w:r>
        <w:rPr>
          <w:rFonts w:ascii="Arial" w:hAnsi="Arial" w:cs="Arial"/>
          <w:sz w:val="19"/>
          <w:szCs w:val="19"/>
        </w:rPr>
        <w:t>–</w:t>
      </w:r>
      <w:r w:rsidRPr="00F43FE1">
        <w:rPr>
          <w:rFonts w:ascii="Arial" w:hAnsi="Arial" w:cs="Arial"/>
          <w:sz w:val="19"/>
          <w:szCs w:val="19"/>
        </w:rPr>
        <w:t>para su definición acabada</w:t>
      </w:r>
      <w:r>
        <w:rPr>
          <w:rFonts w:ascii="Arial" w:hAnsi="Arial" w:cs="Arial"/>
          <w:sz w:val="19"/>
          <w:szCs w:val="19"/>
        </w:rPr>
        <w:t>–</w:t>
      </w:r>
      <w:r w:rsidRPr="00F43FE1">
        <w:rPr>
          <w:rFonts w:ascii="Arial" w:hAnsi="Arial" w:cs="Arial"/>
          <w:sz w:val="19"/>
          <w:szCs w:val="19"/>
        </w:rPr>
        <w:t xml:space="preserve"> el recurso a la casuística, lo que incrementaría la densidad de la programación normativa y la seguridad en su ejecución, pero conllevaría un riesgo cierto de restricción del supuesto normativo. El recurso a conceptos jurídicos indeterminados tiene por objeto prevenir este riesgo» (Cfr. PAREJO ALFONSO, Luciano. Lecciones de derecho administrativo. Quinta Edición. Valencia: Tirant lo Blanch, 2012</w:t>
      </w:r>
      <w:r>
        <w:rPr>
          <w:rFonts w:ascii="Arial" w:hAnsi="Arial" w:cs="Arial"/>
          <w:sz w:val="19"/>
          <w:szCs w:val="19"/>
        </w:rPr>
        <w:t>.</w:t>
      </w:r>
      <w:r w:rsidRPr="00F43FE1">
        <w:rPr>
          <w:rFonts w:ascii="Arial" w:hAnsi="Arial" w:cs="Arial"/>
          <w:sz w:val="19"/>
          <w:szCs w:val="19"/>
        </w:rPr>
        <w:t xml:space="preserve"> p. 269).</w:t>
      </w:r>
    </w:p>
    <w:p w14:paraId="392D3A0F" w14:textId="77777777" w:rsidR="00790FE0" w:rsidRPr="00F43FE1" w:rsidRDefault="00790FE0" w:rsidP="00790FE0">
      <w:pPr>
        <w:pStyle w:val="Textonotapie"/>
        <w:ind w:firstLine="708"/>
        <w:jc w:val="both"/>
        <w:rPr>
          <w:rFonts w:ascii="Arial" w:hAnsi="Arial" w:cs="Arial"/>
          <w:sz w:val="19"/>
          <w:szCs w:val="19"/>
          <w:lang w:val="es-ES"/>
        </w:rPr>
      </w:pPr>
    </w:p>
  </w:footnote>
  <w:footnote w:id="6">
    <w:p w14:paraId="2AC31A80" w14:textId="65FC3793" w:rsidR="00A23BEB" w:rsidRPr="00A23BEB" w:rsidRDefault="00A23BEB" w:rsidP="0075725E">
      <w:pPr>
        <w:pStyle w:val="Textonotapie"/>
        <w:ind w:firstLine="708"/>
        <w:jc w:val="both"/>
        <w:rPr>
          <w:rFonts w:ascii="Arial" w:hAnsi="Arial" w:cs="Arial"/>
          <w:sz w:val="19"/>
          <w:szCs w:val="19"/>
          <w:lang w:val="es-ES"/>
        </w:rPr>
      </w:pPr>
      <w:r w:rsidRPr="00A23BEB">
        <w:rPr>
          <w:rStyle w:val="Refdenotaalpie"/>
          <w:rFonts w:ascii="Arial" w:hAnsi="Arial" w:cs="Arial"/>
          <w:sz w:val="19"/>
          <w:szCs w:val="19"/>
        </w:rPr>
        <w:footnoteRef/>
      </w:r>
      <w:r w:rsidRPr="00A23BEB">
        <w:rPr>
          <w:rFonts w:ascii="Arial" w:hAnsi="Arial" w:cs="Arial"/>
          <w:sz w:val="19"/>
          <w:szCs w:val="19"/>
        </w:rPr>
        <w:t xml:space="preserve"> </w:t>
      </w:r>
      <w:r>
        <w:rPr>
          <w:rFonts w:ascii="Arial" w:hAnsi="Arial" w:cs="Arial"/>
          <w:sz w:val="19"/>
          <w:szCs w:val="19"/>
        </w:rPr>
        <w:t>El artículo 28 del Código Civil dispone lo siguiente: «</w:t>
      </w:r>
      <w:r w:rsidRPr="00A23BEB">
        <w:rPr>
          <w:rFonts w:ascii="Arial" w:hAnsi="Arial" w:cs="Arial"/>
          <w:sz w:val="19"/>
          <w:szCs w:val="19"/>
        </w:rPr>
        <w:t xml:space="preserve">Las palabras de la ley se entenderán en su sentido natural y obvio, según el uso general de las mismas palabras; pero </w:t>
      </w:r>
      <w:r w:rsidRPr="0075725E">
        <w:rPr>
          <w:rFonts w:ascii="Arial" w:hAnsi="Arial" w:cs="Arial"/>
          <w:i/>
          <w:iCs/>
          <w:sz w:val="19"/>
          <w:szCs w:val="19"/>
        </w:rPr>
        <w:t>cuando el legislador las haya definido expresamente para ciertas materias, se les dará en éstas su significado legal</w:t>
      </w:r>
      <w:r>
        <w:rPr>
          <w:rFonts w:ascii="Arial" w:hAnsi="Arial" w:cs="Arial"/>
          <w:sz w:val="19"/>
          <w:szCs w:val="19"/>
        </w:rPr>
        <w:t>»</w:t>
      </w:r>
      <w:r w:rsidR="007F27BF">
        <w:rPr>
          <w:rFonts w:ascii="Arial" w:hAnsi="Arial" w:cs="Arial"/>
          <w:sz w:val="19"/>
          <w:szCs w:val="19"/>
        </w:rPr>
        <w:t xml:space="preserve"> (Énfasis fuera del texto)</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DCAAA" w14:textId="77777777" w:rsidR="005D08A8" w:rsidRDefault="005D08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576A2B" w:rsidRDefault="00576A2B">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1791A" w14:textId="77777777" w:rsidR="005D08A8" w:rsidRDefault="005D08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0665"/>
    <w:rsid w:val="00001BE0"/>
    <w:rsid w:val="000047EA"/>
    <w:rsid w:val="000072CE"/>
    <w:rsid w:val="00010D30"/>
    <w:rsid w:val="00010D77"/>
    <w:rsid w:val="00013925"/>
    <w:rsid w:val="0001715D"/>
    <w:rsid w:val="000177DA"/>
    <w:rsid w:val="00023057"/>
    <w:rsid w:val="00024771"/>
    <w:rsid w:val="00025161"/>
    <w:rsid w:val="00025ABB"/>
    <w:rsid w:val="00027B31"/>
    <w:rsid w:val="0003091B"/>
    <w:rsid w:val="000333A2"/>
    <w:rsid w:val="000348A0"/>
    <w:rsid w:val="0003625C"/>
    <w:rsid w:val="00036697"/>
    <w:rsid w:val="00036E73"/>
    <w:rsid w:val="00040C88"/>
    <w:rsid w:val="00040D6E"/>
    <w:rsid w:val="00042C0C"/>
    <w:rsid w:val="00043A4D"/>
    <w:rsid w:val="00044865"/>
    <w:rsid w:val="00044FF2"/>
    <w:rsid w:val="00047050"/>
    <w:rsid w:val="0004714D"/>
    <w:rsid w:val="00053518"/>
    <w:rsid w:val="00053E66"/>
    <w:rsid w:val="00060B71"/>
    <w:rsid w:val="00061E34"/>
    <w:rsid w:val="00061EE4"/>
    <w:rsid w:val="00062B0D"/>
    <w:rsid w:val="0006519B"/>
    <w:rsid w:val="00070D62"/>
    <w:rsid w:val="00071079"/>
    <w:rsid w:val="00073968"/>
    <w:rsid w:val="00075227"/>
    <w:rsid w:val="00085A44"/>
    <w:rsid w:val="00086714"/>
    <w:rsid w:val="00086A16"/>
    <w:rsid w:val="00091570"/>
    <w:rsid w:val="00091D8F"/>
    <w:rsid w:val="000929DE"/>
    <w:rsid w:val="000938A4"/>
    <w:rsid w:val="00093E58"/>
    <w:rsid w:val="00093F39"/>
    <w:rsid w:val="000979A3"/>
    <w:rsid w:val="00097CD6"/>
    <w:rsid w:val="000A09C0"/>
    <w:rsid w:val="000A1DBA"/>
    <w:rsid w:val="000A3B96"/>
    <w:rsid w:val="000A6338"/>
    <w:rsid w:val="000A6B6F"/>
    <w:rsid w:val="000A788A"/>
    <w:rsid w:val="000B08EA"/>
    <w:rsid w:val="000B2A30"/>
    <w:rsid w:val="000C0E39"/>
    <w:rsid w:val="000C3D66"/>
    <w:rsid w:val="000C42C1"/>
    <w:rsid w:val="000C51AF"/>
    <w:rsid w:val="000C5830"/>
    <w:rsid w:val="000C5C37"/>
    <w:rsid w:val="000D088F"/>
    <w:rsid w:val="000D2130"/>
    <w:rsid w:val="000D446F"/>
    <w:rsid w:val="000D7AC3"/>
    <w:rsid w:val="000E3613"/>
    <w:rsid w:val="000E3AF7"/>
    <w:rsid w:val="000E4A3C"/>
    <w:rsid w:val="000E5097"/>
    <w:rsid w:val="000E5A32"/>
    <w:rsid w:val="000E5BB2"/>
    <w:rsid w:val="000E6867"/>
    <w:rsid w:val="000F1E3D"/>
    <w:rsid w:val="000F211E"/>
    <w:rsid w:val="000F4704"/>
    <w:rsid w:val="000F4FC6"/>
    <w:rsid w:val="00100AEC"/>
    <w:rsid w:val="0010213E"/>
    <w:rsid w:val="00103A62"/>
    <w:rsid w:val="001056C0"/>
    <w:rsid w:val="0010648B"/>
    <w:rsid w:val="00107607"/>
    <w:rsid w:val="0011041A"/>
    <w:rsid w:val="00110723"/>
    <w:rsid w:val="00112597"/>
    <w:rsid w:val="001202C9"/>
    <w:rsid w:val="0012074A"/>
    <w:rsid w:val="00131914"/>
    <w:rsid w:val="001321AB"/>
    <w:rsid w:val="00133EB7"/>
    <w:rsid w:val="00140E57"/>
    <w:rsid w:val="00141B19"/>
    <w:rsid w:val="00141C64"/>
    <w:rsid w:val="00142E4E"/>
    <w:rsid w:val="0014462B"/>
    <w:rsid w:val="00146FE9"/>
    <w:rsid w:val="001533F7"/>
    <w:rsid w:val="00153CD1"/>
    <w:rsid w:val="0015466A"/>
    <w:rsid w:val="001573F8"/>
    <w:rsid w:val="0016074F"/>
    <w:rsid w:val="001617F8"/>
    <w:rsid w:val="00163EED"/>
    <w:rsid w:val="00164E79"/>
    <w:rsid w:val="00164EDC"/>
    <w:rsid w:val="00166C81"/>
    <w:rsid w:val="00167198"/>
    <w:rsid w:val="001746CB"/>
    <w:rsid w:val="00174C18"/>
    <w:rsid w:val="0017603D"/>
    <w:rsid w:val="001815B2"/>
    <w:rsid w:val="00181A3E"/>
    <w:rsid w:val="001833B8"/>
    <w:rsid w:val="001865DB"/>
    <w:rsid w:val="00194C50"/>
    <w:rsid w:val="00196652"/>
    <w:rsid w:val="00196FB5"/>
    <w:rsid w:val="001978BC"/>
    <w:rsid w:val="001979F6"/>
    <w:rsid w:val="001A12FC"/>
    <w:rsid w:val="001A2FA7"/>
    <w:rsid w:val="001A369A"/>
    <w:rsid w:val="001A68AB"/>
    <w:rsid w:val="001B0ACD"/>
    <w:rsid w:val="001B2E5D"/>
    <w:rsid w:val="001B3FAA"/>
    <w:rsid w:val="001B53BD"/>
    <w:rsid w:val="001B587A"/>
    <w:rsid w:val="001B5E36"/>
    <w:rsid w:val="001B5E3F"/>
    <w:rsid w:val="001B6F4A"/>
    <w:rsid w:val="001B7BC2"/>
    <w:rsid w:val="001C1D25"/>
    <w:rsid w:val="001C2755"/>
    <w:rsid w:val="001C5D87"/>
    <w:rsid w:val="001D38A0"/>
    <w:rsid w:val="001D3C05"/>
    <w:rsid w:val="001D3CAD"/>
    <w:rsid w:val="001D5DF2"/>
    <w:rsid w:val="001D5ECE"/>
    <w:rsid w:val="001E1C6D"/>
    <w:rsid w:val="001E3F37"/>
    <w:rsid w:val="001E44A9"/>
    <w:rsid w:val="001E4EC1"/>
    <w:rsid w:val="001E5745"/>
    <w:rsid w:val="001E5DBB"/>
    <w:rsid w:val="001E7044"/>
    <w:rsid w:val="001E7533"/>
    <w:rsid w:val="001F02C5"/>
    <w:rsid w:val="001F1051"/>
    <w:rsid w:val="001F1319"/>
    <w:rsid w:val="001F1A2D"/>
    <w:rsid w:val="001F34A8"/>
    <w:rsid w:val="001F40B2"/>
    <w:rsid w:val="001F4B99"/>
    <w:rsid w:val="001F7135"/>
    <w:rsid w:val="00200F92"/>
    <w:rsid w:val="00201B9C"/>
    <w:rsid w:val="002034AD"/>
    <w:rsid w:val="00203BF1"/>
    <w:rsid w:val="00203F46"/>
    <w:rsid w:val="00207033"/>
    <w:rsid w:val="002074EF"/>
    <w:rsid w:val="00210D66"/>
    <w:rsid w:val="00213667"/>
    <w:rsid w:val="00217339"/>
    <w:rsid w:val="00217F08"/>
    <w:rsid w:val="002239B4"/>
    <w:rsid w:val="00224900"/>
    <w:rsid w:val="002252C0"/>
    <w:rsid w:val="00227D08"/>
    <w:rsid w:val="0023008F"/>
    <w:rsid w:val="0023180C"/>
    <w:rsid w:val="00234C6C"/>
    <w:rsid w:val="0023576D"/>
    <w:rsid w:val="00240CEC"/>
    <w:rsid w:val="00244A28"/>
    <w:rsid w:val="00247EBA"/>
    <w:rsid w:val="0025095A"/>
    <w:rsid w:val="002532DE"/>
    <w:rsid w:val="00265031"/>
    <w:rsid w:val="00266277"/>
    <w:rsid w:val="002723C7"/>
    <w:rsid w:val="00273FE0"/>
    <w:rsid w:val="00276BEE"/>
    <w:rsid w:val="00277EAA"/>
    <w:rsid w:val="002807AD"/>
    <w:rsid w:val="00281C8B"/>
    <w:rsid w:val="00283163"/>
    <w:rsid w:val="0028445C"/>
    <w:rsid w:val="00284C12"/>
    <w:rsid w:val="00286834"/>
    <w:rsid w:val="00286FAD"/>
    <w:rsid w:val="00293092"/>
    <w:rsid w:val="00293623"/>
    <w:rsid w:val="0029609D"/>
    <w:rsid w:val="00297358"/>
    <w:rsid w:val="002A153A"/>
    <w:rsid w:val="002A356F"/>
    <w:rsid w:val="002A60D6"/>
    <w:rsid w:val="002A6417"/>
    <w:rsid w:val="002A6631"/>
    <w:rsid w:val="002B01A8"/>
    <w:rsid w:val="002B282F"/>
    <w:rsid w:val="002B3F11"/>
    <w:rsid w:val="002B4B30"/>
    <w:rsid w:val="002B56DF"/>
    <w:rsid w:val="002B79E1"/>
    <w:rsid w:val="002C004E"/>
    <w:rsid w:val="002C2D9D"/>
    <w:rsid w:val="002C441F"/>
    <w:rsid w:val="002D0CAA"/>
    <w:rsid w:val="002D32C1"/>
    <w:rsid w:val="002D77D8"/>
    <w:rsid w:val="002E320B"/>
    <w:rsid w:val="002E52AD"/>
    <w:rsid w:val="002E56FD"/>
    <w:rsid w:val="002E5F1B"/>
    <w:rsid w:val="002E67C5"/>
    <w:rsid w:val="002E7842"/>
    <w:rsid w:val="002E7910"/>
    <w:rsid w:val="002E7BC2"/>
    <w:rsid w:val="002F1888"/>
    <w:rsid w:val="002F1C33"/>
    <w:rsid w:val="002F2DB4"/>
    <w:rsid w:val="002F32AA"/>
    <w:rsid w:val="002F63BB"/>
    <w:rsid w:val="002F6C10"/>
    <w:rsid w:val="002F6DBB"/>
    <w:rsid w:val="002F701E"/>
    <w:rsid w:val="003001AC"/>
    <w:rsid w:val="0030027A"/>
    <w:rsid w:val="00301E34"/>
    <w:rsid w:val="00302F9F"/>
    <w:rsid w:val="00303EC5"/>
    <w:rsid w:val="00304386"/>
    <w:rsid w:val="00315BC2"/>
    <w:rsid w:val="00317F23"/>
    <w:rsid w:val="003201A9"/>
    <w:rsid w:val="0032211D"/>
    <w:rsid w:val="00326B54"/>
    <w:rsid w:val="003302FA"/>
    <w:rsid w:val="00334E97"/>
    <w:rsid w:val="003373C2"/>
    <w:rsid w:val="003401FE"/>
    <w:rsid w:val="00340A7A"/>
    <w:rsid w:val="00340C82"/>
    <w:rsid w:val="003417F0"/>
    <w:rsid w:val="003444B1"/>
    <w:rsid w:val="00350A47"/>
    <w:rsid w:val="00353025"/>
    <w:rsid w:val="00356706"/>
    <w:rsid w:val="003572AA"/>
    <w:rsid w:val="0035794A"/>
    <w:rsid w:val="0036125C"/>
    <w:rsid w:val="00361F43"/>
    <w:rsid w:val="00377CD3"/>
    <w:rsid w:val="00381D77"/>
    <w:rsid w:val="00383A48"/>
    <w:rsid w:val="00387D0F"/>
    <w:rsid w:val="00390DCF"/>
    <w:rsid w:val="00391178"/>
    <w:rsid w:val="00391F3F"/>
    <w:rsid w:val="00396428"/>
    <w:rsid w:val="0039677A"/>
    <w:rsid w:val="00396821"/>
    <w:rsid w:val="00397A6B"/>
    <w:rsid w:val="003A06BB"/>
    <w:rsid w:val="003A2944"/>
    <w:rsid w:val="003A3513"/>
    <w:rsid w:val="003B08E5"/>
    <w:rsid w:val="003B0DEF"/>
    <w:rsid w:val="003B2FC1"/>
    <w:rsid w:val="003C2074"/>
    <w:rsid w:val="003C3ADB"/>
    <w:rsid w:val="003C579C"/>
    <w:rsid w:val="003C5DF4"/>
    <w:rsid w:val="003C7207"/>
    <w:rsid w:val="003C7515"/>
    <w:rsid w:val="003D0E4A"/>
    <w:rsid w:val="003D11B5"/>
    <w:rsid w:val="003D134C"/>
    <w:rsid w:val="003D69A5"/>
    <w:rsid w:val="003E14F9"/>
    <w:rsid w:val="003E1798"/>
    <w:rsid w:val="003E3BA9"/>
    <w:rsid w:val="003E5CE3"/>
    <w:rsid w:val="003F309F"/>
    <w:rsid w:val="003F3119"/>
    <w:rsid w:val="003F4E8A"/>
    <w:rsid w:val="003F6D32"/>
    <w:rsid w:val="00402978"/>
    <w:rsid w:val="00405FA6"/>
    <w:rsid w:val="00410988"/>
    <w:rsid w:val="00411760"/>
    <w:rsid w:val="0041222C"/>
    <w:rsid w:val="00414CA1"/>
    <w:rsid w:val="004161D4"/>
    <w:rsid w:val="0041784E"/>
    <w:rsid w:val="00421EA9"/>
    <w:rsid w:val="00423C2C"/>
    <w:rsid w:val="00430B5A"/>
    <w:rsid w:val="00431C20"/>
    <w:rsid w:val="0044207D"/>
    <w:rsid w:val="004439E2"/>
    <w:rsid w:val="00447FE5"/>
    <w:rsid w:val="00450EB7"/>
    <w:rsid w:val="00451231"/>
    <w:rsid w:val="004526D3"/>
    <w:rsid w:val="00457CF2"/>
    <w:rsid w:val="004617B8"/>
    <w:rsid w:val="00462A87"/>
    <w:rsid w:val="00462FA0"/>
    <w:rsid w:val="00463AB6"/>
    <w:rsid w:val="00463E5F"/>
    <w:rsid w:val="0046504E"/>
    <w:rsid w:val="0046519E"/>
    <w:rsid w:val="00467620"/>
    <w:rsid w:val="00467C7C"/>
    <w:rsid w:val="0047366C"/>
    <w:rsid w:val="00475595"/>
    <w:rsid w:val="004758FE"/>
    <w:rsid w:val="00476C17"/>
    <w:rsid w:val="00476DBC"/>
    <w:rsid w:val="00480836"/>
    <w:rsid w:val="004830C8"/>
    <w:rsid w:val="004837AB"/>
    <w:rsid w:val="00483A2F"/>
    <w:rsid w:val="004854B9"/>
    <w:rsid w:val="00490DBF"/>
    <w:rsid w:val="00495E37"/>
    <w:rsid w:val="00495EC8"/>
    <w:rsid w:val="004A128C"/>
    <w:rsid w:val="004A1739"/>
    <w:rsid w:val="004A1C13"/>
    <w:rsid w:val="004A31F4"/>
    <w:rsid w:val="004A32DD"/>
    <w:rsid w:val="004A3310"/>
    <w:rsid w:val="004A4114"/>
    <w:rsid w:val="004A5DAA"/>
    <w:rsid w:val="004A5E72"/>
    <w:rsid w:val="004A6EE1"/>
    <w:rsid w:val="004B07EC"/>
    <w:rsid w:val="004B1BEE"/>
    <w:rsid w:val="004B1EB5"/>
    <w:rsid w:val="004B2AB8"/>
    <w:rsid w:val="004B2C28"/>
    <w:rsid w:val="004B5B9E"/>
    <w:rsid w:val="004B7849"/>
    <w:rsid w:val="004C10E4"/>
    <w:rsid w:val="004C1358"/>
    <w:rsid w:val="004D1ADE"/>
    <w:rsid w:val="004D244E"/>
    <w:rsid w:val="004D30B6"/>
    <w:rsid w:val="004D4F5A"/>
    <w:rsid w:val="004D770C"/>
    <w:rsid w:val="004E0D21"/>
    <w:rsid w:val="004E1B67"/>
    <w:rsid w:val="004E370E"/>
    <w:rsid w:val="004E7102"/>
    <w:rsid w:val="004E7865"/>
    <w:rsid w:val="004E7EAE"/>
    <w:rsid w:val="004F1BA4"/>
    <w:rsid w:val="004F4387"/>
    <w:rsid w:val="0050020E"/>
    <w:rsid w:val="00502093"/>
    <w:rsid w:val="00502970"/>
    <w:rsid w:val="0050469B"/>
    <w:rsid w:val="00505486"/>
    <w:rsid w:val="00510BF5"/>
    <w:rsid w:val="00510EDC"/>
    <w:rsid w:val="00513233"/>
    <w:rsid w:val="00513D37"/>
    <w:rsid w:val="00521BA7"/>
    <w:rsid w:val="005252E2"/>
    <w:rsid w:val="00526ADF"/>
    <w:rsid w:val="00530339"/>
    <w:rsid w:val="005331AC"/>
    <w:rsid w:val="00534840"/>
    <w:rsid w:val="005379AD"/>
    <w:rsid w:val="005411A6"/>
    <w:rsid w:val="0054336D"/>
    <w:rsid w:val="0054404F"/>
    <w:rsid w:val="00546D85"/>
    <w:rsid w:val="005507E4"/>
    <w:rsid w:val="00551178"/>
    <w:rsid w:val="005511D5"/>
    <w:rsid w:val="00561C9D"/>
    <w:rsid w:val="005678B1"/>
    <w:rsid w:val="00571401"/>
    <w:rsid w:val="00571405"/>
    <w:rsid w:val="005730CE"/>
    <w:rsid w:val="00575DC6"/>
    <w:rsid w:val="00576A2B"/>
    <w:rsid w:val="005813EA"/>
    <w:rsid w:val="005820AB"/>
    <w:rsid w:val="005848F0"/>
    <w:rsid w:val="00585FB5"/>
    <w:rsid w:val="00586DF7"/>
    <w:rsid w:val="00590EE1"/>
    <w:rsid w:val="00591586"/>
    <w:rsid w:val="00592DB1"/>
    <w:rsid w:val="005946F2"/>
    <w:rsid w:val="00595363"/>
    <w:rsid w:val="00595A2B"/>
    <w:rsid w:val="0059628C"/>
    <w:rsid w:val="00597376"/>
    <w:rsid w:val="005A17D2"/>
    <w:rsid w:val="005A2781"/>
    <w:rsid w:val="005A5E4A"/>
    <w:rsid w:val="005B7357"/>
    <w:rsid w:val="005B767B"/>
    <w:rsid w:val="005B7726"/>
    <w:rsid w:val="005C38A3"/>
    <w:rsid w:val="005C5B7C"/>
    <w:rsid w:val="005C673B"/>
    <w:rsid w:val="005D08A8"/>
    <w:rsid w:val="005D1BCC"/>
    <w:rsid w:val="005D3D4E"/>
    <w:rsid w:val="005E247C"/>
    <w:rsid w:val="005F0964"/>
    <w:rsid w:val="005F12C4"/>
    <w:rsid w:val="005F26F6"/>
    <w:rsid w:val="005F3286"/>
    <w:rsid w:val="005F40FC"/>
    <w:rsid w:val="005F4F37"/>
    <w:rsid w:val="005F5D19"/>
    <w:rsid w:val="005F621E"/>
    <w:rsid w:val="005F6CBF"/>
    <w:rsid w:val="00601B7F"/>
    <w:rsid w:val="00603998"/>
    <w:rsid w:val="00607EC0"/>
    <w:rsid w:val="00612D14"/>
    <w:rsid w:val="006135E6"/>
    <w:rsid w:val="0061552D"/>
    <w:rsid w:val="0061786E"/>
    <w:rsid w:val="00622300"/>
    <w:rsid w:val="00624450"/>
    <w:rsid w:val="00630371"/>
    <w:rsid w:val="00632E10"/>
    <w:rsid w:val="00632EA5"/>
    <w:rsid w:val="00635CBC"/>
    <w:rsid w:val="00637F5E"/>
    <w:rsid w:val="006426D6"/>
    <w:rsid w:val="00643377"/>
    <w:rsid w:val="00644F52"/>
    <w:rsid w:val="00650DA0"/>
    <w:rsid w:val="00651F90"/>
    <w:rsid w:val="0065701C"/>
    <w:rsid w:val="006604A6"/>
    <w:rsid w:val="006621AF"/>
    <w:rsid w:val="00662792"/>
    <w:rsid w:val="0066447D"/>
    <w:rsid w:val="00667868"/>
    <w:rsid w:val="00670028"/>
    <w:rsid w:val="00671B54"/>
    <w:rsid w:val="00672E85"/>
    <w:rsid w:val="00673DB8"/>
    <w:rsid w:val="0067464B"/>
    <w:rsid w:val="00675BFE"/>
    <w:rsid w:val="006762BA"/>
    <w:rsid w:val="006818B6"/>
    <w:rsid w:val="006824B8"/>
    <w:rsid w:val="0068288E"/>
    <w:rsid w:val="006843B8"/>
    <w:rsid w:val="00684EA0"/>
    <w:rsid w:val="006852EB"/>
    <w:rsid w:val="00692ABF"/>
    <w:rsid w:val="00692C79"/>
    <w:rsid w:val="0069319D"/>
    <w:rsid w:val="00694209"/>
    <w:rsid w:val="00697718"/>
    <w:rsid w:val="00697A99"/>
    <w:rsid w:val="006A1226"/>
    <w:rsid w:val="006A172E"/>
    <w:rsid w:val="006A303D"/>
    <w:rsid w:val="006A3329"/>
    <w:rsid w:val="006A56C0"/>
    <w:rsid w:val="006A7743"/>
    <w:rsid w:val="006B0A48"/>
    <w:rsid w:val="006B0D19"/>
    <w:rsid w:val="006B150B"/>
    <w:rsid w:val="006B1785"/>
    <w:rsid w:val="006B317D"/>
    <w:rsid w:val="006B5EAB"/>
    <w:rsid w:val="006B60A6"/>
    <w:rsid w:val="006B6C6A"/>
    <w:rsid w:val="006B7F25"/>
    <w:rsid w:val="006B7F67"/>
    <w:rsid w:val="006C15D5"/>
    <w:rsid w:val="006C1C02"/>
    <w:rsid w:val="006C234F"/>
    <w:rsid w:val="006C2D0C"/>
    <w:rsid w:val="006C3D0C"/>
    <w:rsid w:val="006C512E"/>
    <w:rsid w:val="006C5955"/>
    <w:rsid w:val="006C7147"/>
    <w:rsid w:val="006D078C"/>
    <w:rsid w:val="006D138D"/>
    <w:rsid w:val="006D3624"/>
    <w:rsid w:val="006D39A8"/>
    <w:rsid w:val="006D519D"/>
    <w:rsid w:val="006E34D4"/>
    <w:rsid w:val="006E4EE7"/>
    <w:rsid w:val="006E65C2"/>
    <w:rsid w:val="006F31BC"/>
    <w:rsid w:val="006F3802"/>
    <w:rsid w:val="006F39D0"/>
    <w:rsid w:val="006F60CA"/>
    <w:rsid w:val="006F6D21"/>
    <w:rsid w:val="006F7746"/>
    <w:rsid w:val="0070582B"/>
    <w:rsid w:val="00711157"/>
    <w:rsid w:val="00711C34"/>
    <w:rsid w:val="00712DC2"/>
    <w:rsid w:val="00713588"/>
    <w:rsid w:val="00714800"/>
    <w:rsid w:val="00714E42"/>
    <w:rsid w:val="00715B7E"/>
    <w:rsid w:val="00720243"/>
    <w:rsid w:val="0072152F"/>
    <w:rsid w:val="00721C21"/>
    <w:rsid w:val="007229FD"/>
    <w:rsid w:val="00727166"/>
    <w:rsid w:val="00730CDB"/>
    <w:rsid w:val="00731CAA"/>
    <w:rsid w:val="007323E9"/>
    <w:rsid w:val="00736945"/>
    <w:rsid w:val="00736C89"/>
    <w:rsid w:val="007374B4"/>
    <w:rsid w:val="00741965"/>
    <w:rsid w:val="0074421C"/>
    <w:rsid w:val="00745744"/>
    <w:rsid w:val="00745A21"/>
    <w:rsid w:val="00747BC2"/>
    <w:rsid w:val="0075032A"/>
    <w:rsid w:val="00750C12"/>
    <w:rsid w:val="00754433"/>
    <w:rsid w:val="00755335"/>
    <w:rsid w:val="007564C1"/>
    <w:rsid w:val="0075725E"/>
    <w:rsid w:val="00762F5B"/>
    <w:rsid w:val="007631E2"/>
    <w:rsid w:val="00763652"/>
    <w:rsid w:val="00764BF7"/>
    <w:rsid w:val="007650D8"/>
    <w:rsid w:val="00766030"/>
    <w:rsid w:val="00770D7D"/>
    <w:rsid w:val="00772497"/>
    <w:rsid w:val="007754C3"/>
    <w:rsid w:val="007768FE"/>
    <w:rsid w:val="007800B9"/>
    <w:rsid w:val="007809E1"/>
    <w:rsid w:val="007832C9"/>
    <w:rsid w:val="00783FEB"/>
    <w:rsid w:val="007902C3"/>
    <w:rsid w:val="00790BB8"/>
    <w:rsid w:val="00790FE0"/>
    <w:rsid w:val="00791377"/>
    <w:rsid w:val="00793178"/>
    <w:rsid w:val="00795C86"/>
    <w:rsid w:val="007963D6"/>
    <w:rsid w:val="0079772E"/>
    <w:rsid w:val="007A45E7"/>
    <w:rsid w:val="007B0439"/>
    <w:rsid w:val="007B4AAA"/>
    <w:rsid w:val="007B4BCD"/>
    <w:rsid w:val="007C0ACC"/>
    <w:rsid w:val="007C22D5"/>
    <w:rsid w:val="007C33E7"/>
    <w:rsid w:val="007C4A15"/>
    <w:rsid w:val="007C5F53"/>
    <w:rsid w:val="007C6894"/>
    <w:rsid w:val="007D3B8C"/>
    <w:rsid w:val="007D4A01"/>
    <w:rsid w:val="007D62C7"/>
    <w:rsid w:val="007E001D"/>
    <w:rsid w:val="007E4E96"/>
    <w:rsid w:val="007E6A6B"/>
    <w:rsid w:val="007F27BF"/>
    <w:rsid w:val="007F5F0C"/>
    <w:rsid w:val="007F7AC6"/>
    <w:rsid w:val="007F7C00"/>
    <w:rsid w:val="00803061"/>
    <w:rsid w:val="008057D4"/>
    <w:rsid w:val="008066BE"/>
    <w:rsid w:val="00807EEE"/>
    <w:rsid w:val="008103E9"/>
    <w:rsid w:val="00811233"/>
    <w:rsid w:val="00811E0D"/>
    <w:rsid w:val="008135F4"/>
    <w:rsid w:val="00813893"/>
    <w:rsid w:val="0081556E"/>
    <w:rsid w:val="00821ED0"/>
    <w:rsid w:val="0082266E"/>
    <w:rsid w:val="008234E2"/>
    <w:rsid w:val="00824361"/>
    <w:rsid w:val="00824E06"/>
    <w:rsid w:val="00825FD3"/>
    <w:rsid w:val="0083146F"/>
    <w:rsid w:val="00831FE9"/>
    <w:rsid w:val="008327EE"/>
    <w:rsid w:val="00832BAE"/>
    <w:rsid w:val="00833F8E"/>
    <w:rsid w:val="0083539E"/>
    <w:rsid w:val="00836E71"/>
    <w:rsid w:val="00837EBE"/>
    <w:rsid w:val="00841021"/>
    <w:rsid w:val="00841506"/>
    <w:rsid w:val="008417D3"/>
    <w:rsid w:val="00841F3C"/>
    <w:rsid w:val="00842E74"/>
    <w:rsid w:val="00843BE5"/>
    <w:rsid w:val="00843C86"/>
    <w:rsid w:val="008535C9"/>
    <w:rsid w:val="00856B64"/>
    <w:rsid w:val="00857F7D"/>
    <w:rsid w:val="00860A39"/>
    <w:rsid w:val="0086177D"/>
    <w:rsid w:val="00862463"/>
    <w:rsid w:val="00863748"/>
    <w:rsid w:val="00863DD9"/>
    <w:rsid w:val="00865960"/>
    <w:rsid w:val="00865AAE"/>
    <w:rsid w:val="00866446"/>
    <w:rsid w:val="0086741B"/>
    <w:rsid w:val="008709D9"/>
    <w:rsid w:val="00871568"/>
    <w:rsid w:val="00872D25"/>
    <w:rsid w:val="00874193"/>
    <w:rsid w:val="008763CA"/>
    <w:rsid w:val="00880963"/>
    <w:rsid w:val="00881742"/>
    <w:rsid w:val="00881CD2"/>
    <w:rsid w:val="008830FE"/>
    <w:rsid w:val="00886E66"/>
    <w:rsid w:val="00886F29"/>
    <w:rsid w:val="008917A3"/>
    <w:rsid w:val="00891A49"/>
    <w:rsid w:val="0089646B"/>
    <w:rsid w:val="00897DAB"/>
    <w:rsid w:val="008A0633"/>
    <w:rsid w:val="008A3386"/>
    <w:rsid w:val="008A53F2"/>
    <w:rsid w:val="008A5B87"/>
    <w:rsid w:val="008A638F"/>
    <w:rsid w:val="008B09B1"/>
    <w:rsid w:val="008B10A9"/>
    <w:rsid w:val="008B489F"/>
    <w:rsid w:val="008B6430"/>
    <w:rsid w:val="008C03F9"/>
    <w:rsid w:val="008C24B6"/>
    <w:rsid w:val="008C487C"/>
    <w:rsid w:val="008C4C28"/>
    <w:rsid w:val="008D028F"/>
    <w:rsid w:val="008D1BE3"/>
    <w:rsid w:val="008D3473"/>
    <w:rsid w:val="008D575A"/>
    <w:rsid w:val="008D6103"/>
    <w:rsid w:val="008D7CE6"/>
    <w:rsid w:val="008E0FCC"/>
    <w:rsid w:val="008E109F"/>
    <w:rsid w:val="008E295E"/>
    <w:rsid w:val="008E2FE3"/>
    <w:rsid w:val="008E3E54"/>
    <w:rsid w:val="008E5698"/>
    <w:rsid w:val="008E5F34"/>
    <w:rsid w:val="008E6D51"/>
    <w:rsid w:val="008E7D3F"/>
    <w:rsid w:val="008F00CF"/>
    <w:rsid w:val="008F2267"/>
    <w:rsid w:val="008F3251"/>
    <w:rsid w:val="008F3EE2"/>
    <w:rsid w:val="008F57E8"/>
    <w:rsid w:val="008F5D4C"/>
    <w:rsid w:val="008F67FD"/>
    <w:rsid w:val="008F70DA"/>
    <w:rsid w:val="0090038C"/>
    <w:rsid w:val="009024EF"/>
    <w:rsid w:val="00905877"/>
    <w:rsid w:val="00905A7E"/>
    <w:rsid w:val="00905B18"/>
    <w:rsid w:val="00905B2F"/>
    <w:rsid w:val="009123D4"/>
    <w:rsid w:val="00916FF3"/>
    <w:rsid w:val="009216CB"/>
    <w:rsid w:val="009231E0"/>
    <w:rsid w:val="00923548"/>
    <w:rsid w:val="00923B70"/>
    <w:rsid w:val="00925293"/>
    <w:rsid w:val="00926403"/>
    <w:rsid w:val="009269A8"/>
    <w:rsid w:val="00930B6C"/>
    <w:rsid w:val="00930E4B"/>
    <w:rsid w:val="0093183A"/>
    <w:rsid w:val="0093586F"/>
    <w:rsid w:val="00937BA7"/>
    <w:rsid w:val="0094508D"/>
    <w:rsid w:val="00945D3E"/>
    <w:rsid w:val="009464CF"/>
    <w:rsid w:val="00946E85"/>
    <w:rsid w:val="009506A7"/>
    <w:rsid w:val="0095113A"/>
    <w:rsid w:val="0095227F"/>
    <w:rsid w:val="009525A4"/>
    <w:rsid w:val="00954CF5"/>
    <w:rsid w:val="009642AB"/>
    <w:rsid w:val="0096646C"/>
    <w:rsid w:val="00967230"/>
    <w:rsid w:val="00971A45"/>
    <w:rsid w:val="00972087"/>
    <w:rsid w:val="00972C13"/>
    <w:rsid w:val="0097456D"/>
    <w:rsid w:val="00974A47"/>
    <w:rsid w:val="00977F64"/>
    <w:rsid w:val="009812D7"/>
    <w:rsid w:val="00981C12"/>
    <w:rsid w:val="00981E70"/>
    <w:rsid w:val="00982E99"/>
    <w:rsid w:val="00984C24"/>
    <w:rsid w:val="009854F6"/>
    <w:rsid w:val="00994004"/>
    <w:rsid w:val="009947D1"/>
    <w:rsid w:val="009954A2"/>
    <w:rsid w:val="009A2155"/>
    <w:rsid w:val="009A4941"/>
    <w:rsid w:val="009A5714"/>
    <w:rsid w:val="009A5D1C"/>
    <w:rsid w:val="009A5DA7"/>
    <w:rsid w:val="009B1AEC"/>
    <w:rsid w:val="009B25F9"/>
    <w:rsid w:val="009B3856"/>
    <w:rsid w:val="009B6906"/>
    <w:rsid w:val="009B7329"/>
    <w:rsid w:val="009C1B05"/>
    <w:rsid w:val="009C2526"/>
    <w:rsid w:val="009C27A9"/>
    <w:rsid w:val="009C3B7D"/>
    <w:rsid w:val="009D013C"/>
    <w:rsid w:val="009D16ED"/>
    <w:rsid w:val="009D1D57"/>
    <w:rsid w:val="009D412D"/>
    <w:rsid w:val="009D4F8F"/>
    <w:rsid w:val="009D7644"/>
    <w:rsid w:val="009E0970"/>
    <w:rsid w:val="009E2544"/>
    <w:rsid w:val="009E2770"/>
    <w:rsid w:val="009E2E78"/>
    <w:rsid w:val="009E4710"/>
    <w:rsid w:val="009E4A43"/>
    <w:rsid w:val="009F0E99"/>
    <w:rsid w:val="009F11F0"/>
    <w:rsid w:val="009F2261"/>
    <w:rsid w:val="009F3537"/>
    <w:rsid w:val="009F6ADC"/>
    <w:rsid w:val="009F78A4"/>
    <w:rsid w:val="00A01C74"/>
    <w:rsid w:val="00A0242F"/>
    <w:rsid w:val="00A0244F"/>
    <w:rsid w:val="00A032F8"/>
    <w:rsid w:val="00A06736"/>
    <w:rsid w:val="00A10347"/>
    <w:rsid w:val="00A12342"/>
    <w:rsid w:val="00A158AB"/>
    <w:rsid w:val="00A16E12"/>
    <w:rsid w:val="00A22E15"/>
    <w:rsid w:val="00A23BEB"/>
    <w:rsid w:val="00A2409D"/>
    <w:rsid w:val="00A25657"/>
    <w:rsid w:val="00A270A1"/>
    <w:rsid w:val="00A301D1"/>
    <w:rsid w:val="00A329B6"/>
    <w:rsid w:val="00A3339A"/>
    <w:rsid w:val="00A367A1"/>
    <w:rsid w:val="00A36FA9"/>
    <w:rsid w:val="00A40178"/>
    <w:rsid w:val="00A415D2"/>
    <w:rsid w:val="00A424BB"/>
    <w:rsid w:val="00A42D95"/>
    <w:rsid w:val="00A459B3"/>
    <w:rsid w:val="00A45BF1"/>
    <w:rsid w:val="00A460BA"/>
    <w:rsid w:val="00A510F6"/>
    <w:rsid w:val="00A54828"/>
    <w:rsid w:val="00A57F74"/>
    <w:rsid w:val="00A60307"/>
    <w:rsid w:val="00A651C9"/>
    <w:rsid w:val="00A67586"/>
    <w:rsid w:val="00A67D0F"/>
    <w:rsid w:val="00A70E2D"/>
    <w:rsid w:val="00A73161"/>
    <w:rsid w:val="00A740E7"/>
    <w:rsid w:val="00A80739"/>
    <w:rsid w:val="00A810AF"/>
    <w:rsid w:val="00A83829"/>
    <w:rsid w:val="00A84A92"/>
    <w:rsid w:val="00A862C0"/>
    <w:rsid w:val="00A87EE1"/>
    <w:rsid w:val="00A91A20"/>
    <w:rsid w:val="00A91E9D"/>
    <w:rsid w:val="00A9229F"/>
    <w:rsid w:val="00A9271B"/>
    <w:rsid w:val="00A93829"/>
    <w:rsid w:val="00A95100"/>
    <w:rsid w:val="00A97133"/>
    <w:rsid w:val="00AA0652"/>
    <w:rsid w:val="00AA0C58"/>
    <w:rsid w:val="00AA2A39"/>
    <w:rsid w:val="00AA2C16"/>
    <w:rsid w:val="00AA615B"/>
    <w:rsid w:val="00AA6272"/>
    <w:rsid w:val="00AA65B9"/>
    <w:rsid w:val="00AA7B10"/>
    <w:rsid w:val="00AB0DED"/>
    <w:rsid w:val="00AB14AB"/>
    <w:rsid w:val="00AB2DB6"/>
    <w:rsid w:val="00AB4AF6"/>
    <w:rsid w:val="00AC0C81"/>
    <w:rsid w:val="00AC1B48"/>
    <w:rsid w:val="00AC29D6"/>
    <w:rsid w:val="00AC43E7"/>
    <w:rsid w:val="00AC6C43"/>
    <w:rsid w:val="00AD0298"/>
    <w:rsid w:val="00AD0D89"/>
    <w:rsid w:val="00AD1798"/>
    <w:rsid w:val="00AD1E1B"/>
    <w:rsid w:val="00AD54C3"/>
    <w:rsid w:val="00AD7725"/>
    <w:rsid w:val="00AE0448"/>
    <w:rsid w:val="00AE0522"/>
    <w:rsid w:val="00AE0739"/>
    <w:rsid w:val="00AE1E73"/>
    <w:rsid w:val="00AE2A43"/>
    <w:rsid w:val="00AE4FF6"/>
    <w:rsid w:val="00AE668A"/>
    <w:rsid w:val="00AE6858"/>
    <w:rsid w:val="00AE74D6"/>
    <w:rsid w:val="00AE7EF0"/>
    <w:rsid w:val="00AF1DE4"/>
    <w:rsid w:val="00AF2EFF"/>
    <w:rsid w:val="00AF5C62"/>
    <w:rsid w:val="00AF643C"/>
    <w:rsid w:val="00AF6B2F"/>
    <w:rsid w:val="00AF7270"/>
    <w:rsid w:val="00AF727E"/>
    <w:rsid w:val="00AF74F5"/>
    <w:rsid w:val="00B06A2E"/>
    <w:rsid w:val="00B10008"/>
    <w:rsid w:val="00B114EC"/>
    <w:rsid w:val="00B14450"/>
    <w:rsid w:val="00B17B4C"/>
    <w:rsid w:val="00B17BC5"/>
    <w:rsid w:val="00B20582"/>
    <w:rsid w:val="00B2158C"/>
    <w:rsid w:val="00B217CA"/>
    <w:rsid w:val="00B21B0B"/>
    <w:rsid w:val="00B22FF1"/>
    <w:rsid w:val="00B24E57"/>
    <w:rsid w:val="00B305FF"/>
    <w:rsid w:val="00B30D96"/>
    <w:rsid w:val="00B32CF1"/>
    <w:rsid w:val="00B3477C"/>
    <w:rsid w:val="00B349B5"/>
    <w:rsid w:val="00B5123E"/>
    <w:rsid w:val="00B522C4"/>
    <w:rsid w:val="00B52B0E"/>
    <w:rsid w:val="00B5337D"/>
    <w:rsid w:val="00B6033D"/>
    <w:rsid w:val="00B605CB"/>
    <w:rsid w:val="00B62BEA"/>
    <w:rsid w:val="00B64B90"/>
    <w:rsid w:val="00B65290"/>
    <w:rsid w:val="00B66EF2"/>
    <w:rsid w:val="00B67CEC"/>
    <w:rsid w:val="00B70E26"/>
    <w:rsid w:val="00B7452F"/>
    <w:rsid w:val="00B74E01"/>
    <w:rsid w:val="00B77F27"/>
    <w:rsid w:val="00B85ED8"/>
    <w:rsid w:val="00B86CB5"/>
    <w:rsid w:val="00B8745F"/>
    <w:rsid w:val="00B876DC"/>
    <w:rsid w:val="00B90754"/>
    <w:rsid w:val="00B9186D"/>
    <w:rsid w:val="00B936F7"/>
    <w:rsid w:val="00B9572C"/>
    <w:rsid w:val="00B9782C"/>
    <w:rsid w:val="00B97D95"/>
    <w:rsid w:val="00B97E3C"/>
    <w:rsid w:val="00BA2BFE"/>
    <w:rsid w:val="00BA6C5D"/>
    <w:rsid w:val="00BA7E78"/>
    <w:rsid w:val="00BB0833"/>
    <w:rsid w:val="00BB0EA7"/>
    <w:rsid w:val="00BB4CDF"/>
    <w:rsid w:val="00BB5473"/>
    <w:rsid w:val="00BB595B"/>
    <w:rsid w:val="00BB59F9"/>
    <w:rsid w:val="00BC15B8"/>
    <w:rsid w:val="00BC48BA"/>
    <w:rsid w:val="00BC5279"/>
    <w:rsid w:val="00BC6977"/>
    <w:rsid w:val="00BC6C4E"/>
    <w:rsid w:val="00BC780C"/>
    <w:rsid w:val="00BC7B6A"/>
    <w:rsid w:val="00BD0EAC"/>
    <w:rsid w:val="00BD2A28"/>
    <w:rsid w:val="00BD31AB"/>
    <w:rsid w:val="00BD354C"/>
    <w:rsid w:val="00BD58A7"/>
    <w:rsid w:val="00BD6EE4"/>
    <w:rsid w:val="00BE1E33"/>
    <w:rsid w:val="00BE2AD3"/>
    <w:rsid w:val="00BE36F7"/>
    <w:rsid w:val="00BE4A69"/>
    <w:rsid w:val="00BE5808"/>
    <w:rsid w:val="00BF2443"/>
    <w:rsid w:val="00BF45E5"/>
    <w:rsid w:val="00BF6F76"/>
    <w:rsid w:val="00C03771"/>
    <w:rsid w:val="00C06107"/>
    <w:rsid w:val="00C07618"/>
    <w:rsid w:val="00C07755"/>
    <w:rsid w:val="00C07B5E"/>
    <w:rsid w:val="00C10D3E"/>
    <w:rsid w:val="00C10DE8"/>
    <w:rsid w:val="00C12201"/>
    <w:rsid w:val="00C12AD2"/>
    <w:rsid w:val="00C1405A"/>
    <w:rsid w:val="00C14F61"/>
    <w:rsid w:val="00C17FFE"/>
    <w:rsid w:val="00C31412"/>
    <w:rsid w:val="00C35780"/>
    <w:rsid w:val="00C365AF"/>
    <w:rsid w:val="00C366D5"/>
    <w:rsid w:val="00C42740"/>
    <w:rsid w:val="00C4526C"/>
    <w:rsid w:val="00C45F49"/>
    <w:rsid w:val="00C50B1B"/>
    <w:rsid w:val="00C50C99"/>
    <w:rsid w:val="00C52801"/>
    <w:rsid w:val="00C53A59"/>
    <w:rsid w:val="00C54FDF"/>
    <w:rsid w:val="00C567BA"/>
    <w:rsid w:val="00C60C0C"/>
    <w:rsid w:val="00C61C54"/>
    <w:rsid w:val="00C6210F"/>
    <w:rsid w:val="00C6679A"/>
    <w:rsid w:val="00C745C6"/>
    <w:rsid w:val="00C750BA"/>
    <w:rsid w:val="00C7706E"/>
    <w:rsid w:val="00C80046"/>
    <w:rsid w:val="00C80962"/>
    <w:rsid w:val="00C8232B"/>
    <w:rsid w:val="00C826EF"/>
    <w:rsid w:val="00C8442D"/>
    <w:rsid w:val="00C917A1"/>
    <w:rsid w:val="00C930F3"/>
    <w:rsid w:val="00C95AC9"/>
    <w:rsid w:val="00C960C5"/>
    <w:rsid w:val="00C964DE"/>
    <w:rsid w:val="00C96F18"/>
    <w:rsid w:val="00CA1BBB"/>
    <w:rsid w:val="00CA425B"/>
    <w:rsid w:val="00CA4545"/>
    <w:rsid w:val="00CA51AC"/>
    <w:rsid w:val="00CA53A0"/>
    <w:rsid w:val="00CA5790"/>
    <w:rsid w:val="00CA634C"/>
    <w:rsid w:val="00CA652B"/>
    <w:rsid w:val="00CA7BFF"/>
    <w:rsid w:val="00CB14DE"/>
    <w:rsid w:val="00CB1CDD"/>
    <w:rsid w:val="00CB269F"/>
    <w:rsid w:val="00CB277A"/>
    <w:rsid w:val="00CB2932"/>
    <w:rsid w:val="00CB35E1"/>
    <w:rsid w:val="00CB36F3"/>
    <w:rsid w:val="00CB76CD"/>
    <w:rsid w:val="00CC06A1"/>
    <w:rsid w:val="00CC0C56"/>
    <w:rsid w:val="00CC0E2D"/>
    <w:rsid w:val="00CC11B6"/>
    <w:rsid w:val="00CC4245"/>
    <w:rsid w:val="00CD23FE"/>
    <w:rsid w:val="00CD2948"/>
    <w:rsid w:val="00CD4E45"/>
    <w:rsid w:val="00CD57DC"/>
    <w:rsid w:val="00CE35D5"/>
    <w:rsid w:val="00CE36C4"/>
    <w:rsid w:val="00CE6683"/>
    <w:rsid w:val="00CF232E"/>
    <w:rsid w:val="00CF326B"/>
    <w:rsid w:val="00CF5083"/>
    <w:rsid w:val="00CF5E23"/>
    <w:rsid w:val="00D007F7"/>
    <w:rsid w:val="00D0300E"/>
    <w:rsid w:val="00D0763E"/>
    <w:rsid w:val="00D12644"/>
    <w:rsid w:val="00D134CC"/>
    <w:rsid w:val="00D14C1E"/>
    <w:rsid w:val="00D2229F"/>
    <w:rsid w:val="00D243E8"/>
    <w:rsid w:val="00D244DC"/>
    <w:rsid w:val="00D24682"/>
    <w:rsid w:val="00D24F06"/>
    <w:rsid w:val="00D257A0"/>
    <w:rsid w:val="00D25AEF"/>
    <w:rsid w:val="00D31785"/>
    <w:rsid w:val="00D349EE"/>
    <w:rsid w:val="00D3509A"/>
    <w:rsid w:val="00D35298"/>
    <w:rsid w:val="00D35651"/>
    <w:rsid w:val="00D36296"/>
    <w:rsid w:val="00D36DC3"/>
    <w:rsid w:val="00D402D8"/>
    <w:rsid w:val="00D418AD"/>
    <w:rsid w:val="00D41A34"/>
    <w:rsid w:val="00D423E9"/>
    <w:rsid w:val="00D425FB"/>
    <w:rsid w:val="00D4266C"/>
    <w:rsid w:val="00D44227"/>
    <w:rsid w:val="00D46629"/>
    <w:rsid w:val="00D46F00"/>
    <w:rsid w:val="00D51B32"/>
    <w:rsid w:val="00D5259F"/>
    <w:rsid w:val="00D527DA"/>
    <w:rsid w:val="00D52AFC"/>
    <w:rsid w:val="00D56D47"/>
    <w:rsid w:val="00D56DE7"/>
    <w:rsid w:val="00D57835"/>
    <w:rsid w:val="00D655FB"/>
    <w:rsid w:val="00D660A3"/>
    <w:rsid w:val="00D70AEA"/>
    <w:rsid w:val="00D70FB4"/>
    <w:rsid w:val="00D724F9"/>
    <w:rsid w:val="00D73854"/>
    <w:rsid w:val="00D73A38"/>
    <w:rsid w:val="00D73F1F"/>
    <w:rsid w:val="00D74A1C"/>
    <w:rsid w:val="00D815C1"/>
    <w:rsid w:val="00D82E7D"/>
    <w:rsid w:val="00D85C85"/>
    <w:rsid w:val="00D85E33"/>
    <w:rsid w:val="00D866EC"/>
    <w:rsid w:val="00D9096A"/>
    <w:rsid w:val="00D92F6C"/>
    <w:rsid w:val="00D95879"/>
    <w:rsid w:val="00D97A6B"/>
    <w:rsid w:val="00DA2FA3"/>
    <w:rsid w:val="00DA3760"/>
    <w:rsid w:val="00DA38A8"/>
    <w:rsid w:val="00DA7875"/>
    <w:rsid w:val="00DB0AD7"/>
    <w:rsid w:val="00DB2AC7"/>
    <w:rsid w:val="00DB4197"/>
    <w:rsid w:val="00DB751D"/>
    <w:rsid w:val="00DC09BD"/>
    <w:rsid w:val="00DC531E"/>
    <w:rsid w:val="00DC679E"/>
    <w:rsid w:val="00DD06FC"/>
    <w:rsid w:val="00DD0E98"/>
    <w:rsid w:val="00DD14BC"/>
    <w:rsid w:val="00DD359C"/>
    <w:rsid w:val="00DE1C73"/>
    <w:rsid w:val="00DE3F87"/>
    <w:rsid w:val="00DE64DE"/>
    <w:rsid w:val="00DE73B4"/>
    <w:rsid w:val="00DE74A0"/>
    <w:rsid w:val="00DE787B"/>
    <w:rsid w:val="00DE7AB4"/>
    <w:rsid w:val="00DF003F"/>
    <w:rsid w:val="00DF13B8"/>
    <w:rsid w:val="00DF3BFA"/>
    <w:rsid w:val="00DF4D86"/>
    <w:rsid w:val="00DF63E3"/>
    <w:rsid w:val="00DF6B09"/>
    <w:rsid w:val="00E00B41"/>
    <w:rsid w:val="00E01D84"/>
    <w:rsid w:val="00E048AB"/>
    <w:rsid w:val="00E06363"/>
    <w:rsid w:val="00E104CD"/>
    <w:rsid w:val="00E10E8B"/>
    <w:rsid w:val="00E111AA"/>
    <w:rsid w:val="00E137BB"/>
    <w:rsid w:val="00E1445A"/>
    <w:rsid w:val="00E1447B"/>
    <w:rsid w:val="00E16FB9"/>
    <w:rsid w:val="00E172B2"/>
    <w:rsid w:val="00E20266"/>
    <w:rsid w:val="00E235DD"/>
    <w:rsid w:val="00E261CD"/>
    <w:rsid w:val="00E267B8"/>
    <w:rsid w:val="00E26EF5"/>
    <w:rsid w:val="00E3199C"/>
    <w:rsid w:val="00E409C2"/>
    <w:rsid w:val="00E414E6"/>
    <w:rsid w:val="00E41E74"/>
    <w:rsid w:val="00E42D0B"/>
    <w:rsid w:val="00E441BF"/>
    <w:rsid w:val="00E56980"/>
    <w:rsid w:val="00E56B59"/>
    <w:rsid w:val="00E57065"/>
    <w:rsid w:val="00E62D29"/>
    <w:rsid w:val="00E64988"/>
    <w:rsid w:val="00E64A38"/>
    <w:rsid w:val="00E666D5"/>
    <w:rsid w:val="00E71632"/>
    <w:rsid w:val="00E719F6"/>
    <w:rsid w:val="00E7345E"/>
    <w:rsid w:val="00E756AC"/>
    <w:rsid w:val="00E8168D"/>
    <w:rsid w:val="00E8381A"/>
    <w:rsid w:val="00E862D2"/>
    <w:rsid w:val="00E86875"/>
    <w:rsid w:val="00E87596"/>
    <w:rsid w:val="00E87794"/>
    <w:rsid w:val="00E96422"/>
    <w:rsid w:val="00E97B21"/>
    <w:rsid w:val="00EA2E17"/>
    <w:rsid w:val="00EA4B35"/>
    <w:rsid w:val="00EA5A59"/>
    <w:rsid w:val="00EA62F1"/>
    <w:rsid w:val="00EB0CE8"/>
    <w:rsid w:val="00EB1CF3"/>
    <w:rsid w:val="00EB34B2"/>
    <w:rsid w:val="00EB3D8F"/>
    <w:rsid w:val="00EB4953"/>
    <w:rsid w:val="00EC17AA"/>
    <w:rsid w:val="00EC54F2"/>
    <w:rsid w:val="00EC558F"/>
    <w:rsid w:val="00EC5C96"/>
    <w:rsid w:val="00EC71BC"/>
    <w:rsid w:val="00ED0FE3"/>
    <w:rsid w:val="00ED1029"/>
    <w:rsid w:val="00ED277E"/>
    <w:rsid w:val="00ED3F7E"/>
    <w:rsid w:val="00ED4715"/>
    <w:rsid w:val="00ED6605"/>
    <w:rsid w:val="00ED7ACF"/>
    <w:rsid w:val="00EE0EBF"/>
    <w:rsid w:val="00EE21E4"/>
    <w:rsid w:val="00EE3B97"/>
    <w:rsid w:val="00EE40D5"/>
    <w:rsid w:val="00EF2CA6"/>
    <w:rsid w:val="00EF567A"/>
    <w:rsid w:val="00F02034"/>
    <w:rsid w:val="00F032B1"/>
    <w:rsid w:val="00F06A6A"/>
    <w:rsid w:val="00F0790C"/>
    <w:rsid w:val="00F117B1"/>
    <w:rsid w:val="00F119AE"/>
    <w:rsid w:val="00F1263B"/>
    <w:rsid w:val="00F134F9"/>
    <w:rsid w:val="00F2461C"/>
    <w:rsid w:val="00F24C62"/>
    <w:rsid w:val="00F24FC8"/>
    <w:rsid w:val="00F26348"/>
    <w:rsid w:val="00F32107"/>
    <w:rsid w:val="00F3294E"/>
    <w:rsid w:val="00F331F0"/>
    <w:rsid w:val="00F34138"/>
    <w:rsid w:val="00F35093"/>
    <w:rsid w:val="00F35E57"/>
    <w:rsid w:val="00F36959"/>
    <w:rsid w:val="00F36A41"/>
    <w:rsid w:val="00F43FE1"/>
    <w:rsid w:val="00F44566"/>
    <w:rsid w:val="00F47FCE"/>
    <w:rsid w:val="00F501D2"/>
    <w:rsid w:val="00F513E5"/>
    <w:rsid w:val="00F5266F"/>
    <w:rsid w:val="00F52BC9"/>
    <w:rsid w:val="00F52EAE"/>
    <w:rsid w:val="00F557C0"/>
    <w:rsid w:val="00F56447"/>
    <w:rsid w:val="00F61A04"/>
    <w:rsid w:val="00F64055"/>
    <w:rsid w:val="00F649E4"/>
    <w:rsid w:val="00F6564C"/>
    <w:rsid w:val="00F6674B"/>
    <w:rsid w:val="00F710C6"/>
    <w:rsid w:val="00F722BD"/>
    <w:rsid w:val="00F72873"/>
    <w:rsid w:val="00F73620"/>
    <w:rsid w:val="00F73C69"/>
    <w:rsid w:val="00F7435F"/>
    <w:rsid w:val="00F74621"/>
    <w:rsid w:val="00F75412"/>
    <w:rsid w:val="00F758ED"/>
    <w:rsid w:val="00F862D1"/>
    <w:rsid w:val="00F86B27"/>
    <w:rsid w:val="00F86EBC"/>
    <w:rsid w:val="00F91CF0"/>
    <w:rsid w:val="00F93642"/>
    <w:rsid w:val="00F9481A"/>
    <w:rsid w:val="00F94C89"/>
    <w:rsid w:val="00F956D1"/>
    <w:rsid w:val="00F95AD3"/>
    <w:rsid w:val="00F9687F"/>
    <w:rsid w:val="00F96F05"/>
    <w:rsid w:val="00F97F15"/>
    <w:rsid w:val="00FA08DE"/>
    <w:rsid w:val="00FA1260"/>
    <w:rsid w:val="00FA6089"/>
    <w:rsid w:val="00FB1251"/>
    <w:rsid w:val="00FB328E"/>
    <w:rsid w:val="00FB3430"/>
    <w:rsid w:val="00FB51B0"/>
    <w:rsid w:val="00FB5E18"/>
    <w:rsid w:val="00FC09A3"/>
    <w:rsid w:val="00FC2626"/>
    <w:rsid w:val="00FC755D"/>
    <w:rsid w:val="00FD3922"/>
    <w:rsid w:val="00FD6452"/>
    <w:rsid w:val="00FD6AFB"/>
    <w:rsid w:val="00FE4260"/>
    <w:rsid w:val="00FF004D"/>
    <w:rsid w:val="00FF0A4E"/>
    <w:rsid w:val="00FF12D6"/>
    <w:rsid w:val="00FF14A6"/>
    <w:rsid w:val="00FF3F9C"/>
    <w:rsid w:val="0C2E6B42"/>
    <w:rsid w:val="75D82D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86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aliases w:val="No Indent"/>
    <w:uiPriority w:val="3"/>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075227"/>
    <w:pPr>
      <w:spacing w:before="100" w:beforeAutospacing="1" w:after="100" w:afterAutospacing="1"/>
    </w:pPr>
    <w:rPr>
      <w:rFonts w:ascii="Times New Roman" w:eastAsia="Times New Roman" w:hAnsi="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95243">
      <w:bodyDiv w:val="1"/>
      <w:marLeft w:val="0"/>
      <w:marRight w:val="0"/>
      <w:marTop w:val="0"/>
      <w:marBottom w:val="0"/>
      <w:divBdr>
        <w:top w:val="none" w:sz="0" w:space="0" w:color="auto"/>
        <w:left w:val="none" w:sz="0" w:space="0" w:color="auto"/>
        <w:bottom w:val="none" w:sz="0" w:space="0" w:color="auto"/>
        <w:right w:val="none" w:sz="0" w:space="0" w:color="auto"/>
      </w:divBdr>
    </w:div>
    <w:div w:id="646478191">
      <w:bodyDiv w:val="1"/>
      <w:marLeft w:val="0"/>
      <w:marRight w:val="0"/>
      <w:marTop w:val="0"/>
      <w:marBottom w:val="0"/>
      <w:divBdr>
        <w:top w:val="none" w:sz="0" w:space="0" w:color="auto"/>
        <w:left w:val="none" w:sz="0" w:space="0" w:color="auto"/>
        <w:bottom w:val="none" w:sz="0" w:space="0" w:color="auto"/>
        <w:right w:val="none" w:sz="0" w:space="0" w:color="auto"/>
      </w:divBdr>
    </w:div>
    <w:div w:id="953948116">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662536303">
      <w:bodyDiv w:val="1"/>
      <w:marLeft w:val="0"/>
      <w:marRight w:val="0"/>
      <w:marTop w:val="0"/>
      <w:marBottom w:val="0"/>
      <w:divBdr>
        <w:top w:val="none" w:sz="0" w:space="0" w:color="auto"/>
        <w:left w:val="none" w:sz="0" w:space="0" w:color="auto"/>
        <w:bottom w:val="none" w:sz="0" w:space="0" w:color="auto"/>
        <w:right w:val="none" w:sz="0" w:space="0" w:color="auto"/>
      </w:divBdr>
    </w:div>
    <w:div w:id="1768885321">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244F08C-2089-4F3F-8BCA-794157DD314E}">
  <ds:schemaRefs>
    <ds:schemaRef ds:uri="http://schemas.openxmlformats.org/officeDocument/2006/bibliography"/>
  </ds:schemaRefs>
</ds:datastoreItem>
</file>

<file path=customXml/itemProps3.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6873</Words>
  <Characters>37803</Characters>
  <Application>Microsoft Office Word</Application>
  <DocSecurity>0</DocSecurity>
  <Lines>315</Lines>
  <Paragraphs>89</Paragraphs>
  <ScaleCrop>false</ScaleCrop>
  <Company/>
  <LinksUpToDate>false</LinksUpToDate>
  <CharactersWithSpaces>44587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912</cp:revision>
  <cp:lastPrinted>2020-03-17T17:42:00Z</cp:lastPrinted>
  <dcterms:created xsi:type="dcterms:W3CDTF">2020-03-17T17:21:00Z</dcterms:created>
  <dcterms:modified xsi:type="dcterms:W3CDTF">2020-08-06T20:54:00Z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