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B051AD" w:rsidRDefault="00BE1E33" w:rsidP="00BE1E33">
      <w:pPr>
        <w:jc w:val="right"/>
        <w:rPr>
          <w:rFonts w:ascii="Arial" w:hAnsi="Arial" w:cs="Arial"/>
          <w:bCs/>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B051AD">
        <w:rPr>
          <w:rFonts w:ascii="Arial" w:hAnsi="Arial" w:cs="Arial"/>
          <w:bCs/>
          <w:sz w:val="16"/>
          <w:szCs w:val="16"/>
          <w:lang w:eastAsia="es-ES"/>
        </w:rPr>
        <w:t>CCE-DES-FM-17</w:t>
      </w:r>
    </w:p>
    <w:p w14:paraId="25784C1D" w14:textId="77777777" w:rsidR="00BE1E33" w:rsidRPr="00B051AD" w:rsidRDefault="00BE1E33" w:rsidP="00BE1E33">
      <w:pPr>
        <w:jc w:val="both"/>
        <w:rPr>
          <w:rFonts w:ascii="Arial" w:eastAsia="Calibri" w:hAnsi="Arial" w:cs="Arial"/>
          <w:b/>
          <w:color w:val="000000" w:themeColor="text1"/>
          <w:sz w:val="16"/>
          <w:szCs w:val="16"/>
        </w:rPr>
      </w:pPr>
    </w:p>
    <w:p w14:paraId="33BD1F25" w14:textId="0B3D4C5E" w:rsidR="00BE1E33" w:rsidRPr="006C15D5" w:rsidRDefault="00BA0158" w:rsidP="00BE1E33">
      <w:pPr>
        <w:jc w:val="both"/>
        <w:rPr>
          <w:rFonts w:ascii="Arial" w:eastAsia="Calibri" w:hAnsi="Arial" w:cs="Arial"/>
          <w:b/>
          <w:color w:val="000000" w:themeColor="text1"/>
          <w:sz w:val="22"/>
        </w:rPr>
      </w:pPr>
      <w:r w:rsidRPr="00BA0158">
        <w:rPr>
          <w:rFonts w:ascii="Arial" w:eastAsia="Calibri" w:hAnsi="Arial" w:cs="Arial"/>
          <w:b/>
          <w:color w:val="000000" w:themeColor="text1"/>
          <w:sz w:val="22"/>
        </w:rPr>
        <w:t xml:space="preserve">SERIEDAD DE LA OFERTA </w:t>
      </w:r>
      <w:r w:rsidR="00304C55">
        <w:rPr>
          <w:rFonts w:ascii="Arial" w:eastAsia="Calibri" w:hAnsi="Arial" w:cs="Arial"/>
          <w:b/>
          <w:color w:val="000000" w:themeColor="text1"/>
          <w:sz w:val="22"/>
        </w:rPr>
        <w:t>–</w:t>
      </w:r>
      <w:r w:rsidRPr="00BA0158">
        <w:rPr>
          <w:rFonts w:ascii="Arial" w:eastAsia="Calibri" w:hAnsi="Arial" w:cs="Arial"/>
          <w:b/>
          <w:color w:val="000000" w:themeColor="text1"/>
          <w:sz w:val="22"/>
        </w:rPr>
        <w:t xml:space="preserve"> Vigencia de la garantía</w:t>
      </w:r>
      <w:r w:rsidR="00DE3F87">
        <w:rPr>
          <w:rFonts w:ascii="Arial" w:eastAsia="Calibri" w:hAnsi="Arial" w:cs="Arial"/>
          <w:b/>
          <w:color w:val="000000" w:themeColor="text1"/>
          <w:sz w:val="22"/>
        </w:rPr>
        <w:t xml:space="preserve"> </w:t>
      </w:r>
    </w:p>
    <w:p w14:paraId="79609206" w14:textId="77777777" w:rsidR="00BE1E33" w:rsidRPr="006C15D5" w:rsidRDefault="00BE1E33" w:rsidP="00BE1E33">
      <w:pPr>
        <w:jc w:val="both"/>
        <w:rPr>
          <w:rFonts w:ascii="Arial" w:eastAsia="Calibri" w:hAnsi="Arial" w:cs="Arial"/>
          <w:color w:val="000000" w:themeColor="text1"/>
          <w:sz w:val="20"/>
          <w:szCs w:val="20"/>
        </w:rPr>
      </w:pPr>
    </w:p>
    <w:p w14:paraId="6FEE53EB" w14:textId="0FB4DB17" w:rsidR="00BA0158" w:rsidRPr="00BA0158" w:rsidRDefault="00BA0158" w:rsidP="00BA0158">
      <w:pPr>
        <w:spacing w:after="120"/>
        <w:jc w:val="both"/>
        <w:rPr>
          <w:rFonts w:ascii="Arial" w:eastAsia="Calibri" w:hAnsi="Arial" w:cs="Arial"/>
          <w:bCs/>
          <w:color w:val="000000" w:themeColor="text1"/>
          <w:sz w:val="20"/>
          <w:szCs w:val="20"/>
          <w:lang w:val="es-ES"/>
        </w:rPr>
      </w:pPr>
      <w:r w:rsidRPr="00BA0158">
        <w:rPr>
          <w:rFonts w:ascii="Arial" w:eastAsia="Calibri" w:hAnsi="Arial" w:cs="Arial"/>
          <w:bCs/>
          <w:color w:val="000000" w:themeColor="text1"/>
          <w:sz w:val="20"/>
          <w:szCs w:val="20"/>
          <w:lang w:val="es-ES"/>
        </w:rPr>
        <w:t>So pena de rechazo, la garantía se entrega simultáneamente con los demás documentos de la propuesta. En lo que respecta a la extensión, el citado numeral 7.1 de los pliegos y la invitación dispone que tendrá una vigencia de tres (3) meses contados a partir de la fecha de cierre de procedimiento de selección. Naturalmente, se trata de un plazo ininterrumpido, pues es indivisible en su término y monto. Incluso, en la medida que se mantiene vigente durante la eventual suspensión del proceso contractual, el proponente está obligado a extender su vigencia so pena de que la entidad la haga efectiva.</w:t>
      </w:r>
    </w:p>
    <w:p w14:paraId="04FCFBF5" w14:textId="642616F1" w:rsidR="00BE1E33" w:rsidRDefault="00BA0158" w:rsidP="00BA0158">
      <w:pPr>
        <w:jc w:val="both"/>
        <w:rPr>
          <w:rFonts w:ascii="Arial" w:eastAsia="Calibri" w:hAnsi="Arial" w:cs="Arial"/>
          <w:bCs/>
          <w:color w:val="000000" w:themeColor="text1"/>
          <w:sz w:val="20"/>
          <w:szCs w:val="20"/>
          <w:lang w:val="es-ES"/>
        </w:rPr>
      </w:pPr>
      <w:r w:rsidRPr="00BA0158">
        <w:rPr>
          <w:rFonts w:ascii="Arial" w:eastAsia="Calibri" w:hAnsi="Arial" w:cs="Arial"/>
          <w:bCs/>
          <w:color w:val="000000" w:themeColor="text1"/>
          <w:sz w:val="20"/>
          <w:szCs w:val="20"/>
          <w:lang w:val="es-ES"/>
        </w:rPr>
        <w:t>En este sentido, los pliegos y la invitación disponen que «Si en desarrollo del proceso de selección se modifica el cronograma, el Proponente deberá ampliar la vigencia de la Garantía de seriedad de la oferta hasta tanto no se haya perfeccionado y cumplido los requisitos de ejecución del respectivo contrato»; razón por la cual, en caso de omitirlo, el precitado numeral 1 del artículo 2.2.1.2.3.1.6 del Decreto 1082 de 2015 dispone la cobertura por concepto de «La no ampliación de la vigencia de la garantía […] cuando el plazo para la adjudicación o para suscribir el contrato es prorrogado, siempre que tal prórroga sea inferior a tres (3) meses».</w:t>
      </w:r>
    </w:p>
    <w:p w14:paraId="244B1948" w14:textId="77777777" w:rsidR="00BA0158" w:rsidRPr="006C15D5" w:rsidRDefault="00BA0158" w:rsidP="00BA0158">
      <w:pPr>
        <w:jc w:val="both"/>
        <w:rPr>
          <w:rFonts w:ascii="Arial" w:eastAsia="Calibri" w:hAnsi="Arial" w:cs="Arial"/>
          <w:b/>
          <w:color w:val="000000" w:themeColor="text1"/>
          <w:sz w:val="20"/>
          <w:szCs w:val="20"/>
        </w:rPr>
      </w:pPr>
    </w:p>
    <w:p w14:paraId="469F36C7" w14:textId="7D71D9FE" w:rsidR="00BE1E33" w:rsidRDefault="00BA0158" w:rsidP="00BE1E33">
      <w:pPr>
        <w:jc w:val="both"/>
        <w:rPr>
          <w:rFonts w:ascii="Arial" w:eastAsia="Calibri" w:hAnsi="Arial" w:cs="Arial"/>
          <w:b/>
          <w:color w:val="000000" w:themeColor="text1"/>
          <w:sz w:val="22"/>
        </w:rPr>
      </w:pPr>
      <w:r w:rsidRPr="00BA0158">
        <w:rPr>
          <w:rFonts w:ascii="Arial" w:eastAsia="Calibri" w:hAnsi="Arial" w:cs="Arial"/>
          <w:b/>
          <w:color w:val="000000" w:themeColor="text1"/>
          <w:sz w:val="22"/>
        </w:rPr>
        <w:t>FACTOR DE CALIDAD – Cuadrilla</w:t>
      </w:r>
      <w:r w:rsidR="00F03A88">
        <w:rPr>
          <w:rFonts w:ascii="Arial" w:eastAsia="Calibri" w:hAnsi="Arial" w:cs="Arial"/>
          <w:b/>
          <w:color w:val="000000" w:themeColor="text1"/>
          <w:sz w:val="22"/>
        </w:rPr>
        <w:t>s</w:t>
      </w:r>
      <w:r w:rsidRPr="00BA0158">
        <w:rPr>
          <w:rFonts w:ascii="Arial" w:eastAsia="Calibri" w:hAnsi="Arial" w:cs="Arial"/>
          <w:b/>
          <w:color w:val="000000" w:themeColor="text1"/>
          <w:sz w:val="22"/>
        </w:rPr>
        <w:t xml:space="preserve"> de </w:t>
      </w:r>
      <w:r>
        <w:rPr>
          <w:rFonts w:ascii="Arial" w:eastAsia="Calibri" w:hAnsi="Arial" w:cs="Arial"/>
          <w:b/>
          <w:color w:val="000000" w:themeColor="text1"/>
          <w:sz w:val="22"/>
        </w:rPr>
        <w:t>t</w:t>
      </w:r>
      <w:r w:rsidRPr="00BA0158">
        <w:rPr>
          <w:rFonts w:ascii="Arial" w:eastAsia="Calibri" w:hAnsi="Arial" w:cs="Arial"/>
          <w:b/>
          <w:color w:val="000000" w:themeColor="text1"/>
          <w:sz w:val="22"/>
        </w:rPr>
        <w:t xml:space="preserve">rabajo adicional – Alcance </w:t>
      </w:r>
    </w:p>
    <w:p w14:paraId="1845FC71" w14:textId="77777777" w:rsidR="00BA0158" w:rsidRPr="006C15D5" w:rsidRDefault="00BA0158" w:rsidP="00BE1E33">
      <w:pPr>
        <w:jc w:val="both"/>
        <w:rPr>
          <w:rFonts w:ascii="Arial" w:eastAsia="Calibri" w:hAnsi="Arial" w:cs="Arial"/>
          <w:b/>
          <w:color w:val="000000" w:themeColor="text1"/>
          <w:sz w:val="20"/>
          <w:szCs w:val="20"/>
        </w:rPr>
      </w:pPr>
    </w:p>
    <w:p w14:paraId="42ACFFC5" w14:textId="57ED3CF8" w:rsidR="00051D31" w:rsidRPr="00051D31" w:rsidRDefault="00051D31" w:rsidP="00051D31">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Pr="00051D31">
        <w:rPr>
          <w:rFonts w:ascii="Arial" w:eastAsia="Calibri" w:hAnsi="Arial" w:cs="Arial"/>
          <w:color w:val="000000" w:themeColor="text1"/>
          <w:sz w:val="20"/>
          <w:szCs w:val="20"/>
        </w:rPr>
        <w:t xml:space="preserve">el otorgamiento del puntaje en este factor de calidad depende del ofrecimiento que realice cada proponente de acuerdo con sus capacidades. En este sentido, el mayor puntaje lo recibirá aquel oferente que ofrezca mayor número de cuadrillas de trabajo adicional. En otras palabras, la entidad no puede definir cuántos miembros de la cuadrilla de trabajo adicional se necesitan, sino que depende del proponente definir el número de cuadrillas de trabajo adicional que está en capacidad de ofertar, lo cual reduce el riesgo de direccionamiento e incrementa las condiciones de calidad para el contratante. </w:t>
      </w:r>
    </w:p>
    <w:p w14:paraId="216D9623" w14:textId="0331503F" w:rsidR="00697A99" w:rsidRPr="00051D31" w:rsidRDefault="00051D31" w:rsidP="0041784E">
      <w:pPr>
        <w:jc w:val="both"/>
        <w:rPr>
          <w:rFonts w:ascii="Arial" w:eastAsia="Calibri" w:hAnsi="Arial" w:cs="Arial"/>
          <w:color w:val="000000" w:themeColor="text1"/>
          <w:sz w:val="20"/>
          <w:szCs w:val="20"/>
        </w:rPr>
      </w:pPr>
      <w:r w:rsidRPr="00051D31">
        <w:rPr>
          <w:rFonts w:ascii="Arial" w:eastAsia="Calibri" w:hAnsi="Arial" w:cs="Arial"/>
          <w:color w:val="000000" w:themeColor="text1"/>
          <w:sz w:val="20"/>
          <w:szCs w:val="20"/>
        </w:rPr>
        <w:t>En caso de que el oferente resulte adjudicatario deberá cumplir el ofrecimiento realizado, so pena de las sanciones contractuales procedentes. Conforme a lo anterior, el oferente tiene la libertad y autonomía de ofrecer el número de cuadrillas de trabajo adicional de acuerdo con sus capacidades. Es decir, los documentos tipo no limita</w:t>
      </w:r>
      <w:r w:rsidR="00F03A88">
        <w:rPr>
          <w:rFonts w:ascii="Arial" w:eastAsia="Calibri" w:hAnsi="Arial" w:cs="Arial"/>
          <w:color w:val="000000" w:themeColor="text1"/>
          <w:sz w:val="20"/>
          <w:szCs w:val="20"/>
        </w:rPr>
        <w:t>n</w:t>
      </w:r>
      <w:r w:rsidRPr="00051D31">
        <w:rPr>
          <w:rFonts w:ascii="Arial" w:eastAsia="Calibri" w:hAnsi="Arial" w:cs="Arial"/>
          <w:color w:val="000000" w:themeColor="text1"/>
          <w:sz w:val="20"/>
          <w:szCs w:val="20"/>
        </w:rPr>
        <w:t xml:space="preserve"> los ofrecimientos realizados por el oferente. No obstante, en el evento que resulte adjudicatario del proceso de contratación, el compromiso del factor de calidad se convierte en un deber contractual de obligatorio cumplimiento, so pena la imposición de las multas de acuerdo con lo definido en el «Anexo 5 – Minuta del Contrato»</w:t>
      </w:r>
      <w:r w:rsidR="00FD386C" w:rsidRPr="00FD386C">
        <w:rPr>
          <w:rFonts w:ascii="Arial" w:eastAsia="Calibri" w:hAnsi="Arial" w:cs="Arial"/>
          <w:color w:val="000000" w:themeColor="text1"/>
          <w:sz w:val="20"/>
          <w:szCs w:val="20"/>
        </w:rPr>
        <w:t>.</w:t>
      </w:r>
      <w:r w:rsidR="0041784E" w:rsidRPr="0041784E">
        <w:rPr>
          <w:rFonts w:ascii="Arial" w:eastAsia="Calibri" w:hAnsi="Arial" w:cs="Arial"/>
          <w:bCs/>
          <w:color w:val="000000" w:themeColor="text1"/>
          <w:sz w:val="20"/>
          <w:szCs w:val="20"/>
          <w:lang w:val="es-ES"/>
        </w:rPr>
        <w:t xml:space="preserve"> </w:t>
      </w:r>
    </w:p>
    <w:p w14:paraId="37038558" w14:textId="7455F221" w:rsidR="00825FD3" w:rsidRPr="00B051AD" w:rsidRDefault="00825FD3" w:rsidP="005C5B7C">
      <w:pPr>
        <w:jc w:val="both"/>
        <w:rPr>
          <w:rFonts w:ascii="Arial" w:eastAsia="Calibri" w:hAnsi="Arial" w:cs="Arial"/>
          <w:color w:val="000000" w:themeColor="text1"/>
          <w:sz w:val="20"/>
          <w:szCs w:val="20"/>
        </w:rPr>
      </w:pPr>
    </w:p>
    <w:p w14:paraId="2036CB1C" w14:textId="77777777" w:rsidR="005C5B7C" w:rsidRPr="00B051AD" w:rsidRDefault="005C5B7C" w:rsidP="005C5B7C">
      <w:pPr>
        <w:jc w:val="both"/>
        <w:rPr>
          <w:rFonts w:ascii="Arial" w:eastAsia="Calibri" w:hAnsi="Arial" w:cs="Arial"/>
          <w:color w:val="000000" w:themeColor="text1"/>
          <w:sz w:val="20"/>
          <w:szCs w:val="20"/>
        </w:rPr>
      </w:pPr>
    </w:p>
    <w:p w14:paraId="6C2D1181" w14:textId="1344FC59"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565561" w:rsidRPr="00565561">
        <w:rPr>
          <w:rFonts w:ascii="Arial" w:hAnsi="Arial" w:cs="Arial"/>
          <w:b/>
          <w:sz w:val="22"/>
          <w:szCs w:val="20"/>
        </w:rPr>
        <w:t>07/07/2020 Hora 16:29:44s</w:t>
      </w:r>
    </w:p>
    <w:p w14:paraId="355C471E" w14:textId="77777777" w:rsidR="00387D0F" w:rsidRPr="00387D0F" w:rsidRDefault="00387D0F" w:rsidP="00387D0F">
      <w:pPr>
        <w:rPr>
          <w:rFonts w:ascii="Arial" w:hAnsi="Arial" w:cs="Arial"/>
          <w:b/>
          <w:sz w:val="22"/>
          <w:szCs w:val="20"/>
        </w:rPr>
      </w:pPr>
    </w:p>
    <w:p w14:paraId="18057FBF" w14:textId="1B234AA6" w:rsidR="00387D0F" w:rsidRPr="00387D0F" w:rsidRDefault="00387D0F" w:rsidP="00387D0F">
      <w:pPr>
        <w:jc w:val="right"/>
        <w:rPr>
          <w:rFonts w:ascii="Arial" w:hAnsi="Arial" w:cs="Arial"/>
          <w:b/>
          <w:sz w:val="22"/>
          <w:szCs w:val="20"/>
        </w:rPr>
      </w:pPr>
      <w:proofErr w:type="spellStart"/>
      <w:r w:rsidRPr="00387D0F">
        <w:rPr>
          <w:rFonts w:ascii="Arial" w:hAnsi="Arial" w:cs="Arial"/>
          <w:b/>
          <w:sz w:val="22"/>
          <w:szCs w:val="20"/>
        </w:rPr>
        <w:t>N°</w:t>
      </w:r>
      <w:proofErr w:type="spellEnd"/>
      <w:r w:rsidRPr="00387D0F">
        <w:rPr>
          <w:rFonts w:ascii="Arial" w:hAnsi="Arial" w:cs="Arial"/>
          <w:b/>
          <w:sz w:val="22"/>
          <w:szCs w:val="20"/>
        </w:rPr>
        <w:t xml:space="preserve"> Radicado: </w:t>
      </w:r>
      <w:r w:rsidR="00565561" w:rsidRPr="00565561">
        <w:rPr>
          <w:rFonts w:ascii="Arial" w:hAnsi="Arial" w:cs="Arial"/>
          <w:b/>
          <w:sz w:val="22"/>
          <w:szCs w:val="20"/>
        </w:rPr>
        <w:t>2202013000005930</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1C3EA56E"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0ADC5F9B" w14:textId="5592C88A" w:rsidR="00766030" w:rsidRDefault="000100E8" w:rsidP="00BE1E33">
      <w:pPr>
        <w:rPr>
          <w:rFonts w:ascii="Arial" w:eastAsia="Calibri" w:hAnsi="Arial" w:cs="Arial"/>
          <w:b/>
          <w:color w:val="000000" w:themeColor="text1"/>
          <w:sz w:val="22"/>
        </w:rPr>
      </w:pPr>
      <w:r w:rsidRPr="000100E8">
        <w:rPr>
          <w:rFonts w:ascii="Arial" w:eastAsia="Calibri" w:hAnsi="Arial" w:cs="Arial"/>
          <w:b/>
          <w:color w:val="000000" w:themeColor="text1"/>
          <w:sz w:val="22"/>
        </w:rPr>
        <w:t>Luis Alexis Correa</w:t>
      </w:r>
    </w:p>
    <w:p w14:paraId="095BF112" w14:textId="6F9FB1DE" w:rsidR="00BE1E33" w:rsidRPr="006C15D5" w:rsidRDefault="000100E8" w:rsidP="00BE1E33">
      <w:pPr>
        <w:rPr>
          <w:rFonts w:ascii="Arial" w:eastAsia="Calibri" w:hAnsi="Arial" w:cs="Arial"/>
          <w:color w:val="000000" w:themeColor="text1"/>
          <w:sz w:val="22"/>
        </w:rPr>
      </w:pPr>
      <w:r>
        <w:rPr>
          <w:rFonts w:ascii="Arial" w:eastAsia="Calibri" w:hAnsi="Arial" w:cs="Arial"/>
          <w:color w:val="000000" w:themeColor="text1"/>
          <w:sz w:val="22"/>
        </w:rPr>
        <w:t xml:space="preserve">Piedecuesta, Santander </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71235000"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0100E8">
        <w:rPr>
          <w:rFonts w:ascii="Arial" w:eastAsia="Calibri" w:hAnsi="Arial" w:cs="Arial"/>
          <w:b/>
          <w:color w:val="000000" w:themeColor="text1"/>
          <w:sz w:val="22"/>
        </w:rPr>
        <w:t xml:space="preserve">430 </w:t>
      </w:r>
      <w:r w:rsidRPr="006C15D5">
        <w:rPr>
          <w:rFonts w:ascii="Arial" w:eastAsia="Calibri" w:hAnsi="Arial" w:cs="Arial"/>
          <w:b/>
          <w:color w:val="000000" w:themeColor="text1"/>
          <w:sz w:val="22"/>
        </w:rPr>
        <w:t>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3548E46E" w:rsidR="00BE1E33" w:rsidRPr="006C15D5" w:rsidRDefault="00E5029D">
            <w:pPr>
              <w:jc w:val="both"/>
              <w:rPr>
                <w:rFonts w:ascii="Arial" w:eastAsia="Calibri" w:hAnsi="Arial" w:cs="Arial"/>
                <w:color w:val="000000" w:themeColor="text1"/>
                <w:sz w:val="22"/>
              </w:rPr>
            </w:pPr>
            <w:r w:rsidRPr="00E5029D">
              <w:rPr>
                <w:rFonts w:ascii="Arial" w:eastAsia="Calibri" w:hAnsi="Arial" w:cs="Arial"/>
                <w:color w:val="000000" w:themeColor="text1"/>
                <w:sz w:val="22"/>
              </w:rPr>
              <w:t xml:space="preserve">SERIEDAD DE LA OFERTA </w:t>
            </w:r>
            <w:r w:rsidR="00304C55">
              <w:rPr>
                <w:rFonts w:ascii="Arial" w:eastAsia="Calibri" w:hAnsi="Arial" w:cs="Arial"/>
                <w:color w:val="000000" w:themeColor="text1"/>
                <w:sz w:val="22"/>
              </w:rPr>
              <w:t>–</w:t>
            </w:r>
            <w:r w:rsidRPr="00E5029D">
              <w:rPr>
                <w:rFonts w:ascii="Arial" w:eastAsia="Calibri" w:hAnsi="Arial" w:cs="Arial"/>
                <w:color w:val="000000" w:themeColor="text1"/>
                <w:sz w:val="22"/>
              </w:rPr>
              <w:t xml:space="preserve"> Vigencia de la garantía</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Pr="00E5029D">
              <w:rPr>
                <w:rFonts w:ascii="Arial" w:eastAsia="Calibri" w:hAnsi="Arial" w:cs="Arial"/>
                <w:color w:val="000000" w:themeColor="text1"/>
                <w:sz w:val="22"/>
              </w:rPr>
              <w:t>FACTOR DE CALIDAD – Cuadrilla</w:t>
            </w:r>
            <w:r w:rsidR="00F03A88">
              <w:rPr>
                <w:rFonts w:ascii="Arial" w:eastAsia="Calibri" w:hAnsi="Arial" w:cs="Arial"/>
                <w:color w:val="000000" w:themeColor="text1"/>
                <w:sz w:val="22"/>
              </w:rPr>
              <w:t>s</w:t>
            </w:r>
            <w:r w:rsidRPr="00E5029D">
              <w:rPr>
                <w:rFonts w:ascii="Arial" w:eastAsia="Calibri" w:hAnsi="Arial" w:cs="Arial"/>
                <w:color w:val="000000" w:themeColor="text1"/>
                <w:sz w:val="22"/>
              </w:rPr>
              <w:t xml:space="preserve"> de trabajo adicional – Alcance</w:t>
            </w:r>
            <w:r w:rsidR="00B9572C">
              <w:rPr>
                <w:rFonts w:ascii="Arial" w:eastAsia="Calibri" w:hAnsi="Arial" w:cs="Arial"/>
                <w:color w:val="000000" w:themeColor="text1"/>
                <w:sz w:val="22"/>
              </w:rPr>
              <w:t xml:space="preserve"> </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41CD6723"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0100E8" w:rsidRPr="000100E8">
              <w:rPr>
                <w:rFonts w:ascii="Arial" w:eastAsia="Calibri" w:hAnsi="Arial" w:cs="Arial"/>
                <w:color w:val="000000" w:themeColor="text1"/>
                <w:sz w:val="22"/>
              </w:rPr>
              <w:t>4202012000004993</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06248123" w14:textId="77777777" w:rsidR="00BE1E33" w:rsidRPr="006C15D5" w:rsidRDefault="00BE1E33" w:rsidP="00BE1E33">
      <w:pPr>
        <w:jc w:val="both"/>
        <w:rPr>
          <w:rFonts w:ascii="Arial" w:eastAsia="Calibri" w:hAnsi="Arial" w:cs="Arial"/>
          <w:color w:val="000000" w:themeColor="text1"/>
          <w:sz w:val="22"/>
        </w:rPr>
      </w:pPr>
    </w:p>
    <w:p w14:paraId="417ABDA8" w14:textId="5BEAC951"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9C27A9">
        <w:rPr>
          <w:rFonts w:ascii="Arial" w:eastAsia="Calibri" w:hAnsi="Arial" w:cs="Arial"/>
          <w:color w:val="000000" w:themeColor="text1"/>
          <w:sz w:val="22"/>
        </w:rPr>
        <w:t xml:space="preserve">o </w:t>
      </w:r>
      <w:r w:rsidRPr="006C15D5">
        <w:rPr>
          <w:rFonts w:ascii="Arial" w:eastAsia="Calibri" w:hAnsi="Arial" w:cs="Arial"/>
          <w:color w:val="000000" w:themeColor="text1"/>
          <w:sz w:val="22"/>
        </w:rPr>
        <w:t xml:space="preserve">señor </w:t>
      </w:r>
      <w:r w:rsidR="00FC1567">
        <w:rPr>
          <w:rFonts w:ascii="Arial" w:eastAsia="Calibri" w:hAnsi="Arial" w:cs="Arial"/>
          <w:color w:val="000000" w:themeColor="text1"/>
          <w:sz w:val="22"/>
        </w:rPr>
        <w:t>Correa</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6F6BA6B5"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FC1567">
        <w:rPr>
          <w:rFonts w:ascii="Arial" w:eastAsia="Calibri" w:hAnsi="Arial" w:cs="Arial"/>
          <w:color w:val="000000" w:themeColor="text1"/>
          <w:sz w:val="22"/>
        </w:rPr>
        <w:t>12 de junio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33FF5823" w14:textId="48DB4F1F" w:rsidR="00185441" w:rsidRDefault="00C07B5E" w:rsidP="00FC1567">
      <w:pPr>
        <w:tabs>
          <w:tab w:val="left" w:pos="426"/>
        </w:tabs>
        <w:spacing w:line="276" w:lineRule="auto"/>
        <w:jc w:val="both"/>
        <w:rPr>
          <w:rFonts w:ascii="Arial" w:eastAsia="Calibri" w:hAnsi="Arial" w:cs="Arial"/>
          <w:color w:val="000000" w:themeColor="text1"/>
          <w:sz w:val="22"/>
        </w:rPr>
      </w:pPr>
      <w:bookmarkStart w:id="2" w:name="_Hlk41142281"/>
      <w:bookmarkStart w:id="3" w:name="_Hlk41043439"/>
      <w:r>
        <w:rPr>
          <w:rFonts w:ascii="Arial" w:eastAsia="Calibri" w:hAnsi="Arial" w:cs="Arial"/>
          <w:color w:val="000000" w:themeColor="text1"/>
          <w:sz w:val="22"/>
        </w:rPr>
        <w:t>U</w:t>
      </w:r>
      <w:r w:rsidR="00EA62F1">
        <w:rPr>
          <w:rFonts w:ascii="Arial" w:eastAsia="Calibri" w:hAnsi="Arial" w:cs="Arial"/>
          <w:color w:val="000000" w:themeColor="text1"/>
          <w:sz w:val="22"/>
        </w:rPr>
        <w:t>sted realiza la</w:t>
      </w:r>
      <w:r w:rsidR="00FC1567">
        <w:rPr>
          <w:rFonts w:ascii="Arial" w:eastAsia="Calibri" w:hAnsi="Arial" w:cs="Arial"/>
          <w:color w:val="000000" w:themeColor="text1"/>
          <w:sz w:val="22"/>
        </w:rPr>
        <w:t>s</w:t>
      </w:r>
      <w:r w:rsidR="00EA62F1">
        <w:rPr>
          <w:rFonts w:ascii="Arial" w:eastAsia="Calibri" w:hAnsi="Arial" w:cs="Arial"/>
          <w:color w:val="000000" w:themeColor="text1"/>
          <w:sz w:val="22"/>
        </w:rPr>
        <w:t xml:space="preserve"> siguiente</w:t>
      </w:r>
      <w:r w:rsidR="00FC1567">
        <w:rPr>
          <w:rFonts w:ascii="Arial" w:eastAsia="Calibri" w:hAnsi="Arial" w:cs="Arial"/>
          <w:color w:val="000000" w:themeColor="text1"/>
          <w:sz w:val="22"/>
        </w:rPr>
        <w:t>s</w:t>
      </w:r>
      <w:r w:rsidR="00EA62F1">
        <w:rPr>
          <w:rFonts w:ascii="Arial" w:eastAsia="Calibri" w:hAnsi="Arial" w:cs="Arial"/>
          <w:color w:val="000000" w:themeColor="text1"/>
          <w:sz w:val="22"/>
        </w:rPr>
        <w:t xml:space="preserve"> pregunta</w:t>
      </w:r>
      <w:r w:rsidR="00FC1567">
        <w:rPr>
          <w:rFonts w:ascii="Arial" w:eastAsia="Calibri" w:hAnsi="Arial" w:cs="Arial"/>
          <w:color w:val="000000" w:themeColor="text1"/>
          <w:sz w:val="22"/>
        </w:rPr>
        <w:t>s</w:t>
      </w:r>
      <w:r w:rsidR="00EA62F1">
        <w:rPr>
          <w:rFonts w:ascii="Arial" w:eastAsia="Calibri" w:hAnsi="Arial" w:cs="Arial"/>
          <w:color w:val="000000" w:themeColor="text1"/>
          <w:sz w:val="22"/>
        </w:rPr>
        <w:t xml:space="preserve">: </w:t>
      </w:r>
      <w:bookmarkStart w:id="4" w:name="_Hlk44070514"/>
      <w:bookmarkStart w:id="5" w:name="_Hlk43798498"/>
      <w:bookmarkEnd w:id="2"/>
      <w:bookmarkEnd w:id="3"/>
      <w:r w:rsidR="00FC1567">
        <w:rPr>
          <w:rFonts w:ascii="Arial" w:eastAsia="Calibri" w:hAnsi="Arial" w:cs="Arial"/>
          <w:color w:val="000000" w:themeColor="text1"/>
          <w:sz w:val="22"/>
        </w:rPr>
        <w:t>i) «¿L</w:t>
      </w:r>
      <w:r w:rsidR="00FC1567" w:rsidRPr="00FC1567">
        <w:rPr>
          <w:rFonts w:ascii="Arial" w:eastAsia="Calibri" w:hAnsi="Arial" w:cs="Arial"/>
          <w:color w:val="000000" w:themeColor="text1"/>
          <w:sz w:val="22"/>
        </w:rPr>
        <w:t>a póliza de seriedad de la oferta debe estar vigente para el día de la</w:t>
      </w:r>
      <w:r w:rsidR="00FC1567">
        <w:rPr>
          <w:rFonts w:ascii="Arial" w:eastAsia="Calibri" w:hAnsi="Arial" w:cs="Arial"/>
          <w:color w:val="000000" w:themeColor="text1"/>
          <w:sz w:val="22"/>
        </w:rPr>
        <w:t xml:space="preserve"> </w:t>
      </w:r>
      <w:r w:rsidR="00FC1567" w:rsidRPr="00FC1567">
        <w:rPr>
          <w:rFonts w:ascii="Arial" w:eastAsia="Calibri" w:hAnsi="Arial" w:cs="Arial"/>
          <w:color w:val="000000" w:themeColor="text1"/>
          <w:sz w:val="22"/>
        </w:rPr>
        <w:t xml:space="preserve">audiencia de </w:t>
      </w:r>
      <w:r w:rsidR="00FC1567">
        <w:rPr>
          <w:rFonts w:ascii="Arial" w:eastAsia="Calibri" w:hAnsi="Arial" w:cs="Arial"/>
          <w:color w:val="000000" w:themeColor="text1"/>
          <w:sz w:val="22"/>
        </w:rPr>
        <w:t>adjudicación</w:t>
      </w:r>
      <w:r w:rsidR="00FC1567" w:rsidRPr="00FC1567">
        <w:rPr>
          <w:rFonts w:ascii="Arial" w:eastAsia="Calibri" w:hAnsi="Arial" w:cs="Arial"/>
          <w:color w:val="000000" w:themeColor="text1"/>
          <w:sz w:val="22"/>
        </w:rPr>
        <w:t>?</w:t>
      </w:r>
      <w:r w:rsidR="00456D35">
        <w:rPr>
          <w:rFonts w:ascii="Arial" w:eastAsia="Calibri" w:hAnsi="Arial" w:cs="Arial"/>
          <w:color w:val="000000" w:themeColor="text1"/>
          <w:sz w:val="22"/>
        </w:rPr>
        <w:t>»</w:t>
      </w:r>
      <w:bookmarkEnd w:id="4"/>
      <w:r w:rsidR="00FC1567">
        <w:rPr>
          <w:rFonts w:ascii="Arial" w:eastAsia="Calibri" w:hAnsi="Arial" w:cs="Arial"/>
          <w:color w:val="000000" w:themeColor="text1"/>
          <w:sz w:val="22"/>
        </w:rPr>
        <w:t xml:space="preserve">, </w:t>
      </w:r>
      <w:bookmarkStart w:id="6" w:name="_Hlk44074598"/>
      <w:proofErr w:type="spellStart"/>
      <w:r w:rsidR="00FC1567">
        <w:rPr>
          <w:rFonts w:ascii="Arial" w:eastAsia="Calibri" w:hAnsi="Arial" w:cs="Arial"/>
          <w:color w:val="000000" w:themeColor="text1"/>
          <w:sz w:val="22"/>
        </w:rPr>
        <w:t>ii</w:t>
      </w:r>
      <w:proofErr w:type="spellEnd"/>
      <w:r w:rsidR="00FC1567">
        <w:rPr>
          <w:rFonts w:ascii="Arial" w:eastAsia="Calibri" w:hAnsi="Arial" w:cs="Arial"/>
          <w:color w:val="000000" w:themeColor="text1"/>
          <w:sz w:val="22"/>
        </w:rPr>
        <w:t>) «¿E</w:t>
      </w:r>
      <w:r w:rsidR="00FC1567" w:rsidRPr="00FC1567">
        <w:rPr>
          <w:rFonts w:ascii="Arial" w:eastAsia="Calibri" w:hAnsi="Arial" w:cs="Arial"/>
          <w:color w:val="000000" w:themeColor="text1"/>
          <w:sz w:val="22"/>
        </w:rPr>
        <w:t>l número de cuadrillas para acceder al puntaje los debe aportar la entidad</w:t>
      </w:r>
      <w:r w:rsidR="00FC1567">
        <w:rPr>
          <w:rFonts w:ascii="Arial" w:eastAsia="Calibri" w:hAnsi="Arial" w:cs="Arial"/>
          <w:color w:val="000000" w:themeColor="text1"/>
          <w:sz w:val="22"/>
        </w:rPr>
        <w:t xml:space="preserve"> </w:t>
      </w:r>
      <w:r w:rsidR="00FC1567" w:rsidRPr="00FC1567">
        <w:rPr>
          <w:rFonts w:ascii="Arial" w:eastAsia="Calibri" w:hAnsi="Arial" w:cs="Arial"/>
          <w:color w:val="000000" w:themeColor="text1"/>
          <w:sz w:val="22"/>
        </w:rPr>
        <w:t>contratante?</w:t>
      </w:r>
      <w:r w:rsidR="00FC1567">
        <w:rPr>
          <w:rFonts w:ascii="Arial" w:eastAsia="Calibri" w:hAnsi="Arial" w:cs="Arial"/>
          <w:color w:val="000000" w:themeColor="text1"/>
          <w:sz w:val="22"/>
        </w:rPr>
        <w:t>»</w:t>
      </w:r>
      <w:bookmarkEnd w:id="6"/>
      <w:r w:rsidR="00FC1567">
        <w:rPr>
          <w:rFonts w:ascii="Arial" w:eastAsia="Calibri" w:hAnsi="Arial" w:cs="Arial"/>
          <w:color w:val="000000" w:themeColor="text1"/>
          <w:sz w:val="22"/>
        </w:rPr>
        <w:t xml:space="preserve"> y </w:t>
      </w:r>
      <w:proofErr w:type="spellStart"/>
      <w:r w:rsidR="00FC1567">
        <w:rPr>
          <w:rFonts w:ascii="Arial" w:eastAsia="Calibri" w:hAnsi="Arial" w:cs="Arial"/>
          <w:color w:val="000000" w:themeColor="text1"/>
          <w:sz w:val="22"/>
        </w:rPr>
        <w:t>iii</w:t>
      </w:r>
      <w:proofErr w:type="spellEnd"/>
      <w:r w:rsidR="00FC1567">
        <w:rPr>
          <w:rFonts w:ascii="Arial" w:eastAsia="Calibri" w:hAnsi="Arial" w:cs="Arial"/>
          <w:color w:val="000000" w:themeColor="text1"/>
          <w:sz w:val="22"/>
        </w:rPr>
        <w:t xml:space="preserve">) </w:t>
      </w:r>
      <w:bookmarkStart w:id="7" w:name="_Hlk44075260"/>
      <w:r w:rsidR="00FC1567">
        <w:rPr>
          <w:rFonts w:ascii="Arial" w:eastAsia="Calibri" w:hAnsi="Arial" w:cs="Arial"/>
          <w:color w:val="000000" w:themeColor="text1"/>
          <w:sz w:val="22"/>
        </w:rPr>
        <w:t>«¿U</w:t>
      </w:r>
      <w:r w:rsidR="00FC1567" w:rsidRPr="00FC1567">
        <w:rPr>
          <w:rFonts w:ascii="Arial" w:eastAsia="Calibri" w:hAnsi="Arial" w:cs="Arial"/>
          <w:color w:val="000000" w:themeColor="text1"/>
          <w:sz w:val="22"/>
        </w:rPr>
        <w:t>n oferente puede perder el puntaje como mayor número de cuadrillas al</w:t>
      </w:r>
      <w:r w:rsidR="00FC1567">
        <w:rPr>
          <w:rFonts w:ascii="Arial" w:eastAsia="Calibri" w:hAnsi="Arial" w:cs="Arial"/>
          <w:color w:val="000000" w:themeColor="text1"/>
          <w:sz w:val="22"/>
        </w:rPr>
        <w:t xml:space="preserve"> </w:t>
      </w:r>
      <w:r w:rsidR="00FC1567" w:rsidRPr="00FC1567">
        <w:rPr>
          <w:rFonts w:ascii="Arial" w:eastAsia="Calibri" w:hAnsi="Arial" w:cs="Arial"/>
          <w:color w:val="000000" w:themeColor="text1"/>
          <w:sz w:val="22"/>
        </w:rPr>
        <w:t>ofrecer un número exorbitante?</w:t>
      </w:r>
      <w:r w:rsidR="00FC1567">
        <w:rPr>
          <w:rFonts w:ascii="Arial" w:eastAsia="Calibri" w:hAnsi="Arial" w:cs="Arial"/>
          <w:color w:val="000000" w:themeColor="text1"/>
          <w:sz w:val="22"/>
        </w:rPr>
        <w:t>»</w:t>
      </w:r>
      <w:bookmarkEnd w:id="7"/>
      <w:r w:rsidR="00FC1567">
        <w:rPr>
          <w:rFonts w:ascii="Arial" w:eastAsia="Calibri" w:hAnsi="Arial" w:cs="Arial"/>
          <w:color w:val="000000" w:themeColor="text1"/>
          <w:sz w:val="22"/>
        </w:rPr>
        <w:t>.</w:t>
      </w:r>
      <w:r w:rsidR="00FC1567" w:rsidRPr="006C15D5">
        <w:rPr>
          <w:rFonts w:ascii="Arial" w:eastAsia="Calibri" w:hAnsi="Arial" w:cs="Arial"/>
          <w:color w:val="000000" w:themeColor="text1"/>
          <w:sz w:val="22"/>
        </w:rPr>
        <w:t xml:space="preserve"> </w:t>
      </w:r>
      <w:bookmarkEnd w:id="5"/>
    </w:p>
    <w:p w14:paraId="1EBED483" w14:textId="77777777" w:rsidR="00185441" w:rsidRPr="006C15D5" w:rsidRDefault="00185441"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391F1ACD" w14:textId="7E8A6720" w:rsidR="00491F16" w:rsidRDefault="00491F16" w:rsidP="00491F16">
      <w:pPr>
        <w:spacing w:line="276" w:lineRule="auto"/>
        <w:jc w:val="both"/>
        <w:rPr>
          <w:rFonts w:ascii="Arial" w:eastAsia="Calibri" w:hAnsi="Arial" w:cs="Arial"/>
          <w:color w:val="000000" w:themeColor="text1"/>
          <w:sz w:val="22"/>
        </w:rPr>
      </w:pPr>
    </w:p>
    <w:p w14:paraId="4BE34C86" w14:textId="19DE82B9" w:rsidR="00FC1567" w:rsidRDefault="00FC1567" w:rsidP="00FC1567">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responder las preguntas planteadas, se analizará </w:t>
      </w:r>
      <w:r w:rsidR="002A2A80">
        <w:rPr>
          <w:rFonts w:ascii="Arial" w:eastAsia="Calibri" w:hAnsi="Arial" w:cs="Arial"/>
          <w:color w:val="000000" w:themeColor="text1"/>
          <w:sz w:val="22"/>
        </w:rPr>
        <w:t xml:space="preserve">tanto </w:t>
      </w:r>
      <w:r>
        <w:rPr>
          <w:rFonts w:ascii="Arial" w:eastAsia="Calibri" w:hAnsi="Arial" w:cs="Arial"/>
          <w:color w:val="000000" w:themeColor="text1"/>
          <w:sz w:val="22"/>
        </w:rPr>
        <w:t>el régimen jurídico de la garantía de seriedad de la oferta</w:t>
      </w:r>
      <w:r w:rsidR="002A2A80">
        <w:rPr>
          <w:rFonts w:ascii="Arial" w:eastAsia="Calibri" w:hAnsi="Arial" w:cs="Arial"/>
          <w:color w:val="000000" w:themeColor="text1"/>
          <w:sz w:val="22"/>
        </w:rPr>
        <w:t xml:space="preserve"> como las características </w:t>
      </w:r>
      <w:r w:rsidR="00F03A88">
        <w:rPr>
          <w:rFonts w:ascii="Arial" w:eastAsia="Calibri" w:hAnsi="Arial" w:cs="Arial"/>
          <w:color w:val="000000" w:themeColor="text1"/>
          <w:sz w:val="22"/>
        </w:rPr>
        <w:t xml:space="preserve">del factor de calidad </w:t>
      </w:r>
      <w:r w:rsidR="002A2A80">
        <w:rPr>
          <w:rFonts w:ascii="Arial" w:eastAsia="Calibri" w:hAnsi="Arial" w:cs="Arial"/>
          <w:color w:val="000000" w:themeColor="text1"/>
          <w:sz w:val="22"/>
        </w:rPr>
        <w:t>cuadrillas</w:t>
      </w:r>
      <w:r w:rsidR="00F03A88">
        <w:rPr>
          <w:rFonts w:ascii="Arial" w:eastAsia="Calibri" w:hAnsi="Arial" w:cs="Arial"/>
          <w:color w:val="000000" w:themeColor="text1"/>
          <w:sz w:val="22"/>
        </w:rPr>
        <w:t xml:space="preserve"> de trabajo</w:t>
      </w:r>
      <w:r w:rsidR="002A2A80">
        <w:rPr>
          <w:rFonts w:ascii="Arial" w:eastAsia="Calibri" w:hAnsi="Arial" w:cs="Arial"/>
          <w:color w:val="000000" w:themeColor="text1"/>
          <w:sz w:val="22"/>
        </w:rPr>
        <w:t xml:space="preserve"> adicional en los documentos tipo.</w:t>
      </w:r>
      <w:r>
        <w:rPr>
          <w:rFonts w:ascii="Arial" w:eastAsia="Calibri" w:hAnsi="Arial" w:cs="Arial"/>
          <w:color w:val="000000" w:themeColor="text1"/>
          <w:sz w:val="22"/>
        </w:rPr>
        <w:t xml:space="preserve"> </w:t>
      </w:r>
    </w:p>
    <w:p w14:paraId="69FB8772" w14:textId="0E91C1F9" w:rsidR="00FC1567" w:rsidRDefault="00FC1567" w:rsidP="00FC1567">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Recientemente esta Subdirección expidió el Concepto C-</w:t>
      </w:r>
      <w:r w:rsidR="002A2A80">
        <w:rPr>
          <w:rFonts w:ascii="Arial" w:eastAsia="Calibri" w:hAnsi="Arial" w:cs="Arial"/>
          <w:color w:val="000000" w:themeColor="text1"/>
          <w:sz w:val="22"/>
        </w:rPr>
        <w:t>229</w:t>
      </w:r>
      <w:r>
        <w:rPr>
          <w:rFonts w:ascii="Arial" w:eastAsia="Calibri" w:hAnsi="Arial" w:cs="Arial"/>
          <w:color w:val="000000" w:themeColor="text1"/>
          <w:sz w:val="22"/>
        </w:rPr>
        <w:t xml:space="preserve"> del </w:t>
      </w:r>
      <w:r w:rsidR="002A2A80">
        <w:rPr>
          <w:rFonts w:ascii="Arial" w:eastAsia="Calibri" w:hAnsi="Arial" w:cs="Arial"/>
          <w:color w:val="000000" w:themeColor="text1"/>
          <w:sz w:val="22"/>
        </w:rPr>
        <w:t>16 de abril</w:t>
      </w:r>
      <w:r>
        <w:rPr>
          <w:rFonts w:ascii="Arial" w:eastAsia="Calibri" w:hAnsi="Arial" w:cs="Arial"/>
          <w:color w:val="000000" w:themeColor="text1"/>
          <w:sz w:val="22"/>
        </w:rPr>
        <w:t xml:space="preserve"> de 2020, donde se explicó que </w:t>
      </w:r>
      <w:r w:rsidR="002A2A80">
        <w:rPr>
          <w:rFonts w:ascii="Arial" w:eastAsia="Calibri" w:hAnsi="Arial" w:cs="Arial"/>
          <w:color w:val="000000" w:themeColor="text1"/>
          <w:sz w:val="22"/>
        </w:rPr>
        <w:t>la garantía de seriedad tiene una</w:t>
      </w:r>
      <w:r w:rsidR="002A2A80" w:rsidRPr="002A2A80">
        <w:rPr>
          <w:rFonts w:ascii="Arial" w:eastAsia="Calibri" w:hAnsi="Arial" w:cs="Arial"/>
          <w:color w:val="000000" w:themeColor="text1"/>
          <w:sz w:val="22"/>
        </w:rPr>
        <w:t xml:space="preserve"> vigencia interrumpida de tres (3) meses contados a partir de la fecha de cierre del pro</w:t>
      </w:r>
      <w:r w:rsidR="002A2A80">
        <w:rPr>
          <w:rFonts w:ascii="Arial" w:eastAsia="Calibri" w:hAnsi="Arial" w:cs="Arial"/>
          <w:color w:val="000000" w:themeColor="text1"/>
          <w:sz w:val="22"/>
        </w:rPr>
        <w:t>cedimiento</w:t>
      </w:r>
      <w:r w:rsidR="002A2A80" w:rsidRPr="002A2A80">
        <w:rPr>
          <w:rFonts w:ascii="Arial" w:eastAsia="Calibri" w:hAnsi="Arial" w:cs="Arial"/>
          <w:color w:val="000000" w:themeColor="text1"/>
          <w:sz w:val="22"/>
        </w:rPr>
        <w:t xml:space="preserve"> de </w:t>
      </w:r>
      <w:r w:rsidR="002A2A80">
        <w:rPr>
          <w:rFonts w:ascii="Arial" w:eastAsia="Calibri" w:hAnsi="Arial" w:cs="Arial"/>
          <w:color w:val="000000" w:themeColor="text1"/>
          <w:sz w:val="22"/>
        </w:rPr>
        <w:t>selección</w:t>
      </w:r>
      <w:r>
        <w:rPr>
          <w:rFonts w:ascii="Arial" w:eastAsia="Calibri" w:hAnsi="Arial" w:cs="Arial"/>
          <w:color w:val="000000" w:themeColor="text1"/>
          <w:sz w:val="22"/>
        </w:rPr>
        <w:t>.</w:t>
      </w:r>
      <w:r w:rsidR="002A2A80">
        <w:rPr>
          <w:rFonts w:ascii="Arial" w:eastAsia="Calibri" w:hAnsi="Arial" w:cs="Arial"/>
          <w:color w:val="000000" w:themeColor="text1"/>
          <w:sz w:val="22"/>
        </w:rPr>
        <w:t xml:space="preserve"> Además, mediante los Conceptos </w:t>
      </w:r>
      <w:r w:rsidR="00F03A88">
        <w:rPr>
          <w:rFonts w:ascii="Arial" w:eastAsia="Calibri" w:hAnsi="Arial" w:cs="Arial"/>
          <w:color w:val="000000" w:themeColor="text1"/>
          <w:sz w:val="22"/>
        </w:rPr>
        <w:t xml:space="preserve">C-294 del 18 de mayo de 2020; </w:t>
      </w:r>
      <w:r w:rsidR="002A2A80">
        <w:rPr>
          <w:rFonts w:ascii="Arial" w:eastAsia="Calibri" w:hAnsi="Arial" w:cs="Arial"/>
          <w:color w:val="000000" w:themeColor="text1"/>
          <w:sz w:val="22"/>
        </w:rPr>
        <w:t>C-276 y C-277 del 26 de mayo de 2020</w:t>
      </w:r>
      <w:r w:rsidR="00F03A88">
        <w:rPr>
          <w:rFonts w:ascii="Arial" w:eastAsia="Calibri" w:hAnsi="Arial" w:cs="Arial"/>
          <w:color w:val="000000" w:themeColor="text1"/>
          <w:sz w:val="22"/>
        </w:rPr>
        <w:t xml:space="preserve">; </w:t>
      </w:r>
      <w:r w:rsidR="00F03A88" w:rsidRPr="00C12D44">
        <w:rPr>
          <w:rFonts w:ascii="Arial" w:eastAsia="Calibri" w:hAnsi="Arial" w:cs="Arial"/>
          <w:bCs/>
          <w:sz w:val="22"/>
        </w:rPr>
        <w:t>C–380 y C–381 del 1 de junio de 2020</w:t>
      </w:r>
      <w:r w:rsidR="00F03A88">
        <w:rPr>
          <w:rFonts w:ascii="Arial" w:eastAsia="Calibri" w:hAnsi="Arial" w:cs="Arial"/>
          <w:bCs/>
          <w:sz w:val="22"/>
        </w:rPr>
        <w:t>; y C</w:t>
      </w:r>
      <w:r w:rsidR="002F4CEA">
        <w:rPr>
          <w:rFonts w:ascii="Arial" w:eastAsia="Calibri" w:hAnsi="Arial" w:cs="Arial"/>
          <w:bCs/>
          <w:sz w:val="22"/>
        </w:rPr>
        <w:t>-404 del 12 de junio de 2020</w:t>
      </w:r>
      <w:r w:rsidR="00887A55">
        <w:rPr>
          <w:rFonts w:ascii="Arial" w:eastAsia="Calibri" w:hAnsi="Arial" w:cs="Arial"/>
          <w:color w:val="000000" w:themeColor="text1"/>
          <w:sz w:val="22"/>
        </w:rPr>
        <w:t xml:space="preserve"> la Agencia explicó que</w:t>
      </w:r>
      <w:r w:rsidR="00887AE5">
        <w:rPr>
          <w:rFonts w:ascii="Arial" w:eastAsia="Calibri" w:hAnsi="Arial" w:cs="Arial"/>
          <w:color w:val="000000" w:themeColor="text1"/>
          <w:sz w:val="22"/>
        </w:rPr>
        <w:t xml:space="preserve"> los proponentes son autónomos para</w:t>
      </w:r>
      <w:r w:rsidR="00887AE5" w:rsidRPr="00887AE5">
        <w:rPr>
          <w:rFonts w:ascii="Arial" w:eastAsia="Calibri" w:hAnsi="Arial" w:cs="Arial"/>
          <w:color w:val="000000" w:themeColor="text1"/>
          <w:sz w:val="22"/>
        </w:rPr>
        <w:t xml:space="preserve"> ofrecer el número de cuadrillas de trabajo adicional</w:t>
      </w:r>
      <w:r w:rsidR="00A304BE">
        <w:rPr>
          <w:rFonts w:ascii="Arial" w:eastAsia="Calibri" w:hAnsi="Arial" w:cs="Arial"/>
          <w:color w:val="000000" w:themeColor="text1"/>
          <w:sz w:val="22"/>
        </w:rPr>
        <w:t xml:space="preserve"> que consideren pertinentes</w:t>
      </w:r>
      <w:r w:rsidR="00887AE5">
        <w:rPr>
          <w:rFonts w:ascii="Arial" w:eastAsia="Calibri" w:hAnsi="Arial" w:cs="Arial"/>
          <w:color w:val="000000" w:themeColor="text1"/>
          <w:sz w:val="22"/>
        </w:rPr>
        <w:t xml:space="preserve">, pues los documentos tipo </w:t>
      </w:r>
      <w:r w:rsidR="00A304BE">
        <w:rPr>
          <w:rFonts w:ascii="Arial" w:eastAsia="Calibri" w:hAnsi="Arial" w:cs="Arial"/>
          <w:color w:val="000000" w:themeColor="text1"/>
          <w:sz w:val="22"/>
        </w:rPr>
        <w:t xml:space="preserve">no contienen limitaciones sobre este </w:t>
      </w:r>
      <w:r w:rsidR="00F03A88">
        <w:rPr>
          <w:rFonts w:ascii="Arial" w:eastAsia="Calibri" w:hAnsi="Arial" w:cs="Arial"/>
          <w:color w:val="000000" w:themeColor="text1"/>
          <w:sz w:val="22"/>
        </w:rPr>
        <w:t>aspecto</w:t>
      </w:r>
      <w:r w:rsidR="00887AE5">
        <w:rPr>
          <w:rFonts w:ascii="Arial" w:eastAsia="Calibri" w:hAnsi="Arial" w:cs="Arial"/>
          <w:color w:val="000000" w:themeColor="text1"/>
          <w:sz w:val="22"/>
        </w:rPr>
        <w:t xml:space="preserve">. </w:t>
      </w:r>
      <w:r>
        <w:rPr>
          <w:rFonts w:ascii="Arial" w:eastAsia="Calibri" w:hAnsi="Arial" w:cs="Arial"/>
          <w:color w:val="000000" w:themeColor="text1"/>
          <w:sz w:val="22"/>
        </w:rPr>
        <w:t>La tesis propuesta en est</w:t>
      </w:r>
      <w:r w:rsidR="00887AE5">
        <w:rPr>
          <w:rFonts w:ascii="Arial" w:eastAsia="Calibri" w:hAnsi="Arial" w:cs="Arial"/>
          <w:color w:val="000000" w:themeColor="text1"/>
          <w:sz w:val="22"/>
        </w:rPr>
        <w:t>os</w:t>
      </w:r>
      <w:r>
        <w:rPr>
          <w:rFonts w:ascii="Arial" w:eastAsia="Calibri" w:hAnsi="Arial" w:cs="Arial"/>
          <w:color w:val="000000" w:themeColor="text1"/>
          <w:sz w:val="22"/>
        </w:rPr>
        <w:t xml:space="preserve"> concepto</w:t>
      </w:r>
      <w:r w:rsidR="00887AE5">
        <w:rPr>
          <w:rFonts w:ascii="Arial" w:eastAsia="Calibri" w:hAnsi="Arial" w:cs="Arial"/>
          <w:color w:val="000000" w:themeColor="text1"/>
          <w:sz w:val="22"/>
        </w:rPr>
        <w:t>s</w:t>
      </w:r>
      <w:r>
        <w:rPr>
          <w:rFonts w:ascii="Arial" w:eastAsia="Calibri" w:hAnsi="Arial" w:cs="Arial"/>
          <w:color w:val="000000" w:themeColor="text1"/>
          <w:sz w:val="22"/>
        </w:rPr>
        <w:t xml:space="preserve"> se expone a continuación: </w:t>
      </w:r>
    </w:p>
    <w:p w14:paraId="7188074A" w14:textId="77777777" w:rsidR="00FC1567" w:rsidRDefault="00FC1567" w:rsidP="00FC1567">
      <w:pPr>
        <w:spacing w:line="276" w:lineRule="auto"/>
        <w:jc w:val="both"/>
        <w:rPr>
          <w:rFonts w:ascii="Arial" w:eastAsia="Calibri" w:hAnsi="Arial" w:cs="Arial"/>
          <w:color w:val="000000" w:themeColor="text1"/>
          <w:sz w:val="22"/>
        </w:rPr>
      </w:pPr>
    </w:p>
    <w:p w14:paraId="0A8C8AC9" w14:textId="3FCF8C6E" w:rsidR="00FC1567" w:rsidRDefault="00FC1567" w:rsidP="00FC1567">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2.1. </w:t>
      </w:r>
      <w:r w:rsidR="003D0E7D" w:rsidRPr="003D0E7D">
        <w:rPr>
          <w:rFonts w:ascii="Arial" w:eastAsia="Calibri" w:hAnsi="Arial" w:cs="Arial"/>
          <w:b/>
          <w:bCs/>
          <w:color w:val="000000" w:themeColor="text1"/>
          <w:sz w:val="22"/>
        </w:rPr>
        <w:t>Vigencia de la garantía de seriedad de la oferta</w:t>
      </w:r>
    </w:p>
    <w:p w14:paraId="1EA322F9" w14:textId="07FA26F9" w:rsidR="00FC1567" w:rsidRDefault="00FC1567" w:rsidP="00491F16">
      <w:pPr>
        <w:spacing w:line="276" w:lineRule="auto"/>
        <w:jc w:val="both"/>
        <w:rPr>
          <w:rFonts w:ascii="Arial" w:eastAsia="Calibri" w:hAnsi="Arial" w:cs="Arial"/>
          <w:color w:val="000000" w:themeColor="text1"/>
          <w:sz w:val="22"/>
        </w:rPr>
      </w:pPr>
    </w:p>
    <w:p w14:paraId="7C78FE4F" w14:textId="71BB9983" w:rsidR="00887AE5" w:rsidRPr="00887AE5" w:rsidRDefault="00A304BE" w:rsidP="00887AE5">
      <w:pPr>
        <w:spacing w:after="120" w:line="276" w:lineRule="auto"/>
        <w:jc w:val="both"/>
        <w:rPr>
          <w:rFonts w:ascii="Arial" w:eastAsia="Calibri" w:hAnsi="Arial" w:cs="Arial"/>
          <w:sz w:val="22"/>
          <w:lang w:val="es-ES_tradnl"/>
        </w:rPr>
      </w:pPr>
      <w:r>
        <w:rPr>
          <w:rFonts w:ascii="Arial" w:eastAsia="Calibri" w:hAnsi="Arial" w:cs="Arial"/>
          <w:sz w:val="22"/>
          <w:lang w:val="es-ES_tradnl"/>
        </w:rPr>
        <w:t>E</w:t>
      </w:r>
      <w:r w:rsidRPr="00A304BE">
        <w:rPr>
          <w:rFonts w:ascii="Arial" w:eastAsia="Calibri" w:hAnsi="Arial" w:cs="Arial"/>
          <w:sz w:val="22"/>
          <w:lang w:val="es-ES_tradnl"/>
        </w:rPr>
        <w:t>n concordancia con los artículos 2.2.1.2.3.1.6 y 2.2.1.2.3.1.9 del Decreto 1082 de 2015</w:t>
      </w:r>
      <w:r>
        <w:rPr>
          <w:rFonts w:ascii="Arial" w:eastAsia="Calibri" w:hAnsi="Arial" w:cs="Arial"/>
          <w:sz w:val="22"/>
          <w:lang w:val="es-ES_tradnl"/>
        </w:rPr>
        <w:t xml:space="preserve">, </w:t>
      </w:r>
      <w:r w:rsidR="00D11186">
        <w:rPr>
          <w:rFonts w:ascii="Arial" w:eastAsia="Calibri" w:hAnsi="Arial" w:cs="Arial"/>
          <w:sz w:val="22"/>
          <w:lang w:val="es-ES_tradnl"/>
        </w:rPr>
        <w:t>el numeral 7.1 de los pliegos tipo para licitación pública –versiones 1 y 2– y para selección abreviada de menor cuantía, así como e</w:t>
      </w:r>
      <w:r w:rsidR="002F4CEA">
        <w:rPr>
          <w:rFonts w:ascii="Arial" w:eastAsia="Calibri" w:hAnsi="Arial" w:cs="Arial"/>
          <w:sz w:val="22"/>
          <w:lang w:val="es-ES_tradnl"/>
        </w:rPr>
        <w:t>l</w:t>
      </w:r>
      <w:r w:rsidR="00D11186">
        <w:rPr>
          <w:rFonts w:ascii="Arial" w:eastAsia="Calibri" w:hAnsi="Arial" w:cs="Arial"/>
          <w:sz w:val="22"/>
          <w:lang w:val="es-ES_tradnl"/>
        </w:rPr>
        <w:t xml:space="preserve"> numeral 7.1 de la invitación de mínima cuantía, </w:t>
      </w:r>
      <w:r>
        <w:rPr>
          <w:rFonts w:ascii="Arial" w:eastAsia="Calibri" w:hAnsi="Arial" w:cs="Arial"/>
          <w:sz w:val="22"/>
          <w:lang w:val="es-ES_tradnl"/>
        </w:rPr>
        <w:t xml:space="preserve"> </w:t>
      </w:r>
      <w:r w:rsidR="00D11186" w:rsidRPr="00887AE5">
        <w:rPr>
          <w:rFonts w:ascii="Arial" w:eastAsia="Calibri" w:hAnsi="Arial" w:cs="Arial"/>
          <w:sz w:val="22"/>
          <w:lang w:val="es-ES_tradnl"/>
        </w:rPr>
        <w:t>establece</w:t>
      </w:r>
      <w:r w:rsidR="002F4CEA">
        <w:rPr>
          <w:rFonts w:ascii="Arial" w:eastAsia="Calibri" w:hAnsi="Arial" w:cs="Arial"/>
          <w:sz w:val="22"/>
          <w:lang w:val="es-ES_tradnl"/>
        </w:rPr>
        <w:t>n</w:t>
      </w:r>
      <w:r w:rsidR="00D11186" w:rsidRPr="00887AE5">
        <w:rPr>
          <w:rFonts w:ascii="Arial" w:eastAsia="Calibri" w:hAnsi="Arial" w:cs="Arial"/>
          <w:sz w:val="22"/>
          <w:lang w:val="es-ES_tradnl"/>
        </w:rPr>
        <w:t xml:space="preserve"> las condiciones que debe cumplir la garantía de seriedad de la oferta</w:t>
      </w:r>
      <w:r w:rsidR="00D11186">
        <w:rPr>
          <w:rFonts w:ascii="Arial" w:eastAsia="Calibri" w:hAnsi="Arial" w:cs="Arial"/>
          <w:sz w:val="22"/>
          <w:lang w:val="es-ES_tradnl"/>
        </w:rPr>
        <w:t xml:space="preserve"> en los procedimientos que tengan por objeto </w:t>
      </w:r>
      <w:r w:rsidR="002F4CEA">
        <w:rPr>
          <w:rFonts w:ascii="Arial" w:eastAsia="Calibri" w:hAnsi="Arial" w:cs="Arial"/>
          <w:sz w:val="22"/>
          <w:lang w:val="es-ES_tradnl"/>
        </w:rPr>
        <w:t>celebrar</w:t>
      </w:r>
      <w:r w:rsidR="00D11186">
        <w:rPr>
          <w:rFonts w:ascii="Arial" w:eastAsia="Calibri" w:hAnsi="Arial" w:cs="Arial"/>
          <w:sz w:val="22"/>
          <w:lang w:val="es-ES_tradnl"/>
        </w:rPr>
        <w:t xml:space="preserve"> contratos de obra </w:t>
      </w:r>
      <w:r w:rsidR="009A38E4">
        <w:rPr>
          <w:rFonts w:ascii="Arial" w:eastAsia="Calibri" w:hAnsi="Arial" w:cs="Arial"/>
          <w:sz w:val="22"/>
          <w:lang w:val="es-ES_tradnl"/>
        </w:rPr>
        <w:t xml:space="preserve">pública </w:t>
      </w:r>
      <w:r w:rsidR="00D11186">
        <w:rPr>
          <w:rFonts w:ascii="Arial" w:eastAsia="Calibri" w:hAnsi="Arial" w:cs="Arial"/>
          <w:sz w:val="22"/>
          <w:lang w:val="es-ES_tradnl"/>
        </w:rPr>
        <w:t>de infraestructura</w:t>
      </w:r>
      <w:r w:rsidR="009A38E4">
        <w:rPr>
          <w:rFonts w:ascii="Arial" w:eastAsia="Calibri" w:hAnsi="Arial" w:cs="Arial"/>
          <w:sz w:val="22"/>
          <w:lang w:val="es-ES_tradnl"/>
        </w:rPr>
        <w:t xml:space="preserve"> </w:t>
      </w:r>
      <w:r w:rsidR="009A38E4">
        <w:rPr>
          <w:rFonts w:ascii="Arial" w:eastAsia="Calibri" w:hAnsi="Arial" w:cs="Arial"/>
          <w:sz w:val="22"/>
          <w:lang w:val="es-ES_tradnl"/>
        </w:rPr>
        <w:lastRenderedPageBreak/>
        <w:t>de transporte</w:t>
      </w:r>
      <w:r w:rsidR="00D11186" w:rsidRPr="00887AE5">
        <w:rPr>
          <w:rStyle w:val="Refdenotaalpie"/>
          <w:rFonts w:ascii="Arial" w:eastAsia="Calibri" w:hAnsi="Arial" w:cs="Arial"/>
          <w:sz w:val="22"/>
          <w:lang w:val="es-ES_tradnl"/>
        </w:rPr>
        <w:footnoteReference w:id="1"/>
      </w:r>
      <w:r w:rsidR="00887AE5" w:rsidRPr="00887AE5">
        <w:rPr>
          <w:rFonts w:ascii="Arial" w:eastAsia="Calibri" w:hAnsi="Arial" w:cs="Arial"/>
          <w:sz w:val="22"/>
          <w:lang w:val="es-ES_tradnl"/>
        </w:rPr>
        <w:t xml:space="preserve">. Esta puede otorgarse a través de: i) contrato de seguro contenido en una póliza, </w:t>
      </w:r>
      <w:proofErr w:type="spellStart"/>
      <w:r w:rsidR="00887AE5" w:rsidRPr="00887AE5">
        <w:rPr>
          <w:rFonts w:ascii="Arial" w:eastAsia="Calibri" w:hAnsi="Arial" w:cs="Arial"/>
          <w:sz w:val="22"/>
          <w:lang w:val="es-ES_tradnl"/>
        </w:rPr>
        <w:t>ii</w:t>
      </w:r>
      <w:proofErr w:type="spellEnd"/>
      <w:r w:rsidR="00887AE5" w:rsidRPr="00887AE5">
        <w:rPr>
          <w:rFonts w:ascii="Arial" w:eastAsia="Calibri" w:hAnsi="Arial" w:cs="Arial"/>
          <w:sz w:val="22"/>
          <w:lang w:val="es-ES_tradnl"/>
        </w:rPr>
        <w:t xml:space="preserve">) patrimonio autónomo, o </w:t>
      </w:r>
      <w:proofErr w:type="spellStart"/>
      <w:r w:rsidR="00887AE5" w:rsidRPr="00887AE5">
        <w:rPr>
          <w:rFonts w:ascii="Arial" w:eastAsia="Calibri" w:hAnsi="Arial" w:cs="Arial"/>
          <w:sz w:val="22"/>
          <w:lang w:val="es-ES_tradnl"/>
        </w:rPr>
        <w:t>iii</w:t>
      </w:r>
      <w:proofErr w:type="spellEnd"/>
      <w:r w:rsidR="00887AE5" w:rsidRPr="00887AE5">
        <w:rPr>
          <w:rFonts w:ascii="Arial" w:eastAsia="Calibri" w:hAnsi="Arial" w:cs="Arial"/>
          <w:sz w:val="22"/>
          <w:lang w:val="es-ES_tradnl"/>
        </w:rPr>
        <w:t>) garantía bancaria. Allí se indica que el proponente debe presentar con la propuesta una garantía que cumpla con los parámetros, condiciones y requisitos señalados en ese numeral y no solicita que se aporten documentos adicionales como el recibo de pago de la prima. Lo anterior se justifica, por cuanto el artículo 7 de la Ley 1150 de 2007 establece que «[…] tratándose de pólizas, las mismas no expirarán por falta de pago de la prima o por revocatoria unilateral […]». Esta norma es una excepción a la terminación automática del contrato de seguro por falta de pago prevista en el artículo 1068 del Código de Comercio</w:t>
      </w:r>
      <w:r w:rsidR="00887AE5" w:rsidRPr="00887AE5">
        <w:rPr>
          <w:rStyle w:val="Refdenotaalpie"/>
          <w:rFonts w:ascii="Arial" w:eastAsia="Calibri" w:hAnsi="Arial" w:cs="Arial"/>
          <w:sz w:val="22"/>
          <w:lang w:val="es-ES_tradnl"/>
        </w:rPr>
        <w:footnoteReference w:id="2"/>
      </w:r>
      <w:r w:rsidR="00887AE5" w:rsidRPr="00887AE5">
        <w:rPr>
          <w:rFonts w:ascii="Arial" w:eastAsia="Calibri" w:hAnsi="Arial" w:cs="Arial"/>
          <w:sz w:val="22"/>
          <w:lang w:val="es-ES_tradnl"/>
        </w:rPr>
        <w:t>.</w:t>
      </w:r>
    </w:p>
    <w:p w14:paraId="299D373F" w14:textId="325618F4" w:rsidR="00887AE5" w:rsidRDefault="00887AE5" w:rsidP="00887AE5">
      <w:pPr>
        <w:spacing w:line="276" w:lineRule="auto"/>
        <w:jc w:val="both"/>
        <w:rPr>
          <w:rFonts w:ascii="Arial" w:eastAsia="Calibri" w:hAnsi="Arial" w:cs="Arial"/>
          <w:sz w:val="22"/>
          <w:lang w:val="es-ES_tradnl"/>
        </w:rPr>
      </w:pPr>
      <w:r w:rsidRPr="00887AE5">
        <w:rPr>
          <w:rFonts w:ascii="Arial" w:eastAsia="Calibri" w:hAnsi="Arial" w:cs="Arial"/>
          <w:sz w:val="22"/>
          <w:lang w:val="es-ES_tradnl"/>
        </w:rPr>
        <w:lastRenderedPageBreak/>
        <w:tab/>
      </w:r>
      <w:r w:rsidRPr="000856FB">
        <w:rPr>
          <w:rFonts w:ascii="Arial" w:eastAsia="Calibri" w:hAnsi="Arial" w:cs="Arial"/>
          <w:sz w:val="22"/>
          <w:lang w:val="es-ES_tradnl"/>
        </w:rPr>
        <w:t>Esta garantía es una manifestación de la irrevocabilidad de la oferta, caso en el cual los proponentes que carezcan de interés en la adjudicación deben resarcir los perjuicios causados por su retiro del proceso de selección, máxime cuando se busca la continua y eficiente prestación de los servicios públicos</w:t>
      </w:r>
      <w:r w:rsidR="00D11186" w:rsidRPr="000856FB">
        <w:rPr>
          <w:rStyle w:val="Refdenotaalpie"/>
          <w:rFonts w:ascii="Arial" w:eastAsia="Calibri" w:hAnsi="Arial" w:cs="Arial"/>
          <w:sz w:val="22"/>
          <w:lang w:val="es-ES_tradnl"/>
        </w:rPr>
        <w:footnoteReference w:id="3"/>
      </w:r>
      <w:r w:rsidRPr="000856FB">
        <w:rPr>
          <w:rFonts w:ascii="Arial" w:eastAsia="Calibri" w:hAnsi="Arial" w:cs="Arial"/>
          <w:sz w:val="22"/>
          <w:lang w:val="es-ES_tradnl"/>
        </w:rPr>
        <w:t>.</w:t>
      </w:r>
      <w:r w:rsidRPr="00887AE5">
        <w:rPr>
          <w:rFonts w:ascii="Arial" w:eastAsia="Calibri" w:hAnsi="Arial" w:cs="Arial"/>
          <w:sz w:val="22"/>
          <w:lang w:val="es-ES_tradnl"/>
        </w:rPr>
        <w:t xml:space="preserve"> Naturalmente, solo la constituyen quienes presenten ofertas; motivo por el cual sus efectos no se extienden a personas ajenas a la actividad contractual. Lo anterior, sin perjuicio de que la póliza sea un mecanismo conminatorio, en la medida que obliga a celebra</w:t>
      </w:r>
      <w:r w:rsidR="00586D1E">
        <w:rPr>
          <w:rFonts w:ascii="Arial" w:eastAsia="Calibri" w:hAnsi="Arial" w:cs="Arial"/>
          <w:sz w:val="22"/>
          <w:lang w:val="es-ES_tradnl"/>
        </w:rPr>
        <w:t>r</w:t>
      </w:r>
      <w:r w:rsidRPr="00887AE5">
        <w:rPr>
          <w:rFonts w:ascii="Arial" w:eastAsia="Calibri" w:hAnsi="Arial" w:cs="Arial"/>
          <w:sz w:val="22"/>
          <w:lang w:val="es-ES_tradnl"/>
        </w:rPr>
        <w:t xml:space="preserve"> el contrato, so pena de hacerla efectiva. </w:t>
      </w:r>
      <w:r w:rsidR="000856FB">
        <w:rPr>
          <w:rFonts w:ascii="Arial" w:eastAsia="Calibri" w:hAnsi="Arial" w:cs="Arial"/>
          <w:sz w:val="22"/>
          <w:lang w:val="es-ES_tradnl"/>
        </w:rPr>
        <w:t xml:space="preserve">Además, es posible hacerla efectiva en los supuestos establecidos en el artículo </w:t>
      </w:r>
      <w:r w:rsidR="000856FB" w:rsidRPr="000856FB">
        <w:rPr>
          <w:rFonts w:ascii="Arial" w:eastAsia="Calibri" w:hAnsi="Arial" w:cs="Arial"/>
          <w:sz w:val="22"/>
          <w:lang w:val="es-ES_tradnl"/>
        </w:rPr>
        <w:t>2.2.1.2.3.1.6.</w:t>
      </w:r>
      <w:r w:rsidR="000856FB">
        <w:rPr>
          <w:rFonts w:ascii="Arial" w:eastAsia="Calibri" w:hAnsi="Arial" w:cs="Arial"/>
          <w:sz w:val="22"/>
          <w:lang w:val="es-ES_tradnl"/>
        </w:rPr>
        <w:t xml:space="preserve"> del Decreto 1082 de 2015, incluso aunque la ocurrencia de los riesgos asegurados no genere perjuicios a la entidad, por lo que basta con la materialización de dichos eventos. </w:t>
      </w:r>
      <w:r w:rsidRPr="00887AE5">
        <w:rPr>
          <w:rFonts w:ascii="Arial" w:eastAsia="Calibri" w:hAnsi="Arial" w:cs="Arial"/>
          <w:sz w:val="22"/>
          <w:lang w:val="es-ES_tradnl"/>
        </w:rPr>
        <w:t>De esta manera, la exigencia permite que solo se presenten personas con la capacidad técnica y financiera suficiente para ejecutarlo en caso de adjudicación, desincentivando la presentación de ofertas carentes de seriedad, cuyo estudio entorpecería la buena marcha de la Administración y, en especial, la celeridad y eficiencia de los procesos contractuales</w:t>
      </w:r>
      <w:r w:rsidRPr="00887AE5">
        <w:rPr>
          <w:rStyle w:val="Refdenotaalpie"/>
          <w:rFonts w:ascii="Arial" w:eastAsia="Calibri" w:hAnsi="Arial" w:cs="Arial"/>
          <w:sz w:val="22"/>
          <w:lang w:val="es-ES_tradnl"/>
        </w:rPr>
        <w:footnoteReference w:id="4"/>
      </w:r>
      <w:r w:rsidRPr="00887AE5">
        <w:rPr>
          <w:rFonts w:ascii="Arial" w:eastAsia="Calibri" w:hAnsi="Arial" w:cs="Arial"/>
          <w:sz w:val="22"/>
          <w:lang w:val="es-ES_tradnl"/>
        </w:rPr>
        <w:t>. Sobre este aspecto, la doctrina explica que:</w:t>
      </w:r>
    </w:p>
    <w:p w14:paraId="3873B92F" w14:textId="77777777" w:rsidR="00887AE5" w:rsidRPr="00887AE5" w:rsidRDefault="00887AE5" w:rsidP="00887AE5">
      <w:pPr>
        <w:spacing w:line="276" w:lineRule="auto"/>
        <w:jc w:val="both"/>
        <w:rPr>
          <w:rFonts w:ascii="Arial" w:eastAsia="Calibri" w:hAnsi="Arial" w:cs="Arial"/>
          <w:sz w:val="22"/>
          <w:lang w:val="es-ES_tradnl"/>
        </w:rPr>
      </w:pPr>
    </w:p>
    <w:p w14:paraId="18E54D9B" w14:textId="34F92872" w:rsidR="00887AE5" w:rsidRPr="00887AE5" w:rsidRDefault="00887AE5" w:rsidP="00887AE5">
      <w:pPr>
        <w:ind w:left="709" w:right="709"/>
        <w:jc w:val="both"/>
        <w:rPr>
          <w:rFonts w:ascii="Arial" w:eastAsia="Calibri" w:hAnsi="Arial" w:cs="Arial"/>
          <w:sz w:val="21"/>
          <w:szCs w:val="21"/>
          <w:lang w:val="es-ES_tradnl"/>
        </w:rPr>
      </w:pPr>
      <w:r w:rsidRPr="00887AE5">
        <w:rPr>
          <w:rFonts w:ascii="Arial" w:eastAsia="Calibri" w:hAnsi="Arial" w:cs="Arial"/>
          <w:sz w:val="21"/>
          <w:szCs w:val="21"/>
          <w:lang w:val="es-ES_tradnl"/>
        </w:rPr>
        <w:t xml:space="preserve">Las </w:t>
      </w:r>
      <w:r w:rsidRPr="00887AE5">
        <w:rPr>
          <w:rFonts w:ascii="Arial" w:eastAsia="Calibri" w:hAnsi="Arial" w:cs="Arial"/>
          <w:i/>
          <w:iCs/>
          <w:sz w:val="21"/>
          <w:szCs w:val="21"/>
          <w:lang w:val="es-ES_tradnl"/>
        </w:rPr>
        <w:t>garantías provisionales</w:t>
      </w:r>
      <w:r w:rsidRPr="00887AE5">
        <w:rPr>
          <w:rFonts w:ascii="Arial" w:eastAsia="Calibri" w:hAnsi="Arial" w:cs="Arial"/>
          <w:sz w:val="21"/>
          <w:szCs w:val="21"/>
          <w:lang w:val="es-ES_tradnl"/>
        </w:rPr>
        <w:t xml:space="preserve"> </w:t>
      </w:r>
      <w:r w:rsidR="009A38E4">
        <w:rPr>
          <w:rFonts w:ascii="Arial" w:eastAsia="Calibri" w:hAnsi="Arial" w:cs="Arial"/>
          <w:sz w:val="21"/>
          <w:szCs w:val="21"/>
          <w:lang w:val="es-ES_tradnl"/>
        </w:rPr>
        <w:t>«</w:t>
      </w:r>
      <w:r w:rsidRPr="00887AE5">
        <w:rPr>
          <w:rFonts w:ascii="Arial" w:eastAsia="Calibri" w:hAnsi="Arial" w:cs="Arial"/>
          <w:sz w:val="21"/>
          <w:szCs w:val="21"/>
          <w:lang w:val="es-ES_tradnl"/>
        </w:rPr>
        <w:t>avalan la solemnidad de la oferta por parte del contratista</w:t>
      </w:r>
      <w:r w:rsidR="009A38E4">
        <w:rPr>
          <w:rFonts w:ascii="Arial" w:eastAsia="Calibri" w:hAnsi="Arial" w:cs="Arial"/>
          <w:sz w:val="21"/>
          <w:szCs w:val="21"/>
          <w:lang w:val="es-ES_tradnl"/>
        </w:rPr>
        <w:t>»</w:t>
      </w:r>
      <w:r w:rsidRPr="00887AE5">
        <w:rPr>
          <w:rFonts w:ascii="Arial" w:eastAsia="Calibri" w:hAnsi="Arial" w:cs="Arial"/>
          <w:sz w:val="21"/>
          <w:szCs w:val="21"/>
          <w:lang w:val="es-ES_tradnl"/>
        </w:rPr>
        <w:t xml:space="preserve">; constituyen una seña </w:t>
      </w:r>
      <w:proofErr w:type="spellStart"/>
      <w:proofErr w:type="gramStart"/>
      <w:r w:rsidRPr="00887AE5">
        <w:rPr>
          <w:rFonts w:ascii="Arial" w:eastAsia="Calibri" w:hAnsi="Arial" w:cs="Arial"/>
          <w:sz w:val="21"/>
          <w:szCs w:val="21"/>
          <w:lang w:val="es-ES_tradnl"/>
        </w:rPr>
        <w:t>pre-contractual</w:t>
      </w:r>
      <w:proofErr w:type="spellEnd"/>
      <w:proofErr w:type="gramEnd"/>
      <w:r w:rsidRPr="00887AE5">
        <w:rPr>
          <w:rFonts w:ascii="Arial" w:eastAsia="Calibri" w:hAnsi="Arial" w:cs="Arial"/>
          <w:sz w:val="21"/>
          <w:szCs w:val="21"/>
          <w:lang w:val="es-ES_tradnl"/>
        </w:rPr>
        <w:t xml:space="preserve"> destinada a </w:t>
      </w:r>
      <w:r w:rsidRPr="00887AE5">
        <w:rPr>
          <w:rFonts w:ascii="Arial" w:eastAsia="Calibri" w:hAnsi="Arial" w:cs="Arial"/>
          <w:i/>
          <w:iCs/>
          <w:sz w:val="21"/>
          <w:szCs w:val="21"/>
          <w:lang w:val="es-ES_tradnl"/>
        </w:rPr>
        <w:t>asegurar la celebración del contrato</w:t>
      </w:r>
      <w:r w:rsidRPr="00887AE5">
        <w:rPr>
          <w:rFonts w:ascii="Arial" w:eastAsia="Calibri" w:hAnsi="Arial" w:cs="Arial"/>
          <w:sz w:val="21"/>
          <w:szCs w:val="21"/>
          <w:lang w:val="es-ES_tradnl"/>
        </w:rPr>
        <w:t xml:space="preserve">, no su cumplimiento. La administración procede a devolver a los oferentes no adjudicatarios, y a transformar en definitiva respecto al adjudicatario, las garantías provisionales, deduciéndose entonces que las </w:t>
      </w:r>
      <w:r w:rsidRPr="00887AE5">
        <w:rPr>
          <w:rFonts w:ascii="Arial" w:eastAsia="Calibri" w:hAnsi="Arial" w:cs="Arial"/>
          <w:i/>
          <w:iCs/>
          <w:sz w:val="21"/>
          <w:szCs w:val="21"/>
          <w:lang w:val="es-ES_tradnl"/>
        </w:rPr>
        <w:t>arras</w:t>
      </w:r>
      <w:r w:rsidRPr="00887AE5">
        <w:rPr>
          <w:rFonts w:ascii="Arial" w:eastAsia="Calibri" w:hAnsi="Arial" w:cs="Arial"/>
          <w:sz w:val="21"/>
          <w:szCs w:val="21"/>
          <w:lang w:val="es-ES_tradnl"/>
        </w:rPr>
        <w:t xml:space="preserve"> no forman parte del precio, ni son por tanto arras confirmatorias […], sino puramente penitenciales […] como garantías y compensación del </w:t>
      </w:r>
      <w:r w:rsidRPr="00887AE5">
        <w:rPr>
          <w:rFonts w:ascii="Arial" w:eastAsia="Calibri" w:hAnsi="Arial" w:cs="Arial"/>
          <w:i/>
          <w:iCs/>
          <w:sz w:val="21"/>
          <w:szCs w:val="21"/>
          <w:lang w:val="es-ES_tradnl"/>
        </w:rPr>
        <w:t xml:space="preserve">ius </w:t>
      </w:r>
      <w:proofErr w:type="spellStart"/>
      <w:r w:rsidRPr="00887AE5">
        <w:rPr>
          <w:rFonts w:ascii="Arial" w:eastAsia="Calibri" w:hAnsi="Arial" w:cs="Arial"/>
          <w:i/>
          <w:iCs/>
          <w:sz w:val="21"/>
          <w:szCs w:val="21"/>
          <w:lang w:val="es-ES_tradnl"/>
        </w:rPr>
        <w:t>poenitendi</w:t>
      </w:r>
      <w:proofErr w:type="spellEnd"/>
      <w:r w:rsidRPr="00887AE5">
        <w:rPr>
          <w:rFonts w:ascii="Arial" w:eastAsia="Calibri" w:hAnsi="Arial" w:cs="Arial"/>
          <w:sz w:val="21"/>
          <w:szCs w:val="21"/>
          <w:lang w:val="es-ES_tradnl"/>
        </w:rPr>
        <w:t xml:space="preserve"> del licitante. Son, en consecuencia, </w:t>
      </w:r>
      <w:r w:rsidR="00586D1E">
        <w:rPr>
          <w:rFonts w:ascii="Arial" w:eastAsia="Calibri" w:hAnsi="Arial" w:cs="Arial"/>
          <w:sz w:val="21"/>
          <w:szCs w:val="21"/>
          <w:lang w:val="es-ES_tradnl"/>
        </w:rPr>
        <w:t>«</w:t>
      </w:r>
      <w:r w:rsidRPr="00887AE5">
        <w:rPr>
          <w:rFonts w:ascii="Arial" w:eastAsia="Calibri" w:hAnsi="Arial" w:cs="Arial"/>
          <w:sz w:val="21"/>
          <w:szCs w:val="21"/>
          <w:lang w:val="es-ES_tradnl"/>
        </w:rPr>
        <w:t xml:space="preserve">la medida de la responsabilidad </w:t>
      </w:r>
      <w:proofErr w:type="spellStart"/>
      <w:proofErr w:type="gramStart"/>
      <w:r w:rsidRPr="00887AE5">
        <w:rPr>
          <w:rFonts w:ascii="Arial" w:eastAsia="Calibri" w:hAnsi="Arial" w:cs="Arial"/>
          <w:sz w:val="21"/>
          <w:szCs w:val="21"/>
          <w:lang w:val="es-ES_tradnl"/>
        </w:rPr>
        <w:t>pre-contractual</w:t>
      </w:r>
      <w:proofErr w:type="spellEnd"/>
      <w:proofErr w:type="gramEnd"/>
      <w:r w:rsidRPr="00887AE5">
        <w:rPr>
          <w:rFonts w:ascii="Arial" w:eastAsia="Calibri" w:hAnsi="Arial" w:cs="Arial"/>
          <w:sz w:val="21"/>
          <w:szCs w:val="21"/>
          <w:lang w:val="es-ES_tradnl"/>
        </w:rPr>
        <w:t xml:space="preserve"> del oferente</w:t>
      </w:r>
      <w:r w:rsidR="00586D1E">
        <w:rPr>
          <w:rFonts w:ascii="Arial" w:eastAsia="Calibri" w:hAnsi="Arial" w:cs="Arial"/>
          <w:sz w:val="21"/>
          <w:szCs w:val="21"/>
          <w:lang w:val="es-ES_tradnl"/>
        </w:rPr>
        <w:t>»</w:t>
      </w:r>
      <w:r w:rsidRPr="00887AE5">
        <w:rPr>
          <w:rFonts w:ascii="Arial" w:eastAsia="Calibri" w:hAnsi="Arial" w:cs="Arial"/>
          <w:sz w:val="21"/>
          <w:szCs w:val="21"/>
          <w:lang w:val="es-ES_tradnl"/>
        </w:rPr>
        <w:t>; o, más bien, la garantía de oferta representa en definitiva la medida de la responsabilidad</w:t>
      </w:r>
      <w:r w:rsidRPr="00887AE5">
        <w:rPr>
          <w:rStyle w:val="Refdenotaalpie"/>
          <w:rFonts w:ascii="Arial" w:eastAsia="Calibri" w:hAnsi="Arial" w:cs="Arial"/>
          <w:sz w:val="21"/>
          <w:szCs w:val="21"/>
          <w:lang w:val="es-ES_tradnl"/>
        </w:rPr>
        <w:footnoteReference w:id="5"/>
      </w:r>
      <w:r w:rsidRPr="00887AE5">
        <w:rPr>
          <w:rFonts w:ascii="Arial" w:eastAsia="Calibri" w:hAnsi="Arial" w:cs="Arial"/>
          <w:sz w:val="21"/>
          <w:szCs w:val="21"/>
          <w:lang w:val="es-ES_tradnl"/>
        </w:rPr>
        <w:t xml:space="preserve">. (Cursivas dentro del texto)   </w:t>
      </w:r>
    </w:p>
    <w:p w14:paraId="2FDEE822" w14:textId="77777777" w:rsidR="00887AE5" w:rsidRPr="00887AE5" w:rsidRDefault="00887AE5" w:rsidP="00887AE5">
      <w:pPr>
        <w:spacing w:line="276" w:lineRule="auto"/>
        <w:jc w:val="both"/>
        <w:rPr>
          <w:rFonts w:ascii="Arial" w:eastAsia="Calibri" w:hAnsi="Arial" w:cs="Arial"/>
          <w:sz w:val="22"/>
          <w:lang w:val="es-ES_tradnl"/>
        </w:rPr>
      </w:pPr>
    </w:p>
    <w:p w14:paraId="157C3C5E" w14:textId="4E49AA7C" w:rsidR="00887AE5" w:rsidRPr="00887AE5" w:rsidRDefault="00887AE5" w:rsidP="00887AE5">
      <w:pPr>
        <w:spacing w:after="120" w:line="276" w:lineRule="auto"/>
        <w:ind w:firstLine="709"/>
        <w:jc w:val="both"/>
        <w:rPr>
          <w:rFonts w:ascii="Arial" w:eastAsia="Calibri" w:hAnsi="Arial" w:cs="Arial"/>
          <w:sz w:val="22"/>
          <w:lang w:val="es-ES_tradnl"/>
        </w:rPr>
      </w:pPr>
      <w:bookmarkStart w:id="9" w:name="_Hlk36669819"/>
      <w:bookmarkStart w:id="10" w:name="_Hlk36672441"/>
      <w:r w:rsidRPr="00887AE5">
        <w:rPr>
          <w:rFonts w:ascii="Arial" w:eastAsia="Calibri" w:hAnsi="Arial" w:cs="Arial"/>
          <w:sz w:val="22"/>
          <w:lang w:val="es-ES_tradnl"/>
        </w:rPr>
        <w:t>So pena de rechazo, la garantía se entrega simultáneamente con los demás documentos de la propuesta</w:t>
      </w:r>
      <w:r w:rsidR="00E72ACE">
        <w:rPr>
          <w:rStyle w:val="Refdenotaalpie"/>
          <w:rFonts w:ascii="Arial" w:eastAsia="Calibri" w:hAnsi="Arial" w:cs="Arial"/>
          <w:sz w:val="22"/>
          <w:lang w:val="es-ES_tradnl"/>
        </w:rPr>
        <w:footnoteReference w:id="6"/>
      </w:r>
      <w:r w:rsidRPr="00887AE5">
        <w:rPr>
          <w:rFonts w:ascii="Arial" w:eastAsia="Calibri" w:hAnsi="Arial" w:cs="Arial"/>
          <w:sz w:val="22"/>
          <w:lang w:val="es-ES_tradnl"/>
        </w:rPr>
        <w:t xml:space="preserve">. En lo que respecta a la extensión, el </w:t>
      </w:r>
      <w:r w:rsidR="00B861DA">
        <w:rPr>
          <w:rFonts w:ascii="Arial" w:eastAsia="Calibri" w:hAnsi="Arial" w:cs="Arial"/>
          <w:sz w:val="22"/>
          <w:lang w:val="es-ES_tradnl"/>
        </w:rPr>
        <w:t xml:space="preserve">citado </w:t>
      </w:r>
      <w:r w:rsidRPr="00887AE5">
        <w:rPr>
          <w:rFonts w:ascii="Arial" w:eastAsia="Calibri" w:hAnsi="Arial" w:cs="Arial"/>
          <w:sz w:val="22"/>
          <w:lang w:val="es-ES_tradnl"/>
        </w:rPr>
        <w:t xml:space="preserve">numeral 7.1 </w:t>
      </w:r>
      <w:r w:rsidR="00B861DA">
        <w:rPr>
          <w:rFonts w:ascii="Arial" w:eastAsia="Calibri" w:hAnsi="Arial" w:cs="Arial"/>
          <w:sz w:val="22"/>
          <w:lang w:val="es-ES_tradnl"/>
        </w:rPr>
        <w:t>de los pliegos y la invitación</w:t>
      </w:r>
      <w:r w:rsidRPr="00887AE5">
        <w:rPr>
          <w:rFonts w:ascii="Arial" w:eastAsia="Calibri" w:hAnsi="Arial" w:cs="Arial"/>
          <w:sz w:val="22"/>
          <w:lang w:val="es-ES_tradnl"/>
        </w:rPr>
        <w:t xml:space="preserve"> dispone que tendrá una vigencia de tres (3) meses contados a </w:t>
      </w:r>
      <w:r w:rsidRPr="00887AE5">
        <w:rPr>
          <w:rFonts w:ascii="Arial" w:eastAsia="Calibri" w:hAnsi="Arial" w:cs="Arial"/>
          <w:sz w:val="22"/>
          <w:lang w:val="es-ES_tradnl"/>
        </w:rPr>
        <w:lastRenderedPageBreak/>
        <w:t xml:space="preserve">partir de la fecha de cierre </w:t>
      </w:r>
      <w:bookmarkEnd w:id="9"/>
      <w:r w:rsidR="00B861DA">
        <w:rPr>
          <w:rFonts w:ascii="Arial" w:eastAsia="Calibri" w:hAnsi="Arial" w:cs="Arial"/>
          <w:sz w:val="22"/>
          <w:lang w:val="es-ES_tradnl"/>
        </w:rPr>
        <w:t>de</w:t>
      </w:r>
      <w:r w:rsidR="005352A5">
        <w:rPr>
          <w:rFonts w:ascii="Arial" w:eastAsia="Calibri" w:hAnsi="Arial" w:cs="Arial"/>
          <w:sz w:val="22"/>
          <w:lang w:val="es-ES_tradnl"/>
        </w:rPr>
        <w:t>l</w:t>
      </w:r>
      <w:r w:rsidR="00B861DA">
        <w:rPr>
          <w:rFonts w:ascii="Arial" w:eastAsia="Calibri" w:hAnsi="Arial" w:cs="Arial"/>
          <w:sz w:val="22"/>
          <w:lang w:val="es-ES_tradnl"/>
        </w:rPr>
        <w:t xml:space="preserve"> procedimiento de selección</w:t>
      </w:r>
      <w:r w:rsidRPr="00887AE5">
        <w:rPr>
          <w:rFonts w:ascii="Arial" w:eastAsia="Calibri" w:hAnsi="Arial" w:cs="Arial"/>
          <w:sz w:val="22"/>
          <w:lang w:val="es-ES_tradnl"/>
        </w:rPr>
        <w:t>. Naturalmente, se trata de un plazo ininterrumpido, pues es indivisible en su término y monto</w:t>
      </w:r>
      <w:r w:rsidRPr="00887AE5">
        <w:rPr>
          <w:rStyle w:val="Refdenotaalpie"/>
          <w:rFonts w:ascii="Arial" w:eastAsia="Calibri" w:hAnsi="Arial" w:cs="Arial"/>
          <w:sz w:val="22"/>
          <w:lang w:val="es-ES_tradnl"/>
        </w:rPr>
        <w:footnoteReference w:id="7"/>
      </w:r>
      <w:r w:rsidRPr="00887AE5">
        <w:rPr>
          <w:rFonts w:ascii="Arial" w:eastAsia="Calibri" w:hAnsi="Arial" w:cs="Arial"/>
          <w:sz w:val="22"/>
          <w:lang w:val="es-ES_tradnl"/>
        </w:rPr>
        <w:t>. Incluso, en la medida que se mantiene vigente durante la eventual suspensión del proceso contractual, el proponente está obligado a extender su vigencia so pena de que la entidad la haga efectiva.</w:t>
      </w:r>
    </w:p>
    <w:p w14:paraId="22B5D8E7" w14:textId="5632D3E0" w:rsidR="00FC1567" w:rsidRDefault="00887AE5" w:rsidP="003D0E7D">
      <w:pPr>
        <w:spacing w:line="276" w:lineRule="auto"/>
        <w:ind w:firstLine="708"/>
        <w:jc w:val="both"/>
        <w:rPr>
          <w:rFonts w:ascii="Arial" w:eastAsia="Calibri" w:hAnsi="Arial" w:cs="Arial"/>
          <w:sz w:val="22"/>
          <w:lang w:val="es-ES_tradnl"/>
        </w:rPr>
      </w:pPr>
      <w:r w:rsidRPr="00887AE5">
        <w:rPr>
          <w:rFonts w:ascii="Arial" w:eastAsia="Calibri" w:hAnsi="Arial" w:cs="Arial"/>
          <w:sz w:val="22"/>
          <w:lang w:val="es-ES_tradnl"/>
        </w:rPr>
        <w:t xml:space="preserve">En este sentido, </w:t>
      </w:r>
      <w:r w:rsidR="00B861DA">
        <w:rPr>
          <w:rFonts w:ascii="Arial" w:eastAsia="Calibri" w:hAnsi="Arial" w:cs="Arial"/>
          <w:sz w:val="22"/>
          <w:lang w:val="es-ES_tradnl"/>
        </w:rPr>
        <w:t>los pliegos y la invitación</w:t>
      </w:r>
      <w:r w:rsidRPr="00887AE5">
        <w:rPr>
          <w:rFonts w:ascii="Arial" w:eastAsia="Calibri" w:hAnsi="Arial" w:cs="Arial"/>
          <w:sz w:val="22"/>
          <w:lang w:val="es-ES_tradnl"/>
        </w:rPr>
        <w:t xml:space="preserve"> dispone</w:t>
      </w:r>
      <w:r w:rsidR="00B861DA">
        <w:rPr>
          <w:rFonts w:ascii="Arial" w:eastAsia="Calibri" w:hAnsi="Arial" w:cs="Arial"/>
          <w:sz w:val="22"/>
          <w:lang w:val="es-ES_tradnl"/>
        </w:rPr>
        <w:t>n</w:t>
      </w:r>
      <w:r w:rsidRPr="00887AE5">
        <w:rPr>
          <w:rFonts w:ascii="Arial" w:eastAsia="Calibri" w:hAnsi="Arial" w:cs="Arial"/>
          <w:sz w:val="22"/>
          <w:lang w:val="es-ES_tradnl"/>
        </w:rPr>
        <w:t xml:space="preserve"> que «Si en desarrollo del proceso de selección se modifica el cronograma, el Proponente deberá ampliar la vigencia de la Garantía de seriedad de la oferta hasta tanto no se haya perfeccionado y cumplido los requisitos de ejecución del respectivo contrato»; razón por la cual, en caso de omitirlo, el precitado numeral 1 del artículo 2.2.1.2.3.1.6 del Decreto 1082 de 2015 dispone la cobertura por concepto de «La no ampliación de la vigencia de la garantía […] cuando el plazo para la adjudicación o para suscribir el contrato es prorrogado, siempre que tal prórroga sea inferior a tres (3) meses».</w:t>
      </w:r>
      <w:bookmarkEnd w:id="10"/>
    </w:p>
    <w:p w14:paraId="65B5B656" w14:textId="0720E9FF" w:rsidR="00A862CB" w:rsidRDefault="00A862CB" w:rsidP="00A862CB">
      <w:pPr>
        <w:spacing w:line="276" w:lineRule="auto"/>
        <w:jc w:val="both"/>
        <w:rPr>
          <w:rFonts w:ascii="Arial" w:eastAsia="Calibri" w:hAnsi="Arial" w:cs="Arial"/>
          <w:sz w:val="22"/>
          <w:lang w:val="es-ES_tradnl"/>
        </w:rPr>
      </w:pPr>
    </w:p>
    <w:p w14:paraId="487E2DD1" w14:textId="32C4A22C" w:rsidR="00A862CB" w:rsidRDefault="00A862CB" w:rsidP="00A862CB">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2.</w:t>
      </w:r>
      <w:r w:rsidR="00444C5D">
        <w:rPr>
          <w:rFonts w:ascii="Arial" w:eastAsia="Calibri" w:hAnsi="Arial" w:cs="Arial"/>
          <w:b/>
          <w:bCs/>
          <w:color w:val="000000" w:themeColor="text1"/>
          <w:sz w:val="22"/>
        </w:rPr>
        <w:t>2</w:t>
      </w:r>
      <w:r>
        <w:rPr>
          <w:rFonts w:ascii="Arial" w:eastAsia="Calibri" w:hAnsi="Arial" w:cs="Arial"/>
          <w:b/>
          <w:bCs/>
          <w:color w:val="000000" w:themeColor="text1"/>
          <w:sz w:val="22"/>
        </w:rPr>
        <w:t xml:space="preserve">. </w:t>
      </w:r>
      <w:r w:rsidR="00312B8F">
        <w:rPr>
          <w:rFonts w:ascii="Arial" w:eastAsia="Calibri" w:hAnsi="Arial" w:cs="Arial"/>
          <w:b/>
          <w:bCs/>
          <w:color w:val="000000" w:themeColor="text1"/>
          <w:sz w:val="22"/>
        </w:rPr>
        <w:t xml:space="preserve">Cuadrillas </w:t>
      </w:r>
      <w:r w:rsidR="008D28AD">
        <w:rPr>
          <w:rFonts w:ascii="Arial" w:eastAsia="Calibri" w:hAnsi="Arial" w:cs="Arial"/>
          <w:b/>
          <w:bCs/>
          <w:color w:val="000000" w:themeColor="text1"/>
          <w:sz w:val="22"/>
        </w:rPr>
        <w:t xml:space="preserve">trabajo </w:t>
      </w:r>
      <w:r w:rsidR="00312B8F">
        <w:rPr>
          <w:rFonts w:ascii="Arial" w:eastAsia="Calibri" w:hAnsi="Arial" w:cs="Arial"/>
          <w:b/>
          <w:bCs/>
          <w:color w:val="000000" w:themeColor="text1"/>
          <w:sz w:val="22"/>
        </w:rPr>
        <w:t>adicional como factor de calidad</w:t>
      </w:r>
      <w:r w:rsidR="008D28AD">
        <w:rPr>
          <w:rFonts w:ascii="Arial" w:eastAsia="Calibri" w:hAnsi="Arial" w:cs="Arial"/>
          <w:b/>
          <w:bCs/>
          <w:color w:val="000000" w:themeColor="text1"/>
          <w:sz w:val="22"/>
        </w:rPr>
        <w:t xml:space="preserve"> en los pliegos tipo de licitación pública – versión 2 y de selección abreviada de menor cuantía</w:t>
      </w:r>
    </w:p>
    <w:p w14:paraId="1853BE8C" w14:textId="5FC1C438" w:rsidR="00312B8F" w:rsidRDefault="00312B8F" w:rsidP="00A862CB">
      <w:pPr>
        <w:spacing w:line="276" w:lineRule="auto"/>
        <w:jc w:val="both"/>
        <w:rPr>
          <w:rFonts w:ascii="Arial" w:eastAsia="Calibri" w:hAnsi="Arial" w:cs="Arial"/>
          <w:b/>
          <w:bCs/>
          <w:color w:val="000000" w:themeColor="text1"/>
          <w:sz w:val="22"/>
        </w:rPr>
      </w:pPr>
    </w:p>
    <w:p w14:paraId="0132B0DB" w14:textId="7F39438A" w:rsidR="008D28AD" w:rsidRPr="008D28AD" w:rsidRDefault="008D28AD" w:rsidP="00CA75F5">
      <w:pPr>
        <w:spacing w:after="120" w:line="276" w:lineRule="auto"/>
        <w:jc w:val="both"/>
        <w:rPr>
          <w:rFonts w:ascii="Arial" w:eastAsia="Calibri" w:hAnsi="Arial" w:cs="Arial"/>
          <w:color w:val="000000" w:themeColor="text1"/>
          <w:sz w:val="22"/>
        </w:rPr>
      </w:pPr>
      <w:r w:rsidRPr="008D28AD">
        <w:rPr>
          <w:rFonts w:ascii="Arial" w:eastAsia="Calibri" w:hAnsi="Arial" w:cs="Arial"/>
          <w:color w:val="000000" w:themeColor="text1"/>
          <w:sz w:val="22"/>
        </w:rPr>
        <w:t xml:space="preserve">En relación con </w:t>
      </w:r>
      <w:r w:rsidR="00463CA6">
        <w:rPr>
          <w:rFonts w:ascii="Arial" w:eastAsia="Calibri" w:hAnsi="Arial" w:cs="Arial"/>
          <w:color w:val="000000" w:themeColor="text1"/>
          <w:sz w:val="22"/>
        </w:rPr>
        <w:t>los factores de calidad</w:t>
      </w:r>
      <w:r w:rsidRPr="008D28AD">
        <w:rPr>
          <w:rFonts w:ascii="Arial" w:eastAsia="Calibri" w:hAnsi="Arial" w:cs="Arial"/>
          <w:color w:val="000000" w:themeColor="text1"/>
          <w:sz w:val="22"/>
        </w:rPr>
        <w:t xml:space="preserve">, los </w:t>
      </w:r>
      <w:r w:rsidR="00CA75F5" w:rsidRPr="008D28AD">
        <w:rPr>
          <w:rFonts w:ascii="Arial" w:eastAsia="Calibri" w:hAnsi="Arial" w:cs="Arial"/>
          <w:color w:val="000000" w:themeColor="text1"/>
          <w:sz w:val="22"/>
        </w:rPr>
        <w:t>documentos tipo</w:t>
      </w:r>
      <w:r w:rsidRPr="008D28AD">
        <w:rPr>
          <w:rFonts w:ascii="Arial" w:eastAsia="Calibri" w:hAnsi="Arial" w:cs="Arial"/>
          <w:color w:val="000000" w:themeColor="text1"/>
          <w:sz w:val="22"/>
        </w:rPr>
        <w:t xml:space="preserve"> conservan los tres (3) factores existentes en la </w:t>
      </w:r>
      <w:r w:rsidR="00CA75F5">
        <w:rPr>
          <w:rFonts w:ascii="Arial" w:eastAsia="Calibri" w:hAnsi="Arial" w:cs="Arial"/>
          <w:color w:val="000000" w:themeColor="text1"/>
          <w:sz w:val="22"/>
        </w:rPr>
        <w:t>v</w:t>
      </w:r>
      <w:r w:rsidRPr="008D28AD">
        <w:rPr>
          <w:rFonts w:ascii="Arial" w:eastAsia="Calibri" w:hAnsi="Arial" w:cs="Arial"/>
          <w:color w:val="000000" w:themeColor="text1"/>
          <w:sz w:val="22"/>
        </w:rPr>
        <w:t>ersión 1 de</w:t>
      </w:r>
      <w:r w:rsidR="00CA75F5">
        <w:rPr>
          <w:rFonts w:ascii="Arial" w:eastAsia="Calibri" w:hAnsi="Arial" w:cs="Arial"/>
          <w:color w:val="000000" w:themeColor="text1"/>
          <w:sz w:val="22"/>
        </w:rPr>
        <w:t xml:space="preserve"> la</w:t>
      </w:r>
      <w:r w:rsidRPr="008D28AD">
        <w:rPr>
          <w:rFonts w:ascii="Arial" w:eastAsia="Calibri" w:hAnsi="Arial" w:cs="Arial"/>
          <w:color w:val="000000" w:themeColor="text1"/>
          <w:sz w:val="22"/>
        </w:rPr>
        <w:t xml:space="preserve"> licitación pública, e incluyen como nuevas opciones: i) </w:t>
      </w:r>
      <w:r w:rsidR="00CA75F5">
        <w:rPr>
          <w:rFonts w:ascii="Arial" w:eastAsia="Calibri" w:hAnsi="Arial" w:cs="Arial"/>
          <w:color w:val="000000" w:themeColor="text1"/>
          <w:sz w:val="22"/>
        </w:rPr>
        <w:t xml:space="preserve">la </w:t>
      </w:r>
      <w:r w:rsidRPr="008D28AD">
        <w:rPr>
          <w:rFonts w:ascii="Arial" w:eastAsia="Calibri" w:hAnsi="Arial" w:cs="Arial"/>
          <w:color w:val="000000" w:themeColor="text1"/>
          <w:sz w:val="22"/>
        </w:rPr>
        <w:t xml:space="preserve">presentación de una garantía adicional o suplementaria, </w:t>
      </w:r>
      <w:proofErr w:type="spellStart"/>
      <w:r w:rsidRPr="008D28AD">
        <w:rPr>
          <w:rFonts w:ascii="Arial" w:eastAsia="Calibri" w:hAnsi="Arial" w:cs="Arial"/>
          <w:color w:val="000000" w:themeColor="text1"/>
          <w:sz w:val="22"/>
        </w:rPr>
        <w:t>ii</w:t>
      </w:r>
      <w:proofErr w:type="spellEnd"/>
      <w:r w:rsidRPr="008D28AD">
        <w:rPr>
          <w:rFonts w:ascii="Arial" w:eastAsia="Calibri" w:hAnsi="Arial" w:cs="Arial"/>
          <w:color w:val="000000" w:themeColor="text1"/>
          <w:sz w:val="22"/>
        </w:rPr>
        <w:t xml:space="preserve">) </w:t>
      </w:r>
      <w:r w:rsidR="00CA75F5">
        <w:rPr>
          <w:rFonts w:ascii="Arial" w:eastAsia="Calibri" w:hAnsi="Arial" w:cs="Arial"/>
          <w:color w:val="000000" w:themeColor="text1"/>
          <w:sz w:val="22"/>
        </w:rPr>
        <w:t xml:space="preserve">las </w:t>
      </w:r>
      <w:r w:rsidRPr="008D28AD">
        <w:rPr>
          <w:rFonts w:ascii="Arial" w:eastAsia="Calibri" w:hAnsi="Arial" w:cs="Arial"/>
          <w:color w:val="000000" w:themeColor="text1"/>
          <w:sz w:val="22"/>
        </w:rPr>
        <w:t xml:space="preserve">cuadrillas de trabajo adicional a costo y riesgo del contratista y </w:t>
      </w:r>
      <w:proofErr w:type="spellStart"/>
      <w:r w:rsidRPr="008D28AD">
        <w:rPr>
          <w:rFonts w:ascii="Arial" w:eastAsia="Calibri" w:hAnsi="Arial" w:cs="Arial"/>
          <w:color w:val="000000" w:themeColor="text1"/>
          <w:sz w:val="22"/>
        </w:rPr>
        <w:t>iii</w:t>
      </w:r>
      <w:proofErr w:type="spellEnd"/>
      <w:r w:rsidRPr="008D28AD">
        <w:rPr>
          <w:rFonts w:ascii="Arial" w:eastAsia="Calibri" w:hAnsi="Arial" w:cs="Arial"/>
          <w:color w:val="000000" w:themeColor="text1"/>
          <w:sz w:val="22"/>
        </w:rPr>
        <w:t>) el mantenimiento rutinario adicional por cuenta del contratista.</w:t>
      </w:r>
    </w:p>
    <w:p w14:paraId="27917D80" w14:textId="0A8D140D" w:rsidR="00312B8F" w:rsidRDefault="008D28AD" w:rsidP="00344791">
      <w:pPr>
        <w:spacing w:after="120" w:line="276" w:lineRule="auto"/>
        <w:ind w:firstLine="709"/>
        <w:jc w:val="both"/>
        <w:rPr>
          <w:rFonts w:ascii="Arial" w:eastAsia="Calibri" w:hAnsi="Arial" w:cs="Arial"/>
          <w:color w:val="000000" w:themeColor="text1"/>
          <w:sz w:val="22"/>
        </w:rPr>
      </w:pPr>
      <w:r w:rsidRPr="008D28AD">
        <w:rPr>
          <w:rFonts w:ascii="Arial" w:eastAsia="Calibri" w:hAnsi="Arial" w:cs="Arial"/>
          <w:color w:val="000000" w:themeColor="text1"/>
          <w:sz w:val="22"/>
        </w:rPr>
        <w:t xml:space="preserve">Frente a </w:t>
      </w:r>
      <w:r w:rsidR="00463CA6">
        <w:rPr>
          <w:rFonts w:ascii="Arial" w:eastAsia="Calibri" w:hAnsi="Arial" w:cs="Arial"/>
          <w:color w:val="000000" w:themeColor="text1"/>
          <w:sz w:val="22"/>
        </w:rPr>
        <w:t>los factores de calidad</w:t>
      </w:r>
      <w:r w:rsidRPr="008D28AD">
        <w:rPr>
          <w:rFonts w:ascii="Arial" w:eastAsia="Calibri" w:hAnsi="Arial" w:cs="Arial"/>
          <w:color w:val="000000" w:themeColor="text1"/>
          <w:sz w:val="22"/>
        </w:rPr>
        <w:t xml:space="preserve">, </w:t>
      </w:r>
      <w:r w:rsidR="00463CA6">
        <w:rPr>
          <w:rFonts w:ascii="Arial" w:eastAsia="Calibri" w:hAnsi="Arial" w:cs="Arial"/>
          <w:color w:val="000000" w:themeColor="text1"/>
          <w:sz w:val="22"/>
        </w:rPr>
        <w:t>el numeral 4.2 de</w:t>
      </w:r>
      <w:r w:rsidRPr="008D28AD">
        <w:rPr>
          <w:rFonts w:ascii="Arial" w:eastAsia="Calibri" w:hAnsi="Arial" w:cs="Arial"/>
          <w:color w:val="000000" w:themeColor="text1"/>
          <w:sz w:val="22"/>
        </w:rPr>
        <w:t xml:space="preserve"> </w:t>
      </w:r>
      <w:r w:rsidR="00463CA6">
        <w:rPr>
          <w:rFonts w:ascii="Arial" w:eastAsia="Calibri" w:hAnsi="Arial" w:cs="Arial"/>
          <w:color w:val="000000" w:themeColor="text1"/>
          <w:sz w:val="22"/>
        </w:rPr>
        <w:t>los pliegos tipo para licitación pública – versión 2 y para selección abreviada de menor cuantía</w:t>
      </w:r>
      <w:r w:rsidRPr="008D28AD">
        <w:rPr>
          <w:rFonts w:ascii="Arial" w:eastAsia="Calibri" w:hAnsi="Arial" w:cs="Arial"/>
          <w:color w:val="000000" w:themeColor="text1"/>
          <w:sz w:val="22"/>
        </w:rPr>
        <w:t xml:space="preserve"> </w:t>
      </w:r>
      <w:r w:rsidR="00463CA6">
        <w:rPr>
          <w:rFonts w:ascii="Arial" w:eastAsia="Calibri" w:hAnsi="Arial" w:cs="Arial"/>
          <w:color w:val="000000" w:themeColor="text1"/>
          <w:sz w:val="22"/>
        </w:rPr>
        <w:t>disponen</w:t>
      </w:r>
      <w:r w:rsidRPr="008D28AD">
        <w:rPr>
          <w:rFonts w:ascii="Arial" w:eastAsia="Calibri" w:hAnsi="Arial" w:cs="Arial"/>
          <w:color w:val="000000" w:themeColor="text1"/>
          <w:sz w:val="22"/>
        </w:rPr>
        <w:t xml:space="preserve"> que «De acuerdo con las características del objeto a contratar y con el principio de proporcionalidad y razonabilidad la Entidad debe elegir una o varias de las opciones previstas para otorgar el puntaje del factor de calidad</w:t>
      </w:r>
      <w:r w:rsidR="00463CA6">
        <w:rPr>
          <w:rFonts w:ascii="Arial" w:eastAsia="Calibri" w:hAnsi="Arial" w:cs="Arial"/>
          <w:color w:val="000000" w:themeColor="text1"/>
          <w:sz w:val="22"/>
        </w:rPr>
        <w:t xml:space="preserve"> […]</w:t>
      </w:r>
      <w:r w:rsidRPr="008D28AD">
        <w:rPr>
          <w:rFonts w:ascii="Arial" w:eastAsia="Calibri" w:hAnsi="Arial" w:cs="Arial"/>
          <w:color w:val="000000" w:themeColor="text1"/>
          <w:sz w:val="22"/>
        </w:rPr>
        <w:t xml:space="preserve">». En este sentido, la entidad debe valorar, frente a </w:t>
      </w:r>
      <w:r w:rsidR="00344791">
        <w:rPr>
          <w:rFonts w:ascii="Arial" w:eastAsia="Calibri" w:hAnsi="Arial" w:cs="Arial"/>
          <w:color w:val="000000" w:themeColor="text1"/>
          <w:sz w:val="22"/>
        </w:rPr>
        <w:t xml:space="preserve">la </w:t>
      </w:r>
      <w:r w:rsidRPr="008D28AD">
        <w:rPr>
          <w:rFonts w:ascii="Arial" w:eastAsia="Calibri" w:hAnsi="Arial" w:cs="Arial"/>
          <w:color w:val="000000" w:themeColor="text1"/>
          <w:sz w:val="22"/>
        </w:rPr>
        <w:t xml:space="preserve">necesidad y los principios mencionados, si </w:t>
      </w:r>
      <w:r w:rsidR="00344791">
        <w:rPr>
          <w:rFonts w:ascii="Arial" w:eastAsia="Calibri" w:hAnsi="Arial" w:cs="Arial"/>
          <w:color w:val="000000" w:themeColor="text1"/>
          <w:sz w:val="22"/>
        </w:rPr>
        <w:t xml:space="preserve">alguno de estos </w:t>
      </w:r>
      <w:r w:rsidR="005352A5">
        <w:rPr>
          <w:rFonts w:ascii="Arial" w:eastAsia="Calibri" w:hAnsi="Arial" w:cs="Arial"/>
          <w:color w:val="000000" w:themeColor="text1"/>
          <w:sz w:val="22"/>
        </w:rPr>
        <w:t xml:space="preserve">seis (6) </w:t>
      </w:r>
      <w:r w:rsidR="00344791">
        <w:rPr>
          <w:rFonts w:ascii="Arial" w:eastAsia="Calibri" w:hAnsi="Arial" w:cs="Arial"/>
          <w:color w:val="000000" w:themeColor="text1"/>
          <w:sz w:val="22"/>
        </w:rPr>
        <w:t>factores</w:t>
      </w:r>
      <w:r w:rsidRPr="008D28AD">
        <w:rPr>
          <w:rFonts w:ascii="Arial" w:eastAsia="Calibri" w:hAnsi="Arial" w:cs="Arial"/>
          <w:color w:val="000000" w:themeColor="text1"/>
          <w:sz w:val="22"/>
        </w:rPr>
        <w:t xml:space="preserve"> resulta pertinente para asegurar </w:t>
      </w:r>
      <w:r w:rsidR="00344791">
        <w:rPr>
          <w:rFonts w:ascii="Arial" w:eastAsia="Calibri" w:hAnsi="Arial" w:cs="Arial"/>
          <w:color w:val="000000" w:themeColor="text1"/>
          <w:sz w:val="22"/>
        </w:rPr>
        <w:t xml:space="preserve">una </w:t>
      </w:r>
      <w:r w:rsidRPr="008D28AD">
        <w:rPr>
          <w:rFonts w:ascii="Arial" w:eastAsia="Calibri" w:hAnsi="Arial" w:cs="Arial"/>
          <w:color w:val="000000" w:themeColor="text1"/>
          <w:sz w:val="22"/>
        </w:rPr>
        <w:t>mejor calidad en la obra pública contratada y, en todo caso, únicamente podrá exigir la acreditación de máximo tres</w:t>
      </w:r>
      <w:r w:rsidR="00344791">
        <w:rPr>
          <w:rFonts w:ascii="Arial" w:eastAsia="Calibri" w:hAnsi="Arial" w:cs="Arial"/>
          <w:color w:val="000000" w:themeColor="text1"/>
          <w:sz w:val="22"/>
        </w:rPr>
        <w:t xml:space="preserve"> (3)</w:t>
      </w:r>
      <w:r w:rsidRPr="008D28AD">
        <w:rPr>
          <w:rFonts w:ascii="Arial" w:eastAsia="Calibri" w:hAnsi="Arial" w:cs="Arial"/>
          <w:color w:val="000000" w:themeColor="text1"/>
          <w:sz w:val="22"/>
        </w:rPr>
        <w:t xml:space="preserve"> de ellos, lo cual conserva el límite establecido en la </w:t>
      </w:r>
      <w:r w:rsidR="00CA75F5">
        <w:rPr>
          <w:rFonts w:ascii="Arial" w:eastAsia="Calibri" w:hAnsi="Arial" w:cs="Arial"/>
          <w:color w:val="000000" w:themeColor="text1"/>
          <w:sz w:val="22"/>
        </w:rPr>
        <w:t>v</w:t>
      </w:r>
      <w:r w:rsidRPr="008D28AD">
        <w:rPr>
          <w:rFonts w:ascii="Arial" w:eastAsia="Calibri" w:hAnsi="Arial" w:cs="Arial"/>
          <w:color w:val="000000" w:themeColor="text1"/>
          <w:sz w:val="22"/>
        </w:rPr>
        <w:t>ersión 1 de</w:t>
      </w:r>
      <w:r w:rsidR="005352A5">
        <w:rPr>
          <w:rFonts w:ascii="Arial" w:eastAsia="Calibri" w:hAnsi="Arial" w:cs="Arial"/>
          <w:color w:val="000000" w:themeColor="text1"/>
          <w:sz w:val="22"/>
        </w:rPr>
        <w:t>l</w:t>
      </w:r>
      <w:r w:rsidRPr="008D28AD">
        <w:rPr>
          <w:rFonts w:ascii="Arial" w:eastAsia="Calibri" w:hAnsi="Arial" w:cs="Arial"/>
          <w:color w:val="000000" w:themeColor="text1"/>
          <w:sz w:val="22"/>
        </w:rPr>
        <w:t xml:space="preserve"> </w:t>
      </w:r>
      <w:r w:rsidR="00CA75F5">
        <w:rPr>
          <w:rFonts w:ascii="Arial" w:eastAsia="Calibri" w:hAnsi="Arial" w:cs="Arial"/>
          <w:color w:val="000000" w:themeColor="text1"/>
          <w:sz w:val="22"/>
        </w:rPr>
        <w:t>documento base para la licitación pública</w:t>
      </w:r>
      <w:r w:rsidR="00344791">
        <w:rPr>
          <w:rFonts w:ascii="Arial" w:eastAsia="Calibri" w:hAnsi="Arial" w:cs="Arial"/>
          <w:color w:val="000000" w:themeColor="text1"/>
          <w:sz w:val="22"/>
        </w:rPr>
        <w:t xml:space="preserve"> de infraestructura de transporte</w:t>
      </w:r>
      <w:r w:rsidRPr="008D28AD">
        <w:rPr>
          <w:rFonts w:ascii="Arial" w:eastAsia="Calibri" w:hAnsi="Arial" w:cs="Arial"/>
          <w:color w:val="000000" w:themeColor="text1"/>
          <w:sz w:val="22"/>
        </w:rPr>
        <w:t>.</w:t>
      </w:r>
    </w:p>
    <w:p w14:paraId="62D85BF7" w14:textId="50FC989F" w:rsidR="00344791" w:rsidRDefault="00344791" w:rsidP="00344791">
      <w:pPr>
        <w:spacing w:before="120" w:line="276" w:lineRule="auto"/>
        <w:ind w:firstLine="708"/>
        <w:jc w:val="both"/>
        <w:rPr>
          <w:rFonts w:ascii="Arial" w:hAnsi="Arial" w:cs="Arial"/>
          <w:sz w:val="22"/>
        </w:rPr>
      </w:pPr>
      <w:r>
        <w:rPr>
          <w:rFonts w:ascii="Arial" w:eastAsia="Calibri" w:hAnsi="Arial" w:cs="Arial"/>
          <w:color w:val="000000" w:themeColor="text1"/>
          <w:sz w:val="22"/>
        </w:rPr>
        <w:t xml:space="preserve">Particularmente, </w:t>
      </w:r>
      <w:r w:rsidR="005352A5">
        <w:rPr>
          <w:rFonts w:ascii="Arial" w:hAnsi="Arial" w:cs="Arial"/>
          <w:sz w:val="22"/>
        </w:rPr>
        <w:t>e</w:t>
      </w:r>
      <w:r>
        <w:rPr>
          <w:rFonts w:ascii="Arial" w:hAnsi="Arial" w:cs="Arial"/>
          <w:sz w:val="22"/>
        </w:rPr>
        <w:t xml:space="preserve">l </w:t>
      </w:r>
      <w:r>
        <w:rPr>
          <w:rFonts w:ascii="Arial" w:hAnsi="Arial" w:cs="Arial"/>
          <w:sz w:val="20"/>
          <w:szCs w:val="20"/>
        </w:rPr>
        <w:t>«</w:t>
      </w:r>
      <w:r>
        <w:rPr>
          <w:rFonts w:ascii="Arial" w:hAnsi="Arial" w:cs="Arial"/>
          <w:sz w:val="22"/>
        </w:rPr>
        <w:t>factor de calidad – cuadrilla</w:t>
      </w:r>
      <w:r w:rsidR="00D96847">
        <w:rPr>
          <w:rFonts w:ascii="Arial" w:hAnsi="Arial" w:cs="Arial"/>
          <w:sz w:val="22"/>
        </w:rPr>
        <w:t>s</w:t>
      </w:r>
      <w:r>
        <w:rPr>
          <w:rFonts w:ascii="Arial" w:hAnsi="Arial" w:cs="Arial"/>
          <w:sz w:val="22"/>
        </w:rPr>
        <w:t xml:space="preserve"> de trabajo adicional» tiene por objeto otorgar puntaje al proponente que se comprometa a ofertar y vincular a la obra cuadrillas de trabajo adicional a costo y riesgo propio. </w:t>
      </w:r>
      <w:bookmarkStart w:id="12" w:name="_Hlk44074829"/>
      <w:r>
        <w:rPr>
          <w:rFonts w:ascii="Arial" w:hAnsi="Arial" w:cs="Arial"/>
          <w:sz w:val="22"/>
        </w:rPr>
        <w:t>Conforme al numeral 4.2.5 de los pliegos tipo</w:t>
      </w:r>
      <w:bookmarkEnd w:id="12"/>
      <w:r>
        <w:rPr>
          <w:rFonts w:ascii="Arial" w:hAnsi="Arial" w:cs="Arial"/>
          <w:sz w:val="22"/>
        </w:rPr>
        <w:t xml:space="preserve">, por cuadrilla se entiende el personal obrero adicional para un frente o unidad de trabajo que requiera el proyecto de infraestructura de trabajo, la cual debe ser de cinco </w:t>
      </w:r>
      <w:r>
        <w:rPr>
          <w:rFonts w:ascii="Arial" w:hAnsi="Arial" w:cs="Arial"/>
          <w:sz w:val="22"/>
        </w:rPr>
        <w:lastRenderedPageBreak/>
        <w:t xml:space="preserve">(5) obreros. Asimismo, este ofrecimiento será a costo y riesgo del contratista durante la ejecución del contrato y no podrá cobrarse a la entidad contratante. </w:t>
      </w:r>
    </w:p>
    <w:p w14:paraId="214CF198" w14:textId="7AACBF51" w:rsidR="00344791" w:rsidRDefault="00344791" w:rsidP="00344791">
      <w:pPr>
        <w:spacing w:before="120" w:after="120" w:line="276" w:lineRule="auto"/>
        <w:ind w:firstLine="709"/>
        <w:jc w:val="both"/>
        <w:rPr>
          <w:rFonts w:ascii="Arial" w:hAnsi="Arial" w:cs="Arial"/>
          <w:sz w:val="22"/>
        </w:rPr>
      </w:pPr>
      <w:r>
        <w:rPr>
          <w:rFonts w:ascii="Arial" w:hAnsi="Arial" w:cs="Arial"/>
          <w:sz w:val="22"/>
        </w:rPr>
        <w:t>De igual manera, la Administración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incorpore durante la ejecución, según su capacidad. Lo anterior, en la medida que el ofrecimiento de cuadrillas de trabajo adicional trae beneficios en la reducción de tiempo para la entidad que se evidencia, por ejemplo, en una disminución de los plazos y en la atención oportuna de contingencias durante la ejecución del contrato.</w:t>
      </w:r>
    </w:p>
    <w:p w14:paraId="0DE016BE" w14:textId="631ACAE4" w:rsidR="006E13EF" w:rsidRDefault="006E13EF" w:rsidP="006E13EF">
      <w:pPr>
        <w:tabs>
          <w:tab w:val="left" w:pos="426"/>
        </w:tabs>
        <w:spacing w:before="120" w:after="120" w:line="276" w:lineRule="auto"/>
        <w:jc w:val="both"/>
        <w:rPr>
          <w:rFonts w:ascii="Arial" w:hAnsi="Arial" w:cs="Arial"/>
          <w:sz w:val="22"/>
        </w:rPr>
      </w:pPr>
      <w:r>
        <w:rPr>
          <w:rFonts w:ascii="Arial" w:hAnsi="Arial" w:cs="Arial"/>
          <w:sz w:val="22"/>
        </w:rPr>
        <w:tab/>
      </w:r>
      <w:r>
        <w:rPr>
          <w:rFonts w:ascii="Arial" w:hAnsi="Arial" w:cs="Arial"/>
          <w:sz w:val="22"/>
        </w:rPr>
        <w:tab/>
        <w:t xml:space="preserve">Lo importante es que el otorgamiento del puntaje en este factor de calidad depende del ofrecimiento que realice cada proponente de acuerdo con sus capacidades. En este sentido, el mayor puntaje lo recibirá aquel oferente que ofrezca mayor número de cuadrillas de trabajo adicional. En otras palabras, la entidad no puede definir cuántos miembros de la cuadrilla de trabajo adicional se necesitan, sino que depende del proponente definir el número de cuadrillas de trabajo adicional que está en capacidad de ofertar, lo cual reduce el riesgo de direccionamiento e incrementa las condiciones de calidad para </w:t>
      </w:r>
      <w:r w:rsidR="00715F0D">
        <w:rPr>
          <w:rFonts w:ascii="Arial" w:hAnsi="Arial" w:cs="Arial"/>
          <w:sz w:val="22"/>
        </w:rPr>
        <w:t>el contratante</w:t>
      </w:r>
      <w:r>
        <w:rPr>
          <w:rFonts w:ascii="Arial" w:hAnsi="Arial" w:cs="Arial"/>
          <w:sz w:val="22"/>
        </w:rPr>
        <w:t xml:space="preserve">. </w:t>
      </w:r>
    </w:p>
    <w:p w14:paraId="503481FB" w14:textId="21E53C28" w:rsidR="006E13EF" w:rsidRDefault="006E13EF" w:rsidP="00715F0D">
      <w:pPr>
        <w:tabs>
          <w:tab w:val="left" w:pos="426"/>
        </w:tabs>
        <w:spacing w:before="120" w:line="276" w:lineRule="auto"/>
        <w:jc w:val="both"/>
        <w:rPr>
          <w:rFonts w:ascii="Arial" w:hAnsi="Arial" w:cs="Arial"/>
          <w:sz w:val="22"/>
        </w:rPr>
      </w:pPr>
      <w:r>
        <w:rPr>
          <w:rFonts w:ascii="Arial" w:hAnsi="Arial" w:cs="Arial"/>
          <w:sz w:val="22"/>
        </w:rPr>
        <w:tab/>
      </w:r>
      <w:r>
        <w:rPr>
          <w:rFonts w:ascii="Arial" w:hAnsi="Arial" w:cs="Arial"/>
          <w:sz w:val="22"/>
        </w:rPr>
        <w:tab/>
      </w:r>
      <w:r w:rsidR="00715F0D">
        <w:rPr>
          <w:rFonts w:ascii="Arial" w:hAnsi="Arial" w:cs="Arial"/>
          <w:sz w:val="22"/>
        </w:rPr>
        <w:t>E</w:t>
      </w:r>
      <w:r>
        <w:rPr>
          <w:rFonts w:ascii="Arial" w:hAnsi="Arial" w:cs="Arial"/>
          <w:sz w:val="22"/>
        </w:rPr>
        <w:t>n caso de que el oferente resulte adjudicatario deberá cumplir el ofrecimiento realizado, so pena de las sanciones</w:t>
      </w:r>
      <w:r w:rsidR="00715F0D">
        <w:rPr>
          <w:rFonts w:ascii="Arial" w:hAnsi="Arial" w:cs="Arial"/>
          <w:sz w:val="22"/>
        </w:rPr>
        <w:t xml:space="preserve"> contractuales</w:t>
      </w:r>
      <w:r>
        <w:rPr>
          <w:rFonts w:ascii="Arial" w:hAnsi="Arial" w:cs="Arial"/>
          <w:sz w:val="22"/>
        </w:rPr>
        <w:t xml:space="preserve"> procedentes. </w:t>
      </w:r>
      <w:r>
        <w:rPr>
          <w:rFonts w:ascii="Arial" w:eastAsia="Calibri" w:hAnsi="Arial" w:cs="Arial"/>
          <w:sz w:val="22"/>
        </w:rPr>
        <w:t xml:space="preserve">Conforme a lo anterior, el oferente tiene la libertad y autonomía de ofrecer el número de cuadrillas de trabajo adicional de acuerdo con sus capacidades. Es decir, </w:t>
      </w:r>
      <w:r w:rsidR="00715F0D">
        <w:rPr>
          <w:rFonts w:ascii="Arial" w:eastAsia="Calibri" w:hAnsi="Arial" w:cs="Arial"/>
          <w:sz w:val="22"/>
        </w:rPr>
        <w:t>los documentos tipo</w:t>
      </w:r>
      <w:r>
        <w:rPr>
          <w:rFonts w:ascii="Arial" w:eastAsia="Calibri" w:hAnsi="Arial" w:cs="Arial"/>
          <w:sz w:val="22"/>
        </w:rPr>
        <w:t xml:space="preserve"> no limita</w:t>
      </w:r>
      <w:r w:rsidR="00D96847">
        <w:rPr>
          <w:rFonts w:ascii="Arial" w:eastAsia="Calibri" w:hAnsi="Arial" w:cs="Arial"/>
          <w:sz w:val="22"/>
        </w:rPr>
        <w:t>n</w:t>
      </w:r>
      <w:r>
        <w:rPr>
          <w:rFonts w:ascii="Arial" w:eastAsia="Calibri" w:hAnsi="Arial" w:cs="Arial"/>
          <w:sz w:val="22"/>
        </w:rPr>
        <w:t xml:space="preserve"> los ofrecimientos realizados por el oferente. No obstante, en el evento que resulte adjudicatario del proceso de contratación, el compromiso del factor de calidad se convierte en un deber contractual de obligatorio cumplimiento, so pena </w:t>
      </w:r>
      <w:r w:rsidR="00715F0D">
        <w:rPr>
          <w:rFonts w:ascii="Arial" w:eastAsia="Calibri" w:hAnsi="Arial" w:cs="Arial"/>
          <w:sz w:val="22"/>
        </w:rPr>
        <w:t>la imposición de</w:t>
      </w:r>
      <w:r>
        <w:rPr>
          <w:rFonts w:ascii="Arial" w:eastAsia="Calibri" w:hAnsi="Arial" w:cs="Arial"/>
          <w:sz w:val="22"/>
        </w:rPr>
        <w:t xml:space="preserve"> </w:t>
      </w:r>
      <w:r w:rsidR="00715F0D">
        <w:rPr>
          <w:rFonts w:ascii="Arial" w:eastAsia="Calibri" w:hAnsi="Arial" w:cs="Arial"/>
          <w:sz w:val="22"/>
        </w:rPr>
        <w:t xml:space="preserve">las multas </w:t>
      </w:r>
      <w:r>
        <w:rPr>
          <w:rFonts w:ascii="Arial" w:eastAsia="Calibri" w:hAnsi="Arial" w:cs="Arial"/>
          <w:sz w:val="22"/>
        </w:rPr>
        <w:t>de acuerdo con lo definido en el «Anexo 5 – Minuta del Contrato»</w:t>
      </w:r>
      <w:r w:rsidR="00715F0D">
        <w:rPr>
          <w:rFonts w:ascii="Arial" w:eastAsia="Calibri" w:hAnsi="Arial" w:cs="Arial"/>
          <w:sz w:val="22"/>
        </w:rPr>
        <w:t>.</w:t>
      </w:r>
    </w:p>
    <w:p w14:paraId="4564D37B" w14:textId="3541E748" w:rsidR="00BC7B6A" w:rsidRPr="00717930" w:rsidRDefault="006018AA" w:rsidP="00715F0D">
      <w:pPr>
        <w:spacing w:line="276" w:lineRule="auto"/>
        <w:jc w:val="both"/>
        <w:rPr>
          <w:rFonts w:ascii="Arial" w:eastAsia="Calibri" w:hAnsi="Arial" w:cs="Arial"/>
          <w:sz w:val="22"/>
        </w:rPr>
      </w:pPr>
      <w:r>
        <w:rPr>
          <w:rFonts w:ascii="Arial" w:eastAsia="Calibri" w:hAnsi="Arial" w:cs="Arial"/>
          <w:sz w:val="22"/>
        </w:rPr>
        <w:t xml:space="preserve"> </w:t>
      </w:r>
      <w:r w:rsidR="00B00055">
        <w:rPr>
          <w:rFonts w:ascii="Arial" w:eastAsia="Calibri" w:hAnsi="Arial" w:cs="Arial"/>
          <w:sz w:val="22"/>
        </w:rPr>
        <w:t xml:space="preserve"> </w:t>
      </w: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204370F9" w:rsidR="00BE1E33" w:rsidRPr="006C15D5" w:rsidRDefault="00456D35" w:rsidP="00856B64">
      <w:pPr>
        <w:ind w:left="709" w:right="709"/>
        <w:jc w:val="both"/>
        <w:rPr>
          <w:rFonts w:ascii="Arial" w:eastAsia="Calibri" w:hAnsi="Arial" w:cs="Arial"/>
          <w:color w:val="000000" w:themeColor="text1"/>
          <w:sz w:val="21"/>
          <w:szCs w:val="21"/>
        </w:rPr>
      </w:pPr>
      <w:r w:rsidRPr="00456D35">
        <w:rPr>
          <w:rFonts w:ascii="Arial" w:eastAsia="Calibri" w:hAnsi="Arial" w:cs="Arial"/>
          <w:color w:val="000000" w:themeColor="text1"/>
          <w:sz w:val="21"/>
          <w:szCs w:val="21"/>
        </w:rPr>
        <w:t>i) «¿La póliza de seriedad de la oferta debe estar vigente para el día de la audiencia de adjudicación?»</w:t>
      </w:r>
      <w:r w:rsidR="00185441" w:rsidRPr="00185441">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7CB3B7F4" w14:textId="77777777" w:rsidR="00715F0D" w:rsidRDefault="00D928CF" w:rsidP="00054B43">
      <w:pPr>
        <w:spacing w:line="276" w:lineRule="auto"/>
        <w:jc w:val="both"/>
        <w:rPr>
          <w:rFonts w:ascii="Arial" w:eastAsia="Calibri" w:hAnsi="Arial" w:cs="Arial"/>
          <w:sz w:val="22"/>
        </w:rPr>
      </w:pPr>
      <w:r w:rsidRPr="00D928CF">
        <w:rPr>
          <w:rFonts w:ascii="Arial" w:eastAsia="Calibri" w:hAnsi="Arial" w:cs="Arial"/>
          <w:sz w:val="22"/>
        </w:rPr>
        <w:t>So pena de rechazo, la garantía se entrega simultáneamente con los demás documentos de la propuesta. En lo que respecta a la extensión, el numeral 7.1 de</w:t>
      </w:r>
      <w:r>
        <w:rPr>
          <w:rFonts w:ascii="Arial" w:eastAsia="Calibri" w:hAnsi="Arial" w:cs="Arial"/>
          <w:sz w:val="22"/>
        </w:rPr>
        <w:t xml:space="preserve"> los pliegos tipo</w:t>
      </w:r>
      <w:r w:rsidRPr="00D928CF">
        <w:rPr>
          <w:rFonts w:ascii="Arial" w:eastAsia="Calibri" w:hAnsi="Arial" w:cs="Arial"/>
          <w:sz w:val="22"/>
        </w:rPr>
        <w:t xml:space="preserve"> dispone que tendrá una vigencia interrumpida de tres (3) meses contados a partir de la fecha de cierre del proceso de contratación. Lo anterior, sin perjuicio de la obligación de ampliarla cuando la entidad lo requiera</w:t>
      </w:r>
      <w:r w:rsidR="00E30356">
        <w:rPr>
          <w:rFonts w:ascii="Arial" w:eastAsia="Calibri" w:hAnsi="Arial" w:cs="Arial"/>
          <w:sz w:val="22"/>
        </w:rPr>
        <w:t>.</w:t>
      </w:r>
      <w:r>
        <w:rPr>
          <w:rFonts w:ascii="Arial" w:eastAsia="Calibri" w:hAnsi="Arial" w:cs="Arial"/>
          <w:sz w:val="22"/>
        </w:rPr>
        <w:t xml:space="preserve"> En esta medida, la garantía de seriedad debe estar vigente en la fecha que se realice la audiencia de adjudicación.</w:t>
      </w:r>
      <w:r w:rsidR="00E30356">
        <w:rPr>
          <w:rFonts w:ascii="Arial" w:eastAsia="Calibri" w:hAnsi="Arial" w:cs="Arial"/>
          <w:color w:val="000000" w:themeColor="text1"/>
          <w:sz w:val="22"/>
        </w:rPr>
        <w:t xml:space="preserve"> </w:t>
      </w:r>
      <w:r w:rsidR="00E30356">
        <w:rPr>
          <w:rFonts w:ascii="Arial" w:eastAsia="Calibri" w:hAnsi="Arial" w:cs="Arial"/>
          <w:sz w:val="22"/>
        </w:rPr>
        <w:t xml:space="preserve">  </w:t>
      </w:r>
    </w:p>
    <w:p w14:paraId="65E03476" w14:textId="77777777" w:rsidR="00715F0D" w:rsidRPr="006C15D5" w:rsidRDefault="00715F0D" w:rsidP="00715F0D">
      <w:pPr>
        <w:spacing w:line="276" w:lineRule="auto"/>
        <w:ind w:right="709"/>
        <w:jc w:val="both"/>
        <w:rPr>
          <w:rFonts w:ascii="Arial" w:hAnsi="Arial" w:cs="Arial"/>
          <w:color w:val="000000" w:themeColor="text1"/>
          <w:sz w:val="21"/>
          <w:szCs w:val="21"/>
          <w:lang w:val="es-CO"/>
        </w:rPr>
      </w:pPr>
    </w:p>
    <w:p w14:paraId="65498CEC" w14:textId="76FDC1AA" w:rsidR="00715F0D" w:rsidRPr="006C15D5" w:rsidRDefault="00715F0D" w:rsidP="00715F0D">
      <w:pPr>
        <w:ind w:left="709" w:right="709"/>
        <w:jc w:val="both"/>
        <w:rPr>
          <w:rFonts w:ascii="Arial" w:eastAsia="Calibri" w:hAnsi="Arial" w:cs="Arial"/>
          <w:color w:val="000000" w:themeColor="text1"/>
          <w:sz w:val="21"/>
          <w:szCs w:val="21"/>
        </w:rPr>
      </w:pPr>
      <w:proofErr w:type="spellStart"/>
      <w:r w:rsidRPr="00715F0D">
        <w:rPr>
          <w:rFonts w:ascii="Arial" w:eastAsia="Calibri" w:hAnsi="Arial" w:cs="Arial"/>
          <w:color w:val="000000" w:themeColor="text1"/>
          <w:sz w:val="21"/>
          <w:szCs w:val="21"/>
        </w:rPr>
        <w:lastRenderedPageBreak/>
        <w:t>ii</w:t>
      </w:r>
      <w:proofErr w:type="spellEnd"/>
      <w:r w:rsidRPr="00715F0D">
        <w:rPr>
          <w:rFonts w:ascii="Arial" w:eastAsia="Calibri" w:hAnsi="Arial" w:cs="Arial"/>
          <w:color w:val="000000" w:themeColor="text1"/>
          <w:sz w:val="21"/>
          <w:szCs w:val="21"/>
        </w:rPr>
        <w:t>) «¿El número de cuadrillas para acceder al puntaje los debe aportar la entidad contratante?»</w:t>
      </w:r>
      <w:r w:rsidRPr="00185441">
        <w:rPr>
          <w:rFonts w:ascii="Arial" w:eastAsia="Calibri" w:hAnsi="Arial" w:cs="Arial"/>
          <w:color w:val="000000" w:themeColor="text1"/>
          <w:sz w:val="21"/>
          <w:szCs w:val="21"/>
        </w:rPr>
        <w:t>.</w:t>
      </w:r>
    </w:p>
    <w:p w14:paraId="51B035D1" w14:textId="77777777" w:rsidR="00715F0D" w:rsidRDefault="00715F0D" w:rsidP="00715F0D">
      <w:pPr>
        <w:spacing w:line="276" w:lineRule="auto"/>
        <w:jc w:val="both"/>
        <w:rPr>
          <w:rFonts w:ascii="Arial" w:eastAsia="Calibri" w:hAnsi="Arial" w:cs="Arial"/>
          <w:color w:val="000000" w:themeColor="text1"/>
          <w:sz w:val="22"/>
        </w:rPr>
      </w:pPr>
    </w:p>
    <w:p w14:paraId="04048464" w14:textId="35FBE9E0" w:rsidR="00462A87" w:rsidRDefault="00F47ACE" w:rsidP="00715F0D">
      <w:pPr>
        <w:spacing w:line="276" w:lineRule="auto"/>
        <w:jc w:val="both"/>
        <w:rPr>
          <w:rFonts w:ascii="Arial" w:eastAsia="Calibri" w:hAnsi="Arial" w:cs="Arial"/>
          <w:sz w:val="22"/>
        </w:rPr>
      </w:pPr>
      <w:r w:rsidRPr="00F47ACE">
        <w:rPr>
          <w:rFonts w:ascii="Arial" w:eastAsia="Calibri" w:hAnsi="Arial" w:cs="Arial"/>
          <w:sz w:val="22"/>
        </w:rPr>
        <w:t>Conforme al numeral 4.2.5 de los pliegos tipo</w:t>
      </w:r>
      <w:r>
        <w:rPr>
          <w:rFonts w:ascii="Arial" w:eastAsia="Calibri" w:hAnsi="Arial" w:cs="Arial"/>
          <w:sz w:val="22"/>
        </w:rPr>
        <w:t xml:space="preserve"> para licitación pública – versión 2 y para selección abreviada de menor cuantía, «</w:t>
      </w:r>
      <w:r w:rsidRPr="00F47ACE">
        <w:rPr>
          <w:rFonts w:ascii="Arial" w:eastAsia="Calibri" w:hAnsi="Arial" w:cs="Arial"/>
          <w:sz w:val="22"/>
        </w:rPr>
        <w:t>El Proponente ofrecerá el número de cuadrillas de trabajo adicional que considere pertinente</w:t>
      </w:r>
      <w:r>
        <w:rPr>
          <w:rFonts w:ascii="Arial" w:eastAsia="Calibri" w:hAnsi="Arial" w:cs="Arial"/>
          <w:sz w:val="22"/>
        </w:rPr>
        <w:t xml:space="preserve">». Por lo tanto, la Administración no puede definir el número de cuadrillas que pueden ofrecer los proponentes para calificar este factor de evaluación.    </w:t>
      </w:r>
    </w:p>
    <w:p w14:paraId="01FAA616" w14:textId="77777777" w:rsidR="00715F0D" w:rsidRPr="006C15D5" w:rsidRDefault="00715F0D" w:rsidP="00715F0D">
      <w:pPr>
        <w:spacing w:line="276" w:lineRule="auto"/>
        <w:ind w:right="709"/>
        <w:jc w:val="both"/>
        <w:rPr>
          <w:rFonts w:ascii="Arial" w:hAnsi="Arial" w:cs="Arial"/>
          <w:color w:val="000000" w:themeColor="text1"/>
          <w:sz w:val="21"/>
          <w:szCs w:val="21"/>
          <w:lang w:val="es-CO"/>
        </w:rPr>
      </w:pPr>
    </w:p>
    <w:p w14:paraId="07C24C1F" w14:textId="32E4AC7A" w:rsidR="00715F0D" w:rsidRPr="006C15D5" w:rsidRDefault="00F47ACE" w:rsidP="00715F0D">
      <w:pPr>
        <w:ind w:left="709" w:right="709"/>
        <w:jc w:val="both"/>
        <w:rPr>
          <w:rFonts w:ascii="Arial" w:eastAsia="Calibri" w:hAnsi="Arial" w:cs="Arial"/>
          <w:color w:val="000000" w:themeColor="text1"/>
          <w:sz w:val="21"/>
          <w:szCs w:val="21"/>
        </w:rPr>
      </w:pPr>
      <w:proofErr w:type="spellStart"/>
      <w:r>
        <w:rPr>
          <w:rFonts w:ascii="Arial" w:eastAsia="Calibri" w:hAnsi="Arial" w:cs="Arial"/>
          <w:color w:val="000000" w:themeColor="text1"/>
          <w:sz w:val="21"/>
          <w:szCs w:val="21"/>
        </w:rPr>
        <w:t>iii</w:t>
      </w:r>
      <w:proofErr w:type="spellEnd"/>
      <w:r>
        <w:rPr>
          <w:rFonts w:ascii="Arial" w:eastAsia="Calibri" w:hAnsi="Arial" w:cs="Arial"/>
          <w:color w:val="000000" w:themeColor="text1"/>
          <w:sz w:val="21"/>
          <w:szCs w:val="21"/>
        </w:rPr>
        <w:t xml:space="preserve">) </w:t>
      </w:r>
      <w:r w:rsidRPr="00F47ACE">
        <w:rPr>
          <w:rFonts w:ascii="Arial" w:eastAsia="Calibri" w:hAnsi="Arial" w:cs="Arial"/>
          <w:color w:val="000000" w:themeColor="text1"/>
          <w:sz w:val="21"/>
          <w:szCs w:val="21"/>
        </w:rPr>
        <w:t>«¿Un oferente puede perder el puntaje como mayor número de cuadrillas al ofrecer un número exorbitante?»</w:t>
      </w:r>
      <w:r w:rsidR="00715F0D" w:rsidRPr="00185441">
        <w:rPr>
          <w:rFonts w:ascii="Arial" w:eastAsia="Calibri" w:hAnsi="Arial" w:cs="Arial"/>
          <w:color w:val="000000" w:themeColor="text1"/>
          <w:sz w:val="21"/>
          <w:szCs w:val="21"/>
        </w:rPr>
        <w:t>.</w:t>
      </w:r>
    </w:p>
    <w:p w14:paraId="43EF0899" w14:textId="77777777" w:rsidR="00715F0D" w:rsidRDefault="00715F0D" w:rsidP="00715F0D">
      <w:pPr>
        <w:spacing w:line="276" w:lineRule="auto"/>
        <w:jc w:val="both"/>
        <w:rPr>
          <w:rFonts w:ascii="Arial" w:eastAsia="Calibri" w:hAnsi="Arial" w:cs="Arial"/>
          <w:color w:val="000000" w:themeColor="text1"/>
          <w:sz w:val="22"/>
        </w:rPr>
      </w:pPr>
    </w:p>
    <w:p w14:paraId="674CA249" w14:textId="673483C7" w:rsidR="00715F0D" w:rsidRDefault="00664620" w:rsidP="00715F0D">
      <w:pPr>
        <w:spacing w:line="276" w:lineRule="auto"/>
        <w:jc w:val="both"/>
        <w:rPr>
          <w:rFonts w:ascii="Arial" w:eastAsia="Calibri" w:hAnsi="Arial" w:cs="Arial"/>
          <w:color w:val="000000" w:themeColor="text1"/>
          <w:sz w:val="22"/>
        </w:rPr>
      </w:pPr>
      <w:r>
        <w:rPr>
          <w:rFonts w:ascii="Arial" w:eastAsia="Calibri" w:hAnsi="Arial" w:cs="Arial"/>
          <w:sz w:val="22"/>
        </w:rPr>
        <w:t>Conforme a lo explicado anteriormente,</w:t>
      </w:r>
      <w:r w:rsidRPr="00664620">
        <w:t xml:space="preserve"> </w:t>
      </w:r>
      <w:r w:rsidRPr="00664620">
        <w:rPr>
          <w:rFonts w:ascii="Arial" w:eastAsia="Calibri" w:hAnsi="Arial" w:cs="Arial"/>
          <w:sz w:val="22"/>
        </w:rPr>
        <w:t>de acuerdo con sus capacidades</w:t>
      </w:r>
      <w:r>
        <w:rPr>
          <w:rFonts w:ascii="Arial" w:eastAsia="Calibri" w:hAnsi="Arial" w:cs="Arial"/>
          <w:sz w:val="22"/>
        </w:rPr>
        <w:t>,</w:t>
      </w:r>
      <w:r>
        <w:rPr>
          <w:rFonts w:ascii="Arial" w:eastAsia="Calibri" w:hAnsi="Arial" w:cs="Arial"/>
          <w:color w:val="000000" w:themeColor="text1"/>
          <w:sz w:val="22"/>
        </w:rPr>
        <w:t xml:space="preserve"> los proponentes son autónomos para</w:t>
      </w:r>
      <w:r w:rsidRPr="00887AE5">
        <w:rPr>
          <w:rFonts w:ascii="Arial" w:eastAsia="Calibri" w:hAnsi="Arial" w:cs="Arial"/>
          <w:color w:val="000000" w:themeColor="text1"/>
          <w:sz w:val="22"/>
        </w:rPr>
        <w:t xml:space="preserve"> ofrecer el número de cuadrillas de trabajo adicional</w:t>
      </w:r>
      <w:r>
        <w:rPr>
          <w:rFonts w:ascii="Arial" w:eastAsia="Calibri" w:hAnsi="Arial" w:cs="Arial"/>
          <w:color w:val="000000" w:themeColor="text1"/>
          <w:sz w:val="22"/>
        </w:rPr>
        <w:t xml:space="preserve"> que consideren pertinentes</w:t>
      </w:r>
      <w:r w:rsidRPr="00664620">
        <w:rPr>
          <w:rFonts w:ascii="Arial" w:eastAsia="Calibri" w:hAnsi="Arial" w:cs="Arial"/>
          <w:sz w:val="22"/>
        </w:rPr>
        <w:t xml:space="preserve">. Es decir, </w:t>
      </w:r>
      <w:r>
        <w:rPr>
          <w:rFonts w:ascii="Arial" w:eastAsia="Calibri" w:hAnsi="Arial" w:cs="Arial"/>
          <w:sz w:val="22"/>
        </w:rPr>
        <w:t>los pliegos tipo</w:t>
      </w:r>
      <w:r w:rsidRPr="00664620">
        <w:rPr>
          <w:rFonts w:ascii="Arial" w:eastAsia="Calibri" w:hAnsi="Arial" w:cs="Arial"/>
          <w:sz w:val="22"/>
        </w:rPr>
        <w:t xml:space="preserve"> no limita</w:t>
      </w:r>
      <w:r>
        <w:rPr>
          <w:rFonts w:ascii="Arial" w:eastAsia="Calibri" w:hAnsi="Arial" w:cs="Arial"/>
          <w:sz w:val="22"/>
        </w:rPr>
        <w:t>n</w:t>
      </w:r>
      <w:r w:rsidRPr="00664620">
        <w:rPr>
          <w:rFonts w:ascii="Arial" w:eastAsia="Calibri" w:hAnsi="Arial" w:cs="Arial"/>
          <w:sz w:val="22"/>
        </w:rPr>
        <w:t xml:space="preserve"> </w:t>
      </w:r>
      <w:r>
        <w:rPr>
          <w:rFonts w:ascii="Arial" w:eastAsia="Calibri" w:hAnsi="Arial" w:cs="Arial"/>
          <w:sz w:val="22"/>
        </w:rPr>
        <w:t>este aspecto puntual de la oferta</w:t>
      </w:r>
      <w:r w:rsidRPr="00664620">
        <w:rPr>
          <w:rFonts w:ascii="Arial" w:eastAsia="Calibri" w:hAnsi="Arial" w:cs="Arial"/>
          <w:sz w:val="22"/>
        </w:rPr>
        <w:t>. No obstante, en el evento que resulte adjudicatario del proceso de contratación, el compromiso del factor de calidad se convierte en un deber contractual de obligatorio cumplimiento, so pena la imposición de las multas de acuerdo con lo definido en el «Anexo 5 – Minuta del Contrato».</w:t>
      </w:r>
    </w:p>
    <w:p w14:paraId="5B0B1E86" w14:textId="77777777" w:rsidR="00185441" w:rsidRDefault="00185441" w:rsidP="00185441">
      <w:pPr>
        <w:spacing w:line="276" w:lineRule="auto"/>
        <w:jc w:val="both"/>
        <w:rPr>
          <w:rFonts w:ascii="Arial" w:eastAsia="Calibri" w:hAnsi="Arial" w:cs="Arial"/>
          <w:color w:val="000000" w:themeColor="text1"/>
          <w:sz w:val="22"/>
        </w:rPr>
      </w:pPr>
    </w:p>
    <w:p w14:paraId="66CE4DD8" w14:textId="40186C6E" w:rsidR="00BE1E33" w:rsidRPr="006C15D5" w:rsidRDefault="00BE1E33" w:rsidP="00BE1E33">
      <w:pPr>
        <w:spacing w:before="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535888FB" w:rsidR="00BE1E33" w:rsidRDefault="00BF0BE2" w:rsidP="00BE1E33">
      <w:pPr>
        <w:jc w:val="center"/>
        <w:rPr>
          <w:rFonts w:ascii="Arial" w:eastAsia="Times New Roman" w:hAnsi="Arial" w:cs="Arial"/>
          <w:color w:val="000000" w:themeColor="text1"/>
          <w:sz w:val="18"/>
          <w:szCs w:val="20"/>
          <w:lang w:eastAsia="es-CO"/>
        </w:rPr>
      </w:pPr>
      <w:r>
        <w:rPr>
          <w:noProof/>
        </w:rPr>
        <w:drawing>
          <wp:inline distT="0" distB="0" distL="0" distR="0" wp14:anchorId="2098E3AA" wp14:editId="2462A2F6">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68BE6D2" w14:textId="77777777" w:rsidR="00BF0BE2" w:rsidRDefault="00BF0BE2" w:rsidP="00BE1E33">
      <w:pPr>
        <w:jc w:val="center"/>
        <w:rPr>
          <w:rFonts w:ascii="Arial" w:eastAsia="Times New Roman" w:hAnsi="Arial" w:cs="Arial"/>
          <w:color w:val="000000" w:themeColor="text1"/>
          <w:sz w:val="18"/>
          <w:szCs w:val="20"/>
          <w:lang w:eastAsia="es-CO"/>
        </w:rPr>
      </w:pP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72C546A6" w:rsidR="00730CDB" w:rsidRPr="006C15D5" w:rsidRDefault="00D96847"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72718C99" w14:textId="1210CA6C" w:rsidR="00BE1E33" w:rsidRPr="006C15D5" w:rsidRDefault="003C44F9" w:rsidP="00730CDB">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00D26D79">
              <w:rPr>
                <w:rFonts w:ascii="Arial" w:eastAsia="Times New Roman" w:hAnsi="Arial" w:cs="Arial"/>
                <w:color w:val="000000" w:themeColor="text1"/>
                <w:sz w:val="16"/>
                <w:szCs w:val="16"/>
                <w:lang w:eastAsia="es-ES"/>
              </w:rPr>
              <w:t>de la</w:t>
            </w:r>
            <w:r>
              <w:rPr>
                <w:rFonts w:ascii="Arial" w:eastAsia="Times New Roman" w:hAnsi="Arial" w:cs="Arial"/>
                <w:color w:val="000000" w:themeColor="text1"/>
                <w:sz w:val="16"/>
                <w:szCs w:val="16"/>
                <w:lang w:eastAsia="es-ES"/>
              </w:rPr>
              <w:t xml:space="preserve"> Subdirección de</w:t>
            </w:r>
            <w:r w:rsidR="00730CDB" w:rsidRPr="006C15D5">
              <w:rPr>
                <w:rFonts w:ascii="Arial" w:eastAsia="Times New Roman" w:hAnsi="Arial" w:cs="Arial"/>
                <w:color w:val="000000" w:themeColor="text1"/>
                <w:sz w:val="16"/>
                <w:szCs w:val="16"/>
                <w:lang w:eastAsia="es-ES"/>
              </w:rPr>
              <w:t xml:space="preserv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sectPr w:rsidR="00BE1E33"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64080" w14:textId="77777777" w:rsidR="002E1D4E" w:rsidRDefault="002E1D4E" w:rsidP="008C487C">
      <w:r>
        <w:separator/>
      </w:r>
    </w:p>
  </w:endnote>
  <w:endnote w:type="continuationSeparator" w:id="0">
    <w:p w14:paraId="37671C0D" w14:textId="77777777" w:rsidR="002E1D4E" w:rsidRDefault="002E1D4E"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FD386C" w:rsidRDefault="00FD386C" w:rsidP="00AC43E7">
    <w:pPr>
      <w:pStyle w:val="Sinespaciado"/>
      <w:jc w:val="right"/>
      <w:rPr>
        <w:rFonts w:ascii="Arial" w:hAnsi="Arial" w:cs="Arial"/>
        <w:sz w:val="18"/>
        <w:szCs w:val="18"/>
      </w:rPr>
    </w:pPr>
  </w:p>
  <w:p w14:paraId="709352A1" w14:textId="77777777" w:rsidR="00FD386C" w:rsidRDefault="00FD386C" w:rsidP="00AC43E7">
    <w:pPr>
      <w:pStyle w:val="Sinespaciado"/>
      <w:jc w:val="right"/>
      <w:rPr>
        <w:rFonts w:ascii="Arial" w:hAnsi="Arial" w:cs="Arial"/>
        <w:sz w:val="18"/>
        <w:szCs w:val="18"/>
      </w:rPr>
    </w:pPr>
  </w:p>
  <w:p w14:paraId="3D3EB348" w14:textId="77777777" w:rsidR="00FD386C" w:rsidRPr="008217B7" w:rsidRDefault="00FD386C"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FD386C" w:rsidRDefault="00FD386C"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FD386C" w:rsidRPr="00E756AC" w:rsidRDefault="00FD386C" w:rsidP="00AC43E7">
    <w:pPr>
      <w:pStyle w:val="Piedepgina"/>
      <w:jc w:val="center"/>
      <w:rPr>
        <w:sz w:val="18"/>
        <w:szCs w:val="18"/>
        <w:lang w:val="es-ES"/>
      </w:rPr>
    </w:pPr>
  </w:p>
  <w:p w14:paraId="428179B1" w14:textId="77777777" w:rsidR="00FD386C" w:rsidRPr="00E756AC" w:rsidRDefault="00FD386C"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39E17" w14:textId="77777777" w:rsidR="002E1D4E" w:rsidRDefault="002E1D4E" w:rsidP="008C487C">
      <w:r>
        <w:separator/>
      </w:r>
    </w:p>
  </w:footnote>
  <w:footnote w:type="continuationSeparator" w:id="0">
    <w:p w14:paraId="52247774" w14:textId="77777777" w:rsidR="002E1D4E" w:rsidRDefault="002E1D4E" w:rsidP="008C487C">
      <w:r>
        <w:continuationSeparator/>
      </w:r>
    </w:p>
  </w:footnote>
  <w:footnote w:id="1">
    <w:p w14:paraId="0CAAA1AD" w14:textId="77777777" w:rsidR="00D11186" w:rsidRPr="009A38E4" w:rsidRDefault="00D11186" w:rsidP="00D11186">
      <w:pPr>
        <w:pStyle w:val="Textonotapie"/>
        <w:ind w:firstLine="708"/>
        <w:jc w:val="both"/>
        <w:rPr>
          <w:rFonts w:ascii="Arial" w:hAnsi="Arial" w:cs="Arial"/>
          <w:sz w:val="19"/>
          <w:szCs w:val="19"/>
        </w:rPr>
      </w:pPr>
      <w:r w:rsidRPr="009A38E4">
        <w:rPr>
          <w:rStyle w:val="Refdenotaalpie"/>
          <w:rFonts w:ascii="Arial" w:hAnsi="Arial" w:cs="Arial"/>
          <w:sz w:val="19"/>
          <w:szCs w:val="19"/>
        </w:rPr>
        <w:footnoteRef/>
      </w:r>
      <w:r w:rsidRPr="009A38E4">
        <w:rPr>
          <w:rFonts w:ascii="Arial" w:hAnsi="Arial" w:cs="Arial"/>
          <w:sz w:val="19"/>
          <w:szCs w:val="19"/>
        </w:rPr>
        <w:t xml:space="preserve"> «Artículo 2.2.1.2.3.1.6. Garantía de los Riesgos derivados del incumplimiento de la oferta. La garantía de seriedad de la oferta debe cubrir la sanción derivada del incumplimiento de la oferta, en los siguientes eventos:</w:t>
      </w:r>
    </w:p>
    <w:p w14:paraId="09091CF4"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 xml:space="preserve">»1.    </w:t>
      </w:r>
      <w:bookmarkStart w:id="8" w:name="_Hlk36666279"/>
      <w:r w:rsidRPr="009A38E4">
        <w:rPr>
          <w:rFonts w:ascii="Arial" w:hAnsi="Arial" w:cs="Arial"/>
          <w:sz w:val="19"/>
          <w:szCs w:val="19"/>
        </w:rPr>
        <w:t>La no ampliación de la vigencia de la garantía de seriedad de la oferta cuando el plazo para la adjudicación o para suscribir el contrato es prorrogado, siempre que tal prórroga sea inferior a tres (3) meses.</w:t>
      </w:r>
    </w:p>
    <w:bookmarkEnd w:id="8"/>
    <w:p w14:paraId="3DA86B79"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»2.    El retiro de la oferta después de vencido el plazo fijado para la presentación de las ofertas.</w:t>
      </w:r>
    </w:p>
    <w:p w14:paraId="012FC898"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»3.    La no suscripción del contrato sin justa causa por parte del adjudicatario.</w:t>
      </w:r>
    </w:p>
    <w:p w14:paraId="212F1536"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»4.  La falta de otorgamiento por parte del proponente seleccionado de la garantía de cumplimiento del contrato».</w:t>
      </w:r>
    </w:p>
    <w:p w14:paraId="264D6F9E"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 xml:space="preserve">[…] </w:t>
      </w:r>
    </w:p>
    <w:p w14:paraId="03BFCBD1"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«Artículo 2.2.1.2.3.1.9. Suficiencia de la garantía de seriedad de la oferta. La garantía de seriedad de la oferta debe estar vigente desde la presentación de la oferta y hasta la aprobación de la garantía de cumplimiento del contrato y su valor debe ser de por lo menos el diez por ciento (10%) del valor de la oferta.</w:t>
      </w:r>
    </w:p>
    <w:p w14:paraId="6FFAD0BA"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»El valor de la garantía de seriedad de la oferta que presenten los proponentes en el Proceso de Contratación de un Acuerdo Marco de Precio debe ser de mil (1.000) SMMLV.</w:t>
      </w:r>
    </w:p>
    <w:p w14:paraId="04264FD2"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»El valor de la garantía de seriedad de la oferta que presenten los proponentes en la subasta inversa y en el concurso de méritos debe ser equivalente al diez por ciento (10%) del presupuesto oficial estimado del Proceso de Contratación.</w:t>
      </w:r>
    </w:p>
    <w:p w14:paraId="4CD0D7DF"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»Cuando el valor de la oferta o el presupuesto estimado de la contratación sea superior a un millón (1.000.000) de SMMLV se aplicarán las siguientes reglas:</w:t>
      </w:r>
    </w:p>
    <w:p w14:paraId="02F662C7"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»1.    Si el valor de la oferta es superior a un millón (1.000.000) de SMMLV y hasta cinco millones (5.000.000) de SMMLV, la Entidad Estatal puede aceptar garantías que cubran al menos el dos punto cinco por ciento (2,5%) del valor de la oferta.</w:t>
      </w:r>
    </w:p>
    <w:p w14:paraId="41381AD3"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»2.  Si el valor de la oferta es superior a cinco millones (5.000.000) de SMMLV y hasta diez millones (10.000.000) de SMMLV, la Entidad Estatal puede aceptar garantías que cubran al menos el uno por ciento (1%) del valor de la oferta.</w:t>
      </w:r>
    </w:p>
    <w:p w14:paraId="2069E2C7" w14:textId="77777777" w:rsidR="00D11186" w:rsidRPr="009A38E4" w:rsidRDefault="00D11186" w:rsidP="00D11186">
      <w:pPr>
        <w:pStyle w:val="Textonotapie"/>
        <w:ind w:firstLine="708"/>
        <w:jc w:val="both"/>
        <w:rPr>
          <w:rFonts w:ascii="Arial" w:hAnsi="Arial" w:cs="Arial"/>
          <w:sz w:val="19"/>
          <w:szCs w:val="19"/>
        </w:rPr>
      </w:pPr>
      <w:r w:rsidRPr="009A38E4">
        <w:rPr>
          <w:rFonts w:ascii="Arial" w:hAnsi="Arial" w:cs="Arial"/>
          <w:sz w:val="19"/>
          <w:szCs w:val="19"/>
        </w:rPr>
        <w:t>»3.    Si el valor de la oferta es superior a diez millones (10.000.000) de SMMLV, la Entidad Estatal puede aceptar garantías que cubran al menos el cero punto cinco por ciento (0,5%) del valor de la oferta».</w:t>
      </w:r>
    </w:p>
    <w:p w14:paraId="192DB9C6" w14:textId="77777777" w:rsidR="00D11186" w:rsidRPr="009A38E4" w:rsidRDefault="00D11186" w:rsidP="00D11186">
      <w:pPr>
        <w:pStyle w:val="Textonotapie"/>
        <w:ind w:firstLine="708"/>
        <w:jc w:val="both"/>
        <w:rPr>
          <w:rFonts w:ascii="Arial" w:hAnsi="Arial" w:cs="Arial"/>
          <w:sz w:val="19"/>
          <w:szCs w:val="19"/>
        </w:rPr>
      </w:pPr>
    </w:p>
  </w:footnote>
  <w:footnote w:id="2">
    <w:p w14:paraId="6F33DCD6" w14:textId="77777777" w:rsidR="00887AE5" w:rsidRPr="009A38E4" w:rsidRDefault="00887AE5" w:rsidP="00887AE5">
      <w:pPr>
        <w:pStyle w:val="Textonotapie"/>
        <w:ind w:firstLine="708"/>
        <w:jc w:val="both"/>
        <w:rPr>
          <w:rFonts w:ascii="Arial" w:hAnsi="Arial" w:cs="Arial"/>
          <w:sz w:val="19"/>
          <w:szCs w:val="19"/>
        </w:rPr>
      </w:pPr>
      <w:r w:rsidRPr="009A38E4">
        <w:rPr>
          <w:rStyle w:val="Refdenotaalpie"/>
          <w:rFonts w:ascii="Arial" w:hAnsi="Arial" w:cs="Arial"/>
          <w:sz w:val="19"/>
          <w:szCs w:val="19"/>
        </w:rPr>
        <w:footnoteRef/>
      </w:r>
      <w:r w:rsidRPr="009A38E4">
        <w:rPr>
          <w:rFonts w:ascii="Arial" w:hAnsi="Arial" w:cs="Arial"/>
          <w:sz w:val="19"/>
          <w:szCs w:val="19"/>
        </w:rPr>
        <w:t xml:space="preserve"> «Artículo 1068. Mora en el pago de la prima: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w:t>
      </w:r>
    </w:p>
    <w:p w14:paraId="33AC0118" w14:textId="77777777" w:rsidR="00887AE5" w:rsidRPr="009A38E4" w:rsidRDefault="00887AE5" w:rsidP="00887AE5">
      <w:pPr>
        <w:pStyle w:val="Textonotapie"/>
        <w:ind w:firstLine="708"/>
        <w:jc w:val="both"/>
        <w:rPr>
          <w:rFonts w:ascii="Arial" w:hAnsi="Arial" w:cs="Arial"/>
          <w:sz w:val="19"/>
          <w:szCs w:val="19"/>
        </w:rPr>
      </w:pPr>
      <w:r w:rsidRPr="009A38E4">
        <w:rPr>
          <w:rFonts w:ascii="Arial" w:hAnsi="Arial" w:cs="Arial"/>
          <w:sz w:val="19"/>
          <w:szCs w:val="19"/>
        </w:rPr>
        <w:t>»Lo dispuesto en el inciso anterior deberá consignarse por parte del asegurador en la carátula de la póliza, en caracteres destacados.</w:t>
      </w:r>
    </w:p>
    <w:p w14:paraId="2B78D929" w14:textId="007C2DC5" w:rsidR="00887AE5" w:rsidRDefault="00887AE5" w:rsidP="007745AE">
      <w:pPr>
        <w:pStyle w:val="Textonotapie"/>
        <w:ind w:firstLine="708"/>
        <w:jc w:val="both"/>
        <w:rPr>
          <w:rFonts w:ascii="Arial" w:hAnsi="Arial" w:cs="Arial"/>
          <w:sz w:val="19"/>
          <w:szCs w:val="19"/>
        </w:rPr>
      </w:pPr>
      <w:r w:rsidRPr="009A38E4">
        <w:rPr>
          <w:rFonts w:ascii="Arial" w:hAnsi="Arial" w:cs="Arial"/>
          <w:sz w:val="19"/>
          <w:szCs w:val="19"/>
        </w:rPr>
        <w:t>»Lo dispuesto en este artículo no podrá ser modificado por las partes».</w:t>
      </w:r>
    </w:p>
    <w:p w14:paraId="36F48980" w14:textId="77777777" w:rsidR="000856FB" w:rsidRPr="009A38E4" w:rsidRDefault="000856FB" w:rsidP="007745AE">
      <w:pPr>
        <w:pStyle w:val="Textonotapie"/>
        <w:ind w:firstLine="708"/>
        <w:jc w:val="both"/>
        <w:rPr>
          <w:rFonts w:ascii="Arial" w:hAnsi="Arial" w:cs="Arial"/>
          <w:sz w:val="19"/>
          <w:szCs w:val="19"/>
        </w:rPr>
      </w:pPr>
    </w:p>
  </w:footnote>
  <w:footnote w:id="3">
    <w:p w14:paraId="2CBB77E2" w14:textId="3423F198" w:rsidR="00D11186" w:rsidRPr="009A38E4" w:rsidRDefault="00D11186" w:rsidP="00D11186">
      <w:pPr>
        <w:pStyle w:val="Textonotapie"/>
        <w:ind w:firstLine="708"/>
        <w:jc w:val="both"/>
        <w:rPr>
          <w:rFonts w:ascii="Arial" w:hAnsi="Arial" w:cs="Arial"/>
          <w:sz w:val="19"/>
          <w:szCs w:val="19"/>
        </w:rPr>
      </w:pPr>
      <w:r w:rsidRPr="009A38E4">
        <w:rPr>
          <w:rStyle w:val="Refdenotaalpie"/>
          <w:rFonts w:ascii="Arial" w:hAnsi="Arial" w:cs="Arial"/>
          <w:sz w:val="19"/>
          <w:szCs w:val="19"/>
        </w:rPr>
        <w:footnoteRef/>
      </w:r>
      <w:r w:rsidRPr="009A38E4">
        <w:rPr>
          <w:rFonts w:ascii="Arial" w:hAnsi="Arial" w:cs="Arial"/>
          <w:sz w:val="19"/>
          <w:szCs w:val="19"/>
        </w:rPr>
        <w:t xml:space="preserve"> </w:t>
      </w:r>
      <w:r w:rsidR="00010A06" w:rsidRPr="009A38E4">
        <w:rPr>
          <w:rFonts w:ascii="Arial" w:hAnsi="Arial" w:cs="Arial"/>
          <w:sz w:val="19"/>
          <w:szCs w:val="19"/>
        </w:rPr>
        <w:t xml:space="preserve">En esta medida, el numeral 7.1 de los pliegos tipo y de la invitación dispone que </w:t>
      </w:r>
      <w:r w:rsidR="00DC35CE" w:rsidRPr="009A38E4">
        <w:rPr>
          <w:rFonts w:ascii="Arial" w:hAnsi="Arial" w:cs="Arial"/>
          <w:sz w:val="19"/>
          <w:szCs w:val="19"/>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14:paraId="299B7723" w14:textId="77777777" w:rsidR="00D11186" w:rsidRPr="009A38E4" w:rsidRDefault="00D11186" w:rsidP="00D11186">
      <w:pPr>
        <w:pStyle w:val="Textonotapie"/>
        <w:ind w:firstLine="708"/>
        <w:jc w:val="both"/>
        <w:rPr>
          <w:rFonts w:ascii="Arial" w:hAnsi="Arial" w:cs="Arial"/>
          <w:sz w:val="19"/>
          <w:szCs w:val="19"/>
          <w:lang w:val="es-ES"/>
        </w:rPr>
      </w:pPr>
    </w:p>
  </w:footnote>
  <w:footnote w:id="4">
    <w:p w14:paraId="03DAA4F9" w14:textId="633DD4E1" w:rsidR="00887AE5" w:rsidRPr="009A38E4" w:rsidRDefault="00887AE5" w:rsidP="00887AE5">
      <w:pPr>
        <w:pStyle w:val="Textonotapie"/>
        <w:ind w:firstLine="708"/>
        <w:jc w:val="both"/>
        <w:rPr>
          <w:rFonts w:ascii="Arial" w:hAnsi="Arial" w:cs="Arial"/>
          <w:sz w:val="19"/>
          <w:szCs w:val="19"/>
        </w:rPr>
      </w:pPr>
      <w:r w:rsidRPr="009A38E4">
        <w:rPr>
          <w:rStyle w:val="Refdenotaalpie"/>
          <w:rFonts w:ascii="Arial" w:hAnsi="Arial" w:cs="Arial"/>
          <w:sz w:val="19"/>
          <w:szCs w:val="19"/>
        </w:rPr>
        <w:footnoteRef/>
      </w:r>
      <w:r w:rsidRPr="009A38E4">
        <w:rPr>
          <w:rFonts w:ascii="Arial" w:hAnsi="Arial" w:cs="Arial"/>
          <w:sz w:val="19"/>
          <w:szCs w:val="19"/>
        </w:rPr>
        <w:t xml:space="preserve"> CORTE CONSTITUCIONAL. Sentencia C-452 de 1999. M.P. Eduardo Cifuentes Muñoz. </w:t>
      </w:r>
    </w:p>
    <w:p w14:paraId="561CB81E" w14:textId="77777777" w:rsidR="007745AE" w:rsidRPr="009A38E4" w:rsidRDefault="007745AE" w:rsidP="00887AE5">
      <w:pPr>
        <w:pStyle w:val="Textonotapie"/>
        <w:ind w:firstLine="708"/>
        <w:jc w:val="both"/>
        <w:rPr>
          <w:rFonts w:ascii="Arial" w:hAnsi="Arial" w:cs="Arial"/>
          <w:color w:val="1B2B11" w:themeColor="accent6" w:themeShade="40"/>
          <w:sz w:val="19"/>
          <w:szCs w:val="19"/>
        </w:rPr>
      </w:pPr>
    </w:p>
  </w:footnote>
  <w:footnote w:id="5">
    <w:p w14:paraId="75F7977B" w14:textId="22A1A05C" w:rsidR="00887AE5" w:rsidRPr="009A38E4" w:rsidRDefault="00887AE5" w:rsidP="00887AE5">
      <w:pPr>
        <w:pStyle w:val="Textonotapie"/>
        <w:ind w:firstLine="708"/>
        <w:jc w:val="both"/>
        <w:rPr>
          <w:rFonts w:ascii="Arial" w:hAnsi="Arial" w:cs="Arial"/>
          <w:sz w:val="19"/>
          <w:szCs w:val="19"/>
        </w:rPr>
      </w:pPr>
      <w:r w:rsidRPr="009A38E4">
        <w:rPr>
          <w:rStyle w:val="Refdenotaalpie"/>
          <w:rFonts w:ascii="Arial" w:hAnsi="Arial" w:cs="Arial"/>
          <w:sz w:val="19"/>
          <w:szCs w:val="19"/>
        </w:rPr>
        <w:footnoteRef/>
      </w:r>
      <w:r w:rsidRPr="009A38E4">
        <w:rPr>
          <w:rFonts w:ascii="Arial" w:hAnsi="Arial" w:cs="Arial"/>
          <w:sz w:val="19"/>
          <w:szCs w:val="19"/>
        </w:rPr>
        <w:t xml:space="preserve"> DROMI, José Roberto. La licitación pública. Buenos Aires: Ciudad Argentina, 1980. pp. 288-289.</w:t>
      </w:r>
    </w:p>
    <w:p w14:paraId="2D91BE64" w14:textId="77777777" w:rsidR="00B861DA" w:rsidRPr="009A38E4" w:rsidRDefault="00B861DA" w:rsidP="00887AE5">
      <w:pPr>
        <w:pStyle w:val="Textonotapie"/>
        <w:ind w:firstLine="708"/>
        <w:jc w:val="both"/>
        <w:rPr>
          <w:rFonts w:ascii="Arial" w:hAnsi="Arial" w:cs="Arial"/>
          <w:sz w:val="19"/>
          <w:szCs w:val="19"/>
        </w:rPr>
      </w:pPr>
    </w:p>
  </w:footnote>
  <w:footnote w:id="6">
    <w:p w14:paraId="39D6AF1C" w14:textId="5466417A" w:rsidR="00E72ACE" w:rsidRPr="009A38E4" w:rsidRDefault="00E72ACE" w:rsidP="00E72ACE">
      <w:pPr>
        <w:pStyle w:val="Textonotapie"/>
        <w:ind w:firstLine="708"/>
        <w:jc w:val="both"/>
        <w:rPr>
          <w:rFonts w:ascii="Arial" w:hAnsi="Arial" w:cs="Arial"/>
          <w:sz w:val="19"/>
          <w:szCs w:val="19"/>
        </w:rPr>
      </w:pPr>
      <w:r w:rsidRPr="009A38E4">
        <w:rPr>
          <w:rStyle w:val="Refdenotaalpie"/>
          <w:rFonts w:ascii="Arial" w:hAnsi="Arial" w:cs="Arial"/>
          <w:sz w:val="19"/>
          <w:szCs w:val="19"/>
        </w:rPr>
        <w:footnoteRef/>
      </w:r>
      <w:r w:rsidR="00A862CB" w:rsidRPr="009A38E4">
        <w:rPr>
          <w:rFonts w:ascii="Arial" w:hAnsi="Arial" w:cs="Arial"/>
          <w:sz w:val="19"/>
          <w:szCs w:val="19"/>
        </w:rPr>
        <w:t xml:space="preserve"> Al respecto, el parágrafo 3 de la Ley 1150 de 2007, adicionado por la Ley 1882 de 2018, prescribe lo siguiente: «La no entrega de la garantía de seriedad junto con la propuesta no será subsanable y será causal de rechazo de la misma».</w:t>
      </w:r>
      <w:r w:rsidRPr="009A38E4">
        <w:rPr>
          <w:rFonts w:ascii="Arial" w:hAnsi="Arial" w:cs="Arial"/>
          <w:sz w:val="19"/>
          <w:szCs w:val="19"/>
        </w:rPr>
        <w:t xml:space="preserve"> </w:t>
      </w:r>
    </w:p>
    <w:p w14:paraId="5F0BA4F6" w14:textId="77777777" w:rsidR="00E72ACE" w:rsidRPr="009A38E4" w:rsidRDefault="00E72ACE" w:rsidP="00E72ACE">
      <w:pPr>
        <w:pStyle w:val="Textonotapie"/>
        <w:ind w:firstLine="708"/>
        <w:jc w:val="both"/>
        <w:rPr>
          <w:rFonts w:ascii="Arial" w:hAnsi="Arial" w:cs="Arial"/>
          <w:sz w:val="19"/>
          <w:szCs w:val="19"/>
          <w:lang w:val="es-ES"/>
        </w:rPr>
      </w:pPr>
    </w:p>
  </w:footnote>
  <w:footnote w:id="7">
    <w:p w14:paraId="367B3E46" w14:textId="77777777" w:rsidR="00887AE5" w:rsidRPr="009A38E4" w:rsidRDefault="00887AE5" w:rsidP="00887AE5">
      <w:pPr>
        <w:pStyle w:val="Textonotapie"/>
        <w:ind w:firstLine="708"/>
        <w:jc w:val="both"/>
        <w:rPr>
          <w:rFonts w:ascii="Arial" w:hAnsi="Arial" w:cs="Arial"/>
          <w:sz w:val="19"/>
          <w:szCs w:val="19"/>
        </w:rPr>
      </w:pPr>
      <w:r w:rsidRPr="009A38E4">
        <w:rPr>
          <w:rStyle w:val="Refdenotaalpie"/>
          <w:rFonts w:ascii="Arial" w:hAnsi="Arial" w:cs="Arial"/>
          <w:sz w:val="19"/>
          <w:szCs w:val="19"/>
        </w:rPr>
        <w:footnoteRef/>
      </w:r>
      <w:r w:rsidRPr="009A38E4">
        <w:rPr>
          <w:rFonts w:ascii="Arial" w:hAnsi="Arial" w:cs="Arial"/>
          <w:sz w:val="19"/>
          <w:szCs w:val="19"/>
        </w:rPr>
        <w:t xml:space="preserve"> A diferencia de la garantía de seriedad, la de cumplimiento admite, excepcionalmente, la división de su valor y vigencia conforme al artículo 2.2.1.2.3.1.3 del </w:t>
      </w:r>
      <w:bookmarkStart w:id="11" w:name="_Hlk36666186"/>
      <w:r w:rsidRPr="009A38E4">
        <w:rPr>
          <w:rFonts w:ascii="Arial" w:hAnsi="Arial" w:cs="Arial"/>
          <w:sz w:val="19"/>
          <w:szCs w:val="19"/>
        </w:rPr>
        <w:t>Decreto 1082 de 2015</w:t>
      </w:r>
      <w:bookmarkEnd w:id="11"/>
      <w:r w:rsidRPr="009A38E4">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FD386C" w:rsidRDefault="00FD386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47EA"/>
    <w:rsid w:val="000072CE"/>
    <w:rsid w:val="000100E8"/>
    <w:rsid w:val="00010A06"/>
    <w:rsid w:val="00010D30"/>
    <w:rsid w:val="00021180"/>
    <w:rsid w:val="00023057"/>
    <w:rsid w:val="00024771"/>
    <w:rsid w:val="0003091B"/>
    <w:rsid w:val="000333A2"/>
    <w:rsid w:val="0003625C"/>
    <w:rsid w:val="00036E73"/>
    <w:rsid w:val="00040C88"/>
    <w:rsid w:val="00040D6E"/>
    <w:rsid w:val="00042C0C"/>
    <w:rsid w:val="00043A4D"/>
    <w:rsid w:val="00044FF2"/>
    <w:rsid w:val="000466AC"/>
    <w:rsid w:val="00047050"/>
    <w:rsid w:val="00051D31"/>
    <w:rsid w:val="00054B43"/>
    <w:rsid w:val="00061E34"/>
    <w:rsid w:val="00061EE4"/>
    <w:rsid w:val="00062B0D"/>
    <w:rsid w:val="0006519B"/>
    <w:rsid w:val="00076F69"/>
    <w:rsid w:val="000856FB"/>
    <w:rsid w:val="00086A16"/>
    <w:rsid w:val="00091570"/>
    <w:rsid w:val="00091D8F"/>
    <w:rsid w:val="000929DE"/>
    <w:rsid w:val="00093E58"/>
    <w:rsid w:val="00097CD6"/>
    <w:rsid w:val="000A1DBA"/>
    <w:rsid w:val="000A3B96"/>
    <w:rsid w:val="000A6338"/>
    <w:rsid w:val="000A6B6F"/>
    <w:rsid w:val="000C0E39"/>
    <w:rsid w:val="000C3D66"/>
    <w:rsid w:val="000C51AF"/>
    <w:rsid w:val="000C5830"/>
    <w:rsid w:val="000C5C37"/>
    <w:rsid w:val="000D088F"/>
    <w:rsid w:val="000E4A3C"/>
    <w:rsid w:val="000E5BB2"/>
    <w:rsid w:val="000E6867"/>
    <w:rsid w:val="000F1B34"/>
    <w:rsid w:val="000F1E3D"/>
    <w:rsid w:val="000F211E"/>
    <w:rsid w:val="00100AEC"/>
    <w:rsid w:val="001056C0"/>
    <w:rsid w:val="00107607"/>
    <w:rsid w:val="00112597"/>
    <w:rsid w:val="0012074A"/>
    <w:rsid w:val="001321AB"/>
    <w:rsid w:val="00140E57"/>
    <w:rsid w:val="00141B19"/>
    <w:rsid w:val="00141C64"/>
    <w:rsid w:val="001427E8"/>
    <w:rsid w:val="00142E4E"/>
    <w:rsid w:val="0014462B"/>
    <w:rsid w:val="00146D5B"/>
    <w:rsid w:val="0015306A"/>
    <w:rsid w:val="0015466A"/>
    <w:rsid w:val="001573F8"/>
    <w:rsid w:val="00163EED"/>
    <w:rsid w:val="00164E79"/>
    <w:rsid w:val="00166C81"/>
    <w:rsid w:val="0017603D"/>
    <w:rsid w:val="00181A3E"/>
    <w:rsid w:val="00185441"/>
    <w:rsid w:val="001865DB"/>
    <w:rsid w:val="00194C50"/>
    <w:rsid w:val="00196FB5"/>
    <w:rsid w:val="001B2E5D"/>
    <w:rsid w:val="001B53BD"/>
    <w:rsid w:val="001B5E36"/>
    <w:rsid w:val="001C1D25"/>
    <w:rsid w:val="001D38A0"/>
    <w:rsid w:val="001D5ECE"/>
    <w:rsid w:val="001D7420"/>
    <w:rsid w:val="001E1C6D"/>
    <w:rsid w:val="001E3F37"/>
    <w:rsid w:val="001E44A9"/>
    <w:rsid w:val="001E5745"/>
    <w:rsid w:val="001E5DBB"/>
    <w:rsid w:val="001E7044"/>
    <w:rsid w:val="001F1051"/>
    <w:rsid w:val="001F1A2D"/>
    <w:rsid w:val="001F34A8"/>
    <w:rsid w:val="001F40B2"/>
    <w:rsid w:val="001F4B99"/>
    <w:rsid w:val="00200F92"/>
    <w:rsid w:val="002034AD"/>
    <w:rsid w:val="00203BF1"/>
    <w:rsid w:val="00203F46"/>
    <w:rsid w:val="00207033"/>
    <w:rsid w:val="00210D66"/>
    <w:rsid w:val="00217339"/>
    <w:rsid w:val="002239B4"/>
    <w:rsid w:val="00227D08"/>
    <w:rsid w:val="0023008F"/>
    <w:rsid w:val="0023180C"/>
    <w:rsid w:val="00234C6C"/>
    <w:rsid w:val="0023576D"/>
    <w:rsid w:val="00244A28"/>
    <w:rsid w:val="00247EBA"/>
    <w:rsid w:val="0025095A"/>
    <w:rsid w:val="002532DE"/>
    <w:rsid w:val="00265031"/>
    <w:rsid w:val="00266277"/>
    <w:rsid w:val="002723C7"/>
    <w:rsid w:val="002807AD"/>
    <w:rsid w:val="00283163"/>
    <w:rsid w:val="00284C12"/>
    <w:rsid w:val="00286834"/>
    <w:rsid w:val="00286FAD"/>
    <w:rsid w:val="00297358"/>
    <w:rsid w:val="002A153A"/>
    <w:rsid w:val="002A2A80"/>
    <w:rsid w:val="002A6417"/>
    <w:rsid w:val="002A6631"/>
    <w:rsid w:val="002B282F"/>
    <w:rsid w:val="002B4B30"/>
    <w:rsid w:val="002B56DF"/>
    <w:rsid w:val="002B79E1"/>
    <w:rsid w:val="002C004E"/>
    <w:rsid w:val="002C441F"/>
    <w:rsid w:val="002D06BB"/>
    <w:rsid w:val="002E1D4E"/>
    <w:rsid w:val="002E320B"/>
    <w:rsid w:val="002E67C5"/>
    <w:rsid w:val="002E7BC2"/>
    <w:rsid w:val="002F1C33"/>
    <w:rsid w:val="002F2DB4"/>
    <w:rsid w:val="002F4CEA"/>
    <w:rsid w:val="002F63BB"/>
    <w:rsid w:val="002F6C10"/>
    <w:rsid w:val="002F6DBB"/>
    <w:rsid w:val="002F701E"/>
    <w:rsid w:val="003001AC"/>
    <w:rsid w:val="00302F9F"/>
    <w:rsid w:val="00303EC5"/>
    <w:rsid w:val="00304386"/>
    <w:rsid w:val="00304C55"/>
    <w:rsid w:val="00312203"/>
    <w:rsid w:val="00312B8F"/>
    <w:rsid w:val="00326B54"/>
    <w:rsid w:val="00334E97"/>
    <w:rsid w:val="003373C2"/>
    <w:rsid w:val="003401FE"/>
    <w:rsid w:val="00340A7A"/>
    <w:rsid w:val="003417F0"/>
    <w:rsid w:val="00344791"/>
    <w:rsid w:val="00350A47"/>
    <w:rsid w:val="0036125C"/>
    <w:rsid w:val="00377CD3"/>
    <w:rsid w:val="00381DFA"/>
    <w:rsid w:val="00387D0F"/>
    <w:rsid w:val="00390DCF"/>
    <w:rsid w:val="00396821"/>
    <w:rsid w:val="003A06BB"/>
    <w:rsid w:val="003A2944"/>
    <w:rsid w:val="003B0DEF"/>
    <w:rsid w:val="003C2074"/>
    <w:rsid w:val="003C3ADB"/>
    <w:rsid w:val="003C44F9"/>
    <w:rsid w:val="003C7207"/>
    <w:rsid w:val="003D0670"/>
    <w:rsid w:val="003D0E4A"/>
    <w:rsid w:val="003D0E7D"/>
    <w:rsid w:val="003D11B5"/>
    <w:rsid w:val="003D134C"/>
    <w:rsid w:val="003D69A5"/>
    <w:rsid w:val="003E14F9"/>
    <w:rsid w:val="003F309F"/>
    <w:rsid w:val="003F3119"/>
    <w:rsid w:val="003F4E8A"/>
    <w:rsid w:val="003F6D32"/>
    <w:rsid w:val="00411760"/>
    <w:rsid w:val="004161D4"/>
    <w:rsid w:val="0041784E"/>
    <w:rsid w:val="004208F0"/>
    <w:rsid w:val="00421EA9"/>
    <w:rsid w:val="00430B5A"/>
    <w:rsid w:val="00431C20"/>
    <w:rsid w:val="0044207D"/>
    <w:rsid w:val="004439E2"/>
    <w:rsid w:val="00444C5D"/>
    <w:rsid w:val="00447FE5"/>
    <w:rsid w:val="00451231"/>
    <w:rsid w:val="004526D3"/>
    <w:rsid w:val="00456D35"/>
    <w:rsid w:val="00457CF2"/>
    <w:rsid w:val="004617B8"/>
    <w:rsid w:val="00462A87"/>
    <w:rsid w:val="00463CA6"/>
    <w:rsid w:val="00463E5F"/>
    <w:rsid w:val="0046504E"/>
    <w:rsid w:val="00467620"/>
    <w:rsid w:val="00467C7C"/>
    <w:rsid w:val="004758FE"/>
    <w:rsid w:val="00476C17"/>
    <w:rsid w:val="00480836"/>
    <w:rsid w:val="004830C8"/>
    <w:rsid w:val="004837AB"/>
    <w:rsid w:val="00483A2F"/>
    <w:rsid w:val="00490DBF"/>
    <w:rsid w:val="00491C25"/>
    <w:rsid w:val="00491F16"/>
    <w:rsid w:val="0049739C"/>
    <w:rsid w:val="004A128C"/>
    <w:rsid w:val="004A1C13"/>
    <w:rsid w:val="004A5E72"/>
    <w:rsid w:val="004A6EE1"/>
    <w:rsid w:val="004B07EC"/>
    <w:rsid w:val="004B1BEE"/>
    <w:rsid w:val="004B2AB8"/>
    <w:rsid w:val="004B5B9E"/>
    <w:rsid w:val="004D1293"/>
    <w:rsid w:val="004D197C"/>
    <w:rsid w:val="004D1ADE"/>
    <w:rsid w:val="004D770C"/>
    <w:rsid w:val="004E0D21"/>
    <w:rsid w:val="004E370E"/>
    <w:rsid w:val="004E7EAE"/>
    <w:rsid w:val="004F4387"/>
    <w:rsid w:val="00510BF5"/>
    <w:rsid w:val="00510EDC"/>
    <w:rsid w:val="00513233"/>
    <w:rsid w:val="00521BA7"/>
    <w:rsid w:val="005252E2"/>
    <w:rsid w:val="005352A5"/>
    <w:rsid w:val="005379AD"/>
    <w:rsid w:val="005505C3"/>
    <w:rsid w:val="005511D5"/>
    <w:rsid w:val="00554A31"/>
    <w:rsid w:val="00565561"/>
    <w:rsid w:val="005678B1"/>
    <w:rsid w:val="00575DC6"/>
    <w:rsid w:val="005820AB"/>
    <w:rsid w:val="00585FB5"/>
    <w:rsid w:val="00586D1E"/>
    <w:rsid w:val="00590EE1"/>
    <w:rsid w:val="00591586"/>
    <w:rsid w:val="00592DB1"/>
    <w:rsid w:val="00595363"/>
    <w:rsid w:val="00595A2B"/>
    <w:rsid w:val="005A17D2"/>
    <w:rsid w:val="005A5E4A"/>
    <w:rsid w:val="005B7357"/>
    <w:rsid w:val="005C5B7C"/>
    <w:rsid w:val="005C673B"/>
    <w:rsid w:val="005D4CDB"/>
    <w:rsid w:val="005E247C"/>
    <w:rsid w:val="005F12C4"/>
    <w:rsid w:val="005F5D19"/>
    <w:rsid w:val="005F6CBF"/>
    <w:rsid w:val="006018AA"/>
    <w:rsid w:val="00612D14"/>
    <w:rsid w:val="006135E6"/>
    <w:rsid w:val="00632E10"/>
    <w:rsid w:val="00632EA5"/>
    <w:rsid w:val="00635CBC"/>
    <w:rsid w:val="00637F5E"/>
    <w:rsid w:val="00644F52"/>
    <w:rsid w:val="0065701C"/>
    <w:rsid w:val="006604A6"/>
    <w:rsid w:val="00662792"/>
    <w:rsid w:val="00664620"/>
    <w:rsid w:val="00667868"/>
    <w:rsid w:val="00671B54"/>
    <w:rsid w:val="00673DB8"/>
    <w:rsid w:val="00675BFE"/>
    <w:rsid w:val="0067691D"/>
    <w:rsid w:val="006818B6"/>
    <w:rsid w:val="006824B8"/>
    <w:rsid w:val="0068288E"/>
    <w:rsid w:val="006843B8"/>
    <w:rsid w:val="006852EB"/>
    <w:rsid w:val="006929BA"/>
    <w:rsid w:val="00692ABF"/>
    <w:rsid w:val="00692BBD"/>
    <w:rsid w:val="00693313"/>
    <w:rsid w:val="00694209"/>
    <w:rsid w:val="00697718"/>
    <w:rsid w:val="00697A99"/>
    <w:rsid w:val="006A1226"/>
    <w:rsid w:val="006A172E"/>
    <w:rsid w:val="006A3329"/>
    <w:rsid w:val="006A7743"/>
    <w:rsid w:val="006B150B"/>
    <w:rsid w:val="006B1785"/>
    <w:rsid w:val="006B317D"/>
    <w:rsid w:val="006B6C6A"/>
    <w:rsid w:val="006B7F25"/>
    <w:rsid w:val="006C15D5"/>
    <w:rsid w:val="006C1C02"/>
    <w:rsid w:val="006C234F"/>
    <w:rsid w:val="006C2D0C"/>
    <w:rsid w:val="006C3D0C"/>
    <w:rsid w:val="006C5955"/>
    <w:rsid w:val="006D3624"/>
    <w:rsid w:val="006D39A8"/>
    <w:rsid w:val="006D519D"/>
    <w:rsid w:val="006E13EF"/>
    <w:rsid w:val="006E4EE7"/>
    <w:rsid w:val="006E65C2"/>
    <w:rsid w:val="006F31BC"/>
    <w:rsid w:val="006F3802"/>
    <w:rsid w:val="006F39D0"/>
    <w:rsid w:val="006F7746"/>
    <w:rsid w:val="0070582B"/>
    <w:rsid w:val="00711157"/>
    <w:rsid w:val="00714800"/>
    <w:rsid w:val="00715B7E"/>
    <w:rsid w:val="00715F0D"/>
    <w:rsid w:val="00717930"/>
    <w:rsid w:val="0072152F"/>
    <w:rsid w:val="00721C21"/>
    <w:rsid w:val="007229FD"/>
    <w:rsid w:val="00730CDB"/>
    <w:rsid w:val="007323E9"/>
    <w:rsid w:val="00736945"/>
    <w:rsid w:val="00736C89"/>
    <w:rsid w:val="00741965"/>
    <w:rsid w:val="0074421C"/>
    <w:rsid w:val="00745744"/>
    <w:rsid w:val="00745A21"/>
    <w:rsid w:val="0075032A"/>
    <w:rsid w:val="00750C12"/>
    <w:rsid w:val="00754433"/>
    <w:rsid w:val="00763652"/>
    <w:rsid w:val="00764BF7"/>
    <w:rsid w:val="007650D8"/>
    <w:rsid w:val="00766030"/>
    <w:rsid w:val="00770D7D"/>
    <w:rsid w:val="00772497"/>
    <w:rsid w:val="007745AE"/>
    <w:rsid w:val="007754C3"/>
    <w:rsid w:val="007768FE"/>
    <w:rsid w:val="007902C3"/>
    <w:rsid w:val="00790BB8"/>
    <w:rsid w:val="00791377"/>
    <w:rsid w:val="007915BB"/>
    <w:rsid w:val="00795C86"/>
    <w:rsid w:val="007A45E7"/>
    <w:rsid w:val="007B1754"/>
    <w:rsid w:val="007B4AAA"/>
    <w:rsid w:val="007C6894"/>
    <w:rsid w:val="007D3B8C"/>
    <w:rsid w:val="007D62C7"/>
    <w:rsid w:val="007E001D"/>
    <w:rsid w:val="007F5F0C"/>
    <w:rsid w:val="007F7AC6"/>
    <w:rsid w:val="008007EE"/>
    <w:rsid w:val="00803061"/>
    <w:rsid w:val="008057D4"/>
    <w:rsid w:val="00807EEE"/>
    <w:rsid w:val="008103E9"/>
    <w:rsid w:val="008135F4"/>
    <w:rsid w:val="00813893"/>
    <w:rsid w:val="0082266E"/>
    <w:rsid w:val="008234E2"/>
    <w:rsid w:val="00824361"/>
    <w:rsid w:val="00825FD3"/>
    <w:rsid w:val="00826793"/>
    <w:rsid w:val="0083146F"/>
    <w:rsid w:val="008327EE"/>
    <w:rsid w:val="00833F8E"/>
    <w:rsid w:val="0083539E"/>
    <w:rsid w:val="00836E71"/>
    <w:rsid w:val="00837EBE"/>
    <w:rsid w:val="00842E74"/>
    <w:rsid w:val="00843BE5"/>
    <w:rsid w:val="008535C9"/>
    <w:rsid w:val="008561E0"/>
    <w:rsid w:val="00856B64"/>
    <w:rsid w:val="00860A39"/>
    <w:rsid w:val="0086177D"/>
    <w:rsid w:val="00862463"/>
    <w:rsid w:val="00863DD9"/>
    <w:rsid w:val="00865960"/>
    <w:rsid w:val="00866446"/>
    <w:rsid w:val="0086741B"/>
    <w:rsid w:val="00871568"/>
    <w:rsid w:val="00872D25"/>
    <w:rsid w:val="00881CD2"/>
    <w:rsid w:val="00886E66"/>
    <w:rsid w:val="00886F29"/>
    <w:rsid w:val="00887A55"/>
    <w:rsid w:val="00887AE5"/>
    <w:rsid w:val="008917A3"/>
    <w:rsid w:val="00891A49"/>
    <w:rsid w:val="00897DAB"/>
    <w:rsid w:val="008A0633"/>
    <w:rsid w:val="008A3386"/>
    <w:rsid w:val="008A53F2"/>
    <w:rsid w:val="008B09B1"/>
    <w:rsid w:val="008B628B"/>
    <w:rsid w:val="008B6430"/>
    <w:rsid w:val="008C24B6"/>
    <w:rsid w:val="008C487C"/>
    <w:rsid w:val="008C4C28"/>
    <w:rsid w:val="008D28AD"/>
    <w:rsid w:val="008D3473"/>
    <w:rsid w:val="008D575A"/>
    <w:rsid w:val="008D7A9D"/>
    <w:rsid w:val="008E0FCC"/>
    <w:rsid w:val="008E2FE3"/>
    <w:rsid w:val="008E5698"/>
    <w:rsid w:val="008E5F34"/>
    <w:rsid w:val="008E7D3F"/>
    <w:rsid w:val="008F00CF"/>
    <w:rsid w:val="008F2267"/>
    <w:rsid w:val="008F3EE2"/>
    <w:rsid w:val="008F5D4C"/>
    <w:rsid w:val="008F67FD"/>
    <w:rsid w:val="00905A7E"/>
    <w:rsid w:val="00905B18"/>
    <w:rsid w:val="00905B2F"/>
    <w:rsid w:val="009231E0"/>
    <w:rsid w:val="00923548"/>
    <w:rsid w:val="00923B70"/>
    <w:rsid w:val="00925293"/>
    <w:rsid w:val="00930B6C"/>
    <w:rsid w:val="00930E4B"/>
    <w:rsid w:val="009436DA"/>
    <w:rsid w:val="0094508D"/>
    <w:rsid w:val="00946E85"/>
    <w:rsid w:val="0094787E"/>
    <w:rsid w:val="00947C5C"/>
    <w:rsid w:val="009506A7"/>
    <w:rsid w:val="0095113A"/>
    <w:rsid w:val="00954CF5"/>
    <w:rsid w:val="0096646C"/>
    <w:rsid w:val="00967230"/>
    <w:rsid w:val="00972087"/>
    <w:rsid w:val="00972C13"/>
    <w:rsid w:val="0097456D"/>
    <w:rsid w:val="00974A47"/>
    <w:rsid w:val="009812D7"/>
    <w:rsid w:val="00982E99"/>
    <w:rsid w:val="009947D1"/>
    <w:rsid w:val="009A38E4"/>
    <w:rsid w:val="009A5714"/>
    <w:rsid w:val="009A5DA7"/>
    <w:rsid w:val="009B1AEC"/>
    <w:rsid w:val="009B7329"/>
    <w:rsid w:val="009C1FFE"/>
    <w:rsid w:val="009C27A9"/>
    <w:rsid w:val="009D16ED"/>
    <w:rsid w:val="009D1D57"/>
    <w:rsid w:val="009D4F8F"/>
    <w:rsid w:val="009E2544"/>
    <w:rsid w:val="009E2770"/>
    <w:rsid w:val="009E4710"/>
    <w:rsid w:val="009E4A43"/>
    <w:rsid w:val="009E6225"/>
    <w:rsid w:val="009F2261"/>
    <w:rsid w:val="009F3537"/>
    <w:rsid w:val="009F6ADC"/>
    <w:rsid w:val="009F78A4"/>
    <w:rsid w:val="00A032F8"/>
    <w:rsid w:val="00A10347"/>
    <w:rsid w:val="00A158AB"/>
    <w:rsid w:val="00A25657"/>
    <w:rsid w:val="00A304BE"/>
    <w:rsid w:val="00A329B6"/>
    <w:rsid w:val="00A367A1"/>
    <w:rsid w:val="00A40178"/>
    <w:rsid w:val="00A415D2"/>
    <w:rsid w:val="00A460BA"/>
    <w:rsid w:val="00A510F6"/>
    <w:rsid w:val="00A54828"/>
    <w:rsid w:val="00A57F74"/>
    <w:rsid w:val="00A651C9"/>
    <w:rsid w:val="00A67D0F"/>
    <w:rsid w:val="00A70E2D"/>
    <w:rsid w:val="00A73161"/>
    <w:rsid w:val="00A740E7"/>
    <w:rsid w:val="00A75F6C"/>
    <w:rsid w:val="00A80739"/>
    <w:rsid w:val="00A83829"/>
    <w:rsid w:val="00A862C0"/>
    <w:rsid w:val="00A862CB"/>
    <w:rsid w:val="00A87EE1"/>
    <w:rsid w:val="00A9000F"/>
    <w:rsid w:val="00A91A20"/>
    <w:rsid w:val="00A9229F"/>
    <w:rsid w:val="00A95100"/>
    <w:rsid w:val="00AA0652"/>
    <w:rsid w:val="00AA2A39"/>
    <w:rsid w:val="00AA2C16"/>
    <w:rsid w:val="00AA615B"/>
    <w:rsid w:val="00AA6272"/>
    <w:rsid w:val="00AB0DED"/>
    <w:rsid w:val="00AB14AB"/>
    <w:rsid w:val="00AC0C81"/>
    <w:rsid w:val="00AC1B48"/>
    <w:rsid w:val="00AC29D6"/>
    <w:rsid w:val="00AC43E7"/>
    <w:rsid w:val="00AD1E1B"/>
    <w:rsid w:val="00AD54C3"/>
    <w:rsid w:val="00AD7725"/>
    <w:rsid w:val="00AE0522"/>
    <w:rsid w:val="00AE668A"/>
    <w:rsid w:val="00AE6858"/>
    <w:rsid w:val="00AE7EF0"/>
    <w:rsid w:val="00AF2EFF"/>
    <w:rsid w:val="00AF41B6"/>
    <w:rsid w:val="00AF5C62"/>
    <w:rsid w:val="00AF643C"/>
    <w:rsid w:val="00AF6B2F"/>
    <w:rsid w:val="00AF7270"/>
    <w:rsid w:val="00AF727E"/>
    <w:rsid w:val="00B00055"/>
    <w:rsid w:val="00B051AD"/>
    <w:rsid w:val="00B14450"/>
    <w:rsid w:val="00B17BC5"/>
    <w:rsid w:val="00B20582"/>
    <w:rsid w:val="00B2158C"/>
    <w:rsid w:val="00B217CA"/>
    <w:rsid w:val="00B24E57"/>
    <w:rsid w:val="00B30D96"/>
    <w:rsid w:val="00B5123E"/>
    <w:rsid w:val="00B51B58"/>
    <w:rsid w:val="00B522C4"/>
    <w:rsid w:val="00B52B0E"/>
    <w:rsid w:val="00B5337D"/>
    <w:rsid w:val="00B533F4"/>
    <w:rsid w:val="00B62BEA"/>
    <w:rsid w:val="00B64B90"/>
    <w:rsid w:val="00B65290"/>
    <w:rsid w:val="00B70E26"/>
    <w:rsid w:val="00B861DA"/>
    <w:rsid w:val="00B86CB5"/>
    <w:rsid w:val="00B86D58"/>
    <w:rsid w:val="00B8745F"/>
    <w:rsid w:val="00B90754"/>
    <w:rsid w:val="00B936F7"/>
    <w:rsid w:val="00B9416B"/>
    <w:rsid w:val="00B9572C"/>
    <w:rsid w:val="00B9782C"/>
    <w:rsid w:val="00B97D95"/>
    <w:rsid w:val="00B97E3C"/>
    <w:rsid w:val="00BA0158"/>
    <w:rsid w:val="00BA7E78"/>
    <w:rsid w:val="00BB0833"/>
    <w:rsid w:val="00BB0EA7"/>
    <w:rsid w:val="00BB4CDF"/>
    <w:rsid w:val="00BB595B"/>
    <w:rsid w:val="00BB59F9"/>
    <w:rsid w:val="00BC15B8"/>
    <w:rsid w:val="00BC5279"/>
    <w:rsid w:val="00BC6C4E"/>
    <w:rsid w:val="00BC7B6A"/>
    <w:rsid w:val="00BD0EAC"/>
    <w:rsid w:val="00BD31AB"/>
    <w:rsid w:val="00BD58A7"/>
    <w:rsid w:val="00BD6EE4"/>
    <w:rsid w:val="00BE1E33"/>
    <w:rsid w:val="00BE2AD3"/>
    <w:rsid w:val="00BE36F7"/>
    <w:rsid w:val="00BF0BE2"/>
    <w:rsid w:val="00BF2443"/>
    <w:rsid w:val="00C07755"/>
    <w:rsid w:val="00C07B5E"/>
    <w:rsid w:val="00C10D3E"/>
    <w:rsid w:val="00C10DE8"/>
    <w:rsid w:val="00C12201"/>
    <w:rsid w:val="00C12AD2"/>
    <w:rsid w:val="00C1405A"/>
    <w:rsid w:val="00C14F61"/>
    <w:rsid w:val="00C31412"/>
    <w:rsid w:val="00C362A0"/>
    <w:rsid w:val="00C365AF"/>
    <w:rsid w:val="00C42740"/>
    <w:rsid w:val="00C4526C"/>
    <w:rsid w:val="00C50B1B"/>
    <w:rsid w:val="00C50C99"/>
    <w:rsid w:val="00C52801"/>
    <w:rsid w:val="00C60C0C"/>
    <w:rsid w:val="00C61C54"/>
    <w:rsid w:val="00C6210F"/>
    <w:rsid w:val="00C745C6"/>
    <w:rsid w:val="00C750BA"/>
    <w:rsid w:val="00C7706E"/>
    <w:rsid w:val="00C826EF"/>
    <w:rsid w:val="00C8442D"/>
    <w:rsid w:val="00C85287"/>
    <w:rsid w:val="00C85FA6"/>
    <w:rsid w:val="00C95AC9"/>
    <w:rsid w:val="00C964DE"/>
    <w:rsid w:val="00C96F18"/>
    <w:rsid w:val="00CA4545"/>
    <w:rsid w:val="00CA51AC"/>
    <w:rsid w:val="00CA51DE"/>
    <w:rsid w:val="00CA5790"/>
    <w:rsid w:val="00CA634C"/>
    <w:rsid w:val="00CA652B"/>
    <w:rsid w:val="00CA75F5"/>
    <w:rsid w:val="00CA7BFF"/>
    <w:rsid w:val="00CC0C56"/>
    <w:rsid w:val="00CC11B6"/>
    <w:rsid w:val="00CC4245"/>
    <w:rsid w:val="00CD23FE"/>
    <w:rsid w:val="00CE35D5"/>
    <w:rsid w:val="00CF326B"/>
    <w:rsid w:val="00D029D8"/>
    <w:rsid w:val="00D0300E"/>
    <w:rsid w:val="00D0763E"/>
    <w:rsid w:val="00D11186"/>
    <w:rsid w:val="00D11751"/>
    <w:rsid w:val="00D12644"/>
    <w:rsid w:val="00D134CC"/>
    <w:rsid w:val="00D14C1E"/>
    <w:rsid w:val="00D24682"/>
    <w:rsid w:val="00D24F06"/>
    <w:rsid w:val="00D25AEF"/>
    <w:rsid w:val="00D26D79"/>
    <w:rsid w:val="00D31785"/>
    <w:rsid w:val="00D32391"/>
    <w:rsid w:val="00D349EE"/>
    <w:rsid w:val="00D35298"/>
    <w:rsid w:val="00D36296"/>
    <w:rsid w:val="00D36DC3"/>
    <w:rsid w:val="00D4126F"/>
    <w:rsid w:val="00D418AD"/>
    <w:rsid w:val="00D42C1B"/>
    <w:rsid w:val="00D44227"/>
    <w:rsid w:val="00D46629"/>
    <w:rsid w:val="00D527DA"/>
    <w:rsid w:val="00D56D47"/>
    <w:rsid w:val="00D57835"/>
    <w:rsid w:val="00D655FB"/>
    <w:rsid w:val="00D70FB4"/>
    <w:rsid w:val="00D73854"/>
    <w:rsid w:val="00D73A38"/>
    <w:rsid w:val="00D74A1C"/>
    <w:rsid w:val="00D815C1"/>
    <w:rsid w:val="00D82E7D"/>
    <w:rsid w:val="00D85C85"/>
    <w:rsid w:val="00D85E33"/>
    <w:rsid w:val="00D866EC"/>
    <w:rsid w:val="00D9096A"/>
    <w:rsid w:val="00D928CF"/>
    <w:rsid w:val="00D92F6C"/>
    <w:rsid w:val="00D95879"/>
    <w:rsid w:val="00D96847"/>
    <w:rsid w:val="00D97A6B"/>
    <w:rsid w:val="00DA2FA3"/>
    <w:rsid w:val="00DA41B2"/>
    <w:rsid w:val="00DA7875"/>
    <w:rsid w:val="00DB0AD7"/>
    <w:rsid w:val="00DB751D"/>
    <w:rsid w:val="00DC09BD"/>
    <w:rsid w:val="00DC35CE"/>
    <w:rsid w:val="00DC679E"/>
    <w:rsid w:val="00DD0E98"/>
    <w:rsid w:val="00DD14BC"/>
    <w:rsid w:val="00DE3F87"/>
    <w:rsid w:val="00DE64DE"/>
    <w:rsid w:val="00DE73B4"/>
    <w:rsid w:val="00DE787B"/>
    <w:rsid w:val="00DE7AB4"/>
    <w:rsid w:val="00DF4D86"/>
    <w:rsid w:val="00DF63E3"/>
    <w:rsid w:val="00DF6B09"/>
    <w:rsid w:val="00E00B41"/>
    <w:rsid w:val="00E01D84"/>
    <w:rsid w:val="00E048AB"/>
    <w:rsid w:val="00E104CD"/>
    <w:rsid w:val="00E111AA"/>
    <w:rsid w:val="00E137BB"/>
    <w:rsid w:val="00E20266"/>
    <w:rsid w:val="00E235DD"/>
    <w:rsid w:val="00E261CD"/>
    <w:rsid w:val="00E30356"/>
    <w:rsid w:val="00E3199C"/>
    <w:rsid w:val="00E41E74"/>
    <w:rsid w:val="00E42D0B"/>
    <w:rsid w:val="00E441BF"/>
    <w:rsid w:val="00E5029D"/>
    <w:rsid w:val="00E528C8"/>
    <w:rsid w:val="00E56980"/>
    <w:rsid w:val="00E56B59"/>
    <w:rsid w:val="00E62D29"/>
    <w:rsid w:val="00E64988"/>
    <w:rsid w:val="00E64A38"/>
    <w:rsid w:val="00E719F6"/>
    <w:rsid w:val="00E72ACE"/>
    <w:rsid w:val="00E7345E"/>
    <w:rsid w:val="00E756AC"/>
    <w:rsid w:val="00E8168D"/>
    <w:rsid w:val="00E8381A"/>
    <w:rsid w:val="00E847F2"/>
    <w:rsid w:val="00E87596"/>
    <w:rsid w:val="00E87794"/>
    <w:rsid w:val="00E96422"/>
    <w:rsid w:val="00E97B21"/>
    <w:rsid w:val="00EA5A59"/>
    <w:rsid w:val="00EA62F1"/>
    <w:rsid w:val="00EB3D8F"/>
    <w:rsid w:val="00ED0FE3"/>
    <w:rsid w:val="00ED1DBA"/>
    <w:rsid w:val="00ED3F7E"/>
    <w:rsid w:val="00ED4715"/>
    <w:rsid w:val="00ED7ACF"/>
    <w:rsid w:val="00EE3B97"/>
    <w:rsid w:val="00EF2CA6"/>
    <w:rsid w:val="00EF7502"/>
    <w:rsid w:val="00F02034"/>
    <w:rsid w:val="00F03A88"/>
    <w:rsid w:val="00F03E21"/>
    <w:rsid w:val="00F117B1"/>
    <w:rsid w:val="00F134F9"/>
    <w:rsid w:val="00F2461C"/>
    <w:rsid w:val="00F24C62"/>
    <w:rsid w:val="00F24FC8"/>
    <w:rsid w:val="00F331F0"/>
    <w:rsid w:val="00F34138"/>
    <w:rsid w:val="00F35E57"/>
    <w:rsid w:val="00F44566"/>
    <w:rsid w:val="00F47ACE"/>
    <w:rsid w:val="00F47FCE"/>
    <w:rsid w:val="00F501D2"/>
    <w:rsid w:val="00F5266F"/>
    <w:rsid w:val="00F52BC9"/>
    <w:rsid w:val="00F557C0"/>
    <w:rsid w:val="00F56447"/>
    <w:rsid w:val="00F5798C"/>
    <w:rsid w:val="00F61A04"/>
    <w:rsid w:val="00F64055"/>
    <w:rsid w:val="00F6564C"/>
    <w:rsid w:val="00F710C6"/>
    <w:rsid w:val="00F722BD"/>
    <w:rsid w:val="00F72873"/>
    <w:rsid w:val="00F73620"/>
    <w:rsid w:val="00F758ED"/>
    <w:rsid w:val="00F91CF0"/>
    <w:rsid w:val="00F9481A"/>
    <w:rsid w:val="00F956D1"/>
    <w:rsid w:val="00F9687F"/>
    <w:rsid w:val="00F97F15"/>
    <w:rsid w:val="00FA08DE"/>
    <w:rsid w:val="00FB328E"/>
    <w:rsid w:val="00FB3430"/>
    <w:rsid w:val="00FB5E18"/>
    <w:rsid w:val="00FC1567"/>
    <w:rsid w:val="00FC2626"/>
    <w:rsid w:val="00FC755D"/>
    <w:rsid w:val="00FD386C"/>
    <w:rsid w:val="00FD3922"/>
    <w:rsid w:val="00FD6452"/>
    <w:rsid w:val="00FF0A4E"/>
    <w:rsid w:val="00FF14A6"/>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244F08C-2089-4F3F-8BCA-794157DD314E}">
  <ds:schemaRefs>
    <ds:schemaRef ds:uri="http://schemas.openxmlformats.org/officeDocument/2006/bibliography"/>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3709</TotalTime>
  <Pages>7</Pages>
  <Words>2368</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505</cp:revision>
  <cp:lastPrinted>2020-03-17T17:42:00Z</cp:lastPrinted>
  <dcterms:created xsi:type="dcterms:W3CDTF">2020-03-17T17:21:00Z</dcterms:created>
  <dcterms:modified xsi:type="dcterms:W3CDTF">2020-08-06T22:18:00Z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