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D660E" w14:textId="77777777" w:rsidR="00954C16" w:rsidRPr="007A1EF0" w:rsidRDefault="00954C16" w:rsidP="00954C16">
      <w:pPr>
        <w:spacing w:line="276" w:lineRule="auto"/>
        <w:jc w:val="right"/>
        <w:rPr>
          <w:rFonts w:ascii="Arial" w:eastAsia="Calibri" w:hAnsi="Arial" w:cs="Arial"/>
          <w:b/>
          <w:bCs/>
          <w:sz w:val="22"/>
        </w:rPr>
      </w:pPr>
      <w:bookmarkStart w:id="0" w:name="_Hlk29752189"/>
      <w:r w:rsidRPr="007A1EF0">
        <w:rPr>
          <w:rFonts w:ascii="Arial" w:eastAsia="Times New Roman" w:hAnsi="Arial" w:cs="Arial"/>
          <w:b/>
          <w:bCs/>
          <w:sz w:val="16"/>
          <w:szCs w:val="16"/>
          <w:lang w:eastAsia="es-ES"/>
        </w:rPr>
        <w:t>CCE-DES-FM-17</w:t>
      </w:r>
    </w:p>
    <w:p w14:paraId="034E03F8" w14:textId="77777777" w:rsidR="007A1EF0" w:rsidRPr="000C0EDB" w:rsidRDefault="007A1EF0" w:rsidP="00170EC3">
      <w:pPr>
        <w:rPr>
          <w:rFonts w:ascii="Arial" w:eastAsia="Calibri" w:hAnsi="Arial" w:cs="Arial"/>
          <w:b/>
          <w:sz w:val="16"/>
          <w:szCs w:val="16"/>
        </w:rPr>
      </w:pPr>
    </w:p>
    <w:p w14:paraId="02193841" w14:textId="625F7666" w:rsidR="00543103" w:rsidRPr="00954C16" w:rsidRDefault="00543103" w:rsidP="00170EC3">
      <w:pPr>
        <w:rPr>
          <w:rFonts w:ascii="Arial" w:eastAsia="Calibri" w:hAnsi="Arial" w:cs="Arial"/>
          <w:b/>
          <w:sz w:val="22"/>
        </w:rPr>
      </w:pPr>
      <w:r w:rsidRPr="00954C16">
        <w:rPr>
          <w:rFonts w:ascii="Arial" w:eastAsia="Calibri" w:hAnsi="Arial" w:cs="Arial"/>
          <w:b/>
          <w:sz w:val="22"/>
        </w:rPr>
        <w:t xml:space="preserve">SECOP – </w:t>
      </w:r>
      <w:r w:rsidR="005A7C5B" w:rsidRPr="00954C16">
        <w:rPr>
          <w:rFonts w:ascii="Arial" w:eastAsia="Calibri" w:hAnsi="Arial" w:cs="Arial"/>
          <w:b/>
          <w:sz w:val="22"/>
        </w:rPr>
        <w:t xml:space="preserve">Publicidad – </w:t>
      </w:r>
      <w:r w:rsidRPr="00954C16">
        <w:rPr>
          <w:rFonts w:ascii="Arial" w:eastAsia="Calibri" w:hAnsi="Arial" w:cs="Arial"/>
          <w:b/>
          <w:sz w:val="22"/>
        </w:rPr>
        <w:t xml:space="preserve">Entidades de régimen especial </w:t>
      </w:r>
    </w:p>
    <w:p w14:paraId="5081A74B" w14:textId="77777777" w:rsidR="00543103" w:rsidRPr="000C0EDB" w:rsidRDefault="00543103" w:rsidP="00170EC3">
      <w:pPr>
        <w:rPr>
          <w:rFonts w:ascii="Arial" w:hAnsi="Arial" w:cs="Arial"/>
          <w:sz w:val="20"/>
          <w:szCs w:val="20"/>
        </w:rPr>
      </w:pPr>
    </w:p>
    <w:p w14:paraId="5178761C" w14:textId="44E21483" w:rsidR="0016701E" w:rsidRPr="00954C16" w:rsidRDefault="0016701E" w:rsidP="00A137CD">
      <w:pPr>
        <w:rPr>
          <w:rFonts w:ascii="Arial" w:eastAsia="Calibri" w:hAnsi="Arial" w:cs="Arial"/>
          <w:sz w:val="20"/>
          <w:szCs w:val="20"/>
        </w:rPr>
      </w:pPr>
      <w:r w:rsidRPr="00954C16">
        <w:rPr>
          <w:rFonts w:ascii="Arial" w:eastAsia="Calibri" w:hAnsi="Arial" w:cs="Arial"/>
          <w:sz w:val="20"/>
          <w:szCs w:val="20"/>
        </w:rPr>
        <w:t>La obligatoriedad de publicar las actuaciones contractuales de las entidades no depende de su régimen de contratación, sino de la ejecución de recursos públicos, pues así lo determinó, provisionalmente, el Consejo de Estado</w:t>
      </w:r>
      <w:r w:rsidR="00033B84" w:rsidRPr="00954C16">
        <w:rPr>
          <w:rFonts w:ascii="Arial" w:eastAsia="Calibri" w:hAnsi="Arial" w:cs="Arial"/>
          <w:sz w:val="20"/>
          <w:szCs w:val="20"/>
        </w:rPr>
        <w:t>, Sección Tercera,</w:t>
      </w:r>
      <w:r w:rsidR="002C441B" w:rsidRPr="00954C16">
        <w:rPr>
          <w:rFonts w:ascii="Arial" w:eastAsia="Calibri" w:hAnsi="Arial" w:cs="Arial"/>
          <w:sz w:val="20"/>
          <w:szCs w:val="20"/>
        </w:rPr>
        <w:t xml:space="preserve"> Subsección C,</w:t>
      </w:r>
      <w:r w:rsidRPr="00954C16">
        <w:rPr>
          <w:rFonts w:ascii="Arial" w:eastAsia="Calibri" w:hAnsi="Arial" w:cs="Arial"/>
          <w:sz w:val="20"/>
          <w:szCs w:val="20"/>
        </w:rPr>
        <w:t xml:space="preserve"> en el auto del 14 de agosto de 2017, radicación número: 11001-03-26-000-2017-00031-00 [58.820], proferido por el Magistrado Jaime Orlando Santofimio. Ese deber no atiende a las condiciones fácticas que tengan las entidades excluidas del régimen de contratación estatal, sino </w:t>
      </w:r>
      <w:r w:rsidR="00A101AA" w:rsidRPr="00954C16">
        <w:rPr>
          <w:rFonts w:ascii="Arial" w:eastAsia="Calibri" w:hAnsi="Arial" w:cs="Arial"/>
          <w:sz w:val="20"/>
          <w:szCs w:val="20"/>
        </w:rPr>
        <w:t>─</w:t>
      </w:r>
      <w:r w:rsidRPr="00954C16">
        <w:rPr>
          <w:rFonts w:ascii="Arial" w:eastAsia="Calibri" w:hAnsi="Arial" w:cs="Arial"/>
          <w:sz w:val="20"/>
          <w:szCs w:val="20"/>
        </w:rPr>
        <w:t>se reitera</w:t>
      </w:r>
      <w:r w:rsidR="00A101AA" w:rsidRPr="00954C16">
        <w:rPr>
          <w:rFonts w:ascii="Arial" w:eastAsia="Calibri" w:hAnsi="Arial" w:cs="Arial"/>
          <w:sz w:val="20"/>
          <w:szCs w:val="20"/>
        </w:rPr>
        <w:t>─</w:t>
      </w:r>
      <w:r w:rsidRPr="00954C16">
        <w:rPr>
          <w:rFonts w:ascii="Arial" w:eastAsia="Calibri" w:hAnsi="Arial" w:cs="Arial"/>
          <w:sz w:val="20"/>
          <w:szCs w:val="20"/>
        </w:rPr>
        <w:t xml:space="preserve"> al hecho de que la contratación implique la ejecución de recursos públicos. </w:t>
      </w:r>
    </w:p>
    <w:p w14:paraId="3046EF32" w14:textId="04455019" w:rsidR="009F6429" w:rsidRPr="00954C16" w:rsidRDefault="009F6429" w:rsidP="00170EC3">
      <w:pPr>
        <w:pStyle w:val="Prrafodelista"/>
        <w:ind w:left="0"/>
        <w:rPr>
          <w:rFonts w:ascii="Arial" w:eastAsia="Calibri" w:hAnsi="Arial" w:cs="Arial"/>
          <w:sz w:val="20"/>
          <w:szCs w:val="20"/>
        </w:rPr>
      </w:pPr>
    </w:p>
    <w:p w14:paraId="721E8879" w14:textId="3F3AC2C7" w:rsidR="009F6429" w:rsidRPr="00954C16" w:rsidRDefault="009F6429" w:rsidP="00170EC3">
      <w:pPr>
        <w:pStyle w:val="Prrafodelista"/>
        <w:ind w:left="0"/>
        <w:rPr>
          <w:rFonts w:ascii="Arial" w:eastAsia="Calibri" w:hAnsi="Arial" w:cs="Arial"/>
          <w:b/>
          <w:sz w:val="22"/>
          <w:szCs w:val="20"/>
        </w:rPr>
      </w:pPr>
      <w:r w:rsidRPr="00954C16">
        <w:rPr>
          <w:rFonts w:ascii="Arial" w:eastAsia="Calibri" w:hAnsi="Arial" w:cs="Arial"/>
          <w:b/>
          <w:sz w:val="22"/>
          <w:szCs w:val="20"/>
        </w:rPr>
        <w:t xml:space="preserve">SECOP – </w:t>
      </w:r>
      <w:r w:rsidR="0048736B" w:rsidRPr="00954C16">
        <w:rPr>
          <w:rFonts w:ascii="Arial" w:eastAsia="Calibri" w:hAnsi="Arial" w:cs="Arial"/>
          <w:b/>
          <w:sz w:val="22"/>
          <w:szCs w:val="20"/>
        </w:rPr>
        <w:t xml:space="preserve">Publicidad </w:t>
      </w:r>
      <w:r w:rsidR="0048736B" w:rsidRPr="00954C16">
        <w:rPr>
          <w:rFonts w:ascii="Arial" w:eastAsia="Calibri" w:hAnsi="Arial" w:cs="Arial"/>
          <w:b/>
          <w:sz w:val="22"/>
          <w:szCs w:val="20"/>
        </w:rPr>
        <w:softHyphen/>
        <w:t xml:space="preserve">– </w:t>
      </w:r>
      <w:r w:rsidR="00954C16" w:rsidRPr="00954C16">
        <w:rPr>
          <w:rFonts w:ascii="Arial" w:eastAsia="Calibri" w:hAnsi="Arial" w:cs="Arial"/>
          <w:b/>
          <w:sz w:val="22"/>
          <w:szCs w:val="20"/>
        </w:rPr>
        <w:t xml:space="preserve">Oportunidad – Días </w:t>
      </w:r>
      <w:r w:rsidR="008575F1">
        <w:rPr>
          <w:rFonts w:ascii="Arial" w:eastAsia="Calibri" w:hAnsi="Arial" w:cs="Arial"/>
          <w:b/>
          <w:sz w:val="22"/>
          <w:szCs w:val="20"/>
        </w:rPr>
        <w:t>h</w:t>
      </w:r>
      <w:r w:rsidR="00954C16" w:rsidRPr="00954C16">
        <w:rPr>
          <w:rFonts w:ascii="Arial" w:eastAsia="Calibri" w:hAnsi="Arial" w:cs="Arial"/>
          <w:b/>
          <w:sz w:val="22"/>
          <w:szCs w:val="20"/>
        </w:rPr>
        <w:t xml:space="preserve">ábiles </w:t>
      </w:r>
      <w:r w:rsidR="00954C16" w:rsidRPr="00954C16">
        <w:rPr>
          <w:rFonts w:ascii="Arial" w:eastAsia="Calibri" w:hAnsi="Arial" w:cs="Arial"/>
          <w:b/>
          <w:sz w:val="22"/>
          <w:szCs w:val="20"/>
        </w:rPr>
        <w:softHyphen/>
      </w:r>
    </w:p>
    <w:p w14:paraId="460D38B5" w14:textId="77777777" w:rsidR="009F6429" w:rsidRPr="00954C16" w:rsidRDefault="009F6429" w:rsidP="00170EC3">
      <w:pPr>
        <w:pStyle w:val="Prrafodelista"/>
        <w:ind w:left="0"/>
        <w:rPr>
          <w:rFonts w:ascii="Arial" w:eastAsia="Calibri" w:hAnsi="Arial" w:cs="Arial"/>
          <w:sz w:val="20"/>
          <w:szCs w:val="20"/>
        </w:rPr>
      </w:pPr>
    </w:p>
    <w:p w14:paraId="0BBA2F9F" w14:textId="35C9ADDC" w:rsidR="00A137CD" w:rsidRDefault="00954C16" w:rsidP="000C0EDB">
      <w:pPr>
        <w:pStyle w:val="Prrafodelista"/>
        <w:spacing w:after="120"/>
        <w:ind w:left="0"/>
        <w:contextualSpacing w:val="0"/>
        <w:rPr>
          <w:rFonts w:ascii="Arial" w:eastAsia="Calibri" w:hAnsi="Arial" w:cs="Arial"/>
          <w:sz w:val="20"/>
          <w:szCs w:val="20"/>
        </w:rPr>
      </w:pPr>
      <w:r w:rsidRPr="00954C16">
        <w:rPr>
          <w:rFonts w:ascii="Arial" w:eastAsia="Calibri" w:hAnsi="Arial" w:cs="Arial"/>
          <w:sz w:val="20"/>
          <w:szCs w:val="20"/>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0090568B">
        <w:rPr>
          <w:rFonts w:ascii="Arial" w:eastAsia="Calibri" w:hAnsi="Arial" w:cs="Arial"/>
          <w:sz w:val="20"/>
          <w:szCs w:val="20"/>
        </w:rPr>
        <w:t xml:space="preserve"> </w:t>
      </w:r>
      <w:r w:rsidRPr="00954C16">
        <w:rPr>
          <w:rFonts w:ascii="Arial" w:eastAsia="Calibri" w:hAnsi="Arial" w:cs="Arial"/>
          <w:sz w:val="20"/>
          <w:szCs w:val="20"/>
        </w:rPr>
        <w:t xml:space="preserve">En este sentido, las entidades sometidas al régimen de contratación de Ley 80 de 1993 publicarán en el SECOP sus documentos dentro de los 3 días siguientes a su expedición. </w:t>
      </w:r>
    </w:p>
    <w:p w14:paraId="1C66DD6F" w14:textId="5DA84C7B" w:rsidR="00A137CD" w:rsidRPr="00954C16" w:rsidRDefault="00954C16" w:rsidP="000C0EDB">
      <w:pPr>
        <w:spacing w:after="120"/>
        <w:rPr>
          <w:rFonts w:ascii="Arial" w:eastAsia="Calibri" w:hAnsi="Arial" w:cs="Arial"/>
          <w:sz w:val="20"/>
          <w:szCs w:val="20"/>
        </w:rPr>
      </w:pPr>
      <w:r w:rsidRPr="00954C16">
        <w:rPr>
          <w:rFonts w:ascii="Arial" w:eastAsia="Calibri" w:hAnsi="Arial" w:cs="Arial"/>
          <w:sz w:val="20"/>
          <w:szCs w:val="20"/>
        </w:rPr>
        <w:t xml:space="preserve">Si bien, </w:t>
      </w:r>
      <w:r w:rsidR="00B65B14">
        <w:rPr>
          <w:rFonts w:ascii="Arial" w:eastAsia="Calibri" w:hAnsi="Arial" w:cs="Arial"/>
          <w:sz w:val="20"/>
          <w:szCs w:val="20"/>
        </w:rPr>
        <w:t>co</w:t>
      </w:r>
      <w:r w:rsidRPr="00954C16">
        <w:rPr>
          <w:rFonts w:ascii="Arial" w:eastAsia="Calibri" w:hAnsi="Arial" w:cs="Arial"/>
          <w:sz w:val="20"/>
          <w:szCs w:val="20"/>
        </w:rPr>
        <w:t>mo se mencionó en el acápite anterior, el Decreto 1082 de 2015 no aplica a las empresas industriales y comerciales del Estado, porque su régimen de contratación es el derecho privado, será posible aplicarle esta norma en virtud de la analogía.</w:t>
      </w:r>
    </w:p>
    <w:p w14:paraId="5F1C2720" w14:textId="3FD934BD" w:rsidR="00954C16" w:rsidRPr="00954C16" w:rsidRDefault="00954C16" w:rsidP="000C0EDB">
      <w:pPr>
        <w:pStyle w:val="Prrafodelista"/>
        <w:ind w:left="0"/>
        <w:contextualSpacing w:val="0"/>
        <w:rPr>
          <w:rFonts w:ascii="Arial" w:eastAsia="Calibri" w:hAnsi="Arial" w:cs="Arial"/>
          <w:sz w:val="20"/>
          <w:szCs w:val="20"/>
        </w:rPr>
      </w:pPr>
      <w:r w:rsidRPr="00954C16">
        <w:rPr>
          <w:rFonts w:ascii="Arial" w:eastAsia="Calibri" w:hAnsi="Arial" w:cs="Arial"/>
          <w:sz w:val="20"/>
          <w:szCs w:val="20"/>
        </w:rPr>
        <w:t>[…</w:t>
      </w:r>
      <w:r w:rsidR="00A137CD">
        <w:rPr>
          <w:rFonts w:ascii="Arial" w:eastAsia="Calibri" w:hAnsi="Arial" w:cs="Arial"/>
          <w:sz w:val="20"/>
          <w:szCs w:val="20"/>
        </w:rPr>
        <w:t>]</w:t>
      </w:r>
      <w:r w:rsidRPr="00954C16">
        <w:rPr>
          <w:rFonts w:ascii="Arial" w:eastAsia="Calibri" w:hAnsi="Arial" w:cs="Arial"/>
          <w:sz w:val="20"/>
          <w:szCs w:val="20"/>
          <w:vertAlign w:val="subscript"/>
        </w:rPr>
        <w:t xml:space="preserve"> </w:t>
      </w:r>
      <w:r w:rsidRPr="00954C16">
        <w:rPr>
          <w:rFonts w:ascii="Arial" w:eastAsia="Calibri" w:hAnsi="Arial" w:cs="Arial"/>
          <w:sz w:val="20"/>
          <w:szCs w:val="20"/>
        </w:rPr>
        <w:t>los plazos en días establecidos por la ley que no señalan expresamente si se trata de días hábiles o días calendario deben entenderse como días hábiles conforme a lo previsto por el parágrafo 1 del artículo 829 del Código de Comercio en concordancia con el artículo 62 del Código de Régimen Político y Municipal (Ley 4 de 1913)</w:t>
      </w:r>
      <w:r w:rsidR="00906A72">
        <w:rPr>
          <w:rFonts w:ascii="Arial" w:eastAsia="Calibri" w:hAnsi="Arial" w:cs="Arial"/>
          <w:sz w:val="20"/>
          <w:szCs w:val="20"/>
        </w:rPr>
        <w:t>.</w:t>
      </w:r>
      <w:r w:rsidRPr="00954C16">
        <w:rPr>
          <w:rFonts w:ascii="Arial" w:eastAsia="Calibri" w:hAnsi="Arial" w:cs="Arial"/>
          <w:sz w:val="20"/>
          <w:szCs w:val="20"/>
        </w:rPr>
        <w:t xml:space="preserve"> </w:t>
      </w:r>
      <w:r w:rsidR="00906A72">
        <w:rPr>
          <w:rFonts w:ascii="Arial" w:eastAsia="Calibri" w:hAnsi="Arial" w:cs="Arial"/>
          <w:sz w:val="20"/>
          <w:szCs w:val="20"/>
        </w:rPr>
        <w:t>A</w:t>
      </w:r>
      <w:r w:rsidRPr="00954C16">
        <w:rPr>
          <w:rFonts w:ascii="Arial" w:eastAsia="Calibri" w:hAnsi="Arial" w:cs="Arial"/>
          <w:sz w:val="20"/>
          <w:szCs w:val="20"/>
        </w:rPr>
        <w:t xml:space="preserve">sí las cosas, </w:t>
      </w:r>
      <w:r w:rsidR="00206A28">
        <w:rPr>
          <w:rFonts w:ascii="Arial" w:eastAsia="Calibri" w:hAnsi="Arial" w:cs="Arial"/>
          <w:sz w:val="20"/>
          <w:szCs w:val="20"/>
        </w:rPr>
        <w:t>como el</w:t>
      </w:r>
      <w:r w:rsidRPr="00954C16">
        <w:rPr>
          <w:rFonts w:ascii="Arial" w:eastAsia="Calibri" w:hAnsi="Arial" w:cs="Arial"/>
          <w:sz w:val="20"/>
          <w:szCs w:val="20"/>
        </w:rPr>
        <w:t xml:space="preserve"> artículo 2.2.1.1.1.7.1. del Decreto 1082 de 2015, el cual se aplica por analogía</w:t>
      </w:r>
      <w:r w:rsidR="00906A72">
        <w:rPr>
          <w:rFonts w:ascii="Arial" w:eastAsia="Calibri" w:hAnsi="Arial" w:cs="Arial"/>
          <w:sz w:val="20"/>
          <w:szCs w:val="20"/>
        </w:rPr>
        <w:t>,</w:t>
      </w:r>
      <w:r w:rsidRPr="00954C16">
        <w:rPr>
          <w:rFonts w:ascii="Arial" w:eastAsia="Calibri" w:hAnsi="Arial" w:cs="Arial"/>
          <w:sz w:val="20"/>
          <w:szCs w:val="20"/>
        </w:rPr>
        <w:t xml:space="preserve"> no establece expresamente, si se trata de días hábiles o calendario, se entenderán como días hábiles.  </w:t>
      </w:r>
    </w:p>
    <w:p w14:paraId="44BEE5E5" w14:textId="62FAFD8F" w:rsidR="00B11738" w:rsidRPr="000C0EDB" w:rsidRDefault="00B11738" w:rsidP="000C0EDB">
      <w:pPr>
        <w:pStyle w:val="Default"/>
        <w:rPr>
          <w:color w:val="auto"/>
          <w:sz w:val="20"/>
          <w:szCs w:val="20"/>
          <w:lang w:val="es-ES"/>
        </w:rPr>
      </w:pPr>
    </w:p>
    <w:p w14:paraId="51DE4732" w14:textId="77777777" w:rsidR="007A1EF0" w:rsidRPr="000C0EDB" w:rsidRDefault="007A1EF0" w:rsidP="000C0EDB">
      <w:pPr>
        <w:pStyle w:val="Default"/>
        <w:rPr>
          <w:color w:val="auto"/>
          <w:sz w:val="20"/>
          <w:szCs w:val="20"/>
          <w:lang w:val="es-ES"/>
        </w:rPr>
      </w:pPr>
    </w:p>
    <w:p w14:paraId="35D1D64E" w14:textId="4BDF8ECD" w:rsidR="00BC6D0C" w:rsidRPr="00954C16" w:rsidRDefault="00BC6D0C" w:rsidP="000C0EDB">
      <w:pPr>
        <w:rPr>
          <w:rFonts w:ascii="Arial" w:hAnsi="Arial" w:cs="Arial"/>
          <w:b/>
          <w:sz w:val="22"/>
        </w:rPr>
      </w:pPr>
      <w:r w:rsidRPr="00954C16">
        <w:rPr>
          <w:rFonts w:ascii="Arial" w:hAnsi="Arial" w:cs="Arial"/>
          <w:sz w:val="22"/>
        </w:rPr>
        <w:t xml:space="preserve">Bogotá D.C., </w:t>
      </w:r>
      <w:r w:rsidR="00E17D15">
        <w:rPr>
          <w:rFonts w:ascii="Arial" w:hAnsi="Arial" w:cs="Arial"/>
          <w:b/>
          <w:sz w:val="22"/>
        </w:rPr>
        <w:t>06/07/2020 Hora 17:54:42s</w:t>
      </w:r>
    </w:p>
    <w:p w14:paraId="4E172F26" w14:textId="77777777" w:rsidR="00BC6D0C" w:rsidRPr="00954C16" w:rsidRDefault="00BC6D0C" w:rsidP="00BC6D0C">
      <w:pPr>
        <w:jc w:val="right"/>
        <w:rPr>
          <w:rFonts w:ascii="Arial" w:hAnsi="Arial" w:cs="Arial"/>
          <w:b/>
          <w:sz w:val="22"/>
        </w:rPr>
      </w:pPr>
    </w:p>
    <w:p w14:paraId="6A78A336" w14:textId="0F2A7D0F" w:rsidR="00BC6D0C" w:rsidRPr="00954C16" w:rsidRDefault="00BC6D0C" w:rsidP="00BC6D0C">
      <w:pPr>
        <w:jc w:val="right"/>
        <w:rPr>
          <w:rFonts w:ascii="Arial" w:hAnsi="Arial" w:cs="Arial"/>
          <w:b/>
          <w:sz w:val="22"/>
        </w:rPr>
      </w:pPr>
      <w:proofErr w:type="spellStart"/>
      <w:r w:rsidRPr="00954C16">
        <w:rPr>
          <w:rFonts w:ascii="Arial" w:hAnsi="Arial" w:cs="Arial"/>
          <w:b/>
          <w:sz w:val="22"/>
        </w:rPr>
        <w:t>N°</w:t>
      </w:r>
      <w:proofErr w:type="spellEnd"/>
      <w:r w:rsidRPr="00954C16">
        <w:rPr>
          <w:rFonts w:ascii="Arial" w:hAnsi="Arial" w:cs="Arial"/>
          <w:b/>
          <w:sz w:val="22"/>
        </w:rPr>
        <w:t xml:space="preserve"> Radicado: </w:t>
      </w:r>
      <w:r w:rsidR="00E17D15">
        <w:rPr>
          <w:rFonts w:ascii="Arial" w:hAnsi="Arial" w:cs="Arial"/>
          <w:b/>
          <w:sz w:val="22"/>
        </w:rPr>
        <w:t>2202013000005874</w:t>
      </w:r>
    </w:p>
    <w:p w14:paraId="6119A54E" w14:textId="38BC8D8D" w:rsidR="0078122E" w:rsidRPr="00954C16" w:rsidRDefault="0078122E" w:rsidP="00E15D73">
      <w:pPr>
        <w:rPr>
          <w:rFonts w:ascii="Arial" w:eastAsia="Calibri" w:hAnsi="Arial" w:cs="Arial"/>
          <w:sz w:val="22"/>
        </w:rPr>
      </w:pPr>
      <w:r w:rsidRPr="00954C16">
        <w:rPr>
          <w:rFonts w:ascii="Arial" w:eastAsia="Calibri" w:hAnsi="Arial" w:cs="Arial"/>
          <w:sz w:val="22"/>
        </w:rPr>
        <w:t>Señor</w:t>
      </w:r>
      <w:r w:rsidR="0077384B" w:rsidRPr="00954C16">
        <w:rPr>
          <w:rFonts w:ascii="Arial" w:eastAsia="Calibri" w:hAnsi="Arial" w:cs="Arial"/>
          <w:sz w:val="22"/>
        </w:rPr>
        <w:t>a</w:t>
      </w:r>
    </w:p>
    <w:p w14:paraId="2FE783B8" w14:textId="3CB21690" w:rsidR="0078122E" w:rsidRPr="00954C16" w:rsidRDefault="0077384B" w:rsidP="00E15D73">
      <w:pPr>
        <w:rPr>
          <w:rFonts w:ascii="Arial" w:eastAsia="Calibri" w:hAnsi="Arial" w:cs="Arial"/>
          <w:b/>
          <w:sz w:val="22"/>
        </w:rPr>
      </w:pPr>
      <w:r w:rsidRPr="00954C16">
        <w:rPr>
          <w:rFonts w:ascii="Arial" w:eastAsia="Calibri" w:hAnsi="Arial" w:cs="Arial"/>
          <w:b/>
          <w:sz w:val="22"/>
        </w:rPr>
        <w:t>Liliana Patricia Arboleda</w:t>
      </w:r>
    </w:p>
    <w:p w14:paraId="5FB4F046" w14:textId="77777777" w:rsidR="0078122E" w:rsidRPr="00954C16" w:rsidRDefault="0078122E" w:rsidP="00E15D73">
      <w:pPr>
        <w:rPr>
          <w:rFonts w:ascii="Arial" w:eastAsia="Calibri" w:hAnsi="Arial" w:cs="Arial"/>
          <w:sz w:val="22"/>
        </w:rPr>
      </w:pPr>
      <w:r w:rsidRPr="00954C16">
        <w:rPr>
          <w:rFonts w:ascii="Arial" w:eastAsia="Calibri" w:hAnsi="Arial" w:cs="Arial"/>
          <w:sz w:val="22"/>
        </w:rPr>
        <w:t>Ciudad</w:t>
      </w:r>
    </w:p>
    <w:p w14:paraId="3B72A3BE" w14:textId="77777777" w:rsidR="0078122E" w:rsidRPr="00954C16" w:rsidRDefault="0078122E" w:rsidP="00E15D73">
      <w:pPr>
        <w:rPr>
          <w:rFonts w:ascii="Arial" w:eastAsia="Calibri" w:hAnsi="Arial" w:cs="Arial"/>
          <w:sz w:val="22"/>
        </w:rPr>
      </w:pPr>
    </w:p>
    <w:p w14:paraId="0A8E1EF3" w14:textId="77777777" w:rsidR="00394B86" w:rsidRPr="00954C16" w:rsidRDefault="00394B86" w:rsidP="00D60333">
      <w:pPr>
        <w:jc w:val="center"/>
        <w:rPr>
          <w:rFonts w:ascii="Arial" w:eastAsia="Calibri" w:hAnsi="Arial" w:cs="Arial"/>
          <w:b/>
          <w:sz w:val="22"/>
        </w:rPr>
      </w:pPr>
    </w:p>
    <w:p w14:paraId="38008298" w14:textId="5F578129" w:rsidR="0078122E" w:rsidRPr="00954C16" w:rsidRDefault="00D60333" w:rsidP="00BC6D0C">
      <w:pPr>
        <w:ind w:firstLine="2694"/>
        <w:rPr>
          <w:rFonts w:ascii="Arial" w:eastAsia="Calibri" w:hAnsi="Arial" w:cs="Arial"/>
          <w:b/>
          <w:sz w:val="22"/>
        </w:rPr>
      </w:pPr>
      <w:r w:rsidRPr="00954C16">
        <w:rPr>
          <w:rFonts w:ascii="Arial" w:eastAsia="Calibri" w:hAnsi="Arial" w:cs="Arial"/>
          <w:b/>
          <w:sz w:val="22"/>
        </w:rPr>
        <w:t>Concepto</w:t>
      </w:r>
      <w:r w:rsidR="00F759E4" w:rsidRPr="00954C16">
        <w:rPr>
          <w:rFonts w:ascii="Arial" w:eastAsia="Calibri" w:hAnsi="Arial" w:cs="Arial"/>
          <w:b/>
          <w:sz w:val="22"/>
        </w:rPr>
        <w:t xml:space="preserve"> </w:t>
      </w:r>
      <w:r w:rsidR="00BC6D0C" w:rsidRPr="00954C16">
        <w:rPr>
          <w:rFonts w:ascii="Arial" w:eastAsia="Calibri" w:hAnsi="Arial" w:cs="Arial"/>
          <w:b/>
          <w:sz w:val="22"/>
        </w:rPr>
        <w:t>C – 437</w:t>
      </w:r>
      <w:r w:rsidR="001B6DBB" w:rsidRPr="00954C16">
        <w:rPr>
          <w:rFonts w:ascii="Arial" w:eastAsia="Calibri" w:hAnsi="Arial" w:cs="Arial"/>
          <w:b/>
          <w:sz w:val="22"/>
        </w:rPr>
        <w:t xml:space="preserve"> de 2020</w:t>
      </w:r>
    </w:p>
    <w:p w14:paraId="6384B628" w14:textId="77777777" w:rsidR="001B6475" w:rsidRPr="00954C16" w:rsidRDefault="001B6475" w:rsidP="0016701E">
      <w:pPr>
        <w:jc w:val="center"/>
        <w:rPr>
          <w:rFonts w:ascii="Arial" w:eastAsia="Calibri" w:hAnsi="Arial" w:cs="Arial"/>
          <w:b/>
          <w:sz w:val="22"/>
        </w:rPr>
      </w:pPr>
    </w:p>
    <w:p w14:paraId="0B7F0F22" w14:textId="77777777" w:rsidR="00D60333" w:rsidRPr="00954C16" w:rsidRDefault="00D60333" w:rsidP="0016701E">
      <w:pPr>
        <w:jc w:val="cente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54C16" w:rsidRPr="00954C16" w14:paraId="2CD83FEC" w14:textId="77777777" w:rsidTr="00B461D4">
        <w:tc>
          <w:tcPr>
            <w:tcW w:w="2689" w:type="dxa"/>
          </w:tcPr>
          <w:p w14:paraId="6F6B2C54" w14:textId="77777777" w:rsidR="0078122E" w:rsidRPr="00954C16" w:rsidRDefault="0078122E" w:rsidP="0016701E">
            <w:pPr>
              <w:rPr>
                <w:rFonts w:ascii="Arial" w:eastAsia="Calibri" w:hAnsi="Arial" w:cs="Arial"/>
                <w:sz w:val="22"/>
              </w:rPr>
            </w:pPr>
            <w:r w:rsidRPr="00954C16">
              <w:rPr>
                <w:rFonts w:ascii="Arial" w:eastAsia="Calibri" w:hAnsi="Arial" w:cs="Arial"/>
                <w:b/>
                <w:sz w:val="22"/>
              </w:rPr>
              <w:t>Temas:</w:t>
            </w:r>
            <w:r w:rsidRPr="00954C16">
              <w:rPr>
                <w:rFonts w:ascii="Arial" w:eastAsia="Calibri" w:hAnsi="Arial" w:cs="Arial"/>
                <w:sz w:val="22"/>
              </w:rPr>
              <w:t xml:space="preserve">                                      </w:t>
            </w:r>
          </w:p>
        </w:tc>
        <w:tc>
          <w:tcPr>
            <w:tcW w:w="6237" w:type="dxa"/>
          </w:tcPr>
          <w:p w14:paraId="730FE8CC" w14:textId="77777777" w:rsidR="00954C16" w:rsidRPr="00954C16" w:rsidRDefault="00954C16" w:rsidP="00954C16">
            <w:pPr>
              <w:pStyle w:val="Prrafodelista"/>
              <w:spacing w:line="276" w:lineRule="auto"/>
              <w:ind w:left="0"/>
              <w:rPr>
                <w:rFonts w:ascii="Arial" w:eastAsia="Calibri" w:hAnsi="Arial" w:cs="Arial"/>
                <w:bCs/>
                <w:sz w:val="22"/>
                <w:szCs w:val="20"/>
              </w:rPr>
            </w:pPr>
            <w:r w:rsidRPr="00954C16">
              <w:rPr>
                <w:rFonts w:ascii="Arial" w:eastAsia="Calibri" w:hAnsi="Arial" w:cs="Arial"/>
                <w:bCs/>
                <w:sz w:val="22"/>
              </w:rPr>
              <w:t xml:space="preserve">SECOP – Publicidad – Entidades de régimen especial / </w:t>
            </w:r>
            <w:r w:rsidRPr="00954C16">
              <w:rPr>
                <w:rFonts w:ascii="Arial" w:eastAsia="Calibri" w:hAnsi="Arial" w:cs="Arial"/>
                <w:bCs/>
                <w:sz w:val="22"/>
                <w:szCs w:val="20"/>
              </w:rPr>
              <w:t xml:space="preserve">SECOP – Publicidad </w:t>
            </w:r>
            <w:r w:rsidRPr="00954C16">
              <w:rPr>
                <w:rFonts w:ascii="Arial" w:eastAsia="Calibri" w:hAnsi="Arial" w:cs="Arial"/>
                <w:bCs/>
                <w:sz w:val="22"/>
                <w:szCs w:val="20"/>
              </w:rPr>
              <w:softHyphen/>
              <w:t xml:space="preserve">– Oportunidad – Días Hábiles </w:t>
            </w:r>
            <w:r w:rsidRPr="00954C16">
              <w:rPr>
                <w:rFonts w:ascii="Arial" w:eastAsia="Calibri" w:hAnsi="Arial" w:cs="Arial"/>
                <w:bCs/>
                <w:sz w:val="22"/>
                <w:szCs w:val="20"/>
              </w:rPr>
              <w:softHyphen/>
            </w:r>
          </w:p>
          <w:p w14:paraId="2CF7DD6E" w14:textId="4462E1F4" w:rsidR="00954C16" w:rsidRPr="00954C16" w:rsidRDefault="00954C16" w:rsidP="00954C16">
            <w:pPr>
              <w:spacing w:line="276" w:lineRule="auto"/>
              <w:rPr>
                <w:rFonts w:ascii="Arial" w:eastAsia="Calibri" w:hAnsi="Arial" w:cs="Arial"/>
                <w:b/>
                <w:sz w:val="22"/>
              </w:rPr>
            </w:pPr>
          </w:p>
          <w:p w14:paraId="7D9088AD" w14:textId="1D5E4071" w:rsidR="0077384B" w:rsidRPr="00954C16" w:rsidRDefault="0077384B" w:rsidP="0016701E">
            <w:pPr>
              <w:rPr>
                <w:rFonts w:ascii="Arial" w:eastAsia="Calibri" w:hAnsi="Arial" w:cs="Arial"/>
                <w:sz w:val="22"/>
                <w:highlight w:val="yellow"/>
              </w:rPr>
            </w:pPr>
          </w:p>
        </w:tc>
      </w:tr>
      <w:tr w:rsidR="00B461D4" w:rsidRPr="00954C16" w14:paraId="3AC61D91" w14:textId="77777777" w:rsidTr="00B461D4">
        <w:tc>
          <w:tcPr>
            <w:tcW w:w="2689" w:type="dxa"/>
          </w:tcPr>
          <w:p w14:paraId="7F1909F0" w14:textId="36E905C1" w:rsidR="00B461D4" w:rsidRPr="00954C16" w:rsidRDefault="00B461D4" w:rsidP="0016701E">
            <w:pPr>
              <w:rPr>
                <w:rFonts w:ascii="Arial" w:eastAsia="Calibri" w:hAnsi="Arial" w:cs="Arial"/>
                <w:sz w:val="22"/>
              </w:rPr>
            </w:pPr>
            <w:r w:rsidRPr="00954C16">
              <w:rPr>
                <w:rFonts w:ascii="Arial" w:eastAsia="Calibri" w:hAnsi="Arial" w:cs="Arial"/>
                <w:b/>
                <w:sz w:val="22"/>
              </w:rPr>
              <w:lastRenderedPageBreak/>
              <w:t>Radicación:</w:t>
            </w:r>
            <w:r w:rsidRPr="00954C16">
              <w:rPr>
                <w:rFonts w:ascii="Arial" w:eastAsia="Calibri" w:hAnsi="Arial" w:cs="Arial"/>
                <w:sz w:val="22"/>
              </w:rPr>
              <w:t xml:space="preserve">                              </w:t>
            </w:r>
          </w:p>
        </w:tc>
        <w:tc>
          <w:tcPr>
            <w:tcW w:w="6237" w:type="dxa"/>
          </w:tcPr>
          <w:p w14:paraId="7E9F27C8" w14:textId="5FF37359" w:rsidR="00B461D4" w:rsidRPr="00954C16" w:rsidRDefault="00B461D4" w:rsidP="0016701E">
            <w:pPr>
              <w:rPr>
                <w:rFonts w:ascii="Arial" w:eastAsia="Calibri" w:hAnsi="Arial" w:cs="Arial"/>
                <w:sz w:val="22"/>
              </w:rPr>
            </w:pPr>
            <w:r w:rsidRPr="00954C16">
              <w:rPr>
                <w:rFonts w:ascii="Arial" w:eastAsia="Calibri" w:hAnsi="Arial" w:cs="Arial"/>
                <w:sz w:val="22"/>
              </w:rPr>
              <w:t xml:space="preserve">Respuesta a </w:t>
            </w:r>
            <w:r w:rsidR="001C3970" w:rsidRPr="00954C16">
              <w:rPr>
                <w:rFonts w:ascii="Arial" w:eastAsia="Calibri" w:hAnsi="Arial" w:cs="Arial"/>
                <w:sz w:val="22"/>
              </w:rPr>
              <w:t>4202012000005173</w:t>
            </w:r>
          </w:p>
        </w:tc>
      </w:tr>
    </w:tbl>
    <w:p w14:paraId="21EC41AA" w14:textId="77777777" w:rsidR="0078122E" w:rsidRPr="00954C16" w:rsidRDefault="0078122E" w:rsidP="00C72923">
      <w:pPr>
        <w:spacing w:line="276" w:lineRule="auto"/>
        <w:rPr>
          <w:rFonts w:ascii="Arial" w:eastAsia="Calibri" w:hAnsi="Arial" w:cs="Arial"/>
          <w:sz w:val="22"/>
        </w:rPr>
      </w:pPr>
    </w:p>
    <w:p w14:paraId="7F9FE7C0" w14:textId="750BB07B" w:rsidR="0078122E" w:rsidRPr="00954C16" w:rsidRDefault="0078122E" w:rsidP="0016701E">
      <w:pPr>
        <w:tabs>
          <w:tab w:val="left" w:pos="3736"/>
        </w:tabs>
        <w:spacing w:line="276" w:lineRule="auto"/>
        <w:rPr>
          <w:rFonts w:ascii="Arial" w:eastAsia="Calibri" w:hAnsi="Arial" w:cs="Arial"/>
          <w:sz w:val="22"/>
        </w:rPr>
      </w:pPr>
      <w:r w:rsidRPr="00954C16">
        <w:rPr>
          <w:rFonts w:ascii="Arial" w:eastAsia="Calibri" w:hAnsi="Arial" w:cs="Arial"/>
          <w:sz w:val="22"/>
        </w:rPr>
        <w:t>Estimado señor</w:t>
      </w:r>
      <w:r w:rsidR="0077384B" w:rsidRPr="00954C16">
        <w:rPr>
          <w:rFonts w:ascii="Arial" w:eastAsia="Calibri" w:hAnsi="Arial" w:cs="Arial"/>
          <w:sz w:val="22"/>
        </w:rPr>
        <w:t>a</w:t>
      </w:r>
      <w:r w:rsidR="00C72923" w:rsidRPr="00954C16">
        <w:rPr>
          <w:rFonts w:ascii="Arial" w:eastAsia="Calibri" w:hAnsi="Arial" w:cs="Arial"/>
          <w:sz w:val="22"/>
        </w:rPr>
        <w:t xml:space="preserve"> </w:t>
      </w:r>
      <w:r w:rsidR="0077384B" w:rsidRPr="00954C16">
        <w:rPr>
          <w:rFonts w:ascii="Arial" w:eastAsia="Calibri" w:hAnsi="Arial" w:cs="Arial"/>
          <w:sz w:val="22"/>
        </w:rPr>
        <w:t>Arboleda</w:t>
      </w:r>
      <w:r w:rsidRPr="00954C16">
        <w:rPr>
          <w:rFonts w:ascii="Arial" w:eastAsia="Calibri" w:hAnsi="Arial" w:cs="Arial"/>
          <w:sz w:val="22"/>
        </w:rPr>
        <w:t>,</w:t>
      </w:r>
      <w:r w:rsidR="00020C3A" w:rsidRPr="00954C16">
        <w:rPr>
          <w:rFonts w:ascii="Arial" w:eastAsia="Calibri" w:hAnsi="Arial" w:cs="Arial"/>
          <w:sz w:val="22"/>
        </w:rPr>
        <w:tab/>
      </w:r>
    </w:p>
    <w:p w14:paraId="6C5D69BD" w14:textId="77777777" w:rsidR="00876CFE" w:rsidRPr="00954C16" w:rsidRDefault="00876CFE">
      <w:pPr>
        <w:spacing w:line="276" w:lineRule="auto"/>
        <w:rPr>
          <w:rFonts w:ascii="Arial" w:eastAsia="Calibri" w:hAnsi="Arial" w:cs="Arial"/>
          <w:sz w:val="22"/>
        </w:rPr>
      </w:pPr>
    </w:p>
    <w:p w14:paraId="46689898" w14:textId="1D714484" w:rsidR="00A101AA" w:rsidRPr="00954C16" w:rsidRDefault="0078122E" w:rsidP="006C0EE0">
      <w:pPr>
        <w:spacing w:line="276" w:lineRule="auto"/>
        <w:rPr>
          <w:rFonts w:ascii="Arial" w:eastAsia="Calibri" w:hAnsi="Arial" w:cs="Arial"/>
          <w:sz w:val="22"/>
        </w:rPr>
      </w:pPr>
      <w:r w:rsidRPr="00954C16">
        <w:rPr>
          <w:rFonts w:ascii="Arial" w:eastAsia="Calibri" w:hAnsi="Arial" w:cs="Arial"/>
          <w:sz w:val="22"/>
        </w:rPr>
        <w:t xml:space="preserve">La Agencia Nacional de Contratación Pública </w:t>
      </w:r>
      <w:r w:rsidR="00A101AA" w:rsidRPr="00954C16">
        <w:rPr>
          <w:rFonts w:ascii="Arial" w:eastAsia="Calibri" w:hAnsi="Arial" w:cs="Arial"/>
          <w:sz w:val="22"/>
        </w:rPr>
        <w:t>─</w:t>
      </w:r>
      <w:r w:rsidRPr="00954C16">
        <w:rPr>
          <w:rFonts w:ascii="Arial" w:eastAsia="Calibri" w:hAnsi="Arial" w:cs="Arial"/>
          <w:sz w:val="22"/>
        </w:rPr>
        <w:t xml:space="preserve">Colombia Compra Eficiente responde </w:t>
      </w:r>
      <w:r w:rsidR="0077384B" w:rsidRPr="00954C16">
        <w:rPr>
          <w:rFonts w:ascii="Arial" w:eastAsia="Calibri" w:hAnsi="Arial" w:cs="Arial"/>
          <w:sz w:val="22"/>
        </w:rPr>
        <w:t>su consulta del 18 de junio de 2020</w:t>
      </w:r>
      <w:r w:rsidR="00C72923" w:rsidRPr="00954C16">
        <w:rPr>
          <w:rFonts w:ascii="Arial" w:eastAsia="Calibri" w:hAnsi="Arial" w:cs="Arial"/>
          <w:sz w:val="22"/>
        </w:rPr>
        <w:t>,</w:t>
      </w:r>
      <w:r w:rsidRPr="00954C16">
        <w:rPr>
          <w:rFonts w:ascii="Arial" w:eastAsia="Calibri" w:hAnsi="Arial" w:cs="Arial"/>
          <w:sz w:val="22"/>
        </w:rPr>
        <w:t xml:space="preserve"> en ejercicio de la competencia otorgada por el numeral 8 del artículo 11 y el numeral 5 del artículo 3 del Decreto Ley 4170 de 2011. </w:t>
      </w:r>
    </w:p>
    <w:p w14:paraId="4EBAB2BF" w14:textId="77777777" w:rsidR="00D0159B" w:rsidRPr="00954C16" w:rsidRDefault="00D0159B" w:rsidP="00C72923">
      <w:pPr>
        <w:pStyle w:val="Prrafodelista"/>
        <w:spacing w:line="276" w:lineRule="auto"/>
        <w:ind w:left="0"/>
        <w:rPr>
          <w:rFonts w:ascii="Arial" w:eastAsia="Calibri" w:hAnsi="Arial" w:cs="Arial"/>
          <w:sz w:val="22"/>
        </w:rPr>
      </w:pPr>
    </w:p>
    <w:p w14:paraId="5967F3C4" w14:textId="15FE5F53" w:rsidR="00C72923" w:rsidRPr="00954C16" w:rsidRDefault="00C72923" w:rsidP="00C72923">
      <w:pPr>
        <w:pStyle w:val="Prrafodelista"/>
        <w:numPr>
          <w:ilvl w:val="0"/>
          <w:numId w:val="11"/>
        </w:numPr>
        <w:tabs>
          <w:tab w:val="left" w:pos="0"/>
        </w:tabs>
        <w:spacing w:line="276" w:lineRule="auto"/>
        <w:ind w:left="284" w:hanging="284"/>
        <w:rPr>
          <w:rFonts w:ascii="Arial" w:eastAsia="Calibri" w:hAnsi="Arial" w:cs="Arial"/>
          <w:b/>
          <w:sz w:val="22"/>
        </w:rPr>
      </w:pPr>
      <w:r w:rsidRPr="00954C16">
        <w:rPr>
          <w:rFonts w:ascii="Arial" w:eastAsia="Calibri" w:hAnsi="Arial" w:cs="Arial"/>
          <w:b/>
          <w:sz w:val="22"/>
        </w:rPr>
        <w:t>Problemas planteados</w:t>
      </w:r>
    </w:p>
    <w:p w14:paraId="3B3F7CDA" w14:textId="24C0F1B0" w:rsidR="00C72923" w:rsidRPr="00954C16" w:rsidRDefault="00C72923" w:rsidP="00C72923">
      <w:pPr>
        <w:spacing w:line="276" w:lineRule="auto"/>
        <w:rPr>
          <w:rFonts w:ascii="Arial" w:eastAsia="Calibri" w:hAnsi="Arial" w:cs="Arial"/>
          <w:sz w:val="22"/>
        </w:rPr>
      </w:pPr>
    </w:p>
    <w:p w14:paraId="0D5404C8" w14:textId="678EDCBF" w:rsidR="00C72923" w:rsidRPr="00954C16" w:rsidRDefault="00C72923" w:rsidP="00C72923">
      <w:pPr>
        <w:spacing w:line="276" w:lineRule="auto"/>
        <w:rPr>
          <w:rFonts w:ascii="Arial" w:eastAsia="Calibri" w:hAnsi="Arial" w:cs="Arial"/>
          <w:sz w:val="22"/>
        </w:rPr>
      </w:pPr>
      <w:r w:rsidRPr="00954C16">
        <w:rPr>
          <w:rFonts w:ascii="Arial" w:eastAsia="Calibri" w:hAnsi="Arial" w:cs="Arial"/>
          <w:sz w:val="22"/>
        </w:rPr>
        <w:t>Usted formula las siguientes preguntas:</w:t>
      </w:r>
      <w:r w:rsidRPr="00954C16">
        <w:rPr>
          <w:rFonts w:ascii="Arial" w:eastAsia="Calibri" w:hAnsi="Arial" w:cs="Arial"/>
          <w:b/>
          <w:sz w:val="22"/>
        </w:rPr>
        <w:t xml:space="preserve"> </w:t>
      </w:r>
      <w:r w:rsidRPr="00954C16">
        <w:rPr>
          <w:rFonts w:ascii="Arial" w:eastAsia="Calibri" w:hAnsi="Arial" w:cs="Arial"/>
          <w:sz w:val="22"/>
        </w:rPr>
        <w:t>i)</w:t>
      </w:r>
      <w:r w:rsidR="0077384B" w:rsidRPr="00954C16">
        <w:rPr>
          <w:rFonts w:ascii="Arial" w:eastAsia="Calibri" w:hAnsi="Arial" w:cs="Arial"/>
          <w:sz w:val="22"/>
        </w:rPr>
        <w:t xml:space="preserve"> ¿</w:t>
      </w:r>
      <w:r w:rsidR="001C3970" w:rsidRPr="00954C16">
        <w:rPr>
          <w:rFonts w:ascii="Arial" w:eastAsia="Calibri" w:hAnsi="Arial" w:cs="Arial"/>
          <w:sz w:val="22"/>
        </w:rPr>
        <w:t xml:space="preserve">Los tres días que tiene para reportar la actividad contractual de una Empresa Industrial y Comercial del Estado, son días hábiles o calendario? </w:t>
      </w:r>
    </w:p>
    <w:p w14:paraId="123E84C8" w14:textId="77777777" w:rsidR="00212EA1" w:rsidRPr="00954C16" w:rsidRDefault="00212EA1" w:rsidP="00C72923">
      <w:pPr>
        <w:spacing w:line="276" w:lineRule="auto"/>
        <w:rPr>
          <w:rFonts w:ascii="Arial" w:eastAsia="Calibri" w:hAnsi="Arial" w:cs="Arial"/>
          <w:b/>
          <w:sz w:val="22"/>
        </w:rPr>
      </w:pPr>
    </w:p>
    <w:p w14:paraId="6017F3B0" w14:textId="1668DB24" w:rsidR="00C72923" w:rsidRPr="00954C16" w:rsidRDefault="00C72923" w:rsidP="00C72923">
      <w:pPr>
        <w:pStyle w:val="Prrafodelista"/>
        <w:numPr>
          <w:ilvl w:val="0"/>
          <w:numId w:val="11"/>
        </w:numPr>
        <w:spacing w:line="276" w:lineRule="auto"/>
        <w:ind w:left="284" w:hanging="284"/>
        <w:rPr>
          <w:rFonts w:ascii="Arial" w:eastAsia="Calibri" w:hAnsi="Arial" w:cs="Arial"/>
          <w:sz w:val="22"/>
        </w:rPr>
      </w:pPr>
      <w:r w:rsidRPr="00954C16">
        <w:rPr>
          <w:rFonts w:ascii="Arial" w:eastAsia="Calibri" w:hAnsi="Arial" w:cs="Arial"/>
          <w:b/>
          <w:sz w:val="22"/>
        </w:rPr>
        <w:t>Consideraciones</w:t>
      </w:r>
    </w:p>
    <w:p w14:paraId="4FABBA23" w14:textId="77777777" w:rsidR="00C72923" w:rsidRPr="00954C16" w:rsidRDefault="00C72923" w:rsidP="00C72923">
      <w:pPr>
        <w:spacing w:line="276" w:lineRule="auto"/>
        <w:rPr>
          <w:rFonts w:ascii="Arial" w:eastAsia="Calibri" w:hAnsi="Arial" w:cs="Arial"/>
          <w:sz w:val="22"/>
        </w:rPr>
      </w:pPr>
    </w:p>
    <w:p w14:paraId="648E188A" w14:textId="1510B1CE" w:rsidR="00C72923" w:rsidRPr="00954C16" w:rsidRDefault="00C72923" w:rsidP="0016701E">
      <w:pPr>
        <w:spacing w:line="276" w:lineRule="auto"/>
        <w:rPr>
          <w:rFonts w:ascii="Arial" w:eastAsia="Calibri" w:hAnsi="Arial" w:cs="Arial"/>
          <w:sz w:val="22"/>
        </w:rPr>
      </w:pPr>
      <w:r w:rsidRPr="00954C16">
        <w:rPr>
          <w:rFonts w:ascii="Arial" w:eastAsia="Calibri" w:hAnsi="Arial" w:cs="Arial"/>
          <w:sz w:val="22"/>
        </w:rPr>
        <w:t xml:space="preserve">Para desarrollar </w:t>
      </w:r>
      <w:r w:rsidR="001C3970" w:rsidRPr="00954C16">
        <w:rPr>
          <w:rFonts w:ascii="Arial" w:eastAsia="Calibri" w:hAnsi="Arial" w:cs="Arial"/>
          <w:sz w:val="22"/>
        </w:rPr>
        <w:t xml:space="preserve">el problema planteado, se analizará la publicidad de los contratos en el SECOP, los documentos que publican las entidades sometidas a régimen especial y la oportunidad para realizar la publicación. </w:t>
      </w:r>
    </w:p>
    <w:p w14:paraId="623DD4CA" w14:textId="77777777" w:rsidR="00C72923" w:rsidRPr="00954C16" w:rsidRDefault="00C72923" w:rsidP="00C72923">
      <w:pPr>
        <w:spacing w:line="276" w:lineRule="auto"/>
        <w:rPr>
          <w:rFonts w:ascii="Arial" w:eastAsia="Calibri" w:hAnsi="Arial" w:cs="Arial"/>
          <w:sz w:val="22"/>
        </w:rPr>
      </w:pPr>
    </w:p>
    <w:p w14:paraId="7919417D" w14:textId="42EAD79D" w:rsidR="00C72923" w:rsidRPr="00954C16" w:rsidRDefault="00876CFE" w:rsidP="0016701E">
      <w:pPr>
        <w:tabs>
          <w:tab w:val="left" w:pos="426"/>
        </w:tabs>
        <w:spacing w:line="276" w:lineRule="auto"/>
        <w:rPr>
          <w:rFonts w:ascii="Arial" w:eastAsia="Calibri" w:hAnsi="Arial" w:cs="Arial"/>
          <w:b/>
          <w:sz w:val="22"/>
        </w:rPr>
      </w:pPr>
      <w:r w:rsidRPr="00954C16">
        <w:rPr>
          <w:rFonts w:ascii="Arial" w:eastAsia="Calibri" w:hAnsi="Arial" w:cs="Arial"/>
          <w:b/>
          <w:sz w:val="22"/>
        </w:rPr>
        <w:t xml:space="preserve">2.1. </w:t>
      </w:r>
      <w:r w:rsidR="00C72923" w:rsidRPr="00954C16">
        <w:rPr>
          <w:rFonts w:ascii="Arial" w:eastAsia="Calibri" w:hAnsi="Arial" w:cs="Arial"/>
          <w:b/>
          <w:sz w:val="22"/>
        </w:rPr>
        <w:t xml:space="preserve">Publicidad de los contratos en el Sistema Electrónico de Contratación Pública </w:t>
      </w:r>
      <w:r w:rsidR="00506D7B" w:rsidRPr="00954C16">
        <w:rPr>
          <w:rFonts w:ascii="Arial" w:eastAsia="Calibri" w:hAnsi="Arial" w:cs="Arial"/>
          <w:b/>
          <w:sz w:val="22"/>
        </w:rPr>
        <w:t>–</w:t>
      </w:r>
      <w:r w:rsidR="00C72923" w:rsidRPr="00954C16">
        <w:rPr>
          <w:rFonts w:ascii="Arial" w:eastAsia="Calibri" w:hAnsi="Arial" w:cs="Arial"/>
          <w:b/>
          <w:sz w:val="22"/>
        </w:rPr>
        <w:t>SECOP</w:t>
      </w:r>
      <w:r w:rsidR="00866FF7" w:rsidRPr="00954C16">
        <w:rPr>
          <w:rFonts w:ascii="Arial" w:eastAsia="Calibri" w:hAnsi="Arial" w:cs="Arial"/>
          <w:b/>
          <w:sz w:val="22"/>
        </w:rPr>
        <w:t>–</w:t>
      </w:r>
    </w:p>
    <w:p w14:paraId="58F25F21" w14:textId="5153AA9F" w:rsidR="00C72923" w:rsidRPr="00954C16" w:rsidRDefault="00C72923" w:rsidP="00E96AD1">
      <w:pPr>
        <w:pStyle w:val="Prrafodelista"/>
        <w:spacing w:line="276" w:lineRule="auto"/>
        <w:ind w:left="0" w:firstLine="709"/>
        <w:rPr>
          <w:rFonts w:ascii="Arial" w:eastAsia="Calibri" w:hAnsi="Arial" w:cs="Arial"/>
          <w:b/>
          <w:sz w:val="22"/>
        </w:rPr>
      </w:pPr>
    </w:p>
    <w:p w14:paraId="33CE40CD" w14:textId="7E41E990" w:rsidR="008F0E5E" w:rsidRPr="00954C16" w:rsidRDefault="00193F79" w:rsidP="0016701E">
      <w:pPr>
        <w:spacing w:line="276" w:lineRule="auto"/>
        <w:rPr>
          <w:rFonts w:ascii="Arial" w:hAnsi="Arial" w:cs="Arial"/>
          <w:sz w:val="22"/>
        </w:rPr>
      </w:pPr>
      <w:r w:rsidRPr="00954C16">
        <w:rPr>
          <w:rFonts w:ascii="Arial" w:eastAsia="Calibri" w:hAnsi="Arial" w:cs="Arial"/>
          <w:bCs/>
          <w:sz w:val="22"/>
        </w:rPr>
        <w:t>La Agencia Nacional de Contratación Pública estudió por primera vez este tema en la consulta No. 420191</w:t>
      </w:r>
      <w:r w:rsidR="000911FF" w:rsidRPr="00954C16">
        <w:rPr>
          <w:rFonts w:ascii="Arial" w:eastAsia="Calibri" w:hAnsi="Arial" w:cs="Arial"/>
          <w:bCs/>
          <w:sz w:val="22"/>
        </w:rPr>
        <w:t>3</w:t>
      </w:r>
      <w:r w:rsidRPr="00954C16">
        <w:rPr>
          <w:rFonts w:ascii="Arial" w:eastAsia="Calibri" w:hAnsi="Arial" w:cs="Arial"/>
          <w:bCs/>
          <w:sz w:val="22"/>
        </w:rPr>
        <w:t>000005</w:t>
      </w:r>
      <w:r w:rsidR="000911FF" w:rsidRPr="00954C16">
        <w:rPr>
          <w:rFonts w:ascii="Arial" w:eastAsia="Calibri" w:hAnsi="Arial" w:cs="Arial"/>
          <w:bCs/>
          <w:sz w:val="22"/>
        </w:rPr>
        <w:t xml:space="preserve">397 del </w:t>
      </w:r>
      <w:r w:rsidR="00505D46" w:rsidRPr="00954C16">
        <w:rPr>
          <w:rFonts w:ascii="Arial" w:eastAsia="Calibri" w:hAnsi="Arial" w:cs="Arial"/>
          <w:bCs/>
          <w:sz w:val="22"/>
        </w:rPr>
        <w:t>9 de agosto de 2019</w:t>
      </w:r>
      <w:r w:rsidRPr="00954C16">
        <w:rPr>
          <w:rFonts w:ascii="Arial" w:eastAsia="Calibri" w:hAnsi="Arial" w:cs="Arial"/>
          <w:bCs/>
          <w:sz w:val="22"/>
        </w:rPr>
        <w:t xml:space="preserve"> y reiteró la posición en las siguientes consultas</w:t>
      </w:r>
      <w:r w:rsidR="00C906DE" w:rsidRPr="00954C16">
        <w:rPr>
          <w:rFonts w:ascii="Arial" w:eastAsia="Calibri" w:hAnsi="Arial" w:cs="Arial"/>
          <w:bCs/>
          <w:sz w:val="22"/>
        </w:rPr>
        <w:t>:</w:t>
      </w:r>
      <w:r w:rsidR="0076571F" w:rsidRPr="00954C16">
        <w:rPr>
          <w:rFonts w:ascii="Arial" w:eastAsia="Calibri" w:hAnsi="Arial" w:cs="Arial"/>
          <w:bCs/>
          <w:sz w:val="22"/>
        </w:rPr>
        <w:t xml:space="preserve"> 4201912000006611 del 25 de septiembre de 201</w:t>
      </w:r>
      <w:r w:rsidR="005976BA" w:rsidRPr="00954C16">
        <w:rPr>
          <w:rFonts w:ascii="Arial" w:eastAsia="Calibri" w:hAnsi="Arial" w:cs="Arial"/>
          <w:bCs/>
          <w:sz w:val="22"/>
        </w:rPr>
        <w:t>9</w:t>
      </w:r>
      <w:r w:rsidR="0076571F" w:rsidRPr="00954C16">
        <w:rPr>
          <w:rFonts w:ascii="Arial" w:eastAsia="Calibri" w:hAnsi="Arial" w:cs="Arial"/>
          <w:bCs/>
          <w:sz w:val="22"/>
        </w:rPr>
        <w:t xml:space="preserve">, </w:t>
      </w:r>
      <w:r w:rsidRPr="00954C16">
        <w:rPr>
          <w:rFonts w:ascii="Arial" w:hAnsi="Arial" w:cs="Arial"/>
          <w:sz w:val="22"/>
        </w:rPr>
        <w:t>420191</w:t>
      </w:r>
      <w:r w:rsidR="000911FF" w:rsidRPr="00954C16">
        <w:rPr>
          <w:rFonts w:ascii="Arial" w:hAnsi="Arial" w:cs="Arial"/>
          <w:sz w:val="22"/>
        </w:rPr>
        <w:t>3</w:t>
      </w:r>
      <w:r w:rsidRPr="00954C16">
        <w:rPr>
          <w:rFonts w:ascii="Arial" w:hAnsi="Arial" w:cs="Arial"/>
          <w:sz w:val="22"/>
        </w:rPr>
        <w:t>00000</w:t>
      </w:r>
      <w:r w:rsidR="000911FF" w:rsidRPr="00954C16">
        <w:rPr>
          <w:rFonts w:ascii="Arial" w:hAnsi="Arial" w:cs="Arial"/>
          <w:sz w:val="22"/>
        </w:rPr>
        <w:t>6847</w:t>
      </w:r>
      <w:r w:rsidRPr="00954C16">
        <w:rPr>
          <w:rFonts w:ascii="Arial" w:hAnsi="Arial" w:cs="Arial"/>
          <w:sz w:val="22"/>
        </w:rPr>
        <w:t xml:space="preserve"> del </w:t>
      </w:r>
      <w:r w:rsidR="000911FF" w:rsidRPr="00954C16">
        <w:rPr>
          <w:rFonts w:ascii="Arial" w:hAnsi="Arial" w:cs="Arial"/>
          <w:sz w:val="22"/>
        </w:rPr>
        <w:t>4 de octubre</w:t>
      </w:r>
      <w:r w:rsidRPr="00954C16">
        <w:rPr>
          <w:rFonts w:ascii="Arial" w:hAnsi="Arial" w:cs="Arial"/>
          <w:sz w:val="22"/>
        </w:rPr>
        <w:t xml:space="preserve"> de 2019, </w:t>
      </w:r>
      <w:r w:rsidRPr="00954C16">
        <w:rPr>
          <w:rFonts w:ascii="Arial" w:eastAsia="Calibri" w:hAnsi="Arial" w:cs="Arial"/>
          <w:bCs/>
          <w:sz w:val="22"/>
        </w:rPr>
        <w:t>420191200000</w:t>
      </w:r>
      <w:r w:rsidR="000911FF" w:rsidRPr="00954C16">
        <w:rPr>
          <w:rFonts w:ascii="Arial" w:eastAsia="Calibri" w:hAnsi="Arial" w:cs="Arial"/>
          <w:bCs/>
          <w:sz w:val="22"/>
        </w:rPr>
        <w:t>7762</w:t>
      </w:r>
      <w:r w:rsidRPr="00954C16">
        <w:rPr>
          <w:rFonts w:ascii="Arial" w:eastAsia="Calibri" w:hAnsi="Arial" w:cs="Arial"/>
          <w:bCs/>
          <w:sz w:val="22"/>
        </w:rPr>
        <w:t xml:space="preserve"> del </w:t>
      </w:r>
      <w:r w:rsidR="000911FF" w:rsidRPr="00954C16">
        <w:rPr>
          <w:rFonts w:ascii="Arial" w:eastAsia="Calibri" w:hAnsi="Arial" w:cs="Arial"/>
          <w:bCs/>
          <w:sz w:val="22"/>
        </w:rPr>
        <w:t>18</w:t>
      </w:r>
      <w:r w:rsidRPr="00954C16">
        <w:rPr>
          <w:rFonts w:ascii="Arial" w:eastAsia="Calibri" w:hAnsi="Arial" w:cs="Arial"/>
          <w:bCs/>
          <w:sz w:val="22"/>
        </w:rPr>
        <w:t xml:space="preserve"> de </w:t>
      </w:r>
      <w:r w:rsidR="000911FF" w:rsidRPr="00954C16">
        <w:rPr>
          <w:rFonts w:ascii="Arial" w:eastAsia="Calibri" w:hAnsi="Arial" w:cs="Arial"/>
          <w:bCs/>
          <w:sz w:val="22"/>
        </w:rPr>
        <w:t xml:space="preserve">noviembre </w:t>
      </w:r>
      <w:r w:rsidRPr="00954C16">
        <w:rPr>
          <w:rFonts w:ascii="Arial" w:eastAsia="Calibri" w:hAnsi="Arial" w:cs="Arial"/>
          <w:bCs/>
          <w:sz w:val="22"/>
        </w:rPr>
        <w:t>de 2019, y finalmente en la consulta 4201912000007</w:t>
      </w:r>
      <w:r w:rsidR="000911FF" w:rsidRPr="00954C16">
        <w:rPr>
          <w:rFonts w:ascii="Arial" w:eastAsia="Calibri" w:hAnsi="Arial" w:cs="Arial"/>
          <w:bCs/>
          <w:sz w:val="22"/>
        </w:rPr>
        <w:t>828</w:t>
      </w:r>
      <w:r w:rsidRPr="00954C16">
        <w:rPr>
          <w:rFonts w:ascii="Arial" w:eastAsia="Calibri" w:hAnsi="Arial" w:cs="Arial"/>
          <w:bCs/>
          <w:sz w:val="22"/>
        </w:rPr>
        <w:t xml:space="preserve"> del </w:t>
      </w:r>
      <w:r w:rsidR="000911FF" w:rsidRPr="00954C16">
        <w:rPr>
          <w:rFonts w:ascii="Arial" w:eastAsia="Calibri" w:hAnsi="Arial" w:cs="Arial"/>
          <w:bCs/>
          <w:sz w:val="22"/>
        </w:rPr>
        <w:t>13</w:t>
      </w:r>
      <w:r w:rsidRPr="00954C16">
        <w:rPr>
          <w:rFonts w:ascii="Arial" w:eastAsia="Calibri" w:hAnsi="Arial" w:cs="Arial"/>
          <w:bCs/>
          <w:sz w:val="22"/>
        </w:rPr>
        <w:t xml:space="preserve"> de noviembre de 2019</w:t>
      </w:r>
      <w:r w:rsidR="00BC6D0C" w:rsidRPr="00954C16">
        <w:rPr>
          <w:rFonts w:ascii="Arial" w:eastAsia="Calibri" w:hAnsi="Arial" w:cs="Arial"/>
          <w:bCs/>
          <w:sz w:val="22"/>
        </w:rPr>
        <w:t xml:space="preserve"> y</w:t>
      </w:r>
      <w:r w:rsidR="004C28A3">
        <w:rPr>
          <w:rFonts w:ascii="Arial" w:eastAsia="Calibri" w:hAnsi="Arial" w:cs="Arial"/>
          <w:bCs/>
          <w:sz w:val="22"/>
        </w:rPr>
        <w:t xml:space="preserve"> en el</w:t>
      </w:r>
      <w:r w:rsidR="00BC6D0C" w:rsidRPr="00954C16">
        <w:rPr>
          <w:rFonts w:ascii="Arial" w:eastAsia="Calibri" w:hAnsi="Arial" w:cs="Arial"/>
          <w:bCs/>
          <w:sz w:val="22"/>
        </w:rPr>
        <w:t xml:space="preserve"> Concepto Unificado CU-003 del 15 de enero de 2020</w:t>
      </w:r>
      <w:r w:rsidRPr="00954C16">
        <w:rPr>
          <w:rFonts w:ascii="Arial" w:hAnsi="Arial" w:cs="Arial"/>
          <w:sz w:val="22"/>
        </w:rPr>
        <w:t xml:space="preserve">. </w:t>
      </w:r>
      <w:r w:rsidRPr="00954C16">
        <w:rPr>
          <w:rFonts w:ascii="Arial" w:eastAsia="Calibri" w:hAnsi="Arial" w:cs="Arial"/>
          <w:sz w:val="22"/>
        </w:rPr>
        <w:t>En todas sostuvo la idea que se reitera a continuación:</w:t>
      </w:r>
      <w:r w:rsidRPr="00954C16">
        <w:rPr>
          <w:rFonts w:ascii="Arial" w:hAnsi="Arial" w:cs="Arial"/>
          <w:sz w:val="22"/>
        </w:rPr>
        <w:t xml:space="preserve"> </w:t>
      </w:r>
    </w:p>
    <w:p w14:paraId="38422A18" w14:textId="41AA420F" w:rsidR="00193F79" w:rsidRPr="00954C16" w:rsidRDefault="00193F79" w:rsidP="00170EC3">
      <w:pPr>
        <w:spacing w:before="120" w:line="276" w:lineRule="auto"/>
        <w:ind w:firstLine="709"/>
        <w:rPr>
          <w:rFonts w:ascii="Arial" w:eastAsia="Calibri" w:hAnsi="Arial" w:cs="Arial"/>
          <w:sz w:val="22"/>
        </w:rPr>
      </w:pPr>
      <w:r w:rsidRPr="00954C16">
        <w:rPr>
          <w:rFonts w:ascii="Arial" w:eastAsia="Calibri" w:hAnsi="Arial" w:cs="Arial"/>
          <w:sz w:val="22"/>
        </w:rPr>
        <w:t>Para la Corte Constitucional, el principio de publicidad es la garantía que tienen las personas de conocer las actuaciones judiciales y administrativas y</w:t>
      </w:r>
      <w:r w:rsidR="004C28A3">
        <w:rPr>
          <w:rFonts w:ascii="Arial" w:eastAsia="Calibri" w:hAnsi="Arial" w:cs="Arial"/>
          <w:sz w:val="22"/>
        </w:rPr>
        <w:t>,</w:t>
      </w:r>
      <w:r w:rsidRPr="00954C16">
        <w:rPr>
          <w:rFonts w:ascii="Arial" w:eastAsia="Calibri" w:hAnsi="Arial" w:cs="Arial"/>
          <w:sz w:val="22"/>
        </w:rPr>
        <w:t xml:space="preserve"> con base en ese conocimiento</w:t>
      </w:r>
      <w:r w:rsidR="004C28A3">
        <w:rPr>
          <w:rFonts w:ascii="Arial" w:eastAsia="Calibri" w:hAnsi="Arial" w:cs="Arial"/>
          <w:sz w:val="22"/>
        </w:rPr>
        <w:t>,</w:t>
      </w:r>
      <w:r w:rsidRPr="00954C16">
        <w:rPr>
          <w:rFonts w:ascii="Arial" w:eastAsia="Calibri" w:hAnsi="Arial" w:cs="Arial"/>
          <w:sz w:val="22"/>
        </w:rPr>
        <w:t xml:space="preserve"> exigir que se surtan conforme a la </w:t>
      </w:r>
      <w:r w:rsidR="002D1241" w:rsidRPr="00954C16">
        <w:rPr>
          <w:rFonts w:ascii="Arial" w:eastAsia="Calibri" w:hAnsi="Arial" w:cs="Arial"/>
          <w:sz w:val="22"/>
        </w:rPr>
        <w:t>l</w:t>
      </w:r>
      <w:r w:rsidRPr="00954C16">
        <w:rPr>
          <w:rFonts w:ascii="Arial" w:eastAsia="Calibri" w:hAnsi="Arial" w:cs="Arial"/>
          <w:sz w:val="22"/>
        </w:rPr>
        <w:t xml:space="preserve">ey: </w:t>
      </w:r>
    </w:p>
    <w:p w14:paraId="5D5599A8" w14:textId="77777777" w:rsidR="00193F79" w:rsidRPr="00954C16" w:rsidRDefault="00193F79" w:rsidP="00E96AD1">
      <w:pPr>
        <w:ind w:firstLine="709"/>
        <w:rPr>
          <w:rFonts w:ascii="Arial" w:eastAsia="Calibri" w:hAnsi="Arial" w:cs="Arial"/>
          <w:sz w:val="22"/>
        </w:rPr>
      </w:pPr>
    </w:p>
    <w:p w14:paraId="58AB3BDA" w14:textId="28147B17" w:rsidR="00E96AD1" w:rsidRPr="00954C16" w:rsidRDefault="00193F79" w:rsidP="00E96AD1">
      <w:pPr>
        <w:tabs>
          <w:tab w:val="left" w:pos="3885"/>
        </w:tabs>
        <w:ind w:left="709" w:right="709"/>
        <w:rPr>
          <w:rFonts w:ascii="Arial" w:hAnsi="Arial" w:cs="Arial"/>
          <w:sz w:val="21"/>
          <w:szCs w:val="21"/>
        </w:rPr>
      </w:pPr>
      <w:r w:rsidRPr="00954C16">
        <w:rPr>
          <w:rFonts w:ascii="Arial" w:hAnsi="Arial" w:cs="Arial"/>
          <w:sz w:val="21"/>
          <w:szCs w:val="21"/>
        </w:rPr>
        <w:t xml:space="preserve">El principio de publicidad se encuentra consagrado en el artículo 209 de la Constitución Política, que señala que la función administrativa está al servicio de los intereses generales y se desarrolla con fundamento entre otros, en el </w:t>
      </w:r>
      <w:r w:rsidR="008B7534" w:rsidRPr="00954C16">
        <w:rPr>
          <w:rFonts w:ascii="Arial" w:hAnsi="Arial" w:cs="Arial"/>
          <w:sz w:val="21"/>
          <w:szCs w:val="21"/>
        </w:rPr>
        <w:t>«</w:t>
      </w:r>
      <w:r w:rsidRPr="00954C16">
        <w:rPr>
          <w:rFonts w:ascii="Arial" w:hAnsi="Arial" w:cs="Arial"/>
          <w:sz w:val="21"/>
          <w:szCs w:val="21"/>
        </w:rPr>
        <w:t>principio de publicidad</w:t>
      </w:r>
      <w:r w:rsidR="008B7534" w:rsidRPr="00954C16">
        <w:rPr>
          <w:rFonts w:ascii="Arial" w:hAnsi="Arial" w:cs="Arial"/>
          <w:sz w:val="21"/>
          <w:szCs w:val="21"/>
        </w:rPr>
        <w:t>»</w:t>
      </w:r>
      <w:r w:rsidRPr="00954C16">
        <w:rPr>
          <w:rFonts w:ascii="Arial" w:hAnsi="Arial" w:cs="Arial"/>
          <w:sz w:val="21"/>
          <w:szCs w:val="21"/>
        </w:rPr>
        <w:t>, el cual se evidencia en dos dimensiones.</w:t>
      </w:r>
    </w:p>
    <w:p w14:paraId="4AF9A792" w14:textId="77777777" w:rsidR="00E96AD1" w:rsidRPr="00954C16" w:rsidRDefault="00E96AD1" w:rsidP="00E96AD1">
      <w:pPr>
        <w:tabs>
          <w:tab w:val="left" w:pos="3885"/>
        </w:tabs>
        <w:ind w:left="709" w:right="709"/>
        <w:rPr>
          <w:rFonts w:ascii="Arial" w:hAnsi="Arial" w:cs="Arial"/>
          <w:sz w:val="21"/>
          <w:szCs w:val="21"/>
        </w:rPr>
      </w:pPr>
    </w:p>
    <w:p w14:paraId="03C2019B" w14:textId="3C23F84E" w:rsidR="00193F79" w:rsidRPr="00954C16" w:rsidRDefault="00193F79" w:rsidP="00E96AD1">
      <w:pPr>
        <w:tabs>
          <w:tab w:val="left" w:pos="3885"/>
          <w:tab w:val="left" w:pos="8222"/>
        </w:tabs>
        <w:ind w:left="709" w:right="709"/>
        <w:rPr>
          <w:rFonts w:ascii="Arial" w:hAnsi="Arial" w:cs="Arial"/>
          <w:sz w:val="22"/>
        </w:rPr>
      </w:pPr>
      <w:r w:rsidRPr="00954C16">
        <w:rPr>
          <w:rFonts w:ascii="Arial" w:hAnsi="Arial" w:cs="Arial"/>
          <w:sz w:val="21"/>
          <w:szCs w:val="21"/>
        </w:rPr>
        <w:lastRenderedPageBreak/>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54C16">
        <w:rPr>
          <w:rFonts w:ascii="Arial" w:hAnsi="Arial" w:cs="Arial"/>
          <w:sz w:val="21"/>
          <w:szCs w:val="21"/>
        </w:rPr>
        <w:t>autoridades públicas</w:t>
      </w:r>
      <w:proofErr w:type="gramEnd"/>
      <w:r w:rsidRPr="00954C16">
        <w:rPr>
          <w:rFonts w:ascii="Arial" w:hAnsi="Arial" w:cs="Arial"/>
          <w:sz w:val="21"/>
          <w:szCs w:val="21"/>
        </w:rPr>
        <w:t xml:space="preserve"> y, a través de ese conocimiento, a exigir que ellas se surtan conforme a la ley</w:t>
      </w:r>
      <w:r w:rsidRPr="00954C16">
        <w:rPr>
          <w:rStyle w:val="Refdenotaalpie"/>
          <w:rFonts w:ascii="Arial" w:eastAsia="Calibri" w:hAnsi="Arial" w:cs="Arial"/>
          <w:sz w:val="21"/>
          <w:szCs w:val="21"/>
        </w:rPr>
        <w:footnoteReference w:id="2"/>
      </w:r>
      <w:r w:rsidRPr="00954C16">
        <w:rPr>
          <w:rFonts w:ascii="Arial" w:eastAsia="Calibri" w:hAnsi="Arial" w:cs="Arial"/>
          <w:sz w:val="21"/>
          <w:szCs w:val="21"/>
        </w:rPr>
        <w:t>.</w:t>
      </w:r>
    </w:p>
    <w:p w14:paraId="44C43AF9" w14:textId="77777777" w:rsidR="00193F79" w:rsidRPr="00954C16" w:rsidRDefault="00193F79" w:rsidP="00193F79">
      <w:pPr>
        <w:spacing w:line="276" w:lineRule="auto"/>
        <w:ind w:right="709"/>
        <w:rPr>
          <w:rFonts w:ascii="Arial" w:eastAsia="Calibri" w:hAnsi="Arial" w:cs="Arial"/>
          <w:sz w:val="22"/>
        </w:rPr>
      </w:pPr>
    </w:p>
    <w:p w14:paraId="141762C3" w14:textId="3BB516E3" w:rsidR="00193F79" w:rsidRPr="00954C16" w:rsidRDefault="00193F79" w:rsidP="00170EC3">
      <w:pPr>
        <w:spacing w:after="120" w:line="276" w:lineRule="auto"/>
        <w:ind w:firstLine="709"/>
        <w:rPr>
          <w:rFonts w:ascii="Arial" w:eastAsia="Calibri" w:hAnsi="Arial" w:cs="Arial"/>
          <w:sz w:val="22"/>
        </w:rPr>
      </w:pPr>
      <w:r w:rsidRPr="00954C16">
        <w:rPr>
          <w:rFonts w:ascii="Arial" w:eastAsia="Calibri" w:hAnsi="Arial" w:cs="Arial"/>
          <w:sz w:val="22"/>
        </w:rPr>
        <w:t xml:space="preserve">El principio de publicidad </w:t>
      </w:r>
      <w:r w:rsidR="00C906DE" w:rsidRPr="00954C16">
        <w:rPr>
          <w:rFonts w:ascii="Arial" w:eastAsia="Calibri" w:hAnsi="Arial" w:cs="Arial"/>
          <w:sz w:val="22"/>
        </w:rPr>
        <w:t>impone a</w:t>
      </w:r>
      <w:r w:rsidRPr="00954C16">
        <w:rPr>
          <w:rFonts w:ascii="Arial" w:eastAsia="Calibri" w:hAnsi="Arial" w:cs="Arial"/>
          <w:sz w:val="22"/>
        </w:rPr>
        <w:t xml:space="preserve"> las autoridades administrativas </w:t>
      </w:r>
      <w:r w:rsidR="00C906DE" w:rsidRPr="00954C16">
        <w:rPr>
          <w:rFonts w:ascii="Arial" w:eastAsia="Calibri" w:hAnsi="Arial" w:cs="Arial"/>
          <w:sz w:val="22"/>
        </w:rPr>
        <w:t xml:space="preserve">el deber </w:t>
      </w:r>
      <w:r w:rsidRPr="00954C16">
        <w:rPr>
          <w:rFonts w:ascii="Arial" w:eastAsia="Calibri" w:hAnsi="Arial" w:cs="Arial"/>
          <w:sz w:val="22"/>
        </w:rPr>
        <w:t xml:space="preserve">de dar a conocer sus actos, contratos y </w:t>
      </w:r>
      <w:r w:rsidR="00C906DE" w:rsidRPr="00954C16">
        <w:rPr>
          <w:rFonts w:ascii="Arial" w:eastAsia="Calibri" w:hAnsi="Arial" w:cs="Arial"/>
          <w:sz w:val="22"/>
        </w:rPr>
        <w:t>decisiones</w:t>
      </w:r>
      <w:r w:rsidRPr="00954C16">
        <w:rPr>
          <w:rFonts w:ascii="Arial" w:eastAsia="Calibri" w:hAnsi="Arial" w:cs="Arial"/>
          <w:sz w:val="22"/>
        </w:rPr>
        <w:t xml:space="preserve">, para que se </w:t>
      </w:r>
      <w:r w:rsidR="00C906DE" w:rsidRPr="00954C16">
        <w:rPr>
          <w:rFonts w:ascii="Arial" w:eastAsia="Calibri" w:hAnsi="Arial" w:cs="Arial"/>
          <w:sz w:val="22"/>
        </w:rPr>
        <w:t xml:space="preserve">divulguen y eventualmente se </w:t>
      </w:r>
      <w:r w:rsidRPr="00954C16">
        <w:rPr>
          <w:rFonts w:ascii="Arial" w:eastAsia="Calibri" w:hAnsi="Arial" w:cs="Arial"/>
          <w:sz w:val="22"/>
        </w:rPr>
        <w:t>control</w:t>
      </w:r>
      <w:r w:rsidR="00C906DE" w:rsidRPr="00954C16">
        <w:rPr>
          <w:rFonts w:ascii="Arial" w:eastAsia="Calibri" w:hAnsi="Arial" w:cs="Arial"/>
          <w:sz w:val="22"/>
        </w:rPr>
        <w:t>en</w:t>
      </w:r>
      <w:r w:rsidRPr="00954C16">
        <w:rPr>
          <w:rFonts w:ascii="Arial" w:eastAsia="Calibri" w:hAnsi="Arial" w:cs="Arial"/>
          <w:sz w:val="22"/>
        </w:rPr>
        <w:t xml:space="preserve"> </w:t>
      </w:r>
      <w:r w:rsidR="002635AA">
        <w:rPr>
          <w:rFonts w:ascii="Arial" w:eastAsia="Calibri" w:hAnsi="Arial" w:cs="Arial"/>
          <w:sz w:val="22"/>
        </w:rPr>
        <w:t>sus</w:t>
      </w:r>
      <w:r w:rsidR="002635AA" w:rsidRPr="00954C16">
        <w:rPr>
          <w:rFonts w:ascii="Arial" w:eastAsia="Calibri" w:hAnsi="Arial" w:cs="Arial"/>
          <w:sz w:val="22"/>
        </w:rPr>
        <w:t xml:space="preserve"> </w:t>
      </w:r>
      <w:r w:rsidRPr="00954C16">
        <w:rPr>
          <w:rFonts w:ascii="Arial" w:eastAsia="Calibri" w:hAnsi="Arial" w:cs="Arial"/>
          <w:sz w:val="22"/>
        </w:rPr>
        <w:t xml:space="preserve">actuaciones. </w:t>
      </w:r>
    </w:p>
    <w:p w14:paraId="61970A45" w14:textId="6C8C1A06" w:rsidR="00987173" w:rsidRPr="00954C16" w:rsidRDefault="00193F79" w:rsidP="00BC6D0C">
      <w:pPr>
        <w:spacing w:before="120" w:after="120" w:line="276" w:lineRule="auto"/>
        <w:ind w:firstLine="709"/>
        <w:rPr>
          <w:rFonts w:ascii="Arial" w:eastAsia="Calibri" w:hAnsi="Arial" w:cs="Arial"/>
          <w:sz w:val="22"/>
        </w:rPr>
      </w:pPr>
      <w:r w:rsidRPr="00954C16">
        <w:rPr>
          <w:rFonts w:ascii="Arial" w:eastAsia="Calibri" w:hAnsi="Arial" w:cs="Arial"/>
          <w:sz w:val="22"/>
        </w:rPr>
        <w:t xml:space="preserve">El literal c) del artículo 3 de la Ley 1150 de 2007 establece que el Sistema Electrónico para la Contratación Pública </w:t>
      </w:r>
      <w:r w:rsidR="008B7534" w:rsidRPr="00954C16">
        <w:rPr>
          <w:rFonts w:ascii="Arial" w:eastAsia="Calibri" w:hAnsi="Arial" w:cs="Arial"/>
          <w:sz w:val="22"/>
        </w:rPr>
        <w:t>«</w:t>
      </w:r>
      <w:r w:rsidRPr="00954C16">
        <w:rPr>
          <w:rFonts w:ascii="Arial" w:eastAsia="Calibri" w:hAnsi="Arial" w:cs="Arial"/>
          <w:sz w:val="22"/>
        </w:rPr>
        <w:t>contará con la información oficial de la contratación realizada con dineros públicos, para lo cual establecerá los patrones a que haya lugar y se encargará de su difusión a través de canales electrónicos</w:t>
      </w:r>
      <w:r w:rsidR="008B7534" w:rsidRPr="00954C16">
        <w:rPr>
          <w:rFonts w:ascii="Arial" w:eastAsia="Calibri" w:hAnsi="Arial" w:cs="Arial"/>
          <w:sz w:val="22"/>
        </w:rPr>
        <w:t>»</w:t>
      </w:r>
      <w:r w:rsidRPr="00954C16">
        <w:rPr>
          <w:rStyle w:val="Refdenotaalpie"/>
          <w:rFonts w:ascii="Arial" w:eastAsia="Calibri" w:hAnsi="Arial" w:cs="Arial"/>
          <w:sz w:val="22"/>
        </w:rPr>
        <w:footnoteReference w:id="3"/>
      </w:r>
      <w:r w:rsidRPr="00954C16">
        <w:rPr>
          <w:rFonts w:ascii="Arial" w:eastAsia="Calibri" w:hAnsi="Arial" w:cs="Arial"/>
          <w:sz w:val="22"/>
        </w:rPr>
        <w:t xml:space="preserve">. </w:t>
      </w:r>
    </w:p>
    <w:p w14:paraId="74144548" w14:textId="0D3C87D6" w:rsidR="00193F79" w:rsidRPr="00954C16" w:rsidRDefault="00193F79" w:rsidP="00BC6D0C">
      <w:pPr>
        <w:spacing w:before="120" w:after="120" w:line="276" w:lineRule="auto"/>
        <w:ind w:firstLine="709"/>
        <w:rPr>
          <w:rFonts w:ascii="Arial" w:eastAsia="Calibri" w:hAnsi="Arial" w:cs="Arial"/>
          <w:sz w:val="22"/>
        </w:rPr>
      </w:pPr>
      <w:r w:rsidRPr="00954C16">
        <w:rPr>
          <w:rFonts w:ascii="Arial" w:hAnsi="Arial" w:cs="Arial"/>
          <w:sz w:val="22"/>
        </w:rPr>
        <w:t xml:space="preserve">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w:t>
      </w:r>
      <w:r w:rsidR="008B7534" w:rsidRPr="00954C16">
        <w:rPr>
          <w:rFonts w:ascii="Arial" w:hAnsi="Arial" w:cs="Arial"/>
          <w:sz w:val="22"/>
        </w:rPr>
        <w:t>«</w:t>
      </w:r>
      <w:r w:rsidRPr="00954C16">
        <w:rPr>
          <w:rFonts w:ascii="Arial" w:hAnsi="Arial" w:cs="Arial"/>
          <w:sz w:val="22"/>
        </w:rPr>
        <w:t>toda información en posesión, bajo control o custodia de un sujeto obligado es pública y no podrá ser reservada o limitada sino por disposición constitucional o legal</w:t>
      </w:r>
      <w:r w:rsidR="008B7534" w:rsidRPr="00954C16">
        <w:rPr>
          <w:rFonts w:ascii="Arial" w:hAnsi="Arial" w:cs="Arial"/>
          <w:sz w:val="22"/>
        </w:rPr>
        <w:t>»</w:t>
      </w:r>
      <w:r w:rsidRPr="00954C16">
        <w:rPr>
          <w:rStyle w:val="Refdenotaalpie"/>
          <w:rFonts w:ascii="Arial" w:hAnsi="Arial" w:cs="Arial"/>
          <w:sz w:val="22"/>
        </w:rPr>
        <w:footnoteReference w:id="4"/>
      </w:r>
      <w:r w:rsidRPr="00954C16">
        <w:rPr>
          <w:rFonts w:ascii="Arial" w:hAnsi="Arial" w:cs="Arial"/>
          <w:sz w:val="22"/>
        </w:rPr>
        <w:t xml:space="preserve">. El principio de transparencia en la información alude al deber de </w:t>
      </w:r>
      <w:r w:rsidRPr="00954C16">
        <w:rPr>
          <w:rFonts w:ascii="Arial" w:hAnsi="Arial" w:cs="Arial"/>
          <w:sz w:val="22"/>
        </w:rPr>
        <w:lastRenderedPageBreak/>
        <w:t xml:space="preserve">los sujetos de proporcionar y facilitar el acceso a la misma en los términos más amplios posibles, y a través de los medios y procedimientos que establezca la ley. </w:t>
      </w:r>
    </w:p>
    <w:p w14:paraId="0EE6FD92" w14:textId="6633D7EF" w:rsidR="00193F79" w:rsidRPr="00954C16" w:rsidRDefault="00193F79" w:rsidP="00BC6D0C">
      <w:pPr>
        <w:pStyle w:val="NormalWeb"/>
        <w:spacing w:before="120" w:beforeAutospacing="0" w:after="120" w:afterAutospacing="0" w:line="276" w:lineRule="auto"/>
        <w:ind w:firstLine="709"/>
        <w:rPr>
          <w:rFonts w:ascii="Arial" w:eastAsiaTheme="minorHAnsi" w:hAnsi="Arial" w:cs="Arial"/>
          <w:sz w:val="22"/>
          <w:szCs w:val="22"/>
          <w:lang w:val="es-MX" w:eastAsia="en-US"/>
        </w:rPr>
      </w:pPr>
      <w:r w:rsidRPr="00954C16">
        <w:rPr>
          <w:rFonts w:ascii="Arial" w:eastAsiaTheme="minorHAnsi" w:hAnsi="Arial" w:cs="Arial"/>
          <w:sz w:val="22"/>
          <w:szCs w:val="22"/>
          <w:lang w:val="es-MX" w:eastAsia="en-US"/>
        </w:rPr>
        <w:t>La ley citada establece, en el literal e) del artículo 9, que los sujetos obligados, que son todas las entidades públicas</w:t>
      </w:r>
      <w:r w:rsidRPr="00954C16">
        <w:rPr>
          <w:rStyle w:val="Refdenotaalpie"/>
          <w:rFonts w:ascii="Arial" w:eastAsiaTheme="minorHAnsi" w:hAnsi="Arial" w:cs="Arial"/>
          <w:sz w:val="22"/>
          <w:szCs w:val="22"/>
          <w:lang w:val="es-MX" w:eastAsia="en-US"/>
        </w:rPr>
        <w:footnoteReference w:id="5"/>
      </w:r>
      <w:r w:rsidRPr="00954C16">
        <w:rPr>
          <w:rFonts w:ascii="Arial" w:eastAsiaTheme="minorHAnsi" w:hAnsi="Arial" w:cs="Arial"/>
          <w:sz w:val="22"/>
          <w:szCs w:val="22"/>
          <w:lang w:val="es-MX" w:eastAsia="en-US"/>
        </w:rPr>
        <w:t>, deben publicar la información relativa a su contratación. Esta obligación fue desarrollada por el Decreto Único Reglamentario 1081 de 2015</w:t>
      </w:r>
      <w:r w:rsidRPr="00954C16">
        <w:rPr>
          <w:rStyle w:val="Refdenotaalpie"/>
          <w:rFonts w:ascii="Arial" w:eastAsiaTheme="minorHAnsi" w:hAnsi="Arial" w:cs="Arial"/>
          <w:sz w:val="22"/>
          <w:szCs w:val="22"/>
          <w:lang w:val="es-MX" w:eastAsia="en-US"/>
        </w:rPr>
        <w:footnoteReference w:id="6"/>
      </w:r>
      <w:r w:rsidRPr="00954C16">
        <w:rPr>
          <w:rFonts w:ascii="Arial" w:eastAsiaTheme="minorHAnsi" w:hAnsi="Arial" w:cs="Arial"/>
          <w:sz w:val="22"/>
          <w:szCs w:val="22"/>
          <w:lang w:val="es-MX" w:eastAsia="en-US"/>
        </w:rPr>
        <w:t xml:space="preserve">, el cual dispuso que la publicación de la información contractual de los sujetos obligados, que contratan con cargo a recursos públicos, debe hacerse en el Sistema Electrónico de Contratación Pública </w:t>
      </w:r>
      <w:r w:rsidR="008B7534" w:rsidRPr="00954C16">
        <w:rPr>
          <w:rFonts w:ascii="Arial" w:eastAsiaTheme="minorHAnsi" w:hAnsi="Arial" w:cs="Arial"/>
          <w:sz w:val="22"/>
          <w:szCs w:val="22"/>
          <w:lang w:val="es-MX" w:eastAsia="en-US"/>
        </w:rPr>
        <w:t>─</w:t>
      </w:r>
      <w:r w:rsidR="008B7534" w:rsidRPr="00954C16">
        <w:rPr>
          <w:rFonts w:ascii="Arial" w:eastAsiaTheme="minorHAnsi" w:hAnsi="Arial" w:cs="Arial"/>
          <w:sz w:val="22"/>
          <w:szCs w:val="22"/>
          <w:lang w:val="es-MX" w:eastAsia="en-US"/>
        </w:rPr>
        <w:softHyphen/>
        <w:t xml:space="preserve"> </w:t>
      </w:r>
      <w:r w:rsidR="008B7534" w:rsidRPr="00954C16">
        <w:rPr>
          <w:rFonts w:ascii="Arial" w:eastAsiaTheme="minorHAnsi" w:hAnsi="Arial" w:cs="Arial"/>
          <w:sz w:val="22"/>
          <w:szCs w:val="22"/>
          <w:lang w:val="es-MX" w:eastAsia="en-US"/>
        </w:rPr>
        <w:softHyphen/>
      </w:r>
      <w:r w:rsidRPr="00954C16">
        <w:rPr>
          <w:rFonts w:ascii="Arial" w:eastAsiaTheme="minorHAnsi" w:hAnsi="Arial" w:cs="Arial"/>
          <w:sz w:val="22"/>
          <w:szCs w:val="22"/>
          <w:lang w:val="es-MX" w:eastAsia="en-US"/>
        </w:rPr>
        <w:t>SECOP.</w:t>
      </w:r>
    </w:p>
    <w:p w14:paraId="196ECFE0" w14:textId="2558FB95" w:rsidR="00193F79" w:rsidRPr="00954C16" w:rsidRDefault="00193F79" w:rsidP="00BC6D0C">
      <w:pPr>
        <w:spacing w:before="120" w:after="120" w:line="276" w:lineRule="auto"/>
        <w:ind w:firstLine="709"/>
        <w:rPr>
          <w:rFonts w:ascii="Arial" w:hAnsi="Arial" w:cs="Arial"/>
          <w:sz w:val="22"/>
        </w:rPr>
      </w:pPr>
      <w:r w:rsidRPr="00954C16">
        <w:rPr>
          <w:rFonts w:ascii="Arial" w:hAnsi="Arial" w:cs="Arial"/>
          <w:sz w:val="22"/>
        </w:rPr>
        <w:t xml:space="preserve">Asimismo, de acuerdo con el literal g) del artículo 11 de la misma Ley, todos los destinatarios de la ley de transparencia deben garantizar la publicidad de </w:t>
      </w:r>
      <w:r w:rsidR="008B7534" w:rsidRPr="00954C16">
        <w:rPr>
          <w:rFonts w:ascii="Arial" w:hAnsi="Arial" w:cs="Arial"/>
          <w:sz w:val="22"/>
        </w:rPr>
        <w:t>«</w:t>
      </w:r>
      <w:r w:rsidRPr="00954C16">
        <w:rPr>
          <w:rFonts w:ascii="Arial" w:hAnsi="Arial" w:cs="Arial"/>
          <w:sz w:val="22"/>
        </w:rPr>
        <w:t>sus procedimientos, lineamientos, políticas en materia de adquisiciones y compras, así como todos los datos de adjudicación y ejecución de contratos, incluidos concursos y licitaciones</w:t>
      </w:r>
      <w:r w:rsidR="008B7534" w:rsidRPr="00954C16">
        <w:rPr>
          <w:rFonts w:ascii="Arial" w:hAnsi="Arial" w:cs="Arial"/>
          <w:sz w:val="22"/>
        </w:rPr>
        <w:t>»</w:t>
      </w:r>
      <w:r w:rsidRPr="00954C16">
        <w:rPr>
          <w:rFonts w:ascii="Arial" w:hAnsi="Arial" w:cs="Arial"/>
          <w:sz w:val="22"/>
        </w:rPr>
        <w:t xml:space="preserve">, y esta información también debe estar en el SECOP. </w:t>
      </w:r>
    </w:p>
    <w:p w14:paraId="13463C95" w14:textId="62D6F1BE" w:rsidR="00193F79" w:rsidRPr="00954C16" w:rsidRDefault="00193F79" w:rsidP="00BC6D0C">
      <w:pPr>
        <w:spacing w:before="120" w:after="120" w:line="276" w:lineRule="auto"/>
        <w:ind w:firstLine="709"/>
        <w:rPr>
          <w:rFonts w:ascii="Arial" w:eastAsia="Calibri" w:hAnsi="Arial" w:cs="Arial"/>
          <w:sz w:val="22"/>
        </w:rPr>
      </w:pPr>
      <w:r w:rsidRPr="00954C16">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54C16">
        <w:rPr>
          <w:rStyle w:val="Refdenotaalpie"/>
          <w:rFonts w:ascii="Arial" w:eastAsia="Calibri" w:hAnsi="Arial" w:cs="Arial"/>
          <w:sz w:val="22"/>
        </w:rPr>
        <w:footnoteReference w:id="7"/>
      </w:r>
      <w:r w:rsidRPr="00954C16">
        <w:rPr>
          <w:rFonts w:ascii="Arial" w:eastAsia="Calibri" w:hAnsi="Arial" w:cs="Arial"/>
          <w:sz w:val="22"/>
        </w:rPr>
        <w:t>.</w:t>
      </w:r>
    </w:p>
    <w:p w14:paraId="6C32FDA4" w14:textId="21E7CCD6" w:rsidR="00193F79" w:rsidRPr="00954C16" w:rsidRDefault="00193F79" w:rsidP="00BC6D0C">
      <w:pPr>
        <w:spacing w:before="120" w:after="120" w:line="276" w:lineRule="auto"/>
        <w:ind w:firstLine="709"/>
        <w:rPr>
          <w:rFonts w:ascii="Arial" w:hAnsi="Arial" w:cs="Arial"/>
          <w:sz w:val="22"/>
        </w:rPr>
      </w:pPr>
      <w:r w:rsidRPr="00954C16">
        <w:rPr>
          <w:rFonts w:ascii="Arial" w:hAnsi="Arial" w:cs="Arial"/>
          <w:sz w:val="22"/>
        </w:rPr>
        <w:t xml:space="preserve">Para el año 2013, la Agencia Nacional de Contratación Pública </w:t>
      </w:r>
      <w:r w:rsidR="00D0159B" w:rsidRPr="00954C16">
        <w:rPr>
          <w:rFonts w:ascii="Arial" w:hAnsi="Arial" w:cs="Arial"/>
          <w:sz w:val="22"/>
        </w:rPr>
        <w:t xml:space="preserve">─ </w:t>
      </w:r>
      <w:r w:rsidRPr="00954C16">
        <w:rPr>
          <w:rFonts w:ascii="Arial" w:hAnsi="Arial" w:cs="Arial"/>
          <w:sz w:val="22"/>
        </w:rPr>
        <w:t>Colombia Compra Eficiente, mediante la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00362C5D" w:rsidRPr="00954C16">
        <w:rPr>
          <w:rStyle w:val="Refdenotaalpie"/>
          <w:rFonts w:ascii="Arial" w:hAnsi="Arial" w:cs="Arial"/>
          <w:sz w:val="22"/>
        </w:rPr>
        <w:footnoteReference w:id="8"/>
      </w:r>
      <w:r w:rsidRPr="00954C16">
        <w:rPr>
          <w:rFonts w:ascii="Arial" w:hAnsi="Arial" w:cs="Arial"/>
          <w:sz w:val="22"/>
        </w:rPr>
        <w:t xml:space="preserve">. Además, la </w:t>
      </w:r>
      <w:r w:rsidRPr="00954C16">
        <w:rPr>
          <w:rFonts w:ascii="Arial" w:hAnsi="Arial" w:cs="Arial"/>
          <w:sz w:val="22"/>
        </w:rPr>
        <w:lastRenderedPageBreak/>
        <w:t xml:space="preserve">Circular Externa Única, en el numeral 1.1., establece, de manera enunciativa, que deben publicar en el SECOP: </w:t>
      </w:r>
      <w:r w:rsidR="008B7534" w:rsidRPr="00954C16">
        <w:rPr>
          <w:rFonts w:ascii="Arial" w:hAnsi="Arial" w:cs="Arial"/>
          <w:sz w:val="22"/>
        </w:rPr>
        <w:t>«</w:t>
      </w:r>
      <w:r w:rsidRPr="00954C16">
        <w:rPr>
          <w:rFonts w:ascii="Arial" w:hAnsi="Arial" w:cs="Arial"/>
          <w:sz w:val="22"/>
        </w:rPr>
        <w:t xml:space="preserve">2. Las entidades del Estado que tienen un régimen especial de contratación, siempre y cuando el contrato ejecute o tenga como fuente de financiación dineros públicos, sin importar su proporción, a través del módulo </w:t>
      </w:r>
      <w:r w:rsidR="00CD30B2" w:rsidRPr="00954C16">
        <w:rPr>
          <w:rFonts w:ascii="Arial" w:hAnsi="Arial" w:cs="Arial"/>
          <w:sz w:val="22"/>
        </w:rPr>
        <w:t>[</w:t>
      </w:r>
      <w:r w:rsidRPr="00954C16">
        <w:rPr>
          <w:rFonts w:ascii="Arial" w:hAnsi="Arial" w:cs="Arial"/>
          <w:sz w:val="22"/>
        </w:rPr>
        <w:t>Régimen Especial</w:t>
      </w:r>
      <w:r w:rsidR="00D0159B" w:rsidRPr="00954C16">
        <w:rPr>
          <w:rFonts w:ascii="Arial" w:hAnsi="Arial" w:cs="Arial"/>
          <w:sz w:val="22"/>
        </w:rPr>
        <w:t>]</w:t>
      </w:r>
      <w:r w:rsidRPr="00954C16">
        <w:rPr>
          <w:rFonts w:ascii="Arial" w:hAnsi="Arial" w:cs="Arial"/>
          <w:sz w:val="22"/>
        </w:rPr>
        <w:t>, de acuerdo con lo establecido en su propio manual de contratación</w:t>
      </w:r>
      <w:r w:rsidR="008B7534" w:rsidRPr="00954C16">
        <w:rPr>
          <w:rFonts w:ascii="Arial" w:hAnsi="Arial" w:cs="Arial"/>
          <w:sz w:val="22"/>
        </w:rPr>
        <w:t>»</w:t>
      </w:r>
      <w:r w:rsidRPr="00954C16">
        <w:rPr>
          <w:rFonts w:ascii="Arial" w:hAnsi="Arial" w:cs="Arial"/>
          <w:sz w:val="22"/>
        </w:rPr>
        <w:t>.</w:t>
      </w:r>
    </w:p>
    <w:p w14:paraId="7B396087" w14:textId="7FC87206" w:rsidR="00193F79" w:rsidRPr="00954C16" w:rsidRDefault="00193F79" w:rsidP="00170EC3">
      <w:pPr>
        <w:spacing w:before="120" w:line="276" w:lineRule="auto"/>
        <w:ind w:firstLine="709"/>
        <w:rPr>
          <w:rFonts w:ascii="Arial" w:hAnsi="Arial" w:cs="Arial"/>
          <w:sz w:val="22"/>
        </w:rPr>
      </w:pPr>
      <w:r w:rsidRPr="00954C16">
        <w:rPr>
          <w:rFonts w:ascii="Arial" w:hAnsi="Arial" w:cs="Arial"/>
          <w:sz w:val="22"/>
        </w:rPr>
        <w:t>El debate sobre la obligatoriedad o no de publicar en el SECOP</w:t>
      </w:r>
      <w:r w:rsidR="00C906DE" w:rsidRPr="00954C16">
        <w:rPr>
          <w:rFonts w:ascii="Arial" w:hAnsi="Arial" w:cs="Arial"/>
          <w:sz w:val="22"/>
        </w:rPr>
        <w:t>,</w:t>
      </w:r>
      <w:r w:rsidRPr="00954C16">
        <w:rPr>
          <w:rFonts w:ascii="Arial" w:hAnsi="Arial" w:cs="Arial"/>
          <w:sz w:val="22"/>
        </w:rPr>
        <w:t xml:space="preserve"> para las entidades con régimen especial de contratación</w:t>
      </w:r>
      <w:r w:rsidR="00C906DE" w:rsidRPr="00954C16">
        <w:rPr>
          <w:rFonts w:ascii="Arial" w:hAnsi="Arial" w:cs="Arial"/>
          <w:sz w:val="22"/>
        </w:rPr>
        <w:t>,</w:t>
      </w:r>
      <w:r w:rsidRPr="00954C16">
        <w:rPr>
          <w:rFonts w:ascii="Arial" w:hAnsi="Arial" w:cs="Arial"/>
          <w:sz w:val="22"/>
        </w:rPr>
        <w:t xml:space="preserve">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6339273B" w14:textId="77777777" w:rsidR="00193F79" w:rsidRPr="00954C16" w:rsidRDefault="00193F79" w:rsidP="00193F79">
      <w:pPr>
        <w:spacing w:line="276" w:lineRule="auto"/>
        <w:rPr>
          <w:rFonts w:ascii="Arial" w:hAnsi="Arial" w:cs="Arial"/>
          <w:sz w:val="22"/>
        </w:rPr>
      </w:pPr>
    </w:p>
    <w:p w14:paraId="22A2FCF2" w14:textId="536ED6B6" w:rsidR="00193F79" w:rsidRPr="00954C16" w:rsidRDefault="00471C7B" w:rsidP="00E96AD1">
      <w:pPr>
        <w:tabs>
          <w:tab w:val="left" w:pos="3885"/>
        </w:tabs>
        <w:ind w:left="709" w:right="709"/>
        <w:rPr>
          <w:rFonts w:ascii="Arial" w:hAnsi="Arial" w:cs="Arial"/>
          <w:sz w:val="21"/>
          <w:szCs w:val="21"/>
        </w:rPr>
      </w:pPr>
      <w:r w:rsidRPr="00954C16">
        <w:rPr>
          <w:rFonts w:ascii="Arial" w:hAnsi="Arial" w:cs="Arial"/>
          <w:sz w:val="21"/>
          <w:szCs w:val="21"/>
        </w:rPr>
        <w:t>[</w:t>
      </w:r>
      <w:r w:rsidR="00193F79" w:rsidRPr="00954C16">
        <w:rPr>
          <w:rFonts w:ascii="Arial" w:hAnsi="Arial" w:cs="Arial"/>
          <w:sz w:val="21"/>
          <w:szCs w:val="21"/>
        </w:rPr>
        <w:t>…</w:t>
      </w:r>
      <w:r w:rsidRPr="00954C16">
        <w:rPr>
          <w:rFonts w:ascii="Arial" w:hAnsi="Arial" w:cs="Arial"/>
          <w:sz w:val="21"/>
          <w:szCs w:val="21"/>
        </w:rPr>
        <w:t>]</w:t>
      </w:r>
      <w:r w:rsidR="00193F79" w:rsidRPr="00954C16">
        <w:rPr>
          <w:rFonts w:ascii="Arial" w:hAnsi="Arial" w:cs="Arial"/>
          <w:sz w:val="21"/>
          <w:szCs w:val="21"/>
        </w:rPr>
        <w:t xml:space="preserve"> resulta razonable concluir, en esta oportunidad, que en virtud del deber de información prescrito en el literal c) del artículo 3 o de la Ley 1150 de 2007 los sujetos obligados bajo tal norma </w:t>
      </w:r>
      <w:r w:rsidRPr="00954C16">
        <w:rPr>
          <w:rFonts w:ascii="Arial" w:hAnsi="Arial" w:cs="Arial"/>
          <w:sz w:val="21"/>
          <w:szCs w:val="21"/>
        </w:rPr>
        <w:t>[</w:t>
      </w:r>
      <w:r w:rsidR="00193F79" w:rsidRPr="00954C16">
        <w:rPr>
          <w:rFonts w:ascii="Arial" w:hAnsi="Arial" w:cs="Arial"/>
          <w:sz w:val="21"/>
          <w:szCs w:val="21"/>
        </w:rPr>
        <w:t>todos los que realizan contratación con dineros públicos</w:t>
      </w:r>
      <w:r w:rsidRPr="00954C16">
        <w:rPr>
          <w:rFonts w:ascii="Arial" w:hAnsi="Arial" w:cs="Arial"/>
          <w:sz w:val="21"/>
          <w:szCs w:val="21"/>
        </w:rPr>
        <w:t>]</w:t>
      </w:r>
      <w:r w:rsidR="00193F79" w:rsidRPr="00954C16">
        <w:rPr>
          <w:rFonts w:ascii="Arial" w:hAnsi="Arial" w:cs="Arial"/>
          <w:sz w:val="21"/>
          <w:szCs w:val="21"/>
        </w:rPr>
        <w:t xml:space="preserve"> deben suministrar información sobre su contratación en términos veraces, auténticos y completos en el sistema electrónico SECOP, lo que incluye, entonces, todo acto que sea expresión de ejercicio o despliegue de actividad contractual.</w:t>
      </w:r>
    </w:p>
    <w:p w14:paraId="61CE82B7" w14:textId="77777777" w:rsidR="00193F79" w:rsidRPr="00954C16" w:rsidRDefault="00193F79" w:rsidP="00E96AD1">
      <w:pPr>
        <w:tabs>
          <w:tab w:val="left" w:pos="3885"/>
        </w:tabs>
        <w:ind w:left="709" w:right="709"/>
        <w:rPr>
          <w:rFonts w:ascii="Arial" w:hAnsi="Arial" w:cs="Arial"/>
          <w:sz w:val="21"/>
          <w:szCs w:val="21"/>
        </w:rPr>
      </w:pPr>
    </w:p>
    <w:p w14:paraId="4A79862A" w14:textId="6A061BC3" w:rsidR="00193F79" w:rsidRPr="00954C16" w:rsidRDefault="00193F79" w:rsidP="00F01612">
      <w:pPr>
        <w:tabs>
          <w:tab w:val="left" w:pos="3885"/>
        </w:tabs>
        <w:ind w:left="709" w:right="709"/>
        <w:rPr>
          <w:rFonts w:ascii="Arial" w:hAnsi="Arial" w:cs="Arial"/>
          <w:sz w:val="21"/>
          <w:szCs w:val="21"/>
        </w:rPr>
      </w:pPr>
      <w:r w:rsidRPr="00954C16">
        <w:rPr>
          <w:rFonts w:ascii="Arial" w:hAnsi="Arial" w:cs="Arial"/>
          <w:sz w:val="21"/>
          <w:szCs w:val="21"/>
        </w:rPr>
        <w:t xml:space="preserve">11.5. </w:t>
      </w:r>
      <w:r w:rsidR="00A101AA" w:rsidRPr="00954C16">
        <w:rPr>
          <w:rFonts w:ascii="Arial" w:hAnsi="Arial" w:cs="Arial"/>
          <w:sz w:val="21"/>
          <w:szCs w:val="21"/>
        </w:rPr>
        <w:t>─</w:t>
      </w:r>
      <w:r w:rsidRPr="00954C16">
        <w:rPr>
          <w:rFonts w:ascii="Arial" w:hAnsi="Arial" w:cs="Arial"/>
          <w:sz w:val="21"/>
          <w:szCs w:val="21"/>
        </w:rPr>
        <w:t>Y es que, si se quiere en términos más detallados el literal c) del artículo 3o de la Ley en comento responde claramente las siguientes inquietudes: ¿Quiénes están obligados? los que realizan contratación con dineros públicos; ¿</w:t>
      </w:r>
      <w:proofErr w:type="gramStart"/>
      <w:r w:rsidRPr="00954C16">
        <w:rPr>
          <w:rFonts w:ascii="Arial" w:hAnsi="Arial" w:cs="Arial"/>
          <w:sz w:val="21"/>
          <w:szCs w:val="21"/>
        </w:rPr>
        <w:t>en razón de</w:t>
      </w:r>
      <w:proofErr w:type="gramEnd"/>
      <w:r w:rsidRPr="00954C16">
        <w:rPr>
          <w:rFonts w:ascii="Arial" w:hAnsi="Arial" w:cs="Arial"/>
          <w:sz w:val="21"/>
          <w:szCs w:val="21"/>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331CD160" w14:textId="6C128C45" w:rsidR="00193F79" w:rsidRPr="00954C16" w:rsidRDefault="00471C7B">
      <w:pPr>
        <w:tabs>
          <w:tab w:val="left" w:pos="3885"/>
        </w:tabs>
        <w:ind w:left="709" w:right="709"/>
        <w:rPr>
          <w:rFonts w:ascii="Arial" w:hAnsi="Arial" w:cs="Arial"/>
          <w:sz w:val="21"/>
          <w:szCs w:val="21"/>
        </w:rPr>
      </w:pPr>
      <w:r w:rsidRPr="00954C16">
        <w:rPr>
          <w:rFonts w:ascii="Arial" w:hAnsi="Arial" w:cs="Arial"/>
          <w:sz w:val="21"/>
          <w:szCs w:val="21"/>
        </w:rPr>
        <w:t>[</w:t>
      </w:r>
      <w:r w:rsidR="00193F79" w:rsidRPr="00954C16">
        <w:rPr>
          <w:rFonts w:ascii="Arial" w:hAnsi="Arial" w:cs="Arial"/>
          <w:sz w:val="21"/>
          <w:szCs w:val="21"/>
        </w:rPr>
        <w:t>…</w:t>
      </w:r>
      <w:r w:rsidRPr="00954C16">
        <w:rPr>
          <w:rFonts w:ascii="Arial" w:hAnsi="Arial" w:cs="Arial"/>
          <w:sz w:val="21"/>
          <w:szCs w:val="21"/>
        </w:rPr>
        <w:t>]</w:t>
      </w:r>
    </w:p>
    <w:p w14:paraId="73991ABA" w14:textId="77777777" w:rsidR="00193F79" w:rsidRPr="00954C16" w:rsidRDefault="00193F79">
      <w:pPr>
        <w:tabs>
          <w:tab w:val="left" w:pos="3885"/>
        </w:tabs>
        <w:ind w:left="709" w:right="709"/>
        <w:rPr>
          <w:rFonts w:ascii="Arial" w:hAnsi="Arial" w:cs="Arial"/>
          <w:sz w:val="21"/>
          <w:szCs w:val="21"/>
        </w:rPr>
      </w:pPr>
    </w:p>
    <w:p w14:paraId="53A33D04" w14:textId="65A79B02" w:rsidR="00193F79" w:rsidRPr="00954C16" w:rsidRDefault="00193F79">
      <w:pPr>
        <w:tabs>
          <w:tab w:val="left" w:pos="3885"/>
        </w:tabs>
        <w:ind w:left="709" w:right="709"/>
        <w:rPr>
          <w:rFonts w:ascii="Arial" w:hAnsi="Arial" w:cs="Arial"/>
          <w:sz w:val="21"/>
          <w:szCs w:val="21"/>
        </w:rPr>
      </w:pPr>
      <w:r w:rsidRPr="00954C16">
        <w:rPr>
          <w:rFonts w:ascii="Arial" w:hAnsi="Arial" w:cs="Arial"/>
          <w:sz w:val="21"/>
          <w:szCs w:val="21"/>
        </w:rPr>
        <w:t xml:space="preserve">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w:t>
      </w:r>
      <w:r w:rsidR="00471C7B" w:rsidRPr="00954C16">
        <w:rPr>
          <w:rFonts w:ascii="Arial" w:hAnsi="Arial" w:cs="Arial"/>
          <w:sz w:val="21"/>
          <w:szCs w:val="21"/>
        </w:rPr>
        <w:t>[</w:t>
      </w:r>
      <w:r w:rsidRPr="00954C16">
        <w:rPr>
          <w:rFonts w:ascii="Arial" w:hAnsi="Arial" w:cs="Arial"/>
          <w:sz w:val="21"/>
          <w:szCs w:val="21"/>
        </w:rPr>
        <w:t>no creado</w:t>
      </w:r>
      <w:r w:rsidR="00471C7B" w:rsidRPr="00954C16">
        <w:rPr>
          <w:rFonts w:ascii="Arial" w:hAnsi="Arial" w:cs="Arial"/>
          <w:sz w:val="21"/>
          <w:szCs w:val="21"/>
        </w:rPr>
        <w:t>]</w:t>
      </w:r>
      <w:r w:rsidRPr="00954C16">
        <w:rPr>
          <w:rFonts w:ascii="Arial" w:hAnsi="Arial" w:cs="Arial"/>
          <w:sz w:val="21"/>
          <w:szCs w:val="21"/>
        </w:rPr>
        <w:t xml:space="preserve"> en la Ley 1712 de 2014</w:t>
      </w:r>
      <w:r w:rsidRPr="00954C16">
        <w:rPr>
          <w:rStyle w:val="Refdenotaalpie"/>
          <w:rFonts w:ascii="Arial" w:hAnsi="Arial" w:cs="Arial"/>
          <w:sz w:val="21"/>
          <w:szCs w:val="21"/>
        </w:rPr>
        <w:footnoteReference w:id="9"/>
      </w:r>
      <w:r w:rsidRPr="00954C16">
        <w:rPr>
          <w:rStyle w:val="Refdenotaalpie"/>
          <w:rFonts w:ascii="Arial" w:hAnsi="Arial" w:cs="Arial"/>
          <w:sz w:val="21"/>
          <w:szCs w:val="21"/>
        </w:rPr>
        <w:t>.</w:t>
      </w:r>
    </w:p>
    <w:p w14:paraId="3868AE93" w14:textId="77777777" w:rsidR="00193F79" w:rsidRPr="00954C16" w:rsidRDefault="00193F79" w:rsidP="00E96AD1">
      <w:pPr>
        <w:tabs>
          <w:tab w:val="left" w:pos="3885"/>
        </w:tabs>
        <w:spacing w:line="276" w:lineRule="auto"/>
        <w:ind w:left="709" w:right="709"/>
        <w:rPr>
          <w:rFonts w:ascii="Arial" w:eastAsia="Calibri" w:hAnsi="Arial" w:cs="Arial"/>
          <w:sz w:val="22"/>
        </w:rPr>
      </w:pPr>
    </w:p>
    <w:p w14:paraId="096C9016" w14:textId="15DCEA1E" w:rsidR="00193F79" w:rsidRPr="00954C16" w:rsidRDefault="00193F79" w:rsidP="00E96AD1">
      <w:pPr>
        <w:spacing w:line="276" w:lineRule="auto"/>
        <w:ind w:firstLine="708"/>
        <w:rPr>
          <w:rFonts w:ascii="Arial" w:hAnsi="Arial" w:cs="Arial"/>
          <w:sz w:val="22"/>
        </w:rPr>
      </w:pPr>
      <w:r w:rsidRPr="00954C16">
        <w:rPr>
          <w:rFonts w:ascii="Arial" w:hAnsi="Arial" w:cs="Arial"/>
          <w:sz w:val="22"/>
        </w:rPr>
        <w:lastRenderedPageBreak/>
        <w:t xml:space="preserve">Adicionalmente, el deber de hacer pública la información contractual oficial no se determina </w:t>
      </w:r>
      <w:r w:rsidR="00C906DE" w:rsidRPr="00954C16">
        <w:rPr>
          <w:rFonts w:ascii="Arial" w:hAnsi="Arial" w:cs="Arial"/>
          <w:sz w:val="22"/>
        </w:rPr>
        <w:t>por</w:t>
      </w:r>
      <w:r w:rsidRPr="00954C16">
        <w:rPr>
          <w:rFonts w:ascii="Arial" w:hAnsi="Arial" w:cs="Arial"/>
          <w:sz w:val="22"/>
        </w:rPr>
        <w:t xml:space="preserve"> la naturaleza de la entidad ejecutora </w:t>
      </w:r>
      <w:r w:rsidR="008B7534" w:rsidRPr="00954C16">
        <w:rPr>
          <w:rFonts w:ascii="Arial" w:hAnsi="Arial" w:cs="Arial"/>
          <w:sz w:val="22"/>
        </w:rPr>
        <w:t>─</w:t>
      </w:r>
      <w:r w:rsidRPr="00954C16">
        <w:rPr>
          <w:rFonts w:ascii="Arial" w:hAnsi="Arial" w:cs="Arial"/>
          <w:sz w:val="22"/>
        </w:rPr>
        <w:t>pública o privada</w:t>
      </w:r>
      <w:r w:rsidR="008B7534" w:rsidRPr="00954C16">
        <w:rPr>
          <w:rFonts w:ascii="Arial" w:hAnsi="Arial" w:cs="Arial"/>
          <w:sz w:val="22"/>
        </w:rPr>
        <w:t>─</w:t>
      </w:r>
      <w:r w:rsidRPr="00954C16">
        <w:rPr>
          <w:rFonts w:ascii="Arial" w:hAnsi="Arial" w:cs="Arial"/>
          <w:sz w:val="22"/>
        </w:rPr>
        <w:t xml:space="preserve">, ni del régimen sustantivo contractual que aplique, sea de la Ley 80 de 1993 o de los regímenes exceptuados. En particular, sobre el deber de publicidad de estos, el Consejo de Estado sostuvo: </w:t>
      </w:r>
    </w:p>
    <w:p w14:paraId="5D9B3423" w14:textId="77777777" w:rsidR="00C906DE" w:rsidRPr="00954C16" w:rsidRDefault="00C906DE" w:rsidP="00E96AD1">
      <w:pPr>
        <w:ind w:leftChars="709" w:left="1702" w:right="709" w:firstLine="2"/>
        <w:rPr>
          <w:rFonts w:ascii="Arial" w:hAnsi="Arial" w:cs="Arial"/>
          <w:sz w:val="21"/>
          <w:szCs w:val="21"/>
        </w:rPr>
      </w:pPr>
    </w:p>
    <w:p w14:paraId="24E0528B" w14:textId="6005D6F1" w:rsidR="00193F79" w:rsidRPr="00954C16" w:rsidRDefault="00193F79" w:rsidP="00E96AD1">
      <w:pPr>
        <w:ind w:leftChars="295" w:left="708" w:right="709"/>
        <w:rPr>
          <w:rFonts w:ascii="Arial" w:hAnsi="Arial" w:cs="Arial"/>
          <w:sz w:val="21"/>
          <w:szCs w:val="21"/>
        </w:rPr>
      </w:pPr>
      <w:r w:rsidRPr="00954C16">
        <w:rPr>
          <w:rFonts w:ascii="Arial" w:hAnsi="Arial" w:cs="Arial"/>
          <w:sz w:val="21"/>
          <w:szCs w:val="21"/>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4CCB5AF6" w14:textId="77777777" w:rsidR="00193F79" w:rsidRPr="00954C16" w:rsidRDefault="00193F79" w:rsidP="00E96AD1">
      <w:pPr>
        <w:spacing w:line="276" w:lineRule="auto"/>
        <w:ind w:leftChars="709" w:left="1702" w:right="709"/>
        <w:rPr>
          <w:rFonts w:ascii="Arial" w:hAnsi="Arial" w:cs="Arial"/>
          <w:sz w:val="21"/>
          <w:szCs w:val="21"/>
        </w:rPr>
      </w:pPr>
    </w:p>
    <w:p w14:paraId="73C56141" w14:textId="2D3BC959" w:rsidR="00193F79" w:rsidRPr="00954C16" w:rsidRDefault="00193F79" w:rsidP="00BC6D0C">
      <w:pPr>
        <w:spacing w:before="120" w:after="120" w:line="276" w:lineRule="auto"/>
        <w:ind w:firstLine="709"/>
        <w:rPr>
          <w:rFonts w:ascii="Arial" w:hAnsi="Arial" w:cs="Arial"/>
          <w:sz w:val="22"/>
        </w:rPr>
      </w:pPr>
      <w:r w:rsidRPr="00954C16">
        <w:rPr>
          <w:rFonts w:ascii="Arial" w:hAnsi="Arial" w:cs="Arial"/>
          <w:sz w:val="22"/>
        </w:rPr>
        <w:t xml:space="preserve">Nótese, entonces, que el Consejo de Estado </w:t>
      </w:r>
      <w:r w:rsidR="00C906DE" w:rsidRPr="00954C16">
        <w:rPr>
          <w:rFonts w:ascii="Arial" w:hAnsi="Arial" w:cs="Arial"/>
          <w:sz w:val="22"/>
        </w:rPr>
        <w:t>asumió</w:t>
      </w:r>
      <w:r w:rsidRPr="00954C16">
        <w:rPr>
          <w:rFonts w:ascii="Arial" w:hAnsi="Arial" w:cs="Arial"/>
          <w:sz w:val="22"/>
        </w:rPr>
        <w:t xml:space="preserve"> como criterio para determinar la obligatoriedad de publicar en el SECOP que la contratación se haga con recursos públicos</w:t>
      </w:r>
      <w:r w:rsidR="00C906DE" w:rsidRPr="00954C16">
        <w:rPr>
          <w:rFonts w:ascii="Arial" w:hAnsi="Arial" w:cs="Arial"/>
          <w:sz w:val="22"/>
        </w:rPr>
        <w:t>,</w:t>
      </w:r>
      <w:r w:rsidRPr="00954C16">
        <w:rPr>
          <w:rFonts w:ascii="Arial" w:hAnsi="Arial" w:cs="Arial"/>
          <w:sz w:val="22"/>
        </w:rPr>
        <w:t xml:space="preserve"> conclusión </w:t>
      </w:r>
      <w:r w:rsidR="00C906DE" w:rsidRPr="00954C16">
        <w:rPr>
          <w:rFonts w:ascii="Arial" w:hAnsi="Arial" w:cs="Arial"/>
          <w:sz w:val="22"/>
        </w:rPr>
        <w:t xml:space="preserve">que </w:t>
      </w:r>
      <w:r w:rsidRPr="00954C16">
        <w:rPr>
          <w:rFonts w:ascii="Arial" w:hAnsi="Arial" w:cs="Arial"/>
          <w:sz w:val="22"/>
        </w:rPr>
        <w:t xml:space="preserve">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7630F5CB" w14:textId="3F6442A9" w:rsidR="00193F79" w:rsidRPr="00954C16" w:rsidRDefault="00193F79" w:rsidP="00E96AD1">
      <w:pPr>
        <w:spacing w:line="276" w:lineRule="auto"/>
        <w:ind w:firstLine="708"/>
        <w:rPr>
          <w:rFonts w:ascii="Arial" w:hAnsi="Arial" w:cs="Arial"/>
          <w:sz w:val="22"/>
        </w:rPr>
      </w:pPr>
      <w:r w:rsidRPr="00954C16">
        <w:rPr>
          <w:rFonts w:ascii="Arial" w:hAnsi="Arial" w:cs="Arial"/>
          <w:sz w:val="22"/>
        </w:rPr>
        <w:t xml:space="preserve">Dentro de </w:t>
      </w:r>
      <w:r w:rsidR="00AF43F0">
        <w:rPr>
          <w:rFonts w:ascii="Arial" w:hAnsi="Arial" w:cs="Arial"/>
          <w:sz w:val="22"/>
        </w:rPr>
        <w:t>los</w:t>
      </w:r>
      <w:r w:rsidR="00AF43F0" w:rsidRPr="00954C16">
        <w:rPr>
          <w:rFonts w:ascii="Arial" w:hAnsi="Arial" w:cs="Arial"/>
          <w:sz w:val="22"/>
        </w:rPr>
        <w:t xml:space="preserve"> </w:t>
      </w:r>
      <w:r w:rsidR="00AF43F0">
        <w:rPr>
          <w:rFonts w:ascii="Arial" w:hAnsi="Arial" w:cs="Arial"/>
          <w:sz w:val="22"/>
        </w:rPr>
        <w:t>argumentos</w:t>
      </w:r>
      <w:r w:rsidR="00AF43F0" w:rsidRPr="00954C16">
        <w:rPr>
          <w:rFonts w:ascii="Arial" w:hAnsi="Arial" w:cs="Arial"/>
          <w:sz w:val="22"/>
        </w:rPr>
        <w:t xml:space="preserve"> </w:t>
      </w:r>
      <w:r w:rsidRPr="00954C16">
        <w:rPr>
          <w:rFonts w:ascii="Arial" w:hAnsi="Arial" w:cs="Arial"/>
          <w:sz w:val="22"/>
        </w:rPr>
        <w:t>que consideró el máximo tribunal de lo contencioso administrativo</w:t>
      </w:r>
      <w:r w:rsidR="00AF43F0">
        <w:rPr>
          <w:rFonts w:ascii="Arial" w:hAnsi="Arial" w:cs="Arial"/>
          <w:sz w:val="22"/>
        </w:rPr>
        <w:t>,</w:t>
      </w:r>
      <w:r w:rsidRPr="00954C16">
        <w:rPr>
          <w:rFonts w:ascii="Arial" w:hAnsi="Arial" w:cs="Arial"/>
          <w:sz w:val="22"/>
        </w:rPr>
        <w:t xml:space="preserve"> </w:t>
      </w:r>
      <w:r w:rsidR="00AF43F0">
        <w:rPr>
          <w:rFonts w:ascii="Arial" w:hAnsi="Arial" w:cs="Arial"/>
          <w:sz w:val="22"/>
        </w:rPr>
        <w:t xml:space="preserve">este </w:t>
      </w:r>
      <w:r w:rsidRPr="00954C16">
        <w:rPr>
          <w:rFonts w:ascii="Arial" w:hAnsi="Arial" w:cs="Arial"/>
          <w:sz w:val="22"/>
        </w:rPr>
        <w:t>no tuvo en cuenta razones de orden fáctico</w:t>
      </w:r>
      <w:r w:rsidR="00AF43F0">
        <w:rPr>
          <w:rFonts w:ascii="Arial" w:hAnsi="Arial" w:cs="Arial"/>
          <w:sz w:val="22"/>
        </w:rPr>
        <w:t>,</w:t>
      </w:r>
      <w:r w:rsidRPr="00954C16">
        <w:rPr>
          <w:rFonts w:ascii="Arial" w:hAnsi="Arial" w:cs="Arial"/>
          <w:sz w:val="22"/>
        </w:rPr>
        <w:t xml:space="preserve"> como las planteadas en la solicitud, relativas a las responsabilidades de las entidades o </w:t>
      </w:r>
      <w:r w:rsidR="00AF43F0">
        <w:rPr>
          <w:rFonts w:ascii="Arial" w:hAnsi="Arial" w:cs="Arial"/>
          <w:sz w:val="22"/>
        </w:rPr>
        <w:t xml:space="preserve">a </w:t>
      </w:r>
      <w:r w:rsidR="00FF40A8">
        <w:rPr>
          <w:rFonts w:ascii="Arial" w:hAnsi="Arial" w:cs="Arial"/>
          <w:sz w:val="22"/>
        </w:rPr>
        <w:t>la</w:t>
      </w:r>
      <w:r w:rsidR="00FF40A8" w:rsidRPr="00954C16">
        <w:rPr>
          <w:rFonts w:ascii="Arial" w:hAnsi="Arial" w:cs="Arial"/>
          <w:sz w:val="22"/>
        </w:rPr>
        <w:t xml:space="preserve"> </w:t>
      </w:r>
      <w:r w:rsidRPr="00954C16">
        <w:rPr>
          <w:rFonts w:ascii="Arial" w:hAnsi="Arial" w:cs="Arial"/>
          <w:sz w:val="22"/>
        </w:rPr>
        <w:t xml:space="preserve">posible afectación en la competitividad para aquellas que operan en diferentes mercados. La razón relevante es </w:t>
      </w:r>
      <w:r w:rsidR="00170EC3" w:rsidRPr="00954C16">
        <w:rPr>
          <w:rFonts w:ascii="Arial" w:hAnsi="Arial" w:cs="Arial"/>
          <w:sz w:val="22"/>
        </w:rPr>
        <w:t>que,</w:t>
      </w:r>
      <w:r w:rsidRPr="00954C16">
        <w:rPr>
          <w:rFonts w:ascii="Arial" w:hAnsi="Arial" w:cs="Arial"/>
          <w:sz w:val="22"/>
        </w:rPr>
        <w:t xml:space="preserve"> si la entidad contrata con dineros públicos</w:t>
      </w:r>
      <w:r w:rsidR="00FF40A8">
        <w:rPr>
          <w:rFonts w:ascii="Arial" w:hAnsi="Arial" w:cs="Arial"/>
          <w:sz w:val="22"/>
        </w:rPr>
        <w:t>,</w:t>
      </w:r>
      <w:r w:rsidRPr="00954C16">
        <w:rPr>
          <w:rFonts w:ascii="Arial" w:hAnsi="Arial" w:cs="Arial"/>
          <w:sz w:val="22"/>
        </w:rPr>
        <w:t xml:space="preserve"> debe publicar su proceso de contratación en el SECOP. </w:t>
      </w:r>
    </w:p>
    <w:p w14:paraId="4F525E43" w14:textId="0E643ACC" w:rsidR="00193F79" w:rsidRPr="00954C16" w:rsidRDefault="00193F79" w:rsidP="00193F79">
      <w:pPr>
        <w:spacing w:line="276" w:lineRule="auto"/>
        <w:rPr>
          <w:rFonts w:ascii="Arial" w:hAnsi="Arial" w:cs="Arial"/>
          <w:sz w:val="22"/>
        </w:rPr>
      </w:pPr>
    </w:p>
    <w:p w14:paraId="36305A49" w14:textId="49ECC555" w:rsidR="00FA7DBD" w:rsidRPr="00170EC3" w:rsidRDefault="00D04BFD" w:rsidP="00170EC3">
      <w:pPr>
        <w:tabs>
          <w:tab w:val="left" w:pos="0"/>
        </w:tabs>
        <w:spacing w:line="276" w:lineRule="auto"/>
        <w:rPr>
          <w:rFonts w:ascii="Arial" w:hAnsi="Arial" w:cs="Arial"/>
          <w:b/>
          <w:sz w:val="22"/>
        </w:rPr>
      </w:pPr>
      <w:r>
        <w:rPr>
          <w:rFonts w:ascii="Arial" w:hAnsi="Arial" w:cs="Arial"/>
          <w:b/>
          <w:sz w:val="22"/>
        </w:rPr>
        <w:t xml:space="preserve">2.2. </w:t>
      </w:r>
      <w:r w:rsidR="00C906DE" w:rsidRPr="00170EC3">
        <w:rPr>
          <w:rFonts w:ascii="Arial" w:hAnsi="Arial" w:cs="Arial"/>
          <w:b/>
          <w:sz w:val="22"/>
        </w:rPr>
        <w:t>Precedentes</w:t>
      </w:r>
      <w:r w:rsidR="00FA7DBD" w:rsidRPr="00170EC3">
        <w:rPr>
          <w:rFonts w:ascii="Arial" w:hAnsi="Arial" w:cs="Arial"/>
          <w:b/>
          <w:sz w:val="22"/>
        </w:rPr>
        <w:t xml:space="preserve"> de Colombia Compra Eficiente sobre los documentos que publican </w:t>
      </w:r>
      <w:r w:rsidR="00C906DE" w:rsidRPr="00170EC3">
        <w:rPr>
          <w:rFonts w:ascii="Arial" w:hAnsi="Arial" w:cs="Arial"/>
          <w:b/>
          <w:sz w:val="22"/>
        </w:rPr>
        <w:t xml:space="preserve">en el </w:t>
      </w:r>
      <w:r w:rsidR="00FA7DBD" w:rsidRPr="00170EC3">
        <w:rPr>
          <w:rFonts w:ascii="Arial" w:hAnsi="Arial" w:cs="Arial"/>
          <w:b/>
          <w:sz w:val="22"/>
        </w:rPr>
        <w:t xml:space="preserve">SECOP las entidades de régimen especial </w:t>
      </w:r>
    </w:p>
    <w:p w14:paraId="064648D2" w14:textId="516447ED" w:rsidR="00FA7DBD" w:rsidRPr="00954C16" w:rsidRDefault="00FA7DBD" w:rsidP="00FA7DBD">
      <w:pPr>
        <w:pStyle w:val="Prrafodelista"/>
        <w:spacing w:line="276" w:lineRule="auto"/>
        <w:ind w:left="0"/>
        <w:rPr>
          <w:rFonts w:ascii="Arial" w:hAnsi="Arial" w:cs="Arial"/>
          <w:b/>
          <w:sz w:val="22"/>
        </w:rPr>
      </w:pPr>
    </w:p>
    <w:p w14:paraId="444CB1C5" w14:textId="4AD56DDB" w:rsidR="00C906DE" w:rsidRPr="00954C16" w:rsidRDefault="00007089" w:rsidP="00BC6D0C">
      <w:pPr>
        <w:pStyle w:val="Prrafodelista"/>
        <w:snapToGrid w:val="0"/>
        <w:spacing w:before="120" w:after="120" w:line="276" w:lineRule="auto"/>
        <w:ind w:left="0"/>
        <w:contextualSpacing w:val="0"/>
        <w:rPr>
          <w:rFonts w:ascii="Arial" w:eastAsia="Calibri" w:hAnsi="Arial" w:cs="Arial"/>
          <w:sz w:val="22"/>
        </w:rPr>
      </w:pPr>
      <w:r w:rsidRPr="00954C16">
        <w:rPr>
          <w:rFonts w:ascii="Arial" w:eastAsia="Calibri" w:hAnsi="Arial" w:cs="Arial"/>
          <w:sz w:val="22"/>
        </w:rPr>
        <w:t xml:space="preserve">Determinada la obligación que tienen las entidades sujetas a un régimen especial de publicar su actividad contractual en el SECOP, a </w:t>
      </w:r>
      <w:r w:rsidR="00170EC3" w:rsidRPr="00954C16">
        <w:rPr>
          <w:rFonts w:ascii="Arial" w:eastAsia="Calibri" w:hAnsi="Arial" w:cs="Arial"/>
          <w:sz w:val="22"/>
        </w:rPr>
        <w:t>continuación,</w:t>
      </w:r>
      <w:r w:rsidRPr="00954C16">
        <w:rPr>
          <w:rFonts w:ascii="Arial" w:eastAsia="Calibri" w:hAnsi="Arial" w:cs="Arial"/>
          <w:sz w:val="22"/>
        </w:rPr>
        <w:t xml:space="preserve"> se </w:t>
      </w:r>
      <w:r w:rsidR="00C906DE" w:rsidRPr="00954C16">
        <w:rPr>
          <w:rFonts w:ascii="Arial" w:eastAsia="Calibri" w:hAnsi="Arial" w:cs="Arial"/>
          <w:sz w:val="22"/>
        </w:rPr>
        <w:t xml:space="preserve">identificarán </w:t>
      </w:r>
      <w:r w:rsidRPr="00954C16">
        <w:rPr>
          <w:rFonts w:ascii="Arial" w:eastAsia="Calibri" w:hAnsi="Arial" w:cs="Arial"/>
          <w:sz w:val="22"/>
        </w:rPr>
        <w:t>los documentos que deben publicar</w:t>
      </w:r>
      <w:r w:rsidR="00C906DE" w:rsidRPr="00954C16">
        <w:rPr>
          <w:rFonts w:ascii="Arial" w:eastAsia="Calibri" w:hAnsi="Arial" w:cs="Arial"/>
          <w:sz w:val="22"/>
        </w:rPr>
        <w:t>, n</w:t>
      </w:r>
      <w:r w:rsidR="004B2401" w:rsidRPr="00954C16">
        <w:rPr>
          <w:rFonts w:ascii="Arial" w:hAnsi="Arial" w:cs="Arial"/>
          <w:bCs/>
          <w:sz w:val="22"/>
        </w:rPr>
        <w:t>o sin antes explicar</w:t>
      </w:r>
      <w:r w:rsidR="00DF16C2" w:rsidRPr="00954C16">
        <w:rPr>
          <w:rFonts w:ascii="Arial" w:hAnsi="Arial" w:cs="Arial"/>
          <w:bCs/>
          <w:sz w:val="22"/>
        </w:rPr>
        <w:t xml:space="preserve"> la </w:t>
      </w:r>
      <w:r w:rsidR="007D34A8" w:rsidRPr="00954C16">
        <w:rPr>
          <w:rFonts w:ascii="Arial" w:hAnsi="Arial" w:cs="Arial"/>
          <w:bCs/>
          <w:sz w:val="22"/>
        </w:rPr>
        <w:t>posición</w:t>
      </w:r>
      <w:r w:rsidR="00DF16C2" w:rsidRPr="00954C16">
        <w:rPr>
          <w:rFonts w:ascii="Arial" w:hAnsi="Arial" w:cs="Arial"/>
          <w:bCs/>
          <w:sz w:val="22"/>
        </w:rPr>
        <w:t xml:space="preserve"> que la Agencia Nacional de Contratación Pública</w:t>
      </w:r>
      <w:r w:rsidR="008B7534" w:rsidRPr="00954C16">
        <w:rPr>
          <w:rFonts w:ascii="Arial" w:hAnsi="Arial" w:cs="Arial"/>
          <w:bCs/>
          <w:sz w:val="22"/>
        </w:rPr>
        <w:t xml:space="preserve"> ─ </w:t>
      </w:r>
      <w:r w:rsidR="00DF16C2" w:rsidRPr="00954C16">
        <w:rPr>
          <w:rFonts w:ascii="Arial" w:hAnsi="Arial" w:cs="Arial"/>
          <w:bCs/>
          <w:sz w:val="22"/>
        </w:rPr>
        <w:t xml:space="preserve">Colombia Compra Eficiente </w:t>
      </w:r>
      <w:r w:rsidRPr="00954C16">
        <w:rPr>
          <w:rFonts w:ascii="Arial" w:hAnsi="Arial" w:cs="Arial"/>
          <w:bCs/>
          <w:sz w:val="22"/>
        </w:rPr>
        <w:t>ha adoptado</w:t>
      </w:r>
      <w:r w:rsidR="00DF16C2" w:rsidRPr="00954C16">
        <w:rPr>
          <w:rFonts w:ascii="Arial" w:hAnsi="Arial" w:cs="Arial"/>
          <w:bCs/>
          <w:sz w:val="22"/>
        </w:rPr>
        <w:t xml:space="preserve"> desde el 2016</w:t>
      </w:r>
      <w:r w:rsidR="007D34A8" w:rsidRPr="00954C16">
        <w:rPr>
          <w:rFonts w:ascii="Arial" w:hAnsi="Arial" w:cs="Arial"/>
          <w:bCs/>
          <w:sz w:val="22"/>
        </w:rPr>
        <w:t xml:space="preserve"> hasta el 2019</w:t>
      </w:r>
      <w:r w:rsidR="004B2401" w:rsidRPr="00954C16">
        <w:rPr>
          <w:rFonts w:ascii="Arial" w:hAnsi="Arial" w:cs="Arial"/>
          <w:bCs/>
          <w:sz w:val="22"/>
        </w:rPr>
        <w:t>.</w:t>
      </w:r>
    </w:p>
    <w:p w14:paraId="44D0FBAF" w14:textId="3186F1D5" w:rsidR="00BC6D0C" w:rsidRPr="00954C16" w:rsidRDefault="00C906DE" w:rsidP="00BC6D0C">
      <w:pPr>
        <w:pStyle w:val="Prrafodelista"/>
        <w:snapToGrid w:val="0"/>
        <w:spacing w:before="120" w:after="120" w:line="276" w:lineRule="auto"/>
        <w:ind w:left="0" w:firstLine="709"/>
        <w:contextualSpacing w:val="0"/>
        <w:rPr>
          <w:rFonts w:ascii="Arial" w:hAnsi="Arial" w:cs="Arial"/>
          <w:bCs/>
          <w:sz w:val="22"/>
        </w:rPr>
      </w:pPr>
      <w:r w:rsidRPr="00954C16">
        <w:rPr>
          <w:rFonts w:ascii="Arial" w:hAnsi="Arial" w:cs="Arial"/>
          <w:bCs/>
          <w:sz w:val="22"/>
        </w:rPr>
        <w:t>E</w:t>
      </w:r>
      <w:r w:rsidR="0019500D" w:rsidRPr="00954C16">
        <w:rPr>
          <w:rFonts w:ascii="Arial" w:hAnsi="Arial" w:cs="Arial"/>
          <w:bCs/>
          <w:sz w:val="22"/>
        </w:rPr>
        <w:t>n la consulta</w:t>
      </w:r>
      <w:r w:rsidRPr="00954C16">
        <w:rPr>
          <w:rFonts w:ascii="Arial" w:hAnsi="Arial" w:cs="Arial"/>
          <w:bCs/>
          <w:sz w:val="22"/>
        </w:rPr>
        <w:t xml:space="preserve"> identificada con el </w:t>
      </w:r>
      <w:r w:rsidR="0019500D" w:rsidRPr="00954C16">
        <w:rPr>
          <w:rFonts w:ascii="Arial" w:hAnsi="Arial" w:cs="Arial"/>
          <w:bCs/>
          <w:sz w:val="22"/>
        </w:rPr>
        <w:t xml:space="preserve">Radicado No. 41612000877 del 15 de febrero de 2016, señaló que las </w:t>
      </w:r>
      <w:r w:rsidR="007D34A8" w:rsidRPr="00954C16">
        <w:rPr>
          <w:rFonts w:ascii="Arial" w:hAnsi="Arial" w:cs="Arial"/>
          <w:bCs/>
          <w:sz w:val="22"/>
        </w:rPr>
        <w:t>e</w:t>
      </w:r>
      <w:r w:rsidR="0019500D" w:rsidRPr="00954C16">
        <w:rPr>
          <w:rFonts w:ascii="Arial" w:hAnsi="Arial" w:cs="Arial"/>
          <w:bCs/>
          <w:sz w:val="22"/>
        </w:rPr>
        <w:t xml:space="preserve">mpresas </w:t>
      </w:r>
      <w:r w:rsidR="007D34A8" w:rsidRPr="00954C16">
        <w:rPr>
          <w:rFonts w:ascii="Arial" w:hAnsi="Arial" w:cs="Arial"/>
          <w:bCs/>
          <w:sz w:val="22"/>
        </w:rPr>
        <w:t>i</w:t>
      </w:r>
      <w:r w:rsidR="0019500D" w:rsidRPr="00954C16">
        <w:rPr>
          <w:rFonts w:ascii="Arial" w:hAnsi="Arial" w:cs="Arial"/>
          <w:bCs/>
          <w:sz w:val="22"/>
        </w:rPr>
        <w:t xml:space="preserve">ndustriales y </w:t>
      </w:r>
      <w:r w:rsidR="007D34A8" w:rsidRPr="00954C16">
        <w:rPr>
          <w:rFonts w:ascii="Arial" w:hAnsi="Arial" w:cs="Arial"/>
          <w:bCs/>
          <w:sz w:val="22"/>
        </w:rPr>
        <w:t>c</w:t>
      </w:r>
      <w:r w:rsidR="0019500D" w:rsidRPr="00954C16">
        <w:rPr>
          <w:rFonts w:ascii="Arial" w:hAnsi="Arial" w:cs="Arial"/>
          <w:bCs/>
          <w:sz w:val="22"/>
        </w:rPr>
        <w:t xml:space="preserve">omerciales del Estado, las </w:t>
      </w:r>
      <w:r w:rsidR="007D34A8" w:rsidRPr="00954C16">
        <w:rPr>
          <w:rFonts w:ascii="Arial" w:hAnsi="Arial" w:cs="Arial"/>
          <w:bCs/>
          <w:sz w:val="22"/>
        </w:rPr>
        <w:t>e</w:t>
      </w:r>
      <w:r w:rsidR="0019500D" w:rsidRPr="00954C16">
        <w:rPr>
          <w:rFonts w:ascii="Arial" w:hAnsi="Arial" w:cs="Arial"/>
          <w:bCs/>
          <w:sz w:val="22"/>
        </w:rPr>
        <w:t xml:space="preserve">mpresas de </w:t>
      </w:r>
      <w:r w:rsidR="007D34A8" w:rsidRPr="00954C16">
        <w:rPr>
          <w:rFonts w:ascii="Arial" w:hAnsi="Arial" w:cs="Arial"/>
          <w:bCs/>
          <w:sz w:val="22"/>
        </w:rPr>
        <w:lastRenderedPageBreak/>
        <w:t>s</w:t>
      </w:r>
      <w:r w:rsidR="0019500D" w:rsidRPr="00954C16">
        <w:rPr>
          <w:rFonts w:ascii="Arial" w:hAnsi="Arial" w:cs="Arial"/>
          <w:bCs/>
          <w:sz w:val="22"/>
        </w:rPr>
        <w:t xml:space="preserve">ervicios </w:t>
      </w:r>
      <w:r w:rsidR="007D34A8" w:rsidRPr="00954C16">
        <w:rPr>
          <w:rFonts w:ascii="Arial" w:hAnsi="Arial" w:cs="Arial"/>
          <w:bCs/>
          <w:sz w:val="22"/>
        </w:rPr>
        <w:t>p</w:t>
      </w:r>
      <w:r w:rsidR="0019500D" w:rsidRPr="00954C16">
        <w:rPr>
          <w:rFonts w:ascii="Arial" w:hAnsi="Arial" w:cs="Arial"/>
          <w:bCs/>
          <w:sz w:val="22"/>
        </w:rPr>
        <w:t xml:space="preserve">úblicos </w:t>
      </w:r>
      <w:r w:rsidRPr="00954C16">
        <w:rPr>
          <w:rFonts w:ascii="Arial" w:hAnsi="Arial" w:cs="Arial"/>
          <w:bCs/>
          <w:sz w:val="22"/>
        </w:rPr>
        <w:t>d</w:t>
      </w:r>
      <w:r w:rsidR="0019500D" w:rsidRPr="00954C16">
        <w:rPr>
          <w:rFonts w:ascii="Arial" w:hAnsi="Arial" w:cs="Arial"/>
          <w:bCs/>
          <w:sz w:val="22"/>
        </w:rPr>
        <w:t xml:space="preserve">omiciliarios y las </w:t>
      </w:r>
      <w:r w:rsidR="007D34A8" w:rsidRPr="00954C16">
        <w:rPr>
          <w:rFonts w:ascii="Arial" w:hAnsi="Arial" w:cs="Arial"/>
          <w:bCs/>
          <w:sz w:val="22"/>
        </w:rPr>
        <w:t>s</w:t>
      </w:r>
      <w:r w:rsidR="0019500D" w:rsidRPr="00954C16">
        <w:rPr>
          <w:rFonts w:ascii="Arial" w:hAnsi="Arial" w:cs="Arial"/>
          <w:bCs/>
          <w:sz w:val="22"/>
        </w:rPr>
        <w:t xml:space="preserve">ociedades de </w:t>
      </w:r>
      <w:r w:rsidR="007D34A8" w:rsidRPr="00954C16">
        <w:rPr>
          <w:rFonts w:ascii="Arial" w:hAnsi="Arial" w:cs="Arial"/>
          <w:bCs/>
          <w:sz w:val="22"/>
        </w:rPr>
        <w:t>e</w:t>
      </w:r>
      <w:r w:rsidR="0019500D" w:rsidRPr="00954C16">
        <w:rPr>
          <w:rFonts w:ascii="Arial" w:hAnsi="Arial" w:cs="Arial"/>
          <w:bCs/>
          <w:sz w:val="22"/>
        </w:rPr>
        <w:t xml:space="preserve">conomía </w:t>
      </w:r>
      <w:r w:rsidR="007D34A8" w:rsidRPr="00954C16">
        <w:rPr>
          <w:rFonts w:ascii="Arial" w:hAnsi="Arial" w:cs="Arial"/>
          <w:bCs/>
          <w:sz w:val="22"/>
        </w:rPr>
        <w:t>m</w:t>
      </w:r>
      <w:r w:rsidR="0019500D" w:rsidRPr="00954C16">
        <w:rPr>
          <w:rFonts w:ascii="Arial" w:hAnsi="Arial" w:cs="Arial"/>
          <w:bCs/>
          <w:sz w:val="22"/>
        </w:rPr>
        <w:t xml:space="preserve">ixta, </w:t>
      </w:r>
      <w:r w:rsidR="00007089" w:rsidRPr="00954C16">
        <w:rPr>
          <w:rFonts w:ascii="Arial" w:hAnsi="Arial" w:cs="Arial"/>
          <w:bCs/>
          <w:sz w:val="22"/>
        </w:rPr>
        <w:t xml:space="preserve">todas </w:t>
      </w:r>
      <w:r w:rsidR="007D34A8" w:rsidRPr="00954C16">
        <w:rPr>
          <w:rFonts w:ascii="Arial" w:hAnsi="Arial" w:cs="Arial"/>
          <w:bCs/>
          <w:sz w:val="22"/>
        </w:rPr>
        <w:t xml:space="preserve">sometidas a </w:t>
      </w:r>
      <w:r w:rsidR="0019500D" w:rsidRPr="00954C16">
        <w:rPr>
          <w:rFonts w:ascii="Arial" w:hAnsi="Arial" w:cs="Arial"/>
          <w:bCs/>
          <w:sz w:val="22"/>
        </w:rPr>
        <w:t>un régimen especial de contratación</w:t>
      </w:r>
      <w:r w:rsidRPr="00954C16">
        <w:rPr>
          <w:rFonts w:ascii="Arial" w:hAnsi="Arial" w:cs="Arial"/>
          <w:bCs/>
          <w:sz w:val="22"/>
        </w:rPr>
        <w:t>,</w:t>
      </w:r>
      <w:r w:rsidR="0019500D" w:rsidRPr="00954C16">
        <w:rPr>
          <w:rFonts w:ascii="Arial" w:hAnsi="Arial" w:cs="Arial"/>
          <w:bCs/>
          <w:sz w:val="22"/>
        </w:rPr>
        <w:t xml:space="preserve"> debían publicar </w:t>
      </w:r>
      <w:r w:rsidRPr="00954C16">
        <w:rPr>
          <w:rFonts w:ascii="Arial" w:hAnsi="Arial" w:cs="Arial"/>
          <w:bCs/>
          <w:sz w:val="22"/>
        </w:rPr>
        <w:t xml:space="preserve">en el SECOP </w:t>
      </w:r>
      <w:r w:rsidR="0019500D" w:rsidRPr="00954C16">
        <w:rPr>
          <w:rFonts w:ascii="Arial" w:hAnsi="Arial" w:cs="Arial"/>
          <w:bCs/>
          <w:sz w:val="22"/>
        </w:rPr>
        <w:t xml:space="preserve">todos los documentos del </w:t>
      </w:r>
      <w:r w:rsidRPr="00954C16">
        <w:rPr>
          <w:rFonts w:ascii="Arial" w:hAnsi="Arial" w:cs="Arial"/>
          <w:bCs/>
          <w:sz w:val="22"/>
        </w:rPr>
        <w:t>p</w:t>
      </w:r>
      <w:r w:rsidR="0019500D" w:rsidRPr="00954C16">
        <w:rPr>
          <w:rFonts w:ascii="Arial" w:hAnsi="Arial" w:cs="Arial"/>
          <w:bCs/>
          <w:sz w:val="22"/>
        </w:rPr>
        <w:t>roceso que defin</w:t>
      </w:r>
      <w:r w:rsidRPr="00954C16">
        <w:rPr>
          <w:rFonts w:ascii="Arial" w:hAnsi="Arial" w:cs="Arial"/>
          <w:bCs/>
          <w:sz w:val="22"/>
        </w:rPr>
        <w:t>e</w:t>
      </w:r>
      <w:r w:rsidR="0019500D" w:rsidRPr="00954C16">
        <w:rPr>
          <w:rFonts w:ascii="Arial" w:hAnsi="Arial" w:cs="Arial"/>
          <w:bCs/>
          <w:sz w:val="22"/>
        </w:rPr>
        <w:t xml:space="preserve"> el Decreto 1082 de 2015</w:t>
      </w:r>
      <w:r w:rsidRPr="00954C16">
        <w:rPr>
          <w:rFonts w:ascii="Arial" w:hAnsi="Arial" w:cs="Arial"/>
          <w:bCs/>
          <w:sz w:val="22"/>
        </w:rPr>
        <w:t>,</w:t>
      </w:r>
      <w:r w:rsidR="0019500D" w:rsidRPr="00954C16">
        <w:rPr>
          <w:rFonts w:ascii="Arial" w:hAnsi="Arial" w:cs="Arial"/>
          <w:bCs/>
          <w:sz w:val="22"/>
        </w:rPr>
        <w:t xml:space="preserve"> </w:t>
      </w:r>
      <w:r w:rsidR="00782820" w:rsidRPr="00954C16">
        <w:rPr>
          <w:rFonts w:ascii="Arial" w:hAnsi="Arial" w:cs="Arial"/>
          <w:bCs/>
          <w:sz w:val="22"/>
        </w:rPr>
        <w:t>así</w:t>
      </w:r>
      <w:r w:rsidRPr="00954C16">
        <w:rPr>
          <w:rFonts w:ascii="Arial" w:hAnsi="Arial" w:cs="Arial"/>
          <w:bCs/>
          <w:sz w:val="22"/>
        </w:rPr>
        <w:t xml:space="preserve"> como</w:t>
      </w:r>
      <w:r w:rsidR="00F539B0" w:rsidRPr="00954C16">
        <w:rPr>
          <w:rFonts w:ascii="Arial" w:hAnsi="Arial" w:cs="Arial"/>
          <w:bCs/>
          <w:sz w:val="22"/>
        </w:rPr>
        <w:t xml:space="preserve"> </w:t>
      </w:r>
      <w:r w:rsidR="0019500D" w:rsidRPr="00954C16">
        <w:rPr>
          <w:rFonts w:ascii="Arial" w:hAnsi="Arial" w:cs="Arial"/>
          <w:bCs/>
          <w:sz w:val="22"/>
        </w:rPr>
        <w:t>l</w:t>
      </w:r>
      <w:r w:rsidRPr="00954C16">
        <w:rPr>
          <w:rFonts w:ascii="Arial" w:hAnsi="Arial" w:cs="Arial"/>
          <w:bCs/>
          <w:sz w:val="22"/>
        </w:rPr>
        <w:t>o</w:t>
      </w:r>
      <w:r w:rsidR="0019500D" w:rsidRPr="00954C16">
        <w:rPr>
          <w:rFonts w:ascii="Arial" w:hAnsi="Arial" w:cs="Arial"/>
          <w:bCs/>
          <w:sz w:val="22"/>
        </w:rPr>
        <w:t xml:space="preserve"> relativ</w:t>
      </w:r>
      <w:r w:rsidRPr="00954C16">
        <w:rPr>
          <w:rFonts w:ascii="Arial" w:hAnsi="Arial" w:cs="Arial"/>
          <w:bCs/>
          <w:sz w:val="22"/>
        </w:rPr>
        <w:t>o</w:t>
      </w:r>
      <w:r w:rsidR="0019500D" w:rsidRPr="00954C16">
        <w:rPr>
          <w:rFonts w:ascii="Arial" w:hAnsi="Arial" w:cs="Arial"/>
          <w:bCs/>
          <w:sz w:val="22"/>
        </w:rPr>
        <w:t xml:space="preserve"> a la ejecución del contrato</w:t>
      </w:r>
      <w:r w:rsidR="007D34A8" w:rsidRPr="00954C16">
        <w:rPr>
          <w:rFonts w:ascii="Arial" w:hAnsi="Arial" w:cs="Arial"/>
          <w:bCs/>
          <w:sz w:val="22"/>
        </w:rPr>
        <w:t>. Lo anterior</w:t>
      </w:r>
      <w:r w:rsidR="0019500D" w:rsidRPr="00954C16">
        <w:rPr>
          <w:rFonts w:ascii="Arial" w:hAnsi="Arial" w:cs="Arial"/>
          <w:bCs/>
          <w:sz w:val="22"/>
        </w:rPr>
        <w:t xml:space="preserve"> </w:t>
      </w:r>
      <w:r w:rsidRPr="00954C16">
        <w:rPr>
          <w:rFonts w:ascii="Arial" w:hAnsi="Arial" w:cs="Arial"/>
          <w:bCs/>
          <w:sz w:val="22"/>
        </w:rPr>
        <w:t>se fundamentó</w:t>
      </w:r>
      <w:r w:rsidR="0019500D" w:rsidRPr="00954C16">
        <w:rPr>
          <w:rFonts w:ascii="Arial" w:hAnsi="Arial" w:cs="Arial"/>
          <w:bCs/>
          <w:sz w:val="22"/>
        </w:rPr>
        <w:t xml:space="preserve"> en el literal c) del artículo 3 de la Ley 1150 de 2007</w:t>
      </w:r>
      <w:r w:rsidR="005976BA" w:rsidRPr="00954C16">
        <w:rPr>
          <w:rStyle w:val="Refdenotaalpie"/>
          <w:rFonts w:ascii="Arial" w:hAnsi="Arial" w:cs="Arial"/>
          <w:bCs/>
          <w:sz w:val="22"/>
        </w:rPr>
        <w:footnoteReference w:id="10"/>
      </w:r>
      <w:r w:rsidR="00F539B0" w:rsidRPr="00954C16">
        <w:rPr>
          <w:rFonts w:ascii="Arial" w:hAnsi="Arial" w:cs="Arial"/>
          <w:bCs/>
          <w:sz w:val="22"/>
        </w:rPr>
        <w:t>.</w:t>
      </w:r>
    </w:p>
    <w:p w14:paraId="41446D0E" w14:textId="73240935" w:rsidR="00DB3FB4" w:rsidRPr="00954C16" w:rsidRDefault="004B2401" w:rsidP="00BC6D0C">
      <w:pPr>
        <w:pStyle w:val="Prrafodelista"/>
        <w:snapToGrid w:val="0"/>
        <w:spacing w:before="120" w:after="120" w:line="276" w:lineRule="auto"/>
        <w:ind w:left="0" w:firstLine="709"/>
        <w:contextualSpacing w:val="0"/>
        <w:rPr>
          <w:rFonts w:ascii="Arial" w:eastAsia="Calibri" w:hAnsi="Arial" w:cs="Arial"/>
          <w:sz w:val="22"/>
        </w:rPr>
      </w:pPr>
      <w:r w:rsidRPr="00954C16">
        <w:rPr>
          <w:rFonts w:ascii="Arial" w:hAnsi="Arial" w:cs="Arial"/>
          <w:sz w:val="22"/>
        </w:rPr>
        <w:t>En este sentido, la Agencia Nacional de Contratación Pública</w:t>
      </w:r>
      <w:r w:rsidR="00DB3FB4" w:rsidRPr="00954C16">
        <w:rPr>
          <w:rFonts w:ascii="Arial" w:hAnsi="Arial" w:cs="Arial"/>
          <w:sz w:val="22"/>
        </w:rPr>
        <w:t>, en virtud del literal c) del artículo 3 de la Ley 1150 de 2007,</w:t>
      </w:r>
      <w:r w:rsidRPr="00954C16">
        <w:rPr>
          <w:rFonts w:ascii="Arial" w:hAnsi="Arial" w:cs="Arial"/>
          <w:sz w:val="22"/>
        </w:rPr>
        <w:t xml:space="preserve"> reconoció la obligatoriedad</w:t>
      </w:r>
      <w:r w:rsidR="00256785" w:rsidRPr="00954C16">
        <w:rPr>
          <w:rFonts w:ascii="Arial" w:hAnsi="Arial" w:cs="Arial"/>
          <w:sz w:val="22"/>
        </w:rPr>
        <w:t>,</w:t>
      </w:r>
      <w:r w:rsidRPr="00954C16">
        <w:rPr>
          <w:rFonts w:ascii="Arial" w:hAnsi="Arial" w:cs="Arial"/>
          <w:sz w:val="22"/>
        </w:rPr>
        <w:t xml:space="preserve"> </w:t>
      </w:r>
      <w:r w:rsidR="00DB3FB4" w:rsidRPr="00954C16">
        <w:rPr>
          <w:rFonts w:ascii="Arial" w:hAnsi="Arial" w:cs="Arial"/>
          <w:sz w:val="22"/>
        </w:rPr>
        <w:t>por parte de las entidades de régimen especial</w:t>
      </w:r>
      <w:r w:rsidR="00256785" w:rsidRPr="00954C16">
        <w:rPr>
          <w:rFonts w:ascii="Arial" w:hAnsi="Arial" w:cs="Arial"/>
          <w:sz w:val="22"/>
        </w:rPr>
        <w:t>,</w:t>
      </w:r>
      <w:r w:rsidR="00DB3FB4" w:rsidRPr="00954C16">
        <w:rPr>
          <w:rFonts w:ascii="Arial" w:hAnsi="Arial" w:cs="Arial"/>
          <w:sz w:val="22"/>
        </w:rPr>
        <w:t xml:space="preserve"> de publicar su actividad contractual en el </w:t>
      </w:r>
      <w:r w:rsidRPr="00954C16">
        <w:rPr>
          <w:rFonts w:ascii="Arial" w:hAnsi="Arial" w:cs="Arial"/>
          <w:sz w:val="22"/>
        </w:rPr>
        <w:t>SECOP. Ahora</w:t>
      </w:r>
      <w:r w:rsidR="00DB3FB4" w:rsidRPr="00954C16">
        <w:rPr>
          <w:rFonts w:ascii="Arial" w:hAnsi="Arial" w:cs="Arial"/>
          <w:sz w:val="22"/>
        </w:rPr>
        <w:t xml:space="preserve">, con fundamento en el artículo 2.2.1.1.1.3.1 del Decreto 1082 de 2015, </w:t>
      </w:r>
      <w:r w:rsidRPr="00954C16">
        <w:rPr>
          <w:rFonts w:ascii="Arial" w:hAnsi="Arial" w:cs="Arial"/>
          <w:sz w:val="22"/>
        </w:rPr>
        <w:t xml:space="preserve">normativa que aplica a las entidades </w:t>
      </w:r>
      <w:r w:rsidR="00DB3FB4" w:rsidRPr="00954C16">
        <w:rPr>
          <w:rFonts w:ascii="Arial" w:hAnsi="Arial" w:cs="Arial"/>
          <w:sz w:val="22"/>
        </w:rPr>
        <w:t>que se rigen por la Ley 80 de 1993</w:t>
      </w:r>
      <w:r w:rsidRPr="00954C16">
        <w:rPr>
          <w:rFonts w:ascii="Arial" w:hAnsi="Arial" w:cs="Arial"/>
          <w:sz w:val="22"/>
        </w:rPr>
        <w:t xml:space="preserve">, </w:t>
      </w:r>
      <w:r w:rsidR="00DB3FB4" w:rsidRPr="00954C16">
        <w:rPr>
          <w:rFonts w:ascii="Arial" w:hAnsi="Arial" w:cs="Arial"/>
          <w:sz w:val="22"/>
        </w:rPr>
        <w:t xml:space="preserve">se enunciaron los </w:t>
      </w:r>
      <w:r w:rsidR="00DB3FB4" w:rsidRPr="00954C16">
        <w:rPr>
          <w:rFonts w:ascii="Arial" w:eastAsia="Calibri" w:hAnsi="Arial" w:cs="Arial"/>
          <w:sz w:val="22"/>
        </w:rPr>
        <w:t xml:space="preserve">documentos del proceso que se debían publicar. </w:t>
      </w:r>
    </w:p>
    <w:p w14:paraId="48F30F8F" w14:textId="20F84E8C" w:rsidR="005976BA" w:rsidRPr="00954C16" w:rsidRDefault="00DB3FB4" w:rsidP="00BC6D0C">
      <w:pPr>
        <w:pStyle w:val="Prrafodelista"/>
        <w:snapToGrid w:val="0"/>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Posteriormente, en el año 2018 cambió el fundamento normativo</w:t>
      </w:r>
      <w:r w:rsidR="0055286F" w:rsidRPr="00954C16">
        <w:rPr>
          <w:rFonts w:ascii="Arial" w:eastAsia="Calibri" w:hAnsi="Arial" w:cs="Arial"/>
          <w:sz w:val="22"/>
        </w:rPr>
        <w:t xml:space="preserve"> </w:t>
      </w:r>
      <w:r w:rsidR="00730FEF" w:rsidRPr="00954C16">
        <w:rPr>
          <w:rFonts w:ascii="Arial" w:eastAsia="Calibri" w:hAnsi="Arial" w:cs="Arial"/>
          <w:sz w:val="22"/>
        </w:rPr>
        <w:t>que define</w:t>
      </w:r>
      <w:r w:rsidR="00842C46" w:rsidRPr="00954C16">
        <w:rPr>
          <w:rFonts w:ascii="Arial" w:eastAsia="Calibri" w:hAnsi="Arial" w:cs="Arial"/>
          <w:sz w:val="22"/>
        </w:rPr>
        <w:t xml:space="preserve"> </w:t>
      </w:r>
      <w:r w:rsidRPr="00954C16">
        <w:rPr>
          <w:rFonts w:ascii="Arial" w:eastAsia="Calibri" w:hAnsi="Arial" w:cs="Arial"/>
          <w:sz w:val="22"/>
        </w:rPr>
        <w:t>los documentos</w:t>
      </w:r>
      <w:r w:rsidR="00730FEF" w:rsidRPr="00954C16">
        <w:rPr>
          <w:rFonts w:ascii="Arial" w:eastAsia="Calibri" w:hAnsi="Arial" w:cs="Arial"/>
          <w:sz w:val="22"/>
        </w:rPr>
        <w:t xml:space="preserve"> que las entidades de régimen especial</w:t>
      </w:r>
      <w:r w:rsidRPr="00954C16">
        <w:rPr>
          <w:rFonts w:ascii="Arial" w:eastAsia="Calibri" w:hAnsi="Arial" w:cs="Arial"/>
          <w:sz w:val="22"/>
        </w:rPr>
        <w:t xml:space="preserve"> deb</w:t>
      </w:r>
      <w:r w:rsidR="005976BA" w:rsidRPr="00954C16">
        <w:rPr>
          <w:rFonts w:ascii="Arial" w:eastAsia="Calibri" w:hAnsi="Arial" w:cs="Arial"/>
          <w:sz w:val="22"/>
        </w:rPr>
        <w:t>ía</w:t>
      </w:r>
      <w:r w:rsidRPr="00954C16">
        <w:rPr>
          <w:rFonts w:ascii="Arial" w:eastAsia="Calibri" w:hAnsi="Arial" w:cs="Arial"/>
          <w:sz w:val="22"/>
        </w:rPr>
        <w:t>n publicar en el SECOP</w:t>
      </w:r>
      <w:r w:rsidR="00256785" w:rsidRPr="00954C16">
        <w:rPr>
          <w:rFonts w:ascii="Arial" w:eastAsia="Calibri" w:hAnsi="Arial" w:cs="Arial"/>
          <w:sz w:val="22"/>
        </w:rPr>
        <w:t>.</w:t>
      </w:r>
      <w:r w:rsidRPr="00954C16">
        <w:rPr>
          <w:rFonts w:ascii="Arial" w:eastAsia="Calibri" w:hAnsi="Arial" w:cs="Arial"/>
          <w:sz w:val="22"/>
        </w:rPr>
        <w:t xml:space="preserve"> </w:t>
      </w:r>
      <w:r w:rsidR="00256785" w:rsidRPr="00954C16">
        <w:rPr>
          <w:rFonts w:ascii="Arial" w:eastAsia="Calibri" w:hAnsi="Arial" w:cs="Arial"/>
          <w:sz w:val="22"/>
        </w:rPr>
        <w:t>E</w:t>
      </w:r>
      <w:r w:rsidRPr="00954C16">
        <w:rPr>
          <w:rFonts w:ascii="Arial" w:eastAsia="Calibri" w:hAnsi="Arial" w:cs="Arial"/>
          <w:sz w:val="22"/>
        </w:rPr>
        <w:t xml:space="preserve">n el </w:t>
      </w:r>
      <w:r w:rsidR="00256785" w:rsidRPr="00954C16">
        <w:rPr>
          <w:rFonts w:ascii="Arial" w:eastAsia="Calibri" w:hAnsi="Arial" w:cs="Arial"/>
          <w:sz w:val="22"/>
        </w:rPr>
        <w:t xml:space="preserve">concepto con </w:t>
      </w:r>
      <w:r w:rsidR="00665D32" w:rsidRPr="00954C16">
        <w:rPr>
          <w:rFonts w:ascii="Arial" w:eastAsia="Calibri" w:hAnsi="Arial" w:cs="Arial"/>
          <w:sz w:val="22"/>
        </w:rPr>
        <w:t>r</w:t>
      </w:r>
      <w:r w:rsidRPr="00954C16">
        <w:rPr>
          <w:rFonts w:ascii="Arial" w:eastAsia="Calibri" w:hAnsi="Arial" w:cs="Arial"/>
          <w:sz w:val="22"/>
        </w:rPr>
        <w:t>adicado No. 4201814000008329 del 8 de octubre de 2018</w:t>
      </w:r>
      <w:r w:rsidR="00256785" w:rsidRPr="00954C16">
        <w:rPr>
          <w:rFonts w:ascii="Arial" w:eastAsia="Calibri" w:hAnsi="Arial" w:cs="Arial"/>
          <w:sz w:val="22"/>
        </w:rPr>
        <w:t xml:space="preserve"> se dijo que</w:t>
      </w:r>
      <w:r w:rsidRPr="00954C16">
        <w:rPr>
          <w:rFonts w:ascii="Arial" w:eastAsia="Calibri" w:hAnsi="Arial" w:cs="Arial"/>
          <w:sz w:val="22"/>
        </w:rPr>
        <w:t xml:space="preserve"> en virtud del artículo 11 de la Ley 1712 de 2014</w:t>
      </w:r>
      <w:r w:rsidR="0055286F" w:rsidRPr="00954C16">
        <w:rPr>
          <w:rFonts w:ascii="Arial" w:eastAsia="Calibri" w:hAnsi="Arial" w:cs="Arial"/>
          <w:sz w:val="22"/>
        </w:rPr>
        <w:t>,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w:t>
      </w:r>
      <w:r w:rsidR="00730FEF" w:rsidRPr="00954C16">
        <w:rPr>
          <w:rFonts w:ascii="Arial" w:eastAsia="Calibri" w:hAnsi="Arial" w:cs="Arial"/>
          <w:sz w:val="22"/>
        </w:rPr>
        <w:t xml:space="preserve"> los documentos que se deben publicar serán los previstos en el manual de contratación de cada entidad de régimen especial</w:t>
      </w:r>
      <w:r w:rsidR="005976BA" w:rsidRPr="00954C16">
        <w:rPr>
          <w:rFonts w:ascii="Arial" w:eastAsia="Calibri" w:hAnsi="Arial" w:cs="Arial"/>
          <w:sz w:val="22"/>
        </w:rPr>
        <w:t xml:space="preserve"> para la adquisición de un bien o servicio</w:t>
      </w:r>
      <w:r w:rsidR="00256785" w:rsidRPr="00954C16">
        <w:rPr>
          <w:rFonts w:ascii="Arial" w:eastAsia="Calibri" w:hAnsi="Arial" w:cs="Arial"/>
          <w:sz w:val="22"/>
        </w:rPr>
        <w:t>,</w:t>
      </w:r>
      <w:r w:rsidR="00730FEF" w:rsidRPr="00954C16">
        <w:rPr>
          <w:rFonts w:ascii="Arial" w:eastAsia="Calibri" w:hAnsi="Arial" w:cs="Arial"/>
          <w:sz w:val="22"/>
        </w:rPr>
        <w:t xml:space="preserve"> y no los que define el artículo 2.2.1.1.1.3.1 del Decreto 1082 de 2015</w:t>
      </w:r>
      <w:r w:rsidR="00565674" w:rsidRPr="00954C16">
        <w:rPr>
          <w:rStyle w:val="Refdenotaalpie"/>
          <w:rFonts w:ascii="Arial" w:eastAsia="Calibri" w:hAnsi="Arial" w:cs="Arial"/>
          <w:sz w:val="22"/>
        </w:rPr>
        <w:footnoteReference w:id="11"/>
      </w:r>
      <w:r w:rsidR="00730FEF" w:rsidRPr="00954C16">
        <w:rPr>
          <w:rFonts w:ascii="Arial" w:eastAsia="Calibri" w:hAnsi="Arial" w:cs="Arial"/>
          <w:sz w:val="22"/>
        </w:rPr>
        <w:t xml:space="preserve">. </w:t>
      </w:r>
    </w:p>
    <w:p w14:paraId="2A35F41E" w14:textId="162D4A66" w:rsidR="00565674" w:rsidRPr="00954C16" w:rsidRDefault="00565674" w:rsidP="00BC6D0C">
      <w:pPr>
        <w:pStyle w:val="Prrafodelista"/>
        <w:snapToGrid w:val="0"/>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lastRenderedPageBreak/>
        <w:t>Conforme a lo anterior, en un primer momento la Agencia Nacional de Contratación Pública</w:t>
      </w:r>
      <w:r w:rsidR="0094760B" w:rsidRPr="00954C16">
        <w:rPr>
          <w:rFonts w:ascii="Arial" w:eastAsia="Calibri" w:hAnsi="Arial" w:cs="Arial"/>
          <w:sz w:val="22"/>
        </w:rPr>
        <w:t xml:space="preserve"> definió los documentos del proceso que las entidades de régimen especial debían publicar en el SECOP, con fundamento en el artículo 2.2.1.1.1.3.1 del Decreto 1082 de 2015; en un segundo momento</w:t>
      </w:r>
      <w:r w:rsidR="00B46B12" w:rsidRPr="00954C16">
        <w:rPr>
          <w:rFonts w:ascii="Arial" w:eastAsia="Calibri" w:hAnsi="Arial" w:cs="Arial"/>
          <w:sz w:val="22"/>
        </w:rPr>
        <w:t xml:space="preserve"> </w:t>
      </w:r>
      <w:r w:rsidR="0094760B" w:rsidRPr="00954C16">
        <w:rPr>
          <w:rFonts w:ascii="Arial" w:eastAsia="Calibri" w:hAnsi="Arial" w:cs="Arial"/>
          <w:sz w:val="22"/>
        </w:rPr>
        <w:t xml:space="preserve">se </w:t>
      </w:r>
      <w:r w:rsidR="00DF7EA8" w:rsidRPr="00954C16">
        <w:rPr>
          <w:rFonts w:ascii="Arial" w:eastAsia="Calibri" w:hAnsi="Arial" w:cs="Arial"/>
          <w:sz w:val="22"/>
        </w:rPr>
        <w:t>identificaron</w:t>
      </w:r>
      <w:r w:rsidR="0094760B" w:rsidRPr="00954C16">
        <w:rPr>
          <w:rFonts w:ascii="Arial" w:eastAsia="Calibri" w:hAnsi="Arial" w:cs="Arial"/>
          <w:sz w:val="22"/>
        </w:rPr>
        <w:t xml:space="preserve"> los documentos en virtud del literal g</w:t>
      </w:r>
      <w:r w:rsidR="00014572" w:rsidRPr="00954C16">
        <w:rPr>
          <w:rFonts w:ascii="Arial" w:eastAsia="Calibri" w:hAnsi="Arial" w:cs="Arial"/>
          <w:sz w:val="22"/>
        </w:rPr>
        <w:t>)</w:t>
      </w:r>
      <w:r w:rsidR="0094760B" w:rsidRPr="00954C16">
        <w:rPr>
          <w:rFonts w:ascii="Arial" w:eastAsia="Calibri" w:hAnsi="Arial" w:cs="Arial"/>
          <w:sz w:val="22"/>
        </w:rPr>
        <w:t>, del artículo 11 de la Ley 1712 de 2014 y lo previsto en el Decreto 103 de 2015. Esta posición es la que se acogerá y desarrollará en esta consulta</w:t>
      </w:r>
      <w:r w:rsidR="00DF7EA8" w:rsidRPr="00954C16">
        <w:rPr>
          <w:rFonts w:ascii="Arial" w:eastAsia="Calibri" w:hAnsi="Arial" w:cs="Arial"/>
          <w:sz w:val="22"/>
        </w:rPr>
        <w:t xml:space="preserve">. </w:t>
      </w:r>
    </w:p>
    <w:p w14:paraId="1B41653B" w14:textId="756D2F46" w:rsidR="00936167" w:rsidRPr="00954C16" w:rsidRDefault="00DF7EA8" w:rsidP="00BC6D0C">
      <w:pPr>
        <w:pStyle w:val="Prrafodelista"/>
        <w:snapToGrid w:val="0"/>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En efecto, l</w:t>
      </w:r>
      <w:r w:rsidR="00505D46" w:rsidRPr="00954C16">
        <w:rPr>
          <w:rFonts w:ascii="Arial" w:eastAsia="Calibri" w:hAnsi="Arial" w:cs="Arial"/>
          <w:sz w:val="22"/>
        </w:rPr>
        <w:t xml:space="preserve">a Ley 1712 de 2014, normativa </w:t>
      </w:r>
      <w:r w:rsidRPr="00954C16">
        <w:rPr>
          <w:rFonts w:ascii="Arial" w:eastAsia="Calibri" w:hAnsi="Arial" w:cs="Arial"/>
          <w:sz w:val="22"/>
        </w:rPr>
        <w:t>que</w:t>
      </w:r>
      <w:r w:rsidR="00505D46" w:rsidRPr="00954C16">
        <w:rPr>
          <w:rFonts w:ascii="Arial" w:eastAsia="Calibri" w:hAnsi="Arial" w:cs="Arial"/>
          <w:sz w:val="22"/>
        </w:rPr>
        <w:t xml:space="preserve"> cre</w:t>
      </w:r>
      <w:r w:rsidRPr="00954C16">
        <w:rPr>
          <w:rFonts w:ascii="Arial" w:eastAsia="Calibri" w:hAnsi="Arial" w:cs="Arial"/>
          <w:sz w:val="22"/>
        </w:rPr>
        <w:t>ó</w:t>
      </w:r>
      <w:r w:rsidR="00505D46" w:rsidRPr="00954C16">
        <w:rPr>
          <w:rFonts w:ascii="Arial" w:eastAsia="Calibri" w:hAnsi="Arial" w:cs="Arial"/>
          <w:sz w:val="22"/>
        </w:rPr>
        <w:t xml:space="preserve"> la Ley de Transparencia y del Derecho de </w:t>
      </w:r>
      <w:r w:rsidR="00B46B12" w:rsidRPr="00954C16">
        <w:rPr>
          <w:rFonts w:ascii="Arial" w:eastAsia="Calibri" w:hAnsi="Arial" w:cs="Arial"/>
          <w:sz w:val="22"/>
        </w:rPr>
        <w:t>A</w:t>
      </w:r>
      <w:r w:rsidR="00505D46" w:rsidRPr="00954C16">
        <w:rPr>
          <w:rFonts w:ascii="Arial" w:eastAsia="Calibri" w:hAnsi="Arial" w:cs="Arial"/>
          <w:sz w:val="22"/>
        </w:rPr>
        <w:t xml:space="preserve">cceso a la </w:t>
      </w:r>
      <w:r w:rsidR="00B46B12" w:rsidRPr="00954C16">
        <w:rPr>
          <w:rFonts w:ascii="Arial" w:eastAsia="Calibri" w:hAnsi="Arial" w:cs="Arial"/>
          <w:sz w:val="22"/>
        </w:rPr>
        <w:t>I</w:t>
      </w:r>
      <w:r w:rsidR="00505D46" w:rsidRPr="00954C16">
        <w:rPr>
          <w:rFonts w:ascii="Arial" w:eastAsia="Calibri" w:hAnsi="Arial" w:cs="Arial"/>
          <w:sz w:val="22"/>
        </w:rPr>
        <w:t xml:space="preserve">nformación </w:t>
      </w:r>
      <w:r w:rsidR="00B46B12" w:rsidRPr="00954C16">
        <w:rPr>
          <w:rFonts w:ascii="Arial" w:eastAsia="Calibri" w:hAnsi="Arial" w:cs="Arial"/>
          <w:sz w:val="22"/>
        </w:rPr>
        <w:t>P</w:t>
      </w:r>
      <w:r w:rsidR="00505D46" w:rsidRPr="00954C16">
        <w:rPr>
          <w:rFonts w:ascii="Arial" w:eastAsia="Calibri" w:hAnsi="Arial" w:cs="Arial"/>
          <w:sz w:val="22"/>
        </w:rPr>
        <w:t>ública, señala en el</w:t>
      </w:r>
      <w:r w:rsidR="006C1FC3" w:rsidRPr="00954C16">
        <w:rPr>
          <w:rFonts w:ascii="Arial" w:eastAsia="Calibri" w:hAnsi="Arial" w:cs="Arial"/>
          <w:sz w:val="22"/>
        </w:rPr>
        <w:t xml:space="preserve"> literal g),</w:t>
      </w:r>
      <w:r w:rsidR="00505D46" w:rsidRPr="00954C16">
        <w:rPr>
          <w:rFonts w:ascii="Arial" w:eastAsia="Calibri" w:hAnsi="Arial" w:cs="Arial"/>
          <w:sz w:val="22"/>
        </w:rPr>
        <w:t xml:space="preserve"> artículo 11, que todo sujeto</w:t>
      </w:r>
      <w:r w:rsidR="00FD5854" w:rsidRPr="00954C16">
        <w:rPr>
          <w:rFonts w:ascii="Arial" w:eastAsia="Calibri" w:hAnsi="Arial" w:cs="Arial"/>
          <w:sz w:val="22"/>
        </w:rPr>
        <w:t xml:space="preserve"> obligado</w:t>
      </w:r>
      <w:r w:rsidR="00505D46" w:rsidRPr="00954C16">
        <w:rPr>
          <w:rFonts w:ascii="Arial" w:eastAsia="Calibri" w:hAnsi="Arial" w:cs="Arial"/>
          <w:sz w:val="22"/>
        </w:rPr>
        <w:t xml:space="preserve"> debe publicar</w:t>
      </w:r>
      <w:r w:rsidR="00014572" w:rsidRPr="00954C16">
        <w:rPr>
          <w:rFonts w:ascii="Arial" w:eastAsia="Calibri" w:hAnsi="Arial" w:cs="Arial"/>
          <w:sz w:val="22"/>
        </w:rPr>
        <w:t xml:space="preserve"> </w:t>
      </w:r>
      <w:r w:rsidR="00505D46" w:rsidRPr="00954C16">
        <w:rPr>
          <w:rFonts w:ascii="Arial" w:eastAsia="Calibri" w:hAnsi="Arial" w:cs="Arial"/>
          <w:sz w:val="22"/>
        </w:rPr>
        <w:t>sus procedimientos, lineamientos, políticas en materia de adquisiciones y compras, así como todos los datos de adjudicación y ejecución de</w:t>
      </w:r>
      <w:r w:rsidR="00FD5854" w:rsidRPr="00954C16">
        <w:rPr>
          <w:rFonts w:ascii="Arial" w:eastAsia="Calibri" w:hAnsi="Arial" w:cs="Arial"/>
          <w:sz w:val="22"/>
        </w:rPr>
        <w:t xml:space="preserve"> sus</w:t>
      </w:r>
      <w:r w:rsidR="00505D46" w:rsidRPr="00954C16">
        <w:rPr>
          <w:rFonts w:ascii="Arial" w:eastAsia="Calibri" w:hAnsi="Arial" w:cs="Arial"/>
          <w:sz w:val="22"/>
        </w:rPr>
        <w:t xml:space="preserve"> contrato</w:t>
      </w:r>
      <w:r w:rsidR="00FD5854" w:rsidRPr="00954C16">
        <w:rPr>
          <w:rFonts w:ascii="Arial" w:eastAsia="Calibri" w:hAnsi="Arial" w:cs="Arial"/>
          <w:sz w:val="22"/>
        </w:rPr>
        <w:t>s</w:t>
      </w:r>
      <w:r w:rsidR="00505D46" w:rsidRPr="00954C16">
        <w:rPr>
          <w:rFonts w:ascii="Arial" w:eastAsia="Calibri" w:hAnsi="Arial" w:cs="Arial"/>
          <w:sz w:val="22"/>
        </w:rPr>
        <w:t xml:space="preserve">. </w:t>
      </w:r>
      <w:r w:rsidR="006C1FC3" w:rsidRPr="00954C16">
        <w:rPr>
          <w:rFonts w:ascii="Arial" w:eastAsia="Calibri" w:hAnsi="Arial" w:cs="Arial"/>
          <w:sz w:val="22"/>
        </w:rPr>
        <w:t>Lo anterior</w:t>
      </w:r>
      <w:r w:rsidR="005976BA" w:rsidRPr="00954C16">
        <w:rPr>
          <w:rFonts w:ascii="Arial" w:eastAsia="Calibri" w:hAnsi="Arial" w:cs="Arial"/>
          <w:sz w:val="22"/>
        </w:rPr>
        <w:t xml:space="preserve"> </w:t>
      </w:r>
      <w:r w:rsidR="006C1FC3" w:rsidRPr="00954C16">
        <w:rPr>
          <w:rFonts w:ascii="Arial" w:eastAsia="Calibri" w:hAnsi="Arial" w:cs="Arial"/>
          <w:sz w:val="22"/>
        </w:rPr>
        <w:t xml:space="preserve">implica que se deberá publicar </w:t>
      </w:r>
      <w:r w:rsidR="00014572" w:rsidRPr="00954C16">
        <w:rPr>
          <w:rFonts w:ascii="Arial" w:eastAsia="Calibri" w:hAnsi="Arial" w:cs="Arial"/>
          <w:sz w:val="22"/>
        </w:rPr>
        <w:t>cada</w:t>
      </w:r>
      <w:r w:rsidR="006C1FC3" w:rsidRPr="00954C16">
        <w:rPr>
          <w:rFonts w:ascii="Arial" w:eastAsia="Calibri" w:hAnsi="Arial" w:cs="Arial"/>
          <w:sz w:val="22"/>
        </w:rPr>
        <w:t xml:space="preserve"> procedimiento para </w:t>
      </w:r>
      <w:r w:rsidR="00014572" w:rsidRPr="00954C16">
        <w:rPr>
          <w:rFonts w:ascii="Arial" w:eastAsia="Calibri" w:hAnsi="Arial" w:cs="Arial"/>
          <w:sz w:val="22"/>
        </w:rPr>
        <w:t xml:space="preserve">la </w:t>
      </w:r>
      <w:r w:rsidR="006C1FC3" w:rsidRPr="00954C16">
        <w:rPr>
          <w:rFonts w:ascii="Arial" w:eastAsia="Calibri" w:hAnsi="Arial" w:cs="Arial"/>
          <w:sz w:val="22"/>
        </w:rPr>
        <w:t>adquisición de un producto o servicio, incluid</w:t>
      </w:r>
      <w:r w:rsidR="005976BA" w:rsidRPr="00954C16">
        <w:rPr>
          <w:rFonts w:ascii="Arial" w:eastAsia="Calibri" w:hAnsi="Arial" w:cs="Arial"/>
          <w:sz w:val="22"/>
        </w:rPr>
        <w:t>os</w:t>
      </w:r>
      <w:r w:rsidR="00014572" w:rsidRPr="00954C16">
        <w:rPr>
          <w:rFonts w:ascii="Arial" w:eastAsia="Calibri" w:hAnsi="Arial" w:cs="Arial"/>
          <w:sz w:val="22"/>
        </w:rPr>
        <w:t xml:space="preserve"> los datos de adjudicación y ejecución del contrato. </w:t>
      </w:r>
    </w:p>
    <w:p w14:paraId="079CD937" w14:textId="103FBA3D" w:rsidR="00661307" w:rsidRPr="00954C16" w:rsidRDefault="00936167" w:rsidP="00E96AD1">
      <w:pPr>
        <w:pStyle w:val="Prrafodelista"/>
        <w:spacing w:line="276" w:lineRule="auto"/>
        <w:ind w:left="0" w:firstLine="709"/>
        <w:rPr>
          <w:rFonts w:ascii="Arial" w:eastAsia="Calibri" w:hAnsi="Arial" w:cs="Arial"/>
          <w:sz w:val="22"/>
        </w:rPr>
      </w:pPr>
      <w:r w:rsidRPr="00954C16">
        <w:rPr>
          <w:rFonts w:ascii="Arial" w:eastAsia="Calibri" w:hAnsi="Arial" w:cs="Arial"/>
          <w:sz w:val="22"/>
        </w:rPr>
        <w:t>L</w:t>
      </w:r>
      <w:r w:rsidR="00505D46" w:rsidRPr="00954C16">
        <w:rPr>
          <w:rFonts w:ascii="Arial" w:eastAsia="Calibri" w:hAnsi="Arial" w:cs="Arial"/>
          <w:sz w:val="22"/>
        </w:rPr>
        <w:t>uego</w:t>
      </w:r>
      <w:r w:rsidR="00665D32" w:rsidRPr="00954C16">
        <w:rPr>
          <w:rFonts w:ascii="Arial" w:eastAsia="Calibri" w:hAnsi="Arial" w:cs="Arial"/>
          <w:sz w:val="22"/>
        </w:rPr>
        <w:t>,</w:t>
      </w:r>
      <w:r w:rsidR="00505D46" w:rsidRPr="00954C16">
        <w:rPr>
          <w:rFonts w:ascii="Arial" w:eastAsia="Calibri" w:hAnsi="Arial" w:cs="Arial"/>
          <w:sz w:val="22"/>
        </w:rPr>
        <w:t xml:space="preserve"> el Decreto</w:t>
      </w:r>
      <w:r w:rsidR="00DF7EA8" w:rsidRPr="00954C16">
        <w:rPr>
          <w:rFonts w:ascii="Arial" w:eastAsia="Calibri" w:hAnsi="Arial" w:cs="Arial"/>
          <w:sz w:val="22"/>
        </w:rPr>
        <w:t xml:space="preserve"> reglamentario</w:t>
      </w:r>
      <w:r w:rsidR="00505D46" w:rsidRPr="00954C16">
        <w:rPr>
          <w:rFonts w:ascii="Arial" w:eastAsia="Calibri" w:hAnsi="Arial" w:cs="Arial"/>
          <w:sz w:val="22"/>
        </w:rPr>
        <w:t xml:space="preserve"> 103 de 2015, </w:t>
      </w:r>
      <w:r w:rsidR="008B7534" w:rsidRPr="00954C16">
        <w:rPr>
          <w:rFonts w:ascii="Arial" w:eastAsia="Calibri" w:hAnsi="Arial" w:cs="Arial"/>
          <w:sz w:val="22"/>
        </w:rPr>
        <w:t>«</w:t>
      </w:r>
      <w:r w:rsidR="00505D46" w:rsidRPr="00954C16">
        <w:rPr>
          <w:rFonts w:ascii="Arial" w:eastAsia="Calibri" w:hAnsi="Arial" w:cs="Arial"/>
          <w:sz w:val="22"/>
        </w:rPr>
        <w:t>Por el cual se reglamenta parcialmente la Ley 1712 de 2014 y se dictan otras disposiciones</w:t>
      </w:r>
      <w:r w:rsidR="008B7534" w:rsidRPr="00954C16">
        <w:rPr>
          <w:rFonts w:ascii="Arial" w:eastAsia="Calibri" w:hAnsi="Arial" w:cs="Arial"/>
          <w:sz w:val="22"/>
        </w:rPr>
        <w:t>»</w:t>
      </w:r>
      <w:r w:rsidR="00505D46" w:rsidRPr="00954C16">
        <w:rPr>
          <w:rFonts w:ascii="Arial" w:eastAsia="Calibri" w:hAnsi="Arial" w:cs="Arial"/>
          <w:sz w:val="22"/>
        </w:rPr>
        <w:t>, en el artículo 8</w:t>
      </w:r>
      <w:r w:rsidR="00DF7EA8" w:rsidRPr="00954C16">
        <w:rPr>
          <w:rFonts w:ascii="Arial" w:eastAsia="Calibri" w:hAnsi="Arial" w:cs="Arial"/>
          <w:sz w:val="22"/>
        </w:rPr>
        <w:t>,</w:t>
      </w:r>
      <w:r w:rsidR="00505D46" w:rsidRPr="00954C16">
        <w:rPr>
          <w:rFonts w:ascii="Arial" w:eastAsia="Calibri" w:hAnsi="Arial" w:cs="Arial"/>
          <w:sz w:val="22"/>
        </w:rPr>
        <w:t xml:space="preserve"> señala</w:t>
      </w:r>
      <w:r w:rsidR="00DF7EA8" w:rsidRPr="00954C16">
        <w:rPr>
          <w:rFonts w:ascii="Arial" w:eastAsia="Calibri" w:hAnsi="Arial" w:cs="Arial"/>
          <w:sz w:val="22"/>
        </w:rPr>
        <w:t>,</w:t>
      </w:r>
      <w:r w:rsidR="00505D46" w:rsidRPr="00954C16">
        <w:rPr>
          <w:rFonts w:ascii="Arial" w:eastAsia="Calibri" w:hAnsi="Arial" w:cs="Arial"/>
          <w:sz w:val="22"/>
        </w:rPr>
        <w:t xml:space="preserve"> </w:t>
      </w:r>
      <w:r w:rsidR="00A11790" w:rsidRPr="00954C16">
        <w:rPr>
          <w:rFonts w:ascii="Arial" w:eastAsia="Calibri" w:hAnsi="Arial" w:cs="Arial"/>
          <w:sz w:val="22"/>
        </w:rPr>
        <w:t>de forma enuncia</w:t>
      </w:r>
      <w:r w:rsidR="00A51CE6" w:rsidRPr="00954C16">
        <w:rPr>
          <w:rFonts w:ascii="Arial" w:eastAsia="Calibri" w:hAnsi="Arial" w:cs="Arial"/>
          <w:sz w:val="22"/>
        </w:rPr>
        <w:t xml:space="preserve">tiva, </w:t>
      </w:r>
      <w:r w:rsidR="00505D46" w:rsidRPr="00954C16">
        <w:rPr>
          <w:rFonts w:ascii="Arial" w:eastAsia="Calibri" w:hAnsi="Arial" w:cs="Arial"/>
          <w:sz w:val="22"/>
        </w:rPr>
        <w:t>que se debe publicar la información relativa a la ejecución del contrato, como las aprobaciones, autorizaciones, requerimientos o informes del supervisor o interventor, que aprueben la ejecución del contrato</w:t>
      </w:r>
      <w:r w:rsidR="00505D46" w:rsidRPr="00954C16">
        <w:rPr>
          <w:rStyle w:val="Refdenotaalpie"/>
          <w:rFonts w:ascii="Arial" w:eastAsia="Calibri" w:hAnsi="Arial" w:cs="Arial"/>
          <w:sz w:val="22"/>
        </w:rPr>
        <w:footnoteReference w:id="12"/>
      </w:r>
      <w:r w:rsidR="00505D46" w:rsidRPr="00954C16">
        <w:rPr>
          <w:rFonts w:ascii="Arial" w:eastAsia="Calibri" w:hAnsi="Arial" w:cs="Arial"/>
          <w:sz w:val="22"/>
        </w:rPr>
        <w:t>. Por su parte, el artículo 9 señala que las entidades deberán publicar los procedimientos</w:t>
      </w:r>
      <w:r w:rsidR="00014572" w:rsidRPr="00954C16">
        <w:rPr>
          <w:rFonts w:ascii="Arial" w:eastAsia="Calibri" w:hAnsi="Arial" w:cs="Arial"/>
          <w:sz w:val="22"/>
        </w:rPr>
        <w:t>, lineamientos y políticas en ma</w:t>
      </w:r>
      <w:r w:rsidR="00505D46" w:rsidRPr="00954C16">
        <w:rPr>
          <w:rFonts w:ascii="Arial" w:eastAsia="Calibri" w:hAnsi="Arial" w:cs="Arial"/>
          <w:sz w:val="22"/>
        </w:rPr>
        <w:t xml:space="preserve">teria de adquisición, </w:t>
      </w:r>
      <w:r w:rsidR="00014572" w:rsidRPr="00954C16">
        <w:rPr>
          <w:rFonts w:ascii="Arial" w:eastAsia="Calibri" w:hAnsi="Arial" w:cs="Arial"/>
          <w:sz w:val="22"/>
        </w:rPr>
        <w:t>que no son otros que los previstos en el manual de contratación, que se expidió de acuerdo con los lineamientos de la Agencia Nacional de Contratación Pública, el cual debe publica</w:t>
      </w:r>
      <w:r w:rsidR="004557C6" w:rsidRPr="00954C16">
        <w:rPr>
          <w:rFonts w:ascii="Arial" w:eastAsia="Calibri" w:hAnsi="Arial" w:cs="Arial"/>
          <w:sz w:val="22"/>
        </w:rPr>
        <w:t>rse</w:t>
      </w:r>
      <w:r w:rsidR="00014572" w:rsidRPr="00954C16">
        <w:rPr>
          <w:rFonts w:ascii="Arial" w:eastAsia="Calibri" w:hAnsi="Arial" w:cs="Arial"/>
          <w:sz w:val="22"/>
        </w:rPr>
        <w:t xml:space="preserve"> en el sitio web del sujeto obligado</w:t>
      </w:r>
      <w:r w:rsidR="00505D46" w:rsidRPr="00954C16">
        <w:rPr>
          <w:rStyle w:val="Refdenotaalpie"/>
          <w:rFonts w:ascii="Arial" w:eastAsia="Calibri" w:hAnsi="Arial" w:cs="Arial"/>
          <w:sz w:val="22"/>
        </w:rPr>
        <w:footnoteReference w:id="13"/>
      </w:r>
      <w:r w:rsidR="00505D46" w:rsidRPr="00954C16">
        <w:rPr>
          <w:rFonts w:ascii="Arial" w:eastAsia="Calibri" w:hAnsi="Arial" w:cs="Arial"/>
          <w:sz w:val="22"/>
        </w:rPr>
        <w:t>. Finalmente, el artículo 10 establece la obligación que tienen las entidades de publicar en el SECOP el Plan Anual de Adquisiciones</w:t>
      </w:r>
      <w:r w:rsidR="00505D46" w:rsidRPr="00954C16">
        <w:rPr>
          <w:rStyle w:val="Refdenotaalpie"/>
          <w:rFonts w:ascii="Arial" w:eastAsia="Calibri" w:hAnsi="Arial" w:cs="Arial"/>
          <w:sz w:val="22"/>
        </w:rPr>
        <w:footnoteReference w:id="14"/>
      </w:r>
      <w:r w:rsidR="00505D46" w:rsidRPr="00954C16">
        <w:rPr>
          <w:rFonts w:ascii="Arial" w:eastAsia="Calibri" w:hAnsi="Arial" w:cs="Arial"/>
          <w:sz w:val="22"/>
        </w:rPr>
        <w:t xml:space="preserve">.  </w:t>
      </w:r>
    </w:p>
    <w:p w14:paraId="608C3EC1" w14:textId="265DB972" w:rsidR="002C4AC3" w:rsidRPr="00954C16" w:rsidRDefault="004B31CC" w:rsidP="00BC6D0C">
      <w:pPr>
        <w:pStyle w:val="Prrafodelista"/>
        <w:snapToGrid w:val="0"/>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lastRenderedPageBreak/>
        <w:t>De conformidad con lo anterior, el Decreto 103 de 2015 señala que los documentos que deb</w:t>
      </w:r>
      <w:r w:rsidR="00DF7EA8" w:rsidRPr="00954C16">
        <w:rPr>
          <w:rFonts w:ascii="Arial" w:eastAsia="Calibri" w:hAnsi="Arial" w:cs="Arial"/>
          <w:sz w:val="22"/>
        </w:rPr>
        <w:t>e</w:t>
      </w:r>
      <w:r w:rsidRPr="00954C16">
        <w:rPr>
          <w:rFonts w:ascii="Arial" w:eastAsia="Calibri" w:hAnsi="Arial" w:cs="Arial"/>
          <w:sz w:val="22"/>
        </w:rPr>
        <w:t>n publicar las entidades estatales, entre estas las empresas industriales y comerciales del Estado</w:t>
      </w:r>
      <w:r w:rsidR="00DF7EA8" w:rsidRPr="00954C16">
        <w:rPr>
          <w:rFonts w:ascii="Arial" w:eastAsia="Calibri" w:hAnsi="Arial" w:cs="Arial"/>
          <w:sz w:val="22"/>
        </w:rPr>
        <w:t xml:space="preserve">, </w:t>
      </w:r>
      <w:r w:rsidRPr="00954C16">
        <w:rPr>
          <w:rFonts w:ascii="Arial" w:eastAsia="Calibri" w:hAnsi="Arial" w:cs="Arial"/>
          <w:sz w:val="22"/>
        </w:rPr>
        <w:t xml:space="preserve">son: i) las autorizaciones, requerimientos, aprobaciones o informes del supervisor o del interventor, que prueben la ejecución del contrato, </w:t>
      </w:r>
      <w:proofErr w:type="spellStart"/>
      <w:r w:rsidRPr="00954C16">
        <w:rPr>
          <w:rFonts w:ascii="Arial" w:eastAsia="Calibri" w:hAnsi="Arial" w:cs="Arial"/>
          <w:sz w:val="22"/>
        </w:rPr>
        <w:t>ii</w:t>
      </w:r>
      <w:proofErr w:type="spellEnd"/>
      <w:r w:rsidRPr="00954C16">
        <w:rPr>
          <w:rFonts w:ascii="Arial" w:eastAsia="Calibri" w:hAnsi="Arial" w:cs="Arial"/>
          <w:sz w:val="22"/>
        </w:rPr>
        <w:t xml:space="preserve">) los procedimientos, </w:t>
      </w:r>
      <w:r w:rsidR="00297889" w:rsidRPr="00954C16">
        <w:rPr>
          <w:rFonts w:ascii="Arial" w:eastAsia="Calibri" w:hAnsi="Arial" w:cs="Arial"/>
          <w:sz w:val="22"/>
        </w:rPr>
        <w:t>lineamientos y políticas en materia de adquisición</w:t>
      </w:r>
      <w:r w:rsidR="004557C6" w:rsidRPr="00954C16">
        <w:rPr>
          <w:rFonts w:ascii="Arial" w:eastAsia="Calibri" w:hAnsi="Arial" w:cs="Arial"/>
          <w:sz w:val="22"/>
        </w:rPr>
        <w:t xml:space="preserve"> que corresponden a los </w:t>
      </w:r>
      <w:r w:rsidR="00297889" w:rsidRPr="00954C16">
        <w:rPr>
          <w:rFonts w:ascii="Arial" w:eastAsia="Calibri" w:hAnsi="Arial" w:cs="Arial"/>
          <w:sz w:val="22"/>
        </w:rPr>
        <w:t xml:space="preserve"> </w:t>
      </w:r>
      <w:r w:rsidR="00CD6745" w:rsidRPr="00954C16">
        <w:rPr>
          <w:rFonts w:ascii="Arial" w:eastAsia="Calibri" w:hAnsi="Arial" w:cs="Arial"/>
          <w:sz w:val="22"/>
        </w:rPr>
        <w:t>documentos que los conforman,</w:t>
      </w:r>
      <w:r w:rsidR="00950032" w:rsidRPr="00954C16">
        <w:rPr>
          <w:rFonts w:ascii="Arial" w:eastAsia="Calibri" w:hAnsi="Arial" w:cs="Arial"/>
          <w:sz w:val="22"/>
        </w:rPr>
        <w:t xml:space="preserve"> </w:t>
      </w:r>
      <w:r w:rsidR="00297889" w:rsidRPr="00954C16">
        <w:rPr>
          <w:rFonts w:ascii="Arial" w:eastAsia="Calibri" w:hAnsi="Arial" w:cs="Arial"/>
          <w:sz w:val="22"/>
        </w:rPr>
        <w:t>previstos en el manual de contratación de la entidad</w:t>
      </w:r>
      <w:r w:rsidR="00DF7EA8" w:rsidRPr="00954C16">
        <w:rPr>
          <w:rFonts w:ascii="Arial" w:eastAsia="Calibri" w:hAnsi="Arial" w:cs="Arial"/>
          <w:sz w:val="22"/>
        </w:rPr>
        <w:t>,</w:t>
      </w:r>
      <w:r w:rsidR="00491913" w:rsidRPr="00954C16">
        <w:rPr>
          <w:rFonts w:ascii="Arial" w:eastAsia="Calibri" w:hAnsi="Arial" w:cs="Arial"/>
          <w:sz w:val="22"/>
        </w:rPr>
        <w:t xml:space="preserve"> y finalmente,</w:t>
      </w:r>
      <w:r w:rsidR="00297889" w:rsidRPr="00954C16">
        <w:rPr>
          <w:rFonts w:ascii="Arial" w:eastAsia="Calibri" w:hAnsi="Arial" w:cs="Arial"/>
          <w:sz w:val="22"/>
        </w:rPr>
        <w:t xml:space="preserve"> </w:t>
      </w:r>
      <w:proofErr w:type="spellStart"/>
      <w:r w:rsidR="00297889" w:rsidRPr="00954C16">
        <w:rPr>
          <w:rFonts w:ascii="Arial" w:eastAsia="Calibri" w:hAnsi="Arial" w:cs="Arial"/>
          <w:sz w:val="22"/>
        </w:rPr>
        <w:t>iii</w:t>
      </w:r>
      <w:proofErr w:type="spellEnd"/>
      <w:r w:rsidR="00297889" w:rsidRPr="00954C16">
        <w:rPr>
          <w:rFonts w:ascii="Arial" w:eastAsia="Calibri" w:hAnsi="Arial" w:cs="Arial"/>
          <w:sz w:val="22"/>
        </w:rPr>
        <w:t>) el plan anual de adquisiciones</w:t>
      </w:r>
      <w:r w:rsidR="00D35FB8" w:rsidRPr="00954C16">
        <w:rPr>
          <w:rFonts w:ascii="Arial" w:eastAsia="Calibri" w:hAnsi="Arial" w:cs="Arial"/>
          <w:sz w:val="22"/>
        </w:rPr>
        <w:t xml:space="preserve">. </w:t>
      </w:r>
    </w:p>
    <w:p w14:paraId="7DF62FD9" w14:textId="21EC9884" w:rsidR="00D5792C" w:rsidRPr="00954C16" w:rsidRDefault="002C4AC3" w:rsidP="00BC6D0C">
      <w:pPr>
        <w:pStyle w:val="Prrafodelista"/>
        <w:snapToGrid w:val="0"/>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 xml:space="preserve">Frente al segundo grupo de documentos, </w:t>
      </w:r>
      <w:r w:rsidR="0016701E" w:rsidRPr="00954C16">
        <w:rPr>
          <w:rFonts w:ascii="Arial" w:eastAsia="Calibri" w:hAnsi="Arial" w:cs="Arial"/>
          <w:sz w:val="22"/>
        </w:rPr>
        <w:t xml:space="preserve">debido </w:t>
      </w:r>
      <w:r w:rsidR="00D5792C" w:rsidRPr="00954C16">
        <w:rPr>
          <w:rFonts w:ascii="Arial" w:eastAsia="Calibri" w:hAnsi="Arial" w:cs="Arial"/>
          <w:sz w:val="22"/>
        </w:rPr>
        <w:t xml:space="preserve">a que </w:t>
      </w:r>
      <w:r w:rsidR="00950032" w:rsidRPr="00954C16">
        <w:rPr>
          <w:rFonts w:ascii="Arial" w:eastAsia="Calibri" w:hAnsi="Arial" w:cs="Arial"/>
          <w:sz w:val="22"/>
        </w:rPr>
        <w:t xml:space="preserve">estas entidades </w:t>
      </w:r>
      <w:r w:rsidR="00D5792C" w:rsidRPr="00954C16">
        <w:rPr>
          <w:rFonts w:ascii="Arial" w:eastAsia="Calibri" w:hAnsi="Arial" w:cs="Arial"/>
          <w:sz w:val="22"/>
        </w:rPr>
        <w:t xml:space="preserve">están sometidas al derecho privado, y por lo tanto no celebran sus procesos de contratación </w:t>
      </w:r>
      <w:r w:rsidR="003B2A57" w:rsidRPr="00954C16">
        <w:rPr>
          <w:rFonts w:ascii="Arial" w:eastAsia="Calibri" w:hAnsi="Arial" w:cs="Arial"/>
          <w:sz w:val="22"/>
        </w:rPr>
        <w:t xml:space="preserve">mediante </w:t>
      </w:r>
      <w:r w:rsidR="00D5792C" w:rsidRPr="00954C16">
        <w:rPr>
          <w:rFonts w:ascii="Arial" w:eastAsia="Calibri" w:hAnsi="Arial" w:cs="Arial"/>
          <w:sz w:val="22"/>
        </w:rPr>
        <w:t>las modalidades</w:t>
      </w:r>
      <w:r w:rsidR="007C761E" w:rsidRPr="00954C16">
        <w:rPr>
          <w:rFonts w:ascii="Arial" w:eastAsia="Calibri" w:hAnsi="Arial" w:cs="Arial"/>
          <w:sz w:val="22"/>
        </w:rPr>
        <w:t xml:space="preserve"> </w:t>
      </w:r>
      <w:r w:rsidR="00D5792C" w:rsidRPr="00954C16">
        <w:rPr>
          <w:rFonts w:ascii="Arial" w:eastAsia="Calibri" w:hAnsi="Arial" w:cs="Arial"/>
          <w:sz w:val="22"/>
        </w:rPr>
        <w:t>previstas en la Ley 80 de 1993</w:t>
      </w:r>
      <w:r w:rsidR="00C5053E" w:rsidRPr="00954C16">
        <w:rPr>
          <w:rFonts w:ascii="Arial" w:eastAsia="Calibri" w:hAnsi="Arial" w:cs="Arial"/>
          <w:sz w:val="22"/>
        </w:rPr>
        <w:t>,</w:t>
      </w:r>
      <w:r w:rsidR="00D5792C" w:rsidRPr="00954C16">
        <w:rPr>
          <w:rFonts w:ascii="Arial" w:eastAsia="Calibri" w:hAnsi="Arial" w:cs="Arial"/>
          <w:sz w:val="22"/>
        </w:rPr>
        <w:t xml:space="preserve"> cada </w:t>
      </w:r>
      <w:r w:rsidR="00950032" w:rsidRPr="00954C16">
        <w:rPr>
          <w:rFonts w:ascii="Arial" w:eastAsia="Calibri" w:hAnsi="Arial" w:cs="Arial"/>
          <w:sz w:val="22"/>
        </w:rPr>
        <w:t xml:space="preserve">una </w:t>
      </w:r>
      <w:r w:rsidR="00D5792C" w:rsidRPr="00954C16">
        <w:rPr>
          <w:rFonts w:ascii="Arial" w:eastAsia="Calibri" w:hAnsi="Arial" w:cs="Arial"/>
          <w:sz w:val="22"/>
        </w:rPr>
        <w:t>definirá</w:t>
      </w:r>
      <w:r w:rsidR="00380CA6" w:rsidRPr="00954C16">
        <w:rPr>
          <w:rFonts w:ascii="Arial" w:eastAsia="Calibri" w:hAnsi="Arial" w:cs="Arial"/>
          <w:sz w:val="22"/>
        </w:rPr>
        <w:t xml:space="preserve"> en su manual </w:t>
      </w:r>
      <w:r w:rsidR="00D5792C" w:rsidRPr="00954C16">
        <w:rPr>
          <w:rFonts w:ascii="Arial" w:eastAsia="Calibri" w:hAnsi="Arial" w:cs="Arial"/>
          <w:sz w:val="22"/>
        </w:rPr>
        <w:t>el procedimiento para contrata</w:t>
      </w:r>
      <w:r w:rsidR="007C761E" w:rsidRPr="00954C16">
        <w:rPr>
          <w:rFonts w:ascii="Arial" w:eastAsia="Calibri" w:hAnsi="Arial" w:cs="Arial"/>
          <w:sz w:val="22"/>
        </w:rPr>
        <w:t>r</w:t>
      </w:r>
      <w:r w:rsidR="00D5792C" w:rsidRPr="00954C16">
        <w:rPr>
          <w:rFonts w:ascii="Arial" w:eastAsia="Calibri" w:hAnsi="Arial" w:cs="Arial"/>
          <w:sz w:val="22"/>
        </w:rPr>
        <w:t xml:space="preserve"> sus bienes y servicios. </w:t>
      </w:r>
    </w:p>
    <w:p w14:paraId="6FB4553C" w14:textId="17F8BD68" w:rsidR="00D5792C" w:rsidRPr="00954C16" w:rsidRDefault="00D5792C" w:rsidP="00BC6D0C">
      <w:pPr>
        <w:pStyle w:val="Prrafodelista"/>
        <w:snapToGrid w:val="0"/>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 xml:space="preserve">En este sentido, la entidad </w:t>
      </w:r>
      <w:r w:rsidR="007E46B8" w:rsidRPr="00954C16">
        <w:rPr>
          <w:rFonts w:ascii="Arial" w:eastAsia="Calibri" w:hAnsi="Arial" w:cs="Arial"/>
          <w:sz w:val="22"/>
        </w:rPr>
        <w:t>lo hará</w:t>
      </w:r>
      <w:r w:rsidR="00720645">
        <w:rPr>
          <w:rFonts w:ascii="Arial" w:eastAsia="Calibri" w:hAnsi="Arial" w:cs="Arial"/>
          <w:sz w:val="22"/>
        </w:rPr>
        <w:t>,</w:t>
      </w:r>
      <w:r w:rsidR="007E46B8" w:rsidRPr="00954C16">
        <w:rPr>
          <w:rFonts w:ascii="Arial" w:eastAsia="Calibri" w:hAnsi="Arial" w:cs="Arial"/>
          <w:sz w:val="22"/>
        </w:rPr>
        <w:t xml:space="preserve"> </w:t>
      </w:r>
      <w:r w:rsidRPr="00954C16">
        <w:rPr>
          <w:rFonts w:ascii="Arial" w:eastAsia="Calibri" w:hAnsi="Arial" w:cs="Arial"/>
          <w:sz w:val="22"/>
        </w:rPr>
        <w:t xml:space="preserve">ya sea por medio de un </w:t>
      </w:r>
      <w:r w:rsidR="00380CA6" w:rsidRPr="00954C16">
        <w:rPr>
          <w:rFonts w:ascii="Arial" w:eastAsia="Calibri" w:hAnsi="Arial" w:cs="Arial"/>
          <w:sz w:val="22"/>
        </w:rPr>
        <w:t>procedimiento</w:t>
      </w:r>
      <w:r w:rsidRPr="00954C16">
        <w:rPr>
          <w:rFonts w:ascii="Arial" w:eastAsia="Calibri" w:hAnsi="Arial" w:cs="Arial"/>
          <w:sz w:val="22"/>
        </w:rPr>
        <w:t xml:space="preserve"> público, </w:t>
      </w:r>
      <w:r w:rsidR="0064079D" w:rsidRPr="00954C16">
        <w:rPr>
          <w:rFonts w:ascii="Arial" w:eastAsia="Calibri" w:hAnsi="Arial" w:cs="Arial"/>
          <w:sz w:val="22"/>
        </w:rPr>
        <w:t>mediante el cual</w:t>
      </w:r>
      <w:r w:rsidRPr="00954C16">
        <w:rPr>
          <w:rFonts w:ascii="Arial" w:eastAsia="Calibri" w:hAnsi="Arial" w:cs="Arial"/>
          <w:sz w:val="22"/>
        </w:rPr>
        <w:t xml:space="preserve"> se realice una convocatoria </w:t>
      </w:r>
      <w:r w:rsidR="004E44E6" w:rsidRPr="00954C16">
        <w:rPr>
          <w:rFonts w:ascii="Arial" w:eastAsia="Calibri" w:hAnsi="Arial" w:cs="Arial"/>
          <w:sz w:val="22"/>
        </w:rPr>
        <w:t xml:space="preserve">y una evaluación para seleccionar la oferta más </w:t>
      </w:r>
      <w:r w:rsidR="0064079D" w:rsidRPr="00954C16">
        <w:rPr>
          <w:rFonts w:ascii="Arial" w:eastAsia="Calibri" w:hAnsi="Arial" w:cs="Arial"/>
          <w:sz w:val="22"/>
        </w:rPr>
        <w:t>favorable</w:t>
      </w:r>
      <w:r w:rsidR="004E44E6" w:rsidRPr="00954C16">
        <w:rPr>
          <w:rFonts w:ascii="Arial" w:eastAsia="Calibri" w:hAnsi="Arial" w:cs="Arial"/>
          <w:sz w:val="22"/>
        </w:rPr>
        <w:t xml:space="preserve">; o </w:t>
      </w:r>
      <w:r w:rsidR="00313FE8" w:rsidRPr="00954C16">
        <w:rPr>
          <w:rFonts w:ascii="Arial" w:eastAsia="Calibri" w:hAnsi="Arial" w:cs="Arial"/>
          <w:sz w:val="22"/>
        </w:rPr>
        <w:t>a través de una contratación directa</w:t>
      </w:r>
      <w:r w:rsidR="00B93929" w:rsidRPr="00954C16">
        <w:rPr>
          <w:rFonts w:ascii="Arial" w:eastAsia="Calibri" w:hAnsi="Arial" w:cs="Arial"/>
          <w:sz w:val="22"/>
        </w:rPr>
        <w:t>, cuando</w:t>
      </w:r>
      <w:r w:rsidR="00313FE8" w:rsidRPr="00954C16">
        <w:rPr>
          <w:rFonts w:ascii="Arial" w:eastAsia="Calibri" w:hAnsi="Arial" w:cs="Arial"/>
          <w:sz w:val="22"/>
        </w:rPr>
        <w:t xml:space="preserve"> no es necesario realizar un proceso competitivo. En estos casos, el manual definirá </w:t>
      </w:r>
      <w:r w:rsidR="00620F3E" w:rsidRPr="00954C16">
        <w:rPr>
          <w:rFonts w:ascii="Arial" w:eastAsia="Calibri" w:hAnsi="Arial" w:cs="Arial"/>
          <w:sz w:val="22"/>
        </w:rPr>
        <w:t xml:space="preserve">las </w:t>
      </w:r>
      <w:r w:rsidR="00246A2C" w:rsidRPr="00954C16">
        <w:rPr>
          <w:rFonts w:ascii="Arial" w:eastAsia="Calibri" w:hAnsi="Arial" w:cs="Arial"/>
          <w:sz w:val="22"/>
        </w:rPr>
        <w:t>etapas y</w:t>
      </w:r>
      <w:r w:rsidR="00620F3E" w:rsidRPr="00954C16">
        <w:rPr>
          <w:rFonts w:ascii="Arial" w:eastAsia="Calibri" w:hAnsi="Arial" w:cs="Arial"/>
          <w:sz w:val="22"/>
        </w:rPr>
        <w:t xml:space="preserve"> </w:t>
      </w:r>
      <w:r w:rsidR="00313FE8" w:rsidRPr="00954C16">
        <w:rPr>
          <w:rFonts w:ascii="Arial" w:eastAsia="Calibri" w:hAnsi="Arial" w:cs="Arial"/>
          <w:sz w:val="22"/>
        </w:rPr>
        <w:t>los documentos que</w:t>
      </w:r>
      <w:r w:rsidR="00357E95" w:rsidRPr="00954C16">
        <w:rPr>
          <w:rFonts w:ascii="Arial" w:eastAsia="Calibri" w:hAnsi="Arial" w:cs="Arial"/>
          <w:sz w:val="22"/>
        </w:rPr>
        <w:t xml:space="preserve"> forman parte del procedimiento</w:t>
      </w:r>
      <w:r w:rsidR="00C5053E" w:rsidRPr="00954C16">
        <w:rPr>
          <w:rFonts w:ascii="Arial" w:eastAsia="Calibri" w:hAnsi="Arial" w:cs="Arial"/>
          <w:sz w:val="22"/>
        </w:rPr>
        <w:t>,</w:t>
      </w:r>
      <w:r w:rsidR="00AC0D19" w:rsidRPr="00954C16">
        <w:rPr>
          <w:rFonts w:ascii="Arial" w:eastAsia="Calibri" w:hAnsi="Arial" w:cs="Arial"/>
          <w:sz w:val="22"/>
        </w:rPr>
        <w:t xml:space="preserve"> que realicen</w:t>
      </w:r>
      <w:r w:rsidR="00313FE8" w:rsidRPr="00954C16">
        <w:rPr>
          <w:rFonts w:ascii="Arial" w:eastAsia="Calibri" w:hAnsi="Arial" w:cs="Arial"/>
          <w:sz w:val="22"/>
        </w:rPr>
        <w:t>; y se publicar</w:t>
      </w:r>
      <w:r w:rsidR="00987173" w:rsidRPr="00954C16">
        <w:rPr>
          <w:rFonts w:ascii="Arial" w:eastAsia="Calibri" w:hAnsi="Arial" w:cs="Arial"/>
          <w:sz w:val="22"/>
        </w:rPr>
        <w:t>án</w:t>
      </w:r>
      <w:r w:rsidR="00313FE8" w:rsidRPr="00954C16">
        <w:rPr>
          <w:rFonts w:ascii="Arial" w:eastAsia="Calibri" w:hAnsi="Arial" w:cs="Arial"/>
          <w:sz w:val="22"/>
        </w:rPr>
        <w:t xml:space="preserve"> en la plataforma del SECOP para cada proce</w:t>
      </w:r>
      <w:r w:rsidR="00AC0D19" w:rsidRPr="00954C16">
        <w:rPr>
          <w:rFonts w:ascii="Arial" w:eastAsia="Calibri" w:hAnsi="Arial" w:cs="Arial"/>
          <w:sz w:val="22"/>
        </w:rPr>
        <w:t>dimiento</w:t>
      </w:r>
      <w:r w:rsidR="00313FE8" w:rsidRPr="00954C16">
        <w:rPr>
          <w:rFonts w:ascii="Arial" w:eastAsia="Calibri" w:hAnsi="Arial" w:cs="Arial"/>
          <w:sz w:val="22"/>
        </w:rPr>
        <w:t xml:space="preserve"> de contratación </w:t>
      </w:r>
      <w:r w:rsidR="00C06B17" w:rsidRPr="00954C16">
        <w:rPr>
          <w:rFonts w:ascii="Arial" w:eastAsia="Calibri" w:hAnsi="Arial" w:cs="Arial"/>
          <w:sz w:val="22"/>
        </w:rPr>
        <w:t>que se adelante</w:t>
      </w:r>
      <w:r w:rsidR="00313FE8" w:rsidRPr="00954C16">
        <w:rPr>
          <w:rFonts w:ascii="Arial" w:eastAsia="Calibri" w:hAnsi="Arial" w:cs="Arial"/>
          <w:sz w:val="22"/>
        </w:rPr>
        <w:t xml:space="preserve">, incluido </w:t>
      </w:r>
      <w:r w:rsidR="00E96AD1" w:rsidRPr="00954C16">
        <w:rPr>
          <w:rFonts w:ascii="Arial" w:eastAsia="Calibri" w:hAnsi="Arial" w:cs="Arial"/>
          <w:sz w:val="22"/>
        </w:rPr>
        <w:t>el acto de adjudicación</w:t>
      </w:r>
      <w:r w:rsidR="00C5053E" w:rsidRPr="00954C16">
        <w:rPr>
          <w:rFonts w:ascii="Arial" w:eastAsia="Calibri" w:hAnsi="Arial" w:cs="Arial"/>
          <w:sz w:val="22"/>
        </w:rPr>
        <w:t>,</w:t>
      </w:r>
      <w:r w:rsidR="00E96AD1" w:rsidRPr="00954C16">
        <w:rPr>
          <w:rFonts w:ascii="Arial" w:eastAsia="Calibri" w:hAnsi="Arial" w:cs="Arial"/>
          <w:sz w:val="22"/>
        </w:rPr>
        <w:t xml:space="preserve"> por expresa disposición del </w:t>
      </w:r>
      <w:r w:rsidR="00DD4A31" w:rsidRPr="00954C16">
        <w:rPr>
          <w:rFonts w:ascii="Arial" w:eastAsia="Calibri" w:hAnsi="Arial" w:cs="Arial"/>
          <w:sz w:val="22"/>
        </w:rPr>
        <w:t xml:space="preserve">literal g) del </w:t>
      </w:r>
      <w:r w:rsidR="00E96AD1" w:rsidRPr="00954C16">
        <w:rPr>
          <w:rFonts w:ascii="Arial" w:eastAsia="Calibri" w:hAnsi="Arial" w:cs="Arial"/>
          <w:sz w:val="22"/>
        </w:rPr>
        <w:t xml:space="preserve">artículo 11 de la Ley 1712 de 2014. </w:t>
      </w:r>
    </w:p>
    <w:p w14:paraId="54FB32BA" w14:textId="05673F1C" w:rsidR="005C4CA8" w:rsidRPr="00954C16" w:rsidRDefault="00DF7EA8" w:rsidP="00BC6D0C">
      <w:pPr>
        <w:shd w:val="clear" w:color="auto" w:fill="FFFFFF"/>
        <w:spacing w:before="120" w:after="120" w:line="276" w:lineRule="auto"/>
        <w:ind w:firstLine="709"/>
        <w:rPr>
          <w:rFonts w:ascii="Arial" w:eastAsia="Times New Roman" w:hAnsi="Arial" w:cs="Arial"/>
          <w:sz w:val="22"/>
          <w:lang w:val="es-CO" w:eastAsia="es-CO"/>
        </w:rPr>
      </w:pPr>
      <w:r w:rsidRPr="00954C16">
        <w:rPr>
          <w:rFonts w:ascii="Arial" w:eastAsia="Calibri" w:hAnsi="Arial" w:cs="Arial"/>
          <w:sz w:val="22"/>
        </w:rPr>
        <w:t>Por lo tanto, e</w:t>
      </w:r>
      <w:r w:rsidR="005C4CA8" w:rsidRPr="00954C16">
        <w:rPr>
          <w:rFonts w:ascii="Arial" w:eastAsia="Calibri" w:hAnsi="Arial" w:cs="Arial"/>
          <w:sz w:val="22"/>
        </w:rPr>
        <w:t>n est</w:t>
      </w:r>
      <w:r w:rsidR="008714AC" w:rsidRPr="00954C16">
        <w:rPr>
          <w:rFonts w:ascii="Arial" w:eastAsia="Calibri" w:hAnsi="Arial" w:cs="Arial"/>
          <w:sz w:val="22"/>
        </w:rPr>
        <w:t>os</w:t>
      </w:r>
      <w:r w:rsidR="005C4CA8" w:rsidRPr="00954C16">
        <w:rPr>
          <w:rFonts w:ascii="Arial" w:eastAsia="Calibri" w:hAnsi="Arial" w:cs="Arial"/>
          <w:sz w:val="22"/>
        </w:rPr>
        <w:t xml:space="preserve"> caso</w:t>
      </w:r>
      <w:r w:rsidR="008714AC" w:rsidRPr="00954C16">
        <w:rPr>
          <w:rFonts w:ascii="Arial" w:eastAsia="Calibri" w:hAnsi="Arial" w:cs="Arial"/>
          <w:sz w:val="22"/>
        </w:rPr>
        <w:t>s</w:t>
      </w:r>
      <w:r w:rsidR="005C4CA8" w:rsidRPr="00954C16">
        <w:rPr>
          <w:rFonts w:ascii="Arial" w:eastAsia="Calibri" w:hAnsi="Arial" w:cs="Arial"/>
          <w:sz w:val="22"/>
        </w:rPr>
        <w:t xml:space="preserve"> aplica la Ley 1712 de 2014 y el Decreto 103 de 2015, no el Decreto 1082 de 2015</w:t>
      </w:r>
      <w:r w:rsidR="003A3385" w:rsidRPr="00954C16">
        <w:rPr>
          <w:rFonts w:ascii="Arial" w:eastAsia="Calibri" w:hAnsi="Arial" w:cs="Arial"/>
          <w:sz w:val="22"/>
        </w:rPr>
        <w:t>,</w:t>
      </w:r>
      <w:r w:rsidR="005C4CA8" w:rsidRPr="00954C16">
        <w:rPr>
          <w:rFonts w:ascii="Arial" w:eastAsia="Calibri" w:hAnsi="Arial" w:cs="Arial"/>
          <w:sz w:val="22"/>
        </w:rPr>
        <w:t xml:space="preserve"> porque esta última norma rige a las entidades sometidas al Estatuto General de Contratación Pública</w:t>
      </w:r>
      <w:r w:rsidRPr="00954C16">
        <w:rPr>
          <w:rFonts w:ascii="Arial" w:eastAsia="Calibri" w:hAnsi="Arial" w:cs="Arial"/>
          <w:sz w:val="22"/>
        </w:rPr>
        <w:t>,</w:t>
      </w:r>
      <w:r w:rsidR="005C4CA8" w:rsidRPr="00954C16">
        <w:rPr>
          <w:rFonts w:ascii="Arial" w:eastAsia="Calibri" w:hAnsi="Arial" w:cs="Arial"/>
          <w:sz w:val="22"/>
        </w:rPr>
        <w:t xml:space="preserve"> y por lo tanto no aplica a las empresas industriales y comerciales del Estado que, por regla general, se rigen por el derecho privado. Por su parte, la Ley 1712 de 2014 y el Decreto </w:t>
      </w:r>
      <w:r w:rsidRPr="00954C16">
        <w:rPr>
          <w:rFonts w:ascii="Arial" w:eastAsia="Calibri" w:hAnsi="Arial" w:cs="Arial"/>
          <w:sz w:val="22"/>
        </w:rPr>
        <w:t>reglamentario</w:t>
      </w:r>
      <w:r w:rsidR="003A3385" w:rsidRPr="00954C16">
        <w:rPr>
          <w:rFonts w:ascii="Arial" w:eastAsia="Calibri" w:hAnsi="Arial" w:cs="Arial"/>
          <w:sz w:val="22"/>
        </w:rPr>
        <w:t xml:space="preserve"> </w:t>
      </w:r>
      <w:r w:rsidR="005C4CA8" w:rsidRPr="00954C16">
        <w:rPr>
          <w:rFonts w:ascii="Arial" w:eastAsia="Calibri" w:hAnsi="Arial" w:cs="Arial"/>
          <w:sz w:val="22"/>
        </w:rPr>
        <w:t>103 de 2015 rige</w:t>
      </w:r>
      <w:r w:rsidRPr="00954C16">
        <w:rPr>
          <w:rFonts w:ascii="Arial" w:eastAsia="Calibri" w:hAnsi="Arial" w:cs="Arial"/>
          <w:sz w:val="22"/>
        </w:rPr>
        <w:t>n</w:t>
      </w:r>
      <w:r w:rsidR="005C4CA8" w:rsidRPr="00954C16">
        <w:rPr>
          <w:rFonts w:ascii="Arial" w:eastAsia="Calibri" w:hAnsi="Arial" w:cs="Arial"/>
          <w:sz w:val="22"/>
        </w:rPr>
        <w:t xml:space="preserve"> a cualquier entidad p</w:t>
      </w:r>
      <w:r w:rsidR="00CD1D0F" w:rsidRPr="00954C16">
        <w:rPr>
          <w:rFonts w:ascii="Arial" w:eastAsia="Calibri" w:hAnsi="Arial" w:cs="Arial"/>
          <w:sz w:val="22"/>
        </w:rPr>
        <w:t>ú</w:t>
      </w:r>
      <w:r w:rsidR="005C4CA8" w:rsidRPr="00954C16">
        <w:rPr>
          <w:rFonts w:ascii="Arial" w:eastAsia="Calibri" w:hAnsi="Arial" w:cs="Arial"/>
          <w:sz w:val="22"/>
        </w:rPr>
        <w:t>blica,</w:t>
      </w:r>
      <w:r w:rsidR="00CD1D0F" w:rsidRPr="00954C16">
        <w:rPr>
          <w:rFonts w:ascii="Arial" w:eastAsia="Calibri" w:hAnsi="Arial" w:cs="Arial"/>
          <w:sz w:val="22"/>
        </w:rPr>
        <w:t xml:space="preserve"> incluyendo</w:t>
      </w:r>
      <w:r w:rsidR="00CD1D0F" w:rsidRPr="00954C16">
        <w:rPr>
          <w:rFonts w:ascii="Arial" w:hAnsi="Arial" w:cs="Arial"/>
          <w:sz w:val="22"/>
        </w:rPr>
        <w:t xml:space="preserve"> </w:t>
      </w:r>
      <w:r w:rsidR="00CD1D0F" w:rsidRPr="00954C16">
        <w:rPr>
          <w:rFonts w:ascii="Arial" w:eastAsia="Times New Roman" w:hAnsi="Arial" w:cs="Arial"/>
          <w:sz w:val="22"/>
          <w:lang w:val="es-CO" w:eastAsia="es-CO"/>
        </w:rPr>
        <w:t>las pertenecientes a todas las Ramas del Poder Público, en todos los niveles de la estructura estatal, central o descentralizada por servicios o territorialmente, en los órdenes nacional, departamental, municipal y distrital.</w:t>
      </w:r>
    </w:p>
    <w:p w14:paraId="3D51A27A" w14:textId="1FCC285C" w:rsidR="008172E2" w:rsidRPr="00954C16" w:rsidRDefault="00B072EC" w:rsidP="00BC6D0C">
      <w:pPr>
        <w:pStyle w:val="Prrafodelista"/>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Identificados los documentos</w:t>
      </w:r>
      <w:r w:rsidR="005A6AE9" w:rsidRPr="00954C16">
        <w:rPr>
          <w:rFonts w:ascii="Arial" w:eastAsia="Calibri" w:hAnsi="Arial" w:cs="Arial"/>
          <w:sz w:val="22"/>
        </w:rPr>
        <w:t xml:space="preserve"> que deben publicar las entidades de régimen especial</w:t>
      </w:r>
      <w:r w:rsidRPr="00954C16">
        <w:rPr>
          <w:rFonts w:ascii="Arial" w:eastAsia="Calibri" w:hAnsi="Arial" w:cs="Arial"/>
          <w:sz w:val="22"/>
        </w:rPr>
        <w:t xml:space="preserve"> y </w:t>
      </w:r>
      <w:r w:rsidR="00466974" w:rsidRPr="00954C16">
        <w:rPr>
          <w:rFonts w:ascii="Arial" w:eastAsia="Calibri" w:hAnsi="Arial" w:cs="Arial"/>
          <w:sz w:val="22"/>
        </w:rPr>
        <w:t>su fundamento normativ</w:t>
      </w:r>
      <w:r w:rsidR="00932E9A" w:rsidRPr="00954C16">
        <w:rPr>
          <w:rFonts w:ascii="Arial" w:eastAsia="Calibri" w:hAnsi="Arial" w:cs="Arial"/>
          <w:sz w:val="22"/>
        </w:rPr>
        <w:t>o, a</w:t>
      </w:r>
      <w:r w:rsidR="00587C1E" w:rsidRPr="00954C16">
        <w:rPr>
          <w:rFonts w:ascii="Arial" w:eastAsia="Calibri" w:hAnsi="Arial" w:cs="Arial"/>
          <w:sz w:val="22"/>
        </w:rPr>
        <w:t xml:space="preserve"> </w:t>
      </w:r>
      <w:proofErr w:type="gramStart"/>
      <w:r w:rsidR="00587C1E" w:rsidRPr="00954C16">
        <w:rPr>
          <w:rFonts w:ascii="Arial" w:eastAsia="Calibri" w:hAnsi="Arial" w:cs="Arial"/>
          <w:sz w:val="22"/>
        </w:rPr>
        <w:t>continuación</w:t>
      </w:r>
      <w:proofErr w:type="gramEnd"/>
      <w:r w:rsidR="00587C1E" w:rsidRPr="00954C16">
        <w:rPr>
          <w:rFonts w:ascii="Arial" w:eastAsia="Calibri" w:hAnsi="Arial" w:cs="Arial"/>
          <w:sz w:val="22"/>
        </w:rPr>
        <w:t xml:space="preserve"> se explicará </w:t>
      </w:r>
      <w:r w:rsidR="00E72E4F" w:rsidRPr="00954C16">
        <w:rPr>
          <w:rFonts w:ascii="Arial" w:eastAsia="Calibri" w:hAnsi="Arial" w:cs="Arial"/>
          <w:sz w:val="22"/>
        </w:rPr>
        <w:t xml:space="preserve">cuando </w:t>
      </w:r>
      <w:r w:rsidR="00B40B59" w:rsidRPr="00954C16">
        <w:rPr>
          <w:rFonts w:ascii="Arial" w:eastAsia="Calibri" w:hAnsi="Arial" w:cs="Arial"/>
          <w:sz w:val="22"/>
        </w:rPr>
        <w:t xml:space="preserve">se deben </w:t>
      </w:r>
      <w:r w:rsidR="005E6C71" w:rsidRPr="00954C16">
        <w:rPr>
          <w:rFonts w:ascii="Arial" w:eastAsia="Calibri" w:hAnsi="Arial" w:cs="Arial"/>
          <w:sz w:val="22"/>
        </w:rPr>
        <w:t>publicar</w:t>
      </w:r>
      <w:r w:rsidR="00335783" w:rsidRPr="00954C16">
        <w:rPr>
          <w:rFonts w:ascii="Arial" w:eastAsia="Calibri" w:hAnsi="Arial" w:cs="Arial"/>
          <w:sz w:val="22"/>
        </w:rPr>
        <w:t>,</w:t>
      </w:r>
      <w:r w:rsidR="00D0550E" w:rsidRPr="00954C16">
        <w:rPr>
          <w:rFonts w:ascii="Arial" w:eastAsia="Calibri" w:hAnsi="Arial" w:cs="Arial"/>
          <w:sz w:val="22"/>
        </w:rPr>
        <w:t xml:space="preserve"> no sin antes explicar la posición que Colombia Compra Eficiente ha tenido en relación con este asunto. </w:t>
      </w:r>
    </w:p>
    <w:p w14:paraId="791D17EF" w14:textId="4073579D" w:rsidR="00FB11A8" w:rsidRPr="00954C16" w:rsidRDefault="00714841" w:rsidP="00BC6D0C">
      <w:pPr>
        <w:pStyle w:val="Prrafodelista"/>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 xml:space="preserve">En el año 2017, en la consulta </w:t>
      </w:r>
      <w:r w:rsidR="00DF5C65" w:rsidRPr="00954C16">
        <w:rPr>
          <w:rFonts w:ascii="Arial" w:eastAsia="Calibri" w:hAnsi="Arial" w:cs="Arial"/>
          <w:sz w:val="22"/>
        </w:rPr>
        <w:t xml:space="preserve">con radicado No. 4201713000005390 se </w:t>
      </w:r>
      <w:r w:rsidR="00A01228" w:rsidRPr="00954C16">
        <w:rPr>
          <w:rFonts w:ascii="Arial" w:eastAsia="Calibri" w:hAnsi="Arial" w:cs="Arial"/>
          <w:sz w:val="22"/>
        </w:rPr>
        <w:t>prevé que</w:t>
      </w:r>
      <w:r w:rsidR="00F6619A" w:rsidRPr="00954C16">
        <w:rPr>
          <w:rFonts w:ascii="Arial" w:eastAsia="Calibri" w:hAnsi="Arial" w:cs="Arial"/>
          <w:sz w:val="22"/>
        </w:rPr>
        <w:t xml:space="preserve">: </w:t>
      </w:r>
      <w:r w:rsidR="001318F7" w:rsidRPr="00954C16">
        <w:rPr>
          <w:rFonts w:ascii="Arial" w:eastAsia="Calibri" w:hAnsi="Arial" w:cs="Arial"/>
          <w:sz w:val="22"/>
        </w:rPr>
        <w:t xml:space="preserve">el plazo para publicar por parte de las entidades de régimen especial es el que se fije en el </w:t>
      </w:r>
      <w:r w:rsidR="001318F7" w:rsidRPr="00954C16">
        <w:rPr>
          <w:rFonts w:ascii="Arial" w:eastAsia="Calibri" w:hAnsi="Arial" w:cs="Arial"/>
          <w:sz w:val="22"/>
        </w:rPr>
        <w:lastRenderedPageBreak/>
        <w:t>manual de contratación de la entidad</w:t>
      </w:r>
      <w:r w:rsidR="00932E9A" w:rsidRPr="00954C16">
        <w:rPr>
          <w:rFonts w:ascii="Arial" w:eastAsia="Calibri" w:hAnsi="Arial" w:cs="Arial"/>
          <w:sz w:val="22"/>
        </w:rPr>
        <w:t>»</w:t>
      </w:r>
      <w:r w:rsidR="000A4D73" w:rsidRPr="00954C16">
        <w:rPr>
          <w:rStyle w:val="Refdenotaalpie"/>
          <w:rFonts w:ascii="Arial" w:eastAsia="Calibri" w:hAnsi="Arial" w:cs="Arial"/>
          <w:sz w:val="22"/>
        </w:rPr>
        <w:footnoteReference w:id="15"/>
      </w:r>
      <w:r w:rsidR="001318F7" w:rsidRPr="00954C16">
        <w:rPr>
          <w:rFonts w:ascii="Arial" w:eastAsia="Calibri" w:hAnsi="Arial" w:cs="Arial"/>
          <w:sz w:val="22"/>
        </w:rPr>
        <w:t xml:space="preserve">. </w:t>
      </w:r>
      <w:r w:rsidR="007A5691" w:rsidRPr="00954C16">
        <w:rPr>
          <w:rFonts w:ascii="Arial" w:eastAsia="Calibri" w:hAnsi="Arial" w:cs="Arial"/>
          <w:sz w:val="22"/>
        </w:rPr>
        <w:t xml:space="preserve">Por su parte, </w:t>
      </w:r>
      <w:r w:rsidR="0042123A" w:rsidRPr="00954C16">
        <w:rPr>
          <w:rFonts w:ascii="Arial" w:eastAsia="Calibri" w:hAnsi="Arial" w:cs="Arial"/>
          <w:sz w:val="22"/>
        </w:rPr>
        <w:t xml:space="preserve">en el </w:t>
      </w:r>
      <w:r w:rsidR="00E7101D" w:rsidRPr="00954C16">
        <w:rPr>
          <w:rFonts w:ascii="Arial" w:eastAsia="Calibri" w:hAnsi="Arial" w:cs="Arial"/>
          <w:sz w:val="22"/>
        </w:rPr>
        <w:t>año 2018, con la expedición de la</w:t>
      </w:r>
      <w:r w:rsidR="00BC2F7A" w:rsidRPr="00954C16">
        <w:rPr>
          <w:rFonts w:ascii="Arial" w:eastAsia="Calibri" w:hAnsi="Arial" w:cs="Arial"/>
          <w:sz w:val="22"/>
        </w:rPr>
        <w:t xml:space="preserve"> Circular Externa Única, </w:t>
      </w:r>
      <w:r w:rsidR="001318F7" w:rsidRPr="00954C16">
        <w:rPr>
          <w:rFonts w:ascii="Arial" w:eastAsia="Calibri" w:hAnsi="Arial" w:cs="Arial"/>
          <w:sz w:val="22"/>
        </w:rPr>
        <w:t xml:space="preserve">se cambió la postura y se </w:t>
      </w:r>
      <w:r w:rsidR="00D0550E" w:rsidRPr="00954C16">
        <w:rPr>
          <w:rFonts w:ascii="Arial" w:eastAsia="Calibri" w:hAnsi="Arial" w:cs="Arial"/>
          <w:sz w:val="22"/>
        </w:rPr>
        <w:t>indica</w:t>
      </w:r>
      <w:r w:rsidR="001318F7" w:rsidRPr="00954C16">
        <w:rPr>
          <w:rFonts w:ascii="Arial" w:eastAsia="Calibri" w:hAnsi="Arial" w:cs="Arial"/>
          <w:sz w:val="22"/>
        </w:rPr>
        <w:t>: «</w:t>
      </w:r>
      <w:r w:rsidR="00567D2A" w:rsidRPr="00954C16">
        <w:rPr>
          <w:rFonts w:ascii="Arial" w:eastAsia="Calibri" w:hAnsi="Arial" w:cs="Arial"/>
          <w:sz w:val="22"/>
        </w:rPr>
        <w:t xml:space="preserve">las entidades que aun </w:t>
      </w:r>
      <w:r w:rsidR="008F7EB0" w:rsidRPr="00954C16">
        <w:rPr>
          <w:rFonts w:ascii="Arial" w:eastAsia="Calibri" w:hAnsi="Arial" w:cs="Arial"/>
          <w:sz w:val="22"/>
        </w:rPr>
        <w:t>utilizan el SECOP I están obligadas a publicar los documentos del proceso dentro de los tres (3) días siguientes a su expedición</w:t>
      </w:r>
      <w:r w:rsidR="00720417" w:rsidRPr="00954C16">
        <w:rPr>
          <w:rStyle w:val="Refdenotaalpie"/>
          <w:rFonts w:ascii="Arial" w:eastAsia="Calibri" w:hAnsi="Arial" w:cs="Arial"/>
          <w:sz w:val="22"/>
        </w:rPr>
        <w:footnoteReference w:id="16"/>
      </w:r>
      <w:r w:rsidR="001318F7" w:rsidRPr="00954C16">
        <w:rPr>
          <w:rFonts w:ascii="Arial" w:eastAsia="Calibri" w:hAnsi="Arial" w:cs="Arial"/>
          <w:sz w:val="22"/>
        </w:rPr>
        <w:t xml:space="preserve"> […]</w:t>
      </w:r>
      <w:r w:rsidR="00720417" w:rsidRPr="00954C16">
        <w:rPr>
          <w:rFonts w:ascii="Arial" w:eastAsia="Calibri" w:hAnsi="Arial" w:cs="Arial"/>
          <w:sz w:val="22"/>
        </w:rPr>
        <w:t xml:space="preserve">». </w:t>
      </w:r>
      <w:r w:rsidR="00C675AD" w:rsidRPr="00954C16">
        <w:rPr>
          <w:rFonts w:ascii="Arial" w:eastAsia="Calibri" w:hAnsi="Arial" w:cs="Arial"/>
          <w:sz w:val="22"/>
        </w:rPr>
        <w:t xml:space="preserve">De lo regulado en la Circular Externa Única se infiere que </w:t>
      </w:r>
      <w:r w:rsidR="00D7475B" w:rsidRPr="00954C16">
        <w:rPr>
          <w:rFonts w:ascii="Arial" w:eastAsia="Calibri" w:hAnsi="Arial" w:cs="Arial"/>
          <w:sz w:val="22"/>
        </w:rPr>
        <w:t xml:space="preserve">se </w:t>
      </w:r>
      <w:r w:rsidR="00946582" w:rsidRPr="00954C16">
        <w:rPr>
          <w:rFonts w:ascii="Arial" w:eastAsia="Calibri" w:hAnsi="Arial" w:cs="Arial"/>
          <w:sz w:val="22"/>
        </w:rPr>
        <w:t>otorga</w:t>
      </w:r>
      <w:r w:rsidR="00D7475B" w:rsidRPr="00954C16">
        <w:rPr>
          <w:rFonts w:ascii="Arial" w:eastAsia="Calibri" w:hAnsi="Arial" w:cs="Arial"/>
          <w:sz w:val="22"/>
        </w:rPr>
        <w:t xml:space="preserve"> un </w:t>
      </w:r>
      <w:r w:rsidR="004355EE" w:rsidRPr="00954C16">
        <w:rPr>
          <w:rFonts w:ascii="Arial" w:eastAsia="Calibri" w:hAnsi="Arial" w:cs="Arial"/>
          <w:sz w:val="22"/>
        </w:rPr>
        <w:t>tratamiento igualitario</w:t>
      </w:r>
      <w:r w:rsidR="00D7475B" w:rsidRPr="00954C16">
        <w:rPr>
          <w:rFonts w:ascii="Arial" w:eastAsia="Calibri" w:hAnsi="Arial" w:cs="Arial"/>
          <w:sz w:val="22"/>
        </w:rPr>
        <w:t xml:space="preserve"> a las entidades</w:t>
      </w:r>
      <w:r w:rsidR="004A6E63" w:rsidRPr="00954C16">
        <w:rPr>
          <w:rFonts w:ascii="Arial" w:eastAsia="Calibri" w:hAnsi="Arial" w:cs="Arial"/>
          <w:sz w:val="22"/>
        </w:rPr>
        <w:t>,</w:t>
      </w:r>
      <w:r w:rsidR="002F31CD" w:rsidRPr="00954C16">
        <w:rPr>
          <w:rFonts w:ascii="Arial" w:eastAsia="Calibri" w:hAnsi="Arial" w:cs="Arial"/>
          <w:sz w:val="22"/>
        </w:rPr>
        <w:t xml:space="preserve"> independientemente de su régimen de contratació</w:t>
      </w:r>
      <w:r w:rsidR="004355EE" w:rsidRPr="00954C16">
        <w:rPr>
          <w:rFonts w:ascii="Arial" w:eastAsia="Calibri" w:hAnsi="Arial" w:cs="Arial"/>
          <w:sz w:val="22"/>
        </w:rPr>
        <w:t>n</w:t>
      </w:r>
      <w:r w:rsidR="00D7475B" w:rsidRPr="00954C16">
        <w:rPr>
          <w:rFonts w:ascii="Arial" w:eastAsia="Calibri" w:hAnsi="Arial" w:cs="Arial"/>
          <w:sz w:val="22"/>
        </w:rPr>
        <w:t>,</w:t>
      </w:r>
      <w:r w:rsidR="004355EE" w:rsidRPr="00954C16">
        <w:rPr>
          <w:rFonts w:ascii="Arial" w:eastAsia="Calibri" w:hAnsi="Arial" w:cs="Arial"/>
          <w:sz w:val="22"/>
        </w:rPr>
        <w:t xml:space="preserve"> por lo tanto,</w:t>
      </w:r>
      <w:r w:rsidR="00D7475B" w:rsidRPr="00954C16">
        <w:rPr>
          <w:rFonts w:ascii="Arial" w:eastAsia="Calibri" w:hAnsi="Arial" w:cs="Arial"/>
          <w:sz w:val="22"/>
        </w:rPr>
        <w:t xml:space="preserve"> aplica el</w:t>
      </w:r>
      <w:r w:rsidR="004355EE" w:rsidRPr="00954C16">
        <w:rPr>
          <w:rFonts w:ascii="Arial" w:eastAsia="Calibri" w:hAnsi="Arial" w:cs="Arial"/>
          <w:sz w:val="22"/>
        </w:rPr>
        <w:t xml:space="preserve"> artículo 2.2.1.1.1.7.1. del</w:t>
      </w:r>
      <w:r w:rsidR="00D7475B" w:rsidRPr="00954C16">
        <w:rPr>
          <w:rFonts w:ascii="Arial" w:eastAsia="Calibri" w:hAnsi="Arial" w:cs="Arial"/>
          <w:sz w:val="22"/>
        </w:rPr>
        <w:t xml:space="preserve"> Decreto 1082 de 2015</w:t>
      </w:r>
      <w:r w:rsidR="004355EE" w:rsidRPr="00954C16">
        <w:rPr>
          <w:rFonts w:ascii="Arial" w:eastAsia="Calibri" w:hAnsi="Arial" w:cs="Arial"/>
          <w:sz w:val="22"/>
        </w:rPr>
        <w:t xml:space="preserve">. </w:t>
      </w:r>
    </w:p>
    <w:p w14:paraId="4F96070C" w14:textId="028ED599" w:rsidR="00E7101D" w:rsidRPr="00954C16" w:rsidRDefault="00E7101D" w:rsidP="00BC6D0C">
      <w:pPr>
        <w:pStyle w:val="Prrafodelista"/>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 xml:space="preserve">En este sentido, </w:t>
      </w:r>
      <w:r w:rsidR="00DB3390" w:rsidRPr="00954C16">
        <w:rPr>
          <w:rFonts w:ascii="Arial" w:eastAsia="Calibri" w:hAnsi="Arial" w:cs="Arial"/>
          <w:sz w:val="22"/>
        </w:rPr>
        <w:t xml:space="preserve">se han tenido </w:t>
      </w:r>
      <w:r w:rsidR="000A4D73" w:rsidRPr="00954C16">
        <w:rPr>
          <w:rFonts w:ascii="Arial" w:eastAsia="Calibri" w:hAnsi="Arial" w:cs="Arial"/>
          <w:sz w:val="22"/>
        </w:rPr>
        <w:t xml:space="preserve">dos posturas </w:t>
      </w:r>
      <w:r w:rsidR="008E459D" w:rsidRPr="00954C16">
        <w:rPr>
          <w:rFonts w:ascii="Arial" w:eastAsia="Calibri" w:hAnsi="Arial" w:cs="Arial"/>
          <w:sz w:val="22"/>
        </w:rPr>
        <w:t>frente a la</w:t>
      </w:r>
      <w:r w:rsidR="00C221F6" w:rsidRPr="00954C16">
        <w:rPr>
          <w:rFonts w:ascii="Arial" w:eastAsia="Calibri" w:hAnsi="Arial" w:cs="Arial"/>
          <w:sz w:val="22"/>
        </w:rPr>
        <w:t xml:space="preserve"> oportunidad </w:t>
      </w:r>
      <w:r w:rsidR="008E459D" w:rsidRPr="00954C16">
        <w:rPr>
          <w:rFonts w:ascii="Arial" w:eastAsia="Calibri" w:hAnsi="Arial" w:cs="Arial"/>
          <w:sz w:val="22"/>
        </w:rPr>
        <w:t xml:space="preserve">de publicar </w:t>
      </w:r>
      <w:r w:rsidR="00C221F6" w:rsidRPr="00954C16">
        <w:rPr>
          <w:rFonts w:ascii="Arial" w:eastAsia="Calibri" w:hAnsi="Arial" w:cs="Arial"/>
          <w:sz w:val="22"/>
        </w:rPr>
        <w:t xml:space="preserve">los documentos </w:t>
      </w:r>
      <w:r w:rsidR="00DD212A" w:rsidRPr="00954C16">
        <w:rPr>
          <w:rFonts w:ascii="Arial" w:eastAsia="Calibri" w:hAnsi="Arial" w:cs="Arial"/>
          <w:sz w:val="22"/>
        </w:rPr>
        <w:t xml:space="preserve">en el </w:t>
      </w:r>
      <w:r w:rsidR="00B174E0" w:rsidRPr="00954C16">
        <w:rPr>
          <w:rFonts w:ascii="Arial" w:eastAsia="Calibri" w:hAnsi="Arial" w:cs="Arial"/>
          <w:sz w:val="22"/>
        </w:rPr>
        <w:t xml:space="preserve">SECOP. En un primer momento, </w:t>
      </w:r>
      <w:r w:rsidR="00975147" w:rsidRPr="00954C16">
        <w:rPr>
          <w:rFonts w:ascii="Arial" w:eastAsia="Calibri" w:hAnsi="Arial" w:cs="Arial"/>
          <w:sz w:val="22"/>
        </w:rPr>
        <w:t>la entidad tiene auto</w:t>
      </w:r>
      <w:r w:rsidR="00AF7977" w:rsidRPr="00954C16">
        <w:rPr>
          <w:rFonts w:ascii="Arial" w:eastAsia="Calibri" w:hAnsi="Arial" w:cs="Arial"/>
          <w:sz w:val="22"/>
        </w:rPr>
        <w:t xml:space="preserve">nomía para </w:t>
      </w:r>
      <w:r w:rsidR="006A7EDE" w:rsidRPr="00954C16">
        <w:rPr>
          <w:rFonts w:ascii="Arial" w:eastAsia="Calibri" w:hAnsi="Arial" w:cs="Arial"/>
          <w:sz w:val="22"/>
        </w:rPr>
        <w:t xml:space="preserve">determinar el </w:t>
      </w:r>
      <w:r w:rsidR="00DB3390" w:rsidRPr="00954C16">
        <w:rPr>
          <w:rFonts w:ascii="Arial" w:eastAsia="Calibri" w:hAnsi="Arial" w:cs="Arial"/>
          <w:sz w:val="22"/>
        </w:rPr>
        <w:t>plaz</w:t>
      </w:r>
      <w:r w:rsidR="006A7EDE" w:rsidRPr="00954C16">
        <w:rPr>
          <w:rFonts w:ascii="Arial" w:eastAsia="Calibri" w:hAnsi="Arial" w:cs="Arial"/>
          <w:sz w:val="22"/>
        </w:rPr>
        <w:t xml:space="preserve">o </w:t>
      </w:r>
      <w:r w:rsidR="00A83854" w:rsidRPr="00954C16">
        <w:rPr>
          <w:rFonts w:ascii="Arial" w:eastAsia="Calibri" w:hAnsi="Arial" w:cs="Arial"/>
          <w:sz w:val="22"/>
        </w:rPr>
        <w:t>en su manual de contratación</w:t>
      </w:r>
      <w:r w:rsidR="008E5D4B" w:rsidRPr="00954C16">
        <w:rPr>
          <w:rFonts w:ascii="Arial" w:eastAsia="Calibri" w:hAnsi="Arial" w:cs="Arial"/>
          <w:sz w:val="22"/>
        </w:rPr>
        <w:t xml:space="preserve">, debido a que no les </w:t>
      </w:r>
      <w:r w:rsidR="00945E4F" w:rsidRPr="00954C16">
        <w:rPr>
          <w:rFonts w:ascii="Arial" w:eastAsia="Calibri" w:hAnsi="Arial" w:cs="Arial"/>
          <w:sz w:val="22"/>
        </w:rPr>
        <w:t>aplica</w:t>
      </w:r>
      <w:r w:rsidR="008E5D4B" w:rsidRPr="00954C16">
        <w:rPr>
          <w:rFonts w:ascii="Arial" w:eastAsia="Calibri" w:hAnsi="Arial" w:cs="Arial"/>
          <w:sz w:val="22"/>
        </w:rPr>
        <w:t xml:space="preserve"> el Estatuto General de Contratación Pública</w:t>
      </w:r>
      <w:r w:rsidR="00B13F75" w:rsidRPr="00954C16">
        <w:rPr>
          <w:rFonts w:ascii="Arial" w:eastAsia="Calibri" w:hAnsi="Arial" w:cs="Arial"/>
          <w:sz w:val="22"/>
        </w:rPr>
        <w:t>; en un segundo momento, a partir de la expedición de la Circular Externa Única</w:t>
      </w:r>
      <w:r w:rsidR="00945E4F" w:rsidRPr="00954C16">
        <w:rPr>
          <w:rFonts w:ascii="Arial" w:eastAsia="Calibri" w:hAnsi="Arial" w:cs="Arial"/>
          <w:sz w:val="22"/>
        </w:rPr>
        <w:t>,</w:t>
      </w:r>
      <w:r w:rsidR="008156C0" w:rsidRPr="00954C16">
        <w:rPr>
          <w:rFonts w:ascii="Arial" w:eastAsia="Calibri" w:hAnsi="Arial" w:cs="Arial"/>
          <w:sz w:val="22"/>
        </w:rPr>
        <w:t xml:space="preserve"> </w:t>
      </w:r>
      <w:r w:rsidR="007F0E46" w:rsidRPr="00954C16">
        <w:rPr>
          <w:rFonts w:ascii="Arial" w:eastAsia="Calibri" w:hAnsi="Arial" w:cs="Arial"/>
          <w:sz w:val="22"/>
        </w:rPr>
        <w:t>tanto las entidades que se rigen por la Ley 80 como aquellas que tienen un estatuto de régimen especial</w:t>
      </w:r>
      <w:r w:rsidR="00945E4F" w:rsidRPr="00954C16">
        <w:rPr>
          <w:rFonts w:ascii="Arial" w:eastAsia="Calibri" w:hAnsi="Arial" w:cs="Arial"/>
          <w:sz w:val="22"/>
        </w:rPr>
        <w:t>,</w:t>
      </w:r>
      <w:r w:rsidR="007F0E46" w:rsidRPr="00954C16">
        <w:rPr>
          <w:rFonts w:ascii="Arial" w:eastAsia="Calibri" w:hAnsi="Arial" w:cs="Arial"/>
          <w:sz w:val="22"/>
        </w:rPr>
        <w:t xml:space="preserve"> </w:t>
      </w:r>
      <w:r w:rsidR="00992E40" w:rsidRPr="00954C16">
        <w:rPr>
          <w:rFonts w:ascii="Arial" w:eastAsia="Calibri" w:hAnsi="Arial" w:cs="Arial"/>
          <w:sz w:val="22"/>
        </w:rPr>
        <w:t xml:space="preserve">deberán </w:t>
      </w:r>
      <w:r w:rsidR="00952ED6" w:rsidRPr="00954C16">
        <w:rPr>
          <w:rFonts w:ascii="Arial" w:eastAsia="Calibri" w:hAnsi="Arial" w:cs="Arial"/>
          <w:sz w:val="22"/>
        </w:rPr>
        <w:t>publicar</w:t>
      </w:r>
      <w:r w:rsidR="00992E40" w:rsidRPr="00954C16">
        <w:rPr>
          <w:rFonts w:ascii="Arial" w:eastAsia="Calibri" w:hAnsi="Arial" w:cs="Arial"/>
          <w:sz w:val="22"/>
        </w:rPr>
        <w:t xml:space="preserve"> </w:t>
      </w:r>
      <w:r w:rsidR="00945E4F" w:rsidRPr="00954C16">
        <w:rPr>
          <w:rFonts w:ascii="Arial" w:eastAsia="Calibri" w:hAnsi="Arial" w:cs="Arial"/>
          <w:sz w:val="22"/>
        </w:rPr>
        <w:t xml:space="preserve">sus documentos, </w:t>
      </w:r>
      <w:r w:rsidR="00D46A12" w:rsidRPr="00954C16">
        <w:rPr>
          <w:rFonts w:ascii="Arial" w:eastAsia="Calibri" w:hAnsi="Arial" w:cs="Arial"/>
          <w:sz w:val="22"/>
        </w:rPr>
        <w:t>dentro de los tres (3) días siguientes a su expedición, por expresa disposición del artículo 2.2.1.1.1.7.1. del Decreto 1082 de 2015.</w:t>
      </w:r>
      <w:r w:rsidR="0031044A" w:rsidRPr="00954C16">
        <w:rPr>
          <w:rFonts w:ascii="Arial" w:eastAsia="Calibri" w:hAnsi="Arial" w:cs="Arial"/>
          <w:sz w:val="22"/>
        </w:rPr>
        <w:t xml:space="preserve"> Esta última posición es la que se </w:t>
      </w:r>
      <w:r w:rsidR="00113EB1" w:rsidRPr="00954C16">
        <w:rPr>
          <w:rFonts w:ascii="Arial" w:eastAsia="Calibri" w:hAnsi="Arial" w:cs="Arial"/>
          <w:sz w:val="22"/>
        </w:rPr>
        <w:t xml:space="preserve">acogerá y se desarrollará en esta consulta. </w:t>
      </w:r>
    </w:p>
    <w:p w14:paraId="461AA54F" w14:textId="2DD395CF" w:rsidR="004E4FEB" w:rsidRPr="00954C16" w:rsidRDefault="004F33FE" w:rsidP="00BC6D0C">
      <w:pPr>
        <w:pStyle w:val="Prrafodelista"/>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L</w:t>
      </w:r>
      <w:r w:rsidR="00567D2A" w:rsidRPr="00954C16">
        <w:rPr>
          <w:rFonts w:ascii="Arial" w:eastAsia="Calibri" w:hAnsi="Arial" w:cs="Arial"/>
          <w:sz w:val="22"/>
        </w:rPr>
        <w:t>a Ley 1712 de 2014 y el Decreto</w:t>
      </w:r>
      <w:r w:rsidR="00952ED6" w:rsidRPr="00954C16">
        <w:rPr>
          <w:rFonts w:ascii="Arial" w:eastAsia="Calibri" w:hAnsi="Arial" w:cs="Arial"/>
          <w:sz w:val="22"/>
        </w:rPr>
        <w:t xml:space="preserve"> reglamentario</w:t>
      </w:r>
      <w:r w:rsidR="00567D2A" w:rsidRPr="00954C16">
        <w:rPr>
          <w:rFonts w:ascii="Arial" w:eastAsia="Calibri" w:hAnsi="Arial" w:cs="Arial"/>
          <w:sz w:val="22"/>
        </w:rPr>
        <w:t xml:space="preserve"> 103 de 2015</w:t>
      </w:r>
      <w:r w:rsidR="006E09DF" w:rsidRPr="00954C16">
        <w:rPr>
          <w:rFonts w:ascii="Arial" w:eastAsia="Calibri" w:hAnsi="Arial" w:cs="Arial"/>
          <w:sz w:val="22"/>
        </w:rPr>
        <w:t xml:space="preserve">, </w:t>
      </w:r>
      <w:r w:rsidR="00792B10" w:rsidRPr="00954C16">
        <w:rPr>
          <w:rFonts w:ascii="Arial" w:eastAsia="Calibri" w:hAnsi="Arial" w:cs="Arial"/>
          <w:sz w:val="22"/>
        </w:rPr>
        <w:t>normativa</w:t>
      </w:r>
      <w:r w:rsidR="006A7CB8" w:rsidRPr="00954C16">
        <w:rPr>
          <w:rFonts w:ascii="Arial" w:eastAsia="Calibri" w:hAnsi="Arial" w:cs="Arial"/>
          <w:sz w:val="22"/>
        </w:rPr>
        <w:t>s</w:t>
      </w:r>
      <w:r w:rsidR="00792B10" w:rsidRPr="00954C16">
        <w:rPr>
          <w:rFonts w:ascii="Arial" w:eastAsia="Calibri" w:hAnsi="Arial" w:cs="Arial"/>
          <w:sz w:val="22"/>
        </w:rPr>
        <w:t xml:space="preserve"> </w:t>
      </w:r>
      <w:r w:rsidR="00045F66" w:rsidRPr="00954C16">
        <w:rPr>
          <w:rFonts w:ascii="Arial" w:eastAsia="Calibri" w:hAnsi="Arial" w:cs="Arial"/>
          <w:sz w:val="22"/>
        </w:rPr>
        <w:t xml:space="preserve">que </w:t>
      </w:r>
      <w:r w:rsidR="006A7CB8" w:rsidRPr="00954C16">
        <w:rPr>
          <w:rFonts w:ascii="Arial" w:eastAsia="Calibri" w:hAnsi="Arial" w:cs="Arial"/>
          <w:sz w:val="22"/>
        </w:rPr>
        <w:t xml:space="preserve">indican los documentos que se deben publicar, </w:t>
      </w:r>
      <w:r w:rsidR="00567D2A" w:rsidRPr="00954C16">
        <w:rPr>
          <w:rFonts w:ascii="Arial" w:eastAsia="Calibri" w:hAnsi="Arial" w:cs="Arial"/>
          <w:sz w:val="22"/>
        </w:rPr>
        <w:t>no señalan el momento</w:t>
      </w:r>
      <w:r w:rsidR="00C06A17" w:rsidRPr="00954C16">
        <w:rPr>
          <w:rFonts w:ascii="Arial" w:eastAsia="Calibri" w:hAnsi="Arial" w:cs="Arial"/>
          <w:sz w:val="22"/>
        </w:rPr>
        <w:t xml:space="preserve"> para su divulgación</w:t>
      </w:r>
      <w:r w:rsidR="00567D2A" w:rsidRPr="00954C16">
        <w:rPr>
          <w:rFonts w:ascii="Arial" w:eastAsia="Calibri" w:hAnsi="Arial" w:cs="Arial"/>
          <w:sz w:val="22"/>
        </w:rPr>
        <w:t>, y en ese sentido existe un vacío normativo</w:t>
      </w:r>
      <w:r w:rsidR="008F7EB0" w:rsidRPr="00954C16">
        <w:rPr>
          <w:rFonts w:ascii="Arial" w:eastAsia="Calibri" w:hAnsi="Arial" w:cs="Arial"/>
          <w:sz w:val="22"/>
        </w:rPr>
        <w:t xml:space="preserve">. </w:t>
      </w:r>
      <w:r w:rsidR="0041230A" w:rsidRPr="00954C16">
        <w:rPr>
          <w:rFonts w:ascii="Arial" w:eastAsia="Calibri" w:hAnsi="Arial" w:cs="Arial"/>
          <w:sz w:val="22"/>
        </w:rPr>
        <w:t xml:space="preserve">En los casos que </w:t>
      </w:r>
      <w:r w:rsidR="00231E70" w:rsidRPr="00954C16">
        <w:rPr>
          <w:rFonts w:ascii="Arial" w:eastAsia="Calibri" w:hAnsi="Arial" w:cs="Arial"/>
          <w:sz w:val="22"/>
        </w:rPr>
        <w:t xml:space="preserve">no exista </w:t>
      </w:r>
      <w:r w:rsidR="00E84C12" w:rsidRPr="00954C16">
        <w:rPr>
          <w:rFonts w:ascii="Arial" w:eastAsia="Calibri" w:hAnsi="Arial" w:cs="Arial"/>
          <w:sz w:val="22"/>
        </w:rPr>
        <w:t>norma</w:t>
      </w:r>
      <w:r w:rsidR="00FB11A8" w:rsidRPr="00954C16">
        <w:rPr>
          <w:rFonts w:ascii="Arial" w:eastAsia="Calibri" w:hAnsi="Arial" w:cs="Arial"/>
          <w:sz w:val="22"/>
        </w:rPr>
        <w:t xml:space="preserve"> aplicable</w:t>
      </w:r>
      <w:r w:rsidR="00121C77" w:rsidRPr="00954C16">
        <w:rPr>
          <w:rFonts w:ascii="Arial" w:eastAsia="Calibri" w:hAnsi="Arial" w:cs="Arial"/>
          <w:sz w:val="22"/>
        </w:rPr>
        <w:t>, la Corte Constitucional</w:t>
      </w:r>
      <w:r w:rsidR="00C24E8F" w:rsidRPr="00954C16">
        <w:rPr>
          <w:rFonts w:ascii="Arial" w:eastAsia="Calibri" w:hAnsi="Arial" w:cs="Arial"/>
          <w:sz w:val="22"/>
        </w:rPr>
        <w:t>, en la sentencia C-083 de 1995</w:t>
      </w:r>
      <w:r w:rsidR="00786C0A" w:rsidRPr="00954C16">
        <w:rPr>
          <w:rFonts w:ascii="Arial" w:eastAsia="Calibri" w:hAnsi="Arial" w:cs="Arial"/>
          <w:sz w:val="22"/>
        </w:rPr>
        <w:t xml:space="preserve">, </w:t>
      </w:r>
      <w:r w:rsidR="002605E5" w:rsidRPr="00954C16">
        <w:rPr>
          <w:rFonts w:ascii="Arial" w:eastAsia="Calibri" w:hAnsi="Arial" w:cs="Arial"/>
          <w:sz w:val="22"/>
        </w:rPr>
        <w:t>reconoce</w:t>
      </w:r>
      <w:r w:rsidR="008B3E47" w:rsidRPr="00954C16">
        <w:rPr>
          <w:rFonts w:ascii="Arial" w:eastAsia="Calibri" w:hAnsi="Arial" w:cs="Arial"/>
          <w:sz w:val="22"/>
        </w:rPr>
        <w:t xml:space="preserve"> a</w:t>
      </w:r>
      <w:r w:rsidR="002605E5" w:rsidRPr="00954C16">
        <w:rPr>
          <w:rFonts w:ascii="Arial" w:eastAsia="Calibri" w:hAnsi="Arial" w:cs="Arial"/>
          <w:sz w:val="22"/>
        </w:rPr>
        <w:t xml:space="preserve"> la analogía como una fuente de derecho autónoma </w:t>
      </w:r>
      <w:r w:rsidR="008B3E47" w:rsidRPr="00954C16">
        <w:rPr>
          <w:rFonts w:ascii="Arial" w:eastAsia="Calibri" w:hAnsi="Arial" w:cs="Arial"/>
          <w:sz w:val="22"/>
        </w:rPr>
        <w:t xml:space="preserve">a la que se </w:t>
      </w:r>
      <w:r w:rsidR="00786C0A" w:rsidRPr="00954C16">
        <w:rPr>
          <w:rFonts w:ascii="Arial" w:eastAsia="Calibri" w:hAnsi="Arial" w:cs="Arial"/>
          <w:sz w:val="22"/>
        </w:rPr>
        <w:t>pueden acudi</w:t>
      </w:r>
      <w:r w:rsidR="00B93CA1" w:rsidRPr="00954C16">
        <w:rPr>
          <w:rFonts w:ascii="Arial" w:eastAsia="Calibri" w:hAnsi="Arial" w:cs="Arial"/>
          <w:sz w:val="22"/>
        </w:rPr>
        <w:t>r</w:t>
      </w:r>
      <w:r w:rsidR="00786C0A" w:rsidRPr="00954C16">
        <w:rPr>
          <w:rFonts w:ascii="Arial" w:eastAsia="Calibri" w:hAnsi="Arial" w:cs="Arial"/>
          <w:sz w:val="22"/>
        </w:rPr>
        <w:t xml:space="preserve"> para supl</w:t>
      </w:r>
      <w:r w:rsidR="00FD221F" w:rsidRPr="00954C16">
        <w:rPr>
          <w:rFonts w:ascii="Arial" w:eastAsia="Calibri" w:hAnsi="Arial" w:cs="Arial"/>
          <w:sz w:val="22"/>
        </w:rPr>
        <w:t>ir</w:t>
      </w:r>
      <w:r w:rsidR="00E84C12" w:rsidRPr="00954C16">
        <w:rPr>
          <w:rFonts w:ascii="Arial" w:eastAsia="Calibri" w:hAnsi="Arial" w:cs="Arial"/>
          <w:sz w:val="22"/>
        </w:rPr>
        <w:t xml:space="preserve"> el vacío. De esta forma, </w:t>
      </w:r>
      <w:r w:rsidR="00BC3B26" w:rsidRPr="00954C16">
        <w:rPr>
          <w:rFonts w:ascii="Arial" w:eastAsia="Calibri" w:hAnsi="Arial" w:cs="Arial"/>
          <w:sz w:val="22"/>
        </w:rPr>
        <w:t>reconoce que</w:t>
      </w:r>
      <w:r w:rsidR="0046293F" w:rsidRPr="00954C16">
        <w:rPr>
          <w:rFonts w:ascii="Arial" w:eastAsia="Calibri" w:hAnsi="Arial" w:cs="Arial"/>
          <w:sz w:val="22"/>
        </w:rPr>
        <w:t xml:space="preserve">: </w:t>
      </w:r>
      <w:r w:rsidR="007E5986" w:rsidRPr="00954C16">
        <w:rPr>
          <w:rFonts w:ascii="Arial" w:eastAsia="Calibri" w:hAnsi="Arial" w:cs="Arial"/>
          <w:sz w:val="22"/>
        </w:rPr>
        <w:t>«</w:t>
      </w:r>
      <w:r w:rsidR="00235486" w:rsidRPr="00954C16">
        <w:rPr>
          <w:rFonts w:ascii="Arial" w:eastAsia="Calibri" w:hAnsi="Arial" w:cs="Arial"/>
          <w:sz w:val="22"/>
        </w:rPr>
        <w:t>la</w:t>
      </w:r>
      <w:r w:rsidR="00FD4558" w:rsidRPr="00954C16">
        <w:rPr>
          <w:rFonts w:ascii="Arial" w:eastAsia="Calibri" w:hAnsi="Arial" w:cs="Arial"/>
          <w:sz w:val="22"/>
        </w:rPr>
        <w:t xml:space="preserve"> analogía es la aplicación de la ley a situaciones no </w:t>
      </w:r>
      <w:r w:rsidR="00ED5848" w:rsidRPr="00954C16">
        <w:rPr>
          <w:rFonts w:ascii="Arial" w:eastAsia="Calibri" w:hAnsi="Arial" w:cs="Arial"/>
          <w:sz w:val="22"/>
        </w:rPr>
        <w:t>contempladas expresamente a ellas</w:t>
      </w:r>
      <w:r w:rsidR="00DF68C5" w:rsidRPr="00954C16">
        <w:rPr>
          <w:rFonts w:ascii="Arial" w:eastAsia="Calibri" w:hAnsi="Arial" w:cs="Arial"/>
          <w:sz w:val="22"/>
        </w:rPr>
        <w:t>, pero que sólo difiere</w:t>
      </w:r>
      <w:r w:rsidR="00C020D5" w:rsidRPr="00954C16">
        <w:rPr>
          <w:rFonts w:ascii="Arial" w:eastAsia="Calibri" w:hAnsi="Arial" w:cs="Arial"/>
          <w:sz w:val="22"/>
        </w:rPr>
        <w:t>n</w:t>
      </w:r>
      <w:r w:rsidR="00DF68C5" w:rsidRPr="00954C16">
        <w:rPr>
          <w:rFonts w:ascii="Arial" w:eastAsia="Calibri" w:hAnsi="Arial" w:cs="Arial"/>
          <w:sz w:val="22"/>
        </w:rPr>
        <w:t xml:space="preserve"> a las que sí lo están en</w:t>
      </w:r>
      <w:r w:rsidR="00977127" w:rsidRPr="00954C16">
        <w:rPr>
          <w:rFonts w:ascii="Arial" w:eastAsia="Calibri" w:hAnsi="Arial" w:cs="Arial"/>
          <w:sz w:val="22"/>
        </w:rPr>
        <w:t xml:space="preserve"> aspectos jurídicamente irrelevantes, es decir, ajenos a aquellos que explican y fundamentan </w:t>
      </w:r>
      <w:r w:rsidR="007E5986" w:rsidRPr="00954C16">
        <w:rPr>
          <w:rFonts w:ascii="Arial" w:eastAsia="Calibri" w:hAnsi="Arial" w:cs="Arial"/>
          <w:sz w:val="22"/>
        </w:rPr>
        <w:t>la</w:t>
      </w:r>
      <w:r w:rsidR="007E5986" w:rsidRPr="00954C16">
        <w:rPr>
          <w:rFonts w:ascii="Arial" w:eastAsia="Calibri" w:hAnsi="Arial" w:cs="Arial"/>
          <w:i/>
          <w:sz w:val="22"/>
        </w:rPr>
        <w:t xml:space="preserve"> </w:t>
      </w:r>
      <w:r w:rsidR="00576480" w:rsidRPr="00954C16">
        <w:rPr>
          <w:rFonts w:ascii="Arial" w:eastAsia="Calibri" w:hAnsi="Arial" w:cs="Arial"/>
          <w:sz w:val="22"/>
        </w:rPr>
        <w:t xml:space="preserve">razón de ser de la </w:t>
      </w:r>
      <w:r w:rsidR="00576480" w:rsidRPr="00954C16">
        <w:rPr>
          <w:rFonts w:ascii="Arial" w:eastAsia="Calibri" w:hAnsi="Arial" w:cs="Arial"/>
          <w:sz w:val="22"/>
        </w:rPr>
        <w:lastRenderedPageBreak/>
        <w:t>norm</w:t>
      </w:r>
      <w:r w:rsidR="00AA2E20" w:rsidRPr="00954C16">
        <w:rPr>
          <w:rFonts w:ascii="Arial" w:eastAsia="Calibri" w:hAnsi="Arial" w:cs="Arial"/>
          <w:sz w:val="22"/>
        </w:rPr>
        <w:t>a»</w:t>
      </w:r>
      <w:r w:rsidR="00AB7620" w:rsidRPr="00954C16">
        <w:rPr>
          <w:rStyle w:val="Refdenotaalpie"/>
          <w:rFonts w:ascii="Arial" w:eastAsia="Calibri" w:hAnsi="Arial" w:cs="Arial"/>
          <w:sz w:val="22"/>
        </w:rPr>
        <w:footnoteReference w:id="17"/>
      </w:r>
      <w:r w:rsidR="00BB6EC2" w:rsidRPr="00954C16">
        <w:rPr>
          <w:rFonts w:ascii="Arial" w:eastAsia="Calibri" w:hAnsi="Arial" w:cs="Arial"/>
          <w:sz w:val="22"/>
        </w:rPr>
        <w:t>.</w:t>
      </w:r>
      <w:r w:rsidR="00E84C12" w:rsidRPr="00954C16">
        <w:rPr>
          <w:rFonts w:ascii="Arial" w:eastAsia="Calibri" w:hAnsi="Arial" w:cs="Arial"/>
          <w:sz w:val="22"/>
        </w:rPr>
        <w:t xml:space="preserve"> </w:t>
      </w:r>
      <w:r w:rsidR="0016583A" w:rsidRPr="00954C16">
        <w:rPr>
          <w:rFonts w:ascii="Arial" w:eastAsia="Calibri" w:hAnsi="Arial" w:cs="Arial"/>
          <w:sz w:val="22"/>
        </w:rPr>
        <w:t xml:space="preserve">En este sentido, </w:t>
      </w:r>
      <w:r w:rsidR="00DA5800" w:rsidRPr="00954C16">
        <w:rPr>
          <w:rFonts w:ascii="Arial" w:eastAsia="Calibri" w:hAnsi="Arial" w:cs="Arial"/>
          <w:sz w:val="22"/>
        </w:rPr>
        <w:t xml:space="preserve">el juez </w:t>
      </w:r>
      <w:r w:rsidR="00827933" w:rsidRPr="00954C16">
        <w:rPr>
          <w:rFonts w:ascii="Arial" w:eastAsia="Calibri" w:hAnsi="Arial" w:cs="Arial"/>
          <w:sz w:val="22"/>
        </w:rPr>
        <w:t xml:space="preserve">razona por </w:t>
      </w:r>
      <w:r w:rsidR="00DA5800" w:rsidRPr="00954C16">
        <w:rPr>
          <w:rFonts w:ascii="Arial" w:eastAsia="Calibri" w:hAnsi="Arial" w:cs="Arial"/>
          <w:sz w:val="22"/>
        </w:rPr>
        <w:t>analogía</w:t>
      </w:r>
      <w:r w:rsidR="00604832" w:rsidRPr="00954C16">
        <w:rPr>
          <w:rFonts w:ascii="Arial" w:eastAsia="Calibri" w:hAnsi="Arial" w:cs="Arial"/>
          <w:sz w:val="22"/>
        </w:rPr>
        <w:t>, cu</w:t>
      </w:r>
      <w:r w:rsidR="0041190A" w:rsidRPr="00954C16">
        <w:rPr>
          <w:rFonts w:ascii="Arial" w:eastAsia="Calibri" w:hAnsi="Arial" w:cs="Arial"/>
          <w:sz w:val="22"/>
        </w:rPr>
        <w:t xml:space="preserve">ando aplica una ley frente </w:t>
      </w:r>
      <w:r w:rsidR="00C504A7" w:rsidRPr="00954C16">
        <w:rPr>
          <w:rFonts w:ascii="Arial" w:eastAsia="Calibri" w:hAnsi="Arial" w:cs="Arial"/>
          <w:sz w:val="22"/>
        </w:rPr>
        <w:t xml:space="preserve">una situación no contemplada explícitamente en ella, </w:t>
      </w:r>
      <w:r w:rsidR="00876D2A" w:rsidRPr="00954C16">
        <w:rPr>
          <w:rFonts w:ascii="Arial" w:eastAsia="Calibri" w:hAnsi="Arial" w:cs="Arial"/>
          <w:sz w:val="22"/>
        </w:rPr>
        <w:t>a part</w:t>
      </w:r>
      <w:r w:rsidR="00112FD0" w:rsidRPr="00954C16">
        <w:rPr>
          <w:rFonts w:ascii="Arial" w:eastAsia="Calibri" w:hAnsi="Arial" w:cs="Arial"/>
          <w:sz w:val="22"/>
        </w:rPr>
        <w:t>ir del estudio de situaciones fácticas que fueron tratadas por el legislador y guardan similitud con el asunto tratad</w:t>
      </w:r>
      <w:r w:rsidR="00AF4FA2" w:rsidRPr="00954C16">
        <w:rPr>
          <w:rFonts w:ascii="Arial" w:eastAsia="Calibri" w:hAnsi="Arial" w:cs="Arial"/>
          <w:sz w:val="22"/>
        </w:rPr>
        <w:t xml:space="preserve">o. </w:t>
      </w:r>
    </w:p>
    <w:p w14:paraId="37D9FF8E" w14:textId="3F9B027F" w:rsidR="005C17CA" w:rsidRPr="00954C16" w:rsidRDefault="00CC1582" w:rsidP="00BC6D0C">
      <w:pPr>
        <w:pStyle w:val="Prrafodelista"/>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E</w:t>
      </w:r>
      <w:r w:rsidR="00E84C12" w:rsidRPr="00954C16">
        <w:rPr>
          <w:rFonts w:ascii="Arial" w:eastAsia="Calibri" w:hAnsi="Arial" w:cs="Arial"/>
          <w:sz w:val="22"/>
        </w:rPr>
        <w:t>l Decreto 1082 de 2015</w:t>
      </w:r>
      <w:r w:rsidR="00B5723F" w:rsidRPr="00954C16">
        <w:rPr>
          <w:rFonts w:ascii="Arial" w:eastAsia="Calibri" w:hAnsi="Arial" w:cs="Arial"/>
          <w:sz w:val="22"/>
        </w:rPr>
        <w:t>, en el artículo 2.2.1.1.1.7.1,</w:t>
      </w:r>
      <w:r w:rsidRPr="00954C16">
        <w:rPr>
          <w:rFonts w:ascii="Arial" w:eastAsia="Calibri" w:hAnsi="Arial" w:cs="Arial"/>
          <w:sz w:val="22"/>
        </w:rPr>
        <w:t xml:space="preserve"> normativa que regula la publicidad en el SECOP</w:t>
      </w:r>
      <w:r w:rsidR="00C14535" w:rsidRPr="00954C16">
        <w:rPr>
          <w:rFonts w:ascii="Arial" w:eastAsia="Calibri" w:hAnsi="Arial" w:cs="Arial"/>
          <w:sz w:val="22"/>
        </w:rPr>
        <w:t xml:space="preserve">, establece que las entidades están </w:t>
      </w:r>
      <w:r w:rsidR="00C775CC" w:rsidRPr="00954C16">
        <w:rPr>
          <w:rFonts w:ascii="Arial" w:eastAsia="Calibri" w:hAnsi="Arial" w:cs="Arial"/>
          <w:sz w:val="22"/>
        </w:rPr>
        <w:t xml:space="preserve">obligadas a publicar los documentos </w:t>
      </w:r>
      <w:r w:rsidR="00B93CA1" w:rsidRPr="00954C16">
        <w:rPr>
          <w:rFonts w:ascii="Arial" w:eastAsia="Calibri" w:hAnsi="Arial" w:cs="Arial"/>
          <w:sz w:val="22"/>
        </w:rPr>
        <w:t>d</w:t>
      </w:r>
      <w:r w:rsidR="00C775CC" w:rsidRPr="00954C16">
        <w:rPr>
          <w:rFonts w:ascii="Arial" w:eastAsia="Calibri" w:hAnsi="Arial" w:cs="Arial"/>
          <w:sz w:val="22"/>
        </w:rPr>
        <w:t xml:space="preserve">el proceso y los </w:t>
      </w:r>
      <w:r w:rsidR="00064606" w:rsidRPr="00954C16">
        <w:rPr>
          <w:rFonts w:ascii="Arial" w:eastAsia="Calibri" w:hAnsi="Arial" w:cs="Arial"/>
          <w:sz w:val="22"/>
        </w:rPr>
        <w:t>actos administrativos del</w:t>
      </w:r>
      <w:r w:rsidR="00C775CC" w:rsidRPr="00954C16">
        <w:rPr>
          <w:rFonts w:ascii="Arial" w:eastAsia="Calibri" w:hAnsi="Arial" w:cs="Arial"/>
          <w:sz w:val="22"/>
        </w:rPr>
        <w:t xml:space="preserve"> </w:t>
      </w:r>
      <w:r w:rsidR="00B93CA1" w:rsidRPr="00954C16">
        <w:rPr>
          <w:rFonts w:ascii="Arial" w:eastAsia="Calibri" w:hAnsi="Arial" w:cs="Arial"/>
          <w:sz w:val="22"/>
        </w:rPr>
        <w:t>p</w:t>
      </w:r>
      <w:r w:rsidR="00C775CC" w:rsidRPr="00954C16">
        <w:rPr>
          <w:rFonts w:ascii="Arial" w:eastAsia="Calibri" w:hAnsi="Arial" w:cs="Arial"/>
          <w:sz w:val="22"/>
        </w:rPr>
        <w:t xml:space="preserve">roceso de </w:t>
      </w:r>
      <w:r w:rsidR="00B93CA1" w:rsidRPr="00954C16">
        <w:rPr>
          <w:rFonts w:ascii="Arial" w:eastAsia="Calibri" w:hAnsi="Arial" w:cs="Arial"/>
          <w:sz w:val="22"/>
        </w:rPr>
        <w:t>c</w:t>
      </w:r>
      <w:r w:rsidR="00C775CC" w:rsidRPr="00954C16">
        <w:rPr>
          <w:rFonts w:ascii="Arial" w:eastAsia="Calibri" w:hAnsi="Arial" w:cs="Arial"/>
          <w:sz w:val="22"/>
        </w:rPr>
        <w:t xml:space="preserve">ontratación, dentro de los tres (3) días siguientes a su expedición. </w:t>
      </w:r>
      <w:r w:rsidR="00A515EB" w:rsidRPr="00954C16">
        <w:rPr>
          <w:rFonts w:ascii="Arial" w:eastAsia="Calibri" w:hAnsi="Arial" w:cs="Arial"/>
          <w:sz w:val="22"/>
        </w:rPr>
        <w:t xml:space="preserve">Además, </w:t>
      </w:r>
      <w:r w:rsidR="00B93CA1" w:rsidRPr="00954C16">
        <w:rPr>
          <w:rFonts w:ascii="Arial" w:eastAsia="Calibri" w:hAnsi="Arial" w:cs="Arial"/>
          <w:sz w:val="22"/>
        </w:rPr>
        <w:t>indica</w:t>
      </w:r>
      <w:r w:rsidR="00A515EB" w:rsidRPr="00954C16">
        <w:rPr>
          <w:rFonts w:ascii="Arial" w:eastAsia="Calibri" w:hAnsi="Arial" w:cs="Arial"/>
          <w:sz w:val="22"/>
        </w:rPr>
        <w:t xml:space="preserve"> el deber de las entidades de publicar oportunamente el aviso de convocatoria o la invitación en los procesos de contrataci</w:t>
      </w:r>
      <w:r w:rsidR="00CD151F" w:rsidRPr="00954C16">
        <w:rPr>
          <w:rFonts w:ascii="Arial" w:eastAsia="Calibri" w:hAnsi="Arial" w:cs="Arial"/>
          <w:sz w:val="22"/>
        </w:rPr>
        <w:t xml:space="preserve">ón de </w:t>
      </w:r>
      <w:r w:rsidR="0026262C" w:rsidRPr="00954C16">
        <w:rPr>
          <w:rFonts w:ascii="Arial" w:eastAsia="Calibri" w:hAnsi="Arial" w:cs="Arial"/>
          <w:sz w:val="22"/>
        </w:rPr>
        <w:t xml:space="preserve">mínima cuantía y el proyecto de pliego de condiciones en el SECOP para que presenten observaciones </w:t>
      </w:r>
      <w:r w:rsidR="001A57BD" w:rsidRPr="00954C16">
        <w:rPr>
          <w:rFonts w:ascii="Arial" w:eastAsia="Calibri" w:hAnsi="Arial" w:cs="Arial"/>
          <w:sz w:val="22"/>
        </w:rPr>
        <w:t>o soliciten aclaraciones</w:t>
      </w:r>
      <w:r w:rsidR="001A57BD" w:rsidRPr="00954C16">
        <w:rPr>
          <w:rStyle w:val="Refdenotaalpie"/>
          <w:rFonts w:ascii="Arial" w:eastAsia="Calibri" w:hAnsi="Arial" w:cs="Arial"/>
          <w:sz w:val="22"/>
        </w:rPr>
        <w:footnoteReference w:id="18"/>
      </w:r>
      <w:r w:rsidR="001A57BD" w:rsidRPr="00954C16">
        <w:rPr>
          <w:rFonts w:ascii="Arial" w:eastAsia="Calibri" w:hAnsi="Arial" w:cs="Arial"/>
          <w:sz w:val="22"/>
        </w:rPr>
        <w:t>.</w:t>
      </w:r>
      <w:r w:rsidR="00083DC4" w:rsidRPr="00954C16">
        <w:rPr>
          <w:rFonts w:ascii="Arial" w:eastAsia="Calibri" w:hAnsi="Arial" w:cs="Arial"/>
          <w:sz w:val="22"/>
        </w:rPr>
        <w:t xml:space="preserve">En este sentido, </w:t>
      </w:r>
      <w:r w:rsidR="007D4034" w:rsidRPr="00954C16">
        <w:rPr>
          <w:rFonts w:ascii="Arial" w:eastAsia="Calibri" w:hAnsi="Arial" w:cs="Arial"/>
          <w:sz w:val="22"/>
        </w:rPr>
        <w:t>las entidades sometidas al régimen de contratación de Ley 80 de 1993 publicarán</w:t>
      </w:r>
      <w:r w:rsidR="00192E6A" w:rsidRPr="00954C16">
        <w:rPr>
          <w:rFonts w:ascii="Arial" w:eastAsia="Calibri" w:hAnsi="Arial" w:cs="Arial"/>
          <w:sz w:val="22"/>
        </w:rPr>
        <w:t xml:space="preserve"> en el SECOP</w:t>
      </w:r>
      <w:r w:rsidR="007D4034" w:rsidRPr="00954C16">
        <w:rPr>
          <w:rFonts w:ascii="Arial" w:eastAsia="Calibri" w:hAnsi="Arial" w:cs="Arial"/>
          <w:sz w:val="22"/>
        </w:rPr>
        <w:t xml:space="preserve"> </w:t>
      </w:r>
      <w:r w:rsidR="00192E6A" w:rsidRPr="00954C16">
        <w:rPr>
          <w:rFonts w:ascii="Arial" w:eastAsia="Calibri" w:hAnsi="Arial" w:cs="Arial"/>
          <w:sz w:val="22"/>
        </w:rPr>
        <w:t xml:space="preserve">sus documentos dentro de los 3 días siguientes </w:t>
      </w:r>
      <w:r w:rsidR="00C01CDA" w:rsidRPr="00954C16">
        <w:rPr>
          <w:rFonts w:ascii="Arial" w:eastAsia="Calibri" w:hAnsi="Arial" w:cs="Arial"/>
          <w:sz w:val="22"/>
        </w:rPr>
        <w:t xml:space="preserve">a su expedición. </w:t>
      </w:r>
    </w:p>
    <w:p w14:paraId="0D4C37DF" w14:textId="70EA265A" w:rsidR="00C01CDA" w:rsidRPr="00954C16" w:rsidRDefault="00C01CDA" w:rsidP="00BC6D0C">
      <w:pPr>
        <w:pStyle w:val="Prrafodelista"/>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 xml:space="preserve">Si bien, </w:t>
      </w:r>
      <w:r w:rsidR="00DB77FD">
        <w:rPr>
          <w:rFonts w:ascii="Arial" w:eastAsia="Calibri" w:hAnsi="Arial" w:cs="Arial"/>
          <w:sz w:val="22"/>
        </w:rPr>
        <w:t>como</w:t>
      </w:r>
      <w:r w:rsidRPr="00954C16">
        <w:rPr>
          <w:rFonts w:ascii="Arial" w:eastAsia="Calibri" w:hAnsi="Arial" w:cs="Arial"/>
          <w:sz w:val="22"/>
        </w:rPr>
        <w:t xml:space="preserve"> se mencionó en el acápite anterior, el Decreto 1082 de 2015 no aplica </w:t>
      </w:r>
      <w:r w:rsidR="00EE36C7">
        <w:rPr>
          <w:rFonts w:ascii="Arial" w:eastAsia="Calibri" w:hAnsi="Arial" w:cs="Arial"/>
          <w:sz w:val="22"/>
        </w:rPr>
        <w:t xml:space="preserve">en ocasiones </w:t>
      </w:r>
      <w:r w:rsidRPr="00954C16">
        <w:rPr>
          <w:rFonts w:ascii="Arial" w:eastAsia="Calibri" w:hAnsi="Arial" w:cs="Arial"/>
          <w:sz w:val="22"/>
        </w:rPr>
        <w:t>a las empresas industriales y comerciales del Estado</w:t>
      </w:r>
      <w:r w:rsidR="0083690C" w:rsidRPr="00954C16">
        <w:rPr>
          <w:rFonts w:ascii="Arial" w:eastAsia="Calibri" w:hAnsi="Arial" w:cs="Arial"/>
          <w:sz w:val="22"/>
        </w:rPr>
        <w:t>,</w:t>
      </w:r>
      <w:r w:rsidR="001B2609" w:rsidRPr="00954C16">
        <w:rPr>
          <w:rFonts w:ascii="Arial" w:eastAsia="Calibri" w:hAnsi="Arial" w:cs="Arial"/>
          <w:sz w:val="22"/>
        </w:rPr>
        <w:t xml:space="preserve"> </w:t>
      </w:r>
      <w:r w:rsidRPr="00954C16">
        <w:rPr>
          <w:rFonts w:ascii="Arial" w:eastAsia="Calibri" w:hAnsi="Arial" w:cs="Arial"/>
          <w:sz w:val="22"/>
        </w:rPr>
        <w:t xml:space="preserve">porque </w:t>
      </w:r>
      <w:r w:rsidR="00E2609E" w:rsidRPr="00954C16">
        <w:rPr>
          <w:rFonts w:ascii="Arial" w:eastAsia="Calibri" w:hAnsi="Arial" w:cs="Arial"/>
          <w:sz w:val="22"/>
        </w:rPr>
        <w:t>su régimen de contratación es el derecho privado</w:t>
      </w:r>
      <w:r w:rsidR="0083690C" w:rsidRPr="00954C16">
        <w:rPr>
          <w:rFonts w:ascii="Arial" w:eastAsia="Calibri" w:hAnsi="Arial" w:cs="Arial"/>
          <w:sz w:val="22"/>
        </w:rPr>
        <w:t>,</w:t>
      </w:r>
      <w:r w:rsidR="00847284" w:rsidRPr="00954C16">
        <w:rPr>
          <w:rFonts w:ascii="Arial" w:eastAsia="Calibri" w:hAnsi="Arial" w:cs="Arial"/>
          <w:sz w:val="22"/>
        </w:rPr>
        <w:t xml:space="preserve"> </w:t>
      </w:r>
      <w:r w:rsidR="00E2609E" w:rsidRPr="00954C16">
        <w:rPr>
          <w:rFonts w:ascii="Arial" w:eastAsia="Calibri" w:hAnsi="Arial" w:cs="Arial"/>
          <w:sz w:val="22"/>
        </w:rPr>
        <w:t xml:space="preserve">será posible aplicarle esta norma en virtud de la analogía. </w:t>
      </w:r>
      <w:r w:rsidR="00CF52A1" w:rsidRPr="00954C16">
        <w:rPr>
          <w:rFonts w:ascii="Arial" w:eastAsia="Calibri" w:hAnsi="Arial" w:cs="Arial"/>
          <w:sz w:val="22"/>
        </w:rPr>
        <w:t xml:space="preserve">Lo anterior, </w:t>
      </w:r>
      <w:r w:rsidR="00037EE2" w:rsidRPr="00954C16">
        <w:rPr>
          <w:rFonts w:ascii="Arial" w:eastAsia="Calibri" w:hAnsi="Arial" w:cs="Arial"/>
          <w:sz w:val="22"/>
        </w:rPr>
        <w:t xml:space="preserve">debido a que </w:t>
      </w:r>
      <w:r w:rsidR="00CA6880" w:rsidRPr="00954C16">
        <w:rPr>
          <w:rFonts w:ascii="Arial" w:eastAsia="Calibri" w:hAnsi="Arial" w:cs="Arial"/>
          <w:sz w:val="22"/>
        </w:rPr>
        <w:t xml:space="preserve">esta norma </w:t>
      </w:r>
      <w:r w:rsidR="00506189" w:rsidRPr="00954C16">
        <w:rPr>
          <w:rFonts w:ascii="Arial" w:eastAsia="Calibri" w:hAnsi="Arial" w:cs="Arial"/>
          <w:sz w:val="22"/>
        </w:rPr>
        <w:t>guarda similitud con el asunto tratado ya que regula la publicidad de los documentos del SECO</w:t>
      </w:r>
      <w:r w:rsidR="00DA53FF" w:rsidRPr="00954C16">
        <w:rPr>
          <w:rFonts w:ascii="Arial" w:eastAsia="Calibri" w:hAnsi="Arial" w:cs="Arial"/>
          <w:sz w:val="22"/>
        </w:rPr>
        <w:t>P</w:t>
      </w:r>
      <w:r w:rsidR="00506189" w:rsidRPr="00954C16">
        <w:rPr>
          <w:rFonts w:ascii="Arial" w:eastAsia="Calibri" w:hAnsi="Arial" w:cs="Arial"/>
          <w:sz w:val="22"/>
        </w:rPr>
        <w:t xml:space="preserve"> </w:t>
      </w:r>
      <w:r w:rsidR="005D717F" w:rsidRPr="00954C16">
        <w:rPr>
          <w:rFonts w:ascii="Arial" w:eastAsia="Calibri" w:hAnsi="Arial" w:cs="Arial"/>
          <w:sz w:val="22"/>
        </w:rPr>
        <w:t>y</w:t>
      </w:r>
      <w:r w:rsidR="00C463D3" w:rsidRPr="00954C16">
        <w:rPr>
          <w:rFonts w:ascii="Arial" w:eastAsia="Calibri" w:hAnsi="Arial" w:cs="Arial"/>
          <w:sz w:val="22"/>
        </w:rPr>
        <w:t>,</w:t>
      </w:r>
      <w:r w:rsidR="005D717F" w:rsidRPr="00954C16">
        <w:rPr>
          <w:rFonts w:ascii="Arial" w:eastAsia="Calibri" w:hAnsi="Arial" w:cs="Arial"/>
          <w:sz w:val="22"/>
        </w:rPr>
        <w:t xml:space="preserve"> por lo tanto, </w:t>
      </w:r>
      <w:r w:rsidR="008D1C15" w:rsidRPr="00954C16">
        <w:rPr>
          <w:rFonts w:ascii="Arial" w:eastAsia="Calibri" w:hAnsi="Arial" w:cs="Arial"/>
          <w:sz w:val="22"/>
        </w:rPr>
        <w:t xml:space="preserve">es viable </w:t>
      </w:r>
      <w:r w:rsidR="00A10173" w:rsidRPr="00954C16">
        <w:rPr>
          <w:rFonts w:ascii="Arial" w:eastAsia="Calibri" w:hAnsi="Arial" w:cs="Arial"/>
          <w:sz w:val="22"/>
        </w:rPr>
        <w:t>aplicarle la consecuencia jurídica de esta norma a las entidades de régimen especial</w:t>
      </w:r>
      <w:r w:rsidR="0048338B" w:rsidRPr="00954C16">
        <w:rPr>
          <w:rFonts w:ascii="Arial" w:eastAsia="Calibri" w:hAnsi="Arial" w:cs="Arial"/>
          <w:sz w:val="22"/>
        </w:rPr>
        <w:t xml:space="preserve">. </w:t>
      </w:r>
    </w:p>
    <w:p w14:paraId="43884405" w14:textId="152AA464" w:rsidR="00285133" w:rsidRPr="00954C16" w:rsidRDefault="006324C5" w:rsidP="00BC6D0C">
      <w:pPr>
        <w:pStyle w:val="Prrafodelista"/>
        <w:spacing w:before="120" w:after="120" w:line="276" w:lineRule="auto"/>
        <w:ind w:left="0"/>
        <w:contextualSpacing w:val="0"/>
        <w:rPr>
          <w:rFonts w:ascii="Arial" w:eastAsia="Calibri" w:hAnsi="Arial" w:cs="Arial"/>
          <w:sz w:val="22"/>
        </w:rPr>
      </w:pPr>
      <w:r w:rsidRPr="00954C16">
        <w:rPr>
          <w:rFonts w:ascii="Arial" w:eastAsia="Calibri" w:hAnsi="Arial" w:cs="Arial"/>
          <w:sz w:val="22"/>
        </w:rPr>
        <w:tab/>
      </w:r>
      <w:r w:rsidR="00296EB3" w:rsidRPr="00954C16">
        <w:rPr>
          <w:rFonts w:ascii="Arial" w:eastAsia="Calibri" w:hAnsi="Arial" w:cs="Arial"/>
          <w:sz w:val="22"/>
        </w:rPr>
        <w:t xml:space="preserve">A su vez, no es posible que las entidades </w:t>
      </w:r>
      <w:r w:rsidR="00C463D3" w:rsidRPr="00954C16">
        <w:rPr>
          <w:rFonts w:ascii="Arial" w:eastAsia="Calibri" w:hAnsi="Arial" w:cs="Arial"/>
          <w:sz w:val="22"/>
        </w:rPr>
        <w:t xml:space="preserve">definan el momento en el cual publicarán sus documentos contractuales en </w:t>
      </w:r>
      <w:r w:rsidR="00E109D3" w:rsidRPr="00954C16">
        <w:rPr>
          <w:rFonts w:ascii="Arial" w:eastAsia="Calibri" w:hAnsi="Arial" w:cs="Arial"/>
          <w:sz w:val="22"/>
        </w:rPr>
        <w:t>su</w:t>
      </w:r>
      <w:r w:rsidR="00C463D3" w:rsidRPr="00954C16">
        <w:rPr>
          <w:rFonts w:ascii="Arial" w:eastAsia="Calibri" w:hAnsi="Arial" w:cs="Arial"/>
          <w:sz w:val="22"/>
        </w:rPr>
        <w:t xml:space="preserve"> manual de contrat</w:t>
      </w:r>
      <w:r w:rsidR="005B46DB" w:rsidRPr="00954C16">
        <w:rPr>
          <w:rFonts w:ascii="Arial" w:eastAsia="Calibri" w:hAnsi="Arial" w:cs="Arial"/>
          <w:sz w:val="22"/>
        </w:rPr>
        <w:t>ac</w:t>
      </w:r>
      <w:r w:rsidR="00C463D3" w:rsidRPr="00954C16">
        <w:rPr>
          <w:rFonts w:ascii="Arial" w:eastAsia="Calibri" w:hAnsi="Arial" w:cs="Arial"/>
          <w:sz w:val="22"/>
        </w:rPr>
        <w:t>ión</w:t>
      </w:r>
      <w:r w:rsidR="00443E3E" w:rsidRPr="00954C16">
        <w:rPr>
          <w:rFonts w:ascii="Arial" w:eastAsia="Calibri" w:hAnsi="Arial" w:cs="Arial"/>
          <w:sz w:val="22"/>
        </w:rPr>
        <w:t>,</w:t>
      </w:r>
      <w:r w:rsidR="00FB4DB5" w:rsidRPr="00954C16">
        <w:rPr>
          <w:rFonts w:ascii="Arial" w:eastAsia="Calibri" w:hAnsi="Arial" w:cs="Arial"/>
          <w:sz w:val="22"/>
        </w:rPr>
        <w:t xml:space="preserve"> porque este es un asunto que </w:t>
      </w:r>
      <w:r w:rsidR="005B46DB" w:rsidRPr="00954C16">
        <w:rPr>
          <w:rFonts w:ascii="Arial" w:eastAsia="Calibri" w:hAnsi="Arial" w:cs="Arial"/>
          <w:sz w:val="22"/>
        </w:rPr>
        <w:t>debe definir el legislador</w:t>
      </w:r>
      <w:r w:rsidR="00AC133A" w:rsidRPr="00954C16">
        <w:rPr>
          <w:rFonts w:ascii="Arial" w:eastAsia="Calibri" w:hAnsi="Arial" w:cs="Arial"/>
          <w:sz w:val="22"/>
        </w:rPr>
        <w:t xml:space="preserve"> o el gobierno </w:t>
      </w:r>
      <w:r w:rsidR="00443E3E" w:rsidRPr="00954C16">
        <w:rPr>
          <w:rFonts w:ascii="Arial" w:eastAsia="Calibri" w:hAnsi="Arial" w:cs="Arial"/>
          <w:sz w:val="22"/>
        </w:rPr>
        <w:t xml:space="preserve">por medio de un Decreto reglamentario. </w:t>
      </w:r>
    </w:p>
    <w:p w14:paraId="76275BF6" w14:textId="3B761EA8" w:rsidR="00973171" w:rsidRPr="00954C16" w:rsidRDefault="00973171" w:rsidP="00BC6D0C">
      <w:pPr>
        <w:pStyle w:val="Prrafodelista"/>
        <w:spacing w:before="120" w:after="120" w:line="276" w:lineRule="auto"/>
        <w:ind w:left="0"/>
        <w:contextualSpacing w:val="0"/>
        <w:rPr>
          <w:rFonts w:ascii="Arial" w:eastAsia="Calibri" w:hAnsi="Arial" w:cs="Arial"/>
          <w:sz w:val="22"/>
        </w:rPr>
      </w:pPr>
      <w:r w:rsidRPr="00954C16">
        <w:rPr>
          <w:rFonts w:ascii="Arial" w:eastAsia="Calibri" w:hAnsi="Arial" w:cs="Arial"/>
          <w:sz w:val="22"/>
        </w:rPr>
        <w:tab/>
      </w:r>
      <w:r w:rsidR="005C56D7" w:rsidRPr="00954C16">
        <w:rPr>
          <w:rFonts w:ascii="Arial" w:eastAsia="Calibri" w:hAnsi="Arial" w:cs="Arial"/>
          <w:sz w:val="22"/>
        </w:rPr>
        <w:t>Conforme a lo anterior, las entidades de régimen especial debe</w:t>
      </w:r>
      <w:r w:rsidR="001A1857" w:rsidRPr="00954C16">
        <w:rPr>
          <w:rFonts w:ascii="Arial" w:eastAsia="Calibri" w:hAnsi="Arial" w:cs="Arial"/>
          <w:sz w:val="22"/>
        </w:rPr>
        <w:t>n</w:t>
      </w:r>
      <w:r w:rsidR="005C56D7" w:rsidRPr="00954C16">
        <w:rPr>
          <w:rFonts w:ascii="Arial" w:eastAsia="Calibri" w:hAnsi="Arial" w:cs="Arial"/>
          <w:sz w:val="22"/>
        </w:rPr>
        <w:t xml:space="preserve"> publicar sus </w:t>
      </w:r>
      <w:r w:rsidR="00576378" w:rsidRPr="00954C16">
        <w:rPr>
          <w:rFonts w:ascii="Arial" w:eastAsia="Calibri" w:hAnsi="Arial" w:cs="Arial"/>
          <w:sz w:val="22"/>
        </w:rPr>
        <w:t xml:space="preserve">documentos del </w:t>
      </w:r>
      <w:r w:rsidR="001A1857" w:rsidRPr="00954C16">
        <w:rPr>
          <w:rFonts w:ascii="Arial" w:eastAsia="Calibri" w:hAnsi="Arial" w:cs="Arial"/>
          <w:sz w:val="22"/>
        </w:rPr>
        <w:t>p</w:t>
      </w:r>
      <w:r w:rsidR="00576378" w:rsidRPr="00954C16">
        <w:rPr>
          <w:rFonts w:ascii="Arial" w:eastAsia="Calibri" w:hAnsi="Arial" w:cs="Arial"/>
          <w:sz w:val="22"/>
        </w:rPr>
        <w:t xml:space="preserve">roceso de </w:t>
      </w:r>
      <w:r w:rsidR="001A1857" w:rsidRPr="00954C16">
        <w:rPr>
          <w:rFonts w:ascii="Arial" w:eastAsia="Calibri" w:hAnsi="Arial" w:cs="Arial"/>
          <w:sz w:val="22"/>
        </w:rPr>
        <w:t>c</w:t>
      </w:r>
      <w:r w:rsidR="00576378" w:rsidRPr="00954C16">
        <w:rPr>
          <w:rFonts w:ascii="Arial" w:eastAsia="Calibri" w:hAnsi="Arial" w:cs="Arial"/>
          <w:sz w:val="22"/>
        </w:rPr>
        <w:t>ontratación dentro de los tres (3) días siguientes a</w:t>
      </w:r>
      <w:r w:rsidR="008A1A65" w:rsidRPr="00954C16">
        <w:rPr>
          <w:rFonts w:ascii="Arial" w:eastAsia="Calibri" w:hAnsi="Arial" w:cs="Arial"/>
          <w:sz w:val="22"/>
        </w:rPr>
        <w:t xml:space="preserve"> su expedición; porque </w:t>
      </w:r>
      <w:r w:rsidR="0093150A" w:rsidRPr="00954C16">
        <w:rPr>
          <w:rFonts w:ascii="Arial" w:eastAsia="Calibri" w:hAnsi="Arial" w:cs="Arial"/>
          <w:sz w:val="22"/>
        </w:rPr>
        <w:t>a pesar de que</w:t>
      </w:r>
      <w:r w:rsidR="0099745D" w:rsidRPr="00954C16">
        <w:rPr>
          <w:rFonts w:ascii="Arial" w:eastAsia="Calibri" w:hAnsi="Arial" w:cs="Arial"/>
          <w:sz w:val="22"/>
        </w:rPr>
        <w:t xml:space="preserve"> en principio</w:t>
      </w:r>
      <w:r w:rsidR="008A1A65" w:rsidRPr="00954C16">
        <w:rPr>
          <w:rFonts w:ascii="Arial" w:eastAsia="Calibri" w:hAnsi="Arial" w:cs="Arial"/>
          <w:sz w:val="22"/>
        </w:rPr>
        <w:t xml:space="preserve"> </w:t>
      </w:r>
      <w:r w:rsidR="005540EC" w:rsidRPr="00954C16">
        <w:rPr>
          <w:rFonts w:ascii="Arial" w:eastAsia="Calibri" w:hAnsi="Arial" w:cs="Arial"/>
          <w:sz w:val="22"/>
        </w:rPr>
        <w:t xml:space="preserve">el artículo </w:t>
      </w:r>
      <w:r w:rsidR="00615ECD" w:rsidRPr="00954C16">
        <w:rPr>
          <w:rFonts w:ascii="Arial" w:eastAsia="Calibri" w:hAnsi="Arial" w:cs="Arial"/>
          <w:sz w:val="22"/>
        </w:rPr>
        <w:t xml:space="preserve">2.2.1.1.1.7.1 del Decreto 1082 de 2015 </w:t>
      </w:r>
      <w:r w:rsidR="00572C29" w:rsidRPr="00954C16">
        <w:rPr>
          <w:rFonts w:ascii="Arial" w:eastAsia="Calibri" w:hAnsi="Arial" w:cs="Arial"/>
          <w:sz w:val="22"/>
        </w:rPr>
        <w:t>no les aplic</w:t>
      </w:r>
      <w:r w:rsidR="00615ECD" w:rsidRPr="00954C16">
        <w:rPr>
          <w:rFonts w:ascii="Arial" w:eastAsia="Calibri" w:hAnsi="Arial" w:cs="Arial"/>
          <w:sz w:val="22"/>
        </w:rPr>
        <w:t>a</w:t>
      </w:r>
      <w:r w:rsidR="00F361D8" w:rsidRPr="00954C16">
        <w:rPr>
          <w:rFonts w:ascii="Arial" w:eastAsia="Calibri" w:hAnsi="Arial" w:cs="Arial"/>
          <w:sz w:val="22"/>
        </w:rPr>
        <w:t>,</w:t>
      </w:r>
      <w:r w:rsidR="00572C29" w:rsidRPr="00954C16">
        <w:rPr>
          <w:rFonts w:ascii="Arial" w:eastAsia="Calibri" w:hAnsi="Arial" w:cs="Arial"/>
          <w:sz w:val="22"/>
        </w:rPr>
        <w:t xml:space="preserve"> sí es posible </w:t>
      </w:r>
      <w:r w:rsidR="0099745D" w:rsidRPr="00954C16">
        <w:rPr>
          <w:rFonts w:ascii="Arial" w:eastAsia="Calibri" w:hAnsi="Arial" w:cs="Arial"/>
          <w:sz w:val="22"/>
        </w:rPr>
        <w:t xml:space="preserve">y necesario </w:t>
      </w:r>
      <w:r w:rsidR="0071645F" w:rsidRPr="00954C16">
        <w:rPr>
          <w:rFonts w:ascii="Arial" w:eastAsia="Calibri" w:hAnsi="Arial" w:cs="Arial"/>
          <w:sz w:val="22"/>
        </w:rPr>
        <w:t>en virtud de la analogía</w:t>
      </w:r>
      <w:r w:rsidR="00F361D8" w:rsidRPr="00954C16">
        <w:rPr>
          <w:rFonts w:ascii="Arial" w:eastAsia="Calibri" w:hAnsi="Arial" w:cs="Arial"/>
          <w:sz w:val="22"/>
        </w:rPr>
        <w:t>.</w:t>
      </w:r>
      <w:r w:rsidR="009B0AF1" w:rsidRPr="00954C16">
        <w:rPr>
          <w:rFonts w:ascii="Arial" w:eastAsia="Calibri" w:hAnsi="Arial" w:cs="Arial"/>
          <w:sz w:val="22"/>
        </w:rPr>
        <w:t xml:space="preserve"> </w:t>
      </w:r>
    </w:p>
    <w:p w14:paraId="768372DE" w14:textId="7E1E646E" w:rsidR="00C463D3" w:rsidRPr="00954C16" w:rsidRDefault="009B0AF1" w:rsidP="009B0AF1">
      <w:pPr>
        <w:pStyle w:val="Prrafodelista"/>
        <w:spacing w:before="120" w:after="120" w:line="276" w:lineRule="auto"/>
        <w:ind w:left="0" w:firstLine="709"/>
        <w:contextualSpacing w:val="0"/>
        <w:rPr>
          <w:rFonts w:ascii="Arial" w:eastAsia="Calibri" w:hAnsi="Arial" w:cs="Arial"/>
          <w:sz w:val="22"/>
        </w:rPr>
      </w:pPr>
      <w:r w:rsidRPr="00954C16">
        <w:rPr>
          <w:rFonts w:ascii="Arial" w:eastAsia="Calibri" w:hAnsi="Arial" w:cs="Arial"/>
          <w:sz w:val="22"/>
        </w:rPr>
        <w:t>Ahora bien, los plazos en días establecidos por la ley que no señalan expresamente si se trata de días hábiles o días calendario deben entenderse como días hábiles</w:t>
      </w:r>
      <w:r w:rsidR="006A1F5A">
        <w:rPr>
          <w:rFonts w:ascii="Arial" w:eastAsia="Calibri" w:hAnsi="Arial" w:cs="Arial"/>
          <w:sz w:val="22"/>
        </w:rPr>
        <w:t>,</w:t>
      </w:r>
      <w:r w:rsidRPr="00954C16">
        <w:rPr>
          <w:rFonts w:ascii="Arial" w:eastAsia="Calibri" w:hAnsi="Arial" w:cs="Arial"/>
          <w:sz w:val="22"/>
        </w:rPr>
        <w:t xml:space="preserve"> conforme a lo previsto por el parágrafo 1 del artículo 829 del Código de Comercio en concordancia </w:t>
      </w:r>
      <w:r w:rsidRPr="00954C16">
        <w:rPr>
          <w:rFonts w:ascii="Arial" w:eastAsia="Calibri" w:hAnsi="Arial" w:cs="Arial"/>
          <w:sz w:val="22"/>
        </w:rPr>
        <w:lastRenderedPageBreak/>
        <w:t>con el artículo 62 del Código de Régimen Político y Municipal (Ley 4 de 1913)</w:t>
      </w:r>
      <w:r w:rsidR="006A1F5A">
        <w:rPr>
          <w:rFonts w:ascii="Arial" w:eastAsia="Calibri" w:hAnsi="Arial" w:cs="Arial"/>
          <w:sz w:val="22"/>
        </w:rPr>
        <w:t>.</w:t>
      </w:r>
      <w:r w:rsidRPr="00954C16">
        <w:rPr>
          <w:rFonts w:ascii="Arial" w:eastAsia="Calibri" w:hAnsi="Arial" w:cs="Arial"/>
          <w:sz w:val="22"/>
        </w:rPr>
        <w:t xml:space="preserve"> </w:t>
      </w:r>
      <w:r w:rsidR="006A1F5A">
        <w:rPr>
          <w:rFonts w:ascii="Arial" w:eastAsia="Calibri" w:hAnsi="Arial" w:cs="Arial"/>
          <w:sz w:val="22"/>
        </w:rPr>
        <w:t>A</w:t>
      </w:r>
      <w:r w:rsidRPr="00954C16">
        <w:rPr>
          <w:rFonts w:ascii="Arial" w:eastAsia="Calibri" w:hAnsi="Arial" w:cs="Arial"/>
          <w:sz w:val="22"/>
        </w:rPr>
        <w:t xml:space="preserve">sí las cosas, </w:t>
      </w:r>
      <w:r w:rsidR="00C918FE">
        <w:rPr>
          <w:rFonts w:ascii="Arial" w:eastAsia="Calibri" w:hAnsi="Arial" w:cs="Arial"/>
          <w:sz w:val="22"/>
        </w:rPr>
        <w:t>aunque el</w:t>
      </w:r>
      <w:r w:rsidRPr="00954C16">
        <w:rPr>
          <w:rFonts w:ascii="Arial" w:eastAsia="Calibri" w:hAnsi="Arial" w:cs="Arial"/>
          <w:sz w:val="22"/>
        </w:rPr>
        <w:t xml:space="preserve"> artículo 2.2.1.1.1.7.1. del Decreto 1082 de 2015, el cual se aplica por analogía</w:t>
      </w:r>
      <w:r w:rsidR="00C918FE">
        <w:rPr>
          <w:rFonts w:ascii="Arial" w:eastAsia="Calibri" w:hAnsi="Arial" w:cs="Arial"/>
          <w:sz w:val="22"/>
        </w:rPr>
        <w:t>,</w:t>
      </w:r>
      <w:r w:rsidRPr="00954C16">
        <w:rPr>
          <w:rFonts w:ascii="Arial" w:eastAsia="Calibri" w:hAnsi="Arial" w:cs="Arial"/>
          <w:sz w:val="22"/>
        </w:rPr>
        <w:t xml:space="preserve"> no establece expresamente </w:t>
      </w:r>
      <w:r w:rsidR="00954C16" w:rsidRPr="00954C16">
        <w:rPr>
          <w:rFonts w:ascii="Arial" w:eastAsia="Calibri" w:hAnsi="Arial" w:cs="Arial"/>
          <w:sz w:val="22"/>
        </w:rPr>
        <w:t xml:space="preserve">si </w:t>
      </w:r>
      <w:r w:rsidRPr="00954C16">
        <w:rPr>
          <w:rFonts w:ascii="Arial" w:eastAsia="Calibri" w:hAnsi="Arial" w:cs="Arial"/>
          <w:sz w:val="22"/>
        </w:rPr>
        <w:t xml:space="preserve">se trata de días hábiles o calendario, se entenderán como días hábiles. </w:t>
      </w:r>
      <w:r w:rsidR="001A51CA" w:rsidRPr="00954C16">
        <w:rPr>
          <w:rFonts w:ascii="Arial" w:eastAsia="Calibri" w:hAnsi="Arial" w:cs="Arial"/>
          <w:sz w:val="22"/>
        </w:rPr>
        <w:t xml:space="preserve"> </w:t>
      </w:r>
    </w:p>
    <w:p w14:paraId="37B74862" w14:textId="77777777" w:rsidR="003A4014" w:rsidRPr="00954C16" w:rsidRDefault="003A4014" w:rsidP="0078122E">
      <w:pPr>
        <w:rPr>
          <w:rFonts w:ascii="Arial" w:eastAsia="Calibri" w:hAnsi="Arial" w:cs="Arial"/>
          <w:sz w:val="20"/>
          <w:szCs w:val="20"/>
        </w:rPr>
      </w:pPr>
    </w:p>
    <w:p w14:paraId="7F08CCD9" w14:textId="65AE130B" w:rsidR="00D52EF9" w:rsidRPr="00954C16" w:rsidRDefault="00E962BA" w:rsidP="009B0AF1">
      <w:pPr>
        <w:pStyle w:val="Prrafodelista"/>
        <w:numPr>
          <w:ilvl w:val="0"/>
          <w:numId w:val="14"/>
        </w:numPr>
        <w:rPr>
          <w:rFonts w:ascii="Arial" w:eastAsia="Calibri" w:hAnsi="Arial" w:cs="Arial"/>
          <w:sz w:val="20"/>
          <w:szCs w:val="20"/>
        </w:rPr>
      </w:pPr>
      <w:r w:rsidRPr="00954C16">
        <w:rPr>
          <w:rFonts w:ascii="Arial" w:eastAsia="Calibri" w:hAnsi="Arial" w:cs="Arial"/>
          <w:b/>
          <w:sz w:val="22"/>
          <w:szCs w:val="20"/>
        </w:rPr>
        <w:t>Respuesta</w:t>
      </w:r>
    </w:p>
    <w:p w14:paraId="4B880BA1" w14:textId="7D7F161E" w:rsidR="00E962BA" w:rsidRPr="00954C16" w:rsidRDefault="00E962BA" w:rsidP="00E962BA">
      <w:pPr>
        <w:rPr>
          <w:rFonts w:ascii="Arial" w:eastAsia="Calibri" w:hAnsi="Arial" w:cs="Arial"/>
          <w:sz w:val="20"/>
          <w:szCs w:val="20"/>
        </w:rPr>
      </w:pPr>
    </w:p>
    <w:p w14:paraId="026B73EB" w14:textId="5A4B05D2" w:rsidR="009B0AF1" w:rsidRPr="00954C16" w:rsidRDefault="009B0AF1" w:rsidP="009B0AF1">
      <w:pPr>
        <w:spacing w:line="276" w:lineRule="auto"/>
        <w:ind w:left="709" w:right="709"/>
        <w:rPr>
          <w:rFonts w:ascii="Arial" w:eastAsia="Calibri" w:hAnsi="Arial" w:cs="Arial"/>
          <w:sz w:val="21"/>
          <w:szCs w:val="21"/>
        </w:rPr>
      </w:pPr>
      <w:r w:rsidRPr="00954C16">
        <w:rPr>
          <w:rFonts w:ascii="Arial" w:eastAsia="Calibri" w:hAnsi="Arial" w:cs="Arial"/>
          <w:sz w:val="21"/>
          <w:szCs w:val="21"/>
        </w:rPr>
        <w:t xml:space="preserve">¿Los tres días que tiene para reportar la actividad contractual de una Empresa Industrial y Comercial del Estado, son días hábiles o calendario? </w:t>
      </w:r>
    </w:p>
    <w:p w14:paraId="0B2B1DE3" w14:textId="65E1DE54" w:rsidR="009B0AF1" w:rsidRPr="00954C16" w:rsidRDefault="009B0AF1" w:rsidP="009B0AF1">
      <w:pPr>
        <w:spacing w:line="276" w:lineRule="auto"/>
        <w:ind w:right="709"/>
        <w:rPr>
          <w:rFonts w:ascii="Arial" w:eastAsia="Calibri" w:hAnsi="Arial" w:cs="Arial"/>
          <w:sz w:val="21"/>
          <w:szCs w:val="21"/>
        </w:rPr>
      </w:pPr>
    </w:p>
    <w:p w14:paraId="27008A70" w14:textId="1E0232FD" w:rsidR="009B0AF1" w:rsidRPr="00954C16" w:rsidRDefault="00954C16" w:rsidP="00954C16">
      <w:pPr>
        <w:pStyle w:val="Prrafodelista"/>
        <w:spacing w:before="120" w:after="120" w:line="276" w:lineRule="auto"/>
        <w:ind w:left="0"/>
        <w:contextualSpacing w:val="0"/>
        <w:rPr>
          <w:rFonts w:ascii="Arial" w:eastAsia="Calibri" w:hAnsi="Arial" w:cs="Arial"/>
          <w:sz w:val="22"/>
        </w:rPr>
      </w:pPr>
      <w:r w:rsidRPr="00954C16">
        <w:rPr>
          <w:rFonts w:ascii="Arial" w:eastAsia="Calibri" w:hAnsi="Arial" w:cs="Arial"/>
          <w:sz w:val="22"/>
        </w:rPr>
        <w:t xml:space="preserve">Cuando </w:t>
      </w:r>
      <w:r w:rsidR="009B0AF1" w:rsidRPr="00954C16">
        <w:rPr>
          <w:rFonts w:ascii="Arial" w:eastAsia="Calibri" w:hAnsi="Arial" w:cs="Arial"/>
          <w:sz w:val="22"/>
        </w:rPr>
        <w:t>los plazos en días establecidos por la ley no señalan expresamente si se trata de días hábiles o calendario deben entenderse como días hábiles</w:t>
      </w:r>
      <w:r w:rsidR="00E620C8">
        <w:rPr>
          <w:rFonts w:ascii="Arial" w:eastAsia="Calibri" w:hAnsi="Arial" w:cs="Arial"/>
          <w:sz w:val="22"/>
        </w:rPr>
        <w:t>,</w:t>
      </w:r>
      <w:r w:rsidR="009B0AF1" w:rsidRPr="00954C16">
        <w:rPr>
          <w:rFonts w:ascii="Arial" w:eastAsia="Calibri" w:hAnsi="Arial" w:cs="Arial"/>
          <w:sz w:val="22"/>
        </w:rPr>
        <w:t xml:space="preserve"> conforme a lo previsto por el parágrafo 1 del artículo 829 del Código de Comercio</w:t>
      </w:r>
      <w:r w:rsidR="00E620C8">
        <w:rPr>
          <w:rFonts w:ascii="Arial" w:eastAsia="Calibri" w:hAnsi="Arial" w:cs="Arial"/>
          <w:sz w:val="22"/>
        </w:rPr>
        <w:t>,</w:t>
      </w:r>
      <w:r w:rsidR="009B0AF1" w:rsidRPr="00954C16">
        <w:rPr>
          <w:rFonts w:ascii="Arial" w:eastAsia="Calibri" w:hAnsi="Arial" w:cs="Arial"/>
          <w:sz w:val="22"/>
        </w:rPr>
        <w:t xml:space="preserve"> en concordancia con el artículo 62 del Código de Régimen Político y Municipal (Ley 4 de 1913)</w:t>
      </w:r>
      <w:r w:rsidR="00E620C8">
        <w:rPr>
          <w:rFonts w:ascii="Arial" w:eastAsia="Calibri" w:hAnsi="Arial" w:cs="Arial"/>
          <w:sz w:val="22"/>
        </w:rPr>
        <w:t>.</w:t>
      </w:r>
      <w:r w:rsidR="009B0AF1" w:rsidRPr="00954C16">
        <w:rPr>
          <w:rFonts w:ascii="Arial" w:eastAsia="Calibri" w:hAnsi="Arial" w:cs="Arial"/>
          <w:sz w:val="22"/>
        </w:rPr>
        <w:t xml:space="preserve"> </w:t>
      </w:r>
      <w:r w:rsidR="00E620C8">
        <w:rPr>
          <w:rFonts w:ascii="Arial" w:eastAsia="Calibri" w:hAnsi="Arial" w:cs="Arial"/>
          <w:sz w:val="22"/>
        </w:rPr>
        <w:t>A</w:t>
      </w:r>
      <w:r w:rsidR="009B0AF1" w:rsidRPr="00954C16">
        <w:rPr>
          <w:rFonts w:ascii="Arial" w:eastAsia="Calibri" w:hAnsi="Arial" w:cs="Arial"/>
          <w:sz w:val="22"/>
        </w:rPr>
        <w:t xml:space="preserve">sí las cosas, </w:t>
      </w:r>
      <w:r w:rsidR="00E620C8">
        <w:rPr>
          <w:rFonts w:ascii="Arial" w:eastAsia="Calibri" w:hAnsi="Arial" w:cs="Arial"/>
          <w:sz w:val="22"/>
        </w:rPr>
        <w:t>aunque el</w:t>
      </w:r>
      <w:r w:rsidR="009B0AF1" w:rsidRPr="00954C16">
        <w:rPr>
          <w:rFonts w:ascii="Arial" w:eastAsia="Calibri" w:hAnsi="Arial" w:cs="Arial"/>
          <w:sz w:val="22"/>
        </w:rPr>
        <w:t xml:space="preserve"> artículo 2.2.1.1.1.7.1. del Decreto 1082 de 2015, el cual se aplica por analogía</w:t>
      </w:r>
      <w:r w:rsidRPr="00954C16">
        <w:rPr>
          <w:rFonts w:ascii="Arial" w:eastAsia="Calibri" w:hAnsi="Arial" w:cs="Arial"/>
          <w:sz w:val="22"/>
        </w:rPr>
        <w:t xml:space="preserve"> para las </w:t>
      </w:r>
      <w:r w:rsidR="00E620C8">
        <w:rPr>
          <w:rFonts w:ascii="Arial" w:eastAsia="Calibri" w:hAnsi="Arial" w:cs="Arial"/>
          <w:sz w:val="22"/>
        </w:rPr>
        <w:t>e</w:t>
      </w:r>
      <w:r w:rsidRPr="00954C16">
        <w:rPr>
          <w:rFonts w:ascii="Arial" w:eastAsia="Calibri" w:hAnsi="Arial" w:cs="Arial"/>
          <w:sz w:val="22"/>
        </w:rPr>
        <w:t xml:space="preserve">mpresas Industriales y </w:t>
      </w:r>
      <w:r w:rsidR="00E620C8">
        <w:rPr>
          <w:rFonts w:ascii="Arial" w:eastAsia="Calibri" w:hAnsi="Arial" w:cs="Arial"/>
          <w:sz w:val="22"/>
        </w:rPr>
        <w:t>c</w:t>
      </w:r>
      <w:r w:rsidRPr="00954C16">
        <w:rPr>
          <w:rFonts w:ascii="Arial" w:eastAsia="Calibri" w:hAnsi="Arial" w:cs="Arial"/>
          <w:sz w:val="22"/>
        </w:rPr>
        <w:t>omerciales del Estado, no</w:t>
      </w:r>
      <w:r w:rsidR="009B0AF1" w:rsidRPr="00954C16">
        <w:rPr>
          <w:rFonts w:ascii="Arial" w:eastAsia="Calibri" w:hAnsi="Arial" w:cs="Arial"/>
          <w:sz w:val="22"/>
        </w:rPr>
        <w:t xml:space="preserve"> establece expresamente s</w:t>
      </w:r>
      <w:r w:rsidRPr="00954C16">
        <w:rPr>
          <w:rFonts w:ascii="Arial" w:eastAsia="Calibri" w:hAnsi="Arial" w:cs="Arial"/>
          <w:sz w:val="22"/>
        </w:rPr>
        <w:t>i se trata</w:t>
      </w:r>
      <w:r w:rsidR="009B0AF1" w:rsidRPr="00954C16">
        <w:rPr>
          <w:rFonts w:ascii="Arial" w:eastAsia="Calibri" w:hAnsi="Arial" w:cs="Arial"/>
          <w:sz w:val="22"/>
        </w:rPr>
        <w:t xml:space="preserve"> de días hábiles o calendario, se entenderán como días hábiles.  </w:t>
      </w:r>
    </w:p>
    <w:p w14:paraId="0EFEAAF9" w14:textId="77777777" w:rsidR="00500CEC" w:rsidRPr="00954C16" w:rsidRDefault="00500CEC" w:rsidP="009B0AF1">
      <w:pPr>
        <w:spacing w:line="276" w:lineRule="auto"/>
        <w:ind w:left="709" w:right="709"/>
        <w:rPr>
          <w:rFonts w:ascii="Arial" w:eastAsia="Calibri" w:hAnsi="Arial" w:cs="Arial"/>
          <w:sz w:val="21"/>
          <w:szCs w:val="21"/>
        </w:rPr>
      </w:pPr>
    </w:p>
    <w:p w14:paraId="3E90FBFF" w14:textId="7EDEA659" w:rsidR="0078122E" w:rsidRPr="00954C16" w:rsidRDefault="0078122E" w:rsidP="00E232BC">
      <w:pPr>
        <w:spacing w:line="276" w:lineRule="auto"/>
        <w:ind w:firstLine="708"/>
        <w:rPr>
          <w:rFonts w:ascii="Arial" w:eastAsia="Calibri" w:hAnsi="Arial" w:cs="Arial"/>
          <w:sz w:val="22"/>
        </w:rPr>
      </w:pPr>
      <w:r w:rsidRPr="00954C16">
        <w:rPr>
          <w:rFonts w:ascii="Arial" w:eastAsia="Calibri" w:hAnsi="Arial" w:cs="Arial"/>
          <w:sz w:val="22"/>
        </w:rPr>
        <w:t>Este concepto tiene el alcance previsto en el artículo 28 del Código de Procedimiento Administrativo y de lo Contencioso Administrativo.</w:t>
      </w:r>
    </w:p>
    <w:p w14:paraId="5B2041A6" w14:textId="77777777" w:rsidR="0078122E" w:rsidRPr="00954C16" w:rsidRDefault="0078122E" w:rsidP="00A76FD7">
      <w:pPr>
        <w:spacing w:line="276" w:lineRule="auto"/>
        <w:rPr>
          <w:rFonts w:ascii="Arial" w:eastAsia="Calibri" w:hAnsi="Arial" w:cs="Arial"/>
          <w:sz w:val="22"/>
        </w:rPr>
      </w:pPr>
    </w:p>
    <w:p w14:paraId="7F8364B4" w14:textId="77777777" w:rsidR="0078122E" w:rsidRPr="00954C16" w:rsidRDefault="0078122E" w:rsidP="0078122E">
      <w:pPr>
        <w:rPr>
          <w:rFonts w:ascii="Arial" w:eastAsia="Calibri" w:hAnsi="Arial" w:cs="Arial"/>
          <w:sz w:val="22"/>
        </w:rPr>
      </w:pPr>
      <w:r w:rsidRPr="00954C16">
        <w:rPr>
          <w:rFonts w:ascii="Arial" w:eastAsia="Calibri" w:hAnsi="Arial" w:cs="Arial"/>
          <w:noProof/>
          <w:sz w:val="22"/>
          <w:lang w:val="es-CO" w:eastAsia="es-CO"/>
        </w:rPr>
        <mc:AlternateContent>
          <mc:Choice Requires="wps">
            <w:drawing>
              <wp:anchor distT="0" distB="0" distL="114300" distR="114300" simplePos="0" relativeHeight="251658240" behindDoc="0" locked="0" layoutInCell="1" allowOverlap="1" wp14:anchorId="64E0D8DE" wp14:editId="20ECA8D9">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Conector recto 5"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3B7301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54496BF8" w14:textId="7D9B71B5" w:rsidR="0078122E" w:rsidRPr="00954C16" w:rsidRDefault="0078122E" w:rsidP="0078122E">
      <w:pPr>
        <w:rPr>
          <w:rFonts w:ascii="Arial" w:eastAsia="Times New Roman" w:hAnsi="Arial" w:cs="Arial"/>
          <w:sz w:val="22"/>
          <w:lang w:eastAsia="es-CO"/>
        </w:rPr>
      </w:pPr>
      <w:r w:rsidRPr="00954C16">
        <w:rPr>
          <w:rFonts w:ascii="Arial" w:eastAsia="Times New Roman" w:hAnsi="Arial" w:cs="Arial"/>
          <w:sz w:val="22"/>
          <w:lang w:eastAsia="es-CO"/>
        </w:rPr>
        <w:t>Atentamente,</w:t>
      </w:r>
    </w:p>
    <w:p w14:paraId="28469E64" w14:textId="1EBC31A2" w:rsidR="0078122E" w:rsidRPr="00954C16" w:rsidRDefault="004D1300" w:rsidP="0024442B">
      <w:pPr>
        <w:jc w:val="center"/>
        <w:rPr>
          <w:rFonts w:ascii="Arial" w:eastAsia="Times New Roman" w:hAnsi="Arial" w:cs="Arial"/>
          <w:sz w:val="22"/>
          <w:lang w:eastAsia="es-CO"/>
        </w:rPr>
      </w:pPr>
      <w:r>
        <w:rPr>
          <w:noProof/>
        </w:rPr>
        <w:drawing>
          <wp:inline distT="0" distB="0" distL="0" distR="0" wp14:anchorId="34C8CB73" wp14:editId="1631CC14">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DE3043C" w14:textId="77777777" w:rsidR="0024442B" w:rsidRPr="00954C16" w:rsidRDefault="0024442B" w:rsidP="0078122E">
      <w:pPr>
        <w:rPr>
          <w:rFonts w:ascii="Arial" w:eastAsia="Times New Roman" w:hAnsi="Arial" w:cs="Arial"/>
          <w:sz w:val="18"/>
          <w:szCs w:val="18"/>
          <w:lang w:eastAsia="es-CO"/>
        </w:rPr>
      </w:pPr>
    </w:p>
    <w:bookmarkEnd w:id="0"/>
    <w:p w14:paraId="35D40F20" w14:textId="77777777" w:rsidR="00954C16" w:rsidRPr="00954C16" w:rsidRDefault="00954C16" w:rsidP="00954C16">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54C16" w:rsidRPr="00954C16" w14:paraId="319143B3" w14:textId="77777777" w:rsidTr="00C76577">
        <w:trPr>
          <w:trHeight w:val="315"/>
        </w:trPr>
        <w:tc>
          <w:tcPr>
            <w:tcW w:w="488" w:type="dxa"/>
            <w:vAlign w:val="center"/>
          </w:tcPr>
          <w:p w14:paraId="23551AF0" w14:textId="77777777" w:rsidR="00954C16" w:rsidRPr="00954C16" w:rsidRDefault="00954C16" w:rsidP="00C76577">
            <w:pPr>
              <w:rPr>
                <w:rFonts w:ascii="Arial" w:eastAsia="Times New Roman" w:hAnsi="Arial" w:cs="Arial"/>
                <w:sz w:val="16"/>
                <w:szCs w:val="16"/>
                <w:lang w:eastAsia="es-ES"/>
              </w:rPr>
            </w:pPr>
            <w:r w:rsidRPr="00954C16">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12F73AA3" w14:textId="77777777" w:rsidR="00954C16" w:rsidRPr="00954C16" w:rsidRDefault="00954C16" w:rsidP="00C76577">
            <w:pPr>
              <w:rPr>
                <w:rFonts w:ascii="Arial" w:eastAsia="Times New Roman" w:hAnsi="Arial" w:cs="Arial"/>
                <w:sz w:val="16"/>
                <w:szCs w:val="16"/>
                <w:lang w:eastAsia="es-ES"/>
              </w:rPr>
            </w:pPr>
            <w:r w:rsidRPr="00954C16">
              <w:rPr>
                <w:rFonts w:ascii="Arial" w:eastAsia="Times New Roman" w:hAnsi="Arial" w:cs="Arial"/>
                <w:sz w:val="16"/>
                <w:szCs w:val="16"/>
                <w:lang w:eastAsia="es-ES"/>
              </w:rPr>
              <w:t>Omar Germán Mejía Olmos</w:t>
            </w:r>
          </w:p>
        </w:tc>
      </w:tr>
      <w:tr w:rsidR="00954C16" w:rsidRPr="00954C16" w14:paraId="2A82E0F8" w14:textId="77777777" w:rsidTr="00C76577">
        <w:trPr>
          <w:trHeight w:val="330"/>
        </w:trPr>
        <w:tc>
          <w:tcPr>
            <w:tcW w:w="488" w:type="dxa"/>
            <w:vAlign w:val="center"/>
          </w:tcPr>
          <w:p w14:paraId="2CDF049E" w14:textId="77777777" w:rsidR="00954C16" w:rsidRPr="00954C16" w:rsidRDefault="00954C16" w:rsidP="00C76577">
            <w:pPr>
              <w:rPr>
                <w:rFonts w:ascii="Arial" w:eastAsia="Times New Roman" w:hAnsi="Arial" w:cs="Arial"/>
                <w:sz w:val="16"/>
                <w:szCs w:val="16"/>
                <w:lang w:eastAsia="es-ES"/>
              </w:rPr>
            </w:pPr>
            <w:r w:rsidRPr="00954C16">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2C0EC08" w14:textId="532C2A9A" w:rsidR="00954C16" w:rsidRPr="00954C16" w:rsidRDefault="00253574" w:rsidP="00C76577">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3E2B9F16" w14:textId="606B297D" w:rsidR="00954C16" w:rsidRPr="00954C16" w:rsidRDefault="009C79F4" w:rsidP="00C76577">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w:t>
            </w:r>
            <w:r w:rsidR="00954C16" w:rsidRPr="00954C16">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00954C16" w:rsidRPr="00954C16">
              <w:rPr>
                <w:rFonts w:ascii="Arial" w:eastAsia="Times New Roman" w:hAnsi="Arial" w:cs="Arial"/>
                <w:sz w:val="16"/>
                <w:szCs w:val="16"/>
                <w:lang w:eastAsia="es-ES"/>
              </w:rPr>
              <w:t xml:space="preserve"> de Gestión Contractual</w:t>
            </w:r>
          </w:p>
        </w:tc>
      </w:tr>
      <w:tr w:rsidR="00954C16" w:rsidRPr="00954C16" w14:paraId="3A90CFF8" w14:textId="77777777" w:rsidTr="00C76577">
        <w:trPr>
          <w:trHeight w:val="300"/>
        </w:trPr>
        <w:tc>
          <w:tcPr>
            <w:tcW w:w="488" w:type="dxa"/>
            <w:vAlign w:val="center"/>
          </w:tcPr>
          <w:p w14:paraId="79FD49A1" w14:textId="77777777" w:rsidR="00954C16" w:rsidRPr="00954C16" w:rsidRDefault="00954C16" w:rsidP="00C76577">
            <w:pPr>
              <w:rPr>
                <w:rFonts w:ascii="Arial" w:eastAsia="Times New Roman" w:hAnsi="Arial" w:cs="Arial"/>
                <w:sz w:val="16"/>
                <w:szCs w:val="16"/>
                <w:lang w:eastAsia="es-ES"/>
              </w:rPr>
            </w:pPr>
            <w:r w:rsidRPr="00954C16">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4FEA6E5" w14:textId="77777777" w:rsidR="00954C16" w:rsidRPr="00954C16" w:rsidRDefault="00954C16" w:rsidP="00C76577">
            <w:pPr>
              <w:rPr>
                <w:rFonts w:ascii="Arial" w:eastAsia="Times New Roman" w:hAnsi="Arial" w:cs="Arial"/>
                <w:sz w:val="16"/>
                <w:szCs w:val="16"/>
                <w:lang w:eastAsia="es-ES"/>
              </w:rPr>
            </w:pPr>
            <w:r w:rsidRPr="00954C16">
              <w:rPr>
                <w:rFonts w:ascii="Arial" w:eastAsia="Times New Roman" w:hAnsi="Arial" w:cs="Arial"/>
                <w:sz w:val="16"/>
                <w:szCs w:val="16"/>
                <w:lang w:eastAsia="es-ES"/>
              </w:rPr>
              <w:t>Fabián Gonzalo Marín Cortés</w:t>
            </w:r>
          </w:p>
          <w:p w14:paraId="385546FB" w14:textId="77777777" w:rsidR="00954C16" w:rsidRPr="00954C16" w:rsidRDefault="00954C16" w:rsidP="00C76577">
            <w:pPr>
              <w:rPr>
                <w:rFonts w:ascii="Arial" w:eastAsia="Times New Roman" w:hAnsi="Arial" w:cs="Arial"/>
                <w:sz w:val="16"/>
                <w:szCs w:val="16"/>
                <w:lang w:eastAsia="es-ES"/>
              </w:rPr>
            </w:pPr>
            <w:r w:rsidRPr="00954C16">
              <w:rPr>
                <w:rFonts w:ascii="Arial" w:eastAsia="Times New Roman" w:hAnsi="Arial" w:cs="Arial"/>
                <w:sz w:val="16"/>
                <w:szCs w:val="16"/>
                <w:lang w:eastAsia="es-ES"/>
              </w:rPr>
              <w:t>Subdirector de Gestión Contractual</w:t>
            </w:r>
          </w:p>
        </w:tc>
      </w:tr>
      <w:tr w:rsidR="00954C16" w:rsidRPr="00954C16" w14:paraId="1B1C5BBE" w14:textId="77777777" w:rsidTr="00C76577">
        <w:trPr>
          <w:trHeight w:val="300"/>
        </w:trPr>
        <w:tc>
          <w:tcPr>
            <w:tcW w:w="488" w:type="dxa"/>
            <w:vAlign w:val="center"/>
          </w:tcPr>
          <w:p w14:paraId="60872D31" w14:textId="77777777" w:rsidR="00954C16" w:rsidRPr="00954C16" w:rsidRDefault="00954C16" w:rsidP="00C76577">
            <w:pPr>
              <w:rPr>
                <w:rFonts w:ascii="Arial" w:eastAsia="Times New Roman" w:hAnsi="Arial" w:cs="Arial"/>
                <w:sz w:val="16"/>
                <w:szCs w:val="16"/>
                <w:lang w:eastAsia="es-ES"/>
              </w:rPr>
            </w:pPr>
            <w:r w:rsidRPr="00954C16">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CDD914F" w14:textId="77777777" w:rsidR="00954C16" w:rsidRPr="00954C16" w:rsidRDefault="00954C16" w:rsidP="00C76577">
            <w:pPr>
              <w:rPr>
                <w:rFonts w:ascii="Arial" w:eastAsia="Times New Roman" w:hAnsi="Arial" w:cs="Arial"/>
                <w:sz w:val="16"/>
                <w:szCs w:val="16"/>
                <w:lang w:eastAsia="es-ES"/>
              </w:rPr>
            </w:pPr>
            <w:r w:rsidRPr="00954C16">
              <w:rPr>
                <w:rFonts w:ascii="Arial" w:eastAsia="Times New Roman" w:hAnsi="Arial" w:cs="Arial"/>
                <w:sz w:val="16"/>
                <w:szCs w:val="16"/>
                <w:lang w:eastAsia="es-ES"/>
              </w:rPr>
              <w:t>0</w:t>
            </w:r>
          </w:p>
        </w:tc>
      </w:tr>
    </w:tbl>
    <w:p w14:paraId="0B8B90E1" w14:textId="22E30894" w:rsidR="00122B23" w:rsidRPr="00954C16" w:rsidRDefault="00122B23" w:rsidP="0078122E">
      <w:pPr>
        <w:rPr>
          <w:rFonts w:ascii="Arial" w:hAnsi="Arial" w:cs="Arial"/>
          <w:sz w:val="22"/>
        </w:rPr>
      </w:pPr>
    </w:p>
    <w:sectPr w:rsidR="00122B23" w:rsidRPr="00954C16" w:rsidSect="00954C16">
      <w:headerReference w:type="default" r:id="rId12"/>
      <w:footerReference w:type="default" r:id="rId13"/>
      <w:pgSz w:w="12240" w:h="15840"/>
      <w:pgMar w:top="1985" w:right="1701" w:bottom="1418" w:left="1701" w:header="714"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4A77A" w14:textId="77777777" w:rsidR="00BD7627" w:rsidRDefault="00BD7627">
      <w:r>
        <w:separator/>
      </w:r>
    </w:p>
  </w:endnote>
  <w:endnote w:type="continuationSeparator" w:id="0">
    <w:p w14:paraId="357CCCDA" w14:textId="77777777" w:rsidR="00BD7627" w:rsidRDefault="00BD7627">
      <w:r>
        <w:continuationSeparator/>
      </w:r>
    </w:p>
  </w:endnote>
  <w:endnote w:type="continuationNotice" w:id="1">
    <w:p w14:paraId="1063D9AA" w14:textId="77777777" w:rsidR="00BD7627" w:rsidRDefault="00BD7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736725"/>
      <w:docPartObj>
        <w:docPartGallery w:val="Page Numbers (Bottom of Page)"/>
        <w:docPartUnique/>
      </w:docPartObj>
    </w:sdtPr>
    <w:sdtEndPr/>
    <w:sdtContent>
      <w:p w14:paraId="48FC6A02" w14:textId="687B3983" w:rsidR="009047C5" w:rsidRPr="009047C5" w:rsidRDefault="4D98C3DB" w:rsidP="008E1C15">
        <w:pPr>
          <w:pStyle w:val="Piedepgina"/>
          <w:jc w:val="right"/>
        </w:pPr>
        <w:r>
          <w:rPr>
            <w:noProof/>
          </w:rPr>
          <w:drawing>
            <wp:inline distT="0" distB="0" distL="0" distR="0" wp14:anchorId="5A5A5272" wp14:editId="33348581">
              <wp:extent cx="5612130" cy="787400"/>
              <wp:effectExtent l="0" t="0" r="1270" b="0"/>
              <wp:docPr id="13161004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
                        <a:extLst>
                          <a:ext uri="{28A0092B-C50C-407E-A947-70E740481C1C}">
                            <a14:useLocalDpi xmlns:a14="http://schemas.microsoft.com/office/drawing/2010/main" val="0"/>
                          </a:ext>
                        </a:extLst>
                      </a:blip>
                      <a:stretch>
                        <a:fillRect/>
                      </a:stretch>
                    </pic:blipFill>
                    <pic:spPr>
                      <a:xfrm>
                        <a:off x="0" y="0"/>
                        <a:ext cx="5612130" cy="787400"/>
                      </a:xfrm>
                      <a:prstGeom prst="rect">
                        <a:avLst/>
                      </a:prstGeom>
                    </pic:spPr>
                  </pic:pic>
                </a:graphicData>
              </a:graphic>
            </wp:inline>
          </w:drawing>
        </w:r>
      </w:p>
    </w:sdtContent>
  </w:sdt>
  <w:p w14:paraId="48FC6A03" w14:textId="77777777" w:rsidR="009047C5" w:rsidRDefault="009047C5">
    <w:pPr>
      <w:pStyle w:val="Piedepgina"/>
    </w:pPr>
  </w:p>
  <w:p w14:paraId="48FC6A04" w14:textId="77777777" w:rsidR="009047C5" w:rsidRDefault="009047C5" w:rsidP="009047C5">
    <w:pPr>
      <w:tabs>
        <w:tab w:val="left" w:pos="7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B365A" w14:textId="77777777" w:rsidR="00BD7627" w:rsidRDefault="00BD7627">
      <w:r>
        <w:separator/>
      </w:r>
    </w:p>
  </w:footnote>
  <w:footnote w:type="continuationSeparator" w:id="0">
    <w:p w14:paraId="724B59D2" w14:textId="77777777" w:rsidR="00BD7627" w:rsidRDefault="00BD7627">
      <w:r>
        <w:continuationSeparator/>
      </w:r>
    </w:p>
  </w:footnote>
  <w:footnote w:type="continuationNotice" w:id="1">
    <w:p w14:paraId="5637CC13" w14:textId="77777777" w:rsidR="00BD7627" w:rsidRDefault="00BD7627"/>
  </w:footnote>
  <w:footnote w:id="2">
    <w:p w14:paraId="5E3DF5BB" w14:textId="37EF3374" w:rsidR="0031430E" w:rsidRPr="001B0D3D" w:rsidRDefault="00193F79" w:rsidP="00D0159B">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Corte Constitucional</w:t>
      </w:r>
      <w:r w:rsidR="009763C4" w:rsidRPr="001B0D3D">
        <w:rPr>
          <w:rFonts w:ascii="Arial" w:hAnsi="Arial" w:cs="Arial"/>
          <w:color w:val="000000" w:themeColor="text1"/>
          <w:sz w:val="19"/>
          <w:szCs w:val="19"/>
        </w:rPr>
        <w:t xml:space="preserve">. Sentencia </w:t>
      </w:r>
      <w:r w:rsidRPr="001B0D3D">
        <w:rPr>
          <w:rFonts w:ascii="Arial" w:hAnsi="Arial" w:cs="Arial"/>
          <w:color w:val="000000" w:themeColor="text1"/>
          <w:sz w:val="19"/>
          <w:szCs w:val="19"/>
        </w:rPr>
        <w:t>C- 341 del 4 de junio de 2014</w:t>
      </w:r>
      <w:r w:rsidR="009763C4"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M</w:t>
      </w:r>
      <w:r w:rsidR="009763C4"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P</w:t>
      </w:r>
      <w:r w:rsidR="009763C4"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Mauricio González Cuervo</w:t>
      </w:r>
    </w:p>
    <w:p w14:paraId="6E95B9B0" w14:textId="77777777" w:rsidR="003C50E8" w:rsidRPr="001B0D3D" w:rsidRDefault="003C50E8" w:rsidP="00D0159B">
      <w:pPr>
        <w:pStyle w:val="Textonotapie"/>
        <w:ind w:firstLine="708"/>
        <w:rPr>
          <w:rFonts w:ascii="Arial" w:hAnsi="Arial" w:cs="Arial"/>
          <w:color w:val="000000" w:themeColor="text1"/>
          <w:sz w:val="19"/>
          <w:szCs w:val="19"/>
        </w:rPr>
      </w:pPr>
    </w:p>
  </w:footnote>
  <w:footnote w:id="3">
    <w:p w14:paraId="2D2CE3AD" w14:textId="35900825" w:rsidR="00193F79" w:rsidRPr="001B0D3D" w:rsidRDefault="00193F79">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Ley 1150 de 2007</w:t>
      </w:r>
      <w:r w:rsidR="003C50E8" w:rsidRPr="001B0D3D">
        <w:rPr>
          <w:rFonts w:ascii="Arial" w:hAnsi="Arial" w:cs="Arial"/>
          <w:color w:val="000000" w:themeColor="text1"/>
          <w:sz w:val="19"/>
          <w:szCs w:val="19"/>
        </w:rPr>
        <w:t xml:space="preserve">: </w:t>
      </w:r>
      <w:r w:rsidR="00E96AD1" w:rsidRPr="001B0D3D">
        <w:rPr>
          <w:rFonts w:ascii="Arial" w:hAnsi="Arial" w:cs="Arial"/>
          <w:color w:val="000000" w:themeColor="text1"/>
          <w:sz w:val="19"/>
          <w:szCs w:val="19"/>
        </w:rPr>
        <w:t>«</w:t>
      </w:r>
      <w:r w:rsidRPr="001B0D3D">
        <w:rPr>
          <w:rFonts w:ascii="Arial" w:hAnsi="Arial" w:cs="Arial"/>
          <w:color w:val="000000" w:themeColor="text1"/>
          <w:sz w:val="19"/>
          <w:szCs w:val="19"/>
        </w:rPr>
        <w:t>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2E67591" w14:textId="26C18C9D" w:rsidR="00193F79" w:rsidRPr="001B0D3D" w:rsidRDefault="00E96AD1">
      <w:pPr>
        <w:pStyle w:val="Textonotapie"/>
        <w:ind w:firstLine="708"/>
        <w:rPr>
          <w:rFonts w:ascii="Arial" w:hAnsi="Arial" w:cs="Arial"/>
          <w:color w:val="000000" w:themeColor="text1"/>
          <w:sz w:val="19"/>
          <w:szCs w:val="19"/>
        </w:rPr>
      </w:pPr>
      <w:r w:rsidRPr="001B0D3D">
        <w:rPr>
          <w:rFonts w:ascii="Arial" w:hAnsi="Arial" w:cs="Arial"/>
          <w:color w:val="000000" w:themeColor="text1"/>
          <w:sz w:val="19"/>
          <w:szCs w:val="19"/>
        </w:rPr>
        <w:t>»</w:t>
      </w:r>
      <w:r w:rsidR="00193F79" w:rsidRPr="001B0D3D">
        <w:rPr>
          <w:rFonts w:ascii="Arial" w:hAnsi="Arial" w:cs="Arial"/>
          <w:color w:val="000000" w:themeColor="text1"/>
          <w:sz w:val="19"/>
          <w:szCs w:val="19"/>
        </w:rPr>
        <w:t>Lo anterior, sin perjuicio de las publicaciones previstas en el numeral 3 del artículo 30 de la Ley 80 de 1993.</w:t>
      </w:r>
    </w:p>
    <w:p w14:paraId="4E390DCC" w14:textId="08223A86" w:rsidR="00193F79" w:rsidRPr="001B0D3D" w:rsidRDefault="00E96AD1" w:rsidP="0016701E">
      <w:pPr>
        <w:pStyle w:val="Textonotapie"/>
        <w:ind w:firstLine="708"/>
        <w:rPr>
          <w:rFonts w:ascii="Arial" w:hAnsi="Arial" w:cs="Arial"/>
          <w:color w:val="000000" w:themeColor="text1"/>
          <w:sz w:val="19"/>
          <w:szCs w:val="19"/>
        </w:rPr>
      </w:pPr>
      <w:r w:rsidRPr="001B0D3D">
        <w:rPr>
          <w:rFonts w:ascii="Arial" w:hAnsi="Arial" w:cs="Arial"/>
          <w:color w:val="000000" w:themeColor="text1"/>
          <w:sz w:val="19"/>
          <w:szCs w:val="19"/>
        </w:rPr>
        <w:t>»</w:t>
      </w:r>
      <w:r w:rsidR="00193F79" w:rsidRPr="001B0D3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28B04AC7" w14:textId="1361C21E" w:rsidR="00193F79" w:rsidRPr="001B0D3D" w:rsidRDefault="00471C7B" w:rsidP="0016701E">
      <w:pPr>
        <w:pStyle w:val="Textonotapie"/>
        <w:ind w:firstLine="708"/>
        <w:rPr>
          <w:rFonts w:ascii="Arial" w:hAnsi="Arial" w:cs="Arial"/>
          <w:color w:val="000000" w:themeColor="text1"/>
          <w:sz w:val="19"/>
          <w:szCs w:val="19"/>
        </w:rPr>
      </w:pPr>
      <w:r w:rsidRPr="001B0D3D">
        <w:rPr>
          <w:rFonts w:ascii="Arial" w:hAnsi="Arial" w:cs="Arial"/>
          <w:color w:val="000000" w:themeColor="text1"/>
          <w:sz w:val="19"/>
          <w:szCs w:val="19"/>
        </w:rPr>
        <w:t>[</w:t>
      </w:r>
      <w:r w:rsidR="00193F79" w:rsidRPr="001B0D3D">
        <w:rPr>
          <w:rFonts w:ascii="Arial" w:hAnsi="Arial" w:cs="Arial"/>
          <w:color w:val="000000" w:themeColor="text1"/>
          <w:sz w:val="19"/>
          <w:szCs w:val="19"/>
        </w:rPr>
        <w:t>…</w:t>
      </w:r>
      <w:r w:rsidRPr="001B0D3D">
        <w:rPr>
          <w:rFonts w:ascii="Arial" w:hAnsi="Arial" w:cs="Arial"/>
          <w:color w:val="000000" w:themeColor="text1"/>
          <w:sz w:val="19"/>
          <w:szCs w:val="19"/>
        </w:rPr>
        <w:t>]</w:t>
      </w:r>
    </w:p>
    <w:p w14:paraId="0E318272" w14:textId="74BC9215" w:rsidR="00193F79" w:rsidRPr="001B0D3D" w:rsidRDefault="00987173" w:rsidP="0016701E">
      <w:pPr>
        <w:pStyle w:val="Textonotapie"/>
        <w:ind w:firstLine="708"/>
        <w:rPr>
          <w:rFonts w:ascii="Arial" w:hAnsi="Arial" w:cs="Arial"/>
          <w:color w:val="000000" w:themeColor="text1"/>
          <w:sz w:val="19"/>
          <w:szCs w:val="19"/>
        </w:rPr>
      </w:pPr>
      <w:r w:rsidRPr="001B0D3D">
        <w:rPr>
          <w:rFonts w:ascii="Arial" w:hAnsi="Arial" w:cs="Arial"/>
          <w:color w:val="000000" w:themeColor="text1"/>
          <w:sz w:val="19"/>
          <w:szCs w:val="19"/>
        </w:rPr>
        <w:t>»</w:t>
      </w:r>
      <w:r w:rsidR="00193F79" w:rsidRPr="001B0D3D">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w:t>
      </w:r>
      <w:r w:rsidRPr="001B0D3D">
        <w:rPr>
          <w:rFonts w:ascii="Arial" w:hAnsi="Arial" w:cs="Arial"/>
          <w:color w:val="000000" w:themeColor="text1"/>
          <w:sz w:val="19"/>
          <w:szCs w:val="19"/>
        </w:rPr>
        <w:t>»</w:t>
      </w:r>
      <w:r w:rsidR="00193F79" w:rsidRPr="001B0D3D">
        <w:rPr>
          <w:rFonts w:ascii="Arial" w:hAnsi="Arial" w:cs="Arial"/>
          <w:color w:val="000000" w:themeColor="text1"/>
          <w:sz w:val="19"/>
          <w:szCs w:val="19"/>
        </w:rPr>
        <w:t xml:space="preserve">. </w:t>
      </w:r>
    </w:p>
    <w:p w14:paraId="1C661433" w14:textId="77777777" w:rsidR="00193F79" w:rsidRPr="001B0D3D" w:rsidRDefault="00193F79" w:rsidP="00193F79">
      <w:pPr>
        <w:pStyle w:val="Textonotapie"/>
        <w:ind w:firstLine="708"/>
        <w:rPr>
          <w:rFonts w:ascii="Arial" w:hAnsi="Arial" w:cs="Arial"/>
          <w:color w:val="000000" w:themeColor="text1"/>
          <w:sz w:val="19"/>
          <w:szCs w:val="19"/>
          <w:lang w:val="es-CO"/>
        </w:rPr>
      </w:pPr>
    </w:p>
  </w:footnote>
  <w:footnote w:id="4">
    <w:p w14:paraId="1321B8A1" w14:textId="2860BCEF" w:rsidR="00193F79" w:rsidRPr="001B0D3D" w:rsidRDefault="00193F79" w:rsidP="00193F79">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Ley 1712 de 2014</w:t>
      </w:r>
      <w:r w:rsidR="0031430E"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w:t>
      </w:r>
      <w:r w:rsidR="00987173" w:rsidRPr="001B0D3D">
        <w:rPr>
          <w:rFonts w:ascii="Arial" w:hAnsi="Arial" w:cs="Arial"/>
          <w:color w:val="000000" w:themeColor="text1"/>
          <w:sz w:val="19"/>
          <w:szCs w:val="19"/>
        </w:rPr>
        <w:t>«</w:t>
      </w:r>
      <w:r w:rsidRPr="001B0D3D">
        <w:rPr>
          <w:rFonts w:ascii="Arial" w:hAnsi="Arial" w:cs="Arial"/>
          <w:color w:val="000000" w:themeColor="text1"/>
          <w:sz w:val="19"/>
          <w:szCs w:val="19"/>
        </w:rPr>
        <w:t>Artículo 2. Toda información en posesión, bajo control o custodia de un sujeto obligado es pública y no podrá ser reservada o limitada sino por disposición constitucional o legal, de conformidad con la presente ley</w:t>
      </w:r>
      <w:r w:rsidR="00987173" w:rsidRPr="001B0D3D">
        <w:rPr>
          <w:rFonts w:ascii="Arial" w:hAnsi="Arial" w:cs="Arial"/>
          <w:color w:val="000000" w:themeColor="text1"/>
          <w:sz w:val="19"/>
          <w:szCs w:val="19"/>
        </w:rPr>
        <w:t>»</w:t>
      </w:r>
      <w:r w:rsidRPr="001B0D3D">
        <w:rPr>
          <w:rFonts w:ascii="Arial" w:hAnsi="Arial" w:cs="Arial"/>
          <w:color w:val="000000" w:themeColor="text1"/>
          <w:sz w:val="19"/>
          <w:szCs w:val="19"/>
        </w:rPr>
        <w:t>.</w:t>
      </w:r>
    </w:p>
    <w:p w14:paraId="0FB4B2A3" w14:textId="77777777" w:rsidR="00193F79" w:rsidRPr="001B0D3D" w:rsidRDefault="00193F79" w:rsidP="00193F79">
      <w:pPr>
        <w:pStyle w:val="Textonotapie"/>
        <w:ind w:firstLine="708"/>
        <w:rPr>
          <w:rFonts w:ascii="Arial" w:hAnsi="Arial" w:cs="Arial"/>
          <w:color w:val="000000" w:themeColor="text1"/>
          <w:sz w:val="19"/>
          <w:szCs w:val="19"/>
          <w:lang w:val="es-CO"/>
        </w:rPr>
      </w:pPr>
    </w:p>
  </w:footnote>
  <w:footnote w:id="5">
    <w:p w14:paraId="0468BD15" w14:textId="223CF3F8" w:rsidR="00193F79" w:rsidRPr="001B0D3D" w:rsidRDefault="00193F79">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Ley 1712 de 2014: </w:t>
      </w:r>
      <w:r w:rsidR="00987173"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Artículo 5. Ámbito de aplicación. Las disposiciones de esta ley serán aplicables a las siguientes personas en calidad de sujetos obligados: </w:t>
      </w:r>
    </w:p>
    <w:p w14:paraId="412A7179" w14:textId="4962347C" w:rsidR="00193F79" w:rsidRPr="001B0D3D" w:rsidRDefault="00987173" w:rsidP="0016701E">
      <w:pPr>
        <w:pStyle w:val="Textonotapie"/>
        <w:ind w:firstLine="708"/>
        <w:rPr>
          <w:rFonts w:ascii="Arial" w:hAnsi="Arial" w:cs="Arial"/>
          <w:color w:val="000000" w:themeColor="text1"/>
          <w:sz w:val="19"/>
          <w:szCs w:val="19"/>
        </w:rPr>
      </w:pPr>
      <w:r w:rsidRPr="001B0D3D">
        <w:rPr>
          <w:rFonts w:ascii="Arial" w:hAnsi="Arial" w:cs="Arial"/>
          <w:color w:val="000000" w:themeColor="text1"/>
          <w:sz w:val="19"/>
          <w:szCs w:val="19"/>
        </w:rPr>
        <w:t>»</w:t>
      </w:r>
      <w:r w:rsidR="00193F79" w:rsidRPr="001B0D3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r w:rsidRPr="001B0D3D">
        <w:rPr>
          <w:rFonts w:ascii="Arial" w:hAnsi="Arial" w:cs="Arial"/>
          <w:color w:val="000000" w:themeColor="text1"/>
          <w:sz w:val="19"/>
          <w:szCs w:val="19"/>
        </w:rPr>
        <w:t>»</w:t>
      </w:r>
      <w:r w:rsidR="00193F79" w:rsidRPr="001B0D3D">
        <w:rPr>
          <w:rFonts w:ascii="Arial" w:hAnsi="Arial" w:cs="Arial"/>
          <w:color w:val="000000" w:themeColor="text1"/>
          <w:sz w:val="19"/>
          <w:szCs w:val="19"/>
        </w:rPr>
        <w:t>.</w:t>
      </w:r>
    </w:p>
    <w:p w14:paraId="144FF432" w14:textId="77777777" w:rsidR="00193F79" w:rsidRPr="001B0D3D" w:rsidRDefault="00193F79" w:rsidP="00193F79">
      <w:pPr>
        <w:pStyle w:val="Textonotapie"/>
        <w:rPr>
          <w:rFonts w:ascii="Arial" w:hAnsi="Arial" w:cs="Arial"/>
          <w:color w:val="000000" w:themeColor="text1"/>
          <w:sz w:val="19"/>
          <w:szCs w:val="19"/>
          <w:lang w:val="es-CO"/>
        </w:rPr>
      </w:pPr>
    </w:p>
  </w:footnote>
  <w:footnote w:id="6">
    <w:p w14:paraId="5A57CF58" w14:textId="12BCD64A" w:rsidR="00193F79" w:rsidRPr="001B0D3D" w:rsidRDefault="00193F79" w:rsidP="0016701E">
      <w:pPr>
        <w:pStyle w:val="Textonotapie"/>
        <w:ind w:firstLine="709"/>
        <w:rPr>
          <w:rFonts w:ascii="Arial" w:hAnsi="Arial" w:cs="Arial"/>
          <w:color w:val="000000" w:themeColor="text1"/>
          <w:sz w:val="19"/>
          <w:szCs w:val="19"/>
        </w:rPr>
      </w:pPr>
      <w:r w:rsidRPr="001B0D3D">
        <w:rPr>
          <w:rFonts w:ascii="Arial" w:eastAsia="Times New Roman" w:hAnsi="Arial" w:cs="Arial"/>
          <w:color w:val="000000" w:themeColor="text1"/>
          <w:sz w:val="19"/>
          <w:szCs w:val="19"/>
          <w:vertAlign w:val="superscript"/>
          <w:lang w:eastAsia="es-ES"/>
        </w:rPr>
        <w:footnoteRef/>
      </w:r>
      <w:r w:rsidRPr="001B0D3D">
        <w:rPr>
          <w:rFonts w:ascii="Arial" w:eastAsia="Times New Roman" w:hAnsi="Arial" w:cs="Arial"/>
          <w:color w:val="000000" w:themeColor="text1"/>
          <w:sz w:val="19"/>
          <w:szCs w:val="19"/>
          <w:vertAlign w:val="superscript"/>
          <w:lang w:eastAsia="es-ES"/>
        </w:rPr>
        <w:t xml:space="preserve"> </w:t>
      </w:r>
      <w:r w:rsidR="00987173" w:rsidRPr="001B0D3D">
        <w:rPr>
          <w:rFonts w:ascii="Arial" w:eastAsia="Times New Roman" w:hAnsi="Arial" w:cs="Arial"/>
          <w:color w:val="000000" w:themeColor="text1"/>
          <w:sz w:val="19"/>
          <w:szCs w:val="19"/>
          <w:lang w:eastAsia="es-ES"/>
        </w:rPr>
        <w:t>«</w:t>
      </w:r>
      <w:r w:rsidRPr="001B0D3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w:t>
      </w:r>
      <w:r w:rsidR="0016701E" w:rsidRPr="001B0D3D">
        <w:rPr>
          <w:rFonts w:ascii="Arial" w:hAnsi="Arial" w:cs="Arial"/>
          <w:color w:val="000000" w:themeColor="text1"/>
          <w:sz w:val="19"/>
          <w:szCs w:val="19"/>
        </w:rPr>
        <w:t>[</w:t>
      </w:r>
      <w:r w:rsidRPr="001B0D3D">
        <w:rPr>
          <w:rFonts w:ascii="Arial" w:hAnsi="Arial" w:cs="Arial"/>
          <w:color w:val="000000" w:themeColor="text1"/>
          <w:sz w:val="19"/>
          <w:szCs w:val="19"/>
        </w:rPr>
        <w:t>SECOP</w:t>
      </w:r>
      <w:r w:rsidR="0016701E"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w:t>
      </w:r>
    </w:p>
    <w:p w14:paraId="07C69FD4" w14:textId="781BBFD4" w:rsidR="00193F79" w:rsidRPr="001B0D3D" w:rsidRDefault="00471C7B" w:rsidP="0016701E">
      <w:pPr>
        <w:pStyle w:val="Textonotapie"/>
        <w:ind w:firstLine="709"/>
        <w:rPr>
          <w:rFonts w:ascii="Arial" w:eastAsia="Times New Roman" w:hAnsi="Arial" w:cs="Arial"/>
          <w:color w:val="000000" w:themeColor="text1"/>
          <w:sz w:val="19"/>
          <w:szCs w:val="19"/>
          <w:lang w:eastAsia="es-ES"/>
        </w:rPr>
      </w:pPr>
      <w:r w:rsidRPr="001B0D3D">
        <w:rPr>
          <w:rFonts w:ascii="Arial" w:hAnsi="Arial" w:cs="Arial"/>
          <w:color w:val="000000" w:themeColor="text1"/>
          <w:sz w:val="19"/>
          <w:szCs w:val="19"/>
        </w:rPr>
        <w:t>[</w:t>
      </w:r>
      <w:r w:rsidR="00193F79" w:rsidRPr="001B0D3D">
        <w:rPr>
          <w:rFonts w:ascii="Arial" w:hAnsi="Arial" w:cs="Arial"/>
          <w:color w:val="000000" w:themeColor="text1"/>
          <w:sz w:val="19"/>
          <w:szCs w:val="19"/>
        </w:rPr>
        <w:t>…</w:t>
      </w:r>
      <w:r w:rsidRPr="001B0D3D">
        <w:rPr>
          <w:rFonts w:ascii="Arial" w:hAnsi="Arial" w:cs="Arial"/>
          <w:color w:val="000000" w:themeColor="text1"/>
          <w:sz w:val="19"/>
          <w:szCs w:val="19"/>
        </w:rPr>
        <w:t>]</w:t>
      </w:r>
      <w:r w:rsidR="00E232BC" w:rsidRPr="001B0D3D">
        <w:rPr>
          <w:rFonts w:ascii="Arial" w:hAnsi="Arial" w:cs="Arial"/>
          <w:color w:val="000000" w:themeColor="text1"/>
          <w:sz w:val="19"/>
          <w:szCs w:val="19"/>
        </w:rPr>
        <w:t>.</w:t>
      </w:r>
    </w:p>
    <w:p w14:paraId="69EE36D8" w14:textId="6820F828" w:rsidR="00193F79" w:rsidRPr="001B0D3D" w:rsidRDefault="00987173" w:rsidP="0016701E">
      <w:pPr>
        <w:pStyle w:val="Textonotapie"/>
        <w:ind w:firstLine="709"/>
        <w:rPr>
          <w:rFonts w:ascii="Arial" w:eastAsia="Times New Roman" w:hAnsi="Arial" w:cs="Arial"/>
          <w:color w:val="000000" w:themeColor="text1"/>
          <w:sz w:val="19"/>
          <w:szCs w:val="19"/>
          <w:lang w:eastAsia="es-ES"/>
        </w:rPr>
      </w:pPr>
      <w:r w:rsidRPr="001B0D3D">
        <w:rPr>
          <w:rFonts w:ascii="Arial" w:eastAsia="Times New Roman" w:hAnsi="Arial" w:cs="Arial"/>
          <w:color w:val="000000" w:themeColor="text1"/>
          <w:sz w:val="19"/>
          <w:szCs w:val="19"/>
          <w:lang w:eastAsia="es-ES"/>
        </w:rPr>
        <w:t>«</w:t>
      </w:r>
      <w:r w:rsidR="00193F79" w:rsidRPr="001B0D3D">
        <w:rPr>
          <w:rFonts w:ascii="Arial" w:eastAsia="Times New Roman" w:hAnsi="Arial" w:cs="Arial"/>
          <w:color w:val="000000" w:themeColor="text1"/>
          <w:sz w:val="19"/>
          <w:szCs w:val="19"/>
          <w:lang w:eastAsia="es-ES"/>
        </w:rPr>
        <w:t xml:space="preserve">Los sujetos obligados que contratan con recursos públicos y recursos privados, deben publicar la información de su gestión contractual con cargo a recursos públicos en el Sistema Electrónico para la Contratación Pública </w:t>
      </w:r>
      <w:r w:rsidR="0016701E" w:rsidRPr="001B0D3D">
        <w:rPr>
          <w:rFonts w:ascii="Arial" w:eastAsia="Times New Roman" w:hAnsi="Arial" w:cs="Arial"/>
          <w:color w:val="000000" w:themeColor="text1"/>
          <w:sz w:val="19"/>
          <w:szCs w:val="19"/>
          <w:lang w:eastAsia="es-ES"/>
        </w:rPr>
        <w:t>[</w:t>
      </w:r>
      <w:r w:rsidR="00193F79" w:rsidRPr="001B0D3D">
        <w:rPr>
          <w:rFonts w:ascii="Arial" w:eastAsia="Times New Roman" w:hAnsi="Arial" w:cs="Arial"/>
          <w:color w:val="000000" w:themeColor="text1"/>
          <w:sz w:val="19"/>
          <w:szCs w:val="19"/>
          <w:lang w:eastAsia="es-ES"/>
        </w:rPr>
        <w:t>SECOP</w:t>
      </w:r>
      <w:r w:rsidR="0016701E" w:rsidRPr="001B0D3D">
        <w:rPr>
          <w:rFonts w:ascii="Arial" w:eastAsia="Times New Roman" w:hAnsi="Arial" w:cs="Arial"/>
          <w:color w:val="000000" w:themeColor="text1"/>
          <w:sz w:val="19"/>
          <w:szCs w:val="19"/>
          <w:lang w:eastAsia="es-ES"/>
        </w:rPr>
        <w:t>]</w:t>
      </w:r>
      <w:r w:rsidRPr="001B0D3D">
        <w:rPr>
          <w:rFonts w:ascii="Arial" w:eastAsia="Times New Roman" w:hAnsi="Arial" w:cs="Arial"/>
          <w:color w:val="000000" w:themeColor="text1"/>
          <w:sz w:val="19"/>
          <w:szCs w:val="19"/>
          <w:lang w:eastAsia="es-ES"/>
        </w:rPr>
        <w:t>»</w:t>
      </w:r>
      <w:r w:rsidR="00193F79" w:rsidRPr="001B0D3D">
        <w:rPr>
          <w:rFonts w:ascii="Arial" w:eastAsia="Times New Roman" w:hAnsi="Arial" w:cs="Arial"/>
          <w:color w:val="000000" w:themeColor="text1"/>
          <w:sz w:val="19"/>
          <w:szCs w:val="19"/>
          <w:lang w:eastAsia="es-ES"/>
        </w:rPr>
        <w:t>.</w:t>
      </w:r>
    </w:p>
    <w:p w14:paraId="72BAEA76" w14:textId="77777777" w:rsidR="00193F79" w:rsidRPr="001B0D3D" w:rsidRDefault="00193F79" w:rsidP="0016701E">
      <w:pPr>
        <w:pStyle w:val="Textonotapie"/>
        <w:ind w:firstLine="709"/>
        <w:rPr>
          <w:rFonts w:ascii="Arial" w:eastAsia="Times New Roman" w:hAnsi="Arial" w:cs="Arial"/>
          <w:color w:val="000000" w:themeColor="text1"/>
          <w:sz w:val="19"/>
          <w:szCs w:val="19"/>
          <w:lang w:eastAsia="es-ES"/>
        </w:rPr>
      </w:pPr>
    </w:p>
  </w:footnote>
  <w:footnote w:id="7">
    <w:p w14:paraId="07C1A396" w14:textId="66927660" w:rsidR="00193F79" w:rsidRPr="001B0D3D" w:rsidRDefault="00193F79" w:rsidP="00193F79">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C</w:t>
      </w:r>
      <w:r w:rsidRPr="001B0D3D">
        <w:rPr>
          <w:rFonts w:ascii="Arial" w:eastAsia="Times New Roman" w:hAnsi="Arial" w:cs="Arial"/>
          <w:color w:val="000000" w:themeColor="text1"/>
          <w:sz w:val="19"/>
          <w:szCs w:val="19"/>
          <w:lang w:eastAsia="es-ES"/>
        </w:rPr>
        <w:t>orte Constitucional</w:t>
      </w:r>
      <w:r w:rsidR="009763C4" w:rsidRPr="001B0D3D">
        <w:rPr>
          <w:rFonts w:ascii="Arial" w:eastAsia="Times New Roman" w:hAnsi="Arial" w:cs="Arial"/>
          <w:color w:val="000000" w:themeColor="text1"/>
          <w:sz w:val="19"/>
          <w:szCs w:val="19"/>
          <w:lang w:eastAsia="es-ES"/>
        </w:rPr>
        <w:t>. Sentencia C</w:t>
      </w:r>
      <w:r w:rsidR="00A101AA" w:rsidRPr="001B0D3D">
        <w:rPr>
          <w:rFonts w:ascii="Arial" w:eastAsia="Times New Roman" w:hAnsi="Arial" w:cs="Arial"/>
          <w:color w:val="000000" w:themeColor="text1"/>
          <w:sz w:val="19"/>
          <w:szCs w:val="19"/>
          <w:lang w:eastAsia="es-ES"/>
        </w:rPr>
        <w:t>─</w:t>
      </w:r>
      <w:r w:rsidR="009763C4" w:rsidRPr="001B0D3D">
        <w:rPr>
          <w:rFonts w:ascii="Arial" w:eastAsia="Times New Roman" w:hAnsi="Arial" w:cs="Arial"/>
          <w:color w:val="000000" w:themeColor="text1"/>
          <w:sz w:val="19"/>
          <w:szCs w:val="19"/>
          <w:lang w:eastAsia="es-ES"/>
        </w:rPr>
        <w:t xml:space="preserve">274 de 9 de mayo de 2013. </w:t>
      </w:r>
      <w:r w:rsidRPr="001B0D3D">
        <w:rPr>
          <w:rFonts w:ascii="Arial" w:eastAsia="Times New Roman" w:hAnsi="Arial" w:cs="Arial"/>
          <w:color w:val="000000" w:themeColor="text1"/>
          <w:sz w:val="19"/>
          <w:szCs w:val="19"/>
          <w:lang w:eastAsia="es-ES"/>
        </w:rPr>
        <w:t>M</w:t>
      </w:r>
      <w:r w:rsidR="009763C4" w:rsidRPr="001B0D3D">
        <w:rPr>
          <w:rFonts w:ascii="Arial" w:eastAsia="Times New Roman" w:hAnsi="Arial" w:cs="Arial"/>
          <w:color w:val="000000" w:themeColor="text1"/>
          <w:sz w:val="19"/>
          <w:szCs w:val="19"/>
          <w:lang w:eastAsia="es-ES"/>
        </w:rPr>
        <w:t>.P.</w:t>
      </w:r>
      <w:r w:rsidRPr="001B0D3D">
        <w:rPr>
          <w:rFonts w:ascii="Arial" w:eastAsia="Times New Roman" w:hAnsi="Arial" w:cs="Arial"/>
          <w:color w:val="000000" w:themeColor="text1"/>
          <w:sz w:val="19"/>
          <w:szCs w:val="19"/>
          <w:lang w:eastAsia="es-ES"/>
        </w:rPr>
        <w:t xml:space="preserve"> María Victoria Calle Correa. </w:t>
      </w:r>
    </w:p>
    <w:p w14:paraId="2AAD6891" w14:textId="77777777" w:rsidR="00193F79" w:rsidRPr="001B0D3D" w:rsidRDefault="00193F79" w:rsidP="00193F79">
      <w:pPr>
        <w:pStyle w:val="Textonotapie"/>
        <w:ind w:firstLine="708"/>
        <w:rPr>
          <w:rFonts w:ascii="Arial" w:hAnsi="Arial" w:cs="Arial"/>
          <w:color w:val="000000" w:themeColor="text1"/>
          <w:sz w:val="19"/>
          <w:szCs w:val="19"/>
          <w:lang w:val="es-CO"/>
        </w:rPr>
      </w:pPr>
    </w:p>
  </w:footnote>
  <w:footnote w:id="8">
    <w:p w14:paraId="54AA0209" w14:textId="77777777" w:rsidR="00362C5D" w:rsidRPr="001B0D3D" w:rsidRDefault="00362C5D" w:rsidP="00362C5D">
      <w:pPr>
        <w:pStyle w:val="Textonotapie"/>
        <w:ind w:firstLine="708"/>
        <w:rPr>
          <w:rFonts w:ascii="Arial" w:hAnsi="Arial" w:cs="Arial"/>
          <w:color w:val="000000" w:themeColor="text1"/>
          <w:sz w:val="19"/>
          <w:szCs w:val="19"/>
          <w:lang w:val="es-CO"/>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9">
    <w:p w14:paraId="35BFC658" w14:textId="201AA886" w:rsidR="00193F79" w:rsidRPr="001B0D3D" w:rsidRDefault="00193F79" w:rsidP="00193F79">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Consejo de Estado</w:t>
      </w:r>
      <w:r w:rsidR="001D2274" w:rsidRPr="001B0D3D">
        <w:rPr>
          <w:rFonts w:ascii="Arial" w:hAnsi="Arial" w:cs="Arial"/>
          <w:color w:val="000000" w:themeColor="text1"/>
          <w:sz w:val="19"/>
          <w:szCs w:val="19"/>
        </w:rPr>
        <w:t xml:space="preserve">. </w:t>
      </w:r>
      <w:r w:rsidRPr="001B0D3D">
        <w:rPr>
          <w:rFonts w:ascii="Arial" w:hAnsi="Arial" w:cs="Arial"/>
          <w:color w:val="000000" w:themeColor="text1"/>
          <w:sz w:val="19"/>
          <w:szCs w:val="19"/>
        </w:rPr>
        <w:t>Sección Tercera</w:t>
      </w:r>
      <w:r w:rsidR="001D2274"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Subsección C</w:t>
      </w:r>
      <w:r w:rsidR="001D2274"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w:t>
      </w:r>
      <w:r w:rsidR="0024442B" w:rsidRPr="001B0D3D">
        <w:rPr>
          <w:rFonts w:ascii="Arial" w:hAnsi="Arial" w:cs="Arial"/>
          <w:color w:val="000000" w:themeColor="text1"/>
          <w:sz w:val="19"/>
          <w:szCs w:val="19"/>
        </w:rPr>
        <w:t>A</w:t>
      </w:r>
      <w:r w:rsidR="001D2274" w:rsidRPr="001B0D3D">
        <w:rPr>
          <w:rFonts w:ascii="Arial" w:hAnsi="Arial" w:cs="Arial"/>
          <w:color w:val="000000" w:themeColor="text1"/>
          <w:sz w:val="19"/>
          <w:szCs w:val="19"/>
        </w:rPr>
        <w:t>uto del 14 de agosto de 2017</w:t>
      </w:r>
      <w:r w:rsidR="0024442B" w:rsidRPr="001B0D3D">
        <w:rPr>
          <w:rFonts w:ascii="Arial" w:hAnsi="Arial" w:cs="Arial"/>
          <w:color w:val="000000" w:themeColor="text1"/>
          <w:sz w:val="19"/>
          <w:szCs w:val="19"/>
        </w:rPr>
        <w:t xml:space="preserve">. Exp. 58.820. </w:t>
      </w:r>
      <w:r w:rsidRPr="001B0D3D">
        <w:rPr>
          <w:rFonts w:ascii="Arial" w:hAnsi="Arial" w:cs="Arial"/>
          <w:color w:val="000000" w:themeColor="text1"/>
          <w:sz w:val="19"/>
          <w:szCs w:val="19"/>
        </w:rPr>
        <w:t>C</w:t>
      </w:r>
      <w:r w:rsidR="00082359" w:rsidRPr="001B0D3D">
        <w:rPr>
          <w:rFonts w:ascii="Arial" w:hAnsi="Arial" w:cs="Arial"/>
          <w:color w:val="000000" w:themeColor="text1"/>
          <w:sz w:val="19"/>
          <w:szCs w:val="19"/>
        </w:rPr>
        <w:t>.</w:t>
      </w:r>
      <w:r w:rsidRPr="001B0D3D">
        <w:rPr>
          <w:rFonts w:ascii="Arial" w:hAnsi="Arial" w:cs="Arial"/>
          <w:color w:val="000000" w:themeColor="text1"/>
          <w:sz w:val="19"/>
          <w:szCs w:val="19"/>
        </w:rPr>
        <w:t>P</w:t>
      </w:r>
      <w:r w:rsidR="00082359"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Jaime Orlando Santofimio Gamboa</w:t>
      </w:r>
      <w:r w:rsidR="0024442B" w:rsidRPr="001B0D3D">
        <w:rPr>
          <w:rFonts w:ascii="Arial" w:hAnsi="Arial" w:cs="Arial"/>
          <w:color w:val="000000" w:themeColor="text1"/>
          <w:sz w:val="19"/>
          <w:szCs w:val="19"/>
        </w:rPr>
        <w:t xml:space="preserve">. </w:t>
      </w:r>
    </w:p>
    <w:p w14:paraId="1928FE2E" w14:textId="77777777" w:rsidR="00193F79" w:rsidRPr="001B0D3D" w:rsidRDefault="00193F79" w:rsidP="00193F79">
      <w:pPr>
        <w:pStyle w:val="Textonotapie"/>
        <w:ind w:firstLine="708"/>
        <w:rPr>
          <w:rFonts w:ascii="Arial" w:hAnsi="Arial" w:cs="Arial"/>
          <w:color w:val="000000" w:themeColor="text1"/>
          <w:sz w:val="19"/>
          <w:szCs w:val="19"/>
          <w:lang w:val="es-CO"/>
        </w:rPr>
      </w:pPr>
    </w:p>
  </w:footnote>
  <w:footnote w:id="10">
    <w:p w14:paraId="2DF21DFC" w14:textId="1B2D1187" w:rsidR="005976BA" w:rsidRPr="001B0D3D" w:rsidRDefault="005976BA" w:rsidP="005976BA">
      <w:pPr>
        <w:pStyle w:val="Prrafodelista"/>
        <w:ind w:left="0" w:firstLine="708"/>
        <w:rPr>
          <w:rFonts w:ascii="Arial" w:hAnsi="Arial" w:cs="Arial"/>
          <w:bCs/>
          <w:color w:val="000000" w:themeColor="text1"/>
          <w:sz w:val="19"/>
          <w:szCs w:val="19"/>
        </w:rPr>
      </w:pPr>
      <w:r w:rsidRPr="001B0D3D">
        <w:rPr>
          <w:rStyle w:val="Refdenotaalpie"/>
          <w:rFonts w:ascii="Arial" w:hAnsi="Arial" w:cs="Arial"/>
          <w:color w:val="000000" w:themeColor="text1"/>
          <w:sz w:val="19"/>
          <w:szCs w:val="19"/>
        </w:rPr>
        <w:footnoteRef/>
      </w:r>
      <w:r w:rsidRPr="001B0D3D">
        <w:rPr>
          <w:color w:val="000000" w:themeColor="text1"/>
          <w:sz w:val="19"/>
          <w:szCs w:val="19"/>
        </w:rPr>
        <w:t xml:space="preserve"> </w:t>
      </w:r>
      <w:r w:rsidRPr="001B0D3D">
        <w:rPr>
          <w:rFonts w:ascii="Arial" w:hAnsi="Arial" w:cs="Arial"/>
          <w:bCs/>
          <w:color w:val="000000" w:themeColor="text1"/>
          <w:sz w:val="19"/>
          <w:szCs w:val="19"/>
        </w:rPr>
        <w:t>La anterior posición fue reiterada en las siguientes consultas de</w:t>
      </w:r>
      <w:r w:rsidR="00256785" w:rsidRPr="001B0D3D">
        <w:rPr>
          <w:rFonts w:ascii="Arial" w:hAnsi="Arial" w:cs="Arial"/>
          <w:bCs/>
          <w:color w:val="000000" w:themeColor="text1"/>
          <w:sz w:val="19"/>
          <w:szCs w:val="19"/>
        </w:rPr>
        <w:t xml:space="preserve"> los </w:t>
      </w:r>
      <w:r w:rsidRPr="001B0D3D">
        <w:rPr>
          <w:rFonts w:ascii="Arial" w:hAnsi="Arial" w:cs="Arial"/>
          <w:bCs/>
          <w:color w:val="000000" w:themeColor="text1"/>
          <w:sz w:val="19"/>
          <w:szCs w:val="19"/>
        </w:rPr>
        <w:t>año</w:t>
      </w:r>
      <w:r w:rsidR="00256785" w:rsidRPr="001B0D3D">
        <w:rPr>
          <w:rFonts w:ascii="Arial" w:hAnsi="Arial" w:cs="Arial"/>
          <w:bCs/>
          <w:color w:val="000000" w:themeColor="text1"/>
          <w:sz w:val="19"/>
          <w:szCs w:val="19"/>
        </w:rPr>
        <w:t>s</w:t>
      </w:r>
      <w:r w:rsidRPr="001B0D3D">
        <w:rPr>
          <w:rFonts w:ascii="Arial" w:hAnsi="Arial" w:cs="Arial"/>
          <w:bCs/>
          <w:color w:val="000000" w:themeColor="text1"/>
          <w:sz w:val="19"/>
          <w:szCs w:val="19"/>
        </w:rPr>
        <w:t xml:space="preserve"> 2016 y 2017: 416130000999 del 23 de febrero de 2016, 4201613000005457 del 24 de octubre de 2016, 42017000001243 del 15 de marzo de 2017, 4201714000003623 del 21 de julio de 2017, entre otras. En estas consultas se señal</w:t>
      </w:r>
      <w:r w:rsidR="00256785" w:rsidRPr="001B0D3D">
        <w:rPr>
          <w:rFonts w:ascii="Arial" w:hAnsi="Arial" w:cs="Arial"/>
          <w:bCs/>
          <w:color w:val="000000" w:themeColor="text1"/>
          <w:sz w:val="19"/>
          <w:szCs w:val="19"/>
        </w:rPr>
        <w:t>ó</w:t>
      </w:r>
      <w:r w:rsidRPr="001B0D3D">
        <w:rPr>
          <w:rFonts w:ascii="Arial" w:hAnsi="Arial" w:cs="Arial"/>
          <w:bCs/>
          <w:color w:val="000000" w:themeColor="text1"/>
          <w:sz w:val="19"/>
          <w:szCs w:val="19"/>
        </w:rPr>
        <w:t xml:space="preserve"> que las entidades con régimen especial de contratación publicarán los documentos del proceso que define el Decreto 1082 de 2015, es decir</w:t>
      </w:r>
      <w:r w:rsidR="00256785" w:rsidRPr="001B0D3D">
        <w:rPr>
          <w:rFonts w:ascii="Arial" w:hAnsi="Arial" w:cs="Arial"/>
          <w:bCs/>
          <w:color w:val="000000" w:themeColor="text1"/>
          <w:sz w:val="19"/>
          <w:szCs w:val="19"/>
        </w:rPr>
        <w:t>:</w:t>
      </w:r>
      <w:r w:rsidRPr="001B0D3D">
        <w:rPr>
          <w:rFonts w:ascii="Arial" w:hAnsi="Arial" w:cs="Arial"/>
          <w:bCs/>
          <w:color w:val="000000" w:themeColor="text1"/>
          <w:sz w:val="19"/>
          <w:szCs w:val="19"/>
        </w:rPr>
        <w:t xml:space="preserve"> (a) los estudios y documentos previos</w:t>
      </w:r>
      <w:r w:rsidR="00665D32" w:rsidRPr="001B0D3D">
        <w:rPr>
          <w:rFonts w:ascii="Arial" w:hAnsi="Arial" w:cs="Arial"/>
          <w:bCs/>
          <w:color w:val="000000" w:themeColor="text1"/>
          <w:sz w:val="19"/>
          <w:szCs w:val="19"/>
        </w:rPr>
        <w:t>,</w:t>
      </w:r>
      <w:r w:rsidRPr="001B0D3D">
        <w:rPr>
          <w:rFonts w:ascii="Arial" w:hAnsi="Arial" w:cs="Arial"/>
          <w:bCs/>
          <w:color w:val="000000" w:themeColor="text1"/>
          <w:sz w:val="19"/>
          <w:szCs w:val="19"/>
        </w:rPr>
        <w:t xml:space="preserve"> (b) el aviso de convocatoria; (c) los pliegos de condiciones o la invitación; (d) las Adendas; (e) la oferta; (f) el informe de evaluación; (g) el contrato; y cualquier otro documento expedido por la Entidad Estatal durante el Proceso.  </w:t>
      </w:r>
    </w:p>
    <w:p w14:paraId="29ADD01D" w14:textId="3C750BC9" w:rsidR="005976BA" w:rsidRPr="001B0D3D" w:rsidRDefault="005976BA" w:rsidP="005976BA">
      <w:pPr>
        <w:pStyle w:val="Textonotapie"/>
        <w:ind w:firstLine="708"/>
        <w:rPr>
          <w:color w:val="000000" w:themeColor="text1"/>
          <w:sz w:val="19"/>
          <w:szCs w:val="19"/>
        </w:rPr>
      </w:pPr>
    </w:p>
  </w:footnote>
  <w:footnote w:id="11">
    <w:p w14:paraId="4592D0C5" w14:textId="39BFE4D6" w:rsidR="00DF7EA8" w:rsidRPr="001B0D3D" w:rsidRDefault="00565674" w:rsidP="0016701E">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00987173" w:rsidRPr="001B0D3D">
        <w:rPr>
          <w:rFonts w:ascii="Arial" w:hAnsi="Arial" w:cs="Arial"/>
          <w:color w:val="000000" w:themeColor="text1"/>
          <w:sz w:val="19"/>
          <w:szCs w:val="19"/>
        </w:rPr>
        <w:t xml:space="preserve"> </w:t>
      </w:r>
      <w:r w:rsidRPr="001B0D3D">
        <w:rPr>
          <w:rFonts w:ascii="Arial" w:hAnsi="Arial" w:cs="Arial"/>
          <w:color w:val="000000" w:themeColor="text1"/>
          <w:sz w:val="19"/>
          <w:szCs w:val="19"/>
        </w:rPr>
        <w:t>Esta posición se reiteró en las siguientes consultas: No. 4201813000006842 del 16 de agosto de 2018, 4201813000010011 del 5 de diciembre de 2018, 4201813000009778 del 29 de octubre de 2018, entre otros</w:t>
      </w:r>
      <w:r w:rsidR="00DF7EA8" w:rsidRPr="001B0D3D">
        <w:rPr>
          <w:rFonts w:ascii="Arial" w:hAnsi="Arial" w:cs="Arial"/>
          <w:color w:val="000000" w:themeColor="text1"/>
          <w:sz w:val="19"/>
          <w:szCs w:val="19"/>
        </w:rPr>
        <w:t xml:space="preserve">, Al respecto se indicó lo siguiente: </w:t>
      </w:r>
      <w:r w:rsidR="00987173" w:rsidRPr="001B0D3D">
        <w:rPr>
          <w:rFonts w:ascii="Arial" w:hAnsi="Arial" w:cs="Arial"/>
          <w:color w:val="000000" w:themeColor="text1"/>
          <w:sz w:val="19"/>
          <w:szCs w:val="19"/>
        </w:rPr>
        <w:t>«</w:t>
      </w:r>
      <w:r w:rsidR="00DF7EA8" w:rsidRPr="001B0D3D">
        <w:rPr>
          <w:rFonts w:ascii="Arial" w:hAnsi="Arial" w:cs="Arial"/>
          <w:color w:val="000000" w:themeColor="text1"/>
          <w:sz w:val="19"/>
          <w:szCs w:val="19"/>
        </w:rPr>
        <w:t>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74D3191" w14:textId="11BABC83" w:rsidR="00565674" w:rsidRPr="001B0D3D" w:rsidRDefault="00987173" w:rsidP="0016701E">
      <w:pPr>
        <w:pStyle w:val="Textonotapie"/>
        <w:ind w:firstLine="708"/>
        <w:rPr>
          <w:rFonts w:ascii="Arial" w:hAnsi="Arial" w:cs="Arial"/>
          <w:color w:val="000000" w:themeColor="text1"/>
          <w:sz w:val="19"/>
          <w:szCs w:val="19"/>
        </w:rPr>
      </w:pPr>
      <w:r w:rsidRPr="001B0D3D">
        <w:rPr>
          <w:rFonts w:ascii="Arial" w:hAnsi="Arial" w:cs="Arial"/>
          <w:color w:val="000000" w:themeColor="text1"/>
          <w:sz w:val="19"/>
          <w:szCs w:val="19"/>
        </w:rPr>
        <w:t>»</w:t>
      </w:r>
      <w:r w:rsidR="00DF7EA8" w:rsidRPr="001B0D3D">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r w:rsidRPr="001B0D3D">
        <w:rPr>
          <w:rFonts w:ascii="Arial" w:hAnsi="Arial" w:cs="Arial"/>
          <w:color w:val="000000" w:themeColor="text1"/>
          <w:sz w:val="19"/>
          <w:szCs w:val="19"/>
        </w:rPr>
        <w:t>»</w:t>
      </w:r>
      <w:r w:rsidR="00DF7EA8" w:rsidRPr="001B0D3D">
        <w:rPr>
          <w:rFonts w:ascii="Arial" w:hAnsi="Arial" w:cs="Arial"/>
          <w:color w:val="000000" w:themeColor="text1"/>
          <w:sz w:val="19"/>
          <w:szCs w:val="19"/>
        </w:rPr>
        <w:t>.</w:t>
      </w:r>
    </w:p>
    <w:p w14:paraId="114D84C7" w14:textId="77777777" w:rsidR="007B4EA8" w:rsidRPr="001B0D3D" w:rsidRDefault="007B4EA8" w:rsidP="00DF7EA8">
      <w:pPr>
        <w:pStyle w:val="Textonotapie"/>
        <w:rPr>
          <w:rFonts w:ascii="Arial" w:hAnsi="Arial" w:cs="Arial"/>
          <w:color w:val="000000" w:themeColor="text1"/>
          <w:sz w:val="19"/>
          <w:szCs w:val="19"/>
        </w:rPr>
      </w:pPr>
    </w:p>
  </w:footnote>
  <w:footnote w:id="12">
    <w:p w14:paraId="492FC492" w14:textId="5EB811C8" w:rsidR="00505D46" w:rsidRPr="001B0D3D" w:rsidRDefault="00505D46" w:rsidP="004E44E6">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Decreto 103 de 2015: </w:t>
      </w:r>
      <w:r w:rsidR="00987173" w:rsidRPr="001B0D3D">
        <w:rPr>
          <w:rFonts w:ascii="Arial" w:hAnsi="Arial" w:cs="Arial"/>
          <w:color w:val="000000" w:themeColor="text1"/>
          <w:sz w:val="19"/>
          <w:szCs w:val="19"/>
        </w:rPr>
        <w:t>«</w:t>
      </w:r>
      <w:r w:rsidRPr="001B0D3D">
        <w:rPr>
          <w:rFonts w:ascii="Arial" w:hAnsi="Arial" w:cs="Arial"/>
          <w:color w:val="000000" w:themeColor="text1"/>
          <w:sz w:val="19"/>
          <w:szCs w:val="19"/>
        </w:rPr>
        <w:t>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00987173" w:rsidRPr="001B0D3D">
        <w:rPr>
          <w:rFonts w:ascii="Arial" w:hAnsi="Arial" w:cs="Arial"/>
          <w:color w:val="000000" w:themeColor="text1"/>
          <w:sz w:val="19"/>
          <w:szCs w:val="19"/>
        </w:rPr>
        <w:t>»</w:t>
      </w:r>
      <w:r w:rsidRPr="001B0D3D">
        <w:rPr>
          <w:rFonts w:ascii="Arial" w:hAnsi="Arial" w:cs="Arial"/>
          <w:color w:val="000000" w:themeColor="text1"/>
          <w:sz w:val="19"/>
          <w:szCs w:val="19"/>
        </w:rPr>
        <w:t>.</w:t>
      </w:r>
    </w:p>
  </w:footnote>
  <w:footnote w:id="13">
    <w:p w14:paraId="125E1947" w14:textId="238CDE9A" w:rsidR="00505D46" w:rsidRPr="001B0D3D" w:rsidRDefault="00505D46" w:rsidP="00C06B17">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Decreto 103 de 2015: </w:t>
      </w:r>
      <w:r w:rsidR="00987173"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w:t>
      </w:r>
      <w:r w:rsidR="00A101AA" w:rsidRPr="001B0D3D">
        <w:rPr>
          <w:rFonts w:ascii="Arial" w:hAnsi="Arial" w:cs="Arial"/>
          <w:color w:val="000000" w:themeColor="text1"/>
          <w:sz w:val="19"/>
          <w:szCs w:val="19"/>
        </w:rPr>
        <w:t>─</w:t>
      </w:r>
      <w:r w:rsidRPr="001B0D3D">
        <w:rPr>
          <w:rFonts w:ascii="Arial" w:hAnsi="Arial" w:cs="Arial"/>
          <w:color w:val="000000" w:themeColor="text1"/>
          <w:sz w:val="19"/>
          <w:szCs w:val="19"/>
        </w:rPr>
        <w:t xml:space="preserve"> Colombia Compra Eficiente, el cual debe estar publicado en el sitio web oficial del sujeto obligado</w:t>
      </w:r>
      <w:r w:rsidR="00987173" w:rsidRPr="001B0D3D">
        <w:rPr>
          <w:rFonts w:ascii="Arial" w:hAnsi="Arial" w:cs="Arial"/>
          <w:color w:val="000000" w:themeColor="text1"/>
          <w:sz w:val="19"/>
          <w:szCs w:val="19"/>
        </w:rPr>
        <w:t>»</w:t>
      </w:r>
      <w:r w:rsidRPr="001B0D3D">
        <w:rPr>
          <w:rFonts w:ascii="Arial" w:hAnsi="Arial" w:cs="Arial"/>
          <w:color w:val="000000" w:themeColor="text1"/>
          <w:sz w:val="19"/>
          <w:szCs w:val="19"/>
        </w:rPr>
        <w:t>.</w:t>
      </w:r>
    </w:p>
    <w:p w14:paraId="3EFC7E67" w14:textId="77777777" w:rsidR="00505D46" w:rsidRPr="001B0D3D" w:rsidRDefault="00505D46" w:rsidP="00505D46">
      <w:pPr>
        <w:pStyle w:val="Textonotapie"/>
        <w:ind w:firstLine="708"/>
        <w:rPr>
          <w:rFonts w:ascii="Arial" w:hAnsi="Arial" w:cs="Arial"/>
          <w:color w:val="000000" w:themeColor="text1"/>
          <w:sz w:val="19"/>
          <w:szCs w:val="19"/>
        </w:rPr>
      </w:pPr>
    </w:p>
  </w:footnote>
  <w:footnote w:id="14">
    <w:p w14:paraId="04FF9998" w14:textId="7144697E" w:rsidR="00505D46" w:rsidRPr="001B0D3D" w:rsidRDefault="00505D46" w:rsidP="00E9554C">
      <w:pPr>
        <w:pStyle w:val="Textonotapie"/>
        <w:ind w:firstLine="708"/>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Decreto 103 de 2015: </w:t>
      </w:r>
      <w:r w:rsidR="00987173" w:rsidRPr="001B0D3D">
        <w:rPr>
          <w:rFonts w:ascii="Arial" w:hAnsi="Arial" w:cs="Arial"/>
          <w:color w:val="000000" w:themeColor="text1"/>
          <w:sz w:val="19"/>
          <w:szCs w:val="19"/>
        </w:rPr>
        <w:t>«</w:t>
      </w:r>
      <w:r w:rsidRPr="001B0D3D">
        <w:rPr>
          <w:rFonts w:ascii="Arial" w:hAnsi="Arial" w:cs="Arial"/>
          <w:color w:val="000000" w:themeColor="text1"/>
          <w:sz w:val="19"/>
          <w:szCs w:val="19"/>
        </w:rPr>
        <w:t>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0326ED34" w14:textId="41A1A9FD" w:rsidR="00505D46" w:rsidRPr="001B0D3D" w:rsidRDefault="00987173" w:rsidP="00E9554C">
      <w:pPr>
        <w:pStyle w:val="Textonotapie"/>
        <w:rPr>
          <w:rFonts w:ascii="Arial" w:hAnsi="Arial" w:cs="Arial"/>
          <w:color w:val="000000" w:themeColor="text1"/>
          <w:sz w:val="19"/>
          <w:szCs w:val="19"/>
        </w:rPr>
      </w:pPr>
      <w:r w:rsidRPr="001B0D3D">
        <w:rPr>
          <w:rFonts w:ascii="Arial" w:hAnsi="Arial" w:cs="Arial"/>
          <w:color w:val="000000" w:themeColor="text1"/>
          <w:sz w:val="19"/>
          <w:szCs w:val="19"/>
        </w:rPr>
        <w:t>»</w:t>
      </w:r>
      <w:r w:rsidR="00505D46" w:rsidRPr="001B0D3D">
        <w:rPr>
          <w:rFonts w:ascii="Arial" w:hAnsi="Arial" w:cs="Arial"/>
          <w:color w:val="000000" w:themeColor="text1"/>
          <w:sz w:val="19"/>
          <w:szCs w:val="19"/>
        </w:rPr>
        <w:t>Los sujetos obligados que no contratan con cargo a recursos públicos no están obligados a publicar su Plan Anual de Adquisiciones.</w:t>
      </w:r>
    </w:p>
    <w:p w14:paraId="0334A092" w14:textId="175A8398" w:rsidR="00505D46" w:rsidRPr="001B0D3D" w:rsidRDefault="00987173" w:rsidP="00E9554C">
      <w:pPr>
        <w:pStyle w:val="Textonotapie"/>
        <w:rPr>
          <w:rFonts w:ascii="Arial" w:hAnsi="Arial" w:cs="Arial"/>
          <w:color w:val="000000" w:themeColor="text1"/>
          <w:sz w:val="19"/>
          <w:szCs w:val="19"/>
        </w:rPr>
      </w:pPr>
      <w:r w:rsidRPr="001B0D3D">
        <w:rPr>
          <w:rFonts w:ascii="Arial" w:hAnsi="Arial" w:cs="Arial"/>
          <w:color w:val="000000" w:themeColor="text1"/>
          <w:sz w:val="19"/>
          <w:szCs w:val="19"/>
        </w:rPr>
        <w:t>»</w:t>
      </w:r>
      <w:r w:rsidR="00505D46" w:rsidRPr="001B0D3D">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1500BFD3" w14:textId="6058B061" w:rsidR="00505D46" w:rsidRPr="001B0D3D" w:rsidRDefault="00987173" w:rsidP="00505D46">
      <w:pPr>
        <w:pStyle w:val="Textonotapie"/>
        <w:rPr>
          <w:rFonts w:ascii="Arial" w:hAnsi="Arial" w:cs="Arial"/>
          <w:color w:val="000000" w:themeColor="text1"/>
          <w:sz w:val="19"/>
          <w:szCs w:val="19"/>
        </w:rPr>
      </w:pPr>
      <w:r w:rsidRPr="001B0D3D">
        <w:rPr>
          <w:rFonts w:ascii="Arial" w:hAnsi="Arial" w:cs="Arial"/>
          <w:color w:val="000000" w:themeColor="text1"/>
          <w:sz w:val="19"/>
          <w:szCs w:val="19"/>
        </w:rPr>
        <w:t>»</w:t>
      </w:r>
      <w:r w:rsidR="00505D46" w:rsidRPr="001B0D3D">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r w:rsidRPr="001B0D3D">
        <w:rPr>
          <w:rFonts w:ascii="Arial" w:hAnsi="Arial" w:cs="Arial"/>
          <w:color w:val="000000" w:themeColor="text1"/>
          <w:sz w:val="19"/>
          <w:szCs w:val="19"/>
        </w:rPr>
        <w:t>»</w:t>
      </w:r>
      <w:r w:rsidR="00505D46" w:rsidRPr="001B0D3D">
        <w:rPr>
          <w:rFonts w:ascii="Arial" w:hAnsi="Arial" w:cs="Arial"/>
          <w:color w:val="000000" w:themeColor="text1"/>
          <w:sz w:val="19"/>
          <w:szCs w:val="19"/>
        </w:rPr>
        <w:t>.</w:t>
      </w:r>
    </w:p>
  </w:footnote>
  <w:footnote w:id="15">
    <w:p w14:paraId="0C028FA6" w14:textId="25E1C552" w:rsidR="00243FC0" w:rsidRPr="001B0D3D" w:rsidRDefault="000A4D73" w:rsidP="00243FC0">
      <w:pPr>
        <w:pStyle w:val="Textonotapie"/>
        <w:ind w:firstLine="708"/>
        <w:rPr>
          <w:rFonts w:ascii="Arial" w:hAnsi="Arial" w:cs="Arial"/>
          <w:color w:val="000000" w:themeColor="text1"/>
          <w:sz w:val="19"/>
          <w:szCs w:val="19"/>
        </w:rPr>
      </w:pPr>
      <w:r w:rsidRPr="001B0D3D">
        <w:rPr>
          <w:rStyle w:val="Refdenotaalpie"/>
          <w:color w:val="000000" w:themeColor="text1"/>
        </w:rPr>
        <w:footnoteRef/>
      </w:r>
      <w:r w:rsidRPr="001B0D3D">
        <w:rPr>
          <w:color w:val="000000" w:themeColor="text1"/>
        </w:rPr>
        <w:t xml:space="preserve"> </w:t>
      </w:r>
      <w:r w:rsidR="001D57C1" w:rsidRPr="001B0D3D">
        <w:rPr>
          <w:rFonts w:ascii="Arial" w:hAnsi="Arial" w:cs="Arial"/>
          <w:color w:val="000000" w:themeColor="text1"/>
          <w:sz w:val="19"/>
          <w:szCs w:val="19"/>
        </w:rPr>
        <w:t>Esta posición fue acogida en las siguientes consu</w:t>
      </w:r>
      <w:r w:rsidR="002E055E" w:rsidRPr="001B0D3D">
        <w:rPr>
          <w:rFonts w:ascii="Arial" w:hAnsi="Arial" w:cs="Arial"/>
          <w:color w:val="000000" w:themeColor="text1"/>
          <w:sz w:val="19"/>
          <w:szCs w:val="19"/>
        </w:rPr>
        <w:t>ltas Rad. 4201813000006240</w:t>
      </w:r>
      <w:r w:rsidR="00243FC0" w:rsidRPr="001B0D3D">
        <w:rPr>
          <w:rFonts w:ascii="Arial" w:hAnsi="Arial" w:cs="Arial"/>
          <w:color w:val="000000" w:themeColor="text1"/>
          <w:sz w:val="19"/>
          <w:szCs w:val="19"/>
        </w:rPr>
        <w:t>: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5490F905" w14:textId="4B93901D" w:rsidR="000A4D73" w:rsidRPr="001B0D3D" w:rsidRDefault="00243FC0" w:rsidP="00826B5B">
      <w:pPr>
        <w:pStyle w:val="Textonotapie"/>
        <w:ind w:firstLine="708"/>
        <w:rPr>
          <w:rFonts w:ascii="Arial" w:hAnsi="Arial" w:cs="Arial"/>
          <w:color w:val="000000" w:themeColor="text1"/>
          <w:sz w:val="19"/>
          <w:szCs w:val="19"/>
        </w:rPr>
      </w:pPr>
      <w:r w:rsidRPr="001B0D3D">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70C878B" w14:textId="77777777" w:rsidR="009114F6" w:rsidRPr="001B0D3D" w:rsidRDefault="009114F6" w:rsidP="00243FC0">
      <w:pPr>
        <w:pStyle w:val="Textonotapie"/>
        <w:rPr>
          <w:rFonts w:ascii="Arial" w:hAnsi="Arial" w:cs="Arial"/>
          <w:color w:val="000000" w:themeColor="text1"/>
          <w:sz w:val="18"/>
          <w:lang w:val="es-CO"/>
        </w:rPr>
      </w:pPr>
    </w:p>
  </w:footnote>
  <w:footnote w:id="16">
    <w:p w14:paraId="1CCD1C67" w14:textId="675C9B65" w:rsidR="00826B5B" w:rsidRPr="001B0D3D" w:rsidRDefault="00720417" w:rsidP="008156C0">
      <w:pPr>
        <w:pStyle w:val="Textonotapie"/>
        <w:ind w:firstLine="709"/>
        <w:rPr>
          <w:rFonts w:ascii="Arial" w:hAnsi="Arial" w:cs="Arial"/>
          <w:color w:val="000000" w:themeColor="text1"/>
          <w:sz w:val="19"/>
          <w:szCs w:val="19"/>
        </w:rPr>
      </w:pPr>
      <w:r w:rsidRPr="001B0D3D">
        <w:rPr>
          <w:rStyle w:val="Refdenotaalpie"/>
          <w:color w:val="000000" w:themeColor="text1"/>
        </w:rPr>
        <w:footnoteRef/>
      </w:r>
      <w:r w:rsidRPr="001B0D3D">
        <w:rPr>
          <w:color w:val="000000" w:themeColor="text1"/>
        </w:rPr>
        <w:t xml:space="preserve"> </w:t>
      </w:r>
      <w:r w:rsidRPr="001B0D3D">
        <w:rPr>
          <w:rFonts w:ascii="Arial" w:hAnsi="Arial" w:cs="Arial"/>
          <w:color w:val="000000" w:themeColor="text1"/>
          <w:sz w:val="19"/>
          <w:szCs w:val="19"/>
        </w:rPr>
        <w:t>Circular Ex</w:t>
      </w:r>
      <w:r w:rsidR="00EF471F" w:rsidRPr="001B0D3D">
        <w:rPr>
          <w:rFonts w:ascii="Arial" w:hAnsi="Arial" w:cs="Arial"/>
          <w:color w:val="000000" w:themeColor="text1"/>
          <w:sz w:val="19"/>
          <w:szCs w:val="19"/>
        </w:rPr>
        <w:t>terna Única</w:t>
      </w:r>
      <w:r w:rsidR="001F2C93" w:rsidRPr="001B0D3D">
        <w:rPr>
          <w:rFonts w:ascii="Arial" w:hAnsi="Arial" w:cs="Arial"/>
          <w:color w:val="000000" w:themeColor="text1"/>
          <w:sz w:val="19"/>
          <w:szCs w:val="19"/>
        </w:rPr>
        <w:t>: «N</w:t>
      </w:r>
      <w:r w:rsidR="00EF471F" w:rsidRPr="001B0D3D">
        <w:rPr>
          <w:rFonts w:ascii="Arial" w:hAnsi="Arial" w:cs="Arial"/>
          <w:color w:val="000000" w:themeColor="text1"/>
          <w:sz w:val="19"/>
          <w:szCs w:val="19"/>
        </w:rPr>
        <w:t>umeral 1.2</w:t>
      </w:r>
      <w:r w:rsidR="001F2C93" w:rsidRPr="001B0D3D">
        <w:rPr>
          <w:rFonts w:ascii="Arial" w:hAnsi="Arial" w:cs="Arial"/>
          <w:color w:val="000000" w:themeColor="text1"/>
          <w:sz w:val="19"/>
          <w:szCs w:val="19"/>
        </w:rPr>
        <w:t xml:space="preserve"> Oportunidad en la publicación de la información en el SECOP: </w:t>
      </w:r>
      <w:r w:rsidR="00826B5B" w:rsidRPr="001B0D3D">
        <w:rPr>
          <w:rFonts w:ascii="Arial" w:hAnsi="Arial" w:cs="Arial"/>
          <w:color w:val="000000" w:themeColor="text1"/>
          <w:sz w:val="19"/>
          <w:szCs w:val="19"/>
        </w:rPr>
        <w:t>Las Entidades que aún utilizan el SECOP I están obligadas a publicar en el SECOP los Documentos del Proceso dentro de los tres (3) días siguientes a su expedición.</w:t>
      </w:r>
    </w:p>
    <w:p w14:paraId="4A766950" w14:textId="3BB2F216" w:rsidR="00826B5B" w:rsidRPr="001B0D3D" w:rsidRDefault="00826B5B" w:rsidP="008156C0">
      <w:pPr>
        <w:pStyle w:val="Textonotapie"/>
        <w:ind w:firstLine="709"/>
        <w:rPr>
          <w:rFonts w:ascii="Arial" w:hAnsi="Arial" w:cs="Arial"/>
          <w:color w:val="000000" w:themeColor="text1"/>
          <w:sz w:val="19"/>
          <w:szCs w:val="19"/>
        </w:rPr>
      </w:pPr>
      <w:r w:rsidRPr="001B0D3D">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3E31D1CA" w14:textId="5FA6B091" w:rsidR="00720417" w:rsidRPr="001B0D3D" w:rsidRDefault="00826B5B" w:rsidP="008156C0">
      <w:pPr>
        <w:pStyle w:val="Textonotapie"/>
        <w:ind w:firstLine="709"/>
        <w:rPr>
          <w:rFonts w:ascii="Arial" w:hAnsi="Arial" w:cs="Arial"/>
          <w:color w:val="000000" w:themeColor="text1"/>
          <w:sz w:val="18"/>
        </w:rPr>
      </w:pPr>
      <w:r w:rsidRPr="001B0D3D">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7">
    <w:p w14:paraId="222FAE6A" w14:textId="1CD8802D" w:rsidR="00AB7620" w:rsidRPr="001B0D3D" w:rsidRDefault="00AB7620" w:rsidP="0071708F">
      <w:pPr>
        <w:pStyle w:val="Textonotapie"/>
        <w:ind w:firstLine="708"/>
        <w:rPr>
          <w:rFonts w:ascii="Arial" w:hAnsi="Arial" w:cs="Arial"/>
          <w:color w:val="000000" w:themeColor="text1"/>
          <w:sz w:val="19"/>
          <w:szCs w:val="19"/>
        </w:rPr>
      </w:pPr>
      <w:r w:rsidRPr="001B0D3D">
        <w:rPr>
          <w:rStyle w:val="Refdenotaalpie"/>
          <w:color w:val="000000" w:themeColor="text1"/>
        </w:rPr>
        <w:footnoteRef/>
      </w:r>
      <w:r w:rsidR="0071708F" w:rsidRPr="001B0D3D">
        <w:rPr>
          <w:color w:val="000000" w:themeColor="text1"/>
        </w:rPr>
        <w:t xml:space="preserve"> </w:t>
      </w:r>
      <w:r w:rsidR="0071708F" w:rsidRPr="001B0D3D">
        <w:rPr>
          <w:rFonts w:ascii="Arial" w:hAnsi="Arial" w:cs="Arial"/>
          <w:color w:val="000000" w:themeColor="text1"/>
          <w:sz w:val="19"/>
          <w:szCs w:val="19"/>
        </w:rPr>
        <w:t>Corte Constitucional. Sentencia C- 083 del 1 de marzo de 1995. M.P. Carlos Gaviria Díaz</w:t>
      </w:r>
    </w:p>
    <w:p w14:paraId="38B9FE43" w14:textId="77777777" w:rsidR="0071708F" w:rsidRPr="001B0D3D" w:rsidRDefault="0071708F" w:rsidP="0071708F">
      <w:pPr>
        <w:pStyle w:val="Textonotapie"/>
        <w:ind w:firstLine="708"/>
        <w:rPr>
          <w:rFonts w:ascii="Arial" w:hAnsi="Arial" w:cs="Arial"/>
          <w:color w:val="000000" w:themeColor="text1"/>
          <w:sz w:val="19"/>
          <w:szCs w:val="19"/>
        </w:rPr>
      </w:pPr>
    </w:p>
  </w:footnote>
  <w:footnote w:id="18">
    <w:p w14:paraId="270898AC" w14:textId="21331180" w:rsidR="00F06C5C" w:rsidRPr="001B0D3D" w:rsidRDefault="001A57BD" w:rsidP="00F06C5C">
      <w:pPr>
        <w:pStyle w:val="Textonotapie"/>
        <w:ind w:firstLine="708"/>
        <w:rPr>
          <w:rFonts w:ascii="Arial" w:hAnsi="Arial" w:cs="Arial"/>
          <w:color w:val="000000" w:themeColor="text1"/>
          <w:sz w:val="19"/>
          <w:szCs w:val="19"/>
        </w:rPr>
      </w:pPr>
      <w:r w:rsidRPr="001B0D3D">
        <w:rPr>
          <w:rStyle w:val="Refdenotaalpie"/>
          <w:color w:val="000000" w:themeColor="text1"/>
        </w:rPr>
        <w:footnoteRef/>
      </w:r>
      <w:r w:rsidRPr="001B0D3D">
        <w:rPr>
          <w:color w:val="000000" w:themeColor="text1"/>
        </w:rPr>
        <w:t xml:space="preserve"> </w:t>
      </w:r>
      <w:r w:rsidRPr="001B0D3D">
        <w:rPr>
          <w:rFonts w:ascii="Arial" w:hAnsi="Arial" w:cs="Arial"/>
          <w:color w:val="000000" w:themeColor="text1"/>
          <w:sz w:val="19"/>
          <w:szCs w:val="19"/>
        </w:rPr>
        <w:t>Decreto 1082 de 2015 «</w:t>
      </w:r>
      <w:r w:rsidR="00F06C5C" w:rsidRPr="001B0D3D">
        <w:rPr>
          <w:rFonts w:ascii="Arial" w:hAnsi="Arial" w:cs="Arial"/>
          <w:color w:val="000000" w:themeColor="text1"/>
          <w:sz w:val="19"/>
          <w:szCs w:val="19"/>
        </w:rPr>
        <w:t>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8D6460D" w14:textId="6E0E5362" w:rsidR="001A57BD" w:rsidRPr="001B0D3D" w:rsidRDefault="00F06C5C" w:rsidP="00F06C5C">
      <w:pPr>
        <w:pStyle w:val="Textonotapie"/>
        <w:ind w:firstLine="708"/>
        <w:rPr>
          <w:rFonts w:ascii="Arial" w:hAnsi="Arial" w:cs="Arial"/>
          <w:color w:val="000000" w:themeColor="text1"/>
          <w:sz w:val="19"/>
          <w:szCs w:val="19"/>
        </w:rPr>
      </w:pPr>
      <w:r w:rsidRPr="001B0D3D">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69FB" w14:textId="14377407" w:rsidR="009047C5" w:rsidRDefault="000C0EDB" w:rsidP="009047C5">
    <w:pPr>
      <w:rPr>
        <w:rFonts w:ascii="Arial" w:hAnsi="Arial" w:cs="Arial"/>
        <w:sz w:val="20"/>
        <w:szCs w:val="20"/>
      </w:rPr>
    </w:pPr>
    <w:r>
      <w:rPr>
        <w:noProof/>
        <w:lang w:val="es-CO" w:eastAsia="es-CO"/>
      </w:rPr>
      <w:drawing>
        <wp:anchor distT="0" distB="0" distL="114300" distR="114300" simplePos="0" relativeHeight="251658240" behindDoc="1" locked="0" layoutInCell="1" allowOverlap="1" wp14:anchorId="48FC6A05" wp14:editId="6AE4B72B">
          <wp:simplePos x="0" y="0"/>
          <wp:positionH relativeFrom="column">
            <wp:posOffset>4166594</wp:posOffset>
          </wp:positionH>
          <wp:positionV relativeFrom="paragraph">
            <wp:posOffset>10547</wp:posOffset>
          </wp:positionV>
          <wp:extent cx="1500505" cy="616585"/>
          <wp:effectExtent l="0" t="0" r="4445" b="0"/>
          <wp:wrapTight wrapText="bothSides">
            <wp:wrapPolygon edited="0">
              <wp:start x="18099" y="0"/>
              <wp:lineTo x="1645" y="667"/>
              <wp:lineTo x="548" y="1335"/>
              <wp:lineTo x="548" y="18019"/>
              <wp:lineTo x="1920" y="19353"/>
              <wp:lineTo x="11243" y="20688"/>
              <wp:lineTo x="12614" y="20688"/>
              <wp:lineTo x="20019" y="19353"/>
              <wp:lineTo x="21390" y="18019"/>
              <wp:lineTo x="20841" y="1335"/>
              <wp:lineTo x="20293" y="0"/>
              <wp:lineTo x="18099"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505"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C69FC" w14:textId="3C473E8D" w:rsidR="009047C5" w:rsidRDefault="009047C5" w:rsidP="009047C5">
    <w:pPr>
      <w:jc w:val="right"/>
      <w:rPr>
        <w:rFonts w:ascii="Arial" w:hAnsi="Arial" w:cs="Arial"/>
        <w:i/>
        <w:sz w:val="18"/>
        <w:szCs w:val="20"/>
      </w:rPr>
    </w:pPr>
  </w:p>
  <w:p w14:paraId="48FC69FD" w14:textId="77777777" w:rsidR="009047C5" w:rsidRDefault="009047C5" w:rsidP="009047C5">
    <w:pPr>
      <w:jc w:val="right"/>
      <w:rPr>
        <w:rFonts w:ascii="Arial" w:hAnsi="Arial" w:cs="Arial"/>
        <w:i/>
        <w:sz w:val="18"/>
        <w:szCs w:val="20"/>
      </w:rPr>
    </w:pPr>
  </w:p>
  <w:p w14:paraId="48FC69FE" w14:textId="77777777" w:rsidR="009047C5" w:rsidRDefault="009047C5" w:rsidP="009047C5">
    <w:pPr>
      <w:jc w:val="right"/>
      <w:rPr>
        <w:rFonts w:ascii="Arial" w:hAnsi="Arial" w:cs="Arial"/>
        <w: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57D0"/>
    <w:multiLevelType w:val="multilevel"/>
    <w:tmpl w:val="199010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B31C2B"/>
    <w:multiLevelType w:val="hybridMultilevel"/>
    <w:tmpl w:val="80BC3FA2"/>
    <w:lvl w:ilvl="0" w:tplc="ABB84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3F15"/>
    <w:multiLevelType w:val="multilevel"/>
    <w:tmpl w:val="6A4A2B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DCD41EA"/>
    <w:multiLevelType w:val="hybridMultilevel"/>
    <w:tmpl w:val="8B56FB5A"/>
    <w:lvl w:ilvl="0" w:tplc="B1128CF2">
      <w:start w:val="1"/>
      <w:numFmt w:val="decimal"/>
      <w:lvlText w:val="%1."/>
      <w:lvlJc w:val="left"/>
      <w:pPr>
        <w:ind w:left="720" w:hanging="360"/>
      </w:pPr>
      <w:rPr>
        <w:rFonts w:hint="default"/>
        <w:color w:val="4E4D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C04955"/>
    <w:multiLevelType w:val="hybridMultilevel"/>
    <w:tmpl w:val="2B8C1E74"/>
    <w:lvl w:ilvl="0" w:tplc="39DC3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970740C"/>
    <w:multiLevelType w:val="hybridMultilevel"/>
    <w:tmpl w:val="7C86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51D59CB"/>
    <w:multiLevelType w:val="hybridMultilevel"/>
    <w:tmpl w:val="F0B4B094"/>
    <w:lvl w:ilvl="0" w:tplc="947CCC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7B1D5B70"/>
    <w:multiLevelType w:val="hybridMultilevel"/>
    <w:tmpl w:val="6E60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53E6F"/>
    <w:multiLevelType w:val="multilevel"/>
    <w:tmpl w:val="D8D859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7"/>
  </w:num>
  <w:num w:numId="4">
    <w:abstractNumId w:val="8"/>
  </w:num>
  <w:num w:numId="5">
    <w:abstractNumId w:val="12"/>
  </w:num>
  <w:num w:numId="6">
    <w:abstractNumId w:val="3"/>
  </w:num>
  <w:num w:numId="7">
    <w:abstractNumId w:val="13"/>
  </w:num>
  <w:num w:numId="8">
    <w:abstractNumId w:val="9"/>
  </w:num>
  <w:num w:numId="9">
    <w:abstractNumId w:val="1"/>
  </w:num>
  <w:num w:numId="10">
    <w:abstractNumId w:val="6"/>
  </w:num>
  <w:num w:numId="11">
    <w:abstractNumId w:val="10"/>
  </w:num>
  <w:num w:numId="12">
    <w:abstractNumId w:val="2"/>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D13"/>
    <w:rsid w:val="00001B63"/>
    <w:rsid w:val="00002A1B"/>
    <w:rsid w:val="00007089"/>
    <w:rsid w:val="00014572"/>
    <w:rsid w:val="00020500"/>
    <w:rsid w:val="00020C3A"/>
    <w:rsid w:val="0002325A"/>
    <w:rsid w:val="00023C83"/>
    <w:rsid w:val="0003031E"/>
    <w:rsid w:val="00033B84"/>
    <w:rsid w:val="00037EE2"/>
    <w:rsid w:val="00043E84"/>
    <w:rsid w:val="00045F66"/>
    <w:rsid w:val="00055177"/>
    <w:rsid w:val="000615A2"/>
    <w:rsid w:val="00062BAB"/>
    <w:rsid w:val="00064606"/>
    <w:rsid w:val="00075EA0"/>
    <w:rsid w:val="00082359"/>
    <w:rsid w:val="00083DC4"/>
    <w:rsid w:val="0008728F"/>
    <w:rsid w:val="00090C11"/>
    <w:rsid w:val="000911FF"/>
    <w:rsid w:val="0009328E"/>
    <w:rsid w:val="000942EB"/>
    <w:rsid w:val="00097D8F"/>
    <w:rsid w:val="000A42A2"/>
    <w:rsid w:val="000A4D73"/>
    <w:rsid w:val="000B103F"/>
    <w:rsid w:val="000B3A45"/>
    <w:rsid w:val="000B691B"/>
    <w:rsid w:val="000C0EDB"/>
    <w:rsid w:val="000D75C6"/>
    <w:rsid w:val="000E15BB"/>
    <w:rsid w:val="000E388A"/>
    <w:rsid w:val="000F14E8"/>
    <w:rsid w:val="000F4118"/>
    <w:rsid w:val="000F7B8B"/>
    <w:rsid w:val="00101E79"/>
    <w:rsid w:val="00103915"/>
    <w:rsid w:val="00110B35"/>
    <w:rsid w:val="00112FD0"/>
    <w:rsid w:val="00113EB1"/>
    <w:rsid w:val="00117309"/>
    <w:rsid w:val="00121C77"/>
    <w:rsid w:val="00122B23"/>
    <w:rsid w:val="00123425"/>
    <w:rsid w:val="001318F7"/>
    <w:rsid w:val="00133C8C"/>
    <w:rsid w:val="00137FFA"/>
    <w:rsid w:val="00141C03"/>
    <w:rsid w:val="00143865"/>
    <w:rsid w:val="00150912"/>
    <w:rsid w:val="0016583A"/>
    <w:rsid w:val="00165A09"/>
    <w:rsid w:val="0016701E"/>
    <w:rsid w:val="0017022D"/>
    <w:rsid w:val="00170EC3"/>
    <w:rsid w:val="00171776"/>
    <w:rsid w:val="00174988"/>
    <w:rsid w:val="00191286"/>
    <w:rsid w:val="00191731"/>
    <w:rsid w:val="0019246E"/>
    <w:rsid w:val="00192E6A"/>
    <w:rsid w:val="00193F79"/>
    <w:rsid w:val="0019500D"/>
    <w:rsid w:val="001A1857"/>
    <w:rsid w:val="001A51CA"/>
    <w:rsid w:val="001A57BD"/>
    <w:rsid w:val="001B0D3D"/>
    <w:rsid w:val="001B2609"/>
    <w:rsid w:val="001B6475"/>
    <w:rsid w:val="001B6DBB"/>
    <w:rsid w:val="001C322B"/>
    <w:rsid w:val="001C3970"/>
    <w:rsid w:val="001C627A"/>
    <w:rsid w:val="001C7EE6"/>
    <w:rsid w:val="001D04C5"/>
    <w:rsid w:val="001D2274"/>
    <w:rsid w:val="001D55D5"/>
    <w:rsid w:val="001D57C1"/>
    <w:rsid w:val="001D6B45"/>
    <w:rsid w:val="001E7E31"/>
    <w:rsid w:val="001F2C93"/>
    <w:rsid w:val="001F5B90"/>
    <w:rsid w:val="00201637"/>
    <w:rsid w:val="00206A28"/>
    <w:rsid w:val="00212AF4"/>
    <w:rsid w:val="00212EA1"/>
    <w:rsid w:val="00230B7F"/>
    <w:rsid w:val="00231E70"/>
    <w:rsid w:val="00234B84"/>
    <w:rsid w:val="00234BCA"/>
    <w:rsid w:val="00235486"/>
    <w:rsid w:val="00243F5E"/>
    <w:rsid w:val="00243FC0"/>
    <w:rsid w:val="0024442B"/>
    <w:rsid w:val="00246A2C"/>
    <w:rsid w:val="00253574"/>
    <w:rsid w:val="002541A4"/>
    <w:rsid w:val="00256785"/>
    <w:rsid w:val="002605E5"/>
    <w:rsid w:val="00261D30"/>
    <w:rsid w:val="0026262C"/>
    <w:rsid w:val="002635AA"/>
    <w:rsid w:val="0027034D"/>
    <w:rsid w:val="00284D90"/>
    <w:rsid w:val="00285133"/>
    <w:rsid w:val="0029304C"/>
    <w:rsid w:val="00295653"/>
    <w:rsid w:val="00296EB3"/>
    <w:rsid w:val="00297889"/>
    <w:rsid w:val="002A301A"/>
    <w:rsid w:val="002A3F26"/>
    <w:rsid w:val="002A5E34"/>
    <w:rsid w:val="002C0E0D"/>
    <w:rsid w:val="002C441B"/>
    <w:rsid w:val="002C4AC3"/>
    <w:rsid w:val="002D0101"/>
    <w:rsid w:val="002D1241"/>
    <w:rsid w:val="002E055E"/>
    <w:rsid w:val="002E7683"/>
    <w:rsid w:val="002F188F"/>
    <w:rsid w:val="002F236D"/>
    <w:rsid w:val="002F31CD"/>
    <w:rsid w:val="002F56F6"/>
    <w:rsid w:val="00300D5B"/>
    <w:rsid w:val="003033BA"/>
    <w:rsid w:val="0031044A"/>
    <w:rsid w:val="00313FE8"/>
    <w:rsid w:val="0031430E"/>
    <w:rsid w:val="0033337F"/>
    <w:rsid w:val="00335783"/>
    <w:rsid w:val="0034680A"/>
    <w:rsid w:val="0034727F"/>
    <w:rsid w:val="00355B76"/>
    <w:rsid w:val="00357A09"/>
    <w:rsid w:val="00357E95"/>
    <w:rsid w:val="00361154"/>
    <w:rsid w:val="003629B8"/>
    <w:rsid w:val="00362C5D"/>
    <w:rsid w:val="00380CA6"/>
    <w:rsid w:val="00380F68"/>
    <w:rsid w:val="00386456"/>
    <w:rsid w:val="00387612"/>
    <w:rsid w:val="00390D1D"/>
    <w:rsid w:val="00394B86"/>
    <w:rsid w:val="003961C7"/>
    <w:rsid w:val="003A3385"/>
    <w:rsid w:val="003A4014"/>
    <w:rsid w:val="003A581E"/>
    <w:rsid w:val="003B2A57"/>
    <w:rsid w:val="003B606D"/>
    <w:rsid w:val="003C50E8"/>
    <w:rsid w:val="003E6E7C"/>
    <w:rsid w:val="003F51C7"/>
    <w:rsid w:val="003F68A2"/>
    <w:rsid w:val="00403831"/>
    <w:rsid w:val="0041190A"/>
    <w:rsid w:val="0041230A"/>
    <w:rsid w:val="00412356"/>
    <w:rsid w:val="0041288F"/>
    <w:rsid w:val="00413517"/>
    <w:rsid w:val="0042123A"/>
    <w:rsid w:val="00422613"/>
    <w:rsid w:val="00426400"/>
    <w:rsid w:val="00431EF3"/>
    <w:rsid w:val="004355EE"/>
    <w:rsid w:val="004375A4"/>
    <w:rsid w:val="004422D6"/>
    <w:rsid w:val="00443E3E"/>
    <w:rsid w:val="004557C6"/>
    <w:rsid w:val="0046293F"/>
    <w:rsid w:val="00466974"/>
    <w:rsid w:val="00471C7B"/>
    <w:rsid w:val="00473498"/>
    <w:rsid w:val="004778AD"/>
    <w:rsid w:val="0048338B"/>
    <w:rsid w:val="004838C7"/>
    <w:rsid w:val="00486E65"/>
    <w:rsid w:val="0048736B"/>
    <w:rsid w:val="00491913"/>
    <w:rsid w:val="004A01EE"/>
    <w:rsid w:val="004A6E63"/>
    <w:rsid w:val="004B224D"/>
    <w:rsid w:val="004B2401"/>
    <w:rsid w:val="004B31CC"/>
    <w:rsid w:val="004B3CD1"/>
    <w:rsid w:val="004B5FE5"/>
    <w:rsid w:val="004B6335"/>
    <w:rsid w:val="004C28A3"/>
    <w:rsid w:val="004C515A"/>
    <w:rsid w:val="004C7284"/>
    <w:rsid w:val="004D1300"/>
    <w:rsid w:val="004D38E2"/>
    <w:rsid w:val="004D78A4"/>
    <w:rsid w:val="004E1E22"/>
    <w:rsid w:val="004E44E6"/>
    <w:rsid w:val="004E4FEB"/>
    <w:rsid w:val="004F2885"/>
    <w:rsid w:val="004F33FE"/>
    <w:rsid w:val="004F39F9"/>
    <w:rsid w:val="00500CEC"/>
    <w:rsid w:val="00503AFB"/>
    <w:rsid w:val="00505D46"/>
    <w:rsid w:val="00506189"/>
    <w:rsid w:val="00506D7B"/>
    <w:rsid w:val="0051074C"/>
    <w:rsid w:val="00510EDB"/>
    <w:rsid w:val="00513AF2"/>
    <w:rsid w:val="00516593"/>
    <w:rsid w:val="0052729A"/>
    <w:rsid w:val="00533ACD"/>
    <w:rsid w:val="005411C5"/>
    <w:rsid w:val="00541258"/>
    <w:rsid w:val="0054308B"/>
    <w:rsid w:val="00543103"/>
    <w:rsid w:val="0054413A"/>
    <w:rsid w:val="005443B9"/>
    <w:rsid w:val="00547ECF"/>
    <w:rsid w:val="0055286F"/>
    <w:rsid w:val="0055295B"/>
    <w:rsid w:val="00552D50"/>
    <w:rsid w:val="005540EC"/>
    <w:rsid w:val="005564CA"/>
    <w:rsid w:val="00556B64"/>
    <w:rsid w:val="005578A9"/>
    <w:rsid w:val="00561A8D"/>
    <w:rsid w:val="00565674"/>
    <w:rsid w:val="00567D2A"/>
    <w:rsid w:val="00572C29"/>
    <w:rsid w:val="00576378"/>
    <w:rsid w:val="00576480"/>
    <w:rsid w:val="00580B34"/>
    <w:rsid w:val="00586E95"/>
    <w:rsid w:val="00587C1E"/>
    <w:rsid w:val="00593A1C"/>
    <w:rsid w:val="005976BA"/>
    <w:rsid w:val="005A6773"/>
    <w:rsid w:val="005A6AE9"/>
    <w:rsid w:val="005A7C5B"/>
    <w:rsid w:val="005B0FBF"/>
    <w:rsid w:val="005B46DB"/>
    <w:rsid w:val="005C17CA"/>
    <w:rsid w:val="005C2B15"/>
    <w:rsid w:val="005C4CA8"/>
    <w:rsid w:val="005C56D7"/>
    <w:rsid w:val="005D40AC"/>
    <w:rsid w:val="005D717F"/>
    <w:rsid w:val="005E13FD"/>
    <w:rsid w:val="005E4882"/>
    <w:rsid w:val="005E6C6A"/>
    <w:rsid w:val="005E6C71"/>
    <w:rsid w:val="005F5BC2"/>
    <w:rsid w:val="00604832"/>
    <w:rsid w:val="00610455"/>
    <w:rsid w:val="00615ECD"/>
    <w:rsid w:val="00617B14"/>
    <w:rsid w:val="00620F3E"/>
    <w:rsid w:val="00627AA0"/>
    <w:rsid w:val="006324C5"/>
    <w:rsid w:val="00633038"/>
    <w:rsid w:val="0064079D"/>
    <w:rsid w:val="006434B4"/>
    <w:rsid w:val="006453CB"/>
    <w:rsid w:val="00653CB9"/>
    <w:rsid w:val="00655371"/>
    <w:rsid w:val="00655CA3"/>
    <w:rsid w:val="00661307"/>
    <w:rsid w:val="00662F9A"/>
    <w:rsid w:val="00665375"/>
    <w:rsid w:val="00665D32"/>
    <w:rsid w:val="00693568"/>
    <w:rsid w:val="00696F8D"/>
    <w:rsid w:val="00697665"/>
    <w:rsid w:val="006A1F5A"/>
    <w:rsid w:val="006A57B4"/>
    <w:rsid w:val="006A7CB8"/>
    <w:rsid w:val="006A7EDE"/>
    <w:rsid w:val="006A7FD0"/>
    <w:rsid w:val="006C0EE0"/>
    <w:rsid w:val="006C1FC3"/>
    <w:rsid w:val="006C757D"/>
    <w:rsid w:val="006D0001"/>
    <w:rsid w:val="006D12EC"/>
    <w:rsid w:val="006D1DBF"/>
    <w:rsid w:val="006D7687"/>
    <w:rsid w:val="006E0572"/>
    <w:rsid w:val="006E09DF"/>
    <w:rsid w:val="006E13FF"/>
    <w:rsid w:val="006F2E51"/>
    <w:rsid w:val="00705631"/>
    <w:rsid w:val="00714841"/>
    <w:rsid w:val="0071645F"/>
    <w:rsid w:val="0071708F"/>
    <w:rsid w:val="00720417"/>
    <w:rsid w:val="00720645"/>
    <w:rsid w:val="00725C8B"/>
    <w:rsid w:val="0073006B"/>
    <w:rsid w:val="00730FEF"/>
    <w:rsid w:val="00732F58"/>
    <w:rsid w:val="00733CEB"/>
    <w:rsid w:val="00741C80"/>
    <w:rsid w:val="00742DD2"/>
    <w:rsid w:val="0075140D"/>
    <w:rsid w:val="0075494D"/>
    <w:rsid w:val="0075647A"/>
    <w:rsid w:val="0075700F"/>
    <w:rsid w:val="0076055C"/>
    <w:rsid w:val="007634AD"/>
    <w:rsid w:val="0076571F"/>
    <w:rsid w:val="0077384B"/>
    <w:rsid w:val="0077759E"/>
    <w:rsid w:val="0078122E"/>
    <w:rsid w:val="00781DD0"/>
    <w:rsid w:val="00782820"/>
    <w:rsid w:val="00786C0A"/>
    <w:rsid w:val="00792B10"/>
    <w:rsid w:val="007A1AED"/>
    <w:rsid w:val="007A1EF0"/>
    <w:rsid w:val="007A2C6D"/>
    <w:rsid w:val="007A4D11"/>
    <w:rsid w:val="007A5691"/>
    <w:rsid w:val="007B353D"/>
    <w:rsid w:val="007B4EA8"/>
    <w:rsid w:val="007C1CEE"/>
    <w:rsid w:val="007C26AB"/>
    <w:rsid w:val="007C761E"/>
    <w:rsid w:val="007C7E10"/>
    <w:rsid w:val="007D34A8"/>
    <w:rsid w:val="007D4034"/>
    <w:rsid w:val="007D5A37"/>
    <w:rsid w:val="007E46B8"/>
    <w:rsid w:val="007E5986"/>
    <w:rsid w:val="007F0E46"/>
    <w:rsid w:val="007F72CB"/>
    <w:rsid w:val="008063E5"/>
    <w:rsid w:val="008156C0"/>
    <w:rsid w:val="00815812"/>
    <w:rsid w:val="008172E2"/>
    <w:rsid w:val="00823F2C"/>
    <w:rsid w:val="0082682C"/>
    <w:rsid w:val="00826B5B"/>
    <w:rsid w:val="00827933"/>
    <w:rsid w:val="0083119B"/>
    <w:rsid w:val="0083338A"/>
    <w:rsid w:val="0083346C"/>
    <w:rsid w:val="0083690C"/>
    <w:rsid w:val="00836A92"/>
    <w:rsid w:val="00836EAB"/>
    <w:rsid w:val="008371B0"/>
    <w:rsid w:val="00841C50"/>
    <w:rsid w:val="00842C46"/>
    <w:rsid w:val="00847284"/>
    <w:rsid w:val="0085016F"/>
    <w:rsid w:val="0085092D"/>
    <w:rsid w:val="008553B8"/>
    <w:rsid w:val="008575F1"/>
    <w:rsid w:val="00860F84"/>
    <w:rsid w:val="0086201B"/>
    <w:rsid w:val="00866FF7"/>
    <w:rsid w:val="0086703F"/>
    <w:rsid w:val="008714AC"/>
    <w:rsid w:val="00876CFE"/>
    <w:rsid w:val="00876D2A"/>
    <w:rsid w:val="008A1A65"/>
    <w:rsid w:val="008A292D"/>
    <w:rsid w:val="008B185D"/>
    <w:rsid w:val="008B3E47"/>
    <w:rsid w:val="008B7534"/>
    <w:rsid w:val="008D1C15"/>
    <w:rsid w:val="008E1C15"/>
    <w:rsid w:val="008E2635"/>
    <w:rsid w:val="008E459D"/>
    <w:rsid w:val="008E5D4B"/>
    <w:rsid w:val="008F0E5E"/>
    <w:rsid w:val="008F1839"/>
    <w:rsid w:val="008F4CE1"/>
    <w:rsid w:val="008F7EB0"/>
    <w:rsid w:val="009029E2"/>
    <w:rsid w:val="009043B8"/>
    <w:rsid w:val="009047C5"/>
    <w:rsid w:val="0090568B"/>
    <w:rsid w:val="00906A72"/>
    <w:rsid w:val="009114F6"/>
    <w:rsid w:val="00915188"/>
    <w:rsid w:val="009213CD"/>
    <w:rsid w:val="0092182F"/>
    <w:rsid w:val="009309CA"/>
    <w:rsid w:val="009312E0"/>
    <w:rsid w:val="0093150A"/>
    <w:rsid w:val="00932E9A"/>
    <w:rsid w:val="00932F6F"/>
    <w:rsid w:val="00936167"/>
    <w:rsid w:val="00942969"/>
    <w:rsid w:val="00943173"/>
    <w:rsid w:val="00945E4F"/>
    <w:rsid w:val="00946582"/>
    <w:rsid w:val="0094760B"/>
    <w:rsid w:val="00950032"/>
    <w:rsid w:val="00951B47"/>
    <w:rsid w:val="00952E1A"/>
    <w:rsid w:val="00952ED6"/>
    <w:rsid w:val="0095385A"/>
    <w:rsid w:val="00954C16"/>
    <w:rsid w:val="009621EB"/>
    <w:rsid w:val="009638C9"/>
    <w:rsid w:val="009659A2"/>
    <w:rsid w:val="009659A7"/>
    <w:rsid w:val="00973171"/>
    <w:rsid w:val="00975147"/>
    <w:rsid w:val="009763C4"/>
    <w:rsid w:val="00977127"/>
    <w:rsid w:val="00986E13"/>
    <w:rsid w:val="00987173"/>
    <w:rsid w:val="00990E17"/>
    <w:rsid w:val="00992E40"/>
    <w:rsid w:val="00993BA4"/>
    <w:rsid w:val="0099745D"/>
    <w:rsid w:val="009B0AF1"/>
    <w:rsid w:val="009B2BC2"/>
    <w:rsid w:val="009C79F4"/>
    <w:rsid w:val="009E0648"/>
    <w:rsid w:val="009E73DD"/>
    <w:rsid w:val="009F517D"/>
    <w:rsid w:val="009F6429"/>
    <w:rsid w:val="00A01228"/>
    <w:rsid w:val="00A01E0C"/>
    <w:rsid w:val="00A04167"/>
    <w:rsid w:val="00A07569"/>
    <w:rsid w:val="00A07958"/>
    <w:rsid w:val="00A07E12"/>
    <w:rsid w:val="00A10173"/>
    <w:rsid w:val="00A101AA"/>
    <w:rsid w:val="00A11790"/>
    <w:rsid w:val="00A137CD"/>
    <w:rsid w:val="00A13A1A"/>
    <w:rsid w:val="00A1554B"/>
    <w:rsid w:val="00A21E2E"/>
    <w:rsid w:val="00A24560"/>
    <w:rsid w:val="00A250D3"/>
    <w:rsid w:val="00A34538"/>
    <w:rsid w:val="00A460DF"/>
    <w:rsid w:val="00A515EB"/>
    <w:rsid w:val="00A51CE6"/>
    <w:rsid w:val="00A64AD8"/>
    <w:rsid w:val="00A70A59"/>
    <w:rsid w:val="00A7442F"/>
    <w:rsid w:val="00A76FD7"/>
    <w:rsid w:val="00A83854"/>
    <w:rsid w:val="00A840BA"/>
    <w:rsid w:val="00AA2E20"/>
    <w:rsid w:val="00AA442B"/>
    <w:rsid w:val="00AA568D"/>
    <w:rsid w:val="00AA5726"/>
    <w:rsid w:val="00AB7620"/>
    <w:rsid w:val="00AC0D19"/>
    <w:rsid w:val="00AC133A"/>
    <w:rsid w:val="00AC52D1"/>
    <w:rsid w:val="00AC700A"/>
    <w:rsid w:val="00AD32CD"/>
    <w:rsid w:val="00AF0DE8"/>
    <w:rsid w:val="00AF27E3"/>
    <w:rsid w:val="00AF33C4"/>
    <w:rsid w:val="00AF43F0"/>
    <w:rsid w:val="00AF46A2"/>
    <w:rsid w:val="00AF4FA2"/>
    <w:rsid w:val="00AF784C"/>
    <w:rsid w:val="00AF7977"/>
    <w:rsid w:val="00B010A2"/>
    <w:rsid w:val="00B072EC"/>
    <w:rsid w:val="00B11738"/>
    <w:rsid w:val="00B13F75"/>
    <w:rsid w:val="00B14F38"/>
    <w:rsid w:val="00B174E0"/>
    <w:rsid w:val="00B20D51"/>
    <w:rsid w:val="00B22E22"/>
    <w:rsid w:val="00B23A19"/>
    <w:rsid w:val="00B2452D"/>
    <w:rsid w:val="00B250A7"/>
    <w:rsid w:val="00B40B59"/>
    <w:rsid w:val="00B461D4"/>
    <w:rsid w:val="00B46B12"/>
    <w:rsid w:val="00B5212D"/>
    <w:rsid w:val="00B525CB"/>
    <w:rsid w:val="00B56E6C"/>
    <w:rsid w:val="00B5723F"/>
    <w:rsid w:val="00B57752"/>
    <w:rsid w:val="00B609D8"/>
    <w:rsid w:val="00B63CB2"/>
    <w:rsid w:val="00B65B14"/>
    <w:rsid w:val="00B675DB"/>
    <w:rsid w:val="00B71418"/>
    <w:rsid w:val="00B7655C"/>
    <w:rsid w:val="00B93929"/>
    <w:rsid w:val="00B93CA1"/>
    <w:rsid w:val="00BB1AC5"/>
    <w:rsid w:val="00BB6D96"/>
    <w:rsid w:val="00BB6EC2"/>
    <w:rsid w:val="00BC2F7A"/>
    <w:rsid w:val="00BC3606"/>
    <w:rsid w:val="00BC3B26"/>
    <w:rsid w:val="00BC60B7"/>
    <w:rsid w:val="00BC6D0C"/>
    <w:rsid w:val="00BD31FA"/>
    <w:rsid w:val="00BD7627"/>
    <w:rsid w:val="00BD78FE"/>
    <w:rsid w:val="00BE44B1"/>
    <w:rsid w:val="00BE5C4E"/>
    <w:rsid w:val="00BF6A4B"/>
    <w:rsid w:val="00C01CDA"/>
    <w:rsid w:val="00C020D5"/>
    <w:rsid w:val="00C06A17"/>
    <w:rsid w:val="00C06B17"/>
    <w:rsid w:val="00C07777"/>
    <w:rsid w:val="00C14535"/>
    <w:rsid w:val="00C21554"/>
    <w:rsid w:val="00C21B32"/>
    <w:rsid w:val="00C21E24"/>
    <w:rsid w:val="00C221F6"/>
    <w:rsid w:val="00C239D0"/>
    <w:rsid w:val="00C24E8F"/>
    <w:rsid w:val="00C40357"/>
    <w:rsid w:val="00C441C5"/>
    <w:rsid w:val="00C45899"/>
    <w:rsid w:val="00C463D3"/>
    <w:rsid w:val="00C4651B"/>
    <w:rsid w:val="00C4766B"/>
    <w:rsid w:val="00C478E0"/>
    <w:rsid w:val="00C504A7"/>
    <w:rsid w:val="00C5053E"/>
    <w:rsid w:val="00C527FF"/>
    <w:rsid w:val="00C607E1"/>
    <w:rsid w:val="00C6616A"/>
    <w:rsid w:val="00C675AD"/>
    <w:rsid w:val="00C72923"/>
    <w:rsid w:val="00C72F0B"/>
    <w:rsid w:val="00C775CC"/>
    <w:rsid w:val="00C800A9"/>
    <w:rsid w:val="00C906DE"/>
    <w:rsid w:val="00C907DB"/>
    <w:rsid w:val="00C918FE"/>
    <w:rsid w:val="00CA314B"/>
    <w:rsid w:val="00CA4950"/>
    <w:rsid w:val="00CA50F6"/>
    <w:rsid w:val="00CA6880"/>
    <w:rsid w:val="00CB24D6"/>
    <w:rsid w:val="00CC00CD"/>
    <w:rsid w:val="00CC1582"/>
    <w:rsid w:val="00CC5055"/>
    <w:rsid w:val="00CC5CB3"/>
    <w:rsid w:val="00CD0FF1"/>
    <w:rsid w:val="00CD151F"/>
    <w:rsid w:val="00CD1D0F"/>
    <w:rsid w:val="00CD30B2"/>
    <w:rsid w:val="00CD405B"/>
    <w:rsid w:val="00CD6745"/>
    <w:rsid w:val="00CE6F03"/>
    <w:rsid w:val="00CF52A1"/>
    <w:rsid w:val="00CF7575"/>
    <w:rsid w:val="00D0159B"/>
    <w:rsid w:val="00D04A16"/>
    <w:rsid w:val="00D04BFD"/>
    <w:rsid w:val="00D0550E"/>
    <w:rsid w:val="00D0729D"/>
    <w:rsid w:val="00D16E39"/>
    <w:rsid w:val="00D30299"/>
    <w:rsid w:val="00D35FB8"/>
    <w:rsid w:val="00D46A12"/>
    <w:rsid w:val="00D52EF9"/>
    <w:rsid w:val="00D5792C"/>
    <w:rsid w:val="00D60333"/>
    <w:rsid w:val="00D621D3"/>
    <w:rsid w:val="00D72E9D"/>
    <w:rsid w:val="00D7475B"/>
    <w:rsid w:val="00D7516D"/>
    <w:rsid w:val="00D82CE5"/>
    <w:rsid w:val="00D83385"/>
    <w:rsid w:val="00D84F74"/>
    <w:rsid w:val="00DA53FF"/>
    <w:rsid w:val="00DA5800"/>
    <w:rsid w:val="00DA5AB1"/>
    <w:rsid w:val="00DA6273"/>
    <w:rsid w:val="00DB3390"/>
    <w:rsid w:val="00DB3FB4"/>
    <w:rsid w:val="00DB5C08"/>
    <w:rsid w:val="00DB670F"/>
    <w:rsid w:val="00DB77FD"/>
    <w:rsid w:val="00DC1D5A"/>
    <w:rsid w:val="00DC62E5"/>
    <w:rsid w:val="00DD08DE"/>
    <w:rsid w:val="00DD212A"/>
    <w:rsid w:val="00DD4A31"/>
    <w:rsid w:val="00DD735D"/>
    <w:rsid w:val="00DD7801"/>
    <w:rsid w:val="00DE17FD"/>
    <w:rsid w:val="00DE3119"/>
    <w:rsid w:val="00DE532E"/>
    <w:rsid w:val="00DF13B2"/>
    <w:rsid w:val="00DF16C2"/>
    <w:rsid w:val="00DF236B"/>
    <w:rsid w:val="00DF5C65"/>
    <w:rsid w:val="00DF68C5"/>
    <w:rsid w:val="00DF7EA8"/>
    <w:rsid w:val="00E109D3"/>
    <w:rsid w:val="00E129BB"/>
    <w:rsid w:val="00E13AB8"/>
    <w:rsid w:val="00E15420"/>
    <w:rsid w:val="00E15D73"/>
    <w:rsid w:val="00E17D15"/>
    <w:rsid w:val="00E232BC"/>
    <w:rsid w:val="00E2609E"/>
    <w:rsid w:val="00E33B62"/>
    <w:rsid w:val="00E3633B"/>
    <w:rsid w:val="00E4551E"/>
    <w:rsid w:val="00E50DA3"/>
    <w:rsid w:val="00E51607"/>
    <w:rsid w:val="00E620C8"/>
    <w:rsid w:val="00E7101D"/>
    <w:rsid w:val="00E72E4F"/>
    <w:rsid w:val="00E84C12"/>
    <w:rsid w:val="00E953C2"/>
    <w:rsid w:val="00E9554C"/>
    <w:rsid w:val="00E962BA"/>
    <w:rsid w:val="00E96AD1"/>
    <w:rsid w:val="00EA524C"/>
    <w:rsid w:val="00EC1974"/>
    <w:rsid w:val="00ED5848"/>
    <w:rsid w:val="00EE00CF"/>
    <w:rsid w:val="00EE36C7"/>
    <w:rsid w:val="00EE5C4B"/>
    <w:rsid w:val="00EE5CD1"/>
    <w:rsid w:val="00EE6F6F"/>
    <w:rsid w:val="00EF471F"/>
    <w:rsid w:val="00EF50DF"/>
    <w:rsid w:val="00EF547C"/>
    <w:rsid w:val="00EF58E4"/>
    <w:rsid w:val="00EF7CCC"/>
    <w:rsid w:val="00F01612"/>
    <w:rsid w:val="00F06C5C"/>
    <w:rsid w:val="00F2617B"/>
    <w:rsid w:val="00F3096E"/>
    <w:rsid w:val="00F361D8"/>
    <w:rsid w:val="00F45E56"/>
    <w:rsid w:val="00F50FDC"/>
    <w:rsid w:val="00F539B0"/>
    <w:rsid w:val="00F6036E"/>
    <w:rsid w:val="00F6523F"/>
    <w:rsid w:val="00F6619A"/>
    <w:rsid w:val="00F67639"/>
    <w:rsid w:val="00F759E4"/>
    <w:rsid w:val="00F8522F"/>
    <w:rsid w:val="00F859F0"/>
    <w:rsid w:val="00F95326"/>
    <w:rsid w:val="00FA0084"/>
    <w:rsid w:val="00FA7DBD"/>
    <w:rsid w:val="00FB11A8"/>
    <w:rsid w:val="00FB1A12"/>
    <w:rsid w:val="00FB4DB5"/>
    <w:rsid w:val="00FC24A3"/>
    <w:rsid w:val="00FD221F"/>
    <w:rsid w:val="00FD2574"/>
    <w:rsid w:val="00FD4558"/>
    <w:rsid w:val="00FD5854"/>
    <w:rsid w:val="00FE141E"/>
    <w:rsid w:val="00FE2341"/>
    <w:rsid w:val="00FF40A8"/>
    <w:rsid w:val="00FF5A06"/>
    <w:rsid w:val="00FF6128"/>
    <w:rsid w:val="313CF4C3"/>
    <w:rsid w:val="31743CB0"/>
    <w:rsid w:val="4D98C3DB"/>
    <w:rsid w:val="71E414F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rPr>
      <w:sz w:val="24"/>
      <w:lang w:val="es-ES"/>
    </w:rPr>
  </w:style>
  <w:style w:type="paragraph" w:styleId="Ttulo2">
    <w:name w:val="heading 2"/>
    <w:basedOn w:val="Normal"/>
    <w:next w:val="Normal"/>
    <w:link w:val="Ttulo2Car"/>
    <w:uiPriority w:val="9"/>
    <w:unhideWhenUsed/>
    <w:qFormat/>
    <w:rsid w:val="008B75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C72923"/>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C72923"/>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uiPriority w:val="99"/>
    <w:unhideWhenUsed/>
    <w:qFormat/>
    <w:rsid w:val="00C72923"/>
    <w:rPr>
      <w:vertAlign w:val="superscript"/>
    </w:rPr>
  </w:style>
  <w:style w:type="character" w:customStyle="1" w:styleId="NormalWebCar">
    <w:name w:val="Normal (Web) Car"/>
    <w:link w:val="NormalWeb"/>
    <w:uiPriority w:val="99"/>
    <w:rsid w:val="00193F79"/>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B3FB4"/>
    <w:rPr>
      <w:b/>
      <w:bCs/>
    </w:rPr>
  </w:style>
  <w:style w:type="character" w:styleId="nfasis">
    <w:name w:val="Emphasis"/>
    <w:basedOn w:val="Fuentedeprrafopredeter"/>
    <w:uiPriority w:val="20"/>
    <w:qFormat/>
    <w:rsid w:val="00DB3FB4"/>
    <w:rPr>
      <w:i/>
      <w:iCs/>
    </w:rPr>
  </w:style>
  <w:style w:type="character" w:customStyle="1" w:styleId="Ttulo2Car">
    <w:name w:val="Título 2 Car"/>
    <w:basedOn w:val="Fuentedeprrafopredeter"/>
    <w:link w:val="Ttulo2"/>
    <w:uiPriority w:val="9"/>
    <w:rsid w:val="008B7534"/>
    <w:rPr>
      <w:rFonts w:asciiTheme="majorHAnsi" w:eastAsiaTheme="majorEastAsia" w:hAnsiTheme="majorHAnsi" w:cstheme="majorBidi"/>
      <w:color w:val="365F91" w:themeColor="accent1" w:themeShade="BF"/>
      <w:sz w:val="26"/>
      <w:szCs w:val="26"/>
      <w:lang w:val="es-MX"/>
    </w:rPr>
  </w:style>
  <w:style w:type="character" w:styleId="Textodelmarcadordeposicin">
    <w:name w:val="Placeholder Text"/>
    <w:basedOn w:val="Fuentedeprrafopredeter"/>
    <w:uiPriority w:val="99"/>
    <w:semiHidden/>
    <w:rsid w:val="00506D7B"/>
    <w:rPr>
      <w:color w:val="808080"/>
    </w:rPr>
  </w:style>
  <w:style w:type="paragraph" w:customStyle="1" w:styleId="Default">
    <w:name w:val="Default"/>
    <w:rsid w:val="002F56F6"/>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884408416">
      <w:bodyDiv w:val="1"/>
      <w:marLeft w:val="0"/>
      <w:marRight w:val="0"/>
      <w:marTop w:val="0"/>
      <w:marBottom w:val="0"/>
      <w:divBdr>
        <w:top w:val="none" w:sz="0" w:space="0" w:color="auto"/>
        <w:left w:val="none" w:sz="0" w:space="0" w:color="auto"/>
        <w:bottom w:val="none" w:sz="0" w:space="0" w:color="auto"/>
        <w:right w:val="none" w:sz="0" w:space="0" w:color="auto"/>
      </w:divBdr>
    </w:div>
    <w:div w:id="13027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554F777-A2FD-43F1-9523-29F13BF6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367902E-9A56-430F-BC52-A73505A28DFF}">
  <ds:schemaRefs>
    <ds:schemaRef ds:uri="http://schemas.openxmlformats.org/officeDocument/2006/bibliography"/>
  </ds:schemaRefs>
</ds:datastoreItem>
</file>

<file path=customXml/itemProps4.xml><?xml version="1.0" encoding="utf-8"?>
<ds:datastoreItem xmlns:ds="http://schemas.openxmlformats.org/officeDocument/2006/customXml" ds:itemID="{1F87F4F4-4062-4571-9172-D2A8AE62548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12</Pages>
  <Words>3824</Words>
  <Characters>21034</Characters>
  <Application>Microsoft Office Word</Application>
  <DocSecurity>0</DocSecurity>
  <Lines>175</Lines>
  <Paragraphs>49</Paragraphs>
  <ScaleCrop>false</ScaleCrop>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8</cp:revision>
  <cp:lastPrinted>2020-01-15T16:10:00Z</cp:lastPrinted>
  <dcterms:created xsi:type="dcterms:W3CDTF">2020-07-06T18:46:00Z</dcterms:created>
  <dcterms:modified xsi:type="dcterms:W3CDTF">2020-08-06T22:47:00Z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