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0114" w14:textId="227775D6" w:rsidR="0095613A" w:rsidRPr="00DD6C40" w:rsidRDefault="0095613A" w:rsidP="00F63749">
      <w:pPr>
        <w:jc w:val="right"/>
        <w:rPr>
          <w:rFonts w:ascii="Arial" w:hAnsi="Arial" w:cs="Arial"/>
          <w:b/>
          <w:bCs/>
          <w:sz w:val="16"/>
          <w:szCs w:val="16"/>
          <w:lang w:val="es-CO" w:eastAsia="es-ES"/>
        </w:rPr>
      </w:pPr>
      <w:r w:rsidRPr="00DD6C40">
        <w:rPr>
          <w:rFonts w:ascii="Arial" w:hAnsi="Arial" w:cs="Arial"/>
          <w:b/>
          <w:bCs/>
          <w:sz w:val="16"/>
          <w:szCs w:val="16"/>
          <w:lang w:val="es-CO" w:eastAsia="es-ES"/>
        </w:rPr>
        <w:t>CE-DES-FM-17</w:t>
      </w:r>
    </w:p>
    <w:p w14:paraId="1DA054F6" w14:textId="77777777" w:rsidR="00DB01DB" w:rsidRPr="005F330E" w:rsidRDefault="00DB01DB" w:rsidP="00915817">
      <w:pPr>
        <w:jc w:val="both"/>
        <w:rPr>
          <w:rFonts w:ascii="Arial" w:eastAsia="Calibri" w:hAnsi="Arial" w:cs="Arial"/>
          <w:b/>
          <w:sz w:val="16"/>
          <w:szCs w:val="16"/>
          <w:lang w:val="es-CO"/>
        </w:rPr>
      </w:pPr>
    </w:p>
    <w:p w14:paraId="4232661F" w14:textId="0F7FCD0A" w:rsidR="007B0854" w:rsidRPr="00D61921" w:rsidRDefault="00A90F9A" w:rsidP="00915817">
      <w:pPr>
        <w:jc w:val="both"/>
        <w:rPr>
          <w:rFonts w:ascii="Arial" w:eastAsia="Calibri" w:hAnsi="Arial" w:cs="Arial"/>
          <w:sz w:val="22"/>
          <w:lang w:val="es-CO"/>
        </w:rPr>
      </w:pPr>
      <w:r w:rsidRPr="00D61921">
        <w:rPr>
          <w:rFonts w:ascii="Arial" w:eastAsia="Calibri" w:hAnsi="Arial" w:cs="Arial"/>
          <w:b/>
          <w:sz w:val="22"/>
          <w:lang w:val="es-CO"/>
        </w:rPr>
        <w:t xml:space="preserve">DECLARACIÓN DE </w:t>
      </w:r>
      <w:r w:rsidR="005B1DA9" w:rsidRPr="00D61921">
        <w:rPr>
          <w:rFonts w:ascii="Arial" w:eastAsia="Calibri" w:hAnsi="Arial" w:cs="Arial"/>
          <w:b/>
          <w:sz w:val="22"/>
          <w:lang w:val="es-CO"/>
        </w:rPr>
        <w:t>BIENES</w:t>
      </w:r>
      <w:r w:rsidR="00DB01DB">
        <w:rPr>
          <w:rFonts w:ascii="Arial" w:eastAsia="Calibri" w:hAnsi="Arial" w:cs="Arial"/>
          <w:b/>
          <w:sz w:val="22"/>
          <w:lang w:val="es-CO"/>
        </w:rPr>
        <w:t xml:space="preserve">, </w:t>
      </w:r>
      <w:r w:rsidR="00E25D62">
        <w:rPr>
          <w:rFonts w:ascii="Arial" w:eastAsia="Calibri" w:hAnsi="Arial" w:cs="Arial"/>
          <w:b/>
          <w:sz w:val="22"/>
          <w:lang w:val="es-CO"/>
        </w:rPr>
        <w:t>RENTA</w:t>
      </w:r>
      <w:r w:rsidR="005B1DA9">
        <w:rPr>
          <w:rFonts w:ascii="Arial" w:eastAsia="Calibri" w:hAnsi="Arial" w:cs="Arial"/>
          <w:b/>
          <w:sz w:val="22"/>
          <w:lang w:val="es-CO"/>
        </w:rPr>
        <w:t xml:space="preserve"> </w:t>
      </w:r>
      <w:r w:rsidR="00DB01DB">
        <w:rPr>
          <w:rFonts w:ascii="Arial" w:hAnsi="Arial" w:cs="Arial"/>
          <w:b/>
          <w:sz w:val="22"/>
          <w:lang w:val="es-CO"/>
        </w:rPr>
        <w:t>Y</w:t>
      </w:r>
      <w:r w:rsidR="00E25D62">
        <w:rPr>
          <w:rFonts w:ascii="Arial" w:eastAsia="Calibri" w:hAnsi="Arial" w:cs="Arial"/>
          <w:b/>
          <w:sz w:val="22"/>
          <w:lang w:val="es-CO"/>
        </w:rPr>
        <w:t xml:space="preserve"> </w:t>
      </w:r>
      <w:r w:rsidR="00E25D62" w:rsidRPr="00D61921">
        <w:rPr>
          <w:rFonts w:ascii="Arial" w:eastAsia="Calibri" w:hAnsi="Arial" w:cs="Arial"/>
          <w:b/>
          <w:sz w:val="22"/>
          <w:lang w:val="es-CO"/>
        </w:rPr>
        <w:t>CONFLICTOS</w:t>
      </w:r>
      <w:r w:rsidRPr="00D61921">
        <w:rPr>
          <w:rFonts w:ascii="Arial" w:eastAsia="Calibri" w:hAnsi="Arial" w:cs="Arial"/>
          <w:b/>
          <w:sz w:val="22"/>
          <w:lang w:val="es-CO"/>
        </w:rPr>
        <w:t xml:space="preserve"> DE INTERÉS</w:t>
      </w:r>
      <w:r w:rsidR="002640BC" w:rsidRPr="00D61921">
        <w:rPr>
          <w:rFonts w:ascii="Arial" w:eastAsia="Calibri" w:hAnsi="Arial" w:cs="Arial"/>
          <w:b/>
          <w:sz w:val="22"/>
          <w:lang w:val="es-CO"/>
        </w:rPr>
        <w:t xml:space="preserve"> </w:t>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eastAsia="Calibri" w:hAnsi="Arial" w:cs="Arial"/>
          <w:b/>
          <w:sz w:val="22"/>
          <w:lang w:val="es-CO"/>
        </w:rPr>
        <w:softHyphen/>
      </w:r>
      <w:r w:rsidR="002640BC" w:rsidRPr="00D61921">
        <w:rPr>
          <w:rFonts w:ascii="Arial" w:hAnsi="Arial" w:cs="Arial"/>
          <w:b/>
          <w:sz w:val="22"/>
          <w:lang w:val="es-CO"/>
        </w:rPr>
        <w:t>–</w:t>
      </w:r>
      <w:r w:rsidRPr="00D61921">
        <w:rPr>
          <w:rFonts w:ascii="Arial" w:eastAsia="Calibri" w:hAnsi="Arial" w:cs="Arial"/>
          <w:b/>
          <w:sz w:val="22"/>
          <w:lang w:val="es-CO"/>
        </w:rPr>
        <w:t xml:space="preserve"> </w:t>
      </w:r>
      <w:r w:rsidR="009E59D2" w:rsidRPr="00D61921">
        <w:rPr>
          <w:rFonts w:ascii="Arial" w:eastAsia="Calibri" w:hAnsi="Arial" w:cs="Arial"/>
          <w:b/>
          <w:sz w:val="22"/>
          <w:lang w:val="es-CO"/>
        </w:rPr>
        <w:t xml:space="preserve">Ley 2013 </w:t>
      </w:r>
      <w:r w:rsidR="009E59D2">
        <w:rPr>
          <w:rFonts w:ascii="Arial" w:eastAsia="Calibri" w:hAnsi="Arial" w:cs="Arial"/>
          <w:b/>
          <w:sz w:val="22"/>
          <w:lang w:val="es-CO"/>
        </w:rPr>
        <w:t>d</w:t>
      </w:r>
      <w:r w:rsidR="009E59D2" w:rsidRPr="00D61921">
        <w:rPr>
          <w:rFonts w:ascii="Arial" w:eastAsia="Calibri" w:hAnsi="Arial" w:cs="Arial"/>
          <w:b/>
          <w:sz w:val="22"/>
          <w:lang w:val="es-CO"/>
        </w:rPr>
        <w:t xml:space="preserve">e 2019 </w:t>
      </w:r>
      <w:r w:rsidR="002640BC" w:rsidRPr="00D61921">
        <w:rPr>
          <w:rFonts w:ascii="Arial" w:hAnsi="Arial" w:cs="Arial"/>
          <w:b/>
          <w:sz w:val="22"/>
          <w:lang w:val="es-CO"/>
        </w:rPr>
        <w:t>–</w:t>
      </w:r>
      <w:r w:rsidR="00A91D8B" w:rsidRPr="00D61921">
        <w:rPr>
          <w:rFonts w:ascii="Arial" w:eastAsia="Calibri" w:hAnsi="Arial" w:cs="Arial"/>
          <w:b/>
          <w:sz w:val="22"/>
          <w:lang w:val="es-CO"/>
        </w:rPr>
        <w:t xml:space="preserve"> Obligaciones </w:t>
      </w:r>
      <w:r w:rsidR="002640BC" w:rsidRPr="00D61921">
        <w:rPr>
          <w:rFonts w:ascii="Arial" w:hAnsi="Arial" w:cs="Arial"/>
          <w:b/>
          <w:sz w:val="22"/>
          <w:lang w:val="es-CO"/>
        </w:rPr>
        <w:t>–</w:t>
      </w:r>
      <w:r w:rsidR="00A91D8B" w:rsidRPr="00D61921">
        <w:rPr>
          <w:rFonts w:ascii="Arial" w:eastAsia="Calibri" w:hAnsi="Arial" w:cs="Arial"/>
          <w:b/>
          <w:sz w:val="22"/>
          <w:lang w:val="es-CO"/>
        </w:rPr>
        <w:t xml:space="preserve"> </w:t>
      </w:r>
      <w:r w:rsidR="009E59D2">
        <w:rPr>
          <w:rFonts w:ascii="Arial" w:eastAsia="Calibri" w:hAnsi="Arial" w:cs="Arial"/>
          <w:b/>
          <w:sz w:val="22"/>
          <w:lang w:val="es-CO"/>
        </w:rPr>
        <w:t xml:space="preserve">Publicación </w:t>
      </w:r>
    </w:p>
    <w:p w14:paraId="22848024" w14:textId="59476195" w:rsidR="007B0854" w:rsidRPr="00D61921" w:rsidRDefault="007B0854" w:rsidP="00915817">
      <w:pPr>
        <w:jc w:val="both"/>
        <w:rPr>
          <w:rFonts w:ascii="Arial" w:hAnsi="Arial" w:cs="Arial"/>
          <w:sz w:val="20"/>
          <w:szCs w:val="20"/>
          <w:lang w:val="es-CO"/>
        </w:rPr>
      </w:pPr>
    </w:p>
    <w:p w14:paraId="5506404E" w14:textId="2AAA6F43" w:rsidR="007B0854" w:rsidRPr="00D61921" w:rsidRDefault="00915817" w:rsidP="002640BC">
      <w:pPr>
        <w:jc w:val="both"/>
        <w:rPr>
          <w:rFonts w:ascii="Arial" w:hAnsi="Arial" w:cs="Arial"/>
          <w:sz w:val="20"/>
          <w:szCs w:val="20"/>
          <w:lang w:val="es-CO"/>
        </w:rPr>
      </w:pPr>
      <w:r w:rsidRPr="00D61921">
        <w:rPr>
          <w:rFonts w:ascii="Arial" w:hAnsi="Arial" w:cs="Arial"/>
          <w:sz w:val="20"/>
          <w:szCs w:val="20"/>
          <w:lang w:val="es-CO"/>
        </w:rPr>
        <w:t xml:space="preserve">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w:t>
      </w:r>
      <w:proofErr w:type="spellStart"/>
      <w:r w:rsidRPr="00D61921">
        <w:rPr>
          <w:rFonts w:ascii="Arial" w:hAnsi="Arial" w:cs="Arial"/>
          <w:sz w:val="20"/>
          <w:szCs w:val="20"/>
          <w:lang w:val="es-CO"/>
        </w:rPr>
        <w:t>ii</w:t>
      </w:r>
      <w:proofErr w:type="spellEnd"/>
      <w:r w:rsidRPr="00D61921">
        <w:rPr>
          <w:rFonts w:ascii="Arial" w:hAnsi="Arial" w:cs="Arial"/>
          <w:sz w:val="20"/>
          <w:szCs w:val="20"/>
          <w:lang w:val="es-CO"/>
        </w:rPr>
        <w:t xml:space="preserve">) el registro de conflictos de interés, y </w:t>
      </w:r>
      <w:proofErr w:type="spellStart"/>
      <w:r w:rsidRPr="00D61921">
        <w:rPr>
          <w:rFonts w:ascii="Arial" w:hAnsi="Arial" w:cs="Arial"/>
          <w:sz w:val="20"/>
          <w:szCs w:val="20"/>
          <w:lang w:val="es-CO"/>
        </w:rPr>
        <w:t>iii</w:t>
      </w:r>
      <w:proofErr w:type="spellEnd"/>
      <w:r w:rsidRPr="00D61921">
        <w:rPr>
          <w:rFonts w:ascii="Arial" w:hAnsi="Arial" w:cs="Arial"/>
          <w:sz w:val="20"/>
          <w:szCs w:val="20"/>
          <w:lang w:val="es-CO"/>
        </w:rPr>
        <w:t>) la declaración sobre la renta y complementarios ―art. 1―.</w:t>
      </w:r>
      <w:r w:rsidR="00C35251" w:rsidRPr="00D61921">
        <w:rPr>
          <w:rFonts w:ascii="Arial" w:hAnsi="Arial" w:cs="Arial"/>
          <w:sz w:val="20"/>
          <w:szCs w:val="20"/>
          <w:lang w:val="es-CO"/>
        </w:rPr>
        <w:t xml:space="preserve"> // </w:t>
      </w:r>
      <w:r w:rsidRPr="00D61921">
        <w:rPr>
          <w:rFonts w:ascii="Arial" w:hAnsi="Arial" w:cs="Arial"/>
          <w:sz w:val="20"/>
          <w:szCs w:val="20"/>
          <w:lang w:val="es-CO"/>
        </w:rPr>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además, durante el trámite del proyecto se amplió paulatinamente el ámbito de aplicación de la ley, al incluirse nuevos sujetos obligados, entre ellos a algunos particulares.</w:t>
      </w:r>
    </w:p>
    <w:p w14:paraId="33A25583" w14:textId="77777777" w:rsidR="00915817" w:rsidRPr="00D61921" w:rsidRDefault="00915817" w:rsidP="002640BC">
      <w:pPr>
        <w:jc w:val="both"/>
        <w:rPr>
          <w:rFonts w:ascii="Arial" w:hAnsi="Arial" w:cs="Arial"/>
          <w:sz w:val="20"/>
          <w:szCs w:val="20"/>
          <w:lang w:val="es-CO"/>
        </w:rPr>
      </w:pPr>
    </w:p>
    <w:p w14:paraId="68325126" w14:textId="686DBDB5" w:rsidR="00A91D8B" w:rsidRPr="00D61921" w:rsidRDefault="00A90F9A" w:rsidP="00915817">
      <w:pPr>
        <w:jc w:val="both"/>
        <w:rPr>
          <w:rFonts w:ascii="Arial" w:eastAsia="Calibri" w:hAnsi="Arial" w:cs="Arial"/>
          <w:b/>
          <w:sz w:val="22"/>
          <w:lang w:val="es-CO"/>
        </w:rPr>
      </w:pPr>
      <w:r w:rsidRPr="00D61921">
        <w:rPr>
          <w:rFonts w:ascii="Arial" w:eastAsia="Calibri" w:hAnsi="Arial" w:cs="Arial"/>
          <w:b/>
          <w:sz w:val="22"/>
          <w:lang w:val="es-CO"/>
        </w:rPr>
        <w:t xml:space="preserve">DECLARACIÓN DE BIENES, RENTA Y CONFLICTOS DE INTERÉS </w:t>
      </w:r>
      <w:r w:rsidR="002640BC" w:rsidRPr="00D61921">
        <w:rPr>
          <w:rFonts w:ascii="Arial" w:hAnsi="Arial" w:cs="Arial"/>
          <w:b/>
          <w:sz w:val="22"/>
          <w:lang w:val="es-CO"/>
        </w:rPr>
        <w:t>–</w:t>
      </w:r>
      <w:r w:rsidR="00A91D8B" w:rsidRPr="00D61921">
        <w:rPr>
          <w:rFonts w:ascii="Arial" w:eastAsia="Calibri" w:hAnsi="Arial" w:cs="Arial"/>
          <w:b/>
          <w:sz w:val="22"/>
          <w:lang w:val="es-CO"/>
        </w:rPr>
        <w:t xml:space="preserve"> </w:t>
      </w:r>
      <w:r w:rsidR="00C36685" w:rsidRPr="00D61921">
        <w:rPr>
          <w:rFonts w:ascii="Arial" w:eastAsia="Calibri" w:hAnsi="Arial" w:cs="Arial"/>
          <w:b/>
          <w:sz w:val="22"/>
          <w:lang w:val="es-CO"/>
        </w:rPr>
        <w:t xml:space="preserve">Ámbito de aplicación </w:t>
      </w:r>
      <w:r w:rsidR="002640BC" w:rsidRPr="00D61921">
        <w:rPr>
          <w:rFonts w:ascii="Arial" w:hAnsi="Arial" w:cs="Arial"/>
          <w:b/>
          <w:sz w:val="22"/>
          <w:lang w:val="es-CO"/>
        </w:rPr>
        <w:t xml:space="preserve">– </w:t>
      </w:r>
      <w:r w:rsidR="00A91D8B" w:rsidRPr="00D61921">
        <w:rPr>
          <w:rFonts w:ascii="Arial" w:eastAsia="Calibri" w:hAnsi="Arial" w:cs="Arial"/>
          <w:b/>
          <w:sz w:val="22"/>
          <w:lang w:val="es-CO"/>
        </w:rPr>
        <w:t xml:space="preserve">Sujetos obligados </w:t>
      </w:r>
      <w:r w:rsidR="002640BC" w:rsidRPr="00D61921">
        <w:rPr>
          <w:rFonts w:ascii="Arial" w:hAnsi="Arial" w:cs="Arial"/>
          <w:b/>
          <w:sz w:val="22"/>
          <w:lang w:val="es-CO"/>
        </w:rPr>
        <w:t>–</w:t>
      </w:r>
      <w:r w:rsidR="00C36685" w:rsidRPr="00D61921">
        <w:rPr>
          <w:rFonts w:ascii="Arial" w:eastAsia="Calibri" w:hAnsi="Arial" w:cs="Arial"/>
          <w:b/>
          <w:sz w:val="22"/>
          <w:lang w:val="es-CO"/>
        </w:rPr>
        <w:t xml:space="preserve"> </w:t>
      </w:r>
      <w:r w:rsidR="00A91D8B" w:rsidRPr="00D61921">
        <w:rPr>
          <w:rFonts w:ascii="Arial" w:eastAsia="Calibri" w:hAnsi="Arial" w:cs="Arial"/>
          <w:b/>
          <w:sz w:val="22"/>
          <w:lang w:val="es-CO"/>
        </w:rPr>
        <w:t>Particulares</w:t>
      </w:r>
    </w:p>
    <w:p w14:paraId="48BBD522" w14:textId="68EC4AA6" w:rsidR="00A91D8B" w:rsidRPr="00D61921" w:rsidRDefault="00A91D8B" w:rsidP="00915817">
      <w:pPr>
        <w:jc w:val="both"/>
        <w:rPr>
          <w:rFonts w:ascii="Arial" w:eastAsia="Calibri" w:hAnsi="Arial" w:cs="Arial"/>
          <w:b/>
          <w:sz w:val="22"/>
          <w:lang w:val="es-CO"/>
        </w:rPr>
      </w:pPr>
    </w:p>
    <w:p w14:paraId="4BF89F37" w14:textId="49E123DE" w:rsidR="00A91D8B" w:rsidRPr="00D61921" w:rsidRDefault="00CA4F8E" w:rsidP="002640BC">
      <w:pPr>
        <w:jc w:val="both"/>
        <w:rPr>
          <w:rFonts w:ascii="Arial" w:eastAsia="Calibri" w:hAnsi="Arial" w:cs="Arial"/>
          <w:b/>
          <w:sz w:val="22"/>
          <w:lang w:val="es-CO"/>
        </w:rPr>
      </w:pPr>
      <w:r w:rsidRPr="00D61921">
        <w:rPr>
          <w:rFonts w:ascii="Arial" w:hAnsi="Arial" w:cs="Arial"/>
          <w:sz w:val="20"/>
          <w:szCs w:val="20"/>
          <w:lang w:val="es-CO"/>
        </w:rPr>
        <w:t>[</w:t>
      </w:r>
      <w:r w:rsidR="00A91D8B" w:rsidRPr="00D61921">
        <w:rPr>
          <w:rFonts w:ascii="Arial" w:hAnsi="Arial" w:cs="Arial"/>
          <w:sz w:val="20"/>
          <w:szCs w:val="20"/>
          <w:lang w:val="es-CO"/>
        </w:rPr>
        <w:t>Dicha</w:t>
      </w:r>
      <w:r w:rsidRPr="00D61921">
        <w:rPr>
          <w:rFonts w:ascii="Arial" w:hAnsi="Arial" w:cs="Arial"/>
          <w:sz w:val="20"/>
          <w:szCs w:val="20"/>
          <w:lang w:val="es-CO"/>
        </w:rPr>
        <w:t>]</w:t>
      </w:r>
      <w:r w:rsidR="00A91D8B" w:rsidRPr="00D61921">
        <w:rPr>
          <w:rFonts w:ascii="Arial" w:hAnsi="Arial" w:cs="Arial"/>
          <w:sz w:val="20"/>
          <w:szCs w:val="20"/>
          <w:lang w:val="es-CO"/>
        </w:rPr>
        <w:t xml:space="preserve"> </w:t>
      </w:r>
      <w:r w:rsidRPr="00D61921">
        <w:rPr>
          <w:rFonts w:ascii="Arial" w:hAnsi="Arial" w:cs="Arial"/>
          <w:sz w:val="20"/>
          <w:szCs w:val="20"/>
          <w:lang w:val="es-CO"/>
        </w:rPr>
        <w:t xml:space="preserve">interpretación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w:t>
      </w:r>
      <w:proofErr w:type="gramStart"/>
      <w:r w:rsidRPr="00D61921">
        <w:rPr>
          <w:rFonts w:ascii="Arial" w:hAnsi="Arial" w:cs="Arial"/>
          <w:sz w:val="20"/>
          <w:szCs w:val="20"/>
          <w:lang w:val="es-CO"/>
        </w:rPr>
        <w:t>parágrafo concreta</w:t>
      </w:r>
      <w:proofErr w:type="gramEnd"/>
      <w:r w:rsidRPr="00D61921">
        <w:rPr>
          <w:rFonts w:ascii="Arial" w:hAnsi="Arial" w:cs="Arial"/>
          <w:sz w:val="20"/>
          <w:szCs w:val="20"/>
          <w:lang w:val="es-CO"/>
        </w:rPr>
        <w:t xml:space="preserve"> la obligación en relación con los sujetos obligados de los literales f) y g). Interpretada la propia ley con dichos apartes, tratándose de particulares, su ámbito de aplicación incluye solo a aquellos que ejerzan función pública, presten servicios públicos ―literal </w:t>
      </w:r>
      <w:proofErr w:type="gramStart"/>
      <w:r w:rsidRPr="00D61921">
        <w:rPr>
          <w:rFonts w:ascii="Arial" w:hAnsi="Arial" w:cs="Arial"/>
          <w:sz w:val="20"/>
          <w:szCs w:val="20"/>
          <w:lang w:val="es-CO"/>
        </w:rPr>
        <w:t>f)―</w:t>
      </w:r>
      <w:proofErr w:type="gramEnd"/>
      <w:r w:rsidRPr="00D61921">
        <w:rPr>
          <w:rFonts w:ascii="Arial" w:hAnsi="Arial" w:cs="Arial"/>
          <w:sz w:val="20"/>
          <w:szCs w:val="20"/>
          <w:lang w:val="es-CO"/>
        </w:rPr>
        <w:t xml:space="preserve"> o administren bienes o recursos públicos ―literal g)―. De manera que la norma solo es susceptible de aplicarse frente a esos tres tipos de particulares, siendo la interpretación más plausible de la disposición, pues lo que derivaría de interpretar extensivamente el literal g), sería que el parágrafo 1 contiene un vacío protuberante</w:t>
      </w:r>
      <w:r w:rsidRPr="00D61921">
        <w:rPr>
          <w:rFonts w:ascii="Arial" w:hAnsi="Arial" w:cs="Arial"/>
          <w:sz w:val="22"/>
          <w:lang w:val="es-CO"/>
        </w:rPr>
        <w:t>.</w:t>
      </w:r>
    </w:p>
    <w:p w14:paraId="1895C3CD" w14:textId="77777777" w:rsidR="00A91D8B" w:rsidRPr="00D61921" w:rsidRDefault="00A91D8B" w:rsidP="00A91D8B">
      <w:pPr>
        <w:jc w:val="both"/>
        <w:rPr>
          <w:rFonts w:ascii="Arial" w:eastAsia="Calibri" w:hAnsi="Arial" w:cs="Arial"/>
          <w:b/>
          <w:sz w:val="22"/>
          <w:lang w:val="es-CO"/>
        </w:rPr>
      </w:pPr>
    </w:p>
    <w:p w14:paraId="34D53C3E" w14:textId="2AEB20F2" w:rsidR="00585E81" w:rsidRPr="00D61921" w:rsidRDefault="00A90F9A" w:rsidP="00A91D8B">
      <w:pPr>
        <w:jc w:val="both"/>
        <w:rPr>
          <w:rFonts w:ascii="Arial" w:hAnsi="Arial" w:cs="Arial"/>
          <w:b/>
          <w:bCs/>
          <w:sz w:val="22"/>
          <w:lang w:val="es-CO"/>
        </w:rPr>
      </w:pPr>
      <w:r w:rsidRPr="00D61921">
        <w:rPr>
          <w:rFonts w:ascii="Arial" w:eastAsia="Calibri" w:hAnsi="Arial" w:cs="Arial"/>
          <w:b/>
          <w:sz w:val="22"/>
          <w:lang w:val="es-CO"/>
        </w:rPr>
        <w:t>DECLARACIÓN DE BIENES, RENTA Y CONFLICTOS DE INTERÉS</w:t>
      </w:r>
      <w:r w:rsidRPr="00D61921">
        <w:rPr>
          <w:rFonts w:ascii="Arial" w:hAnsi="Arial" w:cs="Arial"/>
          <w:b/>
          <w:bCs/>
          <w:sz w:val="22"/>
          <w:lang w:val="es-CO"/>
        </w:rPr>
        <w:t xml:space="preserve"> </w:t>
      </w:r>
      <w:r w:rsidR="002640BC" w:rsidRPr="00D61921">
        <w:rPr>
          <w:rFonts w:ascii="Arial" w:hAnsi="Arial" w:cs="Arial"/>
          <w:b/>
          <w:sz w:val="22"/>
          <w:lang w:val="es-CO"/>
        </w:rPr>
        <w:t>–</w:t>
      </w:r>
      <w:r w:rsidR="006E448A">
        <w:rPr>
          <w:rFonts w:ascii="Arial" w:hAnsi="Arial" w:cs="Arial"/>
          <w:b/>
          <w:bCs/>
          <w:sz w:val="22"/>
          <w:lang w:val="es-CO"/>
        </w:rPr>
        <w:t xml:space="preserve"> </w:t>
      </w:r>
      <w:r w:rsidR="00E25D62">
        <w:rPr>
          <w:rFonts w:ascii="Arial" w:hAnsi="Arial" w:cs="Arial"/>
          <w:b/>
          <w:bCs/>
          <w:sz w:val="22"/>
          <w:lang w:val="es-CO"/>
        </w:rPr>
        <w:t xml:space="preserve">Sujetos Obligados </w:t>
      </w:r>
      <w:r w:rsidR="00E25D62" w:rsidRPr="00D61921">
        <w:rPr>
          <w:rFonts w:ascii="Arial" w:hAnsi="Arial" w:cs="Arial"/>
          <w:b/>
          <w:bCs/>
          <w:sz w:val="22"/>
          <w:lang w:val="es-CO"/>
        </w:rPr>
        <w:t>–</w:t>
      </w:r>
      <w:r w:rsidR="00A91D8B" w:rsidRPr="00D61921">
        <w:rPr>
          <w:rFonts w:ascii="Arial" w:hAnsi="Arial" w:cs="Arial"/>
          <w:b/>
          <w:bCs/>
          <w:sz w:val="22"/>
          <w:lang w:val="es-CO"/>
        </w:rPr>
        <w:t xml:space="preserve"> </w:t>
      </w:r>
      <w:r w:rsidR="00E25D62">
        <w:rPr>
          <w:rFonts w:ascii="Arial" w:hAnsi="Arial" w:cs="Arial"/>
          <w:b/>
          <w:bCs/>
          <w:sz w:val="22"/>
          <w:lang w:val="es-CO"/>
        </w:rPr>
        <w:t>C</w:t>
      </w:r>
      <w:r w:rsidR="00A91D8B" w:rsidRPr="00D61921">
        <w:rPr>
          <w:rFonts w:ascii="Arial" w:hAnsi="Arial" w:cs="Arial"/>
          <w:b/>
          <w:bCs/>
          <w:sz w:val="22"/>
          <w:lang w:val="es-CO"/>
        </w:rPr>
        <w:t xml:space="preserve">ontratistas </w:t>
      </w:r>
      <w:r w:rsidR="00E25D62">
        <w:rPr>
          <w:rFonts w:ascii="Arial" w:hAnsi="Arial" w:cs="Arial"/>
          <w:b/>
          <w:bCs/>
          <w:sz w:val="22"/>
          <w:lang w:val="es-CO"/>
        </w:rPr>
        <w:t>E</w:t>
      </w:r>
      <w:r w:rsidR="00A91D8B" w:rsidRPr="00D61921">
        <w:rPr>
          <w:rFonts w:ascii="Arial" w:hAnsi="Arial" w:cs="Arial"/>
          <w:b/>
          <w:bCs/>
          <w:sz w:val="22"/>
          <w:lang w:val="es-CO"/>
        </w:rPr>
        <w:t>xcluidos</w:t>
      </w:r>
    </w:p>
    <w:p w14:paraId="65BD8DE8" w14:textId="7806CC40" w:rsidR="00585E81" w:rsidRPr="00D61921" w:rsidRDefault="00585E81" w:rsidP="002640BC">
      <w:pPr>
        <w:jc w:val="both"/>
        <w:rPr>
          <w:rFonts w:ascii="Arial" w:hAnsi="Arial" w:cs="Arial"/>
          <w:b/>
          <w:bCs/>
          <w:sz w:val="22"/>
          <w:lang w:val="es-CO"/>
        </w:rPr>
      </w:pPr>
    </w:p>
    <w:p w14:paraId="067D830A" w14:textId="140ED9B2" w:rsidR="00585E81" w:rsidRPr="00D61921" w:rsidRDefault="009E59D2" w:rsidP="002640BC">
      <w:pPr>
        <w:jc w:val="both"/>
        <w:rPr>
          <w:rFonts w:ascii="Arial" w:hAnsi="Arial" w:cs="Arial"/>
          <w:sz w:val="20"/>
          <w:szCs w:val="20"/>
          <w:lang w:val="es-CO"/>
        </w:rPr>
      </w:pPr>
      <w:r>
        <w:rPr>
          <w:rFonts w:ascii="Arial" w:hAnsi="Arial" w:cs="Arial"/>
          <w:sz w:val="20"/>
          <w:szCs w:val="20"/>
          <w:lang w:val="es-CO"/>
        </w:rPr>
        <w:t>L</w:t>
      </w:r>
      <w:r w:rsidR="00984EBB" w:rsidRPr="00D61921">
        <w:rPr>
          <w:rFonts w:ascii="Arial" w:hAnsi="Arial" w:cs="Arial"/>
          <w:sz w:val="20"/>
          <w:szCs w:val="20"/>
          <w:lang w:val="es-CO"/>
        </w:rPr>
        <w:t>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p>
    <w:p w14:paraId="43E35266" w14:textId="34882742" w:rsidR="00A91D8B" w:rsidRDefault="00A91D8B" w:rsidP="00315E58">
      <w:pPr>
        <w:jc w:val="both"/>
        <w:rPr>
          <w:rFonts w:ascii="Arial" w:hAnsi="Arial" w:cs="Arial"/>
          <w:sz w:val="22"/>
          <w:lang w:val="es-CO"/>
        </w:rPr>
      </w:pPr>
    </w:p>
    <w:p w14:paraId="6656D6D5" w14:textId="77777777" w:rsidR="005F330E" w:rsidRPr="00D61921" w:rsidRDefault="005F330E" w:rsidP="00315E58">
      <w:pPr>
        <w:jc w:val="both"/>
        <w:rPr>
          <w:rFonts w:ascii="Arial" w:hAnsi="Arial" w:cs="Arial"/>
          <w:sz w:val="22"/>
          <w:lang w:val="es-CO"/>
        </w:rPr>
      </w:pPr>
    </w:p>
    <w:p w14:paraId="2CD44442" w14:textId="664B7064" w:rsidR="00984EBB" w:rsidRPr="00D61921" w:rsidRDefault="00984EBB" w:rsidP="00315E58">
      <w:pPr>
        <w:jc w:val="both"/>
        <w:rPr>
          <w:rFonts w:ascii="Arial" w:hAnsi="Arial" w:cs="Arial"/>
          <w:sz w:val="22"/>
          <w:lang w:val="es-CO"/>
        </w:rPr>
      </w:pPr>
    </w:p>
    <w:p w14:paraId="66E8F4EF" w14:textId="6E9355A9" w:rsidR="00122B23" w:rsidRPr="00D61921" w:rsidRDefault="00122B23" w:rsidP="006064EC">
      <w:pPr>
        <w:rPr>
          <w:rFonts w:ascii="Arial" w:hAnsi="Arial" w:cs="Arial"/>
          <w:b/>
          <w:sz w:val="22"/>
          <w:lang w:val="es-CO"/>
        </w:rPr>
      </w:pPr>
      <w:r w:rsidRPr="00D61921">
        <w:rPr>
          <w:rFonts w:ascii="Arial" w:hAnsi="Arial" w:cs="Arial"/>
          <w:sz w:val="22"/>
          <w:lang w:val="es-CO"/>
        </w:rPr>
        <w:lastRenderedPageBreak/>
        <w:t xml:space="preserve">Bogotá D.C., </w:t>
      </w:r>
      <w:r w:rsidR="009853A6">
        <w:rPr>
          <w:rFonts w:ascii="Arial" w:hAnsi="Arial" w:cs="Arial"/>
          <w:b/>
          <w:sz w:val="22"/>
          <w:lang w:val="es-CO"/>
        </w:rPr>
        <w:t>30/06/2020 Hora 19:10:49s</w:t>
      </w:r>
    </w:p>
    <w:p w14:paraId="48F13E98" w14:textId="6BBB4DB9" w:rsidR="00622D34" w:rsidRPr="00D61921" w:rsidRDefault="00622D34" w:rsidP="006064EC">
      <w:pPr>
        <w:rPr>
          <w:rFonts w:ascii="Arial" w:hAnsi="Arial" w:cs="Arial"/>
          <w:b/>
          <w:sz w:val="22"/>
          <w:lang w:val="es-CO"/>
        </w:rPr>
      </w:pPr>
    </w:p>
    <w:p w14:paraId="1C57553C" w14:textId="6BE03E5F" w:rsidR="0078122E" w:rsidRPr="00D61921" w:rsidRDefault="00122B23" w:rsidP="006064EC">
      <w:pPr>
        <w:jc w:val="right"/>
        <w:rPr>
          <w:rFonts w:ascii="Arial" w:hAnsi="Arial" w:cs="Arial"/>
          <w:b/>
          <w:sz w:val="22"/>
          <w:lang w:val="es-CO"/>
        </w:rPr>
      </w:pPr>
      <w:proofErr w:type="spellStart"/>
      <w:r w:rsidRPr="00D61921">
        <w:rPr>
          <w:rFonts w:ascii="Arial" w:hAnsi="Arial" w:cs="Arial"/>
          <w:b/>
          <w:sz w:val="22"/>
          <w:lang w:val="es-CO"/>
        </w:rPr>
        <w:t>N°</w:t>
      </w:r>
      <w:proofErr w:type="spellEnd"/>
      <w:r w:rsidRPr="00D61921">
        <w:rPr>
          <w:rFonts w:ascii="Arial" w:hAnsi="Arial" w:cs="Arial"/>
          <w:b/>
          <w:sz w:val="22"/>
          <w:lang w:val="es-CO"/>
        </w:rPr>
        <w:t xml:space="preserve"> Radicado: </w:t>
      </w:r>
      <w:r w:rsidR="009853A6">
        <w:rPr>
          <w:rFonts w:ascii="Arial" w:hAnsi="Arial" w:cs="Arial"/>
          <w:b/>
          <w:sz w:val="22"/>
          <w:lang w:val="es-CO"/>
        </w:rPr>
        <w:t>2202013000005606</w:t>
      </w:r>
    </w:p>
    <w:p w14:paraId="66692B9F" w14:textId="77777777" w:rsidR="009D2478" w:rsidRPr="00D61921" w:rsidRDefault="009D2478" w:rsidP="006064EC">
      <w:pPr>
        <w:rPr>
          <w:rFonts w:ascii="Arial" w:eastAsia="Calibri" w:hAnsi="Arial" w:cs="Arial"/>
          <w:sz w:val="22"/>
          <w:lang w:val="es-CO"/>
        </w:rPr>
      </w:pPr>
    </w:p>
    <w:p w14:paraId="6119A54E" w14:textId="615B6EEB" w:rsidR="0078122E" w:rsidRPr="00D61921" w:rsidRDefault="002640BC" w:rsidP="006064EC">
      <w:pPr>
        <w:rPr>
          <w:rFonts w:ascii="Arial" w:eastAsia="Calibri" w:hAnsi="Arial" w:cs="Arial"/>
          <w:sz w:val="22"/>
          <w:lang w:val="es-CO"/>
        </w:rPr>
      </w:pPr>
      <w:r w:rsidRPr="00D61921">
        <w:rPr>
          <w:rFonts w:ascii="Arial" w:eastAsia="Calibri" w:hAnsi="Arial" w:cs="Arial"/>
          <w:sz w:val="22"/>
          <w:lang w:val="es-CO"/>
        </w:rPr>
        <w:t>Señora</w:t>
      </w:r>
      <w:r w:rsidRPr="00D61921">
        <w:rPr>
          <w:rFonts w:ascii="Arial" w:eastAsia="Calibri" w:hAnsi="Arial" w:cs="Arial"/>
          <w:sz w:val="22"/>
          <w:lang w:val="es-CO"/>
        </w:rPr>
        <w:tab/>
      </w:r>
      <w:r w:rsidRPr="00D61921">
        <w:rPr>
          <w:rFonts w:ascii="Arial" w:eastAsia="Calibri" w:hAnsi="Arial" w:cs="Arial"/>
          <w:sz w:val="22"/>
          <w:lang w:val="es-CO"/>
        </w:rPr>
        <w:tab/>
      </w:r>
    </w:p>
    <w:p w14:paraId="3FA3B74F" w14:textId="04FE6321" w:rsidR="00F82F1F" w:rsidRPr="00D61921" w:rsidRDefault="002640BC" w:rsidP="006064EC">
      <w:pPr>
        <w:rPr>
          <w:rFonts w:ascii="Arial" w:hAnsi="Arial" w:cs="Arial"/>
          <w:b/>
          <w:bCs/>
          <w:sz w:val="22"/>
          <w:lang w:val="es-CO"/>
        </w:rPr>
      </w:pPr>
      <w:r w:rsidRPr="00D61921">
        <w:rPr>
          <w:rFonts w:ascii="Arial" w:hAnsi="Arial" w:cs="Arial"/>
          <w:b/>
          <w:bCs/>
          <w:sz w:val="22"/>
          <w:lang w:val="es-CO"/>
        </w:rPr>
        <w:t>María Fernanda Rivera Meneses</w:t>
      </w:r>
    </w:p>
    <w:p w14:paraId="5FB4F046" w14:textId="4C12FFE2" w:rsidR="0078122E" w:rsidRPr="00D61921" w:rsidRDefault="002640BC" w:rsidP="006064EC">
      <w:pPr>
        <w:rPr>
          <w:rFonts w:ascii="Arial" w:eastAsia="Calibri" w:hAnsi="Arial" w:cs="Arial"/>
          <w:sz w:val="22"/>
          <w:lang w:val="es-CO"/>
        </w:rPr>
      </w:pPr>
      <w:r w:rsidRPr="00D61921">
        <w:rPr>
          <w:rFonts w:ascii="Arial" w:eastAsia="Calibri" w:hAnsi="Arial" w:cs="Arial"/>
          <w:sz w:val="22"/>
          <w:lang w:val="es-CO"/>
        </w:rPr>
        <w:t>Cali, Valle del Cauca</w:t>
      </w:r>
    </w:p>
    <w:p w14:paraId="02D7025C" w14:textId="52779839" w:rsidR="00622D34" w:rsidRPr="00D61921" w:rsidRDefault="00622D34" w:rsidP="006064EC">
      <w:pPr>
        <w:rPr>
          <w:rFonts w:ascii="Arial" w:eastAsia="Calibri" w:hAnsi="Arial" w:cs="Arial"/>
          <w:sz w:val="22"/>
          <w:lang w:val="es-CO"/>
        </w:rPr>
      </w:pPr>
    </w:p>
    <w:p w14:paraId="738CBD52" w14:textId="634CFAA3" w:rsidR="007B0854" w:rsidRPr="00D61921" w:rsidRDefault="007B0854" w:rsidP="006064EC">
      <w:pPr>
        <w:jc w:val="center"/>
        <w:rPr>
          <w:rFonts w:ascii="Arial" w:eastAsia="Calibri" w:hAnsi="Arial" w:cs="Arial"/>
          <w:b/>
          <w:sz w:val="22"/>
          <w:lang w:val="es-CO"/>
        </w:rPr>
      </w:pPr>
      <w:bookmarkStart w:id="0" w:name="_Hlk29890381"/>
      <w:r w:rsidRPr="00D61921">
        <w:rPr>
          <w:rFonts w:ascii="Arial" w:eastAsia="Calibri" w:hAnsi="Arial" w:cs="Arial"/>
          <w:b/>
          <w:sz w:val="22"/>
          <w:lang w:val="es-CO"/>
        </w:rPr>
        <w:t>Concepto C</w:t>
      </w:r>
      <w:r w:rsidR="00873D0E" w:rsidRPr="00D61921">
        <w:rPr>
          <w:rFonts w:ascii="Arial" w:eastAsia="Calibri" w:hAnsi="Arial" w:cs="Arial"/>
          <w:b/>
          <w:sz w:val="22"/>
          <w:lang w:val="es-CO"/>
        </w:rPr>
        <w:t xml:space="preserve"> </w:t>
      </w:r>
      <w:r w:rsidR="00873D0E" w:rsidRPr="00D61921">
        <w:rPr>
          <w:rFonts w:ascii="Arial" w:hAnsi="Arial" w:cs="Arial"/>
          <w:b/>
          <w:sz w:val="22"/>
          <w:lang w:val="es-CO"/>
        </w:rPr>
        <w:t>–</w:t>
      </w:r>
      <w:r w:rsidRPr="00D61921">
        <w:rPr>
          <w:rFonts w:ascii="Arial" w:eastAsia="Calibri" w:hAnsi="Arial" w:cs="Arial"/>
          <w:b/>
          <w:sz w:val="22"/>
          <w:lang w:val="es-CO"/>
        </w:rPr>
        <w:t xml:space="preserve"> </w:t>
      </w:r>
      <w:r w:rsidR="00873D0E" w:rsidRPr="00D61921">
        <w:rPr>
          <w:rFonts w:ascii="Arial" w:eastAsia="Calibri" w:hAnsi="Arial" w:cs="Arial"/>
          <w:b/>
          <w:sz w:val="22"/>
          <w:lang w:val="es-CO"/>
        </w:rPr>
        <w:t>442</w:t>
      </w:r>
      <w:r w:rsidRPr="00D61921">
        <w:rPr>
          <w:rFonts w:ascii="Arial" w:eastAsia="Calibri" w:hAnsi="Arial" w:cs="Arial"/>
          <w:b/>
          <w:sz w:val="22"/>
          <w:lang w:val="es-CO"/>
        </w:rPr>
        <w:t xml:space="preserve"> de 2020</w:t>
      </w:r>
    </w:p>
    <w:p w14:paraId="7947F6BC" w14:textId="77777777" w:rsidR="007B0854" w:rsidRPr="00D61921" w:rsidRDefault="007B0854" w:rsidP="006064EC">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73D0E" w:rsidRPr="00D61921" w14:paraId="0292AC9D" w14:textId="77777777" w:rsidTr="001913E3">
        <w:tc>
          <w:tcPr>
            <w:tcW w:w="2689" w:type="dxa"/>
            <w:hideMark/>
          </w:tcPr>
          <w:p w14:paraId="58D1858D" w14:textId="0E5C899E" w:rsidR="007B0854" w:rsidRPr="00D61921" w:rsidRDefault="007B0854" w:rsidP="006064EC">
            <w:pPr>
              <w:rPr>
                <w:rFonts w:ascii="Arial" w:eastAsia="Calibri" w:hAnsi="Arial" w:cs="Arial"/>
                <w:sz w:val="22"/>
                <w:lang w:val="es-CO"/>
              </w:rPr>
            </w:pPr>
            <w:r w:rsidRPr="00D61921">
              <w:rPr>
                <w:rFonts w:ascii="Arial" w:eastAsia="Calibri" w:hAnsi="Arial" w:cs="Arial"/>
                <w:b/>
                <w:sz w:val="22"/>
                <w:lang w:val="es-CO"/>
              </w:rPr>
              <w:t>Temas:</w:t>
            </w:r>
            <w:r w:rsidR="00E03FAB" w:rsidRPr="00D61921">
              <w:rPr>
                <w:rFonts w:ascii="Arial" w:eastAsia="Calibri" w:hAnsi="Arial" w:cs="Arial"/>
                <w:sz w:val="22"/>
                <w:lang w:val="es-CO"/>
              </w:rPr>
              <w:t xml:space="preserve"> </w:t>
            </w:r>
          </w:p>
          <w:p w14:paraId="78FD6AC7" w14:textId="08F83412" w:rsidR="007B0854" w:rsidRPr="00D61921" w:rsidRDefault="00E03FAB" w:rsidP="006064EC">
            <w:pPr>
              <w:rPr>
                <w:rFonts w:ascii="Arial" w:eastAsia="Calibri" w:hAnsi="Arial" w:cs="Arial"/>
                <w:sz w:val="22"/>
                <w:lang w:val="es-CO"/>
              </w:rPr>
            </w:pPr>
            <w:r w:rsidRPr="00D61921">
              <w:rPr>
                <w:rFonts w:ascii="Arial" w:eastAsia="Calibri" w:hAnsi="Arial" w:cs="Arial"/>
                <w:sz w:val="22"/>
                <w:lang w:val="es-CO"/>
              </w:rPr>
              <w:t xml:space="preserve"> </w:t>
            </w:r>
          </w:p>
        </w:tc>
        <w:tc>
          <w:tcPr>
            <w:tcW w:w="6237" w:type="dxa"/>
            <w:hideMark/>
          </w:tcPr>
          <w:p w14:paraId="6EB3B628" w14:textId="62ADC3A6" w:rsidR="00E25D62" w:rsidRPr="00E25D62" w:rsidRDefault="00E25D62" w:rsidP="00E25D62">
            <w:pPr>
              <w:jc w:val="both"/>
              <w:rPr>
                <w:rFonts w:ascii="Arial" w:hAnsi="Arial" w:cs="Arial"/>
                <w:bCs/>
                <w:sz w:val="22"/>
                <w:lang w:val="es-CO"/>
              </w:rPr>
            </w:pPr>
            <w:r w:rsidRPr="00E25D62">
              <w:rPr>
                <w:rFonts w:ascii="Arial" w:eastAsia="Calibri" w:hAnsi="Arial" w:cs="Arial"/>
                <w:bCs/>
                <w:sz w:val="22"/>
                <w:lang w:val="es-CO"/>
              </w:rPr>
              <w:t xml:space="preserve">DECLARACIÓN DE BIENES Y RENTA </w:t>
            </w:r>
            <w:r w:rsidRPr="00E25D62">
              <w:rPr>
                <w:rFonts w:ascii="Arial" w:hAnsi="Arial" w:cs="Arial"/>
                <w:bCs/>
                <w:sz w:val="22"/>
                <w:lang w:val="es-CO"/>
              </w:rPr>
              <w:t>–</w:t>
            </w:r>
            <w:r w:rsidRPr="00E25D62">
              <w:rPr>
                <w:rFonts w:ascii="Arial" w:eastAsia="Calibri" w:hAnsi="Arial" w:cs="Arial"/>
                <w:bCs/>
                <w:sz w:val="22"/>
                <w:lang w:val="es-CO"/>
              </w:rPr>
              <w:t xml:space="preserve"> CONFLICTOS DE INTERÉS </w:t>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eastAsia="Calibri" w:hAnsi="Arial" w:cs="Arial"/>
                <w:bCs/>
                <w:sz w:val="22"/>
                <w:lang w:val="es-CO"/>
              </w:rPr>
              <w:softHyphen/>
            </w:r>
            <w:r w:rsidRPr="00E25D62">
              <w:rPr>
                <w:rFonts w:ascii="Arial" w:hAnsi="Arial" w:cs="Arial"/>
                <w:bCs/>
                <w:sz w:val="22"/>
                <w:lang w:val="es-CO"/>
              </w:rPr>
              <w:t>–</w:t>
            </w:r>
            <w:r w:rsidRPr="00E25D62">
              <w:rPr>
                <w:rFonts w:ascii="Arial" w:eastAsia="Calibri" w:hAnsi="Arial" w:cs="Arial"/>
                <w:bCs/>
                <w:sz w:val="22"/>
                <w:lang w:val="es-CO"/>
              </w:rPr>
              <w:t xml:space="preserve"> Ley 2013 de 2019 </w:t>
            </w:r>
            <w:r w:rsidRPr="00E25D62">
              <w:rPr>
                <w:rFonts w:ascii="Arial" w:hAnsi="Arial" w:cs="Arial"/>
                <w:bCs/>
                <w:sz w:val="22"/>
                <w:lang w:val="es-CO"/>
              </w:rPr>
              <w:t>–</w:t>
            </w:r>
            <w:r w:rsidRPr="00E25D62">
              <w:rPr>
                <w:rFonts w:ascii="Arial" w:eastAsia="Calibri" w:hAnsi="Arial" w:cs="Arial"/>
                <w:bCs/>
                <w:sz w:val="22"/>
                <w:lang w:val="es-CO"/>
              </w:rPr>
              <w:t xml:space="preserve"> Obligaciones </w:t>
            </w:r>
            <w:r w:rsidRPr="00E25D62">
              <w:rPr>
                <w:rFonts w:ascii="Arial" w:hAnsi="Arial" w:cs="Arial"/>
                <w:bCs/>
                <w:sz w:val="22"/>
                <w:lang w:val="es-CO"/>
              </w:rPr>
              <w:t>–</w:t>
            </w:r>
            <w:r w:rsidRPr="00E25D62">
              <w:rPr>
                <w:rFonts w:ascii="Arial" w:eastAsia="Calibri" w:hAnsi="Arial" w:cs="Arial"/>
                <w:bCs/>
                <w:sz w:val="22"/>
                <w:lang w:val="es-CO"/>
              </w:rPr>
              <w:t xml:space="preserve"> Publicación / DECLARACIÓN DE BIENES, RENTA Y CONFLICTOS DE INTERÉS </w:t>
            </w:r>
            <w:r w:rsidRPr="00E25D62">
              <w:rPr>
                <w:rFonts w:ascii="Arial" w:hAnsi="Arial" w:cs="Arial"/>
                <w:bCs/>
                <w:sz w:val="22"/>
                <w:lang w:val="es-CO"/>
              </w:rPr>
              <w:t>–</w:t>
            </w:r>
            <w:r w:rsidRPr="00E25D62">
              <w:rPr>
                <w:rFonts w:ascii="Arial" w:eastAsia="Calibri" w:hAnsi="Arial" w:cs="Arial"/>
                <w:bCs/>
                <w:sz w:val="22"/>
                <w:lang w:val="es-CO"/>
              </w:rPr>
              <w:t xml:space="preserve">LEY 2013 DE 2019 </w:t>
            </w:r>
            <w:r w:rsidRPr="00E25D62">
              <w:rPr>
                <w:rFonts w:ascii="Arial" w:hAnsi="Arial" w:cs="Arial"/>
                <w:bCs/>
                <w:sz w:val="22"/>
                <w:lang w:val="es-CO"/>
              </w:rPr>
              <w:t>–</w:t>
            </w:r>
            <w:r w:rsidRPr="00E25D62">
              <w:rPr>
                <w:rFonts w:ascii="Arial" w:eastAsia="Calibri" w:hAnsi="Arial" w:cs="Arial"/>
                <w:bCs/>
                <w:sz w:val="22"/>
                <w:lang w:val="es-CO"/>
              </w:rPr>
              <w:t xml:space="preserve"> Ámbito de aplicación </w:t>
            </w:r>
            <w:r w:rsidRPr="00E25D62">
              <w:rPr>
                <w:rFonts w:ascii="Arial" w:hAnsi="Arial" w:cs="Arial"/>
                <w:bCs/>
                <w:sz w:val="22"/>
                <w:lang w:val="es-CO"/>
              </w:rPr>
              <w:t xml:space="preserve">– </w:t>
            </w:r>
            <w:r w:rsidRPr="00E25D62">
              <w:rPr>
                <w:rFonts w:ascii="Arial" w:eastAsia="Calibri" w:hAnsi="Arial" w:cs="Arial"/>
                <w:bCs/>
                <w:sz w:val="22"/>
                <w:lang w:val="es-CO"/>
              </w:rPr>
              <w:t xml:space="preserve">Sujetos obligados </w:t>
            </w:r>
            <w:r w:rsidRPr="00E25D62">
              <w:rPr>
                <w:rFonts w:ascii="Arial" w:hAnsi="Arial" w:cs="Arial"/>
                <w:bCs/>
                <w:sz w:val="22"/>
                <w:lang w:val="es-CO"/>
              </w:rPr>
              <w:t>–</w:t>
            </w:r>
            <w:r w:rsidRPr="00E25D62">
              <w:rPr>
                <w:rFonts w:ascii="Arial" w:eastAsia="Calibri" w:hAnsi="Arial" w:cs="Arial"/>
                <w:bCs/>
                <w:sz w:val="22"/>
                <w:lang w:val="es-CO"/>
              </w:rPr>
              <w:t xml:space="preserve"> Particulares / DECLARACIÓN DE BIENES, RENTA Y CONFLICTOS DE INTERÉS</w:t>
            </w:r>
            <w:r w:rsidRPr="00E25D62">
              <w:rPr>
                <w:rFonts w:ascii="Arial" w:hAnsi="Arial" w:cs="Arial"/>
                <w:bCs/>
                <w:sz w:val="22"/>
                <w:lang w:val="es-CO"/>
              </w:rPr>
              <w:t xml:space="preserve"> –LEY 2013 DE 2019 – Ámbito de aplicación – Sujetos Obligados – Contratistas Excluidos</w:t>
            </w:r>
          </w:p>
          <w:p w14:paraId="34F24F43" w14:textId="7F600D72" w:rsidR="00E25D62" w:rsidRPr="00E25D62" w:rsidRDefault="00E25D62" w:rsidP="00E25D62">
            <w:pPr>
              <w:jc w:val="both"/>
              <w:rPr>
                <w:rFonts w:ascii="Arial" w:eastAsia="Calibri" w:hAnsi="Arial" w:cs="Arial"/>
                <w:bCs/>
                <w:sz w:val="22"/>
                <w:lang w:val="es-CO"/>
              </w:rPr>
            </w:pPr>
            <w:r w:rsidRPr="00E25D62">
              <w:rPr>
                <w:rFonts w:ascii="Arial" w:eastAsia="Calibri" w:hAnsi="Arial" w:cs="Arial"/>
                <w:bCs/>
                <w:sz w:val="22"/>
                <w:lang w:val="es-CO"/>
              </w:rPr>
              <w:t xml:space="preserve"> </w:t>
            </w:r>
          </w:p>
          <w:p w14:paraId="2E762FF8" w14:textId="77777777" w:rsidR="00873D0E" w:rsidRPr="00E25D62" w:rsidRDefault="00873D0E" w:rsidP="006064EC">
            <w:pPr>
              <w:jc w:val="both"/>
              <w:rPr>
                <w:rFonts w:ascii="Arial" w:eastAsia="Calibri" w:hAnsi="Arial" w:cs="Arial"/>
                <w:bCs/>
                <w:sz w:val="22"/>
                <w:lang w:val="es-CO"/>
              </w:rPr>
            </w:pPr>
          </w:p>
          <w:p w14:paraId="2CF65E76" w14:textId="1B383155" w:rsidR="00873D0E" w:rsidRPr="00E25D62" w:rsidRDefault="00873D0E" w:rsidP="006064EC">
            <w:pPr>
              <w:jc w:val="both"/>
              <w:rPr>
                <w:rFonts w:ascii="Arial" w:eastAsia="Calibri" w:hAnsi="Arial" w:cs="Arial"/>
                <w:bCs/>
                <w:sz w:val="22"/>
                <w:lang w:val="es-CO"/>
              </w:rPr>
            </w:pPr>
          </w:p>
        </w:tc>
      </w:tr>
      <w:tr w:rsidR="007B0854" w:rsidRPr="00D61921" w14:paraId="1A5E5E77" w14:textId="77777777" w:rsidTr="001913E3">
        <w:tc>
          <w:tcPr>
            <w:tcW w:w="2689" w:type="dxa"/>
          </w:tcPr>
          <w:p w14:paraId="4FF4AB0C" w14:textId="781EF7F1" w:rsidR="007B0854" w:rsidRPr="00D61921" w:rsidRDefault="007B0854" w:rsidP="006064EC">
            <w:pPr>
              <w:rPr>
                <w:rFonts w:ascii="Arial" w:eastAsia="Calibri" w:hAnsi="Arial" w:cs="Arial"/>
                <w:b/>
                <w:sz w:val="22"/>
                <w:lang w:val="es-CO"/>
              </w:rPr>
            </w:pPr>
            <w:r w:rsidRPr="00D61921">
              <w:rPr>
                <w:rFonts w:ascii="Arial" w:eastAsia="Calibri" w:hAnsi="Arial" w:cs="Arial"/>
                <w:b/>
                <w:sz w:val="22"/>
                <w:lang w:val="es-CO"/>
              </w:rPr>
              <w:t>Radicación:</w:t>
            </w:r>
            <w:r w:rsidR="00E03FAB" w:rsidRPr="00D61921">
              <w:rPr>
                <w:rFonts w:ascii="Arial" w:eastAsia="Calibri" w:hAnsi="Arial" w:cs="Arial"/>
                <w:sz w:val="22"/>
                <w:lang w:val="es-CO"/>
              </w:rPr>
              <w:t xml:space="preserve"> </w:t>
            </w:r>
          </w:p>
        </w:tc>
        <w:tc>
          <w:tcPr>
            <w:tcW w:w="6237" w:type="dxa"/>
          </w:tcPr>
          <w:p w14:paraId="7852C50C" w14:textId="5FDFCF01" w:rsidR="007B0854" w:rsidRPr="00D61921" w:rsidRDefault="007B0854" w:rsidP="00873D0E">
            <w:pPr>
              <w:pStyle w:val="Default"/>
              <w:rPr>
                <w:color w:val="auto"/>
              </w:rPr>
            </w:pPr>
            <w:r w:rsidRPr="00D61921">
              <w:rPr>
                <w:rFonts w:eastAsia="Calibri"/>
                <w:color w:val="auto"/>
                <w:sz w:val="22"/>
              </w:rPr>
              <w:t xml:space="preserve">Respuesta consulta # </w:t>
            </w:r>
            <w:r w:rsidR="00873D0E" w:rsidRPr="00D61921">
              <w:rPr>
                <w:rFonts w:eastAsia="Calibri"/>
                <w:color w:val="auto"/>
                <w:sz w:val="22"/>
              </w:rPr>
              <w:t>4202013000005230</w:t>
            </w:r>
          </w:p>
        </w:tc>
      </w:tr>
    </w:tbl>
    <w:p w14:paraId="4D0D821E" w14:textId="009F8D1B" w:rsidR="004A34D2" w:rsidRPr="00D61921" w:rsidRDefault="004A34D2" w:rsidP="006064EC">
      <w:pPr>
        <w:spacing w:before="120" w:after="120" w:line="276" w:lineRule="auto"/>
        <w:jc w:val="both"/>
        <w:rPr>
          <w:rFonts w:ascii="Arial" w:eastAsia="Calibri" w:hAnsi="Arial" w:cs="Arial"/>
          <w:sz w:val="22"/>
          <w:lang w:val="es-CO"/>
        </w:rPr>
      </w:pPr>
    </w:p>
    <w:p w14:paraId="50D511B2" w14:textId="03F4E2A2" w:rsidR="004A34D2" w:rsidRPr="00D61921" w:rsidRDefault="004A34D2" w:rsidP="00647CE7">
      <w:pPr>
        <w:spacing w:line="276" w:lineRule="auto"/>
        <w:rPr>
          <w:rFonts w:ascii="Arial" w:eastAsia="Calibri" w:hAnsi="Arial" w:cs="Arial"/>
          <w:sz w:val="22"/>
          <w:lang w:val="es-CO"/>
        </w:rPr>
      </w:pPr>
      <w:r w:rsidRPr="00D61921">
        <w:rPr>
          <w:rFonts w:ascii="Arial" w:eastAsia="Calibri" w:hAnsi="Arial" w:cs="Arial"/>
          <w:sz w:val="22"/>
          <w:lang w:val="es-CO"/>
        </w:rPr>
        <w:t>Estimad</w:t>
      </w:r>
      <w:r w:rsidR="00E03FAB" w:rsidRPr="00D61921">
        <w:rPr>
          <w:rFonts w:ascii="Arial" w:eastAsia="Calibri" w:hAnsi="Arial" w:cs="Arial"/>
          <w:sz w:val="22"/>
          <w:lang w:val="es-CO"/>
        </w:rPr>
        <w:t>a</w:t>
      </w:r>
      <w:r w:rsidRPr="00D61921">
        <w:rPr>
          <w:rFonts w:ascii="Arial" w:eastAsia="Calibri" w:hAnsi="Arial" w:cs="Arial"/>
          <w:sz w:val="22"/>
          <w:lang w:val="es-CO"/>
        </w:rPr>
        <w:t xml:space="preserve"> </w:t>
      </w:r>
      <w:r w:rsidR="00873D0E" w:rsidRPr="00D61921">
        <w:rPr>
          <w:rFonts w:ascii="Arial" w:eastAsia="Calibri" w:hAnsi="Arial" w:cs="Arial"/>
          <w:sz w:val="22"/>
          <w:lang w:val="es-CO"/>
        </w:rPr>
        <w:t>señora Rivera</w:t>
      </w:r>
      <w:r w:rsidRPr="00D61921">
        <w:rPr>
          <w:rFonts w:ascii="Arial" w:eastAsia="Calibri" w:hAnsi="Arial" w:cs="Arial"/>
          <w:sz w:val="22"/>
          <w:lang w:val="es-CO"/>
        </w:rPr>
        <w:t>,</w:t>
      </w:r>
    </w:p>
    <w:p w14:paraId="2729A440" w14:textId="2A133E20" w:rsidR="00647CE7" w:rsidRPr="00D61921" w:rsidRDefault="00647CE7" w:rsidP="00647CE7">
      <w:pPr>
        <w:spacing w:line="276" w:lineRule="auto"/>
        <w:ind w:right="49"/>
        <w:jc w:val="both"/>
        <w:rPr>
          <w:rFonts w:ascii="Arial" w:eastAsia="Calibri" w:hAnsi="Arial" w:cs="Arial"/>
          <w:sz w:val="22"/>
          <w:lang w:val="es-CO"/>
        </w:rPr>
      </w:pPr>
    </w:p>
    <w:p w14:paraId="4BD23B0B" w14:textId="40A1D26E" w:rsidR="004A34D2" w:rsidRPr="00D61921" w:rsidRDefault="004A34D2" w:rsidP="00647CE7">
      <w:pPr>
        <w:spacing w:line="276" w:lineRule="auto"/>
        <w:ind w:right="49"/>
        <w:jc w:val="both"/>
        <w:rPr>
          <w:rFonts w:ascii="Arial" w:eastAsia="Calibri" w:hAnsi="Arial" w:cs="Arial"/>
          <w:sz w:val="22"/>
          <w:lang w:val="es-CO"/>
        </w:rPr>
      </w:pPr>
      <w:r w:rsidRPr="00D61921">
        <w:rPr>
          <w:rFonts w:ascii="Arial" w:eastAsia="Calibri" w:hAnsi="Arial" w:cs="Arial"/>
          <w:sz w:val="22"/>
          <w:lang w:val="es-CO"/>
        </w:rPr>
        <w:t xml:space="preserve">La Agencia Nacional de Contratación Pública </w:t>
      </w:r>
      <w:r w:rsidR="00AC3F7D" w:rsidRPr="00D61921">
        <w:rPr>
          <w:rFonts w:ascii="Arial" w:hAnsi="Arial" w:cs="Arial"/>
          <w:sz w:val="22"/>
          <w:lang w:val="es-CO"/>
        </w:rPr>
        <w:t>–</w:t>
      </w:r>
      <w:r w:rsidR="009A6A7A" w:rsidRPr="00D61921">
        <w:rPr>
          <w:rFonts w:ascii="Arial" w:eastAsia="Calibri" w:hAnsi="Arial" w:cs="Arial"/>
          <w:sz w:val="22"/>
          <w:lang w:val="es-CO"/>
        </w:rPr>
        <w:t xml:space="preserve"> </w:t>
      </w:r>
      <w:r w:rsidRPr="00D61921">
        <w:rPr>
          <w:rFonts w:ascii="Arial" w:eastAsia="Calibri" w:hAnsi="Arial" w:cs="Arial"/>
          <w:sz w:val="22"/>
          <w:lang w:val="es-CO"/>
        </w:rPr>
        <w:t xml:space="preserve">Colombia Compra Eficiente responde su consulta del </w:t>
      </w:r>
      <w:r w:rsidR="00873D0E" w:rsidRPr="00D61921">
        <w:rPr>
          <w:rFonts w:ascii="Arial" w:hAnsi="Arial" w:cs="Arial"/>
          <w:sz w:val="22"/>
          <w:lang w:val="es-CO"/>
        </w:rPr>
        <w:t>19 de junio</w:t>
      </w:r>
      <w:r w:rsidR="00192A10" w:rsidRPr="00D61921">
        <w:rPr>
          <w:rFonts w:ascii="Arial" w:hAnsi="Arial" w:cs="Arial"/>
          <w:sz w:val="22"/>
          <w:lang w:val="es-CO"/>
        </w:rPr>
        <w:t xml:space="preserve"> </w:t>
      </w:r>
      <w:r w:rsidR="00E03FAB" w:rsidRPr="00D61921">
        <w:rPr>
          <w:rFonts w:ascii="Arial" w:hAnsi="Arial" w:cs="Arial"/>
          <w:sz w:val="22"/>
          <w:lang w:val="es-CO"/>
        </w:rPr>
        <w:t>de</w:t>
      </w:r>
      <w:r w:rsidR="00192A10" w:rsidRPr="00D61921">
        <w:rPr>
          <w:rFonts w:ascii="Arial" w:hAnsi="Arial" w:cs="Arial"/>
          <w:sz w:val="22"/>
          <w:lang w:val="es-CO"/>
        </w:rPr>
        <w:t xml:space="preserve"> 2020</w:t>
      </w:r>
      <w:r w:rsidRPr="00D61921">
        <w:rPr>
          <w:rFonts w:ascii="Arial" w:eastAsia="Calibri" w:hAnsi="Arial" w:cs="Arial"/>
          <w:sz w:val="22"/>
          <w:lang w:val="es-CO"/>
        </w:rPr>
        <w:t xml:space="preserve">, en ejercicio de la competencia otorgada por el numeral 8 del artículo 11 y el numeral 5 del artículo 3 del Decreto Ley 4170 de 2011. </w:t>
      </w:r>
    </w:p>
    <w:p w14:paraId="5B2FE086" w14:textId="1DBD8893" w:rsidR="004A34D2" w:rsidRPr="00D61921" w:rsidRDefault="004A34D2" w:rsidP="00647CE7">
      <w:pPr>
        <w:jc w:val="both"/>
        <w:rPr>
          <w:rFonts w:ascii="Arial" w:eastAsia="Calibri" w:hAnsi="Arial" w:cs="Arial"/>
          <w:sz w:val="22"/>
          <w:lang w:val="es-CO"/>
        </w:rPr>
      </w:pPr>
    </w:p>
    <w:p w14:paraId="56C5521D" w14:textId="77777777" w:rsidR="004A34D2" w:rsidRPr="00D61921" w:rsidRDefault="004A34D2" w:rsidP="00647CE7">
      <w:pPr>
        <w:pStyle w:val="Prrafodelista"/>
        <w:numPr>
          <w:ilvl w:val="0"/>
          <w:numId w:val="6"/>
        </w:numPr>
        <w:tabs>
          <w:tab w:val="left" w:pos="284"/>
        </w:tabs>
        <w:ind w:left="0" w:firstLine="0"/>
        <w:jc w:val="both"/>
        <w:rPr>
          <w:rFonts w:ascii="Arial" w:eastAsia="Calibri" w:hAnsi="Arial" w:cs="Arial"/>
          <w:b/>
          <w:sz w:val="22"/>
          <w:lang w:val="es-CO"/>
        </w:rPr>
      </w:pPr>
      <w:r w:rsidRPr="00D61921">
        <w:rPr>
          <w:rFonts w:ascii="Arial" w:eastAsia="Calibri" w:hAnsi="Arial" w:cs="Arial"/>
          <w:b/>
          <w:sz w:val="22"/>
          <w:lang w:val="es-CO"/>
        </w:rPr>
        <w:t xml:space="preserve">Problemas planteados </w:t>
      </w:r>
    </w:p>
    <w:p w14:paraId="6AEC0FC7" w14:textId="77777777" w:rsidR="004A34D2" w:rsidRPr="00D61921" w:rsidRDefault="004A34D2" w:rsidP="00647CE7">
      <w:pPr>
        <w:tabs>
          <w:tab w:val="left" w:pos="426"/>
        </w:tabs>
        <w:jc w:val="both"/>
        <w:rPr>
          <w:rFonts w:ascii="Arial" w:eastAsia="Calibri" w:hAnsi="Arial" w:cs="Arial"/>
          <w:b/>
          <w:sz w:val="22"/>
          <w:lang w:val="es-CO"/>
        </w:rPr>
      </w:pPr>
    </w:p>
    <w:p w14:paraId="246A3007" w14:textId="486A49AE" w:rsidR="00E03FAB" w:rsidRPr="00D61921" w:rsidRDefault="004A34D2" w:rsidP="00E03FAB">
      <w:pPr>
        <w:spacing w:line="276" w:lineRule="auto"/>
        <w:jc w:val="both"/>
        <w:rPr>
          <w:rFonts w:ascii="Arial" w:eastAsia="Calibri" w:hAnsi="Arial" w:cs="Arial"/>
          <w:sz w:val="22"/>
          <w:lang w:val="es-CO"/>
        </w:rPr>
      </w:pPr>
      <w:r w:rsidRPr="00D61921">
        <w:rPr>
          <w:rFonts w:ascii="Arial" w:eastAsia="Calibri" w:hAnsi="Arial" w:cs="Arial"/>
          <w:sz w:val="22"/>
          <w:lang w:val="es-CO"/>
        </w:rPr>
        <w:t>Usted realiz</w:t>
      </w:r>
      <w:r w:rsidR="00FD6E82" w:rsidRPr="00D61921">
        <w:rPr>
          <w:rFonts w:ascii="Arial" w:eastAsia="Calibri" w:hAnsi="Arial" w:cs="Arial"/>
          <w:sz w:val="22"/>
          <w:lang w:val="es-CO"/>
        </w:rPr>
        <w:t>ó</w:t>
      </w:r>
      <w:r w:rsidRPr="00D61921">
        <w:rPr>
          <w:rFonts w:ascii="Arial" w:eastAsia="Calibri" w:hAnsi="Arial" w:cs="Arial"/>
          <w:sz w:val="22"/>
          <w:lang w:val="es-CO"/>
        </w:rPr>
        <w:t xml:space="preserve"> </w:t>
      </w:r>
      <w:r w:rsidR="006B6BA7" w:rsidRPr="00D61921">
        <w:rPr>
          <w:rFonts w:ascii="Arial" w:eastAsia="Calibri" w:hAnsi="Arial" w:cs="Arial"/>
          <w:sz w:val="22"/>
          <w:lang w:val="es-CO"/>
        </w:rPr>
        <w:t>las siguientes preguntas</w:t>
      </w:r>
      <w:r w:rsidR="00E03FAB" w:rsidRPr="00D61921">
        <w:rPr>
          <w:rFonts w:ascii="Arial" w:eastAsia="Calibri" w:hAnsi="Arial" w:cs="Arial"/>
          <w:sz w:val="22"/>
          <w:lang w:val="es-CO"/>
        </w:rPr>
        <w:t xml:space="preserve"> en relación con la aplicación de la Ley 2013 de 2019</w:t>
      </w:r>
      <w:r w:rsidR="00873D0E" w:rsidRPr="00D61921">
        <w:rPr>
          <w:rFonts w:ascii="Arial" w:eastAsia="Calibri" w:hAnsi="Arial" w:cs="Arial"/>
          <w:sz w:val="22"/>
          <w:lang w:val="es-CO"/>
        </w:rPr>
        <w:t>: i) ¿Se le debe exigir a los contratistas de servicios profesionales y/o apoyo a la gestión la publicación y la divulgación de la declaración de bienes y rentas</w:t>
      </w:r>
      <w:r w:rsidR="006B6BA7" w:rsidRPr="00D61921">
        <w:rPr>
          <w:rFonts w:ascii="Arial" w:eastAsia="Calibri" w:hAnsi="Arial" w:cs="Arial"/>
          <w:sz w:val="22"/>
          <w:lang w:val="es-CO"/>
        </w:rPr>
        <w:t xml:space="preserve">, del registro de conflictos </w:t>
      </w:r>
      <w:r w:rsidR="009E59D2">
        <w:rPr>
          <w:rFonts w:ascii="Arial" w:eastAsia="Calibri" w:hAnsi="Arial" w:cs="Arial"/>
          <w:sz w:val="22"/>
          <w:lang w:val="es-CO"/>
        </w:rPr>
        <w:t>d</w:t>
      </w:r>
      <w:r w:rsidR="006B6BA7" w:rsidRPr="00D61921">
        <w:rPr>
          <w:rFonts w:ascii="Arial" w:eastAsia="Calibri" w:hAnsi="Arial" w:cs="Arial"/>
          <w:sz w:val="22"/>
          <w:lang w:val="es-CO"/>
        </w:rPr>
        <w:t xml:space="preserve">e intereses y la declaración del impuesto sobre la renta y complementarios?; </w:t>
      </w:r>
      <w:proofErr w:type="spellStart"/>
      <w:r w:rsidR="006B6BA7" w:rsidRPr="00D61921">
        <w:rPr>
          <w:rFonts w:ascii="Arial" w:eastAsia="Calibri" w:hAnsi="Arial" w:cs="Arial"/>
          <w:sz w:val="22"/>
          <w:lang w:val="es-CO"/>
        </w:rPr>
        <w:t>ii</w:t>
      </w:r>
      <w:proofErr w:type="spellEnd"/>
      <w:r w:rsidR="006B6BA7" w:rsidRPr="00D61921">
        <w:rPr>
          <w:rFonts w:ascii="Arial" w:eastAsia="Calibri" w:hAnsi="Arial" w:cs="Arial"/>
          <w:sz w:val="22"/>
          <w:lang w:val="es-CO"/>
        </w:rPr>
        <w:t>) qu</w:t>
      </w:r>
      <w:r w:rsidR="009E59D2">
        <w:rPr>
          <w:rFonts w:ascii="Arial" w:eastAsia="Calibri" w:hAnsi="Arial" w:cs="Arial"/>
          <w:sz w:val="22"/>
          <w:lang w:val="es-CO"/>
        </w:rPr>
        <w:t>é</w:t>
      </w:r>
      <w:r w:rsidR="006B6BA7" w:rsidRPr="00D61921">
        <w:rPr>
          <w:rFonts w:ascii="Arial" w:eastAsia="Calibri" w:hAnsi="Arial" w:cs="Arial"/>
          <w:sz w:val="22"/>
          <w:lang w:val="es-CO"/>
        </w:rPr>
        <w:t xml:space="preserve"> tipo de contratistas se le </w:t>
      </w:r>
      <w:r w:rsidR="005B1DA9">
        <w:rPr>
          <w:rFonts w:ascii="Arial" w:eastAsia="Calibri" w:hAnsi="Arial" w:cs="Arial"/>
          <w:sz w:val="22"/>
          <w:lang w:val="es-CO"/>
        </w:rPr>
        <w:t xml:space="preserve">exigir que cumpla la </w:t>
      </w:r>
      <w:r w:rsidR="005B1DA9" w:rsidRPr="00D61921">
        <w:rPr>
          <w:rFonts w:ascii="Arial" w:eastAsia="Calibri" w:hAnsi="Arial" w:cs="Arial"/>
          <w:sz w:val="22"/>
          <w:lang w:val="es-CO"/>
        </w:rPr>
        <w:t>Ley</w:t>
      </w:r>
      <w:r w:rsidR="006B6BA7" w:rsidRPr="00D61921">
        <w:rPr>
          <w:rFonts w:ascii="Arial" w:eastAsia="Calibri" w:hAnsi="Arial" w:cs="Arial"/>
          <w:sz w:val="22"/>
          <w:lang w:val="es-CO"/>
        </w:rPr>
        <w:t xml:space="preserve"> </w:t>
      </w:r>
      <w:r w:rsidR="00AC3F7D" w:rsidRPr="00D61921">
        <w:rPr>
          <w:rFonts w:ascii="Arial" w:eastAsia="Calibri" w:hAnsi="Arial" w:cs="Arial"/>
          <w:sz w:val="22"/>
          <w:lang w:val="es-CO"/>
        </w:rPr>
        <w:t xml:space="preserve">2013 de 2019. </w:t>
      </w:r>
    </w:p>
    <w:p w14:paraId="27402A81" w14:textId="526714CA" w:rsidR="00E03FAB" w:rsidRPr="00D61921" w:rsidRDefault="00E03FAB" w:rsidP="00962798">
      <w:pPr>
        <w:tabs>
          <w:tab w:val="left" w:pos="426"/>
        </w:tabs>
        <w:jc w:val="both"/>
        <w:rPr>
          <w:rFonts w:ascii="Arial" w:eastAsia="Calibri" w:hAnsi="Arial" w:cs="Arial"/>
          <w:sz w:val="22"/>
          <w:lang w:val="es-CO"/>
        </w:rPr>
      </w:pPr>
    </w:p>
    <w:p w14:paraId="234C2DF0" w14:textId="77777777" w:rsidR="004A34D2" w:rsidRPr="00D61921" w:rsidRDefault="004A34D2" w:rsidP="00962798">
      <w:pPr>
        <w:pStyle w:val="Prrafodelista"/>
        <w:numPr>
          <w:ilvl w:val="0"/>
          <w:numId w:val="6"/>
        </w:numPr>
        <w:tabs>
          <w:tab w:val="left" w:pos="426"/>
        </w:tabs>
        <w:ind w:left="284" w:hanging="284"/>
        <w:jc w:val="both"/>
        <w:rPr>
          <w:rFonts w:ascii="Arial" w:eastAsia="Calibri" w:hAnsi="Arial" w:cs="Arial"/>
          <w:b/>
          <w:sz w:val="22"/>
          <w:lang w:val="es-CO"/>
        </w:rPr>
      </w:pPr>
      <w:r w:rsidRPr="00D61921">
        <w:rPr>
          <w:rFonts w:ascii="Arial" w:eastAsia="Calibri" w:hAnsi="Arial" w:cs="Arial"/>
          <w:b/>
          <w:sz w:val="22"/>
          <w:lang w:val="es-CO"/>
        </w:rPr>
        <w:t>Consideraciones</w:t>
      </w:r>
    </w:p>
    <w:p w14:paraId="2CE10F28" w14:textId="62F18C7B" w:rsidR="006D6823" w:rsidRPr="00D61921" w:rsidRDefault="006D6823" w:rsidP="003E33F6">
      <w:pPr>
        <w:pStyle w:val="Sinespaciado"/>
        <w:spacing w:line="276" w:lineRule="auto"/>
        <w:jc w:val="both"/>
        <w:rPr>
          <w:rFonts w:ascii="Arial" w:hAnsi="Arial" w:cs="Arial"/>
          <w:iCs/>
          <w:sz w:val="22"/>
          <w:lang w:val="es-CO"/>
        </w:rPr>
      </w:pPr>
    </w:p>
    <w:p w14:paraId="7E159820" w14:textId="0A968471" w:rsidR="00E6633F" w:rsidRDefault="00E6633F" w:rsidP="00E6633F">
      <w:pPr>
        <w:spacing w:after="120" w:line="276" w:lineRule="auto"/>
        <w:jc w:val="both"/>
        <w:rPr>
          <w:rFonts w:ascii="Arial" w:hAnsi="Arial" w:cs="Arial"/>
          <w:sz w:val="22"/>
          <w:lang w:val="es-CO"/>
        </w:rPr>
      </w:pPr>
      <w:r w:rsidRPr="00D61921">
        <w:rPr>
          <w:rFonts w:ascii="Arial" w:hAnsi="Arial" w:cs="Arial"/>
          <w:sz w:val="22"/>
          <w:lang w:val="es-CO"/>
        </w:rPr>
        <w:t>Para resolver la pregunta objeto de la consulta, se estudiarán los sujetos obligados a cumplir con las obligaciones impuestas por la Ley 2013 de 2019, para definir si algunos de ellos son, en términos generales, los contratistas del Estado. En tal sentido, se estudiará cuáles son los particulares obligados a publicar dicha información, teniendo en cuenta que casi todos los sujetos obligados son servidores públicos.</w:t>
      </w:r>
    </w:p>
    <w:p w14:paraId="4B638BA9" w14:textId="77777777" w:rsidR="005B1DA9" w:rsidRPr="00D61921" w:rsidRDefault="005B1DA9" w:rsidP="00E6633F">
      <w:pPr>
        <w:spacing w:after="120" w:line="276" w:lineRule="auto"/>
        <w:jc w:val="both"/>
        <w:rPr>
          <w:rFonts w:ascii="Arial" w:hAnsi="Arial" w:cs="Arial"/>
          <w:sz w:val="22"/>
          <w:lang w:val="es-CO"/>
        </w:rPr>
      </w:pPr>
    </w:p>
    <w:p w14:paraId="53674BA6" w14:textId="5C4CD93E" w:rsidR="003D3F6B" w:rsidRPr="00D61921" w:rsidRDefault="00E03FAB" w:rsidP="005B1DA9">
      <w:pPr>
        <w:spacing w:after="120" w:line="276" w:lineRule="auto"/>
        <w:ind w:firstLine="708"/>
        <w:jc w:val="both"/>
        <w:rPr>
          <w:rFonts w:ascii="Arial" w:hAnsi="Arial" w:cs="Arial"/>
          <w:sz w:val="22"/>
          <w:lang w:val="es-CO"/>
        </w:rPr>
      </w:pPr>
      <w:r w:rsidRPr="00D61921">
        <w:rPr>
          <w:rFonts w:ascii="Arial" w:hAnsi="Arial" w:cs="Arial"/>
          <w:sz w:val="22"/>
          <w:lang w:val="es-CO"/>
        </w:rPr>
        <w:t xml:space="preserve">La </w:t>
      </w:r>
      <w:r w:rsidRPr="00D61921">
        <w:rPr>
          <w:rFonts w:ascii="Arial" w:eastAsia="Calibri" w:hAnsi="Arial" w:cs="Arial"/>
          <w:sz w:val="22"/>
          <w:lang w:val="es-CO"/>
        </w:rPr>
        <w:t xml:space="preserve">Agencia Nacional de Contratación Pública </w:t>
      </w:r>
      <w:r w:rsidR="00AC3F7D" w:rsidRPr="00D61921">
        <w:rPr>
          <w:rFonts w:ascii="Arial" w:hAnsi="Arial" w:cs="Arial"/>
          <w:sz w:val="22"/>
          <w:lang w:val="es-CO"/>
        </w:rPr>
        <w:t>–</w:t>
      </w:r>
      <w:r w:rsidRPr="00D61921">
        <w:rPr>
          <w:rFonts w:ascii="Arial" w:eastAsia="Calibri" w:hAnsi="Arial" w:cs="Arial"/>
          <w:sz w:val="22"/>
          <w:lang w:val="es-CO"/>
        </w:rPr>
        <w:t xml:space="preserve"> Colombia Compra Eficiente</w:t>
      </w:r>
      <w:r w:rsidR="005B1DA9">
        <w:rPr>
          <w:rFonts w:ascii="Arial" w:eastAsia="Calibri" w:hAnsi="Arial" w:cs="Arial"/>
          <w:sz w:val="22"/>
          <w:lang w:val="es-CO"/>
        </w:rPr>
        <w:t xml:space="preserve">, </w:t>
      </w:r>
      <w:r w:rsidR="00E6633F" w:rsidRPr="00D61921">
        <w:rPr>
          <w:rFonts w:ascii="Arial" w:eastAsia="Calibri" w:hAnsi="Arial" w:cs="Arial"/>
          <w:sz w:val="22"/>
          <w:lang w:val="es-CO"/>
        </w:rPr>
        <w:t>en el concepto C</w:t>
      </w:r>
      <w:r w:rsidR="00AC3F7D" w:rsidRPr="00D61921">
        <w:rPr>
          <w:rFonts w:ascii="Arial" w:eastAsia="Calibri" w:hAnsi="Arial" w:cs="Arial"/>
          <w:sz w:val="22"/>
          <w:lang w:val="es-CO"/>
        </w:rPr>
        <w:t xml:space="preserve"> </w:t>
      </w:r>
      <w:r w:rsidR="00AC3F7D" w:rsidRPr="00D61921">
        <w:rPr>
          <w:rFonts w:ascii="Arial" w:hAnsi="Arial" w:cs="Arial"/>
          <w:sz w:val="22"/>
          <w:lang w:val="es-CO"/>
        </w:rPr>
        <w:t xml:space="preserve">– </w:t>
      </w:r>
      <w:r w:rsidR="00E6633F" w:rsidRPr="00D61921">
        <w:rPr>
          <w:rFonts w:ascii="Arial" w:eastAsia="Calibri" w:hAnsi="Arial" w:cs="Arial"/>
          <w:sz w:val="22"/>
          <w:lang w:val="es-CO"/>
        </w:rPr>
        <w:t>075 del 26 de marzo de 2020</w:t>
      </w:r>
      <w:r w:rsidR="00AC3F7D" w:rsidRPr="00D61921">
        <w:rPr>
          <w:rFonts w:ascii="Arial" w:eastAsia="Calibri" w:hAnsi="Arial" w:cs="Arial"/>
          <w:sz w:val="22"/>
          <w:lang w:val="es-CO"/>
        </w:rPr>
        <w:t xml:space="preserve"> y C </w:t>
      </w:r>
      <w:r w:rsidR="00AC3F7D" w:rsidRPr="00D61921">
        <w:rPr>
          <w:rFonts w:ascii="Arial" w:hAnsi="Arial" w:cs="Arial"/>
          <w:sz w:val="22"/>
          <w:lang w:val="es-CO"/>
        </w:rPr>
        <w:t xml:space="preserve">– 112 del 30 de marzo de </w:t>
      </w:r>
      <w:r w:rsidR="00D61921" w:rsidRPr="00D61921">
        <w:rPr>
          <w:rFonts w:ascii="Arial" w:hAnsi="Arial" w:cs="Arial"/>
          <w:sz w:val="22"/>
          <w:lang w:val="es-CO"/>
        </w:rPr>
        <w:t xml:space="preserve">2020, </w:t>
      </w:r>
      <w:r w:rsidR="00D61921" w:rsidRPr="00D61921">
        <w:rPr>
          <w:rFonts w:ascii="Arial" w:eastAsia="Calibri" w:hAnsi="Arial" w:cs="Arial"/>
          <w:sz w:val="22"/>
          <w:lang w:val="es-CO"/>
        </w:rPr>
        <w:t>se</w:t>
      </w:r>
      <w:r w:rsidRPr="00D61921">
        <w:rPr>
          <w:rFonts w:ascii="Arial" w:eastAsia="Calibri" w:hAnsi="Arial" w:cs="Arial"/>
          <w:sz w:val="22"/>
          <w:lang w:val="es-CO"/>
        </w:rPr>
        <w:t xml:space="preserve"> pronunció sobre la aplicación de la Ley 2013 de 2019 en los contratos estatales. En </w:t>
      </w:r>
      <w:r w:rsidR="005B1DA9" w:rsidRPr="00D61921">
        <w:rPr>
          <w:rFonts w:ascii="Arial" w:eastAsia="Calibri" w:hAnsi="Arial" w:cs="Arial"/>
          <w:sz w:val="22"/>
          <w:lang w:val="es-CO"/>
        </w:rPr>
        <w:t>particular</w:t>
      </w:r>
      <w:r w:rsidR="005B1DA9">
        <w:rPr>
          <w:rFonts w:ascii="Arial" w:eastAsia="Calibri" w:hAnsi="Arial" w:cs="Arial"/>
          <w:sz w:val="22"/>
          <w:lang w:val="es-CO"/>
        </w:rPr>
        <w:t xml:space="preserve">, identificó </w:t>
      </w:r>
      <w:r w:rsidR="005B1DA9" w:rsidRPr="00D61921">
        <w:rPr>
          <w:rFonts w:ascii="Arial" w:eastAsia="Calibri" w:hAnsi="Arial" w:cs="Arial"/>
          <w:sz w:val="22"/>
          <w:lang w:val="es-CO"/>
        </w:rPr>
        <w:t>los</w:t>
      </w:r>
      <w:r w:rsidRPr="00D61921">
        <w:rPr>
          <w:rFonts w:ascii="Arial" w:eastAsia="Calibri" w:hAnsi="Arial" w:cs="Arial"/>
          <w:sz w:val="22"/>
          <w:lang w:val="es-CO"/>
        </w:rPr>
        <w:t xml:space="preserve"> sujetos obligados </w:t>
      </w:r>
      <w:r w:rsidR="005B1DA9">
        <w:rPr>
          <w:rFonts w:ascii="Arial" w:eastAsia="Calibri" w:hAnsi="Arial" w:cs="Arial"/>
          <w:sz w:val="22"/>
          <w:lang w:val="es-CO"/>
        </w:rPr>
        <w:t>por</w:t>
      </w:r>
      <w:r w:rsidR="00E6633F" w:rsidRPr="00D61921">
        <w:rPr>
          <w:rFonts w:ascii="Arial" w:eastAsia="Calibri" w:hAnsi="Arial" w:cs="Arial"/>
          <w:sz w:val="22"/>
          <w:lang w:val="es-CO"/>
        </w:rPr>
        <w:t xml:space="preserve"> dicha </w:t>
      </w:r>
      <w:proofErr w:type="gramStart"/>
      <w:r w:rsidR="00E6633F" w:rsidRPr="00D61921">
        <w:rPr>
          <w:rFonts w:ascii="Arial" w:eastAsia="Calibri" w:hAnsi="Arial" w:cs="Arial"/>
          <w:sz w:val="22"/>
          <w:lang w:val="es-CO"/>
        </w:rPr>
        <w:t>ley</w:t>
      </w:r>
      <w:r w:rsidR="005B1DA9">
        <w:rPr>
          <w:rFonts w:ascii="Arial" w:eastAsia="Calibri" w:hAnsi="Arial" w:cs="Arial"/>
          <w:sz w:val="22"/>
          <w:lang w:val="es-CO"/>
        </w:rPr>
        <w:t xml:space="preserve">, </w:t>
      </w:r>
      <w:r w:rsidR="00E6633F" w:rsidRPr="00D61921">
        <w:rPr>
          <w:rFonts w:ascii="Arial" w:eastAsia="Calibri" w:hAnsi="Arial" w:cs="Arial"/>
          <w:sz w:val="22"/>
          <w:lang w:val="es-CO"/>
        </w:rPr>
        <w:t xml:space="preserve"> y</w:t>
      </w:r>
      <w:proofErr w:type="gramEnd"/>
      <w:r w:rsidR="00E6633F" w:rsidRPr="00D61921">
        <w:rPr>
          <w:rFonts w:ascii="Arial" w:eastAsia="Calibri" w:hAnsi="Arial" w:cs="Arial"/>
          <w:sz w:val="22"/>
          <w:lang w:val="es-CO"/>
        </w:rPr>
        <w:t xml:space="preserve"> en qué supuestos aplica a los contratistas del Estado, por lo que dichas consideraciones se reiteran a continuación.</w:t>
      </w:r>
    </w:p>
    <w:p w14:paraId="48699C25" w14:textId="46215692" w:rsidR="006F667A" w:rsidRPr="00D61921" w:rsidRDefault="006F667A" w:rsidP="005B1DA9">
      <w:pPr>
        <w:spacing w:after="120" w:line="276" w:lineRule="auto"/>
        <w:ind w:firstLine="709"/>
        <w:jc w:val="both"/>
        <w:rPr>
          <w:rFonts w:ascii="Arial" w:hAnsi="Arial" w:cs="Arial"/>
          <w:sz w:val="22"/>
          <w:lang w:val="es-CO"/>
        </w:rPr>
      </w:pPr>
      <w:r w:rsidRPr="00D61921">
        <w:rPr>
          <w:rFonts w:ascii="Arial" w:hAnsi="Arial" w:cs="Arial"/>
          <w:sz w:val="22"/>
          <w:lang w:val="es-CO"/>
        </w:rPr>
        <w:t xml:space="preserve">La Ley 2013 </w:t>
      </w:r>
      <w:r w:rsidR="006328C4" w:rsidRPr="00D61921">
        <w:rPr>
          <w:rFonts w:ascii="Arial" w:hAnsi="Arial" w:cs="Arial"/>
          <w:sz w:val="22"/>
          <w:lang w:val="es-CO"/>
        </w:rPr>
        <w:t>se expidió</w:t>
      </w:r>
      <w:r w:rsidRPr="00D61921">
        <w:rPr>
          <w:rFonts w:ascii="Arial" w:hAnsi="Arial" w:cs="Arial"/>
          <w:sz w:val="22"/>
          <w:lang w:val="es-CO"/>
        </w:rPr>
        <w:t xml:space="preserve"> el 30 de diciembre</w:t>
      </w:r>
      <w:r w:rsidR="003D3F6B" w:rsidRPr="00D61921">
        <w:rPr>
          <w:rFonts w:ascii="Arial" w:hAnsi="Arial" w:cs="Arial"/>
          <w:sz w:val="22"/>
          <w:lang w:val="es-CO"/>
        </w:rPr>
        <w:t xml:space="preserve"> de 2019, luego de tramitarse mediante el proyecto de Ley 147 de 2018 Senado y 254 de 2018 Cámara.</w:t>
      </w:r>
      <w:r w:rsidRPr="00D61921">
        <w:rPr>
          <w:rFonts w:ascii="Arial" w:hAnsi="Arial" w:cs="Arial"/>
          <w:sz w:val="22"/>
          <w:lang w:val="es-CO"/>
        </w:rPr>
        <w:t xml:space="preserve"> El objeto de dicha ley consiste en dar cumplimiento a los principios de transparencia, publicidad, promoción de la participación y control social mediante la publica</w:t>
      </w:r>
      <w:r w:rsidR="003E33F6" w:rsidRPr="00D61921">
        <w:rPr>
          <w:rFonts w:ascii="Arial" w:hAnsi="Arial" w:cs="Arial"/>
          <w:sz w:val="22"/>
          <w:lang w:val="es-CO"/>
        </w:rPr>
        <w:t>ción</w:t>
      </w:r>
      <w:r w:rsidRPr="00D61921">
        <w:rPr>
          <w:rFonts w:ascii="Arial" w:hAnsi="Arial" w:cs="Arial"/>
          <w:sz w:val="22"/>
          <w:lang w:val="es-CO"/>
        </w:rPr>
        <w:t xml:space="preserve"> y divulga</w:t>
      </w:r>
      <w:r w:rsidR="003E33F6" w:rsidRPr="00D61921">
        <w:rPr>
          <w:rFonts w:ascii="Arial" w:hAnsi="Arial" w:cs="Arial"/>
          <w:sz w:val="22"/>
          <w:lang w:val="es-CO"/>
        </w:rPr>
        <w:t>ción</w:t>
      </w:r>
      <w:r w:rsidRPr="00D61921">
        <w:rPr>
          <w:rFonts w:ascii="Arial" w:hAnsi="Arial" w:cs="Arial"/>
          <w:sz w:val="22"/>
          <w:lang w:val="es-CO"/>
        </w:rPr>
        <w:t xml:space="preserve"> proactiva</w:t>
      </w:r>
      <w:r w:rsidR="003E33F6" w:rsidRPr="00D61921">
        <w:rPr>
          <w:rFonts w:ascii="Arial" w:hAnsi="Arial" w:cs="Arial"/>
          <w:sz w:val="22"/>
          <w:lang w:val="es-CO"/>
        </w:rPr>
        <w:t xml:space="preserve"> de</w:t>
      </w:r>
      <w:r w:rsidRPr="00D61921">
        <w:rPr>
          <w:rFonts w:ascii="Arial" w:hAnsi="Arial" w:cs="Arial"/>
          <w:sz w:val="22"/>
          <w:lang w:val="es-CO"/>
        </w:rPr>
        <w:t xml:space="preserve">: i) la declaración de bienes y rentas, </w:t>
      </w:r>
      <w:proofErr w:type="spellStart"/>
      <w:r w:rsidRPr="00D61921">
        <w:rPr>
          <w:rFonts w:ascii="Arial" w:hAnsi="Arial" w:cs="Arial"/>
          <w:sz w:val="22"/>
          <w:lang w:val="es-CO"/>
        </w:rPr>
        <w:t>ii</w:t>
      </w:r>
      <w:proofErr w:type="spellEnd"/>
      <w:r w:rsidRPr="00D61921">
        <w:rPr>
          <w:rFonts w:ascii="Arial" w:hAnsi="Arial" w:cs="Arial"/>
          <w:sz w:val="22"/>
          <w:lang w:val="es-CO"/>
        </w:rPr>
        <w:t xml:space="preserve">) el registro de conflictos de interés, y </w:t>
      </w:r>
      <w:proofErr w:type="spellStart"/>
      <w:r w:rsidRPr="00D61921">
        <w:rPr>
          <w:rFonts w:ascii="Arial" w:hAnsi="Arial" w:cs="Arial"/>
          <w:sz w:val="22"/>
          <w:lang w:val="es-CO"/>
        </w:rPr>
        <w:t>iii</w:t>
      </w:r>
      <w:proofErr w:type="spellEnd"/>
      <w:r w:rsidRPr="00D61921">
        <w:rPr>
          <w:rFonts w:ascii="Arial" w:hAnsi="Arial" w:cs="Arial"/>
          <w:sz w:val="22"/>
          <w:lang w:val="es-CO"/>
        </w:rPr>
        <w:t xml:space="preserve">) la declaración sobre la renta y complementarios </w:t>
      </w:r>
      <w:r w:rsidR="00AC3F7D" w:rsidRPr="00D61921">
        <w:rPr>
          <w:rFonts w:ascii="Arial" w:hAnsi="Arial" w:cs="Arial"/>
          <w:sz w:val="22"/>
          <w:lang w:val="es-CO"/>
        </w:rPr>
        <w:t>–</w:t>
      </w:r>
      <w:r w:rsidRPr="00D61921">
        <w:rPr>
          <w:rFonts w:ascii="Arial" w:hAnsi="Arial" w:cs="Arial"/>
          <w:sz w:val="22"/>
          <w:lang w:val="es-CO"/>
        </w:rPr>
        <w:t>art. 1</w:t>
      </w:r>
      <w:r w:rsidR="00AC3F7D" w:rsidRPr="00D61921">
        <w:rPr>
          <w:rFonts w:ascii="Arial" w:hAnsi="Arial" w:cs="Arial"/>
          <w:sz w:val="22"/>
          <w:lang w:val="es-CO"/>
        </w:rPr>
        <w:softHyphen/>
        <w:t>–</w:t>
      </w:r>
      <w:r w:rsidRPr="00D61921">
        <w:rPr>
          <w:rFonts w:ascii="Arial" w:hAnsi="Arial" w:cs="Arial"/>
          <w:sz w:val="22"/>
          <w:lang w:val="es-CO"/>
        </w:rPr>
        <w:t>.</w:t>
      </w:r>
    </w:p>
    <w:p w14:paraId="1C904B5D" w14:textId="4992E1D3" w:rsidR="00967435" w:rsidRPr="00D61921" w:rsidRDefault="00967435" w:rsidP="003D3F6B">
      <w:pPr>
        <w:spacing w:after="120" w:line="276" w:lineRule="auto"/>
        <w:jc w:val="both"/>
        <w:rPr>
          <w:rFonts w:ascii="Arial" w:hAnsi="Arial" w:cs="Arial"/>
          <w:sz w:val="22"/>
          <w:lang w:val="es-CO"/>
        </w:rPr>
      </w:pPr>
      <w:r w:rsidRPr="00D61921">
        <w:rPr>
          <w:rFonts w:ascii="Arial" w:hAnsi="Arial" w:cs="Arial"/>
          <w:sz w:val="22"/>
          <w:lang w:val="es-CO"/>
        </w:rPr>
        <w:tab/>
        <w:t xml:space="preserve">La finalidad que justificó la presentación del proyecto de ley fue incentivar la participación y el control social por parte de los colombianos, de manera que se evitara la comisión de conductas de corrupción, al </w:t>
      </w:r>
      <w:r w:rsidR="002B657B" w:rsidRPr="00D61921">
        <w:rPr>
          <w:rFonts w:ascii="Arial" w:hAnsi="Arial" w:cs="Arial"/>
          <w:sz w:val="22"/>
          <w:lang w:val="es-CO"/>
        </w:rPr>
        <w:t>propiciarse</w:t>
      </w:r>
      <w:r w:rsidRPr="00D61921">
        <w:rPr>
          <w:rFonts w:ascii="Arial" w:hAnsi="Arial" w:cs="Arial"/>
          <w:sz w:val="22"/>
          <w:lang w:val="es-CO"/>
        </w:rPr>
        <w:t xml:space="preserve"> la publicidad y </w:t>
      </w:r>
      <w:r w:rsidR="002B657B" w:rsidRPr="00D61921">
        <w:rPr>
          <w:rFonts w:ascii="Arial" w:hAnsi="Arial" w:cs="Arial"/>
          <w:sz w:val="22"/>
          <w:lang w:val="es-CO"/>
        </w:rPr>
        <w:t>transparencia</w:t>
      </w:r>
      <w:r w:rsidRPr="00D61921">
        <w:rPr>
          <w:rFonts w:ascii="Arial" w:hAnsi="Arial" w:cs="Arial"/>
          <w:sz w:val="22"/>
          <w:lang w:val="es-CO"/>
        </w:rPr>
        <w:t xml:space="preserve"> en la información de los patrimonios de algunos servidores públicos</w:t>
      </w:r>
      <w:r w:rsidR="007E704D" w:rsidRPr="00D61921">
        <w:rPr>
          <w:rFonts w:ascii="Arial" w:hAnsi="Arial" w:cs="Arial"/>
          <w:sz w:val="22"/>
          <w:lang w:val="es-CO"/>
        </w:rPr>
        <w:t>, particularmente aquellos con altos cargos dentro de la estructura del Estado; además</w:t>
      </w:r>
      <w:r w:rsidR="003E33F6" w:rsidRPr="00D61921">
        <w:rPr>
          <w:rFonts w:ascii="Arial" w:hAnsi="Arial" w:cs="Arial"/>
          <w:sz w:val="22"/>
          <w:lang w:val="es-CO"/>
        </w:rPr>
        <w:t>,</w:t>
      </w:r>
      <w:r w:rsidR="007E704D" w:rsidRPr="00D61921">
        <w:rPr>
          <w:rFonts w:ascii="Arial" w:hAnsi="Arial" w:cs="Arial"/>
          <w:sz w:val="22"/>
          <w:lang w:val="es-CO"/>
        </w:rPr>
        <w:t xml:space="preserve"> durante el trámite de</w:t>
      </w:r>
      <w:r w:rsidR="003E33F6" w:rsidRPr="00D61921">
        <w:rPr>
          <w:rFonts w:ascii="Arial" w:hAnsi="Arial" w:cs="Arial"/>
          <w:sz w:val="22"/>
          <w:lang w:val="es-CO"/>
        </w:rPr>
        <w:t xml:space="preserve">l proyecto se </w:t>
      </w:r>
      <w:r w:rsidR="007E704D" w:rsidRPr="00D61921">
        <w:rPr>
          <w:rFonts w:ascii="Arial" w:hAnsi="Arial" w:cs="Arial"/>
          <w:sz w:val="22"/>
          <w:lang w:val="es-CO"/>
        </w:rPr>
        <w:t>amplió paulatinamente el ámbito de aplicación de la ley, al incluirse nuevos sujetos obligados</w:t>
      </w:r>
      <w:r w:rsidR="003E33F6" w:rsidRPr="00D61921">
        <w:rPr>
          <w:rFonts w:ascii="Arial" w:hAnsi="Arial" w:cs="Arial"/>
          <w:sz w:val="22"/>
          <w:lang w:val="es-CO"/>
        </w:rPr>
        <w:t>, entre ellos a algunos particul</w:t>
      </w:r>
      <w:r w:rsidR="00A91D8B" w:rsidRPr="00D61921">
        <w:rPr>
          <w:rFonts w:ascii="Arial" w:hAnsi="Arial" w:cs="Arial"/>
          <w:sz w:val="22"/>
          <w:lang w:val="es-CO"/>
        </w:rPr>
        <w:t>a</w:t>
      </w:r>
      <w:r w:rsidR="003E33F6" w:rsidRPr="00D61921">
        <w:rPr>
          <w:rFonts w:ascii="Arial" w:hAnsi="Arial" w:cs="Arial"/>
          <w:sz w:val="22"/>
          <w:lang w:val="es-CO"/>
        </w:rPr>
        <w:t>res</w:t>
      </w:r>
      <w:r w:rsidR="007E704D" w:rsidRPr="00D61921">
        <w:rPr>
          <w:rFonts w:ascii="Arial" w:hAnsi="Arial" w:cs="Arial"/>
          <w:sz w:val="22"/>
          <w:lang w:val="es-CO"/>
        </w:rPr>
        <w:t>.</w:t>
      </w:r>
    </w:p>
    <w:p w14:paraId="4B1501F7" w14:textId="08C1B8C7" w:rsidR="007D7AD2" w:rsidRPr="00D61921" w:rsidRDefault="006F667A" w:rsidP="00996F07">
      <w:pPr>
        <w:spacing w:line="276" w:lineRule="auto"/>
        <w:ind w:firstLine="709"/>
        <w:jc w:val="both"/>
        <w:rPr>
          <w:rFonts w:ascii="Arial" w:hAnsi="Arial" w:cs="Arial"/>
          <w:sz w:val="22"/>
          <w:lang w:val="es-CO"/>
        </w:rPr>
      </w:pPr>
      <w:r w:rsidRPr="00D61921">
        <w:rPr>
          <w:rFonts w:ascii="Arial" w:hAnsi="Arial" w:cs="Arial"/>
          <w:sz w:val="22"/>
          <w:lang w:val="es-CO"/>
        </w:rPr>
        <w:t xml:space="preserve">Las obligaciones </w:t>
      </w:r>
      <w:r w:rsidR="007E704D" w:rsidRPr="00D61921">
        <w:rPr>
          <w:rFonts w:ascii="Arial" w:hAnsi="Arial" w:cs="Arial"/>
          <w:sz w:val="22"/>
          <w:lang w:val="es-CO"/>
        </w:rPr>
        <w:t>indicadas previamente</w:t>
      </w:r>
      <w:r w:rsidR="003655FF" w:rsidRPr="00D61921">
        <w:rPr>
          <w:rFonts w:ascii="Arial" w:hAnsi="Arial" w:cs="Arial"/>
          <w:sz w:val="22"/>
          <w:lang w:val="es-CO"/>
        </w:rPr>
        <w:t>,</w:t>
      </w:r>
      <w:r w:rsidR="007E704D" w:rsidRPr="00D61921">
        <w:rPr>
          <w:rFonts w:ascii="Arial" w:hAnsi="Arial" w:cs="Arial"/>
          <w:sz w:val="22"/>
          <w:lang w:val="es-CO"/>
        </w:rPr>
        <w:t xml:space="preserve"> en materia de publicidad</w:t>
      </w:r>
      <w:r w:rsidR="003655FF" w:rsidRPr="00D61921">
        <w:rPr>
          <w:rFonts w:ascii="Arial" w:hAnsi="Arial" w:cs="Arial"/>
          <w:sz w:val="22"/>
          <w:lang w:val="es-CO"/>
        </w:rPr>
        <w:t>,</w:t>
      </w:r>
      <w:r w:rsidR="007E704D" w:rsidRPr="00D61921">
        <w:rPr>
          <w:rFonts w:ascii="Arial" w:hAnsi="Arial" w:cs="Arial"/>
          <w:sz w:val="22"/>
          <w:lang w:val="es-CO"/>
        </w:rPr>
        <w:t xml:space="preserve"> </w:t>
      </w:r>
      <w:r w:rsidRPr="00D61921">
        <w:rPr>
          <w:rFonts w:ascii="Arial" w:hAnsi="Arial" w:cs="Arial"/>
          <w:sz w:val="22"/>
          <w:lang w:val="es-CO"/>
        </w:rPr>
        <w:t xml:space="preserve">fueron </w:t>
      </w:r>
      <w:r w:rsidR="006328C4" w:rsidRPr="00D61921">
        <w:rPr>
          <w:rFonts w:ascii="Arial" w:hAnsi="Arial" w:cs="Arial"/>
          <w:sz w:val="22"/>
          <w:lang w:val="es-CO"/>
        </w:rPr>
        <w:t>impuestas</w:t>
      </w:r>
      <w:r w:rsidRPr="00D61921">
        <w:rPr>
          <w:rFonts w:ascii="Arial" w:hAnsi="Arial" w:cs="Arial"/>
          <w:sz w:val="22"/>
          <w:lang w:val="es-CO"/>
        </w:rPr>
        <w:t xml:space="preserve"> a los sujetos señalados en el artículo 2, que constituye la disposición que define el ámbito de aplicación de la propia ley. </w:t>
      </w:r>
      <w:r w:rsidR="006328C4" w:rsidRPr="00D61921">
        <w:rPr>
          <w:rFonts w:ascii="Arial" w:hAnsi="Arial" w:cs="Arial"/>
          <w:sz w:val="22"/>
          <w:lang w:val="es-CO"/>
        </w:rPr>
        <w:t xml:space="preserve">En tal sentido, </w:t>
      </w:r>
      <w:r w:rsidR="007E704D" w:rsidRPr="00D61921">
        <w:rPr>
          <w:rFonts w:ascii="Arial" w:hAnsi="Arial" w:cs="Arial"/>
          <w:sz w:val="22"/>
          <w:lang w:val="es-CO"/>
        </w:rPr>
        <w:t>dicho artículo finalmente se expidió con 11 literales, siendo la mayoría de los sujetos obligados servidores públicos, de los cuales s</w:t>
      </w:r>
      <w:r w:rsidR="00D535FD" w:rsidRPr="00D61921">
        <w:rPr>
          <w:rFonts w:ascii="Arial" w:hAnsi="Arial" w:cs="Arial"/>
          <w:sz w:val="22"/>
          <w:lang w:val="es-CO"/>
        </w:rPr>
        <w:t>e</w:t>
      </w:r>
      <w:r w:rsidR="007E704D" w:rsidRPr="00D61921">
        <w:rPr>
          <w:rFonts w:ascii="Arial" w:hAnsi="Arial" w:cs="Arial"/>
          <w:sz w:val="22"/>
          <w:lang w:val="es-CO"/>
        </w:rPr>
        <w:t xml:space="preserve"> realizó un listado extenso; sin embargo, dicha obligación no se extendió a cualquier servidor público, sino exclusivamente a los contenidos en </w:t>
      </w:r>
      <w:r w:rsidR="003655FF" w:rsidRPr="00D61921">
        <w:rPr>
          <w:rFonts w:ascii="Arial" w:hAnsi="Arial" w:cs="Arial"/>
          <w:sz w:val="22"/>
          <w:lang w:val="es-CO"/>
        </w:rPr>
        <w:t>la</w:t>
      </w:r>
      <w:r w:rsidR="007E704D" w:rsidRPr="00D61921">
        <w:rPr>
          <w:rFonts w:ascii="Arial" w:hAnsi="Arial" w:cs="Arial"/>
          <w:sz w:val="22"/>
          <w:lang w:val="es-CO"/>
        </w:rPr>
        <w:t xml:space="preserve"> lista.</w:t>
      </w:r>
      <w:r w:rsidR="00E03FAB" w:rsidRPr="00D61921">
        <w:rPr>
          <w:rFonts w:ascii="Arial" w:hAnsi="Arial" w:cs="Arial"/>
          <w:sz w:val="22"/>
          <w:lang w:val="es-CO"/>
        </w:rPr>
        <w:t xml:space="preserve"> </w:t>
      </w:r>
      <w:r w:rsidR="007E704D" w:rsidRPr="00D61921">
        <w:rPr>
          <w:rFonts w:ascii="Arial" w:hAnsi="Arial" w:cs="Arial"/>
          <w:sz w:val="22"/>
          <w:lang w:val="es-CO"/>
        </w:rPr>
        <w:t>Dentro de este se destacan los literales f) y g)</w:t>
      </w:r>
      <w:r w:rsidR="003655FF" w:rsidRPr="00D61921">
        <w:rPr>
          <w:rFonts w:ascii="Arial" w:hAnsi="Arial" w:cs="Arial"/>
          <w:sz w:val="22"/>
          <w:lang w:val="es-CO"/>
        </w:rPr>
        <w:t>,</w:t>
      </w:r>
      <w:r w:rsidR="007E704D" w:rsidRPr="00D61921">
        <w:rPr>
          <w:rFonts w:ascii="Arial" w:hAnsi="Arial" w:cs="Arial"/>
          <w:sz w:val="22"/>
          <w:lang w:val="es-CO"/>
        </w:rPr>
        <w:t xml:space="preserve"> por ser los únicos que </w:t>
      </w:r>
      <w:r w:rsidR="007D7AD2" w:rsidRPr="00D61921">
        <w:rPr>
          <w:rFonts w:ascii="Arial" w:hAnsi="Arial" w:cs="Arial"/>
          <w:sz w:val="22"/>
          <w:lang w:val="es-CO"/>
        </w:rPr>
        <w:t>aplican frente a particulares:</w:t>
      </w:r>
    </w:p>
    <w:p w14:paraId="0049F19F" w14:textId="2FC71297" w:rsidR="007D7AD2" w:rsidRPr="00D61921" w:rsidRDefault="007D7AD2" w:rsidP="00996F07">
      <w:pPr>
        <w:ind w:firstLine="709"/>
        <w:contextualSpacing/>
        <w:jc w:val="both"/>
        <w:rPr>
          <w:rFonts w:ascii="Arial" w:hAnsi="Arial" w:cs="Arial"/>
          <w:sz w:val="22"/>
          <w:lang w:val="es-CO"/>
        </w:rPr>
      </w:pPr>
    </w:p>
    <w:p w14:paraId="238A6E90" w14:textId="77777777" w:rsidR="007D7AD2" w:rsidRPr="00D61921" w:rsidRDefault="007D7AD2" w:rsidP="00996F07">
      <w:pPr>
        <w:pStyle w:val="NormalWeb"/>
        <w:spacing w:before="0" w:beforeAutospacing="0" w:after="0" w:afterAutospacing="0"/>
        <w:ind w:left="709" w:right="709"/>
        <w:contextualSpacing/>
        <w:jc w:val="both"/>
        <w:rPr>
          <w:rFonts w:ascii="Arial" w:hAnsi="Arial" w:cs="Arial"/>
          <w:sz w:val="21"/>
          <w:szCs w:val="21"/>
        </w:rPr>
      </w:pPr>
      <w:r w:rsidRPr="00D61921">
        <w:rPr>
          <w:rFonts w:ascii="Arial" w:hAnsi="Arial" w:cs="Arial"/>
          <w:sz w:val="21"/>
          <w:szCs w:val="21"/>
        </w:rPr>
        <w:t>«Artículo 2</w:t>
      </w:r>
      <w:r w:rsidRPr="00D61921">
        <w:rPr>
          <w:rFonts w:ascii="Arial" w:hAnsi="Arial" w:cs="Arial"/>
          <w:i/>
          <w:iCs/>
          <w:sz w:val="21"/>
          <w:szCs w:val="21"/>
        </w:rPr>
        <w:t>º</w:t>
      </w:r>
      <w:r w:rsidRPr="00D61921">
        <w:rPr>
          <w:rFonts w:ascii="Arial" w:hAnsi="Arial" w:cs="Arial"/>
          <w:sz w:val="21"/>
          <w:szCs w:val="21"/>
        </w:rPr>
        <w:t>. </w:t>
      </w:r>
      <w:r w:rsidRPr="00D61921">
        <w:rPr>
          <w:rFonts w:ascii="Arial" w:hAnsi="Arial" w:cs="Arial"/>
          <w:i/>
          <w:iCs/>
          <w:sz w:val="21"/>
          <w:szCs w:val="21"/>
        </w:rPr>
        <w:t>Ámbito de aplicación.</w:t>
      </w:r>
      <w:r w:rsidRPr="00D61921">
        <w:rPr>
          <w:rFonts w:ascii="Arial" w:hAnsi="Arial" w:cs="Arial"/>
          <w:sz w:val="21"/>
          <w:szCs w:val="21"/>
        </w:rPr>
        <w:t> La publicación y divulgación de la declaración de bienes y rentas, del registro de conflictos de interés y la declaración del impuesto sobre la renta y complementarios, serán aplicables a las siguientes personas en calidad de sujetos obligados: </w:t>
      </w:r>
    </w:p>
    <w:p w14:paraId="479EF259"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10C04B81" w14:textId="52B6BDDF"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a) Los servidores públicos electos mediante voto popular; </w:t>
      </w:r>
    </w:p>
    <w:p w14:paraId="775E107A"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3C1D5F64" w14:textId="37C40E1C"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b) Los magistrados de las Altas Cortes; Tribunales y de la Justicia Especial para la Paz, el Fiscal General de la Nación, fiscales locales, seccionales y jueces de la República; </w:t>
      </w:r>
    </w:p>
    <w:p w14:paraId="30B9ADD1"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4DE15CC3" w14:textId="6EAAFD05"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c) Los magistrados del Consejo Nacional Electoral; </w:t>
      </w:r>
    </w:p>
    <w:p w14:paraId="6EBB4BAC"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59B09216" w14:textId="5E4DEE49"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lastRenderedPageBreak/>
        <w:t>d) EI Procurador General de la Nación, el Auditor General de la República, el Defensor del Pueblo, el Contralor General de la República y el Registrador Nacional del Estado Civil; </w:t>
      </w:r>
    </w:p>
    <w:p w14:paraId="618A76AC"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65E12963" w14:textId="2252E791"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e) Los Ministros de Despacho, los Superintendentes, Directores de Departamentos Administrativos, Directores de Unidades Administrativas Especiales y, en general, quienes ejerzan cargos directivos y gerenciales en el Estado; </w:t>
      </w:r>
    </w:p>
    <w:p w14:paraId="0EBE506B" w14:textId="77777777" w:rsidR="007D7AD2" w:rsidRPr="00D61921" w:rsidRDefault="007D7AD2" w:rsidP="00996F07">
      <w:pPr>
        <w:ind w:left="709" w:right="709"/>
        <w:contextualSpacing/>
        <w:jc w:val="both"/>
        <w:rPr>
          <w:rFonts w:ascii="Arial" w:eastAsia="Times New Roman" w:hAnsi="Arial" w:cs="Arial"/>
          <w:i/>
          <w:iCs/>
          <w:sz w:val="21"/>
          <w:szCs w:val="21"/>
          <w:lang w:val="es-CO" w:eastAsia="es-CO"/>
        </w:rPr>
      </w:pPr>
    </w:p>
    <w:p w14:paraId="09FD9B2D" w14:textId="17F78BE3" w:rsidR="007D7AD2" w:rsidRPr="00D61921" w:rsidRDefault="007D7AD2" w:rsidP="00996F07">
      <w:pPr>
        <w:ind w:left="709" w:right="709"/>
        <w:contextualSpacing/>
        <w:jc w:val="both"/>
        <w:rPr>
          <w:rFonts w:ascii="Arial" w:eastAsia="Times New Roman" w:hAnsi="Arial" w:cs="Arial"/>
          <w:i/>
          <w:iCs/>
          <w:sz w:val="21"/>
          <w:szCs w:val="21"/>
          <w:lang w:val="es-CO" w:eastAsia="es-CO"/>
        </w:rPr>
      </w:pPr>
      <w:r w:rsidRPr="00D61921">
        <w:rPr>
          <w:rFonts w:ascii="Arial" w:eastAsia="Times New Roman" w:hAnsi="Arial" w:cs="Arial"/>
          <w:i/>
          <w:iCs/>
          <w:sz w:val="21"/>
          <w:szCs w:val="21"/>
          <w:lang w:val="es-CO" w:eastAsia="es-CO"/>
        </w:rPr>
        <w:t>f) Las personas naturales y jurídicas, públicas o privadas, que presten función pública, que presten servicios públicos respecto de la información directamente relacionada con la prestación del servicio público; </w:t>
      </w:r>
    </w:p>
    <w:p w14:paraId="00113FED" w14:textId="77777777" w:rsidR="007D7AD2" w:rsidRPr="00D61921" w:rsidRDefault="007D7AD2" w:rsidP="00996F07">
      <w:pPr>
        <w:ind w:left="709" w:right="709"/>
        <w:contextualSpacing/>
        <w:jc w:val="both"/>
        <w:rPr>
          <w:rFonts w:ascii="Arial" w:eastAsia="Times New Roman" w:hAnsi="Arial" w:cs="Arial"/>
          <w:i/>
          <w:iCs/>
          <w:sz w:val="21"/>
          <w:szCs w:val="21"/>
          <w:lang w:val="es-CO" w:eastAsia="es-CO"/>
        </w:rPr>
      </w:pPr>
    </w:p>
    <w:p w14:paraId="6136C983" w14:textId="361FE141" w:rsidR="007D7AD2" w:rsidRPr="00D61921" w:rsidRDefault="007D7AD2" w:rsidP="00996F07">
      <w:pPr>
        <w:ind w:left="709" w:right="709"/>
        <w:contextualSpacing/>
        <w:jc w:val="both"/>
        <w:rPr>
          <w:rFonts w:ascii="Arial" w:eastAsia="Times New Roman" w:hAnsi="Arial" w:cs="Arial"/>
          <w:i/>
          <w:iCs/>
          <w:sz w:val="21"/>
          <w:szCs w:val="21"/>
          <w:lang w:val="es-CO" w:eastAsia="es-CO"/>
        </w:rPr>
      </w:pPr>
      <w:r w:rsidRPr="00D61921">
        <w:rPr>
          <w:rFonts w:ascii="Arial" w:eastAsia="Times New Roman" w:hAnsi="Arial" w:cs="Arial"/>
          <w:i/>
          <w:iCs/>
          <w:sz w:val="21"/>
          <w:szCs w:val="21"/>
          <w:lang w:val="es-CO" w:eastAsia="es-CO"/>
        </w:rPr>
        <w:t>g) Las personas naturales y jurídicas, públicas o privadas que administren, celebren contratos y ejecuten bienes o recursos públicos respecto de la información directamente relacionada con el desempeño de su función; </w:t>
      </w:r>
    </w:p>
    <w:p w14:paraId="6DF829E9"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0DDDA153" w14:textId="30CE1B40"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h) El Presidente de la República; </w:t>
      </w:r>
    </w:p>
    <w:p w14:paraId="39D992C2"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0A82B4DD" w14:textId="646CB7F1"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i) Al Gerente General del Banco de la República, de las CAR y los Consejos Directivos y Rectores y Directores de Universidades Públicas; </w:t>
      </w:r>
    </w:p>
    <w:p w14:paraId="2E71E228"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53612F3E" w14:textId="6AE00021"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j) Los Directivos de las entidades adscritas o vinculadas a los Ministerios y Departamentos Administrativos, con personería jurídica; </w:t>
      </w:r>
    </w:p>
    <w:p w14:paraId="65CF3D9D" w14:textId="77777777" w:rsidR="007D7AD2" w:rsidRPr="00D61921" w:rsidRDefault="007D7AD2" w:rsidP="00996F07">
      <w:pPr>
        <w:ind w:left="709" w:right="709"/>
        <w:contextualSpacing/>
        <w:jc w:val="both"/>
        <w:rPr>
          <w:rFonts w:ascii="Arial" w:eastAsia="Times New Roman" w:hAnsi="Arial" w:cs="Arial"/>
          <w:sz w:val="21"/>
          <w:szCs w:val="21"/>
          <w:lang w:val="es-CO" w:eastAsia="es-CO"/>
        </w:rPr>
      </w:pPr>
    </w:p>
    <w:p w14:paraId="525E36C3" w14:textId="61FDEF39"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k) Embajadores y Cónsules de Colombia en el Exterior. </w:t>
      </w:r>
    </w:p>
    <w:p w14:paraId="534506F0" w14:textId="77777777" w:rsidR="007D7AD2" w:rsidRPr="00D61921" w:rsidRDefault="007D7AD2" w:rsidP="00996F07">
      <w:pPr>
        <w:ind w:left="709" w:right="709"/>
        <w:contextualSpacing/>
        <w:jc w:val="both"/>
        <w:rPr>
          <w:rFonts w:ascii="Arial" w:eastAsia="Times New Roman" w:hAnsi="Arial" w:cs="Arial"/>
          <w:b/>
          <w:bCs/>
          <w:sz w:val="21"/>
          <w:szCs w:val="21"/>
          <w:lang w:val="es-CO" w:eastAsia="es-CO"/>
        </w:rPr>
      </w:pPr>
    </w:p>
    <w:p w14:paraId="0367BD7F" w14:textId="5A7B9D0E" w:rsidR="007D7AD2" w:rsidRPr="00D61921" w:rsidRDefault="007D7AD2" w:rsidP="00996F07">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 xml:space="preserve">Parágrafo 1º. La publicación de esta información será requisito para posesionarse, ejercer y retirarse del cargo. </w:t>
      </w:r>
      <w:r w:rsidRPr="00D61921">
        <w:rPr>
          <w:rFonts w:ascii="Arial" w:eastAsia="Times New Roman" w:hAnsi="Arial" w:cs="Arial"/>
          <w:i/>
          <w:iCs/>
          <w:sz w:val="21"/>
          <w:szCs w:val="21"/>
          <w:lang w:val="es-CO" w:eastAsia="es-CO"/>
        </w:rPr>
        <w:t>A quienes no aplica el ingreso y retiro del cargo, será requisito antes, durante y al término del ejercicio de la función pública, prestación de servicios públicos o administración de bienes o recursos públicos. </w:t>
      </w:r>
    </w:p>
    <w:p w14:paraId="0E3E20E3" w14:textId="77777777" w:rsidR="007D7AD2" w:rsidRPr="00D61921" w:rsidRDefault="007D7AD2" w:rsidP="00996F07">
      <w:pPr>
        <w:spacing w:after="120"/>
        <w:ind w:left="709" w:right="709"/>
        <w:contextualSpacing/>
        <w:jc w:val="both"/>
        <w:rPr>
          <w:rFonts w:ascii="Arial" w:eastAsia="Times New Roman" w:hAnsi="Arial" w:cs="Arial"/>
          <w:b/>
          <w:bCs/>
          <w:sz w:val="21"/>
          <w:szCs w:val="21"/>
          <w:lang w:val="es-CO" w:eastAsia="es-CO"/>
        </w:rPr>
      </w:pPr>
    </w:p>
    <w:p w14:paraId="0320FCAF" w14:textId="3644ED49" w:rsidR="007D7AD2" w:rsidRPr="00D61921" w:rsidRDefault="007D7AD2" w:rsidP="00996F07">
      <w:pPr>
        <w:spacing w:after="120"/>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Parágrafo 2º.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(Cursiva fuera del original)</w:t>
      </w:r>
    </w:p>
    <w:p w14:paraId="74A98EFE" w14:textId="6E7C48AD" w:rsidR="00996F07" w:rsidRPr="00D61921" w:rsidRDefault="00996F07" w:rsidP="00996F07">
      <w:pPr>
        <w:spacing w:after="120"/>
        <w:ind w:right="709"/>
        <w:jc w:val="both"/>
        <w:rPr>
          <w:rFonts w:ascii="Arial" w:eastAsia="Times New Roman" w:hAnsi="Arial" w:cs="Arial"/>
          <w:b/>
          <w:bCs/>
          <w:sz w:val="21"/>
          <w:szCs w:val="21"/>
          <w:lang w:val="es-CO" w:eastAsia="es-CO"/>
        </w:rPr>
      </w:pPr>
    </w:p>
    <w:p w14:paraId="30FD0624" w14:textId="3EB4936C" w:rsidR="000A3102" w:rsidRPr="00D61921" w:rsidRDefault="000A3102" w:rsidP="000A3102">
      <w:pPr>
        <w:spacing w:after="120" w:line="276" w:lineRule="auto"/>
        <w:ind w:firstLine="708"/>
        <w:jc w:val="both"/>
        <w:rPr>
          <w:rFonts w:ascii="Arial" w:hAnsi="Arial" w:cs="Arial"/>
          <w:sz w:val="22"/>
          <w:lang w:val="es-CO"/>
        </w:rPr>
      </w:pPr>
      <w:r w:rsidRPr="00D61921">
        <w:rPr>
          <w:rFonts w:ascii="Arial" w:hAnsi="Arial" w:cs="Arial"/>
          <w:sz w:val="22"/>
          <w:lang w:val="es-CO"/>
        </w:rPr>
        <w:t xml:space="preserve">Teniendo en cuenta que el interrogante </w:t>
      </w:r>
      <w:r w:rsidR="003655FF" w:rsidRPr="00D61921">
        <w:rPr>
          <w:rFonts w:ascii="Arial" w:hAnsi="Arial" w:cs="Arial"/>
          <w:sz w:val="22"/>
          <w:lang w:val="es-CO"/>
        </w:rPr>
        <w:t>de la petición</w:t>
      </w:r>
      <w:r w:rsidRPr="00D61921">
        <w:rPr>
          <w:rFonts w:ascii="Arial" w:hAnsi="Arial" w:cs="Arial"/>
          <w:sz w:val="22"/>
          <w:lang w:val="es-CO"/>
        </w:rPr>
        <w:t xml:space="preserve"> tiene relación</w:t>
      </w:r>
      <w:r w:rsidR="007B18C0" w:rsidRPr="00D61921">
        <w:rPr>
          <w:rFonts w:ascii="Arial" w:hAnsi="Arial" w:cs="Arial"/>
          <w:sz w:val="22"/>
          <w:lang w:val="es-CO"/>
        </w:rPr>
        <w:t>, entre otras cosas,</w:t>
      </w:r>
      <w:r w:rsidRPr="00D61921">
        <w:rPr>
          <w:rFonts w:ascii="Arial" w:hAnsi="Arial" w:cs="Arial"/>
          <w:sz w:val="22"/>
          <w:lang w:val="es-CO"/>
        </w:rPr>
        <w:t xml:space="preserve"> con si los contratistas del Estado se encuentran o no dentro del ámbito de aplicación de la Ley 2013 de 2019, es necesario estudiar cuáles son los particulares que se enmarcan dentro de los literales f) y g), </w:t>
      </w:r>
      <w:r w:rsidR="00D964D4" w:rsidRPr="00D61921">
        <w:rPr>
          <w:rFonts w:ascii="Arial" w:hAnsi="Arial" w:cs="Arial"/>
          <w:sz w:val="22"/>
          <w:lang w:val="es-CO"/>
        </w:rPr>
        <w:t xml:space="preserve">particularmente en el segundo, </w:t>
      </w:r>
      <w:r w:rsidRPr="00D61921">
        <w:rPr>
          <w:rFonts w:ascii="Arial" w:hAnsi="Arial" w:cs="Arial"/>
          <w:sz w:val="22"/>
          <w:lang w:val="es-CO"/>
        </w:rPr>
        <w:t xml:space="preserve">por ser los que tendrían una relación más cercana con los contratistas del Estado, </w:t>
      </w:r>
      <w:r w:rsidR="00DF658A" w:rsidRPr="00D61921">
        <w:rPr>
          <w:rFonts w:ascii="Arial" w:hAnsi="Arial" w:cs="Arial"/>
          <w:sz w:val="22"/>
          <w:lang w:val="es-CO"/>
        </w:rPr>
        <w:t>por</w:t>
      </w:r>
      <w:r w:rsidRPr="00D61921">
        <w:rPr>
          <w:rFonts w:ascii="Arial" w:hAnsi="Arial" w:cs="Arial"/>
          <w:sz w:val="22"/>
          <w:lang w:val="es-CO"/>
        </w:rPr>
        <w:t xml:space="preserve">que es evidente que no existe </w:t>
      </w:r>
      <w:r w:rsidR="007B18C0" w:rsidRPr="00D61921">
        <w:rPr>
          <w:rFonts w:ascii="Arial" w:hAnsi="Arial" w:cs="Arial"/>
          <w:sz w:val="22"/>
          <w:lang w:val="es-CO"/>
        </w:rPr>
        <w:t>vínculo</w:t>
      </w:r>
      <w:r w:rsidRPr="00D61921">
        <w:rPr>
          <w:rFonts w:ascii="Arial" w:hAnsi="Arial" w:cs="Arial"/>
          <w:sz w:val="22"/>
          <w:lang w:val="es-CO"/>
        </w:rPr>
        <w:t xml:space="preserve"> frente a los demás sujetos enlistados en el artículo 2.</w:t>
      </w:r>
    </w:p>
    <w:p w14:paraId="164A79F1" w14:textId="253DA32F" w:rsidR="000A3102" w:rsidRPr="00D61921" w:rsidRDefault="000A3102" w:rsidP="000A3102">
      <w:pPr>
        <w:spacing w:after="120" w:line="276" w:lineRule="auto"/>
        <w:jc w:val="both"/>
        <w:rPr>
          <w:rFonts w:ascii="Arial" w:hAnsi="Arial" w:cs="Arial"/>
          <w:sz w:val="22"/>
          <w:lang w:val="es-CO"/>
        </w:rPr>
      </w:pPr>
      <w:r w:rsidRPr="00D61921">
        <w:rPr>
          <w:rFonts w:ascii="Arial" w:hAnsi="Arial" w:cs="Arial"/>
          <w:sz w:val="22"/>
          <w:lang w:val="es-CO"/>
        </w:rPr>
        <w:lastRenderedPageBreak/>
        <w:tab/>
        <w:t xml:space="preserve">El literal f) </w:t>
      </w:r>
      <w:r w:rsidR="00D964D4" w:rsidRPr="00D61921">
        <w:rPr>
          <w:rFonts w:ascii="Arial" w:hAnsi="Arial" w:cs="Arial"/>
          <w:sz w:val="22"/>
          <w:lang w:val="es-CO"/>
        </w:rPr>
        <w:t xml:space="preserve">es uno de los que </w:t>
      </w:r>
      <w:r w:rsidR="00DF658A" w:rsidRPr="00D61921">
        <w:rPr>
          <w:rFonts w:ascii="Arial" w:hAnsi="Arial" w:cs="Arial"/>
          <w:sz w:val="22"/>
          <w:lang w:val="es-CO"/>
        </w:rPr>
        <w:t>enuncia a</w:t>
      </w:r>
      <w:r w:rsidR="00D964D4" w:rsidRPr="00D61921">
        <w:rPr>
          <w:rFonts w:ascii="Arial" w:hAnsi="Arial" w:cs="Arial"/>
          <w:sz w:val="22"/>
          <w:lang w:val="es-CO"/>
        </w:rPr>
        <w:t xml:space="preserve"> personas naturales y jurídicas particulares </w:t>
      </w:r>
      <w:r w:rsidR="00AC3F7D" w:rsidRPr="00D61921">
        <w:rPr>
          <w:rFonts w:ascii="Arial" w:hAnsi="Arial" w:cs="Arial"/>
          <w:sz w:val="22"/>
          <w:lang w:val="es-CO"/>
        </w:rPr>
        <w:t>–</w:t>
      </w:r>
      <w:r w:rsidR="00D964D4" w:rsidRPr="00D61921">
        <w:rPr>
          <w:rFonts w:ascii="Arial" w:hAnsi="Arial" w:cs="Arial"/>
          <w:sz w:val="22"/>
          <w:lang w:val="es-CO"/>
        </w:rPr>
        <w:t>aunque también públicas</w:t>
      </w:r>
      <w:r w:rsidR="00AC3F7D" w:rsidRPr="00D61921">
        <w:rPr>
          <w:rFonts w:ascii="Arial" w:hAnsi="Arial" w:cs="Arial"/>
          <w:sz w:val="22"/>
          <w:lang w:val="es-CO"/>
        </w:rPr>
        <w:t>–</w:t>
      </w:r>
      <w:r w:rsidR="00D964D4" w:rsidRPr="00D61921">
        <w:rPr>
          <w:rFonts w:ascii="Arial" w:hAnsi="Arial" w:cs="Arial"/>
          <w:sz w:val="22"/>
          <w:lang w:val="es-CO"/>
        </w:rPr>
        <w:t xml:space="preserve">. Si bien </w:t>
      </w:r>
      <w:r w:rsidR="00B420BB" w:rsidRPr="00D61921">
        <w:rPr>
          <w:rFonts w:ascii="Arial" w:hAnsi="Arial" w:cs="Arial"/>
          <w:sz w:val="22"/>
          <w:lang w:val="es-CO"/>
        </w:rPr>
        <w:t xml:space="preserve">no supedita </w:t>
      </w:r>
      <w:r w:rsidR="00DF658A" w:rsidRPr="00D61921">
        <w:rPr>
          <w:rFonts w:ascii="Arial" w:hAnsi="Arial" w:cs="Arial"/>
          <w:sz w:val="22"/>
          <w:lang w:val="es-CO"/>
        </w:rPr>
        <w:t>la</w:t>
      </w:r>
      <w:r w:rsidR="00B420BB" w:rsidRPr="00D61921">
        <w:rPr>
          <w:rFonts w:ascii="Arial" w:hAnsi="Arial" w:cs="Arial"/>
          <w:sz w:val="22"/>
          <w:lang w:val="es-CO"/>
        </w:rPr>
        <w:t xml:space="preserve"> aplicación </w:t>
      </w:r>
      <w:r w:rsidR="00D964D4" w:rsidRPr="00D61921">
        <w:rPr>
          <w:rFonts w:ascii="Arial" w:hAnsi="Arial" w:cs="Arial"/>
          <w:sz w:val="22"/>
          <w:lang w:val="es-CO"/>
        </w:rPr>
        <w:t xml:space="preserve">a que exista una relación contractual, se enfoca </w:t>
      </w:r>
      <w:r w:rsidR="00DF658A" w:rsidRPr="00D61921">
        <w:rPr>
          <w:rFonts w:ascii="Arial" w:hAnsi="Arial" w:cs="Arial"/>
          <w:sz w:val="22"/>
          <w:lang w:val="es-CO"/>
        </w:rPr>
        <w:t>en</w:t>
      </w:r>
      <w:r w:rsidR="00D964D4" w:rsidRPr="00D61921">
        <w:rPr>
          <w:rFonts w:ascii="Arial" w:hAnsi="Arial" w:cs="Arial"/>
          <w:sz w:val="22"/>
          <w:lang w:val="es-CO"/>
        </w:rPr>
        <w:t xml:space="preserve"> </w:t>
      </w:r>
      <w:r w:rsidR="00DF658A" w:rsidRPr="00D61921">
        <w:rPr>
          <w:rFonts w:ascii="Arial" w:hAnsi="Arial" w:cs="Arial"/>
          <w:sz w:val="22"/>
          <w:lang w:val="es-CO"/>
        </w:rPr>
        <w:t>definir</w:t>
      </w:r>
      <w:r w:rsidR="00D964D4" w:rsidRPr="00D61921">
        <w:rPr>
          <w:rFonts w:ascii="Arial" w:hAnsi="Arial" w:cs="Arial"/>
          <w:sz w:val="22"/>
          <w:lang w:val="es-CO"/>
        </w:rPr>
        <w:t xml:space="preserve"> algunos sujetos obligados por la ejecución de ciertas actividades, es decir, desde un criterio funcional. En este sentido, dichas actividades se podrían realizar directamente por un particular en virtud de una autorización legal u otro mecanismo, pero también podría </w:t>
      </w:r>
      <w:r w:rsidR="00DF658A" w:rsidRPr="00D61921">
        <w:rPr>
          <w:rFonts w:ascii="Arial" w:hAnsi="Arial" w:cs="Arial"/>
          <w:sz w:val="22"/>
          <w:lang w:val="es-CO"/>
        </w:rPr>
        <w:t>aplicar</w:t>
      </w:r>
      <w:r w:rsidR="00D964D4" w:rsidRPr="00D61921">
        <w:rPr>
          <w:rFonts w:ascii="Arial" w:hAnsi="Arial" w:cs="Arial"/>
          <w:sz w:val="22"/>
          <w:lang w:val="es-CO"/>
        </w:rPr>
        <w:t xml:space="preserve"> a particulares que cumplan dichas actividades con fundamento en una relación contractual.</w:t>
      </w:r>
    </w:p>
    <w:p w14:paraId="78985754" w14:textId="08753425" w:rsidR="00D964D4" w:rsidRPr="00D61921" w:rsidRDefault="00D964D4" w:rsidP="007B18C0">
      <w:pPr>
        <w:spacing w:line="276" w:lineRule="auto"/>
        <w:jc w:val="both"/>
        <w:rPr>
          <w:rFonts w:ascii="Arial" w:hAnsi="Arial" w:cs="Arial"/>
          <w:sz w:val="22"/>
          <w:lang w:val="es-CO"/>
        </w:rPr>
      </w:pPr>
      <w:r w:rsidRPr="00D61921">
        <w:rPr>
          <w:rFonts w:ascii="Arial" w:hAnsi="Arial" w:cs="Arial"/>
          <w:sz w:val="22"/>
          <w:lang w:val="es-CO"/>
        </w:rPr>
        <w:tab/>
        <w:t xml:space="preserve">Ahora bien, las actividades mediante las cuales se podría vincular a un particular al ámbito de aplicación </w:t>
      </w:r>
      <w:r w:rsidR="00D61921" w:rsidRPr="00D61921">
        <w:rPr>
          <w:rFonts w:ascii="Arial" w:hAnsi="Arial" w:cs="Arial"/>
          <w:sz w:val="22"/>
          <w:lang w:val="es-CO"/>
        </w:rPr>
        <w:t>serían</w:t>
      </w:r>
      <w:r w:rsidRPr="00D61921">
        <w:rPr>
          <w:rFonts w:ascii="Arial" w:hAnsi="Arial" w:cs="Arial"/>
          <w:sz w:val="22"/>
          <w:lang w:val="es-CO"/>
        </w:rPr>
        <w:t xml:space="preserve"> por la prestación de </w:t>
      </w:r>
      <w:proofErr w:type="gramStart"/>
      <w:r w:rsidRPr="00D61921">
        <w:rPr>
          <w:rFonts w:ascii="Arial" w:hAnsi="Arial" w:cs="Arial"/>
          <w:sz w:val="22"/>
          <w:lang w:val="es-CO"/>
        </w:rPr>
        <w:t>función pública o servicios públicos</w:t>
      </w:r>
      <w:proofErr w:type="gramEnd"/>
      <w:r w:rsidRPr="00D61921">
        <w:rPr>
          <w:rFonts w:ascii="Arial" w:hAnsi="Arial" w:cs="Arial"/>
          <w:sz w:val="22"/>
          <w:lang w:val="es-CO"/>
        </w:rPr>
        <w:t>.</w:t>
      </w:r>
      <w:r w:rsidR="00331A69" w:rsidRPr="00D61921">
        <w:rPr>
          <w:rFonts w:ascii="Arial" w:hAnsi="Arial" w:cs="Arial"/>
          <w:sz w:val="22"/>
          <w:lang w:val="es-CO"/>
        </w:rPr>
        <w:t xml:space="preserve"> </w:t>
      </w:r>
      <w:r w:rsidR="00B420BB" w:rsidRPr="00D61921">
        <w:rPr>
          <w:rFonts w:ascii="Arial" w:hAnsi="Arial" w:cs="Arial"/>
          <w:sz w:val="22"/>
          <w:lang w:val="es-CO"/>
        </w:rPr>
        <w:t>E</w:t>
      </w:r>
      <w:r w:rsidR="00331A69" w:rsidRPr="00D61921">
        <w:rPr>
          <w:rFonts w:ascii="Arial" w:hAnsi="Arial" w:cs="Arial"/>
          <w:sz w:val="22"/>
          <w:lang w:val="es-CO"/>
        </w:rPr>
        <w:t xml:space="preserve">n relación con el ejercicio de funciones públicas por parte de particulares y, en específico, por </w:t>
      </w:r>
      <w:r w:rsidR="00B420BB" w:rsidRPr="00D61921">
        <w:rPr>
          <w:rFonts w:ascii="Arial" w:hAnsi="Arial" w:cs="Arial"/>
          <w:sz w:val="22"/>
          <w:lang w:val="es-CO"/>
        </w:rPr>
        <w:t>los</w:t>
      </w:r>
      <w:r w:rsidR="00331A69" w:rsidRPr="00D61921">
        <w:rPr>
          <w:rFonts w:ascii="Arial" w:hAnsi="Arial" w:cs="Arial"/>
          <w:sz w:val="22"/>
          <w:lang w:val="es-CO"/>
        </w:rPr>
        <w:t xml:space="preserve"> contratistas del Estado, la Corte Constitucional en sentencia C-563 de 1998</w:t>
      </w:r>
      <w:r w:rsidR="00C95456" w:rsidRPr="00D61921">
        <w:rPr>
          <w:rFonts w:ascii="Arial" w:hAnsi="Arial" w:cs="Arial"/>
          <w:sz w:val="22"/>
          <w:lang w:val="es-CO"/>
        </w:rPr>
        <w:t xml:space="preserve"> expresó que por regla general no cumplen función pública, salvo supuesto</w:t>
      </w:r>
      <w:r w:rsidR="007B18C0" w:rsidRPr="00D61921">
        <w:rPr>
          <w:rFonts w:ascii="Arial" w:hAnsi="Arial" w:cs="Arial"/>
          <w:sz w:val="22"/>
          <w:lang w:val="es-CO"/>
        </w:rPr>
        <w:t>s</w:t>
      </w:r>
      <w:r w:rsidR="00C95456" w:rsidRPr="00D61921">
        <w:rPr>
          <w:rFonts w:ascii="Arial" w:hAnsi="Arial" w:cs="Arial"/>
          <w:sz w:val="22"/>
          <w:lang w:val="es-CO"/>
        </w:rPr>
        <w:t xml:space="preserve"> excepcionales, ya que lo normal es que con la relación contractual no se transfieren funciones públicas a los particulares, sino que se les encomienda la ejecución material de un objeto contractual; sin embargo, reconoce que en </w:t>
      </w:r>
      <w:r w:rsidR="00B420BB" w:rsidRPr="00D61921">
        <w:rPr>
          <w:rFonts w:ascii="Arial" w:hAnsi="Arial" w:cs="Arial"/>
          <w:sz w:val="22"/>
          <w:lang w:val="es-CO"/>
        </w:rPr>
        <w:t>casos</w:t>
      </w:r>
      <w:r w:rsidR="00C95456" w:rsidRPr="00D61921">
        <w:rPr>
          <w:rFonts w:ascii="Arial" w:hAnsi="Arial" w:cs="Arial"/>
          <w:sz w:val="22"/>
          <w:lang w:val="es-CO"/>
        </w:rPr>
        <w:t xml:space="preserve"> muy concretos se puede atribuir función pública mediante un contrato con un particular:</w:t>
      </w:r>
    </w:p>
    <w:p w14:paraId="36E3CFF1" w14:textId="244EB953" w:rsidR="00C95456" w:rsidRPr="00D61921" w:rsidRDefault="00C95456" w:rsidP="007B18C0">
      <w:pPr>
        <w:spacing w:line="276" w:lineRule="auto"/>
        <w:jc w:val="both"/>
        <w:rPr>
          <w:rFonts w:ascii="Arial" w:hAnsi="Arial" w:cs="Arial"/>
          <w:sz w:val="22"/>
          <w:lang w:val="es-CO"/>
        </w:rPr>
      </w:pPr>
    </w:p>
    <w:p w14:paraId="7B287B9E" w14:textId="75942883" w:rsidR="00C95456" w:rsidRPr="00D61921" w:rsidRDefault="00C95456" w:rsidP="00C95456">
      <w:pPr>
        <w:spacing w:after="120"/>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w:t>
      </w:r>
      <w:r w:rsidRPr="00D61921">
        <w:rPr>
          <w:rFonts w:ascii="Arial" w:eastAsia="Times New Roman" w:hAnsi="Arial" w:cs="Arial"/>
          <w:i/>
          <w:iCs/>
          <w:sz w:val="21"/>
          <w:szCs w:val="21"/>
          <w:lang w:val="es-CO" w:eastAsia="es-CO"/>
        </w:rPr>
        <w:t>como ocurre en los casos en que adquiere el carácter de concesionario, o administrador delegado o se le encomienda</w:t>
      </w:r>
      <w:r w:rsidR="00E03FAB" w:rsidRPr="00D61921">
        <w:rPr>
          <w:rFonts w:ascii="Arial" w:eastAsia="Times New Roman" w:hAnsi="Arial" w:cs="Arial"/>
          <w:i/>
          <w:iCs/>
          <w:sz w:val="21"/>
          <w:szCs w:val="21"/>
          <w:lang w:val="es-CO" w:eastAsia="es-CO"/>
        </w:rPr>
        <w:t xml:space="preserve"> </w:t>
      </w:r>
      <w:r w:rsidRPr="00D61921">
        <w:rPr>
          <w:rFonts w:ascii="Arial" w:eastAsia="Times New Roman" w:hAnsi="Arial" w:cs="Arial"/>
          <w:i/>
          <w:iCs/>
          <w:sz w:val="21"/>
          <w:szCs w:val="21"/>
          <w:lang w:val="es-CO" w:eastAsia="es-CO"/>
        </w:rPr>
        <w:t xml:space="preserve">la prestación de un servicio público a cargo del Estado, o el recaudo de caudales o el manejo de bienes públicos, </w:t>
      </w:r>
      <w:proofErr w:type="spellStart"/>
      <w:r w:rsidRPr="00D61921">
        <w:rPr>
          <w:rFonts w:ascii="Arial" w:eastAsia="Times New Roman" w:hAnsi="Arial" w:cs="Arial"/>
          <w:i/>
          <w:iCs/>
          <w:sz w:val="21"/>
          <w:szCs w:val="21"/>
          <w:lang w:val="es-CO" w:eastAsia="es-CO"/>
        </w:rPr>
        <w:t>etc</w:t>
      </w:r>
      <w:proofErr w:type="spellEnd"/>
      <w:r w:rsidRPr="00D61921">
        <w:rPr>
          <w:rStyle w:val="Refdenotaalpie"/>
          <w:rFonts w:ascii="Arial" w:eastAsia="Times New Roman" w:hAnsi="Arial" w:cs="Arial"/>
          <w:sz w:val="21"/>
          <w:szCs w:val="21"/>
          <w:lang w:val="es-CO" w:eastAsia="es-CO"/>
        </w:rPr>
        <w:footnoteReference w:id="1"/>
      </w:r>
      <w:r w:rsidRPr="00D61921">
        <w:rPr>
          <w:rFonts w:ascii="Arial" w:eastAsia="Times New Roman" w:hAnsi="Arial" w:cs="Arial"/>
          <w:sz w:val="21"/>
          <w:szCs w:val="21"/>
          <w:lang w:val="es-CO" w:eastAsia="es-CO"/>
        </w:rPr>
        <w:t>.</w:t>
      </w:r>
    </w:p>
    <w:p w14:paraId="7903DE39" w14:textId="6A3CBC59" w:rsidR="00C95456" w:rsidRPr="00D61921" w:rsidRDefault="00C95456" w:rsidP="000A3102">
      <w:pPr>
        <w:spacing w:after="120" w:line="276" w:lineRule="auto"/>
        <w:jc w:val="both"/>
        <w:rPr>
          <w:rFonts w:ascii="Arial" w:hAnsi="Arial" w:cs="Arial"/>
          <w:sz w:val="22"/>
          <w:lang w:val="es-CO"/>
        </w:rPr>
      </w:pPr>
    </w:p>
    <w:p w14:paraId="37129B91" w14:textId="7A344802" w:rsidR="00C95456" w:rsidRPr="00D61921" w:rsidRDefault="000675F6" w:rsidP="000675F6">
      <w:pPr>
        <w:spacing w:after="120" w:line="276" w:lineRule="auto"/>
        <w:ind w:firstLine="708"/>
        <w:jc w:val="both"/>
        <w:rPr>
          <w:rFonts w:ascii="Arial" w:hAnsi="Arial" w:cs="Arial"/>
          <w:sz w:val="22"/>
          <w:lang w:val="es-CO"/>
        </w:rPr>
      </w:pPr>
      <w:r w:rsidRPr="00D61921">
        <w:rPr>
          <w:rFonts w:ascii="Arial" w:hAnsi="Arial" w:cs="Arial"/>
          <w:sz w:val="22"/>
          <w:lang w:val="es-CO"/>
        </w:rPr>
        <w:t>Ahora bien, se reitera que lo expresado en la cita anterior es lo excepcional, pues lo normal es que mediante los contratos que celebra el Estado no exist</w:t>
      </w:r>
      <w:r w:rsidR="00B420BB" w:rsidRPr="00D61921">
        <w:rPr>
          <w:rFonts w:ascii="Arial" w:hAnsi="Arial" w:cs="Arial"/>
          <w:sz w:val="22"/>
          <w:lang w:val="es-CO"/>
        </w:rPr>
        <w:t>a</w:t>
      </w:r>
      <w:r w:rsidRPr="00D61921">
        <w:rPr>
          <w:rFonts w:ascii="Arial" w:hAnsi="Arial" w:cs="Arial"/>
          <w:sz w:val="22"/>
          <w:lang w:val="es-CO"/>
        </w:rPr>
        <w:t xml:space="preserve"> atribución de funciones públicas</w:t>
      </w:r>
      <w:r w:rsidR="00672E46" w:rsidRPr="00D61921">
        <w:rPr>
          <w:rFonts w:ascii="Arial" w:hAnsi="Arial" w:cs="Arial"/>
          <w:sz w:val="22"/>
          <w:lang w:val="es-CO"/>
        </w:rPr>
        <w:t xml:space="preserve">, constituyéndose el particular en un colaborador de la entidad, pero sin </w:t>
      </w:r>
      <w:r w:rsidR="00013FBB" w:rsidRPr="00D61921">
        <w:rPr>
          <w:rFonts w:ascii="Arial" w:hAnsi="Arial" w:cs="Arial"/>
          <w:sz w:val="22"/>
          <w:lang w:val="es-CO"/>
        </w:rPr>
        <w:t>ser</w:t>
      </w:r>
      <w:r w:rsidR="00672E46" w:rsidRPr="00D61921">
        <w:rPr>
          <w:rFonts w:ascii="Arial" w:hAnsi="Arial" w:cs="Arial"/>
          <w:sz w:val="22"/>
          <w:lang w:val="es-CO"/>
        </w:rPr>
        <w:t xml:space="preserve"> un delegatario o receptor de </w:t>
      </w:r>
      <w:r w:rsidR="00C45229" w:rsidRPr="00D61921">
        <w:rPr>
          <w:rFonts w:ascii="Arial" w:hAnsi="Arial" w:cs="Arial"/>
          <w:sz w:val="22"/>
          <w:lang w:val="es-CO"/>
        </w:rPr>
        <w:t>tales funciones</w:t>
      </w:r>
      <w:r w:rsidR="00672E46" w:rsidRPr="00D61921">
        <w:rPr>
          <w:rStyle w:val="Refdenotaalpie"/>
          <w:rFonts w:ascii="Arial" w:hAnsi="Arial" w:cs="Arial"/>
          <w:sz w:val="22"/>
          <w:lang w:val="es-CO"/>
        </w:rPr>
        <w:footnoteReference w:id="2"/>
      </w:r>
      <w:r w:rsidR="00672E46" w:rsidRPr="00D61921">
        <w:rPr>
          <w:rFonts w:ascii="Arial" w:hAnsi="Arial" w:cs="Arial"/>
          <w:sz w:val="22"/>
          <w:lang w:val="es-CO"/>
        </w:rPr>
        <w:t>.</w:t>
      </w:r>
      <w:r w:rsidR="00013FBB" w:rsidRPr="00D61921">
        <w:rPr>
          <w:rFonts w:ascii="Arial" w:hAnsi="Arial" w:cs="Arial"/>
          <w:sz w:val="22"/>
          <w:lang w:val="es-CO"/>
        </w:rPr>
        <w:t xml:space="preserve"> En este sentido, solo en los supuestos en </w:t>
      </w:r>
      <w:r w:rsidR="00013FBB" w:rsidRPr="00D61921">
        <w:rPr>
          <w:rFonts w:ascii="Arial" w:hAnsi="Arial" w:cs="Arial"/>
          <w:sz w:val="22"/>
          <w:lang w:val="es-CO"/>
        </w:rPr>
        <w:lastRenderedPageBreak/>
        <w:t xml:space="preserve">que el contratista cumpla funciones públicas o preste servicios públicos, que son casos excepcionales, </w:t>
      </w:r>
      <w:r w:rsidR="00DF658A" w:rsidRPr="00D61921">
        <w:rPr>
          <w:rFonts w:ascii="Arial" w:hAnsi="Arial" w:cs="Arial"/>
          <w:sz w:val="22"/>
          <w:lang w:val="es-CO"/>
        </w:rPr>
        <w:t>será un</w:t>
      </w:r>
      <w:r w:rsidR="00013FBB" w:rsidRPr="00D61921">
        <w:rPr>
          <w:rFonts w:ascii="Arial" w:hAnsi="Arial" w:cs="Arial"/>
          <w:sz w:val="22"/>
          <w:lang w:val="es-CO"/>
        </w:rPr>
        <w:t xml:space="preserve"> sujeto obligado en los términos de la Ley 2013 de 2019.</w:t>
      </w:r>
    </w:p>
    <w:p w14:paraId="0930C6D3" w14:textId="3F8E6F81" w:rsidR="005F5ABD" w:rsidRPr="00D61921" w:rsidRDefault="007B18C0" w:rsidP="006F667A">
      <w:pPr>
        <w:spacing w:after="120" w:line="276" w:lineRule="auto"/>
        <w:ind w:firstLine="708"/>
        <w:jc w:val="both"/>
        <w:rPr>
          <w:rFonts w:ascii="Arial" w:hAnsi="Arial" w:cs="Arial"/>
          <w:sz w:val="22"/>
          <w:lang w:val="es-CO"/>
        </w:rPr>
      </w:pPr>
      <w:r w:rsidRPr="00D61921">
        <w:rPr>
          <w:rFonts w:ascii="Arial" w:hAnsi="Arial" w:cs="Arial"/>
          <w:sz w:val="22"/>
          <w:lang w:val="es-CO"/>
        </w:rPr>
        <w:t>A modo de ejemplo</w:t>
      </w:r>
      <w:r w:rsidR="000417AD" w:rsidRPr="00D61921">
        <w:rPr>
          <w:rFonts w:ascii="Arial" w:hAnsi="Arial" w:cs="Arial"/>
          <w:sz w:val="22"/>
          <w:lang w:val="es-CO"/>
        </w:rPr>
        <w:t xml:space="preserve">, frente a los contratos de prestación de servicios profesionales y de apoyo a la gestión, </w:t>
      </w:r>
      <w:r w:rsidR="005F5ABD" w:rsidRPr="00D61921">
        <w:rPr>
          <w:rFonts w:ascii="Arial" w:hAnsi="Arial" w:cs="Arial"/>
          <w:sz w:val="22"/>
          <w:lang w:val="es-CO"/>
        </w:rPr>
        <w:t xml:space="preserve">el Consejo de Estado </w:t>
      </w:r>
      <w:r w:rsidR="00CB5987" w:rsidRPr="00D61921">
        <w:rPr>
          <w:rFonts w:ascii="Arial" w:hAnsi="Arial" w:cs="Arial"/>
          <w:sz w:val="22"/>
          <w:lang w:val="es-CO"/>
        </w:rPr>
        <w:t xml:space="preserve">ha sido </w:t>
      </w:r>
      <w:r w:rsidR="000417AD" w:rsidRPr="00D61921">
        <w:rPr>
          <w:rFonts w:ascii="Arial" w:hAnsi="Arial" w:cs="Arial"/>
          <w:sz w:val="22"/>
          <w:lang w:val="es-CO"/>
        </w:rPr>
        <w:t>enfátic</w:t>
      </w:r>
      <w:r w:rsidR="005F5ABD" w:rsidRPr="00D61921">
        <w:rPr>
          <w:rFonts w:ascii="Arial" w:hAnsi="Arial" w:cs="Arial"/>
          <w:sz w:val="22"/>
          <w:lang w:val="es-CO"/>
        </w:rPr>
        <w:t>o</w:t>
      </w:r>
      <w:r w:rsidR="000417AD" w:rsidRPr="00D61921">
        <w:rPr>
          <w:rFonts w:ascii="Arial" w:hAnsi="Arial" w:cs="Arial"/>
          <w:sz w:val="22"/>
          <w:lang w:val="es-CO"/>
        </w:rPr>
        <w:t xml:space="preserve"> en señalar que dichos particulares no cumplen funciones públicas, ni administrativas, sino que simplemente colaboran en su ejercicio, pero sin ejercer directamente este tipo de funciones</w:t>
      </w:r>
      <w:r w:rsidR="005F5ABD" w:rsidRPr="00D61921">
        <w:rPr>
          <w:rFonts w:ascii="Arial" w:hAnsi="Arial" w:cs="Arial"/>
          <w:sz w:val="22"/>
          <w:lang w:val="es-CO"/>
        </w:rPr>
        <w:t>,</w:t>
      </w:r>
      <w:r w:rsidR="000417AD" w:rsidRPr="00D61921">
        <w:rPr>
          <w:rFonts w:ascii="Arial" w:hAnsi="Arial" w:cs="Arial"/>
          <w:sz w:val="22"/>
          <w:lang w:val="es-CO"/>
        </w:rPr>
        <w:t xml:space="preserve"> que se mantienen </w:t>
      </w:r>
      <w:r w:rsidR="001659B6" w:rsidRPr="00D61921">
        <w:rPr>
          <w:rFonts w:ascii="Arial" w:hAnsi="Arial" w:cs="Arial"/>
          <w:sz w:val="22"/>
          <w:lang w:val="es-CO"/>
        </w:rPr>
        <w:t>radicadas en las entidades contratantes</w:t>
      </w:r>
      <w:r w:rsidR="00A61C3B" w:rsidRPr="00D61921">
        <w:rPr>
          <w:rStyle w:val="Refdenotaalpie"/>
          <w:rFonts w:ascii="Arial" w:hAnsi="Arial" w:cs="Arial"/>
          <w:sz w:val="22"/>
          <w:lang w:val="es-CO"/>
        </w:rPr>
        <w:footnoteReference w:id="3"/>
      </w:r>
      <w:r w:rsidR="001659B6" w:rsidRPr="00D61921">
        <w:rPr>
          <w:rFonts w:ascii="Arial" w:hAnsi="Arial" w:cs="Arial"/>
          <w:sz w:val="22"/>
          <w:lang w:val="es-CO"/>
        </w:rPr>
        <w:t>.</w:t>
      </w:r>
      <w:r w:rsidR="002C54BC" w:rsidRPr="00D61921">
        <w:rPr>
          <w:rFonts w:ascii="Arial" w:hAnsi="Arial" w:cs="Arial"/>
          <w:sz w:val="22"/>
          <w:lang w:val="es-CO"/>
        </w:rPr>
        <w:t xml:space="preserve"> </w:t>
      </w:r>
    </w:p>
    <w:p w14:paraId="4B856A2C" w14:textId="4272CCE8" w:rsidR="00EA28A5" w:rsidRPr="00D61921" w:rsidRDefault="00DF658A" w:rsidP="006F667A">
      <w:pPr>
        <w:spacing w:after="120" w:line="276" w:lineRule="auto"/>
        <w:ind w:firstLine="708"/>
        <w:jc w:val="both"/>
        <w:rPr>
          <w:rFonts w:ascii="Arial" w:hAnsi="Arial" w:cs="Arial"/>
          <w:sz w:val="22"/>
          <w:lang w:val="es-CO"/>
        </w:rPr>
      </w:pPr>
      <w:r w:rsidRPr="00D61921">
        <w:rPr>
          <w:rFonts w:ascii="Arial" w:hAnsi="Arial" w:cs="Arial"/>
          <w:sz w:val="22"/>
          <w:lang w:val="es-CO"/>
        </w:rPr>
        <w:t xml:space="preserve">Analizado que </w:t>
      </w:r>
      <w:r w:rsidR="00EA28A5" w:rsidRPr="00D61921">
        <w:rPr>
          <w:rFonts w:ascii="Arial" w:hAnsi="Arial" w:cs="Arial"/>
          <w:sz w:val="22"/>
          <w:lang w:val="es-CO"/>
        </w:rPr>
        <w:t>por regla general los contratistas del Estado</w:t>
      </w:r>
      <w:r w:rsidR="007B18C0" w:rsidRPr="00D61921">
        <w:rPr>
          <w:rFonts w:ascii="Arial" w:hAnsi="Arial" w:cs="Arial"/>
          <w:sz w:val="22"/>
          <w:lang w:val="es-CO"/>
        </w:rPr>
        <w:t xml:space="preserve"> </w:t>
      </w:r>
      <w:r w:rsidRPr="00D61921">
        <w:rPr>
          <w:rFonts w:ascii="Arial" w:hAnsi="Arial" w:cs="Arial"/>
          <w:sz w:val="22"/>
          <w:lang w:val="es-CO"/>
        </w:rPr>
        <w:t>no son</w:t>
      </w:r>
      <w:r w:rsidR="00EA28A5" w:rsidRPr="00D61921">
        <w:rPr>
          <w:rFonts w:ascii="Arial" w:hAnsi="Arial" w:cs="Arial"/>
          <w:sz w:val="22"/>
          <w:lang w:val="es-CO"/>
        </w:rPr>
        <w:t xml:space="preserve"> sujetos obligados en virtud del literal f) del artículo 2,</w:t>
      </w:r>
      <w:r w:rsidR="00E03FAB" w:rsidRPr="00D61921">
        <w:rPr>
          <w:rFonts w:ascii="Arial" w:hAnsi="Arial" w:cs="Arial"/>
          <w:sz w:val="22"/>
          <w:lang w:val="es-CO"/>
        </w:rPr>
        <w:t xml:space="preserve"> </w:t>
      </w:r>
      <w:r w:rsidR="00EA28A5" w:rsidRPr="00D61921">
        <w:rPr>
          <w:rFonts w:ascii="Arial" w:hAnsi="Arial" w:cs="Arial"/>
          <w:sz w:val="22"/>
          <w:lang w:val="es-CO"/>
        </w:rPr>
        <w:t>corresponde realizar el mismo estudio en relación con el literal g), que establece: «Las personas naturales y jurídicas, públicas o privadas que administren, celebren contratos y ejecuten bienes o recursos públicos respecto de la información directamente relacionada con el desempeño de su función».</w:t>
      </w:r>
    </w:p>
    <w:p w14:paraId="48301AB1" w14:textId="57E7A570" w:rsidR="00B46CEB" w:rsidRPr="00D61921" w:rsidRDefault="00EA28A5" w:rsidP="006F667A">
      <w:pPr>
        <w:spacing w:after="120" w:line="276" w:lineRule="auto"/>
        <w:ind w:firstLine="708"/>
        <w:jc w:val="both"/>
        <w:rPr>
          <w:rFonts w:ascii="Arial" w:hAnsi="Arial" w:cs="Arial"/>
          <w:sz w:val="22"/>
          <w:lang w:val="es-CO"/>
        </w:rPr>
      </w:pPr>
      <w:r w:rsidRPr="00D61921">
        <w:rPr>
          <w:rFonts w:ascii="Arial" w:hAnsi="Arial" w:cs="Arial"/>
          <w:sz w:val="22"/>
          <w:lang w:val="es-CO"/>
        </w:rPr>
        <w:t xml:space="preserve">De una interpretación desprevenida de la norma se podría interpretar que cualquier contratista del Estado sería un sujeto obligado, lo que se derivaría de una lectura aislada efectuada en los siguientes términos: «Las personas naturales y jurídicas que celebren contratos». </w:t>
      </w:r>
      <w:r w:rsidR="00DF658A" w:rsidRPr="00D61921">
        <w:rPr>
          <w:rFonts w:ascii="Arial" w:hAnsi="Arial" w:cs="Arial"/>
          <w:sz w:val="22"/>
          <w:lang w:val="es-CO"/>
        </w:rPr>
        <w:t>Sin embargo,</w:t>
      </w:r>
      <w:r w:rsidRPr="00D61921">
        <w:rPr>
          <w:rFonts w:ascii="Arial" w:hAnsi="Arial" w:cs="Arial"/>
          <w:sz w:val="22"/>
          <w:lang w:val="es-CO"/>
        </w:rPr>
        <w:t xml:space="preserve"> dicha interpretación es errada, por las razones que se expondrán; sin embargo, primero se anticipará la conclusión</w:t>
      </w:r>
      <w:r w:rsidR="00C45229" w:rsidRPr="00D61921">
        <w:rPr>
          <w:rFonts w:ascii="Arial" w:hAnsi="Arial" w:cs="Arial"/>
          <w:sz w:val="22"/>
          <w:lang w:val="es-CO"/>
        </w:rPr>
        <w:t>:</w:t>
      </w:r>
      <w:r w:rsidRPr="00D61921">
        <w:rPr>
          <w:rFonts w:ascii="Arial" w:hAnsi="Arial" w:cs="Arial"/>
          <w:sz w:val="22"/>
          <w:lang w:val="es-CO"/>
        </w:rPr>
        <w:t xml:space="preserve"> </w:t>
      </w:r>
      <w:r w:rsidR="00B46CEB" w:rsidRPr="00D61921">
        <w:rPr>
          <w:rFonts w:ascii="Arial" w:hAnsi="Arial" w:cs="Arial"/>
          <w:sz w:val="22"/>
          <w:lang w:val="es-CO"/>
        </w:rPr>
        <w:t xml:space="preserve">los sujetos obligados </w:t>
      </w:r>
      <w:r w:rsidR="00DF658A" w:rsidRPr="00D61921">
        <w:rPr>
          <w:rFonts w:ascii="Arial" w:hAnsi="Arial" w:cs="Arial"/>
          <w:sz w:val="22"/>
          <w:lang w:val="es-CO"/>
        </w:rPr>
        <w:t>por</w:t>
      </w:r>
      <w:r w:rsidR="00B46CEB" w:rsidRPr="00D61921">
        <w:rPr>
          <w:rFonts w:ascii="Arial" w:hAnsi="Arial" w:cs="Arial"/>
          <w:sz w:val="22"/>
          <w:lang w:val="es-CO"/>
        </w:rPr>
        <w:t xml:space="preserve"> dicho literal son las personas naturales o jurídicas que administren bienes o recursos públicos. A </w:t>
      </w:r>
      <w:r w:rsidR="00CD6F7F" w:rsidRPr="00D61921">
        <w:rPr>
          <w:rFonts w:ascii="Arial" w:hAnsi="Arial" w:cs="Arial"/>
          <w:sz w:val="22"/>
          <w:lang w:val="es-CO"/>
        </w:rPr>
        <w:t>continuación,</w:t>
      </w:r>
      <w:r w:rsidR="00B46CEB" w:rsidRPr="00D61921">
        <w:rPr>
          <w:rFonts w:ascii="Arial" w:hAnsi="Arial" w:cs="Arial"/>
          <w:sz w:val="22"/>
          <w:lang w:val="es-CO"/>
        </w:rPr>
        <w:t xml:space="preserve"> se desarrollarán las razones para llegar a dicha conclusión, lo que implica excluir</w:t>
      </w:r>
      <w:r w:rsidR="00C45229" w:rsidRPr="00D61921">
        <w:rPr>
          <w:rFonts w:ascii="Arial" w:hAnsi="Arial" w:cs="Arial"/>
          <w:sz w:val="22"/>
          <w:lang w:val="es-CO"/>
        </w:rPr>
        <w:t>,</w:t>
      </w:r>
      <w:r w:rsidR="00B46CEB" w:rsidRPr="00D61921">
        <w:rPr>
          <w:rFonts w:ascii="Arial" w:hAnsi="Arial" w:cs="Arial"/>
          <w:sz w:val="22"/>
          <w:lang w:val="es-CO"/>
        </w:rPr>
        <w:t xml:space="preserve"> en términos generales</w:t>
      </w:r>
      <w:r w:rsidR="00C45229" w:rsidRPr="00D61921">
        <w:rPr>
          <w:rFonts w:ascii="Arial" w:hAnsi="Arial" w:cs="Arial"/>
          <w:sz w:val="22"/>
          <w:lang w:val="es-CO"/>
        </w:rPr>
        <w:t>,</w:t>
      </w:r>
      <w:r w:rsidR="00B46CEB" w:rsidRPr="00D61921">
        <w:rPr>
          <w:rFonts w:ascii="Arial" w:hAnsi="Arial" w:cs="Arial"/>
          <w:sz w:val="22"/>
          <w:lang w:val="es-CO"/>
        </w:rPr>
        <w:t xml:space="preserve"> a los contratistas del Estado, para incluir solo a aquellos que administren recursos públicos. </w:t>
      </w:r>
    </w:p>
    <w:p w14:paraId="59273F41" w14:textId="1F43FD2F" w:rsidR="00B46CEB" w:rsidRPr="00D61921" w:rsidRDefault="00B46CEB" w:rsidP="006F667A">
      <w:pPr>
        <w:spacing w:after="120" w:line="276" w:lineRule="auto"/>
        <w:ind w:firstLine="708"/>
        <w:jc w:val="both"/>
        <w:rPr>
          <w:rFonts w:ascii="Arial" w:hAnsi="Arial" w:cs="Arial"/>
          <w:sz w:val="22"/>
          <w:lang w:val="es-CO"/>
        </w:rPr>
      </w:pPr>
      <w:r w:rsidRPr="00D61921">
        <w:rPr>
          <w:rFonts w:ascii="Arial" w:hAnsi="Arial" w:cs="Arial"/>
          <w:sz w:val="22"/>
          <w:lang w:val="es-CO"/>
        </w:rPr>
        <w:t xml:space="preserve">i) Tal es la interpretación </w:t>
      </w:r>
      <w:r w:rsidR="00D237F3" w:rsidRPr="00D61921">
        <w:rPr>
          <w:rFonts w:ascii="Arial" w:hAnsi="Arial" w:cs="Arial"/>
          <w:sz w:val="22"/>
          <w:lang w:val="es-CO"/>
        </w:rPr>
        <w:t xml:space="preserve">más ajustada de la regulación, lo que se armonizará con las demás razones que se expondrán. En este sentido, si se realiza una interpretación ligera </w:t>
      </w:r>
      <w:r w:rsidR="00D237F3" w:rsidRPr="00D61921">
        <w:rPr>
          <w:rFonts w:ascii="Arial" w:hAnsi="Arial" w:cs="Arial"/>
          <w:sz w:val="22"/>
          <w:lang w:val="es-CO"/>
        </w:rPr>
        <w:lastRenderedPageBreak/>
        <w:t xml:space="preserve">y aislada del contexto de la norma, se llega a la conclusión absurda de que cualquier persona natural o jurídica que «celebre contratos» sería un sujeto obligado. En efecto, </w:t>
      </w:r>
      <w:r w:rsidR="00DF658A" w:rsidRPr="00D61921">
        <w:rPr>
          <w:rFonts w:ascii="Arial" w:hAnsi="Arial" w:cs="Arial"/>
          <w:sz w:val="22"/>
          <w:lang w:val="es-CO"/>
        </w:rPr>
        <w:t>esta</w:t>
      </w:r>
      <w:r w:rsidR="00D237F3" w:rsidRPr="00D61921">
        <w:rPr>
          <w:rFonts w:ascii="Arial" w:hAnsi="Arial" w:cs="Arial"/>
          <w:sz w:val="22"/>
          <w:lang w:val="es-CO"/>
        </w:rPr>
        <w:t xml:space="preserve"> interpretación incluiría a los particulares que celebren contratos entre sí, incluso en ausencia del Estado, mediante alguna de sus entidades, como una de las partes del contrato.</w:t>
      </w:r>
    </w:p>
    <w:p w14:paraId="5050E24E" w14:textId="3CCD3F8F" w:rsidR="00D237F3" w:rsidRPr="00D61921" w:rsidRDefault="00D237F3" w:rsidP="006F667A">
      <w:pPr>
        <w:spacing w:after="120" w:line="276" w:lineRule="auto"/>
        <w:ind w:firstLine="708"/>
        <w:jc w:val="both"/>
        <w:rPr>
          <w:rFonts w:ascii="Arial" w:hAnsi="Arial" w:cs="Arial"/>
          <w:sz w:val="22"/>
          <w:lang w:val="es-CO"/>
        </w:rPr>
      </w:pPr>
      <w:r w:rsidRPr="00D61921">
        <w:rPr>
          <w:rFonts w:ascii="Arial" w:hAnsi="Arial" w:cs="Arial"/>
          <w:sz w:val="22"/>
          <w:lang w:val="es-CO"/>
        </w:rPr>
        <w:t xml:space="preserve">Como se observa, </w:t>
      </w:r>
      <w:r w:rsidR="00DF658A" w:rsidRPr="00D61921">
        <w:rPr>
          <w:rFonts w:ascii="Arial" w:hAnsi="Arial" w:cs="Arial"/>
          <w:sz w:val="22"/>
          <w:lang w:val="es-CO"/>
        </w:rPr>
        <w:t>esta</w:t>
      </w:r>
      <w:r w:rsidRPr="00D61921">
        <w:rPr>
          <w:rFonts w:ascii="Arial" w:hAnsi="Arial" w:cs="Arial"/>
          <w:sz w:val="22"/>
          <w:lang w:val="es-CO"/>
        </w:rPr>
        <w:t xml:space="preserve"> sería la conclusión </w:t>
      </w:r>
      <w:r w:rsidR="00C45229" w:rsidRPr="00D61921">
        <w:rPr>
          <w:rFonts w:ascii="Arial" w:hAnsi="Arial" w:cs="Arial"/>
          <w:sz w:val="22"/>
          <w:lang w:val="es-CO"/>
        </w:rPr>
        <w:t xml:space="preserve">de </w:t>
      </w:r>
      <w:r w:rsidRPr="00D61921">
        <w:rPr>
          <w:rFonts w:ascii="Arial" w:hAnsi="Arial" w:cs="Arial"/>
          <w:sz w:val="22"/>
          <w:lang w:val="es-CO"/>
        </w:rPr>
        <w:t xml:space="preserve">interpretar de forma aislada el aparte de la norma referido a quienes «celebren contratos». En tal sentido, se considera que la norma al referirse a aquellos sujetos que celebren contratos </w:t>
      </w:r>
      <w:r w:rsidR="00DF658A" w:rsidRPr="00D61921">
        <w:rPr>
          <w:rFonts w:ascii="Arial" w:hAnsi="Arial" w:cs="Arial"/>
          <w:sz w:val="22"/>
          <w:lang w:val="es-CO"/>
        </w:rPr>
        <w:t>alude</w:t>
      </w:r>
      <w:r w:rsidRPr="00D61921">
        <w:rPr>
          <w:rFonts w:ascii="Arial" w:hAnsi="Arial" w:cs="Arial"/>
          <w:sz w:val="22"/>
          <w:lang w:val="es-CO"/>
        </w:rPr>
        <w:t xml:space="preserve"> únicamente a </w:t>
      </w:r>
      <w:r w:rsidR="00DF658A" w:rsidRPr="00D61921">
        <w:rPr>
          <w:rFonts w:ascii="Arial" w:hAnsi="Arial" w:cs="Arial"/>
          <w:sz w:val="22"/>
          <w:lang w:val="es-CO"/>
        </w:rPr>
        <w:t>lo</w:t>
      </w:r>
      <w:r w:rsidRPr="00D61921">
        <w:rPr>
          <w:rFonts w:ascii="Arial" w:hAnsi="Arial" w:cs="Arial"/>
          <w:sz w:val="22"/>
          <w:lang w:val="es-CO"/>
        </w:rPr>
        <w:t>s que en virtud de dichos negocios jurídicos administren bienes o recursos públicos, que es el contenido material en torno al cual gira el literal g).</w:t>
      </w:r>
    </w:p>
    <w:p w14:paraId="368AF9B0" w14:textId="095F96CE" w:rsidR="00D237F3" w:rsidRPr="00D61921" w:rsidRDefault="00D237F3" w:rsidP="006F667A">
      <w:pPr>
        <w:spacing w:after="120" w:line="276" w:lineRule="auto"/>
        <w:ind w:firstLine="708"/>
        <w:jc w:val="both"/>
        <w:rPr>
          <w:rFonts w:ascii="Arial" w:hAnsi="Arial" w:cs="Arial"/>
          <w:sz w:val="22"/>
          <w:lang w:val="es-CO"/>
        </w:rPr>
      </w:pPr>
      <w:proofErr w:type="spellStart"/>
      <w:r w:rsidRPr="00D61921">
        <w:rPr>
          <w:rFonts w:ascii="Arial" w:hAnsi="Arial" w:cs="Arial"/>
          <w:sz w:val="22"/>
          <w:lang w:val="es-CO"/>
        </w:rPr>
        <w:t>ii</w:t>
      </w:r>
      <w:proofErr w:type="spellEnd"/>
      <w:r w:rsidRPr="00D61921">
        <w:rPr>
          <w:rFonts w:ascii="Arial" w:hAnsi="Arial" w:cs="Arial"/>
          <w:sz w:val="22"/>
          <w:lang w:val="es-CO"/>
        </w:rPr>
        <w:t xml:space="preserve">) </w:t>
      </w:r>
      <w:r w:rsidR="00DF658A" w:rsidRPr="00D61921">
        <w:rPr>
          <w:rFonts w:ascii="Arial" w:hAnsi="Arial" w:cs="Arial"/>
          <w:sz w:val="22"/>
          <w:lang w:val="es-CO"/>
        </w:rPr>
        <w:t>La anterior</w:t>
      </w:r>
      <w:r w:rsidRPr="00D61921">
        <w:rPr>
          <w:rFonts w:ascii="Arial" w:hAnsi="Arial" w:cs="Arial"/>
          <w:sz w:val="22"/>
          <w:lang w:val="es-CO"/>
        </w:rPr>
        <w:t xml:space="preserve"> interpretación se hace más evidente si se revisa el parágrafo primero del artículo 2</w:t>
      </w:r>
      <w:r w:rsidR="00714E1B" w:rsidRPr="00D61921">
        <w:rPr>
          <w:rFonts w:ascii="Arial" w:hAnsi="Arial" w:cs="Arial"/>
          <w:sz w:val="22"/>
          <w:lang w:val="es-CO"/>
        </w:rPr>
        <w:t>, que concreta la forma como se cumple la obligación de public</w:t>
      </w:r>
      <w:r w:rsidR="00DF658A" w:rsidRPr="00D61921">
        <w:rPr>
          <w:rFonts w:ascii="Arial" w:hAnsi="Arial" w:cs="Arial"/>
          <w:sz w:val="22"/>
          <w:lang w:val="es-CO"/>
        </w:rPr>
        <w:t>ar</w:t>
      </w:r>
      <w:r w:rsidR="00714E1B" w:rsidRPr="00D61921">
        <w:rPr>
          <w:rFonts w:ascii="Arial" w:hAnsi="Arial" w:cs="Arial"/>
          <w:sz w:val="22"/>
          <w:lang w:val="es-CO"/>
        </w:rPr>
        <w:t xml:space="preserve"> la información proactiva</w:t>
      </w:r>
      <w:r w:rsidR="00DF658A" w:rsidRPr="00D61921">
        <w:rPr>
          <w:rFonts w:ascii="Arial" w:hAnsi="Arial" w:cs="Arial"/>
          <w:sz w:val="22"/>
          <w:lang w:val="es-CO"/>
        </w:rPr>
        <w:t>mente</w:t>
      </w:r>
      <w:r w:rsidR="00714E1B" w:rsidRPr="00D61921">
        <w:rPr>
          <w:rFonts w:ascii="Arial" w:hAnsi="Arial" w:cs="Arial"/>
          <w:sz w:val="22"/>
          <w:lang w:val="es-CO"/>
        </w:rPr>
        <w:t>.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w:t>
      </w:r>
      <w:r w:rsidR="00DF658A" w:rsidRPr="00D61921">
        <w:rPr>
          <w:rFonts w:ascii="Arial" w:hAnsi="Arial" w:cs="Arial"/>
          <w:sz w:val="22"/>
          <w:lang w:val="es-CO"/>
        </w:rPr>
        <w:t>ó</w:t>
      </w:r>
      <w:r w:rsidR="00714E1B" w:rsidRPr="00D61921">
        <w:rPr>
          <w:rFonts w:ascii="Arial" w:hAnsi="Arial" w:cs="Arial"/>
          <w:sz w:val="22"/>
          <w:lang w:val="es-CO"/>
        </w:rPr>
        <w:t xml:space="preserve">mo el </w:t>
      </w:r>
      <w:proofErr w:type="gramStart"/>
      <w:r w:rsidR="00714E1B" w:rsidRPr="00D61921">
        <w:rPr>
          <w:rFonts w:ascii="Arial" w:hAnsi="Arial" w:cs="Arial"/>
          <w:sz w:val="22"/>
          <w:lang w:val="es-CO"/>
        </w:rPr>
        <w:t>parágrafo concreta</w:t>
      </w:r>
      <w:proofErr w:type="gramEnd"/>
      <w:r w:rsidR="00714E1B" w:rsidRPr="00D61921">
        <w:rPr>
          <w:rFonts w:ascii="Arial" w:hAnsi="Arial" w:cs="Arial"/>
          <w:sz w:val="22"/>
          <w:lang w:val="es-CO"/>
        </w:rPr>
        <w:t xml:space="preserve"> la obligación en relación con los sujetos obligados de los literales f) y g)</w:t>
      </w:r>
      <w:r w:rsidR="00F21CF1" w:rsidRPr="00D61921">
        <w:rPr>
          <w:rFonts w:ascii="Arial" w:hAnsi="Arial" w:cs="Arial"/>
          <w:sz w:val="22"/>
          <w:lang w:val="es-CO"/>
        </w:rPr>
        <w:t>.</w:t>
      </w:r>
      <w:r w:rsidR="00714E1B" w:rsidRPr="00D61921">
        <w:rPr>
          <w:rFonts w:ascii="Arial" w:hAnsi="Arial" w:cs="Arial"/>
          <w:sz w:val="22"/>
          <w:lang w:val="es-CO"/>
        </w:rPr>
        <w:t xml:space="preserve"> </w:t>
      </w:r>
      <w:r w:rsidR="00F21CF1" w:rsidRPr="00D61921">
        <w:rPr>
          <w:rFonts w:ascii="Arial" w:hAnsi="Arial" w:cs="Arial"/>
          <w:sz w:val="22"/>
          <w:lang w:val="es-CO"/>
        </w:rPr>
        <w:t>I</w:t>
      </w:r>
      <w:r w:rsidR="00714E1B" w:rsidRPr="00D61921">
        <w:rPr>
          <w:rFonts w:ascii="Arial" w:hAnsi="Arial" w:cs="Arial"/>
          <w:sz w:val="22"/>
          <w:lang w:val="es-CO"/>
        </w:rPr>
        <w:t>nterpreta</w:t>
      </w:r>
      <w:r w:rsidR="00F21CF1" w:rsidRPr="00D61921">
        <w:rPr>
          <w:rFonts w:ascii="Arial" w:hAnsi="Arial" w:cs="Arial"/>
          <w:sz w:val="22"/>
          <w:lang w:val="es-CO"/>
        </w:rPr>
        <w:t>da</w:t>
      </w:r>
      <w:r w:rsidR="00714E1B" w:rsidRPr="00D61921">
        <w:rPr>
          <w:rFonts w:ascii="Arial" w:hAnsi="Arial" w:cs="Arial"/>
          <w:sz w:val="22"/>
          <w:lang w:val="es-CO"/>
        </w:rPr>
        <w:t xml:space="preserve"> la propia ley</w:t>
      </w:r>
      <w:r w:rsidR="00C45229" w:rsidRPr="00D61921">
        <w:rPr>
          <w:rFonts w:ascii="Arial" w:hAnsi="Arial" w:cs="Arial"/>
          <w:sz w:val="22"/>
          <w:lang w:val="es-CO"/>
        </w:rPr>
        <w:t xml:space="preserve"> </w:t>
      </w:r>
      <w:r w:rsidR="00F21CF1" w:rsidRPr="00D61921">
        <w:rPr>
          <w:rFonts w:ascii="Arial" w:hAnsi="Arial" w:cs="Arial"/>
          <w:sz w:val="22"/>
          <w:lang w:val="es-CO"/>
        </w:rPr>
        <w:t xml:space="preserve">con </w:t>
      </w:r>
      <w:r w:rsidR="00C45229" w:rsidRPr="00D61921">
        <w:rPr>
          <w:rFonts w:ascii="Arial" w:hAnsi="Arial" w:cs="Arial"/>
          <w:sz w:val="22"/>
          <w:lang w:val="es-CO"/>
        </w:rPr>
        <w:t>dichos apartes,</w:t>
      </w:r>
      <w:r w:rsidR="00714E1B" w:rsidRPr="00D61921">
        <w:rPr>
          <w:rFonts w:ascii="Arial" w:hAnsi="Arial" w:cs="Arial"/>
          <w:sz w:val="22"/>
          <w:lang w:val="es-CO"/>
        </w:rPr>
        <w:t xml:space="preserve"> tratándose de particulares</w:t>
      </w:r>
      <w:r w:rsidR="00F21CF1" w:rsidRPr="00D61921">
        <w:rPr>
          <w:rFonts w:ascii="Arial" w:hAnsi="Arial" w:cs="Arial"/>
          <w:sz w:val="22"/>
          <w:lang w:val="es-CO"/>
        </w:rPr>
        <w:t>,</w:t>
      </w:r>
      <w:r w:rsidR="00714E1B" w:rsidRPr="00D61921">
        <w:rPr>
          <w:rFonts w:ascii="Arial" w:hAnsi="Arial" w:cs="Arial"/>
          <w:sz w:val="22"/>
          <w:lang w:val="es-CO"/>
        </w:rPr>
        <w:t xml:space="preserve"> su ámbito de aplicación </w:t>
      </w:r>
      <w:r w:rsidR="00F21CF1" w:rsidRPr="00D61921">
        <w:rPr>
          <w:rFonts w:ascii="Arial" w:hAnsi="Arial" w:cs="Arial"/>
          <w:sz w:val="22"/>
          <w:lang w:val="es-CO"/>
        </w:rPr>
        <w:t>incluye</w:t>
      </w:r>
      <w:r w:rsidR="00714E1B" w:rsidRPr="00D61921">
        <w:rPr>
          <w:rFonts w:ascii="Arial" w:hAnsi="Arial" w:cs="Arial"/>
          <w:sz w:val="22"/>
          <w:lang w:val="es-CO"/>
        </w:rPr>
        <w:t xml:space="preserve"> solo a aquellos que ejerzan función pública, </w:t>
      </w:r>
      <w:r w:rsidR="00F21CF1" w:rsidRPr="00D61921">
        <w:rPr>
          <w:rFonts w:ascii="Arial" w:hAnsi="Arial" w:cs="Arial"/>
          <w:sz w:val="22"/>
          <w:lang w:val="es-CO"/>
        </w:rPr>
        <w:t>presten</w:t>
      </w:r>
      <w:r w:rsidR="00714E1B" w:rsidRPr="00D61921">
        <w:rPr>
          <w:rFonts w:ascii="Arial" w:hAnsi="Arial" w:cs="Arial"/>
          <w:sz w:val="22"/>
          <w:lang w:val="es-CO"/>
        </w:rPr>
        <w:t xml:space="preserve"> servicios públicos </w:t>
      </w:r>
      <w:r w:rsidR="00B7398A" w:rsidRPr="00D61921">
        <w:rPr>
          <w:rFonts w:ascii="Arial" w:hAnsi="Arial" w:cs="Arial"/>
          <w:sz w:val="22"/>
          <w:lang w:val="es-CO"/>
        </w:rPr>
        <w:t>–</w:t>
      </w:r>
      <w:r w:rsidR="00714E1B" w:rsidRPr="00D61921">
        <w:rPr>
          <w:rFonts w:ascii="Arial" w:hAnsi="Arial" w:cs="Arial"/>
          <w:sz w:val="22"/>
          <w:lang w:val="es-CO"/>
        </w:rPr>
        <w:t>literal f)</w:t>
      </w:r>
      <w:r w:rsidR="00B7398A" w:rsidRPr="00D61921">
        <w:rPr>
          <w:rFonts w:ascii="Arial" w:hAnsi="Arial" w:cs="Arial"/>
          <w:sz w:val="22"/>
          <w:lang w:val="es-CO"/>
        </w:rPr>
        <w:t xml:space="preserve"> –</w:t>
      </w:r>
      <w:r w:rsidR="00714E1B" w:rsidRPr="00D61921">
        <w:rPr>
          <w:rFonts w:ascii="Arial" w:hAnsi="Arial" w:cs="Arial"/>
          <w:sz w:val="22"/>
          <w:lang w:val="es-CO"/>
        </w:rPr>
        <w:t xml:space="preserve"> o administren bienes o recursos públicos </w:t>
      </w:r>
      <w:r w:rsidR="00B7398A" w:rsidRPr="00D61921">
        <w:rPr>
          <w:rFonts w:ascii="Arial" w:hAnsi="Arial" w:cs="Arial"/>
          <w:sz w:val="22"/>
          <w:lang w:val="es-CO"/>
        </w:rPr>
        <w:t>–</w:t>
      </w:r>
      <w:r w:rsidR="00714E1B" w:rsidRPr="00D61921">
        <w:rPr>
          <w:rFonts w:ascii="Arial" w:hAnsi="Arial" w:cs="Arial"/>
          <w:sz w:val="22"/>
          <w:lang w:val="es-CO"/>
        </w:rPr>
        <w:t xml:space="preserve">literal </w:t>
      </w:r>
      <w:proofErr w:type="gramStart"/>
      <w:r w:rsidR="00714E1B" w:rsidRPr="00D61921">
        <w:rPr>
          <w:rFonts w:ascii="Arial" w:hAnsi="Arial" w:cs="Arial"/>
          <w:sz w:val="22"/>
          <w:lang w:val="es-CO"/>
        </w:rPr>
        <w:t>g)</w:t>
      </w:r>
      <w:r w:rsidR="00B7398A" w:rsidRPr="00D61921">
        <w:rPr>
          <w:rFonts w:ascii="Arial" w:hAnsi="Arial" w:cs="Arial"/>
          <w:sz w:val="22"/>
          <w:lang w:val="es-CO"/>
        </w:rPr>
        <w:softHyphen/>
      </w:r>
      <w:proofErr w:type="gramEnd"/>
      <w:r w:rsidR="00B7398A" w:rsidRPr="00D61921">
        <w:rPr>
          <w:rFonts w:ascii="Arial" w:hAnsi="Arial" w:cs="Arial"/>
          <w:sz w:val="22"/>
          <w:lang w:val="es-CO"/>
        </w:rPr>
        <w:t>–</w:t>
      </w:r>
      <w:r w:rsidR="00714E1B" w:rsidRPr="00D61921">
        <w:rPr>
          <w:rFonts w:ascii="Arial" w:hAnsi="Arial" w:cs="Arial"/>
          <w:sz w:val="22"/>
          <w:lang w:val="es-CO"/>
        </w:rPr>
        <w:t xml:space="preserve">. De manera que la norma solo </w:t>
      </w:r>
      <w:r w:rsidR="00F21CF1" w:rsidRPr="00D61921">
        <w:rPr>
          <w:rFonts w:ascii="Arial" w:hAnsi="Arial" w:cs="Arial"/>
          <w:sz w:val="22"/>
          <w:lang w:val="es-CO"/>
        </w:rPr>
        <w:t>es</w:t>
      </w:r>
      <w:r w:rsidR="00714E1B" w:rsidRPr="00D61921">
        <w:rPr>
          <w:rFonts w:ascii="Arial" w:hAnsi="Arial" w:cs="Arial"/>
          <w:sz w:val="22"/>
          <w:lang w:val="es-CO"/>
        </w:rPr>
        <w:t xml:space="preserve"> susceptible de aplicarse frente a esos tres tipos de particulares, </w:t>
      </w:r>
      <w:r w:rsidR="00F21CF1" w:rsidRPr="00D61921">
        <w:rPr>
          <w:rFonts w:ascii="Arial" w:hAnsi="Arial" w:cs="Arial"/>
          <w:sz w:val="22"/>
          <w:lang w:val="es-CO"/>
        </w:rPr>
        <w:t xml:space="preserve">siendo </w:t>
      </w:r>
      <w:r w:rsidR="00714E1B" w:rsidRPr="00D61921">
        <w:rPr>
          <w:rFonts w:ascii="Arial" w:hAnsi="Arial" w:cs="Arial"/>
          <w:sz w:val="22"/>
          <w:lang w:val="es-CO"/>
        </w:rPr>
        <w:t xml:space="preserve">la interpretación más plausible de la </w:t>
      </w:r>
      <w:r w:rsidR="00C45229" w:rsidRPr="00D61921">
        <w:rPr>
          <w:rFonts w:ascii="Arial" w:hAnsi="Arial" w:cs="Arial"/>
          <w:sz w:val="22"/>
          <w:lang w:val="es-CO"/>
        </w:rPr>
        <w:t>disposición</w:t>
      </w:r>
      <w:r w:rsidR="00714E1B" w:rsidRPr="00D61921">
        <w:rPr>
          <w:rFonts w:ascii="Arial" w:hAnsi="Arial" w:cs="Arial"/>
          <w:sz w:val="22"/>
          <w:lang w:val="es-CO"/>
        </w:rPr>
        <w:t xml:space="preserve">, </w:t>
      </w:r>
      <w:r w:rsidR="00F21CF1" w:rsidRPr="00D61921">
        <w:rPr>
          <w:rFonts w:ascii="Arial" w:hAnsi="Arial" w:cs="Arial"/>
          <w:sz w:val="22"/>
          <w:lang w:val="es-CO"/>
        </w:rPr>
        <w:t>pues lo</w:t>
      </w:r>
      <w:r w:rsidR="00714E1B" w:rsidRPr="00D61921">
        <w:rPr>
          <w:rFonts w:ascii="Arial" w:hAnsi="Arial" w:cs="Arial"/>
          <w:sz w:val="22"/>
          <w:lang w:val="es-CO"/>
        </w:rPr>
        <w:t xml:space="preserve"> que derivaría de interpretar extensiva</w:t>
      </w:r>
      <w:r w:rsidR="00F21CF1" w:rsidRPr="00D61921">
        <w:rPr>
          <w:rFonts w:ascii="Arial" w:hAnsi="Arial" w:cs="Arial"/>
          <w:sz w:val="22"/>
          <w:lang w:val="es-CO"/>
        </w:rPr>
        <w:t>mente</w:t>
      </w:r>
      <w:r w:rsidR="00714E1B" w:rsidRPr="00D61921">
        <w:rPr>
          <w:rFonts w:ascii="Arial" w:hAnsi="Arial" w:cs="Arial"/>
          <w:sz w:val="22"/>
          <w:lang w:val="es-CO"/>
        </w:rPr>
        <w:t xml:space="preserve"> el </w:t>
      </w:r>
      <w:r w:rsidR="00F21CF1" w:rsidRPr="00D61921">
        <w:rPr>
          <w:rFonts w:ascii="Arial" w:hAnsi="Arial" w:cs="Arial"/>
          <w:sz w:val="22"/>
          <w:lang w:val="es-CO"/>
        </w:rPr>
        <w:t xml:space="preserve">literal g), sería </w:t>
      </w:r>
      <w:r w:rsidR="00714E1B" w:rsidRPr="00D61921">
        <w:rPr>
          <w:rFonts w:ascii="Arial" w:hAnsi="Arial" w:cs="Arial"/>
          <w:sz w:val="22"/>
          <w:lang w:val="es-CO"/>
        </w:rPr>
        <w:t>que el parágrafo 1 contiene un vacío protuberante.</w:t>
      </w:r>
    </w:p>
    <w:p w14:paraId="10734460" w14:textId="492BC7C2" w:rsidR="00714E1B" w:rsidRPr="00D61921" w:rsidRDefault="00714E1B" w:rsidP="006F667A">
      <w:pPr>
        <w:spacing w:after="120" w:line="276" w:lineRule="auto"/>
        <w:ind w:firstLine="708"/>
        <w:jc w:val="both"/>
        <w:rPr>
          <w:rFonts w:ascii="Arial" w:hAnsi="Arial" w:cs="Arial"/>
          <w:sz w:val="22"/>
          <w:lang w:val="es-CO"/>
        </w:rPr>
      </w:pPr>
      <w:proofErr w:type="spellStart"/>
      <w:r w:rsidRPr="00D61921">
        <w:rPr>
          <w:rFonts w:ascii="Arial" w:hAnsi="Arial" w:cs="Arial"/>
          <w:sz w:val="22"/>
          <w:lang w:val="es-CO"/>
        </w:rPr>
        <w:t>iii</w:t>
      </w:r>
      <w:proofErr w:type="spellEnd"/>
      <w:r w:rsidRPr="00D61921">
        <w:rPr>
          <w:rFonts w:ascii="Arial" w:hAnsi="Arial" w:cs="Arial"/>
          <w:sz w:val="22"/>
          <w:lang w:val="es-CO"/>
        </w:rPr>
        <w:t xml:space="preserve">) Otro argumento para considerar que el literal g) no </w:t>
      </w:r>
      <w:r w:rsidR="00AC22DF" w:rsidRPr="00D61921">
        <w:rPr>
          <w:rFonts w:ascii="Arial" w:hAnsi="Arial" w:cs="Arial"/>
          <w:sz w:val="22"/>
          <w:lang w:val="es-CO"/>
        </w:rPr>
        <w:t>incluye</w:t>
      </w:r>
      <w:r w:rsidRPr="00D61921">
        <w:rPr>
          <w:rFonts w:ascii="Arial" w:hAnsi="Arial" w:cs="Arial"/>
          <w:sz w:val="22"/>
          <w:lang w:val="es-CO"/>
        </w:rPr>
        <w:t xml:space="preserve"> a cualquier contratista del Estado, </w:t>
      </w:r>
      <w:r w:rsidR="00AC22DF" w:rsidRPr="00D61921">
        <w:rPr>
          <w:rFonts w:ascii="Arial" w:hAnsi="Arial" w:cs="Arial"/>
          <w:sz w:val="22"/>
          <w:lang w:val="es-CO"/>
        </w:rPr>
        <w:t>en general,</w:t>
      </w:r>
      <w:r w:rsidRPr="00D61921">
        <w:rPr>
          <w:rFonts w:ascii="Arial" w:hAnsi="Arial" w:cs="Arial"/>
          <w:sz w:val="22"/>
          <w:lang w:val="es-CO"/>
        </w:rPr>
        <w:t xml:space="preserve"> consiste en que la obligación de publicación proactiva ni siquiera se estableció para todos los servidores públicos, sino para los concretamente </w:t>
      </w:r>
      <w:r w:rsidR="00C64F99" w:rsidRPr="00D61921">
        <w:rPr>
          <w:rFonts w:ascii="Arial" w:hAnsi="Arial" w:cs="Arial"/>
          <w:sz w:val="22"/>
          <w:lang w:val="es-CO"/>
        </w:rPr>
        <w:t>relacionados</w:t>
      </w:r>
      <w:r w:rsidRPr="00D61921">
        <w:rPr>
          <w:rFonts w:ascii="Arial" w:hAnsi="Arial" w:cs="Arial"/>
          <w:sz w:val="22"/>
          <w:lang w:val="es-CO"/>
        </w:rPr>
        <w:t xml:space="preserve"> en el </w:t>
      </w:r>
      <w:r w:rsidR="00B310D2" w:rsidRPr="00D61921">
        <w:rPr>
          <w:rFonts w:ascii="Arial" w:hAnsi="Arial" w:cs="Arial"/>
          <w:sz w:val="22"/>
          <w:lang w:val="es-CO"/>
        </w:rPr>
        <w:t>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14:paraId="6C454793" w14:textId="59C5F100" w:rsidR="00B310D2" w:rsidRPr="00D61921" w:rsidRDefault="00B310D2" w:rsidP="006F667A">
      <w:pPr>
        <w:spacing w:after="120" w:line="276" w:lineRule="auto"/>
        <w:ind w:firstLine="708"/>
        <w:jc w:val="both"/>
        <w:rPr>
          <w:rFonts w:ascii="Arial" w:hAnsi="Arial" w:cs="Arial"/>
          <w:sz w:val="22"/>
          <w:lang w:val="es-CO"/>
        </w:rPr>
      </w:pPr>
      <w:r w:rsidRPr="00D61921">
        <w:rPr>
          <w:rFonts w:ascii="Arial" w:hAnsi="Arial" w:cs="Arial"/>
          <w:sz w:val="22"/>
          <w:lang w:val="es-CO"/>
        </w:rPr>
        <w:t>Lo anterior</w:t>
      </w:r>
      <w:r w:rsidR="00C45229" w:rsidRPr="00D61921">
        <w:rPr>
          <w:rFonts w:ascii="Arial" w:hAnsi="Arial" w:cs="Arial"/>
          <w:sz w:val="22"/>
          <w:lang w:val="es-CO"/>
        </w:rPr>
        <w:t xml:space="preserve"> se sustentaría, incluso,</w:t>
      </w:r>
      <w:r w:rsidRPr="00D61921">
        <w:rPr>
          <w:rFonts w:ascii="Arial" w:hAnsi="Arial" w:cs="Arial"/>
          <w:sz w:val="22"/>
          <w:lang w:val="es-CO"/>
        </w:rPr>
        <w:t xml:space="preserve"> si se argumentara que el literal estudiado pretendía incluir a todos los contratistas del </w:t>
      </w:r>
      <w:r w:rsidR="00C45229" w:rsidRPr="00D61921">
        <w:rPr>
          <w:rFonts w:ascii="Arial" w:hAnsi="Arial" w:cs="Arial"/>
          <w:sz w:val="22"/>
          <w:lang w:val="es-CO"/>
        </w:rPr>
        <w:t>E</w:t>
      </w:r>
      <w:r w:rsidRPr="00D61921">
        <w:rPr>
          <w:rFonts w:ascii="Arial" w:hAnsi="Arial" w:cs="Arial"/>
          <w:sz w:val="22"/>
          <w:lang w:val="es-CO"/>
        </w:rPr>
        <w:t>stado, dado que a ellos se le</w:t>
      </w:r>
      <w:r w:rsidR="00C45229" w:rsidRPr="00D61921">
        <w:rPr>
          <w:rFonts w:ascii="Arial" w:hAnsi="Arial" w:cs="Arial"/>
          <w:sz w:val="22"/>
          <w:lang w:val="es-CO"/>
        </w:rPr>
        <w:t>s</w:t>
      </w:r>
      <w:r w:rsidRPr="00D61921">
        <w:rPr>
          <w:rFonts w:ascii="Arial" w:hAnsi="Arial" w:cs="Arial"/>
          <w:sz w:val="22"/>
          <w:lang w:val="es-CO"/>
        </w:rPr>
        <w:t xml:space="preserve"> paga su contraprestación con recursos públicos, pues a los servidores públicos también se les remunera con dichos recursos.</w:t>
      </w:r>
    </w:p>
    <w:p w14:paraId="4EAF8389" w14:textId="12611464" w:rsidR="00B310D2" w:rsidRPr="00D61921" w:rsidRDefault="00B310D2" w:rsidP="006F667A">
      <w:pPr>
        <w:spacing w:after="120" w:line="276" w:lineRule="auto"/>
        <w:ind w:firstLine="708"/>
        <w:jc w:val="both"/>
        <w:rPr>
          <w:rFonts w:ascii="Arial" w:hAnsi="Arial" w:cs="Arial"/>
          <w:sz w:val="22"/>
          <w:lang w:val="es-CO"/>
        </w:rPr>
      </w:pPr>
      <w:proofErr w:type="spellStart"/>
      <w:r w:rsidRPr="00D61921">
        <w:rPr>
          <w:rFonts w:ascii="Arial" w:hAnsi="Arial" w:cs="Arial"/>
          <w:sz w:val="22"/>
          <w:lang w:val="es-CO"/>
        </w:rPr>
        <w:lastRenderedPageBreak/>
        <w:t>iv</w:t>
      </w:r>
      <w:proofErr w:type="spellEnd"/>
      <w:r w:rsidRPr="00D61921">
        <w:rPr>
          <w:rFonts w:ascii="Arial" w:hAnsi="Arial" w:cs="Arial"/>
          <w:sz w:val="22"/>
          <w:lang w:val="es-CO"/>
        </w:rPr>
        <w:t xml:space="preserve">) Otro fundamento </w:t>
      </w:r>
      <w:r w:rsidR="00C64F99" w:rsidRPr="00D61921">
        <w:rPr>
          <w:rFonts w:ascii="Arial" w:hAnsi="Arial" w:cs="Arial"/>
          <w:sz w:val="22"/>
          <w:lang w:val="es-CO"/>
        </w:rPr>
        <w:t xml:space="preserve">de </w:t>
      </w:r>
      <w:r w:rsidRPr="00D61921">
        <w:rPr>
          <w:rFonts w:ascii="Arial" w:hAnsi="Arial" w:cs="Arial"/>
          <w:sz w:val="22"/>
          <w:lang w:val="es-CO"/>
        </w:rPr>
        <w:t xml:space="preserve">la interpretación estricta del literal g) consiste en la finalidad que tuvo la norma al contemplar como sujetos obligados a aquellos que administren recursos públicos, ya que este mecanismo se contempló con el propósito de vigilar y controlar la forma como estos se gestionan por parte de sujetos a quien dichos recursos son ajenos, por no hacer parte de su patrimonio, de manera que no se hiciera una indebida gestión de los mismos </w:t>
      </w:r>
      <w:r w:rsidR="00C45229" w:rsidRPr="00D61921">
        <w:rPr>
          <w:rFonts w:ascii="Arial" w:hAnsi="Arial" w:cs="Arial"/>
          <w:sz w:val="22"/>
          <w:lang w:val="es-CO"/>
        </w:rPr>
        <w:t xml:space="preserve">y </w:t>
      </w:r>
      <w:r w:rsidRPr="00D61921">
        <w:rPr>
          <w:rFonts w:ascii="Arial" w:hAnsi="Arial" w:cs="Arial"/>
          <w:sz w:val="22"/>
          <w:lang w:val="es-CO"/>
        </w:rPr>
        <w:t>terminaran incrementando el patrimonio de sus administradores.</w:t>
      </w:r>
    </w:p>
    <w:p w14:paraId="008F165E" w14:textId="3D40C727" w:rsidR="00B310D2" w:rsidRPr="00D61921" w:rsidRDefault="00C64F99" w:rsidP="006F667A">
      <w:pPr>
        <w:spacing w:after="120" w:line="276" w:lineRule="auto"/>
        <w:ind w:firstLine="708"/>
        <w:jc w:val="both"/>
        <w:rPr>
          <w:rFonts w:ascii="Arial" w:hAnsi="Arial" w:cs="Arial"/>
          <w:sz w:val="22"/>
          <w:lang w:val="es-CO"/>
        </w:rPr>
      </w:pPr>
      <w:r w:rsidRPr="00D61921">
        <w:rPr>
          <w:rFonts w:ascii="Arial" w:hAnsi="Arial" w:cs="Arial"/>
          <w:sz w:val="22"/>
          <w:lang w:val="es-CO"/>
        </w:rPr>
        <w:t>Esta c</w:t>
      </w:r>
      <w:r w:rsidR="00B310D2" w:rsidRPr="00D61921">
        <w:rPr>
          <w:rFonts w:ascii="Arial" w:hAnsi="Arial" w:cs="Arial"/>
          <w:sz w:val="22"/>
          <w:lang w:val="es-CO"/>
        </w:rPr>
        <w:t xml:space="preserve">ircunstancia no ocurre con la mayoría de los contratistas del Estado, </w:t>
      </w:r>
      <w:r w:rsidR="00CD6F7F" w:rsidRPr="00D61921">
        <w:rPr>
          <w:rFonts w:ascii="Arial" w:hAnsi="Arial" w:cs="Arial"/>
          <w:sz w:val="22"/>
          <w:lang w:val="es-CO"/>
        </w:rPr>
        <w:t>quienes,</w:t>
      </w:r>
      <w:r w:rsidR="00B310D2" w:rsidRPr="00D61921">
        <w:rPr>
          <w:rFonts w:ascii="Arial" w:hAnsi="Arial" w:cs="Arial"/>
          <w:sz w:val="22"/>
          <w:lang w:val="es-CO"/>
        </w:rPr>
        <w:t xml:space="preserve"> si bien reciben recursos del Estado, como contraprestación </w:t>
      </w:r>
      <w:r w:rsidR="00C45229" w:rsidRPr="00D61921">
        <w:rPr>
          <w:rFonts w:ascii="Arial" w:hAnsi="Arial" w:cs="Arial"/>
          <w:sz w:val="22"/>
          <w:lang w:val="es-CO"/>
        </w:rPr>
        <w:t>por el</w:t>
      </w:r>
      <w:r w:rsidR="00B310D2" w:rsidRPr="00D61921">
        <w:rPr>
          <w:rFonts w:ascii="Arial" w:hAnsi="Arial" w:cs="Arial"/>
          <w:sz w:val="22"/>
          <w:lang w:val="es-CO"/>
        </w:rPr>
        <w:t xml:space="preserve"> cumplimiento de sus </w:t>
      </w:r>
      <w:r w:rsidR="00C45229" w:rsidRPr="00D61921">
        <w:rPr>
          <w:rFonts w:ascii="Arial" w:hAnsi="Arial" w:cs="Arial"/>
          <w:sz w:val="22"/>
          <w:lang w:val="es-CO"/>
        </w:rPr>
        <w:t>obligaciones</w:t>
      </w:r>
      <w:r w:rsidR="00B310D2" w:rsidRPr="00D61921">
        <w:rPr>
          <w:rFonts w:ascii="Arial" w:hAnsi="Arial" w:cs="Arial"/>
          <w:sz w:val="22"/>
          <w:lang w:val="es-CO"/>
        </w:rPr>
        <w:t xml:space="preserve">, </w:t>
      </w:r>
      <w:r w:rsidRPr="00D61921">
        <w:rPr>
          <w:rFonts w:ascii="Arial" w:hAnsi="Arial" w:cs="Arial"/>
          <w:sz w:val="22"/>
          <w:lang w:val="es-CO"/>
        </w:rPr>
        <w:t>esos</w:t>
      </w:r>
      <w:r w:rsidR="00B310D2" w:rsidRPr="00D61921">
        <w:rPr>
          <w:rFonts w:ascii="Arial" w:hAnsi="Arial" w:cs="Arial"/>
          <w:sz w:val="22"/>
          <w:lang w:val="es-CO"/>
        </w:rPr>
        <w:t xml:space="preserve"> recursos ingresan y se convierten en propios, pudiendo realizar actos de disposición con libertad.</w:t>
      </w:r>
    </w:p>
    <w:p w14:paraId="77729DC9" w14:textId="2269822F" w:rsidR="00B310D2" w:rsidRPr="00D61921" w:rsidRDefault="00B310D2" w:rsidP="004C119B">
      <w:pPr>
        <w:pStyle w:val="Sinespaciado"/>
        <w:spacing w:before="120" w:after="120" w:line="276" w:lineRule="auto"/>
        <w:ind w:firstLine="708"/>
        <w:jc w:val="both"/>
        <w:rPr>
          <w:rFonts w:ascii="Arial" w:hAnsi="Arial" w:cs="Arial"/>
          <w:iCs/>
          <w:sz w:val="22"/>
          <w:lang w:val="es-CO"/>
        </w:rPr>
      </w:pPr>
      <w:r w:rsidRPr="00D61921">
        <w:rPr>
          <w:rFonts w:ascii="Arial" w:hAnsi="Arial" w:cs="Arial"/>
          <w:iCs/>
          <w:sz w:val="22"/>
          <w:lang w:val="es-CO"/>
        </w:rPr>
        <w:t xml:space="preserve">v) Finalmente, si se analizan los antecedentes del proyecto de ley que culminó </w:t>
      </w:r>
      <w:r w:rsidR="004C119B" w:rsidRPr="00D61921">
        <w:rPr>
          <w:rFonts w:ascii="Arial" w:hAnsi="Arial" w:cs="Arial"/>
          <w:iCs/>
          <w:sz w:val="22"/>
          <w:lang w:val="es-CO"/>
        </w:rPr>
        <w:t xml:space="preserve">con la expedición de la Ley 2013 de 2019, se confirma que la finalidad del literal g) </w:t>
      </w:r>
      <w:r w:rsidR="00267E5C" w:rsidRPr="00D61921">
        <w:rPr>
          <w:rFonts w:ascii="Arial" w:hAnsi="Arial" w:cs="Arial"/>
          <w:iCs/>
          <w:sz w:val="22"/>
          <w:lang w:val="es-CO"/>
        </w:rPr>
        <w:t xml:space="preserve">solo </w:t>
      </w:r>
      <w:r w:rsidR="00C64F99" w:rsidRPr="00D61921">
        <w:rPr>
          <w:rFonts w:ascii="Arial" w:hAnsi="Arial" w:cs="Arial"/>
          <w:iCs/>
          <w:sz w:val="22"/>
          <w:lang w:val="es-CO"/>
        </w:rPr>
        <w:t>fue</w:t>
      </w:r>
      <w:r w:rsidR="004C119B" w:rsidRPr="00D61921">
        <w:rPr>
          <w:rFonts w:ascii="Arial" w:hAnsi="Arial" w:cs="Arial"/>
          <w:iCs/>
          <w:sz w:val="22"/>
          <w:lang w:val="es-CO"/>
        </w:rPr>
        <w:t xml:space="preserve"> incluir a los sujetos que administraran recursos públicos. En este sentido, el proyecto de ley presentado inicialmente solo tenía servidores públicos en su ámbito de aplicación</w:t>
      </w:r>
      <w:r w:rsidR="004C119B" w:rsidRPr="00D61921">
        <w:rPr>
          <w:rStyle w:val="Refdenotaalpie"/>
          <w:rFonts w:ascii="Arial" w:hAnsi="Arial" w:cs="Arial"/>
          <w:iCs/>
          <w:sz w:val="22"/>
          <w:lang w:val="es-CO"/>
        </w:rPr>
        <w:footnoteReference w:id="4"/>
      </w:r>
      <w:r w:rsidR="004C119B" w:rsidRPr="00D61921">
        <w:rPr>
          <w:rFonts w:ascii="Arial" w:hAnsi="Arial" w:cs="Arial"/>
          <w:iCs/>
          <w:sz w:val="22"/>
          <w:lang w:val="es-CO"/>
        </w:rPr>
        <w:t xml:space="preserve">; no obstante, durante el trámite del proyecto se modificaron y ampliaron los sujetos obligados para incluir a nuevos servidores públicos y a algunos particulares en supuestos concretos. Incluso en el texto propuesto para </w:t>
      </w:r>
      <w:r w:rsidR="00C45229" w:rsidRPr="00D61921">
        <w:rPr>
          <w:rFonts w:ascii="Arial" w:hAnsi="Arial" w:cs="Arial"/>
          <w:iCs/>
          <w:sz w:val="22"/>
          <w:lang w:val="es-CO"/>
        </w:rPr>
        <w:t xml:space="preserve">el </w:t>
      </w:r>
      <w:r w:rsidR="004C119B" w:rsidRPr="00D61921">
        <w:rPr>
          <w:rFonts w:ascii="Arial" w:hAnsi="Arial" w:cs="Arial"/>
          <w:iCs/>
          <w:sz w:val="22"/>
          <w:lang w:val="es-CO"/>
        </w:rPr>
        <w:t xml:space="preserve">segundo debate de </w:t>
      </w:r>
      <w:r w:rsidR="009E0C6F" w:rsidRPr="00D61921">
        <w:rPr>
          <w:rFonts w:ascii="Arial" w:hAnsi="Arial" w:cs="Arial"/>
          <w:iCs/>
          <w:sz w:val="22"/>
          <w:lang w:val="es-CO"/>
        </w:rPr>
        <w:t xml:space="preserve">la </w:t>
      </w:r>
      <w:r w:rsidR="004C119B" w:rsidRPr="00D61921">
        <w:rPr>
          <w:rFonts w:ascii="Arial" w:hAnsi="Arial" w:cs="Arial"/>
          <w:iCs/>
          <w:sz w:val="22"/>
          <w:lang w:val="es-CO"/>
        </w:rPr>
        <w:t xml:space="preserve">Cámara de </w:t>
      </w:r>
      <w:r w:rsidR="009E0C6F" w:rsidRPr="00D61921">
        <w:rPr>
          <w:rFonts w:ascii="Arial" w:hAnsi="Arial" w:cs="Arial"/>
          <w:iCs/>
          <w:sz w:val="22"/>
          <w:lang w:val="es-CO"/>
        </w:rPr>
        <w:t>Representantes</w:t>
      </w:r>
      <w:r w:rsidR="004C119B" w:rsidRPr="00D61921">
        <w:rPr>
          <w:rFonts w:ascii="Arial" w:hAnsi="Arial" w:cs="Arial"/>
          <w:iCs/>
          <w:sz w:val="22"/>
          <w:lang w:val="es-CO"/>
        </w:rPr>
        <w:t xml:space="preserve"> se </w:t>
      </w:r>
      <w:r w:rsidR="009E0C6F" w:rsidRPr="00D61921">
        <w:rPr>
          <w:rFonts w:ascii="Arial" w:hAnsi="Arial" w:cs="Arial"/>
          <w:iCs/>
          <w:sz w:val="22"/>
          <w:lang w:val="es-CO"/>
        </w:rPr>
        <w:t>sugirió</w:t>
      </w:r>
      <w:r w:rsidR="004C119B" w:rsidRPr="00D61921">
        <w:rPr>
          <w:rFonts w:ascii="Arial" w:hAnsi="Arial" w:cs="Arial"/>
          <w:iCs/>
          <w:sz w:val="22"/>
          <w:lang w:val="es-CO"/>
        </w:rPr>
        <w:t xml:space="preserve"> eliminar el listado y dejar una noción más general de los sujetos obligados, donde se pretendía incluir a todos los servidores públicos y a algunos particulares: «[…]</w:t>
      </w:r>
      <w:r w:rsidR="00E03FAB" w:rsidRPr="00D61921">
        <w:rPr>
          <w:rFonts w:ascii="Arial" w:hAnsi="Arial" w:cs="Arial"/>
          <w:iCs/>
          <w:sz w:val="22"/>
          <w:lang w:val="es-CO"/>
        </w:rPr>
        <w:t xml:space="preserve"> </w:t>
      </w:r>
      <w:r w:rsidR="004C119B" w:rsidRPr="00D61921">
        <w:rPr>
          <w:rFonts w:ascii="Arial" w:hAnsi="Arial" w:cs="Arial"/>
          <w:iCs/>
          <w:sz w:val="22"/>
          <w:lang w:val="es-CO"/>
        </w:rPr>
        <w:t>para todos los funcionarios y servidores públicos y para los particulares que desempeñen funciones públicas o presten servicios públicos o administren, a cualquier título, bienes o recursos públicos»</w:t>
      </w:r>
      <w:r w:rsidR="004C119B" w:rsidRPr="00D61921">
        <w:rPr>
          <w:rStyle w:val="Refdenotaalpie"/>
          <w:rFonts w:ascii="Arial" w:hAnsi="Arial" w:cs="Arial"/>
          <w:iCs/>
          <w:sz w:val="22"/>
          <w:lang w:val="es-CO"/>
        </w:rPr>
        <w:footnoteReference w:id="5"/>
      </w:r>
      <w:r w:rsidR="004C119B" w:rsidRPr="00D61921">
        <w:rPr>
          <w:rFonts w:ascii="Arial" w:hAnsi="Arial" w:cs="Arial"/>
          <w:iCs/>
          <w:sz w:val="22"/>
          <w:lang w:val="es-CO"/>
        </w:rPr>
        <w:t>.</w:t>
      </w:r>
    </w:p>
    <w:p w14:paraId="0A273581" w14:textId="14290D59" w:rsidR="001913E3" w:rsidRPr="00D61921" w:rsidRDefault="001913E3" w:rsidP="00C64F99">
      <w:pPr>
        <w:pStyle w:val="Sinespaciado"/>
        <w:spacing w:before="120" w:after="120" w:line="276" w:lineRule="auto"/>
        <w:ind w:firstLine="708"/>
        <w:jc w:val="both"/>
        <w:rPr>
          <w:rFonts w:ascii="Arial" w:hAnsi="Arial" w:cs="Arial"/>
          <w:iCs/>
          <w:sz w:val="22"/>
          <w:lang w:val="es-CO"/>
        </w:rPr>
      </w:pPr>
      <w:r w:rsidRPr="00D61921">
        <w:rPr>
          <w:rFonts w:ascii="Arial" w:hAnsi="Arial" w:cs="Arial"/>
          <w:iCs/>
          <w:sz w:val="22"/>
          <w:lang w:val="es-CO"/>
        </w:rPr>
        <w:t xml:space="preserve">Con lo anterior se pretende demostrar que la finalidad durante el todo el trámite del proyecto fue incluir solo a algunos particulares, concretamente a aquellos que desempeñen funciones públicas, presten servicios públicos o administren </w:t>
      </w:r>
      <w:r w:rsidR="00C45229" w:rsidRPr="00D61921">
        <w:rPr>
          <w:rFonts w:ascii="Arial" w:hAnsi="Arial" w:cs="Arial"/>
          <w:iCs/>
          <w:sz w:val="22"/>
          <w:lang w:val="es-CO"/>
        </w:rPr>
        <w:t>bienes</w:t>
      </w:r>
      <w:r w:rsidRPr="00D61921">
        <w:rPr>
          <w:rFonts w:ascii="Arial" w:hAnsi="Arial" w:cs="Arial"/>
          <w:iCs/>
          <w:sz w:val="22"/>
          <w:lang w:val="es-CO"/>
        </w:rPr>
        <w:t xml:space="preserve"> o recursos públicos. </w:t>
      </w:r>
      <w:r w:rsidR="00C64F99" w:rsidRPr="00D61921">
        <w:rPr>
          <w:rFonts w:ascii="Arial" w:hAnsi="Arial" w:cs="Arial"/>
          <w:iCs/>
          <w:sz w:val="22"/>
          <w:lang w:val="es-CO"/>
        </w:rPr>
        <w:t xml:space="preserve">Esto </w:t>
      </w:r>
      <w:r w:rsidRPr="00D61921">
        <w:rPr>
          <w:rFonts w:ascii="Arial" w:hAnsi="Arial" w:cs="Arial"/>
          <w:iCs/>
          <w:sz w:val="22"/>
          <w:lang w:val="es-CO"/>
        </w:rPr>
        <w:t xml:space="preserve">se hace más evidente si se revisan los informes de conciliación de los textos definitivos en Senado y Cámara. En efecto, aunque finalmente se acogió el texto de la Cámara de Representantes en cuanto al contenido del artículo 2, el listado propuesto </w:t>
      </w:r>
      <w:r w:rsidR="00C64F99" w:rsidRPr="00D61921">
        <w:rPr>
          <w:rFonts w:ascii="Arial" w:hAnsi="Arial" w:cs="Arial"/>
          <w:iCs/>
          <w:sz w:val="22"/>
          <w:lang w:val="es-CO"/>
        </w:rPr>
        <w:t xml:space="preserve">por </w:t>
      </w:r>
      <w:r w:rsidRPr="00D61921">
        <w:rPr>
          <w:rFonts w:ascii="Arial" w:hAnsi="Arial" w:cs="Arial"/>
          <w:iCs/>
          <w:sz w:val="22"/>
          <w:lang w:val="es-CO"/>
        </w:rPr>
        <w:t xml:space="preserve">el </w:t>
      </w:r>
      <w:r w:rsidR="00C64F99" w:rsidRPr="00D61921">
        <w:rPr>
          <w:rFonts w:ascii="Arial" w:hAnsi="Arial" w:cs="Arial"/>
          <w:iCs/>
          <w:sz w:val="22"/>
          <w:lang w:val="es-CO"/>
        </w:rPr>
        <w:t>S</w:t>
      </w:r>
      <w:r w:rsidRPr="00D61921">
        <w:rPr>
          <w:rFonts w:ascii="Arial" w:hAnsi="Arial" w:cs="Arial"/>
          <w:iCs/>
          <w:sz w:val="22"/>
          <w:lang w:val="es-CO"/>
        </w:rPr>
        <w:t>enado</w:t>
      </w:r>
      <w:r w:rsidR="00C64F99" w:rsidRPr="00D61921">
        <w:rPr>
          <w:rFonts w:ascii="Arial" w:hAnsi="Arial" w:cs="Arial"/>
          <w:iCs/>
          <w:sz w:val="22"/>
          <w:lang w:val="es-CO"/>
        </w:rPr>
        <w:t xml:space="preserve"> de</w:t>
      </w:r>
      <w:r w:rsidRPr="00D61921">
        <w:rPr>
          <w:rFonts w:ascii="Arial" w:hAnsi="Arial" w:cs="Arial"/>
          <w:iCs/>
          <w:sz w:val="22"/>
          <w:lang w:val="es-CO"/>
        </w:rPr>
        <w:t xml:space="preserve"> los literales f) y g), que contenía la misma finalidad y frente a los cuales no existió disputa, tenía una redacción más diáfana y menos confusa de la disposición; en particular</w:t>
      </w:r>
      <w:r w:rsidR="00C64F99" w:rsidRPr="00D61921">
        <w:rPr>
          <w:rFonts w:ascii="Arial" w:hAnsi="Arial" w:cs="Arial"/>
          <w:iCs/>
          <w:sz w:val="22"/>
          <w:lang w:val="es-CO"/>
        </w:rPr>
        <w:t>,</w:t>
      </w:r>
      <w:r w:rsidRPr="00D61921">
        <w:rPr>
          <w:rFonts w:ascii="Arial" w:hAnsi="Arial" w:cs="Arial"/>
          <w:iCs/>
          <w:sz w:val="22"/>
          <w:lang w:val="es-CO"/>
        </w:rPr>
        <w:t xml:space="preserve"> el literal g) proponía acoger a: «Las personas naturales y jurídicas, públicas o privadas que administren bienes o recursos públicos respecto de la información directamente relacionada con el desempeño de su función». </w:t>
      </w:r>
    </w:p>
    <w:p w14:paraId="662E6BBB" w14:textId="29BD9994" w:rsidR="00E61377" w:rsidRPr="00D61921" w:rsidRDefault="001913E3" w:rsidP="00E61377">
      <w:pPr>
        <w:pStyle w:val="Sinespaciado"/>
        <w:spacing w:before="120" w:line="276" w:lineRule="auto"/>
        <w:ind w:firstLine="709"/>
        <w:jc w:val="both"/>
        <w:rPr>
          <w:rFonts w:ascii="Arial" w:hAnsi="Arial" w:cs="Arial"/>
          <w:iCs/>
          <w:sz w:val="22"/>
          <w:lang w:val="es-CO"/>
        </w:rPr>
      </w:pPr>
      <w:r w:rsidRPr="00D61921">
        <w:rPr>
          <w:rFonts w:ascii="Arial" w:hAnsi="Arial" w:cs="Arial"/>
          <w:iCs/>
          <w:sz w:val="22"/>
          <w:lang w:val="es-CO"/>
        </w:rPr>
        <w:t xml:space="preserve">Incluso, aunque finalmente se acogieron los literales f) y g) en la forma propuesta por la Cámara de Representantes, si se revisa el título de la ley que </w:t>
      </w:r>
      <w:r w:rsidR="00267E5C" w:rsidRPr="00D61921">
        <w:rPr>
          <w:rFonts w:ascii="Arial" w:hAnsi="Arial" w:cs="Arial"/>
          <w:iCs/>
          <w:sz w:val="22"/>
          <w:lang w:val="es-CO"/>
        </w:rPr>
        <w:t>formulaba</w:t>
      </w:r>
      <w:r w:rsidRPr="00D61921">
        <w:rPr>
          <w:rFonts w:ascii="Arial" w:hAnsi="Arial" w:cs="Arial"/>
          <w:iCs/>
          <w:sz w:val="22"/>
          <w:lang w:val="es-CO"/>
        </w:rPr>
        <w:t xml:space="preserve"> esta cámara </w:t>
      </w:r>
      <w:r w:rsidRPr="00D61921">
        <w:rPr>
          <w:rFonts w:ascii="Arial" w:hAnsi="Arial" w:cs="Arial"/>
          <w:iCs/>
          <w:sz w:val="22"/>
          <w:lang w:val="es-CO"/>
        </w:rPr>
        <w:lastRenderedPageBreak/>
        <w:t xml:space="preserve">legislativa, se llega a la conclusión </w:t>
      </w:r>
      <w:r w:rsidR="00267E5C" w:rsidRPr="00D61921">
        <w:rPr>
          <w:rFonts w:ascii="Arial" w:hAnsi="Arial" w:cs="Arial"/>
          <w:iCs/>
          <w:sz w:val="22"/>
          <w:lang w:val="es-CO"/>
        </w:rPr>
        <w:t>indicada</w:t>
      </w:r>
      <w:r w:rsidRPr="00D61921">
        <w:rPr>
          <w:rFonts w:ascii="Arial" w:hAnsi="Arial" w:cs="Arial"/>
          <w:iCs/>
          <w:sz w:val="22"/>
          <w:lang w:val="es-CO"/>
        </w:rPr>
        <w:t xml:space="preserve"> respecto a la interpretación del literal g), ya que el titulo fue</w:t>
      </w:r>
      <w:r w:rsidRPr="00D61921">
        <w:rPr>
          <w:rStyle w:val="Refdenotaalpie"/>
          <w:rFonts w:ascii="Arial" w:hAnsi="Arial" w:cs="Arial"/>
          <w:iCs/>
          <w:sz w:val="22"/>
          <w:lang w:val="es-CO"/>
        </w:rPr>
        <w:footnoteReference w:id="6"/>
      </w:r>
      <w:r w:rsidRPr="00D61921">
        <w:rPr>
          <w:rFonts w:ascii="Arial" w:hAnsi="Arial" w:cs="Arial"/>
          <w:iCs/>
          <w:sz w:val="22"/>
          <w:lang w:val="es-CO"/>
        </w:rPr>
        <w:t xml:space="preserve">: </w:t>
      </w:r>
    </w:p>
    <w:p w14:paraId="4274505A" w14:textId="77777777" w:rsidR="00E61377" w:rsidRPr="00D61921" w:rsidRDefault="00E61377" w:rsidP="00E61377">
      <w:pPr>
        <w:pStyle w:val="Sinespaciado"/>
        <w:spacing w:before="120"/>
        <w:ind w:firstLine="709"/>
        <w:contextualSpacing/>
        <w:jc w:val="both"/>
        <w:rPr>
          <w:rFonts w:ascii="Arial" w:hAnsi="Arial" w:cs="Arial"/>
          <w:iCs/>
          <w:sz w:val="22"/>
          <w:lang w:val="es-CO"/>
        </w:rPr>
      </w:pPr>
    </w:p>
    <w:p w14:paraId="766BE195" w14:textId="33541D81" w:rsidR="00E61377" w:rsidRPr="00D61921" w:rsidRDefault="00E61377" w:rsidP="00E61377">
      <w:pPr>
        <w:spacing w:after="120"/>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 xml:space="preserve">Por medio de la cual se busca garantizar el cumplimiento de los principios de transparencia, participación y control social mediante la publicación de las declaraciones de bienes y rentas, el registro de los conflictos de interés y la declaración del impuesto sobre la renta y complementarios de los funcionarios y servidores públicos </w:t>
      </w:r>
      <w:r w:rsidRPr="00D61921">
        <w:rPr>
          <w:rFonts w:ascii="Arial" w:eastAsia="Times New Roman" w:hAnsi="Arial" w:cs="Arial"/>
          <w:i/>
          <w:iCs/>
          <w:sz w:val="21"/>
          <w:szCs w:val="21"/>
          <w:lang w:val="es-CO" w:eastAsia="es-CO"/>
        </w:rPr>
        <w:t xml:space="preserve">y los particulares que desempeñen funciones públicas o presten servicios públicos o administren, a cualquier título, bienes o recursos públicos. </w:t>
      </w:r>
      <w:r w:rsidRPr="00D61921">
        <w:rPr>
          <w:rFonts w:ascii="Arial" w:eastAsia="Times New Roman" w:hAnsi="Arial" w:cs="Arial"/>
          <w:sz w:val="21"/>
          <w:szCs w:val="21"/>
          <w:lang w:val="es-CO" w:eastAsia="es-CO"/>
        </w:rPr>
        <w:t xml:space="preserve">(Cursiva fuera del original). </w:t>
      </w:r>
    </w:p>
    <w:p w14:paraId="7E91BDD2" w14:textId="77777777" w:rsidR="004C119B" w:rsidRPr="00D61921" w:rsidRDefault="004C119B" w:rsidP="00E61377">
      <w:pPr>
        <w:pStyle w:val="Sinespaciado"/>
        <w:spacing w:before="120" w:after="120"/>
        <w:ind w:firstLine="708"/>
        <w:contextualSpacing/>
        <w:jc w:val="both"/>
        <w:rPr>
          <w:rFonts w:ascii="Arial" w:hAnsi="Arial" w:cs="Arial"/>
          <w:iCs/>
          <w:sz w:val="22"/>
          <w:lang w:val="es-CO"/>
        </w:rPr>
      </w:pPr>
    </w:p>
    <w:p w14:paraId="136C6C76" w14:textId="1C924B6D" w:rsidR="004C119B" w:rsidRPr="00D61921" w:rsidRDefault="00E61377" w:rsidP="00E61377">
      <w:pPr>
        <w:pStyle w:val="Sinespaciado"/>
        <w:spacing w:before="120" w:after="120" w:line="276" w:lineRule="auto"/>
        <w:ind w:firstLine="708"/>
        <w:jc w:val="both"/>
        <w:rPr>
          <w:rFonts w:ascii="Arial" w:hAnsi="Arial" w:cs="Arial"/>
          <w:iCs/>
          <w:sz w:val="22"/>
          <w:lang w:val="es-CO"/>
        </w:rPr>
      </w:pPr>
      <w:r w:rsidRPr="00D61921">
        <w:rPr>
          <w:rFonts w:ascii="Arial" w:hAnsi="Arial" w:cs="Arial"/>
          <w:iCs/>
          <w:sz w:val="22"/>
          <w:lang w:val="es-CO"/>
        </w:rPr>
        <w:t>Como se advierte</w:t>
      </w:r>
      <w:r w:rsidR="00C45229" w:rsidRPr="00D61921">
        <w:rPr>
          <w:rFonts w:ascii="Arial" w:hAnsi="Arial" w:cs="Arial"/>
          <w:iCs/>
          <w:sz w:val="22"/>
          <w:lang w:val="es-CO"/>
        </w:rPr>
        <w:t>,</w:t>
      </w:r>
      <w:r w:rsidRPr="00D61921">
        <w:rPr>
          <w:rFonts w:ascii="Arial" w:hAnsi="Arial" w:cs="Arial"/>
          <w:iCs/>
          <w:sz w:val="22"/>
          <w:lang w:val="es-CO"/>
        </w:rPr>
        <w:t xml:space="preserv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w:t>
      </w:r>
    </w:p>
    <w:p w14:paraId="5DD252AE" w14:textId="3EFB5506" w:rsidR="000036A8" w:rsidRPr="00D61921" w:rsidRDefault="00E61377" w:rsidP="00E61377">
      <w:pPr>
        <w:pStyle w:val="Sinespaciado"/>
        <w:spacing w:before="120" w:after="120" w:line="276" w:lineRule="auto"/>
        <w:ind w:firstLine="708"/>
        <w:jc w:val="both"/>
        <w:rPr>
          <w:rFonts w:ascii="Arial" w:hAnsi="Arial" w:cs="Arial"/>
          <w:iCs/>
          <w:sz w:val="22"/>
          <w:lang w:val="es-CO"/>
        </w:rPr>
      </w:pPr>
      <w:r w:rsidRPr="00D61921">
        <w:rPr>
          <w:rFonts w:ascii="Arial" w:hAnsi="Arial" w:cs="Arial"/>
          <w:iCs/>
          <w:sz w:val="22"/>
          <w:lang w:val="es-CO"/>
        </w:rPr>
        <w:t xml:space="preserve">vi) Finalmente, expuesto el sentido y la forma en </w:t>
      </w:r>
      <w:r w:rsidR="00C64F99" w:rsidRPr="00D61921">
        <w:rPr>
          <w:rFonts w:ascii="Arial" w:hAnsi="Arial" w:cs="Arial"/>
          <w:iCs/>
          <w:sz w:val="22"/>
          <w:lang w:val="es-CO"/>
        </w:rPr>
        <w:t xml:space="preserve">la </w:t>
      </w:r>
      <w:r w:rsidRPr="00D61921">
        <w:rPr>
          <w:rFonts w:ascii="Arial" w:hAnsi="Arial" w:cs="Arial"/>
          <w:iCs/>
          <w:sz w:val="22"/>
          <w:lang w:val="es-CO"/>
        </w:rPr>
        <w:t xml:space="preserve">que se debe entender el literal g), </w:t>
      </w:r>
      <w:r w:rsidR="00C64F99" w:rsidRPr="00D61921">
        <w:rPr>
          <w:rFonts w:ascii="Arial" w:hAnsi="Arial" w:cs="Arial"/>
          <w:iCs/>
          <w:sz w:val="22"/>
          <w:lang w:val="es-CO"/>
        </w:rPr>
        <w:t>se</w:t>
      </w:r>
      <w:r w:rsidRPr="00D61921">
        <w:rPr>
          <w:rFonts w:ascii="Arial" w:hAnsi="Arial" w:cs="Arial"/>
          <w:iCs/>
          <w:sz w:val="22"/>
          <w:lang w:val="es-CO"/>
        </w:rPr>
        <w:t xml:space="preserve"> aclara que</w:t>
      </w:r>
      <w:r w:rsidR="00C64F99" w:rsidRPr="00D61921">
        <w:rPr>
          <w:rFonts w:ascii="Arial" w:hAnsi="Arial" w:cs="Arial"/>
          <w:iCs/>
          <w:sz w:val="22"/>
          <w:lang w:val="es-CO"/>
        </w:rPr>
        <w:t>,</w:t>
      </w:r>
      <w:r w:rsidRPr="00D61921">
        <w:rPr>
          <w:rFonts w:ascii="Arial" w:hAnsi="Arial" w:cs="Arial"/>
          <w:iCs/>
          <w:sz w:val="22"/>
          <w:lang w:val="es-CO"/>
        </w:rPr>
        <w:t xml:space="preserve"> por regla general</w:t>
      </w:r>
      <w:r w:rsidR="00C64F99" w:rsidRPr="00D61921">
        <w:rPr>
          <w:rFonts w:ascii="Arial" w:hAnsi="Arial" w:cs="Arial"/>
          <w:iCs/>
          <w:sz w:val="22"/>
          <w:lang w:val="es-CO"/>
        </w:rPr>
        <w:t>,</w:t>
      </w:r>
      <w:r w:rsidRPr="00D61921">
        <w:rPr>
          <w:rFonts w:ascii="Arial" w:hAnsi="Arial" w:cs="Arial"/>
          <w:iCs/>
          <w:sz w:val="22"/>
          <w:lang w:val="es-CO"/>
        </w:rPr>
        <w:t xml:space="preserve"> los contratistas del Estado no administran recursos públicos y son excepcionales los supuestos en que </w:t>
      </w:r>
      <w:r w:rsidR="000036A8" w:rsidRPr="00D61921">
        <w:rPr>
          <w:rFonts w:ascii="Arial" w:hAnsi="Arial" w:cs="Arial"/>
          <w:iCs/>
          <w:sz w:val="22"/>
          <w:lang w:val="es-CO"/>
        </w:rPr>
        <w:t>lo hacen</w:t>
      </w:r>
      <w:r w:rsidRPr="00D61921">
        <w:rPr>
          <w:rFonts w:ascii="Arial" w:hAnsi="Arial" w:cs="Arial"/>
          <w:iCs/>
          <w:sz w:val="22"/>
          <w:lang w:val="es-CO"/>
        </w:rPr>
        <w:t>. En efecto, este aspecto ha sido estudiado en términos generales por la doctrina</w:t>
      </w:r>
      <w:r w:rsidR="000036A8" w:rsidRPr="00D61921">
        <w:rPr>
          <w:rFonts w:ascii="Arial" w:hAnsi="Arial" w:cs="Arial"/>
          <w:iCs/>
          <w:sz w:val="22"/>
          <w:lang w:val="es-CO"/>
        </w:rPr>
        <w:t>,</w:t>
      </w:r>
      <w:r w:rsidRPr="00D61921">
        <w:rPr>
          <w:rFonts w:ascii="Arial" w:hAnsi="Arial" w:cs="Arial"/>
          <w:iCs/>
          <w:sz w:val="22"/>
          <w:lang w:val="es-CO"/>
        </w:rPr>
        <w:t xml:space="preserve"> para determinar si los contratistas del Estado son responsables fiscalmente, ya que la administración de recursos públicos es uno de los supuestos que contiene la Ley 610 de 2000 para </w:t>
      </w:r>
      <w:r w:rsidR="007F216D" w:rsidRPr="00D61921">
        <w:rPr>
          <w:rFonts w:ascii="Arial" w:hAnsi="Arial" w:cs="Arial"/>
          <w:iCs/>
          <w:sz w:val="22"/>
          <w:lang w:val="es-CO"/>
        </w:rPr>
        <w:t xml:space="preserve">considerar que un particular es </w:t>
      </w:r>
      <w:r w:rsidR="00C64F99" w:rsidRPr="00D61921">
        <w:rPr>
          <w:rFonts w:ascii="Arial" w:hAnsi="Arial" w:cs="Arial"/>
          <w:iCs/>
          <w:sz w:val="22"/>
          <w:lang w:val="es-CO"/>
        </w:rPr>
        <w:t>un sujeto pasivo</w:t>
      </w:r>
      <w:r w:rsidR="007F216D" w:rsidRPr="00D61921">
        <w:rPr>
          <w:rFonts w:ascii="Arial" w:hAnsi="Arial" w:cs="Arial"/>
          <w:iCs/>
          <w:sz w:val="22"/>
          <w:lang w:val="es-CO"/>
        </w:rPr>
        <w:t xml:space="preserve"> de este tipo de responsabilidad. En efecto, los particulares </w:t>
      </w:r>
      <w:r w:rsidR="00C64F99" w:rsidRPr="00D61921">
        <w:rPr>
          <w:rFonts w:ascii="Arial" w:hAnsi="Arial" w:cs="Arial"/>
          <w:iCs/>
          <w:sz w:val="22"/>
          <w:lang w:val="es-CO"/>
        </w:rPr>
        <w:t>son</w:t>
      </w:r>
      <w:r w:rsidR="007F216D" w:rsidRPr="00D61921">
        <w:rPr>
          <w:rFonts w:ascii="Arial" w:hAnsi="Arial" w:cs="Arial"/>
          <w:iCs/>
          <w:sz w:val="22"/>
          <w:lang w:val="es-CO"/>
        </w:rPr>
        <w:t xml:space="preserve"> responsable</w:t>
      </w:r>
      <w:r w:rsidR="000036A8" w:rsidRPr="00D61921">
        <w:rPr>
          <w:rFonts w:ascii="Arial" w:hAnsi="Arial" w:cs="Arial"/>
          <w:iCs/>
          <w:sz w:val="22"/>
          <w:lang w:val="es-CO"/>
        </w:rPr>
        <w:t>s</w:t>
      </w:r>
      <w:r w:rsidR="007F216D" w:rsidRPr="00D61921">
        <w:rPr>
          <w:rFonts w:ascii="Arial" w:hAnsi="Arial" w:cs="Arial"/>
          <w:iCs/>
          <w:sz w:val="22"/>
          <w:lang w:val="es-CO"/>
        </w:rPr>
        <w:t xml:space="preserve"> fiscalmente</w:t>
      </w:r>
      <w:r w:rsidR="000036A8" w:rsidRPr="00D61921">
        <w:rPr>
          <w:rFonts w:ascii="Arial" w:hAnsi="Arial" w:cs="Arial"/>
          <w:iCs/>
          <w:sz w:val="22"/>
          <w:lang w:val="es-CO"/>
        </w:rPr>
        <w:t>, entre otros eventos,</w:t>
      </w:r>
      <w:r w:rsidR="007F216D" w:rsidRPr="00D61921">
        <w:rPr>
          <w:rFonts w:ascii="Arial" w:hAnsi="Arial" w:cs="Arial"/>
          <w:iCs/>
          <w:sz w:val="22"/>
          <w:lang w:val="es-CO"/>
        </w:rPr>
        <w:t xml:space="preserve"> cuando «manejen o administren recursos o fondos públicos»</w:t>
      </w:r>
      <w:r w:rsidR="000036A8" w:rsidRPr="00D61921">
        <w:rPr>
          <w:rFonts w:ascii="Arial" w:hAnsi="Arial" w:cs="Arial"/>
          <w:iCs/>
          <w:sz w:val="22"/>
          <w:lang w:val="es-CO"/>
        </w:rPr>
        <w:t xml:space="preserve"> ―art. 1 y 3―. En relación </w:t>
      </w:r>
      <w:r w:rsidR="00C64F99" w:rsidRPr="00D61921">
        <w:rPr>
          <w:rFonts w:ascii="Arial" w:hAnsi="Arial" w:cs="Arial"/>
          <w:iCs/>
          <w:sz w:val="22"/>
          <w:lang w:val="es-CO"/>
        </w:rPr>
        <w:t>el tema</w:t>
      </w:r>
      <w:r w:rsidR="000036A8" w:rsidRPr="00D61921">
        <w:rPr>
          <w:rFonts w:ascii="Arial" w:hAnsi="Arial" w:cs="Arial"/>
          <w:iCs/>
          <w:sz w:val="22"/>
          <w:lang w:val="es-CO"/>
        </w:rPr>
        <w:t xml:space="preserve"> DÁVILA VINUEZA expresa:</w:t>
      </w:r>
    </w:p>
    <w:p w14:paraId="61463A47" w14:textId="77777777" w:rsidR="000036A8" w:rsidRPr="00D61921" w:rsidRDefault="000036A8" w:rsidP="000036A8">
      <w:pPr>
        <w:pStyle w:val="Sinespaciado"/>
        <w:spacing w:line="276" w:lineRule="auto"/>
        <w:ind w:firstLine="708"/>
        <w:contextualSpacing/>
        <w:jc w:val="both"/>
        <w:rPr>
          <w:rFonts w:ascii="Arial" w:hAnsi="Arial" w:cs="Arial"/>
          <w:iCs/>
          <w:sz w:val="22"/>
          <w:lang w:val="es-CO"/>
        </w:rPr>
      </w:pPr>
    </w:p>
    <w:p w14:paraId="143F8082" w14:textId="237AF39A" w:rsidR="00EA28A5" w:rsidRPr="00D61921" w:rsidRDefault="00EA28A5" w:rsidP="000036A8">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 xml:space="preserve">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w:t>
      </w:r>
      <w:proofErr w:type="gramStart"/>
      <w:r w:rsidRPr="00D61921">
        <w:rPr>
          <w:rFonts w:ascii="Arial" w:eastAsia="Times New Roman" w:hAnsi="Arial" w:cs="Arial"/>
          <w:sz w:val="21"/>
          <w:szCs w:val="21"/>
          <w:lang w:val="es-CO" w:eastAsia="es-CO"/>
        </w:rPr>
        <w:t>que</w:t>
      </w:r>
      <w:proofErr w:type="gramEnd"/>
      <w:r w:rsidRPr="00D61921">
        <w:rPr>
          <w:rFonts w:ascii="Arial" w:eastAsia="Times New Roman" w:hAnsi="Arial" w:cs="Arial"/>
          <w:sz w:val="21"/>
          <w:szCs w:val="21"/>
          <w:lang w:val="es-CO" w:eastAsia="es-CO"/>
        </w:rPr>
        <w:t xml:space="preserve"> aunque no estén encargados propiamente de una función pública, sí pueden manejar recursos estatales.</w:t>
      </w:r>
    </w:p>
    <w:p w14:paraId="6331BB4A" w14:textId="71B2951C" w:rsidR="00EA28A5" w:rsidRPr="00D61921" w:rsidRDefault="00EA28A5" w:rsidP="000036A8">
      <w:pPr>
        <w:ind w:left="709" w:right="709"/>
        <w:contextualSpacing/>
        <w:jc w:val="both"/>
        <w:rPr>
          <w:rFonts w:ascii="Arial" w:eastAsia="Times New Roman" w:hAnsi="Arial" w:cs="Arial"/>
          <w:sz w:val="21"/>
          <w:szCs w:val="21"/>
          <w:lang w:val="es-CO" w:eastAsia="es-CO"/>
        </w:rPr>
      </w:pPr>
    </w:p>
    <w:p w14:paraId="6B0F3806" w14:textId="3513B6A0" w:rsidR="000036A8" w:rsidRPr="00D61921" w:rsidRDefault="000036A8" w:rsidP="000036A8">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 xml:space="preserve">Dado dicho presupuesto como constitutivo de la responsabilidad fiscal, </w:t>
      </w:r>
      <w:r w:rsidRPr="00D61921">
        <w:rPr>
          <w:rFonts w:ascii="Arial" w:eastAsia="Times New Roman" w:hAnsi="Arial" w:cs="Arial"/>
          <w:i/>
          <w:iCs/>
          <w:sz w:val="21"/>
          <w:szCs w:val="21"/>
          <w:lang w:val="es-CO" w:eastAsia="es-CO"/>
        </w:rPr>
        <w:t>la vinculación del contratista es excepcional en cuanto extraño es que administre recursos públicos, así ocurre, por ejemplo, cuando recibe anticipos o custodia peajes o tarifas que pagan los usuarios de la obra o servicio concesionado y que deben ser entregados, en todo o parte, a la entidad</w:t>
      </w:r>
      <w:r w:rsidRPr="00D61921">
        <w:rPr>
          <w:rFonts w:ascii="Arial" w:eastAsia="Times New Roman" w:hAnsi="Arial" w:cs="Arial"/>
          <w:sz w:val="21"/>
          <w:szCs w:val="21"/>
          <w:lang w:val="es-CO" w:eastAsia="es-CO"/>
        </w:rPr>
        <w:t>.</w:t>
      </w:r>
    </w:p>
    <w:p w14:paraId="1FDCB904" w14:textId="77777777" w:rsidR="000036A8" w:rsidRPr="00D61921" w:rsidRDefault="000036A8" w:rsidP="000036A8">
      <w:pPr>
        <w:ind w:left="709" w:right="709"/>
        <w:contextualSpacing/>
        <w:jc w:val="both"/>
        <w:rPr>
          <w:rFonts w:ascii="Arial" w:eastAsia="Times New Roman" w:hAnsi="Arial" w:cs="Arial"/>
          <w:sz w:val="21"/>
          <w:szCs w:val="21"/>
          <w:lang w:val="es-CO" w:eastAsia="es-CO"/>
        </w:rPr>
      </w:pPr>
    </w:p>
    <w:p w14:paraId="5D25F547" w14:textId="7577F2D5" w:rsidR="00EA28A5" w:rsidRPr="00D61921" w:rsidRDefault="00EA28A5" w:rsidP="000036A8">
      <w:pPr>
        <w:ind w:left="709" w:right="709"/>
        <w:contextualSpacing/>
        <w:jc w:val="both"/>
        <w:rPr>
          <w:rFonts w:ascii="Arial" w:eastAsia="Times New Roman" w:hAnsi="Arial" w:cs="Arial"/>
          <w:sz w:val="21"/>
          <w:szCs w:val="21"/>
          <w:lang w:val="es-CO" w:eastAsia="es-CO"/>
        </w:rPr>
      </w:pPr>
      <w:r w:rsidRPr="00D61921">
        <w:rPr>
          <w:rFonts w:ascii="Arial" w:eastAsia="Times New Roman" w:hAnsi="Arial" w:cs="Arial"/>
          <w:sz w:val="21"/>
          <w:szCs w:val="21"/>
          <w:lang w:val="es-CO" w:eastAsia="es-CO"/>
        </w:rPr>
        <w:t xml:space="preserve">Sobre el particular es preciso advertir que las sumas de dinero una vez salen del patrimonio estatal para ser recibidas por los contratistas como contraprestación de sus servicios o las que se le entregan a título de restablecimiento del equilibrio </w:t>
      </w:r>
      <w:r w:rsidRPr="00D61921">
        <w:rPr>
          <w:rFonts w:ascii="Arial" w:eastAsia="Times New Roman" w:hAnsi="Arial" w:cs="Arial"/>
          <w:sz w:val="21"/>
          <w:szCs w:val="21"/>
          <w:lang w:val="es-CO" w:eastAsia="es-CO"/>
        </w:rPr>
        <w:lastRenderedPageBreak/>
        <w:t>económico y financiero del contrato, en manera alguna encuadran dentro del concepto de manejo de recursos oficiales, lo que, en consecuencia, derivaría en la imposibilidad de perseguir fiscalmente por tales conceptos</w:t>
      </w:r>
      <w:r w:rsidR="000036A8" w:rsidRPr="00D61921">
        <w:rPr>
          <w:rFonts w:ascii="Arial" w:eastAsia="Times New Roman" w:hAnsi="Arial" w:cs="Arial"/>
          <w:sz w:val="21"/>
          <w:szCs w:val="21"/>
          <w:lang w:val="es-CO" w:eastAsia="es-CO"/>
        </w:rPr>
        <w:t xml:space="preserve"> […]</w:t>
      </w:r>
      <w:r w:rsidR="000036A8" w:rsidRPr="00D61921">
        <w:rPr>
          <w:rStyle w:val="Refdenotaalpie"/>
          <w:rFonts w:ascii="Arial" w:eastAsia="Times New Roman" w:hAnsi="Arial" w:cs="Arial"/>
          <w:sz w:val="21"/>
          <w:szCs w:val="21"/>
          <w:lang w:val="es-CO" w:eastAsia="es-CO"/>
        </w:rPr>
        <w:footnoteReference w:id="7"/>
      </w:r>
      <w:r w:rsidR="000036A8" w:rsidRPr="00D61921">
        <w:rPr>
          <w:rFonts w:ascii="Arial" w:eastAsia="Times New Roman" w:hAnsi="Arial" w:cs="Arial"/>
          <w:sz w:val="21"/>
          <w:szCs w:val="21"/>
          <w:lang w:val="es-CO" w:eastAsia="es-CO"/>
        </w:rPr>
        <w:t>.</w:t>
      </w:r>
    </w:p>
    <w:p w14:paraId="1C2BF5A1" w14:textId="466E2E8A" w:rsidR="00C539DC" w:rsidRPr="00D61921" w:rsidRDefault="00C539DC" w:rsidP="000036A8">
      <w:pPr>
        <w:pStyle w:val="Sinespaciado"/>
        <w:spacing w:line="276" w:lineRule="auto"/>
        <w:contextualSpacing/>
        <w:jc w:val="both"/>
        <w:rPr>
          <w:rFonts w:ascii="Arial" w:hAnsi="Arial" w:cs="Arial"/>
          <w:iCs/>
          <w:sz w:val="22"/>
          <w:lang w:val="es-CO"/>
        </w:rPr>
      </w:pPr>
    </w:p>
    <w:p w14:paraId="0BFC374F" w14:textId="6A7B799D" w:rsidR="000036A8" w:rsidRPr="00D61921" w:rsidRDefault="000036A8" w:rsidP="00AD169E">
      <w:pPr>
        <w:pStyle w:val="Sinespaciado"/>
        <w:spacing w:before="120" w:after="120" w:line="276" w:lineRule="auto"/>
        <w:ind w:firstLine="708"/>
        <w:jc w:val="both"/>
        <w:rPr>
          <w:rFonts w:ascii="Arial" w:hAnsi="Arial" w:cs="Arial"/>
          <w:iCs/>
          <w:sz w:val="22"/>
          <w:lang w:val="es-CO"/>
        </w:rPr>
      </w:pPr>
      <w:r w:rsidRPr="00D61921">
        <w:rPr>
          <w:rFonts w:ascii="Arial" w:hAnsi="Arial" w:cs="Arial"/>
          <w:iCs/>
          <w:sz w:val="22"/>
          <w:lang w:val="es-CO"/>
        </w:rPr>
        <w:t xml:space="preserve">En efecto, en los contratos que normalmente celebra la </w:t>
      </w:r>
      <w:r w:rsidR="00C64F99" w:rsidRPr="00D61921">
        <w:rPr>
          <w:rFonts w:ascii="Arial" w:hAnsi="Arial" w:cs="Arial"/>
          <w:iCs/>
          <w:sz w:val="22"/>
          <w:lang w:val="es-CO"/>
        </w:rPr>
        <w:t>A</w:t>
      </w:r>
      <w:r w:rsidRPr="00D61921">
        <w:rPr>
          <w:rFonts w:ascii="Arial" w:hAnsi="Arial" w:cs="Arial"/>
          <w:iCs/>
          <w:sz w:val="22"/>
          <w:lang w:val="es-CO"/>
        </w:rPr>
        <w:t xml:space="preserve">dministración, el pago de la contraprestación, pese a que se realiza con </w:t>
      </w:r>
      <w:r w:rsidR="00AD169E" w:rsidRPr="00D61921">
        <w:rPr>
          <w:rFonts w:ascii="Arial" w:hAnsi="Arial" w:cs="Arial"/>
          <w:iCs/>
          <w:sz w:val="22"/>
          <w:lang w:val="es-CO"/>
        </w:rPr>
        <w:t>recursos</w:t>
      </w:r>
      <w:r w:rsidRPr="00D61921">
        <w:rPr>
          <w:rFonts w:ascii="Arial" w:hAnsi="Arial" w:cs="Arial"/>
          <w:iCs/>
          <w:sz w:val="22"/>
          <w:lang w:val="es-CO"/>
        </w:rPr>
        <w:t xml:space="preserve"> públicos, no implica que el contrato involucre la administración de </w:t>
      </w:r>
      <w:r w:rsidR="00C64F99" w:rsidRPr="00D61921">
        <w:rPr>
          <w:rFonts w:ascii="Arial" w:hAnsi="Arial" w:cs="Arial"/>
          <w:iCs/>
          <w:sz w:val="22"/>
          <w:lang w:val="es-CO"/>
        </w:rPr>
        <w:t xml:space="preserve">dichos </w:t>
      </w:r>
      <w:r w:rsidR="00AD169E" w:rsidRPr="00D61921">
        <w:rPr>
          <w:rFonts w:ascii="Arial" w:hAnsi="Arial" w:cs="Arial"/>
          <w:iCs/>
          <w:sz w:val="22"/>
          <w:lang w:val="es-CO"/>
        </w:rPr>
        <w:t>recursos</w:t>
      </w:r>
      <w:r w:rsidRPr="00D61921">
        <w:rPr>
          <w:rFonts w:ascii="Arial" w:hAnsi="Arial" w:cs="Arial"/>
          <w:iCs/>
          <w:sz w:val="22"/>
          <w:lang w:val="es-CO"/>
        </w:rPr>
        <w:t xml:space="preserve">, toda vez que </w:t>
      </w:r>
      <w:r w:rsidR="0098631A" w:rsidRPr="00D61921">
        <w:rPr>
          <w:rFonts w:ascii="Arial" w:hAnsi="Arial" w:cs="Arial"/>
          <w:iCs/>
          <w:sz w:val="22"/>
          <w:lang w:val="es-CO"/>
        </w:rPr>
        <w:t xml:space="preserve">el valor pagado por la Administración es la </w:t>
      </w:r>
      <w:r w:rsidR="00AD169E" w:rsidRPr="00D61921">
        <w:rPr>
          <w:rFonts w:ascii="Arial" w:hAnsi="Arial" w:cs="Arial"/>
          <w:iCs/>
          <w:sz w:val="22"/>
          <w:lang w:val="es-CO"/>
        </w:rPr>
        <w:t xml:space="preserve">contraprestación </w:t>
      </w:r>
      <w:r w:rsidR="0098631A" w:rsidRPr="00D61921">
        <w:rPr>
          <w:rFonts w:ascii="Arial" w:hAnsi="Arial" w:cs="Arial"/>
          <w:iCs/>
          <w:sz w:val="22"/>
          <w:lang w:val="es-CO"/>
        </w:rPr>
        <w:t>normal por la</w:t>
      </w:r>
      <w:r w:rsidR="00C45229" w:rsidRPr="00D61921">
        <w:rPr>
          <w:rFonts w:ascii="Arial" w:hAnsi="Arial" w:cs="Arial"/>
          <w:iCs/>
          <w:sz w:val="22"/>
          <w:lang w:val="es-CO"/>
        </w:rPr>
        <w:t>s</w:t>
      </w:r>
      <w:r w:rsidR="0098631A" w:rsidRPr="00D61921">
        <w:rPr>
          <w:rFonts w:ascii="Arial" w:hAnsi="Arial" w:cs="Arial"/>
          <w:iCs/>
          <w:sz w:val="22"/>
          <w:lang w:val="es-CO"/>
        </w:rPr>
        <w:t xml:space="preserve"> obligaciones cumplidas por el particular en favor de aquella</w:t>
      </w:r>
      <w:r w:rsidR="00C64F99" w:rsidRPr="00D61921">
        <w:rPr>
          <w:rFonts w:ascii="Arial" w:hAnsi="Arial" w:cs="Arial"/>
          <w:iCs/>
          <w:sz w:val="22"/>
          <w:lang w:val="es-CO"/>
        </w:rPr>
        <w:t>,</w:t>
      </w:r>
      <w:r w:rsidR="0098631A" w:rsidRPr="00D61921">
        <w:rPr>
          <w:rFonts w:ascii="Arial" w:hAnsi="Arial" w:cs="Arial"/>
          <w:iCs/>
          <w:sz w:val="22"/>
          <w:lang w:val="es-CO"/>
        </w:rPr>
        <w:t xml:space="preserve"> y una vez recibido el pago dichos recursos </w:t>
      </w:r>
      <w:r w:rsidR="00C64F99" w:rsidRPr="00D61921">
        <w:rPr>
          <w:rFonts w:ascii="Arial" w:hAnsi="Arial" w:cs="Arial"/>
          <w:iCs/>
          <w:sz w:val="22"/>
          <w:lang w:val="es-CO"/>
        </w:rPr>
        <w:t>forman parte del</w:t>
      </w:r>
      <w:r w:rsidR="0098631A" w:rsidRPr="00D61921">
        <w:rPr>
          <w:rFonts w:ascii="Arial" w:hAnsi="Arial" w:cs="Arial"/>
          <w:iCs/>
          <w:sz w:val="22"/>
          <w:lang w:val="es-CO"/>
        </w:rPr>
        <w:t xml:space="preserve"> patrimonio del particular, por lo que dejan de ser recursos públicos y el contratista puede disponer de ellos libremente.</w:t>
      </w:r>
    </w:p>
    <w:p w14:paraId="0D74BC0F" w14:textId="4F9027A6" w:rsidR="00C539DC" w:rsidRPr="00D61921" w:rsidRDefault="00AD169E" w:rsidP="009D2478">
      <w:pPr>
        <w:pStyle w:val="Sinespaciado"/>
        <w:spacing w:before="120" w:line="276" w:lineRule="auto"/>
        <w:ind w:firstLine="709"/>
        <w:jc w:val="both"/>
        <w:rPr>
          <w:rFonts w:ascii="Arial" w:hAnsi="Arial" w:cs="Arial"/>
          <w:iCs/>
          <w:sz w:val="22"/>
          <w:lang w:val="es-CO"/>
        </w:rPr>
      </w:pPr>
      <w:r w:rsidRPr="00D61921">
        <w:rPr>
          <w:rFonts w:ascii="Arial" w:hAnsi="Arial" w:cs="Arial"/>
          <w:iCs/>
          <w:sz w:val="22"/>
          <w:lang w:val="es-CO"/>
        </w:rPr>
        <w:t xml:space="preserve">En conclusión, los contratistas que se encuentran dentro del ámbito de aplicación de la Ley 2013 de 2019 son los que </w:t>
      </w:r>
      <w:r w:rsidR="0089370A" w:rsidRPr="00D61921">
        <w:rPr>
          <w:rFonts w:ascii="Arial" w:hAnsi="Arial" w:cs="Arial"/>
          <w:iCs/>
          <w:sz w:val="22"/>
          <w:lang w:val="es-CO"/>
        </w:rPr>
        <w:t xml:space="preserve">ejercen </w:t>
      </w:r>
      <w:r w:rsidRPr="00D61921">
        <w:rPr>
          <w:rFonts w:ascii="Arial" w:hAnsi="Arial" w:cs="Arial"/>
          <w:iCs/>
          <w:sz w:val="22"/>
          <w:lang w:val="es-CO"/>
        </w:rPr>
        <w:t>función pública, presente</w:t>
      </w:r>
      <w:r w:rsidR="00A91D8B" w:rsidRPr="00D61921">
        <w:rPr>
          <w:rFonts w:ascii="Arial" w:hAnsi="Arial" w:cs="Arial"/>
          <w:iCs/>
          <w:sz w:val="22"/>
          <w:lang w:val="es-CO"/>
        </w:rPr>
        <w:t>n</w:t>
      </w:r>
      <w:r w:rsidRPr="00D61921">
        <w:rPr>
          <w:rFonts w:ascii="Arial" w:hAnsi="Arial" w:cs="Arial"/>
          <w:iCs/>
          <w:sz w:val="22"/>
          <w:lang w:val="es-CO"/>
        </w:rPr>
        <w:t xml:space="preserve"> servicios públicos o administren bienes y recursos públicos. Teniendo en cuenta lo anterior, solo cuando el contrato implique el ejercicio de alguna de las actividades anteriores, se considerará </w:t>
      </w:r>
      <w:r w:rsidR="00C64F99" w:rsidRPr="00D61921">
        <w:rPr>
          <w:rFonts w:ascii="Arial" w:hAnsi="Arial" w:cs="Arial"/>
          <w:iCs/>
          <w:sz w:val="22"/>
          <w:lang w:val="es-CO"/>
        </w:rPr>
        <w:t>vinculado</w:t>
      </w:r>
      <w:r w:rsidRPr="00D61921">
        <w:rPr>
          <w:rFonts w:ascii="Arial" w:hAnsi="Arial" w:cs="Arial"/>
          <w:iCs/>
          <w:sz w:val="22"/>
          <w:lang w:val="es-CO"/>
        </w:rPr>
        <w:t xml:space="preserve"> a las obligaciones contenidas en dicha ley. Además, </w:t>
      </w:r>
      <w:r w:rsidR="00C45229" w:rsidRPr="00D61921">
        <w:rPr>
          <w:rFonts w:ascii="Arial" w:hAnsi="Arial" w:cs="Arial"/>
          <w:iCs/>
          <w:sz w:val="22"/>
          <w:lang w:val="es-CO"/>
        </w:rPr>
        <w:t>considerando</w:t>
      </w:r>
      <w:r w:rsidRPr="00D61921">
        <w:rPr>
          <w:rFonts w:ascii="Arial" w:hAnsi="Arial" w:cs="Arial"/>
          <w:iCs/>
          <w:sz w:val="22"/>
          <w:lang w:val="es-CO"/>
        </w:rPr>
        <w:t xml:space="preserve"> que en la mayoría de los casos esto no ocurre, estos no están sujetos a la Ley 2013 de 2019; sin embargo, en cada contrato en particular se deberá analizar la realización de alguna de las actividades</w:t>
      </w:r>
      <w:r w:rsidR="00A91D8B" w:rsidRPr="00D61921">
        <w:rPr>
          <w:rFonts w:ascii="Arial" w:hAnsi="Arial" w:cs="Arial"/>
          <w:iCs/>
          <w:sz w:val="22"/>
          <w:lang w:val="es-CO"/>
        </w:rPr>
        <w:t xml:space="preserve"> indicadas</w:t>
      </w:r>
      <w:r w:rsidRPr="00D61921">
        <w:rPr>
          <w:rFonts w:ascii="Arial" w:hAnsi="Arial" w:cs="Arial"/>
          <w:iCs/>
          <w:sz w:val="22"/>
          <w:lang w:val="es-CO"/>
        </w:rPr>
        <w:t xml:space="preserve">, conforme a las </w:t>
      </w:r>
      <w:r w:rsidR="000661EF" w:rsidRPr="00D61921">
        <w:rPr>
          <w:rFonts w:ascii="Arial" w:hAnsi="Arial" w:cs="Arial"/>
          <w:iCs/>
          <w:sz w:val="22"/>
          <w:lang w:val="es-CO"/>
        </w:rPr>
        <w:t>consideraciones</w:t>
      </w:r>
      <w:r w:rsidRPr="00D61921">
        <w:rPr>
          <w:rFonts w:ascii="Arial" w:hAnsi="Arial" w:cs="Arial"/>
          <w:iCs/>
          <w:sz w:val="22"/>
          <w:lang w:val="es-CO"/>
        </w:rPr>
        <w:t xml:space="preserve"> señaladas en este concepto, </w:t>
      </w:r>
      <w:r w:rsidR="000661EF" w:rsidRPr="00D61921">
        <w:rPr>
          <w:rFonts w:ascii="Arial" w:hAnsi="Arial" w:cs="Arial"/>
          <w:iCs/>
          <w:sz w:val="22"/>
          <w:lang w:val="es-CO"/>
        </w:rPr>
        <w:t xml:space="preserve">para definir la aplicación o no de </w:t>
      </w:r>
      <w:r w:rsidR="00A91D8B" w:rsidRPr="00D61921">
        <w:rPr>
          <w:rFonts w:ascii="Arial" w:hAnsi="Arial" w:cs="Arial"/>
          <w:iCs/>
          <w:sz w:val="22"/>
          <w:lang w:val="es-CO"/>
        </w:rPr>
        <w:t>las obligaciones contenidas en dicha ley</w:t>
      </w:r>
      <w:r w:rsidR="000661EF" w:rsidRPr="00D61921">
        <w:rPr>
          <w:rFonts w:ascii="Arial" w:hAnsi="Arial" w:cs="Arial"/>
          <w:iCs/>
          <w:sz w:val="22"/>
          <w:lang w:val="es-CO"/>
        </w:rPr>
        <w:t>.</w:t>
      </w:r>
    </w:p>
    <w:p w14:paraId="2055571A" w14:textId="685422CF" w:rsidR="00B8079C" w:rsidRPr="00D61921" w:rsidRDefault="00B8079C" w:rsidP="0044301C">
      <w:pPr>
        <w:spacing w:line="276" w:lineRule="auto"/>
        <w:contextualSpacing/>
        <w:jc w:val="both"/>
        <w:rPr>
          <w:rFonts w:ascii="Arial" w:hAnsi="Arial" w:cs="Arial"/>
          <w:iCs/>
          <w:sz w:val="22"/>
          <w:lang w:val="es-CO"/>
        </w:rPr>
      </w:pPr>
    </w:p>
    <w:p w14:paraId="13F59AE0" w14:textId="526EBA66" w:rsidR="004A34D2" w:rsidRPr="00D61921" w:rsidRDefault="005B1DA9" w:rsidP="009D2478">
      <w:pPr>
        <w:pStyle w:val="Prrafodelista"/>
        <w:tabs>
          <w:tab w:val="left" w:pos="284"/>
        </w:tabs>
        <w:ind w:left="0"/>
        <w:jc w:val="both"/>
        <w:rPr>
          <w:rFonts w:ascii="Arial" w:eastAsia="Calibri" w:hAnsi="Arial" w:cs="Arial"/>
          <w:sz w:val="22"/>
          <w:lang w:val="es-CO"/>
        </w:rPr>
      </w:pPr>
      <w:r>
        <w:rPr>
          <w:rFonts w:ascii="Arial" w:eastAsia="Calibri" w:hAnsi="Arial" w:cs="Arial"/>
          <w:b/>
          <w:sz w:val="22"/>
          <w:lang w:val="es-CO"/>
        </w:rPr>
        <w:t xml:space="preserve">3. </w:t>
      </w:r>
      <w:r w:rsidR="009D2478" w:rsidRPr="00D61921">
        <w:rPr>
          <w:rFonts w:ascii="Arial" w:eastAsia="Calibri" w:hAnsi="Arial" w:cs="Arial"/>
          <w:b/>
          <w:sz w:val="22"/>
          <w:lang w:val="es-CO"/>
        </w:rPr>
        <w:t xml:space="preserve"> </w:t>
      </w:r>
      <w:r w:rsidR="004A34D2" w:rsidRPr="00D61921">
        <w:rPr>
          <w:rFonts w:ascii="Arial" w:eastAsia="Calibri" w:hAnsi="Arial" w:cs="Arial"/>
          <w:b/>
          <w:sz w:val="22"/>
          <w:lang w:val="es-CO"/>
        </w:rPr>
        <w:t>Respuesta</w:t>
      </w:r>
    </w:p>
    <w:p w14:paraId="504346E2" w14:textId="2908D7C2" w:rsidR="004A34D2" w:rsidRPr="00D61921" w:rsidRDefault="004A34D2" w:rsidP="007B0B43">
      <w:pPr>
        <w:ind w:right="709"/>
        <w:jc w:val="both"/>
        <w:rPr>
          <w:rFonts w:ascii="Arial" w:eastAsia="Calibri" w:hAnsi="Arial" w:cs="Arial"/>
          <w:i/>
          <w:sz w:val="22"/>
          <w:lang w:val="es-CO"/>
        </w:rPr>
      </w:pPr>
    </w:p>
    <w:p w14:paraId="550DCC3F" w14:textId="62BF809D" w:rsidR="00614B27" w:rsidRDefault="00614B27" w:rsidP="00614B27">
      <w:pPr>
        <w:spacing w:line="276" w:lineRule="auto"/>
        <w:ind w:left="709" w:right="709"/>
        <w:jc w:val="both"/>
        <w:rPr>
          <w:rFonts w:ascii="Arial" w:eastAsia="Calibri" w:hAnsi="Arial" w:cs="Arial"/>
          <w:sz w:val="21"/>
          <w:szCs w:val="21"/>
          <w:lang w:val="es-CO"/>
        </w:rPr>
      </w:pPr>
      <w:r w:rsidRPr="00D61921">
        <w:rPr>
          <w:rFonts w:ascii="Arial" w:eastAsia="Calibri" w:hAnsi="Arial" w:cs="Arial"/>
          <w:sz w:val="21"/>
          <w:szCs w:val="21"/>
          <w:lang w:val="es-CO"/>
        </w:rPr>
        <w:t xml:space="preserve">i) ¿Se le debe exigir a los contratistas de servicios profesionales y/o apoyo a la gestión la publicación y la divulgación de la declaración de bienes y rentas, del registro de conflictos e intereses y la declaración del impuesto sobre la renta y complementarios? </w:t>
      </w:r>
    </w:p>
    <w:p w14:paraId="67B5EB10" w14:textId="77777777" w:rsidR="005B1DA9" w:rsidRPr="00D61921" w:rsidRDefault="005B1DA9" w:rsidP="00614B27">
      <w:pPr>
        <w:spacing w:line="276" w:lineRule="auto"/>
        <w:ind w:left="709" w:right="709"/>
        <w:jc w:val="both"/>
        <w:rPr>
          <w:rFonts w:ascii="Arial" w:eastAsia="Calibri" w:hAnsi="Arial" w:cs="Arial"/>
          <w:sz w:val="21"/>
          <w:szCs w:val="21"/>
          <w:lang w:val="es-CO"/>
        </w:rPr>
      </w:pPr>
    </w:p>
    <w:p w14:paraId="03E36B7D" w14:textId="7EC83C55" w:rsidR="00614B27" w:rsidRPr="00D61921" w:rsidRDefault="00614B27" w:rsidP="00614B27">
      <w:pPr>
        <w:spacing w:line="276" w:lineRule="auto"/>
        <w:ind w:left="709" w:right="709"/>
        <w:jc w:val="both"/>
        <w:rPr>
          <w:rFonts w:ascii="Arial" w:eastAsia="Calibri" w:hAnsi="Arial" w:cs="Arial"/>
          <w:sz w:val="21"/>
          <w:szCs w:val="21"/>
          <w:lang w:val="es-CO"/>
        </w:rPr>
      </w:pPr>
      <w:proofErr w:type="spellStart"/>
      <w:r w:rsidRPr="00D61921">
        <w:rPr>
          <w:rFonts w:ascii="Arial" w:eastAsia="Calibri" w:hAnsi="Arial" w:cs="Arial"/>
          <w:sz w:val="21"/>
          <w:szCs w:val="21"/>
          <w:lang w:val="es-CO"/>
        </w:rPr>
        <w:t>ii</w:t>
      </w:r>
      <w:proofErr w:type="spellEnd"/>
      <w:r w:rsidRPr="00D61921">
        <w:rPr>
          <w:rFonts w:ascii="Arial" w:eastAsia="Calibri" w:hAnsi="Arial" w:cs="Arial"/>
          <w:sz w:val="21"/>
          <w:szCs w:val="21"/>
          <w:lang w:val="es-CO"/>
        </w:rPr>
        <w:t xml:space="preserve">) Indicar a qué tipo de contratistas se le debe realizar la exigencia de que trata la Ley 2013 de 2019. </w:t>
      </w:r>
    </w:p>
    <w:p w14:paraId="3A199C73" w14:textId="77777777" w:rsidR="006757DC" w:rsidRPr="00D61921" w:rsidRDefault="006757DC" w:rsidP="00C46D73">
      <w:pPr>
        <w:ind w:left="708" w:right="709"/>
        <w:jc w:val="both"/>
        <w:rPr>
          <w:rFonts w:ascii="Arial" w:eastAsia="Calibri" w:hAnsi="Arial" w:cs="Arial"/>
          <w:sz w:val="22"/>
          <w:lang w:val="es-CO"/>
        </w:rPr>
      </w:pPr>
    </w:p>
    <w:p w14:paraId="05A508C5" w14:textId="30E39F45" w:rsidR="001C167B" w:rsidRPr="00D61921" w:rsidRDefault="0089370A" w:rsidP="001C167B">
      <w:pPr>
        <w:spacing w:before="120" w:after="120" w:line="276" w:lineRule="auto"/>
        <w:jc w:val="both"/>
        <w:rPr>
          <w:rFonts w:ascii="Arial" w:hAnsi="Arial" w:cs="Arial"/>
          <w:iCs/>
          <w:sz w:val="22"/>
          <w:lang w:val="es-CO"/>
        </w:rPr>
      </w:pPr>
      <w:r w:rsidRPr="00D61921">
        <w:rPr>
          <w:rFonts w:ascii="Arial" w:hAnsi="Arial" w:cs="Arial"/>
          <w:iCs/>
          <w:sz w:val="22"/>
          <w:lang w:val="es-CO"/>
        </w:rPr>
        <w:t>L</w:t>
      </w:r>
      <w:r w:rsidR="00A91D8B" w:rsidRPr="00D61921">
        <w:rPr>
          <w:rFonts w:ascii="Arial" w:hAnsi="Arial" w:cs="Arial"/>
          <w:iCs/>
          <w:sz w:val="22"/>
          <w:lang w:val="es-CO"/>
        </w:rPr>
        <w:t xml:space="preserve">os contratistas que se encuentran dentro del ámbito de aplicación de la Ley 2013 de 2019 son aquellos que </w:t>
      </w:r>
      <w:r w:rsidRPr="00D61921">
        <w:rPr>
          <w:rFonts w:ascii="Arial" w:hAnsi="Arial" w:cs="Arial"/>
          <w:iCs/>
          <w:sz w:val="22"/>
          <w:lang w:val="es-CO"/>
        </w:rPr>
        <w:t>ejercen</w:t>
      </w:r>
      <w:r w:rsidR="00A91D8B" w:rsidRPr="00D61921">
        <w:rPr>
          <w:rFonts w:ascii="Arial" w:hAnsi="Arial" w:cs="Arial"/>
          <w:iCs/>
          <w:sz w:val="22"/>
          <w:lang w:val="es-CO"/>
        </w:rPr>
        <w:t xml:space="preserve"> función pública, presente</w:t>
      </w:r>
      <w:r w:rsidR="00B34A7D" w:rsidRPr="00D61921">
        <w:rPr>
          <w:rFonts w:ascii="Arial" w:hAnsi="Arial" w:cs="Arial"/>
          <w:iCs/>
          <w:sz w:val="22"/>
          <w:lang w:val="es-CO"/>
        </w:rPr>
        <w:t>n</w:t>
      </w:r>
      <w:r w:rsidR="00A91D8B" w:rsidRPr="00D61921">
        <w:rPr>
          <w:rFonts w:ascii="Arial" w:hAnsi="Arial" w:cs="Arial"/>
          <w:iCs/>
          <w:sz w:val="22"/>
          <w:lang w:val="es-CO"/>
        </w:rPr>
        <w:t xml:space="preserve"> servicios públicos o administren bienes y recursos públicos. Teniendo en cuenta lo anterior, solo cuando el contrato celebrado con el particular implique el ejercicio de alguna de las actividades anteriores</w:t>
      </w:r>
      <w:r w:rsidR="005B1DA9">
        <w:rPr>
          <w:rFonts w:ascii="Arial" w:hAnsi="Arial" w:cs="Arial"/>
          <w:iCs/>
          <w:sz w:val="22"/>
          <w:lang w:val="es-CO"/>
        </w:rPr>
        <w:t xml:space="preserve"> </w:t>
      </w:r>
      <w:r w:rsidR="00A91D8B" w:rsidRPr="00D61921">
        <w:rPr>
          <w:rFonts w:ascii="Arial" w:hAnsi="Arial" w:cs="Arial"/>
          <w:iCs/>
          <w:sz w:val="22"/>
          <w:lang w:val="es-CO"/>
        </w:rPr>
        <w:t xml:space="preserve">se considerará sujeto a las obligaciones contenidas en dicha ley. Además, considerando que en la mayoría de los casos esto no ocurre, </w:t>
      </w:r>
      <w:r w:rsidRPr="00D61921">
        <w:rPr>
          <w:rFonts w:ascii="Arial" w:hAnsi="Arial" w:cs="Arial"/>
          <w:iCs/>
          <w:sz w:val="22"/>
          <w:lang w:val="es-CO"/>
        </w:rPr>
        <w:t xml:space="preserve">estos </w:t>
      </w:r>
      <w:r w:rsidR="00A91D8B" w:rsidRPr="00D61921">
        <w:rPr>
          <w:rFonts w:ascii="Arial" w:hAnsi="Arial" w:cs="Arial"/>
          <w:iCs/>
          <w:sz w:val="22"/>
          <w:lang w:val="es-CO"/>
        </w:rPr>
        <w:t xml:space="preserve">no están sujetos a la Ley 2013 de 2019; sin embargo, en cada contrato en particular se deberá analizar la realización de alguna de las actividades </w:t>
      </w:r>
      <w:r w:rsidR="00A91D8B" w:rsidRPr="00D61921">
        <w:rPr>
          <w:rFonts w:ascii="Arial" w:hAnsi="Arial" w:cs="Arial"/>
          <w:iCs/>
          <w:sz w:val="22"/>
          <w:lang w:val="es-CO"/>
        </w:rPr>
        <w:lastRenderedPageBreak/>
        <w:t>indicadas, conforme a las consideraciones señaladas en este concepto, para definir la aplicación o no de las obligaciones contenidas en dicha ley.</w:t>
      </w:r>
    </w:p>
    <w:p w14:paraId="0E276824" w14:textId="46EEE532" w:rsidR="00AD4ED1" w:rsidRPr="00D61921" w:rsidRDefault="00AD4ED1" w:rsidP="00614B27">
      <w:pPr>
        <w:spacing w:before="120" w:line="276" w:lineRule="auto"/>
        <w:jc w:val="both"/>
        <w:rPr>
          <w:rFonts w:ascii="Arial" w:hAnsi="Arial" w:cs="Arial"/>
          <w:iCs/>
          <w:sz w:val="22"/>
          <w:lang w:val="es-CO"/>
        </w:rPr>
      </w:pPr>
    </w:p>
    <w:p w14:paraId="282AD8BE" w14:textId="75B72585" w:rsidR="00E42A8F" w:rsidRPr="00D61921" w:rsidRDefault="00E42A8F" w:rsidP="001C167B">
      <w:pPr>
        <w:spacing w:before="120" w:after="120" w:line="276" w:lineRule="auto"/>
        <w:jc w:val="both"/>
        <w:rPr>
          <w:rFonts w:ascii="Arial" w:hAnsi="Arial" w:cs="Arial"/>
          <w:sz w:val="22"/>
          <w:lang w:val="es-CO"/>
        </w:rPr>
      </w:pPr>
      <w:r w:rsidRPr="00D61921">
        <w:rPr>
          <w:rFonts w:ascii="Arial" w:hAnsi="Arial" w:cs="Arial"/>
          <w:sz w:val="22"/>
          <w:lang w:val="es-CO"/>
        </w:rPr>
        <w:t>Este concepto tiene el alcance previsto en el artículo 28 del Código de Procedimiento Administrativo y de lo Contencioso Administrativo.</w:t>
      </w:r>
    </w:p>
    <w:p w14:paraId="03A1C8C2" w14:textId="5E49FDDF" w:rsidR="004A34D2" w:rsidRPr="00D61921" w:rsidRDefault="004A34D2" w:rsidP="006064EC">
      <w:pPr>
        <w:spacing w:before="120" w:after="120" w:line="276" w:lineRule="auto"/>
        <w:jc w:val="both"/>
        <w:rPr>
          <w:rFonts w:ascii="Arial" w:eastAsia="Calibri" w:hAnsi="Arial" w:cs="Arial"/>
          <w:sz w:val="22"/>
          <w:lang w:val="es-CO"/>
        </w:rPr>
      </w:pPr>
      <w:r w:rsidRPr="00D61921">
        <w:rPr>
          <w:rFonts w:ascii="Arial" w:hAnsi="Arial" w:cs="Arial"/>
          <w:noProof/>
          <w:sz w:val="22"/>
          <w:lang w:val="en-US"/>
        </w:rPr>
        <mc:AlternateContent>
          <mc:Choice Requires="wps">
            <w:drawing>
              <wp:anchor distT="0" distB="0" distL="114300" distR="114300" simplePos="0" relativeHeight="251658240" behindDoc="0" locked="0" layoutInCell="1" allowOverlap="1" wp14:anchorId="765875B5" wp14:editId="3AA8856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29A151"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31562F95" w14:textId="7430DB56" w:rsidR="008C4554" w:rsidRPr="00D61921" w:rsidRDefault="004A34D2" w:rsidP="0011423D">
      <w:pPr>
        <w:spacing w:before="120" w:after="120" w:line="276" w:lineRule="auto"/>
        <w:rPr>
          <w:rFonts w:ascii="Arial" w:eastAsia="Times New Roman" w:hAnsi="Arial" w:cs="Arial"/>
          <w:sz w:val="22"/>
          <w:lang w:val="es-CO" w:eastAsia="es-CO"/>
        </w:rPr>
      </w:pPr>
      <w:r w:rsidRPr="00D61921">
        <w:rPr>
          <w:rFonts w:ascii="Arial" w:eastAsia="Times New Roman" w:hAnsi="Arial" w:cs="Arial"/>
          <w:sz w:val="22"/>
          <w:lang w:val="es-CO" w:eastAsia="es-CO"/>
        </w:rPr>
        <w:t>Atentamente,</w:t>
      </w:r>
    </w:p>
    <w:p w14:paraId="47FA519A" w14:textId="05A6AFD6" w:rsidR="008C4554" w:rsidRPr="00D61921" w:rsidRDefault="008C4554" w:rsidP="004A34D2">
      <w:pPr>
        <w:rPr>
          <w:rFonts w:ascii="Arial" w:eastAsia="Times New Roman" w:hAnsi="Arial" w:cs="Arial"/>
          <w:sz w:val="22"/>
          <w:lang w:val="es-CO" w:eastAsia="es-CO"/>
        </w:rPr>
      </w:pPr>
    </w:p>
    <w:p w14:paraId="4F087E03" w14:textId="5987299F" w:rsidR="008C4554" w:rsidRDefault="0011423D" w:rsidP="0011423D">
      <w:pPr>
        <w:jc w:val="center"/>
        <w:rPr>
          <w:rFonts w:ascii="Arial" w:eastAsia="Times New Roman" w:hAnsi="Arial" w:cs="Arial"/>
          <w:sz w:val="22"/>
          <w:lang w:val="es-CO" w:eastAsia="es-CO"/>
        </w:rPr>
      </w:pPr>
      <w:r>
        <w:rPr>
          <w:noProof/>
          <w:lang w:val="en-US"/>
        </w:rPr>
        <w:drawing>
          <wp:inline distT="0" distB="0" distL="0" distR="0" wp14:anchorId="6D87A4D1" wp14:editId="07CAE93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15494A0" w14:textId="77777777" w:rsidR="00CF773E" w:rsidRPr="00D61921" w:rsidRDefault="00CF773E" w:rsidP="0011423D">
      <w:pPr>
        <w:jc w:val="center"/>
        <w:rPr>
          <w:rFonts w:ascii="Arial" w:eastAsia="Times New Roman" w:hAnsi="Arial" w:cs="Arial"/>
          <w:sz w:val="22"/>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73D0E" w:rsidRPr="00D61921" w14:paraId="065C490C" w14:textId="77777777" w:rsidTr="001913E3">
        <w:trPr>
          <w:trHeight w:val="315"/>
        </w:trPr>
        <w:tc>
          <w:tcPr>
            <w:tcW w:w="812" w:type="dxa"/>
            <w:vAlign w:val="center"/>
          </w:tcPr>
          <w:bookmarkEnd w:id="0"/>
          <w:p w14:paraId="1B73AA25" w14:textId="6048282D"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Elaboró:</w:t>
            </w:r>
          </w:p>
        </w:tc>
        <w:tc>
          <w:tcPr>
            <w:tcW w:w="4413" w:type="dxa"/>
            <w:tcBorders>
              <w:bottom w:val="dotted" w:sz="4" w:space="0" w:color="7F7F7F" w:themeColor="text1" w:themeTint="80"/>
            </w:tcBorders>
            <w:vAlign w:val="center"/>
          </w:tcPr>
          <w:p w14:paraId="3F530078" w14:textId="01AADD82" w:rsidR="009A6A7A" w:rsidRPr="00D61921" w:rsidRDefault="00614B27"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 xml:space="preserve">Omar Germán Mejía Olmos </w:t>
            </w:r>
          </w:p>
          <w:p w14:paraId="6E45C9D1"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Contratista – Subdirección de Gestión Contractual</w:t>
            </w:r>
          </w:p>
        </w:tc>
      </w:tr>
      <w:tr w:rsidR="00873D0E" w:rsidRPr="00D61921" w14:paraId="2A93DE79" w14:textId="77777777" w:rsidTr="001913E3">
        <w:trPr>
          <w:trHeight w:val="330"/>
        </w:trPr>
        <w:tc>
          <w:tcPr>
            <w:tcW w:w="812" w:type="dxa"/>
            <w:vAlign w:val="center"/>
          </w:tcPr>
          <w:p w14:paraId="1D6AF70D"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B946F36"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Fabián Gonzalo Marín Cortés</w:t>
            </w:r>
          </w:p>
          <w:p w14:paraId="787B3B03"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Subdirector de Gestión Contractual</w:t>
            </w:r>
          </w:p>
        </w:tc>
      </w:tr>
      <w:tr w:rsidR="009A6A7A" w:rsidRPr="00D61921" w14:paraId="07F1531D" w14:textId="77777777" w:rsidTr="001913E3">
        <w:trPr>
          <w:trHeight w:val="300"/>
        </w:trPr>
        <w:tc>
          <w:tcPr>
            <w:tcW w:w="812" w:type="dxa"/>
            <w:vAlign w:val="center"/>
          </w:tcPr>
          <w:p w14:paraId="05CA8F84"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08056"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Fabián Gonzalo Marín Cortés</w:t>
            </w:r>
          </w:p>
          <w:p w14:paraId="137844BA" w14:textId="77777777" w:rsidR="009A6A7A" w:rsidRPr="00D61921" w:rsidRDefault="009A6A7A" w:rsidP="001913E3">
            <w:pPr>
              <w:rPr>
                <w:rFonts w:ascii="Arial" w:eastAsia="Times New Roman" w:hAnsi="Arial" w:cs="Arial"/>
                <w:sz w:val="16"/>
                <w:szCs w:val="16"/>
                <w:lang w:val="es-CO" w:eastAsia="es-ES"/>
              </w:rPr>
            </w:pPr>
            <w:r w:rsidRPr="00D61921">
              <w:rPr>
                <w:rFonts w:ascii="Arial" w:eastAsia="Times New Roman" w:hAnsi="Arial" w:cs="Arial"/>
                <w:sz w:val="16"/>
                <w:szCs w:val="16"/>
                <w:lang w:val="es-CO" w:eastAsia="es-ES"/>
              </w:rPr>
              <w:t>Subdirector de Gestión Contractual</w:t>
            </w:r>
          </w:p>
        </w:tc>
      </w:tr>
    </w:tbl>
    <w:p w14:paraId="7EBF297E" w14:textId="54C4C2D8" w:rsidR="007B0854" w:rsidRPr="00D61921" w:rsidRDefault="007B0854" w:rsidP="007B0854">
      <w:pPr>
        <w:rPr>
          <w:rFonts w:ascii="Arial" w:eastAsia="Times New Roman" w:hAnsi="Arial" w:cs="Arial"/>
          <w:sz w:val="22"/>
          <w:lang w:val="es-CO" w:eastAsia="es-CO"/>
        </w:rPr>
      </w:pPr>
    </w:p>
    <w:sectPr w:rsidR="007B0854" w:rsidRPr="00D61921" w:rsidSect="00CD6F7F">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EB069" w14:textId="77777777" w:rsidR="00F96499" w:rsidRDefault="00F96499">
      <w:r>
        <w:separator/>
      </w:r>
    </w:p>
  </w:endnote>
  <w:endnote w:type="continuationSeparator" w:id="0">
    <w:p w14:paraId="4F9B30F0" w14:textId="77777777" w:rsidR="00F96499" w:rsidRDefault="00F9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84F5" w14:textId="77777777" w:rsidR="001913E3" w:rsidRDefault="001913E3" w:rsidP="00CF4B11">
    <w:pPr>
      <w:pStyle w:val="Sinespaciado"/>
      <w:jc w:val="right"/>
      <w:rPr>
        <w:rFonts w:ascii="Arial" w:hAnsi="Arial" w:cs="Arial"/>
        <w:sz w:val="18"/>
        <w:szCs w:val="18"/>
      </w:rPr>
    </w:pPr>
  </w:p>
  <w:p w14:paraId="3A7E92EE" w14:textId="34467979" w:rsidR="001913E3" w:rsidRPr="008217B7" w:rsidRDefault="001913E3" w:rsidP="00CF4B1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D6C4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D6C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4D78BD4" w14:textId="77777777" w:rsidR="001913E3" w:rsidRDefault="001913E3" w:rsidP="00CF4B11">
    <w:pPr>
      <w:pStyle w:val="Piedepgina"/>
      <w:jc w:val="center"/>
      <w:rPr>
        <w:lang w:val="es-ES"/>
      </w:rPr>
    </w:pPr>
    <w:r>
      <w:rPr>
        <w:noProof/>
        <w:lang w:val="en-US"/>
      </w:rPr>
      <w:drawing>
        <wp:inline distT="0" distB="0" distL="0" distR="0" wp14:anchorId="6E2FD469" wp14:editId="3BF4B36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C1C15E9" w14:textId="77777777" w:rsidR="001913E3" w:rsidRDefault="001913E3" w:rsidP="00CF4B11">
    <w:pPr>
      <w:pStyle w:val="Piedepgina"/>
      <w:jc w:val="center"/>
      <w:rPr>
        <w:lang w:val="es-ES"/>
      </w:rPr>
    </w:pPr>
  </w:p>
  <w:p w14:paraId="5C8179F0" w14:textId="77777777" w:rsidR="001913E3" w:rsidRPr="007B0854" w:rsidRDefault="001913E3" w:rsidP="00CF4B1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7A802" w14:textId="77777777" w:rsidR="00F96499" w:rsidRDefault="00F96499">
      <w:r>
        <w:separator/>
      </w:r>
    </w:p>
  </w:footnote>
  <w:footnote w:type="continuationSeparator" w:id="0">
    <w:p w14:paraId="497568A1" w14:textId="77777777" w:rsidR="00F96499" w:rsidRDefault="00F96499">
      <w:r>
        <w:continuationSeparator/>
      </w:r>
    </w:p>
  </w:footnote>
  <w:footnote w:id="1">
    <w:p w14:paraId="3717D79C" w14:textId="25B2839F" w:rsidR="001913E3" w:rsidRPr="00067DF9" w:rsidRDefault="001913E3" w:rsidP="003E33F6">
      <w:pPr>
        <w:pStyle w:val="Textonotapie"/>
        <w:ind w:firstLine="708"/>
        <w:jc w:val="both"/>
        <w:rPr>
          <w:rFonts w:ascii="Arial" w:hAnsi="Arial" w:cs="Arial"/>
          <w:color w:val="161616" w:themeColor="background1" w:themeShade="1A"/>
          <w:sz w:val="19"/>
          <w:szCs w:val="19"/>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Corte Constitucional. Sentencia C-563 de 1998. M.P. Antonio Barrera Carbonell y Carlos Gaviria Diaz.</w:t>
      </w:r>
    </w:p>
    <w:p w14:paraId="4C702F05" w14:textId="77777777" w:rsidR="001913E3" w:rsidRPr="00067DF9" w:rsidRDefault="001913E3" w:rsidP="003E33F6">
      <w:pPr>
        <w:pStyle w:val="Textonotapie"/>
        <w:ind w:firstLine="708"/>
        <w:jc w:val="both"/>
        <w:rPr>
          <w:rFonts w:ascii="Arial" w:hAnsi="Arial" w:cs="Arial"/>
          <w:color w:val="161616" w:themeColor="background1" w:themeShade="1A"/>
          <w:sz w:val="19"/>
          <w:szCs w:val="19"/>
          <w:lang w:val="es-CO"/>
        </w:rPr>
      </w:pPr>
    </w:p>
  </w:footnote>
  <w:footnote w:id="2">
    <w:p w14:paraId="301A94C6" w14:textId="7CFECDF6" w:rsidR="001913E3" w:rsidRPr="00067DF9" w:rsidRDefault="001913E3" w:rsidP="003E33F6">
      <w:pPr>
        <w:pStyle w:val="Textonotapie"/>
        <w:ind w:firstLine="708"/>
        <w:jc w:val="both"/>
        <w:rPr>
          <w:rFonts w:ascii="Arial" w:hAnsi="Arial" w:cs="Arial"/>
          <w:color w:val="161616" w:themeColor="background1" w:themeShade="1A"/>
          <w:sz w:val="19"/>
          <w:szCs w:val="19"/>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w:t>
      </w:r>
      <w:r w:rsidR="00DF658A" w:rsidRPr="00067DF9">
        <w:rPr>
          <w:rFonts w:ascii="Arial" w:hAnsi="Arial" w:cs="Arial"/>
          <w:color w:val="161616" w:themeColor="background1" w:themeShade="1A"/>
          <w:sz w:val="19"/>
          <w:szCs w:val="19"/>
        </w:rPr>
        <w:t xml:space="preserve">La </w:t>
      </w:r>
      <w:r w:rsidRPr="00067DF9">
        <w:rPr>
          <w:rFonts w:ascii="Arial" w:hAnsi="Arial" w:cs="Arial"/>
          <w:color w:val="161616" w:themeColor="background1" w:themeShade="1A"/>
          <w:sz w:val="19"/>
          <w:szCs w:val="19"/>
        </w:rPr>
        <w:t xml:space="preserve">misma sentencia expresó: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14:paraId="1979FC5F" w14:textId="2E0B94D8" w:rsidR="001913E3" w:rsidRPr="00067DF9" w:rsidRDefault="001913E3" w:rsidP="003E33F6">
      <w:pPr>
        <w:pStyle w:val="Textonotapie"/>
        <w:ind w:firstLine="708"/>
        <w:jc w:val="both"/>
        <w:rPr>
          <w:rFonts w:ascii="Arial" w:hAnsi="Arial" w:cs="Arial"/>
          <w:color w:val="161616" w:themeColor="background1" w:themeShade="1A"/>
          <w:sz w:val="19"/>
          <w:szCs w:val="19"/>
        </w:rPr>
      </w:pPr>
      <w:r w:rsidRPr="00067DF9">
        <w:rPr>
          <w:rFonts w:ascii="Arial" w:hAnsi="Arial" w:cs="Arial"/>
          <w:color w:val="161616" w:themeColor="background1" w:themeShade="1A"/>
          <w:sz w:val="19"/>
          <w:szCs w:val="19"/>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jurídica,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14:paraId="7442F7FA" w14:textId="6A5CCDA1" w:rsidR="001913E3" w:rsidRPr="00067DF9" w:rsidRDefault="001913E3" w:rsidP="003E33F6">
      <w:pPr>
        <w:pStyle w:val="Textonotapie"/>
        <w:ind w:firstLine="708"/>
        <w:jc w:val="both"/>
        <w:rPr>
          <w:rFonts w:ascii="Arial" w:hAnsi="Arial" w:cs="Arial"/>
          <w:color w:val="161616" w:themeColor="background1" w:themeShade="1A"/>
          <w:sz w:val="19"/>
          <w:szCs w:val="19"/>
        </w:rPr>
      </w:pPr>
      <w:r w:rsidRPr="00067DF9">
        <w:rPr>
          <w:rFonts w:ascii="Arial" w:hAnsi="Arial" w:cs="Arial"/>
          <w:color w:val="161616" w:themeColor="background1" w:themeShade="1A"/>
          <w:sz w:val="19"/>
          <w:szCs w:val="19"/>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05499007" w14:textId="77777777" w:rsidR="001913E3" w:rsidRPr="00067DF9" w:rsidRDefault="001913E3" w:rsidP="003E33F6">
      <w:pPr>
        <w:pStyle w:val="Textonotapie"/>
        <w:ind w:firstLine="708"/>
        <w:jc w:val="both"/>
        <w:rPr>
          <w:rFonts w:ascii="Arial" w:hAnsi="Arial" w:cs="Arial"/>
          <w:color w:val="161616" w:themeColor="background1" w:themeShade="1A"/>
          <w:sz w:val="19"/>
          <w:szCs w:val="19"/>
          <w:lang w:val="es-CO"/>
        </w:rPr>
      </w:pPr>
    </w:p>
  </w:footnote>
  <w:footnote w:id="3">
    <w:p w14:paraId="0FCFA496" w14:textId="33A76A7A" w:rsidR="001913E3" w:rsidRPr="00067DF9" w:rsidRDefault="001913E3" w:rsidP="003E33F6">
      <w:pPr>
        <w:pStyle w:val="Textonotapie"/>
        <w:ind w:firstLine="708"/>
        <w:jc w:val="both"/>
        <w:rPr>
          <w:rFonts w:ascii="Arial" w:hAnsi="Arial" w:cs="Arial"/>
          <w:color w:val="161616" w:themeColor="background1" w:themeShade="1A"/>
          <w:sz w:val="19"/>
          <w:szCs w:val="19"/>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 (Consejo de Estado. Sala de Consulta y Servicio Civil. Concepto del 2 de diciembre de 1996. Exp. 12.748. M. P. Juan de Dios Montés Hernández). En sentido similar, en sentencia del 16 de agosto de 2012 el Consejo de Estado expresó: «La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 (Consejo de Estado. Sección Tercera. Sentencia del 16 de agosto de 2012. Exp. 22.822).</w:t>
      </w:r>
    </w:p>
  </w:footnote>
  <w:footnote w:id="4">
    <w:p w14:paraId="165689C6" w14:textId="52B43B5A" w:rsidR="001913E3" w:rsidRDefault="001913E3" w:rsidP="003E33F6">
      <w:pPr>
        <w:pStyle w:val="Textonotapie"/>
        <w:ind w:firstLine="708"/>
        <w:jc w:val="both"/>
        <w:rPr>
          <w:rFonts w:ascii="Arial" w:hAnsi="Arial" w:cs="Arial"/>
          <w:color w:val="161616" w:themeColor="background1" w:themeShade="1A"/>
          <w:sz w:val="19"/>
          <w:szCs w:val="19"/>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Congreso de la República. Gaceta 740 del 20 de septiembre de 2018. p. 28 y ss.</w:t>
      </w:r>
    </w:p>
    <w:p w14:paraId="6755D9B0" w14:textId="77777777" w:rsidR="00D75B6E" w:rsidRPr="00067DF9" w:rsidRDefault="00D75B6E" w:rsidP="003E33F6">
      <w:pPr>
        <w:pStyle w:val="Textonotapie"/>
        <w:ind w:firstLine="708"/>
        <w:jc w:val="both"/>
        <w:rPr>
          <w:rFonts w:ascii="Arial" w:hAnsi="Arial" w:cs="Arial"/>
          <w:color w:val="161616" w:themeColor="background1" w:themeShade="1A"/>
          <w:sz w:val="19"/>
          <w:szCs w:val="19"/>
          <w:lang w:val="es-CO"/>
        </w:rPr>
      </w:pPr>
    </w:p>
  </w:footnote>
  <w:footnote w:id="5">
    <w:p w14:paraId="400D416A" w14:textId="69B99795" w:rsidR="001913E3" w:rsidRPr="00067DF9" w:rsidRDefault="001913E3" w:rsidP="006002A6">
      <w:pPr>
        <w:pStyle w:val="Textonotapie"/>
        <w:tabs>
          <w:tab w:val="left" w:pos="5245"/>
        </w:tabs>
        <w:ind w:firstLine="708"/>
        <w:jc w:val="both"/>
        <w:rPr>
          <w:rFonts w:ascii="Arial" w:hAnsi="Arial" w:cs="Arial"/>
          <w:color w:val="161616" w:themeColor="background1" w:themeShade="1A"/>
          <w:sz w:val="19"/>
          <w:szCs w:val="19"/>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Congreso de la República. Gaceta 1098 del 7 de diciembre de 2018. p. 24 y ss.</w:t>
      </w:r>
    </w:p>
    <w:p w14:paraId="0FF920A6" w14:textId="77777777" w:rsidR="00267E5C" w:rsidRPr="00067DF9" w:rsidRDefault="00267E5C" w:rsidP="003E33F6">
      <w:pPr>
        <w:pStyle w:val="Textonotapie"/>
        <w:ind w:firstLine="708"/>
        <w:jc w:val="both"/>
        <w:rPr>
          <w:rFonts w:ascii="Arial" w:hAnsi="Arial" w:cs="Arial"/>
          <w:color w:val="161616" w:themeColor="background1" w:themeShade="1A"/>
          <w:sz w:val="19"/>
          <w:szCs w:val="19"/>
          <w:lang w:val="es-CO"/>
        </w:rPr>
      </w:pPr>
    </w:p>
  </w:footnote>
  <w:footnote w:id="6">
    <w:p w14:paraId="345F567F" w14:textId="2DC018F2" w:rsidR="001913E3" w:rsidRPr="00067DF9" w:rsidRDefault="001913E3" w:rsidP="003E33F6">
      <w:pPr>
        <w:pStyle w:val="Textonotapie"/>
        <w:ind w:firstLine="708"/>
        <w:jc w:val="both"/>
        <w:rPr>
          <w:rFonts w:ascii="Arial" w:hAnsi="Arial" w:cs="Arial"/>
          <w:color w:val="161616" w:themeColor="background1" w:themeShade="1A"/>
          <w:sz w:val="19"/>
          <w:szCs w:val="19"/>
          <w:lang w:val="es-CO"/>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w:t>
      </w:r>
      <w:r w:rsidR="00E61377" w:rsidRPr="00067DF9">
        <w:rPr>
          <w:rFonts w:ascii="Arial" w:hAnsi="Arial" w:cs="Arial"/>
          <w:color w:val="161616" w:themeColor="background1" w:themeShade="1A"/>
          <w:sz w:val="19"/>
          <w:szCs w:val="19"/>
        </w:rPr>
        <w:t xml:space="preserve">En todo caso se aclara que el título de la ley acogido fue el propuesto </w:t>
      </w:r>
      <w:r w:rsidR="008144C9" w:rsidRPr="00067DF9">
        <w:rPr>
          <w:rFonts w:ascii="Arial" w:hAnsi="Arial" w:cs="Arial"/>
          <w:color w:val="161616" w:themeColor="background1" w:themeShade="1A"/>
          <w:sz w:val="19"/>
          <w:szCs w:val="19"/>
        </w:rPr>
        <w:t xml:space="preserve">por </w:t>
      </w:r>
      <w:r w:rsidR="00E61377" w:rsidRPr="00067DF9">
        <w:rPr>
          <w:rFonts w:ascii="Arial" w:hAnsi="Arial" w:cs="Arial"/>
          <w:color w:val="161616" w:themeColor="background1" w:themeShade="1A"/>
          <w:sz w:val="19"/>
          <w:szCs w:val="19"/>
        </w:rPr>
        <w:t>el Senado. (Congreso de la República. Gaceta 1211 del 11 de diciembre de 2019. p. 2</w:t>
      </w:r>
      <w:r w:rsidR="008144C9" w:rsidRPr="00067DF9">
        <w:rPr>
          <w:rFonts w:ascii="Arial" w:hAnsi="Arial" w:cs="Arial"/>
          <w:color w:val="161616" w:themeColor="background1" w:themeShade="1A"/>
          <w:sz w:val="19"/>
          <w:szCs w:val="19"/>
        </w:rPr>
        <w:t>)</w:t>
      </w:r>
      <w:r w:rsidR="00E61377" w:rsidRPr="00067DF9">
        <w:rPr>
          <w:rFonts w:ascii="Arial" w:hAnsi="Arial" w:cs="Arial"/>
          <w:color w:val="161616" w:themeColor="background1" w:themeShade="1A"/>
          <w:sz w:val="19"/>
          <w:szCs w:val="19"/>
        </w:rPr>
        <w:t>.</w:t>
      </w:r>
    </w:p>
  </w:footnote>
  <w:footnote w:id="7">
    <w:p w14:paraId="03DB7AF7" w14:textId="25E4E6B5" w:rsidR="000036A8" w:rsidRPr="00067DF9" w:rsidRDefault="000036A8" w:rsidP="003E33F6">
      <w:pPr>
        <w:pStyle w:val="Textonotapie"/>
        <w:ind w:firstLine="708"/>
        <w:jc w:val="both"/>
        <w:rPr>
          <w:rFonts w:ascii="Arial" w:hAnsi="Arial" w:cs="Arial"/>
          <w:color w:val="161616" w:themeColor="background1" w:themeShade="1A"/>
          <w:sz w:val="19"/>
          <w:szCs w:val="19"/>
          <w:lang w:val="es-CO"/>
        </w:rPr>
      </w:pPr>
      <w:r w:rsidRPr="00067DF9">
        <w:rPr>
          <w:rStyle w:val="Refdenotaalpie"/>
          <w:rFonts w:ascii="Arial" w:hAnsi="Arial" w:cs="Arial"/>
          <w:color w:val="161616" w:themeColor="background1" w:themeShade="1A"/>
          <w:sz w:val="19"/>
          <w:szCs w:val="19"/>
        </w:rPr>
        <w:footnoteRef/>
      </w:r>
      <w:r w:rsidRPr="00067DF9">
        <w:rPr>
          <w:rFonts w:ascii="Arial" w:hAnsi="Arial" w:cs="Arial"/>
          <w:color w:val="161616" w:themeColor="background1" w:themeShade="1A"/>
          <w:sz w:val="19"/>
          <w:szCs w:val="19"/>
        </w:rPr>
        <w:t xml:space="preserve"> DÁVILA VINUEZA. Luis Guillermo. Régimen Jurídico de la contratación estatal. </w:t>
      </w:r>
      <w:r w:rsidR="00AE2DE1" w:rsidRPr="00067DF9">
        <w:rPr>
          <w:rFonts w:ascii="Arial" w:hAnsi="Arial" w:cs="Arial"/>
          <w:color w:val="161616" w:themeColor="background1" w:themeShade="1A"/>
          <w:sz w:val="19"/>
          <w:szCs w:val="19"/>
        </w:rPr>
        <w:t>Terc</w:t>
      </w:r>
      <w:r w:rsidR="00AB337E" w:rsidRPr="00067DF9">
        <w:rPr>
          <w:rFonts w:ascii="Arial" w:hAnsi="Arial" w:cs="Arial"/>
          <w:color w:val="161616" w:themeColor="background1" w:themeShade="1A"/>
          <w:sz w:val="19"/>
          <w:szCs w:val="19"/>
        </w:rPr>
        <w:t>e</w:t>
      </w:r>
      <w:r w:rsidR="00AE2DE1" w:rsidRPr="00067DF9">
        <w:rPr>
          <w:rFonts w:ascii="Arial" w:hAnsi="Arial" w:cs="Arial"/>
          <w:color w:val="161616" w:themeColor="background1" w:themeShade="1A"/>
          <w:sz w:val="19"/>
          <w:szCs w:val="19"/>
        </w:rPr>
        <w:t>ra edición. Bogot</w:t>
      </w:r>
      <w:r w:rsidR="00AD169E" w:rsidRPr="00067DF9">
        <w:rPr>
          <w:rFonts w:ascii="Arial" w:hAnsi="Arial" w:cs="Arial"/>
          <w:color w:val="161616" w:themeColor="background1" w:themeShade="1A"/>
          <w:sz w:val="19"/>
          <w:szCs w:val="19"/>
        </w:rPr>
        <w:t>á</w:t>
      </w:r>
      <w:r w:rsidR="00AE2DE1" w:rsidRPr="00067DF9">
        <w:rPr>
          <w:rFonts w:ascii="Arial" w:hAnsi="Arial" w:cs="Arial"/>
          <w:color w:val="161616" w:themeColor="background1" w:themeShade="1A"/>
          <w:sz w:val="19"/>
          <w:szCs w:val="19"/>
        </w:rPr>
        <w:t>: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913E3" w:rsidRDefault="001913E3">
    <w:pPr>
      <w:pStyle w:val="Encabezado"/>
    </w:pPr>
    <w:r>
      <w:rPr>
        <w:noProof/>
        <w:lang w:val="en-US"/>
      </w:rPr>
      <w:drawing>
        <wp:anchor distT="0" distB="0" distL="114300" distR="114300" simplePos="0" relativeHeight="251659264" behindDoc="1" locked="0" layoutInCell="1" allowOverlap="1" wp14:anchorId="1A706351" wp14:editId="6F413B2D">
          <wp:simplePos x="0" y="0"/>
          <wp:positionH relativeFrom="margin">
            <wp:align>right</wp:align>
          </wp:positionH>
          <wp:positionV relativeFrom="paragraph">
            <wp:posOffset>454660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6A2E62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05B78"/>
    <w:multiLevelType w:val="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9FE7C8F"/>
    <w:multiLevelType w:val="hybridMultilevel"/>
    <w:tmpl w:val="5B648D2C"/>
    <w:lvl w:ilvl="0" w:tplc="AB8482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6A8"/>
    <w:rsid w:val="00013FBB"/>
    <w:rsid w:val="000417AD"/>
    <w:rsid w:val="00043999"/>
    <w:rsid w:val="00050422"/>
    <w:rsid w:val="00061464"/>
    <w:rsid w:val="000661EF"/>
    <w:rsid w:val="000675F6"/>
    <w:rsid w:val="00067DF9"/>
    <w:rsid w:val="000942EB"/>
    <w:rsid w:val="000A3102"/>
    <w:rsid w:val="000B103F"/>
    <w:rsid w:val="000C29B8"/>
    <w:rsid w:val="000E3645"/>
    <w:rsid w:val="000E3679"/>
    <w:rsid w:val="000F14E8"/>
    <w:rsid w:val="000F321C"/>
    <w:rsid w:val="000F5C20"/>
    <w:rsid w:val="00103915"/>
    <w:rsid w:val="0011423D"/>
    <w:rsid w:val="00121C71"/>
    <w:rsid w:val="00122B23"/>
    <w:rsid w:val="00125A9C"/>
    <w:rsid w:val="00126FA4"/>
    <w:rsid w:val="00137215"/>
    <w:rsid w:val="00137FFA"/>
    <w:rsid w:val="001428E9"/>
    <w:rsid w:val="00146488"/>
    <w:rsid w:val="00162882"/>
    <w:rsid w:val="001659B6"/>
    <w:rsid w:val="00165FA9"/>
    <w:rsid w:val="0017712B"/>
    <w:rsid w:val="00177C61"/>
    <w:rsid w:val="001913E3"/>
    <w:rsid w:val="00192A10"/>
    <w:rsid w:val="001A4E6A"/>
    <w:rsid w:val="001B72FE"/>
    <w:rsid w:val="001C167B"/>
    <w:rsid w:val="001C2A09"/>
    <w:rsid w:val="00201E9E"/>
    <w:rsid w:val="00224353"/>
    <w:rsid w:val="00227285"/>
    <w:rsid w:val="002327D7"/>
    <w:rsid w:val="00234B84"/>
    <w:rsid w:val="002640BC"/>
    <w:rsid w:val="00265160"/>
    <w:rsid w:val="00267E5C"/>
    <w:rsid w:val="002A0E02"/>
    <w:rsid w:val="002B657B"/>
    <w:rsid w:val="002C3966"/>
    <w:rsid w:val="002C54BC"/>
    <w:rsid w:val="002E1917"/>
    <w:rsid w:val="002E38EA"/>
    <w:rsid w:val="002F7E13"/>
    <w:rsid w:val="003033BA"/>
    <w:rsid w:val="00315E58"/>
    <w:rsid w:val="00322937"/>
    <w:rsid w:val="00326997"/>
    <w:rsid w:val="00331A69"/>
    <w:rsid w:val="00344907"/>
    <w:rsid w:val="0034680A"/>
    <w:rsid w:val="0035013E"/>
    <w:rsid w:val="003655FF"/>
    <w:rsid w:val="00371D9E"/>
    <w:rsid w:val="00386456"/>
    <w:rsid w:val="003A148E"/>
    <w:rsid w:val="003A462A"/>
    <w:rsid w:val="003A581E"/>
    <w:rsid w:val="003B1CB8"/>
    <w:rsid w:val="003B3179"/>
    <w:rsid w:val="003C208F"/>
    <w:rsid w:val="003D3F6B"/>
    <w:rsid w:val="003D5E59"/>
    <w:rsid w:val="003D7868"/>
    <w:rsid w:val="003E33F6"/>
    <w:rsid w:val="00400B75"/>
    <w:rsid w:val="00414E21"/>
    <w:rsid w:val="00427ED8"/>
    <w:rsid w:val="004422D6"/>
    <w:rsid w:val="0044301C"/>
    <w:rsid w:val="00451B80"/>
    <w:rsid w:val="00457A75"/>
    <w:rsid w:val="00481B16"/>
    <w:rsid w:val="00482D27"/>
    <w:rsid w:val="0049364B"/>
    <w:rsid w:val="004A34D2"/>
    <w:rsid w:val="004C0A2C"/>
    <w:rsid w:val="004C119B"/>
    <w:rsid w:val="004D5CBF"/>
    <w:rsid w:val="004F3119"/>
    <w:rsid w:val="0051074C"/>
    <w:rsid w:val="00513AF2"/>
    <w:rsid w:val="0053054B"/>
    <w:rsid w:val="00532178"/>
    <w:rsid w:val="005331CF"/>
    <w:rsid w:val="0054384C"/>
    <w:rsid w:val="0054413A"/>
    <w:rsid w:val="005556ED"/>
    <w:rsid w:val="005564CA"/>
    <w:rsid w:val="00573D2A"/>
    <w:rsid w:val="005778C7"/>
    <w:rsid w:val="00585E81"/>
    <w:rsid w:val="005B1DA9"/>
    <w:rsid w:val="005D5DB2"/>
    <w:rsid w:val="005F330E"/>
    <w:rsid w:val="005F5ABD"/>
    <w:rsid w:val="006002A6"/>
    <w:rsid w:val="006064EC"/>
    <w:rsid w:val="00614B27"/>
    <w:rsid w:val="00622D34"/>
    <w:rsid w:val="00625A87"/>
    <w:rsid w:val="006328C4"/>
    <w:rsid w:val="006331D5"/>
    <w:rsid w:val="00634FA9"/>
    <w:rsid w:val="00647CE7"/>
    <w:rsid w:val="00655371"/>
    <w:rsid w:val="00672E46"/>
    <w:rsid w:val="006757DC"/>
    <w:rsid w:val="00697665"/>
    <w:rsid w:val="006A7FD0"/>
    <w:rsid w:val="006B6BA7"/>
    <w:rsid w:val="006D6823"/>
    <w:rsid w:val="006D7687"/>
    <w:rsid w:val="006E0572"/>
    <w:rsid w:val="006E4256"/>
    <w:rsid w:val="006E448A"/>
    <w:rsid w:val="006F667A"/>
    <w:rsid w:val="00705631"/>
    <w:rsid w:val="00714E1B"/>
    <w:rsid w:val="00721851"/>
    <w:rsid w:val="00741F98"/>
    <w:rsid w:val="00742DD2"/>
    <w:rsid w:val="007438EF"/>
    <w:rsid w:val="0075647A"/>
    <w:rsid w:val="007634AD"/>
    <w:rsid w:val="0076716C"/>
    <w:rsid w:val="0078122E"/>
    <w:rsid w:val="007A2BA9"/>
    <w:rsid w:val="007B0854"/>
    <w:rsid w:val="007B0B43"/>
    <w:rsid w:val="007B18C0"/>
    <w:rsid w:val="007C1571"/>
    <w:rsid w:val="007D22E5"/>
    <w:rsid w:val="007D4AC9"/>
    <w:rsid w:val="007D7AD2"/>
    <w:rsid w:val="007E704D"/>
    <w:rsid w:val="007F216D"/>
    <w:rsid w:val="007F72CB"/>
    <w:rsid w:val="008063DC"/>
    <w:rsid w:val="00812707"/>
    <w:rsid w:val="008144C9"/>
    <w:rsid w:val="0083119B"/>
    <w:rsid w:val="00836EAB"/>
    <w:rsid w:val="008445C0"/>
    <w:rsid w:val="0085092D"/>
    <w:rsid w:val="008524B7"/>
    <w:rsid w:val="008563B0"/>
    <w:rsid w:val="0087048F"/>
    <w:rsid w:val="00873D0E"/>
    <w:rsid w:val="00877591"/>
    <w:rsid w:val="0089370A"/>
    <w:rsid w:val="008954C8"/>
    <w:rsid w:val="0089774F"/>
    <w:rsid w:val="008A065B"/>
    <w:rsid w:val="008C4554"/>
    <w:rsid w:val="008D526E"/>
    <w:rsid w:val="008E1C15"/>
    <w:rsid w:val="008F3A8E"/>
    <w:rsid w:val="009047C5"/>
    <w:rsid w:val="00907CDD"/>
    <w:rsid w:val="00912287"/>
    <w:rsid w:val="00915817"/>
    <w:rsid w:val="0095385A"/>
    <w:rsid w:val="0095613A"/>
    <w:rsid w:val="00962798"/>
    <w:rsid w:val="00967435"/>
    <w:rsid w:val="00984EBB"/>
    <w:rsid w:val="009853A6"/>
    <w:rsid w:val="0098631A"/>
    <w:rsid w:val="00991855"/>
    <w:rsid w:val="00996F07"/>
    <w:rsid w:val="009A6A7A"/>
    <w:rsid w:val="009B3C6B"/>
    <w:rsid w:val="009D2478"/>
    <w:rsid w:val="009D41DD"/>
    <w:rsid w:val="009E0C6F"/>
    <w:rsid w:val="009E59D2"/>
    <w:rsid w:val="009F2A2F"/>
    <w:rsid w:val="00A01435"/>
    <w:rsid w:val="00A24560"/>
    <w:rsid w:val="00A34538"/>
    <w:rsid w:val="00A46BC3"/>
    <w:rsid w:val="00A53B63"/>
    <w:rsid w:val="00A56AC1"/>
    <w:rsid w:val="00A61C3B"/>
    <w:rsid w:val="00A6400E"/>
    <w:rsid w:val="00A666C9"/>
    <w:rsid w:val="00A734DB"/>
    <w:rsid w:val="00A90F9A"/>
    <w:rsid w:val="00A912EA"/>
    <w:rsid w:val="00A91D8B"/>
    <w:rsid w:val="00AA1526"/>
    <w:rsid w:val="00AA442B"/>
    <w:rsid w:val="00AA69AF"/>
    <w:rsid w:val="00AB337E"/>
    <w:rsid w:val="00AC22DF"/>
    <w:rsid w:val="00AC3F7D"/>
    <w:rsid w:val="00AD169E"/>
    <w:rsid w:val="00AD4ED1"/>
    <w:rsid w:val="00AD6CCF"/>
    <w:rsid w:val="00AE2DE1"/>
    <w:rsid w:val="00AE3C2D"/>
    <w:rsid w:val="00AF0B66"/>
    <w:rsid w:val="00B031E8"/>
    <w:rsid w:val="00B22E22"/>
    <w:rsid w:val="00B310D2"/>
    <w:rsid w:val="00B34A7D"/>
    <w:rsid w:val="00B40BE9"/>
    <w:rsid w:val="00B420BB"/>
    <w:rsid w:val="00B46CEB"/>
    <w:rsid w:val="00B525CB"/>
    <w:rsid w:val="00B63CB2"/>
    <w:rsid w:val="00B7398A"/>
    <w:rsid w:val="00B8079C"/>
    <w:rsid w:val="00B81D26"/>
    <w:rsid w:val="00BA263D"/>
    <w:rsid w:val="00BA70CC"/>
    <w:rsid w:val="00BC5335"/>
    <w:rsid w:val="00BD78FE"/>
    <w:rsid w:val="00BE49B5"/>
    <w:rsid w:val="00C04C5C"/>
    <w:rsid w:val="00C32A4F"/>
    <w:rsid w:val="00C35251"/>
    <w:rsid w:val="00C36685"/>
    <w:rsid w:val="00C45229"/>
    <w:rsid w:val="00C46D73"/>
    <w:rsid w:val="00C539DC"/>
    <w:rsid w:val="00C64F99"/>
    <w:rsid w:val="00C810F8"/>
    <w:rsid w:val="00C95456"/>
    <w:rsid w:val="00C97480"/>
    <w:rsid w:val="00CA4F8E"/>
    <w:rsid w:val="00CB5987"/>
    <w:rsid w:val="00CC00CD"/>
    <w:rsid w:val="00CD6F7F"/>
    <w:rsid w:val="00CF3D72"/>
    <w:rsid w:val="00CF4B11"/>
    <w:rsid w:val="00CF5BD1"/>
    <w:rsid w:val="00CF5D6A"/>
    <w:rsid w:val="00CF773E"/>
    <w:rsid w:val="00D06384"/>
    <w:rsid w:val="00D14EEC"/>
    <w:rsid w:val="00D16E39"/>
    <w:rsid w:val="00D201AB"/>
    <w:rsid w:val="00D237F3"/>
    <w:rsid w:val="00D31E8C"/>
    <w:rsid w:val="00D35F82"/>
    <w:rsid w:val="00D53332"/>
    <w:rsid w:val="00D535FD"/>
    <w:rsid w:val="00D61921"/>
    <w:rsid w:val="00D62035"/>
    <w:rsid w:val="00D72E9D"/>
    <w:rsid w:val="00D75B6E"/>
    <w:rsid w:val="00D81422"/>
    <w:rsid w:val="00D82CE5"/>
    <w:rsid w:val="00D862D6"/>
    <w:rsid w:val="00D964D4"/>
    <w:rsid w:val="00D976D1"/>
    <w:rsid w:val="00DA5AB1"/>
    <w:rsid w:val="00DA5F58"/>
    <w:rsid w:val="00DB01DB"/>
    <w:rsid w:val="00DB3264"/>
    <w:rsid w:val="00DB6213"/>
    <w:rsid w:val="00DC62E5"/>
    <w:rsid w:val="00DD6C40"/>
    <w:rsid w:val="00DD735D"/>
    <w:rsid w:val="00DE3119"/>
    <w:rsid w:val="00DF236B"/>
    <w:rsid w:val="00DF658A"/>
    <w:rsid w:val="00E03FAB"/>
    <w:rsid w:val="00E07037"/>
    <w:rsid w:val="00E13AB8"/>
    <w:rsid w:val="00E25D62"/>
    <w:rsid w:val="00E33B62"/>
    <w:rsid w:val="00E34798"/>
    <w:rsid w:val="00E42A8F"/>
    <w:rsid w:val="00E46364"/>
    <w:rsid w:val="00E6021F"/>
    <w:rsid w:val="00E61377"/>
    <w:rsid w:val="00E6633F"/>
    <w:rsid w:val="00E7313C"/>
    <w:rsid w:val="00EA28A5"/>
    <w:rsid w:val="00EA5DFB"/>
    <w:rsid w:val="00EC57E6"/>
    <w:rsid w:val="00EC7587"/>
    <w:rsid w:val="00ED6853"/>
    <w:rsid w:val="00F023C8"/>
    <w:rsid w:val="00F21CF1"/>
    <w:rsid w:val="00F63749"/>
    <w:rsid w:val="00F8229E"/>
    <w:rsid w:val="00F82F1F"/>
    <w:rsid w:val="00F84899"/>
    <w:rsid w:val="00F859F0"/>
    <w:rsid w:val="00F96499"/>
    <w:rsid w:val="00FA775D"/>
    <w:rsid w:val="00FC6DF2"/>
    <w:rsid w:val="00FD6E82"/>
    <w:rsid w:val="00FE10EF"/>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SinespaciadoCar">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customStyle="1" w:styleId="Default">
    <w:name w:val="Default"/>
    <w:rsid w:val="00873D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9364534">
      <w:bodyDiv w:val="1"/>
      <w:marLeft w:val="0"/>
      <w:marRight w:val="0"/>
      <w:marTop w:val="0"/>
      <w:marBottom w:val="0"/>
      <w:divBdr>
        <w:top w:val="none" w:sz="0" w:space="0" w:color="auto"/>
        <w:left w:val="none" w:sz="0" w:space="0" w:color="auto"/>
        <w:bottom w:val="none" w:sz="0" w:space="0" w:color="auto"/>
        <w:right w:val="none" w:sz="0" w:space="0" w:color="auto"/>
      </w:divBdr>
    </w:div>
    <w:div w:id="828519352">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 w:id="18804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E7F4D-D484-42D5-9DAD-AE46027CD01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E399098-1524-4849-A448-FB5EDF560AEE}">
  <ds:schemaRefs>
    <ds:schemaRef ds:uri="http://schemas.openxmlformats.org/officeDocument/2006/bibliography"/>
  </ds:schemaRefs>
</ds:datastoreItem>
</file>

<file path=customXml/itemProps4.xml><?xml version="1.0" encoding="utf-8"?>
<ds:datastoreItem xmlns:ds="http://schemas.openxmlformats.org/officeDocument/2006/customXml" ds:itemID="{72135E10-6889-4BAA-9221-E4BC320B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4092</Words>
  <Characters>22511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Mejia Olmos</dc:creator>
  <cp:lastModifiedBy>Carlos Mario Castrillón Endo</cp:lastModifiedBy>
  <cp:revision>7</cp:revision>
  <dcterms:created xsi:type="dcterms:W3CDTF">2020-07-07T20:47:00Z</dcterms:created>
  <dcterms:modified xsi:type="dcterms:W3CDTF">2020-08-10T12:54:00Z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