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CE2BAD" w:rsidRDefault="00BE1E33" w:rsidP="00BE1E33">
      <w:pPr>
        <w:jc w:val="right"/>
        <w:rPr>
          <w:rFonts w:ascii="Arial" w:hAnsi="Arial" w:cs="Arial"/>
          <w:b/>
          <w:color w:val="000000" w:themeColor="text1"/>
          <w:sz w:val="16"/>
          <w:szCs w:val="16"/>
          <w:lang w:val="es-CO" w:eastAsia="es-ES"/>
        </w:rPr>
      </w:pPr>
      <w:bookmarkStart w:id="0" w:name="_Hlk28946138"/>
      <w:bookmarkStart w:id="1" w:name="_Hlk29548183"/>
      <w:r w:rsidRPr="00C54AA4">
        <w:rPr>
          <w:rFonts w:ascii="Arial" w:hAnsi="Arial" w:cs="Arial"/>
          <w:b/>
          <w:color w:val="000000" w:themeColor="text1"/>
          <w:sz w:val="16"/>
          <w:szCs w:val="16"/>
          <w:lang w:val="es-CO" w:eastAsia="es-ES"/>
        </w:rPr>
        <w:tab/>
      </w:r>
      <w:r w:rsidRPr="00CE2BAD">
        <w:rPr>
          <w:rFonts w:ascii="Arial" w:hAnsi="Arial" w:cs="Arial"/>
          <w:b/>
          <w:color w:val="000000" w:themeColor="text1"/>
          <w:sz w:val="16"/>
          <w:szCs w:val="16"/>
          <w:lang w:val="es-CO" w:eastAsia="es-ES"/>
        </w:rPr>
        <w:t>CCE-DES-FM-17</w:t>
      </w:r>
    </w:p>
    <w:p w14:paraId="25784C1D" w14:textId="77777777" w:rsidR="00BE1E33" w:rsidRPr="009F20CC" w:rsidRDefault="00BE1E33" w:rsidP="00BE1E33">
      <w:pPr>
        <w:jc w:val="both"/>
        <w:rPr>
          <w:rFonts w:ascii="Arial" w:eastAsia="Calibri" w:hAnsi="Arial" w:cs="Arial"/>
          <w:bCs/>
          <w:color w:val="000000" w:themeColor="text1"/>
          <w:sz w:val="16"/>
          <w:szCs w:val="16"/>
          <w:lang w:val="es-CO"/>
        </w:rPr>
      </w:pPr>
    </w:p>
    <w:p w14:paraId="1C2012C5" w14:textId="37E22A6A" w:rsidR="00242129" w:rsidRPr="00C54AA4" w:rsidRDefault="00242129" w:rsidP="55D9EAE3">
      <w:pPr>
        <w:jc w:val="both"/>
        <w:rPr>
          <w:rFonts w:ascii="Arial" w:eastAsia="Calibri" w:hAnsi="Arial" w:cs="Arial"/>
          <w:b/>
          <w:bCs/>
          <w:color w:val="000000" w:themeColor="text1"/>
          <w:sz w:val="22"/>
          <w:szCs w:val="22"/>
          <w:lang w:val="es-CO"/>
        </w:rPr>
      </w:pPr>
      <w:r w:rsidRPr="55D9EAE3">
        <w:rPr>
          <w:rFonts w:ascii="Arial" w:eastAsia="Calibri" w:hAnsi="Arial" w:cs="Arial"/>
          <w:b/>
          <w:bCs/>
          <w:color w:val="000000" w:themeColor="text1"/>
          <w:sz w:val="22"/>
          <w:szCs w:val="22"/>
          <w:lang w:val="es-CO"/>
        </w:rPr>
        <w:t xml:space="preserve">CAPACIDAD RESIDUAL </w:t>
      </w:r>
      <w:r w:rsidR="008B1B51" w:rsidRPr="55D9EAE3">
        <w:rPr>
          <w:rFonts w:ascii="Arial" w:eastAsia="Calibri" w:hAnsi="Arial" w:cs="Arial"/>
          <w:b/>
          <w:bCs/>
          <w:color w:val="000000" w:themeColor="text1"/>
          <w:sz w:val="22"/>
          <w:szCs w:val="22"/>
          <w:lang w:val="es-CO"/>
        </w:rPr>
        <w:t>–</w:t>
      </w:r>
      <w:r w:rsidRPr="55D9EAE3">
        <w:rPr>
          <w:rFonts w:ascii="Arial" w:eastAsia="Calibri" w:hAnsi="Arial" w:cs="Arial"/>
          <w:b/>
          <w:bCs/>
          <w:color w:val="000000" w:themeColor="text1"/>
          <w:sz w:val="22"/>
          <w:szCs w:val="22"/>
          <w:lang w:val="es-CO"/>
        </w:rPr>
        <w:t xml:space="preserve"> Definición</w:t>
      </w:r>
    </w:p>
    <w:p w14:paraId="157CD3D4" w14:textId="77777777" w:rsidR="00242129" w:rsidRPr="00C54AA4" w:rsidRDefault="00242129" w:rsidP="002744EE">
      <w:pPr>
        <w:jc w:val="both"/>
        <w:rPr>
          <w:rFonts w:ascii="Arial" w:eastAsia="Calibri" w:hAnsi="Arial" w:cs="Arial"/>
          <w:b/>
          <w:color w:val="000000" w:themeColor="text1"/>
          <w:sz w:val="20"/>
          <w:szCs w:val="20"/>
          <w:lang w:val="es-CO"/>
        </w:rPr>
      </w:pPr>
    </w:p>
    <w:p w14:paraId="70D731B2" w14:textId="49EC67F8" w:rsidR="00242129" w:rsidRPr="00C54AA4" w:rsidRDefault="00242129" w:rsidP="002744EE">
      <w:pPr>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 xml:space="preserve">La capacidad residual es una aptitud de los oferentes que tiene por finalidad cumplir de manera oportuna y a cabalidad el objeto de un contrato de obra, esto sin que los demás compromisos contractuales que ha adquirido afecten la habilidad de cumplir el objeto del contrato que está en proceso de selección. El Consejo de Estado la ha definido como </w:t>
      </w:r>
      <w:r w:rsidR="000F514D" w:rsidRPr="00C54AA4">
        <w:rPr>
          <w:rFonts w:ascii="Arial" w:eastAsia="Calibri" w:hAnsi="Arial" w:cs="Arial"/>
          <w:bCs/>
          <w:color w:val="000000" w:themeColor="text1"/>
          <w:sz w:val="20"/>
          <w:szCs w:val="20"/>
          <w:lang w:val="es-CO"/>
        </w:rPr>
        <w:t>«</w:t>
      </w:r>
      <w:r w:rsidRPr="00C54AA4">
        <w:rPr>
          <w:rFonts w:ascii="Arial" w:eastAsia="Calibri" w:hAnsi="Arial" w:cs="Arial"/>
          <w:bCs/>
          <w:color w:val="000000" w:themeColor="text1"/>
          <w:sz w:val="20"/>
          <w:szCs w:val="20"/>
          <w:lang w:val="es-CO"/>
        </w:rPr>
        <w:t>la diferencia que existe entre el potencial de contratación que se tiene y los compromisos que haya adquirido y que se encuentren en ejecución, para la fecha de presentación de la oferta</w:t>
      </w:r>
      <w:r w:rsidR="000F514D" w:rsidRPr="00C54AA4">
        <w:rPr>
          <w:rFonts w:ascii="Arial" w:eastAsia="Calibri" w:hAnsi="Arial" w:cs="Arial"/>
          <w:bCs/>
          <w:color w:val="000000" w:themeColor="text1"/>
          <w:sz w:val="20"/>
          <w:szCs w:val="20"/>
          <w:lang w:val="es-CO"/>
        </w:rPr>
        <w:t xml:space="preserve">». </w:t>
      </w:r>
      <w:r w:rsidRPr="00C54AA4">
        <w:rPr>
          <w:rFonts w:ascii="Arial" w:eastAsia="Calibri" w:hAnsi="Arial" w:cs="Arial"/>
          <w:bCs/>
          <w:color w:val="000000" w:themeColor="text1"/>
          <w:sz w:val="20"/>
          <w:szCs w:val="20"/>
          <w:lang w:val="es-CO"/>
        </w:rPr>
        <w:t>En atención a lo anterior, la capacidad residual hace referencia a la suficiencia que tiene el proponente para asumir nuevas obligaciones que se derivan del contrato objeto del proceso de contratación en relación con las obligaciones que ya ha adquirido simultáneamente.</w:t>
      </w:r>
    </w:p>
    <w:p w14:paraId="0A9A7706" w14:textId="77777777" w:rsidR="00242129" w:rsidRPr="00C54AA4" w:rsidRDefault="00242129" w:rsidP="002744EE">
      <w:pPr>
        <w:jc w:val="both"/>
        <w:rPr>
          <w:rFonts w:ascii="Arial" w:eastAsia="Calibri" w:hAnsi="Arial" w:cs="Arial"/>
          <w:bCs/>
          <w:color w:val="000000" w:themeColor="text1"/>
          <w:sz w:val="20"/>
          <w:szCs w:val="20"/>
          <w:lang w:val="es-CO"/>
        </w:rPr>
      </w:pPr>
    </w:p>
    <w:p w14:paraId="62D4D04F" w14:textId="0F1FBDAC" w:rsidR="00242129" w:rsidRPr="00C54AA4" w:rsidRDefault="00242129" w:rsidP="002744EE">
      <w:pPr>
        <w:jc w:val="both"/>
        <w:rPr>
          <w:rFonts w:ascii="Arial" w:eastAsia="Calibri" w:hAnsi="Arial" w:cs="Arial"/>
          <w:b/>
          <w:color w:val="000000" w:themeColor="text1"/>
          <w:sz w:val="22"/>
          <w:lang w:val="es-CO"/>
        </w:rPr>
      </w:pPr>
      <w:r w:rsidRPr="00C54AA4">
        <w:rPr>
          <w:rFonts w:ascii="Arial" w:eastAsia="Calibri" w:hAnsi="Arial" w:cs="Arial"/>
          <w:b/>
          <w:color w:val="000000" w:themeColor="text1"/>
          <w:sz w:val="22"/>
          <w:lang w:val="es-CO"/>
        </w:rPr>
        <w:t xml:space="preserve">CAPACIDAD RESIDUAL </w:t>
      </w:r>
      <w:r w:rsidR="008B1B51" w:rsidRPr="00C54AA4">
        <w:rPr>
          <w:rFonts w:ascii="Arial" w:eastAsia="Calibri" w:hAnsi="Arial" w:cs="Arial"/>
          <w:b/>
          <w:color w:val="000000" w:themeColor="text1"/>
          <w:sz w:val="22"/>
          <w:lang w:val="es-CO"/>
        </w:rPr>
        <w:t>–</w:t>
      </w:r>
      <w:r w:rsidRPr="00C54AA4">
        <w:rPr>
          <w:rFonts w:ascii="Arial" w:eastAsia="Calibri" w:hAnsi="Arial" w:cs="Arial"/>
          <w:b/>
          <w:color w:val="000000" w:themeColor="text1"/>
          <w:sz w:val="22"/>
          <w:lang w:val="es-CO"/>
        </w:rPr>
        <w:t xml:space="preserve"> Cálculo </w:t>
      </w:r>
      <w:r w:rsidR="008B1B51" w:rsidRPr="00C54AA4">
        <w:rPr>
          <w:rFonts w:ascii="Arial" w:eastAsia="Calibri" w:hAnsi="Arial" w:cs="Arial"/>
          <w:b/>
          <w:color w:val="000000" w:themeColor="text1"/>
          <w:sz w:val="22"/>
          <w:lang w:val="es-CO"/>
        </w:rPr>
        <w:t>–</w:t>
      </w:r>
      <w:r w:rsidRPr="00C54AA4">
        <w:rPr>
          <w:rFonts w:ascii="Arial" w:eastAsia="Calibri" w:hAnsi="Arial" w:cs="Arial"/>
          <w:b/>
          <w:color w:val="000000" w:themeColor="text1"/>
          <w:sz w:val="22"/>
          <w:lang w:val="es-CO"/>
        </w:rPr>
        <w:t xml:space="preserve"> Factores</w:t>
      </w:r>
    </w:p>
    <w:p w14:paraId="19484A35" w14:textId="77777777" w:rsidR="00242129" w:rsidRPr="00C54AA4" w:rsidRDefault="00242129" w:rsidP="002744EE">
      <w:pPr>
        <w:jc w:val="both"/>
        <w:rPr>
          <w:rFonts w:ascii="Arial" w:eastAsia="Calibri" w:hAnsi="Arial" w:cs="Arial"/>
          <w:b/>
          <w:color w:val="000000" w:themeColor="text1"/>
          <w:sz w:val="20"/>
          <w:szCs w:val="20"/>
          <w:lang w:val="es-CO"/>
        </w:rPr>
      </w:pPr>
    </w:p>
    <w:p w14:paraId="0F444A81" w14:textId="6058D2BB" w:rsidR="004617A6" w:rsidRDefault="00242129" w:rsidP="004617A6">
      <w:pPr>
        <w:spacing w:after="120"/>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La Ley 1150 de 2007 establece que la capacidad residual de los interesados en participar en procesos de selección para contratos de obra deberá ser igual o superior al que la entidad ha establecido en los pliegos de condiciones […]</w:t>
      </w:r>
      <w:r w:rsidR="004617A6" w:rsidRPr="00C54AA4">
        <w:rPr>
          <w:rFonts w:ascii="Arial" w:eastAsia="Calibri" w:hAnsi="Arial" w:cs="Arial"/>
          <w:bCs/>
          <w:color w:val="000000" w:themeColor="text1"/>
          <w:sz w:val="20"/>
          <w:szCs w:val="20"/>
          <w:lang w:val="es-CO"/>
        </w:rPr>
        <w:t>.</w:t>
      </w:r>
    </w:p>
    <w:p w14:paraId="4A993D41" w14:textId="2807B61E" w:rsidR="00CE2BAD" w:rsidRPr="00C54AA4" w:rsidRDefault="00CE2BAD" w:rsidP="004617A6">
      <w:pPr>
        <w:spacing w:after="120"/>
        <w:jc w:val="both"/>
        <w:rPr>
          <w:rFonts w:ascii="Arial" w:eastAsia="Calibri" w:hAnsi="Arial" w:cs="Arial"/>
          <w:bCs/>
          <w:color w:val="000000" w:themeColor="text1"/>
          <w:sz w:val="20"/>
          <w:szCs w:val="20"/>
          <w:lang w:val="es-CO"/>
        </w:rPr>
      </w:pPr>
      <w:r>
        <w:rPr>
          <w:rFonts w:ascii="Arial" w:eastAsia="Calibri" w:hAnsi="Arial" w:cs="Arial"/>
          <w:bCs/>
          <w:color w:val="000000" w:themeColor="text1"/>
          <w:sz w:val="20"/>
          <w:szCs w:val="20"/>
          <w:lang w:val="es-CO"/>
        </w:rPr>
        <w:t>[…]</w:t>
      </w:r>
    </w:p>
    <w:p w14:paraId="16185BA4" w14:textId="264B68AF" w:rsidR="001505BA" w:rsidRDefault="00242129" w:rsidP="001505BA">
      <w:pPr>
        <w:spacing w:after="120"/>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El artículo 2.2.1.1.1.6.3 del Decreto 1082 de 2015 estableció que las entidades estatales deberán calcular la capacidad residual conforme a la metodología definida por la Agencia Nacional de Contratación Pública – Colombia Compra Eficiente y precisó que para ello se debían tener en cuenta los factores de experiencia, capacidad financiera, capacidad técnica, capacidad de organización y los saldos de los contratos en ejecución</w:t>
      </w:r>
      <w:r w:rsidR="001505BA" w:rsidRPr="00C54AA4">
        <w:rPr>
          <w:rFonts w:ascii="Arial" w:eastAsia="Calibri" w:hAnsi="Arial" w:cs="Arial"/>
          <w:bCs/>
          <w:color w:val="000000" w:themeColor="text1"/>
          <w:sz w:val="20"/>
          <w:szCs w:val="20"/>
          <w:lang w:val="es-CO"/>
        </w:rPr>
        <w:t>.</w:t>
      </w:r>
    </w:p>
    <w:p w14:paraId="35FBCEFA" w14:textId="09BD6246" w:rsidR="00C96072" w:rsidRPr="00C54AA4" w:rsidRDefault="00C96072" w:rsidP="001505BA">
      <w:pPr>
        <w:spacing w:after="120"/>
        <w:jc w:val="both"/>
        <w:rPr>
          <w:rFonts w:ascii="Arial" w:eastAsia="Calibri" w:hAnsi="Arial" w:cs="Arial"/>
          <w:bCs/>
          <w:color w:val="000000" w:themeColor="text1"/>
          <w:sz w:val="20"/>
          <w:szCs w:val="20"/>
          <w:lang w:val="es-CO"/>
        </w:rPr>
      </w:pPr>
      <w:r>
        <w:rPr>
          <w:rFonts w:ascii="Arial" w:eastAsia="Calibri" w:hAnsi="Arial" w:cs="Arial"/>
          <w:bCs/>
          <w:color w:val="000000" w:themeColor="text1"/>
          <w:sz w:val="20"/>
          <w:szCs w:val="20"/>
          <w:lang w:val="es-CO"/>
        </w:rPr>
        <w:t>[…]</w:t>
      </w:r>
    </w:p>
    <w:p w14:paraId="5B0E3C2A" w14:textId="425300E4" w:rsidR="00D14C96" w:rsidRDefault="00242129" w:rsidP="001505BA">
      <w:pPr>
        <w:spacing w:after="120"/>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 xml:space="preserve">De conformidad con lo anterior, la Agencia Nacional de Contratación Pública – Colombia Compra Eficiente expidió la Guía para Determinar y Verificar la Capacidad Residual del Proponente en los Procesos de Contratación de Obra Pública. </w:t>
      </w:r>
    </w:p>
    <w:p w14:paraId="055600B3" w14:textId="03B08783" w:rsidR="00C96072" w:rsidRPr="00C54AA4" w:rsidRDefault="00C96072" w:rsidP="001505BA">
      <w:pPr>
        <w:spacing w:after="120"/>
        <w:jc w:val="both"/>
        <w:rPr>
          <w:rFonts w:ascii="Arial" w:eastAsia="Calibri" w:hAnsi="Arial" w:cs="Arial"/>
          <w:bCs/>
          <w:color w:val="000000" w:themeColor="text1"/>
          <w:sz w:val="20"/>
          <w:szCs w:val="20"/>
          <w:lang w:val="es-CO"/>
        </w:rPr>
      </w:pPr>
      <w:r>
        <w:rPr>
          <w:rFonts w:ascii="Arial" w:eastAsia="Calibri" w:hAnsi="Arial" w:cs="Arial"/>
          <w:bCs/>
          <w:color w:val="000000" w:themeColor="text1"/>
          <w:sz w:val="20"/>
          <w:szCs w:val="20"/>
          <w:lang w:val="es-CO"/>
        </w:rPr>
        <w:t>[…]</w:t>
      </w:r>
    </w:p>
    <w:p w14:paraId="04112049" w14:textId="69DCEA1D" w:rsidR="00BE1E33" w:rsidRPr="00C54AA4" w:rsidRDefault="00242129" w:rsidP="001505BA">
      <w:pPr>
        <w:spacing w:after="120"/>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 xml:space="preserve">La Agencia Nacional de Contratación Pública estableció como </w:t>
      </w:r>
      <w:r w:rsidR="005E76CC" w:rsidRPr="00C54AA4">
        <w:rPr>
          <w:rFonts w:ascii="Arial" w:eastAsia="Calibri" w:hAnsi="Arial" w:cs="Arial"/>
          <w:bCs/>
          <w:color w:val="000000" w:themeColor="text1"/>
          <w:sz w:val="20"/>
          <w:szCs w:val="20"/>
          <w:lang w:val="es-CO"/>
        </w:rPr>
        <w:t>fórmula</w:t>
      </w:r>
      <w:r w:rsidRPr="00C54AA4">
        <w:rPr>
          <w:rFonts w:ascii="Arial" w:eastAsia="Calibri" w:hAnsi="Arial" w:cs="Arial"/>
          <w:bCs/>
          <w:color w:val="000000" w:themeColor="text1"/>
          <w:sz w:val="20"/>
          <w:szCs w:val="20"/>
          <w:lang w:val="es-CO"/>
        </w:rPr>
        <w:t xml:space="preserve"> que las entidades estatales calculen la experiencia conforme a los cinco factores que deben ser tenidos en cuenta, así: Capacidad Residual del Proponente= Co*[(E+CT+CF) / 100] - SCE […] Conforme a lo anterior, es la entidad estatal quien debe calcular la capacidad residual, pero el proponente tiene como carga aportar los documentos para acreditar su capacidad residual.</w:t>
      </w:r>
    </w:p>
    <w:p w14:paraId="6F86E461" w14:textId="24F44D7C" w:rsidR="00B506CF" w:rsidRPr="00C54AA4" w:rsidRDefault="00B506CF" w:rsidP="002744EE">
      <w:pPr>
        <w:jc w:val="both"/>
        <w:rPr>
          <w:rFonts w:ascii="Arial" w:eastAsia="Calibri" w:hAnsi="Arial" w:cs="Arial"/>
          <w:bCs/>
          <w:color w:val="000000" w:themeColor="text1"/>
          <w:sz w:val="20"/>
          <w:szCs w:val="20"/>
          <w:lang w:val="es-CO"/>
        </w:rPr>
      </w:pPr>
    </w:p>
    <w:p w14:paraId="6E6CFCA0" w14:textId="6FC8DBC6" w:rsidR="00B506CF" w:rsidRPr="00C54AA4" w:rsidRDefault="00B506CF" w:rsidP="77769FAE">
      <w:pPr>
        <w:jc w:val="both"/>
        <w:rPr>
          <w:rFonts w:ascii="Arial" w:eastAsia="Calibri" w:hAnsi="Arial" w:cs="Arial"/>
          <w:b/>
          <w:bCs/>
          <w:color w:val="000000" w:themeColor="text1"/>
          <w:sz w:val="22"/>
          <w:szCs w:val="22"/>
          <w:lang w:val="es-CO"/>
        </w:rPr>
      </w:pPr>
      <w:r w:rsidRPr="77769FAE">
        <w:rPr>
          <w:rFonts w:ascii="Arial" w:eastAsia="Calibri" w:hAnsi="Arial" w:cs="Arial"/>
          <w:b/>
          <w:bCs/>
          <w:color w:val="000000" w:themeColor="text1"/>
          <w:sz w:val="22"/>
          <w:szCs w:val="22"/>
          <w:lang w:val="es-CO"/>
        </w:rPr>
        <w:t xml:space="preserve">CAPACIDAD RESIDUAL </w:t>
      </w:r>
      <w:r w:rsidR="008B1B51" w:rsidRPr="77769FAE">
        <w:rPr>
          <w:rFonts w:ascii="Arial" w:eastAsia="Calibri" w:hAnsi="Arial" w:cs="Arial"/>
          <w:b/>
          <w:bCs/>
          <w:color w:val="000000" w:themeColor="text1"/>
          <w:sz w:val="22"/>
          <w:szCs w:val="22"/>
          <w:lang w:val="es-CO"/>
        </w:rPr>
        <w:t>–</w:t>
      </w:r>
      <w:r w:rsidRPr="77769FAE">
        <w:rPr>
          <w:rFonts w:ascii="Arial" w:eastAsia="Calibri" w:hAnsi="Arial" w:cs="Arial"/>
          <w:b/>
          <w:bCs/>
          <w:color w:val="000000" w:themeColor="text1"/>
          <w:sz w:val="22"/>
          <w:szCs w:val="22"/>
          <w:lang w:val="es-CO"/>
        </w:rPr>
        <w:t xml:space="preserve"> Cálculo </w:t>
      </w:r>
      <w:r w:rsidR="008B1B51" w:rsidRPr="77769FAE">
        <w:rPr>
          <w:rFonts w:ascii="Arial" w:eastAsia="Calibri" w:hAnsi="Arial" w:cs="Arial"/>
          <w:b/>
          <w:bCs/>
          <w:color w:val="000000" w:themeColor="text1"/>
          <w:sz w:val="22"/>
          <w:szCs w:val="22"/>
          <w:lang w:val="es-CO"/>
        </w:rPr>
        <w:t>–</w:t>
      </w:r>
      <w:r w:rsidRPr="77769FAE">
        <w:rPr>
          <w:rFonts w:ascii="Arial" w:eastAsia="Calibri" w:hAnsi="Arial" w:cs="Arial"/>
          <w:b/>
          <w:bCs/>
          <w:color w:val="000000" w:themeColor="text1"/>
          <w:sz w:val="22"/>
          <w:szCs w:val="22"/>
          <w:lang w:val="es-CO"/>
        </w:rPr>
        <w:t xml:space="preserve"> Factores </w:t>
      </w:r>
      <w:r w:rsidR="04C0B13E" w:rsidRPr="77769FAE">
        <w:rPr>
          <w:rFonts w:ascii="Arial" w:eastAsia="Calibri" w:hAnsi="Arial" w:cs="Arial"/>
          <w:b/>
          <w:bCs/>
          <w:color w:val="000000" w:themeColor="text1"/>
          <w:sz w:val="22"/>
          <w:szCs w:val="22"/>
          <w:lang w:val="es-CO"/>
        </w:rPr>
        <w:t>–</w:t>
      </w:r>
      <w:r w:rsidRPr="77769FAE">
        <w:rPr>
          <w:rFonts w:ascii="Arial" w:eastAsia="Calibri" w:hAnsi="Arial" w:cs="Arial"/>
          <w:b/>
          <w:bCs/>
          <w:color w:val="000000" w:themeColor="text1"/>
          <w:sz w:val="22"/>
          <w:szCs w:val="22"/>
          <w:lang w:val="es-CO"/>
        </w:rPr>
        <w:t xml:space="preserve"> </w:t>
      </w:r>
      <w:r w:rsidR="04C0B13E" w:rsidRPr="77769FAE">
        <w:rPr>
          <w:rFonts w:ascii="Arial" w:eastAsia="Calibri" w:hAnsi="Arial" w:cs="Arial"/>
          <w:b/>
          <w:bCs/>
          <w:color w:val="000000" w:themeColor="text1"/>
          <w:sz w:val="22"/>
          <w:szCs w:val="22"/>
          <w:lang w:val="es-CO"/>
        </w:rPr>
        <w:t>C</w:t>
      </w:r>
      <w:r w:rsidRPr="77769FAE">
        <w:rPr>
          <w:rFonts w:ascii="Arial" w:eastAsia="Calibri" w:hAnsi="Arial" w:cs="Arial"/>
          <w:b/>
          <w:bCs/>
          <w:color w:val="000000" w:themeColor="text1"/>
          <w:sz w:val="22"/>
          <w:szCs w:val="22"/>
          <w:lang w:val="es-CO"/>
        </w:rPr>
        <w:t>ontratos de obra</w:t>
      </w:r>
    </w:p>
    <w:p w14:paraId="66246F66" w14:textId="77777777" w:rsidR="00B506CF" w:rsidRPr="00C54AA4" w:rsidRDefault="00B506CF" w:rsidP="002744EE">
      <w:pPr>
        <w:jc w:val="both"/>
        <w:rPr>
          <w:rFonts w:ascii="Arial" w:eastAsia="Calibri" w:hAnsi="Arial" w:cs="Arial"/>
          <w:b/>
          <w:color w:val="000000" w:themeColor="text1"/>
          <w:sz w:val="20"/>
          <w:szCs w:val="20"/>
          <w:lang w:val="es-CO"/>
        </w:rPr>
      </w:pPr>
    </w:p>
    <w:p w14:paraId="4B4D456B" w14:textId="138AAE58" w:rsidR="00B506CF" w:rsidRPr="00C54AA4" w:rsidRDefault="00B506CF" w:rsidP="002744EE">
      <w:pPr>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2010468C" w14:textId="5B446A4B" w:rsidR="00BE1E33" w:rsidRPr="00C54AA4" w:rsidRDefault="00BE1E33" w:rsidP="002744EE">
      <w:pPr>
        <w:jc w:val="both"/>
        <w:rPr>
          <w:rFonts w:ascii="Arial" w:eastAsia="Calibri" w:hAnsi="Arial" w:cs="Arial"/>
          <w:bCs/>
          <w:color w:val="000000" w:themeColor="text1"/>
          <w:sz w:val="20"/>
          <w:szCs w:val="20"/>
          <w:lang w:val="es-CO"/>
        </w:rPr>
      </w:pPr>
    </w:p>
    <w:p w14:paraId="4B94C03A" w14:textId="37CE79FE" w:rsidR="00B506CF" w:rsidRPr="00C54AA4" w:rsidRDefault="00B506CF" w:rsidP="77769FAE">
      <w:pPr>
        <w:jc w:val="both"/>
        <w:rPr>
          <w:rFonts w:ascii="Arial" w:eastAsia="Calibri" w:hAnsi="Arial" w:cs="Arial"/>
          <w:b/>
          <w:bCs/>
          <w:color w:val="000000" w:themeColor="text1"/>
          <w:sz w:val="22"/>
          <w:szCs w:val="22"/>
          <w:lang w:val="es-CO"/>
        </w:rPr>
      </w:pPr>
      <w:r w:rsidRPr="77769FAE">
        <w:rPr>
          <w:rFonts w:ascii="Arial" w:eastAsia="Calibri" w:hAnsi="Arial" w:cs="Arial"/>
          <w:b/>
          <w:bCs/>
          <w:color w:val="000000" w:themeColor="text1"/>
          <w:sz w:val="22"/>
          <w:szCs w:val="22"/>
          <w:lang w:val="es-CO"/>
        </w:rPr>
        <w:t xml:space="preserve">CAPACIDAD RESIDUAL </w:t>
      </w:r>
      <w:r w:rsidR="008B1B51" w:rsidRPr="77769FAE">
        <w:rPr>
          <w:rFonts w:ascii="Arial" w:eastAsia="Calibri" w:hAnsi="Arial" w:cs="Arial"/>
          <w:b/>
          <w:bCs/>
          <w:color w:val="000000" w:themeColor="text1"/>
          <w:sz w:val="22"/>
          <w:szCs w:val="22"/>
          <w:lang w:val="es-CO"/>
        </w:rPr>
        <w:t>–</w:t>
      </w:r>
      <w:r w:rsidRPr="77769FAE">
        <w:rPr>
          <w:rFonts w:ascii="Arial" w:eastAsia="Calibri" w:hAnsi="Arial" w:cs="Arial"/>
          <w:b/>
          <w:bCs/>
          <w:color w:val="000000" w:themeColor="text1"/>
          <w:sz w:val="22"/>
          <w:szCs w:val="22"/>
          <w:lang w:val="es-CO"/>
        </w:rPr>
        <w:t xml:space="preserve"> Carga </w:t>
      </w:r>
      <w:r w:rsidR="3AD7C826" w:rsidRPr="77769FAE">
        <w:rPr>
          <w:rFonts w:ascii="Arial" w:eastAsia="Calibri" w:hAnsi="Arial" w:cs="Arial"/>
          <w:b/>
          <w:bCs/>
          <w:color w:val="000000" w:themeColor="text1"/>
          <w:sz w:val="22"/>
          <w:szCs w:val="22"/>
          <w:lang w:val="es-CO"/>
        </w:rPr>
        <w:t>–</w:t>
      </w:r>
      <w:r w:rsidRPr="77769FAE">
        <w:rPr>
          <w:rFonts w:ascii="Arial" w:eastAsia="Calibri" w:hAnsi="Arial" w:cs="Arial"/>
          <w:b/>
          <w:bCs/>
          <w:color w:val="000000" w:themeColor="text1"/>
          <w:sz w:val="22"/>
          <w:szCs w:val="22"/>
          <w:lang w:val="es-CO"/>
        </w:rPr>
        <w:t xml:space="preserve"> </w:t>
      </w:r>
      <w:r w:rsidR="3B095192" w:rsidRPr="77769FAE">
        <w:rPr>
          <w:rFonts w:ascii="Arial" w:eastAsia="Calibri" w:hAnsi="Arial" w:cs="Arial"/>
          <w:b/>
          <w:bCs/>
          <w:color w:val="000000" w:themeColor="text1"/>
          <w:sz w:val="22"/>
          <w:szCs w:val="22"/>
          <w:lang w:val="es-CO"/>
        </w:rPr>
        <w:t>E</w:t>
      </w:r>
      <w:r w:rsidRPr="77769FAE">
        <w:rPr>
          <w:rFonts w:ascii="Arial" w:eastAsia="Calibri" w:hAnsi="Arial" w:cs="Arial"/>
          <w:b/>
          <w:bCs/>
          <w:color w:val="000000" w:themeColor="text1"/>
          <w:sz w:val="22"/>
          <w:szCs w:val="22"/>
          <w:lang w:val="es-CO"/>
        </w:rPr>
        <w:t>ntidades públicas</w:t>
      </w:r>
    </w:p>
    <w:p w14:paraId="249F4E82" w14:textId="77777777" w:rsidR="00B506CF" w:rsidRPr="00C54AA4" w:rsidRDefault="00B506CF" w:rsidP="002744EE">
      <w:pPr>
        <w:jc w:val="both"/>
        <w:rPr>
          <w:rFonts w:ascii="Arial" w:eastAsia="Calibri" w:hAnsi="Arial" w:cs="Arial"/>
          <w:b/>
          <w:color w:val="000000" w:themeColor="text1"/>
          <w:sz w:val="20"/>
          <w:szCs w:val="20"/>
          <w:lang w:val="es-CO"/>
        </w:rPr>
      </w:pPr>
    </w:p>
    <w:p w14:paraId="6AAEB64E" w14:textId="3BCB79CE" w:rsidR="00B506CF" w:rsidRPr="00C54AA4" w:rsidRDefault="00B506CF" w:rsidP="002744EE">
      <w:pPr>
        <w:jc w:val="both"/>
        <w:rPr>
          <w:rFonts w:ascii="Arial" w:eastAsia="Calibri" w:hAnsi="Arial" w:cs="Arial"/>
          <w:bCs/>
          <w:color w:val="000000" w:themeColor="text1"/>
          <w:sz w:val="19"/>
          <w:szCs w:val="19"/>
          <w:lang w:val="es-CO"/>
        </w:rPr>
      </w:pPr>
      <w:r w:rsidRPr="00C54AA4">
        <w:rPr>
          <w:rFonts w:ascii="Arial" w:eastAsia="Calibri" w:hAnsi="Arial" w:cs="Arial"/>
          <w:bCs/>
          <w:color w:val="000000" w:themeColor="text1"/>
          <w:sz w:val="20"/>
          <w:szCs w:val="20"/>
          <w:lang w:val="es-CO"/>
        </w:rPr>
        <w:lastRenderedPageBreak/>
        <w:t>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w:t>
      </w:r>
      <w:r w:rsidRPr="00C54AA4">
        <w:rPr>
          <w:rFonts w:ascii="Arial" w:eastAsia="Calibri" w:hAnsi="Arial" w:cs="Arial"/>
          <w:bCs/>
          <w:color w:val="000000" w:themeColor="text1"/>
          <w:sz w:val="19"/>
          <w:szCs w:val="19"/>
          <w:lang w:val="es-CO"/>
        </w:rPr>
        <w:t>.</w:t>
      </w:r>
    </w:p>
    <w:p w14:paraId="080CABE1" w14:textId="692A9A9F" w:rsidR="00B506CF" w:rsidRPr="00C54AA4" w:rsidRDefault="00B506CF" w:rsidP="002744EE">
      <w:pPr>
        <w:jc w:val="both"/>
        <w:rPr>
          <w:rFonts w:ascii="Arial" w:eastAsia="Calibri" w:hAnsi="Arial" w:cs="Arial"/>
          <w:bCs/>
          <w:color w:val="000000" w:themeColor="text1"/>
          <w:sz w:val="20"/>
          <w:szCs w:val="20"/>
          <w:lang w:val="es-CO"/>
        </w:rPr>
      </w:pPr>
    </w:p>
    <w:p w14:paraId="6EA0592E" w14:textId="7901138C" w:rsidR="00B506CF" w:rsidRPr="00C54AA4" w:rsidRDefault="00B506CF" w:rsidP="77769FAE">
      <w:pPr>
        <w:jc w:val="both"/>
        <w:rPr>
          <w:rFonts w:ascii="Arial" w:eastAsia="Calibri" w:hAnsi="Arial" w:cs="Arial"/>
          <w:b/>
          <w:bCs/>
          <w:color w:val="000000" w:themeColor="text1"/>
          <w:sz w:val="22"/>
          <w:szCs w:val="22"/>
          <w:lang w:val="es-CO"/>
        </w:rPr>
      </w:pPr>
      <w:r w:rsidRPr="77769FAE">
        <w:rPr>
          <w:rFonts w:ascii="Arial" w:eastAsia="Calibri" w:hAnsi="Arial" w:cs="Arial"/>
          <w:b/>
          <w:bCs/>
          <w:color w:val="000000" w:themeColor="text1"/>
          <w:sz w:val="22"/>
          <w:szCs w:val="22"/>
          <w:lang w:val="es-CO"/>
        </w:rPr>
        <w:t xml:space="preserve">CAPACIDAD RESIDUAL </w:t>
      </w:r>
      <w:r w:rsidR="008B1B51" w:rsidRPr="77769FAE">
        <w:rPr>
          <w:rFonts w:ascii="Arial" w:eastAsia="Calibri" w:hAnsi="Arial" w:cs="Arial"/>
          <w:b/>
          <w:bCs/>
          <w:color w:val="000000" w:themeColor="text1"/>
          <w:sz w:val="22"/>
          <w:szCs w:val="22"/>
          <w:lang w:val="es-CO"/>
        </w:rPr>
        <w:t>–</w:t>
      </w:r>
      <w:r w:rsidRPr="77769FAE">
        <w:rPr>
          <w:rFonts w:ascii="Arial" w:eastAsia="Calibri" w:hAnsi="Arial" w:cs="Arial"/>
          <w:b/>
          <w:bCs/>
          <w:color w:val="000000" w:themeColor="text1"/>
          <w:sz w:val="22"/>
          <w:szCs w:val="22"/>
          <w:lang w:val="es-CO"/>
        </w:rPr>
        <w:t xml:space="preserve"> Carga </w:t>
      </w:r>
      <w:r w:rsidR="43332BD4" w:rsidRPr="77769FAE">
        <w:rPr>
          <w:rFonts w:ascii="Arial" w:eastAsia="Calibri" w:hAnsi="Arial" w:cs="Arial"/>
          <w:b/>
          <w:bCs/>
          <w:color w:val="000000" w:themeColor="text1"/>
          <w:sz w:val="22"/>
          <w:szCs w:val="22"/>
          <w:lang w:val="es-CO"/>
        </w:rPr>
        <w:t>– P</w:t>
      </w:r>
      <w:r w:rsidRPr="77769FAE">
        <w:rPr>
          <w:rFonts w:ascii="Arial" w:eastAsia="Calibri" w:hAnsi="Arial" w:cs="Arial"/>
          <w:b/>
          <w:bCs/>
          <w:color w:val="000000" w:themeColor="text1"/>
          <w:sz w:val="22"/>
          <w:szCs w:val="22"/>
          <w:lang w:val="es-CO"/>
        </w:rPr>
        <w:t>roponente</w:t>
      </w:r>
    </w:p>
    <w:p w14:paraId="188A3EDC" w14:textId="77777777" w:rsidR="00B506CF" w:rsidRPr="00C54AA4" w:rsidRDefault="00B506CF" w:rsidP="002744EE">
      <w:pPr>
        <w:jc w:val="both"/>
        <w:rPr>
          <w:rFonts w:ascii="Arial" w:eastAsia="Calibri" w:hAnsi="Arial" w:cs="Arial"/>
          <w:b/>
          <w:color w:val="000000" w:themeColor="text1"/>
          <w:sz w:val="20"/>
          <w:szCs w:val="20"/>
          <w:lang w:val="es-CO"/>
        </w:rPr>
      </w:pPr>
    </w:p>
    <w:p w14:paraId="5CC15203" w14:textId="05B9B29A" w:rsidR="00E709F4" w:rsidRPr="00C54AA4" w:rsidRDefault="00E709F4" w:rsidP="3AE934FA">
      <w:pPr>
        <w:spacing w:after="120"/>
        <w:jc w:val="both"/>
        <w:rPr>
          <w:rFonts w:ascii="Arial" w:eastAsia="Calibri" w:hAnsi="Arial" w:cs="Arial"/>
          <w:color w:val="000000" w:themeColor="text1"/>
          <w:sz w:val="20"/>
          <w:szCs w:val="20"/>
          <w:lang w:val="es-CO"/>
        </w:rPr>
      </w:pPr>
      <w:r w:rsidRPr="00C54AA4">
        <w:rPr>
          <w:rFonts w:ascii="Arial" w:eastAsia="Calibri" w:hAnsi="Arial" w:cs="Arial"/>
          <w:color w:val="000000" w:themeColor="text1"/>
          <w:sz w:val="20"/>
          <w:szCs w:val="20"/>
          <w:lang w:val="es-CO"/>
        </w:rPr>
        <w:t xml:space="preserve">[…] </w:t>
      </w:r>
      <w:r w:rsidR="5BF4B3B4" w:rsidRPr="00C54AA4">
        <w:rPr>
          <w:rFonts w:ascii="Arial" w:eastAsia="Calibri" w:hAnsi="Arial" w:cs="Arial"/>
          <w:color w:val="000000" w:themeColor="text1"/>
          <w:sz w:val="20"/>
          <w:szCs w:val="20"/>
          <w:lang w:val="es-CO"/>
        </w:rPr>
        <w:t>l</w:t>
      </w:r>
      <w:r w:rsidR="00B506CF" w:rsidRPr="00C54AA4">
        <w:rPr>
          <w:rFonts w:ascii="Arial" w:eastAsia="Calibri" w:hAnsi="Arial" w:cs="Arial"/>
          <w:color w:val="000000" w:themeColor="text1"/>
          <w:sz w:val="20"/>
          <w:szCs w:val="20"/>
          <w:lang w:val="es-CO"/>
        </w:rPr>
        <w:t xml:space="preserve">a siguiente información debe ser aportada por el proponente: </w:t>
      </w:r>
    </w:p>
    <w:p w14:paraId="27101290" w14:textId="6F463365" w:rsidR="00E709F4" w:rsidRPr="00C54AA4" w:rsidRDefault="00B506CF" w:rsidP="00E709F4">
      <w:pPr>
        <w:spacing w:after="120"/>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w:t>
      </w:r>
      <w:r w:rsidR="00E709F4" w:rsidRPr="00C54AA4">
        <w:rPr>
          <w:rFonts w:ascii="Arial" w:eastAsia="Calibri" w:hAnsi="Arial" w:cs="Arial"/>
          <w:bCs/>
          <w:color w:val="000000" w:themeColor="text1"/>
          <w:sz w:val="20"/>
          <w:szCs w:val="20"/>
          <w:lang w:val="es-CO"/>
        </w:rPr>
        <w:t xml:space="preserve"> </w:t>
      </w:r>
      <w:r w:rsidRPr="00C54AA4">
        <w:rPr>
          <w:rFonts w:ascii="Arial" w:eastAsia="Calibri" w:hAnsi="Arial" w:cs="Arial"/>
          <w:bCs/>
          <w:color w:val="000000" w:themeColor="text1"/>
          <w:sz w:val="20"/>
          <w:szCs w:val="20"/>
          <w:lang w:val="es-CO"/>
        </w:rPr>
        <w:t xml:space="preserve">La lista de los Contratos en Ejecución, así como el valor y plazo de tales contratos. </w:t>
      </w:r>
    </w:p>
    <w:p w14:paraId="04BD7C4D" w14:textId="77777777" w:rsidR="00E709F4" w:rsidRPr="00C54AA4" w:rsidRDefault="00B506CF" w:rsidP="00E709F4">
      <w:pPr>
        <w:spacing w:after="120"/>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 xml:space="preserve">• La lista de los Contratos en Ejecución, suscritos por sociedades, consorcios o uniones temporales, en los cuales el proponente tenga participación, así como el valor y plazo de tales contratos. </w:t>
      </w:r>
    </w:p>
    <w:p w14:paraId="227AB555" w14:textId="2EA4D649" w:rsidR="00B506CF" w:rsidRPr="00C54AA4" w:rsidRDefault="00B506CF" w:rsidP="0056663E">
      <w:pPr>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 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432929F5" w14:textId="1D3B67FC" w:rsidR="00B506CF" w:rsidRPr="00C54AA4" w:rsidRDefault="00B506CF" w:rsidP="002744EE">
      <w:pPr>
        <w:jc w:val="both"/>
        <w:rPr>
          <w:rFonts w:ascii="Arial" w:eastAsia="Calibri" w:hAnsi="Arial" w:cs="Arial"/>
          <w:bCs/>
          <w:color w:val="000000" w:themeColor="text1"/>
          <w:sz w:val="20"/>
          <w:szCs w:val="20"/>
          <w:lang w:val="es-CO"/>
        </w:rPr>
      </w:pPr>
    </w:p>
    <w:p w14:paraId="22CA05B2" w14:textId="26E04528" w:rsidR="00B506CF" w:rsidRPr="00C54AA4" w:rsidRDefault="00B506CF" w:rsidP="77769FAE">
      <w:pPr>
        <w:jc w:val="both"/>
        <w:rPr>
          <w:rFonts w:ascii="Arial" w:eastAsia="Calibri" w:hAnsi="Arial" w:cs="Arial"/>
          <w:b/>
          <w:bCs/>
          <w:color w:val="000000" w:themeColor="text1"/>
          <w:sz w:val="22"/>
          <w:szCs w:val="22"/>
          <w:lang w:val="es-CO"/>
        </w:rPr>
      </w:pPr>
      <w:r w:rsidRPr="77769FAE">
        <w:rPr>
          <w:rFonts w:ascii="Arial" w:eastAsia="Calibri" w:hAnsi="Arial" w:cs="Arial"/>
          <w:b/>
          <w:bCs/>
          <w:color w:val="000000" w:themeColor="text1"/>
          <w:sz w:val="22"/>
          <w:szCs w:val="22"/>
          <w:lang w:val="es-CO"/>
        </w:rPr>
        <w:t>CAPACIDAD RESIDUAL</w:t>
      </w:r>
      <w:r w:rsidR="299B2210" w:rsidRPr="77769FAE">
        <w:rPr>
          <w:rFonts w:ascii="Arial" w:eastAsia="Arial" w:hAnsi="Arial" w:cs="Arial"/>
          <w:b/>
          <w:bCs/>
          <w:sz w:val="22"/>
          <w:szCs w:val="22"/>
          <w:lang w:val="es-MX"/>
        </w:rPr>
        <w:t xml:space="preserve"> – Proceso de contratación</w:t>
      </w:r>
      <w:r w:rsidR="00D558E2" w:rsidRPr="77769FAE">
        <w:rPr>
          <w:rFonts w:ascii="Arial" w:eastAsia="Calibri" w:hAnsi="Arial" w:cs="Arial"/>
          <w:b/>
          <w:bCs/>
          <w:color w:val="000000" w:themeColor="text1"/>
          <w:sz w:val="22"/>
          <w:szCs w:val="22"/>
          <w:lang w:val="es-CO"/>
        </w:rPr>
        <w:t xml:space="preserve"> </w:t>
      </w:r>
      <w:r w:rsidR="008B1B51" w:rsidRPr="77769FAE">
        <w:rPr>
          <w:rFonts w:ascii="Arial" w:eastAsia="Calibri" w:hAnsi="Arial" w:cs="Arial"/>
          <w:b/>
          <w:bCs/>
          <w:color w:val="000000" w:themeColor="text1"/>
          <w:sz w:val="22"/>
          <w:szCs w:val="22"/>
          <w:lang w:val="es-CO"/>
        </w:rPr>
        <w:t>–</w:t>
      </w:r>
      <w:r w:rsidRPr="77769FAE">
        <w:rPr>
          <w:rFonts w:ascii="Arial" w:eastAsia="Calibri" w:hAnsi="Arial" w:cs="Arial"/>
          <w:b/>
          <w:bCs/>
          <w:color w:val="000000" w:themeColor="text1"/>
          <w:sz w:val="22"/>
          <w:szCs w:val="22"/>
          <w:lang w:val="es-CO"/>
        </w:rPr>
        <w:t xml:space="preserve"> Cálculo</w:t>
      </w:r>
    </w:p>
    <w:p w14:paraId="3B49534F" w14:textId="77777777" w:rsidR="00B506CF" w:rsidRPr="00C54AA4" w:rsidRDefault="00B506CF" w:rsidP="002744EE">
      <w:pPr>
        <w:jc w:val="both"/>
        <w:rPr>
          <w:rFonts w:ascii="Arial" w:eastAsia="Calibri" w:hAnsi="Arial" w:cs="Arial"/>
          <w:b/>
          <w:color w:val="000000" w:themeColor="text1"/>
          <w:sz w:val="20"/>
          <w:szCs w:val="20"/>
          <w:lang w:val="es-CO"/>
        </w:rPr>
      </w:pPr>
    </w:p>
    <w:p w14:paraId="0B10E912" w14:textId="1A90BFCE" w:rsidR="00B506CF" w:rsidRPr="00C54AA4" w:rsidRDefault="00E709F4" w:rsidP="3AE934FA">
      <w:pPr>
        <w:jc w:val="both"/>
        <w:rPr>
          <w:rFonts w:ascii="Arial" w:eastAsia="Calibri" w:hAnsi="Arial" w:cs="Arial"/>
          <w:color w:val="000000" w:themeColor="text1"/>
          <w:sz w:val="20"/>
          <w:szCs w:val="20"/>
          <w:lang w:val="es-CO"/>
        </w:rPr>
      </w:pPr>
      <w:r w:rsidRPr="00C54AA4">
        <w:rPr>
          <w:rFonts w:ascii="Arial" w:eastAsia="Calibri" w:hAnsi="Arial" w:cs="Arial"/>
          <w:color w:val="000000" w:themeColor="text1"/>
          <w:sz w:val="20"/>
          <w:szCs w:val="20"/>
          <w:lang w:val="es-CO"/>
        </w:rPr>
        <w:t xml:space="preserve">[…] </w:t>
      </w:r>
      <w:r w:rsidR="42906173" w:rsidRPr="00C54AA4">
        <w:rPr>
          <w:rFonts w:ascii="Arial" w:eastAsia="Calibri" w:hAnsi="Arial" w:cs="Arial"/>
          <w:color w:val="000000" w:themeColor="text1"/>
          <w:sz w:val="20"/>
          <w:szCs w:val="20"/>
          <w:lang w:val="es-CO"/>
        </w:rPr>
        <w:t>p</w:t>
      </w:r>
      <w:r w:rsidR="00D558E2" w:rsidRPr="00C54AA4">
        <w:rPr>
          <w:rFonts w:ascii="Arial" w:eastAsia="Calibri" w:hAnsi="Arial" w:cs="Arial"/>
          <w:color w:val="000000" w:themeColor="text1"/>
          <w:sz w:val="20"/>
          <w:szCs w:val="20"/>
          <w:lang w:val="es-CO"/>
        </w:rPr>
        <w:t>ara establecer la capacidad residual del proceso de contratación «CRPC», se debe establecer si el plazo del contrato es superior de doce meses. Si no lo es, la CRPC equivale al presupuesto oficial estimado del Proceso de Contratación menos el anticipo o pago anticipado cuando haya lugar. Si sí lo es, equivale a la proporción lineal de 12 meses del presupuesto oficial estimado menos el anticipo o pago anticipado.</w:t>
      </w:r>
    </w:p>
    <w:p w14:paraId="46E4760E" w14:textId="4591D20D" w:rsidR="00D558E2" w:rsidRPr="00C54AA4" w:rsidRDefault="00D558E2" w:rsidP="002744EE">
      <w:pPr>
        <w:jc w:val="both"/>
        <w:rPr>
          <w:rFonts w:ascii="Arial" w:eastAsia="Calibri" w:hAnsi="Arial" w:cs="Arial"/>
          <w:bCs/>
          <w:color w:val="000000" w:themeColor="text1"/>
          <w:sz w:val="20"/>
          <w:szCs w:val="20"/>
          <w:lang w:val="es-CO"/>
        </w:rPr>
      </w:pPr>
    </w:p>
    <w:p w14:paraId="1483C452" w14:textId="133A84A0" w:rsidR="00D558E2" w:rsidRPr="00C54AA4" w:rsidRDefault="00D558E2" w:rsidP="77769FAE">
      <w:pPr>
        <w:jc w:val="both"/>
        <w:rPr>
          <w:rFonts w:ascii="Arial" w:eastAsia="Calibri" w:hAnsi="Arial" w:cs="Arial"/>
          <w:b/>
          <w:bCs/>
          <w:color w:val="000000" w:themeColor="text1"/>
          <w:sz w:val="22"/>
          <w:szCs w:val="22"/>
          <w:lang w:val="es-CO"/>
        </w:rPr>
      </w:pPr>
      <w:r w:rsidRPr="77769FAE">
        <w:rPr>
          <w:rFonts w:ascii="Arial" w:eastAsia="Calibri" w:hAnsi="Arial" w:cs="Arial"/>
          <w:b/>
          <w:bCs/>
          <w:color w:val="000000" w:themeColor="text1"/>
          <w:sz w:val="22"/>
          <w:szCs w:val="22"/>
          <w:lang w:val="es-CO"/>
        </w:rPr>
        <w:t xml:space="preserve">CAPACIDAD RESIDUAL </w:t>
      </w:r>
      <w:r w:rsidR="6576671A" w:rsidRPr="77769FAE">
        <w:rPr>
          <w:rFonts w:ascii="Arial" w:eastAsia="Calibri" w:hAnsi="Arial" w:cs="Arial"/>
          <w:b/>
          <w:bCs/>
          <w:color w:val="000000" w:themeColor="text1"/>
          <w:sz w:val="22"/>
          <w:szCs w:val="22"/>
          <w:lang w:val="es-CO"/>
        </w:rPr>
        <w:t>– Proponente</w:t>
      </w:r>
      <w:r w:rsidRPr="77769FAE">
        <w:rPr>
          <w:rFonts w:ascii="Arial" w:eastAsia="Calibri" w:hAnsi="Arial" w:cs="Arial"/>
          <w:b/>
          <w:bCs/>
          <w:color w:val="000000" w:themeColor="text1"/>
          <w:sz w:val="22"/>
          <w:szCs w:val="22"/>
          <w:lang w:val="es-CO"/>
        </w:rPr>
        <w:t xml:space="preserve"> </w:t>
      </w:r>
      <w:r w:rsidR="008B1B51" w:rsidRPr="77769FAE">
        <w:rPr>
          <w:rFonts w:ascii="Arial" w:eastAsia="Calibri" w:hAnsi="Arial" w:cs="Arial"/>
          <w:b/>
          <w:bCs/>
          <w:color w:val="000000" w:themeColor="text1"/>
          <w:sz w:val="22"/>
          <w:szCs w:val="22"/>
          <w:lang w:val="es-CO"/>
        </w:rPr>
        <w:t>–</w:t>
      </w:r>
      <w:r w:rsidRPr="77769FAE">
        <w:rPr>
          <w:rFonts w:ascii="Arial" w:eastAsia="Calibri" w:hAnsi="Arial" w:cs="Arial"/>
          <w:b/>
          <w:bCs/>
          <w:color w:val="000000" w:themeColor="text1"/>
          <w:sz w:val="22"/>
          <w:szCs w:val="22"/>
          <w:lang w:val="es-CO"/>
        </w:rPr>
        <w:t xml:space="preserve"> Cálculo</w:t>
      </w:r>
    </w:p>
    <w:p w14:paraId="1E0F2B46" w14:textId="77777777" w:rsidR="00D558E2" w:rsidRPr="00C54AA4" w:rsidRDefault="00D558E2" w:rsidP="002744EE">
      <w:pPr>
        <w:jc w:val="both"/>
        <w:rPr>
          <w:rFonts w:ascii="Arial" w:eastAsia="Calibri" w:hAnsi="Arial" w:cs="Arial"/>
          <w:b/>
          <w:color w:val="000000" w:themeColor="text1"/>
          <w:sz w:val="20"/>
          <w:szCs w:val="20"/>
          <w:lang w:val="es-CO"/>
        </w:rPr>
      </w:pPr>
    </w:p>
    <w:p w14:paraId="2A05DF9E" w14:textId="599A21E9" w:rsidR="00D558E2" w:rsidRPr="00C54AA4" w:rsidRDefault="00D558E2" w:rsidP="002744EE">
      <w:pPr>
        <w:jc w:val="both"/>
        <w:rPr>
          <w:rFonts w:ascii="Arial" w:eastAsia="Calibri" w:hAnsi="Arial" w:cs="Arial"/>
          <w:bCs/>
          <w:color w:val="000000" w:themeColor="text1"/>
          <w:sz w:val="19"/>
          <w:szCs w:val="19"/>
          <w:lang w:val="es-CO"/>
        </w:rPr>
      </w:pPr>
      <w:r w:rsidRPr="00C54AA4">
        <w:rPr>
          <w:rFonts w:ascii="Arial" w:eastAsia="Calibri" w:hAnsi="Arial" w:cs="Arial"/>
          <w:bCs/>
          <w:color w:val="000000" w:themeColor="text1"/>
          <w:sz w:val="20"/>
          <w:szCs w:val="20"/>
          <w:lang w:val="es-CO"/>
        </w:rPr>
        <w:t>Para […]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y según la siguiente formula</w:t>
      </w:r>
      <w:r w:rsidRPr="00C54AA4">
        <w:rPr>
          <w:rFonts w:ascii="Arial" w:eastAsia="Calibri" w:hAnsi="Arial" w:cs="Arial"/>
          <w:bCs/>
          <w:color w:val="000000" w:themeColor="text1"/>
          <w:sz w:val="19"/>
          <w:szCs w:val="19"/>
          <w:lang w:val="es-CO"/>
        </w:rPr>
        <w:t>:</w:t>
      </w:r>
    </w:p>
    <w:p w14:paraId="3E607B1A" w14:textId="0C53DC86" w:rsidR="00D558E2" w:rsidRPr="00C54AA4" w:rsidRDefault="00D558E2" w:rsidP="002744EE">
      <w:pPr>
        <w:jc w:val="both"/>
        <w:rPr>
          <w:rFonts w:ascii="Arial" w:eastAsia="Calibri" w:hAnsi="Arial" w:cs="Arial"/>
          <w:bCs/>
          <w:color w:val="000000" w:themeColor="text1"/>
          <w:sz w:val="20"/>
          <w:szCs w:val="20"/>
          <w:lang w:val="es-CO"/>
        </w:rPr>
      </w:pPr>
      <w:r w:rsidRPr="00C54AA4">
        <w:rPr>
          <w:noProof/>
          <w:color w:val="000000" w:themeColor="text1"/>
          <w:lang w:val="es-CO"/>
        </w:rPr>
        <w:drawing>
          <wp:anchor distT="0" distB="0" distL="0" distR="0" simplePos="0" relativeHeight="251661312" behindDoc="0" locked="0" layoutInCell="1" allowOverlap="1" wp14:anchorId="25D1F08C" wp14:editId="45357016">
            <wp:simplePos x="0" y="0"/>
            <wp:positionH relativeFrom="margin">
              <wp:align>left</wp:align>
            </wp:positionH>
            <wp:positionV relativeFrom="paragraph">
              <wp:posOffset>179070</wp:posOffset>
            </wp:positionV>
            <wp:extent cx="4638040" cy="674370"/>
            <wp:effectExtent l="0" t="0" r="0" b="0"/>
            <wp:wrapTopAndBottom/>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165F71F5" w14:textId="40A0C0D4" w:rsidR="00D558E2" w:rsidRPr="00C54AA4" w:rsidRDefault="00D558E2" w:rsidP="002744EE">
      <w:pPr>
        <w:jc w:val="both"/>
        <w:rPr>
          <w:rFonts w:ascii="Arial" w:eastAsia="Calibri" w:hAnsi="Arial" w:cs="Arial"/>
          <w:bCs/>
          <w:color w:val="000000" w:themeColor="text1"/>
          <w:sz w:val="20"/>
          <w:szCs w:val="20"/>
          <w:lang w:val="es-CO"/>
        </w:rPr>
      </w:pPr>
    </w:p>
    <w:p w14:paraId="063403D5" w14:textId="13CC4AD1" w:rsidR="00D558E2" w:rsidRPr="00C54AA4" w:rsidRDefault="00D558E2" w:rsidP="002744EE">
      <w:pPr>
        <w:jc w:val="both"/>
        <w:rPr>
          <w:rFonts w:ascii="Arial" w:eastAsia="Calibri" w:hAnsi="Arial" w:cs="Arial"/>
          <w:bCs/>
          <w:color w:val="000000" w:themeColor="text1"/>
          <w:sz w:val="20"/>
          <w:szCs w:val="20"/>
          <w:lang w:val="es-CO"/>
        </w:rPr>
      </w:pPr>
      <w:r w:rsidRPr="00C54AA4">
        <w:rPr>
          <w:rFonts w:ascii="Arial" w:eastAsia="Calibri" w:hAnsi="Arial" w:cs="Arial"/>
          <w:bCs/>
          <w:color w:val="000000" w:themeColor="text1"/>
          <w:sz w:val="20"/>
          <w:szCs w:val="20"/>
          <w:lang w:val="es-CO"/>
        </w:rPr>
        <w:t>La «CO» no tiene asignación de puntaje en la fórmula, por un lado, porque su unidad de medida es en pesos colombianos «COP» y, por el otro, debido a que el mismo constituye un factor multiplicador de los demás factores en la fórmula.</w:t>
      </w:r>
    </w:p>
    <w:p w14:paraId="1F5F005B" w14:textId="1A9D6107" w:rsidR="00D558E2" w:rsidRPr="00C54AA4" w:rsidRDefault="00D558E2" w:rsidP="002744EE">
      <w:pPr>
        <w:jc w:val="both"/>
        <w:rPr>
          <w:rFonts w:ascii="Arial" w:eastAsia="Calibri" w:hAnsi="Arial" w:cs="Arial"/>
          <w:bCs/>
          <w:color w:val="000000" w:themeColor="text1"/>
          <w:sz w:val="20"/>
          <w:szCs w:val="20"/>
          <w:lang w:val="es-CO"/>
        </w:rPr>
      </w:pPr>
    </w:p>
    <w:p w14:paraId="478E76F9" w14:textId="680EB190" w:rsidR="00AD2D78" w:rsidRPr="00C54AA4" w:rsidRDefault="006B0409" w:rsidP="77769FAE">
      <w:pPr>
        <w:autoSpaceDE w:val="0"/>
        <w:autoSpaceDN w:val="0"/>
        <w:adjustRightInd w:val="0"/>
        <w:jc w:val="both"/>
        <w:rPr>
          <w:rFonts w:ascii="Arial" w:eastAsia="Calibri" w:hAnsi="Arial" w:cs="Arial"/>
          <w:b/>
          <w:bCs/>
          <w:color w:val="000000" w:themeColor="text1"/>
          <w:sz w:val="22"/>
          <w:szCs w:val="22"/>
          <w:lang w:val="es-CO"/>
        </w:rPr>
      </w:pPr>
      <w:r w:rsidRPr="77769FAE">
        <w:rPr>
          <w:rFonts w:ascii="Arial" w:eastAsia="Calibri" w:hAnsi="Arial" w:cs="Arial"/>
          <w:b/>
          <w:bCs/>
          <w:color w:val="000000" w:themeColor="text1"/>
          <w:sz w:val="22"/>
          <w:szCs w:val="22"/>
          <w:lang w:val="es-CO"/>
        </w:rPr>
        <w:t xml:space="preserve">CAPACIDAD RESIDUAL </w:t>
      </w:r>
      <w:r w:rsidR="6AC99553" w:rsidRPr="77769FAE">
        <w:rPr>
          <w:rFonts w:ascii="Arial" w:eastAsia="Calibri" w:hAnsi="Arial" w:cs="Arial"/>
          <w:b/>
          <w:bCs/>
          <w:color w:val="000000" w:themeColor="text1"/>
          <w:sz w:val="22"/>
          <w:szCs w:val="22"/>
          <w:lang w:val="es-CO"/>
        </w:rPr>
        <w:t>– Proponente</w:t>
      </w:r>
      <w:r w:rsidRPr="77769FAE">
        <w:rPr>
          <w:rFonts w:ascii="Arial" w:eastAsia="Calibri" w:hAnsi="Arial" w:cs="Arial"/>
          <w:b/>
          <w:bCs/>
          <w:color w:val="000000" w:themeColor="text1"/>
          <w:sz w:val="22"/>
          <w:szCs w:val="22"/>
          <w:lang w:val="es-CO"/>
        </w:rPr>
        <w:t xml:space="preserve"> – Saldos </w:t>
      </w:r>
      <w:r w:rsidR="5D4FBDA7" w:rsidRPr="77769FAE">
        <w:rPr>
          <w:rFonts w:ascii="Arial" w:eastAsia="Calibri" w:hAnsi="Arial" w:cs="Arial"/>
          <w:b/>
          <w:bCs/>
          <w:color w:val="000000" w:themeColor="text1"/>
          <w:sz w:val="22"/>
          <w:szCs w:val="22"/>
          <w:lang w:val="es-CO"/>
        </w:rPr>
        <w:t xml:space="preserve">– </w:t>
      </w:r>
      <w:r w:rsidRPr="77769FAE">
        <w:rPr>
          <w:rFonts w:ascii="Arial" w:eastAsia="Calibri" w:hAnsi="Arial" w:cs="Arial"/>
          <w:b/>
          <w:bCs/>
          <w:color w:val="000000" w:themeColor="text1"/>
          <w:sz w:val="22"/>
          <w:szCs w:val="22"/>
          <w:lang w:val="es-CO"/>
        </w:rPr>
        <w:t xml:space="preserve">Contratos en Ejecución – Contratos suscritos </w:t>
      </w:r>
    </w:p>
    <w:p w14:paraId="4B97AB31" w14:textId="148F43E8" w:rsidR="006B0409" w:rsidRPr="00C54AA4" w:rsidRDefault="006B0409" w:rsidP="006B0409">
      <w:pPr>
        <w:autoSpaceDE w:val="0"/>
        <w:autoSpaceDN w:val="0"/>
        <w:adjustRightInd w:val="0"/>
        <w:jc w:val="both"/>
        <w:rPr>
          <w:rFonts w:ascii="Arial" w:eastAsia="Calibri" w:hAnsi="Arial" w:cs="Arial"/>
          <w:b/>
          <w:color w:val="000000" w:themeColor="text1"/>
          <w:sz w:val="22"/>
          <w:lang w:val="es-CO"/>
        </w:rPr>
      </w:pPr>
    </w:p>
    <w:p w14:paraId="6C7DA039" w14:textId="09EC60F9" w:rsidR="006B0409" w:rsidRPr="00C54AA4" w:rsidRDefault="006B0409" w:rsidP="00C96072">
      <w:pPr>
        <w:ind w:right="49"/>
        <w:jc w:val="both"/>
        <w:rPr>
          <w:rFonts w:ascii="Arial" w:eastAsia="Arial," w:hAnsi="Arial" w:cs="Arial"/>
          <w:sz w:val="20"/>
          <w:szCs w:val="20"/>
          <w:lang w:val="es-CO"/>
        </w:rPr>
      </w:pPr>
      <w:r w:rsidRPr="00C54AA4">
        <w:rPr>
          <w:rFonts w:ascii="Arial" w:eastAsia="Arial," w:hAnsi="Arial" w:cs="Arial"/>
          <w:sz w:val="20"/>
          <w:szCs w:val="20"/>
          <w:lang w:val="es-CO"/>
        </w:rPr>
        <w:lastRenderedPageBreak/>
        <w:t xml:space="preserve">[…] para acreditar este factor, se deben tener en cuenta los contratos que han sido </w:t>
      </w:r>
      <w:r w:rsidRPr="00C54AA4">
        <w:rPr>
          <w:rFonts w:ascii="Arial" w:eastAsia="Arial," w:hAnsi="Arial" w:cs="Arial"/>
          <w:i/>
          <w:iCs/>
          <w:sz w:val="20"/>
          <w:szCs w:val="20"/>
          <w:lang w:val="es-CO"/>
        </w:rPr>
        <w:t>suscritos</w:t>
      </w:r>
      <w:r w:rsidRPr="00C54AA4">
        <w:rPr>
          <w:rFonts w:ascii="Arial" w:eastAsia="Arial," w:hAnsi="Arial" w:cs="Arial"/>
          <w:sz w:val="20"/>
          <w:szCs w:val="20"/>
          <w:lang w:val="es-CO"/>
        </w:rPr>
        <w:t xml:space="preserve"> por el contratista</w:t>
      </w:r>
      <w:r w:rsidR="005D504C">
        <w:rPr>
          <w:rFonts w:ascii="Arial" w:eastAsia="Arial," w:hAnsi="Arial" w:cs="Arial"/>
          <w:sz w:val="20"/>
          <w:szCs w:val="20"/>
          <w:lang w:val="es-CO"/>
        </w:rPr>
        <w:t>.</w:t>
      </w:r>
      <w:r w:rsidRPr="00C54AA4">
        <w:rPr>
          <w:rFonts w:ascii="Arial" w:eastAsia="Arial," w:hAnsi="Arial" w:cs="Arial"/>
          <w:sz w:val="20"/>
          <w:szCs w:val="20"/>
          <w:lang w:val="es-CO"/>
        </w:rPr>
        <w:t xml:space="preserve"> </w:t>
      </w:r>
      <w:r w:rsidR="005D504C">
        <w:rPr>
          <w:rFonts w:ascii="Arial" w:eastAsia="Arial," w:hAnsi="Arial" w:cs="Arial"/>
          <w:sz w:val="20"/>
          <w:szCs w:val="20"/>
          <w:lang w:val="es-CO"/>
        </w:rPr>
        <w:t>L</w:t>
      </w:r>
      <w:r w:rsidRPr="00C54AA4">
        <w:rPr>
          <w:rFonts w:ascii="Arial" w:eastAsia="Arial," w:hAnsi="Arial" w:cs="Arial"/>
          <w:sz w:val="20"/>
          <w:szCs w:val="20"/>
          <w:lang w:val="es-CO"/>
        </w:rPr>
        <w:t>a Ley 80 de 1993 ha exigido la formalidad para que el contrato se perfeccione; sobre este aspecto el art</w:t>
      </w:r>
      <w:r w:rsidR="005D504C">
        <w:rPr>
          <w:rFonts w:ascii="Arial" w:eastAsia="Arial," w:hAnsi="Arial" w:cs="Arial"/>
          <w:sz w:val="20"/>
          <w:szCs w:val="20"/>
          <w:lang w:val="es-CO"/>
        </w:rPr>
        <w:t>í</w:t>
      </w:r>
      <w:r w:rsidRPr="00C54AA4">
        <w:rPr>
          <w:rFonts w:ascii="Arial" w:eastAsia="Arial," w:hAnsi="Arial" w:cs="Arial"/>
          <w:sz w:val="20"/>
          <w:szCs w:val="20"/>
          <w:lang w:val="es-CO"/>
        </w:rPr>
        <w:t xml:space="preserve">culo 39 dispuso que </w:t>
      </w:r>
      <w:r w:rsidRPr="00C54AA4">
        <w:rPr>
          <w:rFonts w:ascii="Arial" w:hAnsi="Arial" w:cs="Arial"/>
          <w:color w:val="000000" w:themeColor="text1"/>
          <w:sz w:val="20"/>
          <w:szCs w:val="20"/>
          <w:lang w:val="es-CO"/>
        </w:rPr>
        <w:t>«</w:t>
      </w:r>
      <w:r w:rsidRPr="00C54AA4">
        <w:rPr>
          <w:rFonts w:ascii="Arial" w:eastAsia="Arial," w:hAnsi="Arial" w:cs="Arial"/>
          <w:sz w:val="20"/>
          <w:szCs w:val="20"/>
          <w:lang w:val="es-CO"/>
        </w:rPr>
        <w:t>los contratos que celebren las entidades estatales constarán por escrito […]</w:t>
      </w:r>
      <w:r w:rsidRPr="00C54AA4">
        <w:rPr>
          <w:rFonts w:ascii="Arial" w:hAnsi="Arial" w:cs="Arial"/>
          <w:color w:val="000000" w:themeColor="text1"/>
          <w:sz w:val="20"/>
          <w:szCs w:val="20"/>
          <w:lang w:val="es-CO"/>
        </w:rPr>
        <w:t>»</w:t>
      </w:r>
      <w:r w:rsidR="00B260AA">
        <w:rPr>
          <w:rFonts w:ascii="Arial" w:hAnsi="Arial" w:cs="Arial"/>
          <w:color w:val="000000" w:themeColor="text1"/>
          <w:sz w:val="20"/>
          <w:szCs w:val="20"/>
          <w:lang w:val="es-CO"/>
        </w:rPr>
        <w:t>.</w:t>
      </w:r>
      <w:r w:rsidRPr="00C54AA4">
        <w:rPr>
          <w:rFonts w:ascii="Arial" w:hAnsi="Arial" w:cs="Arial"/>
          <w:color w:val="000000" w:themeColor="text1"/>
          <w:sz w:val="20"/>
          <w:szCs w:val="20"/>
          <w:lang w:val="es-CO"/>
        </w:rPr>
        <w:t xml:space="preserve"> </w:t>
      </w:r>
      <w:r w:rsidR="00B260AA">
        <w:rPr>
          <w:rFonts w:ascii="Arial" w:hAnsi="Arial" w:cs="Arial"/>
          <w:color w:val="000000" w:themeColor="text1"/>
          <w:sz w:val="20"/>
          <w:szCs w:val="20"/>
          <w:lang w:val="es-CO"/>
        </w:rPr>
        <w:t>A</w:t>
      </w:r>
      <w:r w:rsidRPr="00C54AA4">
        <w:rPr>
          <w:rFonts w:ascii="Arial" w:hAnsi="Arial" w:cs="Arial"/>
          <w:color w:val="000000" w:themeColor="text1"/>
          <w:sz w:val="20"/>
          <w:szCs w:val="20"/>
          <w:lang w:val="es-CO"/>
        </w:rPr>
        <w:t>sí las cosas</w:t>
      </w:r>
      <w:r w:rsidR="00B260AA">
        <w:rPr>
          <w:rFonts w:ascii="Arial" w:hAnsi="Arial" w:cs="Arial"/>
          <w:color w:val="000000" w:themeColor="text1"/>
          <w:sz w:val="20"/>
          <w:szCs w:val="20"/>
          <w:lang w:val="es-CO"/>
        </w:rPr>
        <w:t>,</w:t>
      </w:r>
      <w:r w:rsidRPr="00C54AA4">
        <w:rPr>
          <w:rFonts w:ascii="Arial" w:hAnsi="Arial" w:cs="Arial"/>
          <w:color w:val="000000" w:themeColor="text1"/>
          <w:sz w:val="20"/>
          <w:szCs w:val="20"/>
          <w:lang w:val="es-CO"/>
        </w:rPr>
        <w:t xml:space="preserve"> para que el contrato exista y produzca efectos jurídicos, este deberá ser elevado a escrito y ser suscrito por las partes</w:t>
      </w:r>
      <w:r w:rsidR="00B260AA">
        <w:rPr>
          <w:rFonts w:ascii="Arial" w:hAnsi="Arial" w:cs="Arial"/>
          <w:color w:val="000000" w:themeColor="text1"/>
          <w:sz w:val="20"/>
          <w:szCs w:val="20"/>
          <w:lang w:val="es-CO"/>
        </w:rPr>
        <w:t>.</w:t>
      </w:r>
      <w:r w:rsidRPr="00C54AA4">
        <w:rPr>
          <w:rFonts w:ascii="Arial" w:hAnsi="Arial" w:cs="Arial"/>
          <w:color w:val="000000" w:themeColor="text1"/>
          <w:sz w:val="20"/>
          <w:szCs w:val="20"/>
          <w:lang w:val="es-CO"/>
        </w:rPr>
        <w:t xml:space="preserve"> </w:t>
      </w:r>
      <w:r w:rsidR="00B260AA">
        <w:rPr>
          <w:rFonts w:ascii="Arial" w:hAnsi="Arial" w:cs="Arial"/>
          <w:color w:val="000000" w:themeColor="text1"/>
          <w:sz w:val="20"/>
          <w:szCs w:val="20"/>
          <w:lang w:val="es-CO"/>
        </w:rPr>
        <w:t>P</w:t>
      </w:r>
      <w:r w:rsidRPr="00C54AA4">
        <w:rPr>
          <w:rFonts w:ascii="Arial" w:hAnsi="Arial" w:cs="Arial"/>
          <w:color w:val="000000" w:themeColor="text1"/>
          <w:sz w:val="20"/>
          <w:szCs w:val="20"/>
          <w:lang w:val="es-CO"/>
        </w:rPr>
        <w:t xml:space="preserve">or lo tanto, los procesos de contratación que han sido adjudicados aún no gozan de estas características y en consecuencia, no deben ser contemplados para acreditar el factor (SCE) de la capacidad residual del contratista. </w:t>
      </w:r>
    </w:p>
    <w:p w14:paraId="572CCB3C" w14:textId="77777777" w:rsidR="006B0409" w:rsidRPr="00C54AA4" w:rsidRDefault="006B0409" w:rsidP="00C96072">
      <w:pPr>
        <w:autoSpaceDE w:val="0"/>
        <w:autoSpaceDN w:val="0"/>
        <w:adjustRightInd w:val="0"/>
        <w:jc w:val="both"/>
        <w:rPr>
          <w:rFonts w:ascii="Arial" w:hAnsi="Arial" w:cs="Arial"/>
          <w:color w:val="000000" w:themeColor="text1"/>
          <w:sz w:val="20"/>
          <w:szCs w:val="20"/>
          <w:lang w:val="es-CO"/>
        </w:rPr>
      </w:pPr>
    </w:p>
    <w:p w14:paraId="3E0AD22F" w14:textId="07E41BA9" w:rsidR="00D3028C" w:rsidRPr="00C54AA4" w:rsidRDefault="00D3028C" w:rsidP="00C96072">
      <w:pPr>
        <w:autoSpaceDE w:val="0"/>
        <w:autoSpaceDN w:val="0"/>
        <w:adjustRightInd w:val="0"/>
        <w:rPr>
          <w:rFonts w:ascii="Arial" w:hAnsi="Arial" w:cs="Arial"/>
          <w:color w:val="000000" w:themeColor="text1"/>
          <w:sz w:val="20"/>
          <w:szCs w:val="20"/>
          <w:lang w:val="es-CO"/>
        </w:rPr>
      </w:pPr>
    </w:p>
    <w:p w14:paraId="4E466B67" w14:textId="48ABB838" w:rsidR="0069134E" w:rsidRPr="00C54AA4" w:rsidRDefault="0069134E" w:rsidP="00C96072">
      <w:pPr>
        <w:rPr>
          <w:rFonts w:ascii="Arial" w:hAnsi="Arial" w:cs="Arial"/>
          <w:b/>
          <w:sz w:val="22"/>
          <w:lang w:val="es-CO"/>
        </w:rPr>
      </w:pPr>
      <w:r w:rsidRPr="00C54AA4">
        <w:rPr>
          <w:rFonts w:ascii="Arial" w:hAnsi="Arial" w:cs="Arial"/>
          <w:sz w:val="22"/>
          <w:lang w:val="es-CO"/>
        </w:rPr>
        <w:t xml:space="preserve">Bogotá D.C., </w:t>
      </w:r>
      <w:r w:rsidR="0024593B">
        <w:rPr>
          <w:rFonts w:ascii="Arial" w:hAnsi="Arial" w:cs="Arial"/>
          <w:b/>
          <w:sz w:val="22"/>
          <w:lang w:val="es-CO"/>
        </w:rPr>
        <w:t>06/07/2020 Hora: 23:11:23s</w:t>
      </w:r>
    </w:p>
    <w:p w14:paraId="7E933BA9" w14:textId="77777777" w:rsidR="0069134E" w:rsidRPr="00C54AA4" w:rsidRDefault="0069134E" w:rsidP="0069134E">
      <w:pPr>
        <w:jc w:val="right"/>
        <w:rPr>
          <w:rFonts w:ascii="Arial" w:hAnsi="Arial" w:cs="Arial"/>
          <w:b/>
          <w:sz w:val="22"/>
          <w:lang w:val="es-CO"/>
        </w:rPr>
      </w:pPr>
    </w:p>
    <w:p w14:paraId="0566832C" w14:textId="4E37EDC4" w:rsidR="0069134E" w:rsidRPr="00C54AA4" w:rsidRDefault="0069134E" w:rsidP="0069134E">
      <w:pPr>
        <w:jc w:val="right"/>
        <w:rPr>
          <w:rFonts w:ascii="Arial" w:hAnsi="Arial" w:cs="Arial"/>
          <w:b/>
          <w:sz w:val="22"/>
          <w:lang w:val="es-CO"/>
        </w:rPr>
      </w:pPr>
      <w:r w:rsidRPr="00C54AA4">
        <w:rPr>
          <w:rFonts w:ascii="Arial" w:hAnsi="Arial" w:cs="Arial"/>
          <w:b/>
          <w:sz w:val="22"/>
          <w:lang w:val="es-CO"/>
        </w:rPr>
        <w:t xml:space="preserve">N° Radicado: </w:t>
      </w:r>
      <w:r w:rsidR="0024593B">
        <w:rPr>
          <w:rFonts w:ascii="Arial" w:hAnsi="Arial" w:cs="Arial"/>
          <w:b/>
          <w:sz w:val="22"/>
          <w:lang w:val="es-CO"/>
        </w:rPr>
        <w:t>2202013000005909</w:t>
      </w:r>
    </w:p>
    <w:p w14:paraId="73D51859" w14:textId="6D0D1CF7" w:rsidR="00BE1E33" w:rsidRPr="00C54AA4" w:rsidRDefault="00BE1E33" w:rsidP="00BE1E33">
      <w:pPr>
        <w:rPr>
          <w:rFonts w:ascii="Arial" w:eastAsia="Calibri" w:hAnsi="Arial" w:cs="Arial"/>
          <w:color w:val="000000" w:themeColor="text1"/>
          <w:sz w:val="22"/>
          <w:lang w:val="es-CO"/>
        </w:rPr>
      </w:pPr>
      <w:r w:rsidRPr="00C54AA4">
        <w:rPr>
          <w:rFonts w:ascii="Arial" w:eastAsia="Calibri" w:hAnsi="Arial" w:cs="Arial"/>
          <w:color w:val="000000" w:themeColor="text1"/>
          <w:sz w:val="22"/>
          <w:lang w:val="es-CO"/>
        </w:rPr>
        <w:t>Señor</w:t>
      </w:r>
      <w:r w:rsidR="0069134E" w:rsidRPr="00C54AA4">
        <w:rPr>
          <w:rFonts w:ascii="Arial" w:eastAsia="Calibri" w:hAnsi="Arial" w:cs="Arial"/>
          <w:color w:val="000000" w:themeColor="text1"/>
          <w:sz w:val="22"/>
          <w:lang w:val="es-CO"/>
        </w:rPr>
        <w:t>a</w:t>
      </w:r>
    </w:p>
    <w:p w14:paraId="51140DA2" w14:textId="626FD882" w:rsidR="00BE1E33" w:rsidRPr="00C54AA4" w:rsidRDefault="0069134E" w:rsidP="00BE1E33">
      <w:pPr>
        <w:rPr>
          <w:rFonts w:ascii="Arial" w:eastAsia="Calibri" w:hAnsi="Arial" w:cs="Arial"/>
          <w:b/>
          <w:color w:val="000000" w:themeColor="text1"/>
          <w:sz w:val="22"/>
          <w:lang w:val="es-CO"/>
        </w:rPr>
      </w:pPr>
      <w:r w:rsidRPr="00C54AA4">
        <w:rPr>
          <w:rFonts w:ascii="Arial" w:eastAsia="Calibri" w:hAnsi="Arial" w:cs="Arial"/>
          <w:b/>
          <w:color w:val="000000" w:themeColor="text1"/>
          <w:sz w:val="22"/>
          <w:lang w:val="es-CO"/>
        </w:rPr>
        <w:t xml:space="preserve">Leidy Lorena Meneses </w:t>
      </w:r>
      <w:r w:rsidR="005F5F03" w:rsidRPr="00C54AA4">
        <w:rPr>
          <w:rFonts w:ascii="Arial" w:eastAsia="Calibri" w:hAnsi="Arial" w:cs="Arial"/>
          <w:b/>
          <w:color w:val="000000" w:themeColor="text1"/>
          <w:sz w:val="22"/>
          <w:lang w:val="es-CO"/>
        </w:rPr>
        <w:t>Gómez</w:t>
      </w:r>
      <w:r w:rsidRPr="00C54AA4">
        <w:rPr>
          <w:rFonts w:ascii="Arial" w:eastAsia="Calibri" w:hAnsi="Arial" w:cs="Arial"/>
          <w:b/>
          <w:color w:val="000000" w:themeColor="text1"/>
          <w:sz w:val="22"/>
          <w:lang w:val="es-CO"/>
        </w:rPr>
        <w:t xml:space="preserve"> </w:t>
      </w:r>
    </w:p>
    <w:p w14:paraId="1F3204AE" w14:textId="5288AED0" w:rsidR="00BE1E33" w:rsidRPr="00C54AA4" w:rsidRDefault="0069134E" w:rsidP="00BE1E33">
      <w:pPr>
        <w:rPr>
          <w:rFonts w:ascii="Arial" w:eastAsia="Calibri" w:hAnsi="Arial" w:cs="Arial"/>
          <w:color w:val="000000" w:themeColor="text1"/>
          <w:sz w:val="22"/>
          <w:lang w:val="es-CO"/>
        </w:rPr>
      </w:pPr>
      <w:r w:rsidRPr="00C54AA4">
        <w:rPr>
          <w:rFonts w:ascii="Arial" w:eastAsia="Calibri" w:hAnsi="Arial" w:cs="Arial"/>
          <w:color w:val="000000" w:themeColor="text1"/>
          <w:sz w:val="22"/>
          <w:lang w:val="es-CO"/>
        </w:rPr>
        <w:t xml:space="preserve">Popayán, Cauca </w:t>
      </w:r>
    </w:p>
    <w:p w14:paraId="4D0493C5" w14:textId="77777777" w:rsidR="004A3688" w:rsidRPr="00C54AA4" w:rsidRDefault="004A3688" w:rsidP="00BE1E33">
      <w:pPr>
        <w:rPr>
          <w:rFonts w:ascii="Arial" w:eastAsia="Calibri" w:hAnsi="Arial" w:cs="Arial"/>
          <w:color w:val="000000" w:themeColor="text1"/>
          <w:sz w:val="22"/>
          <w:lang w:val="es-CO"/>
        </w:rPr>
      </w:pPr>
    </w:p>
    <w:p w14:paraId="5FA995C9" w14:textId="77777777" w:rsidR="004A3688" w:rsidRPr="00C54AA4" w:rsidRDefault="004A3688" w:rsidP="00BE1E33">
      <w:pPr>
        <w:rPr>
          <w:rFonts w:ascii="Arial" w:eastAsia="Calibri" w:hAnsi="Arial" w:cs="Arial"/>
          <w:color w:val="000000" w:themeColor="text1"/>
          <w:sz w:val="22"/>
          <w:lang w:val="es-CO"/>
        </w:rPr>
      </w:pPr>
    </w:p>
    <w:p w14:paraId="5CEA4ADF" w14:textId="06290908" w:rsidR="00BE1E33" w:rsidRPr="00C54AA4" w:rsidRDefault="00BE1E33" w:rsidP="00BE1E33">
      <w:pPr>
        <w:ind w:firstLine="2694"/>
        <w:rPr>
          <w:rFonts w:ascii="Arial" w:eastAsia="Calibri" w:hAnsi="Arial" w:cs="Arial"/>
          <w:b/>
          <w:color w:val="000000" w:themeColor="text1"/>
          <w:sz w:val="22"/>
          <w:lang w:val="es-CO"/>
        </w:rPr>
      </w:pPr>
      <w:r w:rsidRPr="00C54AA4">
        <w:rPr>
          <w:rFonts w:ascii="Arial" w:eastAsia="Calibri" w:hAnsi="Arial" w:cs="Arial"/>
          <w:b/>
          <w:color w:val="000000" w:themeColor="text1"/>
          <w:sz w:val="22"/>
          <w:lang w:val="es-CO"/>
        </w:rPr>
        <w:t>Concepto C</w:t>
      </w:r>
      <w:r w:rsidR="00260074" w:rsidRPr="00C54AA4">
        <w:rPr>
          <w:rFonts w:ascii="Arial" w:eastAsia="Calibri" w:hAnsi="Arial" w:cs="Arial"/>
          <w:b/>
          <w:color w:val="000000" w:themeColor="text1"/>
          <w:sz w:val="22"/>
          <w:lang w:val="es-CO"/>
        </w:rPr>
        <w:t xml:space="preserve"> – 446</w:t>
      </w:r>
      <w:r w:rsidRPr="00C54AA4">
        <w:rPr>
          <w:rFonts w:ascii="Arial" w:eastAsia="Calibri" w:hAnsi="Arial" w:cs="Arial"/>
          <w:b/>
          <w:color w:val="000000" w:themeColor="text1"/>
          <w:sz w:val="22"/>
          <w:lang w:val="es-CO"/>
        </w:rPr>
        <w:t xml:space="preserve"> de 2020</w:t>
      </w:r>
    </w:p>
    <w:p w14:paraId="234727AD" w14:textId="77777777" w:rsidR="00BE1E33" w:rsidRPr="00C54AA4" w:rsidRDefault="00BE1E33" w:rsidP="00BE1E33">
      <w:pPr>
        <w:rPr>
          <w:rFonts w:ascii="Arial" w:eastAsia="Calibri" w:hAnsi="Arial" w:cs="Arial"/>
          <w:color w:val="000000" w:themeColor="text1"/>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43959" w:rsidRPr="00C54AA4" w14:paraId="2553E4F3" w14:textId="77777777" w:rsidTr="004101BC">
        <w:tc>
          <w:tcPr>
            <w:tcW w:w="2689" w:type="dxa"/>
            <w:hideMark/>
          </w:tcPr>
          <w:p w14:paraId="7BC9E971" w14:textId="77777777" w:rsidR="00BE1E33" w:rsidRPr="00C54AA4" w:rsidRDefault="00BE1E33" w:rsidP="004101BC">
            <w:pPr>
              <w:rPr>
                <w:rFonts w:ascii="Arial" w:eastAsia="Calibri" w:hAnsi="Arial" w:cs="Arial"/>
                <w:color w:val="000000" w:themeColor="text1"/>
                <w:sz w:val="22"/>
                <w:lang w:val="es-CO"/>
              </w:rPr>
            </w:pPr>
            <w:r w:rsidRPr="00C54AA4">
              <w:rPr>
                <w:rFonts w:ascii="Arial" w:eastAsia="Calibri" w:hAnsi="Arial" w:cs="Arial"/>
                <w:b/>
                <w:color w:val="000000" w:themeColor="text1"/>
                <w:sz w:val="22"/>
                <w:lang w:val="es-CO"/>
              </w:rPr>
              <w:t>Temas:</w:t>
            </w:r>
            <w:r w:rsidRPr="00C54AA4">
              <w:rPr>
                <w:rFonts w:ascii="Arial" w:eastAsia="Calibri" w:hAnsi="Arial" w:cs="Arial"/>
                <w:color w:val="000000" w:themeColor="text1"/>
                <w:sz w:val="22"/>
                <w:lang w:val="es-CO"/>
              </w:rPr>
              <w:t xml:space="preserve">           </w:t>
            </w:r>
          </w:p>
          <w:p w14:paraId="0C0D8CD7" w14:textId="77777777" w:rsidR="00BE1E33" w:rsidRPr="00C54AA4" w:rsidRDefault="00BE1E33" w:rsidP="004101BC">
            <w:pPr>
              <w:rPr>
                <w:rFonts w:ascii="Arial" w:eastAsia="Calibri" w:hAnsi="Arial" w:cs="Arial"/>
                <w:color w:val="000000" w:themeColor="text1"/>
                <w:sz w:val="22"/>
                <w:lang w:val="es-CO"/>
              </w:rPr>
            </w:pPr>
            <w:r w:rsidRPr="00C54AA4">
              <w:rPr>
                <w:rFonts w:ascii="Arial" w:eastAsia="Calibri" w:hAnsi="Arial" w:cs="Arial"/>
                <w:color w:val="000000" w:themeColor="text1"/>
                <w:sz w:val="22"/>
                <w:lang w:val="es-CO"/>
              </w:rPr>
              <w:t xml:space="preserve">                           </w:t>
            </w:r>
          </w:p>
        </w:tc>
        <w:tc>
          <w:tcPr>
            <w:tcW w:w="6237" w:type="dxa"/>
            <w:hideMark/>
          </w:tcPr>
          <w:p w14:paraId="2260DD0F" w14:textId="6C5BB7C6" w:rsidR="006B0409" w:rsidRPr="00C54AA4" w:rsidRDefault="006B0409" w:rsidP="006B0409">
            <w:pPr>
              <w:autoSpaceDE w:val="0"/>
              <w:autoSpaceDN w:val="0"/>
              <w:adjustRightInd w:val="0"/>
              <w:jc w:val="both"/>
              <w:rPr>
                <w:rFonts w:ascii="Arial" w:eastAsia="Calibri" w:hAnsi="Arial" w:cs="Arial"/>
                <w:bCs/>
                <w:color w:val="000000" w:themeColor="text1"/>
                <w:sz w:val="22"/>
                <w:lang w:val="es-CO"/>
              </w:rPr>
            </w:pPr>
            <w:r w:rsidRPr="00C54AA4">
              <w:rPr>
                <w:rFonts w:ascii="Arial" w:eastAsia="Calibri" w:hAnsi="Arial" w:cs="Arial"/>
                <w:bCs/>
                <w:color w:val="000000" w:themeColor="text1"/>
                <w:sz w:val="22"/>
                <w:lang w:val="es-CO"/>
              </w:rPr>
              <w:t xml:space="preserve">CAPACIDAD RESIDUAL – Definición / CAPACIDAD RESIDUAL – Cálculo – Factores / CAPACIDAD RESIDUAL – Cálculo – Factores en contratos de obra / CAPACIDAD RESIDUAL – Carga de las entidades públicas / CAPACIDAD RESIDUAL – Carga de los proponentes / CAPACIDAD RESIDUAL DEL PROCESO DE CONTRATACIÓN – Cálculo / CAPACIDAD RESIDUAL DEL PROPONENTE – Cálculo / CAPACIDAD RESIDUAL DEL PROPONENTE – Saldos Contratos en Ejecución – Contratos suscritos </w:t>
            </w:r>
          </w:p>
          <w:p w14:paraId="4BFEB9EF" w14:textId="77777777" w:rsidR="005F5F03" w:rsidRPr="00C54AA4" w:rsidRDefault="005F5F03" w:rsidP="004101BC">
            <w:pPr>
              <w:jc w:val="both"/>
              <w:rPr>
                <w:rFonts w:ascii="Arial" w:eastAsia="Calibri" w:hAnsi="Arial" w:cs="Arial"/>
                <w:color w:val="000000" w:themeColor="text1"/>
                <w:sz w:val="22"/>
                <w:highlight w:val="yellow"/>
                <w:lang w:val="es-CO"/>
              </w:rPr>
            </w:pPr>
          </w:p>
          <w:p w14:paraId="0F35FDBD" w14:textId="47F1A5D7" w:rsidR="00260074" w:rsidRPr="00C54AA4" w:rsidRDefault="00260074" w:rsidP="004101BC">
            <w:pPr>
              <w:jc w:val="both"/>
              <w:rPr>
                <w:rFonts w:ascii="Arial" w:eastAsia="Calibri" w:hAnsi="Arial" w:cs="Arial"/>
                <w:color w:val="000000" w:themeColor="text1"/>
                <w:sz w:val="22"/>
                <w:highlight w:val="yellow"/>
                <w:lang w:val="es-CO"/>
              </w:rPr>
            </w:pPr>
          </w:p>
        </w:tc>
      </w:tr>
      <w:tr w:rsidR="008C27FB" w:rsidRPr="00C54AA4" w14:paraId="20F2A3B6" w14:textId="77777777" w:rsidTr="004101BC">
        <w:tc>
          <w:tcPr>
            <w:tcW w:w="2689" w:type="dxa"/>
          </w:tcPr>
          <w:p w14:paraId="1E82F4FA" w14:textId="77777777" w:rsidR="00BE1E33" w:rsidRPr="00C54AA4" w:rsidRDefault="00BE1E33" w:rsidP="004101BC">
            <w:pPr>
              <w:spacing w:before="120"/>
              <w:rPr>
                <w:rFonts w:ascii="Arial" w:eastAsia="Calibri" w:hAnsi="Arial" w:cs="Arial"/>
                <w:b/>
                <w:color w:val="000000" w:themeColor="text1"/>
                <w:sz w:val="22"/>
                <w:lang w:val="es-CO"/>
              </w:rPr>
            </w:pPr>
            <w:r w:rsidRPr="00C54AA4">
              <w:rPr>
                <w:rFonts w:ascii="Arial" w:eastAsia="Calibri" w:hAnsi="Arial" w:cs="Arial"/>
                <w:b/>
                <w:color w:val="000000" w:themeColor="text1"/>
                <w:sz w:val="22"/>
                <w:lang w:val="es-CO"/>
              </w:rPr>
              <w:t>Radicación:</w:t>
            </w:r>
            <w:r w:rsidRPr="00C54AA4">
              <w:rPr>
                <w:rFonts w:ascii="Arial" w:eastAsia="Calibri" w:hAnsi="Arial" w:cs="Arial"/>
                <w:color w:val="000000" w:themeColor="text1"/>
                <w:sz w:val="22"/>
                <w:lang w:val="es-CO"/>
              </w:rPr>
              <w:t xml:space="preserve">                              </w:t>
            </w:r>
          </w:p>
        </w:tc>
        <w:tc>
          <w:tcPr>
            <w:tcW w:w="6237" w:type="dxa"/>
          </w:tcPr>
          <w:p w14:paraId="20FCE53A" w14:textId="61BDC313" w:rsidR="00BE1E33" w:rsidRPr="00C54AA4" w:rsidRDefault="00BE1E33" w:rsidP="00260074">
            <w:pPr>
              <w:rPr>
                <w:rFonts w:asciiTheme="minorHAnsi" w:eastAsiaTheme="minorHAnsi" w:hAnsiTheme="minorHAnsi" w:cstheme="minorBidi"/>
                <w:lang w:val="es-CO"/>
              </w:rPr>
            </w:pPr>
            <w:r w:rsidRPr="00C54AA4">
              <w:rPr>
                <w:rFonts w:ascii="Arial" w:eastAsia="Calibri" w:hAnsi="Arial" w:cs="Arial"/>
                <w:color w:val="000000" w:themeColor="text1"/>
                <w:sz w:val="22"/>
                <w:lang w:val="es-CO"/>
              </w:rPr>
              <w:t xml:space="preserve">Respuesta a consulta </w:t>
            </w:r>
            <w:r w:rsidR="00260074" w:rsidRPr="00C54AA4">
              <w:rPr>
                <w:rFonts w:ascii="Arial" w:hAnsi="Arial" w:cs="Arial"/>
                <w:color w:val="000000"/>
                <w:sz w:val="22"/>
                <w:szCs w:val="22"/>
                <w:lang w:val="es-CO"/>
              </w:rPr>
              <w:t>4202013000005099</w:t>
            </w:r>
          </w:p>
        </w:tc>
      </w:tr>
    </w:tbl>
    <w:p w14:paraId="4A9F4B1B" w14:textId="5C1133C8" w:rsidR="004A3688" w:rsidRPr="00C54AA4" w:rsidRDefault="004A3688" w:rsidP="00BE1E33">
      <w:pPr>
        <w:spacing w:before="120"/>
        <w:jc w:val="both"/>
        <w:rPr>
          <w:rFonts w:ascii="Arial" w:eastAsia="Calibri" w:hAnsi="Arial" w:cs="Arial"/>
          <w:color w:val="000000" w:themeColor="text1"/>
          <w:sz w:val="22"/>
          <w:lang w:val="es-CO"/>
        </w:rPr>
      </w:pPr>
    </w:p>
    <w:p w14:paraId="417ABDA8" w14:textId="4CFEECD1" w:rsidR="00BE1E33" w:rsidRPr="00C54AA4" w:rsidRDefault="00BE1E33" w:rsidP="00BE1E33">
      <w:pPr>
        <w:rPr>
          <w:rFonts w:ascii="Arial" w:eastAsia="Calibri" w:hAnsi="Arial" w:cs="Arial"/>
          <w:color w:val="000000" w:themeColor="text1"/>
          <w:sz w:val="22"/>
          <w:lang w:val="es-CO"/>
        </w:rPr>
      </w:pPr>
      <w:r w:rsidRPr="00C54AA4">
        <w:rPr>
          <w:rFonts w:ascii="Arial" w:eastAsia="Calibri" w:hAnsi="Arial" w:cs="Arial"/>
          <w:color w:val="000000" w:themeColor="text1"/>
          <w:sz w:val="22"/>
          <w:lang w:val="es-CO"/>
        </w:rPr>
        <w:t xml:space="preserve">Estimada señora </w:t>
      </w:r>
      <w:r w:rsidR="00260074" w:rsidRPr="00C54AA4">
        <w:rPr>
          <w:rFonts w:ascii="Arial" w:eastAsia="Calibri" w:hAnsi="Arial" w:cs="Arial"/>
          <w:color w:val="000000" w:themeColor="text1"/>
          <w:sz w:val="22"/>
          <w:lang w:val="es-CO"/>
        </w:rPr>
        <w:t>Meneses</w:t>
      </w:r>
      <w:r w:rsidRPr="00C54AA4">
        <w:rPr>
          <w:rFonts w:ascii="Arial" w:eastAsia="Calibri" w:hAnsi="Arial" w:cs="Arial"/>
          <w:color w:val="000000" w:themeColor="text1"/>
          <w:sz w:val="22"/>
          <w:lang w:val="es-CO"/>
        </w:rPr>
        <w:t>:</w:t>
      </w:r>
    </w:p>
    <w:p w14:paraId="1CCABABD" w14:textId="77777777" w:rsidR="00BE1E33" w:rsidRPr="00C54AA4" w:rsidRDefault="00BE1E33" w:rsidP="00BE1E33">
      <w:pPr>
        <w:rPr>
          <w:rFonts w:ascii="Arial" w:eastAsia="Calibri" w:hAnsi="Arial" w:cs="Arial"/>
          <w:color w:val="000000" w:themeColor="text1"/>
          <w:sz w:val="22"/>
          <w:lang w:val="es-CO"/>
        </w:rPr>
      </w:pPr>
    </w:p>
    <w:p w14:paraId="286A9CEF" w14:textId="7E721260" w:rsidR="00BE1E33" w:rsidRPr="00C54AA4" w:rsidRDefault="00BE1E33" w:rsidP="00260074">
      <w:pPr>
        <w:jc w:val="both"/>
        <w:rPr>
          <w:rFonts w:ascii="Arial" w:eastAsia="Calibri" w:hAnsi="Arial" w:cs="Arial"/>
          <w:color w:val="000000" w:themeColor="text1"/>
          <w:sz w:val="22"/>
          <w:lang w:val="es-CO"/>
        </w:rPr>
      </w:pPr>
      <w:r w:rsidRPr="00C54AA4">
        <w:rPr>
          <w:rFonts w:ascii="Arial" w:eastAsia="Calibri" w:hAnsi="Arial" w:cs="Arial"/>
          <w:color w:val="000000" w:themeColor="text1"/>
          <w:sz w:val="22"/>
          <w:lang w:val="es-CO"/>
        </w:rPr>
        <w:t xml:space="preserve">En ejercicio de la competencia otorgada por los artículos 11, numeral 8º, y 3º, numeral 5º, del Decreto Ley 4170 de 2011, la Agencia Nacional de Contratación Pública − Colombia Compra Eficiente responde su consulta del </w:t>
      </w:r>
      <w:r w:rsidR="00260074" w:rsidRPr="00C54AA4">
        <w:rPr>
          <w:rFonts w:ascii="Arial" w:eastAsia="Calibri" w:hAnsi="Arial" w:cs="Arial"/>
          <w:color w:val="000000" w:themeColor="text1"/>
          <w:sz w:val="22"/>
          <w:lang w:val="es-CO"/>
        </w:rPr>
        <w:t xml:space="preserve">17 de </w:t>
      </w:r>
      <w:r w:rsidR="005F5F03" w:rsidRPr="00C54AA4">
        <w:rPr>
          <w:rFonts w:ascii="Arial" w:eastAsia="Calibri" w:hAnsi="Arial" w:cs="Arial"/>
          <w:color w:val="000000" w:themeColor="text1"/>
          <w:sz w:val="22"/>
          <w:lang w:val="es-CO"/>
        </w:rPr>
        <w:t>junio de</w:t>
      </w:r>
      <w:r w:rsidRPr="00C54AA4">
        <w:rPr>
          <w:rFonts w:ascii="Arial" w:eastAsia="Calibri" w:hAnsi="Arial" w:cs="Arial"/>
          <w:color w:val="000000" w:themeColor="text1"/>
          <w:sz w:val="22"/>
          <w:lang w:val="es-CO"/>
        </w:rPr>
        <w:t xml:space="preserve"> 2020</w:t>
      </w:r>
      <w:r w:rsidR="00260074" w:rsidRPr="00C54AA4">
        <w:rPr>
          <w:rFonts w:ascii="Arial" w:eastAsia="Calibri" w:hAnsi="Arial" w:cs="Arial"/>
          <w:color w:val="000000" w:themeColor="text1"/>
          <w:sz w:val="22"/>
          <w:lang w:val="es-CO"/>
        </w:rPr>
        <w:t xml:space="preserve">, de la cual se solicitó aclaración mediante radicado 2202013000005226 del 19 de junio de 2020. </w:t>
      </w:r>
    </w:p>
    <w:p w14:paraId="1D13401D" w14:textId="77777777" w:rsidR="00BE1E33" w:rsidRPr="00C54AA4" w:rsidRDefault="00BE1E33" w:rsidP="00BE1E33">
      <w:pPr>
        <w:spacing w:line="276" w:lineRule="auto"/>
        <w:jc w:val="both"/>
        <w:rPr>
          <w:rFonts w:ascii="Arial" w:eastAsia="Calibri" w:hAnsi="Arial" w:cs="Arial"/>
          <w:color w:val="000000" w:themeColor="text1"/>
          <w:sz w:val="22"/>
          <w:lang w:val="es-CO"/>
        </w:rPr>
      </w:pPr>
    </w:p>
    <w:p w14:paraId="068F505C" w14:textId="77777777" w:rsidR="00BE1E33" w:rsidRPr="00C54AA4"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CO"/>
        </w:rPr>
      </w:pPr>
      <w:r w:rsidRPr="00C54AA4">
        <w:rPr>
          <w:rFonts w:ascii="Arial" w:eastAsia="Calibri" w:hAnsi="Arial" w:cs="Arial"/>
          <w:b/>
          <w:color w:val="000000" w:themeColor="text1"/>
          <w:sz w:val="22"/>
          <w:lang w:val="es-CO"/>
        </w:rPr>
        <w:t xml:space="preserve">Problemas planteados </w:t>
      </w:r>
    </w:p>
    <w:p w14:paraId="430A9943" w14:textId="77777777" w:rsidR="00BE1E33" w:rsidRPr="00C54AA4" w:rsidRDefault="00BE1E33" w:rsidP="00BE1E33">
      <w:pPr>
        <w:tabs>
          <w:tab w:val="left" w:pos="426"/>
        </w:tabs>
        <w:spacing w:line="276" w:lineRule="auto"/>
        <w:jc w:val="both"/>
        <w:rPr>
          <w:rFonts w:ascii="Arial" w:eastAsia="Calibri" w:hAnsi="Arial" w:cs="Arial"/>
          <w:b/>
          <w:color w:val="000000" w:themeColor="text1"/>
          <w:sz w:val="22"/>
          <w:lang w:val="es-CO"/>
        </w:rPr>
      </w:pPr>
    </w:p>
    <w:p w14:paraId="741F3B6B" w14:textId="3EF13944" w:rsidR="00BE1E33" w:rsidRPr="00C54AA4" w:rsidRDefault="006440BC" w:rsidP="009E4A43">
      <w:pPr>
        <w:tabs>
          <w:tab w:val="left" w:pos="426"/>
        </w:tabs>
        <w:spacing w:line="276" w:lineRule="auto"/>
        <w:jc w:val="both"/>
        <w:rPr>
          <w:rFonts w:ascii="Arial" w:eastAsia="Calibri" w:hAnsi="Arial" w:cs="Arial"/>
          <w:color w:val="000000" w:themeColor="text1"/>
          <w:sz w:val="22"/>
          <w:lang w:val="es-CO"/>
        </w:rPr>
      </w:pPr>
      <w:r w:rsidRPr="00C54AA4">
        <w:rPr>
          <w:rFonts w:ascii="Arial" w:eastAsia="Calibri" w:hAnsi="Arial" w:cs="Arial"/>
          <w:color w:val="000000" w:themeColor="text1"/>
          <w:sz w:val="22"/>
          <w:lang w:val="es-CO"/>
        </w:rPr>
        <w:t>En relación con la «capacidad residual», u</w:t>
      </w:r>
      <w:r w:rsidR="00BE1E33" w:rsidRPr="00C54AA4">
        <w:rPr>
          <w:rFonts w:ascii="Arial" w:eastAsia="Calibri" w:hAnsi="Arial" w:cs="Arial"/>
          <w:color w:val="000000" w:themeColor="text1"/>
          <w:sz w:val="22"/>
          <w:lang w:val="es-CO"/>
        </w:rPr>
        <w:t>sted realiza la siguiente</w:t>
      </w:r>
      <w:r w:rsidR="009E4A43" w:rsidRPr="00C54AA4">
        <w:rPr>
          <w:rFonts w:ascii="Arial" w:eastAsia="Calibri" w:hAnsi="Arial" w:cs="Arial"/>
          <w:color w:val="000000" w:themeColor="text1"/>
          <w:sz w:val="22"/>
          <w:lang w:val="es-CO"/>
        </w:rPr>
        <w:t xml:space="preserve"> </w:t>
      </w:r>
      <w:r w:rsidR="00BE1E33" w:rsidRPr="00C54AA4">
        <w:rPr>
          <w:rFonts w:ascii="Arial" w:eastAsia="Calibri" w:hAnsi="Arial" w:cs="Arial"/>
          <w:color w:val="000000" w:themeColor="text1"/>
          <w:sz w:val="22"/>
          <w:lang w:val="es-CO"/>
        </w:rPr>
        <w:t>pregunta: «</w:t>
      </w:r>
      <w:r w:rsidRPr="00C54AA4">
        <w:rPr>
          <w:rFonts w:ascii="Arial" w:hAnsi="Arial" w:cs="Arial"/>
          <w:color w:val="000000" w:themeColor="text1"/>
          <w:sz w:val="22"/>
          <w:lang w:val="es-CO"/>
        </w:rPr>
        <w:t xml:space="preserve">[…] </w:t>
      </w:r>
      <w:r w:rsidR="00260074" w:rsidRPr="00C54AA4">
        <w:rPr>
          <w:rFonts w:ascii="Arial" w:eastAsia="Calibri" w:hAnsi="Arial" w:cs="Arial"/>
          <w:color w:val="000000" w:themeColor="text1"/>
          <w:sz w:val="22"/>
          <w:lang w:val="es-CO"/>
        </w:rPr>
        <w:t xml:space="preserve">Solicito aclarar si dentro de los saldos de contratos en </w:t>
      </w:r>
      <w:r w:rsidR="005F5F03" w:rsidRPr="00C54AA4">
        <w:rPr>
          <w:rFonts w:ascii="Arial" w:eastAsia="Calibri" w:hAnsi="Arial" w:cs="Arial"/>
          <w:color w:val="000000" w:themeColor="text1"/>
          <w:sz w:val="22"/>
          <w:lang w:val="es-CO"/>
        </w:rPr>
        <w:t>ejecución</w:t>
      </w:r>
      <w:r w:rsidR="00260074" w:rsidRPr="00C54AA4">
        <w:rPr>
          <w:rFonts w:ascii="Arial" w:eastAsia="Calibri" w:hAnsi="Arial" w:cs="Arial"/>
          <w:color w:val="000000" w:themeColor="text1"/>
          <w:sz w:val="22"/>
          <w:lang w:val="es-CO"/>
        </w:rPr>
        <w:t xml:space="preserve"> se deben incluir los procesos que han sido adjudicados mediante acta de adjudicación, pero que aún no se han legalizado mediante la firma y legalización de un contrato y por consiguiente no tienen un acta de inicio</w:t>
      </w:r>
      <w:r w:rsidR="00BE1E33" w:rsidRPr="00C54AA4">
        <w:rPr>
          <w:rFonts w:ascii="Arial" w:eastAsia="Calibri" w:hAnsi="Arial" w:cs="Arial"/>
          <w:color w:val="000000" w:themeColor="text1"/>
          <w:sz w:val="22"/>
          <w:lang w:val="es-CO"/>
        </w:rPr>
        <w:t xml:space="preserve">». </w:t>
      </w:r>
    </w:p>
    <w:p w14:paraId="6D375D8C" w14:textId="77777777" w:rsidR="00BE1E33" w:rsidRPr="00C54AA4" w:rsidRDefault="00BE1E33" w:rsidP="00BE1E33">
      <w:pPr>
        <w:tabs>
          <w:tab w:val="left" w:pos="709"/>
        </w:tabs>
        <w:spacing w:before="120" w:line="276" w:lineRule="auto"/>
        <w:jc w:val="both"/>
        <w:rPr>
          <w:rFonts w:ascii="Arial" w:eastAsia="Calibri" w:hAnsi="Arial" w:cs="Arial"/>
          <w:color w:val="000000" w:themeColor="text1"/>
          <w:sz w:val="22"/>
          <w:lang w:val="es-CO"/>
        </w:rPr>
      </w:pPr>
    </w:p>
    <w:p w14:paraId="000CB06F" w14:textId="77777777" w:rsidR="00BE1E33" w:rsidRPr="00C54AA4"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CO"/>
        </w:rPr>
      </w:pPr>
      <w:r w:rsidRPr="00C54AA4">
        <w:rPr>
          <w:rFonts w:ascii="Arial" w:eastAsia="Calibri" w:hAnsi="Arial" w:cs="Arial"/>
          <w:b/>
          <w:color w:val="000000" w:themeColor="text1"/>
          <w:sz w:val="22"/>
          <w:lang w:val="es-CO"/>
        </w:rPr>
        <w:lastRenderedPageBreak/>
        <w:t>Consideraciones</w:t>
      </w:r>
    </w:p>
    <w:p w14:paraId="01D94D72" w14:textId="77777777" w:rsidR="00BE1E33" w:rsidRPr="00C54AA4" w:rsidRDefault="00BE1E33" w:rsidP="00BE1E33">
      <w:pPr>
        <w:spacing w:line="276" w:lineRule="auto"/>
        <w:jc w:val="both"/>
        <w:rPr>
          <w:rFonts w:ascii="Arial" w:eastAsia="Calibri" w:hAnsi="Arial" w:cs="Arial"/>
          <w:color w:val="000000" w:themeColor="text1"/>
          <w:sz w:val="22"/>
          <w:lang w:val="es-CO"/>
        </w:rPr>
      </w:pPr>
    </w:p>
    <w:p w14:paraId="087CCDF5" w14:textId="32A01C66" w:rsidR="00BE1E33" w:rsidRPr="00C54AA4" w:rsidRDefault="00BE1E33" w:rsidP="00F419B1">
      <w:pPr>
        <w:spacing w:line="276" w:lineRule="auto"/>
        <w:jc w:val="both"/>
        <w:rPr>
          <w:rFonts w:ascii="Arial" w:eastAsia="Calibri" w:hAnsi="Arial" w:cs="Arial"/>
          <w:color w:val="000000" w:themeColor="text1"/>
          <w:sz w:val="22"/>
          <w:lang w:val="es-CO"/>
        </w:rPr>
      </w:pPr>
      <w:r w:rsidRPr="00C54AA4">
        <w:rPr>
          <w:rFonts w:ascii="Arial" w:eastAsia="Calibri" w:hAnsi="Arial" w:cs="Arial"/>
          <w:color w:val="000000" w:themeColor="text1"/>
          <w:sz w:val="22"/>
          <w:lang w:val="es-CO"/>
        </w:rPr>
        <w:t xml:space="preserve">La Agencia Nacional de Contratación Pública − Colombia Compra Eficiente se ha pronunciado sobre la </w:t>
      </w:r>
      <w:r w:rsidR="000D5ABE" w:rsidRPr="00C54AA4">
        <w:rPr>
          <w:rFonts w:ascii="Arial" w:eastAsia="Calibri" w:hAnsi="Arial" w:cs="Arial"/>
          <w:color w:val="000000" w:themeColor="text1"/>
          <w:sz w:val="22"/>
          <w:lang w:val="es-CO"/>
        </w:rPr>
        <w:t>capacidad residual y la forma en que se debe determinar</w:t>
      </w:r>
      <w:r w:rsidRPr="00C54AA4">
        <w:rPr>
          <w:rFonts w:ascii="Arial" w:eastAsia="Calibri" w:hAnsi="Arial" w:cs="Arial"/>
          <w:color w:val="000000" w:themeColor="text1"/>
          <w:sz w:val="22"/>
          <w:lang w:val="es-CO"/>
        </w:rPr>
        <w:t xml:space="preserve">, en los conceptos del </w:t>
      </w:r>
      <w:r w:rsidR="000D5ABE" w:rsidRPr="00C54AA4">
        <w:rPr>
          <w:rFonts w:ascii="Arial" w:eastAsia="Calibri" w:hAnsi="Arial" w:cs="Arial"/>
          <w:color w:val="000000" w:themeColor="text1"/>
          <w:sz w:val="22"/>
          <w:lang w:val="es-CO"/>
        </w:rPr>
        <w:t xml:space="preserve">27 de agosto y el 20 y 26 (2) de diciembre de 2019 </w:t>
      </w:r>
      <w:r w:rsidRPr="00C54AA4">
        <w:rPr>
          <w:rFonts w:ascii="Arial" w:eastAsia="Calibri" w:hAnsi="Arial" w:cs="Arial"/>
          <w:color w:val="000000" w:themeColor="text1"/>
          <w:sz w:val="22"/>
          <w:lang w:val="es-CO"/>
        </w:rPr>
        <w:t xml:space="preserve">−radicados Nos. </w:t>
      </w:r>
      <w:r w:rsidR="000D5ABE" w:rsidRPr="00C54AA4">
        <w:rPr>
          <w:rFonts w:ascii="Arial" w:eastAsia="Calibri" w:hAnsi="Arial" w:cs="Arial"/>
          <w:color w:val="000000" w:themeColor="text1"/>
          <w:sz w:val="22"/>
          <w:lang w:val="es-CO"/>
        </w:rPr>
        <w:t>2201913000006275, 2201913000009465, 2201913000009642 y 2201913000009640</w:t>
      </w:r>
      <w:r w:rsidRPr="00C54AA4">
        <w:rPr>
          <w:rFonts w:ascii="Arial" w:eastAsia="Calibri" w:hAnsi="Arial" w:cs="Arial"/>
          <w:color w:val="000000" w:themeColor="text1"/>
          <w:sz w:val="22"/>
          <w:lang w:val="es-CO"/>
        </w:rPr>
        <w:t>−</w:t>
      </w:r>
      <w:r w:rsidR="003C7428">
        <w:rPr>
          <w:rFonts w:ascii="Arial" w:eastAsia="Calibri" w:hAnsi="Arial" w:cs="Arial"/>
          <w:color w:val="000000" w:themeColor="text1"/>
          <w:sz w:val="22"/>
          <w:lang w:val="es-CO"/>
        </w:rPr>
        <w:t>;</w:t>
      </w:r>
      <w:r w:rsidR="00CD1001" w:rsidRPr="00C54AA4">
        <w:rPr>
          <w:rFonts w:ascii="Arial" w:eastAsia="Calibri" w:hAnsi="Arial" w:cs="Arial"/>
          <w:color w:val="000000" w:themeColor="text1"/>
          <w:sz w:val="22"/>
          <w:lang w:val="es-CO"/>
        </w:rPr>
        <w:t xml:space="preserve"> </w:t>
      </w:r>
      <w:r w:rsidR="003C7428">
        <w:rPr>
          <w:rFonts w:ascii="Arial" w:eastAsia="Calibri" w:hAnsi="Arial" w:cs="Arial"/>
          <w:color w:val="000000" w:themeColor="text1"/>
          <w:sz w:val="22"/>
          <w:lang w:val="es-CO"/>
        </w:rPr>
        <w:t>a</w:t>
      </w:r>
      <w:r w:rsidR="00CD1001" w:rsidRPr="00C54AA4">
        <w:rPr>
          <w:rFonts w:ascii="Arial" w:eastAsia="Calibri" w:hAnsi="Arial" w:cs="Arial"/>
          <w:color w:val="000000" w:themeColor="text1"/>
          <w:sz w:val="22"/>
          <w:lang w:val="es-CO"/>
        </w:rPr>
        <w:t>sí como en los conceptos C</w:t>
      </w:r>
      <w:r w:rsidR="005F5F03" w:rsidRPr="00C54AA4">
        <w:rPr>
          <w:rFonts w:ascii="Arial" w:eastAsia="Calibri" w:hAnsi="Arial" w:cs="Arial"/>
          <w:color w:val="000000" w:themeColor="text1"/>
          <w:sz w:val="22"/>
          <w:lang w:val="es-CO"/>
        </w:rPr>
        <w:t>–</w:t>
      </w:r>
      <w:r w:rsidR="00CD1001" w:rsidRPr="00C54AA4">
        <w:rPr>
          <w:rFonts w:ascii="Arial" w:eastAsia="Calibri" w:hAnsi="Arial" w:cs="Arial"/>
          <w:color w:val="000000" w:themeColor="text1"/>
          <w:sz w:val="22"/>
          <w:lang w:val="es-CO"/>
        </w:rPr>
        <w:t>022, C</w:t>
      </w:r>
      <w:r w:rsidR="005F5F03" w:rsidRPr="00C54AA4">
        <w:rPr>
          <w:rFonts w:ascii="Arial" w:eastAsia="Calibri" w:hAnsi="Arial" w:cs="Arial"/>
          <w:color w:val="000000" w:themeColor="text1"/>
          <w:sz w:val="22"/>
          <w:lang w:val="es-CO"/>
        </w:rPr>
        <w:t>–</w:t>
      </w:r>
      <w:r w:rsidR="00CD1001" w:rsidRPr="00C54AA4">
        <w:rPr>
          <w:rFonts w:ascii="Arial" w:eastAsia="Calibri" w:hAnsi="Arial" w:cs="Arial"/>
          <w:color w:val="000000" w:themeColor="text1"/>
          <w:sz w:val="22"/>
          <w:lang w:val="es-CO"/>
        </w:rPr>
        <w:t>089, C</w:t>
      </w:r>
      <w:r w:rsidR="005F5F03" w:rsidRPr="00C54AA4">
        <w:rPr>
          <w:rFonts w:ascii="Arial" w:eastAsia="Calibri" w:hAnsi="Arial" w:cs="Arial"/>
          <w:color w:val="000000" w:themeColor="text1"/>
          <w:sz w:val="22"/>
          <w:lang w:val="es-CO"/>
        </w:rPr>
        <w:t>–</w:t>
      </w:r>
      <w:r w:rsidR="00CD1001" w:rsidRPr="00C54AA4">
        <w:rPr>
          <w:rFonts w:ascii="Arial" w:eastAsia="Calibri" w:hAnsi="Arial" w:cs="Arial"/>
          <w:color w:val="000000" w:themeColor="text1"/>
          <w:sz w:val="22"/>
          <w:lang w:val="es-CO"/>
        </w:rPr>
        <w:t>112, C</w:t>
      </w:r>
      <w:r w:rsidR="005F5F03" w:rsidRPr="00C54AA4">
        <w:rPr>
          <w:rFonts w:ascii="Arial" w:eastAsia="Calibri" w:hAnsi="Arial" w:cs="Arial"/>
          <w:color w:val="000000" w:themeColor="text1"/>
          <w:sz w:val="22"/>
          <w:lang w:val="es-CO"/>
        </w:rPr>
        <w:t>–</w:t>
      </w:r>
      <w:r w:rsidR="00CD1001" w:rsidRPr="00C54AA4">
        <w:rPr>
          <w:rFonts w:ascii="Arial" w:eastAsia="Calibri" w:hAnsi="Arial" w:cs="Arial"/>
          <w:color w:val="000000" w:themeColor="text1"/>
          <w:sz w:val="22"/>
          <w:lang w:val="es-CO"/>
        </w:rPr>
        <w:t>133</w:t>
      </w:r>
      <w:r w:rsidR="005F5F03" w:rsidRPr="00C54AA4">
        <w:rPr>
          <w:rFonts w:ascii="Arial" w:eastAsia="Calibri" w:hAnsi="Arial" w:cs="Arial"/>
          <w:color w:val="000000" w:themeColor="text1"/>
          <w:sz w:val="22"/>
          <w:lang w:val="es-CO"/>
        </w:rPr>
        <w:t xml:space="preserve">, C – 194 de 2020, </w:t>
      </w:r>
      <w:r w:rsidR="00CD1001" w:rsidRPr="00C54AA4">
        <w:rPr>
          <w:rFonts w:ascii="Arial" w:eastAsia="Calibri" w:hAnsi="Arial" w:cs="Arial"/>
          <w:color w:val="000000" w:themeColor="text1"/>
          <w:sz w:val="22"/>
          <w:lang w:val="es-CO"/>
        </w:rPr>
        <w:t>C</w:t>
      </w:r>
      <w:r w:rsidR="005F5F03" w:rsidRPr="00C54AA4">
        <w:rPr>
          <w:rFonts w:ascii="Arial" w:eastAsia="Calibri" w:hAnsi="Arial" w:cs="Arial"/>
          <w:color w:val="000000" w:themeColor="text1"/>
          <w:sz w:val="22"/>
          <w:lang w:val="es-CO"/>
        </w:rPr>
        <w:t>–</w:t>
      </w:r>
      <w:r w:rsidR="00CD1001" w:rsidRPr="00C54AA4">
        <w:rPr>
          <w:rFonts w:ascii="Arial" w:eastAsia="Calibri" w:hAnsi="Arial" w:cs="Arial"/>
          <w:color w:val="000000" w:themeColor="text1"/>
          <w:sz w:val="22"/>
          <w:lang w:val="es-CO"/>
        </w:rPr>
        <w:t>222 de 2020</w:t>
      </w:r>
      <w:r w:rsidR="005F5F03" w:rsidRPr="00C54AA4">
        <w:rPr>
          <w:rFonts w:ascii="Arial" w:eastAsia="Calibri" w:hAnsi="Arial" w:cs="Arial"/>
          <w:color w:val="000000" w:themeColor="text1"/>
          <w:sz w:val="22"/>
          <w:lang w:val="es-CO"/>
        </w:rPr>
        <w:t xml:space="preserve"> y C–326 de 2020</w:t>
      </w:r>
      <w:r w:rsidR="000D5ABE" w:rsidRPr="00C54AA4">
        <w:rPr>
          <w:rFonts w:ascii="Arial" w:eastAsia="Calibri" w:hAnsi="Arial" w:cs="Arial"/>
          <w:color w:val="000000" w:themeColor="text1"/>
          <w:sz w:val="22"/>
          <w:lang w:val="es-CO"/>
        </w:rPr>
        <w:t>.</w:t>
      </w:r>
      <w:r w:rsidRPr="00C54AA4">
        <w:rPr>
          <w:rFonts w:ascii="Arial" w:eastAsia="Calibri" w:hAnsi="Arial" w:cs="Arial"/>
          <w:color w:val="000000" w:themeColor="text1"/>
          <w:sz w:val="22"/>
          <w:lang w:val="es-CO"/>
        </w:rPr>
        <w:t xml:space="preserve"> La tesis propuesta se expone</w:t>
      </w:r>
      <w:r w:rsidR="00647DF6" w:rsidRPr="00C54AA4">
        <w:rPr>
          <w:rFonts w:ascii="Arial" w:eastAsia="Calibri" w:hAnsi="Arial" w:cs="Arial"/>
          <w:color w:val="000000" w:themeColor="text1"/>
          <w:sz w:val="22"/>
          <w:lang w:val="es-CO"/>
        </w:rPr>
        <w:t xml:space="preserve"> y</w:t>
      </w:r>
      <w:r w:rsidR="00C243AD" w:rsidRPr="00C54AA4">
        <w:rPr>
          <w:rFonts w:ascii="Arial" w:eastAsia="Calibri" w:hAnsi="Arial" w:cs="Arial"/>
          <w:color w:val="000000" w:themeColor="text1"/>
          <w:sz w:val="22"/>
          <w:lang w:val="es-CO"/>
        </w:rPr>
        <w:t>, en lo necesario, se</w:t>
      </w:r>
      <w:r w:rsidR="00647DF6" w:rsidRPr="00C54AA4">
        <w:rPr>
          <w:rFonts w:ascii="Arial" w:eastAsia="Calibri" w:hAnsi="Arial" w:cs="Arial"/>
          <w:color w:val="000000" w:themeColor="text1"/>
          <w:sz w:val="22"/>
          <w:lang w:val="es-CO"/>
        </w:rPr>
        <w:t xml:space="preserve"> complementa </w:t>
      </w:r>
      <w:r w:rsidR="00317DCA">
        <w:rPr>
          <w:rFonts w:ascii="Arial" w:eastAsia="Calibri" w:hAnsi="Arial" w:cs="Arial"/>
          <w:color w:val="000000" w:themeColor="text1"/>
          <w:sz w:val="22"/>
          <w:lang w:val="es-CO"/>
        </w:rPr>
        <w:t>con</w:t>
      </w:r>
      <w:r w:rsidR="00317DCA" w:rsidRPr="00C54AA4">
        <w:rPr>
          <w:rFonts w:ascii="Arial" w:eastAsia="Calibri" w:hAnsi="Arial" w:cs="Arial"/>
          <w:color w:val="000000" w:themeColor="text1"/>
          <w:sz w:val="22"/>
          <w:lang w:val="es-CO"/>
        </w:rPr>
        <w:t xml:space="preserve"> </w:t>
      </w:r>
      <w:r w:rsidR="00647DF6" w:rsidRPr="00C54AA4">
        <w:rPr>
          <w:rFonts w:ascii="Arial" w:eastAsia="Calibri" w:hAnsi="Arial" w:cs="Arial"/>
          <w:color w:val="000000" w:themeColor="text1"/>
          <w:sz w:val="22"/>
          <w:lang w:val="es-CO"/>
        </w:rPr>
        <w:t xml:space="preserve">las </w:t>
      </w:r>
      <w:r w:rsidR="00410CC6" w:rsidRPr="00C54AA4">
        <w:rPr>
          <w:rFonts w:ascii="Arial" w:eastAsia="Calibri" w:hAnsi="Arial" w:cs="Arial"/>
          <w:color w:val="000000" w:themeColor="text1"/>
          <w:sz w:val="22"/>
          <w:lang w:val="es-CO"/>
        </w:rPr>
        <w:t xml:space="preserve">siguientes </w:t>
      </w:r>
      <w:r w:rsidR="00647DF6" w:rsidRPr="00C54AA4">
        <w:rPr>
          <w:rFonts w:ascii="Arial" w:eastAsia="Calibri" w:hAnsi="Arial" w:cs="Arial"/>
          <w:color w:val="000000" w:themeColor="text1"/>
          <w:sz w:val="22"/>
          <w:lang w:val="es-CO"/>
        </w:rPr>
        <w:t>consideraciones</w:t>
      </w:r>
      <w:r w:rsidR="00410CC6" w:rsidRPr="00C54AA4">
        <w:rPr>
          <w:rFonts w:ascii="Arial" w:eastAsia="Calibri" w:hAnsi="Arial" w:cs="Arial"/>
          <w:color w:val="000000" w:themeColor="text1"/>
          <w:sz w:val="22"/>
          <w:lang w:val="es-CO"/>
        </w:rPr>
        <w:t>:</w:t>
      </w:r>
    </w:p>
    <w:p w14:paraId="76456D62" w14:textId="1610A43C" w:rsidR="00F419B1" w:rsidRPr="00C54AA4" w:rsidRDefault="00F419B1" w:rsidP="00F419B1">
      <w:pPr>
        <w:pStyle w:val="Textoindependiente"/>
        <w:spacing w:before="120" w:line="276" w:lineRule="auto"/>
        <w:ind w:right="51" w:firstLine="709"/>
        <w:jc w:val="both"/>
        <w:rPr>
          <w:color w:val="000000" w:themeColor="text1"/>
          <w:lang w:val="es-CO"/>
        </w:rPr>
      </w:pPr>
      <w:r w:rsidRPr="00C54AA4">
        <w:rPr>
          <w:color w:val="000000" w:themeColor="text1"/>
          <w:lang w:val="es-CO"/>
        </w:rPr>
        <w:t xml:space="preserve">La capacidad residual es una aptitud </w:t>
      </w:r>
      <w:r w:rsidR="00137F39" w:rsidRPr="00C54AA4">
        <w:rPr>
          <w:color w:val="000000" w:themeColor="text1"/>
          <w:lang w:val="es-CO"/>
        </w:rPr>
        <w:t xml:space="preserve">que se exige a </w:t>
      </w:r>
      <w:r w:rsidRPr="00C54AA4">
        <w:rPr>
          <w:color w:val="000000" w:themeColor="text1"/>
          <w:lang w:val="es-CO"/>
        </w:rPr>
        <w:t xml:space="preserve">los oferentes </w:t>
      </w:r>
      <w:r w:rsidR="00137F39" w:rsidRPr="00C54AA4">
        <w:rPr>
          <w:color w:val="000000" w:themeColor="text1"/>
          <w:lang w:val="es-CO"/>
        </w:rPr>
        <w:t>con el objetivo de establecer o determinar si estos pueden o no c</w:t>
      </w:r>
      <w:r w:rsidRPr="00C54AA4">
        <w:rPr>
          <w:color w:val="000000" w:themeColor="text1"/>
          <w:lang w:val="es-CO"/>
        </w:rPr>
        <w:t xml:space="preserve">umplir de manera oportuna y a cabalidad </w:t>
      </w:r>
      <w:r w:rsidR="00137F39" w:rsidRPr="00C54AA4">
        <w:rPr>
          <w:color w:val="000000" w:themeColor="text1"/>
          <w:lang w:val="es-CO"/>
        </w:rPr>
        <w:t xml:space="preserve">con las obligaciones derivadas del contrato de obra pública, </w:t>
      </w:r>
      <w:r w:rsidRPr="00C54AA4">
        <w:rPr>
          <w:color w:val="000000" w:themeColor="text1"/>
          <w:lang w:val="es-CO"/>
        </w:rPr>
        <w:t xml:space="preserve">sin que los demás compromisos contractuales que </w:t>
      </w:r>
      <w:r w:rsidR="001A17D9" w:rsidRPr="00C54AA4">
        <w:rPr>
          <w:color w:val="000000" w:themeColor="text1"/>
          <w:lang w:val="es-CO"/>
        </w:rPr>
        <w:t>hubieran</w:t>
      </w:r>
      <w:r w:rsidRPr="00C54AA4">
        <w:rPr>
          <w:color w:val="000000" w:themeColor="text1"/>
          <w:lang w:val="es-CO"/>
        </w:rPr>
        <w:t xml:space="preserve"> adquirido </w:t>
      </w:r>
      <w:r w:rsidR="00B6482A" w:rsidRPr="00C54AA4">
        <w:rPr>
          <w:color w:val="000000" w:themeColor="text1"/>
          <w:lang w:val="es-CO"/>
        </w:rPr>
        <w:t xml:space="preserve">les </w:t>
      </w:r>
      <w:r w:rsidRPr="00C54AA4">
        <w:rPr>
          <w:color w:val="000000" w:themeColor="text1"/>
          <w:lang w:val="es-CO"/>
        </w:rPr>
        <w:t xml:space="preserve">afecte la habilidad de cumplir </w:t>
      </w:r>
      <w:r w:rsidR="001A17D9" w:rsidRPr="00C54AA4">
        <w:rPr>
          <w:color w:val="000000" w:themeColor="text1"/>
          <w:lang w:val="es-CO"/>
        </w:rPr>
        <w:t xml:space="preserve">con </w:t>
      </w:r>
      <w:r w:rsidRPr="00C54AA4">
        <w:rPr>
          <w:color w:val="000000" w:themeColor="text1"/>
          <w:lang w:val="es-CO"/>
        </w:rPr>
        <w:t>el objeto del contrato que está en proceso de selección</w:t>
      </w:r>
      <w:r w:rsidR="00137F39" w:rsidRPr="00C54AA4">
        <w:rPr>
          <w:rStyle w:val="Refdenotaalpie"/>
          <w:color w:val="000000" w:themeColor="text1"/>
          <w:lang w:val="es-CO"/>
        </w:rPr>
        <w:footnoteReference w:id="1"/>
      </w:r>
      <w:r w:rsidRPr="00C54AA4">
        <w:rPr>
          <w:color w:val="000000" w:themeColor="text1"/>
          <w:lang w:val="es-CO"/>
        </w:rPr>
        <w:t xml:space="preserve">. El Consejo de Estado ha definido </w:t>
      </w:r>
      <w:r w:rsidR="00B00247" w:rsidRPr="00C54AA4">
        <w:rPr>
          <w:color w:val="000000" w:themeColor="text1"/>
          <w:lang w:val="es-CO"/>
        </w:rPr>
        <w:t xml:space="preserve">la capacidad residual </w:t>
      </w:r>
      <w:r w:rsidRPr="00C54AA4">
        <w:rPr>
          <w:color w:val="000000" w:themeColor="text1"/>
          <w:lang w:val="es-CO"/>
        </w:rPr>
        <w:t xml:space="preserve">como </w:t>
      </w:r>
      <w:r w:rsidR="00B00247" w:rsidRPr="00C54AA4">
        <w:rPr>
          <w:color w:val="000000" w:themeColor="text1"/>
          <w:lang w:val="es-CO"/>
        </w:rPr>
        <w:t>«</w:t>
      </w:r>
      <w:r w:rsidRPr="00C54AA4">
        <w:rPr>
          <w:color w:val="000000" w:themeColor="text1"/>
          <w:lang w:val="es-CO"/>
        </w:rPr>
        <w:t xml:space="preserve">la diferencia que existe entre el potencial de contratación que se tiene y los compromisos que haya adquirido y que se encuentren en ejecución, para la fecha </w:t>
      </w:r>
      <w:r w:rsidR="009E2185" w:rsidRPr="00C54AA4">
        <w:rPr>
          <w:color w:val="000000" w:themeColor="text1"/>
          <w:lang w:val="es-CO"/>
        </w:rPr>
        <w:t>d</w:t>
      </w:r>
      <w:r w:rsidRPr="00C54AA4">
        <w:rPr>
          <w:color w:val="000000" w:themeColor="text1"/>
          <w:lang w:val="es-CO"/>
        </w:rPr>
        <w:t>e presentación de la oferta</w:t>
      </w:r>
      <w:r w:rsidR="00B00247" w:rsidRPr="00C54AA4">
        <w:rPr>
          <w:color w:val="000000" w:themeColor="text1"/>
          <w:lang w:val="es-CO"/>
        </w:rPr>
        <w:t>»</w:t>
      </w:r>
      <w:r w:rsidRPr="00C54AA4">
        <w:rPr>
          <w:rStyle w:val="Refdenotaalpie"/>
          <w:color w:val="000000" w:themeColor="text1"/>
          <w:lang w:val="es-CO"/>
        </w:rPr>
        <w:footnoteReference w:id="2"/>
      </w:r>
      <w:r w:rsidRPr="00C54AA4">
        <w:rPr>
          <w:color w:val="000000" w:themeColor="text1"/>
          <w:lang w:val="es-CO"/>
        </w:rPr>
        <w:t>.</w:t>
      </w:r>
    </w:p>
    <w:p w14:paraId="02100E80" w14:textId="27616AE1" w:rsidR="00F419B1" w:rsidRPr="00C54AA4" w:rsidRDefault="00565A9A" w:rsidP="00F419B1">
      <w:pPr>
        <w:pStyle w:val="Textoindependiente"/>
        <w:spacing w:before="120" w:line="276" w:lineRule="auto"/>
        <w:ind w:right="51" w:firstLine="709"/>
        <w:jc w:val="both"/>
        <w:rPr>
          <w:color w:val="000000" w:themeColor="text1"/>
          <w:lang w:val="es-CO"/>
        </w:rPr>
      </w:pPr>
      <w:r w:rsidRPr="00C54AA4">
        <w:rPr>
          <w:color w:val="000000" w:themeColor="text1"/>
          <w:lang w:val="es-CO"/>
        </w:rPr>
        <w:t>Teniendo en cuenta lo dicho antes</w:t>
      </w:r>
      <w:r w:rsidR="00F419B1" w:rsidRPr="00C54AA4">
        <w:rPr>
          <w:color w:val="000000" w:themeColor="text1"/>
          <w:lang w:val="es-CO"/>
        </w:rPr>
        <w:t xml:space="preserve">, </w:t>
      </w:r>
      <w:r w:rsidRPr="00C54AA4">
        <w:rPr>
          <w:color w:val="000000" w:themeColor="text1"/>
          <w:lang w:val="es-CO"/>
        </w:rPr>
        <w:t xml:space="preserve">la Agencia Nacional de Contratación Pública considera que </w:t>
      </w:r>
      <w:r w:rsidR="00F419B1" w:rsidRPr="00C54AA4">
        <w:rPr>
          <w:color w:val="000000" w:themeColor="text1"/>
          <w:lang w:val="es-CO"/>
        </w:rPr>
        <w:t xml:space="preserve">la capacidad residual hace referencia a la suficiencia que </w:t>
      </w:r>
      <w:r w:rsidRPr="00C54AA4">
        <w:rPr>
          <w:color w:val="000000" w:themeColor="text1"/>
          <w:lang w:val="es-CO"/>
        </w:rPr>
        <w:t>se predica d</w:t>
      </w:r>
      <w:r w:rsidR="00F419B1" w:rsidRPr="00C54AA4">
        <w:rPr>
          <w:color w:val="000000" w:themeColor="text1"/>
          <w:lang w:val="es-CO"/>
        </w:rPr>
        <w:t>el proponente para asumir nuevas obligaciones que se derivan del contrato objeto del proceso de contratación</w:t>
      </w:r>
      <w:r w:rsidRPr="00C54AA4">
        <w:rPr>
          <w:color w:val="000000" w:themeColor="text1"/>
          <w:lang w:val="es-CO"/>
        </w:rPr>
        <w:t>,</w:t>
      </w:r>
      <w:r w:rsidR="00F419B1" w:rsidRPr="00C54AA4">
        <w:rPr>
          <w:color w:val="000000" w:themeColor="text1"/>
          <w:lang w:val="es-CO"/>
        </w:rPr>
        <w:t xml:space="preserve"> en relación con las obligaciones que ya ha adquirido simultáneamente.</w:t>
      </w:r>
    </w:p>
    <w:p w14:paraId="1AEA7156" w14:textId="77777777" w:rsidR="00F419B1" w:rsidRPr="00C54AA4" w:rsidRDefault="00F419B1" w:rsidP="00F419B1">
      <w:pPr>
        <w:pStyle w:val="Textoindependiente"/>
        <w:spacing w:before="120" w:line="276" w:lineRule="auto"/>
        <w:ind w:right="51" w:firstLine="709"/>
        <w:jc w:val="both"/>
        <w:rPr>
          <w:color w:val="000000" w:themeColor="text1"/>
          <w:lang w:val="es-CO"/>
        </w:rPr>
      </w:pPr>
      <w:r w:rsidRPr="00C54AA4">
        <w:rPr>
          <w:color w:val="000000" w:themeColor="text1"/>
          <w:lang w:val="es-CO"/>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2F0AA6DE" w14:textId="77777777" w:rsidR="00F419B1" w:rsidRPr="00C54AA4" w:rsidRDefault="00F419B1" w:rsidP="00F419B1">
      <w:pPr>
        <w:pStyle w:val="Textoindependiente"/>
        <w:ind w:right="49"/>
        <w:rPr>
          <w:color w:val="000000" w:themeColor="text1"/>
          <w:lang w:val="es-CO"/>
        </w:rPr>
      </w:pPr>
    </w:p>
    <w:p w14:paraId="46B05615" w14:textId="77777777" w:rsidR="00F419B1" w:rsidRPr="00C54AA4" w:rsidRDefault="00F419B1" w:rsidP="00F419B1">
      <w:pPr>
        <w:pStyle w:val="Textoindependiente"/>
        <w:ind w:left="709" w:right="758"/>
        <w:jc w:val="both"/>
        <w:rPr>
          <w:color w:val="000000" w:themeColor="text1"/>
          <w:sz w:val="21"/>
          <w:szCs w:val="21"/>
          <w:lang w:val="es-CO"/>
        </w:rPr>
      </w:pPr>
      <w:r w:rsidRPr="00C54AA4">
        <w:rPr>
          <w:color w:val="000000" w:themeColor="text1"/>
          <w:sz w:val="21"/>
          <w:szCs w:val="21"/>
          <w:lang w:val="es-CO"/>
        </w:rPr>
        <w:t xml:space="preserve">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w:t>
      </w:r>
      <w:r w:rsidRPr="00C54AA4">
        <w:rPr>
          <w:color w:val="000000" w:themeColor="text1"/>
          <w:sz w:val="21"/>
          <w:szCs w:val="21"/>
          <w:lang w:val="es-CO"/>
        </w:rPr>
        <w:lastRenderedPageBreak/>
        <w:t>Empresarial de la Cámara de Comercio con jurisdicción en su domicilio</w:t>
      </w:r>
      <w:r w:rsidRPr="00C54AA4">
        <w:rPr>
          <w:color w:val="000000" w:themeColor="text1"/>
          <w:spacing w:val="-3"/>
          <w:sz w:val="21"/>
          <w:szCs w:val="21"/>
          <w:lang w:val="es-CO"/>
        </w:rPr>
        <w:t xml:space="preserve"> </w:t>
      </w:r>
      <w:r w:rsidRPr="00C54AA4">
        <w:rPr>
          <w:color w:val="000000" w:themeColor="text1"/>
          <w:sz w:val="21"/>
          <w:szCs w:val="21"/>
          <w:lang w:val="es-CO"/>
        </w:rPr>
        <w:t>principal.</w:t>
      </w:r>
    </w:p>
    <w:p w14:paraId="75E34FBF" w14:textId="77777777" w:rsidR="00F419B1" w:rsidRPr="00C54AA4" w:rsidRDefault="00F419B1" w:rsidP="00F419B1">
      <w:pPr>
        <w:pStyle w:val="Textoindependiente"/>
        <w:ind w:left="709" w:right="758"/>
        <w:rPr>
          <w:color w:val="000000" w:themeColor="text1"/>
          <w:sz w:val="21"/>
          <w:szCs w:val="21"/>
          <w:lang w:val="es-CO"/>
        </w:rPr>
      </w:pPr>
      <w:r w:rsidRPr="00C54AA4">
        <w:rPr>
          <w:color w:val="000000" w:themeColor="text1"/>
          <w:sz w:val="21"/>
          <w:szCs w:val="21"/>
          <w:lang w:val="es-CO"/>
        </w:rPr>
        <w:t>(…)</w:t>
      </w:r>
    </w:p>
    <w:p w14:paraId="2C7756B6" w14:textId="77777777" w:rsidR="00F419B1" w:rsidRPr="00C54AA4" w:rsidRDefault="00F419B1" w:rsidP="00F419B1">
      <w:pPr>
        <w:pStyle w:val="Textoindependiente"/>
        <w:spacing w:before="2"/>
        <w:ind w:left="709" w:right="758"/>
        <w:rPr>
          <w:color w:val="000000" w:themeColor="text1"/>
          <w:sz w:val="21"/>
          <w:szCs w:val="21"/>
          <w:lang w:val="es-CO"/>
        </w:rPr>
      </w:pPr>
    </w:p>
    <w:p w14:paraId="79465590" w14:textId="77777777" w:rsidR="00F419B1" w:rsidRPr="00C54AA4" w:rsidRDefault="00F419B1" w:rsidP="00F419B1">
      <w:pPr>
        <w:pStyle w:val="Textoindependiente"/>
        <w:ind w:left="709" w:right="758"/>
        <w:jc w:val="both"/>
        <w:rPr>
          <w:color w:val="000000" w:themeColor="text1"/>
          <w:sz w:val="21"/>
          <w:szCs w:val="21"/>
          <w:lang w:val="es-CO"/>
        </w:rPr>
      </w:pPr>
      <w:r w:rsidRPr="00C54AA4">
        <w:rPr>
          <w:color w:val="000000" w:themeColor="text1"/>
          <w:sz w:val="21"/>
          <w:szCs w:val="21"/>
          <w:lang w:val="es-CO"/>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A4D602A" w14:textId="77777777" w:rsidR="00F419B1" w:rsidRPr="00C54AA4" w:rsidRDefault="00F419B1" w:rsidP="00F419B1">
      <w:pPr>
        <w:pStyle w:val="Textoindependiente"/>
        <w:ind w:right="49"/>
        <w:rPr>
          <w:color w:val="000000" w:themeColor="text1"/>
          <w:lang w:val="es-CO"/>
        </w:rPr>
      </w:pPr>
    </w:p>
    <w:p w14:paraId="53D19E70" w14:textId="12411F39" w:rsidR="00F91408" w:rsidRPr="00C54AA4" w:rsidRDefault="00F91408" w:rsidP="00F91408">
      <w:pPr>
        <w:pStyle w:val="Textoindependiente"/>
        <w:spacing w:before="1" w:line="276" w:lineRule="auto"/>
        <w:ind w:right="49" w:firstLine="708"/>
        <w:jc w:val="both"/>
        <w:rPr>
          <w:color w:val="000000" w:themeColor="text1"/>
          <w:lang w:val="es-CO"/>
        </w:rPr>
      </w:pPr>
      <w:r w:rsidRPr="00C54AA4">
        <w:rPr>
          <w:color w:val="000000" w:themeColor="text1"/>
          <w:lang w:val="es-CO"/>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256EDFA2" w14:textId="0E2D7E0B" w:rsidR="00F419B1" w:rsidRPr="00C54AA4" w:rsidRDefault="00F419B1" w:rsidP="00F91408">
      <w:pPr>
        <w:pStyle w:val="Textoindependiente"/>
        <w:spacing w:before="120" w:line="276" w:lineRule="auto"/>
        <w:ind w:right="51" w:firstLine="709"/>
        <w:jc w:val="both"/>
        <w:rPr>
          <w:color w:val="000000" w:themeColor="text1"/>
          <w:lang w:val="es-CO"/>
        </w:rPr>
      </w:pPr>
      <w:r w:rsidRPr="00C54AA4">
        <w:rPr>
          <w:color w:val="000000" w:themeColor="text1"/>
          <w:lang w:val="es-CO"/>
        </w:rPr>
        <w:t>El artículo 2.2.1.1.1.6.</w:t>
      </w:r>
      <w:r w:rsidR="006577C3" w:rsidRPr="00C54AA4">
        <w:rPr>
          <w:color w:val="000000" w:themeColor="text1"/>
          <w:lang w:val="es-CO"/>
        </w:rPr>
        <w:t>4</w:t>
      </w:r>
      <w:r w:rsidRPr="00C54AA4">
        <w:rPr>
          <w:color w:val="000000" w:themeColor="text1"/>
          <w:lang w:val="es-CO"/>
        </w:rPr>
        <w:t xml:space="preserve"> del Decreto 1082 de 2015</w:t>
      </w:r>
      <w:r w:rsidR="00565A9A" w:rsidRPr="00C54AA4">
        <w:rPr>
          <w:color w:val="000000" w:themeColor="text1"/>
          <w:lang w:val="es-CO"/>
        </w:rPr>
        <w:t>, por su parte,</w:t>
      </w:r>
      <w:r w:rsidRPr="00C54AA4">
        <w:rPr>
          <w:color w:val="000000" w:themeColor="text1"/>
          <w:lang w:val="es-CO"/>
        </w:rPr>
        <w:t xml:space="preserve"> estable</w:t>
      </w:r>
      <w:r w:rsidR="00E57EAF" w:rsidRPr="00C54AA4">
        <w:rPr>
          <w:color w:val="000000" w:themeColor="text1"/>
          <w:lang w:val="es-CO"/>
        </w:rPr>
        <w:t>ce</w:t>
      </w:r>
      <w:r w:rsidRPr="00C54AA4">
        <w:rPr>
          <w:color w:val="000000" w:themeColor="text1"/>
          <w:lang w:val="es-CO"/>
        </w:rPr>
        <w:t xml:space="preserve"> que las entidades estatales deberán calcular la capacidad residual conforme a la metodología definida por Colombia Compre Eficiente y precisó que</w:t>
      </w:r>
      <w:r w:rsidR="00114BD6" w:rsidRPr="00C54AA4">
        <w:rPr>
          <w:color w:val="000000" w:themeColor="text1"/>
          <w:lang w:val="es-CO"/>
        </w:rPr>
        <w:t>, para tale fines, resulta necesario</w:t>
      </w:r>
      <w:r w:rsidRPr="00C54AA4">
        <w:rPr>
          <w:color w:val="000000" w:themeColor="text1"/>
          <w:lang w:val="es-CO"/>
        </w:rPr>
        <w:t xml:space="preserve"> tener en cuenta los factores de</w:t>
      </w:r>
      <w:r w:rsidR="00114BD6" w:rsidRPr="00C54AA4">
        <w:rPr>
          <w:color w:val="000000" w:themeColor="text1"/>
          <w:lang w:val="es-CO"/>
        </w:rPr>
        <w:t>: i)</w:t>
      </w:r>
      <w:r w:rsidRPr="00C54AA4">
        <w:rPr>
          <w:color w:val="000000" w:themeColor="text1"/>
          <w:lang w:val="es-CO"/>
        </w:rPr>
        <w:t xml:space="preserve"> experiencia</w:t>
      </w:r>
      <w:r w:rsidR="00114BD6" w:rsidRPr="00C54AA4">
        <w:rPr>
          <w:color w:val="000000" w:themeColor="text1"/>
          <w:lang w:val="es-CO"/>
        </w:rPr>
        <w:t xml:space="preserve">; ii) </w:t>
      </w:r>
      <w:r w:rsidRPr="00C54AA4">
        <w:rPr>
          <w:color w:val="000000" w:themeColor="text1"/>
          <w:lang w:val="es-CO"/>
        </w:rPr>
        <w:t>capacidad financiera</w:t>
      </w:r>
      <w:r w:rsidR="00114BD6" w:rsidRPr="00C54AA4">
        <w:rPr>
          <w:color w:val="000000" w:themeColor="text1"/>
          <w:lang w:val="es-CO"/>
        </w:rPr>
        <w:t>; iii)</w:t>
      </w:r>
      <w:r w:rsidRPr="00C54AA4">
        <w:rPr>
          <w:color w:val="000000" w:themeColor="text1"/>
          <w:lang w:val="es-CO"/>
        </w:rPr>
        <w:t xml:space="preserve"> capacidad técnica</w:t>
      </w:r>
      <w:r w:rsidR="00114BD6" w:rsidRPr="00C54AA4">
        <w:rPr>
          <w:color w:val="000000" w:themeColor="text1"/>
          <w:lang w:val="es-CO"/>
        </w:rPr>
        <w:t>; iv)</w:t>
      </w:r>
      <w:r w:rsidRPr="00C54AA4">
        <w:rPr>
          <w:color w:val="000000" w:themeColor="text1"/>
          <w:lang w:val="es-CO"/>
        </w:rPr>
        <w:t xml:space="preserve"> capacidad de organización</w:t>
      </w:r>
      <w:r w:rsidR="00114BD6" w:rsidRPr="00C54AA4">
        <w:rPr>
          <w:color w:val="000000" w:themeColor="text1"/>
          <w:lang w:val="es-CO"/>
        </w:rPr>
        <w:t>;</w:t>
      </w:r>
      <w:r w:rsidRPr="00C54AA4">
        <w:rPr>
          <w:color w:val="000000" w:themeColor="text1"/>
          <w:lang w:val="es-CO"/>
        </w:rPr>
        <w:t xml:space="preserve"> y</w:t>
      </w:r>
      <w:r w:rsidR="00114BD6" w:rsidRPr="00C54AA4">
        <w:rPr>
          <w:color w:val="000000" w:themeColor="text1"/>
          <w:lang w:val="es-CO"/>
        </w:rPr>
        <w:t xml:space="preserve"> v)</w:t>
      </w:r>
      <w:r w:rsidRPr="00C54AA4">
        <w:rPr>
          <w:color w:val="000000" w:themeColor="text1"/>
          <w:lang w:val="es-CO"/>
        </w:rPr>
        <w:t xml:space="preserve"> los saldos de los contratos en ejecución, así:</w:t>
      </w:r>
    </w:p>
    <w:p w14:paraId="2986226B" w14:textId="77777777" w:rsidR="00F419B1" w:rsidRPr="00C54AA4" w:rsidRDefault="00F419B1" w:rsidP="00F419B1">
      <w:pPr>
        <w:pStyle w:val="Textoindependiente"/>
        <w:spacing w:before="8"/>
        <w:ind w:right="49"/>
        <w:rPr>
          <w:color w:val="000000" w:themeColor="text1"/>
          <w:sz w:val="21"/>
          <w:lang w:val="es-CO"/>
        </w:rPr>
      </w:pPr>
    </w:p>
    <w:p w14:paraId="19E3312C" w14:textId="77777777" w:rsidR="00F419B1" w:rsidRPr="00C54AA4" w:rsidRDefault="00F419B1" w:rsidP="00F419B1">
      <w:pPr>
        <w:pStyle w:val="Textoindependiente"/>
        <w:ind w:left="709" w:right="760" w:firstLine="2"/>
        <w:rPr>
          <w:color w:val="000000" w:themeColor="text1"/>
          <w:sz w:val="21"/>
          <w:szCs w:val="21"/>
          <w:lang w:val="es-CO"/>
        </w:rPr>
      </w:pPr>
      <w:r w:rsidRPr="00C54AA4">
        <w:rPr>
          <w:color w:val="000000" w:themeColor="text1"/>
          <w:sz w:val="21"/>
          <w:szCs w:val="21"/>
          <w:lang w:val="es-CO"/>
        </w:rPr>
        <w:t>Artículo 2.2.1.1.1.6.4. Capacidad Residual. El interesado en celebrar contratos de obra pública con Entidades Estatales debe acreditar su Capacidad Residual o K de Contratación con los siguientes documentos: (…)</w:t>
      </w:r>
    </w:p>
    <w:p w14:paraId="3BE237B5" w14:textId="77777777" w:rsidR="00F419B1" w:rsidRPr="00C54AA4" w:rsidRDefault="00F419B1" w:rsidP="00F419B1">
      <w:pPr>
        <w:pStyle w:val="Textoindependiente"/>
        <w:ind w:left="709" w:right="760"/>
        <w:rPr>
          <w:color w:val="000000" w:themeColor="text1"/>
          <w:sz w:val="21"/>
          <w:szCs w:val="21"/>
          <w:lang w:val="es-CO"/>
        </w:rPr>
      </w:pPr>
    </w:p>
    <w:p w14:paraId="707FE29C" w14:textId="77777777" w:rsidR="00F419B1" w:rsidRPr="00C54AA4" w:rsidRDefault="00F419B1" w:rsidP="00F419B1">
      <w:pPr>
        <w:pStyle w:val="Textoindependiente"/>
        <w:ind w:left="709" w:right="760" w:firstLine="2"/>
        <w:jc w:val="both"/>
        <w:rPr>
          <w:color w:val="000000" w:themeColor="text1"/>
          <w:sz w:val="21"/>
          <w:szCs w:val="21"/>
          <w:lang w:val="es-CO"/>
        </w:rPr>
      </w:pPr>
      <w:r w:rsidRPr="00C54AA4">
        <w:rPr>
          <w:color w:val="000000" w:themeColor="text1"/>
          <w:sz w:val="21"/>
          <w:szCs w:val="21"/>
          <w:lang w:val="es-CO"/>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75255BED" w14:textId="77777777" w:rsidR="00F419B1" w:rsidRPr="00C54AA4" w:rsidRDefault="00F419B1" w:rsidP="00F419B1">
      <w:pPr>
        <w:pStyle w:val="Textoindependiente"/>
        <w:ind w:right="49"/>
        <w:rPr>
          <w:color w:val="000000" w:themeColor="text1"/>
          <w:lang w:val="es-CO"/>
        </w:rPr>
      </w:pPr>
    </w:p>
    <w:p w14:paraId="35448A9C" w14:textId="607C74AF" w:rsidR="00F419B1" w:rsidRPr="00C54AA4" w:rsidRDefault="00F419B1" w:rsidP="00F419B1">
      <w:pPr>
        <w:pStyle w:val="Textoindependiente"/>
        <w:spacing w:line="276" w:lineRule="auto"/>
        <w:ind w:right="49" w:firstLine="709"/>
        <w:jc w:val="both"/>
        <w:rPr>
          <w:color w:val="000000" w:themeColor="text1"/>
          <w:lang w:val="es-CO"/>
        </w:rPr>
      </w:pPr>
      <w:r w:rsidRPr="00C54AA4">
        <w:rPr>
          <w:color w:val="000000" w:themeColor="text1"/>
          <w:lang w:val="es-CO"/>
        </w:rPr>
        <w:t xml:space="preserve">De conformidad con lo anterior, la Agencia Nacional de Contratación Pública – Colombia Compra Eficiente expidió la </w:t>
      </w:r>
      <w:r w:rsidR="00A81BA0" w:rsidRPr="00C54AA4">
        <w:rPr>
          <w:color w:val="000000" w:themeColor="text1"/>
          <w:lang w:val="es-CO"/>
        </w:rPr>
        <w:t>«</w:t>
      </w:r>
      <w:r w:rsidRPr="00C54AA4">
        <w:rPr>
          <w:color w:val="000000" w:themeColor="text1"/>
          <w:lang w:val="es-CO"/>
        </w:rPr>
        <w:t>Guía para Determinar y Verificar la Capacidad Residual del Proponente en los Procesos de Contratación de Obra Pública</w:t>
      </w:r>
      <w:r w:rsidR="00A81BA0" w:rsidRPr="00C54AA4">
        <w:rPr>
          <w:color w:val="000000" w:themeColor="text1"/>
          <w:lang w:val="es-CO"/>
        </w:rPr>
        <w:t>»</w:t>
      </w:r>
      <w:r w:rsidRPr="00C54AA4">
        <w:rPr>
          <w:color w:val="000000" w:themeColor="text1"/>
          <w:lang w:val="es-CO"/>
        </w:rPr>
        <w:t>.</w:t>
      </w:r>
      <w:r w:rsidR="00F91408" w:rsidRPr="00C54AA4">
        <w:rPr>
          <w:color w:val="000000" w:themeColor="text1"/>
          <w:lang w:val="es-CO"/>
        </w:rPr>
        <w:t xml:space="preserve"> Este documento establece, entre otras cuestiones, que a la entidad contratante corresponde, </w:t>
      </w:r>
      <w:r w:rsidR="00F03091" w:rsidRPr="00C54AA4">
        <w:rPr>
          <w:color w:val="000000" w:themeColor="text1"/>
          <w:lang w:val="es-CO"/>
        </w:rPr>
        <w:t>primero</w:t>
      </w:r>
      <w:r w:rsidR="00F91408" w:rsidRPr="00C54AA4">
        <w:rPr>
          <w:color w:val="000000" w:themeColor="text1"/>
          <w:lang w:val="es-CO"/>
        </w:rPr>
        <w:t>, establecer la capacidad residual del proceso de contratación</w:t>
      </w:r>
      <w:r w:rsidR="00F03091" w:rsidRPr="00C54AA4">
        <w:rPr>
          <w:color w:val="000000" w:themeColor="text1"/>
          <w:lang w:val="es-CO"/>
        </w:rPr>
        <w:t xml:space="preserve"> «CRPC»</w:t>
      </w:r>
      <w:r w:rsidR="00F91408" w:rsidRPr="00C54AA4">
        <w:rPr>
          <w:color w:val="000000" w:themeColor="text1"/>
          <w:lang w:val="es-CO"/>
        </w:rPr>
        <w:t xml:space="preserve"> y, </w:t>
      </w:r>
      <w:r w:rsidR="00F03091" w:rsidRPr="00C54AA4">
        <w:rPr>
          <w:color w:val="000000" w:themeColor="text1"/>
          <w:lang w:val="es-CO"/>
        </w:rPr>
        <w:t>segundo</w:t>
      </w:r>
      <w:r w:rsidR="00F91408" w:rsidRPr="00C54AA4">
        <w:rPr>
          <w:color w:val="000000" w:themeColor="text1"/>
          <w:lang w:val="es-CO"/>
        </w:rPr>
        <w:t>, determinar si los proponentes cumplen con la capacidad residual del proceso de contratación, claro está, teniendo en cuenta la siguiente información aportada por el proponente:</w:t>
      </w:r>
    </w:p>
    <w:p w14:paraId="5A44BFD5" w14:textId="1A802F0A" w:rsidR="00F91408" w:rsidRPr="00C54AA4" w:rsidRDefault="00F91408" w:rsidP="00F91408">
      <w:pPr>
        <w:pStyle w:val="Textoindependiente"/>
        <w:ind w:left="709" w:right="760"/>
        <w:jc w:val="both"/>
        <w:rPr>
          <w:color w:val="000000" w:themeColor="text1"/>
          <w:sz w:val="21"/>
          <w:szCs w:val="21"/>
          <w:lang w:val="es-CO"/>
        </w:rPr>
      </w:pPr>
    </w:p>
    <w:p w14:paraId="206A23E8" w14:textId="5828238A" w:rsidR="00F03091" w:rsidRPr="00C54AA4" w:rsidRDefault="00F91408" w:rsidP="00F03091">
      <w:pPr>
        <w:pStyle w:val="Textoindependiente"/>
        <w:numPr>
          <w:ilvl w:val="0"/>
          <w:numId w:val="6"/>
        </w:numPr>
        <w:tabs>
          <w:tab w:val="left" w:pos="993"/>
        </w:tabs>
        <w:ind w:left="709" w:right="760" w:firstLine="0"/>
        <w:jc w:val="both"/>
        <w:rPr>
          <w:color w:val="000000" w:themeColor="text1"/>
          <w:sz w:val="21"/>
          <w:szCs w:val="21"/>
          <w:lang w:val="es-CO"/>
        </w:rPr>
      </w:pPr>
      <w:r w:rsidRPr="00C54AA4">
        <w:rPr>
          <w:color w:val="000000" w:themeColor="text1"/>
          <w:sz w:val="21"/>
          <w:szCs w:val="21"/>
          <w:lang w:val="es-CO"/>
        </w:rPr>
        <w:t>La lista de los Contratos en Ejecución, así como el valor y plazo de tales contratos.</w:t>
      </w:r>
    </w:p>
    <w:p w14:paraId="16E84F16" w14:textId="77777777" w:rsidR="008C5A24" w:rsidRPr="00C54AA4" w:rsidRDefault="008C5A24" w:rsidP="008C5A24">
      <w:pPr>
        <w:pStyle w:val="Textoindependiente"/>
        <w:tabs>
          <w:tab w:val="left" w:pos="993"/>
        </w:tabs>
        <w:ind w:left="709" w:right="760"/>
        <w:jc w:val="both"/>
        <w:rPr>
          <w:color w:val="000000" w:themeColor="text1"/>
          <w:sz w:val="21"/>
          <w:szCs w:val="21"/>
          <w:lang w:val="es-CO"/>
        </w:rPr>
      </w:pPr>
    </w:p>
    <w:p w14:paraId="31191B56" w14:textId="3E95C1DF" w:rsidR="00F03091" w:rsidRPr="00C54AA4" w:rsidRDefault="00F91408" w:rsidP="00F03091">
      <w:pPr>
        <w:pStyle w:val="Textoindependiente"/>
        <w:numPr>
          <w:ilvl w:val="0"/>
          <w:numId w:val="6"/>
        </w:numPr>
        <w:tabs>
          <w:tab w:val="left" w:pos="993"/>
        </w:tabs>
        <w:ind w:left="709" w:right="760" w:firstLine="0"/>
        <w:jc w:val="both"/>
        <w:rPr>
          <w:color w:val="000000" w:themeColor="text1"/>
          <w:sz w:val="21"/>
          <w:szCs w:val="21"/>
          <w:lang w:val="es-CO"/>
        </w:rPr>
      </w:pPr>
      <w:r w:rsidRPr="00C54AA4">
        <w:rPr>
          <w:color w:val="000000" w:themeColor="text1"/>
          <w:sz w:val="21"/>
          <w:szCs w:val="21"/>
          <w:lang w:val="es-CO"/>
        </w:rPr>
        <w:t xml:space="preserve">La lista de los Contratos en Ejecución, suscritos por sociedades, consorcios o uniones temporales, en los cuales el proponente tenga participación, así como </w:t>
      </w:r>
      <w:r w:rsidRPr="00C54AA4">
        <w:rPr>
          <w:color w:val="000000" w:themeColor="text1"/>
          <w:sz w:val="21"/>
          <w:szCs w:val="21"/>
          <w:lang w:val="es-CO"/>
        </w:rPr>
        <w:lastRenderedPageBreak/>
        <w:t>el valor y plazo de tales contratos.</w:t>
      </w:r>
    </w:p>
    <w:p w14:paraId="123B5A10" w14:textId="77777777" w:rsidR="008C5A24" w:rsidRPr="00C54AA4" w:rsidRDefault="008C5A24" w:rsidP="002C397E">
      <w:pPr>
        <w:pStyle w:val="Textoindependiente"/>
        <w:tabs>
          <w:tab w:val="left" w:pos="993"/>
        </w:tabs>
        <w:ind w:right="760"/>
        <w:jc w:val="both"/>
        <w:rPr>
          <w:color w:val="000000" w:themeColor="text1"/>
          <w:sz w:val="21"/>
          <w:szCs w:val="21"/>
          <w:lang w:val="es-CO"/>
        </w:rPr>
      </w:pPr>
    </w:p>
    <w:p w14:paraId="4468E48B" w14:textId="785D5F2C" w:rsidR="00F91408" w:rsidRPr="00C54AA4" w:rsidRDefault="00F91408" w:rsidP="00F03091">
      <w:pPr>
        <w:pStyle w:val="Textoindependiente"/>
        <w:numPr>
          <w:ilvl w:val="0"/>
          <w:numId w:val="6"/>
        </w:numPr>
        <w:tabs>
          <w:tab w:val="left" w:pos="993"/>
        </w:tabs>
        <w:ind w:left="709" w:right="760" w:firstLine="0"/>
        <w:jc w:val="both"/>
        <w:rPr>
          <w:color w:val="000000" w:themeColor="text1"/>
          <w:sz w:val="21"/>
          <w:szCs w:val="21"/>
          <w:lang w:val="es-CO"/>
        </w:rPr>
      </w:pPr>
      <w:r w:rsidRPr="00C54AA4">
        <w:rPr>
          <w:color w:val="000000" w:themeColor="text1"/>
          <w:sz w:val="21"/>
          <w:szCs w:val="21"/>
          <w:lang w:val="es-CO"/>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222F2D1D" w14:textId="77777777" w:rsidR="00F03091" w:rsidRPr="00C54AA4" w:rsidRDefault="00F03091" w:rsidP="002C397E">
      <w:pPr>
        <w:pStyle w:val="Textoindependiente"/>
        <w:spacing w:line="276" w:lineRule="auto"/>
        <w:ind w:right="51" w:firstLine="709"/>
        <w:jc w:val="both"/>
        <w:rPr>
          <w:color w:val="000000" w:themeColor="text1"/>
          <w:lang w:val="es-CO"/>
        </w:rPr>
      </w:pPr>
    </w:p>
    <w:p w14:paraId="50176C68" w14:textId="2F2E1934" w:rsidR="00F03091" w:rsidRPr="00C54AA4" w:rsidRDefault="00F03091" w:rsidP="002C397E">
      <w:pPr>
        <w:pStyle w:val="Textoindependiente"/>
        <w:spacing w:line="276" w:lineRule="auto"/>
        <w:ind w:right="51" w:firstLine="709"/>
        <w:jc w:val="both"/>
        <w:rPr>
          <w:color w:val="000000" w:themeColor="text1"/>
          <w:lang w:val="es-CO"/>
        </w:rPr>
      </w:pPr>
      <w:r w:rsidRPr="00C54AA4">
        <w:rPr>
          <w:color w:val="000000" w:themeColor="text1"/>
          <w:lang w:val="es-CO"/>
        </w:rPr>
        <w:t>Ahora bien, p</w:t>
      </w:r>
      <w:r w:rsidR="00F91408" w:rsidRPr="00C54AA4">
        <w:rPr>
          <w:color w:val="000000" w:themeColor="text1"/>
          <w:lang w:val="es-CO"/>
        </w:rPr>
        <w:t>ara lo primero</w:t>
      </w:r>
      <w:r w:rsidRPr="00C54AA4">
        <w:rPr>
          <w:color w:val="000000" w:themeColor="text1"/>
          <w:lang w:val="es-CO"/>
        </w:rPr>
        <w:t xml:space="preserve">, esto es, para establecer la capacidad residual del proceso de contratación «CRPC», se debe </w:t>
      </w:r>
      <w:r w:rsidR="00765EEE">
        <w:rPr>
          <w:color w:val="000000" w:themeColor="text1"/>
          <w:lang w:val="es-CO"/>
        </w:rPr>
        <w:t>determinar</w:t>
      </w:r>
      <w:r w:rsidR="00765EEE" w:rsidRPr="00C54AA4">
        <w:rPr>
          <w:color w:val="000000" w:themeColor="text1"/>
          <w:lang w:val="es-CO"/>
        </w:rPr>
        <w:t xml:space="preserve"> </w:t>
      </w:r>
      <w:r w:rsidRPr="00C54AA4">
        <w:rPr>
          <w:color w:val="000000" w:themeColor="text1"/>
          <w:lang w:val="es-CO"/>
        </w:rPr>
        <w:t xml:space="preserve">si el plazo del contrato es superior </w:t>
      </w:r>
      <w:r w:rsidR="00765EEE">
        <w:rPr>
          <w:color w:val="000000" w:themeColor="text1"/>
          <w:lang w:val="es-CO"/>
        </w:rPr>
        <w:t>a</w:t>
      </w:r>
      <w:r w:rsidR="00765EEE" w:rsidRPr="00C54AA4">
        <w:rPr>
          <w:color w:val="000000" w:themeColor="text1"/>
          <w:lang w:val="es-CO"/>
        </w:rPr>
        <w:t xml:space="preserve"> </w:t>
      </w:r>
      <w:r w:rsidRPr="00C54AA4">
        <w:rPr>
          <w:color w:val="000000" w:themeColor="text1"/>
          <w:lang w:val="es-CO"/>
        </w:rPr>
        <w:t xml:space="preserve">doce meses. Si no lo es, </w:t>
      </w:r>
      <w:r w:rsidR="00F624CD" w:rsidRPr="00C54AA4">
        <w:rPr>
          <w:color w:val="000000" w:themeColor="text1"/>
          <w:lang w:val="es-CO"/>
        </w:rPr>
        <w:t xml:space="preserve">la CRPC </w:t>
      </w:r>
      <w:r w:rsidRPr="00C54AA4">
        <w:rPr>
          <w:color w:val="000000" w:themeColor="text1"/>
          <w:lang w:val="es-CO"/>
        </w:rPr>
        <w:t>equivale al presupuesto oficial estimado del Proceso de Contratación menos el anticipo o pago anticipado cuando haya lugar. Si lo es, equivale a la proporción lineal de 12 meses del presupuesto oficial estimado menos el anticipo o pago anticipado.</w:t>
      </w:r>
    </w:p>
    <w:p w14:paraId="2BF7E83F" w14:textId="12D57497" w:rsidR="00D07B4C" w:rsidRPr="00C54AA4" w:rsidRDefault="00F91408" w:rsidP="005239E4">
      <w:pPr>
        <w:pStyle w:val="Textoindependiente"/>
        <w:spacing w:before="120" w:line="276" w:lineRule="auto"/>
        <w:ind w:right="51" w:firstLine="709"/>
        <w:jc w:val="both"/>
        <w:rPr>
          <w:color w:val="000000" w:themeColor="text1"/>
          <w:lang w:val="es-CO"/>
        </w:rPr>
      </w:pPr>
      <w:r w:rsidRPr="00C54AA4">
        <w:rPr>
          <w:color w:val="000000" w:themeColor="text1"/>
          <w:lang w:val="es-CO"/>
        </w:rPr>
        <w:t>Para lo segundo</w:t>
      </w:r>
      <w:r w:rsidR="00F03091" w:rsidRPr="00C54AA4">
        <w:rPr>
          <w:color w:val="000000" w:themeColor="text1"/>
          <w:lang w:val="es-CO"/>
        </w:rPr>
        <w:t xml:space="preserve">, es decir, verificar que cada proponente cumple con la </w:t>
      </w:r>
      <w:r w:rsidR="00F624CD" w:rsidRPr="00C54AA4">
        <w:rPr>
          <w:color w:val="000000" w:themeColor="text1"/>
          <w:lang w:val="es-CO"/>
        </w:rPr>
        <w:t>CRPC</w:t>
      </w:r>
      <w:r w:rsidR="00F03091" w:rsidRPr="00C54AA4">
        <w:rPr>
          <w:color w:val="000000" w:themeColor="text1"/>
          <w:lang w:val="es-CO"/>
        </w:rPr>
        <w:t xml:space="preserve">, la entidad pública debe verificar que la capacidad residual del proponente </w:t>
      </w:r>
      <w:r w:rsidR="00D07B4C" w:rsidRPr="00C54AA4">
        <w:rPr>
          <w:color w:val="000000" w:themeColor="text1"/>
          <w:lang w:val="es-CO"/>
        </w:rPr>
        <w:t xml:space="preserve">«CRP» </w:t>
      </w:r>
      <w:r w:rsidR="00F03091" w:rsidRPr="00C54AA4">
        <w:rPr>
          <w:color w:val="000000" w:themeColor="text1"/>
          <w:lang w:val="es-CO"/>
        </w:rPr>
        <w:t xml:space="preserve">sea igual o superior a la capacidad referida en el párrafo precedente. </w:t>
      </w:r>
      <w:r w:rsidR="00D07B4C" w:rsidRPr="00C54AA4">
        <w:rPr>
          <w:color w:val="000000" w:themeColor="text1"/>
          <w:lang w:val="es-CO"/>
        </w:rPr>
        <w:t>De todas formas</w:t>
      </w:r>
      <w:r w:rsidR="00F03091" w:rsidRPr="00C54AA4">
        <w:rPr>
          <w:color w:val="000000" w:themeColor="text1"/>
          <w:lang w:val="es-CO"/>
        </w:rPr>
        <w:t xml:space="preserve">, </w:t>
      </w:r>
      <w:r w:rsidR="00D07B4C" w:rsidRPr="00C54AA4">
        <w:rPr>
          <w:color w:val="000000" w:themeColor="text1"/>
          <w:lang w:val="es-CO"/>
        </w:rPr>
        <w:t>previamente</w:t>
      </w:r>
      <w:r w:rsidR="00F03091" w:rsidRPr="00C54AA4">
        <w:rPr>
          <w:color w:val="000000" w:themeColor="text1"/>
          <w:lang w:val="es-CO"/>
        </w:rPr>
        <w:t xml:space="preserve"> debe establecer la </w:t>
      </w:r>
      <w:r w:rsidR="00D07B4C" w:rsidRPr="00C54AA4">
        <w:rPr>
          <w:color w:val="000000" w:themeColor="text1"/>
          <w:lang w:val="es-CO"/>
        </w:rPr>
        <w:t>CRP</w:t>
      </w:r>
      <w:r w:rsidR="00F03091" w:rsidRPr="00C54AA4">
        <w:rPr>
          <w:color w:val="000000" w:themeColor="text1"/>
          <w:lang w:val="es-CO"/>
        </w:rPr>
        <w:t xml:space="preserve">, </w:t>
      </w:r>
      <w:r w:rsidR="005239E4" w:rsidRPr="00C54AA4">
        <w:rPr>
          <w:color w:val="000000" w:themeColor="text1"/>
          <w:lang w:val="es-CO"/>
        </w:rPr>
        <w:t xml:space="preserve">con fundamento en los siguientes factores: i) experiencia «E»; ii) capacidad financiera «CF»; iii) capacidad técnica «CT», iv) capacidad de organización «CO»; y v) los saldos de los contratos en ejecución «SCE», </w:t>
      </w:r>
      <w:r w:rsidR="006143E3" w:rsidRPr="00C54AA4">
        <w:rPr>
          <w:color w:val="000000" w:themeColor="text1"/>
          <w:lang w:val="es-CO"/>
        </w:rPr>
        <w:t xml:space="preserve">y </w:t>
      </w:r>
      <w:r w:rsidR="005239E4" w:rsidRPr="00C54AA4">
        <w:rPr>
          <w:color w:val="000000" w:themeColor="text1"/>
          <w:lang w:val="es-CO"/>
        </w:rPr>
        <w:t>según la siguiente formula:</w:t>
      </w:r>
    </w:p>
    <w:p w14:paraId="609588C2" w14:textId="77777777" w:rsidR="00D07B4C" w:rsidRPr="00C54AA4" w:rsidRDefault="00D07B4C" w:rsidP="00D07B4C">
      <w:pPr>
        <w:pStyle w:val="Textoindependiente"/>
        <w:tabs>
          <w:tab w:val="left" w:pos="709"/>
          <w:tab w:val="left" w:pos="8080"/>
        </w:tabs>
        <w:spacing w:before="10"/>
        <w:ind w:right="49"/>
        <w:rPr>
          <w:color w:val="000000" w:themeColor="text1"/>
          <w:sz w:val="18"/>
          <w:lang w:val="es-CO"/>
        </w:rPr>
      </w:pPr>
      <w:r w:rsidRPr="00C54AA4">
        <w:rPr>
          <w:noProof/>
          <w:color w:val="000000" w:themeColor="text1"/>
          <w:lang w:val="es-CO" w:eastAsia="es-ES_tradnl" w:bidi="ar-SA"/>
        </w:rPr>
        <w:drawing>
          <wp:anchor distT="0" distB="0" distL="0" distR="0" simplePos="0" relativeHeight="251659264" behindDoc="0" locked="0" layoutInCell="1" allowOverlap="1" wp14:anchorId="63AC6C71" wp14:editId="68C90F74">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59668A02" w14:textId="77777777" w:rsidR="00F03091" w:rsidRPr="00C54AA4" w:rsidRDefault="00F03091" w:rsidP="00F419B1">
      <w:pPr>
        <w:pStyle w:val="Textoindependiente"/>
        <w:spacing w:before="120" w:line="276" w:lineRule="auto"/>
        <w:ind w:right="51" w:firstLine="709"/>
        <w:jc w:val="both"/>
        <w:rPr>
          <w:color w:val="000000" w:themeColor="text1"/>
          <w:lang w:val="es-CO"/>
        </w:rPr>
      </w:pPr>
    </w:p>
    <w:p w14:paraId="752E71B6" w14:textId="7B470886" w:rsidR="00F03091" w:rsidRPr="00C54AA4" w:rsidRDefault="005239E4" w:rsidP="006143E3">
      <w:pPr>
        <w:pStyle w:val="Textoindependiente"/>
        <w:spacing w:before="120" w:line="276" w:lineRule="auto"/>
        <w:ind w:right="51" w:firstLine="709"/>
        <w:jc w:val="both"/>
        <w:rPr>
          <w:color w:val="000000" w:themeColor="text1"/>
          <w:lang w:val="es-CO"/>
        </w:rPr>
      </w:pPr>
      <w:r w:rsidRPr="00C54AA4">
        <w:rPr>
          <w:color w:val="000000" w:themeColor="text1"/>
          <w:lang w:val="es-CO"/>
        </w:rPr>
        <w:t xml:space="preserve">A cada uno de estos factores se les debe asignar el siguiente puntaje máximo: i) «E» 120; ii) «CF» 40; y iii) «CT» 40. </w:t>
      </w:r>
      <w:r w:rsidR="006143E3" w:rsidRPr="00C54AA4">
        <w:rPr>
          <w:color w:val="000000" w:themeColor="text1"/>
          <w:lang w:val="es-CO"/>
        </w:rPr>
        <w:t>La «CO»</w:t>
      </w:r>
      <w:r w:rsidRPr="00C54AA4">
        <w:rPr>
          <w:color w:val="000000" w:themeColor="text1"/>
          <w:lang w:val="es-CO"/>
        </w:rPr>
        <w:t xml:space="preserve"> </w:t>
      </w:r>
      <w:r w:rsidR="006143E3" w:rsidRPr="00C54AA4">
        <w:rPr>
          <w:color w:val="000000" w:themeColor="text1"/>
          <w:lang w:val="es-CO"/>
        </w:rPr>
        <w:t>no tiene asignación de puntaje en la fórmula, por un lado, porque su unidad de medida es en pesos colombianos «COP» y, por el otro, debido a que el mismo constituye un factor multiplicador de los demás factores en la fórmula. A continuación</w:t>
      </w:r>
      <w:r w:rsidR="00CE3495" w:rsidRPr="00C54AA4">
        <w:rPr>
          <w:color w:val="000000" w:themeColor="text1"/>
          <w:lang w:val="es-CO"/>
        </w:rPr>
        <w:t>,</w:t>
      </w:r>
      <w:r w:rsidR="006143E3" w:rsidRPr="00C54AA4">
        <w:rPr>
          <w:color w:val="000000" w:themeColor="text1"/>
          <w:lang w:val="es-CO"/>
        </w:rPr>
        <w:t xml:space="preserve"> se explicar</w:t>
      </w:r>
      <w:r w:rsidR="00CE3495" w:rsidRPr="00C54AA4">
        <w:rPr>
          <w:color w:val="000000" w:themeColor="text1"/>
          <w:lang w:val="es-CO"/>
        </w:rPr>
        <w:t>á</w:t>
      </w:r>
      <w:r w:rsidR="006143E3" w:rsidRPr="00C54AA4">
        <w:rPr>
          <w:color w:val="000000" w:themeColor="text1"/>
          <w:lang w:val="es-CO"/>
        </w:rPr>
        <w:t>, en términos generales, c</w:t>
      </w:r>
      <w:r w:rsidR="00CE3495" w:rsidRPr="00C54AA4">
        <w:rPr>
          <w:color w:val="000000" w:themeColor="text1"/>
          <w:lang w:val="es-CO"/>
        </w:rPr>
        <w:t>ó</w:t>
      </w:r>
      <w:r w:rsidR="006143E3" w:rsidRPr="00C54AA4">
        <w:rPr>
          <w:color w:val="000000" w:themeColor="text1"/>
          <w:lang w:val="es-CO"/>
        </w:rPr>
        <w:t>mo calcular cada factor:</w:t>
      </w:r>
    </w:p>
    <w:p w14:paraId="257C6BAD" w14:textId="36F934BF" w:rsidR="006143E3" w:rsidRPr="00C54AA4" w:rsidRDefault="006143E3" w:rsidP="006143E3">
      <w:pPr>
        <w:pStyle w:val="Textoindependiente"/>
        <w:numPr>
          <w:ilvl w:val="0"/>
          <w:numId w:val="8"/>
        </w:numPr>
        <w:tabs>
          <w:tab w:val="left" w:pos="993"/>
        </w:tabs>
        <w:spacing w:before="120" w:line="276" w:lineRule="auto"/>
        <w:ind w:left="0" w:right="51" w:firstLine="709"/>
        <w:jc w:val="both"/>
        <w:rPr>
          <w:i/>
          <w:iCs/>
          <w:color w:val="000000" w:themeColor="text1"/>
          <w:lang w:val="es-CO"/>
        </w:rPr>
      </w:pPr>
      <w:r w:rsidRPr="00C54AA4">
        <w:rPr>
          <w:i/>
          <w:iCs/>
          <w:color w:val="000000" w:themeColor="text1"/>
          <w:lang w:val="es-CO"/>
        </w:rPr>
        <w:t>Capacidad financiera.</w:t>
      </w:r>
      <w:r w:rsidRPr="00C54AA4">
        <w:rPr>
          <w:color w:val="000000" w:themeColor="text1"/>
          <w:lang w:val="es-CO"/>
        </w:rPr>
        <w:t xml:space="preserve"> Se mide por el «índice de liquidez» y este, a su vez, corresponde al resulta de dividir el «activo corriente» sobre el «pasivo corriente». El resultado puede ser calificado entre 20 y cuarenta puntos, según se explica en la Guia.</w:t>
      </w:r>
    </w:p>
    <w:p w14:paraId="116961D1" w14:textId="20D8F62E" w:rsidR="006143E3" w:rsidRPr="00C54AA4" w:rsidRDefault="006143E3" w:rsidP="006143E3">
      <w:pPr>
        <w:pStyle w:val="Textoindependiente"/>
        <w:numPr>
          <w:ilvl w:val="0"/>
          <w:numId w:val="8"/>
        </w:numPr>
        <w:tabs>
          <w:tab w:val="left" w:pos="993"/>
        </w:tabs>
        <w:spacing w:before="120" w:line="276" w:lineRule="auto"/>
        <w:ind w:left="0" w:right="51" w:firstLine="709"/>
        <w:jc w:val="both"/>
        <w:rPr>
          <w:i/>
          <w:iCs/>
          <w:color w:val="000000" w:themeColor="text1"/>
          <w:lang w:val="es-CO"/>
        </w:rPr>
      </w:pPr>
      <w:r w:rsidRPr="00C54AA4">
        <w:rPr>
          <w:i/>
          <w:iCs/>
          <w:color w:val="000000" w:themeColor="text1"/>
          <w:lang w:val="es-CO"/>
        </w:rPr>
        <w:t>Capacidad técnica</w:t>
      </w:r>
      <w:r w:rsidRPr="00C54AA4">
        <w:rPr>
          <w:color w:val="000000" w:themeColor="text1"/>
          <w:lang w:val="es-CO"/>
        </w:rPr>
        <w:t xml:space="preserve">.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w:t>
      </w:r>
      <w:r w:rsidRPr="00C54AA4">
        <w:rPr>
          <w:color w:val="000000" w:themeColor="text1"/>
          <w:lang w:val="es-CO"/>
        </w:rPr>
        <w:lastRenderedPageBreak/>
        <w:t>Determinar y Verificar la Capacidad Residual del Proponente en los Procesos de Contratación de Obra Pública» −</w:t>
      </w:r>
      <w:r w:rsidR="008F184D" w:rsidRPr="00C54AA4">
        <w:rPr>
          <w:color w:val="000000" w:themeColor="text1"/>
          <w:lang w:val="es-CO"/>
        </w:rPr>
        <w:t xml:space="preserve">este es diferente </w:t>
      </w:r>
      <w:r w:rsidRPr="00C54AA4">
        <w:rPr>
          <w:color w:val="000000" w:themeColor="text1"/>
          <w:lang w:val="es-CO"/>
        </w:rPr>
        <w:t>al Anexo 2 de los Documentos Tipo−</w:t>
      </w:r>
      <w:r w:rsidR="00CE3495" w:rsidRPr="00C54AA4">
        <w:rPr>
          <w:color w:val="000000" w:themeColor="text1"/>
          <w:lang w:val="es-CO"/>
        </w:rPr>
        <w:t>.</w:t>
      </w:r>
    </w:p>
    <w:p w14:paraId="3E69082B" w14:textId="267EB981" w:rsidR="00CE3495" w:rsidRPr="00C54AA4" w:rsidRDefault="00CE3495" w:rsidP="006143E3">
      <w:pPr>
        <w:pStyle w:val="Textoindependiente"/>
        <w:numPr>
          <w:ilvl w:val="0"/>
          <w:numId w:val="8"/>
        </w:numPr>
        <w:tabs>
          <w:tab w:val="left" w:pos="993"/>
        </w:tabs>
        <w:spacing w:before="120" w:line="276" w:lineRule="auto"/>
        <w:ind w:left="0" w:right="51" w:firstLine="709"/>
        <w:jc w:val="both"/>
        <w:rPr>
          <w:i/>
          <w:iCs/>
          <w:color w:val="000000" w:themeColor="text1"/>
          <w:lang w:val="es-CO"/>
        </w:rPr>
      </w:pPr>
      <w:r w:rsidRPr="00C54AA4">
        <w:rPr>
          <w:i/>
          <w:iCs/>
          <w:color w:val="000000" w:themeColor="text1"/>
          <w:lang w:val="es-CO"/>
        </w:rPr>
        <w:t>Capacidad de organización</w:t>
      </w:r>
      <w:r w:rsidRPr="00C54AA4">
        <w:rPr>
          <w:color w:val="000000" w:themeColor="text1"/>
          <w:lang w:val="es-CO"/>
        </w:rPr>
        <w:t>. Corresponde a los ingresos operacionales, según el siguiente cuadro:</w:t>
      </w:r>
    </w:p>
    <w:p w14:paraId="669F56F6" w14:textId="166DF0A0" w:rsidR="00CE3495" w:rsidRPr="00C96072" w:rsidRDefault="00CE3495" w:rsidP="00CE3495">
      <w:pPr>
        <w:pStyle w:val="Textoindependiente"/>
        <w:tabs>
          <w:tab w:val="left" w:pos="993"/>
        </w:tabs>
        <w:spacing w:before="120" w:line="276" w:lineRule="auto"/>
        <w:ind w:left="709" w:right="51"/>
        <w:jc w:val="both"/>
        <w:rPr>
          <w:i/>
          <w:iCs/>
          <w:color w:val="000000" w:themeColor="text1"/>
          <w:sz w:val="16"/>
          <w:szCs w:val="16"/>
          <w:lang w:val="es-CO"/>
        </w:rPr>
      </w:pPr>
    </w:p>
    <w:tbl>
      <w:tblPr>
        <w:tblStyle w:val="Tablaconcuadrcula"/>
        <w:tblW w:w="7366" w:type="dxa"/>
        <w:tblInd w:w="709" w:type="dxa"/>
        <w:tblLook w:val="04A0" w:firstRow="1" w:lastRow="0" w:firstColumn="1" w:lastColumn="0" w:noHBand="0" w:noVBand="1"/>
      </w:tblPr>
      <w:tblGrid>
        <w:gridCol w:w="4053"/>
        <w:gridCol w:w="3313"/>
      </w:tblGrid>
      <w:tr w:rsidR="00543959" w:rsidRPr="00C54AA4" w14:paraId="6C2915B1" w14:textId="77777777" w:rsidTr="00CE3495">
        <w:tc>
          <w:tcPr>
            <w:tcW w:w="4053" w:type="dxa"/>
            <w:shd w:val="clear" w:color="auto" w:fill="D9D9D9" w:themeFill="background1" w:themeFillShade="D9"/>
          </w:tcPr>
          <w:p w14:paraId="175CC62E" w14:textId="1F5456C2" w:rsidR="00CE3495" w:rsidRPr="00C54AA4" w:rsidRDefault="00CE3495" w:rsidP="00CE3495">
            <w:pPr>
              <w:pStyle w:val="Textoindependiente"/>
              <w:tabs>
                <w:tab w:val="left" w:pos="993"/>
              </w:tabs>
              <w:spacing w:before="120" w:line="276" w:lineRule="auto"/>
              <w:ind w:right="51"/>
              <w:jc w:val="center"/>
              <w:rPr>
                <w:b/>
                <w:bCs/>
                <w:color w:val="000000" w:themeColor="text1"/>
                <w:sz w:val="21"/>
                <w:szCs w:val="21"/>
                <w:lang w:val="es-CO"/>
              </w:rPr>
            </w:pPr>
            <w:r w:rsidRPr="00C54AA4">
              <w:rPr>
                <w:b/>
                <w:bCs/>
                <w:color w:val="000000" w:themeColor="text1"/>
                <w:sz w:val="21"/>
                <w:szCs w:val="21"/>
                <w:lang w:val="es-CO"/>
              </w:rPr>
              <w:t>Años de información financiera</w:t>
            </w:r>
          </w:p>
        </w:tc>
        <w:tc>
          <w:tcPr>
            <w:tcW w:w="3313" w:type="dxa"/>
            <w:shd w:val="clear" w:color="auto" w:fill="D9D9D9" w:themeFill="background1" w:themeFillShade="D9"/>
          </w:tcPr>
          <w:p w14:paraId="5D2B9612" w14:textId="3F7D1A36" w:rsidR="00CE3495" w:rsidRPr="00C54AA4" w:rsidRDefault="00CE3495" w:rsidP="00CE3495">
            <w:pPr>
              <w:pStyle w:val="Textoindependiente"/>
              <w:tabs>
                <w:tab w:val="left" w:pos="993"/>
              </w:tabs>
              <w:spacing w:before="120" w:line="276" w:lineRule="auto"/>
              <w:ind w:right="51"/>
              <w:jc w:val="center"/>
              <w:rPr>
                <w:b/>
                <w:bCs/>
                <w:color w:val="000000" w:themeColor="text1"/>
                <w:sz w:val="21"/>
                <w:szCs w:val="21"/>
                <w:lang w:val="es-CO"/>
              </w:rPr>
            </w:pPr>
            <w:r w:rsidRPr="00C54AA4">
              <w:rPr>
                <w:b/>
                <w:bCs/>
                <w:color w:val="000000" w:themeColor="text1"/>
                <w:sz w:val="21"/>
                <w:szCs w:val="21"/>
                <w:lang w:val="es-CO"/>
              </w:rPr>
              <w:t>Capacidad de organización</w:t>
            </w:r>
          </w:p>
        </w:tc>
      </w:tr>
      <w:tr w:rsidR="00543959" w:rsidRPr="00C54AA4" w14:paraId="0F0F6610" w14:textId="77777777" w:rsidTr="00CE3495">
        <w:tc>
          <w:tcPr>
            <w:tcW w:w="4053" w:type="dxa"/>
          </w:tcPr>
          <w:p w14:paraId="7F320961" w14:textId="06ECC3A9" w:rsidR="00CE3495" w:rsidRPr="00C54AA4" w:rsidRDefault="00CE3495" w:rsidP="00CE3495">
            <w:pPr>
              <w:pStyle w:val="Textoindependiente"/>
              <w:tabs>
                <w:tab w:val="left" w:pos="993"/>
              </w:tabs>
              <w:spacing w:before="120" w:line="276" w:lineRule="auto"/>
              <w:ind w:right="51"/>
              <w:jc w:val="both"/>
              <w:rPr>
                <w:color w:val="000000" w:themeColor="text1"/>
                <w:sz w:val="21"/>
                <w:szCs w:val="21"/>
                <w:lang w:val="es-CO"/>
              </w:rPr>
            </w:pPr>
            <w:r w:rsidRPr="00C54AA4">
              <w:rPr>
                <w:color w:val="000000" w:themeColor="text1"/>
                <w:sz w:val="21"/>
                <w:szCs w:val="21"/>
                <w:lang w:val="es-CO"/>
              </w:rPr>
              <w:t>Cinco (5) años o más</w:t>
            </w:r>
          </w:p>
        </w:tc>
        <w:tc>
          <w:tcPr>
            <w:tcW w:w="3313" w:type="dxa"/>
          </w:tcPr>
          <w:p w14:paraId="3D9EC599" w14:textId="27A456EA" w:rsidR="00CE3495" w:rsidRPr="00C54AA4" w:rsidRDefault="00CE3495" w:rsidP="00CE3495">
            <w:pPr>
              <w:pStyle w:val="Textoindependiente"/>
              <w:tabs>
                <w:tab w:val="left" w:pos="993"/>
              </w:tabs>
              <w:spacing w:before="120" w:line="276" w:lineRule="auto"/>
              <w:ind w:right="51"/>
              <w:jc w:val="both"/>
              <w:rPr>
                <w:color w:val="000000" w:themeColor="text1"/>
                <w:sz w:val="21"/>
                <w:szCs w:val="21"/>
                <w:lang w:val="es-CO"/>
              </w:rPr>
            </w:pPr>
            <w:r w:rsidRPr="00C54AA4">
              <w:rPr>
                <w:color w:val="000000" w:themeColor="text1"/>
                <w:sz w:val="21"/>
                <w:szCs w:val="21"/>
                <w:lang w:val="es-CO"/>
              </w:rPr>
              <w:t>Mayor ingreso operacional de los últimos cinco años</w:t>
            </w:r>
          </w:p>
        </w:tc>
      </w:tr>
      <w:tr w:rsidR="00543959" w:rsidRPr="00C54AA4" w14:paraId="67D35A9C" w14:textId="77777777" w:rsidTr="00CE3495">
        <w:tc>
          <w:tcPr>
            <w:tcW w:w="4053" w:type="dxa"/>
          </w:tcPr>
          <w:p w14:paraId="5CCB215E" w14:textId="46E07A82" w:rsidR="00CE3495" w:rsidRPr="00C54AA4" w:rsidRDefault="00CE3495" w:rsidP="00CE3495">
            <w:pPr>
              <w:pStyle w:val="Textoindependiente"/>
              <w:tabs>
                <w:tab w:val="left" w:pos="993"/>
              </w:tabs>
              <w:spacing w:before="120" w:line="276" w:lineRule="auto"/>
              <w:ind w:right="51"/>
              <w:jc w:val="both"/>
              <w:rPr>
                <w:color w:val="000000" w:themeColor="text1"/>
                <w:sz w:val="21"/>
                <w:szCs w:val="21"/>
                <w:lang w:val="es-CO"/>
              </w:rPr>
            </w:pPr>
            <w:r w:rsidRPr="00C54AA4">
              <w:rPr>
                <w:color w:val="000000" w:themeColor="text1"/>
                <w:sz w:val="21"/>
                <w:szCs w:val="21"/>
                <w:lang w:val="es-CO"/>
              </w:rPr>
              <w:t>Entre uno (1) y cinco (5) años</w:t>
            </w:r>
          </w:p>
        </w:tc>
        <w:tc>
          <w:tcPr>
            <w:tcW w:w="3313" w:type="dxa"/>
          </w:tcPr>
          <w:p w14:paraId="77CBFDC5" w14:textId="5A0937AC" w:rsidR="00CE3495" w:rsidRPr="00C54AA4" w:rsidRDefault="00CE3495" w:rsidP="00CE3495">
            <w:pPr>
              <w:pStyle w:val="Textoindependiente"/>
              <w:tabs>
                <w:tab w:val="left" w:pos="993"/>
              </w:tabs>
              <w:spacing w:before="120" w:line="276" w:lineRule="auto"/>
              <w:ind w:right="51"/>
              <w:jc w:val="both"/>
              <w:rPr>
                <w:color w:val="000000" w:themeColor="text1"/>
                <w:sz w:val="21"/>
                <w:szCs w:val="21"/>
                <w:lang w:val="es-CO"/>
              </w:rPr>
            </w:pPr>
            <w:r w:rsidRPr="00C54AA4">
              <w:rPr>
                <w:color w:val="000000" w:themeColor="text1"/>
                <w:sz w:val="21"/>
                <w:szCs w:val="21"/>
                <w:lang w:val="es-CO"/>
              </w:rPr>
              <w:t>Mayor ingreso operacional de los años de vida del oferente</w:t>
            </w:r>
          </w:p>
        </w:tc>
      </w:tr>
      <w:tr w:rsidR="008C27FB" w:rsidRPr="00C54AA4" w14:paraId="7993DAAF" w14:textId="77777777" w:rsidTr="00CE3495">
        <w:tc>
          <w:tcPr>
            <w:tcW w:w="4053" w:type="dxa"/>
          </w:tcPr>
          <w:p w14:paraId="3248102E" w14:textId="2F516AF7" w:rsidR="00CE3495" w:rsidRPr="00C54AA4" w:rsidRDefault="00CE3495" w:rsidP="00CE3495">
            <w:pPr>
              <w:pStyle w:val="Textoindependiente"/>
              <w:tabs>
                <w:tab w:val="left" w:pos="993"/>
              </w:tabs>
              <w:spacing w:before="120" w:line="276" w:lineRule="auto"/>
              <w:ind w:right="51"/>
              <w:jc w:val="both"/>
              <w:rPr>
                <w:color w:val="000000" w:themeColor="text1"/>
                <w:sz w:val="21"/>
                <w:szCs w:val="21"/>
                <w:lang w:val="es-CO"/>
              </w:rPr>
            </w:pPr>
            <w:r w:rsidRPr="00C54AA4">
              <w:rPr>
                <w:color w:val="000000" w:themeColor="text1"/>
                <w:sz w:val="21"/>
                <w:szCs w:val="21"/>
                <w:lang w:val="es-CO"/>
              </w:rPr>
              <w:t>Menos de un (1) año</w:t>
            </w:r>
          </w:p>
        </w:tc>
        <w:tc>
          <w:tcPr>
            <w:tcW w:w="3313" w:type="dxa"/>
          </w:tcPr>
          <w:p w14:paraId="11A171B5" w14:textId="0606CBE5" w:rsidR="00CE3495" w:rsidRPr="00C54AA4" w:rsidRDefault="00CE3495" w:rsidP="00CE3495">
            <w:pPr>
              <w:pStyle w:val="Textoindependiente"/>
              <w:tabs>
                <w:tab w:val="left" w:pos="993"/>
              </w:tabs>
              <w:spacing w:before="120" w:line="276" w:lineRule="auto"/>
              <w:ind w:right="51"/>
              <w:jc w:val="both"/>
              <w:rPr>
                <w:color w:val="000000" w:themeColor="text1"/>
                <w:sz w:val="21"/>
                <w:szCs w:val="21"/>
                <w:lang w:val="es-CO"/>
              </w:rPr>
            </w:pPr>
            <w:r w:rsidRPr="00C54AA4">
              <w:rPr>
                <w:color w:val="000000" w:themeColor="text1"/>
                <w:sz w:val="21"/>
                <w:szCs w:val="21"/>
                <w:lang w:val="es-CO"/>
              </w:rPr>
              <w:t>USD 125.000</w:t>
            </w:r>
          </w:p>
        </w:tc>
      </w:tr>
    </w:tbl>
    <w:p w14:paraId="421F67CA" w14:textId="49DD8BA5" w:rsidR="00CE3495" w:rsidRPr="00C96072" w:rsidRDefault="00CE3495" w:rsidP="00CE3495">
      <w:pPr>
        <w:pStyle w:val="Textoindependiente"/>
        <w:tabs>
          <w:tab w:val="left" w:pos="993"/>
        </w:tabs>
        <w:spacing w:before="120" w:line="276" w:lineRule="auto"/>
        <w:ind w:left="709" w:right="51"/>
        <w:jc w:val="both"/>
        <w:rPr>
          <w:i/>
          <w:iCs/>
          <w:color w:val="000000" w:themeColor="text1"/>
          <w:sz w:val="16"/>
          <w:szCs w:val="16"/>
          <w:lang w:val="es-CO"/>
        </w:rPr>
      </w:pPr>
    </w:p>
    <w:p w14:paraId="2B3C5499" w14:textId="7EBD0464" w:rsidR="00580EB2" w:rsidRPr="00C54AA4" w:rsidRDefault="00580EB2" w:rsidP="00580EB2">
      <w:pPr>
        <w:pStyle w:val="Textoindependiente"/>
        <w:numPr>
          <w:ilvl w:val="0"/>
          <w:numId w:val="8"/>
        </w:numPr>
        <w:tabs>
          <w:tab w:val="left" w:pos="993"/>
        </w:tabs>
        <w:spacing w:before="120" w:line="276" w:lineRule="auto"/>
        <w:ind w:left="0" w:right="51" w:firstLine="709"/>
        <w:jc w:val="both"/>
        <w:rPr>
          <w:color w:val="000000" w:themeColor="text1"/>
          <w:lang w:val="es-CO"/>
        </w:rPr>
      </w:pPr>
      <w:r w:rsidRPr="00C54AA4">
        <w:rPr>
          <w:i/>
          <w:iCs/>
          <w:color w:val="000000" w:themeColor="text1"/>
          <w:lang w:val="es-CO"/>
        </w:rPr>
        <w:t>Saldos de los contratos en ejecución</w:t>
      </w:r>
      <w:r w:rsidRPr="00C54AA4">
        <w:rPr>
          <w:color w:val="000000" w:themeColor="text1"/>
          <w:lang w:val="es-CO"/>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en un contrato es superior a 360 días, solo se tendrá en cuenta la proporción lineal de 12 meses.</w:t>
      </w:r>
    </w:p>
    <w:p w14:paraId="11E8F59D" w14:textId="00E2F4BB" w:rsidR="008C27FB" w:rsidRPr="00C54AA4" w:rsidRDefault="00742C98" w:rsidP="008C27FB">
      <w:pPr>
        <w:pStyle w:val="Textoindependiente"/>
        <w:numPr>
          <w:ilvl w:val="0"/>
          <w:numId w:val="8"/>
        </w:numPr>
        <w:tabs>
          <w:tab w:val="left" w:pos="993"/>
        </w:tabs>
        <w:spacing w:before="120" w:line="276" w:lineRule="auto"/>
        <w:ind w:left="0" w:right="51" w:firstLine="709"/>
        <w:jc w:val="both"/>
        <w:rPr>
          <w:color w:val="000000" w:themeColor="text1"/>
          <w:lang w:val="es-CO"/>
        </w:rPr>
      </w:pPr>
      <w:r w:rsidRPr="00C54AA4">
        <w:rPr>
          <w:i/>
          <w:iCs/>
          <w:color w:val="000000" w:themeColor="text1"/>
          <w:lang w:val="es-CO"/>
        </w:rPr>
        <w:t>Experiencia</w:t>
      </w:r>
      <w:r w:rsidRPr="00C54AA4">
        <w:rPr>
          <w:color w:val="000000" w:themeColor="text1"/>
          <w:lang w:val="es-CO"/>
        </w:rPr>
        <w:t>.</w:t>
      </w:r>
      <w:r w:rsidR="008C27FB" w:rsidRPr="00C54AA4">
        <w:rPr>
          <w:color w:val="000000" w:themeColor="text1"/>
          <w:lang w:val="es-CO"/>
        </w:rPr>
        <w:t xml:space="preserve"> Para los efectos de la capacidad residual −no para la experiencia general que debe acreditar el contratista según la Matriz 1−, corresponde a la relación entre «el valor total en pesos de los contratos relacionados con la actividad de la construcción inscritos por el proponente en el R</w:t>
      </w:r>
      <w:r w:rsidR="009420F7" w:rsidRPr="00C54AA4">
        <w:rPr>
          <w:color w:val="000000" w:themeColor="text1"/>
          <w:lang w:val="es-CO"/>
        </w:rPr>
        <w:t>egistro Único de Proponentes «R</w:t>
      </w:r>
      <w:r w:rsidR="008C27FB" w:rsidRPr="00C54AA4">
        <w:rPr>
          <w:color w:val="000000" w:themeColor="text1"/>
          <w:lang w:val="es-CO"/>
        </w:rPr>
        <w:t>UP</w:t>
      </w:r>
      <w:r w:rsidR="009420F7" w:rsidRPr="00C54AA4">
        <w:rPr>
          <w:color w:val="000000" w:themeColor="text1"/>
          <w:lang w:val="es-CO"/>
        </w:rPr>
        <w:t>»</w:t>
      </w:r>
      <w:r w:rsidR="008C27FB" w:rsidRPr="00C54AA4">
        <w:rPr>
          <w:color w:val="000000" w:themeColor="text1"/>
          <w:lang w:val="es-CO"/>
        </w:rPr>
        <w:t xml:space="preserve"> en el segmento 72 […] del Clasificador de Bienes y Servicios», de un lado, y el presupuesto oficial estimado del Proceso de Contratación, del otro. La relación indica el número de veces que el proponente ha ejecutado contratos equivalentes a la cuantía del proceso de contratación</w:t>
      </w:r>
      <w:r w:rsidR="00A839FD" w:rsidRPr="00C54AA4">
        <w:rPr>
          <w:color w:val="000000" w:themeColor="text1"/>
          <w:lang w:val="es-CO"/>
        </w:rPr>
        <w:t xml:space="preserve">. </w:t>
      </w:r>
      <w:r w:rsidR="008C27FB" w:rsidRPr="00C54AA4">
        <w:rPr>
          <w:color w:val="000000" w:themeColor="text1"/>
          <w:lang w:val="es-CO"/>
        </w:rPr>
        <w:t xml:space="preserve"> </w:t>
      </w:r>
    </w:p>
    <w:p w14:paraId="2E2AF611" w14:textId="1F60EFD2" w:rsidR="00F91408" w:rsidRPr="00C54AA4" w:rsidRDefault="00F91408" w:rsidP="00F91408">
      <w:pPr>
        <w:pStyle w:val="Textoindependiente"/>
        <w:spacing w:before="120" w:line="276" w:lineRule="auto"/>
        <w:ind w:right="51" w:firstLine="709"/>
        <w:jc w:val="both"/>
        <w:rPr>
          <w:color w:val="000000" w:themeColor="text1"/>
          <w:lang w:val="es-CO"/>
        </w:rPr>
      </w:pPr>
      <w:r w:rsidRPr="00C54AA4">
        <w:rPr>
          <w:color w:val="000000" w:themeColor="text1"/>
          <w:lang w:val="es-CO"/>
        </w:rPr>
        <w:t>Resulta del caso precisar que si bien es cierto que es la entidad estatal la que debe calcular la capacidad residual de los proponentes, también lo es que estos últimos</w:t>
      </w:r>
      <w:r w:rsidR="008C27FB" w:rsidRPr="00C54AA4">
        <w:rPr>
          <w:color w:val="000000" w:themeColor="text1"/>
          <w:lang w:val="es-CO"/>
        </w:rPr>
        <w:t>, como ya se dijo,</w:t>
      </w:r>
      <w:r w:rsidRPr="00C54AA4">
        <w:rPr>
          <w:color w:val="000000" w:themeColor="text1"/>
          <w:lang w:val="es-CO"/>
        </w:rPr>
        <w:t xml:space="preserve"> tienen como carga aportar los documentos para acreditar su capacidad residual</w:t>
      </w:r>
      <w:r w:rsidRPr="00C54AA4">
        <w:rPr>
          <w:rStyle w:val="Refdenotaalpie"/>
          <w:color w:val="000000" w:themeColor="text1"/>
          <w:lang w:val="es-CO"/>
        </w:rPr>
        <w:footnoteReference w:id="3"/>
      </w:r>
      <w:r w:rsidRPr="00C54AA4">
        <w:rPr>
          <w:color w:val="000000" w:themeColor="text1"/>
          <w:lang w:val="es-CO"/>
        </w:rPr>
        <w:t xml:space="preserve">. </w:t>
      </w:r>
      <w:r w:rsidRPr="00C54AA4">
        <w:rPr>
          <w:color w:val="000000" w:themeColor="text1"/>
          <w:lang w:val="es-CO"/>
        </w:rPr>
        <w:lastRenderedPageBreak/>
        <w:t>Al respecto, la Circular Externa Única de Colombia Compra Eficiente, en el punto 7, establece lo siguiente:</w:t>
      </w:r>
    </w:p>
    <w:p w14:paraId="412EB1E2" w14:textId="77777777" w:rsidR="00F91408" w:rsidRPr="00C54AA4" w:rsidRDefault="00F91408" w:rsidP="00F91408">
      <w:pPr>
        <w:pStyle w:val="Textoindependiente"/>
        <w:spacing w:before="120" w:line="276" w:lineRule="auto"/>
        <w:ind w:right="51" w:firstLine="709"/>
        <w:jc w:val="both"/>
        <w:rPr>
          <w:color w:val="000000" w:themeColor="text1"/>
          <w:lang w:val="es-CO"/>
        </w:rPr>
      </w:pPr>
    </w:p>
    <w:p w14:paraId="376AFE6C" w14:textId="77777777" w:rsidR="00F91408" w:rsidRPr="00C54AA4" w:rsidRDefault="00F91408" w:rsidP="00F91408">
      <w:pPr>
        <w:pStyle w:val="Textoindependiente"/>
        <w:ind w:left="709" w:right="760"/>
        <w:jc w:val="both"/>
        <w:rPr>
          <w:color w:val="000000" w:themeColor="text1"/>
          <w:sz w:val="21"/>
          <w:szCs w:val="21"/>
          <w:lang w:val="es-CO"/>
        </w:rPr>
      </w:pPr>
      <w:r w:rsidRPr="00C54AA4">
        <w:rPr>
          <w:color w:val="000000" w:themeColor="text1"/>
          <w:sz w:val="21"/>
          <w:szCs w:val="21"/>
          <w:lang w:val="es-CO"/>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p>
    <w:p w14:paraId="1EAF4E7A" w14:textId="77777777" w:rsidR="00F91408" w:rsidRPr="00C54AA4" w:rsidRDefault="00F91408" w:rsidP="00F91408">
      <w:pPr>
        <w:pStyle w:val="Textoindependiente"/>
        <w:ind w:left="709" w:right="760"/>
        <w:jc w:val="both"/>
        <w:rPr>
          <w:color w:val="000000" w:themeColor="text1"/>
          <w:sz w:val="21"/>
          <w:szCs w:val="21"/>
          <w:lang w:val="es-CO"/>
        </w:rPr>
      </w:pPr>
    </w:p>
    <w:p w14:paraId="46625E9C" w14:textId="77777777" w:rsidR="00F91408" w:rsidRPr="00C54AA4" w:rsidRDefault="00F91408" w:rsidP="00F91408">
      <w:pPr>
        <w:pStyle w:val="Textoindependiente"/>
        <w:ind w:left="709" w:right="760"/>
        <w:jc w:val="both"/>
        <w:rPr>
          <w:color w:val="000000" w:themeColor="text1"/>
          <w:sz w:val="21"/>
          <w:szCs w:val="21"/>
          <w:lang w:val="es-CO"/>
        </w:rPr>
      </w:pPr>
      <w:r w:rsidRPr="00C54AA4">
        <w:rPr>
          <w:color w:val="000000" w:themeColor="text1"/>
          <w:sz w:val="21"/>
          <w:szCs w:val="21"/>
          <w:lang w:val="es-CO"/>
        </w:rPr>
        <w:t xml:space="preserve">La “Guía para determinar y verificar la Capacidad Residual del proponente en los procesos de contratación de obra pública” y el aplicativo de Excel están disponibles en la página web: </w:t>
      </w:r>
      <w:hyperlink r:id="rId11" w:history="1">
        <w:r w:rsidRPr="00C54AA4">
          <w:rPr>
            <w:rStyle w:val="Hipervnculo"/>
            <w:color w:val="000000" w:themeColor="text1"/>
            <w:sz w:val="21"/>
            <w:szCs w:val="21"/>
            <w:lang w:val="es-CO"/>
          </w:rPr>
          <w:t>https://www.colombiacompra.gov.co/manuales-guias-y-pliegos-tipo/manuales-y-guias</w:t>
        </w:r>
      </w:hyperlink>
    </w:p>
    <w:p w14:paraId="46D45AAB" w14:textId="77777777" w:rsidR="00F91408" w:rsidRPr="00C54AA4" w:rsidRDefault="00F91408" w:rsidP="00F91408">
      <w:pPr>
        <w:pStyle w:val="Textoindependiente"/>
        <w:ind w:left="709" w:right="760"/>
        <w:jc w:val="both"/>
        <w:rPr>
          <w:color w:val="000000" w:themeColor="text1"/>
          <w:sz w:val="21"/>
          <w:szCs w:val="21"/>
          <w:lang w:val="es-CO"/>
        </w:rPr>
      </w:pPr>
    </w:p>
    <w:p w14:paraId="142FC866" w14:textId="7F00BCFF" w:rsidR="00A839FD" w:rsidRPr="00C54AA4" w:rsidRDefault="00A839FD" w:rsidP="00A839FD">
      <w:pPr>
        <w:ind w:firstLine="709"/>
        <w:jc w:val="both"/>
        <w:rPr>
          <w:rFonts w:ascii="Arial" w:hAnsi="Arial" w:cs="Arial"/>
          <w:color w:val="000000" w:themeColor="text1"/>
          <w:sz w:val="22"/>
          <w:szCs w:val="22"/>
          <w:lang w:val="es-CO"/>
        </w:rPr>
      </w:pPr>
      <w:r w:rsidRPr="00C54AA4">
        <w:rPr>
          <w:rFonts w:ascii="Arial" w:hAnsi="Arial" w:cs="Arial"/>
          <w:color w:val="000000" w:themeColor="text1"/>
          <w:sz w:val="22"/>
          <w:szCs w:val="22"/>
          <w:lang w:val="es-CO"/>
        </w:rPr>
        <w:t>Para acreditar el factor (SCE) «Saldos contratos en ejecución», como lo establece la Guía para determinar y verificar la Capacidad Residual del proponente en los procesos de contratación de obra pública, el proponente debe presentar la lista de Contratos en ejecución, tanto a nivel nacional como internacional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42C0A011" w14:textId="72C977C7" w:rsidR="00A839FD" w:rsidRPr="00C54AA4" w:rsidRDefault="00A839FD" w:rsidP="00A839FD">
      <w:pPr>
        <w:ind w:firstLine="709"/>
        <w:jc w:val="both"/>
        <w:rPr>
          <w:rFonts w:ascii="Arial" w:hAnsi="Arial" w:cs="Arial"/>
          <w:color w:val="000000" w:themeColor="text1"/>
          <w:sz w:val="22"/>
          <w:szCs w:val="22"/>
          <w:lang w:val="es-CO"/>
        </w:rPr>
      </w:pPr>
    </w:p>
    <w:p w14:paraId="3604F1B3" w14:textId="3D83559E" w:rsidR="00A839FD" w:rsidRPr="00C54AA4" w:rsidRDefault="002E68F5" w:rsidP="00A839FD">
      <w:pPr>
        <w:ind w:firstLine="709"/>
        <w:jc w:val="both"/>
        <w:rPr>
          <w:rFonts w:ascii="Arial" w:hAnsi="Arial" w:cs="Arial"/>
          <w:color w:val="000000" w:themeColor="text1"/>
          <w:sz w:val="22"/>
          <w:szCs w:val="22"/>
          <w:lang w:val="es-CO"/>
        </w:rPr>
      </w:pPr>
      <w:r w:rsidRPr="00C54AA4">
        <w:rPr>
          <w:rFonts w:ascii="Arial" w:hAnsi="Arial" w:cs="Arial"/>
          <w:color w:val="000000" w:themeColor="text1"/>
          <w:sz w:val="22"/>
          <w:szCs w:val="22"/>
          <w:lang w:val="es-CO"/>
        </w:rPr>
        <w:t>Para acreditar el factor (SCE) «</w:t>
      </w:r>
      <w:r w:rsidR="00A839FD" w:rsidRPr="00C54AA4">
        <w:rPr>
          <w:rFonts w:ascii="Arial" w:hAnsi="Arial" w:cs="Arial"/>
          <w:color w:val="000000" w:themeColor="text1"/>
          <w:sz w:val="22"/>
          <w:szCs w:val="22"/>
          <w:lang w:val="es-CO"/>
        </w:rPr>
        <w:t>Saldos contratos en ejecución»</w:t>
      </w:r>
      <w:r w:rsidRPr="00C54AA4">
        <w:rPr>
          <w:rFonts w:ascii="Arial" w:hAnsi="Arial" w:cs="Arial"/>
          <w:color w:val="000000" w:themeColor="text1"/>
          <w:sz w:val="22"/>
          <w:szCs w:val="22"/>
          <w:lang w:val="es-CO"/>
        </w:rPr>
        <w:t xml:space="preserve">, el literal e, numeral ii, del título 3.11. del documento base, establece el espectro de la palabra empleada «ejecución» señalando lo siguiente: </w:t>
      </w:r>
    </w:p>
    <w:p w14:paraId="727857E6" w14:textId="0DD11A07" w:rsidR="002E68F5" w:rsidRPr="00C54AA4" w:rsidRDefault="002E68F5" w:rsidP="00A839FD">
      <w:pPr>
        <w:ind w:firstLine="709"/>
        <w:jc w:val="both"/>
        <w:rPr>
          <w:rFonts w:ascii="Arial" w:hAnsi="Arial" w:cs="Arial"/>
          <w:color w:val="000000" w:themeColor="text1"/>
          <w:sz w:val="22"/>
          <w:szCs w:val="22"/>
          <w:lang w:val="es-CO"/>
        </w:rPr>
      </w:pPr>
    </w:p>
    <w:p w14:paraId="72C247DF" w14:textId="0050B096" w:rsidR="002E68F5" w:rsidRPr="00C54AA4" w:rsidRDefault="002E68F5" w:rsidP="002E68F5">
      <w:pPr>
        <w:spacing w:after="200" w:line="276" w:lineRule="auto"/>
        <w:ind w:left="709" w:right="709"/>
        <w:jc w:val="both"/>
        <w:rPr>
          <w:rFonts w:ascii="Arial" w:eastAsia="Arial" w:hAnsi="Arial" w:cs="Arial"/>
          <w:sz w:val="21"/>
          <w:szCs w:val="21"/>
          <w:lang w:val="es-CO"/>
        </w:rPr>
      </w:pPr>
      <w:r w:rsidRPr="00C54AA4">
        <w:rPr>
          <w:rFonts w:ascii="Arial" w:eastAsia="Arial" w:hAnsi="Arial" w:cs="Arial"/>
          <w:sz w:val="21"/>
          <w:szCs w:val="21"/>
          <w:lang w:val="es-CO"/>
        </w:rPr>
        <w:t>Los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contratos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de obras civiles en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ejecución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son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aquellos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que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a</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la</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fecha</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de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presentación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de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la</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oferta</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obligan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al</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Proponente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Entidades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Estatales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y</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Entidades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privadas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para</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ejecutar</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obras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civiles. Estas incluyen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las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obras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civiles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de los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contratos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de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concesión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y</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los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contratos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de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obra</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suscritos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concesionarios,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así como, los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contratos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suspendidos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y</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aquellos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que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no</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tengan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acta</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de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inicio.</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No</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se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entenderán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como</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contratos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ejecución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los</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que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se</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encuentren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en</w:t>
      </w:r>
      <w:r w:rsidRPr="00C54AA4">
        <w:rPr>
          <w:rFonts w:ascii="Arial" w:eastAsia="Arial," w:hAnsi="Arial" w:cs="Arial"/>
          <w:sz w:val="21"/>
          <w:szCs w:val="21"/>
          <w:lang w:val="es-CO"/>
        </w:rPr>
        <w:t xml:space="preserve"> </w:t>
      </w:r>
      <w:r w:rsidRPr="00C54AA4">
        <w:rPr>
          <w:rFonts w:ascii="Arial" w:eastAsia="Arial" w:hAnsi="Arial" w:cs="Arial"/>
          <w:sz w:val="21"/>
          <w:szCs w:val="21"/>
          <w:lang w:val="es-CO"/>
        </w:rPr>
        <w:t>liquidación.</w:t>
      </w:r>
    </w:p>
    <w:p w14:paraId="562B1415" w14:textId="3EDC232F" w:rsidR="00BE1E33" w:rsidRPr="00C54AA4" w:rsidRDefault="002E68F5" w:rsidP="006B0409">
      <w:pPr>
        <w:spacing w:after="200" w:line="276" w:lineRule="auto"/>
        <w:ind w:right="49" w:firstLine="709"/>
        <w:jc w:val="both"/>
        <w:rPr>
          <w:rFonts w:ascii="Arial" w:eastAsia="Arial," w:hAnsi="Arial" w:cs="Arial"/>
          <w:sz w:val="22"/>
          <w:szCs w:val="22"/>
          <w:lang w:val="es-CO"/>
        </w:rPr>
      </w:pPr>
      <w:r w:rsidRPr="00C54AA4">
        <w:rPr>
          <w:rFonts w:ascii="Arial" w:eastAsia="Arial," w:hAnsi="Arial" w:cs="Arial"/>
          <w:sz w:val="22"/>
          <w:szCs w:val="22"/>
          <w:lang w:val="es-CO"/>
        </w:rPr>
        <w:lastRenderedPageBreak/>
        <w:t xml:space="preserve">En este punto es oportuno precisar por parte de la Subdirección de Gestión Contractual </w:t>
      </w:r>
      <w:r w:rsidR="00AC5E59" w:rsidRPr="00C54AA4">
        <w:rPr>
          <w:rFonts w:ascii="Arial" w:eastAsia="Arial," w:hAnsi="Arial" w:cs="Arial"/>
          <w:sz w:val="22"/>
          <w:szCs w:val="22"/>
          <w:lang w:val="es-CO"/>
        </w:rPr>
        <w:t>que,</w:t>
      </w:r>
      <w:r w:rsidRPr="00C54AA4">
        <w:rPr>
          <w:rFonts w:ascii="Arial" w:eastAsia="Arial," w:hAnsi="Arial" w:cs="Arial"/>
          <w:sz w:val="22"/>
          <w:szCs w:val="22"/>
          <w:lang w:val="es-CO"/>
        </w:rPr>
        <w:t xml:space="preserve"> para acreditar este factor, se deben tener en cuenta los contratos que han sido </w:t>
      </w:r>
      <w:r w:rsidR="00AC5E59" w:rsidRPr="00C54AA4">
        <w:rPr>
          <w:rFonts w:ascii="Arial" w:eastAsia="Arial," w:hAnsi="Arial" w:cs="Arial"/>
          <w:i/>
          <w:iCs/>
          <w:sz w:val="22"/>
          <w:szCs w:val="22"/>
          <w:lang w:val="es-CO"/>
        </w:rPr>
        <w:t>suscritos</w:t>
      </w:r>
      <w:r w:rsidRPr="00C54AA4">
        <w:rPr>
          <w:rFonts w:ascii="Arial" w:eastAsia="Arial," w:hAnsi="Arial" w:cs="Arial"/>
          <w:sz w:val="22"/>
          <w:szCs w:val="22"/>
          <w:lang w:val="es-CO"/>
        </w:rPr>
        <w:t xml:space="preserve"> por el contratista</w:t>
      </w:r>
      <w:r w:rsidR="005852C8">
        <w:rPr>
          <w:rFonts w:ascii="Arial" w:eastAsia="Arial," w:hAnsi="Arial" w:cs="Arial"/>
          <w:sz w:val="22"/>
          <w:szCs w:val="22"/>
          <w:lang w:val="es-CO"/>
        </w:rPr>
        <w:t>.</w:t>
      </w:r>
      <w:r w:rsidR="00AC5E59" w:rsidRPr="00C54AA4">
        <w:rPr>
          <w:rFonts w:ascii="Arial" w:eastAsia="Arial," w:hAnsi="Arial" w:cs="Arial"/>
          <w:sz w:val="22"/>
          <w:szCs w:val="22"/>
          <w:lang w:val="es-CO"/>
        </w:rPr>
        <w:t xml:space="preserve"> </w:t>
      </w:r>
      <w:r w:rsidR="005852C8">
        <w:rPr>
          <w:rFonts w:ascii="Arial" w:eastAsia="Arial," w:hAnsi="Arial" w:cs="Arial"/>
          <w:sz w:val="22"/>
          <w:szCs w:val="22"/>
          <w:lang w:val="es-CO"/>
        </w:rPr>
        <w:t>L</w:t>
      </w:r>
      <w:r w:rsidR="00AC5E59" w:rsidRPr="00C54AA4">
        <w:rPr>
          <w:rFonts w:ascii="Arial" w:eastAsia="Arial," w:hAnsi="Arial" w:cs="Arial"/>
          <w:sz w:val="22"/>
          <w:szCs w:val="22"/>
          <w:lang w:val="es-CO"/>
        </w:rPr>
        <w:t xml:space="preserve">a Ley 80 de 1993 ha exigido </w:t>
      </w:r>
      <w:r w:rsidR="005852C8">
        <w:rPr>
          <w:rFonts w:ascii="Arial" w:eastAsia="Arial," w:hAnsi="Arial" w:cs="Arial"/>
          <w:sz w:val="22"/>
          <w:szCs w:val="22"/>
          <w:lang w:val="es-CO"/>
        </w:rPr>
        <w:t>una</w:t>
      </w:r>
      <w:r w:rsidR="005852C8" w:rsidRPr="00C54AA4">
        <w:rPr>
          <w:rFonts w:ascii="Arial" w:eastAsia="Arial," w:hAnsi="Arial" w:cs="Arial"/>
          <w:sz w:val="22"/>
          <w:szCs w:val="22"/>
          <w:lang w:val="es-CO"/>
        </w:rPr>
        <w:t xml:space="preserve"> </w:t>
      </w:r>
      <w:r w:rsidR="00AC5E59" w:rsidRPr="00C54AA4">
        <w:rPr>
          <w:rFonts w:ascii="Arial" w:eastAsia="Arial," w:hAnsi="Arial" w:cs="Arial"/>
          <w:sz w:val="22"/>
          <w:szCs w:val="22"/>
          <w:lang w:val="es-CO"/>
        </w:rPr>
        <w:t>formalidad para que el contrato se perfeccione; sobre este aspecto el art</w:t>
      </w:r>
      <w:r w:rsidR="005852C8">
        <w:rPr>
          <w:rFonts w:ascii="Arial" w:eastAsia="Arial," w:hAnsi="Arial" w:cs="Arial"/>
          <w:sz w:val="22"/>
          <w:szCs w:val="22"/>
          <w:lang w:val="es-CO"/>
        </w:rPr>
        <w:t>í</w:t>
      </w:r>
      <w:r w:rsidR="00AC5E59" w:rsidRPr="00C54AA4">
        <w:rPr>
          <w:rFonts w:ascii="Arial" w:eastAsia="Arial," w:hAnsi="Arial" w:cs="Arial"/>
          <w:sz w:val="22"/>
          <w:szCs w:val="22"/>
          <w:lang w:val="es-CO"/>
        </w:rPr>
        <w:t>culo 39 di</w:t>
      </w:r>
      <w:r w:rsidR="00147C11" w:rsidRPr="00C54AA4">
        <w:rPr>
          <w:rFonts w:ascii="Arial" w:eastAsia="Arial," w:hAnsi="Arial" w:cs="Arial"/>
          <w:sz w:val="22"/>
          <w:szCs w:val="22"/>
          <w:lang w:val="es-CO"/>
        </w:rPr>
        <w:t xml:space="preserve">spuso que </w:t>
      </w:r>
      <w:r w:rsidR="00AC5E59" w:rsidRPr="00C54AA4">
        <w:rPr>
          <w:rFonts w:ascii="Arial" w:eastAsia="Arial," w:hAnsi="Arial" w:cs="Arial"/>
          <w:sz w:val="22"/>
          <w:szCs w:val="22"/>
          <w:lang w:val="es-CO"/>
        </w:rPr>
        <w:t xml:space="preserve"> </w:t>
      </w:r>
      <w:r w:rsidR="00AC5E59" w:rsidRPr="00C54AA4">
        <w:rPr>
          <w:rFonts w:ascii="Arial" w:hAnsi="Arial" w:cs="Arial"/>
          <w:color w:val="000000" w:themeColor="text1"/>
          <w:sz w:val="22"/>
          <w:szCs w:val="22"/>
          <w:lang w:val="es-CO"/>
        </w:rPr>
        <w:t>«</w:t>
      </w:r>
      <w:r w:rsidR="00AC5E59" w:rsidRPr="00C54AA4">
        <w:rPr>
          <w:rFonts w:ascii="Arial" w:eastAsia="Arial," w:hAnsi="Arial" w:cs="Arial"/>
          <w:sz w:val="22"/>
          <w:szCs w:val="22"/>
          <w:lang w:val="es-CO"/>
        </w:rPr>
        <w:t>los contratos que celebren las entidades estatales constarán por escrito […]</w:t>
      </w:r>
      <w:r w:rsidR="00AC5E59" w:rsidRPr="00C54AA4">
        <w:rPr>
          <w:rFonts w:ascii="Arial" w:hAnsi="Arial" w:cs="Arial"/>
          <w:color w:val="000000" w:themeColor="text1"/>
          <w:sz w:val="22"/>
          <w:szCs w:val="22"/>
          <w:lang w:val="es-CO"/>
        </w:rPr>
        <w:t>»</w:t>
      </w:r>
      <w:r w:rsidR="00F72F47">
        <w:rPr>
          <w:rFonts w:ascii="Arial" w:hAnsi="Arial" w:cs="Arial"/>
          <w:color w:val="000000" w:themeColor="text1"/>
          <w:sz w:val="22"/>
          <w:szCs w:val="22"/>
          <w:lang w:val="es-CO"/>
        </w:rPr>
        <w:t xml:space="preserve">; en este mismo sentido, el artículo 41 de la citada ley, se refiere al perfeccionamiento de los contratos. </w:t>
      </w:r>
      <w:r w:rsidR="00147C11" w:rsidRPr="00C54AA4">
        <w:rPr>
          <w:rFonts w:ascii="Arial" w:hAnsi="Arial" w:cs="Arial"/>
          <w:color w:val="000000" w:themeColor="text1"/>
          <w:sz w:val="22"/>
          <w:szCs w:val="22"/>
          <w:lang w:val="es-CO"/>
        </w:rPr>
        <w:t>sí las cosas</w:t>
      </w:r>
      <w:r w:rsidR="005852C8">
        <w:rPr>
          <w:rFonts w:ascii="Arial" w:hAnsi="Arial" w:cs="Arial"/>
          <w:color w:val="000000" w:themeColor="text1"/>
          <w:sz w:val="22"/>
          <w:szCs w:val="22"/>
          <w:lang w:val="es-CO"/>
        </w:rPr>
        <w:t>,</w:t>
      </w:r>
      <w:r w:rsidR="00147C11" w:rsidRPr="00C54AA4">
        <w:rPr>
          <w:rFonts w:ascii="Arial" w:hAnsi="Arial" w:cs="Arial"/>
          <w:color w:val="000000" w:themeColor="text1"/>
          <w:sz w:val="22"/>
          <w:szCs w:val="22"/>
          <w:lang w:val="es-CO"/>
        </w:rPr>
        <w:t xml:space="preserve"> para que el contrato exista y produzca efectos jurídicos, deberá ser elevado a escrito y ser suscrito por las partes</w:t>
      </w:r>
      <w:r w:rsidR="005852C8">
        <w:rPr>
          <w:rFonts w:ascii="Arial" w:hAnsi="Arial" w:cs="Arial"/>
          <w:color w:val="000000" w:themeColor="text1"/>
          <w:sz w:val="22"/>
          <w:szCs w:val="22"/>
          <w:lang w:val="es-CO"/>
        </w:rPr>
        <w:t>.</w:t>
      </w:r>
      <w:r w:rsidR="00147C11" w:rsidRPr="00C54AA4">
        <w:rPr>
          <w:rFonts w:ascii="Arial" w:hAnsi="Arial" w:cs="Arial"/>
          <w:color w:val="000000" w:themeColor="text1"/>
          <w:sz w:val="22"/>
          <w:szCs w:val="22"/>
          <w:lang w:val="es-CO"/>
        </w:rPr>
        <w:t xml:space="preserve"> </w:t>
      </w:r>
      <w:r w:rsidR="005852C8">
        <w:rPr>
          <w:rFonts w:ascii="Arial" w:hAnsi="Arial" w:cs="Arial"/>
          <w:color w:val="000000" w:themeColor="text1"/>
          <w:sz w:val="22"/>
          <w:szCs w:val="22"/>
          <w:lang w:val="es-CO"/>
        </w:rPr>
        <w:t>P</w:t>
      </w:r>
      <w:r w:rsidR="00147C11" w:rsidRPr="00C54AA4">
        <w:rPr>
          <w:rFonts w:ascii="Arial" w:hAnsi="Arial" w:cs="Arial"/>
          <w:color w:val="000000" w:themeColor="text1"/>
          <w:sz w:val="22"/>
          <w:szCs w:val="22"/>
          <w:lang w:val="es-CO"/>
        </w:rPr>
        <w:t xml:space="preserve">or lo tanto, los procesos de contratación que han sido adjudicados aún no gozan de estas características y en consecuencia, no deben ser contemplados para acreditar el factor (SCE) de la capacidad residual del contratista. </w:t>
      </w:r>
    </w:p>
    <w:p w14:paraId="4DAE4437" w14:textId="77777777" w:rsidR="00BE1E33" w:rsidRPr="00C54AA4"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C54AA4">
        <w:rPr>
          <w:rFonts w:ascii="Arial" w:hAnsi="Arial" w:cs="Arial"/>
          <w:b/>
          <w:bCs/>
          <w:color w:val="000000" w:themeColor="text1"/>
          <w:sz w:val="22"/>
          <w:lang w:val="es-CO"/>
        </w:rPr>
        <w:t xml:space="preserve">Respuesta </w:t>
      </w:r>
    </w:p>
    <w:p w14:paraId="317BE2F9" w14:textId="77777777" w:rsidR="00BE1E33" w:rsidRPr="00C54AA4" w:rsidRDefault="00BE1E33" w:rsidP="00BE1E33">
      <w:pPr>
        <w:spacing w:line="276" w:lineRule="auto"/>
        <w:ind w:right="709"/>
        <w:jc w:val="both"/>
        <w:rPr>
          <w:rFonts w:ascii="Arial" w:hAnsi="Arial" w:cs="Arial"/>
          <w:color w:val="000000" w:themeColor="text1"/>
          <w:sz w:val="21"/>
          <w:szCs w:val="21"/>
          <w:lang w:val="es-CO"/>
        </w:rPr>
      </w:pPr>
    </w:p>
    <w:p w14:paraId="59FDFC07" w14:textId="0A04B349" w:rsidR="009F7860" w:rsidRPr="00C54AA4" w:rsidRDefault="005F5F03" w:rsidP="005F5F03">
      <w:pPr>
        <w:ind w:left="709" w:right="709"/>
        <w:jc w:val="both"/>
        <w:rPr>
          <w:rFonts w:ascii="Arial" w:eastAsia="Calibri" w:hAnsi="Arial" w:cs="Arial"/>
          <w:color w:val="000000" w:themeColor="text1"/>
          <w:sz w:val="21"/>
          <w:szCs w:val="21"/>
          <w:lang w:val="es-CO"/>
        </w:rPr>
      </w:pPr>
      <w:r w:rsidRPr="00C54AA4">
        <w:rPr>
          <w:rFonts w:ascii="Arial" w:eastAsia="Calibri" w:hAnsi="Arial" w:cs="Arial"/>
          <w:color w:val="000000" w:themeColor="text1"/>
          <w:sz w:val="21"/>
          <w:szCs w:val="21"/>
          <w:lang w:val="es-CO"/>
        </w:rPr>
        <w:t>«</w:t>
      </w:r>
      <w:r w:rsidRPr="00C54AA4">
        <w:rPr>
          <w:rFonts w:ascii="Arial" w:hAnsi="Arial" w:cs="Arial"/>
          <w:color w:val="000000" w:themeColor="text1"/>
          <w:sz w:val="21"/>
          <w:szCs w:val="21"/>
          <w:lang w:val="es-CO"/>
        </w:rPr>
        <w:t xml:space="preserve">[…] </w:t>
      </w:r>
      <w:r w:rsidRPr="00C54AA4">
        <w:rPr>
          <w:rFonts w:ascii="Arial" w:eastAsia="Calibri" w:hAnsi="Arial" w:cs="Arial"/>
          <w:color w:val="000000" w:themeColor="text1"/>
          <w:sz w:val="21"/>
          <w:szCs w:val="21"/>
          <w:lang w:val="es-CO"/>
        </w:rPr>
        <w:t>Solicito aclarar si dentro de los saldos de contratos en ejecución se deben incluir los procesos que han sido adjudicados mediante acta de adjudicación, pero que aún no se han legalizado mediante la firma y legalización de un contrato y por consiguiente no tienen un acta de inicio».</w:t>
      </w:r>
    </w:p>
    <w:p w14:paraId="20B787D1" w14:textId="64E74CF0" w:rsidR="00A83BEE" w:rsidRPr="009F20CC" w:rsidRDefault="00A83BEE" w:rsidP="002C397E">
      <w:pPr>
        <w:pStyle w:val="Textoindependiente"/>
        <w:spacing w:before="120" w:line="276" w:lineRule="auto"/>
        <w:ind w:right="51"/>
        <w:jc w:val="both"/>
        <w:rPr>
          <w:lang w:val="es-CO"/>
        </w:rPr>
      </w:pPr>
      <w:r w:rsidRPr="009F20CC">
        <w:rPr>
          <w:color w:val="000000" w:themeColor="text1"/>
          <w:lang w:val="es-CO"/>
        </w:rPr>
        <w:t>Para acreditar el factor saldos contratos en ejecución «SCE», de la capacidad residual del proponente, no se deben incluir los contratos que, habiendo sido adjudicados, no se encuentran suscritos por las partes, pues este es un requisito de perfeccionamiento</w:t>
      </w:r>
      <w:r w:rsidR="00706A73">
        <w:rPr>
          <w:color w:val="000000" w:themeColor="text1"/>
          <w:lang w:val="es-CO"/>
        </w:rPr>
        <w:t>, o sea,</w:t>
      </w:r>
      <w:r w:rsidRPr="009F20CC">
        <w:rPr>
          <w:color w:val="000000" w:themeColor="text1"/>
          <w:lang w:val="es-CO"/>
        </w:rPr>
        <w:t xml:space="preserve"> directamente ligado con la existencia de estos. </w:t>
      </w:r>
    </w:p>
    <w:p w14:paraId="680E5F52" w14:textId="57757FED" w:rsidR="00C54AA4" w:rsidRPr="00C54AA4" w:rsidRDefault="00A83BEE" w:rsidP="002C397E">
      <w:pPr>
        <w:spacing w:before="120" w:line="276" w:lineRule="auto"/>
        <w:ind w:firstLine="709"/>
        <w:jc w:val="both"/>
        <w:rPr>
          <w:rFonts w:ascii="Arial" w:hAnsi="Arial" w:cs="Arial"/>
          <w:color w:val="000000" w:themeColor="text1"/>
          <w:sz w:val="22"/>
          <w:lang w:val="es-CO"/>
        </w:rPr>
      </w:pPr>
      <w:r w:rsidRPr="009F20CC">
        <w:rPr>
          <w:rFonts w:ascii="Arial" w:hAnsi="Arial" w:cs="Arial"/>
          <w:color w:val="000000" w:themeColor="text1"/>
          <w:sz w:val="22"/>
          <w:lang w:val="es-CO"/>
        </w:rPr>
        <w:t>Como es sabido, al no cumplirse los requisitos de ley esenciales para la ejecución de los contratos estatales, c</w:t>
      </w:r>
      <w:r w:rsidR="00706A73">
        <w:rPr>
          <w:rFonts w:ascii="Arial" w:hAnsi="Arial" w:cs="Arial"/>
          <w:color w:val="000000" w:themeColor="text1"/>
          <w:sz w:val="22"/>
          <w:lang w:val="es-CO"/>
        </w:rPr>
        <w:t>o</w:t>
      </w:r>
      <w:r w:rsidRPr="009F20CC">
        <w:rPr>
          <w:rFonts w:ascii="Arial" w:hAnsi="Arial" w:cs="Arial"/>
          <w:color w:val="000000" w:themeColor="text1"/>
          <w:sz w:val="22"/>
          <w:lang w:val="es-CO"/>
        </w:rPr>
        <w:t xml:space="preserve">mo también aquellos que accidentalmente hayan establecido las partes para este fin, no podría aceptarse válidamente bajo ningún supuesto, que un contrato el cual solamente ha sido adjudicado, sirva para calcular el saldo. Esto, en la medida que el </w:t>
      </w:r>
      <w:r w:rsidR="000E64A3">
        <w:rPr>
          <w:rFonts w:ascii="Arial" w:hAnsi="Arial" w:cs="Arial"/>
          <w:color w:val="000000" w:themeColor="text1"/>
          <w:sz w:val="22"/>
          <w:lang w:val="es-CO"/>
        </w:rPr>
        <w:t>c</w:t>
      </w:r>
      <w:r w:rsidRPr="009F20CC">
        <w:rPr>
          <w:rFonts w:ascii="Arial" w:hAnsi="Arial" w:cs="Arial"/>
          <w:color w:val="000000" w:themeColor="text1"/>
          <w:sz w:val="22"/>
          <w:lang w:val="es-CO"/>
        </w:rPr>
        <w:t>ontrato que no ha cumplido los requisitos de ejecución, no puede reputarse efectivamente en ese preciso estadio a efectos del cálculo correspondiente.</w:t>
      </w:r>
      <w:r>
        <w:rPr>
          <w:rFonts w:ascii="Arial" w:hAnsi="Arial" w:cs="Arial"/>
          <w:color w:val="000000" w:themeColor="text1"/>
          <w:sz w:val="22"/>
          <w:lang w:val="es-CO"/>
        </w:rPr>
        <w:t xml:space="preserve"> </w:t>
      </w:r>
    </w:p>
    <w:p w14:paraId="66CE4DD8" w14:textId="77777777" w:rsidR="00BE1E33" w:rsidRPr="00C54AA4" w:rsidRDefault="00BE1E33" w:rsidP="00F05F7E">
      <w:pPr>
        <w:spacing w:before="120" w:line="276" w:lineRule="auto"/>
        <w:jc w:val="both"/>
        <w:rPr>
          <w:rFonts w:ascii="Arial" w:eastAsia="Calibri" w:hAnsi="Arial" w:cs="Arial"/>
          <w:color w:val="000000" w:themeColor="text1"/>
          <w:sz w:val="22"/>
          <w:lang w:val="es-CO"/>
        </w:rPr>
      </w:pPr>
      <w:r w:rsidRPr="00C54AA4">
        <w:rPr>
          <w:rFonts w:ascii="Arial" w:eastAsia="Calibri" w:hAnsi="Arial" w:cs="Arial"/>
          <w:color w:val="000000" w:themeColor="text1"/>
          <w:sz w:val="22"/>
          <w:lang w:val="es-CO"/>
        </w:rPr>
        <w:t>Este concepto tiene el alcance previsto en el artículo 28 del Código de Procedimiento Administrativo y de lo Contencioso Administrativo.</w:t>
      </w:r>
    </w:p>
    <w:p w14:paraId="138D33A2" w14:textId="77777777" w:rsidR="00BE1E33" w:rsidRPr="00C54AA4" w:rsidRDefault="00BE1E33" w:rsidP="00F05F7E">
      <w:pPr>
        <w:spacing w:line="276" w:lineRule="auto"/>
        <w:ind w:firstLine="709"/>
        <w:jc w:val="both"/>
        <w:rPr>
          <w:rFonts w:ascii="Arial" w:eastAsia="Calibri" w:hAnsi="Arial" w:cs="Arial"/>
          <w:color w:val="000000" w:themeColor="text1"/>
          <w:sz w:val="22"/>
          <w:lang w:val="es-CO"/>
        </w:rPr>
      </w:pPr>
    </w:p>
    <w:p w14:paraId="2B02915D" w14:textId="77777777" w:rsidR="00BE1E33" w:rsidRPr="00C54AA4" w:rsidRDefault="00BE1E33" w:rsidP="00F05F7E">
      <w:pPr>
        <w:spacing w:line="276" w:lineRule="auto"/>
        <w:jc w:val="both"/>
        <w:rPr>
          <w:rFonts w:ascii="Arial" w:hAnsi="Arial" w:cs="Arial"/>
          <w:color w:val="000000" w:themeColor="text1"/>
          <w:sz w:val="22"/>
          <w:lang w:val="es-CO" w:eastAsia="es-CO"/>
        </w:rPr>
      </w:pPr>
      <w:r w:rsidRPr="00C54AA4">
        <w:rPr>
          <w:rFonts w:ascii="Arial" w:hAnsi="Arial" w:cs="Arial"/>
          <w:color w:val="000000" w:themeColor="text1"/>
          <w:sz w:val="22"/>
          <w:lang w:val="es-CO" w:eastAsia="es-CO"/>
        </w:rPr>
        <w:t>Atentamente,</w:t>
      </w:r>
    </w:p>
    <w:bookmarkEnd w:id="0"/>
    <w:bookmarkEnd w:id="1"/>
    <w:p w14:paraId="1C8F6984" w14:textId="36D85EBC" w:rsidR="00BE1E33" w:rsidRDefault="00A13854" w:rsidP="00BE1E33">
      <w:pPr>
        <w:jc w:val="center"/>
        <w:rPr>
          <w:rFonts w:ascii="Arial" w:hAnsi="Arial" w:cs="Arial"/>
          <w:color w:val="000000" w:themeColor="text1"/>
          <w:sz w:val="18"/>
          <w:szCs w:val="20"/>
          <w:lang w:val="es-CO" w:eastAsia="es-CO"/>
        </w:rPr>
      </w:pPr>
      <w:r>
        <w:rPr>
          <w:noProof/>
        </w:rPr>
        <w:drawing>
          <wp:inline distT="0" distB="0" distL="0" distR="0" wp14:anchorId="25B72758" wp14:editId="27705B19">
            <wp:extent cx="2773045" cy="988695"/>
            <wp:effectExtent l="0" t="0" r="0" b="0"/>
            <wp:docPr id="20815107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9134E" w:rsidRPr="00C54AA4" w14:paraId="36654BDA" w14:textId="77777777" w:rsidTr="0069134E">
        <w:trPr>
          <w:trHeight w:val="315"/>
        </w:trPr>
        <w:tc>
          <w:tcPr>
            <w:tcW w:w="812" w:type="dxa"/>
            <w:vAlign w:val="center"/>
          </w:tcPr>
          <w:p w14:paraId="095B137F" w14:textId="77777777" w:rsidR="0069134E" w:rsidRPr="00C54AA4" w:rsidRDefault="0069134E" w:rsidP="000B1C66">
            <w:pPr>
              <w:rPr>
                <w:rFonts w:ascii="Arial" w:hAnsi="Arial" w:cs="Arial"/>
                <w:sz w:val="16"/>
                <w:szCs w:val="16"/>
                <w:lang w:val="es-CO" w:eastAsia="es-ES"/>
              </w:rPr>
            </w:pPr>
            <w:r w:rsidRPr="00C54AA4">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tcPr>
          <w:p w14:paraId="0607A8FC" w14:textId="77777777" w:rsidR="0069134E" w:rsidRPr="00C54AA4" w:rsidRDefault="0069134E" w:rsidP="000B1C66">
            <w:pPr>
              <w:rPr>
                <w:rFonts w:ascii="Arial" w:hAnsi="Arial" w:cs="Arial"/>
                <w:sz w:val="16"/>
                <w:szCs w:val="16"/>
                <w:lang w:val="es-CO" w:eastAsia="es-ES"/>
              </w:rPr>
            </w:pPr>
            <w:r w:rsidRPr="00C54AA4">
              <w:rPr>
                <w:rFonts w:ascii="Arial" w:hAnsi="Arial" w:cs="Arial"/>
                <w:sz w:val="16"/>
                <w:szCs w:val="16"/>
                <w:lang w:val="es-CO" w:eastAsia="es-ES"/>
              </w:rPr>
              <w:t>Omar Germán Mejía Olmos</w:t>
            </w:r>
          </w:p>
          <w:p w14:paraId="6EEA87B6" w14:textId="77777777" w:rsidR="0069134E" w:rsidRPr="00C54AA4" w:rsidRDefault="0069134E" w:rsidP="000B1C66">
            <w:pPr>
              <w:rPr>
                <w:rFonts w:ascii="Arial" w:hAnsi="Arial" w:cs="Arial"/>
                <w:sz w:val="16"/>
                <w:szCs w:val="16"/>
                <w:lang w:val="es-CO" w:eastAsia="es-ES"/>
              </w:rPr>
            </w:pPr>
            <w:r w:rsidRPr="00C54AA4">
              <w:rPr>
                <w:rFonts w:ascii="Arial" w:hAnsi="Arial" w:cs="Arial"/>
                <w:sz w:val="16"/>
                <w:szCs w:val="16"/>
                <w:lang w:val="es-CO" w:eastAsia="es-ES"/>
              </w:rPr>
              <w:t>Contratista – Subdirección de Gestión Contractual</w:t>
            </w:r>
          </w:p>
        </w:tc>
      </w:tr>
      <w:tr w:rsidR="0069134E" w:rsidRPr="00C54AA4" w14:paraId="72BEE71C" w14:textId="77777777" w:rsidTr="0069134E">
        <w:trPr>
          <w:trHeight w:val="330"/>
        </w:trPr>
        <w:tc>
          <w:tcPr>
            <w:tcW w:w="812" w:type="dxa"/>
            <w:vAlign w:val="center"/>
          </w:tcPr>
          <w:p w14:paraId="671BB20D" w14:textId="77777777" w:rsidR="0069134E" w:rsidRPr="00C54AA4" w:rsidRDefault="0069134E" w:rsidP="000B1C66">
            <w:pPr>
              <w:rPr>
                <w:rFonts w:ascii="Arial" w:hAnsi="Arial" w:cs="Arial"/>
                <w:sz w:val="16"/>
                <w:szCs w:val="16"/>
                <w:lang w:val="es-CO" w:eastAsia="es-ES"/>
              </w:rPr>
            </w:pPr>
            <w:r w:rsidRPr="00C54AA4">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2C8A7DFB" w14:textId="6F0978CF" w:rsidR="0069134E" w:rsidRPr="00C54AA4" w:rsidRDefault="00033670" w:rsidP="000B1C66">
            <w:pPr>
              <w:rPr>
                <w:rFonts w:ascii="Arial" w:hAnsi="Arial" w:cs="Arial"/>
                <w:sz w:val="16"/>
                <w:szCs w:val="16"/>
                <w:lang w:val="es-CO" w:eastAsia="es-ES"/>
              </w:rPr>
            </w:pPr>
            <w:r>
              <w:rPr>
                <w:rFonts w:ascii="Arial" w:hAnsi="Arial" w:cs="Arial"/>
                <w:sz w:val="16"/>
                <w:szCs w:val="16"/>
                <w:lang w:val="es-CO" w:eastAsia="es-ES"/>
              </w:rPr>
              <w:t>Cristian Andrés Díaz Díez</w:t>
            </w:r>
          </w:p>
          <w:p w14:paraId="580FD72E" w14:textId="596C7F47" w:rsidR="0069134E" w:rsidRPr="00C54AA4" w:rsidRDefault="00033670" w:rsidP="000B1C66">
            <w:pPr>
              <w:rPr>
                <w:rFonts w:ascii="Arial" w:hAnsi="Arial" w:cs="Arial"/>
                <w:sz w:val="16"/>
                <w:szCs w:val="16"/>
                <w:lang w:val="es-CO" w:eastAsia="es-ES"/>
              </w:rPr>
            </w:pPr>
            <w:r>
              <w:rPr>
                <w:rFonts w:ascii="Arial" w:hAnsi="Arial" w:cs="Arial"/>
                <w:sz w:val="16"/>
                <w:szCs w:val="16"/>
                <w:lang w:val="es-CO" w:eastAsia="es-ES"/>
              </w:rPr>
              <w:t xml:space="preserve">Contratista, </w:t>
            </w:r>
            <w:r w:rsidRPr="00C54AA4">
              <w:rPr>
                <w:rFonts w:ascii="Arial" w:hAnsi="Arial" w:cs="Arial"/>
                <w:sz w:val="16"/>
                <w:szCs w:val="16"/>
                <w:lang w:val="es-CO" w:eastAsia="es-ES"/>
              </w:rPr>
              <w:t>Subdirec</w:t>
            </w:r>
            <w:r>
              <w:rPr>
                <w:rFonts w:ascii="Arial" w:hAnsi="Arial" w:cs="Arial"/>
                <w:sz w:val="16"/>
                <w:szCs w:val="16"/>
                <w:lang w:val="es-CO" w:eastAsia="es-ES"/>
              </w:rPr>
              <w:t>ción</w:t>
            </w:r>
            <w:r w:rsidRPr="00C54AA4">
              <w:rPr>
                <w:rFonts w:ascii="Arial" w:hAnsi="Arial" w:cs="Arial"/>
                <w:sz w:val="16"/>
                <w:szCs w:val="16"/>
                <w:lang w:val="es-CO" w:eastAsia="es-ES"/>
              </w:rPr>
              <w:t xml:space="preserve"> </w:t>
            </w:r>
            <w:r w:rsidR="0069134E" w:rsidRPr="00C54AA4">
              <w:rPr>
                <w:rFonts w:ascii="Arial" w:hAnsi="Arial" w:cs="Arial"/>
                <w:sz w:val="16"/>
                <w:szCs w:val="16"/>
                <w:lang w:val="es-CO" w:eastAsia="es-ES"/>
              </w:rPr>
              <w:t>de Gestión Contractual</w:t>
            </w:r>
          </w:p>
        </w:tc>
      </w:tr>
      <w:tr w:rsidR="0069134E" w:rsidRPr="00C54AA4" w14:paraId="65CA557D" w14:textId="77777777" w:rsidTr="0069134E">
        <w:trPr>
          <w:trHeight w:val="300"/>
        </w:trPr>
        <w:tc>
          <w:tcPr>
            <w:tcW w:w="812" w:type="dxa"/>
            <w:vAlign w:val="center"/>
          </w:tcPr>
          <w:p w14:paraId="20B5107D" w14:textId="77777777" w:rsidR="0069134E" w:rsidRPr="00C54AA4" w:rsidRDefault="0069134E" w:rsidP="000B1C66">
            <w:pPr>
              <w:rPr>
                <w:rFonts w:ascii="Arial" w:hAnsi="Arial" w:cs="Arial"/>
                <w:sz w:val="16"/>
                <w:szCs w:val="16"/>
                <w:lang w:val="es-CO" w:eastAsia="es-ES"/>
              </w:rPr>
            </w:pPr>
            <w:r w:rsidRPr="00C54AA4">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5D4653DD" w14:textId="77777777" w:rsidR="0069134E" w:rsidRPr="00C54AA4" w:rsidRDefault="0069134E" w:rsidP="000B1C66">
            <w:pPr>
              <w:rPr>
                <w:rFonts w:ascii="Arial" w:hAnsi="Arial" w:cs="Arial"/>
                <w:sz w:val="16"/>
                <w:szCs w:val="16"/>
                <w:lang w:val="es-CO" w:eastAsia="es-ES"/>
              </w:rPr>
            </w:pPr>
            <w:r w:rsidRPr="00C54AA4">
              <w:rPr>
                <w:rFonts w:ascii="Arial" w:hAnsi="Arial" w:cs="Arial"/>
                <w:sz w:val="16"/>
                <w:szCs w:val="16"/>
                <w:lang w:val="es-CO" w:eastAsia="es-ES"/>
              </w:rPr>
              <w:t>Fabián Gonzalo Marín Cortés</w:t>
            </w:r>
          </w:p>
          <w:p w14:paraId="6E0C37EC" w14:textId="77777777" w:rsidR="0069134E" w:rsidRPr="00C54AA4" w:rsidRDefault="0069134E" w:rsidP="000B1C66">
            <w:pPr>
              <w:rPr>
                <w:rFonts w:ascii="Arial" w:hAnsi="Arial" w:cs="Arial"/>
                <w:sz w:val="16"/>
                <w:szCs w:val="16"/>
                <w:lang w:val="es-CO" w:eastAsia="es-ES"/>
              </w:rPr>
            </w:pPr>
            <w:r w:rsidRPr="00C54AA4">
              <w:rPr>
                <w:rFonts w:ascii="Arial" w:hAnsi="Arial" w:cs="Arial"/>
                <w:sz w:val="16"/>
                <w:szCs w:val="16"/>
                <w:lang w:val="es-CO" w:eastAsia="es-ES"/>
              </w:rPr>
              <w:t>Subdirector de Gestión Contractual</w:t>
            </w:r>
          </w:p>
        </w:tc>
      </w:tr>
    </w:tbl>
    <w:p w14:paraId="085A31AB" w14:textId="77777777" w:rsidR="006C5955" w:rsidRPr="00C54AA4" w:rsidRDefault="006C5955" w:rsidP="00BE1E33">
      <w:pPr>
        <w:rPr>
          <w:color w:val="000000" w:themeColor="text1"/>
          <w:lang w:val="es-CO"/>
        </w:rPr>
      </w:pPr>
    </w:p>
    <w:sectPr w:rsidR="006C5955" w:rsidRPr="00C54AA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13639" w14:textId="77777777" w:rsidR="002B0720" w:rsidRDefault="002B0720" w:rsidP="008C487C">
      <w:r>
        <w:separator/>
      </w:r>
    </w:p>
  </w:endnote>
  <w:endnote w:type="continuationSeparator" w:id="0">
    <w:p w14:paraId="2008781B" w14:textId="77777777" w:rsidR="002B0720" w:rsidRDefault="002B0720"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EB348" w14:textId="77777777"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2232E">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2232E">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9047C5" w:rsidRDefault="77769FAE" w:rsidP="00322937">
    <w:pPr>
      <w:pStyle w:val="Piedepgina"/>
      <w:jc w:val="center"/>
    </w:pPr>
    <w:r>
      <w:rPr>
        <w:noProof/>
      </w:rPr>
      <w:drawing>
        <wp:inline distT="0" distB="0" distL="0" distR="0" wp14:anchorId="0323F87D" wp14:editId="1423ABD3">
          <wp:extent cx="3700130" cy="519139"/>
          <wp:effectExtent l="0" t="0" r="0" b="0"/>
          <wp:docPr id="1178154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2B0720" w:rsidP="007B0854">
    <w:pPr>
      <w:pStyle w:val="Piedepgina"/>
      <w:jc w:val="center"/>
      <w:rPr>
        <w:sz w:val="18"/>
        <w:szCs w:val="18"/>
      </w:rPr>
    </w:pPr>
  </w:p>
  <w:p w14:paraId="428179B1" w14:textId="77777777" w:rsidR="004A34D2" w:rsidRPr="00E756AC" w:rsidRDefault="002B0720" w:rsidP="007B0854">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2FB24" w14:textId="77777777" w:rsidR="002B0720" w:rsidRDefault="002B0720" w:rsidP="008C487C">
      <w:r>
        <w:separator/>
      </w:r>
    </w:p>
  </w:footnote>
  <w:footnote w:type="continuationSeparator" w:id="0">
    <w:p w14:paraId="71423C98" w14:textId="77777777" w:rsidR="002B0720" w:rsidRDefault="002B0720" w:rsidP="008C487C">
      <w:r>
        <w:continuationSeparator/>
      </w:r>
    </w:p>
  </w:footnote>
  <w:footnote w:id="1">
    <w:p w14:paraId="4FD4E364" w14:textId="77777777" w:rsidR="00137F39" w:rsidRPr="00543959" w:rsidRDefault="00137F39" w:rsidP="00401826">
      <w:pPr>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43959">
        <w:rPr>
          <w:rFonts w:ascii="Arial" w:hAnsi="Arial" w:cs="Arial"/>
          <w:color w:val="000000" w:themeColor="text1"/>
          <w:spacing w:val="-14"/>
          <w:sz w:val="19"/>
          <w:szCs w:val="19"/>
        </w:rPr>
        <w:t xml:space="preserve"> </w:t>
      </w:r>
      <w:r w:rsidRPr="00543959">
        <w:rPr>
          <w:rFonts w:ascii="Arial" w:hAnsi="Arial" w:cs="Arial"/>
          <w:color w:val="000000" w:themeColor="text1"/>
          <w:sz w:val="19"/>
          <w:szCs w:val="19"/>
        </w:rPr>
        <w:t>utilizados.</w:t>
      </w:r>
    </w:p>
    <w:p w14:paraId="352459FB" w14:textId="77777777" w:rsidR="00137F39" w:rsidRPr="00543959" w:rsidRDefault="00137F39" w:rsidP="00401826">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w:t>
      </w:r>
    </w:p>
    <w:p w14:paraId="4E9CC62D" w14:textId="77777777" w:rsidR="00137F39" w:rsidRPr="00543959" w:rsidRDefault="00137F39" w:rsidP="00401826">
      <w:pPr>
        <w:ind w:right="49" w:firstLine="708"/>
        <w:jc w:val="both"/>
        <w:rPr>
          <w:rFonts w:ascii="Arial" w:hAnsi="Arial" w:cs="Arial"/>
          <w:color w:val="000000" w:themeColor="text1"/>
          <w:sz w:val="19"/>
          <w:szCs w:val="19"/>
        </w:rPr>
      </w:pPr>
    </w:p>
    <w:p w14:paraId="2BE9B0C5" w14:textId="2515BFC4" w:rsidR="00137F39" w:rsidRPr="00543959" w:rsidRDefault="00137F39" w:rsidP="00401826">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14:paraId="4E6A9BBE" w14:textId="77777777" w:rsidR="00377E57" w:rsidRPr="00543959" w:rsidRDefault="00377E57" w:rsidP="00401826">
      <w:pPr>
        <w:ind w:right="49" w:firstLine="708"/>
        <w:jc w:val="both"/>
        <w:rPr>
          <w:rFonts w:ascii="Arial" w:hAnsi="Arial" w:cs="Arial"/>
          <w:color w:val="000000" w:themeColor="text1"/>
          <w:sz w:val="19"/>
          <w:szCs w:val="19"/>
        </w:rPr>
      </w:pPr>
    </w:p>
  </w:footnote>
  <w:footnote w:id="2">
    <w:p w14:paraId="1830AAD6" w14:textId="458F5597" w:rsidR="00F419B1" w:rsidRPr="00543959" w:rsidRDefault="00F419B1" w:rsidP="00401826">
      <w:pPr>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Consejo de Estado. Sección Tercera. </w:t>
      </w:r>
      <w:r w:rsidR="004221B5" w:rsidRPr="00543959">
        <w:rPr>
          <w:rFonts w:ascii="Arial" w:hAnsi="Arial" w:cs="Arial"/>
          <w:color w:val="000000" w:themeColor="text1"/>
          <w:sz w:val="19"/>
          <w:szCs w:val="19"/>
        </w:rPr>
        <w:t xml:space="preserve">Providencia del 26 de junio de 2003. Exp. 13.354. M.P. </w:t>
      </w:r>
      <w:r w:rsidRPr="00543959">
        <w:rPr>
          <w:rFonts w:ascii="Arial" w:hAnsi="Arial" w:cs="Arial"/>
          <w:color w:val="000000" w:themeColor="text1"/>
          <w:sz w:val="19"/>
          <w:szCs w:val="19"/>
        </w:rPr>
        <w:t>María Elena Giraldo Gómez.</w:t>
      </w:r>
    </w:p>
    <w:p w14:paraId="1E16813A" w14:textId="77777777" w:rsidR="00F419B1" w:rsidRPr="00543959" w:rsidRDefault="00F419B1" w:rsidP="00401826">
      <w:pPr>
        <w:pStyle w:val="Textonotapie"/>
        <w:ind w:right="49"/>
        <w:jc w:val="both"/>
        <w:rPr>
          <w:rFonts w:ascii="Arial" w:hAnsi="Arial" w:cs="Arial"/>
          <w:color w:val="000000" w:themeColor="text1"/>
          <w:sz w:val="19"/>
          <w:szCs w:val="19"/>
          <w:lang w:val="es-CO"/>
        </w:rPr>
      </w:pPr>
    </w:p>
  </w:footnote>
  <w:footnote w:id="3">
    <w:p w14:paraId="351DC742" w14:textId="04EBEF8B" w:rsidR="00F91408" w:rsidRPr="00543959" w:rsidRDefault="00F91408" w:rsidP="00401826">
      <w:pPr>
        <w:ind w:left="300" w:right="49" w:firstLine="707"/>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w:t>
      </w:r>
      <w:r w:rsidR="00E238E2" w:rsidRPr="00543959">
        <w:rPr>
          <w:rFonts w:ascii="Arial" w:hAnsi="Arial" w:cs="Arial"/>
          <w:color w:val="000000" w:themeColor="text1"/>
          <w:sz w:val="19"/>
          <w:szCs w:val="19"/>
        </w:rPr>
        <w:t>«</w:t>
      </w:r>
      <w:r w:rsidRPr="00543959">
        <w:rPr>
          <w:rFonts w:ascii="Arial" w:hAnsi="Arial" w:cs="Arial"/>
          <w:color w:val="000000" w:themeColor="text1"/>
          <w:sz w:val="19"/>
          <w:szCs w:val="19"/>
        </w:rPr>
        <w:t>Artículo 2.2.1.1.1.6.4. Capacidad Residual. El interesado en celebrar contratos de obra pública con Entidades Estatales debe acreditar su Capacidad Residual o K de Contratación con los siguientes</w:t>
      </w:r>
      <w:r w:rsidRPr="00543959">
        <w:rPr>
          <w:rFonts w:ascii="Arial" w:hAnsi="Arial" w:cs="Arial"/>
          <w:color w:val="000000" w:themeColor="text1"/>
          <w:spacing w:val="-3"/>
          <w:sz w:val="19"/>
          <w:szCs w:val="19"/>
        </w:rPr>
        <w:t xml:space="preserve"> </w:t>
      </w:r>
      <w:r w:rsidRPr="00543959">
        <w:rPr>
          <w:rFonts w:ascii="Arial" w:hAnsi="Arial" w:cs="Arial"/>
          <w:color w:val="000000" w:themeColor="text1"/>
          <w:sz w:val="19"/>
          <w:szCs w:val="19"/>
        </w:rPr>
        <w:t>documentos:</w:t>
      </w:r>
    </w:p>
    <w:p w14:paraId="52720658" w14:textId="77777777" w:rsidR="00F91408" w:rsidRPr="00543959" w:rsidRDefault="00F91408" w:rsidP="00401826">
      <w:pPr>
        <w:pStyle w:val="Textoindependiente"/>
        <w:ind w:right="49"/>
        <w:jc w:val="both"/>
        <w:rPr>
          <w:color w:val="000000" w:themeColor="text1"/>
          <w:sz w:val="19"/>
          <w:szCs w:val="19"/>
        </w:rPr>
      </w:pPr>
    </w:p>
    <w:p w14:paraId="7B6A2FDD" w14:textId="19E44325" w:rsidR="00F91408" w:rsidRPr="00543959" w:rsidRDefault="00E238E2" w:rsidP="00401826">
      <w:pPr>
        <w:ind w:left="300" w:right="49"/>
        <w:jc w:val="both"/>
        <w:rPr>
          <w:rFonts w:ascii="Arial" w:hAnsi="Arial" w:cs="Arial"/>
          <w:color w:val="000000" w:themeColor="text1"/>
          <w:sz w:val="19"/>
          <w:szCs w:val="19"/>
        </w:rPr>
      </w:pPr>
      <w:r w:rsidRPr="00543959">
        <w:rPr>
          <w:rFonts w:ascii="Arial" w:hAnsi="Arial" w:cs="Arial"/>
          <w:color w:val="000000" w:themeColor="text1"/>
          <w:sz w:val="19"/>
          <w:szCs w:val="19"/>
        </w:rPr>
        <w:t>»</w:t>
      </w:r>
      <w:r w:rsidR="00F91408" w:rsidRPr="00543959">
        <w:rPr>
          <w:rFonts w:ascii="Arial"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00F91408" w:rsidRPr="00543959">
        <w:rPr>
          <w:rFonts w:ascii="Arial" w:hAnsi="Arial" w:cs="Arial"/>
          <w:color w:val="000000" w:themeColor="text1"/>
          <w:spacing w:val="-4"/>
          <w:sz w:val="19"/>
          <w:szCs w:val="19"/>
        </w:rPr>
        <w:t xml:space="preserve"> </w:t>
      </w:r>
      <w:r w:rsidR="00F91408" w:rsidRPr="00543959">
        <w:rPr>
          <w:rFonts w:ascii="Arial" w:hAnsi="Arial" w:cs="Arial"/>
          <w:color w:val="000000" w:themeColor="text1"/>
          <w:sz w:val="19"/>
          <w:szCs w:val="19"/>
        </w:rPr>
        <w:t>concesionarios.</w:t>
      </w:r>
    </w:p>
    <w:p w14:paraId="33BB1F95" w14:textId="77777777" w:rsidR="00F91408" w:rsidRPr="00543959" w:rsidRDefault="00F91408" w:rsidP="00401826">
      <w:pPr>
        <w:pStyle w:val="Textoindependiente"/>
        <w:ind w:right="49"/>
        <w:jc w:val="both"/>
        <w:rPr>
          <w:color w:val="000000" w:themeColor="text1"/>
          <w:sz w:val="19"/>
          <w:szCs w:val="19"/>
        </w:rPr>
      </w:pPr>
    </w:p>
    <w:p w14:paraId="2CB758FE" w14:textId="64F0977D" w:rsidR="00F91408" w:rsidRPr="00543959" w:rsidRDefault="00E238E2" w:rsidP="00401826">
      <w:pPr>
        <w:ind w:left="300" w:right="49"/>
        <w:jc w:val="both"/>
        <w:rPr>
          <w:rFonts w:ascii="Arial" w:hAnsi="Arial" w:cs="Arial"/>
          <w:color w:val="000000" w:themeColor="text1"/>
          <w:sz w:val="19"/>
          <w:szCs w:val="19"/>
        </w:rPr>
      </w:pPr>
      <w:r w:rsidRPr="00543959">
        <w:rPr>
          <w:rFonts w:ascii="Arial" w:hAnsi="Arial" w:cs="Arial"/>
          <w:color w:val="000000" w:themeColor="text1"/>
          <w:sz w:val="19"/>
          <w:szCs w:val="19"/>
        </w:rPr>
        <w:t>»</w:t>
      </w:r>
      <w:r w:rsidR="00F91408" w:rsidRPr="00543959">
        <w:rPr>
          <w:rFonts w:ascii="Arial"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10DDD527" w14:textId="77777777" w:rsidR="00F91408" w:rsidRPr="00543959" w:rsidRDefault="00F91408" w:rsidP="00401826">
      <w:pPr>
        <w:ind w:right="49"/>
        <w:jc w:val="both"/>
        <w:rPr>
          <w:rFonts w:ascii="Arial" w:hAnsi="Arial" w:cs="Arial"/>
          <w:color w:val="000000" w:themeColor="text1"/>
          <w:sz w:val="19"/>
          <w:szCs w:val="19"/>
        </w:rPr>
      </w:pPr>
    </w:p>
    <w:p w14:paraId="2946FA95" w14:textId="7CF08753" w:rsidR="00F91408" w:rsidRPr="00543959" w:rsidRDefault="00E238E2" w:rsidP="00401826">
      <w:pPr>
        <w:ind w:left="300" w:right="49"/>
        <w:jc w:val="both"/>
        <w:rPr>
          <w:rFonts w:ascii="Arial" w:hAnsi="Arial" w:cs="Arial"/>
          <w:color w:val="000000" w:themeColor="text1"/>
          <w:sz w:val="19"/>
          <w:szCs w:val="19"/>
        </w:rPr>
      </w:pPr>
      <w:r w:rsidRPr="00543959">
        <w:rPr>
          <w:rFonts w:ascii="Arial" w:hAnsi="Arial" w:cs="Arial"/>
          <w:color w:val="000000" w:themeColor="text1"/>
          <w:sz w:val="19"/>
          <w:szCs w:val="19"/>
        </w:rPr>
        <w:t>»</w:t>
      </w:r>
      <w:r w:rsidR="00F91408" w:rsidRPr="00543959">
        <w:rPr>
          <w:rFonts w:ascii="Arial" w:hAnsi="Arial" w:cs="Arial"/>
          <w:color w:val="000000" w:themeColor="text1"/>
          <w:sz w:val="19"/>
          <w:szCs w:val="19"/>
        </w:rPr>
        <w:t xml:space="preserve">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w:t>
      </w:r>
      <w:r w:rsidR="00E45057" w:rsidRPr="00543959">
        <w:rPr>
          <w:rFonts w:ascii="Arial" w:hAnsi="Arial" w:cs="Arial"/>
          <w:color w:val="000000" w:themeColor="text1"/>
          <w:sz w:val="19"/>
          <w:szCs w:val="19"/>
        </w:rPr>
        <w:t>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2307EF90" w14:textId="77777777" w:rsidR="00F91408" w:rsidRPr="00543959" w:rsidRDefault="00F91408" w:rsidP="00401826">
      <w:pPr>
        <w:pStyle w:val="Textonotapie"/>
        <w:ind w:right="4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s-ES_tradnl"/>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CADAB2A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48097D"/>
    <w:multiLevelType w:val="hybridMultilevel"/>
    <w:tmpl w:val="97B20F78"/>
    <w:lvl w:ilvl="0" w:tplc="3AC27060">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6"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8"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4D43"/>
    <w:rsid w:val="00010D30"/>
    <w:rsid w:val="0003091B"/>
    <w:rsid w:val="000333A2"/>
    <w:rsid w:val="00033670"/>
    <w:rsid w:val="00040D6E"/>
    <w:rsid w:val="00042C0C"/>
    <w:rsid w:val="00044FF2"/>
    <w:rsid w:val="00051B08"/>
    <w:rsid w:val="00057468"/>
    <w:rsid w:val="000619F5"/>
    <w:rsid w:val="00061EE4"/>
    <w:rsid w:val="00062B0D"/>
    <w:rsid w:val="00086A16"/>
    <w:rsid w:val="00097CD6"/>
    <w:rsid w:val="000A1DBA"/>
    <w:rsid w:val="000A6338"/>
    <w:rsid w:val="000C0E39"/>
    <w:rsid w:val="000C56E6"/>
    <w:rsid w:val="000D088F"/>
    <w:rsid w:val="000D5ABE"/>
    <w:rsid w:val="000E64A3"/>
    <w:rsid w:val="000E6867"/>
    <w:rsid w:val="000F0DB9"/>
    <w:rsid w:val="000F514D"/>
    <w:rsid w:val="00107607"/>
    <w:rsid w:val="00112597"/>
    <w:rsid w:val="00114BD6"/>
    <w:rsid w:val="001321AB"/>
    <w:rsid w:val="00137F39"/>
    <w:rsid w:val="00140E57"/>
    <w:rsid w:val="00141C64"/>
    <w:rsid w:val="0014298D"/>
    <w:rsid w:val="0014462B"/>
    <w:rsid w:val="00147C11"/>
    <w:rsid w:val="001505BA"/>
    <w:rsid w:val="001517FD"/>
    <w:rsid w:val="0016313F"/>
    <w:rsid w:val="00164E79"/>
    <w:rsid w:val="00175DA0"/>
    <w:rsid w:val="0017603D"/>
    <w:rsid w:val="00181A3E"/>
    <w:rsid w:val="00194C50"/>
    <w:rsid w:val="001A17D9"/>
    <w:rsid w:val="001A5B62"/>
    <w:rsid w:val="001E5DBB"/>
    <w:rsid w:val="001F1051"/>
    <w:rsid w:val="001F34A8"/>
    <w:rsid w:val="002034AD"/>
    <w:rsid w:val="002239B4"/>
    <w:rsid w:val="00234C6C"/>
    <w:rsid w:val="00242129"/>
    <w:rsid w:val="0024593B"/>
    <w:rsid w:val="0025014F"/>
    <w:rsid w:val="00260074"/>
    <w:rsid w:val="00265031"/>
    <w:rsid w:val="00266277"/>
    <w:rsid w:val="002744EE"/>
    <w:rsid w:val="00284C12"/>
    <w:rsid w:val="00286834"/>
    <w:rsid w:val="002B0720"/>
    <w:rsid w:val="002B0F1E"/>
    <w:rsid w:val="002B282F"/>
    <w:rsid w:val="002B4B30"/>
    <w:rsid w:val="002C397E"/>
    <w:rsid w:val="002D09E1"/>
    <w:rsid w:val="002D798B"/>
    <w:rsid w:val="002E68F5"/>
    <w:rsid w:val="002E7BC2"/>
    <w:rsid w:val="002F63BB"/>
    <w:rsid w:val="00302F9F"/>
    <w:rsid w:val="00304386"/>
    <w:rsid w:val="003072FC"/>
    <w:rsid w:val="00315063"/>
    <w:rsid w:val="00317DCA"/>
    <w:rsid w:val="00332EE9"/>
    <w:rsid w:val="003401FE"/>
    <w:rsid w:val="00340A7A"/>
    <w:rsid w:val="00377E57"/>
    <w:rsid w:val="00390DCF"/>
    <w:rsid w:val="003A2944"/>
    <w:rsid w:val="003A3006"/>
    <w:rsid w:val="003B0DEF"/>
    <w:rsid w:val="003C2074"/>
    <w:rsid w:val="003C3ADB"/>
    <w:rsid w:val="003C7428"/>
    <w:rsid w:val="003D11B5"/>
    <w:rsid w:val="003D134C"/>
    <w:rsid w:val="003D69A5"/>
    <w:rsid w:val="003E048E"/>
    <w:rsid w:val="003E14F9"/>
    <w:rsid w:val="003F3119"/>
    <w:rsid w:val="00401826"/>
    <w:rsid w:val="00401E43"/>
    <w:rsid w:val="00410CC6"/>
    <w:rsid w:val="00417051"/>
    <w:rsid w:val="004221B5"/>
    <w:rsid w:val="00430B5A"/>
    <w:rsid w:val="0044207D"/>
    <w:rsid w:val="0044260A"/>
    <w:rsid w:val="00447FE5"/>
    <w:rsid w:val="004617A6"/>
    <w:rsid w:val="004617B8"/>
    <w:rsid w:val="00465DB9"/>
    <w:rsid w:val="004758FE"/>
    <w:rsid w:val="004830C8"/>
    <w:rsid w:val="004837AB"/>
    <w:rsid w:val="00483A2F"/>
    <w:rsid w:val="004A3688"/>
    <w:rsid w:val="004A6EE1"/>
    <w:rsid w:val="004B1BEE"/>
    <w:rsid w:val="004D53C1"/>
    <w:rsid w:val="004D770C"/>
    <w:rsid w:val="004E370E"/>
    <w:rsid w:val="004F0F85"/>
    <w:rsid w:val="004F4387"/>
    <w:rsid w:val="004F4431"/>
    <w:rsid w:val="00504F2E"/>
    <w:rsid w:val="00510BF5"/>
    <w:rsid w:val="00521BA7"/>
    <w:rsid w:val="005239E4"/>
    <w:rsid w:val="005252E2"/>
    <w:rsid w:val="00534B9F"/>
    <w:rsid w:val="00543959"/>
    <w:rsid w:val="005511D5"/>
    <w:rsid w:val="00565A9A"/>
    <w:rsid w:val="0056663E"/>
    <w:rsid w:val="00580EB2"/>
    <w:rsid w:val="005852C8"/>
    <w:rsid w:val="00585FB5"/>
    <w:rsid w:val="00591586"/>
    <w:rsid w:val="005C5D46"/>
    <w:rsid w:val="005C6D19"/>
    <w:rsid w:val="005C7AC4"/>
    <w:rsid w:val="005D504C"/>
    <w:rsid w:val="005E76CC"/>
    <w:rsid w:val="005F5D19"/>
    <w:rsid w:val="005F5F03"/>
    <w:rsid w:val="005F6CBF"/>
    <w:rsid w:val="005F6FC7"/>
    <w:rsid w:val="006135E6"/>
    <w:rsid w:val="006143E3"/>
    <w:rsid w:val="00632EA5"/>
    <w:rsid w:val="00633530"/>
    <w:rsid w:val="006440BC"/>
    <w:rsid w:val="00647DF6"/>
    <w:rsid w:val="0065701C"/>
    <w:rsid w:val="006577C3"/>
    <w:rsid w:val="00666F71"/>
    <w:rsid w:val="006745B1"/>
    <w:rsid w:val="006818B6"/>
    <w:rsid w:val="006824B8"/>
    <w:rsid w:val="0069134E"/>
    <w:rsid w:val="006A7743"/>
    <w:rsid w:val="006B0409"/>
    <w:rsid w:val="006B5D35"/>
    <w:rsid w:val="006B6C6A"/>
    <w:rsid w:val="006C234F"/>
    <w:rsid w:val="006C4025"/>
    <w:rsid w:val="006C5955"/>
    <w:rsid w:val="006F39D0"/>
    <w:rsid w:val="006F7746"/>
    <w:rsid w:val="00706A73"/>
    <w:rsid w:val="00711157"/>
    <w:rsid w:val="007114AE"/>
    <w:rsid w:val="00736C89"/>
    <w:rsid w:val="00742C98"/>
    <w:rsid w:val="00745744"/>
    <w:rsid w:val="00745970"/>
    <w:rsid w:val="0075032A"/>
    <w:rsid w:val="00765EEE"/>
    <w:rsid w:val="00770D7D"/>
    <w:rsid w:val="00772497"/>
    <w:rsid w:val="00784FE3"/>
    <w:rsid w:val="00791377"/>
    <w:rsid w:val="007D1C5F"/>
    <w:rsid w:val="007D50E6"/>
    <w:rsid w:val="007D62C7"/>
    <w:rsid w:val="007F7AC6"/>
    <w:rsid w:val="00803061"/>
    <w:rsid w:val="00803B46"/>
    <w:rsid w:val="00807EEE"/>
    <w:rsid w:val="008135F4"/>
    <w:rsid w:val="00813893"/>
    <w:rsid w:val="0082266E"/>
    <w:rsid w:val="00824361"/>
    <w:rsid w:val="008327EE"/>
    <w:rsid w:val="00832DFA"/>
    <w:rsid w:val="00840651"/>
    <w:rsid w:val="00842E74"/>
    <w:rsid w:val="00843BE5"/>
    <w:rsid w:val="00863DD9"/>
    <w:rsid w:val="00866446"/>
    <w:rsid w:val="0086741B"/>
    <w:rsid w:val="00886F29"/>
    <w:rsid w:val="00894DAB"/>
    <w:rsid w:val="008A0633"/>
    <w:rsid w:val="008A53F2"/>
    <w:rsid w:val="008B1B51"/>
    <w:rsid w:val="008B3426"/>
    <w:rsid w:val="008C24B6"/>
    <w:rsid w:val="008C27FB"/>
    <w:rsid w:val="008C487C"/>
    <w:rsid w:val="008C4C28"/>
    <w:rsid w:val="008C5A24"/>
    <w:rsid w:val="008D5BEA"/>
    <w:rsid w:val="008E0FCC"/>
    <w:rsid w:val="008E2FE3"/>
    <w:rsid w:val="008E5F34"/>
    <w:rsid w:val="008F184D"/>
    <w:rsid w:val="008F2267"/>
    <w:rsid w:val="009231E0"/>
    <w:rsid w:val="009420F7"/>
    <w:rsid w:val="0094508D"/>
    <w:rsid w:val="009506A7"/>
    <w:rsid w:val="00952CEC"/>
    <w:rsid w:val="00967230"/>
    <w:rsid w:val="00972C13"/>
    <w:rsid w:val="00976C8D"/>
    <w:rsid w:val="009812D7"/>
    <w:rsid w:val="00982E99"/>
    <w:rsid w:val="009A5714"/>
    <w:rsid w:val="009A5DA7"/>
    <w:rsid w:val="009B1AEC"/>
    <w:rsid w:val="009D1D57"/>
    <w:rsid w:val="009E2185"/>
    <w:rsid w:val="009E2544"/>
    <w:rsid w:val="009E2770"/>
    <w:rsid w:val="009E4A43"/>
    <w:rsid w:val="009F20CC"/>
    <w:rsid w:val="009F2261"/>
    <w:rsid w:val="009F3537"/>
    <w:rsid w:val="009F7860"/>
    <w:rsid w:val="00A13854"/>
    <w:rsid w:val="00A25657"/>
    <w:rsid w:val="00A329B6"/>
    <w:rsid w:val="00A367A1"/>
    <w:rsid w:val="00A415D2"/>
    <w:rsid w:val="00A460BA"/>
    <w:rsid w:val="00A510F6"/>
    <w:rsid w:val="00A6641B"/>
    <w:rsid w:val="00A80739"/>
    <w:rsid w:val="00A81BA0"/>
    <w:rsid w:val="00A83829"/>
    <w:rsid w:val="00A839FD"/>
    <w:rsid w:val="00A83BEE"/>
    <w:rsid w:val="00A95100"/>
    <w:rsid w:val="00AA615B"/>
    <w:rsid w:val="00AA7E30"/>
    <w:rsid w:val="00AC0C81"/>
    <w:rsid w:val="00AC5E59"/>
    <w:rsid w:val="00AD2D78"/>
    <w:rsid w:val="00AE668A"/>
    <w:rsid w:val="00AE6858"/>
    <w:rsid w:val="00AF3122"/>
    <w:rsid w:val="00AF5C62"/>
    <w:rsid w:val="00AF7270"/>
    <w:rsid w:val="00B00247"/>
    <w:rsid w:val="00B17BC5"/>
    <w:rsid w:val="00B2158C"/>
    <w:rsid w:val="00B24E57"/>
    <w:rsid w:val="00B260AA"/>
    <w:rsid w:val="00B506CF"/>
    <w:rsid w:val="00B5123E"/>
    <w:rsid w:val="00B522C4"/>
    <w:rsid w:val="00B52B0E"/>
    <w:rsid w:val="00B5337D"/>
    <w:rsid w:val="00B6482A"/>
    <w:rsid w:val="00B65290"/>
    <w:rsid w:val="00B70E26"/>
    <w:rsid w:val="00B87B33"/>
    <w:rsid w:val="00B95D9E"/>
    <w:rsid w:val="00B97D95"/>
    <w:rsid w:val="00BA7E78"/>
    <w:rsid w:val="00BB0212"/>
    <w:rsid w:val="00BB0EA7"/>
    <w:rsid w:val="00BB59F9"/>
    <w:rsid w:val="00BC15B8"/>
    <w:rsid w:val="00BC5279"/>
    <w:rsid w:val="00BC6C4E"/>
    <w:rsid w:val="00BD58A7"/>
    <w:rsid w:val="00BE1E33"/>
    <w:rsid w:val="00BE2AD3"/>
    <w:rsid w:val="00BE36F7"/>
    <w:rsid w:val="00BF2443"/>
    <w:rsid w:val="00C12201"/>
    <w:rsid w:val="00C1405A"/>
    <w:rsid w:val="00C243AD"/>
    <w:rsid w:val="00C50B1B"/>
    <w:rsid w:val="00C52801"/>
    <w:rsid w:val="00C54AA4"/>
    <w:rsid w:val="00C6210F"/>
    <w:rsid w:val="00C745C6"/>
    <w:rsid w:val="00C96072"/>
    <w:rsid w:val="00C964DE"/>
    <w:rsid w:val="00CA3171"/>
    <w:rsid w:val="00CA5790"/>
    <w:rsid w:val="00CA634C"/>
    <w:rsid w:val="00CD1001"/>
    <w:rsid w:val="00CE2BAD"/>
    <w:rsid w:val="00CE3495"/>
    <w:rsid w:val="00CF326B"/>
    <w:rsid w:val="00D0763E"/>
    <w:rsid w:val="00D07B4C"/>
    <w:rsid w:val="00D14C96"/>
    <w:rsid w:val="00D24682"/>
    <w:rsid w:val="00D24F06"/>
    <w:rsid w:val="00D25AEF"/>
    <w:rsid w:val="00D3028C"/>
    <w:rsid w:val="00D349EE"/>
    <w:rsid w:val="00D558E2"/>
    <w:rsid w:val="00D56D47"/>
    <w:rsid w:val="00D70FB4"/>
    <w:rsid w:val="00D74A1C"/>
    <w:rsid w:val="00D815C1"/>
    <w:rsid w:val="00D85C85"/>
    <w:rsid w:val="00D92F6C"/>
    <w:rsid w:val="00D95879"/>
    <w:rsid w:val="00D97A6B"/>
    <w:rsid w:val="00DA2FA3"/>
    <w:rsid w:val="00DB0032"/>
    <w:rsid w:val="00DB751D"/>
    <w:rsid w:val="00DC679E"/>
    <w:rsid w:val="00DD0E98"/>
    <w:rsid w:val="00DD6A1F"/>
    <w:rsid w:val="00DE4935"/>
    <w:rsid w:val="00DE64DE"/>
    <w:rsid w:val="00DE7AB4"/>
    <w:rsid w:val="00DF4D86"/>
    <w:rsid w:val="00E01D84"/>
    <w:rsid w:val="00E137BB"/>
    <w:rsid w:val="00E238E2"/>
    <w:rsid w:val="00E3199C"/>
    <w:rsid w:val="00E45057"/>
    <w:rsid w:val="00E52298"/>
    <w:rsid w:val="00E57EAF"/>
    <w:rsid w:val="00E64988"/>
    <w:rsid w:val="00E64A38"/>
    <w:rsid w:val="00E709F4"/>
    <w:rsid w:val="00E756AC"/>
    <w:rsid w:val="00E8381A"/>
    <w:rsid w:val="00E87596"/>
    <w:rsid w:val="00E87794"/>
    <w:rsid w:val="00E96422"/>
    <w:rsid w:val="00EA5A59"/>
    <w:rsid w:val="00EB3D8F"/>
    <w:rsid w:val="00EF2CA6"/>
    <w:rsid w:val="00F03091"/>
    <w:rsid w:val="00F05F7E"/>
    <w:rsid w:val="00F117B1"/>
    <w:rsid w:val="00F134F9"/>
    <w:rsid w:val="00F2232E"/>
    <w:rsid w:val="00F24C62"/>
    <w:rsid w:val="00F34138"/>
    <w:rsid w:val="00F419B1"/>
    <w:rsid w:val="00F47FCE"/>
    <w:rsid w:val="00F501D2"/>
    <w:rsid w:val="00F5266F"/>
    <w:rsid w:val="00F5411B"/>
    <w:rsid w:val="00F56447"/>
    <w:rsid w:val="00F624CD"/>
    <w:rsid w:val="00F64055"/>
    <w:rsid w:val="00F7035B"/>
    <w:rsid w:val="00F710C6"/>
    <w:rsid w:val="00F72F47"/>
    <w:rsid w:val="00F91408"/>
    <w:rsid w:val="00FB59E2"/>
    <w:rsid w:val="00FC510F"/>
    <w:rsid w:val="00FC755D"/>
    <w:rsid w:val="00FF67C8"/>
    <w:rsid w:val="04C0B13E"/>
    <w:rsid w:val="0AD9F2D2"/>
    <w:rsid w:val="299B2210"/>
    <w:rsid w:val="3AD7C826"/>
    <w:rsid w:val="3AE934FA"/>
    <w:rsid w:val="3B095192"/>
    <w:rsid w:val="42906173"/>
    <w:rsid w:val="43332BD4"/>
    <w:rsid w:val="4CBE872F"/>
    <w:rsid w:val="55D9EAE3"/>
    <w:rsid w:val="5BF4B3B4"/>
    <w:rsid w:val="5D4FBDA7"/>
    <w:rsid w:val="6576671A"/>
    <w:rsid w:val="6AC99553"/>
    <w:rsid w:val="77769FAE"/>
    <w:rsid w:val="7C6AE3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9FD"/>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qFormat/>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color w:val="3B3838" w:themeColor="background2" w:themeShade="40"/>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Textoindependiente">
    <w:name w:val="Body Text"/>
    <w:basedOn w:val="Normal"/>
    <w:link w:val="TextoindependienteCar"/>
    <w:uiPriority w:val="1"/>
    <w:qFormat/>
    <w:rsid w:val="00F419B1"/>
    <w:pPr>
      <w:widowControl w:val="0"/>
      <w:autoSpaceDE w:val="0"/>
      <w:autoSpaceDN w:val="0"/>
    </w:pPr>
    <w:rPr>
      <w:rFonts w:ascii="Arial" w:eastAsia="Arial" w:hAnsi="Arial" w:cs="Arial"/>
      <w:sz w:val="22"/>
      <w:lang w:eastAsia="es-ES" w:bidi="es-ES"/>
    </w:rPr>
  </w:style>
  <w:style w:type="character" w:customStyle="1" w:styleId="TextoindependienteCar">
    <w:name w:val="Texto independiente Car"/>
    <w:basedOn w:val="Fuentedeprrafopredeter"/>
    <w:link w:val="Textoindependiente"/>
    <w:uiPriority w:val="1"/>
    <w:rsid w:val="00F419B1"/>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5852C8"/>
    <w:rPr>
      <w:sz w:val="16"/>
      <w:szCs w:val="16"/>
    </w:rPr>
  </w:style>
  <w:style w:type="paragraph" w:styleId="Textocomentario">
    <w:name w:val="annotation text"/>
    <w:basedOn w:val="Normal"/>
    <w:link w:val="TextocomentarioCar"/>
    <w:uiPriority w:val="99"/>
    <w:semiHidden/>
    <w:unhideWhenUsed/>
    <w:rsid w:val="005852C8"/>
    <w:rPr>
      <w:sz w:val="20"/>
      <w:szCs w:val="20"/>
    </w:rPr>
  </w:style>
  <w:style w:type="character" w:customStyle="1" w:styleId="TextocomentarioCar">
    <w:name w:val="Texto comentario Car"/>
    <w:basedOn w:val="Fuentedeprrafopredeter"/>
    <w:link w:val="Textocomentario"/>
    <w:uiPriority w:val="99"/>
    <w:semiHidden/>
    <w:rsid w:val="005852C8"/>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5852C8"/>
    <w:rPr>
      <w:b/>
      <w:bCs/>
    </w:rPr>
  </w:style>
  <w:style w:type="character" w:customStyle="1" w:styleId="AsuntodelcomentarioCar">
    <w:name w:val="Asunto del comentario Car"/>
    <w:basedOn w:val="TextocomentarioCar"/>
    <w:link w:val="Asuntodelcomentario"/>
    <w:uiPriority w:val="99"/>
    <w:semiHidden/>
    <w:rsid w:val="005852C8"/>
    <w:rPr>
      <w:rFonts w:ascii="Times New Roman" w:eastAsia="Times New Roman" w:hAnsi="Times New Roman" w:cs="Times New Roman"/>
      <w:b/>
      <w:bCs/>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25180">
      <w:bodyDiv w:val="1"/>
      <w:marLeft w:val="0"/>
      <w:marRight w:val="0"/>
      <w:marTop w:val="0"/>
      <w:marBottom w:val="0"/>
      <w:divBdr>
        <w:top w:val="none" w:sz="0" w:space="0" w:color="auto"/>
        <w:left w:val="none" w:sz="0" w:space="0" w:color="auto"/>
        <w:bottom w:val="none" w:sz="0" w:space="0" w:color="auto"/>
        <w:right w:val="none" w:sz="0" w:space="0" w:color="auto"/>
      </w:divBdr>
    </w:div>
    <w:div w:id="740250328">
      <w:bodyDiv w:val="1"/>
      <w:marLeft w:val="0"/>
      <w:marRight w:val="0"/>
      <w:marTop w:val="0"/>
      <w:marBottom w:val="0"/>
      <w:divBdr>
        <w:top w:val="none" w:sz="0" w:space="0" w:color="auto"/>
        <w:left w:val="none" w:sz="0" w:space="0" w:color="auto"/>
        <w:bottom w:val="none" w:sz="0" w:space="0" w:color="auto"/>
        <w:right w:val="none" w:sz="0" w:space="0" w:color="auto"/>
      </w:divBdr>
    </w:div>
    <w:div w:id="999425184">
      <w:bodyDiv w:val="1"/>
      <w:marLeft w:val="0"/>
      <w:marRight w:val="0"/>
      <w:marTop w:val="0"/>
      <w:marBottom w:val="0"/>
      <w:divBdr>
        <w:top w:val="none" w:sz="0" w:space="0" w:color="auto"/>
        <w:left w:val="none" w:sz="0" w:space="0" w:color="auto"/>
        <w:bottom w:val="none" w:sz="0" w:space="0" w:color="auto"/>
        <w:right w:val="none" w:sz="0" w:space="0" w:color="auto"/>
      </w:divBdr>
    </w:div>
    <w:div w:id="141990619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manuales-guias-y-pliegos-tipo/manuales-y-guia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0EC48-4FAD-45C4-8456-BA0062A23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3413</Words>
  <Characters>18773</Characters>
  <Application>Microsoft Office Word</Application>
  <DocSecurity>0</DocSecurity>
  <Lines>156</Lines>
  <Paragraphs>44</Paragraphs>
  <ScaleCrop>false</ScaleCrop>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8</cp:revision>
  <cp:lastPrinted>2020-04-21T19:06:00Z</cp:lastPrinted>
  <dcterms:created xsi:type="dcterms:W3CDTF">2020-07-17T17:20:00Z</dcterms:created>
  <dcterms:modified xsi:type="dcterms:W3CDTF">2020-08-10T13:10:00Z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