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EA661C" w:rsidRDefault="00BE1E33" w:rsidP="00BE1E33">
      <w:pPr>
        <w:jc w:val="right"/>
        <w:rPr>
          <w:rFonts w:ascii="Arial" w:hAnsi="Arial" w:cs="Arial"/>
          <w:b/>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EA661C">
        <w:rPr>
          <w:rFonts w:ascii="Arial" w:hAnsi="Arial" w:cs="Arial"/>
          <w:b/>
          <w:color w:val="000000" w:themeColor="text1"/>
          <w:sz w:val="16"/>
          <w:szCs w:val="16"/>
          <w:lang w:eastAsia="es-ES"/>
        </w:rPr>
        <w:t>CCE-DES-FM-17</w:t>
      </w:r>
    </w:p>
    <w:p w14:paraId="25784C1D" w14:textId="77777777" w:rsidR="00BE1E33" w:rsidRPr="00EA661C" w:rsidRDefault="00BE1E33" w:rsidP="00BE1E33">
      <w:pPr>
        <w:jc w:val="both"/>
        <w:rPr>
          <w:rFonts w:ascii="Arial" w:eastAsia="Calibri" w:hAnsi="Arial" w:cs="Arial"/>
          <w:b/>
          <w:color w:val="000000" w:themeColor="text1"/>
          <w:sz w:val="16"/>
          <w:szCs w:val="16"/>
        </w:rPr>
      </w:pPr>
    </w:p>
    <w:p w14:paraId="33BD1F25" w14:textId="63119922" w:rsidR="00BE1E33" w:rsidRPr="006C15D5" w:rsidRDefault="00524924" w:rsidP="00BE1E33">
      <w:pPr>
        <w:jc w:val="both"/>
        <w:rPr>
          <w:rFonts w:ascii="Arial" w:eastAsia="Calibri" w:hAnsi="Arial" w:cs="Arial"/>
          <w:b/>
          <w:color w:val="000000" w:themeColor="text1"/>
          <w:sz w:val="22"/>
        </w:rPr>
      </w:pPr>
      <w:bookmarkStart w:id="2" w:name="_Hlk44492410"/>
      <w:r>
        <w:rPr>
          <w:rFonts w:ascii="Arial" w:eastAsia="Calibri" w:hAnsi="Arial" w:cs="Arial"/>
          <w:b/>
          <w:color w:val="000000" w:themeColor="text1"/>
          <w:sz w:val="22"/>
        </w:rPr>
        <w:t>EXPERIENCIA PROFESIONAL</w:t>
      </w:r>
      <w:r w:rsidR="00BA0158" w:rsidRPr="00BA0158">
        <w:rPr>
          <w:rFonts w:ascii="Arial" w:eastAsia="Calibri" w:hAnsi="Arial" w:cs="Arial"/>
          <w:b/>
          <w:color w:val="000000" w:themeColor="text1"/>
          <w:sz w:val="22"/>
        </w:rPr>
        <w:t xml:space="preserve"> </w:t>
      </w:r>
      <w:r>
        <w:rPr>
          <w:rFonts w:ascii="Arial" w:eastAsia="Calibri" w:hAnsi="Arial" w:cs="Arial"/>
          <w:b/>
          <w:color w:val="000000" w:themeColor="text1"/>
          <w:sz w:val="22"/>
        </w:rPr>
        <w:t>–</w:t>
      </w:r>
      <w:r w:rsidR="00BA0158" w:rsidRPr="00BA0158">
        <w:rPr>
          <w:rFonts w:ascii="Arial" w:eastAsia="Calibri" w:hAnsi="Arial" w:cs="Arial"/>
          <w:b/>
          <w:color w:val="000000" w:themeColor="text1"/>
          <w:sz w:val="22"/>
        </w:rPr>
        <w:t xml:space="preserve"> </w:t>
      </w:r>
      <w:r>
        <w:rPr>
          <w:rFonts w:ascii="Arial" w:eastAsia="Calibri" w:hAnsi="Arial" w:cs="Arial"/>
          <w:b/>
          <w:color w:val="000000" w:themeColor="text1"/>
          <w:sz w:val="22"/>
        </w:rPr>
        <w:t>Ingeniería</w:t>
      </w:r>
      <w:bookmarkEnd w:id="2"/>
      <w:r w:rsidR="00DE3F87">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 </w:t>
      </w:r>
      <w:r w:rsidRPr="00524924">
        <w:rPr>
          <w:rFonts w:ascii="Arial" w:eastAsia="Calibri" w:hAnsi="Arial" w:cs="Arial"/>
          <w:b/>
          <w:color w:val="000000" w:themeColor="text1"/>
          <w:sz w:val="22"/>
        </w:rPr>
        <w:t>Ley 842 de 2003</w:t>
      </w:r>
      <w:r>
        <w:rPr>
          <w:rFonts w:ascii="Arial" w:eastAsia="Calibri" w:hAnsi="Arial" w:cs="Arial"/>
          <w:b/>
          <w:color w:val="000000" w:themeColor="text1"/>
          <w:sz w:val="22"/>
        </w:rPr>
        <w:t xml:space="preserve"> – Derogatoria tácita – </w:t>
      </w:r>
      <w:r w:rsidR="00FA770D">
        <w:rPr>
          <w:rFonts w:ascii="Arial" w:eastAsia="Calibri" w:hAnsi="Arial" w:cs="Arial"/>
          <w:b/>
          <w:color w:val="000000" w:themeColor="text1"/>
          <w:sz w:val="22"/>
        </w:rPr>
        <w:t>Decreto Ley 019 de 2012 – Ley 1955 de 2019</w:t>
      </w:r>
      <w:r>
        <w:rPr>
          <w:rFonts w:ascii="Arial" w:eastAsia="Calibri" w:hAnsi="Arial" w:cs="Arial"/>
          <w:b/>
          <w:color w:val="000000" w:themeColor="text1"/>
          <w:sz w:val="22"/>
        </w:rPr>
        <w:t xml:space="preserve"> – Aplicación – Concepto </w:t>
      </w:r>
      <w:r w:rsidRPr="00524924">
        <w:rPr>
          <w:rFonts w:ascii="Arial" w:eastAsia="Calibri" w:hAnsi="Arial" w:cs="Arial"/>
          <w:b/>
          <w:color w:val="000000" w:themeColor="text1"/>
          <w:sz w:val="22"/>
        </w:rPr>
        <w:t>C-212 del 14 de abril de 2020</w:t>
      </w:r>
      <w:r>
        <w:rPr>
          <w:rFonts w:ascii="Arial" w:eastAsia="Calibri" w:hAnsi="Arial" w:cs="Arial"/>
          <w:b/>
          <w:color w:val="000000" w:themeColor="text1"/>
          <w:sz w:val="22"/>
        </w:rPr>
        <w:t xml:space="preserve"> – Reiteración </w:t>
      </w:r>
    </w:p>
    <w:p w14:paraId="79609206" w14:textId="77777777" w:rsidR="00BE1E33" w:rsidRPr="006C15D5" w:rsidRDefault="00BE1E33" w:rsidP="00BE1E33">
      <w:pPr>
        <w:jc w:val="both"/>
        <w:rPr>
          <w:rFonts w:ascii="Arial" w:eastAsia="Calibri" w:hAnsi="Arial" w:cs="Arial"/>
          <w:color w:val="000000" w:themeColor="text1"/>
          <w:sz w:val="20"/>
          <w:szCs w:val="20"/>
        </w:rPr>
      </w:pPr>
    </w:p>
    <w:p w14:paraId="04FCFBF5" w14:textId="3E6357D3" w:rsidR="00BE1E33" w:rsidRDefault="00524924" w:rsidP="00524924">
      <w:pPr>
        <w:jc w:val="both"/>
        <w:rPr>
          <w:rFonts w:ascii="Arial" w:eastAsia="Calibri" w:hAnsi="Arial" w:cs="Arial"/>
          <w:bCs/>
          <w:color w:val="000000" w:themeColor="text1"/>
          <w:sz w:val="20"/>
          <w:szCs w:val="20"/>
          <w:lang w:val="es-ES"/>
        </w:rPr>
      </w:pPr>
      <w:r w:rsidRPr="00524924">
        <w:rPr>
          <w:rFonts w:ascii="Arial" w:eastAsia="Calibri" w:hAnsi="Arial" w:cs="Arial"/>
          <w:bCs/>
          <w:color w:val="000000" w:themeColor="text1"/>
          <w:sz w:val="20"/>
          <w:szCs w:val="20"/>
          <w:lang w:val="es-ES_tradnl"/>
        </w:rPr>
        <w:t xml:space="preserve">Dado que se anexa copia del </w:t>
      </w:r>
      <w:r w:rsidRPr="00524924">
        <w:rPr>
          <w:rFonts w:ascii="Arial" w:eastAsia="Calibri" w:hAnsi="Arial" w:cs="Arial"/>
          <w:bCs/>
          <w:color w:val="000000" w:themeColor="text1"/>
          <w:sz w:val="20"/>
          <w:szCs w:val="20"/>
        </w:rPr>
        <w:t xml:space="preserve">Concepto C-212 del 14 de abril de 2020 para que la peticionaria valide el fundamento de las observaciones realizadas a los informes de verificación de requisitos habilitantes, la Subdirección reitera que </w:t>
      </w:r>
      <w:r w:rsidRPr="00524924">
        <w:rPr>
          <w:rFonts w:ascii="Arial" w:eastAsia="Calibri" w:hAnsi="Arial" w:cs="Arial"/>
          <w:bCs/>
          <w:color w:val="000000" w:themeColor="text1"/>
          <w:sz w:val="20"/>
          <w:szCs w:val="20"/>
          <w:lang w:val="es-ES_tradnl"/>
        </w:rPr>
        <w:t>para contabilizar la experiencia profesional de los ingenieros «La norma aplicable es el artículo 229 del Decreto 019 de 2012, el cual establece que la experiencia profesional comienza a contarse a partir de la terminación y aprobación del p</w:t>
      </w:r>
      <w:r w:rsidR="00CC5565">
        <w:rPr>
          <w:rFonts w:ascii="Arial" w:eastAsia="Calibri" w:hAnsi="Arial" w:cs="Arial"/>
          <w:bCs/>
          <w:color w:val="000000" w:themeColor="text1"/>
          <w:sz w:val="20"/>
          <w:szCs w:val="20"/>
          <w:lang w:val="es-ES_tradnl"/>
        </w:rPr>
        <w:t>é</w:t>
      </w:r>
      <w:r w:rsidRPr="00524924">
        <w:rPr>
          <w:rFonts w:ascii="Arial" w:eastAsia="Calibri" w:hAnsi="Arial" w:cs="Arial"/>
          <w:bCs/>
          <w:color w:val="000000" w:themeColor="text1"/>
          <w:sz w:val="20"/>
          <w:szCs w:val="20"/>
          <w:lang w:val="es-ES_tradnl"/>
        </w:rPr>
        <w:t>nsum académico. Lo anterior, sin perjuicio de lo dispuesto en el artículo 192 de la Ley 1955 de 2019, que dispone que “la práctica laboral que el estudiante realice para optar a su título de profesional, tecnológico o técnico cuenta como experiencia laboral”»</w:t>
      </w:r>
      <w:r w:rsidR="00BA0158" w:rsidRPr="00BA0158">
        <w:rPr>
          <w:rFonts w:ascii="Arial" w:eastAsia="Calibri" w:hAnsi="Arial" w:cs="Arial"/>
          <w:bCs/>
          <w:color w:val="000000" w:themeColor="text1"/>
          <w:sz w:val="20"/>
          <w:szCs w:val="20"/>
          <w:lang w:val="es-ES"/>
        </w:rPr>
        <w:t>.</w:t>
      </w:r>
    </w:p>
    <w:p w14:paraId="67790925" w14:textId="2960BF30" w:rsidR="00FA770D" w:rsidRDefault="00FA770D" w:rsidP="00524924">
      <w:pPr>
        <w:jc w:val="both"/>
        <w:rPr>
          <w:rFonts w:ascii="Arial" w:eastAsia="Calibri" w:hAnsi="Arial" w:cs="Arial"/>
          <w:bCs/>
          <w:color w:val="000000" w:themeColor="text1"/>
          <w:sz w:val="20"/>
          <w:szCs w:val="20"/>
          <w:lang w:val="es-ES"/>
        </w:rPr>
      </w:pPr>
    </w:p>
    <w:p w14:paraId="52E6CEE6" w14:textId="1882698C" w:rsidR="00FA770D" w:rsidRPr="006C15D5" w:rsidRDefault="002711ED" w:rsidP="00FA770D">
      <w:pPr>
        <w:jc w:val="both"/>
        <w:rPr>
          <w:rFonts w:ascii="Arial" w:eastAsia="Calibri" w:hAnsi="Arial" w:cs="Arial"/>
          <w:b/>
          <w:color w:val="000000" w:themeColor="text1"/>
          <w:sz w:val="22"/>
        </w:rPr>
      </w:pPr>
      <w:bookmarkStart w:id="3" w:name="_Hlk44493615"/>
      <w:r w:rsidRPr="002711ED">
        <w:rPr>
          <w:rFonts w:ascii="Arial" w:eastAsia="Calibri" w:hAnsi="Arial" w:cs="Arial"/>
          <w:b/>
          <w:color w:val="000000" w:themeColor="text1"/>
          <w:sz w:val="22"/>
        </w:rPr>
        <w:t xml:space="preserve">EXPERIENCIA PROFESIONAL – Ingeniería </w:t>
      </w:r>
      <w:r>
        <w:rPr>
          <w:rFonts w:ascii="Arial" w:eastAsia="Calibri" w:hAnsi="Arial" w:cs="Arial"/>
          <w:b/>
          <w:color w:val="000000" w:themeColor="text1"/>
          <w:sz w:val="22"/>
        </w:rPr>
        <w:t>–</w:t>
      </w:r>
      <w:bookmarkEnd w:id="3"/>
      <w:r>
        <w:rPr>
          <w:rFonts w:ascii="Arial" w:eastAsia="Calibri" w:hAnsi="Arial" w:cs="Arial"/>
          <w:b/>
          <w:color w:val="000000" w:themeColor="text1"/>
          <w:sz w:val="22"/>
        </w:rPr>
        <w:t xml:space="preserve"> Consejo de Estado </w:t>
      </w:r>
      <w:r w:rsidR="00FA770D">
        <w:rPr>
          <w:rFonts w:ascii="Arial" w:eastAsia="Calibri" w:hAnsi="Arial" w:cs="Arial"/>
          <w:b/>
          <w:color w:val="000000" w:themeColor="text1"/>
          <w:sz w:val="22"/>
        </w:rPr>
        <w:t xml:space="preserve">– Auto – Suspensión Provisional – </w:t>
      </w:r>
      <w:r>
        <w:rPr>
          <w:rFonts w:ascii="Arial" w:eastAsia="Calibri" w:hAnsi="Arial" w:cs="Arial"/>
          <w:b/>
          <w:color w:val="000000" w:themeColor="text1"/>
          <w:sz w:val="22"/>
        </w:rPr>
        <w:t>Efectos</w:t>
      </w:r>
      <w:r w:rsidR="00FA770D">
        <w:rPr>
          <w:rFonts w:ascii="Arial" w:eastAsia="Calibri" w:hAnsi="Arial" w:cs="Arial"/>
          <w:b/>
          <w:color w:val="000000" w:themeColor="text1"/>
          <w:sz w:val="22"/>
        </w:rPr>
        <w:t xml:space="preserve"> </w:t>
      </w:r>
    </w:p>
    <w:p w14:paraId="7B9C3793" w14:textId="77777777" w:rsidR="00FA770D" w:rsidRPr="006C15D5" w:rsidRDefault="00FA770D" w:rsidP="00FA770D">
      <w:pPr>
        <w:jc w:val="both"/>
        <w:rPr>
          <w:rFonts w:ascii="Arial" w:eastAsia="Calibri" w:hAnsi="Arial" w:cs="Arial"/>
          <w:color w:val="000000" w:themeColor="text1"/>
          <w:sz w:val="20"/>
          <w:szCs w:val="20"/>
        </w:rPr>
      </w:pPr>
    </w:p>
    <w:p w14:paraId="12BF5534" w14:textId="6786ABF3" w:rsidR="002711ED" w:rsidRDefault="002711ED" w:rsidP="00EA661C">
      <w:pPr>
        <w:spacing w:after="120"/>
        <w:jc w:val="both"/>
        <w:rPr>
          <w:rFonts w:ascii="Arial" w:eastAsia="Calibri" w:hAnsi="Arial" w:cs="Arial"/>
          <w:bCs/>
          <w:color w:val="000000" w:themeColor="text1"/>
          <w:sz w:val="20"/>
          <w:szCs w:val="20"/>
          <w:lang w:val="es-ES_tradnl"/>
        </w:rPr>
      </w:pPr>
      <w:r w:rsidRPr="002711ED">
        <w:rPr>
          <w:rFonts w:ascii="Arial" w:eastAsia="Calibri" w:hAnsi="Arial" w:cs="Arial"/>
          <w:bCs/>
          <w:color w:val="000000" w:themeColor="text1"/>
          <w:sz w:val="20"/>
          <w:szCs w:val="20"/>
          <w:lang w:val="es-ES_tradnl"/>
        </w:rPr>
        <w:t>En los fundamentos de la solicitud, la peticionaria explica que la Sección Primera del Consejo de Estado, a través del Auto del 2 de octubre de 2017, considera que el artículo 12 de la Ley 842 de 2003 no fue derogado tácitamente por el artículo 229 del Decreto Ley 019 de 2012, ya que una ley especial anterior no pierde sus efectos por una ley general posterior. Mediante esta decisión niega la suspensión provisional del Concepto NAL-CE 2013-05276, expedido por el Consejo Profesional Nacional de Ingeniería –COPNIA– el 17 de septiembre de 2013.</w:t>
      </w:r>
    </w:p>
    <w:p w14:paraId="347F7A0C" w14:textId="02982D82" w:rsidR="002711ED" w:rsidRPr="002711ED" w:rsidRDefault="002711ED" w:rsidP="00EA661C">
      <w:pPr>
        <w:spacing w:after="120"/>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_tradnl"/>
        </w:rPr>
        <w:t>[…]</w:t>
      </w:r>
    </w:p>
    <w:p w14:paraId="244B1948" w14:textId="44072FFA" w:rsidR="00BA0158" w:rsidRDefault="008B4387" w:rsidP="00EA661C">
      <w:pPr>
        <w:jc w:val="both"/>
        <w:rPr>
          <w:rFonts w:ascii="Arial" w:eastAsia="Calibri" w:hAnsi="Arial" w:cs="Arial"/>
          <w:bCs/>
          <w:color w:val="000000" w:themeColor="text1"/>
          <w:sz w:val="20"/>
          <w:szCs w:val="20"/>
        </w:rPr>
      </w:pPr>
      <w:r w:rsidRPr="008B4387">
        <w:rPr>
          <w:rFonts w:ascii="Arial" w:eastAsia="Calibri" w:hAnsi="Arial" w:cs="Arial"/>
          <w:bCs/>
          <w:color w:val="000000" w:themeColor="text1"/>
          <w:sz w:val="20"/>
          <w:szCs w:val="20"/>
        </w:rPr>
        <w:t xml:space="preserve">No se desconoce la claridad del argumento. Sin embargo, Colombia Compra Eficiente considera que el mismo no tiene la entidad suficiente para justificar cambios de postura, pues los autos que deciden sobre la aplicación de las medidas cautelares, además de ser provisionales y no constituir prejuzgamiento, solo generan consecuencias en un proceso judicial determinado, pues no se trata de una decisión con efectos </w:t>
      </w:r>
      <w:r w:rsidRPr="008B4387">
        <w:rPr>
          <w:rFonts w:ascii="Arial" w:eastAsia="Calibri" w:hAnsi="Arial" w:cs="Arial"/>
          <w:bCs/>
          <w:i/>
          <w:iCs/>
          <w:color w:val="000000" w:themeColor="text1"/>
          <w:sz w:val="20"/>
          <w:szCs w:val="20"/>
        </w:rPr>
        <w:t>erga omnes</w:t>
      </w:r>
      <w:r w:rsidRPr="008B4387">
        <w:rPr>
          <w:rFonts w:ascii="Arial" w:eastAsia="Calibri" w:hAnsi="Arial" w:cs="Arial"/>
          <w:bCs/>
          <w:color w:val="000000" w:themeColor="text1"/>
          <w:sz w:val="20"/>
          <w:szCs w:val="20"/>
        </w:rPr>
        <w:t xml:space="preserve">. Es </w:t>
      </w:r>
      <w:proofErr w:type="spellStart"/>
      <w:r w:rsidRPr="008B4387">
        <w:rPr>
          <w:rFonts w:ascii="Arial" w:eastAsia="Calibri" w:hAnsi="Arial" w:cs="Arial"/>
          <w:bCs/>
          <w:color w:val="000000" w:themeColor="text1"/>
          <w:sz w:val="20"/>
          <w:szCs w:val="20"/>
        </w:rPr>
        <w:t>mas</w:t>
      </w:r>
      <w:proofErr w:type="spellEnd"/>
      <w:r w:rsidRPr="008B4387">
        <w:rPr>
          <w:rFonts w:ascii="Arial" w:eastAsia="Calibri" w:hAnsi="Arial" w:cs="Arial"/>
          <w:bCs/>
          <w:color w:val="000000" w:themeColor="text1"/>
          <w:sz w:val="20"/>
          <w:szCs w:val="20"/>
        </w:rPr>
        <w:t xml:space="preserve">, si bien el concepto demandado no fue suspendido provisionalmente, la tesis del auto citado solo es definitiva con la sentencia que resuelva el fondo del litigio. No obstante, si la jurisdicción contenciosa administrativa declara la legalidad del concepto expedido por el COPNIA, tampoco sería posible solicitar cambios en los conceptos de esta Agencia, pues los efectos de la sentencia se limitarían a ese caso concreto sometido al litigio, el cual está delimitado no solo por el objeto de la pretensión anulatoria sino también con la </w:t>
      </w:r>
      <w:r w:rsidRPr="008B4387">
        <w:rPr>
          <w:rFonts w:ascii="Arial" w:eastAsia="Calibri" w:hAnsi="Arial" w:cs="Arial"/>
          <w:bCs/>
          <w:i/>
          <w:iCs/>
          <w:color w:val="000000" w:themeColor="text1"/>
          <w:sz w:val="20"/>
          <w:szCs w:val="20"/>
        </w:rPr>
        <w:t>causa petendi</w:t>
      </w:r>
      <w:r w:rsidRPr="008B4387">
        <w:rPr>
          <w:rFonts w:ascii="Arial" w:eastAsia="Calibri" w:hAnsi="Arial" w:cs="Arial"/>
          <w:bCs/>
          <w:color w:val="000000" w:themeColor="text1"/>
          <w:sz w:val="20"/>
          <w:szCs w:val="20"/>
        </w:rPr>
        <w:t xml:space="preserve"> de la demanda. Por lo tanto, con el cumplimiento de la carga correspondiente al deber de motivación, las autoridades podrían separarse de la argumentación de esa eventual providencia judicial, ya que los efectos de la parte dispositiva no se extenderían a los conceptos de las demás entidades del Estado, lo cual es compatible con el respeto a la cosa juzgada</w:t>
      </w:r>
      <w:r w:rsidR="002711ED" w:rsidRPr="002711ED">
        <w:rPr>
          <w:rFonts w:ascii="Arial" w:eastAsia="Calibri" w:hAnsi="Arial" w:cs="Arial"/>
          <w:bCs/>
          <w:color w:val="000000" w:themeColor="text1"/>
          <w:sz w:val="20"/>
          <w:szCs w:val="20"/>
        </w:rPr>
        <w:t>.</w:t>
      </w:r>
    </w:p>
    <w:p w14:paraId="7224F2FC" w14:textId="77777777" w:rsidR="002711ED" w:rsidRPr="002711ED" w:rsidRDefault="002711ED" w:rsidP="00EA661C">
      <w:pPr>
        <w:jc w:val="both"/>
        <w:rPr>
          <w:rFonts w:ascii="Arial" w:eastAsia="Calibri" w:hAnsi="Arial" w:cs="Arial"/>
          <w:bCs/>
          <w:color w:val="000000" w:themeColor="text1"/>
          <w:sz w:val="20"/>
          <w:szCs w:val="20"/>
        </w:rPr>
      </w:pPr>
    </w:p>
    <w:p w14:paraId="469F36C7" w14:textId="41552C73" w:rsidR="00BE1E33" w:rsidRDefault="00FA770D" w:rsidP="00EA661C">
      <w:pPr>
        <w:jc w:val="both"/>
        <w:rPr>
          <w:rFonts w:ascii="Arial" w:eastAsia="Calibri" w:hAnsi="Arial" w:cs="Arial"/>
          <w:b/>
          <w:color w:val="000000" w:themeColor="text1"/>
          <w:sz w:val="22"/>
        </w:rPr>
      </w:pPr>
      <w:r>
        <w:rPr>
          <w:rFonts w:ascii="Arial" w:eastAsia="Calibri" w:hAnsi="Arial" w:cs="Arial"/>
          <w:b/>
          <w:color w:val="000000" w:themeColor="text1"/>
          <w:sz w:val="22"/>
        </w:rPr>
        <w:t>COLOMBIA COMPRA EFICIENTE</w:t>
      </w:r>
      <w:r w:rsidR="00BA0158" w:rsidRPr="00BA0158">
        <w:rPr>
          <w:rFonts w:ascii="Arial" w:eastAsia="Calibri" w:hAnsi="Arial" w:cs="Arial"/>
          <w:b/>
          <w:color w:val="000000" w:themeColor="text1"/>
          <w:sz w:val="22"/>
        </w:rPr>
        <w:t xml:space="preserve"> – </w:t>
      </w:r>
      <w:r>
        <w:rPr>
          <w:rFonts w:ascii="Arial" w:eastAsia="Calibri" w:hAnsi="Arial" w:cs="Arial"/>
          <w:b/>
          <w:color w:val="000000" w:themeColor="text1"/>
          <w:sz w:val="22"/>
        </w:rPr>
        <w:t>Conceptos</w:t>
      </w:r>
      <w:r w:rsidR="00BA0158" w:rsidRPr="00BA0158">
        <w:rPr>
          <w:rFonts w:ascii="Arial" w:eastAsia="Calibri" w:hAnsi="Arial" w:cs="Arial"/>
          <w:b/>
          <w:color w:val="000000" w:themeColor="text1"/>
          <w:sz w:val="22"/>
        </w:rPr>
        <w:t xml:space="preserve"> – </w:t>
      </w:r>
      <w:r w:rsidR="0012181C">
        <w:rPr>
          <w:rFonts w:ascii="Arial" w:eastAsia="Calibri" w:hAnsi="Arial" w:cs="Arial"/>
          <w:b/>
          <w:color w:val="000000" w:themeColor="text1"/>
          <w:sz w:val="22"/>
        </w:rPr>
        <w:t>Criterio orientador</w:t>
      </w:r>
      <w:r>
        <w:rPr>
          <w:rFonts w:ascii="Arial" w:eastAsia="Calibri" w:hAnsi="Arial" w:cs="Arial"/>
          <w:b/>
          <w:color w:val="000000" w:themeColor="text1"/>
          <w:sz w:val="22"/>
        </w:rPr>
        <w:t xml:space="preserve"> </w:t>
      </w:r>
      <w:r w:rsidR="00BA0158" w:rsidRPr="00BA0158">
        <w:rPr>
          <w:rFonts w:ascii="Arial" w:eastAsia="Calibri" w:hAnsi="Arial" w:cs="Arial"/>
          <w:b/>
          <w:color w:val="000000" w:themeColor="text1"/>
          <w:sz w:val="22"/>
        </w:rPr>
        <w:t xml:space="preserve"> </w:t>
      </w:r>
    </w:p>
    <w:p w14:paraId="1845FC71" w14:textId="77777777" w:rsidR="00BA0158" w:rsidRPr="006C15D5" w:rsidRDefault="00BA0158" w:rsidP="00BE1E33">
      <w:pPr>
        <w:jc w:val="both"/>
        <w:rPr>
          <w:rFonts w:ascii="Arial" w:eastAsia="Calibri" w:hAnsi="Arial" w:cs="Arial"/>
          <w:b/>
          <w:color w:val="000000" w:themeColor="text1"/>
          <w:sz w:val="20"/>
          <w:szCs w:val="20"/>
        </w:rPr>
      </w:pPr>
    </w:p>
    <w:p w14:paraId="2624EC42" w14:textId="77777777" w:rsidR="0012181C" w:rsidRDefault="0012181C" w:rsidP="00EA661C">
      <w:pPr>
        <w:spacing w:after="120"/>
        <w:jc w:val="both"/>
        <w:rPr>
          <w:rFonts w:ascii="Arial" w:eastAsia="Calibri" w:hAnsi="Arial" w:cs="Arial"/>
          <w:color w:val="000000" w:themeColor="text1"/>
          <w:sz w:val="20"/>
          <w:szCs w:val="20"/>
        </w:rPr>
      </w:pPr>
      <w:r w:rsidRPr="0012181C">
        <w:rPr>
          <w:rFonts w:ascii="Arial" w:eastAsia="Calibri" w:hAnsi="Arial" w:cs="Arial"/>
          <w:color w:val="000000" w:themeColor="text1"/>
          <w:sz w:val="20"/>
          <w:szCs w:val="20"/>
        </w:rPr>
        <w:t>Lo importante es que, en ejercicio de las competencias consagradas en los artículos 3.5, 11.8, 12.6, y 13.4 del Decreto 4170 de 2011, la Agencia Nacional de Contratación Pública – Colombia Compra Eficiente resuelve las consultas sobre los asuntos de su competencia, esto es, sobre temas de contratación estatal. Esta competencia consultiva se relaciona con el artículo 28 de la Ley 1437 de 2011</w:t>
      </w:r>
      <w:r>
        <w:rPr>
          <w:rFonts w:ascii="Arial" w:eastAsia="Calibri" w:hAnsi="Arial" w:cs="Arial"/>
          <w:color w:val="000000" w:themeColor="text1"/>
          <w:sz w:val="20"/>
          <w:szCs w:val="20"/>
        </w:rPr>
        <w:t xml:space="preserve"> […] </w:t>
      </w:r>
      <w:r w:rsidRPr="0012181C">
        <w:rPr>
          <w:rFonts w:ascii="Arial" w:eastAsia="Calibri" w:hAnsi="Arial" w:cs="Arial"/>
          <w:color w:val="000000" w:themeColor="text1"/>
          <w:sz w:val="20"/>
          <w:szCs w:val="20"/>
        </w:rPr>
        <w:t xml:space="preserve">La norma dispone que los conceptos emitidos por las autoridades al responder peticiones realizadas en ejercicio del derecho a formular consultas no son de obligatorio cumplimiento o ejecución, en otras palabras, no tienen efectos vinculantes. Las respuestas expedidas como </w:t>
      </w:r>
      <w:r w:rsidRPr="0012181C">
        <w:rPr>
          <w:rFonts w:ascii="Arial" w:eastAsia="Calibri" w:hAnsi="Arial" w:cs="Arial"/>
          <w:color w:val="000000" w:themeColor="text1"/>
          <w:sz w:val="20"/>
          <w:szCs w:val="20"/>
        </w:rPr>
        <w:lastRenderedPageBreak/>
        <w:t>concepto consisten en la posición hermenéutica que las entidades tienen respecto a las normas del ordenamiento jurídico.</w:t>
      </w:r>
    </w:p>
    <w:p w14:paraId="42ACFFC5" w14:textId="66B3897E" w:rsidR="00051D31" w:rsidRPr="00051D31" w:rsidRDefault="0012181C" w:rsidP="00EA661C">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r w:rsidR="00051D31" w:rsidRPr="00051D31">
        <w:rPr>
          <w:rFonts w:ascii="Arial" w:eastAsia="Calibri" w:hAnsi="Arial" w:cs="Arial"/>
          <w:color w:val="000000" w:themeColor="text1"/>
          <w:sz w:val="20"/>
          <w:szCs w:val="20"/>
        </w:rPr>
        <w:t xml:space="preserve"> </w:t>
      </w:r>
    </w:p>
    <w:p w14:paraId="216D9623" w14:textId="42E4048D" w:rsidR="00697A99" w:rsidRDefault="00787726" w:rsidP="00EA661C">
      <w:pPr>
        <w:jc w:val="both"/>
        <w:rPr>
          <w:rFonts w:ascii="Arial" w:eastAsia="Calibri" w:hAnsi="Arial" w:cs="Arial"/>
          <w:bCs/>
          <w:color w:val="000000" w:themeColor="text1"/>
          <w:sz w:val="20"/>
          <w:szCs w:val="20"/>
          <w:lang w:val="es-ES"/>
        </w:rPr>
      </w:pPr>
      <w:r w:rsidRPr="00787726">
        <w:rPr>
          <w:rFonts w:ascii="Arial" w:eastAsia="Calibri" w:hAnsi="Arial" w:cs="Arial"/>
          <w:color w:val="000000" w:themeColor="text1"/>
          <w:sz w:val="20"/>
          <w:szCs w:val="20"/>
        </w:rPr>
        <w:t>En este contexto, pese a la tesis del auto de suspensión provisional del Consejo de Estado, la Agencia Nacional de Contratación Pública – Colombia Compra Eficiente mantiene la tesis del Concepto C-212 del 14 de abril de 2020, pues no tienen efectos vinculantes respecto a una situación jurídica particular y concreta, y expone un criterio que, aunque jurídicamente fundamentado, no representan la única interpretación válida del ordenamiento jurídico</w:t>
      </w:r>
      <w:r w:rsidR="00FD386C" w:rsidRPr="00FD386C">
        <w:rPr>
          <w:rFonts w:ascii="Arial" w:eastAsia="Calibri" w:hAnsi="Arial" w:cs="Arial"/>
          <w:color w:val="000000" w:themeColor="text1"/>
          <w:sz w:val="20"/>
          <w:szCs w:val="20"/>
        </w:rPr>
        <w:t>.</w:t>
      </w:r>
      <w:r w:rsidR="0041784E" w:rsidRPr="0041784E">
        <w:rPr>
          <w:rFonts w:ascii="Arial" w:eastAsia="Calibri" w:hAnsi="Arial" w:cs="Arial"/>
          <w:bCs/>
          <w:color w:val="000000" w:themeColor="text1"/>
          <w:sz w:val="20"/>
          <w:szCs w:val="20"/>
          <w:lang w:val="es-ES"/>
        </w:rPr>
        <w:t xml:space="preserve"> </w:t>
      </w:r>
    </w:p>
    <w:p w14:paraId="4CF39336" w14:textId="37636319" w:rsidR="004F31BC" w:rsidRDefault="004F31BC" w:rsidP="00EA661C">
      <w:pPr>
        <w:jc w:val="both"/>
        <w:rPr>
          <w:rFonts w:ascii="Arial" w:eastAsia="Calibri" w:hAnsi="Arial" w:cs="Arial"/>
          <w:bCs/>
          <w:color w:val="000000" w:themeColor="text1"/>
          <w:sz w:val="20"/>
          <w:szCs w:val="20"/>
          <w:lang w:val="es-ES"/>
        </w:rPr>
      </w:pPr>
    </w:p>
    <w:p w14:paraId="1E7D1E37" w14:textId="46806081" w:rsidR="004F31BC" w:rsidRDefault="004F31BC" w:rsidP="00EA661C">
      <w:pPr>
        <w:jc w:val="both"/>
        <w:rPr>
          <w:rFonts w:ascii="Arial" w:eastAsia="Calibri" w:hAnsi="Arial" w:cs="Arial"/>
          <w:b/>
          <w:color w:val="000000" w:themeColor="text1"/>
          <w:sz w:val="22"/>
        </w:rPr>
      </w:pPr>
      <w:r w:rsidRPr="004F31BC">
        <w:rPr>
          <w:rFonts w:ascii="Arial" w:eastAsia="Calibri" w:hAnsi="Arial" w:cs="Arial"/>
          <w:b/>
          <w:color w:val="000000" w:themeColor="text1"/>
          <w:sz w:val="22"/>
        </w:rPr>
        <w:t>EXPERIENCIA PROFESIONAL – Ingeniería –</w:t>
      </w:r>
      <w:r>
        <w:rPr>
          <w:rFonts w:ascii="Arial" w:eastAsia="Calibri" w:hAnsi="Arial" w:cs="Arial"/>
          <w:b/>
          <w:color w:val="000000" w:themeColor="text1"/>
          <w:sz w:val="22"/>
        </w:rPr>
        <w:t xml:space="preserve"> Colombia Compra Eficiente</w:t>
      </w:r>
      <w:r w:rsidRPr="00BA0158">
        <w:rPr>
          <w:rFonts w:ascii="Arial" w:eastAsia="Calibri" w:hAnsi="Arial" w:cs="Arial"/>
          <w:b/>
          <w:color w:val="000000" w:themeColor="text1"/>
          <w:sz w:val="22"/>
        </w:rPr>
        <w:t xml:space="preserve"> – </w:t>
      </w:r>
      <w:r>
        <w:rPr>
          <w:rFonts w:ascii="Arial" w:eastAsia="Calibri" w:hAnsi="Arial" w:cs="Arial"/>
          <w:b/>
          <w:color w:val="000000" w:themeColor="text1"/>
          <w:sz w:val="22"/>
        </w:rPr>
        <w:t xml:space="preserve">Circular Externa Única  </w:t>
      </w:r>
      <w:r w:rsidRPr="00BA0158">
        <w:rPr>
          <w:rFonts w:ascii="Arial" w:eastAsia="Calibri" w:hAnsi="Arial" w:cs="Arial"/>
          <w:b/>
          <w:color w:val="000000" w:themeColor="text1"/>
          <w:sz w:val="22"/>
        </w:rPr>
        <w:t xml:space="preserve"> </w:t>
      </w:r>
    </w:p>
    <w:p w14:paraId="40FCDAC1" w14:textId="77777777" w:rsidR="004F31BC" w:rsidRPr="006C15D5" w:rsidRDefault="004F31BC" w:rsidP="004F31BC">
      <w:pPr>
        <w:jc w:val="both"/>
        <w:rPr>
          <w:rFonts w:ascii="Arial" w:eastAsia="Calibri" w:hAnsi="Arial" w:cs="Arial"/>
          <w:b/>
          <w:color w:val="000000" w:themeColor="text1"/>
          <w:sz w:val="20"/>
          <w:szCs w:val="20"/>
        </w:rPr>
      </w:pPr>
    </w:p>
    <w:p w14:paraId="3F60EF7C" w14:textId="107ABA7A" w:rsidR="004F31BC" w:rsidRDefault="004F31BC" w:rsidP="004F31BC">
      <w:pPr>
        <w:jc w:val="both"/>
        <w:rPr>
          <w:rFonts w:ascii="Arial" w:eastAsia="Calibri" w:hAnsi="Arial" w:cs="Arial"/>
          <w:color w:val="000000" w:themeColor="text1"/>
          <w:sz w:val="20"/>
          <w:szCs w:val="20"/>
        </w:rPr>
      </w:pPr>
      <w:r w:rsidRPr="004F31BC">
        <w:rPr>
          <w:rFonts w:ascii="Arial" w:eastAsia="Calibri" w:hAnsi="Arial" w:cs="Arial"/>
          <w:color w:val="000000" w:themeColor="text1"/>
          <w:sz w:val="20"/>
          <w:szCs w:val="20"/>
        </w:rPr>
        <w:t>El numeral</w:t>
      </w:r>
      <w:r w:rsidR="00FA0CF5">
        <w:rPr>
          <w:rFonts w:ascii="Arial" w:eastAsia="Calibri" w:hAnsi="Arial" w:cs="Arial"/>
          <w:color w:val="000000" w:themeColor="text1"/>
          <w:sz w:val="20"/>
          <w:szCs w:val="20"/>
        </w:rPr>
        <w:t xml:space="preserve"> [</w:t>
      </w:r>
      <w:r w:rsidR="00FA0CF5" w:rsidRPr="00FA0CF5">
        <w:rPr>
          <w:rFonts w:ascii="Arial" w:eastAsia="Calibri" w:hAnsi="Arial" w:cs="Arial"/>
          <w:color w:val="000000" w:themeColor="text1"/>
          <w:sz w:val="20"/>
          <w:szCs w:val="20"/>
        </w:rPr>
        <w:t xml:space="preserve">9.2 </w:t>
      </w:r>
      <w:r w:rsidR="00FA0CF5">
        <w:rPr>
          <w:rFonts w:ascii="Arial" w:eastAsia="Calibri" w:hAnsi="Arial" w:cs="Arial"/>
          <w:color w:val="000000" w:themeColor="text1"/>
          <w:sz w:val="20"/>
          <w:szCs w:val="20"/>
        </w:rPr>
        <w:t>de la Circular Externa Única]</w:t>
      </w:r>
      <w:r w:rsidRPr="004F31BC">
        <w:rPr>
          <w:rFonts w:ascii="Arial" w:eastAsia="Calibri" w:hAnsi="Arial" w:cs="Arial"/>
          <w:color w:val="000000" w:themeColor="text1"/>
          <w:sz w:val="20"/>
          <w:szCs w:val="20"/>
        </w:rPr>
        <w:t xml:space="preserve"> dispone una (1) regla general y dos (2) excepciones: </w:t>
      </w:r>
      <w:r w:rsidR="00515719" w:rsidRPr="00515719">
        <w:rPr>
          <w:rFonts w:ascii="Arial" w:eastAsia="Calibri" w:hAnsi="Arial" w:cs="Arial"/>
          <w:color w:val="000000" w:themeColor="text1"/>
          <w:sz w:val="20"/>
          <w:szCs w:val="20"/>
        </w:rPr>
        <w:t>por un lado, las profesiones relacionadas con el sistema de seguridad social en salud y, por el otro, las profesiones sujetas a regulación especial en razón a la alta responsabilidad y riesgo social que implica su ejercicio para la sociedad. En lo relacionado con la segunda excepción la Circular prescribe que «[…] la Entidad Estatal debe remitirse a lo establecido en la regulación específica acerca del cómputo de la experiencia». Naturalmente, esto supone que la norma especial está vigente, ya que si no lo está es necesario aplicar la regla general para determinar la experiencia profesional cuando aquella pierde vigencia. En consecuencia, no es posible aplicar el inciso dos del numeral 9.2 de la Circular con la derogatoria tácita del artículo 12 de la Ley 842 de 2003, razón por la que es necesario contabilizar la experiencia profesional conforme al artículo 229 del Decreto Ley 019 de 2012</w:t>
      </w:r>
      <w:r>
        <w:rPr>
          <w:rFonts w:ascii="Arial" w:eastAsia="Calibri" w:hAnsi="Arial" w:cs="Arial"/>
          <w:color w:val="000000" w:themeColor="text1"/>
          <w:sz w:val="20"/>
          <w:szCs w:val="20"/>
        </w:rPr>
        <w:t>.</w:t>
      </w:r>
    </w:p>
    <w:p w14:paraId="37038558" w14:textId="7455F221" w:rsidR="00825FD3" w:rsidRPr="00EA661C" w:rsidRDefault="00825FD3" w:rsidP="005C5B7C">
      <w:pPr>
        <w:jc w:val="both"/>
        <w:rPr>
          <w:rFonts w:ascii="Arial" w:eastAsia="Calibri" w:hAnsi="Arial" w:cs="Arial"/>
          <w:color w:val="000000" w:themeColor="text1"/>
          <w:sz w:val="20"/>
          <w:szCs w:val="20"/>
        </w:rPr>
      </w:pPr>
    </w:p>
    <w:p w14:paraId="2036CB1C" w14:textId="77777777" w:rsidR="005C5B7C" w:rsidRPr="00EA661C" w:rsidRDefault="005C5B7C" w:rsidP="005C5B7C">
      <w:pPr>
        <w:jc w:val="both"/>
        <w:rPr>
          <w:rFonts w:ascii="Arial" w:eastAsia="Calibri" w:hAnsi="Arial" w:cs="Arial"/>
          <w:color w:val="000000" w:themeColor="text1"/>
          <w:sz w:val="20"/>
          <w:szCs w:val="20"/>
        </w:rPr>
      </w:pPr>
    </w:p>
    <w:p w14:paraId="6C2D1181" w14:textId="201E6968" w:rsidR="00387D0F" w:rsidRDefault="00387D0F" w:rsidP="00387D0F">
      <w:pPr>
        <w:rPr>
          <w:rFonts w:ascii="Arial" w:hAnsi="Arial" w:cs="Arial"/>
          <w:b/>
          <w:sz w:val="22"/>
          <w:szCs w:val="20"/>
        </w:rPr>
      </w:pPr>
      <w:r w:rsidRPr="00387D0F">
        <w:rPr>
          <w:rFonts w:ascii="Arial" w:hAnsi="Arial" w:cs="Arial"/>
          <w:sz w:val="22"/>
          <w:szCs w:val="20"/>
        </w:rPr>
        <w:t xml:space="preserve">Bogotá D.C., </w:t>
      </w:r>
      <w:r w:rsidR="007F1276" w:rsidRPr="007F1276">
        <w:rPr>
          <w:rFonts w:ascii="Arial" w:hAnsi="Arial" w:cs="Arial"/>
          <w:b/>
          <w:sz w:val="22"/>
          <w:szCs w:val="20"/>
        </w:rPr>
        <w:t>14/07/2020 Hora 19:10:54s</w:t>
      </w:r>
    </w:p>
    <w:p w14:paraId="355C471E" w14:textId="77777777" w:rsidR="00387D0F" w:rsidRPr="00387D0F" w:rsidRDefault="00387D0F" w:rsidP="00387D0F">
      <w:pPr>
        <w:rPr>
          <w:rFonts w:ascii="Arial" w:hAnsi="Arial" w:cs="Arial"/>
          <w:b/>
          <w:sz w:val="22"/>
          <w:szCs w:val="20"/>
        </w:rPr>
      </w:pPr>
    </w:p>
    <w:p w14:paraId="18057FBF" w14:textId="044DE0D9" w:rsidR="00387D0F" w:rsidRPr="00387D0F" w:rsidRDefault="00387D0F" w:rsidP="00387D0F">
      <w:pPr>
        <w:jc w:val="right"/>
        <w:rPr>
          <w:rFonts w:ascii="Arial" w:hAnsi="Arial" w:cs="Arial"/>
          <w:b/>
          <w:sz w:val="22"/>
          <w:szCs w:val="20"/>
        </w:rPr>
      </w:pPr>
      <w:proofErr w:type="spellStart"/>
      <w:r w:rsidRPr="00387D0F">
        <w:rPr>
          <w:rFonts w:ascii="Arial" w:hAnsi="Arial" w:cs="Arial"/>
          <w:b/>
          <w:sz w:val="22"/>
          <w:szCs w:val="20"/>
        </w:rPr>
        <w:t>N°</w:t>
      </w:r>
      <w:proofErr w:type="spellEnd"/>
      <w:r w:rsidRPr="00387D0F">
        <w:rPr>
          <w:rFonts w:ascii="Arial" w:hAnsi="Arial" w:cs="Arial"/>
          <w:b/>
          <w:sz w:val="22"/>
          <w:szCs w:val="20"/>
        </w:rPr>
        <w:t xml:space="preserve"> Radicado: </w:t>
      </w:r>
      <w:r w:rsidR="007F1276" w:rsidRPr="007F1276">
        <w:rPr>
          <w:rFonts w:ascii="Arial" w:hAnsi="Arial" w:cs="Arial"/>
          <w:b/>
          <w:sz w:val="22"/>
          <w:szCs w:val="20"/>
        </w:rPr>
        <w:t>2202013000006273</w:t>
      </w:r>
    </w:p>
    <w:p w14:paraId="4ED669B5" w14:textId="77777777" w:rsidR="00BE1E33" w:rsidRPr="006C15D5" w:rsidRDefault="00BE1E33" w:rsidP="00BE1E33">
      <w:pPr>
        <w:rPr>
          <w:rFonts w:ascii="Arial" w:eastAsia="Calibri" w:hAnsi="Arial" w:cs="Arial"/>
          <w:color w:val="000000" w:themeColor="text1"/>
          <w:sz w:val="22"/>
        </w:rPr>
      </w:pPr>
    </w:p>
    <w:p w14:paraId="12A234ED" w14:textId="77777777" w:rsidR="00BE1E33" w:rsidRPr="006C15D5" w:rsidRDefault="00BE1E33" w:rsidP="00BE1E33">
      <w:pPr>
        <w:rPr>
          <w:rFonts w:ascii="Arial" w:eastAsia="Calibri" w:hAnsi="Arial" w:cs="Arial"/>
          <w:color w:val="000000" w:themeColor="text1"/>
          <w:sz w:val="22"/>
        </w:rPr>
      </w:pPr>
    </w:p>
    <w:p w14:paraId="73D51859" w14:textId="0A65CC6D"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Señor</w:t>
      </w:r>
      <w:r w:rsidR="00D60CF3">
        <w:rPr>
          <w:rFonts w:ascii="Arial" w:eastAsia="Calibri" w:hAnsi="Arial" w:cs="Arial"/>
          <w:color w:val="000000" w:themeColor="text1"/>
          <w:sz w:val="22"/>
        </w:rPr>
        <w:t>a</w:t>
      </w:r>
    </w:p>
    <w:p w14:paraId="0ADC5F9B" w14:textId="04B46C60" w:rsidR="00766030" w:rsidRDefault="00D60CF3" w:rsidP="00BE1E33">
      <w:pPr>
        <w:rPr>
          <w:rFonts w:ascii="Arial" w:eastAsia="Calibri" w:hAnsi="Arial" w:cs="Arial"/>
          <w:b/>
          <w:color w:val="000000" w:themeColor="text1"/>
          <w:sz w:val="22"/>
        </w:rPr>
      </w:pPr>
      <w:r w:rsidRPr="00D60CF3">
        <w:rPr>
          <w:rFonts w:ascii="Arial" w:eastAsia="Calibri" w:hAnsi="Arial" w:cs="Arial"/>
          <w:b/>
          <w:color w:val="000000" w:themeColor="text1"/>
          <w:sz w:val="22"/>
        </w:rPr>
        <w:t xml:space="preserve">Magali del Socorro </w:t>
      </w:r>
      <w:bookmarkStart w:id="4" w:name="_Hlk44421694"/>
      <w:r w:rsidRPr="00D60CF3">
        <w:rPr>
          <w:rFonts w:ascii="Arial" w:eastAsia="Calibri" w:hAnsi="Arial" w:cs="Arial"/>
          <w:b/>
          <w:color w:val="000000" w:themeColor="text1"/>
          <w:sz w:val="22"/>
        </w:rPr>
        <w:t>Rosero Ortiz</w:t>
      </w:r>
      <w:bookmarkEnd w:id="4"/>
    </w:p>
    <w:p w14:paraId="095BF112" w14:textId="6C206CFD" w:rsidR="00BE1E33" w:rsidRPr="006C15D5" w:rsidRDefault="00D60CF3" w:rsidP="00BE1E33">
      <w:pPr>
        <w:rPr>
          <w:rFonts w:ascii="Arial" w:eastAsia="Calibri" w:hAnsi="Arial" w:cs="Arial"/>
          <w:color w:val="000000" w:themeColor="text1"/>
          <w:sz w:val="22"/>
        </w:rPr>
      </w:pPr>
      <w:r w:rsidRPr="00387D0F">
        <w:rPr>
          <w:rFonts w:ascii="Arial" w:hAnsi="Arial" w:cs="Arial"/>
          <w:sz w:val="22"/>
          <w:szCs w:val="20"/>
        </w:rPr>
        <w:t>Bogotá D.C.</w:t>
      </w:r>
      <w:r w:rsidR="000100E8">
        <w:rPr>
          <w:rFonts w:ascii="Arial" w:eastAsia="Calibri" w:hAnsi="Arial" w:cs="Arial"/>
          <w:color w:val="000000" w:themeColor="text1"/>
          <w:sz w:val="22"/>
        </w:rPr>
        <w:t xml:space="preserve">, </w:t>
      </w:r>
      <w:r>
        <w:rPr>
          <w:rFonts w:ascii="Arial" w:eastAsia="Calibri" w:hAnsi="Arial" w:cs="Arial"/>
          <w:color w:val="000000" w:themeColor="text1"/>
          <w:sz w:val="22"/>
        </w:rPr>
        <w:t>Cundinamarca</w:t>
      </w:r>
      <w:r w:rsidR="000100E8">
        <w:rPr>
          <w:rFonts w:ascii="Arial" w:eastAsia="Calibri" w:hAnsi="Arial" w:cs="Arial"/>
          <w:color w:val="000000" w:themeColor="text1"/>
          <w:sz w:val="22"/>
        </w:rPr>
        <w:t xml:space="preserve"> </w:t>
      </w:r>
    </w:p>
    <w:p w14:paraId="04EF8353" w14:textId="77777777" w:rsidR="00BE1E33" w:rsidRPr="006C15D5" w:rsidRDefault="00BE1E33" w:rsidP="00BE1E33">
      <w:pPr>
        <w:rPr>
          <w:rFonts w:ascii="Arial" w:eastAsia="Calibri" w:hAnsi="Arial" w:cs="Arial"/>
          <w:color w:val="000000" w:themeColor="text1"/>
          <w:sz w:val="22"/>
        </w:rPr>
      </w:pPr>
    </w:p>
    <w:p w14:paraId="738DBA53" w14:textId="77777777" w:rsidR="00BE1E33" w:rsidRPr="006C15D5" w:rsidRDefault="00BE1E33" w:rsidP="00BE1E33">
      <w:pPr>
        <w:rPr>
          <w:rFonts w:ascii="Arial" w:eastAsia="Calibri" w:hAnsi="Arial" w:cs="Arial"/>
          <w:color w:val="000000" w:themeColor="text1"/>
          <w:sz w:val="22"/>
        </w:rPr>
      </w:pPr>
    </w:p>
    <w:p w14:paraId="5CEA4ADF" w14:textId="33249EDD"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6B7804" w:rsidRPr="00813DDA">
        <w:rPr>
          <w:rFonts w:ascii="Arial" w:eastAsia="Calibri" w:hAnsi="Arial" w:cs="Arial"/>
          <w:b/>
          <w:color w:val="000000" w:themeColor="text1"/>
          <w:sz w:val="22"/>
        </w:rPr>
        <w:t>451</w:t>
      </w:r>
      <w:r w:rsidR="006B7804">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de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0538CBA3" w:rsidR="00BE1E33" w:rsidRPr="006C15D5" w:rsidRDefault="00FA0CF5">
            <w:pPr>
              <w:jc w:val="both"/>
              <w:rPr>
                <w:rFonts w:ascii="Arial" w:eastAsia="Calibri" w:hAnsi="Arial" w:cs="Arial"/>
                <w:color w:val="000000" w:themeColor="text1"/>
                <w:sz w:val="22"/>
              </w:rPr>
            </w:pPr>
            <w:r w:rsidRPr="00FA0CF5">
              <w:rPr>
                <w:rFonts w:ascii="Arial" w:eastAsia="Calibri" w:hAnsi="Arial" w:cs="Arial"/>
                <w:color w:val="000000" w:themeColor="text1"/>
                <w:sz w:val="22"/>
              </w:rPr>
              <w:t>EXPERIENCIA PROFESIONAL – Ingeniería – Ley 842 de 2003 – Derogatoria tácita – Decreto Ley 019 de 2012 – Ley 1955 de 2019 – Aplicación – Concepto C-212 del 14 de abril de 2020 – Reiteración</w:t>
            </w:r>
            <w:r w:rsidR="00F52BC9" w:rsidRPr="00F52BC9">
              <w:rPr>
                <w:rFonts w:ascii="Arial" w:eastAsia="Calibri" w:hAnsi="Arial" w:cs="Arial"/>
                <w:color w:val="000000" w:themeColor="text1"/>
                <w:sz w:val="22"/>
              </w:rPr>
              <w:t xml:space="preserve"> </w:t>
            </w:r>
            <w:r w:rsidR="00BE1E33" w:rsidRPr="006C15D5">
              <w:rPr>
                <w:rFonts w:ascii="Arial" w:eastAsia="Calibri" w:hAnsi="Arial" w:cs="Arial"/>
                <w:color w:val="000000" w:themeColor="text1"/>
                <w:sz w:val="22"/>
              </w:rPr>
              <w:t xml:space="preserve">/ </w:t>
            </w:r>
            <w:r w:rsidRPr="00FA0CF5">
              <w:rPr>
                <w:rFonts w:ascii="Arial" w:eastAsia="Calibri" w:hAnsi="Arial" w:cs="Arial"/>
                <w:color w:val="000000" w:themeColor="text1"/>
                <w:sz w:val="22"/>
              </w:rPr>
              <w:t>EXPERIENCIA PROFESIONAL – Ingeniería – Consejo de Estado – Auto – Suspensión Provisional – Efectos</w:t>
            </w:r>
            <w:r>
              <w:rPr>
                <w:rFonts w:ascii="Arial" w:eastAsia="Calibri" w:hAnsi="Arial" w:cs="Arial"/>
                <w:color w:val="000000" w:themeColor="text1"/>
                <w:sz w:val="22"/>
              </w:rPr>
              <w:t xml:space="preserve"> / </w:t>
            </w:r>
            <w:r w:rsidRPr="00FA0CF5">
              <w:rPr>
                <w:rFonts w:ascii="Arial" w:eastAsia="Calibri" w:hAnsi="Arial" w:cs="Arial"/>
                <w:color w:val="000000" w:themeColor="text1"/>
                <w:sz w:val="22"/>
              </w:rPr>
              <w:t>COLOMBIA COMPRA EFICIENTE – Conceptos – Criterio orientador</w:t>
            </w:r>
            <w:r>
              <w:rPr>
                <w:rFonts w:ascii="Arial" w:eastAsia="Calibri" w:hAnsi="Arial" w:cs="Arial"/>
                <w:color w:val="000000" w:themeColor="text1"/>
                <w:sz w:val="22"/>
              </w:rPr>
              <w:t xml:space="preserve"> / </w:t>
            </w:r>
            <w:r w:rsidRPr="00FA0CF5">
              <w:rPr>
                <w:rFonts w:ascii="Arial" w:eastAsia="Calibri" w:hAnsi="Arial" w:cs="Arial"/>
                <w:color w:val="000000" w:themeColor="text1"/>
                <w:sz w:val="22"/>
              </w:rPr>
              <w:t>EXPERIENCIA PROFESIONAL – Ingeniería – Colombia Compra Eficiente – Circular Externa Única</w:t>
            </w:r>
            <w:r>
              <w:rPr>
                <w:rFonts w:ascii="Arial" w:eastAsia="Calibri" w:hAnsi="Arial" w:cs="Arial"/>
                <w:color w:val="000000" w:themeColor="text1"/>
                <w:sz w:val="22"/>
              </w:rPr>
              <w:t xml:space="preserve"> </w:t>
            </w:r>
            <w:r w:rsidR="00B9572C">
              <w:rPr>
                <w:rFonts w:ascii="Arial" w:eastAsia="Calibri" w:hAnsi="Arial" w:cs="Arial"/>
                <w:color w:val="000000" w:themeColor="text1"/>
                <w:sz w:val="22"/>
              </w:rPr>
              <w:t xml:space="preserve"> </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7A58BD2E"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4F6F82" w:rsidRPr="004F6F82">
              <w:rPr>
                <w:rFonts w:ascii="Arial" w:eastAsia="Calibri" w:hAnsi="Arial" w:cs="Arial"/>
                <w:color w:val="000000" w:themeColor="text1"/>
                <w:sz w:val="22"/>
              </w:rPr>
              <w:t>4202013000005324</w:t>
            </w:r>
            <w:r w:rsidRPr="006C15D5">
              <w:rPr>
                <w:rFonts w:ascii="Arial" w:eastAsia="Calibri" w:hAnsi="Arial" w:cs="Arial"/>
                <w:color w:val="000000" w:themeColor="text1"/>
                <w:sz w:val="22"/>
              </w:rPr>
              <w:t xml:space="preserve"> </w:t>
            </w:r>
          </w:p>
        </w:tc>
      </w:tr>
      <w:tr w:rsidR="00770D7D" w:rsidRPr="003F6D32" w14:paraId="27C2F130" w14:textId="77777777" w:rsidTr="00AC43E7">
        <w:tc>
          <w:tcPr>
            <w:tcW w:w="2689" w:type="dxa"/>
          </w:tcPr>
          <w:p w14:paraId="2CAB0965" w14:textId="77777777" w:rsidR="00770D7D" w:rsidRPr="006C15D5" w:rsidRDefault="00770D7D" w:rsidP="00AC43E7">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AC43E7">
            <w:pPr>
              <w:spacing w:before="120"/>
              <w:jc w:val="both"/>
              <w:rPr>
                <w:rFonts w:ascii="Arial" w:eastAsia="Calibri" w:hAnsi="Arial" w:cs="Arial"/>
                <w:color w:val="000000" w:themeColor="text1"/>
                <w:sz w:val="22"/>
              </w:rPr>
            </w:pPr>
          </w:p>
        </w:tc>
      </w:tr>
    </w:tbl>
    <w:p w14:paraId="417ABDA8" w14:textId="750BAF7F"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D60CF3">
        <w:rPr>
          <w:rFonts w:ascii="Arial" w:eastAsia="Calibri" w:hAnsi="Arial" w:cs="Arial"/>
          <w:color w:val="000000" w:themeColor="text1"/>
          <w:sz w:val="22"/>
        </w:rPr>
        <w:t>a</w:t>
      </w:r>
      <w:r w:rsidR="009C27A9">
        <w:rPr>
          <w:rFonts w:ascii="Arial" w:eastAsia="Calibri" w:hAnsi="Arial" w:cs="Arial"/>
          <w:color w:val="000000" w:themeColor="text1"/>
          <w:sz w:val="22"/>
        </w:rPr>
        <w:t xml:space="preserve"> </w:t>
      </w:r>
      <w:r w:rsidRPr="006C15D5">
        <w:rPr>
          <w:rFonts w:ascii="Arial" w:eastAsia="Calibri" w:hAnsi="Arial" w:cs="Arial"/>
          <w:color w:val="000000" w:themeColor="text1"/>
          <w:sz w:val="22"/>
        </w:rPr>
        <w:t>señor</w:t>
      </w:r>
      <w:r w:rsidR="00D60CF3">
        <w:rPr>
          <w:rFonts w:ascii="Arial" w:eastAsia="Calibri" w:hAnsi="Arial" w:cs="Arial"/>
          <w:color w:val="000000" w:themeColor="text1"/>
          <w:sz w:val="22"/>
        </w:rPr>
        <w:t>a</w:t>
      </w:r>
      <w:r w:rsidRPr="006C15D5">
        <w:rPr>
          <w:rFonts w:ascii="Arial" w:eastAsia="Calibri" w:hAnsi="Arial" w:cs="Arial"/>
          <w:color w:val="000000" w:themeColor="text1"/>
          <w:sz w:val="22"/>
        </w:rPr>
        <w:t xml:space="preserve"> </w:t>
      </w:r>
      <w:r w:rsidR="00D60CF3" w:rsidRPr="00D60CF3">
        <w:rPr>
          <w:rFonts w:ascii="Arial" w:eastAsia="Calibri" w:hAnsi="Arial" w:cs="Arial"/>
          <w:color w:val="000000" w:themeColor="text1"/>
          <w:sz w:val="22"/>
        </w:rPr>
        <w:t>Rosero Ortiz</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50B47587"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D60CF3">
        <w:rPr>
          <w:rFonts w:ascii="Arial" w:eastAsia="Calibri" w:hAnsi="Arial" w:cs="Arial"/>
          <w:color w:val="000000" w:themeColor="text1"/>
          <w:sz w:val="22"/>
        </w:rPr>
        <w:t>23</w:t>
      </w:r>
      <w:r w:rsidR="00FC1567">
        <w:rPr>
          <w:rFonts w:ascii="Arial" w:eastAsia="Calibri" w:hAnsi="Arial" w:cs="Arial"/>
          <w:color w:val="000000" w:themeColor="text1"/>
          <w:sz w:val="22"/>
        </w:rPr>
        <w:t xml:space="preserve"> de junio</w:t>
      </w:r>
      <w:r w:rsidRPr="006C15D5">
        <w:rPr>
          <w:rFonts w:ascii="Arial" w:eastAsia="Calibri" w:hAnsi="Arial" w:cs="Arial"/>
          <w:color w:val="000000" w:themeColor="text1"/>
          <w:sz w:val="22"/>
        </w:rPr>
        <w:t xml:space="preserve"> de 2020.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33FF5823" w14:textId="7F3E1E53" w:rsidR="00185441" w:rsidRDefault="00C07B5E" w:rsidP="00D60CF3">
      <w:pPr>
        <w:tabs>
          <w:tab w:val="left" w:pos="426"/>
        </w:tabs>
        <w:spacing w:line="276" w:lineRule="auto"/>
        <w:jc w:val="both"/>
        <w:rPr>
          <w:rFonts w:ascii="Arial" w:eastAsia="Calibri" w:hAnsi="Arial" w:cs="Arial"/>
          <w:color w:val="000000" w:themeColor="text1"/>
          <w:sz w:val="22"/>
        </w:rPr>
      </w:pPr>
      <w:bookmarkStart w:id="5" w:name="_Hlk41142281"/>
      <w:bookmarkStart w:id="6" w:name="_Hlk41043439"/>
      <w:r>
        <w:rPr>
          <w:rFonts w:ascii="Arial" w:eastAsia="Calibri" w:hAnsi="Arial" w:cs="Arial"/>
          <w:color w:val="000000" w:themeColor="text1"/>
          <w:sz w:val="22"/>
        </w:rPr>
        <w:t>U</w:t>
      </w:r>
      <w:r w:rsidR="00EA62F1">
        <w:rPr>
          <w:rFonts w:ascii="Arial" w:eastAsia="Calibri" w:hAnsi="Arial" w:cs="Arial"/>
          <w:color w:val="000000" w:themeColor="text1"/>
          <w:sz w:val="22"/>
        </w:rPr>
        <w:t>sted realiza la</w:t>
      </w:r>
      <w:r w:rsidR="00D60CF3">
        <w:rPr>
          <w:rFonts w:ascii="Arial" w:eastAsia="Calibri" w:hAnsi="Arial" w:cs="Arial"/>
          <w:color w:val="000000" w:themeColor="text1"/>
          <w:sz w:val="22"/>
        </w:rPr>
        <w:t>s</w:t>
      </w:r>
      <w:r w:rsidR="00EA62F1">
        <w:rPr>
          <w:rFonts w:ascii="Arial" w:eastAsia="Calibri" w:hAnsi="Arial" w:cs="Arial"/>
          <w:color w:val="000000" w:themeColor="text1"/>
          <w:sz w:val="22"/>
        </w:rPr>
        <w:t xml:space="preserve"> siguiente</w:t>
      </w:r>
      <w:r w:rsidR="00D60CF3">
        <w:rPr>
          <w:rFonts w:ascii="Arial" w:eastAsia="Calibri" w:hAnsi="Arial" w:cs="Arial"/>
          <w:color w:val="000000" w:themeColor="text1"/>
          <w:sz w:val="22"/>
        </w:rPr>
        <w:t>s</w:t>
      </w:r>
      <w:r w:rsidR="00EA62F1">
        <w:rPr>
          <w:rFonts w:ascii="Arial" w:eastAsia="Calibri" w:hAnsi="Arial" w:cs="Arial"/>
          <w:color w:val="000000" w:themeColor="text1"/>
          <w:sz w:val="22"/>
        </w:rPr>
        <w:t xml:space="preserve"> pregunta</w:t>
      </w:r>
      <w:r w:rsidR="00D60CF3">
        <w:rPr>
          <w:rFonts w:ascii="Arial" w:eastAsia="Calibri" w:hAnsi="Arial" w:cs="Arial"/>
          <w:color w:val="000000" w:themeColor="text1"/>
          <w:sz w:val="22"/>
        </w:rPr>
        <w:t>s</w:t>
      </w:r>
      <w:r w:rsidR="00EA62F1">
        <w:rPr>
          <w:rFonts w:ascii="Arial" w:eastAsia="Calibri" w:hAnsi="Arial" w:cs="Arial"/>
          <w:color w:val="000000" w:themeColor="text1"/>
          <w:sz w:val="22"/>
        </w:rPr>
        <w:t xml:space="preserve">: </w:t>
      </w:r>
      <w:bookmarkStart w:id="7" w:name="_Hlk44070514"/>
      <w:bookmarkStart w:id="8" w:name="_Hlk43798498"/>
      <w:bookmarkEnd w:id="5"/>
      <w:bookmarkEnd w:id="6"/>
      <w:r w:rsidR="00FC1567">
        <w:rPr>
          <w:rFonts w:ascii="Arial" w:eastAsia="Calibri" w:hAnsi="Arial" w:cs="Arial"/>
          <w:color w:val="000000" w:themeColor="text1"/>
          <w:sz w:val="22"/>
        </w:rPr>
        <w:t>«</w:t>
      </w:r>
      <w:bookmarkStart w:id="9" w:name="_Hlk44075260"/>
      <w:bookmarkEnd w:id="7"/>
      <w:r w:rsidR="00B42B2C">
        <w:rPr>
          <w:rFonts w:ascii="Arial" w:eastAsia="Calibri" w:hAnsi="Arial" w:cs="Arial"/>
          <w:color w:val="000000" w:themeColor="text1"/>
          <w:sz w:val="22"/>
        </w:rPr>
        <w:t xml:space="preserve">[…] </w:t>
      </w:r>
      <w:r w:rsidR="00D60CF3" w:rsidRPr="00D60CF3">
        <w:rPr>
          <w:rFonts w:ascii="Arial" w:eastAsia="Calibri" w:hAnsi="Arial" w:cs="Arial"/>
          <w:color w:val="000000" w:themeColor="text1"/>
          <w:sz w:val="22"/>
        </w:rPr>
        <w:t>¿cómo debe contabilizarse la experiencia de los ingenieros, adquirida</w:t>
      </w:r>
      <w:r w:rsidR="00D60CF3">
        <w:rPr>
          <w:rFonts w:ascii="Arial" w:eastAsia="Calibri" w:hAnsi="Arial" w:cs="Arial"/>
          <w:color w:val="000000" w:themeColor="text1"/>
          <w:sz w:val="22"/>
        </w:rPr>
        <w:t xml:space="preserve"> </w:t>
      </w:r>
      <w:r w:rsidR="00D60CF3" w:rsidRPr="00D60CF3">
        <w:rPr>
          <w:rFonts w:ascii="Arial" w:eastAsia="Calibri" w:hAnsi="Arial" w:cs="Arial"/>
          <w:color w:val="000000" w:themeColor="text1"/>
          <w:sz w:val="22"/>
        </w:rPr>
        <w:t xml:space="preserve">antes </w:t>
      </w:r>
      <w:r w:rsidR="00B42B2C">
        <w:rPr>
          <w:rFonts w:ascii="Arial" w:eastAsia="Calibri" w:hAnsi="Arial" w:cs="Arial"/>
          <w:color w:val="000000" w:themeColor="text1"/>
          <w:sz w:val="22"/>
        </w:rPr>
        <w:t xml:space="preserve">(sic) </w:t>
      </w:r>
      <w:r w:rsidR="00D60CF3" w:rsidRPr="00D60CF3">
        <w:rPr>
          <w:rFonts w:ascii="Arial" w:eastAsia="Calibri" w:hAnsi="Arial" w:cs="Arial"/>
          <w:color w:val="000000" w:themeColor="text1"/>
          <w:sz w:val="22"/>
        </w:rPr>
        <w:t>de la entrada en vigencia de la Ley 842 de 2003?, ¿debe ser a partir de la terminación</w:t>
      </w:r>
      <w:r w:rsidR="00D60CF3">
        <w:rPr>
          <w:rFonts w:ascii="Arial" w:eastAsia="Calibri" w:hAnsi="Arial" w:cs="Arial"/>
          <w:color w:val="000000" w:themeColor="text1"/>
          <w:sz w:val="22"/>
        </w:rPr>
        <w:t xml:space="preserve"> </w:t>
      </w:r>
      <w:r w:rsidR="00D60CF3" w:rsidRPr="00D60CF3">
        <w:rPr>
          <w:rFonts w:ascii="Arial" w:eastAsia="Calibri" w:hAnsi="Arial" w:cs="Arial"/>
          <w:color w:val="000000" w:themeColor="text1"/>
          <w:sz w:val="22"/>
        </w:rPr>
        <w:t>y aprobación del pensum académico de educación superior (artículo 229 Decreto Ley 019-</w:t>
      </w:r>
      <w:proofErr w:type="gramStart"/>
      <w:r w:rsidR="00D60CF3" w:rsidRPr="00D60CF3">
        <w:rPr>
          <w:rFonts w:ascii="Arial" w:eastAsia="Calibri" w:hAnsi="Arial" w:cs="Arial"/>
          <w:color w:val="000000" w:themeColor="text1"/>
          <w:sz w:val="22"/>
        </w:rPr>
        <w:t>2012)?,</w:t>
      </w:r>
      <w:proofErr w:type="gramEnd"/>
      <w:r w:rsidR="00D60CF3">
        <w:rPr>
          <w:rFonts w:ascii="Arial" w:eastAsia="Calibri" w:hAnsi="Arial" w:cs="Arial"/>
          <w:color w:val="000000" w:themeColor="text1"/>
          <w:sz w:val="22"/>
        </w:rPr>
        <w:t xml:space="preserve"> </w:t>
      </w:r>
      <w:r w:rsidR="00D60CF3" w:rsidRPr="00D60CF3">
        <w:rPr>
          <w:rFonts w:ascii="Arial" w:eastAsia="Calibri" w:hAnsi="Arial" w:cs="Arial"/>
          <w:color w:val="000000" w:themeColor="text1"/>
          <w:sz w:val="22"/>
        </w:rPr>
        <w:t>¿debe aplicarse en cada caso concreto el criterio de temporalidad de la ley</w:t>
      </w:r>
      <w:r w:rsidR="00B42B2C">
        <w:rPr>
          <w:rFonts w:ascii="Arial" w:eastAsia="Calibri" w:hAnsi="Arial" w:cs="Arial"/>
          <w:color w:val="000000" w:themeColor="text1"/>
          <w:sz w:val="22"/>
        </w:rPr>
        <w:t xml:space="preserve"> […]</w:t>
      </w:r>
      <w:r w:rsidR="00D60CF3" w:rsidRPr="00D60CF3">
        <w:rPr>
          <w:rFonts w:ascii="Arial" w:eastAsia="Calibri" w:hAnsi="Arial" w:cs="Arial"/>
          <w:color w:val="000000" w:themeColor="text1"/>
          <w:sz w:val="22"/>
        </w:rPr>
        <w:t>?</w:t>
      </w:r>
      <w:r w:rsidR="00FC1567">
        <w:rPr>
          <w:rFonts w:ascii="Arial" w:eastAsia="Calibri" w:hAnsi="Arial" w:cs="Arial"/>
          <w:color w:val="000000" w:themeColor="text1"/>
          <w:sz w:val="22"/>
        </w:rPr>
        <w:t>»</w:t>
      </w:r>
      <w:bookmarkEnd w:id="9"/>
      <w:r w:rsidR="00FC1567">
        <w:rPr>
          <w:rFonts w:ascii="Arial" w:eastAsia="Calibri" w:hAnsi="Arial" w:cs="Arial"/>
          <w:color w:val="000000" w:themeColor="text1"/>
          <w:sz w:val="22"/>
        </w:rPr>
        <w:t>.</w:t>
      </w:r>
      <w:r w:rsidR="00FC1567" w:rsidRPr="006C15D5">
        <w:rPr>
          <w:rFonts w:ascii="Arial" w:eastAsia="Calibri" w:hAnsi="Arial" w:cs="Arial"/>
          <w:color w:val="000000" w:themeColor="text1"/>
          <w:sz w:val="22"/>
        </w:rPr>
        <w:t xml:space="preserve"> </w:t>
      </w:r>
      <w:bookmarkEnd w:id="8"/>
    </w:p>
    <w:p w14:paraId="1EBED483" w14:textId="77777777" w:rsidR="00185441" w:rsidRPr="006C15D5" w:rsidRDefault="00185441" w:rsidP="00CE35D5">
      <w:pPr>
        <w:tabs>
          <w:tab w:val="left" w:pos="709"/>
        </w:tabs>
        <w:spacing w:line="276" w:lineRule="auto"/>
        <w:jc w:val="both"/>
        <w:rPr>
          <w:rFonts w:ascii="Arial" w:eastAsia="Calibri" w:hAnsi="Arial" w:cs="Arial"/>
          <w:color w:val="000000" w:themeColor="text1"/>
          <w:sz w:val="22"/>
        </w:rPr>
      </w:pPr>
    </w:p>
    <w:p w14:paraId="000CB06F" w14:textId="77777777" w:rsidR="00BE1E33" w:rsidRPr="006C15D5"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391F1ACD" w14:textId="7E8A6720" w:rsidR="00491F16" w:rsidRDefault="00491F16" w:rsidP="00491F16">
      <w:pPr>
        <w:spacing w:line="276" w:lineRule="auto"/>
        <w:jc w:val="both"/>
        <w:rPr>
          <w:rFonts w:ascii="Arial" w:eastAsia="Calibri" w:hAnsi="Arial" w:cs="Arial"/>
          <w:color w:val="000000" w:themeColor="text1"/>
          <w:sz w:val="22"/>
        </w:rPr>
      </w:pPr>
    </w:p>
    <w:p w14:paraId="4BE34C86" w14:textId="14B210E6" w:rsidR="00FC1567" w:rsidRDefault="00FC1567" w:rsidP="00FC1567">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Para responder las preguntas planteadas, </w:t>
      </w:r>
      <w:r w:rsidR="002B7D1F">
        <w:rPr>
          <w:rFonts w:ascii="Arial" w:eastAsia="Calibri" w:hAnsi="Arial" w:cs="Arial"/>
          <w:color w:val="000000" w:themeColor="text1"/>
          <w:sz w:val="22"/>
        </w:rPr>
        <w:t xml:space="preserve">se </w:t>
      </w:r>
      <w:r w:rsidR="00DC162E">
        <w:rPr>
          <w:rFonts w:ascii="Arial" w:eastAsia="Calibri" w:hAnsi="Arial" w:cs="Arial"/>
          <w:color w:val="000000" w:themeColor="text1"/>
          <w:sz w:val="22"/>
        </w:rPr>
        <w:t>abordarán</w:t>
      </w:r>
      <w:r w:rsidR="002B7D1F">
        <w:rPr>
          <w:rFonts w:ascii="Arial" w:eastAsia="Calibri" w:hAnsi="Arial" w:cs="Arial"/>
          <w:color w:val="000000" w:themeColor="text1"/>
          <w:sz w:val="22"/>
        </w:rPr>
        <w:t xml:space="preserve"> los siguientes temas: i) derogatoria tácita del </w:t>
      </w:r>
      <w:r w:rsidR="002B7D1F" w:rsidRPr="002B7D1F">
        <w:rPr>
          <w:rFonts w:ascii="Arial" w:eastAsia="Calibri" w:hAnsi="Arial" w:cs="Arial"/>
          <w:color w:val="000000" w:themeColor="text1"/>
          <w:sz w:val="22"/>
        </w:rPr>
        <w:t>artículo 12 de la Ley 842 de 2003</w:t>
      </w:r>
      <w:r w:rsidR="002B7D1F">
        <w:rPr>
          <w:rFonts w:ascii="Arial" w:eastAsia="Calibri" w:hAnsi="Arial" w:cs="Arial"/>
          <w:color w:val="000000" w:themeColor="text1"/>
          <w:sz w:val="22"/>
        </w:rPr>
        <w:t xml:space="preserve">, </w:t>
      </w:r>
      <w:proofErr w:type="spellStart"/>
      <w:r w:rsidR="002B7D1F">
        <w:rPr>
          <w:rFonts w:ascii="Arial" w:eastAsia="Calibri" w:hAnsi="Arial" w:cs="Arial"/>
          <w:color w:val="000000" w:themeColor="text1"/>
          <w:sz w:val="22"/>
        </w:rPr>
        <w:t>ii</w:t>
      </w:r>
      <w:proofErr w:type="spellEnd"/>
      <w:r w:rsidR="002B7D1F">
        <w:rPr>
          <w:rFonts w:ascii="Arial" w:eastAsia="Calibri" w:hAnsi="Arial" w:cs="Arial"/>
          <w:color w:val="000000" w:themeColor="text1"/>
          <w:sz w:val="22"/>
        </w:rPr>
        <w:t xml:space="preserve">) </w:t>
      </w:r>
      <w:r w:rsidR="00771030">
        <w:rPr>
          <w:rFonts w:ascii="Arial" w:eastAsia="Calibri" w:hAnsi="Arial" w:cs="Arial"/>
          <w:color w:val="000000" w:themeColor="text1"/>
          <w:sz w:val="22"/>
        </w:rPr>
        <w:t>tesis provisional</w:t>
      </w:r>
      <w:r w:rsidR="002B7D1F">
        <w:rPr>
          <w:rFonts w:ascii="Arial" w:eastAsia="Calibri" w:hAnsi="Arial" w:cs="Arial"/>
          <w:color w:val="000000" w:themeColor="text1"/>
          <w:sz w:val="22"/>
        </w:rPr>
        <w:t xml:space="preserve"> del Consejo de Estado</w:t>
      </w:r>
      <w:r w:rsidR="0069332A">
        <w:rPr>
          <w:rFonts w:ascii="Arial" w:eastAsia="Calibri" w:hAnsi="Arial" w:cs="Arial"/>
          <w:color w:val="000000" w:themeColor="text1"/>
          <w:sz w:val="22"/>
        </w:rPr>
        <w:t xml:space="preserve"> frente a los conceptos de </w:t>
      </w:r>
      <w:r w:rsidR="00741B2A">
        <w:rPr>
          <w:rFonts w:ascii="Arial" w:eastAsia="Calibri" w:hAnsi="Arial" w:cs="Arial"/>
          <w:color w:val="000000" w:themeColor="text1"/>
          <w:sz w:val="22"/>
        </w:rPr>
        <w:t xml:space="preserve">la Agencia Nacional de Contratación Pública – </w:t>
      </w:r>
      <w:r w:rsidR="0069332A">
        <w:rPr>
          <w:rFonts w:ascii="Arial" w:eastAsia="Calibri" w:hAnsi="Arial" w:cs="Arial"/>
          <w:color w:val="000000" w:themeColor="text1"/>
          <w:sz w:val="22"/>
        </w:rPr>
        <w:t>Colombia Compra Eficiente</w:t>
      </w:r>
      <w:r w:rsidR="002B7D1F">
        <w:rPr>
          <w:rFonts w:ascii="Arial" w:eastAsia="Calibri" w:hAnsi="Arial" w:cs="Arial"/>
          <w:color w:val="000000" w:themeColor="text1"/>
          <w:sz w:val="22"/>
        </w:rPr>
        <w:t xml:space="preserve"> y </w:t>
      </w:r>
      <w:proofErr w:type="spellStart"/>
      <w:r w:rsidR="002B7D1F">
        <w:rPr>
          <w:rFonts w:ascii="Arial" w:eastAsia="Calibri" w:hAnsi="Arial" w:cs="Arial"/>
          <w:color w:val="000000" w:themeColor="text1"/>
          <w:sz w:val="22"/>
        </w:rPr>
        <w:t>iii</w:t>
      </w:r>
      <w:proofErr w:type="spellEnd"/>
      <w:r w:rsidR="002B7D1F">
        <w:rPr>
          <w:rFonts w:ascii="Arial" w:eastAsia="Calibri" w:hAnsi="Arial" w:cs="Arial"/>
          <w:color w:val="000000" w:themeColor="text1"/>
          <w:sz w:val="22"/>
        </w:rPr>
        <w:t xml:space="preserve">) </w:t>
      </w:r>
      <w:bookmarkStart w:id="10" w:name="_Hlk44437088"/>
      <w:r w:rsidR="002B7D1F">
        <w:rPr>
          <w:rFonts w:ascii="Arial" w:eastAsia="Calibri" w:hAnsi="Arial" w:cs="Arial"/>
          <w:color w:val="000000" w:themeColor="text1"/>
          <w:sz w:val="22"/>
        </w:rPr>
        <w:t>acreditación de la experiencia profesional conforme a la Circular Externa Única</w:t>
      </w:r>
      <w:bookmarkEnd w:id="10"/>
      <w:r w:rsidR="00237522">
        <w:rPr>
          <w:rFonts w:ascii="Arial" w:eastAsia="Calibri" w:hAnsi="Arial" w:cs="Arial"/>
          <w:color w:val="000000" w:themeColor="text1"/>
          <w:sz w:val="22"/>
        </w:rPr>
        <w:t>.</w:t>
      </w:r>
      <w:r w:rsidR="002B7D1F">
        <w:rPr>
          <w:rFonts w:ascii="Arial" w:eastAsia="Calibri" w:hAnsi="Arial" w:cs="Arial"/>
          <w:color w:val="000000" w:themeColor="text1"/>
          <w:sz w:val="22"/>
        </w:rPr>
        <w:t xml:space="preserve"> </w:t>
      </w:r>
    </w:p>
    <w:p w14:paraId="69FB8772" w14:textId="03E719C7" w:rsidR="00FC1567" w:rsidRDefault="00FC1567" w:rsidP="00FC1567">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 xml:space="preserve">Recientemente esta Subdirección expidió el Concepto </w:t>
      </w:r>
      <w:bookmarkStart w:id="11" w:name="_Hlk44491292"/>
      <w:r>
        <w:rPr>
          <w:rFonts w:ascii="Arial" w:eastAsia="Calibri" w:hAnsi="Arial" w:cs="Arial"/>
          <w:color w:val="000000" w:themeColor="text1"/>
          <w:sz w:val="22"/>
        </w:rPr>
        <w:t>C-</w:t>
      </w:r>
      <w:r w:rsidR="00A46FE1">
        <w:rPr>
          <w:rFonts w:ascii="Arial" w:eastAsia="Calibri" w:hAnsi="Arial" w:cs="Arial"/>
          <w:color w:val="000000" w:themeColor="text1"/>
          <w:sz w:val="22"/>
        </w:rPr>
        <w:t>212</w:t>
      </w:r>
      <w:r>
        <w:rPr>
          <w:rFonts w:ascii="Arial" w:eastAsia="Calibri" w:hAnsi="Arial" w:cs="Arial"/>
          <w:color w:val="000000" w:themeColor="text1"/>
          <w:sz w:val="22"/>
        </w:rPr>
        <w:t xml:space="preserve"> de</w:t>
      </w:r>
      <w:r w:rsidR="00A46FE1">
        <w:rPr>
          <w:rFonts w:ascii="Arial" w:eastAsia="Calibri" w:hAnsi="Arial" w:cs="Arial"/>
          <w:color w:val="000000" w:themeColor="text1"/>
          <w:sz w:val="22"/>
        </w:rPr>
        <w:t>l</w:t>
      </w:r>
      <w:r>
        <w:rPr>
          <w:rFonts w:ascii="Arial" w:eastAsia="Calibri" w:hAnsi="Arial" w:cs="Arial"/>
          <w:color w:val="000000" w:themeColor="text1"/>
          <w:sz w:val="22"/>
        </w:rPr>
        <w:t xml:space="preserve"> </w:t>
      </w:r>
      <w:r w:rsidR="00A46FE1">
        <w:rPr>
          <w:rFonts w:ascii="Arial" w:eastAsia="Calibri" w:hAnsi="Arial" w:cs="Arial"/>
          <w:color w:val="000000" w:themeColor="text1"/>
          <w:sz w:val="22"/>
        </w:rPr>
        <w:t>14</w:t>
      </w:r>
      <w:r w:rsidR="002A2A80">
        <w:rPr>
          <w:rFonts w:ascii="Arial" w:eastAsia="Calibri" w:hAnsi="Arial" w:cs="Arial"/>
          <w:color w:val="000000" w:themeColor="text1"/>
          <w:sz w:val="22"/>
        </w:rPr>
        <w:t xml:space="preserve"> de abril</w:t>
      </w:r>
      <w:r>
        <w:rPr>
          <w:rFonts w:ascii="Arial" w:eastAsia="Calibri" w:hAnsi="Arial" w:cs="Arial"/>
          <w:color w:val="000000" w:themeColor="text1"/>
          <w:sz w:val="22"/>
        </w:rPr>
        <w:t xml:space="preserve"> de 2020</w:t>
      </w:r>
      <w:bookmarkEnd w:id="11"/>
      <w:r>
        <w:rPr>
          <w:rFonts w:ascii="Arial" w:eastAsia="Calibri" w:hAnsi="Arial" w:cs="Arial"/>
          <w:color w:val="000000" w:themeColor="text1"/>
          <w:sz w:val="22"/>
        </w:rPr>
        <w:t>,</w:t>
      </w:r>
      <w:r w:rsidR="00A46FE1">
        <w:rPr>
          <w:rFonts w:ascii="Arial" w:eastAsia="Calibri" w:hAnsi="Arial" w:cs="Arial"/>
          <w:color w:val="000000" w:themeColor="text1"/>
          <w:sz w:val="22"/>
        </w:rPr>
        <w:t xml:space="preserve"> </w:t>
      </w:r>
      <w:r w:rsidR="00C367CD">
        <w:rPr>
          <w:rFonts w:ascii="Arial" w:eastAsia="Calibri" w:hAnsi="Arial" w:cs="Arial"/>
          <w:color w:val="000000" w:themeColor="text1"/>
          <w:sz w:val="22"/>
        </w:rPr>
        <w:t xml:space="preserve">el cual </w:t>
      </w:r>
      <w:r w:rsidR="00DC4C93">
        <w:rPr>
          <w:rFonts w:ascii="Arial" w:eastAsia="Calibri" w:hAnsi="Arial" w:cs="Arial"/>
          <w:color w:val="000000" w:themeColor="text1"/>
          <w:sz w:val="22"/>
        </w:rPr>
        <w:t>se anexa al</w:t>
      </w:r>
      <w:r w:rsidR="00A46FE1">
        <w:rPr>
          <w:rFonts w:ascii="Arial" w:eastAsia="Calibri" w:hAnsi="Arial" w:cs="Arial"/>
          <w:color w:val="000000" w:themeColor="text1"/>
          <w:sz w:val="22"/>
        </w:rPr>
        <w:t xml:space="preserve"> presente oficio,</w:t>
      </w:r>
      <w:r>
        <w:rPr>
          <w:rFonts w:ascii="Arial" w:eastAsia="Calibri" w:hAnsi="Arial" w:cs="Arial"/>
          <w:color w:val="000000" w:themeColor="text1"/>
          <w:sz w:val="22"/>
        </w:rPr>
        <w:t xml:space="preserve"> donde se explicó que </w:t>
      </w:r>
      <w:r w:rsidR="00A46FE1">
        <w:rPr>
          <w:rFonts w:ascii="Arial" w:eastAsia="Calibri" w:hAnsi="Arial" w:cs="Arial"/>
          <w:color w:val="000000" w:themeColor="text1"/>
          <w:sz w:val="22"/>
        </w:rPr>
        <w:t>la experiencia profesional de los ingenieros se contabiliza conforme a los artículos 229 del Decreto Ley 019 de 2012 y 192 de la ley 1955 de 2019</w:t>
      </w:r>
      <w:r>
        <w:rPr>
          <w:rFonts w:ascii="Arial" w:eastAsia="Calibri" w:hAnsi="Arial" w:cs="Arial"/>
          <w:color w:val="000000" w:themeColor="text1"/>
          <w:sz w:val="22"/>
        </w:rPr>
        <w:t>.</w:t>
      </w:r>
      <w:r w:rsidR="002A2A80">
        <w:rPr>
          <w:rFonts w:ascii="Arial" w:eastAsia="Calibri" w:hAnsi="Arial" w:cs="Arial"/>
          <w:color w:val="000000" w:themeColor="text1"/>
          <w:sz w:val="22"/>
        </w:rPr>
        <w:t xml:space="preserve"> </w:t>
      </w:r>
      <w:r w:rsidR="00DC162E">
        <w:rPr>
          <w:rFonts w:ascii="Arial" w:eastAsia="Calibri" w:hAnsi="Arial" w:cs="Arial"/>
          <w:color w:val="000000" w:themeColor="text1"/>
          <w:sz w:val="22"/>
        </w:rPr>
        <w:t>Este</w:t>
      </w:r>
      <w:r w:rsidR="00237522">
        <w:rPr>
          <w:rFonts w:ascii="Arial" w:eastAsia="Calibri" w:hAnsi="Arial" w:cs="Arial"/>
          <w:color w:val="000000" w:themeColor="text1"/>
          <w:sz w:val="22"/>
        </w:rPr>
        <w:t xml:space="preserve"> retomó la línea del </w:t>
      </w:r>
      <w:r w:rsidR="00DC162E">
        <w:rPr>
          <w:rFonts w:ascii="Arial" w:eastAsia="Calibri" w:hAnsi="Arial" w:cs="Arial"/>
          <w:color w:val="000000" w:themeColor="text1"/>
          <w:sz w:val="22"/>
        </w:rPr>
        <w:t xml:space="preserve">Concepto </w:t>
      </w:r>
      <w:r w:rsidR="00DC162E" w:rsidRPr="00DC162E">
        <w:rPr>
          <w:rFonts w:ascii="Arial" w:eastAsia="Calibri" w:hAnsi="Arial" w:cs="Arial"/>
          <w:color w:val="000000" w:themeColor="text1"/>
          <w:sz w:val="22"/>
        </w:rPr>
        <w:t>4201912000005915 del 29 de agosto de 2019</w:t>
      </w:r>
      <w:r w:rsidR="00DC162E">
        <w:rPr>
          <w:rFonts w:ascii="Arial" w:eastAsia="Calibri" w:hAnsi="Arial" w:cs="Arial"/>
          <w:color w:val="000000" w:themeColor="text1"/>
          <w:sz w:val="22"/>
        </w:rPr>
        <w:t>, y</w:t>
      </w:r>
      <w:r w:rsidR="00A46FE1">
        <w:rPr>
          <w:rFonts w:ascii="Arial" w:eastAsia="Calibri" w:hAnsi="Arial" w:cs="Arial"/>
          <w:color w:val="000000" w:themeColor="text1"/>
          <w:sz w:val="22"/>
        </w:rPr>
        <w:t xml:space="preserve"> se reiter</w:t>
      </w:r>
      <w:r w:rsidR="00C367CD">
        <w:rPr>
          <w:rFonts w:ascii="Arial" w:eastAsia="Calibri" w:hAnsi="Arial" w:cs="Arial"/>
          <w:color w:val="000000" w:themeColor="text1"/>
          <w:sz w:val="22"/>
        </w:rPr>
        <w:t>ó</w:t>
      </w:r>
      <w:r w:rsidR="00A46FE1">
        <w:rPr>
          <w:rFonts w:ascii="Arial" w:eastAsia="Calibri" w:hAnsi="Arial" w:cs="Arial"/>
          <w:color w:val="000000" w:themeColor="text1"/>
          <w:sz w:val="22"/>
        </w:rPr>
        <w:t xml:space="preserve"> en los Conceptos </w:t>
      </w:r>
      <w:r w:rsidR="00A14C36">
        <w:rPr>
          <w:rFonts w:ascii="Arial" w:eastAsia="Calibri" w:hAnsi="Arial" w:cs="Arial"/>
          <w:color w:val="000000" w:themeColor="text1"/>
          <w:sz w:val="22"/>
        </w:rPr>
        <w:t xml:space="preserve">C-317 del 11 de junio de 2020, </w:t>
      </w:r>
      <w:r w:rsidR="00A46FE1">
        <w:rPr>
          <w:rFonts w:ascii="Arial" w:eastAsia="Calibri" w:hAnsi="Arial" w:cs="Arial"/>
          <w:color w:val="000000" w:themeColor="text1"/>
          <w:sz w:val="22"/>
        </w:rPr>
        <w:t xml:space="preserve">C-337 del </w:t>
      </w:r>
      <w:r w:rsidR="00A14C36">
        <w:rPr>
          <w:rFonts w:ascii="Arial" w:eastAsia="Calibri" w:hAnsi="Arial" w:cs="Arial"/>
          <w:color w:val="000000" w:themeColor="text1"/>
          <w:sz w:val="22"/>
        </w:rPr>
        <w:t xml:space="preserve">26 de junio de 2020 y C-353 del 30 de junio de 2020, donde también se negaron las solicitudes </w:t>
      </w:r>
      <w:r w:rsidR="00C367CD">
        <w:rPr>
          <w:rFonts w:ascii="Arial" w:eastAsia="Calibri" w:hAnsi="Arial" w:cs="Arial"/>
          <w:color w:val="000000" w:themeColor="text1"/>
          <w:sz w:val="22"/>
        </w:rPr>
        <w:t>revocatoria y corrección</w:t>
      </w:r>
      <w:r w:rsidR="00887AE5">
        <w:rPr>
          <w:rFonts w:ascii="Arial" w:eastAsia="Calibri" w:hAnsi="Arial" w:cs="Arial"/>
          <w:color w:val="000000" w:themeColor="text1"/>
          <w:sz w:val="22"/>
        </w:rPr>
        <w:t xml:space="preserve">. </w:t>
      </w:r>
      <w:r>
        <w:rPr>
          <w:rFonts w:ascii="Arial" w:eastAsia="Calibri" w:hAnsi="Arial" w:cs="Arial"/>
          <w:color w:val="000000" w:themeColor="text1"/>
          <w:sz w:val="22"/>
        </w:rPr>
        <w:t>La tesis propuesta en est</w:t>
      </w:r>
      <w:r w:rsidR="00887AE5">
        <w:rPr>
          <w:rFonts w:ascii="Arial" w:eastAsia="Calibri" w:hAnsi="Arial" w:cs="Arial"/>
          <w:color w:val="000000" w:themeColor="text1"/>
          <w:sz w:val="22"/>
        </w:rPr>
        <w:t>os</w:t>
      </w:r>
      <w:r>
        <w:rPr>
          <w:rFonts w:ascii="Arial" w:eastAsia="Calibri" w:hAnsi="Arial" w:cs="Arial"/>
          <w:color w:val="000000" w:themeColor="text1"/>
          <w:sz w:val="22"/>
        </w:rPr>
        <w:t xml:space="preserve"> concepto</w:t>
      </w:r>
      <w:r w:rsidR="00887AE5">
        <w:rPr>
          <w:rFonts w:ascii="Arial" w:eastAsia="Calibri" w:hAnsi="Arial" w:cs="Arial"/>
          <w:color w:val="000000" w:themeColor="text1"/>
          <w:sz w:val="22"/>
        </w:rPr>
        <w:t>s</w:t>
      </w:r>
      <w:r>
        <w:rPr>
          <w:rFonts w:ascii="Arial" w:eastAsia="Calibri" w:hAnsi="Arial" w:cs="Arial"/>
          <w:color w:val="000000" w:themeColor="text1"/>
          <w:sz w:val="22"/>
        </w:rPr>
        <w:t xml:space="preserve"> se expone a continuación: </w:t>
      </w:r>
    </w:p>
    <w:p w14:paraId="7188074A" w14:textId="77777777" w:rsidR="00FC1567" w:rsidRDefault="00FC1567" w:rsidP="00FC1567">
      <w:pPr>
        <w:spacing w:line="276" w:lineRule="auto"/>
        <w:jc w:val="both"/>
        <w:rPr>
          <w:rFonts w:ascii="Arial" w:eastAsia="Calibri" w:hAnsi="Arial" w:cs="Arial"/>
          <w:color w:val="000000" w:themeColor="text1"/>
          <w:sz w:val="22"/>
        </w:rPr>
      </w:pPr>
    </w:p>
    <w:p w14:paraId="0A8C8AC9" w14:textId="11E3E945" w:rsidR="00FC1567" w:rsidRDefault="00FC1567" w:rsidP="00FC1567">
      <w:pPr>
        <w:spacing w:line="276" w:lineRule="auto"/>
        <w:jc w:val="both"/>
        <w:rPr>
          <w:rFonts w:ascii="Arial" w:eastAsia="Calibri" w:hAnsi="Arial" w:cs="Arial"/>
          <w:b/>
          <w:bCs/>
          <w:color w:val="000000" w:themeColor="text1"/>
          <w:sz w:val="22"/>
        </w:rPr>
      </w:pPr>
      <w:r>
        <w:rPr>
          <w:rFonts w:ascii="Arial" w:eastAsia="Calibri" w:hAnsi="Arial" w:cs="Arial"/>
          <w:b/>
          <w:bCs/>
          <w:color w:val="000000" w:themeColor="text1"/>
          <w:sz w:val="22"/>
        </w:rPr>
        <w:t xml:space="preserve">2.1. </w:t>
      </w:r>
      <w:r w:rsidR="00DC4C93" w:rsidRPr="00DC4C93">
        <w:rPr>
          <w:rFonts w:ascii="Arial" w:eastAsia="Calibri" w:hAnsi="Arial" w:cs="Arial"/>
          <w:b/>
          <w:bCs/>
          <w:color w:val="000000" w:themeColor="text1"/>
          <w:sz w:val="22"/>
        </w:rPr>
        <w:t xml:space="preserve">Derogatoria tácita </w:t>
      </w:r>
      <w:bookmarkStart w:id="12" w:name="_Hlk44429317"/>
      <w:r w:rsidR="00DC4C93" w:rsidRPr="00DC4C93">
        <w:rPr>
          <w:rFonts w:ascii="Arial" w:eastAsia="Calibri" w:hAnsi="Arial" w:cs="Arial"/>
          <w:b/>
          <w:bCs/>
          <w:color w:val="000000" w:themeColor="text1"/>
          <w:sz w:val="22"/>
        </w:rPr>
        <w:t>de</w:t>
      </w:r>
      <w:r w:rsidR="00DC4C93">
        <w:rPr>
          <w:rFonts w:ascii="Arial" w:eastAsia="Calibri" w:hAnsi="Arial" w:cs="Arial"/>
          <w:b/>
          <w:bCs/>
          <w:color w:val="000000" w:themeColor="text1"/>
          <w:sz w:val="22"/>
        </w:rPr>
        <w:t xml:space="preserve">l artículo </w:t>
      </w:r>
      <w:bookmarkStart w:id="13" w:name="_Hlk44430151"/>
      <w:r w:rsidR="00DC4C93">
        <w:rPr>
          <w:rFonts w:ascii="Arial" w:eastAsia="Calibri" w:hAnsi="Arial" w:cs="Arial"/>
          <w:b/>
          <w:bCs/>
          <w:color w:val="000000" w:themeColor="text1"/>
          <w:sz w:val="22"/>
        </w:rPr>
        <w:t>12 de</w:t>
      </w:r>
      <w:r w:rsidR="00DC4C93" w:rsidRPr="00DC4C93">
        <w:rPr>
          <w:rFonts w:ascii="Arial" w:eastAsia="Calibri" w:hAnsi="Arial" w:cs="Arial"/>
          <w:b/>
          <w:bCs/>
          <w:color w:val="000000" w:themeColor="text1"/>
          <w:sz w:val="22"/>
        </w:rPr>
        <w:t xml:space="preserve"> la Ley 842 de 2003</w:t>
      </w:r>
      <w:bookmarkEnd w:id="12"/>
      <w:bookmarkEnd w:id="13"/>
    </w:p>
    <w:p w14:paraId="1EA322F9" w14:textId="07FA26F9" w:rsidR="00FC1567" w:rsidRDefault="00FC1567" w:rsidP="00491F16">
      <w:pPr>
        <w:spacing w:line="276" w:lineRule="auto"/>
        <w:jc w:val="both"/>
        <w:rPr>
          <w:rFonts w:ascii="Arial" w:eastAsia="Calibri" w:hAnsi="Arial" w:cs="Arial"/>
          <w:color w:val="000000" w:themeColor="text1"/>
          <w:sz w:val="22"/>
        </w:rPr>
      </w:pPr>
    </w:p>
    <w:p w14:paraId="22B5D8E7" w14:textId="7859BC81" w:rsidR="00FC1567" w:rsidRDefault="00251547" w:rsidP="00D51D54">
      <w:pPr>
        <w:spacing w:after="120" w:line="276" w:lineRule="auto"/>
        <w:jc w:val="both"/>
        <w:rPr>
          <w:rFonts w:ascii="Arial" w:eastAsia="Calibri" w:hAnsi="Arial" w:cs="Arial"/>
          <w:bCs/>
          <w:sz w:val="22"/>
          <w:lang w:val="es-ES_tradnl"/>
        </w:rPr>
      </w:pPr>
      <w:bookmarkStart w:id="14" w:name="_Hlk44491505"/>
      <w:r>
        <w:rPr>
          <w:rFonts w:ascii="Arial" w:eastAsia="Calibri" w:hAnsi="Arial" w:cs="Arial"/>
          <w:sz w:val="22"/>
          <w:lang w:val="es-ES_tradnl"/>
        </w:rPr>
        <w:t>Dado que</w:t>
      </w:r>
      <w:r w:rsidR="005725CA">
        <w:rPr>
          <w:rFonts w:ascii="Arial" w:eastAsia="Calibri" w:hAnsi="Arial" w:cs="Arial"/>
          <w:sz w:val="22"/>
          <w:lang w:val="es-ES_tradnl"/>
        </w:rPr>
        <w:t xml:space="preserve"> se</w:t>
      </w:r>
      <w:r w:rsidR="00F0411C">
        <w:rPr>
          <w:rFonts w:ascii="Arial" w:eastAsia="Calibri" w:hAnsi="Arial" w:cs="Arial"/>
          <w:sz w:val="22"/>
          <w:lang w:val="es-ES_tradnl"/>
        </w:rPr>
        <w:t xml:space="preserve"> anexa copia del </w:t>
      </w:r>
      <w:r w:rsidR="00F0411C">
        <w:rPr>
          <w:rFonts w:ascii="Arial" w:eastAsia="Calibri" w:hAnsi="Arial" w:cs="Arial"/>
          <w:color w:val="000000" w:themeColor="text1"/>
          <w:sz w:val="22"/>
        </w:rPr>
        <w:t>Concepto C-212 del 14 de abril de 2020 para que la peticionaria v</w:t>
      </w:r>
      <w:r w:rsidR="005725CA">
        <w:rPr>
          <w:rFonts w:ascii="Arial" w:eastAsia="Calibri" w:hAnsi="Arial" w:cs="Arial"/>
          <w:color w:val="000000" w:themeColor="text1"/>
          <w:sz w:val="22"/>
        </w:rPr>
        <w:t>alide</w:t>
      </w:r>
      <w:r w:rsidR="00F0411C">
        <w:rPr>
          <w:rFonts w:ascii="Arial" w:eastAsia="Calibri" w:hAnsi="Arial" w:cs="Arial"/>
          <w:color w:val="000000" w:themeColor="text1"/>
          <w:sz w:val="22"/>
        </w:rPr>
        <w:t xml:space="preserve"> el fundamento de las observaciones realizadas a los informes de verificación de requisitos habilitantes</w:t>
      </w:r>
      <w:r w:rsidR="006754AC">
        <w:rPr>
          <w:rFonts w:ascii="Arial" w:eastAsia="Calibri" w:hAnsi="Arial" w:cs="Arial"/>
          <w:color w:val="000000" w:themeColor="text1"/>
          <w:sz w:val="22"/>
        </w:rPr>
        <w:t xml:space="preserve">, la Subdirección reitera que </w:t>
      </w:r>
      <w:r w:rsidR="006754AC">
        <w:rPr>
          <w:rFonts w:ascii="Arial" w:eastAsia="Calibri" w:hAnsi="Arial" w:cs="Arial"/>
          <w:bCs/>
          <w:sz w:val="22"/>
          <w:lang w:val="es-ES_tradnl"/>
        </w:rPr>
        <w:t>para contabilizar la experiencia profesional de los ingenieros «L</w:t>
      </w:r>
      <w:r w:rsidR="006754AC" w:rsidRPr="00204F24">
        <w:rPr>
          <w:rFonts w:ascii="Arial" w:eastAsia="Calibri" w:hAnsi="Arial" w:cs="Arial"/>
          <w:bCs/>
          <w:sz w:val="22"/>
          <w:lang w:val="es-ES_tradnl"/>
        </w:rPr>
        <w:t>a norma aplicable es el artículo 229 del Decreto 019 de 2012, el cual establece que la</w:t>
      </w:r>
      <w:r w:rsidR="006754AC">
        <w:rPr>
          <w:rFonts w:ascii="Arial" w:eastAsia="Calibri" w:hAnsi="Arial" w:cs="Arial"/>
          <w:bCs/>
          <w:sz w:val="22"/>
          <w:lang w:val="es-ES_tradnl"/>
        </w:rPr>
        <w:t xml:space="preserve"> </w:t>
      </w:r>
      <w:r w:rsidR="006754AC" w:rsidRPr="00204F24">
        <w:rPr>
          <w:rFonts w:ascii="Arial" w:eastAsia="Calibri" w:hAnsi="Arial" w:cs="Arial"/>
          <w:bCs/>
          <w:sz w:val="22"/>
          <w:lang w:val="es-ES_tradnl"/>
        </w:rPr>
        <w:t>experiencia profesional comienza a contarse a partir de la terminación y aprobación del</w:t>
      </w:r>
      <w:r w:rsidR="006754AC">
        <w:rPr>
          <w:rFonts w:ascii="Arial" w:eastAsia="Calibri" w:hAnsi="Arial" w:cs="Arial"/>
          <w:bCs/>
          <w:sz w:val="22"/>
          <w:lang w:val="es-ES_tradnl"/>
        </w:rPr>
        <w:t xml:space="preserve"> </w:t>
      </w:r>
      <w:r w:rsidR="006754AC" w:rsidRPr="00204F24">
        <w:rPr>
          <w:rFonts w:ascii="Arial" w:eastAsia="Calibri" w:hAnsi="Arial" w:cs="Arial"/>
          <w:bCs/>
          <w:sz w:val="22"/>
          <w:lang w:val="es-ES_tradnl"/>
        </w:rPr>
        <w:t>pensum académico. Lo anterior, sin perjuicio de lo dispuesto en el artículo 192 de la Ley</w:t>
      </w:r>
      <w:r w:rsidR="006754AC">
        <w:rPr>
          <w:rFonts w:ascii="Arial" w:eastAsia="Calibri" w:hAnsi="Arial" w:cs="Arial"/>
          <w:bCs/>
          <w:sz w:val="22"/>
          <w:lang w:val="es-ES_tradnl"/>
        </w:rPr>
        <w:t xml:space="preserve"> </w:t>
      </w:r>
      <w:r w:rsidR="006754AC" w:rsidRPr="00204F24">
        <w:rPr>
          <w:rFonts w:ascii="Arial" w:eastAsia="Calibri" w:hAnsi="Arial" w:cs="Arial"/>
          <w:bCs/>
          <w:sz w:val="22"/>
          <w:lang w:val="es-ES_tradnl"/>
        </w:rPr>
        <w:t xml:space="preserve">1955 de 2019, que dispone que </w:t>
      </w:r>
      <w:r w:rsidR="006754AC">
        <w:rPr>
          <w:rFonts w:ascii="Arial" w:eastAsia="Calibri" w:hAnsi="Arial" w:cs="Arial"/>
          <w:bCs/>
          <w:sz w:val="22"/>
          <w:lang w:val="es-ES_tradnl"/>
        </w:rPr>
        <w:t>“</w:t>
      </w:r>
      <w:r w:rsidR="006754AC" w:rsidRPr="00204F24">
        <w:rPr>
          <w:rFonts w:ascii="Arial" w:eastAsia="Calibri" w:hAnsi="Arial" w:cs="Arial"/>
          <w:bCs/>
          <w:sz w:val="22"/>
          <w:lang w:val="es-ES_tradnl"/>
        </w:rPr>
        <w:t xml:space="preserve">la práctica laboral </w:t>
      </w:r>
      <w:r w:rsidR="006754AC" w:rsidRPr="00204F24">
        <w:rPr>
          <w:rFonts w:ascii="Arial" w:eastAsia="Calibri" w:hAnsi="Arial" w:cs="Arial"/>
          <w:bCs/>
          <w:sz w:val="22"/>
          <w:lang w:val="es-ES_tradnl"/>
        </w:rPr>
        <w:lastRenderedPageBreak/>
        <w:t>que el estudiante realice para optar a</w:t>
      </w:r>
      <w:r w:rsidR="006754AC">
        <w:rPr>
          <w:rFonts w:ascii="Arial" w:eastAsia="Calibri" w:hAnsi="Arial" w:cs="Arial"/>
          <w:bCs/>
          <w:sz w:val="22"/>
          <w:lang w:val="es-ES_tradnl"/>
        </w:rPr>
        <w:t xml:space="preserve"> </w:t>
      </w:r>
      <w:r w:rsidR="006754AC" w:rsidRPr="00204F24">
        <w:rPr>
          <w:rFonts w:ascii="Arial" w:eastAsia="Calibri" w:hAnsi="Arial" w:cs="Arial"/>
          <w:bCs/>
          <w:sz w:val="22"/>
          <w:lang w:val="es-ES_tradnl"/>
        </w:rPr>
        <w:t>su título de profesional, tecnológico o técnico cuenta como experiencia laboral</w:t>
      </w:r>
      <w:r w:rsidR="006754AC">
        <w:rPr>
          <w:rFonts w:ascii="Arial" w:eastAsia="Calibri" w:hAnsi="Arial" w:cs="Arial"/>
          <w:bCs/>
          <w:sz w:val="22"/>
          <w:lang w:val="es-ES_tradnl"/>
        </w:rPr>
        <w:t>”</w:t>
      </w:r>
      <w:r w:rsidR="006754AC" w:rsidRPr="00204F24">
        <w:rPr>
          <w:rFonts w:ascii="Arial" w:eastAsia="Calibri" w:hAnsi="Arial" w:cs="Arial"/>
          <w:bCs/>
          <w:sz w:val="22"/>
          <w:lang w:val="es-ES_tradnl"/>
        </w:rPr>
        <w:t>»</w:t>
      </w:r>
      <w:r w:rsidR="006754AC">
        <w:rPr>
          <w:rFonts w:ascii="Arial" w:eastAsia="Calibri" w:hAnsi="Arial" w:cs="Arial"/>
          <w:bCs/>
          <w:sz w:val="22"/>
          <w:lang w:val="es-ES_tradnl"/>
        </w:rPr>
        <w:t>.</w:t>
      </w:r>
    </w:p>
    <w:bookmarkEnd w:id="14"/>
    <w:p w14:paraId="332FC106" w14:textId="6E6CE593" w:rsidR="00D51D54" w:rsidRDefault="00D51D54" w:rsidP="00D51D54">
      <w:pPr>
        <w:tabs>
          <w:tab w:val="left" w:pos="426"/>
        </w:tabs>
        <w:spacing w:before="120" w:line="276" w:lineRule="auto"/>
        <w:jc w:val="both"/>
        <w:rPr>
          <w:rFonts w:ascii="Arial" w:eastAsia="Calibri" w:hAnsi="Arial" w:cs="Arial"/>
          <w:bCs/>
          <w:sz w:val="22"/>
          <w:lang w:val="es-ES_tradnl"/>
        </w:rPr>
      </w:pPr>
      <w:r>
        <w:rPr>
          <w:rFonts w:ascii="Arial" w:eastAsia="Calibri" w:hAnsi="Arial" w:cs="Arial"/>
          <w:bCs/>
          <w:sz w:val="22"/>
          <w:lang w:val="es-ES_tradnl"/>
        </w:rPr>
        <w:tab/>
      </w:r>
      <w:r>
        <w:rPr>
          <w:rFonts w:ascii="Arial" w:eastAsia="Calibri" w:hAnsi="Arial" w:cs="Arial"/>
          <w:bCs/>
          <w:sz w:val="22"/>
          <w:lang w:val="es-ES_tradnl"/>
        </w:rPr>
        <w:tab/>
        <w:t xml:space="preserve">Al respecto, es pertinente resaltar que la interpretación relacionada con la derogatoria tácita del artículo 12 de la </w:t>
      </w:r>
      <w:bookmarkStart w:id="15" w:name="_Hlk44491358"/>
      <w:r>
        <w:rPr>
          <w:rFonts w:ascii="Arial" w:eastAsia="Calibri" w:hAnsi="Arial" w:cs="Arial"/>
          <w:bCs/>
          <w:sz w:val="22"/>
          <w:lang w:val="es-ES_tradnl"/>
        </w:rPr>
        <w:t>Ley 842 de 2003</w:t>
      </w:r>
      <w:bookmarkEnd w:id="15"/>
      <w:r>
        <w:rPr>
          <w:rFonts w:ascii="Arial" w:eastAsia="Calibri" w:hAnsi="Arial" w:cs="Arial"/>
          <w:bCs/>
          <w:sz w:val="22"/>
          <w:lang w:val="es-ES_tradnl"/>
        </w:rPr>
        <w:t xml:space="preserve"> es compartida por varias entidades públicas. En efecto, el Departamento Administrativo de la Función Pública, en conceptos del 20 de febrero</w:t>
      </w:r>
      <w:r>
        <w:rPr>
          <w:rStyle w:val="Refdenotaalpie"/>
          <w:rFonts w:ascii="Arial" w:eastAsia="Calibri" w:hAnsi="Arial" w:cs="Arial"/>
          <w:bCs/>
          <w:sz w:val="22"/>
          <w:lang w:val="es-ES_tradnl"/>
        </w:rPr>
        <w:footnoteReference w:id="1"/>
      </w:r>
      <w:r>
        <w:rPr>
          <w:rFonts w:ascii="Arial" w:eastAsia="Calibri" w:hAnsi="Arial" w:cs="Arial"/>
          <w:bCs/>
          <w:sz w:val="22"/>
          <w:lang w:val="es-ES_tradnl"/>
        </w:rPr>
        <w:t xml:space="preserve"> y el 2 de marzo de 2012</w:t>
      </w:r>
      <w:r>
        <w:rPr>
          <w:rStyle w:val="Refdenotaalpie"/>
          <w:rFonts w:ascii="Arial" w:eastAsia="Calibri" w:hAnsi="Arial" w:cs="Arial"/>
          <w:bCs/>
          <w:sz w:val="22"/>
          <w:lang w:val="es-ES_tradnl"/>
        </w:rPr>
        <w:footnoteReference w:id="2"/>
      </w:r>
      <w:r>
        <w:rPr>
          <w:rFonts w:ascii="Arial" w:eastAsia="Calibri" w:hAnsi="Arial" w:cs="Arial"/>
          <w:bCs/>
          <w:sz w:val="22"/>
          <w:lang w:val="es-ES_tradnl"/>
        </w:rPr>
        <w:t>, explica la derogatoria del artículo 12 de la Ley 842 de 2003 por parte del artículo 229 del Decreto Ley 19 de 2012. Posteriormente, en el concepto del 3 de septiembre de 2013</w:t>
      </w:r>
      <w:r>
        <w:rPr>
          <w:rStyle w:val="Refdenotaalpie"/>
          <w:rFonts w:ascii="Arial" w:eastAsia="Calibri" w:hAnsi="Arial" w:cs="Arial"/>
          <w:bCs/>
          <w:sz w:val="22"/>
          <w:lang w:val="es-ES_tradnl"/>
        </w:rPr>
        <w:footnoteReference w:id="3"/>
      </w:r>
      <w:r>
        <w:rPr>
          <w:rFonts w:ascii="Arial" w:eastAsia="Calibri" w:hAnsi="Arial" w:cs="Arial"/>
          <w:bCs/>
          <w:sz w:val="22"/>
          <w:lang w:val="es-ES_tradnl"/>
        </w:rPr>
        <w:t>, considera l</w:t>
      </w:r>
      <w:r w:rsidR="005760C8">
        <w:rPr>
          <w:rFonts w:ascii="Arial" w:eastAsia="Calibri" w:hAnsi="Arial" w:cs="Arial"/>
          <w:bCs/>
          <w:sz w:val="22"/>
          <w:lang w:val="es-ES_tradnl"/>
        </w:rPr>
        <w:t>o</w:t>
      </w:r>
      <w:r>
        <w:rPr>
          <w:rFonts w:ascii="Arial" w:eastAsia="Calibri" w:hAnsi="Arial" w:cs="Arial"/>
          <w:bCs/>
          <w:sz w:val="22"/>
          <w:lang w:val="es-ES_tradnl"/>
        </w:rPr>
        <w:t xml:space="preserve"> siguiente: </w:t>
      </w:r>
    </w:p>
    <w:p w14:paraId="4A0CDF57" w14:textId="77777777" w:rsidR="00D51D54" w:rsidRDefault="00D51D54" w:rsidP="00D51D54">
      <w:pPr>
        <w:tabs>
          <w:tab w:val="left" w:pos="426"/>
        </w:tabs>
        <w:spacing w:line="276" w:lineRule="auto"/>
        <w:jc w:val="both"/>
        <w:rPr>
          <w:rFonts w:ascii="Arial" w:eastAsia="Calibri" w:hAnsi="Arial" w:cs="Arial"/>
          <w:bCs/>
          <w:sz w:val="22"/>
          <w:lang w:val="es-ES_tradnl"/>
        </w:rPr>
      </w:pPr>
    </w:p>
    <w:p w14:paraId="6AE0F67A" w14:textId="77777777" w:rsidR="00D51D54" w:rsidRPr="00C230A7" w:rsidRDefault="00D51D54" w:rsidP="00D51D54">
      <w:pPr>
        <w:tabs>
          <w:tab w:val="left" w:pos="426"/>
        </w:tabs>
        <w:spacing w:after="120"/>
        <w:ind w:left="709" w:right="709"/>
        <w:jc w:val="both"/>
        <w:rPr>
          <w:rFonts w:ascii="Arial" w:eastAsia="Calibri" w:hAnsi="Arial" w:cs="Arial"/>
          <w:bCs/>
          <w:sz w:val="21"/>
          <w:szCs w:val="21"/>
        </w:rPr>
      </w:pPr>
      <w:r w:rsidRPr="00C230A7">
        <w:rPr>
          <w:rFonts w:ascii="Arial" w:eastAsia="Calibri" w:hAnsi="Arial" w:cs="Arial"/>
          <w:bCs/>
          <w:sz w:val="21"/>
          <w:szCs w:val="21"/>
        </w:rPr>
        <w:t xml:space="preserve">De acuerdo con lo anterior, el Decreto ley 019 de 2012 rige a partir del 10 de enero de 2012 y debe aplicarse para todas aquellas situaciones que se presenten con posterioridad a su </w:t>
      </w:r>
      <w:proofErr w:type="gramStart"/>
      <w:r w:rsidRPr="00C230A7">
        <w:rPr>
          <w:rFonts w:ascii="Arial" w:eastAsia="Calibri" w:hAnsi="Arial" w:cs="Arial"/>
          <w:bCs/>
          <w:sz w:val="21"/>
          <w:szCs w:val="21"/>
        </w:rPr>
        <w:t>entrada en vigencia</w:t>
      </w:r>
      <w:proofErr w:type="gramEnd"/>
      <w:r w:rsidRPr="00C230A7">
        <w:rPr>
          <w:rFonts w:ascii="Arial" w:eastAsia="Calibri" w:hAnsi="Arial" w:cs="Arial"/>
          <w:bCs/>
          <w:sz w:val="21"/>
          <w:szCs w:val="21"/>
        </w:rPr>
        <w:t>.</w:t>
      </w:r>
    </w:p>
    <w:p w14:paraId="535C9969" w14:textId="77777777" w:rsidR="00D51D54" w:rsidRDefault="00D51D54" w:rsidP="00D51D54">
      <w:pPr>
        <w:tabs>
          <w:tab w:val="left" w:pos="426"/>
        </w:tabs>
        <w:ind w:left="709" w:right="709"/>
        <w:jc w:val="both"/>
        <w:rPr>
          <w:rFonts w:ascii="Arial" w:eastAsia="Calibri" w:hAnsi="Arial" w:cs="Arial"/>
          <w:bCs/>
          <w:sz w:val="21"/>
          <w:szCs w:val="21"/>
        </w:rPr>
      </w:pPr>
      <w:r w:rsidRPr="00C230A7">
        <w:rPr>
          <w:rFonts w:ascii="Arial" w:eastAsia="Calibri" w:hAnsi="Arial" w:cs="Arial"/>
          <w:bCs/>
          <w:sz w:val="21"/>
          <w:szCs w:val="21"/>
        </w:rPr>
        <w:t>Vale la pena aclarar que con el Decreto ley 0019 de 2012 operó una derogatoria tácita de las normas que le son contrarias, es decir, aquellas que contemplaban que la experiencia profesional se computaba a partir de la fecha de expedición de la matrícula profesional o del certificado de inscripción profesional, respectivamente.</w:t>
      </w:r>
    </w:p>
    <w:p w14:paraId="22762AFC" w14:textId="77777777" w:rsidR="00D51D54" w:rsidRDefault="00D51D54" w:rsidP="00D51D54">
      <w:pPr>
        <w:tabs>
          <w:tab w:val="left" w:pos="426"/>
        </w:tabs>
        <w:spacing w:after="120"/>
        <w:ind w:left="709" w:right="709"/>
        <w:jc w:val="both"/>
        <w:rPr>
          <w:rFonts w:ascii="Arial" w:eastAsia="Calibri" w:hAnsi="Arial" w:cs="Arial"/>
          <w:bCs/>
          <w:sz w:val="21"/>
          <w:szCs w:val="21"/>
        </w:rPr>
      </w:pPr>
      <w:r>
        <w:rPr>
          <w:rFonts w:ascii="Arial" w:eastAsia="Calibri" w:hAnsi="Arial" w:cs="Arial"/>
          <w:bCs/>
          <w:sz w:val="21"/>
          <w:szCs w:val="21"/>
        </w:rPr>
        <w:t>[…]</w:t>
      </w:r>
    </w:p>
    <w:p w14:paraId="2A5BD738" w14:textId="4216960F" w:rsidR="00D51D54" w:rsidRPr="00C230A7" w:rsidRDefault="00D51D54" w:rsidP="00D51D54">
      <w:pPr>
        <w:tabs>
          <w:tab w:val="left" w:pos="426"/>
        </w:tabs>
        <w:ind w:left="709" w:right="709"/>
        <w:jc w:val="both"/>
        <w:rPr>
          <w:rFonts w:ascii="Arial" w:eastAsia="Calibri" w:hAnsi="Arial" w:cs="Arial"/>
          <w:bCs/>
          <w:sz w:val="21"/>
          <w:szCs w:val="21"/>
        </w:rPr>
      </w:pPr>
      <w:r w:rsidRPr="00D51D54">
        <w:rPr>
          <w:rFonts w:ascii="Arial" w:eastAsia="Calibri" w:hAnsi="Arial" w:cs="Arial"/>
          <w:bCs/>
          <w:i/>
          <w:iCs/>
          <w:sz w:val="21"/>
          <w:szCs w:val="21"/>
        </w:rPr>
        <w:t>Es decir, la experiencia profesional de todas las personas que se vinculen con posterioridad a la expedición del Decreto-ley 0019 de 2012, deberá contabilizarse a partir de la aprobación del pensum académico de la formación profesional respectiva, salvo como ya se advirtió, las profesiones relacionadas con el sistema de seguridad social en salud</w:t>
      </w:r>
      <w:r w:rsidRPr="00224187">
        <w:rPr>
          <w:rFonts w:ascii="Arial" w:eastAsia="Calibri" w:hAnsi="Arial" w:cs="Arial"/>
          <w:bCs/>
          <w:sz w:val="21"/>
          <w:szCs w:val="21"/>
        </w:rPr>
        <w:t>.</w:t>
      </w:r>
      <w:r>
        <w:rPr>
          <w:rFonts w:ascii="Arial" w:eastAsia="Calibri" w:hAnsi="Arial" w:cs="Arial"/>
          <w:bCs/>
          <w:sz w:val="21"/>
          <w:szCs w:val="21"/>
        </w:rPr>
        <w:t xml:space="preserve"> (Énfasis fuera de texto)</w:t>
      </w:r>
    </w:p>
    <w:p w14:paraId="205C58BC" w14:textId="77777777" w:rsidR="00D51D54" w:rsidRPr="00C230A7" w:rsidRDefault="00D51D54" w:rsidP="00D51D54">
      <w:pPr>
        <w:tabs>
          <w:tab w:val="left" w:pos="426"/>
        </w:tabs>
        <w:ind w:left="709" w:right="709"/>
        <w:jc w:val="both"/>
        <w:rPr>
          <w:rFonts w:ascii="Arial" w:eastAsia="Calibri" w:hAnsi="Arial" w:cs="Arial"/>
          <w:bCs/>
          <w:sz w:val="21"/>
          <w:szCs w:val="21"/>
        </w:rPr>
      </w:pPr>
    </w:p>
    <w:p w14:paraId="11C4F286" w14:textId="1EEF550F" w:rsidR="00D51D54" w:rsidRDefault="00D51D54" w:rsidP="00D51D54">
      <w:pPr>
        <w:tabs>
          <w:tab w:val="left" w:pos="426"/>
        </w:tabs>
        <w:spacing w:after="120" w:line="276" w:lineRule="auto"/>
        <w:jc w:val="both"/>
        <w:rPr>
          <w:rFonts w:ascii="Arial" w:eastAsia="Calibri" w:hAnsi="Arial" w:cs="Arial"/>
          <w:bCs/>
          <w:sz w:val="22"/>
          <w:lang w:val="es-ES_tradnl"/>
        </w:rPr>
      </w:pPr>
      <w:r>
        <w:rPr>
          <w:rFonts w:ascii="Arial" w:eastAsia="Calibri" w:hAnsi="Arial" w:cs="Arial"/>
          <w:bCs/>
          <w:sz w:val="22"/>
          <w:lang w:val="es-ES_tradnl"/>
        </w:rPr>
        <w:tab/>
      </w:r>
      <w:r>
        <w:rPr>
          <w:rFonts w:ascii="Arial" w:eastAsia="Calibri" w:hAnsi="Arial" w:cs="Arial"/>
          <w:bCs/>
          <w:sz w:val="22"/>
          <w:lang w:val="es-ES_tradnl"/>
        </w:rPr>
        <w:tab/>
        <w:t xml:space="preserve">Las consideraciones del Departamento Administrativo de la Función Pública son especialmente relevantes </w:t>
      </w:r>
      <w:r w:rsidR="005760C8">
        <w:rPr>
          <w:rFonts w:ascii="Arial" w:eastAsia="Calibri" w:hAnsi="Arial" w:cs="Arial"/>
          <w:bCs/>
          <w:sz w:val="22"/>
          <w:lang w:val="es-ES_tradnl"/>
        </w:rPr>
        <w:t>teniendo en cuenta</w:t>
      </w:r>
      <w:r>
        <w:rPr>
          <w:rFonts w:ascii="Arial" w:eastAsia="Calibri" w:hAnsi="Arial" w:cs="Arial"/>
          <w:bCs/>
          <w:sz w:val="22"/>
          <w:lang w:val="es-ES_tradnl"/>
        </w:rPr>
        <w:t xml:space="preserve"> la ubicación del artículo 229 del Decreto Ley 019 de 2012, toda vez que se encuentra en capítulo XIX sobre los «</w:t>
      </w:r>
      <w:r w:rsidRPr="007915BC">
        <w:rPr>
          <w:rFonts w:ascii="Arial" w:eastAsia="Calibri" w:hAnsi="Arial" w:cs="Arial"/>
          <w:bCs/>
          <w:sz w:val="22"/>
          <w:lang w:val="es-ES_tradnl"/>
        </w:rPr>
        <w:t>trámites, procedimientos y regulaciones del sector administrativo de la función pública</w:t>
      </w:r>
      <w:r>
        <w:rPr>
          <w:rFonts w:ascii="Arial" w:eastAsia="Calibri" w:hAnsi="Arial" w:cs="Arial"/>
          <w:bCs/>
          <w:sz w:val="22"/>
          <w:lang w:val="es-ES_tradnl"/>
        </w:rPr>
        <w:t>». La importancia de este aspecto, en relación con la tesis de la Agencia, se debe a que en esta entidad</w:t>
      </w:r>
      <w:r w:rsidR="00996159">
        <w:rPr>
          <w:rFonts w:ascii="Arial" w:eastAsia="Calibri" w:hAnsi="Arial" w:cs="Arial"/>
          <w:bCs/>
          <w:sz w:val="22"/>
          <w:lang w:val="es-ES_tradnl"/>
        </w:rPr>
        <w:t xml:space="preserve"> fue</w:t>
      </w:r>
      <w:r>
        <w:rPr>
          <w:rFonts w:ascii="Arial" w:eastAsia="Calibri" w:hAnsi="Arial" w:cs="Arial"/>
          <w:bCs/>
          <w:sz w:val="22"/>
          <w:lang w:val="es-ES_tradnl"/>
        </w:rPr>
        <w:t xml:space="preserve"> donde se originó el contenido del citado artículo 229, de manera que cuentan con un alto grado de idoneidad y legitimidad para señalar el espíritu, alcance o finalidad de </w:t>
      </w:r>
      <w:r w:rsidR="00996159">
        <w:rPr>
          <w:rFonts w:ascii="Arial" w:eastAsia="Calibri" w:hAnsi="Arial" w:cs="Arial"/>
          <w:bCs/>
          <w:sz w:val="22"/>
          <w:lang w:val="es-ES_tradnl"/>
        </w:rPr>
        <w:t>esta</w:t>
      </w:r>
      <w:r>
        <w:rPr>
          <w:rFonts w:ascii="Arial" w:eastAsia="Calibri" w:hAnsi="Arial" w:cs="Arial"/>
          <w:bCs/>
          <w:sz w:val="22"/>
          <w:lang w:val="es-ES_tradnl"/>
        </w:rPr>
        <w:t xml:space="preserve"> disposición. A partir de allí se concluye que la finalidad de dicho artículo fue derogar las disposiciones que contempla</w:t>
      </w:r>
      <w:r w:rsidR="00741B2A">
        <w:rPr>
          <w:rFonts w:ascii="Arial" w:eastAsia="Calibri" w:hAnsi="Arial" w:cs="Arial"/>
          <w:bCs/>
          <w:sz w:val="22"/>
          <w:lang w:val="es-ES_tradnl"/>
        </w:rPr>
        <w:t>ban</w:t>
      </w:r>
      <w:r>
        <w:rPr>
          <w:rFonts w:ascii="Arial" w:eastAsia="Calibri" w:hAnsi="Arial" w:cs="Arial"/>
          <w:bCs/>
          <w:sz w:val="22"/>
          <w:lang w:val="es-ES_tradnl"/>
        </w:rPr>
        <w:t xml:space="preserve"> el cómputo de la experiencia profesional desde la expedición de la matrícula </w:t>
      </w:r>
      <w:r>
        <w:rPr>
          <w:rFonts w:ascii="Arial" w:eastAsia="Calibri" w:hAnsi="Arial" w:cs="Arial"/>
          <w:bCs/>
          <w:sz w:val="22"/>
          <w:lang w:val="es-ES_tradnl"/>
        </w:rPr>
        <w:lastRenderedPageBreak/>
        <w:t xml:space="preserve">profesional o certificado de inscripción profesional, con excepción de las </w:t>
      </w:r>
      <w:r w:rsidRPr="00224187">
        <w:rPr>
          <w:rFonts w:ascii="Arial" w:eastAsia="Calibri" w:hAnsi="Arial" w:cs="Arial"/>
          <w:bCs/>
          <w:sz w:val="22"/>
          <w:lang w:val="es-ES_tradnl"/>
        </w:rPr>
        <w:t>profesiones relacionadas con el sistema de seguridad social en salud</w:t>
      </w:r>
      <w:r>
        <w:rPr>
          <w:rFonts w:ascii="Arial" w:eastAsia="Calibri" w:hAnsi="Arial" w:cs="Arial"/>
          <w:bCs/>
          <w:sz w:val="22"/>
          <w:lang w:val="es-ES_tradnl"/>
        </w:rPr>
        <w:t>, tal como se desprende del aparte anteriormente citado.</w:t>
      </w:r>
    </w:p>
    <w:p w14:paraId="4B98CA6F" w14:textId="3509FB11" w:rsidR="00D51D54" w:rsidRDefault="00D51D54" w:rsidP="00D51D54">
      <w:pPr>
        <w:tabs>
          <w:tab w:val="left" w:pos="426"/>
        </w:tabs>
        <w:spacing w:line="276" w:lineRule="auto"/>
        <w:jc w:val="both"/>
        <w:rPr>
          <w:rFonts w:ascii="Arial" w:eastAsia="Calibri" w:hAnsi="Arial" w:cs="Arial"/>
          <w:bCs/>
          <w:sz w:val="22"/>
          <w:lang w:val="es-ES_tradnl"/>
        </w:rPr>
      </w:pPr>
      <w:r>
        <w:rPr>
          <w:rFonts w:ascii="Arial" w:eastAsia="Calibri" w:hAnsi="Arial" w:cs="Arial"/>
          <w:bCs/>
          <w:sz w:val="22"/>
          <w:lang w:val="es-ES_tradnl"/>
        </w:rPr>
        <w:tab/>
      </w:r>
      <w:r w:rsidR="005760C8">
        <w:rPr>
          <w:rFonts w:ascii="Arial" w:eastAsia="Calibri" w:hAnsi="Arial" w:cs="Arial"/>
          <w:bCs/>
          <w:sz w:val="22"/>
          <w:lang w:val="es-ES_tradnl"/>
        </w:rPr>
        <w:tab/>
      </w:r>
      <w:r>
        <w:rPr>
          <w:rFonts w:ascii="Arial" w:eastAsia="Calibri" w:hAnsi="Arial" w:cs="Arial"/>
          <w:bCs/>
          <w:sz w:val="22"/>
          <w:lang w:val="es-ES_tradnl"/>
        </w:rPr>
        <w:t xml:space="preserve">Sin perjuicio de lo anterior, </w:t>
      </w:r>
      <w:r w:rsidR="0028403E">
        <w:rPr>
          <w:rFonts w:ascii="Arial" w:eastAsia="Calibri" w:hAnsi="Arial" w:cs="Arial"/>
          <w:bCs/>
          <w:sz w:val="22"/>
          <w:lang w:val="es-ES_tradnl"/>
        </w:rPr>
        <w:t>para explicar que</w:t>
      </w:r>
      <w:r>
        <w:rPr>
          <w:rFonts w:ascii="Arial" w:eastAsia="Calibri" w:hAnsi="Arial" w:cs="Arial"/>
          <w:bCs/>
          <w:sz w:val="22"/>
          <w:lang w:val="es-ES_tradnl"/>
        </w:rPr>
        <w:t xml:space="preserve"> esta interpretación es ampliamente compartida por otras autoridades, </w:t>
      </w:r>
      <w:r w:rsidR="0028403E">
        <w:rPr>
          <w:rFonts w:ascii="Arial" w:eastAsia="Calibri" w:hAnsi="Arial" w:cs="Arial"/>
          <w:bCs/>
          <w:sz w:val="22"/>
          <w:lang w:val="es-ES_tradnl"/>
        </w:rPr>
        <w:t>se expone</w:t>
      </w:r>
      <w:r>
        <w:rPr>
          <w:rFonts w:ascii="Arial" w:eastAsia="Calibri" w:hAnsi="Arial" w:cs="Arial"/>
          <w:bCs/>
          <w:sz w:val="22"/>
          <w:lang w:val="es-ES_tradnl"/>
        </w:rPr>
        <w:t xml:space="preserve"> la posición de algunas de ellas. En este sentido, el Ministerio de Educación Nacional, mediante concepto</w:t>
      </w:r>
      <w:r w:rsidR="00654483">
        <w:rPr>
          <w:rFonts w:ascii="Arial" w:eastAsia="Calibri" w:hAnsi="Arial" w:cs="Arial"/>
          <w:bCs/>
          <w:sz w:val="22"/>
          <w:lang w:val="es-ES_tradnl"/>
        </w:rPr>
        <w:t xml:space="preserve"> </w:t>
      </w:r>
      <w:r w:rsidR="00654483" w:rsidRPr="00654483">
        <w:rPr>
          <w:rFonts w:ascii="Arial" w:eastAsia="Calibri" w:hAnsi="Arial" w:cs="Arial"/>
          <w:bCs/>
          <w:sz w:val="22"/>
          <w:lang w:val="es-ES_tradnl"/>
        </w:rPr>
        <w:t>43952</w:t>
      </w:r>
      <w:r>
        <w:rPr>
          <w:rFonts w:ascii="Arial" w:eastAsia="Calibri" w:hAnsi="Arial" w:cs="Arial"/>
          <w:bCs/>
          <w:sz w:val="22"/>
          <w:lang w:val="es-ES_tradnl"/>
        </w:rPr>
        <w:t xml:space="preserve"> del 8 de mayo de 2015, </w:t>
      </w:r>
      <w:r w:rsidR="00654483">
        <w:rPr>
          <w:rFonts w:ascii="Arial" w:eastAsia="Calibri" w:hAnsi="Arial" w:cs="Arial"/>
          <w:bCs/>
          <w:sz w:val="22"/>
          <w:lang w:val="es-ES_tradnl"/>
        </w:rPr>
        <w:t>manifiesta lo siguiente</w:t>
      </w:r>
      <w:r>
        <w:rPr>
          <w:rFonts w:ascii="Arial" w:eastAsia="Calibri" w:hAnsi="Arial" w:cs="Arial"/>
          <w:bCs/>
          <w:sz w:val="22"/>
          <w:lang w:val="es-ES_tradnl"/>
        </w:rPr>
        <w:t>:</w:t>
      </w:r>
    </w:p>
    <w:p w14:paraId="3F9AD04D" w14:textId="77777777" w:rsidR="00D51D54" w:rsidRDefault="00D51D54" w:rsidP="00D51D54">
      <w:pPr>
        <w:tabs>
          <w:tab w:val="left" w:pos="426"/>
        </w:tabs>
        <w:spacing w:line="276" w:lineRule="auto"/>
        <w:jc w:val="both"/>
        <w:rPr>
          <w:rFonts w:ascii="Arial" w:eastAsia="Calibri" w:hAnsi="Arial" w:cs="Arial"/>
          <w:bCs/>
          <w:sz w:val="22"/>
          <w:lang w:val="es-ES_tradnl"/>
        </w:rPr>
      </w:pPr>
    </w:p>
    <w:p w14:paraId="3135FADB" w14:textId="0D9E9D15" w:rsidR="00D51D54" w:rsidRPr="001946FB" w:rsidRDefault="00D51D54" w:rsidP="00D51D54">
      <w:pPr>
        <w:tabs>
          <w:tab w:val="left" w:pos="426"/>
        </w:tabs>
        <w:ind w:left="709" w:right="709"/>
        <w:jc w:val="both"/>
        <w:rPr>
          <w:rFonts w:ascii="Arial" w:eastAsia="Calibri" w:hAnsi="Arial" w:cs="Arial"/>
          <w:bCs/>
          <w:sz w:val="21"/>
          <w:szCs w:val="21"/>
          <w:lang w:val="es-ES_tradnl"/>
        </w:rPr>
      </w:pPr>
      <w:r w:rsidRPr="00131E85">
        <w:rPr>
          <w:rFonts w:ascii="Arial" w:eastAsia="Calibri" w:hAnsi="Arial" w:cs="Arial"/>
          <w:bCs/>
          <w:sz w:val="21"/>
          <w:szCs w:val="21"/>
          <w:lang w:val="es-ES_tradnl"/>
        </w:rPr>
        <w:t xml:space="preserve">Teniendo en cuenta ese marco normativo, esta Oficina ha considerado, de forma reiterada, que debe aplicarse el Artículo 229 del Decreto Ley 019 de 2012, </w:t>
      </w:r>
      <w:proofErr w:type="gramStart"/>
      <w:r w:rsidRPr="00131E85">
        <w:rPr>
          <w:rFonts w:ascii="Arial" w:eastAsia="Calibri" w:hAnsi="Arial" w:cs="Arial"/>
          <w:bCs/>
          <w:sz w:val="21"/>
          <w:szCs w:val="21"/>
          <w:lang w:val="es-ES_tradnl"/>
        </w:rPr>
        <w:t>puesto que</w:t>
      </w:r>
      <w:proofErr w:type="gramEnd"/>
      <w:r w:rsidRPr="00131E85">
        <w:rPr>
          <w:rFonts w:ascii="Arial" w:eastAsia="Calibri" w:hAnsi="Arial" w:cs="Arial"/>
          <w:bCs/>
          <w:sz w:val="21"/>
          <w:szCs w:val="21"/>
          <w:lang w:val="es-ES_tradnl"/>
        </w:rPr>
        <w:t xml:space="preserve"> en nuestra opinión, con la expedición de este Decreto extraordinario operó la derogatoria tácita del Artículo 12 de la Ley 842 de 2003. Por ejemplo, en el Concepto 2012ER43404, se señaló que </w:t>
      </w:r>
      <w:r>
        <w:rPr>
          <w:rFonts w:ascii="Arial" w:eastAsia="Calibri" w:hAnsi="Arial" w:cs="Arial"/>
          <w:bCs/>
          <w:sz w:val="21"/>
          <w:szCs w:val="21"/>
          <w:lang w:val="es-ES_tradnl"/>
        </w:rPr>
        <w:t>«</w:t>
      </w:r>
      <w:r w:rsidRPr="00131E85">
        <w:rPr>
          <w:rFonts w:ascii="Arial" w:eastAsia="Calibri" w:hAnsi="Arial" w:cs="Arial"/>
          <w:bCs/>
          <w:sz w:val="21"/>
          <w:szCs w:val="21"/>
          <w:lang w:val="es-ES_tradnl"/>
        </w:rPr>
        <w:t xml:space="preserve">siguiendo el principio señalado en el artículo 71 del Código Civil según el cual la derogación de una ley es “…tácita cuando la nueva ley contiene disposiciones que no pueden conciliarse con la de la ley anterior”, el artículo 12 de la ley 842 de 2003 fue derogado tácitamente por el artículo 229 del </w:t>
      </w:r>
      <w:proofErr w:type="spellStart"/>
      <w:r w:rsidRPr="00131E85">
        <w:rPr>
          <w:rFonts w:ascii="Arial" w:eastAsia="Calibri" w:hAnsi="Arial" w:cs="Arial"/>
          <w:bCs/>
          <w:sz w:val="21"/>
          <w:szCs w:val="21"/>
          <w:lang w:val="es-ES_tradnl"/>
        </w:rPr>
        <w:t>Decreto­ley</w:t>
      </w:r>
      <w:proofErr w:type="spellEnd"/>
      <w:r w:rsidRPr="00131E85">
        <w:rPr>
          <w:rFonts w:ascii="Arial" w:eastAsia="Calibri" w:hAnsi="Arial" w:cs="Arial"/>
          <w:bCs/>
          <w:sz w:val="21"/>
          <w:szCs w:val="21"/>
          <w:lang w:val="es-ES_tradnl"/>
        </w:rPr>
        <w:t xml:space="preserve"> 019 de 2012</w:t>
      </w:r>
      <w:r>
        <w:rPr>
          <w:rFonts w:ascii="Arial" w:eastAsia="Calibri" w:hAnsi="Arial" w:cs="Arial"/>
          <w:bCs/>
          <w:sz w:val="21"/>
          <w:szCs w:val="21"/>
          <w:lang w:val="es-ES_tradnl"/>
        </w:rPr>
        <w:t>»</w:t>
      </w:r>
      <w:r w:rsidR="0028403E">
        <w:rPr>
          <w:rStyle w:val="Refdenotaalpie"/>
          <w:rFonts w:ascii="Arial" w:eastAsia="Calibri" w:hAnsi="Arial" w:cs="Arial"/>
          <w:bCs/>
          <w:sz w:val="22"/>
          <w:lang w:val="es-ES_tradnl"/>
        </w:rPr>
        <w:footnoteReference w:id="4"/>
      </w:r>
      <w:r w:rsidRPr="00131E85">
        <w:rPr>
          <w:rFonts w:ascii="Arial" w:eastAsia="Calibri" w:hAnsi="Arial" w:cs="Arial"/>
          <w:bCs/>
          <w:sz w:val="21"/>
          <w:szCs w:val="21"/>
          <w:lang w:val="es-ES_tradnl"/>
        </w:rPr>
        <w:t>.</w:t>
      </w:r>
      <w:r>
        <w:rPr>
          <w:rFonts w:ascii="Arial" w:eastAsia="Calibri" w:hAnsi="Arial" w:cs="Arial"/>
          <w:bCs/>
          <w:sz w:val="22"/>
          <w:lang w:val="es-ES_tradnl"/>
        </w:rPr>
        <w:t xml:space="preserve"> </w:t>
      </w:r>
    </w:p>
    <w:p w14:paraId="7EE57813" w14:textId="77777777" w:rsidR="00D51D54" w:rsidRDefault="00D51D54" w:rsidP="00D51D54">
      <w:pPr>
        <w:tabs>
          <w:tab w:val="left" w:pos="426"/>
        </w:tabs>
        <w:jc w:val="both"/>
        <w:rPr>
          <w:rFonts w:ascii="Arial" w:eastAsia="Calibri" w:hAnsi="Arial" w:cs="Arial"/>
          <w:bCs/>
          <w:sz w:val="22"/>
          <w:lang w:val="es-ES_tradnl"/>
        </w:rPr>
      </w:pPr>
    </w:p>
    <w:p w14:paraId="443C6CE9" w14:textId="6284B8B6" w:rsidR="00D51D54" w:rsidRDefault="00D51D54" w:rsidP="00D51D54">
      <w:pPr>
        <w:tabs>
          <w:tab w:val="left" w:pos="426"/>
        </w:tabs>
        <w:jc w:val="both"/>
        <w:rPr>
          <w:rFonts w:ascii="Arial" w:eastAsia="Calibri" w:hAnsi="Arial" w:cs="Arial"/>
          <w:bCs/>
          <w:sz w:val="22"/>
          <w:lang w:val="es-ES_tradnl"/>
        </w:rPr>
      </w:pPr>
      <w:r>
        <w:rPr>
          <w:rFonts w:ascii="Arial" w:eastAsia="Calibri" w:hAnsi="Arial" w:cs="Arial"/>
          <w:bCs/>
          <w:sz w:val="22"/>
          <w:lang w:val="es-ES_tradnl"/>
        </w:rPr>
        <w:tab/>
      </w:r>
      <w:r>
        <w:rPr>
          <w:rFonts w:ascii="Arial" w:eastAsia="Calibri" w:hAnsi="Arial" w:cs="Arial"/>
          <w:bCs/>
          <w:sz w:val="22"/>
          <w:lang w:val="es-ES_tradnl"/>
        </w:rPr>
        <w:tab/>
      </w:r>
      <w:r w:rsidRPr="001E79FF">
        <w:rPr>
          <w:rFonts w:ascii="Arial" w:eastAsia="Calibri" w:hAnsi="Arial" w:cs="Arial"/>
          <w:bCs/>
          <w:sz w:val="22"/>
          <w:lang w:val="es-ES_tradnl"/>
        </w:rPr>
        <w:t xml:space="preserve">El </w:t>
      </w:r>
      <w:bookmarkStart w:id="16" w:name="_Hlk44427264"/>
      <w:r w:rsidR="00575FF2">
        <w:rPr>
          <w:rFonts w:ascii="Arial" w:eastAsia="Calibri" w:hAnsi="Arial" w:cs="Arial"/>
          <w:bCs/>
          <w:sz w:val="22"/>
          <w:lang w:val="es-ES_tradnl"/>
        </w:rPr>
        <w:t>S</w:t>
      </w:r>
      <w:r w:rsidRPr="001E79FF">
        <w:rPr>
          <w:rFonts w:ascii="Arial" w:eastAsia="Calibri" w:hAnsi="Arial" w:cs="Arial"/>
          <w:bCs/>
          <w:sz w:val="22"/>
          <w:lang w:val="es-ES_tradnl"/>
        </w:rPr>
        <w:t>ervicio Nacional de Aprendizaje</w:t>
      </w:r>
      <w:bookmarkEnd w:id="16"/>
      <w:r w:rsidRPr="001E79FF">
        <w:rPr>
          <w:rFonts w:ascii="Arial" w:eastAsia="Calibri" w:hAnsi="Arial" w:cs="Arial"/>
          <w:bCs/>
          <w:sz w:val="22"/>
          <w:lang w:val="es-ES_tradnl"/>
        </w:rPr>
        <w:t xml:space="preserve"> −SENA−, en concepto del 21 de febrero de 2018, </w:t>
      </w:r>
      <w:r w:rsidR="00575FF2">
        <w:rPr>
          <w:rFonts w:ascii="Arial" w:eastAsia="Calibri" w:hAnsi="Arial" w:cs="Arial"/>
          <w:bCs/>
          <w:sz w:val="22"/>
          <w:lang w:val="es-ES_tradnl"/>
        </w:rPr>
        <w:t>considera que</w:t>
      </w:r>
      <w:r w:rsidRPr="001E79FF">
        <w:rPr>
          <w:rFonts w:ascii="Arial" w:eastAsia="Calibri" w:hAnsi="Arial" w:cs="Arial"/>
          <w:bCs/>
          <w:sz w:val="22"/>
          <w:lang w:val="es-ES_tradnl"/>
        </w:rPr>
        <w:t>:</w:t>
      </w:r>
    </w:p>
    <w:p w14:paraId="5D2AF1CC" w14:textId="77777777" w:rsidR="00D51D54" w:rsidRDefault="00D51D54" w:rsidP="00D51D54">
      <w:pPr>
        <w:tabs>
          <w:tab w:val="left" w:pos="426"/>
        </w:tabs>
        <w:rPr>
          <w:rFonts w:ascii="Arial" w:eastAsia="Calibri" w:hAnsi="Arial" w:cs="Arial"/>
          <w:bCs/>
          <w:sz w:val="22"/>
          <w:lang w:val="es-ES_tradnl"/>
        </w:rPr>
      </w:pPr>
    </w:p>
    <w:p w14:paraId="538B0011" w14:textId="3EF3FBDD" w:rsidR="00D51D54" w:rsidRPr="001E79FF" w:rsidRDefault="00575FF2" w:rsidP="00D51D54">
      <w:pPr>
        <w:tabs>
          <w:tab w:val="left" w:pos="426"/>
        </w:tabs>
        <w:ind w:left="709" w:right="709"/>
        <w:jc w:val="both"/>
        <w:rPr>
          <w:rFonts w:ascii="Arial" w:eastAsia="Calibri" w:hAnsi="Arial" w:cs="Arial"/>
          <w:bCs/>
          <w:sz w:val="21"/>
          <w:szCs w:val="21"/>
          <w:lang w:val="es-ES_tradnl"/>
        </w:rPr>
      </w:pPr>
      <w:r>
        <w:rPr>
          <w:rFonts w:ascii="Arial" w:eastAsia="Calibri" w:hAnsi="Arial" w:cs="Arial"/>
          <w:bCs/>
          <w:sz w:val="21"/>
          <w:szCs w:val="21"/>
          <w:lang w:val="es-ES_tradnl"/>
        </w:rPr>
        <w:t>[…]</w:t>
      </w:r>
      <w:r w:rsidR="00D51D54" w:rsidRPr="001E79FF">
        <w:rPr>
          <w:rFonts w:ascii="Arial" w:eastAsia="Calibri" w:hAnsi="Arial" w:cs="Arial"/>
          <w:bCs/>
          <w:sz w:val="21"/>
          <w:szCs w:val="21"/>
          <w:lang w:val="es-ES_tradnl"/>
        </w:rPr>
        <w:t xml:space="preserve"> al haberse producido el fenómeno de la derogatoria tácita del artículo 12 de la Ley 842 de 2003 por la nueva regulación que sobre la misma materia consagra el artículo 229 del Decreto Ley 019 de 2012, encontramos que la experiencia profesional en toda nueva vinculación que se realice para proveer empleos públicos a partir de la vigencia del Decreto 019 de 2012, se reconocerá y contabilizará a partir de la terminación y aprobación de la totalidad de materias que conforman el pensum académico de educación superior de la formación profesional respectiva</w:t>
      </w:r>
      <w:r>
        <w:rPr>
          <w:rStyle w:val="Refdenotaalpie"/>
          <w:rFonts w:ascii="Arial" w:eastAsia="Calibri" w:hAnsi="Arial" w:cs="Arial"/>
          <w:bCs/>
          <w:sz w:val="21"/>
          <w:szCs w:val="21"/>
          <w:lang w:val="es-ES_tradnl"/>
        </w:rPr>
        <w:footnoteReference w:id="5"/>
      </w:r>
      <w:r w:rsidR="00D51D54" w:rsidRPr="001E79FF">
        <w:rPr>
          <w:rFonts w:ascii="Arial" w:eastAsia="Calibri" w:hAnsi="Arial" w:cs="Arial"/>
          <w:bCs/>
          <w:sz w:val="21"/>
          <w:szCs w:val="21"/>
          <w:lang w:val="es-ES_tradnl"/>
        </w:rPr>
        <w:t>.</w:t>
      </w:r>
    </w:p>
    <w:p w14:paraId="168E67AB" w14:textId="77777777" w:rsidR="00D51D54" w:rsidRDefault="00D51D54" w:rsidP="00D51D54">
      <w:pPr>
        <w:tabs>
          <w:tab w:val="left" w:pos="426"/>
        </w:tabs>
        <w:spacing w:line="276" w:lineRule="auto"/>
        <w:jc w:val="both"/>
        <w:rPr>
          <w:rFonts w:ascii="Arial" w:eastAsia="Calibri" w:hAnsi="Arial" w:cs="Arial"/>
          <w:b/>
          <w:sz w:val="22"/>
          <w:lang w:val="es-ES_tradnl"/>
        </w:rPr>
      </w:pPr>
    </w:p>
    <w:p w14:paraId="702BB647" w14:textId="440B4ECC" w:rsidR="00D51D54" w:rsidRDefault="00D51D54" w:rsidP="00D51D54">
      <w:pPr>
        <w:tabs>
          <w:tab w:val="left" w:pos="426"/>
        </w:tabs>
        <w:spacing w:line="276" w:lineRule="auto"/>
        <w:jc w:val="both"/>
        <w:rPr>
          <w:rFonts w:ascii="Arial" w:eastAsia="Calibri" w:hAnsi="Arial" w:cs="Arial"/>
          <w:bCs/>
          <w:sz w:val="22"/>
          <w:lang w:val="es-ES_tradnl"/>
        </w:rPr>
      </w:pPr>
      <w:r>
        <w:rPr>
          <w:rFonts w:ascii="Arial" w:eastAsia="Calibri" w:hAnsi="Arial" w:cs="Arial"/>
          <w:bCs/>
          <w:sz w:val="22"/>
          <w:lang w:val="es-ES_tradnl"/>
        </w:rPr>
        <w:tab/>
      </w:r>
      <w:r>
        <w:rPr>
          <w:rFonts w:ascii="Arial" w:eastAsia="Calibri" w:hAnsi="Arial" w:cs="Arial"/>
          <w:bCs/>
          <w:sz w:val="22"/>
          <w:lang w:val="es-ES_tradnl"/>
        </w:rPr>
        <w:tab/>
      </w:r>
      <w:r w:rsidRPr="001A64D1">
        <w:rPr>
          <w:rFonts w:ascii="Arial" w:eastAsia="Calibri" w:hAnsi="Arial" w:cs="Arial"/>
          <w:bCs/>
          <w:sz w:val="22"/>
          <w:lang w:val="es-ES_tradnl"/>
        </w:rPr>
        <w:t>El Ministerio de Salud</w:t>
      </w:r>
      <w:r>
        <w:rPr>
          <w:rFonts w:ascii="Arial" w:eastAsia="Calibri" w:hAnsi="Arial" w:cs="Arial"/>
          <w:bCs/>
          <w:sz w:val="22"/>
          <w:lang w:val="es-ES_tradnl"/>
        </w:rPr>
        <w:t xml:space="preserve"> y la Protección Social, por su parte, se pronunció en </w:t>
      </w:r>
      <w:r w:rsidR="00575FF2">
        <w:rPr>
          <w:rFonts w:ascii="Arial" w:eastAsia="Calibri" w:hAnsi="Arial" w:cs="Arial"/>
          <w:bCs/>
          <w:sz w:val="22"/>
          <w:lang w:val="es-ES_tradnl"/>
        </w:rPr>
        <w:t xml:space="preserve">los siguientes </w:t>
      </w:r>
      <w:r>
        <w:rPr>
          <w:rFonts w:ascii="Arial" w:eastAsia="Calibri" w:hAnsi="Arial" w:cs="Arial"/>
          <w:bCs/>
          <w:sz w:val="22"/>
          <w:lang w:val="es-ES_tradnl"/>
        </w:rPr>
        <w:t>términos:</w:t>
      </w:r>
    </w:p>
    <w:p w14:paraId="57FCB39C" w14:textId="77777777" w:rsidR="00D51D54" w:rsidRDefault="00D51D54" w:rsidP="00D51D54">
      <w:pPr>
        <w:tabs>
          <w:tab w:val="left" w:pos="426"/>
        </w:tabs>
        <w:spacing w:line="276" w:lineRule="auto"/>
        <w:jc w:val="both"/>
        <w:rPr>
          <w:rFonts w:ascii="Arial" w:eastAsia="Calibri" w:hAnsi="Arial" w:cs="Arial"/>
          <w:bCs/>
          <w:sz w:val="22"/>
          <w:lang w:val="es-ES_tradnl"/>
        </w:rPr>
      </w:pPr>
    </w:p>
    <w:p w14:paraId="14833E38" w14:textId="5F54F9E1" w:rsidR="00D51D54" w:rsidRPr="003A4125" w:rsidRDefault="00D51D54" w:rsidP="00D51D54">
      <w:pPr>
        <w:tabs>
          <w:tab w:val="left" w:pos="426"/>
        </w:tabs>
        <w:ind w:left="709" w:right="709"/>
        <w:jc w:val="both"/>
        <w:rPr>
          <w:rFonts w:ascii="Arial" w:eastAsia="Calibri" w:hAnsi="Arial" w:cs="Arial"/>
          <w:bCs/>
          <w:sz w:val="21"/>
          <w:szCs w:val="21"/>
          <w:lang w:val="es-ES_tradnl"/>
        </w:rPr>
      </w:pPr>
      <w:r w:rsidRPr="003A4125">
        <w:rPr>
          <w:rFonts w:ascii="Arial" w:eastAsia="Calibri" w:hAnsi="Arial" w:cs="Arial"/>
          <w:bCs/>
          <w:sz w:val="21"/>
          <w:szCs w:val="21"/>
          <w:lang w:val="es-ES_tradnl"/>
        </w:rPr>
        <w:t xml:space="preserve">Bajo el entendido de </w:t>
      </w:r>
      <w:proofErr w:type="gramStart"/>
      <w:r w:rsidRPr="003A4125">
        <w:rPr>
          <w:rFonts w:ascii="Arial" w:eastAsia="Calibri" w:hAnsi="Arial" w:cs="Arial"/>
          <w:bCs/>
          <w:sz w:val="21"/>
          <w:szCs w:val="21"/>
          <w:lang w:val="es-ES_tradnl"/>
        </w:rPr>
        <w:t>que</w:t>
      </w:r>
      <w:proofErr w:type="gramEnd"/>
      <w:r w:rsidRPr="003A4125">
        <w:rPr>
          <w:rFonts w:ascii="Arial" w:eastAsia="Calibri" w:hAnsi="Arial" w:cs="Arial"/>
          <w:bCs/>
          <w:sz w:val="21"/>
          <w:szCs w:val="21"/>
          <w:lang w:val="es-ES_tradnl"/>
        </w:rPr>
        <w:t xml:space="preserve"> al celebrar contratos de prestación de servicios con profesionales de la ingeniería, estos se comportan como particulares en ejercicio de funciones administrativas, esta Dirección considera que deberá darse aplicación a lo dispuesto en el artículo 229 del Decreto 019 de 2012</w:t>
      </w:r>
      <w:r w:rsidR="00BF19F3">
        <w:rPr>
          <w:rFonts w:ascii="Arial" w:eastAsia="Calibri" w:hAnsi="Arial" w:cs="Arial"/>
          <w:bCs/>
          <w:sz w:val="21"/>
          <w:szCs w:val="21"/>
          <w:lang w:val="es-ES_tradnl"/>
        </w:rPr>
        <w:t>.</w:t>
      </w:r>
      <w:r w:rsidR="00054E9A">
        <w:rPr>
          <w:rStyle w:val="Refdenotaalpie"/>
          <w:rFonts w:ascii="Arial" w:eastAsia="Calibri" w:hAnsi="Arial" w:cs="Arial"/>
          <w:bCs/>
          <w:sz w:val="22"/>
          <w:lang w:val="es-ES_tradnl"/>
        </w:rPr>
        <w:footnoteReference w:id="6"/>
      </w:r>
    </w:p>
    <w:p w14:paraId="09F695F5" w14:textId="77777777" w:rsidR="00D51D54" w:rsidRDefault="00D51D54" w:rsidP="00D51D54">
      <w:pPr>
        <w:tabs>
          <w:tab w:val="left" w:pos="426"/>
        </w:tabs>
        <w:spacing w:line="276" w:lineRule="auto"/>
        <w:jc w:val="both"/>
        <w:rPr>
          <w:rFonts w:ascii="Arial" w:eastAsia="Calibri" w:hAnsi="Arial" w:cs="Arial"/>
          <w:bCs/>
          <w:sz w:val="22"/>
          <w:lang w:val="es-ES_tradnl"/>
        </w:rPr>
      </w:pPr>
    </w:p>
    <w:p w14:paraId="53E3808A" w14:textId="74B71865" w:rsidR="00D51D54" w:rsidRDefault="00D51D54" w:rsidP="00D51D54">
      <w:pPr>
        <w:tabs>
          <w:tab w:val="left" w:pos="426"/>
        </w:tabs>
        <w:spacing w:line="276" w:lineRule="auto"/>
        <w:jc w:val="both"/>
        <w:rPr>
          <w:rFonts w:ascii="Arial" w:eastAsia="Calibri" w:hAnsi="Arial" w:cs="Arial"/>
          <w:bCs/>
          <w:sz w:val="22"/>
          <w:lang w:val="es-ES_tradnl"/>
        </w:rPr>
      </w:pPr>
      <w:r>
        <w:rPr>
          <w:rFonts w:ascii="Arial" w:eastAsia="Calibri" w:hAnsi="Arial" w:cs="Arial"/>
          <w:bCs/>
          <w:sz w:val="22"/>
          <w:lang w:val="es-ES_tradnl"/>
        </w:rPr>
        <w:tab/>
      </w:r>
      <w:r>
        <w:rPr>
          <w:rFonts w:ascii="Arial" w:eastAsia="Calibri" w:hAnsi="Arial" w:cs="Arial"/>
          <w:bCs/>
          <w:sz w:val="22"/>
          <w:lang w:val="es-ES_tradnl"/>
        </w:rPr>
        <w:tab/>
        <w:t>Respecto de este último concepto, es importante resaltar que</w:t>
      </w:r>
      <w:r w:rsidR="00054E9A">
        <w:rPr>
          <w:rFonts w:ascii="Arial" w:eastAsia="Calibri" w:hAnsi="Arial" w:cs="Arial"/>
          <w:bCs/>
          <w:sz w:val="22"/>
          <w:lang w:val="es-ES_tradnl"/>
        </w:rPr>
        <w:t xml:space="preserve"> </w:t>
      </w:r>
      <w:r>
        <w:rPr>
          <w:rFonts w:ascii="Arial" w:eastAsia="Calibri" w:hAnsi="Arial" w:cs="Arial"/>
          <w:bCs/>
          <w:sz w:val="22"/>
          <w:lang w:val="es-ES_tradnl"/>
        </w:rPr>
        <w:t xml:space="preserve">el Decreto Ley </w:t>
      </w:r>
      <w:r w:rsidR="00054E9A">
        <w:rPr>
          <w:rFonts w:ascii="Arial" w:eastAsia="Calibri" w:hAnsi="Arial" w:cs="Arial"/>
          <w:bCs/>
          <w:sz w:val="22"/>
          <w:lang w:val="es-ES_tradnl"/>
        </w:rPr>
        <w:t>0</w:t>
      </w:r>
      <w:r>
        <w:rPr>
          <w:rFonts w:ascii="Arial" w:eastAsia="Calibri" w:hAnsi="Arial" w:cs="Arial"/>
          <w:bCs/>
          <w:sz w:val="22"/>
          <w:lang w:val="es-ES_tradnl"/>
        </w:rPr>
        <w:t>19 de 2012 no distin</w:t>
      </w:r>
      <w:r w:rsidR="00054E9A">
        <w:rPr>
          <w:rFonts w:ascii="Arial" w:eastAsia="Calibri" w:hAnsi="Arial" w:cs="Arial"/>
          <w:bCs/>
          <w:sz w:val="22"/>
          <w:lang w:val="es-ES_tradnl"/>
        </w:rPr>
        <w:t>gue</w:t>
      </w:r>
      <w:r>
        <w:rPr>
          <w:rFonts w:ascii="Arial" w:eastAsia="Calibri" w:hAnsi="Arial" w:cs="Arial"/>
          <w:bCs/>
          <w:sz w:val="22"/>
          <w:lang w:val="es-ES_tradnl"/>
        </w:rPr>
        <w:t xml:space="preserve"> entre la vinculación laboral y la de prestación de servicios. En efecto:</w:t>
      </w:r>
    </w:p>
    <w:p w14:paraId="59C7123C" w14:textId="77777777" w:rsidR="00D51D54" w:rsidRDefault="00D51D54" w:rsidP="00D51D54">
      <w:pPr>
        <w:tabs>
          <w:tab w:val="left" w:pos="426"/>
        </w:tabs>
        <w:spacing w:line="276" w:lineRule="auto"/>
        <w:jc w:val="both"/>
        <w:rPr>
          <w:rFonts w:ascii="Arial" w:eastAsia="Calibri" w:hAnsi="Arial" w:cs="Arial"/>
          <w:bCs/>
          <w:sz w:val="22"/>
          <w:lang w:val="es-ES_tradnl"/>
        </w:rPr>
      </w:pPr>
    </w:p>
    <w:p w14:paraId="45137B69" w14:textId="12F6AAD0" w:rsidR="00D51D54" w:rsidRPr="00CC78AD" w:rsidRDefault="00D51D54" w:rsidP="00D51D54">
      <w:pPr>
        <w:tabs>
          <w:tab w:val="left" w:pos="426"/>
        </w:tabs>
        <w:ind w:left="709" w:right="709"/>
        <w:jc w:val="both"/>
        <w:rPr>
          <w:rFonts w:ascii="Arial" w:eastAsia="Calibri" w:hAnsi="Arial" w:cs="Arial"/>
          <w:bCs/>
          <w:sz w:val="21"/>
          <w:szCs w:val="21"/>
          <w:lang w:val="es-ES_tradnl"/>
        </w:rPr>
      </w:pPr>
      <w:r w:rsidRPr="00CC78AD">
        <w:rPr>
          <w:rFonts w:ascii="Arial" w:eastAsia="Calibri" w:hAnsi="Arial" w:cs="Arial"/>
          <w:bCs/>
          <w:sz w:val="21"/>
          <w:szCs w:val="21"/>
          <w:lang w:val="es-ES_tradnl"/>
        </w:rPr>
        <w:t xml:space="preserve">Se colige de lo anterior que la norma en general no aplica sobre el ejercicio liberal de las profesiones toda vez que como lo señala el escrito de consulta, el precepto legal contenido en el artículo 229 </w:t>
      </w:r>
      <w:r w:rsidR="00996159" w:rsidRPr="00996159">
        <w:rPr>
          <w:rFonts w:ascii="Arial" w:eastAsia="Calibri" w:hAnsi="Arial" w:cs="Arial"/>
          <w:bCs/>
          <w:i/>
          <w:iCs/>
          <w:sz w:val="21"/>
          <w:szCs w:val="21"/>
          <w:lang w:val="es-ES_tradnl"/>
        </w:rPr>
        <w:t>ibidem</w:t>
      </w:r>
      <w:r w:rsidRPr="00CC78AD">
        <w:rPr>
          <w:rFonts w:ascii="Arial" w:eastAsia="Calibri" w:hAnsi="Arial" w:cs="Arial"/>
          <w:bCs/>
          <w:sz w:val="21"/>
          <w:szCs w:val="21"/>
          <w:lang w:val="es-ES_tradnl"/>
        </w:rPr>
        <w:t>, se encuentra ubicado dentro del capítulo XIX que se refiere a “Trámites, procedimientos y regulaciones del sector administrativo de la función pública”, hecho que permite concluir sobre el precitado artículo, que su aplicación, abarca tanto a aquellos profesionales que van a acceder a la administración pública con vinculación laboral como a quienes lo hacen mediante contratación.</w:t>
      </w:r>
    </w:p>
    <w:p w14:paraId="175CD73F" w14:textId="31E476DC" w:rsidR="00D51D54" w:rsidRPr="00CC78AD" w:rsidRDefault="00D51D54" w:rsidP="00054E9A">
      <w:pPr>
        <w:tabs>
          <w:tab w:val="left" w:pos="426"/>
        </w:tabs>
        <w:spacing w:after="120"/>
        <w:ind w:left="709" w:right="709"/>
        <w:jc w:val="both"/>
        <w:rPr>
          <w:rFonts w:ascii="Arial" w:eastAsia="Calibri" w:hAnsi="Arial" w:cs="Arial"/>
          <w:bCs/>
          <w:sz w:val="21"/>
          <w:szCs w:val="21"/>
          <w:lang w:val="es-ES_tradnl"/>
        </w:rPr>
      </w:pPr>
      <w:r w:rsidRPr="00CC78AD">
        <w:rPr>
          <w:rFonts w:ascii="Arial" w:eastAsia="Calibri" w:hAnsi="Arial" w:cs="Arial"/>
          <w:bCs/>
          <w:sz w:val="21"/>
          <w:szCs w:val="21"/>
          <w:lang w:val="es-ES_tradnl"/>
        </w:rPr>
        <w:t>[…]</w:t>
      </w:r>
    </w:p>
    <w:p w14:paraId="077100B6" w14:textId="24B0A9D8" w:rsidR="00D51D54" w:rsidRPr="00CC78AD" w:rsidRDefault="00D51D54" w:rsidP="00054E9A">
      <w:pPr>
        <w:tabs>
          <w:tab w:val="left" w:pos="426"/>
        </w:tabs>
        <w:spacing w:after="120"/>
        <w:ind w:left="709" w:right="709"/>
        <w:jc w:val="both"/>
        <w:rPr>
          <w:rFonts w:ascii="Arial" w:eastAsia="Calibri" w:hAnsi="Arial" w:cs="Arial"/>
          <w:bCs/>
          <w:sz w:val="21"/>
          <w:szCs w:val="21"/>
          <w:lang w:val="es-ES_tradnl"/>
        </w:rPr>
      </w:pPr>
      <w:r w:rsidRPr="00CC78AD">
        <w:rPr>
          <w:rFonts w:ascii="Arial" w:eastAsia="Calibri" w:hAnsi="Arial" w:cs="Arial"/>
          <w:bCs/>
          <w:sz w:val="21"/>
          <w:szCs w:val="21"/>
          <w:lang w:val="es-ES_tradnl"/>
        </w:rPr>
        <w:t>De conformidad con lo expuesto en el punto primero, el artículo 229 del Decreto 019 de 2002 aplica para el ejercicio de las profesiones en la administración pública en cualquier modalidad de vinculación. En tal sentido, solamente se tendrá en cuenta para la determinación de la experiencia de quien va a ingresar a la administración pública, si la profesión es o no relacionada con el Sistema General de Seguridad Social en Salud, pues en este último caso, la experiencia profesional se computa a partir de la inscripción o registro profesional y no a partir de la terminación y aprobación del pensum académico de educación superior como lo indica el texto de la norma.</w:t>
      </w:r>
    </w:p>
    <w:p w14:paraId="4938DA53" w14:textId="7CBF3B96" w:rsidR="00D51D54" w:rsidRPr="00CC78AD" w:rsidRDefault="00D51D54" w:rsidP="00996159">
      <w:pPr>
        <w:tabs>
          <w:tab w:val="left" w:pos="426"/>
        </w:tabs>
        <w:ind w:left="709" w:right="709"/>
        <w:jc w:val="both"/>
        <w:rPr>
          <w:rFonts w:ascii="Arial" w:eastAsia="Calibri" w:hAnsi="Arial" w:cs="Arial"/>
          <w:bCs/>
          <w:sz w:val="21"/>
          <w:szCs w:val="21"/>
          <w:lang w:val="es-ES_tradnl"/>
        </w:rPr>
      </w:pPr>
      <w:r w:rsidRPr="00CC78AD">
        <w:rPr>
          <w:rFonts w:ascii="Arial" w:eastAsia="Calibri" w:hAnsi="Arial" w:cs="Arial"/>
          <w:bCs/>
          <w:sz w:val="21"/>
          <w:szCs w:val="21"/>
          <w:lang w:val="es-ES_tradnl"/>
        </w:rPr>
        <w:t>Así las cosas, si este Ministerio decide vincular un ingeniero o un abogado se entiende que el aspirante debe acreditar la experiencia profesional mínima requerida, contada a partir de la terminación y aprobación de materias. Pero si lo que requiere la entidad es un médico, una enfermera o cualquier profesión relacionada con el SGSSS, su experiencia se validará a partir de la inscripción en el registro profesional</w:t>
      </w:r>
      <w:r w:rsidR="00996159">
        <w:rPr>
          <w:rFonts w:ascii="Arial" w:eastAsia="Calibri" w:hAnsi="Arial" w:cs="Arial"/>
          <w:bCs/>
          <w:sz w:val="21"/>
          <w:szCs w:val="21"/>
          <w:lang w:val="es-ES_tradnl"/>
        </w:rPr>
        <w:t>.</w:t>
      </w:r>
      <w:r>
        <w:rPr>
          <w:rStyle w:val="Refdenotaalpie"/>
          <w:rFonts w:ascii="Arial" w:eastAsia="Calibri" w:hAnsi="Arial" w:cs="Arial"/>
          <w:bCs/>
          <w:sz w:val="22"/>
          <w:lang w:val="es-ES_tradnl"/>
        </w:rPr>
        <w:footnoteReference w:id="7"/>
      </w:r>
    </w:p>
    <w:p w14:paraId="251C7E64" w14:textId="77777777" w:rsidR="00D51D54" w:rsidRDefault="00D51D54" w:rsidP="00D51D54">
      <w:pPr>
        <w:tabs>
          <w:tab w:val="left" w:pos="426"/>
        </w:tabs>
        <w:spacing w:line="276" w:lineRule="auto"/>
        <w:jc w:val="both"/>
        <w:rPr>
          <w:rFonts w:ascii="Arial" w:eastAsia="Calibri" w:hAnsi="Arial" w:cs="Arial"/>
          <w:bCs/>
          <w:sz w:val="22"/>
          <w:lang w:val="es-ES_tradnl"/>
        </w:rPr>
      </w:pPr>
    </w:p>
    <w:p w14:paraId="1EE92D6F" w14:textId="2B7FF91A" w:rsidR="00D51D54" w:rsidRPr="00BF19F3" w:rsidRDefault="00D51D54" w:rsidP="00BF19F3">
      <w:pPr>
        <w:spacing w:line="276" w:lineRule="auto"/>
        <w:jc w:val="both"/>
        <w:rPr>
          <w:rFonts w:ascii="Arial" w:eastAsia="Calibri" w:hAnsi="Arial" w:cs="Arial"/>
          <w:bCs/>
          <w:sz w:val="22"/>
          <w:lang w:val="es-ES_tradnl"/>
        </w:rPr>
      </w:pPr>
      <w:r>
        <w:rPr>
          <w:rFonts w:ascii="Arial" w:eastAsia="Calibri" w:hAnsi="Arial" w:cs="Arial"/>
          <w:bCs/>
          <w:sz w:val="22"/>
          <w:lang w:val="es-ES_tradnl"/>
        </w:rPr>
        <w:tab/>
        <w:t xml:space="preserve">Nótese que lo relevante no es la relación con la «función pública», </w:t>
      </w:r>
      <w:r w:rsidR="00996159">
        <w:rPr>
          <w:rFonts w:ascii="Arial" w:eastAsia="Calibri" w:hAnsi="Arial" w:cs="Arial"/>
          <w:bCs/>
          <w:sz w:val="22"/>
          <w:lang w:val="es-ES_tradnl"/>
        </w:rPr>
        <w:t>como lo entiende la peticionaria</w:t>
      </w:r>
      <w:r>
        <w:rPr>
          <w:rFonts w:ascii="Arial" w:eastAsia="Calibri" w:hAnsi="Arial" w:cs="Arial"/>
          <w:bCs/>
          <w:sz w:val="22"/>
          <w:lang w:val="es-ES_tradnl"/>
        </w:rPr>
        <w:t xml:space="preserve">, sino «la profesión que acredita el candidato». </w:t>
      </w:r>
      <w:r w:rsidR="005760C8">
        <w:rPr>
          <w:rFonts w:ascii="Arial" w:eastAsia="Calibri" w:hAnsi="Arial" w:cs="Arial"/>
          <w:bCs/>
          <w:sz w:val="22"/>
          <w:lang w:val="es-ES_tradnl"/>
        </w:rPr>
        <w:t>En esta medida</w:t>
      </w:r>
      <w:r>
        <w:rPr>
          <w:rFonts w:ascii="Arial" w:eastAsia="Calibri" w:hAnsi="Arial" w:cs="Arial"/>
          <w:bCs/>
          <w:sz w:val="22"/>
          <w:lang w:val="es-ES_tradnl"/>
        </w:rPr>
        <w:t>, el argumento</w:t>
      </w:r>
      <w:r w:rsidR="005760C8">
        <w:rPr>
          <w:rFonts w:ascii="Arial" w:eastAsia="Calibri" w:hAnsi="Arial" w:cs="Arial"/>
          <w:bCs/>
          <w:sz w:val="22"/>
          <w:lang w:val="es-ES_tradnl"/>
        </w:rPr>
        <w:t xml:space="preserve"> anteriormente</w:t>
      </w:r>
      <w:r>
        <w:rPr>
          <w:rFonts w:ascii="Arial" w:eastAsia="Calibri" w:hAnsi="Arial" w:cs="Arial"/>
          <w:bCs/>
          <w:sz w:val="22"/>
          <w:lang w:val="es-ES_tradnl"/>
        </w:rPr>
        <w:t xml:space="preserve"> expuesto es suficiente para descartar </w:t>
      </w:r>
      <w:r w:rsidR="005760C8">
        <w:rPr>
          <w:rFonts w:ascii="Arial" w:eastAsia="Calibri" w:hAnsi="Arial" w:cs="Arial"/>
          <w:bCs/>
          <w:sz w:val="22"/>
          <w:lang w:val="es-ES_tradnl"/>
        </w:rPr>
        <w:t>la aplicación d</w:t>
      </w:r>
      <w:r>
        <w:rPr>
          <w:rFonts w:ascii="Arial" w:eastAsia="Calibri" w:hAnsi="Arial" w:cs="Arial"/>
          <w:bCs/>
          <w:sz w:val="22"/>
          <w:lang w:val="es-ES_tradnl"/>
        </w:rPr>
        <w:t xml:space="preserve">el artículo 229 del Decreto 19 de 2012 solo </w:t>
      </w:r>
      <w:r w:rsidR="005760C8">
        <w:rPr>
          <w:rFonts w:ascii="Arial" w:eastAsia="Calibri" w:hAnsi="Arial" w:cs="Arial"/>
          <w:bCs/>
          <w:sz w:val="22"/>
          <w:lang w:val="es-ES_tradnl"/>
        </w:rPr>
        <w:t xml:space="preserve">a los servidores públicos, toda vez que esta disposición también </w:t>
      </w:r>
      <w:r w:rsidR="00BF19F3">
        <w:rPr>
          <w:rFonts w:ascii="Arial" w:eastAsia="Calibri" w:hAnsi="Arial" w:cs="Arial"/>
          <w:bCs/>
          <w:sz w:val="22"/>
          <w:lang w:val="es-ES_tradnl"/>
        </w:rPr>
        <w:t>se extiende</w:t>
      </w:r>
      <w:r w:rsidR="005760C8">
        <w:rPr>
          <w:rFonts w:ascii="Arial" w:eastAsia="Calibri" w:hAnsi="Arial" w:cs="Arial"/>
          <w:bCs/>
          <w:sz w:val="22"/>
          <w:lang w:val="es-ES_tradnl"/>
        </w:rPr>
        <w:t xml:space="preserve"> a quienes </w:t>
      </w:r>
      <w:r w:rsidR="00BF19F3">
        <w:rPr>
          <w:rFonts w:ascii="Arial" w:eastAsia="Calibri" w:hAnsi="Arial" w:cs="Arial"/>
          <w:bCs/>
          <w:sz w:val="22"/>
          <w:lang w:val="es-ES_tradnl"/>
        </w:rPr>
        <w:t>aspiren celebra</w:t>
      </w:r>
      <w:r w:rsidR="00741B2A">
        <w:rPr>
          <w:rFonts w:ascii="Arial" w:eastAsia="Calibri" w:hAnsi="Arial" w:cs="Arial"/>
          <w:bCs/>
          <w:sz w:val="22"/>
          <w:lang w:val="es-ES_tradnl"/>
        </w:rPr>
        <w:t>r</w:t>
      </w:r>
      <w:r w:rsidR="00BF19F3">
        <w:rPr>
          <w:rFonts w:ascii="Arial" w:eastAsia="Calibri" w:hAnsi="Arial" w:cs="Arial"/>
          <w:bCs/>
          <w:sz w:val="22"/>
          <w:lang w:val="es-ES_tradnl"/>
        </w:rPr>
        <w:t xml:space="preserve"> </w:t>
      </w:r>
      <w:r w:rsidR="005760C8">
        <w:rPr>
          <w:rFonts w:ascii="Arial" w:eastAsia="Calibri" w:hAnsi="Arial" w:cs="Arial"/>
          <w:bCs/>
          <w:sz w:val="22"/>
          <w:lang w:val="es-ES_tradnl"/>
        </w:rPr>
        <w:t>contratos con el Estado</w:t>
      </w:r>
      <w:r>
        <w:rPr>
          <w:rFonts w:ascii="Arial" w:eastAsia="Calibri" w:hAnsi="Arial" w:cs="Arial"/>
          <w:bCs/>
          <w:sz w:val="22"/>
          <w:lang w:val="es-ES_tradnl"/>
        </w:rPr>
        <w:t xml:space="preserve">. En suma, </w:t>
      </w:r>
      <w:r w:rsidR="005760C8">
        <w:rPr>
          <w:rFonts w:ascii="Arial" w:eastAsia="Calibri" w:hAnsi="Arial" w:cs="Arial"/>
          <w:bCs/>
          <w:sz w:val="22"/>
          <w:lang w:val="es-ES_tradnl"/>
        </w:rPr>
        <w:t>la tesis</w:t>
      </w:r>
      <w:r>
        <w:rPr>
          <w:rFonts w:ascii="Arial" w:eastAsia="Calibri" w:hAnsi="Arial" w:cs="Arial"/>
          <w:bCs/>
          <w:sz w:val="22"/>
          <w:lang w:val="es-ES_tradnl"/>
        </w:rPr>
        <w:t xml:space="preserve"> </w:t>
      </w:r>
      <w:r w:rsidR="005760C8">
        <w:rPr>
          <w:rFonts w:ascii="Arial" w:eastAsia="Calibri" w:hAnsi="Arial" w:cs="Arial"/>
          <w:sz w:val="22"/>
          <w:lang w:val="es-ES_tradnl"/>
        </w:rPr>
        <w:t xml:space="preserve">del </w:t>
      </w:r>
      <w:r w:rsidR="005760C8">
        <w:rPr>
          <w:rFonts w:ascii="Arial" w:eastAsia="Calibri" w:hAnsi="Arial" w:cs="Arial"/>
          <w:color w:val="000000" w:themeColor="text1"/>
          <w:sz w:val="22"/>
        </w:rPr>
        <w:t>Concepto C-212 del 14 de abril de 2020</w:t>
      </w:r>
      <w:r>
        <w:rPr>
          <w:rFonts w:ascii="Arial" w:eastAsia="Calibri" w:hAnsi="Arial" w:cs="Arial"/>
          <w:bCs/>
          <w:sz w:val="22"/>
          <w:lang w:val="es-ES_tradnl"/>
        </w:rPr>
        <w:t xml:space="preserve"> además de ser razonable y coherente, también </w:t>
      </w:r>
      <w:r w:rsidR="005760C8">
        <w:rPr>
          <w:rFonts w:ascii="Arial" w:eastAsia="Calibri" w:hAnsi="Arial" w:cs="Arial"/>
          <w:bCs/>
          <w:sz w:val="22"/>
          <w:lang w:val="es-ES_tradnl"/>
        </w:rPr>
        <w:t>es compartida</w:t>
      </w:r>
      <w:r w:rsidRPr="0062027E">
        <w:rPr>
          <w:rFonts w:ascii="Arial" w:eastAsia="Calibri" w:hAnsi="Arial" w:cs="Arial"/>
          <w:bCs/>
          <w:sz w:val="22"/>
          <w:lang w:val="es-ES_tradnl"/>
        </w:rPr>
        <w:t xml:space="preserve"> </w:t>
      </w:r>
      <w:r>
        <w:rPr>
          <w:rFonts w:ascii="Arial" w:eastAsia="Calibri" w:hAnsi="Arial" w:cs="Arial"/>
          <w:bCs/>
          <w:sz w:val="22"/>
          <w:lang w:val="es-ES_tradnl"/>
        </w:rPr>
        <w:t>con</w:t>
      </w:r>
      <w:r w:rsidRPr="0062027E">
        <w:rPr>
          <w:rFonts w:ascii="Arial" w:eastAsia="Calibri" w:hAnsi="Arial" w:cs="Arial"/>
          <w:bCs/>
          <w:sz w:val="22"/>
          <w:lang w:val="es-ES_tradnl"/>
        </w:rPr>
        <w:t xml:space="preserve"> diferentes entidades públicas.</w:t>
      </w:r>
    </w:p>
    <w:p w14:paraId="65B5B656" w14:textId="0720E9FF" w:rsidR="00A862CB" w:rsidRDefault="00A862CB" w:rsidP="00A862CB">
      <w:pPr>
        <w:spacing w:line="276" w:lineRule="auto"/>
        <w:jc w:val="both"/>
        <w:rPr>
          <w:rFonts w:ascii="Arial" w:eastAsia="Calibri" w:hAnsi="Arial" w:cs="Arial"/>
          <w:sz w:val="22"/>
          <w:lang w:val="es-ES_tradnl"/>
        </w:rPr>
      </w:pPr>
    </w:p>
    <w:p w14:paraId="487E2DD1" w14:textId="18FD1974" w:rsidR="00A862CB" w:rsidRDefault="00A862CB" w:rsidP="00A862CB">
      <w:pPr>
        <w:spacing w:line="276" w:lineRule="auto"/>
        <w:jc w:val="both"/>
        <w:rPr>
          <w:rFonts w:ascii="Arial" w:eastAsia="Calibri" w:hAnsi="Arial" w:cs="Arial"/>
          <w:b/>
          <w:bCs/>
          <w:color w:val="000000" w:themeColor="text1"/>
          <w:sz w:val="22"/>
        </w:rPr>
      </w:pPr>
      <w:r>
        <w:rPr>
          <w:rFonts w:ascii="Arial" w:eastAsia="Calibri" w:hAnsi="Arial" w:cs="Arial"/>
          <w:b/>
          <w:bCs/>
          <w:color w:val="000000" w:themeColor="text1"/>
          <w:sz w:val="22"/>
        </w:rPr>
        <w:t>2.</w:t>
      </w:r>
      <w:r w:rsidR="00764EA5">
        <w:rPr>
          <w:rFonts w:ascii="Arial" w:eastAsia="Calibri" w:hAnsi="Arial" w:cs="Arial"/>
          <w:b/>
          <w:bCs/>
          <w:color w:val="000000" w:themeColor="text1"/>
          <w:sz w:val="22"/>
        </w:rPr>
        <w:t>2</w:t>
      </w:r>
      <w:r>
        <w:rPr>
          <w:rFonts w:ascii="Arial" w:eastAsia="Calibri" w:hAnsi="Arial" w:cs="Arial"/>
          <w:b/>
          <w:bCs/>
          <w:color w:val="000000" w:themeColor="text1"/>
          <w:sz w:val="22"/>
        </w:rPr>
        <w:t xml:space="preserve">. </w:t>
      </w:r>
      <w:r w:rsidR="00771030">
        <w:rPr>
          <w:rFonts w:ascii="Arial" w:eastAsia="Calibri" w:hAnsi="Arial" w:cs="Arial"/>
          <w:b/>
          <w:bCs/>
          <w:color w:val="000000" w:themeColor="text1"/>
          <w:sz w:val="22"/>
        </w:rPr>
        <w:t>Tesis provisional</w:t>
      </w:r>
      <w:r w:rsidR="002B7D1F">
        <w:rPr>
          <w:rFonts w:ascii="Arial" w:eastAsia="Calibri" w:hAnsi="Arial" w:cs="Arial"/>
          <w:b/>
          <w:bCs/>
          <w:color w:val="000000" w:themeColor="text1"/>
          <w:sz w:val="22"/>
        </w:rPr>
        <w:t xml:space="preserve"> del Consejo de Estado</w:t>
      </w:r>
      <w:r w:rsidR="0069332A">
        <w:rPr>
          <w:rFonts w:ascii="Arial" w:eastAsia="Calibri" w:hAnsi="Arial" w:cs="Arial"/>
          <w:b/>
          <w:bCs/>
          <w:color w:val="000000" w:themeColor="text1"/>
          <w:sz w:val="22"/>
        </w:rPr>
        <w:t xml:space="preserve"> frente a los conceptos de Colombia Compra Eficiente</w:t>
      </w:r>
    </w:p>
    <w:p w14:paraId="1853BE8C" w14:textId="7B36C41E" w:rsidR="00312B8F" w:rsidRDefault="00312B8F" w:rsidP="00A862CB">
      <w:pPr>
        <w:spacing w:line="276" w:lineRule="auto"/>
        <w:jc w:val="both"/>
        <w:rPr>
          <w:rFonts w:ascii="Arial" w:eastAsia="Calibri" w:hAnsi="Arial" w:cs="Arial"/>
          <w:b/>
          <w:bCs/>
          <w:color w:val="000000" w:themeColor="text1"/>
          <w:sz w:val="22"/>
        </w:rPr>
      </w:pPr>
    </w:p>
    <w:p w14:paraId="0D6E3FB5" w14:textId="3F591438" w:rsidR="00C12946" w:rsidRDefault="00DC162E" w:rsidP="00A862CB">
      <w:pPr>
        <w:spacing w:line="276" w:lineRule="auto"/>
        <w:jc w:val="both"/>
        <w:rPr>
          <w:rFonts w:ascii="Arial" w:eastAsia="Calibri" w:hAnsi="Arial" w:cs="Arial"/>
          <w:color w:val="000000" w:themeColor="text1"/>
          <w:sz w:val="22"/>
        </w:rPr>
      </w:pPr>
      <w:bookmarkStart w:id="17" w:name="_Hlk44492464"/>
      <w:r>
        <w:rPr>
          <w:rFonts w:ascii="Arial" w:eastAsia="Calibri" w:hAnsi="Arial" w:cs="Arial"/>
          <w:color w:val="000000" w:themeColor="text1"/>
          <w:sz w:val="22"/>
        </w:rPr>
        <w:lastRenderedPageBreak/>
        <w:t xml:space="preserve">En los fundamentos de la solicitud, la peticionaria explica que </w:t>
      </w:r>
      <w:r w:rsidR="00771030">
        <w:rPr>
          <w:rFonts w:ascii="Arial" w:eastAsia="Calibri" w:hAnsi="Arial" w:cs="Arial"/>
          <w:color w:val="000000" w:themeColor="text1"/>
          <w:sz w:val="22"/>
        </w:rPr>
        <w:t xml:space="preserve">la Sección Primera del Consejo de Estado, </w:t>
      </w:r>
      <w:r w:rsidR="00C12946">
        <w:rPr>
          <w:rFonts w:ascii="Arial" w:eastAsia="Calibri" w:hAnsi="Arial" w:cs="Arial"/>
          <w:color w:val="000000" w:themeColor="text1"/>
          <w:sz w:val="22"/>
        </w:rPr>
        <w:t>a través</w:t>
      </w:r>
      <w:r w:rsidR="00771030">
        <w:rPr>
          <w:rFonts w:ascii="Arial" w:eastAsia="Calibri" w:hAnsi="Arial" w:cs="Arial"/>
          <w:color w:val="000000" w:themeColor="text1"/>
          <w:sz w:val="22"/>
        </w:rPr>
        <w:t xml:space="preserve"> </w:t>
      </w:r>
      <w:r w:rsidR="00C12946">
        <w:rPr>
          <w:rFonts w:ascii="Arial" w:eastAsia="Calibri" w:hAnsi="Arial" w:cs="Arial"/>
          <w:color w:val="000000" w:themeColor="text1"/>
          <w:sz w:val="22"/>
        </w:rPr>
        <w:t>d</w:t>
      </w:r>
      <w:r w:rsidR="00771030">
        <w:rPr>
          <w:rFonts w:ascii="Arial" w:eastAsia="Calibri" w:hAnsi="Arial" w:cs="Arial"/>
          <w:color w:val="000000" w:themeColor="text1"/>
          <w:sz w:val="22"/>
        </w:rPr>
        <w:t>el Auto del 2 de octubre de 2017, considera que el artículo 12 de</w:t>
      </w:r>
      <w:r w:rsidR="00771030" w:rsidRPr="00771030">
        <w:rPr>
          <w:rFonts w:ascii="Arial" w:eastAsia="Calibri" w:hAnsi="Arial" w:cs="Arial"/>
          <w:color w:val="000000" w:themeColor="text1"/>
          <w:sz w:val="22"/>
        </w:rPr>
        <w:t xml:space="preserve"> la Ley 842 de 2003</w:t>
      </w:r>
      <w:r w:rsidR="00771030">
        <w:rPr>
          <w:rFonts w:ascii="Arial" w:eastAsia="Calibri" w:hAnsi="Arial" w:cs="Arial"/>
          <w:color w:val="000000" w:themeColor="text1"/>
          <w:sz w:val="22"/>
        </w:rPr>
        <w:t xml:space="preserve"> no fue derogado tácitamente por el </w:t>
      </w:r>
      <w:r w:rsidR="00771030" w:rsidRPr="00A46FE1">
        <w:rPr>
          <w:rFonts w:ascii="Arial" w:eastAsia="Calibri" w:hAnsi="Arial" w:cs="Arial"/>
          <w:color w:val="000000" w:themeColor="text1"/>
          <w:sz w:val="22"/>
        </w:rPr>
        <w:t xml:space="preserve">artículo 229 del Decreto Ley </w:t>
      </w:r>
      <w:r w:rsidR="00771030">
        <w:rPr>
          <w:rFonts w:ascii="Arial" w:eastAsia="Calibri" w:hAnsi="Arial" w:cs="Arial"/>
          <w:color w:val="000000" w:themeColor="text1"/>
          <w:sz w:val="22"/>
        </w:rPr>
        <w:t>0</w:t>
      </w:r>
      <w:r w:rsidR="00771030" w:rsidRPr="00A46FE1">
        <w:rPr>
          <w:rFonts w:ascii="Arial" w:eastAsia="Calibri" w:hAnsi="Arial" w:cs="Arial"/>
          <w:color w:val="000000" w:themeColor="text1"/>
          <w:sz w:val="22"/>
        </w:rPr>
        <w:t>19 de 2012</w:t>
      </w:r>
      <w:r w:rsidR="00771030">
        <w:rPr>
          <w:rFonts w:ascii="Arial" w:eastAsia="Calibri" w:hAnsi="Arial" w:cs="Arial"/>
          <w:color w:val="000000" w:themeColor="text1"/>
          <w:sz w:val="22"/>
        </w:rPr>
        <w:t xml:space="preserve">, ya que una </w:t>
      </w:r>
      <w:r w:rsidR="00771030" w:rsidRPr="00771030">
        <w:rPr>
          <w:rFonts w:ascii="Arial" w:eastAsia="Calibri" w:hAnsi="Arial" w:cs="Arial"/>
          <w:i/>
          <w:iCs/>
          <w:color w:val="000000" w:themeColor="text1"/>
          <w:sz w:val="22"/>
        </w:rPr>
        <w:t>ley especial anterior</w:t>
      </w:r>
      <w:r w:rsidR="00771030">
        <w:rPr>
          <w:rFonts w:ascii="Arial" w:eastAsia="Calibri" w:hAnsi="Arial" w:cs="Arial"/>
          <w:color w:val="000000" w:themeColor="text1"/>
          <w:sz w:val="22"/>
        </w:rPr>
        <w:t xml:space="preserve"> no pierde sus efectos por una </w:t>
      </w:r>
      <w:r w:rsidR="00771030" w:rsidRPr="00771030">
        <w:rPr>
          <w:rFonts w:ascii="Arial" w:eastAsia="Calibri" w:hAnsi="Arial" w:cs="Arial"/>
          <w:i/>
          <w:iCs/>
          <w:color w:val="000000" w:themeColor="text1"/>
          <w:sz w:val="22"/>
        </w:rPr>
        <w:t>ley general posterior</w:t>
      </w:r>
      <w:r w:rsidR="00771030">
        <w:rPr>
          <w:rFonts w:ascii="Arial" w:eastAsia="Calibri" w:hAnsi="Arial" w:cs="Arial"/>
          <w:color w:val="000000" w:themeColor="text1"/>
          <w:sz w:val="22"/>
        </w:rPr>
        <w:t xml:space="preserve">. </w:t>
      </w:r>
      <w:r w:rsidR="00C12946">
        <w:rPr>
          <w:rFonts w:ascii="Arial" w:eastAsia="Calibri" w:hAnsi="Arial" w:cs="Arial"/>
          <w:color w:val="000000" w:themeColor="text1"/>
          <w:sz w:val="22"/>
        </w:rPr>
        <w:t xml:space="preserve">Mediante esta decisión </w:t>
      </w:r>
      <w:r w:rsidR="0069332A">
        <w:rPr>
          <w:rFonts w:ascii="Arial" w:eastAsia="Calibri" w:hAnsi="Arial" w:cs="Arial"/>
          <w:color w:val="000000" w:themeColor="text1"/>
          <w:sz w:val="22"/>
        </w:rPr>
        <w:t>niega</w:t>
      </w:r>
      <w:r w:rsidR="00C12946">
        <w:rPr>
          <w:rFonts w:ascii="Arial" w:eastAsia="Calibri" w:hAnsi="Arial" w:cs="Arial"/>
          <w:color w:val="000000" w:themeColor="text1"/>
          <w:sz w:val="22"/>
        </w:rPr>
        <w:t xml:space="preserve"> la suspensión provisional del </w:t>
      </w:r>
      <w:r w:rsidR="00C12946" w:rsidRPr="00C12946">
        <w:rPr>
          <w:rFonts w:ascii="Arial" w:eastAsia="Calibri" w:hAnsi="Arial" w:cs="Arial"/>
          <w:color w:val="000000" w:themeColor="text1"/>
          <w:sz w:val="22"/>
        </w:rPr>
        <w:t>Concepto NAL-CE 2013-05276</w:t>
      </w:r>
      <w:r w:rsidR="00C12946">
        <w:rPr>
          <w:rFonts w:ascii="Arial" w:eastAsia="Calibri" w:hAnsi="Arial" w:cs="Arial"/>
          <w:color w:val="000000" w:themeColor="text1"/>
          <w:sz w:val="22"/>
        </w:rPr>
        <w:t xml:space="preserve">, expedido por el </w:t>
      </w:r>
      <w:r w:rsidR="00C12946" w:rsidRPr="00C12946">
        <w:rPr>
          <w:rFonts w:ascii="Arial" w:eastAsia="Calibri" w:hAnsi="Arial" w:cs="Arial"/>
          <w:color w:val="000000" w:themeColor="text1"/>
          <w:sz w:val="22"/>
        </w:rPr>
        <w:t>Consejo Profesional Nacional de Ingeniería</w:t>
      </w:r>
      <w:r w:rsidR="008F4B08">
        <w:rPr>
          <w:rFonts w:ascii="Arial" w:eastAsia="Calibri" w:hAnsi="Arial" w:cs="Arial"/>
          <w:color w:val="000000" w:themeColor="text1"/>
          <w:sz w:val="22"/>
        </w:rPr>
        <w:t xml:space="preserve"> –COPNIA–</w:t>
      </w:r>
      <w:r w:rsidR="00C12946" w:rsidRPr="00C12946">
        <w:rPr>
          <w:rFonts w:ascii="Arial" w:eastAsia="Calibri" w:hAnsi="Arial" w:cs="Arial"/>
          <w:color w:val="000000" w:themeColor="text1"/>
          <w:sz w:val="22"/>
        </w:rPr>
        <w:t xml:space="preserve"> </w:t>
      </w:r>
      <w:r w:rsidR="00C12946">
        <w:rPr>
          <w:rFonts w:ascii="Arial" w:eastAsia="Calibri" w:hAnsi="Arial" w:cs="Arial"/>
          <w:color w:val="000000" w:themeColor="text1"/>
          <w:sz w:val="22"/>
        </w:rPr>
        <w:t>el</w:t>
      </w:r>
      <w:r w:rsidR="00C12946" w:rsidRPr="00C12946">
        <w:rPr>
          <w:rFonts w:ascii="Arial" w:eastAsia="Calibri" w:hAnsi="Arial" w:cs="Arial"/>
          <w:color w:val="000000" w:themeColor="text1"/>
          <w:sz w:val="22"/>
        </w:rPr>
        <w:t xml:space="preserve"> 17 de septiembre de 2013</w:t>
      </w:r>
      <w:r w:rsidR="00C12946">
        <w:rPr>
          <w:rFonts w:ascii="Arial" w:eastAsia="Calibri" w:hAnsi="Arial" w:cs="Arial"/>
          <w:color w:val="000000" w:themeColor="text1"/>
          <w:sz w:val="22"/>
        </w:rPr>
        <w:t>.</w:t>
      </w:r>
      <w:bookmarkEnd w:id="17"/>
      <w:r w:rsidR="00C12946">
        <w:rPr>
          <w:rFonts w:ascii="Arial" w:eastAsia="Calibri" w:hAnsi="Arial" w:cs="Arial"/>
          <w:color w:val="000000" w:themeColor="text1"/>
          <w:sz w:val="22"/>
        </w:rPr>
        <w:t xml:space="preserve"> Particularmente, </w:t>
      </w:r>
      <w:r w:rsidR="0069332A">
        <w:rPr>
          <w:rFonts w:ascii="Arial" w:eastAsia="Calibri" w:hAnsi="Arial" w:cs="Arial"/>
          <w:color w:val="000000" w:themeColor="text1"/>
          <w:sz w:val="22"/>
        </w:rPr>
        <w:t>la Sección Primera explica que</w:t>
      </w:r>
      <w:r w:rsidR="00C12946">
        <w:rPr>
          <w:rFonts w:ascii="Arial" w:eastAsia="Calibri" w:hAnsi="Arial" w:cs="Arial"/>
          <w:color w:val="000000" w:themeColor="text1"/>
          <w:sz w:val="22"/>
        </w:rPr>
        <w:t>:</w:t>
      </w:r>
    </w:p>
    <w:p w14:paraId="0B0AB900" w14:textId="3567E794" w:rsidR="008F4B08" w:rsidRDefault="008F4B08" w:rsidP="00A862CB">
      <w:pPr>
        <w:spacing w:line="276" w:lineRule="auto"/>
        <w:jc w:val="both"/>
        <w:rPr>
          <w:rFonts w:ascii="Arial" w:eastAsia="Calibri" w:hAnsi="Arial" w:cs="Arial"/>
          <w:color w:val="000000" w:themeColor="text1"/>
          <w:sz w:val="22"/>
        </w:rPr>
      </w:pPr>
    </w:p>
    <w:p w14:paraId="497E6B17" w14:textId="77777777" w:rsidR="008F4B08" w:rsidRPr="008F4B08" w:rsidRDefault="008F4B08" w:rsidP="008F4B08">
      <w:pPr>
        <w:spacing w:after="120"/>
        <w:ind w:left="709" w:right="709"/>
        <w:jc w:val="both"/>
        <w:rPr>
          <w:rFonts w:ascii="Arial" w:eastAsia="Calibri" w:hAnsi="Arial" w:cs="Arial"/>
          <w:bCs/>
          <w:color w:val="000000" w:themeColor="text1"/>
          <w:sz w:val="21"/>
          <w:szCs w:val="21"/>
          <w:lang w:val="es-CO"/>
        </w:rPr>
      </w:pPr>
      <w:r w:rsidRPr="008F4B08">
        <w:rPr>
          <w:rFonts w:ascii="Arial" w:eastAsia="Calibri" w:hAnsi="Arial" w:cs="Arial"/>
          <w:bCs/>
          <w:color w:val="000000" w:themeColor="text1"/>
          <w:sz w:val="21"/>
          <w:szCs w:val="21"/>
          <w:lang w:val="es-CO"/>
        </w:rPr>
        <w:t>Ahora bien, la Ley 842 modificó la reglamentación del ejercicio de la ingeniería, de sus profesiones afines y auxiliares y adoptó el Código de Ética Profesional. A partir de su vigencia, para el ejercicio de empleos públicos en ingeniería, sus profesiones afines y sus profesiones auxiliares, solo se contabiliza como experiencia profesional la obtenida después del otorgamiento de la matrícula profesional o del certificado de inscripción profesional, tal como se establece en el artículo 12 de dicha disposición.</w:t>
      </w:r>
    </w:p>
    <w:p w14:paraId="6E2BE38B" w14:textId="781CF9C3" w:rsidR="008F4B08" w:rsidRPr="008F4B08" w:rsidRDefault="008F4B08" w:rsidP="008F4B08">
      <w:pPr>
        <w:ind w:left="709" w:right="709"/>
        <w:jc w:val="both"/>
        <w:rPr>
          <w:rFonts w:ascii="Arial" w:eastAsia="Calibri" w:hAnsi="Arial" w:cs="Arial"/>
          <w:color w:val="000000" w:themeColor="text1"/>
          <w:sz w:val="21"/>
          <w:szCs w:val="21"/>
        </w:rPr>
      </w:pPr>
      <w:r w:rsidRPr="008F4B08">
        <w:rPr>
          <w:rFonts w:ascii="Arial" w:eastAsia="Calibri" w:hAnsi="Arial" w:cs="Arial"/>
          <w:bCs/>
          <w:color w:val="000000" w:themeColor="text1"/>
          <w:sz w:val="21"/>
          <w:szCs w:val="21"/>
          <w:lang w:val="es-CO"/>
        </w:rPr>
        <w:t xml:space="preserve">Es decir, que se trata de una norma especial, por lo que, en principio, </w:t>
      </w:r>
      <w:r w:rsidRPr="008F4B08">
        <w:rPr>
          <w:rFonts w:ascii="Arial" w:eastAsia="Calibri" w:hAnsi="Arial" w:cs="Arial"/>
          <w:bCs/>
          <w:i/>
          <w:iCs/>
          <w:color w:val="000000" w:themeColor="text1"/>
          <w:sz w:val="21"/>
          <w:szCs w:val="21"/>
          <w:lang w:val="es-CO"/>
        </w:rPr>
        <w:t>no aparecen razones suficientes para considerar que el Decreto proferido con posterioridad la haya derogado</w:t>
      </w:r>
      <w:r w:rsidRPr="008F4B08">
        <w:rPr>
          <w:rFonts w:ascii="Arial" w:eastAsia="Calibri" w:hAnsi="Arial" w:cs="Arial"/>
          <w:bCs/>
          <w:color w:val="000000" w:themeColor="text1"/>
          <w:sz w:val="21"/>
          <w:szCs w:val="21"/>
          <w:lang w:val="es-CO"/>
        </w:rPr>
        <w:t>, dado que, de una parte, la experiencia profesional para la ingeniería y carreras afines se encuentra específicamente definida en la Ley 842 y, de otra, el Decreto 019 de 2012 se refirió a los procedimientos de la «función pública», tal y como lo dispone el Capítulo XIX, en el cual se encuentra el artículo 229 invocado por los demandantes</w:t>
      </w:r>
      <w:r>
        <w:rPr>
          <w:rStyle w:val="Refdenotaalpie"/>
          <w:rFonts w:ascii="Arial" w:eastAsia="Calibri" w:hAnsi="Arial" w:cs="Arial"/>
          <w:bCs/>
          <w:color w:val="000000" w:themeColor="text1"/>
          <w:sz w:val="21"/>
          <w:szCs w:val="21"/>
          <w:lang w:val="es-CO"/>
        </w:rPr>
        <w:footnoteReference w:id="8"/>
      </w:r>
      <w:r w:rsidRPr="008F4B08">
        <w:rPr>
          <w:rFonts w:ascii="Arial" w:eastAsia="Calibri" w:hAnsi="Arial" w:cs="Arial"/>
          <w:bCs/>
          <w:color w:val="000000" w:themeColor="text1"/>
          <w:sz w:val="21"/>
          <w:szCs w:val="21"/>
          <w:lang w:val="es-CO"/>
        </w:rPr>
        <w:t>.</w:t>
      </w:r>
      <w:r>
        <w:rPr>
          <w:rFonts w:ascii="Arial" w:eastAsia="Calibri" w:hAnsi="Arial" w:cs="Arial"/>
          <w:bCs/>
          <w:color w:val="000000" w:themeColor="text1"/>
          <w:sz w:val="21"/>
          <w:szCs w:val="21"/>
          <w:lang w:val="es-CO"/>
        </w:rPr>
        <w:t xml:space="preserve"> (Énfasis fuera de texto)</w:t>
      </w:r>
    </w:p>
    <w:p w14:paraId="60449B85" w14:textId="430F2637" w:rsidR="00C12946" w:rsidRDefault="00C12946" w:rsidP="00A862CB">
      <w:pPr>
        <w:spacing w:line="276" w:lineRule="auto"/>
        <w:jc w:val="both"/>
        <w:rPr>
          <w:rFonts w:ascii="Arial" w:eastAsia="Calibri" w:hAnsi="Arial" w:cs="Arial"/>
          <w:color w:val="000000" w:themeColor="text1"/>
          <w:sz w:val="22"/>
        </w:rPr>
      </w:pPr>
    </w:p>
    <w:p w14:paraId="3739F136" w14:textId="640CE3DB" w:rsidR="00C12946" w:rsidRDefault="00C12946" w:rsidP="00B1586E">
      <w:pPr>
        <w:spacing w:after="120" w:line="276" w:lineRule="auto"/>
        <w:ind w:firstLine="709"/>
        <w:jc w:val="both"/>
        <w:rPr>
          <w:rFonts w:ascii="Arial" w:eastAsia="Calibri" w:hAnsi="Arial" w:cs="Arial"/>
          <w:color w:val="000000" w:themeColor="text1"/>
          <w:sz w:val="22"/>
        </w:rPr>
      </w:pPr>
      <w:bookmarkStart w:id="18" w:name="_Hlk44492515"/>
      <w:r w:rsidRPr="00C12946">
        <w:rPr>
          <w:rFonts w:ascii="Arial" w:eastAsia="Calibri" w:hAnsi="Arial" w:cs="Arial"/>
          <w:color w:val="000000" w:themeColor="text1"/>
          <w:sz w:val="22"/>
        </w:rPr>
        <w:t xml:space="preserve">No se desconoce la claridad </w:t>
      </w:r>
      <w:r w:rsidR="00E9480E">
        <w:rPr>
          <w:rFonts w:ascii="Arial" w:eastAsia="Calibri" w:hAnsi="Arial" w:cs="Arial"/>
          <w:color w:val="000000" w:themeColor="text1"/>
          <w:sz w:val="22"/>
        </w:rPr>
        <w:t>del</w:t>
      </w:r>
      <w:r w:rsidRPr="00C12946">
        <w:rPr>
          <w:rFonts w:ascii="Arial" w:eastAsia="Calibri" w:hAnsi="Arial" w:cs="Arial"/>
          <w:color w:val="000000" w:themeColor="text1"/>
          <w:sz w:val="22"/>
        </w:rPr>
        <w:t xml:space="preserve"> argumento. Sin embargo, Colombia Compra Eficiente considera que el mismo no tiene la entidad suficiente para justificar</w:t>
      </w:r>
      <w:r w:rsidR="008F4B08">
        <w:rPr>
          <w:rFonts w:ascii="Arial" w:eastAsia="Calibri" w:hAnsi="Arial" w:cs="Arial"/>
          <w:color w:val="000000" w:themeColor="text1"/>
          <w:sz w:val="22"/>
        </w:rPr>
        <w:t xml:space="preserve"> cambio</w:t>
      </w:r>
      <w:r w:rsidR="00E9480E">
        <w:rPr>
          <w:rFonts w:ascii="Arial" w:eastAsia="Calibri" w:hAnsi="Arial" w:cs="Arial"/>
          <w:color w:val="000000" w:themeColor="text1"/>
          <w:sz w:val="22"/>
        </w:rPr>
        <w:t>s</w:t>
      </w:r>
      <w:r w:rsidR="008F4B08">
        <w:rPr>
          <w:rFonts w:ascii="Arial" w:eastAsia="Calibri" w:hAnsi="Arial" w:cs="Arial"/>
          <w:color w:val="000000" w:themeColor="text1"/>
          <w:sz w:val="22"/>
        </w:rPr>
        <w:t xml:space="preserve"> de postura</w:t>
      </w:r>
      <w:r w:rsidRPr="00C12946">
        <w:rPr>
          <w:rFonts w:ascii="Arial" w:eastAsia="Calibri" w:hAnsi="Arial" w:cs="Arial"/>
          <w:color w:val="000000" w:themeColor="text1"/>
          <w:sz w:val="22"/>
        </w:rPr>
        <w:t xml:space="preserve">, pues los autos que deciden sobre la aplicación de las medidas cautelares, además de ser provisionales y no constituir prejuzgamiento, solo generan consecuencias en </w:t>
      </w:r>
      <w:r w:rsidR="00E9480E">
        <w:rPr>
          <w:rFonts w:ascii="Arial" w:eastAsia="Calibri" w:hAnsi="Arial" w:cs="Arial"/>
          <w:color w:val="000000" w:themeColor="text1"/>
          <w:sz w:val="22"/>
        </w:rPr>
        <w:t>un</w:t>
      </w:r>
      <w:r w:rsidRPr="00C12946">
        <w:rPr>
          <w:rFonts w:ascii="Arial" w:eastAsia="Calibri" w:hAnsi="Arial" w:cs="Arial"/>
          <w:color w:val="000000" w:themeColor="text1"/>
          <w:sz w:val="22"/>
        </w:rPr>
        <w:t xml:space="preserve"> proceso judicial determinado, pues no se trata de una decisión con efectos </w:t>
      </w:r>
      <w:r w:rsidRPr="008F4B08">
        <w:rPr>
          <w:rFonts w:ascii="Arial" w:eastAsia="Calibri" w:hAnsi="Arial" w:cs="Arial"/>
          <w:i/>
          <w:iCs/>
          <w:color w:val="000000" w:themeColor="text1"/>
          <w:sz w:val="22"/>
        </w:rPr>
        <w:t>erga omnes</w:t>
      </w:r>
      <w:r w:rsidRPr="00C12946">
        <w:rPr>
          <w:rFonts w:ascii="Arial" w:eastAsia="Calibri" w:hAnsi="Arial" w:cs="Arial"/>
          <w:color w:val="000000" w:themeColor="text1"/>
          <w:sz w:val="22"/>
        </w:rPr>
        <w:t>.</w:t>
      </w:r>
      <w:r w:rsidR="002466F4">
        <w:rPr>
          <w:rFonts w:ascii="Arial" w:eastAsia="Calibri" w:hAnsi="Arial" w:cs="Arial"/>
          <w:color w:val="000000" w:themeColor="text1"/>
          <w:sz w:val="22"/>
        </w:rPr>
        <w:t xml:space="preserve"> </w:t>
      </w:r>
      <w:r w:rsidR="00E9480E">
        <w:rPr>
          <w:rFonts w:ascii="Arial" w:eastAsia="Calibri" w:hAnsi="Arial" w:cs="Arial"/>
          <w:color w:val="000000" w:themeColor="text1"/>
          <w:sz w:val="22"/>
        </w:rPr>
        <w:t xml:space="preserve">Es </w:t>
      </w:r>
      <w:proofErr w:type="spellStart"/>
      <w:r w:rsidR="00E9480E">
        <w:rPr>
          <w:rFonts w:ascii="Arial" w:eastAsia="Calibri" w:hAnsi="Arial" w:cs="Arial"/>
          <w:color w:val="000000" w:themeColor="text1"/>
          <w:sz w:val="22"/>
        </w:rPr>
        <w:t>mas</w:t>
      </w:r>
      <w:proofErr w:type="spellEnd"/>
      <w:r w:rsidR="002466F4">
        <w:rPr>
          <w:rFonts w:ascii="Arial" w:eastAsia="Calibri" w:hAnsi="Arial" w:cs="Arial"/>
          <w:color w:val="000000" w:themeColor="text1"/>
          <w:sz w:val="22"/>
        </w:rPr>
        <w:t>, si bien el concepto demandado no fue suspendido provisionalmente, la tesis del auto citado solo es definitiva con la sentencia que resuelva el fondo del litigio</w:t>
      </w:r>
      <w:r w:rsidR="002466F4">
        <w:rPr>
          <w:rStyle w:val="Refdenotaalpie"/>
          <w:rFonts w:ascii="Arial" w:eastAsia="Calibri" w:hAnsi="Arial" w:cs="Arial"/>
          <w:i/>
          <w:iCs/>
          <w:color w:val="000000" w:themeColor="text1"/>
          <w:sz w:val="22"/>
        </w:rPr>
        <w:footnoteReference w:id="9"/>
      </w:r>
      <w:r w:rsidR="002466F4">
        <w:rPr>
          <w:rFonts w:ascii="Arial" w:eastAsia="Calibri" w:hAnsi="Arial" w:cs="Arial"/>
          <w:color w:val="000000" w:themeColor="text1"/>
          <w:sz w:val="22"/>
        </w:rPr>
        <w:t>.</w:t>
      </w:r>
      <w:r w:rsidRPr="00C12946">
        <w:rPr>
          <w:rFonts w:ascii="Arial" w:eastAsia="Calibri" w:hAnsi="Arial" w:cs="Arial"/>
          <w:color w:val="000000" w:themeColor="text1"/>
          <w:sz w:val="22"/>
        </w:rPr>
        <w:t xml:space="preserve"> </w:t>
      </w:r>
      <w:r w:rsidR="00E9480E">
        <w:rPr>
          <w:rFonts w:ascii="Arial" w:eastAsia="Calibri" w:hAnsi="Arial" w:cs="Arial"/>
          <w:color w:val="000000" w:themeColor="text1"/>
          <w:sz w:val="22"/>
        </w:rPr>
        <w:t>No obstante</w:t>
      </w:r>
      <w:r w:rsidRPr="00C12946">
        <w:rPr>
          <w:rFonts w:ascii="Arial" w:eastAsia="Calibri" w:hAnsi="Arial" w:cs="Arial"/>
          <w:color w:val="000000" w:themeColor="text1"/>
          <w:sz w:val="22"/>
        </w:rPr>
        <w:t xml:space="preserve">, si la jurisdicción contenciosa administrativa declara la legalidad del concepto </w:t>
      </w:r>
      <w:r w:rsidR="00E9480E">
        <w:rPr>
          <w:rFonts w:ascii="Arial" w:eastAsia="Calibri" w:hAnsi="Arial" w:cs="Arial"/>
          <w:color w:val="000000" w:themeColor="text1"/>
          <w:sz w:val="22"/>
        </w:rPr>
        <w:t>expedido</w:t>
      </w:r>
      <w:r w:rsidRPr="00C12946">
        <w:rPr>
          <w:rFonts w:ascii="Arial" w:eastAsia="Calibri" w:hAnsi="Arial" w:cs="Arial"/>
          <w:color w:val="000000" w:themeColor="text1"/>
          <w:sz w:val="22"/>
        </w:rPr>
        <w:t xml:space="preserve"> por el COPNIA, tampoco sería posible solicitar </w:t>
      </w:r>
      <w:r w:rsidR="008F4B08">
        <w:rPr>
          <w:rFonts w:ascii="Arial" w:eastAsia="Calibri" w:hAnsi="Arial" w:cs="Arial"/>
          <w:color w:val="000000" w:themeColor="text1"/>
          <w:sz w:val="22"/>
        </w:rPr>
        <w:t xml:space="preserve">cambios </w:t>
      </w:r>
      <w:r w:rsidRPr="00C12946">
        <w:rPr>
          <w:rFonts w:ascii="Arial" w:eastAsia="Calibri" w:hAnsi="Arial" w:cs="Arial"/>
          <w:color w:val="000000" w:themeColor="text1"/>
          <w:sz w:val="22"/>
        </w:rPr>
        <w:t>e</w:t>
      </w:r>
      <w:r w:rsidR="008F4B08">
        <w:rPr>
          <w:rFonts w:ascii="Arial" w:eastAsia="Calibri" w:hAnsi="Arial" w:cs="Arial"/>
          <w:color w:val="000000" w:themeColor="text1"/>
          <w:sz w:val="22"/>
        </w:rPr>
        <w:t>n</w:t>
      </w:r>
      <w:r w:rsidRPr="00C12946">
        <w:rPr>
          <w:rFonts w:ascii="Arial" w:eastAsia="Calibri" w:hAnsi="Arial" w:cs="Arial"/>
          <w:color w:val="000000" w:themeColor="text1"/>
          <w:sz w:val="22"/>
        </w:rPr>
        <w:t xml:space="preserve"> los conceptos de esta Agencia, </w:t>
      </w:r>
      <w:r w:rsidR="00E9480E">
        <w:rPr>
          <w:rFonts w:ascii="Arial" w:eastAsia="Calibri" w:hAnsi="Arial" w:cs="Arial"/>
          <w:color w:val="000000" w:themeColor="text1"/>
          <w:sz w:val="22"/>
        </w:rPr>
        <w:t>pues</w:t>
      </w:r>
      <w:r w:rsidRPr="00C12946">
        <w:rPr>
          <w:rFonts w:ascii="Arial" w:eastAsia="Calibri" w:hAnsi="Arial" w:cs="Arial"/>
          <w:color w:val="000000" w:themeColor="text1"/>
          <w:sz w:val="22"/>
        </w:rPr>
        <w:t xml:space="preserve"> los efectos de la sentencia se limitarían a ese caso concreto sometido al litigio</w:t>
      </w:r>
      <w:r w:rsidR="00E9480E">
        <w:rPr>
          <w:rFonts w:ascii="Arial" w:eastAsia="Calibri" w:hAnsi="Arial" w:cs="Arial"/>
          <w:color w:val="000000" w:themeColor="text1"/>
          <w:sz w:val="22"/>
        </w:rPr>
        <w:t xml:space="preserve">, el cual está </w:t>
      </w:r>
      <w:r w:rsidR="00E9480E">
        <w:rPr>
          <w:rFonts w:ascii="Arial" w:eastAsia="Calibri" w:hAnsi="Arial" w:cs="Arial"/>
          <w:color w:val="000000" w:themeColor="text1"/>
          <w:sz w:val="22"/>
        </w:rPr>
        <w:lastRenderedPageBreak/>
        <w:t xml:space="preserve">delimitado no solo por el objeto </w:t>
      </w:r>
      <w:r w:rsidR="003C611C">
        <w:rPr>
          <w:rFonts w:ascii="Arial" w:eastAsia="Calibri" w:hAnsi="Arial" w:cs="Arial"/>
          <w:color w:val="000000" w:themeColor="text1"/>
          <w:sz w:val="22"/>
        </w:rPr>
        <w:t xml:space="preserve">de la pretensión anulatoria </w:t>
      </w:r>
      <w:r w:rsidR="00E9480E">
        <w:rPr>
          <w:rFonts w:ascii="Arial" w:eastAsia="Calibri" w:hAnsi="Arial" w:cs="Arial"/>
          <w:color w:val="000000" w:themeColor="text1"/>
          <w:sz w:val="22"/>
        </w:rPr>
        <w:t xml:space="preserve">sino también con la </w:t>
      </w:r>
      <w:r w:rsidR="00E9480E" w:rsidRPr="00E9480E">
        <w:rPr>
          <w:rFonts w:ascii="Arial" w:eastAsia="Calibri" w:hAnsi="Arial" w:cs="Arial"/>
          <w:i/>
          <w:iCs/>
          <w:color w:val="000000" w:themeColor="text1"/>
          <w:sz w:val="22"/>
        </w:rPr>
        <w:t>causa petendi</w:t>
      </w:r>
      <w:r w:rsidR="003C611C">
        <w:rPr>
          <w:rFonts w:ascii="Arial" w:eastAsia="Calibri" w:hAnsi="Arial" w:cs="Arial"/>
          <w:color w:val="000000" w:themeColor="text1"/>
          <w:sz w:val="22"/>
        </w:rPr>
        <w:t xml:space="preserve"> de la demanda</w:t>
      </w:r>
      <w:r w:rsidR="003C611C">
        <w:rPr>
          <w:rStyle w:val="Refdenotaalpie"/>
          <w:rFonts w:ascii="Arial" w:eastAsia="Calibri" w:hAnsi="Arial" w:cs="Arial"/>
          <w:color w:val="000000" w:themeColor="text1"/>
          <w:sz w:val="22"/>
        </w:rPr>
        <w:footnoteReference w:id="10"/>
      </w:r>
      <w:r w:rsidRPr="00C12946">
        <w:rPr>
          <w:rFonts w:ascii="Arial" w:eastAsia="Calibri" w:hAnsi="Arial" w:cs="Arial"/>
          <w:color w:val="000000" w:themeColor="text1"/>
          <w:sz w:val="22"/>
        </w:rPr>
        <w:t>. Por lo tanto, con el cumplimiento de la carga correspondiente al deber de motivación, las autoridades podrían separarse de la argumentación de esa eventual providencia judicial, ya que los efectos de la parte dispositiva no se extenderían a los conceptos de las demás entidades del Estado</w:t>
      </w:r>
      <w:r w:rsidR="00E9480E">
        <w:rPr>
          <w:rFonts w:ascii="Arial" w:eastAsia="Calibri" w:hAnsi="Arial" w:cs="Arial"/>
          <w:color w:val="000000" w:themeColor="text1"/>
          <w:sz w:val="22"/>
        </w:rPr>
        <w:t>, lo cual es compatible con el respeto a la cosa juzgada</w:t>
      </w:r>
      <w:r w:rsidRPr="00C12946">
        <w:rPr>
          <w:rFonts w:ascii="Arial" w:eastAsia="Calibri" w:hAnsi="Arial" w:cs="Arial"/>
          <w:color w:val="000000" w:themeColor="text1"/>
          <w:sz w:val="22"/>
        </w:rPr>
        <w:t>.</w:t>
      </w:r>
      <w:bookmarkEnd w:id="18"/>
    </w:p>
    <w:p w14:paraId="50E0BBEF" w14:textId="599F361E" w:rsidR="00CF09D9" w:rsidRDefault="00CF09D9" w:rsidP="00CF09D9">
      <w:pPr>
        <w:tabs>
          <w:tab w:val="left" w:pos="426"/>
        </w:tabs>
        <w:spacing w:line="276" w:lineRule="auto"/>
        <w:jc w:val="both"/>
        <w:rPr>
          <w:rFonts w:ascii="Arial" w:eastAsia="Calibri" w:hAnsi="Arial" w:cs="Arial"/>
          <w:bCs/>
          <w:sz w:val="22"/>
          <w:lang w:val="es-ES_tradnl"/>
        </w:rPr>
      </w:pPr>
      <w:r>
        <w:rPr>
          <w:rFonts w:ascii="Arial" w:eastAsia="Calibri" w:hAnsi="Arial" w:cs="Arial"/>
          <w:color w:val="000000" w:themeColor="text1"/>
          <w:sz w:val="22"/>
        </w:rPr>
        <w:tab/>
      </w:r>
      <w:r>
        <w:rPr>
          <w:rFonts w:ascii="Arial" w:eastAsia="Calibri" w:hAnsi="Arial" w:cs="Arial"/>
          <w:color w:val="000000" w:themeColor="text1"/>
          <w:sz w:val="22"/>
        </w:rPr>
        <w:tab/>
      </w:r>
      <w:bookmarkStart w:id="19" w:name="_Hlk44492815"/>
      <w:r>
        <w:rPr>
          <w:rFonts w:ascii="Arial" w:eastAsia="Calibri" w:hAnsi="Arial" w:cs="Arial"/>
          <w:color w:val="000000" w:themeColor="text1"/>
          <w:sz w:val="22"/>
        </w:rPr>
        <w:t>Lo importante es que, e</w:t>
      </w:r>
      <w:r>
        <w:rPr>
          <w:rFonts w:ascii="Arial" w:eastAsia="Calibri" w:hAnsi="Arial" w:cs="Arial"/>
          <w:bCs/>
          <w:sz w:val="22"/>
          <w:lang w:val="es-ES_tradnl"/>
        </w:rPr>
        <w:t>n ejercicio de las competencias consagradas en los artículos 3</w:t>
      </w:r>
      <w:r w:rsidR="00B13C71">
        <w:rPr>
          <w:rFonts w:ascii="Arial" w:eastAsia="Calibri" w:hAnsi="Arial" w:cs="Arial"/>
          <w:bCs/>
          <w:sz w:val="22"/>
          <w:lang w:val="es-ES_tradnl"/>
        </w:rPr>
        <w:t>.5</w:t>
      </w:r>
      <w:r>
        <w:rPr>
          <w:rFonts w:ascii="Arial" w:eastAsia="Calibri" w:hAnsi="Arial" w:cs="Arial"/>
          <w:bCs/>
          <w:sz w:val="22"/>
          <w:lang w:val="es-ES_tradnl"/>
        </w:rPr>
        <w:t>, 11</w:t>
      </w:r>
      <w:r w:rsidR="00B13C71">
        <w:rPr>
          <w:rFonts w:ascii="Arial" w:eastAsia="Calibri" w:hAnsi="Arial" w:cs="Arial"/>
          <w:bCs/>
          <w:sz w:val="22"/>
          <w:lang w:val="es-ES_tradnl"/>
        </w:rPr>
        <w:t>.</w:t>
      </w:r>
      <w:r>
        <w:rPr>
          <w:rFonts w:ascii="Arial" w:eastAsia="Calibri" w:hAnsi="Arial" w:cs="Arial"/>
          <w:bCs/>
          <w:sz w:val="22"/>
          <w:lang w:val="es-ES_tradnl"/>
        </w:rPr>
        <w:t>8, 12</w:t>
      </w:r>
      <w:r w:rsidR="00B13C71">
        <w:rPr>
          <w:rFonts w:ascii="Arial" w:eastAsia="Calibri" w:hAnsi="Arial" w:cs="Arial"/>
          <w:bCs/>
          <w:sz w:val="22"/>
          <w:lang w:val="es-ES_tradnl"/>
        </w:rPr>
        <w:t>.</w:t>
      </w:r>
      <w:r>
        <w:rPr>
          <w:rFonts w:ascii="Arial" w:eastAsia="Calibri" w:hAnsi="Arial" w:cs="Arial"/>
          <w:bCs/>
          <w:sz w:val="22"/>
          <w:lang w:val="es-ES_tradnl"/>
        </w:rPr>
        <w:t>6, y 13</w:t>
      </w:r>
      <w:r w:rsidR="00B13C71">
        <w:rPr>
          <w:rFonts w:ascii="Arial" w:eastAsia="Calibri" w:hAnsi="Arial" w:cs="Arial"/>
          <w:bCs/>
          <w:sz w:val="22"/>
          <w:lang w:val="es-ES_tradnl"/>
        </w:rPr>
        <w:t>.</w:t>
      </w:r>
      <w:r>
        <w:rPr>
          <w:rFonts w:ascii="Arial" w:eastAsia="Calibri" w:hAnsi="Arial" w:cs="Arial"/>
          <w:bCs/>
          <w:sz w:val="22"/>
          <w:lang w:val="es-ES_tradnl"/>
        </w:rPr>
        <w:t>4</w:t>
      </w:r>
      <w:r w:rsidR="00B13C71">
        <w:rPr>
          <w:rFonts w:ascii="Arial" w:eastAsia="Calibri" w:hAnsi="Arial" w:cs="Arial"/>
          <w:bCs/>
          <w:sz w:val="22"/>
          <w:lang w:val="es-ES_tradnl"/>
        </w:rPr>
        <w:t xml:space="preserve"> </w:t>
      </w:r>
      <w:r>
        <w:rPr>
          <w:rFonts w:ascii="Arial" w:eastAsia="Calibri" w:hAnsi="Arial" w:cs="Arial"/>
          <w:bCs/>
          <w:sz w:val="22"/>
          <w:lang w:val="es-ES_tradnl"/>
        </w:rPr>
        <w:t xml:space="preserve">del Decreto 4170 de 2011, la Agencia Nacional de Contratación Pública – Colombia Compra Eficiente resuelve las consultas sobre los asuntos de su competencia, esto es, sobre </w:t>
      </w:r>
      <w:r w:rsidR="00B13C71">
        <w:rPr>
          <w:rFonts w:ascii="Arial" w:eastAsia="Calibri" w:hAnsi="Arial" w:cs="Arial"/>
          <w:bCs/>
          <w:sz w:val="22"/>
          <w:lang w:val="es-ES_tradnl"/>
        </w:rPr>
        <w:t>temas de contratación estatal</w:t>
      </w:r>
      <w:r>
        <w:rPr>
          <w:rFonts w:ascii="Arial" w:eastAsia="Calibri" w:hAnsi="Arial" w:cs="Arial"/>
          <w:bCs/>
          <w:sz w:val="22"/>
          <w:lang w:val="es-ES_tradnl"/>
        </w:rPr>
        <w:t>. Esta competencia consultiva se relaciona con el artículo 28 de la Ley 1437 de 2011</w:t>
      </w:r>
      <w:bookmarkEnd w:id="19"/>
      <w:r>
        <w:rPr>
          <w:rFonts w:ascii="Arial" w:eastAsia="Calibri" w:hAnsi="Arial" w:cs="Arial"/>
          <w:bCs/>
          <w:sz w:val="22"/>
          <w:lang w:val="es-ES_tradnl"/>
        </w:rPr>
        <w:t xml:space="preserve">, sustituido por el artículo 1 de la Ley 1755 de 2015, </w:t>
      </w:r>
      <w:r w:rsidR="00B13C71">
        <w:rPr>
          <w:rFonts w:ascii="Arial" w:eastAsia="Calibri" w:hAnsi="Arial" w:cs="Arial"/>
          <w:bCs/>
          <w:sz w:val="22"/>
          <w:lang w:val="es-ES_tradnl"/>
        </w:rPr>
        <w:t>el cual</w:t>
      </w:r>
      <w:r>
        <w:rPr>
          <w:rFonts w:ascii="Arial" w:eastAsia="Calibri" w:hAnsi="Arial" w:cs="Arial"/>
          <w:bCs/>
          <w:sz w:val="22"/>
          <w:lang w:val="es-ES_tradnl"/>
        </w:rPr>
        <w:t xml:space="preserve"> dispone lo siguiente:</w:t>
      </w:r>
    </w:p>
    <w:p w14:paraId="589698FD" w14:textId="77777777" w:rsidR="00CF09D9" w:rsidRDefault="00CF09D9" w:rsidP="00CF09D9">
      <w:pPr>
        <w:tabs>
          <w:tab w:val="left" w:pos="426"/>
        </w:tabs>
        <w:spacing w:line="276" w:lineRule="auto"/>
        <w:jc w:val="both"/>
        <w:rPr>
          <w:rFonts w:ascii="Arial" w:eastAsia="Calibri" w:hAnsi="Arial" w:cs="Arial"/>
          <w:bCs/>
          <w:sz w:val="22"/>
          <w:lang w:val="es-ES_tradnl"/>
        </w:rPr>
      </w:pPr>
    </w:p>
    <w:p w14:paraId="24780198" w14:textId="77777777" w:rsidR="00CF09D9" w:rsidRPr="000E57AA" w:rsidRDefault="00CF09D9" w:rsidP="00CF09D9">
      <w:pPr>
        <w:tabs>
          <w:tab w:val="left" w:pos="426"/>
        </w:tabs>
        <w:ind w:left="709" w:right="709"/>
        <w:jc w:val="both"/>
        <w:rPr>
          <w:rFonts w:ascii="Arial" w:eastAsia="Calibri" w:hAnsi="Arial" w:cs="Arial"/>
          <w:bCs/>
          <w:sz w:val="21"/>
          <w:szCs w:val="21"/>
          <w:lang w:val="es-ES_tradnl"/>
        </w:rPr>
      </w:pPr>
      <w:r w:rsidRPr="001946FB">
        <w:rPr>
          <w:rFonts w:ascii="Arial" w:eastAsia="Calibri" w:hAnsi="Arial" w:cs="Arial"/>
          <w:bCs/>
          <w:sz w:val="21"/>
          <w:szCs w:val="21"/>
          <w:lang w:val="es-ES_tradnl"/>
        </w:rPr>
        <w:t>Artículo 28. Alcance de los conceptos</w:t>
      </w:r>
      <w:r w:rsidRPr="000E57AA">
        <w:rPr>
          <w:rFonts w:ascii="Arial" w:eastAsia="Calibri" w:hAnsi="Arial" w:cs="Arial"/>
          <w:bCs/>
          <w:sz w:val="21"/>
          <w:szCs w:val="21"/>
          <w:lang w:val="es-ES_tradnl"/>
        </w:rPr>
        <w:t xml:space="preserve">. Salvo disposición legal en contrario, los conceptos emitidos por las autoridades como respuestas a peticiones realizadas en ejercicio del derecho a formular consultas no serán de obligatorio cumplimiento o ejecución.  </w:t>
      </w:r>
    </w:p>
    <w:p w14:paraId="2AE1FC56" w14:textId="77777777" w:rsidR="00CF09D9" w:rsidRDefault="00CF09D9" w:rsidP="00CF09D9">
      <w:pPr>
        <w:tabs>
          <w:tab w:val="left" w:pos="426"/>
        </w:tabs>
        <w:spacing w:line="276" w:lineRule="auto"/>
        <w:jc w:val="both"/>
        <w:rPr>
          <w:rFonts w:ascii="Arial" w:eastAsia="Calibri" w:hAnsi="Arial" w:cs="Arial"/>
          <w:bCs/>
          <w:sz w:val="22"/>
          <w:lang w:val="es-ES_tradnl"/>
        </w:rPr>
      </w:pPr>
    </w:p>
    <w:p w14:paraId="5D8E2E16" w14:textId="62191014" w:rsidR="00B1586E" w:rsidRDefault="00B13C71" w:rsidP="00CF09D9">
      <w:pPr>
        <w:spacing w:after="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La norma dispone</w:t>
      </w:r>
      <w:r w:rsidR="00CF09D9">
        <w:rPr>
          <w:rFonts w:ascii="Arial" w:eastAsia="Calibri" w:hAnsi="Arial" w:cs="Arial"/>
          <w:bCs/>
          <w:sz w:val="22"/>
          <w:lang w:val="es-ES_tradnl"/>
        </w:rPr>
        <w:t xml:space="preserve"> que los conceptos emitidos por las autoridades al responder peticiones realizadas en ejercicio del derecho a formular consultas no son de obligatorio cumplimiento o ejecución, en otras palabras, no tienen efectos vinculantes. </w:t>
      </w:r>
      <w:r w:rsidR="00CF09D9" w:rsidRPr="00283C88">
        <w:rPr>
          <w:rFonts w:ascii="Arial" w:eastAsia="Calibri" w:hAnsi="Arial" w:cs="Arial"/>
          <w:bCs/>
          <w:sz w:val="22"/>
          <w:lang w:val="es-ES_tradnl"/>
        </w:rPr>
        <w:t xml:space="preserve">Las respuestas </w:t>
      </w:r>
      <w:r>
        <w:rPr>
          <w:rFonts w:ascii="Arial" w:eastAsia="Calibri" w:hAnsi="Arial" w:cs="Arial"/>
          <w:bCs/>
          <w:sz w:val="22"/>
          <w:lang w:val="es-ES_tradnl"/>
        </w:rPr>
        <w:t>expedidas</w:t>
      </w:r>
      <w:r w:rsidR="00CF09D9" w:rsidRPr="00283C88">
        <w:rPr>
          <w:rFonts w:ascii="Arial" w:eastAsia="Calibri" w:hAnsi="Arial" w:cs="Arial"/>
          <w:bCs/>
          <w:sz w:val="22"/>
          <w:lang w:val="es-ES_tradnl"/>
        </w:rPr>
        <w:t xml:space="preserve"> como concepto</w:t>
      </w:r>
      <w:r>
        <w:rPr>
          <w:rFonts w:ascii="Arial" w:eastAsia="Calibri" w:hAnsi="Arial" w:cs="Arial"/>
          <w:bCs/>
          <w:sz w:val="22"/>
          <w:lang w:val="es-ES_tradnl"/>
        </w:rPr>
        <w:t xml:space="preserve"> </w:t>
      </w:r>
      <w:r w:rsidR="00CF09D9" w:rsidRPr="00283C88">
        <w:rPr>
          <w:rFonts w:ascii="Arial" w:eastAsia="Calibri" w:hAnsi="Arial" w:cs="Arial"/>
          <w:bCs/>
          <w:sz w:val="22"/>
          <w:lang w:val="es-ES_tradnl"/>
        </w:rPr>
        <w:t xml:space="preserve">consisten en la posición hermenéutica que las entidades tienen respecto </w:t>
      </w:r>
      <w:r>
        <w:rPr>
          <w:rFonts w:ascii="Arial" w:eastAsia="Calibri" w:hAnsi="Arial" w:cs="Arial"/>
          <w:bCs/>
          <w:sz w:val="22"/>
          <w:lang w:val="es-ES_tradnl"/>
        </w:rPr>
        <w:t xml:space="preserve">a las normas </w:t>
      </w:r>
      <w:r w:rsidR="00CF09D9" w:rsidRPr="00283C88">
        <w:rPr>
          <w:rFonts w:ascii="Arial" w:eastAsia="Calibri" w:hAnsi="Arial" w:cs="Arial"/>
          <w:bCs/>
          <w:sz w:val="22"/>
          <w:lang w:val="es-ES_tradnl"/>
        </w:rPr>
        <w:t>del ordenamiento jurídico</w:t>
      </w:r>
      <w:r>
        <w:rPr>
          <w:rFonts w:ascii="Arial" w:eastAsia="Calibri" w:hAnsi="Arial" w:cs="Arial"/>
          <w:bCs/>
          <w:sz w:val="22"/>
          <w:lang w:val="es-ES_tradnl"/>
        </w:rPr>
        <w:t>.</w:t>
      </w:r>
    </w:p>
    <w:p w14:paraId="04850BB4" w14:textId="0371DA94" w:rsidR="00B13C71" w:rsidRDefault="00B13C71" w:rsidP="00CF09D9">
      <w:pPr>
        <w:spacing w:after="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 xml:space="preserve">En términos generales, lo que se busca es que la opinión jurídica sirva a los ciudadanos para el ejercicio de sus derechos y la defensa de sus intereses, constituyéndose en un criterio de orientación para el cumplimiento de </w:t>
      </w:r>
      <w:r w:rsidR="006F4E05">
        <w:rPr>
          <w:rFonts w:ascii="Arial" w:eastAsia="Calibri" w:hAnsi="Arial" w:cs="Arial"/>
          <w:bCs/>
          <w:sz w:val="22"/>
          <w:lang w:val="es-ES_tradnl"/>
        </w:rPr>
        <w:t>las</w:t>
      </w:r>
      <w:r>
        <w:rPr>
          <w:rFonts w:ascii="Arial" w:eastAsia="Calibri" w:hAnsi="Arial" w:cs="Arial"/>
          <w:bCs/>
          <w:sz w:val="22"/>
          <w:lang w:val="es-ES_tradnl"/>
        </w:rPr>
        <w:t xml:space="preserve"> competencias legales</w:t>
      </w:r>
      <w:r w:rsidR="006F4E05">
        <w:rPr>
          <w:rFonts w:ascii="Arial" w:eastAsia="Calibri" w:hAnsi="Arial" w:cs="Arial"/>
          <w:bCs/>
          <w:sz w:val="22"/>
          <w:lang w:val="es-ES_tradnl"/>
        </w:rPr>
        <w:t xml:space="preserve"> de la Administración</w:t>
      </w:r>
      <w:r>
        <w:rPr>
          <w:rFonts w:ascii="Arial" w:eastAsia="Calibri" w:hAnsi="Arial" w:cs="Arial"/>
          <w:bCs/>
          <w:sz w:val="22"/>
          <w:lang w:val="es-ES_tradnl"/>
        </w:rPr>
        <w:t xml:space="preserve">, sin que tome partida por alguno </w:t>
      </w:r>
      <w:r w:rsidR="006F4E05">
        <w:rPr>
          <w:rFonts w:ascii="Arial" w:eastAsia="Calibri" w:hAnsi="Arial" w:cs="Arial"/>
          <w:bCs/>
          <w:sz w:val="22"/>
          <w:lang w:val="es-ES_tradnl"/>
        </w:rPr>
        <w:t>de ellos</w:t>
      </w:r>
      <w:r>
        <w:rPr>
          <w:rFonts w:ascii="Arial" w:eastAsia="Calibri" w:hAnsi="Arial" w:cs="Arial"/>
          <w:bCs/>
          <w:sz w:val="22"/>
          <w:lang w:val="es-ES_tradnl"/>
        </w:rPr>
        <w:t xml:space="preserve">, pues a la autoridad que expide el concepto </w:t>
      </w:r>
      <w:r w:rsidR="006F4E05">
        <w:rPr>
          <w:rFonts w:ascii="Arial" w:eastAsia="Calibri" w:hAnsi="Arial" w:cs="Arial"/>
          <w:bCs/>
          <w:sz w:val="22"/>
          <w:lang w:val="es-ES_tradnl"/>
        </w:rPr>
        <w:t>carece de la atribución para determinar</w:t>
      </w:r>
      <w:r>
        <w:rPr>
          <w:rFonts w:ascii="Arial" w:eastAsia="Calibri" w:hAnsi="Arial" w:cs="Arial"/>
          <w:bCs/>
          <w:sz w:val="22"/>
          <w:lang w:val="es-ES_tradnl"/>
        </w:rPr>
        <w:t xml:space="preserve"> quién tienen la razón en </w:t>
      </w:r>
      <w:r w:rsidR="006F4E05">
        <w:rPr>
          <w:rFonts w:ascii="Arial" w:eastAsia="Calibri" w:hAnsi="Arial" w:cs="Arial"/>
          <w:bCs/>
          <w:sz w:val="22"/>
          <w:lang w:val="es-ES_tradnl"/>
        </w:rPr>
        <w:t>la</w:t>
      </w:r>
      <w:r>
        <w:rPr>
          <w:rFonts w:ascii="Arial" w:eastAsia="Calibri" w:hAnsi="Arial" w:cs="Arial"/>
          <w:bCs/>
          <w:sz w:val="22"/>
          <w:lang w:val="es-ES_tradnl"/>
        </w:rPr>
        <w:t xml:space="preserve"> interpretación </w:t>
      </w:r>
      <w:r w:rsidR="006F4E05">
        <w:rPr>
          <w:rFonts w:ascii="Arial" w:eastAsia="Calibri" w:hAnsi="Arial" w:cs="Arial"/>
          <w:bCs/>
          <w:sz w:val="22"/>
          <w:lang w:val="es-ES_tradnl"/>
        </w:rPr>
        <w:t>de las normas</w:t>
      </w:r>
      <w:r>
        <w:rPr>
          <w:rFonts w:ascii="Arial" w:eastAsia="Calibri" w:hAnsi="Arial" w:cs="Arial"/>
          <w:bCs/>
          <w:sz w:val="22"/>
          <w:lang w:val="es-ES_tradnl"/>
        </w:rPr>
        <w:t>. Esto no descarta que</w:t>
      </w:r>
      <w:r w:rsidR="006F4E05">
        <w:rPr>
          <w:rFonts w:ascii="Arial" w:eastAsia="Calibri" w:hAnsi="Arial" w:cs="Arial"/>
          <w:bCs/>
          <w:sz w:val="22"/>
          <w:lang w:val="es-ES_tradnl"/>
        </w:rPr>
        <w:t xml:space="preserve"> </w:t>
      </w:r>
      <w:r>
        <w:rPr>
          <w:rFonts w:ascii="Arial" w:eastAsia="Calibri" w:hAnsi="Arial" w:cs="Arial"/>
          <w:bCs/>
          <w:sz w:val="22"/>
          <w:lang w:val="es-ES_tradnl"/>
        </w:rPr>
        <w:t xml:space="preserve">al emitirse </w:t>
      </w:r>
      <w:r w:rsidR="006F4E05">
        <w:rPr>
          <w:rFonts w:ascii="Arial" w:eastAsia="Calibri" w:hAnsi="Arial" w:cs="Arial"/>
          <w:bCs/>
          <w:sz w:val="22"/>
          <w:lang w:val="es-ES_tradnl"/>
        </w:rPr>
        <w:t>un concepto</w:t>
      </w:r>
      <w:r>
        <w:rPr>
          <w:rFonts w:ascii="Arial" w:eastAsia="Calibri" w:hAnsi="Arial" w:cs="Arial"/>
          <w:bCs/>
          <w:sz w:val="22"/>
          <w:lang w:val="es-ES_tradnl"/>
        </w:rPr>
        <w:t xml:space="preserve"> </w:t>
      </w:r>
      <w:r w:rsidR="006F4E05">
        <w:rPr>
          <w:rFonts w:ascii="Arial" w:eastAsia="Calibri" w:hAnsi="Arial" w:cs="Arial"/>
          <w:bCs/>
          <w:sz w:val="22"/>
          <w:lang w:val="es-ES_tradnl"/>
        </w:rPr>
        <w:t>este coincida</w:t>
      </w:r>
      <w:r>
        <w:rPr>
          <w:rFonts w:ascii="Arial" w:eastAsia="Calibri" w:hAnsi="Arial" w:cs="Arial"/>
          <w:bCs/>
          <w:sz w:val="22"/>
          <w:lang w:val="es-ES_tradnl"/>
        </w:rPr>
        <w:t xml:space="preserve"> con el criterio </w:t>
      </w:r>
      <w:r w:rsidR="006F4E05">
        <w:rPr>
          <w:rFonts w:ascii="Arial" w:eastAsia="Calibri" w:hAnsi="Arial" w:cs="Arial"/>
          <w:bCs/>
          <w:sz w:val="22"/>
          <w:lang w:val="es-ES_tradnl"/>
        </w:rPr>
        <w:t xml:space="preserve">de </w:t>
      </w:r>
      <w:r>
        <w:rPr>
          <w:rFonts w:ascii="Arial" w:eastAsia="Calibri" w:hAnsi="Arial" w:cs="Arial"/>
          <w:bCs/>
          <w:sz w:val="22"/>
          <w:lang w:val="es-ES_tradnl"/>
        </w:rPr>
        <w:t xml:space="preserve">la persona que solicita la consulta, circunstancia que no </w:t>
      </w:r>
      <w:r w:rsidR="006F4E05">
        <w:rPr>
          <w:rFonts w:ascii="Arial" w:eastAsia="Calibri" w:hAnsi="Arial" w:cs="Arial"/>
          <w:bCs/>
          <w:sz w:val="22"/>
          <w:lang w:val="es-ES_tradnl"/>
        </w:rPr>
        <w:t>excluye</w:t>
      </w:r>
      <w:r>
        <w:rPr>
          <w:rFonts w:ascii="Arial" w:eastAsia="Calibri" w:hAnsi="Arial" w:cs="Arial"/>
          <w:bCs/>
          <w:sz w:val="22"/>
          <w:lang w:val="es-ES_tradnl"/>
        </w:rPr>
        <w:t xml:space="preserve"> interpretaciones diferentes </w:t>
      </w:r>
      <w:r w:rsidR="006F4E05">
        <w:rPr>
          <w:rFonts w:ascii="Arial" w:eastAsia="Calibri" w:hAnsi="Arial" w:cs="Arial"/>
          <w:bCs/>
          <w:sz w:val="22"/>
          <w:lang w:val="es-ES_tradnl"/>
        </w:rPr>
        <w:t>ni</w:t>
      </w:r>
      <w:r>
        <w:rPr>
          <w:rFonts w:ascii="Arial" w:eastAsia="Calibri" w:hAnsi="Arial" w:cs="Arial"/>
          <w:bCs/>
          <w:sz w:val="22"/>
          <w:lang w:val="es-ES_tradnl"/>
        </w:rPr>
        <w:t xml:space="preserve"> valida la del peticionario, </w:t>
      </w:r>
      <w:r w:rsidR="006F4E05">
        <w:rPr>
          <w:rFonts w:ascii="Arial" w:eastAsia="Calibri" w:hAnsi="Arial" w:cs="Arial"/>
          <w:bCs/>
          <w:sz w:val="22"/>
          <w:lang w:val="es-ES_tradnl"/>
        </w:rPr>
        <w:t>puesto</w:t>
      </w:r>
      <w:r>
        <w:rPr>
          <w:rFonts w:ascii="Arial" w:eastAsia="Calibri" w:hAnsi="Arial" w:cs="Arial"/>
          <w:bCs/>
          <w:sz w:val="22"/>
          <w:lang w:val="es-ES_tradnl"/>
        </w:rPr>
        <w:t xml:space="preserve"> que las competencias consultivas no lo permiten</w:t>
      </w:r>
      <w:r w:rsidR="006F4E05">
        <w:rPr>
          <w:rFonts w:ascii="Arial" w:eastAsia="Calibri" w:hAnsi="Arial" w:cs="Arial"/>
          <w:bCs/>
          <w:sz w:val="22"/>
          <w:lang w:val="es-ES_tradnl"/>
        </w:rPr>
        <w:t>.</w:t>
      </w:r>
    </w:p>
    <w:p w14:paraId="26C209D8" w14:textId="5F4CD6DF" w:rsidR="006F4E05" w:rsidRDefault="006F4E05" w:rsidP="00103CA7">
      <w:pPr>
        <w:spacing w:line="276" w:lineRule="auto"/>
        <w:ind w:firstLine="709"/>
        <w:jc w:val="both"/>
        <w:rPr>
          <w:rFonts w:ascii="Arial" w:eastAsia="Calibri" w:hAnsi="Arial" w:cs="Arial"/>
          <w:bCs/>
          <w:sz w:val="22"/>
          <w:lang w:val="es-ES_tradnl"/>
        </w:rPr>
      </w:pPr>
      <w:bookmarkStart w:id="20" w:name="_Hlk44492883"/>
      <w:r>
        <w:rPr>
          <w:rFonts w:ascii="Arial" w:eastAsia="Calibri" w:hAnsi="Arial" w:cs="Arial"/>
          <w:bCs/>
          <w:sz w:val="22"/>
          <w:lang w:val="es-ES_tradnl"/>
        </w:rPr>
        <w:lastRenderedPageBreak/>
        <w:t>En este contexto</w:t>
      </w:r>
      <w:r w:rsidRPr="006F4E05">
        <w:rPr>
          <w:rFonts w:ascii="Arial" w:eastAsia="Calibri" w:hAnsi="Arial" w:cs="Arial"/>
          <w:bCs/>
          <w:sz w:val="22"/>
          <w:lang w:val="es-ES_tradnl"/>
        </w:rPr>
        <w:t>,</w:t>
      </w:r>
      <w:r>
        <w:rPr>
          <w:rFonts w:ascii="Arial" w:eastAsia="Calibri" w:hAnsi="Arial" w:cs="Arial"/>
          <w:bCs/>
          <w:sz w:val="22"/>
          <w:lang w:val="es-ES_tradnl"/>
        </w:rPr>
        <w:t xml:space="preserve"> pese a la tesis del auto de suspensión provisional del Consejo de Estado,</w:t>
      </w:r>
      <w:r w:rsidRPr="006F4E05">
        <w:rPr>
          <w:rFonts w:ascii="Arial" w:eastAsia="Calibri" w:hAnsi="Arial" w:cs="Arial"/>
          <w:bCs/>
          <w:sz w:val="22"/>
          <w:lang w:val="es-ES_tradnl"/>
        </w:rPr>
        <w:t xml:space="preserve"> </w:t>
      </w:r>
      <w:r w:rsidR="002B1DDF">
        <w:rPr>
          <w:rFonts w:ascii="Arial" w:eastAsia="Calibri" w:hAnsi="Arial" w:cs="Arial"/>
          <w:bCs/>
          <w:sz w:val="22"/>
          <w:lang w:val="es-ES_tradnl"/>
        </w:rPr>
        <w:t xml:space="preserve">la Agencia Nacional de Contratación Pública – </w:t>
      </w:r>
      <w:r w:rsidRPr="006F4E05">
        <w:rPr>
          <w:rFonts w:ascii="Arial" w:eastAsia="Calibri" w:hAnsi="Arial" w:cs="Arial"/>
          <w:bCs/>
          <w:sz w:val="22"/>
          <w:lang w:val="es-ES_tradnl"/>
        </w:rPr>
        <w:t xml:space="preserve">Colombia Compra Eficiente </w:t>
      </w:r>
      <w:r w:rsidR="00F460A6">
        <w:rPr>
          <w:rFonts w:ascii="Arial" w:eastAsia="Calibri" w:hAnsi="Arial" w:cs="Arial"/>
          <w:bCs/>
          <w:sz w:val="22"/>
          <w:lang w:val="es-ES_tradnl"/>
        </w:rPr>
        <w:t>mantiene</w:t>
      </w:r>
      <w:r>
        <w:rPr>
          <w:rFonts w:ascii="Arial" w:eastAsia="Calibri" w:hAnsi="Arial" w:cs="Arial"/>
          <w:bCs/>
          <w:sz w:val="22"/>
          <w:lang w:val="es-ES_tradnl"/>
        </w:rPr>
        <w:t xml:space="preserve"> la tesis </w:t>
      </w:r>
      <w:r w:rsidR="00F460A6">
        <w:rPr>
          <w:rFonts w:ascii="Arial" w:eastAsia="Calibri" w:hAnsi="Arial" w:cs="Arial"/>
          <w:bCs/>
          <w:sz w:val="22"/>
          <w:lang w:val="es-ES_tradnl"/>
        </w:rPr>
        <w:t>d</w:t>
      </w:r>
      <w:r>
        <w:rPr>
          <w:rFonts w:ascii="Arial" w:eastAsia="Calibri" w:hAnsi="Arial" w:cs="Arial"/>
          <w:bCs/>
          <w:sz w:val="22"/>
          <w:lang w:val="es-ES_tradnl"/>
        </w:rPr>
        <w:t xml:space="preserve">el </w:t>
      </w:r>
      <w:r>
        <w:rPr>
          <w:rFonts w:ascii="Arial" w:eastAsia="Calibri" w:hAnsi="Arial" w:cs="Arial"/>
          <w:color w:val="000000" w:themeColor="text1"/>
          <w:sz w:val="22"/>
        </w:rPr>
        <w:t>Concepto C-212 del 14 de abril de 2020</w:t>
      </w:r>
      <w:r w:rsidRPr="006F4E05">
        <w:rPr>
          <w:rFonts w:ascii="Arial" w:eastAsia="Calibri" w:hAnsi="Arial" w:cs="Arial"/>
          <w:bCs/>
          <w:sz w:val="22"/>
          <w:lang w:val="es-ES_tradnl"/>
        </w:rPr>
        <w:t xml:space="preserve">, pues no tienen efectos vinculantes </w:t>
      </w:r>
      <w:r>
        <w:rPr>
          <w:rFonts w:ascii="Arial" w:eastAsia="Calibri" w:hAnsi="Arial" w:cs="Arial"/>
          <w:bCs/>
          <w:sz w:val="22"/>
          <w:lang w:val="es-ES_tradnl"/>
        </w:rPr>
        <w:t>respecto a</w:t>
      </w:r>
      <w:r w:rsidRPr="006F4E05">
        <w:rPr>
          <w:rFonts w:ascii="Arial" w:eastAsia="Calibri" w:hAnsi="Arial" w:cs="Arial"/>
          <w:bCs/>
          <w:sz w:val="22"/>
          <w:lang w:val="es-ES_tradnl"/>
        </w:rPr>
        <w:t xml:space="preserve"> una situación jurídica particular y concreta, y expone un criterio que, aunque jurídicamente fundamentado, no representan la única interpretación válida del ordenamiento jurídico.</w:t>
      </w:r>
    </w:p>
    <w:bookmarkEnd w:id="20"/>
    <w:p w14:paraId="4DE8E0C1" w14:textId="77777777" w:rsidR="00FC3766" w:rsidRDefault="00FC3766" w:rsidP="00103CA7">
      <w:pPr>
        <w:spacing w:line="276" w:lineRule="auto"/>
        <w:ind w:firstLine="709"/>
        <w:jc w:val="both"/>
        <w:rPr>
          <w:rFonts w:ascii="Arial" w:eastAsia="Calibri" w:hAnsi="Arial" w:cs="Arial"/>
          <w:bCs/>
          <w:sz w:val="22"/>
          <w:lang w:val="es-ES_tradnl"/>
        </w:rPr>
      </w:pPr>
    </w:p>
    <w:p w14:paraId="5C994D3B" w14:textId="77777777" w:rsidR="005237BA" w:rsidRDefault="00103CA7" w:rsidP="005237BA">
      <w:pPr>
        <w:spacing w:line="276" w:lineRule="auto"/>
        <w:jc w:val="both"/>
        <w:rPr>
          <w:rFonts w:ascii="Arial" w:eastAsia="Calibri" w:hAnsi="Arial" w:cs="Arial"/>
          <w:color w:val="000000" w:themeColor="text1"/>
          <w:sz w:val="22"/>
        </w:rPr>
      </w:pPr>
      <w:r w:rsidRPr="009E467C">
        <w:rPr>
          <w:rFonts w:ascii="Arial" w:eastAsia="Calibri" w:hAnsi="Arial" w:cs="Arial"/>
          <w:b/>
          <w:sz w:val="22"/>
          <w:lang w:val="es-ES_tradnl"/>
        </w:rPr>
        <w:t>2.3.</w:t>
      </w:r>
      <w:r w:rsidR="009E467C" w:rsidRPr="009E467C">
        <w:rPr>
          <w:rFonts w:ascii="Arial" w:eastAsia="Calibri" w:hAnsi="Arial" w:cs="Arial"/>
          <w:b/>
          <w:sz w:val="22"/>
          <w:lang w:val="es-ES_tradnl"/>
        </w:rPr>
        <w:t xml:space="preserve"> Acreditación de la experiencia profesional conforme a la Circular Externa Única</w:t>
      </w:r>
    </w:p>
    <w:p w14:paraId="4E1A2738" w14:textId="77777777" w:rsidR="005237BA" w:rsidRDefault="005237BA" w:rsidP="005237BA">
      <w:pPr>
        <w:spacing w:line="276" w:lineRule="auto"/>
        <w:jc w:val="both"/>
        <w:rPr>
          <w:rFonts w:ascii="Arial" w:eastAsia="Calibri" w:hAnsi="Arial" w:cs="Arial"/>
          <w:color w:val="000000" w:themeColor="text1"/>
          <w:sz w:val="22"/>
        </w:rPr>
      </w:pPr>
    </w:p>
    <w:p w14:paraId="78D22E55" w14:textId="06E80BFF" w:rsidR="00103CA7" w:rsidRDefault="005237BA" w:rsidP="008A275F">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En los fundamento</w:t>
      </w:r>
      <w:r w:rsidR="008A275F">
        <w:rPr>
          <w:rFonts w:ascii="Arial" w:eastAsia="Calibri" w:hAnsi="Arial" w:cs="Arial"/>
          <w:color w:val="000000" w:themeColor="text1"/>
          <w:sz w:val="22"/>
        </w:rPr>
        <w:t>s</w:t>
      </w:r>
      <w:r>
        <w:rPr>
          <w:rFonts w:ascii="Arial" w:eastAsia="Calibri" w:hAnsi="Arial" w:cs="Arial"/>
          <w:color w:val="000000" w:themeColor="text1"/>
          <w:sz w:val="22"/>
        </w:rPr>
        <w:t xml:space="preserve"> de la solicitud, </w:t>
      </w:r>
      <w:r w:rsidR="008A275F">
        <w:rPr>
          <w:rFonts w:ascii="Arial" w:eastAsia="Calibri" w:hAnsi="Arial" w:cs="Arial"/>
          <w:color w:val="000000" w:themeColor="text1"/>
          <w:sz w:val="22"/>
        </w:rPr>
        <w:t xml:space="preserve">la peticionaria </w:t>
      </w:r>
      <w:r>
        <w:rPr>
          <w:rFonts w:ascii="Arial" w:eastAsia="Calibri" w:hAnsi="Arial" w:cs="Arial"/>
          <w:color w:val="000000" w:themeColor="text1"/>
          <w:sz w:val="22"/>
        </w:rPr>
        <w:t xml:space="preserve">también explica que la derogatoria tácita del </w:t>
      </w:r>
      <w:r w:rsidR="00B7517F">
        <w:rPr>
          <w:rFonts w:ascii="Arial" w:eastAsia="Calibri" w:hAnsi="Arial" w:cs="Arial"/>
          <w:color w:val="000000" w:themeColor="text1"/>
          <w:sz w:val="22"/>
        </w:rPr>
        <w:t xml:space="preserve">artículo </w:t>
      </w:r>
      <w:r>
        <w:rPr>
          <w:rFonts w:ascii="Arial" w:eastAsia="Calibri" w:hAnsi="Arial" w:cs="Arial"/>
          <w:color w:val="000000" w:themeColor="text1"/>
          <w:sz w:val="22"/>
        </w:rPr>
        <w:t>12 de</w:t>
      </w:r>
      <w:r w:rsidRPr="00771030">
        <w:rPr>
          <w:rFonts w:ascii="Arial" w:eastAsia="Calibri" w:hAnsi="Arial" w:cs="Arial"/>
          <w:color w:val="000000" w:themeColor="text1"/>
          <w:sz w:val="22"/>
        </w:rPr>
        <w:t xml:space="preserve"> la Ley 842 de 2003</w:t>
      </w:r>
      <w:r>
        <w:rPr>
          <w:rFonts w:ascii="Arial" w:eastAsia="Calibri" w:hAnsi="Arial" w:cs="Arial"/>
          <w:color w:val="000000" w:themeColor="text1"/>
          <w:sz w:val="22"/>
        </w:rPr>
        <w:t xml:space="preserve"> </w:t>
      </w:r>
      <w:r w:rsidR="004344F0">
        <w:rPr>
          <w:rFonts w:ascii="Arial" w:eastAsia="Calibri" w:hAnsi="Arial" w:cs="Arial"/>
          <w:color w:val="000000" w:themeColor="text1"/>
          <w:sz w:val="22"/>
        </w:rPr>
        <w:t>contradice</w:t>
      </w:r>
      <w:r w:rsidR="00702DAA">
        <w:rPr>
          <w:rFonts w:ascii="Arial" w:eastAsia="Calibri" w:hAnsi="Arial" w:cs="Arial"/>
          <w:color w:val="000000" w:themeColor="text1"/>
          <w:sz w:val="22"/>
        </w:rPr>
        <w:t xml:space="preserve"> lo previsto en </w:t>
      </w:r>
      <w:r>
        <w:rPr>
          <w:rFonts w:ascii="Arial" w:eastAsia="Calibri" w:hAnsi="Arial" w:cs="Arial"/>
          <w:color w:val="000000" w:themeColor="text1"/>
          <w:sz w:val="22"/>
        </w:rPr>
        <w:t>la Circular Externa Única</w:t>
      </w:r>
      <w:r w:rsidR="008A275F">
        <w:rPr>
          <w:rFonts w:ascii="Arial" w:eastAsia="Calibri" w:hAnsi="Arial" w:cs="Arial"/>
          <w:color w:val="000000" w:themeColor="text1"/>
          <w:sz w:val="22"/>
        </w:rPr>
        <w:t xml:space="preserve">. </w:t>
      </w:r>
      <w:r w:rsidR="00702DAA">
        <w:rPr>
          <w:rFonts w:ascii="Arial" w:eastAsia="Calibri" w:hAnsi="Arial" w:cs="Arial"/>
          <w:color w:val="000000" w:themeColor="text1"/>
          <w:sz w:val="22"/>
        </w:rPr>
        <w:t xml:space="preserve">El </w:t>
      </w:r>
      <w:bookmarkStart w:id="21" w:name="_Hlk44491027"/>
      <w:r w:rsidR="00702DAA">
        <w:rPr>
          <w:rFonts w:ascii="Arial" w:eastAsia="Calibri" w:hAnsi="Arial" w:cs="Arial"/>
          <w:color w:val="000000" w:themeColor="text1"/>
          <w:sz w:val="22"/>
        </w:rPr>
        <w:t xml:space="preserve">numeral </w:t>
      </w:r>
      <w:bookmarkStart w:id="22" w:name="_Hlk44494028"/>
      <w:r w:rsidR="00702DAA">
        <w:rPr>
          <w:rFonts w:ascii="Arial" w:eastAsia="Calibri" w:hAnsi="Arial" w:cs="Arial"/>
          <w:color w:val="000000" w:themeColor="text1"/>
          <w:sz w:val="22"/>
        </w:rPr>
        <w:t>9.2</w:t>
      </w:r>
      <w:r w:rsidR="008A275F">
        <w:rPr>
          <w:rFonts w:ascii="Arial" w:eastAsia="Calibri" w:hAnsi="Arial" w:cs="Arial"/>
          <w:color w:val="000000" w:themeColor="text1"/>
          <w:sz w:val="22"/>
        </w:rPr>
        <w:t xml:space="preserve"> </w:t>
      </w:r>
      <w:bookmarkEnd w:id="21"/>
      <w:bookmarkEnd w:id="22"/>
      <w:r w:rsidR="008A275F">
        <w:rPr>
          <w:rFonts w:ascii="Arial" w:eastAsia="Calibri" w:hAnsi="Arial" w:cs="Arial"/>
          <w:color w:val="000000" w:themeColor="text1"/>
          <w:sz w:val="22"/>
        </w:rPr>
        <w:t>dispone lo siguiente:</w:t>
      </w:r>
    </w:p>
    <w:p w14:paraId="6AF8B373" w14:textId="77777777" w:rsidR="008A275F" w:rsidRDefault="008A275F" w:rsidP="008A275F">
      <w:pPr>
        <w:spacing w:line="276" w:lineRule="auto"/>
        <w:jc w:val="both"/>
        <w:rPr>
          <w:rFonts w:ascii="Arial" w:eastAsia="Calibri" w:hAnsi="Arial" w:cs="Arial"/>
          <w:color w:val="000000" w:themeColor="text1"/>
          <w:sz w:val="22"/>
        </w:rPr>
      </w:pPr>
    </w:p>
    <w:p w14:paraId="7225C362" w14:textId="77777777" w:rsidR="008A275F" w:rsidRDefault="008A275F" w:rsidP="008A275F">
      <w:pPr>
        <w:tabs>
          <w:tab w:val="left" w:pos="426"/>
        </w:tabs>
        <w:spacing w:after="120"/>
        <w:ind w:left="709" w:right="709"/>
        <w:jc w:val="both"/>
        <w:rPr>
          <w:rFonts w:ascii="Arial" w:eastAsia="Calibri" w:hAnsi="Arial" w:cs="Arial"/>
          <w:bCs/>
          <w:sz w:val="21"/>
          <w:szCs w:val="21"/>
        </w:rPr>
      </w:pPr>
      <w:r w:rsidRPr="00DF08DB">
        <w:rPr>
          <w:rFonts w:ascii="Arial" w:eastAsia="Calibri" w:hAnsi="Arial" w:cs="Arial"/>
          <w:bCs/>
          <w:sz w:val="21"/>
          <w:szCs w:val="21"/>
        </w:rPr>
        <w:t xml:space="preserve">El Decreto – Ley 019 de 2012, establece que, para el ejercicio de diferentes profesiones acreditadas por el Ministerio de Educación Nacional, la experiencia profesional se computará a partir de la terminación y aprobación del pensum académico de educación superior; exceptuando de esta condición las profesiones relacionadas con el sistema de seguridad social en salud en las cuales la experiencia profesional se computa a partir de la inscripción o registro profesional. </w:t>
      </w:r>
    </w:p>
    <w:p w14:paraId="2DC58588" w14:textId="459A03C8" w:rsidR="008A275F" w:rsidRPr="00DF08DB" w:rsidRDefault="008A275F" w:rsidP="008A275F">
      <w:pPr>
        <w:tabs>
          <w:tab w:val="left" w:pos="426"/>
        </w:tabs>
        <w:ind w:left="709" w:right="709"/>
        <w:jc w:val="both"/>
        <w:rPr>
          <w:rFonts w:ascii="Arial" w:eastAsia="Calibri" w:hAnsi="Arial" w:cs="Arial"/>
          <w:bCs/>
          <w:sz w:val="21"/>
          <w:szCs w:val="21"/>
        </w:rPr>
      </w:pPr>
      <w:r w:rsidRPr="00DF08DB">
        <w:rPr>
          <w:rFonts w:ascii="Arial" w:eastAsia="Calibri" w:hAnsi="Arial" w:cs="Arial"/>
          <w:bCs/>
          <w:sz w:val="21"/>
          <w:szCs w:val="21"/>
        </w:rPr>
        <w:t>Sin perjuicio de lo anterior, en los casos en los que el objeto del contrato requiera el ejercicio de profesiones sujetas a regulación especial en razón a la alta responsabilidad y riesgo social que implica su ejercicio para la sociedad, como es el caso de las profesiones relacionadas con la ingeniería o de alguna de sus profesiones afines o auxiliares, la Entidad Estatal debe remitirse a lo establecido en la regulación específica acerca del cómputo de la experiencia.</w:t>
      </w:r>
    </w:p>
    <w:p w14:paraId="0DA080DC" w14:textId="77777777" w:rsidR="008A275F" w:rsidRDefault="008A275F" w:rsidP="008A275F">
      <w:pPr>
        <w:tabs>
          <w:tab w:val="left" w:pos="426"/>
        </w:tabs>
        <w:spacing w:line="276" w:lineRule="auto"/>
        <w:jc w:val="both"/>
        <w:rPr>
          <w:rFonts w:ascii="Arial" w:eastAsia="Calibri" w:hAnsi="Arial" w:cs="Arial"/>
          <w:bCs/>
          <w:sz w:val="22"/>
          <w:lang w:val="es-ES_tradnl"/>
        </w:rPr>
      </w:pPr>
    </w:p>
    <w:p w14:paraId="78B27D82" w14:textId="6784266C" w:rsidR="00FF37A3" w:rsidRDefault="008A275F" w:rsidP="008A275F">
      <w:pPr>
        <w:tabs>
          <w:tab w:val="left" w:pos="426"/>
        </w:tabs>
        <w:spacing w:line="276" w:lineRule="auto"/>
        <w:jc w:val="both"/>
        <w:rPr>
          <w:rFonts w:ascii="Arial" w:eastAsia="Calibri" w:hAnsi="Arial" w:cs="Arial"/>
          <w:color w:val="000000" w:themeColor="text1"/>
          <w:sz w:val="22"/>
        </w:rPr>
      </w:pPr>
      <w:r>
        <w:rPr>
          <w:rFonts w:ascii="Arial" w:eastAsia="Calibri" w:hAnsi="Arial" w:cs="Arial"/>
          <w:bCs/>
          <w:sz w:val="22"/>
          <w:lang w:val="es-ES_tradnl"/>
        </w:rPr>
        <w:tab/>
      </w:r>
      <w:r>
        <w:rPr>
          <w:rFonts w:ascii="Arial" w:eastAsia="Calibri" w:hAnsi="Arial" w:cs="Arial"/>
          <w:bCs/>
          <w:sz w:val="22"/>
          <w:lang w:val="es-ES_tradnl"/>
        </w:rPr>
        <w:tab/>
      </w:r>
      <w:bookmarkStart w:id="23" w:name="_Hlk44493547"/>
      <w:r w:rsidR="00CF182A">
        <w:rPr>
          <w:rFonts w:ascii="Arial" w:eastAsia="Calibri" w:hAnsi="Arial" w:cs="Arial"/>
          <w:bCs/>
          <w:sz w:val="22"/>
          <w:lang w:val="es-ES_tradnl"/>
        </w:rPr>
        <w:t>El numeral dispone</w:t>
      </w:r>
      <w:r>
        <w:rPr>
          <w:rFonts w:ascii="Arial" w:eastAsia="Calibri" w:hAnsi="Arial" w:cs="Arial"/>
          <w:bCs/>
          <w:sz w:val="22"/>
          <w:lang w:val="es-ES_tradnl"/>
        </w:rPr>
        <w:t xml:space="preserve"> una (1) regla general y dos (2) excepciones: por un lado, las profesiones relacionadas con el sistema de seguridad social en salud y, por el otro, las profesiones sujetas a regulación especial en razón a la alta responsabilidad y riesgo social que implica su ejercicio para la sociedad. En lo relacionado con la segunda excepción la Circular </w:t>
      </w:r>
      <w:r w:rsidR="00CF182A">
        <w:rPr>
          <w:rFonts w:ascii="Arial" w:eastAsia="Calibri" w:hAnsi="Arial" w:cs="Arial"/>
          <w:bCs/>
          <w:sz w:val="22"/>
          <w:lang w:val="es-ES_tradnl"/>
        </w:rPr>
        <w:t>prescribe</w:t>
      </w:r>
      <w:r>
        <w:rPr>
          <w:rFonts w:ascii="Arial" w:eastAsia="Calibri" w:hAnsi="Arial" w:cs="Arial"/>
          <w:bCs/>
          <w:sz w:val="22"/>
          <w:lang w:val="es-ES_tradnl"/>
        </w:rPr>
        <w:t xml:space="preserve"> que «[…] </w:t>
      </w:r>
      <w:r w:rsidRPr="00314133">
        <w:rPr>
          <w:rFonts w:ascii="Arial" w:eastAsia="Calibri" w:hAnsi="Arial" w:cs="Arial"/>
          <w:bCs/>
          <w:sz w:val="22"/>
          <w:lang w:val="es-ES_tradnl"/>
        </w:rPr>
        <w:t>la Entidad Estatal debe remitirse a lo establecido en la regulación específica acerca del cómputo de la experiencia</w:t>
      </w:r>
      <w:r>
        <w:rPr>
          <w:rFonts w:ascii="Arial" w:eastAsia="Calibri" w:hAnsi="Arial" w:cs="Arial"/>
          <w:bCs/>
          <w:sz w:val="22"/>
          <w:lang w:val="es-ES_tradnl"/>
        </w:rPr>
        <w:t>»</w:t>
      </w:r>
      <w:r w:rsidR="003535D2">
        <w:rPr>
          <w:rFonts w:ascii="Arial" w:eastAsia="Calibri" w:hAnsi="Arial" w:cs="Arial"/>
          <w:bCs/>
          <w:sz w:val="22"/>
          <w:lang w:val="es-ES_tradnl"/>
        </w:rPr>
        <w:t xml:space="preserve">. </w:t>
      </w:r>
      <w:r w:rsidR="00CF182A">
        <w:rPr>
          <w:rFonts w:ascii="Arial" w:eastAsia="Calibri" w:hAnsi="Arial" w:cs="Arial"/>
          <w:bCs/>
          <w:sz w:val="22"/>
          <w:lang w:val="es-ES_tradnl"/>
        </w:rPr>
        <w:t>Naturalmente, e</w:t>
      </w:r>
      <w:r w:rsidR="003535D2">
        <w:rPr>
          <w:rFonts w:ascii="Arial" w:eastAsia="Calibri" w:hAnsi="Arial" w:cs="Arial"/>
          <w:bCs/>
          <w:sz w:val="22"/>
          <w:lang w:val="es-ES_tradnl"/>
        </w:rPr>
        <w:t>sto</w:t>
      </w:r>
      <w:r>
        <w:rPr>
          <w:rFonts w:ascii="Arial" w:eastAsia="Calibri" w:hAnsi="Arial" w:cs="Arial"/>
          <w:bCs/>
          <w:sz w:val="22"/>
          <w:lang w:val="es-ES_tradnl"/>
        </w:rPr>
        <w:t xml:space="preserve"> supone que la norma especial está vigente, </w:t>
      </w:r>
      <w:r w:rsidR="002B1DDF">
        <w:rPr>
          <w:rFonts w:ascii="Arial" w:eastAsia="Calibri" w:hAnsi="Arial" w:cs="Arial"/>
          <w:bCs/>
          <w:sz w:val="22"/>
          <w:lang w:val="es-ES_tradnl"/>
        </w:rPr>
        <w:t>ya que si no lo está</w:t>
      </w:r>
      <w:r w:rsidR="00B7517F">
        <w:rPr>
          <w:rFonts w:ascii="Arial" w:eastAsia="Calibri" w:hAnsi="Arial" w:cs="Arial"/>
          <w:bCs/>
          <w:sz w:val="22"/>
          <w:lang w:val="es-ES_tradnl"/>
        </w:rPr>
        <w:t xml:space="preserve"> es </w:t>
      </w:r>
      <w:r>
        <w:rPr>
          <w:rFonts w:ascii="Arial" w:eastAsia="Calibri" w:hAnsi="Arial" w:cs="Arial"/>
          <w:bCs/>
          <w:sz w:val="22"/>
          <w:lang w:val="es-ES_tradnl"/>
        </w:rPr>
        <w:t xml:space="preserve">necesario </w:t>
      </w:r>
      <w:r w:rsidR="003535D2">
        <w:rPr>
          <w:rFonts w:ascii="Arial" w:eastAsia="Calibri" w:hAnsi="Arial" w:cs="Arial"/>
          <w:bCs/>
          <w:sz w:val="22"/>
          <w:lang w:val="es-ES_tradnl"/>
        </w:rPr>
        <w:t>aplicar</w:t>
      </w:r>
      <w:r>
        <w:rPr>
          <w:rFonts w:ascii="Arial" w:eastAsia="Calibri" w:hAnsi="Arial" w:cs="Arial"/>
          <w:bCs/>
          <w:sz w:val="22"/>
          <w:lang w:val="es-ES_tradnl"/>
        </w:rPr>
        <w:t xml:space="preserve"> la regla general para determinar la experiencia profesional</w:t>
      </w:r>
      <w:r w:rsidR="00B7517F">
        <w:rPr>
          <w:rFonts w:ascii="Arial" w:eastAsia="Calibri" w:hAnsi="Arial" w:cs="Arial"/>
          <w:bCs/>
          <w:sz w:val="22"/>
          <w:lang w:val="es-ES_tradnl"/>
        </w:rPr>
        <w:t xml:space="preserve"> </w:t>
      </w:r>
      <w:r w:rsidR="003535D2">
        <w:rPr>
          <w:rFonts w:ascii="Arial" w:eastAsia="Calibri" w:hAnsi="Arial" w:cs="Arial"/>
          <w:bCs/>
          <w:sz w:val="22"/>
          <w:lang w:val="es-ES_tradnl"/>
        </w:rPr>
        <w:t xml:space="preserve">cuando aquella </w:t>
      </w:r>
      <w:r w:rsidR="00B7517F">
        <w:rPr>
          <w:rFonts w:ascii="Arial" w:eastAsia="Calibri" w:hAnsi="Arial" w:cs="Arial"/>
          <w:bCs/>
          <w:sz w:val="22"/>
          <w:lang w:val="es-ES_tradnl"/>
        </w:rPr>
        <w:t>pierde vigencia</w:t>
      </w:r>
      <w:r>
        <w:rPr>
          <w:rFonts w:ascii="Arial" w:eastAsia="Calibri" w:hAnsi="Arial" w:cs="Arial"/>
          <w:bCs/>
          <w:sz w:val="22"/>
          <w:lang w:val="es-ES_tradnl"/>
        </w:rPr>
        <w:t>.</w:t>
      </w:r>
      <w:r w:rsidR="003535D2">
        <w:rPr>
          <w:rFonts w:ascii="Arial" w:eastAsia="Calibri" w:hAnsi="Arial" w:cs="Arial"/>
          <w:bCs/>
          <w:sz w:val="22"/>
          <w:lang w:val="es-ES_tradnl"/>
        </w:rPr>
        <w:t xml:space="preserve"> </w:t>
      </w:r>
      <w:r w:rsidR="00CF182A">
        <w:rPr>
          <w:rFonts w:ascii="Arial" w:eastAsia="Calibri" w:hAnsi="Arial" w:cs="Arial"/>
          <w:bCs/>
          <w:sz w:val="22"/>
          <w:lang w:val="es-ES_tradnl"/>
        </w:rPr>
        <w:t>En consecuencia</w:t>
      </w:r>
      <w:r w:rsidR="003535D2">
        <w:rPr>
          <w:rFonts w:ascii="Arial" w:eastAsia="Calibri" w:hAnsi="Arial" w:cs="Arial"/>
          <w:bCs/>
          <w:sz w:val="22"/>
          <w:lang w:val="es-ES_tradnl"/>
        </w:rPr>
        <w:t xml:space="preserve">, </w:t>
      </w:r>
      <w:r w:rsidR="00B7517F" w:rsidRPr="00B7517F">
        <w:rPr>
          <w:rFonts w:ascii="Arial" w:eastAsia="Calibri" w:hAnsi="Arial" w:cs="Arial"/>
          <w:bCs/>
          <w:sz w:val="22"/>
          <w:lang w:val="es-ES_tradnl"/>
        </w:rPr>
        <w:t xml:space="preserve">no es posible aplicar </w:t>
      </w:r>
      <w:r w:rsidR="009C0F6B">
        <w:rPr>
          <w:rFonts w:ascii="Arial" w:eastAsia="Calibri" w:hAnsi="Arial" w:cs="Arial"/>
          <w:bCs/>
          <w:sz w:val="22"/>
          <w:lang w:val="es-ES_tradnl"/>
        </w:rPr>
        <w:t xml:space="preserve">el inciso dos </w:t>
      </w:r>
      <w:r w:rsidR="005609D5">
        <w:rPr>
          <w:rFonts w:ascii="Arial" w:eastAsia="Calibri" w:hAnsi="Arial" w:cs="Arial"/>
          <w:bCs/>
          <w:sz w:val="22"/>
          <w:lang w:val="es-ES_tradnl"/>
        </w:rPr>
        <w:t>d</w:t>
      </w:r>
      <w:r w:rsidR="009C0F6B">
        <w:rPr>
          <w:rFonts w:ascii="Arial" w:eastAsia="Calibri" w:hAnsi="Arial" w:cs="Arial"/>
          <w:bCs/>
          <w:sz w:val="22"/>
          <w:lang w:val="es-ES_tradnl"/>
        </w:rPr>
        <w:t>el numeral 9.2 de la Circular</w:t>
      </w:r>
      <w:r w:rsidR="009C0F6B" w:rsidRPr="009C0F6B">
        <w:rPr>
          <w:rFonts w:ascii="Arial" w:eastAsia="Calibri" w:hAnsi="Arial" w:cs="Arial"/>
          <w:bCs/>
          <w:sz w:val="22"/>
          <w:lang w:val="es-ES_tradnl"/>
        </w:rPr>
        <w:t xml:space="preserve"> </w:t>
      </w:r>
      <w:r w:rsidR="009C0F6B">
        <w:rPr>
          <w:rFonts w:ascii="Arial" w:eastAsia="Calibri" w:hAnsi="Arial" w:cs="Arial"/>
          <w:bCs/>
          <w:sz w:val="22"/>
          <w:lang w:val="es-ES_tradnl"/>
        </w:rPr>
        <w:t>con</w:t>
      </w:r>
      <w:r w:rsidR="009C0F6B" w:rsidRPr="00B7517F">
        <w:rPr>
          <w:rFonts w:ascii="Arial" w:eastAsia="Calibri" w:hAnsi="Arial" w:cs="Arial"/>
          <w:bCs/>
          <w:sz w:val="22"/>
          <w:lang w:val="es-ES_tradnl"/>
        </w:rPr>
        <w:t xml:space="preserve"> la derogatoria tácita del artículo 12</w:t>
      </w:r>
      <w:r w:rsidR="009C0F6B">
        <w:rPr>
          <w:rFonts w:ascii="Arial" w:eastAsia="Calibri" w:hAnsi="Arial" w:cs="Arial"/>
          <w:bCs/>
          <w:sz w:val="22"/>
          <w:lang w:val="es-ES_tradnl"/>
        </w:rPr>
        <w:t xml:space="preserve"> </w:t>
      </w:r>
      <w:r w:rsidR="009C0F6B">
        <w:rPr>
          <w:rFonts w:ascii="Arial" w:eastAsia="Calibri" w:hAnsi="Arial" w:cs="Arial"/>
          <w:color w:val="000000" w:themeColor="text1"/>
          <w:sz w:val="22"/>
        </w:rPr>
        <w:t>de</w:t>
      </w:r>
      <w:r w:rsidR="009C0F6B" w:rsidRPr="00771030">
        <w:rPr>
          <w:rFonts w:ascii="Arial" w:eastAsia="Calibri" w:hAnsi="Arial" w:cs="Arial"/>
          <w:color w:val="000000" w:themeColor="text1"/>
          <w:sz w:val="22"/>
        </w:rPr>
        <w:t xml:space="preserve"> la Ley 842 de 2003</w:t>
      </w:r>
      <w:r w:rsidR="00B7517F" w:rsidRPr="00B7517F">
        <w:rPr>
          <w:rFonts w:ascii="Arial" w:eastAsia="Calibri" w:hAnsi="Arial" w:cs="Arial"/>
          <w:bCs/>
          <w:sz w:val="22"/>
          <w:lang w:val="es-ES_tradnl"/>
        </w:rPr>
        <w:t xml:space="preserve">, </w:t>
      </w:r>
      <w:r w:rsidR="009C0F6B">
        <w:rPr>
          <w:rFonts w:ascii="Arial" w:eastAsia="Calibri" w:hAnsi="Arial" w:cs="Arial"/>
          <w:bCs/>
          <w:sz w:val="22"/>
          <w:lang w:val="es-ES_tradnl"/>
        </w:rPr>
        <w:t xml:space="preserve">razón por la que es necesario contabilizar la experiencia profesional conforme al artículo </w:t>
      </w:r>
      <w:r w:rsidR="009C0F6B" w:rsidRPr="00A46FE1">
        <w:rPr>
          <w:rFonts w:ascii="Arial" w:eastAsia="Calibri" w:hAnsi="Arial" w:cs="Arial"/>
          <w:color w:val="000000" w:themeColor="text1"/>
          <w:sz w:val="22"/>
        </w:rPr>
        <w:t xml:space="preserve">229 del Decreto Ley </w:t>
      </w:r>
      <w:r w:rsidR="009C0F6B">
        <w:rPr>
          <w:rFonts w:ascii="Arial" w:eastAsia="Calibri" w:hAnsi="Arial" w:cs="Arial"/>
          <w:color w:val="000000" w:themeColor="text1"/>
          <w:sz w:val="22"/>
        </w:rPr>
        <w:t>0</w:t>
      </w:r>
      <w:r w:rsidR="009C0F6B" w:rsidRPr="00A46FE1">
        <w:rPr>
          <w:rFonts w:ascii="Arial" w:eastAsia="Calibri" w:hAnsi="Arial" w:cs="Arial"/>
          <w:color w:val="000000" w:themeColor="text1"/>
          <w:sz w:val="22"/>
        </w:rPr>
        <w:t>19 de 2012</w:t>
      </w:r>
      <w:bookmarkEnd w:id="23"/>
      <w:r w:rsidR="00CF182A">
        <w:rPr>
          <w:rFonts w:ascii="Arial" w:eastAsia="Calibri" w:hAnsi="Arial" w:cs="Arial"/>
          <w:color w:val="000000" w:themeColor="text1"/>
          <w:sz w:val="22"/>
        </w:rPr>
        <w:t>.</w:t>
      </w:r>
      <w:r w:rsidR="00FF37A3">
        <w:rPr>
          <w:rFonts w:ascii="Arial" w:eastAsia="Calibri" w:hAnsi="Arial" w:cs="Arial"/>
          <w:color w:val="000000" w:themeColor="text1"/>
          <w:sz w:val="22"/>
        </w:rPr>
        <w:t xml:space="preserve"> En concordancia, mediante el Concepto C-212 del 14 de abril de 2020, la Agencia explicó que esta idea no es contraria a la Circular Externa por dos (2) razones:</w:t>
      </w:r>
    </w:p>
    <w:p w14:paraId="2F754EF1" w14:textId="029C0136" w:rsidR="00FF37A3" w:rsidRDefault="00FF37A3" w:rsidP="008A275F">
      <w:pPr>
        <w:tabs>
          <w:tab w:val="left" w:pos="426"/>
        </w:tabs>
        <w:spacing w:line="276" w:lineRule="auto"/>
        <w:jc w:val="both"/>
        <w:rPr>
          <w:rFonts w:ascii="Arial" w:eastAsia="Calibri" w:hAnsi="Arial" w:cs="Arial"/>
          <w:color w:val="000000" w:themeColor="text1"/>
          <w:sz w:val="22"/>
        </w:rPr>
      </w:pPr>
    </w:p>
    <w:p w14:paraId="35E73714" w14:textId="0C78D087" w:rsidR="00FF37A3" w:rsidRPr="004344F0" w:rsidRDefault="00FF37A3" w:rsidP="004344F0">
      <w:pPr>
        <w:tabs>
          <w:tab w:val="left" w:pos="426"/>
        </w:tabs>
        <w:ind w:left="709" w:right="709"/>
        <w:jc w:val="both"/>
        <w:rPr>
          <w:rFonts w:ascii="Arial" w:hAnsi="Arial" w:cs="Arial"/>
          <w:color w:val="000000" w:themeColor="text1"/>
          <w:sz w:val="21"/>
          <w:szCs w:val="21"/>
        </w:rPr>
      </w:pPr>
      <w:r w:rsidRPr="004344F0">
        <w:rPr>
          <w:rFonts w:ascii="Arial" w:eastAsia="Calibri" w:hAnsi="Arial" w:cs="Arial"/>
          <w:color w:val="000000" w:themeColor="text1"/>
          <w:sz w:val="21"/>
          <w:szCs w:val="21"/>
        </w:rPr>
        <w:lastRenderedPageBreak/>
        <w:t xml:space="preserve">[…] primero, porque el párrafo primero del numeral 9.2 estableció como norma rectora del cómputo de la experiencia profesional el artículo 229 del Decreto 019 de 2012, de modo que esta es la regla general para contabilizar la experiencia profesional salvo lo dispuesto para las áreas de la salud. Segundo, porque, en </w:t>
      </w:r>
      <w:r w:rsidRPr="004344F0">
        <w:rPr>
          <w:rFonts w:ascii="Arial" w:hAnsi="Arial" w:cs="Arial"/>
          <w:color w:val="000000" w:themeColor="text1"/>
          <w:sz w:val="21"/>
          <w:szCs w:val="21"/>
        </w:rPr>
        <w:t>relación con el cómputo de la experiencia profesional de ingeniería previsto en el párrafo segundo del numeral citado, es claro que, la Circular fijó esta subregla, sin que pueda colegirse que este evento implica una contradicción o contraposición con la regla rectora del Decreto 019 de 2012, pues lo que establece es que siempre que exista una norma especial que regule esta materia deberá efectuarse la remisión a ella. Sin embargo, como la norma de la Ley 843 de 2003 fue derogada tácitamente por el Decreto Ley 019 de 2012, en este momento no existe en el ordenamiento una norma jurídica especial en materia de acreditación de experiencia de los profesionales de ingeniería, que ofrezca parámetros distintos a los consagrados en el Decreto 019 de 2012, para el cómputo de la experiencia profesional.</w:t>
      </w:r>
    </w:p>
    <w:p w14:paraId="7618BA3B" w14:textId="2DAD5734" w:rsidR="00FF37A3" w:rsidRDefault="00FF37A3" w:rsidP="008A275F">
      <w:pPr>
        <w:tabs>
          <w:tab w:val="left" w:pos="426"/>
        </w:tabs>
        <w:spacing w:line="276" w:lineRule="auto"/>
        <w:jc w:val="both"/>
        <w:rPr>
          <w:rFonts w:ascii="Arial" w:hAnsi="Arial" w:cs="Arial"/>
          <w:color w:val="000000" w:themeColor="text1"/>
          <w:sz w:val="22"/>
        </w:rPr>
      </w:pPr>
    </w:p>
    <w:p w14:paraId="267D2E2D" w14:textId="176D42C6" w:rsidR="004344F0" w:rsidRDefault="004344F0" w:rsidP="004344F0">
      <w:pPr>
        <w:tabs>
          <w:tab w:val="left" w:pos="426"/>
        </w:tabs>
        <w:spacing w:after="120" w:line="276" w:lineRule="auto"/>
        <w:jc w:val="both"/>
        <w:rPr>
          <w:rFonts w:ascii="Arial" w:eastAsia="Calibri" w:hAnsi="Arial" w:cs="Arial"/>
          <w:bCs/>
          <w:sz w:val="22"/>
          <w:lang w:val="es-ES_tradnl"/>
        </w:rPr>
      </w:pPr>
      <w:r>
        <w:rPr>
          <w:rFonts w:ascii="Arial" w:eastAsia="Calibri" w:hAnsi="Arial" w:cs="Arial"/>
          <w:bCs/>
          <w:sz w:val="22"/>
          <w:lang w:val="es-ES_tradnl"/>
        </w:rPr>
        <w:tab/>
      </w:r>
      <w:r>
        <w:rPr>
          <w:rFonts w:ascii="Arial" w:eastAsia="Calibri" w:hAnsi="Arial" w:cs="Arial"/>
          <w:bCs/>
          <w:sz w:val="22"/>
          <w:lang w:val="es-ES_tradnl"/>
        </w:rPr>
        <w:tab/>
        <w:t xml:space="preserve">Al margen de lo anterior, esta Subdirección considera importante tener en cuenta que la Circular Externa Única de 2019 fue expedida en abril del 2019, momento para el cual la Agencia Nacional de Contratación Estatal sostenía una tesis diferente en relación con la vigencia de la Ley 842 de 2003, lo cual </w:t>
      </w:r>
      <w:r>
        <w:rPr>
          <w:rFonts w:ascii="Arial" w:eastAsia="Calibri" w:hAnsi="Arial" w:cs="Arial"/>
          <w:bCs/>
          <w:i/>
          <w:iCs/>
          <w:sz w:val="22"/>
          <w:lang w:val="es-ES_tradnl"/>
        </w:rPr>
        <w:t xml:space="preserve">prima facie </w:t>
      </w:r>
      <w:r>
        <w:rPr>
          <w:rFonts w:ascii="Arial" w:eastAsia="Calibri" w:hAnsi="Arial" w:cs="Arial"/>
          <w:bCs/>
          <w:sz w:val="22"/>
          <w:lang w:val="es-ES_tradnl"/>
        </w:rPr>
        <w:t>explicaría la aparente oposición de criterios que explica la peticionaria. Sin embargo, es necesario diferenciar entre una contradicción y la modificación del criterio jurídico. En el primer escenario, lo que ocurre es que en un mismo periodo se exponen argumentos contrapuestos, mientras que, en la segunda hipótesis, se cambia o modifica de forma motivada un argumento y, partir de allí, la nueva postura se reitera pacíficamente.</w:t>
      </w:r>
    </w:p>
    <w:p w14:paraId="4DC2D834" w14:textId="77777777" w:rsidR="004F31BC" w:rsidRDefault="004344F0" w:rsidP="003D50C3">
      <w:pPr>
        <w:tabs>
          <w:tab w:val="left" w:pos="709"/>
        </w:tabs>
        <w:spacing w:before="120" w:line="276" w:lineRule="auto"/>
        <w:jc w:val="both"/>
        <w:rPr>
          <w:rFonts w:ascii="Arial" w:eastAsia="Calibri" w:hAnsi="Arial" w:cs="Arial"/>
          <w:bCs/>
          <w:sz w:val="22"/>
          <w:lang w:val="es-ES_tradnl"/>
        </w:rPr>
      </w:pPr>
      <w:r>
        <w:rPr>
          <w:rFonts w:ascii="Arial" w:eastAsia="Calibri" w:hAnsi="Arial" w:cs="Arial"/>
          <w:bCs/>
          <w:sz w:val="22"/>
          <w:lang w:val="es-ES_tradnl"/>
        </w:rPr>
        <w:tab/>
        <w:t xml:space="preserve">La idea del párrafo precedente es importante, porque </w:t>
      </w:r>
      <w:r w:rsidR="00653B17">
        <w:rPr>
          <w:rFonts w:ascii="Arial" w:eastAsia="Calibri" w:hAnsi="Arial" w:cs="Arial"/>
          <w:bCs/>
          <w:sz w:val="22"/>
          <w:lang w:val="es-ES_tradnl"/>
        </w:rPr>
        <w:t xml:space="preserve">mediante </w:t>
      </w:r>
      <w:r>
        <w:rPr>
          <w:rFonts w:ascii="Arial" w:eastAsia="Calibri" w:hAnsi="Arial" w:cs="Arial"/>
          <w:bCs/>
          <w:sz w:val="22"/>
          <w:lang w:val="es-ES_tradnl"/>
        </w:rPr>
        <w:t>el</w:t>
      </w:r>
      <w:r>
        <w:rPr>
          <w:rFonts w:ascii="Arial" w:eastAsia="Calibri" w:hAnsi="Arial" w:cs="Arial"/>
          <w:color w:val="000000" w:themeColor="text1"/>
          <w:sz w:val="22"/>
        </w:rPr>
        <w:t xml:space="preserve"> Concepto C-212 del 14 de abril de 2020</w:t>
      </w:r>
      <w:r w:rsidR="00273277">
        <w:rPr>
          <w:rFonts w:ascii="Arial" w:eastAsia="Calibri" w:hAnsi="Arial" w:cs="Arial"/>
          <w:color w:val="000000" w:themeColor="text1"/>
          <w:sz w:val="22"/>
        </w:rPr>
        <w:t xml:space="preserve"> </w:t>
      </w:r>
      <w:r w:rsidR="00F56A1D">
        <w:rPr>
          <w:rFonts w:ascii="Arial" w:eastAsia="Calibri" w:hAnsi="Arial" w:cs="Arial"/>
          <w:bCs/>
          <w:sz w:val="22"/>
          <w:lang w:val="es-ES_tradnl"/>
        </w:rPr>
        <w:t>la Agencia expuso</w:t>
      </w:r>
      <w:r w:rsidR="00273277">
        <w:rPr>
          <w:rFonts w:ascii="Arial" w:eastAsia="Calibri" w:hAnsi="Arial" w:cs="Arial"/>
          <w:bCs/>
          <w:sz w:val="22"/>
          <w:lang w:val="es-ES_tradnl"/>
        </w:rPr>
        <w:t xml:space="preserve"> todos los argumentos legal</w:t>
      </w:r>
      <w:r w:rsidR="00F56A1D">
        <w:rPr>
          <w:rFonts w:ascii="Arial" w:eastAsia="Calibri" w:hAnsi="Arial" w:cs="Arial"/>
          <w:bCs/>
          <w:sz w:val="22"/>
          <w:lang w:val="es-ES_tradnl"/>
        </w:rPr>
        <w:t>es</w:t>
      </w:r>
      <w:r w:rsidR="00273277">
        <w:rPr>
          <w:rFonts w:ascii="Arial" w:eastAsia="Calibri" w:hAnsi="Arial" w:cs="Arial"/>
          <w:bCs/>
          <w:sz w:val="22"/>
          <w:lang w:val="es-ES_tradnl"/>
        </w:rPr>
        <w:t>, jurisprudencial</w:t>
      </w:r>
      <w:r w:rsidR="00F56A1D">
        <w:rPr>
          <w:rFonts w:ascii="Arial" w:eastAsia="Calibri" w:hAnsi="Arial" w:cs="Arial"/>
          <w:bCs/>
          <w:sz w:val="22"/>
          <w:lang w:val="es-ES_tradnl"/>
        </w:rPr>
        <w:t>es</w:t>
      </w:r>
      <w:r w:rsidR="00273277">
        <w:rPr>
          <w:rFonts w:ascii="Arial" w:eastAsia="Calibri" w:hAnsi="Arial" w:cs="Arial"/>
          <w:bCs/>
          <w:sz w:val="22"/>
          <w:lang w:val="es-ES_tradnl"/>
        </w:rPr>
        <w:t xml:space="preserve"> y </w:t>
      </w:r>
      <w:r w:rsidR="00F56A1D">
        <w:rPr>
          <w:rFonts w:ascii="Arial" w:eastAsia="Calibri" w:hAnsi="Arial" w:cs="Arial"/>
          <w:bCs/>
          <w:sz w:val="22"/>
          <w:lang w:val="es-ES_tradnl"/>
        </w:rPr>
        <w:t>doctrinales</w:t>
      </w:r>
      <w:r w:rsidR="00273277">
        <w:rPr>
          <w:rFonts w:ascii="Arial" w:eastAsia="Calibri" w:hAnsi="Arial" w:cs="Arial"/>
          <w:bCs/>
          <w:sz w:val="22"/>
          <w:lang w:val="es-ES_tradnl"/>
        </w:rPr>
        <w:t xml:space="preserve"> para fundamentar la derogatoria tácita </w:t>
      </w:r>
      <w:r w:rsidR="00273277" w:rsidRPr="00B7517F">
        <w:rPr>
          <w:rFonts w:ascii="Arial" w:eastAsia="Calibri" w:hAnsi="Arial" w:cs="Arial"/>
          <w:bCs/>
          <w:sz w:val="22"/>
          <w:lang w:val="es-ES_tradnl"/>
        </w:rPr>
        <w:t>del artículo 12</w:t>
      </w:r>
      <w:r w:rsidR="00273277">
        <w:rPr>
          <w:rFonts w:ascii="Arial" w:eastAsia="Calibri" w:hAnsi="Arial" w:cs="Arial"/>
          <w:bCs/>
          <w:sz w:val="22"/>
          <w:lang w:val="es-ES_tradnl"/>
        </w:rPr>
        <w:t xml:space="preserve"> </w:t>
      </w:r>
      <w:r w:rsidR="00273277">
        <w:rPr>
          <w:rFonts w:ascii="Arial" w:eastAsia="Calibri" w:hAnsi="Arial" w:cs="Arial"/>
          <w:color w:val="000000" w:themeColor="text1"/>
          <w:sz w:val="22"/>
        </w:rPr>
        <w:t>de</w:t>
      </w:r>
      <w:r w:rsidR="00273277" w:rsidRPr="00771030">
        <w:rPr>
          <w:rFonts w:ascii="Arial" w:eastAsia="Calibri" w:hAnsi="Arial" w:cs="Arial"/>
          <w:color w:val="000000" w:themeColor="text1"/>
          <w:sz w:val="22"/>
        </w:rPr>
        <w:t xml:space="preserve"> la Ley 842 de 2003</w:t>
      </w:r>
      <w:r w:rsidR="00F56A1D">
        <w:rPr>
          <w:rFonts w:ascii="Arial" w:eastAsia="Calibri" w:hAnsi="Arial" w:cs="Arial"/>
          <w:color w:val="000000" w:themeColor="text1"/>
          <w:sz w:val="22"/>
        </w:rPr>
        <w:t>.</w:t>
      </w:r>
      <w:r w:rsidR="00AF0A55">
        <w:rPr>
          <w:rFonts w:ascii="Arial" w:eastAsia="Calibri" w:hAnsi="Arial" w:cs="Arial"/>
          <w:color w:val="000000" w:themeColor="text1"/>
          <w:sz w:val="22"/>
        </w:rPr>
        <w:t xml:space="preserve"> De hecho, </w:t>
      </w:r>
      <w:r w:rsidR="00AF0A55">
        <w:rPr>
          <w:rFonts w:ascii="Arial" w:eastAsia="Calibri" w:hAnsi="Arial" w:cs="Arial"/>
          <w:bCs/>
          <w:sz w:val="22"/>
          <w:lang w:val="es-ES_tradnl"/>
        </w:rPr>
        <w:t>una de las</w:t>
      </w:r>
      <w:r w:rsidR="00B93013">
        <w:rPr>
          <w:rFonts w:ascii="Arial" w:eastAsia="Calibri" w:hAnsi="Arial" w:cs="Arial"/>
          <w:bCs/>
          <w:sz w:val="22"/>
          <w:lang w:val="es-ES_tradnl"/>
        </w:rPr>
        <w:t xml:space="preserve"> preguntas</w:t>
      </w:r>
      <w:r w:rsidR="00AF0A55">
        <w:rPr>
          <w:rFonts w:ascii="Arial" w:eastAsia="Calibri" w:hAnsi="Arial" w:cs="Arial"/>
          <w:bCs/>
          <w:sz w:val="22"/>
          <w:lang w:val="es-ES_tradnl"/>
        </w:rPr>
        <w:t xml:space="preserve"> planteadas fue la siguiente: «</w:t>
      </w:r>
      <w:r w:rsidR="00AF0A55" w:rsidRPr="00ED40AB">
        <w:rPr>
          <w:rFonts w:ascii="Arial" w:eastAsia="Calibri" w:hAnsi="Arial" w:cs="Arial"/>
          <w:bCs/>
          <w:sz w:val="22"/>
          <w:lang w:val="es-ES_tradnl"/>
        </w:rPr>
        <w:t>¿cuál es la normativa aplicable, para contabilizar el</w:t>
      </w:r>
      <w:r w:rsidR="00AF0A55">
        <w:rPr>
          <w:rFonts w:ascii="Arial" w:eastAsia="Calibri" w:hAnsi="Arial" w:cs="Arial"/>
          <w:bCs/>
          <w:sz w:val="22"/>
          <w:lang w:val="es-ES_tradnl"/>
        </w:rPr>
        <w:t xml:space="preserve"> </w:t>
      </w:r>
      <w:r w:rsidR="00AF0A55" w:rsidRPr="00ED40AB">
        <w:rPr>
          <w:rFonts w:ascii="Arial" w:eastAsia="Calibri" w:hAnsi="Arial" w:cs="Arial"/>
          <w:bCs/>
          <w:sz w:val="22"/>
          <w:lang w:val="es-ES_tradnl"/>
        </w:rPr>
        <w:t>término de la experiencia profesional para los ingenieros, el artículo 12 de la Ley 842 de</w:t>
      </w:r>
      <w:r w:rsidR="00AF0A55">
        <w:rPr>
          <w:rFonts w:ascii="Arial" w:eastAsia="Calibri" w:hAnsi="Arial" w:cs="Arial"/>
          <w:bCs/>
          <w:sz w:val="22"/>
          <w:lang w:val="es-ES_tradnl"/>
        </w:rPr>
        <w:t xml:space="preserve"> </w:t>
      </w:r>
      <w:r w:rsidR="00AF0A55" w:rsidRPr="00ED40AB">
        <w:rPr>
          <w:rFonts w:ascii="Arial" w:eastAsia="Calibri" w:hAnsi="Arial" w:cs="Arial"/>
          <w:bCs/>
          <w:sz w:val="22"/>
          <w:lang w:val="es-ES_tradnl"/>
        </w:rPr>
        <w:t>2003 o el artículo 229 del Decreto 019 de 2012 que establece que sea a partir de la</w:t>
      </w:r>
      <w:r w:rsidR="00AF0A55">
        <w:rPr>
          <w:rFonts w:ascii="Arial" w:eastAsia="Calibri" w:hAnsi="Arial" w:cs="Arial"/>
          <w:bCs/>
          <w:sz w:val="22"/>
          <w:lang w:val="es-ES_tradnl"/>
        </w:rPr>
        <w:t xml:space="preserve"> </w:t>
      </w:r>
      <w:r w:rsidR="00AF0A55" w:rsidRPr="00ED40AB">
        <w:rPr>
          <w:rFonts w:ascii="Arial" w:eastAsia="Calibri" w:hAnsi="Arial" w:cs="Arial"/>
          <w:bCs/>
          <w:sz w:val="22"/>
          <w:lang w:val="es-ES_tradnl"/>
        </w:rPr>
        <w:t>terminación y aprobación del pénsum académico?</w:t>
      </w:r>
      <w:r w:rsidR="00AF0A55">
        <w:rPr>
          <w:rFonts w:ascii="Arial" w:eastAsia="Calibri" w:hAnsi="Arial" w:cs="Arial"/>
          <w:bCs/>
          <w:sz w:val="22"/>
          <w:lang w:val="es-ES_tradnl"/>
        </w:rPr>
        <w:t xml:space="preserve">». Este interrogante se respondió aplicando el Estatuto </w:t>
      </w:r>
      <w:proofErr w:type="spellStart"/>
      <w:r w:rsidR="00AF0A55">
        <w:rPr>
          <w:rFonts w:ascii="Arial" w:eastAsia="Calibri" w:hAnsi="Arial" w:cs="Arial"/>
          <w:bCs/>
          <w:sz w:val="22"/>
          <w:lang w:val="es-ES_tradnl"/>
        </w:rPr>
        <w:t>Antitrámites</w:t>
      </w:r>
      <w:proofErr w:type="spellEnd"/>
      <w:r w:rsidR="00AF0A55">
        <w:rPr>
          <w:rFonts w:ascii="Arial" w:eastAsia="Calibri" w:hAnsi="Arial" w:cs="Arial"/>
          <w:bCs/>
          <w:sz w:val="22"/>
          <w:lang w:val="es-ES_tradnl"/>
        </w:rPr>
        <w:t xml:space="preserve"> para lo cual analizó su contenido, así como otras normas como el artículo </w:t>
      </w:r>
      <w:r w:rsidR="00AF0A55" w:rsidRPr="00ED40AB">
        <w:rPr>
          <w:rFonts w:ascii="Arial" w:eastAsia="Calibri" w:hAnsi="Arial" w:cs="Arial"/>
          <w:bCs/>
          <w:sz w:val="22"/>
          <w:lang w:val="es-ES_tradnl"/>
        </w:rPr>
        <w:t>2.2.1.2.1.4.9</w:t>
      </w:r>
      <w:r w:rsidR="00AF0A55">
        <w:rPr>
          <w:rFonts w:ascii="Arial" w:eastAsia="Calibri" w:hAnsi="Arial" w:cs="Arial"/>
          <w:bCs/>
          <w:sz w:val="22"/>
          <w:lang w:val="es-ES_tradnl"/>
        </w:rPr>
        <w:t xml:space="preserve"> del Decreto 1082 de 2015 y el artículo 1 de la Ley 190 de 1995, la jurisprudencia constitucional sobre derogatoria de normas e, incluso, la Circular Externa Única del año 2019.</w:t>
      </w:r>
      <w:r w:rsidR="003D50C3">
        <w:rPr>
          <w:rFonts w:ascii="Arial" w:eastAsia="Calibri" w:hAnsi="Arial" w:cs="Arial"/>
          <w:bCs/>
          <w:sz w:val="22"/>
          <w:lang w:val="es-ES_tradnl"/>
        </w:rPr>
        <w:t xml:space="preserve"> </w:t>
      </w:r>
    </w:p>
    <w:p w14:paraId="43858FCD" w14:textId="1D85865C" w:rsidR="003D50C3" w:rsidRDefault="004F31BC" w:rsidP="003D50C3">
      <w:pPr>
        <w:tabs>
          <w:tab w:val="left" w:pos="709"/>
        </w:tabs>
        <w:spacing w:before="120" w:line="276" w:lineRule="auto"/>
        <w:jc w:val="both"/>
        <w:rPr>
          <w:rFonts w:ascii="Arial" w:eastAsia="Calibri" w:hAnsi="Arial" w:cs="Arial"/>
          <w:bCs/>
          <w:sz w:val="22"/>
          <w:lang w:val="es-ES_tradnl"/>
        </w:rPr>
      </w:pPr>
      <w:r>
        <w:rPr>
          <w:rFonts w:ascii="Arial" w:eastAsia="Calibri" w:hAnsi="Arial" w:cs="Arial"/>
          <w:bCs/>
          <w:sz w:val="22"/>
          <w:lang w:val="es-ES_tradnl"/>
        </w:rPr>
        <w:tab/>
      </w:r>
      <w:bookmarkStart w:id="24" w:name="_Hlk44493567"/>
      <w:r w:rsidR="003D50C3">
        <w:rPr>
          <w:rFonts w:ascii="Arial" w:eastAsia="Calibri" w:hAnsi="Arial" w:cs="Arial"/>
          <w:bCs/>
          <w:sz w:val="22"/>
          <w:lang w:val="es-ES_tradnl"/>
        </w:rPr>
        <w:t>En suma, no existe la contradicción entre el criterio de la Subdirección y la Circular Externa Única</w:t>
      </w:r>
      <w:r w:rsidR="002B1DDF">
        <w:rPr>
          <w:rFonts w:ascii="Arial" w:eastAsia="Calibri" w:hAnsi="Arial" w:cs="Arial"/>
          <w:bCs/>
          <w:sz w:val="22"/>
          <w:lang w:val="es-ES_tradnl"/>
        </w:rPr>
        <w:t>, conforme a la interpretación que se desarrolló previamente</w:t>
      </w:r>
      <w:r w:rsidR="003D50C3">
        <w:rPr>
          <w:rFonts w:ascii="Arial" w:eastAsia="Calibri" w:hAnsi="Arial" w:cs="Arial"/>
          <w:bCs/>
          <w:sz w:val="22"/>
          <w:lang w:val="es-ES_tradnl"/>
        </w:rPr>
        <w:t>. En gracia de discusión, lo que se observa es un cambio de postura en relación con un punto de derecho, el cual, además, está debidamente justificado y sustentado</w:t>
      </w:r>
      <w:bookmarkEnd w:id="24"/>
      <w:r w:rsidR="003D50C3">
        <w:rPr>
          <w:rFonts w:ascii="Arial" w:eastAsia="Calibri" w:hAnsi="Arial" w:cs="Arial"/>
          <w:bCs/>
          <w:sz w:val="22"/>
          <w:lang w:val="es-ES_tradnl"/>
        </w:rPr>
        <w:t>.</w:t>
      </w:r>
    </w:p>
    <w:p w14:paraId="4564D37B" w14:textId="243FE433" w:rsidR="00BC7B6A" w:rsidRPr="00717930" w:rsidRDefault="006018AA" w:rsidP="00715F0D">
      <w:pPr>
        <w:spacing w:line="276" w:lineRule="auto"/>
        <w:jc w:val="both"/>
        <w:rPr>
          <w:rFonts w:ascii="Arial" w:eastAsia="Calibri" w:hAnsi="Arial" w:cs="Arial"/>
          <w:sz w:val="22"/>
        </w:rPr>
      </w:pPr>
      <w:r>
        <w:rPr>
          <w:rFonts w:ascii="Arial" w:eastAsia="Calibri" w:hAnsi="Arial" w:cs="Arial"/>
          <w:sz w:val="22"/>
        </w:rPr>
        <w:t xml:space="preserve"> </w:t>
      </w:r>
      <w:r w:rsidR="00B00055">
        <w:rPr>
          <w:rFonts w:ascii="Arial" w:eastAsia="Calibri" w:hAnsi="Arial" w:cs="Arial"/>
          <w:sz w:val="22"/>
        </w:rPr>
        <w:t xml:space="preserve"> </w:t>
      </w: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6C15D5" w:rsidRDefault="00BE1E33" w:rsidP="00BE1E33">
      <w:pPr>
        <w:spacing w:line="276" w:lineRule="auto"/>
        <w:ind w:right="709"/>
        <w:jc w:val="both"/>
        <w:rPr>
          <w:rFonts w:ascii="Arial" w:hAnsi="Arial" w:cs="Arial"/>
          <w:color w:val="000000" w:themeColor="text1"/>
          <w:sz w:val="21"/>
          <w:szCs w:val="21"/>
          <w:lang w:val="es-CO"/>
        </w:rPr>
      </w:pPr>
    </w:p>
    <w:p w14:paraId="5C2D6EF8" w14:textId="442FB970" w:rsidR="00BE1E33" w:rsidRPr="006C15D5" w:rsidRDefault="003D50C3" w:rsidP="00856B64">
      <w:pPr>
        <w:ind w:left="709" w:right="709"/>
        <w:jc w:val="both"/>
        <w:rPr>
          <w:rFonts w:ascii="Arial" w:eastAsia="Calibri" w:hAnsi="Arial" w:cs="Arial"/>
          <w:color w:val="000000" w:themeColor="text1"/>
          <w:sz w:val="21"/>
          <w:szCs w:val="21"/>
        </w:rPr>
      </w:pPr>
      <w:r w:rsidRPr="003D50C3">
        <w:rPr>
          <w:rFonts w:ascii="Arial" w:eastAsia="Calibri" w:hAnsi="Arial" w:cs="Arial"/>
          <w:color w:val="000000" w:themeColor="text1"/>
          <w:sz w:val="21"/>
          <w:szCs w:val="21"/>
        </w:rPr>
        <w:t>«[…] ¿cómo debe contabilizarse la experiencia de los ingenieros, adquirida antes (sic) de la entrada en vigencia de la Ley 842 de 2003?, ¿debe ser a partir de la terminación y aprobación del pensum académico de educación superior (artículo 229 Decreto Ley 019-</w:t>
      </w:r>
      <w:proofErr w:type="gramStart"/>
      <w:r w:rsidRPr="003D50C3">
        <w:rPr>
          <w:rFonts w:ascii="Arial" w:eastAsia="Calibri" w:hAnsi="Arial" w:cs="Arial"/>
          <w:color w:val="000000" w:themeColor="text1"/>
          <w:sz w:val="21"/>
          <w:szCs w:val="21"/>
        </w:rPr>
        <w:t>2012)?,</w:t>
      </w:r>
      <w:proofErr w:type="gramEnd"/>
      <w:r w:rsidRPr="003D50C3">
        <w:rPr>
          <w:rFonts w:ascii="Arial" w:eastAsia="Calibri" w:hAnsi="Arial" w:cs="Arial"/>
          <w:color w:val="000000" w:themeColor="text1"/>
          <w:sz w:val="21"/>
          <w:szCs w:val="21"/>
        </w:rPr>
        <w:t xml:space="preserve"> ¿debe aplicarse en cada caso concreto el criterio de temporalidad de la ley […]?».</w:t>
      </w:r>
    </w:p>
    <w:p w14:paraId="543576F5" w14:textId="77777777" w:rsidR="00F722BD" w:rsidRDefault="00F722BD" w:rsidP="00CE35D5">
      <w:pPr>
        <w:spacing w:line="276" w:lineRule="auto"/>
        <w:jc w:val="both"/>
        <w:rPr>
          <w:rFonts w:ascii="Arial" w:eastAsia="Calibri" w:hAnsi="Arial" w:cs="Arial"/>
          <w:color w:val="000000" w:themeColor="text1"/>
          <w:sz w:val="22"/>
        </w:rPr>
      </w:pPr>
    </w:p>
    <w:p w14:paraId="3C437CE4" w14:textId="46A05384" w:rsidR="003C12E6" w:rsidRDefault="00B93013" w:rsidP="003C12E6">
      <w:pPr>
        <w:spacing w:after="120" w:line="276" w:lineRule="auto"/>
        <w:jc w:val="both"/>
        <w:rPr>
          <w:rFonts w:ascii="Arial" w:eastAsia="Calibri" w:hAnsi="Arial" w:cs="Arial"/>
          <w:sz w:val="22"/>
        </w:rPr>
      </w:pPr>
      <w:r>
        <w:rPr>
          <w:rFonts w:ascii="Arial" w:eastAsia="Calibri" w:hAnsi="Arial" w:cs="Arial"/>
          <w:sz w:val="22"/>
        </w:rPr>
        <w:t>Conforme a lo explicado anteriormente</w:t>
      </w:r>
      <w:r w:rsidRPr="00B93013">
        <w:rPr>
          <w:rFonts w:ascii="Arial" w:eastAsia="Calibri" w:hAnsi="Arial" w:cs="Arial"/>
          <w:sz w:val="22"/>
        </w:rPr>
        <w:t xml:space="preserve">, para contabilizar el término de experiencia profesional de los ingenieros, la norma aplicable es el artículo 229 del Decreto </w:t>
      </w:r>
      <w:r w:rsidR="002B1DDF">
        <w:rPr>
          <w:rFonts w:ascii="Arial" w:eastAsia="Calibri" w:hAnsi="Arial" w:cs="Arial"/>
          <w:sz w:val="22"/>
        </w:rPr>
        <w:t xml:space="preserve">Ley </w:t>
      </w:r>
      <w:r w:rsidRPr="00B93013">
        <w:rPr>
          <w:rFonts w:ascii="Arial" w:eastAsia="Calibri" w:hAnsi="Arial" w:cs="Arial"/>
          <w:sz w:val="22"/>
        </w:rPr>
        <w:t>019 de 2012, el cual establece que la experiencia profesional se cuenta a partir de la terminación y aprobación del p</w:t>
      </w:r>
      <w:r w:rsidR="002B1DDF">
        <w:rPr>
          <w:rFonts w:ascii="Arial" w:eastAsia="Calibri" w:hAnsi="Arial" w:cs="Arial"/>
          <w:sz w:val="22"/>
        </w:rPr>
        <w:t>é</w:t>
      </w:r>
      <w:r w:rsidRPr="00B93013">
        <w:rPr>
          <w:rFonts w:ascii="Arial" w:eastAsia="Calibri" w:hAnsi="Arial" w:cs="Arial"/>
          <w:sz w:val="22"/>
        </w:rPr>
        <w:t xml:space="preserve">nsum académico. </w:t>
      </w:r>
      <w:r w:rsidR="00CC5565">
        <w:rPr>
          <w:rFonts w:ascii="Arial" w:eastAsia="Calibri" w:hAnsi="Arial" w:cs="Arial"/>
          <w:sz w:val="22"/>
        </w:rPr>
        <w:t>S</w:t>
      </w:r>
      <w:r w:rsidRPr="00B93013">
        <w:rPr>
          <w:rFonts w:ascii="Arial" w:eastAsia="Calibri" w:hAnsi="Arial" w:cs="Arial"/>
          <w:sz w:val="22"/>
        </w:rPr>
        <w:t xml:space="preserve">in perjuicio de lo dispuesto en el artículo 192 de la Ley 1955 de 2019, el cual dispone que cuenta como experiencia laboral la práctica laboral que el estudiante realice para optar a su título de profesional, tecnológico o técnico. </w:t>
      </w:r>
    </w:p>
    <w:p w14:paraId="674CA249" w14:textId="048DFDA1" w:rsidR="00715F0D" w:rsidRPr="003D50C3" w:rsidRDefault="00B93013" w:rsidP="003C12E6">
      <w:pPr>
        <w:spacing w:line="276" w:lineRule="auto"/>
        <w:ind w:firstLine="708"/>
        <w:jc w:val="both"/>
        <w:rPr>
          <w:rFonts w:ascii="Arial" w:eastAsia="Calibri" w:hAnsi="Arial" w:cs="Arial"/>
          <w:sz w:val="22"/>
        </w:rPr>
      </w:pPr>
      <w:r w:rsidRPr="00B93013">
        <w:rPr>
          <w:rFonts w:ascii="Arial" w:eastAsia="Calibri" w:hAnsi="Arial" w:cs="Arial"/>
          <w:sz w:val="22"/>
        </w:rPr>
        <w:t xml:space="preserve">Lo anterior en la medida que el artículo 229 del Decreto 019 de 2012 –al ser una norma posterior– derogó tácitamente el artículo 12 de la Ley 842 de 2003 en lo </w:t>
      </w:r>
      <w:r w:rsidR="00B72758">
        <w:rPr>
          <w:rFonts w:ascii="Arial" w:eastAsia="Calibri" w:hAnsi="Arial" w:cs="Arial"/>
          <w:sz w:val="22"/>
        </w:rPr>
        <w:t>referente</w:t>
      </w:r>
      <w:r w:rsidRPr="00B93013">
        <w:rPr>
          <w:rFonts w:ascii="Arial" w:eastAsia="Calibri" w:hAnsi="Arial" w:cs="Arial"/>
          <w:sz w:val="22"/>
        </w:rPr>
        <w:t xml:space="preserve"> al cómputo de la experiencia profesional</w:t>
      </w:r>
      <w:r w:rsidR="003C12E6">
        <w:rPr>
          <w:rFonts w:ascii="Arial" w:eastAsia="Calibri" w:hAnsi="Arial" w:cs="Arial"/>
          <w:sz w:val="22"/>
        </w:rPr>
        <w:t xml:space="preserve">, interpretación acorde con la posición de otras entidades públicas y con el inciso primero del </w:t>
      </w:r>
      <w:r w:rsidR="003C12E6" w:rsidRPr="003C12E6">
        <w:rPr>
          <w:rFonts w:ascii="Arial" w:eastAsia="Calibri" w:hAnsi="Arial" w:cs="Arial"/>
          <w:sz w:val="22"/>
        </w:rPr>
        <w:t>numeral 9.2</w:t>
      </w:r>
      <w:r w:rsidR="003C12E6">
        <w:rPr>
          <w:rFonts w:ascii="Arial" w:eastAsia="Calibri" w:hAnsi="Arial" w:cs="Arial"/>
          <w:sz w:val="22"/>
        </w:rPr>
        <w:t xml:space="preserve"> de la Circular Externa Única de esta Agencia</w:t>
      </w:r>
      <w:r w:rsidR="00D928CF" w:rsidRPr="00B93013">
        <w:rPr>
          <w:rFonts w:ascii="Arial" w:eastAsia="Calibri" w:hAnsi="Arial" w:cs="Arial"/>
          <w:sz w:val="22"/>
        </w:rPr>
        <w:t>.</w:t>
      </w:r>
      <w:r w:rsidR="00E30356">
        <w:rPr>
          <w:rFonts w:ascii="Arial" w:eastAsia="Calibri" w:hAnsi="Arial" w:cs="Arial"/>
          <w:color w:val="000000" w:themeColor="text1"/>
          <w:sz w:val="22"/>
        </w:rPr>
        <w:t xml:space="preserve"> </w:t>
      </w:r>
      <w:r w:rsidR="00E30356">
        <w:rPr>
          <w:rFonts w:ascii="Arial" w:eastAsia="Calibri" w:hAnsi="Arial" w:cs="Arial"/>
          <w:sz w:val="22"/>
        </w:rPr>
        <w:t xml:space="preserve">  </w:t>
      </w:r>
    </w:p>
    <w:p w14:paraId="5B0B1E86" w14:textId="77777777" w:rsidR="00185441" w:rsidRDefault="00185441" w:rsidP="00185441">
      <w:pPr>
        <w:spacing w:line="276" w:lineRule="auto"/>
        <w:jc w:val="both"/>
        <w:rPr>
          <w:rFonts w:ascii="Arial" w:eastAsia="Calibri" w:hAnsi="Arial" w:cs="Arial"/>
          <w:color w:val="000000" w:themeColor="text1"/>
          <w:sz w:val="22"/>
        </w:rPr>
      </w:pPr>
    </w:p>
    <w:p w14:paraId="66CE4DD8" w14:textId="2F47C74F" w:rsidR="00BE1E33" w:rsidRPr="006C15D5" w:rsidRDefault="00E05344" w:rsidP="00BE1E33">
      <w:pPr>
        <w:spacing w:before="120" w:line="276" w:lineRule="auto"/>
        <w:jc w:val="both"/>
        <w:rPr>
          <w:rFonts w:ascii="Arial" w:eastAsia="Calibri" w:hAnsi="Arial" w:cs="Arial"/>
          <w:color w:val="000000" w:themeColor="text1"/>
          <w:sz w:val="22"/>
        </w:rPr>
      </w:pPr>
      <w:r w:rsidRPr="00E05344">
        <w:rPr>
          <w:rFonts w:ascii="Arial" w:eastAsia="Calibri" w:hAnsi="Arial" w:cs="Arial"/>
          <w:color w:val="000000" w:themeColor="text1"/>
          <w:sz w:val="22"/>
        </w:rPr>
        <w:t>Este concepto, al igual que los que se reiteran, tiene el alcance previsto en el artículo 28 del Código de Procedimiento Administrativo y de lo Contencioso Administrativo, modificado por el artículo 1 de la Ley 1755 de 2015</w:t>
      </w:r>
      <w:r w:rsidR="00BE1E33" w:rsidRPr="006C15D5">
        <w:rPr>
          <w:rFonts w:ascii="Arial" w:eastAsia="Calibri" w:hAnsi="Arial" w:cs="Arial"/>
          <w:color w:val="000000" w:themeColor="text1"/>
          <w:sz w:val="22"/>
        </w:rPr>
        <w:t>.</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44A5E1E9" w:rsidR="00BE1E33" w:rsidRDefault="003D53F8" w:rsidP="00BE1E33">
      <w:pPr>
        <w:jc w:val="center"/>
        <w:rPr>
          <w:rFonts w:ascii="Arial" w:eastAsia="Times New Roman" w:hAnsi="Arial" w:cs="Arial"/>
          <w:color w:val="000000" w:themeColor="text1"/>
          <w:sz w:val="18"/>
          <w:szCs w:val="20"/>
          <w:lang w:eastAsia="es-CO"/>
        </w:rPr>
      </w:pPr>
      <w:r>
        <w:rPr>
          <w:noProof/>
        </w:rPr>
        <w:drawing>
          <wp:inline distT="0" distB="0" distL="0" distR="0" wp14:anchorId="2BC12B3F" wp14:editId="2CA4EBD3">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AC43E7">
        <w:trPr>
          <w:trHeight w:val="315"/>
        </w:trPr>
        <w:tc>
          <w:tcPr>
            <w:tcW w:w="812" w:type="dxa"/>
            <w:vAlign w:val="center"/>
            <w:hideMark/>
          </w:tcPr>
          <w:p w14:paraId="44CFA06E"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41DB6AA3" w:rsidR="00BE1E33" w:rsidRPr="006C15D5" w:rsidRDefault="00D418AD"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C4A6DA1" w14:textId="5897BB3C" w:rsidR="00982E99" w:rsidRPr="006C15D5" w:rsidRDefault="00982E99"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Contratista de la Subdirección de Gestión Contractual</w:t>
            </w:r>
          </w:p>
        </w:tc>
      </w:tr>
      <w:tr w:rsidR="003F6D32" w:rsidRPr="003F6D32" w14:paraId="092BCD16" w14:textId="77777777" w:rsidTr="00AC43E7">
        <w:trPr>
          <w:trHeight w:val="330"/>
        </w:trPr>
        <w:tc>
          <w:tcPr>
            <w:tcW w:w="812" w:type="dxa"/>
            <w:vAlign w:val="center"/>
            <w:hideMark/>
          </w:tcPr>
          <w:p w14:paraId="463B4DD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4CDD15" w14:textId="0FB0BA1C" w:rsidR="00730CDB" w:rsidRPr="006C15D5" w:rsidRDefault="00CC5565" w:rsidP="00730CDB">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Ramírez Grisales</w:t>
            </w:r>
          </w:p>
          <w:p w14:paraId="72718C99" w14:textId="3B905E0E" w:rsidR="00BE1E33" w:rsidRPr="006C15D5" w:rsidRDefault="00CC5565" w:rsidP="00730CDB">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Contratista </w:t>
            </w:r>
            <w:r w:rsidR="009865A8">
              <w:rPr>
                <w:rFonts w:ascii="Arial" w:eastAsia="Times New Roman" w:hAnsi="Arial" w:cs="Arial"/>
                <w:color w:val="000000" w:themeColor="text1"/>
                <w:sz w:val="16"/>
                <w:szCs w:val="16"/>
                <w:lang w:eastAsia="es-ES"/>
              </w:rPr>
              <w:t>de la</w:t>
            </w:r>
            <w:r>
              <w:rPr>
                <w:rFonts w:ascii="Arial" w:eastAsia="Times New Roman" w:hAnsi="Arial" w:cs="Arial"/>
                <w:color w:val="000000" w:themeColor="text1"/>
                <w:sz w:val="16"/>
                <w:szCs w:val="16"/>
                <w:lang w:eastAsia="es-ES"/>
              </w:rPr>
              <w:t xml:space="preserve"> </w:t>
            </w:r>
            <w:r w:rsidRPr="006C15D5">
              <w:rPr>
                <w:rFonts w:ascii="Arial" w:eastAsia="Times New Roman" w:hAnsi="Arial" w:cs="Arial"/>
                <w:color w:val="000000" w:themeColor="text1"/>
                <w:sz w:val="16"/>
                <w:szCs w:val="16"/>
                <w:lang w:eastAsia="es-ES"/>
              </w:rPr>
              <w:t>Subdirección de Gestión Contractual</w:t>
            </w:r>
          </w:p>
        </w:tc>
      </w:tr>
      <w:tr w:rsidR="00982E99" w:rsidRPr="003F6D32" w14:paraId="57DAFEF9" w14:textId="77777777" w:rsidTr="00AC43E7">
        <w:trPr>
          <w:trHeight w:val="300"/>
        </w:trPr>
        <w:tc>
          <w:tcPr>
            <w:tcW w:w="812" w:type="dxa"/>
            <w:vAlign w:val="center"/>
            <w:hideMark/>
          </w:tcPr>
          <w:p w14:paraId="7067701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75BC677C"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r w:rsidR="00A46FE1" w:rsidRPr="003F6D32" w14:paraId="0003166F" w14:textId="77777777" w:rsidTr="00AC43E7">
        <w:trPr>
          <w:trHeight w:val="300"/>
        </w:trPr>
        <w:tc>
          <w:tcPr>
            <w:tcW w:w="812" w:type="dxa"/>
            <w:vAlign w:val="center"/>
          </w:tcPr>
          <w:p w14:paraId="5D9CD557" w14:textId="1B06AFB7" w:rsidR="00A46FE1" w:rsidRPr="006C15D5" w:rsidRDefault="00A46FE1"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Anexos:</w:t>
            </w:r>
          </w:p>
        </w:tc>
        <w:tc>
          <w:tcPr>
            <w:tcW w:w="4413" w:type="dxa"/>
            <w:tcBorders>
              <w:top w:val="dotted" w:sz="4" w:space="0" w:color="7F7F7F" w:themeColor="text1" w:themeTint="80"/>
              <w:left w:val="nil"/>
              <w:bottom w:val="dotted" w:sz="4" w:space="0" w:color="7F7F7F" w:themeColor="text1" w:themeTint="80"/>
              <w:right w:val="nil"/>
            </w:tcBorders>
            <w:vAlign w:val="center"/>
          </w:tcPr>
          <w:p w14:paraId="64B14724" w14:textId="5B8EA93A" w:rsidR="00A46FE1" w:rsidRPr="006C15D5" w:rsidRDefault="00A46FE1" w:rsidP="00AC43E7">
            <w:pPr>
              <w:rPr>
                <w:rFonts w:ascii="Arial" w:eastAsia="Times New Roman" w:hAnsi="Arial" w:cs="Arial"/>
                <w:color w:val="000000" w:themeColor="text1"/>
                <w:sz w:val="16"/>
                <w:szCs w:val="16"/>
                <w:lang w:eastAsia="es-ES"/>
              </w:rPr>
            </w:pPr>
            <w:r w:rsidRPr="00A46FE1">
              <w:rPr>
                <w:rFonts w:ascii="Arial" w:eastAsia="Times New Roman" w:hAnsi="Arial" w:cs="Arial"/>
                <w:color w:val="000000" w:themeColor="text1"/>
                <w:sz w:val="16"/>
                <w:szCs w:val="16"/>
                <w:lang w:eastAsia="es-ES"/>
              </w:rPr>
              <w:t>Concepto C-212 del 14 de abril de 2020</w:t>
            </w:r>
          </w:p>
        </w:tc>
      </w:tr>
    </w:tbl>
    <w:p w14:paraId="07748B46" w14:textId="77777777" w:rsidR="00BE1E33" w:rsidRPr="006C15D5" w:rsidRDefault="00BE1E33" w:rsidP="00BE1E33">
      <w:pPr>
        <w:rPr>
          <w:rFonts w:ascii="Arial" w:hAnsi="Arial" w:cs="Arial"/>
          <w:color w:val="000000" w:themeColor="text1"/>
        </w:rPr>
      </w:pPr>
    </w:p>
    <w:p w14:paraId="085A31AB" w14:textId="77777777" w:rsidR="006C5955" w:rsidRPr="006C15D5" w:rsidRDefault="006C5955" w:rsidP="00BE1E33">
      <w:pPr>
        <w:rPr>
          <w:color w:val="000000" w:themeColor="text1"/>
        </w:rPr>
      </w:pPr>
    </w:p>
    <w:sectPr w:rsidR="006C5955"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615AA" w14:textId="77777777" w:rsidR="00DD1004" w:rsidRDefault="00DD1004" w:rsidP="008C487C">
      <w:r>
        <w:separator/>
      </w:r>
    </w:p>
  </w:endnote>
  <w:endnote w:type="continuationSeparator" w:id="0">
    <w:p w14:paraId="2539F263" w14:textId="77777777" w:rsidR="00DD1004" w:rsidRDefault="00DD1004"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5237BA" w:rsidRDefault="005237BA" w:rsidP="00AC43E7">
    <w:pPr>
      <w:pStyle w:val="Sinespaciado"/>
      <w:jc w:val="right"/>
      <w:rPr>
        <w:rFonts w:ascii="Arial" w:hAnsi="Arial" w:cs="Arial"/>
        <w:sz w:val="18"/>
        <w:szCs w:val="18"/>
      </w:rPr>
    </w:pPr>
  </w:p>
  <w:p w14:paraId="709352A1" w14:textId="77777777" w:rsidR="005237BA" w:rsidRDefault="005237BA" w:rsidP="00AC43E7">
    <w:pPr>
      <w:pStyle w:val="Sinespaciado"/>
      <w:jc w:val="right"/>
      <w:rPr>
        <w:rFonts w:ascii="Arial" w:hAnsi="Arial" w:cs="Arial"/>
        <w:sz w:val="18"/>
        <w:szCs w:val="18"/>
      </w:rPr>
    </w:pPr>
  </w:p>
  <w:p w14:paraId="3D3EB348" w14:textId="77777777" w:rsidR="005237BA" w:rsidRPr="008217B7" w:rsidRDefault="005237BA"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5237BA" w:rsidRDefault="005237BA"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5237BA" w:rsidRPr="00E756AC" w:rsidRDefault="005237BA" w:rsidP="00AC43E7">
    <w:pPr>
      <w:pStyle w:val="Piedepgina"/>
      <w:jc w:val="center"/>
      <w:rPr>
        <w:sz w:val="18"/>
        <w:szCs w:val="18"/>
        <w:lang w:val="es-ES"/>
      </w:rPr>
    </w:pPr>
  </w:p>
  <w:p w14:paraId="428179B1" w14:textId="77777777" w:rsidR="005237BA" w:rsidRPr="00E756AC" w:rsidRDefault="005237BA"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21F4B" w14:textId="77777777" w:rsidR="00DD1004" w:rsidRDefault="00DD1004" w:rsidP="008C487C">
      <w:r>
        <w:separator/>
      </w:r>
    </w:p>
  </w:footnote>
  <w:footnote w:type="continuationSeparator" w:id="0">
    <w:p w14:paraId="0AF8B39F" w14:textId="77777777" w:rsidR="00DD1004" w:rsidRDefault="00DD1004" w:rsidP="008C487C">
      <w:r>
        <w:continuationSeparator/>
      </w:r>
    </w:p>
  </w:footnote>
  <w:footnote w:id="1">
    <w:p w14:paraId="420BA9CE" w14:textId="7605998C" w:rsidR="005237BA" w:rsidRPr="003A4125" w:rsidRDefault="005237BA" w:rsidP="00D51D54">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w:t>
      </w:r>
      <w:r w:rsidRPr="00976BF4">
        <w:rPr>
          <w:rFonts w:ascii="Arial" w:hAnsi="Arial" w:cs="Arial"/>
          <w:sz w:val="19"/>
          <w:szCs w:val="19"/>
        </w:rPr>
        <w:t>DEPARTAMENTO ADMINISTRATIVO DE LA FUNCIÓN PÚBLICA</w:t>
      </w:r>
      <w:r>
        <w:rPr>
          <w:rFonts w:ascii="Arial" w:hAnsi="Arial" w:cs="Arial"/>
          <w:sz w:val="19"/>
          <w:szCs w:val="19"/>
        </w:rPr>
        <w:t xml:space="preserve">. </w:t>
      </w:r>
      <w:r w:rsidRPr="003A4125">
        <w:rPr>
          <w:rFonts w:ascii="Arial" w:hAnsi="Arial" w:cs="Arial"/>
          <w:sz w:val="19"/>
          <w:szCs w:val="19"/>
        </w:rPr>
        <w:t>Concepto 20124000026371 del 20 de febrero de 2012.</w:t>
      </w:r>
    </w:p>
    <w:p w14:paraId="547E1E0C" w14:textId="77777777" w:rsidR="005237BA" w:rsidRPr="003A4125" w:rsidRDefault="005237BA" w:rsidP="00D51D54">
      <w:pPr>
        <w:pStyle w:val="Textonotapie"/>
        <w:ind w:firstLine="708"/>
        <w:jc w:val="both"/>
        <w:rPr>
          <w:rFonts w:ascii="Arial" w:hAnsi="Arial" w:cs="Arial"/>
          <w:sz w:val="19"/>
          <w:szCs w:val="19"/>
        </w:rPr>
      </w:pPr>
    </w:p>
  </w:footnote>
  <w:footnote w:id="2">
    <w:p w14:paraId="41B53813" w14:textId="76FC1F54" w:rsidR="005237BA" w:rsidRPr="003A4125" w:rsidRDefault="005237BA" w:rsidP="00D51D54">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w:t>
      </w:r>
      <w:r w:rsidRPr="00976BF4">
        <w:rPr>
          <w:rFonts w:ascii="Arial" w:hAnsi="Arial" w:cs="Arial"/>
          <w:sz w:val="19"/>
          <w:szCs w:val="19"/>
        </w:rPr>
        <w:t>DEPARTAMENTO ADMINISTRATIVO DE LA FUNCIÓN PÚBLICA</w:t>
      </w:r>
      <w:r>
        <w:rPr>
          <w:rFonts w:ascii="Arial" w:hAnsi="Arial" w:cs="Arial"/>
          <w:sz w:val="19"/>
          <w:szCs w:val="19"/>
        </w:rPr>
        <w:t xml:space="preserve">. </w:t>
      </w:r>
      <w:r w:rsidRPr="003A4125">
        <w:rPr>
          <w:rFonts w:ascii="Arial" w:hAnsi="Arial" w:cs="Arial"/>
          <w:sz w:val="19"/>
          <w:szCs w:val="19"/>
        </w:rPr>
        <w:t>Concepto 20126000034601 del 2 de marzo de 2012.</w:t>
      </w:r>
    </w:p>
    <w:p w14:paraId="6034F89B" w14:textId="77777777" w:rsidR="005237BA" w:rsidRPr="003A4125" w:rsidRDefault="005237BA" w:rsidP="00D51D54">
      <w:pPr>
        <w:pStyle w:val="Textonotapie"/>
        <w:ind w:firstLine="708"/>
        <w:jc w:val="both"/>
        <w:rPr>
          <w:rFonts w:ascii="Arial" w:hAnsi="Arial" w:cs="Arial"/>
          <w:sz w:val="19"/>
          <w:szCs w:val="19"/>
        </w:rPr>
      </w:pPr>
    </w:p>
  </w:footnote>
  <w:footnote w:id="3">
    <w:p w14:paraId="25E788FF" w14:textId="7063F005" w:rsidR="005237BA" w:rsidRPr="003A4125" w:rsidRDefault="005237BA" w:rsidP="00D51D54">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w:t>
      </w:r>
      <w:r w:rsidRPr="00976BF4">
        <w:rPr>
          <w:rFonts w:ascii="Arial" w:hAnsi="Arial" w:cs="Arial"/>
          <w:sz w:val="19"/>
          <w:szCs w:val="19"/>
        </w:rPr>
        <w:t>DEPARTAMENTO ADMINISTRATIVO DE LA FUNCIÓN PÚBLICA</w:t>
      </w:r>
      <w:r>
        <w:rPr>
          <w:rFonts w:ascii="Arial" w:hAnsi="Arial" w:cs="Arial"/>
          <w:sz w:val="19"/>
          <w:szCs w:val="19"/>
        </w:rPr>
        <w:t xml:space="preserve">. </w:t>
      </w:r>
      <w:r w:rsidRPr="003A4125">
        <w:rPr>
          <w:rFonts w:ascii="Arial" w:hAnsi="Arial" w:cs="Arial"/>
          <w:sz w:val="19"/>
          <w:szCs w:val="19"/>
        </w:rPr>
        <w:t xml:space="preserve">Concepto 20136000135041 del </w:t>
      </w:r>
      <w:r>
        <w:rPr>
          <w:rFonts w:ascii="Arial" w:hAnsi="Arial" w:cs="Arial"/>
          <w:sz w:val="19"/>
          <w:szCs w:val="19"/>
        </w:rPr>
        <w:t>3 de septiembre</w:t>
      </w:r>
      <w:r w:rsidRPr="003A4125">
        <w:rPr>
          <w:rFonts w:ascii="Arial" w:hAnsi="Arial" w:cs="Arial"/>
          <w:sz w:val="19"/>
          <w:szCs w:val="19"/>
        </w:rPr>
        <w:t xml:space="preserve"> de 201</w:t>
      </w:r>
      <w:r>
        <w:rPr>
          <w:rFonts w:ascii="Arial" w:hAnsi="Arial" w:cs="Arial"/>
          <w:sz w:val="19"/>
          <w:szCs w:val="19"/>
        </w:rPr>
        <w:t>3</w:t>
      </w:r>
      <w:r w:rsidRPr="003A4125">
        <w:rPr>
          <w:rFonts w:ascii="Arial" w:hAnsi="Arial" w:cs="Arial"/>
          <w:sz w:val="19"/>
          <w:szCs w:val="19"/>
        </w:rPr>
        <w:t>.</w:t>
      </w:r>
    </w:p>
    <w:p w14:paraId="3E7F58DB" w14:textId="77777777" w:rsidR="005237BA" w:rsidRPr="003A4125" w:rsidRDefault="005237BA" w:rsidP="00D51D54">
      <w:pPr>
        <w:pStyle w:val="Textonotapie"/>
        <w:ind w:firstLine="708"/>
        <w:jc w:val="both"/>
        <w:rPr>
          <w:rFonts w:ascii="Arial" w:hAnsi="Arial" w:cs="Arial"/>
          <w:sz w:val="19"/>
          <w:szCs w:val="19"/>
        </w:rPr>
      </w:pPr>
    </w:p>
  </w:footnote>
  <w:footnote w:id="4">
    <w:p w14:paraId="407E08F2" w14:textId="0C667DC0" w:rsidR="005237BA" w:rsidRPr="003A4125" w:rsidRDefault="005237BA" w:rsidP="00575FF2">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w:t>
      </w:r>
      <w:r w:rsidRPr="00654483">
        <w:rPr>
          <w:rFonts w:ascii="Arial" w:hAnsi="Arial" w:cs="Arial"/>
          <w:sz w:val="19"/>
          <w:szCs w:val="19"/>
        </w:rPr>
        <w:t>MINISTERIO DE EDUCACION NACIONAL</w:t>
      </w:r>
      <w:r>
        <w:rPr>
          <w:rFonts w:ascii="Arial" w:hAnsi="Arial" w:cs="Arial"/>
          <w:sz w:val="19"/>
          <w:szCs w:val="19"/>
        </w:rPr>
        <w:t xml:space="preserve">. </w:t>
      </w:r>
      <w:r w:rsidRPr="003A4125">
        <w:rPr>
          <w:rFonts w:ascii="Arial" w:hAnsi="Arial" w:cs="Arial"/>
          <w:sz w:val="19"/>
          <w:szCs w:val="19"/>
        </w:rPr>
        <w:t xml:space="preserve">Concepto </w:t>
      </w:r>
      <w:r w:rsidRPr="00654483">
        <w:rPr>
          <w:rFonts w:ascii="Arial" w:hAnsi="Arial" w:cs="Arial"/>
          <w:sz w:val="19"/>
          <w:szCs w:val="19"/>
        </w:rPr>
        <w:t>43952</w:t>
      </w:r>
      <w:r w:rsidRPr="003A4125">
        <w:rPr>
          <w:rFonts w:ascii="Arial" w:hAnsi="Arial" w:cs="Arial"/>
          <w:sz w:val="19"/>
          <w:szCs w:val="19"/>
        </w:rPr>
        <w:t xml:space="preserve"> de</w:t>
      </w:r>
      <w:r>
        <w:rPr>
          <w:rFonts w:ascii="Arial" w:hAnsi="Arial" w:cs="Arial"/>
          <w:sz w:val="19"/>
          <w:szCs w:val="19"/>
        </w:rPr>
        <w:t>l 8 de mayo</w:t>
      </w:r>
      <w:r w:rsidRPr="003A4125">
        <w:rPr>
          <w:rFonts w:ascii="Arial" w:hAnsi="Arial" w:cs="Arial"/>
          <w:sz w:val="19"/>
          <w:szCs w:val="19"/>
        </w:rPr>
        <w:t xml:space="preserve"> 201</w:t>
      </w:r>
      <w:r>
        <w:rPr>
          <w:rFonts w:ascii="Arial" w:hAnsi="Arial" w:cs="Arial"/>
          <w:sz w:val="19"/>
          <w:szCs w:val="19"/>
        </w:rPr>
        <w:t>5</w:t>
      </w:r>
      <w:r w:rsidRPr="003A4125">
        <w:rPr>
          <w:rFonts w:ascii="Arial" w:hAnsi="Arial" w:cs="Arial"/>
          <w:sz w:val="19"/>
          <w:szCs w:val="19"/>
        </w:rPr>
        <w:t xml:space="preserve">. </w:t>
      </w:r>
    </w:p>
    <w:p w14:paraId="3E29F0C6" w14:textId="77777777" w:rsidR="005237BA" w:rsidRPr="003A4125" w:rsidRDefault="005237BA" w:rsidP="00575FF2">
      <w:pPr>
        <w:pStyle w:val="Textonotapie"/>
        <w:ind w:firstLine="708"/>
        <w:jc w:val="both"/>
        <w:rPr>
          <w:rFonts w:ascii="Arial" w:hAnsi="Arial" w:cs="Arial"/>
          <w:sz w:val="19"/>
          <w:szCs w:val="19"/>
        </w:rPr>
      </w:pPr>
    </w:p>
  </w:footnote>
  <w:footnote w:id="5">
    <w:p w14:paraId="59B1D7BB" w14:textId="3DFDD28B" w:rsidR="005237BA" w:rsidRDefault="005237BA" w:rsidP="00575FF2">
      <w:pPr>
        <w:pStyle w:val="Textonotapie"/>
        <w:ind w:firstLine="708"/>
        <w:jc w:val="both"/>
        <w:rPr>
          <w:rFonts w:ascii="Arial" w:hAnsi="Arial" w:cs="Arial"/>
          <w:sz w:val="19"/>
          <w:szCs w:val="19"/>
        </w:rPr>
      </w:pPr>
      <w:r w:rsidRPr="00575FF2">
        <w:rPr>
          <w:rStyle w:val="Refdenotaalpie"/>
          <w:rFonts w:ascii="Arial" w:hAnsi="Arial" w:cs="Arial"/>
          <w:sz w:val="19"/>
          <w:szCs w:val="19"/>
        </w:rPr>
        <w:footnoteRef/>
      </w:r>
      <w:r w:rsidRPr="00575FF2">
        <w:rPr>
          <w:rFonts w:ascii="Arial" w:hAnsi="Arial" w:cs="Arial"/>
          <w:sz w:val="19"/>
          <w:szCs w:val="19"/>
        </w:rPr>
        <w:t xml:space="preserve"> SERVICIO NACIONAL DE APRENDIZAJE</w:t>
      </w:r>
      <w:r>
        <w:rPr>
          <w:rFonts w:ascii="Arial" w:hAnsi="Arial" w:cs="Arial"/>
          <w:sz w:val="19"/>
          <w:szCs w:val="19"/>
        </w:rPr>
        <w:t xml:space="preserve">. Concepto </w:t>
      </w:r>
      <w:r w:rsidRPr="00054E9A">
        <w:rPr>
          <w:rFonts w:ascii="Arial" w:hAnsi="Arial" w:cs="Arial"/>
          <w:sz w:val="19"/>
          <w:szCs w:val="19"/>
        </w:rPr>
        <w:t xml:space="preserve">8940 </w:t>
      </w:r>
      <w:r>
        <w:rPr>
          <w:rFonts w:ascii="Arial" w:hAnsi="Arial" w:cs="Arial"/>
          <w:sz w:val="19"/>
          <w:szCs w:val="19"/>
        </w:rPr>
        <w:t>del 21 de febrero</w:t>
      </w:r>
      <w:r w:rsidRPr="00054E9A">
        <w:rPr>
          <w:rFonts w:ascii="Arial" w:hAnsi="Arial" w:cs="Arial"/>
          <w:sz w:val="19"/>
          <w:szCs w:val="19"/>
        </w:rPr>
        <w:t xml:space="preserve"> 2018</w:t>
      </w:r>
      <w:r>
        <w:rPr>
          <w:rFonts w:ascii="Arial" w:hAnsi="Arial" w:cs="Arial"/>
          <w:sz w:val="19"/>
          <w:szCs w:val="19"/>
        </w:rPr>
        <w:t>.</w:t>
      </w:r>
    </w:p>
    <w:p w14:paraId="5BD24E54" w14:textId="77777777" w:rsidR="005237BA" w:rsidRPr="00575FF2" w:rsidRDefault="005237BA" w:rsidP="00575FF2">
      <w:pPr>
        <w:pStyle w:val="Textonotapie"/>
        <w:ind w:firstLine="708"/>
        <w:jc w:val="both"/>
        <w:rPr>
          <w:rFonts w:ascii="Arial" w:hAnsi="Arial" w:cs="Arial"/>
          <w:sz w:val="19"/>
          <w:szCs w:val="19"/>
          <w:lang w:val="es-ES"/>
        </w:rPr>
      </w:pPr>
    </w:p>
  </w:footnote>
  <w:footnote w:id="6">
    <w:p w14:paraId="60CB75EB" w14:textId="2A46C379" w:rsidR="005237BA" w:rsidRDefault="005237BA" w:rsidP="00054E9A">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w:t>
      </w:r>
      <w:r>
        <w:rPr>
          <w:rFonts w:ascii="Arial" w:hAnsi="Arial" w:cs="Arial"/>
          <w:sz w:val="19"/>
          <w:szCs w:val="19"/>
        </w:rPr>
        <w:t xml:space="preserve">MINISTERIO DE LA PROTECCIÓN SOCIAL. </w:t>
      </w:r>
      <w:r w:rsidRPr="003A4125">
        <w:rPr>
          <w:rFonts w:ascii="Arial" w:hAnsi="Arial" w:cs="Arial"/>
          <w:sz w:val="19"/>
          <w:szCs w:val="19"/>
        </w:rPr>
        <w:t>Concepto 1100000</w:t>
      </w:r>
      <w:r>
        <w:rPr>
          <w:rFonts w:ascii="Arial" w:hAnsi="Arial" w:cs="Arial"/>
          <w:sz w:val="19"/>
          <w:szCs w:val="19"/>
        </w:rPr>
        <w:t>-</w:t>
      </w:r>
      <w:r w:rsidRPr="003A4125">
        <w:rPr>
          <w:rFonts w:ascii="Arial" w:hAnsi="Arial" w:cs="Arial"/>
          <w:sz w:val="19"/>
          <w:szCs w:val="19"/>
        </w:rPr>
        <w:t>84905</w:t>
      </w:r>
      <w:r>
        <w:rPr>
          <w:rFonts w:ascii="Arial" w:hAnsi="Arial" w:cs="Arial"/>
          <w:sz w:val="19"/>
          <w:szCs w:val="19"/>
        </w:rPr>
        <w:t>-</w:t>
      </w:r>
      <w:r w:rsidRPr="003A4125">
        <w:rPr>
          <w:rFonts w:ascii="Arial" w:hAnsi="Arial" w:cs="Arial"/>
          <w:sz w:val="19"/>
          <w:szCs w:val="19"/>
        </w:rPr>
        <w:t>92892 del 8 de mayo de 2012.</w:t>
      </w:r>
    </w:p>
    <w:p w14:paraId="1E7BBB65" w14:textId="77777777" w:rsidR="005237BA" w:rsidRPr="003A4125" w:rsidRDefault="005237BA" w:rsidP="00054E9A">
      <w:pPr>
        <w:pStyle w:val="Textonotapie"/>
        <w:ind w:firstLine="708"/>
        <w:jc w:val="both"/>
        <w:rPr>
          <w:rFonts w:ascii="Arial" w:hAnsi="Arial" w:cs="Arial"/>
          <w:sz w:val="19"/>
          <w:szCs w:val="19"/>
        </w:rPr>
      </w:pPr>
    </w:p>
  </w:footnote>
  <w:footnote w:id="7">
    <w:p w14:paraId="3EFBBA96" w14:textId="271BC1E0" w:rsidR="005237BA" w:rsidRPr="003A4125" w:rsidRDefault="005237BA" w:rsidP="00D51D54">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w:t>
      </w:r>
      <w:r>
        <w:rPr>
          <w:rFonts w:ascii="Arial" w:hAnsi="Arial" w:cs="Arial"/>
          <w:sz w:val="19"/>
          <w:szCs w:val="19"/>
        </w:rPr>
        <w:t>Ibidem</w:t>
      </w:r>
      <w:r w:rsidRPr="003A4125">
        <w:rPr>
          <w:rFonts w:ascii="Arial" w:hAnsi="Arial" w:cs="Arial"/>
          <w:sz w:val="19"/>
          <w:szCs w:val="19"/>
        </w:rPr>
        <w:t>.</w:t>
      </w:r>
    </w:p>
  </w:footnote>
  <w:footnote w:id="8">
    <w:p w14:paraId="0AA6B6E3" w14:textId="462BAA41" w:rsidR="005237BA" w:rsidRDefault="005237BA" w:rsidP="008F4B08">
      <w:pPr>
        <w:pStyle w:val="Textonotapie"/>
        <w:ind w:firstLine="708"/>
        <w:jc w:val="both"/>
        <w:rPr>
          <w:rFonts w:ascii="Arial" w:hAnsi="Arial" w:cs="Arial"/>
          <w:sz w:val="19"/>
          <w:szCs w:val="19"/>
        </w:rPr>
      </w:pPr>
      <w:r w:rsidRPr="008F4B08">
        <w:rPr>
          <w:rStyle w:val="Refdenotaalpie"/>
          <w:rFonts w:ascii="Arial" w:hAnsi="Arial" w:cs="Arial"/>
          <w:sz w:val="19"/>
          <w:szCs w:val="19"/>
        </w:rPr>
        <w:footnoteRef/>
      </w:r>
      <w:r w:rsidRPr="008F4B08">
        <w:rPr>
          <w:rFonts w:ascii="Arial" w:hAnsi="Arial" w:cs="Arial"/>
          <w:sz w:val="19"/>
          <w:szCs w:val="19"/>
        </w:rPr>
        <w:t xml:space="preserve"> CONSEJO DE ESTADO. Sección Primera. Auto del 2 de octubre de 2017.</w:t>
      </w:r>
      <w:r>
        <w:rPr>
          <w:rFonts w:ascii="Arial" w:hAnsi="Arial" w:cs="Arial"/>
          <w:sz w:val="19"/>
          <w:szCs w:val="19"/>
        </w:rPr>
        <w:t xml:space="preserve"> </w:t>
      </w:r>
      <w:r w:rsidRPr="008F4B08">
        <w:rPr>
          <w:rFonts w:ascii="Arial" w:hAnsi="Arial" w:cs="Arial"/>
          <w:sz w:val="19"/>
          <w:szCs w:val="19"/>
        </w:rPr>
        <w:t>Ex</w:t>
      </w:r>
      <w:r>
        <w:rPr>
          <w:rFonts w:ascii="Arial" w:hAnsi="Arial" w:cs="Arial"/>
          <w:sz w:val="19"/>
          <w:szCs w:val="19"/>
        </w:rPr>
        <w:t>p.</w:t>
      </w:r>
      <w:r w:rsidRPr="008F4B08">
        <w:rPr>
          <w:rFonts w:ascii="Arial" w:hAnsi="Arial" w:cs="Arial"/>
          <w:sz w:val="19"/>
          <w:szCs w:val="19"/>
        </w:rPr>
        <w:t xml:space="preserve"> 11001032400020150050200. </w:t>
      </w:r>
      <w:r>
        <w:rPr>
          <w:rFonts w:ascii="Arial" w:hAnsi="Arial" w:cs="Arial"/>
          <w:sz w:val="19"/>
          <w:szCs w:val="19"/>
        </w:rPr>
        <w:t>C</w:t>
      </w:r>
      <w:r w:rsidRPr="008F4B08">
        <w:rPr>
          <w:rFonts w:ascii="Arial" w:hAnsi="Arial" w:cs="Arial"/>
          <w:sz w:val="19"/>
          <w:szCs w:val="19"/>
        </w:rPr>
        <w:t>.P. María Elizabeth García González.</w:t>
      </w:r>
    </w:p>
    <w:p w14:paraId="142F5483" w14:textId="77777777" w:rsidR="005237BA" w:rsidRPr="008F4B08" w:rsidRDefault="005237BA" w:rsidP="008F4B08">
      <w:pPr>
        <w:pStyle w:val="Textonotapie"/>
        <w:ind w:firstLine="708"/>
        <w:jc w:val="both"/>
        <w:rPr>
          <w:rFonts w:ascii="Arial" w:hAnsi="Arial" w:cs="Arial"/>
          <w:sz w:val="19"/>
          <w:szCs w:val="19"/>
          <w:lang w:val="es-ES"/>
        </w:rPr>
      </w:pPr>
    </w:p>
  </w:footnote>
  <w:footnote w:id="9">
    <w:p w14:paraId="750414DC" w14:textId="2F840667" w:rsidR="005237BA" w:rsidRDefault="005237BA" w:rsidP="002466F4">
      <w:pPr>
        <w:pStyle w:val="Textonotapie"/>
        <w:ind w:firstLine="708"/>
        <w:jc w:val="both"/>
        <w:rPr>
          <w:rFonts w:ascii="Arial" w:hAnsi="Arial" w:cs="Arial"/>
          <w:sz w:val="19"/>
          <w:szCs w:val="19"/>
        </w:rPr>
      </w:pPr>
      <w:r w:rsidRPr="00C01BC4">
        <w:rPr>
          <w:rStyle w:val="Refdenotaalpie"/>
          <w:rFonts w:ascii="Arial" w:hAnsi="Arial" w:cs="Arial"/>
          <w:sz w:val="19"/>
          <w:szCs w:val="19"/>
        </w:rPr>
        <w:footnoteRef/>
      </w:r>
      <w:r w:rsidRPr="00C01BC4">
        <w:rPr>
          <w:rFonts w:ascii="Arial" w:hAnsi="Arial" w:cs="Arial"/>
          <w:sz w:val="19"/>
          <w:szCs w:val="19"/>
        </w:rPr>
        <w:t xml:space="preserve"> </w:t>
      </w:r>
      <w:r>
        <w:rPr>
          <w:rFonts w:ascii="Arial" w:hAnsi="Arial" w:cs="Arial"/>
          <w:sz w:val="19"/>
          <w:szCs w:val="19"/>
        </w:rPr>
        <w:t>Sobre este aspecto, la doctrina considera lo siguiente: «</w:t>
      </w:r>
      <w:r w:rsidRPr="002466F4">
        <w:rPr>
          <w:rFonts w:ascii="Arial" w:hAnsi="Arial" w:cs="Arial"/>
          <w:sz w:val="19"/>
          <w:szCs w:val="19"/>
        </w:rPr>
        <w:t>La suspensión provisional es el mecanismo jurídico por medio del cual l</w:t>
      </w:r>
      <w:r>
        <w:rPr>
          <w:rFonts w:ascii="Arial" w:hAnsi="Arial" w:cs="Arial"/>
          <w:sz w:val="19"/>
          <w:szCs w:val="19"/>
        </w:rPr>
        <w:t xml:space="preserve">a </w:t>
      </w:r>
      <w:r w:rsidRPr="002466F4">
        <w:rPr>
          <w:rFonts w:ascii="Arial" w:hAnsi="Arial" w:cs="Arial"/>
          <w:sz w:val="19"/>
          <w:szCs w:val="19"/>
        </w:rPr>
        <w:t>parte demandante de un acto administrativo puede solicitar al juez</w:t>
      </w:r>
      <w:r>
        <w:rPr>
          <w:rFonts w:ascii="Arial" w:hAnsi="Arial" w:cs="Arial"/>
          <w:sz w:val="19"/>
          <w:szCs w:val="19"/>
        </w:rPr>
        <w:t xml:space="preserve"> </w:t>
      </w:r>
      <w:r w:rsidRPr="002466F4">
        <w:rPr>
          <w:rFonts w:ascii="Arial" w:hAnsi="Arial" w:cs="Arial"/>
          <w:sz w:val="19"/>
          <w:szCs w:val="19"/>
        </w:rPr>
        <w:t>administrativo, que suspenda su aplicación hasta tanto no resuelva,</w:t>
      </w:r>
      <w:r>
        <w:rPr>
          <w:rFonts w:ascii="Arial" w:hAnsi="Arial" w:cs="Arial"/>
          <w:sz w:val="19"/>
          <w:szCs w:val="19"/>
        </w:rPr>
        <w:t xml:space="preserve"> </w:t>
      </w:r>
      <w:r w:rsidRPr="002466F4">
        <w:rPr>
          <w:rFonts w:ascii="Arial" w:hAnsi="Arial" w:cs="Arial"/>
          <w:sz w:val="19"/>
          <w:szCs w:val="19"/>
        </w:rPr>
        <w:t>mediante sentencia definitiva, sobre su legalidad</w:t>
      </w:r>
      <w:r>
        <w:rPr>
          <w:rFonts w:ascii="Arial" w:hAnsi="Arial" w:cs="Arial"/>
          <w:sz w:val="19"/>
          <w:szCs w:val="19"/>
        </w:rPr>
        <w:t>» (PALACIO HINCAPIÉ, Juan Ángel. Derecho procesal administrativo. Octava Edición. Medellín: Librería Jurídica Sánchez, 2013. p. 855).</w:t>
      </w:r>
    </w:p>
    <w:p w14:paraId="0FADAEEC" w14:textId="77777777" w:rsidR="005237BA" w:rsidRPr="002466F4" w:rsidRDefault="005237BA" w:rsidP="002466F4">
      <w:pPr>
        <w:pStyle w:val="Textonotapie"/>
        <w:ind w:firstLine="708"/>
        <w:jc w:val="both"/>
        <w:rPr>
          <w:rFonts w:ascii="Arial" w:hAnsi="Arial" w:cs="Arial"/>
          <w:sz w:val="19"/>
          <w:szCs w:val="19"/>
        </w:rPr>
      </w:pPr>
    </w:p>
  </w:footnote>
  <w:footnote w:id="10">
    <w:p w14:paraId="59CB108F" w14:textId="385E1101" w:rsidR="005237BA" w:rsidRPr="003C611C" w:rsidRDefault="005237BA" w:rsidP="003C611C">
      <w:pPr>
        <w:pStyle w:val="Textonotapie"/>
        <w:ind w:firstLine="708"/>
        <w:jc w:val="both"/>
        <w:rPr>
          <w:rFonts w:ascii="Arial" w:hAnsi="Arial" w:cs="Arial"/>
          <w:sz w:val="19"/>
          <w:szCs w:val="19"/>
          <w:lang w:val="es-ES"/>
        </w:rPr>
      </w:pPr>
      <w:r w:rsidRPr="003C611C">
        <w:rPr>
          <w:rStyle w:val="Refdenotaalpie"/>
          <w:rFonts w:ascii="Arial" w:hAnsi="Arial" w:cs="Arial"/>
          <w:sz w:val="19"/>
          <w:szCs w:val="19"/>
        </w:rPr>
        <w:footnoteRef/>
      </w:r>
      <w:r w:rsidRPr="003C611C">
        <w:rPr>
          <w:rFonts w:ascii="Arial" w:hAnsi="Arial" w:cs="Arial"/>
          <w:sz w:val="19"/>
          <w:szCs w:val="19"/>
        </w:rPr>
        <w:t xml:space="preserve"> </w:t>
      </w:r>
      <w:r>
        <w:rPr>
          <w:rFonts w:ascii="Arial" w:hAnsi="Arial" w:cs="Arial"/>
          <w:sz w:val="19"/>
          <w:szCs w:val="19"/>
        </w:rPr>
        <w:t xml:space="preserve">De esta manera, «La pretensión tiene dos elementos esenciales: su objeto y su razón; es decir, lo que se persigue con ella, y la afirmación de que lo reclamado se deduce de ciertos hechos que coinciden con los presupuestos fácticos de la norma jurídica cuya actuación se pide para obtener esos efectos jurídicos […]», por lo que «[…] el problema de la identidad de las pretensiones procesales, para efectos de la </w:t>
      </w:r>
      <w:r w:rsidRPr="003C611C">
        <w:rPr>
          <w:rFonts w:ascii="Arial" w:hAnsi="Arial" w:cs="Arial"/>
          <w:i/>
          <w:iCs/>
          <w:sz w:val="19"/>
          <w:szCs w:val="19"/>
        </w:rPr>
        <w:t>litis pendentia</w:t>
      </w:r>
      <w:r>
        <w:rPr>
          <w:rFonts w:ascii="Arial" w:hAnsi="Arial" w:cs="Arial"/>
          <w:sz w:val="19"/>
          <w:szCs w:val="19"/>
        </w:rPr>
        <w:t xml:space="preserve"> y la cosa juzgada, lo mismo que la determinación de la congruencia de la sentencia, se vincula a la </w:t>
      </w:r>
      <w:r w:rsidRPr="003C611C">
        <w:rPr>
          <w:rFonts w:ascii="Arial" w:hAnsi="Arial" w:cs="Arial"/>
          <w:i/>
          <w:iCs/>
          <w:sz w:val="19"/>
          <w:szCs w:val="19"/>
        </w:rPr>
        <w:t>peticiones</w:t>
      </w:r>
      <w:r>
        <w:rPr>
          <w:rFonts w:ascii="Arial" w:hAnsi="Arial" w:cs="Arial"/>
          <w:sz w:val="19"/>
          <w:szCs w:val="19"/>
        </w:rPr>
        <w:t xml:space="preserve"> u objeto de la pretensión y a los fundamentos o la razón de hecho o </w:t>
      </w:r>
      <w:r w:rsidRPr="00B1586E">
        <w:rPr>
          <w:rFonts w:ascii="Arial" w:hAnsi="Arial" w:cs="Arial"/>
          <w:i/>
          <w:iCs/>
          <w:sz w:val="19"/>
          <w:szCs w:val="19"/>
        </w:rPr>
        <w:t>causa petendi</w:t>
      </w:r>
      <w:r>
        <w:rPr>
          <w:rFonts w:ascii="Arial" w:hAnsi="Arial" w:cs="Arial"/>
          <w:sz w:val="19"/>
          <w:szCs w:val="19"/>
        </w:rPr>
        <w:t xml:space="preserve">, y no a las norma jurídicas materiales invocadas en la demanda» (Cfr. DEVIS ECHANDÍA, Hernando. Compendio de derecho procesal: teoría general del proceso. Tomo I. Decimoquinta Edición. Bogotá: Temis, 2012. pp. 198-199, cursivas dentro del texto).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5237BA" w:rsidRDefault="005237BA">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47EA"/>
    <w:rsid w:val="000072CE"/>
    <w:rsid w:val="000100E8"/>
    <w:rsid w:val="00010A06"/>
    <w:rsid w:val="00010D30"/>
    <w:rsid w:val="00021180"/>
    <w:rsid w:val="00023057"/>
    <w:rsid w:val="00024771"/>
    <w:rsid w:val="0003091B"/>
    <w:rsid w:val="000333A2"/>
    <w:rsid w:val="0003625C"/>
    <w:rsid w:val="00036E73"/>
    <w:rsid w:val="00040C88"/>
    <w:rsid w:val="00040D6E"/>
    <w:rsid w:val="00042C0C"/>
    <w:rsid w:val="00043A4D"/>
    <w:rsid w:val="00044FF2"/>
    <w:rsid w:val="000466AC"/>
    <w:rsid w:val="00047050"/>
    <w:rsid w:val="00051D31"/>
    <w:rsid w:val="00054B43"/>
    <w:rsid w:val="00054E9A"/>
    <w:rsid w:val="00061E34"/>
    <w:rsid w:val="00061EE4"/>
    <w:rsid w:val="00062B0D"/>
    <w:rsid w:val="0006519B"/>
    <w:rsid w:val="000763E2"/>
    <w:rsid w:val="00076F69"/>
    <w:rsid w:val="00086A16"/>
    <w:rsid w:val="00091570"/>
    <w:rsid w:val="00091D8F"/>
    <w:rsid w:val="000929DE"/>
    <w:rsid w:val="00093E58"/>
    <w:rsid w:val="00097CD6"/>
    <w:rsid w:val="000A1DBA"/>
    <w:rsid w:val="000A3B96"/>
    <w:rsid w:val="000A6338"/>
    <w:rsid w:val="000A6B6F"/>
    <w:rsid w:val="000C0E39"/>
    <w:rsid w:val="000C3D66"/>
    <w:rsid w:val="000C51AF"/>
    <w:rsid w:val="000C5830"/>
    <w:rsid w:val="000C5C37"/>
    <w:rsid w:val="000D088F"/>
    <w:rsid w:val="000E4A3C"/>
    <w:rsid w:val="000E5BB2"/>
    <w:rsid w:val="000E6867"/>
    <w:rsid w:val="000F1B34"/>
    <w:rsid w:val="000F1E3D"/>
    <w:rsid w:val="000F211E"/>
    <w:rsid w:val="00100AEC"/>
    <w:rsid w:val="00103CA7"/>
    <w:rsid w:val="001056C0"/>
    <w:rsid w:val="00107607"/>
    <w:rsid w:val="00112597"/>
    <w:rsid w:val="0012074A"/>
    <w:rsid w:val="0012181C"/>
    <w:rsid w:val="001321AB"/>
    <w:rsid w:val="00140E57"/>
    <w:rsid w:val="00141B19"/>
    <w:rsid w:val="00141C64"/>
    <w:rsid w:val="001427E8"/>
    <w:rsid w:val="00142E4E"/>
    <w:rsid w:val="0014462B"/>
    <w:rsid w:val="00146D5B"/>
    <w:rsid w:val="0015466A"/>
    <w:rsid w:val="001573F8"/>
    <w:rsid w:val="00163EED"/>
    <w:rsid w:val="00164E79"/>
    <w:rsid w:val="00166C81"/>
    <w:rsid w:val="0017603D"/>
    <w:rsid w:val="00181A3E"/>
    <w:rsid w:val="00185441"/>
    <w:rsid w:val="001865DB"/>
    <w:rsid w:val="00194C50"/>
    <w:rsid w:val="00196FB5"/>
    <w:rsid w:val="001B2E5D"/>
    <w:rsid w:val="001B53BD"/>
    <w:rsid w:val="001B5E36"/>
    <w:rsid w:val="001C1D25"/>
    <w:rsid w:val="001D38A0"/>
    <w:rsid w:val="001D5ECE"/>
    <w:rsid w:val="001D7420"/>
    <w:rsid w:val="001E1C6D"/>
    <w:rsid w:val="001E3F37"/>
    <w:rsid w:val="001E44A9"/>
    <w:rsid w:val="001E5745"/>
    <w:rsid w:val="001E5DBB"/>
    <w:rsid w:val="001E7044"/>
    <w:rsid w:val="001F1051"/>
    <w:rsid w:val="001F1A2D"/>
    <w:rsid w:val="001F34A8"/>
    <w:rsid w:val="001F40B2"/>
    <w:rsid w:val="001F4B99"/>
    <w:rsid w:val="00200F92"/>
    <w:rsid w:val="002034AD"/>
    <w:rsid w:val="00203BF1"/>
    <w:rsid w:val="00203F46"/>
    <w:rsid w:val="00207033"/>
    <w:rsid w:val="00210D66"/>
    <w:rsid w:val="00217339"/>
    <w:rsid w:val="002239B4"/>
    <w:rsid w:val="00227D08"/>
    <w:rsid w:val="0023008F"/>
    <w:rsid w:val="0023180C"/>
    <w:rsid w:val="00234C6C"/>
    <w:rsid w:val="0023576D"/>
    <w:rsid w:val="00237522"/>
    <w:rsid w:val="00244A28"/>
    <w:rsid w:val="002466F4"/>
    <w:rsid w:val="00247EBA"/>
    <w:rsid w:val="0025095A"/>
    <w:rsid w:val="00251547"/>
    <w:rsid w:val="002532DE"/>
    <w:rsid w:val="00265031"/>
    <w:rsid w:val="00266277"/>
    <w:rsid w:val="002711ED"/>
    <w:rsid w:val="002723C7"/>
    <w:rsid w:val="00273277"/>
    <w:rsid w:val="002807AD"/>
    <w:rsid w:val="00283163"/>
    <w:rsid w:val="0028403E"/>
    <w:rsid w:val="00284C12"/>
    <w:rsid w:val="00286834"/>
    <w:rsid w:val="00286FAD"/>
    <w:rsid w:val="00297358"/>
    <w:rsid w:val="002A153A"/>
    <w:rsid w:val="002A2A80"/>
    <w:rsid w:val="002A6417"/>
    <w:rsid w:val="002A6631"/>
    <w:rsid w:val="002B1DDF"/>
    <w:rsid w:val="002B282F"/>
    <w:rsid w:val="002B4B30"/>
    <w:rsid w:val="002B56DF"/>
    <w:rsid w:val="002B79E1"/>
    <w:rsid w:val="002B7D1F"/>
    <w:rsid w:val="002C004E"/>
    <w:rsid w:val="002C441F"/>
    <w:rsid w:val="002D06BB"/>
    <w:rsid w:val="002E320B"/>
    <w:rsid w:val="002E67C5"/>
    <w:rsid w:val="002E7BC2"/>
    <w:rsid w:val="002F1C33"/>
    <w:rsid w:val="002F2DB4"/>
    <w:rsid w:val="002F63BB"/>
    <w:rsid w:val="002F6C10"/>
    <w:rsid w:val="002F6DBB"/>
    <w:rsid w:val="002F701E"/>
    <w:rsid w:val="003001AC"/>
    <w:rsid w:val="00302F9F"/>
    <w:rsid w:val="00303EC5"/>
    <w:rsid w:val="00304386"/>
    <w:rsid w:val="00312203"/>
    <w:rsid w:val="00312B8F"/>
    <w:rsid w:val="00326B54"/>
    <w:rsid w:val="00334E97"/>
    <w:rsid w:val="003373C2"/>
    <w:rsid w:val="003401FE"/>
    <w:rsid w:val="00340A7A"/>
    <w:rsid w:val="003417F0"/>
    <w:rsid w:val="00344791"/>
    <w:rsid w:val="00350A47"/>
    <w:rsid w:val="003535D2"/>
    <w:rsid w:val="0036125C"/>
    <w:rsid w:val="00377CD3"/>
    <w:rsid w:val="00381DFA"/>
    <w:rsid w:val="00387D0F"/>
    <w:rsid w:val="00390DCF"/>
    <w:rsid w:val="00396821"/>
    <w:rsid w:val="003A06BB"/>
    <w:rsid w:val="003A2944"/>
    <w:rsid w:val="003B0DEF"/>
    <w:rsid w:val="003C12E6"/>
    <w:rsid w:val="003C2074"/>
    <w:rsid w:val="003C3ADB"/>
    <w:rsid w:val="003C611C"/>
    <w:rsid w:val="003C7207"/>
    <w:rsid w:val="003D0670"/>
    <w:rsid w:val="003D0E4A"/>
    <w:rsid w:val="003D0E7D"/>
    <w:rsid w:val="003D11B5"/>
    <w:rsid w:val="003D134C"/>
    <w:rsid w:val="003D4164"/>
    <w:rsid w:val="003D50C3"/>
    <w:rsid w:val="003D53F8"/>
    <w:rsid w:val="003D69A5"/>
    <w:rsid w:val="003E14F9"/>
    <w:rsid w:val="003F309F"/>
    <w:rsid w:val="003F3119"/>
    <w:rsid w:val="003F4E8A"/>
    <w:rsid w:val="003F6D32"/>
    <w:rsid w:val="00411760"/>
    <w:rsid w:val="004161D4"/>
    <w:rsid w:val="0041784E"/>
    <w:rsid w:val="004208F0"/>
    <w:rsid w:val="00421EA9"/>
    <w:rsid w:val="00430B5A"/>
    <w:rsid w:val="00431C20"/>
    <w:rsid w:val="004344F0"/>
    <w:rsid w:val="0044207D"/>
    <w:rsid w:val="004439E2"/>
    <w:rsid w:val="00447FE5"/>
    <w:rsid w:val="00451231"/>
    <w:rsid w:val="004526D3"/>
    <w:rsid w:val="00456D35"/>
    <w:rsid w:val="00457CF2"/>
    <w:rsid w:val="004617B8"/>
    <w:rsid w:val="00462A87"/>
    <w:rsid w:val="00463CA6"/>
    <w:rsid w:val="00463E5F"/>
    <w:rsid w:val="0046504E"/>
    <w:rsid w:val="00467620"/>
    <w:rsid w:val="00467C7C"/>
    <w:rsid w:val="004758FE"/>
    <w:rsid w:val="00476C17"/>
    <w:rsid w:val="00480836"/>
    <w:rsid w:val="004830C8"/>
    <w:rsid w:val="004837AB"/>
    <w:rsid w:val="00483A2F"/>
    <w:rsid w:val="00490DBF"/>
    <w:rsid w:val="00491C25"/>
    <w:rsid w:val="00491F16"/>
    <w:rsid w:val="0049739C"/>
    <w:rsid w:val="004A128C"/>
    <w:rsid w:val="004A1C13"/>
    <w:rsid w:val="004A5E72"/>
    <w:rsid w:val="004A6EE1"/>
    <w:rsid w:val="004B07EC"/>
    <w:rsid w:val="004B1BEE"/>
    <w:rsid w:val="004B2AB8"/>
    <w:rsid w:val="004B5B9E"/>
    <w:rsid w:val="004D1293"/>
    <w:rsid w:val="004D1ADE"/>
    <w:rsid w:val="004D770C"/>
    <w:rsid w:val="004E0D21"/>
    <w:rsid w:val="004E370E"/>
    <w:rsid w:val="004E7EAE"/>
    <w:rsid w:val="004F31BC"/>
    <w:rsid w:val="004F4387"/>
    <w:rsid w:val="004F6F82"/>
    <w:rsid w:val="00510BF5"/>
    <w:rsid w:val="00510EDC"/>
    <w:rsid w:val="00513233"/>
    <w:rsid w:val="00515719"/>
    <w:rsid w:val="00521BA7"/>
    <w:rsid w:val="005237BA"/>
    <w:rsid w:val="00524924"/>
    <w:rsid w:val="005252E2"/>
    <w:rsid w:val="005379AD"/>
    <w:rsid w:val="005472AE"/>
    <w:rsid w:val="005505C3"/>
    <w:rsid w:val="005511D5"/>
    <w:rsid w:val="00554A31"/>
    <w:rsid w:val="005609D5"/>
    <w:rsid w:val="005678B1"/>
    <w:rsid w:val="005725CA"/>
    <w:rsid w:val="00575DC6"/>
    <w:rsid w:val="00575FF2"/>
    <w:rsid w:val="005760C8"/>
    <w:rsid w:val="005820AB"/>
    <w:rsid w:val="00585FB5"/>
    <w:rsid w:val="00590EE1"/>
    <w:rsid w:val="00591586"/>
    <w:rsid w:val="00592DB1"/>
    <w:rsid w:val="00595363"/>
    <w:rsid w:val="00595A2B"/>
    <w:rsid w:val="005A17D2"/>
    <w:rsid w:val="005A5E4A"/>
    <w:rsid w:val="005B7357"/>
    <w:rsid w:val="005C5B7C"/>
    <w:rsid w:val="005C673B"/>
    <w:rsid w:val="005D4CDB"/>
    <w:rsid w:val="005E247C"/>
    <w:rsid w:val="005F12C4"/>
    <w:rsid w:val="005F5D19"/>
    <w:rsid w:val="005F6CBF"/>
    <w:rsid w:val="00600E42"/>
    <w:rsid w:val="006018AA"/>
    <w:rsid w:val="00612D14"/>
    <w:rsid w:val="006135E6"/>
    <w:rsid w:val="00632E10"/>
    <w:rsid w:val="00632EA5"/>
    <w:rsid w:val="00635CBC"/>
    <w:rsid w:val="00637F5E"/>
    <w:rsid w:val="00644F52"/>
    <w:rsid w:val="00653B17"/>
    <w:rsid w:val="00654483"/>
    <w:rsid w:val="0065701C"/>
    <w:rsid w:val="006604A6"/>
    <w:rsid w:val="00662792"/>
    <w:rsid w:val="00664620"/>
    <w:rsid w:val="00667868"/>
    <w:rsid w:val="00671B54"/>
    <w:rsid w:val="00673DB8"/>
    <w:rsid w:val="006754AC"/>
    <w:rsid w:val="00675BFE"/>
    <w:rsid w:val="0067691D"/>
    <w:rsid w:val="006818B6"/>
    <w:rsid w:val="006824B8"/>
    <w:rsid w:val="0068288E"/>
    <w:rsid w:val="006843B8"/>
    <w:rsid w:val="006852EB"/>
    <w:rsid w:val="006929BA"/>
    <w:rsid w:val="00692ABF"/>
    <w:rsid w:val="00692BBD"/>
    <w:rsid w:val="00693313"/>
    <w:rsid w:val="0069332A"/>
    <w:rsid w:val="00694209"/>
    <w:rsid w:val="00697718"/>
    <w:rsid w:val="00697A99"/>
    <w:rsid w:val="006A1226"/>
    <w:rsid w:val="006A172E"/>
    <w:rsid w:val="006A3329"/>
    <w:rsid w:val="006A7743"/>
    <w:rsid w:val="006B150B"/>
    <w:rsid w:val="006B1785"/>
    <w:rsid w:val="006B317D"/>
    <w:rsid w:val="006B6C6A"/>
    <w:rsid w:val="006B7804"/>
    <w:rsid w:val="006B7F25"/>
    <w:rsid w:val="006C15D5"/>
    <w:rsid w:val="006C1C02"/>
    <w:rsid w:val="006C234F"/>
    <w:rsid w:val="006C2D0C"/>
    <w:rsid w:val="006C3D0C"/>
    <w:rsid w:val="006C5955"/>
    <w:rsid w:val="006D3570"/>
    <w:rsid w:val="006D3624"/>
    <w:rsid w:val="006D39A8"/>
    <w:rsid w:val="006D519D"/>
    <w:rsid w:val="006E13EF"/>
    <w:rsid w:val="006E4EE7"/>
    <w:rsid w:val="006E65C2"/>
    <w:rsid w:val="006F31BC"/>
    <w:rsid w:val="006F3802"/>
    <w:rsid w:val="006F39D0"/>
    <w:rsid w:val="006F4E05"/>
    <w:rsid w:val="006F7746"/>
    <w:rsid w:val="00702DAA"/>
    <w:rsid w:val="0070582B"/>
    <w:rsid w:val="00707A9D"/>
    <w:rsid w:val="00711157"/>
    <w:rsid w:val="00714800"/>
    <w:rsid w:val="00715B7E"/>
    <w:rsid w:val="00715F0D"/>
    <w:rsid w:val="00717930"/>
    <w:rsid w:val="0072152F"/>
    <w:rsid w:val="00721C21"/>
    <w:rsid w:val="007229FD"/>
    <w:rsid w:val="00730CDB"/>
    <w:rsid w:val="007323E9"/>
    <w:rsid w:val="00736945"/>
    <w:rsid w:val="00736C89"/>
    <w:rsid w:val="00741965"/>
    <w:rsid w:val="00741B2A"/>
    <w:rsid w:val="0074421C"/>
    <w:rsid w:val="00745744"/>
    <w:rsid w:val="00745A21"/>
    <w:rsid w:val="0075032A"/>
    <w:rsid w:val="00750C12"/>
    <w:rsid w:val="00754433"/>
    <w:rsid w:val="00763652"/>
    <w:rsid w:val="00764BF7"/>
    <w:rsid w:val="00764EA5"/>
    <w:rsid w:val="007650D8"/>
    <w:rsid w:val="00766030"/>
    <w:rsid w:val="00770D7D"/>
    <w:rsid w:val="00771030"/>
    <w:rsid w:val="00772497"/>
    <w:rsid w:val="007745AE"/>
    <w:rsid w:val="007754C3"/>
    <w:rsid w:val="007768FE"/>
    <w:rsid w:val="00787726"/>
    <w:rsid w:val="007902C3"/>
    <w:rsid w:val="00790BB8"/>
    <w:rsid w:val="00791377"/>
    <w:rsid w:val="007915BB"/>
    <w:rsid w:val="00795C86"/>
    <w:rsid w:val="007A45E7"/>
    <w:rsid w:val="007B1754"/>
    <w:rsid w:val="007B4AAA"/>
    <w:rsid w:val="007C6894"/>
    <w:rsid w:val="007D3B8C"/>
    <w:rsid w:val="007D62C7"/>
    <w:rsid w:val="007E001D"/>
    <w:rsid w:val="007F1276"/>
    <w:rsid w:val="007F5F0C"/>
    <w:rsid w:val="007F7AC6"/>
    <w:rsid w:val="008007EE"/>
    <w:rsid w:val="00803061"/>
    <w:rsid w:val="008057D4"/>
    <w:rsid w:val="00807EEE"/>
    <w:rsid w:val="008103E9"/>
    <w:rsid w:val="008135F4"/>
    <w:rsid w:val="00813893"/>
    <w:rsid w:val="00813DDA"/>
    <w:rsid w:val="0082266E"/>
    <w:rsid w:val="008234E2"/>
    <w:rsid w:val="00824361"/>
    <w:rsid w:val="00825FD3"/>
    <w:rsid w:val="00826793"/>
    <w:rsid w:val="0083146F"/>
    <w:rsid w:val="008327EE"/>
    <w:rsid w:val="00833F8E"/>
    <w:rsid w:val="0083539E"/>
    <w:rsid w:val="00836E71"/>
    <w:rsid w:val="00837EBE"/>
    <w:rsid w:val="00842E74"/>
    <w:rsid w:val="00843BE5"/>
    <w:rsid w:val="008535C9"/>
    <w:rsid w:val="008561E0"/>
    <w:rsid w:val="00856B64"/>
    <w:rsid w:val="00860A39"/>
    <w:rsid w:val="0086177D"/>
    <w:rsid w:val="00862463"/>
    <w:rsid w:val="00863DD9"/>
    <w:rsid w:val="00865960"/>
    <w:rsid w:val="00866446"/>
    <w:rsid w:val="0086741B"/>
    <w:rsid w:val="00871568"/>
    <w:rsid w:val="00872D25"/>
    <w:rsid w:val="00881CD2"/>
    <w:rsid w:val="00885C88"/>
    <w:rsid w:val="00886E66"/>
    <w:rsid w:val="00886F29"/>
    <w:rsid w:val="00887A55"/>
    <w:rsid w:val="00887AE5"/>
    <w:rsid w:val="008917A3"/>
    <w:rsid w:val="00891A49"/>
    <w:rsid w:val="00897DAB"/>
    <w:rsid w:val="008A0633"/>
    <w:rsid w:val="008A275F"/>
    <w:rsid w:val="008A3386"/>
    <w:rsid w:val="008A53F2"/>
    <w:rsid w:val="008B09B1"/>
    <w:rsid w:val="008B4387"/>
    <w:rsid w:val="008B6430"/>
    <w:rsid w:val="008C24B6"/>
    <w:rsid w:val="008C487C"/>
    <w:rsid w:val="008C4C28"/>
    <w:rsid w:val="008D11E3"/>
    <w:rsid w:val="008D28AD"/>
    <w:rsid w:val="008D3473"/>
    <w:rsid w:val="008D575A"/>
    <w:rsid w:val="008D7A9D"/>
    <w:rsid w:val="008E0FCC"/>
    <w:rsid w:val="008E2FE3"/>
    <w:rsid w:val="008E5698"/>
    <w:rsid w:val="008E5F34"/>
    <w:rsid w:val="008E7D3F"/>
    <w:rsid w:val="008F00CF"/>
    <w:rsid w:val="008F2267"/>
    <w:rsid w:val="008F3EE2"/>
    <w:rsid w:val="008F4B08"/>
    <w:rsid w:val="008F5D4C"/>
    <w:rsid w:val="008F67FD"/>
    <w:rsid w:val="00903E02"/>
    <w:rsid w:val="00905A7E"/>
    <w:rsid w:val="00905B18"/>
    <w:rsid w:val="00905B2F"/>
    <w:rsid w:val="009231E0"/>
    <w:rsid w:val="00923548"/>
    <w:rsid w:val="00923B70"/>
    <w:rsid w:val="00925293"/>
    <w:rsid w:val="00930B6C"/>
    <w:rsid w:val="00930E4B"/>
    <w:rsid w:val="009436DA"/>
    <w:rsid w:val="0094508D"/>
    <w:rsid w:val="00946E85"/>
    <w:rsid w:val="0094787E"/>
    <w:rsid w:val="00947C5C"/>
    <w:rsid w:val="009506A7"/>
    <w:rsid w:val="0095113A"/>
    <w:rsid w:val="00954CF5"/>
    <w:rsid w:val="0096646C"/>
    <w:rsid w:val="00967230"/>
    <w:rsid w:val="00972087"/>
    <w:rsid w:val="00972C13"/>
    <w:rsid w:val="0097456D"/>
    <w:rsid w:val="00974A47"/>
    <w:rsid w:val="00976BF4"/>
    <w:rsid w:val="009812D7"/>
    <w:rsid w:val="00982E99"/>
    <w:rsid w:val="009865A8"/>
    <w:rsid w:val="009947D1"/>
    <w:rsid w:val="00996159"/>
    <w:rsid w:val="009A5714"/>
    <w:rsid w:val="009A5DA7"/>
    <w:rsid w:val="009B1AEC"/>
    <w:rsid w:val="009B7329"/>
    <w:rsid w:val="009C0F6B"/>
    <w:rsid w:val="009C1FFE"/>
    <w:rsid w:val="009C27A9"/>
    <w:rsid w:val="009C68EF"/>
    <w:rsid w:val="009D16ED"/>
    <w:rsid w:val="009D1D57"/>
    <w:rsid w:val="009D4F8F"/>
    <w:rsid w:val="009D79AA"/>
    <w:rsid w:val="009E2544"/>
    <w:rsid w:val="009E2770"/>
    <w:rsid w:val="009E467C"/>
    <w:rsid w:val="009E4710"/>
    <w:rsid w:val="009E4A43"/>
    <w:rsid w:val="009E6225"/>
    <w:rsid w:val="009F2261"/>
    <w:rsid w:val="009F3537"/>
    <w:rsid w:val="009F6ADC"/>
    <w:rsid w:val="009F78A4"/>
    <w:rsid w:val="00A032F8"/>
    <w:rsid w:val="00A10347"/>
    <w:rsid w:val="00A14C36"/>
    <w:rsid w:val="00A158AB"/>
    <w:rsid w:val="00A25657"/>
    <w:rsid w:val="00A304BE"/>
    <w:rsid w:val="00A329B6"/>
    <w:rsid w:val="00A367A1"/>
    <w:rsid w:val="00A40178"/>
    <w:rsid w:val="00A415D2"/>
    <w:rsid w:val="00A460BA"/>
    <w:rsid w:val="00A46FE1"/>
    <w:rsid w:val="00A510F6"/>
    <w:rsid w:val="00A54828"/>
    <w:rsid w:val="00A57F74"/>
    <w:rsid w:val="00A651C9"/>
    <w:rsid w:val="00A67D0F"/>
    <w:rsid w:val="00A70E2D"/>
    <w:rsid w:val="00A73161"/>
    <w:rsid w:val="00A740E7"/>
    <w:rsid w:val="00A80739"/>
    <w:rsid w:val="00A83829"/>
    <w:rsid w:val="00A862C0"/>
    <w:rsid w:val="00A862CB"/>
    <w:rsid w:val="00A87EE1"/>
    <w:rsid w:val="00A9000F"/>
    <w:rsid w:val="00A91A20"/>
    <w:rsid w:val="00A9229F"/>
    <w:rsid w:val="00A95100"/>
    <w:rsid w:val="00AA0652"/>
    <w:rsid w:val="00AA2A39"/>
    <w:rsid w:val="00AA2C16"/>
    <w:rsid w:val="00AA615B"/>
    <w:rsid w:val="00AA6272"/>
    <w:rsid w:val="00AB0DED"/>
    <w:rsid w:val="00AB14AB"/>
    <w:rsid w:val="00AC0C81"/>
    <w:rsid w:val="00AC1B48"/>
    <w:rsid w:val="00AC29D6"/>
    <w:rsid w:val="00AC43E7"/>
    <w:rsid w:val="00AD1E1B"/>
    <w:rsid w:val="00AD54C3"/>
    <w:rsid w:val="00AD7725"/>
    <w:rsid w:val="00AE0522"/>
    <w:rsid w:val="00AE668A"/>
    <w:rsid w:val="00AE6858"/>
    <w:rsid w:val="00AE7EF0"/>
    <w:rsid w:val="00AF0A55"/>
    <w:rsid w:val="00AF2EFF"/>
    <w:rsid w:val="00AF41B6"/>
    <w:rsid w:val="00AF5C62"/>
    <w:rsid w:val="00AF643C"/>
    <w:rsid w:val="00AF6B2F"/>
    <w:rsid w:val="00AF7270"/>
    <w:rsid w:val="00AF727E"/>
    <w:rsid w:val="00B00055"/>
    <w:rsid w:val="00B13C71"/>
    <w:rsid w:val="00B14450"/>
    <w:rsid w:val="00B1586E"/>
    <w:rsid w:val="00B17BC5"/>
    <w:rsid w:val="00B20582"/>
    <w:rsid w:val="00B2158C"/>
    <w:rsid w:val="00B217CA"/>
    <w:rsid w:val="00B24E57"/>
    <w:rsid w:val="00B30D96"/>
    <w:rsid w:val="00B42B2C"/>
    <w:rsid w:val="00B5123E"/>
    <w:rsid w:val="00B51B58"/>
    <w:rsid w:val="00B522C4"/>
    <w:rsid w:val="00B52B0E"/>
    <w:rsid w:val="00B5337D"/>
    <w:rsid w:val="00B533F4"/>
    <w:rsid w:val="00B62BEA"/>
    <w:rsid w:val="00B64B90"/>
    <w:rsid w:val="00B65290"/>
    <w:rsid w:val="00B70E26"/>
    <w:rsid w:val="00B72758"/>
    <w:rsid w:val="00B7517F"/>
    <w:rsid w:val="00B861DA"/>
    <w:rsid w:val="00B86CB5"/>
    <w:rsid w:val="00B86D58"/>
    <w:rsid w:val="00B8745F"/>
    <w:rsid w:val="00B90754"/>
    <w:rsid w:val="00B93013"/>
    <w:rsid w:val="00B936F7"/>
    <w:rsid w:val="00B9416B"/>
    <w:rsid w:val="00B9572C"/>
    <w:rsid w:val="00B9782C"/>
    <w:rsid w:val="00B97D95"/>
    <w:rsid w:val="00B97E3C"/>
    <w:rsid w:val="00BA0158"/>
    <w:rsid w:val="00BA04F9"/>
    <w:rsid w:val="00BA7E78"/>
    <w:rsid w:val="00BB0833"/>
    <w:rsid w:val="00BB0EA7"/>
    <w:rsid w:val="00BB4CDF"/>
    <w:rsid w:val="00BB595B"/>
    <w:rsid w:val="00BB59F9"/>
    <w:rsid w:val="00BC15B8"/>
    <w:rsid w:val="00BC5279"/>
    <w:rsid w:val="00BC6C4E"/>
    <w:rsid w:val="00BC7B6A"/>
    <w:rsid w:val="00BD0EAC"/>
    <w:rsid w:val="00BD31AB"/>
    <w:rsid w:val="00BD58A7"/>
    <w:rsid w:val="00BD6EE4"/>
    <w:rsid w:val="00BE1E33"/>
    <w:rsid w:val="00BE2AD3"/>
    <w:rsid w:val="00BE36F7"/>
    <w:rsid w:val="00BF19F3"/>
    <w:rsid w:val="00BF2443"/>
    <w:rsid w:val="00C01BC4"/>
    <w:rsid w:val="00C07755"/>
    <w:rsid w:val="00C07B5E"/>
    <w:rsid w:val="00C10D3E"/>
    <w:rsid w:val="00C10DE8"/>
    <w:rsid w:val="00C12201"/>
    <w:rsid w:val="00C12946"/>
    <w:rsid w:val="00C12AD2"/>
    <w:rsid w:val="00C1405A"/>
    <w:rsid w:val="00C14F61"/>
    <w:rsid w:val="00C31412"/>
    <w:rsid w:val="00C362A0"/>
    <w:rsid w:val="00C365AF"/>
    <w:rsid w:val="00C367CD"/>
    <w:rsid w:val="00C42740"/>
    <w:rsid w:val="00C4526C"/>
    <w:rsid w:val="00C50B1B"/>
    <w:rsid w:val="00C50C99"/>
    <w:rsid w:val="00C52801"/>
    <w:rsid w:val="00C60C0C"/>
    <w:rsid w:val="00C61C54"/>
    <w:rsid w:val="00C6210F"/>
    <w:rsid w:val="00C745C6"/>
    <w:rsid w:val="00C750BA"/>
    <w:rsid w:val="00C7706E"/>
    <w:rsid w:val="00C826EF"/>
    <w:rsid w:val="00C8442D"/>
    <w:rsid w:val="00C85287"/>
    <w:rsid w:val="00C85FA6"/>
    <w:rsid w:val="00C911F3"/>
    <w:rsid w:val="00C95AC9"/>
    <w:rsid w:val="00C964DE"/>
    <w:rsid w:val="00C96F18"/>
    <w:rsid w:val="00CA4545"/>
    <w:rsid w:val="00CA51AC"/>
    <w:rsid w:val="00CA51DE"/>
    <w:rsid w:val="00CA5790"/>
    <w:rsid w:val="00CA634C"/>
    <w:rsid w:val="00CA652B"/>
    <w:rsid w:val="00CA75F5"/>
    <w:rsid w:val="00CA7BFF"/>
    <w:rsid w:val="00CB5EB2"/>
    <w:rsid w:val="00CC0C56"/>
    <w:rsid w:val="00CC11B6"/>
    <w:rsid w:val="00CC4245"/>
    <w:rsid w:val="00CC5565"/>
    <w:rsid w:val="00CD23FE"/>
    <w:rsid w:val="00CE35D5"/>
    <w:rsid w:val="00CF09D9"/>
    <w:rsid w:val="00CF182A"/>
    <w:rsid w:val="00CF326B"/>
    <w:rsid w:val="00D029D8"/>
    <w:rsid w:val="00D0300E"/>
    <w:rsid w:val="00D0763E"/>
    <w:rsid w:val="00D11186"/>
    <w:rsid w:val="00D12644"/>
    <w:rsid w:val="00D134CC"/>
    <w:rsid w:val="00D14C1E"/>
    <w:rsid w:val="00D24682"/>
    <w:rsid w:val="00D24F06"/>
    <w:rsid w:val="00D25AEF"/>
    <w:rsid w:val="00D31785"/>
    <w:rsid w:val="00D32391"/>
    <w:rsid w:val="00D349EE"/>
    <w:rsid w:val="00D35298"/>
    <w:rsid w:val="00D36296"/>
    <w:rsid w:val="00D36DC3"/>
    <w:rsid w:val="00D4126F"/>
    <w:rsid w:val="00D418AD"/>
    <w:rsid w:val="00D42C1B"/>
    <w:rsid w:val="00D44227"/>
    <w:rsid w:val="00D4528E"/>
    <w:rsid w:val="00D46629"/>
    <w:rsid w:val="00D51D54"/>
    <w:rsid w:val="00D527DA"/>
    <w:rsid w:val="00D56D47"/>
    <w:rsid w:val="00D57835"/>
    <w:rsid w:val="00D60CF3"/>
    <w:rsid w:val="00D655FB"/>
    <w:rsid w:val="00D70FB4"/>
    <w:rsid w:val="00D73854"/>
    <w:rsid w:val="00D73A38"/>
    <w:rsid w:val="00D74A1C"/>
    <w:rsid w:val="00D815C1"/>
    <w:rsid w:val="00D82E7D"/>
    <w:rsid w:val="00D85C85"/>
    <w:rsid w:val="00D85E33"/>
    <w:rsid w:val="00D866EC"/>
    <w:rsid w:val="00D9096A"/>
    <w:rsid w:val="00D90D44"/>
    <w:rsid w:val="00D928CF"/>
    <w:rsid w:val="00D92F6C"/>
    <w:rsid w:val="00D95879"/>
    <w:rsid w:val="00D97A6B"/>
    <w:rsid w:val="00DA2FA3"/>
    <w:rsid w:val="00DA7875"/>
    <w:rsid w:val="00DB0AD7"/>
    <w:rsid w:val="00DB751D"/>
    <w:rsid w:val="00DC09BD"/>
    <w:rsid w:val="00DC162E"/>
    <w:rsid w:val="00DC35CE"/>
    <w:rsid w:val="00DC4C93"/>
    <w:rsid w:val="00DC679E"/>
    <w:rsid w:val="00DD0E98"/>
    <w:rsid w:val="00DD1004"/>
    <w:rsid w:val="00DD14BC"/>
    <w:rsid w:val="00DE3F87"/>
    <w:rsid w:val="00DE5013"/>
    <w:rsid w:val="00DE64DE"/>
    <w:rsid w:val="00DE73B4"/>
    <w:rsid w:val="00DE787B"/>
    <w:rsid w:val="00DE7AB4"/>
    <w:rsid w:val="00DF4D86"/>
    <w:rsid w:val="00DF63E3"/>
    <w:rsid w:val="00DF6B09"/>
    <w:rsid w:val="00E00B41"/>
    <w:rsid w:val="00E01D84"/>
    <w:rsid w:val="00E048AB"/>
    <w:rsid w:val="00E05344"/>
    <w:rsid w:val="00E104CD"/>
    <w:rsid w:val="00E111AA"/>
    <w:rsid w:val="00E137BB"/>
    <w:rsid w:val="00E20266"/>
    <w:rsid w:val="00E235DD"/>
    <w:rsid w:val="00E261CD"/>
    <w:rsid w:val="00E30356"/>
    <w:rsid w:val="00E3199C"/>
    <w:rsid w:val="00E34732"/>
    <w:rsid w:val="00E41E74"/>
    <w:rsid w:val="00E42D0B"/>
    <w:rsid w:val="00E441BF"/>
    <w:rsid w:val="00E5029D"/>
    <w:rsid w:val="00E528C8"/>
    <w:rsid w:val="00E56980"/>
    <w:rsid w:val="00E56B59"/>
    <w:rsid w:val="00E62D29"/>
    <w:rsid w:val="00E64988"/>
    <w:rsid w:val="00E64A38"/>
    <w:rsid w:val="00E719F6"/>
    <w:rsid w:val="00E72ACE"/>
    <w:rsid w:val="00E7345E"/>
    <w:rsid w:val="00E756AC"/>
    <w:rsid w:val="00E8168D"/>
    <w:rsid w:val="00E8381A"/>
    <w:rsid w:val="00E847F2"/>
    <w:rsid w:val="00E87596"/>
    <w:rsid w:val="00E87794"/>
    <w:rsid w:val="00E9480E"/>
    <w:rsid w:val="00E96422"/>
    <w:rsid w:val="00E97B21"/>
    <w:rsid w:val="00EA495B"/>
    <w:rsid w:val="00EA5A59"/>
    <w:rsid w:val="00EA62F1"/>
    <w:rsid w:val="00EA661C"/>
    <w:rsid w:val="00EB3D8F"/>
    <w:rsid w:val="00ED0FE3"/>
    <w:rsid w:val="00ED1DBA"/>
    <w:rsid w:val="00ED3F7E"/>
    <w:rsid w:val="00ED4715"/>
    <w:rsid w:val="00ED7ACF"/>
    <w:rsid w:val="00EE3B97"/>
    <w:rsid w:val="00EF2CA6"/>
    <w:rsid w:val="00EF7502"/>
    <w:rsid w:val="00F02034"/>
    <w:rsid w:val="00F03E21"/>
    <w:rsid w:val="00F0411C"/>
    <w:rsid w:val="00F117B1"/>
    <w:rsid w:val="00F134F9"/>
    <w:rsid w:val="00F2461C"/>
    <w:rsid w:val="00F24C62"/>
    <w:rsid w:val="00F24FC8"/>
    <w:rsid w:val="00F331F0"/>
    <w:rsid w:val="00F34138"/>
    <w:rsid w:val="00F35E57"/>
    <w:rsid w:val="00F44566"/>
    <w:rsid w:val="00F460A6"/>
    <w:rsid w:val="00F47ACE"/>
    <w:rsid w:val="00F47FCE"/>
    <w:rsid w:val="00F501D2"/>
    <w:rsid w:val="00F5266F"/>
    <w:rsid w:val="00F52BC9"/>
    <w:rsid w:val="00F557C0"/>
    <w:rsid w:val="00F56447"/>
    <w:rsid w:val="00F56A1D"/>
    <w:rsid w:val="00F5798C"/>
    <w:rsid w:val="00F617AC"/>
    <w:rsid w:val="00F61A04"/>
    <w:rsid w:val="00F64055"/>
    <w:rsid w:val="00F6564C"/>
    <w:rsid w:val="00F710C6"/>
    <w:rsid w:val="00F722BD"/>
    <w:rsid w:val="00F72873"/>
    <w:rsid w:val="00F73620"/>
    <w:rsid w:val="00F758ED"/>
    <w:rsid w:val="00F87415"/>
    <w:rsid w:val="00F91CF0"/>
    <w:rsid w:val="00F9481A"/>
    <w:rsid w:val="00F956D1"/>
    <w:rsid w:val="00F9687F"/>
    <w:rsid w:val="00F97F15"/>
    <w:rsid w:val="00FA08DE"/>
    <w:rsid w:val="00FA0CF5"/>
    <w:rsid w:val="00FA770D"/>
    <w:rsid w:val="00FB328E"/>
    <w:rsid w:val="00FB3430"/>
    <w:rsid w:val="00FB5E18"/>
    <w:rsid w:val="00FC1567"/>
    <w:rsid w:val="00FC2626"/>
    <w:rsid w:val="00FC3766"/>
    <w:rsid w:val="00FC755D"/>
    <w:rsid w:val="00FD386C"/>
    <w:rsid w:val="00FD3922"/>
    <w:rsid w:val="00FD6452"/>
    <w:rsid w:val="00FF0A4E"/>
    <w:rsid w:val="00FF14A6"/>
    <w:rsid w:val="00FF37A3"/>
    <w:rsid w:val="00FF3F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1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244F08C-2089-4F3F-8BCA-794157DD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4027</TotalTime>
  <Pages>11</Pages>
  <Words>4346</Words>
  <Characters>23909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570</cp:revision>
  <cp:lastPrinted>2020-03-17T17:42:00Z</cp:lastPrinted>
  <dcterms:created xsi:type="dcterms:W3CDTF">2020-03-17T17:21:00Z</dcterms:created>
  <dcterms:modified xsi:type="dcterms:W3CDTF">2020-08-10T13:19:00Z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