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750A" w14:textId="619ECDD2" w:rsidR="00A1118B" w:rsidRDefault="008E5591" w:rsidP="00A1118B">
      <w:pPr>
        <w:spacing w:line="276" w:lineRule="auto"/>
        <w:jc w:val="right"/>
        <w:rPr>
          <w:rFonts w:ascii="Arial" w:eastAsia="Times New Roman" w:hAnsi="Arial" w:cs="Arial"/>
          <w:b/>
          <w:bCs/>
          <w:sz w:val="16"/>
          <w:szCs w:val="16"/>
          <w:lang w:val="es-CO" w:eastAsia="es-ES"/>
        </w:rPr>
      </w:pPr>
      <w:r w:rsidRPr="00B83204">
        <w:rPr>
          <w:rFonts w:ascii="Arial" w:eastAsia="Times New Roman" w:hAnsi="Arial" w:cs="Arial"/>
          <w:b/>
          <w:bCs/>
          <w:sz w:val="16"/>
          <w:szCs w:val="16"/>
          <w:lang w:val="es-CO" w:eastAsia="es-ES"/>
        </w:rPr>
        <w:t xml:space="preserve">                                                                                                                                              </w:t>
      </w:r>
      <w:r w:rsidR="00A1118B" w:rsidRPr="00B83204">
        <w:rPr>
          <w:rFonts w:ascii="Arial" w:eastAsia="Times New Roman" w:hAnsi="Arial" w:cs="Arial"/>
          <w:b/>
          <w:bCs/>
          <w:sz w:val="16"/>
          <w:szCs w:val="16"/>
          <w:lang w:val="es-CO" w:eastAsia="es-ES"/>
        </w:rPr>
        <w:t>CCE-DES-FM-17</w:t>
      </w:r>
    </w:p>
    <w:p w14:paraId="244AE714" w14:textId="77777777" w:rsidR="00B83204" w:rsidRPr="00B83204" w:rsidRDefault="00B83204" w:rsidP="00A1118B">
      <w:pPr>
        <w:spacing w:line="276" w:lineRule="auto"/>
        <w:jc w:val="right"/>
        <w:rPr>
          <w:rFonts w:ascii="Arial" w:eastAsia="Calibri" w:hAnsi="Arial" w:cs="Arial"/>
          <w:b/>
          <w:bCs/>
          <w:sz w:val="16"/>
          <w:szCs w:val="16"/>
          <w:lang w:val="es-CO"/>
        </w:rPr>
      </w:pPr>
    </w:p>
    <w:p w14:paraId="2A9FD4E0" w14:textId="4A9891F1" w:rsidR="00A1118B" w:rsidRPr="009A4AB9" w:rsidRDefault="46DD32C1" w:rsidP="0F674074">
      <w:pPr>
        <w:jc w:val="both"/>
        <w:rPr>
          <w:rFonts w:ascii="Arial" w:eastAsia="Calibri" w:hAnsi="Arial" w:cs="Arial"/>
          <w:b/>
          <w:bCs/>
          <w:sz w:val="22"/>
          <w:lang w:val="es-CO"/>
        </w:rPr>
      </w:pPr>
      <w:r w:rsidRPr="0F674074">
        <w:rPr>
          <w:rFonts w:ascii="Arial" w:eastAsia="Calibri" w:hAnsi="Arial" w:cs="Arial"/>
          <w:b/>
          <w:bCs/>
          <w:sz w:val="22"/>
          <w:lang w:val="es-CO"/>
        </w:rPr>
        <w:t xml:space="preserve">REGISTRO ÚNICO DE PROPONENTES </w:t>
      </w:r>
      <w:r w:rsidR="00A1118B" w:rsidRPr="0F674074">
        <w:rPr>
          <w:rFonts w:ascii="Arial" w:eastAsia="Calibri" w:hAnsi="Arial" w:cs="Arial"/>
          <w:b/>
          <w:bCs/>
          <w:sz w:val="22"/>
          <w:lang w:val="es-CO"/>
        </w:rPr>
        <w:t xml:space="preserve">– </w:t>
      </w:r>
      <w:r w:rsidR="003D3EBE" w:rsidRPr="0F674074">
        <w:rPr>
          <w:rFonts w:ascii="Arial" w:eastAsia="Calibri" w:hAnsi="Arial" w:cs="Arial"/>
          <w:b/>
          <w:bCs/>
          <w:sz w:val="22"/>
          <w:lang w:val="es-CO"/>
        </w:rPr>
        <w:t>R</w:t>
      </w:r>
      <w:r w:rsidR="00A1118B" w:rsidRPr="0F674074">
        <w:rPr>
          <w:rFonts w:ascii="Arial" w:eastAsia="Calibri" w:hAnsi="Arial" w:cs="Arial"/>
          <w:b/>
          <w:bCs/>
          <w:sz w:val="22"/>
          <w:lang w:val="es-CO"/>
        </w:rPr>
        <w:t xml:space="preserve">enovación – </w:t>
      </w:r>
      <w:r w:rsidR="003D3EBE" w:rsidRPr="0F674074">
        <w:rPr>
          <w:rFonts w:ascii="Arial" w:eastAsia="Calibri" w:hAnsi="Arial" w:cs="Arial"/>
          <w:b/>
          <w:bCs/>
          <w:sz w:val="22"/>
          <w:lang w:val="es-CO"/>
        </w:rPr>
        <w:t>F</w:t>
      </w:r>
      <w:r w:rsidR="00A1118B" w:rsidRPr="0F674074">
        <w:rPr>
          <w:rFonts w:ascii="Arial" w:eastAsia="Calibri" w:hAnsi="Arial" w:cs="Arial"/>
          <w:b/>
          <w:bCs/>
          <w:sz w:val="22"/>
          <w:lang w:val="es-CO"/>
        </w:rPr>
        <w:t>irmeza</w:t>
      </w:r>
    </w:p>
    <w:p w14:paraId="50B64F82" w14:textId="77777777" w:rsidR="00A1118B" w:rsidRPr="009A4AB9" w:rsidRDefault="00A1118B" w:rsidP="00A1118B">
      <w:pPr>
        <w:jc w:val="both"/>
        <w:rPr>
          <w:rFonts w:ascii="Arial" w:hAnsi="Arial" w:cs="Arial"/>
          <w:sz w:val="20"/>
          <w:szCs w:val="20"/>
          <w:lang w:val="es-CO"/>
        </w:rPr>
      </w:pPr>
    </w:p>
    <w:p w14:paraId="2E151105" w14:textId="53421A49" w:rsidR="00A1118B" w:rsidRPr="009A4AB9" w:rsidRDefault="00A1118B" w:rsidP="00A1118B">
      <w:pPr>
        <w:jc w:val="both"/>
        <w:rPr>
          <w:rFonts w:ascii="Arial" w:hAnsi="Arial" w:cs="Arial"/>
          <w:sz w:val="20"/>
          <w:szCs w:val="20"/>
          <w:lang w:val="es-CO"/>
        </w:rPr>
      </w:pPr>
      <w:r w:rsidRPr="009A4AB9">
        <w:rPr>
          <w:rFonts w:ascii="Arial" w:hAnsi="Arial" w:cs="Arial"/>
          <w:sz w:val="20"/>
          <w:szCs w:val="20"/>
          <w:lang w:val="es-CO"/>
        </w:rPr>
        <w:t>Tratándose del trámite de renovación, la persona que haya presentado la información para renovar su registro dentro de los primeros cinco días hábiles del mes de abril, cumpliendo con el requisito establecido en el artículo 2.2.1.1.1.5.1.</w:t>
      </w:r>
      <w:r w:rsidR="00B50611">
        <w:rPr>
          <w:rFonts w:ascii="Arial" w:hAnsi="Arial" w:cs="Arial"/>
          <w:sz w:val="20"/>
          <w:szCs w:val="20"/>
          <w:lang w:val="es-CO"/>
        </w:rPr>
        <w:t xml:space="preserve"> del Decreto 1082 de 2015</w:t>
      </w:r>
      <w:r w:rsidRPr="009A4AB9">
        <w:rPr>
          <w:rFonts w:ascii="Arial" w:hAnsi="Arial" w:cs="Arial"/>
          <w:sz w:val="20"/>
          <w:szCs w:val="20"/>
          <w:lang w:val="es-CO"/>
        </w:rPr>
        <w:t xml:space="preserve">, puede participar en los procedimientos de selección, debiéndose tener en cuenta la información «antigua»; de manera </w:t>
      </w:r>
      <w:proofErr w:type="gramStart"/>
      <w:r w:rsidRPr="009A4AB9">
        <w:rPr>
          <w:rFonts w:ascii="Arial" w:hAnsi="Arial" w:cs="Arial"/>
          <w:sz w:val="20"/>
          <w:szCs w:val="20"/>
          <w:lang w:val="es-CO"/>
        </w:rPr>
        <w:t>que</w:t>
      </w:r>
      <w:proofErr w:type="gramEnd"/>
      <w:r w:rsidRPr="009A4AB9">
        <w:rPr>
          <w:rFonts w:ascii="Arial" w:hAnsi="Arial" w:cs="Arial"/>
          <w:sz w:val="20"/>
          <w:szCs w:val="20"/>
          <w:lang w:val="es-CO"/>
        </w:rPr>
        <w:t xml:space="preserve"> en el período comprendido entre el momento de la solicitud de renovación y el momento de la firmeza de la nueva información, se permite que emplee la información del RUP que está en firme antes de iniciar el trámite de renovación, cuyos efectos no han cesado y se encuentra vigente.</w:t>
      </w:r>
    </w:p>
    <w:p w14:paraId="5146DA28" w14:textId="6D624545" w:rsidR="00D72BD7" w:rsidRPr="009A4AB9" w:rsidRDefault="00D72BD7" w:rsidP="00A1118B">
      <w:pPr>
        <w:jc w:val="both"/>
        <w:rPr>
          <w:rFonts w:ascii="Arial" w:hAnsi="Arial" w:cs="Arial"/>
          <w:sz w:val="22"/>
          <w:lang w:val="es-CO"/>
        </w:rPr>
      </w:pPr>
    </w:p>
    <w:p w14:paraId="6E084D97" w14:textId="2C956449" w:rsidR="00D72BD7" w:rsidRPr="009A4AB9" w:rsidRDefault="00D72BD7" w:rsidP="0F674074">
      <w:pPr>
        <w:jc w:val="both"/>
        <w:rPr>
          <w:rFonts w:ascii="Arial" w:eastAsia="Calibri" w:hAnsi="Arial" w:cs="Arial"/>
          <w:b/>
          <w:bCs/>
          <w:sz w:val="22"/>
          <w:lang w:val="es-CO"/>
        </w:rPr>
      </w:pPr>
      <w:r w:rsidRPr="0F674074">
        <w:rPr>
          <w:rFonts w:ascii="Arial" w:hAnsi="Arial" w:cs="Arial"/>
          <w:b/>
          <w:bCs/>
          <w:sz w:val="22"/>
          <w:lang w:val="es-CO"/>
        </w:rPr>
        <w:t>R</w:t>
      </w:r>
      <w:r w:rsidR="3FB0BEAC" w:rsidRPr="0F674074">
        <w:rPr>
          <w:rFonts w:ascii="Arial" w:hAnsi="Arial" w:cs="Arial"/>
          <w:b/>
          <w:bCs/>
          <w:sz w:val="22"/>
          <w:lang w:val="es-CO"/>
        </w:rPr>
        <w:t>EGISTRO ÚNICO DE PROPONENTES</w:t>
      </w:r>
      <w:r w:rsidRPr="0F674074">
        <w:rPr>
          <w:rFonts w:ascii="Arial" w:hAnsi="Arial" w:cs="Arial"/>
          <w:sz w:val="22"/>
          <w:lang w:val="es-CO"/>
        </w:rPr>
        <w:t xml:space="preserve"> </w:t>
      </w:r>
      <w:r w:rsidRPr="0F674074">
        <w:rPr>
          <w:rFonts w:ascii="Arial" w:eastAsia="Calibri" w:hAnsi="Arial" w:cs="Arial"/>
          <w:b/>
          <w:bCs/>
          <w:sz w:val="22"/>
          <w:lang w:val="es-CO"/>
        </w:rPr>
        <w:t>– R</w:t>
      </w:r>
      <w:r w:rsidR="1934367A" w:rsidRPr="0F674074">
        <w:rPr>
          <w:rFonts w:ascii="Arial" w:eastAsia="Calibri" w:hAnsi="Arial" w:cs="Arial"/>
          <w:b/>
          <w:bCs/>
          <w:sz w:val="22"/>
          <w:lang w:val="es-CO"/>
        </w:rPr>
        <w:t>enovación</w:t>
      </w:r>
      <w:r w:rsidRPr="0F674074">
        <w:rPr>
          <w:rFonts w:ascii="Arial" w:eastAsia="Calibri" w:hAnsi="Arial" w:cs="Arial"/>
          <w:b/>
          <w:bCs/>
          <w:sz w:val="22"/>
          <w:lang w:val="es-CO"/>
        </w:rPr>
        <w:t xml:space="preserve"> –</w:t>
      </w:r>
      <w:r w:rsidR="009E509F" w:rsidRPr="0F674074">
        <w:rPr>
          <w:rFonts w:ascii="Arial" w:eastAsia="Calibri" w:hAnsi="Arial" w:cs="Arial"/>
          <w:b/>
          <w:bCs/>
          <w:sz w:val="22"/>
          <w:lang w:val="es-CO"/>
        </w:rPr>
        <w:t xml:space="preserve"> C</w:t>
      </w:r>
      <w:r w:rsidRPr="0F674074">
        <w:rPr>
          <w:rFonts w:ascii="Arial" w:eastAsia="Calibri" w:hAnsi="Arial" w:cs="Arial"/>
          <w:b/>
          <w:bCs/>
          <w:sz w:val="22"/>
          <w:lang w:val="es-CO"/>
        </w:rPr>
        <w:t xml:space="preserve">ontratos </w:t>
      </w:r>
      <w:r w:rsidR="00762586" w:rsidRPr="0F674074">
        <w:rPr>
          <w:rFonts w:ascii="Arial" w:eastAsia="Calibri" w:hAnsi="Arial" w:cs="Arial"/>
          <w:b/>
          <w:bCs/>
          <w:sz w:val="22"/>
          <w:lang w:val="es-CO"/>
        </w:rPr>
        <w:t>r</w:t>
      </w:r>
      <w:r w:rsidRPr="0F674074">
        <w:rPr>
          <w:rFonts w:ascii="Arial" w:eastAsia="Calibri" w:hAnsi="Arial" w:cs="Arial"/>
          <w:b/>
          <w:bCs/>
          <w:sz w:val="22"/>
          <w:lang w:val="es-CO"/>
        </w:rPr>
        <w:t xml:space="preserve">eportados </w:t>
      </w:r>
      <w:r w:rsidR="00762586" w:rsidRPr="0F674074">
        <w:rPr>
          <w:rFonts w:ascii="Arial" w:eastAsia="Calibri" w:hAnsi="Arial" w:cs="Arial"/>
          <w:b/>
          <w:bCs/>
          <w:sz w:val="22"/>
          <w:lang w:val="es-CO"/>
        </w:rPr>
        <w:t>c</w:t>
      </w:r>
      <w:r w:rsidRPr="0F674074">
        <w:rPr>
          <w:rFonts w:ascii="Arial" w:eastAsia="Calibri" w:hAnsi="Arial" w:cs="Arial"/>
          <w:b/>
          <w:bCs/>
          <w:sz w:val="22"/>
          <w:lang w:val="es-CO"/>
        </w:rPr>
        <w:t xml:space="preserve">on </w:t>
      </w:r>
      <w:r w:rsidR="00762586" w:rsidRPr="0F674074">
        <w:rPr>
          <w:rFonts w:ascii="Arial" w:eastAsia="Calibri" w:hAnsi="Arial" w:cs="Arial"/>
          <w:b/>
          <w:bCs/>
          <w:sz w:val="22"/>
          <w:lang w:val="es-CO"/>
        </w:rPr>
        <w:t>a</w:t>
      </w:r>
      <w:r w:rsidRPr="0F674074">
        <w:rPr>
          <w:rFonts w:ascii="Arial" w:eastAsia="Calibri" w:hAnsi="Arial" w:cs="Arial"/>
          <w:b/>
          <w:bCs/>
          <w:sz w:val="22"/>
          <w:lang w:val="es-CO"/>
        </w:rPr>
        <w:t xml:space="preserve">nterioridad – Libertad </w:t>
      </w:r>
      <w:r w:rsidR="57D8D69D" w:rsidRPr="0F674074">
        <w:rPr>
          <w:rFonts w:ascii="Arial" w:eastAsia="Calibri" w:hAnsi="Arial" w:cs="Arial"/>
          <w:b/>
          <w:bCs/>
          <w:sz w:val="22"/>
          <w:lang w:val="es-CO"/>
        </w:rPr>
        <w:t>configuración</w:t>
      </w:r>
    </w:p>
    <w:p w14:paraId="4FA6C27E" w14:textId="6E887265" w:rsidR="00A1118B" w:rsidRPr="009A4AB9" w:rsidRDefault="00A1118B" w:rsidP="00A1118B">
      <w:pPr>
        <w:jc w:val="both"/>
        <w:rPr>
          <w:rFonts w:ascii="Arial" w:eastAsia="Calibri" w:hAnsi="Arial" w:cs="Arial"/>
          <w:sz w:val="20"/>
          <w:szCs w:val="20"/>
          <w:lang w:val="es-CO"/>
        </w:rPr>
      </w:pPr>
    </w:p>
    <w:p w14:paraId="2FDC971F" w14:textId="63DAA5B0" w:rsidR="00D72BD7" w:rsidRPr="009A4AB9" w:rsidRDefault="00D72BD7" w:rsidP="00B83204">
      <w:pPr>
        <w:jc w:val="both"/>
        <w:rPr>
          <w:rFonts w:ascii="Arial" w:eastAsia="Calibri" w:hAnsi="Arial" w:cs="Arial"/>
          <w:sz w:val="20"/>
          <w:szCs w:val="20"/>
          <w:lang w:val="es-CO"/>
        </w:rPr>
      </w:pPr>
      <w:r w:rsidRPr="009A4AB9">
        <w:rPr>
          <w:rFonts w:ascii="Arial" w:eastAsia="Calibri" w:hAnsi="Arial" w:cs="Arial"/>
          <w:sz w:val="20"/>
          <w:szCs w:val="20"/>
          <w:lang w:val="es-CO"/>
        </w:rPr>
        <w:t xml:space="preserve">[…] cuando se realiza el trámite de renovación del RUP, no existe ningún tipo de obligación de carácter legal, de renovar los contratos que fueron reportados en el RUP, durante la vigencia anterior. En este sentido, tratándose de la experiencia de los proponentes registrada en el RUP, se otorga la posibilidad de que la persona lo pueda configurar de acuerdo con sus necesidades de negocio con el estado. Caso contrario ocurre con la acreditación de la capacidad financiera y organizacional, que depende de forma directa de los estados financieros del proponente, es decir no es de libre configuración.  </w:t>
      </w:r>
    </w:p>
    <w:p w14:paraId="03996C4E" w14:textId="77777777" w:rsidR="00D72BD7" w:rsidRPr="009A4AB9" w:rsidRDefault="00D72BD7" w:rsidP="00B83204">
      <w:pPr>
        <w:jc w:val="both"/>
        <w:rPr>
          <w:rFonts w:ascii="Arial" w:eastAsia="Calibri" w:hAnsi="Arial" w:cs="Arial"/>
          <w:sz w:val="20"/>
          <w:szCs w:val="20"/>
          <w:lang w:val="es-CO"/>
        </w:rPr>
      </w:pPr>
    </w:p>
    <w:p w14:paraId="4B803CA8" w14:textId="77777777" w:rsidR="00A1118B" w:rsidRPr="00B83204" w:rsidRDefault="00A1118B" w:rsidP="00B83204">
      <w:pPr>
        <w:rPr>
          <w:rFonts w:ascii="Arial" w:hAnsi="Arial" w:cs="Arial"/>
          <w:sz w:val="20"/>
          <w:szCs w:val="20"/>
          <w:lang w:val="es-CO"/>
        </w:rPr>
      </w:pPr>
    </w:p>
    <w:p w14:paraId="2A9E0471" w14:textId="4DA48235" w:rsidR="0064762B" w:rsidRPr="009A4AB9" w:rsidRDefault="0064762B" w:rsidP="00B83204">
      <w:pPr>
        <w:rPr>
          <w:rFonts w:ascii="Arial" w:hAnsi="Arial" w:cs="Arial"/>
          <w:b/>
          <w:sz w:val="22"/>
          <w:lang w:val="es-CO"/>
        </w:rPr>
      </w:pPr>
      <w:r w:rsidRPr="009A4AB9">
        <w:rPr>
          <w:rFonts w:ascii="Arial" w:hAnsi="Arial" w:cs="Arial"/>
          <w:sz w:val="22"/>
          <w:lang w:val="es-CO"/>
        </w:rPr>
        <w:t xml:space="preserve">Bogotá D.C., </w:t>
      </w:r>
      <w:r w:rsidR="008E5591">
        <w:rPr>
          <w:rFonts w:ascii="Arial" w:hAnsi="Arial" w:cs="Arial"/>
          <w:b/>
          <w:sz w:val="22"/>
          <w:lang w:val="es-CO"/>
        </w:rPr>
        <w:t>06/07/2020 Hora 17:11:38s</w:t>
      </w:r>
    </w:p>
    <w:p w14:paraId="0B1D2FDB" w14:textId="77777777" w:rsidR="0064762B" w:rsidRPr="009A4AB9" w:rsidRDefault="0064762B" w:rsidP="0064762B">
      <w:pPr>
        <w:jc w:val="right"/>
        <w:rPr>
          <w:rFonts w:ascii="Arial" w:hAnsi="Arial" w:cs="Arial"/>
          <w:b/>
          <w:sz w:val="22"/>
          <w:lang w:val="es-CO"/>
        </w:rPr>
      </w:pPr>
    </w:p>
    <w:p w14:paraId="79C19F00" w14:textId="2FE46531" w:rsidR="0064762B" w:rsidRPr="009A4AB9" w:rsidRDefault="0064762B" w:rsidP="0064762B">
      <w:pPr>
        <w:jc w:val="right"/>
        <w:rPr>
          <w:rFonts w:ascii="Arial" w:hAnsi="Arial" w:cs="Arial"/>
          <w:b/>
          <w:sz w:val="22"/>
          <w:lang w:val="es-CO"/>
        </w:rPr>
      </w:pPr>
      <w:proofErr w:type="spellStart"/>
      <w:r w:rsidRPr="009A4AB9">
        <w:rPr>
          <w:rFonts w:ascii="Arial" w:hAnsi="Arial" w:cs="Arial"/>
          <w:b/>
          <w:sz w:val="22"/>
          <w:lang w:val="es-CO"/>
        </w:rPr>
        <w:t>N°</w:t>
      </w:r>
      <w:proofErr w:type="spellEnd"/>
      <w:r w:rsidRPr="009A4AB9">
        <w:rPr>
          <w:rFonts w:ascii="Arial" w:hAnsi="Arial" w:cs="Arial"/>
          <w:b/>
          <w:sz w:val="22"/>
          <w:lang w:val="es-CO"/>
        </w:rPr>
        <w:t xml:space="preserve"> Radicado: </w:t>
      </w:r>
      <w:r w:rsidR="008E5591">
        <w:rPr>
          <w:rFonts w:ascii="Arial" w:hAnsi="Arial" w:cs="Arial"/>
          <w:b/>
          <w:sz w:val="22"/>
          <w:lang w:val="es-CO"/>
        </w:rPr>
        <w:t>2202013000005866</w:t>
      </w:r>
    </w:p>
    <w:p w14:paraId="54116FDD" w14:textId="29688AB5" w:rsidR="00A1118B" w:rsidRPr="009A4AB9" w:rsidRDefault="00A1118B" w:rsidP="00A1118B">
      <w:pPr>
        <w:jc w:val="right"/>
        <w:rPr>
          <w:rFonts w:ascii="Arial" w:hAnsi="Arial" w:cs="Arial"/>
          <w:b/>
          <w:sz w:val="22"/>
          <w:lang w:val="es-CO"/>
        </w:rPr>
      </w:pPr>
    </w:p>
    <w:p w14:paraId="3BFD62BA" w14:textId="77777777" w:rsidR="00A1118B" w:rsidRPr="009A4AB9" w:rsidRDefault="00A1118B" w:rsidP="00A1118B">
      <w:pPr>
        <w:tabs>
          <w:tab w:val="left" w:pos="3374"/>
        </w:tabs>
        <w:rPr>
          <w:rFonts w:ascii="Arial" w:eastAsia="Calibri" w:hAnsi="Arial" w:cs="Arial"/>
          <w:sz w:val="22"/>
          <w:lang w:val="es-CO"/>
        </w:rPr>
      </w:pPr>
      <w:r w:rsidRPr="009A4AB9">
        <w:rPr>
          <w:rFonts w:ascii="Arial" w:eastAsia="Calibri" w:hAnsi="Arial" w:cs="Arial"/>
          <w:sz w:val="22"/>
          <w:lang w:val="es-CO"/>
        </w:rPr>
        <w:tab/>
      </w:r>
    </w:p>
    <w:p w14:paraId="4DAF748F" w14:textId="00C27E9D" w:rsidR="00A1118B" w:rsidRPr="009A4AB9" w:rsidRDefault="00A1118B" w:rsidP="00A1118B">
      <w:pPr>
        <w:rPr>
          <w:rFonts w:ascii="Arial" w:eastAsia="Calibri" w:hAnsi="Arial" w:cs="Arial"/>
          <w:sz w:val="22"/>
          <w:lang w:val="es-CO"/>
        </w:rPr>
      </w:pPr>
      <w:bookmarkStart w:id="0" w:name="_Hlk29890381"/>
      <w:r w:rsidRPr="009A4AB9">
        <w:rPr>
          <w:rFonts w:ascii="Arial" w:eastAsia="Calibri" w:hAnsi="Arial" w:cs="Arial"/>
          <w:sz w:val="22"/>
          <w:lang w:val="es-CO"/>
        </w:rPr>
        <w:t>Señor</w:t>
      </w:r>
    </w:p>
    <w:p w14:paraId="5F176319" w14:textId="43FF93C6" w:rsidR="00A1118B" w:rsidRPr="009A4AB9" w:rsidRDefault="0064762B" w:rsidP="00A1118B">
      <w:pPr>
        <w:rPr>
          <w:rFonts w:ascii="Arial" w:eastAsia="Calibri" w:hAnsi="Arial" w:cs="Arial"/>
          <w:b/>
          <w:sz w:val="22"/>
          <w:lang w:val="es-CO"/>
        </w:rPr>
      </w:pPr>
      <w:r w:rsidRPr="009A4AB9">
        <w:rPr>
          <w:rFonts w:ascii="Arial" w:eastAsia="Calibri" w:hAnsi="Arial" w:cs="Arial"/>
          <w:b/>
          <w:sz w:val="22"/>
          <w:lang w:val="es-CO"/>
        </w:rPr>
        <w:t xml:space="preserve">Juan Pablo Bernal </w:t>
      </w:r>
    </w:p>
    <w:p w14:paraId="1F419C10" w14:textId="1944702D" w:rsidR="00A1118B" w:rsidRPr="009A4AB9" w:rsidRDefault="0064762B" w:rsidP="00A1118B">
      <w:pPr>
        <w:rPr>
          <w:rFonts w:ascii="Arial" w:eastAsia="Calibri" w:hAnsi="Arial" w:cs="Arial"/>
          <w:sz w:val="22"/>
          <w:lang w:val="es-CO"/>
        </w:rPr>
      </w:pPr>
      <w:r w:rsidRPr="009A4AB9">
        <w:rPr>
          <w:rFonts w:ascii="Arial" w:eastAsia="Calibri" w:hAnsi="Arial" w:cs="Arial"/>
          <w:sz w:val="22"/>
          <w:lang w:val="es-CO"/>
        </w:rPr>
        <w:t xml:space="preserve">Villavicencio, Meta </w:t>
      </w:r>
    </w:p>
    <w:p w14:paraId="330CCD75" w14:textId="6DBCE1F8" w:rsidR="00A1118B" w:rsidRPr="009A4AB9" w:rsidRDefault="00A1118B" w:rsidP="00A1118B">
      <w:pPr>
        <w:jc w:val="center"/>
        <w:rPr>
          <w:rFonts w:ascii="Arial" w:eastAsia="Calibri" w:hAnsi="Arial" w:cs="Arial"/>
          <w:b/>
          <w:sz w:val="22"/>
          <w:lang w:val="es-CO"/>
        </w:rPr>
      </w:pPr>
      <w:r w:rsidRPr="009A4AB9">
        <w:rPr>
          <w:rFonts w:ascii="Arial" w:eastAsia="Calibri" w:hAnsi="Arial" w:cs="Arial"/>
          <w:b/>
          <w:sz w:val="22"/>
          <w:lang w:val="es-CO"/>
        </w:rPr>
        <w:t>Concepto C</w:t>
      </w:r>
      <w:r w:rsidR="00F15B00" w:rsidRPr="009A4AB9">
        <w:rPr>
          <w:rFonts w:ascii="Arial" w:eastAsia="Calibri" w:hAnsi="Arial" w:cs="Arial"/>
          <w:b/>
          <w:sz w:val="22"/>
          <w:lang w:val="es-CO"/>
        </w:rPr>
        <w:t xml:space="preserve"> –</w:t>
      </w:r>
      <w:r w:rsidRPr="009A4AB9">
        <w:rPr>
          <w:rFonts w:ascii="Arial" w:eastAsia="Calibri" w:hAnsi="Arial" w:cs="Arial"/>
          <w:b/>
          <w:sz w:val="22"/>
          <w:lang w:val="es-CO"/>
        </w:rPr>
        <w:t xml:space="preserve"> </w:t>
      </w:r>
      <w:r w:rsidR="009E509F">
        <w:rPr>
          <w:rFonts w:ascii="Arial" w:eastAsia="Calibri" w:hAnsi="Arial" w:cs="Arial"/>
          <w:b/>
          <w:sz w:val="22"/>
          <w:lang w:val="es-CO"/>
        </w:rPr>
        <w:t>454 d</w:t>
      </w:r>
      <w:r w:rsidRPr="009A4AB9">
        <w:rPr>
          <w:rFonts w:ascii="Arial" w:eastAsia="Calibri" w:hAnsi="Arial" w:cs="Arial"/>
          <w:b/>
          <w:sz w:val="22"/>
          <w:lang w:val="es-CO"/>
        </w:rPr>
        <w:t>e 2020</w:t>
      </w:r>
    </w:p>
    <w:p w14:paraId="0D32CB76" w14:textId="77777777" w:rsidR="00A1118B" w:rsidRPr="009A4AB9" w:rsidRDefault="00A1118B" w:rsidP="00A1118B">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1118B" w:rsidRPr="009A4AB9" w14:paraId="36EA4F30" w14:textId="77777777" w:rsidTr="00A1118B">
        <w:tc>
          <w:tcPr>
            <w:tcW w:w="2689" w:type="dxa"/>
            <w:hideMark/>
          </w:tcPr>
          <w:p w14:paraId="70B42C0E" w14:textId="77777777" w:rsidR="00A1118B" w:rsidRPr="009A4AB9" w:rsidRDefault="00A1118B">
            <w:pPr>
              <w:rPr>
                <w:rFonts w:ascii="Arial" w:eastAsia="Calibri" w:hAnsi="Arial" w:cs="Arial"/>
                <w:sz w:val="22"/>
                <w:lang w:val="es-CO"/>
              </w:rPr>
            </w:pPr>
            <w:r w:rsidRPr="009A4AB9">
              <w:rPr>
                <w:rFonts w:ascii="Arial" w:eastAsia="Calibri" w:hAnsi="Arial" w:cs="Arial"/>
                <w:b/>
                <w:sz w:val="22"/>
                <w:lang w:val="es-CO"/>
              </w:rPr>
              <w:t>Temas:</w:t>
            </w:r>
            <w:r w:rsidRPr="009A4AB9">
              <w:rPr>
                <w:rFonts w:ascii="Arial" w:eastAsia="Calibri" w:hAnsi="Arial" w:cs="Arial"/>
                <w:sz w:val="22"/>
                <w:lang w:val="es-CO"/>
              </w:rPr>
              <w:t xml:space="preserve">           </w:t>
            </w:r>
          </w:p>
          <w:p w14:paraId="4B0B0C26" w14:textId="77777777" w:rsidR="00A1118B" w:rsidRPr="009A4AB9" w:rsidRDefault="00A1118B">
            <w:pPr>
              <w:rPr>
                <w:rFonts w:ascii="Arial" w:eastAsia="Calibri" w:hAnsi="Arial" w:cs="Arial"/>
                <w:sz w:val="22"/>
                <w:lang w:val="es-CO"/>
              </w:rPr>
            </w:pPr>
            <w:r w:rsidRPr="009A4AB9">
              <w:rPr>
                <w:rFonts w:ascii="Arial" w:eastAsia="Calibri" w:hAnsi="Arial" w:cs="Arial"/>
                <w:sz w:val="22"/>
                <w:lang w:val="es-CO"/>
              </w:rPr>
              <w:t xml:space="preserve">                           </w:t>
            </w:r>
          </w:p>
        </w:tc>
        <w:tc>
          <w:tcPr>
            <w:tcW w:w="6237" w:type="dxa"/>
            <w:hideMark/>
          </w:tcPr>
          <w:p w14:paraId="2B2D00BB" w14:textId="44E979D9" w:rsidR="00D72BD7" w:rsidRPr="009E509F" w:rsidRDefault="009E509F" w:rsidP="00D72BD7">
            <w:pPr>
              <w:jc w:val="both"/>
              <w:rPr>
                <w:rFonts w:ascii="Arial" w:hAnsi="Arial" w:cs="Arial"/>
                <w:bCs/>
                <w:sz w:val="22"/>
                <w:lang w:val="es-CO"/>
              </w:rPr>
            </w:pPr>
            <w:r w:rsidRPr="009E509F">
              <w:rPr>
                <w:rFonts w:ascii="Arial" w:eastAsia="Calibri" w:hAnsi="Arial" w:cs="Arial"/>
                <w:bCs/>
                <w:sz w:val="22"/>
                <w:lang w:val="es-CO"/>
              </w:rPr>
              <w:t xml:space="preserve">RUP – </w:t>
            </w:r>
            <w:r w:rsidRPr="009E509F">
              <w:rPr>
                <w:rFonts w:ascii="Arial" w:eastAsia="Calibri" w:hAnsi="Arial" w:cs="Arial"/>
                <w:bCs/>
                <w:i/>
                <w:iCs/>
                <w:sz w:val="22"/>
                <w:lang w:val="es-CO"/>
              </w:rPr>
              <w:t>Renovación</w:t>
            </w:r>
            <w:r w:rsidRPr="009E509F">
              <w:rPr>
                <w:rFonts w:ascii="Arial" w:eastAsia="Calibri" w:hAnsi="Arial" w:cs="Arial"/>
                <w:bCs/>
                <w:sz w:val="22"/>
                <w:lang w:val="es-CO"/>
              </w:rPr>
              <w:t xml:space="preserve"> – Firmeza / </w:t>
            </w:r>
            <w:r w:rsidRPr="009E509F">
              <w:rPr>
                <w:rFonts w:ascii="Arial" w:hAnsi="Arial" w:cs="Arial"/>
                <w:bCs/>
                <w:sz w:val="22"/>
                <w:lang w:val="es-CO"/>
              </w:rPr>
              <w:t xml:space="preserve">RUP </w:t>
            </w:r>
            <w:r w:rsidRPr="009E509F">
              <w:rPr>
                <w:rFonts w:ascii="Arial" w:eastAsia="Calibri" w:hAnsi="Arial" w:cs="Arial"/>
                <w:bCs/>
                <w:sz w:val="22"/>
                <w:lang w:val="es-CO"/>
              </w:rPr>
              <w:t xml:space="preserve">– RENOVACIÓN – Contratos reportados con anterioridad </w:t>
            </w:r>
            <w:r w:rsidRPr="009E509F">
              <w:rPr>
                <w:rFonts w:ascii="Arial" w:eastAsia="Calibri" w:hAnsi="Arial" w:cs="Arial"/>
                <w:bCs/>
                <w:sz w:val="22"/>
                <w:lang w:val="es-CO"/>
              </w:rPr>
              <w:softHyphen/>
              <w:t xml:space="preserve">– Libertad para configurar </w:t>
            </w:r>
          </w:p>
          <w:p w14:paraId="5E2EC854" w14:textId="7881CD30" w:rsidR="00F56D55" w:rsidRPr="009A4AB9" w:rsidRDefault="00F56D55" w:rsidP="00F56D55">
            <w:pPr>
              <w:jc w:val="both"/>
              <w:rPr>
                <w:rFonts w:ascii="Arial" w:eastAsia="Calibri" w:hAnsi="Arial" w:cs="Arial"/>
                <w:bCs/>
                <w:sz w:val="22"/>
                <w:lang w:val="es-CO"/>
              </w:rPr>
            </w:pPr>
          </w:p>
          <w:p w14:paraId="25A9B925" w14:textId="77777777" w:rsidR="00F56D55" w:rsidRPr="009A4AB9" w:rsidRDefault="00F56D55" w:rsidP="00F56D55">
            <w:pPr>
              <w:jc w:val="both"/>
              <w:rPr>
                <w:rFonts w:ascii="Arial" w:hAnsi="Arial" w:cs="Arial"/>
                <w:sz w:val="22"/>
                <w:lang w:val="es-CO"/>
              </w:rPr>
            </w:pPr>
          </w:p>
          <w:p w14:paraId="01DDD969" w14:textId="4EBEC78D" w:rsidR="00A1118B" w:rsidRPr="009A4AB9" w:rsidRDefault="00A1118B">
            <w:pPr>
              <w:jc w:val="both"/>
              <w:rPr>
                <w:rFonts w:ascii="Arial" w:eastAsia="Calibri" w:hAnsi="Arial" w:cs="Arial"/>
                <w:sz w:val="22"/>
                <w:lang w:val="es-CO"/>
              </w:rPr>
            </w:pPr>
          </w:p>
        </w:tc>
      </w:tr>
      <w:tr w:rsidR="00A1118B" w:rsidRPr="009A4AB9" w14:paraId="45E46F98" w14:textId="77777777" w:rsidTr="00A1118B">
        <w:tc>
          <w:tcPr>
            <w:tcW w:w="2689" w:type="dxa"/>
            <w:hideMark/>
          </w:tcPr>
          <w:p w14:paraId="55ECA733" w14:textId="77777777" w:rsidR="00A1118B" w:rsidRPr="009A4AB9" w:rsidRDefault="00A1118B">
            <w:pPr>
              <w:rPr>
                <w:rFonts w:ascii="Arial" w:eastAsia="Calibri" w:hAnsi="Arial" w:cs="Arial"/>
                <w:b/>
                <w:sz w:val="22"/>
                <w:lang w:val="es-CO"/>
              </w:rPr>
            </w:pPr>
            <w:r w:rsidRPr="009A4AB9">
              <w:rPr>
                <w:rFonts w:ascii="Arial" w:eastAsia="Calibri" w:hAnsi="Arial" w:cs="Arial"/>
                <w:b/>
                <w:sz w:val="22"/>
                <w:lang w:val="es-CO"/>
              </w:rPr>
              <w:t>Radicación:</w:t>
            </w:r>
            <w:r w:rsidRPr="009A4AB9">
              <w:rPr>
                <w:rFonts w:ascii="Arial" w:eastAsia="Calibri" w:hAnsi="Arial" w:cs="Arial"/>
                <w:sz w:val="22"/>
                <w:lang w:val="es-CO"/>
              </w:rPr>
              <w:t xml:space="preserve">                              </w:t>
            </w:r>
          </w:p>
        </w:tc>
        <w:tc>
          <w:tcPr>
            <w:tcW w:w="6237" w:type="dxa"/>
            <w:hideMark/>
          </w:tcPr>
          <w:p w14:paraId="72D73A4C" w14:textId="205E4F89" w:rsidR="00A1118B" w:rsidRPr="009A4AB9" w:rsidRDefault="00A1118B" w:rsidP="0064762B">
            <w:pPr>
              <w:rPr>
                <w:rFonts w:ascii="Arial" w:eastAsia="Calibri" w:hAnsi="Arial" w:cs="Arial"/>
                <w:sz w:val="22"/>
                <w:lang w:val="es-CO"/>
              </w:rPr>
            </w:pPr>
            <w:r w:rsidRPr="009A4AB9">
              <w:rPr>
                <w:rFonts w:ascii="Arial" w:eastAsia="Calibri" w:hAnsi="Arial" w:cs="Arial"/>
                <w:sz w:val="22"/>
                <w:lang w:val="es-CO"/>
              </w:rPr>
              <w:t>Respuesta a consulta</w:t>
            </w:r>
            <w:r w:rsidR="0064762B" w:rsidRPr="009A4AB9">
              <w:rPr>
                <w:rFonts w:ascii="Arial" w:eastAsia="Calibri" w:hAnsi="Arial" w:cs="Arial"/>
                <w:sz w:val="22"/>
                <w:lang w:val="es-CO"/>
              </w:rPr>
              <w:t xml:space="preserve"> # 4202013000005291</w:t>
            </w:r>
          </w:p>
        </w:tc>
      </w:tr>
    </w:tbl>
    <w:p w14:paraId="6799E8F7" w14:textId="77777777" w:rsidR="00A1118B" w:rsidRPr="009A4AB9" w:rsidRDefault="00A1118B" w:rsidP="00A1118B">
      <w:pPr>
        <w:jc w:val="both"/>
        <w:rPr>
          <w:rFonts w:ascii="Arial" w:eastAsia="Calibri" w:hAnsi="Arial" w:cs="Arial"/>
          <w:sz w:val="22"/>
          <w:lang w:val="es-CO"/>
        </w:rPr>
      </w:pPr>
    </w:p>
    <w:p w14:paraId="168B4844" w14:textId="77777777" w:rsidR="00A1118B" w:rsidRPr="009A4AB9" w:rsidRDefault="00A1118B" w:rsidP="00A1118B">
      <w:pPr>
        <w:jc w:val="both"/>
        <w:rPr>
          <w:rFonts w:ascii="Arial" w:eastAsia="Calibri" w:hAnsi="Arial" w:cs="Arial"/>
          <w:sz w:val="22"/>
          <w:lang w:val="es-CO"/>
        </w:rPr>
      </w:pPr>
    </w:p>
    <w:p w14:paraId="786007D4" w14:textId="7712FE9D" w:rsidR="00A1118B" w:rsidRPr="009A4AB9" w:rsidRDefault="00A1118B" w:rsidP="00A1118B">
      <w:pPr>
        <w:rPr>
          <w:rFonts w:ascii="Arial" w:eastAsia="Calibri" w:hAnsi="Arial" w:cs="Arial"/>
          <w:sz w:val="22"/>
          <w:lang w:val="es-CO"/>
        </w:rPr>
      </w:pPr>
      <w:r w:rsidRPr="009A4AB9">
        <w:rPr>
          <w:rFonts w:ascii="Arial" w:eastAsia="Calibri" w:hAnsi="Arial" w:cs="Arial"/>
          <w:sz w:val="22"/>
          <w:lang w:val="es-CO"/>
        </w:rPr>
        <w:t>Estimad</w:t>
      </w:r>
      <w:r w:rsidR="00BB1F95" w:rsidRPr="009A4AB9">
        <w:rPr>
          <w:rFonts w:ascii="Arial" w:eastAsia="Calibri" w:hAnsi="Arial" w:cs="Arial"/>
          <w:sz w:val="22"/>
          <w:lang w:val="es-CO"/>
        </w:rPr>
        <w:t>o</w:t>
      </w:r>
      <w:r w:rsidRPr="009A4AB9">
        <w:rPr>
          <w:rFonts w:ascii="Arial" w:eastAsia="Calibri" w:hAnsi="Arial" w:cs="Arial"/>
          <w:sz w:val="22"/>
          <w:lang w:val="es-CO"/>
        </w:rPr>
        <w:t xml:space="preserve"> señor</w:t>
      </w:r>
      <w:r w:rsidR="00F15B00" w:rsidRPr="009A4AB9">
        <w:rPr>
          <w:rFonts w:ascii="Arial" w:eastAsia="Calibri" w:hAnsi="Arial" w:cs="Arial"/>
          <w:sz w:val="22"/>
          <w:lang w:val="es-CO"/>
        </w:rPr>
        <w:t xml:space="preserve"> </w:t>
      </w:r>
      <w:r w:rsidR="00D5398D" w:rsidRPr="009A4AB9">
        <w:rPr>
          <w:rFonts w:ascii="Arial" w:eastAsia="Calibri" w:hAnsi="Arial" w:cs="Arial"/>
          <w:sz w:val="22"/>
          <w:lang w:val="es-CO"/>
        </w:rPr>
        <w:t>Bernal</w:t>
      </w:r>
      <w:r w:rsidRPr="009A4AB9">
        <w:rPr>
          <w:rFonts w:ascii="Arial" w:eastAsia="Calibri" w:hAnsi="Arial" w:cs="Arial"/>
          <w:sz w:val="22"/>
          <w:lang w:val="es-CO"/>
        </w:rPr>
        <w:t>,</w:t>
      </w:r>
    </w:p>
    <w:p w14:paraId="171959E3" w14:textId="77777777" w:rsidR="00A1118B" w:rsidRPr="009A4AB9" w:rsidRDefault="00A1118B" w:rsidP="00A1118B">
      <w:pPr>
        <w:spacing w:line="276" w:lineRule="auto"/>
        <w:ind w:right="49"/>
        <w:jc w:val="both"/>
        <w:rPr>
          <w:rFonts w:ascii="Arial" w:eastAsia="Calibri" w:hAnsi="Arial" w:cs="Arial"/>
          <w:sz w:val="22"/>
          <w:lang w:val="es-CO"/>
        </w:rPr>
      </w:pPr>
    </w:p>
    <w:p w14:paraId="2BE7B08D" w14:textId="42CE0D7A" w:rsidR="001F179E" w:rsidRPr="009A4AB9" w:rsidRDefault="00A1118B" w:rsidP="00D5398D">
      <w:pPr>
        <w:spacing w:after="120" w:line="276" w:lineRule="auto"/>
        <w:jc w:val="both"/>
        <w:rPr>
          <w:rFonts w:ascii="Arial" w:hAnsi="Arial" w:cs="Arial"/>
          <w:sz w:val="22"/>
          <w:lang w:val="es-CO"/>
        </w:rPr>
      </w:pPr>
      <w:r w:rsidRPr="009A4AB9">
        <w:rPr>
          <w:rFonts w:ascii="Arial" w:eastAsia="Calibri" w:hAnsi="Arial" w:cs="Arial"/>
          <w:sz w:val="22"/>
          <w:lang w:val="es-CO"/>
        </w:rPr>
        <w:t xml:space="preserve">La Agencia Nacional de Contratación Pública - Colombia Compra Eficiente responde </w:t>
      </w:r>
      <w:r w:rsidR="009E509F">
        <w:rPr>
          <w:rFonts w:ascii="Arial" w:eastAsia="Calibri" w:hAnsi="Arial" w:cs="Arial"/>
          <w:sz w:val="22"/>
          <w:lang w:val="es-CO"/>
        </w:rPr>
        <w:t xml:space="preserve">su consulta </w:t>
      </w:r>
      <w:r w:rsidR="009E509F" w:rsidRPr="009A4AB9">
        <w:rPr>
          <w:rFonts w:ascii="Arial" w:eastAsia="Calibri" w:hAnsi="Arial" w:cs="Arial"/>
          <w:sz w:val="22"/>
          <w:lang w:val="es-CO"/>
        </w:rPr>
        <w:t>del</w:t>
      </w:r>
      <w:r w:rsidRPr="009A4AB9">
        <w:rPr>
          <w:rFonts w:ascii="Arial" w:eastAsia="Calibri" w:hAnsi="Arial" w:cs="Arial"/>
          <w:sz w:val="22"/>
          <w:lang w:val="es-CO"/>
        </w:rPr>
        <w:t xml:space="preserve"> </w:t>
      </w:r>
      <w:r w:rsidR="00D5398D" w:rsidRPr="009A4AB9">
        <w:rPr>
          <w:rFonts w:ascii="Arial" w:eastAsia="Calibri" w:hAnsi="Arial" w:cs="Arial"/>
          <w:sz w:val="22"/>
          <w:lang w:val="es-CO"/>
        </w:rPr>
        <w:t xml:space="preserve">24 de junio </w:t>
      </w:r>
      <w:r w:rsidR="00D5398D" w:rsidRPr="009A4AB9">
        <w:rPr>
          <w:rFonts w:ascii="Arial" w:hAnsi="Arial" w:cs="Arial"/>
          <w:sz w:val="22"/>
          <w:lang w:val="es-CO"/>
        </w:rPr>
        <w:t>de</w:t>
      </w:r>
      <w:r w:rsidRPr="009A4AB9">
        <w:rPr>
          <w:rFonts w:ascii="Arial" w:hAnsi="Arial" w:cs="Arial"/>
          <w:sz w:val="22"/>
          <w:lang w:val="es-CO"/>
        </w:rPr>
        <w:t xml:space="preserve"> 2020</w:t>
      </w:r>
      <w:r w:rsidRPr="009A4AB9">
        <w:rPr>
          <w:rFonts w:ascii="Arial" w:eastAsia="Calibri" w:hAnsi="Arial" w:cs="Arial"/>
          <w:sz w:val="22"/>
          <w:lang w:val="es-CO"/>
        </w:rPr>
        <w:t xml:space="preserve">, en ejercicio de la competencia otorgada por el numeral </w:t>
      </w:r>
      <w:r w:rsidRPr="009A4AB9">
        <w:rPr>
          <w:rFonts w:ascii="Arial" w:hAnsi="Arial" w:cs="Arial"/>
          <w:sz w:val="22"/>
          <w:lang w:val="es-CO"/>
        </w:rPr>
        <w:t xml:space="preserve">8 del artículo 11 y el numeral 5 del artículo 3 del Decreto Ley 4170 de 2011. </w:t>
      </w:r>
    </w:p>
    <w:p w14:paraId="77F3F6D9" w14:textId="77777777" w:rsidR="00A1118B" w:rsidRPr="009A4AB9" w:rsidRDefault="00A1118B" w:rsidP="00A1118B">
      <w:pPr>
        <w:pStyle w:val="Prrafodelista"/>
        <w:tabs>
          <w:tab w:val="left" w:pos="284"/>
        </w:tabs>
        <w:spacing w:line="276" w:lineRule="auto"/>
        <w:ind w:left="0"/>
        <w:jc w:val="both"/>
        <w:rPr>
          <w:rFonts w:ascii="Arial" w:eastAsia="Calibri" w:hAnsi="Arial" w:cs="Arial"/>
          <w:b/>
          <w:sz w:val="22"/>
          <w:lang w:val="es-CO"/>
        </w:rPr>
      </w:pPr>
      <w:r w:rsidRPr="009A4AB9">
        <w:rPr>
          <w:rFonts w:ascii="Arial" w:eastAsia="Calibri" w:hAnsi="Arial" w:cs="Arial"/>
          <w:b/>
          <w:sz w:val="22"/>
          <w:lang w:val="es-CO"/>
        </w:rPr>
        <w:lastRenderedPageBreak/>
        <w:t xml:space="preserve">1. Problema planteado </w:t>
      </w:r>
    </w:p>
    <w:p w14:paraId="6551DB04" w14:textId="77777777" w:rsidR="00A1118B" w:rsidRPr="009A4AB9" w:rsidRDefault="00A1118B" w:rsidP="00A1118B">
      <w:pPr>
        <w:tabs>
          <w:tab w:val="left" w:pos="426"/>
        </w:tabs>
        <w:spacing w:line="276" w:lineRule="auto"/>
        <w:jc w:val="both"/>
        <w:rPr>
          <w:rFonts w:ascii="Arial" w:eastAsia="Calibri" w:hAnsi="Arial" w:cs="Arial"/>
          <w:b/>
          <w:sz w:val="22"/>
          <w:lang w:val="es-CO"/>
        </w:rPr>
      </w:pPr>
    </w:p>
    <w:p w14:paraId="104C0FC8" w14:textId="4DB0553D" w:rsidR="00A1118B" w:rsidRPr="009A4AB9" w:rsidRDefault="00A1118B" w:rsidP="00A1118B">
      <w:pPr>
        <w:spacing w:line="276" w:lineRule="auto"/>
        <w:jc w:val="both"/>
        <w:rPr>
          <w:rFonts w:ascii="Arial" w:eastAsia="Calibri" w:hAnsi="Arial" w:cs="Arial"/>
          <w:sz w:val="22"/>
          <w:lang w:val="es-CO"/>
        </w:rPr>
      </w:pPr>
      <w:r w:rsidRPr="009A4AB9">
        <w:rPr>
          <w:rFonts w:ascii="Arial" w:eastAsia="Calibri" w:hAnsi="Arial" w:cs="Arial"/>
          <w:sz w:val="22"/>
          <w:lang w:val="es-CO"/>
        </w:rPr>
        <w:t xml:space="preserve">Usted realiza </w:t>
      </w:r>
      <w:r w:rsidR="00A61C89" w:rsidRPr="009A4AB9">
        <w:rPr>
          <w:rFonts w:ascii="Arial" w:eastAsia="Calibri" w:hAnsi="Arial" w:cs="Arial"/>
          <w:sz w:val="22"/>
          <w:lang w:val="es-CO"/>
        </w:rPr>
        <w:t>las siguientes preguntas</w:t>
      </w:r>
      <w:r w:rsidRPr="009A4AB9">
        <w:rPr>
          <w:rFonts w:ascii="Arial" w:eastAsia="Calibri" w:hAnsi="Arial" w:cs="Arial"/>
          <w:sz w:val="22"/>
          <w:lang w:val="es-CO"/>
        </w:rPr>
        <w:t xml:space="preserve">: </w:t>
      </w:r>
      <w:r w:rsidR="001F179E" w:rsidRPr="009A4AB9">
        <w:rPr>
          <w:rFonts w:ascii="Arial" w:eastAsia="Calibri" w:hAnsi="Arial" w:cs="Arial"/>
          <w:sz w:val="22"/>
          <w:lang w:val="es-CO"/>
        </w:rPr>
        <w:t xml:space="preserve">i) </w:t>
      </w:r>
      <w:r w:rsidR="00A61C89" w:rsidRPr="009A4AB9">
        <w:rPr>
          <w:rFonts w:ascii="Arial" w:hAnsi="Arial" w:cs="Arial"/>
          <w:sz w:val="22"/>
          <w:lang w:val="es-CO"/>
        </w:rPr>
        <w:t>¿</w:t>
      </w:r>
      <w:r w:rsidR="005052ED">
        <w:rPr>
          <w:rFonts w:ascii="Arial" w:hAnsi="Arial" w:cs="Arial"/>
          <w:sz w:val="22"/>
          <w:lang w:val="es-CO"/>
        </w:rPr>
        <w:t>e</w:t>
      </w:r>
      <w:r w:rsidR="00A61C89" w:rsidRPr="009A4AB9">
        <w:rPr>
          <w:rFonts w:ascii="Arial" w:hAnsi="Arial" w:cs="Arial"/>
          <w:sz w:val="22"/>
          <w:lang w:val="es-CO"/>
        </w:rPr>
        <w:t>l artículo 6 de la Ley 1</w:t>
      </w:r>
      <w:r w:rsidR="003E1C94">
        <w:rPr>
          <w:rFonts w:ascii="Arial" w:hAnsi="Arial" w:cs="Arial"/>
          <w:sz w:val="22"/>
          <w:lang w:val="es-CO"/>
        </w:rPr>
        <w:t>1</w:t>
      </w:r>
      <w:r w:rsidR="00A61C89" w:rsidRPr="009A4AB9">
        <w:rPr>
          <w:rFonts w:ascii="Arial" w:hAnsi="Arial" w:cs="Arial"/>
          <w:sz w:val="22"/>
          <w:lang w:val="es-CO"/>
        </w:rPr>
        <w:t xml:space="preserve">50 de 2007 autoriza al proponente para dejar de reportar contratos que estaban reportados en el RUP en su experiencia?;  </w:t>
      </w:r>
      <w:proofErr w:type="spellStart"/>
      <w:r w:rsidR="00A61C89" w:rsidRPr="009A4AB9">
        <w:rPr>
          <w:rFonts w:ascii="Arial" w:hAnsi="Arial" w:cs="Arial"/>
          <w:sz w:val="22"/>
          <w:lang w:val="es-CO"/>
        </w:rPr>
        <w:t>ii</w:t>
      </w:r>
      <w:proofErr w:type="spellEnd"/>
      <w:r w:rsidR="00A61C89" w:rsidRPr="009A4AB9">
        <w:rPr>
          <w:rFonts w:ascii="Arial" w:hAnsi="Arial" w:cs="Arial"/>
          <w:sz w:val="22"/>
          <w:lang w:val="es-CO"/>
        </w:rPr>
        <w:t>) ¿</w:t>
      </w:r>
      <w:r w:rsidR="00716287">
        <w:rPr>
          <w:rFonts w:ascii="Arial" w:hAnsi="Arial" w:cs="Arial"/>
          <w:sz w:val="22"/>
          <w:lang w:val="es-CO"/>
        </w:rPr>
        <w:t>e</w:t>
      </w:r>
      <w:r w:rsidR="00A61C89" w:rsidRPr="009A4AB9">
        <w:rPr>
          <w:rFonts w:ascii="Arial" w:hAnsi="Arial" w:cs="Arial"/>
          <w:sz w:val="22"/>
          <w:lang w:val="es-CO"/>
        </w:rPr>
        <w:t xml:space="preserve">n el marco del artículo 6 de la Ley 1150 de 2007, puede el proponente voluntariamente dejar de reportar contratos en el RUP, o requiere autorización de alguna autoridad? y </w:t>
      </w:r>
      <w:proofErr w:type="spellStart"/>
      <w:r w:rsidR="00A61C89" w:rsidRPr="009A4AB9">
        <w:rPr>
          <w:rFonts w:ascii="Arial" w:hAnsi="Arial" w:cs="Arial"/>
          <w:sz w:val="22"/>
          <w:lang w:val="es-CO"/>
        </w:rPr>
        <w:t>iii</w:t>
      </w:r>
      <w:proofErr w:type="spellEnd"/>
      <w:r w:rsidR="00A61C89" w:rsidRPr="009A4AB9">
        <w:rPr>
          <w:rFonts w:ascii="Arial" w:hAnsi="Arial" w:cs="Arial"/>
          <w:sz w:val="22"/>
          <w:lang w:val="es-CO"/>
        </w:rPr>
        <w:t xml:space="preserve">) </w:t>
      </w:r>
      <w:r w:rsidR="006E48B7">
        <w:rPr>
          <w:rFonts w:ascii="Arial" w:hAnsi="Arial" w:cs="Arial"/>
          <w:sz w:val="22"/>
          <w:lang w:val="es-CO"/>
        </w:rPr>
        <w:t>s</w:t>
      </w:r>
      <w:r w:rsidR="00A61C89" w:rsidRPr="009A4AB9">
        <w:rPr>
          <w:rFonts w:ascii="Arial" w:hAnsi="Arial" w:cs="Arial"/>
          <w:sz w:val="22"/>
          <w:lang w:val="es-CO"/>
        </w:rPr>
        <w:t xml:space="preserve">egún el </w:t>
      </w:r>
      <w:r w:rsidR="009A4AB9" w:rsidRPr="009A4AB9">
        <w:rPr>
          <w:rFonts w:ascii="Arial" w:hAnsi="Arial" w:cs="Arial"/>
          <w:sz w:val="22"/>
          <w:lang w:val="es-CO"/>
        </w:rPr>
        <w:t>artículo</w:t>
      </w:r>
      <w:r w:rsidR="00A61C89" w:rsidRPr="009A4AB9">
        <w:rPr>
          <w:rFonts w:ascii="Arial" w:hAnsi="Arial" w:cs="Arial"/>
          <w:sz w:val="22"/>
          <w:lang w:val="es-CO"/>
        </w:rPr>
        <w:t xml:space="preserve"> 6 de la Ley 1150 de 2007 ¿Qué efectos jurídicos conlleva dejar de reportar contratos en el RUP que antes s</w:t>
      </w:r>
      <w:r w:rsidR="006E48B7">
        <w:rPr>
          <w:rFonts w:ascii="Arial" w:hAnsi="Arial" w:cs="Arial"/>
          <w:sz w:val="22"/>
          <w:lang w:val="es-CO"/>
        </w:rPr>
        <w:t>í</w:t>
      </w:r>
      <w:r w:rsidR="00A61C89" w:rsidRPr="009A4AB9">
        <w:rPr>
          <w:rFonts w:ascii="Arial" w:hAnsi="Arial" w:cs="Arial"/>
          <w:sz w:val="22"/>
          <w:lang w:val="es-CO"/>
        </w:rPr>
        <w:t xml:space="preserve"> estaban reportados?  </w:t>
      </w:r>
    </w:p>
    <w:p w14:paraId="311DF45E" w14:textId="77777777" w:rsidR="001F179E" w:rsidRPr="009A4AB9" w:rsidRDefault="001F179E" w:rsidP="00A1118B">
      <w:pPr>
        <w:spacing w:line="276" w:lineRule="auto"/>
        <w:jc w:val="both"/>
        <w:rPr>
          <w:rFonts w:ascii="Arial" w:eastAsia="Calibri" w:hAnsi="Arial" w:cs="Arial"/>
          <w:sz w:val="22"/>
          <w:lang w:val="es-CO"/>
        </w:rPr>
      </w:pPr>
    </w:p>
    <w:p w14:paraId="75AB2D14" w14:textId="77777777" w:rsidR="00A1118B" w:rsidRPr="009A4AB9" w:rsidRDefault="00A1118B" w:rsidP="00A1118B">
      <w:pPr>
        <w:tabs>
          <w:tab w:val="left" w:pos="426"/>
        </w:tabs>
        <w:spacing w:line="276" w:lineRule="auto"/>
        <w:jc w:val="both"/>
        <w:rPr>
          <w:rFonts w:ascii="Arial" w:eastAsia="Calibri" w:hAnsi="Arial" w:cs="Arial"/>
          <w:b/>
          <w:sz w:val="22"/>
          <w:lang w:val="es-CO"/>
        </w:rPr>
      </w:pPr>
      <w:r w:rsidRPr="009A4AB9">
        <w:rPr>
          <w:rFonts w:ascii="Arial" w:eastAsia="Calibri" w:hAnsi="Arial" w:cs="Arial"/>
          <w:b/>
          <w:sz w:val="22"/>
          <w:lang w:val="es-CO"/>
        </w:rPr>
        <w:t>2. Consideraciones</w:t>
      </w:r>
    </w:p>
    <w:p w14:paraId="42ED4390" w14:textId="77777777" w:rsidR="00A1118B" w:rsidRPr="009A4AB9" w:rsidRDefault="00A1118B" w:rsidP="00A1118B">
      <w:pPr>
        <w:pStyle w:val="Prrafodelista"/>
        <w:tabs>
          <w:tab w:val="left" w:pos="284"/>
        </w:tabs>
        <w:spacing w:line="276" w:lineRule="auto"/>
        <w:ind w:left="0"/>
        <w:jc w:val="both"/>
        <w:rPr>
          <w:rFonts w:ascii="Arial" w:eastAsia="Calibri" w:hAnsi="Arial" w:cs="Arial"/>
          <w:b/>
          <w:sz w:val="22"/>
          <w:lang w:val="es-CO"/>
        </w:rPr>
      </w:pPr>
    </w:p>
    <w:p w14:paraId="2345C959" w14:textId="76A63A23" w:rsidR="00A1118B" w:rsidRPr="009A4AB9" w:rsidRDefault="00A1118B" w:rsidP="00A1118B">
      <w:pPr>
        <w:spacing w:after="120" w:line="276" w:lineRule="auto"/>
        <w:jc w:val="both"/>
        <w:rPr>
          <w:rFonts w:ascii="Arial" w:eastAsia="Calibri" w:hAnsi="Arial" w:cs="Arial"/>
          <w:sz w:val="22"/>
          <w:lang w:val="es-CO"/>
        </w:rPr>
      </w:pPr>
      <w:r w:rsidRPr="009A4AB9">
        <w:rPr>
          <w:rFonts w:ascii="Arial" w:eastAsia="Calibri" w:hAnsi="Arial" w:cs="Arial"/>
          <w:sz w:val="22"/>
          <w:lang w:val="es-CO"/>
        </w:rPr>
        <w:t xml:space="preserve">Las problemáticas asociadas al RUP, relacionadas con la firmeza de la inscripción, renovación y actualización fueron tratadas por </w:t>
      </w:r>
      <w:r w:rsidR="00BB1F95" w:rsidRPr="009A4AB9">
        <w:rPr>
          <w:rFonts w:ascii="Arial" w:eastAsia="Calibri" w:hAnsi="Arial" w:cs="Arial"/>
          <w:sz w:val="22"/>
          <w:lang w:val="es-CO"/>
        </w:rPr>
        <w:t xml:space="preserve">la Agencia </w:t>
      </w:r>
      <w:r w:rsidRPr="009A4AB9">
        <w:rPr>
          <w:rFonts w:ascii="Arial" w:eastAsia="Calibri" w:hAnsi="Arial" w:cs="Arial"/>
          <w:sz w:val="22"/>
          <w:lang w:val="es-CO"/>
        </w:rPr>
        <w:t xml:space="preserve">en los siguientes conceptos: 4201713000001182 del 24 de marzo de 2017; 4201814000002165 del 23 de abril de 2017; 4201713000001647 del 27 de abril de 2017; 4201711000001879 del 11 de mayo de 2017; </w:t>
      </w:r>
      <w:r w:rsidR="00BB1F95" w:rsidRPr="009A4AB9">
        <w:rPr>
          <w:rFonts w:ascii="Arial" w:eastAsia="Calibri" w:hAnsi="Arial" w:cs="Arial"/>
          <w:sz w:val="22"/>
          <w:lang w:val="es-CO"/>
        </w:rPr>
        <w:t>4201714000002097 del 24 de mayo de 2017;</w:t>
      </w:r>
      <w:r w:rsidRPr="009A4AB9">
        <w:rPr>
          <w:rFonts w:ascii="Arial" w:eastAsia="Calibri" w:hAnsi="Arial" w:cs="Arial"/>
          <w:sz w:val="22"/>
          <w:lang w:val="es-CO"/>
        </w:rPr>
        <w:t xml:space="preserve"> 4201814000002927 del 11 de abril de 2018;</w:t>
      </w:r>
      <w:r w:rsidR="00BB1F95" w:rsidRPr="009A4AB9">
        <w:rPr>
          <w:rFonts w:ascii="Arial" w:eastAsia="Calibri" w:hAnsi="Arial" w:cs="Arial"/>
          <w:sz w:val="22"/>
          <w:lang w:val="es-CO"/>
        </w:rPr>
        <w:t xml:space="preserve"> 4201814000002917 del 11 de mayo de 2018;</w:t>
      </w:r>
      <w:r w:rsidRPr="009A4AB9">
        <w:rPr>
          <w:rFonts w:ascii="Arial" w:eastAsia="Calibri" w:hAnsi="Arial" w:cs="Arial"/>
          <w:sz w:val="22"/>
          <w:lang w:val="es-CO"/>
        </w:rPr>
        <w:t xml:space="preserve"> 4201813000003018 del 11 de mayo de 2018; ; 4201814000004174 del 18 de mayo de 2018; 4201814000004014 del 20 de junio de 2018; 4201813000004073 del 21 de junio de 2018; 4201912000003350 del 4 de julio de 2019; 4201912000007418 del 11 de diciembre de 2019;  4201912000008154 del 14 de febrero de 2020</w:t>
      </w:r>
      <w:r w:rsidR="009E509F">
        <w:rPr>
          <w:rFonts w:ascii="Arial" w:eastAsia="Calibri" w:hAnsi="Arial" w:cs="Arial"/>
          <w:sz w:val="22"/>
          <w:lang w:val="es-CO"/>
        </w:rPr>
        <w:t>; C-098 de 16 de marzo de 2020, C-330 del 27 de mayo de 2020</w:t>
      </w:r>
      <w:r w:rsidRPr="009A4AB9">
        <w:rPr>
          <w:rFonts w:ascii="Arial" w:eastAsia="Calibri" w:hAnsi="Arial" w:cs="Arial"/>
          <w:sz w:val="22"/>
          <w:lang w:val="es-CO"/>
        </w:rPr>
        <w:t>.</w:t>
      </w:r>
    </w:p>
    <w:p w14:paraId="474A3399" w14:textId="2E969A2A" w:rsidR="00A1118B" w:rsidRPr="009A4AB9" w:rsidRDefault="00A1118B" w:rsidP="00A1118B">
      <w:pPr>
        <w:spacing w:line="276" w:lineRule="auto"/>
        <w:ind w:firstLine="708"/>
        <w:jc w:val="both"/>
        <w:rPr>
          <w:rFonts w:ascii="Arial" w:eastAsia="Calibri" w:hAnsi="Arial" w:cs="Arial"/>
          <w:sz w:val="22"/>
          <w:lang w:val="es-CO"/>
        </w:rPr>
      </w:pPr>
      <w:r w:rsidRPr="009A4AB9">
        <w:rPr>
          <w:rFonts w:ascii="Arial" w:eastAsia="Calibri" w:hAnsi="Arial" w:cs="Arial"/>
          <w:sz w:val="22"/>
          <w:lang w:val="es-CO"/>
        </w:rPr>
        <w:t>Para desarrollar el problema planteado se analizará la inscripción, renovación y actualización del registro</w:t>
      </w:r>
      <w:r w:rsidR="00A61C89" w:rsidRPr="009A4AB9">
        <w:rPr>
          <w:rFonts w:ascii="Arial" w:eastAsia="Calibri" w:hAnsi="Arial" w:cs="Arial"/>
          <w:sz w:val="22"/>
          <w:lang w:val="es-CO"/>
        </w:rPr>
        <w:t xml:space="preserve">. </w:t>
      </w:r>
    </w:p>
    <w:p w14:paraId="08C714CA" w14:textId="77777777" w:rsidR="00F56D55" w:rsidRPr="009A4AB9" w:rsidRDefault="00F56D55" w:rsidP="00A1118B">
      <w:pPr>
        <w:pStyle w:val="Prrafodelista"/>
        <w:spacing w:line="276" w:lineRule="auto"/>
        <w:ind w:left="0"/>
        <w:jc w:val="both"/>
        <w:rPr>
          <w:rFonts w:ascii="Arial" w:hAnsi="Arial" w:cs="Arial"/>
          <w:b/>
          <w:sz w:val="22"/>
          <w:lang w:val="es-CO"/>
        </w:rPr>
      </w:pPr>
    </w:p>
    <w:p w14:paraId="22BF6878" w14:textId="77777777" w:rsidR="00A1118B" w:rsidRPr="009A4AB9" w:rsidRDefault="00A1118B" w:rsidP="00A1118B">
      <w:pPr>
        <w:pStyle w:val="Prrafodelista"/>
        <w:spacing w:line="276" w:lineRule="auto"/>
        <w:ind w:left="0"/>
        <w:jc w:val="both"/>
        <w:rPr>
          <w:rFonts w:ascii="Arial" w:hAnsi="Arial" w:cs="Arial"/>
          <w:b/>
          <w:sz w:val="22"/>
          <w:lang w:val="es-CO"/>
        </w:rPr>
      </w:pPr>
      <w:r w:rsidRPr="009A4AB9">
        <w:rPr>
          <w:rFonts w:ascii="Arial" w:hAnsi="Arial" w:cs="Arial"/>
          <w:b/>
          <w:sz w:val="22"/>
          <w:lang w:val="es-CO"/>
        </w:rPr>
        <w:t>2.2. Renovación del Registro Único de Proponentes – RUP y sus efectos durante la verificación de la información</w:t>
      </w:r>
    </w:p>
    <w:p w14:paraId="2417968B" w14:textId="77777777" w:rsidR="00A1118B" w:rsidRPr="009A4AB9" w:rsidRDefault="00A1118B" w:rsidP="00A1118B">
      <w:pPr>
        <w:spacing w:line="276" w:lineRule="auto"/>
        <w:jc w:val="both"/>
        <w:rPr>
          <w:rFonts w:ascii="Arial" w:hAnsi="Arial" w:cs="Arial"/>
          <w:sz w:val="22"/>
          <w:lang w:val="es-CO"/>
        </w:rPr>
      </w:pPr>
    </w:p>
    <w:p w14:paraId="37F708E5" w14:textId="066547AC" w:rsidR="00A1118B" w:rsidRPr="009A4AB9" w:rsidRDefault="00A1118B" w:rsidP="00A1118B">
      <w:pPr>
        <w:spacing w:after="120" w:line="276" w:lineRule="auto"/>
        <w:jc w:val="both"/>
        <w:rPr>
          <w:rFonts w:ascii="Arial" w:hAnsi="Arial" w:cs="Arial"/>
          <w:sz w:val="22"/>
          <w:lang w:val="es-CO"/>
        </w:rPr>
      </w:pPr>
      <w:r w:rsidRPr="009A4AB9">
        <w:rPr>
          <w:rFonts w:ascii="Arial" w:hAnsi="Arial" w:cs="Arial"/>
          <w:sz w:val="22"/>
          <w:lang w:val="es-CO"/>
        </w:rPr>
        <w:t>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w:t>
      </w:r>
      <w:r w:rsidR="00BB1F95" w:rsidRPr="009A4AB9">
        <w:rPr>
          <w:rFonts w:ascii="Arial" w:hAnsi="Arial" w:cs="Arial"/>
          <w:sz w:val="22"/>
          <w:lang w:val="es-CO"/>
        </w:rPr>
        <w:t>,</w:t>
      </w:r>
      <w:r w:rsidRPr="009A4AB9">
        <w:rPr>
          <w:rFonts w:ascii="Arial" w:hAnsi="Arial" w:cs="Arial"/>
          <w:sz w:val="22"/>
          <w:lang w:val="es-CO"/>
        </w:rPr>
        <w:t xml:space="preserve"> verificada la información aportada por el </w:t>
      </w:r>
      <w:r w:rsidR="00123E43" w:rsidRPr="009A4AB9">
        <w:rPr>
          <w:rFonts w:ascii="Arial" w:hAnsi="Arial" w:cs="Arial"/>
          <w:sz w:val="22"/>
          <w:lang w:val="es-CO"/>
        </w:rPr>
        <w:t>proponente</w:t>
      </w:r>
      <w:r w:rsidR="00BB1F95" w:rsidRPr="009A4AB9">
        <w:rPr>
          <w:rFonts w:ascii="Arial" w:hAnsi="Arial" w:cs="Arial"/>
          <w:sz w:val="22"/>
          <w:lang w:val="es-CO"/>
        </w:rPr>
        <w:t>,</w:t>
      </w:r>
      <w:r w:rsidRPr="009A4AB9">
        <w:rPr>
          <w:rFonts w:ascii="Arial" w:hAnsi="Arial" w:cs="Arial"/>
          <w:sz w:val="22"/>
          <w:lang w:val="es-CO"/>
        </w:rPr>
        <w:t xml:space="preserv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9A4AB9">
        <w:rPr>
          <w:rFonts w:ascii="Arial" w:hAnsi="Arial" w:cs="Arial"/>
          <w:i/>
          <w:iCs/>
          <w:sz w:val="22"/>
          <w:lang w:val="es-CO"/>
        </w:rPr>
        <w:t>inscripción, renovación o actualización–</w:t>
      </w:r>
      <w:r w:rsidRPr="009A4AB9">
        <w:rPr>
          <w:rStyle w:val="Refdenotaalpie"/>
          <w:rFonts w:ascii="Arial" w:hAnsi="Arial" w:cs="Arial"/>
          <w:sz w:val="22"/>
          <w:lang w:val="es-CO"/>
        </w:rPr>
        <w:footnoteReference w:id="1"/>
      </w:r>
      <w:r w:rsidRPr="009A4AB9">
        <w:rPr>
          <w:rFonts w:ascii="Arial" w:hAnsi="Arial" w:cs="Arial"/>
          <w:sz w:val="22"/>
          <w:lang w:val="es-CO"/>
        </w:rPr>
        <w:t xml:space="preserve">. En firme el acto administrativo que realiza la inscripción en el Registro </w:t>
      </w:r>
      <w:r w:rsidRPr="009A4AB9">
        <w:rPr>
          <w:rFonts w:ascii="Arial" w:hAnsi="Arial" w:cs="Arial"/>
          <w:sz w:val="22"/>
          <w:lang w:val="es-CO"/>
        </w:rPr>
        <w:lastRenderedPageBreak/>
        <w:t>Único de Proponentes se podrá demandar su nulidad</w:t>
      </w:r>
      <w:r w:rsidR="00D45B19">
        <w:rPr>
          <w:rFonts w:ascii="Arial" w:hAnsi="Arial" w:cs="Arial"/>
          <w:sz w:val="22"/>
          <w:lang w:val="es-CO"/>
        </w:rPr>
        <w:t>,</w:t>
      </w:r>
      <w:r w:rsidRPr="009A4AB9">
        <w:rPr>
          <w:rFonts w:ascii="Arial" w:hAnsi="Arial" w:cs="Arial"/>
          <w:sz w:val="22"/>
          <w:lang w:val="es-CO"/>
        </w:rPr>
        <w:t xml:space="preserve"> sin que la presentación de la demanda suspenda la inscripción del RUP.</w:t>
      </w:r>
    </w:p>
    <w:p w14:paraId="1B1D0E16" w14:textId="77777777" w:rsidR="00A1118B" w:rsidRPr="009A4AB9" w:rsidRDefault="00A1118B" w:rsidP="009E509F">
      <w:pPr>
        <w:spacing w:line="276" w:lineRule="auto"/>
        <w:ind w:firstLine="709"/>
        <w:jc w:val="both"/>
        <w:rPr>
          <w:rFonts w:ascii="Arial" w:eastAsia="Calibri" w:hAnsi="Arial" w:cs="Arial"/>
          <w:sz w:val="22"/>
          <w:lang w:val="es-CO"/>
        </w:rPr>
      </w:pPr>
      <w:r w:rsidRPr="009A4AB9">
        <w:rPr>
          <w:rFonts w:ascii="Arial" w:eastAsia="Calibri" w:hAnsi="Arial" w:cs="Arial"/>
          <w:sz w:val="22"/>
          <w:lang w:val="es-CO"/>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r w:rsidRPr="009A4AB9">
        <w:rPr>
          <w:rStyle w:val="Refdenotaalpie"/>
          <w:rFonts w:ascii="Arial" w:eastAsia="Calibri" w:hAnsi="Arial" w:cs="Arial"/>
          <w:sz w:val="22"/>
          <w:lang w:val="es-CO"/>
        </w:rPr>
        <w:footnoteReference w:id="2"/>
      </w:r>
      <w:r w:rsidRPr="009A4AB9">
        <w:rPr>
          <w:rFonts w:ascii="Arial" w:eastAsia="Calibri" w:hAnsi="Arial" w:cs="Arial"/>
          <w:sz w:val="22"/>
          <w:lang w:val="es-CO"/>
        </w:rPr>
        <w:t>. Asimismo, el Consejo de Estado en sentencia del 19 de septiembre de 2019 señaló la finalidad de la renovación del RUP y las consecuencias de no hacerlo en el término previsto:</w:t>
      </w:r>
    </w:p>
    <w:p w14:paraId="44B2341D" w14:textId="77777777" w:rsidR="00A1118B" w:rsidRPr="009A4AB9" w:rsidRDefault="00A1118B" w:rsidP="00A1118B">
      <w:pPr>
        <w:spacing w:line="276" w:lineRule="auto"/>
        <w:jc w:val="both"/>
        <w:rPr>
          <w:rFonts w:ascii="Arial" w:eastAsia="Calibri" w:hAnsi="Arial" w:cs="Arial"/>
          <w:sz w:val="22"/>
          <w:lang w:val="es-CO"/>
        </w:rPr>
      </w:pPr>
    </w:p>
    <w:p w14:paraId="03861960" w14:textId="77777777" w:rsidR="00A1118B" w:rsidRPr="009A4AB9" w:rsidRDefault="00A1118B" w:rsidP="00A1118B">
      <w:pPr>
        <w:tabs>
          <w:tab w:val="left" w:pos="567"/>
        </w:tabs>
        <w:ind w:left="709" w:right="709"/>
        <w:jc w:val="both"/>
        <w:rPr>
          <w:rFonts w:ascii="Arial" w:hAnsi="Arial" w:cs="Arial"/>
          <w:sz w:val="21"/>
          <w:szCs w:val="21"/>
          <w:lang w:val="es-CO"/>
        </w:rPr>
      </w:pPr>
      <w:r w:rsidRPr="009A4AB9">
        <w:rPr>
          <w:rFonts w:ascii="Arial" w:hAnsi="Arial" w:cs="Arial"/>
          <w:sz w:val="21"/>
          <w:szCs w:val="21"/>
          <w:lang w:val="es-CO"/>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w:t>
      </w:r>
      <w:r w:rsidRPr="009A4AB9">
        <w:rPr>
          <w:rFonts w:ascii="Arial" w:hAnsi="Arial" w:cs="Arial"/>
          <w:sz w:val="21"/>
          <w:szCs w:val="21"/>
          <w:lang w:val="es-CO"/>
        </w:rPr>
        <w:lastRenderedPageBreak/>
        <w:t xml:space="preserve">día hábil del mes de abril. En defecto, la disposición reglamentaria establece como consecuencia la cesación de los efectos del RUP. </w:t>
      </w:r>
    </w:p>
    <w:p w14:paraId="4A882D60" w14:textId="77777777" w:rsidR="00A1118B" w:rsidRPr="009A4AB9" w:rsidRDefault="00A1118B" w:rsidP="00A1118B">
      <w:pPr>
        <w:tabs>
          <w:tab w:val="left" w:pos="567"/>
        </w:tabs>
        <w:ind w:left="709" w:right="709"/>
        <w:jc w:val="both"/>
        <w:rPr>
          <w:rFonts w:ascii="Arial" w:hAnsi="Arial" w:cs="Arial"/>
          <w:sz w:val="21"/>
          <w:szCs w:val="21"/>
          <w:lang w:val="es-CO"/>
        </w:rPr>
      </w:pPr>
    </w:p>
    <w:p w14:paraId="654189E0" w14:textId="77777777" w:rsidR="00A1118B" w:rsidRPr="009A4AB9" w:rsidRDefault="00A1118B" w:rsidP="00A1118B">
      <w:pPr>
        <w:tabs>
          <w:tab w:val="left" w:pos="567"/>
        </w:tabs>
        <w:ind w:left="709" w:right="709"/>
        <w:jc w:val="both"/>
        <w:rPr>
          <w:rFonts w:ascii="Arial" w:hAnsi="Arial" w:cs="Arial"/>
          <w:sz w:val="21"/>
          <w:szCs w:val="21"/>
          <w:lang w:val="es-CO"/>
        </w:rPr>
      </w:pPr>
      <w:r w:rsidRPr="009A4AB9">
        <w:rPr>
          <w:rFonts w:ascii="Arial" w:hAnsi="Arial" w:cs="Arial"/>
          <w:sz w:val="21"/>
          <w:szCs w:val="21"/>
          <w:lang w:val="es-CO"/>
        </w:rPr>
        <w:t xml:space="preserve">Ante ese panorama, </w:t>
      </w:r>
      <w:bookmarkStart w:id="1" w:name="_Hlk20983873"/>
      <w:r w:rsidRPr="009A4AB9">
        <w:rPr>
          <w:rFonts w:ascii="Arial" w:hAnsi="Arial" w:cs="Arial"/>
          <w:sz w:val="21"/>
          <w:szCs w:val="21"/>
          <w:lang w:val="es-CO"/>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9A4AB9">
        <w:rPr>
          <w:rStyle w:val="Refdenotaalpie"/>
          <w:rFonts w:ascii="Arial" w:hAnsi="Arial" w:cs="Arial"/>
          <w:sz w:val="21"/>
          <w:szCs w:val="21"/>
          <w:lang w:val="es-CO"/>
        </w:rPr>
        <w:footnoteReference w:id="3"/>
      </w:r>
      <w:r w:rsidRPr="009A4AB9">
        <w:rPr>
          <w:rFonts w:ascii="Arial" w:hAnsi="Arial" w:cs="Arial"/>
          <w:sz w:val="21"/>
          <w:szCs w:val="21"/>
          <w:lang w:val="es-CO"/>
        </w:rPr>
        <w:t xml:space="preserve">.  </w:t>
      </w:r>
    </w:p>
    <w:bookmarkEnd w:id="1"/>
    <w:p w14:paraId="1E533397" w14:textId="77777777" w:rsidR="00A1118B" w:rsidRPr="009A4AB9" w:rsidRDefault="00A1118B" w:rsidP="00A1118B">
      <w:pPr>
        <w:jc w:val="both"/>
        <w:rPr>
          <w:rFonts w:ascii="Arial" w:eastAsia="Calibri" w:hAnsi="Arial" w:cs="Arial"/>
          <w:sz w:val="22"/>
          <w:lang w:val="es-CO"/>
        </w:rPr>
      </w:pPr>
      <w:r w:rsidRPr="009A4AB9">
        <w:rPr>
          <w:rFonts w:ascii="Arial" w:eastAsia="Calibri" w:hAnsi="Arial" w:cs="Arial"/>
          <w:sz w:val="22"/>
          <w:lang w:val="es-CO"/>
        </w:rPr>
        <w:t xml:space="preserve"> </w:t>
      </w:r>
    </w:p>
    <w:p w14:paraId="78EED9D4" w14:textId="22C6387C" w:rsidR="00A1118B" w:rsidRPr="009A4AB9" w:rsidRDefault="00A1118B" w:rsidP="00A1118B">
      <w:pPr>
        <w:spacing w:after="120" w:line="276" w:lineRule="auto"/>
        <w:ind w:firstLine="708"/>
        <w:jc w:val="both"/>
        <w:rPr>
          <w:rFonts w:ascii="Arial" w:eastAsia="Calibri" w:hAnsi="Arial" w:cs="Arial"/>
          <w:sz w:val="22"/>
          <w:lang w:val="es-CO"/>
        </w:rPr>
      </w:pPr>
      <w:r w:rsidRPr="009A4AB9">
        <w:rPr>
          <w:rFonts w:ascii="Arial" w:eastAsia="Calibri" w:hAnsi="Arial" w:cs="Arial"/>
          <w:sz w:val="22"/>
          <w:lang w:val="es-CO"/>
        </w:rPr>
        <w:t xml:space="preserve">Conforme a lo anterior, en armonía con lo señalado en el artículo 2.2.1.1.1.5.1. del Decreto 1082 de 2015, </w:t>
      </w:r>
      <w:r w:rsidRPr="009A4AB9">
        <w:rPr>
          <w:rFonts w:ascii="Arial" w:eastAsia="Calibri" w:hAnsi="Arial" w:cs="Arial"/>
          <w:i/>
          <w:sz w:val="22"/>
          <w:lang w:val="es-CO"/>
        </w:rPr>
        <w:t>si el proponente</w:t>
      </w:r>
      <w:r w:rsidRPr="009A4AB9">
        <w:rPr>
          <w:rFonts w:ascii="Arial" w:eastAsia="Calibri" w:hAnsi="Arial" w:cs="Arial"/>
          <w:sz w:val="22"/>
          <w:lang w:val="es-CO"/>
        </w:rPr>
        <w:t xml:space="preserve"> </w:t>
      </w:r>
      <w:r w:rsidRPr="009A4AB9">
        <w:rPr>
          <w:rFonts w:ascii="Arial" w:eastAsia="Calibri" w:hAnsi="Arial" w:cs="Arial"/>
          <w:i/>
          <w:sz w:val="22"/>
          <w:lang w:val="es-CO"/>
        </w:rPr>
        <w:t>no presenta la información para renovar su registro</w:t>
      </w:r>
      <w:r w:rsidRPr="009A4AB9">
        <w:rPr>
          <w:rFonts w:ascii="Arial" w:eastAsia="Calibri" w:hAnsi="Arial" w:cs="Arial"/>
          <w:sz w:val="22"/>
          <w:lang w:val="es-CO"/>
        </w:rPr>
        <w:t xml:space="preserve"> antes del quinto día hábil del mes de abril de cada año, cesarán los efectos del RUP. Lo anterior implica que el proponente que no cumpla con la carga indicada no se puede presentar a los procedimientos de selección, en los </w:t>
      </w:r>
      <w:r w:rsidR="00E150A3">
        <w:rPr>
          <w:rFonts w:ascii="Arial" w:eastAsia="Calibri" w:hAnsi="Arial" w:cs="Arial"/>
          <w:sz w:val="22"/>
          <w:lang w:val="es-CO"/>
        </w:rPr>
        <w:t>eventos</w:t>
      </w:r>
      <w:r w:rsidR="00A74DCB">
        <w:rPr>
          <w:rFonts w:ascii="Arial" w:eastAsia="Calibri" w:hAnsi="Arial" w:cs="Arial"/>
          <w:sz w:val="22"/>
          <w:lang w:val="es-CO"/>
        </w:rPr>
        <w:t xml:space="preserve"> en</w:t>
      </w:r>
      <w:r w:rsidR="00E150A3" w:rsidRPr="009A4AB9">
        <w:rPr>
          <w:rFonts w:ascii="Arial" w:eastAsia="Calibri" w:hAnsi="Arial" w:cs="Arial"/>
          <w:sz w:val="22"/>
          <w:lang w:val="es-CO"/>
        </w:rPr>
        <w:t xml:space="preserve"> </w:t>
      </w:r>
      <w:r w:rsidRPr="009A4AB9">
        <w:rPr>
          <w:rFonts w:ascii="Arial" w:eastAsia="Calibri" w:hAnsi="Arial" w:cs="Arial"/>
          <w:sz w:val="22"/>
          <w:lang w:val="es-CO"/>
        </w:rPr>
        <w:t xml:space="preserve">que es necesario estar inscrito en el RUP, porque no tendría capacidad para hacerlo y, por tanto, tendría que inscribirse nuevamente, caso en el que solo se podrá presentar cuando la inscripción esté en firme. </w:t>
      </w:r>
    </w:p>
    <w:p w14:paraId="7E27A022" w14:textId="22476743" w:rsidR="00A1118B" w:rsidRPr="009A4AB9" w:rsidRDefault="00A1118B" w:rsidP="00A1118B">
      <w:pPr>
        <w:spacing w:after="120" w:line="276" w:lineRule="auto"/>
        <w:ind w:firstLine="708"/>
        <w:jc w:val="both"/>
        <w:rPr>
          <w:rFonts w:ascii="Arial" w:eastAsia="Calibri" w:hAnsi="Arial" w:cs="Arial"/>
          <w:sz w:val="22"/>
          <w:lang w:val="es-CO"/>
        </w:rPr>
      </w:pPr>
      <w:r w:rsidRPr="009A4AB9">
        <w:rPr>
          <w:rFonts w:ascii="Arial" w:eastAsia="Calibri" w:hAnsi="Arial" w:cs="Arial"/>
          <w:sz w:val="22"/>
          <w:lang w:val="es-CO"/>
        </w:rPr>
        <w:t xml:space="preserve">Tratándose del trámite de </w:t>
      </w:r>
      <w:r w:rsidRPr="009A4AB9">
        <w:rPr>
          <w:rFonts w:ascii="Arial" w:eastAsia="Calibri" w:hAnsi="Arial" w:cs="Arial"/>
          <w:i/>
          <w:sz w:val="22"/>
          <w:lang w:val="es-CO"/>
        </w:rPr>
        <w:t>renovación,</w:t>
      </w:r>
      <w:r w:rsidRPr="009A4AB9">
        <w:rPr>
          <w:rFonts w:ascii="Arial" w:eastAsia="Calibri" w:hAnsi="Arial" w:cs="Arial"/>
          <w:sz w:val="22"/>
          <w:lang w:val="es-CO"/>
        </w:rPr>
        <w:t xml:space="preserve">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w:t>
      </w:r>
      <w:r w:rsidR="003E4ED5" w:rsidRPr="009A4AB9">
        <w:rPr>
          <w:rFonts w:ascii="Arial" w:eastAsia="Calibri" w:hAnsi="Arial" w:cs="Arial"/>
          <w:sz w:val="22"/>
          <w:lang w:val="es-CO"/>
        </w:rPr>
        <w:t>por encontrarse</w:t>
      </w:r>
      <w:r w:rsidRPr="009A4AB9">
        <w:rPr>
          <w:rFonts w:ascii="Arial" w:eastAsia="Calibri" w:hAnsi="Arial" w:cs="Arial"/>
          <w:sz w:val="22"/>
          <w:lang w:val="es-CO"/>
        </w:rPr>
        <w:t xml:space="preserve"> vigente.</w:t>
      </w:r>
    </w:p>
    <w:p w14:paraId="4D21C0C7" w14:textId="2CC6BD05" w:rsidR="001F179E" w:rsidRPr="009A4AB9" w:rsidRDefault="00A1118B" w:rsidP="003E4ED5">
      <w:pPr>
        <w:spacing w:after="120" w:line="276" w:lineRule="auto"/>
        <w:ind w:firstLine="708"/>
        <w:jc w:val="both"/>
        <w:rPr>
          <w:rFonts w:ascii="Arial" w:eastAsia="Calibri" w:hAnsi="Arial" w:cs="Arial"/>
          <w:sz w:val="22"/>
          <w:lang w:val="es-CO"/>
        </w:rPr>
      </w:pPr>
      <w:r w:rsidRPr="009A4AB9">
        <w:rPr>
          <w:rFonts w:ascii="Arial" w:eastAsia="Calibri" w:hAnsi="Arial" w:cs="Arial"/>
          <w:sz w:val="22"/>
          <w:lang w:val="es-CO"/>
        </w:rPr>
        <w:t>Así las cosas, para verificar que los efectos del RUP no han cesado es necesario que el certificado contenga la anotación de que el inscrit</w:t>
      </w:r>
      <w:r w:rsidR="00B14FC4" w:rsidRPr="009A4AB9">
        <w:rPr>
          <w:rFonts w:ascii="Arial" w:eastAsia="Calibri" w:hAnsi="Arial" w:cs="Arial"/>
          <w:sz w:val="22"/>
          <w:lang w:val="es-CO"/>
        </w:rPr>
        <w:t>o, a más tardar el quinto día hábil de abril de cada año,</w:t>
      </w:r>
      <w:r w:rsidR="00B14FC4" w:rsidRPr="009A4AB9" w:rsidDel="00B14FC4">
        <w:rPr>
          <w:rFonts w:ascii="Arial" w:eastAsia="Calibri" w:hAnsi="Arial" w:cs="Arial"/>
          <w:sz w:val="22"/>
          <w:lang w:val="es-CO"/>
        </w:rPr>
        <w:t xml:space="preserve"> </w:t>
      </w:r>
      <w:r w:rsidRPr="009A4AB9">
        <w:rPr>
          <w:rFonts w:ascii="Arial" w:eastAsia="Calibri" w:hAnsi="Arial" w:cs="Arial"/>
          <w:sz w:val="22"/>
          <w:lang w:val="es-CO"/>
        </w:rPr>
        <w:t>radicó ante la cámara de comercio los documentos para la renovación</w:t>
      </w:r>
      <w:r w:rsidR="00B14FC4" w:rsidRPr="009A4AB9">
        <w:rPr>
          <w:rFonts w:ascii="Arial" w:eastAsia="Calibri" w:hAnsi="Arial" w:cs="Arial"/>
          <w:sz w:val="22"/>
          <w:lang w:val="es-CO"/>
        </w:rPr>
        <w:t xml:space="preserve">. En todo caso, si </w:t>
      </w:r>
      <w:r w:rsidR="003C099D" w:rsidRPr="009A4AB9">
        <w:rPr>
          <w:rFonts w:ascii="Arial" w:eastAsia="Calibri" w:hAnsi="Arial" w:cs="Arial"/>
          <w:sz w:val="22"/>
          <w:lang w:val="es-CO"/>
        </w:rPr>
        <w:t>tal circunstancia no estuviere inscrita en el certificado</w:t>
      </w:r>
      <w:r w:rsidR="00B14FC4" w:rsidRPr="009A4AB9">
        <w:rPr>
          <w:rFonts w:ascii="Arial" w:eastAsia="Calibri" w:hAnsi="Arial" w:cs="Arial"/>
          <w:sz w:val="22"/>
          <w:lang w:val="es-CO"/>
        </w:rPr>
        <w:t>, se podrá acre</w:t>
      </w:r>
      <w:r w:rsidR="003C099D" w:rsidRPr="009A4AB9">
        <w:rPr>
          <w:rFonts w:ascii="Arial" w:eastAsia="Calibri" w:hAnsi="Arial" w:cs="Arial"/>
          <w:sz w:val="22"/>
          <w:lang w:val="es-CO"/>
        </w:rPr>
        <w:t>ditar</w:t>
      </w:r>
      <w:r w:rsidRPr="009A4AB9">
        <w:rPr>
          <w:rFonts w:ascii="Arial" w:eastAsia="Calibri" w:hAnsi="Arial" w:cs="Arial"/>
          <w:sz w:val="22"/>
          <w:lang w:val="es-CO"/>
        </w:rPr>
        <w:t xml:space="preserve"> </w:t>
      </w:r>
      <w:r w:rsidR="003C099D" w:rsidRPr="009A4AB9">
        <w:rPr>
          <w:rFonts w:ascii="Arial" w:eastAsia="Calibri" w:hAnsi="Arial" w:cs="Arial"/>
          <w:sz w:val="22"/>
          <w:lang w:val="es-CO"/>
        </w:rPr>
        <w:t xml:space="preserve">a través del medio </w:t>
      </w:r>
      <w:r w:rsidR="004C5B23" w:rsidRPr="009A4AB9">
        <w:rPr>
          <w:rFonts w:ascii="Arial" w:eastAsia="Calibri" w:hAnsi="Arial" w:cs="Arial"/>
          <w:sz w:val="22"/>
          <w:lang w:val="es-CO"/>
        </w:rPr>
        <w:t xml:space="preserve">documental </w:t>
      </w:r>
      <w:r w:rsidR="003C099D" w:rsidRPr="009A4AB9">
        <w:rPr>
          <w:rFonts w:ascii="Arial" w:eastAsia="Calibri" w:hAnsi="Arial" w:cs="Arial"/>
          <w:sz w:val="22"/>
          <w:lang w:val="es-CO"/>
        </w:rPr>
        <w:t>expedido por la cámara de comercio correspondiente</w:t>
      </w:r>
      <w:r w:rsidR="00967AEC">
        <w:rPr>
          <w:rFonts w:ascii="Arial" w:eastAsia="Calibri" w:hAnsi="Arial" w:cs="Arial"/>
          <w:sz w:val="22"/>
          <w:lang w:val="es-CO"/>
        </w:rPr>
        <w:t>.</w:t>
      </w:r>
      <w:r w:rsidR="004C5B23" w:rsidRPr="009A4AB9">
        <w:rPr>
          <w:rFonts w:ascii="Arial" w:eastAsia="Calibri" w:hAnsi="Arial" w:cs="Arial"/>
          <w:sz w:val="22"/>
          <w:lang w:val="es-CO"/>
        </w:rPr>
        <w:t xml:space="preserve"> </w:t>
      </w:r>
      <w:r w:rsidR="00967AEC">
        <w:rPr>
          <w:rFonts w:ascii="Arial" w:eastAsia="Calibri" w:hAnsi="Arial" w:cs="Arial"/>
          <w:sz w:val="22"/>
          <w:lang w:val="es-CO"/>
        </w:rPr>
        <w:t>A</w:t>
      </w:r>
      <w:r w:rsidR="004C5B23" w:rsidRPr="009A4AB9">
        <w:rPr>
          <w:rFonts w:ascii="Arial" w:eastAsia="Calibri" w:hAnsi="Arial" w:cs="Arial"/>
          <w:sz w:val="22"/>
          <w:lang w:val="es-CO"/>
        </w:rPr>
        <w:t>s</w:t>
      </w:r>
      <w:r w:rsidR="003E4ED5" w:rsidRPr="009A4AB9">
        <w:rPr>
          <w:rFonts w:ascii="Arial" w:eastAsia="Calibri" w:hAnsi="Arial" w:cs="Arial"/>
          <w:sz w:val="22"/>
          <w:lang w:val="es-CO"/>
        </w:rPr>
        <w:t>í</w:t>
      </w:r>
      <w:r w:rsidR="004C5B23" w:rsidRPr="009A4AB9">
        <w:rPr>
          <w:rFonts w:ascii="Arial" w:eastAsia="Calibri" w:hAnsi="Arial" w:cs="Arial"/>
          <w:sz w:val="22"/>
          <w:lang w:val="es-CO"/>
        </w:rPr>
        <w:t xml:space="preserve"> pues</w:t>
      </w:r>
      <w:r w:rsidR="003C099D" w:rsidRPr="009A4AB9">
        <w:rPr>
          <w:rFonts w:ascii="Arial" w:eastAsia="Calibri" w:hAnsi="Arial" w:cs="Arial"/>
          <w:sz w:val="22"/>
          <w:lang w:val="es-CO"/>
        </w:rPr>
        <w:t xml:space="preserve">, </w:t>
      </w:r>
      <w:r w:rsidR="004C5B23" w:rsidRPr="009A4AB9">
        <w:rPr>
          <w:rFonts w:ascii="Arial" w:eastAsia="Calibri" w:hAnsi="Arial" w:cs="Arial"/>
          <w:sz w:val="22"/>
          <w:lang w:val="es-CO"/>
        </w:rPr>
        <w:t xml:space="preserve">por no haber tarifa legal que permita establecer la forma de acreditar el trámite de renovación, </w:t>
      </w:r>
      <w:r w:rsidR="0098455D" w:rsidRPr="009A4AB9">
        <w:rPr>
          <w:rFonts w:ascii="Arial" w:eastAsia="Calibri" w:hAnsi="Arial" w:cs="Arial"/>
          <w:sz w:val="22"/>
          <w:lang w:val="es-CO"/>
        </w:rPr>
        <w:t>la entidad estatal</w:t>
      </w:r>
      <w:r w:rsidR="003C099D" w:rsidRPr="009A4AB9">
        <w:rPr>
          <w:rFonts w:ascii="Arial" w:eastAsia="Calibri" w:hAnsi="Arial" w:cs="Arial"/>
          <w:sz w:val="22"/>
          <w:lang w:val="es-CO"/>
        </w:rPr>
        <w:t xml:space="preserve"> </w:t>
      </w:r>
      <w:r w:rsidR="004A1E27" w:rsidRPr="009A4AB9">
        <w:rPr>
          <w:rFonts w:ascii="Arial" w:eastAsia="Calibri" w:hAnsi="Arial" w:cs="Arial"/>
          <w:sz w:val="22"/>
          <w:lang w:val="es-CO"/>
        </w:rPr>
        <w:t>debe</w:t>
      </w:r>
      <w:r w:rsidR="0098455D" w:rsidRPr="009A4AB9">
        <w:rPr>
          <w:rFonts w:ascii="Arial" w:eastAsia="Calibri" w:hAnsi="Arial" w:cs="Arial"/>
          <w:sz w:val="22"/>
          <w:lang w:val="es-CO"/>
        </w:rPr>
        <w:t xml:space="preserve"> </w:t>
      </w:r>
      <w:r w:rsidR="00DD1FE4" w:rsidRPr="009A4AB9">
        <w:rPr>
          <w:rFonts w:ascii="Arial" w:eastAsia="Calibri" w:hAnsi="Arial" w:cs="Arial"/>
          <w:sz w:val="22"/>
          <w:lang w:val="es-CO"/>
        </w:rPr>
        <w:t xml:space="preserve">verificar que </w:t>
      </w:r>
      <w:r w:rsidR="0098455D" w:rsidRPr="009A4AB9">
        <w:rPr>
          <w:rFonts w:ascii="Arial" w:eastAsia="Calibri" w:hAnsi="Arial" w:cs="Arial"/>
          <w:sz w:val="22"/>
          <w:lang w:val="es-CO"/>
        </w:rPr>
        <w:t xml:space="preserve">el </w:t>
      </w:r>
      <w:r w:rsidR="003C099D" w:rsidRPr="009A4AB9">
        <w:rPr>
          <w:rFonts w:ascii="Arial" w:eastAsia="Calibri" w:hAnsi="Arial" w:cs="Arial"/>
          <w:sz w:val="22"/>
          <w:lang w:val="es-CO"/>
        </w:rPr>
        <w:t xml:space="preserve">documento </w:t>
      </w:r>
      <w:r w:rsidR="0098455D" w:rsidRPr="009A4AB9">
        <w:rPr>
          <w:rFonts w:ascii="Arial" w:eastAsia="Calibri" w:hAnsi="Arial" w:cs="Arial"/>
          <w:sz w:val="22"/>
          <w:lang w:val="es-CO"/>
        </w:rPr>
        <w:t xml:space="preserve">aportado por el </w:t>
      </w:r>
      <w:r w:rsidR="002A5C49" w:rsidRPr="009A4AB9">
        <w:rPr>
          <w:rFonts w:ascii="Arial" w:eastAsia="Calibri" w:hAnsi="Arial" w:cs="Arial"/>
          <w:sz w:val="22"/>
          <w:lang w:val="es-CO"/>
        </w:rPr>
        <w:t>proponente</w:t>
      </w:r>
      <w:r w:rsidR="0098455D" w:rsidRPr="009A4AB9">
        <w:rPr>
          <w:rFonts w:ascii="Arial" w:eastAsia="Calibri" w:hAnsi="Arial" w:cs="Arial"/>
          <w:sz w:val="22"/>
          <w:lang w:val="es-CO"/>
        </w:rPr>
        <w:t xml:space="preserve"> </w:t>
      </w:r>
      <w:r w:rsidR="004C5B23" w:rsidRPr="009A4AB9">
        <w:rPr>
          <w:rFonts w:ascii="Arial" w:eastAsia="Calibri" w:hAnsi="Arial" w:cs="Arial"/>
          <w:sz w:val="22"/>
          <w:lang w:val="es-CO"/>
        </w:rPr>
        <w:t>ofrezca</w:t>
      </w:r>
      <w:r w:rsidR="0098455D" w:rsidRPr="009A4AB9">
        <w:rPr>
          <w:rFonts w:ascii="Arial" w:eastAsia="Calibri" w:hAnsi="Arial" w:cs="Arial"/>
          <w:sz w:val="22"/>
          <w:lang w:val="es-CO"/>
        </w:rPr>
        <w:t xml:space="preserve"> certeza sobre el </w:t>
      </w:r>
      <w:r w:rsidR="004C5B23" w:rsidRPr="009A4AB9">
        <w:rPr>
          <w:rFonts w:ascii="Arial" w:eastAsia="Calibri" w:hAnsi="Arial" w:cs="Arial"/>
          <w:sz w:val="22"/>
          <w:lang w:val="es-CO"/>
        </w:rPr>
        <w:t xml:space="preserve">estado del </w:t>
      </w:r>
      <w:r w:rsidR="0098455D" w:rsidRPr="009A4AB9">
        <w:rPr>
          <w:rFonts w:ascii="Arial" w:eastAsia="Calibri" w:hAnsi="Arial" w:cs="Arial"/>
          <w:sz w:val="22"/>
          <w:lang w:val="es-CO"/>
        </w:rPr>
        <w:t>trámite</w:t>
      </w:r>
      <w:r w:rsidR="009B2279" w:rsidRPr="009A4AB9">
        <w:rPr>
          <w:rFonts w:ascii="Arial" w:eastAsia="Calibri" w:hAnsi="Arial" w:cs="Arial"/>
          <w:sz w:val="22"/>
          <w:lang w:val="es-CO"/>
        </w:rPr>
        <w:t xml:space="preserve">. </w:t>
      </w:r>
    </w:p>
    <w:p w14:paraId="73485D05" w14:textId="644812DF" w:rsidR="007E312B" w:rsidRPr="009A4AB9" w:rsidRDefault="00B008A4" w:rsidP="009A7C76">
      <w:pPr>
        <w:spacing w:after="120" w:line="276" w:lineRule="auto"/>
        <w:ind w:firstLine="709"/>
        <w:jc w:val="both"/>
        <w:rPr>
          <w:rFonts w:ascii="Arial" w:eastAsia="Calibri" w:hAnsi="Arial" w:cs="Arial"/>
          <w:sz w:val="22"/>
          <w:lang w:val="es-CO"/>
        </w:rPr>
      </w:pPr>
      <w:r w:rsidRPr="009A4AB9">
        <w:rPr>
          <w:rFonts w:ascii="Arial" w:eastAsia="Calibri" w:hAnsi="Arial" w:cs="Arial"/>
          <w:sz w:val="22"/>
          <w:lang w:val="es-CO"/>
        </w:rPr>
        <w:lastRenderedPageBreak/>
        <w:t>Dicho esto, l</w:t>
      </w:r>
      <w:r w:rsidR="007E312B" w:rsidRPr="009A4AB9">
        <w:rPr>
          <w:rFonts w:ascii="Arial" w:eastAsia="Calibri" w:hAnsi="Arial" w:cs="Arial"/>
          <w:sz w:val="22"/>
          <w:lang w:val="es-CO"/>
        </w:rPr>
        <w:t>a firmeza del acto de inscripción, renovación y actualización del RUP debe armonizarse con las prescripciones establecidas para la generalidad de los actos administrativos, esto es, de acuerdo con el artículo 87 de la Ley 1437 de 2011</w:t>
      </w:r>
      <w:r w:rsidR="007E312B" w:rsidRPr="009A4AB9">
        <w:rPr>
          <w:rStyle w:val="Refdenotaalpie"/>
          <w:rFonts w:ascii="Arial" w:eastAsia="Calibri" w:hAnsi="Arial" w:cs="Arial"/>
          <w:sz w:val="22"/>
          <w:lang w:val="es-CO"/>
        </w:rPr>
        <w:footnoteReference w:id="4"/>
      </w:r>
      <w:r w:rsidR="007E312B" w:rsidRPr="009A4AB9">
        <w:rPr>
          <w:rFonts w:ascii="Arial" w:eastAsia="Calibri" w:hAnsi="Arial" w:cs="Arial"/>
          <w:sz w:val="22"/>
          <w:lang w:val="es-CO"/>
        </w:rPr>
        <w:t xml:space="preserve">. </w:t>
      </w:r>
    </w:p>
    <w:p w14:paraId="4E148A68" w14:textId="77777777" w:rsidR="007E312B" w:rsidRPr="009A4AB9" w:rsidRDefault="007E312B" w:rsidP="009A7C76">
      <w:pPr>
        <w:spacing w:after="120" w:line="276" w:lineRule="auto"/>
        <w:ind w:firstLine="709"/>
        <w:jc w:val="both"/>
        <w:rPr>
          <w:rFonts w:ascii="Arial" w:eastAsia="Calibri" w:hAnsi="Arial" w:cs="Arial"/>
          <w:sz w:val="22"/>
          <w:lang w:val="es-CO"/>
        </w:rPr>
      </w:pPr>
      <w:r w:rsidRPr="009A4AB9">
        <w:rPr>
          <w:rFonts w:ascii="Arial" w:eastAsia="Calibri" w:hAnsi="Arial" w:cs="Arial"/>
          <w:sz w:val="22"/>
          <w:lang w:val="es-CO"/>
        </w:rPr>
        <w:t xml:space="preserve">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14:paraId="1B5FADA7" w14:textId="295A943B" w:rsidR="007E312B" w:rsidRPr="009A4AB9" w:rsidRDefault="007E312B" w:rsidP="009A7C76">
      <w:pPr>
        <w:spacing w:after="120" w:line="276" w:lineRule="auto"/>
        <w:ind w:firstLine="709"/>
        <w:jc w:val="both"/>
        <w:rPr>
          <w:rFonts w:ascii="Arial" w:eastAsia="Calibri" w:hAnsi="Arial" w:cs="Arial"/>
          <w:sz w:val="22"/>
          <w:lang w:val="es-CO"/>
        </w:rPr>
      </w:pPr>
      <w:r w:rsidRPr="009A4AB9">
        <w:rPr>
          <w:rFonts w:ascii="Arial" w:eastAsia="Calibri" w:hAnsi="Arial" w:cs="Arial"/>
          <w:sz w:val="22"/>
          <w:lang w:val="es-CO"/>
        </w:rPr>
        <w:t>Así pues,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9A4AB9">
        <w:rPr>
          <w:rStyle w:val="Refdenotaalpie"/>
          <w:rFonts w:ascii="Arial" w:eastAsia="Calibri" w:hAnsi="Arial" w:cs="Arial"/>
          <w:sz w:val="22"/>
          <w:lang w:val="es-CO"/>
        </w:rPr>
        <w:footnoteReference w:id="5"/>
      </w:r>
      <w:r w:rsidRPr="009A4AB9">
        <w:rPr>
          <w:rFonts w:ascii="Arial" w:eastAsia="Calibri" w:hAnsi="Arial" w:cs="Arial"/>
          <w:sz w:val="22"/>
          <w:lang w:val="es-CO"/>
        </w:rPr>
        <w:t xml:space="preserve">. </w:t>
      </w:r>
    </w:p>
    <w:p w14:paraId="454EE335" w14:textId="6150D38C" w:rsidR="007E312B" w:rsidRPr="009A4AB9" w:rsidRDefault="007E312B" w:rsidP="009A7C76">
      <w:pPr>
        <w:spacing w:after="120" w:line="276" w:lineRule="auto"/>
        <w:ind w:firstLine="709"/>
        <w:jc w:val="both"/>
        <w:rPr>
          <w:rFonts w:ascii="Arial" w:eastAsia="Calibri" w:hAnsi="Arial" w:cs="Arial"/>
          <w:sz w:val="22"/>
          <w:lang w:val="es-CO"/>
        </w:rPr>
      </w:pPr>
      <w:r w:rsidRPr="009A4AB9">
        <w:rPr>
          <w:rFonts w:ascii="Arial" w:eastAsia="Calibri" w:hAnsi="Arial" w:cs="Arial"/>
          <w:sz w:val="22"/>
          <w:lang w:val="es-CO"/>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en sede administrativa. </w:t>
      </w:r>
    </w:p>
    <w:p w14:paraId="0EA334BF" w14:textId="06C22D8D" w:rsidR="007E312B" w:rsidRPr="009A4AB9" w:rsidRDefault="007E312B" w:rsidP="009A7C76">
      <w:pPr>
        <w:spacing w:after="120" w:line="276" w:lineRule="auto"/>
        <w:ind w:firstLine="709"/>
        <w:jc w:val="both"/>
        <w:rPr>
          <w:rFonts w:ascii="Arial" w:eastAsia="Calibri" w:hAnsi="Arial" w:cs="Arial"/>
          <w:sz w:val="22"/>
          <w:lang w:val="es-CO"/>
        </w:rPr>
      </w:pPr>
      <w:r w:rsidRPr="009A4AB9">
        <w:rPr>
          <w:rFonts w:ascii="Arial" w:eastAsia="Calibri" w:hAnsi="Arial" w:cs="Arial"/>
          <w:sz w:val="22"/>
          <w:lang w:val="es-CO"/>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siempre que durante el término indicado no se presenten </w:t>
      </w:r>
      <w:r w:rsidR="007E34CF" w:rsidRPr="009A4AB9">
        <w:rPr>
          <w:rFonts w:ascii="Arial" w:eastAsia="Calibri" w:hAnsi="Arial" w:cs="Arial"/>
          <w:sz w:val="22"/>
          <w:lang w:val="es-CO"/>
        </w:rPr>
        <w:t>recursos. Si</w:t>
      </w:r>
      <w:r w:rsidRPr="009A4AB9">
        <w:rPr>
          <w:rFonts w:ascii="Arial" w:eastAsia="Calibri" w:hAnsi="Arial" w:cs="Arial"/>
          <w:sz w:val="22"/>
          <w:lang w:val="es-CO"/>
        </w:rPr>
        <w:t xml:space="preserve"> ocurre lo último, </w:t>
      </w:r>
      <w:r w:rsidR="00B5736D">
        <w:rPr>
          <w:rFonts w:ascii="Arial" w:eastAsia="Calibri" w:hAnsi="Arial" w:cs="Arial"/>
          <w:sz w:val="22"/>
          <w:lang w:val="es-CO"/>
        </w:rPr>
        <w:t xml:space="preserve">para que </w:t>
      </w:r>
      <w:proofErr w:type="gramStart"/>
      <w:r w:rsidR="00B5736D">
        <w:rPr>
          <w:rFonts w:ascii="Arial" w:eastAsia="Calibri" w:hAnsi="Arial" w:cs="Arial"/>
          <w:sz w:val="22"/>
          <w:lang w:val="es-CO"/>
        </w:rPr>
        <w:t xml:space="preserve">las actuaciones inscritas en el RUP </w:t>
      </w:r>
      <w:r w:rsidR="00B5736D" w:rsidRPr="009A4AB9">
        <w:rPr>
          <w:rFonts w:ascii="Arial" w:eastAsia="Calibri" w:hAnsi="Arial" w:cs="Arial"/>
          <w:sz w:val="22"/>
          <w:lang w:val="es-CO"/>
        </w:rPr>
        <w:t>adquiera</w:t>
      </w:r>
      <w:proofErr w:type="gramEnd"/>
      <w:r w:rsidRPr="009A4AB9">
        <w:rPr>
          <w:rFonts w:ascii="Arial" w:eastAsia="Calibri" w:hAnsi="Arial" w:cs="Arial"/>
          <w:sz w:val="22"/>
          <w:lang w:val="es-CO"/>
        </w:rPr>
        <w:t xml:space="preserve"> firmeza, será necesario que se resuelvan dichos recursos. </w:t>
      </w:r>
    </w:p>
    <w:p w14:paraId="62D90E79" w14:textId="77777777" w:rsidR="007E312B" w:rsidRPr="009A4AB9" w:rsidRDefault="007E312B" w:rsidP="009A7C76">
      <w:pPr>
        <w:spacing w:after="120" w:line="276" w:lineRule="auto"/>
        <w:ind w:firstLine="709"/>
        <w:jc w:val="both"/>
        <w:rPr>
          <w:rFonts w:ascii="Arial" w:eastAsia="Calibri" w:hAnsi="Arial" w:cs="Arial"/>
          <w:sz w:val="22"/>
          <w:lang w:val="es-CO"/>
        </w:rPr>
      </w:pPr>
      <w:r w:rsidRPr="009A4AB9">
        <w:rPr>
          <w:rFonts w:ascii="Arial" w:eastAsia="Calibri" w:hAnsi="Arial" w:cs="Arial"/>
          <w:sz w:val="22"/>
          <w:lang w:val="es-CO"/>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w:t>
      </w:r>
      <w:r w:rsidRPr="009A4AB9">
        <w:rPr>
          <w:rFonts w:ascii="Arial" w:eastAsia="Calibri" w:hAnsi="Arial" w:cs="Arial"/>
          <w:sz w:val="22"/>
          <w:lang w:val="es-CO"/>
        </w:rPr>
        <w:lastRenderedPageBreak/>
        <w:t xml:space="preserve">en cada uno se generan efectos distintos; análisis donde debe aludirse a la posibilidad de subsanar las ofertas en los procedimientos de selección. </w:t>
      </w:r>
    </w:p>
    <w:p w14:paraId="5ED7B51B" w14:textId="6D623273" w:rsidR="007E312B" w:rsidRPr="009A4AB9" w:rsidRDefault="007E312B" w:rsidP="009A7C76">
      <w:pPr>
        <w:spacing w:after="120" w:line="276" w:lineRule="auto"/>
        <w:ind w:firstLine="709"/>
        <w:jc w:val="both"/>
        <w:rPr>
          <w:rFonts w:ascii="Arial" w:eastAsia="Calibri" w:hAnsi="Arial" w:cs="Arial"/>
          <w:sz w:val="22"/>
          <w:lang w:val="es-CO"/>
        </w:rPr>
      </w:pPr>
      <w:r w:rsidRPr="009A4AB9">
        <w:rPr>
          <w:rFonts w:ascii="Arial" w:eastAsia="Calibri" w:hAnsi="Arial" w:cs="Arial"/>
          <w:sz w:val="22"/>
          <w:lang w:val="es-CO"/>
        </w:rPr>
        <w:t>En relación con la inscripción –ya sea por primera vez o porque no se renueva a tiempo y se debe realizar el trámite como una inscripción inicial–, se debe considerar lo prescrito en el parágrafo 1 del artículo 5 de la Ley 1150 de 2007, modificado por el artículo 5 de la Ley 1882 de 2018</w:t>
      </w:r>
      <w:r w:rsidR="00967E6D" w:rsidRPr="009A4AB9">
        <w:rPr>
          <w:rStyle w:val="Refdenotaalpie"/>
          <w:rFonts w:ascii="Arial" w:eastAsia="Calibri" w:hAnsi="Arial" w:cs="Arial"/>
          <w:sz w:val="22"/>
          <w:lang w:val="es-CO"/>
        </w:rPr>
        <w:footnoteReference w:id="6"/>
      </w:r>
      <w:r w:rsidRPr="009A4AB9">
        <w:rPr>
          <w:rFonts w:ascii="Arial" w:eastAsia="Calibri" w:hAnsi="Arial" w:cs="Arial"/>
          <w:sz w:val="22"/>
          <w:lang w:val="es-CO"/>
        </w:rPr>
        <w:t>, que establece que los proponentes no pueden acreditar circunstancias ocurridas con posterioridad al cierre del proceso, unido a lo expresado por la Sala de Consulta y Servicio Civil del Consejo de Estado, quien interpretó una norma de igual contenido a la anterior</w:t>
      </w:r>
      <w:r w:rsidR="00967E6D" w:rsidRPr="009A4AB9">
        <w:rPr>
          <w:rStyle w:val="Refdenotaalpie"/>
          <w:rFonts w:ascii="Arial" w:eastAsia="Calibri" w:hAnsi="Arial" w:cs="Arial"/>
          <w:sz w:val="22"/>
          <w:lang w:val="es-CO"/>
        </w:rPr>
        <w:footnoteReference w:id="7"/>
      </w:r>
      <w:r w:rsidRPr="009A4AB9">
        <w:rPr>
          <w:rFonts w:ascii="Arial" w:eastAsia="Calibri" w:hAnsi="Arial" w:cs="Arial"/>
          <w:sz w:val="22"/>
          <w:lang w:val="es-CO"/>
        </w:rPr>
        <w:t xml:space="preserve">,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w:t>
      </w:r>
      <w:r w:rsidRPr="009A4AB9">
        <w:rPr>
          <w:rFonts w:ascii="Arial" w:eastAsia="Calibri" w:hAnsi="Arial" w:cs="Arial"/>
          <w:i/>
          <w:iCs/>
          <w:sz w:val="22"/>
          <w:lang w:val="es-CO"/>
        </w:rPr>
        <w:t>inscripción</w:t>
      </w:r>
      <w:r w:rsidRPr="009A4AB9">
        <w:rPr>
          <w:rFonts w:ascii="Arial" w:eastAsia="Calibri" w:hAnsi="Arial" w:cs="Arial"/>
          <w:sz w:val="22"/>
          <w:lang w:val="es-CO"/>
        </w:rPr>
        <w:t xml:space="preserve"> debe estar en firme, pues solo así se materializa y produce efectos la inscripción</w:t>
      </w:r>
      <w:r w:rsidR="00967E6D" w:rsidRPr="009A4AB9">
        <w:rPr>
          <w:rStyle w:val="Refdenotaalpie"/>
          <w:rFonts w:ascii="Arial" w:eastAsia="Calibri" w:hAnsi="Arial" w:cs="Arial"/>
          <w:sz w:val="22"/>
          <w:lang w:val="es-CO"/>
        </w:rPr>
        <w:footnoteReference w:id="8"/>
      </w:r>
      <w:r w:rsidR="00967E6D" w:rsidRPr="009A4AB9">
        <w:rPr>
          <w:rFonts w:ascii="Arial" w:eastAsia="Calibri" w:hAnsi="Arial" w:cs="Arial"/>
          <w:sz w:val="22"/>
          <w:lang w:val="es-CO"/>
        </w:rPr>
        <w:t xml:space="preserve">. </w:t>
      </w:r>
    </w:p>
    <w:p w14:paraId="3544FFFA" w14:textId="3725168D" w:rsidR="007E312B" w:rsidRPr="009A4AB9" w:rsidRDefault="007E312B" w:rsidP="004A1E27">
      <w:pPr>
        <w:spacing w:after="120" w:line="276" w:lineRule="auto"/>
        <w:ind w:firstLine="709"/>
        <w:jc w:val="both"/>
        <w:rPr>
          <w:rFonts w:ascii="Arial" w:eastAsia="Calibri" w:hAnsi="Arial" w:cs="Arial"/>
          <w:sz w:val="22"/>
          <w:lang w:val="es-CO"/>
        </w:rPr>
      </w:pPr>
      <w:r w:rsidRPr="009A4AB9">
        <w:rPr>
          <w:rFonts w:ascii="Arial" w:eastAsia="Calibri" w:hAnsi="Arial" w:cs="Arial"/>
          <w:sz w:val="22"/>
          <w:lang w:val="es-CO"/>
        </w:rPr>
        <w:lastRenderedPageBreak/>
        <w:t xml:space="preserve">Por lo tanto, si la cámara de comercio expide el acto administrativo de </w:t>
      </w:r>
      <w:r w:rsidRPr="009A4AB9">
        <w:rPr>
          <w:rFonts w:ascii="Arial" w:eastAsia="Calibri" w:hAnsi="Arial" w:cs="Arial"/>
          <w:i/>
          <w:iCs/>
          <w:sz w:val="22"/>
          <w:lang w:val="es-CO"/>
        </w:rPr>
        <w:t>inscripción</w:t>
      </w:r>
      <w:r w:rsidRPr="009A4AB9">
        <w:rPr>
          <w:rFonts w:ascii="Arial" w:eastAsia="Calibri" w:hAnsi="Arial" w:cs="Arial"/>
          <w:sz w:val="22"/>
          <w:lang w:val="es-CO"/>
        </w:rPr>
        <w:t xml:space="preserve"> en el RUP después del cierre, con motivo a la falta de renovación a tiempo de la información contenida en él o por ser la primera inscripción, el proponente no </w:t>
      </w:r>
      <w:r w:rsidR="004A1E27" w:rsidRPr="009A4AB9">
        <w:rPr>
          <w:rFonts w:ascii="Arial" w:eastAsia="Calibri" w:hAnsi="Arial" w:cs="Arial"/>
          <w:sz w:val="22"/>
          <w:lang w:val="es-CO"/>
        </w:rPr>
        <w:t xml:space="preserve">puede </w:t>
      </w:r>
      <w:r w:rsidRPr="009A4AB9">
        <w:rPr>
          <w:rFonts w:ascii="Arial" w:eastAsia="Calibri" w:hAnsi="Arial" w:cs="Arial"/>
          <w:sz w:val="22"/>
          <w:lang w:val="es-CO"/>
        </w:rPr>
        <w:t xml:space="preserve">aportarlo al proceso, porque al momento de presentar la oferta no tenía capacidad para contratar, y no puede acreditar </w:t>
      </w:r>
      <w:r w:rsidR="004A1E27" w:rsidRPr="009A4AB9">
        <w:rPr>
          <w:rFonts w:ascii="Arial" w:eastAsia="Calibri" w:hAnsi="Arial" w:cs="Arial"/>
          <w:sz w:val="22"/>
          <w:lang w:val="es-CO"/>
        </w:rPr>
        <w:t xml:space="preserve">circunstancias </w:t>
      </w:r>
      <w:r w:rsidRPr="009A4AB9">
        <w:rPr>
          <w:rFonts w:ascii="Arial" w:eastAsia="Calibri" w:hAnsi="Arial" w:cs="Arial"/>
          <w:sz w:val="22"/>
          <w:lang w:val="es-CO"/>
        </w:rPr>
        <w:t xml:space="preserve">ocurridas con posterioridad al cierre del proceso, reiterando que la inscripción debe estar en firme antes del cierre, pues la inscripción solo se materializa y es oponible a terceros cuando el acto </w:t>
      </w:r>
      <w:r w:rsidR="004A1E27" w:rsidRPr="009A4AB9">
        <w:rPr>
          <w:rFonts w:ascii="Arial" w:eastAsia="Calibri" w:hAnsi="Arial" w:cs="Arial"/>
          <w:sz w:val="22"/>
          <w:lang w:val="es-CO"/>
        </w:rPr>
        <w:t xml:space="preserve">administrativo </w:t>
      </w:r>
      <w:r w:rsidRPr="009A4AB9">
        <w:rPr>
          <w:rFonts w:ascii="Arial" w:eastAsia="Calibri" w:hAnsi="Arial" w:cs="Arial"/>
          <w:sz w:val="22"/>
          <w:lang w:val="es-CO"/>
        </w:rPr>
        <w:t>está en firme.</w:t>
      </w:r>
    </w:p>
    <w:p w14:paraId="4CDA7200" w14:textId="77777777" w:rsidR="00D06014" w:rsidRPr="009A4AB9" w:rsidRDefault="00D06014" w:rsidP="00D06014">
      <w:pPr>
        <w:spacing w:after="120" w:line="276" w:lineRule="auto"/>
        <w:ind w:firstLine="708"/>
        <w:jc w:val="both"/>
        <w:rPr>
          <w:rFonts w:ascii="Arial" w:hAnsi="Arial" w:cs="Arial"/>
          <w:color w:val="000000" w:themeColor="text1"/>
          <w:sz w:val="22"/>
          <w:lang w:val="es-CO"/>
        </w:rPr>
      </w:pPr>
      <w:r w:rsidRPr="009A4AB9">
        <w:rPr>
          <w:rFonts w:ascii="Arial" w:hAnsi="Arial" w:cs="Arial"/>
          <w:color w:val="000000" w:themeColor="text1"/>
          <w:sz w:val="22"/>
          <w:lang w:val="es-CO"/>
        </w:rPr>
        <w:t xml:space="preserve">Tratándose del trámite de </w:t>
      </w:r>
      <w:r w:rsidRPr="009A4AB9">
        <w:rPr>
          <w:rFonts w:ascii="Arial" w:hAnsi="Arial" w:cs="Arial"/>
          <w:i/>
          <w:iCs/>
          <w:color w:val="000000" w:themeColor="text1"/>
          <w:sz w:val="22"/>
          <w:lang w:val="es-CO"/>
        </w:rPr>
        <w:t>renovación,</w:t>
      </w:r>
      <w:r w:rsidRPr="009A4AB9">
        <w:rPr>
          <w:rFonts w:ascii="Arial" w:hAnsi="Arial" w:cs="Arial"/>
          <w:color w:val="000000" w:themeColor="text1"/>
          <w:sz w:val="22"/>
          <w:lang w:val="es-CO"/>
        </w:rPr>
        <w:t xml:space="preserve"> se reitera lo expresado en el sentido de que </w:t>
      </w:r>
      <w:r w:rsidRPr="009A4AB9">
        <w:rPr>
          <w:rFonts w:ascii="Arial" w:eastAsia="Calibri" w:hAnsi="Arial" w:cs="Arial"/>
          <w:color w:val="000000" w:themeColor="text1"/>
          <w:sz w:val="22"/>
          <w:lang w:val="es-CO"/>
        </w:rPr>
        <w:t>la persona que presentó la información para renovar su registro antes del quinto día hábil de abril de cada año, cumpliendo el requisito del artículo 2.2.1.1.1.5.1., y pese a que la renovación no esté en firme, 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0F3A5BA5" w14:textId="4C65C55A" w:rsidR="00D06014" w:rsidRPr="009A4AB9" w:rsidRDefault="00D06014" w:rsidP="00E01591">
      <w:pPr>
        <w:spacing w:after="120" w:line="276" w:lineRule="auto"/>
        <w:ind w:firstLine="709"/>
        <w:jc w:val="both"/>
        <w:rPr>
          <w:rFonts w:ascii="Arial" w:hAnsi="Arial" w:cs="Arial"/>
          <w:color w:val="000000" w:themeColor="text1"/>
          <w:sz w:val="22"/>
          <w:lang w:val="es-CO"/>
        </w:rPr>
      </w:pPr>
      <w:r w:rsidRPr="009A4AB9">
        <w:rPr>
          <w:rFonts w:ascii="Arial" w:hAnsi="Arial" w:cs="Arial"/>
          <w:color w:val="000000" w:themeColor="text1"/>
          <w:sz w:val="22"/>
          <w:lang w:val="es-CO"/>
        </w:rPr>
        <w:t xml:space="preserve">Finalmente, tratándose del trámite administrativo de la </w:t>
      </w:r>
      <w:r w:rsidRPr="009A4AB9">
        <w:rPr>
          <w:rFonts w:ascii="Arial" w:hAnsi="Arial" w:cs="Arial"/>
          <w:i/>
          <w:iCs/>
          <w:color w:val="000000" w:themeColor="text1"/>
          <w:sz w:val="22"/>
          <w:lang w:val="es-CO"/>
        </w:rPr>
        <w:t>actualización</w:t>
      </w:r>
      <w:r w:rsidRPr="009A4AB9">
        <w:rPr>
          <w:rFonts w:ascii="Arial" w:hAnsi="Arial" w:cs="Arial"/>
          <w:color w:val="000000" w:themeColor="text1"/>
          <w:sz w:val="22"/>
          <w:lang w:val="es-CO"/>
        </w:rPr>
        <w:t xml:space="preserve">, sucede algo similar con la renovación, en el sentido de </w:t>
      </w:r>
      <w:r w:rsidR="00A7630E" w:rsidRPr="009A4AB9">
        <w:rPr>
          <w:rFonts w:ascii="Arial" w:hAnsi="Arial" w:cs="Arial"/>
          <w:color w:val="000000" w:themeColor="text1"/>
          <w:sz w:val="22"/>
          <w:lang w:val="es-CO"/>
        </w:rPr>
        <w:t>que,</w:t>
      </w:r>
      <w:r w:rsidRPr="009A4AB9">
        <w:rPr>
          <w:rFonts w:ascii="Arial" w:hAnsi="Arial" w:cs="Arial"/>
          <w:color w:val="000000" w:themeColor="text1"/>
          <w:sz w:val="22"/>
          <w:lang w:val="es-CO"/>
        </w:rPr>
        <w:t xml:space="preserv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manera que el trámite de </w:t>
      </w:r>
      <w:r w:rsidRPr="009A4AB9">
        <w:rPr>
          <w:rFonts w:ascii="Arial" w:hAnsi="Arial" w:cs="Arial"/>
          <w:i/>
          <w:iCs/>
          <w:color w:val="000000" w:themeColor="text1"/>
          <w:sz w:val="22"/>
          <w:lang w:val="es-CO"/>
        </w:rPr>
        <w:t xml:space="preserve">actualización </w:t>
      </w:r>
      <w:r w:rsidRPr="009A4AB9">
        <w:rPr>
          <w:rFonts w:ascii="Arial" w:hAnsi="Arial" w:cs="Arial"/>
          <w:color w:val="000000" w:themeColor="text1"/>
          <w:sz w:val="22"/>
          <w:lang w:val="es-CO"/>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14:paraId="3384A24F" w14:textId="4A58EE56" w:rsidR="00A7630E" w:rsidRPr="009A4AB9" w:rsidRDefault="00A7630E" w:rsidP="00E01591">
      <w:pPr>
        <w:spacing w:after="120" w:line="276" w:lineRule="auto"/>
        <w:ind w:firstLine="709"/>
        <w:jc w:val="both"/>
        <w:rPr>
          <w:rFonts w:ascii="Arial" w:eastAsia="Calibri" w:hAnsi="Arial" w:cs="Arial"/>
          <w:sz w:val="22"/>
          <w:lang w:val="es-CO"/>
        </w:rPr>
      </w:pPr>
      <w:r w:rsidRPr="009A4AB9">
        <w:rPr>
          <w:rFonts w:ascii="Arial" w:eastAsia="Calibri" w:hAnsi="Arial" w:cs="Arial"/>
          <w:sz w:val="22"/>
          <w:lang w:val="es-CO"/>
        </w:rPr>
        <w:t xml:space="preserve">Ahora bien, cuando se realiza el trámite de renovación del RUP, no existe </w:t>
      </w:r>
      <w:r w:rsidR="007952E3" w:rsidRPr="009A4AB9">
        <w:rPr>
          <w:rFonts w:ascii="Arial" w:eastAsia="Calibri" w:hAnsi="Arial" w:cs="Arial"/>
          <w:sz w:val="22"/>
          <w:lang w:val="es-CO"/>
        </w:rPr>
        <w:t>ningún tipo</w:t>
      </w:r>
      <w:r w:rsidRPr="009A4AB9">
        <w:rPr>
          <w:rFonts w:ascii="Arial" w:eastAsia="Calibri" w:hAnsi="Arial" w:cs="Arial"/>
          <w:sz w:val="22"/>
          <w:lang w:val="es-CO"/>
        </w:rPr>
        <w:t xml:space="preserve"> de obligación de carácter legal, de renovar los contratos que fueron reportados </w:t>
      </w:r>
      <w:r w:rsidR="007952E3" w:rsidRPr="009A4AB9">
        <w:rPr>
          <w:rFonts w:ascii="Arial" w:eastAsia="Calibri" w:hAnsi="Arial" w:cs="Arial"/>
          <w:sz w:val="22"/>
          <w:lang w:val="es-CO"/>
        </w:rPr>
        <w:t>en el RUP, durante la vigencia anterior</w:t>
      </w:r>
      <w:r w:rsidRPr="009A4AB9">
        <w:rPr>
          <w:rFonts w:ascii="Arial" w:eastAsia="Calibri" w:hAnsi="Arial" w:cs="Arial"/>
          <w:sz w:val="22"/>
          <w:lang w:val="es-CO"/>
        </w:rPr>
        <w:t xml:space="preserve">. En este sentido, tratándose de la experiencia de los </w:t>
      </w:r>
      <w:r w:rsidRPr="009A4AB9">
        <w:rPr>
          <w:rFonts w:ascii="Arial" w:eastAsia="Calibri" w:hAnsi="Arial" w:cs="Arial"/>
          <w:sz w:val="22"/>
          <w:lang w:val="es-CO"/>
        </w:rPr>
        <w:lastRenderedPageBreak/>
        <w:t xml:space="preserve">proponentes registrada en el RUP, se otorga la posibilidad de que la persona lo pueda configurar </w:t>
      </w:r>
      <w:r w:rsidR="007952E3" w:rsidRPr="009A4AB9">
        <w:rPr>
          <w:rFonts w:ascii="Arial" w:eastAsia="Calibri" w:hAnsi="Arial" w:cs="Arial"/>
          <w:sz w:val="22"/>
          <w:lang w:val="es-CO"/>
        </w:rPr>
        <w:t>de acuerdo con</w:t>
      </w:r>
      <w:r w:rsidRPr="009A4AB9">
        <w:rPr>
          <w:rFonts w:ascii="Arial" w:eastAsia="Calibri" w:hAnsi="Arial" w:cs="Arial"/>
          <w:sz w:val="22"/>
          <w:lang w:val="es-CO"/>
        </w:rPr>
        <w:t xml:space="preserve"> sus necesidades de negocio con el </w:t>
      </w:r>
      <w:r w:rsidR="002C6159">
        <w:rPr>
          <w:rFonts w:ascii="Arial" w:eastAsia="Calibri" w:hAnsi="Arial" w:cs="Arial"/>
          <w:sz w:val="22"/>
          <w:lang w:val="es-CO"/>
        </w:rPr>
        <w:t>E</w:t>
      </w:r>
      <w:r w:rsidRPr="009A4AB9">
        <w:rPr>
          <w:rFonts w:ascii="Arial" w:eastAsia="Calibri" w:hAnsi="Arial" w:cs="Arial"/>
          <w:sz w:val="22"/>
          <w:lang w:val="es-CO"/>
        </w:rPr>
        <w:t xml:space="preserve">stado. </w:t>
      </w:r>
      <w:r w:rsidR="007952E3" w:rsidRPr="009A4AB9">
        <w:rPr>
          <w:rFonts w:ascii="Arial" w:eastAsia="Calibri" w:hAnsi="Arial" w:cs="Arial"/>
          <w:sz w:val="22"/>
          <w:lang w:val="es-CO"/>
        </w:rPr>
        <w:t xml:space="preserve">Caso contrario ocurre con la acreditación de la capacidad financiera y organizacional, que depende de forma directa de los estados financieros del proponente, es decir no es de libre configuración.  </w:t>
      </w:r>
    </w:p>
    <w:p w14:paraId="55D2B3A7" w14:textId="625A333E" w:rsidR="00333A66" w:rsidRPr="009A4AB9" w:rsidRDefault="008A69AE" w:rsidP="00D72BD7">
      <w:pPr>
        <w:spacing w:after="120" w:line="276" w:lineRule="auto"/>
        <w:ind w:firstLine="709"/>
        <w:jc w:val="both"/>
        <w:rPr>
          <w:rFonts w:ascii="Arial" w:eastAsia="Calibri" w:hAnsi="Arial" w:cs="Arial"/>
          <w:sz w:val="22"/>
          <w:lang w:val="es-CO"/>
        </w:rPr>
      </w:pPr>
      <w:r w:rsidRPr="009A4AB9">
        <w:rPr>
          <w:rFonts w:ascii="Arial" w:eastAsia="Calibri" w:hAnsi="Arial" w:cs="Arial"/>
          <w:sz w:val="22"/>
          <w:lang w:val="es-CO"/>
        </w:rPr>
        <w:t xml:space="preserve">En caso de que el contratista no reporte en el trámite de renovación los </w:t>
      </w:r>
      <w:r w:rsidR="00333A66" w:rsidRPr="009A4AB9">
        <w:rPr>
          <w:rFonts w:ascii="Arial" w:eastAsia="Calibri" w:hAnsi="Arial" w:cs="Arial"/>
          <w:sz w:val="22"/>
          <w:lang w:val="es-CO"/>
        </w:rPr>
        <w:t>contratos empleados</w:t>
      </w:r>
      <w:r w:rsidRPr="009A4AB9">
        <w:rPr>
          <w:rFonts w:ascii="Arial" w:eastAsia="Calibri" w:hAnsi="Arial" w:cs="Arial"/>
          <w:sz w:val="22"/>
          <w:lang w:val="es-CO"/>
        </w:rPr>
        <w:t xml:space="preserve"> para acreditar la experiencia, p</w:t>
      </w:r>
      <w:r w:rsidR="009A4AB9">
        <w:rPr>
          <w:rFonts w:ascii="Arial" w:eastAsia="Calibri" w:hAnsi="Arial" w:cs="Arial"/>
          <w:sz w:val="22"/>
          <w:lang w:val="es-CO"/>
        </w:rPr>
        <w:t>revisiblemente</w:t>
      </w:r>
      <w:r w:rsidRPr="009A4AB9">
        <w:rPr>
          <w:rFonts w:ascii="Arial" w:eastAsia="Calibri" w:hAnsi="Arial" w:cs="Arial"/>
          <w:sz w:val="22"/>
          <w:lang w:val="es-CO"/>
        </w:rPr>
        <w:t xml:space="preserve"> podría repercutir en la competitividad del proponente dentro de los procesos de contratación a los que se llegase a presentar</w:t>
      </w:r>
      <w:r w:rsidR="00795814" w:rsidRPr="009A4AB9">
        <w:rPr>
          <w:rFonts w:ascii="Arial" w:eastAsia="Calibri" w:hAnsi="Arial" w:cs="Arial"/>
          <w:sz w:val="22"/>
          <w:lang w:val="es-CO"/>
        </w:rPr>
        <w:t>, de tal forma que las consecuencias que se pued</w:t>
      </w:r>
      <w:r w:rsidR="006A261F">
        <w:rPr>
          <w:rFonts w:ascii="Arial" w:eastAsia="Calibri" w:hAnsi="Arial" w:cs="Arial"/>
          <w:sz w:val="22"/>
          <w:lang w:val="es-CO"/>
        </w:rPr>
        <w:t>e</w:t>
      </w:r>
      <w:r w:rsidR="00795814" w:rsidRPr="009A4AB9">
        <w:rPr>
          <w:rFonts w:ascii="Arial" w:eastAsia="Calibri" w:hAnsi="Arial" w:cs="Arial"/>
          <w:sz w:val="22"/>
          <w:lang w:val="es-CO"/>
        </w:rPr>
        <w:t xml:space="preserve">n derivar </w:t>
      </w:r>
      <w:r w:rsidR="006A261F">
        <w:rPr>
          <w:rFonts w:ascii="Arial" w:eastAsia="Calibri" w:hAnsi="Arial" w:cs="Arial"/>
          <w:sz w:val="22"/>
          <w:lang w:val="es-CO"/>
        </w:rPr>
        <w:t>por</w:t>
      </w:r>
      <w:r w:rsidR="006A261F" w:rsidRPr="009A4AB9">
        <w:rPr>
          <w:rFonts w:ascii="Arial" w:eastAsia="Calibri" w:hAnsi="Arial" w:cs="Arial"/>
          <w:sz w:val="22"/>
          <w:lang w:val="es-CO"/>
        </w:rPr>
        <w:t xml:space="preserve"> </w:t>
      </w:r>
      <w:r w:rsidR="00795814" w:rsidRPr="009A4AB9">
        <w:rPr>
          <w:rFonts w:ascii="Arial" w:eastAsia="Calibri" w:hAnsi="Arial" w:cs="Arial"/>
          <w:sz w:val="22"/>
          <w:lang w:val="es-CO"/>
        </w:rPr>
        <w:t xml:space="preserve">dejar de reportar contratos en el RUP </w:t>
      </w:r>
      <w:r w:rsidR="009A4AB9">
        <w:rPr>
          <w:rFonts w:ascii="Arial" w:eastAsia="Calibri" w:hAnsi="Arial" w:cs="Arial"/>
          <w:sz w:val="22"/>
          <w:lang w:val="es-CO"/>
        </w:rPr>
        <w:t>inciden</w:t>
      </w:r>
      <w:r w:rsidR="00795814" w:rsidRPr="009A4AB9">
        <w:rPr>
          <w:rFonts w:ascii="Arial" w:eastAsia="Calibri" w:hAnsi="Arial" w:cs="Arial"/>
          <w:sz w:val="22"/>
          <w:lang w:val="es-CO"/>
        </w:rPr>
        <w:t xml:space="preserve"> de forma directa </w:t>
      </w:r>
      <w:r w:rsidR="006A261F">
        <w:rPr>
          <w:rFonts w:ascii="Arial" w:eastAsia="Calibri" w:hAnsi="Arial" w:cs="Arial"/>
          <w:sz w:val="22"/>
          <w:lang w:val="es-CO"/>
        </w:rPr>
        <w:t>en el</w:t>
      </w:r>
      <w:r w:rsidR="006A261F" w:rsidRPr="009A4AB9">
        <w:rPr>
          <w:rFonts w:ascii="Arial" w:eastAsia="Calibri" w:hAnsi="Arial" w:cs="Arial"/>
          <w:sz w:val="22"/>
          <w:lang w:val="es-CO"/>
        </w:rPr>
        <w:t xml:space="preserve"> </w:t>
      </w:r>
      <w:r w:rsidR="007F2870">
        <w:rPr>
          <w:rFonts w:ascii="Arial" w:eastAsia="Calibri" w:hAnsi="Arial" w:cs="Arial"/>
          <w:sz w:val="22"/>
          <w:lang w:val="es-CO"/>
        </w:rPr>
        <w:t>proponente</w:t>
      </w:r>
      <w:r w:rsidR="00811A60">
        <w:rPr>
          <w:rFonts w:ascii="Arial" w:eastAsia="Calibri" w:hAnsi="Arial" w:cs="Arial"/>
          <w:sz w:val="22"/>
          <w:lang w:val="es-CO"/>
        </w:rPr>
        <w:t>, pues,</w:t>
      </w:r>
      <w:r w:rsidR="00CC40D3" w:rsidRPr="009A4AB9">
        <w:rPr>
          <w:rFonts w:ascii="Arial" w:eastAsia="Calibri" w:hAnsi="Arial" w:cs="Arial"/>
          <w:sz w:val="22"/>
          <w:lang w:val="es-CO"/>
        </w:rPr>
        <w:t xml:space="preserve"> </w:t>
      </w:r>
      <w:r w:rsidR="00811A60">
        <w:rPr>
          <w:rFonts w:ascii="Arial" w:eastAsia="Calibri" w:hAnsi="Arial" w:cs="Arial"/>
          <w:sz w:val="22"/>
          <w:lang w:val="es-CO"/>
        </w:rPr>
        <w:t>p</w:t>
      </w:r>
      <w:r w:rsidR="00CC40D3" w:rsidRPr="009A4AB9">
        <w:rPr>
          <w:rFonts w:ascii="Arial" w:eastAsia="Calibri" w:hAnsi="Arial" w:cs="Arial"/>
          <w:sz w:val="22"/>
          <w:lang w:val="es-CO"/>
        </w:rPr>
        <w:t xml:space="preserve">or </w:t>
      </w:r>
      <w:r w:rsidR="00333A66" w:rsidRPr="009A4AB9">
        <w:rPr>
          <w:rFonts w:ascii="Arial" w:eastAsia="Calibri" w:hAnsi="Arial" w:cs="Arial"/>
          <w:sz w:val="22"/>
          <w:lang w:val="es-CO"/>
        </w:rPr>
        <w:t>ejemplo, en caso de presentarse a una licitación de obra pública</w:t>
      </w:r>
      <w:r w:rsidR="00811A60">
        <w:rPr>
          <w:rFonts w:ascii="Arial" w:eastAsia="Calibri" w:hAnsi="Arial" w:cs="Arial"/>
          <w:sz w:val="22"/>
          <w:lang w:val="es-CO"/>
        </w:rPr>
        <w:t>,</w:t>
      </w:r>
      <w:r w:rsidR="00333A66" w:rsidRPr="009A4AB9">
        <w:rPr>
          <w:rFonts w:ascii="Arial" w:eastAsia="Calibri" w:hAnsi="Arial" w:cs="Arial"/>
          <w:sz w:val="22"/>
          <w:lang w:val="es-CO"/>
        </w:rPr>
        <w:t xml:space="preserve"> la ausencia de los factores de experiencia, constituye un elemento que afecta la capacidad residual del proponente. </w:t>
      </w:r>
    </w:p>
    <w:p w14:paraId="6787FEB1" w14:textId="77777777" w:rsidR="00A1118B" w:rsidRPr="009A4AB9" w:rsidRDefault="00A1118B" w:rsidP="00A1118B">
      <w:pPr>
        <w:pStyle w:val="Prrafodelista"/>
        <w:tabs>
          <w:tab w:val="left" w:pos="284"/>
        </w:tabs>
        <w:spacing w:line="276" w:lineRule="auto"/>
        <w:ind w:left="0"/>
        <w:jc w:val="both"/>
        <w:rPr>
          <w:rFonts w:ascii="Arial" w:eastAsia="Calibri" w:hAnsi="Arial" w:cs="Arial"/>
          <w:sz w:val="22"/>
          <w:lang w:val="es-CO"/>
        </w:rPr>
      </w:pPr>
      <w:r w:rsidRPr="009A4AB9">
        <w:rPr>
          <w:rFonts w:ascii="Arial" w:eastAsia="Calibri" w:hAnsi="Arial" w:cs="Arial"/>
          <w:b/>
          <w:sz w:val="22"/>
          <w:lang w:val="es-CO"/>
        </w:rPr>
        <w:t>3. Respuesta</w:t>
      </w:r>
    </w:p>
    <w:p w14:paraId="05CFF831" w14:textId="77777777" w:rsidR="007952E3" w:rsidRPr="009A4AB9" w:rsidRDefault="007952E3" w:rsidP="007952E3">
      <w:pPr>
        <w:spacing w:line="276" w:lineRule="auto"/>
        <w:jc w:val="both"/>
        <w:rPr>
          <w:rFonts w:ascii="Arial" w:eastAsia="Calibri" w:hAnsi="Arial" w:cs="Arial"/>
          <w:sz w:val="22"/>
          <w:lang w:val="es-CO"/>
        </w:rPr>
      </w:pPr>
      <w:r w:rsidRPr="009A4AB9">
        <w:rPr>
          <w:rFonts w:ascii="Arial" w:eastAsia="Calibri" w:hAnsi="Arial" w:cs="Arial"/>
          <w:sz w:val="22"/>
          <w:lang w:val="es-CO"/>
        </w:rPr>
        <w:t xml:space="preserve"> </w:t>
      </w:r>
    </w:p>
    <w:p w14:paraId="3050B28C" w14:textId="6F1F126E" w:rsidR="007952E3" w:rsidRPr="009A4AB9" w:rsidRDefault="007952E3" w:rsidP="007952E3">
      <w:pPr>
        <w:spacing w:line="276" w:lineRule="auto"/>
        <w:ind w:left="709" w:right="709"/>
        <w:jc w:val="both"/>
        <w:rPr>
          <w:rFonts w:ascii="Arial" w:hAnsi="Arial" w:cs="Arial"/>
          <w:sz w:val="21"/>
          <w:szCs w:val="21"/>
          <w:lang w:val="es-CO"/>
        </w:rPr>
      </w:pPr>
      <w:r w:rsidRPr="009A4AB9">
        <w:rPr>
          <w:rFonts w:ascii="Arial" w:hAnsi="Arial" w:cs="Arial"/>
          <w:sz w:val="21"/>
          <w:szCs w:val="21"/>
          <w:lang w:val="es-CO"/>
        </w:rPr>
        <w:t>¿El artículo 6 de la Ley 1</w:t>
      </w:r>
      <w:r w:rsidR="000157D2">
        <w:rPr>
          <w:rFonts w:ascii="Arial" w:hAnsi="Arial" w:cs="Arial"/>
          <w:sz w:val="21"/>
          <w:szCs w:val="21"/>
          <w:lang w:val="es-CO"/>
        </w:rPr>
        <w:t>1</w:t>
      </w:r>
      <w:r w:rsidRPr="009A4AB9">
        <w:rPr>
          <w:rFonts w:ascii="Arial" w:hAnsi="Arial" w:cs="Arial"/>
          <w:sz w:val="21"/>
          <w:szCs w:val="21"/>
          <w:lang w:val="es-CO"/>
        </w:rPr>
        <w:t>50 de 2007 autoriza al proponente para dejar de reportar contratos que estaban reportados en el RUP en su experiencia?</w:t>
      </w:r>
    </w:p>
    <w:p w14:paraId="141F9E3D" w14:textId="77777777" w:rsidR="007952E3" w:rsidRPr="009A4AB9" w:rsidRDefault="007952E3" w:rsidP="007952E3">
      <w:pPr>
        <w:spacing w:line="276" w:lineRule="auto"/>
        <w:ind w:right="709"/>
        <w:jc w:val="both"/>
        <w:rPr>
          <w:rFonts w:ascii="Arial" w:hAnsi="Arial" w:cs="Arial"/>
          <w:sz w:val="22"/>
          <w:lang w:val="es-CO"/>
        </w:rPr>
      </w:pPr>
    </w:p>
    <w:p w14:paraId="62E9A046" w14:textId="289AD7DE" w:rsidR="007952E3" w:rsidRDefault="003A7F7F" w:rsidP="007952E3">
      <w:pPr>
        <w:spacing w:line="276" w:lineRule="auto"/>
        <w:jc w:val="both"/>
        <w:rPr>
          <w:rFonts w:ascii="Arial" w:hAnsi="Arial" w:cs="Arial"/>
          <w:sz w:val="22"/>
          <w:lang w:val="es-CO"/>
        </w:rPr>
      </w:pPr>
      <w:r w:rsidRPr="003A7F7F">
        <w:rPr>
          <w:rFonts w:ascii="Arial" w:hAnsi="Arial" w:cs="Arial"/>
          <w:sz w:val="22"/>
          <w:lang w:val="es-CO"/>
        </w:rPr>
        <w:t>Actualmente no existe ningún tipo de obligación de carácter legal en la que se establezca la obligatoriedad para el proponente</w:t>
      </w:r>
      <w:r w:rsidR="000403A3">
        <w:rPr>
          <w:rFonts w:ascii="Arial" w:hAnsi="Arial" w:cs="Arial"/>
          <w:sz w:val="22"/>
          <w:lang w:val="es-CO"/>
        </w:rPr>
        <w:t>, para el trámite de renovación</w:t>
      </w:r>
      <w:r w:rsidRPr="003A7F7F">
        <w:rPr>
          <w:rFonts w:ascii="Arial" w:hAnsi="Arial" w:cs="Arial"/>
          <w:sz w:val="22"/>
          <w:lang w:val="es-CO"/>
        </w:rPr>
        <w:t>, de reportar nuevamente los contratos que usó para acreditar su experiencia en la vigencia anterior del RUP</w:t>
      </w:r>
      <w:r w:rsidR="000403A3">
        <w:rPr>
          <w:rFonts w:ascii="Arial" w:hAnsi="Arial" w:cs="Arial"/>
          <w:sz w:val="22"/>
          <w:lang w:val="es-CO"/>
        </w:rPr>
        <w:t xml:space="preserve">. </w:t>
      </w:r>
      <w:r w:rsidRPr="003A7F7F">
        <w:rPr>
          <w:rFonts w:ascii="Arial" w:hAnsi="Arial" w:cs="Arial"/>
          <w:sz w:val="22"/>
          <w:lang w:val="es-CO"/>
        </w:rPr>
        <w:t>Será del entero re</w:t>
      </w:r>
      <w:r>
        <w:rPr>
          <w:rFonts w:ascii="Arial" w:hAnsi="Arial" w:cs="Arial"/>
          <w:sz w:val="22"/>
          <w:lang w:val="es-CO"/>
        </w:rPr>
        <w:t>s</w:t>
      </w:r>
      <w:r w:rsidRPr="003A7F7F">
        <w:rPr>
          <w:rFonts w:ascii="Arial" w:hAnsi="Arial" w:cs="Arial"/>
          <w:sz w:val="22"/>
          <w:lang w:val="es-CO"/>
        </w:rPr>
        <w:t xml:space="preserve">orte del proponente cualquier decisión en ese sentido. </w:t>
      </w:r>
    </w:p>
    <w:p w14:paraId="542E5556" w14:textId="77777777" w:rsidR="003A7F7F" w:rsidRPr="009A4AB9" w:rsidRDefault="003A7F7F" w:rsidP="007952E3">
      <w:pPr>
        <w:spacing w:line="276" w:lineRule="auto"/>
        <w:jc w:val="both"/>
        <w:rPr>
          <w:rFonts w:ascii="Arial" w:hAnsi="Arial" w:cs="Arial"/>
          <w:sz w:val="21"/>
          <w:szCs w:val="21"/>
          <w:lang w:val="es-CO"/>
        </w:rPr>
      </w:pPr>
    </w:p>
    <w:p w14:paraId="26D3E563" w14:textId="77777777" w:rsidR="007952E3" w:rsidRPr="009A4AB9" w:rsidRDefault="007952E3" w:rsidP="007952E3">
      <w:pPr>
        <w:spacing w:line="276" w:lineRule="auto"/>
        <w:ind w:left="709" w:right="709"/>
        <w:jc w:val="both"/>
        <w:rPr>
          <w:rFonts w:ascii="Arial" w:hAnsi="Arial" w:cs="Arial"/>
          <w:sz w:val="21"/>
          <w:szCs w:val="21"/>
          <w:lang w:val="es-CO"/>
        </w:rPr>
      </w:pPr>
      <w:r w:rsidRPr="009A4AB9">
        <w:rPr>
          <w:rFonts w:ascii="Arial" w:hAnsi="Arial" w:cs="Arial"/>
          <w:sz w:val="21"/>
          <w:szCs w:val="21"/>
          <w:lang w:val="es-CO"/>
        </w:rPr>
        <w:t xml:space="preserve"> ¿En el marco del artículo 6 de la Ley 1150 de 2007, puede el proponente voluntariamente dejar de reportar contratos en el RUP, o requiere autorización de alguna autoridad? </w:t>
      </w:r>
    </w:p>
    <w:p w14:paraId="55F7C3C7" w14:textId="21E08359" w:rsidR="007952E3" w:rsidRPr="009A4AB9" w:rsidRDefault="007952E3" w:rsidP="000F3720">
      <w:pPr>
        <w:spacing w:line="276" w:lineRule="auto"/>
        <w:ind w:right="709"/>
        <w:jc w:val="both"/>
        <w:rPr>
          <w:rFonts w:ascii="Arial" w:hAnsi="Arial" w:cs="Arial"/>
          <w:sz w:val="21"/>
          <w:szCs w:val="21"/>
          <w:lang w:val="es-CO"/>
        </w:rPr>
      </w:pPr>
    </w:p>
    <w:p w14:paraId="12DD1E46" w14:textId="5DEC8AB7" w:rsidR="000F3720" w:rsidRPr="007F2870" w:rsidRDefault="003A7F7F" w:rsidP="000403A3">
      <w:pPr>
        <w:spacing w:line="276" w:lineRule="auto"/>
        <w:jc w:val="both"/>
        <w:rPr>
          <w:rFonts w:ascii="Arial" w:hAnsi="Arial" w:cs="Arial"/>
          <w:sz w:val="22"/>
          <w:lang w:val="es-CO"/>
        </w:rPr>
      </w:pPr>
      <w:r w:rsidRPr="007F2870">
        <w:rPr>
          <w:rFonts w:ascii="Arial" w:hAnsi="Arial" w:cs="Arial"/>
          <w:sz w:val="22"/>
          <w:lang w:val="es-CO"/>
        </w:rPr>
        <w:t>No requiere autorización por parte de ninguna autoridad. En este sentido, el proponente es libre de acreditar la experiencia en el RUP</w:t>
      </w:r>
      <w:r w:rsidR="00683250" w:rsidRPr="007F2870">
        <w:rPr>
          <w:rFonts w:ascii="Arial" w:hAnsi="Arial" w:cs="Arial"/>
          <w:sz w:val="22"/>
          <w:lang w:val="es-CO"/>
        </w:rPr>
        <w:t>,</w:t>
      </w:r>
      <w:r w:rsidRPr="007F2870">
        <w:rPr>
          <w:rFonts w:ascii="Arial" w:hAnsi="Arial" w:cs="Arial"/>
          <w:sz w:val="22"/>
          <w:lang w:val="es-CO"/>
        </w:rPr>
        <w:t xml:space="preserve"> de acuerdo con las oportunidades de negocio identificadas y con la experiencia que ha acopiado en la ejecución de las actividades del giro ordinario de sus negocios</w:t>
      </w:r>
      <w:r w:rsidR="001A053B" w:rsidRPr="007F2870">
        <w:rPr>
          <w:rFonts w:ascii="Arial" w:hAnsi="Arial" w:cs="Arial"/>
          <w:sz w:val="22"/>
          <w:lang w:val="es-CO"/>
        </w:rPr>
        <w:t>.</w:t>
      </w:r>
      <w:r w:rsidRPr="007F2870">
        <w:rPr>
          <w:rFonts w:ascii="Arial" w:hAnsi="Arial" w:cs="Arial"/>
          <w:sz w:val="22"/>
          <w:lang w:val="es-CO"/>
        </w:rPr>
        <w:t xml:space="preserve"> </w:t>
      </w:r>
      <w:r w:rsidR="001A053B" w:rsidRPr="007F2870">
        <w:rPr>
          <w:rFonts w:ascii="Arial" w:hAnsi="Arial" w:cs="Arial"/>
          <w:sz w:val="22"/>
          <w:lang w:val="es-CO"/>
        </w:rPr>
        <w:t>P</w:t>
      </w:r>
      <w:r w:rsidRPr="007F2870">
        <w:rPr>
          <w:rFonts w:ascii="Arial" w:hAnsi="Arial" w:cs="Arial"/>
          <w:sz w:val="22"/>
          <w:lang w:val="es-CO"/>
        </w:rPr>
        <w:t xml:space="preserve">or lo </w:t>
      </w:r>
      <w:r w:rsidR="000403A3" w:rsidRPr="007F2870">
        <w:rPr>
          <w:rFonts w:ascii="Arial" w:hAnsi="Arial" w:cs="Arial"/>
          <w:sz w:val="22"/>
          <w:lang w:val="es-CO"/>
        </w:rPr>
        <w:t>tanto,</w:t>
      </w:r>
      <w:r w:rsidRPr="007F2870">
        <w:rPr>
          <w:rFonts w:ascii="Arial" w:hAnsi="Arial" w:cs="Arial"/>
          <w:sz w:val="22"/>
          <w:lang w:val="es-CO"/>
        </w:rPr>
        <w:t xml:space="preserve"> no configura un</w:t>
      </w:r>
      <w:r w:rsidR="007F2870">
        <w:rPr>
          <w:rFonts w:ascii="Arial" w:hAnsi="Arial" w:cs="Arial"/>
          <w:sz w:val="22"/>
          <w:lang w:val="es-CO"/>
        </w:rPr>
        <w:t>a</w:t>
      </w:r>
      <w:r w:rsidRPr="007F2870">
        <w:rPr>
          <w:rFonts w:ascii="Arial" w:hAnsi="Arial" w:cs="Arial"/>
          <w:sz w:val="22"/>
          <w:lang w:val="es-CO"/>
        </w:rPr>
        <w:t xml:space="preserve"> limitación dentro del trámite de renovación, ni supone una regla establecida legalmente que deba ser sujeto de autorización.</w:t>
      </w:r>
    </w:p>
    <w:p w14:paraId="32D6C0F4" w14:textId="77777777" w:rsidR="009A4AB9" w:rsidRPr="009A4AB9" w:rsidRDefault="009A4AB9" w:rsidP="000F3720">
      <w:pPr>
        <w:spacing w:line="276" w:lineRule="auto"/>
        <w:ind w:right="709"/>
        <w:jc w:val="both"/>
        <w:rPr>
          <w:rFonts w:ascii="Arial" w:hAnsi="Arial" w:cs="Arial"/>
          <w:sz w:val="21"/>
          <w:szCs w:val="21"/>
          <w:lang w:val="es-CO"/>
        </w:rPr>
      </w:pPr>
    </w:p>
    <w:p w14:paraId="1EDCB91A" w14:textId="74BCBB6B" w:rsidR="007952E3" w:rsidRPr="009A4AB9" w:rsidRDefault="007952E3" w:rsidP="007952E3">
      <w:pPr>
        <w:spacing w:line="276" w:lineRule="auto"/>
        <w:ind w:left="709" w:right="709"/>
        <w:jc w:val="both"/>
        <w:rPr>
          <w:rFonts w:ascii="Arial" w:hAnsi="Arial" w:cs="Arial"/>
          <w:sz w:val="21"/>
          <w:szCs w:val="21"/>
          <w:lang w:val="es-CO"/>
        </w:rPr>
      </w:pPr>
      <w:r w:rsidRPr="009A4AB9">
        <w:rPr>
          <w:rFonts w:ascii="Arial" w:hAnsi="Arial" w:cs="Arial"/>
          <w:sz w:val="21"/>
          <w:szCs w:val="21"/>
          <w:lang w:val="es-CO"/>
        </w:rPr>
        <w:t xml:space="preserve">Según el artículo 6 de la Ley 1150 de 2007 ¿Qué efectos jurídicos conlleva dejar de reportar contratos en el RUP que antes si estaban reportados?  </w:t>
      </w:r>
    </w:p>
    <w:p w14:paraId="076EEABD" w14:textId="77777777" w:rsidR="00D72BD7" w:rsidRPr="009A4AB9" w:rsidRDefault="00D72BD7" w:rsidP="007952E3">
      <w:pPr>
        <w:spacing w:line="276" w:lineRule="auto"/>
        <w:ind w:left="709" w:right="709"/>
        <w:jc w:val="both"/>
        <w:rPr>
          <w:rFonts w:ascii="Arial" w:eastAsia="Calibri" w:hAnsi="Arial" w:cs="Arial"/>
          <w:sz w:val="21"/>
          <w:szCs w:val="21"/>
          <w:lang w:val="es-CO"/>
        </w:rPr>
      </w:pPr>
    </w:p>
    <w:p w14:paraId="61559A1F" w14:textId="2F25E1E9" w:rsidR="00D72BD7" w:rsidRDefault="003A7F7F" w:rsidP="00A1118B">
      <w:pPr>
        <w:spacing w:line="276" w:lineRule="auto"/>
        <w:jc w:val="both"/>
        <w:rPr>
          <w:rFonts w:ascii="Arial" w:eastAsia="Calibri" w:hAnsi="Arial" w:cs="Arial"/>
          <w:sz w:val="22"/>
          <w:lang w:val="es-CO"/>
        </w:rPr>
      </w:pPr>
      <w:r w:rsidRPr="003A7F7F">
        <w:rPr>
          <w:rFonts w:ascii="Arial" w:eastAsia="Calibri" w:hAnsi="Arial" w:cs="Arial"/>
          <w:sz w:val="22"/>
          <w:lang w:val="es-CO"/>
        </w:rPr>
        <w:t xml:space="preserve">Las consecuencias de no reportar los contratos registrados para acreditar la experiencia en el RUP, en una vigencia anterior, genera efectos para el proponente, en el sentido de que esta situación le puede restar competitividad en los certámenes públicos que exigen </w:t>
      </w:r>
      <w:r w:rsidRPr="003A7F7F">
        <w:rPr>
          <w:rFonts w:ascii="Arial" w:eastAsia="Calibri" w:hAnsi="Arial" w:cs="Arial"/>
          <w:sz w:val="22"/>
          <w:lang w:val="es-CO"/>
        </w:rPr>
        <w:lastRenderedPageBreak/>
        <w:t>este requisito para suscribir contratos con entidades estatales</w:t>
      </w:r>
      <w:r w:rsidR="00134089">
        <w:rPr>
          <w:rFonts w:ascii="Arial" w:eastAsia="Calibri" w:hAnsi="Arial" w:cs="Arial"/>
          <w:sz w:val="22"/>
          <w:lang w:val="es-CO"/>
        </w:rPr>
        <w:t>, pues no podrá acreditar experiencia por la ejecución de dichos contratos.</w:t>
      </w:r>
    </w:p>
    <w:p w14:paraId="1C490918" w14:textId="77777777" w:rsidR="003A7F7F" w:rsidRPr="009A4AB9" w:rsidRDefault="003A7F7F" w:rsidP="00A1118B">
      <w:pPr>
        <w:spacing w:line="276" w:lineRule="auto"/>
        <w:jc w:val="both"/>
        <w:rPr>
          <w:rFonts w:ascii="Arial" w:eastAsia="Calibri" w:hAnsi="Arial" w:cs="Arial"/>
          <w:sz w:val="22"/>
          <w:lang w:val="es-CO"/>
        </w:rPr>
      </w:pPr>
    </w:p>
    <w:p w14:paraId="12F0E8AB" w14:textId="77777777" w:rsidR="00A1118B" w:rsidRPr="009A4AB9" w:rsidRDefault="00A1118B" w:rsidP="00A1118B">
      <w:pPr>
        <w:spacing w:line="276" w:lineRule="auto"/>
        <w:jc w:val="both"/>
        <w:rPr>
          <w:rFonts w:ascii="Arial" w:eastAsia="Calibri" w:hAnsi="Arial" w:cs="Arial"/>
          <w:sz w:val="22"/>
          <w:lang w:val="es-CO"/>
        </w:rPr>
      </w:pPr>
      <w:r w:rsidRPr="009A4AB9">
        <w:rPr>
          <w:rFonts w:ascii="Arial" w:eastAsia="Calibri" w:hAnsi="Arial" w:cs="Arial"/>
          <w:sz w:val="22"/>
          <w:lang w:val="es-CO"/>
        </w:rPr>
        <w:t>Este concepto tiene el alcance previsto en el artículo 28 del Código de Procedimiento Administrativo y de lo Contencioso Administrativo.</w:t>
      </w:r>
    </w:p>
    <w:p w14:paraId="3F1A9754" w14:textId="77777777" w:rsidR="00A1118B" w:rsidRPr="009A4AB9" w:rsidRDefault="00A1118B" w:rsidP="00A1118B">
      <w:pPr>
        <w:spacing w:line="276" w:lineRule="auto"/>
        <w:ind w:firstLine="708"/>
        <w:jc w:val="both"/>
        <w:rPr>
          <w:rFonts w:ascii="Arial" w:eastAsia="Calibri" w:hAnsi="Arial" w:cs="Arial"/>
          <w:sz w:val="22"/>
          <w:lang w:val="es-CO"/>
        </w:rPr>
      </w:pPr>
    </w:p>
    <w:p w14:paraId="7A2C359F" w14:textId="60699FBA" w:rsidR="00A1118B" w:rsidRPr="009A4AB9" w:rsidRDefault="00A1118B" w:rsidP="00A1118B">
      <w:pPr>
        <w:spacing w:line="276" w:lineRule="auto"/>
        <w:jc w:val="both"/>
        <w:rPr>
          <w:rFonts w:ascii="Arial" w:eastAsia="Calibri" w:hAnsi="Arial" w:cs="Arial"/>
          <w:sz w:val="22"/>
          <w:lang w:val="es-CO"/>
        </w:rPr>
      </w:pPr>
      <w:r w:rsidRPr="009A4AB9">
        <w:rPr>
          <w:noProof/>
          <w:lang w:val="es-CO"/>
        </w:rPr>
        <mc:AlternateContent>
          <mc:Choice Requires="wps">
            <w:drawing>
              <wp:anchor distT="0" distB="0" distL="114300" distR="114300" simplePos="0" relativeHeight="251658240" behindDoc="0" locked="0" layoutInCell="1" allowOverlap="1" wp14:anchorId="02056D76" wp14:editId="5D675661">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92FB367">
              <v:line id="Conector recto 4"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3410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CKqYr/3gAAAAwBAAAPAAAAZHJzL2Rvd25yZXYu&#10;eG1sTI9BT4NAEIXvJv6HzZh4s4vVYktZGqL2bIqN8biwI6DsLLILxX/v6EUvk3x5M2/eS3ez7cSE&#10;g28dKbheRCCQKmdaqhUcn/dXaxA+aDK6c4QKvtDDLjs/S3Vi3IkOOBWhFmxCPtEKmhD6REpfNWi1&#10;X7geibU3N1gdGIdamkGf2Nx2chlFsbS6Jf7Q6B7vG6w+itEqGI+v+/K98Jsnym+nvs0fV58vkVKX&#10;F/PDlke+BRFwDn8X8NOB80PGwUo3kvGiU7C8Wa94lYUYBOubu5i5/GWZpfJ/iewbAAD//wMAUEsB&#10;Ai0AFAAGAAgAAAAhALaDOJL+AAAA4QEAABMAAAAAAAAAAAAAAAAAAAAAAFtDb250ZW50X1R5cGVz&#10;XS54bWxQSwECLQAUAAYACAAAACEAOP0h/9YAAACUAQAACwAAAAAAAAAAAAAAAAAvAQAAX3JlbHMv&#10;LnJlbHNQSwECLQAUAAYACAAAACEAB/+QS7cBAABZAwAADgAAAAAAAAAAAAAAAAAuAgAAZHJzL2Uy&#10;b0RvYy54bWxQSwECLQAUAAYACAAAACEAiqmK/94AAAAMAQAADwAAAAAAAAAAAAAAAAARBAAAZHJz&#10;L2Rvd25yZXYueG1sUEsFBgAAAAAEAAQA8wAAABwFAAAAAA==&#10;">
                <w10:wrap anchorx="page"/>
              </v:line>
            </w:pict>
          </mc:Fallback>
        </mc:AlternateContent>
      </w:r>
    </w:p>
    <w:p w14:paraId="0D12193D" w14:textId="77777777" w:rsidR="00A1118B" w:rsidRPr="009A4AB9" w:rsidRDefault="00A1118B" w:rsidP="00A1118B">
      <w:pPr>
        <w:spacing w:line="276" w:lineRule="auto"/>
        <w:rPr>
          <w:rFonts w:ascii="Arial" w:eastAsia="Times New Roman" w:hAnsi="Arial" w:cs="Arial"/>
          <w:sz w:val="22"/>
          <w:lang w:val="es-CO" w:eastAsia="es-CO"/>
        </w:rPr>
      </w:pPr>
      <w:r w:rsidRPr="009A4AB9">
        <w:rPr>
          <w:rFonts w:ascii="Arial" w:eastAsia="Times New Roman" w:hAnsi="Arial" w:cs="Arial"/>
          <w:sz w:val="22"/>
          <w:lang w:val="es-CO" w:eastAsia="es-CO"/>
        </w:rPr>
        <w:t>Atentamente,</w:t>
      </w:r>
    </w:p>
    <w:p w14:paraId="0A5EF209" w14:textId="07EEBE89" w:rsidR="00A1118B" w:rsidRDefault="00936CAC" w:rsidP="00A1118B">
      <w:pPr>
        <w:spacing w:line="276" w:lineRule="auto"/>
        <w:jc w:val="center"/>
        <w:rPr>
          <w:rFonts w:ascii="Arial" w:eastAsia="Times New Roman" w:hAnsi="Arial" w:cs="Arial"/>
          <w:sz w:val="18"/>
          <w:szCs w:val="20"/>
          <w:lang w:val="es-CO" w:eastAsia="es-CO"/>
        </w:rPr>
      </w:pPr>
      <w:r>
        <w:rPr>
          <w:noProof/>
        </w:rPr>
        <w:drawing>
          <wp:inline distT="0" distB="0" distL="0" distR="0" wp14:anchorId="7BD09EF7" wp14:editId="247BB82C">
            <wp:extent cx="2773045" cy="988695"/>
            <wp:effectExtent l="0" t="0" r="0" b="0"/>
            <wp:docPr id="60979683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D1047C3" w14:textId="77777777" w:rsidR="00936CAC" w:rsidRPr="009A4AB9" w:rsidRDefault="00936CAC" w:rsidP="00A1118B">
      <w:pPr>
        <w:spacing w:line="276" w:lineRule="auto"/>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1118B" w:rsidRPr="009A4AB9" w14:paraId="54288736" w14:textId="77777777" w:rsidTr="00D72BD7">
        <w:trPr>
          <w:trHeight w:val="315"/>
        </w:trPr>
        <w:tc>
          <w:tcPr>
            <w:tcW w:w="812" w:type="dxa"/>
            <w:vAlign w:val="center"/>
            <w:hideMark/>
          </w:tcPr>
          <w:p w14:paraId="7777F192" w14:textId="77777777" w:rsidR="00A1118B" w:rsidRPr="009A4AB9" w:rsidRDefault="00A1118B">
            <w:pPr>
              <w:rPr>
                <w:rFonts w:ascii="Arial" w:eastAsia="Times New Roman" w:hAnsi="Arial" w:cs="Arial"/>
                <w:sz w:val="16"/>
                <w:szCs w:val="16"/>
                <w:lang w:val="es-CO" w:eastAsia="es-ES"/>
              </w:rPr>
            </w:pPr>
            <w:r w:rsidRPr="009A4AB9">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4738AA55" w14:textId="77777777" w:rsidR="00A1118B" w:rsidRPr="009A4AB9" w:rsidRDefault="00AB3F0B">
            <w:pPr>
              <w:rPr>
                <w:rFonts w:ascii="Arial" w:eastAsia="Times New Roman" w:hAnsi="Arial" w:cs="Arial"/>
                <w:sz w:val="16"/>
                <w:szCs w:val="16"/>
                <w:lang w:val="es-CO" w:eastAsia="es-ES"/>
              </w:rPr>
            </w:pPr>
            <w:r w:rsidRPr="009A4AB9">
              <w:rPr>
                <w:rFonts w:ascii="Arial" w:eastAsia="Times New Roman" w:hAnsi="Arial" w:cs="Arial"/>
                <w:sz w:val="16"/>
                <w:szCs w:val="16"/>
                <w:lang w:val="es-CO" w:eastAsia="es-ES"/>
              </w:rPr>
              <w:t>Omar Germán Mejía Olmos</w:t>
            </w:r>
          </w:p>
          <w:p w14:paraId="4EB6C175" w14:textId="332F113B" w:rsidR="001A635E" w:rsidRPr="009A4AB9" w:rsidRDefault="001A635E">
            <w:pPr>
              <w:rPr>
                <w:rFonts w:ascii="Arial" w:eastAsia="Times New Roman" w:hAnsi="Arial" w:cs="Arial"/>
                <w:sz w:val="16"/>
                <w:szCs w:val="16"/>
                <w:lang w:val="es-CO" w:eastAsia="es-ES"/>
              </w:rPr>
            </w:pPr>
            <w:r w:rsidRPr="009A4AB9">
              <w:rPr>
                <w:rFonts w:ascii="Arial" w:eastAsia="Times New Roman" w:hAnsi="Arial" w:cs="Arial"/>
                <w:sz w:val="16"/>
                <w:szCs w:val="16"/>
                <w:lang w:val="es-CO" w:eastAsia="es-ES"/>
              </w:rPr>
              <w:t>Contratista – Subdirección de Gestión Contractual</w:t>
            </w:r>
          </w:p>
        </w:tc>
      </w:tr>
      <w:tr w:rsidR="00D72BD7" w:rsidRPr="009A4AB9" w14:paraId="2F99034A" w14:textId="77777777" w:rsidTr="00D72BD7">
        <w:trPr>
          <w:trHeight w:val="330"/>
        </w:trPr>
        <w:tc>
          <w:tcPr>
            <w:tcW w:w="812" w:type="dxa"/>
            <w:vAlign w:val="center"/>
            <w:hideMark/>
          </w:tcPr>
          <w:p w14:paraId="31D7F710" w14:textId="77777777" w:rsidR="00D72BD7" w:rsidRPr="009A4AB9" w:rsidRDefault="00D72BD7" w:rsidP="00D72BD7">
            <w:pPr>
              <w:rPr>
                <w:rFonts w:ascii="Arial" w:eastAsia="Times New Roman" w:hAnsi="Arial" w:cs="Arial"/>
                <w:sz w:val="16"/>
                <w:szCs w:val="16"/>
                <w:lang w:val="es-CO" w:eastAsia="es-ES"/>
              </w:rPr>
            </w:pPr>
            <w:r w:rsidRPr="009A4AB9">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0FA993" w14:textId="5B587305" w:rsidR="00D72BD7" w:rsidRPr="009A4AB9" w:rsidRDefault="006D4787" w:rsidP="00D72BD7">
            <w:pPr>
              <w:rPr>
                <w:rFonts w:ascii="Arial" w:eastAsia="Times New Roman" w:hAnsi="Arial" w:cs="Arial"/>
                <w:sz w:val="16"/>
                <w:szCs w:val="16"/>
                <w:lang w:val="es-CO" w:eastAsia="es-ES"/>
              </w:rPr>
            </w:pPr>
            <w:r>
              <w:rPr>
                <w:rFonts w:ascii="Arial" w:eastAsia="Times New Roman" w:hAnsi="Arial" w:cs="Arial"/>
                <w:sz w:val="16"/>
                <w:szCs w:val="16"/>
                <w:lang w:val="es-CO" w:eastAsia="es-ES"/>
              </w:rPr>
              <w:t>Cristian Andrés Díaz Díez</w:t>
            </w:r>
          </w:p>
          <w:p w14:paraId="0E495D9D" w14:textId="6B417CAD" w:rsidR="00D72BD7" w:rsidRPr="009A4AB9" w:rsidRDefault="006D4787" w:rsidP="00D72BD7">
            <w:pPr>
              <w:rPr>
                <w:rFonts w:ascii="Arial" w:eastAsia="Times New Roman" w:hAnsi="Arial" w:cs="Arial"/>
                <w:sz w:val="16"/>
                <w:szCs w:val="16"/>
                <w:lang w:val="es-CO" w:eastAsia="es-ES"/>
              </w:rPr>
            </w:pPr>
            <w:r>
              <w:rPr>
                <w:rFonts w:ascii="Arial" w:eastAsia="Times New Roman" w:hAnsi="Arial" w:cs="Arial"/>
                <w:sz w:val="16"/>
                <w:szCs w:val="16"/>
                <w:lang w:val="es-CO" w:eastAsia="es-ES"/>
              </w:rPr>
              <w:t xml:space="preserve">Contratista, </w:t>
            </w:r>
            <w:r w:rsidR="00D72BD7" w:rsidRPr="009A4AB9">
              <w:rPr>
                <w:rFonts w:ascii="Arial" w:eastAsia="Times New Roman" w:hAnsi="Arial" w:cs="Arial"/>
                <w:sz w:val="16"/>
                <w:szCs w:val="16"/>
                <w:lang w:val="es-CO" w:eastAsia="es-ES"/>
              </w:rPr>
              <w:t>Subdirec</w:t>
            </w:r>
            <w:r>
              <w:rPr>
                <w:rFonts w:ascii="Arial" w:eastAsia="Times New Roman" w:hAnsi="Arial" w:cs="Arial"/>
                <w:sz w:val="16"/>
                <w:szCs w:val="16"/>
                <w:lang w:val="es-CO" w:eastAsia="es-ES"/>
              </w:rPr>
              <w:t>ción</w:t>
            </w:r>
            <w:r w:rsidR="00D72BD7" w:rsidRPr="009A4AB9">
              <w:rPr>
                <w:rFonts w:ascii="Arial" w:eastAsia="Times New Roman" w:hAnsi="Arial" w:cs="Arial"/>
                <w:sz w:val="16"/>
                <w:szCs w:val="16"/>
                <w:lang w:val="es-CO" w:eastAsia="es-ES"/>
              </w:rPr>
              <w:t xml:space="preserve"> de Gestión Contractual</w:t>
            </w:r>
          </w:p>
        </w:tc>
      </w:tr>
      <w:tr w:rsidR="00D72BD7" w:rsidRPr="009A4AB9" w14:paraId="72A75B8A" w14:textId="77777777" w:rsidTr="00D72BD7">
        <w:trPr>
          <w:trHeight w:val="300"/>
        </w:trPr>
        <w:tc>
          <w:tcPr>
            <w:tcW w:w="812" w:type="dxa"/>
            <w:vAlign w:val="center"/>
            <w:hideMark/>
          </w:tcPr>
          <w:p w14:paraId="1C1FEAA7" w14:textId="77777777" w:rsidR="00D72BD7" w:rsidRPr="009A4AB9" w:rsidRDefault="00D72BD7" w:rsidP="00D72BD7">
            <w:pPr>
              <w:rPr>
                <w:rFonts w:ascii="Arial" w:eastAsia="Times New Roman" w:hAnsi="Arial" w:cs="Arial"/>
                <w:sz w:val="16"/>
                <w:szCs w:val="16"/>
                <w:lang w:val="es-CO" w:eastAsia="es-ES"/>
              </w:rPr>
            </w:pPr>
            <w:r w:rsidRPr="009A4AB9">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79C810" w14:textId="77777777" w:rsidR="00D72BD7" w:rsidRPr="009A4AB9" w:rsidRDefault="00D72BD7" w:rsidP="00D72BD7">
            <w:pPr>
              <w:rPr>
                <w:rFonts w:ascii="Arial" w:eastAsia="Times New Roman" w:hAnsi="Arial" w:cs="Arial"/>
                <w:sz w:val="16"/>
                <w:szCs w:val="16"/>
                <w:lang w:val="es-CO" w:eastAsia="es-ES"/>
              </w:rPr>
            </w:pPr>
            <w:r w:rsidRPr="009A4AB9">
              <w:rPr>
                <w:rFonts w:ascii="Arial" w:eastAsia="Times New Roman" w:hAnsi="Arial" w:cs="Arial"/>
                <w:sz w:val="16"/>
                <w:szCs w:val="16"/>
                <w:lang w:val="es-CO" w:eastAsia="es-ES"/>
              </w:rPr>
              <w:t>Fabián Gonzalo Marín Cortés</w:t>
            </w:r>
          </w:p>
          <w:p w14:paraId="4DFCB48D" w14:textId="77777777" w:rsidR="00D72BD7" w:rsidRPr="009A4AB9" w:rsidRDefault="00D72BD7" w:rsidP="00D72BD7">
            <w:pPr>
              <w:rPr>
                <w:rFonts w:ascii="Arial" w:eastAsia="Times New Roman" w:hAnsi="Arial" w:cs="Arial"/>
                <w:sz w:val="16"/>
                <w:szCs w:val="16"/>
                <w:lang w:val="es-CO" w:eastAsia="es-ES"/>
              </w:rPr>
            </w:pPr>
            <w:r w:rsidRPr="009A4AB9">
              <w:rPr>
                <w:rFonts w:ascii="Arial" w:eastAsia="Times New Roman" w:hAnsi="Arial" w:cs="Arial"/>
                <w:sz w:val="16"/>
                <w:szCs w:val="16"/>
                <w:lang w:val="es-CO" w:eastAsia="es-ES"/>
              </w:rPr>
              <w:t>Subdirector de Gestión Contractual</w:t>
            </w:r>
          </w:p>
        </w:tc>
      </w:tr>
      <w:tr w:rsidR="00D72BD7" w:rsidRPr="009A4AB9" w14:paraId="54E6BD41" w14:textId="77777777" w:rsidTr="00D72BD7">
        <w:trPr>
          <w:trHeight w:val="300"/>
        </w:trPr>
        <w:tc>
          <w:tcPr>
            <w:tcW w:w="812" w:type="dxa"/>
            <w:vAlign w:val="center"/>
            <w:hideMark/>
          </w:tcPr>
          <w:p w14:paraId="196FA091" w14:textId="77777777" w:rsidR="00D72BD7" w:rsidRPr="009A4AB9" w:rsidRDefault="00D72BD7" w:rsidP="00D72BD7">
            <w:pPr>
              <w:rPr>
                <w:rFonts w:ascii="Arial" w:eastAsia="Times New Roman" w:hAnsi="Arial" w:cs="Arial"/>
                <w:sz w:val="16"/>
                <w:szCs w:val="16"/>
                <w:lang w:val="es-CO" w:eastAsia="es-ES"/>
              </w:rPr>
            </w:pPr>
            <w:r w:rsidRPr="009A4AB9">
              <w:rPr>
                <w:rFonts w:ascii="Arial" w:eastAsia="Times New Roman"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6F8FA6" w14:textId="77777777" w:rsidR="00D72BD7" w:rsidRPr="009A4AB9" w:rsidRDefault="00D72BD7" w:rsidP="00D72BD7">
            <w:pPr>
              <w:rPr>
                <w:rFonts w:ascii="Arial" w:eastAsia="Times New Roman" w:hAnsi="Arial" w:cs="Arial"/>
                <w:sz w:val="16"/>
                <w:szCs w:val="16"/>
                <w:lang w:val="es-CO" w:eastAsia="es-ES"/>
              </w:rPr>
            </w:pPr>
            <w:r w:rsidRPr="009A4AB9">
              <w:rPr>
                <w:rFonts w:ascii="Arial" w:eastAsia="Times New Roman" w:hAnsi="Arial" w:cs="Arial"/>
                <w:sz w:val="16"/>
                <w:szCs w:val="16"/>
                <w:lang w:val="es-CO" w:eastAsia="es-ES"/>
              </w:rPr>
              <w:t>0</w:t>
            </w:r>
          </w:p>
        </w:tc>
      </w:tr>
      <w:bookmarkEnd w:id="0"/>
    </w:tbl>
    <w:p w14:paraId="32F73A4F" w14:textId="77777777" w:rsidR="00A1118B" w:rsidRPr="009A4AB9" w:rsidRDefault="00A1118B" w:rsidP="00A1118B">
      <w:pPr>
        <w:rPr>
          <w:rFonts w:ascii="Arial" w:eastAsia="Calibri" w:hAnsi="Arial" w:cs="Arial"/>
          <w:sz w:val="22"/>
          <w:lang w:val="es-CO"/>
        </w:rPr>
      </w:pPr>
    </w:p>
    <w:p w14:paraId="7EBF297E" w14:textId="77777777" w:rsidR="007B0854" w:rsidRPr="009A4AB9" w:rsidRDefault="007B0854" w:rsidP="00A1118B">
      <w:pPr>
        <w:rPr>
          <w:lang w:val="es-CO"/>
        </w:rPr>
      </w:pPr>
    </w:p>
    <w:sectPr w:rsidR="007B0854" w:rsidRPr="009A4AB9"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279D0" w14:textId="77777777" w:rsidR="003044CF" w:rsidRDefault="003044CF">
      <w:r>
        <w:separator/>
      </w:r>
    </w:p>
  </w:endnote>
  <w:endnote w:type="continuationSeparator" w:id="0">
    <w:p w14:paraId="157B5015" w14:textId="77777777" w:rsidR="003044CF" w:rsidRDefault="0030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966B7" w14:textId="69293901" w:rsidR="00B83204" w:rsidRDefault="00B83204" w:rsidP="005A79FE">
    <w:pPr>
      <w:pStyle w:val="Piedepgina"/>
      <w:jc w:val="right"/>
      <w:rPr>
        <w:rFonts w:ascii="Arial" w:hAnsi="Arial" w:cs="Arial"/>
        <w:bCs/>
        <w:color w:val="7F7F7F" w:themeColor="text1" w:themeTint="80"/>
        <w:sz w:val="16"/>
        <w:szCs w:val="16"/>
      </w:rPr>
    </w:pPr>
  </w:p>
  <w:p w14:paraId="6D7CC875" w14:textId="67231C53" w:rsidR="00B83204" w:rsidRDefault="00B83204" w:rsidP="005A79FE">
    <w:pPr>
      <w:pStyle w:val="Piedepgina"/>
      <w:jc w:val="right"/>
      <w:rPr>
        <w:rFonts w:ascii="Arial" w:hAnsi="Arial" w:cs="Arial"/>
        <w:bCs/>
        <w:color w:val="7F7F7F" w:themeColor="text1" w:themeTint="80"/>
        <w:sz w:val="16"/>
        <w:szCs w:val="16"/>
      </w:rPr>
    </w:pPr>
  </w:p>
  <w:p w14:paraId="490284AD" w14:textId="77777777" w:rsidR="00B83204" w:rsidRDefault="00B83204" w:rsidP="005A79FE">
    <w:pPr>
      <w:pStyle w:val="Piedepgina"/>
      <w:jc w:val="right"/>
      <w:rPr>
        <w:rFonts w:ascii="Arial" w:hAnsi="Arial" w:cs="Arial"/>
        <w:bCs/>
        <w:color w:val="7F7F7F" w:themeColor="text1" w:themeTint="80"/>
        <w:sz w:val="16"/>
        <w:szCs w:val="16"/>
      </w:rPr>
    </w:pPr>
  </w:p>
  <w:p w14:paraId="312C4A14" w14:textId="5B4B7AF8"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F674074" w:rsidP="007B0854">
    <w:pPr>
      <w:pStyle w:val="Piedepgina"/>
      <w:jc w:val="center"/>
      <w:rPr>
        <w:lang w:val="es-ES"/>
      </w:rPr>
    </w:pPr>
    <w:r>
      <w:rPr>
        <w:noProof/>
      </w:rPr>
      <w:drawing>
        <wp:inline distT="0" distB="0" distL="0" distR="0" wp14:anchorId="608B196D" wp14:editId="43F407E0">
          <wp:extent cx="4241994" cy="595165"/>
          <wp:effectExtent l="0" t="0" r="6350" b="0"/>
          <wp:docPr id="184879040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F1600" w14:textId="77777777" w:rsidR="003044CF" w:rsidRDefault="003044CF">
      <w:r>
        <w:separator/>
      </w:r>
    </w:p>
  </w:footnote>
  <w:footnote w:type="continuationSeparator" w:id="0">
    <w:p w14:paraId="4E9E94F2" w14:textId="77777777" w:rsidR="003044CF" w:rsidRDefault="003044CF">
      <w:r>
        <w:continuationSeparator/>
      </w:r>
    </w:p>
  </w:footnote>
  <w:footnote w:id="1">
    <w:p w14:paraId="5C1AA32B" w14:textId="77777777" w:rsidR="00A1118B" w:rsidRDefault="00A1118B" w:rsidP="00A1118B">
      <w:pPr>
        <w:pStyle w:val="NormalWeb"/>
        <w:shd w:val="clear" w:color="auto" w:fill="FFFFFF"/>
        <w:spacing w:before="0" w:beforeAutospacing="0" w:after="0" w:afterAutospacing="0"/>
        <w:ind w:firstLine="708"/>
        <w:jc w:val="both"/>
        <w:rPr>
          <w:rFonts w:ascii="Arial" w:hAnsi="Arial" w:cs="Arial"/>
          <w:sz w:val="19"/>
          <w:szCs w:val="19"/>
          <w:lang w:val="es-MX"/>
        </w:rPr>
      </w:pPr>
      <w:r>
        <w:rPr>
          <w:rStyle w:val="Refdenotaalpie"/>
          <w:rFonts w:ascii="Arial" w:eastAsiaTheme="minorHAnsi" w:hAnsi="Arial" w:cs="Arial"/>
          <w:sz w:val="19"/>
          <w:szCs w:val="19"/>
          <w:lang w:eastAsia="en-US"/>
        </w:rPr>
        <w:footnoteRef/>
      </w:r>
      <w:r>
        <w:rPr>
          <w:rFonts w:ascii="Arial" w:hAnsi="Arial" w:cs="Arial"/>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04F28BAE" w14:textId="77777777" w:rsidR="00A1118B" w:rsidRDefault="00A1118B" w:rsidP="00A1118B">
      <w:pPr>
        <w:pStyle w:val="NormalWeb"/>
        <w:shd w:val="clear" w:color="auto" w:fill="FFFFFF"/>
        <w:spacing w:before="0" w:beforeAutospacing="0" w:after="0" w:afterAutospacing="0"/>
        <w:ind w:firstLine="708"/>
        <w:jc w:val="both"/>
        <w:rPr>
          <w:rFonts w:ascii="Arial" w:hAnsi="Arial" w:cs="Arial"/>
          <w:sz w:val="19"/>
          <w:szCs w:val="19"/>
          <w:lang w:val="es-MX"/>
        </w:rPr>
      </w:pPr>
      <w:proofErr w:type="gramStart"/>
      <w:r>
        <w:rPr>
          <w:rFonts w:ascii="Arial" w:hAnsi="Arial" w:cs="Arial"/>
          <w:sz w:val="19"/>
          <w:szCs w:val="19"/>
          <w:lang w:val="es-MX"/>
        </w:rPr>
        <w:t>»En</w:t>
      </w:r>
      <w:proofErr w:type="gramEnd"/>
      <w:r>
        <w:rPr>
          <w:rFonts w:ascii="Arial" w:hAnsi="Arial" w:cs="Arial"/>
          <w:sz w:val="19"/>
          <w:szCs w:val="19"/>
          <w:lang w:val="es-MX"/>
        </w:rPr>
        <w:t xml:space="preserve"> firme la inscripción, cualquier persona podrá demandar su nulidad en desarrollo de la acción prevista en el Código Contencioso Administrativo. Para el efecto será competente el Juez de lo Contencioso Administrativo en única instancia.</w:t>
      </w:r>
    </w:p>
    <w:p w14:paraId="67E54AA1" w14:textId="77777777" w:rsidR="00A1118B" w:rsidRDefault="00A1118B" w:rsidP="00A1118B">
      <w:pPr>
        <w:pStyle w:val="NormalWeb"/>
        <w:shd w:val="clear" w:color="auto" w:fill="FFFFFF"/>
        <w:spacing w:before="0" w:beforeAutospacing="0" w:after="0" w:afterAutospacing="0"/>
        <w:ind w:firstLine="708"/>
        <w:jc w:val="both"/>
        <w:rPr>
          <w:rFonts w:ascii="Arial" w:hAnsi="Arial" w:cs="Arial"/>
          <w:sz w:val="19"/>
          <w:szCs w:val="19"/>
          <w:lang w:val="es-MX"/>
        </w:rPr>
      </w:pPr>
      <w:proofErr w:type="gramStart"/>
      <w:r>
        <w:rPr>
          <w:rFonts w:ascii="Arial" w:hAnsi="Arial" w:cs="Arial"/>
          <w:sz w:val="19"/>
          <w:szCs w:val="19"/>
          <w:lang w:val="es-MX"/>
        </w:rPr>
        <w:t>»La</w:t>
      </w:r>
      <w:proofErr w:type="gramEnd"/>
      <w:r>
        <w:rPr>
          <w:rFonts w:ascii="Arial" w:hAnsi="Arial" w:cs="Arial"/>
          <w:sz w:val="19"/>
          <w:szCs w:val="19"/>
          <w:lang w:val="es-MX"/>
        </w:rPr>
        <w:t xml:space="preserve">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626CFA12" w14:textId="77777777" w:rsidR="00A1118B" w:rsidRDefault="00A1118B" w:rsidP="00A1118B">
      <w:pPr>
        <w:pStyle w:val="NormalWeb"/>
        <w:shd w:val="clear" w:color="auto" w:fill="FFFFFF"/>
        <w:spacing w:before="0" w:beforeAutospacing="0" w:after="0" w:afterAutospacing="0"/>
        <w:ind w:firstLine="708"/>
        <w:jc w:val="both"/>
        <w:rPr>
          <w:rFonts w:ascii="Arial" w:hAnsi="Arial" w:cs="Arial"/>
          <w:sz w:val="19"/>
          <w:szCs w:val="19"/>
          <w:lang w:val="es-MX"/>
        </w:rPr>
      </w:pPr>
      <w:proofErr w:type="gramStart"/>
      <w:r>
        <w:rPr>
          <w:rFonts w:ascii="Arial" w:hAnsi="Arial" w:cs="Arial"/>
          <w:sz w:val="19"/>
          <w:szCs w:val="19"/>
          <w:lang w:val="es-MX"/>
        </w:rPr>
        <w:t>»Cuando</w:t>
      </w:r>
      <w:proofErr w:type="gramEnd"/>
      <w:r>
        <w:rPr>
          <w:rFonts w:ascii="Arial" w:hAnsi="Arial" w:cs="Arial"/>
          <w:sz w:val="19"/>
          <w:szCs w:val="19"/>
          <w:lang w:val="es-MX"/>
        </w:rPr>
        <w:t xml:space="preserve">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09C280D9" w14:textId="77777777" w:rsidR="00A1118B" w:rsidRDefault="00A1118B" w:rsidP="00A1118B">
      <w:pPr>
        <w:pStyle w:val="NormalWeb"/>
        <w:shd w:val="clear" w:color="auto" w:fill="FFFFFF"/>
        <w:spacing w:before="0" w:beforeAutospacing="0" w:after="0" w:afterAutospacing="0"/>
        <w:ind w:firstLine="708"/>
        <w:jc w:val="both"/>
        <w:rPr>
          <w:rFonts w:ascii="Arial" w:hAnsi="Arial" w:cs="Arial"/>
          <w:sz w:val="19"/>
          <w:szCs w:val="19"/>
          <w:lang w:val="es-MX"/>
        </w:rPr>
      </w:pPr>
      <w:proofErr w:type="gramStart"/>
      <w:r>
        <w:rPr>
          <w:rFonts w:ascii="Arial" w:hAnsi="Arial" w:cs="Arial"/>
          <w:sz w:val="19"/>
          <w:szCs w:val="19"/>
          <w:lang w:val="es-MX"/>
        </w:rPr>
        <w:t>»En</w:t>
      </w:r>
      <w:proofErr w:type="gramEnd"/>
      <w:r>
        <w:rPr>
          <w:rFonts w:ascii="Arial" w:hAnsi="Arial" w:cs="Arial"/>
          <w:sz w:val="19"/>
          <w:szCs w:val="19"/>
          <w:lang w:val="es-MX"/>
        </w:rPr>
        <w:t xml:space="preserve">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05D5C56D" w14:textId="77777777" w:rsidR="00A1118B" w:rsidRDefault="00A1118B" w:rsidP="00A1118B">
      <w:pPr>
        <w:pStyle w:val="NormalWeb"/>
        <w:spacing w:before="0" w:beforeAutospacing="0" w:after="0" w:afterAutospacing="0"/>
        <w:ind w:firstLine="708"/>
        <w:jc w:val="both"/>
        <w:rPr>
          <w:rFonts w:ascii="Arial" w:hAnsi="Arial" w:cs="Arial"/>
          <w:sz w:val="19"/>
          <w:szCs w:val="19"/>
          <w:lang w:val="es-MX"/>
        </w:rPr>
      </w:pPr>
      <w:proofErr w:type="gramStart"/>
      <w:r>
        <w:rPr>
          <w:rFonts w:ascii="Arial" w:hAnsi="Arial" w:cs="Arial"/>
          <w:sz w:val="19"/>
          <w:szCs w:val="19"/>
          <w:lang w:val="es-MX"/>
        </w:rPr>
        <w:t>»Las</w:t>
      </w:r>
      <w:proofErr w:type="gramEnd"/>
      <w:r>
        <w:rPr>
          <w:rFonts w:ascii="Arial" w:hAnsi="Arial" w:cs="Arial"/>
          <w:sz w:val="19"/>
          <w:szCs w:val="19"/>
          <w:lang w:val="es-MX"/>
        </w:rPr>
        <w:t xml:space="preserve"> mismas sanciones previstas en el inciso anterior se predicarán en el evento en que el Juez de lo Contencioso Administrativa declare la nulidad del acto de inscripción.</w:t>
      </w:r>
    </w:p>
    <w:p w14:paraId="750389BC" w14:textId="77777777" w:rsidR="00A1118B" w:rsidRDefault="00A1118B" w:rsidP="00A1118B">
      <w:pPr>
        <w:pStyle w:val="NormalWeb"/>
        <w:spacing w:before="0" w:beforeAutospacing="0" w:after="0" w:afterAutospacing="0"/>
        <w:ind w:firstLine="708"/>
        <w:jc w:val="both"/>
        <w:rPr>
          <w:rFonts w:ascii="Arial" w:hAnsi="Arial" w:cs="Arial"/>
          <w:sz w:val="19"/>
          <w:szCs w:val="19"/>
          <w:lang w:val="es-MX"/>
        </w:rPr>
      </w:pPr>
      <w:proofErr w:type="gramStart"/>
      <w:r>
        <w:rPr>
          <w:rFonts w:ascii="Arial" w:hAnsi="Arial" w:cs="Arial"/>
          <w:sz w:val="19"/>
          <w:szCs w:val="19"/>
          <w:lang w:val="es-MX"/>
        </w:rPr>
        <w:t>»La</w:t>
      </w:r>
      <w:proofErr w:type="gramEnd"/>
      <w:r>
        <w:rPr>
          <w:rFonts w:ascii="Arial" w:hAnsi="Arial" w:cs="Arial"/>
          <w:sz w:val="19"/>
          <w:szCs w:val="19"/>
          <w:lang w:val="es-MX"/>
        </w:rPr>
        <w:t xml:space="preserve"> información contenida en el registro es pública y su consulta será gratuita».</w:t>
      </w:r>
    </w:p>
    <w:p w14:paraId="23C7F8C5" w14:textId="77777777" w:rsidR="00A1118B" w:rsidRDefault="00A1118B" w:rsidP="00A1118B">
      <w:pPr>
        <w:pStyle w:val="NormalWeb"/>
        <w:spacing w:before="0" w:beforeAutospacing="0" w:after="0" w:afterAutospacing="0"/>
        <w:ind w:firstLine="708"/>
        <w:jc w:val="both"/>
        <w:rPr>
          <w:rFonts w:ascii="Arial" w:hAnsi="Arial" w:cs="Arial"/>
          <w:sz w:val="19"/>
          <w:szCs w:val="19"/>
          <w:lang w:val="es-MX"/>
        </w:rPr>
      </w:pPr>
    </w:p>
  </w:footnote>
  <w:footnote w:id="2">
    <w:p w14:paraId="499F60A1" w14:textId="489FAFB7" w:rsidR="00A1118B" w:rsidRDefault="00A1118B" w:rsidP="00A1118B">
      <w:pPr>
        <w:pStyle w:val="Textonotapie"/>
        <w:ind w:firstLine="708"/>
        <w:jc w:val="both"/>
        <w:rPr>
          <w:rFonts w:ascii="Arial" w:eastAsia="Times New Roman" w:hAnsi="Arial" w:cs="Arial"/>
          <w:sz w:val="19"/>
          <w:szCs w:val="19"/>
          <w:lang w:eastAsia="es-CO"/>
        </w:rPr>
      </w:pPr>
      <w:r>
        <w:rPr>
          <w:rStyle w:val="Refdenotaalpie"/>
          <w:rFonts w:ascii="Arial" w:hAnsi="Arial" w:cs="Arial"/>
          <w:sz w:val="19"/>
          <w:szCs w:val="19"/>
        </w:rPr>
        <w:footnoteRef/>
      </w:r>
      <w:r w:rsidR="00A079D9">
        <w:rPr>
          <w:rFonts w:ascii="Arial" w:eastAsia="Times New Roman" w:hAnsi="Arial" w:cs="Arial"/>
          <w:sz w:val="19"/>
          <w:szCs w:val="19"/>
          <w:lang w:eastAsia="es-CO"/>
        </w:rPr>
        <w:t xml:space="preserve"> </w:t>
      </w:r>
      <w:r>
        <w:rPr>
          <w:rFonts w:ascii="Arial" w:eastAsia="Times New Roman" w:hAnsi="Arial" w:cs="Arial"/>
          <w:sz w:val="19"/>
          <w:szCs w:val="19"/>
          <w:lang w:eastAsia="es-CO"/>
        </w:rPr>
        <w:t>«Artículo 2.2.1.1.1.5.1. Inscripción, renovación, actualización y cancelación del RUP.</w:t>
      </w:r>
    </w:p>
    <w:p w14:paraId="024AC9C6" w14:textId="77777777" w:rsidR="00A1118B" w:rsidRDefault="00A1118B" w:rsidP="00A1118B">
      <w:pPr>
        <w:pStyle w:val="Textonotapie"/>
        <w:ind w:firstLine="708"/>
        <w:jc w:val="both"/>
        <w:rPr>
          <w:rFonts w:ascii="Arial" w:eastAsia="Times New Roman" w:hAnsi="Arial" w:cs="Arial"/>
          <w:sz w:val="19"/>
          <w:szCs w:val="19"/>
          <w:lang w:eastAsia="es-CO"/>
        </w:rPr>
      </w:pPr>
      <w:r>
        <w:rPr>
          <w:rFonts w:ascii="Arial" w:eastAsia="Times New Roman" w:hAnsi="Arial" w:cs="Arial"/>
          <w:sz w:val="19"/>
          <w:szCs w:val="19"/>
          <w:lang w:eastAsia="es-CO"/>
        </w:rPr>
        <w:t>[…]</w:t>
      </w:r>
    </w:p>
    <w:p w14:paraId="0A2B56C6" w14:textId="77777777" w:rsidR="00A1118B" w:rsidRDefault="00A1118B" w:rsidP="00A1118B">
      <w:pPr>
        <w:pStyle w:val="Textonotapie"/>
        <w:ind w:firstLine="708"/>
        <w:jc w:val="both"/>
        <w:rPr>
          <w:rFonts w:ascii="Arial" w:eastAsia="Times New Roman" w:hAnsi="Arial" w:cs="Arial"/>
          <w:sz w:val="19"/>
          <w:szCs w:val="19"/>
          <w:lang w:eastAsia="es-CO"/>
        </w:rPr>
      </w:pPr>
      <w:proofErr w:type="gramStart"/>
      <w:r>
        <w:rPr>
          <w:rFonts w:ascii="Arial" w:eastAsia="Times New Roman" w:hAnsi="Arial" w:cs="Arial"/>
          <w:sz w:val="19"/>
          <w:szCs w:val="19"/>
          <w:lang w:eastAsia="es-CO"/>
        </w:rPr>
        <w:t>»La</w:t>
      </w:r>
      <w:proofErr w:type="gramEnd"/>
      <w:r>
        <w:rPr>
          <w:rFonts w:ascii="Arial" w:eastAsia="Times New Roman" w:hAnsi="Arial" w:cs="Arial"/>
          <w:sz w:val="19"/>
          <w:szCs w:val="19"/>
          <w:lang w:eastAsia="es-CO"/>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BAC92FE" w14:textId="77777777" w:rsidR="00A1118B" w:rsidRDefault="00A1118B" w:rsidP="00A1118B">
      <w:pPr>
        <w:pStyle w:val="Textonotapie"/>
        <w:ind w:firstLine="708"/>
        <w:jc w:val="both"/>
        <w:rPr>
          <w:rFonts w:ascii="Arial" w:eastAsia="Times New Roman" w:hAnsi="Arial" w:cs="Arial"/>
          <w:sz w:val="19"/>
          <w:szCs w:val="19"/>
          <w:lang w:eastAsia="es-CO"/>
        </w:rPr>
      </w:pPr>
    </w:p>
  </w:footnote>
  <w:footnote w:id="3">
    <w:p w14:paraId="668FF96C" w14:textId="77777777" w:rsidR="00A1118B" w:rsidRDefault="00A1118B" w:rsidP="00A1118B">
      <w:pPr>
        <w:pStyle w:val="Textonotapie"/>
        <w:ind w:firstLine="708"/>
        <w:jc w:val="both"/>
        <w:rPr>
          <w:rFonts w:ascii="Arial" w:eastAsia="Times New Roman" w:hAnsi="Arial" w:cs="Arial"/>
          <w:sz w:val="19"/>
          <w:szCs w:val="19"/>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sz w:val="19"/>
          <w:szCs w:val="19"/>
          <w:lang w:eastAsia="es-CO"/>
        </w:rPr>
        <w:t xml:space="preserve">Consejo de Estado. Sección Tercera. Subsección A. Sentencia del 19 de septiembre de 2019. </w:t>
      </w:r>
      <w:proofErr w:type="spellStart"/>
      <w:r>
        <w:rPr>
          <w:rFonts w:ascii="Arial" w:eastAsia="Times New Roman" w:hAnsi="Arial" w:cs="Arial"/>
          <w:sz w:val="19"/>
          <w:szCs w:val="19"/>
          <w:lang w:eastAsia="es-CO"/>
        </w:rPr>
        <w:t>Exp</w:t>
      </w:r>
      <w:proofErr w:type="spellEnd"/>
      <w:r>
        <w:rPr>
          <w:rFonts w:ascii="Arial" w:eastAsia="Times New Roman" w:hAnsi="Arial" w:cs="Arial"/>
          <w:sz w:val="19"/>
          <w:szCs w:val="19"/>
          <w:lang w:eastAsia="es-CO"/>
        </w:rPr>
        <w:t>. 59.432. C.P. Marta Nubia Velásquez Rico.</w:t>
      </w:r>
    </w:p>
    <w:p w14:paraId="3C608903" w14:textId="77777777" w:rsidR="00A1118B" w:rsidRDefault="00A1118B" w:rsidP="00A1118B">
      <w:pPr>
        <w:pStyle w:val="Textonotapie"/>
        <w:ind w:firstLine="708"/>
        <w:jc w:val="both"/>
        <w:rPr>
          <w:rFonts w:ascii="Arial" w:hAnsi="Arial" w:cs="Arial"/>
          <w:sz w:val="19"/>
          <w:szCs w:val="19"/>
          <w:lang w:val="es-CO"/>
        </w:rPr>
      </w:pPr>
    </w:p>
  </w:footnote>
  <w:footnote w:id="4">
    <w:p w14:paraId="6732447E" w14:textId="77777777" w:rsidR="007E312B" w:rsidRPr="007E312B" w:rsidRDefault="007E312B" w:rsidP="007E312B">
      <w:pPr>
        <w:pStyle w:val="Textonotapie"/>
        <w:ind w:firstLine="709"/>
        <w:jc w:val="both"/>
        <w:rPr>
          <w:rFonts w:ascii="Arial" w:hAnsi="Arial" w:cs="Arial"/>
          <w:sz w:val="19"/>
          <w:szCs w:val="19"/>
          <w:lang w:val="es-CO"/>
        </w:rPr>
      </w:pPr>
      <w:r w:rsidRPr="007E312B">
        <w:rPr>
          <w:rStyle w:val="Refdenotaalpie"/>
          <w:rFonts w:ascii="Arial" w:hAnsi="Arial" w:cs="Arial"/>
          <w:sz w:val="19"/>
          <w:szCs w:val="19"/>
        </w:rPr>
        <w:footnoteRef/>
      </w:r>
      <w:r w:rsidRPr="007E312B">
        <w:rPr>
          <w:rFonts w:ascii="Arial" w:hAnsi="Arial" w:cs="Arial"/>
          <w:sz w:val="19"/>
          <w:szCs w:val="19"/>
        </w:rPr>
        <w:t xml:space="preserve"> </w:t>
      </w:r>
      <w:r w:rsidRPr="007E312B">
        <w:rPr>
          <w:rFonts w:ascii="Arial" w:hAnsi="Arial" w:cs="Arial"/>
          <w:sz w:val="19"/>
          <w:szCs w:val="19"/>
          <w:lang w:val="es-CO"/>
        </w:rPr>
        <w:t xml:space="preserve">«Artículo 87. Firmeza de los actos administrativos. Los actos administrativos quedarán en firme: </w:t>
      </w:r>
    </w:p>
    <w:p w14:paraId="5731D4FD" w14:textId="598E0F2A" w:rsidR="00967E6D" w:rsidRPr="007E312B" w:rsidRDefault="007E312B" w:rsidP="007E312B">
      <w:pPr>
        <w:pStyle w:val="Textonotapie"/>
        <w:ind w:firstLine="709"/>
        <w:jc w:val="both"/>
        <w:rPr>
          <w:rFonts w:ascii="Arial" w:hAnsi="Arial" w:cs="Arial"/>
          <w:sz w:val="19"/>
          <w:szCs w:val="19"/>
          <w:lang w:val="es-CO"/>
        </w:rPr>
      </w:pPr>
      <w:r w:rsidRPr="007E312B">
        <w:rPr>
          <w:rFonts w:ascii="Arial" w:hAnsi="Arial" w:cs="Arial"/>
          <w:sz w:val="19"/>
          <w:szCs w:val="19"/>
          <w:lang w:val="es-CO"/>
        </w:rPr>
        <w:t xml:space="preserve">»1. Cuando contra ellos no proceda ningún recurso, desde el día siguiente al de su notificación, comunicación o publicación según el caso. </w:t>
      </w:r>
    </w:p>
    <w:p w14:paraId="704FAC82" w14:textId="39E8A7AF" w:rsidR="00967E6D" w:rsidRPr="00967E6D" w:rsidRDefault="007E312B" w:rsidP="007E312B">
      <w:pPr>
        <w:pStyle w:val="Textonotapie"/>
        <w:ind w:firstLine="709"/>
        <w:jc w:val="both"/>
        <w:rPr>
          <w:rFonts w:ascii="Arial" w:hAnsi="Arial" w:cs="Arial"/>
          <w:sz w:val="19"/>
          <w:szCs w:val="19"/>
          <w:lang w:val="es-CO"/>
        </w:rPr>
      </w:pPr>
      <w:r w:rsidRPr="00967E6D">
        <w:rPr>
          <w:rFonts w:ascii="Arial" w:hAnsi="Arial" w:cs="Arial"/>
          <w:sz w:val="19"/>
          <w:szCs w:val="19"/>
          <w:lang w:val="es-CO"/>
        </w:rPr>
        <w:t xml:space="preserve">»2. Desde el día siguiente a la publicación, comunicación o notificación de la decisión sobre los recursos interpuestos. </w:t>
      </w:r>
    </w:p>
    <w:p w14:paraId="0155B10A" w14:textId="3B99DF27" w:rsidR="007E312B" w:rsidRPr="00967E6D" w:rsidRDefault="007E312B" w:rsidP="007E312B">
      <w:pPr>
        <w:pStyle w:val="Textonotapie"/>
        <w:ind w:firstLine="709"/>
        <w:jc w:val="both"/>
        <w:rPr>
          <w:rFonts w:ascii="Arial" w:hAnsi="Arial" w:cs="Arial"/>
          <w:sz w:val="19"/>
          <w:szCs w:val="19"/>
          <w:lang w:val="es-CO"/>
        </w:rPr>
      </w:pPr>
      <w:r w:rsidRPr="00967E6D">
        <w:rPr>
          <w:rFonts w:ascii="Arial" w:hAnsi="Arial" w:cs="Arial"/>
          <w:sz w:val="19"/>
          <w:szCs w:val="19"/>
          <w:lang w:val="es-CO"/>
        </w:rPr>
        <w:t>»3. Desde el día siguiente al del vencimiento del término para interponer los recursos, si estos no fueron interpuestos, o se hubiere renunciado expresamente a ellos.</w:t>
      </w:r>
    </w:p>
    <w:p w14:paraId="67CC5A58" w14:textId="7D5AE389" w:rsidR="007E312B" w:rsidRPr="00967E6D" w:rsidRDefault="007E312B" w:rsidP="007E312B">
      <w:pPr>
        <w:pStyle w:val="Textonotapie"/>
        <w:ind w:firstLine="709"/>
        <w:jc w:val="both"/>
        <w:rPr>
          <w:rFonts w:ascii="Arial" w:hAnsi="Arial" w:cs="Arial"/>
          <w:sz w:val="19"/>
          <w:szCs w:val="19"/>
          <w:lang w:val="es-CO"/>
        </w:rPr>
      </w:pPr>
      <w:r w:rsidRPr="00967E6D">
        <w:rPr>
          <w:rFonts w:ascii="Arial" w:hAnsi="Arial" w:cs="Arial"/>
          <w:sz w:val="19"/>
          <w:szCs w:val="19"/>
          <w:lang w:val="es-CO"/>
        </w:rPr>
        <w:t xml:space="preserve">»4. Desde el día siguiente al de la notificación de la aceptación del desistimiento de los recursos. </w:t>
      </w:r>
    </w:p>
    <w:p w14:paraId="2446FAF9" w14:textId="50104E3A" w:rsidR="007E312B" w:rsidRPr="00967E6D" w:rsidRDefault="007E312B" w:rsidP="00967E6D">
      <w:pPr>
        <w:pStyle w:val="Textonotapie"/>
        <w:ind w:firstLine="709"/>
        <w:jc w:val="both"/>
        <w:rPr>
          <w:rFonts w:ascii="Arial" w:hAnsi="Arial" w:cs="Arial"/>
          <w:sz w:val="19"/>
          <w:szCs w:val="19"/>
          <w:lang w:val="es-CO"/>
        </w:rPr>
      </w:pPr>
      <w:r w:rsidRPr="00967E6D">
        <w:rPr>
          <w:rFonts w:ascii="Arial" w:hAnsi="Arial" w:cs="Arial"/>
          <w:sz w:val="19"/>
          <w:szCs w:val="19"/>
          <w:lang w:val="es-CO"/>
        </w:rPr>
        <w:t>»5. Desde el día siguiente al de la protocolización a que alude el artículo 85 para el silencio administrativo positivo».</w:t>
      </w:r>
    </w:p>
    <w:p w14:paraId="1C95D765" w14:textId="77777777" w:rsidR="00967E6D" w:rsidRPr="00967E6D" w:rsidRDefault="00967E6D" w:rsidP="00967E6D">
      <w:pPr>
        <w:pStyle w:val="Textonotapie"/>
        <w:ind w:firstLine="709"/>
        <w:jc w:val="both"/>
        <w:rPr>
          <w:rFonts w:ascii="Arial" w:hAnsi="Arial" w:cs="Arial"/>
          <w:sz w:val="19"/>
          <w:szCs w:val="19"/>
          <w:lang w:val="es-CO"/>
        </w:rPr>
      </w:pPr>
    </w:p>
  </w:footnote>
  <w:footnote w:id="5">
    <w:p w14:paraId="72B57B9D" w14:textId="77777777" w:rsidR="00967E6D" w:rsidRPr="00967E6D" w:rsidRDefault="007E312B" w:rsidP="00967E6D">
      <w:pPr>
        <w:pStyle w:val="Textonotapie"/>
        <w:ind w:firstLine="709"/>
        <w:rPr>
          <w:rFonts w:ascii="Arial" w:hAnsi="Arial" w:cs="Arial"/>
          <w:sz w:val="19"/>
          <w:szCs w:val="19"/>
          <w:lang w:val="es-CO"/>
        </w:rPr>
      </w:pPr>
      <w:r w:rsidRPr="00967E6D">
        <w:rPr>
          <w:rStyle w:val="Refdenotaalpie"/>
          <w:rFonts w:ascii="Arial" w:hAnsi="Arial" w:cs="Arial"/>
          <w:sz w:val="19"/>
          <w:szCs w:val="19"/>
        </w:rPr>
        <w:footnoteRef/>
      </w:r>
      <w:r w:rsidRPr="00967E6D">
        <w:rPr>
          <w:rFonts w:ascii="Arial" w:hAnsi="Arial" w:cs="Arial"/>
          <w:sz w:val="19"/>
          <w:szCs w:val="19"/>
        </w:rPr>
        <w:t xml:space="preserve"> </w:t>
      </w:r>
      <w:r w:rsidR="00967E6D" w:rsidRPr="00967E6D">
        <w:rPr>
          <w:rFonts w:ascii="Arial" w:hAnsi="Arial" w:cs="Arial"/>
          <w:sz w:val="19"/>
          <w:szCs w:val="19"/>
          <w:lang w:val="es-CO"/>
        </w:rPr>
        <w:t xml:space="preserve">Consejo de Estado. Sección Cuarta. Sentencia del 19 de noviembre de 1999. </w:t>
      </w:r>
      <w:proofErr w:type="spellStart"/>
      <w:r w:rsidR="00967E6D" w:rsidRPr="00967E6D">
        <w:rPr>
          <w:rFonts w:ascii="Arial" w:hAnsi="Arial" w:cs="Arial"/>
          <w:sz w:val="19"/>
          <w:szCs w:val="19"/>
          <w:lang w:val="es-CO"/>
        </w:rPr>
        <w:t>Exp</w:t>
      </w:r>
      <w:proofErr w:type="spellEnd"/>
      <w:r w:rsidR="00967E6D" w:rsidRPr="00967E6D">
        <w:rPr>
          <w:rFonts w:ascii="Arial" w:hAnsi="Arial" w:cs="Arial"/>
          <w:sz w:val="19"/>
          <w:szCs w:val="19"/>
          <w:lang w:val="es-CO"/>
        </w:rPr>
        <w:t>. 9.453. CP. Daniel Manrique Guzmán.</w:t>
      </w:r>
    </w:p>
    <w:p w14:paraId="12F56790" w14:textId="375419C4" w:rsidR="007E312B" w:rsidRPr="007E312B" w:rsidRDefault="007E312B">
      <w:pPr>
        <w:pStyle w:val="Textonotapie"/>
        <w:rPr>
          <w:lang w:val="es-ES"/>
        </w:rPr>
      </w:pPr>
    </w:p>
  </w:footnote>
  <w:footnote w:id="6">
    <w:p w14:paraId="3F7EBD2A" w14:textId="77777777" w:rsidR="00967E6D" w:rsidRDefault="00967E6D" w:rsidP="00967E6D">
      <w:pPr>
        <w:ind w:firstLine="709"/>
        <w:jc w:val="both"/>
        <w:rPr>
          <w:rFonts w:ascii="Arial" w:eastAsia="Times New Roman" w:hAnsi="Arial" w:cs="Arial"/>
          <w:sz w:val="19"/>
          <w:szCs w:val="19"/>
          <w:lang w:val="es-CO" w:eastAsia="es-ES_tradnl"/>
        </w:rPr>
      </w:pPr>
      <w:r w:rsidRPr="00967E6D">
        <w:rPr>
          <w:rStyle w:val="Refdenotaalpie"/>
          <w:rFonts w:ascii="Arial" w:hAnsi="Arial" w:cs="Arial"/>
          <w:sz w:val="19"/>
          <w:szCs w:val="19"/>
        </w:rPr>
        <w:footnoteRef/>
      </w:r>
      <w:r w:rsidRPr="00967E6D">
        <w:rPr>
          <w:rFonts w:ascii="Arial" w:hAnsi="Arial" w:cs="Arial"/>
          <w:sz w:val="19"/>
          <w:szCs w:val="19"/>
        </w:rPr>
        <w:t xml:space="preserve"> </w:t>
      </w:r>
      <w:r w:rsidRPr="00967E6D">
        <w:rPr>
          <w:rFonts w:ascii="Arial" w:eastAsia="Times New Roman" w:hAnsi="Arial" w:cs="Arial"/>
          <w:sz w:val="19"/>
          <w:szCs w:val="19"/>
          <w:lang w:val="es-CO" w:eastAsia="es-ES_tradnl"/>
        </w:rPr>
        <w:t xml:space="preserve">Ley 1882 de 2018: «Artículo 5. Modifíquese el Parágrafo 1 e inclúyanse los parágrafos 3, 4 y 5 de artículo 5° de la Ley 1150 de 2007, los cuales quedarán así: </w:t>
      </w:r>
    </w:p>
    <w:p w14:paraId="36F8ED7B" w14:textId="77777777" w:rsidR="00967E6D" w:rsidRDefault="00967E6D" w:rsidP="00967E6D">
      <w:pPr>
        <w:ind w:firstLine="709"/>
        <w:jc w:val="both"/>
        <w:rPr>
          <w:rFonts w:ascii="Arial" w:eastAsia="Times New Roman" w:hAnsi="Arial" w:cs="Arial"/>
          <w:sz w:val="19"/>
          <w:szCs w:val="19"/>
          <w:lang w:val="es-CO" w:eastAsia="es-ES_tradnl"/>
        </w:rPr>
      </w:pPr>
      <w:r w:rsidRPr="00967E6D">
        <w:rPr>
          <w:rFonts w:ascii="Arial" w:eastAsia="Times New Roman" w:hAnsi="Arial" w:cs="Arial"/>
          <w:sz w:val="19"/>
          <w:szCs w:val="19"/>
          <w:lang w:val="es-CO" w:eastAsia="es-ES_tradnl"/>
        </w:rPr>
        <w:t xml:space="preserve">[…] </w:t>
      </w:r>
    </w:p>
    <w:p w14:paraId="5B2C3F49" w14:textId="77777777" w:rsidR="00967E6D" w:rsidRDefault="00967E6D" w:rsidP="00967E6D">
      <w:pPr>
        <w:ind w:firstLine="709"/>
        <w:jc w:val="both"/>
        <w:rPr>
          <w:rFonts w:ascii="Arial" w:eastAsia="Times New Roman" w:hAnsi="Arial" w:cs="Arial"/>
          <w:sz w:val="19"/>
          <w:szCs w:val="19"/>
          <w:lang w:val="es-CO" w:eastAsia="es-ES_tradnl"/>
        </w:rPr>
      </w:pPr>
      <w:proofErr w:type="gramStart"/>
      <w:r w:rsidRPr="00967E6D">
        <w:rPr>
          <w:rFonts w:ascii="Arial" w:eastAsia="Times New Roman" w:hAnsi="Arial" w:cs="Arial"/>
          <w:sz w:val="19"/>
          <w:szCs w:val="19"/>
          <w:lang w:val="es-CO" w:eastAsia="es-ES_tradnl"/>
        </w:rPr>
        <w:t>»Artículo</w:t>
      </w:r>
      <w:proofErr w:type="gramEnd"/>
      <w:r w:rsidRPr="00967E6D">
        <w:rPr>
          <w:rFonts w:ascii="Arial" w:eastAsia="Times New Roman" w:hAnsi="Arial" w:cs="Arial"/>
          <w:sz w:val="19"/>
          <w:szCs w:val="19"/>
          <w:lang w:val="es-CO" w:eastAsia="es-ES_tradnl"/>
        </w:rPr>
        <w:t xml:space="preserve"> 5°. De la selección objetiva. </w:t>
      </w:r>
    </w:p>
    <w:p w14:paraId="3D15276C" w14:textId="77777777" w:rsidR="00967E6D" w:rsidRPr="00967E6D" w:rsidRDefault="00967E6D" w:rsidP="00967E6D">
      <w:pPr>
        <w:ind w:firstLine="709"/>
        <w:jc w:val="both"/>
        <w:rPr>
          <w:rFonts w:ascii="Arial" w:eastAsia="Times New Roman" w:hAnsi="Arial" w:cs="Arial"/>
          <w:sz w:val="19"/>
          <w:szCs w:val="19"/>
          <w:lang w:val="es-CO" w:eastAsia="es-ES_tradnl"/>
        </w:rPr>
      </w:pPr>
      <w:r w:rsidRPr="00967E6D">
        <w:rPr>
          <w:rFonts w:ascii="Arial" w:eastAsia="Times New Roman" w:hAnsi="Arial" w:cs="Arial"/>
          <w:sz w:val="19"/>
          <w:szCs w:val="19"/>
          <w:lang w:val="es-CO" w:eastAsia="es-ES_tradnl"/>
        </w:rPr>
        <w:t xml:space="preserve">[…] </w:t>
      </w:r>
    </w:p>
    <w:p w14:paraId="6D3F3244" w14:textId="0C9BC5F1" w:rsidR="00967E6D" w:rsidRDefault="00967E6D" w:rsidP="00967E6D">
      <w:pPr>
        <w:ind w:firstLine="709"/>
        <w:jc w:val="both"/>
        <w:rPr>
          <w:rFonts w:ascii="Arial" w:eastAsia="Times New Roman" w:hAnsi="Arial" w:cs="Arial"/>
          <w:sz w:val="19"/>
          <w:szCs w:val="19"/>
          <w:lang w:val="es-CO" w:eastAsia="es-ES_tradnl"/>
        </w:rPr>
      </w:pPr>
      <w:proofErr w:type="gramStart"/>
      <w:r w:rsidRPr="00967E6D">
        <w:rPr>
          <w:rFonts w:ascii="Arial" w:eastAsia="Times New Roman" w:hAnsi="Arial" w:cs="Arial"/>
          <w:sz w:val="19"/>
          <w:szCs w:val="19"/>
          <w:lang w:val="es-CO" w:eastAsia="es-ES_tradnl"/>
        </w:rPr>
        <w:t>»Parágrafo</w:t>
      </w:r>
      <w:proofErr w:type="gramEnd"/>
      <w:r w:rsidRPr="00967E6D">
        <w:rPr>
          <w:rFonts w:ascii="Arial" w:eastAsia="Times New Roman" w:hAnsi="Arial" w:cs="Arial"/>
          <w:sz w:val="19"/>
          <w:szCs w:val="19"/>
          <w:lang w:val="es-CO" w:eastAsia="es-ES_tradnl"/>
        </w:rPr>
        <w:t xml:space="preserve">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4F056818" w14:textId="77777777" w:rsidR="002A45B2" w:rsidRPr="00967E6D" w:rsidRDefault="002A45B2" w:rsidP="00967E6D">
      <w:pPr>
        <w:ind w:firstLine="709"/>
        <w:jc w:val="both"/>
        <w:rPr>
          <w:rFonts w:ascii="Arial" w:eastAsia="Times New Roman" w:hAnsi="Arial" w:cs="Arial"/>
          <w:sz w:val="19"/>
          <w:szCs w:val="19"/>
          <w:lang w:val="es-CO" w:eastAsia="es-ES_tradnl"/>
        </w:rPr>
      </w:pPr>
    </w:p>
    <w:p w14:paraId="42D97A6B" w14:textId="6F961F64" w:rsidR="00967E6D" w:rsidRPr="00967E6D" w:rsidRDefault="00967E6D" w:rsidP="00967E6D">
      <w:pPr>
        <w:ind w:firstLine="709"/>
        <w:jc w:val="both"/>
        <w:rPr>
          <w:rFonts w:ascii="Arial" w:eastAsia="Times New Roman" w:hAnsi="Arial" w:cs="Arial"/>
          <w:sz w:val="19"/>
          <w:szCs w:val="19"/>
          <w:lang w:val="es-CO" w:eastAsia="es-ES_tradnl"/>
        </w:rPr>
      </w:pPr>
      <w:proofErr w:type="gramStart"/>
      <w:r w:rsidRPr="00967E6D">
        <w:rPr>
          <w:rFonts w:ascii="Arial" w:eastAsia="Times New Roman" w:hAnsi="Arial" w:cs="Arial"/>
          <w:i/>
          <w:iCs/>
          <w:sz w:val="19"/>
          <w:szCs w:val="19"/>
          <w:lang w:val="es-CO" w:eastAsia="es-ES_tradnl"/>
        </w:rPr>
        <w:t>»Durante</w:t>
      </w:r>
      <w:proofErr w:type="gramEnd"/>
      <w:r w:rsidRPr="00967E6D">
        <w:rPr>
          <w:rFonts w:ascii="Arial" w:eastAsia="Times New Roman" w:hAnsi="Arial" w:cs="Arial"/>
          <w:i/>
          <w:iCs/>
          <w:sz w:val="19"/>
          <w:szCs w:val="19"/>
          <w:lang w:val="es-CO" w:eastAsia="es-ES_tradnl"/>
        </w:rPr>
        <w:t xml:space="preserve"> el término otorgado para subsanar las ofertas, los proponentes no podrán acreditar circunstancias ocurridas con posterioridad al cierre del proceso»</w:t>
      </w:r>
      <w:r w:rsidRPr="00967E6D">
        <w:rPr>
          <w:rFonts w:ascii="Arial" w:eastAsia="Times New Roman" w:hAnsi="Arial" w:cs="Arial"/>
          <w:sz w:val="19"/>
          <w:szCs w:val="19"/>
          <w:lang w:val="es-CO" w:eastAsia="es-ES_tradnl"/>
        </w:rPr>
        <w:t xml:space="preserve"> (cursiva fuera de texto).</w:t>
      </w:r>
    </w:p>
    <w:p w14:paraId="6403D40E" w14:textId="46077AFA" w:rsidR="00967E6D" w:rsidRPr="00967E6D" w:rsidRDefault="00967E6D" w:rsidP="00967E6D">
      <w:pPr>
        <w:pStyle w:val="Textonotapie"/>
        <w:jc w:val="both"/>
        <w:rPr>
          <w:rFonts w:ascii="Arial" w:hAnsi="Arial" w:cs="Arial"/>
          <w:sz w:val="19"/>
          <w:szCs w:val="19"/>
          <w:lang w:val="es-ES"/>
        </w:rPr>
      </w:pPr>
    </w:p>
  </w:footnote>
  <w:footnote w:id="7">
    <w:p w14:paraId="4227B38C" w14:textId="77777777" w:rsidR="00967E6D" w:rsidRPr="00967E6D" w:rsidRDefault="00967E6D" w:rsidP="00967E6D">
      <w:pPr>
        <w:pStyle w:val="Textonotapie"/>
        <w:ind w:firstLine="709"/>
        <w:jc w:val="both"/>
        <w:rPr>
          <w:rFonts w:ascii="Arial" w:hAnsi="Arial" w:cs="Arial"/>
          <w:sz w:val="19"/>
          <w:szCs w:val="19"/>
          <w:lang w:val="es-CO"/>
        </w:rPr>
      </w:pPr>
      <w:r w:rsidRPr="00967E6D">
        <w:rPr>
          <w:rStyle w:val="Refdenotaalpie"/>
          <w:rFonts w:ascii="Arial" w:hAnsi="Arial" w:cs="Arial"/>
          <w:sz w:val="19"/>
          <w:szCs w:val="19"/>
        </w:rPr>
        <w:footnoteRef/>
      </w:r>
      <w:r w:rsidRPr="00967E6D">
        <w:rPr>
          <w:rFonts w:ascii="Arial" w:hAnsi="Arial" w:cs="Arial"/>
          <w:sz w:val="19"/>
          <w:szCs w:val="19"/>
        </w:rPr>
        <w:t xml:space="preserve"> </w:t>
      </w:r>
      <w:r w:rsidRPr="00967E6D">
        <w:rPr>
          <w:rFonts w:ascii="Arial" w:hAnsi="Arial" w:cs="Arial"/>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967E6D">
        <w:rPr>
          <w:rFonts w:ascii="Arial" w:hAnsi="Arial" w:cs="Arial"/>
          <w:i/>
          <w:iCs/>
          <w:sz w:val="19"/>
          <w:szCs w:val="19"/>
          <w:lang w:val="es-CO"/>
        </w:rPr>
        <w:t>ni que se acrediten circunstancias ocurridas con posterioridad al cierre del proceso»</w:t>
      </w:r>
      <w:r w:rsidRPr="00967E6D">
        <w:rPr>
          <w:rFonts w:ascii="Arial" w:hAnsi="Arial" w:cs="Arial"/>
          <w:sz w:val="19"/>
          <w:szCs w:val="19"/>
          <w:lang w:val="es-CO"/>
        </w:rPr>
        <w:t xml:space="preserve"> (cursiva fuera de texto).</w:t>
      </w:r>
    </w:p>
    <w:p w14:paraId="6B366647" w14:textId="081FECDC" w:rsidR="00967E6D" w:rsidRPr="00967E6D" w:rsidRDefault="00967E6D" w:rsidP="00967E6D">
      <w:pPr>
        <w:pStyle w:val="Textonotapie"/>
        <w:ind w:firstLine="709"/>
        <w:jc w:val="both"/>
        <w:rPr>
          <w:rFonts w:ascii="Arial" w:hAnsi="Arial" w:cs="Arial"/>
          <w:sz w:val="19"/>
          <w:szCs w:val="19"/>
          <w:lang w:val="es-ES"/>
        </w:rPr>
      </w:pPr>
    </w:p>
  </w:footnote>
  <w:footnote w:id="8">
    <w:p w14:paraId="1012D963" w14:textId="77777777" w:rsidR="00967E6D" w:rsidRPr="00967E6D" w:rsidRDefault="00967E6D" w:rsidP="00967E6D">
      <w:pPr>
        <w:pStyle w:val="Textonotapie"/>
        <w:ind w:firstLine="709"/>
        <w:jc w:val="both"/>
        <w:rPr>
          <w:rFonts w:ascii="Arial" w:hAnsi="Arial" w:cs="Arial"/>
          <w:sz w:val="19"/>
          <w:szCs w:val="19"/>
          <w:lang w:val="es-CO"/>
        </w:rPr>
      </w:pPr>
      <w:r w:rsidRPr="00967E6D">
        <w:rPr>
          <w:rStyle w:val="Refdenotaalpie"/>
          <w:rFonts w:ascii="Arial" w:hAnsi="Arial" w:cs="Arial"/>
          <w:sz w:val="19"/>
          <w:szCs w:val="19"/>
        </w:rPr>
        <w:footnoteRef/>
      </w:r>
      <w:r w:rsidRPr="00967E6D">
        <w:rPr>
          <w:rFonts w:ascii="Arial" w:hAnsi="Arial" w:cs="Arial"/>
          <w:sz w:val="19"/>
          <w:szCs w:val="19"/>
        </w:rPr>
        <w:t xml:space="preserve"> </w:t>
      </w:r>
      <w:r w:rsidRPr="00967E6D">
        <w:rPr>
          <w:rFonts w:ascii="Arial" w:hAnsi="Arial" w:cs="Arial"/>
          <w:sz w:val="19"/>
          <w:szCs w:val="19"/>
          <w:lang w:val="es-CO"/>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Pr="00967E6D">
        <w:rPr>
          <w:rFonts w:ascii="Arial" w:hAnsi="Arial" w:cs="Arial"/>
          <w:sz w:val="19"/>
          <w:szCs w:val="19"/>
          <w:lang w:val="es-CO"/>
        </w:rPr>
        <w:t>Exp</w:t>
      </w:r>
      <w:proofErr w:type="spellEnd"/>
      <w:r w:rsidRPr="00967E6D">
        <w:rPr>
          <w:rFonts w:ascii="Arial" w:hAnsi="Arial" w:cs="Arial"/>
          <w:sz w:val="19"/>
          <w:szCs w:val="19"/>
          <w:lang w:val="es-CO"/>
        </w:rPr>
        <w:t>. 1.927. C.P. William Zambrano Cetina).</w:t>
      </w:r>
    </w:p>
    <w:p w14:paraId="1E335FD4" w14:textId="3E2A64F6" w:rsidR="00967E6D" w:rsidRPr="00967E6D" w:rsidRDefault="00967E6D">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3A97"/>
    <w:rsid w:val="000157D2"/>
    <w:rsid w:val="000403A3"/>
    <w:rsid w:val="00044372"/>
    <w:rsid w:val="00050453"/>
    <w:rsid w:val="00053C58"/>
    <w:rsid w:val="00072E88"/>
    <w:rsid w:val="0008367B"/>
    <w:rsid w:val="000942EB"/>
    <w:rsid w:val="000A3F30"/>
    <w:rsid w:val="000B103F"/>
    <w:rsid w:val="000D15B1"/>
    <w:rsid w:val="000F14E8"/>
    <w:rsid w:val="000F3720"/>
    <w:rsid w:val="00103915"/>
    <w:rsid w:val="001059A1"/>
    <w:rsid w:val="00122B23"/>
    <w:rsid w:val="00123E43"/>
    <w:rsid w:val="001262EA"/>
    <w:rsid w:val="00130469"/>
    <w:rsid w:val="00134089"/>
    <w:rsid w:val="00137B39"/>
    <w:rsid w:val="00137FFA"/>
    <w:rsid w:val="001572CD"/>
    <w:rsid w:val="00177893"/>
    <w:rsid w:val="00185851"/>
    <w:rsid w:val="001A053B"/>
    <w:rsid w:val="001A635E"/>
    <w:rsid w:val="001C0ABA"/>
    <w:rsid w:val="001D0743"/>
    <w:rsid w:val="001F179E"/>
    <w:rsid w:val="0020502E"/>
    <w:rsid w:val="00206542"/>
    <w:rsid w:val="00207742"/>
    <w:rsid w:val="00234B84"/>
    <w:rsid w:val="00246B65"/>
    <w:rsid w:val="00262EE4"/>
    <w:rsid w:val="002869F7"/>
    <w:rsid w:val="0029200B"/>
    <w:rsid w:val="00292336"/>
    <w:rsid w:val="002A4358"/>
    <w:rsid w:val="002A45B2"/>
    <w:rsid w:val="002A5C49"/>
    <w:rsid w:val="002A6D4D"/>
    <w:rsid w:val="002B1C31"/>
    <w:rsid w:val="002C6159"/>
    <w:rsid w:val="002E0915"/>
    <w:rsid w:val="003033BA"/>
    <w:rsid w:val="003044CF"/>
    <w:rsid w:val="00327526"/>
    <w:rsid w:val="00327783"/>
    <w:rsid w:val="00333A66"/>
    <w:rsid w:val="0034680A"/>
    <w:rsid w:val="00352B43"/>
    <w:rsid w:val="00364BDA"/>
    <w:rsid w:val="00386456"/>
    <w:rsid w:val="003A5471"/>
    <w:rsid w:val="003A581E"/>
    <w:rsid w:val="003A7F7F"/>
    <w:rsid w:val="003B62C1"/>
    <w:rsid w:val="003C099D"/>
    <w:rsid w:val="003D3EBE"/>
    <w:rsid w:val="003E1C94"/>
    <w:rsid w:val="003E4ED5"/>
    <w:rsid w:val="00414275"/>
    <w:rsid w:val="00431D81"/>
    <w:rsid w:val="004422D6"/>
    <w:rsid w:val="00443F61"/>
    <w:rsid w:val="00447A31"/>
    <w:rsid w:val="00451254"/>
    <w:rsid w:val="004A1E27"/>
    <w:rsid w:val="004A34D2"/>
    <w:rsid w:val="004A5D94"/>
    <w:rsid w:val="004C5B23"/>
    <w:rsid w:val="004C6C73"/>
    <w:rsid w:val="004D1A3E"/>
    <w:rsid w:val="004E643E"/>
    <w:rsid w:val="004F2E52"/>
    <w:rsid w:val="004F3F8B"/>
    <w:rsid w:val="005052ED"/>
    <w:rsid w:val="0051074C"/>
    <w:rsid w:val="0051336C"/>
    <w:rsid w:val="00513AF2"/>
    <w:rsid w:val="0052228B"/>
    <w:rsid w:val="005311A1"/>
    <w:rsid w:val="0054413A"/>
    <w:rsid w:val="005564CA"/>
    <w:rsid w:val="00571765"/>
    <w:rsid w:val="00573CDC"/>
    <w:rsid w:val="005A0756"/>
    <w:rsid w:val="005A64B1"/>
    <w:rsid w:val="005A79FE"/>
    <w:rsid w:val="005B568E"/>
    <w:rsid w:val="005C1863"/>
    <w:rsid w:val="00611678"/>
    <w:rsid w:val="006473B0"/>
    <w:rsid w:val="006473E3"/>
    <w:rsid w:val="0064762B"/>
    <w:rsid w:val="00655371"/>
    <w:rsid w:val="00656E72"/>
    <w:rsid w:val="00676032"/>
    <w:rsid w:val="00683250"/>
    <w:rsid w:val="00691378"/>
    <w:rsid w:val="00696CDD"/>
    <w:rsid w:val="00697665"/>
    <w:rsid w:val="006A261F"/>
    <w:rsid w:val="006A7FD0"/>
    <w:rsid w:val="006B1676"/>
    <w:rsid w:val="006B316C"/>
    <w:rsid w:val="006D4787"/>
    <w:rsid w:val="006D7687"/>
    <w:rsid w:val="006E0572"/>
    <w:rsid w:val="006E48B7"/>
    <w:rsid w:val="006F321D"/>
    <w:rsid w:val="00705631"/>
    <w:rsid w:val="00716287"/>
    <w:rsid w:val="00742DD2"/>
    <w:rsid w:val="0075385B"/>
    <w:rsid w:val="0075647A"/>
    <w:rsid w:val="00762586"/>
    <w:rsid w:val="007634AD"/>
    <w:rsid w:val="00764867"/>
    <w:rsid w:val="0078122E"/>
    <w:rsid w:val="00783227"/>
    <w:rsid w:val="007952E3"/>
    <w:rsid w:val="00795814"/>
    <w:rsid w:val="007A2738"/>
    <w:rsid w:val="007B0854"/>
    <w:rsid w:val="007B46FC"/>
    <w:rsid w:val="007C297F"/>
    <w:rsid w:val="007C4D57"/>
    <w:rsid w:val="007D31F8"/>
    <w:rsid w:val="007E312B"/>
    <w:rsid w:val="007E34CF"/>
    <w:rsid w:val="007F12AD"/>
    <w:rsid w:val="007F2870"/>
    <w:rsid w:val="007F72CB"/>
    <w:rsid w:val="00810936"/>
    <w:rsid w:val="00811A60"/>
    <w:rsid w:val="00813130"/>
    <w:rsid w:val="00821742"/>
    <w:rsid w:val="00826E68"/>
    <w:rsid w:val="0083119B"/>
    <w:rsid w:val="008366C4"/>
    <w:rsid w:val="00836EAB"/>
    <w:rsid w:val="00846BF0"/>
    <w:rsid w:val="0085092D"/>
    <w:rsid w:val="00860ACC"/>
    <w:rsid w:val="00874172"/>
    <w:rsid w:val="00883B97"/>
    <w:rsid w:val="008A69AE"/>
    <w:rsid w:val="008C3BF7"/>
    <w:rsid w:val="008C4490"/>
    <w:rsid w:val="008E1C15"/>
    <w:rsid w:val="008E5591"/>
    <w:rsid w:val="009047C5"/>
    <w:rsid w:val="00917224"/>
    <w:rsid w:val="00936CAC"/>
    <w:rsid w:val="00943498"/>
    <w:rsid w:val="009464A2"/>
    <w:rsid w:val="009501C7"/>
    <w:rsid w:val="0095385A"/>
    <w:rsid w:val="00964931"/>
    <w:rsid w:val="00967AEC"/>
    <w:rsid w:val="00967E6D"/>
    <w:rsid w:val="00980E74"/>
    <w:rsid w:val="0098455D"/>
    <w:rsid w:val="009A4297"/>
    <w:rsid w:val="009A4AB9"/>
    <w:rsid w:val="009A7C76"/>
    <w:rsid w:val="009B2279"/>
    <w:rsid w:val="009B2637"/>
    <w:rsid w:val="009B4024"/>
    <w:rsid w:val="009C2897"/>
    <w:rsid w:val="009E509F"/>
    <w:rsid w:val="00A00C13"/>
    <w:rsid w:val="00A079D9"/>
    <w:rsid w:val="00A1118B"/>
    <w:rsid w:val="00A24560"/>
    <w:rsid w:val="00A2510D"/>
    <w:rsid w:val="00A34538"/>
    <w:rsid w:val="00A355DF"/>
    <w:rsid w:val="00A47E77"/>
    <w:rsid w:val="00A61C89"/>
    <w:rsid w:val="00A73D68"/>
    <w:rsid w:val="00A74DCB"/>
    <w:rsid w:val="00A7630E"/>
    <w:rsid w:val="00A875A5"/>
    <w:rsid w:val="00AA2934"/>
    <w:rsid w:val="00AA352C"/>
    <w:rsid w:val="00AA442B"/>
    <w:rsid w:val="00AB3F0B"/>
    <w:rsid w:val="00AE1CD8"/>
    <w:rsid w:val="00AE7AAD"/>
    <w:rsid w:val="00B008A4"/>
    <w:rsid w:val="00B111F7"/>
    <w:rsid w:val="00B14FC4"/>
    <w:rsid w:val="00B22E22"/>
    <w:rsid w:val="00B2577F"/>
    <w:rsid w:val="00B5013B"/>
    <w:rsid w:val="00B50611"/>
    <w:rsid w:val="00B525CB"/>
    <w:rsid w:val="00B5736D"/>
    <w:rsid w:val="00B63CB2"/>
    <w:rsid w:val="00B83204"/>
    <w:rsid w:val="00B90639"/>
    <w:rsid w:val="00B969D1"/>
    <w:rsid w:val="00BB1F95"/>
    <w:rsid w:val="00BD485A"/>
    <w:rsid w:val="00BD50E2"/>
    <w:rsid w:val="00BD78FE"/>
    <w:rsid w:val="00BE45E7"/>
    <w:rsid w:val="00BF5AC9"/>
    <w:rsid w:val="00C11F22"/>
    <w:rsid w:val="00C120F5"/>
    <w:rsid w:val="00C24A93"/>
    <w:rsid w:val="00C26506"/>
    <w:rsid w:val="00CA287E"/>
    <w:rsid w:val="00CA4390"/>
    <w:rsid w:val="00CB0031"/>
    <w:rsid w:val="00CC00CD"/>
    <w:rsid w:val="00CC40D3"/>
    <w:rsid w:val="00D06014"/>
    <w:rsid w:val="00D06FB2"/>
    <w:rsid w:val="00D107BD"/>
    <w:rsid w:val="00D11562"/>
    <w:rsid w:val="00D16E39"/>
    <w:rsid w:val="00D43247"/>
    <w:rsid w:val="00D45B19"/>
    <w:rsid w:val="00D51F97"/>
    <w:rsid w:val="00D5398D"/>
    <w:rsid w:val="00D579B0"/>
    <w:rsid w:val="00D704E9"/>
    <w:rsid w:val="00D72BD7"/>
    <w:rsid w:val="00D72E9D"/>
    <w:rsid w:val="00D7674E"/>
    <w:rsid w:val="00D76C11"/>
    <w:rsid w:val="00D80E8F"/>
    <w:rsid w:val="00D82CE5"/>
    <w:rsid w:val="00DA5AB1"/>
    <w:rsid w:val="00DA5ABB"/>
    <w:rsid w:val="00DB2967"/>
    <w:rsid w:val="00DB783C"/>
    <w:rsid w:val="00DC108A"/>
    <w:rsid w:val="00DC5F09"/>
    <w:rsid w:val="00DC62E5"/>
    <w:rsid w:val="00DD1A24"/>
    <w:rsid w:val="00DD1FE4"/>
    <w:rsid w:val="00DD735D"/>
    <w:rsid w:val="00DE3119"/>
    <w:rsid w:val="00DE340B"/>
    <w:rsid w:val="00DE6B7F"/>
    <w:rsid w:val="00DE7005"/>
    <w:rsid w:val="00DF236B"/>
    <w:rsid w:val="00DF6729"/>
    <w:rsid w:val="00E01591"/>
    <w:rsid w:val="00E13AB8"/>
    <w:rsid w:val="00E150A3"/>
    <w:rsid w:val="00E21051"/>
    <w:rsid w:val="00E30532"/>
    <w:rsid w:val="00E33B62"/>
    <w:rsid w:val="00E47127"/>
    <w:rsid w:val="00E605C9"/>
    <w:rsid w:val="00E64B2E"/>
    <w:rsid w:val="00E64E6F"/>
    <w:rsid w:val="00E66FFB"/>
    <w:rsid w:val="00F15B00"/>
    <w:rsid w:val="00F34373"/>
    <w:rsid w:val="00F41E05"/>
    <w:rsid w:val="00F47851"/>
    <w:rsid w:val="00F56D55"/>
    <w:rsid w:val="00F80A37"/>
    <w:rsid w:val="00F84899"/>
    <w:rsid w:val="00F859F0"/>
    <w:rsid w:val="00F87642"/>
    <w:rsid w:val="00F96C02"/>
    <w:rsid w:val="00FA2370"/>
    <w:rsid w:val="00FB360D"/>
    <w:rsid w:val="00FC39AE"/>
    <w:rsid w:val="00FC4073"/>
    <w:rsid w:val="00FD3ACD"/>
    <w:rsid w:val="00FE141E"/>
    <w:rsid w:val="0F674074"/>
    <w:rsid w:val="1934367A"/>
    <w:rsid w:val="3ED439AB"/>
    <w:rsid w:val="3FB0BEAC"/>
    <w:rsid w:val="3FDB7019"/>
    <w:rsid w:val="46DD32C1"/>
    <w:rsid w:val="57D8D69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nhideWhenUsed/>
    <w:qFormat/>
    <w:rsid w:val="007B0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0">
      <w:bodyDiv w:val="1"/>
      <w:marLeft w:val="0"/>
      <w:marRight w:val="0"/>
      <w:marTop w:val="0"/>
      <w:marBottom w:val="0"/>
      <w:divBdr>
        <w:top w:val="none" w:sz="0" w:space="0" w:color="auto"/>
        <w:left w:val="none" w:sz="0" w:space="0" w:color="auto"/>
        <w:bottom w:val="none" w:sz="0" w:space="0" w:color="auto"/>
        <w:right w:val="none" w:sz="0" w:space="0" w:color="auto"/>
      </w:divBdr>
    </w:div>
    <w:div w:id="3304783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9201822">
      <w:bodyDiv w:val="1"/>
      <w:marLeft w:val="0"/>
      <w:marRight w:val="0"/>
      <w:marTop w:val="0"/>
      <w:marBottom w:val="0"/>
      <w:divBdr>
        <w:top w:val="none" w:sz="0" w:space="0" w:color="auto"/>
        <w:left w:val="none" w:sz="0" w:space="0" w:color="auto"/>
        <w:bottom w:val="none" w:sz="0" w:space="0" w:color="auto"/>
        <w:right w:val="none" w:sz="0" w:space="0" w:color="auto"/>
      </w:divBdr>
      <w:divsChild>
        <w:div w:id="1492988048">
          <w:marLeft w:val="0"/>
          <w:marRight w:val="0"/>
          <w:marTop w:val="0"/>
          <w:marBottom w:val="0"/>
          <w:divBdr>
            <w:top w:val="none" w:sz="0" w:space="0" w:color="auto"/>
            <w:left w:val="none" w:sz="0" w:space="0" w:color="auto"/>
            <w:bottom w:val="none" w:sz="0" w:space="0" w:color="auto"/>
            <w:right w:val="none" w:sz="0" w:space="0" w:color="auto"/>
          </w:divBdr>
          <w:divsChild>
            <w:div w:id="1152601886">
              <w:marLeft w:val="0"/>
              <w:marRight w:val="0"/>
              <w:marTop w:val="0"/>
              <w:marBottom w:val="0"/>
              <w:divBdr>
                <w:top w:val="none" w:sz="0" w:space="0" w:color="auto"/>
                <w:left w:val="none" w:sz="0" w:space="0" w:color="auto"/>
                <w:bottom w:val="none" w:sz="0" w:space="0" w:color="auto"/>
                <w:right w:val="none" w:sz="0" w:space="0" w:color="auto"/>
              </w:divBdr>
              <w:divsChild>
                <w:div w:id="16862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691756">
      <w:bodyDiv w:val="1"/>
      <w:marLeft w:val="0"/>
      <w:marRight w:val="0"/>
      <w:marTop w:val="0"/>
      <w:marBottom w:val="0"/>
      <w:divBdr>
        <w:top w:val="none" w:sz="0" w:space="0" w:color="auto"/>
        <w:left w:val="none" w:sz="0" w:space="0" w:color="auto"/>
        <w:bottom w:val="none" w:sz="0" w:space="0" w:color="auto"/>
        <w:right w:val="none" w:sz="0" w:space="0" w:color="auto"/>
      </w:divBdr>
    </w:div>
    <w:div w:id="361247512">
      <w:bodyDiv w:val="1"/>
      <w:marLeft w:val="0"/>
      <w:marRight w:val="0"/>
      <w:marTop w:val="0"/>
      <w:marBottom w:val="0"/>
      <w:divBdr>
        <w:top w:val="none" w:sz="0" w:space="0" w:color="auto"/>
        <w:left w:val="none" w:sz="0" w:space="0" w:color="auto"/>
        <w:bottom w:val="none" w:sz="0" w:space="0" w:color="auto"/>
        <w:right w:val="none" w:sz="0" w:space="0" w:color="auto"/>
      </w:divBdr>
    </w:div>
    <w:div w:id="463734701">
      <w:bodyDiv w:val="1"/>
      <w:marLeft w:val="0"/>
      <w:marRight w:val="0"/>
      <w:marTop w:val="0"/>
      <w:marBottom w:val="0"/>
      <w:divBdr>
        <w:top w:val="none" w:sz="0" w:space="0" w:color="auto"/>
        <w:left w:val="none" w:sz="0" w:space="0" w:color="auto"/>
        <w:bottom w:val="none" w:sz="0" w:space="0" w:color="auto"/>
        <w:right w:val="none" w:sz="0" w:space="0" w:color="auto"/>
      </w:divBdr>
    </w:div>
    <w:div w:id="546183791">
      <w:bodyDiv w:val="1"/>
      <w:marLeft w:val="0"/>
      <w:marRight w:val="0"/>
      <w:marTop w:val="0"/>
      <w:marBottom w:val="0"/>
      <w:divBdr>
        <w:top w:val="none" w:sz="0" w:space="0" w:color="auto"/>
        <w:left w:val="none" w:sz="0" w:space="0" w:color="auto"/>
        <w:bottom w:val="none" w:sz="0" w:space="0" w:color="auto"/>
        <w:right w:val="none" w:sz="0" w:space="0" w:color="auto"/>
      </w:divBdr>
    </w:div>
    <w:div w:id="576597916">
      <w:bodyDiv w:val="1"/>
      <w:marLeft w:val="0"/>
      <w:marRight w:val="0"/>
      <w:marTop w:val="0"/>
      <w:marBottom w:val="0"/>
      <w:divBdr>
        <w:top w:val="none" w:sz="0" w:space="0" w:color="auto"/>
        <w:left w:val="none" w:sz="0" w:space="0" w:color="auto"/>
        <w:bottom w:val="none" w:sz="0" w:space="0" w:color="auto"/>
        <w:right w:val="none" w:sz="0" w:space="0" w:color="auto"/>
      </w:divBdr>
      <w:divsChild>
        <w:div w:id="974674064">
          <w:marLeft w:val="0"/>
          <w:marRight w:val="0"/>
          <w:marTop w:val="0"/>
          <w:marBottom w:val="0"/>
          <w:divBdr>
            <w:top w:val="none" w:sz="0" w:space="0" w:color="auto"/>
            <w:left w:val="none" w:sz="0" w:space="0" w:color="auto"/>
            <w:bottom w:val="none" w:sz="0" w:space="0" w:color="auto"/>
            <w:right w:val="none" w:sz="0" w:space="0" w:color="auto"/>
          </w:divBdr>
          <w:divsChild>
            <w:div w:id="661659882">
              <w:marLeft w:val="0"/>
              <w:marRight w:val="0"/>
              <w:marTop w:val="0"/>
              <w:marBottom w:val="0"/>
              <w:divBdr>
                <w:top w:val="none" w:sz="0" w:space="0" w:color="auto"/>
                <w:left w:val="none" w:sz="0" w:space="0" w:color="auto"/>
                <w:bottom w:val="none" w:sz="0" w:space="0" w:color="auto"/>
                <w:right w:val="none" w:sz="0" w:space="0" w:color="auto"/>
              </w:divBdr>
              <w:divsChild>
                <w:div w:id="21469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4411">
      <w:bodyDiv w:val="1"/>
      <w:marLeft w:val="0"/>
      <w:marRight w:val="0"/>
      <w:marTop w:val="0"/>
      <w:marBottom w:val="0"/>
      <w:divBdr>
        <w:top w:val="none" w:sz="0" w:space="0" w:color="auto"/>
        <w:left w:val="none" w:sz="0" w:space="0" w:color="auto"/>
        <w:bottom w:val="none" w:sz="0" w:space="0" w:color="auto"/>
        <w:right w:val="none" w:sz="0" w:space="0" w:color="auto"/>
      </w:divBdr>
    </w:div>
    <w:div w:id="906379918">
      <w:bodyDiv w:val="1"/>
      <w:marLeft w:val="0"/>
      <w:marRight w:val="0"/>
      <w:marTop w:val="0"/>
      <w:marBottom w:val="0"/>
      <w:divBdr>
        <w:top w:val="none" w:sz="0" w:space="0" w:color="auto"/>
        <w:left w:val="none" w:sz="0" w:space="0" w:color="auto"/>
        <w:bottom w:val="none" w:sz="0" w:space="0" w:color="auto"/>
        <w:right w:val="none" w:sz="0" w:space="0" w:color="auto"/>
      </w:divBdr>
    </w:div>
    <w:div w:id="963774954">
      <w:bodyDiv w:val="1"/>
      <w:marLeft w:val="0"/>
      <w:marRight w:val="0"/>
      <w:marTop w:val="0"/>
      <w:marBottom w:val="0"/>
      <w:divBdr>
        <w:top w:val="none" w:sz="0" w:space="0" w:color="auto"/>
        <w:left w:val="none" w:sz="0" w:space="0" w:color="auto"/>
        <w:bottom w:val="none" w:sz="0" w:space="0" w:color="auto"/>
        <w:right w:val="none" w:sz="0" w:space="0" w:color="auto"/>
      </w:divBdr>
    </w:div>
    <w:div w:id="989790944">
      <w:bodyDiv w:val="1"/>
      <w:marLeft w:val="0"/>
      <w:marRight w:val="0"/>
      <w:marTop w:val="0"/>
      <w:marBottom w:val="0"/>
      <w:divBdr>
        <w:top w:val="none" w:sz="0" w:space="0" w:color="auto"/>
        <w:left w:val="none" w:sz="0" w:space="0" w:color="auto"/>
        <w:bottom w:val="none" w:sz="0" w:space="0" w:color="auto"/>
        <w:right w:val="none" w:sz="0" w:space="0" w:color="auto"/>
      </w:divBdr>
    </w:div>
    <w:div w:id="1129932967">
      <w:bodyDiv w:val="1"/>
      <w:marLeft w:val="0"/>
      <w:marRight w:val="0"/>
      <w:marTop w:val="0"/>
      <w:marBottom w:val="0"/>
      <w:divBdr>
        <w:top w:val="none" w:sz="0" w:space="0" w:color="auto"/>
        <w:left w:val="none" w:sz="0" w:space="0" w:color="auto"/>
        <w:bottom w:val="none" w:sz="0" w:space="0" w:color="auto"/>
        <w:right w:val="none" w:sz="0" w:space="0" w:color="auto"/>
      </w:divBdr>
    </w:div>
    <w:div w:id="1156603970">
      <w:bodyDiv w:val="1"/>
      <w:marLeft w:val="0"/>
      <w:marRight w:val="0"/>
      <w:marTop w:val="0"/>
      <w:marBottom w:val="0"/>
      <w:divBdr>
        <w:top w:val="none" w:sz="0" w:space="0" w:color="auto"/>
        <w:left w:val="none" w:sz="0" w:space="0" w:color="auto"/>
        <w:bottom w:val="none" w:sz="0" w:space="0" w:color="auto"/>
        <w:right w:val="none" w:sz="0" w:space="0" w:color="auto"/>
      </w:divBdr>
    </w:div>
    <w:div w:id="1220284864">
      <w:bodyDiv w:val="1"/>
      <w:marLeft w:val="0"/>
      <w:marRight w:val="0"/>
      <w:marTop w:val="0"/>
      <w:marBottom w:val="0"/>
      <w:divBdr>
        <w:top w:val="none" w:sz="0" w:space="0" w:color="auto"/>
        <w:left w:val="none" w:sz="0" w:space="0" w:color="auto"/>
        <w:bottom w:val="none" w:sz="0" w:space="0" w:color="auto"/>
        <w:right w:val="none" w:sz="0" w:space="0" w:color="auto"/>
      </w:divBdr>
    </w:div>
    <w:div w:id="1539003067">
      <w:bodyDiv w:val="1"/>
      <w:marLeft w:val="0"/>
      <w:marRight w:val="0"/>
      <w:marTop w:val="0"/>
      <w:marBottom w:val="0"/>
      <w:divBdr>
        <w:top w:val="none" w:sz="0" w:space="0" w:color="auto"/>
        <w:left w:val="none" w:sz="0" w:space="0" w:color="auto"/>
        <w:bottom w:val="none" w:sz="0" w:space="0" w:color="auto"/>
        <w:right w:val="none" w:sz="0" w:space="0" w:color="auto"/>
      </w:divBdr>
      <w:divsChild>
        <w:div w:id="1968974370">
          <w:marLeft w:val="0"/>
          <w:marRight w:val="0"/>
          <w:marTop w:val="0"/>
          <w:marBottom w:val="0"/>
          <w:divBdr>
            <w:top w:val="none" w:sz="0" w:space="0" w:color="auto"/>
            <w:left w:val="none" w:sz="0" w:space="0" w:color="auto"/>
            <w:bottom w:val="none" w:sz="0" w:space="0" w:color="auto"/>
            <w:right w:val="none" w:sz="0" w:space="0" w:color="auto"/>
          </w:divBdr>
        </w:div>
        <w:div w:id="1720663008">
          <w:marLeft w:val="0"/>
          <w:marRight w:val="0"/>
          <w:marTop w:val="0"/>
          <w:marBottom w:val="0"/>
          <w:divBdr>
            <w:top w:val="none" w:sz="0" w:space="0" w:color="auto"/>
            <w:left w:val="none" w:sz="0" w:space="0" w:color="auto"/>
            <w:bottom w:val="none" w:sz="0" w:space="0" w:color="auto"/>
            <w:right w:val="none" w:sz="0" w:space="0" w:color="auto"/>
          </w:divBdr>
        </w:div>
        <w:div w:id="290282864">
          <w:marLeft w:val="0"/>
          <w:marRight w:val="0"/>
          <w:marTop w:val="0"/>
          <w:marBottom w:val="0"/>
          <w:divBdr>
            <w:top w:val="none" w:sz="0" w:space="0" w:color="auto"/>
            <w:left w:val="none" w:sz="0" w:space="0" w:color="auto"/>
            <w:bottom w:val="none" w:sz="0" w:space="0" w:color="auto"/>
            <w:right w:val="none" w:sz="0" w:space="0" w:color="auto"/>
          </w:divBdr>
        </w:div>
        <w:div w:id="1155485420">
          <w:marLeft w:val="0"/>
          <w:marRight w:val="0"/>
          <w:marTop w:val="0"/>
          <w:marBottom w:val="0"/>
          <w:divBdr>
            <w:top w:val="none" w:sz="0" w:space="0" w:color="auto"/>
            <w:left w:val="none" w:sz="0" w:space="0" w:color="auto"/>
            <w:bottom w:val="none" w:sz="0" w:space="0" w:color="auto"/>
            <w:right w:val="none" w:sz="0" w:space="0" w:color="auto"/>
          </w:divBdr>
        </w:div>
        <w:div w:id="1305889493">
          <w:marLeft w:val="0"/>
          <w:marRight w:val="0"/>
          <w:marTop w:val="0"/>
          <w:marBottom w:val="0"/>
          <w:divBdr>
            <w:top w:val="none" w:sz="0" w:space="0" w:color="auto"/>
            <w:left w:val="none" w:sz="0" w:space="0" w:color="auto"/>
            <w:bottom w:val="none" w:sz="0" w:space="0" w:color="auto"/>
            <w:right w:val="none" w:sz="0" w:space="0" w:color="auto"/>
          </w:divBdr>
        </w:div>
        <w:div w:id="1503160293">
          <w:marLeft w:val="0"/>
          <w:marRight w:val="0"/>
          <w:marTop w:val="0"/>
          <w:marBottom w:val="0"/>
          <w:divBdr>
            <w:top w:val="none" w:sz="0" w:space="0" w:color="auto"/>
            <w:left w:val="none" w:sz="0" w:space="0" w:color="auto"/>
            <w:bottom w:val="none" w:sz="0" w:space="0" w:color="auto"/>
            <w:right w:val="none" w:sz="0" w:space="0" w:color="auto"/>
          </w:divBdr>
        </w:div>
        <w:div w:id="1949702553">
          <w:marLeft w:val="0"/>
          <w:marRight w:val="0"/>
          <w:marTop w:val="0"/>
          <w:marBottom w:val="0"/>
          <w:divBdr>
            <w:top w:val="none" w:sz="0" w:space="0" w:color="auto"/>
            <w:left w:val="none" w:sz="0" w:space="0" w:color="auto"/>
            <w:bottom w:val="none" w:sz="0" w:space="0" w:color="auto"/>
            <w:right w:val="none" w:sz="0" w:space="0" w:color="auto"/>
          </w:divBdr>
        </w:div>
        <w:div w:id="91978786">
          <w:marLeft w:val="0"/>
          <w:marRight w:val="0"/>
          <w:marTop w:val="0"/>
          <w:marBottom w:val="0"/>
          <w:divBdr>
            <w:top w:val="none" w:sz="0" w:space="0" w:color="auto"/>
            <w:left w:val="none" w:sz="0" w:space="0" w:color="auto"/>
            <w:bottom w:val="none" w:sz="0" w:space="0" w:color="auto"/>
            <w:right w:val="none" w:sz="0" w:space="0" w:color="auto"/>
          </w:divBdr>
        </w:div>
        <w:div w:id="1346395626">
          <w:marLeft w:val="0"/>
          <w:marRight w:val="0"/>
          <w:marTop w:val="0"/>
          <w:marBottom w:val="0"/>
          <w:divBdr>
            <w:top w:val="none" w:sz="0" w:space="0" w:color="auto"/>
            <w:left w:val="none" w:sz="0" w:space="0" w:color="auto"/>
            <w:bottom w:val="none" w:sz="0" w:space="0" w:color="auto"/>
            <w:right w:val="none" w:sz="0" w:space="0" w:color="auto"/>
          </w:divBdr>
        </w:div>
        <w:div w:id="75787845">
          <w:marLeft w:val="0"/>
          <w:marRight w:val="0"/>
          <w:marTop w:val="0"/>
          <w:marBottom w:val="0"/>
          <w:divBdr>
            <w:top w:val="none" w:sz="0" w:space="0" w:color="auto"/>
            <w:left w:val="none" w:sz="0" w:space="0" w:color="auto"/>
            <w:bottom w:val="none" w:sz="0" w:space="0" w:color="auto"/>
            <w:right w:val="none" w:sz="0" w:space="0" w:color="auto"/>
          </w:divBdr>
        </w:div>
        <w:div w:id="1861048669">
          <w:marLeft w:val="0"/>
          <w:marRight w:val="0"/>
          <w:marTop w:val="0"/>
          <w:marBottom w:val="0"/>
          <w:divBdr>
            <w:top w:val="none" w:sz="0" w:space="0" w:color="auto"/>
            <w:left w:val="none" w:sz="0" w:space="0" w:color="auto"/>
            <w:bottom w:val="none" w:sz="0" w:space="0" w:color="auto"/>
            <w:right w:val="none" w:sz="0" w:space="0" w:color="auto"/>
          </w:divBdr>
        </w:div>
        <w:div w:id="1774858234">
          <w:marLeft w:val="0"/>
          <w:marRight w:val="0"/>
          <w:marTop w:val="0"/>
          <w:marBottom w:val="0"/>
          <w:divBdr>
            <w:top w:val="none" w:sz="0" w:space="0" w:color="auto"/>
            <w:left w:val="none" w:sz="0" w:space="0" w:color="auto"/>
            <w:bottom w:val="none" w:sz="0" w:space="0" w:color="auto"/>
            <w:right w:val="none" w:sz="0" w:space="0" w:color="auto"/>
          </w:divBdr>
        </w:div>
        <w:div w:id="851996533">
          <w:marLeft w:val="0"/>
          <w:marRight w:val="0"/>
          <w:marTop w:val="0"/>
          <w:marBottom w:val="0"/>
          <w:divBdr>
            <w:top w:val="none" w:sz="0" w:space="0" w:color="auto"/>
            <w:left w:val="none" w:sz="0" w:space="0" w:color="auto"/>
            <w:bottom w:val="none" w:sz="0" w:space="0" w:color="auto"/>
            <w:right w:val="none" w:sz="0" w:space="0" w:color="auto"/>
          </w:divBdr>
        </w:div>
        <w:div w:id="70126265">
          <w:marLeft w:val="0"/>
          <w:marRight w:val="0"/>
          <w:marTop w:val="0"/>
          <w:marBottom w:val="0"/>
          <w:divBdr>
            <w:top w:val="none" w:sz="0" w:space="0" w:color="auto"/>
            <w:left w:val="none" w:sz="0" w:space="0" w:color="auto"/>
            <w:bottom w:val="none" w:sz="0" w:space="0" w:color="auto"/>
            <w:right w:val="none" w:sz="0" w:space="0" w:color="auto"/>
          </w:divBdr>
        </w:div>
      </w:divsChild>
    </w:div>
    <w:div w:id="17537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33DAE3E-DB52-421B-A172-696C0082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881F284-A9F3-4942-8C4D-3CF20D7F038C}">
  <ds:schemaRefs>
    <ds:schemaRef ds:uri="http://schemas.openxmlformats.org/officeDocument/2006/bibliography"/>
  </ds:schemaRefs>
</ds:datastoreItem>
</file>

<file path=customXml/itemProps4.xml><?xml version="1.0" encoding="utf-8"?>
<ds:datastoreItem xmlns:ds="http://schemas.openxmlformats.org/officeDocument/2006/customXml" ds:itemID="{B1BC7844-CCB9-4CA8-8F0D-BAD27EE67DD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9</Pages>
  <Words>2777</Words>
  <Characters>15276</Characters>
  <Application>Microsoft Office Word</Application>
  <DocSecurity>0</DocSecurity>
  <Lines>127</Lines>
  <Paragraphs>36</Paragraphs>
  <ScaleCrop>false</ScaleCrop>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dcterms:created xsi:type="dcterms:W3CDTF">2020-07-06T20:54:00Z</dcterms:created>
  <dcterms:modified xsi:type="dcterms:W3CDTF">2020-08-10T13:24:00Z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