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766C6E" w:rsidRDefault="00BE1E33" w:rsidP="00BE1E33">
      <w:pPr>
        <w:jc w:val="right"/>
        <w:rPr>
          <w:rFonts w:ascii="Arial" w:hAnsi="Arial" w:cs="Arial"/>
          <w:b/>
          <w:sz w:val="16"/>
          <w:szCs w:val="16"/>
          <w:lang w:eastAsia="es-ES"/>
        </w:rPr>
      </w:pPr>
      <w:bookmarkStart w:id="0" w:name="_Hlk28946138"/>
      <w:bookmarkStart w:id="1" w:name="_Hlk29548183"/>
      <w:r w:rsidRPr="00766C6E">
        <w:rPr>
          <w:rFonts w:ascii="Arial" w:hAnsi="Arial" w:cs="Arial"/>
          <w:b/>
          <w:sz w:val="16"/>
          <w:szCs w:val="16"/>
          <w:lang w:eastAsia="es-ES"/>
        </w:rPr>
        <w:tab/>
        <w:t>CCE-DES-FM-17</w:t>
      </w:r>
    </w:p>
    <w:p w14:paraId="25784C1D" w14:textId="77777777" w:rsidR="00BE1E33" w:rsidRPr="00654D46" w:rsidRDefault="00BE1E33" w:rsidP="00BE1E33">
      <w:pPr>
        <w:jc w:val="both"/>
        <w:rPr>
          <w:rFonts w:ascii="Arial" w:eastAsia="Calibri" w:hAnsi="Arial" w:cs="Arial"/>
          <w:b/>
          <w:sz w:val="16"/>
          <w:szCs w:val="16"/>
        </w:rPr>
      </w:pPr>
    </w:p>
    <w:p w14:paraId="1C2012C5" w14:textId="33640935" w:rsidR="00242129" w:rsidRPr="00CD392C" w:rsidRDefault="00242129" w:rsidP="00242129">
      <w:pPr>
        <w:jc w:val="both"/>
        <w:rPr>
          <w:rFonts w:ascii="Arial" w:eastAsia="Calibri" w:hAnsi="Arial" w:cs="Arial"/>
          <w:b/>
          <w:sz w:val="22"/>
        </w:rPr>
      </w:pPr>
      <w:r w:rsidRPr="00CD392C">
        <w:rPr>
          <w:rFonts w:ascii="Arial" w:eastAsia="Calibri" w:hAnsi="Arial" w:cs="Arial"/>
          <w:b/>
          <w:sz w:val="22"/>
        </w:rPr>
        <w:t xml:space="preserve">CAPACIDAD RESIDUAL </w:t>
      </w:r>
      <w:r w:rsidR="00766C6E" w:rsidRPr="00CD392C">
        <w:rPr>
          <w:rFonts w:ascii="Arial" w:eastAsia="Calibri" w:hAnsi="Arial" w:cs="Arial"/>
          <w:b/>
          <w:sz w:val="22"/>
        </w:rPr>
        <w:t>–</w:t>
      </w:r>
      <w:r w:rsidRPr="00CD392C">
        <w:rPr>
          <w:rFonts w:ascii="Arial" w:eastAsia="Calibri" w:hAnsi="Arial" w:cs="Arial"/>
          <w:b/>
          <w:sz w:val="22"/>
        </w:rPr>
        <w:t xml:space="preserve"> Definición</w:t>
      </w:r>
    </w:p>
    <w:p w14:paraId="157CD3D4" w14:textId="77777777" w:rsidR="00242129" w:rsidRPr="00B502C9" w:rsidRDefault="00242129" w:rsidP="00242129">
      <w:pPr>
        <w:jc w:val="both"/>
        <w:rPr>
          <w:rFonts w:ascii="Arial" w:eastAsia="Calibri" w:hAnsi="Arial" w:cs="Arial"/>
          <w:b/>
          <w:sz w:val="20"/>
          <w:szCs w:val="20"/>
        </w:rPr>
      </w:pPr>
    </w:p>
    <w:p w14:paraId="70D731B2" w14:textId="49EC67F8" w:rsidR="00242129" w:rsidRPr="00CD392C" w:rsidRDefault="00242129" w:rsidP="00A6641B">
      <w:pPr>
        <w:jc w:val="both"/>
        <w:rPr>
          <w:rFonts w:ascii="Arial" w:eastAsia="Calibri" w:hAnsi="Arial" w:cs="Arial"/>
          <w:bCs/>
          <w:sz w:val="20"/>
          <w:szCs w:val="20"/>
        </w:rPr>
      </w:pPr>
      <w:r w:rsidRPr="00CD392C">
        <w:rPr>
          <w:rFonts w:ascii="Arial" w:eastAsia="Calibri" w:hAnsi="Arial" w:cs="Arial"/>
          <w:bCs/>
          <w:sz w:val="20"/>
          <w:szCs w:val="20"/>
        </w:rPr>
        <w:t xml:space="preserve">La capacidad residual es una aptitud de los oferentes que tiene por finalidad cumplir de manera oportuna y a cabalidad el objeto de un contrato de obra, esto sin que los demás compromisos contractuales que ha adquirido afecten la habilidad de cumplir el objeto del contrato que está en proceso de selección. El Consejo de Estado la ha definido como </w:t>
      </w:r>
      <w:r w:rsidR="000F514D" w:rsidRPr="00CD392C">
        <w:rPr>
          <w:rFonts w:ascii="Arial" w:eastAsia="Calibri" w:hAnsi="Arial" w:cs="Arial"/>
          <w:bCs/>
          <w:sz w:val="20"/>
          <w:szCs w:val="20"/>
        </w:rPr>
        <w:t>«</w:t>
      </w:r>
      <w:r w:rsidRPr="00CD392C">
        <w:rPr>
          <w:rFonts w:ascii="Arial" w:eastAsia="Calibri" w:hAnsi="Arial" w:cs="Arial"/>
          <w:bCs/>
          <w:sz w:val="20"/>
          <w:szCs w:val="20"/>
        </w:rPr>
        <w:t>la diferencia que existe entre el potencial de contratación que se tiene y los compromisos que haya adquirido y que se encuentren en ejecución, para la fecha de presentación de la oferta</w:t>
      </w:r>
      <w:r w:rsidR="000F514D" w:rsidRPr="00CD392C">
        <w:rPr>
          <w:rFonts w:ascii="Arial" w:eastAsia="Calibri" w:hAnsi="Arial" w:cs="Arial"/>
          <w:bCs/>
          <w:sz w:val="20"/>
          <w:szCs w:val="20"/>
        </w:rPr>
        <w:t xml:space="preserve">». </w:t>
      </w:r>
      <w:r w:rsidRPr="00CD392C">
        <w:rPr>
          <w:rFonts w:ascii="Arial" w:eastAsia="Calibri" w:hAnsi="Arial" w:cs="Arial"/>
          <w:bCs/>
          <w:sz w:val="20"/>
          <w:szCs w:val="20"/>
        </w:rPr>
        <w:t>En atención a lo anterior, la capacidad residual hace referencia a la suficiencia que tiene el proponente para asumir nuevas obligaciones que se derivan del contrato objeto del proceso de contratación en relación con las obligaciones que ya ha adquirido simultáneamente.</w:t>
      </w:r>
    </w:p>
    <w:p w14:paraId="0A9A7706" w14:textId="77777777" w:rsidR="00242129" w:rsidRPr="00B502C9" w:rsidRDefault="00242129" w:rsidP="00242129">
      <w:pPr>
        <w:jc w:val="both"/>
        <w:rPr>
          <w:rFonts w:ascii="Arial" w:eastAsia="Calibri" w:hAnsi="Arial" w:cs="Arial"/>
          <w:bCs/>
          <w:sz w:val="20"/>
          <w:szCs w:val="20"/>
        </w:rPr>
      </w:pPr>
    </w:p>
    <w:p w14:paraId="62D4D04F" w14:textId="475121F8" w:rsidR="00242129" w:rsidRPr="00CD392C" w:rsidRDefault="00242129" w:rsidP="00242129">
      <w:pPr>
        <w:jc w:val="both"/>
        <w:rPr>
          <w:rFonts w:ascii="Arial" w:eastAsia="Calibri" w:hAnsi="Arial" w:cs="Arial"/>
          <w:b/>
          <w:sz w:val="22"/>
        </w:rPr>
      </w:pPr>
      <w:r w:rsidRPr="00CD392C">
        <w:rPr>
          <w:rFonts w:ascii="Arial" w:eastAsia="Calibri" w:hAnsi="Arial" w:cs="Arial"/>
          <w:b/>
          <w:sz w:val="22"/>
        </w:rPr>
        <w:t xml:space="preserve">CAPACIDAD RESIDUAL </w:t>
      </w:r>
      <w:r w:rsidR="00766C6E" w:rsidRPr="00CD392C">
        <w:rPr>
          <w:rFonts w:ascii="Arial" w:eastAsia="Calibri" w:hAnsi="Arial" w:cs="Arial"/>
          <w:b/>
          <w:sz w:val="22"/>
        </w:rPr>
        <w:t>–</w:t>
      </w:r>
      <w:r w:rsidRPr="00CD392C">
        <w:rPr>
          <w:rFonts w:ascii="Arial" w:eastAsia="Calibri" w:hAnsi="Arial" w:cs="Arial"/>
          <w:b/>
          <w:sz w:val="22"/>
        </w:rPr>
        <w:t xml:space="preserve"> Cálculo </w:t>
      </w:r>
      <w:r w:rsidR="00766C6E" w:rsidRPr="00CD392C">
        <w:rPr>
          <w:rFonts w:ascii="Arial" w:eastAsia="Calibri" w:hAnsi="Arial" w:cs="Arial"/>
          <w:b/>
          <w:sz w:val="22"/>
        </w:rPr>
        <w:t>–</w:t>
      </w:r>
      <w:r w:rsidRPr="00CD392C">
        <w:rPr>
          <w:rFonts w:ascii="Arial" w:eastAsia="Calibri" w:hAnsi="Arial" w:cs="Arial"/>
          <w:b/>
          <w:sz w:val="22"/>
        </w:rPr>
        <w:t xml:space="preserve"> Factores</w:t>
      </w:r>
    </w:p>
    <w:p w14:paraId="19484A35" w14:textId="77777777" w:rsidR="00242129" w:rsidRPr="00B502C9" w:rsidRDefault="00242129" w:rsidP="00242129">
      <w:pPr>
        <w:jc w:val="both"/>
        <w:rPr>
          <w:rFonts w:ascii="Arial" w:eastAsia="Calibri" w:hAnsi="Arial" w:cs="Arial"/>
          <w:b/>
          <w:sz w:val="20"/>
          <w:szCs w:val="20"/>
        </w:rPr>
      </w:pPr>
    </w:p>
    <w:p w14:paraId="3B7BD9B7" w14:textId="77777777" w:rsidR="00654D46" w:rsidRDefault="00242129" w:rsidP="00654D46">
      <w:pPr>
        <w:spacing w:after="120"/>
        <w:jc w:val="both"/>
        <w:rPr>
          <w:rFonts w:ascii="Arial" w:eastAsia="Calibri" w:hAnsi="Arial" w:cs="Arial"/>
          <w:bCs/>
          <w:sz w:val="20"/>
          <w:szCs w:val="20"/>
        </w:rPr>
      </w:pPr>
      <w:r w:rsidRPr="00CD392C">
        <w:rPr>
          <w:rFonts w:ascii="Arial" w:eastAsia="Calibri" w:hAnsi="Arial" w:cs="Arial"/>
          <w:bCs/>
          <w:sz w:val="20"/>
          <w:szCs w:val="20"/>
        </w:rPr>
        <w:t>La Ley 1150 de 2007 establece que la capacidad residual de los interesados en participar en procesos de selección para contratos de obra deberá ser igual o superior al que la entidad ha establecido en los pliegos de condiciones […] El artículo 2.2.1.1.1.6.3 del Decreto 1082 de 2015 estableció que las entidades estatales deberán calcular la capacidad residual conforme a la metodología definida por la Agencia Nacional de Contratación Pública – Colombia Compra Eficiente y precisó que para ello se debían tener en cuenta los factores de experiencia, capacidad financiera, capacidad técnica, capacidad de organización y los saldos de los contratos en ejecución</w:t>
      </w:r>
      <w:r w:rsidR="00654D46">
        <w:rPr>
          <w:rFonts w:ascii="Arial" w:eastAsia="Calibri" w:hAnsi="Arial" w:cs="Arial"/>
          <w:bCs/>
          <w:sz w:val="20"/>
          <w:szCs w:val="20"/>
        </w:rPr>
        <w:t>.</w:t>
      </w:r>
    </w:p>
    <w:p w14:paraId="3B7D25FD" w14:textId="77777777" w:rsidR="00654D46" w:rsidRDefault="00242129" w:rsidP="00654D46">
      <w:pPr>
        <w:spacing w:after="120"/>
        <w:jc w:val="both"/>
        <w:rPr>
          <w:rFonts w:ascii="Arial" w:eastAsia="Calibri" w:hAnsi="Arial" w:cs="Arial"/>
          <w:bCs/>
          <w:sz w:val="20"/>
          <w:szCs w:val="20"/>
        </w:rPr>
      </w:pPr>
      <w:r w:rsidRPr="00CD392C">
        <w:rPr>
          <w:rFonts w:ascii="Arial" w:eastAsia="Calibri" w:hAnsi="Arial" w:cs="Arial"/>
          <w:bCs/>
          <w:sz w:val="20"/>
          <w:szCs w:val="20"/>
        </w:rPr>
        <w:t xml:space="preserve">[…]  </w:t>
      </w:r>
    </w:p>
    <w:p w14:paraId="04112049" w14:textId="4B2740AA" w:rsidR="00BE1E33" w:rsidRPr="00CD392C" w:rsidRDefault="00242129" w:rsidP="006A48DB">
      <w:pPr>
        <w:jc w:val="both"/>
        <w:rPr>
          <w:rFonts w:ascii="Arial" w:eastAsia="Calibri" w:hAnsi="Arial" w:cs="Arial"/>
          <w:bCs/>
          <w:sz w:val="20"/>
          <w:szCs w:val="20"/>
        </w:rPr>
      </w:pPr>
      <w:r w:rsidRPr="00CD392C">
        <w:rPr>
          <w:rFonts w:ascii="Arial" w:eastAsia="Calibri" w:hAnsi="Arial" w:cs="Arial"/>
          <w:bCs/>
          <w:sz w:val="20"/>
          <w:szCs w:val="20"/>
        </w:rPr>
        <w:t xml:space="preserve">De conformidad con lo anterior, la Agencia Nacional de Contratación Pública – Colombia Compra Eficiente expidió la Guía para Determinar y Verificar la Capacidad Residual del Proponente en los Procesos de Contratación de Obra Pública. La Agencia Nacional de Contratación Pública estableció como </w:t>
      </w:r>
      <w:r w:rsidR="005E76CC" w:rsidRPr="00CD392C">
        <w:rPr>
          <w:rFonts w:ascii="Arial" w:eastAsia="Calibri" w:hAnsi="Arial" w:cs="Arial"/>
          <w:bCs/>
          <w:sz w:val="20"/>
          <w:szCs w:val="20"/>
        </w:rPr>
        <w:t>fórmula</w:t>
      </w:r>
      <w:r w:rsidRPr="00CD392C">
        <w:rPr>
          <w:rFonts w:ascii="Arial" w:eastAsia="Calibri" w:hAnsi="Arial" w:cs="Arial"/>
          <w:bCs/>
          <w:sz w:val="20"/>
          <w:szCs w:val="20"/>
        </w:rPr>
        <w:t xml:space="preserve"> que las entidades estatales calculen la experiencia conforme a los cinco factores que deben ser tenidos en cuenta, así: Capacidad Residual del Proponente= Co*[(E+CT+CF) / 100] - SCE […] Conforme a lo anterior, es la entidad estatal quien debe calcular la capacidad residual, pero el proponente tiene como carga aportar los documentos para acreditar su capacidad residual.</w:t>
      </w:r>
    </w:p>
    <w:p w14:paraId="6F86E461" w14:textId="24F44D7C" w:rsidR="00B506CF" w:rsidRPr="00B502C9" w:rsidRDefault="00B506CF" w:rsidP="006A48DB">
      <w:pPr>
        <w:jc w:val="both"/>
        <w:rPr>
          <w:rFonts w:ascii="Arial" w:eastAsia="Calibri" w:hAnsi="Arial" w:cs="Arial"/>
          <w:bCs/>
          <w:sz w:val="20"/>
          <w:szCs w:val="20"/>
        </w:rPr>
      </w:pPr>
    </w:p>
    <w:p w14:paraId="6E6CFCA0" w14:textId="3C4D7B6D" w:rsidR="00B506CF" w:rsidRPr="00CD392C" w:rsidRDefault="00B506CF" w:rsidP="006A48DB">
      <w:pPr>
        <w:jc w:val="both"/>
        <w:rPr>
          <w:rFonts w:ascii="Arial" w:eastAsia="Calibri" w:hAnsi="Arial" w:cs="Arial"/>
          <w:b/>
          <w:bCs/>
          <w:sz w:val="22"/>
        </w:rPr>
      </w:pPr>
      <w:r w:rsidRPr="59C812A4">
        <w:rPr>
          <w:rFonts w:ascii="Arial" w:eastAsia="Calibri" w:hAnsi="Arial" w:cs="Arial"/>
          <w:b/>
          <w:bCs/>
          <w:sz w:val="22"/>
        </w:rPr>
        <w:t xml:space="preserve">CAPACIDAD RESIDUAL </w:t>
      </w:r>
      <w:r w:rsidR="00766C6E" w:rsidRPr="59C812A4">
        <w:rPr>
          <w:rFonts w:ascii="Arial" w:eastAsia="Calibri" w:hAnsi="Arial" w:cs="Arial"/>
          <w:b/>
          <w:bCs/>
          <w:sz w:val="22"/>
        </w:rPr>
        <w:t>–</w:t>
      </w:r>
      <w:r w:rsidRPr="59C812A4">
        <w:rPr>
          <w:rFonts w:ascii="Arial" w:eastAsia="Calibri" w:hAnsi="Arial" w:cs="Arial"/>
          <w:b/>
          <w:bCs/>
          <w:sz w:val="22"/>
        </w:rPr>
        <w:t xml:space="preserve"> Cálculo </w:t>
      </w:r>
      <w:r w:rsidR="00766C6E" w:rsidRPr="59C812A4">
        <w:rPr>
          <w:rFonts w:ascii="Arial" w:eastAsia="Calibri" w:hAnsi="Arial" w:cs="Arial"/>
          <w:b/>
          <w:bCs/>
          <w:sz w:val="22"/>
        </w:rPr>
        <w:t>–</w:t>
      </w:r>
      <w:r w:rsidRPr="59C812A4">
        <w:rPr>
          <w:rFonts w:ascii="Arial" w:eastAsia="Calibri" w:hAnsi="Arial" w:cs="Arial"/>
          <w:b/>
          <w:bCs/>
          <w:sz w:val="22"/>
        </w:rPr>
        <w:t xml:space="preserve"> Factores </w:t>
      </w:r>
      <w:r w:rsidR="6AE82C66" w:rsidRPr="59C812A4">
        <w:rPr>
          <w:rFonts w:ascii="Arial" w:eastAsia="Arial" w:hAnsi="Arial" w:cs="Arial"/>
          <w:b/>
          <w:bCs/>
          <w:sz w:val="22"/>
          <w:lang w:val="es-CO"/>
        </w:rPr>
        <w:t>–</w:t>
      </w:r>
      <w:r w:rsidRPr="59C812A4">
        <w:rPr>
          <w:rFonts w:ascii="Arial" w:eastAsia="Calibri" w:hAnsi="Arial" w:cs="Arial"/>
          <w:b/>
          <w:bCs/>
          <w:sz w:val="22"/>
        </w:rPr>
        <w:t xml:space="preserve"> </w:t>
      </w:r>
      <w:r w:rsidR="184F2460" w:rsidRPr="59C812A4">
        <w:rPr>
          <w:rFonts w:ascii="Arial" w:eastAsia="Calibri" w:hAnsi="Arial" w:cs="Arial"/>
          <w:b/>
          <w:bCs/>
          <w:sz w:val="22"/>
        </w:rPr>
        <w:t>C</w:t>
      </w:r>
      <w:r w:rsidRPr="59C812A4">
        <w:rPr>
          <w:rFonts w:ascii="Arial" w:eastAsia="Calibri" w:hAnsi="Arial" w:cs="Arial"/>
          <w:b/>
          <w:bCs/>
          <w:sz w:val="22"/>
        </w:rPr>
        <w:t>ontratos de obra</w:t>
      </w:r>
    </w:p>
    <w:p w14:paraId="66246F66" w14:textId="77777777" w:rsidR="00B506CF" w:rsidRPr="00B502C9" w:rsidRDefault="00B506CF" w:rsidP="006A48DB">
      <w:pPr>
        <w:jc w:val="both"/>
        <w:rPr>
          <w:rFonts w:ascii="Arial" w:eastAsia="Calibri" w:hAnsi="Arial" w:cs="Arial"/>
          <w:b/>
          <w:sz w:val="20"/>
          <w:szCs w:val="20"/>
        </w:rPr>
      </w:pPr>
    </w:p>
    <w:p w14:paraId="4B4D456B" w14:textId="138AAE58" w:rsidR="00B506CF" w:rsidRPr="00CD392C" w:rsidRDefault="00B506CF" w:rsidP="00A6641B">
      <w:pPr>
        <w:jc w:val="both"/>
        <w:rPr>
          <w:rFonts w:ascii="Arial" w:eastAsia="Calibri" w:hAnsi="Arial" w:cs="Arial"/>
          <w:bCs/>
          <w:sz w:val="20"/>
          <w:szCs w:val="20"/>
          <w:lang w:val="es-ES"/>
        </w:rPr>
      </w:pPr>
      <w:r w:rsidRPr="00CD392C">
        <w:rPr>
          <w:rFonts w:ascii="Arial" w:eastAsia="Calibri" w:hAnsi="Arial" w:cs="Arial"/>
          <w:bCs/>
          <w:sz w:val="20"/>
          <w:szCs w:val="20"/>
        </w:rPr>
        <w:t>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se lee en la misma disposición, «[…] se deberá calcular mediante la evaluación de los siguientes factores: Experiencia (E), Capacidad Financiera (CF), Capacidad Técnica (CT), y Capacidad de Organización (CO)».</w:t>
      </w:r>
    </w:p>
    <w:p w14:paraId="2010468C" w14:textId="5B446A4B" w:rsidR="00BE1E33" w:rsidRPr="00B502C9" w:rsidRDefault="00BE1E33" w:rsidP="00BE1E33">
      <w:pPr>
        <w:jc w:val="both"/>
        <w:rPr>
          <w:rFonts w:ascii="Arial" w:eastAsia="Calibri" w:hAnsi="Arial" w:cs="Arial"/>
          <w:bCs/>
          <w:sz w:val="20"/>
          <w:szCs w:val="20"/>
        </w:rPr>
      </w:pPr>
    </w:p>
    <w:p w14:paraId="4B94C03A" w14:textId="0EF44365" w:rsidR="00B506CF" w:rsidRPr="00CD392C" w:rsidRDefault="00B506CF" w:rsidP="59C812A4">
      <w:pPr>
        <w:jc w:val="both"/>
        <w:rPr>
          <w:rFonts w:ascii="Arial" w:eastAsia="Calibri" w:hAnsi="Arial" w:cs="Arial"/>
          <w:b/>
          <w:bCs/>
          <w:sz w:val="22"/>
        </w:rPr>
      </w:pPr>
      <w:r w:rsidRPr="59C812A4">
        <w:rPr>
          <w:rFonts w:ascii="Arial" w:eastAsia="Calibri" w:hAnsi="Arial" w:cs="Arial"/>
          <w:b/>
          <w:bCs/>
          <w:sz w:val="22"/>
        </w:rPr>
        <w:t xml:space="preserve">CAPACIDAD RESIDUAL </w:t>
      </w:r>
      <w:r w:rsidR="00766C6E" w:rsidRPr="59C812A4">
        <w:rPr>
          <w:rFonts w:ascii="Arial" w:eastAsia="Calibri" w:hAnsi="Arial" w:cs="Arial"/>
          <w:b/>
          <w:bCs/>
          <w:sz w:val="22"/>
        </w:rPr>
        <w:t>–</w:t>
      </w:r>
      <w:r w:rsidRPr="59C812A4">
        <w:rPr>
          <w:rFonts w:ascii="Arial" w:eastAsia="Calibri" w:hAnsi="Arial" w:cs="Arial"/>
          <w:b/>
          <w:bCs/>
          <w:sz w:val="22"/>
        </w:rPr>
        <w:t xml:space="preserve"> Carga </w:t>
      </w:r>
      <w:r w:rsidR="4E0F6DC3" w:rsidRPr="59C812A4">
        <w:rPr>
          <w:rFonts w:ascii="Arial" w:eastAsia="Arial" w:hAnsi="Arial" w:cs="Arial"/>
          <w:b/>
          <w:bCs/>
          <w:sz w:val="22"/>
          <w:lang w:val="es-CO"/>
        </w:rPr>
        <w:t xml:space="preserve">– </w:t>
      </w:r>
      <w:r w:rsidR="13E333B6" w:rsidRPr="59C812A4">
        <w:rPr>
          <w:rFonts w:ascii="Arial" w:eastAsia="Arial" w:hAnsi="Arial" w:cs="Arial"/>
          <w:b/>
          <w:bCs/>
          <w:sz w:val="22"/>
          <w:lang w:val="es-CO"/>
        </w:rPr>
        <w:t>E</w:t>
      </w:r>
      <w:proofErr w:type="spellStart"/>
      <w:r w:rsidRPr="59C812A4">
        <w:rPr>
          <w:rFonts w:ascii="Arial" w:eastAsia="Calibri" w:hAnsi="Arial" w:cs="Arial"/>
          <w:b/>
          <w:bCs/>
          <w:sz w:val="22"/>
        </w:rPr>
        <w:t>ntidades</w:t>
      </w:r>
      <w:proofErr w:type="spellEnd"/>
      <w:r w:rsidRPr="59C812A4">
        <w:rPr>
          <w:rFonts w:ascii="Arial" w:eastAsia="Calibri" w:hAnsi="Arial" w:cs="Arial"/>
          <w:b/>
          <w:bCs/>
          <w:sz w:val="22"/>
        </w:rPr>
        <w:t xml:space="preserve"> públicas</w:t>
      </w:r>
    </w:p>
    <w:p w14:paraId="249F4E82" w14:textId="77777777" w:rsidR="00B506CF" w:rsidRPr="00B502C9" w:rsidRDefault="00B506CF" w:rsidP="00B506CF">
      <w:pPr>
        <w:jc w:val="both"/>
        <w:rPr>
          <w:rFonts w:ascii="Arial" w:eastAsia="Calibri" w:hAnsi="Arial" w:cs="Arial"/>
          <w:b/>
          <w:sz w:val="20"/>
          <w:szCs w:val="20"/>
        </w:rPr>
      </w:pPr>
    </w:p>
    <w:p w14:paraId="6AAEB64E" w14:textId="3BCB79CE" w:rsidR="00B506CF" w:rsidRPr="00CD392C" w:rsidRDefault="00B506CF" w:rsidP="00A6641B">
      <w:pPr>
        <w:jc w:val="both"/>
        <w:rPr>
          <w:rFonts w:ascii="Arial" w:eastAsia="Calibri" w:hAnsi="Arial" w:cs="Arial"/>
          <w:bCs/>
          <w:sz w:val="20"/>
          <w:szCs w:val="20"/>
        </w:rPr>
      </w:pPr>
      <w:r w:rsidRPr="00CD392C">
        <w:rPr>
          <w:rFonts w:ascii="Arial" w:eastAsia="Calibri" w:hAnsi="Arial" w:cs="Arial"/>
          <w:bCs/>
          <w:sz w:val="20"/>
          <w:szCs w:val="20"/>
        </w:rPr>
        <w:t>De conformidad con lo anterior,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corresponde, primero, establecer la capacidad residual del proceso de contratación «CRPC» y, segundo, determinar si los proponentes cumplen con la capacidad residual del proceso de contratación.</w:t>
      </w:r>
    </w:p>
    <w:p w14:paraId="080CABE1" w14:textId="692A9A9F" w:rsidR="00B506CF" w:rsidRPr="00B502C9" w:rsidRDefault="00B506CF" w:rsidP="00BE1E33">
      <w:pPr>
        <w:jc w:val="both"/>
        <w:rPr>
          <w:rFonts w:ascii="Arial" w:eastAsia="Calibri" w:hAnsi="Arial" w:cs="Arial"/>
          <w:bCs/>
          <w:sz w:val="20"/>
          <w:szCs w:val="20"/>
        </w:rPr>
      </w:pPr>
    </w:p>
    <w:p w14:paraId="6EA0592E" w14:textId="5D9D5909" w:rsidR="00B506CF" w:rsidRPr="00CD392C" w:rsidRDefault="00B506CF" w:rsidP="59C812A4">
      <w:pPr>
        <w:jc w:val="both"/>
        <w:rPr>
          <w:rFonts w:ascii="Arial" w:eastAsia="Calibri" w:hAnsi="Arial" w:cs="Arial"/>
          <w:b/>
          <w:bCs/>
          <w:sz w:val="22"/>
        </w:rPr>
      </w:pPr>
      <w:r w:rsidRPr="59C812A4">
        <w:rPr>
          <w:rFonts w:ascii="Arial" w:eastAsia="Calibri" w:hAnsi="Arial" w:cs="Arial"/>
          <w:b/>
          <w:bCs/>
          <w:sz w:val="22"/>
        </w:rPr>
        <w:t xml:space="preserve">CAPACIDAD RESIDUAL </w:t>
      </w:r>
      <w:r w:rsidR="00766C6E" w:rsidRPr="59C812A4">
        <w:rPr>
          <w:rFonts w:ascii="Arial" w:eastAsia="Calibri" w:hAnsi="Arial" w:cs="Arial"/>
          <w:b/>
          <w:bCs/>
          <w:sz w:val="22"/>
        </w:rPr>
        <w:t>–</w:t>
      </w:r>
      <w:r w:rsidRPr="59C812A4">
        <w:rPr>
          <w:rFonts w:ascii="Arial" w:eastAsia="Calibri" w:hAnsi="Arial" w:cs="Arial"/>
          <w:b/>
          <w:bCs/>
          <w:sz w:val="22"/>
        </w:rPr>
        <w:t xml:space="preserve"> Carga </w:t>
      </w:r>
      <w:r w:rsidR="2D61BA0D" w:rsidRPr="59C812A4">
        <w:rPr>
          <w:rFonts w:ascii="Arial" w:eastAsia="Arial" w:hAnsi="Arial" w:cs="Arial"/>
          <w:b/>
          <w:bCs/>
          <w:sz w:val="22"/>
          <w:lang w:val="es-CO"/>
        </w:rPr>
        <w:t>–</w:t>
      </w:r>
      <w:r w:rsidRPr="59C812A4">
        <w:rPr>
          <w:rFonts w:ascii="Arial" w:eastAsia="Calibri" w:hAnsi="Arial" w:cs="Arial"/>
          <w:b/>
          <w:bCs/>
          <w:sz w:val="22"/>
        </w:rPr>
        <w:t xml:space="preserve"> </w:t>
      </w:r>
      <w:r w:rsidR="62DEDC46" w:rsidRPr="59C812A4">
        <w:rPr>
          <w:rFonts w:ascii="Arial" w:eastAsia="Calibri" w:hAnsi="Arial" w:cs="Arial"/>
          <w:b/>
          <w:bCs/>
          <w:sz w:val="22"/>
        </w:rPr>
        <w:t>P</w:t>
      </w:r>
      <w:r w:rsidRPr="59C812A4">
        <w:rPr>
          <w:rFonts w:ascii="Arial" w:eastAsia="Calibri" w:hAnsi="Arial" w:cs="Arial"/>
          <w:b/>
          <w:bCs/>
          <w:sz w:val="22"/>
        </w:rPr>
        <w:t>roponente</w:t>
      </w:r>
    </w:p>
    <w:p w14:paraId="188A3EDC" w14:textId="77777777" w:rsidR="00B506CF" w:rsidRPr="00B502C9" w:rsidRDefault="00B506CF" w:rsidP="00B506CF">
      <w:pPr>
        <w:jc w:val="both"/>
        <w:rPr>
          <w:rFonts w:ascii="Arial" w:eastAsia="Calibri" w:hAnsi="Arial" w:cs="Arial"/>
          <w:b/>
          <w:sz w:val="20"/>
          <w:szCs w:val="20"/>
        </w:rPr>
      </w:pPr>
    </w:p>
    <w:p w14:paraId="227AB555" w14:textId="082D0BC5" w:rsidR="00B506CF" w:rsidRPr="00CD392C" w:rsidRDefault="00B506CF" w:rsidP="00A6641B">
      <w:pPr>
        <w:jc w:val="both"/>
        <w:rPr>
          <w:rFonts w:ascii="Arial" w:eastAsia="Calibri" w:hAnsi="Arial" w:cs="Arial"/>
          <w:bCs/>
          <w:sz w:val="20"/>
          <w:szCs w:val="20"/>
        </w:rPr>
      </w:pPr>
      <w:r w:rsidRPr="00CD392C">
        <w:rPr>
          <w:rFonts w:ascii="Arial" w:eastAsia="Calibri" w:hAnsi="Arial" w:cs="Arial"/>
          <w:bCs/>
          <w:sz w:val="20"/>
          <w:szCs w:val="20"/>
        </w:rPr>
        <w:t>La siguiente información debe ser aportada por el proponente: •</w:t>
      </w:r>
      <w:r w:rsidRPr="00CD392C">
        <w:rPr>
          <w:rFonts w:ascii="Arial" w:eastAsia="Calibri" w:hAnsi="Arial" w:cs="Arial"/>
          <w:bCs/>
          <w:sz w:val="20"/>
          <w:szCs w:val="20"/>
        </w:rPr>
        <w:tab/>
        <w:t>La lista de los Contratos en Ejecución, así como el valor y plazo de tales contratos. • La lista de los Contratos en Ejecución, suscritos por sociedades, consorcios o uniones temporales, en los cuales el proponente tenga participación, así como el valor y plazo de tales contratos. • 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432929F5" w14:textId="1D3B67FC" w:rsidR="00B506CF" w:rsidRPr="00B502C9" w:rsidRDefault="00B506CF" w:rsidP="00B506CF">
      <w:pPr>
        <w:jc w:val="both"/>
        <w:rPr>
          <w:rFonts w:ascii="Arial" w:eastAsia="Calibri" w:hAnsi="Arial" w:cs="Arial"/>
          <w:bCs/>
          <w:sz w:val="20"/>
          <w:szCs w:val="20"/>
        </w:rPr>
      </w:pPr>
    </w:p>
    <w:p w14:paraId="22CA05B2" w14:textId="4E711354" w:rsidR="00B506CF" w:rsidRPr="00CD392C" w:rsidRDefault="00B506CF" w:rsidP="59C812A4">
      <w:pPr>
        <w:jc w:val="both"/>
        <w:rPr>
          <w:rFonts w:ascii="Arial" w:eastAsia="Calibri" w:hAnsi="Arial" w:cs="Arial"/>
          <w:b/>
          <w:bCs/>
          <w:sz w:val="22"/>
        </w:rPr>
      </w:pPr>
      <w:r w:rsidRPr="59C812A4">
        <w:rPr>
          <w:rFonts w:ascii="Arial" w:eastAsia="Calibri" w:hAnsi="Arial" w:cs="Arial"/>
          <w:b/>
          <w:bCs/>
          <w:sz w:val="22"/>
        </w:rPr>
        <w:t>CAPACIDAD RESIDUAL</w:t>
      </w:r>
      <w:r w:rsidR="00D558E2" w:rsidRPr="59C812A4">
        <w:rPr>
          <w:rFonts w:ascii="Arial" w:eastAsia="Calibri" w:hAnsi="Arial" w:cs="Arial"/>
          <w:b/>
          <w:bCs/>
          <w:sz w:val="22"/>
        </w:rPr>
        <w:t xml:space="preserve"> </w:t>
      </w:r>
      <w:r w:rsidR="00766C6E" w:rsidRPr="59C812A4">
        <w:rPr>
          <w:rFonts w:ascii="Arial" w:eastAsia="Calibri" w:hAnsi="Arial" w:cs="Arial"/>
          <w:b/>
          <w:bCs/>
          <w:sz w:val="22"/>
        </w:rPr>
        <w:t>–</w:t>
      </w:r>
      <w:r w:rsidRPr="59C812A4">
        <w:rPr>
          <w:rFonts w:ascii="Arial" w:eastAsia="Calibri" w:hAnsi="Arial" w:cs="Arial"/>
          <w:b/>
          <w:bCs/>
          <w:sz w:val="22"/>
        </w:rPr>
        <w:t xml:space="preserve"> </w:t>
      </w:r>
      <w:r w:rsidR="07ABA2BA" w:rsidRPr="59C812A4">
        <w:rPr>
          <w:rFonts w:ascii="Arial" w:eastAsia="Calibri" w:hAnsi="Arial" w:cs="Arial"/>
          <w:b/>
          <w:bCs/>
          <w:sz w:val="22"/>
        </w:rPr>
        <w:t xml:space="preserve">Proceso de contratación </w:t>
      </w:r>
      <w:r w:rsidR="07ABA2BA" w:rsidRPr="59C812A4">
        <w:rPr>
          <w:rFonts w:ascii="Arial" w:eastAsia="Arial" w:hAnsi="Arial" w:cs="Arial"/>
          <w:b/>
          <w:bCs/>
          <w:sz w:val="22"/>
          <w:lang w:val="es-CO"/>
        </w:rPr>
        <w:t xml:space="preserve">– </w:t>
      </w:r>
      <w:r w:rsidRPr="59C812A4">
        <w:rPr>
          <w:rFonts w:ascii="Arial" w:eastAsia="Calibri" w:hAnsi="Arial" w:cs="Arial"/>
          <w:b/>
          <w:bCs/>
          <w:sz w:val="22"/>
        </w:rPr>
        <w:t>Cálculo</w:t>
      </w:r>
    </w:p>
    <w:p w14:paraId="3B49534F" w14:textId="77777777" w:rsidR="00B506CF" w:rsidRPr="00B502C9" w:rsidRDefault="00B506CF" w:rsidP="00B506CF">
      <w:pPr>
        <w:jc w:val="both"/>
        <w:rPr>
          <w:rFonts w:ascii="Arial" w:eastAsia="Calibri" w:hAnsi="Arial" w:cs="Arial"/>
          <w:b/>
          <w:sz w:val="20"/>
          <w:szCs w:val="20"/>
        </w:rPr>
      </w:pPr>
    </w:p>
    <w:p w14:paraId="0B10E912" w14:textId="40DBAF64" w:rsidR="00B506CF" w:rsidRPr="00CD392C" w:rsidRDefault="00D558E2" w:rsidP="00A6641B">
      <w:pPr>
        <w:jc w:val="both"/>
        <w:rPr>
          <w:rFonts w:ascii="Arial" w:eastAsia="Calibri" w:hAnsi="Arial" w:cs="Arial"/>
          <w:bCs/>
          <w:sz w:val="20"/>
          <w:szCs w:val="20"/>
        </w:rPr>
      </w:pPr>
      <w:r w:rsidRPr="00CD392C">
        <w:rPr>
          <w:rFonts w:ascii="Arial" w:eastAsia="Calibri" w:hAnsi="Arial" w:cs="Arial"/>
          <w:bCs/>
          <w:sz w:val="20"/>
          <w:szCs w:val="20"/>
        </w:rPr>
        <w:t>Para establecer la capacidad residual del proceso de contratación «CRPC», se debe establecer si el plazo del contrato es superior de doce meses. Si no lo es, la CRPC equivale al presupuesto oficial estimado del Proceso de Contratación menos el anticipo o pago anticipado cuando haya lugar. Si sí lo es, equivale a la proporción lineal de 12 meses del presupuesto oficial estimado menos el anticipo o pago anticipado.</w:t>
      </w:r>
    </w:p>
    <w:p w14:paraId="46E4760E" w14:textId="4591D20D" w:rsidR="00D558E2" w:rsidRPr="00B502C9" w:rsidRDefault="00D558E2" w:rsidP="00B506CF">
      <w:pPr>
        <w:jc w:val="both"/>
        <w:rPr>
          <w:rFonts w:ascii="Arial" w:eastAsia="Calibri" w:hAnsi="Arial" w:cs="Arial"/>
          <w:bCs/>
          <w:sz w:val="20"/>
          <w:szCs w:val="20"/>
        </w:rPr>
      </w:pPr>
    </w:p>
    <w:p w14:paraId="1483C452" w14:textId="1D354858" w:rsidR="00D558E2" w:rsidRPr="00CD392C" w:rsidRDefault="00D558E2" w:rsidP="59C812A4">
      <w:pPr>
        <w:jc w:val="both"/>
        <w:rPr>
          <w:rFonts w:ascii="Arial" w:eastAsia="Calibri" w:hAnsi="Arial" w:cs="Arial"/>
          <w:b/>
          <w:bCs/>
          <w:sz w:val="22"/>
        </w:rPr>
      </w:pPr>
      <w:r w:rsidRPr="59C812A4">
        <w:rPr>
          <w:rFonts w:ascii="Arial" w:eastAsia="Calibri" w:hAnsi="Arial" w:cs="Arial"/>
          <w:b/>
          <w:bCs/>
          <w:sz w:val="22"/>
        </w:rPr>
        <w:t xml:space="preserve">CAPACIDAD RESIDUAL </w:t>
      </w:r>
      <w:r w:rsidR="1603722D" w:rsidRPr="59C812A4">
        <w:rPr>
          <w:rFonts w:ascii="Arial" w:eastAsia="Arial" w:hAnsi="Arial" w:cs="Arial"/>
          <w:b/>
          <w:bCs/>
          <w:sz w:val="22"/>
          <w:lang w:val="es-CO"/>
        </w:rPr>
        <w:t>– Proponente</w:t>
      </w:r>
      <w:r w:rsidRPr="59C812A4">
        <w:rPr>
          <w:rFonts w:ascii="Arial" w:eastAsia="Calibri" w:hAnsi="Arial" w:cs="Arial"/>
          <w:b/>
          <w:bCs/>
          <w:sz w:val="22"/>
        </w:rPr>
        <w:t xml:space="preserve"> </w:t>
      </w:r>
      <w:r w:rsidR="00766C6E" w:rsidRPr="59C812A4">
        <w:rPr>
          <w:rFonts w:ascii="Arial" w:eastAsia="Calibri" w:hAnsi="Arial" w:cs="Arial"/>
          <w:b/>
          <w:bCs/>
          <w:sz w:val="22"/>
        </w:rPr>
        <w:t>–</w:t>
      </w:r>
      <w:r w:rsidRPr="59C812A4">
        <w:rPr>
          <w:rFonts w:ascii="Arial" w:eastAsia="Calibri" w:hAnsi="Arial" w:cs="Arial"/>
          <w:b/>
          <w:bCs/>
          <w:sz w:val="22"/>
        </w:rPr>
        <w:t xml:space="preserve"> Cálculo</w:t>
      </w:r>
    </w:p>
    <w:p w14:paraId="1E0F2B46" w14:textId="77777777" w:rsidR="00D558E2" w:rsidRPr="00B502C9" w:rsidRDefault="00D558E2" w:rsidP="00D558E2">
      <w:pPr>
        <w:jc w:val="both"/>
        <w:rPr>
          <w:rFonts w:ascii="Arial" w:eastAsia="Calibri" w:hAnsi="Arial" w:cs="Arial"/>
          <w:b/>
          <w:sz w:val="20"/>
          <w:szCs w:val="20"/>
        </w:rPr>
      </w:pPr>
    </w:p>
    <w:p w14:paraId="2A05DF9E" w14:textId="599A21E9" w:rsidR="00D558E2" w:rsidRPr="00CD392C" w:rsidRDefault="00D558E2" w:rsidP="00A6641B">
      <w:pPr>
        <w:jc w:val="both"/>
        <w:rPr>
          <w:rFonts w:ascii="Arial" w:eastAsia="Calibri" w:hAnsi="Arial" w:cs="Arial"/>
          <w:bCs/>
          <w:sz w:val="20"/>
          <w:szCs w:val="20"/>
        </w:rPr>
      </w:pPr>
      <w:r w:rsidRPr="00CD392C">
        <w:rPr>
          <w:rFonts w:ascii="Arial" w:eastAsia="Calibri" w:hAnsi="Arial" w:cs="Arial"/>
          <w:bCs/>
          <w:sz w:val="20"/>
          <w:szCs w:val="20"/>
        </w:rPr>
        <w:t xml:space="preserve">Para […] verificar que cada proponente cumple con la CRPC, la entidad pública debe verificar que la capacidad residual del proponente «CRP» sea igual o superior a la capacidad referida en el párrafo precedente. De todas formas, previamente debe establecer la CRP, con fundamento en los siguientes factores: i) experiencia «E»; </w:t>
      </w:r>
      <w:proofErr w:type="spellStart"/>
      <w:r w:rsidRPr="00CD392C">
        <w:rPr>
          <w:rFonts w:ascii="Arial" w:eastAsia="Calibri" w:hAnsi="Arial" w:cs="Arial"/>
          <w:bCs/>
          <w:sz w:val="20"/>
          <w:szCs w:val="20"/>
        </w:rPr>
        <w:t>ii</w:t>
      </w:r>
      <w:proofErr w:type="spellEnd"/>
      <w:r w:rsidRPr="00CD392C">
        <w:rPr>
          <w:rFonts w:ascii="Arial" w:eastAsia="Calibri" w:hAnsi="Arial" w:cs="Arial"/>
          <w:bCs/>
          <w:sz w:val="20"/>
          <w:szCs w:val="20"/>
        </w:rPr>
        <w:t xml:space="preserve">) capacidad financiera «CF»; </w:t>
      </w:r>
      <w:proofErr w:type="spellStart"/>
      <w:r w:rsidRPr="00CD392C">
        <w:rPr>
          <w:rFonts w:ascii="Arial" w:eastAsia="Calibri" w:hAnsi="Arial" w:cs="Arial"/>
          <w:bCs/>
          <w:sz w:val="20"/>
          <w:szCs w:val="20"/>
        </w:rPr>
        <w:t>iii</w:t>
      </w:r>
      <w:proofErr w:type="spellEnd"/>
      <w:r w:rsidRPr="00CD392C">
        <w:rPr>
          <w:rFonts w:ascii="Arial" w:eastAsia="Calibri" w:hAnsi="Arial" w:cs="Arial"/>
          <w:bCs/>
          <w:sz w:val="20"/>
          <w:szCs w:val="20"/>
        </w:rPr>
        <w:t xml:space="preserve">) capacidad técnica «CT», </w:t>
      </w:r>
      <w:proofErr w:type="spellStart"/>
      <w:r w:rsidRPr="00CD392C">
        <w:rPr>
          <w:rFonts w:ascii="Arial" w:eastAsia="Calibri" w:hAnsi="Arial" w:cs="Arial"/>
          <w:bCs/>
          <w:sz w:val="20"/>
          <w:szCs w:val="20"/>
        </w:rPr>
        <w:t>iv</w:t>
      </w:r>
      <w:proofErr w:type="spellEnd"/>
      <w:r w:rsidRPr="00CD392C">
        <w:rPr>
          <w:rFonts w:ascii="Arial" w:eastAsia="Calibri" w:hAnsi="Arial" w:cs="Arial"/>
          <w:bCs/>
          <w:sz w:val="20"/>
          <w:szCs w:val="20"/>
        </w:rPr>
        <w:t>) capacidad de organización «CO»; y v) los saldos de los contratos en ejecución «SCE», y según la siguiente formula:</w:t>
      </w:r>
    </w:p>
    <w:p w14:paraId="3E607B1A" w14:textId="72125AE1" w:rsidR="00D558E2" w:rsidRPr="00766C6E" w:rsidRDefault="00D558E2" w:rsidP="00D558E2">
      <w:pPr>
        <w:jc w:val="both"/>
        <w:rPr>
          <w:rFonts w:ascii="Arial" w:eastAsia="Calibri" w:hAnsi="Arial" w:cs="Arial"/>
          <w:bCs/>
          <w:sz w:val="20"/>
          <w:szCs w:val="20"/>
        </w:rPr>
      </w:pPr>
      <w:r w:rsidRPr="00766C6E">
        <w:rPr>
          <w:noProof/>
          <w:lang w:val="es-ES_tradnl" w:eastAsia="es-ES_tradnl"/>
        </w:rPr>
        <w:drawing>
          <wp:anchor distT="0" distB="0" distL="0" distR="0" simplePos="0" relativeHeight="251661312" behindDoc="0" locked="0" layoutInCell="1" allowOverlap="1" wp14:anchorId="25D1F08C" wp14:editId="45357016">
            <wp:simplePos x="0" y="0"/>
            <wp:positionH relativeFrom="margin">
              <wp:align>left</wp:align>
            </wp:positionH>
            <wp:positionV relativeFrom="paragraph">
              <wp:posOffset>179070</wp:posOffset>
            </wp:positionV>
            <wp:extent cx="4638040" cy="674370"/>
            <wp:effectExtent l="0" t="0" r="0" b="0"/>
            <wp:wrapTopAndBottom/>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638040" cy="674370"/>
                    </a:xfrm>
                    <a:prstGeom prst="rect">
                      <a:avLst/>
                    </a:prstGeom>
                  </pic:spPr>
                </pic:pic>
              </a:graphicData>
            </a:graphic>
            <wp14:sizeRelH relativeFrom="margin">
              <wp14:pctWidth>0</wp14:pctWidth>
            </wp14:sizeRelH>
          </wp:anchor>
        </w:drawing>
      </w:r>
    </w:p>
    <w:p w14:paraId="165F71F5" w14:textId="40A0C0D4" w:rsidR="00D558E2" w:rsidRPr="00B502C9" w:rsidRDefault="00D558E2" w:rsidP="00D558E2">
      <w:pPr>
        <w:jc w:val="both"/>
        <w:rPr>
          <w:rFonts w:ascii="Arial" w:eastAsia="Calibri" w:hAnsi="Arial" w:cs="Arial"/>
          <w:bCs/>
          <w:sz w:val="20"/>
          <w:szCs w:val="20"/>
        </w:rPr>
      </w:pPr>
    </w:p>
    <w:p w14:paraId="063403D5" w14:textId="13CC4AD1" w:rsidR="00D558E2" w:rsidRPr="00CD392C" w:rsidRDefault="00D558E2" w:rsidP="00A6641B">
      <w:pPr>
        <w:jc w:val="both"/>
        <w:rPr>
          <w:rFonts w:ascii="Arial" w:eastAsia="Calibri" w:hAnsi="Arial" w:cs="Arial"/>
          <w:bCs/>
          <w:sz w:val="20"/>
          <w:szCs w:val="20"/>
        </w:rPr>
      </w:pPr>
      <w:r w:rsidRPr="00CD392C">
        <w:rPr>
          <w:rFonts w:ascii="Arial" w:eastAsia="Calibri" w:hAnsi="Arial" w:cs="Arial"/>
          <w:bCs/>
          <w:sz w:val="20"/>
          <w:szCs w:val="20"/>
        </w:rPr>
        <w:t>La «CO» no tiene asignación de puntaje en la fórmula, por un lado, porque su unidad de medida es en pesos colombianos «COP» y, por el otro, debido a que el mismo constituye un factor multiplicador de los demás factores en la fórmula.</w:t>
      </w:r>
    </w:p>
    <w:p w14:paraId="1F5F005B" w14:textId="1A9D6107" w:rsidR="00D558E2" w:rsidRPr="00B502C9" w:rsidRDefault="00D558E2" w:rsidP="00D558E2">
      <w:pPr>
        <w:jc w:val="both"/>
        <w:rPr>
          <w:rFonts w:ascii="Arial" w:eastAsia="Calibri" w:hAnsi="Arial" w:cs="Arial"/>
          <w:bCs/>
          <w:sz w:val="20"/>
          <w:szCs w:val="20"/>
        </w:rPr>
      </w:pPr>
    </w:p>
    <w:p w14:paraId="6FF98C21" w14:textId="4D0E01B2" w:rsidR="00D558E2" w:rsidRPr="00CD392C" w:rsidRDefault="00D558E2" w:rsidP="59C812A4">
      <w:pPr>
        <w:jc w:val="both"/>
        <w:rPr>
          <w:rFonts w:ascii="Arial" w:eastAsia="Calibri" w:hAnsi="Arial" w:cs="Arial"/>
          <w:b/>
          <w:bCs/>
          <w:sz w:val="22"/>
        </w:rPr>
      </w:pPr>
      <w:r w:rsidRPr="59C812A4">
        <w:rPr>
          <w:rFonts w:ascii="Arial" w:eastAsia="Calibri" w:hAnsi="Arial" w:cs="Arial"/>
          <w:b/>
          <w:bCs/>
          <w:sz w:val="22"/>
        </w:rPr>
        <w:t xml:space="preserve">CAPACIDAD RESIDUAL </w:t>
      </w:r>
      <w:r w:rsidR="2601D0A7" w:rsidRPr="59C812A4">
        <w:rPr>
          <w:rFonts w:ascii="Arial" w:eastAsia="Arial" w:hAnsi="Arial" w:cs="Arial"/>
          <w:b/>
          <w:bCs/>
          <w:sz w:val="22"/>
          <w:lang w:val="es-CO"/>
        </w:rPr>
        <w:t>– Proponente</w:t>
      </w:r>
      <w:r w:rsidRPr="59C812A4">
        <w:rPr>
          <w:rFonts w:ascii="Arial" w:eastAsia="Calibri" w:hAnsi="Arial" w:cs="Arial"/>
          <w:b/>
          <w:bCs/>
          <w:sz w:val="22"/>
        </w:rPr>
        <w:t xml:space="preserve"> </w:t>
      </w:r>
      <w:r w:rsidR="00766C6E" w:rsidRPr="59C812A4">
        <w:rPr>
          <w:rFonts w:ascii="Arial" w:eastAsia="Calibri" w:hAnsi="Arial" w:cs="Arial"/>
          <w:b/>
          <w:bCs/>
          <w:sz w:val="22"/>
        </w:rPr>
        <w:t>–</w:t>
      </w:r>
      <w:r w:rsidRPr="59C812A4">
        <w:rPr>
          <w:rFonts w:ascii="Arial" w:eastAsia="Calibri" w:hAnsi="Arial" w:cs="Arial"/>
          <w:b/>
          <w:bCs/>
          <w:sz w:val="22"/>
        </w:rPr>
        <w:t xml:space="preserve"> Experiencia</w:t>
      </w:r>
    </w:p>
    <w:p w14:paraId="5381D0AA" w14:textId="77777777" w:rsidR="00D558E2" w:rsidRPr="00B502C9" w:rsidRDefault="00D558E2" w:rsidP="00D558E2">
      <w:pPr>
        <w:jc w:val="both"/>
        <w:rPr>
          <w:rFonts w:ascii="Arial" w:eastAsia="Calibri" w:hAnsi="Arial" w:cs="Arial"/>
          <w:b/>
          <w:sz w:val="20"/>
          <w:szCs w:val="20"/>
        </w:rPr>
      </w:pPr>
    </w:p>
    <w:p w14:paraId="22A00556" w14:textId="77406FED" w:rsidR="00D558E2" w:rsidRPr="00CD392C" w:rsidRDefault="00A6641B" w:rsidP="00A6641B">
      <w:pPr>
        <w:jc w:val="both"/>
        <w:rPr>
          <w:rFonts w:ascii="Arial" w:eastAsia="Calibri" w:hAnsi="Arial" w:cs="Arial"/>
          <w:bCs/>
          <w:sz w:val="20"/>
          <w:szCs w:val="20"/>
        </w:rPr>
      </w:pPr>
      <w:r w:rsidRPr="00CD392C">
        <w:rPr>
          <w:rFonts w:ascii="Arial" w:eastAsia="Calibri" w:hAnsi="Arial" w:cs="Arial"/>
          <w:bCs/>
          <w:sz w:val="20"/>
          <w:szCs w:val="20"/>
        </w:rPr>
        <w:t>Para los efectos de la capacidad residual −no para la experiencia general que debe acreditar el contratista según la Matriz 1−, corresponde a la relación entre «el valor total en pesos de los contratos relacionados con la actividad de la construcción inscritos por el proponente en el RUP en el segmento 72 […] del Clasificador de Bienes y Servicios», de un lado, y el presupuesto oficial estimado del Proceso de Contratación, del otro. La relación indica el número de veces que el proponente ha ejecutado contratos equivalentes a la cuantía del proceso de contratación, según se explica en esta fórmula:</w:t>
      </w:r>
    </w:p>
    <w:p w14:paraId="7E12CE4E" w14:textId="77777777" w:rsidR="00A6641B" w:rsidRPr="00766C6E" w:rsidRDefault="00A6641B" w:rsidP="00A6641B">
      <w:pPr>
        <w:jc w:val="both"/>
        <w:rPr>
          <w:rFonts w:ascii="Arial" w:eastAsia="Calibri" w:hAnsi="Arial" w:cs="Arial"/>
          <w:bCs/>
          <w:sz w:val="19"/>
          <w:szCs w:val="19"/>
        </w:rPr>
      </w:pPr>
    </w:p>
    <w:p w14:paraId="1CD14736" w14:textId="52AD55DA" w:rsidR="00A6641B" w:rsidRPr="00766C6E" w:rsidRDefault="00A6641B" w:rsidP="00D558E2">
      <w:pPr>
        <w:jc w:val="both"/>
        <w:rPr>
          <w:rFonts w:ascii="Arial" w:eastAsia="Calibri" w:hAnsi="Arial" w:cs="Arial"/>
          <w:bCs/>
          <w:sz w:val="20"/>
          <w:szCs w:val="20"/>
          <w:lang w:val="es-ES"/>
        </w:rPr>
      </w:pPr>
      <w:r>
        <w:rPr>
          <w:noProof/>
        </w:rPr>
        <w:lastRenderedPageBreak/>
        <w:drawing>
          <wp:inline distT="0" distB="0" distL="0" distR="0" wp14:anchorId="5BD65C74" wp14:editId="13E333B6">
            <wp:extent cx="4696459" cy="615315"/>
            <wp:effectExtent l="0" t="0" r="8890" b="0"/>
            <wp:docPr id="150628419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1">
                      <a:extLst>
                        <a:ext uri="{28A0092B-C50C-407E-A947-70E740481C1C}">
                          <a14:useLocalDpi xmlns:a14="http://schemas.microsoft.com/office/drawing/2010/main" val="0"/>
                        </a:ext>
                      </a:extLst>
                    </a:blip>
                    <a:stretch>
                      <a:fillRect/>
                    </a:stretch>
                  </pic:blipFill>
                  <pic:spPr>
                    <a:xfrm>
                      <a:off x="0" y="0"/>
                      <a:ext cx="4696459" cy="615315"/>
                    </a:xfrm>
                    <a:prstGeom prst="rect">
                      <a:avLst/>
                    </a:prstGeom>
                  </pic:spPr>
                </pic:pic>
              </a:graphicData>
            </a:graphic>
          </wp:inline>
        </w:drawing>
      </w:r>
    </w:p>
    <w:p w14:paraId="1B928B84" w14:textId="77777777" w:rsidR="0044260A" w:rsidRPr="00766C6E" w:rsidRDefault="0044260A" w:rsidP="0044260A">
      <w:pPr>
        <w:jc w:val="both"/>
        <w:rPr>
          <w:rFonts w:ascii="Arial" w:eastAsia="Calibri" w:hAnsi="Arial" w:cs="Arial"/>
          <w:b/>
          <w:sz w:val="20"/>
          <w:szCs w:val="20"/>
        </w:rPr>
      </w:pPr>
    </w:p>
    <w:p w14:paraId="286BB24A" w14:textId="73E6FC9D" w:rsidR="0044260A" w:rsidRPr="00CD392C" w:rsidRDefault="0044260A" w:rsidP="59C812A4">
      <w:pPr>
        <w:jc w:val="both"/>
        <w:rPr>
          <w:rFonts w:ascii="Arial" w:eastAsia="Calibri" w:hAnsi="Arial" w:cs="Arial"/>
          <w:b/>
          <w:bCs/>
          <w:sz w:val="22"/>
        </w:rPr>
      </w:pPr>
      <w:r w:rsidRPr="59C812A4">
        <w:rPr>
          <w:rFonts w:ascii="Arial" w:eastAsia="Calibri" w:hAnsi="Arial" w:cs="Arial"/>
          <w:b/>
          <w:bCs/>
          <w:sz w:val="22"/>
        </w:rPr>
        <w:t xml:space="preserve">GUÍA PARA DETERMINAR Y VERIFICAR LA CAPACIDAD RESIDUAL DEL PROPONENTE EN LOS PROCESOS DE CONTRATACIÓN DE OBRA PÚBLICA </w:t>
      </w:r>
      <w:r w:rsidR="00766C6E" w:rsidRPr="59C812A4">
        <w:rPr>
          <w:rFonts w:ascii="Arial" w:eastAsia="Calibri" w:hAnsi="Arial" w:cs="Arial"/>
          <w:b/>
          <w:bCs/>
          <w:sz w:val="22"/>
        </w:rPr>
        <w:t>–</w:t>
      </w:r>
      <w:r w:rsidRPr="59C812A4">
        <w:rPr>
          <w:rFonts w:ascii="Arial" w:eastAsia="Calibri" w:hAnsi="Arial" w:cs="Arial"/>
          <w:b/>
          <w:bCs/>
          <w:sz w:val="22"/>
        </w:rPr>
        <w:t xml:space="preserve"> Diligenciamiento </w:t>
      </w:r>
      <w:r w:rsidR="605B053D" w:rsidRPr="59C812A4">
        <w:rPr>
          <w:rFonts w:ascii="Arial" w:eastAsia="Arial" w:hAnsi="Arial" w:cs="Arial"/>
          <w:b/>
          <w:bCs/>
          <w:sz w:val="22"/>
          <w:lang w:val="es-CO"/>
        </w:rPr>
        <w:t>–</w:t>
      </w:r>
      <w:r w:rsidRPr="59C812A4">
        <w:rPr>
          <w:rFonts w:ascii="Arial" w:eastAsia="Calibri" w:hAnsi="Arial" w:cs="Arial"/>
          <w:b/>
          <w:bCs/>
          <w:sz w:val="22"/>
        </w:rPr>
        <w:t xml:space="preserve"> Anexo 1 </w:t>
      </w:r>
    </w:p>
    <w:p w14:paraId="46A38C56" w14:textId="77777777" w:rsidR="0044260A" w:rsidRPr="00B502C9" w:rsidRDefault="0044260A" w:rsidP="0044260A">
      <w:pPr>
        <w:jc w:val="both"/>
        <w:rPr>
          <w:rFonts w:ascii="Arial" w:eastAsia="Calibri" w:hAnsi="Arial" w:cs="Arial"/>
          <w:b/>
          <w:sz w:val="20"/>
          <w:szCs w:val="20"/>
        </w:rPr>
      </w:pPr>
    </w:p>
    <w:p w14:paraId="4C1A4F94" w14:textId="2238C2FE" w:rsidR="0044260A" w:rsidRPr="00CD392C" w:rsidRDefault="0044260A" w:rsidP="00FB59E2">
      <w:pPr>
        <w:jc w:val="both"/>
        <w:rPr>
          <w:sz w:val="20"/>
          <w:szCs w:val="20"/>
        </w:rPr>
      </w:pPr>
      <w:r w:rsidRPr="00CD392C">
        <w:rPr>
          <w:rFonts w:ascii="Arial" w:eastAsia="Calibri" w:hAnsi="Arial" w:cs="Arial"/>
          <w:bCs/>
          <w:sz w:val="20"/>
          <w:szCs w:val="20"/>
        </w:rPr>
        <w:t xml:space="preserve">En criterio de la Agencia Nacional de Contratación Pública, en </w:t>
      </w:r>
      <w:r w:rsidR="00FB59E2" w:rsidRPr="00CD392C">
        <w:rPr>
          <w:rFonts w:ascii="Arial" w:eastAsia="Calibri" w:hAnsi="Arial" w:cs="Arial"/>
          <w:bCs/>
          <w:sz w:val="20"/>
          <w:szCs w:val="20"/>
        </w:rPr>
        <w:t xml:space="preserve">el Anexo 1 se debe hacer referencia: i) al contrato relacionado con la actividad de la construcción −segmento 72, clasificador UNSPSC−; y </w:t>
      </w:r>
      <w:proofErr w:type="spellStart"/>
      <w:r w:rsidR="00FB59E2" w:rsidRPr="00CD392C">
        <w:rPr>
          <w:rFonts w:ascii="Arial" w:eastAsia="Calibri" w:hAnsi="Arial" w:cs="Arial"/>
          <w:bCs/>
          <w:sz w:val="20"/>
          <w:szCs w:val="20"/>
        </w:rPr>
        <w:t>ii</w:t>
      </w:r>
      <w:proofErr w:type="spellEnd"/>
      <w:r w:rsidR="00FB59E2" w:rsidRPr="00CD392C">
        <w:rPr>
          <w:rFonts w:ascii="Arial" w:eastAsia="Calibri" w:hAnsi="Arial" w:cs="Arial"/>
          <w:bCs/>
          <w:sz w:val="20"/>
          <w:szCs w:val="20"/>
        </w:rPr>
        <w:t xml:space="preserve">) al valor de cada uno de esos contratos </w:t>
      </w:r>
      <w:proofErr w:type="gramStart"/>
      <w:r w:rsidR="00FB59E2" w:rsidRPr="00CD392C">
        <w:rPr>
          <w:rFonts w:ascii="Arial" w:eastAsia="Calibri" w:hAnsi="Arial" w:cs="Arial"/>
          <w:bCs/>
          <w:sz w:val="20"/>
          <w:szCs w:val="20"/>
        </w:rPr>
        <w:t>de acuerdo a</w:t>
      </w:r>
      <w:proofErr w:type="gramEnd"/>
      <w:r w:rsidR="00FB59E2" w:rsidRPr="00CD392C">
        <w:rPr>
          <w:rFonts w:ascii="Arial" w:eastAsia="Calibri" w:hAnsi="Arial" w:cs="Arial"/>
          <w:bCs/>
          <w:sz w:val="20"/>
          <w:szCs w:val="20"/>
        </w:rPr>
        <w:t xml:space="preserve"> los salarios mínimos mensuales legales vigentes «SMMLV» registrados en el RUP. De ser necesario, el proponente tendrá que diligenciar la casilla del porcentaje de «participación del proponente en el contratista plural» y calcular, según dicho porcentaje, el valor del contrato a tener en cuenta, de tal forma que si, por ejemplo, el contrato inscrito en el RUP es de cien (100)  SMMLV, pero su participación fue del cincuenta (50) por ciento, en la casilla «valor total de los contratos ejecutados» solo se podrán incluir cincuenta (50) de los cien (100) SMMLV, dado el porcentaje de participación del proponente. De todos modos, el valor total de los contratos referidos en el Anexo 1 debe liquidarse según el salario mínimo mensual legal vigente para el momento en el que se realiza la presentación de la oferta. Esta conversión de salarios a pesos encuentra fundamento, por un lado, en los criterios expuestos en la «Guía para Determinar y Verificar la Capacidad Residual del Proponente en los Procesos de Contratación de Obra Pública», particularmente en lo que señala el párrafo 5 de la página 7 de dicho documento. Por otro lado, se justifica en el hecho de que la fórmula a aplicar requiere que la información se exprese en pesos y no en SMMLV.</w:t>
      </w:r>
    </w:p>
    <w:p w14:paraId="1EE98661" w14:textId="587B5DF2" w:rsidR="00A6641B" w:rsidRPr="006A48DB" w:rsidRDefault="00A6641B" w:rsidP="00766C6E">
      <w:pPr>
        <w:spacing w:line="259" w:lineRule="auto"/>
        <w:rPr>
          <w:rFonts w:ascii="Arial" w:hAnsi="Arial" w:cs="Arial"/>
          <w:sz w:val="20"/>
          <w:szCs w:val="20"/>
        </w:rPr>
      </w:pPr>
    </w:p>
    <w:p w14:paraId="0FCFE52F" w14:textId="77777777" w:rsidR="00766C6E" w:rsidRPr="006A48DB" w:rsidRDefault="00766C6E" w:rsidP="00F317B0">
      <w:pPr>
        <w:spacing w:line="259" w:lineRule="auto"/>
        <w:rPr>
          <w:rFonts w:ascii="Arial" w:hAnsi="Arial" w:cs="Arial"/>
          <w:sz w:val="20"/>
          <w:szCs w:val="20"/>
        </w:rPr>
      </w:pPr>
    </w:p>
    <w:p w14:paraId="6068435F" w14:textId="099370A0" w:rsidR="00BE1E33" w:rsidRPr="00766C6E" w:rsidRDefault="00BE1E33" w:rsidP="00BE1E33">
      <w:pPr>
        <w:rPr>
          <w:rFonts w:ascii="Arial" w:hAnsi="Arial" w:cs="Arial"/>
          <w:b/>
          <w:sz w:val="22"/>
        </w:rPr>
      </w:pPr>
      <w:r w:rsidRPr="00766C6E">
        <w:rPr>
          <w:rFonts w:ascii="Arial" w:hAnsi="Arial" w:cs="Arial"/>
          <w:sz w:val="22"/>
        </w:rPr>
        <w:t xml:space="preserve">Bogotá D.C., </w:t>
      </w:r>
      <w:r w:rsidR="00582F7C" w:rsidRPr="00582F7C">
        <w:rPr>
          <w:rFonts w:ascii="Arial" w:hAnsi="Arial" w:cs="Arial"/>
          <w:b/>
          <w:sz w:val="22"/>
        </w:rPr>
        <w:t>07/07/2020 Hora 12:46:42s</w:t>
      </w:r>
    </w:p>
    <w:p w14:paraId="15D69F5C" w14:textId="77777777" w:rsidR="00582F7C" w:rsidRDefault="00582F7C" w:rsidP="00BE1E33">
      <w:pPr>
        <w:jc w:val="right"/>
        <w:rPr>
          <w:rFonts w:ascii="Arial" w:hAnsi="Arial" w:cs="Arial"/>
          <w:b/>
          <w:sz w:val="22"/>
        </w:rPr>
      </w:pPr>
    </w:p>
    <w:p w14:paraId="21B4056E" w14:textId="6710A8E9" w:rsidR="00BE1E33" w:rsidRPr="00766C6E" w:rsidRDefault="00BE1E33" w:rsidP="00467199">
      <w:pPr>
        <w:jc w:val="right"/>
        <w:rPr>
          <w:rFonts w:ascii="Arial" w:eastAsia="Calibri" w:hAnsi="Arial" w:cs="Arial"/>
          <w:sz w:val="22"/>
        </w:rPr>
      </w:pPr>
      <w:proofErr w:type="spellStart"/>
      <w:r w:rsidRPr="00766C6E">
        <w:rPr>
          <w:rFonts w:ascii="Arial" w:hAnsi="Arial" w:cs="Arial"/>
          <w:b/>
          <w:sz w:val="22"/>
        </w:rPr>
        <w:t>N°</w:t>
      </w:r>
      <w:proofErr w:type="spellEnd"/>
      <w:r w:rsidRPr="00766C6E">
        <w:rPr>
          <w:rFonts w:ascii="Arial" w:hAnsi="Arial" w:cs="Arial"/>
          <w:b/>
          <w:sz w:val="22"/>
        </w:rPr>
        <w:t xml:space="preserve"> Radicado: </w:t>
      </w:r>
      <w:r w:rsidR="00467199" w:rsidRPr="00467199">
        <w:rPr>
          <w:rFonts w:ascii="Arial" w:hAnsi="Arial" w:cs="Arial"/>
          <w:b/>
          <w:sz w:val="22"/>
        </w:rPr>
        <w:t>2202013000005914</w:t>
      </w:r>
    </w:p>
    <w:p w14:paraId="12A234ED" w14:textId="77777777" w:rsidR="00BE1E33" w:rsidRPr="00766C6E" w:rsidRDefault="00BE1E33" w:rsidP="00BE1E33">
      <w:pPr>
        <w:rPr>
          <w:rFonts w:ascii="Arial" w:eastAsia="Calibri" w:hAnsi="Arial" w:cs="Arial"/>
          <w:sz w:val="22"/>
        </w:rPr>
      </w:pPr>
    </w:p>
    <w:p w14:paraId="73D51859" w14:textId="55A100ED" w:rsidR="00BE1E33" w:rsidRPr="00766C6E" w:rsidRDefault="00BE1E33" w:rsidP="00BE1E33">
      <w:pPr>
        <w:rPr>
          <w:rFonts w:ascii="Arial" w:eastAsia="Calibri" w:hAnsi="Arial" w:cs="Arial"/>
          <w:sz w:val="22"/>
        </w:rPr>
      </w:pPr>
      <w:r w:rsidRPr="00766C6E">
        <w:rPr>
          <w:rFonts w:ascii="Arial" w:eastAsia="Calibri" w:hAnsi="Arial" w:cs="Arial"/>
          <w:sz w:val="22"/>
        </w:rPr>
        <w:t>Señor</w:t>
      </w:r>
    </w:p>
    <w:p w14:paraId="51140DA2" w14:textId="449D05C2" w:rsidR="00BE1E33" w:rsidRPr="00766C6E" w:rsidRDefault="003F5E59" w:rsidP="00BE1E33">
      <w:pPr>
        <w:rPr>
          <w:rFonts w:ascii="Arial" w:eastAsia="Calibri" w:hAnsi="Arial" w:cs="Arial"/>
          <w:b/>
          <w:sz w:val="22"/>
        </w:rPr>
      </w:pPr>
      <w:r w:rsidRPr="00766C6E">
        <w:rPr>
          <w:rFonts w:ascii="Arial" w:eastAsia="Calibri" w:hAnsi="Arial" w:cs="Arial"/>
          <w:b/>
          <w:sz w:val="22"/>
        </w:rPr>
        <w:t>Óscar Moreno López</w:t>
      </w:r>
    </w:p>
    <w:p w14:paraId="095BF112" w14:textId="10CA6F84" w:rsidR="00BE1E33" w:rsidRPr="00766C6E" w:rsidRDefault="003F5E59" w:rsidP="00BE1E33">
      <w:pPr>
        <w:rPr>
          <w:rFonts w:ascii="Arial" w:eastAsia="Calibri" w:hAnsi="Arial" w:cs="Arial"/>
          <w:sz w:val="22"/>
        </w:rPr>
      </w:pPr>
      <w:r w:rsidRPr="00766C6E">
        <w:rPr>
          <w:rFonts w:ascii="Arial" w:eastAsia="Calibri" w:hAnsi="Arial" w:cs="Arial"/>
          <w:sz w:val="22"/>
        </w:rPr>
        <w:t>Medellín, Antioquia</w:t>
      </w:r>
    </w:p>
    <w:p w14:paraId="273C04A0" w14:textId="77777777" w:rsidR="00BE1E33" w:rsidRPr="00766C6E" w:rsidRDefault="00BE1E33" w:rsidP="00BE1E33">
      <w:pPr>
        <w:rPr>
          <w:rFonts w:ascii="Arial" w:eastAsia="Calibri" w:hAnsi="Arial" w:cs="Arial"/>
          <w:sz w:val="22"/>
        </w:rPr>
      </w:pPr>
    </w:p>
    <w:p w14:paraId="1F3204AE" w14:textId="77777777" w:rsidR="00BE1E33" w:rsidRPr="00766C6E" w:rsidRDefault="00BE1E33" w:rsidP="00BE1E33">
      <w:pPr>
        <w:rPr>
          <w:rFonts w:ascii="Arial" w:eastAsia="Calibri" w:hAnsi="Arial" w:cs="Arial"/>
          <w:sz w:val="22"/>
        </w:rPr>
      </w:pPr>
    </w:p>
    <w:p w14:paraId="5CEA4ADF" w14:textId="4DE7F4FB" w:rsidR="00BE1E33" w:rsidRPr="00766C6E" w:rsidRDefault="00BE1E33" w:rsidP="00BE1E33">
      <w:pPr>
        <w:ind w:firstLine="2694"/>
        <w:rPr>
          <w:rFonts w:ascii="Arial" w:eastAsia="Calibri" w:hAnsi="Arial" w:cs="Arial"/>
          <w:b/>
          <w:sz w:val="22"/>
        </w:rPr>
      </w:pPr>
      <w:r w:rsidRPr="00CD392C">
        <w:rPr>
          <w:rFonts w:ascii="Arial" w:eastAsia="Calibri" w:hAnsi="Arial" w:cs="Arial"/>
          <w:b/>
          <w:sz w:val="22"/>
        </w:rPr>
        <w:t>Concepto C</w:t>
      </w:r>
      <w:r w:rsidR="002D798B" w:rsidRPr="00CD392C">
        <w:rPr>
          <w:rFonts w:ascii="Arial" w:eastAsia="Calibri" w:hAnsi="Arial" w:cs="Arial"/>
          <w:b/>
          <w:sz w:val="22"/>
        </w:rPr>
        <w:t>-</w:t>
      </w:r>
      <w:r w:rsidR="00CD392C" w:rsidRPr="00CD392C">
        <w:rPr>
          <w:rFonts w:ascii="Arial" w:eastAsia="Calibri" w:hAnsi="Arial" w:cs="Arial"/>
          <w:b/>
          <w:sz w:val="22"/>
        </w:rPr>
        <w:t xml:space="preserve">458 </w:t>
      </w:r>
      <w:r w:rsidRPr="00CD392C">
        <w:rPr>
          <w:rFonts w:ascii="Arial" w:eastAsia="Calibri" w:hAnsi="Arial" w:cs="Arial"/>
          <w:b/>
          <w:sz w:val="22"/>
        </w:rPr>
        <w:t>de 2020</w:t>
      </w:r>
    </w:p>
    <w:p w14:paraId="234727AD" w14:textId="77777777" w:rsidR="00BE1E33" w:rsidRPr="00766C6E" w:rsidRDefault="00BE1E33" w:rsidP="00BE1E3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66C6E" w:rsidRPr="00766C6E" w14:paraId="2553E4F3" w14:textId="77777777" w:rsidTr="004101BC">
        <w:tc>
          <w:tcPr>
            <w:tcW w:w="2689" w:type="dxa"/>
            <w:hideMark/>
          </w:tcPr>
          <w:p w14:paraId="7BC9E971" w14:textId="77777777" w:rsidR="00BE1E33" w:rsidRPr="00766C6E" w:rsidRDefault="00BE1E33" w:rsidP="004101BC">
            <w:pPr>
              <w:rPr>
                <w:rFonts w:ascii="Arial" w:eastAsia="Calibri" w:hAnsi="Arial" w:cs="Arial"/>
                <w:sz w:val="22"/>
              </w:rPr>
            </w:pPr>
            <w:r w:rsidRPr="00766C6E">
              <w:rPr>
                <w:rFonts w:ascii="Arial" w:eastAsia="Calibri" w:hAnsi="Arial" w:cs="Arial"/>
                <w:b/>
                <w:sz w:val="22"/>
              </w:rPr>
              <w:t>Temas:</w:t>
            </w:r>
            <w:r w:rsidRPr="00766C6E">
              <w:rPr>
                <w:rFonts w:ascii="Arial" w:eastAsia="Calibri" w:hAnsi="Arial" w:cs="Arial"/>
                <w:sz w:val="22"/>
              </w:rPr>
              <w:t xml:space="preserve">           </w:t>
            </w:r>
          </w:p>
          <w:p w14:paraId="0C0D8CD7" w14:textId="77777777" w:rsidR="00BE1E33" w:rsidRPr="00766C6E" w:rsidRDefault="00BE1E33" w:rsidP="004101BC">
            <w:pPr>
              <w:rPr>
                <w:rFonts w:ascii="Arial" w:eastAsia="Calibri" w:hAnsi="Arial" w:cs="Arial"/>
                <w:sz w:val="22"/>
              </w:rPr>
            </w:pPr>
            <w:r w:rsidRPr="00766C6E">
              <w:rPr>
                <w:rFonts w:ascii="Arial" w:eastAsia="Calibri" w:hAnsi="Arial" w:cs="Arial"/>
                <w:sz w:val="22"/>
              </w:rPr>
              <w:t xml:space="preserve">                           </w:t>
            </w:r>
          </w:p>
        </w:tc>
        <w:tc>
          <w:tcPr>
            <w:tcW w:w="6237" w:type="dxa"/>
            <w:hideMark/>
          </w:tcPr>
          <w:p w14:paraId="0F35FDBD" w14:textId="2A6B12AB" w:rsidR="00BE1E33" w:rsidRPr="00766C6E" w:rsidRDefault="00840651" w:rsidP="00766C6E">
            <w:pPr>
              <w:jc w:val="both"/>
              <w:rPr>
                <w:rFonts w:ascii="Arial" w:eastAsia="Calibri" w:hAnsi="Arial" w:cs="Arial"/>
                <w:sz w:val="22"/>
              </w:rPr>
            </w:pPr>
            <w:r w:rsidRPr="00766C6E">
              <w:rPr>
                <w:rFonts w:ascii="Arial" w:eastAsia="Calibri" w:hAnsi="Arial" w:cs="Arial"/>
                <w:sz w:val="22"/>
              </w:rPr>
              <w:t xml:space="preserve">CAPACIDAD RESIDUAL </w:t>
            </w:r>
            <w:r w:rsidR="00766C6E">
              <w:rPr>
                <w:rFonts w:ascii="Arial" w:eastAsia="Calibri" w:hAnsi="Arial" w:cs="Arial"/>
                <w:sz w:val="22"/>
              </w:rPr>
              <w:t>–</w:t>
            </w:r>
            <w:r w:rsidRPr="00766C6E">
              <w:rPr>
                <w:rFonts w:ascii="Arial" w:eastAsia="Calibri" w:hAnsi="Arial" w:cs="Arial"/>
                <w:sz w:val="22"/>
              </w:rPr>
              <w:t xml:space="preserve"> Definición / CAPACIDAD RESIDUAL </w:t>
            </w:r>
            <w:r w:rsidR="00766C6E">
              <w:rPr>
                <w:rFonts w:ascii="Arial" w:eastAsia="Calibri" w:hAnsi="Arial" w:cs="Arial"/>
                <w:sz w:val="22"/>
              </w:rPr>
              <w:t>–</w:t>
            </w:r>
            <w:r w:rsidRPr="00766C6E">
              <w:rPr>
                <w:rFonts w:ascii="Arial" w:eastAsia="Calibri" w:hAnsi="Arial" w:cs="Arial"/>
                <w:sz w:val="22"/>
              </w:rPr>
              <w:t xml:space="preserve"> Cálculo </w:t>
            </w:r>
            <w:r w:rsidR="00766C6E">
              <w:rPr>
                <w:rFonts w:ascii="Arial" w:eastAsia="Calibri" w:hAnsi="Arial" w:cs="Arial"/>
                <w:sz w:val="22"/>
              </w:rPr>
              <w:t>–</w:t>
            </w:r>
            <w:r w:rsidRPr="00766C6E">
              <w:rPr>
                <w:rFonts w:ascii="Arial" w:eastAsia="Calibri" w:hAnsi="Arial" w:cs="Arial"/>
                <w:sz w:val="22"/>
              </w:rPr>
              <w:t xml:space="preserve"> Factores CAPACIDAD RESIDUAL </w:t>
            </w:r>
            <w:r w:rsidR="00766C6E">
              <w:rPr>
                <w:rFonts w:ascii="Arial" w:eastAsia="Calibri" w:hAnsi="Arial" w:cs="Arial"/>
                <w:sz w:val="22"/>
              </w:rPr>
              <w:t>–</w:t>
            </w:r>
            <w:r w:rsidRPr="00766C6E">
              <w:rPr>
                <w:rFonts w:ascii="Arial" w:eastAsia="Calibri" w:hAnsi="Arial" w:cs="Arial"/>
                <w:sz w:val="22"/>
              </w:rPr>
              <w:t xml:space="preserve"> Cálculo </w:t>
            </w:r>
            <w:r w:rsidR="00766C6E">
              <w:rPr>
                <w:rFonts w:ascii="Arial" w:eastAsia="Calibri" w:hAnsi="Arial" w:cs="Arial"/>
                <w:sz w:val="22"/>
              </w:rPr>
              <w:t>–</w:t>
            </w:r>
            <w:r w:rsidRPr="00766C6E">
              <w:rPr>
                <w:rFonts w:ascii="Arial" w:eastAsia="Calibri" w:hAnsi="Arial" w:cs="Arial"/>
                <w:sz w:val="22"/>
              </w:rPr>
              <w:t xml:space="preserve"> Factores en contratos de obra</w:t>
            </w:r>
            <w:r w:rsidR="00766C6E">
              <w:rPr>
                <w:rFonts w:ascii="Arial" w:eastAsia="Calibri" w:hAnsi="Arial" w:cs="Arial"/>
                <w:sz w:val="22"/>
              </w:rPr>
              <w:t xml:space="preserve"> /</w:t>
            </w:r>
            <w:r w:rsidRPr="00766C6E">
              <w:rPr>
                <w:rFonts w:ascii="Arial" w:eastAsia="Calibri" w:hAnsi="Arial" w:cs="Arial"/>
                <w:sz w:val="22"/>
              </w:rPr>
              <w:t xml:space="preserve"> CAPACIDAD RESIDUAL </w:t>
            </w:r>
            <w:r w:rsidR="00766C6E">
              <w:rPr>
                <w:rFonts w:ascii="Arial" w:eastAsia="Calibri" w:hAnsi="Arial" w:cs="Arial"/>
                <w:sz w:val="22"/>
              </w:rPr>
              <w:t>–</w:t>
            </w:r>
            <w:r w:rsidRPr="00766C6E">
              <w:rPr>
                <w:rFonts w:ascii="Arial" w:eastAsia="Calibri" w:hAnsi="Arial" w:cs="Arial"/>
                <w:sz w:val="22"/>
              </w:rPr>
              <w:t xml:space="preserve"> Carga de las entidades públicas CAPACIDAD RESIDUAL </w:t>
            </w:r>
            <w:r w:rsidR="00766C6E">
              <w:rPr>
                <w:rFonts w:ascii="Arial" w:eastAsia="Calibri" w:hAnsi="Arial" w:cs="Arial"/>
                <w:sz w:val="22"/>
              </w:rPr>
              <w:t>–</w:t>
            </w:r>
            <w:r w:rsidRPr="00766C6E">
              <w:rPr>
                <w:rFonts w:ascii="Arial" w:eastAsia="Calibri" w:hAnsi="Arial" w:cs="Arial"/>
                <w:sz w:val="22"/>
              </w:rPr>
              <w:t xml:space="preserve"> Carga de los proponentes / CAPACIDAD RESIDUAL DEL PROCESO DE CONTRATACIÓN </w:t>
            </w:r>
            <w:r w:rsidR="00766C6E">
              <w:rPr>
                <w:rFonts w:ascii="Arial" w:eastAsia="Calibri" w:hAnsi="Arial" w:cs="Arial"/>
                <w:sz w:val="22"/>
              </w:rPr>
              <w:t>–</w:t>
            </w:r>
            <w:r w:rsidRPr="00766C6E">
              <w:rPr>
                <w:rFonts w:ascii="Arial" w:eastAsia="Calibri" w:hAnsi="Arial" w:cs="Arial"/>
                <w:sz w:val="22"/>
              </w:rPr>
              <w:t xml:space="preserve"> Cálculo /</w:t>
            </w:r>
            <w:r w:rsidR="00766C6E">
              <w:rPr>
                <w:rFonts w:ascii="Arial" w:eastAsia="Calibri" w:hAnsi="Arial" w:cs="Arial"/>
                <w:sz w:val="22"/>
              </w:rPr>
              <w:t xml:space="preserve"> </w:t>
            </w:r>
            <w:r w:rsidRPr="00766C6E">
              <w:rPr>
                <w:rFonts w:ascii="Arial" w:eastAsia="Calibri" w:hAnsi="Arial" w:cs="Arial"/>
                <w:sz w:val="22"/>
              </w:rPr>
              <w:t xml:space="preserve">CAPACIDAD RESIDUAL DEL PROPONENTE </w:t>
            </w:r>
            <w:r w:rsidR="00766C6E">
              <w:rPr>
                <w:rFonts w:ascii="Arial" w:eastAsia="Calibri" w:hAnsi="Arial" w:cs="Arial"/>
                <w:sz w:val="22"/>
              </w:rPr>
              <w:t>–</w:t>
            </w:r>
            <w:r w:rsidRPr="00766C6E">
              <w:rPr>
                <w:rFonts w:ascii="Arial" w:eastAsia="Calibri" w:hAnsi="Arial" w:cs="Arial"/>
                <w:sz w:val="22"/>
              </w:rPr>
              <w:t xml:space="preserve"> Cálculo / CAPACIDAD RESIDUAL DEL PROPONENTE </w:t>
            </w:r>
            <w:r w:rsidR="00766C6E">
              <w:rPr>
                <w:rFonts w:ascii="Arial" w:eastAsia="Calibri" w:hAnsi="Arial" w:cs="Arial"/>
                <w:sz w:val="22"/>
              </w:rPr>
              <w:t>–</w:t>
            </w:r>
            <w:r w:rsidRPr="00766C6E">
              <w:rPr>
                <w:rFonts w:ascii="Arial" w:eastAsia="Calibri" w:hAnsi="Arial" w:cs="Arial"/>
                <w:sz w:val="22"/>
              </w:rPr>
              <w:t xml:space="preserve"> Experiencia</w:t>
            </w:r>
            <w:r w:rsidR="005E76CC" w:rsidRPr="00766C6E">
              <w:rPr>
                <w:rFonts w:ascii="Arial" w:eastAsia="Calibri" w:hAnsi="Arial" w:cs="Arial"/>
                <w:sz w:val="22"/>
              </w:rPr>
              <w:t xml:space="preserve"> / GUÍA PARA DETERMINAR Y VERIFICAR LA CAPACIDAD RESIDUAL DEL </w:t>
            </w:r>
            <w:r w:rsidR="005E76CC" w:rsidRPr="00766C6E">
              <w:rPr>
                <w:rFonts w:ascii="Arial" w:eastAsia="Calibri" w:hAnsi="Arial" w:cs="Arial"/>
                <w:sz w:val="22"/>
              </w:rPr>
              <w:lastRenderedPageBreak/>
              <w:t xml:space="preserve">PROPONENTE EN LOS PROCESOS DE CONTRATACIÓN DE OBRA PÚBLICA </w:t>
            </w:r>
            <w:r w:rsidR="00766C6E">
              <w:rPr>
                <w:rFonts w:ascii="Arial" w:eastAsia="Calibri" w:hAnsi="Arial" w:cs="Arial"/>
                <w:sz w:val="22"/>
              </w:rPr>
              <w:t>–</w:t>
            </w:r>
            <w:r w:rsidR="005E76CC" w:rsidRPr="00766C6E">
              <w:rPr>
                <w:rFonts w:ascii="Arial" w:eastAsia="Calibri" w:hAnsi="Arial" w:cs="Arial"/>
                <w:sz w:val="22"/>
              </w:rPr>
              <w:t xml:space="preserve"> Diligenciamiento del Anexo 1</w:t>
            </w:r>
          </w:p>
        </w:tc>
      </w:tr>
      <w:tr w:rsidR="008C27FB" w:rsidRPr="00766C6E" w14:paraId="20F2A3B6" w14:textId="77777777" w:rsidTr="004101BC">
        <w:tc>
          <w:tcPr>
            <w:tcW w:w="2689" w:type="dxa"/>
          </w:tcPr>
          <w:p w14:paraId="1E82F4FA" w14:textId="77777777" w:rsidR="00BE1E33" w:rsidRPr="00766C6E" w:rsidRDefault="00BE1E33" w:rsidP="004101BC">
            <w:pPr>
              <w:spacing w:before="120"/>
              <w:rPr>
                <w:rFonts w:ascii="Arial" w:eastAsia="Calibri" w:hAnsi="Arial" w:cs="Arial"/>
                <w:b/>
                <w:sz w:val="22"/>
              </w:rPr>
            </w:pPr>
            <w:r w:rsidRPr="00766C6E">
              <w:rPr>
                <w:rFonts w:ascii="Arial" w:eastAsia="Calibri" w:hAnsi="Arial" w:cs="Arial"/>
                <w:b/>
                <w:sz w:val="22"/>
              </w:rPr>
              <w:lastRenderedPageBreak/>
              <w:t>Radicación:</w:t>
            </w:r>
            <w:r w:rsidRPr="00766C6E">
              <w:rPr>
                <w:rFonts w:ascii="Arial" w:eastAsia="Calibri" w:hAnsi="Arial" w:cs="Arial"/>
                <w:sz w:val="22"/>
              </w:rPr>
              <w:t xml:space="preserve">                              </w:t>
            </w:r>
          </w:p>
        </w:tc>
        <w:tc>
          <w:tcPr>
            <w:tcW w:w="6237" w:type="dxa"/>
          </w:tcPr>
          <w:p w14:paraId="20FCE53A" w14:textId="431B3F78" w:rsidR="00BE1E33" w:rsidRPr="00766C6E" w:rsidRDefault="00BE1E33" w:rsidP="004101BC">
            <w:pPr>
              <w:spacing w:before="120"/>
              <w:jc w:val="both"/>
              <w:rPr>
                <w:rFonts w:ascii="Arial" w:eastAsia="Calibri" w:hAnsi="Arial" w:cs="Arial"/>
                <w:sz w:val="22"/>
              </w:rPr>
            </w:pPr>
            <w:r w:rsidRPr="00766C6E">
              <w:rPr>
                <w:rFonts w:ascii="Arial" w:eastAsia="Calibri" w:hAnsi="Arial" w:cs="Arial"/>
                <w:sz w:val="22"/>
              </w:rPr>
              <w:t>Respuesta a consulta 420201</w:t>
            </w:r>
            <w:r w:rsidR="003F5E59" w:rsidRPr="00766C6E">
              <w:rPr>
                <w:rFonts w:ascii="Arial" w:eastAsia="Calibri" w:hAnsi="Arial" w:cs="Arial"/>
                <w:sz w:val="22"/>
              </w:rPr>
              <w:t>2</w:t>
            </w:r>
            <w:r w:rsidRPr="00766C6E">
              <w:rPr>
                <w:rFonts w:ascii="Arial" w:eastAsia="Calibri" w:hAnsi="Arial" w:cs="Arial"/>
                <w:sz w:val="22"/>
              </w:rPr>
              <w:t>00000</w:t>
            </w:r>
            <w:r w:rsidR="003F5E59" w:rsidRPr="00766C6E">
              <w:rPr>
                <w:rFonts w:ascii="Arial" w:eastAsia="Calibri" w:hAnsi="Arial" w:cs="Arial"/>
                <w:sz w:val="22"/>
              </w:rPr>
              <w:t>5297</w:t>
            </w:r>
            <w:r w:rsidRPr="00766C6E">
              <w:rPr>
                <w:rFonts w:ascii="Arial" w:eastAsia="Calibri" w:hAnsi="Arial" w:cs="Arial"/>
                <w:sz w:val="22"/>
              </w:rPr>
              <w:t xml:space="preserve"> </w:t>
            </w:r>
          </w:p>
        </w:tc>
      </w:tr>
    </w:tbl>
    <w:p w14:paraId="177F3517" w14:textId="77777777" w:rsidR="00BE1E33" w:rsidRPr="00766C6E" w:rsidRDefault="00BE1E33" w:rsidP="00BE1E33">
      <w:pPr>
        <w:spacing w:before="120"/>
        <w:jc w:val="both"/>
        <w:rPr>
          <w:rFonts w:ascii="Arial" w:eastAsia="Calibri" w:hAnsi="Arial" w:cs="Arial"/>
          <w:sz w:val="22"/>
        </w:rPr>
      </w:pPr>
    </w:p>
    <w:p w14:paraId="06248123" w14:textId="77777777" w:rsidR="00BE1E33" w:rsidRPr="00766C6E" w:rsidRDefault="00BE1E33" w:rsidP="00BE1E33">
      <w:pPr>
        <w:jc w:val="both"/>
        <w:rPr>
          <w:rFonts w:ascii="Arial" w:eastAsia="Calibri" w:hAnsi="Arial" w:cs="Arial"/>
          <w:sz w:val="22"/>
        </w:rPr>
      </w:pPr>
    </w:p>
    <w:p w14:paraId="417ABDA8" w14:textId="21C9E9E5" w:rsidR="00BE1E33" w:rsidRPr="00766C6E" w:rsidRDefault="00BE1E33" w:rsidP="00BE1E33">
      <w:pPr>
        <w:rPr>
          <w:rFonts w:ascii="Arial" w:eastAsia="Calibri" w:hAnsi="Arial" w:cs="Arial"/>
          <w:sz w:val="22"/>
        </w:rPr>
      </w:pPr>
      <w:r w:rsidRPr="00766C6E">
        <w:rPr>
          <w:rFonts w:ascii="Arial" w:eastAsia="Calibri" w:hAnsi="Arial" w:cs="Arial"/>
          <w:sz w:val="22"/>
        </w:rPr>
        <w:t>Estimad</w:t>
      </w:r>
      <w:r w:rsidR="003F5E59" w:rsidRPr="00766C6E">
        <w:rPr>
          <w:rFonts w:ascii="Arial" w:eastAsia="Calibri" w:hAnsi="Arial" w:cs="Arial"/>
          <w:sz w:val="22"/>
        </w:rPr>
        <w:t>o</w:t>
      </w:r>
      <w:r w:rsidRPr="00766C6E">
        <w:rPr>
          <w:rFonts w:ascii="Arial" w:eastAsia="Calibri" w:hAnsi="Arial" w:cs="Arial"/>
          <w:sz w:val="22"/>
        </w:rPr>
        <w:t xml:space="preserve"> señor </w:t>
      </w:r>
      <w:r w:rsidR="003F5E59" w:rsidRPr="00766C6E">
        <w:rPr>
          <w:rFonts w:ascii="Arial" w:eastAsia="Calibri" w:hAnsi="Arial" w:cs="Arial"/>
          <w:sz w:val="22"/>
        </w:rPr>
        <w:t>Moreno López</w:t>
      </w:r>
      <w:r w:rsidRPr="00766C6E">
        <w:rPr>
          <w:rFonts w:ascii="Arial" w:eastAsia="Calibri" w:hAnsi="Arial" w:cs="Arial"/>
          <w:sz w:val="22"/>
        </w:rPr>
        <w:t>:</w:t>
      </w:r>
    </w:p>
    <w:p w14:paraId="1CCABABD" w14:textId="77777777" w:rsidR="00BE1E33" w:rsidRPr="00766C6E" w:rsidRDefault="00BE1E33" w:rsidP="00BE1E33">
      <w:pPr>
        <w:rPr>
          <w:rFonts w:ascii="Arial" w:eastAsia="Calibri" w:hAnsi="Arial" w:cs="Arial"/>
          <w:sz w:val="22"/>
        </w:rPr>
      </w:pPr>
    </w:p>
    <w:p w14:paraId="286A9CEF" w14:textId="46B46396" w:rsidR="00BE1E33" w:rsidRPr="00766C6E" w:rsidRDefault="00BE1E33" w:rsidP="00BE1E33">
      <w:pPr>
        <w:spacing w:line="276" w:lineRule="auto"/>
        <w:jc w:val="both"/>
        <w:rPr>
          <w:rFonts w:ascii="Arial" w:eastAsia="Calibri" w:hAnsi="Arial" w:cs="Arial"/>
          <w:sz w:val="22"/>
        </w:rPr>
      </w:pPr>
      <w:r w:rsidRPr="00766C6E">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F23412" w:rsidRPr="00766C6E">
        <w:rPr>
          <w:rFonts w:ascii="Arial" w:eastAsia="Calibri" w:hAnsi="Arial" w:cs="Arial"/>
          <w:sz w:val="22"/>
        </w:rPr>
        <w:t>24 de junio</w:t>
      </w:r>
      <w:r w:rsidRPr="00766C6E">
        <w:rPr>
          <w:rFonts w:ascii="Arial" w:eastAsia="Calibri" w:hAnsi="Arial" w:cs="Arial"/>
          <w:sz w:val="22"/>
        </w:rPr>
        <w:t xml:space="preserve"> de 2020. </w:t>
      </w:r>
    </w:p>
    <w:p w14:paraId="1D13401D" w14:textId="77777777" w:rsidR="00BE1E33" w:rsidRPr="00766C6E" w:rsidRDefault="00BE1E33" w:rsidP="00BE1E33">
      <w:pPr>
        <w:spacing w:line="276" w:lineRule="auto"/>
        <w:jc w:val="both"/>
        <w:rPr>
          <w:rFonts w:ascii="Arial" w:eastAsia="Calibri" w:hAnsi="Arial" w:cs="Arial"/>
          <w:sz w:val="22"/>
        </w:rPr>
      </w:pPr>
    </w:p>
    <w:p w14:paraId="068F505C" w14:textId="77777777" w:rsidR="00BE1E33" w:rsidRPr="00766C6E" w:rsidRDefault="00BE1E33" w:rsidP="00BE1E33">
      <w:pPr>
        <w:pStyle w:val="Prrafodelista"/>
        <w:numPr>
          <w:ilvl w:val="0"/>
          <w:numId w:val="1"/>
        </w:numPr>
        <w:tabs>
          <w:tab w:val="left" w:pos="284"/>
        </w:tabs>
        <w:spacing w:line="276" w:lineRule="auto"/>
        <w:ind w:left="0" w:firstLine="0"/>
        <w:jc w:val="both"/>
        <w:rPr>
          <w:rFonts w:ascii="Arial" w:eastAsia="Calibri" w:hAnsi="Arial" w:cs="Arial"/>
          <w:b/>
          <w:sz w:val="22"/>
        </w:rPr>
      </w:pPr>
      <w:r w:rsidRPr="00766C6E">
        <w:rPr>
          <w:rFonts w:ascii="Arial" w:eastAsia="Calibri" w:hAnsi="Arial" w:cs="Arial"/>
          <w:b/>
          <w:sz w:val="22"/>
        </w:rPr>
        <w:t xml:space="preserve">Problemas planteados </w:t>
      </w:r>
    </w:p>
    <w:p w14:paraId="430A9943" w14:textId="77777777" w:rsidR="00BE1E33" w:rsidRPr="00766C6E" w:rsidRDefault="00BE1E33" w:rsidP="00BE1E33">
      <w:pPr>
        <w:tabs>
          <w:tab w:val="left" w:pos="426"/>
        </w:tabs>
        <w:spacing w:line="276" w:lineRule="auto"/>
        <w:jc w:val="both"/>
        <w:rPr>
          <w:rFonts w:ascii="Arial" w:eastAsia="Calibri" w:hAnsi="Arial" w:cs="Arial"/>
          <w:b/>
          <w:sz w:val="22"/>
        </w:rPr>
      </w:pPr>
    </w:p>
    <w:p w14:paraId="6BC713C6" w14:textId="08C5EFE9" w:rsidR="006E29E0" w:rsidRPr="00766C6E" w:rsidRDefault="006440BC" w:rsidP="006E29E0">
      <w:pPr>
        <w:tabs>
          <w:tab w:val="left" w:pos="426"/>
        </w:tabs>
        <w:spacing w:line="276" w:lineRule="auto"/>
        <w:jc w:val="both"/>
        <w:rPr>
          <w:rFonts w:ascii="Arial" w:eastAsia="Calibri" w:hAnsi="Arial" w:cs="Arial"/>
          <w:sz w:val="22"/>
          <w:lang w:val="es-CO"/>
        </w:rPr>
      </w:pPr>
      <w:r w:rsidRPr="00766C6E">
        <w:rPr>
          <w:rFonts w:ascii="Arial" w:eastAsia="Calibri" w:hAnsi="Arial" w:cs="Arial"/>
          <w:sz w:val="22"/>
        </w:rPr>
        <w:t>En relación con la «capacidad residual»</w:t>
      </w:r>
      <w:r w:rsidR="00D11BB7">
        <w:rPr>
          <w:rFonts w:ascii="Arial" w:eastAsia="Calibri" w:hAnsi="Arial" w:cs="Arial"/>
          <w:sz w:val="22"/>
        </w:rPr>
        <w:t xml:space="preserve"> </w:t>
      </w:r>
      <w:r w:rsidR="00971932">
        <w:rPr>
          <w:rFonts w:ascii="Arial" w:eastAsia="Calibri" w:hAnsi="Arial" w:cs="Arial"/>
          <w:sz w:val="22"/>
        </w:rPr>
        <w:t>desea</w:t>
      </w:r>
      <w:r w:rsidR="006E29E0" w:rsidRPr="00766C6E">
        <w:rPr>
          <w:rFonts w:ascii="Arial" w:eastAsia="Calibri" w:hAnsi="Arial" w:cs="Arial"/>
          <w:sz w:val="22"/>
        </w:rPr>
        <w:t xml:space="preserve"> </w:t>
      </w:r>
      <w:r w:rsidR="00BE1E33" w:rsidRPr="00766C6E">
        <w:rPr>
          <w:rFonts w:ascii="Arial" w:eastAsia="Calibri" w:hAnsi="Arial" w:cs="Arial"/>
          <w:sz w:val="22"/>
        </w:rPr>
        <w:t>«</w:t>
      </w:r>
      <w:r w:rsidRPr="00766C6E">
        <w:rPr>
          <w:rFonts w:ascii="Arial" w:hAnsi="Arial" w:cs="Arial"/>
          <w:sz w:val="22"/>
        </w:rPr>
        <w:t xml:space="preserve">[…] </w:t>
      </w:r>
      <w:r w:rsidR="006E29E0" w:rsidRPr="00766C6E">
        <w:rPr>
          <w:rFonts w:ascii="Arial" w:eastAsia="Calibri" w:hAnsi="Arial" w:cs="Arial"/>
          <w:sz w:val="22"/>
          <w:lang w:val="es-CO"/>
        </w:rPr>
        <w:t xml:space="preserve">saber </w:t>
      </w:r>
      <w:r w:rsidR="00971932" w:rsidRPr="00766C6E">
        <w:rPr>
          <w:rFonts w:ascii="Arial" w:eastAsia="Calibri" w:hAnsi="Arial" w:cs="Arial"/>
          <w:sz w:val="22"/>
          <w:lang w:val="es-CO"/>
        </w:rPr>
        <w:t>cómo</w:t>
      </w:r>
      <w:r w:rsidR="006E29E0" w:rsidRPr="00766C6E">
        <w:rPr>
          <w:rFonts w:ascii="Arial" w:eastAsia="Calibri" w:hAnsi="Arial" w:cs="Arial"/>
          <w:sz w:val="22"/>
          <w:lang w:val="es-CO"/>
        </w:rPr>
        <w:t xml:space="preserve"> llenar el formulario del Anexo 1 </w:t>
      </w:r>
      <w:proofErr w:type="spellStart"/>
      <w:r w:rsidR="006E29E0" w:rsidRPr="00766C6E">
        <w:rPr>
          <w:rFonts w:ascii="Arial" w:eastAsia="Calibri" w:hAnsi="Arial" w:cs="Arial"/>
          <w:sz w:val="22"/>
          <w:lang w:val="es-CO"/>
        </w:rPr>
        <w:t>Certificación</w:t>
      </w:r>
      <w:proofErr w:type="spellEnd"/>
      <w:r w:rsidR="006E29E0" w:rsidRPr="00766C6E">
        <w:rPr>
          <w:rFonts w:ascii="Arial" w:eastAsia="Calibri" w:hAnsi="Arial" w:cs="Arial"/>
          <w:sz w:val="22"/>
          <w:lang w:val="es-CO"/>
        </w:rPr>
        <w:t xml:space="preserve"> de contratos para </w:t>
      </w:r>
      <w:proofErr w:type="spellStart"/>
      <w:r w:rsidR="006E29E0" w:rsidRPr="00766C6E">
        <w:rPr>
          <w:rFonts w:ascii="Arial" w:eastAsia="Calibri" w:hAnsi="Arial" w:cs="Arial"/>
          <w:sz w:val="22"/>
          <w:lang w:val="es-CO"/>
        </w:rPr>
        <w:t>acreditación</w:t>
      </w:r>
      <w:proofErr w:type="spellEnd"/>
      <w:r w:rsidR="006E29E0" w:rsidRPr="00766C6E">
        <w:rPr>
          <w:rFonts w:ascii="Arial" w:eastAsia="Calibri" w:hAnsi="Arial" w:cs="Arial"/>
          <w:sz w:val="22"/>
          <w:lang w:val="es-CO"/>
        </w:rPr>
        <w:t xml:space="preserve"> de experiencia de la </w:t>
      </w:r>
      <w:proofErr w:type="spellStart"/>
      <w:r w:rsidR="006E29E0" w:rsidRPr="00766C6E">
        <w:rPr>
          <w:rFonts w:ascii="Arial" w:eastAsia="Calibri" w:hAnsi="Arial" w:cs="Arial"/>
          <w:sz w:val="22"/>
          <w:lang w:val="es-CO"/>
        </w:rPr>
        <w:t>Guía</w:t>
      </w:r>
      <w:proofErr w:type="spellEnd"/>
      <w:r w:rsidR="006E29E0" w:rsidRPr="00766C6E">
        <w:rPr>
          <w:rFonts w:ascii="Arial" w:eastAsia="Calibri" w:hAnsi="Arial" w:cs="Arial"/>
          <w:sz w:val="22"/>
          <w:lang w:val="es-CO"/>
        </w:rPr>
        <w:t xml:space="preserve"> para determinar y verificar la capacidad residual del proponente en los procesos de </w:t>
      </w:r>
      <w:proofErr w:type="spellStart"/>
      <w:r w:rsidR="006E29E0" w:rsidRPr="00766C6E">
        <w:rPr>
          <w:rFonts w:ascii="Arial" w:eastAsia="Calibri" w:hAnsi="Arial" w:cs="Arial"/>
          <w:sz w:val="22"/>
          <w:lang w:val="es-CO"/>
        </w:rPr>
        <w:t>contratación</w:t>
      </w:r>
      <w:proofErr w:type="spellEnd"/>
      <w:r w:rsidR="006E29E0" w:rsidRPr="00766C6E">
        <w:rPr>
          <w:rFonts w:ascii="Arial" w:eastAsia="Calibri" w:hAnsi="Arial" w:cs="Arial"/>
          <w:sz w:val="22"/>
          <w:lang w:val="es-CO"/>
        </w:rPr>
        <w:t xml:space="preserve"> de obra p</w:t>
      </w:r>
      <w:r w:rsidR="00AE01F1">
        <w:rPr>
          <w:rFonts w:ascii="Arial" w:eastAsia="Calibri" w:hAnsi="Arial" w:cs="Arial"/>
          <w:sz w:val="22"/>
          <w:lang w:val="es-CO"/>
        </w:rPr>
        <w:t>ú</w:t>
      </w:r>
      <w:r w:rsidR="006E29E0" w:rsidRPr="00766C6E">
        <w:rPr>
          <w:rFonts w:ascii="Arial" w:eastAsia="Calibri" w:hAnsi="Arial" w:cs="Arial"/>
          <w:sz w:val="22"/>
          <w:lang w:val="es-CO"/>
        </w:rPr>
        <w:t>blica</w:t>
      </w:r>
      <w:r w:rsidR="00BE1E33" w:rsidRPr="00766C6E">
        <w:rPr>
          <w:rFonts w:ascii="Arial" w:eastAsia="Calibri" w:hAnsi="Arial" w:cs="Arial"/>
          <w:sz w:val="22"/>
        </w:rPr>
        <w:t xml:space="preserve">». </w:t>
      </w:r>
      <w:r w:rsidR="006E29E0" w:rsidRPr="00766C6E">
        <w:rPr>
          <w:rFonts w:ascii="Arial" w:eastAsia="Calibri" w:hAnsi="Arial" w:cs="Arial"/>
          <w:sz w:val="22"/>
        </w:rPr>
        <w:t>Esto, debido a que en dicho formato «</w:t>
      </w:r>
      <w:r w:rsidR="006E29E0" w:rsidRPr="00766C6E">
        <w:rPr>
          <w:rFonts w:ascii="Arial" w:eastAsia="Calibri" w:hAnsi="Arial" w:cs="Arial"/>
          <w:sz w:val="22"/>
          <w:lang w:val="es-CO"/>
        </w:rPr>
        <w:t xml:space="preserve">piden la </w:t>
      </w:r>
      <w:proofErr w:type="spellStart"/>
      <w:r w:rsidR="006E29E0" w:rsidRPr="00766C6E">
        <w:rPr>
          <w:rFonts w:ascii="Arial" w:eastAsia="Calibri" w:hAnsi="Arial" w:cs="Arial"/>
          <w:sz w:val="22"/>
          <w:lang w:val="es-CO"/>
        </w:rPr>
        <w:t>información</w:t>
      </w:r>
      <w:proofErr w:type="spellEnd"/>
      <w:r w:rsidR="006E29E0" w:rsidRPr="00766C6E">
        <w:rPr>
          <w:rFonts w:ascii="Arial" w:eastAsia="Calibri" w:hAnsi="Arial" w:cs="Arial"/>
          <w:sz w:val="22"/>
          <w:lang w:val="es-CO"/>
        </w:rPr>
        <w:t xml:space="preserve"> </w:t>
      </w:r>
      <w:r w:rsidR="00971932">
        <w:rPr>
          <w:rFonts w:ascii="Arial" w:eastAsia="Calibri" w:hAnsi="Arial" w:cs="Arial"/>
          <w:sz w:val="22"/>
          <w:lang w:val="es-CO"/>
        </w:rPr>
        <w:t>[…]</w:t>
      </w:r>
      <w:r w:rsidR="006E29E0" w:rsidRPr="00766C6E">
        <w:rPr>
          <w:rFonts w:ascii="Arial" w:eastAsia="Calibri" w:hAnsi="Arial" w:cs="Arial"/>
          <w:sz w:val="22"/>
          <w:lang w:val="es-CO"/>
        </w:rPr>
        <w:t xml:space="preserve"> registrada en el RUP segmento 72 clasificador UNSPSC, la </w:t>
      </w:r>
      <w:proofErr w:type="spellStart"/>
      <w:r w:rsidR="006E29E0" w:rsidRPr="00766C6E">
        <w:rPr>
          <w:rFonts w:ascii="Arial" w:eastAsia="Calibri" w:hAnsi="Arial" w:cs="Arial"/>
          <w:sz w:val="22"/>
          <w:lang w:val="es-CO"/>
        </w:rPr>
        <w:t>participación</w:t>
      </w:r>
      <w:proofErr w:type="spellEnd"/>
      <w:r w:rsidR="006E29E0" w:rsidRPr="00766C6E">
        <w:rPr>
          <w:rFonts w:ascii="Arial" w:eastAsia="Calibri" w:hAnsi="Arial" w:cs="Arial"/>
          <w:sz w:val="22"/>
          <w:lang w:val="es-CO"/>
        </w:rPr>
        <w:t xml:space="preserve"> del proponente y el valor del contrato ponderado por la </w:t>
      </w:r>
      <w:r w:rsidR="00AE01F1" w:rsidRPr="00766C6E">
        <w:rPr>
          <w:rFonts w:ascii="Arial" w:eastAsia="Calibri" w:hAnsi="Arial" w:cs="Arial"/>
          <w:sz w:val="22"/>
          <w:lang w:val="es-CO"/>
        </w:rPr>
        <w:t>participación</w:t>
      </w:r>
      <w:r w:rsidR="006E29E0" w:rsidRPr="00766C6E">
        <w:rPr>
          <w:rFonts w:ascii="Arial" w:eastAsia="Calibri" w:hAnsi="Arial" w:cs="Arial"/>
          <w:sz w:val="22"/>
          <w:lang w:val="es-CO"/>
        </w:rPr>
        <w:t xml:space="preserve"> en pesos colombianos»</w:t>
      </w:r>
      <w:r w:rsidR="00971932">
        <w:rPr>
          <w:rFonts w:ascii="Arial" w:eastAsia="Calibri" w:hAnsi="Arial" w:cs="Arial"/>
          <w:sz w:val="22"/>
          <w:lang w:val="es-CO"/>
        </w:rPr>
        <w:t xml:space="preserve">. Por ello pregunta </w:t>
      </w:r>
      <w:proofErr w:type="gramStart"/>
      <w:r w:rsidR="00971932">
        <w:rPr>
          <w:rFonts w:ascii="Arial" w:eastAsia="Calibri" w:hAnsi="Arial" w:cs="Arial"/>
          <w:sz w:val="22"/>
          <w:lang w:val="es-CO"/>
        </w:rPr>
        <w:t>« [</w:t>
      </w:r>
      <w:proofErr w:type="gramEnd"/>
      <w:r w:rsidR="00971932">
        <w:rPr>
          <w:rFonts w:ascii="Arial" w:eastAsia="Calibri" w:hAnsi="Arial" w:cs="Arial"/>
          <w:sz w:val="22"/>
          <w:lang w:val="es-CO"/>
        </w:rPr>
        <w:t>…] S</w:t>
      </w:r>
      <w:r w:rsidR="006E29E0" w:rsidRPr="00766C6E">
        <w:rPr>
          <w:rFonts w:ascii="Arial" w:eastAsia="Calibri" w:hAnsi="Arial" w:cs="Arial"/>
          <w:sz w:val="22"/>
          <w:lang w:val="es-CO"/>
        </w:rPr>
        <w:t xml:space="preserve">i la </w:t>
      </w:r>
      <w:r w:rsidR="00971932" w:rsidRPr="00766C6E">
        <w:rPr>
          <w:rFonts w:ascii="Arial" w:eastAsia="Calibri" w:hAnsi="Arial" w:cs="Arial"/>
          <w:sz w:val="22"/>
          <w:lang w:val="es-CO"/>
        </w:rPr>
        <w:t>información</w:t>
      </w:r>
      <w:r w:rsidR="006E29E0" w:rsidRPr="00766C6E">
        <w:rPr>
          <w:rFonts w:ascii="Arial" w:eastAsia="Calibri" w:hAnsi="Arial" w:cs="Arial"/>
          <w:sz w:val="22"/>
          <w:lang w:val="es-CO"/>
        </w:rPr>
        <w:t xml:space="preserve"> que t[</w:t>
      </w:r>
      <w:proofErr w:type="spellStart"/>
      <w:r w:rsidR="006E29E0" w:rsidRPr="00766C6E">
        <w:rPr>
          <w:rFonts w:ascii="Arial" w:eastAsia="Calibri" w:hAnsi="Arial" w:cs="Arial"/>
          <w:sz w:val="22"/>
          <w:lang w:val="es-CO"/>
        </w:rPr>
        <w:t>iene</w:t>
      </w:r>
      <w:proofErr w:type="spellEnd"/>
      <w:r w:rsidR="006E29E0" w:rsidRPr="00766C6E">
        <w:rPr>
          <w:rFonts w:ascii="Arial" w:eastAsia="Calibri" w:hAnsi="Arial" w:cs="Arial"/>
          <w:sz w:val="22"/>
          <w:lang w:val="es-CO"/>
        </w:rPr>
        <w:t xml:space="preserve">] en el RUP de cada contrato se maneja en SMMLV y es de la experiencia de todos los </w:t>
      </w:r>
      <w:proofErr w:type="spellStart"/>
      <w:r w:rsidR="006E29E0" w:rsidRPr="00766C6E">
        <w:rPr>
          <w:rFonts w:ascii="Arial" w:eastAsia="Calibri" w:hAnsi="Arial" w:cs="Arial"/>
          <w:sz w:val="22"/>
          <w:lang w:val="es-CO"/>
        </w:rPr>
        <w:t>años</w:t>
      </w:r>
      <w:proofErr w:type="spellEnd"/>
      <w:r w:rsidR="006E29E0" w:rsidRPr="00766C6E">
        <w:rPr>
          <w:rFonts w:ascii="Arial" w:eastAsia="Calibri" w:hAnsi="Arial" w:cs="Arial"/>
          <w:sz w:val="22"/>
          <w:lang w:val="es-CO"/>
        </w:rPr>
        <w:t xml:space="preserve"> de mi empresa, como </w:t>
      </w:r>
      <w:proofErr w:type="spellStart"/>
      <w:r w:rsidR="006E29E0" w:rsidRPr="00766C6E">
        <w:rPr>
          <w:rFonts w:ascii="Arial" w:eastAsia="Calibri" w:hAnsi="Arial" w:cs="Arial"/>
          <w:sz w:val="22"/>
          <w:lang w:val="es-CO"/>
        </w:rPr>
        <w:t>obt</w:t>
      </w:r>
      <w:proofErr w:type="spellEnd"/>
      <w:r w:rsidR="006E29E0" w:rsidRPr="00766C6E">
        <w:rPr>
          <w:rFonts w:ascii="Arial" w:eastAsia="Calibri" w:hAnsi="Arial" w:cs="Arial"/>
          <w:sz w:val="22"/>
          <w:lang w:val="es-CO"/>
        </w:rPr>
        <w:t>[</w:t>
      </w:r>
      <w:proofErr w:type="spellStart"/>
      <w:r w:rsidR="006E29E0" w:rsidRPr="00766C6E">
        <w:rPr>
          <w:rFonts w:ascii="Arial" w:eastAsia="Calibri" w:hAnsi="Arial" w:cs="Arial"/>
          <w:sz w:val="22"/>
          <w:lang w:val="es-CO"/>
        </w:rPr>
        <w:t>iene</w:t>
      </w:r>
      <w:proofErr w:type="spellEnd"/>
      <w:r w:rsidR="006E29E0" w:rsidRPr="00766C6E">
        <w:rPr>
          <w:rFonts w:ascii="Arial" w:eastAsia="Calibri" w:hAnsi="Arial" w:cs="Arial"/>
          <w:sz w:val="22"/>
          <w:lang w:val="es-CO"/>
        </w:rPr>
        <w:t>] el valor del contrato para consignar en este campo</w:t>
      </w:r>
      <w:r w:rsidR="00971932">
        <w:rPr>
          <w:rFonts w:ascii="Arial" w:eastAsia="Calibri" w:hAnsi="Arial" w:cs="Arial"/>
          <w:sz w:val="22"/>
          <w:lang w:val="es-CO"/>
        </w:rPr>
        <w:t>?</w:t>
      </w:r>
      <w:r w:rsidR="006E29E0" w:rsidRPr="00766C6E">
        <w:rPr>
          <w:rFonts w:ascii="Arial" w:eastAsia="Calibri" w:hAnsi="Arial" w:cs="Arial"/>
          <w:sz w:val="22"/>
          <w:lang w:val="es-CO"/>
        </w:rPr>
        <w:t xml:space="preserve"> con el salario actual o con el salario del momento de </w:t>
      </w:r>
      <w:r w:rsidR="00AE01F1" w:rsidRPr="00766C6E">
        <w:rPr>
          <w:rFonts w:ascii="Arial" w:eastAsia="Calibri" w:hAnsi="Arial" w:cs="Arial"/>
          <w:sz w:val="22"/>
          <w:lang w:val="es-CO"/>
        </w:rPr>
        <w:t>ejecución</w:t>
      </w:r>
      <w:r w:rsidR="006E29E0" w:rsidRPr="00766C6E">
        <w:rPr>
          <w:rFonts w:ascii="Arial" w:eastAsia="Calibri" w:hAnsi="Arial" w:cs="Arial"/>
          <w:sz w:val="22"/>
          <w:lang w:val="es-CO"/>
        </w:rPr>
        <w:t xml:space="preserve"> del contrato»</w:t>
      </w:r>
      <w:r w:rsidR="00971932">
        <w:rPr>
          <w:rFonts w:ascii="Arial" w:eastAsia="Calibri" w:hAnsi="Arial" w:cs="Arial"/>
          <w:sz w:val="22"/>
          <w:lang w:val="es-CO"/>
        </w:rPr>
        <w:t xml:space="preserve"> (Corchetes fuera de texto)</w:t>
      </w:r>
      <w:r w:rsidR="006E29E0" w:rsidRPr="00766C6E">
        <w:rPr>
          <w:rFonts w:ascii="Arial" w:eastAsia="Calibri" w:hAnsi="Arial" w:cs="Arial"/>
          <w:sz w:val="22"/>
          <w:lang w:val="es-CO"/>
        </w:rPr>
        <w:t>.</w:t>
      </w:r>
    </w:p>
    <w:p w14:paraId="6D375D8C" w14:textId="6AAA1FFA" w:rsidR="00BE1E33" w:rsidRPr="00766C6E" w:rsidRDefault="00BE1E33" w:rsidP="008A7223">
      <w:pPr>
        <w:tabs>
          <w:tab w:val="left" w:pos="426"/>
        </w:tabs>
        <w:spacing w:line="276" w:lineRule="auto"/>
        <w:jc w:val="both"/>
        <w:rPr>
          <w:rFonts w:ascii="Arial" w:eastAsia="Calibri" w:hAnsi="Arial" w:cs="Arial"/>
          <w:sz w:val="22"/>
        </w:rPr>
      </w:pPr>
    </w:p>
    <w:p w14:paraId="000CB06F" w14:textId="77777777" w:rsidR="00BE1E33" w:rsidRPr="00766C6E"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rPr>
      </w:pPr>
      <w:r w:rsidRPr="00766C6E">
        <w:rPr>
          <w:rFonts w:ascii="Arial" w:eastAsia="Calibri" w:hAnsi="Arial" w:cs="Arial"/>
          <w:b/>
          <w:sz w:val="22"/>
        </w:rPr>
        <w:t>Consideraciones</w:t>
      </w:r>
    </w:p>
    <w:p w14:paraId="01D94D72" w14:textId="77777777" w:rsidR="00BE1E33" w:rsidRPr="00766C6E" w:rsidRDefault="00BE1E33" w:rsidP="00BE1E33">
      <w:pPr>
        <w:spacing w:line="276" w:lineRule="auto"/>
        <w:jc w:val="both"/>
        <w:rPr>
          <w:rFonts w:ascii="Arial" w:eastAsia="Calibri" w:hAnsi="Arial" w:cs="Arial"/>
          <w:sz w:val="22"/>
        </w:rPr>
      </w:pPr>
    </w:p>
    <w:p w14:paraId="087CCDF5" w14:textId="27F6387A" w:rsidR="00BE1E33" w:rsidRPr="00971932" w:rsidRDefault="00BE1E33" w:rsidP="00F419B1">
      <w:pPr>
        <w:spacing w:line="276" w:lineRule="auto"/>
        <w:jc w:val="both"/>
        <w:rPr>
          <w:rFonts w:ascii="Arial" w:eastAsia="Calibri" w:hAnsi="Arial" w:cs="Arial"/>
          <w:sz w:val="22"/>
        </w:rPr>
      </w:pPr>
      <w:r w:rsidRPr="00766C6E">
        <w:rPr>
          <w:rFonts w:ascii="Arial" w:eastAsia="Calibri" w:hAnsi="Arial" w:cs="Arial"/>
          <w:sz w:val="22"/>
        </w:rPr>
        <w:t xml:space="preserve">La Agencia Nacional de Contratación Pública − Colombia Compra Eficiente se ha pronunciado sobre la </w:t>
      </w:r>
      <w:r w:rsidR="000D5ABE" w:rsidRPr="00766C6E">
        <w:rPr>
          <w:rFonts w:ascii="Arial" w:eastAsia="Calibri" w:hAnsi="Arial" w:cs="Arial"/>
          <w:sz w:val="22"/>
        </w:rPr>
        <w:t>capacidad residual y la forma en que se debe determinar</w:t>
      </w:r>
      <w:r w:rsidRPr="00766C6E">
        <w:rPr>
          <w:rFonts w:ascii="Arial" w:eastAsia="Calibri" w:hAnsi="Arial" w:cs="Arial"/>
          <w:sz w:val="22"/>
        </w:rPr>
        <w:t xml:space="preserve">, en los conceptos del </w:t>
      </w:r>
      <w:r w:rsidR="000D5ABE" w:rsidRPr="00766C6E">
        <w:rPr>
          <w:rFonts w:ascii="Arial" w:eastAsia="Calibri" w:hAnsi="Arial" w:cs="Arial"/>
          <w:sz w:val="22"/>
        </w:rPr>
        <w:t xml:space="preserve">27 de agosto y </w:t>
      </w:r>
      <w:r w:rsidR="00971932">
        <w:rPr>
          <w:rFonts w:ascii="Arial" w:eastAsia="Calibri" w:hAnsi="Arial" w:cs="Arial"/>
          <w:sz w:val="22"/>
        </w:rPr>
        <w:t>d</w:t>
      </w:r>
      <w:r w:rsidR="000D5ABE" w:rsidRPr="00766C6E">
        <w:rPr>
          <w:rFonts w:ascii="Arial" w:eastAsia="Calibri" w:hAnsi="Arial" w:cs="Arial"/>
          <w:sz w:val="22"/>
        </w:rPr>
        <w:t xml:space="preserve">el 20 y 26 de diciembre de 2019 </w:t>
      </w:r>
      <w:r w:rsidRPr="00766C6E">
        <w:rPr>
          <w:rFonts w:ascii="Arial" w:eastAsia="Calibri" w:hAnsi="Arial" w:cs="Arial"/>
          <w:sz w:val="22"/>
        </w:rPr>
        <w:t xml:space="preserve">−radicados Nos. </w:t>
      </w:r>
      <w:r w:rsidR="000D5ABE" w:rsidRPr="00766C6E">
        <w:rPr>
          <w:rFonts w:ascii="Arial" w:eastAsia="Calibri" w:hAnsi="Arial" w:cs="Arial"/>
          <w:sz w:val="22"/>
        </w:rPr>
        <w:t>2201913000006275, 2201913000009465, 2201913000009642 y 2201913000009640</w:t>
      </w:r>
      <w:r w:rsidRPr="00766C6E">
        <w:rPr>
          <w:rFonts w:ascii="Arial" w:eastAsia="Calibri" w:hAnsi="Arial" w:cs="Arial"/>
          <w:sz w:val="22"/>
        </w:rPr>
        <w:t>−</w:t>
      </w:r>
      <w:r w:rsidR="003F5E59" w:rsidRPr="00766C6E">
        <w:rPr>
          <w:rFonts w:ascii="Arial" w:eastAsia="Calibri" w:hAnsi="Arial" w:cs="Arial"/>
          <w:sz w:val="22"/>
        </w:rPr>
        <w:t>, a</w:t>
      </w:r>
      <w:r w:rsidR="00CD1001" w:rsidRPr="00766C6E">
        <w:rPr>
          <w:rFonts w:ascii="Arial" w:eastAsia="Calibri" w:hAnsi="Arial" w:cs="Arial"/>
          <w:sz w:val="22"/>
        </w:rPr>
        <w:t>sí como también en los conceptos C-022</w:t>
      </w:r>
      <w:r w:rsidR="00CD392C">
        <w:rPr>
          <w:rFonts w:ascii="Arial" w:eastAsia="Calibri" w:hAnsi="Arial" w:cs="Arial"/>
          <w:sz w:val="22"/>
        </w:rPr>
        <w:t xml:space="preserve"> del 20 de febrero de 2020</w:t>
      </w:r>
      <w:r w:rsidR="00CD1001" w:rsidRPr="00766C6E">
        <w:rPr>
          <w:rFonts w:ascii="Arial" w:eastAsia="Calibri" w:hAnsi="Arial" w:cs="Arial"/>
          <w:sz w:val="22"/>
        </w:rPr>
        <w:t>, C-089</w:t>
      </w:r>
      <w:r w:rsidR="00CD392C">
        <w:rPr>
          <w:rFonts w:ascii="Arial" w:eastAsia="Calibri" w:hAnsi="Arial" w:cs="Arial"/>
          <w:sz w:val="22"/>
        </w:rPr>
        <w:t xml:space="preserve"> del 4 de marzo de 2020</w:t>
      </w:r>
      <w:r w:rsidR="00CD1001" w:rsidRPr="00766C6E">
        <w:rPr>
          <w:rFonts w:ascii="Arial" w:eastAsia="Calibri" w:hAnsi="Arial" w:cs="Arial"/>
          <w:sz w:val="22"/>
        </w:rPr>
        <w:t>, C-112</w:t>
      </w:r>
      <w:r w:rsidR="00CD392C">
        <w:rPr>
          <w:rFonts w:ascii="Arial" w:eastAsia="Calibri" w:hAnsi="Arial" w:cs="Arial"/>
          <w:sz w:val="22"/>
        </w:rPr>
        <w:t xml:space="preserve"> del 16 de marzo de 2020</w:t>
      </w:r>
      <w:r w:rsidR="00CD1001" w:rsidRPr="00766C6E">
        <w:rPr>
          <w:rFonts w:ascii="Arial" w:eastAsia="Calibri" w:hAnsi="Arial" w:cs="Arial"/>
          <w:sz w:val="22"/>
        </w:rPr>
        <w:t xml:space="preserve">, C-133 </w:t>
      </w:r>
      <w:r w:rsidR="00F1721F">
        <w:rPr>
          <w:rFonts w:ascii="Arial" w:eastAsia="Calibri" w:hAnsi="Arial" w:cs="Arial"/>
          <w:sz w:val="22"/>
        </w:rPr>
        <w:t xml:space="preserve">del 30 de marzo de 2020 </w:t>
      </w:r>
      <w:r w:rsidR="00CD1001" w:rsidRPr="00766C6E">
        <w:rPr>
          <w:rFonts w:ascii="Arial" w:eastAsia="Calibri" w:hAnsi="Arial" w:cs="Arial"/>
          <w:sz w:val="22"/>
        </w:rPr>
        <w:t>y C-222 de</w:t>
      </w:r>
      <w:r w:rsidR="00F1721F">
        <w:rPr>
          <w:rFonts w:ascii="Arial" w:eastAsia="Calibri" w:hAnsi="Arial" w:cs="Arial"/>
          <w:sz w:val="22"/>
        </w:rPr>
        <w:t>l 29 de marzo de</w:t>
      </w:r>
      <w:r w:rsidR="00CD1001" w:rsidRPr="00766C6E">
        <w:rPr>
          <w:rFonts w:ascii="Arial" w:eastAsia="Calibri" w:hAnsi="Arial" w:cs="Arial"/>
          <w:sz w:val="22"/>
        </w:rPr>
        <w:t xml:space="preserve"> 2020</w:t>
      </w:r>
      <w:r w:rsidR="000D5ABE" w:rsidRPr="00766C6E">
        <w:rPr>
          <w:rFonts w:ascii="Arial" w:eastAsia="Calibri" w:hAnsi="Arial" w:cs="Arial"/>
          <w:sz w:val="22"/>
        </w:rPr>
        <w:t>.</w:t>
      </w:r>
      <w:r w:rsidRPr="00766C6E">
        <w:rPr>
          <w:rFonts w:ascii="Arial" w:eastAsia="Calibri" w:hAnsi="Arial" w:cs="Arial"/>
          <w:sz w:val="22"/>
        </w:rPr>
        <w:t xml:space="preserve"> </w:t>
      </w:r>
      <w:r w:rsidR="003F5E59" w:rsidRPr="00971932">
        <w:rPr>
          <w:rFonts w:ascii="Arial" w:eastAsia="Calibri" w:hAnsi="Arial" w:cs="Arial"/>
          <w:sz w:val="22"/>
        </w:rPr>
        <w:t>Igualmente, en el concepto C-194 de</w:t>
      </w:r>
      <w:r w:rsidR="00F317B0">
        <w:rPr>
          <w:rFonts w:ascii="Arial" w:eastAsia="Calibri" w:hAnsi="Arial" w:cs="Arial"/>
          <w:sz w:val="22"/>
        </w:rPr>
        <w:t>l 21 de abril de</w:t>
      </w:r>
      <w:r w:rsidR="003F5E59" w:rsidRPr="00971932">
        <w:rPr>
          <w:rFonts w:ascii="Arial" w:eastAsia="Calibri" w:hAnsi="Arial" w:cs="Arial"/>
          <w:sz w:val="22"/>
        </w:rPr>
        <w:t xml:space="preserve"> 2020 estudió el diligenciamiento del </w:t>
      </w:r>
      <w:r w:rsidR="003F5E59" w:rsidRPr="00F317B0">
        <w:rPr>
          <w:rFonts w:ascii="Arial" w:hAnsi="Arial" w:cs="Arial"/>
          <w:sz w:val="22"/>
        </w:rPr>
        <w:t xml:space="preserve">Anexo 1 de la «Guía para Determinar y Verificar la Capacidad Residual del Proponente en los Procesos de Contratación de Obra Pública» −este es diferente al Anexo 1 de los Documentos Tipo−. </w:t>
      </w:r>
      <w:r w:rsidRPr="00971932">
        <w:rPr>
          <w:rFonts w:ascii="Arial" w:eastAsia="Calibri" w:hAnsi="Arial" w:cs="Arial"/>
          <w:sz w:val="22"/>
        </w:rPr>
        <w:t>La</w:t>
      </w:r>
      <w:r w:rsidR="003F5E59" w:rsidRPr="00971932">
        <w:rPr>
          <w:rFonts w:ascii="Arial" w:eastAsia="Calibri" w:hAnsi="Arial" w:cs="Arial"/>
          <w:sz w:val="22"/>
        </w:rPr>
        <w:t>s</w:t>
      </w:r>
      <w:r w:rsidRPr="00971932">
        <w:rPr>
          <w:rFonts w:ascii="Arial" w:eastAsia="Calibri" w:hAnsi="Arial" w:cs="Arial"/>
          <w:sz w:val="22"/>
        </w:rPr>
        <w:t xml:space="preserve"> tesis propuesta</w:t>
      </w:r>
      <w:r w:rsidR="003F5E59" w:rsidRPr="00971932">
        <w:rPr>
          <w:rFonts w:ascii="Arial" w:eastAsia="Calibri" w:hAnsi="Arial" w:cs="Arial"/>
          <w:sz w:val="22"/>
        </w:rPr>
        <w:t>s</w:t>
      </w:r>
      <w:r w:rsidRPr="00971932">
        <w:rPr>
          <w:rFonts w:ascii="Arial" w:eastAsia="Calibri" w:hAnsi="Arial" w:cs="Arial"/>
          <w:sz w:val="22"/>
        </w:rPr>
        <w:t xml:space="preserve"> se expone</w:t>
      </w:r>
      <w:r w:rsidR="008D5A48" w:rsidRPr="00971932">
        <w:rPr>
          <w:rFonts w:ascii="Arial" w:eastAsia="Calibri" w:hAnsi="Arial" w:cs="Arial"/>
          <w:sz w:val="22"/>
        </w:rPr>
        <w:t>n</w:t>
      </w:r>
      <w:r w:rsidR="00647DF6" w:rsidRPr="00971932">
        <w:rPr>
          <w:rFonts w:ascii="Arial" w:eastAsia="Calibri" w:hAnsi="Arial" w:cs="Arial"/>
          <w:sz w:val="22"/>
        </w:rPr>
        <w:t xml:space="preserve"> en las </w:t>
      </w:r>
      <w:r w:rsidR="00410CC6" w:rsidRPr="00971932">
        <w:rPr>
          <w:rFonts w:ascii="Arial" w:eastAsia="Calibri" w:hAnsi="Arial" w:cs="Arial"/>
          <w:sz w:val="22"/>
        </w:rPr>
        <w:t xml:space="preserve">siguientes </w:t>
      </w:r>
      <w:r w:rsidR="00647DF6" w:rsidRPr="00971932">
        <w:rPr>
          <w:rFonts w:ascii="Arial" w:eastAsia="Calibri" w:hAnsi="Arial" w:cs="Arial"/>
          <w:sz w:val="22"/>
        </w:rPr>
        <w:t>consideraciones</w:t>
      </w:r>
      <w:r w:rsidR="00410CC6" w:rsidRPr="00971932">
        <w:rPr>
          <w:rFonts w:ascii="Arial" w:eastAsia="Calibri" w:hAnsi="Arial" w:cs="Arial"/>
          <w:sz w:val="22"/>
        </w:rPr>
        <w:t>:</w:t>
      </w:r>
    </w:p>
    <w:p w14:paraId="76456D62" w14:textId="1610A43C" w:rsidR="00F419B1" w:rsidRPr="00766C6E" w:rsidRDefault="00F419B1" w:rsidP="00F419B1">
      <w:pPr>
        <w:pStyle w:val="Textoindependiente"/>
        <w:spacing w:before="120" w:line="276" w:lineRule="auto"/>
        <w:ind w:right="51" w:firstLine="709"/>
        <w:jc w:val="both"/>
      </w:pPr>
      <w:r w:rsidRPr="00766C6E">
        <w:t xml:space="preserve">La capacidad residual es una aptitud </w:t>
      </w:r>
      <w:r w:rsidR="00137F39" w:rsidRPr="00766C6E">
        <w:t xml:space="preserve">que se exige a </w:t>
      </w:r>
      <w:r w:rsidRPr="00766C6E">
        <w:t xml:space="preserve">los oferentes </w:t>
      </w:r>
      <w:r w:rsidR="00137F39" w:rsidRPr="00766C6E">
        <w:t>con el objetivo de establecer o determinar si estos pueden o no c</w:t>
      </w:r>
      <w:r w:rsidRPr="00766C6E">
        <w:t xml:space="preserve">umplir de manera oportuna y a cabalidad </w:t>
      </w:r>
      <w:r w:rsidR="00137F39" w:rsidRPr="00766C6E">
        <w:t xml:space="preserve">con las obligaciones derivadas del contrato de obra pública, </w:t>
      </w:r>
      <w:r w:rsidRPr="00766C6E">
        <w:t xml:space="preserve">sin que los demás </w:t>
      </w:r>
      <w:r w:rsidRPr="00766C6E">
        <w:lastRenderedPageBreak/>
        <w:t xml:space="preserve">compromisos contractuales que </w:t>
      </w:r>
      <w:r w:rsidR="001A17D9" w:rsidRPr="00766C6E">
        <w:t>hubieran</w:t>
      </w:r>
      <w:r w:rsidRPr="00766C6E">
        <w:t xml:space="preserve"> adquirido </w:t>
      </w:r>
      <w:r w:rsidR="00B6482A" w:rsidRPr="00766C6E">
        <w:t xml:space="preserve">les </w:t>
      </w:r>
      <w:r w:rsidRPr="00766C6E">
        <w:t xml:space="preserve">afecte la habilidad de cumplir </w:t>
      </w:r>
      <w:r w:rsidR="001A17D9" w:rsidRPr="00766C6E">
        <w:t xml:space="preserve">con </w:t>
      </w:r>
      <w:r w:rsidRPr="00766C6E">
        <w:t>el objeto del contrato que está en proceso de selección</w:t>
      </w:r>
      <w:r w:rsidR="00137F39" w:rsidRPr="00766C6E">
        <w:rPr>
          <w:rStyle w:val="Refdenotaalpie"/>
        </w:rPr>
        <w:footnoteReference w:id="1"/>
      </w:r>
      <w:r w:rsidRPr="00766C6E">
        <w:t xml:space="preserve">. El Consejo de Estado ha definido </w:t>
      </w:r>
      <w:r w:rsidR="00B00247" w:rsidRPr="00766C6E">
        <w:t xml:space="preserve">la capacidad residual </w:t>
      </w:r>
      <w:r w:rsidRPr="00766C6E">
        <w:t xml:space="preserve">como </w:t>
      </w:r>
      <w:r w:rsidR="00B00247" w:rsidRPr="00766C6E">
        <w:t>«</w:t>
      </w:r>
      <w:r w:rsidRPr="00766C6E">
        <w:t xml:space="preserve">la diferencia que existe entre el potencial de contratación que se tiene y los compromisos que haya adquirido y que se encuentren en ejecución, para la fecha </w:t>
      </w:r>
      <w:r w:rsidR="009E2185" w:rsidRPr="00766C6E">
        <w:t>d</w:t>
      </w:r>
      <w:r w:rsidRPr="00766C6E">
        <w:t>e presentación de la oferta</w:t>
      </w:r>
      <w:r w:rsidR="00B00247" w:rsidRPr="00766C6E">
        <w:t>»</w:t>
      </w:r>
      <w:r w:rsidRPr="00766C6E">
        <w:rPr>
          <w:rStyle w:val="Refdenotaalpie"/>
        </w:rPr>
        <w:footnoteReference w:id="2"/>
      </w:r>
      <w:r w:rsidRPr="00766C6E">
        <w:t>.</w:t>
      </w:r>
    </w:p>
    <w:p w14:paraId="02100E80" w14:textId="34E7E78A" w:rsidR="00F419B1" w:rsidRPr="00766C6E" w:rsidRDefault="00565A9A" w:rsidP="00F419B1">
      <w:pPr>
        <w:pStyle w:val="Textoindependiente"/>
        <w:spacing w:before="120" w:line="276" w:lineRule="auto"/>
        <w:ind w:right="51" w:firstLine="709"/>
        <w:jc w:val="both"/>
      </w:pPr>
      <w:r w:rsidRPr="00766C6E">
        <w:t xml:space="preserve">Teniendo en cuenta lo </w:t>
      </w:r>
      <w:r w:rsidR="00A378EA">
        <w:t>anterior</w:t>
      </w:r>
      <w:r w:rsidR="00F419B1" w:rsidRPr="00766C6E">
        <w:t xml:space="preserve">, </w:t>
      </w:r>
      <w:r w:rsidRPr="00766C6E">
        <w:t xml:space="preserve">la Agencia Nacional de Contratación Pública considera que </w:t>
      </w:r>
      <w:r w:rsidR="00F419B1" w:rsidRPr="00766C6E">
        <w:t xml:space="preserve">la capacidad residual hace referencia a la suficiencia que </w:t>
      </w:r>
      <w:r w:rsidRPr="00766C6E">
        <w:t>se predica d</w:t>
      </w:r>
      <w:r w:rsidR="00F419B1" w:rsidRPr="00766C6E">
        <w:t>el proponente para asumir nuevas obligaciones que se derivan del contrato objeto del proce</w:t>
      </w:r>
      <w:r w:rsidR="00A378EA">
        <w:t>dimiento</w:t>
      </w:r>
      <w:r w:rsidR="00F419B1" w:rsidRPr="00766C6E">
        <w:t xml:space="preserve"> de contratación</w:t>
      </w:r>
      <w:r w:rsidRPr="00766C6E">
        <w:t>,</w:t>
      </w:r>
      <w:r w:rsidR="00F419B1" w:rsidRPr="00766C6E">
        <w:t xml:space="preserve"> en relación con las obligaciones que ya ha adquirido simultáneamente.</w:t>
      </w:r>
    </w:p>
    <w:p w14:paraId="1AEA7156" w14:textId="77777777" w:rsidR="00F419B1" w:rsidRPr="00766C6E" w:rsidRDefault="00F419B1" w:rsidP="00F419B1">
      <w:pPr>
        <w:pStyle w:val="Textoindependiente"/>
        <w:spacing w:before="120" w:line="276" w:lineRule="auto"/>
        <w:ind w:right="51" w:firstLine="709"/>
        <w:jc w:val="both"/>
      </w:pPr>
      <w:r w:rsidRPr="00766C6E">
        <w:t>La Ley 1150 de 2007 establece que la capacidad residual de los interesados en participar en procesos de selección para contratos de obra deberá ser igual o superior al que la entidad ha establecido en los pliegos de condiciones, en los siguientes términos:</w:t>
      </w:r>
    </w:p>
    <w:p w14:paraId="2F0AA6DE" w14:textId="77777777" w:rsidR="00F419B1" w:rsidRPr="00766C6E" w:rsidRDefault="00F419B1" w:rsidP="00F419B1">
      <w:pPr>
        <w:pStyle w:val="Textoindependiente"/>
        <w:ind w:right="49"/>
      </w:pPr>
    </w:p>
    <w:p w14:paraId="46B05615" w14:textId="77777777" w:rsidR="00F419B1" w:rsidRPr="00766C6E" w:rsidRDefault="00F419B1" w:rsidP="00F317B0">
      <w:pPr>
        <w:pStyle w:val="Textoindependiente"/>
        <w:ind w:left="709" w:right="709"/>
        <w:jc w:val="both"/>
        <w:rPr>
          <w:sz w:val="21"/>
          <w:szCs w:val="21"/>
        </w:rPr>
      </w:pPr>
      <w:r w:rsidRPr="00766C6E">
        <w:rPr>
          <w:sz w:val="21"/>
          <w:szCs w:val="21"/>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w:t>
      </w:r>
      <w:r w:rsidRPr="00766C6E">
        <w:rPr>
          <w:spacing w:val="-3"/>
          <w:sz w:val="21"/>
          <w:szCs w:val="21"/>
        </w:rPr>
        <w:t xml:space="preserve"> </w:t>
      </w:r>
      <w:r w:rsidRPr="00766C6E">
        <w:rPr>
          <w:sz w:val="21"/>
          <w:szCs w:val="21"/>
        </w:rPr>
        <w:t>principal.</w:t>
      </w:r>
    </w:p>
    <w:p w14:paraId="2C7756B6" w14:textId="4B81CE97" w:rsidR="00F419B1" w:rsidRPr="00766C6E" w:rsidRDefault="00A378EA" w:rsidP="00F317B0">
      <w:pPr>
        <w:pStyle w:val="Textoindependiente"/>
        <w:spacing w:after="120"/>
        <w:ind w:left="709" w:right="709"/>
        <w:rPr>
          <w:sz w:val="21"/>
          <w:szCs w:val="21"/>
        </w:rPr>
      </w:pPr>
      <w:r>
        <w:rPr>
          <w:sz w:val="21"/>
          <w:szCs w:val="21"/>
        </w:rPr>
        <w:t>[</w:t>
      </w:r>
      <w:r w:rsidR="00F419B1" w:rsidRPr="00766C6E">
        <w:rPr>
          <w:sz w:val="21"/>
          <w:szCs w:val="21"/>
        </w:rPr>
        <w:t>…</w:t>
      </w:r>
      <w:r>
        <w:rPr>
          <w:sz w:val="21"/>
          <w:szCs w:val="21"/>
        </w:rPr>
        <w:t>]</w:t>
      </w:r>
    </w:p>
    <w:p w14:paraId="79465590" w14:textId="77777777" w:rsidR="00F419B1" w:rsidRPr="00766C6E" w:rsidRDefault="00F419B1" w:rsidP="00F317B0">
      <w:pPr>
        <w:pStyle w:val="Textoindependiente"/>
        <w:ind w:left="709" w:right="709"/>
        <w:jc w:val="both"/>
        <w:rPr>
          <w:sz w:val="21"/>
          <w:szCs w:val="21"/>
        </w:rPr>
      </w:pPr>
      <w:r w:rsidRPr="00766C6E">
        <w:rPr>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1A4D602A" w14:textId="77777777" w:rsidR="00F419B1" w:rsidRPr="00766C6E" w:rsidRDefault="00F419B1" w:rsidP="00F419B1">
      <w:pPr>
        <w:pStyle w:val="Textoindependiente"/>
        <w:ind w:right="49"/>
      </w:pPr>
    </w:p>
    <w:p w14:paraId="53D19E70" w14:textId="27E031D0" w:rsidR="00F91408" w:rsidRPr="00766C6E" w:rsidRDefault="00F91408" w:rsidP="00F91408">
      <w:pPr>
        <w:pStyle w:val="Textoindependiente"/>
        <w:spacing w:before="1" w:line="276" w:lineRule="auto"/>
        <w:ind w:right="49" w:firstLine="708"/>
        <w:jc w:val="both"/>
      </w:pPr>
      <w:r w:rsidRPr="00766C6E">
        <w:t xml:space="preserve">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w:t>
      </w:r>
      <w:r w:rsidR="000647EE">
        <w:t>esta</w:t>
      </w:r>
      <w:r w:rsidRPr="00766C6E">
        <w:t xml:space="preserve"> disposición, «[…] se deberá </w:t>
      </w:r>
      <w:r w:rsidRPr="00766C6E">
        <w:lastRenderedPageBreak/>
        <w:t>calcular mediante la evaluación de los siguientes factores: Experiencia (E), Capacidad Financiera (CF), Capacidad Técnica (CT), y Capacidad de Organización (CO)».</w:t>
      </w:r>
    </w:p>
    <w:p w14:paraId="256EDFA2" w14:textId="1FFA701A" w:rsidR="00F419B1" w:rsidRPr="00766C6E" w:rsidRDefault="00F419B1" w:rsidP="00F91408">
      <w:pPr>
        <w:pStyle w:val="Textoindependiente"/>
        <w:spacing w:before="120" w:line="276" w:lineRule="auto"/>
        <w:ind w:right="51" w:firstLine="709"/>
        <w:jc w:val="both"/>
      </w:pPr>
      <w:r w:rsidRPr="00766C6E">
        <w:t>El artículo 2.2.1.1.1.6.</w:t>
      </w:r>
      <w:r w:rsidR="006577C3" w:rsidRPr="00766C6E">
        <w:t>4</w:t>
      </w:r>
      <w:r w:rsidRPr="00766C6E">
        <w:t xml:space="preserve"> del Decreto 1082 de 2015</w:t>
      </w:r>
      <w:r w:rsidR="00565A9A" w:rsidRPr="00766C6E">
        <w:t>, por su parte,</w:t>
      </w:r>
      <w:r w:rsidRPr="00766C6E">
        <w:t xml:space="preserve"> estable</w:t>
      </w:r>
      <w:r w:rsidR="00E57EAF" w:rsidRPr="00766C6E">
        <w:t>ce</w:t>
      </w:r>
      <w:r w:rsidRPr="00766C6E">
        <w:t xml:space="preserve"> que las entidades estatales deberán calcular la capacidad residual conforme a la metodología definida por Colombia Compre Eficiente y precisó que</w:t>
      </w:r>
      <w:r w:rsidR="00114BD6" w:rsidRPr="00766C6E">
        <w:t>, para tale fines, resulta necesario</w:t>
      </w:r>
      <w:r w:rsidRPr="00766C6E">
        <w:t xml:space="preserve"> tener en cuenta los factores de</w:t>
      </w:r>
      <w:r w:rsidR="00114BD6" w:rsidRPr="00766C6E">
        <w:t>: i)</w:t>
      </w:r>
      <w:r w:rsidRPr="00766C6E">
        <w:t xml:space="preserve"> experiencia</w:t>
      </w:r>
      <w:r w:rsidR="000647EE">
        <w:t>,</w:t>
      </w:r>
      <w:r w:rsidR="00114BD6" w:rsidRPr="00766C6E">
        <w:t xml:space="preserve"> </w:t>
      </w:r>
      <w:proofErr w:type="spellStart"/>
      <w:r w:rsidR="00114BD6" w:rsidRPr="00766C6E">
        <w:t>ii</w:t>
      </w:r>
      <w:proofErr w:type="spellEnd"/>
      <w:r w:rsidR="00114BD6" w:rsidRPr="00766C6E">
        <w:t xml:space="preserve">) </w:t>
      </w:r>
      <w:r w:rsidRPr="00766C6E">
        <w:t>capacidad financiera</w:t>
      </w:r>
      <w:r w:rsidR="000647EE">
        <w:t>,</w:t>
      </w:r>
      <w:r w:rsidR="00114BD6" w:rsidRPr="00766C6E">
        <w:t xml:space="preserve"> </w:t>
      </w:r>
      <w:proofErr w:type="spellStart"/>
      <w:r w:rsidR="00114BD6" w:rsidRPr="00766C6E">
        <w:t>iii</w:t>
      </w:r>
      <w:proofErr w:type="spellEnd"/>
      <w:r w:rsidR="00114BD6" w:rsidRPr="00766C6E">
        <w:t>)</w:t>
      </w:r>
      <w:r w:rsidRPr="00766C6E">
        <w:t xml:space="preserve"> capacidad técnica</w:t>
      </w:r>
      <w:r w:rsidR="000647EE">
        <w:t>,</w:t>
      </w:r>
      <w:r w:rsidR="00114BD6" w:rsidRPr="00766C6E">
        <w:t xml:space="preserve"> </w:t>
      </w:r>
      <w:proofErr w:type="spellStart"/>
      <w:r w:rsidR="00114BD6" w:rsidRPr="00766C6E">
        <w:t>iv</w:t>
      </w:r>
      <w:proofErr w:type="spellEnd"/>
      <w:r w:rsidR="00114BD6" w:rsidRPr="00766C6E">
        <w:t>)</w:t>
      </w:r>
      <w:r w:rsidRPr="00766C6E">
        <w:t xml:space="preserve"> capacidad de organización y</w:t>
      </w:r>
      <w:r w:rsidR="00114BD6" w:rsidRPr="00766C6E">
        <w:t xml:space="preserve"> v)</w:t>
      </w:r>
      <w:r w:rsidRPr="00766C6E">
        <w:t xml:space="preserve"> los saldos de los contratos en ejecución, así:</w:t>
      </w:r>
    </w:p>
    <w:p w14:paraId="2986226B" w14:textId="77777777" w:rsidR="00F419B1" w:rsidRPr="00766C6E" w:rsidRDefault="00F419B1" w:rsidP="00F419B1">
      <w:pPr>
        <w:pStyle w:val="Textoindependiente"/>
        <w:spacing w:before="8"/>
        <w:ind w:right="49"/>
        <w:rPr>
          <w:sz w:val="21"/>
        </w:rPr>
      </w:pPr>
    </w:p>
    <w:p w14:paraId="35060F71" w14:textId="7C072E23" w:rsidR="000647EE" w:rsidRPr="00766C6E" w:rsidRDefault="00F419B1" w:rsidP="00F317B0">
      <w:pPr>
        <w:pStyle w:val="Textoindependiente"/>
        <w:ind w:left="709" w:right="709" w:firstLine="2"/>
        <w:jc w:val="both"/>
        <w:rPr>
          <w:sz w:val="21"/>
          <w:szCs w:val="21"/>
        </w:rPr>
      </w:pPr>
      <w:r w:rsidRPr="00766C6E">
        <w:rPr>
          <w:sz w:val="21"/>
          <w:szCs w:val="21"/>
        </w:rPr>
        <w:t>Artículo 2.2.1.1.1.6.4. Capacidad Residual. El interesado en celebrar contratos</w:t>
      </w:r>
      <w:r w:rsidR="00BB10ED">
        <w:rPr>
          <w:sz w:val="21"/>
          <w:szCs w:val="21"/>
        </w:rPr>
        <w:t xml:space="preserve"> </w:t>
      </w:r>
      <w:r w:rsidRPr="00766C6E">
        <w:rPr>
          <w:sz w:val="21"/>
          <w:szCs w:val="21"/>
        </w:rPr>
        <w:t xml:space="preserve">de obra pública con Entidades Estatales debe acreditar su Capacidad Residual o K de Contratación con los siguientes documentos: </w:t>
      </w:r>
    </w:p>
    <w:p w14:paraId="3BE237B5" w14:textId="6AF61C54" w:rsidR="00F419B1" w:rsidRPr="00766C6E" w:rsidRDefault="000647EE" w:rsidP="00F317B0">
      <w:pPr>
        <w:pStyle w:val="Textoindependiente"/>
        <w:spacing w:after="120"/>
        <w:ind w:left="709" w:right="709"/>
        <w:rPr>
          <w:sz w:val="21"/>
          <w:szCs w:val="21"/>
        </w:rPr>
      </w:pPr>
      <w:r>
        <w:rPr>
          <w:sz w:val="21"/>
          <w:szCs w:val="21"/>
        </w:rPr>
        <w:t>[…]</w:t>
      </w:r>
    </w:p>
    <w:p w14:paraId="707FE29C" w14:textId="77777777" w:rsidR="00F419B1" w:rsidRPr="00766C6E" w:rsidRDefault="00F419B1" w:rsidP="00F317B0">
      <w:pPr>
        <w:pStyle w:val="Textoindependiente"/>
        <w:ind w:left="709" w:right="709" w:firstLine="2"/>
        <w:jc w:val="both"/>
        <w:rPr>
          <w:sz w:val="21"/>
          <w:szCs w:val="21"/>
        </w:rPr>
      </w:pPr>
      <w:r w:rsidRPr="00766C6E">
        <w:rPr>
          <w:sz w:val="21"/>
          <w:szCs w:val="21"/>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75255BED" w14:textId="77777777" w:rsidR="00F419B1" w:rsidRPr="00766C6E" w:rsidRDefault="00F419B1" w:rsidP="00F419B1">
      <w:pPr>
        <w:pStyle w:val="Textoindependiente"/>
        <w:ind w:right="49"/>
      </w:pPr>
    </w:p>
    <w:p w14:paraId="35448A9C" w14:textId="2589B989" w:rsidR="00F419B1" w:rsidRPr="00766C6E" w:rsidRDefault="00F419B1" w:rsidP="00F419B1">
      <w:pPr>
        <w:pStyle w:val="Textoindependiente"/>
        <w:spacing w:line="276" w:lineRule="auto"/>
        <w:ind w:right="49" w:firstLine="709"/>
        <w:jc w:val="both"/>
      </w:pPr>
      <w:r w:rsidRPr="00766C6E">
        <w:t xml:space="preserve">De conformidad con lo anterior, la Agencia Nacional de Contratación Pública – Colombia Compra Eficiente expidió la </w:t>
      </w:r>
      <w:r w:rsidR="00A81BA0" w:rsidRPr="00766C6E">
        <w:t>«</w:t>
      </w:r>
      <w:r w:rsidRPr="00766C6E">
        <w:t>Guía para Determinar y Verificar la Capacidad Residual del Proponente en los Procesos de Contratación de Obra Pública</w:t>
      </w:r>
      <w:r w:rsidR="00A81BA0" w:rsidRPr="00766C6E">
        <w:t>»</w:t>
      </w:r>
      <w:r w:rsidRPr="00766C6E">
        <w:t>.</w:t>
      </w:r>
      <w:r w:rsidR="00F91408" w:rsidRPr="00766C6E">
        <w:t xml:space="preserve"> Este documento establece, entre otras cuestiones, que a la entidad contratante corresponde, </w:t>
      </w:r>
      <w:r w:rsidR="00F03091" w:rsidRPr="00766C6E">
        <w:t>primero</w:t>
      </w:r>
      <w:r w:rsidR="00F91408" w:rsidRPr="00766C6E">
        <w:t>, establecer la capacidad residual del proceso de contratación</w:t>
      </w:r>
      <w:r w:rsidR="00F03091" w:rsidRPr="00766C6E">
        <w:t xml:space="preserve"> </w:t>
      </w:r>
      <w:r w:rsidR="00DE3BBC">
        <w:t>–</w:t>
      </w:r>
      <w:r w:rsidR="00F03091" w:rsidRPr="00766C6E">
        <w:t>CRPC</w:t>
      </w:r>
      <w:r w:rsidR="00DE3BBC">
        <w:t>–</w:t>
      </w:r>
      <w:r w:rsidR="00F91408" w:rsidRPr="00766C6E">
        <w:t xml:space="preserve"> y, </w:t>
      </w:r>
      <w:r w:rsidR="00F03091" w:rsidRPr="00766C6E">
        <w:t>segundo</w:t>
      </w:r>
      <w:r w:rsidR="00F91408" w:rsidRPr="00766C6E">
        <w:t>, determinar si los proponentes cumplen con la capacidad residual del proceso de contratación, claro está, teniendo en cuenta la siguiente información aportada por el proponente:</w:t>
      </w:r>
    </w:p>
    <w:p w14:paraId="5A44BFD5" w14:textId="1A802F0A" w:rsidR="00F91408" w:rsidRPr="00766C6E" w:rsidRDefault="00F91408" w:rsidP="00F91408">
      <w:pPr>
        <w:pStyle w:val="Textoindependiente"/>
        <w:ind w:left="709" w:right="760"/>
        <w:jc w:val="both"/>
        <w:rPr>
          <w:sz w:val="21"/>
          <w:szCs w:val="21"/>
        </w:rPr>
      </w:pPr>
    </w:p>
    <w:p w14:paraId="16E84F16" w14:textId="67CDD0F7" w:rsidR="008C5A24" w:rsidRPr="00BB10ED" w:rsidRDefault="00F91408" w:rsidP="00F317B0">
      <w:pPr>
        <w:pStyle w:val="Textoindependiente"/>
        <w:numPr>
          <w:ilvl w:val="0"/>
          <w:numId w:val="6"/>
        </w:numPr>
        <w:tabs>
          <w:tab w:val="left" w:pos="993"/>
        </w:tabs>
        <w:spacing w:after="120"/>
        <w:ind w:left="709" w:right="760" w:firstLine="0"/>
        <w:jc w:val="both"/>
        <w:rPr>
          <w:sz w:val="21"/>
          <w:szCs w:val="21"/>
        </w:rPr>
      </w:pPr>
      <w:r w:rsidRPr="00BB10ED">
        <w:rPr>
          <w:sz w:val="21"/>
          <w:szCs w:val="21"/>
        </w:rPr>
        <w:t>La lista de los Contratos en Ejecución, así como el valor y plazo de tales con</w:t>
      </w:r>
      <w:r w:rsidRPr="00DE3BBC">
        <w:rPr>
          <w:sz w:val="21"/>
          <w:szCs w:val="21"/>
        </w:rPr>
        <w:t>tratos.</w:t>
      </w:r>
    </w:p>
    <w:p w14:paraId="31191B56" w14:textId="3E95C1DF" w:rsidR="00F03091" w:rsidRPr="00766C6E" w:rsidRDefault="00F91408" w:rsidP="00F317B0">
      <w:pPr>
        <w:pStyle w:val="Textoindependiente"/>
        <w:numPr>
          <w:ilvl w:val="0"/>
          <w:numId w:val="6"/>
        </w:numPr>
        <w:tabs>
          <w:tab w:val="left" w:pos="993"/>
        </w:tabs>
        <w:spacing w:after="120"/>
        <w:ind w:left="709" w:right="760" w:firstLine="0"/>
        <w:jc w:val="both"/>
        <w:rPr>
          <w:sz w:val="21"/>
          <w:szCs w:val="21"/>
        </w:rPr>
      </w:pPr>
      <w:r w:rsidRPr="00766C6E">
        <w:rPr>
          <w:sz w:val="21"/>
          <w:szCs w:val="21"/>
        </w:rPr>
        <w:t>La lista de los Contratos en Ejecución, suscritos por sociedades, consorcios o uniones temporales, en los cuales el proponente tenga participación, así como el valor y plazo de tales contratos.</w:t>
      </w:r>
    </w:p>
    <w:p w14:paraId="4468E48B" w14:textId="785D5F2C" w:rsidR="00F91408" w:rsidRPr="00766C6E" w:rsidRDefault="00F91408" w:rsidP="00F03091">
      <w:pPr>
        <w:pStyle w:val="Textoindependiente"/>
        <w:numPr>
          <w:ilvl w:val="0"/>
          <w:numId w:val="6"/>
        </w:numPr>
        <w:tabs>
          <w:tab w:val="left" w:pos="993"/>
        </w:tabs>
        <w:ind w:left="709" w:right="760" w:firstLine="0"/>
        <w:jc w:val="both"/>
        <w:rPr>
          <w:sz w:val="21"/>
          <w:szCs w:val="21"/>
        </w:rPr>
      </w:pPr>
      <w:r w:rsidRPr="00766C6E">
        <w:rPr>
          <w:sz w:val="21"/>
          <w:szCs w:val="21"/>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222F2D1D" w14:textId="77777777" w:rsidR="00F03091" w:rsidRPr="00766C6E" w:rsidRDefault="00F03091" w:rsidP="00F317B0">
      <w:pPr>
        <w:pStyle w:val="Textoindependiente"/>
        <w:spacing w:line="276" w:lineRule="auto"/>
        <w:ind w:right="51" w:firstLine="709"/>
        <w:jc w:val="both"/>
      </w:pPr>
    </w:p>
    <w:p w14:paraId="50176C68" w14:textId="4A903EBC" w:rsidR="00F03091" w:rsidRPr="00766C6E" w:rsidRDefault="00F03091" w:rsidP="00F317B0">
      <w:pPr>
        <w:pStyle w:val="Textoindependiente"/>
        <w:spacing w:line="276" w:lineRule="auto"/>
        <w:ind w:right="51" w:firstLine="709"/>
        <w:jc w:val="both"/>
      </w:pPr>
      <w:r w:rsidRPr="00766C6E">
        <w:t>Ahora bien, p</w:t>
      </w:r>
      <w:r w:rsidR="00F91408" w:rsidRPr="00766C6E">
        <w:t>ara lo primero</w:t>
      </w:r>
      <w:r w:rsidRPr="00766C6E">
        <w:t xml:space="preserve">, esto es, para establecer la capacidad residual del proceso de contratación </w:t>
      </w:r>
      <w:r w:rsidR="00DE3BBC">
        <w:t>–</w:t>
      </w:r>
      <w:r w:rsidRPr="00766C6E">
        <w:t>CRPC</w:t>
      </w:r>
      <w:r w:rsidR="00DE3BBC">
        <w:t>–</w:t>
      </w:r>
      <w:r w:rsidRPr="00766C6E">
        <w:t xml:space="preserve">, se debe establecer si el plazo del contrato es superior </w:t>
      </w:r>
      <w:r w:rsidRPr="00766C6E">
        <w:lastRenderedPageBreak/>
        <w:t>de doce</w:t>
      </w:r>
      <w:r w:rsidR="00DE3BBC">
        <w:t xml:space="preserve"> (12)</w:t>
      </w:r>
      <w:r w:rsidRPr="00766C6E">
        <w:t xml:space="preserve"> meses. Si no lo es, </w:t>
      </w:r>
      <w:r w:rsidR="00F624CD" w:rsidRPr="00766C6E">
        <w:t xml:space="preserve">la CRPC </w:t>
      </w:r>
      <w:r w:rsidRPr="00766C6E">
        <w:t xml:space="preserve">equivale al presupuesto oficial estimado del Proceso de Contratación menos el anticipo o pago anticipado cuando haya lugar. </w:t>
      </w:r>
      <w:r w:rsidR="00DE3BBC">
        <w:t>De lo contrario</w:t>
      </w:r>
      <w:r w:rsidRPr="00766C6E">
        <w:t>, equivale a la proporción lineal de 12 meses del presupuesto oficial estimado menos el anticipo o pago anticipado.</w:t>
      </w:r>
    </w:p>
    <w:p w14:paraId="2BF7E83F" w14:textId="0CC7C22D" w:rsidR="00D07B4C" w:rsidRPr="00766C6E" w:rsidRDefault="00F91408" w:rsidP="005239E4">
      <w:pPr>
        <w:pStyle w:val="Textoindependiente"/>
        <w:spacing w:before="120" w:line="276" w:lineRule="auto"/>
        <w:ind w:right="51" w:firstLine="709"/>
        <w:jc w:val="both"/>
      </w:pPr>
      <w:r w:rsidRPr="00766C6E">
        <w:t>Para lo segundo</w:t>
      </w:r>
      <w:r w:rsidR="00F03091" w:rsidRPr="00766C6E">
        <w:t xml:space="preserve">, es decir, verificar que cada proponente cumple con la </w:t>
      </w:r>
      <w:r w:rsidR="00F624CD" w:rsidRPr="00766C6E">
        <w:t>CRPC</w:t>
      </w:r>
      <w:r w:rsidR="00F03091" w:rsidRPr="00766C6E">
        <w:t xml:space="preserve">, la entidad pública debe verificar que la capacidad residual del proponente </w:t>
      </w:r>
      <w:r w:rsidR="00DE3BBC">
        <w:t>–</w:t>
      </w:r>
      <w:r w:rsidR="00D07B4C" w:rsidRPr="00766C6E">
        <w:t>CRP</w:t>
      </w:r>
      <w:r w:rsidR="00DE3BBC">
        <w:t>–</w:t>
      </w:r>
      <w:r w:rsidR="00D07B4C" w:rsidRPr="00766C6E">
        <w:t xml:space="preserve"> </w:t>
      </w:r>
      <w:r w:rsidR="00F03091" w:rsidRPr="00766C6E">
        <w:t xml:space="preserve">sea igual o superior a la capacidad referida en el párrafo precedente. </w:t>
      </w:r>
      <w:r w:rsidR="00D07B4C" w:rsidRPr="00766C6E">
        <w:t>De todas formas</w:t>
      </w:r>
      <w:r w:rsidR="00F03091" w:rsidRPr="00766C6E">
        <w:t xml:space="preserve">, </w:t>
      </w:r>
      <w:r w:rsidR="00D07B4C" w:rsidRPr="00766C6E">
        <w:t>previamente</w:t>
      </w:r>
      <w:r w:rsidR="00F03091" w:rsidRPr="00766C6E">
        <w:t xml:space="preserve"> debe establecer la </w:t>
      </w:r>
      <w:r w:rsidR="00D07B4C" w:rsidRPr="00766C6E">
        <w:t>CRP</w:t>
      </w:r>
      <w:r w:rsidR="00F03091" w:rsidRPr="00766C6E">
        <w:t xml:space="preserve">, </w:t>
      </w:r>
      <w:r w:rsidR="005239E4" w:rsidRPr="00766C6E">
        <w:t xml:space="preserve">con fundamento en los siguientes factores: i) experiencia </w:t>
      </w:r>
      <w:r w:rsidR="00DE3BBC">
        <w:t>–</w:t>
      </w:r>
      <w:r w:rsidR="005239E4" w:rsidRPr="00766C6E">
        <w:t>E</w:t>
      </w:r>
      <w:r w:rsidR="00DE3BBC">
        <w:t>–</w:t>
      </w:r>
      <w:r w:rsidR="005239E4" w:rsidRPr="00766C6E">
        <w:t xml:space="preserve">; </w:t>
      </w:r>
      <w:proofErr w:type="spellStart"/>
      <w:r w:rsidR="005239E4" w:rsidRPr="00766C6E">
        <w:t>ii</w:t>
      </w:r>
      <w:proofErr w:type="spellEnd"/>
      <w:r w:rsidR="005239E4" w:rsidRPr="00766C6E">
        <w:t xml:space="preserve">) capacidad financiera </w:t>
      </w:r>
      <w:r w:rsidR="00DE3BBC">
        <w:t>–</w:t>
      </w:r>
      <w:r w:rsidR="005239E4" w:rsidRPr="00766C6E">
        <w:t>CF</w:t>
      </w:r>
      <w:r w:rsidR="00DE3BBC">
        <w:t>–,</w:t>
      </w:r>
      <w:r w:rsidR="005239E4" w:rsidRPr="00766C6E">
        <w:t xml:space="preserve"> </w:t>
      </w:r>
      <w:proofErr w:type="spellStart"/>
      <w:r w:rsidR="005239E4" w:rsidRPr="00766C6E">
        <w:t>iii</w:t>
      </w:r>
      <w:proofErr w:type="spellEnd"/>
      <w:r w:rsidR="005239E4" w:rsidRPr="00766C6E">
        <w:t xml:space="preserve">) capacidad técnica </w:t>
      </w:r>
      <w:r w:rsidR="00DE3BBC">
        <w:t>–</w:t>
      </w:r>
      <w:r w:rsidR="005239E4" w:rsidRPr="00766C6E">
        <w:t>CT</w:t>
      </w:r>
      <w:r w:rsidR="00DE3BBC">
        <w:t>–</w:t>
      </w:r>
      <w:r w:rsidR="005239E4" w:rsidRPr="00766C6E">
        <w:t xml:space="preserve">, </w:t>
      </w:r>
      <w:proofErr w:type="spellStart"/>
      <w:r w:rsidR="005239E4" w:rsidRPr="00766C6E">
        <w:t>iv</w:t>
      </w:r>
      <w:proofErr w:type="spellEnd"/>
      <w:r w:rsidR="005239E4" w:rsidRPr="00766C6E">
        <w:t xml:space="preserve">) capacidad de organización </w:t>
      </w:r>
      <w:r w:rsidR="00DE3BBC">
        <w:t>–</w:t>
      </w:r>
      <w:r w:rsidR="005239E4" w:rsidRPr="00766C6E">
        <w:t>CO</w:t>
      </w:r>
      <w:r w:rsidR="00DE3BBC">
        <w:t>–</w:t>
      </w:r>
      <w:r w:rsidR="005239E4" w:rsidRPr="00766C6E">
        <w:t xml:space="preserve"> y v) los saldos de los contratos en ejecución </w:t>
      </w:r>
      <w:r w:rsidR="00DE3BBC">
        <w:t>–</w:t>
      </w:r>
      <w:r w:rsidR="005239E4" w:rsidRPr="00766C6E">
        <w:t>SCE</w:t>
      </w:r>
      <w:r w:rsidR="00DE3BBC">
        <w:t>–</w:t>
      </w:r>
      <w:r w:rsidR="005239E4" w:rsidRPr="00766C6E">
        <w:t>, según la siguiente formula:</w:t>
      </w:r>
    </w:p>
    <w:p w14:paraId="609588C2" w14:textId="77777777" w:rsidR="00D07B4C" w:rsidRPr="00766C6E" w:rsidRDefault="00D07B4C" w:rsidP="00D07B4C">
      <w:pPr>
        <w:pStyle w:val="Textoindependiente"/>
        <w:tabs>
          <w:tab w:val="left" w:pos="709"/>
          <w:tab w:val="left" w:pos="8080"/>
        </w:tabs>
        <w:spacing w:before="10"/>
        <w:ind w:right="49"/>
        <w:rPr>
          <w:sz w:val="18"/>
        </w:rPr>
      </w:pPr>
      <w:r w:rsidRPr="00766C6E">
        <w:rPr>
          <w:noProof/>
          <w:lang w:val="es-ES_tradnl" w:eastAsia="es-ES_tradnl" w:bidi="ar-SA"/>
        </w:rPr>
        <w:drawing>
          <wp:anchor distT="0" distB="0" distL="0" distR="0" simplePos="0" relativeHeight="251659264" behindDoc="0" locked="0" layoutInCell="1" allowOverlap="1" wp14:anchorId="63AC6C71" wp14:editId="68C90F74">
            <wp:simplePos x="0" y="0"/>
            <wp:positionH relativeFrom="page">
              <wp:posOffset>1545590</wp:posOffset>
            </wp:positionH>
            <wp:positionV relativeFrom="paragraph">
              <wp:posOffset>160655</wp:posOffset>
            </wp:positionV>
            <wp:extent cx="4638040" cy="67437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638040" cy="674370"/>
                    </a:xfrm>
                    <a:prstGeom prst="rect">
                      <a:avLst/>
                    </a:prstGeom>
                  </pic:spPr>
                </pic:pic>
              </a:graphicData>
            </a:graphic>
            <wp14:sizeRelH relativeFrom="margin">
              <wp14:pctWidth>0</wp14:pctWidth>
            </wp14:sizeRelH>
          </wp:anchor>
        </w:drawing>
      </w:r>
    </w:p>
    <w:p w14:paraId="59668A02" w14:textId="77777777" w:rsidR="00F03091" w:rsidRPr="00766C6E" w:rsidRDefault="00F03091" w:rsidP="00F419B1">
      <w:pPr>
        <w:pStyle w:val="Textoindependiente"/>
        <w:spacing w:before="120" w:line="276" w:lineRule="auto"/>
        <w:ind w:right="51" w:firstLine="709"/>
        <w:jc w:val="both"/>
      </w:pPr>
    </w:p>
    <w:p w14:paraId="752E71B6" w14:textId="16CE7B69" w:rsidR="00F03091" w:rsidRPr="00766C6E" w:rsidRDefault="005239E4" w:rsidP="006143E3">
      <w:pPr>
        <w:pStyle w:val="Textoindependiente"/>
        <w:spacing w:before="120" w:line="276" w:lineRule="auto"/>
        <w:ind w:right="51" w:firstLine="709"/>
        <w:jc w:val="both"/>
      </w:pPr>
      <w:r w:rsidRPr="00766C6E">
        <w:t xml:space="preserve">A cada uno de estos factores se les asigna el siguiente puntaje máximo: i) «E» 120; </w:t>
      </w:r>
      <w:proofErr w:type="spellStart"/>
      <w:r w:rsidRPr="00766C6E">
        <w:t>ii</w:t>
      </w:r>
      <w:proofErr w:type="spellEnd"/>
      <w:r w:rsidRPr="00766C6E">
        <w:t xml:space="preserve">) «CF» 40; y </w:t>
      </w:r>
      <w:proofErr w:type="spellStart"/>
      <w:r w:rsidRPr="00766C6E">
        <w:t>iii</w:t>
      </w:r>
      <w:proofErr w:type="spellEnd"/>
      <w:r w:rsidRPr="00766C6E">
        <w:t xml:space="preserve">) «CT» 40. </w:t>
      </w:r>
      <w:r w:rsidR="006143E3" w:rsidRPr="00766C6E">
        <w:t>La «CO»</w:t>
      </w:r>
      <w:r w:rsidRPr="00766C6E">
        <w:t xml:space="preserve"> </w:t>
      </w:r>
      <w:r w:rsidR="006143E3" w:rsidRPr="00766C6E">
        <w:t>no tiene asignación de puntaje en la fórmula, por un lado, porque su unidad de medida es en pesos colombianos «COP» y, por el otro, debido a que el mismo constituye un factor multiplicador de los demás factores en la fórmula. A continuación</w:t>
      </w:r>
      <w:r w:rsidR="00CE3495" w:rsidRPr="00766C6E">
        <w:t>,</w:t>
      </w:r>
      <w:r w:rsidR="006143E3" w:rsidRPr="00766C6E">
        <w:t xml:space="preserve"> se explicar</w:t>
      </w:r>
      <w:r w:rsidR="00CE3495" w:rsidRPr="00766C6E">
        <w:t>á</w:t>
      </w:r>
      <w:r w:rsidR="006143E3" w:rsidRPr="00766C6E">
        <w:t>, en términos generales, c</w:t>
      </w:r>
      <w:r w:rsidR="00CE3495" w:rsidRPr="00766C6E">
        <w:t>ó</w:t>
      </w:r>
      <w:r w:rsidR="006143E3" w:rsidRPr="00766C6E">
        <w:t>mo calcular cada factor:</w:t>
      </w:r>
    </w:p>
    <w:p w14:paraId="257C6BAD" w14:textId="0A612FB5" w:rsidR="006143E3" w:rsidRPr="00766C6E" w:rsidRDefault="006143E3" w:rsidP="006143E3">
      <w:pPr>
        <w:pStyle w:val="Textoindependiente"/>
        <w:numPr>
          <w:ilvl w:val="0"/>
          <w:numId w:val="8"/>
        </w:numPr>
        <w:tabs>
          <w:tab w:val="left" w:pos="993"/>
        </w:tabs>
        <w:spacing w:before="120" w:line="276" w:lineRule="auto"/>
        <w:ind w:left="0" w:right="51" w:firstLine="709"/>
        <w:jc w:val="both"/>
        <w:rPr>
          <w:i/>
          <w:iCs/>
        </w:rPr>
      </w:pPr>
      <w:r w:rsidRPr="00766C6E">
        <w:rPr>
          <w:i/>
          <w:iCs/>
        </w:rPr>
        <w:t>Capacidad financiera.</w:t>
      </w:r>
      <w:r w:rsidRPr="00766C6E">
        <w:t xml:space="preserve"> Se mide por el «índice de liquidez» y este, a su vez, corresponde al resulta de dividir el «activo corriente» sobre el «pasivo corriente». El resultado puede ser calificado entre 20 y cuarenta puntos, según se explica en la </w:t>
      </w:r>
      <w:r w:rsidR="00DE3BBC" w:rsidRPr="00766C6E">
        <w:t>Guía</w:t>
      </w:r>
      <w:r w:rsidRPr="00766C6E">
        <w:t>.</w:t>
      </w:r>
    </w:p>
    <w:p w14:paraId="116961D1" w14:textId="29C29A3C" w:rsidR="006143E3" w:rsidRPr="00766C6E" w:rsidRDefault="006143E3" w:rsidP="006143E3">
      <w:pPr>
        <w:pStyle w:val="Textoindependiente"/>
        <w:numPr>
          <w:ilvl w:val="0"/>
          <w:numId w:val="8"/>
        </w:numPr>
        <w:tabs>
          <w:tab w:val="left" w:pos="993"/>
        </w:tabs>
        <w:spacing w:before="120" w:line="276" w:lineRule="auto"/>
        <w:ind w:left="0" w:right="51" w:firstLine="709"/>
        <w:jc w:val="both"/>
        <w:rPr>
          <w:i/>
          <w:iCs/>
        </w:rPr>
      </w:pPr>
      <w:r w:rsidRPr="00766C6E">
        <w:rPr>
          <w:i/>
          <w:iCs/>
        </w:rPr>
        <w:t>Capacidad técnica</w:t>
      </w:r>
      <w:r w:rsidRPr="00766C6E">
        <w:t xml:space="preserve">. Se determina teniendo en cuenta el número de socios y profesionales de la arquitectura, ingeniería y geología vinculados mediante una relación laboral o contractual. </w:t>
      </w:r>
      <w:proofErr w:type="gramStart"/>
      <w:r w:rsidRPr="00766C6E">
        <w:t>El puntaje a asignar</w:t>
      </w:r>
      <w:proofErr w:type="gramEnd"/>
      <w:r w:rsidRPr="00766C6E">
        <w:t>, según la Guía, oscila entre 20 y 40 puntos. Para tales fines, se aclara, el proponente debe diligenciar el Anexo 2 de la «Guía para Determinar y Verificar la Capacidad Residual del Proponente en los Procesos de Contratación de Obra Pública» −</w:t>
      </w:r>
      <w:r w:rsidR="008F184D" w:rsidRPr="00766C6E">
        <w:t xml:space="preserve">este es diferente </w:t>
      </w:r>
      <w:r w:rsidRPr="00766C6E">
        <w:t xml:space="preserve">al Anexo 2 de los </w:t>
      </w:r>
      <w:r w:rsidR="00DE3BBC" w:rsidRPr="00766C6E">
        <w:t>documentos tipo</w:t>
      </w:r>
      <w:r w:rsidRPr="00766C6E">
        <w:t>−</w:t>
      </w:r>
      <w:r w:rsidR="00CE3495" w:rsidRPr="00766C6E">
        <w:t>.</w:t>
      </w:r>
    </w:p>
    <w:p w14:paraId="3E69082B" w14:textId="267EB981" w:rsidR="00CE3495" w:rsidRPr="00766C6E" w:rsidRDefault="00CE3495" w:rsidP="006143E3">
      <w:pPr>
        <w:pStyle w:val="Textoindependiente"/>
        <w:numPr>
          <w:ilvl w:val="0"/>
          <w:numId w:val="8"/>
        </w:numPr>
        <w:tabs>
          <w:tab w:val="left" w:pos="993"/>
        </w:tabs>
        <w:spacing w:before="120" w:line="276" w:lineRule="auto"/>
        <w:ind w:left="0" w:right="51" w:firstLine="709"/>
        <w:jc w:val="both"/>
        <w:rPr>
          <w:i/>
          <w:iCs/>
        </w:rPr>
      </w:pPr>
      <w:r w:rsidRPr="00766C6E">
        <w:rPr>
          <w:i/>
          <w:iCs/>
        </w:rPr>
        <w:t>Capacidad de organización</w:t>
      </w:r>
      <w:r w:rsidRPr="00766C6E">
        <w:t>. Corresponde a los ingresos operacionales, según el siguiente cuadro:</w:t>
      </w:r>
    </w:p>
    <w:p w14:paraId="669F56F6" w14:textId="166DF0A0" w:rsidR="00CE3495" w:rsidRPr="00766C6E" w:rsidRDefault="00CE3495" w:rsidP="00F317B0">
      <w:pPr>
        <w:pStyle w:val="Textoindependiente"/>
        <w:tabs>
          <w:tab w:val="left" w:pos="993"/>
        </w:tabs>
        <w:spacing w:line="276" w:lineRule="auto"/>
        <w:ind w:left="709" w:right="51"/>
        <w:jc w:val="both"/>
        <w:rPr>
          <w:i/>
          <w:iCs/>
        </w:rPr>
      </w:pPr>
    </w:p>
    <w:tbl>
      <w:tblPr>
        <w:tblStyle w:val="Tablaconcuadrcula"/>
        <w:tblW w:w="7366" w:type="dxa"/>
        <w:tblInd w:w="709" w:type="dxa"/>
        <w:tblLook w:val="04A0" w:firstRow="1" w:lastRow="0" w:firstColumn="1" w:lastColumn="0" w:noHBand="0" w:noVBand="1"/>
      </w:tblPr>
      <w:tblGrid>
        <w:gridCol w:w="4053"/>
        <w:gridCol w:w="3313"/>
      </w:tblGrid>
      <w:tr w:rsidR="00766C6E" w:rsidRPr="00766C6E" w14:paraId="6C2915B1" w14:textId="77777777" w:rsidTr="00CE3495">
        <w:tc>
          <w:tcPr>
            <w:tcW w:w="4053" w:type="dxa"/>
            <w:shd w:val="clear" w:color="auto" w:fill="D9D9D9" w:themeFill="background1" w:themeFillShade="D9"/>
          </w:tcPr>
          <w:p w14:paraId="175CC62E" w14:textId="1F5456C2" w:rsidR="00CE3495" w:rsidRPr="00766C6E" w:rsidRDefault="00CE3495" w:rsidP="00CE3495">
            <w:pPr>
              <w:pStyle w:val="Textoindependiente"/>
              <w:tabs>
                <w:tab w:val="left" w:pos="993"/>
              </w:tabs>
              <w:spacing w:before="120" w:line="276" w:lineRule="auto"/>
              <w:ind w:right="51"/>
              <w:jc w:val="center"/>
              <w:rPr>
                <w:b/>
                <w:bCs/>
                <w:sz w:val="21"/>
                <w:szCs w:val="21"/>
              </w:rPr>
            </w:pPr>
            <w:r w:rsidRPr="00766C6E">
              <w:rPr>
                <w:b/>
                <w:bCs/>
                <w:sz w:val="21"/>
                <w:szCs w:val="21"/>
              </w:rPr>
              <w:t>Años de información financiera</w:t>
            </w:r>
          </w:p>
        </w:tc>
        <w:tc>
          <w:tcPr>
            <w:tcW w:w="3313" w:type="dxa"/>
            <w:shd w:val="clear" w:color="auto" w:fill="D9D9D9" w:themeFill="background1" w:themeFillShade="D9"/>
          </w:tcPr>
          <w:p w14:paraId="5D2B9612" w14:textId="3F7D1A36" w:rsidR="00CE3495" w:rsidRPr="00766C6E" w:rsidRDefault="00CE3495" w:rsidP="00CE3495">
            <w:pPr>
              <w:pStyle w:val="Textoindependiente"/>
              <w:tabs>
                <w:tab w:val="left" w:pos="993"/>
              </w:tabs>
              <w:spacing w:before="120" w:line="276" w:lineRule="auto"/>
              <w:ind w:right="51"/>
              <w:jc w:val="center"/>
              <w:rPr>
                <w:b/>
                <w:bCs/>
                <w:sz w:val="21"/>
                <w:szCs w:val="21"/>
              </w:rPr>
            </w:pPr>
            <w:r w:rsidRPr="00766C6E">
              <w:rPr>
                <w:b/>
                <w:bCs/>
                <w:sz w:val="21"/>
                <w:szCs w:val="21"/>
              </w:rPr>
              <w:t>Capacidad de organización</w:t>
            </w:r>
          </w:p>
        </w:tc>
      </w:tr>
      <w:tr w:rsidR="00766C6E" w:rsidRPr="00766C6E" w14:paraId="0F0F6610" w14:textId="77777777" w:rsidTr="00CE3495">
        <w:tc>
          <w:tcPr>
            <w:tcW w:w="4053" w:type="dxa"/>
          </w:tcPr>
          <w:p w14:paraId="7F320961" w14:textId="06ECC3A9" w:rsidR="00CE3495" w:rsidRPr="00766C6E" w:rsidRDefault="00CE3495" w:rsidP="00CE3495">
            <w:pPr>
              <w:pStyle w:val="Textoindependiente"/>
              <w:tabs>
                <w:tab w:val="left" w:pos="993"/>
              </w:tabs>
              <w:spacing w:before="120" w:line="276" w:lineRule="auto"/>
              <w:ind w:right="51"/>
              <w:jc w:val="both"/>
              <w:rPr>
                <w:sz w:val="21"/>
                <w:szCs w:val="21"/>
              </w:rPr>
            </w:pPr>
            <w:r w:rsidRPr="00766C6E">
              <w:rPr>
                <w:sz w:val="21"/>
                <w:szCs w:val="21"/>
              </w:rPr>
              <w:t>Cinco (5) años o más</w:t>
            </w:r>
          </w:p>
        </w:tc>
        <w:tc>
          <w:tcPr>
            <w:tcW w:w="3313" w:type="dxa"/>
          </w:tcPr>
          <w:p w14:paraId="3D9EC599" w14:textId="27A456EA" w:rsidR="00CE3495" w:rsidRPr="00766C6E" w:rsidRDefault="00CE3495" w:rsidP="00CE3495">
            <w:pPr>
              <w:pStyle w:val="Textoindependiente"/>
              <w:tabs>
                <w:tab w:val="left" w:pos="993"/>
              </w:tabs>
              <w:spacing w:before="120" w:line="276" w:lineRule="auto"/>
              <w:ind w:right="51"/>
              <w:jc w:val="both"/>
              <w:rPr>
                <w:sz w:val="21"/>
                <w:szCs w:val="21"/>
              </w:rPr>
            </w:pPr>
            <w:r w:rsidRPr="00766C6E">
              <w:rPr>
                <w:sz w:val="21"/>
                <w:szCs w:val="21"/>
              </w:rPr>
              <w:t>Mayor ingreso operacional de los últimos cinco años</w:t>
            </w:r>
          </w:p>
        </w:tc>
      </w:tr>
      <w:tr w:rsidR="00766C6E" w:rsidRPr="00766C6E" w14:paraId="67D35A9C" w14:textId="77777777" w:rsidTr="00CE3495">
        <w:tc>
          <w:tcPr>
            <w:tcW w:w="4053" w:type="dxa"/>
          </w:tcPr>
          <w:p w14:paraId="5CCB215E" w14:textId="46E07A82" w:rsidR="00CE3495" w:rsidRPr="00766C6E" w:rsidRDefault="00CE3495" w:rsidP="00CE3495">
            <w:pPr>
              <w:pStyle w:val="Textoindependiente"/>
              <w:tabs>
                <w:tab w:val="left" w:pos="993"/>
              </w:tabs>
              <w:spacing w:before="120" w:line="276" w:lineRule="auto"/>
              <w:ind w:right="51"/>
              <w:jc w:val="both"/>
              <w:rPr>
                <w:sz w:val="21"/>
                <w:szCs w:val="21"/>
              </w:rPr>
            </w:pPr>
            <w:r w:rsidRPr="00766C6E">
              <w:rPr>
                <w:sz w:val="21"/>
                <w:szCs w:val="21"/>
              </w:rPr>
              <w:t>Entre uno (1) y cinco (5) años</w:t>
            </w:r>
          </w:p>
        </w:tc>
        <w:tc>
          <w:tcPr>
            <w:tcW w:w="3313" w:type="dxa"/>
          </w:tcPr>
          <w:p w14:paraId="77CBFDC5" w14:textId="5A0937AC" w:rsidR="00CE3495" w:rsidRPr="00766C6E" w:rsidRDefault="00CE3495" w:rsidP="00CE3495">
            <w:pPr>
              <w:pStyle w:val="Textoindependiente"/>
              <w:tabs>
                <w:tab w:val="left" w:pos="993"/>
              </w:tabs>
              <w:spacing w:before="120" w:line="276" w:lineRule="auto"/>
              <w:ind w:right="51"/>
              <w:jc w:val="both"/>
              <w:rPr>
                <w:sz w:val="21"/>
                <w:szCs w:val="21"/>
              </w:rPr>
            </w:pPr>
            <w:r w:rsidRPr="00766C6E">
              <w:rPr>
                <w:sz w:val="21"/>
                <w:szCs w:val="21"/>
              </w:rPr>
              <w:t xml:space="preserve">Mayor ingreso operacional de los </w:t>
            </w:r>
            <w:r w:rsidRPr="00766C6E">
              <w:rPr>
                <w:sz w:val="21"/>
                <w:szCs w:val="21"/>
              </w:rPr>
              <w:lastRenderedPageBreak/>
              <w:t>años de vida del oferente</w:t>
            </w:r>
          </w:p>
        </w:tc>
      </w:tr>
      <w:tr w:rsidR="008C27FB" w:rsidRPr="00766C6E" w14:paraId="7993DAAF" w14:textId="77777777" w:rsidTr="00CE3495">
        <w:tc>
          <w:tcPr>
            <w:tcW w:w="4053" w:type="dxa"/>
          </w:tcPr>
          <w:p w14:paraId="3248102E" w14:textId="2F516AF7" w:rsidR="00CE3495" w:rsidRPr="00766C6E" w:rsidRDefault="00CE3495" w:rsidP="00CE3495">
            <w:pPr>
              <w:pStyle w:val="Textoindependiente"/>
              <w:tabs>
                <w:tab w:val="left" w:pos="993"/>
              </w:tabs>
              <w:spacing w:before="120" w:line="276" w:lineRule="auto"/>
              <w:ind w:right="51"/>
              <w:jc w:val="both"/>
              <w:rPr>
                <w:sz w:val="21"/>
                <w:szCs w:val="21"/>
              </w:rPr>
            </w:pPr>
            <w:r w:rsidRPr="00766C6E">
              <w:rPr>
                <w:sz w:val="21"/>
                <w:szCs w:val="21"/>
              </w:rPr>
              <w:lastRenderedPageBreak/>
              <w:t>Menos de un (1) año</w:t>
            </w:r>
          </w:p>
        </w:tc>
        <w:tc>
          <w:tcPr>
            <w:tcW w:w="3313" w:type="dxa"/>
          </w:tcPr>
          <w:p w14:paraId="11A171B5" w14:textId="0606CBE5" w:rsidR="00CE3495" w:rsidRPr="00766C6E" w:rsidRDefault="00CE3495" w:rsidP="00CE3495">
            <w:pPr>
              <w:pStyle w:val="Textoindependiente"/>
              <w:tabs>
                <w:tab w:val="left" w:pos="993"/>
              </w:tabs>
              <w:spacing w:before="120" w:line="276" w:lineRule="auto"/>
              <w:ind w:right="51"/>
              <w:jc w:val="both"/>
              <w:rPr>
                <w:sz w:val="21"/>
                <w:szCs w:val="21"/>
              </w:rPr>
            </w:pPr>
            <w:r w:rsidRPr="00766C6E">
              <w:rPr>
                <w:sz w:val="21"/>
                <w:szCs w:val="21"/>
              </w:rPr>
              <w:t>USD 125.000</w:t>
            </w:r>
          </w:p>
        </w:tc>
      </w:tr>
    </w:tbl>
    <w:p w14:paraId="421F67CA" w14:textId="49DD8BA5" w:rsidR="00CE3495" w:rsidRPr="00766C6E" w:rsidRDefault="00CE3495" w:rsidP="00F317B0">
      <w:pPr>
        <w:pStyle w:val="Textoindependiente"/>
        <w:tabs>
          <w:tab w:val="left" w:pos="993"/>
        </w:tabs>
        <w:spacing w:line="276" w:lineRule="auto"/>
        <w:ind w:left="709" w:right="51"/>
        <w:jc w:val="both"/>
        <w:rPr>
          <w:i/>
          <w:iCs/>
        </w:rPr>
      </w:pPr>
    </w:p>
    <w:p w14:paraId="2B3C5499" w14:textId="7EBD0464" w:rsidR="00580EB2" w:rsidRPr="00766C6E" w:rsidRDefault="00580EB2" w:rsidP="00F317B0">
      <w:pPr>
        <w:pStyle w:val="Textoindependiente"/>
        <w:numPr>
          <w:ilvl w:val="0"/>
          <w:numId w:val="8"/>
        </w:numPr>
        <w:tabs>
          <w:tab w:val="left" w:pos="993"/>
        </w:tabs>
        <w:spacing w:line="276" w:lineRule="auto"/>
        <w:ind w:left="0" w:right="51" w:firstLine="709"/>
        <w:jc w:val="both"/>
      </w:pPr>
      <w:r w:rsidRPr="00766C6E">
        <w:rPr>
          <w:i/>
          <w:iCs/>
        </w:rPr>
        <w:t>Saldos de los contratos en ejecución</w:t>
      </w:r>
      <w:r w:rsidRPr="00766C6E">
        <w:t>. Debe hacerse linealmente y calculando una «ejecución diaria equivalente al valor del contrato dividido por el plazo del contrato expresado en días». El resultado obtenido se debe multiplicar por el número de días pendientes para cumplir el plazo del contrato. Si el número de días por ejecutar en un contrato es superior a 360 días, solo se tendrá en cuenta la proporción lineal de 12 meses.</w:t>
      </w:r>
    </w:p>
    <w:p w14:paraId="3C4EE3BD" w14:textId="693DA851" w:rsidR="008C27FB" w:rsidRPr="00766C6E" w:rsidRDefault="00742C98" w:rsidP="00EF1F19">
      <w:pPr>
        <w:pStyle w:val="Textoindependiente"/>
        <w:numPr>
          <w:ilvl w:val="0"/>
          <w:numId w:val="8"/>
        </w:numPr>
        <w:tabs>
          <w:tab w:val="left" w:pos="993"/>
        </w:tabs>
        <w:spacing w:before="120" w:line="276" w:lineRule="auto"/>
        <w:ind w:left="0" w:right="51" w:firstLine="709"/>
        <w:jc w:val="both"/>
      </w:pPr>
      <w:r w:rsidRPr="00766C6E">
        <w:rPr>
          <w:i/>
          <w:iCs/>
        </w:rPr>
        <w:t>Experiencia</w:t>
      </w:r>
      <w:r w:rsidRPr="00766C6E">
        <w:t>.</w:t>
      </w:r>
      <w:r w:rsidR="008C27FB" w:rsidRPr="00766C6E">
        <w:t xml:space="preserve"> Para los efectos de la capacidad residual −no para la experiencia general que debe acreditar el contratista según la Matriz 1−, corresponde a la relación entre «el valor total en pesos de los contratos relacionados con la actividad de la construcción inscritos por el proponente en el R</w:t>
      </w:r>
      <w:r w:rsidR="009420F7" w:rsidRPr="00766C6E">
        <w:t xml:space="preserve">egistro Único de Proponentes </w:t>
      </w:r>
      <w:r w:rsidR="006A662A">
        <w:t>–</w:t>
      </w:r>
      <w:r w:rsidR="009420F7" w:rsidRPr="00766C6E">
        <w:t>R</w:t>
      </w:r>
      <w:r w:rsidR="008C27FB" w:rsidRPr="00766C6E">
        <w:t>UP</w:t>
      </w:r>
      <w:r w:rsidR="006A662A">
        <w:t>–</w:t>
      </w:r>
      <w:r w:rsidR="008C27FB" w:rsidRPr="00766C6E">
        <w:t xml:space="preserve"> en el segmento 72 […] del Clasificador de Bienes y Servicios», de un lado, y el presupuesto oficial estimado del Proceso de Contratación, del otro. La relación indica el número de veces que el proponente ha ejecutado contratos equivalentes a la cuantía del proceso de contratación, según se explica en esta fórmula:</w:t>
      </w:r>
    </w:p>
    <w:p w14:paraId="3FC15689" w14:textId="28A14A56" w:rsidR="008C27FB" w:rsidRPr="00766C6E" w:rsidRDefault="008C27FB" w:rsidP="00F317B0">
      <w:pPr>
        <w:pStyle w:val="Textoindependiente"/>
        <w:spacing w:line="276" w:lineRule="auto"/>
        <w:ind w:right="51"/>
        <w:jc w:val="both"/>
      </w:pPr>
    </w:p>
    <w:p w14:paraId="4EAD9106" w14:textId="6945544D" w:rsidR="008C27FB" w:rsidRPr="00766C6E" w:rsidRDefault="008C27FB" w:rsidP="00F317B0">
      <w:pPr>
        <w:pStyle w:val="Textoindependiente"/>
        <w:spacing w:line="276" w:lineRule="auto"/>
        <w:ind w:left="709" w:right="758"/>
        <w:jc w:val="both"/>
      </w:pPr>
      <w:r>
        <w:rPr>
          <w:noProof/>
        </w:rPr>
        <w:drawing>
          <wp:inline distT="0" distB="0" distL="0" distR="0" wp14:anchorId="1AD16C75" wp14:editId="4486001C">
            <wp:extent cx="4696459" cy="615315"/>
            <wp:effectExtent l="0" t="0" r="8890" b="0"/>
            <wp:docPr id="199678925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4696459" cy="615315"/>
                    </a:xfrm>
                    <a:prstGeom prst="rect">
                      <a:avLst/>
                    </a:prstGeom>
                  </pic:spPr>
                </pic:pic>
              </a:graphicData>
            </a:graphic>
          </wp:inline>
        </w:drawing>
      </w:r>
    </w:p>
    <w:p w14:paraId="11E8F59D" w14:textId="31234434" w:rsidR="008C27FB" w:rsidRPr="00766C6E" w:rsidRDefault="008C27FB" w:rsidP="00F317B0">
      <w:pPr>
        <w:pStyle w:val="Textoindependiente"/>
        <w:spacing w:line="276" w:lineRule="auto"/>
        <w:ind w:right="51"/>
        <w:jc w:val="both"/>
      </w:pPr>
    </w:p>
    <w:p w14:paraId="2E2AF611" w14:textId="1AC047C1" w:rsidR="00F91408" w:rsidRPr="00766C6E" w:rsidRDefault="00F91408" w:rsidP="00F317B0">
      <w:pPr>
        <w:pStyle w:val="Textoindependiente"/>
        <w:spacing w:line="276" w:lineRule="auto"/>
        <w:ind w:right="51" w:firstLine="709"/>
        <w:jc w:val="both"/>
      </w:pPr>
      <w:r w:rsidRPr="00766C6E">
        <w:t>Resulta del caso precisar que si bien es cierto que es la entidad estatal la que debe calcular la capacidad residual de los proponentes, también lo es que estos últimos</w:t>
      </w:r>
      <w:r w:rsidR="008C27FB" w:rsidRPr="00766C6E">
        <w:t>, como ya se dijo,</w:t>
      </w:r>
      <w:r w:rsidRPr="00766C6E">
        <w:t xml:space="preserve"> tienen como carga aportar los documentos para acreditar</w:t>
      </w:r>
      <w:r w:rsidR="00A73D36">
        <w:t>la</w:t>
      </w:r>
      <w:r w:rsidRPr="00766C6E">
        <w:rPr>
          <w:rStyle w:val="Refdenotaalpie"/>
        </w:rPr>
        <w:footnoteReference w:id="3"/>
      </w:r>
      <w:r w:rsidRPr="00766C6E">
        <w:t xml:space="preserve">. Al respecto, la Circular Externa Única de Colombia Compra Eficiente, en el punto 7, </w:t>
      </w:r>
      <w:r w:rsidR="00A73D36">
        <w:t xml:space="preserve">dispone </w:t>
      </w:r>
      <w:r w:rsidRPr="00766C6E">
        <w:t>lo siguiente:</w:t>
      </w:r>
    </w:p>
    <w:p w14:paraId="412EB1E2" w14:textId="77777777" w:rsidR="00F91408" w:rsidRPr="00766C6E" w:rsidRDefault="00F91408" w:rsidP="00F317B0">
      <w:pPr>
        <w:pStyle w:val="Textoindependiente"/>
        <w:spacing w:line="276" w:lineRule="auto"/>
        <w:ind w:right="51" w:firstLine="709"/>
        <w:jc w:val="both"/>
      </w:pPr>
    </w:p>
    <w:p w14:paraId="376AFE6C" w14:textId="77777777" w:rsidR="00F91408" w:rsidRPr="00766C6E" w:rsidRDefault="00F91408" w:rsidP="00F317B0">
      <w:pPr>
        <w:pStyle w:val="Textoindependiente"/>
        <w:ind w:left="709" w:right="709"/>
        <w:jc w:val="both"/>
        <w:rPr>
          <w:sz w:val="21"/>
          <w:szCs w:val="21"/>
        </w:rPr>
      </w:pPr>
      <w:r w:rsidRPr="00766C6E">
        <w:rPr>
          <w:sz w:val="21"/>
          <w:szCs w:val="21"/>
        </w:rPr>
        <w:t>En desarrollo del artículo 2.2.1.1.1.6.4. del Decreto 1082 de 2015, Colombia Compra Eficiente expide la “Guía para determinar y verificar la Capacidad Residual del proponente en los procesos de contratación de obra pública”, y conjuntamente un aplicativo de Excel diseñado para facilitar el cálculo. Este aplicativo es un instrumento de apoyo que no exime a las Entidades Estatales y a los proponentes de realizar el cálculo de la Capacidad Residual en los términos de la Guía.</w:t>
      </w:r>
    </w:p>
    <w:p w14:paraId="1EAF4E7A" w14:textId="77777777" w:rsidR="00F91408" w:rsidRPr="00766C6E" w:rsidRDefault="00F91408" w:rsidP="00F317B0">
      <w:pPr>
        <w:pStyle w:val="Textoindependiente"/>
        <w:ind w:left="709" w:right="709"/>
        <w:jc w:val="both"/>
        <w:rPr>
          <w:sz w:val="21"/>
          <w:szCs w:val="21"/>
        </w:rPr>
      </w:pPr>
    </w:p>
    <w:p w14:paraId="46625E9C" w14:textId="77777777" w:rsidR="00F91408" w:rsidRPr="00766C6E" w:rsidRDefault="00F91408" w:rsidP="00F317B0">
      <w:pPr>
        <w:pStyle w:val="Textoindependiente"/>
        <w:ind w:left="709" w:right="709"/>
        <w:jc w:val="both"/>
        <w:rPr>
          <w:sz w:val="21"/>
          <w:szCs w:val="21"/>
        </w:rPr>
      </w:pPr>
      <w:r w:rsidRPr="00766C6E">
        <w:rPr>
          <w:sz w:val="21"/>
          <w:szCs w:val="21"/>
        </w:rPr>
        <w:t xml:space="preserve">La “Guía para determinar y verificar la Capacidad Residual del proponente en los procesos de contratación de obra pública” y el aplicativo de Excel están disponibles en la página web: </w:t>
      </w:r>
      <w:hyperlink r:id="rId12" w:history="1">
        <w:r w:rsidRPr="00766C6E">
          <w:rPr>
            <w:rStyle w:val="Hipervnculo"/>
            <w:color w:val="auto"/>
            <w:sz w:val="21"/>
            <w:szCs w:val="21"/>
          </w:rPr>
          <w:t>https://www.colombiacompra.gov.co/manuales-guias-y-pliegos-tipo/manuales-y-guias</w:t>
        </w:r>
      </w:hyperlink>
    </w:p>
    <w:p w14:paraId="46D45AAB" w14:textId="77777777" w:rsidR="00F91408" w:rsidRPr="00F317B0" w:rsidRDefault="00F91408" w:rsidP="00F91408">
      <w:pPr>
        <w:pStyle w:val="Textoindependiente"/>
        <w:ind w:left="709" w:right="760"/>
        <w:jc w:val="both"/>
      </w:pPr>
    </w:p>
    <w:p w14:paraId="517888B9" w14:textId="71C0672A" w:rsidR="000619F5" w:rsidRPr="00766C6E" w:rsidRDefault="008C27FB" w:rsidP="00F317B0">
      <w:pPr>
        <w:pStyle w:val="Textoindependiente"/>
        <w:spacing w:line="276" w:lineRule="auto"/>
        <w:ind w:right="51" w:firstLine="709"/>
        <w:jc w:val="both"/>
      </w:pPr>
      <w:r w:rsidRPr="00766C6E">
        <w:t>Para</w:t>
      </w:r>
      <w:r w:rsidR="00F91408" w:rsidRPr="00766C6E">
        <w:t xml:space="preserve"> acreditar </w:t>
      </w:r>
      <w:r w:rsidRPr="00766C6E">
        <w:t xml:space="preserve">el factor </w:t>
      </w:r>
      <w:r w:rsidR="00F91408" w:rsidRPr="00766C6E">
        <w:t>experiencia</w:t>
      </w:r>
      <w:r w:rsidRPr="00766C6E">
        <w:t xml:space="preserve"> </w:t>
      </w:r>
      <w:r w:rsidR="00496434">
        <w:t>–</w:t>
      </w:r>
      <w:r w:rsidRPr="00766C6E">
        <w:t>E</w:t>
      </w:r>
      <w:r w:rsidR="00496434">
        <w:t>–</w:t>
      </w:r>
      <w:r w:rsidRPr="00766C6E">
        <w:t xml:space="preserve">, el proponente debe </w:t>
      </w:r>
      <w:r w:rsidR="00F7035B" w:rsidRPr="00766C6E">
        <w:t xml:space="preserve">suscribir </w:t>
      </w:r>
      <w:r w:rsidRPr="00766C6E">
        <w:t xml:space="preserve">el formato correspondiente al </w:t>
      </w:r>
      <w:r w:rsidR="004D1855">
        <w:t>a</w:t>
      </w:r>
      <w:r w:rsidRPr="00766C6E">
        <w:t xml:space="preserve">nexo 1 de la «Guía para Determinar y Verificar la Capacidad Residual del Proponente en los Procesos de Contratación de Obra Pública» −este es diferente al </w:t>
      </w:r>
      <w:r w:rsidR="0012460A">
        <w:t>a</w:t>
      </w:r>
      <w:r w:rsidRPr="00766C6E">
        <w:t xml:space="preserve">nexo 1 de los </w:t>
      </w:r>
      <w:r w:rsidR="000E4BE5" w:rsidRPr="00766C6E">
        <w:t>documentos tipo</w:t>
      </w:r>
      <w:r w:rsidRPr="00766C6E">
        <w:t>−, el cual debe ser diligenciado, por un lado, con los contratos inscritos en el segmento 72 y</w:t>
      </w:r>
      <w:r w:rsidR="000619F5" w:rsidRPr="00766C6E">
        <w:t xml:space="preserve">, por el otro, con el </w:t>
      </w:r>
      <w:r w:rsidRPr="00766C6E">
        <w:t xml:space="preserve">valor total </w:t>
      </w:r>
      <w:r w:rsidR="000619F5" w:rsidRPr="00766C6E">
        <w:t xml:space="preserve">de dichos contratos expresado </w:t>
      </w:r>
      <w:r w:rsidRPr="00766C6E">
        <w:t>en pesos colombianos</w:t>
      </w:r>
      <w:r w:rsidR="000619F5" w:rsidRPr="00766C6E">
        <w:t xml:space="preserve"> y </w:t>
      </w:r>
      <w:r w:rsidRPr="00766C6E">
        <w:t>liquidados con el SMMLV.</w:t>
      </w:r>
      <w:r w:rsidR="000619F5" w:rsidRPr="00766C6E">
        <w:t xml:space="preserve"> </w:t>
      </w:r>
      <w:r w:rsidR="00504F2E" w:rsidRPr="00766C6E">
        <w:t xml:space="preserve">El Anexo </w:t>
      </w:r>
      <w:r w:rsidR="0044260A" w:rsidRPr="00766C6E">
        <w:t xml:space="preserve">1 </w:t>
      </w:r>
      <w:r w:rsidR="00504F2E" w:rsidRPr="00766C6E">
        <w:t xml:space="preserve">es </w:t>
      </w:r>
      <w:r w:rsidR="00496434">
        <w:t>e</w:t>
      </w:r>
      <w:r w:rsidR="0044260A" w:rsidRPr="00766C6E">
        <w:t>l siguiente</w:t>
      </w:r>
      <w:r w:rsidR="00504F2E" w:rsidRPr="00766C6E">
        <w:t>:</w:t>
      </w:r>
    </w:p>
    <w:p w14:paraId="6DD933C4" w14:textId="77777777" w:rsidR="000619F5" w:rsidRPr="00766C6E" w:rsidRDefault="000619F5" w:rsidP="008C27FB">
      <w:pPr>
        <w:pStyle w:val="Textoindependiente"/>
        <w:spacing w:before="120" w:line="276" w:lineRule="auto"/>
        <w:ind w:right="51" w:firstLine="709"/>
        <w:jc w:val="both"/>
      </w:pPr>
    </w:p>
    <w:p w14:paraId="669AC5D7" w14:textId="2E826816" w:rsidR="000619F5" w:rsidRPr="00766C6E" w:rsidRDefault="00504F2E" w:rsidP="00504F2E">
      <w:pPr>
        <w:pStyle w:val="Textoindependiente"/>
        <w:spacing w:before="120" w:line="276" w:lineRule="auto"/>
        <w:ind w:right="51"/>
        <w:jc w:val="center"/>
      </w:pPr>
      <w:r>
        <w:rPr>
          <w:noProof/>
        </w:rPr>
        <w:drawing>
          <wp:inline distT="0" distB="0" distL="0" distR="0" wp14:anchorId="7A40F60F" wp14:editId="175E0149">
            <wp:extent cx="3701845" cy="3599411"/>
            <wp:effectExtent l="0" t="0" r="0" b="1270"/>
            <wp:docPr id="88919195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3">
                      <a:extLst>
                        <a:ext uri="{28A0092B-C50C-407E-A947-70E740481C1C}">
                          <a14:useLocalDpi xmlns:a14="http://schemas.microsoft.com/office/drawing/2010/main" val="0"/>
                        </a:ext>
                      </a:extLst>
                    </a:blip>
                    <a:stretch>
                      <a:fillRect/>
                    </a:stretch>
                  </pic:blipFill>
                  <pic:spPr>
                    <a:xfrm>
                      <a:off x="0" y="0"/>
                      <a:ext cx="3701845" cy="3599411"/>
                    </a:xfrm>
                    <a:prstGeom prst="rect">
                      <a:avLst/>
                    </a:prstGeom>
                  </pic:spPr>
                </pic:pic>
              </a:graphicData>
            </a:graphic>
          </wp:inline>
        </w:drawing>
      </w:r>
    </w:p>
    <w:p w14:paraId="7B75F3C7" w14:textId="77777777" w:rsidR="000619F5" w:rsidRPr="00766C6E" w:rsidRDefault="000619F5" w:rsidP="008C27FB">
      <w:pPr>
        <w:pStyle w:val="Textoindependiente"/>
        <w:spacing w:before="120" w:line="276" w:lineRule="auto"/>
        <w:ind w:right="51" w:firstLine="709"/>
        <w:jc w:val="both"/>
      </w:pPr>
    </w:p>
    <w:p w14:paraId="274DF3F0" w14:textId="36BBBD4B" w:rsidR="00DB0032" w:rsidRPr="00766C6E" w:rsidRDefault="00504F2E" w:rsidP="00504F2E">
      <w:pPr>
        <w:pStyle w:val="Textoindependiente"/>
        <w:spacing w:before="120" w:line="276" w:lineRule="auto"/>
        <w:ind w:right="51" w:firstLine="709"/>
        <w:jc w:val="both"/>
      </w:pPr>
      <w:r w:rsidRPr="00766C6E">
        <w:lastRenderedPageBreak/>
        <w:t xml:space="preserve">Nótese que </w:t>
      </w:r>
      <w:r w:rsidR="003072FC" w:rsidRPr="00766C6E">
        <w:t xml:space="preserve">en la parte superior derecha </w:t>
      </w:r>
      <w:r w:rsidRPr="00766C6E">
        <w:t xml:space="preserve">se lee que el valor total de los contratos ejecutados corresponde «al valor del contrato ponderado por la participación en pesos colombianos». </w:t>
      </w:r>
      <w:r w:rsidR="003072FC" w:rsidRPr="00766C6E">
        <w:t>Ahora bien, e</w:t>
      </w:r>
      <w:r w:rsidR="000619F5" w:rsidRPr="00766C6E">
        <w:t>n criterio de</w:t>
      </w:r>
      <w:r w:rsidRPr="00766C6E">
        <w:t xml:space="preserve"> la Agencia Nacional de Contratación Pública</w:t>
      </w:r>
      <w:r w:rsidR="002D09E1" w:rsidRPr="00766C6E">
        <w:t>,</w:t>
      </w:r>
      <w:r w:rsidRPr="00766C6E">
        <w:t xml:space="preserve"> la noción «liquidados con el SMMLV», contenida en la página 7 de la «Guía para Determinar y Verificar la Capacidad Residual del Proponente en los Procesos de Contratación de Obra Pública», implica que </w:t>
      </w:r>
      <w:r w:rsidR="003072FC" w:rsidRPr="00766C6E">
        <w:t>para efectos prácticos</w:t>
      </w:r>
      <w:r w:rsidR="009420F7" w:rsidRPr="00766C6E">
        <w:t xml:space="preserve"> </w:t>
      </w:r>
      <w:r w:rsidR="002D09E1" w:rsidRPr="00766C6E">
        <w:t xml:space="preserve">el </w:t>
      </w:r>
      <w:r w:rsidR="004D1855">
        <w:t>a</w:t>
      </w:r>
      <w:r w:rsidR="009420F7" w:rsidRPr="00766C6E">
        <w:t xml:space="preserve">nexo 1 </w:t>
      </w:r>
      <w:r w:rsidR="00496434">
        <w:t>hace</w:t>
      </w:r>
      <w:r w:rsidR="008B3426" w:rsidRPr="00766C6E">
        <w:t xml:space="preserve"> referencia</w:t>
      </w:r>
      <w:r w:rsidR="009420F7" w:rsidRPr="00766C6E">
        <w:t xml:space="preserve">: i) al contrato relacionado con la actividad de la construcción −segmento 72, clasificador UNSPSC− y </w:t>
      </w:r>
      <w:proofErr w:type="spellStart"/>
      <w:r w:rsidR="009420F7" w:rsidRPr="00766C6E">
        <w:t>ii</w:t>
      </w:r>
      <w:proofErr w:type="spellEnd"/>
      <w:r w:rsidR="009420F7" w:rsidRPr="00766C6E">
        <w:t xml:space="preserve">) al valor de cada uno de esos contratos de acuerdo a los salarios mínimos mensuales legales vigentes </w:t>
      </w:r>
      <w:r w:rsidR="00496434">
        <w:t>–</w:t>
      </w:r>
      <w:r w:rsidR="009420F7" w:rsidRPr="00766C6E">
        <w:t>SMMLV</w:t>
      </w:r>
      <w:r w:rsidR="00496434">
        <w:t>–</w:t>
      </w:r>
      <w:r w:rsidR="009420F7" w:rsidRPr="00766C6E">
        <w:t xml:space="preserve"> registrados en el RUP</w:t>
      </w:r>
      <w:r w:rsidR="00401826" w:rsidRPr="00766C6E">
        <w:rPr>
          <w:rStyle w:val="Refdenotaalpie"/>
        </w:rPr>
        <w:footnoteReference w:id="4"/>
      </w:r>
      <w:r w:rsidR="009420F7" w:rsidRPr="00766C6E">
        <w:t>. De ser necesario, el proponente tendrá que diligenciar la casilla del porcentaje de «participación del proponente en el contratista plural» y calcular, según dicho porcentaje, el valor del contrato a tener en cuenta, de tal forma que si, por ejemplo, el contrato inscrito en el RUP es de cien (100)  SMMLV</w:t>
      </w:r>
      <w:r w:rsidR="003E048E" w:rsidRPr="00766C6E">
        <w:t xml:space="preserve">, pero su </w:t>
      </w:r>
      <w:r w:rsidR="009420F7" w:rsidRPr="00766C6E">
        <w:t>participación fue del cincuenta (50) por ciento, en la casilla «valor</w:t>
      </w:r>
      <w:r w:rsidR="005C5D46" w:rsidRPr="00766C6E">
        <w:t xml:space="preserve"> </w:t>
      </w:r>
      <w:r w:rsidR="009420F7" w:rsidRPr="00766C6E">
        <w:t xml:space="preserve">total de los contratos ejecutados» </w:t>
      </w:r>
      <w:r w:rsidR="003E048E" w:rsidRPr="00766C6E">
        <w:t>solo se</w:t>
      </w:r>
      <w:r w:rsidR="009420F7" w:rsidRPr="00766C6E">
        <w:t xml:space="preserve"> podrá</w:t>
      </w:r>
      <w:r w:rsidR="003E048E" w:rsidRPr="00766C6E">
        <w:t>n</w:t>
      </w:r>
      <w:r w:rsidR="009420F7" w:rsidRPr="00766C6E">
        <w:t xml:space="preserve"> incluir cincuenta (50) de los cien (100) SMMLV</w:t>
      </w:r>
      <w:r w:rsidR="005C5D46" w:rsidRPr="00766C6E">
        <w:t xml:space="preserve">, </w:t>
      </w:r>
      <w:r w:rsidR="009420F7" w:rsidRPr="00766C6E">
        <w:t>dad</w:t>
      </w:r>
      <w:r w:rsidR="003E048E" w:rsidRPr="00766C6E">
        <w:t xml:space="preserve">o el porcentaje de </w:t>
      </w:r>
      <w:r w:rsidR="009420F7" w:rsidRPr="00766C6E">
        <w:t>participación</w:t>
      </w:r>
      <w:r w:rsidR="003E048E" w:rsidRPr="00766C6E">
        <w:t xml:space="preserve"> del proponente</w:t>
      </w:r>
      <w:r w:rsidRPr="00766C6E">
        <w:t>.</w:t>
      </w:r>
      <w:r w:rsidR="009420F7" w:rsidRPr="00766C6E">
        <w:t xml:space="preserve"> </w:t>
      </w:r>
    </w:p>
    <w:p w14:paraId="5C9F1E92" w14:textId="05423C9B" w:rsidR="008C27FB" w:rsidRPr="00766C6E" w:rsidRDefault="009420F7" w:rsidP="00504F2E">
      <w:pPr>
        <w:pStyle w:val="Textoindependiente"/>
        <w:spacing w:before="120" w:line="276" w:lineRule="auto"/>
        <w:ind w:right="51" w:firstLine="709"/>
        <w:jc w:val="both"/>
      </w:pPr>
      <w:r w:rsidRPr="00766C6E">
        <w:t xml:space="preserve">De todos modos, el valor </w:t>
      </w:r>
      <w:r w:rsidR="006C4025" w:rsidRPr="00766C6E">
        <w:t xml:space="preserve">total de </w:t>
      </w:r>
      <w:r w:rsidRPr="00766C6E">
        <w:t xml:space="preserve">los contratos </w:t>
      </w:r>
      <w:r w:rsidR="00DB0032" w:rsidRPr="00766C6E">
        <w:t xml:space="preserve">referidos en el </w:t>
      </w:r>
      <w:r w:rsidR="004D1855">
        <w:t>a</w:t>
      </w:r>
      <w:r w:rsidR="00DB0032" w:rsidRPr="00766C6E">
        <w:t xml:space="preserve">nexo 1 </w:t>
      </w:r>
      <w:r w:rsidRPr="00766C6E">
        <w:t xml:space="preserve">debe liquidarse </w:t>
      </w:r>
      <w:r w:rsidR="00401E43" w:rsidRPr="00766C6E">
        <w:t xml:space="preserve">en pesos colombianos </w:t>
      </w:r>
      <w:r w:rsidR="00DB0032" w:rsidRPr="00766C6E">
        <w:t>según el</w:t>
      </w:r>
      <w:r w:rsidR="00051B08" w:rsidRPr="00766C6E">
        <w:t xml:space="preserve"> salario mínimo mensual legal vigente para </w:t>
      </w:r>
      <w:r w:rsidRPr="00766C6E">
        <w:t xml:space="preserve">el momento </w:t>
      </w:r>
      <w:r w:rsidR="00DB0032" w:rsidRPr="00766C6E">
        <w:t>en el que se realiza la presentación de la oferta. Esta conversión</w:t>
      </w:r>
      <w:r w:rsidR="00051B08" w:rsidRPr="00766C6E">
        <w:t xml:space="preserve"> de salarios a pesos encuentra fundamento</w:t>
      </w:r>
      <w:r w:rsidR="00DB0032" w:rsidRPr="00766C6E">
        <w:t>, por un lado, en los criterios expuestos en la «Guía para Determinar y Verificar la Capacidad Residual del Proponente en los Procesos de Contratación de Obra Pública»</w:t>
      </w:r>
      <w:r w:rsidR="0044260A" w:rsidRPr="00766C6E">
        <w:t xml:space="preserve">, particularmente en </w:t>
      </w:r>
      <w:r w:rsidR="00051B08" w:rsidRPr="00766C6E">
        <w:t>lo que señala el párrafo 5 de la página 7 de dicho documento</w:t>
      </w:r>
      <w:r w:rsidR="0044260A" w:rsidRPr="00766C6E">
        <w:t xml:space="preserve">. Por </w:t>
      </w:r>
      <w:r w:rsidR="00DB0032" w:rsidRPr="00766C6E">
        <w:t>otro</w:t>
      </w:r>
      <w:r w:rsidR="0044260A" w:rsidRPr="00766C6E">
        <w:t xml:space="preserve"> lado</w:t>
      </w:r>
      <w:r w:rsidR="00DB0032" w:rsidRPr="00766C6E">
        <w:t xml:space="preserve">, </w:t>
      </w:r>
      <w:r w:rsidR="00051B08" w:rsidRPr="00766C6E">
        <w:t xml:space="preserve">se justifica </w:t>
      </w:r>
      <w:r w:rsidR="00DB0032" w:rsidRPr="00766C6E">
        <w:t xml:space="preserve">en el hecho </w:t>
      </w:r>
      <w:r w:rsidR="00051B08" w:rsidRPr="00766C6E">
        <w:t xml:space="preserve">de </w:t>
      </w:r>
      <w:r w:rsidR="00DB0032" w:rsidRPr="00766C6E">
        <w:t xml:space="preserve">que la fórmula a aplicar </w:t>
      </w:r>
      <w:r w:rsidR="00051B08" w:rsidRPr="00766C6E">
        <w:t xml:space="preserve">requiere que la información se exprese </w:t>
      </w:r>
      <w:r w:rsidR="00DB0032" w:rsidRPr="00766C6E">
        <w:t>en pesos y no en SMMLV.</w:t>
      </w:r>
      <w:r w:rsidR="00401826" w:rsidRPr="00766C6E">
        <w:t xml:space="preserve"> Incluso, en los conceptos C-089 </w:t>
      </w:r>
      <w:r w:rsidR="00F317B0">
        <w:t xml:space="preserve">del 4 de marzo </w:t>
      </w:r>
      <w:r w:rsidR="00401826" w:rsidRPr="00766C6E">
        <w:t xml:space="preserve">y C-222 </w:t>
      </w:r>
      <w:r w:rsidR="00F317B0">
        <w:t xml:space="preserve">del 29 de marzo </w:t>
      </w:r>
      <w:r w:rsidR="00401826" w:rsidRPr="00766C6E">
        <w:t>de 2020, esta Subdirección manifestó lo siguiente</w:t>
      </w:r>
      <w:r w:rsidR="006C4025" w:rsidRPr="00766C6E">
        <w:t>,</w:t>
      </w:r>
      <w:r w:rsidR="00401826" w:rsidRPr="00766C6E">
        <w:t xml:space="preserve"> en relación con el tema </w:t>
      </w:r>
      <w:r w:rsidR="00051B08" w:rsidRPr="00766C6E">
        <w:t xml:space="preserve">objeto de </w:t>
      </w:r>
      <w:r w:rsidR="00F05F7E" w:rsidRPr="00766C6E">
        <w:t>análisis</w:t>
      </w:r>
      <w:r w:rsidR="00401826" w:rsidRPr="00766C6E">
        <w:t>:</w:t>
      </w:r>
    </w:p>
    <w:p w14:paraId="5A1469C9" w14:textId="5C2B1EC2" w:rsidR="00745970" w:rsidRPr="00766C6E" w:rsidRDefault="00745970" w:rsidP="006C4025">
      <w:pPr>
        <w:pStyle w:val="Textoindependiente"/>
        <w:ind w:right="51" w:firstLine="709"/>
        <w:jc w:val="both"/>
      </w:pPr>
    </w:p>
    <w:p w14:paraId="7D47D10A" w14:textId="73A437DD" w:rsidR="00745970" w:rsidRPr="00766C6E" w:rsidRDefault="00745970" w:rsidP="00F317B0">
      <w:pPr>
        <w:pStyle w:val="Textoindependiente"/>
        <w:ind w:left="709" w:right="709"/>
        <w:jc w:val="both"/>
        <w:rPr>
          <w:sz w:val="21"/>
          <w:szCs w:val="21"/>
          <w:lang w:val="es-MX"/>
        </w:rPr>
      </w:pPr>
      <w:r w:rsidRPr="00766C6E">
        <w:rPr>
          <w:sz w:val="21"/>
          <w:szCs w:val="21"/>
          <w:lang w:val="es-MX"/>
        </w:rPr>
        <w:t xml:space="preserve">Por último, al observar el concepto de experiencia, como «requisito habilitante», y teniendo en cuenta que su consulta se relaciona con la experiencia, como «factor de la fórmula de la capacidad residual», de acuerdo con lo señalado para cada concepto, es decir, que el «requisito habilitante» se deriva de los contratos celebrados por el proponente que deben inscribirse en el RUP, y que el «factor de la fórmula de la capacidad residual» </w:t>
      </w:r>
      <w:r w:rsidRPr="00766C6E">
        <w:rPr>
          <w:i/>
          <w:iCs/>
          <w:sz w:val="21"/>
          <w:szCs w:val="21"/>
          <w:lang w:val="es-MX"/>
        </w:rPr>
        <w:t>está determinado por el valor total en pesos de los contratos que figuran en el RUP</w:t>
      </w:r>
      <w:r w:rsidRPr="00766C6E">
        <w:rPr>
          <w:sz w:val="21"/>
          <w:szCs w:val="21"/>
          <w:lang w:val="es-MX"/>
        </w:rPr>
        <w:t xml:space="preserve">, la experiencia en ambos casos se </w:t>
      </w:r>
      <w:r w:rsidRPr="00766C6E">
        <w:rPr>
          <w:sz w:val="21"/>
          <w:szCs w:val="21"/>
          <w:lang w:val="es-MX"/>
        </w:rPr>
        <w:lastRenderedPageBreak/>
        <w:t xml:space="preserve">refiere a la misma definición. </w:t>
      </w:r>
      <w:r w:rsidR="00E623D7">
        <w:rPr>
          <w:sz w:val="21"/>
          <w:szCs w:val="21"/>
          <w:lang w:val="es-MX"/>
        </w:rPr>
        <w:t>(Énfasis fuera de texto)</w:t>
      </w:r>
    </w:p>
    <w:p w14:paraId="201BD57C" w14:textId="77777777" w:rsidR="00401826" w:rsidRPr="00766C6E" w:rsidRDefault="00401826" w:rsidP="006C4025">
      <w:pPr>
        <w:pStyle w:val="Textoindependiente"/>
        <w:ind w:right="51" w:firstLine="709"/>
        <w:jc w:val="both"/>
      </w:pPr>
    </w:p>
    <w:p w14:paraId="46AF3677" w14:textId="41A09106" w:rsidR="00E52298" w:rsidRPr="00766C6E" w:rsidRDefault="000619F5" w:rsidP="00F317B0">
      <w:pPr>
        <w:pStyle w:val="Textoindependiente"/>
        <w:spacing w:line="276" w:lineRule="auto"/>
        <w:ind w:right="51" w:firstLine="709"/>
        <w:jc w:val="both"/>
      </w:pPr>
      <w:r w:rsidRPr="00766C6E">
        <w:t xml:space="preserve">En suma, a la entidad contratante corresponde, por una parte, establecer la capacidad residual del proceso de contratación </w:t>
      </w:r>
      <w:r w:rsidR="00AE01F1">
        <w:t>–</w:t>
      </w:r>
      <w:r w:rsidRPr="00766C6E">
        <w:t>CRPC</w:t>
      </w:r>
      <w:r w:rsidR="00AE01F1">
        <w:t>–</w:t>
      </w:r>
      <w:r w:rsidRPr="00766C6E">
        <w:t xml:space="preserve"> y, por la otra, determinar si los proponentes cumplen con la capacidad residual del proceso de contratación, claro está, teniendo en cuenta la información aportada por el </w:t>
      </w:r>
      <w:r w:rsidR="00AE01F1">
        <w:t>oferente</w:t>
      </w:r>
      <w:r w:rsidRPr="00766C6E">
        <w:t xml:space="preserve">, </w:t>
      </w:r>
      <w:r w:rsidR="006C4025" w:rsidRPr="00766C6E">
        <w:t xml:space="preserve">y </w:t>
      </w:r>
      <w:r w:rsidRPr="00766C6E">
        <w:t>según</w:t>
      </w:r>
      <w:r w:rsidR="006C4025" w:rsidRPr="00766C6E">
        <w:t xml:space="preserve"> los criterios y directrices </w:t>
      </w:r>
      <w:r w:rsidR="006A0EB7">
        <w:t>de</w:t>
      </w:r>
      <w:r w:rsidR="006C4025" w:rsidRPr="00766C6E">
        <w:t xml:space="preserve"> los párrafos precedentes</w:t>
      </w:r>
      <w:r w:rsidRPr="00766C6E">
        <w:t>.</w:t>
      </w:r>
    </w:p>
    <w:p w14:paraId="562B1415" w14:textId="7D342BD3" w:rsidR="00BE1E33" w:rsidRPr="00766C6E" w:rsidRDefault="00BE1E33" w:rsidP="00F317B0">
      <w:pPr>
        <w:spacing w:line="276" w:lineRule="auto"/>
        <w:ind w:firstLine="709"/>
        <w:jc w:val="both"/>
        <w:rPr>
          <w:rFonts w:ascii="Arial" w:hAnsi="Arial" w:cs="Arial"/>
          <w:sz w:val="21"/>
          <w:szCs w:val="21"/>
          <w:lang w:val="es-ES"/>
        </w:rPr>
      </w:pPr>
    </w:p>
    <w:p w14:paraId="4DAE4437" w14:textId="77777777" w:rsidR="00BE1E33" w:rsidRPr="00766C6E" w:rsidRDefault="00BE1E33" w:rsidP="00BE1E33">
      <w:pPr>
        <w:pStyle w:val="Prrafodelista"/>
        <w:numPr>
          <w:ilvl w:val="0"/>
          <w:numId w:val="1"/>
        </w:numPr>
        <w:tabs>
          <w:tab w:val="left" w:pos="284"/>
        </w:tabs>
        <w:spacing w:line="276" w:lineRule="auto"/>
        <w:ind w:left="0" w:firstLine="0"/>
        <w:rPr>
          <w:rFonts w:ascii="Arial" w:hAnsi="Arial" w:cs="Arial"/>
          <w:b/>
          <w:bCs/>
          <w:sz w:val="22"/>
          <w:lang w:val="es-CO"/>
        </w:rPr>
      </w:pPr>
      <w:r w:rsidRPr="00766C6E">
        <w:rPr>
          <w:rFonts w:ascii="Arial" w:hAnsi="Arial" w:cs="Arial"/>
          <w:b/>
          <w:bCs/>
          <w:sz w:val="22"/>
          <w:lang w:val="es-CO"/>
        </w:rPr>
        <w:t xml:space="preserve">Respuesta </w:t>
      </w:r>
    </w:p>
    <w:p w14:paraId="317BE2F9" w14:textId="77777777" w:rsidR="00BE1E33" w:rsidRPr="00766C6E" w:rsidRDefault="00BE1E33" w:rsidP="00BE1E33">
      <w:pPr>
        <w:spacing w:line="276" w:lineRule="auto"/>
        <w:ind w:right="709"/>
        <w:jc w:val="both"/>
        <w:rPr>
          <w:rFonts w:ascii="Arial" w:hAnsi="Arial" w:cs="Arial"/>
          <w:sz w:val="21"/>
          <w:szCs w:val="21"/>
          <w:lang w:val="es-CO"/>
        </w:rPr>
      </w:pPr>
    </w:p>
    <w:p w14:paraId="1B99A9FE" w14:textId="3D8E9FB9" w:rsidR="008A7223" w:rsidRPr="00766C6E" w:rsidRDefault="00AE01F1" w:rsidP="008A7223">
      <w:pPr>
        <w:tabs>
          <w:tab w:val="left" w:pos="426"/>
        </w:tabs>
        <w:ind w:left="709" w:right="758"/>
        <w:jc w:val="both"/>
        <w:rPr>
          <w:rFonts w:ascii="Arial" w:eastAsia="Calibri" w:hAnsi="Arial" w:cs="Arial"/>
          <w:sz w:val="22"/>
          <w:lang w:val="es-CO"/>
        </w:rPr>
      </w:pPr>
      <w:r w:rsidRPr="00AE01F1">
        <w:rPr>
          <w:rFonts w:ascii="Arial" w:eastAsia="Calibri" w:hAnsi="Arial" w:cs="Arial"/>
          <w:sz w:val="22"/>
        </w:rPr>
        <w:t xml:space="preserve">En relación con la «capacidad residual» desea «[…] saber cómo llenar el formulario del Anexo 1 Certificación de contratos para acreditación de experiencia de la Guía para determinar y verificar la capacidad residual del proponente en los procesos de contratación de obra pública». Esto, debido a que en dicho formato «piden la información […] registrada en el RUP segmento 72 clasificador UNSPSC, la </w:t>
      </w:r>
      <w:proofErr w:type="spellStart"/>
      <w:r w:rsidRPr="00AE01F1">
        <w:rPr>
          <w:rFonts w:ascii="Arial" w:eastAsia="Calibri" w:hAnsi="Arial" w:cs="Arial"/>
          <w:sz w:val="22"/>
        </w:rPr>
        <w:t>participación</w:t>
      </w:r>
      <w:proofErr w:type="spellEnd"/>
      <w:r w:rsidRPr="00AE01F1">
        <w:rPr>
          <w:rFonts w:ascii="Arial" w:eastAsia="Calibri" w:hAnsi="Arial" w:cs="Arial"/>
          <w:sz w:val="22"/>
        </w:rPr>
        <w:t xml:space="preserve"> del proponente y el valor del contrato ponderado por la participación en pesos colombianos». Por ello pregunta </w:t>
      </w:r>
      <w:proofErr w:type="gramStart"/>
      <w:r w:rsidRPr="00AE01F1">
        <w:rPr>
          <w:rFonts w:ascii="Arial" w:eastAsia="Calibri" w:hAnsi="Arial" w:cs="Arial"/>
          <w:sz w:val="22"/>
        </w:rPr>
        <w:t>« [</w:t>
      </w:r>
      <w:proofErr w:type="gramEnd"/>
      <w:r w:rsidRPr="00AE01F1">
        <w:rPr>
          <w:rFonts w:ascii="Arial" w:eastAsia="Calibri" w:hAnsi="Arial" w:cs="Arial"/>
          <w:sz w:val="22"/>
        </w:rPr>
        <w:t>…] Si la información que t[</w:t>
      </w:r>
      <w:proofErr w:type="spellStart"/>
      <w:r w:rsidRPr="00AE01F1">
        <w:rPr>
          <w:rFonts w:ascii="Arial" w:eastAsia="Calibri" w:hAnsi="Arial" w:cs="Arial"/>
          <w:sz w:val="22"/>
        </w:rPr>
        <w:t>iene</w:t>
      </w:r>
      <w:proofErr w:type="spellEnd"/>
      <w:r w:rsidRPr="00AE01F1">
        <w:rPr>
          <w:rFonts w:ascii="Arial" w:eastAsia="Calibri" w:hAnsi="Arial" w:cs="Arial"/>
          <w:sz w:val="22"/>
        </w:rPr>
        <w:t xml:space="preserve">] en el RUP de cada contrato se maneja en SMMLV y es de la experiencia de todos los años de mi empresa, como </w:t>
      </w:r>
      <w:proofErr w:type="spellStart"/>
      <w:r w:rsidRPr="00AE01F1">
        <w:rPr>
          <w:rFonts w:ascii="Arial" w:eastAsia="Calibri" w:hAnsi="Arial" w:cs="Arial"/>
          <w:sz w:val="22"/>
        </w:rPr>
        <w:t>obt</w:t>
      </w:r>
      <w:proofErr w:type="spellEnd"/>
      <w:r w:rsidRPr="00AE01F1">
        <w:rPr>
          <w:rFonts w:ascii="Arial" w:eastAsia="Calibri" w:hAnsi="Arial" w:cs="Arial"/>
          <w:sz w:val="22"/>
        </w:rPr>
        <w:t>[</w:t>
      </w:r>
      <w:proofErr w:type="spellStart"/>
      <w:r w:rsidRPr="00AE01F1">
        <w:rPr>
          <w:rFonts w:ascii="Arial" w:eastAsia="Calibri" w:hAnsi="Arial" w:cs="Arial"/>
          <w:sz w:val="22"/>
        </w:rPr>
        <w:t>iene</w:t>
      </w:r>
      <w:proofErr w:type="spellEnd"/>
      <w:r w:rsidRPr="00AE01F1">
        <w:rPr>
          <w:rFonts w:ascii="Arial" w:eastAsia="Calibri" w:hAnsi="Arial" w:cs="Arial"/>
          <w:sz w:val="22"/>
        </w:rPr>
        <w:t>] el valor del contrato para consignar en este campo? con el salario actual o con el salario del momento de ejecución del contrato» (Corchetes fuera de texto)</w:t>
      </w:r>
      <w:r w:rsidR="008A7223" w:rsidRPr="00766C6E">
        <w:rPr>
          <w:rFonts w:ascii="Arial" w:eastAsia="Calibri" w:hAnsi="Arial" w:cs="Arial"/>
          <w:sz w:val="22"/>
          <w:lang w:val="es-CO"/>
        </w:rPr>
        <w:t>.</w:t>
      </w:r>
    </w:p>
    <w:p w14:paraId="59FDFC07" w14:textId="77777777" w:rsidR="009F7860" w:rsidRPr="00766C6E" w:rsidRDefault="009F7860" w:rsidP="00BE1E33">
      <w:pPr>
        <w:jc w:val="both"/>
        <w:rPr>
          <w:rFonts w:ascii="Arial" w:eastAsia="Calibri" w:hAnsi="Arial" w:cs="Arial"/>
          <w:sz w:val="22"/>
          <w:lang w:val="es-CO"/>
        </w:rPr>
      </w:pPr>
    </w:p>
    <w:p w14:paraId="62D06627" w14:textId="20EA796F" w:rsidR="00F05F7E" w:rsidRPr="00766C6E" w:rsidRDefault="004D1855" w:rsidP="00F317B0">
      <w:pPr>
        <w:pStyle w:val="Textoindependiente"/>
        <w:spacing w:line="276" w:lineRule="auto"/>
        <w:ind w:right="51"/>
        <w:jc w:val="both"/>
      </w:pPr>
      <w:r w:rsidRPr="004D1855">
        <w:t>Para acreditar el factor experiencia –E–,</w:t>
      </w:r>
      <w:r w:rsidR="00207D2B">
        <w:t xml:space="preserve"> </w:t>
      </w:r>
      <w:r w:rsidRPr="004D1855">
        <w:t>el proponente debe suscribir el formato correspondiente al anexo 1 de la «Guía para Determinar y Verificar la Capacidad Residual del Proponente en los Procesos de Contratación de Obra Pública» −este es diferente al anexo 1 de los documentos tipo−</w:t>
      </w:r>
      <w:r w:rsidR="00F7035B" w:rsidRPr="00766C6E">
        <w:t>.</w:t>
      </w:r>
      <w:r w:rsidR="002D09E1" w:rsidRPr="00766C6E">
        <w:t xml:space="preserve"> </w:t>
      </w:r>
      <w:r w:rsidR="00F7035B" w:rsidRPr="00766C6E">
        <w:t>En criterio de la Agencia Nacional de Contratación Pública</w:t>
      </w:r>
      <w:r w:rsidR="00F05F7E" w:rsidRPr="00766C6E">
        <w:t xml:space="preserve"> el </w:t>
      </w:r>
      <w:r>
        <w:t>a</w:t>
      </w:r>
      <w:r w:rsidR="00F05F7E" w:rsidRPr="00766C6E">
        <w:t xml:space="preserve">nexo 1 hace referencia: i) al contrato relacionado con la actividad de la construcción −segmento 72, clasificador UNSPSC− y </w:t>
      </w:r>
      <w:proofErr w:type="spellStart"/>
      <w:r w:rsidR="00F05F7E" w:rsidRPr="00766C6E">
        <w:t>ii</w:t>
      </w:r>
      <w:proofErr w:type="spellEnd"/>
      <w:r w:rsidR="00F05F7E" w:rsidRPr="00766C6E">
        <w:t xml:space="preserve">) al valor de cada uno de esos contratos </w:t>
      </w:r>
      <w:proofErr w:type="gramStart"/>
      <w:r w:rsidR="00F05F7E" w:rsidRPr="00766C6E">
        <w:t>de acuerdo a</w:t>
      </w:r>
      <w:proofErr w:type="gramEnd"/>
      <w:r w:rsidR="00F05F7E" w:rsidRPr="00766C6E">
        <w:t xml:space="preserve"> los salarios mínimos mensuales legales vigentes </w:t>
      </w:r>
      <w:r>
        <w:t>–</w:t>
      </w:r>
      <w:r w:rsidR="00F05F7E" w:rsidRPr="00766C6E">
        <w:t>SMMLV</w:t>
      </w:r>
      <w:r>
        <w:t>–</w:t>
      </w:r>
      <w:r w:rsidR="00F05F7E" w:rsidRPr="00766C6E">
        <w:t xml:space="preserve"> registrados en el RUP</w:t>
      </w:r>
      <w:r w:rsidR="00F05F7E" w:rsidRPr="00766C6E">
        <w:rPr>
          <w:rStyle w:val="Refdenotaalpie"/>
        </w:rPr>
        <w:footnoteReference w:id="5"/>
      </w:r>
      <w:r w:rsidR="00F05F7E" w:rsidRPr="00766C6E">
        <w:t xml:space="preserve">. De ser necesario, el proponente tendrá que diligenciar la casilla del porcentaje de «participación del proponente en el contratista plural» y calcular, según dicho porcentaje, el valor del contrato </w:t>
      </w:r>
      <w:proofErr w:type="gramStart"/>
      <w:r w:rsidR="00F05F7E" w:rsidRPr="00766C6E">
        <w:t>a</w:t>
      </w:r>
      <w:proofErr w:type="gramEnd"/>
      <w:r w:rsidR="00F05F7E" w:rsidRPr="00766C6E">
        <w:t xml:space="preserve"> tener en cuenta. </w:t>
      </w:r>
    </w:p>
    <w:p w14:paraId="6FEBD6A2" w14:textId="58B5E40E" w:rsidR="00F05F7E" w:rsidRPr="00766C6E" w:rsidRDefault="00F05F7E" w:rsidP="00F05F7E">
      <w:pPr>
        <w:pStyle w:val="Textoindependiente"/>
        <w:spacing w:before="120" w:line="276" w:lineRule="auto"/>
        <w:ind w:right="51" w:firstLine="709"/>
        <w:jc w:val="both"/>
      </w:pPr>
      <w:r w:rsidRPr="00766C6E">
        <w:t xml:space="preserve">De todos modos, el valor total de los contratos referidos en el </w:t>
      </w:r>
      <w:r w:rsidR="004D1855">
        <w:t>a</w:t>
      </w:r>
      <w:r w:rsidRPr="00766C6E">
        <w:t xml:space="preserve">nexo 1 debe </w:t>
      </w:r>
      <w:r w:rsidRPr="00766C6E">
        <w:lastRenderedPageBreak/>
        <w:t>liquidarse</w:t>
      </w:r>
      <w:r w:rsidR="00B95D9E" w:rsidRPr="00766C6E">
        <w:t xml:space="preserve"> en pesos colombianos</w:t>
      </w:r>
      <w:r w:rsidRPr="00766C6E">
        <w:t xml:space="preserve"> según el salario mínimo mensual legal vigente para el momento en el que se realiza la presentación de la oferta. Esta conversión de salarios a pesos encuentra fundamento, por un lado, en los criterios expuestos en la «Guía para Determinar y Verificar la Capacidad Residual del Proponente en los Procesos de Contratación de Obra Pública», particularmente en lo que señala el párrafo 5 de la página 7 de dicho documento. Por otro lado, se justifica en el hecho de que la fórmula a aplicar requiere que la información se exprese en pesos</w:t>
      </w:r>
      <w:r w:rsidR="00952AB2">
        <w:t>,</w:t>
      </w:r>
      <w:r w:rsidRPr="00766C6E">
        <w:t xml:space="preserve"> no en SMMLV.</w:t>
      </w:r>
    </w:p>
    <w:p w14:paraId="397B84FC" w14:textId="77777777" w:rsidR="008A7223" w:rsidRPr="00766C6E" w:rsidRDefault="008A7223" w:rsidP="00F317B0">
      <w:pPr>
        <w:spacing w:line="276" w:lineRule="auto"/>
        <w:jc w:val="both"/>
        <w:rPr>
          <w:rFonts w:ascii="Arial" w:eastAsia="Calibri" w:hAnsi="Arial" w:cs="Arial"/>
          <w:sz w:val="22"/>
        </w:rPr>
      </w:pPr>
    </w:p>
    <w:p w14:paraId="66CE4DD8" w14:textId="711B2586" w:rsidR="00BE1E33" w:rsidRPr="00766C6E" w:rsidRDefault="00BE1E33" w:rsidP="00F05F7E">
      <w:pPr>
        <w:spacing w:before="120" w:line="276" w:lineRule="auto"/>
        <w:jc w:val="both"/>
        <w:rPr>
          <w:rFonts w:ascii="Arial" w:eastAsia="Calibri" w:hAnsi="Arial" w:cs="Arial"/>
          <w:sz w:val="22"/>
        </w:rPr>
      </w:pPr>
      <w:r w:rsidRPr="00766C6E">
        <w:rPr>
          <w:rFonts w:ascii="Arial" w:eastAsia="Calibri" w:hAnsi="Arial" w:cs="Arial"/>
          <w:sz w:val="22"/>
        </w:rPr>
        <w:t>Este concepto tiene el alcance previsto en el artículo 28 del Código de Procedimiento Administrativo y de lo Contencioso Administrativo.</w:t>
      </w:r>
    </w:p>
    <w:p w14:paraId="138D33A2" w14:textId="77777777" w:rsidR="00BE1E33" w:rsidRPr="00766C6E" w:rsidRDefault="00BE1E33" w:rsidP="00F05F7E">
      <w:pPr>
        <w:spacing w:line="276" w:lineRule="auto"/>
        <w:ind w:firstLine="709"/>
        <w:jc w:val="both"/>
        <w:rPr>
          <w:rFonts w:ascii="Arial" w:eastAsia="Calibri" w:hAnsi="Arial" w:cs="Arial"/>
          <w:sz w:val="22"/>
        </w:rPr>
      </w:pPr>
    </w:p>
    <w:p w14:paraId="2B02915D" w14:textId="77777777" w:rsidR="00BE1E33" w:rsidRPr="00766C6E" w:rsidRDefault="00BE1E33" w:rsidP="00F05F7E">
      <w:pPr>
        <w:spacing w:line="276" w:lineRule="auto"/>
        <w:jc w:val="both"/>
        <w:rPr>
          <w:rFonts w:ascii="Arial" w:eastAsia="Times New Roman" w:hAnsi="Arial" w:cs="Arial"/>
          <w:sz w:val="22"/>
          <w:lang w:eastAsia="es-CO"/>
        </w:rPr>
      </w:pPr>
      <w:r w:rsidRPr="00766C6E">
        <w:rPr>
          <w:rFonts w:ascii="Arial" w:eastAsia="Times New Roman" w:hAnsi="Arial" w:cs="Arial"/>
          <w:sz w:val="22"/>
          <w:lang w:eastAsia="es-CO"/>
        </w:rPr>
        <w:t>Atentamente,</w:t>
      </w:r>
    </w:p>
    <w:bookmarkEnd w:id="0"/>
    <w:bookmarkEnd w:id="1"/>
    <w:p w14:paraId="1C8F6984" w14:textId="3FD69304" w:rsidR="00BE1E33" w:rsidRDefault="00452B3C" w:rsidP="00BE1E33">
      <w:pPr>
        <w:jc w:val="center"/>
        <w:rPr>
          <w:rFonts w:ascii="Arial" w:eastAsia="Times New Roman" w:hAnsi="Arial" w:cs="Arial"/>
          <w:sz w:val="18"/>
          <w:szCs w:val="20"/>
          <w:lang w:eastAsia="es-CO"/>
        </w:rPr>
      </w:pPr>
      <w:r>
        <w:rPr>
          <w:noProof/>
        </w:rPr>
        <w:drawing>
          <wp:inline distT="0" distB="0" distL="0" distR="0" wp14:anchorId="070546C0" wp14:editId="4938F6A4">
            <wp:extent cx="2773045" cy="988695"/>
            <wp:effectExtent l="0" t="0" r="0" b="0"/>
            <wp:docPr id="1985468000"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4">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25D2CD42" w14:textId="77777777" w:rsidR="00452B3C" w:rsidRPr="00766C6E" w:rsidRDefault="00452B3C" w:rsidP="00BE1E33">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66C6E" w:rsidRPr="00766C6E" w14:paraId="7E5CB93D" w14:textId="77777777" w:rsidTr="004101BC">
        <w:trPr>
          <w:trHeight w:val="315"/>
        </w:trPr>
        <w:tc>
          <w:tcPr>
            <w:tcW w:w="812" w:type="dxa"/>
            <w:vAlign w:val="center"/>
            <w:hideMark/>
          </w:tcPr>
          <w:p w14:paraId="44CFA06E" w14:textId="77777777" w:rsidR="00BE1E33" w:rsidRPr="00766C6E" w:rsidRDefault="00BE1E33" w:rsidP="004101BC">
            <w:pPr>
              <w:rPr>
                <w:rFonts w:ascii="Arial" w:eastAsia="Times New Roman" w:hAnsi="Arial" w:cs="Arial"/>
                <w:sz w:val="16"/>
                <w:szCs w:val="16"/>
                <w:lang w:eastAsia="es-ES"/>
              </w:rPr>
            </w:pPr>
            <w:r w:rsidRPr="00766C6E">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77777777" w:rsidR="00BE1E33" w:rsidRPr="00766C6E" w:rsidRDefault="00BE1E33" w:rsidP="004101BC">
            <w:pPr>
              <w:rPr>
                <w:rFonts w:ascii="Arial" w:eastAsia="Times New Roman" w:hAnsi="Arial" w:cs="Arial"/>
                <w:sz w:val="16"/>
                <w:szCs w:val="16"/>
                <w:lang w:eastAsia="es-ES"/>
              </w:rPr>
            </w:pPr>
            <w:r w:rsidRPr="00766C6E">
              <w:rPr>
                <w:rFonts w:ascii="Arial" w:eastAsia="Times New Roman" w:hAnsi="Arial" w:cs="Arial"/>
                <w:sz w:val="16"/>
                <w:szCs w:val="16"/>
                <w:lang w:eastAsia="es-ES"/>
              </w:rPr>
              <w:t>David Castellanos Carreño</w:t>
            </w:r>
          </w:p>
          <w:p w14:paraId="6C4A6DA1" w14:textId="55CE20EE" w:rsidR="00982E99" w:rsidRPr="00766C6E" w:rsidRDefault="00982E99" w:rsidP="004101BC">
            <w:pPr>
              <w:rPr>
                <w:rFonts w:ascii="Arial" w:eastAsia="Times New Roman" w:hAnsi="Arial" w:cs="Arial"/>
                <w:sz w:val="16"/>
                <w:szCs w:val="16"/>
                <w:lang w:eastAsia="es-ES"/>
              </w:rPr>
            </w:pPr>
            <w:r w:rsidRPr="00766C6E">
              <w:rPr>
                <w:rFonts w:ascii="Arial" w:eastAsia="Times New Roman" w:hAnsi="Arial" w:cs="Arial"/>
                <w:sz w:val="16"/>
                <w:szCs w:val="16"/>
                <w:lang w:eastAsia="es-ES"/>
              </w:rPr>
              <w:t>Contratista</w:t>
            </w:r>
            <w:r w:rsidR="00971932">
              <w:rPr>
                <w:rFonts w:ascii="Arial" w:eastAsia="Times New Roman" w:hAnsi="Arial" w:cs="Arial"/>
                <w:sz w:val="16"/>
                <w:szCs w:val="16"/>
                <w:lang w:eastAsia="es-ES"/>
              </w:rPr>
              <w:t xml:space="preserve"> de la</w:t>
            </w:r>
            <w:r w:rsidR="00976C8D" w:rsidRPr="00766C6E">
              <w:rPr>
                <w:rFonts w:ascii="Arial" w:eastAsia="Times New Roman" w:hAnsi="Arial" w:cs="Arial"/>
                <w:sz w:val="16"/>
                <w:szCs w:val="16"/>
                <w:lang w:eastAsia="es-ES"/>
              </w:rPr>
              <w:t xml:space="preserve"> </w:t>
            </w:r>
            <w:r w:rsidRPr="00766C6E">
              <w:rPr>
                <w:rFonts w:ascii="Arial" w:eastAsia="Times New Roman" w:hAnsi="Arial" w:cs="Arial"/>
                <w:sz w:val="16"/>
                <w:szCs w:val="16"/>
                <w:lang w:eastAsia="es-ES"/>
              </w:rPr>
              <w:t>Subdirección de Gestión Contractual</w:t>
            </w:r>
          </w:p>
        </w:tc>
      </w:tr>
      <w:tr w:rsidR="00766C6E" w:rsidRPr="00766C6E" w14:paraId="092BCD16" w14:textId="77777777" w:rsidTr="004101BC">
        <w:trPr>
          <w:trHeight w:val="330"/>
        </w:trPr>
        <w:tc>
          <w:tcPr>
            <w:tcW w:w="812" w:type="dxa"/>
            <w:vAlign w:val="center"/>
            <w:hideMark/>
          </w:tcPr>
          <w:p w14:paraId="463B4DD3" w14:textId="77777777" w:rsidR="00BE1E33" w:rsidRPr="00766C6E" w:rsidRDefault="00BE1E33" w:rsidP="004101BC">
            <w:pPr>
              <w:rPr>
                <w:rFonts w:ascii="Arial" w:eastAsia="Times New Roman" w:hAnsi="Arial" w:cs="Arial"/>
                <w:sz w:val="16"/>
                <w:szCs w:val="16"/>
                <w:lang w:eastAsia="es-ES"/>
              </w:rPr>
            </w:pPr>
            <w:r w:rsidRPr="00766C6E">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43F2927" w14:textId="28B54744" w:rsidR="006F3470" w:rsidRPr="00766C6E" w:rsidRDefault="00971932" w:rsidP="006F3470">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72718C99" w14:textId="1F1A0FB4" w:rsidR="00BE1E33" w:rsidRPr="00766C6E" w:rsidRDefault="00971932" w:rsidP="006F3470">
            <w:pPr>
              <w:rPr>
                <w:rFonts w:ascii="Arial" w:eastAsia="Times New Roman" w:hAnsi="Arial" w:cs="Arial"/>
                <w:sz w:val="16"/>
                <w:szCs w:val="16"/>
                <w:lang w:eastAsia="es-ES"/>
              </w:rPr>
            </w:pPr>
            <w:r w:rsidRPr="00766C6E">
              <w:rPr>
                <w:rFonts w:ascii="Arial" w:eastAsia="Times New Roman" w:hAnsi="Arial" w:cs="Arial"/>
                <w:sz w:val="16"/>
                <w:szCs w:val="16"/>
                <w:lang w:eastAsia="es-ES"/>
              </w:rPr>
              <w:t>Contratista</w:t>
            </w:r>
            <w:r>
              <w:rPr>
                <w:rFonts w:ascii="Arial" w:eastAsia="Times New Roman" w:hAnsi="Arial" w:cs="Arial"/>
                <w:sz w:val="16"/>
                <w:szCs w:val="16"/>
                <w:lang w:eastAsia="es-ES"/>
              </w:rPr>
              <w:t xml:space="preserve"> de la</w:t>
            </w:r>
            <w:r w:rsidRPr="00766C6E">
              <w:rPr>
                <w:rFonts w:ascii="Arial" w:eastAsia="Times New Roman" w:hAnsi="Arial" w:cs="Arial"/>
                <w:sz w:val="16"/>
                <w:szCs w:val="16"/>
                <w:lang w:eastAsia="es-ES"/>
              </w:rPr>
              <w:t xml:space="preserve"> Subdirección de Gestión Contractual</w:t>
            </w:r>
          </w:p>
        </w:tc>
      </w:tr>
      <w:tr w:rsidR="00982E99" w:rsidRPr="00766C6E" w14:paraId="57DAFEF9" w14:textId="77777777" w:rsidTr="004101BC">
        <w:trPr>
          <w:trHeight w:val="300"/>
        </w:trPr>
        <w:tc>
          <w:tcPr>
            <w:tcW w:w="812" w:type="dxa"/>
            <w:vAlign w:val="center"/>
            <w:hideMark/>
          </w:tcPr>
          <w:p w14:paraId="70677013" w14:textId="77777777" w:rsidR="00BE1E33" w:rsidRPr="00766C6E" w:rsidRDefault="00BE1E33" w:rsidP="004101BC">
            <w:pPr>
              <w:rPr>
                <w:rFonts w:ascii="Arial" w:eastAsia="Times New Roman" w:hAnsi="Arial" w:cs="Arial"/>
                <w:sz w:val="16"/>
                <w:szCs w:val="16"/>
                <w:lang w:eastAsia="es-ES"/>
              </w:rPr>
            </w:pPr>
            <w:r w:rsidRPr="00766C6E">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766C6E" w:rsidRDefault="00BE1E33" w:rsidP="004101BC">
            <w:pPr>
              <w:rPr>
                <w:rFonts w:ascii="Arial" w:eastAsia="Times New Roman" w:hAnsi="Arial" w:cs="Arial"/>
                <w:sz w:val="16"/>
                <w:szCs w:val="16"/>
                <w:lang w:eastAsia="es-ES"/>
              </w:rPr>
            </w:pPr>
            <w:r w:rsidRPr="00766C6E">
              <w:rPr>
                <w:rFonts w:ascii="Arial" w:eastAsia="Times New Roman" w:hAnsi="Arial" w:cs="Arial"/>
                <w:sz w:val="16"/>
                <w:szCs w:val="16"/>
                <w:lang w:eastAsia="es-ES"/>
              </w:rPr>
              <w:t>Fabián Gonzalo Marín Cortés</w:t>
            </w:r>
          </w:p>
          <w:p w14:paraId="75BC677C" w14:textId="77777777" w:rsidR="00BE1E33" w:rsidRPr="00766C6E" w:rsidRDefault="00BE1E33" w:rsidP="004101BC">
            <w:pPr>
              <w:rPr>
                <w:rFonts w:ascii="Arial" w:eastAsia="Times New Roman" w:hAnsi="Arial" w:cs="Arial"/>
                <w:sz w:val="16"/>
                <w:szCs w:val="16"/>
                <w:lang w:eastAsia="es-ES"/>
              </w:rPr>
            </w:pPr>
            <w:r w:rsidRPr="00766C6E">
              <w:rPr>
                <w:rFonts w:ascii="Arial" w:eastAsia="Times New Roman" w:hAnsi="Arial" w:cs="Arial"/>
                <w:sz w:val="16"/>
                <w:szCs w:val="16"/>
                <w:lang w:eastAsia="es-ES"/>
              </w:rPr>
              <w:t>Subdirector de Gestión Contractual</w:t>
            </w:r>
          </w:p>
        </w:tc>
      </w:tr>
    </w:tbl>
    <w:p w14:paraId="07748B46" w14:textId="77777777" w:rsidR="00BE1E33" w:rsidRPr="00766C6E" w:rsidRDefault="00BE1E33" w:rsidP="00BE1E33">
      <w:pPr>
        <w:rPr>
          <w:rFonts w:ascii="Arial" w:hAnsi="Arial" w:cs="Arial"/>
        </w:rPr>
      </w:pPr>
    </w:p>
    <w:p w14:paraId="085A31AB" w14:textId="77777777" w:rsidR="006C5955" w:rsidRPr="00766C6E" w:rsidRDefault="006C5955" w:rsidP="00BE1E33"/>
    <w:sectPr w:rsidR="006C5955" w:rsidRPr="00766C6E" w:rsidSect="005D791B">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CD740" w14:textId="77777777" w:rsidR="002A4E39" w:rsidRDefault="002A4E39" w:rsidP="008C487C">
      <w:r>
        <w:separator/>
      </w:r>
    </w:p>
  </w:endnote>
  <w:endnote w:type="continuationSeparator" w:id="0">
    <w:p w14:paraId="1D162B9E" w14:textId="77777777" w:rsidR="002A4E39" w:rsidRDefault="002A4E39"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52A1" w14:textId="77777777" w:rsidR="00F501D2" w:rsidRDefault="00F501D2" w:rsidP="00280E5D">
    <w:pPr>
      <w:pStyle w:val="Sinespaciado"/>
      <w:rPr>
        <w:rFonts w:ascii="Arial" w:hAnsi="Arial" w:cs="Arial"/>
        <w:sz w:val="18"/>
        <w:szCs w:val="18"/>
      </w:rPr>
    </w:pPr>
  </w:p>
  <w:p w14:paraId="3D3EB348" w14:textId="77777777"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2232E">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2232E">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29709EEF" w14:textId="77777777" w:rsidR="009047C5" w:rsidRDefault="59C812A4" w:rsidP="00322937">
    <w:pPr>
      <w:pStyle w:val="Piedepgina"/>
      <w:jc w:val="center"/>
      <w:rPr>
        <w:lang w:val="es-ES"/>
      </w:rPr>
    </w:pPr>
    <w:r>
      <w:rPr>
        <w:noProof/>
      </w:rPr>
      <w:drawing>
        <wp:inline distT="0" distB="0" distL="0" distR="0" wp14:anchorId="0323F87D" wp14:editId="26D59C9A">
          <wp:extent cx="3700130" cy="519139"/>
          <wp:effectExtent l="0" t="0" r="0" b="0"/>
          <wp:docPr id="145567335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322937" w:rsidRPr="00E756AC" w:rsidRDefault="002A4E39" w:rsidP="007B0854">
    <w:pPr>
      <w:pStyle w:val="Piedepgina"/>
      <w:jc w:val="center"/>
      <w:rPr>
        <w:sz w:val="18"/>
        <w:szCs w:val="18"/>
        <w:lang w:val="es-ES"/>
      </w:rPr>
    </w:pPr>
  </w:p>
  <w:p w14:paraId="428179B1" w14:textId="77777777" w:rsidR="004A34D2" w:rsidRPr="00E756AC" w:rsidRDefault="002A4E39"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DD9A8" w14:textId="77777777" w:rsidR="002A4E39" w:rsidRDefault="002A4E39" w:rsidP="008C487C">
      <w:r>
        <w:separator/>
      </w:r>
    </w:p>
  </w:footnote>
  <w:footnote w:type="continuationSeparator" w:id="0">
    <w:p w14:paraId="6C5D3976" w14:textId="77777777" w:rsidR="002A4E39" w:rsidRDefault="002A4E39" w:rsidP="008C487C">
      <w:r>
        <w:continuationSeparator/>
      </w:r>
    </w:p>
  </w:footnote>
  <w:footnote w:id="1">
    <w:p w14:paraId="4FD4E364" w14:textId="77777777" w:rsidR="00137F39" w:rsidRPr="00F317B0" w:rsidRDefault="00137F39" w:rsidP="00401826">
      <w:pPr>
        <w:ind w:right="49" w:firstLine="720"/>
        <w:jc w:val="both"/>
        <w:rPr>
          <w:rFonts w:ascii="Arial" w:hAnsi="Arial" w:cs="Arial"/>
          <w:sz w:val="19"/>
          <w:szCs w:val="19"/>
        </w:rPr>
      </w:pPr>
      <w:r w:rsidRPr="00F317B0">
        <w:rPr>
          <w:rStyle w:val="Refdenotaalpie"/>
          <w:rFonts w:ascii="Arial" w:hAnsi="Arial" w:cs="Arial"/>
          <w:sz w:val="19"/>
          <w:szCs w:val="19"/>
        </w:rPr>
        <w:footnoteRef/>
      </w:r>
      <w:r w:rsidRPr="00F317B0">
        <w:rPr>
          <w:rFonts w:ascii="Arial" w:hAnsi="Arial" w:cs="Arial"/>
          <w:sz w:val="19"/>
          <w:szCs w:val="19"/>
        </w:rPr>
        <w:t xml:space="preserve"> 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F317B0">
        <w:rPr>
          <w:rFonts w:ascii="Arial" w:hAnsi="Arial" w:cs="Arial"/>
          <w:spacing w:val="-14"/>
          <w:sz w:val="19"/>
          <w:szCs w:val="19"/>
        </w:rPr>
        <w:t xml:space="preserve"> </w:t>
      </w:r>
      <w:r w:rsidRPr="00F317B0">
        <w:rPr>
          <w:rFonts w:ascii="Arial" w:hAnsi="Arial" w:cs="Arial"/>
          <w:sz w:val="19"/>
          <w:szCs w:val="19"/>
        </w:rPr>
        <w:t>utilizados.</w:t>
      </w:r>
    </w:p>
    <w:p w14:paraId="4E9CC62D" w14:textId="485B6498" w:rsidR="00137F39" w:rsidRPr="00F317B0" w:rsidRDefault="00137F39">
      <w:pPr>
        <w:ind w:right="49" w:firstLine="708"/>
        <w:jc w:val="both"/>
        <w:rPr>
          <w:rFonts w:ascii="Arial" w:hAnsi="Arial" w:cs="Arial"/>
          <w:sz w:val="19"/>
          <w:szCs w:val="19"/>
        </w:rPr>
      </w:pPr>
      <w:r w:rsidRPr="00F317B0">
        <w:rPr>
          <w:rFonts w:ascii="Arial" w:hAnsi="Arial" w:cs="Arial"/>
          <w:sz w:val="19"/>
          <w:szCs w:val="19"/>
        </w:rPr>
        <w:t>[…]</w:t>
      </w:r>
    </w:p>
    <w:p w14:paraId="2BE9B0C5" w14:textId="2515BFC4" w:rsidR="00137F39" w:rsidRPr="00F317B0" w:rsidRDefault="00137F39" w:rsidP="00401826">
      <w:pPr>
        <w:ind w:right="49" w:firstLine="708"/>
        <w:jc w:val="both"/>
        <w:rPr>
          <w:rFonts w:ascii="Arial" w:hAnsi="Arial" w:cs="Arial"/>
          <w:sz w:val="19"/>
          <w:szCs w:val="19"/>
        </w:rPr>
      </w:pPr>
      <w:proofErr w:type="gramStart"/>
      <w:r w:rsidRPr="00F317B0">
        <w:rPr>
          <w:rFonts w:ascii="Arial" w:hAnsi="Arial" w:cs="Arial"/>
          <w:sz w:val="19"/>
          <w:szCs w:val="19"/>
        </w:rPr>
        <w:t>»Capacidad</w:t>
      </w:r>
      <w:proofErr w:type="gramEnd"/>
      <w:r w:rsidRPr="00F317B0">
        <w:rPr>
          <w:rFonts w:ascii="Arial" w:hAnsi="Arial" w:cs="Arial"/>
          <w:sz w:val="19"/>
          <w:szCs w:val="19"/>
        </w:rPr>
        <w:t xml:space="preserve"> Residual o K de Contratación: Aptitud de un oferente para cumplir oportuna y cabalmente con el objeto de un contrato de obra, sin que sus otros compromisos contractuales afecten su habilidad de cumplir con el contrato que está en proceso de selección».</w:t>
      </w:r>
    </w:p>
    <w:p w14:paraId="4E6A9BBE" w14:textId="77777777" w:rsidR="00377E57" w:rsidRPr="00F317B0" w:rsidRDefault="00377E57" w:rsidP="00401826">
      <w:pPr>
        <w:ind w:right="49" w:firstLine="708"/>
        <w:jc w:val="both"/>
        <w:rPr>
          <w:rFonts w:ascii="Arial" w:hAnsi="Arial" w:cs="Arial"/>
          <w:sz w:val="19"/>
          <w:szCs w:val="19"/>
        </w:rPr>
      </w:pPr>
    </w:p>
  </w:footnote>
  <w:footnote w:id="2">
    <w:p w14:paraId="1830AAD6" w14:textId="458F5597" w:rsidR="00F419B1" w:rsidRPr="00F317B0" w:rsidRDefault="00F419B1" w:rsidP="00401826">
      <w:pPr>
        <w:ind w:right="49" w:firstLine="720"/>
        <w:jc w:val="both"/>
        <w:rPr>
          <w:rFonts w:ascii="Arial" w:hAnsi="Arial" w:cs="Arial"/>
          <w:sz w:val="19"/>
          <w:szCs w:val="19"/>
        </w:rPr>
      </w:pPr>
      <w:r w:rsidRPr="00F317B0">
        <w:rPr>
          <w:rStyle w:val="Refdenotaalpie"/>
          <w:rFonts w:ascii="Arial" w:hAnsi="Arial" w:cs="Arial"/>
          <w:sz w:val="19"/>
          <w:szCs w:val="19"/>
        </w:rPr>
        <w:footnoteRef/>
      </w:r>
      <w:r w:rsidRPr="00F317B0">
        <w:rPr>
          <w:rFonts w:ascii="Arial" w:hAnsi="Arial" w:cs="Arial"/>
          <w:sz w:val="19"/>
          <w:szCs w:val="19"/>
        </w:rPr>
        <w:t xml:space="preserve"> Consejo de Estado. Sección Tercera. </w:t>
      </w:r>
      <w:r w:rsidR="004221B5" w:rsidRPr="00F317B0">
        <w:rPr>
          <w:rFonts w:ascii="Arial" w:hAnsi="Arial" w:cs="Arial"/>
          <w:sz w:val="19"/>
          <w:szCs w:val="19"/>
        </w:rPr>
        <w:t xml:space="preserve">Providencia del 26 de junio de 2003. </w:t>
      </w:r>
      <w:proofErr w:type="spellStart"/>
      <w:r w:rsidR="004221B5" w:rsidRPr="00F317B0">
        <w:rPr>
          <w:rFonts w:ascii="Arial" w:hAnsi="Arial" w:cs="Arial"/>
          <w:sz w:val="19"/>
          <w:szCs w:val="19"/>
        </w:rPr>
        <w:t>Exp</w:t>
      </w:r>
      <w:proofErr w:type="spellEnd"/>
      <w:r w:rsidR="004221B5" w:rsidRPr="00F317B0">
        <w:rPr>
          <w:rFonts w:ascii="Arial" w:hAnsi="Arial" w:cs="Arial"/>
          <w:sz w:val="19"/>
          <w:szCs w:val="19"/>
        </w:rPr>
        <w:t xml:space="preserve">. 13.354. M.P. </w:t>
      </w:r>
      <w:r w:rsidRPr="00F317B0">
        <w:rPr>
          <w:rFonts w:ascii="Arial" w:hAnsi="Arial" w:cs="Arial"/>
          <w:sz w:val="19"/>
          <w:szCs w:val="19"/>
        </w:rPr>
        <w:t>María Elena Giraldo Gómez.</w:t>
      </w:r>
    </w:p>
    <w:p w14:paraId="1E16813A" w14:textId="77777777" w:rsidR="00F419B1" w:rsidRPr="00F317B0" w:rsidRDefault="00F419B1" w:rsidP="00401826">
      <w:pPr>
        <w:pStyle w:val="Textonotapie"/>
        <w:ind w:right="49"/>
        <w:jc w:val="both"/>
        <w:rPr>
          <w:rFonts w:ascii="Arial" w:hAnsi="Arial" w:cs="Arial"/>
          <w:sz w:val="19"/>
          <w:szCs w:val="19"/>
          <w:lang w:val="es-CO"/>
        </w:rPr>
      </w:pPr>
    </w:p>
  </w:footnote>
  <w:footnote w:id="3">
    <w:p w14:paraId="52720658" w14:textId="5A17ED42" w:rsidR="00F91408" w:rsidRPr="00F317B0" w:rsidRDefault="00F91408" w:rsidP="00F317B0">
      <w:pPr>
        <w:ind w:right="49" w:firstLine="709"/>
        <w:jc w:val="both"/>
      </w:pPr>
      <w:r w:rsidRPr="00F317B0">
        <w:rPr>
          <w:rStyle w:val="Refdenotaalpie"/>
          <w:rFonts w:ascii="Arial" w:hAnsi="Arial" w:cs="Arial"/>
          <w:sz w:val="19"/>
          <w:szCs w:val="19"/>
        </w:rPr>
        <w:footnoteRef/>
      </w:r>
      <w:r w:rsidRPr="00F317B0">
        <w:rPr>
          <w:rFonts w:ascii="Arial" w:hAnsi="Arial" w:cs="Arial"/>
          <w:sz w:val="19"/>
          <w:szCs w:val="19"/>
        </w:rPr>
        <w:t xml:space="preserve"> Decreto 1082 de 2015. </w:t>
      </w:r>
      <w:r w:rsidR="00E238E2" w:rsidRPr="00F317B0">
        <w:rPr>
          <w:rFonts w:ascii="Arial" w:hAnsi="Arial" w:cs="Arial"/>
          <w:sz w:val="19"/>
          <w:szCs w:val="19"/>
        </w:rPr>
        <w:t>«</w:t>
      </w:r>
      <w:r w:rsidRPr="00F317B0">
        <w:rPr>
          <w:rFonts w:ascii="Arial" w:hAnsi="Arial" w:cs="Arial"/>
          <w:sz w:val="19"/>
          <w:szCs w:val="19"/>
        </w:rPr>
        <w:t>Artículo 2.2.1.1.1.6.4. Capacidad Residual. El interesado en celebrar contratos de obra pública con Entidades Estatales debe acreditar su Capacidad Residual o K de Contratación con los siguientes</w:t>
      </w:r>
      <w:r w:rsidRPr="00F317B0">
        <w:rPr>
          <w:rFonts w:ascii="Arial" w:hAnsi="Arial" w:cs="Arial"/>
          <w:spacing w:val="-3"/>
          <w:sz w:val="19"/>
          <w:szCs w:val="19"/>
        </w:rPr>
        <w:t xml:space="preserve"> </w:t>
      </w:r>
      <w:r w:rsidRPr="00F317B0">
        <w:rPr>
          <w:rFonts w:ascii="Arial" w:hAnsi="Arial" w:cs="Arial"/>
          <w:sz w:val="19"/>
          <w:szCs w:val="19"/>
        </w:rPr>
        <w:t>documentos:</w:t>
      </w:r>
    </w:p>
    <w:p w14:paraId="33BB1F95" w14:textId="62F5E8CC" w:rsidR="00F91408" w:rsidRPr="00F317B0" w:rsidRDefault="00E238E2" w:rsidP="00F317B0">
      <w:pPr>
        <w:ind w:right="49" w:firstLine="709"/>
        <w:jc w:val="both"/>
      </w:pPr>
      <w:r w:rsidRPr="00F317B0">
        <w:rPr>
          <w:rFonts w:ascii="Arial" w:hAnsi="Arial" w:cs="Arial"/>
          <w:sz w:val="19"/>
          <w:szCs w:val="19"/>
        </w:rPr>
        <w:t>»</w:t>
      </w:r>
      <w:r w:rsidR="00F91408" w:rsidRPr="00F317B0">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w:t>
      </w:r>
      <w:r w:rsidR="00F91408" w:rsidRPr="00F317B0">
        <w:rPr>
          <w:rFonts w:ascii="Arial" w:hAnsi="Arial" w:cs="Arial"/>
          <w:spacing w:val="-4"/>
          <w:sz w:val="19"/>
          <w:szCs w:val="19"/>
        </w:rPr>
        <w:t xml:space="preserve"> </w:t>
      </w:r>
      <w:r w:rsidR="00F91408" w:rsidRPr="00F317B0">
        <w:rPr>
          <w:rFonts w:ascii="Arial" w:hAnsi="Arial" w:cs="Arial"/>
          <w:sz w:val="19"/>
          <w:szCs w:val="19"/>
        </w:rPr>
        <w:t>concesionarios.</w:t>
      </w:r>
    </w:p>
    <w:p w14:paraId="10DDD527" w14:textId="0EF0C290" w:rsidR="00F91408" w:rsidRPr="00F317B0" w:rsidRDefault="00E238E2" w:rsidP="00F317B0">
      <w:pPr>
        <w:ind w:right="49" w:firstLine="709"/>
        <w:jc w:val="both"/>
        <w:rPr>
          <w:rFonts w:ascii="Arial" w:hAnsi="Arial" w:cs="Arial"/>
          <w:sz w:val="19"/>
          <w:szCs w:val="19"/>
        </w:rPr>
      </w:pPr>
      <w:r w:rsidRPr="00F317B0">
        <w:rPr>
          <w:rFonts w:ascii="Arial" w:hAnsi="Arial" w:cs="Arial"/>
          <w:sz w:val="19"/>
          <w:szCs w:val="19"/>
        </w:rPr>
        <w:t>»</w:t>
      </w:r>
      <w:r w:rsidR="00F91408" w:rsidRPr="00F317B0">
        <w:rPr>
          <w:rFonts w:ascii="Arial" w:hAnsi="Arial" w:cs="Arial"/>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2307EF90" w14:textId="4564C9BB" w:rsidR="00F91408" w:rsidRPr="00F317B0" w:rsidRDefault="00E238E2" w:rsidP="00F317B0">
      <w:pPr>
        <w:ind w:right="49" w:firstLine="709"/>
        <w:jc w:val="both"/>
      </w:pPr>
      <w:r w:rsidRPr="00F317B0">
        <w:rPr>
          <w:rFonts w:ascii="Arial" w:hAnsi="Arial" w:cs="Arial"/>
          <w:sz w:val="19"/>
          <w:szCs w:val="19"/>
        </w:rPr>
        <w:t>»</w:t>
      </w:r>
      <w:r w:rsidR="00F91408" w:rsidRPr="00F317B0">
        <w:rPr>
          <w:rFonts w:ascii="Arial" w:hAnsi="Arial" w:cs="Arial"/>
          <w:sz w:val="19"/>
          <w:szCs w:val="19"/>
        </w:rPr>
        <w:t xml:space="preserve">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w:t>
      </w:r>
      <w:r w:rsidR="00E45057" w:rsidRPr="00F317B0">
        <w:rPr>
          <w:rFonts w:ascii="Arial" w:hAnsi="Arial" w:cs="Arial"/>
          <w:sz w:val="19"/>
          <w:szCs w:val="19"/>
        </w:rPr>
        <w:t>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4">
    <w:p w14:paraId="4AD71BD0" w14:textId="196E35AD" w:rsidR="00401826" w:rsidRPr="00F317B0" w:rsidRDefault="00401826" w:rsidP="00F317B0">
      <w:pPr>
        <w:pStyle w:val="Textonotapie"/>
        <w:ind w:firstLine="708"/>
        <w:jc w:val="both"/>
        <w:rPr>
          <w:rFonts w:ascii="Arial" w:hAnsi="Arial" w:cs="Arial"/>
          <w:sz w:val="19"/>
          <w:szCs w:val="19"/>
        </w:rPr>
      </w:pPr>
      <w:r w:rsidRPr="00F317B0">
        <w:rPr>
          <w:rStyle w:val="Refdenotaalpie"/>
          <w:rFonts w:ascii="Arial" w:hAnsi="Arial" w:cs="Arial"/>
          <w:sz w:val="19"/>
          <w:szCs w:val="19"/>
        </w:rPr>
        <w:footnoteRef/>
      </w:r>
      <w:r w:rsidRPr="00F317B0">
        <w:rPr>
          <w:rFonts w:ascii="Arial" w:hAnsi="Arial" w:cs="Arial"/>
          <w:sz w:val="19"/>
          <w:szCs w:val="19"/>
        </w:rPr>
        <w:t xml:space="preserve"> Decreto 1082 de 2015.</w:t>
      </w:r>
      <w:r w:rsidR="006037CE">
        <w:rPr>
          <w:rFonts w:ascii="Arial" w:hAnsi="Arial" w:cs="Arial"/>
          <w:sz w:val="19"/>
          <w:szCs w:val="19"/>
        </w:rPr>
        <w:t xml:space="preserve"> </w:t>
      </w:r>
      <w:r w:rsidRPr="00F317B0">
        <w:rPr>
          <w:rFonts w:ascii="Arial" w:hAnsi="Arial" w:cs="Arial"/>
          <w:sz w:val="19"/>
          <w:szCs w:val="19"/>
        </w:rPr>
        <w:t>«</w:t>
      </w:r>
      <w:r w:rsidR="006037CE" w:rsidRPr="00D43EEC">
        <w:rPr>
          <w:rFonts w:ascii="Arial" w:hAnsi="Arial" w:cs="Arial"/>
          <w:sz w:val="19"/>
          <w:szCs w:val="19"/>
        </w:rPr>
        <w:t>Artículo 2.2.1.1.1.5.3</w:t>
      </w:r>
      <w:r w:rsidR="006037CE">
        <w:rPr>
          <w:rFonts w:ascii="Arial" w:hAnsi="Arial" w:cs="Arial"/>
          <w:sz w:val="19"/>
          <w:szCs w:val="19"/>
        </w:rPr>
        <w:t xml:space="preserve">. </w:t>
      </w:r>
      <w:r w:rsidRPr="00F317B0">
        <w:rPr>
          <w:rFonts w:ascii="Arial" w:hAnsi="Arial" w:cs="Arial"/>
          <w:sz w:val="19"/>
          <w:szCs w:val="19"/>
        </w:rPr>
        <w:t>Requisitos habilitantes contenidos en el RUP. Las cámaras de comercio, con base en la información a la que hace referencia el artículo anterior, deben verificar y certificar los siguientes requisitos habilitantes:</w:t>
      </w:r>
    </w:p>
    <w:p w14:paraId="3A3DDE7F" w14:textId="340DDEA1" w:rsidR="00401826" w:rsidRPr="00F317B0" w:rsidRDefault="00401826" w:rsidP="00F317B0">
      <w:pPr>
        <w:pStyle w:val="Textonotapie"/>
        <w:ind w:firstLine="708"/>
        <w:jc w:val="both"/>
        <w:rPr>
          <w:rFonts w:ascii="Arial" w:hAnsi="Arial" w:cs="Arial"/>
          <w:sz w:val="19"/>
          <w:szCs w:val="19"/>
        </w:rPr>
      </w:pPr>
      <w:r w:rsidRPr="00F317B0">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681FB050" w14:textId="1322837C" w:rsidR="00401826" w:rsidRPr="00F317B0" w:rsidRDefault="00401826" w:rsidP="00F317B0">
      <w:pPr>
        <w:pStyle w:val="Textonotapie"/>
        <w:ind w:firstLine="708"/>
        <w:jc w:val="both"/>
        <w:rPr>
          <w:rFonts w:ascii="Arial" w:hAnsi="Arial" w:cs="Arial"/>
          <w:sz w:val="19"/>
          <w:szCs w:val="19"/>
        </w:rPr>
      </w:pPr>
      <w:proofErr w:type="gramStart"/>
      <w:r w:rsidRPr="00F317B0">
        <w:rPr>
          <w:rFonts w:ascii="Arial" w:hAnsi="Arial" w:cs="Arial"/>
          <w:sz w:val="19"/>
          <w:szCs w:val="19"/>
        </w:rPr>
        <w:t>»Los</w:t>
      </w:r>
      <w:proofErr w:type="gramEnd"/>
      <w:r w:rsidRPr="00F317B0">
        <w:rPr>
          <w:rFonts w:ascii="Arial" w:hAnsi="Arial" w:cs="Arial"/>
          <w:sz w:val="19"/>
          <w:szCs w:val="19"/>
        </w:rPr>
        <w:t xml:space="preserve">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w:t>
      </w:r>
    </w:p>
  </w:footnote>
  <w:footnote w:id="5">
    <w:p w14:paraId="717628DF" w14:textId="2E1AD9FB" w:rsidR="00F05F7E" w:rsidRPr="00F317B0" w:rsidRDefault="00F05F7E" w:rsidP="00F317B0">
      <w:pPr>
        <w:pStyle w:val="Textonotapie"/>
        <w:ind w:firstLine="708"/>
        <w:jc w:val="both"/>
        <w:rPr>
          <w:rFonts w:ascii="Arial" w:hAnsi="Arial" w:cs="Arial"/>
          <w:sz w:val="19"/>
          <w:szCs w:val="19"/>
        </w:rPr>
      </w:pPr>
      <w:r w:rsidRPr="00F317B0">
        <w:rPr>
          <w:rStyle w:val="Refdenotaalpie"/>
          <w:rFonts w:ascii="Arial" w:hAnsi="Arial" w:cs="Arial"/>
          <w:sz w:val="19"/>
          <w:szCs w:val="19"/>
        </w:rPr>
        <w:footnoteRef/>
      </w:r>
      <w:r w:rsidRPr="00F317B0">
        <w:rPr>
          <w:rFonts w:ascii="Arial" w:hAnsi="Arial" w:cs="Arial"/>
          <w:sz w:val="19"/>
          <w:szCs w:val="19"/>
        </w:rPr>
        <w:t xml:space="preserve"> Decreto 1082 de 2015. Artículo 2.2.1.1.1.5.3. Allí se lee: «Requisitos habilitantes contenidos en el RUP. Las cámaras de comercio, con base en la información a la que hace referencia el artículo anterior, deben verificar y certificar los siguientes requisitos habilitantes:</w:t>
      </w:r>
    </w:p>
    <w:p w14:paraId="079D1CAE" w14:textId="572932EC" w:rsidR="00F05F7E" w:rsidRPr="00F317B0" w:rsidRDefault="00F05F7E" w:rsidP="00F317B0">
      <w:pPr>
        <w:pStyle w:val="Textonotapie"/>
        <w:ind w:firstLine="708"/>
        <w:jc w:val="both"/>
        <w:rPr>
          <w:rFonts w:ascii="Arial" w:hAnsi="Arial" w:cs="Arial"/>
          <w:sz w:val="19"/>
          <w:szCs w:val="19"/>
        </w:rPr>
      </w:pPr>
      <w:r w:rsidRPr="00F317B0">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3161F6F5" w14:textId="77777777" w:rsidR="00F05F7E" w:rsidRPr="00465DB9" w:rsidRDefault="00F05F7E" w:rsidP="00F317B0">
      <w:pPr>
        <w:pStyle w:val="Textonotapie"/>
        <w:ind w:firstLine="708"/>
        <w:jc w:val="both"/>
        <w:rPr>
          <w:rFonts w:ascii="Arial" w:hAnsi="Arial" w:cs="Arial"/>
          <w:color w:val="404040" w:themeColor="text1" w:themeTint="BF"/>
          <w:sz w:val="19"/>
          <w:szCs w:val="19"/>
        </w:rPr>
      </w:pPr>
      <w:proofErr w:type="gramStart"/>
      <w:r w:rsidRPr="00F317B0">
        <w:rPr>
          <w:rFonts w:ascii="Arial" w:hAnsi="Arial" w:cs="Arial"/>
          <w:sz w:val="19"/>
          <w:szCs w:val="19"/>
        </w:rPr>
        <w:t>»Los</w:t>
      </w:r>
      <w:proofErr w:type="gramEnd"/>
      <w:r w:rsidRPr="00F317B0">
        <w:rPr>
          <w:rFonts w:ascii="Arial" w:hAnsi="Arial" w:cs="Arial"/>
          <w:sz w:val="19"/>
          <w:szCs w:val="19"/>
        </w:rPr>
        <w:t xml:space="preserve">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7B0854" w:rsidRDefault="008C487C">
    <w:pPr>
      <w:pStyle w:val="Encabezado"/>
    </w:pPr>
    <w:r>
      <w:rPr>
        <w:noProof/>
        <w:lang w:val="es-ES_tradnl" w:eastAsia="es-ES_tradnl"/>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7202406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D48097D"/>
    <w:multiLevelType w:val="hybridMultilevel"/>
    <w:tmpl w:val="97B20F78"/>
    <w:lvl w:ilvl="0" w:tplc="3AC27060">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6"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4D43"/>
    <w:rsid w:val="00010D30"/>
    <w:rsid w:val="0003091B"/>
    <w:rsid w:val="000333A2"/>
    <w:rsid w:val="00040D6E"/>
    <w:rsid w:val="00042C0C"/>
    <w:rsid w:val="00044FF2"/>
    <w:rsid w:val="00051B08"/>
    <w:rsid w:val="00057468"/>
    <w:rsid w:val="000619F5"/>
    <w:rsid w:val="00061EE4"/>
    <w:rsid w:val="00062B0D"/>
    <w:rsid w:val="000647EE"/>
    <w:rsid w:val="00086A16"/>
    <w:rsid w:val="00097CD6"/>
    <w:rsid w:val="000A1DBA"/>
    <w:rsid w:val="000A6338"/>
    <w:rsid w:val="000C0E39"/>
    <w:rsid w:val="000D088F"/>
    <w:rsid w:val="000D5ABE"/>
    <w:rsid w:val="000E4BE5"/>
    <w:rsid w:val="000E6867"/>
    <w:rsid w:val="000F0DB9"/>
    <w:rsid w:val="000F514D"/>
    <w:rsid w:val="00107607"/>
    <w:rsid w:val="00112597"/>
    <w:rsid w:val="00114BD6"/>
    <w:rsid w:val="0012460A"/>
    <w:rsid w:val="001321AB"/>
    <w:rsid w:val="00137F39"/>
    <w:rsid w:val="00140E57"/>
    <w:rsid w:val="00141C64"/>
    <w:rsid w:val="0014462B"/>
    <w:rsid w:val="001517FD"/>
    <w:rsid w:val="0016313F"/>
    <w:rsid w:val="00164E79"/>
    <w:rsid w:val="00175DA0"/>
    <w:rsid w:val="0017603D"/>
    <w:rsid w:val="00181A3E"/>
    <w:rsid w:val="00194C50"/>
    <w:rsid w:val="001A17D9"/>
    <w:rsid w:val="001A5B62"/>
    <w:rsid w:val="001E5DBB"/>
    <w:rsid w:val="001F1051"/>
    <w:rsid w:val="001F34A8"/>
    <w:rsid w:val="002034AD"/>
    <w:rsid w:val="00207D2B"/>
    <w:rsid w:val="002239B4"/>
    <w:rsid w:val="00234C6C"/>
    <w:rsid w:val="00242129"/>
    <w:rsid w:val="0025014F"/>
    <w:rsid w:val="00265031"/>
    <w:rsid w:val="00266277"/>
    <w:rsid w:val="00280E5D"/>
    <w:rsid w:val="00284C12"/>
    <w:rsid w:val="00286834"/>
    <w:rsid w:val="002A4E39"/>
    <w:rsid w:val="002B282F"/>
    <w:rsid w:val="002B4B30"/>
    <w:rsid w:val="002D09E1"/>
    <w:rsid w:val="002D798B"/>
    <w:rsid w:val="002E7BC2"/>
    <w:rsid w:val="002F63BB"/>
    <w:rsid w:val="00302F9F"/>
    <w:rsid w:val="00304386"/>
    <w:rsid w:val="003072FC"/>
    <w:rsid w:val="003401FE"/>
    <w:rsid w:val="00340A7A"/>
    <w:rsid w:val="00377E57"/>
    <w:rsid w:val="00390DCF"/>
    <w:rsid w:val="003A2944"/>
    <w:rsid w:val="003A3006"/>
    <w:rsid w:val="003B0DEF"/>
    <w:rsid w:val="003C2074"/>
    <w:rsid w:val="003C3ADB"/>
    <w:rsid w:val="003D11B5"/>
    <w:rsid w:val="003D134C"/>
    <w:rsid w:val="003D69A5"/>
    <w:rsid w:val="003E048E"/>
    <w:rsid w:val="003E14F9"/>
    <w:rsid w:val="003F3119"/>
    <w:rsid w:val="003F5E59"/>
    <w:rsid w:val="00401826"/>
    <w:rsid w:val="00401E43"/>
    <w:rsid w:val="00410CC6"/>
    <w:rsid w:val="00417051"/>
    <w:rsid w:val="004221B5"/>
    <w:rsid w:val="00430B5A"/>
    <w:rsid w:val="0044207D"/>
    <w:rsid w:val="0044260A"/>
    <w:rsid w:val="00447FE5"/>
    <w:rsid w:val="00452B3C"/>
    <w:rsid w:val="004617B8"/>
    <w:rsid w:val="00465DB9"/>
    <w:rsid w:val="00467199"/>
    <w:rsid w:val="004758FE"/>
    <w:rsid w:val="004830C8"/>
    <w:rsid w:val="004837AB"/>
    <w:rsid w:val="00483A2F"/>
    <w:rsid w:val="00496434"/>
    <w:rsid w:val="004A6EE1"/>
    <w:rsid w:val="004B1BEE"/>
    <w:rsid w:val="004D1855"/>
    <w:rsid w:val="004D53C1"/>
    <w:rsid w:val="004D770C"/>
    <w:rsid w:val="004E370E"/>
    <w:rsid w:val="004F0CAD"/>
    <w:rsid w:val="004F0F85"/>
    <w:rsid w:val="004F4387"/>
    <w:rsid w:val="00504F2E"/>
    <w:rsid w:val="00510BF5"/>
    <w:rsid w:val="00521BA7"/>
    <w:rsid w:val="005239E4"/>
    <w:rsid w:val="005252E2"/>
    <w:rsid w:val="00534B9F"/>
    <w:rsid w:val="005511D5"/>
    <w:rsid w:val="00565A9A"/>
    <w:rsid w:val="00580EB2"/>
    <w:rsid w:val="00582F7C"/>
    <w:rsid w:val="00585FB5"/>
    <w:rsid w:val="00591586"/>
    <w:rsid w:val="005C5D46"/>
    <w:rsid w:val="005C6D19"/>
    <w:rsid w:val="005E76CC"/>
    <w:rsid w:val="005F5D19"/>
    <w:rsid w:val="005F6CBF"/>
    <w:rsid w:val="005F6FC7"/>
    <w:rsid w:val="00600D68"/>
    <w:rsid w:val="006037CE"/>
    <w:rsid w:val="006135E6"/>
    <w:rsid w:val="006143E3"/>
    <w:rsid w:val="00632EA5"/>
    <w:rsid w:val="006440BC"/>
    <w:rsid w:val="00647DF6"/>
    <w:rsid w:val="00654D46"/>
    <w:rsid w:val="0065701C"/>
    <w:rsid w:val="006577C3"/>
    <w:rsid w:val="006818B6"/>
    <w:rsid w:val="006824B8"/>
    <w:rsid w:val="006A0EB7"/>
    <w:rsid w:val="006A48DB"/>
    <w:rsid w:val="006A662A"/>
    <w:rsid w:val="006A7743"/>
    <w:rsid w:val="006B5D35"/>
    <w:rsid w:val="006B6C6A"/>
    <w:rsid w:val="006C234F"/>
    <w:rsid w:val="006C4025"/>
    <w:rsid w:val="006C5955"/>
    <w:rsid w:val="006E29E0"/>
    <w:rsid w:val="006F3470"/>
    <w:rsid w:val="006F39D0"/>
    <w:rsid w:val="006F7746"/>
    <w:rsid w:val="00711157"/>
    <w:rsid w:val="007114AE"/>
    <w:rsid w:val="00736C89"/>
    <w:rsid w:val="00742C98"/>
    <w:rsid w:val="00745744"/>
    <w:rsid w:val="00745970"/>
    <w:rsid w:val="0075032A"/>
    <w:rsid w:val="00766C6E"/>
    <w:rsid w:val="00770D7D"/>
    <w:rsid w:val="00772497"/>
    <w:rsid w:val="00784FE3"/>
    <w:rsid w:val="00791377"/>
    <w:rsid w:val="007D1C5F"/>
    <w:rsid w:val="007D62C7"/>
    <w:rsid w:val="007F7AC6"/>
    <w:rsid w:val="00803061"/>
    <w:rsid w:val="00807EEE"/>
    <w:rsid w:val="008135F4"/>
    <w:rsid w:val="00813893"/>
    <w:rsid w:val="0082266E"/>
    <w:rsid w:val="00824361"/>
    <w:rsid w:val="008327EE"/>
    <w:rsid w:val="00832DFA"/>
    <w:rsid w:val="00840651"/>
    <w:rsid w:val="00842E74"/>
    <w:rsid w:val="00843BE5"/>
    <w:rsid w:val="00863DD9"/>
    <w:rsid w:val="00866446"/>
    <w:rsid w:val="0086741B"/>
    <w:rsid w:val="00886F29"/>
    <w:rsid w:val="00894DAB"/>
    <w:rsid w:val="008A0633"/>
    <w:rsid w:val="008A53F2"/>
    <w:rsid w:val="008A7223"/>
    <w:rsid w:val="008B1AAB"/>
    <w:rsid w:val="008B3426"/>
    <w:rsid w:val="008C24B6"/>
    <w:rsid w:val="008C27FB"/>
    <w:rsid w:val="008C487C"/>
    <w:rsid w:val="008C4C28"/>
    <w:rsid w:val="008C5A24"/>
    <w:rsid w:val="008D5A48"/>
    <w:rsid w:val="008D6172"/>
    <w:rsid w:val="008E0FCC"/>
    <w:rsid w:val="008E2FE3"/>
    <w:rsid w:val="008E5F34"/>
    <w:rsid w:val="008F1499"/>
    <w:rsid w:val="008F184D"/>
    <w:rsid w:val="008F2267"/>
    <w:rsid w:val="009231E0"/>
    <w:rsid w:val="009420F7"/>
    <w:rsid w:val="0094508D"/>
    <w:rsid w:val="009506A7"/>
    <w:rsid w:val="00952AB2"/>
    <w:rsid w:val="00967230"/>
    <w:rsid w:val="00971932"/>
    <w:rsid w:val="00972C13"/>
    <w:rsid w:val="00976C8D"/>
    <w:rsid w:val="009812D7"/>
    <w:rsid w:val="00982E99"/>
    <w:rsid w:val="009A5714"/>
    <w:rsid w:val="009A5DA7"/>
    <w:rsid w:val="009B1AEC"/>
    <w:rsid w:val="009D1D57"/>
    <w:rsid w:val="009E2185"/>
    <w:rsid w:val="009E2544"/>
    <w:rsid w:val="009E2770"/>
    <w:rsid w:val="009E4A43"/>
    <w:rsid w:val="009F2261"/>
    <w:rsid w:val="009F3537"/>
    <w:rsid w:val="009F7860"/>
    <w:rsid w:val="00A25657"/>
    <w:rsid w:val="00A329B6"/>
    <w:rsid w:val="00A367A1"/>
    <w:rsid w:val="00A378EA"/>
    <w:rsid w:val="00A415D2"/>
    <w:rsid w:val="00A460BA"/>
    <w:rsid w:val="00A510F6"/>
    <w:rsid w:val="00A6641B"/>
    <w:rsid w:val="00A73D36"/>
    <w:rsid w:val="00A80739"/>
    <w:rsid w:val="00A81BA0"/>
    <w:rsid w:val="00A83829"/>
    <w:rsid w:val="00A95100"/>
    <w:rsid w:val="00AA2129"/>
    <w:rsid w:val="00AA615B"/>
    <w:rsid w:val="00AC0C81"/>
    <w:rsid w:val="00AE01F1"/>
    <w:rsid w:val="00AE668A"/>
    <w:rsid w:val="00AE6858"/>
    <w:rsid w:val="00AF5C62"/>
    <w:rsid w:val="00AF7270"/>
    <w:rsid w:val="00B00247"/>
    <w:rsid w:val="00B17BC5"/>
    <w:rsid w:val="00B2158C"/>
    <w:rsid w:val="00B24E57"/>
    <w:rsid w:val="00B502C9"/>
    <w:rsid w:val="00B506CF"/>
    <w:rsid w:val="00B5123E"/>
    <w:rsid w:val="00B522C4"/>
    <w:rsid w:val="00B52B0E"/>
    <w:rsid w:val="00B5337D"/>
    <w:rsid w:val="00B6482A"/>
    <w:rsid w:val="00B65290"/>
    <w:rsid w:val="00B70E26"/>
    <w:rsid w:val="00B95D9E"/>
    <w:rsid w:val="00B97D95"/>
    <w:rsid w:val="00BA7E78"/>
    <w:rsid w:val="00BB0EA7"/>
    <w:rsid w:val="00BB10ED"/>
    <w:rsid w:val="00BB59F9"/>
    <w:rsid w:val="00BC15B8"/>
    <w:rsid w:val="00BC5279"/>
    <w:rsid w:val="00BC6C4E"/>
    <w:rsid w:val="00BD58A7"/>
    <w:rsid w:val="00BE1E33"/>
    <w:rsid w:val="00BE2AD3"/>
    <w:rsid w:val="00BE36F7"/>
    <w:rsid w:val="00BF2443"/>
    <w:rsid w:val="00C12201"/>
    <w:rsid w:val="00C1405A"/>
    <w:rsid w:val="00C243AD"/>
    <w:rsid w:val="00C50B1B"/>
    <w:rsid w:val="00C52801"/>
    <w:rsid w:val="00C6210F"/>
    <w:rsid w:val="00C745C6"/>
    <w:rsid w:val="00C964DE"/>
    <w:rsid w:val="00CA5790"/>
    <w:rsid w:val="00CA634C"/>
    <w:rsid w:val="00CB2D4E"/>
    <w:rsid w:val="00CD1001"/>
    <w:rsid w:val="00CD392C"/>
    <w:rsid w:val="00CE3495"/>
    <w:rsid w:val="00CF326B"/>
    <w:rsid w:val="00D0763E"/>
    <w:rsid w:val="00D07B4C"/>
    <w:rsid w:val="00D11BB7"/>
    <w:rsid w:val="00D24682"/>
    <w:rsid w:val="00D24F06"/>
    <w:rsid w:val="00D25AEF"/>
    <w:rsid w:val="00D27959"/>
    <w:rsid w:val="00D349EE"/>
    <w:rsid w:val="00D558E2"/>
    <w:rsid w:val="00D56D47"/>
    <w:rsid w:val="00D70FB4"/>
    <w:rsid w:val="00D74A1C"/>
    <w:rsid w:val="00D74CDC"/>
    <w:rsid w:val="00D815C1"/>
    <w:rsid w:val="00D85C85"/>
    <w:rsid w:val="00D92F6C"/>
    <w:rsid w:val="00D95879"/>
    <w:rsid w:val="00D97A6B"/>
    <w:rsid w:val="00DA2FA3"/>
    <w:rsid w:val="00DB0032"/>
    <w:rsid w:val="00DB751D"/>
    <w:rsid w:val="00DC679E"/>
    <w:rsid w:val="00DD0E98"/>
    <w:rsid w:val="00DE3BBC"/>
    <w:rsid w:val="00DE4935"/>
    <w:rsid w:val="00DE64DE"/>
    <w:rsid w:val="00DE7AB4"/>
    <w:rsid w:val="00DF4D86"/>
    <w:rsid w:val="00E01D84"/>
    <w:rsid w:val="00E137BB"/>
    <w:rsid w:val="00E238E2"/>
    <w:rsid w:val="00E3199C"/>
    <w:rsid w:val="00E45057"/>
    <w:rsid w:val="00E52298"/>
    <w:rsid w:val="00E57EAF"/>
    <w:rsid w:val="00E623D7"/>
    <w:rsid w:val="00E64988"/>
    <w:rsid w:val="00E64A38"/>
    <w:rsid w:val="00E756AC"/>
    <w:rsid w:val="00E8381A"/>
    <w:rsid w:val="00E87596"/>
    <w:rsid w:val="00E87794"/>
    <w:rsid w:val="00E96422"/>
    <w:rsid w:val="00EA5A59"/>
    <w:rsid w:val="00EB3D8F"/>
    <w:rsid w:val="00ED357B"/>
    <w:rsid w:val="00EF2CA6"/>
    <w:rsid w:val="00F03091"/>
    <w:rsid w:val="00F05F7E"/>
    <w:rsid w:val="00F117B1"/>
    <w:rsid w:val="00F134F9"/>
    <w:rsid w:val="00F1721F"/>
    <w:rsid w:val="00F2232E"/>
    <w:rsid w:val="00F23412"/>
    <w:rsid w:val="00F24C62"/>
    <w:rsid w:val="00F317B0"/>
    <w:rsid w:val="00F34138"/>
    <w:rsid w:val="00F419B1"/>
    <w:rsid w:val="00F47FCE"/>
    <w:rsid w:val="00F501D2"/>
    <w:rsid w:val="00F5266F"/>
    <w:rsid w:val="00F5411B"/>
    <w:rsid w:val="00F56447"/>
    <w:rsid w:val="00F624CD"/>
    <w:rsid w:val="00F64055"/>
    <w:rsid w:val="00F7035B"/>
    <w:rsid w:val="00F710C6"/>
    <w:rsid w:val="00F91408"/>
    <w:rsid w:val="00FB59E2"/>
    <w:rsid w:val="00FC510F"/>
    <w:rsid w:val="00FC755D"/>
    <w:rsid w:val="00FF67C8"/>
    <w:rsid w:val="0592D4C7"/>
    <w:rsid w:val="07ABA2BA"/>
    <w:rsid w:val="0EFACA5B"/>
    <w:rsid w:val="13E333B6"/>
    <w:rsid w:val="141FD886"/>
    <w:rsid w:val="1603722D"/>
    <w:rsid w:val="184F2460"/>
    <w:rsid w:val="2601D0A7"/>
    <w:rsid w:val="2D61BA0D"/>
    <w:rsid w:val="4E0F6DC3"/>
    <w:rsid w:val="59C812A4"/>
    <w:rsid w:val="605B053D"/>
    <w:rsid w:val="62DEDC46"/>
    <w:rsid w:val="6AE82C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paragraph" w:styleId="Textoindependiente">
    <w:name w:val="Body Text"/>
    <w:basedOn w:val="Normal"/>
    <w:link w:val="TextoindependienteCar"/>
    <w:uiPriority w:val="1"/>
    <w:qFormat/>
    <w:rsid w:val="00F419B1"/>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F419B1"/>
    <w:rPr>
      <w:rFonts w:ascii="Arial" w:eastAsia="Arial" w:hAnsi="Arial" w:cs="Arial"/>
      <w:lang w:val="es-ES" w:eastAsia="es-ES" w:bidi="es-ES"/>
    </w:rPr>
  </w:style>
  <w:style w:type="paragraph" w:styleId="NormalWeb">
    <w:name w:val="Normal (Web)"/>
    <w:basedOn w:val="Normal"/>
    <w:uiPriority w:val="99"/>
    <w:semiHidden/>
    <w:unhideWhenUsed/>
    <w:rsid w:val="006E29E0"/>
    <w:rPr>
      <w:rFonts w:ascii="Times New Roman" w:hAnsi="Times New Roman" w:cs="Times New Roman"/>
      <w:szCs w:val="24"/>
    </w:rPr>
  </w:style>
  <w:style w:type="character" w:styleId="Refdecomentario">
    <w:name w:val="annotation reference"/>
    <w:basedOn w:val="Fuentedeprrafopredeter"/>
    <w:uiPriority w:val="99"/>
    <w:semiHidden/>
    <w:unhideWhenUsed/>
    <w:rsid w:val="00766C6E"/>
    <w:rPr>
      <w:sz w:val="16"/>
      <w:szCs w:val="16"/>
    </w:rPr>
  </w:style>
  <w:style w:type="paragraph" w:styleId="Textocomentario">
    <w:name w:val="annotation text"/>
    <w:basedOn w:val="Normal"/>
    <w:link w:val="TextocomentarioCar"/>
    <w:uiPriority w:val="99"/>
    <w:semiHidden/>
    <w:unhideWhenUsed/>
    <w:rsid w:val="00766C6E"/>
    <w:rPr>
      <w:sz w:val="20"/>
      <w:szCs w:val="20"/>
    </w:rPr>
  </w:style>
  <w:style w:type="character" w:customStyle="1" w:styleId="TextocomentarioCar">
    <w:name w:val="Texto comentario Car"/>
    <w:basedOn w:val="Fuentedeprrafopredeter"/>
    <w:link w:val="Textocomentario"/>
    <w:uiPriority w:val="99"/>
    <w:semiHidden/>
    <w:rsid w:val="00766C6E"/>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766C6E"/>
    <w:rPr>
      <w:b/>
      <w:bCs/>
    </w:rPr>
  </w:style>
  <w:style w:type="character" w:customStyle="1" w:styleId="AsuntodelcomentarioCar">
    <w:name w:val="Asunto del comentario Car"/>
    <w:basedOn w:val="TextocomentarioCar"/>
    <w:link w:val="Asuntodelcomentario"/>
    <w:uiPriority w:val="99"/>
    <w:semiHidden/>
    <w:rsid w:val="00766C6E"/>
    <w:rPr>
      <w:b/>
      <w:bCs/>
      <w:sz w:val="20"/>
      <w:szCs w:val="20"/>
      <w:lang w:val="es-MX"/>
    </w:rPr>
  </w:style>
  <w:style w:type="paragraph" w:styleId="Revisin">
    <w:name w:val="Revision"/>
    <w:hidden/>
    <w:uiPriority w:val="99"/>
    <w:semiHidden/>
    <w:rsid w:val="00CD392C"/>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24022">
      <w:bodyDiv w:val="1"/>
      <w:marLeft w:val="0"/>
      <w:marRight w:val="0"/>
      <w:marTop w:val="0"/>
      <w:marBottom w:val="0"/>
      <w:divBdr>
        <w:top w:val="none" w:sz="0" w:space="0" w:color="auto"/>
        <w:left w:val="none" w:sz="0" w:space="0" w:color="auto"/>
        <w:bottom w:val="none" w:sz="0" w:space="0" w:color="auto"/>
        <w:right w:val="none" w:sz="0" w:space="0" w:color="auto"/>
      </w:divBdr>
      <w:divsChild>
        <w:div w:id="1375732526">
          <w:marLeft w:val="0"/>
          <w:marRight w:val="0"/>
          <w:marTop w:val="0"/>
          <w:marBottom w:val="0"/>
          <w:divBdr>
            <w:top w:val="none" w:sz="0" w:space="0" w:color="auto"/>
            <w:left w:val="none" w:sz="0" w:space="0" w:color="auto"/>
            <w:bottom w:val="none" w:sz="0" w:space="0" w:color="auto"/>
            <w:right w:val="none" w:sz="0" w:space="0" w:color="auto"/>
          </w:divBdr>
          <w:divsChild>
            <w:div w:id="277101447">
              <w:marLeft w:val="0"/>
              <w:marRight w:val="0"/>
              <w:marTop w:val="0"/>
              <w:marBottom w:val="0"/>
              <w:divBdr>
                <w:top w:val="none" w:sz="0" w:space="0" w:color="auto"/>
                <w:left w:val="none" w:sz="0" w:space="0" w:color="auto"/>
                <w:bottom w:val="none" w:sz="0" w:space="0" w:color="auto"/>
                <w:right w:val="none" w:sz="0" w:space="0" w:color="auto"/>
              </w:divBdr>
              <w:divsChild>
                <w:div w:id="10478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3844">
      <w:bodyDiv w:val="1"/>
      <w:marLeft w:val="0"/>
      <w:marRight w:val="0"/>
      <w:marTop w:val="0"/>
      <w:marBottom w:val="0"/>
      <w:divBdr>
        <w:top w:val="none" w:sz="0" w:space="0" w:color="auto"/>
        <w:left w:val="none" w:sz="0" w:space="0" w:color="auto"/>
        <w:bottom w:val="none" w:sz="0" w:space="0" w:color="auto"/>
        <w:right w:val="none" w:sz="0" w:space="0" w:color="auto"/>
      </w:divBdr>
    </w:div>
    <w:div w:id="476260979">
      <w:bodyDiv w:val="1"/>
      <w:marLeft w:val="0"/>
      <w:marRight w:val="0"/>
      <w:marTop w:val="0"/>
      <w:marBottom w:val="0"/>
      <w:divBdr>
        <w:top w:val="none" w:sz="0" w:space="0" w:color="auto"/>
        <w:left w:val="none" w:sz="0" w:space="0" w:color="auto"/>
        <w:bottom w:val="none" w:sz="0" w:space="0" w:color="auto"/>
        <w:right w:val="none" w:sz="0" w:space="0" w:color="auto"/>
      </w:divBdr>
      <w:divsChild>
        <w:div w:id="1409038577">
          <w:marLeft w:val="0"/>
          <w:marRight w:val="0"/>
          <w:marTop w:val="0"/>
          <w:marBottom w:val="0"/>
          <w:divBdr>
            <w:top w:val="none" w:sz="0" w:space="0" w:color="auto"/>
            <w:left w:val="none" w:sz="0" w:space="0" w:color="auto"/>
            <w:bottom w:val="none" w:sz="0" w:space="0" w:color="auto"/>
            <w:right w:val="none" w:sz="0" w:space="0" w:color="auto"/>
          </w:divBdr>
          <w:divsChild>
            <w:div w:id="1745300762">
              <w:marLeft w:val="0"/>
              <w:marRight w:val="0"/>
              <w:marTop w:val="0"/>
              <w:marBottom w:val="0"/>
              <w:divBdr>
                <w:top w:val="none" w:sz="0" w:space="0" w:color="auto"/>
                <w:left w:val="none" w:sz="0" w:space="0" w:color="auto"/>
                <w:bottom w:val="none" w:sz="0" w:space="0" w:color="auto"/>
                <w:right w:val="none" w:sz="0" w:space="0" w:color="auto"/>
              </w:divBdr>
              <w:divsChild>
                <w:div w:id="4547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46073">
      <w:bodyDiv w:val="1"/>
      <w:marLeft w:val="0"/>
      <w:marRight w:val="0"/>
      <w:marTop w:val="0"/>
      <w:marBottom w:val="0"/>
      <w:divBdr>
        <w:top w:val="none" w:sz="0" w:space="0" w:color="auto"/>
        <w:left w:val="none" w:sz="0" w:space="0" w:color="auto"/>
        <w:bottom w:val="none" w:sz="0" w:space="0" w:color="auto"/>
        <w:right w:val="none" w:sz="0" w:space="0" w:color="auto"/>
      </w:divBdr>
      <w:divsChild>
        <w:div w:id="1999265246">
          <w:marLeft w:val="0"/>
          <w:marRight w:val="0"/>
          <w:marTop w:val="0"/>
          <w:marBottom w:val="0"/>
          <w:divBdr>
            <w:top w:val="none" w:sz="0" w:space="0" w:color="auto"/>
            <w:left w:val="none" w:sz="0" w:space="0" w:color="auto"/>
            <w:bottom w:val="none" w:sz="0" w:space="0" w:color="auto"/>
            <w:right w:val="none" w:sz="0" w:space="0" w:color="auto"/>
          </w:divBdr>
          <w:divsChild>
            <w:div w:id="208802110">
              <w:marLeft w:val="0"/>
              <w:marRight w:val="0"/>
              <w:marTop w:val="0"/>
              <w:marBottom w:val="0"/>
              <w:divBdr>
                <w:top w:val="none" w:sz="0" w:space="0" w:color="auto"/>
                <w:left w:val="none" w:sz="0" w:space="0" w:color="auto"/>
                <w:bottom w:val="none" w:sz="0" w:space="0" w:color="auto"/>
                <w:right w:val="none" w:sz="0" w:space="0" w:color="auto"/>
              </w:divBdr>
              <w:divsChild>
                <w:div w:id="20693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5184">
      <w:bodyDiv w:val="1"/>
      <w:marLeft w:val="0"/>
      <w:marRight w:val="0"/>
      <w:marTop w:val="0"/>
      <w:marBottom w:val="0"/>
      <w:divBdr>
        <w:top w:val="none" w:sz="0" w:space="0" w:color="auto"/>
        <w:left w:val="none" w:sz="0" w:space="0" w:color="auto"/>
        <w:bottom w:val="none" w:sz="0" w:space="0" w:color="auto"/>
        <w:right w:val="none" w:sz="0" w:space="0" w:color="auto"/>
      </w:divBdr>
    </w:div>
    <w:div w:id="1025330831">
      <w:bodyDiv w:val="1"/>
      <w:marLeft w:val="0"/>
      <w:marRight w:val="0"/>
      <w:marTop w:val="0"/>
      <w:marBottom w:val="0"/>
      <w:divBdr>
        <w:top w:val="none" w:sz="0" w:space="0" w:color="auto"/>
        <w:left w:val="none" w:sz="0" w:space="0" w:color="auto"/>
        <w:bottom w:val="none" w:sz="0" w:space="0" w:color="auto"/>
        <w:right w:val="none" w:sz="0" w:space="0" w:color="auto"/>
      </w:divBdr>
    </w:div>
    <w:div w:id="1122576022">
      <w:bodyDiv w:val="1"/>
      <w:marLeft w:val="0"/>
      <w:marRight w:val="0"/>
      <w:marTop w:val="0"/>
      <w:marBottom w:val="0"/>
      <w:divBdr>
        <w:top w:val="none" w:sz="0" w:space="0" w:color="auto"/>
        <w:left w:val="none" w:sz="0" w:space="0" w:color="auto"/>
        <w:bottom w:val="none" w:sz="0" w:space="0" w:color="auto"/>
        <w:right w:val="none" w:sz="0" w:space="0" w:color="auto"/>
      </w:divBdr>
      <w:divsChild>
        <w:div w:id="408962902">
          <w:marLeft w:val="0"/>
          <w:marRight w:val="0"/>
          <w:marTop w:val="0"/>
          <w:marBottom w:val="0"/>
          <w:divBdr>
            <w:top w:val="none" w:sz="0" w:space="0" w:color="auto"/>
            <w:left w:val="none" w:sz="0" w:space="0" w:color="auto"/>
            <w:bottom w:val="none" w:sz="0" w:space="0" w:color="auto"/>
            <w:right w:val="none" w:sz="0" w:space="0" w:color="auto"/>
          </w:divBdr>
          <w:divsChild>
            <w:div w:id="629172198">
              <w:marLeft w:val="0"/>
              <w:marRight w:val="0"/>
              <w:marTop w:val="0"/>
              <w:marBottom w:val="0"/>
              <w:divBdr>
                <w:top w:val="none" w:sz="0" w:space="0" w:color="auto"/>
                <w:left w:val="none" w:sz="0" w:space="0" w:color="auto"/>
                <w:bottom w:val="none" w:sz="0" w:space="0" w:color="auto"/>
                <w:right w:val="none" w:sz="0" w:space="0" w:color="auto"/>
              </w:divBdr>
              <w:divsChild>
                <w:div w:id="205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5147">
      <w:bodyDiv w:val="1"/>
      <w:marLeft w:val="0"/>
      <w:marRight w:val="0"/>
      <w:marTop w:val="0"/>
      <w:marBottom w:val="0"/>
      <w:divBdr>
        <w:top w:val="none" w:sz="0" w:space="0" w:color="auto"/>
        <w:left w:val="none" w:sz="0" w:space="0" w:color="auto"/>
        <w:bottom w:val="none" w:sz="0" w:space="0" w:color="auto"/>
        <w:right w:val="none" w:sz="0" w:space="0" w:color="auto"/>
      </w:divBdr>
    </w:div>
    <w:div w:id="1602759386">
      <w:bodyDiv w:val="1"/>
      <w:marLeft w:val="0"/>
      <w:marRight w:val="0"/>
      <w:marTop w:val="0"/>
      <w:marBottom w:val="0"/>
      <w:divBdr>
        <w:top w:val="none" w:sz="0" w:space="0" w:color="auto"/>
        <w:left w:val="none" w:sz="0" w:space="0" w:color="auto"/>
        <w:bottom w:val="none" w:sz="0" w:space="0" w:color="auto"/>
        <w:right w:val="none" w:sz="0" w:space="0" w:color="auto"/>
      </w:divBdr>
    </w:div>
    <w:div w:id="1850758405">
      <w:bodyDiv w:val="1"/>
      <w:marLeft w:val="0"/>
      <w:marRight w:val="0"/>
      <w:marTop w:val="0"/>
      <w:marBottom w:val="0"/>
      <w:divBdr>
        <w:top w:val="none" w:sz="0" w:space="0" w:color="auto"/>
        <w:left w:val="none" w:sz="0" w:space="0" w:color="auto"/>
        <w:bottom w:val="none" w:sz="0" w:space="0" w:color="auto"/>
        <w:right w:val="none" w:sz="0" w:space="0" w:color="auto"/>
      </w:divBdr>
      <w:divsChild>
        <w:div w:id="1322923618">
          <w:marLeft w:val="0"/>
          <w:marRight w:val="0"/>
          <w:marTop w:val="0"/>
          <w:marBottom w:val="0"/>
          <w:divBdr>
            <w:top w:val="none" w:sz="0" w:space="0" w:color="auto"/>
            <w:left w:val="none" w:sz="0" w:space="0" w:color="auto"/>
            <w:bottom w:val="none" w:sz="0" w:space="0" w:color="auto"/>
            <w:right w:val="none" w:sz="0" w:space="0" w:color="auto"/>
          </w:divBdr>
          <w:divsChild>
            <w:div w:id="1078139164">
              <w:marLeft w:val="0"/>
              <w:marRight w:val="0"/>
              <w:marTop w:val="0"/>
              <w:marBottom w:val="0"/>
              <w:divBdr>
                <w:top w:val="none" w:sz="0" w:space="0" w:color="auto"/>
                <w:left w:val="none" w:sz="0" w:space="0" w:color="auto"/>
                <w:bottom w:val="none" w:sz="0" w:space="0" w:color="auto"/>
                <w:right w:val="none" w:sz="0" w:space="0" w:color="auto"/>
              </w:divBdr>
              <w:divsChild>
                <w:div w:id="14742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86032572">
      <w:bodyDiv w:val="1"/>
      <w:marLeft w:val="0"/>
      <w:marRight w:val="0"/>
      <w:marTop w:val="0"/>
      <w:marBottom w:val="0"/>
      <w:divBdr>
        <w:top w:val="none" w:sz="0" w:space="0" w:color="auto"/>
        <w:left w:val="none" w:sz="0" w:space="0" w:color="auto"/>
        <w:bottom w:val="none" w:sz="0" w:space="0" w:color="auto"/>
        <w:right w:val="none" w:sz="0" w:space="0" w:color="auto"/>
      </w:divBdr>
      <w:divsChild>
        <w:div w:id="1618952336">
          <w:marLeft w:val="0"/>
          <w:marRight w:val="0"/>
          <w:marTop w:val="0"/>
          <w:marBottom w:val="0"/>
          <w:divBdr>
            <w:top w:val="none" w:sz="0" w:space="0" w:color="auto"/>
            <w:left w:val="none" w:sz="0" w:space="0" w:color="auto"/>
            <w:bottom w:val="none" w:sz="0" w:space="0" w:color="auto"/>
            <w:right w:val="none" w:sz="0" w:space="0" w:color="auto"/>
          </w:divBdr>
          <w:divsChild>
            <w:div w:id="643849792">
              <w:marLeft w:val="0"/>
              <w:marRight w:val="0"/>
              <w:marTop w:val="0"/>
              <w:marBottom w:val="0"/>
              <w:divBdr>
                <w:top w:val="none" w:sz="0" w:space="0" w:color="auto"/>
                <w:left w:val="none" w:sz="0" w:space="0" w:color="auto"/>
                <w:bottom w:val="none" w:sz="0" w:space="0" w:color="auto"/>
                <w:right w:val="none" w:sz="0" w:space="0" w:color="auto"/>
              </w:divBdr>
              <w:divsChild>
                <w:div w:id="4332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manuales-guias-y-pliegos-tipo/manuales-y-gui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7B0EC48-4FAD-45C4-8456-BA0062A23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4152</Words>
  <Characters>22840</Characters>
  <Application>Microsoft Office Word</Application>
  <DocSecurity>0</DocSecurity>
  <Lines>190</Lines>
  <Paragraphs>53</Paragraphs>
  <ScaleCrop>false</ScaleCrop>
  <Company/>
  <LinksUpToDate>false</LinksUpToDate>
  <CharactersWithSpaces>26939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8</cp:revision>
  <cp:lastPrinted>2020-03-17T17:42:00Z</cp:lastPrinted>
  <dcterms:created xsi:type="dcterms:W3CDTF">2020-07-07T16:22:00Z</dcterms:created>
  <dcterms:modified xsi:type="dcterms:W3CDTF">2020-08-10T13:39:00Z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