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4DEDF" w14:textId="77777777" w:rsidR="003D4FD6" w:rsidRPr="00E43A50" w:rsidRDefault="003D4FD6" w:rsidP="003D4FD6">
      <w:pPr>
        <w:spacing w:line="276" w:lineRule="auto"/>
        <w:jc w:val="right"/>
        <w:rPr>
          <w:rFonts w:ascii="Arial" w:eastAsia="Calibri" w:hAnsi="Arial" w:cs="Arial"/>
          <w:b/>
          <w:bCs/>
          <w:sz w:val="22"/>
        </w:rPr>
      </w:pPr>
      <w:bookmarkStart w:id="0" w:name="_Hlk28946138"/>
      <w:bookmarkStart w:id="1" w:name="_Hlk29548183"/>
      <w:r w:rsidRPr="00E43A50">
        <w:rPr>
          <w:rFonts w:ascii="Arial" w:eastAsia="Times New Roman" w:hAnsi="Arial" w:cs="Arial"/>
          <w:b/>
          <w:bCs/>
          <w:sz w:val="16"/>
          <w:szCs w:val="16"/>
          <w:lang w:eastAsia="es-ES"/>
        </w:rPr>
        <w:t>CCE-DES-FM-17</w:t>
      </w:r>
    </w:p>
    <w:p w14:paraId="6877D540" w14:textId="77777777" w:rsidR="00525DE4" w:rsidRPr="000F21F3" w:rsidRDefault="00525DE4" w:rsidP="00525DE4">
      <w:pPr>
        <w:jc w:val="both"/>
        <w:rPr>
          <w:rFonts w:ascii="Arial" w:eastAsia="Calibri" w:hAnsi="Arial" w:cs="Arial"/>
          <w:color w:val="000000" w:themeColor="text1"/>
          <w:sz w:val="16"/>
          <w:szCs w:val="16"/>
        </w:rPr>
      </w:pPr>
    </w:p>
    <w:p w14:paraId="583CD888" w14:textId="77777777" w:rsidR="00525DE4" w:rsidRPr="00711229" w:rsidRDefault="00525DE4" w:rsidP="00525DE4">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ENTIDADES CON RÉGIMEN ESPECIAL – Definición</w:t>
      </w:r>
    </w:p>
    <w:p w14:paraId="314BC2E8" w14:textId="77777777" w:rsidR="00525DE4" w:rsidRPr="00C50936" w:rsidRDefault="00525DE4" w:rsidP="00525DE4">
      <w:pPr>
        <w:jc w:val="both"/>
        <w:rPr>
          <w:rFonts w:ascii="Arial" w:eastAsia="Calibri" w:hAnsi="Arial" w:cs="Arial"/>
          <w:color w:val="000000" w:themeColor="text1"/>
          <w:sz w:val="20"/>
          <w:szCs w:val="20"/>
          <w:lang w:val="es-ES_tradnl"/>
        </w:rPr>
      </w:pPr>
    </w:p>
    <w:p w14:paraId="6C173F7C" w14:textId="0FCE4C1B" w:rsidR="00525DE4" w:rsidRDefault="00A50F9F" w:rsidP="00525DE4">
      <w:pPr>
        <w:jc w:val="both"/>
        <w:rPr>
          <w:rFonts w:ascii="Arial" w:eastAsia="Calibri" w:hAnsi="Arial" w:cs="Arial"/>
          <w:color w:val="000000" w:themeColor="text1"/>
          <w:sz w:val="20"/>
          <w:szCs w:val="20"/>
          <w:lang w:val="es-ES_tradnl"/>
        </w:rPr>
      </w:pPr>
      <w:r w:rsidRPr="00A50F9F">
        <w:rPr>
          <w:rFonts w:ascii="Arial" w:eastAsia="Calibri" w:hAnsi="Arial" w:cs="Arial"/>
          <w:color w:val="000000" w:themeColor="text1"/>
          <w:sz w:val="20"/>
          <w:szCs w:val="20"/>
          <w:lang w:val="es-ES_tradnl"/>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784A63AC" w14:textId="77777777" w:rsidR="00A50F9F" w:rsidRPr="00B057C8" w:rsidRDefault="00A50F9F" w:rsidP="00525DE4">
      <w:pPr>
        <w:jc w:val="both"/>
        <w:rPr>
          <w:rFonts w:ascii="Arial" w:eastAsia="Calibri" w:hAnsi="Arial" w:cs="Arial"/>
          <w:color w:val="000000" w:themeColor="text1"/>
          <w:sz w:val="20"/>
          <w:szCs w:val="20"/>
          <w:lang w:val="es-ES"/>
        </w:rPr>
      </w:pPr>
    </w:p>
    <w:p w14:paraId="52EB6E35" w14:textId="77777777" w:rsidR="00525DE4" w:rsidRPr="00711229" w:rsidRDefault="00525DE4" w:rsidP="00525DE4">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ENTIDADES CON RÉGIMEN ESPECIAL – Reglas aplicables</w:t>
      </w:r>
    </w:p>
    <w:p w14:paraId="2CEFD254" w14:textId="77777777" w:rsidR="00525DE4" w:rsidRPr="00C50936" w:rsidRDefault="00525DE4" w:rsidP="00525DE4">
      <w:pPr>
        <w:jc w:val="both"/>
        <w:rPr>
          <w:rFonts w:ascii="Arial" w:eastAsia="Calibri" w:hAnsi="Arial" w:cs="Arial"/>
          <w:color w:val="000000" w:themeColor="text1"/>
          <w:sz w:val="20"/>
          <w:szCs w:val="20"/>
          <w:highlight w:val="yellow"/>
          <w:lang w:val="es-ES_tradnl"/>
        </w:rPr>
      </w:pPr>
    </w:p>
    <w:p w14:paraId="07EBC594" w14:textId="77777777" w:rsidR="00B1793C" w:rsidRPr="00B1793C" w:rsidRDefault="00B1793C" w:rsidP="00B1793C">
      <w:pPr>
        <w:jc w:val="both"/>
        <w:rPr>
          <w:rFonts w:ascii="Arial" w:eastAsia="Calibri" w:hAnsi="Arial" w:cs="Arial"/>
          <w:color w:val="000000" w:themeColor="text1"/>
          <w:sz w:val="20"/>
          <w:szCs w:val="20"/>
          <w:lang w:val="es-ES_tradnl"/>
        </w:rPr>
      </w:pPr>
      <w:r w:rsidRPr="00B1793C">
        <w:rPr>
          <w:rFonts w:ascii="Arial" w:eastAsia="Calibri" w:hAnsi="Arial" w:cs="Arial"/>
          <w:color w:val="000000" w:themeColor="text1"/>
          <w:sz w:val="20"/>
          <w:szCs w:val="20"/>
          <w:lang w:val="es-ES_tradnl"/>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2A431A2A" w14:textId="6DF9D781" w:rsidR="00525DE4" w:rsidRDefault="00B1793C" w:rsidP="00B1793C">
      <w:pPr>
        <w:spacing w:before="120"/>
        <w:jc w:val="both"/>
        <w:rPr>
          <w:rFonts w:ascii="Arial" w:eastAsia="Calibri" w:hAnsi="Arial" w:cs="Arial"/>
          <w:color w:val="000000" w:themeColor="text1"/>
          <w:sz w:val="20"/>
          <w:szCs w:val="20"/>
          <w:lang w:val="es-ES_tradnl"/>
        </w:rPr>
      </w:pPr>
      <w:r w:rsidRPr="00B1793C">
        <w:rPr>
          <w:rFonts w:ascii="Arial" w:eastAsia="Calibri" w:hAnsi="Arial" w:cs="Arial"/>
          <w:color w:val="000000" w:themeColor="text1"/>
          <w:sz w:val="20"/>
          <w:szCs w:val="20"/>
          <w:lang w:val="es-ES_tradn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w:t>
      </w:r>
      <w:r>
        <w:rPr>
          <w:rFonts w:ascii="Arial" w:eastAsia="Calibri" w:hAnsi="Arial" w:cs="Arial"/>
          <w:color w:val="000000" w:themeColor="text1"/>
          <w:sz w:val="20"/>
          <w:szCs w:val="20"/>
          <w:lang w:val="es-ES_tradnl"/>
        </w:rPr>
        <w:t xml:space="preserve"> […]</w:t>
      </w:r>
    </w:p>
    <w:p w14:paraId="24CD5000" w14:textId="77777777" w:rsidR="00B1793C" w:rsidRDefault="00B1793C" w:rsidP="00B1793C">
      <w:pPr>
        <w:jc w:val="both"/>
        <w:rPr>
          <w:rFonts w:ascii="Arial" w:eastAsia="Calibri" w:hAnsi="Arial" w:cs="Arial"/>
          <w:color w:val="000000" w:themeColor="text1"/>
          <w:sz w:val="20"/>
          <w:szCs w:val="20"/>
          <w:lang w:val="es-ES_tradnl"/>
        </w:rPr>
      </w:pPr>
    </w:p>
    <w:p w14:paraId="6B4F74B4" w14:textId="77777777" w:rsidR="00525DE4" w:rsidRPr="00711229" w:rsidRDefault="00525DE4" w:rsidP="00525DE4">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EMPRESAS SOCIALES DEL ESTADO</w:t>
      </w:r>
      <w:r w:rsidRPr="00711229">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Régimen jurídico – </w:t>
      </w:r>
      <w:r w:rsidRPr="00711229">
        <w:rPr>
          <w:rFonts w:ascii="Arial" w:eastAsia="Calibri" w:hAnsi="Arial" w:cs="Arial"/>
          <w:b/>
          <w:color w:val="000000" w:themeColor="text1"/>
          <w:sz w:val="22"/>
          <w:lang w:val="es-ES_tradnl"/>
        </w:rPr>
        <w:t>Reglas aplicables</w:t>
      </w:r>
    </w:p>
    <w:p w14:paraId="623D071D" w14:textId="77777777" w:rsidR="00525DE4" w:rsidRDefault="00525DE4" w:rsidP="00525DE4">
      <w:pPr>
        <w:jc w:val="both"/>
        <w:rPr>
          <w:rFonts w:ascii="Arial" w:eastAsia="Calibri" w:hAnsi="Arial" w:cs="Arial"/>
          <w:color w:val="000000" w:themeColor="text1"/>
          <w:sz w:val="20"/>
          <w:szCs w:val="20"/>
          <w:lang w:val="es-ES_tradnl"/>
        </w:rPr>
      </w:pPr>
    </w:p>
    <w:p w14:paraId="25125C7F" w14:textId="77777777" w:rsidR="00B1793C" w:rsidRPr="00B1793C" w:rsidRDefault="00525DE4" w:rsidP="00B1793C">
      <w:pPr>
        <w:jc w:val="both"/>
        <w:rPr>
          <w:rFonts w:ascii="Arial" w:eastAsia="Calibri" w:hAnsi="Arial" w:cs="Arial"/>
          <w:color w:val="000000" w:themeColor="text1"/>
          <w:sz w:val="20"/>
          <w:szCs w:val="20"/>
        </w:rPr>
      </w:pPr>
      <w:r>
        <w:rPr>
          <w:rFonts w:ascii="Arial" w:eastAsia="Calibri" w:hAnsi="Arial" w:cs="Arial"/>
          <w:color w:val="000000" w:themeColor="text1"/>
          <w:sz w:val="20"/>
          <w:szCs w:val="20"/>
          <w:lang w:val="es-ES_tradnl"/>
        </w:rPr>
        <w:t xml:space="preserve">[…] </w:t>
      </w:r>
      <w:r w:rsidR="00B1793C" w:rsidRPr="00B1793C">
        <w:rPr>
          <w:rFonts w:ascii="Arial" w:eastAsia="Calibri" w:hAnsi="Arial" w:cs="Arial"/>
          <w:color w:val="000000" w:themeColor="text1"/>
          <w:sz w:val="20"/>
          <w:szCs w:val="20"/>
        </w:rPr>
        <w:t xml:space="preserve">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w:t>
      </w:r>
      <w:proofErr w:type="gramStart"/>
      <w:r w:rsidR="00B1793C" w:rsidRPr="00B1793C">
        <w:rPr>
          <w:rFonts w:ascii="Arial" w:eastAsia="Calibri" w:hAnsi="Arial" w:cs="Arial"/>
          <w:color w:val="000000" w:themeColor="text1"/>
          <w:sz w:val="20"/>
          <w:szCs w:val="20"/>
        </w:rPr>
        <w:t>de acuerdo a</w:t>
      </w:r>
      <w:proofErr w:type="gramEnd"/>
      <w:r w:rsidR="00B1793C" w:rsidRPr="00B1793C">
        <w:rPr>
          <w:rFonts w:ascii="Arial" w:eastAsia="Calibri" w:hAnsi="Arial" w:cs="Arial"/>
          <w:color w:val="000000" w:themeColor="text1"/>
          <w:sz w:val="20"/>
          <w:szCs w:val="20"/>
        </w:rPr>
        <w:t xml:space="preserve">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14:paraId="159DFCA2" w14:textId="768F1719" w:rsidR="00525DE4" w:rsidRDefault="00B1793C" w:rsidP="00B1793C">
      <w:pPr>
        <w:spacing w:before="120"/>
        <w:jc w:val="both"/>
        <w:rPr>
          <w:rFonts w:ascii="Arial" w:eastAsia="Calibri" w:hAnsi="Arial" w:cs="Arial"/>
          <w:color w:val="000000" w:themeColor="text1"/>
          <w:sz w:val="20"/>
          <w:szCs w:val="20"/>
        </w:rPr>
      </w:pPr>
      <w:r w:rsidRPr="00B1793C">
        <w:rPr>
          <w:rFonts w:ascii="Arial" w:eastAsia="Calibri" w:hAnsi="Arial" w:cs="Arial"/>
          <w:color w:val="000000" w:themeColor="text1"/>
          <w:sz w:val="20"/>
          <w:szCs w:val="20"/>
        </w:rPr>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p>
    <w:p w14:paraId="6EE58793" w14:textId="77777777" w:rsidR="00B1793C" w:rsidRPr="00C50936" w:rsidRDefault="00B1793C" w:rsidP="00B1793C">
      <w:pPr>
        <w:jc w:val="both"/>
        <w:rPr>
          <w:rFonts w:ascii="Arial" w:eastAsia="Calibri" w:hAnsi="Arial" w:cs="Arial"/>
          <w:color w:val="000000" w:themeColor="text1"/>
          <w:sz w:val="20"/>
          <w:szCs w:val="20"/>
          <w:lang w:val="es-ES_tradnl"/>
        </w:rPr>
      </w:pPr>
    </w:p>
    <w:p w14:paraId="68F18D4B" w14:textId="7A9A6F1B" w:rsidR="00525DE4" w:rsidRPr="00711229" w:rsidRDefault="00525DE4" w:rsidP="216AB784">
      <w:pPr>
        <w:jc w:val="both"/>
        <w:rPr>
          <w:rFonts w:ascii="Arial" w:eastAsia="Calibri" w:hAnsi="Arial" w:cs="Arial"/>
          <w:b/>
          <w:bCs/>
          <w:color w:val="000000" w:themeColor="text1"/>
          <w:sz w:val="22"/>
          <w:lang w:val="es-ES"/>
        </w:rPr>
      </w:pPr>
      <w:r w:rsidRPr="216AB784">
        <w:rPr>
          <w:rFonts w:ascii="Arial" w:eastAsia="Calibri" w:hAnsi="Arial" w:cs="Arial"/>
          <w:b/>
          <w:bCs/>
          <w:color w:val="000000" w:themeColor="text1"/>
          <w:sz w:val="22"/>
          <w:lang w:val="es-ES"/>
        </w:rPr>
        <w:t xml:space="preserve">ENTIDADES CON RÉGIMEN ESPECIAL – Manual de </w:t>
      </w:r>
      <w:r w:rsidR="34A60760" w:rsidRPr="216AB784">
        <w:rPr>
          <w:rFonts w:ascii="Arial" w:eastAsia="Calibri" w:hAnsi="Arial" w:cs="Arial"/>
          <w:b/>
          <w:bCs/>
          <w:color w:val="000000" w:themeColor="text1"/>
          <w:sz w:val="22"/>
          <w:lang w:val="es-ES"/>
        </w:rPr>
        <w:t>c</w:t>
      </w:r>
      <w:r w:rsidRPr="216AB784">
        <w:rPr>
          <w:rFonts w:ascii="Arial" w:eastAsia="Calibri" w:hAnsi="Arial" w:cs="Arial"/>
          <w:b/>
          <w:bCs/>
          <w:color w:val="000000" w:themeColor="text1"/>
          <w:sz w:val="22"/>
          <w:lang w:val="es-ES"/>
        </w:rPr>
        <w:t>ontratación – Contenido</w:t>
      </w:r>
    </w:p>
    <w:p w14:paraId="15C66A2A" w14:textId="77777777" w:rsidR="00525DE4" w:rsidRPr="00C50936" w:rsidRDefault="00525DE4" w:rsidP="00525DE4">
      <w:pPr>
        <w:jc w:val="both"/>
        <w:rPr>
          <w:rFonts w:ascii="Arial" w:eastAsia="Calibri" w:hAnsi="Arial" w:cs="Arial"/>
          <w:color w:val="000000" w:themeColor="text1"/>
          <w:sz w:val="20"/>
          <w:szCs w:val="20"/>
          <w:lang w:val="es-ES_tradnl"/>
        </w:rPr>
      </w:pPr>
    </w:p>
    <w:p w14:paraId="6DCB9E18" w14:textId="0A8BC8B2" w:rsidR="00525DE4" w:rsidRDefault="000F05AC" w:rsidP="00525DE4">
      <w:pPr>
        <w:jc w:val="both"/>
        <w:rPr>
          <w:rFonts w:ascii="Arial" w:eastAsia="Calibri" w:hAnsi="Arial" w:cs="Arial"/>
          <w:color w:val="000000" w:themeColor="text1"/>
          <w:sz w:val="20"/>
          <w:szCs w:val="20"/>
          <w:lang w:val="es-ES_tradnl"/>
        </w:rPr>
      </w:pPr>
      <w:r w:rsidRPr="000F05AC">
        <w:rPr>
          <w:rFonts w:ascii="Arial" w:eastAsia="Calibri" w:hAnsi="Arial" w:cs="Arial"/>
          <w:color w:val="000000" w:themeColor="text1"/>
          <w:sz w:val="20"/>
          <w:szCs w:val="20"/>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w:t>
      </w:r>
      <w:r w:rsidRPr="000F05AC">
        <w:rPr>
          <w:rFonts w:ascii="Arial" w:eastAsia="Calibri" w:hAnsi="Arial" w:cs="Arial"/>
          <w:color w:val="000000" w:themeColor="text1"/>
          <w:sz w:val="20"/>
          <w:szCs w:val="20"/>
          <w:lang w:val="es-ES_tradnl"/>
        </w:rPr>
        <w:lastRenderedPageBreak/>
        <w:t>componen, los cuales deben estar alineados con la garantía de los principios de la función administrativa.</w:t>
      </w:r>
    </w:p>
    <w:p w14:paraId="7CE1F50B" w14:textId="77777777" w:rsidR="000F05AC" w:rsidRPr="000D1B38" w:rsidRDefault="000F05AC" w:rsidP="00525DE4">
      <w:pPr>
        <w:jc w:val="both"/>
        <w:rPr>
          <w:rFonts w:ascii="Arial" w:eastAsia="Calibri" w:hAnsi="Arial" w:cs="Arial"/>
          <w:bCs/>
          <w:color w:val="000000" w:themeColor="text1"/>
          <w:sz w:val="20"/>
          <w:szCs w:val="20"/>
          <w:lang w:val="es-ES_tradnl"/>
        </w:rPr>
      </w:pPr>
    </w:p>
    <w:p w14:paraId="377D02AB" w14:textId="77777777" w:rsidR="00525DE4" w:rsidRPr="00CF0898" w:rsidRDefault="00525DE4" w:rsidP="00525DE4">
      <w:pPr>
        <w:jc w:val="both"/>
        <w:rPr>
          <w:rFonts w:ascii="Arial" w:eastAsia="Calibri" w:hAnsi="Arial" w:cs="Arial"/>
          <w:bCs/>
          <w:color w:val="000000" w:themeColor="text1"/>
          <w:sz w:val="20"/>
          <w:szCs w:val="20"/>
        </w:rPr>
      </w:pPr>
    </w:p>
    <w:p w14:paraId="07047E94" w14:textId="0D8AB812" w:rsidR="00525DE4" w:rsidRDefault="00525DE4" w:rsidP="007019A8">
      <w:pPr>
        <w:rPr>
          <w:rFonts w:ascii="Arial" w:hAnsi="Arial" w:cs="Arial"/>
          <w:b/>
          <w:color w:val="000000" w:themeColor="text1"/>
          <w:sz w:val="22"/>
        </w:rPr>
      </w:pPr>
      <w:r w:rsidRPr="006C15D5">
        <w:rPr>
          <w:rFonts w:ascii="Arial" w:hAnsi="Arial" w:cs="Arial"/>
          <w:color w:val="000000" w:themeColor="text1"/>
          <w:sz w:val="22"/>
        </w:rPr>
        <w:t xml:space="preserve">Bogotá D.C., </w:t>
      </w:r>
      <w:r w:rsidR="007019A8" w:rsidRPr="007019A8">
        <w:rPr>
          <w:rFonts w:ascii="Arial" w:hAnsi="Arial" w:cs="Arial"/>
          <w:b/>
          <w:color w:val="000000" w:themeColor="text1"/>
          <w:sz w:val="22"/>
        </w:rPr>
        <w:t>24/07/2020 Hora 11:2:38s</w:t>
      </w:r>
    </w:p>
    <w:p w14:paraId="5278AA3D" w14:textId="1214BF84" w:rsidR="00525DE4" w:rsidRPr="007019A8" w:rsidRDefault="00525DE4" w:rsidP="00525DE4">
      <w:pPr>
        <w:jc w:val="right"/>
        <w:rPr>
          <w:rFonts w:ascii="Arial" w:hAnsi="Arial" w:cs="Arial"/>
          <w:b/>
          <w:color w:val="000000" w:themeColor="text1"/>
          <w:sz w:val="22"/>
          <w:lang w:val="es-CO"/>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7019A8" w:rsidRPr="007019A8">
        <w:rPr>
          <w:rFonts w:ascii="Arial" w:hAnsi="Arial" w:cs="Arial"/>
          <w:b/>
          <w:color w:val="000000" w:themeColor="text1"/>
          <w:sz w:val="22"/>
        </w:rPr>
        <w:t>2202013000006587</w:t>
      </w:r>
    </w:p>
    <w:p w14:paraId="7A27C205" w14:textId="77777777" w:rsidR="00525DE4" w:rsidRPr="006C15D5" w:rsidRDefault="00525DE4" w:rsidP="00525DE4">
      <w:pPr>
        <w:rPr>
          <w:rFonts w:ascii="Arial" w:eastAsia="Calibri" w:hAnsi="Arial" w:cs="Arial"/>
          <w:color w:val="000000" w:themeColor="text1"/>
          <w:sz w:val="22"/>
        </w:rPr>
      </w:pPr>
    </w:p>
    <w:p w14:paraId="624B2E2E" w14:textId="77777777" w:rsidR="00525DE4" w:rsidRPr="006C15D5" w:rsidRDefault="00525DE4" w:rsidP="00525DE4">
      <w:pPr>
        <w:rPr>
          <w:rFonts w:ascii="Arial" w:eastAsia="Calibri" w:hAnsi="Arial" w:cs="Arial"/>
          <w:color w:val="000000" w:themeColor="text1"/>
          <w:sz w:val="22"/>
        </w:rPr>
      </w:pPr>
    </w:p>
    <w:p w14:paraId="793777FE" w14:textId="77777777" w:rsidR="00525DE4" w:rsidRPr="006C15D5" w:rsidRDefault="00525DE4" w:rsidP="00525DE4">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600350F2" w14:textId="77777777" w:rsidR="00525DE4" w:rsidRDefault="00525DE4" w:rsidP="00525DE4">
      <w:pPr>
        <w:rPr>
          <w:rFonts w:ascii="Arial" w:eastAsia="Calibri" w:hAnsi="Arial" w:cs="Arial"/>
          <w:b/>
          <w:color w:val="000000" w:themeColor="text1"/>
          <w:sz w:val="22"/>
        </w:rPr>
      </w:pPr>
      <w:r>
        <w:rPr>
          <w:rFonts w:ascii="Arial" w:eastAsia="Calibri" w:hAnsi="Arial" w:cs="Arial"/>
          <w:b/>
          <w:color w:val="000000" w:themeColor="text1"/>
          <w:sz w:val="22"/>
        </w:rPr>
        <w:t xml:space="preserve">Dina Pérez </w:t>
      </w:r>
      <w:proofErr w:type="spellStart"/>
      <w:r>
        <w:rPr>
          <w:rFonts w:ascii="Arial" w:eastAsia="Calibri" w:hAnsi="Arial" w:cs="Arial"/>
          <w:b/>
          <w:color w:val="000000" w:themeColor="text1"/>
          <w:sz w:val="22"/>
        </w:rPr>
        <w:t>Coneo</w:t>
      </w:r>
      <w:proofErr w:type="spellEnd"/>
    </w:p>
    <w:p w14:paraId="7A452F8C" w14:textId="77777777" w:rsidR="00525DE4" w:rsidRPr="006C15D5" w:rsidRDefault="00525DE4" w:rsidP="00525DE4">
      <w:pPr>
        <w:rPr>
          <w:rFonts w:ascii="Arial" w:eastAsia="Calibri" w:hAnsi="Arial" w:cs="Arial"/>
          <w:color w:val="000000" w:themeColor="text1"/>
          <w:sz w:val="22"/>
        </w:rPr>
      </w:pPr>
      <w:r>
        <w:rPr>
          <w:rFonts w:ascii="Arial" w:eastAsia="Calibri" w:hAnsi="Arial" w:cs="Arial"/>
          <w:color w:val="000000" w:themeColor="text1"/>
          <w:sz w:val="22"/>
        </w:rPr>
        <w:t>Ipiales, Nariño</w:t>
      </w:r>
    </w:p>
    <w:p w14:paraId="4B3E13AE" w14:textId="77777777" w:rsidR="00525DE4" w:rsidRPr="006C15D5" w:rsidRDefault="00525DE4" w:rsidP="00525DE4">
      <w:pPr>
        <w:rPr>
          <w:rFonts w:ascii="Arial" w:eastAsia="Calibri" w:hAnsi="Arial" w:cs="Arial"/>
          <w:color w:val="000000" w:themeColor="text1"/>
          <w:sz w:val="22"/>
        </w:rPr>
      </w:pPr>
    </w:p>
    <w:p w14:paraId="2785E3F0" w14:textId="77777777" w:rsidR="00525DE4" w:rsidRPr="006C15D5" w:rsidRDefault="00525DE4" w:rsidP="00525DE4">
      <w:pPr>
        <w:rPr>
          <w:rFonts w:ascii="Arial" w:eastAsia="Calibri" w:hAnsi="Arial" w:cs="Arial"/>
          <w:color w:val="000000" w:themeColor="text1"/>
          <w:sz w:val="22"/>
        </w:rPr>
      </w:pPr>
    </w:p>
    <w:p w14:paraId="56862CFA" w14:textId="77777777" w:rsidR="00525DE4" w:rsidRPr="006C15D5" w:rsidRDefault="00525DE4" w:rsidP="00525DE4">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462</w:t>
      </w:r>
      <w:r w:rsidRPr="006C15D5">
        <w:rPr>
          <w:rFonts w:ascii="Arial" w:eastAsia="Calibri" w:hAnsi="Arial" w:cs="Arial"/>
          <w:b/>
          <w:color w:val="000000" w:themeColor="text1"/>
          <w:sz w:val="22"/>
        </w:rPr>
        <w:t xml:space="preserve"> de 2020</w:t>
      </w:r>
    </w:p>
    <w:p w14:paraId="747854E6" w14:textId="77777777" w:rsidR="00525DE4" w:rsidRPr="006C15D5" w:rsidRDefault="00525DE4" w:rsidP="00525DE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5DE4" w:rsidRPr="003F6D32" w14:paraId="381F6E69" w14:textId="77777777" w:rsidTr="004562E7">
        <w:tc>
          <w:tcPr>
            <w:tcW w:w="2689" w:type="dxa"/>
            <w:hideMark/>
          </w:tcPr>
          <w:p w14:paraId="475DF2D7" w14:textId="77777777" w:rsidR="00525DE4" w:rsidRPr="006C15D5" w:rsidRDefault="00525DE4" w:rsidP="004562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7A3A0289" w14:textId="77777777" w:rsidR="00525DE4" w:rsidRPr="006C15D5" w:rsidRDefault="00525DE4" w:rsidP="004562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1E803935" w14:textId="77777777" w:rsidR="00525DE4" w:rsidRPr="006C15D5" w:rsidRDefault="00525DE4" w:rsidP="004562E7">
            <w:pPr>
              <w:jc w:val="both"/>
              <w:rPr>
                <w:rFonts w:ascii="Arial" w:eastAsia="Calibri" w:hAnsi="Arial" w:cs="Arial"/>
                <w:color w:val="000000" w:themeColor="text1"/>
                <w:sz w:val="22"/>
              </w:rPr>
            </w:pPr>
            <w:r w:rsidRPr="00BA1CD7">
              <w:rPr>
                <w:rFonts w:ascii="Arial" w:eastAsia="Calibri" w:hAnsi="Arial" w:cs="Arial"/>
                <w:color w:val="000000" w:themeColor="text1"/>
                <w:sz w:val="22"/>
              </w:rPr>
              <w:t>ENTIDADES CON RÉGIMEN ESPECIAL – Definición</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ENTIDADES CON RÉGIMEN ESPECIAL – Reglas aplicables</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EMPRESAS SOCIALES DEL ESTADO – Régimen jurídico – Reglas aplicables</w:t>
            </w:r>
            <w:r>
              <w:rPr>
                <w:rFonts w:ascii="Arial" w:eastAsia="Calibri" w:hAnsi="Arial" w:cs="Arial"/>
                <w:color w:val="000000" w:themeColor="text1"/>
                <w:sz w:val="22"/>
              </w:rPr>
              <w:t xml:space="preserve"> / </w:t>
            </w:r>
            <w:r w:rsidRPr="00BA1CD7">
              <w:rPr>
                <w:rFonts w:ascii="Arial" w:eastAsia="Calibri" w:hAnsi="Arial" w:cs="Arial"/>
                <w:color w:val="000000" w:themeColor="text1"/>
                <w:sz w:val="22"/>
              </w:rPr>
              <w:t>ENTIDADES CON RÉGIMEN ESPECIAL – Manual de Contratación – Contenido</w:t>
            </w:r>
          </w:p>
        </w:tc>
      </w:tr>
      <w:tr w:rsidR="00525DE4" w:rsidRPr="003F6D32" w14:paraId="344B8C38" w14:textId="77777777" w:rsidTr="004562E7">
        <w:tc>
          <w:tcPr>
            <w:tcW w:w="2689" w:type="dxa"/>
          </w:tcPr>
          <w:p w14:paraId="28DB88EA" w14:textId="77777777" w:rsidR="00525DE4" w:rsidRPr="006C15D5" w:rsidRDefault="00525DE4" w:rsidP="004562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09203986" w14:textId="77777777" w:rsidR="00525DE4" w:rsidRPr="006C15D5" w:rsidRDefault="00525DE4" w:rsidP="004562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Pr="004439E2">
              <w:rPr>
                <w:rFonts w:ascii="Arial" w:eastAsia="Calibri" w:hAnsi="Arial" w:cs="Arial"/>
                <w:color w:val="000000" w:themeColor="text1"/>
                <w:sz w:val="22"/>
              </w:rPr>
              <w:t>420201</w:t>
            </w:r>
            <w:r>
              <w:rPr>
                <w:rFonts w:ascii="Arial" w:eastAsia="Calibri" w:hAnsi="Arial" w:cs="Arial"/>
                <w:color w:val="000000" w:themeColor="text1"/>
                <w:sz w:val="22"/>
              </w:rPr>
              <w:t>2</w:t>
            </w:r>
            <w:r w:rsidRPr="004439E2">
              <w:rPr>
                <w:rFonts w:ascii="Arial" w:eastAsia="Calibri" w:hAnsi="Arial" w:cs="Arial"/>
                <w:color w:val="000000" w:themeColor="text1"/>
                <w:sz w:val="22"/>
              </w:rPr>
              <w:t>00000</w:t>
            </w:r>
            <w:r>
              <w:rPr>
                <w:rFonts w:ascii="Arial" w:eastAsia="Calibri" w:hAnsi="Arial" w:cs="Arial"/>
                <w:color w:val="000000" w:themeColor="text1"/>
                <w:sz w:val="22"/>
              </w:rPr>
              <w:t>5466</w:t>
            </w:r>
            <w:r w:rsidRPr="006C15D5">
              <w:rPr>
                <w:rFonts w:ascii="Arial" w:eastAsia="Calibri" w:hAnsi="Arial" w:cs="Arial"/>
                <w:color w:val="000000" w:themeColor="text1"/>
                <w:sz w:val="22"/>
              </w:rPr>
              <w:t xml:space="preserve"> </w:t>
            </w:r>
          </w:p>
        </w:tc>
      </w:tr>
      <w:tr w:rsidR="00525DE4" w:rsidRPr="003F6D32" w14:paraId="7450E622" w14:textId="77777777" w:rsidTr="004562E7">
        <w:tc>
          <w:tcPr>
            <w:tcW w:w="2689" w:type="dxa"/>
          </w:tcPr>
          <w:p w14:paraId="514EFF35" w14:textId="77777777" w:rsidR="00525DE4" w:rsidRPr="006C15D5" w:rsidRDefault="00525DE4" w:rsidP="004562E7">
            <w:pPr>
              <w:spacing w:before="120"/>
              <w:rPr>
                <w:rFonts w:ascii="Arial" w:eastAsia="Calibri" w:hAnsi="Arial" w:cs="Arial"/>
                <w:b/>
                <w:color w:val="000000" w:themeColor="text1"/>
                <w:sz w:val="22"/>
              </w:rPr>
            </w:pPr>
          </w:p>
        </w:tc>
        <w:tc>
          <w:tcPr>
            <w:tcW w:w="6237" w:type="dxa"/>
          </w:tcPr>
          <w:p w14:paraId="5EA17D4D" w14:textId="77777777" w:rsidR="00525DE4" w:rsidRPr="006C15D5" w:rsidRDefault="00525DE4" w:rsidP="004562E7">
            <w:pPr>
              <w:spacing w:before="120"/>
              <w:jc w:val="both"/>
              <w:rPr>
                <w:rFonts w:ascii="Arial" w:eastAsia="Calibri" w:hAnsi="Arial" w:cs="Arial"/>
                <w:color w:val="000000" w:themeColor="text1"/>
                <w:sz w:val="22"/>
              </w:rPr>
            </w:pPr>
          </w:p>
        </w:tc>
      </w:tr>
    </w:tbl>
    <w:p w14:paraId="5E99AD85" w14:textId="77777777" w:rsidR="00525DE4" w:rsidRPr="006C15D5" w:rsidRDefault="00525DE4" w:rsidP="00525DE4">
      <w:pPr>
        <w:jc w:val="both"/>
        <w:rPr>
          <w:rFonts w:ascii="Arial" w:eastAsia="Calibri" w:hAnsi="Arial" w:cs="Arial"/>
          <w:color w:val="000000" w:themeColor="text1"/>
          <w:sz w:val="22"/>
        </w:rPr>
      </w:pPr>
    </w:p>
    <w:p w14:paraId="48A2BB3B" w14:textId="77777777" w:rsidR="00525DE4" w:rsidRPr="006C15D5" w:rsidRDefault="00525DE4" w:rsidP="00525DE4">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Pr>
          <w:rFonts w:ascii="Arial" w:eastAsia="Calibri" w:hAnsi="Arial" w:cs="Arial"/>
          <w:color w:val="000000" w:themeColor="text1"/>
          <w:sz w:val="22"/>
        </w:rPr>
        <w:t xml:space="preserve">Pérez </w:t>
      </w:r>
      <w:proofErr w:type="spellStart"/>
      <w:r>
        <w:rPr>
          <w:rFonts w:ascii="Arial" w:eastAsia="Calibri" w:hAnsi="Arial" w:cs="Arial"/>
          <w:color w:val="000000" w:themeColor="text1"/>
          <w:sz w:val="22"/>
        </w:rPr>
        <w:t>Coneo</w:t>
      </w:r>
      <w:proofErr w:type="spellEnd"/>
      <w:r w:rsidRPr="006C15D5">
        <w:rPr>
          <w:rFonts w:ascii="Arial" w:eastAsia="Calibri" w:hAnsi="Arial" w:cs="Arial"/>
          <w:color w:val="000000" w:themeColor="text1"/>
          <w:sz w:val="22"/>
        </w:rPr>
        <w:t>:</w:t>
      </w:r>
    </w:p>
    <w:p w14:paraId="25F5A033" w14:textId="77777777" w:rsidR="00525DE4" w:rsidRPr="006C15D5" w:rsidRDefault="00525DE4" w:rsidP="00525DE4">
      <w:pPr>
        <w:rPr>
          <w:rFonts w:ascii="Arial" w:eastAsia="Calibri" w:hAnsi="Arial" w:cs="Arial"/>
          <w:color w:val="000000" w:themeColor="text1"/>
          <w:sz w:val="22"/>
        </w:rPr>
      </w:pPr>
    </w:p>
    <w:p w14:paraId="5B0F8F3B" w14:textId="77777777" w:rsidR="00525DE4" w:rsidRPr="006C15D5" w:rsidRDefault="00525DE4" w:rsidP="00525DE4">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30 de junio</w:t>
      </w:r>
      <w:r w:rsidRPr="006C15D5">
        <w:rPr>
          <w:rFonts w:ascii="Arial" w:eastAsia="Calibri" w:hAnsi="Arial" w:cs="Arial"/>
          <w:color w:val="000000" w:themeColor="text1"/>
          <w:sz w:val="22"/>
        </w:rPr>
        <w:t xml:space="preserve"> de 2020. </w:t>
      </w:r>
    </w:p>
    <w:p w14:paraId="7EF6A7F1" w14:textId="77777777" w:rsidR="00525DE4" w:rsidRPr="006C15D5" w:rsidRDefault="00525DE4" w:rsidP="00525DE4">
      <w:pPr>
        <w:spacing w:line="276" w:lineRule="auto"/>
        <w:jc w:val="both"/>
        <w:rPr>
          <w:rFonts w:ascii="Arial" w:eastAsia="Calibri" w:hAnsi="Arial" w:cs="Arial"/>
          <w:color w:val="000000" w:themeColor="text1"/>
          <w:sz w:val="22"/>
        </w:rPr>
      </w:pPr>
    </w:p>
    <w:p w14:paraId="5795BCC3" w14:textId="77777777" w:rsidR="00525DE4" w:rsidRPr="006C15D5" w:rsidRDefault="00525DE4" w:rsidP="00525DE4">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26777A8E" w14:textId="77777777" w:rsidR="00525DE4" w:rsidRPr="006C15D5" w:rsidRDefault="00525DE4" w:rsidP="00525DE4">
      <w:pPr>
        <w:tabs>
          <w:tab w:val="left" w:pos="426"/>
        </w:tabs>
        <w:spacing w:line="276" w:lineRule="auto"/>
        <w:jc w:val="both"/>
        <w:rPr>
          <w:rFonts w:ascii="Arial" w:eastAsia="Calibri" w:hAnsi="Arial" w:cs="Arial"/>
          <w:b/>
          <w:color w:val="000000" w:themeColor="text1"/>
          <w:sz w:val="22"/>
        </w:rPr>
      </w:pPr>
    </w:p>
    <w:p w14:paraId="50A55AC6" w14:textId="038C4BA9" w:rsidR="00525DE4" w:rsidRPr="0089038F" w:rsidRDefault="00525DE4" w:rsidP="00525DE4">
      <w:pPr>
        <w:tabs>
          <w:tab w:val="left" w:pos="426"/>
        </w:tabs>
        <w:spacing w:line="276" w:lineRule="auto"/>
        <w:jc w:val="both"/>
        <w:rPr>
          <w:rFonts w:ascii="Arial" w:eastAsia="Calibri" w:hAnsi="Arial" w:cs="Arial"/>
          <w:color w:val="000000" w:themeColor="text1"/>
          <w:sz w:val="22"/>
          <w:lang w:val="es-CO"/>
        </w:rPr>
      </w:pPr>
      <w:bookmarkStart w:id="2" w:name="_Hlk41142281"/>
      <w:bookmarkStart w:id="3" w:name="_Hlk41043439"/>
      <w:r>
        <w:rPr>
          <w:rFonts w:ascii="Arial" w:eastAsia="Calibri" w:hAnsi="Arial" w:cs="Arial"/>
          <w:color w:val="000000" w:themeColor="text1"/>
          <w:sz w:val="22"/>
        </w:rPr>
        <w:t xml:space="preserve">Se requiere </w:t>
      </w:r>
      <w:bookmarkStart w:id="4" w:name="_Hlk41221637"/>
      <w:r>
        <w:rPr>
          <w:rFonts w:ascii="Arial" w:eastAsia="Calibri" w:hAnsi="Arial" w:cs="Arial"/>
          <w:color w:val="000000" w:themeColor="text1"/>
          <w:sz w:val="22"/>
        </w:rPr>
        <w:t xml:space="preserve">«[…] </w:t>
      </w:r>
      <w:bookmarkEnd w:id="4"/>
      <w:r>
        <w:rPr>
          <w:rFonts w:ascii="Arial" w:eastAsia="Calibri" w:hAnsi="Arial" w:cs="Arial"/>
          <w:color w:val="000000" w:themeColor="text1"/>
          <w:sz w:val="22"/>
        </w:rPr>
        <w:t xml:space="preserve">ampliar la información sobre </w:t>
      </w:r>
      <w:proofErr w:type="spellStart"/>
      <w:r>
        <w:rPr>
          <w:rFonts w:ascii="Arial" w:eastAsia="Calibri" w:hAnsi="Arial" w:cs="Arial"/>
          <w:color w:val="000000" w:themeColor="text1"/>
          <w:sz w:val="22"/>
        </w:rPr>
        <w:t>como</w:t>
      </w:r>
      <w:proofErr w:type="spellEnd"/>
      <w:r>
        <w:rPr>
          <w:rFonts w:ascii="Arial" w:eastAsia="Calibri" w:hAnsi="Arial" w:cs="Arial"/>
          <w:color w:val="000000" w:themeColor="text1"/>
          <w:sz w:val="22"/>
        </w:rPr>
        <w:t xml:space="preserve"> (sic) es específicamente el proceso de compra electrónica a que hace referencia el artículo 76 de la [L]</w:t>
      </w:r>
      <w:proofErr w:type="spellStart"/>
      <w:r>
        <w:rPr>
          <w:rFonts w:ascii="Arial" w:eastAsia="Calibri" w:hAnsi="Arial" w:cs="Arial"/>
          <w:color w:val="000000" w:themeColor="text1"/>
          <w:sz w:val="22"/>
        </w:rPr>
        <w:t>ey</w:t>
      </w:r>
      <w:proofErr w:type="spellEnd"/>
      <w:r>
        <w:rPr>
          <w:rFonts w:ascii="Arial" w:eastAsia="Calibri" w:hAnsi="Arial" w:cs="Arial"/>
          <w:color w:val="000000" w:themeColor="text1"/>
          <w:sz w:val="22"/>
        </w:rPr>
        <w:t xml:space="preserve"> 1438 de 2011[…]». Particularmente, se realizan las siguientes preguntas: i) «</w:t>
      </w:r>
      <w:r w:rsidRPr="00EA62F1">
        <w:rPr>
          <w:rFonts w:ascii="Arial" w:eastAsia="Calibri" w:hAnsi="Arial" w:cs="Arial"/>
          <w:color w:val="000000" w:themeColor="text1"/>
          <w:sz w:val="22"/>
        </w:rPr>
        <w:t>¿</w:t>
      </w:r>
      <w:r w:rsidRPr="00041F5E">
        <w:rPr>
          <w:rFonts w:ascii="Arial" w:eastAsia="Calibri" w:hAnsi="Arial" w:cs="Arial"/>
          <w:color w:val="000000" w:themeColor="text1"/>
          <w:sz w:val="22"/>
          <w:lang w:val="es-CO"/>
        </w:rPr>
        <w:t>se debe contar con una plataforma especifica por medio de la cual se realicen las convocatorias</w:t>
      </w:r>
      <w:r>
        <w:rPr>
          <w:rFonts w:ascii="Arial" w:eastAsia="Calibri" w:hAnsi="Arial" w:cs="Arial"/>
          <w:color w:val="000000" w:themeColor="text1"/>
          <w:sz w:val="22"/>
          <w:lang w:val="es-CO"/>
        </w:rPr>
        <w:t xml:space="preserve"> […]</w:t>
      </w:r>
      <w:r>
        <w:rPr>
          <w:rFonts w:ascii="Arial" w:eastAsia="Calibri" w:hAnsi="Arial" w:cs="Arial"/>
          <w:color w:val="000000" w:themeColor="text1"/>
          <w:sz w:val="22"/>
        </w:rPr>
        <w:t xml:space="preserve"> o </w:t>
      </w:r>
      <w:r w:rsidRPr="00DD4444">
        <w:rPr>
          <w:rFonts w:ascii="Arial" w:eastAsia="Calibri" w:hAnsi="Arial" w:cs="Arial"/>
          <w:color w:val="000000" w:themeColor="text1"/>
          <w:sz w:val="22"/>
          <w:lang w:val="es-CO"/>
        </w:rPr>
        <w:t xml:space="preserve">es suficiente con la publicación de la oferta en la página de la institución del estado o el </w:t>
      </w:r>
      <w:proofErr w:type="spellStart"/>
      <w:r w:rsidRPr="00DD4444">
        <w:rPr>
          <w:rFonts w:ascii="Arial" w:eastAsia="Calibri" w:hAnsi="Arial" w:cs="Arial"/>
          <w:color w:val="000000" w:themeColor="text1"/>
          <w:sz w:val="22"/>
          <w:lang w:val="es-CO"/>
        </w:rPr>
        <w:t>secop</w:t>
      </w:r>
      <w:proofErr w:type="spellEnd"/>
      <w:r w:rsidRPr="00DD4444">
        <w:rPr>
          <w:rFonts w:ascii="Arial" w:eastAsia="Calibri" w:hAnsi="Arial" w:cs="Arial"/>
          <w:color w:val="000000" w:themeColor="text1"/>
          <w:sz w:val="22"/>
          <w:lang w:val="es-CO"/>
        </w:rPr>
        <w:t>?</w:t>
      </w:r>
      <w:r>
        <w:rPr>
          <w:rFonts w:ascii="Arial" w:eastAsia="Calibri" w:hAnsi="Arial" w:cs="Arial"/>
          <w:color w:val="000000" w:themeColor="text1"/>
          <w:sz w:val="22"/>
        </w:rPr>
        <w:t>»</w:t>
      </w:r>
      <w:bookmarkEnd w:id="2"/>
      <w:r>
        <w:rPr>
          <w:rFonts w:ascii="Arial" w:eastAsia="Calibri" w:hAnsi="Arial" w:cs="Arial"/>
          <w:color w:val="000000" w:themeColor="text1"/>
          <w:sz w:val="22"/>
        </w:rPr>
        <w:t xml:space="preserve">; y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w:t>
      </w:r>
      <w:r w:rsidRPr="00CE35D5">
        <w:rPr>
          <w:rFonts w:ascii="Arial" w:eastAsia="Calibri" w:hAnsi="Arial" w:cs="Arial"/>
          <w:color w:val="000000" w:themeColor="text1"/>
          <w:sz w:val="22"/>
        </w:rPr>
        <w:t>¿</w:t>
      </w:r>
      <w:bookmarkStart w:id="5" w:name="_Hlk41230833"/>
      <w:r w:rsidRPr="0089038F">
        <w:rPr>
          <w:rFonts w:ascii="Arial" w:eastAsia="Calibri" w:hAnsi="Arial" w:cs="Arial"/>
          <w:color w:val="000000" w:themeColor="text1"/>
          <w:sz w:val="22"/>
          <w:lang w:val="es-CO"/>
        </w:rPr>
        <w:t>los pagos se deben realizar de forma electrónica también?</w:t>
      </w:r>
      <w:r>
        <w:rPr>
          <w:rFonts w:ascii="Arial" w:eastAsia="Calibri" w:hAnsi="Arial" w:cs="Arial"/>
          <w:color w:val="000000" w:themeColor="text1"/>
          <w:sz w:val="22"/>
          <w:lang w:val="es-CO"/>
        </w:rPr>
        <w:t>».</w:t>
      </w:r>
      <w:r w:rsidRPr="0089038F">
        <w:rPr>
          <w:rFonts w:ascii="Arial" w:eastAsia="Calibri" w:hAnsi="Arial" w:cs="Arial"/>
          <w:color w:val="000000" w:themeColor="text1"/>
          <w:sz w:val="22"/>
          <w:lang w:val="es-CO"/>
        </w:rPr>
        <w:t xml:space="preserve"> </w:t>
      </w:r>
    </w:p>
    <w:bookmarkEnd w:id="3"/>
    <w:bookmarkEnd w:id="5"/>
    <w:p w14:paraId="729838D1" w14:textId="77777777" w:rsidR="00525DE4" w:rsidRPr="006C15D5" w:rsidRDefault="00525DE4" w:rsidP="00525DE4">
      <w:pPr>
        <w:tabs>
          <w:tab w:val="left" w:pos="709"/>
        </w:tabs>
        <w:spacing w:line="276" w:lineRule="auto"/>
        <w:jc w:val="both"/>
        <w:rPr>
          <w:rFonts w:ascii="Arial" w:eastAsia="Calibri" w:hAnsi="Arial" w:cs="Arial"/>
          <w:color w:val="000000" w:themeColor="text1"/>
          <w:sz w:val="22"/>
        </w:rPr>
      </w:pPr>
    </w:p>
    <w:p w14:paraId="54C8906D" w14:textId="77777777" w:rsidR="00525DE4" w:rsidRPr="006C15D5" w:rsidRDefault="00525DE4" w:rsidP="00525DE4">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2D599205" w14:textId="77777777" w:rsidR="00525DE4" w:rsidRDefault="00525DE4" w:rsidP="00525DE4">
      <w:pPr>
        <w:spacing w:line="276" w:lineRule="auto"/>
        <w:jc w:val="both"/>
        <w:rPr>
          <w:rFonts w:ascii="Arial" w:eastAsia="Calibri" w:hAnsi="Arial" w:cs="Arial"/>
          <w:color w:val="000000" w:themeColor="text1"/>
          <w:sz w:val="22"/>
        </w:rPr>
      </w:pPr>
    </w:p>
    <w:p w14:paraId="60439D49" w14:textId="43D11E83" w:rsidR="00525DE4" w:rsidRPr="005E4CA9" w:rsidRDefault="00525DE4" w:rsidP="00525DE4">
      <w:pPr>
        <w:spacing w:after="120" w:line="276" w:lineRule="auto"/>
        <w:jc w:val="both"/>
        <w:rPr>
          <w:rFonts w:ascii="Arial" w:eastAsia="Calibri" w:hAnsi="Arial" w:cs="Arial"/>
          <w:color w:val="000000" w:themeColor="text1"/>
          <w:sz w:val="22"/>
          <w:highlight w:val="yellow"/>
          <w:lang w:val="es-CO"/>
        </w:rPr>
      </w:pPr>
      <w:r>
        <w:rPr>
          <w:rFonts w:ascii="Arial" w:eastAsia="Calibri" w:hAnsi="Arial" w:cs="Arial"/>
          <w:color w:val="000000" w:themeColor="text1"/>
          <w:sz w:val="22"/>
        </w:rPr>
        <w:t xml:space="preserve">Para responder las </w:t>
      </w:r>
      <w:r w:rsidRPr="005E4CA9">
        <w:rPr>
          <w:rFonts w:ascii="Arial" w:eastAsia="Calibri" w:hAnsi="Arial" w:cs="Arial"/>
          <w:color w:val="000000" w:themeColor="text1"/>
          <w:sz w:val="22"/>
        </w:rPr>
        <w:t xml:space="preserve">preguntas planteadas, se analizarán los siguientes temas: i) </w:t>
      </w:r>
      <w:bookmarkStart w:id="6" w:name="_Hlk41044695"/>
      <w:r>
        <w:rPr>
          <w:rFonts w:ascii="Arial" w:eastAsia="Calibri" w:hAnsi="Arial" w:cs="Arial"/>
          <w:color w:val="000000" w:themeColor="text1"/>
          <w:sz w:val="22"/>
        </w:rPr>
        <w:t xml:space="preserve">los regímenes especiales de contratación, incluido el de </w:t>
      </w:r>
      <w:r w:rsidRPr="005E4CA9">
        <w:rPr>
          <w:rFonts w:ascii="Arial" w:eastAsia="Calibri" w:hAnsi="Arial" w:cs="Arial"/>
          <w:color w:val="000000" w:themeColor="text1"/>
          <w:sz w:val="22"/>
        </w:rPr>
        <w:t>las empresas sociales del Estado</w:t>
      </w:r>
      <w:bookmarkEnd w:id="6"/>
      <w:r w:rsidRPr="005E4CA9">
        <w:rPr>
          <w:rFonts w:ascii="Arial" w:eastAsia="Calibri" w:hAnsi="Arial" w:cs="Arial"/>
          <w:color w:val="000000" w:themeColor="text1"/>
          <w:sz w:val="22"/>
        </w:rPr>
        <w:t xml:space="preserve">, y </w:t>
      </w:r>
      <w:proofErr w:type="spellStart"/>
      <w:r w:rsidRPr="005E4CA9">
        <w:rPr>
          <w:rFonts w:ascii="Arial" w:eastAsia="Calibri" w:hAnsi="Arial" w:cs="Arial"/>
          <w:color w:val="000000" w:themeColor="text1"/>
          <w:sz w:val="22"/>
        </w:rPr>
        <w:t>ii</w:t>
      </w:r>
      <w:proofErr w:type="spellEnd"/>
      <w:r w:rsidRPr="005E4CA9">
        <w:rPr>
          <w:rFonts w:ascii="Arial" w:eastAsia="Calibri" w:hAnsi="Arial" w:cs="Arial"/>
          <w:color w:val="000000" w:themeColor="text1"/>
          <w:sz w:val="22"/>
        </w:rPr>
        <w:t>) la libertad de configuración que a estas les asiste</w:t>
      </w:r>
      <w:r w:rsidR="006415AF">
        <w:rPr>
          <w:rFonts w:ascii="Arial" w:eastAsia="Calibri" w:hAnsi="Arial" w:cs="Arial"/>
          <w:color w:val="000000" w:themeColor="text1"/>
          <w:sz w:val="22"/>
        </w:rPr>
        <w:t xml:space="preserve"> en relación con sus manuales internos de </w:t>
      </w:r>
      <w:r w:rsidR="006415AF">
        <w:rPr>
          <w:rFonts w:ascii="Arial" w:eastAsia="Calibri" w:hAnsi="Arial" w:cs="Arial"/>
          <w:color w:val="000000" w:themeColor="text1"/>
          <w:sz w:val="22"/>
        </w:rPr>
        <w:lastRenderedPageBreak/>
        <w:t>contratación</w:t>
      </w:r>
      <w:r w:rsidRPr="005E4CA9">
        <w:rPr>
          <w:rFonts w:ascii="Arial" w:eastAsia="Calibri" w:hAnsi="Arial" w:cs="Arial"/>
          <w:color w:val="000000" w:themeColor="text1"/>
          <w:sz w:val="22"/>
        </w:rPr>
        <w:t>. En relación con este último aspecto, esta Subdirección expidió el Concepto del 24 de diciembre de 2019 –Radicado No. 4201913000007479–, así como los conceptos C-027 del 13 de febrero de 2020, C-179 del 16 de marzo de 2020 y C-362 del 03 de julio del año 2020, donde se explicó el alcance de</w:t>
      </w:r>
      <w:r>
        <w:rPr>
          <w:rFonts w:ascii="Arial" w:eastAsia="Calibri" w:hAnsi="Arial" w:cs="Arial"/>
          <w:color w:val="000000" w:themeColor="text1"/>
          <w:sz w:val="22"/>
        </w:rPr>
        <w:t xml:space="preserve"> la libertad de configuración de las entidades no sometidas al Estatuto General de Contratación de la Administración Pública «EGCAP»</w:t>
      </w:r>
      <w:r w:rsidRPr="00694209">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La tesis propuesta en </w:t>
      </w:r>
      <w:r>
        <w:rPr>
          <w:rFonts w:ascii="Arial" w:eastAsia="Calibri" w:hAnsi="Arial" w:cs="Arial"/>
          <w:color w:val="000000" w:themeColor="text1"/>
          <w:sz w:val="22"/>
        </w:rPr>
        <w:t>estos</w:t>
      </w:r>
      <w:r w:rsidRPr="0096646C">
        <w:rPr>
          <w:rFonts w:ascii="Arial" w:eastAsia="Calibri" w:hAnsi="Arial" w:cs="Arial"/>
          <w:color w:val="000000" w:themeColor="text1"/>
          <w:sz w:val="22"/>
        </w:rPr>
        <w:t xml:space="preserve"> concepto</w:t>
      </w:r>
      <w:r>
        <w:rPr>
          <w:rFonts w:ascii="Arial" w:eastAsia="Calibri" w:hAnsi="Arial" w:cs="Arial"/>
          <w:color w:val="000000" w:themeColor="text1"/>
          <w:sz w:val="22"/>
        </w:rPr>
        <w:t>s</w:t>
      </w:r>
      <w:r w:rsidRPr="0096646C">
        <w:rPr>
          <w:rFonts w:ascii="Arial" w:eastAsia="Calibri" w:hAnsi="Arial" w:cs="Arial"/>
          <w:color w:val="000000" w:themeColor="text1"/>
          <w:sz w:val="22"/>
        </w:rPr>
        <w:t xml:space="preserve"> se expone </w:t>
      </w:r>
      <w:r>
        <w:rPr>
          <w:rFonts w:ascii="Arial" w:eastAsia="Calibri" w:hAnsi="Arial" w:cs="Arial"/>
          <w:color w:val="000000" w:themeColor="text1"/>
          <w:sz w:val="22"/>
        </w:rPr>
        <w:t>en el presente concepto.</w:t>
      </w:r>
      <w:r w:rsidRPr="0096646C">
        <w:rPr>
          <w:rFonts w:ascii="Arial" w:eastAsia="Calibri" w:hAnsi="Arial" w:cs="Arial"/>
          <w:color w:val="000000" w:themeColor="text1"/>
          <w:sz w:val="22"/>
        </w:rPr>
        <w:t xml:space="preserve"> </w:t>
      </w:r>
    </w:p>
    <w:p w14:paraId="1CF5E0B3" w14:textId="77777777" w:rsidR="00525DE4" w:rsidRDefault="00525DE4" w:rsidP="00525DE4">
      <w:pPr>
        <w:spacing w:after="120" w:line="276" w:lineRule="auto"/>
        <w:ind w:firstLine="708"/>
        <w:jc w:val="both"/>
        <w:rPr>
          <w:rFonts w:ascii="Arial" w:hAnsi="Arial" w:cs="Arial"/>
          <w:bCs/>
          <w:sz w:val="22"/>
          <w:lang w:val="es-ES"/>
        </w:rPr>
      </w:pPr>
      <w:r>
        <w:rPr>
          <w:rFonts w:ascii="Arial" w:hAnsi="Arial" w:cs="Arial"/>
          <w:bCs/>
          <w:sz w:val="22"/>
          <w:lang w:val="es-ES"/>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14:paraId="3A7C0CA6" w14:textId="383F535C" w:rsidR="00525DE4" w:rsidRDefault="00525DE4" w:rsidP="00D75125">
      <w:pPr>
        <w:spacing w:line="276" w:lineRule="auto"/>
        <w:jc w:val="both"/>
        <w:rPr>
          <w:rFonts w:ascii="Arial" w:hAnsi="Arial" w:cs="Arial"/>
          <w:bCs/>
          <w:sz w:val="22"/>
          <w:lang w:val="es-ES"/>
        </w:rPr>
      </w:pPr>
      <w:r>
        <w:rPr>
          <w:rFonts w:ascii="Arial" w:hAnsi="Arial" w:cs="Arial"/>
          <w:bCs/>
          <w:sz w:val="22"/>
          <w:lang w:val="es-ES"/>
        </w:rPr>
        <w:tab/>
        <w:t>La decisión hito-fundadora</w:t>
      </w:r>
      <w:r>
        <w:rPr>
          <w:rStyle w:val="Refdenotaalpie"/>
          <w:rFonts w:ascii="Arial" w:hAnsi="Arial" w:cs="Arial"/>
          <w:bCs/>
          <w:sz w:val="22"/>
          <w:lang w:val="es-ES"/>
        </w:rPr>
        <w:footnoteReference w:id="1"/>
      </w:r>
      <w:r>
        <w:rPr>
          <w:rFonts w:ascii="Arial" w:hAnsi="Arial" w:cs="Arial"/>
          <w:bCs/>
          <w:sz w:val="22"/>
          <w:lang w:val="es-ES"/>
        </w:rPr>
        <w:t xml:space="preserve"> en este sentido, de acuerdo con lo señalado por la doctrina</w:t>
      </w:r>
      <w:r>
        <w:rPr>
          <w:rStyle w:val="Refdenotaalpie"/>
          <w:rFonts w:ascii="Arial" w:hAnsi="Arial" w:cs="Arial"/>
          <w:bCs/>
          <w:sz w:val="22"/>
          <w:lang w:val="es-ES"/>
        </w:rPr>
        <w:footnoteReference w:id="2"/>
      </w:r>
      <w:r>
        <w:rPr>
          <w:rFonts w:ascii="Arial" w:hAnsi="Arial" w:cs="Arial"/>
          <w:bCs/>
          <w:sz w:val="22"/>
          <w:lang w:val="es-ES"/>
        </w:rPr>
        <w:t>, es un auto del 20 de agosto de 1998 del Consejo de Estado, sonde se señaló</w:t>
      </w:r>
      <w:r>
        <w:rPr>
          <w:rStyle w:val="Refdenotaalpie"/>
          <w:rFonts w:ascii="Arial" w:hAnsi="Arial" w:cs="Arial"/>
          <w:bCs/>
          <w:sz w:val="22"/>
          <w:lang w:val="es-ES"/>
        </w:rPr>
        <w:footnoteReference w:id="3"/>
      </w:r>
      <w:r>
        <w:rPr>
          <w:rFonts w:ascii="Arial" w:hAnsi="Arial" w:cs="Arial"/>
          <w:bCs/>
          <w:sz w:val="22"/>
          <w:lang w:val="es-ES"/>
        </w:rPr>
        <w:t>:</w:t>
      </w:r>
    </w:p>
    <w:p w14:paraId="253BE23C" w14:textId="77777777" w:rsidR="007B74F6" w:rsidRDefault="007B74F6" w:rsidP="00525DE4">
      <w:pPr>
        <w:ind w:left="709" w:right="709"/>
        <w:jc w:val="both"/>
        <w:rPr>
          <w:rFonts w:ascii="Arial" w:hAnsi="Arial" w:cs="Arial"/>
          <w:bCs/>
          <w:sz w:val="21"/>
          <w:szCs w:val="21"/>
          <w:lang w:val="es-ES_tradnl"/>
        </w:rPr>
      </w:pPr>
    </w:p>
    <w:p w14:paraId="43FE007D" w14:textId="235594D8" w:rsidR="00525DE4" w:rsidRDefault="00525DE4" w:rsidP="00525DE4">
      <w:pPr>
        <w:ind w:left="709" w:right="709"/>
        <w:jc w:val="both"/>
        <w:rPr>
          <w:rFonts w:ascii="Arial" w:hAnsi="Arial" w:cs="Arial"/>
          <w:bCs/>
          <w:sz w:val="21"/>
          <w:szCs w:val="21"/>
          <w:lang w:val="es-ES_tradnl"/>
        </w:rPr>
      </w:pPr>
      <w:r w:rsidRPr="00711229">
        <w:rPr>
          <w:rFonts w:ascii="Arial" w:hAnsi="Arial" w:cs="Arial"/>
          <w:bCs/>
          <w:sz w:val="21"/>
          <w:szCs w:val="21"/>
          <w:lang w:val="es-ES_tradnl"/>
        </w:rPr>
        <w:t xml:space="preserve">A juicio de la Sala es preciso reconocer </w:t>
      </w:r>
      <w:proofErr w:type="gramStart"/>
      <w:r w:rsidRPr="00711229">
        <w:rPr>
          <w:rFonts w:ascii="Arial" w:hAnsi="Arial" w:cs="Arial"/>
          <w:bCs/>
          <w:sz w:val="21"/>
          <w:szCs w:val="21"/>
          <w:lang w:val="es-ES_tradnl"/>
        </w:rPr>
        <w:t>que</w:t>
      </w:r>
      <w:proofErr w:type="gramEnd"/>
      <w:r w:rsidRPr="00711229">
        <w:rPr>
          <w:rFonts w:ascii="Arial" w:hAnsi="Arial" w:cs="Arial"/>
          <w:bCs/>
          <w:sz w:val="21"/>
          <w:szCs w:val="21"/>
          <w:lang w:val="es-ES_tradnl"/>
        </w:rPr>
        <w:t xml:space="preserve"> en las diversas regulaciones normativas sobre contratación de la administración pública, es posible identificar dos grandes categorías de actos contractuales:</w:t>
      </w:r>
    </w:p>
    <w:p w14:paraId="0265A07E" w14:textId="77777777" w:rsidR="00525DE4" w:rsidRPr="00711229" w:rsidRDefault="00525DE4" w:rsidP="00525DE4">
      <w:pPr>
        <w:ind w:left="709" w:right="709"/>
        <w:jc w:val="both"/>
        <w:rPr>
          <w:rFonts w:ascii="Arial" w:hAnsi="Arial" w:cs="Arial"/>
          <w:bCs/>
          <w:sz w:val="21"/>
          <w:szCs w:val="21"/>
          <w:lang w:val="es-ES_tradnl"/>
        </w:rPr>
      </w:pPr>
    </w:p>
    <w:p w14:paraId="0FCAB687" w14:textId="77777777" w:rsidR="00525DE4" w:rsidRDefault="00525DE4" w:rsidP="00525DE4">
      <w:pPr>
        <w:ind w:left="709" w:right="709"/>
        <w:jc w:val="both"/>
        <w:rPr>
          <w:rFonts w:ascii="Arial" w:hAnsi="Arial" w:cs="Arial"/>
          <w:bCs/>
          <w:sz w:val="21"/>
          <w:szCs w:val="21"/>
          <w:lang w:val="es-ES_tradnl"/>
        </w:rPr>
      </w:pPr>
      <w:r w:rsidRPr="008A2550">
        <w:rPr>
          <w:rFonts w:ascii="Arial" w:hAnsi="Arial" w:cs="Arial"/>
          <w:bCs/>
          <w:sz w:val="21"/>
          <w:szCs w:val="21"/>
          <w:lang w:val="es-ES_tradnl"/>
        </w:rPr>
        <w:t xml:space="preserve">1ª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8A2550">
        <w:rPr>
          <w:rFonts w:ascii="Arial" w:hAnsi="Arial" w:cs="Arial"/>
          <w:bCs/>
          <w:sz w:val="21"/>
          <w:szCs w:val="21"/>
          <w:lang w:val="es-ES_tradnl"/>
        </w:rPr>
        <w:t>en razón del</w:t>
      </w:r>
      <w:proofErr w:type="gramEnd"/>
      <w:r w:rsidRPr="008A2550">
        <w:rPr>
          <w:rFonts w:ascii="Arial" w:hAnsi="Arial" w:cs="Arial"/>
          <w:bCs/>
          <w:sz w:val="21"/>
          <w:szCs w:val="21"/>
          <w:lang w:val="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6EC907B9" w14:textId="77777777" w:rsidR="00525DE4" w:rsidRPr="008A2550" w:rsidRDefault="00525DE4" w:rsidP="00525DE4">
      <w:pPr>
        <w:ind w:left="709" w:right="709"/>
        <w:jc w:val="both"/>
        <w:rPr>
          <w:rFonts w:ascii="Arial" w:hAnsi="Arial" w:cs="Arial"/>
          <w:bCs/>
          <w:sz w:val="21"/>
          <w:szCs w:val="21"/>
          <w:lang w:val="es-ES_tradnl"/>
        </w:rPr>
      </w:pPr>
    </w:p>
    <w:p w14:paraId="313A3B45" w14:textId="77777777" w:rsidR="00525DE4" w:rsidRDefault="00525DE4" w:rsidP="00525DE4">
      <w:pPr>
        <w:ind w:left="709" w:right="709"/>
        <w:jc w:val="both"/>
        <w:rPr>
          <w:rFonts w:ascii="Arial" w:hAnsi="Arial" w:cs="Arial"/>
          <w:bCs/>
          <w:sz w:val="21"/>
          <w:szCs w:val="21"/>
          <w:lang w:val="es-ES_tradnl"/>
        </w:rPr>
      </w:pPr>
      <w:r w:rsidRPr="008A2550">
        <w:rPr>
          <w:rFonts w:ascii="Arial" w:hAnsi="Arial" w:cs="Arial"/>
          <w:bCs/>
          <w:sz w:val="21"/>
          <w:szCs w:val="21"/>
          <w:lang w:val="es-ES_tradnl"/>
        </w:rPr>
        <w:t xml:space="preserve">2ª Contratos especiales sujetos a un régimen legal propio. Por regla general, el juez a quien compete conocer de sus controversias es el juez administrativo, </w:t>
      </w:r>
      <w:proofErr w:type="gramStart"/>
      <w:r w:rsidRPr="008A2550">
        <w:rPr>
          <w:rFonts w:ascii="Arial" w:hAnsi="Arial" w:cs="Arial"/>
          <w:bCs/>
          <w:sz w:val="21"/>
          <w:szCs w:val="21"/>
          <w:lang w:val="es-ES_tradnl"/>
        </w:rPr>
        <w:t>en razón de</w:t>
      </w:r>
      <w:proofErr w:type="gramEnd"/>
      <w:r w:rsidRPr="008A2550">
        <w:rPr>
          <w:rFonts w:ascii="Arial" w:hAnsi="Arial" w:cs="Arial"/>
          <w:bCs/>
          <w:sz w:val="21"/>
          <w:szCs w:val="21"/>
          <w:lang w:val="es-ES_tradnl"/>
        </w:rPr>
        <w:t xml:space="preserve"> que su celebración y ejecución constituye una actividad reglada, es decir, es el ejercicio pleno de una función administrativa, de conformidad con el art. 82 del C.C.A. antes referido.</w:t>
      </w:r>
    </w:p>
    <w:p w14:paraId="220091AC" w14:textId="77777777" w:rsidR="00525DE4" w:rsidRPr="00AF0BEC" w:rsidRDefault="00525DE4" w:rsidP="00D75125">
      <w:pPr>
        <w:ind w:left="709" w:right="760"/>
        <w:rPr>
          <w:rFonts w:ascii="Arial" w:hAnsi="Arial" w:cs="Arial"/>
          <w:b/>
          <w:sz w:val="22"/>
          <w:lang w:val="es-ES_tradnl"/>
        </w:rPr>
      </w:pPr>
    </w:p>
    <w:p w14:paraId="0AE13187" w14:textId="77777777"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 xml:space="preserve">El Consejo de Estado identificó la existencia de un único tipo de contrato: el contrato estatal; pero dos grandes categorías que responden a su régimen jurídico: contrato estatal </w:t>
      </w:r>
      <w:r>
        <w:rPr>
          <w:rFonts w:ascii="Arial" w:hAnsi="Arial" w:cs="Arial"/>
          <w:bCs/>
          <w:sz w:val="22"/>
          <w:lang w:val="es-ES"/>
        </w:rPr>
        <w:lastRenderedPageBreak/>
        <w:t>con un régimen jurídico de derecho público-administrativo y contrato estatal con un régimen jurídico especial, por regla general de derecho privado.</w:t>
      </w:r>
    </w:p>
    <w:p w14:paraId="7C35CACD" w14:textId="77777777"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14:paraId="36B2149B" w14:textId="31A69CA3"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Ahora bien, los regímenes especiales de contratación en el ordenamiento colombiano no se dan exclusivamente en atención a cierto tipo de sujetos</w:t>
      </w:r>
      <w:r w:rsidR="00E610EA">
        <w:rPr>
          <w:rFonts w:ascii="Arial" w:hAnsi="Arial" w:cs="Arial"/>
          <w:bCs/>
          <w:sz w:val="22"/>
          <w:lang w:val="es-ES"/>
        </w:rPr>
        <w:t xml:space="preserve"> –</w:t>
      </w:r>
      <w:r>
        <w:rPr>
          <w:rFonts w:ascii="Arial" w:hAnsi="Arial" w:cs="Arial"/>
          <w:bCs/>
          <w:sz w:val="22"/>
          <w:lang w:val="es-ES"/>
        </w:rPr>
        <w:t xml:space="preserve">empresas industriales y comerciales del Estado </w:t>
      </w:r>
      <w:r w:rsidR="00E610EA">
        <w:rPr>
          <w:rFonts w:ascii="Arial" w:hAnsi="Arial" w:cs="Arial"/>
          <w:bCs/>
          <w:sz w:val="22"/>
          <w:lang w:val="es-ES"/>
        </w:rPr>
        <w:t>(</w:t>
      </w:r>
      <w:r>
        <w:rPr>
          <w:rFonts w:ascii="Arial" w:hAnsi="Arial" w:cs="Arial"/>
          <w:bCs/>
          <w:sz w:val="22"/>
          <w:lang w:val="es-ES"/>
        </w:rPr>
        <w:t>EICE</w:t>
      </w:r>
      <w:r w:rsidR="00E610EA">
        <w:rPr>
          <w:rFonts w:ascii="Arial" w:hAnsi="Arial" w:cs="Arial"/>
          <w:bCs/>
          <w:sz w:val="22"/>
          <w:lang w:val="es-ES"/>
        </w:rPr>
        <w:t>)</w:t>
      </w:r>
      <w:r>
        <w:rPr>
          <w:rFonts w:ascii="Arial" w:hAnsi="Arial" w:cs="Arial"/>
          <w:bCs/>
          <w:sz w:val="22"/>
          <w:lang w:val="es-ES"/>
        </w:rPr>
        <w:t xml:space="preserve">, sociedades de economía mixta </w:t>
      </w:r>
      <w:r w:rsidR="00E610EA">
        <w:rPr>
          <w:rFonts w:ascii="Arial" w:hAnsi="Arial" w:cs="Arial"/>
          <w:bCs/>
          <w:sz w:val="22"/>
          <w:lang w:val="es-ES"/>
        </w:rPr>
        <w:t>(</w:t>
      </w:r>
      <w:r>
        <w:rPr>
          <w:rFonts w:ascii="Arial" w:hAnsi="Arial" w:cs="Arial"/>
          <w:bCs/>
          <w:sz w:val="22"/>
          <w:lang w:val="es-ES"/>
        </w:rPr>
        <w:t>SEM</w:t>
      </w:r>
      <w:r w:rsidR="00E610EA">
        <w:rPr>
          <w:rFonts w:ascii="Arial" w:hAnsi="Arial" w:cs="Arial"/>
          <w:bCs/>
          <w:sz w:val="22"/>
          <w:lang w:val="es-ES"/>
        </w:rPr>
        <w:t>)</w:t>
      </w:r>
      <w:r>
        <w:rPr>
          <w:rFonts w:ascii="Arial" w:hAnsi="Arial" w:cs="Arial"/>
          <w:bCs/>
          <w:sz w:val="22"/>
          <w:lang w:val="es-ES"/>
        </w:rPr>
        <w:t xml:space="preserve">, empresas de servicios públicos domiciliarios </w:t>
      </w:r>
      <w:r w:rsidR="00E610EA">
        <w:rPr>
          <w:rFonts w:ascii="Arial" w:hAnsi="Arial" w:cs="Arial"/>
          <w:bCs/>
          <w:sz w:val="22"/>
          <w:lang w:val="es-ES"/>
        </w:rPr>
        <w:t>(</w:t>
      </w:r>
      <w:r>
        <w:rPr>
          <w:rFonts w:ascii="Arial" w:hAnsi="Arial" w:cs="Arial"/>
          <w:bCs/>
          <w:sz w:val="22"/>
          <w:lang w:val="es-ES"/>
        </w:rPr>
        <w:t>ESP</w:t>
      </w:r>
      <w:r w:rsidR="00E610EA">
        <w:rPr>
          <w:rFonts w:ascii="Arial" w:hAnsi="Arial" w:cs="Arial"/>
          <w:bCs/>
          <w:sz w:val="22"/>
          <w:lang w:val="es-ES"/>
        </w:rPr>
        <w:t>)</w:t>
      </w:r>
      <w:r>
        <w:rPr>
          <w:rFonts w:ascii="Arial" w:hAnsi="Arial" w:cs="Arial"/>
          <w:bCs/>
          <w:sz w:val="22"/>
          <w:lang w:val="es-ES"/>
        </w:rPr>
        <w:t xml:space="preserve">, empresas sociales del estado </w:t>
      </w:r>
      <w:r w:rsidR="00E610EA">
        <w:rPr>
          <w:rFonts w:ascii="Arial" w:hAnsi="Arial" w:cs="Arial"/>
          <w:bCs/>
          <w:sz w:val="22"/>
          <w:lang w:val="es-ES"/>
        </w:rPr>
        <w:t>(</w:t>
      </w:r>
      <w:r>
        <w:rPr>
          <w:rFonts w:ascii="Arial" w:hAnsi="Arial" w:cs="Arial"/>
          <w:bCs/>
          <w:sz w:val="22"/>
          <w:lang w:val="es-ES"/>
        </w:rPr>
        <w:t>ESE</w:t>
      </w:r>
      <w:r w:rsidR="00E610EA">
        <w:rPr>
          <w:rFonts w:ascii="Arial" w:hAnsi="Arial" w:cs="Arial"/>
          <w:bCs/>
          <w:sz w:val="22"/>
          <w:lang w:val="es-ES"/>
        </w:rPr>
        <w:t>)</w:t>
      </w:r>
      <w:r>
        <w:rPr>
          <w:rFonts w:ascii="Arial" w:hAnsi="Arial" w:cs="Arial"/>
          <w:bCs/>
          <w:sz w:val="22"/>
          <w:lang w:val="es-ES"/>
        </w:rPr>
        <w:t>, etc.</w:t>
      </w:r>
      <w:r w:rsidR="00E610EA">
        <w:rPr>
          <w:rFonts w:ascii="Arial" w:hAnsi="Arial" w:cs="Arial"/>
          <w:bCs/>
          <w:sz w:val="22"/>
          <w:lang w:val="es-ES"/>
        </w:rPr>
        <w:t>–</w:t>
      </w:r>
      <w:r>
        <w:rPr>
          <w:rFonts w:ascii="Arial" w:hAnsi="Arial" w:cs="Arial"/>
          <w:bCs/>
          <w:sz w:val="22"/>
          <w:lang w:val="es-ES"/>
        </w:rPr>
        <w:t>, sino también para cierto tipo de objetos contractuales. Este es el caso del régimen jurídico establecido en el artículo 66 de la Ley 1523 de 2012</w:t>
      </w:r>
      <w:r>
        <w:rPr>
          <w:rStyle w:val="Refdenotaalpie"/>
          <w:rFonts w:ascii="Arial" w:hAnsi="Arial" w:cs="Arial"/>
          <w:bCs/>
          <w:sz w:val="22"/>
          <w:lang w:val="es-ES"/>
        </w:rPr>
        <w:footnoteReference w:id="4"/>
      </w:r>
      <w:r>
        <w:rPr>
          <w:rFonts w:ascii="Arial" w:hAnsi="Arial" w:cs="Arial"/>
          <w:bCs/>
          <w:sz w:val="22"/>
          <w:lang w:val="es-ES"/>
        </w:rPr>
        <w:t xml:space="preserve">, que establece un régimen especial de derecho privado </w:t>
      </w:r>
      <w:proofErr w:type="gramStart"/>
      <w:r>
        <w:rPr>
          <w:rFonts w:ascii="Arial" w:hAnsi="Arial" w:cs="Arial"/>
          <w:bCs/>
          <w:sz w:val="22"/>
          <w:lang w:val="es-ES"/>
        </w:rPr>
        <w:t>en razón de</w:t>
      </w:r>
      <w:proofErr w:type="gramEnd"/>
      <w:r>
        <w:rPr>
          <w:rFonts w:ascii="Arial" w:hAnsi="Arial" w:cs="Arial"/>
          <w:bCs/>
          <w:sz w:val="22"/>
          <w:lang w:val="es-ES"/>
        </w:rPr>
        <w:t xml:space="preserve"> la consideración que merece el objeto a contratar. Otro ejemplo se encuentra en el Decreto 544 de 2020, que establece el régimen de contratación del derecho privado, para los contratos que «tengan por objeto la adquisición en el mercado internacional de los elementos que a continuación se indican […]». </w:t>
      </w:r>
    </w:p>
    <w:p w14:paraId="68CD5B25" w14:textId="77777777"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w:t>
      </w:r>
      <w:r>
        <w:rPr>
          <w:rFonts w:ascii="Arial" w:hAnsi="Arial" w:cs="Arial"/>
          <w:bCs/>
          <w:sz w:val="22"/>
          <w:lang w:val="es-ES"/>
        </w:rPr>
        <w:lastRenderedPageBreak/>
        <w:t xml:space="preserve">sometidos, en principio, al derecho privado, pero con algunas particularidades propias del derecho público. </w:t>
      </w:r>
    </w:p>
    <w:p w14:paraId="292E764E" w14:textId="77777777" w:rsidR="00525DE4" w:rsidRDefault="00525DE4" w:rsidP="00525DE4">
      <w:pPr>
        <w:spacing w:after="120" w:line="276" w:lineRule="auto"/>
        <w:ind w:firstLine="709"/>
        <w:jc w:val="both"/>
        <w:rPr>
          <w:rFonts w:ascii="Arial" w:hAnsi="Arial" w:cs="Arial"/>
          <w:bCs/>
          <w:sz w:val="22"/>
          <w:lang w:val="es-ES"/>
        </w:rPr>
      </w:pPr>
      <w:r>
        <w:rPr>
          <w:rFonts w:ascii="Arial" w:hAnsi="Arial" w:cs="Arial"/>
          <w:bCs/>
          <w:sz w:val="22"/>
          <w:lang w:val="es-E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767D5C55" w14:textId="77777777" w:rsidR="00525DE4" w:rsidRDefault="00525DE4" w:rsidP="00D75125">
      <w:pPr>
        <w:spacing w:line="276" w:lineRule="auto"/>
        <w:ind w:firstLine="709"/>
        <w:jc w:val="both"/>
        <w:rPr>
          <w:rFonts w:ascii="Arial" w:hAnsi="Arial" w:cs="Arial"/>
          <w:bCs/>
          <w:sz w:val="22"/>
          <w:lang w:val="es-ES"/>
        </w:rPr>
      </w:pPr>
      <w:r>
        <w:rPr>
          <w:rFonts w:ascii="Arial" w:hAnsi="Arial" w:cs="Arial"/>
          <w:bCs/>
          <w:sz w:val="22"/>
          <w:lang w:val="es-ES"/>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w:t>
      </w:r>
    </w:p>
    <w:p w14:paraId="424C2C74" w14:textId="77777777" w:rsidR="00525DE4" w:rsidRPr="00141CCA" w:rsidRDefault="00525DE4" w:rsidP="00525DE4">
      <w:pPr>
        <w:ind w:firstLine="708"/>
        <w:jc w:val="both"/>
        <w:rPr>
          <w:rFonts w:ascii="Arial" w:hAnsi="Arial" w:cs="Arial"/>
          <w:bCs/>
          <w:sz w:val="22"/>
          <w:lang w:val="es-ES"/>
        </w:rPr>
      </w:pPr>
      <w:r>
        <w:rPr>
          <w:rFonts w:ascii="Arial" w:hAnsi="Arial" w:cs="Arial"/>
          <w:bCs/>
          <w:sz w:val="22"/>
          <w:lang w:val="es-ES"/>
        </w:rPr>
        <w:t xml:space="preserve"> </w:t>
      </w:r>
    </w:p>
    <w:p w14:paraId="7F52367A" w14:textId="77777777" w:rsidR="00525DE4" w:rsidRPr="00141CCA" w:rsidRDefault="00525DE4" w:rsidP="00525DE4">
      <w:pPr>
        <w:ind w:left="708" w:right="758"/>
        <w:jc w:val="both"/>
        <w:rPr>
          <w:rFonts w:ascii="Arial" w:hAnsi="Arial" w:cs="Arial"/>
          <w:bCs/>
          <w:sz w:val="21"/>
          <w:szCs w:val="21"/>
          <w:lang w:val="es-ES"/>
        </w:rPr>
      </w:pPr>
      <w:r w:rsidRPr="006D5552">
        <w:rPr>
          <w:rFonts w:ascii="Arial" w:hAnsi="Arial" w:cs="Arial"/>
          <w:bCs/>
          <w:sz w:val="21"/>
          <w:szCs w:val="21"/>
          <w:lang w:val="es-ES"/>
        </w:rPr>
        <w:t>A</w:t>
      </w:r>
      <w:r>
        <w:rPr>
          <w:rFonts w:ascii="Arial" w:hAnsi="Arial" w:cs="Arial"/>
          <w:bCs/>
          <w:sz w:val="21"/>
          <w:szCs w:val="21"/>
          <w:lang w:val="es-ES"/>
        </w:rPr>
        <w:t>rtículo</w:t>
      </w:r>
      <w:r w:rsidRPr="006D5552">
        <w:rPr>
          <w:rFonts w:ascii="Arial" w:hAnsi="Arial" w:cs="Arial"/>
          <w:bCs/>
          <w:sz w:val="21"/>
          <w:szCs w:val="21"/>
          <w:lang w:val="es-ES"/>
        </w:rPr>
        <w:t xml:space="preserve"> 13.</w:t>
      </w:r>
      <w:r w:rsidRPr="00577148">
        <w:rPr>
          <w:rFonts w:ascii="Arial" w:hAnsi="Arial" w:cs="Arial"/>
          <w:bCs/>
          <w:sz w:val="21"/>
          <w:szCs w:val="21"/>
          <w:lang w:val="es-ES"/>
        </w:rPr>
        <w:t xml:space="preserve"> </w:t>
      </w:r>
      <w:r w:rsidRPr="006D5552">
        <w:rPr>
          <w:rFonts w:ascii="Arial" w:hAnsi="Arial" w:cs="Arial"/>
          <w:bCs/>
          <w:sz w:val="21"/>
          <w:szCs w:val="21"/>
          <w:lang w:val="es-ES"/>
        </w:rPr>
        <w:t>Principios generales de la actividad contractual para entidades no sometidas al estatuto general de contratación de la administración pública.</w:t>
      </w:r>
      <w:r w:rsidRPr="00141CCA">
        <w:rPr>
          <w:rFonts w:ascii="Arial" w:hAnsi="Arial" w:cs="Arial"/>
          <w:b/>
          <w:sz w:val="21"/>
          <w:szCs w:val="21"/>
          <w:lang w:val="es-ES"/>
        </w:rPr>
        <w:t xml:space="preserve"> </w:t>
      </w:r>
      <w:r w:rsidRPr="00141CCA">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1" w:anchor="209" w:history="1">
        <w:r w:rsidRPr="00141CCA">
          <w:rPr>
            <w:rFonts w:ascii="Arial" w:hAnsi="Arial" w:cs="Arial"/>
            <w:bCs/>
            <w:sz w:val="21"/>
            <w:szCs w:val="21"/>
            <w:lang w:val="es-ES"/>
          </w:rPr>
          <w:t>209</w:t>
        </w:r>
      </w:hyperlink>
      <w:r w:rsidRPr="00141CCA">
        <w:rPr>
          <w:rFonts w:ascii="Arial" w:hAnsi="Arial" w:cs="Arial"/>
          <w:bCs/>
          <w:sz w:val="21"/>
          <w:szCs w:val="21"/>
          <w:lang w:val="es-ES"/>
        </w:rPr>
        <w:t> y </w:t>
      </w:r>
      <w:hyperlink r:id="rId12" w:anchor="267" w:history="1">
        <w:r w:rsidRPr="00141CCA">
          <w:rPr>
            <w:rFonts w:ascii="Arial" w:hAnsi="Arial" w:cs="Arial"/>
            <w:bCs/>
            <w:sz w:val="21"/>
            <w:szCs w:val="21"/>
            <w:lang w:val="es-ES"/>
          </w:rPr>
          <w:t>267</w:t>
        </w:r>
      </w:hyperlink>
      <w:r w:rsidRPr="00141CCA">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r>
        <w:rPr>
          <w:rFonts w:ascii="Arial" w:hAnsi="Arial" w:cs="Arial"/>
          <w:bCs/>
          <w:sz w:val="21"/>
          <w:szCs w:val="21"/>
          <w:lang w:val="es-ES"/>
        </w:rPr>
        <w:t>.</w:t>
      </w:r>
    </w:p>
    <w:p w14:paraId="1000EC72" w14:textId="77777777" w:rsidR="00525DE4" w:rsidRDefault="00525DE4" w:rsidP="00525DE4">
      <w:pPr>
        <w:jc w:val="both"/>
        <w:rPr>
          <w:rFonts w:ascii="Arial" w:hAnsi="Arial" w:cs="Arial"/>
          <w:bCs/>
          <w:sz w:val="22"/>
          <w:lang w:val="es-ES"/>
        </w:rPr>
      </w:pPr>
    </w:p>
    <w:p w14:paraId="0E7B8A4A" w14:textId="77777777" w:rsidR="00525DE4" w:rsidRPr="00DB29E2" w:rsidRDefault="00525DE4" w:rsidP="00525DE4">
      <w:pPr>
        <w:spacing w:line="276" w:lineRule="auto"/>
        <w:jc w:val="both"/>
        <w:rPr>
          <w:rFonts w:ascii="Arial" w:hAnsi="Arial" w:cs="Arial"/>
          <w:bCs/>
          <w:sz w:val="22"/>
          <w:lang w:val="es-ES"/>
        </w:rPr>
      </w:pPr>
      <w:r>
        <w:rPr>
          <w:rFonts w:ascii="Arial" w:hAnsi="Arial" w:cs="Arial"/>
          <w:bCs/>
          <w:sz w:val="22"/>
          <w:lang w:val="es-ES"/>
        </w:rPr>
        <w:tab/>
        <w:t xml:space="preserve">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w:t>
      </w:r>
      <w:r w:rsidRPr="006D5552">
        <w:rPr>
          <w:rFonts w:ascii="Arial" w:hAnsi="Arial" w:cs="Arial"/>
          <w:bCs/>
          <w:sz w:val="22"/>
          <w:lang w:val="es-ES"/>
        </w:rPr>
        <w:t>y estarán sometidas al régimen de inhabilidades e incompatibilidades previsto legalmente para la contratación estatal</w:t>
      </w:r>
      <w:r>
        <w:rPr>
          <w:rFonts w:ascii="Arial" w:hAnsi="Arial" w:cs="Arial"/>
          <w:bCs/>
          <w:sz w:val="22"/>
          <w:lang w:val="es-ES"/>
        </w:rPr>
        <w:t>».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14:paraId="3474E731" w14:textId="296CEACE" w:rsidR="00525DE4" w:rsidRPr="00C54BAD" w:rsidRDefault="00525DE4" w:rsidP="00525DE4">
      <w:pPr>
        <w:spacing w:before="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rPr>
        <w:t>Ahora bien, d</w:t>
      </w:r>
      <w:r w:rsidRPr="00431C20">
        <w:rPr>
          <w:rFonts w:ascii="Arial" w:eastAsia="Calibri" w:hAnsi="Arial" w:cs="Arial"/>
          <w:color w:val="000000" w:themeColor="text1"/>
          <w:sz w:val="22"/>
        </w:rPr>
        <w:t>entro de la estructura de la Administración pública se encuentran las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por servicios, y dentro de dicha categoría se ubican las empresas</w:t>
      </w:r>
      <w:r>
        <w:rPr>
          <w:rFonts w:ascii="Arial" w:eastAsia="Calibri" w:hAnsi="Arial" w:cs="Arial"/>
          <w:color w:val="000000" w:themeColor="text1"/>
          <w:sz w:val="22"/>
        </w:rPr>
        <w:t xml:space="preserve"> sociales del Estado</w:t>
      </w:r>
      <w:r w:rsidRPr="00431C20">
        <w:rPr>
          <w:rFonts w:ascii="Arial" w:eastAsia="Calibri" w:hAnsi="Arial" w:cs="Arial"/>
          <w:color w:val="000000" w:themeColor="text1"/>
          <w:sz w:val="22"/>
        </w:rPr>
        <w:t>, las cuales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sin perjuicio del control de tutela</w:t>
      </w:r>
      <w:r>
        <w:rPr>
          <w:rFonts w:ascii="Arial" w:eastAsia="Calibri" w:hAnsi="Arial" w:cs="Arial"/>
          <w:color w:val="000000" w:themeColor="text1"/>
          <w:sz w:val="22"/>
        </w:rPr>
        <w:t>,</w:t>
      </w:r>
      <w:r w:rsidRPr="00431C20">
        <w:rPr>
          <w:rFonts w:ascii="Arial" w:eastAsia="Calibri" w:hAnsi="Arial" w:cs="Arial"/>
          <w:color w:val="000000" w:themeColor="text1"/>
          <w:sz w:val="22"/>
        </w:rPr>
        <w:t xml:space="preserve"> </w:t>
      </w:r>
      <w:r>
        <w:rPr>
          <w:rFonts w:ascii="Arial" w:eastAsia="Calibri" w:hAnsi="Arial" w:cs="Arial"/>
          <w:color w:val="000000" w:themeColor="text1"/>
          <w:sz w:val="22"/>
        </w:rPr>
        <w:t>tienen</w:t>
      </w:r>
      <w:r w:rsidRPr="00431C20">
        <w:rPr>
          <w:rFonts w:ascii="Arial" w:eastAsia="Calibri" w:hAnsi="Arial" w:cs="Arial"/>
          <w:color w:val="000000" w:themeColor="text1"/>
          <w:sz w:val="22"/>
        </w:rPr>
        <w:t xml:space="preserve"> personería jurídica,</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autonomía administrativa y patrimonio propio.</w:t>
      </w:r>
      <w:r w:rsidRPr="00D44227">
        <w:rPr>
          <w:rFonts w:ascii="Arial" w:eastAsia="Calibri" w:hAnsi="Arial" w:cs="Arial"/>
          <w:b/>
          <w:bCs/>
          <w:color w:val="000000" w:themeColor="text1"/>
          <w:sz w:val="22"/>
        </w:rPr>
        <w:t xml:space="preserve"> </w:t>
      </w:r>
      <w:r>
        <w:rPr>
          <w:rFonts w:ascii="Arial" w:eastAsia="Calibri" w:hAnsi="Arial" w:cs="Arial"/>
          <w:color w:val="000000" w:themeColor="text1"/>
          <w:sz w:val="22"/>
        </w:rPr>
        <w:t>Estas</w:t>
      </w:r>
      <w:r w:rsidRPr="00431C20">
        <w:rPr>
          <w:rFonts w:ascii="Arial" w:eastAsia="Calibri" w:hAnsi="Arial" w:cs="Arial"/>
          <w:color w:val="000000" w:themeColor="text1"/>
          <w:sz w:val="22"/>
        </w:rPr>
        <w:t xml:space="preserve"> entidades, </w:t>
      </w:r>
      <w:proofErr w:type="gramStart"/>
      <w:r>
        <w:rPr>
          <w:rFonts w:ascii="Arial" w:eastAsia="Calibri" w:hAnsi="Arial" w:cs="Arial"/>
          <w:color w:val="000000" w:themeColor="text1"/>
          <w:sz w:val="22"/>
        </w:rPr>
        <w:t>de acuerdo a</w:t>
      </w:r>
      <w:proofErr w:type="gramEnd"/>
      <w:r>
        <w:rPr>
          <w:rFonts w:ascii="Arial" w:eastAsia="Calibri" w:hAnsi="Arial" w:cs="Arial"/>
          <w:color w:val="000000" w:themeColor="text1"/>
          <w:sz w:val="22"/>
        </w:rPr>
        <w:t xml:space="preserve"> lo que establece el artículo 83 de la Ley 489 de 1998</w:t>
      </w:r>
      <w:r w:rsidRPr="00431C20">
        <w:rPr>
          <w:rFonts w:ascii="Arial" w:eastAsia="Calibri" w:hAnsi="Arial" w:cs="Arial"/>
          <w:color w:val="000000" w:themeColor="text1"/>
          <w:sz w:val="22"/>
        </w:rPr>
        <w:t>,</w:t>
      </w:r>
      <w:r>
        <w:rPr>
          <w:rFonts w:ascii="Arial" w:eastAsia="Calibri" w:hAnsi="Arial" w:cs="Arial"/>
          <w:color w:val="000000" w:themeColor="text1"/>
          <w:sz w:val="22"/>
        </w:rPr>
        <w:t xml:space="preserve"> son</w:t>
      </w:r>
      <w:r w:rsidRPr="00431C20">
        <w:rPr>
          <w:rFonts w:ascii="Arial" w:eastAsia="Calibri" w:hAnsi="Arial" w:cs="Arial"/>
          <w:color w:val="000000" w:themeColor="text1"/>
          <w:sz w:val="22"/>
        </w:rPr>
        <w:t xml:space="preserve"> </w:t>
      </w:r>
      <w:r>
        <w:rPr>
          <w:rFonts w:ascii="Arial" w:eastAsia="Calibri" w:hAnsi="Arial" w:cs="Arial"/>
          <w:color w:val="000000" w:themeColor="text1"/>
          <w:sz w:val="22"/>
        </w:rPr>
        <w:t>«</w:t>
      </w:r>
      <w:r w:rsidRPr="00E54B07">
        <w:rPr>
          <w:rFonts w:ascii="Arial" w:eastAsia="Calibri" w:hAnsi="Arial" w:cs="Arial"/>
          <w:color w:val="000000" w:themeColor="text1"/>
          <w:sz w:val="22"/>
          <w:lang w:val="es-CO"/>
        </w:rPr>
        <w:t>creadas por la Nación o por las entidades territoriales para la prestación en forma directa de servicios de salud</w:t>
      </w:r>
      <w:r>
        <w:rPr>
          <w:rFonts w:ascii="Arial" w:eastAsia="Calibri" w:hAnsi="Arial" w:cs="Arial"/>
          <w:color w:val="000000" w:themeColor="text1"/>
          <w:sz w:val="22"/>
          <w:lang w:val="es-CO"/>
        </w:rPr>
        <w:t xml:space="preserve">». Su régimen jurídico lo conforman las Leyes 100 de 1993 y 344 de 1996, así como también la Ley 489 de 1998, pero esta última únicamente en relación con los asuntos no regulados </w:t>
      </w:r>
      <w:r>
        <w:rPr>
          <w:rFonts w:ascii="Arial" w:eastAsia="Calibri" w:hAnsi="Arial" w:cs="Arial"/>
          <w:color w:val="000000" w:themeColor="text1"/>
          <w:sz w:val="22"/>
          <w:lang w:val="es-CO"/>
        </w:rPr>
        <w:lastRenderedPageBreak/>
        <w:t>en las dos leyes mencionadas o en las normas que las reglamentan y complementan o en las que pudieran llegar a hacerlo</w:t>
      </w:r>
      <w:r w:rsidRPr="00431C20">
        <w:rPr>
          <w:rFonts w:ascii="Arial" w:eastAsia="Calibri" w:hAnsi="Arial" w:cs="Arial"/>
          <w:color w:val="000000" w:themeColor="text1"/>
          <w:sz w:val="22"/>
        </w:rPr>
        <w:t xml:space="preserve">. </w:t>
      </w:r>
    </w:p>
    <w:p w14:paraId="03D60005" w14:textId="77777777" w:rsidR="00525DE4" w:rsidRDefault="00525DE4" w:rsidP="00525DE4">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Considerando la</w:t>
      </w:r>
      <w:r w:rsidRPr="00431C20">
        <w:rPr>
          <w:rFonts w:ascii="Arial" w:eastAsia="Calibri" w:hAnsi="Arial" w:cs="Arial"/>
          <w:color w:val="000000" w:themeColor="text1"/>
          <w:sz w:val="22"/>
        </w:rPr>
        <w:t xml:space="preserve"> actividad </w:t>
      </w:r>
      <w:r>
        <w:rPr>
          <w:rFonts w:ascii="Arial" w:eastAsia="Calibri" w:hAnsi="Arial" w:cs="Arial"/>
          <w:color w:val="000000" w:themeColor="text1"/>
          <w:sz w:val="22"/>
        </w:rPr>
        <w:t>desarrollada</w:t>
      </w:r>
      <w:r w:rsidRPr="00431C20">
        <w:rPr>
          <w:rFonts w:ascii="Arial" w:eastAsia="Calibri" w:hAnsi="Arial" w:cs="Arial"/>
          <w:color w:val="000000" w:themeColor="text1"/>
          <w:sz w:val="22"/>
        </w:rPr>
        <w:t xml:space="preserve">, se itera, </w:t>
      </w:r>
      <w:r>
        <w:rPr>
          <w:rFonts w:ascii="Arial" w:eastAsia="Calibri" w:hAnsi="Arial" w:cs="Arial"/>
          <w:color w:val="000000" w:themeColor="text1"/>
          <w:sz w:val="22"/>
        </w:rPr>
        <w:t>la prestación de los servicios de salud</w:t>
      </w:r>
      <w:r w:rsidRPr="00431C20">
        <w:rPr>
          <w:rFonts w:ascii="Arial" w:eastAsia="Calibri" w:hAnsi="Arial" w:cs="Arial"/>
          <w:color w:val="000000" w:themeColor="text1"/>
          <w:sz w:val="22"/>
        </w:rPr>
        <w:t>, el régimen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jurídico </w:t>
      </w:r>
      <w:r>
        <w:rPr>
          <w:rFonts w:ascii="Arial" w:eastAsia="Calibri" w:hAnsi="Arial" w:cs="Arial"/>
          <w:color w:val="000000" w:themeColor="text1"/>
          <w:sz w:val="22"/>
        </w:rPr>
        <w:t>aplicable</w:t>
      </w:r>
      <w:r w:rsidRPr="00431C20">
        <w:rPr>
          <w:rFonts w:ascii="Arial" w:eastAsia="Calibri" w:hAnsi="Arial" w:cs="Arial"/>
          <w:color w:val="000000" w:themeColor="text1"/>
          <w:sz w:val="22"/>
        </w:rPr>
        <w:t xml:space="preserve"> a estas empresas difiere del que corresponde a otras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funcionalmente o por servicios, como las superintendencias con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personería jurídica, los establecimientos públicos o las unidades administrativas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especiales, pues la regla general es el derecho privado, salvo </w:t>
      </w:r>
      <w:r>
        <w:rPr>
          <w:rFonts w:ascii="Arial" w:eastAsia="Calibri" w:hAnsi="Arial" w:cs="Arial"/>
          <w:color w:val="000000" w:themeColor="text1"/>
          <w:sz w:val="22"/>
        </w:rPr>
        <w:t>lo relacionado con cláusulas exorbitantes, materia en relación con la cual están habilitadas para aplicar las disposiciones del EGCAP. Al respecto, el artículo 195, numeral 6, de la. Ley 100 de 1993, establece lo siguiente:</w:t>
      </w:r>
    </w:p>
    <w:p w14:paraId="43CB82A7" w14:textId="77777777" w:rsidR="00525DE4" w:rsidRDefault="00525DE4" w:rsidP="00525DE4">
      <w:pPr>
        <w:ind w:left="709" w:right="709"/>
        <w:jc w:val="both"/>
        <w:rPr>
          <w:rFonts w:ascii="Arial" w:eastAsia="Calibri" w:hAnsi="Arial" w:cs="Arial"/>
          <w:color w:val="000000" w:themeColor="text1"/>
          <w:sz w:val="21"/>
          <w:szCs w:val="21"/>
        </w:rPr>
      </w:pPr>
    </w:p>
    <w:p w14:paraId="71601B67" w14:textId="77777777" w:rsidR="00525DE4" w:rsidRPr="00520E4F" w:rsidRDefault="00525DE4" w:rsidP="00525DE4">
      <w:pPr>
        <w:spacing w:line="276" w:lineRule="auto"/>
        <w:ind w:left="709" w:right="709"/>
        <w:jc w:val="both"/>
        <w:rPr>
          <w:rFonts w:ascii="Arial" w:eastAsia="Calibri" w:hAnsi="Arial" w:cs="Arial"/>
          <w:color w:val="000000" w:themeColor="text1"/>
          <w:sz w:val="21"/>
          <w:szCs w:val="21"/>
        </w:rPr>
      </w:pPr>
      <w:r w:rsidRPr="00520E4F">
        <w:rPr>
          <w:rFonts w:ascii="Arial" w:eastAsia="Calibri" w:hAnsi="Arial" w:cs="Arial"/>
          <w:color w:val="000000" w:themeColor="text1"/>
          <w:sz w:val="21"/>
          <w:szCs w:val="21"/>
        </w:rPr>
        <w:t xml:space="preserve">ARTICULO. 195.-Régimen jurídico.  Reglamentado por el Decreto Nacional 1876 de 1994. Las empresas sociales de salud se someterán al siguiente régimen jurídico: Ver art. 2, Decreto Nacional 1919 de 2002. </w:t>
      </w:r>
    </w:p>
    <w:p w14:paraId="0F083D5A" w14:textId="77777777" w:rsidR="00525DE4" w:rsidRDefault="00525DE4" w:rsidP="00525DE4">
      <w:pPr>
        <w:spacing w:line="276" w:lineRule="auto"/>
        <w:ind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ab/>
        <w:t>[…]</w:t>
      </w:r>
    </w:p>
    <w:p w14:paraId="4A264DC8" w14:textId="77777777" w:rsidR="00525DE4" w:rsidRPr="00520E4F" w:rsidRDefault="00525DE4" w:rsidP="00525DE4">
      <w:pPr>
        <w:spacing w:line="276" w:lineRule="auto"/>
        <w:ind w:left="709" w:right="709"/>
        <w:jc w:val="both"/>
        <w:rPr>
          <w:rFonts w:ascii="Arial" w:eastAsia="Calibri" w:hAnsi="Arial" w:cs="Arial"/>
          <w:color w:val="000000" w:themeColor="text1"/>
          <w:sz w:val="21"/>
          <w:szCs w:val="21"/>
        </w:rPr>
      </w:pPr>
    </w:p>
    <w:p w14:paraId="3A82D250" w14:textId="77777777" w:rsidR="00525DE4" w:rsidRDefault="00525DE4" w:rsidP="00525DE4">
      <w:pPr>
        <w:spacing w:line="276" w:lineRule="auto"/>
        <w:ind w:left="709" w:right="709"/>
        <w:jc w:val="both"/>
        <w:rPr>
          <w:rFonts w:ascii="Arial" w:eastAsia="Calibri" w:hAnsi="Arial" w:cs="Arial"/>
          <w:color w:val="000000" w:themeColor="text1"/>
          <w:sz w:val="21"/>
          <w:szCs w:val="21"/>
        </w:rPr>
      </w:pPr>
      <w:r w:rsidRPr="00520E4F">
        <w:rPr>
          <w:rFonts w:ascii="Arial" w:eastAsia="Calibri" w:hAnsi="Arial" w:cs="Arial"/>
          <w:color w:val="000000" w:themeColor="text1"/>
          <w:sz w:val="21"/>
          <w:szCs w:val="21"/>
        </w:rPr>
        <w:t>6.  En materia contractual se regirá por el derecho privado, pero podrá discrecionalmente utilizar las cláusulas exorbitantes previstas en el estatuto general de contratación de la administración pública.</w:t>
      </w:r>
    </w:p>
    <w:p w14:paraId="47CB2D0A" w14:textId="77777777" w:rsidR="00525DE4" w:rsidRDefault="00525DE4" w:rsidP="00525DE4">
      <w:pPr>
        <w:spacing w:line="276" w:lineRule="auto"/>
        <w:ind w:left="709" w:right="709"/>
        <w:jc w:val="both"/>
        <w:rPr>
          <w:rFonts w:ascii="Arial" w:eastAsia="Calibri" w:hAnsi="Arial" w:cs="Arial"/>
          <w:color w:val="000000" w:themeColor="text1"/>
          <w:sz w:val="22"/>
        </w:rPr>
      </w:pPr>
    </w:p>
    <w:p w14:paraId="588BBAA3" w14:textId="1291A042" w:rsidR="00525DE4" w:rsidRDefault="00525DE4" w:rsidP="00525DE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En esta medida, las empresas sociales del Estado no</w:t>
      </w:r>
      <w:r w:rsidRPr="008F5D4C">
        <w:rPr>
          <w:rFonts w:ascii="Arial" w:eastAsia="Calibri" w:hAnsi="Arial" w:cs="Arial"/>
          <w:color w:val="000000" w:themeColor="text1"/>
          <w:sz w:val="22"/>
        </w:rPr>
        <w:t xml:space="preserve"> están sometidas al </w:t>
      </w:r>
      <w:r>
        <w:rPr>
          <w:rFonts w:ascii="Arial" w:eastAsia="Calibri" w:hAnsi="Arial" w:cs="Arial"/>
          <w:color w:val="000000" w:themeColor="text1"/>
          <w:sz w:val="22"/>
        </w:rPr>
        <w:t>EGCAP</w:t>
      </w:r>
      <w:r w:rsidRPr="008F5D4C">
        <w:rPr>
          <w:rFonts w:ascii="Arial" w:eastAsia="Calibri" w:hAnsi="Arial" w:cs="Arial"/>
          <w:color w:val="000000" w:themeColor="text1"/>
          <w:sz w:val="22"/>
        </w:rPr>
        <w:t xml:space="preserve"> </w:t>
      </w:r>
      <w:r>
        <w:rPr>
          <w:rFonts w:ascii="Arial" w:eastAsia="Calibri" w:hAnsi="Arial" w:cs="Arial"/>
          <w:color w:val="000000" w:themeColor="text1"/>
          <w:sz w:val="22"/>
        </w:rPr>
        <w:t>ni a</w:t>
      </w:r>
      <w:r w:rsidRPr="008F5D4C">
        <w:rPr>
          <w:rFonts w:ascii="Arial" w:eastAsia="Calibri" w:hAnsi="Arial" w:cs="Arial"/>
          <w:color w:val="000000" w:themeColor="text1"/>
          <w:sz w:val="22"/>
        </w:rPr>
        <w:t xml:space="preserve"> las normas que lo </w:t>
      </w:r>
      <w:r>
        <w:rPr>
          <w:rFonts w:ascii="Arial" w:eastAsia="Calibri" w:hAnsi="Arial" w:cs="Arial"/>
          <w:color w:val="000000" w:themeColor="text1"/>
          <w:sz w:val="22"/>
        </w:rPr>
        <w:t xml:space="preserve">reglamentan o </w:t>
      </w:r>
      <w:r w:rsidRPr="008F5D4C">
        <w:rPr>
          <w:rFonts w:ascii="Arial" w:eastAsia="Calibri" w:hAnsi="Arial" w:cs="Arial"/>
          <w:color w:val="000000" w:themeColor="text1"/>
          <w:sz w:val="22"/>
        </w:rPr>
        <w:t>complementan</w:t>
      </w:r>
      <w:r>
        <w:rPr>
          <w:rFonts w:ascii="Arial" w:eastAsia="Calibri" w:hAnsi="Arial" w:cs="Arial"/>
          <w:color w:val="000000" w:themeColor="text1"/>
          <w:sz w:val="22"/>
        </w:rPr>
        <w:t xml:space="preserve">, pues, por disposición expresa de la norma transcrita, sus contratos </w:t>
      </w:r>
      <w:r w:rsidRPr="00520E4F">
        <w:rPr>
          <w:rFonts w:ascii="Arial" w:eastAsia="Calibri" w:hAnsi="Arial" w:cs="Arial"/>
          <w:color w:val="000000" w:themeColor="text1"/>
          <w:sz w:val="22"/>
        </w:rPr>
        <w:t>se</w:t>
      </w:r>
      <w:r>
        <w:rPr>
          <w:rFonts w:ascii="Arial" w:eastAsia="Calibri" w:hAnsi="Arial" w:cs="Arial"/>
          <w:color w:val="000000" w:themeColor="text1"/>
          <w:sz w:val="22"/>
        </w:rPr>
        <w:t xml:space="preserve"> rigen</w:t>
      </w:r>
      <w:r w:rsidRPr="00520E4F">
        <w:rPr>
          <w:rFonts w:ascii="Arial" w:eastAsia="Calibri" w:hAnsi="Arial" w:cs="Arial"/>
          <w:color w:val="000000" w:themeColor="text1"/>
          <w:sz w:val="22"/>
        </w:rPr>
        <w:t xml:space="preserve"> por el derecho privado.</w:t>
      </w:r>
      <w:r>
        <w:rPr>
          <w:rFonts w:ascii="Arial" w:eastAsia="Calibri" w:hAnsi="Arial" w:cs="Arial"/>
          <w:color w:val="000000" w:themeColor="text1"/>
          <w:sz w:val="22"/>
        </w:rPr>
        <w:t xml:space="preserve"> </w:t>
      </w:r>
      <w:bookmarkStart w:id="8" w:name="_Hlk41238857"/>
      <w:r>
        <w:rPr>
          <w:rFonts w:ascii="Arial" w:eastAsia="Calibri" w:hAnsi="Arial" w:cs="Arial"/>
          <w:color w:val="000000" w:themeColor="text1"/>
          <w:sz w:val="22"/>
        </w:rPr>
        <w:t xml:space="preserve">Con todo, como se dijo anteriormente, tales entidades deben tener en cuenta y aplicar los «principios </w:t>
      </w:r>
      <w:r w:rsidRPr="00AA164A">
        <w:rPr>
          <w:rFonts w:ascii="Arial" w:eastAsia="Calibri" w:hAnsi="Arial" w:cs="Arial"/>
          <w:color w:val="000000" w:themeColor="text1"/>
          <w:sz w:val="22"/>
        </w:rPr>
        <w:t>generales de la actividad contractual para entidades no sometidas al estatuto general de contratación de la administración pública</w:t>
      </w:r>
      <w:r>
        <w:rPr>
          <w:rFonts w:ascii="Arial" w:eastAsia="Calibri" w:hAnsi="Arial" w:cs="Arial"/>
          <w:color w:val="000000" w:themeColor="text1"/>
          <w:sz w:val="22"/>
        </w:rPr>
        <w:t xml:space="preserve">», consagrados en el artículo 13 de la Ley 1150 de 2007, así como los principios de la función administrativa y de la gestión fiscal, contenidos, respectivamente, en los artículos 209 y 267 de la Constitución Política. </w:t>
      </w:r>
    </w:p>
    <w:p w14:paraId="0383EF89" w14:textId="23D20E0B" w:rsidR="00525DE4" w:rsidRPr="00DC247A" w:rsidRDefault="00525DE4" w:rsidP="00525DE4">
      <w:pPr>
        <w:tabs>
          <w:tab w:val="left" w:pos="709"/>
        </w:tabs>
        <w:spacing w:before="120"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 xml:space="preserve">Esta también ha sido la interpretación </w:t>
      </w:r>
      <w:r>
        <w:rPr>
          <w:rFonts w:ascii="Arial" w:eastAsia="Calibri" w:hAnsi="Arial" w:cs="Arial"/>
          <w:color w:val="000000" w:themeColor="text1"/>
          <w:sz w:val="22"/>
          <w:lang w:val="es-ES"/>
        </w:rPr>
        <w:t>del Ministerio de la Protección Social,</w:t>
      </w:r>
      <w:r w:rsidRPr="00406E40">
        <w:rPr>
          <w:rFonts w:ascii="Arial" w:eastAsia="Calibri" w:hAnsi="Arial" w:cs="Arial"/>
          <w:color w:val="000000" w:themeColor="text1"/>
          <w:sz w:val="22"/>
          <w:lang w:val="es-ES"/>
        </w:rPr>
        <w:t xml:space="preserve"> qu</w:t>
      </w:r>
      <w:r>
        <w:rPr>
          <w:rFonts w:ascii="Arial" w:eastAsia="Calibri" w:hAnsi="Arial" w:cs="Arial"/>
          <w:color w:val="000000" w:themeColor="text1"/>
          <w:sz w:val="22"/>
          <w:lang w:val="es-ES"/>
        </w:rPr>
        <w:t>e</w:t>
      </w:r>
      <w:r w:rsidRPr="00406E40">
        <w:rPr>
          <w:rFonts w:ascii="Arial" w:eastAsia="Calibri" w:hAnsi="Arial" w:cs="Arial"/>
          <w:color w:val="000000" w:themeColor="text1"/>
          <w:sz w:val="22"/>
          <w:lang w:val="es-ES"/>
        </w:rPr>
        <w:t xml:space="preserve"> en Concepto No. </w:t>
      </w:r>
      <w:r w:rsidRPr="0047617C">
        <w:rPr>
          <w:rFonts w:ascii="Arial" w:eastAsia="Calibri" w:hAnsi="Arial" w:cs="Arial"/>
          <w:color w:val="000000" w:themeColor="text1"/>
          <w:sz w:val="22"/>
          <w:lang w:val="es-CO"/>
        </w:rPr>
        <w:t>201942301304712</w:t>
      </w:r>
      <w:r w:rsidRPr="00406E40">
        <w:rPr>
          <w:rFonts w:ascii="Arial" w:eastAsia="Calibri" w:hAnsi="Arial" w:cs="Arial"/>
          <w:color w:val="000000" w:themeColor="text1"/>
          <w:sz w:val="22"/>
          <w:lang w:val="es-ES"/>
        </w:rPr>
        <w:t xml:space="preserve"> de 201</w:t>
      </w:r>
      <w:r>
        <w:rPr>
          <w:rFonts w:ascii="Arial" w:eastAsia="Calibri" w:hAnsi="Arial" w:cs="Arial"/>
          <w:color w:val="000000" w:themeColor="text1"/>
          <w:sz w:val="22"/>
          <w:lang w:val="es-ES"/>
        </w:rPr>
        <w:t>9</w:t>
      </w:r>
      <w:r w:rsidRPr="00406E40">
        <w:rPr>
          <w:rFonts w:ascii="Arial" w:eastAsia="Calibri" w:hAnsi="Arial" w:cs="Arial"/>
          <w:color w:val="000000" w:themeColor="text1"/>
          <w:sz w:val="22"/>
          <w:lang w:val="es-ES"/>
        </w:rPr>
        <w:t xml:space="preserve">, en reiteración de lo expuesto </w:t>
      </w:r>
      <w:r>
        <w:rPr>
          <w:rFonts w:ascii="Arial" w:eastAsia="Calibri" w:hAnsi="Arial" w:cs="Arial"/>
          <w:color w:val="000000" w:themeColor="text1"/>
          <w:sz w:val="22"/>
          <w:lang w:val="es-ES"/>
        </w:rPr>
        <w:t>por la Sala de Consulta y Servicio Civil del Consejo de Estado</w:t>
      </w:r>
      <w:r>
        <w:rPr>
          <w:rStyle w:val="Refdenotaalpie"/>
          <w:rFonts w:ascii="Arial" w:eastAsia="Calibri" w:hAnsi="Arial" w:cs="Arial"/>
          <w:color w:val="000000" w:themeColor="text1"/>
          <w:sz w:val="22"/>
          <w:lang w:val="es-ES"/>
        </w:rPr>
        <w:footnoteReference w:id="5"/>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expresó que</w:t>
      </w:r>
      <w:r>
        <w:rPr>
          <w:rFonts w:ascii="Arial" w:eastAsia="Calibri" w:hAnsi="Arial" w:cs="Arial"/>
          <w:color w:val="000000" w:themeColor="text1"/>
          <w:sz w:val="22"/>
          <w:lang w:val="es-ES"/>
        </w:rPr>
        <w:t xml:space="preserve"> «[…] </w:t>
      </w:r>
      <w:r w:rsidRPr="00DC247A">
        <w:rPr>
          <w:rFonts w:ascii="Arial" w:eastAsia="Calibri" w:hAnsi="Arial" w:cs="Arial"/>
          <w:color w:val="000000" w:themeColor="text1"/>
          <w:sz w:val="22"/>
          <w:lang w:val="es-CO"/>
        </w:rPr>
        <w:t>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Pr>
          <w:rFonts w:ascii="Arial" w:eastAsia="Calibri" w:hAnsi="Arial" w:cs="Arial"/>
          <w:color w:val="000000" w:themeColor="text1"/>
          <w:sz w:val="22"/>
          <w:lang w:val="es-CO"/>
        </w:rPr>
        <w:t>»</w:t>
      </w:r>
      <w:r w:rsidRPr="00406E40">
        <w:rPr>
          <w:rStyle w:val="Refdenotaalpie"/>
          <w:rFonts w:ascii="Arial" w:eastAsia="Calibri" w:hAnsi="Arial" w:cs="Arial"/>
          <w:color w:val="000000" w:themeColor="text1"/>
          <w:sz w:val="22"/>
          <w:lang w:val="es-ES"/>
        </w:rPr>
        <w:footnoteReference w:id="6"/>
      </w:r>
      <w:r w:rsidRPr="00406E40">
        <w:rPr>
          <w:rFonts w:ascii="Arial" w:eastAsia="Calibri" w:hAnsi="Arial" w:cs="Arial"/>
          <w:color w:val="000000" w:themeColor="text1"/>
          <w:sz w:val="22"/>
          <w:lang w:val="es-ES"/>
        </w:rPr>
        <w:t xml:space="preserve">. </w:t>
      </w:r>
    </w:p>
    <w:p w14:paraId="778918F5" w14:textId="77777777"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Al referirse al régimen contractual de las empresas sociales del Estado, la Sección Tercera del Consejo de Estado manifestó que «</w:t>
      </w:r>
      <w:r w:rsidRPr="00A064DC">
        <w:rPr>
          <w:rFonts w:ascii="Arial" w:eastAsia="Calibri" w:hAnsi="Arial" w:cs="Arial"/>
          <w:color w:val="000000" w:themeColor="text1"/>
          <w:sz w:val="22"/>
        </w:rPr>
        <w:t>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Pr>
          <w:rFonts w:ascii="Arial" w:eastAsia="Calibri" w:hAnsi="Arial" w:cs="Arial"/>
          <w:color w:val="000000" w:themeColor="text1"/>
          <w:sz w:val="22"/>
        </w:rPr>
        <w:t>»</w:t>
      </w:r>
      <w:r>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w:t>
      </w:r>
    </w:p>
    <w:p w14:paraId="618F6610" w14:textId="77777777"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esta forma,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8"/>
    </w:p>
    <w:p w14:paraId="554B65C7" w14:textId="6BFA1790" w:rsidR="00525DE4" w:rsidRDefault="00525DE4" w:rsidP="00525DE4">
      <w:pPr>
        <w:spacing w:before="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otro lado, en relación con los requisitos de existencia y formación de los contratos celebrados por las empresas sociales del Estado, se tiene que debido a que se trata de entidades excluidas de la aplicación del EGCAP, «</w:t>
      </w:r>
      <w:r w:rsidRPr="002A4424">
        <w:rPr>
          <w:rFonts w:ascii="Arial" w:eastAsia="Calibri" w:hAnsi="Arial" w:cs="Arial"/>
          <w:color w:val="000000" w:themeColor="text1"/>
          <w:sz w:val="22"/>
        </w:rPr>
        <w:t>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r>
        <w:rPr>
          <w:rFonts w:ascii="Arial" w:eastAsia="Calibri" w:hAnsi="Arial" w:cs="Arial"/>
          <w:color w:val="000000" w:themeColor="text1"/>
          <w:sz w:val="22"/>
        </w:rPr>
        <w:t>»</w:t>
      </w:r>
      <w:r w:rsidR="00726BF3">
        <w:rPr>
          <w:rStyle w:val="Refdenotaalpie"/>
          <w:rFonts w:ascii="Arial" w:eastAsia="Calibri" w:hAnsi="Arial" w:cs="Arial"/>
          <w:color w:val="000000" w:themeColor="text1"/>
          <w:sz w:val="22"/>
        </w:rPr>
        <w:footnoteReference w:id="8"/>
      </w:r>
      <w:r>
        <w:rPr>
          <w:rFonts w:ascii="Arial" w:eastAsia="Calibri" w:hAnsi="Arial" w:cs="Arial"/>
          <w:color w:val="000000" w:themeColor="text1"/>
          <w:sz w:val="22"/>
        </w:rPr>
        <w:t>. Tratándose de tipologías contractuales innominadas habría que acudir al desarrollo jurisprudencial o dogmático que esté disponible.</w:t>
      </w:r>
    </w:p>
    <w:p w14:paraId="488C67B2" w14:textId="2B866A36" w:rsidR="00525DE4" w:rsidRDefault="00525DE4" w:rsidP="00525DE4">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No pude decirse lo mismo de las modalidades de selección de contratistas, por un lado, porque las mismas no están reguladas en el derecho privado y, por el otro, debido a que, aun estándolo, las mismas no serían de obligatorio acatamiento para los sujetos contractuales, quienes, en ejercicio de la autonomía de la voluntad, delimitan las formas del negocio jurídico que van a celebrar, así como las personas con las que quieren hacerlo. Eso no quiere decir, sin embargo, que las empresas sociales del Estado puedan actuar al margen de los principios que rigen la función pública y la gestión fiscal; o que tengan prohibido tomar como referente el EGCAP a la hora de tramitar sus procesos contractuales. En este último caso, de todos modos, las normas del EGCAP constituyen solo un referente normativo, pero nunca disposiciones de obligatorio cumplimiento para las entidades públicas excluidas de su ámbito de aplicación. </w:t>
      </w:r>
    </w:p>
    <w:p w14:paraId="4D7300CA" w14:textId="04945C20" w:rsidR="00525DE4" w:rsidRDefault="00525DE4" w:rsidP="00525DE4">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señaló, l</w:t>
      </w:r>
      <w:r w:rsidRPr="00C50936">
        <w:rPr>
          <w:rFonts w:ascii="Arial" w:eastAsia="Calibri" w:hAnsi="Arial" w:cs="Arial"/>
          <w:color w:val="000000" w:themeColor="text1"/>
          <w:sz w:val="22"/>
          <w:lang w:val="es-ES_tradnl"/>
        </w:rPr>
        <w:t xml:space="preserve">as entidades </w:t>
      </w:r>
      <w:r>
        <w:rPr>
          <w:rFonts w:ascii="Arial" w:eastAsia="Calibri" w:hAnsi="Arial" w:cs="Arial"/>
          <w:color w:val="000000" w:themeColor="text1"/>
          <w:sz w:val="22"/>
          <w:lang w:val="es-ES_tradnl"/>
        </w:rPr>
        <w:t>con</w:t>
      </w:r>
      <w:r w:rsidRPr="00C50936">
        <w:rPr>
          <w:rFonts w:ascii="Arial" w:eastAsia="Calibri" w:hAnsi="Arial" w:cs="Arial"/>
          <w:color w:val="000000" w:themeColor="text1"/>
          <w:sz w:val="22"/>
          <w:lang w:val="es-ES_tradnl"/>
        </w:rPr>
        <w:t xml:space="preserve"> régimen especial están facultadas legalmente para </w:t>
      </w:r>
      <w:r>
        <w:rPr>
          <w:rFonts w:ascii="Arial" w:eastAsia="Calibri" w:hAnsi="Arial" w:cs="Arial"/>
          <w:color w:val="000000" w:themeColor="text1"/>
          <w:sz w:val="22"/>
          <w:lang w:val="es-ES_tradnl"/>
        </w:rPr>
        <w:t xml:space="preserve">desarrollar su actividad contractual con base en normas diferentes </w:t>
      </w:r>
      <w:r w:rsidRPr="00C50936">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l EGCAP. Las </w:t>
      </w:r>
      <w:r>
        <w:rPr>
          <w:rFonts w:ascii="Arial" w:eastAsia="Calibri" w:hAnsi="Arial" w:cs="Arial"/>
          <w:color w:val="000000" w:themeColor="text1"/>
          <w:sz w:val="22"/>
          <w:lang w:val="es-ES_tradnl"/>
        </w:rPr>
        <w:lastRenderedPageBreak/>
        <w:t xml:space="preserve">normas precisas en materia contractual que deben aplicar estas entidades están determinadas por el instrumento normativo que </w:t>
      </w:r>
      <w:r w:rsidR="00CB613A">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crea </w:t>
      </w:r>
      <w:r w:rsidR="00CB613A">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 xml:space="preserve">el régimen especial, pero por regla general se trata del derecho privado, con los matices provenientes del derecho público mencionadas en los numerales precedentes de este concepto. </w:t>
      </w:r>
    </w:p>
    <w:p w14:paraId="4FF21927" w14:textId="77777777" w:rsidR="00525DE4" w:rsidRPr="00C50936" w:rsidRDefault="00525DE4" w:rsidP="00525DE4">
      <w:pPr>
        <w:spacing w:before="120" w:line="276" w:lineRule="auto"/>
        <w:ind w:firstLine="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Lo anterior es reafirmado</w:t>
      </w:r>
      <w:r>
        <w:rPr>
          <w:rFonts w:ascii="Arial" w:eastAsia="Calibri" w:hAnsi="Arial" w:cs="Arial"/>
          <w:color w:val="000000" w:themeColor="text1"/>
          <w:sz w:val="22"/>
          <w:lang w:val="es-ES_tradnl"/>
        </w:rPr>
        <w:t xml:space="preserve"> por el Consejo de Estado en el caso particular de los manuales de contratación</w:t>
      </w:r>
      <w:r w:rsidRPr="00C50936">
        <w:rPr>
          <w:rFonts w:ascii="Arial" w:eastAsia="Calibri" w:hAnsi="Arial" w:cs="Arial"/>
          <w:color w:val="000000" w:themeColor="text1"/>
          <w:sz w:val="22"/>
          <w:lang w:val="es-ES_tradnl"/>
        </w:rPr>
        <w:t xml:space="preserve">, que </w:t>
      </w:r>
      <w:r>
        <w:rPr>
          <w:rFonts w:ascii="Arial" w:eastAsia="Calibri" w:hAnsi="Arial" w:cs="Arial"/>
          <w:color w:val="000000" w:themeColor="text1"/>
          <w:sz w:val="22"/>
          <w:lang w:val="es-ES_tradnl"/>
        </w:rPr>
        <w:t xml:space="preserve">contiene algunas </w:t>
      </w:r>
      <w:r w:rsidRPr="00C50936">
        <w:rPr>
          <w:rFonts w:ascii="Arial" w:eastAsia="Calibri" w:hAnsi="Arial" w:cs="Arial"/>
          <w:color w:val="000000" w:themeColor="text1"/>
          <w:sz w:val="22"/>
          <w:lang w:val="es-ES_tradnl"/>
        </w:rPr>
        <w:t xml:space="preserve">reglas que </w:t>
      </w:r>
      <w:r>
        <w:rPr>
          <w:rFonts w:ascii="Arial" w:eastAsia="Calibri" w:hAnsi="Arial" w:cs="Arial"/>
          <w:color w:val="000000" w:themeColor="text1"/>
          <w:sz w:val="22"/>
          <w:lang w:val="es-ES_tradnl"/>
        </w:rPr>
        <w:t>deben seguir las entidades con régimen especial en su actividad contractual:</w:t>
      </w:r>
    </w:p>
    <w:p w14:paraId="15BBC9DB" w14:textId="77777777" w:rsidR="00525DE4" w:rsidRPr="00C50936" w:rsidRDefault="00525DE4" w:rsidP="00525DE4">
      <w:pPr>
        <w:jc w:val="both"/>
        <w:rPr>
          <w:rFonts w:ascii="Arial" w:eastAsia="Calibri" w:hAnsi="Arial" w:cs="Arial"/>
          <w:color w:val="000000" w:themeColor="text1"/>
          <w:sz w:val="22"/>
          <w:lang w:val="es-ES_tradnl"/>
        </w:rPr>
      </w:pPr>
    </w:p>
    <w:p w14:paraId="6B21FF49" w14:textId="622B6793" w:rsidR="00525DE4" w:rsidRPr="00C50936" w:rsidRDefault="00525DE4" w:rsidP="000D579B">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6E8580A" w14:textId="6E033D5E" w:rsidR="00525DE4" w:rsidRPr="0074180D" w:rsidRDefault="00525DE4" w:rsidP="000D579B">
      <w:pPr>
        <w:spacing w:before="120"/>
        <w:ind w:left="709" w:right="709"/>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C50936">
        <w:rPr>
          <w:rFonts w:ascii="Arial" w:eastAsia="Calibri" w:hAnsi="Arial" w:cs="Arial"/>
          <w:color w:val="000000" w:themeColor="text1"/>
          <w:sz w:val="21"/>
          <w:szCs w:val="21"/>
          <w:lang w:val="es-ES_tradnl"/>
        </w:rPr>
        <w:t>interpretar</w:t>
      </w:r>
      <w:proofErr w:type="gramEnd"/>
      <w:r w:rsidRPr="00C50936">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w:t>
      </w:r>
      <w:r w:rsidRPr="00823747">
        <w:rPr>
          <w:rStyle w:val="Refdenotaalpie"/>
          <w:rFonts w:ascii="Arial" w:eastAsia="Calibri" w:hAnsi="Arial" w:cs="Arial"/>
          <w:color w:val="000000" w:themeColor="text1"/>
          <w:sz w:val="22"/>
          <w:lang w:val="es-ES_tradnl"/>
        </w:rPr>
        <w:footnoteReference w:id="9"/>
      </w:r>
      <w:r w:rsidRPr="00823747">
        <w:rPr>
          <w:rFonts w:ascii="Arial" w:eastAsia="Calibri" w:hAnsi="Arial" w:cs="Arial"/>
          <w:color w:val="000000" w:themeColor="text1"/>
          <w:sz w:val="22"/>
          <w:lang w:val="es-ES_tradnl"/>
        </w:rPr>
        <w:t>.</w:t>
      </w:r>
    </w:p>
    <w:p w14:paraId="7A86713D" w14:textId="77777777" w:rsidR="00525DE4" w:rsidRPr="00C50936" w:rsidRDefault="00525DE4" w:rsidP="00525DE4">
      <w:pPr>
        <w:spacing w:line="276" w:lineRule="auto"/>
        <w:jc w:val="both"/>
        <w:rPr>
          <w:rFonts w:ascii="Arial" w:eastAsia="Calibri" w:hAnsi="Arial" w:cs="Arial"/>
          <w:color w:val="000000" w:themeColor="text1"/>
          <w:sz w:val="22"/>
          <w:lang w:val="es-ES_tradnl"/>
        </w:rPr>
      </w:pPr>
    </w:p>
    <w:p w14:paraId="12B329CC" w14:textId="0D5637C9"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14:paraId="7E573BAA" w14:textId="77777777" w:rsidR="00525DE4" w:rsidRPr="00632EB5" w:rsidRDefault="00525DE4" w:rsidP="00525DE4">
      <w:pPr>
        <w:spacing w:after="120" w:line="276" w:lineRule="auto"/>
        <w:ind w:firstLine="709"/>
        <w:jc w:val="both"/>
        <w:rPr>
          <w:rFonts w:ascii="Arial" w:eastAsia="Calibri" w:hAnsi="Arial" w:cs="Arial"/>
          <w:color w:val="000000" w:themeColor="text1"/>
          <w:sz w:val="22"/>
          <w:lang w:val="es-ES_tradnl"/>
        </w:rPr>
      </w:pPr>
      <w:r w:rsidRPr="00632EB5">
        <w:rPr>
          <w:rFonts w:ascii="Arial" w:eastAsia="Calibri" w:hAnsi="Arial" w:cs="Arial"/>
          <w:color w:val="000000" w:themeColor="text1"/>
          <w:sz w:val="22"/>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632EB5">
        <w:rPr>
          <w:rStyle w:val="Refdenotaalpie"/>
          <w:rFonts w:ascii="Arial" w:eastAsia="Calibri" w:hAnsi="Arial" w:cs="Arial"/>
          <w:color w:val="000000" w:themeColor="text1"/>
          <w:sz w:val="22"/>
          <w:lang w:val="es-ES_tradnl"/>
        </w:rPr>
        <w:footnoteReference w:id="10"/>
      </w:r>
      <w:r w:rsidRPr="00632EB5">
        <w:rPr>
          <w:rFonts w:ascii="Arial" w:eastAsia="Calibri" w:hAnsi="Arial" w:cs="Arial"/>
          <w:color w:val="000000" w:themeColor="text1"/>
          <w:sz w:val="22"/>
          <w:lang w:val="es-ES_tradnl"/>
        </w:rPr>
        <w:t>. Ahora bien, dicha libertad es similar a la reconocida a los particulares por el derecho privado, pero no es idéntica a aquella, en la medida en que encuentra importantes limitantes, algunos de los cuales fueron previamente expuestos.</w:t>
      </w:r>
    </w:p>
    <w:p w14:paraId="7398F0AD" w14:textId="3FA6DE94" w:rsidR="00525DE4" w:rsidRPr="00632EB5" w:rsidRDefault="00525DE4" w:rsidP="00525DE4">
      <w:pPr>
        <w:spacing w:after="120" w:line="276" w:lineRule="auto"/>
        <w:ind w:firstLine="709"/>
        <w:jc w:val="both"/>
        <w:rPr>
          <w:rFonts w:ascii="Arial" w:eastAsia="Calibri" w:hAnsi="Arial" w:cs="Arial"/>
          <w:color w:val="000000" w:themeColor="text1"/>
          <w:sz w:val="22"/>
          <w:lang w:val="es-ES_tradnl"/>
        </w:rPr>
      </w:pPr>
      <w:r w:rsidRPr="00632EB5">
        <w:rPr>
          <w:rFonts w:ascii="Arial" w:eastAsia="Calibri" w:hAnsi="Arial" w:cs="Arial"/>
          <w:color w:val="000000" w:themeColor="text1"/>
          <w:sz w:val="22"/>
          <w:lang w:val="es-ES_tradnl"/>
        </w:rPr>
        <w:lastRenderedPageBreak/>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005B0522">
        <w:rPr>
          <w:rStyle w:val="Refdenotaalpie"/>
          <w:rFonts w:ascii="Arial" w:eastAsia="Calibri" w:hAnsi="Arial" w:cs="Arial"/>
          <w:color w:val="000000" w:themeColor="text1"/>
          <w:sz w:val="22"/>
          <w:lang w:val="es-ES_tradnl"/>
        </w:rPr>
        <w:footnoteReference w:id="11"/>
      </w:r>
      <w:r w:rsidRPr="00632EB5">
        <w:rPr>
          <w:rFonts w:ascii="Arial" w:eastAsia="Calibri" w:hAnsi="Arial" w:cs="Arial"/>
          <w:color w:val="000000" w:themeColor="text1"/>
          <w:sz w:val="22"/>
          <w:lang w:val="es-ES_tradnl"/>
        </w:rPr>
        <w:t xml:space="preserve">. </w:t>
      </w:r>
    </w:p>
    <w:p w14:paraId="4D5609DE"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14:paraId="78C56E93" w14:textId="01CBA24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existen ciertos contenidos determinados por el ordenamiento que no pueden ser modificados por los manuales internos, por tratarse de asuntos con reserva de ley.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005B0522">
        <w:rPr>
          <w:rStyle w:val="Refdenotaalpie"/>
          <w:rFonts w:ascii="Arial" w:eastAsia="Calibri" w:hAnsi="Arial" w:cs="Arial"/>
          <w:color w:val="000000" w:themeColor="text1"/>
          <w:sz w:val="22"/>
          <w:lang w:val="es-ES_tradnl"/>
        </w:rPr>
        <w:footnoteReference w:id="12"/>
      </w:r>
      <w:r>
        <w:rPr>
          <w:rFonts w:ascii="Arial" w:eastAsia="Calibri" w:hAnsi="Arial" w:cs="Arial"/>
          <w:color w:val="000000" w:themeColor="text1"/>
          <w:sz w:val="22"/>
          <w:lang w:val="es-ES_tradnl"/>
        </w:rPr>
        <w:t>.</w:t>
      </w:r>
    </w:p>
    <w:p w14:paraId="492FF0F1" w14:textId="6F13C158"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lo anterior, existen múltiples contenidos que pueden ser objeto de regulación en el manual de contratación, por hacer parte del ámbito de configuración en desarrollo de su autonomía contractual que no riñe con la ley, como sería la definición de</w:t>
      </w:r>
      <w:r w:rsidR="005E4AD6">
        <w:rPr>
          <w:rFonts w:ascii="Arial" w:eastAsia="Calibri" w:hAnsi="Arial" w:cs="Arial"/>
          <w:color w:val="000000" w:themeColor="text1"/>
          <w:sz w:val="22"/>
          <w:lang w:val="es-ES_tradnl"/>
        </w:rPr>
        <w:t xml:space="preserve"> algunos</w:t>
      </w:r>
      <w:r>
        <w:rPr>
          <w:rFonts w:ascii="Arial" w:eastAsia="Calibri" w:hAnsi="Arial" w:cs="Arial"/>
          <w:color w:val="000000" w:themeColor="text1"/>
          <w:sz w:val="22"/>
          <w:lang w:val="es-ES_tradnl"/>
        </w:rPr>
        <w:t xml:space="preserve"> requisitos de ejecución del contrato</w:t>
      </w:r>
      <w:r w:rsidR="005E4AD6">
        <w:rPr>
          <w:rFonts w:ascii="Arial" w:eastAsia="Calibri" w:hAnsi="Arial" w:cs="Arial"/>
          <w:color w:val="000000" w:themeColor="text1"/>
          <w:sz w:val="22"/>
          <w:lang w:val="es-ES_tradnl"/>
        </w:rPr>
        <w:t>, con excepción de los que la ley imponga</w:t>
      </w:r>
      <w:r>
        <w:rPr>
          <w:rFonts w:ascii="Arial" w:eastAsia="Calibri" w:hAnsi="Arial" w:cs="Arial"/>
          <w:color w:val="000000" w:themeColor="text1"/>
          <w:sz w:val="22"/>
          <w:lang w:val="es-ES_tradnl"/>
        </w:rPr>
        <w:t xml:space="preserve">,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w:t>
      </w:r>
      <w:r>
        <w:rPr>
          <w:rFonts w:ascii="Arial" w:eastAsia="Calibri" w:hAnsi="Arial" w:cs="Arial"/>
          <w:color w:val="000000" w:themeColor="text1"/>
          <w:sz w:val="22"/>
          <w:lang w:val="es-ES_tradnl"/>
        </w:rPr>
        <w:lastRenderedPageBreak/>
        <w:t>configuración de su actividad contractual, que no desconocen los requisitos o parámetros establecidos en la Constitución o la ley.</w:t>
      </w:r>
    </w:p>
    <w:p w14:paraId="4F3B2AFC" w14:textId="77777777" w:rsidR="00525DE4" w:rsidRDefault="00525DE4" w:rsidP="00525DE4">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ES_tradnl"/>
        </w:rPr>
        <w:t>Una materia que podría ser regulada en los manuales internos de contratación de las empresas sociales del Estado, es la que establece el artículo 76, inciso 3, de la Ley 1438 de 2011, norma que habilita a las empresas sociales del Estado a desarrollar y a «</w:t>
      </w:r>
      <w:r w:rsidRPr="005114A0">
        <w:rPr>
          <w:rFonts w:ascii="Arial" w:eastAsia="Calibri" w:hAnsi="Arial" w:cs="Arial"/>
          <w:color w:val="000000" w:themeColor="text1"/>
          <w:sz w:val="22"/>
          <w:lang w:val="es-CO"/>
        </w:rPr>
        <w:t>utilizar mecanismos de subasta inversa para lograr mayor eficiencia en sus adquisiciones</w:t>
      </w:r>
      <w:r>
        <w:rPr>
          <w:rFonts w:ascii="Arial" w:eastAsia="Calibri" w:hAnsi="Arial" w:cs="Arial"/>
          <w:color w:val="000000" w:themeColor="text1"/>
          <w:sz w:val="22"/>
          <w:lang w:val="es-CO"/>
        </w:rPr>
        <w:t>»</w:t>
      </w:r>
      <w:r w:rsidRPr="005114A0">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w:t>
      </w:r>
    </w:p>
    <w:p w14:paraId="2BECF2CB" w14:textId="6297AD49" w:rsidR="00525DE4" w:rsidRDefault="00525DE4" w:rsidP="00525DE4">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Esta normativa no contiene una obligación de implementar un mecanismo de selección de contratistas, pues, como se dijo en líneas anteriores, las entidades excluidas del EGCAP están habilitadas para configurar sus manuales de contratación sin más limitaciones que las que imponen los principios de la función administrativa y la gestión fiscal,</w:t>
      </w:r>
      <w:r w:rsidR="0083769A">
        <w:rPr>
          <w:rFonts w:ascii="Arial" w:eastAsia="Calibri" w:hAnsi="Arial" w:cs="Arial"/>
          <w:color w:val="000000" w:themeColor="text1"/>
          <w:sz w:val="22"/>
          <w:lang w:val="es-CO"/>
        </w:rPr>
        <w:t xml:space="preserve"> así como la reserva de ley,</w:t>
      </w:r>
      <w:r>
        <w:rPr>
          <w:rFonts w:ascii="Arial" w:eastAsia="Calibri" w:hAnsi="Arial" w:cs="Arial"/>
          <w:color w:val="000000" w:themeColor="text1"/>
          <w:sz w:val="22"/>
          <w:lang w:val="es-CO"/>
        </w:rPr>
        <w:t xml:space="preserve"> habilitación que incluye, por supuesto, la decisión voluntaria de utilizar mecanismos de subasta inversa, bien sea electrónica o presencial, para sus «adquisiciones». Tampoco se trata de una remisión normativa a las disposiciones del EGCAP que regulan la subasta inversa; es simplemente un referente que las entidades podrán tener en cuenta a la hora de configurar sus manuales internos de contratación. Prueba de ello es que aun si esta norma no existiera, las empresas sociales del Estado podrían introducir en sus manuales mecanismos de subasta inversa, bien acogiendo el modelo establecido en el EGCAP o bien adoptado un nuevo modelo, en todo caso, respetando los principios tantas veces referidos.</w:t>
      </w:r>
    </w:p>
    <w:p w14:paraId="3C2B2924" w14:textId="301528C5" w:rsidR="00525DE4" w:rsidRDefault="00525DE4" w:rsidP="00525DE4">
      <w:pPr>
        <w:spacing w:after="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Inclusive, el Ministerio de la Protección Social, por medio de la Resolución No. 5185 de 2013, fijó los lineamientos para que las empresas sociales del Estado adopten el Estatuto de contratación que regirá su actividad contractual. Este acto administrativo, dictado en ejercicio de las facultades conferidas por el artículo 76 de la Ley 1438 de 2011, contiene varios criterios que se deberán cuenta a la hora de adoptar los manuales de contratación.</w:t>
      </w:r>
    </w:p>
    <w:p w14:paraId="5ED62A49" w14:textId="77777777" w:rsidR="00525DE4" w:rsidRPr="00D236D9"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CO"/>
        </w:rPr>
        <w:t>Q</w:t>
      </w:r>
      <w:proofErr w:type="spellStart"/>
      <w:r>
        <w:rPr>
          <w:rFonts w:ascii="Arial" w:eastAsia="Calibri" w:hAnsi="Arial" w:cs="Arial"/>
          <w:color w:val="000000" w:themeColor="text1"/>
          <w:sz w:val="22"/>
          <w:lang w:val="es-ES_tradnl"/>
        </w:rPr>
        <w:t>uiere</w:t>
      </w:r>
      <w:proofErr w:type="spellEnd"/>
      <w:r>
        <w:rPr>
          <w:rFonts w:ascii="Arial" w:eastAsia="Calibri" w:hAnsi="Arial" w:cs="Arial"/>
          <w:color w:val="000000" w:themeColor="text1"/>
          <w:sz w:val="22"/>
          <w:lang w:val="es-ES_tradnl"/>
        </w:rPr>
        <w:t xml:space="preserve"> decir esto, entonces, que las empresas sociales del Estado no están obligadas a seguir las normas del EGCAP en lo que respecta a la subasta inversa, incluso tampoco lo están para implementar esta modalidad de selección de contratista, pues, como se ha dicho bastantes veces, estas entidades ostentan libertad de configuración al respecto.</w:t>
      </w:r>
    </w:p>
    <w:p w14:paraId="5921150D" w14:textId="77777777" w:rsidR="00525DE4" w:rsidRPr="0079420C"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Pr>
          <w:rFonts w:ascii="Arial" w:eastAsia="Calibri" w:hAnsi="Arial" w:cs="Arial"/>
          <w:i/>
          <w:iCs/>
          <w:color w:val="000000" w:themeColor="text1"/>
          <w:sz w:val="22"/>
          <w:lang w:val="es-ES_tradnl"/>
        </w:rPr>
        <w:t>inderogabilidad singular del reglamento</w:t>
      </w:r>
      <w:r w:rsidRPr="000D579B">
        <w:rPr>
          <w:rStyle w:val="Refdenotaalpie"/>
          <w:rFonts w:ascii="Arial" w:eastAsia="Calibri" w:hAnsi="Arial" w:cs="Arial"/>
          <w:color w:val="000000" w:themeColor="text1"/>
          <w:sz w:val="22"/>
          <w:lang w:val="es-ES_tradnl"/>
        </w:rPr>
        <w:footnoteReference w:id="13"/>
      </w:r>
      <w:r>
        <w:rPr>
          <w:rFonts w:ascii="Arial" w:eastAsia="Calibri" w:hAnsi="Arial" w:cs="Arial"/>
          <w:color w:val="000000" w:themeColor="text1"/>
          <w:sz w:val="22"/>
          <w:lang w:val="es-ES_tradnl"/>
        </w:rPr>
        <w:t xml:space="preserve">. En tal sentido, su contenido vincula a la </w:t>
      </w:r>
      <w:r>
        <w:rPr>
          <w:rFonts w:ascii="Arial" w:eastAsia="Calibri" w:hAnsi="Arial" w:cs="Arial"/>
          <w:color w:val="000000" w:themeColor="text1"/>
          <w:sz w:val="22"/>
          <w:lang w:val="es-ES_tradnl"/>
        </w:rPr>
        <w:lastRenderedPageBreak/>
        <w:t>propia entidad que lo expidió y no puede desconocerlo a su capricho en casos específicos; sin perjuicio de la posibilidad de expedir un nuevo manual o de modificar el existente.</w:t>
      </w:r>
    </w:p>
    <w:p w14:paraId="65316817"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Sin perjuicio de las precisiones anteriores, respecto al contenido de los manuales de contratación, en términos generales, no existen lineamientos precisos en el ordenamiento, tales como la obligación de prever procedimientos de menor y mínima cuantía. Este es un aspecto que debe evaluar la entidad en el momento de diseñar su respectivo reglamento o manual interno de contratación, de cara a los principios de eficiencia, eficacia, publicidad, transparencia, entre otros. </w:t>
      </w:r>
    </w:p>
    <w:p w14:paraId="3373286D"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otra parte, es preciso advertir, adicionalmente, </w:t>
      </w:r>
      <w:proofErr w:type="gramStart"/>
      <w:r>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el reglamento interno de contratación contempla procedimientos de menor y mínima cuantía, no existen parámetros legales para determinar el monto de estas cuantías y, por lo tanto, la entidad tiene discrecionalidad para determinarlas, siempre con el debido respeto de los principios constitucionales. Lo anterior es así, pues las entidades de régimen especial no están sometidas a las cuantías señaladas para algunos efectos en la Ley 1150 de 2007. </w:t>
      </w:r>
    </w:p>
    <w:p w14:paraId="63E2B0EB"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Pese a lo dicho, se considera de relevancia llamar la atención sobre un último aspecto. Si la entidad en su manual de contratación ha contemplado procedimientos diferentes para contratos de menor y mínima cuantía, en el entender de esta Subdirección, existe un deber para la entidad de determinarlas pues, por decirlo de alguna manera, se ha autoimpuesto esta obligación. </w:t>
      </w:r>
    </w:p>
    <w:p w14:paraId="0AAA009D" w14:textId="77777777" w:rsidR="00525DE4" w:rsidRDefault="00525DE4" w:rsidP="00525DE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argumento que sustenta la anterior afirmación deriva de los principios de transparencia, publicidad y de selección objetiva. Estos principios demandan de las entidades que provean reglas claras y objetivas para seleccionar sus contratistas, luego, si la entidad opta por utilizar procedimientos de selección diversos para contratos denominados de menor y mínima cuantía, resulta necesario que aclare a los potenciales oferentes el monto de estas cuantías para que ellos conozcan de antemano el procedimiento que, de conformidad con el manual de contratación, se aplicará en el caso concreto.  </w:t>
      </w:r>
    </w:p>
    <w:p w14:paraId="36E64753" w14:textId="77777777" w:rsidR="00525DE4" w:rsidRDefault="00525DE4" w:rsidP="00525DE4">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suma, las empresas sociales del Estado no</w:t>
      </w:r>
      <w:r w:rsidRPr="008F5D4C">
        <w:rPr>
          <w:rFonts w:ascii="Arial" w:eastAsia="Calibri" w:hAnsi="Arial" w:cs="Arial"/>
          <w:color w:val="000000" w:themeColor="text1"/>
          <w:sz w:val="22"/>
        </w:rPr>
        <w:t xml:space="preserve"> están sometidas al </w:t>
      </w:r>
      <w:r>
        <w:rPr>
          <w:rFonts w:ascii="Arial" w:eastAsia="Calibri" w:hAnsi="Arial" w:cs="Arial"/>
          <w:color w:val="000000" w:themeColor="text1"/>
          <w:sz w:val="22"/>
        </w:rPr>
        <w:t>EGCAP</w:t>
      </w:r>
      <w:r w:rsidRPr="008F5D4C">
        <w:rPr>
          <w:rFonts w:ascii="Arial" w:eastAsia="Calibri" w:hAnsi="Arial" w:cs="Arial"/>
          <w:color w:val="000000" w:themeColor="text1"/>
          <w:sz w:val="22"/>
        </w:rPr>
        <w:t xml:space="preserve"> </w:t>
      </w:r>
      <w:r>
        <w:rPr>
          <w:rFonts w:ascii="Arial" w:eastAsia="Calibri" w:hAnsi="Arial" w:cs="Arial"/>
          <w:color w:val="000000" w:themeColor="text1"/>
          <w:sz w:val="22"/>
        </w:rPr>
        <w:t>ni a</w:t>
      </w:r>
      <w:r w:rsidRPr="008F5D4C">
        <w:rPr>
          <w:rFonts w:ascii="Arial" w:eastAsia="Calibri" w:hAnsi="Arial" w:cs="Arial"/>
          <w:color w:val="000000" w:themeColor="text1"/>
          <w:sz w:val="22"/>
        </w:rPr>
        <w:t xml:space="preserve"> las normas que lo </w:t>
      </w:r>
      <w:r>
        <w:rPr>
          <w:rFonts w:ascii="Arial" w:eastAsia="Calibri" w:hAnsi="Arial" w:cs="Arial"/>
          <w:color w:val="000000" w:themeColor="text1"/>
          <w:sz w:val="22"/>
        </w:rPr>
        <w:t xml:space="preserve">reglamentan o </w:t>
      </w:r>
      <w:r w:rsidRPr="008F5D4C">
        <w:rPr>
          <w:rFonts w:ascii="Arial" w:eastAsia="Calibri" w:hAnsi="Arial" w:cs="Arial"/>
          <w:color w:val="000000" w:themeColor="text1"/>
          <w:sz w:val="22"/>
        </w:rPr>
        <w:t>complementan</w:t>
      </w:r>
      <w:r>
        <w:rPr>
          <w:rFonts w:ascii="Arial" w:eastAsia="Calibri" w:hAnsi="Arial" w:cs="Arial"/>
          <w:color w:val="000000" w:themeColor="text1"/>
          <w:sz w:val="22"/>
        </w:rPr>
        <w:t xml:space="preserve">, pues, por disposición expresa de la norma transcrita, sus contratos </w:t>
      </w:r>
      <w:r w:rsidRPr="00520E4F">
        <w:rPr>
          <w:rFonts w:ascii="Arial" w:eastAsia="Calibri" w:hAnsi="Arial" w:cs="Arial"/>
          <w:color w:val="000000" w:themeColor="text1"/>
          <w:sz w:val="22"/>
        </w:rPr>
        <w:t>se</w:t>
      </w:r>
      <w:r>
        <w:rPr>
          <w:rFonts w:ascii="Arial" w:eastAsia="Calibri" w:hAnsi="Arial" w:cs="Arial"/>
          <w:color w:val="000000" w:themeColor="text1"/>
          <w:sz w:val="22"/>
        </w:rPr>
        <w:t xml:space="preserve"> rigen</w:t>
      </w:r>
      <w:r w:rsidRPr="00520E4F">
        <w:rPr>
          <w:rFonts w:ascii="Arial" w:eastAsia="Calibri" w:hAnsi="Arial" w:cs="Arial"/>
          <w:color w:val="000000" w:themeColor="text1"/>
          <w:sz w:val="22"/>
        </w:rPr>
        <w:t xml:space="preserve"> por el derecho privado.</w:t>
      </w:r>
      <w:r>
        <w:rPr>
          <w:rFonts w:ascii="Arial" w:eastAsia="Calibri" w:hAnsi="Arial" w:cs="Arial"/>
          <w:color w:val="000000" w:themeColor="text1"/>
          <w:sz w:val="22"/>
        </w:rPr>
        <w:t xml:space="preserve"> Con todo, tales entidades deben tener en cuenta y aplicar los «principios </w:t>
      </w:r>
      <w:r w:rsidRPr="00AA164A">
        <w:rPr>
          <w:rFonts w:ascii="Arial" w:eastAsia="Calibri" w:hAnsi="Arial" w:cs="Arial"/>
          <w:color w:val="000000" w:themeColor="text1"/>
          <w:sz w:val="22"/>
        </w:rPr>
        <w:t xml:space="preserve">generales de la actividad contractual para entidades </w:t>
      </w:r>
      <w:r w:rsidRPr="00AA164A">
        <w:rPr>
          <w:rFonts w:ascii="Arial" w:eastAsia="Calibri" w:hAnsi="Arial" w:cs="Arial"/>
          <w:color w:val="000000" w:themeColor="text1"/>
          <w:sz w:val="22"/>
        </w:rPr>
        <w:lastRenderedPageBreak/>
        <w:t>no sometidas al estatuto general de contratación de la administración pública</w:t>
      </w:r>
      <w:r>
        <w:rPr>
          <w:rFonts w:ascii="Arial" w:eastAsia="Calibri" w:hAnsi="Arial" w:cs="Arial"/>
          <w:color w:val="000000" w:themeColor="text1"/>
          <w:sz w:val="22"/>
        </w:rPr>
        <w:t xml:space="preserve">», consagrados en el artículo 13 de la Ley 1150 de 2007, así como los principios de la función administrativa y de la gestión fiscal, contenidos, respectivamente, en los artículos 209 y 267 de la Constitución Política. </w:t>
      </w:r>
    </w:p>
    <w:p w14:paraId="14044799" w14:textId="77777777" w:rsidR="000D579B" w:rsidRPr="006C15D5" w:rsidRDefault="000D579B" w:rsidP="00525DE4">
      <w:pPr>
        <w:spacing w:line="276" w:lineRule="auto"/>
        <w:jc w:val="both"/>
        <w:rPr>
          <w:rFonts w:ascii="Arial" w:hAnsi="Arial" w:cs="Arial"/>
          <w:color w:val="000000" w:themeColor="text1"/>
          <w:sz w:val="21"/>
          <w:szCs w:val="21"/>
          <w:lang w:val="es-CO"/>
        </w:rPr>
      </w:pPr>
    </w:p>
    <w:p w14:paraId="4990F008" w14:textId="77777777" w:rsidR="00525DE4" w:rsidRPr="006C15D5" w:rsidRDefault="00525DE4" w:rsidP="00525DE4">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58554AD5" w14:textId="77777777" w:rsidR="00525DE4" w:rsidRPr="006C15D5" w:rsidRDefault="00525DE4" w:rsidP="00525DE4">
      <w:pPr>
        <w:spacing w:line="276" w:lineRule="auto"/>
        <w:ind w:right="709"/>
        <w:jc w:val="both"/>
        <w:rPr>
          <w:rFonts w:ascii="Arial" w:hAnsi="Arial" w:cs="Arial"/>
          <w:color w:val="000000" w:themeColor="text1"/>
          <w:sz w:val="21"/>
          <w:szCs w:val="21"/>
          <w:lang w:val="es-CO"/>
        </w:rPr>
      </w:pPr>
    </w:p>
    <w:p w14:paraId="5B24A4BE" w14:textId="77777777" w:rsidR="00525DE4" w:rsidRPr="00A644BB" w:rsidRDefault="00525DE4" w:rsidP="00525DE4">
      <w:pPr>
        <w:ind w:left="709" w:right="709"/>
        <w:jc w:val="both"/>
        <w:rPr>
          <w:rFonts w:ascii="Arial" w:eastAsia="Calibri" w:hAnsi="Arial" w:cs="Arial"/>
          <w:color w:val="000000" w:themeColor="text1"/>
          <w:sz w:val="21"/>
          <w:szCs w:val="21"/>
          <w:lang w:val="es-CO"/>
        </w:rPr>
      </w:pPr>
      <w:r w:rsidRPr="00A644BB">
        <w:rPr>
          <w:rFonts w:ascii="Arial" w:eastAsia="Calibri" w:hAnsi="Arial" w:cs="Arial"/>
          <w:color w:val="000000" w:themeColor="text1"/>
          <w:sz w:val="21"/>
          <w:szCs w:val="21"/>
        </w:rPr>
        <w:t xml:space="preserve">Se requiere «[…] ampliar la información sobre </w:t>
      </w:r>
      <w:proofErr w:type="spellStart"/>
      <w:r w:rsidRPr="00A644BB">
        <w:rPr>
          <w:rFonts w:ascii="Arial" w:eastAsia="Calibri" w:hAnsi="Arial" w:cs="Arial"/>
          <w:color w:val="000000" w:themeColor="text1"/>
          <w:sz w:val="21"/>
          <w:szCs w:val="21"/>
        </w:rPr>
        <w:t>como</w:t>
      </w:r>
      <w:proofErr w:type="spellEnd"/>
      <w:r w:rsidRPr="00A644BB">
        <w:rPr>
          <w:rFonts w:ascii="Arial" w:eastAsia="Calibri" w:hAnsi="Arial" w:cs="Arial"/>
          <w:color w:val="000000" w:themeColor="text1"/>
          <w:sz w:val="21"/>
          <w:szCs w:val="21"/>
        </w:rPr>
        <w:t xml:space="preserve"> (sic) es específicamente el proceso de compra electrónica a que hace referencia el artículo 76 de la [L]</w:t>
      </w:r>
      <w:proofErr w:type="spellStart"/>
      <w:r w:rsidRPr="00A644BB">
        <w:rPr>
          <w:rFonts w:ascii="Arial" w:eastAsia="Calibri" w:hAnsi="Arial" w:cs="Arial"/>
          <w:color w:val="000000" w:themeColor="text1"/>
          <w:sz w:val="21"/>
          <w:szCs w:val="21"/>
        </w:rPr>
        <w:t>ey</w:t>
      </w:r>
      <w:proofErr w:type="spellEnd"/>
      <w:r w:rsidRPr="00A644BB">
        <w:rPr>
          <w:rFonts w:ascii="Arial" w:eastAsia="Calibri" w:hAnsi="Arial" w:cs="Arial"/>
          <w:color w:val="000000" w:themeColor="text1"/>
          <w:sz w:val="21"/>
          <w:szCs w:val="21"/>
        </w:rPr>
        <w:t xml:space="preserve"> 1438 de 2011[…]». Particularmente, usted realiza las siguientes preguntas: i) </w:t>
      </w:r>
      <w:proofErr w:type="gramStart"/>
      <w:r w:rsidRPr="00A644BB">
        <w:rPr>
          <w:rFonts w:ascii="Arial" w:eastAsia="Calibri" w:hAnsi="Arial" w:cs="Arial"/>
          <w:color w:val="000000" w:themeColor="text1"/>
          <w:sz w:val="21"/>
          <w:szCs w:val="21"/>
        </w:rPr>
        <w:t>«¿ se</w:t>
      </w:r>
      <w:proofErr w:type="gramEnd"/>
      <w:r w:rsidRPr="00A644BB">
        <w:rPr>
          <w:rFonts w:ascii="Arial" w:eastAsia="Calibri" w:hAnsi="Arial" w:cs="Arial"/>
          <w:color w:val="000000" w:themeColor="text1"/>
          <w:sz w:val="21"/>
          <w:szCs w:val="21"/>
        </w:rPr>
        <w:t xml:space="preserve"> debe contar con una plataforma especifica por medio de la cual se realicen las convocatorias […] o es suficiente con la </w:t>
      </w:r>
      <w:proofErr w:type="spellStart"/>
      <w:r w:rsidRPr="00A644BB">
        <w:rPr>
          <w:rFonts w:ascii="Arial" w:eastAsia="Calibri" w:hAnsi="Arial" w:cs="Arial"/>
          <w:color w:val="000000" w:themeColor="text1"/>
          <w:sz w:val="21"/>
          <w:szCs w:val="21"/>
        </w:rPr>
        <w:t>publicación</w:t>
      </w:r>
      <w:proofErr w:type="spellEnd"/>
      <w:r w:rsidRPr="00A644BB">
        <w:rPr>
          <w:rFonts w:ascii="Arial" w:eastAsia="Calibri" w:hAnsi="Arial" w:cs="Arial"/>
          <w:color w:val="000000" w:themeColor="text1"/>
          <w:sz w:val="21"/>
          <w:szCs w:val="21"/>
        </w:rPr>
        <w:t xml:space="preserve"> de la oferta en la </w:t>
      </w:r>
      <w:proofErr w:type="spellStart"/>
      <w:r w:rsidRPr="00A644BB">
        <w:rPr>
          <w:rFonts w:ascii="Arial" w:eastAsia="Calibri" w:hAnsi="Arial" w:cs="Arial"/>
          <w:color w:val="000000" w:themeColor="text1"/>
          <w:sz w:val="21"/>
          <w:szCs w:val="21"/>
        </w:rPr>
        <w:t>pagina</w:t>
      </w:r>
      <w:proofErr w:type="spellEnd"/>
      <w:r w:rsidRPr="00A644BB">
        <w:rPr>
          <w:rFonts w:ascii="Arial" w:eastAsia="Calibri" w:hAnsi="Arial" w:cs="Arial"/>
          <w:color w:val="000000" w:themeColor="text1"/>
          <w:sz w:val="21"/>
          <w:szCs w:val="21"/>
        </w:rPr>
        <w:t xml:space="preserve"> de la </w:t>
      </w:r>
      <w:proofErr w:type="spellStart"/>
      <w:r w:rsidRPr="00A644BB">
        <w:rPr>
          <w:rFonts w:ascii="Arial" w:eastAsia="Calibri" w:hAnsi="Arial" w:cs="Arial"/>
          <w:color w:val="000000" w:themeColor="text1"/>
          <w:sz w:val="21"/>
          <w:szCs w:val="21"/>
        </w:rPr>
        <w:t>institución</w:t>
      </w:r>
      <w:proofErr w:type="spellEnd"/>
      <w:r w:rsidRPr="00A644BB">
        <w:rPr>
          <w:rFonts w:ascii="Arial" w:eastAsia="Calibri" w:hAnsi="Arial" w:cs="Arial"/>
          <w:color w:val="000000" w:themeColor="text1"/>
          <w:sz w:val="21"/>
          <w:szCs w:val="21"/>
        </w:rPr>
        <w:t xml:space="preserve"> del estado o el </w:t>
      </w:r>
      <w:proofErr w:type="spellStart"/>
      <w:r w:rsidRPr="00A644BB">
        <w:rPr>
          <w:rFonts w:ascii="Arial" w:eastAsia="Calibri" w:hAnsi="Arial" w:cs="Arial"/>
          <w:color w:val="000000" w:themeColor="text1"/>
          <w:sz w:val="21"/>
          <w:szCs w:val="21"/>
        </w:rPr>
        <w:t>secop</w:t>
      </w:r>
      <w:proofErr w:type="spellEnd"/>
      <w:r w:rsidRPr="00A644BB">
        <w:rPr>
          <w:rFonts w:ascii="Arial" w:eastAsia="Calibri" w:hAnsi="Arial" w:cs="Arial"/>
          <w:color w:val="000000" w:themeColor="text1"/>
          <w:sz w:val="21"/>
          <w:szCs w:val="21"/>
        </w:rPr>
        <w:t xml:space="preserve">?»; y </w:t>
      </w:r>
      <w:proofErr w:type="spellStart"/>
      <w:r w:rsidRPr="00A644BB">
        <w:rPr>
          <w:rFonts w:ascii="Arial" w:eastAsia="Calibri" w:hAnsi="Arial" w:cs="Arial"/>
          <w:color w:val="000000" w:themeColor="text1"/>
          <w:sz w:val="21"/>
          <w:szCs w:val="21"/>
        </w:rPr>
        <w:t>ii</w:t>
      </w:r>
      <w:proofErr w:type="spellEnd"/>
      <w:r w:rsidRPr="00A644BB">
        <w:rPr>
          <w:rFonts w:ascii="Arial" w:eastAsia="Calibri" w:hAnsi="Arial" w:cs="Arial"/>
          <w:color w:val="000000" w:themeColor="text1"/>
          <w:sz w:val="21"/>
          <w:szCs w:val="21"/>
        </w:rPr>
        <w:t xml:space="preserve">) «¿ los pagos se deben realizar de forma </w:t>
      </w:r>
      <w:proofErr w:type="spellStart"/>
      <w:r w:rsidRPr="00A644BB">
        <w:rPr>
          <w:rFonts w:ascii="Arial" w:eastAsia="Calibri" w:hAnsi="Arial" w:cs="Arial"/>
          <w:color w:val="000000" w:themeColor="text1"/>
          <w:sz w:val="21"/>
          <w:szCs w:val="21"/>
        </w:rPr>
        <w:t>electrónica</w:t>
      </w:r>
      <w:proofErr w:type="spellEnd"/>
      <w:r w:rsidRPr="00A644BB">
        <w:rPr>
          <w:rFonts w:ascii="Arial" w:eastAsia="Calibri" w:hAnsi="Arial" w:cs="Arial"/>
          <w:color w:val="000000" w:themeColor="text1"/>
          <w:sz w:val="21"/>
          <w:szCs w:val="21"/>
        </w:rPr>
        <w:t xml:space="preserve"> </w:t>
      </w:r>
      <w:proofErr w:type="spellStart"/>
      <w:r w:rsidRPr="00A644BB">
        <w:rPr>
          <w:rFonts w:ascii="Arial" w:eastAsia="Calibri" w:hAnsi="Arial" w:cs="Arial"/>
          <w:color w:val="000000" w:themeColor="text1"/>
          <w:sz w:val="21"/>
          <w:szCs w:val="21"/>
        </w:rPr>
        <w:t>también</w:t>
      </w:r>
      <w:proofErr w:type="spellEnd"/>
      <w:r w:rsidRPr="00A644BB">
        <w:rPr>
          <w:rFonts w:ascii="Arial" w:eastAsia="Calibri" w:hAnsi="Arial" w:cs="Arial"/>
          <w:color w:val="000000" w:themeColor="text1"/>
          <w:sz w:val="21"/>
          <w:szCs w:val="21"/>
        </w:rPr>
        <w:t>?».</w:t>
      </w:r>
    </w:p>
    <w:p w14:paraId="27D10549" w14:textId="77777777" w:rsidR="00525DE4" w:rsidRDefault="00525DE4" w:rsidP="00525DE4">
      <w:pPr>
        <w:spacing w:line="276" w:lineRule="auto"/>
        <w:jc w:val="both"/>
        <w:rPr>
          <w:rFonts w:ascii="Arial" w:eastAsia="Calibri" w:hAnsi="Arial" w:cs="Arial"/>
          <w:color w:val="000000" w:themeColor="text1"/>
          <w:sz w:val="22"/>
        </w:rPr>
      </w:pPr>
    </w:p>
    <w:p w14:paraId="18C48974" w14:textId="14B97ADB" w:rsidR="00525DE4" w:rsidRPr="007F4F75" w:rsidRDefault="00525DE4" w:rsidP="00525DE4">
      <w:pPr>
        <w:spacing w:before="120"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señaló, l</w:t>
      </w:r>
      <w:r w:rsidRPr="00C50936">
        <w:rPr>
          <w:rFonts w:ascii="Arial" w:eastAsia="Calibri" w:hAnsi="Arial" w:cs="Arial"/>
          <w:color w:val="000000" w:themeColor="text1"/>
          <w:sz w:val="22"/>
          <w:lang w:val="es-ES_tradnl"/>
        </w:rPr>
        <w:t xml:space="preserve">as entidades </w:t>
      </w:r>
      <w:r>
        <w:rPr>
          <w:rFonts w:ascii="Arial" w:eastAsia="Calibri" w:hAnsi="Arial" w:cs="Arial"/>
          <w:color w:val="000000" w:themeColor="text1"/>
          <w:sz w:val="22"/>
          <w:lang w:val="es-ES_tradnl"/>
        </w:rPr>
        <w:t>con</w:t>
      </w:r>
      <w:r w:rsidRPr="00C50936">
        <w:rPr>
          <w:rFonts w:ascii="Arial" w:eastAsia="Calibri" w:hAnsi="Arial" w:cs="Arial"/>
          <w:color w:val="000000" w:themeColor="text1"/>
          <w:sz w:val="22"/>
          <w:lang w:val="es-ES_tradnl"/>
        </w:rPr>
        <w:t xml:space="preserve"> régimen especial están facultadas legalmente para </w:t>
      </w:r>
      <w:r>
        <w:rPr>
          <w:rFonts w:ascii="Arial" w:eastAsia="Calibri" w:hAnsi="Arial" w:cs="Arial"/>
          <w:color w:val="000000" w:themeColor="text1"/>
          <w:sz w:val="22"/>
          <w:lang w:val="es-ES_tradnl"/>
        </w:rPr>
        <w:t xml:space="preserve">desarrollar su actividad contractual con base en normas diferentes </w:t>
      </w:r>
      <w:r w:rsidRPr="00C50936">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l Estatuto General de Contratación de la Administración Pública «EGCAP». Esto implica que las normas precisas en materia contractual que deben aplicar estas entidades están determinadas por el instrumento normativo que </w:t>
      </w:r>
      <w:r w:rsidR="00953C82">
        <w:rPr>
          <w:rFonts w:ascii="Arial" w:eastAsia="Calibri" w:hAnsi="Arial" w:cs="Arial"/>
          <w:color w:val="000000" w:themeColor="text1"/>
          <w:sz w:val="22"/>
          <w:lang w:val="es-ES_tradnl"/>
        </w:rPr>
        <w:t xml:space="preserve">se </w:t>
      </w:r>
      <w:r>
        <w:rPr>
          <w:rFonts w:ascii="Arial" w:eastAsia="Calibri" w:hAnsi="Arial" w:cs="Arial"/>
          <w:color w:val="000000" w:themeColor="text1"/>
          <w:sz w:val="22"/>
          <w:lang w:val="es-ES_tradnl"/>
        </w:rPr>
        <w:t xml:space="preserve">crea </w:t>
      </w:r>
      <w:r w:rsidR="00CB613A">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 xml:space="preserve">el régimen especial, esto es, el manual interno de </w:t>
      </w:r>
      <w:r w:rsidRPr="007F4F75">
        <w:rPr>
          <w:rFonts w:ascii="Arial" w:eastAsia="Calibri" w:hAnsi="Arial" w:cs="Arial"/>
          <w:color w:val="000000" w:themeColor="text1"/>
          <w:sz w:val="22"/>
          <w:lang w:val="es-ES_tradnl"/>
        </w:rPr>
        <w:t xml:space="preserve">contratación, pero por regla general se trata del derecho privado, con los matices provenientes del derecho público mencionadas en los numerales precedentes de este concepto. </w:t>
      </w:r>
    </w:p>
    <w:p w14:paraId="46D9E901" w14:textId="77777777" w:rsidR="00525DE4" w:rsidRPr="007F4F75" w:rsidRDefault="00525DE4" w:rsidP="00525DE4">
      <w:pPr>
        <w:spacing w:before="120" w:line="276" w:lineRule="auto"/>
        <w:ind w:firstLine="708"/>
        <w:jc w:val="both"/>
        <w:rPr>
          <w:rFonts w:ascii="Arial" w:eastAsia="Calibri" w:hAnsi="Arial" w:cs="Arial"/>
          <w:color w:val="000000" w:themeColor="text1"/>
          <w:sz w:val="22"/>
          <w:lang w:val="es-ES_tradnl"/>
        </w:rPr>
      </w:pPr>
      <w:r w:rsidRPr="007F4F75">
        <w:rPr>
          <w:rFonts w:ascii="Arial" w:eastAsia="Calibri" w:hAnsi="Arial" w:cs="Arial"/>
          <w:color w:val="000000" w:themeColor="text1"/>
          <w:sz w:val="22"/>
          <w:lang w:val="es-ES_tradnl"/>
        </w:rPr>
        <w:t>Sobre este punto particular es preciso destacar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7F4F75">
        <w:rPr>
          <w:rStyle w:val="Refdenotaalpie"/>
          <w:rFonts w:ascii="Arial" w:eastAsia="Calibri" w:hAnsi="Arial" w:cs="Arial"/>
          <w:color w:val="000000" w:themeColor="text1"/>
          <w:sz w:val="22"/>
          <w:lang w:val="es-ES_tradnl"/>
        </w:rPr>
        <w:footnoteReference w:id="14"/>
      </w:r>
      <w:r w:rsidRPr="007F4F75">
        <w:rPr>
          <w:rFonts w:ascii="Arial" w:eastAsia="Calibri" w:hAnsi="Arial" w:cs="Arial"/>
          <w:color w:val="000000" w:themeColor="text1"/>
          <w:sz w:val="22"/>
          <w:lang w:val="es-ES_tradnl"/>
        </w:rPr>
        <w:t>. Dicha libertad es similar a la reconocida a los particulares por el derecho privado, pero no es idéntica a aquella, en la medida en que encuentra importantes limitantes, algunos de los cuales fueron expuestos.</w:t>
      </w:r>
    </w:p>
    <w:p w14:paraId="30CC983E" w14:textId="77777777" w:rsidR="00525DE4" w:rsidRDefault="00525DE4" w:rsidP="00525DE4">
      <w:pPr>
        <w:spacing w:before="120" w:line="276" w:lineRule="auto"/>
        <w:ind w:firstLine="709"/>
        <w:jc w:val="both"/>
        <w:rPr>
          <w:rFonts w:ascii="Arial" w:eastAsia="Calibri" w:hAnsi="Arial" w:cs="Arial"/>
          <w:color w:val="000000" w:themeColor="text1"/>
          <w:sz w:val="22"/>
          <w:lang w:val="es-ES_tradnl"/>
        </w:rPr>
      </w:pPr>
      <w:r w:rsidRPr="007F4F75">
        <w:rPr>
          <w:rFonts w:ascii="Arial" w:eastAsia="Calibri" w:hAnsi="Arial" w:cs="Arial"/>
          <w:color w:val="000000" w:themeColor="text1"/>
          <w:sz w:val="22"/>
          <w:lang w:val="es-ES_tradnl"/>
        </w:rPr>
        <w:t>Así las cosas, en relación con sus preguntas</w:t>
      </w:r>
      <w:r>
        <w:rPr>
          <w:rFonts w:ascii="Arial" w:eastAsia="Calibri" w:hAnsi="Arial" w:cs="Arial"/>
          <w:color w:val="000000" w:themeColor="text1"/>
          <w:sz w:val="22"/>
          <w:lang w:val="es-ES_tradnl"/>
        </w:rPr>
        <w:t>,</w:t>
      </w:r>
      <w:r w:rsidRPr="007F4F75">
        <w:rPr>
          <w:rFonts w:ascii="Arial" w:eastAsia="Calibri" w:hAnsi="Arial" w:cs="Arial"/>
          <w:color w:val="000000" w:themeColor="text1"/>
          <w:sz w:val="22"/>
          <w:lang w:val="es-ES_tradnl"/>
        </w:rPr>
        <w:t xml:space="preserve"> le informamos que, en ejercicio de la libertad de configuración</w:t>
      </w:r>
      <w:r>
        <w:rPr>
          <w:rFonts w:ascii="Arial" w:eastAsia="Calibri" w:hAnsi="Arial" w:cs="Arial"/>
          <w:color w:val="000000" w:themeColor="text1"/>
          <w:sz w:val="22"/>
          <w:lang w:val="es-ES_tradnl"/>
        </w:rPr>
        <w:t xml:space="preserve"> que les asiste a las empresas sociales del Estado, cada una de ellas debe determinar estas cuestiones en su manual interno de contratación</w:t>
      </w:r>
      <w:r>
        <w:rPr>
          <w:rStyle w:val="Refdenotaalpie"/>
          <w:rFonts w:ascii="Arial" w:eastAsia="Calibri" w:hAnsi="Arial" w:cs="Arial"/>
          <w:color w:val="000000" w:themeColor="text1"/>
          <w:sz w:val="22"/>
          <w:lang w:val="es-ES_tradnl"/>
        </w:rPr>
        <w:footnoteReference w:id="15"/>
      </w:r>
      <w:r>
        <w:rPr>
          <w:rFonts w:ascii="Arial" w:eastAsia="Calibri" w:hAnsi="Arial" w:cs="Arial"/>
          <w:color w:val="000000" w:themeColor="text1"/>
          <w:sz w:val="22"/>
          <w:lang w:val="es-ES_tradnl"/>
        </w:rPr>
        <w:t xml:space="preserve">, lo que supone que lo relacionado con la plataforma que se debe usar en caso de optar por el </w:t>
      </w:r>
      <w:r>
        <w:rPr>
          <w:rFonts w:ascii="Arial" w:eastAsia="Calibri" w:hAnsi="Arial" w:cs="Arial"/>
          <w:color w:val="000000" w:themeColor="text1"/>
          <w:sz w:val="22"/>
          <w:lang w:val="es-ES_tradnl"/>
        </w:rPr>
        <w:lastRenderedPageBreak/>
        <w:t>mecanismo de subasta inversa electrónica, así como las publicaciones y la forma de pago al contratista, deberá hacerse de acuerdo a lo que establece dicho manual interno, no en relación con el EGCAP, pues las disposiciones de este no les aplican a las empresas sociales del Estado, sin perjuicio, claro está, del carácter vinculante que tienen los principios de contratación estatal, los de la función administrativa y los de la gestión fiscal.</w:t>
      </w:r>
    </w:p>
    <w:p w14:paraId="33F943F0" w14:textId="5CCAFD97" w:rsidR="00525DE4" w:rsidRDefault="00525DE4" w:rsidP="00525DE4">
      <w:pPr>
        <w:spacing w:before="120" w:line="276" w:lineRule="auto"/>
        <w:ind w:firstLine="709"/>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Es del caso precisar que la norma objeto de su consulta no contiene una obligación de implementar un mecanismo de selección de contratistas, pues, como se dijo, las entidades excluidas del EGCAP están habilitadas para configurar sus manuales de contratación sin más limitaciones que las que imponen los principios de la función administrativa y la gestión fiscal, habilitación que incluye, por supuesto, la decisión voluntaria de utilizar mecanismos de subasta inversa, bien sea electrónica o presencial, para sus «adquisiciones». Tampoco se trata de una remisión normativa a las disposiciones del EGCAP que regulan la subasta inversa; es simplemente un referente que las entidades podrán tener en cuenta a la hora de configurar sus manuales internos de contratación. </w:t>
      </w:r>
    </w:p>
    <w:p w14:paraId="7CB0179D" w14:textId="77777777" w:rsidR="00525DE4" w:rsidRPr="00D236D9" w:rsidRDefault="00525DE4" w:rsidP="00525DE4">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CO"/>
        </w:rPr>
        <w:t>Q</w:t>
      </w:r>
      <w:proofErr w:type="spellStart"/>
      <w:r>
        <w:rPr>
          <w:rFonts w:ascii="Arial" w:eastAsia="Calibri" w:hAnsi="Arial" w:cs="Arial"/>
          <w:color w:val="000000" w:themeColor="text1"/>
          <w:sz w:val="22"/>
          <w:lang w:val="es-ES_tradnl"/>
        </w:rPr>
        <w:t>uiere</w:t>
      </w:r>
      <w:proofErr w:type="spellEnd"/>
      <w:r>
        <w:rPr>
          <w:rFonts w:ascii="Arial" w:eastAsia="Calibri" w:hAnsi="Arial" w:cs="Arial"/>
          <w:color w:val="000000" w:themeColor="text1"/>
          <w:sz w:val="22"/>
          <w:lang w:val="es-ES_tradnl"/>
        </w:rPr>
        <w:t xml:space="preserve"> decir esto, entonces, que las empresas sociales del Estado no están obligadas a seguir las normas del EGCAP en lo que respecta a la subasta inversa, incluso tampoco lo están para implementar esta modalidad de selección de contratista, pues, como se dijo aquí reiteradamente, estas entidades ostentan libertad de configuración para tales fines.</w:t>
      </w:r>
    </w:p>
    <w:p w14:paraId="0A86E28A" w14:textId="77777777" w:rsidR="00525DE4" w:rsidRPr="00214B14" w:rsidRDefault="00525DE4" w:rsidP="00525DE4">
      <w:pPr>
        <w:spacing w:line="276" w:lineRule="auto"/>
        <w:jc w:val="both"/>
        <w:rPr>
          <w:rFonts w:ascii="Arial" w:eastAsia="Calibri" w:hAnsi="Arial" w:cs="Arial"/>
          <w:color w:val="000000" w:themeColor="text1"/>
          <w:sz w:val="22"/>
          <w:lang w:val="es-ES_tradnl"/>
        </w:rPr>
      </w:pPr>
    </w:p>
    <w:p w14:paraId="73AD8F63" w14:textId="77777777" w:rsidR="00525DE4" w:rsidRPr="006C15D5" w:rsidRDefault="00525DE4" w:rsidP="00525DE4">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6462BF33" w14:textId="77777777" w:rsidR="00525DE4" w:rsidRPr="006C15D5" w:rsidRDefault="00525DE4" w:rsidP="00525DE4">
      <w:pPr>
        <w:ind w:firstLine="709"/>
        <w:jc w:val="both"/>
        <w:rPr>
          <w:rFonts w:ascii="Arial" w:eastAsia="Calibri" w:hAnsi="Arial" w:cs="Arial"/>
          <w:color w:val="000000" w:themeColor="text1"/>
          <w:sz w:val="22"/>
        </w:rPr>
      </w:pPr>
    </w:p>
    <w:p w14:paraId="3B4DF9A5" w14:textId="77777777" w:rsidR="00525DE4" w:rsidRPr="006C15D5" w:rsidRDefault="00525DE4" w:rsidP="00525DE4">
      <w:pPr>
        <w:jc w:val="both"/>
        <w:rPr>
          <w:rFonts w:ascii="Arial" w:eastAsia="Times New Roman" w:hAnsi="Arial" w:cs="Arial"/>
          <w:color w:val="000000" w:themeColor="text1"/>
          <w:sz w:val="22"/>
          <w:lang w:eastAsia="es-CO"/>
        </w:rPr>
      </w:pPr>
      <w:r w:rsidRPr="7FF3A4C8">
        <w:rPr>
          <w:rFonts w:ascii="Arial" w:eastAsia="Times New Roman" w:hAnsi="Arial" w:cs="Arial"/>
          <w:color w:val="000000" w:themeColor="text1"/>
          <w:sz w:val="22"/>
          <w:lang w:eastAsia="es-CO"/>
        </w:rPr>
        <w:t>Atentamente,</w:t>
      </w:r>
    </w:p>
    <w:bookmarkEnd w:id="0"/>
    <w:bookmarkEnd w:id="1"/>
    <w:p w14:paraId="396EFAEB" w14:textId="0B8A4D37" w:rsidR="00525DE4" w:rsidRDefault="00C121D7" w:rsidP="00525DE4">
      <w:pPr>
        <w:jc w:val="center"/>
      </w:pPr>
      <w:r>
        <w:rPr>
          <w:noProof/>
        </w:rPr>
        <w:drawing>
          <wp:inline distT="0" distB="0" distL="0" distR="0" wp14:anchorId="53C0E942" wp14:editId="487EDB4F">
            <wp:extent cx="2773144" cy="988695"/>
            <wp:effectExtent l="0" t="0" r="0" b="0"/>
            <wp:docPr id="11276816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19CEA40" w14:textId="77777777" w:rsidR="00525DE4" w:rsidRPr="006C15D5" w:rsidRDefault="00525DE4" w:rsidP="00525DE4">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5DE4" w:rsidRPr="003F6D32" w14:paraId="01A39CA0" w14:textId="77777777" w:rsidTr="004562E7">
        <w:trPr>
          <w:trHeight w:val="315"/>
        </w:trPr>
        <w:tc>
          <w:tcPr>
            <w:tcW w:w="812" w:type="dxa"/>
            <w:vAlign w:val="center"/>
            <w:hideMark/>
          </w:tcPr>
          <w:p w14:paraId="2BD39422"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EE6B1FE" w14:textId="77777777" w:rsidR="00525DE4" w:rsidRPr="006C15D5" w:rsidRDefault="00525DE4" w:rsidP="004562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David Castellanos Carreño</w:t>
            </w:r>
          </w:p>
          <w:p w14:paraId="23474EB8"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525DE4" w:rsidRPr="003F6D32" w14:paraId="4A4CD513" w14:textId="77777777" w:rsidTr="004562E7">
        <w:trPr>
          <w:trHeight w:val="330"/>
        </w:trPr>
        <w:tc>
          <w:tcPr>
            <w:tcW w:w="812" w:type="dxa"/>
            <w:vAlign w:val="center"/>
            <w:hideMark/>
          </w:tcPr>
          <w:p w14:paraId="7CBC46F1"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DFA7AD2" w14:textId="1824DA46" w:rsidR="00525DE4" w:rsidRPr="006C15D5" w:rsidRDefault="001A326F" w:rsidP="004562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6D46A5A0" w14:textId="58D65F28" w:rsidR="00525DE4" w:rsidRPr="006C15D5" w:rsidRDefault="001A326F" w:rsidP="004562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525DE4"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525DE4" w:rsidRPr="006C15D5">
              <w:rPr>
                <w:rFonts w:ascii="Arial" w:eastAsia="Times New Roman" w:hAnsi="Arial" w:cs="Arial"/>
                <w:color w:val="000000" w:themeColor="text1"/>
                <w:sz w:val="16"/>
                <w:szCs w:val="16"/>
                <w:lang w:eastAsia="es-ES"/>
              </w:rPr>
              <w:t xml:space="preserve"> de Gestión Contractual</w:t>
            </w:r>
          </w:p>
        </w:tc>
      </w:tr>
      <w:tr w:rsidR="00525DE4" w:rsidRPr="003F6D32" w14:paraId="064E098F" w14:textId="77777777" w:rsidTr="004562E7">
        <w:trPr>
          <w:trHeight w:val="300"/>
        </w:trPr>
        <w:tc>
          <w:tcPr>
            <w:tcW w:w="812" w:type="dxa"/>
            <w:vAlign w:val="center"/>
            <w:hideMark/>
          </w:tcPr>
          <w:p w14:paraId="00970DC0"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F73C0B"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50C73BCD" w14:textId="77777777" w:rsidR="00525DE4" w:rsidRPr="006C15D5" w:rsidRDefault="00525DE4" w:rsidP="004562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85A31AB" w14:textId="77777777" w:rsidR="006C5955" w:rsidRPr="00525DE4" w:rsidRDefault="006C5955" w:rsidP="00525DE4"/>
    <w:sectPr w:rsidR="006C5955" w:rsidRPr="00525DE4" w:rsidSect="00AC43E7">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CEE34" w14:textId="77777777" w:rsidR="00A507A2" w:rsidRDefault="00A507A2" w:rsidP="008C487C">
      <w:r>
        <w:separator/>
      </w:r>
    </w:p>
  </w:endnote>
  <w:endnote w:type="continuationSeparator" w:id="0">
    <w:p w14:paraId="3436550B" w14:textId="77777777" w:rsidR="00A507A2" w:rsidRDefault="00A507A2"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7B77C0" w:rsidRDefault="007B77C0" w:rsidP="007800DB">
    <w:pPr>
      <w:pStyle w:val="Sinespaciado"/>
      <w:rPr>
        <w:rFonts w:ascii="Arial" w:hAnsi="Arial" w:cs="Arial"/>
        <w:sz w:val="18"/>
        <w:szCs w:val="18"/>
      </w:rPr>
    </w:pPr>
  </w:p>
  <w:p w14:paraId="3D3EB348" w14:textId="2F9D4DE8" w:rsidR="007B77C0" w:rsidRPr="008217B7" w:rsidRDefault="007B77C0"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2</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15</w:t>
    </w:r>
  </w:p>
  <w:p w14:paraId="29709EEF" w14:textId="77777777" w:rsidR="007B77C0" w:rsidRDefault="216AB784" w:rsidP="00AC43E7">
    <w:pPr>
      <w:pStyle w:val="Piedepgina"/>
      <w:jc w:val="center"/>
      <w:rPr>
        <w:lang w:val="es-ES"/>
      </w:rPr>
    </w:pPr>
    <w:r>
      <w:rPr>
        <w:noProof/>
      </w:rPr>
      <w:drawing>
        <wp:inline distT="0" distB="0" distL="0" distR="0" wp14:anchorId="0323F87D" wp14:editId="0CC281C4">
          <wp:extent cx="3700130" cy="519139"/>
          <wp:effectExtent l="0" t="0" r="0" b="0"/>
          <wp:docPr id="20910838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B77C0" w:rsidRPr="00E756AC" w:rsidRDefault="007B77C0" w:rsidP="007800DB">
    <w:pPr>
      <w:pStyle w:val="Piedepgina"/>
      <w:rPr>
        <w:sz w:val="18"/>
        <w:szCs w:val="18"/>
        <w:lang w:val="es-ES"/>
      </w:rPr>
    </w:pPr>
  </w:p>
  <w:p w14:paraId="428179B1" w14:textId="77777777" w:rsidR="007B77C0" w:rsidRPr="00E756AC" w:rsidRDefault="007B77C0"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F933F" w14:textId="77777777" w:rsidR="00A507A2" w:rsidRDefault="00A507A2" w:rsidP="008C487C">
      <w:r>
        <w:separator/>
      </w:r>
    </w:p>
  </w:footnote>
  <w:footnote w:type="continuationSeparator" w:id="0">
    <w:p w14:paraId="3A92F3BA" w14:textId="77777777" w:rsidR="00A507A2" w:rsidRDefault="00A507A2" w:rsidP="008C487C">
      <w:r>
        <w:continuationSeparator/>
      </w:r>
    </w:p>
  </w:footnote>
  <w:footnote w:id="1">
    <w:p w14:paraId="3B2115AB" w14:textId="77777777" w:rsidR="00525DE4" w:rsidRPr="00CB613A" w:rsidRDefault="00525DE4" w:rsidP="00CB613A">
      <w:pPr>
        <w:pStyle w:val="Textonotapie"/>
        <w:ind w:firstLine="709"/>
        <w:jc w:val="both"/>
        <w:rPr>
          <w:rFonts w:ascii="Arial" w:hAnsi="Arial" w:cs="Arial"/>
          <w:color w:val="000000" w:themeColor="text1"/>
          <w:sz w:val="19"/>
          <w:szCs w:val="19"/>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MEDINA LÓPEZ, Diego Eduardo. El derecho de los jueces: obligatoriedad del precedente constitucional, análisis de sentencias y líneas jurisprudenciales y teoría del derecho judicial. Bogotá: Legis, 2006.</w:t>
      </w:r>
    </w:p>
    <w:p w14:paraId="7F490A3F" w14:textId="77777777" w:rsidR="00525DE4" w:rsidRPr="00CB613A" w:rsidRDefault="00525DE4" w:rsidP="00CB613A">
      <w:pPr>
        <w:pStyle w:val="Textonotapie"/>
        <w:ind w:firstLine="709"/>
        <w:jc w:val="both"/>
        <w:rPr>
          <w:rFonts w:ascii="Arial" w:hAnsi="Arial" w:cs="Arial"/>
          <w:color w:val="000000" w:themeColor="text1"/>
          <w:sz w:val="19"/>
          <w:szCs w:val="19"/>
        </w:rPr>
      </w:pPr>
    </w:p>
  </w:footnote>
  <w:footnote w:id="2">
    <w:p w14:paraId="301B1DE1" w14:textId="6A284CE2" w:rsidR="00525DE4" w:rsidRPr="00CB613A" w:rsidRDefault="00525DE4" w:rsidP="00CB613A">
      <w:pPr>
        <w:pStyle w:val="Textonotapie"/>
        <w:ind w:firstLine="709"/>
        <w:jc w:val="both"/>
        <w:rPr>
          <w:rFonts w:ascii="Arial" w:hAnsi="Arial" w:cs="Arial"/>
          <w:color w:val="000000" w:themeColor="text1"/>
          <w:sz w:val="19"/>
          <w:szCs w:val="19"/>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p w14:paraId="1B56187B" w14:textId="77777777" w:rsidR="00525DE4" w:rsidRPr="00CB613A" w:rsidRDefault="00525DE4" w:rsidP="00CB613A">
      <w:pPr>
        <w:pStyle w:val="Textonotapie"/>
        <w:ind w:firstLine="709"/>
        <w:jc w:val="both"/>
        <w:rPr>
          <w:rFonts w:ascii="Arial" w:hAnsi="Arial" w:cs="Arial"/>
          <w:color w:val="000000" w:themeColor="text1"/>
          <w:sz w:val="19"/>
          <w:szCs w:val="19"/>
        </w:rPr>
      </w:pPr>
    </w:p>
  </w:footnote>
  <w:footnote w:id="3">
    <w:p w14:paraId="50F5F50F" w14:textId="77777777" w:rsidR="00525DE4" w:rsidRPr="00953C82" w:rsidRDefault="00525DE4" w:rsidP="00CB613A">
      <w:pPr>
        <w:pStyle w:val="Textonotapie"/>
        <w:ind w:firstLine="709"/>
        <w:jc w:val="both"/>
        <w:rPr>
          <w:rFonts w:ascii="Arial" w:hAnsi="Arial" w:cs="Arial"/>
          <w:color w:val="000000" w:themeColor="text1"/>
          <w:sz w:val="19"/>
          <w:szCs w:val="19"/>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CONSEJO DE ESTADO. Sección Tercera. Auto del 20 de agosto de 1998. Exp. 14.202.  C.P. Juan de Dios Montes Bermúdez. </w:t>
      </w:r>
    </w:p>
  </w:footnote>
  <w:footnote w:id="4">
    <w:p w14:paraId="06C71A24" w14:textId="77777777" w:rsidR="00525DE4" w:rsidRPr="00953C82" w:rsidRDefault="00525DE4" w:rsidP="00953C82">
      <w:pPr>
        <w:pStyle w:val="Textonotapie"/>
        <w:ind w:firstLine="709"/>
        <w:jc w:val="both"/>
        <w:rPr>
          <w:rFonts w:ascii="Arial" w:hAnsi="Arial" w:cs="Arial"/>
          <w:color w:val="000000" w:themeColor="text1"/>
          <w:sz w:val="19"/>
          <w:szCs w:val="19"/>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w:t>
      </w:r>
      <w:bookmarkStart w:id="7" w:name="66"/>
      <w:r w:rsidRPr="00953C82">
        <w:rPr>
          <w:rFonts w:ascii="Arial" w:hAnsi="Arial" w:cs="Arial"/>
          <w:color w:val="000000" w:themeColor="text1"/>
          <w:sz w:val="19"/>
          <w:szCs w:val="19"/>
        </w:rPr>
        <w:t>«Artículo 66. Medidas especiales de contratación.</w:t>
      </w:r>
      <w:bookmarkEnd w:id="7"/>
      <w:r w:rsidRPr="00953C82">
        <w:rPr>
          <w:rFonts w:ascii="Arial" w:hAnsi="Arial" w:cs="Arial"/>
          <w:color w:val="000000" w:themeColor="text1"/>
          <w:sz w:val="19"/>
          <w:szCs w:val="19"/>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953C82">
          <w:rPr>
            <w:rStyle w:val="Hipervnculo"/>
            <w:rFonts w:ascii="Arial" w:hAnsi="Arial" w:cs="Arial"/>
            <w:color w:val="000000" w:themeColor="text1"/>
            <w:sz w:val="19"/>
            <w:szCs w:val="19"/>
            <w:u w:val="none"/>
          </w:rPr>
          <w:t>13</w:t>
        </w:r>
      </w:hyperlink>
      <w:r w:rsidRPr="00953C82">
        <w:rPr>
          <w:rFonts w:ascii="Arial" w:hAnsi="Arial" w:cs="Arial"/>
          <w:color w:val="000000" w:themeColor="text1"/>
          <w:sz w:val="19"/>
          <w:szCs w:val="19"/>
        </w:rPr>
        <w:t> de la Ley 1150 de 2007, y podrán contemplar cláusulas excepcionales de conformidad con lo dispuesto en los artículos </w:t>
      </w:r>
      <w:hyperlink r:id="rId2" w:anchor="14" w:history="1">
        <w:r w:rsidRPr="00953C82">
          <w:rPr>
            <w:rStyle w:val="Hipervnculo"/>
            <w:rFonts w:ascii="Arial" w:hAnsi="Arial" w:cs="Arial"/>
            <w:color w:val="000000" w:themeColor="text1"/>
            <w:sz w:val="19"/>
            <w:szCs w:val="19"/>
            <w:u w:val="none"/>
          </w:rPr>
          <w:t>14</w:t>
        </w:r>
      </w:hyperlink>
      <w:r w:rsidRPr="00953C82">
        <w:rPr>
          <w:rFonts w:ascii="Arial" w:hAnsi="Arial" w:cs="Arial"/>
          <w:color w:val="000000" w:themeColor="text1"/>
          <w:sz w:val="19"/>
          <w:szCs w:val="19"/>
        </w:rPr>
        <w:t> a </w:t>
      </w:r>
      <w:hyperlink r:id="rId3" w:anchor="18" w:history="1">
        <w:r w:rsidRPr="00953C82">
          <w:rPr>
            <w:rStyle w:val="Hipervnculo"/>
            <w:rFonts w:ascii="Arial" w:hAnsi="Arial" w:cs="Arial"/>
            <w:color w:val="000000" w:themeColor="text1"/>
            <w:sz w:val="19"/>
            <w:szCs w:val="19"/>
            <w:u w:val="none"/>
          </w:rPr>
          <w:t>18</w:t>
        </w:r>
      </w:hyperlink>
      <w:r w:rsidRPr="00953C82">
        <w:rPr>
          <w:rFonts w:ascii="Arial" w:hAnsi="Arial" w:cs="Arial"/>
          <w:color w:val="000000" w:themeColor="text1"/>
          <w:sz w:val="19"/>
          <w:szCs w:val="19"/>
        </w:rPr>
        <w:t> de la Ley 80 de 1993.</w:t>
      </w:r>
    </w:p>
    <w:p w14:paraId="1F429AD1" w14:textId="07A75B06" w:rsidR="00525DE4" w:rsidRPr="00953C82" w:rsidRDefault="00525DE4" w:rsidP="00953C82">
      <w:pPr>
        <w:pStyle w:val="NormalWeb"/>
        <w:ind w:firstLine="708"/>
        <w:jc w:val="both"/>
        <w:rPr>
          <w:rFonts w:ascii="Arial" w:hAnsi="Arial" w:cs="Arial"/>
          <w:color w:val="000000" w:themeColor="text1"/>
          <w:sz w:val="19"/>
          <w:szCs w:val="19"/>
        </w:rPr>
      </w:pPr>
      <w:r w:rsidRPr="00953C82">
        <w:rPr>
          <w:rStyle w:val="baj"/>
          <w:rFonts w:ascii="Arial" w:hAnsi="Arial" w:cs="Arial"/>
          <w:color w:val="000000" w:themeColor="text1"/>
          <w:sz w:val="19"/>
          <w:szCs w:val="19"/>
        </w:rPr>
        <w:t>» PARÁGRAFO.</w:t>
      </w:r>
      <w:r w:rsidRPr="00953C82">
        <w:rPr>
          <w:rFonts w:ascii="Arial" w:hAnsi="Arial" w:cs="Arial"/>
          <w:color w:val="000000" w:themeColor="text1"/>
          <w:sz w:val="19"/>
          <w:szCs w:val="19"/>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953C82">
          <w:rPr>
            <w:rStyle w:val="Hipervnculo"/>
            <w:rFonts w:ascii="Arial" w:hAnsi="Arial" w:cs="Arial"/>
            <w:color w:val="000000" w:themeColor="text1"/>
            <w:sz w:val="19"/>
            <w:szCs w:val="19"/>
            <w:u w:val="none"/>
          </w:rPr>
          <w:t>42</w:t>
        </w:r>
      </w:hyperlink>
      <w:r w:rsidRPr="00953C82">
        <w:rPr>
          <w:rFonts w:ascii="Arial" w:hAnsi="Arial" w:cs="Arial"/>
          <w:color w:val="000000" w:themeColor="text1"/>
          <w:sz w:val="19"/>
          <w:szCs w:val="19"/>
        </w:rPr>
        <w:t> y </w:t>
      </w:r>
      <w:hyperlink r:id="rId5" w:anchor="43" w:history="1">
        <w:r w:rsidRPr="00953C82">
          <w:rPr>
            <w:rStyle w:val="Hipervnculo"/>
            <w:rFonts w:ascii="Arial" w:hAnsi="Arial" w:cs="Arial"/>
            <w:color w:val="000000" w:themeColor="text1"/>
            <w:sz w:val="19"/>
            <w:szCs w:val="19"/>
            <w:u w:val="none"/>
          </w:rPr>
          <w:t>43</w:t>
        </w:r>
      </w:hyperlink>
      <w:r w:rsidRPr="00953C82">
        <w:rPr>
          <w:rFonts w:ascii="Arial" w:hAnsi="Arial" w:cs="Arial"/>
          <w:color w:val="000000" w:themeColor="text1"/>
          <w:sz w:val="19"/>
          <w:szCs w:val="19"/>
        </w:rPr>
        <w:t> de la Ley 80 de 1993 y demás normas que la modifiquen».</w:t>
      </w:r>
    </w:p>
  </w:footnote>
  <w:footnote w:id="5">
    <w:p w14:paraId="5939FF31" w14:textId="46A092E1" w:rsidR="00525DE4" w:rsidRPr="00953C82" w:rsidRDefault="00525DE4" w:rsidP="00953C82">
      <w:pPr>
        <w:pStyle w:val="Textonotapie"/>
        <w:ind w:firstLine="708"/>
        <w:jc w:val="both"/>
        <w:rPr>
          <w:rFonts w:ascii="Arial" w:hAnsi="Arial" w:cs="Arial"/>
          <w:color w:val="000000" w:themeColor="text1"/>
          <w:sz w:val="19"/>
          <w:szCs w:val="19"/>
          <w:lang w:val="es-CO"/>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Consejo de Estado. Sala de Consulta y Servicio Civil. Concepto del 27 de agosto de 1998, radicación No. 1.127, M.P. Javier Henao Hidrón; y </w:t>
      </w:r>
      <w:r w:rsidRPr="00953C82">
        <w:rPr>
          <w:rFonts w:ascii="Arial" w:hAnsi="Arial" w:cs="Arial"/>
          <w:color w:val="000000" w:themeColor="text1"/>
          <w:sz w:val="19"/>
          <w:szCs w:val="19"/>
          <w:lang w:val="es-CO"/>
        </w:rPr>
        <w:t>concepto del 6 de abril de 2000. Radicación No. 1.263, M.P. Flavio Augusto Rodriguez Arce</w:t>
      </w:r>
    </w:p>
    <w:p w14:paraId="20FFEEA4" w14:textId="77777777" w:rsidR="00525DE4" w:rsidRPr="00953C82" w:rsidRDefault="00525DE4" w:rsidP="00953C82">
      <w:pPr>
        <w:pStyle w:val="Textonotapie"/>
        <w:jc w:val="both"/>
        <w:rPr>
          <w:rFonts w:ascii="Arial" w:hAnsi="Arial" w:cs="Arial"/>
          <w:color w:val="000000" w:themeColor="text1"/>
          <w:sz w:val="19"/>
          <w:szCs w:val="19"/>
        </w:rPr>
      </w:pPr>
    </w:p>
  </w:footnote>
  <w:footnote w:id="6">
    <w:p w14:paraId="1572DC60" w14:textId="77777777" w:rsidR="00525DE4" w:rsidRPr="00953C82" w:rsidRDefault="00525DE4" w:rsidP="00953C82">
      <w:pPr>
        <w:pStyle w:val="Textonotapie"/>
        <w:ind w:firstLine="709"/>
        <w:jc w:val="both"/>
        <w:rPr>
          <w:rFonts w:ascii="Arial" w:hAnsi="Arial" w:cs="Arial"/>
          <w:color w:val="000000" w:themeColor="text1"/>
          <w:sz w:val="19"/>
          <w:szCs w:val="19"/>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Ministerio de Salud y la Protección Social. Concepto del 16 de agosto de 2019. Expediente No. 201942301304712. </w:t>
      </w:r>
    </w:p>
    <w:p w14:paraId="727D1DB2" w14:textId="77777777" w:rsidR="00525DE4" w:rsidRPr="00953C82" w:rsidRDefault="00525DE4" w:rsidP="00953C82">
      <w:pPr>
        <w:pStyle w:val="Textonotapie"/>
        <w:ind w:firstLine="709"/>
        <w:jc w:val="both"/>
        <w:rPr>
          <w:rFonts w:ascii="Arial" w:hAnsi="Arial" w:cs="Arial"/>
          <w:color w:val="000000" w:themeColor="text1"/>
          <w:sz w:val="19"/>
          <w:szCs w:val="19"/>
        </w:rPr>
      </w:pPr>
    </w:p>
  </w:footnote>
  <w:footnote w:id="7">
    <w:p w14:paraId="44E9392A" w14:textId="19E97B75" w:rsidR="00525DE4" w:rsidRPr="00953C82" w:rsidRDefault="00525DE4" w:rsidP="00953C82">
      <w:pPr>
        <w:pStyle w:val="Textonotapie"/>
        <w:ind w:firstLine="708"/>
        <w:jc w:val="both"/>
        <w:rPr>
          <w:rFonts w:ascii="Arial" w:hAnsi="Arial" w:cs="Arial"/>
          <w:color w:val="000000" w:themeColor="text1"/>
          <w:sz w:val="19"/>
          <w:szCs w:val="19"/>
          <w:lang w:val="es-ES"/>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w:t>
      </w:r>
      <w:r w:rsidRPr="00CB613A">
        <w:rPr>
          <w:rFonts w:ascii="Arial" w:hAnsi="Arial" w:cs="Arial"/>
          <w:color w:val="000000" w:themeColor="text1"/>
          <w:sz w:val="19"/>
          <w:szCs w:val="19"/>
          <w:lang w:val="es-ES"/>
        </w:rPr>
        <w:t xml:space="preserve">Consejo de Estado. Sección Tercera. Subsección “C”. Providencia del 8 de abril de 2014. Expediente No. 25801. M.P. Enrique </w:t>
      </w:r>
      <w:r w:rsidRPr="00953C82">
        <w:rPr>
          <w:rFonts w:ascii="Arial" w:hAnsi="Arial" w:cs="Arial"/>
          <w:color w:val="000000" w:themeColor="text1"/>
          <w:sz w:val="19"/>
          <w:szCs w:val="19"/>
          <w:lang w:val="es-ES"/>
        </w:rPr>
        <w:t>Gil Botero.</w:t>
      </w:r>
    </w:p>
    <w:p w14:paraId="2D32050E" w14:textId="77777777" w:rsidR="00726BF3" w:rsidRPr="00953C82" w:rsidRDefault="00726BF3" w:rsidP="00953C82">
      <w:pPr>
        <w:pStyle w:val="Textonotapie"/>
        <w:ind w:firstLine="708"/>
        <w:jc w:val="both"/>
        <w:rPr>
          <w:rFonts w:ascii="Arial" w:hAnsi="Arial" w:cs="Arial"/>
          <w:color w:val="000000" w:themeColor="text1"/>
          <w:sz w:val="19"/>
          <w:szCs w:val="19"/>
          <w:lang w:val="es-ES"/>
        </w:rPr>
      </w:pPr>
    </w:p>
  </w:footnote>
  <w:footnote w:id="8">
    <w:p w14:paraId="108770B7" w14:textId="48B750A1" w:rsidR="00726BF3" w:rsidRPr="00953C82" w:rsidRDefault="00726BF3" w:rsidP="00953C82">
      <w:pPr>
        <w:pStyle w:val="Textonotapie"/>
        <w:ind w:firstLine="708"/>
        <w:jc w:val="both"/>
        <w:rPr>
          <w:rFonts w:ascii="Arial" w:hAnsi="Arial" w:cs="Arial"/>
          <w:color w:val="000000" w:themeColor="text1"/>
          <w:sz w:val="19"/>
          <w:szCs w:val="19"/>
          <w:lang w:val="es-ES"/>
        </w:rPr>
      </w:pPr>
      <w:r w:rsidRPr="00953C82">
        <w:rPr>
          <w:rStyle w:val="Refdenotaalpie"/>
          <w:rFonts w:ascii="Arial" w:hAnsi="Arial" w:cs="Arial"/>
          <w:sz w:val="19"/>
          <w:szCs w:val="19"/>
        </w:rPr>
        <w:footnoteRef/>
      </w:r>
      <w:r w:rsidRPr="00953C82">
        <w:rPr>
          <w:rFonts w:ascii="Arial" w:hAnsi="Arial" w:cs="Arial"/>
          <w:sz w:val="19"/>
          <w:szCs w:val="19"/>
        </w:rPr>
        <w:t xml:space="preserve"> </w:t>
      </w:r>
      <w:r w:rsidRPr="00CB613A">
        <w:rPr>
          <w:rFonts w:ascii="Arial" w:hAnsi="Arial" w:cs="Arial"/>
          <w:color w:val="000000" w:themeColor="text1"/>
          <w:sz w:val="19"/>
          <w:szCs w:val="19"/>
          <w:lang w:val="es-ES"/>
        </w:rPr>
        <w:t xml:space="preserve">Consejo de Estado. Sección Tercera. Subsección “A”. Providencia del 14 de julio del 2016. Expediente No. </w:t>
      </w:r>
      <w:r w:rsidRPr="00953C82">
        <w:rPr>
          <w:rFonts w:ascii="Arial" w:hAnsi="Arial" w:cs="Arial"/>
          <w:color w:val="000000" w:themeColor="text1"/>
          <w:sz w:val="19"/>
          <w:szCs w:val="19"/>
          <w:lang w:val="es-ES"/>
        </w:rPr>
        <w:t>41001-23-31-000-2002-10569-01(49305). M.P. Marta Nubia Velásquez Rico.</w:t>
      </w:r>
    </w:p>
    <w:p w14:paraId="7466F2A9" w14:textId="280630B6" w:rsidR="00726BF3" w:rsidRPr="00953C82" w:rsidRDefault="00726BF3" w:rsidP="00953C82">
      <w:pPr>
        <w:pStyle w:val="Textonotapie"/>
        <w:ind w:firstLine="708"/>
        <w:jc w:val="both"/>
        <w:rPr>
          <w:rFonts w:ascii="Arial" w:hAnsi="Arial" w:cs="Arial"/>
          <w:sz w:val="19"/>
          <w:szCs w:val="19"/>
          <w:lang w:val="es-ES"/>
        </w:rPr>
      </w:pPr>
    </w:p>
  </w:footnote>
  <w:footnote w:id="9">
    <w:p w14:paraId="4242D1B4" w14:textId="77777777" w:rsidR="00525DE4" w:rsidRPr="00CB613A" w:rsidRDefault="00525DE4" w:rsidP="00CB613A">
      <w:pPr>
        <w:pStyle w:val="Textonotapie"/>
        <w:ind w:firstLine="709"/>
        <w:jc w:val="both"/>
        <w:rPr>
          <w:rFonts w:ascii="Arial" w:hAnsi="Arial" w:cs="Arial"/>
          <w:color w:val="000000" w:themeColor="text1"/>
          <w:sz w:val="19"/>
          <w:szCs w:val="19"/>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CONSEJO DE ESTADO. Sección Tercera. Subsección A. Sentencia del 24 de octubre de 2016. Exp. 45.607. C.P. Marta Nubia Velásquez Rico.</w:t>
      </w:r>
    </w:p>
    <w:p w14:paraId="1873D13E" w14:textId="77777777" w:rsidR="00525DE4" w:rsidRPr="00CB613A" w:rsidRDefault="00525DE4" w:rsidP="00CB613A">
      <w:pPr>
        <w:pStyle w:val="Textonotapie"/>
        <w:ind w:firstLine="709"/>
        <w:jc w:val="both"/>
        <w:rPr>
          <w:rFonts w:ascii="Arial" w:hAnsi="Arial" w:cs="Arial"/>
          <w:color w:val="000000" w:themeColor="text1"/>
          <w:sz w:val="19"/>
          <w:szCs w:val="19"/>
          <w:lang w:val="es-ES"/>
        </w:rPr>
      </w:pPr>
    </w:p>
  </w:footnote>
  <w:footnote w:id="10">
    <w:p w14:paraId="2E2EEBC0" w14:textId="77777777" w:rsidR="00525DE4" w:rsidRPr="00953C82" w:rsidRDefault="00525DE4" w:rsidP="00CB613A">
      <w:pPr>
        <w:pStyle w:val="Textonotapie"/>
        <w:ind w:firstLine="708"/>
        <w:jc w:val="both"/>
        <w:rPr>
          <w:rFonts w:ascii="Arial" w:hAnsi="Arial" w:cs="Arial"/>
          <w:color w:val="000000" w:themeColor="text1"/>
          <w:sz w:val="19"/>
          <w:szCs w:val="19"/>
          <w:lang w:val="es-ES"/>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HINESTROSA FORERO, Fernando. Tratado de las Obligaciones II. De las fuentes de las obligaciones: el negocio jurídico. Volumen I. Bogotá: Universidad Externado de Colombia, 2015. p. 116.  </w:t>
      </w:r>
    </w:p>
  </w:footnote>
  <w:footnote w:id="11">
    <w:p w14:paraId="7FB5B552" w14:textId="669629BF" w:rsidR="005B0522" w:rsidRPr="00953C82" w:rsidRDefault="005B0522" w:rsidP="00953C82">
      <w:pPr>
        <w:pStyle w:val="Textonotapie"/>
        <w:ind w:firstLine="708"/>
        <w:jc w:val="both"/>
        <w:rPr>
          <w:rFonts w:ascii="Arial" w:hAnsi="Arial" w:cs="Arial"/>
          <w:sz w:val="19"/>
          <w:szCs w:val="19"/>
        </w:rPr>
      </w:pPr>
      <w:r w:rsidRPr="00953C82">
        <w:rPr>
          <w:rStyle w:val="Refdenotaalpie"/>
          <w:rFonts w:ascii="Arial" w:hAnsi="Arial" w:cs="Arial"/>
          <w:sz w:val="19"/>
          <w:szCs w:val="19"/>
        </w:rPr>
        <w:footnoteRef/>
      </w:r>
      <w:r w:rsidRPr="00953C82">
        <w:rPr>
          <w:rFonts w:ascii="Arial" w:hAnsi="Arial" w:cs="Arial"/>
          <w:sz w:val="19"/>
          <w:szCs w:val="19"/>
        </w:rPr>
        <w:t xml:space="preserve"> Cfr. Colombia Compra Eficiente. Subdirección de Gestión Contractual. Concepto C-362 del 3 de julio de 2020. Pág. 9.</w:t>
      </w:r>
    </w:p>
    <w:p w14:paraId="29CC681E" w14:textId="77777777" w:rsidR="005B0522" w:rsidRPr="00953C82" w:rsidRDefault="005B0522" w:rsidP="00953C82">
      <w:pPr>
        <w:pStyle w:val="Textonotapie"/>
        <w:ind w:firstLine="708"/>
        <w:jc w:val="both"/>
        <w:rPr>
          <w:rFonts w:ascii="Arial" w:hAnsi="Arial" w:cs="Arial"/>
          <w:sz w:val="19"/>
          <w:szCs w:val="19"/>
        </w:rPr>
      </w:pPr>
    </w:p>
  </w:footnote>
  <w:footnote w:id="12">
    <w:p w14:paraId="7C1D340A" w14:textId="7F237436" w:rsidR="005B0522" w:rsidRPr="00953C82" w:rsidRDefault="005B0522" w:rsidP="00953C82">
      <w:pPr>
        <w:pStyle w:val="Textonotapie"/>
        <w:ind w:firstLine="708"/>
        <w:jc w:val="both"/>
        <w:rPr>
          <w:rFonts w:ascii="Arial" w:hAnsi="Arial" w:cs="Arial"/>
          <w:sz w:val="19"/>
          <w:szCs w:val="19"/>
        </w:rPr>
      </w:pPr>
      <w:r w:rsidRPr="00953C82">
        <w:rPr>
          <w:rStyle w:val="Refdenotaalpie"/>
          <w:rFonts w:ascii="Arial" w:hAnsi="Arial" w:cs="Arial"/>
          <w:sz w:val="19"/>
          <w:szCs w:val="19"/>
        </w:rPr>
        <w:footnoteRef/>
      </w:r>
      <w:r w:rsidRPr="00953C82">
        <w:rPr>
          <w:rFonts w:ascii="Arial" w:hAnsi="Arial" w:cs="Arial"/>
          <w:sz w:val="19"/>
          <w:szCs w:val="19"/>
        </w:rPr>
        <w:t xml:space="preserve"> Ibíd. </w:t>
      </w:r>
    </w:p>
  </w:footnote>
  <w:footnote w:id="13">
    <w:p w14:paraId="5916EF61" w14:textId="77777777" w:rsidR="00525DE4" w:rsidRPr="00CB613A" w:rsidRDefault="00525DE4" w:rsidP="00CB613A">
      <w:pPr>
        <w:pStyle w:val="Textonotapie"/>
        <w:ind w:firstLine="708"/>
        <w:jc w:val="both"/>
        <w:rPr>
          <w:rFonts w:ascii="Arial" w:hAnsi="Arial" w:cs="Arial"/>
          <w:color w:val="000000" w:themeColor="text1"/>
          <w:sz w:val="19"/>
          <w:szCs w:val="19"/>
        </w:rPr>
      </w:pPr>
      <w:r w:rsidRPr="00CB613A">
        <w:rPr>
          <w:rStyle w:val="Refdenotaalpie"/>
          <w:rFonts w:ascii="Arial" w:hAnsi="Arial" w:cs="Arial"/>
          <w:color w:val="000000" w:themeColor="text1"/>
          <w:sz w:val="19"/>
          <w:szCs w:val="19"/>
        </w:rPr>
        <w:footnoteRef/>
      </w:r>
      <w:r w:rsidRPr="00CB613A">
        <w:rPr>
          <w:rFonts w:ascii="Arial" w:hAnsi="Arial" w:cs="Arial"/>
          <w:color w:val="000000" w:themeColor="text1"/>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5FEA32C7" w14:textId="303E94D9" w:rsidR="00525DE4" w:rsidRPr="00953C82" w:rsidRDefault="00525DE4" w:rsidP="00953C82">
      <w:pPr>
        <w:pStyle w:val="Textonotapie"/>
        <w:ind w:firstLine="708"/>
        <w:jc w:val="both"/>
        <w:rPr>
          <w:rFonts w:ascii="Arial" w:hAnsi="Arial" w:cs="Arial"/>
          <w:color w:val="000000" w:themeColor="text1"/>
          <w:sz w:val="19"/>
          <w:szCs w:val="19"/>
        </w:rPr>
      </w:pPr>
      <w:r w:rsidRPr="00953C82">
        <w:rPr>
          <w:rFonts w:ascii="Arial" w:hAnsi="Arial" w:cs="Arial"/>
          <w:color w:val="000000" w:themeColor="text1"/>
          <w:sz w:val="19"/>
          <w:szCs w:val="19"/>
        </w:rPr>
        <w:t xml:space="preserve">» 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36AAF4A1" w14:textId="3C14C590" w:rsidR="00525DE4" w:rsidRPr="00953C82" w:rsidRDefault="00525DE4" w:rsidP="00953C82">
      <w:pPr>
        <w:pStyle w:val="Textonotapie"/>
        <w:ind w:firstLine="708"/>
        <w:jc w:val="both"/>
        <w:rPr>
          <w:rFonts w:ascii="Arial" w:hAnsi="Arial" w:cs="Arial"/>
          <w:color w:val="000000" w:themeColor="text1"/>
          <w:sz w:val="19"/>
          <w:szCs w:val="19"/>
          <w:lang w:val="es-CO"/>
        </w:rPr>
      </w:pPr>
      <w:r w:rsidRPr="00953C82">
        <w:rPr>
          <w:rFonts w:ascii="Arial" w:hAnsi="Arial" w:cs="Arial"/>
          <w:color w:val="000000" w:themeColor="text1"/>
          <w:sz w:val="19"/>
          <w:szCs w:val="19"/>
        </w:rPr>
        <w:t>» 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4">
    <w:p w14:paraId="57779363" w14:textId="77777777" w:rsidR="00525DE4" w:rsidRPr="00953C82" w:rsidRDefault="00525DE4" w:rsidP="00953C82">
      <w:pPr>
        <w:pStyle w:val="Textonotapie"/>
        <w:ind w:firstLine="708"/>
        <w:jc w:val="both"/>
        <w:rPr>
          <w:rFonts w:ascii="Arial" w:hAnsi="Arial" w:cs="Arial"/>
          <w:color w:val="000000" w:themeColor="text1"/>
          <w:sz w:val="19"/>
          <w:szCs w:val="19"/>
          <w:lang w:val="es-ES"/>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HINESTROSA FORERO, Fernando. Tratado de las Obligaciones II. De las fuentes de las obligaciones: el negocio jurídico. Volumen I. Bogotá: Universidad Externado de Colombia, 2015. p. 116.  </w:t>
      </w:r>
    </w:p>
  </w:footnote>
  <w:footnote w:id="15">
    <w:p w14:paraId="215E2112" w14:textId="77777777" w:rsidR="00525DE4" w:rsidRPr="00953C82" w:rsidRDefault="00525DE4" w:rsidP="00953C82">
      <w:pPr>
        <w:pStyle w:val="Textonotapie"/>
        <w:jc w:val="both"/>
        <w:rPr>
          <w:rFonts w:ascii="Arial" w:hAnsi="Arial" w:cs="Arial"/>
          <w:color w:val="000000" w:themeColor="text1"/>
          <w:sz w:val="19"/>
          <w:szCs w:val="19"/>
          <w:lang w:val="es-ES"/>
        </w:rPr>
      </w:pPr>
      <w:r w:rsidRPr="00953C82">
        <w:rPr>
          <w:rStyle w:val="Refdenotaalpie"/>
          <w:rFonts w:ascii="Arial" w:hAnsi="Arial" w:cs="Arial"/>
          <w:color w:val="000000" w:themeColor="text1"/>
          <w:sz w:val="19"/>
          <w:szCs w:val="19"/>
        </w:rPr>
        <w:footnoteRef/>
      </w:r>
      <w:r w:rsidRPr="00953C82">
        <w:rPr>
          <w:rFonts w:ascii="Arial" w:hAnsi="Arial" w:cs="Arial"/>
          <w:color w:val="000000" w:themeColor="text1"/>
          <w:sz w:val="19"/>
          <w:szCs w:val="19"/>
        </w:rPr>
        <w:t xml:space="preserve"> </w:t>
      </w:r>
      <w:r w:rsidRPr="00953C82">
        <w:rPr>
          <w:rFonts w:ascii="Arial" w:hAnsi="Arial" w:cs="Arial"/>
          <w:color w:val="000000" w:themeColor="text1"/>
          <w:sz w:val="19"/>
          <w:szCs w:val="19"/>
          <w:lang w:val="es-ES"/>
        </w:rPr>
        <w:t>Ley 1438 de 2011. Artículo 17. Manuales del Contratación. Las Empresas Sociales del Estado expedirán el manual de contratación mediante el cual se determinan los temas administrativos del manejo de la contratación, los procesos y procedimientos, así como las áreas o personas que intervienen en las distintas fases de la contratación y en la vigilancia y ejecución del negocio jurídico, así como los responsables de atender las dudas sobre la aplicación del estatuto y el manual de contratación de la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B77C0" w:rsidRDefault="007B77C0">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10D30"/>
    <w:rsid w:val="00023057"/>
    <w:rsid w:val="00024771"/>
    <w:rsid w:val="0003091B"/>
    <w:rsid w:val="000333A2"/>
    <w:rsid w:val="000348E9"/>
    <w:rsid w:val="00036E73"/>
    <w:rsid w:val="000406A4"/>
    <w:rsid w:val="00040C88"/>
    <w:rsid w:val="00040D6E"/>
    <w:rsid w:val="00041F5E"/>
    <w:rsid w:val="00042C0C"/>
    <w:rsid w:val="00043A4D"/>
    <w:rsid w:val="00044FF2"/>
    <w:rsid w:val="00047050"/>
    <w:rsid w:val="00061EE4"/>
    <w:rsid w:val="00062B0D"/>
    <w:rsid w:val="0006519B"/>
    <w:rsid w:val="00086A16"/>
    <w:rsid w:val="00091570"/>
    <w:rsid w:val="00091D8F"/>
    <w:rsid w:val="000929DE"/>
    <w:rsid w:val="000957DB"/>
    <w:rsid w:val="00097CD6"/>
    <w:rsid w:val="000A1DBA"/>
    <w:rsid w:val="000A3B96"/>
    <w:rsid w:val="000A6338"/>
    <w:rsid w:val="000B35C2"/>
    <w:rsid w:val="000C0E39"/>
    <w:rsid w:val="000C3D66"/>
    <w:rsid w:val="000C51AF"/>
    <w:rsid w:val="000C5C37"/>
    <w:rsid w:val="000D088F"/>
    <w:rsid w:val="000D1B38"/>
    <w:rsid w:val="000D579B"/>
    <w:rsid w:val="000E4A3C"/>
    <w:rsid w:val="000E5BB2"/>
    <w:rsid w:val="000E6867"/>
    <w:rsid w:val="000F05AC"/>
    <w:rsid w:val="000F1E3D"/>
    <w:rsid w:val="000F211E"/>
    <w:rsid w:val="000F21F3"/>
    <w:rsid w:val="001056C0"/>
    <w:rsid w:val="00107607"/>
    <w:rsid w:val="00112597"/>
    <w:rsid w:val="0012052F"/>
    <w:rsid w:val="0012074A"/>
    <w:rsid w:val="001321AB"/>
    <w:rsid w:val="00140E57"/>
    <w:rsid w:val="00141C64"/>
    <w:rsid w:val="00142E71"/>
    <w:rsid w:val="0014462B"/>
    <w:rsid w:val="0015466A"/>
    <w:rsid w:val="00163EED"/>
    <w:rsid w:val="00164E79"/>
    <w:rsid w:val="00166C81"/>
    <w:rsid w:val="0017603D"/>
    <w:rsid w:val="00181A3E"/>
    <w:rsid w:val="001865DB"/>
    <w:rsid w:val="00194C50"/>
    <w:rsid w:val="001A326F"/>
    <w:rsid w:val="001B2E5D"/>
    <w:rsid w:val="001B53BD"/>
    <w:rsid w:val="001C2BE4"/>
    <w:rsid w:val="001C751C"/>
    <w:rsid w:val="001D38A0"/>
    <w:rsid w:val="001D499A"/>
    <w:rsid w:val="001D5ECE"/>
    <w:rsid w:val="001E0C3B"/>
    <w:rsid w:val="001E1C6D"/>
    <w:rsid w:val="001E3F37"/>
    <w:rsid w:val="001E44A9"/>
    <w:rsid w:val="001E5745"/>
    <w:rsid w:val="001E5DBB"/>
    <w:rsid w:val="001F1051"/>
    <w:rsid w:val="001F34A8"/>
    <w:rsid w:val="001F40B2"/>
    <w:rsid w:val="001F4B99"/>
    <w:rsid w:val="002034AD"/>
    <w:rsid w:val="00203BF1"/>
    <w:rsid w:val="00203F46"/>
    <w:rsid w:val="00207033"/>
    <w:rsid w:val="00214B14"/>
    <w:rsid w:val="00217339"/>
    <w:rsid w:val="00223024"/>
    <w:rsid w:val="002239B4"/>
    <w:rsid w:val="002277CC"/>
    <w:rsid w:val="00227D08"/>
    <w:rsid w:val="0023008F"/>
    <w:rsid w:val="0023180C"/>
    <w:rsid w:val="00234C6C"/>
    <w:rsid w:val="00247EBA"/>
    <w:rsid w:val="0025095A"/>
    <w:rsid w:val="002520FD"/>
    <w:rsid w:val="00265031"/>
    <w:rsid w:val="00266277"/>
    <w:rsid w:val="002723C7"/>
    <w:rsid w:val="002815EF"/>
    <w:rsid w:val="00284C12"/>
    <w:rsid w:val="00286834"/>
    <w:rsid w:val="00297EDE"/>
    <w:rsid w:val="002A153A"/>
    <w:rsid w:val="002A4424"/>
    <w:rsid w:val="002A6417"/>
    <w:rsid w:val="002B282F"/>
    <w:rsid w:val="002B4B30"/>
    <w:rsid w:val="002B56DF"/>
    <w:rsid w:val="002B79E1"/>
    <w:rsid w:val="002C004E"/>
    <w:rsid w:val="002E320B"/>
    <w:rsid w:val="002E39B1"/>
    <w:rsid w:val="002E7BC2"/>
    <w:rsid w:val="002F2DB4"/>
    <w:rsid w:val="002F63BB"/>
    <w:rsid w:val="002F6C10"/>
    <w:rsid w:val="002F701E"/>
    <w:rsid w:val="00302A9C"/>
    <w:rsid w:val="00302F9F"/>
    <w:rsid w:val="00303EC5"/>
    <w:rsid w:val="00304386"/>
    <w:rsid w:val="0030488C"/>
    <w:rsid w:val="00305349"/>
    <w:rsid w:val="003056B4"/>
    <w:rsid w:val="003401FE"/>
    <w:rsid w:val="00340A7A"/>
    <w:rsid w:val="003417F0"/>
    <w:rsid w:val="00350A47"/>
    <w:rsid w:val="00353C92"/>
    <w:rsid w:val="0036125C"/>
    <w:rsid w:val="00365444"/>
    <w:rsid w:val="00384D92"/>
    <w:rsid w:val="00390DCF"/>
    <w:rsid w:val="00396821"/>
    <w:rsid w:val="003A06BB"/>
    <w:rsid w:val="003A10A4"/>
    <w:rsid w:val="003A2944"/>
    <w:rsid w:val="003B0CFB"/>
    <w:rsid w:val="003B0DEF"/>
    <w:rsid w:val="003C2074"/>
    <w:rsid w:val="003C3ADB"/>
    <w:rsid w:val="003D11B5"/>
    <w:rsid w:val="003D134C"/>
    <w:rsid w:val="003D4FD6"/>
    <w:rsid w:val="003D69A5"/>
    <w:rsid w:val="003E14F9"/>
    <w:rsid w:val="003F3119"/>
    <w:rsid w:val="003F441A"/>
    <w:rsid w:val="003F4578"/>
    <w:rsid w:val="003F6D32"/>
    <w:rsid w:val="003F7BDB"/>
    <w:rsid w:val="004032A6"/>
    <w:rsid w:val="00411760"/>
    <w:rsid w:val="00412BB5"/>
    <w:rsid w:val="00430B5A"/>
    <w:rsid w:val="00431C20"/>
    <w:rsid w:val="0044207D"/>
    <w:rsid w:val="004439E2"/>
    <w:rsid w:val="00447FE5"/>
    <w:rsid w:val="00450EEB"/>
    <w:rsid w:val="004617B8"/>
    <w:rsid w:val="00462A87"/>
    <w:rsid w:val="0046504E"/>
    <w:rsid w:val="00467620"/>
    <w:rsid w:val="00467C7C"/>
    <w:rsid w:val="00467D3E"/>
    <w:rsid w:val="004758FE"/>
    <w:rsid w:val="0047617C"/>
    <w:rsid w:val="00480836"/>
    <w:rsid w:val="004830C8"/>
    <w:rsid w:val="004837AB"/>
    <w:rsid w:val="00483A2F"/>
    <w:rsid w:val="0048602B"/>
    <w:rsid w:val="004873EC"/>
    <w:rsid w:val="00490DBF"/>
    <w:rsid w:val="004A128C"/>
    <w:rsid w:val="004A1C13"/>
    <w:rsid w:val="004A5E72"/>
    <w:rsid w:val="004A6EE1"/>
    <w:rsid w:val="004B07EC"/>
    <w:rsid w:val="004B1BEE"/>
    <w:rsid w:val="004B2AB8"/>
    <w:rsid w:val="004B5B9E"/>
    <w:rsid w:val="004C5006"/>
    <w:rsid w:val="004D1ADE"/>
    <w:rsid w:val="004D770C"/>
    <w:rsid w:val="004E370E"/>
    <w:rsid w:val="004E7EAE"/>
    <w:rsid w:val="004F4387"/>
    <w:rsid w:val="004F5736"/>
    <w:rsid w:val="005018C8"/>
    <w:rsid w:val="00510BF5"/>
    <w:rsid w:val="00510EDC"/>
    <w:rsid w:val="005114A0"/>
    <w:rsid w:val="00513233"/>
    <w:rsid w:val="005145C4"/>
    <w:rsid w:val="00520E4F"/>
    <w:rsid w:val="005210B4"/>
    <w:rsid w:val="00521BA7"/>
    <w:rsid w:val="005252E2"/>
    <w:rsid w:val="00525DE4"/>
    <w:rsid w:val="00535EC1"/>
    <w:rsid w:val="005379AD"/>
    <w:rsid w:val="005511D5"/>
    <w:rsid w:val="00570B45"/>
    <w:rsid w:val="00575DC6"/>
    <w:rsid w:val="00585FB5"/>
    <w:rsid w:val="00590EE1"/>
    <w:rsid w:val="00591586"/>
    <w:rsid w:val="00595363"/>
    <w:rsid w:val="005B0522"/>
    <w:rsid w:val="005B4B69"/>
    <w:rsid w:val="005B7357"/>
    <w:rsid w:val="005C5AA7"/>
    <w:rsid w:val="005C673B"/>
    <w:rsid w:val="005D0D3B"/>
    <w:rsid w:val="005E247C"/>
    <w:rsid w:val="005E4AD6"/>
    <w:rsid w:val="005E4CA9"/>
    <w:rsid w:val="005F072F"/>
    <w:rsid w:val="005F12C4"/>
    <w:rsid w:val="005F5D19"/>
    <w:rsid w:val="005F6CBF"/>
    <w:rsid w:val="00612D14"/>
    <w:rsid w:val="006135E6"/>
    <w:rsid w:val="00614BC8"/>
    <w:rsid w:val="0062459A"/>
    <w:rsid w:val="00632E10"/>
    <w:rsid w:val="00632EA5"/>
    <w:rsid w:val="00632EB5"/>
    <w:rsid w:val="00635CBC"/>
    <w:rsid w:val="006415AF"/>
    <w:rsid w:val="0065701C"/>
    <w:rsid w:val="006604A6"/>
    <w:rsid w:val="00662792"/>
    <w:rsid w:val="00673DB8"/>
    <w:rsid w:val="0068001F"/>
    <w:rsid w:val="006818B6"/>
    <w:rsid w:val="006824B8"/>
    <w:rsid w:val="0068276B"/>
    <w:rsid w:val="0068288E"/>
    <w:rsid w:val="00684CE3"/>
    <w:rsid w:val="00690623"/>
    <w:rsid w:val="00694209"/>
    <w:rsid w:val="006A5883"/>
    <w:rsid w:val="006A7743"/>
    <w:rsid w:val="006B317D"/>
    <w:rsid w:val="006B6C6A"/>
    <w:rsid w:val="006C15D5"/>
    <w:rsid w:val="006C234F"/>
    <w:rsid w:val="006C3D0C"/>
    <w:rsid w:val="006C5955"/>
    <w:rsid w:val="006D3624"/>
    <w:rsid w:val="006D39A8"/>
    <w:rsid w:val="006D519D"/>
    <w:rsid w:val="006F3802"/>
    <w:rsid w:val="006F39D0"/>
    <w:rsid w:val="006F7746"/>
    <w:rsid w:val="007019A8"/>
    <w:rsid w:val="00711157"/>
    <w:rsid w:val="00714800"/>
    <w:rsid w:val="00715B7E"/>
    <w:rsid w:val="0071639B"/>
    <w:rsid w:val="00721C21"/>
    <w:rsid w:val="007229FD"/>
    <w:rsid w:val="00726BF3"/>
    <w:rsid w:val="00730CDB"/>
    <w:rsid w:val="00731403"/>
    <w:rsid w:val="00736C89"/>
    <w:rsid w:val="0074180D"/>
    <w:rsid w:val="0074421C"/>
    <w:rsid w:val="00745744"/>
    <w:rsid w:val="0075032A"/>
    <w:rsid w:val="00763652"/>
    <w:rsid w:val="00764F88"/>
    <w:rsid w:val="007650D8"/>
    <w:rsid w:val="00770D7D"/>
    <w:rsid w:val="00772497"/>
    <w:rsid w:val="007800DB"/>
    <w:rsid w:val="0078072D"/>
    <w:rsid w:val="007902C3"/>
    <w:rsid w:val="00790BB8"/>
    <w:rsid w:val="00791377"/>
    <w:rsid w:val="00791844"/>
    <w:rsid w:val="00791FE0"/>
    <w:rsid w:val="0079596E"/>
    <w:rsid w:val="007A45E7"/>
    <w:rsid w:val="007B4AAA"/>
    <w:rsid w:val="007B650F"/>
    <w:rsid w:val="007B74F6"/>
    <w:rsid w:val="007B77C0"/>
    <w:rsid w:val="007C1F01"/>
    <w:rsid w:val="007D62C7"/>
    <w:rsid w:val="007F1CF7"/>
    <w:rsid w:val="007F2D6D"/>
    <w:rsid w:val="007F4F75"/>
    <w:rsid w:val="007F5F0C"/>
    <w:rsid w:val="007F7AC6"/>
    <w:rsid w:val="00803061"/>
    <w:rsid w:val="008057D4"/>
    <w:rsid w:val="00806F0A"/>
    <w:rsid w:val="00807EEE"/>
    <w:rsid w:val="008135F4"/>
    <w:rsid w:val="00813893"/>
    <w:rsid w:val="0082266E"/>
    <w:rsid w:val="008234E2"/>
    <w:rsid w:val="00823747"/>
    <w:rsid w:val="00824361"/>
    <w:rsid w:val="0082755A"/>
    <w:rsid w:val="0083146F"/>
    <w:rsid w:val="008327EE"/>
    <w:rsid w:val="00833F8E"/>
    <w:rsid w:val="0083539E"/>
    <w:rsid w:val="0083769A"/>
    <w:rsid w:val="00837EBE"/>
    <w:rsid w:val="00842E74"/>
    <w:rsid w:val="00843BE5"/>
    <w:rsid w:val="008535C9"/>
    <w:rsid w:val="00856B64"/>
    <w:rsid w:val="0085787C"/>
    <w:rsid w:val="00860A39"/>
    <w:rsid w:val="00862463"/>
    <w:rsid w:val="00863DD9"/>
    <w:rsid w:val="00865960"/>
    <w:rsid w:val="00866446"/>
    <w:rsid w:val="0086741B"/>
    <w:rsid w:val="00871568"/>
    <w:rsid w:val="00872D25"/>
    <w:rsid w:val="00886E66"/>
    <w:rsid w:val="00886F29"/>
    <w:rsid w:val="0089038F"/>
    <w:rsid w:val="00891A49"/>
    <w:rsid w:val="0089468D"/>
    <w:rsid w:val="00897DAB"/>
    <w:rsid w:val="008A0633"/>
    <w:rsid w:val="008A3386"/>
    <w:rsid w:val="008A53F2"/>
    <w:rsid w:val="008B09B1"/>
    <w:rsid w:val="008C24B6"/>
    <w:rsid w:val="008C487C"/>
    <w:rsid w:val="008C4C28"/>
    <w:rsid w:val="008D0592"/>
    <w:rsid w:val="008D3473"/>
    <w:rsid w:val="008E0FCC"/>
    <w:rsid w:val="008E2FE3"/>
    <w:rsid w:val="008E5698"/>
    <w:rsid w:val="008E5F34"/>
    <w:rsid w:val="008E7D3F"/>
    <w:rsid w:val="008F2267"/>
    <w:rsid w:val="008F3EE2"/>
    <w:rsid w:val="008F5D4C"/>
    <w:rsid w:val="00905B18"/>
    <w:rsid w:val="00905B2F"/>
    <w:rsid w:val="009231E0"/>
    <w:rsid w:val="00923548"/>
    <w:rsid w:val="00925293"/>
    <w:rsid w:val="009275F6"/>
    <w:rsid w:val="00927E2F"/>
    <w:rsid w:val="00930E4B"/>
    <w:rsid w:val="0094508D"/>
    <w:rsid w:val="009506A7"/>
    <w:rsid w:val="0095113A"/>
    <w:rsid w:val="00953C82"/>
    <w:rsid w:val="00954CF5"/>
    <w:rsid w:val="0096646C"/>
    <w:rsid w:val="00967230"/>
    <w:rsid w:val="00972087"/>
    <w:rsid w:val="00972C13"/>
    <w:rsid w:val="009812D7"/>
    <w:rsid w:val="00982E99"/>
    <w:rsid w:val="009A5714"/>
    <w:rsid w:val="009A5DA7"/>
    <w:rsid w:val="009B1AEC"/>
    <w:rsid w:val="009B1B4F"/>
    <w:rsid w:val="009B7329"/>
    <w:rsid w:val="009D16ED"/>
    <w:rsid w:val="009D1D57"/>
    <w:rsid w:val="009D4F8F"/>
    <w:rsid w:val="009E2544"/>
    <w:rsid w:val="009E262B"/>
    <w:rsid w:val="009E2770"/>
    <w:rsid w:val="009E3F38"/>
    <w:rsid w:val="009E4A43"/>
    <w:rsid w:val="009E6D56"/>
    <w:rsid w:val="009F2261"/>
    <w:rsid w:val="009F3537"/>
    <w:rsid w:val="009F5CC8"/>
    <w:rsid w:val="00A05F5A"/>
    <w:rsid w:val="00A064DC"/>
    <w:rsid w:val="00A25657"/>
    <w:rsid w:val="00A329B6"/>
    <w:rsid w:val="00A3310C"/>
    <w:rsid w:val="00A367A1"/>
    <w:rsid w:val="00A40178"/>
    <w:rsid w:val="00A415D2"/>
    <w:rsid w:val="00A460BA"/>
    <w:rsid w:val="00A507A2"/>
    <w:rsid w:val="00A50F9F"/>
    <w:rsid w:val="00A510F6"/>
    <w:rsid w:val="00A644BB"/>
    <w:rsid w:val="00A651C9"/>
    <w:rsid w:val="00A70E2D"/>
    <w:rsid w:val="00A80739"/>
    <w:rsid w:val="00A83626"/>
    <w:rsid w:val="00A83829"/>
    <w:rsid w:val="00A862C0"/>
    <w:rsid w:val="00A870FE"/>
    <w:rsid w:val="00A87EE1"/>
    <w:rsid w:val="00A91A20"/>
    <w:rsid w:val="00A9229F"/>
    <w:rsid w:val="00A940CB"/>
    <w:rsid w:val="00A95100"/>
    <w:rsid w:val="00AA0652"/>
    <w:rsid w:val="00AA164A"/>
    <w:rsid w:val="00AA2A39"/>
    <w:rsid w:val="00AA2C16"/>
    <w:rsid w:val="00AA615B"/>
    <w:rsid w:val="00AA6272"/>
    <w:rsid w:val="00AB0DED"/>
    <w:rsid w:val="00AB14AB"/>
    <w:rsid w:val="00AC0C81"/>
    <w:rsid w:val="00AC1B48"/>
    <w:rsid w:val="00AC29D6"/>
    <w:rsid w:val="00AC43E7"/>
    <w:rsid w:val="00AD0CD1"/>
    <w:rsid w:val="00AD1E1B"/>
    <w:rsid w:val="00AD54C3"/>
    <w:rsid w:val="00AD7725"/>
    <w:rsid w:val="00AE0522"/>
    <w:rsid w:val="00AE5907"/>
    <w:rsid w:val="00AE668A"/>
    <w:rsid w:val="00AE6858"/>
    <w:rsid w:val="00AF5C62"/>
    <w:rsid w:val="00AF7270"/>
    <w:rsid w:val="00B1793C"/>
    <w:rsid w:val="00B17BC5"/>
    <w:rsid w:val="00B20582"/>
    <w:rsid w:val="00B2158C"/>
    <w:rsid w:val="00B217CA"/>
    <w:rsid w:val="00B24E57"/>
    <w:rsid w:val="00B30D96"/>
    <w:rsid w:val="00B36115"/>
    <w:rsid w:val="00B4615D"/>
    <w:rsid w:val="00B5123E"/>
    <w:rsid w:val="00B522C4"/>
    <w:rsid w:val="00B52B0E"/>
    <w:rsid w:val="00B5337D"/>
    <w:rsid w:val="00B620F7"/>
    <w:rsid w:val="00B62BEA"/>
    <w:rsid w:val="00B65290"/>
    <w:rsid w:val="00B70E26"/>
    <w:rsid w:val="00B86CB5"/>
    <w:rsid w:val="00B8745F"/>
    <w:rsid w:val="00B90754"/>
    <w:rsid w:val="00B9325F"/>
    <w:rsid w:val="00B9782C"/>
    <w:rsid w:val="00B97D95"/>
    <w:rsid w:val="00B97E3C"/>
    <w:rsid w:val="00BA1CD7"/>
    <w:rsid w:val="00BA32AE"/>
    <w:rsid w:val="00BA7E78"/>
    <w:rsid w:val="00BB0833"/>
    <w:rsid w:val="00BB0EA7"/>
    <w:rsid w:val="00BB4CDF"/>
    <w:rsid w:val="00BB595B"/>
    <w:rsid w:val="00BB59F9"/>
    <w:rsid w:val="00BC15B8"/>
    <w:rsid w:val="00BC5279"/>
    <w:rsid w:val="00BC5647"/>
    <w:rsid w:val="00BC6C4E"/>
    <w:rsid w:val="00BC7B6A"/>
    <w:rsid w:val="00BD5060"/>
    <w:rsid w:val="00BD58A7"/>
    <w:rsid w:val="00BD6EE4"/>
    <w:rsid w:val="00BE1E33"/>
    <w:rsid w:val="00BE2AD3"/>
    <w:rsid w:val="00BE36F7"/>
    <w:rsid w:val="00BF2443"/>
    <w:rsid w:val="00C10D3E"/>
    <w:rsid w:val="00C121D7"/>
    <w:rsid w:val="00C12201"/>
    <w:rsid w:val="00C12AD2"/>
    <w:rsid w:val="00C1405A"/>
    <w:rsid w:val="00C31412"/>
    <w:rsid w:val="00C365AF"/>
    <w:rsid w:val="00C42740"/>
    <w:rsid w:val="00C4526C"/>
    <w:rsid w:val="00C50B1B"/>
    <w:rsid w:val="00C50C99"/>
    <w:rsid w:val="00C52801"/>
    <w:rsid w:val="00C54BAD"/>
    <w:rsid w:val="00C5676B"/>
    <w:rsid w:val="00C6210F"/>
    <w:rsid w:val="00C745C6"/>
    <w:rsid w:val="00C750BA"/>
    <w:rsid w:val="00C8442D"/>
    <w:rsid w:val="00C90642"/>
    <w:rsid w:val="00C964DE"/>
    <w:rsid w:val="00C96F18"/>
    <w:rsid w:val="00CA4545"/>
    <w:rsid w:val="00CA5790"/>
    <w:rsid w:val="00CA634C"/>
    <w:rsid w:val="00CA7BFF"/>
    <w:rsid w:val="00CB613A"/>
    <w:rsid w:val="00CC0C56"/>
    <w:rsid w:val="00CC11B6"/>
    <w:rsid w:val="00CC4245"/>
    <w:rsid w:val="00CD23FE"/>
    <w:rsid w:val="00CE35D5"/>
    <w:rsid w:val="00CF0898"/>
    <w:rsid w:val="00CF266A"/>
    <w:rsid w:val="00CF326B"/>
    <w:rsid w:val="00D0763E"/>
    <w:rsid w:val="00D11A2B"/>
    <w:rsid w:val="00D12644"/>
    <w:rsid w:val="00D134CC"/>
    <w:rsid w:val="00D14C1E"/>
    <w:rsid w:val="00D170AC"/>
    <w:rsid w:val="00D236D9"/>
    <w:rsid w:val="00D24682"/>
    <w:rsid w:val="00D24F06"/>
    <w:rsid w:val="00D25AEF"/>
    <w:rsid w:val="00D349EE"/>
    <w:rsid w:val="00D35298"/>
    <w:rsid w:val="00D418AD"/>
    <w:rsid w:val="00D44227"/>
    <w:rsid w:val="00D46629"/>
    <w:rsid w:val="00D50ED5"/>
    <w:rsid w:val="00D527DA"/>
    <w:rsid w:val="00D56D47"/>
    <w:rsid w:val="00D57835"/>
    <w:rsid w:val="00D655FB"/>
    <w:rsid w:val="00D70FB4"/>
    <w:rsid w:val="00D73A38"/>
    <w:rsid w:val="00D74A1C"/>
    <w:rsid w:val="00D75125"/>
    <w:rsid w:val="00D815C1"/>
    <w:rsid w:val="00D85C85"/>
    <w:rsid w:val="00D866EC"/>
    <w:rsid w:val="00D92F6C"/>
    <w:rsid w:val="00D95879"/>
    <w:rsid w:val="00D97A6B"/>
    <w:rsid w:val="00DA2FA3"/>
    <w:rsid w:val="00DA7875"/>
    <w:rsid w:val="00DB29E2"/>
    <w:rsid w:val="00DB751D"/>
    <w:rsid w:val="00DC247A"/>
    <w:rsid w:val="00DC679E"/>
    <w:rsid w:val="00DD0E98"/>
    <w:rsid w:val="00DD4444"/>
    <w:rsid w:val="00DE3F87"/>
    <w:rsid w:val="00DE64DE"/>
    <w:rsid w:val="00DE73B4"/>
    <w:rsid w:val="00DE787B"/>
    <w:rsid w:val="00DE7AB4"/>
    <w:rsid w:val="00DF3A4F"/>
    <w:rsid w:val="00DF4D86"/>
    <w:rsid w:val="00DF63E3"/>
    <w:rsid w:val="00DF6B09"/>
    <w:rsid w:val="00E00B41"/>
    <w:rsid w:val="00E01D84"/>
    <w:rsid w:val="00E048AB"/>
    <w:rsid w:val="00E05124"/>
    <w:rsid w:val="00E137BB"/>
    <w:rsid w:val="00E20266"/>
    <w:rsid w:val="00E235DD"/>
    <w:rsid w:val="00E247F3"/>
    <w:rsid w:val="00E261CD"/>
    <w:rsid w:val="00E3199C"/>
    <w:rsid w:val="00E42D0B"/>
    <w:rsid w:val="00E441BF"/>
    <w:rsid w:val="00E54B07"/>
    <w:rsid w:val="00E610EA"/>
    <w:rsid w:val="00E62D29"/>
    <w:rsid w:val="00E64988"/>
    <w:rsid w:val="00E64A38"/>
    <w:rsid w:val="00E70FFD"/>
    <w:rsid w:val="00E74E56"/>
    <w:rsid w:val="00E756AC"/>
    <w:rsid w:val="00E8381A"/>
    <w:rsid w:val="00E84EFE"/>
    <w:rsid w:val="00E87596"/>
    <w:rsid w:val="00E87794"/>
    <w:rsid w:val="00E96422"/>
    <w:rsid w:val="00EA5A59"/>
    <w:rsid w:val="00EA62F1"/>
    <w:rsid w:val="00EB3D8F"/>
    <w:rsid w:val="00EB5697"/>
    <w:rsid w:val="00ED0FE3"/>
    <w:rsid w:val="00ED3F7E"/>
    <w:rsid w:val="00ED4715"/>
    <w:rsid w:val="00EE7C34"/>
    <w:rsid w:val="00EF2CA6"/>
    <w:rsid w:val="00F117B1"/>
    <w:rsid w:val="00F134F9"/>
    <w:rsid w:val="00F24C62"/>
    <w:rsid w:val="00F24FC8"/>
    <w:rsid w:val="00F331F0"/>
    <w:rsid w:val="00F34138"/>
    <w:rsid w:val="00F35E57"/>
    <w:rsid w:val="00F4427F"/>
    <w:rsid w:val="00F46428"/>
    <w:rsid w:val="00F47FCE"/>
    <w:rsid w:val="00F501D2"/>
    <w:rsid w:val="00F5266F"/>
    <w:rsid w:val="00F52BC9"/>
    <w:rsid w:val="00F53A73"/>
    <w:rsid w:val="00F557C0"/>
    <w:rsid w:val="00F563D2"/>
    <w:rsid w:val="00F56447"/>
    <w:rsid w:val="00F61A04"/>
    <w:rsid w:val="00F64055"/>
    <w:rsid w:val="00F710C6"/>
    <w:rsid w:val="00F722BD"/>
    <w:rsid w:val="00F72873"/>
    <w:rsid w:val="00F73620"/>
    <w:rsid w:val="00F7442E"/>
    <w:rsid w:val="00F77E90"/>
    <w:rsid w:val="00F911FE"/>
    <w:rsid w:val="00F91CF0"/>
    <w:rsid w:val="00F9481A"/>
    <w:rsid w:val="00F956D1"/>
    <w:rsid w:val="00F9687F"/>
    <w:rsid w:val="00FA08DE"/>
    <w:rsid w:val="00FA7F25"/>
    <w:rsid w:val="00FB328E"/>
    <w:rsid w:val="00FB3430"/>
    <w:rsid w:val="00FB5008"/>
    <w:rsid w:val="00FB5E18"/>
    <w:rsid w:val="00FC2626"/>
    <w:rsid w:val="00FC755D"/>
    <w:rsid w:val="00FD3922"/>
    <w:rsid w:val="00FD6452"/>
    <w:rsid w:val="00FF1BE5"/>
    <w:rsid w:val="00FF3F9C"/>
    <w:rsid w:val="00FF4618"/>
    <w:rsid w:val="216AB784"/>
    <w:rsid w:val="2B5724EC"/>
    <w:rsid w:val="34A60760"/>
    <w:rsid w:val="7FF3A4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041F5E"/>
    <w:rPr>
      <w:rFonts w:ascii="Times New Roman" w:hAnsi="Times New Roman" w:cs="Times New Roman"/>
      <w:szCs w:val="24"/>
    </w:rPr>
  </w:style>
  <w:style w:type="paragraph" w:customStyle="1" w:styleId="Appelnotedebasde">
    <w:name w:val="Appel note de bas de..."/>
    <w:basedOn w:val="Normal"/>
    <w:link w:val="Refdenotaalpie"/>
    <w:uiPriority w:val="99"/>
    <w:rsid w:val="00DB29E2"/>
    <w:pPr>
      <w:spacing w:after="160" w:line="240" w:lineRule="exact"/>
    </w:pPr>
    <w:rPr>
      <w:sz w:val="22"/>
      <w:vertAlign w:val="superscript"/>
      <w:lang w:val="es-CO"/>
    </w:rPr>
  </w:style>
  <w:style w:type="character" w:customStyle="1" w:styleId="baj">
    <w:name w:val="b_aj"/>
    <w:basedOn w:val="Fuentedeprrafopredeter"/>
    <w:rsid w:val="00DB29E2"/>
  </w:style>
  <w:style w:type="paragraph" w:styleId="Revisin">
    <w:name w:val="Revision"/>
    <w:hidden/>
    <w:uiPriority w:val="99"/>
    <w:semiHidden/>
    <w:rsid w:val="0074180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374">
      <w:bodyDiv w:val="1"/>
      <w:marLeft w:val="0"/>
      <w:marRight w:val="0"/>
      <w:marTop w:val="0"/>
      <w:marBottom w:val="0"/>
      <w:divBdr>
        <w:top w:val="none" w:sz="0" w:space="0" w:color="auto"/>
        <w:left w:val="none" w:sz="0" w:space="0" w:color="auto"/>
        <w:bottom w:val="none" w:sz="0" w:space="0" w:color="auto"/>
        <w:right w:val="none" w:sz="0" w:space="0" w:color="auto"/>
      </w:divBdr>
      <w:divsChild>
        <w:div w:id="831066363">
          <w:marLeft w:val="0"/>
          <w:marRight w:val="0"/>
          <w:marTop w:val="0"/>
          <w:marBottom w:val="0"/>
          <w:divBdr>
            <w:top w:val="none" w:sz="0" w:space="0" w:color="auto"/>
            <w:left w:val="none" w:sz="0" w:space="0" w:color="auto"/>
            <w:bottom w:val="none" w:sz="0" w:space="0" w:color="auto"/>
            <w:right w:val="none" w:sz="0" w:space="0" w:color="auto"/>
          </w:divBdr>
          <w:divsChild>
            <w:div w:id="2057969524">
              <w:marLeft w:val="0"/>
              <w:marRight w:val="0"/>
              <w:marTop w:val="0"/>
              <w:marBottom w:val="0"/>
              <w:divBdr>
                <w:top w:val="none" w:sz="0" w:space="0" w:color="auto"/>
                <w:left w:val="none" w:sz="0" w:space="0" w:color="auto"/>
                <w:bottom w:val="none" w:sz="0" w:space="0" w:color="auto"/>
                <w:right w:val="none" w:sz="0" w:space="0" w:color="auto"/>
              </w:divBdr>
              <w:divsChild>
                <w:div w:id="9182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5132">
      <w:bodyDiv w:val="1"/>
      <w:marLeft w:val="0"/>
      <w:marRight w:val="0"/>
      <w:marTop w:val="0"/>
      <w:marBottom w:val="0"/>
      <w:divBdr>
        <w:top w:val="none" w:sz="0" w:space="0" w:color="auto"/>
        <w:left w:val="none" w:sz="0" w:space="0" w:color="auto"/>
        <w:bottom w:val="none" w:sz="0" w:space="0" w:color="auto"/>
        <w:right w:val="none" w:sz="0" w:space="0" w:color="auto"/>
      </w:divBdr>
    </w:div>
    <w:div w:id="210923432">
      <w:bodyDiv w:val="1"/>
      <w:marLeft w:val="0"/>
      <w:marRight w:val="0"/>
      <w:marTop w:val="0"/>
      <w:marBottom w:val="0"/>
      <w:divBdr>
        <w:top w:val="none" w:sz="0" w:space="0" w:color="auto"/>
        <w:left w:val="none" w:sz="0" w:space="0" w:color="auto"/>
        <w:bottom w:val="none" w:sz="0" w:space="0" w:color="auto"/>
        <w:right w:val="none" w:sz="0" w:space="0" w:color="auto"/>
      </w:divBdr>
      <w:divsChild>
        <w:div w:id="1548487411">
          <w:marLeft w:val="0"/>
          <w:marRight w:val="0"/>
          <w:marTop w:val="0"/>
          <w:marBottom w:val="0"/>
          <w:divBdr>
            <w:top w:val="none" w:sz="0" w:space="0" w:color="auto"/>
            <w:left w:val="none" w:sz="0" w:space="0" w:color="auto"/>
            <w:bottom w:val="none" w:sz="0" w:space="0" w:color="auto"/>
            <w:right w:val="none" w:sz="0" w:space="0" w:color="auto"/>
          </w:divBdr>
          <w:divsChild>
            <w:div w:id="1032193337">
              <w:marLeft w:val="0"/>
              <w:marRight w:val="0"/>
              <w:marTop w:val="0"/>
              <w:marBottom w:val="0"/>
              <w:divBdr>
                <w:top w:val="none" w:sz="0" w:space="0" w:color="auto"/>
                <w:left w:val="none" w:sz="0" w:space="0" w:color="auto"/>
                <w:bottom w:val="none" w:sz="0" w:space="0" w:color="auto"/>
                <w:right w:val="none" w:sz="0" w:space="0" w:color="auto"/>
              </w:divBdr>
              <w:divsChild>
                <w:div w:id="238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554">
      <w:bodyDiv w:val="1"/>
      <w:marLeft w:val="0"/>
      <w:marRight w:val="0"/>
      <w:marTop w:val="0"/>
      <w:marBottom w:val="0"/>
      <w:divBdr>
        <w:top w:val="none" w:sz="0" w:space="0" w:color="auto"/>
        <w:left w:val="none" w:sz="0" w:space="0" w:color="auto"/>
        <w:bottom w:val="none" w:sz="0" w:space="0" w:color="auto"/>
        <w:right w:val="none" w:sz="0" w:space="0" w:color="auto"/>
      </w:divBdr>
    </w:div>
    <w:div w:id="298267302">
      <w:bodyDiv w:val="1"/>
      <w:marLeft w:val="0"/>
      <w:marRight w:val="0"/>
      <w:marTop w:val="0"/>
      <w:marBottom w:val="0"/>
      <w:divBdr>
        <w:top w:val="none" w:sz="0" w:space="0" w:color="auto"/>
        <w:left w:val="none" w:sz="0" w:space="0" w:color="auto"/>
        <w:bottom w:val="none" w:sz="0" w:space="0" w:color="auto"/>
        <w:right w:val="none" w:sz="0" w:space="0" w:color="auto"/>
      </w:divBdr>
    </w:div>
    <w:div w:id="301886662">
      <w:bodyDiv w:val="1"/>
      <w:marLeft w:val="0"/>
      <w:marRight w:val="0"/>
      <w:marTop w:val="0"/>
      <w:marBottom w:val="0"/>
      <w:divBdr>
        <w:top w:val="none" w:sz="0" w:space="0" w:color="auto"/>
        <w:left w:val="none" w:sz="0" w:space="0" w:color="auto"/>
        <w:bottom w:val="none" w:sz="0" w:space="0" w:color="auto"/>
        <w:right w:val="none" w:sz="0" w:space="0" w:color="auto"/>
      </w:divBdr>
      <w:divsChild>
        <w:div w:id="771240453">
          <w:marLeft w:val="0"/>
          <w:marRight w:val="0"/>
          <w:marTop w:val="0"/>
          <w:marBottom w:val="0"/>
          <w:divBdr>
            <w:top w:val="none" w:sz="0" w:space="0" w:color="auto"/>
            <w:left w:val="none" w:sz="0" w:space="0" w:color="auto"/>
            <w:bottom w:val="none" w:sz="0" w:space="0" w:color="auto"/>
            <w:right w:val="none" w:sz="0" w:space="0" w:color="auto"/>
          </w:divBdr>
          <w:divsChild>
            <w:div w:id="2105220496">
              <w:marLeft w:val="0"/>
              <w:marRight w:val="0"/>
              <w:marTop w:val="0"/>
              <w:marBottom w:val="0"/>
              <w:divBdr>
                <w:top w:val="none" w:sz="0" w:space="0" w:color="auto"/>
                <w:left w:val="none" w:sz="0" w:space="0" w:color="auto"/>
                <w:bottom w:val="none" w:sz="0" w:space="0" w:color="auto"/>
                <w:right w:val="none" w:sz="0" w:space="0" w:color="auto"/>
              </w:divBdr>
              <w:divsChild>
                <w:div w:id="159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2896">
      <w:bodyDiv w:val="1"/>
      <w:marLeft w:val="0"/>
      <w:marRight w:val="0"/>
      <w:marTop w:val="0"/>
      <w:marBottom w:val="0"/>
      <w:divBdr>
        <w:top w:val="none" w:sz="0" w:space="0" w:color="auto"/>
        <w:left w:val="none" w:sz="0" w:space="0" w:color="auto"/>
        <w:bottom w:val="none" w:sz="0" w:space="0" w:color="auto"/>
        <w:right w:val="none" w:sz="0" w:space="0" w:color="auto"/>
      </w:divBdr>
    </w:div>
    <w:div w:id="355934054">
      <w:bodyDiv w:val="1"/>
      <w:marLeft w:val="0"/>
      <w:marRight w:val="0"/>
      <w:marTop w:val="0"/>
      <w:marBottom w:val="0"/>
      <w:divBdr>
        <w:top w:val="none" w:sz="0" w:space="0" w:color="auto"/>
        <w:left w:val="none" w:sz="0" w:space="0" w:color="auto"/>
        <w:bottom w:val="none" w:sz="0" w:space="0" w:color="auto"/>
        <w:right w:val="none" w:sz="0" w:space="0" w:color="auto"/>
      </w:divBdr>
    </w:div>
    <w:div w:id="611133299">
      <w:bodyDiv w:val="1"/>
      <w:marLeft w:val="0"/>
      <w:marRight w:val="0"/>
      <w:marTop w:val="0"/>
      <w:marBottom w:val="0"/>
      <w:divBdr>
        <w:top w:val="none" w:sz="0" w:space="0" w:color="auto"/>
        <w:left w:val="none" w:sz="0" w:space="0" w:color="auto"/>
        <w:bottom w:val="none" w:sz="0" w:space="0" w:color="auto"/>
        <w:right w:val="none" w:sz="0" w:space="0" w:color="auto"/>
      </w:divBdr>
    </w:div>
    <w:div w:id="701446062">
      <w:bodyDiv w:val="1"/>
      <w:marLeft w:val="0"/>
      <w:marRight w:val="0"/>
      <w:marTop w:val="0"/>
      <w:marBottom w:val="0"/>
      <w:divBdr>
        <w:top w:val="none" w:sz="0" w:space="0" w:color="auto"/>
        <w:left w:val="none" w:sz="0" w:space="0" w:color="auto"/>
        <w:bottom w:val="none" w:sz="0" w:space="0" w:color="auto"/>
        <w:right w:val="none" w:sz="0" w:space="0" w:color="auto"/>
      </w:divBdr>
    </w:div>
    <w:div w:id="719286920">
      <w:bodyDiv w:val="1"/>
      <w:marLeft w:val="0"/>
      <w:marRight w:val="0"/>
      <w:marTop w:val="0"/>
      <w:marBottom w:val="0"/>
      <w:divBdr>
        <w:top w:val="none" w:sz="0" w:space="0" w:color="auto"/>
        <w:left w:val="none" w:sz="0" w:space="0" w:color="auto"/>
        <w:bottom w:val="none" w:sz="0" w:space="0" w:color="auto"/>
        <w:right w:val="none" w:sz="0" w:space="0" w:color="auto"/>
      </w:divBdr>
    </w:div>
    <w:div w:id="806434262">
      <w:bodyDiv w:val="1"/>
      <w:marLeft w:val="0"/>
      <w:marRight w:val="0"/>
      <w:marTop w:val="0"/>
      <w:marBottom w:val="0"/>
      <w:divBdr>
        <w:top w:val="none" w:sz="0" w:space="0" w:color="auto"/>
        <w:left w:val="none" w:sz="0" w:space="0" w:color="auto"/>
        <w:bottom w:val="none" w:sz="0" w:space="0" w:color="auto"/>
        <w:right w:val="none" w:sz="0" w:space="0" w:color="auto"/>
      </w:divBdr>
    </w:div>
    <w:div w:id="962157285">
      <w:bodyDiv w:val="1"/>
      <w:marLeft w:val="0"/>
      <w:marRight w:val="0"/>
      <w:marTop w:val="0"/>
      <w:marBottom w:val="0"/>
      <w:divBdr>
        <w:top w:val="none" w:sz="0" w:space="0" w:color="auto"/>
        <w:left w:val="none" w:sz="0" w:space="0" w:color="auto"/>
        <w:bottom w:val="none" w:sz="0" w:space="0" w:color="auto"/>
        <w:right w:val="none" w:sz="0" w:space="0" w:color="auto"/>
      </w:divBdr>
    </w:div>
    <w:div w:id="1097015842">
      <w:bodyDiv w:val="1"/>
      <w:marLeft w:val="0"/>
      <w:marRight w:val="0"/>
      <w:marTop w:val="0"/>
      <w:marBottom w:val="0"/>
      <w:divBdr>
        <w:top w:val="none" w:sz="0" w:space="0" w:color="auto"/>
        <w:left w:val="none" w:sz="0" w:space="0" w:color="auto"/>
        <w:bottom w:val="none" w:sz="0" w:space="0" w:color="auto"/>
        <w:right w:val="none" w:sz="0" w:space="0" w:color="auto"/>
      </w:divBdr>
    </w:div>
    <w:div w:id="1126848137">
      <w:bodyDiv w:val="1"/>
      <w:marLeft w:val="0"/>
      <w:marRight w:val="0"/>
      <w:marTop w:val="0"/>
      <w:marBottom w:val="0"/>
      <w:divBdr>
        <w:top w:val="none" w:sz="0" w:space="0" w:color="auto"/>
        <w:left w:val="none" w:sz="0" w:space="0" w:color="auto"/>
        <w:bottom w:val="none" w:sz="0" w:space="0" w:color="auto"/>
        <w:right w:val="none" w:sz="0" w:space="0" w:color="auto"/>
      </w:divBdr>
    </w:div>
    <w:div w:id="1140925907">
      <w:bodyDiv w:val="1"/>
      <w:marLeft w:val="0"/>
      <w:marRight w:val="0"/>
      <w:marTop w:val="0"/>
      <w:marBottom w:val="0"/>
      <w:divBdr>
        <w:top w:val="none" w:sz="0" w:space="0" w:color="auto"/>
        <w:left w:val="none" w:sz="0" w:space="0" w:color="auto"/>
        <w:bottom w:val="none" w:sz="0" w:space="0" w:color="auto"/>
        <w:right w:val="none" w:sz="0" w:space="0" w:color="auto"/>
      </w:divBdr>
    </w:div>
    <w:div w:id="1145270539">
      <w:bodyDiv w:val="1"/>
      <w:marLeft w:val="0"/>
      <w:marRight w:val="0"/>
      <w:marTop w:val="0"/>
      <w:marBottom w:val="0"/>
      <w:divBdr>
        <w:top w:val="none" w:sz="0" w:space="0" w:color="auto"/>
        <w:left w:val="none" w:sz="0" w:space="0" w:color="auto"/>
        <w:bottom w:val="none" w:sz="0" w:space="0" w:color="auto"/>
        <w:right w:val="none" w:sz="0" w:space="0" w:color="auto"/>
      </w:divBdr>
    </w:div>
    <w:div w:id="1344237707">
      <w:bodyDiv w:val="1"/>
      <w:marLeft w:val="0"/>
      <w:marRight w:val="0"/>
      <w:marTop w:val="0"/>
      <w:marBottom w:val="0"/>
      <w:divBdr>
        <w:top w:val="none" w:sz="0" w:space="0" w:color="auto"/>
        <w:left w:val="none" w:sz="0" w:space="0" w:color="auto"/>
        <w:bottom w:val="none" w:sz="0" w:space="0" w:color="auto"/>
        <w:right w:val="none" w:sz="0" w:space="0" w:color="auto"/>
      </w:divBdr>
      <w:divsChild>
        <w:div w:id="197198083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0"/>
              <w:marRight w:val="0"/>
              <w:marTop w:val="0"/>
              <w:marBottom w:val="0"/>
              <w:divBdr>
                <w:top w:val="none" w:sz="0" w:space="0" w:color="auto"/>
                <w:left w:val="none" w:sz="0" w:space="0" w:color="auto"/>
                <w:bottom w:val="none" w:sz="0" w:space="0" w:color="auto"/>
                <w:right w:val="none" w:sz="0" w:space="0" w:color="auto"/>
              </w:divBdr>
              <w:divsChild>
                <w:div w:id="430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282">
      <w:bodyDiv w:val="1"/>
      <w:marLeft w:val="0"/>
      <w:marRight w:val="0"/>
      <w:marTop w:val="0"/>
      <w:marBottom w:val="0"/>
      <w:divBdr>
        <w:top w:val="none" w:sz="0" w:space="0" w:color="auto"/>
        <w:left w:val="none" w:sz="0" w:space="0" w:color="auto"/>
        <w:bottom w:val="none" w:sz="0" w:space="0" w:color="auto"/>
        <w:right w:val="none" w:sz="0" w:space="0" w:color="auto"/>
      </w:divBdr>
      <w:divsChild>
        <w:div w:id="876628105">
          <w:marLeft w:val="0"/>
          <w:marRight w:val="0"/>
          <w:marTop w:val="0"/>
          <w:marBottom w:val="0"/>
          <w:divBdr>
            <w:top w:val="none" w:sz="0" w:space="0" w:color="auto"/>
            <w:left w:val="none" w:sz="0" w:space="0" w:color="auto"/>
            <w:bottom w:val="none" w:sz="0" w:space="0" w:color="auto"/>
            <w:right w:val="none" w:sz="0" w:space="0" w:color="auto"/>
          </w:divBdr>
          <w:divsChild>
            <w:div w:id="395082131">
              <w:marLeft w:val="0"/>
              <w:marRight w:val="0"/>
              <w:marTop w:val="0"/>
              <w:marBottom w:val="0"/>
              <w:divBdr>
                <w:top w:val="none" w:sz="0" w:space="0" w:color="auto"/>
                <w:left w:val="none" w:sz="0" w:space="0" w:color="auto"/>
                <w:bottom w:val="none" w:sz="0" w:space="0" w:color="auto"/>
                <w:right w:val="none" w:sz="0" w:space="0" w:color="auto"/>
              </w:divBdr>
              <w:divsChild>
                <w:div w:id="1796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3299">
      <w:bodyDiv w:val="1"/>
      <w:marLeft w:val="0"/>
      <w:marRight w:val="0"/>
      <w:marTop w:val="0"/>
      <w:marBottom w:val="0"/>
      <w:divBdr>
        <w:top w:val="none" w:sz="0" w:space="0" w:color="auto"/>
        <w:left w:val="none" w:sz="0" w:space="0" w:color="auto"/>
        <w:bottom w:val="none" w:sz="0" w:space="0" w:color="auto"/>
        <w:right w:val="none" w:sz="0" w:space="0" w:color="auto"/>
      </w:divBdr>
    </w:div>
    <w:div w:id="1469515238">
      <w:bodyDiv w:val="1"/>
      <w:marLeft w:val="0"/>
      <w:marRight w:val="0"/>
      <w:marTop w:val="0"/>
      <w:marBottom w:val="0"/>
      <w:divBdr>
        <w:top w:val="none" w:sz="0" w:space="0" w:color="auto"/>
        <w:left w:val="none" w:sz="0" w:space="0" w:color="auto"/>
        <w:bottom w:val="none" w:sz="0" w:space="0" w:color="auto"/>
        <w:right w:val="none" w:sz="0" w:space="0" w:color="auto"/>
      </w:divBdr>
    </w:div>
    <w:div w:id="1499156265">
      <w:bodyDiv w:val="1"/>
      <w:marLeft w:val="0"/>
      <w:marRight w:val="0"/>
      <w:marTop w:val="0"/>
      <w:marBottom w:val="0"/>
      <w:divBdr>
        <w:top w:val="none" w:sz="0" w:space="0" w:color="auto"/>
        <w:left w:val="none" w:sz="0" w:space="0" w:color="auto"/>
        <w:bottom w:val="none" w:sz="0" w:space="0" w:color="auto"/>
        <w:right w:val="none" w:sz="0" w:space="0" w:color="auto"/>
      </w:divBdr>
      <w:divsChild>
        <w:div w:id="421537410">
          <w:marLeft w:val="0"/>
          <w:marRight w:val="0"/>
          <w:marTop w:val="0"/>
          <w:marBottom w:val="0"/>
          <w:divBdr>
            <w:top w:val="none" w:sz="0" w:space="0" w:color="auto"/>
            <w:left w:val="none" w:sz="0" w:space="0" w:color="auto"/>
            <w:bottom w:val="none" w:sz="0" w:space="0" w:color="auto"/>
            <w:right w:val="none" w:sz="0" w:space="0" w:color="auto"/>
          </w:divBdr>
          <w:divsChild>
            <w:div w:id="1157649127">
              <w:marLeft w:val="0"/>
              <w:marRight w:val="0"/>
              <w:marTop w:val="0"/>
              <w:marBottom w:val="0"/>
              <w:divBdr>
                <w:top w:val="none" w:sz="0" w:space="0" w:color="auto"/>
                <w:left w:val="none" w:sz="0" w:space="0" w:color="auto"/>
                <w:bottom w:val="none" w:sz="0" w:space="0" w:color="auto"/>
                <w:right w:val="none" w:sz="0" w:space="0" w:color="auto"/>
              </w:divBdr>
              <w:divsChild>
                <w:div w:id="16010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7858">
      <w:bodyDiv w:val="1"/>
      <w:marLeft w:val="0"/>
      <w:marRight w:val="0"/>
      <w:marTop w:val="0"/>
      <w:marBottom w:val="0"/>
      <w:divBdr>
        <w:top w:val="none" w:sz="0" w:space="0" w:color="auto"/>
        <w:left w:val="none" w:sz="0" w:space="0" w:color="auto"/>
        <w:bottom w:val="none" w:sz="0" w:space="0" w:color="auto"/>
        <w:right w:val="none" w:sz="0" w:space="0" w:color="auto"/>
      </w:divBdr>
    </w:div>
    <w:div w:id="1602028465">
      <w:bodyDiv w:val="1"/>
      <w:marLeft w:val="0"/>
      <w:marRight w:val="0"/>
      <w:marTop w:val="0"/>
      <w:marBottom w:val="0"/>
      <w:divBdr>
        <w:top w:val="none" w:sz="0" w:space="0" w:color="auto"/>
        <w:left w:val="none" w:sz="0" w:space="0" w:color="auto"/>
        <w:bottom w:val="none" w:sz="0" w:space="0" w:color="auto"/>
        <w:right w:val="none" w:sz="0" w:space="0" w:color="auto"/>
      </w:divBdr>
    </w:div>
    <w:div w:id="1664888922">
      <w:bodyDiv w:val="1"/>
      <w:marLeft w:val="0"/>
      <w:marRight w:val="0"/>
      <w:marTop w:val="0"/>
      <w:marBottom w:val="0"/>
      <w:divBdr>
        <w:top w:val="none" w:sz="0" w:space="0" w:color="auto"/>
        <w:left w:val="none" w:sz="0" w:space="0" w:color="auto"/>
        <w:bottom w:val="none" w:sz="0" w:space="0" w:color="auto"/>
        <w:right w:val="none" w:sz="0" w:space="0" w:color="auto"/>
      </w:divBdr>
    </w:div>
    <w:div w:id="174039789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00752014">
      <w:bodyDiv w:val="1"/>
      <w:marLeft w:val="0"/>
      <w:marRight w:val="0"/>
      <w:marTop w:val="0"/>
      <w:marBottom w:val="0"/>
      <w:divBdr>
        <w:top w:val="none" w:sz="0" w:space="0" w:color="auto"/>
        <w:left w:val="none" w:sz="0" w:space="0" w:color="auto"/>
        <w:bottom w:val="none" w:sz="0" w:space="0" w:color="auto"/>
        <w:right w:val="none" w:sz="0" w:space="0" w:color="auto"/>
      </w:divBdr>
    </w:div>
    <w:div w:id="1911190006">
      <w:bodyDiv w:val="1"/>
      <w:marLeft w:val="0"/>
      <w:marRight w:val="0"/>
      <w:marTop w:val="0"/>
      <w:marBottom w:val="0"/>
      <w:divBdr>
        <w:top w:val="none" w:sz="0" w:space="0" w:color="auto"/>
        <w:left w:val="none" w:sz="0" w:space="0" w:color="auto"/>
        <w:bottom w:val="none" w:sz="0" w:space="0" w:color="auto"/>
        <w:right w:val="none" w:sz="0" w:space="0" w:color="auto"/>
      </w:divBdr>
    </w:div>
    <w:div w:id="1981809726">
      <w:bodyDiv w:val="1"/>
      <w:marLeft w:val="0"/>
      <w:marRight w:val="0"/>
      <w:marTop w:val="0"/>
      <w:marBottom w:val="0"/>
      <w:divBdr>
        <w:top w:val="none" w:sz="0" w:space="0" w:color="auto"/>
        <w:left w:val="none" w:sz="0" w:space="0" w:color="auto"/>
        <w:bottom w:val="none" w:sz="0" w:space="0" w:color="auto"/>
        <w:right w:val="none" w:sz="0" w:space="0" w:color="auto"/>
      </w:divBdr>
      <w:divsChild>
        <w:div w:id="1784765279">
          <w:marLeft w:val="0"/>
          <w:marRight w:val="0"/>
          <w:marTop w:val="0"/>
          <w:marBottom w:val="0"/>
          <w:divBdr>
            <w:top w:val="none" w:sz="0" w:space="0" w:color="auto"/>
            <w:left w:val="none" w:sz="0" w:space="0" w:color="auto"/>
            <w:bottom w:val="none" w:sz="0" w:space="0" w:color="auto"/>
            <w:right w:val="none" w:sz="0" w:space="0" w:color="auto"/>
          </w:divBdr>
          <w:divsChild>
            <w:div w:id="147521775">
              <w:marLeft w:val="0"/>
              <w:marRight w:val="0"/>
              <w:marTop w:val="0"/>
              <w:marBottom w:val="0"/>
              <w:divBdr>
                <w:top w:val="none" w:sz="0" w:space="0" w:color="auto"/>
                <w:left w:val="none" w:sz="0" w:space="0" w:color="auto"/>
                <w:bottom w:val="none" w:sz="0" w:space="0" w:color="auto"/>
                <w:right w:val="none" w:sz="0" w:space="0" w:color="auto"/>
              </w:divBdr>
              <w:divsChild>
                <w:div w:id="8738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210">
      <w:bodyDiv w:val="1"/>
      <w:marLeft w:val="0"/>
      <w:marRight w:val="0"/>
      <w:marTop w:val="0"/>
      <w:marBottom w:val="0"/>
      <w:divBdr>
        <w:top w:val="none" w:sz="0" w:space="0" w:color="auto"/>
        <w:left w:val="none" w:sz="0" w:space="0" w:color="auto"/>
        <w:bottom w:val="none" w:sz="0" w:space="0" w:color="auto"/>
        <w:right w:val="none" w:sz="0" w:space="0" w:color="auto"/>
      </w:divBdr>
    </w:div>
    <w:div w:id="2007052613">
      <w:bodyDiv w:val="1"/>
      <w:marLeft w:val="0"/>
      <w:marRight w:val="0"/>
      <w:marTop w:val="0"/>
      <w:marBottom w:val="0"/>
      <w:divBdr>
        <w:top w:val="none" w:sz="0" w:space="0" w:color="auto"/>
        <w:left w:val="none" w:sz="0" w:space="0" w:color="auto"/>
        <w:bottom w:val="none" w:sz="0" w:space="0" w:color="auto"/>
        <w:right w:val="none" w:sz="0" w:space="0" w:color="auto"/>
      </w:divBdr>
    </w:div>
    <w:div w:id="2134665495">
      <w:bodyDiv w:val="1"/>
      <w:marLeft w:val="0"/>
      <w:marRight w:val="0"/>
      <w:marTop w:val="0"/>
      <w:marBottom w:val="0"/>
      <w:divBdr>
        <w:top w:val="none" w:sz="0" w:space="0" w:color="auto"/>
        <w:left w:val="none" w:sz="0" w:space="0" w:color="auto"/>
        <w:bottom w:val="none" w:sz="0" w:space="0" w:color="auto"/>
        <w:right w:val="none" w:sz="0" w:space="0" w:color="auto"/>
      </w:divBdr>
      <w:divsChild>
        <w:div w:id="221598122">
          <w:marLeft w:val="0"/>
          <w:marRight w:val="0"/>
          <w:marTop w:val="0"/>
          <w:marBottom w:val="0"/>
          <w:divBdr>
            <w:top w:val="none" w:sz="0" w:space="0" w:color="auto"/>
            <w:left w:val="none" w:sz="0" w:space="0" w:color="auto"/>
            <w:bottom w:val="none" w:sz="0" w:space="0" w:color="auto"/>
            <w:right w:val="none" w:sz="0" w:space="0" w:color="auto"/>
          </w:divBdr>
          <w:divsChild>
            <w:div w:id="1557232612">
              <w:marLeft w:val="0"/>
              <w:marRight w:val="0"/>
              <w:marTop w:val="0"/>
              <w:marBottom w:val="0"/>
              <w:divBdr>
                <w:top w:val="none" w:sz="0" w:space="0" w:color="auto"/>
                <w:left w:val="none" w:sz="0" w:space="0" w:color="auto"/>
                <w:bottom w:val="none" w:sz="0" w:space="0" w:color="auto"/>
                <w:right w:val="none" w:sz="0" w:space="0" w:color="auto"/>
              </w:divBdr>
              <w:divsChild>
                <w:div w:id="1095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4D02C-D48C-CF4D-8E82-5EB5549B6124}">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5084</Words>
  <Characters>27966</Characters>
  <Application>Microsoft Office Word</Application>
  <DocSecurity>0</DocSecurity>
  <Lines>233</Lines>
  <Paragraphs>65</Paragraphs>
  <ScaleCrop>false</ScaleCrop>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9</cp:revision>
  <cp:lastPrinted>2020-03-17T17:42:00Z</cp:lastPrinted>
  <dcterms:created xsi:type="dcterms:W3CDTF">2020-07-24T14:24:00Z</dcterms:created>
  <dcterms:modified xsi:type="dcterms:W3CDTF">2020-08-10T16:01:00Z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