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5D6649" w:rsidRDefault="005A79FE" w:rsidP="00875624">
      <w:pPr>
        <w:jc w:val="right"/>
        <w:rPr>
          <w:rFonts w:ascii="Arial" w:eastAsia="Calibri" w:hAnsi="Arial" w:cs="Arial"/>
          <w:b/>
          <w:sz w:val="16"/>
          <w:szCs w:val="16"/>
        </w:rPr>
      </w:pPr>
      <w:r w:rsidRPr="005D6649">
        <w:rPr>
          <w:rFonts w:ascii="Arial" w:eastAsia="Times New Roman" w:hAnsi="Arial" w:cs="Arial"/>
          <w:b/>
          <w:sz w:val="16"/>
          <w:szCs w:val="16"/>
          <w:lang w:eastAsia="es-ES"/>
        </w:rPr>
        <w:t>CCE-DES-FM-17</w:t>
      </w:r>
    </w:p>
    <w:p w14:paraId="1726A8E9" w14:textId="77777777" w:rsidR="00497781" w:rsidRPr="005D6649" w:rsidRDefault="00497781" w:rsidP="00C02A28">
      <w:pPr>
        <w:jc w:val="both"/>
        <w:rPr>
          <w:rFonts w:ascii="Arial" w:eastAsia="Calibri" w:hAnsi="Arial" w:cs="Arial"/>
          <w:b/>
          <w:bCs/>
          <w:sz w:val="16"/>
          <w:szCs w:val="16"/>
        </w:rPr>
      </w:pPr>
    </w:p>
    <w:p w14:paraId="59237078" w14:textId="7F58921D" w:rsidR="00472FF4" w:rsidRPr="00FA2409" w:rsidRDefault="00472FF4" w:rsidP="00FA2409">
      <w:pPr>
        <w:pStyle w:val="Prrafodelista"/>
        <w:tabs>
          <w:tab w:val="left" w:pos="0"/>
        </w:tabs>
        <w:ind w:left="0"/>
        <w:jc w:val="both"/>
        <w:rPr>
          <w:rFonts w:ascii="Arial" w:eastAsia="Calibri" w:hAnsi="Arial" w:cs="Arial"/>
          <w:b/>
          <w:sz w:val="22"/>
          <w:lang w:val="es-ES"/>
        </w:rPr>
      </w:pPr>
      <w:r w:rsidRPr="00FA2409">
        <w:rPr>
          <w:rFonts w:ascii="Arial" w:eastAsia="Calibri" w:hAnsi="Arial" w:cs="Arial"/>
          <w:b/>
          <w:sz w:val="22"/>
          <w:lang w:val="es-ES"/>
        </w:rPr>
        <w:t xml:space="preserve">MÍNIMA CUANTÍA </w:t>
      </w:r>
      <w:r w:rsidRPr="00FA2409">
        <w:rPr>
          <w:rFonts w:ascii="Arial" w:eastAsia="Calibri" w:hAnsi="Arial" w:cs="Arial"/>
          <w:b/>
          <w:sz w:val="22"/>
        </w:rPr>
        <w:t>–</w:t>
      </w:r>
      <w:r w:rsidRPr="00FA2409">
        <w:rPr>
          <w:rFonts w:ascii="Arial" w:eastAsia="Calibri" w:hAnsi="Arial" w:cs="Arial"/>
          <w:b/>
          <w:sz w:val="22"/>
          <w:lang w:val="es-ES"/>
        </w:rPr>
        <w:t xml:space="preserve"> </w:t>
      </w:r>
      <w:r w:rsidR="00CD4CF0">
        <w:rPr>
          <w:rFonts w:ascii="Arial" w:eastAsia="Calibri" w:hAnsi="Arial" w:cs="Arial"/>
          <w:b/>
          <w:sz w:val="22"/>
          <w:lang w:val="es-ES"/>
        </w:rPr>
        <w:t>I</w:t>
      </w:r>
      <w:r w:rsidRPr="00FA2409">
        <w:rPr>
          <w:rFonts w:ascii="Arial" w:eastAsia="Calibri" w:hAnsi="Arial" w:cs="Arial"/>
          <w:b/>
          <w:sz w:val="22"/>
          <w:lang w:val="es-ES"/>
        </w:rPr>
        <w:t xml:space="preserve">nvitación </w:t>
      </w:r>
      <w:r w:rsidRPr="00FA2409">
        <w:rPr>
          <w:rFonts w:ascii="Arial" w:eastAsia="Calibri" w:hAnsi="Arial" w:cs="Arial"/>
          <w:b/>
          <w:sz w:val="22"/>
        </w:rPr>
        <w:t>–</w:t>
      </w:r>
      <w:r w:rsidRPr="00FA2409">
        <w:rPr>
          <w:rFonts w:ascii="Arial" w:eastAsia="Calibri" w:hAnsi="Arial" w:cs="Arial"/>
          <w:b/>
          <w:sz w:val="22"/>
          <w:lang w:val="es-ES"/>
        </w:rPr>
        <w:t xml:space="preserve"> </w:t>
      </w:r>
      <w:r w:rsidR="00CD4CF0">
        <w:rPr>
          <w:rFonts w:ascii="Arial" w:eastAsia="Calibri" w:hAnsi="Arial" w:cs="Arial"/>
          <w:b/>
          <w:sz w:val="22"/>
          <w:lang w:val="es-ES"/>
        </w:rPr>
        <w:t xml:space="preserve">Presentación de ofertas – Plazo </w:t>
      </w:r>
    </w:p>
    <w:p w14:paraId="3F9EA3B4" w14:textId="77777777" w:rsidR="00472FF4" w:rsidRPr="00CD4CF0" w:rsidRDefault="00472FF4" w:rsidP="00FA2409">
      <w:pPr>
        <w:pStyle w:val="Prrafodelista"/>
        <w:tabs>
          <w:tab w:val="left" w:pos="0"/>
        </w:tabs>
        <w:ind w:left="0"/>
        <w:jc w:val="both"/>
        <w:rPr>
          <w:rFonts w:ascii="Arial" w:eastAsia="Calibri" w:hAnsi="Arial" w:cs="Arial"/>
          <w:b/>
          <w:sz w:val="20"/>
          <w:szCs w:val="20"/>
          <w:lang w:val="es-ES"/>
        </w:rPr>
      </w:pPr>
    </w:p>
    <w:p w14:paraId="43FB10C0" w14:textId="77777777" w:rsidR="00472FF4" w:rsidRPr="003B1CBD" w:rsidRDefault="00472FF4" w:rsidP="00FA2409">
      <w:pPr>
        <w:tabs>
          <w:tab w:val="left" w:pos="0"/>
        </w:tabs>
        <w:spacing w:after="120"/>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w:t>
      </w:r>
    </w:p>
    <w:p w14:paraId="11BE5FDB" w14:textId="77777777" w:rsidR="00472FF4" w:rsidRPr="003B1CBD" w:rsidRDefault="00472FF4" w:rsidP="00FA2409">
      <w:pPr>
        <w:tabs>
          <w:tab w:val="left" w:pos="0"/>
        </w:tabs>
        <w:jc w:val="both"/>
        <w:rPr>
          <w:rFonts w:ascii="Arial" w:eastAsia="Calibri" w:hAnsi="Arial" w:cs="Arial"/>
          <w:bCs/>
          <w:sz w:val="20"/>
          <w:szCs w:val="20"/>
          <w:lang w:val="es-ES"/>
        </w:rPr>
      </w:pPr>
      <w:r w:rsidRPr="003B1CBD">
        <w:rPr>
          <w:rFonts w:ascii="Arial" w:eastAsia="Calibri" w:hAnsi="Arial" w:cs="Arial"/>
          <w:bCs/>
          <w:sz w:val="20"/>
          <w:szCs w:val="20"/>
          <w:lang w:val="es-ES"/>
        </w:rPr>
        <w:t>En ese orden, el término para presentar ofertas deberá contarse a partir de la publicación de la invitación, el cual, conforme lo determinan las normas señaladas, no podrá ser inferior a un (1) día hábil. Así lo interpretó esta Agencia, en el «Manual de la Modalidad de Selección de Mínima Cuantía»: 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p>
    <w:p w14:paraId="4F7020AF" w14:textId="77777777" w:rsidR="00472FF4" w:rsidRPr="00CD4CF0" w:rsidRDefault="00472FF4" w:rsidP="00FA2409">
      <w:pPr>
        <w:tabs>
          <w:tab w:val="left" w:pos="0"/>
        </w:tabs>
        <w:jc w:val="both"/>
        <w:rPr>
          <w:rFonts w:ascii="Arial" w:eastAsia="Calibri" w:hAnsi="Arial" w:cs="Arial"/>
          <w:bCs/>
          <w:sz w:val="20"/>
          <w:szCs w:val="20"/>
          <w:lang w:val="es-ES"/>
        </w:rPr>
      </w:pPr>
    </w:p>
    <w:p w14:paraId="1BA2C865" w14:textId="03EA6A89" w:rsidR="00472FF4" w:rsidRPr="00FA2409" w:rsidRDefault="00472FF4" w:rsidP="00FA2409">
      <w:pPr>
        <w:pStyle w:val="Prrafodelista"/>
        <w:tabs>
          <w:tab w:val="left" w:pos="0"/>
        </w:tabs>
        <w:ind w:left="0"/>
        <w:jc w:val="both"/>
        <w:rPr>
          <w:rFonts w:ascii="Arial" w:eastAsia="Calibri" w:hAnsi="Arial" w:cs="Arial"/>
          <w:b/>
          <w:sz w:val="22"/>
          <w:lang w:val="es-ES"/>
        </w:rPr>
      </w:pPr>
      <w:r w:rsidRPr="00FA2409">
        <w:rPr>
          <w:rFonts w:ascii="Arial" w:eastAsia="Calibri" w:hAnsi="Arial" w:cs="Arial"/>
          <w:b/>
          <w:sz w:val="22"/>
          <w:lang w:val="es-ES"/>
        </w:rPr>
        <w:t xml:space="preserve">MÍNIMA CUANTÍA </w:t>
      </w:r>
      <w:r w:rsidRPr="00FA2409">
        <w:rPr>
          <w:rFonts w:ascii="Arial" w:eastAsia="Calibri" w:hAnsi="Arial" w:cs="Arial"/>
          <w:b/>
          <w:sz w:val="22"/>
        </w:rPr>
        <w:t>–</w:t>
      </w:r>
      <w:r w:rsidRPr="00FA2409">
        <w:rPr>
          <w:rFonts w:ascii="Arial" w:eastAsia="Calibri" w:hAnsi="Arial" w:cs="Arial"/>
          <w:b/>
          <w:sz w:val="22"/>
          <w:lang w:val="es-ES"/>
        </w:rPr>
        <w:t xml:space="preserve"> Tiempo límite mínimo</w:t>
      </w:r>
    </w:p>
    <w:p w14:paraId="4EEE96F8" w14:textId="77777777" w:rsidR="00472FF4" w:rsidRPr="00CD4CF0" w:rsidRDefault="00472FF4" w:rsidP="00FA2409">
      <w:pPr>
        <w:tabs>
          <w:tab w:val="left" w:pos="0"/>
        </w:tabs>
        <w:jc w:val="both"/>
        <w:rPr>
          <w:rFonts w:ascii="Arial" w:eastAsia="Calibri" w:hAnsi="Arial" w:cs="Arial"/>
          <w:bCs/>
          <w:sz w:val="20"/>
          <w:szCs w:val="20"/>
          <w:lang w:val="es-ES"/>
        </w:rPr>
      </w:pPr>
    </w:p>
    <w:p w14:paraId="32227E7D" w14:textId="77777777" w:rsidR="00472FF4" w:rsidRPr="003B1CBD" w:rsidRDefault="00472FF4" w:rsidP="00FA2409">
      <w:pPr>
        <w:tabs>
          <w:tab w:val="left" w:pos="0"/>
        </w:tabs>
        <w:jc w:val="both"/>
        <w:rPr>
          <w:rFonts w:ascii="Arial" w:eastAsia="Calibri" w:hAnsi="Arial" w:cs="Arial"/>
          <w:bCs/>
          <w:sz w:val="20"/>
          <w:szCs w:val="20"/>
          <w:lang w:val="es-ES"/>
        </w:rPr>
      </w:pPr>
      <w:r w:rsidRPr="003B1CBD">
        <w:rPr>
          <w:rFonts w:ascii="Arial" w:eastAsia="Calibri" w:hAnsi="Arial" w:cs="Arial"/>
          <w:bCs/>
          <w:sz w:val="20"/>
          <w:szCs w:val="20"/>
          <w:lang w:val="es-ES"/>
        </w:rPr>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705B4571" w14:textId="77777777" w:rsidR="00472FF4" w:rsidRPr="00CD4CF0" w:rsidRDefault="00472FF4" w:rsidP="00FA2409">
      <w:pPr>
        <w:tabs>
          <w:tab w:val="left" w:pos="0"/>
        </w:tabs>
        <w:jc w:val="both"/>
        <w:rPr>
          <w:rFonts w:ascii="Arial" w:eastAsia="Calibri" w:hAnsi="Arial" w:cs="Arial"/>
          <w:bCs/>
          <w:sz w:val="20"/>
          <w:szCs w:val="20"/>
          <w:lang w:val="es-ES"/>
        </w:rPr>
      </w:pPr>
    </w:p>
    <w:p w14:paraId="7883FD8D" w14:textId="77777777" w:rsidR="00472FF4" w:rsidRPr="00FA2409" w:rsidRDefault="00472FF4" w:rsidP="00FA2409">
      <w:pPr>
        <w:tabs>
          <w:tab w:val="left" w:pos="0"/>
        </w:tabs>
        <w:jc w:val="both"/>
        <w:rPr>
          <w:rFonts w:ascii="Arial" w:eastAsia="Calibri" w:hAnsi="Arial" w:cs="Arial"/>
          <w:b/>
          <w:sz w:val="22"/>
          <w:lang w:val="es-ES"/>
        </w:rPr>
      </w:pPr>
      <w:r w:rsidRPr="00FA2409">
        <w:rPr>
          <w:rFonts w:ascii="Arial" w:eastAsia="Calibri" w:hAnsi="Arial" w:cs="Arial"/>
          <w:b/>
          <w:sz w:val="22"/>
          <w:lang w:val="es-ES"/>
        </w:rPr>
        <w:t xml:space="preserve">DÍAS HÁBILES </w:t>
      </w:r>
      <w:r w:rsidRPr="00FA2409">
        <w:rPr>
          <w:rFonts w:ascii="Arial" w:eastAsia="Calibri" w:hAnsi="Arial" w:cs="Arial"/>
          <w:b/>
          <w:sz w:val="22"/>
        </w:rPr>
        <w:t xml:space="preserve">– </w:t>
      </w:r>
      <w:r w:rsidRPr="00FA2409">
        <w:rPr>
          <w:rFonts w:ascii="Arial" w:eastAsia="Calibri" w:hAnsi="Arial" w:cs="Arial"/>
          <w:b/>
          <w:sz w:val="22"/>
          <w:lang w:val="es-ES"/>
        </w:rPr>
        <w:t xml:space="preserve">Concepto </w:t>
      </w:r>
      <w:r w:rsidRPr="00FA2409">
        <w:rPr>
          <w:rFonts w:ascii="Arial" w:eastAsia="Calibri" w:hAnsi="Arial" w:cs="Arial"/>
          <w:b/>
          <w:sz w:val="22"/>
        </w:rPr>
        <w:t>–</w:t>
      </w:r>
      <w:r w:rsidRPr="00FA2409">
        <w:rPr>
          <w:rFonts w:ascii="Arial" w:eastAsia="Calibri" w:hAnsi="Arial" w:cs="Arial"/>
          <w:b/>
          <w:sz w:val="22"/>
          <w:lang w:val="es-ES"/>
        </w:rPr>
        <w:t xml:space="preserve"> Cómputo de términos</w:t>
      </w:r>
    </w:p>
    <w:p w14:paraId="7AA31403" w14:textId="77777777" w:rsidR="00472FF4" w:rsidRPr="00CD4CF0" w:rsidRDefault="00472FF4" w:rsidP="00FA2409">
      <w:pPr>
        <w:tabs>
          <w:tab w:val="left" w:pos="0"/>
        </w:tabs>
        <w:jc w:val="both"/>
        <w:rPr>
          <w:rFonts w:ascii="Arial" w:eastAsia="Calibri" w:hAnsi="Arial" w:cs="Arial"/>
          <w:bCs/>
          <w:sz w:val="20"/>
          <w:szCs w:val="20"/>
          <w:lang w:val="es-ES"/>
        </w:rPr>
      </w:pPr>
    </w:p>
    <w:p w14:paraId="5D43B8CA" w14:textId="674B4E94" w:rsidR="00472FF4" w:rsidRDefault="00472FF4" w:rsidP="00FA2409">
      <w:pPr>
        <w:tabs>
          <w:tab w:val="left" w:pos="0"/>
        </w:tabs>
        <w:spacing w:after="120"/>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 el artículo 59 establece que los plazos a los que se haga mención en la ley terminan a la medianoche, y que por </w:t>
      </w:r>
      <w:r w:rsidRPr="003B1CBD">
        <w:rPr>
          <w:rFonts w:ascii="Arial" w:eastAsia="Calibri" w:hAnsi="Arial" w:cs="Arial"/>
          <w:bCs/>
          <w:i/>
          <w:iCs/>
          <w:sz w:val="20"/>
          <w:szCs w:val="20"/>
          <w:lang w:val="es-ES"/>
        </w:rPr>
        <w:t xml:space="preserve">día </w:t>
      </w:r>
      <w:r w:rsidRPr="003B1CBD">
        <w:rPr>
          <w:rFonts w:ascii="Arial" w:eastAsia="Calibri" w:hAnsi="Arial" w:cs="Arial"/>
          <w:bCs/>
          <w:sz w:val="20"/>
          <w:szCs w:val="20"/>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3B1CBD">
        <w:rPr>
          <w:rFonts w:ascii="Arial" w:eastAsia="Calibri" w:hAnsi="Arial" w:cs="Arial"/>
          <w:bCs/>
          <w:sz w:val="20"/>
          <w:szCs w:val="20"/>
          <w:lang w:val="es-ES"/>
        </w:rPr>
        <w:tab/>
      </w:r>
    </w:p>
    <w:p w14:paraId="4F126FD0" w14:textId="61B5D46F" w:rsidR="005D6649" w:rsidRPr="003B1CBD" w:rsidRDefault="005D6649" w:rsidP="00FA2409">
      <w:pPr>
        <w:tabs>
          <w:tab w:val="left" w:pos="0"/>
        </w:tabs>
        <w:spacing w:after="120"/>
        <w:jc w:val="both"/>
        <w:rPr>
          <w:rFonts w:ascii="Arial" w:eastAsia="Calibri" w:hAnsi="Arial" w:cs="Arial"/>
          <w:bCs/>
          <w:sz w:val="20"/>
          <w:szCs w:val="20"/>
          <w:lang w:val="es-ES"/>
        </w:rPr>
      </w:pPr>
      <w:r>
        <w:rPr>
          <w:rFonts w:ascii="Arial" w:eastAsia="Calibri" w:hAnsi="Arial" w:cs="Arial"/>
          <w:bCs/>
          <w:sz w:val="20"/>
          <w:szCs w:val="20"/>
          <w:lang w:val="es-ES"/>
        </w:rPr>
        <w:t>[…]</w:t>
      </w:r>
    </w:p>
    <w:p w14:paraId="0A150769" w14:textId="77777777" w:rsidR="00472FF4" w:rsidRPr="003B1CBD" w:rsidRDefault="00472FF4" w:rsidP="00FA2409">
      <w:pPr>
        <w:tabs>
          <w:tab w:val="left" w:pos="0"/>
        </w:tabs>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w:t>
      </w:r>
      <w:r w:rsidRPr="003B1CBD">
        <w:rPr>
          <w:rFonts w:ascii="Arial" w:eastAsia="Calibri" w:hAnsi="Arial" w:cs="Arial"/>
          <w:bCs/>
          <w:sz w:val="20"/>
          <w:szCs w:val="20"/>
          <w:lang w:val="es-ES"/>
        </w:rPr>
        <w:lastRenderedPageBreak/>
        <w:t>la Administración labora los fines de semana ―sábados y domingos― normalmente para brindarle un buen servicio a la población campesina, que acostumbra ir al casco urbano en estos dos días y descansan un día de la semana ―usualmente el miércoles―» , ejemplo donde los días laborables o hábiles son todos los de la semana, con excepción del miércoles.</w:t>
      </w:r>
    </w:p>
    <w:p w14:paraId="63C9FB71" w14:textId="77777777" w:rsidR="00472FF4" w:rsidRPr="00CD4CF0" w:rsidRDefault="00472FF4" w:rsidP="00FA2409">
      <w:pPr>
        <w:tabs>
          <w:tab w:val="left" w:pos="0"/>
        </w:tabs>
        <w:jc w:val="both"/>
        <w:rPr>
          <w:rFonts w:ascii="Arial" w:eastAsia="Calibri" w:hAnsi="Arial" w:cs="Arial"/>
          <w:bCs/>
          <w:sz w:val="20"/>
          <w:szCs w:val="20"/>
          <w:lang w:val="es-ES"/>
        </w:rPr>
      </w:pPr>
    </w:p>
    <w:p w14:paraId="56C01603" w14:textId="277E2F9E" w:rsidR="00472FF4" w:rsidRPr="00FA2409" w:rsidRDefault="00472FF4" w:rsidP="00FA2409">
      <w:pPr>
        <w:tabs>
          <w:tab w:val="left" w:pos="0"/>
        </w:tabs>
        <w:jc w:val="both"/>
        <w:rPr>
          <w:rFonts w:ascii="Arial" w:eastAsia="Calibri" w:hAnsi="Arial" w:cs="Arial"/>
          <w:b/>
          <w:sz w:val="22"/>
          <w:lang w:val="es-ES"/>
        </w:rPr>
      </w:pPr>
      <w:r w:rsidRPr="00FA2409">
        <w:rPr>
          <w:rFonts w:ascii="Arial" w:eastAsia="Calibri" w:hAnsi="Arial" w:cs="Arial"/>
          <w:b/>
          <w:sz w:val="22"/>
          <w:lang w:val="es-ES"/>
        </w:rPr>
        <w:t>M</w:t>
      </w:r>
      <w:r w:rsidR="00CD4CF0">
        <w:rPr>
          <w:rFonts w:ascii="Arial" w:eastAsia="Calibri" w:hAnsi="Arial" w:cs="Arial"/>
          <w:b/>
          <w:sz w:val="22"/>
          <w:lang w:val="es-ES"/>
        </w:rPr>
        <w:t>Í</w:t>
      </w:r>
      <w:r w:rsidRPr="00FA2409">
        <w:rPr>
          <w:rFonts w:ascii="Arial" w:eastAsia="Calibri" w:hAnsi="Arial" w:cs="Arial"/>
          <w:b/>
          <w:sz w:val="22"/>
          <w:lang w:val="es-ES"/>
        </w:rPr>
        <w:t xml:space="preserve">NIMA CUANTÍA </w:t>
      </w:r>
      <w:r w:rsidRPr="00FA2409">
        <w:rPr>
          <w:rFonts w:ascii="Arial" w:eastAsia="Calibri" w:hAnsi="Arial" w:cs="Arial"/>
          <w:b/>
          <w:sz w:val="22"/>
        </w:rPr>
        <w:t>–</w:t>
      </w:r>
      <w:r w:rsidR="00CD4CF0">
        <w:rPr>
          <w:rFonts w:ascii="Arial" w:eastAsia="Calibri" w:hAnsi="Arial" w:cs="Arial"/>
          <w:b/>
          <w:sz w:val="22"/>
          <w:lang w:val="es-ES"/>
        </w:rPr>
        <w:t xml:space="preserve"> P</w:t>
      </w:r>
      <w:r w:rsidR="00CD4CF0" w:rsidRPr="00FA2409">
        <w:rPr>
          <w:rFonts w:ascii="Arial" w:eastAsia="Calibri" w:hAnsi="Arial" w:cs="Arial"/>
          <w:b/>
          <w:sz w:val="22"/>
          <w:lang w:val="es-ES"/>
        </w:rPr>
        <w:t>resenta</w:t>
      </w:r>
      <w:r w:rsidR="00CD4CF0">
        <w:rPr>
          <w:rFonts w:ascii="Arial" w:eastAsia="Calibri" w:hAnsi="Arial" w:cs="Arial"/>
          <w:b/>
          <w:sz w:val="22"/>
          <w:lang w:val="es-ES"/>
        </w:rPr>
        <w:t>ción</w:t>
      </w:r>
      <w:r w:rsidRPr="00FA2409">
        <w:rPr>
          <w:rFonts w:ascii="Arial" w:eastAsia="Calibri" w:hAnsi="Arial" w:cs="Arial"/>
          <w:b/>
          <w:sz w:val="22"/>
          <w:lang w:val="es-ES"/>
        </w:rPr>
        <w:t xml:space="preserve"> ofertas </w:t>
      </w:r>
      <w:r w:rsidRPr="00FA2409">
        <w:rPr>
          <w:rFonts w:ascii="Arial" w:eastAsia="Calibri" w:hAnsi="Arial" w:cs="Arial"/>
          <w:b/>
          <w:sz w:val="22"/>
        </w:rPr>
        <w:t>–</w:t>
      </w:r>
      <w:r w:rsidRPr="00FA2409">
        <w:rPr>
          <w:rFonts w:ascii="Arial" w:eastAsia="Calibri" w:hAnsi="Arial" w:cs="Arial"/>
          <w:b/>
          <w:sz w:val="22"/>
          <w:lang w:val="es-ES"/>
        </w:rPr>
        <w:t xml:space="preserve"> </w:t>
      </w:r>
      <w:r w:rsidR="00CD4CF0">
        <w:rPr>
          <w:rFonts w:ascii="Arial" w:eastAsia="Calibri" w:hAnsi="Arial" w:cs="Arial"/>
          <w:b/>
          <w:sz w:val="22"/>
          <w:lang w:val="es-ES"/>
        </w:rPr>
        <w:t xml:space="preserve">Plazo – </w:t>
      </w:r>
      <w:r w:rsidRPr="00FA2409">
        <w:rPr>
          <w:rFonts w:ascii="Arial" w:eastAsia="Calibri" w:hAnsi="Arial" w:cs="Arial"/>
          <w:b/>
          <w:sz w:val="22"/>
          <w:lang w:val="es-ES"/>
        </w:rPr>
        <w:t xml:space="preserve">Días hábiles </w:t>
      </w:r>
      <w:r w:rsidRPr="00FA2409">
        <w:rPr>
          <w:rFonts w:ascii="Arial" w:eastAsia="Calibri" w:hAnsi="Arial" w:cs="Arial"/>
          <w:b/>
          <w:sz w:val="22"/>
        </w:rPr>
        <w:t>–</w:t>
      </w:r>
      <w:r w:rsidRPr="00FA2409">
        <w:rPr>
          <w:rFonts w:ascii="Arial" w:eastAsia="Calibri" w:hAnsi="Arial" w:cs="Arial"/>
          <w:b/>
          <w:sz w:val="22"/>
          <w:lang w:val="es-ES"/>
        </w:rPr>
        <w:t xml:space="preserve"> Regla interpretativa</w:t>
      </w:r>
    </w:p>
    <w:p w14:paraId="22194383" w14:textId="77777777" w:rsidR="00472FF4" w:rsidRPr="00CD4CF0" w:rsidRDefault="00472FF4" w:rsidP="00FA2409">
      <w:pPr>
        <w:tabs>
          <w:tab w:val="left" w:pos="0"/>
        </w:tabs>
        <w:jc w:val="both"/>
        <w:rPr>
          <w:rFonts w:ascii="Arial" w:eastAsia="Calibri" w:hAnsi="Arial" w:cs="Arial"/>
          <w:bCs/>
          <w:sz w:val="20"/>
          <w:szCs w:val="20"/>
          <w:lang w:val="es-ES"/>
        </w:rPr>
      </w:pPr>
    </w:p>
    <w:p w14:paraId="3E3FCAF0" w14:textId="5A40B58A" w:rsidR="00472FF4" w:rsidRPr="003B1CBD" w:rsidRDefault="00472FF4" w:rsidP="00FA2409">
      <w:pPr>
        <w:tabs>
          <w:tab w:val="left" w:pos="0"/>
        </w:tabs>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En ese sentido, el hecho de que el proceso de selección se lleve a cabo recibiendo ofertas en físico, publicándose la documentación contractual en SECOP I, o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De otro lado, en el caso de las entidades que realizan sus procedimientos de selección a través de SECOP II, deberán extender el termino para la presentación de ofertas durante las veinticuatro (24) horas que conforman un día solar laborable.  </w:t>
      </w:r>
    </w:p>
    <w:p w14:paraId="7F816571" w14:textId="221D98FD" w:rsidR="00FA2409" w:rsidRPr="00CD4CF0" w:rsidRDefault="00FA2409" w:rsidP="00FA2409">
      <w:pPr>
        <w:tabs>
          <w:tab w:val="left" w:pos="0"/>
        </w:tabs>
        <w:jc w:val="both"/>
        <w:rPr>
          <w:rFonts w:ascii="Arial" w:eastAsia="Calibri" w:hAnsi="Arial" w:cs="Arial"/>
          <w:bCs/>
          <w:sz w:val="20"/>
          <w:szCs w:val="20"/>
          <w:lang w:val="es-ES"/>
        </w:rPr>
      </w:pPr>
    </w:p>
    <w:p w14:paraId="6482DBFA" w14:textId="3461C7B9" w:rsidR="00FA2409" w:rsidRPr="00FA2409" w:rsidRDefault="00FA2409" w:rsidP="00FA2409">
      <w:pPr>
        <w:tabs>
          <w:tab w:val="left" w:pos="0"/>
        </w:tabs>
        <w:jc w:val="both"/>
        <w:rPr>
          <w:rFonts w:ascii="Arial" w:hAnsi="Arial" w:cs="Arial"/>
          <w:b/>
          <w:bCs/>
          <w:sz w:val="22"/>
        </w:rPr>
      </w:pPr>
      <w:r w:rsidRPr="00FA2409">
        <w:rPr>
          <w:rFonts w:ascii="Arial" w:hAnsi="Arial" w:cs="Arial"/>
          <w:b/>
          <w:bCs/>
          <w:sz w:val="22"/>
        </w:rPr>
        <w:t>PRINCIPIO DE TRANSPARENCIA – Observaciones</w:t>
      </w:r>
    </w:p>
    <w:p w14:paraId="51461D3E" w14:textId="77777777" w:rsidR="00FA2409" w:rsidRPr="00CD4CF0" w:rsidRDefault="00FA2409" w:rsidP="00FA2409">
      <w:pPr>
        <w:tabs>
          <w:tab w:val="left" w:pos="0"/>
        </w:tabs>
        <w:jc w:val="both"/>
        <w:rPr>
          <w:rFonts w:ascii="Arial" w:eastAsia="Calibri" w:hAnsi="Arial" w:cs="Arial"/>
          <w:bCs/>
          <w:sz w:val="20"/>
          <w:szCs w:val="20"/>
          <w:lang w:val="es-ES"/>
        </w:rPr>
      </w:pPr>
    </w:p>
    <w:p w14:paraId="2A0F2255" w14:textId="77777777" w:rsidR="00FA2409" w:rsidRPr="003B1CBD" w:rsidRDefault="00FA2409" w:rsidP="00FA2409">
      <w:pPr>
        <w:tabs>
          <w:tab w:val="left" w:pos="0"/>
        </w:tabs>
        <w:spacing w:after="120"/>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w:t>
      </w:r>
      <w:proofErr w:type="gramStart"/>
      <w:r w:rsidRPr="003B1CBD">
        <w:rPr>
          <w:rFonts w:ascii="Arial" w:eastAsia="Calibri" w:hAnsi="Arial" w:cs="Arial"/>
          <w:bCs/>
          <w:sz w:val="20"/>
          <w:szCs w:val="20"/>
          <w:lang w:val="es-ES"/>
        </w:rPr>
        <w:t>fines .</w:t>
      </w:r>
      <w:proofErr w:type="gramEnd"/>
      <w:r w:rsidRPr="003B1CBD">
        <w:rPr>
          <w:rFonts w:ascii="Arial" w:eastAsia="Calibri" w:hAnsi="Arial" w:cs="Arial"/>
          <w:bCs/>
          <w:sz w:val="20"/>
          <w:szCs w:val="20"/>
          <w:lang w:val="es-ES"/>
        </w:rPr>
        <w:t xml:space="preserve"> En cumplimiento de ese propósito, el legislador determinó que las actuaciones adelantadas por las entidades estatales, en materia contractual, se llevan a cabo, entre otros, en cumplimiento de los principios que gobiernan los procesos de contratación pública. </w:t>
      </w:r>
    </w:p>
    <w:p w14:paraId="642994FB" w14:textId="344935C6" w:rsidR="00FA2409" w:rsidRPr="003B1CBD" w:rsidRDefault="00FA2409" w:rsidP="00FA2409">
      <w:pPr>
        <w:tabs>
          <w:tab w:val="left" w:pos="0"/>
        </w:tabs>
        <w:jc w:val="both"/>
        <w:rPr>
          <w:rFonts w:ascii="Arial" w:eastAsia="Calibri" w:hAnsi="Arial" w:cs="Arial"/>
          <w:bCs/>
          <w:sz w:val="20"/>
          <w:szCs w:val="20"/>
          <w:lang w:val="es-ES"/>
        </w:rPr>
      </w:pPr>
      <w:r w:rsidRPr="003B1CBD">
        <w:rPr>
          <w:rFonts w:ascii="Arial" w:eastAsia="Calibri" w:hAnsi="Arial" w:cs="Arial"/>
          <w:bCs/>
          <w:sz w:val="20"/>
          <w:szCs w:val="20"/>
          <w:lang w:val="es-ES"/>
        </w:rPr>
        <w:t xml:space="preserve">El artículo 23 de la Ley 80 de 1993 regula los principios aplicables a las actuaciones contractuales adelantadas por las entidades </w:t>
      </w:r>
      <w:proofErr w:type="gramStart"/>
      <w:r w:rsidRPr="003B1CBD">
        <w:rPr>
          <w:rFonts w:ascii="Arial" w:eastAsia="Calibri" w:hAnsi="Arial" w:cs="Arial"/>
          <w:bCs/>
          <w:sz w:val="20"/>
          <w:szCs w:val="20"/>
          <w:lang w:val="es-ES"/>
        </w:rPr>
        <w:t>estatales .</w:t>
      </w:r>
      <w:proofErr w:type="gramEnd"/>
      <w:r w:rsidRPr="003B1CBD">
        <w:rPr>
          <w:rFonts w:ascii="Arial" w:eastAsia="Calibri" w:hAnsi="Arial" w:cs="Arial"/>
          <w:bCs/>
          <w:sz w:val="20"/>
          <w:szCs w:val="20"/>
          <w:lang w:val="es-ES"/>
        </w:rPr>
        <w:t xml:space="preserve">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Por eso en los numerales 2º y 3º se estableció la facultad de los interesados para realizar y/o presentar observaciones, como un mecanismo para controvertir algunas de las decisiones adoptadas por las entidades estatales en el marco de sus actuaciones, por demás públicas, en los procesos contractuales.</w:t>
      </w:r>
    </w:p>
    <w:p w14:paraId="77A0B276" w14:textId="6AEB4849" w:rsidR="00FA2409" w:rsidRPr="00CD4CF0" w:rsidRDefault="00FA2409" w:rsidP="00FA2409">
      <w:pPr>
        <w:tabs>
          <w:tab w:val="left" w:pos="0"/>
        </w:tabs>
        <w:jc w:val="both"/>
        <w:rPr>
          <w:rFonts w:ascii="Arial" w:eastAsia="Calibri" w:hAnsi="Arial" w:cs="Arial"/>
          <w:bCs/>
          <w:sz w:val="20"/>
          <w:szCs w:val="20"/>
          <w:lang w:val="es-ES"/>
        </w:rPr>
      </w:pPr>
    </w:p>
    <w:p w14:paraId="5F40F641" w14:textId="1D959A12" w:rsidR="00FA2409" w:rsidRPr="00FA2409" w:rsidRDefault="00FA2409" w:rsidP="00FA2409">
      <w:pPr>
        <w:tabs>
          <w:tab w:val="left" w:pos="0"/>
        </w:tabs>
        <w:jc w:val="both"/>
        <w:rPr>
          <w:rFonts w:ascii="Arial" w:eastAsia="Calibri" w:hAnsi="Arial" w:cs="Arial"/>
          <w:b/>
          <w:sz w:val="22"/>
          <w:lang w:val="es-ES"/>
        </w:rPr>
      </w:pPr>
      <w:r w:rsidRPr="00FA2409">
        <w:rPr>
          <w:rFonts w:ascii="Arial" w:eastAsia="Calibri" w:hAnsi="Arial" w:cs="Arial"/>
          <w:b/>
          <w:sz w:val="22"/>
          <w:lang w:val="es-ES"/>
        </w:rPr>
        <w:t xml:space="preserve">MÍNIMA CUANTÍA – Observaciones </w:t>
      </w:r>
      <w:r w:rsidR="00CD4CF0">
        <w:rPr>
          <w:rFonts w:ascii="Arial" w:eastAsia="Calibri" w:hAnsi="Arial" w:cs="Arial"/>
          <w:b/>
          <w:sz w:val="22"/>
          <w:lang w:val="es-ES"/>
        </w:rPr>
        <w:t>– I</w:t>
      </w:r>
      <w:r w:rsidRPr="00FA2409">
        <w:rPr>
          <w:rFonts w:ascii="Arial" w:eastAsia="Calibri" w:hAnsi="Arial" w:cs="Arial"/>
          <w:b/>
          <w:sz w:val="22"/>
          <w:lang w:val="es-ES"/>
        </w:rPr>
        <w:t>nvitación – Términos</w:t>
      </w:r>
    </w:p>
    <w:p w14:paraId="1FB0FF32" w14:textId="77777777" w:rsidR="00FA2409" w:rsidRPr="00CD4CF0" w:rsidRDefault="00FA2409" w:rsidP="00FA2409">
      <w:pPr>
        <w:tabs>
          <w:tab w:val="left" w:pos="0"/>
        </w:tabs>
        <w:jc w:val="both"/>
        <w:rPr>
          <w:rFonts w:ascii="Arial" w:eastAsia="Calibri" w:hAnsi="Arial" w:cs="Arial"/>
          <w:bCs/>
          <w:sz w:val="20"/>
          <w:szCs w:val="20"/>
          <w:lang w:val="es-ES"/>
        </w:rPr>
      </w:pPr>
    </w:p>
    <w:p w14:paraId="595532FA" w14:textId="77777777" w:rsidR="00FA2409" w:rsidRPr="003B1CBD" w:rsidRDefault="00FA2409" w:rsidP="00FA2409">
      <w:pPr>
        <w:tabs>
          <w:tab w:val="left" w:pos="0"/>
        </w:tabs>
        <w:spacing w:after="120"/>
        <w:jc w:val="both"/>
        <w:rPr>
          <w:rFonts w:ascii="Arial" w:eastAsia="Calibri" w:hAnsi="Arial" w:cs="Arial"/>
          <w:bCs/>
          <w:sz w:val="20"/>
          <w:szCs w:val="20"/>
        </w:rPr>
      </w:pPr>
      <w:r w:rsidRPr="003B1CBD">
        <w:rPr>
          <w:rFonts w:ascii="Arial" w:eastAsia="Calibri" w:hAnsi="Arial" w:cs="Arial"/>
          <w:bCs/>
          <w:sz w:val="20"/>
          <w:szCs w:val="20"/>
        </w:rPr>
        <w:t xml:space="preserve">En relación con el proceso de selección de </w:t>
      </w:r>
      <w:r w:rsidRPr="003B1CBD">
        <w:rPr>
          <w:rFonts w:ascii="Arial" w:eastAsia="Calibri" w:hAnsi="Arial" w:cs="Arial"/>
          <w:bCs/>
          <w:i/>
          <w:iCs/>
          <w:sz w:val="20"/>
          <w:szCs w:val="20"/>
        </w:rPr>
        <w:t>mínima cuantía</w:t>
      </w:r>
      <w:r w:rsidRPr="003B1CBD">
        <w:rPr>
          <w:rFonts w:ascii="Arial" w:eastAsia="Calibri" w:hAnsi="Arial" w:cs="Arial"/>
          <w:bCs/>
          <w:sz w:val="20"/>
          <w:szCs w:val="20"/>
        </w:rPr>
        <w:t xml:space="preserve">, el artículo 2.2.1.2.1.5.2. del Decreto 1082 de 2015, dispuso que la entidad deberá realizar una «invitación a participar en procesos de mínima cuantía», por supuesto, luego de haber realizado los «estudios previos para la contratación de mínima cuantía», regulados en el artículo 2.2.1.2.1.5.1. </w:t>
      </w:r>
      <w:proofErr w:type="spellStart"/>
      <w:r w:rsidRPr="003B1CBD">
        <w:rPr>
          <w:rFonts w:ascii="Arial" w:eastAsia="Calibri" w:hAnsi="Arial" w:cs="Arial"/>
          <w:bCs/>
          <w:i/>
          <w:iCs/>
          <w:sz w:val="20"/>
          <w:szCs w:val="20"/>
        </w:rPr>
        <w:t>ibídem</w:t>
      </w:r>
      <w:proofErr w:type="spellEnd"/>
      <w:r w:rsidRPr="003B1CBD">
        <w:rPr>
          <w:rFonts w:ascii="Arial" w:eastAsia="Calibri" w:hAnsi="Arial" w:cs="Arial"/>
          <w:bCs/>
          <w:sz w:val="20"/>
          <w:szCs w:val="20"/>
        </w:rPr>
        <w:t>.  La norma referida también establece que la invitación debe hacerse por el término mínimo de un día, término durante el cual los proponentes podrán, por un lado, presentar observaciones y comentarios a la «invitación» y, por el otro, presentar sus propuestas. De todos modos, la entidad tendrá que responder las observaciones y comentarios antes del vencimiento del plazo para presentar ofertas, el cual es concomitante con el de la presentación de las observaciones y comentarios, salvo cuando la entidad establezca un cronograma, separando cada una de las etapas del proceso, sin que, en ningún caso, se itera, pueda ser inferior a un día hábil el plazo fijado. En todo caso, como no es obligatorio fijar un cronograma, resulta válido que las dos etapas se adelanten en un mismo término.</w:t>
      </w:r>
    </w:p>
    <w:p w14:paraId="34919496" w14:textId="77777777" w:rsidR="00FA2409" w:rsidRPr="003B1CBD" w:rsidRDefault="00FA2409" w:rsidP="00FA2409">
      <w:pPr>
        <w:tabs>
          <w:tab w:val="left" w:pos="0"/>
        </w:tabs>
        <w:jc w:val="both"/>
        <w:rPr>
          <w:rFonts w:ascii="Arial" w:eastAsia="Calibri" w:hAnsi="Arial" w:cs="Arial"/>
          <w:bCs/>
          <w:sz w:val="20"/>
          <w:szCs w:val="20"/>
        </w:rPr>
      </w:pPr>
      <w:r w:rsidRPr="003B1CBD">
        <w:rPr>
          <w:rFonts w:ascii="Arial" w:eastAsia="Calibri" w:hAnsi="Arial" w:cs="Arial"/>
          <w:bCs/>
          <w:sz w:val="20"/>
          <w:szCs w:val="20"/>
        </w:rPr>
        <w:lastRenderedPageBreak/>
        <w:t xml:space="preserve">La Agencia Nacional de Contratación Pública considera que es una práctica sana que las entidades públicas establezcan un cronograma al publicar la «invitación» en los procesos de mínima cuantía, pese a que, como ya se dijo, esto no sea obligatorio, ya que lo único que, por disposición del numeral 1 del artículo 2.2.1.2.1.5.2. del Decreto 1082 de 2015, debe tener la «invitación» es: i) la descripción del objeto a contratar identificado con el cuarto nivel del Clasificador de Bienes y Servicios; </w:t>
      </w:r>
      <w:proofErr w:type="spellStart"/>
      <w:r w:rsidRPr="003B1CBD">
        <w:rPr>
          <w:rFonts w:ascii="Arial" w:eastAsia="Calibri" w:hAnsi="Arial" w:cs="Arial"/>
          <w:bCs/>
          <w:sz w:val="20"/>
          <w:szCs w:val="20"/>
        </w:rPr>
        <w:t>ii</w:t>
      </w:r>
      <w:proofErr w:type="spellEnd"/>
      <w:r w:rsidRPr="003B1CBD">
        <w:rPr>
          <w:rFonts w:ascii="Arial" w:eastAsia="Calibri" w:hAnsi="Arial" w:cs="Arial"/>
          <w:bCs/>
          <w:sz w:val="20"/>
          <w:szCs w:val="20"/>
        </w:rPr>
        <w:t xml:space="preserve">) las condiciones técnicas exigidas; </w:t>
      </w:r>
      <w:proofErr w:type="spellStart"/>
      <w:r w:rsidRPr="003B1CBD">
        <w:rPr>
          <w:rFonts w:ascii="Arial" w:eastAsia="Calibri" w:hAnsi="Arial" w:cs="Arial"/>
          <w:bCs/>
          <w:sz w:val="20"/>
          <w:szCs w:val="20"/>
        </w:rPr>
        <w:t>iii</w:t>
      </w:r>
      <w:proofErr w:type="spellEnd"/>
      <w:r w:rsidRPr="003B1CBD">
        <w:rPr>
          <w:rFonts w:ascii="Arial" w:eastAsia="Calibri" w:hAnsi="Arial" w:cs="Arial"/>
          <w:bCs/>
          <w:sz w:val="20"/>
          <w:szCs w:val="20"/>
        </w:rPr>
        <w:t xml:space="preserve">) el valor estimado del contrato y su justificación; y </w:t>
      </w:r>
      <w:proofErr w:type="spellStart"/>
      <w:r w:rsidRPr="003B1CBD">
        <w:rPr>
          <w:rFonts w:ascii="Arial" w:eastAsia="Calibri" w:hAnsi="Arial" w:cs="Arial"/>
          <w:bCs/>
          <w:sz w:val="20"/>
          <w:szCs w:val="20"/>
        </w:rPr>
        <w:t>iv</w:t>
      </w:r>
      <w:proofErr w:type="spellEnd"/>
      <w:r w:rsidRPr="003B1CBD">
        <w:rPr>
          <w:rFonts w:ascii="Arial" w:eastAsia="Calibri" w:hAnsi="Arial" w:cs="Arial"/>
          <w:bCs/>
          <w:sz w:val="20"/>
          <w:szCs w:val="20"/>
        </w:rPr>
        <w:t>) la forma como el interesado debe acreditar su capacidad jurídica y la experiencia mínima, si se exige esta última, y el cumplimiento de las condiciones técnicas exigidas.</w:t>
      </w:r>
    </w:p>
    <w:p w14:paraId="17B5254C" w14:textId="2858E1F1" w:rsidR="00FA2409" w:rsidRPr="00CD4CF0" w:rsidRDefault="00FA2409" w:rsidP="00FA2409">
      <w:pPr>
        <w:tabs>
          <w:tab w:val="left" w:pos="0"/>
        </w:tabs>
        <w:jc w:val="both"/>
        <w:rPr>
          <w:rFonts w:ascii="Arial" w:eastAsia="Calibri" w:hAnsi="Arial" w:cs="Arial"/>
          <w:bCs/>
          <w:sz w:val="20"/>
          <w:szCs w:val="20"/>
        </w:rPr>
      </w:pPr>
    </w:p>
    <w:p w14:paraId="74E0B091" w14:textId="640397CF" w:rsidR="00FA2409" w:rsidRPr="00FA2409" w:rsidRDefault="00FA2409" w:rsidP="00FA2409">
      <w:pPr>
        <w:tabs>
          <w:tab w:val="left" w:pos="0"/>
        </w:tabs>
        <w:jc w:val="both"/>
        <w:rPr>
          <w:rFonts w:ascii="Arial" w:eastAsia="Calibri" w:hAnsi="Arial" w:cs="Arial"/>
          <w:b/>
          <w:sz w:val="22"/>
        </w:rPr>
      </w:pPr>
      <w:r w:rsidRPr="00FA2409">
        <w:rPr>
          <w:rFonts w:ascii="Arial" w:eastAsia="Calibri" w:hAnsi="Arial" w:cs="Arial"/>
          <w:b/>
          <w:sz w:val="22"/>
        </w:rPr>
        <w:t>INVITACIÓN – Adendas – Requisitos – Plazos – Cronograma</w:t>
      </w:r>
    </w:p>
    <w:p w14:paraId="09A70A0A" w14:textId="6838CB11" w:rsidR="00FA2409" w:rsidRPr="00CD4CF0" w:rsidRDefault="00FA2409" w:rsidP="00FA2409">
      <w:pPr>
        <w:tabs>
          <w:tab w:val="left" w:pos="0"/>
        </w:tabs>
        <w:jc w:val="both"/>
        <w:rPr>
          <w:rFonts w:ascii="Arial" w:eastAsia="Calibri" w:hAnsi="Arial" w:cs="Arial"/>
          <w:bCs/>
          <w:sz w:val="20"/>
          <w:szCs w:val="20"/>
        </w:rPr>
      </w:pPr>
    </w:p>
    <w:p w14:paraId="50DC8470" w14:textId="77777777" w:rsidR="00FA2409" w:rsidRPr="003B1CBD" w:rsidRDefault="00FA2409" w:rsidP="00FA2409">
      <w:pPr>
        <w:tabs>
          <w:tab w:val="left" w:pos="0"/>
        </w:tabs>
        <w:spacing w:after="120"/>
        <w:jc w:val="both"/>
        <w:rPr>
          <w:rFonts w:ascii="Arial" w:eastAsia="Calibri" w:hAnsi="Arial" w:cs="Arial"/>
          <w:bCs/>
          <w:sz w:val="20"/>
          <w:szCs w:val="20"/>
        </w:rPr>
      </w:pPr>
      <w:r w:rsidRPr="003B1CBD">
        <w:rPr>
          <w:rFonts w:ascii="Arial" w:eastAsia="Calibri" w:hAnsi="Arial" w:cs="Arial"/>
          <w:bCs/>
          <w:sz w:val="20"/>
          <w:szCs w:val="20"/>
        </w:rPr>
        <w:t xml:space="preserve">Sobre la posibilidad de realizar adendas a la invitación en procesos de mínima cuantía, esta Agencia se pronunció en el concepto de radicado No. 2201913000006236 de 26 de agosto de 2019. En dicha ocasión se estableció que el artículo 2.2.1.1.2.2.1 del Decreto 1082 de </w:t>
      </w:r>
      <w:proofErr w:type="gramStart"/>
      <w:r w:rsidRPr="003B1CBD">
        <w:rPr>
          <w:rFonts w:ascii="Arial" w:eastAsia="Calibri" w:hAnsi="Arial" w:cs="Arial"/>
          <w:bCs/>
          <w:sz w:val="20"/>
          <w:szCs w:val="20"/>
        </w:rPr>
        <w:t>2015 ,</w:t>
      </w:r>
      <w:proofErr w:type="gramEnd"/>
      <w:r w:rsidRPr="003B1CBD">
        <w:rPr>
          <w:rFonts w:ascii="Arial" w:eastAsia="Calibri" w:hAnsi="Arial" w:cs="Arial"/>
          <w:bCs/>
          <w:sz w:val="20"/>
          <w:szCs w:val="20"/>
        </w:rPr>
        <w:t xml:space="preserve"> que regula la posibilidad de realizar adendas a los pliegos de condiciones, es aplicable a todas las modalidades de selección, incluso respecto de la invitación en la modalidad de mínima cuantía.  </w:t>
      </w:r>
    </w:p>
    <w:p w14:paraId="36D18E49" w14:textId="67E7DCD6" w:rsidR="00FA2409" w:rsidRDefault="00FA2409" w:rsidP="005D6649">
      <w:pPr>
        <w:tabs>
          <w:tab w:val="left" w:pos="0"/>
        </w:tabs>
        <w:jc w:val="both"/>
        <w:rPr>
          <w:rFonts w:ascii="Arial" w:eastAsia="Calibri" w:hAnsi="Arial" w:cs="Arial"/>
          <w:bCs/>
          <w:sz w:val="20"/>
          <w:szCs w:val="20"/>
        </w:rPr>
      </w:pPr>
      <w:r w:rsidRPr="003B1CBD">
        <w:rPr>
          <w:rFonts w:ascii="Arial" w:eastAsia="Calibri" w:hAnsi="Arial" w:cs="Arial"/>
          <w:bCs/>
          <w:sz w:val="20"/>
          <w:szCs w:val="20"/>
        </w:rPr>
        <w:t>Sin embargo, resulta importante tener en cuenta que dicha norma establece que las adendas se podrán expedir a más tardar el día hábil anterior al vencimiento del plazo para presentar ofertas, lo cual debe ser respetado incluso en los procesos de mínima cuantía en los que la Ley exige un único para la presentación de ofertas, publicación de la invitación y presentación de observaciones. Lo anterior quiere decir que, de conformidad con la norma, se deben expedir y publicar adendas a más tardar el día hábil anterior, es decir que en ningún caso puede transcurrir menos de un día hábil entre la publicación de la adenda y el momento en que los proponentes están obligados a presentar propuestas.</w:t>
      </w:r>
    </w:p>
    <w:p w14:paraId="450FF328" w14:textId="0FF01136" w:rsidR="003B1CBD" w:rsidRDefault="003B1CBD" w:rsidP="005D6649">
      <w:pPr>
        <w:tabs>
          <w:tab w:val="left" w:pos="0"/>
        </w:tabs>
        <w:jc w:val="both"/>
        <w:rPr>
          <w:rFonts w:ascii="Arial" w:eastAsia="Calibri" w:hAnsi="Arial" w:cs="Arial"/>
          <w:bCs/>
          <w:sz w:val="20"/>
          <w:szCs w:val="20"/>
        </w:rPr>
      </w:pPr>
    </w:p>
    <w:p w14:paraId="796B2420" w14:textId="58D61C03" w:rsidR="003B1CBD" w:rsidRPr="00FA2409" w:rsidRDefault="003B1CBD" w:rsidP="005D6649">
      <w:pPr>
        <w:tabs>
          <w:tab w:val="left" w:pos="0"/>
        </w:tabs>
        <w:jc w:val="both"/>
        <w:rPr>
          <w:rFonts w:ascii="Arial" w:eastAsia="Calibri" w:hAnsi="Arial" w:cs="Arial"/>
          <w:b/>
          <w:bCs/>
          <w:sz w:val="22"/>
        </w:rPr>
      </w:pPr>
      <w:r w:rsidRPr="630C9FBE">
        <w:rPr>
          <w:rFonts w:ascii="Arial" w:eastAsia="Calibri" w:hAnsi="Arial" w:cs="Arial"/>
          <w:b/>
          <w:bCs/>
          <w:sz w:val="22"/>
        </w:rPr>
        <w:t>INVITACIÓN – Cronograma – Posibilidad –</w:t>
      </w:r>
      <w:r w:rsidR="67763417" w:rsidRPr="630C9FBE">
        <w:rPr>
          <w:rFonts w:ascii="Arial" w:eastAsia="Calibri" w:hAnsi="Arial" w:cs="Arial"/>
          <w:b/>
          <w:bCs/>
          <w:sz w:val="22"/>
        </w:rPr>
        <w:t xml:space="preserve"> </w:t>
      </w:r>
      <w:r w:rsidRPr="630C9FBE">
        <w:rPr>
          <w:rFonts w:ascii="Arial" w:eastAsia="Calibri" w:hAnsi="Arial" w:cs="Arial"/>
          <w:b/>
          <w:bCs/>
          <w:sz w:val="22"/>
        </w:rPr>
        <w:t>Adendas</w:t>
      </w:r>
    </w:p>
    <w:p w14:paraId="07D109A1" w14:textId="77777777" w:rsidR="003B1CBD" w:rsidRPr="003B1CBD" w:rsidRDefault="003B1CBD" w:rsidP="005D6649">
      <w:pPr>
        <w:tabs>
          <w:tab w:val="left" w:pos="0"/>
        </w:tabs>
        <w:jc w:val="both"/>
        <w:rPr>
          <w:rFonts w:ascii="Arial" w:eastAsia="Calibri" w:hAnsi="Arial" w:cs="Arial"/>
          <w:bCs/>
          <w:sz w:val="20"/>
          <w:szCs w:val="20"/>
        </w:rPr>
      </w:pPr>
    </w:p>
    <w:p w14:paraId="204C58F1" w14:textId="77777777" w:rsidR="00FA2409" w:rsidRPr="003B1CBD" w:rsidRDefault="00FA2409" w:rsidP="005D6649">
      <w:pPr>
        <w:tabs>
          <w:tab w:val="left" w:pos="0"/>
        </w:tabs>
        <w:spacing w:after="120"/>
        <w:jc w:val="both"/>
        <w:rPr>
          <w:rFonts w:ascii="Arial" w:eastAsia="Calibri" w:hAnsi="Arial" w:cs="Arial"/>
          <w:bCs/>
          <w:sz w:val="20"/>
          <w:szCs w:val="20"/>
        </w:rPr>
      </w:pPr>
      <w:r w:rsidRPr="003B1CBD">
        <w:rPr>
          <w:rFonts w:ascii="Arial" w:eastAsia="Calibri" w:hAnsi="Arial" w:cs="Arial"/>
          <w:bCs/>
          <w:sz w:val="20"/>
          <w:szCs w:val="20"/>
        </w:rPr>
        <w:t>Para cumplir con esto, es decir, para garantizar los términos mínimos establecidos, las entidades estatales en la fijación del cronograma de su proceso de contratación podrán, de conformidad con el objeto contractual, su alcance y complejidad, establecer plazos más amplios a las establecidos como plazo mínimo en el artículo 2 de la Ley 1150 de 2007 y en el artículo 2.2.1.2.1.5.2 del Decreto 1082 de 2015.</w:t>
      </w:r>
    </w:p>
    <w:p w14:paraId="65D3362C" w14:textId="2BFCE7E6" w:rsidR="00FA2409" w:rsidRPr="003B1CBD" w:rsidRDefault="00FA2409" w:rsidP="005D6649">
      <w:pPr>
        <w:tabs>
          <w:tab w:val="left" w:pos="0"/>
        </w:tabs>
        <w:jc w:val="both"/>
        <w:rPr>
          <w:rFonts w:ascii="Arial" w:eastAsia="Calibri" w:hAnsi="Arial" w:cs="Arial"/>
          <w:bCs/>
          <w:sz w:val="20"/>
          <w:szCs w:val="20"/>
        </w:rPr>
      </w:pPr>
      <w:r w:rsidRPr="003B1CBD">
        <w:rPr>
          <w:rFonts w:ascii="Arial" w:eastAsia="Calibri" w:hAnsi="Arial" w:cs="Arial"/>
          <w:bCs/>
          <w:sz w:val="20"/>
          <w:szCs w:val="20"/>
        </w:rPr>
        <w:t>Finalmente, en caso que el cronograma haya sido establecido de tal forma que entre la publicación de la  invitación y el  vencimiento del término para presentar ofertas, no haya más de un hábil, no será posible expedir adendas al proceso de contratación, pues los términos contemplados en la invitación pública no podrían satisfacer lo dispuesto por el artículo 2.2.1.1.2.2.1 del Decreto 1082 de 2015, y por ende una adenda realizada en dichas condiciones contrariaría directamente una disposición legal.</w:t>
      </w:r>
    </w:p>
    <w:p w14:paraId="3FBDF805" w14:textId="5E294B45" w:rsidR="00CD4CF0" w:rsidRPr="005D6649" w:rsidRDefault="00CD4CF0" w:rsidP="005D6649">
      <w:pPr>
        <w:jc w:val="both"/>
        <w:rPr>
          <w:rFonts w:ascii="Arial" w:hAnsi="Arial" w:cs="Arial"/>
          <w:sz w:val="20"/>
          <w:szCs w:val="20"/>
        </w:rPr>
      </w:pPr>
    </w:p>
    <w:p w14:paraId="32D81179" w14:textId="77777777" w:rsidR="0038175B" w:rsidRPr="00DE58AE" w:rsidRDefault="0038175B" w:rsidP="005D6649">
      <w:pPr>
        <w:tabs>
          <w:tab w:val="left" w:pos="3374"/>
        </w:tabs>
        <w:rPr>
          <w:rFonts w:ascii="Arial" w:hAnsi="Arial" w:cs="Arial"/>
          <w:sz w:val="20"/>
          <w:szCs w:val="20"/>
          <w:lang w:val="es-CO"/>
        </w:rPr>
      </w:pPr>
    </w:p>
    <w:p w14:paraId="26232C3F" w14:textId="072526E3" w:rsidR="0038175B" w:rsidRPr="0038175B" w:rsidRDefault="0038175B" w:rsidP="005D6649">
      <w:pPr>
        <w:tabs>
          <w:tab w:val="left" w:pos="3374"/>
        </w:tabs>
        <w:rPr>
          <w:rFonts w:ascii="Arial" w:hAnsi="Arial" w:cs="Arial"/>
          <w:sz w:val="22"/>
          <w:lang w:val="es-CO"/>
        </w:rPr>
      </w:pPr>
      <w:r w:rsidRPr="0038175B">
        <w:rPr>
          <w:rFonts w:ascii="Arial" w:hAnsi="Arial" w:cs="Arial"/>
          <w:sz w:val="22"/>
          <w:lang w:val="es-CO"/>
        </w:rPr>
        <w:t xml:space="preserve">Bogotá D.C., </w:t>
      </w:r>
      <w:r w:rsidRPr="0038175B">
        <w:rPr>
          <w:rFonts w:ascii="Arial" w:hAnsi="Arial" w:cs="Arial"/>
          <w:b/>
          <w:bCs/>
          <w:sz w:val="22"/>
          <w:lang w:val="es-CO"/>
        </w:rPr>
        <w:t xml:space="preserve">27/07/2020 Hora 21:29:41s </w:t>
      </w:r>
    </w:p>
    <w:p w14:paraId="2B231738" w14:textId="2E6525D5" w:rsidR="009E73B5" w:rsidRPr="00FA2409" w:rsidRDefault="0038175B" w:rsidP="0038175B">
      <w:pPr>
        <w:tabs>
          <w:tab w:val="left" w:pos="3374"/>
        </w:tabs>
        <w:jc w:val="right"/>
        <w:rPr>
          <w:rFonts w:ascii="Arial" w:eastAsia="Calibri" w:hAnsi="Arial" w:cs="Arial"/>
          <w:sz w:val="22"/>
        </w:rPr>
      </w:pPr>
      <w:proofErr w:type="spellStart"/>
      <w:r w:rsidRPr="0038175B">
        <w:rPr>
          <w:rFonts w:ascii="Arial" w:hAnsi="Arial" w:cs="Arial"/>
          <w:b/>
          <w:bCs/>
          <w:sz w:val="22"/>
          <w:lang w:val="es-CO"/>
        </w:rPr>
        <w:t>N°</w:t>
      </w:r>
      <w:proofErr w:type="spellEnd"/>
      <w:r w:rsidRPr="0038175B">
        <w:rPr>
          <w:rFonts w:ascii="Arial" w:hAnsi="Arial" w:cs="Arial"/>
          <w:b/>
          <w:bCs/>
          <w:sz w:val="22"/>
          <w:lang w:val="es-CO"/>
        </w:rPr>
        <w:t xml:space="preserve"> Radicado: 2202013000006691</w:t>
      </w:r>
    </w:p>
    <w:p w14:paraId="2853595C" w14:textId="0F445D30" w:rsidR="005A79FE" w:rsidRPr="00FA2409" w:rsidRDefault="005A79FE" w:rsidP="005A79FE">
      <w:pPr>
        <w:tabs>
          <w:tab w:val="left" w:pos="3374"/>
        </w:tabs>
        <w:rPr>
          <w:rFonts w:ascii="Arial" w:eastAsia="Calibri" w:hAnsi="Arial" w:cs="Arial"/>
          <w:sz w:val="22"/>
        </w:rPr>
      </w:pPr>
    </w:p>
    <w:p w14:paraId="2097EFDF" w14:textId="12E90060" w:rsidR="005A79FE" w:rsidRPr="00FA2409" w:rsidRDefault="005A79FE" w:rsidP="005A79FE">
      <w:pPr>
        <w:rPr>
          <w:rFonts w:ascii="Arial" w:eastAsia="Calibri" w:hAnsi="Arial" w:cs="Arial"/>
          <w:sz w:val="22"/>
        </w:rPr>
      </w:pPr>
      <w:r w:rsidRPr="00FA2409">
        <w:rPr>
          <w:rFonts w:ascii="Arial" w:eastAsia="Calibri" w:hAnsi="Arial" w:cs="Arial"/>
          <w:sz w:val="22"/>
        </w:rPr>
        <w:t>Señor</w:t>
      </w:r>
      <w:r w:rsidR="00B35AD5" w:rsidRPr="00FA2409">
        <w:rPr>
          <w:rFonts w:ascii="Arial" w:eastAsia="Calibri" w:hAnsi="Arial" w:cs="Arial"/>
          <w:sz w:val="22"/>
        </w:rPr>
        <w:t>a</w:t>
      </w:r>
    </w:p>
    <w:p w14:paraId="7FDA027E" w14:textId="753E6887" w:rsidR="005A79FE" w:rsidRPr="00FA2409" w:rsidRDefault="00B35AD5" w:rsidP="005A79FE">
      <w:pPr>
        <w:rPr>
          <w:rFonts w:ascii="Arial" w:eastAsia="Calibri" w:hAnsi="Arial" w:cs="Arial"/>
          <w:b/>
          <w:sz w:val="22"/>
        </w:rPr>
      </w:pPr>
      <w:r w:rsidRPr="00FA2409">
        <w:rPr>
          <w:rFonts w:ascii="Arial" w:eastAsia="Calibri" w:hAnsi="Arial" w:cs="Arial"/>
          <w:b/>
          <w:sz w:val="22"/>
        </w:rPr>
        <w:t>María del Pilar Artunduaga Osorio</w:t>
      </w:r>
    </w:p>
    <w:p w14:paraId="1ABB7BC7" w14:textId="6076AA7A" w:rsidR="00B35AD5" w:rsidRPr="00FA2409" w:rsidRDefault="00B35AD5" w:rsidP="005A79FE">
      <w:pPr>
        <w:rPr>
          <w:rFonts w:ascii="Arial" w:eastAsia="Calibri" w:hAnsi="Arial" w:cs="Arial"/>
          <w:sz w:val="22"/>
        </w:rPr>
      </w:pPr>
      <w:r w:rsidRPr="00FA2409">
        <w:rPr>
          <w:rFonts w:ascii="Arial" w:eastAsia="Calibri" w:hAnsi="Arial" w:cs="Arial"/>
          <w:sz w:val="22"/>
        </w:rPr>
        <w:t>Procuradora Provincial de Garzón</w:t>
      </w:r>
    </w:p>
    <w:p w14:paraId="699E9CB9" w14:textId="4417B867" w:rsidR="005A79FE" w:rsidRPr="00FA2409" w:rsidRDefault="00B35AD5" w:rsidP="005A79FE">
      <w:pPr>
        <w:rPr>
          <w:rFonts w:ascii="Arial" w:eastAsia="Calibri" w:hAnsi="Arial" w:cs="Arial"/>
          <w:sz w:val="22"/>
        </w:rPr>
      </w:pPr>
      <w:r w:rsidRPr="00FA2409">
        <w:rPr>
          <w:rFonts w:ascii="Arial" w:eastAsia="Calibri" w:hAnsi="Arial" w:cs="Arial"/>
          <w:sz w:val="22"/>
        </w:rPr>
        <w:t>Garzón, Huila</w:t>
      </w:r>
    </w:p>
    <w:p w14:paraId="2BDF4395" w14:textId="2F308711" w:rsidR="009E73B5" w:rsidRPr="00FA2409" w:rsidRDefault="009E73B5" w:rsidP="005A79FE">
      <w:pPr>
        <w:rPr>
          <w:rFonts w:ascii="Arial" w:eastAsia="Calibri" w:hAnsi="Arial" w:cs="Arial"/>
          <w:sz w:val="22"/>
        </w:rPr>
      </w:pPr>
    </w:p>
    <w:p w14:paraId="73BA6C24" w14:textId="77777777" w:rsidR="009E73B5" w:rsidRPr="00FA2409" w:rsidRDefault="009E73B5" w:rsidP="005A79FE">
      <w:pPr>
        <w:rPr>
          <w:rFonts w:ascii="Arial" w:eastAsia="Calibri" w:hAnsi="Arial" w:cs="Arial"/>
          <w:sz w:val="22"/>
        </w:rPr>
      </w:pPr>
    </w:p>
    <w:p w14:paraId="6CCD98F0" w14:textId="4CB7BA33" w:rsidR="005A79FE" w:rsidRPr="00FA2409" w:rsidRDefault="00CD4CF0" w:rsidP="005A79FE">
      <w:pPr>
        <w:rPr>
          <w:rFonts w:ascii="Arial" w:eastAsia="Calibri" w:hAnsi="Arial" w:cs="Arial"/>
          <w:sz w:val="22"/>
        </w:rPr>
      </w:pPr>
      <w:r>
        <w:rPr>
          <w:rFonts w:ascii="Arial" w:eastAsia="Calibri" w:hAnsi="Arial" w:cs="Arial"/>
          <w:b/>
          <w:sz w:val="22"/>
        </w:rPr>
        <w:t xml:space="preserve">                                            </w:t>
      </w:r>
      <w:r w:rsidR="005A79FE" w:rsidRPr="00FA2409">
        <w:rPr>
          <w:rFonts w:ascii="Arial" w:eastAsia="Calibri" w:hAnsi="Arial" w:cs="Arial"/>
          <w:b/>
          <w:sz w:val="22"/>
        </w:rPr>
        <w:t xml:space="preserve">Concepto C </w:t>
      </w:r>
      <w:r w:rsidR="00B35AD5" w:rsidRPr="00FA2409">
        <w:rPr>
          <w:rFonts w:ascii="Arial" w:eastAsia="Calibri" w:hAnsi="Arial" w:cs="Arial"/>
          <w:b/>
          <w:sz w:val="22"/>
        </w:rPr>
        <w:t>– 465</w:t>
      </w:r>
      <w:r w:rsidR="005A79FE" w:rsidRPr="00FA2409">
        <w:rPr>
          <w:rFonts w:ascii="Arial" w:eastAsia="Calibri" w:hAnsi="Arial" w:cs="Arial"/>
          <w:b/>
          <w:sz w:val="22"/>
        </w:rPr>
        <w:t xml:space="preserve"> de 2020</w:t>
      </w:r>
    </w:p>
    <w:p w14:paraId="224B5EF8" w14:textId="77777777" w:rsidR="009E73B5" w:rsidRPr="00FA2409"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2409" w:rsidRPr="00FA2409" w14:paraId="21699201" w14:textId="77777777" w:rsidTr="00875624">
        <w:tc>
          <w:tcPr>
            <w:tcW w:w="2689" w:type="dxa"/>
            <w:hideMark/>
          </w:tcPr>
          <w:p w14:paraId="26712367" w14:textId="77777777" w:rsidR="005A79FE" w:rsidRPr="00FA2409" w:rsidRDefault="005A79FE" w:rsidP="00266042">
            <w:pPr>
              <w:rPr>
                <w:rFonts w:ascii="Arial" w:eastAsia="Calibri" w:hAnsi="Arial" w:cs="Arial"/>
                <w:sz w:val="22"/>
              </w:rPr>
            </w:pPr>
            <w:r w:rsidRPr="00FA2409">
              <w:rPr>
                <w:rFonts w:ascii="Arial" w:eastAsia="Calibri" w:hAnsi="Arial" w:cs="Arial"/>
                <w:b/>
                <w:sz w:val="22"/>
              </w:rPr>
              <w:t>Temas:</w:t>
            </w:r>
            <w:r w:rsidRPr="00FA2409">
              <w:rPr>
                <w:rFonts w:ascii="Arial" w:eastAsia="Calibri" w:hAnsi="Arial" w:cs="Arial"/>
                <w:sz w:val="22"/>
              </w:rPr>
              <w:t xml:space="preserve">           </w:t>
            </w:r>
          </w:p>
          <w:p w14:paraId="5D67F5C4" w14:textId="77777777" w:rsidR="005A79FE" w:rsidRPr="00FA2409" w:rsidRDefault="005A79FE" w:rsidP="00266042">
            <w:pPr>
              <w:rPr>
                <w:rFonts w:ascii="Arial" w:eastAsia="Calibri" w:hAnsi="Arial" w:cs="Arial"/>
                <w:sz w:val="22"/>
              </w:rPr>
            </w:pPr>
            <w:r w:rsidRPr="00FA2409">
              <w:rPr>
                <w:rFonts w:ascii="Arial" w:eastAsia="Calibri" w:hAnsi="Arial" w:cs="Arial"/>
                <w:sz w:val="22"/>
              </w:rPr>
              <w:t xml:space="preserve">                           </w:t>
            </w:r>
          </w:p>
        </w:tc>
        <w:tc>
          <w:tcPr>
            <w:tcW w:w="6237" w:type="dxa"/>
          </w:tcPr>
          <w:p w14:paraId="784C47C0" w14:textId="18DC5DCA" w:rsidR="005A79FE" w:rsidRPr="00FA2409" w:rsidRDefault="003B1CBD" w:rsidP="003B1CBD">
            <w:pPr>
              <w:spacing w:after="120"/>
              <w:jc w:val="both"/>
              <w:rPr>
                <w:rFonts w:ascii="Arial" w:hAnsi="Arial" w:cs="Arial"/>
                <w:sz w:val="22"/>
              </w:rPr>
            </w:pPr>
            <w:r w:rsidRPr="003B1CBD">
              <w:rPr>
                <w:rFonts w:ascii="Arial" w:eastAsia="Calibri" w:hAnsi="Arial" w:cs="Arial"/>
                <w:sz w:val="22"/>
              </w:rPr>
              <w:t>MÍNIMA CUANTÍA – Invitación – Presentación de ofertas – Plazo</w:t>
            </w:r>
            <w:r>
              <w:rPr>
                <w:rFonts w:ascii="Arial" w:eastAsia="Calibri" w:hAnsi="Arial" w:cs="Arial"/>
                <w:sz w:val="22"/>
              </w:rPr>
              <w:t xml:space="preserve"> / </w:t>
            </w:r>
            <w:r w:rsidRPr="003B1CBD">
              <w:rPr>
                <w:rFonts w:ascii="Arial" w:eastAsia="Calibri" w:hAnsi="Arial" w:cs="Arial"/>
                <w:sz w:val="22"/>
              </w:rPr>
              <w:t>MÍNIMA CUANTÍA – Tiempo límite mínimo</w:t>
            </w:r>
            <w:r>
              <w:rPr>
                <w:rFonts w:ascii="Arial" w:eastAsia="Calibri" w:hAnsi="Arial" w:cs="Arial"/>
                <w:sz w:val="22"/>
              </w:rPr>
              <w:t xml:space="preserve"> / </w:t>
            </w:r>
            <w:r w:rsidRPr="003B1CBD">
              <w:rPr>
                <w:rFonts w:ascii="Arial" w:eastAsia="Calibri" w:hAnsi="Arial" w:cs="Arial"/>
                <w:sz w:val="22"/>
              </w:rPr>
              <w:t>DÍAS HÁBILES – Concepto – Cómputo de términos</w:t>
            </w:r>
            <w:r>
              <w:rPr>
                <w:rFonts w:ascii="Arial" w:eastAsia="Calibri" w:hAnsi="Arial" w:cs="Arial"/>
                <w:sz w:val="22"/>
              </w:rPr>
              <w:t xml:space="preserve"> / </w:t>
            </w:r>
            <w:r w:rsidRPr="003B1CBD">
              <w:rPr>
                <w:rFonts w:ascii="Arial" w:eastAsia="Calibri" w:hAnsi="Arial" w:cs="Arial"/>
                <w:sz w:val="22"/>
              </w:rPr>
              <w:t>MÍNIMA CUANTÍA – Presentación ofertas – Plazo – Días hábiles – Regla interpretativa</w:t>
            </w:r>
            <w:r>
              <w:rPr>
                <w:rFonts w:ascii="Arial" w:eastAsia="Calibri" w:hAnsi="Arial" w:cs="Arial"/>
                <w:sz w:val="22"/>
              </w:rPr>
              <w:t xml:space="preserve"> / </w:t>
            </w:r>
            <w:r w:rsidRPr="003B1CBD">
              <w:rPr>
                <w:rFonts w:ascii="Arial" w:eastAsia="Calibri" w:hAnsi="Arial" w:cs="Arial"/>
                <w:sz w:val="22"/>
              </w:rPr>
              <w:t>PRINCIPIO DE TRANSPARENCIA – Observaciones</w:t>
            </w:r>
            <w:r>
              <w:rPr>
                <w:rFonts w:ascii="Arial" w:eastAsia="Calibri" w:hAnsi="Arial" w:cs="Arial"/>
                <w:sz w:val="22"/>
              </w:rPr>
              <w:t xml:space="preserve"> </w:t>
            </w:r>
            <w:r w:rsidRPr="003B1CBD">
              <w:rPr>
                <w:rFonts w:ascii="Arial" w:eastAsia="Calibri" w:hAnsi="Arial" w:cs="Arial"/>
                <w:sz w:val="22"/>
              </w:rPr>
              <w:t>MÍNIMA CUANTÍA – Observaciones – Invitación – Términos</w:t>
            </w:r>
            <w:r>
              <w:rPr>
                <w:rFonts w:ascii="Arial" w:eastAsia="Calibri" w:hAnsi="Arial" w:cs="Arial"/>
                <w:sz w:val="22"/>
              </w:rPr>
              <w:t xml:space="preserve"> / </w:t>
            </w:r>
            <w:r w:rsidRPr="003B1CBD">
              <w:rPr>
                <w:rFonts w:ascii="Arial" w:eastAsia="Calibri" w:hAnsi="Arial" w:cs="Arial"/>
                <w:sz w:val="22"/>
              </w:rPr>
              <w:t>INVITACIÓN – Adendas – Requisitos – Plazos – Cronograma</w:t>
            </w:r>
            <w:r>
              <w:rPr>
                <w:rFonts w:ascii="Arial" w:eastAsia="Calibri" w:hAnsi="Arial" w:cs="Arial"/>
                <w:sz w:val="22"/>
              </w:rPr>
              <w:t xml:space="preserve"> / </w:t>
            </w:r>
            <w:r w:rsidRPr="003B1CBD">
              <w:rPr>
                <w:rFonts w:ascii="Arial" w:eastAsia="Calibri" w:hAnsi="Arial" w:cs="Arial"/>
                <w:sz w:val="22"/>
              </w:rPr>
              <w:t>INVITACIÓN – Cronograma – Posibilidad –Adendas</w:t>
            </w:r>
          </w:p>
        </w:tc>
      </w:tr>
      <w:tr w:rsidR="005A79FE" w:rsidRPr="00FA2409" w14:paraId="7C0A7D18" w14:textId="77777777" w:rsidTr="00266042">
        <w:tc>
          <w:tcPr>
            <w:tcW w:w="2689" w:type="dxa"/>
          </w:tcPr>
          <w:p w14:paraId="6A12F093" w14:textId="67156541" w:rsidR="005A79FE" w:rsidRPr="00FA2409" w:rsidRDefault="003B1CBD" w:rsidP="009E73B5">
            <w:pPr>
              <w:spacing w:before="60"/>
              <w:rPr>
                <w:rFonts w:ascii="Arial" w:eastAsia="Calibri" w:hAnsi="Arial" w:cs="Arial"/>
                <w:b/>
                <w:sz w:val="22"/>
              </w:rPr>
            </w:pPr>
            <w:r>
              <w:rPr>
                <w:rFonts w:ascii="Arial" w:eastAsia="Calibri" w:hAnsi="Arial" w:cs="Arial"/>
                <w:b/>
                <w:sz w:val="22"/>
              </w:rPr>
              <w:t xml:space="preserve"> </w:t>
            </w:r>
            <w:r w:rsidR="005A79FE" w:rsidRPr="00FA2409">
              <w:rPr>
                <w:rFonts w:ascii="Arial" w:eastAsia="Calibri" w:hAnsi="Arial" w:cs="Arial"/>
                <w:b/>
                <w:sz w:val="22"/>
              </w:rPr>
              <w:t>Radicación:</w:t>
            </w:r>
            <w:r w:rsidR="005A79FE" w:rsidRPr="00FA2409">
              <w:rPr>
                <w:rFonts w:ascii="Arial" w:eastAsia="Calibri" w:hAnsi="Arial" w:cs="Arial"/>
                <w:sz w:val="22"/>
              </w:rPr>
              <w:t xml:space="preserve">                              </w:t>
            </w:r>
          </w:p>
        </w:tc>
        <w:tc>
          <w:tcPr>
            <w:tcW w:w="6237" w:type="dxa"/>
          </w:tcPr>
          <w:p w14:paraId="73A42ACA" w14:textId="2162BB94" w:rsidR="005A79FE" w:rsidRPr="00FA2409" w:rsidRDefault="001139C4" w:rsidP="009E73B5">
            <w:pPr>
              <w:spacing w:before="60"/>
              <w:jc w:val="both"/>
              <w:rPr>
                <w:rFonts w:ascii="Arial" w:eastAsia="Calibri" w:hAnsi="Arial" w:cs="Arial"/>
                <w:sz w:val="22"/>
              </w:rPr>
            </w:pPr>
            <w:r w:rsidRPr="00FA2409">
              <w:rPr>
                <w:rFonts w:ascii="Arial" w:eastAsia="Calibri" w:hAnsi="Arial" w:cs="Arial"/>
                <w:sz w:val="22"/>
              </w:rPr>
              <w:t xml:space="preserve">Respuesta a consulta </w:t>
            </w:r>
            <w:r w:rsidR="00262458" w:rsidRPr="00FA2409">
              <w:rPr>
                <w:rFonts w:ascii="Arial" w:eastAsia="Calibri" w:hAnsi="Arial" w:cs="Arial"/>
                <w:sz w:val="22"/>
              </w:rPr>
              <w:t>#</w:t>
            </w:r>
            <w:r w:rsidR="00346F03">
              <w:rPr>
                <w:rFonts w:ascii="Arial" w:eastAsia="Calibri" w:hAnsi="Arial" w:cs="Arial"/>
                <w:sz w:val="22"/>
              </w:rPr>
              <w:t xml:space="preserve"> </w:t>
            </w:r>
            <w:r w:rsidR="00262458" w:rsidRPr="00FA2409">
              <w:rPr>
                <w:rFonts w:ascii="Arial" w:eastAsia="Calibri" w:hAnsi="Arial" w:cs="Arial"/>
                <w:sz w:val="22"/>
              </w:rPr>
              <w:t>42020</w:t>
            </w:r>
            <w:r w:rsidR="00D166ED" w:rsidRPr="00FA2409">
              <w:rPr>
                <w:rFonts w:ascii="Arial" w:eastAsia="Calibri" w:hAnsi="Arial" w:cs="Arial"/>
                <w:sz w:val="22"/>
              </w:rPr>
              <w:t>1</w:t>
            </w:r>
            <w:r w:rsidR="00B35AD5" w:rsidRPr="00FA2409">
              <w:rPr>
                <w:rFonts w:ascii="Arial" w:eastAsia="Calibri" w:hAnsi="Arial" w:cs="Arial"/>
                <w:sz w:val="22"/>
              </w:rPr>
              <w:t>3</w:t>
            </w:r>
            <w:r w:rsidR="00D166ED" w:rsidRPr="00FA2409">
              <w:rPr>
                <w:rFonts w:ascii="Arial" w:eastAsia="Calibri" w:hAnsi="Arial" w:cs="Arial"/>
                <w:sz w:val="22"/>
              </w:rPr>
              <w:t>00000</w:t>
            </w:r>
            <w:r w:rsidR="00B35AD5" w:rsidRPr="00FA2409">
              <w:rPr>
                <w:rFonts w:ascii="Arial" w:eastAsia="Calibri" w:hAnsi="Arial" w:cs="Arial"/>
                <w:sz w:val="22"/>
              </w:rPr>
              <w:t>5552</w:t>
            </w:r>
          </w:p>
        </w:tc>
      </w:tr>
    </w:tbl>
    <w:p w14:paraId="396DE958" w14:textId="77777777" w:rsidR="005A79FE" w:rsidRPr="00FA2409" w:rsidRDefault="005A79FE" w:rsidP="009E73B5">
      <w:pPr>
        <w:spacing w:before="60"/>
        <w:jc w:val="both"/>
        <w:rPr>
          <w:rFonts w:ascii="Arial" w:eastAsia="Calibri" w:hAnsi="Arial" w:cs="Arial"/>
          <w:sz w:val="22"/>
        </w:rPr>
      </w:pPr>
    </w:p>
    <w:p w14:paraId="489DB6E6" w14:textId="77777777" w:rsidR="005A79FE" w:rsidRPr="00FA2409" w:rsidRDefault="005A79FE" w:rsidP="005A79FE">
      <w:pPr>
        <w:rPr>
          <w:rFonts w:ascii="Arial" w:eastAsia="Calibri" w:hAnsi="Arial" w:cs="Arial"/>
          <w:sz w:val="22"/>
        </w:rPr>
      </w:pPr>
    </w:p>
    <w:p w14:paraId="657E7EE7" w14:textId="3E6DD8F8" w:rsidR="005A79FE" w:rsidRPr="00FA2409" w:rsidRDefault="005A79FE" w:rsidP="005A79FE">
      <w:pPr>
        <w:rPr>
          <w:rFonts w:ascii="Arial" w:eastAsia="Calibri" w:hAnsi="Arial" w:cs="Arial"/>
          <w:sz w:val="22"/>
        </w:rPr>
      </w:pPr>
      <w:r w:rsidRPr="00FA2409">
        <w:rPr>
          <w:rFonts w:ascii="Arial" w:eastAsia="Calibri" w:hAnsi="Arial" w:cs="Arial"/>
          <w:sz w:val="22"/>
        </w:rPr>
        <w:t>Estimad</w:t>
      </w:r>
      <w:r w:rsidR="00B35AD5" w:rsidRPr="00FA2409">
        <w:rPr>
          <w:rFonts w:ascii="Arial" w:eastAsia="Calibri" w:hAnsi="Arial" w:cs="Arial"/>
          <w:sz w:val="22"/>
        </w:rPr>
        <w:t>a</w:t>
      </w:r>
      <w:r w:rsidR="00626304" w:rsidRPr="00FA2409">
        <w:rPr>
          <w:rFonts w:ascii="Arial" w:eastAsia="Calibri" w:hAnsi="Arial" w:cs="Arial"/>
          <w:sz w:val="22"/>
        </w:rPr>
        <w:t xml:space="preserve"> señor</w:t>
      </w:r>
      <w:r w:rsidR="00B35AD5" w:rsidRPr="00FA2409">
        <w:rPr>
          <w:rFonts w:ascii="Arial" w:eastAsia="Calibri" w:hAnsi="Arial" w:cs="Arial"/>
          <w:sz w:val="22"/>
        </w:rPr>
        <w:t>a</w:t>
      </w:r>
      <w:r w:rsidR="00626304" w:rsidRPr="00FA2409">
        <w:rPr>
          <w:rFonts w:ascii="Arial" w:eastAsia="Calibri" w:hAnsi="Arial" w:cs="Arial"/>
          <w:sz w:val="22"/>
        </w:rPr>
        <w:t xml:space="preserve"> </w:t>
      </w:r>
      <w:r w:rsidR="00B35AD5" w:rsidRPr="00FA2409">
        <w:rPr>
          <w:rFonts w:ascii="Arial" w:eastAsia="Calibri" w:hAnsi="Arial" w:cs="Arial"/>
          <w:sz w:val="22"/>
        </w:rPr>
        <w:t>Artunduaga Osorio</w:t>
      </w:r>
      <w:r w:rsidRPr="00FA2409">
        <w:rPr>
          <w:rFonts w:ascii="Arial" w:eastAsia="Calibri" w:hAnsi="Arial" w:cs="Arial"/>
          <w:sz w:val="22"/>
        </w:rPr>
        <w:t>,</w:t>
      </w:r>
    </w:p>
    <w:p w14:paraId="40D74C98" w14:textId="77777777" w:rsidR="005A79FE" w:rsidRPr="00FA2409" w:rsidRDefault="005A79FE" w:rsidP="005A79FE">
      <w:pPr>
        <w:rPr>
          <w:rFonts w:ascii="Arial" w:eastAsia="Calibri" w:hAnsi="Arial" w:cs="Arial"/>
          <w:sz w:val="22"/>
        </w:rPr>
      </w:pPr>
    </w:p>
    <w:p w14:paraId="1EA2338B" w14:textId="7E1E7E7C" w:rsidR="005A79FE" w:rsidRPr="00FA2409" w:rsidRDefault="00B06DB6" w:rsidP="0031564F">
      <w:pPr>
        <w:spacing w:line="276" w:lineRule="auto"/>
        <w:ind w:right="49"/>
        <w:jc w:val="both"/>
        <w:rPr>
          <w:rFonts w:ascii="Arial" w:eastAsia="Calibri" w:hAnsi="Arial" w:cs="Arial"/>
          <w:sz w:val="22"/>
        </w:rPr>
      </w:pPr>
      <w:r w:rsidRPr="00FA2409">
        <w:rPr>
          <w:rFonts w:ascii="Arial" w:eastAsia="Calibri" w:hAnsi="Arial" w:cs="Arial"/>
          <w:sz w:val="22"/>
        </w:rPr>
        <w:t>En ejercicio de la competencia otorgada por el numeral 8 del artículo 11 y el numeral 5 del artículo 3 del Decreto Ley 4170 de 2011, l</w:t>
      </w:r>
      <w:r w:rsidR="005A79FE" w:rsidRPr="00FA2409">
        <w:rPr>
          <w:rFonts w:ascii="Arial" w:eastAsia="Calibri" w:hAnsi="Arial" w:cs="Arial"/>
          <w:sz w:val="22"/>
        </w:rPr>
        <w:t xml:space="preserve">a Agencia Nacional de Contratación Pública ―Colombia Compra Eficiente― responde su consulta del </w:t>
      </w:r>
      <w:r w:rsidR="00B35AD5" w:rsidRPr="00FA2409">
        <w:rPr>
          <w:rFonts w:ascii="Arial" w:eastAsia="Calibri" w:hAnsi="Arial" w:cs="Arial"/>
          <w:sz w:val="22"/>
        </w:rPr>
        <w:t>1</w:t>
      </w:r>
      <w:r w:rsidRPr="00FA2409">
        <w:rPr>
          <w:rFonts w:ascii="Arial" w:eastAsia="Calibri" w:hAnsi="Arial" w:cs="Arial"/>
          <w:sz w:val="22"/>
        </w:rPr>
        <w:t xml:space="preserve"> de </w:t>
      </w:r>
      <w:r w:rsidR="00B35AD5" w:rsidRPr="00FA2409">
        <w:rPr>
          <w:rFonts w:ascii="Arial" w:eastAsia="Calibri" w:hAnsi="Arial" w:cs="Arial"/>
          <w:sz w:val="22"/>
        </w:rPr>
        <w:t>julio</w:t>
      </w:r>
      <w:r w:rsidR="005A79FE" w:rsidRPr="00FA2409">
        <w:rPr>
          <w:rFonts w:ascii="Arial" w:eastAsia="Calibri" w:hAnsi="Arial" w:cs="Arial"/>
          <w:sz w:val="22"/>
        </w:rPr>
        <w:t xml:space="preserve"> de 20</w:t>
      </w:r>
      <w:r w:rsidR="00251051" w:rsidRPr="00FA2409">
        <w:rPr>
          <w:rFonts w:ascii="Arial" w:eastAsia="Calibri" w:hAnsi="Arial" w:cs="Arial"/>
          <w:sz w:val="22"/>
        </w:rPr>
        <w:t>20</w:t>
      </w:r>
      <w:r w:rsidR="005A79FE" w:rsidRPr="00FA2409">
        <w:rPr>
          <w:rFonts w:ascii="Arial" w:eastAsia="Calibri" w:hAnsi="Arial" w:cs="Arial"/>
          <w:sz w:val="22"/>
        </w:rPr>
        <w:t xml:space="preserve">. </w:t>
      </w:r>
    </w:p>
    <w:p w14:paraId="4FA02A8B" w14:textId="77777777" w:rsidR="005A79FE" w:rsidRPr="00FA2409" w:rsidRDefault="005A79FE" w:rsidP="005A79FE">
      <w:pPr>
        <w:spacing w:line="276" w:lineRule="auto"/>
        <w:jc w:val="both"/>
        <w:rPr>
          <w:rFonts w:ascii="Arial" w:eastAsia="Calibri" w:hAnsi="Arial" w:cs="Arial"/>
          <w:sz w:val="22"/>
        </w:rPr>
      </w:pPr>
    </w:p>
    <w:p w14:paraId="4E8D0889" w14:textId="77777777" w:rsidR="005A79FE" w:rsidRPr="00FA2409"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FA2409">
        <w:rPr>
          <w:rFonts w:ascii="Arial" w:eastAsia="Calibri" w:hAnsi="Arial" w:cs="Arial"/>
          <w:b/>
          <w:sz w:val="22"/>
        </w:rPr>
        <w:t xml:space="preserve">Problemas planteados </w:t>
      </w:r>
    </w:p>
    <w:p w14:paraId="138D5B25" w14:textId="77777777" w:rsidR="005A79FE" w:rsidRPr="00FA2409" w:rsidRDefault="005A79FE" w:rsidP="005A79FE">
      <w:pPr>
        <w:tabs>
          <w:tab w:val="left" w:pos="426"/>
        </w:tabs>
        <w:spacing w:line="276" w:lineRule="auto"/>
        <w:jc w:val="both"/>
        <w:rPr>
          <w:rFonts w:ascii="Arial" w:eastAsia="Calibri" w:hAnsi="Arial" w:cs="Arial"/>
          <w:b/>
          <w:sz w:val="22"/>
        </w:rPr>
      </w:pPr>
    </w:p>
    <w:p w14:paraId="205B232C" w14:textId="63B5CC33" w:rsidR="00BB6314" w:rsidRPr="00FA2409" w:rsidRDefault="00346F03" w:rsidP="004B40B0">
      <w:pPr>
        <w:tabs>
          <w:tab w:val="left" w:pos="426"/>
        </w:tabs>
        <w:spacing w:line="276" w:lineRule="auto"/>
        <w:jc w:val="both"/>
        <w:rPr>
          <w:rFonts w:ascii="Arial" w:eastAsia="Calibri" w:hAnsi="Arial" w:cs="Arial"/>
          <w:sz w:val="22"/>
        </w:rPr>
      </w:pPr>
      <w:bookmarkStart w:id="0" w:name="_Hlk45725836"/>
      <w:r>
        <w:rPr>
          <w:rFonts w:ascii="Arial" w:eastAsia="Calibri" w:hAnsi="Arial" w:cs="Arial"/>
          <w:sz w:val="22"/>
        </w:rPr>
        <w:t xml:space="preserve">Respecto a la </w:t>
      </w:r>
      <w:r w:rsidR="00BB6314" w:rsidRPr="00FA2409">
        <w:rPr>
          <w:rFonts w:ascii="Arial" w:eastAsia="Calibri" w:hAnsi="Arial" w:cs="Arial"/>
          <w:sz w:val="22"/>
        </w:rPr>
        <w:t>modalidad de selección de mínima cuantía</w:t>
      </w:r>
      <w:r>
        <w:rPr>
          <w:rFonts w:ascii="Arial" w:eastAsia="Calibri" w:hAnsi="Arial" w:cs="Arial"/>
          <w:sz w:val="22"/>
        </w:rPr>
        <w:t xml:space="preserve">, usted solicita un concepto sobre </w:t>
      </w:r>
      <w:r w:rsidR="00CB2EE0" w:rsidRPr="00FA2409">
        <w:rPr>
          <w:rFonts w:ascii="Arial" w:eastAsia="Calibri" w:hAnsi="Arial" w:cs="Arial"/>
          <w:sz w:val="22"/>
        </w:rPr>
        <w:t>«</w:t>
      </w:r>
      <w:r>
        <w:rPr>
          <w:rFonts w:ascii="Arial" w:eastAsia="Calibri" w:hAnsi="Arial" w:cs="Arial"/>
          <w:sz w:val="22"/>
        </w:rPr>
        <w:t>[…]</w:t>
      </w:r>
      <w:r w:rsidR="00BB6314" w:rsidRPr="00FA2409">
        <w:rPr>
          <w:rFonts w:ascii="Arial" w:eastAsia="Calibri" w:hAnsi="Arial" w:cs="Arial"/>
          <w:sz w:val="22"/>
        </w:rPr>
        <w:t xml:space="preserve"> la forma de contabilización del término señalado en el artículo 2.2.1.2.1.5.2 del Decreto 1082 de 2015, y la forma en que se debe proceder si dentro de dicho término se presenta una observación que implique la expedición de una adenda».</w:t>
      </w:r>
    </w:p>
    <w:bookmarkEnd w:id="0"/>
    <w:p w14:paraId="1B353FB7" w14:textId="77777777" w:rsidR="00BB6314" w:rsidRPr="00FA2409" w:rsidRDefault="00BB6314" w:rsidP="004B40B0">
      <w:pPr>
        <w:tabs>
          <w:tab w:val="left" w:pos="426"/>
        </w:tabs>
        <w:spacing w:line="276" w:lineRule="auto"/>
        <w:jc w:val="both"/>
        <w:rPr>
          <w:rFonts w:ascii="Arial" w:eastAsia="Calibri" w:hAnsi="Arial" w:cs="Arial"/>
          <w:sz w:val="22"/>
        </w:rPr>
      </w:pPr>
    </w:p>
    <w:p w14:paraId="18C6DB19" w14:textId="11E7C1B2" w:rsidR="005A79FE" w:rsidRPr="00FA2409"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FA2409">
        <w:rPr>
          <w:rFonts w:ascii="Arial" w:eastAsia="Calibri" w:hAnsi="Arial" w:cs="Arial"/>
          <w:b/>
          <w:sz w:val="22"/>
        </w:rPr>
        <w:t>Consideraciones</w:t>
      </w:r>
    </w:p>
    <w:p w14:paraId="02FE9605" w14:textId="77777777" w:rsidR="00604180" w:rsidRPr="00FA2409" w:rsidRDefault="00604180" w:rsidP="00604180">
      <w:pPr>
        <w:pStyle w:val="Prrafodelista"/>
        <w:tabs>
          <w:tab w:val="left" w:pos="426"/>
        </w:tabs>
        <w:spacing w:line="276" w:lineRule="auto"/>
        <w:ind w:left="284"/>
        <w:jc w:val="both"/>
        <w:rPr>
          <w:rFonts w:ascii="Arial" w:eastAsia="Calibri" w:hAnsi="Arial" w:cs="Arial"/>
          <w:b/>
          <w:sz w:val="22"/>
        </w:rPr>
      </w:pPr>
    </w:p>
    <w:p w14:paraId="1FD00768" w14:textId="321DB625" w:rsidR="005A79FE" w:rsidRPr="00FA2409" w:rsidRDefault="005A79FE" w:rsidP="003B1CBD">
      <w:pPr>
        <w:spacing w:line="276" w:lineRule="auto"/>
        <w:jc w:val="both"/>
        <w:rPr>
          <w:rFonts w:ascii="Arial" w:eastAsia="Calibri" w:hAnsi="Arial" w:cs="Arial"/>
          <w:sz w:val="22"/>
        </w:rPr>
      </w:pPr>
      <w:r w:rsidRPr="00FA2409">
        <w:rPr>
          <w:rFonts w:ascii="Arial" w:hAnsi="Arial" w:cs="Arial"/>
          <w:sz w:val="22"/>
        </w:rPr>
        <w:t xml:space="preserve">La Agencia Nacional de Contratación Pública </w:t>
      </w:r>
      <w:r w:rsidR="00346F03">
        <w:rPr>
          <w:rFonts w:ascii="Arial" w:hAnsi="Arial" w:cs="Arial"/>
          <w:sz w:val="22"/>
        </w:rPr>
        <w:t>–</w:t>
      </w:r>
      <w:r w:rsidRPr="00FA2409">
        <w:rPr>
          <w:rFonts w:ascii="Arial" w:hAnsi="Arial" w:cs="Arial"/>
          <w:sz w:val="22"/>
        </w:rPr>
        <w:t xml:space="preserve"> Colombia Compra Eficiente</w:t>
      </w:r>
      <w:r w:rsidR="00A1714F" w:rsidRPr="00FA2409">
        <w:rPr>
          <w:rFonts w:ascii="Arial" w:hAnsi="Arial" w:cs="Arial"/>
          <w:sz w:val="22"/>
        </w:rPr>
        <w:t>,</w:t>
      </w:r>
      <w:r w:rsidRPr="00FA2409">
        <w:rPr>
          <w:rFonts w:ascii="Arial" w:hAnsi="Arial" w:cs="Arial"/>
          <w:sz w:val="22"/>
        </w:rPr>
        <w:t xml:space="preserve"> </w:t>
      </w:r>
      <w:r w:rsidR="00C871F2" w:rsidRPr="00FA2409">
        <w:rPr>
          <w:rFonts w:ascii="Arial" w:eastAsia="Calibri" w:hAnsi="Arial" w:cs="Arial"/>
          <w:sz w:val="22"/>
        </w:rPr>
        <w:t>en</w:t>
      </w:r>
      <w:r w:rsidR="00BB6314" w:rsidRPr="00FA2409">
        <w:rPr>
          <w:rFonts w:ascii="Arial" w:eastAsia="Calibri" w:hAnsi="Arial" w:cs="Arial"/>
          <w:sz w:val="22"/>
        </w:rPr>
        <w:t xml:space="preserve"> los conceptos </w:t>
      </w:r>
      <w:r w:rsidR="003B1CBD">
        <w:rPr>
          <w:rFonts w:ascii="Arial" w:eastAsia="Calibri" w:hAnsi="Arial" w:cs="Arial"/>
          <w:sz w:val="22"/>
        </w:rPr>
        <w:t xml:space="preserve">con radicado No. </w:t>
      </w:r>
      <w:r w:rsidR="003B1CBD" w:rsidRPr="00FA2409">
        <w:rPr>
          <w:rFonts w:ascii="Arial" w:hAnsi="Arial" w:cs="Arial"/>
          <w:sz w:val="22"/>
        </w:rPr>
        <w:t xml:space="preserve">2201913000006236 de 26 de agosto de </w:t>
      </w:r>
      <w:proofErr w:type="gramStart"/>
      <w:r w:rsidR="003B1CBD" w:rsidRPr="00FA2409">
        <w:rPr>
          <w:rFonts w:ascii="Arial" w:hAnsi="Arial" w:cs="Arial"/>
          <w:sz w:val="22"/>
        </w:rPr>
        <w:t>2019</w:t>
      </w:r>
      <w:r w:rsidR="003B1CBD">
        <w:rPr>
          <w:rFonts w:ascii="Arial" w:hAnsi="Arial" w:cs="Arial"/>
          <w:sz w:val="22"/>
        </w:rPr>
        <w:t xml:space="preserve">, </w:t>
      </w:r>
      <w:r w:rsidR="00BB6314" w:rsidRPr="00FA2409">
        <w:rPr>
          <w:rFonts w:ascii="Arial" w:eastAsia="Calibri" w:hAnsi="Arial" w:cs="Arial"/>
          <w:sz w:val="22"/>
        </w:rPr>
        <w:t xml:space="preserve"> </w:t>
      </w:r>
      <w:r w:rsidR="00ED5A52" w:rsidRPr="00FA2409">
        <w:rPr>
          <w:rFonts w:ascii="Arial" w:eastAsia="Calibri" w:hAnsi="Arial" w:cs="Arial"/>
          <w:sz w:val="22"/>
        </w:rPr>
        <w:t>C</w:t>
      </w:r>
      <w:r w:rsidR="00ED5A52" w:rsidRPr="00FA2409">
        <w:rPr>
          <w:rFonts w:ascii="Arial" w:eastAsia="Calibri" w:hAnsi="Arial" w:cs="Arial"/>
          <w:sz w:val="22"/>
        </w:rPr>
        <w:softHyphen/>
      </w:r>
      <w:r w:rsidR="00ED5A52" w:rsidRPr="00FA2409">
        <w:rPr>
          <w:rFonts w:ascii="Arial" w:eastAsia="Calibri" w:hAnsi="Arial" w:cs="Arial"/>
          <w:sz w:val="22"/>
        </w:rPr>
        <w:softHyphen/>
      </w:r>
      <w:proofErr w:type="gramEnd"/>
      <w:r w:rsidR="00ED5A52" w:rsidRPr="00FA2409">
        <w:rPr>
          <w:rFonts w:ascii="Arial" w:eastAsia="Calibri" w:hAnsi="Arial" w:cs="Arial"/>
          <w:sz w:val="22"/>
        </w:rPr>
        <w:t>–108 de</w:t>
      </w:r>
      <w:r w:rsidR="003B1CBD">
        <w:rPr>
          <w:rFonts w:ascii="Arial" w:eastAsia="Calibri" w:hAnsi="Arial" w:cs="Arial"/>
          <w:sz w:val="22"/>
        </w:rPr>
        <w:t>l 3 de marzo de</w:t>
      </w:r>
      <w:r w:rsidR="00ED5A52" w:rsidRPr="00FA2409">
        <w:rPr>
          <w:rFonts w:ascii="Arial" w:eastAsia="Calibri" w:hAnsi="Arial" w:cs="Arial"/>
          <w:sz w:val="22"/>
        </w:rPr>
        <w:t xml:space="preserve"> 2020, C–121 de</w:t>
      </w:r>
      <w:r w:rsidR="003B1CBD">
        <w:rPr>
          <w:rFonts w:ascii="Arial" w:eastAsia="Calibri" w:hAnsi="Arial" w:cs="Arial"/>
          <w:sz w:val="22"/>
        </w:rPr>
        <w:t>l 3 de marzo de</w:t>
      </w:r>
      <w:r w:rsidR="00ED5A52" w:rsidRPr="00FA2409">
        <w:rPr>
          <w:rFonts w:ascii="Arial" w:eastAsia="Calibri" w:hAnsi="Arial" w:cs="Arial"/>
          <w:sz w:val="22"/>
        </w:rPr>
        <w:t xml:space="preserve"> 2020, C–122 de</w:t>
      </w:r>
      <w:r w:rsidR="003B1CBD">
        <w:rPr>
          <w:rFonts w:ascii="Arial" w:eastAsia="Calibri" w:hAnsi="Arial" w:cs="Arial"/>
          <w:sz w:val="22"/>
        </w:rPr>
        <w:t>l 25 de marzo de</w:t>
      </w:r>
      <w:r w:rsidR="00ED5A52" w:rsidRPr="00FA2409">
        <w:rPr>
          <w:rFonts w:ascii="Arial" w:eastAsia="Calibri" w:hAnsi="Arial" w:cs="Arial"/>
          <w:sz w:val="22"/>
        </w:rPr>
        <w:t xml:space="preserve"> 2020 y C–160 de</w:t>
      </w:r>
      <w:r w:rsidR="003B1CBD">
        <w:rPr>
          <w:rFonts w:ascii="Arial" w:eastAsia="Calibri" w:hAnsi="Arial" w:cs="Arial"/>
          <w:sz w:val="22"/>
        </w:rPr>
        <w:t>l 3 de abril de</w:t>
      </w:r>
      <w:r w:rsidR="00ED5A52" w:rsidRPr="00FA2409">
        <w:rPr>
          <w:rFonts w:ascii="Arial" w:eastAsia="Calibri" w:hAnsi="Arial" w:cs="Arial"/>
          <w:sz w:val="22"/>
        </w:rPr>
        <w:t xml:space="preserve"> 202</w:t>
      </w:r>
      <w:r w:rsidR="00346F03">
        <w:rPr>
          <w:rFonts w:ascii="Arial" w:eastAsia="Calibri" w:hAnsi="Arial" w:cs="Arial"/>
          <w:sz w:val="22"/>
        </w:rPr>
        <w:t>0</w:t>
      </w:r>
      <w:r w:rsidR="00ED5A52" w:rsidRPr="00FA2409">
        <w:rPr>
          <w:rFonts w:ascii="Arial" w:eastAsia="Calibri" w:hAnsi="Arial" w:cs="Arial"/>
          <w:sz w:val="22"/>
        </w:rPr>
        <w:t>, estudió particularidades de la modalidad de selección de mínima cuantía y la contabilización de</w:t>
      </w:r>
      <w:r w:rsidR="00DB049E" w:rsidRPr="00FA2409">
        <w:rPr>
          <w:rFonts w:ascii="Arial" w:eastAsia="Calibri" w:hAnsi="Arial" w:cs="Arial"/>
          <w:sz w:val="22"/>
        </w:rPr>
        <w:t xml:space="preserve"> los</w:t>
      </w:r>
      <w:r w:rsidR="00ED5A52" w:rsidRPr="00FA2409">
        <w:rPr>
          <w:rFonts w:ascii="Arial" w:eastAsia="Calibri" w:hAnsi="Arial" w:cs="Arial"/>
          <w:sz w:val="22"/>
        </w:rPr>
        <w:t xml:space="preserve"> términos. Por otro lado, en </w:t>
      </w:r>
      <w:r w:rsidR="00C871F2" w:rsidRPr="00FA2409">
        <w:rPr>
          <w:rFonts w:ascii="Arial" w:eastAsia="Calibri" w:hAnsi="Arial" w:cs="Arial"/>
          <w:sz w:val="22"/>
        </w:rPr>
        <w:t xml:space="preserve"> los conceptos con radicados números</w:t>
      </w:r>
      <w:r w:rsidR="00E01C96" w:rsidRPr="00FA2409">
        <w:rPr>
          <w:rFonts w:ascii="Arial" w:eastAsia="Calibri" w:hAnsi="Arial" w:cs="Arial"/>
          <w:sz w:val="22"/>
        </w:rPr>
        <w:t xml:space="preserve"> 4201614000005342 del 8 de noviembre de 2016, </w:t>
      </w:r>
      <w:r w:rsidR="00A70DE5" w:rsidRPr="00FA2409">
        <w:rPr>
          <w:rFonts w:ascii="Arial" w:eastAsia="Calibri" w:hAnsi="Arial" w:cs="Arial"/>
          <w:sz w:val="22"/>
        </w:rPr>
        <w:t>4201714000002354 del 5 de junio de 2017, 420171400000</w:t>
      </w:r>
      <w:r w:rsidR="00032DCA" w:rsidRPr="00FA2409">
        <w:rPr>
          <w:rFonts w:ascii="Arial" w:eastAsia="Calibri" w:hAnsi="Arial" w:cs="Arial"/>
          <w:sz w:val="22"/>
        </w:rPr>
        <w:t>6628 del 17 de enero de 2018, 420171300000</w:t>
      </w:r>
      <w:r w:rsidR="001B3E78" w:rsidRPr="00FA2409">
        <w:rPr>
          <w:rFonts w:ascii="Arial" w:eastAsia="Calibri" w:hAnsi="Arial" w:cs="Arial"/>
          <w:sz w:val="22"/>
        </w:rPr>
        <w:t>7273 del 5 de febrero de 2018, 4201814000001007</w:t>
      </w:r>
      <w:r w:rsidR="00701506" w:rsidRPr="00FA2409">
        <w:rPr>
          <w:rFonts w:ascii="Arial" w:eastAsia="Calibri" w:hAnsi="Arial" w:cs="Arial"/>
          <w:sz w:val="22"/>
        </w:rPr>
        <w:t xml:space="preserve"> del 20 de marzo de 2018, 420181400000</w:t>
      </w:r>
      <w:r w:rsidR="00B745E8" w:rsidRPr="00FA2409">
        <w:rPr>
          <w:rFonts w:ascii="Arial" w:eastAsia="Calibri" w:hAnsi="Arial" w:cs="Arial"/>
          <w:sz w:val="22"/>
        </w:rPr>
        <w:t>6</w:t>
      </w:r>
      <w:r w:rsidR="009606E0" w:rsidRPr="00FA2409">
        <w:rPr>
          <w:rFonts w:ascii="Arial" w:eastAsia="Calibri" w:hAnsi="Arial" w:cs="Arial"/>
          <w:sz w:val="22"/>
        </w:rPr>
        <w:t>367 del 27 de agosto de 2018</w:t>
      </w:r>
      <w:r w:rsidR="00B745E8" w:rsidRPr="00FA2409">
        <w:rPr>
          <w:rFonts w:ascii="Arial" w:eastAsia="Calibri" w:hAnsi="Arial" w:cs="Arial"/>
          <w:sz w:val="22"/>
        </w:rPr>
        <w:t>, y, 420191200000</w:t>
      </w:r>
      <w:r w:rsidR="00366B8E" w:rsidRPr="00FA2409">
        <w:rPr>
          <w:rFonts w:ascii="Arial" w:eastAsia="Calibri" w:hAnsi="Arial" w:cs="Arial"/>
          <w:sz w:val="22"/>
        </w:rPr>
        <w:t>2664 del 5 de junio de 2019</w:t>
      </w:r>
      <w:r w:rsidR="00411141" w:rsidRPr="00FA2409">
        <w:rPr>
          <w:rFonts w:ascii="Arial" w:eastAsia="Calibri" w:hAnsi="Arial" w:cs="Arial"/>
          <w:sz w:val="22"/>
        </w:rPr>
        <w:t xml:space="preserve">, </w:t>
      </w:r>
      <w:r w:rsidR="00C467D5" w:rsidRPr="00FA2409">
        <w:rPr>
          <w:rFonts w:ascii="Arial" w:eastAsia="Calibri" w:hAnsi="Arial" w:cs="Arial"/>
          <w:sz w:val="22"/>
        </w:rPr>
        <w:t>así como también en el concepto C-201 de</w:t>
      </w:r>
      <w:r w:rsidR="003B1CBD">
        <w:rPr>
          <w:rFonts w:ascii="Arial" w:eastAsia="Calibri" w:hAnsi="Arial" w:cs="Arial"/>
          <w:sz w:val="22"/>
        </w:rPr>
        <w:t>l 13 de abril de</w:t>
      </w:r>
      <w:r w:rsidR="00C467D5" w:rsidRPr="00FA2409">
        <w:rPr>
          <w:rFonts w:ascii="Arial" w:eastAsia="Calibri" w:hAnsi="Arial" w:cs="Arial"/>
          <w:sz w:val="22"/>
        </w:rPr>
        <w:t xml:space="preserve"> 2020, </w:t>
      </w:r>
      <w:r w:rsidR="00411141" w:rsidRPr="00FA2409">
        <w:rPr>
          <w:rFonts w:ascii="Arial" w:eastAsia="Calibri" w:hAnsi="Arial" w:cs="Arial"/>
          <w:sz w:val="22"/>
        </w:rPr>
        <w:t xml:space="preserve">estudió </w:t>
      </w:r>
      <w:r w:rsidR="00BF27E9" w:rsidRPr="00FA2409">
        <w:rPr>
          <w:rFonts w:ascii="Arial" w:eastAsia="Calibri" w:hAnsi="Arial" w:cs="Arial"/>
          <w:sz w:val="22"/>
        </w:rPr>
        <w:t xml:space="preserve">el deber de las entidades estatales de </w:t>
      </w:r>
      <w:r w:rsidR="003A4D93" w:rsidRPr="00FA2409">
        <w:rPr>
          <w:rFonts w:ascii="Arial" w:eastAsia="Calibri" w:hAnsi="Arial" w:cs="Arial"/>
          <w:sz w:val="22"/>
        </w:rPr>
        <w:lastRenderedPageBreak/>
        <w:t>r</w:t>
      </w:r>
      <w:r w:rsidR="00BF27E9" w:rsidRPr="00FA2409">
        <w:rPr>
          <w:rFonts w:ascii="Arial" w:eastAsia="Calibri" w:hAnsi="Arial" w:cs="Arial"/>
          <w:sz w:val="22"/>
        </w:rPr>
        <w:t>esp</w:t>
      </w:r>
      <w:r w:rsidR="003A4D93" w:rsidRPr="00FA2409">
        <w:rPr>
          <w:rFonts w:ascii="Arial" w:eastAsia="Calibri" w:hAnsi="Arial" w:cs="Arial"/>
          <w:sz w:val="22"/>
        </w:rPr>
        <w:t>onder</w:t>
      </w:r>
      <w:r w:rsidR="00BF27E9" w:rsidRPr="00FA2409">
        <w:rPr>
          <w:rFonts w:ascii="Arial" w:eastAsia="Calibri" w:hAnsi="Arial" w:cs="Arial"/>
          <w:sz w:val="22"/>
        </w:rPr>
        <w:t xml:space="preserve"> las observaciones </w:t>
      </w:r>
      <w:r w:rsidR="001974DF" w:rsidRPr="00FA2409">
        <w:rPr>
          <w:rFonts w:ascii="Arial" w:eastAsia="Calibri" w:hAnsi="Arial" w:cs="Arial"/>
          <w:sz w:val="22"/>
        </w:rPr>
        <w:t xml:space="preserve">en los procesos de contratación. La tesis desarrollada en estos conceptos </w:t>
      </w:r>
      <w:r w:rsidR="00262A15" w:rsidRPr="00FA2409">
        <w:rPr>
          <w:rFonts w:ascii="Arial" w:eastAsia="Calibri" w:hAnsi="Arial" w:cs="Arial"/>
          <w:sz w:val="22"/>
        </w:rPr>
        <w:t>se expone y reitera a continuación.</w:t>
      </w:r>
    </w:p>
    <w:p w14:paraId="7C5EB19F" w14:textId="57D12472" w:rsidR="00972A56" w:rsidRPr="00FA2409" w:rsidRDefault="00972A56" w:rsidP="005A79FE">
      <w:pPr>
        <w:spacing w:before="120" w:line="276" w:lineRule="auto"/>
        <w:jc w:val="both"/>
        <w:rPr>
          <w:rFonts w:ascii="Arial" w:eastAsia="Calibri" w:hAnsi="Arial" w:cs="Arial"/>
          <w:sz w:val="22"/>
        </w:rPr>
      </w:pPr>
    </w:p>
    <w:p w14:paraId="217275A9" w14:textId="77777777" w:rsidR="00972A56" w:rsidRPr="00FA2409" w:rsidRDefault="00972A56" w:rsidP="00972A56">
      <w:pPr>
        <w:pStyle w:val="Prrafodelista"/>
        <w:spacing w:line="276" w:lineRule="auto"/>
        <w:ind w:left="0"/>
        <w:jc w:val="both"/>
        <w:rPr>
          <w:rFonts w:ascii="Arial" w:hAnsi="Arial" w:cs="Arial"/>
          <w:b/>
          <w:bCs/>
          <w:sz w:val="22"/>
        </w:rPr>
      </w:pPr>
      <w:r w:rsidRPr="00FA2409">
        <w:rPr>
          <w:rFonts w:ascii="Arial" w:hAnsi="Arial" w:cs="Arial"/>
          <w:b/>
          <w:bCs/>
          <w:sz w:val="22"/>
        </w:rPr>
        <w:t xml:space="preserve">2.1. </w:t>
      </w:r>
      <w:r w:rsidRPr="00FA2409">
        <w:rPr>
          <w:rFonts w:ascii="Arial" w:eastAsia="Calibri" w:hAnsi="Arial" w:cs="Arial"/>
          <w:b/>
          <w:sz w:val="22"/>
          <w:lang w:val="es-ES_tradnl"/>
        </w:rPr>
        <w:t>Modalidad de selección de mínima cuantía. Regulación y características del procedimiento</w:t>
      </w:r>
    </w:p>
    <w:p w14:paraId="3F189ECC" w14:textId="77777777" w:rsidR="00972A56" w:rsidRPr="00FA2409" w:rsidRDefault="00972A56" w:rsidP="00972A56">
      <w:pPr>
        <w:spacing w:line="276" w:lineRule="auto"/>
        <w:jc w:val="both"/>
        <w:rPr>
          <w:rFonts w:ascii="Arial" w:eastAsia="Calibri" w:hAnsi="Arial" w:cs="Arial"/>
          <w:sz w:val="22"/>
          <w:lang w:val="es-ES_tradnl"/>
        </w:rPr>
      </w:pPr>
    </w:p>
    <w:p w14:paraId="2E90E01C" w14:textId="77777777" w:rsidR="00972A56" w:rsidRPr="00FA2409" w:rsidRDefault="00972A56" w:rsidP="00972A56">
      <w:pPr>
        <w:spacing w:after="120" w:line="276" w:lineRule="auto"/>
        <w:jc w:val="both"/>
        <w:rPr>
          <w:rFonts w:ascii="Arial" w:eastAsia="Calibri" w:hAnsi="Arial" w:cs="Arial"/>
          <w:sz w:val="22"/>
          <w:lang w:val="es-ES_tradnl"/>
        </w:rPr>
      </w:pPr>
      <w:r w:rsidRPr="00FA2409">
        <w:rPr>
          <w:rFonts w:ascii="Arial" w:eastAsia="Calibri" w:hAnsi="Arial" w:cs="Arial"/>
          <w:sz w:val="22"/>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 –que adicionó el numeral 5º al artículo 2 de la Ley 1150 de 2007–</w:t>
      </w:r>
      <w:r w:rsidRPr="00FA2409">
        <w:rPr>
          <w:rStyle w:val="Refdenotaalpie"/>
          <w:rFonts w:ascii="Arial" w:eastAsia="Calibri" w:hAnsi="Arial" w:cs="Arial"/>
          <w:sz w:val="22"/>
          <w:lang w:val="es-ES_tradnl"/>
        </w:rPr>
        <w:footnoteReference w:id="2"/>
      </w:r>
      <w:r w:rsidRPr="00FA2409">
        <w:rPr>
          <w:rFonts w:ascii="Arial" w:eastAsia="Calibri" w:hAnsi="Arial" w:cs="Arial"/>
          <w:sz w:val="22"/>
          <w:lang w:val="es-ES_tradnl"/>
        </w:rPr>
        <w:t>, estableciendo que el factor determinante para adelantar tal procedimiento es la cuantía–calculada como presupuesto oficial a partir del estudio del sector–, «independientemente de su objeto»</w:t>
      </w:r>
      <w:r w:rsidRPr="00FA2409">
        <w:rPr>
          <w:rStyle w:val="Refdenotaalpie"/>
          <w:rFonts w:ascii="Arial" w:eastAsia="Calibri" w:hAnsi="Arial" w:cs="Arial"/>
          <w:sz w:val="22"/>
          <w:lang w:val="es-ES_tradnl"/>
        </w:rPr>
        <w:footnoteReference w:id="3"/>
      </w:r>
      <w:r w:rsidRPr="00FA2409">
        <w:rPr>
          <w:rFonts w:ascii="Arial" w:eastAsia="Calibri" w:hAnsi="Arial" w:cs="Arial"/>
          <w:sz w:val="22"/>
          <w:lang w:val="es-ES_tradnl"/>
        </w:rPr>
        <w:t xml:space="preserve">. </w:t>
      </w:r>
    </w:p>
    <w:p w14:paraId="06F27083" w14:textId="372B99AD" w:rsidR="00972A56" w:rsidRPr="00FA2409" w:rsidRDefault="00972A56" w:rsidP="00972A56">
      <w:pPr>
        <w:spacing w:before="120" w:after="120" w:line="276" w:lineRule="auto"/>
        <w:ind w:firstLine="709"/>
        <w:jc w:val="both"/>
        <w:rPr>
          <w:rFonts w:ascii="Arial" w:eastAsia="Calibri" w:hAnsi="Arial" w:cs="Arial"/>
          <w:sz w:val="22"/>
          <w:lang w:val="es-ES_tradnl"/>
        </w:rPr>
      </w:pPr>
      <w:r w:rsidRPr="00FA2409">
        <w:rPr>
          <w:rFonts w:ascii="Arial" w:eastAsia="Calibri" w:hAnsi="Arial" w:cs="Arial"/>
          <w:sz w:val="22"/>
          <w:lang w:val="es-ES_tradnl"/>
        </w:rPr>
        <w:t>Dicho de otro modo, la mínima cuantía es un procedimiento de selección «especial»</w:t>
      </w:r>
      <w:r w:rsidRPr="00FA2409">
        <w:rPr>
          <w:rStyle w:val="Refdenotaalpie"/>
          <w:rFonts w:ascii="Arial" w:eastAsia="Calibri" w:hAnsi="Arial" w:cs="Arial"/>
          <w:sz w:val="22"/>
          <w:lang w:val="es-ES_tradnl"/>
        </w:rPr>
        <w:footnoteReference w:id="4"/>
      </w:r>
      <w:r w:rsidRPr="00FA2409">
        <w:rPr>
          <w:rFonts w:ascii="Arial" w:eastAsia="Calibri" w:hAnsi="Arial" w:cs="Arial"/>
          <w:sz w:val="22"/>
          <w:lang w:val="es-ES_tradnl"/>
        </w:rPr>
        <w:t>, porque es una excepción a la regla general constituida por la licitación pública, pero se parece a esta en que también es un llamado general a presentar ofertas, efectuado por la entidad estatal interesada en contratar, aunque es distinta en otros aspectos, como su conducencia y su procedimiento</w:t>
      </w:r>
      <w:r w:rsidR="004D56C0">
        <w:rPr>
          <w:rFonts w:ascii="Arial" w:eastAsia="Calibri" w:hAnsi="Arial" w:cs="Arial"/>
          <w:sz w:val="22"/>
          <w:lang w:val="es-ES_tradnl"/>
        </w:rPr>
        <w:t>:</w:t>
      </w:r>
      <w:r w:rsidRPr="00FA2409">
        <w:rPr>
          <w:rFonts w:ascii="Arial" w:eastAsia="Calibri" w:hAnsi="Arial" w:cs="Arial"/>
          <w:sz w:val="22"/>
          <w:lang w:val="es-ES_tradnl"/>
        </w:rPr>
        <w:t xml:space="preserve"> lo primero, porque solo procede por razón de una </w:t>
      </w:r>
      <w:r w:rsidRPr="00FA2409">
        <w:rPr>
          <w:rFonts w:ascii="Arial" w:eastAsia="Calibri" w:hAnsi="Arial" w:cs="Arial"/>
          <w:sz w:val="22"/>
          <w:lang w:val="es-ES_tradnl"/>
        </w:rPr>
        <w:lastRenderedPageBreak/>
        <w:t>cuantía específica</w:t>
      </w:r>
      <w:r w:rsidRPr="00FA2409">
        <w:rPr>
          <w:rStyle w:val="Refdenotaalpie"/>
          <w:rFonts w:ascii="Arial" w:eastAsia="Calibri" w:hAnsi="Arial" w:cs="Arial"/>
          <w:sz w:val="22"/>
          <w:lang w:val="es-ES_tradnl"/>
        </w:rPr>
        <w:footnoteReference w:id="5"/>
      </w:r>
      <w:r w:rsidRPr="00FA2409">
        <w:rPr>
          <w:rFonts w:ascii="Arial" w:eastAsia="Calibri" w:hAnsi="Arial" w:cs="Arial"/>
          <w:sz w:val="22"/>
          <w:lang w:val="es-ES_tradnl"/>
        </w:rPr>
        <w:t>, y lo segundo, porque sus requisitos, etapas y términos son peculiares. En efecto, a partir de la mencionada norma legal, así como de los artículos 2.2.1.2.1.5.1. al 2.2.1.2.1.5.4. del Decreto 1082 de 2015, los requisitos de la mínima cuantía pueden sintetizarse así:</w:t>
      </w:r>
    </w:p>
    <w:p w14:paraId="1DD2F901"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r w:rsidRPr="00FA2409">
        <w:rPr>
          <w:rFonts w:ascii="Arial" w:eastAsia="Calibri" w:hAnsi="Arial" w:cs="Arial"/>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41A763AB"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ii</w:t>
      </w:r>
      <w:proofErr w:type="spellEnd"/>
      <w:r w:rsidRPr="00FA2409">
        <w:rPr>
          <w:rFonts w:ascii="Arial" w:eastAsia="Calibri" w:hAnsi="Arial" w:cs="Arial"/>
          <w:sz w:val="22"/>
          <w:lang w:val="es-ES_tradnl"/>
        </w:rPr>
        <w:t>) Luego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FA2409">
        <w:rPr>
          <w:rStyle w:val="Refdenotaalpie"/>
          <w:rFonts w:ascii="Arial" w:eastAsia="Calibri" w:hAnsi="Arial" w:cs="Arial"/>
          <w:sz w:val="22"/>
          <w:lang w:val="es-ES_tradnl"/>
        </w:rPr>
        <w:footnoteReference w:id="6"/>
      </w:r>
      <w:r w:rsidRPr="00FA2409">
        <w:rPr>
          <w:rFonts w:ascii="Arial" w:eastAsia="Calibri" w:hAnsi="Arial" w:cs="Arial"/>
          <w:sz w:val="22"/>
          <w:lang w:val="es-ES_tradnl"/>
        </w:rPr>
        <w:t>.</w:t>
      </w:r>
    </w:p>
    <w:p w14:paraId="4DA77BD3"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iii</w:t>
      </w:r>
      <w:proofErr w:type="spellEnd"/>
      <w:r w:rsidRPr="00FA2409">
        <w:rPr>
          <w:rFonts w:ascii="Arial" w:eastAsia="Calibri" w:hAnsi="Arial" w:cs="Arial"/>
          <w:sz w:val="22"/>
          <w:lang w:val="es-ES_tradnl"/>
        </w:rPr>
        <w:t>) La invitación se debe publicar por un término no inferior a un (1) día hábil.</w:t>
      </w:r>
    </w:p>
    <w:p w14:paraId="2D462C4A"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iv</w:t>
      </w:r>
      <w:proofErr w:type="spellEnd"/>
      <w:r w:rsidRPr="00FA2409">
        <w:rPr>
          <w:rFonts w:ascii="Arial" w:eastAsia="Calibri" w:hAnsi="Arial" w:cs="Arial"/>
          <w:sz w:val="22"/>
          <w:lang w:val="es-ES_tradnl"/>
        </w:rPr>
        <w:t>) El término previsto en la invitación para presentar la oferta no podrá ser inferior a un (1) día hábil.</w:t>
      </w:r>
    </w:p>
    <w:p w14:paraId="781DD62A"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r w:rsidRPr="00FA2409">
        <w:rPr>
          <w:rFonts w:ascii="Arial" w:eastAsia="Calibri" w:hAnsi="Arial" w:cs="Arial"/>
          <w:sz w:val="22"/>
          <w:lang w:val="es-ES_tradnl"/>
        </w:rPr>
        <w:t>v) Las observaciones que presenten los interesados a la invitación deben responderse a más tardar antes del vencimiento del término para presentar las ofertas.</w:t>
      </w:r>
    </w:p>
    <w:p w14:paraId="2BAE0DCF"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r w:rsidRPr="00FA2409">
        <w:rPr>
          <w:rFonts w:ascii="Arial" w:eastAsia="Calibri" w:hAnsi="Arial" w:cs="Arial"/>
          <w:sz w:val="22"/>
          <w:lang w:val="es-ES_tradnl"/>
        </w:rPr>
        <w:lastRenderedPageBreak/>
        <w:t>vi) Presentadas las propuestas, la entidad estatal debe revisar las ofertas económicas y verificar que la del menor precio cumpla con los requisitos de participación. Si no los satisface debe revisar la oferta económica inmediatamente inferior, y así sucesivamente. Esto significa que en la mínima cuantía el precio es el único factor de calificación</w:t>
      </w:r>
      <w:r w:rsidRPr="00FA2409">
        <w:rPr>
          <w:rStyle w:val="Refdenotaalpie"/>
          <w:rFonts w:ascii="Arial" w:eastAsia="Calibri" w:hAnsi="Arial" w:cs="Arial"/>
          <w:sz w:val="22"/>
          <w:lang w:val="es-ES_tradnl"/>
        </w:rPr>
        <w:footnoteReference w:id="7"/>
      </w:r>
      <w:r w:rsidRPr="00FA2409">
        <w:rPr>
          <w:rFonts w:ascii="Arial" w:eastAsia="Calibri" w:hAnsi="Arial" w:cs="Arial"/>
          <w:sz w:val="22"/>
          <w:lang w:val="es-ES_tradnl"/>
        </w:rPr>
        <w:t>.</w:t>
      </w:r>
    </w:p>
    <w:p w14:paraId="4F547E1D"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vii</w:t>
      </w:r>
      <w:proofErr w:type="spellEnd"/>
      <w:r w:rsidRPr="00FA2409">
        <w:rPr>
          <w:rFonts w:ascii="Arial" w:eastAsia="Calibri" w:hAnsi="Arial" w:cs="Arial"/>
          <w:sz w:val="22"/>
          <w:lang w:val="es-ES_tradnl"/>
        </w:rPr>
        <w:t>) El informe de evaluación se debe publicar por lo menos un (1) día hábil.</w:t>
      </w:r>
    </w:p>
    <w:p w14:paraId="7776F60C"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viii</w:t>
      </w:r>
      <w:proofErr w:type="spellEnd"/>
      <w:r w:rsidRPr="00FA2409">
        <w:rPr>
          <w:rFonts w:ascii="Arial" w:eastAsia="Calibri" w:hAnsi="Arial" w:cs="Arial"/>
          <w:sz w:val="22"/>
          <w:lang w:val="es-ES_tradnl"/>
        </w:rPr>
        <w:t>)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14:paraId="29CA308F" w14:textId="77777777" w:rsidR="00972A56" w:rsidRPr="00FA2409" w:rsidRDefault="00972A56" w:rsidP="00972A56">
      <w:pPr>
        <w:spacing w:before="120" w:after="120" w:line="276" w:lineRule="auto"/>
        <w:ind w:firstLine="709"/>
        <w:jc w:val="both"/>
        <w:rPr>
          <w:rFonts w:ascii="Arial" w:eastAsia="Calibri" w:hAnsi="Arial" w:cs="Arial"/>
          <w:sz w:val="22"/>
          <w:lang w:val="es-ES_tradnl"/>
        </w:rPr>
      </w:pPr>
      <w:proofErr w:type="spellStart"/>
      <w:r w:rsidRPr="00FA2409">
        <w:rPr>
          <w:rFonts w:ascii="Arial" w:eastAsia="Calibri" w:hAnsi="Arial" w:cs="Arial"/>
          <w:sz w:val="22"/>
          <w:lang w:val="es-ES_tradnl"/>
        </w:rPr>
        <w:t>ix</w:t>
      </w:r>
      <w:proofErr w:type="spellEnd"/>
      <w:r w:rsidRPr="00FA2409">
        <w:rPr>
          <w:rFonts w:ascii="Arial" w:eastAsia="Calibri" w:hAnsi="Arial" w:cs="Arial"/>
          <w:sz w:val="22"/>
          <w:lang w:val="es-ES_tradnl"/>
        </w:rPr>
        <w:t>) De existir empate debe preferirse la oferta que se presentó primero en el tiempo</w:t>
      </w:r>
      <w:r w:rsidRPr="00FA2409">
        <w:rPr>
          <w:rStyle w:val="Refdenotaalpie"/>
          <w:rFonts w:ascii="Arial" w:eastAsia="Calibri" w:hAnsi="Arial" w:cs="Arial"/>
          <w:sz w:val="22"/>
          <w:lang w:val="es-ES_tradnl"/>
        </w:rPr>
        <w:footnoteReference w:id="8"/>
      </w:r>
      <w:r w:rsidRPr="00FA2409">
        <w:rPr>
          <w:rFonts w:ascii="Arial" w:eastAsia="Calibri" w:hAnsi="Arial" w:cs="Arial"/>
          <w:sz w:val="22"/>
          <w:lang w:val="es-ES_tradnl"/>
        </w:rPr>
        <w:t>.</w:t>
      </w:r>
    </w:p>
    <w:p w14:paraId="4CB59DB6" w14:textId="16666E77" w:rsidR="00972A56" w:rsidRPr="00FA2409" w:rsidRDefault="00972A56" w:rsidP="00972A56">
      <w:pPr>
        <w:spacing w:line="276" w:lineRule="auto"/>
        <w:ind w:firstLine="709"/>
        <w:jc w:val="both"/>
        <w:rPr>
          <w:rFonts w:ascii="Arial" w:hAnsi="Arial" w:cs="Arial"/>
          <w:sz w:val="22"/>
          <w:lang w:val="es-ES_tradnl"/>
        </w:rPr>
      </w:pPr>
      <w:r w:rsidRPr="00FA2409">
        <w:rPr>
          <w:rFonts w:ascii="Arial" w:hAnsi="Arial" w:cs="Arial"/>
          <w:sz w:val="22"/>
          <w:lang w:val="es-ES_tradnl"/>
        </w:rPr>
        <w:t xml:space="preserve">Ahora bien, antes de la Ley 1955 de 2019 –en particular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FA2409">
        <w:rPr>
          <w:rFonts w:ascii="Arial" w:hAnsi="Arial" w:cs="Arial"/>
          <w:i/>
          <w:iCs/>
          <w:sz w:val="22"/>
          <w:lang w:val="es-ES_tradnl"/>
        </w:rPr>
        <w:t>independientemente de su objeto</w:t>
      </w:r>
      <w:r w:rsidRPr="00FA2409">
        <w:rPr>
          <w:rFonts w:ascii="Arial" w:hAnsi="Arial" w:cs="Arial"/>
          <w:sz w:val="22"/>
          <w:lang w:val="es-ES_tradnl"/>
        </w:rPr>
        <w:t xml:space="preserve">. Por </w:t>
      </w:r>
      <w:r w:rsidR="008E7D2E">
        <w:rPr>
          <w:rFonts w:ascii="Arial" w:hAnsi="Arial" w:cs="Arial"/>
          <w:sz w:val="22"/>
          <w:lang w:val="es-ES_tradnl"/>
        </w:rPr>
        <w:t>esta</w:t>
      </w:r>
      <w:r w:rsidRPr="00FA2409">
        <w:rPr>
          <w:rFonts w:ascii="Arial" w:hAnsi="Arial" w:cs="Arial"/>
          <w:sz w:val="22"/>
          <w:lang w:val="es-ES_tradnl"/>
        </w:rPr>
        <w:t xml:space="preserve">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Dicho Manual establecía al respecto: </w:t>
      </w:r>
    </w:p>
    <w:p w14:paraId="6E703F0F" w14:textId="77777777" w:rsidR="00972A56" w:rsidRPr="00FA2409" w:rsidRDefault="00972A56" w:rsidP="00972A56">
      <w:pPr>
        <w:spacing w:line="276" w:lineRule="auto"/>
        <w:ind w:firstLine="709"/>
        <w:jc w:val="both"/>
        <w:rPr>
          <w:rFonts w:ascii="Arial" w:hAnsi="Arial" w:cs="Arial"/>
          <w:sz w:val="22"/>
          <w:lang w:val="es-ES_tradnl"/>
        </w:rPr>
      </w:pPr>
    </w:p>
    <w:p w14:paraId="63300A86" w14:textId="77777777" w:rsidR="00972A56" w:rsidRPr="00FA2409" w:rsidRDefault="00972A56" w:rsidP="00972A56">
      <w:pPr>
        <w:ind w:left="709" w:right="709"/>
        <w:jc w:val="both"/>
        <w:rPr>
          <w:rFonts w:ascii="Arial" w:hAnsi="Arial" w:cs="Arial"/>
          <w:sz w:val="21"/>
          <w:szCs w:val="21"/>
          <w:lang w:val="es-ES_tradnl"/>
        </w:rPr>
      </w:pPr>
      <w:r w:rsidRPr="00FA2409">
        <w:rPr>
          <w:rFonts w:ascii="Arial" w:hAnsi="Arial" w:cs="Arial"/>
          <w:sz w:val="21"/>
          <w:szCs w:val="21"/>
          <w:lang w:val="es-ES_tradnl"/>
        </w:rPr>
        <w:lastRenderedPageBreak/>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45109C0F" w14:textId="77777777" w:rsidR="00972A56" w:rsidRPr="00FA2409" w:rsidRDefault="00972A56" w:rsidP="00972A56">
      <w:pPr>
        <w:spacing w:line="276" w:lineRule="auto"/>
        <w:ind w:left="709" w:right="709"/>
        <w:jc w:val="both"/>
        <w:rPr>
          <w:rFonts w:ascii="Arial" w:hAnsi="Arial" w:cs="Arial"/>
          <w:sz w:val="22"/>
          <w:lang w:val="es-ES_tradnl"/>
        </w:rPr>
      </w:pPr>
    </w:p>
    <w:p w14:paraId="293FBC13" w14:textId="72A8879F" w:rsidR="00972A56" w:rsidRPr="00FA2409" w:rsidRDefault="00972A56" w:rsidP="003B1CBD">
      <w:pPr>
        <w:spacing w:after="120" w:line="276" w:lineRule="auto"/>
        <w:ind w:firstLine="709"/>
        <w:jc w:val="both"/>
        <w:rPr>
          <w:rFonts w:ascii="Arial" w:hAnsi="Arial" w:cs="Arial"/>
          <w:sz w:val="22"/>
          <w:lang w:val="es-ES_tradnl"/>
        </w:rPr>
      </w:pPr>
      <w:r w:rsidRPr="00FA2409">
        <w:rPr>
          <w:rFonts w:ascii="Arial" w:hAnsi="Arial" w:cs="Arial"/>
          <w:sz w:val="22"/>
          <w:lang w:val="es-ES_tradnl"/>
        </w:rPr>
        <w:t xml:space="preserve">La Sección Tercera del Consejo de Estado decretó la suspensión provisional del acápite VII, considerando que no existe concurrencia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w:t>
      </w:r>
      <w:proofErr w:type="spellStart"/>
      <w:r w:rsidRPr="00FA2409">
        <w:rPr>
          <w:rFonts w:ascii="Arial" w:hAnsi="Arial" w:cs="Arial"/>
          <w:sz w:val="22"/>
          <w:lang w:val="es-ES_tradnl"/>
        </w:rPr>
        <w:t>ii</w:t>
      </w:r>
      <w:proofErr w:type="spellEnd"/>
      <w:r w:rsidRPr="00FA2409">
        <w:rPr>
          <w:rFonts w:ascii="Arial" w:hAnsi="Arial" w:cs="Arial"/>
          <w:sz w:val="22"/>
          <w:lang w:val="es-ES_tradnl"/>
        </w:rPr>
        <w:t>) el presupuesto del proceso de contratación sea equivalente a la mínima cuantía de la entidad, debe acudirse al procedimiento de selección de mínima cuantía independientemente del objeto a contratar»</w:t>
      </w:r>
      <w:r w:rsidRPr="00FA2409">
        <w:rPr>
          <w:rStyle w:val="Refdenotaalpie"/>
          <w:rFonts w:ascii="Arial" w:hAnsi="Arial" w:cs="Arial"/>
          <w:sz w:val="22"/>
          <w:lang w:val="es-ES_tradnl"/>
        </w:rPr>
        <w:footnoteReference w:id="9"/>
      </w:r>
      <w:r w:rsidRPr="00FA2409">
        <w:rPr>
          <w:rFonts w:ascii="Arial" w:hAnsi="Arial" w:cs="Arial"/>
          <w:sz w:val="22"/>
          <w:lang w:val="es-ES_tradnl"/>
        </w:rPr>
        <w:t xml:space="preserve">. </w:t>
      </w:r>
    </w:p>
    <w:p w14:paraId="0D1EE977" w14:textId="77777777" w:rsidR="00972A56" w:rsidRPr="00FA2409" w:rsidRDefault="00972A56" w:rsidP="00972A56">
      <w:pPr>
        <w:spacing w:before="120" w:after="120" w:line="276" w:lineRule="auto"/>
        <w:ind w:firstLine="709"/>
        <w:jc w:val="both"/>
        <w:rPr>
          <w:rFonts w:ascii="Arial" w:hAnsi="Arial" w:cs="Arial"/>
          <w:sz w:val="22"/>
          <w:lang w:val="es-ES_tradnl"/>
        </w:rPr>
      </w:pPr>
      <w:r w:rsidRPr="00FA2409">
        <w:rPr>
          <w:rFonts w:ascii="Arial" w:hAnsi="Arial" w:cs="Arial"/>
          <w:sz w:val="22"/>
          <w:lang w:val="es-ES_tradnl"/>
        </w:rPr>
        <w:t xml:space="preserve">Por tanto, en cumplimiento de esta providencia, se empezó a interpretar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w:t>
      </w:r>
    </w:p>
    <w:p w14:paraId="75EF356C" w14:textId="2B669461" w:rsidR="00972A56" w:rsidRPr="00FA2409" w:rsidRDefault="00972A56" w:rsidP="00972A56">
      <w:pPr>
        <w:spacing w:line="276" w:lineRule="auto"/>
        <w:ind w:firstLine="709"/>
        <w:jc w:val="both"/>
        <w:rPr>
          <w:rFonts w:ascii="Arial" w:hAnsi="Arial" w:cs="Arial"/>
          <w:sz w:val="22"/>
          <w:lang w:val="es-ES_tradnl"/>
        </w:rPr>
      </w:pPr>
      <w:r w:rsidRPr="00FA2409">
        <w:rPr>
          <w:rFonts w:ascii="Arial" w:hAnsi="Arial" w:cs="Arial"/>
          <w:sz w:val="22"/>
          <w:lang w:val="es-ES_tradnl"/>
        </w:rPr>
        <w:t xml:space="preserve">No obstante, la Ley 1955 de 2019, en el artículo 42, establece una nueva regla para estos casos, al expresar: </w:t>
      </w:r>
    </w:p>
    <w:p w14:paraId="74E15D1A" w14:textId="77777777" w:rsidR="00972A56" w:rsidRPr="00FA2409" w:rsidRDefault="00972A56" w:rsidP="00972A56">
      <w:pPr>
        <w:spacing w:line="276" w:lineRule="auto"/>
        <w:jc w:val="both"/>
        <w:rPr>
          <w:rFonts w:ascii="Arial" w:hAnsi="Arial" w:cs="Arial"/>
          <w:sz w:val="22"/>
          <w:lang w:val="es-ES_tradnl"/>
        </w:rPr>
      </w:pPr>
    </w:p>
    <w:p w14:paraId="7B74ACF6" w14:textId="19570A9B" w:rsidR="00972A56" w:rsidRPr="00FA2409" w:rsidRDefault="00972A56" w:rsidP="003B1CBD">
      <w:pPr>
        <w:spacing w:after="120"/>
        <w:ind w:left="709" w:right="709"/>
        <w:jc w:val="both"/>
        <w:rPr>
          <w:rFonts w:ascii="Arial" w:hAnsi="Arial" w:cs="Arial"/>
          <w:sz w:val="21"/>
          <w:szCs w:val="21"/>
          <w:lang w:val="es-ES_tradnl"/>
        </w:rPr>
      </w:pPr>
      <w:r w:rsidRPr="00FA2409">
        <w:rPr>
          <w:rFonts w:ascii="Arial" w:hAnsi="Arial" w:cs="Arial"/>
          <w:sz w:val="21"/>
          <w:szCs w:val="21"/>
          <w:lang w:val="es-ES_tradnl"/>
        </w:rPr>
        <w:t xml:space="preserve">Adiciónese el parágrafo 3 al artículo 94 de la Ley 1474 de 2011, así: </w:t>
      </w:r>
    </w:p>
    <w:p w14:paraId="461C633C" w14:textId="77777777" w:rsidR="00972A56" w:rsidRPr="00FA2409" w:rsidRDefault="00972A56" w:rsidP="003B1CBD">
      <w:pPr>
        <w:spacing w:after="120"/>
        <w:ind w:left="709" w:right="709"/>
        <w:jc w:val="both"/>
        <w:rPr>
          <w:rFonts w:ascii="Arial" w:hAnsi="Arial" w:cs="Arial"/>
          <w:sz w:val="21"/>
          <w:szCs w:val="21"/>
          <w:lang w:val="es-ES_tradnl"/>
        </w:rPr>
      </w:pPr>
      <w:r w:rsidRPr="00FA2409">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0FA10668" w14:textId="77777777" w:rsidR="00972A56" w:rsidRPr="00FA2409" w:rsidRDefault="00972A56" w:rsidP="00972A56">
      <w:pPr>
        <w:ind w:left="709" w:right="709"/>
        <w:jc w:val="both"/>
        <w:rPr>
          <w:rFonts w:ascii="Arial" w:hAnsi="Arial" w:cs="Arial"/>
          <w:sz w:val="21"/>
          <w:szCs w:val="21"/>
          <w:lang w:val="es-ES_tradnl"/>
        </w:rPr>
      </w:pPr>
      <w:r w:rsidRPr="00FA2409">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2F7F759C" w14:textId="77777777" w:rsidR="00972A56" w:rsidRPr="00FA2409" w:rsidRDefault="00972A56" w:rsidP="00972A56">
      <w:pPr>
        <w:spacing w:line="276" w:lineRule="auto"/>
        <w:jc w:val="both"/>
        <w:rPr>
          <w:rFonts w:ascii="Arial" w:hAnsi="Arial" w:cs="Arial"/>
          <w:sz w:val="22"/>
          <w:lang w:val="es-ES_tradnl"/>
        </w:rPr>
      </w:pPr>
    </w:p>
    <w:p w14:paraId="47CFB37E" w14:textId="77777777" w:rsidR="00972A56" w:rsidRPr="00FA2409" w:rsidRDefault="00972A56" w:rsidP="00972A56">
      <w:pPr>
        <w:spacing w:after="120" w:line="276" w:lineRule="auto"/>
        <w:ind w:firstLine="708"/>
        <w:jc w:val="both"/>
        <w:rPr>
          <w:rFonts w:ascii="Arial" w:hAnsi="Arial" w:cs="Arial"/>
          <w:sz w:val="22"/>
          <w:lang w:val="es-ES_tradnl"/>
        </w:rPr>
      </w:pPr>
      <w:r w:rsidRPr="00FA2409">
        <w:rPr>
          <w:rFonts w:ascii="Arial" w:hAnsi="Arial" w:cs="Arial"/>
          <w:sz w:val="22"/>
          <w:lang w:val="es-ES_tradnl"/>
        </w:rPr>
        <w:t>Esta norma afecta la decisión del Consejo de Estado, pues establece una nueva regla para los casos de concurrencia entre acuerdos marco de precios y mínima cuantía.</w:t>
      </w:r>
    </w:p>
    <w:p w14:paraId="0625D01A" w14:textId="77777777" w:rsidR="00972A56" w:rsidRPr="00FA2409" w:rsidRDefault="00972A56" w:rsidP="00972A56">
      <w:pPr>
        <w:spacing w:before="120" w:after="120" w:line="276" w:lineRule="auto"/>
        <w:ind w:firstLine="709"/>
        <w:jc w:val="both"/>
        <w:rPr>
          <w:rFonts w:ascii="Arial" w:hAnsi="Arial" w:cs="Arial"/>
          <w:sz w:val="22"/>
          <w:lang w:val="es-ES_tradnl"/>
        </w:rPr>
      </w:pPr>
      <w:r w:rsidRPr="00FA2409">
        <w:rPr>
          <w:rFonts w:ascii="Arial" w:hAnsi="Arial" w:cs="Arial"/>
          <w:sz w:val="22"/>
          <w:lang w:val="es-ES_tradnl"/>
        </w:rPr>
        <w:lastRenderedPageBreak/>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 </w:t>
      </w:r>
    </w:p>
    <w:p w14:paraId="73AD3B6D" w14:textId="77777777" w:rsidR="00972A56" w:rsidRPr="00FA2409" w:rsidRDefault="00972A56" w:rsidP="00972A56">
      <w:pPr>
        <w:spacing w:before="120" w:after="120" w:line="276" w:lineRule="auto"/>
        <w:ind w:firstLine="709"/>
        <w:jc w:val="both"/>
        <w:rPr>
          <w:rFonts w:ascii="Arial" w:hAnsi="Arial" w:cs="Arial"/>
          <w:sz w:val="22"/>
          <w:lang w:val="es-ES_tradnl"/>
        </w:rPr>
      </w:pPr>
      <w:r w:rsidRPr="00FA2409">
        <w:rPr>
          <w:rFonts w:ascii="Arial" w:hAnsi="Arial" w:cs="Arial"/>
          <w:sz w:val="22"/>
          <w:lang w:val="es-ES_tradnl"/>
        </w:rPr>
        <w:t>De esta forma, el artículo 42 de la Ley 1955 de 2019 establece que las entidades estatales deben adquirir los bienes o servicios de características técnicas uniformes y de común utilización –siempre que estén disponibles– a través de acuerdo marco de precios, incluso en los procesos de contratación cuyo presupuesto no exceda el diez por ciento (10%) de la menor cuantía</w:t>
      </w:r>
      <w:r w:rsidRPr="00FA2409">
        <w:rPr>
          <w:rStyle w:val="Refdenotaalpie"/>
          <w:rFonts w:ascii="Arial" w:hAnsi="Arial" w:cs="Arial"/>
          <w:sz w:val="22"/>
          <w:lang w:val="es-ES_tradnl"/>
        </w:rPr>
        <w:footnoteReference w:id="10"/>
      </w:r>
      <w:r w:rsidRPr="00FA2409">
        <w:rPr>
          <w:rFonts w:ascii="Arial" w:hAnsi="Arial" w:cs="Arial"/>
          <w:sz w:val="22"/>
          <w:lang w:val="es-ES_tradnl"/>
        </w:rPr>
        <w:t xml:space="preserve">. </w:t>
      </w:r>
    </w:p>
    <w:p w14:paraId="57CDB776" w14:textId="77777777" w:rsidR="00972A56" w:rsidRPr="00FA2409" w:rsidRDefault="00972A56" w:rsidP="00972A56">
      <w:pPr>
        <w:spacing w:before="120" w:after="120" w:line="276" w:lineRule="auto"/>
        <w:ind w:firstLine="709"/>
        <w:jc w:val="both"/>
        <w:rPr>
          <w:rFonts w:ascii="Arial" w:hAnsi="Arial" w:cs="Arial"/>
          <w:sz w:val="22"/>
          <w:lang w:val="es-ES_tradnl"/>
        </w:rPr>
      </w:pPr>
      <w:r w:rsidRPr="00FA2409">
        <w:rPr>
          <w:rFonts w:ascii="Arial" w:hAnsi="Arial" w:cs="Arial"/>
          <w:sz w:val="22"/>
          <w:lang w:val="es-ES_tradnl"/>
        </w:rPr>
        <w:t>Sin embargo, debe aclararse que hasta una nueva reglamentación del Gobierno nacional, las entidades estatales obligadas a aplicar lo dispuesto por el artículo 42 serán las que establece actualmente el Decreto 1082 de 2015, en su artículo 2.2.1.2.1.2.7., es decir, las entidades estatales de la rama ejecutiva del poder público del orden nacional, obligadas a aplicar la Ley 80 de 1993 y la Ley 1150 de 2007, o las normas que las modifiquen, aclaren, adicionen o sustituyan.</w:t>
      </w:r>
    </w:p>
    <w:p w14:paraId="0A04153E" w14:textId="77777777" w:rsidR="00972A56" w:rsidRPr="00FA2409" w:rsidRDefault="00972A56" w:rsidP="00972A56">
      <w:pPr>
        <w:spacing w:line="276" w:lineRule="auto"/>
        <w:ind w:firstLine="709"/>
        <w:jc w:val="both"/>
        <w:rPr>
          <w:rFonts w:ascii="Arial" w:hAnsi="Arial" w:cs="Arial"/>
          <w:sz w:val="22"/>
          <w:lang w:val="es-ES_tradnl"/>
        </w:rPr>
      </w:pPr>
      <w:r w:rsidRPr="00FA2409">
        <w:rPr>
          <w:rFonts w:ascii="Arial" w:hAnsi="Arial" w:cs="Arial"/>
          <w:sz w:val="22"/>
          <w:lang w:val="es-ES_tradnl"/>
        </w:rPr>
        <w:t>Ahora bien, en el caso de que el bien o servicio de características técnicas uniforme y de común utilización no esté disponible en un acuerdo marco de precios, y la cuantía sea menor al diez por ciento (10%) del presupuesto, las entidades estatales deben realizar la adquisición por la modalidad de mínima cuantía, ya que el Consejo de Estado determinó en el auto citado anteriormente que:</w:t>
      </w:r>
    </w:p>
    <w:p w14:paraId="59AFAA2A" w14:textId="77777777" w:rsidR="00972A56" w:rsidRPr="00FA2409" w:rsidRDefault="00972A56" w:rsidP="00972A56">
      <w:pPr>
        <w:spacing w:line="276" w:lineRule="auto"/>
        <w:jc w:val="both"/>
        <w:rPr>
          <w:rFonts w:ascii="Arial" w:hAnsi="Arial" w:cs="Arial"/>
          <w:sz w:val="22"/>
          <w:lang w:val="es-ES_tradnl"/>
        </w:rPr>
      </w:pPr>
    </w:p>
    <w:p w14:paraId="431FE167" w14:textId="77777777" w:rsidR="00972A56" w:rsidRPr="00FA2409" w:rsidRDefault="00972A56" w:rsidP="00972A56">
      <w:pPr>
        <w:ind w:left="709" w:right="709"/>
        <w:jc w:val="both"/>
        <w:rPr>
          <w:rFonts w:ascii="Arial" w:hAnsi="Arial" w:cs="Arial"/>
          <w:sz w:val="21"/>
          <w:szCs w:val="21"/>
          <w:lang w:val="es-ES_tradnl"/>
        </w:rPr>
      </w:pPr>
      <w:r w:rsidRPr="00FA2409">
        <w:rPr>
          <w:rFonts w:ascii="Arial" w:hAnsi="Arial" w:cs="Arial"/>
          <w:sz w:val="21"/>
          <w:szCs w:val="21"/>
          <w:lang w:val="es-ES_tradnl"/>
        </w:rPr>
        <w:lastRenderedPageBreak/>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39170595" w14:textId="77777777" w:rsidR="00972A56" w:rsidRPr="00FA2409" w:rsidRDefault="00972A56" w:rsidP="00972A56">
      <w:pPr>
        <w:spacing w:line="276" w:lineRule="auto"/>
        <w:jc w:val="both"/>
        <w:rPr>
          <w:rFonts w:ascii="Arial" w:hAnsi="Arial" w:cs="Arial"/>
          <w:sz w:val="22"/>
          <w:lang w:val="es-ES_tradnl"/>
        </w:rPr>
      </w:pPr>
    </w:p>
    <w:p w14:paraId="433E04D0" w14:textId="77777777" w:rsidR="00972A56" w:rsidRPr="00FA2409" w:rsidRDefault="00972A56" w:rsidP="00972A56">
      <w:pPr>
        <w:spacing w:line="276" w:lineRule="auto"/>
        <w:ind w:firstLine="708"/>
        <w:jc w:val="both"/>
        <w:rPr>
          <w:rFonts w:ascii="Arial" w:hAnsi="Arial" w:cs="Arial"/>
          <w:sz w:val="22"/>
          <w:lang w:val="es-ES_tradnl"/>
        </w:rPr>
      </w:pPr>
      <w:r w:rsidRPr="00FA2409">
        <w:rPr>
          <w:rFonts w:ascii="Arial" w:hAnsi="Arial" w:cs="Arial"/>
          <w:sz w:val="22"/>
          <w:lang w:val="es-ES_tradnl"/>
        </w:rPr>
        <w:t>En ese sentido, cuando el bien o servicio de características técnicas uniformes y de común utilización no esté disponible en un acuerdo marco de precios, y la cuantía sea menor al diez por ciento (10%) de la menor cuantía, prevalece la modalidad de mínima cuantía, sobre los demás procedimientos de selección, por tratarse de un procedimiento especial, excepto la contratación directa.</w:t>
      </w:r>
    </w:p>
    <w:p w14:paraId="3D4B77AE" w14:textId="77777777" w:rsidR="00972A56" w:rsidRPr="00FA2409" w:rsidRDefault="00972A56" w:rsidP="00972A56">
      <w:pPr>
        <w:spacing w:line="276" w:lineRule="auto"/>
        <w:jc w:val="both"/>
        <w:rPr>
          <w:rFonts w:ascii="Arial" w:eastAsia="Calibri" w:hAnsi="Arial" w:cs="Arial"/>
          <w:sz w:val="22"/>
        </w:rPr>
      </w:pPr>
    </w:p>
    <w:p w14:paraId="133B1911" w14:textId="77777777" w:rsidR="00972A56" w:rsidRPr="00FA2409" w:rsidRDefault="00972A56" w:rsidP="00972A56">
      <w:pPr>
        <w:pStyle w:val="Prrafodelista"/>
        <w:tabs>
          <w:tab w:val="left" w:pos="0"/>
        </w:tabs>
        <w:spacing w:after="120" w:line="276" w:lineRule="auto"/>
        <w:ind w:left="0"/>
        <w:jc w:val="both"/>
        <w:rPr>
          <w:rFonts w:ascii="Arial" w:eastAsia="Calibri" w:hAnsi="Arial" w:cs="Arial"/>
          <w:b/>
          <w:sz w:val="22"/>
          <w:lang w:val="es-ES"/>
        </w:rPr>
      </w:pPr>
      <w:r w:rsidRPr="00FA2409">
        <w:rPr>
          <w:rFonts w:ascii="Arial" w:eastAsia="Calibri" w:hAnsi="Arial" w:cs="Arial"/>
          <w:b/>
          <w:sz w:val="22"/>
          <w:lang w:val="es-ES"/>
        </w:rPr>
        <w:t>2.2. Cómputo de los términos de publicidad de la invitación y presentación de ofertas en los procesos de mínima cuantía</w:t>
      </w:r>
    </w:p>
    <w:p w14:paraId="5D3D6642" w14:textId="77777777" w:rsidR="00972A56" w:rsidRPr="00FA2409"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p>
    <w:p w14:paraId="1788DDF3" w14:textId="77777777" w:rsidR="00972A56" w:rsidRPr="00FA2409"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FA2409">
        <w:rPr>
          <w:rFonts w:ascii="Arial" w:eastAsia="Calibri" w:hAnsi="Arial" w:cs="Arial"/>
          <w:bCs/>
          <w:sz w:val="22"/>
          <w:lang w:val="es-ES"/>
        </w:rPr>
        <w:t>El numeral 5 del artículo 2 de la Ley 1150 de 2007, adicionado por el artículo el artículo 94 de la Ley 1474 de 2011,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FA2409">
        <w:rPr>
          <w:rStyle w:val="Refdenotaalpie"/>
          <w:rFonts w:ascii="Arial" w:eastAsia="Calibri" w:hAnsi="Arial" w:cs="Arial"/>
          <w:bCs/>
          <w:sz w:val="22"/>
          <w:lang w:val="es-ES"/>
        </w:rPr>
        <w:footnoteReference w:id="11"/>
      </w:r>
      <w:r w:rsidRPr="00FA2409">
        <w:rPr>
          <w:rFonts w:ascii="Arial" w:eastAsia="Calibri" w:hAnsi="Arial" w:cs="Arial"/>
          <w:bCs/>
          <w:sz w:val="22"/>
          <w:lang w:val="es-ES"/>
        </w:rPr>
        <w:t xml:space="preserve">. </w:t>
      </w:r>
    </w:p>
    <w:p w14:paraId="78B7834C" w14:textId="77777777" w:rsidR="00972A56" w:rsidRPr="00FA2409"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FA2409">
        <w:rPr>
          <w:rFonts w:ascii="Arial" w:eastAsia="Calibri" w:hAnsi="Arial" w:cs="Arial"/>
          <w:bCs/>
          <w:sz w:val="22"/>
          <w:lang w:val="es-ES"/>
        </w:rPr>
        <w:lastRenderedPageBreak/>
        <w:tab/>
        <w:t>Por su parte, el artículo 2.2.1.2.1.5.2 del Decreto 1082 de 2015, al reglamentar el procedimiento de esta modalidad de escogencia, establece, en el numeral 3, que «la invitación se hará por un término no inferior a un (1) día hábil»</w:t>
      </w:r>
      <w:r w:rsidRPr="00FA2409">
        <w:rPr>
          <w:rStyle w:val="Refdenotaalpie"/>
          <w:rFonts w:ascii="Arial" w:eastAsia="Calibri" w:hAnsi="Arial" w:cs="Arial"/>
          <w:bCs/>
          <w:sz w:val="22"/>
          <w:lang w:val="es-ES"/>
        </w:rPr>
        <w:footnoteReference w:id="12"/>
      </w:r>
      <w:r w:rsidRPr="00FA2409">
        <w:rPr>
          <w:rFonts w:ascii="Arial" w:eastAsia="Calibri" w:hAnsi="Arial" w:cs="Arial"/>
          <w:bCs/>
          <w:sz w:val="22"/>
          <w:lang w:val="es-ES"/>
        </w:rPr>
        <w:t>.</w:t>
      </w:r>
    </w:p>
    <w:p w14:paraId="3334FA83" w14:textId="77777777" w:rsidR="00972A56" w:rsidRPr="00FA2409"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FA2409">
        <w:rPr>
          <w:rFonts w:ascii="Arial" w:eastAsia="Calibri" w:hAnsi="Arial" w:cs="Arial"/>
          <w:bCs/>
          <w:sz w:val="22"/>
          <w:lang w:val="es-ES"/>
        </w:rPr>
        <w:tab/>
        <w:t xml:space="preserve">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w:t>
      </w:r>
    </w:p>
    <w:p w14:paraId="127B4FD4" w14:textId="77777777" w:rsidR="00972A56" w:rsidRPr="00FA2409"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r w:rsidRPr="00FA2409">
        <w:rPr>
          <w:rFonts w:ascii="Arial" w:eastAsia="Calibri" w:hAnsi="Arial" w:cs="Arial"/>
          <w:bCs/>
          <w:sz w:val="22"/>
          <w:lang w:val="es-ES"/>
        </w:rPr>
        <w:tab/>
        <w:t>En ese orden, el término para presentar ofertas deberá contarse a partir de la publicación de la invitación, el cual, conforme lo determinan las normas señaladas, no podrá ser inferior a un (1) día hábil. Así lo interpretó esta Agencia, en el «Manual de la Modalidad de Selección de Mínima Cuantía»:</w:t>
      </w:r>
    </w:p>
    <w:p w14:paraId="1FB2427F" w14:textId="77777777" w:rsidR="00972A56" w:rsidRPr="00FA2409"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r w:rsidRPr="00FA2409">
        <w:rPr>
          <w:rFonts w:ascii="Arial" w:eastAsia="Calibri" w:hAnsi="Arial" w:cs="Arial"/>
          <w:bCs/>
          <w:sz w:val="22"/>
          <w:lang w:val="es-ES"/>
        </w:rPr>
        <w:tab/>
      </w:r>
    </w:p>
    <w:p w14:paraId="14ADCABF" w14:textId="77777777" w:rsidR="00972A56" w:rsidRPr="00FA2409" w:rsidRDefault="00972A56" w:rsidP="00972A56">
      <w:pPr>
        <w:pStyle w:val="Prrafodelista"/>
        <w:tabs>
          <w:tab w:val="left" w:pos="0"/>
        </w:tabs>
        <w:ind w:left="709" w:right="709"/>
        <w:contextualSpacing w:val="0"/>
        <w:jc w:val="both"/>
        <w:rPr>
          <w:rFonts w:ascii="Arial" w:hAnsi="Arial" w:cs="Arial"/>
          <w:sz w:val="21"/>
          <w:szCs w:val="21"/>
        </w:rPr>
      </w:pPr>
      <w:r w:rsidRPr="00FA2409">
        <w:rPr>
          <w:rFonts w:ascii="Arial" w:hAnsi="Arial" w:cs="Arial"/>
          <w:sz w:val="21"/>
          <w:szCs w:val="21"/>
        </w:rPr>
        <w:t xml:space="preserve">Los términos del Proceso de Contratación de Mínima Cuantía son más cortos que los establecidos para las demás modalidades de selección. El término para presentar ofertas es de por lo menos un día hábil contado a partir de la </w:t>
      </w:r>
      <w:r w:rsidRPr="00FA2409">
        <w:rPr>
          <w:rFonts w:ascii="Arial" w:hAnsi="Arial" w:cs="Arial"/>
          <w:sz w:val="21"/>
          <w:szCs w:val="21"/>
        </w:rPr>
        <w:lastRenderedPageBreak/>
        <w:t>publicación de la invitación y naturalmente la invitación debe estar publicada por lo menos durante un día hábil</w:t>
      </w:r>
      <w:r w:rsidRPr="00FA2409">
        <w:rPr>
          <w:rStyle w:val="Refdenotaalpie"/>
          <w:rFonts w:ascii="Arial" w:hAnsi="Arial" w:cs="Arial"/>
          <w:sz w:val="21"/>
          <w:szCs w:val="21"/>
        </w:rPr>
        <w:footnoteReference w:id="13"/>
      </w:r>
      <w:r w:rsidRPr="00FA2409">
        <w:rPr>
          <w:rFonts w:ascii="Arial" w:hAnsi="Arial" w:cs="Arial"/>
          <w:sz w:val="21"/>
          <w:szCs w:val="21"/>
        </w:rPr>
        <w:t xml:space="preserve">. </w:t>
      </w:r>
    </w:p>
    <w:p w14:paraId="6A47B53C" w14:textId="77777777" w:rsidR="00972A56" w:rsidRPr="00FA2409" w:rsidRDefault="00972A56" w:rsidP="00972A56">
      <w:pPr>
        <w:pStyle w:val="Prrafodelista"/>
        <w:tabs>
          <w:tab w:val="left" w:pos="0"/>
        </w:tabs>
        <w:ind w:left="709" w:right="709"/>
        <w:contextualSpacing w:val="0"/>
        <w:jc w:val="both"/>
        <w:rPr>
          <w:rFonts w:ascii="Arial" w:eastAsia="Calibri" w:hAnsi="Arial" w:cs="Arial"/>
          <w:bCs/>
          <w:sz w:val="21"/>
          <w:szCs w:val="21"/>
          <w:lang w:val="es-ES"/>
        </w:rPr>
      </w:pPr>
    </w:p>
    <w:p w14:paraId="5C00B34F" w14:textId="77777777" w:rsidR="00972A56" w:rsidRPr="00FA2409"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eastAsia="Calibri" w:hAnsi="Arial" w:cs="Arial"/>
          <w:bCs/>
          <w:sz w:val="22"/>
          <w:lang w:val="es-ES"/>
        </w:rPr>
        <w:tab/>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21EBC8D9" w14:textId="77777777" w:rsidR="00972A56" w:rsidRPr="00FA2409" w:rsidRDefault="00972A56" w:rsidP="00972A56">
      <w:pPr>
        <w:tabs>
          <w:tab w:val="left" w:pos="0"/>
        </w:tabs>
        <w:spacing w:before="120" w:after="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  Ahora, qué constituye un día hábil es un asunto problemático, en la medida en que no existe univocidad acerca de cuáles son los días de la semana que pueden entenderse hábiles, lo que en principio posibilita que las entidades regulen de manera disímil los términos de la modalidad de selección que aquí se trata. </w:t>
      </w:r>
    </w:p>
    <w:p w14:paraId="6D84FCEE" w14:textId="77777777" w:rsidR="00972A56" w:rsidRPr="00FA2409" w:rsidRDefault="00972A56" w:rsidP="00972A56">
      <w:pPr>
        <w:tabs>
          <w:tab w:val="left" w:pos="0"/>
        </w:tabs>
        <w:spacing w:before="120" w:after="120" w:line="276" w:lineRule="auto"/>
        <w:jc w:val="both"/>
        <w:rPr>
          <w:rFonts w:ascii="Arial" w:eastAsia="Calibri" w:hAnsi="Arial" w:cs="Arial"/>
          <w:bCs/>
          <w:sz w:val="22"/>
          <w:lang w:val="es-ES"/>
        </w:rPr>
      </w:pPr>
      <w:r w:rsidRPr="00FA2409">
        <w:rPr>
          <w:rFonts w:ascii="Arial" w:eastAsia="Calibri" w:hAnsi="Arial" w:cs="Arial"/>
          <w:bCs/>
          <w:sz w:val="22"/>
          <w:lang w:val="es-ES"/>
        </w:rPr>
        <w:tab/>
        <w:t>La ausencia de definición legal de día hábil autoriza acudir al sentido natural y obvio de la palabra hábil,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FA2409">
        <w:rPr>
          <w:rStyle w:val="Refdenotaalpie"/>
          <w:rFonts w:ascii="Arial" w:eastAsia="Calibri" w:hAnsi="Arial" w:cs="Arial"/>
          <w:bCs/>
          <w:sz w:val="22"/>
          <w:lang w:val="es-ES"/>
        </w:rPr>
        <w:footnoteReference w:id="14"/>
      </w:r>
      <w:r w:rsidRPr="00FA2409">
        <w:rPr>
          <w:rFonts w:ascii="Arial" w:eastAsia="Calibri" w:hAnsi="Arial" w:cs="Arial"/>
          <w:bCs/>
          <w:sz w:val="22"/>
          <w:lang w:val="es-ES"/>
        </w:rPr>
        <w:t>. La última acepción se ajusta al entendimiento normativo, sin embargo, no es suficiente para absolver lo que se indaga, en la medida en que corresponde al ordenamiento jurídico establecer cuáles son los días válidos para realizar las actuaciones.</w:t>
      </w:r>
      <w:r w:rsidRPr="00FA2409">
        <w:rPr>
          <w:rFonts w:ascii="Arial" w:eastAsia="Calibri" w:hAnsi="Arial" w:cs="Arial"/>
          <w:bCs/>
          <w:sz w:val="22"/>
          <w:lang w:val="es-ES"/>
        </w:rPr>
        <w:tab/>
      </w:r>
    </w:p>
    <w:p w14:paraId="21E816F9" w14:textId="3B3EAD15" w:rsidR="00972A56" w:rsidRPr="00FA2409" w:rsidRDefault="00972A56" w:rsidP="00972A56">
      <w:pPr>
        <w:tabs>
          <w:tab w:val="left" w:pos="0"/>
        </w:tabs>
        <w:spacing w:before="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w:t>
      </w:r>
      <w:r w:rsidR="00122C5B">
        <w:rPr>
          <w:rFonts w:ascii="Arial" w:eastAsia="Calibri" w:hAnsi="Arial" w:cs="Arial"/>
          <w:bCs/>
          <w:sz w:val="22"/>
          <w:lang w:val="es-ES"/>
        </w:rPr>
        <w:t>disponen que</w:t>
      </w:r>
      <w:r w:rsidRPr="00FA2409">
        <w:rPr>
          <w:rFonts w:ascii="Arial" w:eastAsia="Calibri" w:hAnsi="Arial" w:cs="Arial"/>
          <w:bCs/>
          <w:sz w:val="22"/>
          <w:lang w:val="es-ES"/>
        </w:rPr>
        <w:t>:</w:t>
      </w:r>
    </w:p>
    <w:p w14:paraId="5FC60022" w14:textId="77777777" w:rsidR="00972A56" w:rsidRPr="00FA2409" w:rsidRDefault="00972A56" w:rsidP="00972A56">
      <w:pPr>
        <w:tabs>
          <w:tab w:val="left" w:pos="0"/>
        </w:tabs>
        <w:spacing w:line="276" w:lineRule="auto"/>
        <w:jc w:val="both"/>
        <w:rPr>
          <w:rFonts w:ascii="Arial" w:eastAsia="Calibri" w:hAnsi="Arial" w:cs="Arial"/>
          <w:bCs/>
          <w:sz w:val="22"/>
          <w:lang w:val="es-ES"/>
        </w:rPr>
      </w:pPr>
    </w:p>
    <w:p w14:paraId="4A000299" w14:textId="77777777" w:rsidR="00972A56" w:rsidRPr="00122C5B" w:rsidRDefault="00972A56" w:rsidP="00972A56">
      <w:pPr>
        <w:tabs>
          <w:tab w:val="left" w:pos="0"/>
        </w:tabs>
        <w:ind w:left="709" w:right="709"/>
        <w:jc w:val="both"/>
        <w:rPr>
          <w:rFonts w:ascii="Arial" w:hAnsi="Arial" w:cs="Arial"/>
          <w:sz w:val="21"/>
          <w:szCs w:val="21"/>
        </w:rPr>
      </w:pPr>
      <w:r w:rsidRPr="003B1CBD">
        <w:rPr>
          <w:rStyle w:val="Textoennegrita"/>
          <w:rFonts w:ascii="Arial" w:hAnsi="Arial" w:cs="Arial"/>
          <w:b w:val="0"/>
          <w:bCs w:val="0"/>
          <w:sz w:val="21"/>
          <w:szCs w:val="21"/>
        </w:rPr>
        <w:t>Artículo 59.</w:t>
      </w:r>
      <w:r w:rsidRPr="003B1CBD">
        <w:rPr>
          <w:rFonts w:ascii="Arial" w:hAnsi="Arial" w:cs="Arial"/>
          <w:b/>
          <w:sz w:val="21"/>
          <w:szCs w:val="21"/>
        </w:rPr>
        <w:t> </w:t>
      </w:r>
      <w:r w:rsidRPr="00122C5B">
        <w:rPr>
          <w:rFonts w:ascii="Arial" w:hAnsi="Arial" w:cs="Arial"/>
          <w:sz w:val="21"/>
          <w:szCs w:val="21"/>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7D709726" w14:textId="77777777" w:rsidR="00972A56" w:rsidRPr="00122C5B" w:rsidRDefault="00972A56" w:rsidP="003B1CBD">
      <w:pPr>
        <w:tabs>
          <w:tab w:val="left" w:pos="0"/>
        </w:tabs>
        <w:spacing w:after="120"/>
        <w:ind w:left="709" w:right="709"/>
        <w:jc w:val="both"/>
        <w:rPr>
          <w:rFonts w:ascii="Arial" w:hAnsi="Arial" w:cs="Arial"/>
          <w:sz w:val="21"/>
          <w:szCs w:val="21"/>
        </w:rPr>
      </w:pPr>
      <w:r w:rsidRPr="00122C5B">
        <w:rPr>
          <w:rFonts w:ascii="Arial" w:hAnsi="Arial" w:cs="Arial"/>
          <w:sz w:val="21"/>
          <w:szCs w:val="21"/>
        </w:rPr>
        <w:t>[…]</w:t>
      </w:r>
    </w:p>
    <w:p w14:paraId="63637866" w14:textId="6E82D11F" w:rsidR="00972A56" w:rsidRPr="00FA2409" w:rsidRDefault="00972A56" w:rsidP="00972A56">
      <w:pPr>
        <w:tabs>
          <w:tab w:val="left" w:pos="0"/>
        </w:tabs>
        <w:ind w:left="709" w:right="709"/>
        <w:jc w:val="both"/>
        <w:rPr>
          <w:rFonts w:ascii="Arial" w:hAnsi="Arial" w:cs="Arial"/>
          <w:sz w:val="21"/>
          <w:szCs w:val="21"/>
        </w:rPr>
      </w:pPr>
      <w:r w:rsidRPr="003B1CBD">
        <w:rPr>
          <w:rStyle w:val="Textoennegrita"/>
          <w:rFonts w:ascii="Arial" w:hAnsi="Arial" w:cs="Arial"/>
          <w:b w:val="0"/>
          <w:sz w:val="21"/>
          <w:szCs w:val="21"/>
        </w:rPr>
        <w:lastRenderedPageBreak/>
        <w:t>Artículo 62.</w:t>
      </w:r>
      <w:r w:rsidRPr="00122C5B">
        <w:rPr>
          <w:rFonts w:ascii="Arial" w:hAnsi="Arial" w:cs="Arial"/>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7A0EDAF6" w14:textId="77777777" w:rsidR="00972A56" w:rsidRPr="00FA2409" w:rsidRDefault="00972A56" w:rsidP="00972A56">
      <w:pPr>
        <w:tabs>
          <w:tab w:val="left" w:pos="0"/>
        </w:tabs>
        <w:spacing w:line="276" w:lineRule="auto"/>
        <w:jc w:val="both"/>
        <w:rPr>
          <w:rFonts w:ascii="Arial" w:eastAsia="Calibri" w:hAnsi="Arial" w:cs="Arial"/>
          <w:bCs/>
          <w:sz w:val="22"/>
          <w:lang w:val="es-ES"/>
        </w:rPr>
      </w:pPr>
    </w:p>
    <w:p w14:paraId="26F2FD83" w14:textId="77777777" w:rsidR="00972A56" w:rsidRPr="00FA2409"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El artículo 59 establece que los plazos a los que se haga mención en la ley terminan a la medianoche, y que por </w:t>
      </w:r>
      <w:r w:rsidRPr="00FA2409">
        <w:rPr>
          <w:rFonts w:ascii="Arial" w:eastAsia="Calibri" w:hAnsi="Arial" w:cs="Arial"/>
          <w:bCs/>
          <w:i/>
          <w:iCs/>
          <w:sz w:val="22"/>
          <w:lang w:val="es-ES"/>
        </w:rPr>
        <w:t xml:space="preserve">día </w:t>
      </w:r>
      <w:r w:rsidRPr="00FA2409">
        <w:rPr>
          <w:rFonts w:ascii="Arial" w:eastAsia="Calibri" w:hAnsi="Arial" w:cs="Arial"/>
          <w:bCs/>
          <w:sz w:val="22"/>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FA2409">
        <w:rPr>
          <w:rStyle w:val="Refdenotaalpie"/>
          <w:rFonts w:ascii="Arial" w:eastAsia="Calibri" w:hAnsi="Arial" w:cs="Arial"/>
          <w:bCs/>
          <w:sz w:val="22"/>
          <w:lang w:val="es-ES"/>
        </w:rPr>
        <w:footnoteReference w:id="15"/>
      </w:r>
      <w:r w:rsidRPr="00FA2409">
        <w:rPr>
          <w:rFonts w:ascii="Arial" w:eastAsia="Calibri" w:hAnsi="Arial" w:cs="Arial"/>
          <w:bCs/>
          <w:sz w:val="22"/>
          <w:lang w:val="es-ES"/>
        </w:rPr>
        <w:t>.</w:t>
      </w:r>
    </w:p>
    <w:p w14:paraId="52F46507" w14:textId="56F491CE" w:rsidR="00972A56" w:rsidRPr="00FA2409" w:rsidRDefault="007D5913" w:rsidP="00972A56">
      <w:pPr>
        <w:tabs>
          <w:tab w:val="left" w:pos="0"/>
        </w:tabs>
        <w:spacing w:line="276" w:lineRule="auto"/>
        <w:jc w:val="both"/>
        <w:rPr>
          <w:rFonts w:ascii="Arial" w:eastAsia="Calibri" w:hAnsi="Arial" w:cs="Arial"/>
          <w:bCs/>
          <w:sz w:val="22"/>
          <w:lang w:val="es-ES"/>
        </w:rPr>
      </w:pPr>
      <w:r>
        <w:rPr>
          <w:rFonts w:ascii="Arial" w:eastAsia="Calibri" w:hAnsi="Arial" w:cs="Arial"/>
          <w:bCs/>
          <w:sz w:val="22"/>
          <w:lang w:val="es-ES"/>
        </w:rPr>
        <w:tab/>
      </w:r>
      <w:r w:rsidR="00972A56" w:rsidRPr="00FA2409">
        <w:rPr>
          <w:rFonts w:ascii="Arial" w:eastAsia="Calibri" w:hAnsi="Arial" w:cs="Arial"/>
          <w:bCs/>
          <w:sz w:val="22"/>
          <w:lang w:val="es-ES"/>
        </w:rPr>
        <w:t>Con ello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w:t>
      </w:r>
      <w:r w:rsidR="009531E9" w:rsidRPr="00FA2409">
        <w:rPr>
          <w:rFonts w:ascii="Arial" w:eastAsia="Calibri" w:hAnsi="Arial" w:cs="Arial"/>
          <w:bCs/>
          <w:sz w:val="22"/>
          <w:lang w:val="es-ES"/>
        </w:rPr>
        <w:t>á</w:t>
      </w:r>
      <w:r w:rsidR="00972A56" w:rsidRPr="00FA2409">
        <w:rPr>
          <w:rFonts w:ascii="Arial" w:eastAsia="Calibri" w:hAnsi="Arial" w:cs="Arial"/>
          <w:bCs/>
          <w:sz w:val="22"/>
          <w:lang w:val="es-ES"/>
        </w:rPr>
        <w:t xml:space="preserve"> relacionado con el espacio de tiempo durante el cual las entidades públicas desarrollan sus funciones administrativas y están abiertas para la atención al público. Así, por ejemplo, en la sentencia del 12 de abril de 1978 se expresó:</w:t>
      </w:r>
    </w:p>
    <w:p w14:paraId="04D4A09A" w14:textId="77777777" w:rsidR="00972A56" w:rsidRPr="00FA2409" w:rsidRDefault="00972A56" w:rsidP="00972A56">
      <w:pPr>
        <w:tabs>
          <w:tab w:val="left" w:pos="0"/>
        </w:tabs>
        <w:ind w:left="709" w:right="709"/>
        <w:jc w:val="both"/>
        <w:rPr>
          <w:rFonts w:ascii="Arial" w:hAnsi="Arial" w:cs="Arial"/>
          <w:sz w:val="21"/>
          <w:szCs w:val="21"/>
          <w:lang w:val="es-ES"/>
        </w:rPr>
      </w:pPr>
    </w:p>
    <w:p w14:paraId="6C21EC5D" w14:textId="77777777" w:rsidR="00972A56" w:rsidRPr="00FA2409" w:rsidRDefault="00972A56" w:rsidP="00972A56">
      <w:pPr>
        <w:tabs>
          <w:tab w:val="left" w:pos="0"/>
        </w:tabs>
        <w:ind w:left="709" w:right="709"/>
        <w:jc w:val="both"/>
        <w:rPr>
          <w:rFonts w:ascii="Arial" w:eastAsia="Calibri" w:hAnsi="Arial" w:cs="Arial"/>
          <w:bCs/>
          <w:sz w:val="21"/>
          <w:szCs w:val="21"/>
          <w:lang w:val="es-ES"/>
        </w:rPr>
      </w:pPr>
      <w:r w:rsidRPr="00FA2409">
        <w:rPr>
          <w:rFonts w:ascii="Arial" w:hAnsi="Arial" w:cs="Arial"/>
          <w:sz w:val="21"/>
          <w:szCs w:val="21"/>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w:t>
      </w:r>
      <w:proofErr w:type="gramStart"/>
      <w:r w:rsidRPr="00FA2409">
        <w:rPr>
          <w:rFonts w:ascii="Arial" w:hAnsi="Arial" w:cs="Arial"/>
          <w:sz w:val="21"/>
          <w:szCs w:val="21"/>
        </w:rPr>
        <w:t>tanto</w:t>
      </w:r>
      <w:proofErr w:type="gramEnd"/>
      <w:r w:rsidRPr="00FA2409">
        <w:rPr>
          <w:rFonts w:ascii="Arial" w:hAnsi="Arial" w:cs="Arial"/>
          <w:sz w:val="21"/>
          <w:szCs w:val="21"/>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FA2409">
        <w:rPr>
          <w:rFonts w:ascii="Arial" w:hAnsi="Arial" w:cs="Arial"/>
          <w:sz w:val="21"/>
          <w:szCs w:val="21"/>
        </w:rPr>
        <w:t>lunes,</w:t>
      </w:r>
      <w:proofErr w:type="gramEnd"/>
      <w:r w:rsidRPr="00FA2409">
        <w:rPr>
          <w:rFonts w:ascii="Arial" w:hAnsi="Arial" w:cs="Arial"/>
          <w:sz w:val="21"/>
          <w:szCs w:val="21"/>
        </w:rPr>
        <w:t xml:space="preserve"> tienen la virtud y fuerza suficientes para producir o causar todos los efectos, aunque las sesiones no se hayan realizado efectivamente</w:t>
      </w:r>
      <w:r w:rsidRPr="00FA2409">
        <w:rPr>
          <w:rStyle w:val="Refdenotaalpie"/>
          <w:rFonts w:ascii="Arial" w:hAnsi="Arial" w:cs="Arial"/>
          <w:sz w:val="21"/>
          <w:szCs w:val="21"/>
        </w:rPr>
        <w:footnoteReference w:id="16"/>
      </w:r>
      <w:r w:rsidRPr="00FA2409">
        <w:rPr>
          <w:rFonts w:ascii="Arial" w:hAnsi="Arial" w:cs="Arial"/>
          <w:sz w:val="21"/>
          <w:szCs w:val="21"/>
        </w:rPr>
        <w:t>.</w:t>
      </w:r>
    </w:p>
    <w:p w14:paraId="6C75A35E" w14:textId="77777777" w:rsidR="00972A56" w:rsidRPr="00FA2409" w:rsidRDefault="00972A56" w:rsidP="00972A56">
      <w:pPr>
        <w:tabs>
          <w:tab w:val="left" w:pos="0"/>
        </w:tabs>
        <w:spacing w:line="276" w:lineRule="auto"/>
        <w:jc w:val="both"/>
        <w:rPr>
          <w:rFonts w:ascii="Arial" w:eastAsia="Calibri" w:hAnsi="Arial" w:cs="Arial"/>
          <w:bCs/>
          <w:sz w:val="22"/>
          <w:lang w:val="es-ES"/>
        </w:rPr>
      </w:pPr>
    </w:p>
    <w:p w14:paraId="78094974" w14:textId="77777777" w:rsidR="00972A56" w:rsidRPr="00FA2409" w:rsidRDefault="00972A56" w:rsidP="00972A56">
      <w:pPr>
        <w:tabs>
          <w:tab w:val="left" w:pos="0"/>
        </w:tabs>
        <w:spacing w:line="276" w:lineRule="auto"/>
        <w:jc w:val="both"/>
        <w:rPr>
          <w:rFonts w:ascii="Arial" w:eastAsia="Calibri" w:hAnsi="Arial" w:cs="Arial"/>
          <w:bCs/>
          <w:sz w:val="22"/>
          <w:lang w:val="es-ES"/>
        </w:rPr>
      </w:pPr>
      <w:r w:rsidRPr="00FA2409">
        <w:rPr>
          <w:rFonts w:ascii="Arial" w:eastAsia="Calibri" w:hAnsi="Arial" w:cs="Arial"/>
          <w:bCs/>
          <w:sz w:val="22"/>
          <w:lang w:val="es-ES"/>
        </w:rPr>
        <w:lastRenderedPageBreak/>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1753CE2B" w14:textId="77777777" w:rsidR="00972A56" w:rsidRPr="00FA2409" w:rsidRDefault="00972A56" w:rsidP="00972A56">
      <w:pPr>
        <w:jc w:val="both"/>
        <w:rPr>
          <w:rFonts w:ascii="Arial" w:eastAsia="Times New Roman" w:hAnsi="Arial" w:cs="Arial"/>
          <w:sz w:val="21"/>
          <w:szCs w:val="21"/>
          <w:lang w:val="es-ES" w:eastAsia="es-CO"/>
        </w:rPr>
      </w:pPr>
    </w:p>
    <w:p w14:paraId="2EC10D94" w14:textId="7F8A8212" w:rsidR="00972A56" w:rsidRPr="00FA2409" w:rsidRDefault="00972A56" w:rsidP="003B1CBD">
      <w:pPr>
        <w:spacing w:after="120"/>
        <w:ind w:left="709" w:right="709"/>
        <w:jc w:val="both"/>
        <w:rPr>
          <w:rFonts w:ascii="Arial" w:eastAsia="Times New Roman" w:hAnsi="Arial" w:cs="Arial"/>
          <w:sz w:val="21"/>
          <w:szCs w:val="21"/>
          <w:lang w:val="es-CO" w:eastAsia="es-CO"/>
        </w:rPr>
      </w:pPr>
      <w:r w:rsidRPr="00FA2409">
        <w:rPr>
          <w:rFonts w:ascii="Arial" w:eastAsia="Times New Roman" w:hAnsi="Arial" w:cs="Arial"/>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3F32A615" w14:textId="77777777" w:rsidR="00972A56" w:rsidRPr="00FA2409" w:rsidRDefault="00972A56" w:rsidP="00972A56">
      <w:pPr>
        <w:ind w:left="709" w:right="709"/>
        <w:jc w:val="both"/>
        <w:rPr>
          <w:rFonts w:ascii="Arial" w:eastAsia="Times New Roman" w:hAnsi="Arial" w:cs="Arial"/>
          <w:sz w:val="21"/>
          <w:szCs w:val="21"/>
          <w:lang w:val="es-CO" w:eastAsia="es-CO"/>
        </w:rPr>
      </w:pPr>
      <w:r w:rsidRPr="00FA2409">
        <w:rPr>
          <w:rFonts w:ascii="Arial" w:eastAsia="Times New Roman" w:hAnsi="Arial" w:cs="Arial"/>
          <w:sz w:val="21"/>
          <w:szCs w:val="21"/>
          <w:lang w:val="es-CO" w:eastAsia="es-CO"/>
        </w:rPr>
        <w:t xml:space="preserve">Así, el criterio que determina el carácter de hábil de los días, para el cómputo de los términos legales, es el de su </w:t>
      </w:r>
      <w:proofErr w:type="spellStart"/>
      <w:r w:rsidRPr="00FA2409">
        <w:rPr>
          <w:rFonts w:ascii="Arial" w:eastAsia="Times New Roman" w:hAnsi="Arial" w:cs="Arial"/>
          <w:sz w:val="21"/>
          <w:szCs w:val="21"/>
          <w:lang w:val="es-CO" w:eastAsia="es-CO"/>
        </w:rPr>
        <w:t>laborabilidad</w:t>
      </w:r>
      <w:proofErr w:type="spellEnd"/>
      <w:r w:rsidRPr="00FA2409">
        <w:rPr>
          <w:rFonts w:ascii="Arial" w:eastAsia="Times New Roman" w:hAnsi="Arial" w:cs="Arial"/>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FA2409">
        <w:rPr>
          <w:rFonts w:ascii="Arial" w:eastAsia="Times New Roman" w:hAnsi="Arial" w:cs="Arial"/>
          <w:sz w:val="21"/>
          <w:szCs w:val="21"/>
          <w:lang w:val="es-CO" w:eastAsia="es-CO"/>
        </w:rPr>
        <w:t>1.°</w:t>
      </w:r>
      <w:proofErr w:type="gramEnd"/>
      <w:r w:rsidRPr="00FA2409">
        <w:rPr>
          <w:rFonts w:ascii="Arial" w:eastAsia="Times New Roman" w:hAnsi="Arial" w:cs="Arial"/>
          <w:sz w:val="21"/>
          <w:szCs w:val="21"/>
          <w:lang w:val="es-CO" w:eastAsia="es-CO"/>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FA2409">
        <w:rPr>
          <w:rStyle w:val="Refdenotaalpie"/>
          <w:rFonts w:ascii="Arial" w:eastAsia="Times New Roman" w:hAnsi="Arial" w:cs="Arial"/>
          <w:sz w:val="21"/>
          <w:szCs w:val="21"/>
          <w:lang w:val="es-CO" w:eastAsia="es-CO"/>
        </w:rPr>
        <w:footnoteReference w:id="17"/>
      </w:r>
      <w:r w:rsidRPr="00FA2409">
        <w:rPr>
          <w:rFonts w:ascii="Arial" w:eastAsia="Times New Roman" w:hAnsi="Arial" w:cs="Arial"/>
          <w:sz w:val="21"/>
          <w:szCs w:val="21"/>
          <w:lang w:val="es-CO" w:eastAsia="es-CO"/>
        </w:rPr>
        <w:t>.</w:t>
      </w:r>
    </w:p>
    <w:p w14:paraId="151A39C4" w14:textId="77777777" w:rsidR="00972A56" w:rsidRPr="00FA2409" w:rsidRDefault="00972A56" w:rsidP="00972A56">
      <w:pPr>
        <w:tabs>
          <w:tab w:val="left" w:pos="0"/>
        </w:tabs>
        <w:spacing w:line="276" w:lineRule="auto"/>
        <w:jc w:val="both"/>
        <w:rPr>
          <w:rFonts w:ascii="Arial" w:eastAsia="Calibri" w:hAnsi="Arial" w:cs="Arial"/>
          <w:bCs/>
          <w:sz w:val="22"/>
          <w:lang w:val="es-ES"/>
        </w:rPr>
      </w:pPr>
      <w:r w:rsidRPr="00FA2409">
        <w:rPr>
          <w:rFonts w:ascii="Arial" w:eastAsia="Calibri" w:hAnsi="Arial" w:cs="Arial"/>
          <w:bCs/>
          <w:sz w:val="22"/>
          <w:lang w:val="es-ES"/>
        </w:rPr>
        <w:t xml:space="preserve"> </w:t>
      </w:r>
    </w:p>
    <w:p w14:paraId="2A26C848" w14:textId="3EA61041" w:rsidR="00972A56" w:rsidRPr="00FA2409"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eastAsia="Calibri" w:hAnsi="Arial" w:cs="Arial"/>
          <w:bCs/>
          <w:sz w:val="22"/>
          <w:lang w:val="es-ES"/>
        </w:rPr>
        <w:tab/>
        <w:t>Conforme a lo anterior,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FA2409">
        <w:rPr>
          <w:rStyle w:val="Refdenotaalpie"/>
          <w:rFonts w:ascii="Arial" w:eastAsia="Calibri" w:hAnsi="Arial" w:cs="Arial"/>
          <w:bCs/>
          <w:sz w:val="22"/>
          <w:lang w:val="es-ES"/>
        </w:rPr>
        <w:footnoteReference w:id="18"/>
      </w:r>
      <w:r w:rsidRPr="00FA2409">
        <w:rPr>
          <w:rFonts w:ascii="Arial" w:eastAsia="Calibri" w:hAnsi="Arial" w:cs="Arial"/>
          <w:bCs/>
          <w:sz w:val="22"/>
          <w:lang w:val="es-ES"/>
        </w:rPr>
        <w:t xml:space="preserve">, por lo que días hábiles son aquellos de la semana durante los cuales las entidades públicas ejercen sus funciones </w:t>
      </w:r>
      <w:r w:rsidR="00A751E6">
        <w:rPr>
          <w:rFonts w:ascii="Arial" w:eastAsia="Calibri" w:hAnsi="Arial" w:cs="Arial"/>
          <w:bCs/>
          <w:sz w:val="22"/>
          <w:lang w:val="es-ES"/>
        </w:rPr>
        <w:t xml:space="preserve">y prestan servicio </w:t>
      </w:r>
      <w:r w:rsidRPr="00FA2409">
        <w:rPr>
          <w:rFonts w:ascii="Arial" w:eastAsia="Calibri" w:hAnsi="Arial" w:cs="Arial"/>
          <w:bCs/>
          <w:sz w:val="22"/>
          <w:lang w:val="es-ES"/>
        </w:rPr>
        <w:t>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FA2409">
        <w:rPr>
          <w:rStyle w:val="Refdenotaalpie"/>
          <w:rFonts w:ascii="Arial" w:eastAsia="Calibri" w:hAnsi="Arial" w:cs="Arial"/>
          <w:bCs/>
          <w:sz w:val="22"/>
          <w:lang w:val="es-ES"/>
        </w:rPr>
        <w:footnoteReference w:id="19"/>
      </w:r>
      <w:r w:rsidRPr="00FA2409">
        <w:rPr>
          <w:rFonts w:ascii="Arial" w:eastAsia="Calibri" w:hAnsi="Arial" w:cs="Arial"/>
          <w:bCs/>
          <w:sz w:val="22"/>
          <w:lang w:val="es-ES"/>
        </w:rPr>
        <w:t xml:space="preserve">, ejemplo donde los días laborables o hábiles son todos los de la semana, con excepción del miércoles. </w:t>
      </w:r>
    </w:p>
    <w:p w14:paraId="2CDE2EDA" w14:textId="77777777" w:rsidR="00972A56" w:rsidRPr="00FA2409" w:rsidRDefault="00972A56" w:rsidP="00972A56">
      <w:pPr>
        <w:tabs>
          <w:tab w:val="left" w:pos="0"/>
        </w:tabs>
        <w:spacing w:before="120" w:line="276" w:lineRule="auto"/>
        <w:jc w:val="both"/>
        <w:rPr>
          <w:rFonts w:ascii="Arial" w:eastAsia="Calibri" w:hAnsi="Arial" w:cs="Arial"/>
          <w:bCs/>
          <w:sz w:val="22"/>
          <w:lang w:val="es-ES"/>
        </w:rPr>
      </w:pPr>
      <w:r w:rsidRPr="00FA2409">
        <w:rPr>
          <w:rFonts w:ascii="Arial" w:eastAsia="Calibri" w:hAnsi="Arial" w:cs="Arial"/>
          <w:bCs/>
          <w:sz w:val="22"/>
          <w:lang w:val="es-ES"/>
        </w:rPr>
        <w:lastRenderedPageBreak/>
        <w:tab/>
        <w:t xml:space="preserve">Lo anterior implica, respecto del término para publicar la invitación y para la presentación de ofertas en procedimientos de mínima cuantía, que deberá transcurrir dentro de los días definidos por cada entidad estatal como laborables en su correspondiente reglamento o manual de funciones. </w:t>
      </w:r>
    </w:p>
    <w:p w14:paraId="62B8199D" w14:textId="77777777" w:rsidR="00972A56" w:rsidRPr="00FA2409" w:rsidRDefault="00972A56" w:rsidP="00972A56">
      <w:pPr>
        <w:tabs>
          <w:tab w:val="left" w:pos="0"/>
        </w:tabs>
        <w:spacing w:before="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Esto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FA2409">
        <w:rPr>
          <w:rFonts w:ascii="Arial" w:eastAsia="Calibri" w:hAnsi="Arial" w:cs="Arial"/>
          <w:bCs/>
          <w:sz w:val="22"/>
          <w:lang w:val="es-ES"/>
        </w:rPr>
        <w:t>ii</w:t>
      </w:r>
      <w:proofErr w:type="spellEnd"/>
      <w:r w:rsidRPr="00FA2409">
        <w:rPr>
          <w:rFonts w:ascii="Arial" w:eastAsia="Calibri" w:hAnsi="Arial" w:cs="Arial"/>
          <w:bCs/>
          <w:sz w:val="22"/>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FA2409">
        <w:rPr>
          <w:rFonts w:ascii="Arial" w:eastAsia="Calibri" w:hAnsi="Arial" w:cs="Arial"/>
          <w:bCs/>
          <w:sz w:val="22"/>
          <w:lang w:val="es-ES"/>
        </w:rPr>
        <w:t>iii</w:t>
      </w:r>
      <w:proofErr w:type="spellEnd"/>
      <w:r w:rsidRPr="00FA2409">
        <w:rPr>
          <w:rFonts w:ascii="Arial" w:eastAsia="Calibri" w:hAnsi="Arial" w:cs="Arial"/>
          <w:bCs/>
          <w:sz w:val="22"/>
          <w:lang w:val="es-ES"/>
        </w:rPr>
        <w:t xml:space="preserve">) que el término de un día hábil está constituido por las veinticuatro horas que conforman uno de los días laborables definidos por la entidad, empezando a las 00:00 horas y terminando a las 23:59 de dicho día. </w:t>
      </w:r>
    </w:p>
    <w:p w14:paraId="4BBB939F" w14:textId="77777777" w:rsidR="00972A56" w:rsidRPr="00FA2409" w:rsidRDefault="00972A56" w:rsidP="00972A56">
      <w:pPr>
        <w:tabs>
          <w:tab w:val="left" w:pos="0"/>
        </w:tabs>
        <w:spacing w:before="120" w:after="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w:t>
      </w:r>
    </w:p>
    <w:p w14:paraId="761B10B4" w14:textId="77777777" w:rsidR="00972A56" w:rsidRPr="00FA2409" w:rsidRDefault="00972A56" w:rsidP="00972A56">
      <w:pPr>
        <w:tabs>
          <w:tab w:val="left" w:pos="0"/>
        </w:tabs>
        <w:spacing w:before="120" w:after="120" w:line="276" w:lineRule="auto"/>
        <w:jc w:val="both"/>
        <w:rPr>
          <w:rFonts w:ascii="Arial" w:hAnsi="Arial" w:cs="Arial"/>
          <w:sz w:val="22"/>
        </w:rPr>
      </w:pPr>
      <w:r w:rsidRPr="00FA2409">
        <w:rPr>
          <w:rFonts w:ascii="Arial" w:eastAsia="Calibri" w:hAnsi="Arial" w:cs="Arial"/>
          <w:bCs/>
          <w:sz w:val="22"/>
          <w:lang w:val="es-ES"/>
        </w:rPr>
        <w:tab/>
        <w:t>La Agencia Nacional de Contratación Pública ― Colombia Compra Eficiente, en el «Manual de la Modalidad de Selección de Mínima Cuantía», recomienda que «</w:t>
      </w:r>
      <w:r w:rsidRPr="00FA2409">
        <w:rPr>
          <w:rFonts w:ascii="Arial" w:hAnsi="Arial" w:cs="Arial"/>
          <w:sz w:val="22"/>
        </w:rPr>
        <w:t xml:space="preserve">la publicación de los Documentos del Proceso se haga a primera hora del día hábil en el cual se adelanta la actuación respectiva para ser consistente con la extensión de los términos previstos para esta modalidad de selección». En ese sentido, esta Agencia estima que las entidades, para cumplir el plazo mínimo de un día hábil, necesariamente deben fijar los extremos de este dentro un mismo día solar laborable. </w:t>
      </w:r>
    </w:p>
    <w:p w14:paraId="075CB059" w14:textId="7FACDE80" w:rsidR="00972A56" w:rsidRPr="00FA2409"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hAnsi="Arial" w:cs="Arial"/>
          <w:sz w:val="22"/>
        </w:rPr>
        <w:tab/>
        <w:t xml:space="preserve">Conforme </w:t>
      </w:r>
      <w:r w:rsidR="00A751E6">
        <w:rPr>
          <w:rFonts w:ascii="Arial" w:hAnsi="Arial" w:cs="Arial"/>
          <w:sz w:val="22"/>
        </w:rPr>
        <w:t>a lo anterior</w:t>
      </w:r>
      <w:r w:rsidRPr="00FA2409">
        <w:rPr>
          <w:rFonts w:ascii="Arial" w:hAnsi="Arial" w:cs="Arial"/>
          <w:sz w:val="22"/>
        </w:rPr>
        <w:t xml:space="preserve">,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FA2409">
        <w:rPr>
          <w:rFonts w:ascii="Arial" w:eastAsia="Calibri" w:hAnsi="Arial" w:cs="Arial"/>
          <w:bCs/>
          <w:sz w:val="22"/>
          <w:lang w:val="es-ES"/>
        </w:rPr>
        <w:t xml:space="preserve">A esto se suma el hecho de que las </w:t>
      </w:r>
      <w:r w:rsidRPr="00FA2409">
        <w:rPr>
          <w:rFonts w:ascii="Arial" w:eastAsia="Calibri" w:hAnsi="Arial" w:cs="Arial"/>
          <w:bCs/>
          <w:sz w:val="22"/>
          <w:lang w:val="es-ES"/>
        </w:rPr>
        <w:lastRenderedPageBreak/>
        <w:t>entidades no suelen tener horarios de atención al público de veinticuatro horas diarias, comoquiera que solo están obligadas a garantizar la atención durante cuarenta horas semanales</w:t>
      </w:r>
      <w:r w:rsidRPr="00FA2409">
        <w:rPr>
          <w:rStyle w:val="Refdenotaalpie"/>
          <w:rFonts w:ascii="Arial" w:eastAsia="Calibri" w:hAnsi="Arial" w:cs="Arial"/>
          <w:bCs/>
          <w:sz w:val="22"/>
          <w:lang w:val="es-ES"/>
        </w:rPr>
        <w:footnoteReference w:id="20"/>
      </w:r>
      <w:r w:rsidRPr="00FA2409">
        <w:rPr>
          <w:rFonts w:ascii="Arial" w:eastAsia="Calibri" w:hAnsi="Arial" w:cs="Arial"/>
          <w:bCs/>
          <w:sz w:val="22"/>
          <w:lang w:val="es-ES"/>
        </w:rPr>
        <w:t>.</w:t>
      </w:r>
    </w:p>
    <w:p w14:paraId="09E5E9A0" w14:textId="25E0DF58" w:rsidR="00972A56" w:rsidRPr="00FA2409"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Sin embargo, en los procesos de mínima cuantía adelantados a través de SECOP II, la Agencia Nacional de Contratación Pública </w:t>
      </w:r>
      <w:r w:rsidR="00FA7E2A">
        <w:rPr>
          <w:rFonts w:ascii="Arial" w:eastAsia="Calibri" w:hAnsi="Arial" w:cs="Arial"/>
          <w:bCs/>
          <w:sz w:val="22"/>
          <w:lang w:val="es-ES"/>
        </w:rPr>
        <w:t>–</w:t>
      </w:r>
      <w:r w:rsidRPr="00FA2409">
        <w:rPr>
          <w:rFonts w:ascii="Arial" w:eastAsia="Calibri" w:hAnsi="Arial" w:cs="Arial"/>
          <w:bCs/>
          <w:sz w:val="22"/>
          <w:lang w:val="es-ES"/>
        </w:rPr>
        <w:t xml:space="preserve">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1B241A23" w14:textId="71C20E8B" w:rsidR="0012044D" w:rsidRDefault="00972A56" w:rsidP="00972A56">
      <w:pPr>
        <w:tabs>
          <w:tab w:val="left" w:pos="0"/>
        </w:tabs>
        <w:spacing w:after="120" w:line="276" w:lineRule="auto"/>
        <w:jc w:val="both"/>
        <w:rPr>
          <w:rFonts w:ascii="Arial" w:eastAsia="Calibri" w:hAnsi="Arial" w:cs="Arial"/>
          <w:bCs/>
          <w:sz w:val="22"/>
          <w:lang w:val="es-ES"/>
        </w:rPr>
      </w:pPr>
      <w:r w:rsidRPr="00FA2409">
        <w:rPr>
          <w:rFonts w:ascii="Arial" w:eastAsia="Calibri" w:hAnsi="Arial" w:cs="Arial"/>
          <w:bCs/>
          <w:sz w:val="22"/>
          <w:lang w:val="es-ES"/>
        </w:rPr>
        <w:tab/>
        <w:t>En ese sentido, el hecho de que el pro</w:t>
      </w:r>
      <w:r w:rsidR="00A751E6">
        <w:rPr>
          <w:rFonts w:ascii="Arial" w:eastAsia="Calibri" w:hAnsi="Arial" w:cs="Arial"/>
          <w:bCs/>
          <w:sz w:val="22"/>
          <w:lang w:val="es-ES"/>
        </w:rPr>
        <w:t>cedimiento</w:t>
      </w:r>
      <w:r w:rsidRPr="00FA2409">
        <w:rPr>
          <w:rFonts w:ascii="Arial" w:eastAsia="Calibri" w:hAnsi="Arial" w:cs="Arial"/>
          <w:bCs/>
          <w:sz w:val="22"/>
          <w:lang w:val="es-ES"/>
        </w:rPr>
        <w:t xml:space="preserve"> de selección se lleve a cabo recibiendo ofertas en físico, publicándose la documentación contractual en SECOP I; </w:t>
      </w:r>
      <w:r w:rsidR="00432C2B" w:rsidRPr="00FA2409">
        <w:rPr>
          <w:rFonts w:ascii="Arial" w:eastAsia="Calibri" w:hAnsi="Arial" w:cs="Arial"/>
          <w:bCs/>
          <w:sz w:val="22"/>
          <w:lang w:val="es-ES"/>
        </w:rPr>
        <w:t>o que</w:t>
      </w:r>
      <w:r w:rsidRPr="00FA2409">
        <w:rPr>
          <w:rFonts w:ascii="Arial" w:eastAsia="Calibri" w:hAnsi="Arial" w:cs="Arial"/>
          <w:bCs/>
          <w:sz w:val="22"/>
          <w:lang w:val="es-ES"/>
        </w:rPr>
        <w:t xml:space="preserv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44067CE" w14:textId="530B68E9" w:rsidR="00972A56" w:rsidRPr="00FA2409" w:rsidRDefault="0012044D" w:rsidP="00972A56">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00972A56" w:rsidRPr="00FA2409">
        <w:rPr>
          <w:rFonts w:ascii="Arial" w:eastAsia="Calibri" w:hAnsi="Arial" w:cs="Arial"/>
          <w:bCs/>
          <w:sz w:val="22"/>
          <w:lang w:val="es-ES"/>
        </w:rPr>
        <w:t xml:space="preserve">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univoca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 </w:t>
      </w:r>
    </w:p>
    <w:p w14:paraId="45DB2B05" w14:textId="4F462ED5" w:rsidR="00972A56" w:rsidRPr="00FA2409" w:rsidRDefault="00972A56" w:rsidP="00972A56">
      <w:pPr>
        <w:tabs>
          <w:tab w:val="left" w:pos="0"/>
        </w:tabs>
        <w:spacing w:line="276" w:lineRule="auto"/>
        <w:jc w:val="both"/>
        <w:rPr>
          <w:rFonts w:ascii="Arial" w:eastAsia="Calibri" w:hAnsi="Arial" w:cs="Arial"/>
          <w:bCs/>
          <w:sz w:val="22"/>
          <w:lang w:val="es-ES"/>
        </w:rPr>
      </w:pPr>
      <w:r w:rsidRPr="00FA2409">
        <w:rPr>
          <w:rFonts w:ascii="Arial" w:eastAsia="Calibri" w:hAnsi="Arial" w:cs="Arial"/>
          <w:bCs/>
          <w:sz w:val="22"/>
          <w:lang w:val="es-ES"/>
        </w:rPr>
        <w:tab/>
        <w:t>Ahora, de conformidad con los mandatos derivados del principio de transparencia, consagrado en el artículo 24 de la Ley 80 de 1993, y lo dispuesto en el artículo 2.2.1.1.2.1.3 del Decreto 1082 de 2015</w:t>
      </w:r>
      <w:r w:rsidRPr="00FA2409">
        <w:rPr>
          <w:rStyle w:val="Refdenotaalpie"/>
          <w:rFonts w:ascii="Arial" w:eastAsia="Calibri" w:hAnsi="Arial" w:cs="Arial"/>
          <w:bCs/>
          <w:sz w:val="22"/>
          <w:lang w:val="es-ES"/>
        </w:rPr>
        <w:footnoteReference w:id="21"/>
      </w:r>
      <w:r w:rsidRPr="00FA2409">
        <w:rPr>
          <w:rFonts w:ascii="Arial" w:eastAsia="Calibri" w:hAnsi="Arial" w:cs="Arial"/>
          <w:bCs/>
          <w:sz w:val="22"/>
          <w:lang w:val="es-ES"/>
        </w:rPr>
        <w:t xml:space="preserve">, en el pliego de condiciones deben definirse «las reglas </w:t>
      </w:r>
      <w:r w:rsidRPr="00FA2409">
        <w:rPr>
          <w:rFonts w:ascii="Arial" w:eastAsia="Calibri" w:hAnsi="Arial" w:cs="Arial"/>
          <w:bCs/>
          <w:sz w:val="22"/>
          <w:lang w:val="es-ES"/>
        </w:rPr>
        <w:lastRenderedPageBreak/>
        <w:t>aplicables a la presentación de las ofertas, su evaluación y a la adjudicación del contrato», así como el cronograma del proceso de selección,</w:t>
      </w:r>
      <w:r w:rsidR="009531E9" w:rsidRPr="00FA2409">
        <w:rPr>
          <w:rFonts w:ascii="Arial" w:eastAsia="Calibri" w:hAnsi="Arial" w:cs="Arial"/>
          <w:bCs/>
          <w:sz w:val="22"/>
          <w:lang w:val="es-ES"/>
        </w:rPr>
        <w:t xml:space="preserve"> lo cual también</w:t>
      </w:r>
      <w:r w:rsidR="001C7B0D" w:rsidRPr="00FA2409">
        <w:rPr>
          <w:rFonts w:ascii="Arial" w:eastAsia="Calibri" w:hAnsi="Arial" w:cs="Arial"/>
          <w:bCs/>
          <w:sz w:val="22"/>
          <w:lang w:val="es-ES"/>
        </w:rPr>
        <w:t xml:space="preserve"> es aplicable</w:t>
      </w:r>
      <w:r w:rsidR="009531E9" w:rsidRPr="00FA2409">
        <w:rPr>
          <w:rFonts w:ascii="Arial" w:eastAsia="Calibri" w:hAnsi="Arial" w:cs="Arial"/>
          <w:bCs/>
          <w:sz w:val="22"/>
          <w:lang w:val="es-ES"/>
        </w:rPr>
        <w:t xml:space="preserve"> a la invitación en los procesos de mínima cuantí</w:t>
      </w:r>
      <w:r w:rsidR="001C7B0D" w:rsidRPr="00FA2409">
        <w:rPr>
          <w:rFonts w:ascii="Arial" w:eastAsia="Calibri" w:hAnsi="Arial" w:cs="Arial"/>
          <w:bCs/>
          <w:sz w:val="22"/>
          <w:lang w:val="es-ES"/>
        </w:rPr>
        <w:t>a,</w:t>
      </w:r>
      <w:r w:rsidR="009531E9" w:rsidRPr="00FA2409">
        <w:rPr>
          <w:rFonts w:ascii="Arial" w:eastAsia="Calibri" w:hAnsi="Arial" w:cs="Arial"/>
          <w:bCs/>
          <w:sz w:val="22"/>
          <w:lang w:val="es-ES"/>
        </w:rPr>
        <w:t xml:space="preserve"> </w:t>
      </w:r>
      <w:r w:rsidRPr="00FA2409">
        <w:rPr>
          <w:rFonts w:ascii="Arial" w:eastAsia="Calibri" w:hAnsi="Arial" w:cs="Arial"/>
          <w:bCs/>
          <w:sz w:val="22"/>
          <w:lang w:val="es-ES"/>
        </w:rPr>
        <w:t xml:space="preserve">lo que implica que para dar aplicación a la anterior regla las entidades deberán establecer, en </w:t>
      </w:r>
      <w:r w:rsidR="001C7B0D" w:rsidRPr="00FA2409">
        <w:rPr>
          <w:rFonts w:ascii="Arial" w:eastAsia="Calibri" w:hAnsi="Arial" w:cs="Arial"/>
          <w:bCs/>
          <w:sz w:val="22"/>
          <w:lang w:val="es-ES"/>
        </w:rPr>
        <w:t>la</w:t>
      </w:r>
      <w:r w:rsidRPr="00FA2409">
        <w:rPr>
          <w:rFonts w:ascii="Arial" w:eastAsia="Calibri" w:hAnsi="Arial" w:cs="Arial"/>
          <w:bCs/>
          <w:sz w:val="22"/>
          <w:lang w:val="es-ES"/>
        </w:rPr>
        <w:t xml:space="preserve"> respectiv</w:t>
      </w:r>
      <w:r w:rsidR="001C7B0D" w:rsidRPr="00FA2409">
        <w:rPr>
          <w:rFonts w:ascii="Arial" w:eastAsia="Calibri" w:hAnsi="Arial" w:cs="Arial"/>
          <w:bCs/>
          <w:sz w:val="22"/>
          <w:lang w:val="es-ES"/>
        </w:rPr>
        <w:t>a</w:t>
      </w:r>
      <w:r w:rsidRPr="00FA2409">
        <w:rPr>
          <w:rFonts w:ascii="Arial" w:eastAsia="Calibri" w:hAnsi="Arial" w:cs="Arial"/>
          <w:bCs/>
          <w:sz w:val="22"/>
          <w:lang w:val="es-ES"/>
        </w:rPr>
        <w:t xml:space="preserve"> </w:t>
      </w:r>
      <w:r w:rsidR="001C7B0D" w:rsidRPr="00FA2409">
        <w:rPr>
          <w:rFonts w:ascii="Arial" w:eastAsia="Calibri" w:hAnsi="Arial" w:cs="Arial"/>
          <w:bCs/>
          <w:sz w:val="22"/>
          <w:lang w:val="es-ES"/>
        </w:rPr>
        <w:t>invitación</w:t>
      </w:r>
      <w:r w:rsidRPr="00FA2409">
        <w:rPr>
          <w:rFonts w:ascii="Arial" w:eastAsia="Calibri" w:hAnsi="Arial" w:cs="Arial"/>
          <w:bCs/>
          <w:sz w:val="22"/>
          <w:lang w:val="es-ES"/>
        </w:rPr>
        <w:t xml:space="preserve">, el lapso durante el cual recibirán ofertas, definiendo expresamente la hora hasta la cual recibirán las ofertas, de tal manera que este pueda ser conocido con anticipación por los interesados en participar.    </w:t>
      </w:r>
    </w:p>
    <w:p w14:paraId="109C409F" w14:textId="5567BF25" w:rsidR="00440254" w:rsidRPr="00FA2409" w:rsidRDefault="00440254" w:rsidP="00B7508D">
      <w:pPr>
        <w:spacing w:line="276" w:lineRule="auto"/>
        <w:jc w:val="both"/>
        <w:rPr>
          <w:rFonts w:ascii="Arial" w:eastAsia="Calibri" w:hAnsi="Arial" w:cs="Arial"/>
          <w:sz w:val="22"/>
        </w:rPr>
      </w:pPr>
    </w:p>
    <w:p w14:paraId="081CCECE" w14:textId="5E053B9A" w:rsidR="00440254" w:rsidRPr="00FA2409" w:rsidRDefault="00440254" w:rsidP="00B7508D">
      <w:pPr>
        <w:spacing w:line="276" w:lineRule="auto"/>
        <w:jc w:val="both"/>
        <w:rPr>
          <w:rFonts w:ascii="Arial" w:eastAsia="Calibri" w:hAnsi="Arial" w:cs="Arial"/>
          <w:b/>
          <w:bCs/>
          <w:sz w:val="22"/>
        </w:rPr>
      </w:pPr>
      <w:r w:rsidRPr="00FA2409">
        <w:rPr>
          <w:rFonts w:ascii="Arial" w:eastAsia="Calibri" w:hAnsi="Arial" w:cs="Arial"/>
          <w:b/>
          <w:bCs/>
          <w:sz w:val="22"/>
        </w:rPr>
        <w:t>2.</w:t>
      </w:r>
      <w:r w:rsidR="00472FF4" w:rsidRPr="00FA2409">
        <w:rPr>
          <w:rFonts w:ascii="Arial" w:eastAsia="Calibri" w:hAnsi="Arial" w:cs="Arial"/>
          <w:b/>
          <w:bCs/>
          <w:sz w:val="22"/>
        </w:rPr>
        <w:t>2</w:t>
      </w:r>
      <w:r w:rsidRPr="00FA2409">
        <w:rPr>
          <w:rFonts w:ascii="Arial" w:eastAsia="Calibri" w:hAnsi="Arial" w:cs="Arial"/>
          <w:b/>
          <w:bCs/>
          <w:sz w:val="22"/>
        </w:rPr>
        <w:t xml:space="preserve">. Principio de </w:t>
      </w:r>
      <w:r w:rsidR="002F707C" w:rsidRPr="00FA2409">
        <w:rPr>
          <w:rFonts w:ascii="Arial" w:eastAsia="Calibri" w:hAnsi="Arial" w:cs="Arial"/>
          <w:b/>
          <w:bCs/>
          <w:sz w:val="22"/>
        </w:rPr>
        <w:t>t</w:t>
      </w:r>
      <w:r w:rsidRPr="00FA2409">
        <w:rPr>
          <w:rFonts w:ascii="Arial" w:eastAsia="Calibri" w:hAnsi="Arial" w:cs="Arial"/>
          <w:b/>
          <w:bCs/>
          <w:sz w:val="22"/>
        </w:rPr>
        <w:t>ransparencia</w:t>
      </w:r>
      <w:r w:rsidR="005F1274" w:rsidRPr="00FA2409">
        <w:rPr>
          <w:rFonts w:ascii="Arial" w:eastAsia="Calibri" w:hAnsi="Arial" w:cs="Arial"/>
          <w:b/>
          <w:bCs/>
          <w:sz w:val="22"/>
        </w:rPr>
        <w:t>,</w:t>
      </w:r>
      <w:r w:rsidR="00972A56" w:rsidRPr="00FA2409">
        <w:rPr>
          <w:rFonts w:ascii="Arial" w:eastAsia="Calibri" w:hAnsi="Arial" w:cs="Arial"/>
          <w:b/>
          <w:bCs/>
          <w:sz w:val="22"/>
        </w:rPr>
        <w:t xml:space="preserve"> la posibilidad de realizar </w:t>
      </w:r>
      <w:r w:rsidR="005F1274" w:rsidRPr="00FA2409">
        <w:rPr>
          <w:rFonts w:ascii="Arial" w:eastAsia="Calibri" w:hAnsi="Arial" w:cs="Arial"/>
          <w:b/>
          <w:bCs/>
          <w:sz w:val="22"/>
        </w:rPr>
        <w:t>observaciones y adendas en los procesos de contratación de mínima cuantía</w:t>
      </w:r>
    </w:p>
    <w:p w14:paraId="01450E1A" w14:textId="77777777" w:rsidR="00440254" w:rsidRPr="00FA2409" w:rsidRDefault="00440254" w:rsidP="00B7508D">
      <w:pPr>
        <w:spacing w:line="276" w:lineRule="auto"/>
        <w:jc w:val="both"/>
        <w:rPr>
          <w:rFonts w:ascii="Arial" w:eastAsia="Calibri" w:hAnsi="Arial" w:cs="Arial"/>
          <w:sz w:val="22"/>
        </w:rPr>
      </w:pPr>
    </w:p>
    <w:p w14:paraId="00E4653A" w14:textId="359EAFCA" w:rsidR="009F7CCD" w:rsidRPr="00FA2409" w:rsidRDefault="00467232" w:rsidP="00440254">
      <w:pPr>
        <w:spacing w:after="120" w:line="276" w:lineRule="auto"/>
        <w:jc w:val="both"/>
        <w:rPr>
          <w:rFonts w:ascii="Arial" w:eastAsia="Calibri" w:hAnsi="Arial" w:cs="Arial"/>
          <w:sz w:val="22"/>
        </w:rPr>
      </w:pPr>
      <w:r w:rsidRPr="00FA2409">
        <w:rPr>
          <w:rFonts w:ascii="Arial" w:eastAsia="Calibri" w:hAnsi="Arial" w:cs="Arial"/>
          <w:sz w:val="22"/>
        </w:rPr>
        <w:t xml:space="preserve">La contratación estatal </w:t>
      </w:r>
      <w:r w:rsidR="003B77F7" w:rsidRPr="00FA2409">
        <w:rPr>
          <w:rFonts w:ascii="Arial" w:eastAsia="Calibri" w:hAnsi="Arial" w:cs="Arial"/>
          <w:sz w:val="22"/>
        </w:rPr>
        <w:t xml:space="preserve">tiene como propósito </w:t>
      </w:r>
      <w:r w:rsidR="000A14E4" w:rsidRPr="00FA2409">
        <w:rPr>
          <w:rFonts w:ascii="Arial" w:eastAsia="Calibri" w:hAnsi="Arial" w:cs="Arial"/>
          <w:sz w:val="22"/>
        </w:rPr>
        <w:t xml:space="preserve">el cumplimiento de los fines estatales, la continua y eficiente prestación de los servicios públicos y la efectividad de los derechos e intereses de los administrados que colaboran con </w:t>
      </w:r>
      <w:r w:rsidR="008929FF" w:rsidRPr="00FA2409">
        <w:rPr>
          <w:rFonts w:ascii="Arial" w:eastAsia="Calibri" w:hAnsi="Arial" w:cs="Arial"/>
          <w:sz w:val="22"/>
        </w:rPr>
        <w:t xml:space="preserve">las entidades estatales </w:t>
      </w:r>
      <w:r w:rsidR="000A14E4" w:rsidRPr="00FA2409">
        <w:rPr>
          <w:rFonts w:ascii="Arial" w:eastAsia="Calibri" w:hAnsi="Arial" w:cs="Arial"/>
          <w:sz w:val="22"/>
        </w:rPr>
        <w:t>en la consecución de dichos fines</w:t>
      </w:r>
      <w:r w:rsidR="000A14E4" w:rsidRPr="00FA2409">
        <w:rPr>
          <w:rStyle w:val="Refdenotaalpie"/>
          <w:rFonts w:ascii="Arial" w:eastAsia="Calibri" w:hAnsi="Arial" w:cs="Arial"/>
          <w:sz w:val="22"/>
        </w:rPr>
        <w:footnoteReference w:id="22"/>
      </w:r>
      <w:r w:rsidR="007464C3" w:rsidRPr="00FA2409">
        <w:rPr>
          <w:rFonts w:ascii="Arial" w:eastAsia="Calibri" w:hAnsi="Arial" w:cs="Arial"/>
          <w:sz w:val="22"/>
        </w:rPr>
        <w:t>. En cumplimiento de ese propósito</w:t>
      </w:r>
      <w:r w:rsidR="005E6734" w:rsidRPr="00FA2409">
        <w:rPr>
          <w:rFonts w:ascii="Arial" w:eastAsia="Calibri" w:hAnsi="Arial" w:cs="Arial"/>
          <w:sz w:val="22"/>
        </w:rPr>
        <w:t>,</w:t>
      </w:r>
      <w:r w:rsidR="007464C3" w:rsidRPr="00FA2409">
        <w:rPr>
          <w:rFonts w:ascii="Arial" w:eastAsia="Calibri" w:hAnsi="Arial" w:cs="Arial"/>
          <w:sz w:val="22"/>
        </w:rPr>
        <w:t xml:space="preserve"> el legislador </w:t>
      </w:r>
      <w:r w:rsidR="00736AF6" w:rsidRPr="00FA2409">
        <w:rPr>
          <w:rFonts w:ascii="Arial" w:eastAsia="Calibri" w:hAnsi="Arial" w:cs="Arial"/>
          <w:sz w:val="22"/>
        </w:rPr>
        <w:t>determinó que las actuaciones adelantadas por las entidades estatales</w:t>
      </w:r>
      <w:r w:rsidR="002007E4" w:rsidRPr="00FA2409">
        <w:rPr>
          <w:rFonts w:ascii="Arial" w:eastAsia="Calibri" w:hAnsi="Arial" w:cs="Arial"/>
          <w:sz w:val="22"/>
        </w:rPr>
        <w:t>,</w:t>
      </w:r>
      <w:r w:rsidR="005E6734" w:rsidRPr="00FA2409">
        <w:rPr>
          <w:rFonts w:ascii="Arial" w:eastAsia="Calibri" w:hAnsi="Arial" w:cs="Arial"/>
          <w:sz w:val="22"/>
        </w:rPr>
        <w:t xml:space="preserve"> en materia contractual</w:t>
      </w:r>
      <w:r w:rsidR="00736AF6" w:rsidRPr="00FA2409">
        <w:rPr>
          <w:rFonts w:ascii="Arial" w:eastAsia="Calibri" w:hAnsi="Arial" w:cs="Arial"/>
          <w:sz w:val="22"/>
        </w:rPr>
        <w:t xml:space="preserve">, </w:t>
      </w:r>
      <w:r w:rsidR="005E6249" w:rsidRPr="00FA2409">
        <w:rPr>
          <w:rFonts w:ascii="Arial" w:eastAsia="Calibri" w:hAnsi="Arial" w:cs="Arial"/>
          <w:sz w:val="22"/>
        </w:rPr>
        <w:t>se llev</w:t>
      </w:r>
      <w:r w:rsidR="002007E4" w:rsidRPr="00FA2409">
        <w:rPr>
          <w:rFonts w:ascii="Arial" w:eastAsia="Calibri" w:hAnsi="Arial" w:cs="Arial"/>
          <w:sz w:val="22"/>
        </w:rPr>
        <w:t>an</w:t>
      </w:r>
      <w:r w:rsidR="005E6249" w:rsidRPr="00FA2409">
        <w:rPr>
          <w:rFonts w:ascii="Arial" w:eastAsia="Calibri" w:hAnsi="Arial" w:cs="Arial"/>
          <w:sz w:val="22"/>
        </w:rPr>
        <w:t xml:space="preserve"> a cabo</w:t>
      </w:r>
      <w:r w:rsidR="005E6734" w:rsidRPr="00FA2409">
        <w:rPr>
          <w:rFonts w:ascii="Arial" w:eastAsia="Calibri" w:hAnsi="Arial" w:cs="Arial"/>
          <w:sz w:val="22"/>
        </w:rPr>
        <w:t>, entre otros,</w:t>
      </w:r>
      <w:r w:rsidR="00736AF6" w:rsidRPr="00FA2409">
        <w:rPr>
          <w:rFonts w:ascii="Arial" w:eastAsia="Calibri" w:hAnsi="Arial" w:cs="Arial"/>
          <w:sz w:val="22"/>
        </w:rPr>
        <w:t xml:space="preserve"> </w:t>
      </w:r>
      <w:r w:rsidR="005E6734" w:rsidRPr="00FA2409">
        <w:rPr>
          <w:rFonts w:ascii="Arial" w:eastAsia="Calibri" w:hAnsi="Arial" w:cs="Arial"/>
          <w:sz w:val="22"/>
        </w:rPr>
        <w:t xml:space="preserve">en cumplimiento de los principios que gobiernan los procesos de contratación pública. </w:t>
      </w:r>
    </w:p>
    <w:p w14:paraId="17B3CF62" w14:textId="3CAB97E4" w:rsidR="002F420A" w:rsidRPr="00FA2409" w:rsidRDefault="00D929D2" w:rsidP="003B1CBD">
      <w:pPr>
        <w:spacing w:before="120" w:line="276" w:lineRule="auto"/>
        <w:ind w:firstLine="709"/>
        <w:jc w:val="both"/>
        <w:rPr>
          <w:rFonts w:ascii="Arial" w:eastAsia="Calibri" w:hAnsi="Arial" w:cs="Arial"/>
          <w:sz w:val="22"/>
        </w:rPr>
      </w:pPr>
      <w:r w:rsidRPr="00FA2409">
        <w:rPr>
          <w:rFonts w:ascii="Arial" w:eastAsia="Calibri" w:hAnsi="Arial" w:cs="Arial"/>
          <w:sz w:val="22"/>
        </w:rPr>
        <w:t>E</w:t>
      </w:r>
      <w:r w:rsidR="00F610DD" w:rsidRPr="00FA2409">
        <w:rPr>
          <w:rFonts w:ascii="Arial" w:eastAsia="Calibri" w:hAnsi="Arial" w:cs="Arial"/>
          <w:sz w:val="22"/>
        </w:rPr>
        <w:t>l artículo 23 de la Ley 80 de 1993</w:t>
      </w:r>
      <w:r w:rsidR="001A6980" w:rsidRPr="00FA2409">
        <w:rPr>
          <w:rFonts w:ascii="Arial" w:eastAsia="Calibri" w:hAnsi="Arial" w:cs="Arial"/>
          <w:sz w:val="22"/>
        </w:rPr>
        <w:t xml:space="preserve"> </w:t>
      </w:r>
      <w:r w:rsidR="00E96FEF" w:rsidRPr="00FA2409">
        <w:rPr>
          <w:rFonts w:ascii="Arial" w:eastAsia="Calibri" w:hAnsi="Arial" w:cs="Arial"/>
          <w:sz w:val="22"/>
        </w:rPr>
        <w:t>regula los principios</w:t>
      </w:r>
      <w:r w:rsidR="009875B8" w:rsidRPr="00FA2409">
        <w:rPr>
          <w:rFonts w:ascii="Arial" w:eastAsia="Calibri" w:hAnsi="Arial" w:cs="Arial"/>
          <w:sz w:val="22"/>
        </w:rPr>
        <w:t xml:space="preserve"> aplicables </w:t>
      </w:r>
      <w:r w:rsidR="00A139F2" w:rsidRPr="00FA2409">
        <w:rPr>
          <w:rFonts w:ascii="Arial" w:eastAsia="Calibri" w:hAnsi="Arial" w:cs="Arial"/>
          <w:sz w:val="22"/>
        </w:rPr>
        <w:t xml:space="preserve">a las actuaciones contractuales </w:t>
      </w:r>
      <w:r w:rsidR="00175159" w:rsidRPr="00FA2409">
        <w:rPr>
          <w:rFonts w:ascii="Arial" w:eastAsia="Calibri" w:hAnsi="Arial" w:cs="Arial"/>
          <w:sz w:val="22"/>
        </w:rPr>
        <w:t>adelantadas por las entidades estatales</w:t>
      </w:r>
      <w:r w:rsidR="003F1591" w:rsidRPr="00FA2409">
        <w:rPr>
          <w:rStyle w:val="Refdenotaalpie"/>
          <w:rFonts w:ascii="Arial" w:eastAsia="Calibri" w:hAnsi="Arial" w:cs="Arial"/>
          <w:sz w:val="22"/>
        </w:rPr>
        <w:footnoteReference w:id="23"/>
      </w:r>
      <w:r w:rsidR="00072050" w:rsidRPr="00FA2409">
        <w:rPr>
          <w:rFonts w:ascii="Arial" w:eastAsia="Calibri" w:hAnsi="Arial" w:cs="Arial"/>
          <w:sz w:val="22"/>
        </w:rPr>
        <w:t>.</w:t>
      </w:r>
      <w:r w:rsidR="0007021E" w:rsidRPr="00FA2409">
        <w:rPr>
          <w:rFonts w:ascii="Arial" w:eastAsia="Calibri" w:hAnsi="Arial" w:cs="Arial"/>
          <w:sz w:val="22"/>
        </w:rPr>
        <w:t xml:space="preserve"> </w:t>
      </w:r>
      <w:r w:rsidR="007C6E6A" w:rsidRPr="00FA2409">
        <w:rPr>
          <w:rFonts w:ascii="Arial" w:eastAsia="Calibri" w:hAnsi="Arial" w:cs="Arial"/>
          <w:sz w:val="22"/>
        </w:rPr>
        <w:t>E</w:t>
      </w:r>
      <w:r w:rsidR="0007021E" w:rsidRPr="00FA2409">
        <w:rPr>
          <w:rFonts w:ascii="Arial" w:eastAsia="Calibri" w:hAnsi="Arial" w:cs="Arial"/>
          <w:sz w:val="22"/>
        </w:rPr>
        <w:t xml:space="preserve">ntre otros, allí se estableció el principio de transparencia </w:t>
      </w:r>
      <w:r w:rsidR="008566F8" w:rsidRPr="00FA2409">
        <w:rPr>
          <w:rFonts w:ascii="Arial" w:eastAsia="Calibri" w:hAnsi="Arial" w:cs="Arial"/>
          <w:sz w:val="22"/>
        </w:rPr>
        <w:t>de</w:t>
      </w:r>
      <w:r w:rsidR="00C61414" w:rsidRPr="00FA2409">
        <w:rPr>
          <w:rFonts w:ascii="Arial" w:eastAsia="Calibri" w:hAnsi="Arial" w:cs="Arial"/>
          <w:sz w:val="22"/>
        </w:rPr>
        <w:t xml:space="preserve"> la actividad contractual</w:t>
      </w:r>
      <w:r w:rsidR="00904AF1" w:rsidRPr="00FA2409">
        <w:rPr>
          <w:rFonts w:ascii="Arial" w:eastAsia="Calibri" w:hAnsi="Arial" w:cs="Arial"/>
          <w:sz w:val="22"/>
        </w:rPr>
        <w:t>,</w:t>
      </w:r>
      <w:r w:rsidR="00401EF7" w:rsidRPr="00FA2409">
        <w:rPr>
          <w:rFonts w:ascii="Arial" w:eastAsia="Calibri" w:hAnsi="Arial" w:cs="Arial"/>
          <w:sz w:val="22"/>
        </w:rPr>
        <w:t xml:space="preserve"> </w:t>
      </w:r>
      <w:r w:rsidR="00F05587" w:rsidRPr="00FA2409">
        <w:rPr>
          <w:rFonts w:ascii="Arial" w:eastAsia="Calibri" w:hAnsi="Arial" w:cs="Arial"/>
          <w:sz w:val="22"/>
        </w:rPr>
        <w:t>objeto de regulación expresa</w:t>
      </w:r>
      <w:r w:rsidR="00686F15" w:rsidRPr="00FA2409">
        <w:rPr>
          <w:rFonts w:ascii="Arial" w:eastAsia="Calibri" w:hAnsi="Arial" w:cs="Arial"/>
          <w:sz w:val="22"/>
        </w:rPr>
        <w:t xml:space="preserve"> en </w:t>
      </w:r>
      <w:r w:rsidR="00401EF7" w:rsidRPr="00FA2409">
        <w:rPr>
          <w:rFonts w:ascii="Arial" w:eastAsia="Calibri" w:hAnsi="Arial" w:cs="Arial"/>
          <w:sz w:val="22"/>
        </w:rPr>
        <w:t>el art</w:t>
      </w:r>
      <w:r w:rsidR="00686F15" w:rsidRPr="00FA2409">
        <w:rPr>
          <w:rFonts w:ascii="Arial" w:eastAsia="Calibri" w:hAnsi="Arial" w:cs="Arial"/>
          <w:sz w:val="22"/>
        </w:rPr>
        <w:t>í</w:t>
      </w:r>
      <w:r w:rsidR="00401EF7" w:rsidRPr="00FA2409">
        <w:rPr>
          <w:rFonts w:ascii="Arial" w:eastAsia="Calibri" w:hAnsi="Arial" w:cs="Arial"/>
          <w:sz w:val="22"/>
        </w:rPr>
        <w:t>culo 24 del citado cuerpo normativo</w:t>
      </w:r>
      <w:r w:rsidR="009D46D8" w:rsidRPr="00FA2409">
        <w:rPr>
          <w:rFonts w:ascii="Arial" w:eastAsia="Calibri" w:hAnsi="Arial" w:cs="Arial"/>
          <w:sz w:val="22"/>
        </w:rPr>
        <w:t>.</w:t>
      </w:r>
      <w:r w:rsidR="0063426E" w:rsidRPr="00FA2409">
        <w:rPr>
          <w:rFonts w:ascii="Arial" w:eastAsia="Calibri" w:hAnsi="Arial" w:cs="Arial"/>
          <w:sz w:val="22"/>
        </w:rPr>
        <w:t xml:space="preserve"> </w:t>
      </w:r>
      <w:r w:rsidR="009D46D8" w:rsidRPr="00FA2409">
        <w:rPr>
          <w:rFonts w:ascii="Arial" w:eastAsia="Calibri" w:hAnsi="Arial" w:cs="Arial"/>
          <w:sz w:val="22"/>
        </w:rPr>
        <w:t>E</w:t>
      </w:r>
      <w:r w:rsidR="002F420A" w:rsidRPr="00FA2409">
        <w:rPr>
          <w:rFonts w:ascii="Arial" w:eastAsia="Calibri" w:hAnsi="Arial" w:cs="Arial"/>
          <w:sz w:val="22"/>
        </w:rPr>
        <w:t>ste principio guarda estrecha relación con el de publicidad</w:t>
      </w:r>
      <w:r w:rsidR="00103388" w:rsidRPr="00FA2409">
        <w:rPr>
          <w:rFonts w:ascii="Arial" w:eastAsia="Calibri" w:hAnsi="Arial" w:cs="Arial"/>
          <w:sz w:val="22"/>
        </w:rPr>
        <w:t>,</w:t>
      </w:r>
      <w:r w:rsidR="002F420A" w:rsidRPr="00FA2409">
        <w:rPr>
          <w:rFonts w:ascii="Arial" w:eastAsia="Calibri" w:hAnsi="Arial" w:cs="Arial"/>
          <w:sz w:val="22"/>
        </w:rPr>
        <w:t xml:space="preserve"> que rige</w:t>
      </w:r>
      <w:r w:rsidR="00146CF4" w:rsidRPr="00FA2409">
        <w:rPr>
          <w:rFonts w:ascii="Arial" w:eastAsia="Calibri" w:hAnsi="Arial" w:cs="Arial"/>
          <w:sz w:val="22"/>
        </w:rPr>
        <w:t xml:space="preserve"> el ejercicio de la función administrativa</w:t>
      </w:r>
      <w:r w:rsidR="00103487" w:rsidRPr="00FA2409">
        <w:rPr>
          <w:rFonts w:ascii="Arial" w:eastAsia="Calibri" w:hAnsi="Arial" w:cs="Arial"/>
          <w:sz w:val="22"/>
        </w:rPr>
        <w:t>.</w:t>
      </w:r>
      <w:r w:rsidR="009F0EAF" w:rsidRPr="00FA2409">
        <w:rPr>
          <w:rFonts w:ascii="Arial" w:eastAsia="Calibri" w:hAnsi="Arial" w:cs="Arial"/>
          <w:sz w:val="22"/>
        </w:rPr>
        <w:t xml:space="preserve"> </w:t>
      </w:r>
      <w:r w:rsidR="00103487" w:rsidRPr="00FA2409">
        <w:rPr>
          <w:rFonts w:ascii="Arial" w:eastAsia="Calibri" w:hAnsi="Arial" w:cs="Arial"/>
          <w:sz w:val="22"/>
        </w:rPr>
        <w:t>P</w:t>
      </w:r>
      <w:r w:rsidR="009F0EAF" w:rsidRPr="00FA2409">
        <w:rPr>
          <w:rFonts w:ascii="Arial" w:eastAsia="Calibri" w:hAnsi="Arial" w:cs="Arial"/>
          <w:sz w:val="22"/>
        </w:rPr>
        <w:t>or eso</w:t>
      </w:r>
      <w:r w:rsidR="00760BD6" w:rsidRPr="00FA2409">
        <w:rPr>
          <w:rFonts w:ascii="Arial" w:eastAsia="Calibri" w:hAnsi="Arial" w:cs="Arial"/>
          <w:sz w:val="22"/>
        </w:rPr>
        <w:t xml:space="preserve"> en </w:t>
      </w:r>
      <w:r w:rsidR="00103388" w:rsidRPr="00FA2409">
        <w:rPr>
          <w:rFonts w:ascii="Arial" w:eastAsia="Calibri" w:hAnsi="Arial" w:cs="Arial"/>
          <w:sz w:val="22"/>
        </w:rPr>
        <w:t>los</w:t>
      </w:r>
      <w:r w:rsidR="00760BD6" w:rsidRPr="00FA2409">
        <w:rPr>
          <w:rFonts w:ascii="Arial" w:eastAsia="Calibri" w:hAnsi="Arial" w:cs="Arial"/>
          <w:sz w:val="22"/>
        </w:rPr>
        <w:t xml:space="preserve"> numeral</w:t>
      </w:r>
      <w:r w:rsidR="00945D4E" w:rsidRPr="00FA2409">
        <w:rPr>
          <w:rFonts w:ascii="Arial" w:eastAsia="Calibri" w:hAnsi="Arial" w:cs="Arial"/>
          <w:sz w:val="22"/>
        </w:rPr>
        <w:t>es</w:t>
      </w:r>
      <w:r w:rsidR="00760BD6" w:rsidRPr="00FA2409">
        <w:rPr>
          <w:rFonts w:ascii="Arial" w:eastAsia="Calibri" w:hAnsi="Arial" w:cs="Arial"/>
          <w:sz w:val="22"/>
        </w:rPr>
        <w:t xml:space="preserve"> 2º</w:t>
      </w:r>
      <w:r w:rsidR="00945D4E" w:rsidRPr="00FA2409">
        <w:rPr>
          <w:rFonts w:ascii="Arial" w:eastAsia="Calibri" w:hAnsi="Arial" w:cs="Arial"/>
          <w:sz w:val="22"/>
        </w:rPr>
        <w:t xml:space="preserve"> y 3º</w:t>
      </w:r>
      <w:r w:rsidR="00760BD6" w:rsidRPr="00FA2409">
        <w:rPr>
          <w:rFonts w:ascii="Arial" w:eastAsia="Calibri" w:hAnsi="Arial" w:cs="Arial"/>
          <w:sz w:val="22"/>
        </w:rPr>
        <w:t xml:space="preserve"> se estableció la facultad de los interesados para realizar y/o presentar observaciones, como un mecanismo para controvertir algunas de las decisiones adoptadas por las </w:t>
      </w:r>
      <w:r w:rsidR="00760BD6" w:rsidRPr="00FA2409">
        <w:rPr>
          <w:rFonts w:ascii="Arial" w:eastAsia="Calibri" w:hAnsi="Arial" w:cs="Arial"/>
          <w:sz w:val="22"/>
        </w:rPr>
        <w:lastRenderedPageBreak/>
        <w:t>entidades estatales en el marco de sus actuaciones</w:t>
      </w:r>
      <w:r w:rsidR="00945D4E" w:rsidRPr="00FA2409">
        <w:rPr>
          <w:rFonts w:ascii="Arial" w:eastAsia="Calibri" w:hAnsi="Arial" w:cs="Arial"/>
          <w:sz w:val="22"/>
        </w:rPr>
        <w:t>, por demás públicas, en los procesos</w:t>
      </w:r>
      <w:r w:rsidR="00760BD6" w:rsidRPr="00FA2409">
        <w:rPr>
          <w:rFonts w:ascii="Arial" w:eastAsia="Calibri" w:hAnsi="Arial" w:cs="Arial"/>
          <w:sz w:val="22"/>
        </w:rPr>
        <w:t xml:space="preserve"> contractuales, así:</w:t>
      </w:r>
    </w:p>
    <w:p w14:paraId="49D553D0" w14:textId="77777777" w:rsidR="002E3BB5" w:rsidRPr="00FA2409" w:rsidRDefault="002E3BB5" w:rsidP="000C007D">
      <w:pPr>
        <w:ind w:left="709" w:right="709"/>
        <w:jc w:val="both"/>
        <w:rPr>
          <w:rFonts w:ascii="Arial" w:eastAsia="Calibri" w:hAnsi="Arial" w:cs="Arial"/>
          <w:sz w:val="22"/>
        </w:rPr>
      </w:pPr>
    </w:p>
    <w:p w14:paraId="24349854" w14:textId="17FD35FF" w:rsidR="00B33DF3" w:rsidRPr="00FA2409" w:rsidRDefault="00B33DF3" w:rsidP="002E3BB5">
      <w:pPr>
        <w:ind w:left="709" w:right="709"/>
        <w:jc w:val="both"/>
        <w:rPr>
          <w:rFonts w:ascii="Arial" w:eastAsia="Calibri" w:hAnsi="Arial" w:cs="Arial"/>
          <w:sz w:val="21"/>
          <w:szCs w:val="21"/>
        </w:rPr>
      </w:pPr>
      <w:r w:rsidRPr="00FA2409">
        <w:rPr>
          <w:rFonts w:ascii="Arial" w:eastAsia="Calibri" w:hAnsi="Arial" w:cs="Arial"/>
          <w:sz w:val="21"/>
          <w:szCs w:val="21"/>
        </w:rPr>
        <w:t>ARTÍCULO 24. DEL PRINCIPIO DE TRANSPARENCIA. En virtud de este principio:</w:t>
      </w:r>
    </w:p>
    <w:p w14:paraId="64302D8D" w14:textId="3CB4E9CD" w:rsidR="00922D56" w:rsidRPr="00FA2409" w:rsidRDefault="00922D56" w:rsidP="003B1CBD">
      <w:pPr>
        <w:spacing w:after="120"/>
        <w:ind w:left="709" w:right="709"/>
        <w:jc w:val="both"/>
        <w:rPr>
          <w:rFonts w:ascii="Arial" w:eastAsia="Calibri" w:hAnsi="Arial" w:cs="Arial"/>
          <w:sz w:val="21"/>
          <w:szCs w:val="21"/>
        </w:rPr>
      </w:pPr>
      <w:r w:rsidRPr="00FA2409">
        <w:rPr>
          <w:rFonts w:ascii="Arial" w:eastAsia="Calibri" w:hAnsi="Arial" w:cs="Arial"/>
          <w:sz w:val="21"/>
          <w:szCs w:val="21"/>
        </w:rPr>
        <w:t>[…]</w:t>
      </w:r>
    </w:p>
    <w:p w14:paraId="141F4A0E" w14:textId="037A2854" w:rsidR="00B33DF3" w:rsidRPr="00FA2409" w:rsidRDefault="00B33DF3" w:rsidP="003B1CBD">
      <w:pPr>
        <w:spacing w:after="120"/>
        <w:ind w:left="709" w:right="709"/>
        <w:jc w:val="both"/>
        <w:rPr>
          <w:rFonts w:ascii="Arial" w:eastAsia="Calibri" w:hAnsi="Arial" w:cs="Arial"/>
          <w:sz w:val="21"/>
          <w:szCs w:val="21"/>
        </w:rPr>
      </w:pPr>
      <w:r w:rsidRPr="00FA2409">
        <w:rPr>
          <w:rFonts w:ascii="Arial" w:eastAsia="Calibri" w:hAnsi="Arial"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1563C46D" w14:textId="0F68C20C" w:rsidR="009F0EAF" w:rsidRPr="00FA2409" w:rsidRDefault="00B33DF3" w:rsidP="002E3BB5">
      <w:pPr>
        <w:ind w:left="709" w:right="709"/>
        <w:jc w:val="both"/>
        <w:rPr>
          <w:rFonts w:ascii="Arial" w:eastAsia="Calibri" w:hAnsi="Arial" w:cs="Arial"/>
          <w:sz w:val="22"/>
        </w:rPr>
      </w:pPr>
      <w:r w:rsidRPr="00FA2409">
        <w:rPr>
          <w:rFonts w:ascii="Arial" w:eastAsia="Calibri" w:hAnsi="Arial"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p>
    <w:p w14:paraId="55197D68" w14:textId="77777777" w:rsidR="00922D56" w:rsidRPr="00FA2409" w:rsidRDefault="00922D56" w:rsidP="000C007D">
      <w:pPr>
        <w:ind w:firstLine="709"/>
        <w:jc w:val="both"/>
        <w:rPr>
          <w:rFonts w:ascii="Arial" w:eastAsia="Calibri" w:hAnsi="Arial" w:cs="Arial"/>
          <w:sz w:val="22"/>
        </w:rPr>
      </w:pPr>
    </w:p>
    <w:p w14:paraId="1078C2A4" w14:textId="16824816" w:rsidR="00840C17" w:rsidRPr="00FA2409" w:rsidRDefault="00D85416" w:rsidP="003B1CBD">
      <w:pPr>
        <w:spacing w:after="120" w:line="276" w:lineRule="auto"/>
        <w:ind w:firstLine="708"/>
        <w:jc w:val="both"/>
        <w:rPr>
          <w:rFonts w:ascii="Arial" w:hAnsi="Arial" w:cs="Arial"/>
          <w:sz w:val="22"/>
        </w:rPr>
      </w:pPr>
      <w:r w:rsidRPr="00FA2409">
        <w:rPr>
          <w:rFonts w:ascii="Arial" w:hAnsi="Arial" w:cs="Arial"/>
          <w:sz w:val="22"/>
        </w:rPr>
        <w:t xml:space="preserve">En desarrollo </w:t>
      </w:r>
      <w:r w:rsidR="00057FD0" w:rsidRPr="00FA2409">
        <w:rPr>
          <w:rFonts w:ascii="Arial" w:hAnsi="Arial" w:cs="Arial"/>
          <w:sz w:val="22"/>
        </w:rPr>
        <w:t>del principio de tra</w:t>
      </w:r>
      <w:r w:rsidR="00686F15" w:rsidRPr="00FA2409">
        <w:rPr>
          <w:rFonts w:ascii="Arial" w:hAnsi="Arial" w:cs="Arial"/>
          <w:sz w:val="22"/>
        </w:rPr>
        <w:t>nsparencia</w:t>
      </w:r>
      <w:r w:rsidR="007A2B3C" w:rsidRPr="00FA2409">
        <w:rPr>
          <w:rFonts w:ascii="Arial" w:hAnsi="Arial" w:cs="Arial"/>
          <w:sz w:val="22"/>
        </w:rPr>
        <w:t>, el artículo 30 de la Ley 80 de 1993</w:t>
      </w:r>
      <w:r w:rsidR="00EE3756" w:rsidRPr="00FA2409">
        <w:rPr>
          <w:rFonts w:ascii="Arial" w:hAnsi="Arial" w:cs="Arial"/>
          <w:sz w:val="22"/>
        </w:rPr>
        <w:t>,</w:t>
      </w:r>
      <w:r w:rsidR="0029709A" w:rsidRPr="00FA2409">
        <w:rPr>
          <w:rFonts w:ascii="Arial" w:hAnsi="Arial" w:cs="Arial"/>
          <w:sz w:val="22"/>
        </w:rPr>
        <w:t xml:space="preserve"> que contiene las reglas sobre la estructura de los procedimientos de selección del contratista,</w:t>
      </w:r>
      <w:r w:rsidR="00EE5E75" w:rsidRPr="00FA2409">
        <w:rPr>
          <w:rFonts w:ascii="Arial" w:hAnsi="Arial" w:cs="Arial"/>
          <w:sz w:val="22"/>
        </w:rPr>
        <w:t xml:space="preserve"> dispuso</w:t>
      </w:r>
      <w:r w:rsidR="007A2B3C" w:rsidRPr="00FA2409">
        <w:rPr>
          <w:rFonts w:ascii="Arial" w:hAnsi="Arial" w:cs="Arial"/>
          <w:sz w:val="22"/>
        </w:rPr>
        <w:t xml:space="preserve"> en </w:t>
      </w:r>
      <w:r w:rsidR="00C1503B" w:rsidRPr="00FA2409">
        <w:rPr>
          <w:rFonts w:ascii="Arial" w:hAnsi="Arial" w:cs="Arial"/>
          <w:sz w:val="22"/>
        </w:rPr>
        <w:t>el</w:t>
      </w:r>
      <w:r w:rsidR="007A2B3C" w:rsidRPr="00FA2409">
        <w:rPr>
          <w:rFonts w:ascii="Arial" w:hAnsi="Arial" w:cs="Arial"/>
          <w:sz w:val="22"/>
        </w:rPr>
        <w:t xml:space="preserve"> numeral</w:t>
      </w:r>
      <w:r w:rsidR="001033F9" w:rsidRPr="00FA2409">
        <w:rPr>
          <w:rFonts w:ascii="Arial" w:hAnsi="Arial" w:cs="Arial"/>
          <w:sz w:val="22"/>
        </w:rPr>
        <w:t xml:space="preserve"> </w:t>
      </w:r>
      <w:r w:rsidR="007A2B3C" w:rsidRPr="00FA2409">
        <w:rPr>
          <w:rFonts w:ascii="Arial" w:hAnsi="Arial" w:cs="Arial"/>
          <w:sz w:val="22"/>
        </w:rPr>
        <w:t>4º</w:t>
      </w:r>
      <w:r w:rsidR="00480EE1" w:rsidRPr="00FA2409">
        <w:rPr>
          <w:rFonts w:ascii="Arial" w:hAnsi="Arial" w:cs="Arial"/>
          <w:sz w:val="22"/>
        </w:rPr>
        <w:t>, en relación con la audiencia</w:t>
      </w:r>
      <w:r w:rsidR="0032273F" w:rsidRPr="00FA2409">
        <w:rPr>
          <w:rFonts w:ascii="Arial" w:hAnsi="Arial" w:cs="Arial"/>
          <w:sz w:val="22"/>
        </w:rPr>
        <w:t xml:space="preserve"> </w:t>
      </w:r>
      <w:r w:rsidR="003263F6" w:rsidRPr="00FA2409">
        <w:rPr>
          <w:rFonts w:ascii="Arial" w:hAnsi="Arial" w:cs="Arial"/>
          <w:sz w:val="22"/>
        </w:rPr>
        <w:t xml:space="preserve">para precisar el </w:t>
      </w:r>
      <w:r w:rsidR="00246D30" w:rsidRPr="00FA2409">
        <w:rPr>
          <w:rFonts w:ascii="Arial" w:hAnsi="Arial" w:cs="Arial"/>
          <w:sz w:val="22"/>
        </w:rPr>
        <w:t>contenido</w:t>
      </w:r>
      <w:r w:rsidR="003263F6" w:rsidRPr="00FA2409">
        <w:rPr>
          <w:rFonts w:ascii="Arial" w:hAnsi="Arial" w:cs="Arial"/>
          <w:sz w:val="22"/>
        </w:rPr>
        <w:t xml:space="preserve"> y alcance de los pliegos de condiciones</w:t>
      </w:r>
      <w:r w:rsidR="00705B4D" w:rsidRPr="00FA2409">
        <w:rPr>
          <w:rFonts w:ascii="Arial" w:hAnsi="Arial" w:cs="Arial"/>
          <w:sz w:val="22"/>
        </w:rPr>
        <w:t xml:space="preserve"> y asignación de riesgos</w:t>
      </w:r>
      <w:r w:rsidR="003263F6" w:rsidRPr="00FA2409">
        <w:rPr>
          <w:rFonts w:ascii="Arial" w:hAnsi="Arial" w:cs="Arial"/>
          <w:sz w:val="22"/>
        </w:rPr>
        <w:t xml:space="preserve">, </w:t>
      </w:r>
      <w:r w:rsidR="001033F9" w:rsidRPr="00FA2409">
        <w:rPr>
          <w:rFonts w:ascii="Arial" w:hAnsi="Arial" w:cs="Arial"/>
          <w:sz w:val="22"/>
        </w:rPr>
        <w:t xml:space="preserve">que </w:t>
      </w:r>
      <w:r w:rsidR="00084236" w:rsidRPr="00FA2409">
        <w:rPr>
          <w:rFonts w:ascii="Arial" w:hAnsi="Arial" w:cs="Arial"/>
          <w:sz w:val="22"/>
        </w:rPr>
        <w:t xml:space="preserve">si bien como resultado de la misma </w:t>
      </w:r>
      <w:r w:rsidR="00573A49" w:rsidRPr="00FA2409">
        <w:rPr>
          <w:rFonts w:ascii="Arial" w:hAnsi="Arial" w:cs="Arial"/>
          <w:sz w:val="22"/>
        </w:rPr>
        <w:t>se realizar</w:t>
      </w:r>
      <w:r w:rsidR="00530603" w:rsidRPr="00FA2409">
        <w:rPr>
          <w:rFonts w:ascii="Arial" w:hAnsi="Arial" w:cs="Arial"/>
          <w:sz w:val="22"/>
        </w:rPr>
        <w:t>á</w:t>
      </w:r>
      <w:r w:rsidR="00573A49" w:rsidRPr="00FA2409">
        <w:rPr>
          <w:rFonts w:ascii="Arial" w:hAnsi="Arial" w:cs="Arial"/>
          <w:sz w:val="22"/>
        </w:rPr>
        <w:t>n las modificaciones a que haya lugar sobre estos documentos, es</w:t>
      </w:r>
      <w:r w:rsidR="00B20E92" w:rsidRPr="00FA2409">
        <w:rPr>
          <w:rFonts w:ascii="Arial" w:hAnsi="Arial" w:cs="Arial"/>
          <w:sz w:val="22"/>
        </w:rPr>
        <w:t>a</w:t>
      </w:r>
      <w:r w:rsidR="00573A49" w:rsidRPr="00FA2409">
        <w:rPr>
          <w:rFonts w:ascii="Arial" w:hAnsi="Arial" w:cs="Arial"/>
          <w:sz w:val="22"/>
        </w:rPr>
        <w:t xml:space="preserve"> circunstancia </w:t>
      </w:r>
      <w:r w:rsidR="00A542A7" w:rsidRPr="00FA2409">
        <w:rPr>
          <w:rFonts w:ascii="Arial" w:hAnsi="Arial" w:cs="Arial"/>
          <w:sz w:val="22"/>
        </w:rPr>
        <w:t>«[…</w:t>
      </w:r>
      <w:r w:rsidR="001033F9" w:rsidRPr="00FA2409">
        <w:rPr>
          <w:rFonts w:ascii="Arial" w:hAnsi="Arial" w:cs="Arial"/>
          <w:sz w:val="22"/>
        </w:rPr>
        <w:t xml:space="preserve">] no </w:t>
      </w:r>
      <w:r w:rsidR="00A542A7" w:rsidRPr="00FA2409">
        <w:rPr>
          <w:rFonts w:ascii="Arial" w:hAnsi="Arial" w:cs="Arial"/>
          <w:sz w:val="22"/>
        </w:rPr>
        <w:t xml:space="preserve">impide que dentro del plazo de </w:t>
      </w:r>
      <w:r w:rsidR="00747283" w:rsidRPr="00FA2409">
        <w:rPr>
          <w:rFonts w:ascii="Arial" w:hAnsi="Arial" w:cs="Arial"/>
          <w:sz w:val="22"/>
        </w:rPr>
        <w:t>la</w:t>
      </w:r>
      <w:r w:rsidR="00A542A7" w:rsidRPr="00FA2409">
        <w:rPr>
          <w:rFonts w:ascii="Arial" w:hAnsi="Arial" w:cs="Arial"/>
          <w:sz w:val="22"/>
        </w:rPr>
        <w:t xml:space="preserve"> licitación, cualquier interesado pueda solicitar aclaraciones adicionales que </w:t>
      </w:r>
      <w:r w:rsidR="00747283" w:rsidRPr="00FA2409">
        <w:rPr>
          <w:rFonts w:ascii="Arial" w:hAnsi="Arial" w:cs="Arial"/>
          <w:sz w:val="22"/>
        </w:rPr>
        <w:t>la</w:t>
      </w:r>
      <w:r w:rsidR="00A542A7" w:rsidRPr="00FA2409">
        <w:rPr>
          <w:rFonts w:ascii="Arial" w:hAnsi="Arial" w:cs="Arial"/>
          <w:sz w:val="22"/>
        </w:rPr>
        <w:t xml:space="preserve"> entidad contratante responderá mediante comunicación escrita, </w:t>
      </w:r>
      <w:r w:rsidR="00747283" w:rsidRPr="00FA2409">
        <w:rPr>
          <w:rFonts w:ascii="Arial" w:hAnsi="Arial" w:cs="Arial"/>
          <w:sz w:val="22"/>
        </w:rPr>
        <w:t>la</w:t>
      </w:r>
      <w:r w:rsidR="00A542A7" w:rsidRPr="00FA2409">
        <w:rPr>
          <w:rFonts w:ascii="Arial" w:hAnsi="Arial" w:cs="Arial"/>
          <w:sz w:val="22"/>
        </w:rPr>
        <w:t xml:space="preserve"> cual remitirá al interesado y publicará en el SECOP para conocimiento público</w:t>
      </w:r>
      <w:r w:rsidR="001033F9" w:rsidRPr="00FA2409">
        <w:rPr>
          <w:rFonts w:ascii="Arial" w:hAnsi="Arial" w:cs="Arial"/>
          <w:sz w:val="22"/>
        </w:rPr>
        <w:t>»</w:t>
      </w:r>
      <w:r w:rsidR="007E793E" w:rsidRPr="00FA2409">
        <w:rPr>
          <w:rFonts w:ascii="Arial" w:hAnsi="Arial" w:cs="Arial"/>
          <w:sz w:val="22"/>
        </w:rPr>
        <w:t xml:space="preserve">, y en </w:t>
      </w:r>
      <w:r w:rsidR="008248AA" w:rsidRPr="00FA2409">
        <w:rPr>
          <w:rFonts w:ascii="Arial" w:hAnsi="Arial" w:cs="Arial"/>
          <w:sz w:val="22"/>
        </w:rPr>
        <w:t>el</w:t>
      </w:r>
      <w:r w:rsidR="007E793E" w:rsidRPr="00FA2409">
        <w:rPr>
          <w:rFonts w:ascii="Arial" w:hAnsi="Arial" w:cs="Arial"/>
          <w:sz w:val="22"/>
        </w:rPr>
        <w:t xml:space="preserve"> numeral 8º, respecto </w:t>
      </w:r>
      <w:r w:rsidR="006341D3" w:rsidRPr="00FA2409">
        <w:rPr>
          <w:rFonts w:ascii="Arial" w:hAnsi="Arial" w:cs="Arial"/>
          <w:sz w:val="22"/>
        </w:rPr>
        <w:t xml:space="preserve">de los informes de evaluación de las propuestas, que los mismos «[…] </w:t>
      </w:r>
      <w:r w:rsidR="00022A52" w:rsidRPr="00FA2409">
        <w:rPr>
          <w:rFonts w:ascii="Arial" w:hAnsi="Arial" w:cs="Arial"/>
          <w:sz w:val="22"/>
        </w:rPr>
        <w:t>permanecerán en la secretaría de la entidad por un término de cinco (5) días hábiles para que los oferentes presenten las observaciones que estimen pertinentes. […]».</w:t>
      </w:r>
    </w:p>
    <w:p w14:paraId="458165AF" w14:textId="7E3C54B6" w:rsidR="00022A52" w:rsidRPr="00FA2409" w:rsidRDefault="00EE5E75" w:rsidP="00022A52">
      <w:pPr>
        <w:spacing w:before="120" w:after="120" w:line="276" w:lineRule="auto"/>
        <w:ind w:firstLine="709"/>
        <w:jc w:val="both"/>
        <w:rPr>
          <w:rFonts w:ascii="Arial" w:hAnsi="Arial" w:cs="Arial"/>
          <w:sz w:val="22"/>
        </w:rPr>
      </w:pPr>
      <w:r w:rsidRPr="00FA2409">
        <w:rPr>
          <w:rFonts w:ascii="Arial" w:hAnsi="Arial" w:cs="Arial"/>
          <w:sz w:val="22"/>
        </w:rPr>
        <w:t>Por su parte, la Ley 1150 de 2007 «</w:t>
      </w:r>
      <w:r w:rsidR="00566A3D" w:rsidRPr="00FA2409">
        <w:rPr>
          <w:rFonts w:ascii="Arial" w:hAnsi="Arial" w:cs="Arial"/>
          <w:sz w:val="22"/>
        </w:rPr>
        <w:t>Por medio de la cual se introducen medidas para la eficiencia y la transparencia en la Ley 80 de 1993 […]»</w:t>
      </w:r>
      <w:r w:rsidR="005D1B1D" w:rsidRPr="00FA2409">
        <w:rPr>
          <w:rFonts w:ascii="Arial" w:hAnsi="Arial" w:cs="Arial"/>
          <w:sz w:val="22"/>
        </w:rPr>
        <w:t>, tratándose de la publicidad del pliego de condiciones, dispuso que «</w:t>
      </w:r>
      <w:r w:rsidR="00112E3A" w:rsidRPr="00FA2409">
        <w:rPr>
          <w:rFonts w:ascii="Arial" w:hAnsi="Arial" w:cs="Arial"/>
          <w:sz w:val="22"/>
        </w:rPr>
        <w:t>Con el propósito de suministrar al público en general la información que le permita formular observaciones a su contenido, las entidades publicarán los proyectos de pliegos de condiciones o sus equivalentes, en las condiciones que señale el reglamento.»</w:t>
      </w:r>
    </w:p>
    <w:p w14:paraId="6B8AB975" w14:textId="5B91DB43" w:rsidR="00E41962" w:rsidRPr="00FA2409" w:rsidRDefault="00E41962" w:rsidP="00022A52">
      <w:pPr>
        <w:spacing w:before="120" w:after="120" w:line="276" w:lineRule="auto"/>
        <w:ind w:firstLine="709"/>
        <w:jc w:val="both"/>
        <w:rPr>
          <w:rFonts w:ascii="Arial" w:hAnsi="Arial" w:cs="Arial"/>
          <w:sz w:val="22"/>
        </w:rPr>
      </w:pPr>
      <w:r w:rsidRPr="00FA2409">
        <w:rPr>
          <w:rFonts w:ascii="Arial" w:hAnsi="Arial" w:cs="Arial"/>
          <w:sz w:val="22"/>
        </w:rPr>
        <w:t xml:space="preserve">Las disposiciones del ordenamiento jurídico mencionadas </w:t>
      </w:r>
      <w:r w:rsidR="00FC5FAF" w:rsidRPr="00FA2409">
        <w:rPr>
          <w:rFonts w:ascii="Arial" w:hAnsi="Arial" w:cs="Arial"/>
          <w:sz w:val="22"/>
        </w:rPr>
        <w:t xml:space="preserve">fueron objeto de desarrollo </w:t>
      </w:r>
      <w:r w:rsidR="00E71097" w:rsidRPr="00FA2409">
        <w:rPr>
          <w:rFonts w:ascii="Arial" w:hAnsi="Arial" w:cs="Arial"/>
          <w:sz w:val="22"/>
        </w:rPr>
        <w:t>en</w:t>
      </w:r>
      <w:r w:rsidR="00FC5FAF" w:rsidRPr="00FA2409">
        <w:rPr>
          <w:rFonts w:ascii="Arial" w:hAnsi="Arial" w:cs="Arial"/>
          <w:sz w:val="22"/>
        </w:rPr>
        <w:t xml:space="preserve"> el Decreto 1082 de 2015</w:t>
      </w:r>
      <w:r w:rsidR="001100A0" w:rsidRPr="00FA2409">
        <w:rPr>
          <w:rFonts w:ascii="Arial" w:hAnsi="Arial" w:cs="Arial"/>
          <w:sz w:val="22"/>
        </w:rPr>
        <w:t xml:space="preserve">; </w:t>
      </w:r>
      <w:r w:rsidR="005C5176" w:rsidRPr="00FA2409">
        <w:rPr>
          <w:rFonts w:ascii="Arial" w:hAnsi="Arial" w:cs="Arial"/>
          <w:sz w:val="22"/>
        </w:rPr>
        <w:t>cuerpo normativo</w:t>
      </w:r>
      <w:r w:rsidR="001100A0" w:rsidRPr="00FA2409">
        <w:rPr>
          <w:rFonts w:ascii="Arial" w:hAnsi="Arial" w:cs="Arial"/>
          <w:sz w:val="22"/>
        </w:rPr>
        <w:t xml:space="preserve"> de carácter reglamentario</w:t>
      </w:r>
      <w:r w:rsidR="0096071B" w:rsidRPr="00FA2409">
        <w:rPr>
          <w:rFonts w:ascii="Arial" w:hAnsi="Arial" w:cs="Arial"/>
          <w:sz w:val="22"/>
        </w:rPr>
        <w:t xml:space="preserve"> en </w:t>
      </w:r>
      <w:r w:rsidR="000937BF" w:rsidRPr="00FA2409">
        <w:rPr>
          <w:rFonts w:ascii="Arial" w:hAnsi="Arial" w:cs="Arial"/>
          <w:sz w:val="22"/>
        </w:rPr>
        <w:t>e</w:t>
      </w:r>
      <w:r w:rsidR="0096071B" w:rsidRPr="00FA2409">
        <w:rPr>
          <w:rFonts w:ascii="Arial" w:hAnsi="Arial" w:cs="Arial"/>
          <w:sz w:val="22"/>
        </w:rPr>
        <w:t>l</w:t>
      </w:r>
      <w:r w:rsidR="000937BF" w:rsidRPr="00FA2409">
        <w:rPr>
          <w:rFonts w:ascii="Arial" w:hAnsi="Arial" w:cs="Arial"/>
          <w:sz w:val="22"/>
        </w:rPr>
        <w:t xml:space="preserve"> </w:t>
      </w:r>
      <w:r w:rsidR="0096071B" w:rsidRPr="00FA2409">
        <w:rPr>
          <w:rFonts w:ascii="Arial" w:hAnsi="Arial" w:cs="Arial"/>
          <w:sz w:val="22"/>
        </w:rPr>
        <w:t>cual se estableci</w:t>
      </w:r>
      <w:r w:rsidR="00830385" w:rsidRPr="00FA2409">
        <w:rPr>
          <w:rFonts w:ascii="Arial" w:hAnsi="Arial" w:cs="Arial"/>
          <w:sz w:val="22"/>
        </w:rPr>
        <w:t>eron</w:t>
      </w:r>
      <w:r w:rsidR="00BF7D79" w:rsidRPr="00FA2409">
        <w:rPr>
          <w:rFonts w:ascii="Arial" w:hAnsi="Arial" w:cs="Arial"/>
          <w:sz w:val="22"/>
        </w:rPr>
        <w:t xml:space="preserve">, en principio, los plazos dentro de los cuales los interesados </w:t>
      </w:r>
      <w:r w:rsidR="00C157B3" w:rsidRPr="00FA2409">
        <w:rPr>
          <w:rFonts w:ascii="Arial" w:hAnsi="Arial" w:cs="Arial"/>
          <w:sz w:val="22"/>
        </w:rPr>
        <w:t xml:space="preserve">podrán realizar observaciones </w:t>
      </w:r>
      <w:r w:rsidR="001F61EC" w:rsidRPr="00FA2409">
        <w:rPr>
          <w:rFonts w:ascii="Arial" w:hAnsi="Arial" w:cs="Arial"/>
          <w:sz w:val="22"/>
        </w:rPr>
        <w:t>en la actuaciones adelantadas a instancia de las entidades estatales en sus procesos de contratación</w:t>
      </w:r>
      <w:r w:rsidR="008552FB" w:rsidRPr="00FA2409">
        <w:rPr>
          <w:rFonts w:ascii="Arial" w:hAnsi="Arial" w:cs="Arial"/>
          <w:sz w:val="22"/>
        </w:rPr>
        <w:t>,</w:t>
      </w:r>
      <w:r w:rsidR="001F61EC" w:rsidRPr="00FA2409">
        <w:rPr>
          <w:rFonts w:ascii="Arial" w:hAnsi="Arial" w:cs="Arial"/>
          <w:sz w:val="22"/>
        </w:rPr>
        <w:t xml:space="preserve"> plazos</w:t>
      </w:r>
      <w:r w:rsidR="00872A43" w:rsidRPr="00FA2409">
        <w:rPr>
          <w:rFonts w:ascii="Arial" w:hAnsi="Arial" w:cs="Arial"/>
          <w:sz w:val="22"/>
        </w:rPr>
        <w:t xml:space="preserve"> </w:t>
      </w:r>
      <w:r w:rsidR="005E2A4B" w:rsidRPr="00FA2409">
        <w:rPr>
          <w:rFonts w:ascii="Arial" w:hAnsi="Arial" w:cs="Arial"/>
          <w:sz w:val="22"/>
        </w:rPr>
        <w:t>que podrán ser ampliados, mas no restringidos por</w:t>
      </w:r>
      <w:r w:rsidR="00E70E8F" w:rsidRPr="00FA2409">
        <w:rPr>
          <w:rFonts w:ascii="Arial" w:hAnsi="Arial" w:cs="Arial"/>
          <w:sz w:val="22"/>
        </w:rPr>
        <w:t xml:space="preserve"> aquellas</w:t>
      </w:r>
      <w:r w:rsidR="002B74EA" w:rsidRPr="00FA2409">
        <w:rPr>
          <w:rFonts w:ascii="Arial" w:hAnsi="Arial" w:cs="Arial"/>
          <w:sz w:val="22"/>
        </w:rPr>
        <w:t xml:space="preserve">, dependiendo de la modalidad o mecanismo de selección del contratista </w:t>
      </w:r>
      <w:r w:rsidR="000E3C6E" w:rsidRPr="00FA2409">
        <w:rPr>
          <w:rFonts w:ascii="Arial" w:hAnsi="Arial" w:cs="Arial"/>
          <w:sz w:val="22"/>
        </w:rPr>
        <w:t>usado en el respectivo proce</w:t>
      </w:r>
      <w:r w:rsidR="008552FB" w:rsidRPr="00FA2409">
        <w:rPr>
          <w:rFonts w:ascii="Arial" w:hAnsi="Arial" w:cs="Arial"/>
          <w:sz w:val="22"/>
        </w:rPr>
        <w:t>dimiento</w:t>
      </w:r>
      <w:r w:rsidR="000E3C6E" w:rsidRPr="00FA2409">
        <w:rPr>
          <w:rFonts w:ascii="Arial" w:hAnsi="Arial" w:cs="Arial"/>
          <w:sz w:val="22"/>
        </w:rPr>
        <w:t xml:space="preserve"> contractual.</w:t>
      </w:r>
    </w:p>
    <w:p w14:paraId="7777CA0E" w14:textId="6C9C9E9F" w:rsidR="004371B1" w:rsidRPr="00FA2409" w:rsidRDefault="00C07F86" w:rsidP="000C007D">
      <w:pPr>
        <w:spacing w:before="120" w:line="276" w:lineRule="auto"/>
        <w:ind w:firstLine="709"/>
        <w:jc w:val="both"/>
        <w:rPr>
          <w:rFonts w:ascii="Arial" w:hAnsi="Arial" w:cs="Arial"/>
          <w:sz w:val="22"/>
        </w:rPr>
      </w:pPr>
      <w:r w:rsidRPr="00FA2409">
        <w:rPr>
          <w:rFonts w:ascii="Arial" w:hAnsi="Arial" w:cs="Arial"/>
          <w:sz w:val="22"/>
        </w:rPr>
        <w:lastRenderedPageBreak/>
        <w:t>E</w:t>
      </w:r>
      <w:r w:rsidR="004371B1" w:rsidRPr="00FA2409">
        <w:rPr>
          <w:rFonts w:ascii="Arial" w:hAnsi="Arial" w:cs="Arial"/>
          <w:sz w:val="22"/>
        </w:rPr>
        <w:t xml:space="preserve">n cuanto a la importancia del principio de transparencia, </w:t>
      </w:r>
      <w:r w:rsidR="000168F2" w:rsidRPr="00FA2409">
        <w:rPr>
          <w:rFonts w:ascii="Arial" w:hAnsi="Arial" w:cs="Arial"/>
          <w:sz w:val="22"/>
        </w:rPr>
        <w:t>que rige las actuaciones contractuales de las entidades estatal</w:t>
      </w:r>
      <w:r w:rsidR="00BC17AA" w:rsidRPr="00FA2409">
        <w:rPr>
          <w:rFonts w:ascii="Arial" w:hAnsi="Arial" w:cs="Arial"/>
          <w:sz w:val="22"/>
        </w:rPr>
        <w:t>es</w:t>
      </w:r>
      <w:r w:rsidR="000168F2" w:rsidRPr="00FA2409">
        <w:rPr>
          <w:rFonts w:ascii="Arial" w:hAnsi="Arial" w:cs="Arial"/>
          <w:sz w:val="22"/>
        </w:rPr>
        <w:t>, la Sección Tercera del Consejo de Estado afirmó</w:t>
      </w:r>
      <w:r w:rsidR="00BC17AA" w:rsidRPr="00FA2409">
        <w:rPr>
          <w:rStyle w:val="Refdenotaalpie"/>
          <w:rFonts w:ascii="Arial" w:hAnsi="Arial" w:cs="Arial"/>
          <w:sz w:val="22"/>
        </w:rPr>
        <w:footnoteReference w:id="24"/>
      </w:r>
      <w:r w:rsidR="006F052E" w:rsidRPr="00FA2409">
        <w:rPr>
          <w:rFonts w:ascii="Arial" w:hAnsi="Arial" w:cs="Arial"/>
          <w:sz w:val="22"/>
        </w:rPr>
        <w:t>:</w:t>
      </w:r>
    </w:p>
    <w:p w14:paraId="18C20B9E" w14:textId="671EB16F" w:rsidR="000168F2" w:rsidRPr="00FA2409" w:rsidRDefault="000168F2" w:rsidP="000C007D">
      <w:pPr>
        <w:ind w:left="709" w:right="709"/>
        <w:jc w:val="both"/>
        <w:rPr>
          <w:rFonts w:ascii="Arial" w:hAnsi="Arial" w:cs="Arial"/>
          <w:sz w:val="21"/>
          <w:szCs w:val="21"/>
        </w:rPr>
      </w:pPr>
    </w:p>
    <w:p w14:paraId="251DCCA6" w14:textId="0069E39B" w:rsidR="000168F2" w:rsidRPr="00FA2409" w:rsidRDefault="000168F2" w:rsidP="003B1CBD">
      <w:pPr>
        <w:spacing w:after="120"/>
        <w:ind w:left="709" w:right="709"/>
        <w:jc w:val="both"/>
        <w:rPr>
          <w:rFonts w:ascii="Arial" w:hAnsi="Arial" w:cs="Arial"/>
          <w:sz w:val="21"/>
          <w:szCs w:val="21"/>
        </w:rPr>
      </w:pPr>
      <w:r w:rsidRPr="00FA2409">
        <w:rPr>
          <w:rFonts w:ascii="Arial" w:hAnsi="Arial" w:cs="Arial"/>
          <w:sz w:val="21"/>
          <w:szCs w:val="21"/>
        </w:rPr>
        <w:t xml:space="preserve">El principio de transparencia persigue la garantía </w:t>
      </w:r>
      <w:proofErr w:type="gramStart"/>
      <w:r w:rsidRPr="00FA2409">
        <w:rPr>
          <w:rFonts w:ascii="Arial" w:hAnsi="Arial" w:cs="Arial"/>
          <w:sz w:val="21"/>
          <w:szCs w:val="21"/>
        </w:rPr>
        <w:t>que</w:t>
      </w:r>
      <w:proofErr w:type="gramEnd"/>
      <w:r w:rsidRPr="00FA2409">
        <w:rPr>
          <w:rFonts w:ascii="Arial" w:hAnsi="Arial" w:cs="Arial"/>
          <w:sz w:val="21"/>
          <w:szCs w:val="21"/>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688F64AE" w14:textId="794D508D" w:rsidR="000168F2" w:rsidRPr="00FA2409" w:rsidRDefault="000168F2" w:rsidP="003B1CBD">
      <w:pPr>
        <w:spacing w:after="120"/>
        <w:ind w:left="709" w:right="709"/>
        <w:jc w:val="both"/>
        <w:rPr>
          <w:rFonts w:ascii="Arial" w:hAnsi="Arial" w:cs="Arial"/>
          <w:sz w:val="21"/>
          <w:szCs w:val="21"/>
        </w:rPr>
      </w:pPr>
      <w:r w:rsidRPr="00FA2409">
        <w:rPr>
          <w:rFonts w:ascii="Arial" w:hAnsi="Arial" w:cs="Arial"/>
          <w:sz w:val="21"/>
          <w:szCs w:val="21"/>
        </w:rPr>
        <w:t>En palabras de la Corte Suprema de Justicia:</w:t>
      </w:r>
    </w:p>
    <w:p w14:paraId="562E3A52" w14:textId="2618279D" w:rsidR="000168F2" w:rsidRPr="00FA2409" w:rsidRDefault="001B0EBB" w:rsidP="003B1CBD">
      <w:pPr>
        <w:spacing w:after="120"/>
        <w:ind w:left="709" w:right="709"/>
        <w:jc w:val="both"/>
        <w:rPr>
          <w:rFonts w:ascii="Arial" w:hAnsi="Arial" w:cs="Arial"/>
          <w:sz w:val="21"/>
          <w:szCs w:val="21"/>
        </w:rPr>
      </w:pPr>
      <w:r w:rsidRPr="00FA2409">
        <w:rPr>
          <w:rFonts w:ascii="Arial" w:hAnsi="Arial" w:cs="Arial"/>
          <w:sz w:val="21"/>
          <w:szCs w:val="21"/>
          <w:lang w:val="es-ES"/>
        </w:rPr>
        <w:t>«</w:t>
      </w:r>
      <w:r w:rsidR="000168F2" w:rsidRPr="00FA2409">
        <w:rPr>
          <w:rFonts w:ascii="Arial" w:hAnsi="Arial" w:cs="Arial"/>
          <w:sz w:val="21"/>
          <w:szCs w:val="21"/>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sidRPr="00FA2409">
        <w:rPr>
          <w:rFonts w:ascii="Arial" w:hAnsi="Arial" w:cs="Arial"/>
          <w:sz w:val="21"/>
          <w:szCs w:val="21"/>
        </w:rPr>
        <w:t>».</w:t>
      </w:r>
      <w:r w:rsidR="000168F2" w:rsidRPr="00FA2409">
        <w:rPr>
          <w:rFonts w:ascii="Arial" w:hAnsi="Arial" w:cs="Arial"/>
          <w:sz w:val="21"/>
          <w:szCs w:val="21"/>
        </w:rPr>
        <w:t xml:space="preserve">  </w:t>
      </w:r>
    </w:p>
    <w:p w14:paraId="1F89D06F" w14:textId="46803CE5" w:rsidR="000168F2" w:rsidRPr="00FA2409" w:rsidRDefault="000168F2" w:rsidP="000C007D">
      <w:pPr>
        <w:ind w:left="709" w:right="709"/>
        <w:jc w:val="both"/>
        <w:rPr>
          <w:rFonts w:ascii="Arial" w:hAnsi="Arial" w:cs="Arial"/>
          <w:sz w:val="21"/>
          <w:szCs w:val="21"/>
        </w:rPr>
      </w:pPr>
      <w:r w:rsidRPr="00FA2409">
        <w:rPr>
          <w:rFonts w:ascii="Arial" w:hAnsi="Arial" w:cs="Arial"/>
          <w:sz w:val="21"/>
          <w:szCs w:val="2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14:paraId="44896CC6" w14:textId="77777777" w:rsidR="000168F2" w:rsidRPr="00FA2409" w:rsidRDefault="000168F2" w:rsidP="000C007D">
      <w:pPr>
        <w:spacing w:line="276" w:lineRule="auto"/>
        <w:ind w:firstLine="709"/>
        <w:jc w:val="both"/>
        <w:rPr>
          <w:rFonts w:ascii="Arial" w:hAnsi="Arial" w:cs="Arial"/>
          <w:sz w:val="22"/>
        </w:rPr>
      </w:pPr>
    </w:p>
    <w:p w14:paraId="27DEA3E1" w14:textId="01CE4A4E" w:rsidR="00E41FFD" w:rsidRPr="00FA2409" w:rsidRDefault="00E41FFD" w:rsidP="003B1CBD">
      <w:pPr>
        <w:spacing w:after="120" w:line="276" w:lineRule="auto"/>
        <w:ind w:firstLine="708"/>
        <w:jc w:val="both"/>
        <w:rPr>
          <w:rFonts w:ascii="Arial" w:hAnsi="Arial" w:cs="Arial"/>
          <w:sz w:val="22"/>
        </w:rPr>
      </w:pPr>
      <w:r w:rsidRPr="00FA2409">
        <w:rPr>
          <w:rFonts w:ascii="Arial" w:hAnsi="Arial" w:cs="Arial"/>
          <w:sz w:val="22"/>
        </w:rPr>
        <w:t xml:space="preserve">En conclusión, </w:t>
      </w:r>
      <w:r w:rsidR="00AF48A6" w:rsidRPr="00FA2409">
        <w:rPr>
          <w:rFonts w:ascii="Arial" w:hAnsi="Arial" w:cs="Arial"/>
          <w:sz w:val="22"/>
        </w:rPr>
        <w:t>en</w:t>
      </w:r>
      <w:r w:rsidR="001600FC" w:rsidRPr="00FA2409">
        <w:rPr>
          <w:rFonts w:ascii="Arial" w:hAnsi="Arial" w:cs="Arial"/>
          <w:sz w:val="22"/>
        </w:rPr>
        <w:t xml:space="preserve"> virtud del</w:t>
      </w:r>
      <w:r w:rsidR="00925BE9" w:rsidRPr="00FA2409">
        <w:rPr>
          <w:rFonts w:ascii="Arial" w:hAnsi="Arial" w:cs="Arial"/>
          <w:sz w:val="22"/>
        </w:rPr>
        <w:t xml:space="preserve"> principio de transparencia</w:t>
      </w:r>
      <w:r w:rsidR="001600FC" w:rsidRPr="00FA2409">
        <w:rPr>
          <w:rFonts w:ascii="Arial" w:hAnsi="Arial" w:cs="Arial"/>
          <w:sz w:val="22"/>
        </w:rPr>
        <w:t xml:space="preserve"> se garantiza </w:t>
      </w:r>
      <w:r w:rsidR="00F654D5" w:rsidRPr="00FA2409">
        <w:rPr>
          <w:rFonts w:ascii="Arial" w:hAnsi="Arial" w:cs="Arial"/>
          <w:sz w:val="22"/>
        </w:rPr>
        <w:t xml:space="preserve">la participación </w:t>
      </w:r>
      <w:r w:rsidR="0033706B" w:rsidRPr="00FA2409">
        <w:rPr>
          <w:rFonts w:ascii="Arial" w:hAnsi="Arial" w:cs="Arial"/>
          <w:sz w:val="22"/>
        </w:rPr>
        <w:t>tanto de los interesados como de la ciudadanía en general</w:t>
      </w:r>
      <w:r w:rsidR="002F1094" w:rsidRPr="00FA2409">
        <w:rPr>
          <w:rStyle w:val="Refdenotaalpie"/>
          <w:rFonts w:ascii="Arial" w:hAnsi="Arial" w:cs="Arial"/>
          <w:sz w:val="22"/>
        </w:rPr>
        <w:footnoteReference w:id="25"/>
      </w:r>
      <w:r w:rsidR="00FD5B88" w:rsidRPr="00FA2409">
        <w:rPr>
          <w:rFonts w:ascii="Arial" w:hAnsi="Arial" w:cs="Arial"/>
          <w:sz w:val="22"/>
        </w:rPr>
        <w:t>,</w:t>
      </w:r>
      <w:r w:rsidR="0033706B" w:rsidRPr="00FA2409">
        <w:rPr>
          <w:rFonts w:ascii="Arial" w:hAnsi="Arial" w:cs="Arial"/>
          <w:sz w:val="22"/>
        </w:rPr>
        <w:t xml:space="preserve"> en</w:t>
      </w:r>
      <w:r w:rsidR="00893DA8" w:rsidRPr="00FA2409">
        <w:rPr>
          <w:rFonts w:ascii="Arial" w:hAnsi="Arial" w:cs="Arial"/>
          <w:sz w:val="22"/>
        </w:rPr>
        <w:t xml:space="preserve"> las actuaciones c</w:t>
      </w:r>
      <w:r w:rsidR="0033706B" w:rsidRPr="00FA2409">
        <w:rPr>
          <w:rFonts w:ascii="Arial" w:hAnsi="Arial" w:cs="Arial"/>
          <w:sz w:val="22"/>
        </w:rPr>
        <w:t>ontractuales adelantadas por las e</w:t>
      </w:r>
      <w:r w:rsidR="00893DA8" w:rsidRPr="00FA2409">
        <w:rPr>
          <w:rFonts w:ascii="Arial" w:hAnsi="Arial" w:cs="Arial"/>
          <w:sz w:val="22"/>
        </w:rPr>
        <w:t>ntidades estatales</w:t>
      </w:r>
      <w:r w:rsidR="0050419F" w:rsidRPr="00FA2409">
        <w:rPr>
          <w:rFonts w:ascii="Arial" w:hAnsi="Arial" w:cs="Arial"/>
          <w:sz w:val="22"/>
        </w:rPr>
        <w:t>,</w:t>
      </w:r>
      <w:r w:rsidR="00FD5B88" w:rsidRPr="00FA2409">
        <w:rPr>
          <w:rFonts w:ascii="Arial" w:hAnsi="Arial" w:cs="Arial"/>
          <w:sz w:val="22"/>
        </w:rPr>
        <w:t xml:space="preserve"> participación qu</w:t>
      </w:r>
      <w:r w:rsidR="006F5F94" w:rsidRPr="00FA2409">
        <w:rPr>
          <w:rFonts w:ascii="Arial" w:hAnsi="Arial" w:cs="Arial"/>
          <w:sz w:val="22"/>
        </w:rPr>
        <w:t xml:space="preserve">e se materializa en la oportunidad que se concede a aquellos para </w:t>
      </w:r>
      <w:r w:rsidR="00440254" w:rsidRPr="00FA2409">
        <w:rPr>
          <w:rFonts w:ascii="Arial" w:hAnsi="Arial" w:cs="Arial"/>
          <w:sz w:val="22"/>
        </w:rPr>
        <w:t>presentar</w:t>
      </w:r>
      <w:r w:rsidR="006F5F94" w:rsidRPr="00FA2409">
        <w:rPr>
          <w:rFonts w:ascii="Arial" w:hAnsi="Arial" w:cs="Arial"/>
          <w:sz w:val="22"/>
        </w:rPr>
        <w:t xml:space="preserve"> observaciones </w:t>
      </w:r>
      <w:r w:rsidR="006F3AD0" w:rsidRPr="00FA2409">
        <w:rPr>
          <w:rFonts w:ascii="Arial" w:hAnsi="Arial" w:cs="Arial"/>
          <w:sz w:val="22"/>
        </w:rPr>
        <w:t xml:space="preserve">en las distintas </w:t>
      </w:r>
      <w:r w:rsidR="006F05AE" w:rsidRPr="00FA2409">
        <w:rPr>
          <w:rFonts w:ascii="Arial" w:hAnsi="Arial" w:cs="Arial"/>
          <w:sz w:val="22"/>
        </w:rPr>
        <w:t xml:space="preserve">etapas </w:t>
      </w:r>
      <w:r w:rsidR="00B60E21" w:rsidRPr="00FA2409">
        <w:rPr>
          <w:rFonts w:ascii="Arial" w:hAnsi="Arial" w:cs="Arial"/>
          <w:sz w:val="22"/>
        </w:rPr>
        <w:t xml:space="preserve">o fases </w:t>
      </w:r>
      <w:r w:rsidR="002507A6" w:rsidRPr="00FA2409">
        <w:rPr>
          <w:rFonts w:ascii="Arial" w:hAnsi="Arial" w:cs="Arial"/>
          <w:sz w:val="22"/>
        </w:rPr>
        <w:t xml:space="preserve">del proceso </w:t>
      </w:r>
      <w:r w:rsidR="00B60E21" w:rsidRPr="00FA2409">
        <w:rPr>
          <w:rFonts w:ascii="Arial" w:hAnsi="Arial" w:cs="Arial"/>
          <w:sz w:val="22"/>
        </w:rPr>
        <w:t>que culmina con la celebración del contrato estatal.</w:t>
      </w:r>
    </w:p>
    <w:p w14:paraId="0C59D189" w14:textId="3B93B0BE" w:rsidR="00105AA5" w:rsidRPr="00FA2409" w:rsidRDefault="00B44C6B" w:rsidP="00B44C6B">
      <w:pPr>
        <w:spacing w:line="276" w:lineRule="auto"/>
        <w:jc w:val="both"/>
        <w:rPr>
          <w:rFonts w:ascii="Arial" w:hAnsi="Arial" w:cs="Arial"/>
          <w:sz w:val="22"/>
        </w:rPr>
      </w:pPr>
      <w:r w:rsidRPr="00FA2409">
        <w:rPr>
          <w:rFonts w:ascii="Arial" w:hAnsi="Arial" w:cs="Arial"/>
          <w:sz w:val="22"/>
        </w:rPr>
        <w:lastRenderedPageBreak/>
        <w:tab/>
        <w:t>Ahora bien, uno de los hitos del proceso de contratación respecto del cual resulta importante la posibilidad de realizar observaciones, es la expedición del pliego de condiciones. Al respecto, l</w:t>
      </w:r>
      <w:r w:rsidR="006B5BFE" w:rsidRPr="00FA2409">
        <w:rPr>
          <w:rFonts w:ascii="Arial" w:hAnsi="Arial" w:cs="Arial"/>
          <w:sz w:val="22"/>
        </w:rPr>
        <w:t>a Ley 1150 de 2007</w:t>
      </w:r>
      <w:r w:rsidR="005C0FEE" w:rsidRPr="00FA2409">
        <w:rPr>
          <w:rStyle w:val="Refdenotaalpie"/>
          <w:rFonts w:ascii="Arial" w:hAnsi="Arial" w:cs="Arial"/>
          <w:sz w:val="22"/>
        </w:rPr>
        <w:footnoteReference w:id="26"/>
      </w:r>
      <w:r w:rsidR="00F851BD" w:rsidRPr="00FA2409">
        <w:rPr>
          <w:rFonts w:ascii="Arial" w:hAnsi="Arial" w:cs="Arial"/>
          <w:sz w:val="22"/>
        </w:rPr>
        <w:t xml:space="preserve"> estableció en el artículo 8</w:t>
      </w:r>
      <w:r w:rsidR="006B5BFE" w:rsidRPr="00FA2409">
        <w:rPr>
          <w:rFonts w:ascii="Arial" w:hAnsi="Arial" w:cs="Arial"/>
          <w:sz w:val="22"/>
        </w:rPr>
        <w:t xml:space="preserve"> la obligación de las entidades estatales de publicar </w:t>
      </w:r>
      <w:r w:rsidR="005C0FEE" w:rsidRPr="00FA2409">
        <w:rPr>
          <w:rFonts w:ascii="Arial" w:hAnsi="Arial" w:cs="Arial"/>
          <w:sz w:val="22"/>
        </w:rPr>
        <w:t>el proyecto de pliego de condiciones o su documento equivalente</w:t>
      </w:r>
      <w:r w:rsidR="00F851BD" w:rsidRPr="00FA2409">
        <w:rPr>
          <w:rFonts w:ascii="Arial" w:hAnsi="Arial" w:cs="Arial"/>
          <w:sz w:val="22"/>
        </w:rPr>
        <w:t>,</w:t>
      </w:r>
      <w:r w:rsidR="00E45D0D" w:rsidRPr="00FA2409">
        <w:rPr>
          <w:rFonts w:ascii="Arial" w:hAnsi="Arial" w:cs="Arial"/>
          <w:sz w:val="22"/>
        </w:rPr>
        <w:t xml:space="preserve"> con el único propósito</w:t>
      </w:r>
      <w:r w:rsidR="00A211FC" w:rsidRPr="00FA2409">
        <w:rPr>
          <w:rFonts w:ascii="Arial" w:hAnsi="Arial" w:cs="Arial"/>
          <w:sz w:val="22"/>
        </w:rPr>
        <w:t xml:space="preserve"> de</w:t>
      </w:r>
      <w:r w:rsidR="00E45D0D" w:rsidRPr="00FA2409">
        <w:rPr>
          <w:rFonts w:ascii="Arial" w:hAnsi="Arial" w:cs="Arial"/>
          <w:sz w:val="22"/>
        </w:rPr>
        <w:t xml:space="preserve"> que el público en general </w:t>
      </w:r>
      <w:r w:rsidR="000A797D" w:rsidRPr="00FA2409">
        <w:rPr>
          <w:rFonts w:ascii="Arial" w:hAnsi="Arial" w:cs="Arial"/>
          <w:sz w:val="22"/>
        </w:rPr>
        <w:t xml:space="preserve">pueda </w:t>
      </w:r>
      <w:r w:rsidR="00593B1E" w:rsidRPr="00FA2409">
        <w:rPr>
          <w:rFonts w:ascii="Arial" w:hAnsi="Arial" w:cs="Arial"/>
          <w:sz w:val="22"/>
        </w:rPr>
        <w:t>presentar</w:t>
      </w:r>
      <w:r w:rsidR="000A797D" w:rsidRPr="00FA2409">
        <w:rPr>
          <w:rFonts w:ascii="Arial" w:hAnsi="Arial" w:cs="Arial"/>
          <w:sz w:val="22"/>
        </w:rPr>
        <w:t xml:space="preserve"> las observaciones que estime pertinentes</w:t>
      </w:r>
      <w:r w:rsidR="00033CF0" w:rsidRPr="00FA2409">
        <w:rPr>
          <w:rFonts w:ascii="Arial" w:hAnsi="Arial" w:cs="Arial"/>
          <w:sz w:val="22"/>
        </w:rPr>
        <w:t>.</w:t>
      </w:r>
      <w:r w:rsidR="00BC2896" w:rsidRPr="00FA2409">
        <w:rPr>
          <w:rFonts w:ascii="Arial" w:hAnsi="Arial" w:cs="Arial"/>
          <w:sz w:val="22"/>
        </w:rPr>
        <w:t xml:space="preserve"> Esa misma disposición también consagra la obligación de las entidades estatales de pronunciarse sobre las observaciones </w:t>
      </w:r>
      <w:r w:rsidR="004B6480" w:rsidRPr="00FA2409">
        <w:rPr>
          <w:rFonts w:ascii="Arial" w:hAnsi="Arial" w:cs="Arial"/>
          <w:sz w:val="22"/>
        </w:rPr>
        <w:t>presentadas, pronunciamiento que deberá ser motivado ya sea para acogerlas</w:t>
      </w:r>
      <w:r w:rsidR="00DC37CA" w:rsidRPr="00FA2409">
        <w:rPr>
          <w:rFonts w:ascii="Arial" w:hAnsi="Arial" w:cs="Arial"/>
          <w:sz w:val="22"/>
        </w:rPr>
        <w:t xml:space="preserve"> o para rechazarlas.</w:t>
      </w:r>
    </w:p>
    <w:p w14:paraId="318CB90B" w14:textId="63A2739C" w:rsidR="00593B1E" w:rsidRPr="00FA2409" w:rsidRDefault="00EB4C32" w:rsidP="00CB55AE">
      <w:pPr>
        <w:spacing w:before="120" w:after="120" w:line="276" w:lineRule="auto"/>
        <w:ind w:firstLine="709"/>
        <w:jc w:val="both"/>
        <w:rPr>
          <w:rFonts w:ascii="Arial" w:hAnsi="Arial" w:cs="Arial"/>
          <w:sz w:val="22"/>
        </w:rPr>
      </w:pPr>
      <w:r w:rsidRPr="00FA2409">
        <w:rPr>
          <w:rFonts w:ascii="Arial" w:hAnsi="Arial" w:cs="Arial"/>
          <w:sz w:val="22"/>
        </w:rPr>
        <w:t>Por su parte, el Decreto 1082 de 2015</w:t>
      </w:r>
      <w:r w:rsidR="008B6C27" w:rsidRPr="00FA2409">
        <w:rPr>
          <w:rFonts w:ascii="Arial" w:hAnsi="Arial" w:cs="Arial"/>
          <w:sz w:val="22"/>
        </w:rPr>
        <w:t>,</w:t>
      </w:r>
      <w:r w:rsidR="00334F3C" w:rsidRPr="00FA2409">
        <w:rPr>
          <w:rFonts w:ascii="Arial" w:hAnsi="Arial" w:cs="Arial"/>
          <w:sz w:val="22"/>
        </w:rPr>
        <w:t xml:space="preserve"> en relación con </w:t>
      </w:r>
      <w:r w:rsidR="00500B75" w:rsidRPr="00FA2409">
        <w:rPr>
          <w:rFonts w:ascii="Arial" w:hAnsi="Arial" w:cs="Arial"/>
          <w:sz w:val="22"/>
        </w:rPr>
        <w:t>esta</w:t>
      </w:r>
      <w:r w:rsidR="00334F3C" w:rsidRPr="00FA2409">
        <w:rPr>
          <w:rFonts w:ascii="Arial" w:hAnsi="Arial" w:cs="Arial"/>
          <w:sz w:val="22"/>
        </w:rPr>
        <w:t xml:space="preserve"> obligación</w:t>
      </w:r>
      <w:r w:rsidR="008B6C27" w:rsidRPr="00FA2409">
        <w:rPr>
          <w:rFonts w:ascii="Arial" w:hAnsi="Arial" w:cs="Arial"/>
          <w:sz w:val="22"/>
        </w:rPr>
        <w:t>,</w:t>
      </w:r>
      <w:r w:rsidR="00334F3C" w:rsidRPr="00FA2409">
        <w:rPr>
          <w:rFonts w:ascii="Arial" w:hAnsi="Arial" w:cs="Arial"/>
          <w:sz w:val="22"/>
        </w:rPr>
        <w:t xml:space="preserve"> </w:t>
      </w:r>
      <w:r w:rsidR="00550EE5" w:rsidRPr="00FA2409">
        <w:rPr>
          <w:rFonts w:ascii="Arial" w:hAnsi="Arial" w:cs="Arial"/>
          <w:sz w:val="22"/>
        </w:rPr>
        <w:t xml:space="preserve">precisó en el </w:t>
      </w:r>
      <w:r w:rsidR="0082279C" w:rsidRPr="00FA2409">
        <w:rPr>
          <w:rFonts w:ascii="Arial" w:hAnsi="Arial" w:cs="Arial"/>
          <w:sz w:val="22"/>
        </w:rPr>
        <w:t xml:space="preserve">inciso 2 del </w:t>
      </w:r>
      <w:r w:rsidR="00550EE5" w:rsidRPr="00FA2409">
        <w:rPr>
          <w:rFonts w:ascii="Arial" w:hAnsi="Arial" w:cs="Arial"/>
          <w:sz w:val="22"/>
        </w:rPr>
        <w:t xml:space="preserve">artículo 2.2.1.1.1.7.1. que «[…] </w:t>
      </w:r>
      <w:r w:rsidR="005D1784" w:rsidRPr="00FA2409">
        <w:rPr>
          <w:rFonts w:ascii="Arial" w:hAnsi="Arial" w:cs="Arial"/>
          <w:sz w:val="22"/>
        </w:rPr>
        <w:t xml:space="preserve">La Entidad Estatal está obligada a publicar oportunamente el aviso de convocatoria o la invitación en los </w:t>
      </w:r>
      <w:r w:rsidR="005D61AD" w:rsidRPr="00FA2409">
        <w:rPr>
          <w:rFonts w:ascii="Arial" w:hAnsi="Arial" w:cs="Arial"/>
          <w:sz w:val="22"/>
        </w:rPr>
        <w:t>p</w:t>
      </w:r>
      <w:r w:rsidR="005D1784" w:rsidRPr="00FA2409">
        <w:rPr>
          <w:rFonts w:ascii="Arial" w:hAnsi="Arial" w:cs="Arial"/>
          <w:sz w:val="22"/>
        </w:rPr>
        <w:t xml:space="preserve">rocesos de </w:t>
      </w:r>
      <w:r w:rsidR="005D61AD" w:rsidRPr="00FA2409">
        <w:rPr>
          <w:rFonts w:ascii="Arial" w:hAnsi="Arial" w:cs="Arial"/>
          <w:sz w:val="22"/>
        </w:rPr>
        <w:t>c</w:t>
      </w:r>
      <w:r w:rsidR="005D1784" w:rsidRPr="00FA2409">
        <w:rPr>
          <w:rFonts w:ascii="Arial" w:hAnsi="Arial" w:cs="Arial"/>
          <w:sz w:val="22"/>
        </w:rPr>
        <w:t xml:space="preserve">ontratación de mínima cuantía y </w:t>
      </w:r>
      <w:r w:rsidR="005D1784" w:rsidRPr="00FA2409">
        <w:rPr>
          <w:rFonts w:ascii="Arial" w:hAnsi="Arial" w:cs="Arial"/>
          <w:i/>
          <w:iCs/>
          <w:sz w:val="22"/>
        </w:rPr>
        <w:t>el proyecto de pliegos de condiciones</w:t>
      </w:r>
      <w:r w:rsidR="005D1784" w:rsidRPr="00FA2409">
        <w:rPr>
          <w:rFonts w:ascii="Arial" w:hAnsi="Arial" w:cs="Arial"/>
          <w:sz w:val="22"/>
        </w:rPr>
        <w:t xml:space="preserve"> en el </w:t>
      </w:r>
      <w:proofErr w:type="spellStart"/>
      <w:r w:rsidR="005D1784" w:rsidRPr="00FA2409">
        <w:rPr>
          <w:rFonts w:ascii="Arial" w:hAnsi="Arial" w:cs="Arial"/>
          <w:sz w:val="22"/>
        </w:rPr>
        <w:t>Secop</w:t>
      </w:r>
      <w:proofErr w:type="spellEnd"/>
      <w:r w:rsidR="005D1784" w:rsidRPr="00FA2409">
        <w:rPr>
          <w:rFonts w:ascii="Arial" w:hAnsi="Arial" w:cs="Arial"/>
          <w:sz w:val="22"/>
        </w:rPr>
        <w:t xml:space="preserve"> para que los interesados en el Proceso de Contratación puedan presentar observaciones o solicitar aclaraciones en el término previsto para el efecto […]</w:t>
      </w:r>
      <w:r w:rsidR="0037224F" w:rsidRPr="00FA2409">
        <w:rPr>
          <w:rFonts w:ascii="Arial" w:hAnsi="Arial" w:cs="Arial"/>
          <w:sz w:val="22"/>
        </w:rPr>
        <w:t>»</w:t>
      </w:r>
      <w:r w:rsidR="0082279C" w:rsidRPr="00FA2409">
        <w:rPr>
          <w:rFonts w:ascii="Arial" w:hAnsi="Arial" w:cs="Arial"/>
          <w:sz w:val="22"/>
        </w:rPr>
        <w:t>. (Cursiva fuera texto)</w:t>
      </w:r>
      <w:r w:rsidR="00B728A5" w:rsidRPr="00FA2409">
        <w:rPr>
          <w:rFonts w:ascii="Arial" w:hAnsi="Arial" w:cs="Arial"/>
          <w:sz w:val="22"/>
        </w:rPr>
        <w:t>.</w:t>
      </w:r>
    </w:p>
    <w:p w14:paraId="0C7160F5" w14:textId="07B4739A" w:rsidR="008B5052" w:rsidRPr="00FA2409" w:rsidRDefault="00B728A5" w:rsidP="00CB55AE">
      <w:pPr>
        <w:spacing w:before="120" w:after="120" w:line="276" w:lineRule="auto"/>
        <w:ind w:firstLine="709"/>
        <w:jc w:val="both"/>
        <w:rPr>
          <w:rFonts w:ascii="Arial" w:hAnsi="Arial" w:cs="Arial"/>
          <w:sz w:val="22"/>
        </w:rPr>
      </w:pPr>
      <w:r w:rsidRPr="00FA2409">
        <w:rPr>
          <w:rFonts w:ascii="Arial" w:hAnsi="Arial" w:cs="Arial"/>
          <w:sz w:val="22"/>
        </w:rPr>
        <w:t>En relación con el proceso de</w:t>
      </w:r>
      <w:r w:rsidR="002F707C" w:rsidRPr="00FA2409">
        <w:rPr>
          <w:rFonts w:ascii="Arial" w:hAnsi="Arial" w:cs="Arial"/>
          <w:sz w:val="22"/>
        </w:rPr>
        <w:t xml:space="preserve"> selección de</w:t>
      </w:r>
      <w:r w:rsidRPr="00FA2409">
        <w:rPr>
          <w:rFonts w:ascii="Arial" w:hAnsi="Arial" w:cs="Arial"/>
          <w:sz w:val="22"/>
        </w:rPr>
        <w:t xml:space="preserve"> </w:t>
      </w:r>
      <w:r w:rsidRPr="00FA2409">
        <w:rPr>
          <w:rFonts w:ascii="Arial" w:hAnsi="Arial" w:cs="Arial"/>
          <w:i/>
          <w:iCs/>
          <w:sz w:val="22"/>
        </w:rPr>
        <w:t>mínima cuantía</w:t>
      </w:r>
      <w:r w:rsidRPr="00FA2409">
        <w:rPr>
          <w:rFonts w:ascii="Arial" w:hAnsi="Arial" w:cs="Arial"/>
          <w:sz w:val="22"/>
        </w:rPr>
        <w:t>, el a</w:t>
      </w:r>
      <w:r w:rsidR="008B5052" w:rsidRPr="00FA2409">
        <w:rPr>
          <w:rFonts w:ascii="Arial" w:hAnsi="Arial" w:cs="Arial"/>
          <w:sz w:val="22"/>
        </w:rPr>
        <w:t xml:space="preserve">rtículo 2.2.1.2.1.5.2. del Decreto 1082 de 2015, dispuso que la entidad deberá realizar una «invitación a participar en procesos de mínima cuantía», por supuesto, luego de </w:t>
      </w:r>
      <w:r w:rsidR="008837C5">
        <w:rPr>
          <w:rFonts w:ascii="Arial" w:hAnsi="Arial" w:cs="Arial"/>
          <w:sz w:val="22"/>
        </w:rPr>
        <w:t>realizar</w:t>
      </w:r>
      <w:r w:rsidR="008B5052" w:rsidRPr="00FA2409">
        <w:rPr>
          <w:rFonts w:ascii="Arial" w:hAnsi="Arial" w:cs="Arial"/>
          <w:sz w:val="22"/>
        </w:rPr>
        <w:t xml:space="preserve"> los «estudios previos para la contratación de mínima cuantía»</w:t>
      </w:r>
      <w:r w:rsidR="007B024B" w:rsidRPr="00FA2409">
        <w:rPr>
          <w:rFonts w:ascii="Arial" w:hAnsi="Arial" w:cs="Arial"/>
          <w:sz w:val="22"/>
        </w:rPr>
        <w:t>, regulados en el artículo 2.2.1.2.1.5.</w:t>
      </w:r>
      <w:r w:rsidR="00D15F65" w:rsidRPr="00FA2409">
        <w:rPr>
          <w:rFonts w:ascii="Arial" w:hAnsi="Arial" w:cs="Arial"/>
          <w:sz w:val="22"/>
        </w:rPr>
        <w:t>1</w:t>
      </w:r>
      <w:r w:rsidR="007B024B" w:rsidRPr="00FA2409">
        <w:rPr>
          <w:rFonts w:ascii="Arial" w:hAnsi="Arial" w:cs="Arial"/>
          <w:sz w:val="22"/>
        </w:rPr>
        <w:t xml:space="preserve">. </w:t>
      </w:r>
      <w:proofErr w:type="spellStart"/>
      <w:r w:rsidR="007B024B" w:rsidRPr="00FA2409">
        <w:rPr>
          <w:rFonts w:ascii="Arial" w:hAnsi="Arial" w:cs="Arial"/>
          <w:i/>
          <w:iCs/>
          <w:sz w:val="22"/>
        </w:rPr>
        <w:t>ibídem</w:t>
      </w:r>
      <w:proofErr w:type="spellEnd"/>
      <w:r w:rsidR="008B5052" w:rsidRPr="00FA2409">
        <w:rPr>
          <w:rFonts w:ascii="Arial" w:hAnsi="Arial" w:cs="Arial"/>
          <w:sz w:val="22"/>
        </w:rPr>
        <w:t xml:space="preserve">. </w:t>
      </w:r>
      <w:r w:rsidR="00B44C6B" w:rsidRPr="00FA2409">
        <w:rPr>
          <w:rFonts w:ascii="Arial" w:hAnsi="Arial" w:cs="Arial"/>
          <w:sz w:val="22"/>
        </w:rPr>
        <w:t xml:space="preserve"> </w:t>
      </w:r>
      <w:r w:rsidR="008F7FD6" w:rsidRPr="005A452D">
        <w:rPr>
          <w:rFonts w:ascii="Arial" w:hAnsi="Arial" w:cs="Arial"/>
          <w:sz w:val="22"/>
        </w:rPr>
        <w:t>La norma referida t</w:t>
      </w:r>
      <w:r w:rsidR="008B5052" w:rsidRPr="005A452D">
        <w:rPr>
          <w:rFonts w:ascii="Arial" w:hAnsi="Arial" w:cs="Arial"/>
          <w:sz w:val="22"/>
        </w:rPr>
        <w:t>ambién establece que la invitación debe hacerse por el término mínimo de un día, término durante el cual los proponentes podrá</w:t>
      </w:r>
      <w:r w:rsidR="007F6B5F" w:rsidRPr="005A452D">
        <w:rPr>
          <w:rFonts w:ascii="Arial" w:hAnsi="Arial" w:cs="Arial"/>
          <w:sz w:val="22"/>
        </w:rPr>
        <w:t>n</w:t>
      </w:r>
      <w:r w:rsidR="008B5052" w:rsidRPr="005A452D">
        <w:rPr>
          <w:rFonts w:ascii="Arial" w:hAnsi="Arial" w:cs="Arial"/>
          <w:sz w:val="22"/>
        </w:rPr>
        <w:t>, por un lado, presentar observaciones y comentarios a la «invitación» y, por el otro, presentar sus propuestas. De todos modos, la entidad tendrá que responder las observaciones y comentarios antes del vencimiento del plazo para presentar ofertas, el cual</w:t>
      </w:r>
      <w:r w:rsidR="007F6B5F" w:rsidRPr="005A452D">
        <w:rPr>
          <w:rFonts w:ascii="Arial" w:hAnsi="Arial" w:cs="Arial"/>
          <w:sz w:val="22"/>
        </w:rPr>
        <w:t xml:space="preserve"> es concomitante con el de la presentación de las observaciones y comentarios, salvo cuando la entidad establezca un cronograma</w:t>
      </w:r>
      <w:r w:rsidR="00BA03B1" w:rsidRPr="005A452D">
        <w:rPr>
          <w:rFonts w:ascii="Arial" w:hAnsi="Arial" w:cs="Arial"/>
          <w:sz w:val="22"/>
        </w:rPr>
        <w:t>,</w:t>
      </w:r>
      <w:r w:rsidR="007F6B5F" w:rsidRPr="005A452D">
        <w:rPr>
          <w:rFonts w:ascii="Arial" w:hAnsi="Arial" w:cs="Arial"/>
          <w:sz w:val="22"/>
        </w:rPr>
        <w:t xml:space="preserve"> separando cada una de las etapas del proceso</w:t>
      </w:r>
      <w:r w:rsidR="008B5052" w:rsidRPr="005A452D">
        <w:rPr>
          <w:rFonts w:ascii="Arial" w:hAnsi="Arial" w:cs="Arial"/>
          <w:sz w:val="22"/>
        </w:rPr>
        <w:t>, sin que</w:t>
      </w:r>
      <w:r w:rsidR="000006E2" w:rsidRPr="005A452D">
        <w:rPr>
          <w:rFonts w:ascii="Arial" w:hAnsi="Arial" w:cs="Arial"/>
          <w:sz w:val="22"/>
        </w:rPr>
        <w:t>,</w:t>
      </w:r>
      <w:r w:rsidR="008B5052" w:rsidRPr="005A452D">
        <w:rPr>
          <w:rFonts w:ascii="Arial" w:hAnsi="Arial" w:cs="Arial"/>
          <w:sz w:val="22"/>
        </w:rPr>
        <w:t xml:space="preserve"> en ningún caso</w:t>
      </w:r>
      <w:r w:rsidR="007F6B5F" w:rsidRPr="005A452D">
        <w:rPr>
          <w:rFonts w:ascii="Arial" w:hAnsi="Arial" w:cs="Arial"/>
          <w:sz w:val="22"/>
        </w:rPr>
        <w:t>, se itera,</w:t>
      </w:r>
      <w:r w:rsidR="008B5052" w:rsidRPr="005A452D">
        <w:rPr>
          <w:rFonts w:ascii="Arial" w:hAnsi="Arial" w:cs="Arial"/>
          <w:sz w:val="22"/>
        </w:rPr>
        <w:t xml:space="preserve"> pueda ser inferior a un día hábil</w:t>
      </w:r>
      <w:r w:rsidR="006233C8" w:rsidRPr="005A452D">
        <w:rPr>
          <w:rFonts w:ascii="Arial" w:hAnsi="Arial" w:cs="Arial"/>
          <w:sz w:val="22"/>
        </w:rPr>
        <w:t xml:space="preserve"> el plazo fijado</w:t>
      </w:r>
      <w:r w:rsidR="008B5052" w:rsidRPr="005A452D">
        <w:rPr>
          <w:rFonts w:ascii="Arial" w:hAnsi="Arial" w:cs="Arial"/>
          <w:sz w:val="22"/>
        </w:rPr>
        <w:t xml:space="preserve">. En </w:t>
      </w:r>
      <w:r w:rsidR="007F6B5F" w:rsidRPr="005A452D">
        <w:rPr>
          <w:rFonts w:ascii="Arial" w:hAnsi="Arial" w:cs="Arial"/>
          <w:sz w:val="22"/>
        </w:rPr>
        <w:t xml:space="preserve">todo caso, como no es obligatorio fijar un cronograma, </w:t>
      </w:r>
      <w:r w:rsidR="006233C8" w:rsidRPr="005A452D">
        <w:rPr>
          <w:rFonts w:ascii="Arial" w:hAnsi="Arial" w:cs="Arial"/>
          <w:sz w:val="22"/>
        </w:rPr>
        <w:t>resulta</w:t>
      </w:r>
      <w:r w:rsidR="007F6B5F" w:rsidRPr="005A452D">
        <w:rPr>
          <w:rFonts w:ascii="Arial" w:hAnsi="Arial" w:cs="Arial"/>
          <w:sz w:val="22"/>
        </w:rPr>
        <w:t xml:space="preserve"> válido que las dos etapas se adelante</w:t>
      </w:r>
      <w:r w:rsidR="007B024B" w:rsidRPr="005A452D">
        <w:rPr>
          <w:rFonts w:ascii="Arial" w:hAnsi="Arial" w:cs="Arial"/>
          <w:sz w:val="22"/>
        </w:rPr>
        <w:t>n</w:t>
      </w:r>
      <w:r w:rsidR="007F6B5F" w:rsidRPr="005A452D">
        <w:rPr>
          <w:rFonts w:ascii="Arial" w:hAnsi="Arial" w:cs="Arial"/>
          <w:sz w:val="22"/>
        </w:rPr>
        <w:t xml:space="preserve"> en un mismo término.</w:t>
      </w:r>
    </w:p>
    <w:p w14:paraId="024C5CB9" w14:textId="56D0830B" w:rsidR="007F6B5F" w:rsidRPr="00FA2409" w:rsidRDefault="007F6B5F" w:rsidP="007F6B5F">
      <w:pPr>
        <w:spacing w:before="120" w:after="120" w:line="276" w:lineRule="auto"/>
        <w:ind w:firstLine="709"/>
        <w:jc w:val="both"/>
        <w:rPr>
          <w:rFonts w:ascii="Arial" w:hAnsi="Arial" w:cs="Arial"/>
          <w:sz w:val="22"/>
        </w:rPr>
      </w:pPr>
      <w:r w:rsidRPr="00FA2409">
        <w:rPr>
          <w:rFonts w:ascii="Arial" w:hAnsi="Arial" w:cs="Arial"/>
          <w:sz w:val="22"/>
        </w:rPr>
        <w:lastRenderedPageBreak/>
        <w:t>La</w:t>
      </w:r>
      <w:r w:rsidR="008B5052" w:rsidRPr="00FA2409">
        <w:rPr>
          <w:rFonts w:ascii="Arial" w:hAnsi="Arial" w:cs="Arial"/>
          <w:sz w:val="22"/>
        </w:rPr>
        <w:t xml:space="preserve"> Agencia Nacional de Contratación Pública considera </w:t>
      </w:r>
      <w:r w:rsidRPr="00FA2409">
        <w:rPr>
          <w:rFonts w:ascii="Arial" w:hAnsi="Arial" w:cs="Arial"/>
          <w:sz w:val="22"/>
        </w:rPr>
        <w:t xml:space="preserve">que es </w:t>
      </w:r>
      <w:r w:rsidR="008B5052" w:rsidRPr="00FA2409">
        <w:rPr>
          <w:rFonts w:ascii="Arial" w:hAnsi="Arial" w:cs="Arial"/>
          <w:sz w:val="22"/>
        </w:rPr>
        <w:t xml:space="preserve">una práctica sana que las entidades públicas establezcan un cronograma </w:t>
      </w:r>
      <w:r w:rsidRPr="00FA2409">
        <w:rPr>
          <w:rFonts w:ascii="Arial" w:hAnsi="Arial" w:cs="Arial"/>
          <w:sz w:val="22"/>
        </w:rPr>
        <w:t>al publicar la «invitación» en los procesos de mínima cuantía</w:t>
      </w:r>
      <w:r w:rsidR="008B5052" w:rsidRPr="00FA2409">
        <w:rPr>
          <w:rFonts w:ascii="Arial" w:hAnsi="Arial" w:cs="Arial"/>
          <w:sz w:val="22"/>
        </w:rPr>
        <w:t>, pese a que</w:t>
      </w:r>
      <w:r w:rsidR="000006E2" w:rsidRPr="00FA2409">
        <w:rPr>
          <w:rFonts w:ascii="Arial" w:hAnsi="Arial" w:cs="Arial"/>
          <w:sz w:val="22"/>
        </w:rPr>
        <w:t>, como ya se dijo,</w:t>
      </w:r>
      <w:r w:rsidR="008B5052" w:rsidRPr="00FA2409">
        <w:rPr>
          <w:rFonts w:ascii="Arial" w:hAnsi="Arial" w:cs="Arial"/>
          <w:sz w:val="22"/>
        </w:rPr>
        <w:t xml:space="preserve"> esto no sea obligatorio, ya que lo único que, por disposición </w:t>
      </w:r>
      <w:r w:rsidRPr="00FA2409">
        <w:rPr>
          <w:rFonts w:ascii="Arial" w:hAnsi="Arial" w:cs="Arial"/>
          <w:sz w:val="22"/>
        </w:rPr>
        <w:t xml:space="preserve">del numeral 1 del artículo 2.2.1.2.1.5.2. del Decreto 1082 de 2015, </w:t>
      </w:r>
      <w:r w:rsidR="008B5052" w:rsidRPr="00FA2409">
        <w:rPr>
          <w:rFonts w:ascii="Arial" w:hAnsi="Arial" w:cs="Arial"/>
          <w:sz w:val="22"/>
        </w:rPr>
        <w:t>debe tener la «invitación» es</w:t>
      </w:r>
      <w:r w:rsidRPr="00FA2409">
        <w:rPr>
          <w:rFonts w:ascii="Arial" w:hAnsi="Arial" w:cs="Arial"/>
          <w:sz w:val="22"/>
        </w:rPr>
        <w:t xml:space="preserve">: i) la descripción del objeto a contratar identificado con el cuarto nivel del Clasificador de Bienes y Servicios; </w:t>
      </w:r>
      <w:proofErr w:type="spellStart"/>
      <w:r w:rsidRPr="00FA2409">
        <w:rPr>
          <w:rFonts w:ascii="Arial" w:hAnsi="Arial" w:cs="Arial"/>
          <w:sz w:val="22"/>
        </w:rPr>
        <w:t>ii</w:t>
      </w:r>
      <w:proofErr w:type="spellEnd"/>
      <w:r w:rsidRPr="00FA2409">
        <w:rPr>
          <w:rFonts w:ascii="Arial" w:hAnsi="Arial" w:cs="Arial"/>
          <w:sz w:val="22"/>
        </w:rPr>
        <w:t xml:space="preserve">) las condiciones técnicas exigidas; </w:t>
      </w:r>
      <w:proofErr w:type="spellStart"/>
      <w:r w:rsidRPr="00FA2409">
        <w:rPr>
          <w:rFonts w:ascii="Arial" w:hAnsi="Arial" w:cs="Arial"/>
          <w:sz w:val="22"/>
        </w:rPr>
        <w:t>iii</w:t>
      </w:r>
      <w:proofErr w:type="spellEnd"/>
      <w:r w:rsidRPr="00FA2409">
        <w:rPr>
          <w:rFonts w:ascii="Arial" w:hAnsi="Arial" w:cs="Arial"/>
          <w:sz w:val="22"/>
        </w:rPr>
        <w:t xml:space="preserve">) el valor estimado del contrato y su justificación; y </w:t>
      </w:r>
      <w:proofErr w:type="spellStart"/>
      <w:r w:rsidRPr="00FA2409">
        <w:rPr>
          <w:rFonts w:ascii="Arial" w:hAnsi="Arial" w:cs="Arial"/>
          <w:sz w:val="22"/>
        </w:rPr>
        <w:t>iv</w:t>
      </w:r>
      <w:proofErr w:type="spellEnd"/>
      <w:r w:rsidRPr="00FA2409">
        <w:rPr>
          <w:rFonts w:ascii="Arial" w:hAnsi="Arial" w:cs="Arial"/>
          <w:sz w:val="22"/>
        </w:rPr>
        <w:t>) la forma como el interesado debe acreditar su capacidad jurídica y la experiencia mínima, si se exige esta última, y el cumplimiento de las condiciones técnicas exigidas</w:t>
      </w:r>
      <w:r w:rsidR="00CA0838" w:rsidRPr="00FA2409">
        <w:rPr>
          <w:rFonts w:ascii="Arial" w:hAnsi="Arial" w:cs="Arial"/>
          <w:sz w:val="22"/>
        </w:rPr>
        <w:t>.</w:t>
      </w:r>
    </w:p>
    <w:p w14:paraId="08930A40" w14:textId="076D909A" w:rsidR="00634D73" w:rsidRPr="00FA2409" w:rsidRDefault="00CA0838" w:rsidP="0044603A">
      <w:pPr>
        <w:spacing w:before="120" w:after="120" w:line="276" w:lineRule="auto"/>
        <w:ind w:firstLine="709"/>
        <w:jc w:val="both"/>
        <w:rPr>
          <w:rFonts w:ascii="Arial" w:hAnsi="Arial" w:cs="Arial"/>
          <w:sz w:val="22"/>
        </w:rPr>
      </w:pPr>
      <w:r w:rsidRPr="00FA2409">
        <w:rPr>
          <w:rFonts w:ascii="Arial" w:hAnsi="Arial" w:cs="Arial"/>
          <w:sz w:val="22"/>
        </w:rPr>
        <w:t>Como ya se mencionó las observaciones que sean presentadas a la invitación, deberán ser resueltas por la entidad antes del vencimiento del plazo para presentar ofertas, lo cual implica que, la entidad no podrá</w:t>
      </w:r>
      <w:r w:rsidR="0044603A" w:rsidRPr="00FA2409">
        <w:rPr>
          <w:rFonts w:ascii="Arial" w:hAnsi="Arial" w:cs="Arial"/>
          <w:sz w:val="22"/>
        </w:rPr>
        <w:t xml:space="preserve"> seguir adelante con la siguiente etapa del correspondiente proceso de contratación, si antes no se ha pronunciado sobre las observaciones presentadas. </w:t>
      </w:r>
    </w:p>
    <w:p w14:paraId="2BD24E04" w14:textId="670D45B1" w:rsidR="008004A6" w:rsidRPr="00FA2409" w:rsidRDefault="0044603A">
      <w:pPr>
        <w:spacing w:before="120" w:after="120" w:line="276" w:lineRule="auto"/>
        <w:ind w:firstLine="709"/>
        <w:jc w:val="both"/>
        <w:rPr>
          <w:rFonts w:ascii="Arial" w:hAnsi="Arial" w:cs="Arial"/>
          <w:sz w:val="22"/>
        </w:rPr>
      </w:pPr>
      <w:r w:rsidRPr="00FA2409">
        <w:rPr>
          <w:rFonts w:ascii="Arial" w:hAnsi="Arial" w:cs="Arial"/>
          <w:sz w:val="22"/>
        </w:rPr>
        <w:t xml:space="preserve">¿Qué sucede cuando a causa </w:t>
      </w:r>
      <w:r w:rsidR="008837C5">
        <w:rPr>
          <w:rFonts w:ascii="Arial" w:hAnsi="Arial" w:cs="Arial"/>
          <w:sz w:val="22"/>
        </w:rPr>
        <w:t>de las observaciones</w:t>
      </w:r>
      <w:r w:rsidRPr="00FA2409">
        <w:rPr>
          <w:rFonts w:ascii="Arial" w:hAnsi="Arial" w:cs="Arial"/>
          <w:sz w:val="22"/>
        </w:rPr>
        <w:t xml:space="preserve"> es necesario </w:t>
      </w:r>
      <w:r w:rsidR="008837C5">
        <w:rPr>
          <w:rFonts w:ascii="Arial" w:hAnsi="Arial" w:cs="Arial"/>
          <w:sz w:val="22"/>
        </w:rPr>
        <w:t>modificar</w:t>
      </w:r>
      <w:r w:rsidRPr="00FA2409">
        <w:rPr>
          <w:rFonts w:ascii="Arial" w:hAnsi="Arial" w:cs="Arial"/>
          <w:sz w:val="22"/>
        </w:rPr>
        <w:t xml:space="preserve"> el contenido de la invitación? </w:t>
      </w:r>
      <w:r w:rsidR="001E4683" w:rsidRPr="00FA2409">
        <w:rPr>
          <w:rFonts w:ascii="Arial" w:hAnsi="Arial" w:cs="Arial"/>
          <w:sz w:val="22"/>
        </w:rPr>
        <w:t>Sobre la posibilidad de realizar adendas a la invitación en procesos de mínima cuantía, esta Agencia se pronunci</w:t>
      </w:r>
      <w:r w:rsidR="00B939BE" w:rsidRPr="00FA2409">
        <w:rPr>
          <w:rFonts w:ascii="Arial" w:hAnsi="Arial" w:cs="Arial"/>
          <w:sz w:val="22"/>
        </w:rPr>
        <w:t>ó</w:t>
      </w:r>
      <w:r w:rsidR="001E4683" w:rsidRPr="00FA2409">
        <w:rPr>
          <w:rFonts w:ascii="Arial" w:hAnsi="Arial" w:cs="Arial"/>
          <w:sz w:val="22"/>
        </w:rPr>
        <w:t xml:space="preserve"> en el concepto de radicado No. 2201913000006236 de 26 de agosto de 2019. En dich</w:t>
      </w:r>
      <w:r w:rsidR="00B939BE" w:rsidRPr="00FA2409">
        <w:rPr>
          <w:rFonts w:ascii="Arial" w:hAnsi="Arial" w:cs="Arial"/>
          <w:sz w:val="22"/>
        </w:rPr>
        <w:t>a</w:t>
      </w:r>
      <w:r w:rsidR="001E4683" w:rsidRPr="00FA2409">
        <w:rPr>
          <w:rFonts w:ascii="Arial" w:hAnsi="Arial" w:cs="Arial"/>
          <w:sz w:val="22"/>
        </w:rPr>
        <w:t xml:space="preserve"> </w:t>
      </w:r>
      <w:r w:rsidR="00B939BE" w:rsidRPr="00FA2409">
        <w:rPr>
          <w:rFonts w:ascii="Arial" w:hAnsi="Arial" w:cs="Arial"/>
          <w:sz w:val="22"/>
        </w:rPr>
        <w:t>ocasión</w:t>
      </w:r>
      <w:r w:rsidR="001E4683" w:rsidRPr="00FA2409">
        <w:rPr>
          <w:rFonts w:ascii="Arial" w:hAnsi="Arial" w:cs="Arial"/>
          <w:sz w:val="22"/>
        </w:rPr>
        <w:t xml:space="preserve"> </w:t>
      </w:r>
      <w:r w:rsidR="000C4B7F">
        <w:rPr>
          <w:rFonts w:ascii="Arial" w:hAnsi="Arial" w:cs="Arial"/>
          <w:sz w:val="22"/>
        </w:rPr>
        <w:t xml:space="preserve">explicó </w:t>
      </w:r>
      <w:r w:rsidR="001E4683" w:rsidRPr="00FA2409">
        <w:rPr>
          <w:rFonts w:ascii="Arial" w:hAnsi="Arial" w:cs="Arial"/>
          <w:sz w:val="22"/>
        </w:rPr>
        <w:t>que el artículo 2.2.1.1.2.2.1 del Decreto 1082 de 2015</w:t>
      </w:r>
      <w:r w:rsidR="00B939BE" w:rsidRPr="00FA2409">
        <w:rPr>
          <w:rFonts w:ascii="Arial" w:hAnsi="Arial" w:cs="Arial"/>
          <w:sz w:val="22"/>
          <w:vertAlign w:val="superscript"/>
        </w:rPr>
        <w:footnoteReference w:id="27"/>
      </w:r>
      <w:r w:rsidR="001E4683" w:rsidRPr="00FA2409">
        <w:rPr>
          <w:rFonts w:ascii="Arial" w:hAnsi="Arial" w:cs="Arial"/>
          <w:sz w:val="22"/>
        </w:rPr>
        <w:t xml:space="preserve">, que </w:t>
      </w:r>
      <w:r w:rsidR="008004A6" w:rsidRPr="00FA2409">
        <w:rPr>
          <w:rFonts w:ascii="Arial" w:hAnsi="Arial" w:cs="Arial"/>
          <w:sz w:val="22"/>
        </w:rPr>
        <w:t>regula la posibilidad de realizar adendas a los pliegos de condiciones, es aplicable a</w:t>
      </w:r>
      <w:r w:rsidR="00344743" w:rsidRPr="00FA2409">
        <w:rPr>
          <w:rFonts w:ascii="Arial" w:hAnsi="Arial" w:cs="Arial"/>
          <w:sz w:val="22"/>
        </w:rPr>
        <w:t xml:space="preserve"> todas las modalidades de selección, incluso respecto de</w:t>
      </w:r>
      <w:r w:rsidR="008004A6" w:rsidRPr="00FA2409">
        <w:rPr>
          <w:rFonts w:ascii="Arial" w:hAnsi="Arial" w:cs="Arial"/>
          <w:sz w:val="22"/>
        </w:rPr>
        <w:t xml:space="preserve"> la invitación en</w:t>
      </w:r>
      <w:r w:rsidR="00344743" w:rsidRPr="00FA2409">
        <w:rPr>
          <w:rFonts w:ascii="Arial" w:hAnsi="Arial" w:cs="Arial"/>
          <w:sz w:val="22"/>
        </w:rPr>
        <w:t xml:space="preserve"> la</w:t>
      </w:r>
      <w:r w:rsidR="008004A6" w:rsidRPr="00FA2409">
        <w:rPr>
          <w:rFonts w:ascii="Arial" w:hAnsi="Arial" w:cs="Arial"/>
          <w:sz w:val="22"/>
        </w:rPr>
        <w:t xml:space="preserve"> modalidad de mínima cuantía.  </w:t>
      </w:r>
    </w:p>
    <w:p w14:paraId="199E3C2F" w14:textId="7B3A2ED6" w:rsidR="008004A6" w:rsidRPr="00FA2409" w:rsidRDefault="008004A6" w:rsidP="005F1274">
      <w:pPr>
        <w:spacing w:before="120" w:after="120" w:line="276" w:lineRule="auto"/>
        <w:ind w:firstLine="709"/>
        <w:jc w:val="both"/>
        <w:rPr>
          <w:rFonts w:ascii="Arial" w:hAnsi="Arial" w:cs="Arial"/>
          <w:sz w:val="22"/>
        </w:rPr>
      </w:pPr>
      <w:r w:rsidRPr="00FA2409">
        <w:rPr>
          <w:rFonts w:ascii="Arial" w:hAnsi="Arial" w:cs="Arial"/>
          <w:sz w:val="22"/>
        </w:rPr>
        <w:t xml:space="preserve">Sin embargo, </w:t>
      </w:r>
      <w:r w:rsidR="008837C5">
        <w:rPr>
          <w:rFonts w:ascii="Arial" w:hAnsi="Arial" w:cs="Arial"/>
          <w:sz w:val="22"/>
        </w:rPr>
        <w:t>esta</w:t>
      </w:r>
      <w:r w:rsidRPr="00FA2409">
        <w:rPr>
          <w:rFonts w:ascii="Arial" w:hAnsi="Arial" w:cs="Arial"/>
          <w:sz w:val="22"/>
        </w:rPr>
        <w:t xml:space="preserve"> norma establece que las adendas se podrán expedir </w:t>
      </w:r>
      <w:r w:rsidR="001E4683" w:rsidRPr="00FA2409">
        <w:rPr>
          <w:rFonts w:ascii="Arial" w:hAnsi="Arial" w:cs="Arial"/>
          <w:sz w:val="22"/>
        </w:rPr>
        <w:t>a más tardar el día hábil anterior al vencimiento del plazo para presentar ofertas</w:t>
      </w:r>
      <w:r w:rsidRPr="00FA2409">
        <w:rPr>
          <w:rFonts w:ascii="Arial" w:hAnsi="Arial" w:cs="Arial"/>
          <w:sz w:val="22"/>
        </w:rPr>
        <w:t>, lo cual debe ser respetado incluso en los procesos de m</w:t>
      </w:r>
      <w:r w:rsidR="00344743" w:rsidRPr="00FA2409">
        <w:rPr>
          <w:rFonts w:ascii="Arial" w:hAnsi="Arial" w:cs="Arial"/>
          <w:sz w:val="22"/>
        </w:rPr>
        <w:t xml:space="preserve">ínima cuantía en </w:t>
      </w:r>
      <w:r w:rsidR="00B939BE" w:rsidRPr="00FA2409">
        <w:rPr>
          <w:rFonts w:ascii="Arial" w:hAnsi="Arial" w:cs="Arial"/>
          <w:sz w:val="22"/>
        </w:rPr>
        <w:t>los</w:t>
      </w:r>
      <w:r w:rsidR="00344743" w:rsidRPr="00FA2409">
        <w:rPr>
          <w:rFonts w:ascii="Arial" w:hAnsi="Arial" w:cs="Arial"/>
          <w:sz w:val="22"/>
        </w:rPr>
        <w:t xml:space="preserve"> que la </w:t>
      </w:r>
      <w:r w:rsidR="003B1CBD">
        <w:rPr>
          <w:rFonts w:ascii="Arial" w:hAnsi="Arial" w:cs="Arial"/>
          <w:sz w:val="22"/>
        </w:rPr>
        <w:t>se</w:t>
      </w:r>
      <w:r w:rsidR="00344743" w:rsidRPr="00FA2409">
        <w:rPr>
          <w:rFonts w:ascii="Arial" w:hAnsi="Arial" w:cs="Arial"/>
          <w:sz w:val="22"/>
        </w:rPr>
        <w:t xml:space="preserve"> exi</w:t>
      </w:r>
      <w:r w:rsidR="003B1CBD">
        <w:rPr>
          <w:rFonts w:ascii="Arial" w:hAnsi="Arial" w:cs="Arial"/>
          <w:sz w:val="22"/>
        </w:rPr>
        <w:t>ja</w:t>
      </w:r>
      <w:r w:rsidR="00344743" w:rsidRPr="00FA2409">
        <w:rPr>
          <w:rFonts w:ascii="Arial" w:hAnsi="Arial" w:cs="Arial"/>
          <w:sz w:val="22"/>
        </w:rPr>
        <w:t xml:space="preserve"> un único</w:t>
      </w:r>
      <w:r w:rsidR="003B1CBD">
        <w:rPr>
          <w:rFonts w:ascii="Arial" w:hAnsi="Arial" w:cs="Arial"/>
          <w:sz w:val="22"/>
        </w:rPr>
        <w:t xml:space="preserve"> día</w:t>
      </w:r>
      <w:r w:rsidR="00344743" w:rsidRPr="00FA2409">
        <w:rPr>
          <w:rFonts w:ascii="Arial" w:hAnsi="Arial" w:cs="Arial"/>
          <w:sz w:val="22"/>
        </w:rPr>
        <w:t xml:space="preserve"> para la presentación de ofertas, publicación de la invitación y presentación de observaciones. Lo anterior quiere decir que, de conformidad con la norma</w:t>
      </w:r>
      <w:r w:rsidRPr="00FA2409">
        <w:rPr>
          <w:rFonts w:ascii="Arial" w:hAnsi="Arial" w:cs="Arial"/>
          <w:sz w:val="22"/>
        </w:rPr>
        <w:t xml:space="preserve">, </w:t>
      </w:r>
      <w:r w:rsidR="00344743" w:rsidRPr="00FA2409">
        <w:rPr>
          <w:rFonts w:ascii="Arial" w:hAnsi="Arial" w:cs="Arial"/>
          <w:sz w:val="22"/>
        </w:rPr>
        <w:t xml:space="preserve">se </w:t>
      </w:r>
      <w:r w:rsidRPr="00FA2409">
        <w:rPr>
          <w:rFonts w:ascii="Arial" w:hAnsi="Arial" w:cs="Arial"/>
          <w:sz w:val="22"/>
        </w:rPr>
        <w:t>debe</w:t>
      </w:r>
      <w:r w:rsidR="00344743" w:rsidRPr="00FA2409">
        <w:rPr>
          <w:rFonts w:ascii="Arial" w:hAnsi="Arial" w:cs="Arial"/>
          <w:sz w:val="22"/>
        </w:rPr>
        <w:t>n</w:t>
      </w:r>
      <w:r w:rsidRPr="00FA2409">
        <w:rPr>
          <w:rFonts w:ascii="Arial" w:hAnsi="Arial" w:cs="Arial"/>
          <w:sz w:val="22"/>
        </w:rPr>
        <w:t xml:space="preserve"> expedir y publicar adendas a más tardar el día hábil anterior, es decir que en ningún caso puede transcurrir menos de un día hábil entre la publicación de la adenda y el momento en que los proponentes están obligados a presentar propuestas.</w:t>
      </w:r>
    </w:p>
    <w:p w14:paraId="122ADEFC" w14:textId="5A74FAEF" w:rsidR="008004A6" w:rsidRPr="00FA2409" w:rsidRDefault="008004A6" w:rsidP="005F1274">
      <w:pPr>
        <w:pStyle w:val="Textoindependiente"/>
        <w:spacing w:after="120" w:line="276" w:lineRule="auto"/>
        <w:ind w:right="102" w:firstLine="709"/>
        <w:jc w:val="both"/>
        <w:rPr>
          <w:sz w:val="22"/>
          <w:szCs w:val="22"/>
        </w:rPr>
      </w:pPr>
      <w:r w:rsidRPr="00FA2409">
        <w:rPr>
          <w:sz w:val="22"/>
          <w:szCs w:val="22"/>
        </w:rPr>
        <w:t>Para cumplir c</w:t>
      </w:r>
      <w:r w:rsidR="00344743" w:rsidRPr="00FA2409">
        <w:rPr>
          <w:sz w:val="22"/>
          <w:szCs w:val="22"/>
        </w:rPr>
        <w:t>on esto</w:t>
      </w:r>
      <w:r w:rsidRPr="00FA2409">
        <w:rPr>
          <w:sz w:val="22"/>
          <w:szCs w:val="22"/>
        </w:rPr>
        <w:t xml:space="preserve">, es decir, para garantizar los términos mínimos establecidos, </w:t>
      </w:r>
      <w:r w:rsidRPr="00FA2409">
        <w:rPr>
          <w:sz w:val="22"/>
          <w:szCs w:val="22"/>
        </w:rPr>
        <w:lastRenderedPageBreak/>
        <w:t>las entidades estatales en la fijación del cronograma de su proceso de contratación podrán, de conformidad con el objeto contractual, su alcance y complejidad, establecer plazos más amplios a las establecidos como plazo mínimo en el artículo 2 de la Ley 1150 de 2007</w:t>
      </w:r>
      <w:r w:rsidR="005F1274" w:rsidRPr="00FA2409">
        <w:rPr>
          <w:sz w:val="22"/>
          <w:szCs w:val="22"/>
        </w:rPr>
        <w:t xml:space="preserve"> y en el artículo 2.2.1.2.1.5.2 del Decreto 1082 de 2015.</w:t>
      </w:r>
    </w:p>
    <w:p w14:paraId="07B7A88B" w14:textId="07E8E5CF" w:rsidR="008004A6" w:rsidRPr="00FA2409" w:rsidRDefault="008004A6" w:rsidP="005F1274">
      <w:pPr>
        <w:pStyle w:val="Textoindependiente"/>
        <w:spacing w:after="120" w:line="276" w:lineRule="auto"/>
        <w:ind w:right="108" w:firstLine="709"/>
        <w:jc w:val="both"/>
        <w:rPr>
          <w:sz w:val="22"/>
          <w:szCs w:val="22"/>
        </w:rPr>
      </w:pPr>
      <w:r w:rsidRPr="00FA2409">
        <w:rPr>
          <w:sz w:val="22"/>
          <w:szCs w:val="22"/>
        </w:rPr>
        <w:t xml:space="preserve">Finalmente, en caso que el cronograma </w:t>
      </w:r>
      <w:r w:rsidR="000F766A">
        <w:rPr>
          <w:sz w:val="22"/>
          <w:szCs w:val="22"/>
        </w:rPr>
        <w:t>disponga</w:t>
      </w:r>
      <w:r w:rsidRPr="00FA2409">
        <w:rPr>
          <w:sz w:val="22"/>
          <w:szCs w:val="22"/>
        </w:rPr>
        <w:t xml:space="preserve"> que entre la</w:t>
      </w:r>
      <w:r w:rsidR="00344743" w:rsidRPr="00FA2409">
        <w:rPr>
          <w:sz w:val="22"/>
          <w:szCs w:val="22"/>
        </w:rPr>
        <w:t xml:space="preserve"> publicación de </w:t>
      </w:r>
      <w:proofErr w:type="gramStart"/>
      <w:r w:rsidR="00344743" w:rsidRPr="00FA2409">
        <w:rPr>
          <w:sz w:val="22"/>
          <w:szCs w:val="22"/>
        </w:rPr>
        <w:t xml:space="preserve">la </w:t>
      </w:r>
      <w:r w:rsidRPr="00FA2409">
        <w:rPr>
          <w:sz w:val="22"/>
          <w:szCs w:val="22"/>
        </w:rPr>
        <w:t xml:space="preserve"> invitación</w:t>
      </w:r>
      <w:proofErr w:type="gramEnd"/>
      <w:r w:rsidRPr="00FA2409">
        <w:rPr>
          <w:sz w:val="22"/>
          <w:szCs w:val="22"/>
        </w:rPr>
        <w:t xml:space="preserve"> y el</w:t>
      </w:r>
      <w:r w:rsidR="00B939BE" w:rsidRPr="00FA2409">
        <w:rPr>
          <w:sz w:val="22"/>
          <w:szCs w:val="22"/>
        </w:rPr>
        <w:t xml:space="preserve"> </w:t>
      </w:r>
      <w:r w:rsidR="00344743" w:rsidRPr="00FA2409">
        <w:rPr>
          <w:sz w:val="22"/>
          <w:szCs w:val="22"/>
        </w:rPr>
        <w:t xml:space="preserve"> vencimiento del t</w:t>
      </w:r>
      <w:r w:rsidRPr="00FA2409">
        <w:rPr>
          <w:sz w:val="22"/>
          <w:szCs w:val="22"/>
        </w:rPr>
        <w:t>érmino para presentar ofertas</w:t>
      </w:r>
      <w:r w:rsidR="00344743" w:rsidRPr="00FA2409">
        <w:rPr>
          <w:sz w:val="22"/>
          <w:szCs w:val="22"/>
        </w:rPr>
        <w:t>,</w:t>
      </w:r>
      <w:r w:rsidRPr="00FA2409">
        <w:rPr>
          <w:sz w:val="22"/>
          <w:szCs w:val="22"/>
        </w:rPr>
        <w:t xml:space="preserve"> no haya más de un hábil, no será posible expedir adendas al proceso de contratación, pues los términos contemplados en la invitación pública no podrían satisfacer lo dispuesto por el artículo 2.2.1.1.2.2.1 del Decreto 1082 de 2015, y por ende una adenda realizada en dichas condiciones contrariaría directamente una disposición</w:t>
      </w:r>
      <w:r w:rsidRPr="00FA2409">
        <w:rPr>
          <w:spacing w:val="-21"/>
          <w:sz w:val="22"/>
          <w:szCs w:val="22"/>
        </w:rPr>
        <w:t xml:space="preserve"> </w:t>
      </w:r>
      <w:r w:rsidRPr="00FA2409">
        <w:rPr>
          <w:sz w:val="22"/>
          <w:szCs w:val="22"/>
        </w:rPr>
        <w:t>legal.</w:t>
      </w:r>
    </w:p>
    <w:p w14:paraId="2BC98808" w14:textId="43795ADE" w:rsidR="008004A6" w:rsidRPr="00FA2409" w:rsidRDefault="005F1274" w:rsidP="005F1274">
      <w:pPr>
        <w:pStyle w:val="Textoindependiente"/>
        <w:spacing w:before="1" w:line="276" w:lineRule="auto"/>
        <w:jc w:val="both"/>
        <w:rPr>
          <w:sz w:val="22"/>
          <w:szCs w:val="22"/>
        </w:rPr>
      </w:pPr>
      <w:r w:rsidRPr="00FA2409">
        <w:rPr>
          <w:sz w:val="22"/>
          <w:szCs w:val="22"/>
        </w:rPr>
        <w:tab/>
        <w:t>En ese sentido, para que una observación formulada a una invitación en un proceso de mínima cuantía</w:t>
      </w:r>
      <w:r w:rsidR="000F766A">
        <w:rPr>
          <w:sz w:val="22"/>
          <w:szCs w:val="22"/>
        </w:rPr>
        <w:t xml:space="preserve"> fundamente </w:t>
      </w:r>
      <w:r w:rsidRPr="00FA2409">
        <w:rPr>
          <w:sz w:val="22"/>
          <w:szCs w:val="22"/>
        </w:rPr>
        <w:t>adenda</w:t>
      </w:r>
      <w:r w:rsidR="000F766A">
        <w:rPr>
          <w:sz w:val="22"/>
          <w:szCs w:val="22"/>
        </w:rPr>
        <w:t>s</w:t>
      </w:r>
      <w:r w:rsidRPr="00FA2409">
        <w:rPr>
          <w:sz w:val="22"/>
          <w:szCs w:val="22"/>
        </w:rPr>
        <w:t xml:space="preserve"> </w:t>
      </w:r>
      <w:r w:rsidR="000F766A">
        <w:rPr>
          <w:sz w:val="22"/>
          <w:szCs w:val="22"/>
        </w:rPr>
        <w:t xml:space="preserve">en </w:t>
      </w:r>
      <w:r w:rsidRPr="00FA2409">
        <w:rPr>
          <w:sz w:val="22"/>
          <w:szCs w:val="22"/>
        </w:rPr>
        <w:t>el procedimiento, se requiere que entre la publicación de la invitación y el vencimiento del plazo para presentar ofertas est</w:t>
      </w:r>
      <w:r w:rsidR="00B92F0D">
        <w:rPr>
          <w:sz w:val="22"/>
          <w:szCs w:val="22"/>
        </w:rPr>
        <w:t>é</w:t>
      </w:r>
      <w:r w:rsidRPr="00FA2409">
        <w:rPr>
          <w:sz w:val="22"/>
          <w:szCs w:val="22"/>
        </w:rPr>
        <w:t xml:space="preserve"> de por medio por lo menos un día hábil, de tal manera que puedan cumplirse los presupuestos establecidos en el </w:t>
      </w:r>
      <w:r w:rsidRPr="00FA2409">
        <w:rPr>
          <w:sz w:val="22"/>
          <w:szCs w:val="22"/>
          <w:lang w:val="es-MX"/>
        </w:rPr>
        <w:t xml:space="preserve">artículo 2.2.1.1.2.2.1 del Decreto 1082 de 2015 para </w:t>
      </w:r>
      <w:r w:rsidR="000F766A">
        <w:rPr>
          <w:sz w:val="22"/>
          <w:szCs w:val="22"/>
          <w:lang w:val="es-MX"/>
        </w:rPr>
        <w:t>su expedición</w:t>
      </w:r>
      <w:r w:rsidRPr="00FA2409">
        <w:rPr>
          <w:sz w:val="22"/>
          <w:szCs w:val="22"/>
          <w:lang w:val="es-MX"/>
        </w:rPr>
        <w:t>.</w:t>
      </w:r>
    </w:p>
    <w:p w14:paraId="0EC05955" w14:textId="2A55C49F" w:rsidR="00D166ED" w:rsidRPr="00FA2409" w:rsidRDefault="0044603A" w:rsidP="003B1CBD">
      <w:pPr>
        <w:spacing w:line="276" w:lineRule="auto"/>
        <w:ind w:firstLine="709"/>
        <w:jc w:val="both"/>
        <w:rPr>
          <w:rFonts w:ascii="Arial" w:hAnsi="Arial" w:cs="Arial"/>
          <w:sz w:val="22"/>
        </w:rPr>
      </w:pPr>
      <w:r w:rsidRPr="00FA2409">
        <w:rPr>
          <w:rFonts w:ascii="Arial" w:hAnsi="Arial" w:cs="Arial"/>
          <w:sz w:val="22"/>
        </w:rPr>
        <w:t xml:space="preserve"> </w:t>
      </w:r>
    </w:p>
    <w:p w14:paraId="5D99A3C6" w14:textId="4647BF84" w:rsidR="005A79FE" w:rsidRPr="00FA2409"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FA2409">
        <w:rPr>
          <w:rFonts w:ascii="Arial" w:eastAsia="Calibri" w:hAnsi="Arial" w:cs="Arial"/>
          <w:b/>
          <w:sz w:val="22"/>
        </w:rPr>
        <w:t>Respuesta</w:t>
      </w:r>
    </w:p>
    <w:p w14:paraId="6A2CCB9A" w14:textId="77777777" w:rsidR="005A79FE" w:rsidRPr="00FA2409" w:rsidRDefault="005A79FE" w:rsidP="00260104">
      <w:pPr>
        <w:spacing w:line="276" w:lineRule="auto"/>
        <w:ind w:left="709" w:right="709"/>
        <w:jc w:val="both"/>
        <w:rPr>
          <w:rFonts w:ascii="Arial" w:eastAsia="Calibri" w:hAnsi="Arial" w:cs="Arial"/>
          <w:i/>
          <w:sz w:val="22"/>
        </w:rPr>
      </w:pPr>
    </w:p>
    <w:p w14:paraId="34C31AE7" w14:textId="0C13BFB4" w:rsidR="005A79FE" w:rsidRDefault="000F766A" w:rsidP="005F1274">
      <w:pPr>
        <w:ind w:left="709" w:right="709"/>
        <w:jc w:val="both"/>
        <w:rPr>
          <w:rFonts w:ascii="Arial" w:eastAsia="Calibri" w:hAnsi="Arial" w:cs="Arial"/>
          <w:sz w:val="21"/>
          <w:szCs w:val="21"/>
        </w:rPr>
      </w:pPr>
      <w:r w:rsidRPr="000F766A">
        <w:rPr>
          <w:rFonts w:ascii="Arial" w:eastAsia="Calibri" w:hAnsi="Arial" w:cs="Arial"/>
          <w:sz w:val="21"/>
          <w:szCs w:val="21"/>
        </w:rPr>
        <w:t>Respecto a la modalidad de selección de mínima cuantía, usted solicita un concepto sobre «[…] la forma de contabilización del término señalado en el artículo 2.2.1.2.1.5.2 del Decreto 1082 de 2015, y la forma en que se debe proceder si dentro de dicho término se presenta una observación que implique la expedición de una adenda».</w:t>
      </w:r>
    </w:p>
    <w:p w14:paraId="29E367FB" w14:textId="77777777" w:rsidR="005F1274" w:rsidRPr="00FA2409" w:rsidRDefault="005F1274" w:rsidP="005F1274">
      <w:pPr>
        <w:ind w:left="709" w:right="709"/>
        <w:jc w:val="both"/>
        <w:rPr>
          <w:rFonts w:ascii="Arial" w:eastAsia="Calibri" w:hAnsi="Arial" w:cs="Arial"/>
          <w:sz w:val="22"/>
        </w:rPr>
      </w:pPr>
    </w:p>
    <w:p w14:paraId="05FF2AA6" w14:textId="77777777" w:rsidR="005F1274" w:rsidRPr="00FA2409" w:rsidRDefault="005F1274" w:rsidP="005F1274">
      <w:pPr>
        <w:tabs>
          <w:tab w:val="left" w:pos="0"/>
        </w:tabs>
        <w:spacing w:after="120" w:line="276" w:lineRule="auto"/>
        <w:jc w:val="both"/>
        <w:rPr>
          <w:rFonts w:ascii="Arial" w:eastAsia="Calibri" w:hAnsi="Arial" w:cs="Arial"/>
          <w:bCs/>
          <w:sz w:val="22"/>
          <w:lang w:val="es-ES"/>
        </w:rPr>
      </w:pPr>
      <w:r w:rsidRPr="00535C46">
        <w:rPr>
          <w:rFonts w:ascii="Arial" w:eastAsia="Calibri" w:hAnsi="Arial" w:cs="Arial"/>
          <w:bCs/>
          <w:sz w:val="22"/>
          <w:lang w:val="es-ES"/>
        </w:rPr>
        <w:t>En los procesos de contratación adelantados en la modalidad de selección de mínima cuantía, el término para presentar ofertas debe contarse a partir de la publicación de la invitación, sin que el tiempo durante el que se mantiene publicada esta y el que se determine para presentar las ofertas sea inferior a un día hábil, de tal manera que siempre que las entidades opten por publicar invitaciones  y recibir ofertas por el tiempo mínimo de un día hábil, previsto en el artículo 2, numeral 5, literales a) y b), de la Ley 1150 de 2007, el término de publicación será el  mismo plazo para ofertar.</w:t>
      </w:r>
    </w:p>
    <w:p w14:paraId="567FB673" w14:textId="77777777" w:rsidR="00472FF4" w:rsidRPr="00FA2409" w:rsidRDefault="005F1274" w:rsidP="00472FF4">
      <w:pPr>
        <w:tabs>
          <w:tab w:val="left" w:pos="0"/>
        </w:tabs>
        <w:spacing w:before="120" w:after="120" w:line="276" w:lineRule="auto"/>
        <w:jc w:val="both"/>
        <w:rPr>
          <w:rFonts w:ascii="Arial" w:eastAsia="Calibri" w:hAnsi="Arial" w:cs="Arial"/>
          <w:bCs/>
          <w:sz w:val="22"/>
          <w:lang w:val="es-ES"/>
        </w:rPr>
      </w:pPr>
      <w:r w:rsidRPr="00FA2409">
        <w:rPr>
          <w:rFonts w:ascii="Arial" w:eastAsia="Calibri" w:hAnsi="Arial" w:cs="Arial"/>
          <w:bCs/>
          <w:sz w:val="22"/>
          <w:lang w:val="es-ES"/>
        </w:rPr>
        <w:tab/>
        <w:t xml:space="preserve">En el caso de las entidades que adelantan sus procesos de selección a través de SECOP I, por días hábiles deben entenderse los establecidos como laborables en las normas que regulen el ejercicio de las funciones de la entidad, en ese sentido, solo deberán recibirse ofertas durante las horas laborables o de atención al público fijadas en dichas normas.  Por su parte, en los procesos de selección adelantados en la modalidad de mínima cuantía, mediante la plataforma SECOP II, el plazo para la presentación de ofertas deberá extenderse durante las veinticuatro (24) horas de un día solar laborable para la respectiva entidad.  </w:t>
      </w:r>
      <w:r w:rsidRPr="00FA2409">
        <w:rPr>
          <w:rFonts w:ascii="Arial" w:eastAsia="Calibri" w:hAnsi="Arial" w:cs="Arial"/>
          <w:bCs/>
          <w:sz w:val="22"/>
          <w:lang w:val="es-ES"/>
        </w:rPr>
        <w:tab/>
      </w:r>
    </w:p>
    <w:p w14:paraId="7A339D5C" w14:textId="6D24E380" w:rsidR="005F1274" w:rsidRPr="00FA2409" w:rsidRDefault="00472FF4" w:rsidP="00472FF4">
      <w:pPr>
        <w:tabs>
          <w:tab w:val="left" w:pos="0"/>
        </w:tabs>
        <w:spacing w:before="120" w:line="276" w:lineRule="auto"/>
        <w:jc w:val="both"/>
        <w:rPr>
          <w:rFonts w:ascii="Arial" w:eastAsia="Calibri" w:hAnsi="Arial" w:cs="Arial"/>
          <w:bCs/>
          <w:sz w:val="22"/>
        </w:rPr>
      </w:pPr>
      <w:r w:rsidRPr="00FA2409">
        <w:rPr>
          <w:rFonts w:ascii="Arial" w:eastAsia="Calibri" w:hAnsi="Arial" w:cs="Arial"/>
          <w:bCs/>
          <w:sz w:val="22"/>
          <w:lang w:val="es-ES"/>
        </w:rPr>
        <w:lastRenderedPageBreak/>
        <w:tab/>
      </w:r>
      <w:r w:rsidR="005F1274" w:rsidRPr="00FA2409">
        <w:rPr>
          <w:rFonts w:ascii="Arial" w:eastAsia="Calibri" w:hAnsi="Arial" w:cs="Arial"/>
          <w:bCs/>
          <w:sz w:val="22"/>
          <w:lang w:val="es-ES"/>
        </w:rPr>
        <w:t>Lo anterior, sin perjuicio de la posibilidad de que las entidades fijen plazos superiores para presentar las ofertas, siempre que se cumpla con el mínimo de un día hábil</w:t>
      </w:r>
      <w:r w:rsidRPr="00FA2409">
        <w:rPr>
          <w:rFonts w:ascii="Arial" w:eastAsia="Calibri" w:hAnsi="Arial" w:cs="Arial"/>
          <w:bCs/>
          <w:sz w:val="22"/>
          <w:lang w:val="es-ES"/>
        </w:rPr>
        <w:t xml:space="preserve">, lo cual además resulta recomendable, en la medida que solo en los eventos en los que se  exista  más de un día de por medio entre la publicación de la invitación y el vencimiento del plazo de para realizar ofertas, </w:t>
      </w:r>
      <w:r w:rsidR="000F766A">
        <w:rPr>
          <w:rFonts w:ascii="Arial" w:eastAsia="Calibri" w:hAnsi="Arial" w:cs="Arial"/>
          <w:bCs/>
          <w:sz w:val="22"/>
          <w:lang w:val="es-ES"/>
        </w:rPr>
        <w:t xml:space="preserve">es posible la expedición de </w:t>
      </w:r>
      <w:r w:rsidRPr="00FA2409">
        <w:rPr>
          <w:rFonts w:ascii="Arial" w:eastAsia="Calibri" w:hAnsi="Arial" w:cs="Arial"/>
          <w:bCs/>
          <w:sz w:val="22"/>
          <w:lang w:val="es-ES"/>
        </w:rPr>
        <w:t xml:space="preserve">adendas a la invitación de conformidad con el artículo </w:t>
      </w:r>
      <w:r w:rsidRPr="00FA2409">
        <w:rPr>
          <w:rFonts w:ascii="Arial" w:eastAsia="Calibri" w:hAnsi="Arial" w:cs="Arial"/>
          <w:bCs/>
          <w:sz w:val="22"/>
        </w:rPr>
        <w:t>2.2.1.1.2.2.1 del Decreto 1082 de 2015.</w:t>
      </w:r>
    </w:p>
    <w:p w14:paraId="6734A029" w14:textId="025FF403" w:rsidR="00472FF4" w:rsidRPr="00FA2409" w:rsidRDefault="00472FF4" w:rsidP="00472FF4">
      <w:pPr>
        <w:tabs>
          <w:tab w:val="left" w:pos="0"/>
        </w:tabs>
        <w:spacing w:before="120" w:line="276" w:lineRule="auto"/>
        <w:jc w:val="both"/>
        <w:rPr>
          <w:rFonts w:ascii="Arial" w:eastAsia="Calibri" w:hAnsi="Arial" w:cs="Arial"/>
          <w:bCs/>
          <w:sz w:val="22"/>
          <w:lang w:val="es-ES"/>
        </w:rPr>
      </w:pPr>
      <w:r w:rsidRPr="00FA2409">
        <w:rPr>
          <w:rFonts w:ascii="Arial" w:eastAsia="Calibri" w:hAnsi="Arial" w:cs="Arial"/>
          <w:bCs/>
          <w:sz w:val="22"/>
        </w:rPr>
        <w:tab/>
        <w:t xml:space="preserve">Conforme a lo anterior, las observaciones que sean presentadas a la invitación, faltando menos de un día de para el vencimiento del plazo para la presentación de ofertas no podrán </w:t>
      </w:r>
      <w:r w:rsidR="000F766A">
        <w:rPr>
          <w:rFonts w:ascii="Arial" w:eastAsia="Calibri" w:hAnsi="Arial" w:cs="Arial"/>
          <w:bCs/>
          <w:sz w:val="22"/>
        </w:rPr>
        <w:t>fundamentar la expedición de</w:t>
      </w:r>
      <w:r w:rsidRPr="00FA2409">
        <w:rPr>
          <w:rFonts w:ascii="Arial" w:eastAsia="Calibri" w:hAnsi="Arial" w:cs="Arial"/>
          <w:bCs/>
          <w:sz w:val="22"/>
        </w:rPr>
        <w:t xml:space="preserve"> adendas, </w:t>
      </w:r>
      <w:r w:rsidRPr="00535C46">
        <w:rPr>
          <w:rFonts w:ascii="Arial" w:eastAsia="Calibri" w:hAnsi="Arial" w:cs="Arial"/>
          <w:bCs/>
          <w:sz w:val="22"/>
        </w:rPr>
        <w:t xml:space="preserve">sin embargo deberán ser </w:t>
      </w:r>
      <w:r w:rsidR="00491AF8" w:rsidRPr="00535C46">
        <w:rPr>
          <w:rFonts w:ascii="Arial" w:eastAsia="Calibri" w:hAnsi="Arial" w:cs="Arial"/>
          <w:bCs/>
          <w:sz w:val="22"/>
        </w:rPr>
        <w:t xml:space="preserve">contestadas </w:t>
      </w:r>
      <w:r w:rsidRPr="00535C46">
        <w:rPr>
          <w:rFonts w:ascii="Arial" w:eastAsia="Calibri" w:hAnsi="Arial" w:cs="Arial"/>
          <w:bCs/>
          <w:sz w:val="22"/>
        </w:rPr>
        <w:t xml:space="preserve">por la entidad antes del vencimiento de dicho término, acorde con lo dispuesto en el numeral 3 del </w:t>
      </w:r>
      <w:proofErr w:type="gramStart"/>
      <w:r w:rsidRPr="00535C46">
        <w:rPr>
          <w:rFonts w:ascii="Arial" w:eastAsia="Calibri" w:hAnsi="Arial" w:cs="Arial"/>
          <w:bCs/>
          <w:sz w:val="22"/>
        </w:rPr>
        <w:t>artículo  2.2.1.2.1.5.2</w:t>
      </w:r>
      <w:proofErr w:type="gramEnd"/>
      <w:r w:rsidRPr="00535C46">
        <w:rPr>
          <w:rFonts w:ascii="Arial" w:eastAsia="Calibri" w:hAnsi="Arial" w:cs="Arial"/>
          <w:bCs/>
          <w:sz w:val="22"/>
        </w:rPr>
        <w:t xml:space="preserve"> del Decreto 1082 de 2015.</w:t>
      </w:r>
    </w:p>
    <w:p w14:paraId="2AFAB8B4" w14:textId="77777777" w:rsidR="00472FF4" w:rsidRPr="00FA2409" w:rsidRDefault="00472FF4" w:rsidP="00472FF4">
      <w:pPr>
        <w:spacing w:line="276" w:lineRule="auto"/>
        <w:jc w:val="both"/>
        <w:rPr>
          <w:rFonts w:ascii="Arial" w:eastAsia="Calibri" w:hAnsi="Arial" w:cs="Arial"/>
          <w:sz w:val="22"/>
        </w:rPr>
      </w:pPr>
    </w:p>
    <w:p w14:paraId="5F429EFF" w14:textId="5E6AB7EC" w:rsidR="005A79FE" w:rsidRPr="00FA2409" w:rsidRDefault="005A79FE" w:rsidP="00BF4E81">
      <w:pPr>
        <w:spacing w:before="120" w:after="120" w:line="276" w:lineRule="auto"/>
        <w:jc w:val="both"/>
        <w:rPr>
          <w:rFonts w:ascii="Arial" w:eastAsia="Calibri" w:hAnsi="Arial" w:cs="Arial"/>
          <w:sz w:val="22"/>
        </w:rPr>
      </w:pPr>
      <w:r w:rsidRPr="00FA2409">
        <w:rPr>
          <w:rFonts w:ascii="Arial" w:eastAsia="Calibri" w:hAnsi="Arial" w:cs="Arial"/>
          <w:sz w:val="22"/>
        </w:rPr>
        <w:t>Este concepto tiene el alcance previsto en el artículo 28 del Código de Procedimiento Administrativo y de lo Contencioso Administrativo.</w:t>
      </w:r>
    </w:p>
    <w:p w14:paraId="19DA8DDB" w14:textId="19D76C3D" w:rsidR="005A79FE" w:rsidRPr="00FA2409" w:rsidRDefault="005A79FE" w:rsidP="005A79FE">
      <w:pPr>
        <w:spacing w:line="276" w:lineRule="auto"/>
        <w:jc w:val="both"/>
        <w:rPr>
          <w:rFonts w:ascii="Arial" w:eastAsia="Calibri" w:hAnsi="Arial" w:cs="Arial"/>
          <w:sz w:val="22"/>
        </w:rPr>
      </w:pPr>
    </w:p>
    <w:p w14:paraId="18AAB28D" w14:textId="37518A70" w:rsidR="005A79FE" w:rsidRPr="00FA2409" w:rsidRDefault="005A79FE" w:rsidP="005A79FE">
      <w:pPr>
        <w:rPr>
          <w:rFonts w:ascii="Arial" w:eastAsia="Times New Roman" w:hAnsi="Arial" w:cs="Arial"/>
          <w:sz w:val="22"/>
          <w:lang w:eastAsia="es-CO"/>
        </w:rPr>
      </w:pPr>
      <w:r w:rsidRPr="630C9FBE">
        <w:rPr>
          <w:rFonts w:ascii="Arial" w:eastAsia="Times New Roman" w:hAnsi="Arial" w:cs="Arial"/>
          <w:sz w:val="22"/>
          <w:lang w:eastAsia="es-CO"/>
        </w:rPr>
        <w:t>Atentamente,</w:t>
      </w:r>
    </w:p>
    <w:p w14:paraId="67909B52" w14:textId="77777777" w:rsidR="005A79FE" w:rsidRPr="00FA2409" w:rsidRDefault="000273B6" w:rsidP="00086C0F">
      <w:pPr>
        <w:jc w:val="center"/>
      </w:pPr>
      <w:r>
        <w:rPr>
          <w:noProof/>
        </w:rPr>
        <w:drawing>
          <wp:inline distT="0" distB="0" distL="0" distR="0" wp14:anchorId="59E4E974" wp14:editId="3DDCFE0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pPr w:leftFromText="141" w:rightFromText="141" w:vertAnchor="text" w:horzAnchor="margin"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D0255" w:rsidRPr="00FA2409" w14:paraId="74A1B3F9" w14:textId="77777777" w:rsidTr="008D0255">
        <w:trPr>
          <w:trHeight w:val="315"/>
        </w:trPr>
        <w:tc>
          <w:tcPr>
            <w:tcW w:w="812" w:type="dxa"/>
            <w:vAlign w:val="center"/>
            <w:hideMark/>
          </w:tcPr>
          <w:p w14:paraId="58777ADA" w14:textId="77777777" w:rsidR="008D0255" w:rsidRPr="00FA2409" w:rsidRDefault="008D0255" w:rsidP="008D0255">
            <w:pPr>
              <w:rPr>
                <w:rFonts w:ascii="Arial" w:eastAsia="Times New Roman" w:hAnsi="Arial" w:cs="Arial"/>
                <w:sz w:val="16"/>
                <w:szCs w:val="16"/>
                <w:lang w:eastAsia="es-ES"/>
              </w:rPr>
            </w:pPr>
            <w:bookmarkStart w:id="1" w:name="_Hlk29890381"/>
            <w:bookmarkEnd w:id="1"/>
            <w:r w:rsidRPr="00FA2409">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AB0F394" w14:textId="77777777" w:rsidR="008D0255" w:rsidRPr="00FA2409" w:rsidRDefault="008D0255" w:rsidP="008D0255">
            <w:pPr>
              <w:rPr>
                <w:rFonts w:ascii="Arial" w:eastAsia="Times New Roman" w:hAnsi="Arial" w:cs="Arial"/>
                <w:sz w:val="16"/>
                <w:szCs w:val="16"/>
                <w:lang w:eastAsia="es-ES"/>
              </w:rPr>
            </w:pPr>
          </w:p>
          <w:p w14:paraId="717D74AA"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Alejandro Sarmiento Cantillo</w:t>
            </w:r>
          </w:p>
          <w:p w14:paraId="74F1A05B"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 xml:space="preserve">Contratista </w:t>
            </w:r>
            <w:r>
              <w:rPr>
                <w:rFonts w:ascii="Arial" w:eastAsia="Times New Roman" w:hAnsi="Arial" w:cs="Arial"/>
                <w:sz w:val="16"/>
                <w:szCs w:val="16"/>
                <w:lang w:eastAsia="es-ES"/>
              </w:rPr>
              <w:t>de la</w:t>
            </w:r>
            <w:r w:rsidRPr="00FA2409">
              <w:rPr>
                <w:rFonts w:ascii="Arial" w:eastAsia="Times New Roman" w:hAnsi="Arial" w:cs="Arial"/>
                <w:sz w:val="16"/>
                <w:szCs w:val="16"/>
                <w:lang w:eastAsia="es-ES"/>
              </w:rPr>
              <w:t xml:space="preserve"> Subdirección de Gestión Contractual</w:t>
            </w:r>
          </w:p>
        </w:tc>
      </w:tr>
      <w:tr w:rsidR="008D0255" w:rsidRPr="00FA2409" w14:paraId="693EA829" w14:textId="77777777" w:rsidTr="008D0255">
        <w:trPr>
          <w:trHeight w:val="330"/>
        </w:trPr>
        <w:tc>
          <w:tcPr>
            <w:tcW w:w="812" w:type="dxa"/>
            <w:vAlign w:val="center"/>
            <w:hideMark/>
          </w:tcPr>
          <w:p w14:paraId="7A824D77"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E2D1BA" w14:textId="77777777" w:rsidR="008D0255" w:rsidRPr="00FA2409" w:rsidRDefault="008D0255" w:rsidP="008D0255">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5F94C461"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 xml:space="preserve">Contratista </w:t>
            </w:r>
            <w:r>
              <w:rPr>
                <w:rFonts w:ascii="Arial" w:eastAsia="Times New Roman" w:hAnsi="Arial" w:cs="Arial"/>
                <w:sz w:val="16"/>
                <w:szCs w:val="16"/>
                <w:lang w:eastAsia="es-ES"/>
              </w:rPr>
              <w:t>de la</w:t>
            </w:r>
            <w:r w:rsidRPr="00FA2409">
              <w:rPr>
                <w:rFonts w:ascii="Arial" w:eastAsia="Times New Roman" w:hAnsi="Arial" w:cs="Arial"/>
                <w:sz w:val="16"/>
                <w:szCs w:val="16"/>
                <w:lang w:eastAsia="es-ES"/>
              </w:rPr>
              <w:t xml:space="preserve"> Subdirección de Gestión Contractual</w:t>
            </w:r>
          </w:p>
        </w:tc>
      </w:tr>
      <w:tr w:rsidR="008D0255" w:rsidRPr="00FA2409" w14:paraId="6EF68228" w14:textId="77777777" w:rsidTr="008D0255">
        <w:trPr>
          <w:trHeight w:val="300"/>
        </w:trPr>
        <w:tc>
          <w:tcPr>
            <w:tcW w:w="812" w:type="dxa"/>
            <w:vAlign w:val="center"/>
            <w:hideMark/>
          </w:tcPr>
          <w:p w14:paraId="23C60E74"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253EA7"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Fabián Gonzalo Marín Cortés</w:t>
            </w:r>
          </w:p>
          <w:p w14:paraId="2FE13D39" w14:textId="77777777" w:rsidR="008D0255" w:rsidRPr="00FA2409" w:rsidRDefault="008D0255" w:rsidP="008D0255">
            <w:pPr>
              <w:rPr>
                <w:rFonts w:ascii="Arial" w:eastAsia="Times New Roman" w:hAnsi="Arial" w:cs="Arial"/>
                <w:sz w:val="16"/>
                <w:szCs w:val="16"/>
                <w:lang w:eastAsia="es-ES"/>
              </w:rPr>
            </w:pPr>
            <w:r w:rsidRPr="00FA2409">
              <w:rPr>
                <w:rFonts w:ascii="Arial" w:eastAsia="Times New Roman" w:hAnsi="Arial" w:cs="Arial"/>
                <w:sz w:val="16"/>
                <w:szCs w:val="16"/>
                <w:lang w:eastAsia="es-ES"/>
              </w:rPr>
              <w:t>Subdirector de Gestión Contractual</w:t>
            </w:r>
          </w:p>
        </w:tc>
      </w:tr>
    </w:tbl>
    <w:p w14:paraId="7EBF297E" w14:textId="77777777" w:rsidR="007B0854" w:rsidRPr="00FA2409" w:rsidRDefault="007B0854" w:rsidP="00CA287E">
      <w:pPr>
        <w:jc w:val="both"/>
        <w:rPr>
          <w:rFonts w:ascii="Arial" w:eastAsia="Calibri" w:hAnsi="Arial" w:cs="Arial"/>
          <w:sz w:val="2"/>
          <w:szCs w:val="2"/>
        </w:rPr>
      </w:pPr>
    </w:p>
    <w:sectPr w:rsidR="007B0854" w:rsidRPr="00FA2409"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36DF4" w14:textId="77777777" w:rsidR="005956AE" w:rsidRDefault="005956AE">
      <w:r>
        <w:separator/>
      </w:r>
    </w:p>
  </w:endnote>
  <w:endnote w:type="continuationSeparator" w:id="0">
    <w:p w14:paraId="1FE28B64" w14:textId="77777777" w:rsidR="005956AE" w:rsidRDefault="005956AE">
      <w:r>
        <w:continuationSeparator/>
      </w:r>
    </w:p>
  </w:endnote>
  <w:endnote w:type="continuationNotice" w:id="1">
    <w:p w14:paraId="0EBDE5FE" w14:textId="77777777" w:rsidR="005956AE" w:rsidRDefault="00595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CACC" w14:textId="77777777" w:rsidR="00871196" w:rsidRDefault="00871196" w:rsidP="007B0854">
    <w:pPr>
      <w:pStyle w:val="Sinespaciado"/>
      <w:jc w:val="center"/>
      <w:rPr>
        <w:rFonts w:ascii="Arial" w:hAnsi="Arial" w:cs="Arial"/>
        <w:sz w:val="18"/>
        <w:szCs w:val="18"/>
      </w:rPr>
    </w:pPr>
  </w:p>
  <w:p w14:paraId="312C4A14" w14:textId="6E3F38C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9068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9068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0E0B8C38" w:rsidR="009047C5" w:rsidRDefault="630C9FBE" w:rsidP="007B0854">
    <w:pPr>
      <w:pStyle w:val="Piedepgina"/>
      <w:jc w:val="center"/>
      <w:rPr>
        <w:lang w:val="es-ES"/>
      </w:rPr>
    </w:pPr>
    <w:r>
      <w:rPr>
        <w:noProof/>
      </w:rPr>
      <w:drawing>
        <wp:inline distT="0" distB="0" distL="0" distR="0" wp14:anchorId="608B196D" wp14:editId="2FAF814D">
          <wp:extent cx="4241994" cy="595165"/>
          <wp:effectExtent l="0" t="0" r="6350" b="0"/>
          <wp:docPr id="20871717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4A34D2" w:rsidRDefault="004A34D2" w:rsidP="007B0854">
    <w:pPr>
      <w:pStyle w:val="Piedepgina"/>
      <w:jc w:val="center"/>
      <w:rPr>
        <w:lang w:val="es-ES"/>
      </w:rPr>
    </w:pPr>
  </w:p>
  <w:p w14:paraId="270B5050" w14:textId="77777777" w:rsidR="00871196" w:rsidRPr="007B0854" w:rsidRDefault="0087119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CBD8" w14:textId="77777777" w:rsidR="005956AE" w:rsidRDefault="005956AE">
      <w:r>
        <w:separator/>
      </w:r>
    </w:p>
  </w:footnote>
  <w:footnote w:type="continuationSeparator" w:id="0">
    <w:p w14:paraId="66020B34" w14:textId="77777777" w:rsidR="005956AE" w:rsidRDefault="005956AE">
      <w:r>
        <w:continuationSeparator/>
      </w:r>
    </w:p>
  </w:footnote>
  <w:footnote w:type="continuationNotice" w:id="1">
    <w:p w14:paraId="512749B1" w14:textId="77777777" w:rsidR="005956AE" w:rsidRDefault="005956AE"/>
  </w:footnote>
  <w:footnote w:id="2">
    <w:p w14:paraId="040E28D9"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En efecto, este artículo dispuso, hasta que entró en vigencia la Ley 1955 de 2019 –que adicionó un tercer parágrafo que luego se explicará–: «Adiciónese al artículo 2o de la Ley 1150 de 2007 el siguiente numeral.</w:t>
      </w:r>
    </w:p>
    <w:p w14:paraId="2E41D1FE"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 contratación cuyo valor no excede del 10 por ciento de la menor cuantía de la entidad independientemente de su objeto, se efectuará de conformidad con las siguientes reglas:</w:t>
      </w:r>
    </w:p>
    <w:p w14:paraId="2E21C9DA"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»a) Se publicará una invitación, por un término no inferior a un día hábil, en la cual se señalará el objeto a contratar, el presupuesto destinado para tal fin, así como las condiciones técnicas exigidas;</w:t>
      </w:r>
    </w:p>
    <w:p w14:paraId="61497C19"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»b) El término previsto en la invitación para presentar la oferta no podrá ser inferior a un día hábil;</w:t>
      </w:r>
    </w:p>
    <w:p w14:paraId="5B2AA4FF"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»c) La entidad seleccionará, mediante comunicación de aceptación de la oferta, la propuesta con el menor precio, siempre y cuando cumpla con las condiciones exigidas;</w:t>
      </w:r>
    </w:p>
    <w:p w14:paraId="0E08A348"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»d) La comunicación de aceptación junto con la oferta constituyen para todos los efectos el contrato celebrado, con base en lo cual se efectuará el respectivo registro presupuestal.</w:t>
      </w:r>
    </w:p>
    <w:p w14:paraId="7C6CB00F"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70AB2469"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70A0BED0"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3">
    <w:p w14:paraId="61C51657"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Esto lo ratifica el artículo 2.2.1.2.1.5.2. del Decreto 1082 de 2015.</w:t>
      </w:r>
    </w:p>
    <w:p w14:paraId="60F6ED48"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4">
    <w:p w14:paraId="7BF9CFA6"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DÁVILA VINUEZA, Luis Guillermo. Régimen jurídico de la contratación estatal. 3ª ed. Bogotá: Legis, 2016. p. 463.</w:t>
      </w:r>
    </w:p>
    <w:p w14:paraId="39A0141B"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5">
    <w:p w14:paraId="4D3032F0"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La contratación de mínima cuantía es aquella que no excede el 10% de la menor cuantía, o </w:t>
      </w:r>
      <w:r w:rsidRPr="00E85B58">
        <w:rPr>
          <w:rFonts w:ascii="Arial" w:hAnsi="Arial" w:cs="Arial"/>
          <w:color w:val="000000" w:themeColor="text1"/>
          <w:sz w:val="18"/>
          <w:szCs w:val="18"/>
          <w:lang w:val="es-ES_tradnl"/>
        </w:rPr>
        <w:t>sea,que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4D1F06F1"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»Para las entidades que tengan un presupuesto anual superior o igual a 1.200.000 salarios mínimos legales mensuales, la menor cuantía será hasta 1.000 salarios mínimos legales mensuales.</w:t>
      </w:r>
    </w:p>
    <w:p w14:paraId="3A5A18A7"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850.000 salarios mínimos legales mensuales e inferiores a 1.200.000 salarios mínimos legales mensuales, la menor cuantía será hasta 850 salarios mínimos legales mensuales.</w:t>
      </w:r>
    </w:p>
    <w:p w14:paraId="2D7094FD"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400.000 salarios mínimos legales mensuales e inferior a 850.000 salarios mínimos legales mensuales, la menor cuantía será hasta 650 salarios mínimos legales mensuales.</w:t>
      </w:r>
    </w:p>
    <w:p w14:paraId="53106AFA"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superior o igual a 120.000 salarios mínimos legales mensuales e inferior a 400.000 salarios mínimos legales mensuales, la menor cuantía será hasta 450 salarios mínimos legales mensuales.</w:t>
      </w:r>
    </w:p>
    <w:p w14:paraId="37E4D415"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»Las que tengan un presupuesto anual inferior a 120.000 salarios mínimos legales mensuales, la menor cuantía será hasta 280 salarios mínimos legales mensuales».</w:t>
      </w:r>
    </w:p>
    <w:p w14:paraId="60A90C9C"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6">
    <w:p w14:paraId="5055947D"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7E2E54C0"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7">
    <w:p w14:paraId="527645AE"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Como lo indica la doctrina, en la mínima cuantía «El precio es el factor de selección del proponente. Es decir, la </w:t>
      </w:r>
      <w:r w:rsidRPr="00E85B58">
        <w:rPr>
          <w:rFonts w:ascii="Arial" w:hAnsi="Arial" w:cs="Arial"/>
          <w:i/>
          <w:iCs/>
          <w:color w:val="000000" w:themeColor="text1"/>
          <w:sz w:val="18"/>
          <w:szCs w:val="18"/>
          <w:lang w:val="es-ES_tradnl"/>
        </w:rPr>
        <w:t>entidad estatal</w:t>
      </w:r>
      <w:r w:rsidRPr="00E85B58">
        <w:rPr>
          <w:rFonts w:ascii="Arial" w:hAnsi="Arial" w:cs="Arial"/>
          <w:color w:val="000000" w:themeColor="text1"/>
          <w:sz w:val="18"/>
          <w:szCs w:val="18"/>
          <w:lang w:val="es-ES_tradnl"/>
        </w:rPr>
        <w:t xml:space="preserve"> debe adjudicar el </w:t>
      </w:r>
      <w:r w:rsidRPr="00E85B58">
        <w:rPr>
          <w:rFonts w:ascii="Arial" w:hAnsi="Arial" w:cs="Arial"/>
          <w:i/>
          <w:iCs/>
          <w:color w:val="000000" w:themeColor="text1"/>
          <w:sz w:val="18"/>
          <w:szCs w:val="18"/>
          <w:lang w:val="es-ES_tradnl"/>
        </w:rPr>
        <w:t>proceso de contratación</w:t>
      </w:r>
      <w:r w:rsidRPr="00E85B58">
        <w:rPr>
          <w:rFonts w:ascii="Arial" w:hAnsi="Arial" w:cs="Arial"/>
          <w:color w:val="000000" w:themeColor="text1"/>
          <w:sz w:val="18"/>
          <w:szCs w:val="18"/>
          <w:lang w:val="es-ES_tradnl"/>
        </w:rPr>
        <w:t xml:space="preserve"> al oferente que cumpla con todas las condiciones exigidas por la </w:t>
      </w:r>
      <w:r w:rsidRPr="00E85B58">
        <w:rPr>
          <w:rFonts w:ascii="Arial" w:hAnsi="Arial" w:cs="Arial"/>
          <w:i/>
          <w:iCs/>
          <w:color w:val="000000" w:themeColor="text1"/>
          <w:sz w:val="18"/>
          <w:szCs w:val="18"/>
          <w:lang w:val="es-ES_tradnl"/>
        </w:rPr>
        <w:t>entidad estatal</w:t>
      </w:r>
      <w:r w:rsidRPr="00E85B58">
        <w:rPr>
          <w:rFonts w:ascii="Arial" w:hAnsi="Arial" w:cs="Arial"/>
          <w:color w:val="000000" w:themeColor="text1"/>
          <w:sz w:val="18"/>
          <w:szCs w:val="18"/>
          <w:lang w:val="es-ES_tradnl"/>
        </w:rPr>
        <w:t xml:space="preserve"> en los </w:t>
      </w:r>
      <w:r w:rsidRPr="00E85B58">
        <w:rPr>
          <w:rFonts w:ascii="Arial" w:hAnsi="Arial" w:cs="Arial"/>
          <w:i/>
          <w:iCs/>
          <w:color w:val="000000" w:themeColor="text1"/>
          <w:sz w:val="18"/>
          <w:szCs w:val="18"/>
          <w:lang w:val="es-ES_tradnl"/>
        </w:rPr>
        <w:t>documentos del proceso</w:t>
      </w:r>
      <w:r w:rsidRPr="00E85B58">
        <w:rPr>
          <w:rFonts w:ascii="Arial" w:hAnsi="Arial" w:cs="Arial"/>
          <w:color w:val="000000" w:themeColor="text1"/>
          <w:sz w:val="18"/>
          <w:szCs w:val="18"/>
          <w:lang w:val="es-ES_tradnl"/>
        </w:rPr>
        <w:t xml:space="preserve"> (estudios previos e invitación a participar), y que ofrezca el menor valor. No hay lugar a puntajes para evaluar las ofertas sobre las características del objeto a contratar, su calidad o condiciones» (DÁVILA, </w:t>
      </w:r>
      <w:r w:rsidRPr="00E85B58">
        <w:rPr>
          <w:rFonts w:ascii="Arial" w:hAnsi="Arial" w:cs="Arial"/>
          <w:color w:val="000000" w:themeColor="text1"/>
          <w:sz w:val="18"/>
          <w:szCs w:val="18"/>
          <w:lang w:val="es-ES_tradnl"/>
        </w:rPr>
        <w:t>Op.cit., p. 515).</w:t>
      </w:r>
    </w:p>
    <w:p w14:paraId="1E5C0ED6"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8">
    <w:p w14:paraId="4CB1ED6D"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60EE4596"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w:t>
      </w:r>
      <w:r w:rsidRPr="00E85B58">
        <w:rPr>
          <w:rFonts w:ascii="Arial" w:hAnsi="Arial" w:cs="Arial"/>
          <w:color w:val="000000" w:themeColor="text1"/>
          <w:sz w:val="18"/>
          <w:szCs w:val="18"/>
          <w:lang w:val="es-ES_tradnl"/>
        </w:rPr>
        <w:t>e) la disponibilidad presupuestal.</w:t>
      </w:r>
    </w:p>
    <w:p w14:paraId="2FF08746"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»2. La Entidad Estatal debe evaluar las cotizaciones presentadas y seleccionar a quien, con las condiciones requeridas, ofrezca el menor precio del mercado y aceptar la mejor oferta.</w:t>
      </w:r>
    </w:p>
    <w:p w14:paraId="398264F8"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»3. En caso de empate, la Entidad Estatal aceptará la oferta que haya sido presentada primero en el tiempo.</w:t>
      </w:r>
    </w:p>
    <w:p w14:paraId="5A683E15"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»4. La oferta y su aceptación constituyen el contrato».</w:t>
      </w:r>
    </w:p>
    <w:p w14:paraId="6C228A1C"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9">
    <w:p w14:paraId="04195640"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Consejo de Estado. Sección Tercera. Subsección A. Auto del 29 de marzo de 2017. </w:t>
      </w:r>
      <w:r w:rsidRPr="00E85B58">
        <w:rPr>
          <w:rFonts w:ascii="Arial" w:hAnsi="Arial" w:cs="Arial"/>
          <w:color w:val="000000" w:themeColor="text1"/>
          <w:sz w:val="18"/>
          <w:szCs w:val="18"/>
          <w:lang w:val="es-ES_tradnl"/>
        </w:rPr>
        <w:t>Exp. 56.307. Consejero: Carlos Alberto Zambrano Barrera.</w:t>
      </w:r>
    </w:p>
  </w:footnote>
  <w:footnote w:id="10">
    <w:p w14:paraId="5B0E9550"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Style w:val="Refdenotaalpie"/>
          <w:rFonts w:ascii="Arial" w:hAnsi="Arial" w:cs="Arial"/>
          <w:color w:val="000000" w:themeColor="text1"/>
          <w:sz w:val="18"/>
          <w:szCs w:val="18"/>
          <w:lang w:val="es-ES_tradnl"/>
        </w:rPr>
        <w:footnoteRef/>
      </w:r>
      <w:r w:rsidRPr="00E85B58">
        <w:rPr>
          <w:rFonts w:ascii="Arial" w:hAnsi="Arial" w:cs="Arial"/>
          <w:color w:val="000000" w:themeColor="text1"/>
          <w:sz w:val="18"/>
          <w:szCs w:val="18"/>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59830384"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122AB68C"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r w:rsidRPr="00E85B58">
        <w:rPr>
          <w:rFonts w:ascii="Arial" w:hAnsi="Arial" w:cs="Arial"/>
          <w:color w:val="000000" w:themeColor="text1"/>
          <w:sz w:val="18"/>
          <w:szCs w:val="18"/>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p w14:paraId="0BA9D94D" w14:textId="77777777" w:rsidR="00972A56" w:rsidRPr="00E85B58" w:rsidRDefault="00972A56" w:rsidP="00972A56">
      <w:pPr>
        <w:pStyle w:val="Textonotapie"/>
        <w:ind w:firstLine="709"/>
        <w:jc w:val="both"/>
        <w:rPr>
          <w:rFonts w:ascii="Arial" w:hAnsi="Arial" w:cs="Arial"/>
          <w:color w:val="000000" w:themeColor="text1"/>
          <w:sz w:val="18"/>
          <w:szCs w:val="18"/>
          <w:lang w:val="es-ES_tradnl"/>
        </w:rPr>
      </w:pPr>
    </w:p>
  </w:footnote>
  <w:footnote w:id="11">
    <w:p w14:paraId="0E021A8B"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1150 de 2007: «Artículo 2 […] </w:t>
      </w:r>
      <w:r w:rsidRPr="00E85B58">
        <w:rPr>
          <w:rFonts w:ascii="Arial" w:hAnsi="Arial" w:cs="Arial"/>
          <w:color w:val="000000" w:themeColor="text1"/>
          <w:sz w:val="18"/>
          <w:szCs w:val="18"/>
        </w:rPr>
        <w:t xml:space="preserve">5.Contratación mínima Cuantía. La contratación cuyo valor no excede del 10 por ciento de la menor cuantía de la entidad independientemente de su objeto, se efectuará de conformidad con las siguientes reglas:  </w:t>
      </w:r>
    </w:p>
    <w:p w14:paraId="01C1097C"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»a) Se publicará una invitación, por un término no inferior a un día hábil, en la cual se señalará el objeto a contratar, el presupuesto destinado para tal fin, así como las condiciones técnicas exigidas;  </w:t>
      </w:r>
    </w:p>
    <w:p w14:paraId="65959C5B"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»b) El término previsto en la invitación para presentar la oferta no podrá ser inferior a un día hábil;  </w:t>
      </w:r>
    </w:p>
    <w:p w14:paraId="379C45C0"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»c) La entidad seleccionará, mediante comunicación de aceptación de la oferta, la propuesta con el menor precio, siempre y cuando cumpla con las condiciones exigidas;  </w:t>
      </w:r>
    </w:p>
    <w:p w14:paraId="012C9671"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»d) La comunicación de aceptación junto con la oferta constituyen para todos los efectos el contrato celebrado, con base en lo cual se efectuará el respectivo registro presupuestal.  </w:t>
      </w:r>
    </w:p>
    <w:p w14:paraId="26942FAA"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14:paraId="1DF55298"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12">
    <w:p w14:paraId="676E5B49" w14:textId="77777777" w:rsidR="00972A56" w:rsidRPr="00E85B58" w:rsidRDefault="00972A56" w:rsidP="00972A56">
      <w:pPr>
        <w:pStyle w:val="Textonotapie"/>
        <w:ind w:firstLine="708"/>
        <w:jc w:val="both"/>
        <w:rPr>
          <w:rFonts w:ascii="Arial" w:hAnsi="Arial" w:cs="Arial"/>
          <w:color w:val="000000" w:themeColor="text1"/>
          <w:sz w:val="18"/>
          <w:szCs w:val="18"/>
        </w:rPr>
      </w:pPr>
    </w:p>
    <w:p w14:paraId="0FB0DB59"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Decreto 1082 de 2015: «Artículo 2.2.1.2.1.5.2. Procedimiento para la contratación de mínima cuantía. Las siguientes reglas son aplicables a la contratación cuyo valor no excede del 10% de la menor cuantía de la Entidad Estatal, independientemente de su objeto: </w:t>
      </w:r>
    </w:p>
    <w:p w14:paraId="0EDB9CA2"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1A14A847"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258872D4"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»3. La invitación se hará por un término no inferior a un (1) día hábil. Si los interesados formulan observaciones o comentarios a la invitación, estos serán contestados por la Entidad Estatal antes del vencimiento del plazo para presentar ofertas. </w:t>
      </w:r>
    </w:p>
    <w:p w14:paraId="7EA9E9FB"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14:paraId="57824083"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»5. La Entidad Estatal debe publicar el informe de evaluación durante un (1) día hábil. </w:t>
      </w:r>
    </w:p>
    <w:p w14:paraId="3AF1C505"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68202C14"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»7. En caso de empate, la Entidad Estatal aceptará la oferta que haya sido presentada primero en el tiempo. </w:t>
      </w:r>
    </w:p>
    <w:p w14:paraId="3547DE3F"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»8. La oferta y su aceptación constituyen el contrato».</w:t>
      </w:r>
    </w:p>
  </w:footnote>
  <w:footnote w:id="13">
    <w:p w14:paraId="2125EEB4"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Agencia Nacional de Contratación Pública ―Colombia Compra Eficiente. Manual de la Modalidad de Selección de Mínima Cuantía M-MSMC-03. Disponible en: </w:t>
      </w:r>
      <w:hyperlink r:id="rId1" w:history="1">
        <w:r w:rsidRPr="00E85B58">
          <w:rPr>
            <w:rStyle w:val="Hipervnculo"/>
            <w:rFonts w:ascii="Arial" w:hAnsi="Arial" w:cs="Arial"/>
            <w:color w:val="000000" w:themeColor="text1"/>
            <w:sz w:val="18"/>
            <w:szCs w:val="18"/>
          </w:rPr>
          <w:t>https://www.colombiacompra.gov.co/sites/cce_public/files/cce_documents/manual_de_la_modalidad_de_seleccion_de_minima_cuantia.pdf</w:t>
        </w:r>
      </w:hyperlink>
    </w:p>
  </w:footnote>
  <w:footnote w:id="14">
    <w:p w14:paraId="474344BC"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Real Academia Española de la Lengua. Diccionario de la Lengua Española. Edición Tricentenario. Disponible en: </w:t>
      </w:r>
      <w:hyperlink r:id="rId2" w:history="1">
        <w:r w:rsidRPr="00E85B58">
          <w:rPr>
            <w:rStyle w:val="Hipervnculo"/>
            <w:rFonts w:ascii="Arial" w:hAnsi="Arial" w:cs="Arial"/>
            <w:color w:val="000000" w:themeColor="text1"/>
            <w:sz w:val="18"/>
            <w:szCs w:val="18"/>
          </w:rPr>
          <w:t>https://dle.rae.es/h%C3%A1bil</w:t>
        </w:r>
      </w:hyperlink>
      <w:r w:rsidRPr="00E85B58">
        <w:rPr>
          <w:rFonts w:ascii="Arial" w:hAnsi="Arial" w:cs="Arial"/>
          <w:color w:val="000000" w:themeColor="text1"/>
          <w:sz w:val="18"/>
          <w:szCs w:val="18"/>
          <w:lang w:val="es-CO"/>
        </w:rPr>
        <w:t xml:space="preserve"> </w:t>
      </w:r>
    </w:p>
  </w:footnote>
  <w:footnote w:id="15">
    <w:p w14:paraId="7AB0B5DD" w14:textId="77777777" w:rsidR="00972A56" w:rsidRPr="00E85B58" w:rsidRDefault="00972A56" w:rsidP="00972A56">
      <w:pPr>
        <w:pStyle w:val="Textonotapie"/>
        <w:ind w:firstLine="708"/>
        <w:rPr>
          <w:rFonts w:ascii="Arial" w:hAnsi="Arial" w:cs="Arial"/>
          <w:color w:val="000000" w:themeColor="text1"/>
          <w:sz w:val="18"/>
          <w:szCs w:val="18"/>
        </w:rPr>
      </w:pPr>
      <w:r w:rsidRPr="00E85B58">
        <w:rPr>
          <w:rStyle w:val="Refdenotaalpie"/>
          <w:color w:val="000000" w:themeColor="text1"/>
        </w:rPr>
        <w:footnoteRef/>
      </w:r>
      <w:r w:rsidRPr="00E85B58">
        <w:rPr>
          <w:color w:val="000000" w:themeColor="text1"/>
        </w:rPr>
        <w:t xml:space="preserve"> </w:t>
      </w:r>
      <w:r w:rsidRPr="00E85B58">
        <w:rPr>
          <w:rFonts w:ascii="Arial" w:hAnsi="Arial" w:cs="Arial"/>
          <w:color w:val="000000" w:themeColor="text1"/>
          <w:sz w:val="18"/>
          <w:szCs w:val="18"/>
        </w:rPr>
        <w:t>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r w:rsidRPr="00E85B58">
        <w:rPr>
          <w:rFonts w:ascii="Arial" w:hAnsi="Arial" w:cs="Arial"/>
          <w:color w:val="000000" w:themeColor="text1"/>
          <w:sz w:val="18"/>
          <w:szCs w:val="18"/>
        </w:rPr>
        <w:t xml:space="preserve">Ltda y Centro de Estudios de Derecho Administrativo, 2017. p. 417.  </w:t>
      </w:r>
    </w:p>
    <w:p w14:paraId="683DC9C2" w14:textId="77777777" w:rsidR="00972A56" w:rsidRPr="00E85B58" w:rsidRDefault="00972A56" w:rsidP="00972A56">
      <w:pPr>
        <w:pStyle w:val="Textonotapie"/>
        <w:rPr>
          <w:color w:val="000000" w:themeColor="text1"/>
          <w:lang w:val="es-CO"/>
        </w:rPr>
      </w:pPr>
    </w:p>
  </w:footnote>
  <w:footnote w:id="16">
    <w:p w14:paraId="2571F5AA" w14:textId="228202A5" w:rsidR="00972A56" w:rsidRDefault="00972A56" w:rsidP="00972A56">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Consejo de Estado. </w:t>
      </w:r>
      <w:r w:rsidRPr="00E85B58">
        <w:rPr>
          <w:rFonts w:ascii="Arial" w:hAnsi="Arial" w:cs="Arial"/>
          <w:color w:val="000000" w:themeColor="text1"/>
          <w:sz w:val="18"/>
          <w:szCs w:val="18"/>
        </w:rPr>
        <w:t xml:space="preserve">Sala Plena de lo Contencioso Administrativo. Sentencia del 12 de abril de 1978. C.P. Carlos Portocarrero Mutis. </w:t>
      </w:r>
      <w:r w:rsidRPr="00E85B58">
        <w:rPr>
          <w:rFonts w:ascii="Arial" w:hAnsi="Arial" w:cs="Arial"/>
          <w:color w:val="000000" w:themeColor="text1"/>
          <w:sz w:val="18"/>
          <w:szCs w:val="18"/>
        </w:rPr>
        <w:t>Exp. 355.</w:t>
      </w:r>
    </w:p>
    <w:p w14:paraId="70AC38CC" w14:textId="77777777" w:rsidR="00F37163" w:rsidRPr="00E85B58" w:rsidRDefault="00F37163" w:rsidP="00972A56">
      <w:pPr>
        <w:pStyle w:val="Textonotapie"/>
        <w:ind w:firstLine="708"/>
        <w:jc w:val="both"/>
        <w:rPr>
          <w:rFonts w:ascii="Arial" w:hAnsi="Arial" w:cs="Arial"/>
          <w:color w:val="000000" w:themeColor="text1"/>
          <w:sz w:val="18"/>
          <w:szCs w:val="18"/>
          <w:lang w:val="es-CO"/>
        </w:rPr>
      </w:pPr>
    </w:p>
  </w:footnote>
  <w:footnote w:id="17">
    <w:p w14:paraId="1FEA3A99"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Consejo de Estado. Sección Cuarta. Auto del 26 de febrero de 1983.</w:t>
      </w:r>
    </w:p>
  </w:footnote>
  <w:footnote w:id="18">
    <w:p w14:paraId="77D6D020" w14:textId="77777777" w:rsidR="00972A56" w:rsidRPr="00E85B58" w:rsidRDefault="00972A56" w:rsidP="00972A56">
      <w:pPr>
        <w:pStyle w:val="Textonotapie"/>
        <w:ind w:firstLine="708"/>
        <w:jc w:val="both"/>
        <w:rPr>
          <w:rFonts w:ascii="Arial" w:hAnsi="Arial" w:cs="Arial"/>
          <w:color w:val="000000" w:themeColor="text1"/>
          <w:sz w:val="18"/>
          <w:szCs w:val="18"/>
        </w:rPr>
      </w:pPr>
    </w:p>
    <w:p w14:paraId="06FB65F2"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r w:rsidRPr="00E85B58">
        <w:rPr>
          <w:rFonts w:ascii="Arial" w:hAnsi="Arial" w:cs="Arial"/>
          <w:color w:val="000000" w:themeColor="text1"/>
          <w:sz w:val="18"/>
          <w:szCs w:val="18"/>
        </w:rPr>
        <w:t xml:space="preserve">Ltda y Centro de Estudios de Derecho Administrativo, 2017. p. 417.  </w:t>
      </w:r>
    </w:p>
  </w:footnote>
  <w:footnote w:id="19">
    <w:p w14:paraId="7582B460" w14:textId="77777777" w:rsidR="00972A56" w:rsidRPr="00E85B58" w:rsidRDefault="00972A56" w:rsidP="00972A56">
      <w:pPr>
        <w:pStyle w:val="Textonotapie"/>
        <w:ind w:firstLine="708"/>
        <w:jc w:val="both"/>
        <w:rPr>
          <w:rFonts w:ascii="Arial" w:hAnsi="Arial" w:cs="Arial"/>
          <w:color w:val="000000" w:themeColor="text1"/>
          <w:sz w:val="18"/>
          <w:szCs w:val="18"/>
        </w:rPr>
      </w:pPr>
    </w:p>
    <w:p w14:paraId="324EC14F"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i/>
          <w:iCs/>
          <w:color w:val="000000" w:themeColor="text1"/>
          <w:sz w:val="18"/>
          <w:szCs w:val="18"/>
        </w:rPr>
        <w:t>Ibídem.</w:t>
      </w:r>
      <w:r w:rsidRPr="00E85B58">
        <w:rPr>
          <w:rFonts w:ascii="Arial" w:hAnsi="Arial" w:cs="Arial"/>
          <w:color w:val="000000" w:themeColor="text1"/>
          <w:sz w:val="18"/>
          <w:szCs w:val="18"/>
        </w:rPr>
        <w:t xml:space="preserve"> </w:t>
      </w:r>
    </w:p>
  </w:footnote>
  <w:footnote w:id="20">
    <w:p w14:paraId="125AC60C"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1437 de 2011: «Artículo 7°. Deberes de las autoridades en la atención al público. Las autoridades tendrán, frente a las personas que ante ellas acudan y en relación con los asuntos que tramiten, los siguientes deberes: </w:t>
      </w:r>
    </w:p>
    <w:p w14:paraId="3F6C85BD" w14:textId="77777777" w:rsidR="00972A56" w:rsidRPr="00E85B58" w:rsidRDefault="00972A56" w:rsidP="00972A56">
      <w:pPr>
        <w:pStyle w:val="Textonotapie"/>
        <w:jc w:val="both"/>
        <w:rPr>
          <w:rFonts w:ascii="Arial" w:hAnsi="Arial" w:cs="Arial"/>
          <w:color w:val="000000" w:themeColor="text1"/>
          <w:sz w:val="18"/>
          <w:szCs w:val="18"/>
        </w:rPr>
      </w:pP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ab/>
        <w:t>[…]</w:t>
      </w:r>
    </w:p>
    <w:p w14:paraId="41537329" w14:textId="77777777" w:rsidR="00972A56" w:rsidRPr="00E85B58" w:rsidRDefault="00972A56" w:rsidP="00972A56">
      <w:pPr>
        <w:pStyle w:val="Textonotapie"/>
        <w:ind w:firstLine="708"/>
        <w:jc w:val="both"/>
        <w:rPr>
          <w:rFonts w:ascii="Arial" w:hAnsi="Arial" w:cs="Arial"/>
          <w:color w:val="000000" w:themeColor="text1"/>
          <w:sz w:val="18"/>
          <w:szCs w:val="18"/>
          <w:lang w:val="es-CO"/>
        </w:rPr>
      </w:pPr>
      <w:r w:rsidRPr="00E85B58">
        <w:rPr>
          <w:rFonts w:ascii="Arial" w:hAnsi="Arial" w:cs="Arial"/>
          <w:color w:val="000000" w:themeColor="text1"/>
          <w:sz w:val="18"/>
          <w:szCs w:val="18"/>
        </w:rPr>
        <w:t>»2. Garantizar atención personal al público, como mínimo durante cuarenta (40) horas a la semana, las cuales se distribuirán en horarios que satisfagan las necesidades del servicio […]».</w:t>
      </w:r>
    </w:p>
  </w:footnote>
  <w:footnote w:id="21">
    <w:p w14:paraId="3975BB05" w14:textId="77777777" w:rsidR="00972A56" w:rsidRPr="00E85B58" w:rsidRDefault="00972A56" w:rsidP="00972A56">
      <w:pPr>
        <w:pStyle w:val="Textonotapie"/>
        <w:ind w:firstLine="708"/>
        <w:rPr>
          <w:color w:val="000000" w:themeColor="text1"/>
        </w:rPr>
      </w:pPr>
    </w:p>
    <w:p w14:paraId="74948176"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«Artículo 2.2.1.1.2.1.3. Pliegos de condiciones. Los pliegos de condiciones deben contener por lo menos la siguiente información: </w:t>
      </w:r>
    </w:p>
    <w:p w14:paraId="0037731F"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6A482B6D"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5. Las reglas aplicables a la presentación de las ofertas, su evaluación y a la adjudicación del contrato. </w:t>
      </w:r>
    </w:p>
    <w:p w14:paraId="6DB6D328" w14:textId="77777777" w:rsidR="00972A56" w:rsidRPr="00E85B58" w:rsidRDefault="00972A56" w:rsidP="00972A56">
      <w:pPr>
        <w:pStyle w:val="Textonotapie"/>
        <w:ind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19CF969A" w14:textId="77777777" w:rsidR="00972A56" w:rsidRPr="00E85B58" w:rsidRDefault="00972A56" w:rsidP="00972A56">
      <w:pPr>
        <w:pStyle w:val="Textonotapie"/>
        <w:ind w:firstLine="708"/>
        <w:jc w:val="both"/>
        <w:rPr>
          <w:color w:val="000000" w:themeColor="text1"/>
          <w:lang w:val="es-CO"/>
        </w:rPr>
      </w:pPr>
      <w:r w:rsidRPr="00E85B58">
        <w:rPr>
          <w:rFonts w:ascii="Arial" w:hAnsi="Arial" w:cs="Arial"/>
          <w:color w:val="000000" w:themeColor="text1"/>
          <w:sz w:val="18"/>
          <w:szCs w:val="18"/>
        </w:rPr>
        <w:t>14. El Cronograma».</w:t>
      </w:r>
    </w:p>
  </w:footnote>
  <w:footnote w:id="22">
    <w:p w14:paraId="49CEC894" w14:textId="77777777" w:rsidR="007F7889" w:rsidRPr="00823963" w:rsidRDefault="000A14E4"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w:t>
      </w:r>
      <w:r w:rsidR="00104887" w:rsidRPr="00823963">
        <w:rPr>
          <w:rFonts w:ascii="Arial" w:hAnsi="Arial" w:cs="Arial"/>
          <w:sz w:val="19"/>
          <w:szCs w:val="19"/>
        </w:rPr>
        <w:t>y 80 de 1993: «Artículo 3º.</w:t>
      </w:r>
      <w:r w:rsidR="00617E23" w:rsidRPr="00823963">
        <w:rPr>
          <w:rFonts w:ascii="Arial" w:hAnsi="Arial" w:cs="Arial"/>
          <w:sz w:val="19"/>
          <w:szCs w:val="19"/>
        </w:rPr>
        <w:t xml:space="preserve"> De los fines de la contratación estatal. Los servidores públicos tendrán en consideración que al celebrar contratos y con la ejecución de </w:t>
      </w:r>
      <w:r w:rsidR="00617E23" w:rsidRPr="00823963">
        <w:rPr>
          <w:rFonts w:ascii="Arial" w:hAnsi="Arial" w:cs="Arial"/>
          <w:sz w:val="19"/>
          <w:szCs w:val="19"/>
        </w:rPr>
        <w:t>los mismos, las entidades buscan el cumplimiento de los fines estatales, la continua y eficiente prestación de los servicios públicos y la efectividad de los derechos e intereses de los administrados que colaboran con ellas en la consecución de dichos fines.</w:t>
      </w:r>
    </w:p>
    <w:p w14:paraId="604EE43C" w14:textId="592BCF75" w:rsidR="000A14E4" w:rsidRPr="00823963" w:rsidRDefault="007F7889" w:rsidP="003607C1">
      <w:pPr>
        <w:pStyle w:val="Textonotapie"/>
        <w:ind w:firstLine="709"/>
        <w:jc w:val="both"/>
        <w:rPr>
          <w:rFonts w:ascii="Arial" w:hAnsi="Arial" w:cs="Arial"/>
          <w:sz w:val="19"/>
          <w:szCs w:val="19"/>
        </w:rPr>
      </w:pPr>
      <w:r w:rsidRPr="00823963">
        <w:rPr>
          <w:rFonts w:ascii="Arial" w:hAnsi="Arial" w:cs="Arial"/>
          <w:sz w:val="19"/>
          <w:szCs w:val="19"/>
        </w:rPr>
        <w:t>»</w:t>
      </w:r>
      <w:r w:rsidR="00617E23" w:rsidRPr="00823963">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r w:rsidRPr="00823963">
        <w:rPr>
          <w:rFonts w:ascii="Arial" w:hAnsi="Arial" w:cs="Arial"/>
          <w:sz w:val="19"/>
          <w:szCs w:val="19"/>
        </w:rPr>
        <w:t>»</w:t>
      </w:r>
      <w:r w:rsidR="00124EE9" w:rsidRPr="00823963">
        <w:rPr>
          <w:rFonts w:ascii="Arial" w:hAnsi="Arial" w:cs="Arial"/>
          <w:sz w:val="19"/>
          <w:szCs w:val="19"/>
        </w:rPr>
        <w:t>.</w:t>
      </w:r>
    </w:p>
    <w:p w14:paraId="00C2B258" w14:textId="77777777" w:rsidR="008668CA" w:rsidRPr="00823963" w:rsidRDefault="008668CA" w:rsidP="003607C1">
      <w:pPr>
        <w:pStyle w:val="Textonotapie"/>
        <w:ind w:firstLine="709"/>
        <w:jc w:val="both"/>
        <w:rPr>
          <w:rFonts w:ascii="Arial" w:hAnsi="Arial" w:cs="Arial"/>
          <w:sz w:val="19"/>
          <w:szCs w:val="19"/>
        </w:rPr>
      </w:pPr>
    </w:p>
  </w:footnote>
  <w:footnote w:id="23">
    <w:p w14:paraId="54151542" w14:textId="565CD6E3" w:rsidR="003F1591" w:rsidRPr="00823963" w:rsidRDefault="003F1591" w:rsidP="003607C1">
      <w:pPr>
        <w:pStyle w:val="Textonotapie"/>
        <w:ind w:firstLine="709"/>
        <w:jc w:val="both"/>
        <w:rPr>
          <w:rFonts w:ascii="Arial" w:hAnsi="Arial" w:cs="Arial"/>
          <w:sz w:val="19"/>
          <w:szCs w:val="19"/>
          <w:lang w:val="es-CO"/>
        </w:rPr>
      </w:pPr>
      <w:r w:rsidRPr="00823963">
        <w:rPr>
          <w:rStyle w:val="Refdenotaalpie"/>
          <w:rFonts w:ascii="Arial" w:hAnsi="Arial" w:cs="Arial"/>
          <w:sz w:val="19"/>
          <w:szCs w:val="19"/>
        </w:rPr>
        <w:footnoteRef/>
      </w:r>
      <w:r w:rsidRPr="00823963">
        <w:rPr>
          <w:rFonts w:ascii="Arial" w:hAnsi="Arial" w:cs="Arial"/>
          <w:sz w:val="19"/>
          <w:szCs w:val="19"/>
        </w:rPr>
        <w:t xml:space="preserve"> </w:t>
      </w:r>
      <w:r w:rsidR="00070127" w:rsidRPr="00823963">
        <w:rPr>
          <w:rFonts w:ascii="Arial" w:hAnsi="Arial" w:cs="Arial"/>
          <w:sz w:val="19"/>
          <w:szCs w:val="19"/>
        </w:rPr>
        <w:t xml:space="preserve">Ley 80 de 1993: </w:t>
      </w:r>
      <w:r w:rsidR="00704F9F" w:rsidRPr="00823963">
        <w:rPr>
          <w:rFonts w:ascii="Arial" w:hAnsi="Arial" w:cs="Arial"/>
          <w:sz w:val="19"/>
          <w:szCs w:val="19"/>
        </w:rPr>
        <w:t>«Artículo 23. D</w:t>
      </w:r>
      <w:r w:rsidR="00EB52F9" w:rsidRPr="00823963">
        <w:rPr>
          <w:rFonts w:ascii="Arial" w:hAnsi="Arial" w:cs="Arial"/>
          <w:sz w:val="19"/>
          <w:szCs w:val="19"/>
        </w:rPr>
        <w:t>e los principios en las actuaciones contractuales de las entidades estatales.</w:t>
      </w:r>
      <w:r w:rsidR="00704F9F" w:rsidRPr="00823963">
        <w:rPr>
          <w:rFonts w:ascii="Arial" w:hAnsi="Arial" w:cs="Arial"/>
          <w:sz w:val="19"/>
          <w:szCs w:val="19"/>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00EB52F9" w:rsidRPr="00823963">
        <w:rPr>
          <w:rFonts w:ascii="Arial" w:hAnsi="Arial" w:cs="Arial"/>
          <w:sz w:val="19"/>
          <w:szCs w:val="19"/>
        </w:rPr>
        <w:t>»</w:t>
      </w:r>
      <w:r w:rsidR="008668CA" w:rsidRPr="00823963">
        <w:rPr>
          <w:rFonts w:ascii="Arial" w:hAnsi="Arial" w:cs="Arial"/>
          <w:sz w:val="19"/>
          <w:szCs w:val="19"/>
        </w:rPr>
        <w:t>.</w:t>
      </w:r>
    </w:p>
  </w:footnote>
  <w:footnote w:id="24">
    <w:p w14:paraId="122C972C" w14:textId="34920B78" w:rsidR="00BC17AA" w:rsidRPr="00823963" w:rsidRDefault="00BC17AA"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Consejo de Estado. Sección Tercera. Sentencia del </w:t>
      </w:r>
      <w:r w:rsidR="006F052E" w:rsidRPr="00823963">
        <w:rPr>
          <w:rFonts w:ascii="Arial" w:hAnsi="Arial" w:cs="Arial"/>
          <w:sz w:val="19"/>
          <w:szCs w:val="19"/>
        </w:rPr>
        <w:t xml:space="preserve">3 de diciembre </w:t>
      </w:r>
      <w:r w:rsidRPr="00823963">
        <w:rPr>
          <w:rFonts w:ascii="Arial" w:hAnsi="Arial" w:cs="Arial"/>
          <w:sz w:val="19"/>
          <w:szCs w:val="19"/>
        </w:rPr>
        <w:t>de 20</w:t>
      </w:r>
      <w:r w:rsidR="006F052E" w:rsidRPr="00823963">
        <w:rPr>
          <w:rFonts w:ascii="Arial" w:hAnsi="Arial" w:cs="Arial"/>
          <w:sz w:val="19"/>
          <w:szCs w:val="19"/>
        </w:rPr>
        <w:t>07</w:t>
      </w:r>
      <w:r w:rsidRPr="00823963">
        <w:rPr>
          <w:rFonts w:ascii="Arial" w:hAnsi="Arial" w:cs="Arial"/>
          <w:sz w:val="19"/>
          <w:szCs w:val="19"/>
        </w:rPr>
        <w:t xml:space="preserve">. </w:t>
      </w:r>
      <w:r w:rsidRPr="00823963">
        <w:rPr>
          <w:rFonts w:ascii="Arial" w:hAnsi="Arial" w:cs="Arial"/>
          <w:sz w:val="19"/>
          <w:szCs w:val="19"/>
        </w:rPr>
        <w:t xml:space="preserve">Exp. </w:t>
      </w:r>
      <w:r w:rsidR="00852EBF" w:rsidRPr="00823963">
        <w:rPr>
          <w:rFonts w:ascii="Arial" w:hAnsi="Arial" w:cs="Arial"/>
          <w:sz w:val="19"/>
          <w:szCs w:val="19"/>
        </w:rPr>
        <w:t>24.715</w:t>
      </w:r>
      <w:r w:rsidRPr="00823963">
        <w:rPr>
          <w:rFonts w:ascii="Arial" w:hAnsi="Arial" w:cs="Arial"/>
          <w:sz w:val="19"/>
          <w:szCs w:val="19"/>
        </w:rPr>
        <w:t>. Consejera Ponente: Ruth Stella Correa Palacio.</w:t>
      </w:r>
    </w:p>
    <w:p w14:paraId="61CED1BC" w14:textId="77777777" w:rsidR="00A51AA1" w:rsidRPr="00823963" w:rsidRDefault="00A51AA1" w:rsidP="003607C1">
      <w:pPr>
        <w:pStyle w:val="Textonotapie"/>
        <w:ind w:firstLine="709"/>
        <w:jc w:val="both"/>
        <w:rPr>
          <w:rFonts w:ascii="Arial" w:hAnsi="Arial" w:cs="Arial"/>
          <w:sz w:val="19"/>
          <w:szCs w:val="19"/>
          <w:lang w:val="es-CO"/>
        </w:rPr>
      </w:pPr>
    </w:p>
  </w:footnote>
  <w:footnote w:id="25">
    <w:p w14:paraId="5961F7B3" w14:textId="55365DB1" w:rsidR="002F1094" w:rsidRPr="00823963" w:rsidRDefault="002F1094"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Concepto </w:t>
      </w:r>
      <w:r w:rsidR="00790E5D" w:rsidRPr="00823963">
        <w:rPr>
          <w:rFonts w:ascii="Arial" w:hAnsi="Arial" w:cs="Arial"/>
          <w:sz w:val="19"/>
          <w:szCs w:val="19"/>
        </w:rPr>
        <w:t xml:space="preserve">con radicado número </w:t>
      </w:r>
      <w:r w:rsidR="00F361AA" w:rsidRPr="00823963">
        <w:rPr>
          <w:rFonts w:ascii="Arial" w:hAnsi="Arial" w:cs="Arial"/>
          <w:sz w:val="19"/>
          <w:szCs w:val="19"/>
        </w:rPr>
        <w:t>4201912000006639 del 29 de noviembre de 2019</w:t>
      </w:r>
      <w:r w:rsidR="00CC2924" w:rsidRPr="00823963">
        <w:rPr>
          <w:rFonts w:ascii="Arial" w:hAnsi="Arial" w:cs="Arial"/>
          <w:sz w:val="19"/>
          <w:szCs w:val="19"/>
        </w:rPr>
        <w:t xml:space="preserve"> «Tipo de asunto consultado: Sujetos que pueden hacer observaciones al informe de evaluación en un procedimiento contractual mediante la modalidad de licitación pública»</w:t>
      </w:r>
      <w:r w:rsidR="00AF48A6" w:rsidRPr="00823963">
        <w:rPr>
          <w:rFonts w:ascii="Arial" w:hAnsi="Arial" w:cs="Arial"/>
          <w:sz w:val="19"/>
          <w:szCs w:val="19"/>
        </w:rPr>
        <w:t>.</w:t>
      </w:r>
    </w:p>
    <w:p w14:paraId="2E3CCEA1" w14:textId="77777777" w:rsidR="00AF48A6" w:rsidRPr="00823963" w:rsidRDefault="00AF48A6" w:rsidP="003607C1">
      <w:pPr>
        <w:pStyle w:val="Textonotapie"/>
        <w:ind w:firstLine="709"/>
        <w:jc w:val="both"/>
        <w:rPr>
          <w:rFonts w:ascii="Arial" w:hAnsi="Arial" w:cs="Arial"/>
          <w:sz w:val="19"/>
          <w:szCs w:val="19"/>
          <w:lang w:val="es-CO"/>
        </w:rPr>
      </w:pPr>
    </w:p>
  </w:footnote>
  <w:footnote w:id="26">
    <w:p w14:paraId="4885D736" w14:textId="5405B019" w:rsidR="00270A35" w:rsidRPr="00823963" w:rsidRDefault="005C0FEE"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007246BC" w:rsidRPr="00823963">
        <w:rPr>
          <w:rFonts w:ascii="Arial" w:hAnsi="Arial" w:cs="Arial"/>
          <w:sz w:val="19"/>
          <w:szCs w:val="19"/>
        </w:rPr>
        <w:t xml:space="preserve"> </w:t>
      </w:r>
      <w:r w:rsidRPr="00823963">
        <w:rPr>
          <w:rFonts w:ascii="Arial" w:hAnsi="Arial" w:cs="Arial"/>
          <w:sz w:val="19"/>
          <w:szCs w:val="19"/>
        </w:rPr>
        <w:t xml:space="preserve">Ley 1150 de 2007: «Artículo 8. </w:t>
      </w:r>
      <w:r w:rsidR="006839FB" w:rsidRPr="00823963">
        <w:rPr>
          <w:rFonts w:ascii="Arial" w:hAnsi="Arial" w:cs="Arial"/>
          <w:sz w:val="19"/>
          <w:szCs w:val="19"/>
        </w:rPr>
        <w:t xml:space="preserve">De la publicación de proyectos de pliegos de condiciones, y estudios previos. </w:t>
      </w:r>
      <w:r w:rsidR="00270A35" w:rsidRPr="00823963">
        <w:rPr>
          <w:rFonts w:ascii="Arial" w:hAnsi="Arial" w:cs="Arial"/>
          <w:sz w:val="19"/>
          <w:szCs w:val="19"/>
        </w:rPr>
        <w:t>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30859FF7" w14:textId="112C69DE" w:rsidR="0054119B" w:rsidRPr="00823963" w:rsidRDefault="0054119B" w:rsidP="003607C1">
      <w:pPr>
        <w:pStyle w:val="Textonotapie"/>
        <w:ind w:firstLine="709"/>
        <w:jc w:val="both"/>
        <w:rPr>
          <w:rFonts w:ascii="Arial" w:hAnsi="Arial" w:cs="Arial"/>
          <w:sz w:val="19"/>
          <w:szCs w:val="19"/>
        </w:rPr>
      </w:pPr>
      <w:r w:rsidRPr="00823963">
        <w:rPr>
          <w:rFonts w:ascii="Arial" w:hAnsi="Arial" w:cs="Arial"/>
          <w:sz w:val="19"/>
          <w:szCs w:val="19"/>
        </w:rPr>
        <w:t>[…]</w:t>
      </w:r>
    </w:p>
    <w:p w14:paraId="387673A8" w14:textId="1841D499" w:rsidR="00270A35" w:rsidRPr="00823963" w:rsidRDefault="00080A05" w:rsidP="003607C1">
      <w:pPr>
        <w:pStyle w:val="Textonotapie"/>
        <w:ind w:firstLine="709"/>
        <w:jc w:val="both"/>
        <w:rPr>
          <w:rFonts w:ascii="Arial" w:hAnsi="Arial" w:cs="Arial"/>
          <w:sz w:val="19"/>
          <w:szCs w:val="19"/>
        </w:rPr>
      </w:pPr>
      <w:r w:rsidRPr="00823963">
        <w:rPr>
          <w:rFonts w:ascii="Arial" w:hAnsi="Arial" w:cs="Arial"/>
          <w:sz w:val="19"/>
          <w:szCs w:val="19"/>
        </w:rPr>
        <w:t>»</w:t>
      </w:r>
      <w:r w:rsidR="00270A35" w:rsidRPr="00823963">
        <w:rPr>
          <w:rFonts w:ascii="Arial" w:hAnsi="Arial" w:cs="Arial"/>
          <w:sz w:val="19"/>
          <w:szCs w:val="19"/>
        </w:rPr>
        <w:t>Junto con los proyectos de pliegos de condiciones se publicarán los estudios y documentos previos que sirvieron de base para su elaboración.</w:t>
      </w:r>
    </w:p>
    <w:p w14:paraId="0A6E444F" w14:textId="57BE6586" w:rsidR="005C0FEE" w:rsidRPr="00823963" w:rsidRDefault="00080A05" w:rsidP="003607C1">
      <w:pPr>
        <w:pStyle w:val="Textonotapie"/>
        <w:ind w:firstLine="709"/>
        <w:jc w:val="both"/>
        <w:rPr>
          <w:rFonts w:ascii="Arial" w:hAnsi="Arial" w:cs="Arial"/>
          <w:sz w:val="19"/>
          <w:szCs w:val="19"/>
        </w:rPr>
      </w:pPr>
      <w:r w:rsidRPr="00823963">
        <w:rPr>
          <w:rFonts w:ascii="Arial" w:hAnsi="Arial" w:cs="Arial"/>
          <w:sz w:val="19"/>
          <w:szCs w:val="19"/>
        </w:rPr>
        <w:t>»</w:t>
      </w:r>
      <w:r w:rsidR="00270A35" w:rsidRPr="00823963">
        <w:rPr>
          <w:rFonts w:ascii="Arial" w:hAnsi="Arial" w:cs="Arial"/>
          <w:sz w:val="19"/>
          <w:szCs w:val="19"/>
        </w:rPr>
        <w:t>Las Entidades deberán publicar las razones por las cuales se acogen o rechazan las observaciones a los proyectos de pliegos</w:t>
      </w:r>
      <w:r w:rsidRPr="00823963">
        <w:rPr>
          <w:rFonts w:ascii="Arial" w:hAnsi="Arial" w:cs="Arial"/>
          <w:sz w:val="19"/>
          <w:szCs w:val="19"/>
        </w:rPr>
        <w:t>».</w:t>
      </w:r>
    </w:p>
    <w:p w14:paraId="4C254CB9" w14:textId="77777777" w:rsidR="00270A35" w:rsidRPr="00823963" w:rsidRDefault="00270A35" w:rsidP="003607C1">
      <w:pPr>
        <w:pStyle w:val="Textonotapie"/>
        <w:ind w:firstLine="709"/>
        <w:jc w:val="both"/>
        <w:rPr>
          <w:rFonts w:ascii="Arial" w:hAnsi="Arial" w:cs="Arial"/>
          <w:sz w:val="19"/>
          <w:szCs w:val="19"/>
          <w:lang w:val="es-CO"/>
        </w:rPr>
      </w:pPr>
    </w:p>
  </w:footnote>
  <w:footnote w:id="27">
    <w:p w14:paraId="1D716E46" w14:textId="77777777" w:rsidR="00B939BE" w:rsidRPr="0044603A" w:rsidRDefault="00B939BE" w:rsidP="00B939BE">
      <w:pPr>
        <w:pStyle w:val="Textonotapie"/>
        <w:ind w:firstLine="708"/>
        <w:jc w:val="both"/>
        <w:rPr>
          <w:rFonts w:ascii="Arial" w:hAnsi="Arial" w:cs="Arial"/>
          <w:sz w:val="19"/>
          <w:szCs w:val="19"/>
        </w:rPr>
      </w:pPr>
      <w:r w:rsidRPr="0044603A">
        <w:rPr>
          <w:rStyle w:val="Refdenotaalpie"/>
          <w:rFonts w:ascii="Arial" w:hAnsi="Arial" w:cs="Arial"/>
          <w:sz w:val="19"/>
          <w:szCs w:val="19"/>
        </w:rPr>
        <w:footnoteRef/>
      </w:r>
      <w:r w:rsidRPr="0044603A">
        <w:rPr>
          <w:rFonts w:ascii="Arial" w:hAnsi="Arial" w:cs="Arial"/>
          <w:sz w:val="19"/>
          <w:szCs w:val="19"/>
        </w:rPr>
        <w:t xml:space="preserve"> Decreto 1082 de 2015 «Artículo 2.2.1.1.2.2.1. Modificación de los pliegos de condiciones. La Entidad Estatal puede modificar los pliegos de condiciones a través de Adendas expedidas antes del vencimiento del plazo para presentar ofertas. </w:t>
      </w:r>
    </w:p>
    <w:p w14:paraId="23A02F87" w14:textId="77777777" w:rsidR="00B939BE" w:rsidRPr="0044603A" w:rsidRDefault="00B939BE" w:rsidP="00B939BE">
      <w:pPr>
        <w:pStyle w:val="Textonotapie"/>
        <w:ind w:firstLine="708"/>
        <w:jc w:val="both"/>
        <w:rPr>
          <w:rFonts w:ascii="Arial" w:hAnsi="Arial" w:cs="Arial"/>
          <w:sz w:val="19"/>
          <w:szCs w:val="19"/>
        </w:rPr>
      </w:pPr>
      <w:r w:rsidRPr="0044603A">
        <w:rPr>
          <w:rFonts w:ascii="Arial" w:hAnsi="Arial" w:cs="Arial"/>
          <w:sz w:val="19"/>
          <w:szCs w:val="19"/>
        </w:rPr>
        <w:t xml:space="preserve">»La Entidad Estatal puede expedir Adendas para modificar el Cronograma una vez vencido el término para la presentación de las ofertas y antes de la adjudicación del contrato. </w:t>
      </w:r>
    </w:p>
    <w:p w14:paraId="534C0C15" w14:textId="77777777" w:rsidR="00B939BE" w:rsidRPr="0044603A" w:rsidRDefault="00B939BE" w:rsidP="00B939BE">
      <w:pPr>
        <w:pStyle w:val="Textonotapie"/>
        <w:ind w:firstLine="708"/>
        <w:jc w:val="both"/>
        <w:rPr>
          <w:lang w:val="es-CO"/>
        </w:rPr>
      </w:pPr>
      <w:r w:rsidRPr="0044603A">
        <w:rPr>
          <w:rFonts w:ascii="Arial" w:hAnsi="Arial" w:cs="Arial"/>
          <w:sz w:val="19"/>
          <w:szCs w:val="19"/>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8F2"/>
    <w:rsid w:val="000179EC"/>
    <w:rsid w:val="00020C17"/>
    <w:rsid w:val="00021BA0"/>
    <w:rsid w:val="00022A52"/>
    <w:rsid w:val="00026984"/>
    <w:rsid w:val="00026AD9"/>
    <w:rsid w:val="000273B6"/>
    <w:rsid w:val="00032DCA"/>
    <w:rsid w:val="00033CF0"/>
    <w:rsid w:val="00033E2B"/>
    <w:rsid w:val="0003447F"/>
    <w:rsid w:val="00046724"/>
    <w:rsid w:val="000469B9"/>
    <w:rsid w:val="000532C4"/>
    <w:rsid w:val="00057EB5"/>
    <w:rsid w:val="00057FD0"/>
    <w:rsid w:val="00070127"/>
    <w:rsid w:val="0007021E"/>
    <w:rsid w:val="00072050"/>
    <w:rsid w:val="0007328A"/>
    <w:rsid w:val="00080076"/>
    <w:rsid w:val="00080A05"/>
    <w:rsid w:val="00084236"/>
    <w:rsid w:val="00086C0F"/>
    <w:rsid w:val="00087C9D"/>
    <w:rsid w:val="00090683"/>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7B6A"/>
    <w:rsid w:val="000C007D"/>
    <w:rsid w:val="000C0421"/>
    <w:rsid w:val="000C097B"/>
    <w:rsid w:val="000C2DAC"/>
    <w:rsid w:val="000C4B7F"/>
    <w:rsid w:val="000C5B99"/>
    <w:rsid w:val="000D4D6F"/>
    <w:rsid w:val="000D5A3E"/>
    <w:rsid w:val="000D71A8"/>
    <w:rsid w:val="000E0B48"/>
    <w:rsid w:val="000E3C6E"/>
    <w:rsid w:val="000F0AD9"/>
    <w:rsid w:val="000F14C5"/>
    <w:rsid w:val="000F14E8"/>
    <w:rsid w:val="000F2324"/>
    <w:rsid w:val="000F766A"/>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9C4"/>
    <w:rsid w:val="0012044D"/>
    <w:rsid w:val="00122B23"/>
    <w:rsid w:val="00122C5B"/>
    <w:rsid w:val="00124EE9"/>
    <w:rsid w:val="00131912"/>
    <w:rsid w:val="00137317"/>
    <w:rsid w:val="00137FFA"/>
    <w:rsid w:val="001410E7"/>
    <w:rsid w:val="00146CF4"/>
    <w:rsid w:val="001470FF"/>
    <w:rsid w:val="001501ED"/>
    <w:rsid w:val="001568B3"/>
    <w:rsid w:val="001600FC"/>
    <w:rsid w:val="001606BC"/>
    <w:rsid w:val="00165686"/>
    <w:rsid w:val="001676F9"/>
    <w:rsid w:val="00167E26"/>
    <w:rsid w:val="0017055B"/>
    <w:rsid w:val="001746BF"/>
    <w:rsid w:val="00175159"/>
    <w:rsid w:val="00177217"/>
    <w:rsid w:val="00180FC9"/>
    <w:rsid w:val="001823EF"/>
    <w:rsid w:val="00182B89"/>
    <w:rsid w:val="00183DAD"/>
    <w:rsid w:val="00184A9A"/>
    <w:rsid w:val="00191781"/>
    <w:rsid w:val="001956FF"/>
    <w:rsid w:val="001974DF"/>
    <w:rsid w:val="001A6980"/>
    <w:rsid w:val="001B0EBB"/>
    <w:rsid w:val="001B3E78"/>
    <w:rsid w:val="001B484A"/>
    <w:rsid w:val="001B5DC2"/>
    <w:rsid w:val="001C3BBA"/>
    <w:rsid w:val="001C6D55"/>
    <w:rsid w:val="001C7B0D"/>
    <w:rsid w:val="001C7B98"/>
    <w:rsid w:val="001D3A34"/>
    <w:rsid w:val="001D7441"/>
    <w:rsid w:val="001D7D74"/>
    <w:rsid w:val="001E1EB0"/>
    <w:rsid w:val="001E3D09"/>
    <w:rsid w:val="001E4683"/>
    <w:rsid w:val="001F1063"/>
    <w:rsid w:val="001F3B61"/>
    <w:rsid w:val="001F3CA1"/>
    <w:rsid w:val="001F44C7"/>
    <w:rsid w:val="001F61EC"/>
    <w:rsid w:val="002007E4"/>
    <w:rsid w:val="00204060"/>
    <w:rsid w:val="002106F2"/>
    <w:rsid w:val="00214F6C"/>
    <w:rsid w:val="0021641A"/>
    <w:rsid w:val="0022315F"/>
    <w:rsid w:val="0022539D"/>
    <w:rsid w:val="00226F0B"/>
    <w:rsid w:val="00232C17"/>
    <w:rsid w:val="00234B84"/>
    <w:rsid w:val="00234DE9"/>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B1089"/>
    <w:rsid w:val="002B22A8"/>
    <w:rsid w:val="002B74EA"/>
    <w:rsid w:val="002B7754"/>
    <w:rsid w:val="002C02EA"/>
    <w:rsid w:val="002C0A42"/>
    <w:rsid w:val="002C1B22"/>
    <w:rsid w:val="002C3B82"/>
    <w:rsid w:val="002C407E"/>
    <w:rsid w:val="002C4DDE"/>
    <w:rsid w:val="002D3326"/>
    <w:rsid w:val="002D54AB"/>
    <w:rsid w:val="002E21A1"/>
    <w:rsid w:val="002E3BB5"/>
    <w:rsid w:val="002E6CCC"/>
    <w:rsid w:val="002F1094"/>
    <w:rsid w:val="002F420A"/>
    <w:rsid w:val="002F656D"/>
    <w:rsid w:val="002F707C"/>
    <w:rsid w:val="003033BA"/>
    <w:rsid w:val="00303F15"/>
    <w:rsid w:val="003054A5"/>
    <w:rsid w:val="00305891"/>
    <w:rsid w:val="00305F5C"/>
    <w:rsid w:val="003116BF"/>
    <w:rsid w:val="00311E31"/>
    <w:rsid w:val="0031445E"/>
    <w:rsid w:val="003151A6"/>
    <w:rsid w:val="0031564F"/>
    <w:rsid w:val="00316C07"/>
    <w:rsid w:val="00320BEC"/>
    <w:rsid w:val="0032273F"/>
    <w:rsid w:val="00322AEA"/>
    <w:rsid w:val="00324F88"/>
    <w:rsid w:val="00325957"/>
    <w:rsid w:val="003263F6"/>
    <w:rsid w:val="003279DB"/>
    <w:rsid w:val="0033151A"/>
    <w:rsid w:val="00334F3C"/>
    <w:rsid w:val="0033631F"/>
    <w:rsid w:val="0033706B"/>
    <w:rsid w:val="00340E9A"/>
    <w:rsid w:val="00343DE4"/>
    <w:rsid w:val="00344743"/>
    <w:rsid w:val="0034680A"/>
    <w:rsid w:val="00346F03"/>
    <w:rsid w:val="00355762"/>
    <w:rsid w:val="0035627B"/>
    <w:rsid w:val="003607C1"/>
    <w:rsid w:val="00366B8E"/>
    <w:rsid w:val="00367706"/>
    <w:rsid w:val="0037224F"/>
    <w:rsid w:val="00372947"/>
    <w:rsid w:val="00375E2B"/>
    <w:rsid w:val="0038175B"/>
    <w:rsid w:val="00381D5F"/>
    <w:rsid w:val="0038234D"/>
    <w:rsid w:val="0038276A"/>
    <w:rsid w:val="00386456"/>
    <w:rsid w:val="00392BAF"/>
    <w:rsid w:val="003932DC"/>
    <w:rsid w:val="003956A9"/>
    <w:rsid w:val="003957CA"/>
    <w:rsid w:val="003A0FA4"/>
    <w:rsid w:val="003A41FF"/>
    <w:rsid w:val="003A4D93"/>
    <w:rsid w:val="003A4F7E"/>
    <w:rsid w:val="003A581E"/>
    <w:rsid w:val="003A6781"/>
    <w:rsid w:val="003B1CBD"/>
    <w:rsid w:val="003B749D"/>
    <w:rsid w:val="003B77F7"/>
    <w:rsid w:val="003C256C"/>
    <w:rsid w:val="003C49EE"/>
    <w:rsid w:val="003C4D17"/>
    <w:rsid w:val="003D2FFF"/>
    <w:rsid w:val="003D77D3"/>
    <w:rsid w:val="003E62CC"/>
    <w:rsid w:val="003E755F"/>
    <w:rsid w:val="003F0265"/>
    <w:rsid w:val="003F1591"/>
    <w:rsid w:val="003F3C8A"/>
    <w:rsid w:val="00400483"/>
    <w:rsid w:val="00401EF7"/>
    <w:rsid w:val="00403A40"/>
    <w:rsid w:val="004064D0"/>
    <w:rsid w:val="00411141"/>
    <w:rsid w:val="00415C9E"/>
    <w:rsid w:val="0041681D"/>
    <w:rsid w:val="00417CF7"/>
    <w:rsid w:val="004207C6"/>
    <w:rsid w:val="0042202D"/>
    <w:rsid w:val="00424B4C"/>
    <w:rsid w:val="00432C2B"/>
    <w:rsid w:val="00435165"/>
    <w:rsid w:val="004363DD"/>
    <w:rsid w:val="00436EB4"/>
    <w:rsid w:val="004371B1"/>
    <w:rsid w:val="00440254"/>
    <w:rsid w:val="004416A0"/>
    <w:rsid w:val="004422D6"/>
    <w:rsid w:val="0044603A"/>
    <w:rsid w:val="004515B4"/>
    <w:rsid w:val="004523B8"/>
    <w:rsid w:val="0046006D"/>
    <w:rsid w:val="00467232"/>
    <w:rsid w:val="00470C58"/>
    <w:rsid w:val="00472FF4"/>
    <w:rsid w:val="00480EE1"/>
    <w:rsid w:val="00483658"/>
    <w:rsid w:val="00484AB0"/>
    <w:rsid w:val="00491AF8"/>
    <w:rsid w:val="00493B3C"/>
    <w:rsid w:val="00497781"/>
    <w:rsid w:val="004A08A8"/>
    <w:rsid w:val="004A2F90"/>
    <w:rsid w:val="004A34D2"/>
    <w:rsid w:val="004A4E5D"/>
    <w:rsid w:val="004B4015"/>
    <w:rsid w:val="004B40B0"/>
    <w:rsid w:val="004B5ABC"/>
    <w:rsid w:val="004B6480"/>
    <w:rsid w:val="004B7530"/>
    <w:rsid w:val="004C68A1"/>
    <w:rsid w:val="004D3D92"/>
    <w:rsid w:val="004D56C0"/>
    <w:rsid w:val="004D6F87"/>
    <w:rsid w:val="004E0818"/>
    <w:rsid w:val="004E3410"/>
    <w:rsid w:val="004F1B2B"/>
    <w:rsid w:val="004F5ACE"/>
    <w:rsid w:val="004F6DFE"/>
    <w:rsid w:val="00500B75"/>
    <w:rsid w:val="00501D22"/>
    <w:rsid w:val="0050419F"/>
    <w:rsid w:val="00504CDA"/>
    <w:rsid w:val="0051074C"/>
    <w:rsid w:val="00513AF2"/>
    <w:rsid w:val="0051714B"/>
    <w:rsid w:val="00521BD5"/>
    <w:rsid w:val="00524E94"/>
    <w:rsid w:val="00526287"/>
    <w:rsid w:val="00530603"/>
    <w:rsid w:val="00531BA7"/>
    <w:rsid w:val="005358E8"/>
    <w:rsid w:val="00535C46"/>
    <w:rsid w:val="00536209"/>
    <w:rsid w:val="0054119B"/>
    <w:rsid w:val="0054413A"/>
    <w:rsid w:val="00550EE5"/>
    <w:rsid w:val="0055334C"/>
    <w:rsid w:val="00553E74"/>
    <w:rsid w:val="005546DA"/>
    <w:rsid w:val="005564CA"/>
    <w:rsid w:val="0056008D"/>
    <w:rsid w:val="00561092"/>
    <w:rsid w:val="00565771"/>
    <w:rsid w:val="00566A3D"/>
    <w:rsid w:val="00573A49"/>
    <w:rsid w:val="00593333"/>
    <w:rsid w:val="00593B1E"/>
    <w:rsid w:val="00594337"/>
    <w:rsid w:val="00595082"/>
    <w:rsid w:val="0059529F"/>
    <w:rsid w:val="005956AE"/>
    <w:rsid w:val="00596E3F"/>
    <w:rsid w:val="00597A66"/>
    <w:rsid w:val="005A0F62"/>
    <w:rsid w:val="005A3A23"/>
    <w:rsid w:val="005A452D"/>
    <w:rsid w:val="005A4CBD"/>
    <w:rsid w:val="005A6079"/>
    <w:rsid w:val="005A79FE"/>
    <w:rsid w:val="005A7D64"/>
    <w:rsid w:val="005A7F32"/>
    <w:rsid w:val="005B014E"/>
    <w:rsid w:val="005B0D91"/>
    <w:rsid w:val="005B0E7C"/>
    <w:rsid w:val="005B0F06"/>
    <w:rsid w:val="005B535C"/>
    <w:rsid w:val="005B5F34"/>
    <w:rsid w:val="005B7A31"/>
    <w:rsid w:val="005C059F"/>
    <w:rsid w:val="005C0FEE"/>
    <w:rsid w:val="005C20D2"/>
    <w:rsid w:val="005C5176"/>
    <w:rsid w:val="005D0969"/>
    <w:rsid w:val="005D0D8C"/>
    <w:rsid w:val="005D1784"/>
    <w:rsid w:val="005D1B1D"/>
    <w:rsid w:val="005D2F21"/>
    <w:rsid w:val="005D61AD"/>
    <w:rsid w:val="005D6649"/>
    <w:rsid w:val="005E1D2F"/>
    <w:rsid w:val="005E2A4B"/>
    <w:rsid w:val="005E3B74"/>
    <w:rsid w:val="005E6249"/>
    <w:rsid w:val="005E6734"/>
    <w:rsid w:val="005F1274"/>
    <w:rsid w:val="005F63C3"/>
    <w:rsid w:val="0060141A"/>
    <w:rsid w:val="00604180"/>
    <w:rsid w:val="006048D4"/>
    <w:rsid w:val="00604D12"/>
    <w:rsid w:val="00611EDE"/>
    <w:rsid w:val="00613924"/>
    <w:rsid w:val="006156B8"/>
    <w:rsid w:val="00617E23"/>
    <w:rsid w:val="00620D9A"/>
    <w:rsid w:val="00622929"/>
    <w:rsid w:val="006233C8"/>
    <w:rsid w:val="00623652"/>
    <w:rsid w:val="006244D1"/>
    <w:rsid w:val="00624862"/>
    <w:rsid w:val="00626304"/>
    <w:rsid w:val="006341D3"/>
    <w:rsid w:val="0063426E"/>
    <w:rsid w:val="00634D73"/>
    <w:rsid w:val="00635D90"/>
    <w:rsid w:val="0063612F"/>
    <w:rsid w:val="006362F6"/>
    <w:rsid w:val="00636ADB"/>
    <w:rsid w:val="00640202"/>
    <w:rsid w:val="00640D29"/>
    <w:rsid w:val="00647642"/>
    <w:rsid w:val="00647FB3"/>
    <w:rsid w:val="00651F4D"/>
    <w:rsid w:val="00654038"/>
    <w:rsid w:val="00654BF5"/>
    <w:rsid w:val="00655371"/>
    <w:rsid w:val="00664066"/>
    <w:rsid w:val="00664A41"/>
    <w:rsid w:val="006652C5"/>
    <w:rsid w:val="0066683C"/>
    <w:rsid w:val="006678DC"/>
    <w:rsid w:val="006713FC"/>
    <w:rsid w:val="00675F3B"/>
    <w:rsid w:val="00676132"/>
    <w:rsid w:val="006839FB"/>
    <w:rsid w:val="00686F15"/>
    <w:rsid w:val="00690310"/>
    <w:rsid w:val="006913CF"/>
    <w:rsid w:val="006935DC"/>
    <w:rsid w:val="00693D14"/>
    <w:rsid w:val="00695B02"/>
    <w:rsid w:val="00695EA3"/>
    <w:rsid w:val="0069616C"/>
    <w:rsid w:val="00697665"/>
    <w:rsid w:val="006A03EA"/>
    <w:rsid w:val="006A397F"/>
    <w:rsid w:val="006A7FD0"/>
    <w:rsid w:val="006B5BFE"/>
    <w:rsid w:val="006B5F26"/>
    <w:rsid w:val="006B6446"/>
    <w:rsid w:val="006C11EC"/>
    <w:rsid w:val="006C5D24"/>
    <w:rsid w:val="006C6F6C"/>
    <w:rsid w:val="006D005F"/>
    <w:rsid w:val="006D1AAA"/>
    <w:rsid w:val="006D320C"/>
    <w:rsid w:val="006D6D4B"/>
    <w:rsid w:val="006D7687"/>
    <w:rsid w:val="006E0572"/>
    <w:rsid w:val="006E2124"/>
    <w:rsid w:val="006F052E"/>
    <w:rsid w:val="006F05AE"/>
    <w:rsid w:val="006F0D49"/>
    <w:rsid w:val="006F2B9E"/>
    <w:rsid w:val="006F3AD0"/>
    <w:rsid w:val="006F3C5B"/>
    <w:rsid w:val="006F5204"/>
    <w:rsid w:val="006F5F94"/>
    <w:rsid w:val="006F7416"/>
    <w:rsid w:val="00700417"/>
    <w:rsid w:val="00700637"/>
    <w:rsid w:val="00701506"/>
    <w:rsid w:val="0070168F"/>
    <w:rsid w:val="00703917"/>
    <w:rsid w:val="0070419B"/>
    <w:rsid w:val="00704F9F"/>
    <w:rsid w:val="00705631"/>
    <w:rsid w:val="00705B4D"/>
    <w:rsid w:val="00706720"/>
    <w:rsid w:val="0071460B"/>
    <w:rsid w:val="00717EA0"/>
    <w:rsid w:val="0072351E"/>
    <w:rsid w:val="007246BC"/>
    <w:rsid w:val="007276CA"/>
    <w:rsid w:val="007302DD"/>
    <w:rsid w:val="0073440A"/>
    <w:rsid w:val="00736AF6"/>
    <w:rsid w:val="00742DD2"/>
    <w:rsid w:val="007464C3"/>
    <w:rsid w:val="00746C97"/>
    <w:rsid w:val="00747283"/>
    <w:rsid w:val="007508F1"/>
    <w:rsid w:val="00750E95"/>
    <w:rsid w:val="00754877"/>
    <w:rsid w:val="00754A02"/>
    <w:rsid w:val="0075647A"/>
    <w:rsid w:val="00760BD6"/>
    <w:rsid w:val="007611C4"/>
    <w:rsid w:val="007634AD"/>
    <w:rsid w:val="00764473"/>
    <w:rsid w:val="00770C09"/>
    <w:rsid w:val="00775FF9"/>
    <w:rsid w:val="0077777E"/>
    <w:rsid w:val="0078122E"/>
    <w:rsid w:val="00782F73"/>
    <w:rsid w:val="007901EB"/>
    <w:rsid w:val="0079027B"/>
    <w:rsid w:val="00790E5D"/>
    <w:rsid w:val="007912F2"/>
    <w:rsid w:val="00793831"/>
    <w:rsid w:val="007A29A8"/>
    <w:rsid w:val="007A2B3C"/>
    <w:rsid w:val="007A535A"/>
    <w:rsid w:val="007A65FC"/>
    <w:rsid w:val="007B024B"/>
    <w:rsid w:val="007B0854"/>
    <w:rsid w:val="007B4FF4"/>
    <w:rsid w:val="007B5076"/>
    <w:rsid w:val="007C0005"/>
    <w:rsid w:val="007C1CD2"/>
    <w:rsid w:val="007C5074"/>
    <w:rsid w:val="007C6E6A"/>
    <w:rsid w:val="007D5913"/>
    <w:rsid w:val="007D67B0"/>
    <w:rsid w:val="007E3FA8"/>
    <w:rsid w:val="007E4A10"/>
    <w:rsid w:val="007E76DE"/>
    <w:rsid w:val="007E793E"/>
    <w:rsid w:val="007F6B5F"/>
    <w:rsid w:val="007F6E4B"/>
    <w:rsid w:val="007F72CB"/>
    <w:rsid w:val="007F7889"/>
    <w:rsid w:val="007F7953"/>
    <w:rsid w:val="008004A6"/>
    <w:rsid w:val="00801AC5"/>
    <w:rsid w:val="00803048"/>
    <w:rsid w:val="0080324F"/>
    <w:rsid w:val="00804FEB"/>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4781A"/>
    <w:rsid w:val="0085092D"/>
    <w:rsid w:val="008524C3"/>
    <w:rsid w:val="00852EBF"/>
    <w:rsid w:val="0085515F"/>
    <w:rsid w:val="008552FB"/>
    <w:rsid w:val="008566F8"/>
    <w:rsid w:val="0085720F"/>
    <w:rsid w:val="008639E7"/>
    <w:rsid w:val="00864F0E"/>
    <w:rsid w:val="0086672C"/>
    <w:rsid w:val="008668CA"/>
    <w:rsid w:val="008701A2"/>
    <w:rsid w:val="00871196"/>
    <w:rsid w:val="00872A43"/>
    <w:rsid w:val="00873912"/>
    <w:rsid w:val="00875624"/>
    <w:rsid w:val="00877E95"/>
    <w:rsid w:val="00881840"/>
    <w:rsid w:val="008820D9"/>
    <w:rsid w:val="00882B32"/>
    <w:rsid w:val="00882FBB"/>
    <w:rsid w:val="008837C5"/>
    <w:rsid w:val="008866E2"/>
    <w:rsid w:val="00886854"/>
    <w:rsid w:val="0089026E"/>
    <w:rsid w:val="008929FF"/>
    <w:rsid w:val="00893DA8"/>
    <w:rsid w:val="008957F9"/>
    <w:rsid w:val="008A0E32"/>
    <w:rsid w:val="008A2287"/>
    <w:rsid w:val="008B14DE"/>
    <w:rsid w:val="008B5052"/>
    <w:rsid w:val="008B540B"/>
    <w:rsid w:val="008B573F"/>
    <w:rsid w:val="008B6C27"/>
    <w:rsid w:val="008C5043"/>
    <w:rsid w:val="008D0255"/>
    <w:rsid w:val="008D16FC"/>
    <w:rsid w:val="008D1A50"/>
    <w:rsid w:val="008D280F"/>
    <w:rsid w:val="008D55B2"/>
    <w:rsid w:val="008D7C48"/>
    <w:rsid w:val="008E15D0"/>
    <w:rsid w:val="008E197C"/>
    <w:rsid w:val="008E1C15"/>
    <w:rsid w:val="008E541E"/>
    <w:rsid w:val="008E58F0"/>
    <w:rsid w:val="008E5A50"/>
    <w:rsid w:val="008E66DF"/>
    <w:rsid w:val="008E7D2E"/>
    <w:rsid w:val="008F0915"/>
    <w:rsid w:val="008F1081"/>
    <w:rsid w:val="008F37B6"/>
    <w:rsid w:val="008F3EB4"/>
    <w:rsid w:val="008F6A28"/>
    <w:rsid w:val="008F7FD6"/>
    <w:rsid w:val="00900CD8"/>
    <w:rsid w:val="009047C5"/>
    <w:rsid w:val="00904AF1"/>
    <w:rsid w:val="0090545B"/>
    <w:rsid w:val="00906480"/>
    <w:rsid w:val="0091455C"/>
    <w:rsid w:val="009155EA"/>
    <w:rsid w:val="00921D38"/>
    <w:rsid w:val="009228F3"/>
    <w:rsid w:val="00922D56"/>
    <w:rsid w:val="00925566"/>
    <w:rsid w:val="00925BE9"/>
    <w:rsid w:val="0093384C"/>
    <w:rsid w:val="00935A2D"/>
    <w:rsid w:val="0094233A"/>
    <w:rsid w:val="00945D4E"/>
    <w:rsid w:val="0094641D"/>
    <w:rsid w:val="00947539"/>
    <w:rsid w:val="00950C4E"/>
    <w:rsid w:val="009531E9"/>
    <w:rsid w:val="0095385A"/>
    <w:rsid w:val="00955413"/>
    <w:rsid w:val="00955F41"/>
    <w:rsid w:val="0096050B"/>
    <w:rsid w:val="009606E0"/>
    <w:rsid w:val="0096071B"/>
    <w:rsid w:val="00962545"/>
    <w:rsid w:val="00963D72"/>
    <w:rsid w:val="009721E6"/>
    <w:rsid w:val="00972A56"/>
    <w:rsid w:val="0097455A"/>
    <w:rsid w:val="009823C6"/>
    <w:rsid w:val="0098485F"/>
    <w:rsid w:val="009875B8"/>
    <w:rsid w:val="00987716"/>
    <w:rsid w:val="009933FD"/>
    <w:rsid w:val="009A0375"/>
    <w:rsid w:val="009A1768"/>
    <w:rsid w:val="009A3BF9"/>
    <w:rsid w:val="009A52AA"/>
    <w:rsid w:val="009B1241"/>
    <w:rsid w:val="009C19F6"/>
    <w:rsid w:val="009C2731"/>
    <w:rsid w:val="009C53DB"/>
    <w:rsid w:val="009D2DE6"/>
    <w:rsid w:val="009D36E9"/>
    <w:rsid w:val="009D46D8"/>
    <w:rsid w:val="009D54EC"/>
    <w:rsid w:val="009D5A1F"/>
    <w:rsid w:val="009D7209"/>
    <w:rsid w:val="009E182F"/>
    <w:rsid w:val="009E2A00"/>
    <w:rsid w:val="009E73B5"/>
    <w:rsid w:val="009F0EAF"/>
    <w:rsid w:val="009F4136"/>
    <w:rsid w:val="009F48F4"/>
    <w:rsid w:val="009F5D49"/>
    <w:rsid w:val="009F7CCD"/>
    <w:rsid w:val="00A00FAE"/>
    <w:rsid w:val="00A032E4"/>
    <w:rsid w:val="00A03364"/>
    <w:rsid w:val="00A0718D"/>
    <w:rsid w:val="00A07EEB"/>
    <w:rsid w:val="00A1387B"/>
    <w:rsid w:val="00A139F2"/>
    <w:rsid w:val="00A1714F"/>
    <w:rsid w:val="00A20EAE"/>
    <w:rsid w:val="00A211FC"/>
    <w:rsid w:val="00A24560"/>
    <w:rsid w:val="00A24EF7"/>
    <w:rsid w:val="00A3196D"/>
    <w:rsid w:val="00A34377"/>
    <w:rsid w:val="00A34538"/>
    <w:rsid w:val="00A37884"/>
    <w:rsid w:val="00A456B2"/>
    <w:rsid w:val="00A51AA1"/>
    <w:rsid w:val="00A542A7"/>
    <w:rsid w:val="00A617A0"/>
    <w:rsid w:val="00A62ADA"/>
    <w:rsid w:val="00A63500"/>
    <w:rsid w:val="00A64EAE"/>
    <w:rsid w:val="00A65B7F"/>
    <w:rsid w:val="00A667D7"/>
    <w:rsid w:val="00A70DE5"/>
    <w:rsid w:val="00A737E6"/>
    <w:rsid w:val="00A7446C"/>
    <w:rsid w:val="00A751E6"/>
    <w:rsid w:val="00A80765"/>
    <w:rsid w:val="00A975D9"/>
    <w:rsid w:val="00AA1802"/>
    <w:rsid w:val="00AA1D5A"/>
    <w:rsid w:val="00AA23B9"/>
    <w:rsid w:val="00AA442B"/>
    <w:rsid w:val="00AA4FB7"/>
    <w:rsid w:val="00AA753E"/>
    <w:rsid w:val="00AC04D1"/>
    <w:rsid w:val="00AC6C82"/>
    <w:rsid w:val="00AD0DBE"/>
    <w:rsid w:val="00AE1106"/>
    <w:rsid w:val="00AE170B"/>
    <w:rsid w:val="00AE27A7"/>
    <w:rsid w:val="00AE6034"/>
    <w:rsid w:val="00AE6988"/>
    <w:rsid w:val="00AE74BA"/>
    <w:rsid w:val="00AF1C89"/>
    <w:rsid w:val="00AF3754"/>
    <w:rsid w:val="00AF3810"/>
    <w:rsid w:val="00AF3C99"/>
    <w:rsid w:val="00AF48A6"/>
    <w:rsid w:val="00B011AD"/>
    <w:rsid w:val="00B04570"/>
    <w:rsid w:val="00B04E5A"/>
    <w:rsid w:val="00B05082"/>
    <w:rsid w:val="00B05685"/>
    <w:rsid w:val="00B06DB6"/>
    <w:rsid w:val="00B07020"/>
    <w:rsid w:val="00B07C93"/>
    <w:rsid w:val="00B104FB"/>
    <w:rsid w:val="00B172AB"/>
    <w:rsid w:val="00B20E92"/>
    <w:rsid w:val="00B21853"/>
    <w:rsid w:val="00B22E22"/>
    <w:rsid w:val="00B33DF3"/>
    <w:rsid w:val="00B35AD5"/>
    <w:rsid w:val="00B375EF"/>
    <w:rsid w:val="00B4148A"/>
    <w:rsid w:val="00B42D84"/>
    <w:rsid w:val="00B44319"/>
    <w:rsid w:val="00B44C6B"/>
    <w:rsid w:val="00B52277"/>
    <w:rsid w:val="00B525CB"/>
    <w:rsid w:val="00B606AE"/>
    <w:rsid w:val="00B60E21"/>
    <w:rsid w:val="00B63CB2"/>
    <w:rsid w:val="00B64D86"/>
    <w:rsid w:val="00B7127D"/>
    <w:rsid w:val="00B71667"/>
    <w:rsid w:val="00B728A5"/>
    <w:rsid w:val="00B73DEE"/>
    <w:rsid w:val="00B745E8"/>
    <w:rsid w:val="00B7508D"/>
    <w:rsid w:val="00B76064"/>
    <w:rsid w:val="00B765CD"/>
    <w:rsid w:val="00B8232B"/>
    <w:rsid w:val="00B82A8E"/>
    <w:rsid w:val="00B841C8"/>
    <w:rsid w:val="00B85735"/>
    <w:rsid w:val="00B862F6"/>
    <w:rsid w:val="00B9264D"/>
    <w:rsid w:val="00B92F0D"/>
    <w:rsid w:val="00B939BE"/>
    <w:rsid w:val="00B959E7"/>
    <w:rsid w:val="00B97FF3"/>
    <w:rsid w:val="00BA028A"/>
    <w:rsid w:val="00BA03B1"/>
    <w:rsid w:val="00BA09D6"/>
    <w:rsid w:val="00BB0477"/>
    <w:rsid w:val="00BB2EC5"/>
    <w:rsid w:val="00BB4ECC"/>
    <w:rsid w:val="00BB567C"/>
    <w:rsid w:val="00BB6314"/>
    <w:rsid w:val="00BB73C3"/>
    <w:rsid w:val="00BB76C8"/>
    <w:rsid w:val="00BC0435"/>
    <w:rsid w:val="00BC0553"/>
    <w:rsid w:val="00BC0C83"/>
    <w:rsid w:val="00BC17AA"/>
    <w:rsid w:val="00BC2763"/>
    <w:rsid w:val="00BC2896"/>
    <w:rsid w:val="00BC3082"/>
    <w:rsid w:val="00BC5A6A"/>
    <w:rsid w:val="00BD1364"/>
    <w:rsid w:val="00BD24F7"/>
    <w:rsid w:val="00BD4192"/>
    <w:rsid w:val="00BD5028"/>
    <w:rsid w:val="00BD5D80"/>
    <w:rsid w:val="00BD6190"/>
    <w:rsid w:val="00BD78FE"/>
    <w:rsid w:val="00BE22FC"/>
    <w:rsid w:val="00BE2D4D"/>
    <w:rsid w:val="00BE60D0"/>
    <w:rsid w:val="00BE704E"/>
    <w:rsid w:val="00BF0970"/>
    <w:rsid w:val="00BF27E9"/>
    <w:rsid w:val="00BF4330"/>
    <w:rsid w:val="00BF4E81"/>
    <w:rsid w:val="00BF6723"/>
    <w:rsid w:val="00BF7D79"/>
    <w:rsid w:val="00C02A28"/>
    <w:rsid w:val="00C02F60"/>
    <w:rsid w:val="00C03917"/>
    <w:rsid w:val="00C041A1"/>
    <w:rsid w:val="00C0607F"/>
    <w:rsid w:val="00C06443"/>
    <w:rsid w:val="00C07F86"/>
    <w:rsid w:val="00C11FB6"/>
    <w:rsid w:val="00C12677"/>
    <w:rsid w:val="00C1503B"/>
    <w:rsid w:val="00C1508A"/>
    <w:rsid w:val="00C157B3"/>
    <w:rsid w:val="00C2341D"/>
    <w:rsid w:val="00C2713D"/>
    <w:rsid w:val="00C31F87"/>
    <w:rsid w:val="00C33B1D"/>
    <w:rsid w:val="00C44259"/>
    <w:rsid w:val="00C449B5"/>
    <w:rsid w:val="00C467D5"/>
    <w:rsid w:val="00C517AC"/>
    <w:rsid w:val="00C525B1"/>
    <w:rsid w:val="00C61414"/>
    <w:rsid w:val="00C626D7"/>
    <w:rsid w:val="00C7673C"/>
    <w:rsid w:val="00C80B17"/>
    <w:rsid w:val="00C80CC4"/>
    <w:rsid w:val="00C846CA"/>
    <w:rsid w:val="00C857EB"/>
    <w:rsid w:val="00C871F2"/>
    <w:rsid w:val="00C878AF"/>
    <w:rsid w:val="00C93D49"/>
    <w:rsid w:val="00CA0838"/>
    <w:rsid w:val="00CA0BCB"/>
    <w:rsid w:val="00CA287E"/>
    <w:rsid w:val="00CB2EE0"/>
    <w:rsid w:val="00CB55AE"/>
    <w:rsid w:val="00CC00CD"/>
    <w:rsid w:val="00CC2924"/>
    <w:rsid w:val="00CC55CA"/>
    <w:rsid w:val="00CC7AF3"/>
    <w:rsid w:val="00CC7BF7"/>
    <w:rsid w:val="00CD4BD4"/>
    <w:rsid w:val="00CD4CF0"/>
    <w:rsid w:val="00CD50BF"/>
    <w:rsid w:val="00CD5662"/>
    <w:rsid w:val="00CE302E"/>
    <w:rsid w:val="00CE3D07"/>
    <w:rsid w:val="00CE5926"/>
    <w:rsid w:val="00CE5E8A"/>
    <w:rsid w:val="00CF16F1"/>
    <w:rsid w:val="00CF1DE5"/>
    <w:rsid w:val="00CF6C19"/>
    <w:rsid w:val="00D02615"/>
    <w:rsid w:val="00D060D9"/>
    <w:rsid w:val="00D10462"/>
    <w:rsid w:val="00D12206"/>
    <w:rsid w:val="00D1409A"/>
    <w:rsid w:val="00D15F65"/>
    <w:rsid w:val="00D166ED"/>
    <w:rsid w:val="00D16E39"/>
    <w:rsid w:val="00D206E0"/>
    <w:rsid w:val="00D23C6A"/>
    <w:rsid w:val="00D259CA"/>
    <w:rsid w:val="00D30F2E"/>
    <w:rsid w:val="00D3287F"/>
    <w:rsid w:val="00D34BCF"/>
    <w:rsid w:val="00D35852"/>
    <w:rsid w:val="00D36E4A"/>
    <w:rsid w:val="00D41929"/>
    <w:rsid w:val="00D41B41"/>
    <w:rsid w:val="00D44F0A"/>
    <w:rsid w:val="00D45EEC"/>
    <w:rsid w:val="00D52976"/>
    <w:rsid w:val="00D562FD"/>
    <w:rsid w:val="00D6191F"/>
    <w:rsid w:val="00D704A0"/>
    <w:rsid w:val="00D72434"/>
    <w:rsid w:val="00D72E9D"/>
    <w:rsid w:val="00D735B3"/>
    <w:rsid w:val="00D805B5"/>
    <w:rsid w:val="00D82CE5"/>
    <w:rsid w:val="00D83433"/>
    <w:rsid w:val="00D841A3"/>
    <w:rsid w:val="00D85416"/>
    <w:rsid w:val="00D855B0"/>
    <w:rsid w:val="00D8715A"/>
    <w:rsid w:val="00D91972"/>
    <w:rsid w:val="00D929D2"/>
    <w:rsid w:val="00D92AE4"/>
    <w:rsid w:val="00D9409C"/>
    <w:rsid w:val="00DA1A54"/>
    <w:rsid w:val="00DA2867"/>
    <w:rsid w:val="00DA3E41"/>
    <w:rsid w:val="00DA40B9"/>
    <w:rsid w:val="00DA41EF"/>
    <w:rsid w:val="00DA5AB1"/>
    <w:rsid w:val="00DA628E"/>
    <w:rsid w:val="00DA66DC"/>
    <w:rsid w:val="00DB049E"/>
    <w:rsid w:val="00DB47CE"/>
    <w:rsid w:val="00DC14ED"/>
    <w:rsid w:val="00DC37CA"/>
    <w:rsid w:val="00DC4497"/>
    <w:rsid w:val="00DC61AE"/>
    <w:rsid w:val="00DC62E5"/>
    <w:rsid w:val="00DD3749"/>
    <w:rsid w:val="00DD5D6D"/>
    <w:rsid w:val="00DD735D"/>
    <w:rsid w:val="00DE0165"/>
    <w:rsid w:val="00DE3119"/>
    <w:rsid w:val="00DE58AE"/>
    <w:rsid w:val="00DF1911"/>
    <w:rsid w:val="00DF1D7F"/>
    <w:rsid w:val="00DF236B"/>
    <w:rsid w:val="00DF68EA"/>
    <w:rsid w:val="00E00354"/>
    <w:rsid w:val="00E01C96"/>
    <w:rsid w:val="00E07C89"/>
    <w:rsid w:val="00E10662"/>
    <w:rsid w:val="00E13AB8"/>
    <w:rsid w:val="00E14B7A"/>
    <w:rsid w:val="00E153BC"/>
    <w:rsid w:val="00E20D99"/>
    <w:rsid w:val="00E23B95"/>
    <w:rsid w:val="00E2472C"/>
    <w:rsid w:val="00E275B7"/>
    <w:rsid w:val="00E33B62"/>
    <w:rsid w:val="00E41962"/>
    <w:rsid w:val="00E41FFD"/>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B9B"/>
    <w:rsid w:val="00E7650B"/>
    <w:rsid w:val="00E80D5C"/>
    <w:rsid w:val="00E839DE"/>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4B0B"/>
    <w:rsid w:val="00ED5A52"/>
    <w:rsid w:val="00ED7016"/>
    <w:rsid w:val="00EE2950"/>
    <w:rsid w:val="00EE3756"/>
    <w:rsid w:val="00EE38D3"/>
    <w:rsid w:val="00EE3A7F"/>
    <w:rsid w:val="00EE5C04"/>
    <w:rsid w:val="00EE5E75"/>
    <w:rsid w:val="00EF0642"/>
    <w:rsid w:val="00EF640A"/>
    <w:rsid w:val="00EF77D0"/>
    <w:rsid w:val="00F03F66"/>
    <w:rsid w:val="00F05587"/>
    <w:rsid w:val="00F07ADA"/>
    <w:rsid w:val="00F1150C"/>
    <w:rsid w:val="00F1336F"/>
    <w:rsid w:val="00F147B5"/>
    <w:rsid w:val="00F16C24"/>
    <w:rsid w:val="00F20EE9"/>
    <w:rsid w:val="00F2125B"/>
    <w:rsid w:val="00F24959"/>
    <w:rsid w:val="00F25A7F"/>
    <w:rsid w:val="00F25FB2"/>
    <w:rsid w:val="00F35E5B"/>
    <w:rsid w:val="00F361AA"/>
    <w:rsid w:val="00F37163"/>
    <w:rsid w:val="00F43B09"/>
    <w:rsid w:val="00F455CE"/>
    <w:rsid w:val="00F46295"/>
    <w:rsid w:val="00F4748A"/>
    <w:rsid w:val="00F5169E"/>
    <w:rsid w:val="00F536F9"/>
    <w:rsid w:val="00F572FF"/>
    <w:rsid w:val="00F610DD"/>
    <w:rsid w:val="00F64F23"/>
    <w:rsid w:val="00F654D5"/>
    <w:rsid w:val="00F70B2A"/>
    <w:rsid w:val="00F75A41"/>
    <w:rsid w:val="00F84899"/>
    <w:rsid w:val="00F851BD"/>
    <w:rsid w:val="00F859F0"/>
    <w:rsid w:val="00F85BA1"/>
    <w:rsid w:val="00F90188"/>
    <w:rsid w:val="00F90EFE"/>
    <w:rsid w:val="00F95785"/>
    <w:rsid w:val="00F957F4"/>
    <w:rsid w:val="00FA0F93"/>
    <w:rsid w:val="00FA2385"/>
    <w:rsid w:val="00FA2409"/>
    <w:rsid w:val="00FA7E2A"/>
    <w:rsid w:val="00FB016F"/>
    <w:rsid w:val="00FB1066"/>
    <w:rsid w:val="00FB1A15"/>
    <w:rsid w:val="00FC08BA"/>
    <w:rsid w:val="00FC2F62"/>
    <w:rsid w:val="00FC34A0"/>
    <w:rsid w:val="00FC5FAF"/>
    <w:rsid w:val="00FC7599"/>
    <w:rsid w:val="00FD23EB"/>
    <w:rsid w:val="00FD2F3D"/>
    <w:rsid w:val="00FD5B88"/>
    <w:rsid w:val="00FD72D9"/>
    <w:rsid w:val="00FD78A5"/>
    <w:rsid w:val="00FE12E4"/>
    <w:rsid w:val="00FE141E"/>
    <w:rsid w:val="00FE5E73"/>
    <w:rsid w:val="00FE6A0D"/>
    <w:rsid w:val="00FE7F0A"/>
    <w:rsid w:val="00FF0F94"/>
    <w:rsid w:val="00FF3927"/>
    <w:rsid w:val="00FF3B12"/>
    <w:rsid w:val="00FF41F4"/>
    <w:rsid w:val="00FF764A"/>
    <w:rsid w:val="3A75CB1A"/>
    <w:rsid w:val="46DD4CA4"/>
    <w:rsid w:val="630C9FBE"/>
    <w:rsid w:val="677634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styleId="Textoindependiente">
    <w:name w:val="Body Text"/>
    <w:basedOn w:val="Normal"/>
    <w:link w:val="TextoindependienteCar"/>
    <w:uiPriority w:val="1"/>
    <w:qFormat/>
    <w:rsid w:val="008004A6"/>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8004A6"/>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272662982">
      <w:bodyDiv w:val="1"/>
      <w:marLeft w:val="0"/>
      <w:marRight w:val="0"/>
      <w:marTop w:val="0"/>
      <w:marBottom w:val="0"/>
      <w:divBdr>
        <w:top w:val="none" w:sz="0" w:space="0" w:color="auto"/>
        <w:left w:val="none" w:sz="0" w:space="0" w:color="auto"/>
        <w:bottom w:val="none" w:sz="0" w:space="0" w:color="auto"/>
        <w:right w:val="none" w:sz="0" w:space="0" w:color="auto"/>
      </w:divBdr>
    </w:div>
    <w:div w:id="131702790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19428325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BC1EABB-F2C4-4B76-B7A2-0CD918C57823}">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23</Pages>
  <Words>8210</Words>
  <Characters>45157</Characters>
  <Application>Microsoft Office Word</Application>
  <DocSecurity>0</DocSecurity>
  <Lines>376</Lines>
  <Paragraphs>106</Paragraphs>
  <ScaleCrop>false</ScaleCrop>
  <Company/>
  <LinksUpToDate>false</LinksUpToDate>
  <CharactersWithSpaces>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2020-07-28T02:33:00Z</dcterms:created>
  <dcterms:modified xsi:type="dcterms:W3CDTF">2020-08-10T21:40:00Z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