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750A" w14:textId="4FCC130A" w:rsidR="00A1118B" w:rsidRDefault="00A1118B" w:rsidP="00443D80">
      <w:pPr>
        <w:jc w:val="right"/>
        <w:rPr>
          <w:rFonts w:ascii="Arial" w:eastAsia="Times New Roman" w:hAnsi="Arial" w:cs="Arial"/>
          <w:b/>
          <w:bCs/>
          <w:sz w:val="16"/>
          <w:szCs w:val="16"/>
          <w:lang w:val="es-CO" w:eastAsia="es-ES"/>
        </w:rPr>
      </w:pPr>
      <w:r w:rsidRPr="00A66252">
        <w:rPr>
          <w:rFonts w:ascii="Arial" w:eastAsia="Times New Roman" w:hAnsi="Arial" w:cs="Arial"/>
          <w:b/>
          <w:bCs/>
          <w:sz w:val="16"/>
          <w:szCs w:val="16"/>
          <w:lang w:val="es-CO" w:eastAsia="es-ES"/>
        </w:rPr>
        <w:t>CCE-DES-FM-17</w:t>
      </w:r>
    </w:p>
    <w:p w14:paraId="6303341B" w14:textId="77777777" w:rsidR="00A66252" w:rsidRPr="00A66252" w:rsidRDefault="00A66252" w:rsidP="00443D80">
      <w:pPr>
        <w:jc w:val="right"/>
        <w:rPr>
          <w:rFonts w:ascii="Arial" w:eastAsia="Calibri" w:hAnsi="Arial" w:cs="Arial"/>
          <w:b/>
          <w:bCs/>
          <w:sz w:val="16"/>
          <w:szCs w:val="16"/>
          <w:lang w:val="es-CO"/>
        </w:rPr>
      </w:pPr>
    </w:p>
    <w:p w14:paraId="7214CD7C" w14:textId="5C0C542A" w:rsidR="00173305" w:rsidRPr="00443D80" w:rsidRDefault="00173305" w:rsidP="27F111B0">
      <w:pPr>
        <w:jc w:val="both"/>
        <w:rPr>
          <w:rFonts w:ascii="Arial" w:eastAsia="Calibri" w:hAnsi="Arial" w:cs="Arial"/>
          <w:b/>
          <w:bCs/>
          <w:color w:val="000000" w:themeColor="text1"/>
          <w:sz w:val="22"/>
          <w:lang w:val="es-CO"/>
        </w:rPr>
      </w:pPr>
      <w:r w:rsidRPr="27F111B0">
        <w:rPr>
          <w:rFonts w:ascii="Arial" w:eastAsia="Calibri" w:hAnsi="Arial" w:cs="Arial"/>
          <w:b/>
          <w:bCs/>
          <w:color w:val="000000" w:themeColor="text1"/>
          <w:sz w:val="22"/>
          <w:lang w:val="es-CO"/>
        </w:rPr>
        <w:t>DOCUMENTOS TIPO – Inalterabilidad –</w:t>
      </w:r>
      <w:r w:rsidR="00F24989" w:rsidRPr="27F111B0">
        <w:rPr>
          <w:rFonts w:ascii="Arial" w:eastAsia="Calibri" w:hAnsi="Arial" w:cs="Arial"/>
          <w:b/>
          <w:bCs/>
          <w:color w:val="000000" w:themeColor="text1"/>
          <w:sz w:val="22"/>
          <w:lang w:val="es-CO"/>
        </w:rPr>
        <w:t xml:space="preserve"> Aplicación </w:t>
      </w:r>
      <w:r w:rsidR="112C8282" w:rsidRPr="27F111B0">
        <w:rPr>
          <w:rFonts w:ascii="Arial" w:eastAsia="Calibri" w:hAnsi="Arial" w:cs="Arial"/>
          <w:b/>
          <w:bCs/>
          <w:color w:val="000000" w:themeColor="text1"/>
          <w:sz w:val="22"/>
          <w:lang w:val="es-CO"/>
        </w:rPr>
        <w:t>– N</w:t>
      </w:r>
      <w:r w:rsidR="00F24989" w:rsidRPr="27F111B0">
        <w:rPr>
          <w:rFonts w:ascii="Arial" w:eastAsia="Calibri" w:hAnsi="Arial" w:cs="Arial"/>
          <w:b/>
          <w:bCs/>
          <w:color w:val="000000" w:themeColor="text1"/>
          <w:sz w:val="22"/>
          <w:lang w:val="es-CO"/>
        </w:rPr>
        <w:t>ormativa vigente</w:t>
      </w:r>
    </w:p>
    <w:p w14:paraId="231C0748" w14:textId="77777777" w:rsidR="00173305" w:rsidRPr="00443D80" w:rsidRDefault="00173305" w:rsidP="00173305">
      <w:pPr>
        <w:jc w:val="both"/>
        <w:rPr>
          <w:rFonts w:ascii="Arial" w:eastAsia="Calibri" w:hAnsi="Arial" w:cs="Arial"/>
          <w:b/>
          <w:bCs/>
          <w:color w:val="000000" w:themeColor="text1"/>
          <w:sz w:val="20"/>
          <w:szCs w:val="20"/>
          <w:lang w:val="es-CO"/>
        </w:rPr>
      </w:pPr>
    </w:p>
    <w:p w14:paraId="05502B1A" w14:textId="2B399778" w:rsidR="00173305" w:rsidRPr="00443D80" w:rsidRDefault="00F24989" w:rsidP="00A66252">
      <w:pPr>
        <w:spacing w:after="120"/>
        <w:jc w:val="both"/>
        <w:rPr>
          <w:rFonts w:ascii="Arial" w:eastAsia="Calibri" w:hAnsi="Arial" w:cs="Arial"/>
          <w:bCs/>
          <w:color w:val="000000" w:themeColor="text1"/>
          <w:sz w:val="22"/>
          <w:lang w:val="es-CO"/>
        </w:rPr>
      </w:pPr>
      <w:r w:rsidRPr="00443D80">
        <w:rPr>
          <w:rFonts w:ascii="Arial" w:eastAsia="Calibri" w:hAnsi="Arial" w:cs="Arial"/>
          <w:color w:val="000000" w:themeColor="text1"/>
          <w:sz w:val="20"/>
          <w:szCs w:val="20"/>
          <w:lang w:val="es-CO"/>
        </w:rPr>
        <w:t xml:space="preserve">[…] </w:t>
      </w:r>
      <w:r w:rsidRPr="00443D80">
        <w:rPr>
          <w:rFonts w:ascii="Arial" w:eastAsia="Calibri" w:hAnsi="Arial" w:cs="Arial"/>
          <w:bCs/>
          <w:color w:val="000000" w:themeColor="text1"/>
          <w:sz w:val="22"/>
          <w:lang w:val="es-CO"/>
        </w:rPr>
        <w:t xml:space="preserve">el artículo 2.2.1.2.6.1.4. del Decreto 1082 de 2015, adicionado por el artículo 1 del Decreto 342 de 2019, establece la </w:t>
      </w:r>
      <w:r w:rsidRPr="00443D80">
        <w:rPr>
          <w:rFonts w:ascii="Arial" w:eastAsia="Calibri" w:hAnsi="Arial" w:cs="Arial"/>
          <w:bCs/>
          <w:i/>
          <w:color w:val="000000" w:themeColor="text1"/>
          <w:sz w:val="22"/>
          <w:lang w:val="es-CO"/>
        </w:rPr>
        <w:t>inalterabilidad de los Documentos Tipo</w:t>
      </w:r>
      <w:r w:rsidRPr="00443D80">
        <w:rPr>
          <w:rFonts w:ascii="Arial" w:eastAsia="Calibri" w:hAnsi="Arial" w:cs="Arial"/>
          <w:bCs/>
          <w:color w:val="000000" w:themeColor="text1"/>
          <w:sz w:val="22"/>
          <w:lang w:val="es-CO"/>
        </w:rPr>
        <w:t>, que consiste en que las entidades estatales no pueden incluir o modificar en los documentos del proceso las condiciones habilitantes, los factores técnicos y económicos de escogencia y los sistemas de ponderación distintos a los señalados en los Documentos Tipo.</w:t>
      </w:r>
    </w:p>
    <w:p w14:paraId="5B74A3C5" w14:textId="4E1BBF82" w:rsidR="00F24989" w:rsidRPr="00443D80" w:rsidRDefault="00F24989" w:rsidP="00A66252">
      <w:pPr>
        <w:spacing w:after="120"/>
        <w:jc w:val="both"/>
        <w:rPr>
          <w:rFonts w:ascii="Arial" w:eastAsia="Calibri" w:hAnsi="Arial" w:cs="Arial"/>
          <w:bCs/>
          <w:color w:val="000000" w:themeColor="text1"/>
          <w:sz w:val="22"/>
          <w:lang w:val="es-CO"/>
        </w:rPr>
      </w:pPr>
      <w:r w:rsidRPr="00443D80">
        <w:rPr>
          <w:rFonts w:ascii="Arial" w:eastAsia="Calibri" w:hAnsi="Arial" w:cs="Arial"/>
          <w:bCs/>
          <w:color w:val="000000" w:themeColor="text1"/>
          <w:sz w:val="22"/>
          <w:lang w:val="es-CO"/>
        </w:rPr>
        <w:t>[…]</w:t>
      </w:r>
    </w:p>
    <w:p w14:paraId="03021785" w14:textId="0122D2C3" w:rsidR="00F24989" w:rsidRPr="00443D80" w:rsidRDefault="00F24989" w:rsidP="00A66252">
      <w:pPr>
        <w:jc w:val="both"/>
        <w:rPr>
          <w:rFonts w:ascii="Arial" w:eastAsia="Calibri" w:hAnsi="Arial" w:cs="Arial"/>
          <w:bCs/>
          <w:color w:val="000000" w:themeColor="text1"/>
          <w:sz w:val="22"/>
          <w:lang w:val="es-CO"/>
        </w:rPr>
      </w:pPr>
      <w:r w:rsidRPr="00443D80">
        <w:rPr>
          <w:rFonts w:ascii="Arial" w:eastAsia="Calibri" w:hAnsi="Arial" w:cs="Arial"/>
          <w:bCs/>
          <w:color w:val="000000" w:themeColor="text1"/>
          <w:sz w:val="22"/>
          <w:lang w:val="es-CO"/>
        </w:rPr>
        <w:t xml:space="preserve">No </w:t>
      </w:r>
      <w:proofErr w:type="gramStart"/>
      <w:r w:rsidRPr="00443D80">
        <w:rPr>
          <w:rFonts w:ascii="Arial" w:eastAsia="Calibri" w:hAnsi="Arial" w:cs="Arial"/>
          <w:bCs/>
          <w:color w:val="000000" w:themeColor="text1"/>
          <w:sz w:val="22"/>
          <w:lang w:val="es-CO"/>
        </w:rPr>
        <w:t>obstante</w:t>
      </w:r>
      <w:proofErr w:type="gramEnd"/>
      <w:r w:rsidRPr="00443D80">
        <w:rPr>
          <w:rFonts w:ascii="Arial" w:eastAsia="Calibri" w:hAnsi="Arial" w:cs="Arial"/>
          <w:bCs/>
          <w:color w:val="000000" w:themeColor="text1"/>
          <w:sz w:val="22"/>
          <w:lang w:val="es-CO"/>
        </w:rPr>
        <w:t xml:space="preserve"> lo anterior, […] y sin perjuicio de la inalterabilidad por parte de las entidades estatales que aplican los documentos tipo, dicha regla no las exime –ni imposibilita– de la obligación de aplicar la normativa vigente aplicable al procedimiento de selección; máxime en los supuestos en que con posterioridad a la expedición de los Documentos Tipo se modifica la normativa que incide en los procedimientos de selección de contratistas, aspecto que se desarrollará más adelante.</w:t>
      </w:r>
    </w:p>
    <w:p w14:paraId="5EEE673D" w14:textId="7AFB8638" w:rsidR="00F24989" w:rsidRPr="00443D80" w:rsidRDefault="00F24989" w:rsidP="00A66252">
      <w:pPr>
        <w:jc w:val="both"/>
        <w:rPr>
          <w:rFonts w:ascii="Arial" w:eastAsia="Calibri" w:hAnsi="Arial" w:cs="Arial"/>
          <w:bCs/>
          <w:color w:val="000000" w:themeColor="text1"/>
          <w:sz w:val="22"/>
          <w:lang w:val="es-CO"/>
        </w:rPr>
      </w:pPr>
    </w:p>
    <w:p w14:paraId="596F33C6" w14:textId="154D5B5A" w:rsidR="00173305" w:rsidRPr="00443D80" w:rsidRDefault="00173305" w:rsidP="00A66252">
      <w:pPr>
        <w:jc w:val="both"/>
        <w:rPr>
          <w:rFonts w:ascii="Arial" w:eastAsia="Calibri" w:hAnsi="Arial" w:cs="Arial"/>
          <w:b/>
          <w:bCs/>
          <w:color w:val="000000" w:themeColor="text1"/>
          <w:sz w:val="22"/>
          <w:lang w:val="es-CO"/>
        </w:rPr>
      </w:pPr>
      <w:r w:rsidRPr="27F111B0">
        <w:rPr>
          <w:rFonts w:ascii="Arial" w:eastAsia="Calibri" w:hAnsi="Arial" w:cs="Arial"/>
          <w:b/>
          <w:bCs/>
          <w:color w:val="000000" w:themeColor="text1"/>
          <w:sz w:val="22"/>
          <w:lang w:val="es-CO"/>
        </w:rPr>
        <w:t>RE</w:t>
      </w:r>
      <w:r w:rsidR="18233859" w:rsidRPr="27F111B0">
        <w:rPr>
          <w:rFonts w:ascii="Arial" w:eastAsia="Calibri" w:hAnsi="Arial" w:cs="Arial"/>
          <w:b/>
          <w:bCs/>
          <w:color w:val="000000" w:themeColor="text1"/>
          <w:sz w:val="22"/>
          <w:lang w:val="es-CO"/>
        </w:rPr>
        <w:t>GISTRO ÚNICO DE PROPONENTES</w:t>
      </w:r>
      <w:r w:rsidRPr="27F111B0">
        <w:rPr>
          <w:rFonts w:ascii="Arial" w:eastAsia="Calibri" w:hAnsi="Arial" w:cs="Arial"/>
          <w:b/>
          <w:bCs/>
          <w:color w:val="000000" w:themeColor="text1"/>
          <w:sz w:val="22"/>
          <w:lang w:val="es-CO"/>
        </w:rPr>
        <w:t xml:space="preserve"> – </w:t>
      </w:r>
      <w:r w:rsidR="41F4678E" w:rsidRPr="27F111B0">
        <w:rPr>
          <w:rFonts w:ascii="Arial" w:eastAsia="Calibri" w:hAnsi="Arial" w:cs="Arial"/>
          <w:b/>
          <w:bCs/>
          <w:color w:val="000000" w:themeColor="text1"/>
          <w:sz w:val="22"/>
          <w:lang w:val="es-CO"/>
        </w:rPr>
        <w:t xml:space="preserve">Renovación – </w:t>
      </w:r>
      <w:r w:rsidR="00F24989" w:rsidRPr="27F111B0">
        <w:rPr>
          <w:rFonts w:ascii="Arial" w:eastAsia="Calibri" w:hAnsi="Arial" w:cs="Arial"/>
          <w:b/>
          <w:bCs/>
          <w:color w:val="000000" w:themeColor="text1"/>
          <w:sz w:val="22"/>
          <w:lang w:val="es-CO"/>
        </w:rPr>
        <w:t xml:space="preserve">Decreto 434 de 2020 – Documentos Tipo – </w:t>
      </w:r>
      <w:r w:rsidRPr="27F111B0">
        <w:rPr>
          <w:rFonts w:ascii="Arial" w:eastAsia="Calibri" w:hAnsi="Arial" w:cs="Arial"/>
          <w:b/>
          <w:bCs/>
          <w:color w:val="000000" w:themeColor="text1"/>
          <w:sz w:val="22"/>
          <w:lang w:val="es-CO"/>
        </w:rPr>
        <w:t xml:space="preserve">Causal de </w:t>
      </w:r>
      <w:r w:rsidR="00F24989" w:rsidRPr="27F111B0">
        <w:rPr>
          <w:rFonts w:ascii="Arial" w:eastAsia="Calibri" w:hAnsi="Arial" w:cs="Arial"/>
          <w:b/>
          <w:bCs/>
          <w:color w:val="000000" w:themeColor="text1"/>
          <w:sz w:val="22"/>
          <w:lang w:val="es-CO"/>
        </w:rPr>
        <w:t>R</w:t>
      </w:r>
      <w:r w:rsidRPr="27F111B0">
        <w:rPr>
          <w:rFonts w:ascii="Arial" w:eastAsia="Calibri" w:hAnsi="Arial" w:cs="Arial"/>
          <w:b/>
          <w:bCs/>
          <w:color w:val="000000" w:themeColor="text1"/>
          <w:sz w:val="22"/>
          <w:lang w:val="es-CO"/>
        </w:rPr>
        <w:t xml:space="preserve">echazo </w:t>
      </w:r>
      <w:r w:rsidR="1C838DD9" w:rsidRPr="27F111B0">
        <w:rPr>
          <w:rFonts w:ascii="Arial" w:eastAsia="Calibri" w:hAnsi="Arial" w:cs="Arial"/>
          <w:b/>
          <w:bCs/>
          <w:color w:val="000000" w:themeColor="text1"/>
          <w:sz w:val="22"/>
          <w:lang w:val="es-CO"/>
        </w:rPr>
        <w:t>– L</w:t>
      </w:r>
      <w:r w:rsidRPr="27F111B0">
        <w:rPr>
          <w:rFonts w:ascii="Arial" w:eastAsia="Calibri" w:hAnsi="Arial" w:cs="Arial"/>
          <w:b/>
          <w:bCs/>
          <w:color w:val="000000" w:themeColor="text1"/>
          <w:sz w:val="22"/>
          <w:lang w:val="es-CO"/>
        </w:rPr>
        <w:t>iteral G</w:t>
      </w:r>
      <w:r w:rsidR="00F24989" w:rsidRPr="27F111B0">
        <w:rPr>
          <w:rFonts w:ascii="Arial" w:eastAsia="Calibri" w:hAnsi="Arial" w:cs="Arial"/>
          <w:b/>
          <w:bCs/>
          <w:color w:val="000000" w:themeColor="text1"/>
          <w:sz w:val="22"/>
          <w:lang w:val="es-CO"/>
        </w:rPr>
        <w:t xml:space="preserve"> </w:t>
      </w:r>
      <w:r w:rsidRPr="27F111B0">
        <w:rPr>
          <w:rFonts w:ascii="Arial" w:eastAsia="Calibri" w:hAnsi="Arial" w:cs="Arial"/>
          <w:b/>
          <w:bCs/>
          <w:color w:val="000000" w:themeColor="text1"/>
          <w:sz w:val="22"/>
          <w:lang w:val="es-CO"/>
        </w:rPr>
        <w:t>– P</w:t>
      </w:r>
      <w:r w:rsidR="001B6AB7" w:rsidRPr="27F111B0">
        <w:rPr>
          <w:rFonts w:ascii="Arial" w:eastAsia="Calibri" w:hAnsi="Arial" w:cs="Arial"/>
          <w:b/>
          <w:bCs/>
          <w:color w:val="000000" w:themeColor="text1"/>
          <w:sz w:val="22"/>
          <w:lang w:val="es-CO"/>
        </w:rPr>
        <w:t>é</w:t>
      </w:r>
      <w:r w:rsidRPr="27F111B0">
        <w:rPr>
          <w:rFonts w:ascii="Arial" w:eastAsia="Calibri" w:hAnsi="Arial" w:cs="Arial"/>
          <w:b/>
          <w:bCs/>
          <w:color w:val="000000" w:themeColor="text1"/>
          <w:sz w:val="22"/>
          <w:lang w:val="es-CO"/>
        </w:rPr>
        <w:t xml:space="preserve">rdida </w:t>
      </w:r>
      <w:r w:rsidR="7659FD68" w:rsidRPr="27F111B0">
        <w:rPr>
          <w:rFonts w:ascii="Arial" w:eastAsia="Calibri" w:hAnsi="Arial" w:cs="Arial"/>
          <w:b/>
          <w:bCs/>
          <w:color w:val="000000" w:themeColor="text1"/>
          <w:sz w:val="22"/>
          <w:lang w:val="es-CO"/>
        </w:rPr>
        <w:t>f</w:t>
      </w:r>
      <w:r w:rsidRPr="27F111B0">
        <w:rPr>
          <w:rFonts w:ascii="Arial" w:eastAsia="Calibri" w:hAnsi="Arial" w:cs="Arial"/>
          <w:b/>
          <w:bCs/>
          <w:color w:val="000000" w:themeColor="text1"/>
          <w:sz w:val="22"/>
          <w:lang w:val="es-CO"/>
        </w:rPr>
        <w:t xml:space="preserve">uerza </w:t>
      </w:r>
      <w:r w:rsidR="4DC56AB2" w:rsidRPr="27F111B0">
        <w:rPr>
          <w:rFonts w:ascii="Arial" w:eastAsia="Calibri" w:hAnsi="Arial" w:cs="Arial"/>
          <w:b/>
          <w:bCs/>
          <w:color w:val="000000" w:themeColor="text1"/>
          <w:sz w:val="22"/>
          <w:lang w:val="es-CO"/>
        </w:rPr>
        <w:t>e</w:t>
      </w:r>
      <w:r w:rsidRPr="27F111B0">
        <w:rPr>
          <w:rFonts w:ascii="Arial" w:eastAsia="Calibri" w:hAnsi="Arial" w:cs="Arial"/>
          <w:b/>
          <w:bCs/>
          <w:color w:val="000000" w:themeColor="text1"/>
          <w:sz w:val="22"/>
          <w:lang w:val="es-CO"/>
        </w:rPr>
        <w:t>jecutoria – Plazos Especiales</w:t>
      </w:r>
    </w:p>
    <w:p w14:paraId="1A22141D" w14:textId="77777777" w:rsidR="00173305" w:rsidRPr="00443D80" w:rsidRDefault="00173305" w:rsidP="00173305">
      <w:pPr>
        <w:jc w:val="both"/>
        <w:rPr>
          <w:rFonts w:ascii="Arial" w:eastAsia="Calibri" w:hAnsi="Arial" w:cs="Arial"/>
          <w:b/>
          <w:color w:val="000000" w:themeColor="text1"/>
          <w:sz w:val="22"/>
          <w:lang w:val="es-CO"/>
        </w:rPr>
      </w:pPr>
    </w:p>
    <w:p w14:paraId="286A6691" w14:textId="6C87F068" w:rsidR="00173305" w:rsidRPr="00443D80" w:rsidRDefault="00F24989" w:rsidP="00A66252">
      <w:pPr>
        <w:spacing w:after="120"/>
        <w:jc w:val="both"/>
        <w:rPr>
          <w:rFonts w:ascii="Arial" w:eastAsia="Calibri" w:hAnsi="Arial" w:cs="Arial"/>
          <w:i/>
          <w:iCs/>
          <w:sz w:val="22"/>
        </w:rPr>
      </w:pPr>
      <w:r w:rsidRPr="00443D80">
        <w:rPr>
          <w:rFonts w:ascii="Arial" w:eastAsia="Calibri" w:hAnsi="Arial" w:cs="Arial"/>
          <w:sz w:val="22"/>
        </w:rPr>
        <w:t xml:space="preserve">[…] para contribuir con las medidas de contención y prevención del riesgo de contagio, buscando que las personas no se acerquen de forma concentrada a las Cámaras de Comercio para tramitar lo que corresponde al RUES, y particularmente al RUP, el artículo 2 del Decreto 434 de 2020 amplió el plazo para renovarlo, teniendo en cuenta que el artículo 2.2.1.1.1.5.1. del Decreto 1082 de 2015 impone la obligación de adelantar el trámite de renovación del RUP a más tardar el quinto día hábil del mes de abril, lo cual se extiende, mediante el decreto legislativo, </w:t>
      </w:r>
      <w:r w:rsidRPr="00443D80">
        <w:rPr>
          <w:rFonts w:ascii="Arial" w:eastAsia="Calibri" w:hAnsi="Arial" w:cs="Arial"/>
          <w:i/>
          <w:iCs/>
          <w:sz w:val="22"/>
        </w:rPr>
        <w:t>al quinto día hábil del mes de julio de 2020.</w:t>
      </w:r>
    </w:p>
    <w:p w14:paraId="361EB6D9" w14:textId="64457CC3" w:rsidR="00F24989" w:rsidRPr="00443D80" w:rsidRDefault="00F24989" w:rsidP="00A66252">
      <w:pPr>
        <w:spacing w:after="120"/>
        <w:jc w:val="both"/>
        <w:rPr>
          <w:rFonts w:ascii="Arial" w:eastAsia="Calibri" w:hAnsi="Arial" w:cs="Arial"/>
          <w:color w:val="000000" w:themeColor="text1"/>
          <w:sz w:val="20"/>
          <w:szCs w:val="20"/>
          <w:lang w:val="es-CO"/>
        </w:rPr>
      </w:pPr>
      <w:r w:rsidRPr="00443D80">
        <w:rPr>
          <w:rFonts w:ascii="Arial" w:eastAsia="Calibri" w:hAnsi="Arial" w:cs="Arial"/>
          <w:sz w:val="22"/>
        </w:rPr>
        <w:t>[…]</w:t>
      </w:r>
    </w:p>
    <w:p w14:paraId="14ED8DD6" w14:textId="235E1CEA" w:rsidR="00173305" w:rsidRPr="00443D80" w:rsidRDefault="00F24989" w:rsidP="00A66252">
      <w:pPr>
        <w:spacing w:after="120"/>
        <w:jc w:val="both"/>
        <w:rPr>
          <w:rFonts w:ascii="Arial" w:eastAsia="Calibri" w:hAnsi="Arial" w:cs="Arial"/>
          <w:color w:val="000000" w:themeColor="text1"/>
          <w:sz w:val="20"/>
          <w:szCs w:val="20"/>
          <w:lang w:val="es-CO"/>
        </w:rPr>
      </w:pPr>
      <w:r w:rsidRPr="00443D80">
        <w:rPr>
          <w:rFonts w:ascii="Arial" w:eastAsia="Calibri" w:hAnsi="Arial" w:cs="Arial"/>
          <w:sz w:val="22"/>
        </w:rPr>
        <w:t>para esta Subdirec</w:t>
      </w:r>
      <w:r w:rsidRPr="00443D80">
        <w:rPr>
          <w:rFonts w:ascii="Arial" w:eastAsia="Calibri" w:hAnsi="Arial" w:cs="Arial"/>
          <w:bCs/>
          <w:color w:val="000000" w:themeColor="text1"/>
          <w:sz w:val="22"/>
        </w:rPr>
        <w:t>ción, el contenido de dicha causal de rechazo se encuentra modificada temporalmente por el Decreto 434 de 2020. En efecto, los documentos tipo, de manera general, previendo los posibles cambios normativos que se llegaran a presentar y que tuvieran incidencia en su contenido, en la «introducción» incluyeron una disposición que imprime la obligación para las entidades de aplicar la normativa vigente, así: «El uso de los Documentos Tipo no exime a la Entidad Estatal de la obligación que le asiste de aplicar la normativa y la jurisprudencia aplicable al Proceso de Contratación […]»</w:t>
      </w:r>
    </w:p>
    <w:p w14:paraId="51778ACD" w14:textId="1FD613B1" w:rsidR="00173305" w:rsidRPr="00443D80" w:rsidRDefault="00F24989" w:rsidP="00A1118B">
      <w:pPr>
        <w:jc w:val="both"/>
        <w:rPr>
          <w:rFonts w:ascii="Arial" w:eastAsia="Calibri" w:hAnsi="Arial" w:cs="Arial"/>
          <w:bCs/>
          <w:color w:val="000000" w:themeColor="text1"/>
          <w:sz w:val="22"/>
        </w:rPr>
      </w:pPr>
      <w:r w:rsidRPr="00443D80">
        <w:rPr>
          <w:rFonts w:ascii="Arial" w:eastAsia="Calibri" w:hAnsi="Arial" w:cs="Arial"/>
          <w:bCs/>
          <w:color w:val="000000" w:themeColor="text1"/>
          <w:sz w:val="22"/>
        </w:rPr>
        <w:t>Así las cosas, de cara a este asunto en particular, nos encontramos frente al fenómeno del decaimiento del acto administrativo, pues los elementos de derecho que fundamentaban la causal de rechazo G, del Documento Tipo, fueron alterados, para el año 2020, por el artículo 2 del Decreto 434 de 2020, el cual amplió la renovación del Registro Único de Proponentes hasta el quinto día hábil del mes de julio de 2020, así las cosas este decreto legislativo conlleva a que desaparezcan los fundamentos de derecho que sustentaban la regulación de los documentos tipo en este aspecto en particular, debiéndose aplicar la normativa vigente.</w:t>
      </w:r>
    </w:p>
    <w:p w14:paraId="72BE3E12" w14:textId="77777777" w:rsidR="00F24989" w:rsidRPr="00443D80" w:rsidRDefault="00F24989" w:rsidP="00A1118B">
      <w:pPr>
        <w:jc w:val="both"/>
        <w:rPr>
          <w:rFonts w:ascii="Arial" w:eastAsia="Calibri" w:hAnsi="Arial" w:cs="Arial"/>
          <w:b/>
          <w:sz w:val="22"/>
          <w:lang w:val="es-CO"/>
        </w:rPr>
      </w:pPr>
    </w:p>
    <w:p w14:paraId="1FDBE3B1" w14:textId="4B422835" w:rsidR="00A1118B" w:rsidRPr="00443D80" w:rsidRDefault="00A1118B" w:rsidP="27F111B0">
      <w:pPr>
        <w:jc w:val="both"/>
        <w:rPr>
          <w:rFonts w:ascii="Arial" w:eastAsia="Calibri" w:hAnsi="Arial" w:cs="Arial"/>
          <w:b/>
          <w:bCs/>
          <w:sz w:val="22"/>
          <w:lang w:val="es-CO"/>
        </w:rPr>
      </w:pPr>
      <w:r w:rsidRPr="27F111B0">
        <w:rPr>
          <w:rFonts w:ascii="Arial" w:eastAsia="Calibri" w:hAnsi="Arial" w:cs="Arial"/>
          <w:b/>
          <w:bCs/>
          <w:sz w:val="22"/>
          <w:lang w:val="es-CO"/>
        </w:rPr>
        <w:lastRenderedPageBreak/>
        <w:t>R</w:t>
      </w:r>
      <w:r w:rsidR="276CB260" w:rsidRPr="27F111B0">
        <w:rPr>
          <w:rFonts w:ascii="Arial" w:eastAsia="Calibri" w:hAnsi="Arial" w:cs="Arial"/>
          <w:b/>
          <w:bCs/>
          <w:sz w:val="22"/>
          <w:lang w:val="es-CO"/>
        </w:rPr>
        <w:t>EGISTRO ÚNICO DE PROPONENTES</w:t>
      </w:r>
      <w:r w:rsidRPr="27F111B0">
        <w:rPr>
          <w:rFonts w:ascii="Arial" w:eastAsia="Calibri" w:hAnsi="Arial" w:cs="Arial"/>
          <w:b/>
          <w:bCs/>
          <w:sz w:val="22"/>
          <w:lang w:val="es-CO"/>
        </w:rPr>
        <w:t xml:space="preserve"> – </w:t>
      </w:r>
      <w:r w:rsidR="003D3EBE" w:rsidRPr="27F111B0">
        <w:rPr>
          <w:rFonts w:ascii="Arial" w:eastAsia="Calibri" w:hAnsi="Arial" w:cs="Arial"/>
          <w:b/>
          <w:bCs/>
          <w:sz w:val="22"/>
          <w:lang w:val="es-CO"/>
        </w:rPr>
        <w:t>F</w:t>
      </w:r>
      <w:r w:rsidRPr="27F111B0">
        <w:rPr>
          <w:rFonts w:ascii="Arial" w:eastAsia="Calibri" w:hAnsi="Arial" w:cs="Arial"/>
          <w:b/>
          <w:bCs/>
          <w:sz w:val="22"/>
          <w:lang w:val="es-CO"/>
        </w:rPr>
        <w:t xml:space="preserve">irmeza – </w:t>
      </w:r>
      <w:r w:rsidR="003D3EBE" w:rsidRPr="27F111B0">
        <w:rPr>
          <w:rFonts w:ascii="Arial" w:eastAsia="Calibri" w:hAnsi="Arial" w:cs="Arial"/>
          <w:b/>
          <w:bCs/>
          <w:sz w:val="22"/>
          <w:lang w:val="es-CO"/>
        </w:rPr>
        <w:t>A</w:t>
      </w:r>
      <w:r w:rsidRPr="27F111B0">
        <w:rPr>
          <w:rFonts w:ascii="Arial" w:eastAsia="Calibri" w:hAnsi="Arial" w:cs="Arial"/>
          <w:b/>
          <w:bCs/>
          <w:sz w:val="22"/>
          <w:lang w:val="es-CO"/>
        </w:rPr>
        <w:t>cto administrativo</w:t>
      </w:r>
      <w:r w:rsidR="00F24989" w:rsidRPr="27F111B0">
        <w:rPr>
          <w:rFonts w:ascii="Arial" w:eastAsia="Calibri" w:hAnsi="Arial" w:cs="Arial"/>
          <w:b/>
          <w:bCs/>
          <w:sz w:val="22"/>
          <w:lang w:val="es-CO"/>
        </w:rPr>
        <w:t xml:space="preserve"> – Inscripción</w:t>
      </w:r>
    </w:p>
    <w:p w14:paraId="51BAB5B9" w14:textId="77777777" w:rsidR="00A1118B" w:rsidRPr="00443D80" w:rsidRDefault="00A1118B" w:rsidP="00A1118B">
      <w:pPr>
        <w:jc w:val="both"/>
        <w:rPr>
          <w:rFonts w:ascii="Arial" w:hAnsi="Arial" w:cs="Arial"/>
          <w:sz w:val="20"/>
          <w:szCs w:val="20"/>
          <w:lang w:val="es-CO"/>
        </w:rPr>
      </w:pPr>
    </w:p>
    <w:p w14:paraId="1C9F844D" w14:textId="706A24CD" w:rsidR="00F24989" w:rsidRPr="00443D80" w:rsidRDefault="00F24989" w:rsidP="00443D80">
      <w:pPr>
        <w:spacing w:after="120"/>
        <w:jc w:val="both"/>
        <w:rPr>
          <w:rFonts w:ascii="Arial" w:eastAsia="Calibri" w:hAnsi="Arial" w:cs="Arial"/>
          <w:sz w:val="20"/>
          <w:szCs w:val="20"/>
          <w:lang w:val="es-CO"/>
        </w:rPr>
      </w:pPr>
      <w:r w:rsidRPr="00443D80">
        <w:rPr>
          <w:rFonts w:ascii="Arial" w:eastAsia="Calibri" w:hAnsi="Arial" w:cs="Arial"/>
          <w:sz w:val="20"/>
          <w:szCs w:val="20"/>
          <w:lang w:val="es-CO"/>
        </w:rPr>
        <w:t xml:space="preserve">[…]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w:t>
      </w:r>
    </w:p>
    <w:p w14:paraId="02DA4B6F" w14:textId="481F456B" w:rsidR="00A1118B" w:rsidRPr="00443D80" w:rsidRDefault="00F24989" w:rsidP="00443D80">
      <w:pPr>
        <w:jc w:val="both"/>
        <w:rPr>
          <w:rFonts w:ascii="Arial" w:hAnsi="Arial" w:cs="Arial"/>
          <w:sz w:val="20"/>
          <w:szCs w:val="20"/>
          <w:lang w:val="es-CO"/>
        </w:rPr>
      </w:pPr>
      <w:r w:rsidRPr="00443D80">
        <w:rPr>
          <w:rFonts w:ascii="Arial" w:eastAsia="Calibri" w:hAnsi="Arial" w:cs="Arial"/>
          <w:sz w:val="20"/>
          <w:szCs w:val="20"/>
          <w:lang w:val="es-CO"/>
        </w:rPr>
        <w:t>Así pues, la firmeza del RUP es una condición de ejecutoriedad, para consolidar los efectos del acto administrativo de inscripción […]</w:t>
      </w:r>
    </w:p>
    <w:p w14:paraId="0B8C90E8" w14:textId="77777777" w:rsidR="00A1118B" w:rsidRPr="00443D80" w:rsidRDefault="00A1118B" w:rsidP="00A1118B">
      <w:pPr>
        <w:pStyle w:val="Prrafodelista"/>
        <w:ind w:left="0"/>
        <w:jc w:val="both"/>
        <w:rPr>
          <w:rFonts w:ascii="Arial" w:eastAsia="Calibri" w:hAnsi="Arial" w:cs="Arial"/>
          <w:sz w:val="20"/>
          <w:szCs w:val="20"/>
          <w:lang w:val="es-CO"/>
        </w:rPr>
      </w:pPr>
    </w:p>
    <w:p w14:paraId="2A9FD4E0" w14:textId="2E511044" w:rsidR="00A1118B" w:rsidRPr="00443D80" w:rsidRDefault="00A1118B" w:rsidP="27F111B0">
      <w:pPr>
        <w:jc w:val="both"/>
        <w:rPr>
          <w:rFonts w:ascii="Arial" w:eastAsia="Calibri" w:hAnsi="Arial" w:cs="Arial"/>
          <w:b/>
          <w:bCs/>
          <w:color w:val="000000" w:themeColor="text1"/>
          <w:sz w:val="22"/>
          <w:lang w:val="es-CO"/>
        </w:rPr>
      </w:pPr>
      <w:r w:rsidRPr="27F111B0">
        <w:rPr>
          <w:rFonts w:ascii="Arial" w:eastAsia="Calibri" w:hAnsi="Arial" w:cs="Arial"/>
          <w:b/>
          <w:bCs/>
          <w:sz w:val="22"/>
          <w:lang w:val="es-CO"/>
        </w:rPr>
        <w:t>R</w:t>
      </w:r>
      <w:r w:rsidR="119C522B" w:rsidRPr="27F111B0">
        <w:rPr>
          <w:rFonts w:ascii="Arial" w:eastAsia="Calibri" w:hAnsi="Arial" w:cs="Arial"/>
          <w:b/>
          <w:bCs/>
          <w:sz w:val="22"/>
          <w:lang w:val="es-CO"/>
        </w:rPr>
        <w:t xml:space="preserve">EGISTRO ÚNICO DE PROPONENTES </w:t>
      </w:r>
      <w:r w:rsidRPr="27F111B0">
        <w:rPr>
          <w:rFonts w:ascii="Arial" w:eastAsia="Calibri" w:hAnsi="Arial" w:cs="Arial"/>
          <w:b/>
          <w:bCs/>
          <w:sz w:val="22"/>
          <w:lang w:val="es-CO"/>
        </w:rPr>
        <w:t xml:space="preserve">– </w:t>
      </w:r>
      <w:r w:rsidR="003D3EBE" w:rsidRPr="27F111B0">
        <w:rPr>
          <w:rFonts w:ascii="Arial" w:eastAsia="Calibri" w:hAnsi="Arial" w:cs="Arial"/>
          <w:b/>
          <w:bCs/>
          <w:sz w:val="22"/>
          <w:lang w:val="es-CO"/>
        </w:rPr>
        <w:t>R</w:t>
      </w:r>
      <w:r w:rsidRPr="27F111B0">
        <w:rPr>
          <w:rFonts w:ascii="Arial" w:eastAsia="Calibri" w:hAnsi="Arial" w:cs="Arial"/>
          <w:b/>
          <w:bCs/>
          <w:sz w:val="22"/>
          <w:lang w:val="es-CO"/>
        </w:rPr>
        <w:t xml:space="preserve">enovación – </w:t>
      </w:r>
      <w:r w:rsidR="003D3EBE" w:rsidRPr="27F111B0">
        <w:rPr>
          <w:rFonts w:ascii="Arial" w:eastAsia="Calibri" w:hAnsi="Arial" w:cs="Arial"/>
          <w:b/>
          <w:bCs/>
          <w:sz w:val="22"/>
          <w:lang w:val="es-CO"/>
        </w:rPr>
        <w:t>F</w:t>
      </w:r>
      <w:r w:rsidRPr="27F111B0">
        <w:rPr>
          <w:rFonts w:ascii="Arial" w:eastAsia="Calibri" w:hAnsi="Arial" w:cs="Arial"/>
          <w:b/>
          <w:bCs/>
          <w:sz w:val="22"/>
          <w:lang w:val="es-CO"/>
        </w:rPr>
        <w:t>irmeza</w:t>
      </w:r>
      <w:r w:rsidR="004206ED" w:rsidRPr="27F111B0">
        <w:rPr>
          <w:rFonts w:ascii="Arial" w:eastAsia="Calibri" w:hAnsi="Arial" w:cs="Arial"/>
          <w:b/>
          <w:bCs/>
          <w:sz w:val="22"/>
          <w:lang w:val="es-CO"/>
        </w:rPr>
        <w:t xml:space="preserve"> </w:t>
      </w:r>
      <w:r w:rsidR="00F24989" w:rsidRPr="27F111B0">
        <w:rPr>
          <w:rFonts w:ascii="Arial" w:eastAsia="Calibri" w:hAnsi="Arial" w:cs="Arial"/>
          <w:b/>
          <w:bCs/>
          <w:sz w:val="22"/>
          <w:lang w:val="es-CO"/>
        </w:rPr>
        <w:t xml:space="preserve">– </w:t>
      </w:r>
      <w:r w:rsidR="004206ED" w:rsidRPr="27F111B0">
        <w:rPr>
          <w:rFonts w:ascii="Arial" w:eastAsia="Calibri" w:hAnsi="Arial" w:cs="Arial"/>
          <w:b/>
          <w:bCs/>
          <w:sz w:val="22"/>
          <w:lang w:val="es-CO"/>
        </w:rPr>
        <w:t>Decreto 434 de 2020</w:t>
      </w:r>
      <w:r w:rsidR="00443D80" w:rsidRPr="27F111B0">
        <w:rPr>
          <w:rFonts w:ascii="Arial" w:eastAsia="Calibri" w:hAnsi="Arial" w:cs="Arial"/>
          <w:b/>
          <w:bCs/>
          <w:sz w:val="22"/>
          <w:lang w:val="es-CO"/>
        </w:rPr>
        <w:t xml:space="preserve"> – Información</w:t>
      </w:r>
      <w:r w:rsidR="320EF44B" w:rsidRPr="27F111B0">
        <w:rPr>
          <w:rFonts w:ascii="Arial" w:eastAsia="Calibri" w:hAnsi="Arial" w:cs="Arial"/>
          <w:b/>
          <w:bCs/>
          <w:sz w:val="22"/>
          <w:lang w:val="es-CO"/>
        </w:rPr>
        <w:t xml:space="preserve"> </w:t>
      </w:r>
      <w:r w:rsidR="320EF44B" w:rsidRPr="27F111B0">
        <w:rPr>
          <w:rFonts w:ascii="Arial" w:eastAsia="Calibri" w:hAnsi="Arial" w:cs="Arial"/>
          <w:b/>
          <w:bCs/>
          <w:color w:val="000000" w:themeColor="text1"/>
          <w:sz w:val="22"/>
          <w:lang w:val="es-CO"/>
        </w:rPr>
        <w:t>– Evaluación</w:t>
      </w:r>
    </w:p>
    <w:p w14:paraId="50B64F82" w14:textId="77777777" w:rsidR="00A1118B" w:rsidRPr="00443D80" w:rsidRDefault="00A1118B" w:rsidP="00A1118B">
      <w:pPr>
        <w:jc w:val="both"/>
        <w:rPr>
          <w:rFonts w:ascii="Arial" w:hAnsi="Arial" w:cs="Arial"/>
          <w:sz w:val="20"/>
          <w:szCs w:val="20"/>
          <w:lang w:val="es-CO"/>
        </w:rPr>
      </w:pPr>
    </w:p>
    <w:p w14:paraId="66AD3326" w14:textId="77777777" w:rsidR="00F24989" w:rsidRPr="00443D80" w:rsidRDefault="00F24989" w:rsidP="00443D80">
      <w:pPr>
        <w:spacing w:after="120"/>
        <w:jc w:val="both"/>
        <w:rPr>
          <w:rFonts w:ascii="Arial" w:hAnsi="Arial" w:cs="Arial"/>
          <w:color w:val="000000" w:themeColor="text1"/>
          <w:sz w:val="20"/>
          <w:szCs w:val="20"/>
          <w:lang w:val="es-CO"/>
        </w:rPr>
      </w:pPr>
      <w:r w:rsidRPr="00443D80">
        <w:rPr>
          <w:rFonts w:ascii="Arial" w:hAnsi="Arial" w:cs="Arial"/>
          <w:color w:val="000000" w:themeColor="text1"/>
          <w:sz w:val="20"/>
          <w:szCs w:val="20"/>
          <w:lang w:val="es-CO"/>
        </w:rPr>
        <w:t>Tratándose del trámite de renovación, se reitera lo expresado en el sentido de que la persona que presentó la información para renovar su registro antes del quinto día hábil de abril de cada año, cumpliendo el requisito del artículo 2.2.1.1.1.5.1. o antes del quinto día hábil del mes de julio, para el 2020, conforme lo establecido en el artículo 2 del Decreto 434 de 2020 y pese a que la renovación no esté en firme, es decir, mientras esté en trámite el proceso de renovación, 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4FA6C27E" w14:textId="1D903989" w:rsidR="00A1118B" w:rsidRPr="00265C4F" w:rsidRDefault="00F24989" w:rsidP="00F24989">
      <w:pPr>
        <w:jc w:val="both"/>
        <w:rPr>
          <w:rFonts w:ascii="Arial" w:eastAsia="Calibri" w:hAnsi="Arial" w:cs="Arial"/>
          <w:sz w:val="20"/>
          <w:szCs w:val="20"/>
          <w:lang w:val="es-CO"/>
        </w:rPr>
      </w:pPr>
      <w:r w:rsidRPr="00443D80">
        <w:rPr>
          <w:rFonts w:ascii="Arial" w:hAnsi="Arial" w:cs="Arial"/>
          <w:color w:val="000000" w:themeColor="text1"/>
          <w:sz w:val="20"/>
          <w:szCs w:val="20"/>
          <w:lang w:val="es-CO"/>
        </w:rPr>
        <w:t>Debe tenerse en cuenta, en relación con este aspecto, que el parágrafo 1 –inciso segundo– del artículo 5 de la Ley 1150 de 2007, modificado por el artículo 5 de la Ley 1882 de 2018 establece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subsanar circunstancias ocurridas con posterioridad al cierre; sino que optó por establecer una regla más amplia, consistente en que durante dicho término los proponentes no pueden acreditar ningún tipo de «circunstancias ocurridas con posterioridad al cierre del proceso», lo que se configuraría si se presentara o acreditara un RUP diferente renovado, que no estaba en firme para el cierre del proceso; independientemente de que este nuevo RUP favorezca o perjudique al interesado. Pues de la norma comentada se sigue que la evaluación se debe realizar conforme a las circunstancias ocurridas con anterioridad al cierre del proceso.</w:t>
      </w:r>
    </w:p>
    <w:p w14:paraId="4B803CA8" w14:textId="672BD428" w:rsidR="00A1118B" w:rsidRPr="00A66252" w:rsidRDefault="00A1118B" w:rsidP="00A1118B">
      <w:pPr>
        <w:rPr>
          <w:rFonts w:ascii="Arial" w:hAnsi="Arial" w:cs="Arial"/>
          <w:sz w:val="20"/>
          <w:szCs w:val="20"/>
          <w:lang w:val="es-CO"/>
        </w:rPr>
      </w:pPr>
    </w:p>
    <w:p w14:paraId="1776EBCF" w14:textId="77777777" w:rsidR="00443D80" w:rsidRPr="00A66252" w:rsidRDefault="00443D80" w:rsidP="00A1118B">
      <w:pPr>
        <w:rPr>
          <w:rFonts w:ascii="Arial" w:hAnsi="Arial" w:cs="Arial"/>
          <w:sz w:val="20"/>
          <w:szCs w:val="20"/>
          <w:lang w:val="es-CO"/>
        </w:rPr>
      </w:pPr>
    </w:p>
    <w:p w14:paraId="02A57081" w14:textId="0771D553" w:rsidR="004336F3" w:rsidRPr="001448AA" w:rsidRDefault="004336F3" w:rsidP="004336F3">
      <w:pPr>
        <w:rPr>
          <w:rFonts w:ascii="Arial" w:hAnsi="Arial" w:cs="Arial"/>
          <w:b/>
          <w:bCs/>
          <w:sz w:val="22"/>
          <w:lang w:val="es-CO"/>
        </w:rPr>
      </w:pPr>
      <w:r w:rsidRPr="00685722">
        <w:rPr>
          <w:rFonts w:ascii="Arial" w:hAnsi="Arial" w:cs="Arial"/>
          <w:sz w:val="22"/>
          <w:lang w:val="es-CO"/>
        </w:rPr>
        <w:t>Bogotá D.C.,</w:t>
      </w:r>
      <w:r w:rsidR="001448AA" w:rsidRPr="001448AA">
        <w:rPr>
          <w:rFonts w:ascii="Arial" w:hAnsi="Arial" w:cs="Arial"/>
          <w:sz w:val="22"/>
          <w:lang w:val="es-CO"/>
        </w:rPr>
        <w:t xml:space="preserve"> </w:t>
      </w:r>
      <w:r w:rsidR="001448AA" w:rsidRPr="001448AA">
        <w:rPr>
          <w:rFonts w:ascii="Arial" w:hAnsi="Arial" w:cs="Arial"/>
          <w:b/>
          <w:bCs/>
          <w:sz w:val="22"/>
          <w:lang w:val="es-CO"/>
        </w:rPr>
        <w:t>24/07/2020 Hora 17:43:16s</w:t>
      </w:r>
    </w:p>
    <w:p w14:paraId="1FD9B93E" w14:textId="77777777" w:rsidR="004336F3" w:rsidRPr="00685722" w:rsidRDefault="004336F3" w:rsidP="004336F3">
      <w:pPr>
        <w:jc w:val="right"/>
        <w:rPr>
          <w:rFonts w:ascii="Arial" w:hAnsi="Arial" w:cs="Arial"/>
          <w:b/>
          <w:sz w:val="22"/>
          <w:lang w:val="es-CO"/>
        </w:rPr>
      </w:pPr>
    </w:p>
    <w:p w14:paraId="7EA431B9" w14:textId="398FE936" w:rsidR="004336F3" w:rsidRPr="00685722" w:rsidRDefault="004336F3" w:rsidP="004336F3">
      <w:pPr>
        <w:jc w:val="right"/>
        <w:rPr>
          <w:rFonts w:ascii="Arial" w:hAnsi="Arial" w:cs="Arial"/>
          <w:b/>
          <w:sz w:val="22"/>
          <w:lang w:val="es-CO"/>
        </w:rPr>
      </w:pPr>
      <w:proofErr w:type="spellStart"/>
      <w:r w:rsidRPr="00685722">
        <w:rPr>
          <w:rFonts w:ascii="Arial" w:hAnsi="Arial" w:cs="Arial"/>
          <w:b/>
          <w:sz w:val="22"/>
          <w:lang w:val="es-CO"/>
        </w:rPr>
        <w:t>N°</w:t>
      </w:r>
      <w:proofErr w:type="spellEnd"/>
      <w:r w:rsidRPr="00685722">
        <w:rPr>
          <w:rFonts w:ascii="Arial" w:hAnsi="Arial" w:cs="Arial"/>
          <w:b/>
          <w:sz w:val="22"/>
          <w:lang w:val="es-CO"/>
        </w:rPr>
        <w:t xml:space="preserve"> Radicado:</w:t>
      </w:r>
      <w:r w:rsidR="001448AA">
        <w:rPr>
          <w:rFonts w:ascii="Arial" w:hAnsi="Arial" w:cs="Arial"/>
          <w:b/>
          <w:sz w:val="22"/>
          <w:lang w:val="es-CO"/>
        </w:rPr>
        <w:t xml:space="preserve"> </w:t>
      </w:r>
      <w:r w:rsidR="001448AA" w:rsidRPr="001448AA">
        <w:rPr>
          <w:rFonts w:ascii="Arial" w:hAnsi="Arial" w:cs="Arial"/>
          <w:b/>
          <w:sz w:val="22"/>
          <w:lang w:val="es-CO"/>
        </w:rPr>
        <w:t>2202013000006616</w:t>
      </w:r>
    </w:p>
    <w:p w14:paraId="3BFD62BA" w14:textId="77777777" w:rsidR="00A1118B" w:rsidRPr="00685722" w:rsidRDefault="00A1118B" w:rsidP="00A1118B">
      <w:pPr>
        <w:tabs>
          <w:tab w:val="left" w:pos="3374"/>
        </w:tabs>
        <w:rPr>
          <w:rFonts w:ascii="Arial" w:eastAsia="Calibri" w:hAnsi="Arial" w:cs="Arial"/>
          <w:sz w:val="22"/>
          <w:lang w:val="es-CO"/>
        </w:rPr>
      </w:pPr>
      <w:r w:rsidRPr="00685722">
        <w:rPr>
          <w:rFonts w:ascii="Arial" w:eastAsia="Calibri" w:hAnsi="Arial" w:cs="Arial"/>
          <w:sz w:val="22"/>
          <w:lang w:val="es-CO"/>
        </w:rPr>
        <w:tab/>
      </w:r>
    </w:p>
    <w:p w14:paraId="4DAF748F" w14:textId="3FB55D48" w:rsidR="00A1118B" w:rsidRPr="00685722" w:rsidRDefault="00A1118B" w:rsidP="00A1118B">
      <w:pPr>
        <w:rPr>
          <w:rFonts w:ascii="Arial" w:eastAsia="Calibri" w:hAnsi="Arial" w:cs="Arial"/>
          <w:sz w:val="22"/>
          <w:lang w:val="es-CO"/>
        </w:rPr>
      </w:pPr>
      <w:bookmarkStart w:id="0" w:name="_Hlk29890381"/>
      <w:r w:rsidRPr="00685722">
        <w:rPr>
          <w:rFonts w:ascii="Arial" w:eastAsia="Calibri" w:hAnsi="Arial" w:cs="Arial"/>
          <w:sz w:val="22"/>
          <w:lang w:val="es-CO"/>
        </w:rPr>
        <w:t>Señor</w:t>
      </w:r>
    </w:p>
    <w:p w14:paraId="5F176319" w14:textId="3FE9AACA" w:rsidR="00A1118B" w:rsidRPr="00685722" w:rsidRDefault="00842AD6" w:rsidP="00A1118B">
      <w:pPr>
        <w:rPr>
          <w:rFonts w:ascii="Arial" w:eastAsia="Calibri" w:hAnsi="Arial" w:cs="Arial"/>
          <w:b/>
          <w:sz w:val="22"/>
          <w:lang w:val="es-CO"/>
        </w:rPr>
      </w:pPr>
      <w:r w:rsidRPr="00685722">
        <w:rPr>
          <w:rFonts w:ascii="Arial" w:eastAsia="Calibri" w:hAnsi="Arial" w:cs="Arial"/>
          <w:b/>
          <w:sz w:val="22"/>
          <w:lang w:val="es-CO"/>
        </w:rPr>
        <w:t>JUAN MAURICIO GONZÁLEZ NEGRETE</w:t>
      </w:r>
    </w:p>
    <w:p w14:paraId="1F419C10" w14:textId="48DBC049" w:rsidR="00A1118B" w:rsidRPr="00685722" w:rsidRDefault="009E4F0B" w:rsidP="00A1118B">
      <w:pPr>
        <w:rPr>
          <w:rFonts w:ascii="Arial" w:eastAsia="Calibri" w:hAnsi="Arial" w:cs="Arial"/>
          <w:sz w:val="22"/>
          <w:lang w:val="es-CO"/>
        </w:rPr>
      </w:pPr>
      <w:r w:rsidRPr="00685722">
        <w:rPr>
          <w:rFonts w:ascii="Arial" w:eastAsia="Calibri" w:hAnsi="Arial" w:cs="Arial"/>
          <w:sz w:val="22"/>
          <w:lang w:val="es-CO"/>
        </w:rPr>
        <w:lastRenderedPageBreak/>
        <w:t>Bolívar</w:t>
      </w:r>
    </w:p>
    <w:p w14:paraId="2B159821" w14:textId="77777777" w:rsidR="001B6AB7" w:rsidRPr="00685722" w:rsidRDefault="001B6AB7" w:rsidP="00A1118B">
      <w:pPr>
        <w:jc w:val="center"/>
        <w:rPr>
          <w:rFonts w:ascii="Arial" w:eastAsia="Calibri" w:hAnsi="Arial" w:cs="Arial"/>
          <w:b/>
          <w:sz w:val="22"/>
          <w:lang w:val="es-CO"/>
        </w:rPr>
      </w:pPr>
    </w:p>
    <w:p w14:paraId="330CCD75" w14:textId="6B1AE150" w:rsidR="00A1118B" w:rsidRPr="00685722" w:rsidRDefault="00A1118B" w:rsidP="00A1118B">
      <w:pPr>
        <w:jc w:val="center"/>
        <w:rPr>
          <w:rFonts w:ascii="Arial" w:eastAsia="Calibri" w:hAnsi="Arial" w:cs="Arial"/>
          <w:b/>
          <w:sz w:val="22"/>
          <w:lang w:val="es-CO"/>
        </w:rPr>
      </w:pPr>
      <w:r w:rsidRPr="00685722">
        <w:rPr>
          <w:rFonts w:ascii="Arial" w:eastAsia="Calibri" w:hAnsi="Arial" w:cs="Arial"/>
          <w:b/>
          <w:sz w:val="22"/>
          <w:lang w:val="es-CO"/>
        </w:rPr>
        <w:t>Concepto C</w:t>
      </w:r>
      <w:r w:rsidR="00F15B00" w:rsidRPr="00685722">
        <w:rPr>
          <w:rFonts w:ascii="Arial" w:eastAsia="Calibri" w:hAnsi="Arial" w:cs="Arial"/>
          <w:b/>
          <w:sz w:val="22"/>
          <w:lang w:val="es-CO"/>
        </w:rPr>
        <w:t xml:space="preserve"> –</w:t>
      </w:r>
      <w:r w:rsidRPr="00685722">
        <w:rPr>
          <w:rFonts w:ascii="Arial" w:eastAsia="Calibri" w:hAnsi="Arial" w:cs="Arial"/>
          <w:b/>
          <w:sz w:val="22"/>
          <w:lang w:val="es-CO"/>
        </w:rPr>
        <w:t xml:space="preserve"> </w:t>
      </w:r>
      <w:r w:rsidR="001B6AB7" w:rsidRPr="00685722">
        <w:rPr>
          <w:rFonts w:ascii="Arial" w:eastAsia="Calibri" w:hAnsi="Arial" w:cs="Arial"/>
          <w:b/>
          <w:sz w:val="22"/>
          <w:lang w:val="es-CO"/>
        </w:rPr>
        <w:t>4</w:t>
      </w:r>
      <w:r w:rsidR="00842AD6" w:rsidRPr="00685722">
        <w:rPr>
          <w:rFonts w:ascii="Arial" w:eastAsia="Calibri" w:hAnsi="Arial" w:cs="Arial"/>
          <w:b/>
          <w:sz w:val="22"/>
          <w:lang w:val="es-CO"/>
        </w:rPr>
        <w:t>66</w:t>
      </w:r>
      <w:r w:rsidR="003D3EBE" w:rsidRPr="00685722">
        <w:rPr>
          <w:rFonts w:ascii="Arial" w:eastAsia="Calibri" w:hAnsi="Arial" w:cs="Arial"/>
          <w:b/>
          <w:sz w:val="22"/>
          <w:lang w:val="es-CO"/>
        </w:rPr>
        <w:t xml:space="preserve"> </w:t>
      </w:r>
      <w:r w:rsidRPr="00685722">
        <w:rPr>
          <w:rFonts w:ascii="Arial" w:eastAsia="Calibri" w:hAnsi="Arial" w:cs="Arial"/>
          <w:b/>
          <w:sz w:val="22"/>
          <w:lang w:val="es-CO"/>
        </w:rPr>
        <w:t>de 2020</w:t>
      </w:r>
    </w:p>
    <w:p w14:paraId="0D32CB76" w14:textId="77777777" w:rsidR="00A1118B" w:rsidRPr="00842AD6" w:rsidRDefault="00A1118B" w:rsidP="00A1118B">
      <w:pPr>
        <w:rPr>
          <w:rFonts w:ascii="Arial" w:eastAsia="Calibri" w:hAnsi="Arial" w:cs="Arial"/>
          <w:sz w:val="22"/>
          <w:highlight w:val="lightGray"/>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1118B" w:rsidRPr="00842AD6" w14:paraId="36EA4F30" w14:textId="77777777" w:rsidTr="00A1118B">
        <w:tc>
          <w:tcPr>
            <w:tcW w:w="2689" w:type="dxa"/>
            <w:hideMark/>
          </w:tcPr>
          <w:p w14:paraId="70B42C0E" w14:textId="77777777" w:rsidR="00A1118B" w:rsidRPr="00685722" w:rsidRDefault="00A1118B">
            <w:pPr>
              <w:rPr>
                <w:rFonts w:ascii="Arial" w:eastAsia="Calibri" w:hAnsi="Arial" w:cs="Arial"/>
                <w:sz w:val="22"/>
                <w:lang w:val="es-CO"/>
              </w:rPr>
            </w:pPr>
            <w:r w:rsidRPr="00685722">
              <w:rPr>
                <w:rFonts w:ascii="Arial" w:eastAsia="Calibri" w:hAnsi="Arial" w:cs="Arial"/>
                <w:b/>
                <w:sz w:val="22"/>
                <w:lang w:val="es-CO"/>
              </w:rPr>
              <w:t>Temas:</w:t>
            </w:r>
            <w:r w:rsidRPr="00685722">
              <w:rPr>
                <w:rFonts w:ascii="Arial" w:eastAsia="Calibri" w:hAnsi="Arial" w:cs="Arial"/>
                <w:sz w:val="22"/>
                <w:lang w:val="es-CO"/>
              </w:rPr>
              <w:t xml:space="preserve">           </w:t>
            </w:r>
          </w:p>
          <w:p w14:paraId="4B0B0C26" w14:textId="77777777" w:rsidR="00A1118B" w:rsidRPr="00842AD6" w:rsidRDefault="00A1118B">
            <w:pPr>
              <w:rPr>
                <w:rFonts w:ascii="Arial" w:eastAsia="Calibri" w:hAnsi="Arial" w:cs="Arial"/>
                <w:sz w:val="22"/>
                <w:highlight w:val="lightGray"/>
                <w:lang w:val="es-CO"/>
              </w:rPr>
            </w:pPr>
            <w:r w:rsidRPr="00842AD6">
              <w:rPr>
                <w:rFonts w:ascii="Arial" w:eastAsia="Calibri" w:hAnsi="Arial" w:cs="Arial"/>
                <w:sz w:val="22"/>
                <w:highlight w:val="lightGray"/>
                <w:lang w:val="es-CO"/>
              </w:rPr>
              <w:t xml:space="preserve">                           </w:t>
            </w:r>
          </w:p>
        </w:tc>
        <w:tc>
          <w:tcPr>
            <w:tcW w:w="6237" w:type="dxa"/>
            <w:hideMark/>
          </w:tcPr>
          <w:p w14:paraId="62F90292" w14:textId="432CF11F" w:rsidR="00013193" w:rsidRPr="00842AD6" w:rsidRDefault="00443D80" w:rsidP="00013193">
            <w:pPr>
              <w:jc w:val="both"/>
              <w:rPr>
                <w:rFonts w:ascii="Arial" w:eastAsia="Calibri" w:hAnsi="Arial" w:cs="Arial"/>
                <w:sz w:val="22"/>
                <w:highlight w:val="yellow"/>
                <w:lang w:val="es-CO"/>
              </w:rPr>
            </w:pPr>
            <w:r w:rsidRPr="00443D80">
              <w:rPr>
                <w:rFonts w:ascii="Arial" w:eastAsia="Calibri" w:hAnsi="Arial" w:cs="Arial"/>
                <w:color w:val="000000" w:themeColor="text1"/>
                <w:sz w:val="22"/>
                <w:lang w:val="es-CO"/>
              </w:rPr>
              <w:t>DOCUMENTOS TIPO – Inalterabilidad – Aplicación de la normativa vigente</w:t>
            </w:r>
            <w:r>
              <w:rPr>
                <w:rFonts w:ascii="Arial" w:eastAsia="Calibri" w:hAnsi="Arial" w:cs="Arial"/>
                <w:color w:val="000000" w:themeColor="text1"/>
                <w:sz w:val="22"/>
                <w:lang w:val="es-CO"/>
              </w:rPr>
              <w:t xml:space="preserve"> / </w:t>
            </w:r>
            <w:r w:rsidRPr="00443D80">
              <w:rPr>
                <w:rFonts w:ascii="Arial" w:eastAsia="Calibri" w:hAnsi="Arial" w:cs="Arial"/>
                <w:color w:val="000000" w:themeColor="text1"/>
                <w:sz w:val="22"/>
                <w:lang w:val="es-CO"/>
              </w:rPr>
              <w:t>RENOVACIÓN DEL RUP – Decreto 434 de 2020 – Documentos Tipo – Causal de Rechazo literal G – Pérdida Fuerza Ejecutoria – Plazos Especiales</w:t>
            </w:r>
            <w:r>
              <w:rPr>
                <w:rFonts w:ascii="Arial" w:eastAsia="Calibri" w:hAnsi="Arial" w:cs="Arial"/>
                <w:color w:val="000000" w:themeColor="text1"/>
                <w:sz w:val="22"/>
                <w:lang w:val="es-CO"/>
              </w:rPr>
              <w:t xml:space="preserve"> / </w:t>
            </w:r>
            <w:r w:rsidRPr="00443D80">
              <w:rPr>
                <w:rFonts w:ascii="Arial" w:eastAsia="Calibri" w:hAnsi="Arial" w:cs="Arial"/>
                <w:color w:val="000000" w:themeColor="text1"/>
                <w:sz w:val="22"/>
                <w:lang w:val="es-CO"/>
              </w:rPr>
              <w:t>RUP – Firmeza – Acto administrativo – Inscripción</w:t>
            </w:r>
            <w:r>
              <w:rPr>
                <w:rFonts w:ascii="Arial" w:eastAsia="Calibri" w:hAnsi="Arial" w:cs="Arial"/>
                <w:color w:val="000000" w:themeColor="text1"/>
                <w:sz w:val="22"/>
                <w:lang w:val="es-CO"/>
              </w:rPr>
              <w:t xml:space="preserve"> / </w:t>
            </w:r>
            <w:r w:rsidRPr="00443D80">
              <w:rPr>
                <w:rFonts w:ascii="Arial" w:eastAsia="Calibri" w:hAnsi="Arial" w:cs="Arial"/>
                <w:color w:val="000000" w:themeColor="text1"/>
                <w:sz w:val="22"/>
                <w:lang w:val="es-CO"/>
              </w:rPr>
              <w:t>RUP – Renovación – Firmeza – Decreto 434 de 2020 – Información para evaluar</w:t>
            </w:r>
          </w:p>
          <w:p w14:paraId="25A9B925" w14:textId="77777777" w:rsidR="00F56D55" w:rsidRPr="00842AD6" w:rsidRDefault="00F56D55" w:rsidP="00F56D55">
            <w:pPr>
              <w:jc w:val="both"/>
              <w:rPr>
                <w:rFonts w:ascii="Arial" w:hAnsi="Arial" w:cs="Arial"/>
                <w:sz w:val="22"/>
                <w:highlight w:val="lightGray"/>
                <w:lang w:val="es-CO"/>
              </w:rPr>
            </w:pPr>
          </w:p>
          <w:p w14:paraId="01DDD969" w14:textId="4EBEC78D" w:rsidR="00A1118B" w:rsidRPr="00842AD6" w:rsidRDefault="00A1118B">
            <w:pPr>
              <w:jc w:val="both"/>
              <w:rPr>
                <w:rFonts w:ascii="Arial" w:eastAsia="Calibri" w:hAnsi="Arial" w:cs="Arial"/>
                <w:sz w:val="22"/>
                <w:highlight w:val="lightGray"/>
                <w:lang w:val="es-CO"/>
              </w:rPr>
            </w:pPr>
          </w:p>
        </w:tc>
      </w:tr>
      <w:tr w:rsidR="00A1118B" w:rsidRPr="00685722" w14:paraId="45E46F98" w14:textId="77777777" w:rsidTr="00A1118B">
        <w:tc>
          <w:tcPr>
            <w:tcW w:w="2689" w:type="dxa"/>
            <w:hideMark/>
          </w:tcPr>
          <w:p w14:paraId="55ECA733" w14:textId="77777777" w:rsidR="00A1118B" w:rsidRPr="00685722" w:rsidRDefault="00A1118B">
            <w:pPr>
              <w:rPr>
                <w:rFonts w:ascii="Arial" w:eastAsia="Calibri" w:hAnsi="Arial" w:cs="Arial"/>
                <w:b/>
                <w:sz w:val="22"/>
                <w:lang w:val="es-CO"/>
              </w:rPr>
            </w:pPr>
            <w:r w:rsidRPr="00685722">
              <w:rPr>
                <w:rFonts w:ascii="Arial" w:eastAsia="Calibri" w:hAnsi="Arial" w:cs="Arial"/>
                <w:b/>
                <w:sz w:val="22"/>
                <w:lang w:val="es-CO"/>
              </w:rPr>
              <w:t>Radicación:</w:t>
            </w:r>
            <w:r w:rsidRPr="00685722">
              <w:rPr>
                <w:rFonts w:ascii="Arial" w:eastAsia="Calibri" w:hAnsi="Arial" w:cs="Arial"/>
                <w:sz w:val="22"/>
                <w:lang w:val="es-CO"/>
              </w:rPr>
              <w:t xml:space="preserve">                              </w:t>
            </w:r>
          </w:p>
        </w:tc>
        <w:tc>
          <w:tcPr>
            <w:tcW w:w="6237" w:type="dxa"/>
            <w:hideMark/>
          </w:tcPr>
          <w:p w14:paraId="72D73A4C" w14:textId="5DDDEBE8" w:rsidR="00A1118B" w:rsidRPr="00685722" w:rsidRDefault="00A1118B" w:rsidP="004336F3">
            <w:pPr>
              <w:rPr>
                <w:rFonts w:ascii="Arial" w:eastAsia="Calibri" w:hAnsi="Arial" w:cs="Arial"/>
                <w:sz w:val="22"/>
                <w:lang w:val="es-CO"/>
              </w:rPr>
            </w:pPr>
            <w:r w:rsidRPr="00685722">
              <w:rPr>
                <w:rFonts w:ascii="Arial" w:eastAsia="Calibri" w:hAnsi="Arial" w:cs="Arial"/>
                <w:sz w:val="22"/>
                <w:lang w:val="es-CO"/>
              </w:rPr>
              <w:t xml:space="preserve">Respuesta a </w:t>
            </w:r>
            <w:r w:rsidR="004336F3" w:rsidRPr="00685722">
              <w:rPr>
                <w:rFonts w:ascii="Arial" w:eastAsia="Calibri" w:hAnsi="Arial" w:cs="Arial"/>
                <w:sz w:val="22"/>
                <w:lang w:val="es-CO"/>
              </w:rPr>
              <w:t xml:space="preserve">consulta </w:t>
            </w:r>
            <w:r w:rsidR="00842AD6" w:rsidRPr="00685722">
              <w:rPr>
                <w:rFonts w:ascii="Arial" w:eastAsia="Calibri" w:hAnsi="Arial" w:cs="Arial"/>
                <w:sz w:val="22"/>
                <w:lang w:val="es-CO"/>
              </w:rPr>
              <w:t>4202012000005522</w:t>
            </w:r>
          </w:p>
        </w:tc>
      </w:tr>
    </w:tbl>
    <w:p w14:paraId="6799E8F7" w14:textId="77777777" w:rsidR="00A1118B" w:rsidRPr="00685722" w:rsidRDefault="00A1118B" w:rsidP="00A1118B">
      <w:pPr>
        <w:jc w:val="both"/>
        <w:rPr>
          <w:rFonts w:ascii="Arial" w:eastAsia="Calibri" w:hAnsi="Arial" w:cs="Arial"/>
          <w:sz w:val="22"/>
          <w:lang w:val="es-CO"/>
        </w:rPr>
      </w:pPr>
    </w:p>
    <w:p w14:paraId="168B4844" w14:textId="77777777" w:rsidR="00A1118B" w:rsidRPr="00685722" w:rsidRDefault="00A1118B" w:rsidP="00A1118B">
      <w:pPr>
        <w:jc w:val="both"/>
        <w:rPr>
          <w:rFonts w:ascii="Arial" w:eastAsia="Calibri" w:hAnsi="Arial" w:cs="Arial"/>
          <w:sz w:val="22"/>
          <w:lang w:val="es-CO"/>
        </w:rPr>
      </w:pPr>
    </w:p>
    <w:p w14:paraId="786007D4" w14:textId="54462D43" w:rsidR="00A1118B" w:rsidRPr="00685722" w:rsidRDefault="00A1118B" w:rsidP="00A1118B">
      <w:pPr>
        <w:rPr>
          <w:rFonts w:ascii="Arial" w:eastAsia="Calibri" w:hAnsi="Arial" w:cs="Arial"/>
          <w:sz w:val="22"/>
          <w:lang w:val="es-CO"/>
        </w:rPr>
      </w:pPr>
      <w:r w:rsidRPr="00685722">
        <w:rPr>
          <w:rFonts w:ascii="Arial" w:eastAsia="Calibri" w:hAnsi="Arial" w:cs="Arial"/>
          <w:sz w:val="22"/>
          <w:lang w:val="es-CO"/>
        </w:rPr>
        <w:t>Estimad</w:t>
      </w:r>
      <w:r w:rsidR="00BB1F95" w:rsidRPr="00685722">
        <w:rPr>
          <w:rFonts w:ascii="Arial" w:eastAsia="Calibri" w:hAnsi="Arial" w:cs="Arial"/>
          <w:sz w:val="22"/>
          <w:lang w:val="es-CO"/>
        </w:rPr>
        <w:t>o</w:t>
      </w:r>
      <w:r w:rsidRPr="00685722">
        <w:rPr>
          <w:rFonts w:ascii="Arial" w:eastAsia="Calibri" w:hAnsi="Arial" w:cs="Arial"/>
          <w:sz w:val="22"/>
          <w:lang w:val="es-CO"/>
        </w:rPr>
        <w:t xml:space="preserve"> señor</w:t>
      </w:r>
      <w:r w:rsidR="004336F3" w:rsidRPr="00685722">
        <w:rPr>
          <w:rFonts w:ascii="Arial" w:eastAsia="Calibri" w:hAnsi="Arial" w:cs="Arial"/>
          <w:sz w:val="22"/>
          <w:lang w:val="es-CO"/>
        </w:rPr>
        <w:t>a</w:t>
      </w:r>
      <w:r w:rsidR="00F15B00" w:rsidRPr="00685722">
        <w:rPr>
          <w:rFonts w:ascii="Arial" w:eastAsia="Calibri" w:hAnsi="Arial" w:cs="Arial"/>
          <w:sz w:val="22"/>
          <w:lang w:val="es-CO"/>
        </w:rPr>
        <w:t xml:space="preserve"> </w:t>
      </w:r>
      <w:r w:rsidR="009E4F0B" w:rsidRPr="00685722">
        <w:rPr>
          <w:rFonts w:ascii="Arial" w:eastAsia="Calibri" w:hAnsi="Arial" w:cs="Arial"/>
          <w:sz w:val="22"/>
          <w:lang w:val="es-CO"/>
        </w:rPr>
        <w:t>González</w:t>
      </w:r>
      <w:r w:rsidRPr="00685722">
        <w:rPr>
          <w:rFonts w:ascii="Arial" w:eastAsia="Calibri" w:hAnsi="Arial" w:cs="Arial"/>
          <w:sz w:val="22"/>
          <w:lang w:val="es-CO"/>
        </w:rPr>
        <w:t>,</w:t>
      </w:r>
    </w:p>
    <w:p w14:paraId="171959E3" w14:textId="77777777" w:rsidR="00A1118B" w:rsidRPr="00685722" w:rsidRDefault="00A1118B" w:rsidP="00A1118B">
      <w:pPr>
        <w:spacing w:line="276" w:lineRule="auto"/>
        <w:ind w:right="49"/>
        <w:jc w:val="both"/>
        <w:rPr>
          <w:rFonts w:ascii="Arial" w:eastAsia="Calibri" w:hAnsi="Arial" w:cs="Arial"/>
          <w:sz w:val="22"/>
          <w:lang w:val="es-CO"/>
        </w:rPr>
      </w:pPr>
    </w:p>
    <w:p w14:paraId="2BE7B08D" w14:textId="0E5EB9F2" w:rsidR="001F179E" w:rsidRPr="00685722" w:rsidRDefault="00A1118B" w:rsidP="004336F3">
      <w:pPr>
        <w:spacing w:after="120" w:line="276" w:lineRule="auto"/>
        <w:jc w:val="both"/>
        <w:rPr>
          <w:rFonts w:ascii="Arial" w:hAnsi="Arial" w:cs="Arial"/>
          <w:sz w:val="22"/>
          <w:lang w:val="es-CO"/>
        </w:rPr>
      </w:pPr>
      <w:r w:rsidRPr="00685722">
        <w:rPr>
          <w:rFonts w:ascii="Arial" w:eastAsia="Calibri" w:hAnsi="Arial" w:cs="Arial"/>
          <w:sz w:val="22"/>
          <w:lang w:val="es-CO"/>
        </w:rPr>
        <w:t xml:space="preserve">La Agencia Nacional de Contratación Pública - Colombia Compra Eficiente responde su consulta del </w:t>
      </w:r>
      <w:r w:rsidR="009E4F0B" w:rsidRPr="00685722">
        <w:rPr>
          <w:rFonts w:ascii="Arial" w:eastAsia="Calibri" w:hAnsi="Arial" w:cs="Arial"/>
          <w:sz w:val="22"/>
          <w:lang w:val="es-CO"/>
        </w:rPr>
        <w:t>1</w:t>
      </w:r>
      <w:r w:rsidR="004336F3" w:rsidRPr="00685722">
        <w:rPr>
          <w:rFonts w:ascii="Arial" w:eastAsia="Calibri" w:hAnsi="Arial" w:cs="Arial"/>
          <w:sz w:val="22"/>
          <w:lang w:val="es-CO"/>
        </w:rPr>
        <w:t xml:space="preserve"> de </w:t>
      </w:r>
      <w:r w:rsidR="009E4F0B" w:rsidRPr="00685722">
        <w:rPr>
          <w:rFonts w:ascii="Arial" w:eastAsia="Calibri" w:hAnsi="Arial" w:cs="Arial"/>
          <w:sz w:val="22"/>
          <w:lang w:val="es-CO"/>
        </w:rPr>
        <w:t>julio</w:t>
      </w:r>
      <w:r w:rsidR="004336F3" w:rsidRPr="00685722">
        <w:rPr>
          <w:rFonts w:ascii="Arial" w:eastAsia="Calibri" w:hAnsi="Arial" w:cs="Arial"/>
          <w:sz w:val="22"/>
          <w:lang w:val="es-CO"/>
        </w:rPr>
        <w:t xml:space="preserve"> </w:t>
      </w:r>
      <w:r w:rsidR="004336F3" w:rsidRPr="00685722">
        <w:rPr>
          <w:rFonts w:ascii="Arial" w:hAnsi="Arial" w:cs="Arial"/>
          <w:sz w:val="22"/>
          <w:lang w:val="es-CO"/>
        </w:rPr>
        <w:t>de</w:t>
      </w:r>
      <w:r w:rsidRPr="00685722">
        <w:rPr>
          <w:rFonts w:ascii="Arial" w:hAnsi="Arial" w:cs="Arial"/>
          <w:sz w:val="22"/>
          <w:lang w:val="es-CO"/>
        </w:rPr>
        <w:t xml:space="preserve"> 2020</w:t>
      </w:r>
      <w:r w:rsidRPr="00685722">
        <w:rPr>
          <w:rFonts w:ascii="Arial" w:eastAsia="Calibri" w:hAnsi="Arial" w:cs="Arial"/>
          <w:sz w:val="22"/>
          <w:lang w:val="es-CO"/>
        </w:rPr>
        <w:t xml:space="preserve">, en ejercicio de la competencia otorgada por el numeral </w:t>
      </w:r>
      <w:r w:rsidRPr="00685722">
        <w:rPr>
          <w:rFonts w:ascii="Arial" w:hAnsi="Arial" w:cs="Arial"/>
          <w:sz w:val="22"/>
          <w:lang w:val="es-CO"/>
        </w:rPr>
        <w:t xml:space="preserve">8 del artículo 11 y el numeral 5 del artículo 3 del Decreto Ley 4170 de 2011. </w:t>
      </w:r>
    </w:p>
    <w:p w14:paraId="51A89F91" w14:textId="77777777" w:rsidR="001B6AB7" w:rsidRPr="00685722" w:rsidRDefault="001B6AB7" w:rsidP="00013193">
      <w:pPr>
        <w:spacing w:line="276" w:lineRule="auto"/>
        <w:jc w:val="both"/>
        <w:rPr>
          <w:rFonts w:ascii="Arial" w:hAnsi="Arial" w:cs="Arial"/>
          <w:sz w:val="22"/>
          <w:lang w:val="es-CO"/>
        </w:rPr>
      </w:pPr>
    </w:p>
    <w:p w14:paraId="77F3F6D9" w14:textId="77777777" w:rsidR="00A1118B" w:rsidRPr="00685722" w:rsidRDefault="00A1118B" w:rsidP="00A1118B">
      <w:pPr>
        <w:pStyle w:val="Prrafodelista"/>
        <w:tabs>
          <w:tab w:val="left" w:pos="284"/>
        </w:tabs>
        <w:spacing w:line="276" w:lineRule="auto"/>
        <w:ind w:left="0"/>
        <w:jc w:val="both"/>
        <w:rPr>
          <w:rFonts w:ascii="Arial" w:eastAsia="Calibri" w:hAnsi="Arial" w:cs="Arial"/>
          <w:b/>
          <w:sz w:val="22"/>
          <w:lang w:val="es-CO"/>
        </w:rPr>
      </w:pPr>
      <w:r w:rsidRPr="00685722">
        <w:rPr>
          <w:rFonts w:ascii="Arial" w:eastAsia="Calibri" w:hAnsi="Arial" w:cs="Arial"/>
          <w:b/>
          <w:sz w:val="22"/>
          <w:lang w:val="es-CO"/>
        </w:rPr>
        <w:t xml:space="preserve">1. Problema planteado </w:t>
      </w:r>
    </w:p>
    <w:p w14:paraId="6551DB04" w14:textId="77777777" w:rsidR="00A1118B" w:rsidRPr="00842AD6" w:rsidRDefault="00A1118B" w:rsidP="00A1118B">
      <w:pPr>
        <w:tabs>
          <w:tab w:val="left" w:pos="426"/>
        </w:tabs>
        <w:spacing w:line="276" w:lineRule="auto"/>
        <w:jc w:val="both"/>
        <w:rPr>
          <w:rFonts w:ascii="Arial" w:eastAsia="Calibri" w:hAnsi="Arial" w:cs="Arial"/>
          <w:b/>
          <w:sz w:val="22"/>
          <w:highlight w:val="lightGray"/>
          <w:lang w:val="es-CO"/>
        </w:rPr>
      </w:pPr>
    </w:p>
    <w:p w14:paraId="7540B367" w14:textId="1BCAE5D6" w:rsidR="008D2EED" w:rsidRPr="00265C4F" w:rsidRDefault="00A1118B" w:rsidP="00A1118B">
      <w:pPr>
        <w:spacing w:line="276" w:lineRule="auto"/>
        <w:jc w:val="both"/>
        <w:rPr>
          <w:rFonts w:ascii="Arial" w:eastAsia="Calibri" w:hAnsi="Arial" w:cs="Arial"/>
          <w:sz w:val="22"/>
          <w:lang w:val="es-CO"/>
        </w:rPr>
      </w:pPr>
      <w:r w:rsidRPr="00F66EC5">
        <w:rPr>
          <w:rFonts w:ascii="Arial" w:eastAsia="Calibri" w:hAnsi="Arial" w:cs="Arial"/>
          <w:sz w:val="22"/>
          <w:lang w:val="es-CO"/>
        </w:rPr>
        <w:t xml:space="preserve">Usted </w:t>
      </w:r>
      <w:r w:rsidR="008D2EED" w:rsidRPr="00F66EC5">
        <w:rPr>
          <w:rFonts w:ascii="Arial" w:eastAsia="Calibri" w:hAnsi="Arial" w:cs="Arial"/>
          <w:sz w:val="22"/>
          <w:lang w:val="es-CO"/>
        </w:rPr>
        <w:t xml:space="preserve">formula varios interrogantes relacionados con la ampliación </w:t>
      </w:r>
      <w:r w:rsidR="00811A5E" w:rsidRPr="00F66EC5">
        <w:rPr>
          <w:rFonts w:ascii="Arial" w:eastAsia="Calibri" w:hAnsi="Arial" w:cs="Arial"/>
          <w:sz w:val="22"/>
          <w:lang w:val="es-CO"/>
        </w:rPr>
        <w:t xml:space="preserve">del plazo </w:t>
      </w:r>
      <w:r w:rsidR="008D2EED" w:rsidRPr="00F66EC5">
        <w:rPr>
          <w:rFonts w:ascii="Arial" w:eastAsia="Calibri" w:hAnsi="Arial" w:cs="Arial"/>
          <w:sz w:val="22"/>
          <w:lang w:val="es-CO"/>
        </w:rPr>
        <w:t xml:space="preserve">para </w:t>
      </w:r>
      <w:r w:rsidR="00811A5E" w:rsidRPr="00F66EC5">
        <w:rPr>
          <w:rFonts w:ascii="Arial" w:eastAsia="Calibri" w:hAnsi="Arial" w:cs="Arial"/>
          <w:sz w:val="22"/>
          <w:lang w:val="es-CO"/>
        </w:rPr>
        <w:t xml:space="preserve">renovar </w:t>
      </w:r>
      <w:r w:rsidR="008D2EED" w:rsidRPr="00F66EC5">
        <w:rPr>
          <w:rFonts w:ascii="Arial" w:eastAsia="Calibri" w:hAnsi="Arial" w:cs="Arial"/>
          <w:sz w:val="22"/>
          <w:lang w:val="es-CO"/>
        </w:rPr>
        <w:t xml:space="preserve">el Registro Único de proponentes – RUP hasta el quinto día hábil del mes de julio de 2020, según lo consagrado en el </w:t>
      </w:r>
      <w:r w:rsidR="00265C4F" w:rsidRPr="00F66EC5">
        <w:rPr>
          <w:rFonts w:ascii="Arial" w:eastAsia="Calibri" w:hAnsi="Arial" w:cs="Arial"/>
          <w:sz w:val="22"/>
          <w:lang w:val="es-CO"/>
        </w:rPr>
        <w:t>artículo</w:t>
      </w:r>
      <w:r w:rsidR="008D2EED" w:rsidRPr="00F66EC5">
        <w:rPr>
          <w:rFonts w:ascii="Arial" w:eastAsia="Calibri" w:hAnsi="Arial" w:cs="Arial"/>
          <w:sz w:val="22"/>
          <w:lang w:val="es-CO"/>
        </w:rPr>
        <w:t xml:space="preserve"> 2 del </w:t>
      </w:r>
      <w:r w:rsidR="002F3B74" w:rsidRPr="00F66EC5">
        <w:rPr>
          <w:rFonts w:ascii="Arial" w:eastAsia="Calibri" w:hAnsi="Arial" w:cs="Arial"/>
          <w:sz w:val="22"/>
          <w:lang w:val="es-CO"/>
        </w:rPr>
        <w:t>Decreto 434</w:t>
      </w:r>
      <w:r w:rsidR="008D2EED" w:rsidRPr="00F66EC5">
        <w:rPr>
          <w:rFonts w:ascii="Arial" w:eastAsia="Calibri" w:hAnsi="Arial" w:cs="Arial"/>
          <w:sz w:val="22"/>
          <w:lang w:val="es-CO"/>
        </w:rPr>
        <w:t xml:space="preserve"> del 19 de marzo de 2020 y la incidencia de esta ampliación del plazo en la causal de rechazo contenida en el literal G, de los documentos tipo.</w:t>
      </w:r>
      <w:r w:rsidR="008D2EED" w:rsidRPr="00265C4F">
        <w:rPr>
          <w:rFonts w:ascii="Arial" w:eastAsia="Calibri" w:hAnsi="Arial" w:cs="Arial"/>
          <w:sz w:val="22"/>
          <w:lang w:val="es-CO"/>
        </w:rPr>
        <w:t xml:space="preserve"> </w:t>
      </w:r>
      <w:r w:rsidR="00F66EC5">
        <w:rPr>
          <w:rFonts w:ascii="Arial" w:eastAsia="Calibri" w:hAnsi="Arial" w:cs="Arial"/>
          <w:sz w:val="22"/>
          <w:lang w:val="es-CO"/>
        </w:rPr>
        <w:t>Además, platea otros cuestionamientos relacionados con la incidencia de la renovación del RUP en los procedimientos de selección y el incumplimiento de dicha actuación.</w:t>
      </w:r>
    </w:p>
    <w:p w14:paraId="30548B7B" w14:textId="77777777" w:rsidR="008D2EED" w:rsidRPr="00265C4F" w:rsidRDefault="008D2EED" w:rsidP="00A1118B">
      <w:pPr>
        <w:spacing w:line="276" w:lineRule="auto"/>
        <w:jc w:val="both"/>
        <w:rPr>
          <w:rFonts w:ascii="Arial" w:eastAsia="Calibri" w:hAnsi="Arial" w:cs="Arial"/>
          <w:sz w:val="22"/>
          <w:lang w:val="es-CO"/>
        </w:rPr>
      </w:pPr>
    </w:p>
    <w:p w14:paraId="75AB2D14" w14:textId="30A9CC33" w:rsidR="00A1118B" w:rsidRPr="00265C4F" w:rsidRDefault="00A1118B" w:rsidP="00A1118B">
      <w:pPr>
        <w:tabs>
          <w:tab w:val="left" w:pos="426"/>
        </w:tabs>
        <w:spacing w:line="276" w:lineRule="auto"/>
        <w:jc w:val="both"/>
        <w:rPr>
          <w:rFonts w:ascii="Arial" w:eastAsia="Calibri" w:hAnsi="Arial" w:cs="Arial"/>
          <w:b/>
          <w:sz w:val="22"/>
          <w:lang w:val="es-CO"/>
        </w:rPr>
      </w:pPr>
      <w:r w:rsidRPr="00265C4F">
        <w:rPr>
          <w:rFonts w:ascii="Arial" w:eastAsia="Calibri" w:hAnsi="Arial" w:cs="Arial"/>
          <w:b/>
          <w:sz w:val="22"/>
          <w:lang w:val="es-CO"/>
        </w:rPr>
        <w:t>2. Consideraciones</w:t>
      </w:r>
    </w:p>
    <w:p w14:paraId="7D0B90C6" w14:textId="3FBDEA60" w:rsidR="008D2EED" w:rsidRPr="00265C4F" w:rsidRDefault="008D2EED" w:rsidP="00A1118B">
      <w:pPr>
        <w:tabs>
          <w:tab w:val="left" w:pos="426"/>
        </w:tabs>
        <w:spacing w:line="276" w:lineRule="auto"/>
        <w:jc w:val="both"/>
        <w:rPr>
          <w:rFonts w:ascii="Arial" w:eastAsia="Calibri" w:hAnsi="Arial" w:cs="Arial"/>
          <w:b/>
          <w:sz w:val="22"/>
          <w:lang w:val="es-CO"/>
        </w:rPr>
      </w:pPr>
    </w:p>
    <w:p w14:paraId="53516E1C" w14:textId="77777777" w:rsidR="00811A5E" w:rsidRDefault="00811A5E" w:rsidP="00811A5E">
      <w:pPr>
        <w:spacing w:after="120" w:line="276" w:lineRule="auto"/>
        <w:jc w:val="both"/>
        <w:rPr>
          <w:rFonts w:ascii="Arial" w:hAnsi="Arial" w:cs="Arial"/>
          <w:bCs/>
          <w:sz w:val="22"/>
          <w:lang w:val="es-CO"/>
        </w:rPr>
      </w:pPr>
      <w:r>
        <w:rPr>
          <w:rFonts w:ascii="Arial" w:eastAsia="Calibri" w:hAnsi="Arial" w:cs="Arial"/>
          <w:sz w:val="22"/>
        </w:rPr>
        <w:t xml:space="preserve">De conformidad con </w:t>
      </w:r>
      <w:r w:rsidRPr="00936BD3">
        <w:rPr>
          <w:rFonts w:ascii="Arial" w:eastAsia="Calibri" w:hAnsi="Arial" w:cs="Arial"/>
          <w:sz w:val="22"/>
        </w:rPr>
        <w:t>la competencia otorgada por los artículos 11, numeral 8º, y 3º, numeral 5º, del Decreto Ley 4170 de 2011</w:t>
      </w:r>
      <w:r>
        <w:rPr>
          <w:rFonts w:ascii="Arial" w:eastAsia="Calibri" w:hAnsi="Arial" w:cs="Arial"/>
          <w:sz w:val="22"/>
        </w:rPr>
        <w:t xml:space="preserve">, la </w:t>
      </w:r>
      <w:r w:rsidRPr="00EB736E">
        <w:rPr>
          <w:rFonts w:ascii="Arial" w:hAnsi="Arial" w:cs="Arial"/>
          <w:bCs/>
          <w:sz w:val="22"/>
          <w:lang w:val="es-CO"/>
        </w:rPr>
        <w:t>Agencia de Contratación Pública ― Colombia Compra Eficiente</w:t>
      </w:r>
      <w:r>
        <w:rPr>
          <w:rFonts w:ascii="Arial" w:hAnsi="Arial" w:cs="Arial"/>
          <w:bCs/>
          <w:sz w:val="22"/>
          <w:lang w:val="es-CO"/>
        </w:rPr>
        <w:t xml:space="preserve"> es competente para absolver consultas sobre la aplicación de normas de carácter general</w:t>
      </w:r>
      <w:r>
        <w:rPr>
          <w:rStyle w:val="Refdenotaalpie"/>
          <w:rFonts w:ascii="Arial" w:hAnsi="Arial" w:cs="Arial"/>
          <w:bCs/>
          <w:sz w:val="22"/>
          <w:lang w:val="es-CO"/>
        </w:rPr>
        <w:footnoteReference w:id="1"/>
      </w:r>
      <w:r>
        <w:rPr>
          <w:rFonts w:ascii="Arial" w:hAnsi="Arial" w:cs="Arial"/>
          <w:bCs/>
          <w:sz w:val="22"/>
          <w:lang w:val="es-CO"/>
        </w:rPr>
        <w:t xml:space="preserve">. En tal sentido, su competencia se encuentra limitada por los criterios y requisitos </w:t>
      </w:r>
      <w:r>
        <w:rPr>
          <w:rFonts w:ascii="Arial" w:hAnsi="Arial" w:cs="Arial"/>
          <w:bCs/>
          <w:sz w:val="22"/>
          <w:lang w:val="es-CO"/>
        </w:rPr>
        <w:lastRenderedPageBreak/>
        <w:t>establecidos en las disposiciones que le asignan dicha potestad, de manera que su ejercicio debe someterse a la norma habilitante, observando estrictamente el principio de legalidad.</w:t>
      </w:r>
    </w:p>
    <w:p w14:paraId="73D534D2" w14:textId="59A807D8" w:rsidR="008D2EED" w:rsidRPr="00265C4F" w:rsidRDefault="00811A5E" w:rsidP="00CD001D">
      <w:pPr>
        <w:pStyle w:val="Prrafodelista"/>
        <w:spacing w:line="276" w:lineRule="auto"/>
        <w:ind w:left="0"/>
        <w:jc w:val="both"/>
        <w:rPr>
          <w:rFonts w:ascii="Arial" w:hAnsi="Arial" w:cs="Arial"/>
          <w:sz w:val="22"/>
          <w:lang w:val="es-CO"/>
        </w:rPr>
      </w:pPr>
      <w:r>
        <w:rPr>
          <w:rFonts w:ascii="Arial" w:hAnsi="Arial" w:cs="Arial"/>
          <w:bCs/>
          <w:sz w:val="22"/>
          <w:lang w:val="es-CO"/>
        </w:rPr>
        <w:tab/>
        <w:t xml:space="preserve">En tal sentido, esta Agencia no tiene competencia para pronunciarse sobre casos particulares o juzgar la legalidad de las actuaciones concretas realizadas por las entidades estatales. Sin perjuicio de lo anterior, se desarrollarán, desde una perspectiva general, </w:t>
      </w:r>
      <w:r w:rsidR="006C3A4B">
        <w:rPr>
          <w:rFonts w:ascii="Arial" w:hAnsi="Arial" w:cs="Arial"/>
          <w:bCs/>
          <w:sz w:val="22"/>
          <w:lang w:val="es-CO"/>
        </w:rPr>
        <w:t xml:space="preserve">el marco normativo </w:t>
      </w:r>
      <w:r w:rsidR="006C3A4B">
        <w:rPr>
          <w:rFonts w:ascii="Arial" w:eastAsia="Calibri" w:hAnsi="Arial" w:cs="Arial"/>
          <w:sz w:val="22"/>
          <w:lang w:val="es-CO"/>
        </w:rPr>
        <w:t>para resolver los interrogantes planteados por el peticionario, por lo que se</w:t>
      </w:r>
      <w:r w:rsidR="008D2EED" w:rsidRPr="00265C4F">
        <w:rPr>
          <w:rFonts w:ascii="Arial" w:eastAsia="Calibri" w:hAnsi="Arial" w:cs="Arial"/>
          <w:sz w:val="22"/>
          <w:lang w:val="es-CO"/>
        </w:rPr>
        <w:t xml:space="preserve"> </w:t>
      </w:r>
      <w:r w:rsidR="00AF0C1F" w:rsidRPr="00265C4F">
        <w:rPr>
          <w:rFonts w:ascii="Arial" w:eastAsia="Calibri" w:hAnsi="Arial" w:cs="Arial"/>
          <w:sz w:val="22"/>
          <w:lang w:val="es-CO"/>
        </w:rPr>
        <w:t>abordarán los siguientes temas: i)</w:t>
      </w:r>
      <w:r w:rsidR="008D2EED" w:rsidRPr="00265C4F">
        <w:rPr>
          <w:rFonts w:ascii="Arial" w:eastAsia="Calibri" w:hAnsi="Arial" w:cs="Arial"/>
          <w:sz w:val="22"/>
          <w:lang w:val="es-CO"/>
        </w:rPr>
        <w:t xml:space="preserve"> </w:t>
      </w:r>
      <w:r w:rsidR="00AF0C1F" w:rsidRPr="00265C4F">
        <w:rPr>
          <w:rFonts w:ascii="Arial" w:eastAsia="Calibri" w:hAnsi="Arial" w:cs="Arial"/>
          <w:sz w:val="22"/>
          <w:lang w:val="es-CO"/>
        </w:rPr>
        <w:t xml:space="preserve">la inalterabilidad de los documentos tipo; </w:t>
      </w:r>
      <w:proofErr w:type="spellStart"/>
      <w:r w:rsidR="00AF0C1F" w:rsidRPr="00265C4F">
        <w:rPr>
          <w:rFonts w:ascii="Arial" w:eastAsia="Calibri" w:hAnsi="Arial" w:cs="Arial"/>
          <w:sz w:val="22"/>
          <w:lang w:val="es-CO"/>
        </w:rPr>
        <w:t>ii</w:t>
      </w:r>
      <w:proofErr w:type="spellEnd"/>
      <w:r w:rsidR="00AF0C1F" w:rsidRPr="00265C4F">
        <w:rPr>
          <w:rFonts w:ascii="Arial" w:eastAsia="Calibri" w:hAnsi="Arial" w:cs="Arial"/>
          <w:sz w:val="22"/>
          <w:lang w:val="es-CO"/>
        </w:rPr>
        <w:t xml:space="preserve">) </w:t>
      </w:r>
      <w:r w:rsidR="001B6AB7">
        <w:rPr>
          <w:rFonts w:ascii="Arial" w:eastAsia="Calibri" w:hAnsi="Arial" w:cs="Arial"/>
          <w:sz w:val="22"/>
          <w:lang w:val="es-CO"/>
        </w:rPr>
        <w:t>l</w:t>
      </w:r>
      <w:r w:rsidR="00CD001D" w:rsidRPr="00265C4F">
        <w:rPr>
          <w:rFonts w:ascii="Arial" w:eastAsia="Calibri" w:hAnsi="Arial" w:cs="Arial"/>
          <w:sz w:val="22"/>
          <w:lang w:val="es-CO"/>
        </w:rPr>
        <w:t>a a</w:t>
      </w:r>
      <w:r w:rsidR="00AF0C1F" w:rsidRPr="00265C4F">
        <w:rPr>
          <w:rFonts w:ascii="Arial" w:eastAsia="Calibri" w:hAnsi="Arial" w:cs="Arial"/>
          <w:sz w:val="22"/>
          <w:lang w:val="es-CO"/>
        </w:rPr>
        <w:t xml:space="preserve">mpliación del plazo para renovar el Registro Único de Proponentes </w:t>
      </w:r>
      <w:r w:rsidR="001B6AB7">
        <w:rPr>
          <w:rFonts w:ascii="Arial" w:eastAsia="Calibri" w:hAnsi="Arial" w:cs="Arial"/>
          <w:sz w:val="22"/>
          <w:lang w:val="es-CO"/>
        </w:rPr>
        <w:t xml:space="preserve">– </w:t>
      </w:r>
      <w:r w:rsidR="00AF0C1F" w:rsidRPr="00265C4F">
        <w:rPr>
          <w:rFonts w:ascii="Arial" w:eastAsia="Calibri" w:hAnsi="Arial" w:cs="Arial"/>
          <w:sz w:val="22"/>
          <w:lang w:val="es-CO"/>
        </w:rPr>
        <w:t xml:space="preserve">RUP con el fin de mitigar los efectos económicos y la propagación del Coronavirus COVID-19, </w:t>
      </w:r>
      <w:r w:rsidR="001B6AB7">
        <w:rPr>
          <w:rFonts w:ascii="Arial" w:eastAsia="Calibri" w:hAnsi="Arial" w:cs="Arial"/>
          <w:sz w:val="22"/>
          <w:lang w:val="es-CO"/>
        </w:rPr>
        <w:t xml:space="preserve">en virtud del </w:t>
      </w:r>
      <w:r w:rsidR="00AF0C1F" w:rsidRPr="00265C4F">
        <w:rPr>
          <w:rFonts w:ascii="Arial" w:eastAsia="Calibri" w:hAnsi="Arial" w:cs="Arial"/>
          <w:sz w:val="22"/>
          <w:lang w:val="es-CO"/>
        </w:rPr>
        <w:t xml:space="preserve">Decreto 434 de 2020; </w:t>
      </w:r>
      <w:proofErr w:type="spellStart"/>
      <w:r w:rsidR="00AF0C1F" w:rsidRPr="00265C4F">
        <w:rPr>
          <w:rFonts w:ascii="Arial" w:eastAsia="Calibri" w:hAnsi="Arial" w:cs="Arial"/>
          <w:sz w:val="22"/>
          <w:lang w:val="es-CO"/>
        </w:rPr>
        <w:t>iii</w:t>
      </w:r>
      <w:proofErr w:type="spellEnd"/>
      <w:r w:rsidR="00AF0C1F" w:rsidRPr="00265C4F">
        <w:rPr>
          <w:rFonts w:ascii="Arial" w:eastAsia="Calibri" w:hAnsi="Arial" w:cs="Arial"/>
          <w:sz w:val="22"/>
          <w:lang w:val="es-CO"/>
        </w:rPr>
        <w:t xml:space="preserve">) </w:t>
      </w:r>
      <w:r w:rsidR="00CD001D" w:rsidRPr="00265C4F">
        <w:rPr>
          <w:rFonts w:ascii="Arial" w:eastAsia="Calibri" w:hAnsi="Arial" w:cs="Arial"/>
          <w:sz w:val="22"/>
          <w:lang w:val="es-CO"/>
        </w:rPr>
        <w:t xml:space="preserve">la </w:t>
      </w:r>
      <w:r w:rsidR="00CD001D" w:rsidRPr="00265C4F">
        <w:rPr>
          <w:rFonts w:ascii="Arial" w:eastAsia="Calibri" w:hAnsi="Arial" w:cs="Arial"/>
          <w:color w:val="000000" w:themeColor="text1"/>
          <w:sz w:val="22"/>
          <w:lang w:val="es-CO"/>
        </w:rPr>
        <w:t>c</w:t>
      </w:r>
      <w:r w:rsidR="00AF0C1F" w:rsidRPr="00265C4F">
        <w:rPr>
          <w:rFonts w:ascii="Arial" w:eastAsia="Calibri" w:hAnsi="Arial" w:cs="Arial"/>
          <w:color w:val="000000" w:themeColor="text1"/>
          <w:sz w:val="22"/>
          <w:lang w:val="es-CO"/>
        </w:rPr>
        <w:t>ausal de rechazo del literal G, de los documentos tipo para licitación de obra pública de infraestructura de transporte</w:t>
      </w:r>
      <w:r w:rsidR="001B6AB7">
        <w:rPr>
          <w:rFonts w:ascii="Arial" w:eastAsia="Calibri" w:hAnsi="Arial" w:cs="Arial"/>
          <w:color w:val="000000" w:themeColor="text1"/>
          <w:sz w:val="22"/>
          <w:lang w:val="es-CO"/>
        </w:rPr>
        <w:t>,</w:t>
      </w:r>
      <w:r w:rsidR="00AF0C1F" w:rsidRPr="00265C4F">
        <w:rPr>
          <w:rFonts w:ascii="Arial" w:eastAsia="Calibri" w:hAnsi="Arial" w:cs="Arial"/>
          <w:color w:val="000000" w:themeColor="text1"/>
          <w:sz w:val="22"/>
          <w:lang w:val="es-CO"/>
        </w:rPr>
        <w:t xml:space="preserve"> conforme al Decreto 434 de 2020</w:t>
      </w:r>
      <w:r w:rsidR="001B6AB7">
        <w:rPr>
          <w:rFonts w:ascii="Arial" w:eastAsia="Calibri" w:hAnsi="Arial" w:cs="Arial"/>
          <w:color w:val="000000" w:themeColor="text1"/>
          <w:sz w:val="22"/>
          <w:lang w:val="es-CO"/>
        </w:rPr>
        <w:t>;</w:t>
      </w:r>
      <w:r w:rsidR="00AF0C1F" w:rsidRPr="00265C4F">
        <w:rPr>
          <w:rFonts w:ascii="Arial" w:eastAsia="Calibri" w:hAnsi="Arial" w:cs="Arial"/>
          <w:color w:val="000000" w:themeColor="text1"/>
          <w:sz w:val="22"/>
          <w:lang w:val="es-CO"/>
        </w:rPr>
        <w:t xml:space="preserve"> y</w:t>
      </w:r>
      <w:r w:rsidR="001B6AB7">
        <w:rPr>
          <w:rFonts w:ascii="Arial" w:eastAsia="Calibri" w:hAnsi="Arial" w:cs="Arial"/>
          <w:color w:val="000000" w:themeColor="text1"/>
          <w:sz w:val="22"/>
          <w:lang w:val="es-CO"/>
        </w:rPr>
        <w:t>,</w:t>
      </w:r>
      <w:r w:rsidR="00AF0C1F" w:rsidRPr="00265C4F">
        <w:rPr>
          <w:rFonts w:ascii="Arial" w:eastAsia="Calibri" w:hAnsi="Arial" w:cs="Arial"/>
          <w:color w:val="000000" w:themeColor="text1"/>
          <w:sz w:val="22"/>
          <w:lang w:val="es-CO"/>
        </w:rPr>
        <w:t xml:space="preserve"> finalmente</w:t>
      </w:r>
      <w:r w:rsidR="001B6AB7">
        <w:rPr>
          <w:rFonts w:ascii="Arial" w:eastAsia="Calibri" w:hAnsi="Arial" w:cs="Arial"/>
          <w:color w:val="000000" w:themeColor="text1"/>
          <w:sz w:val="22"/>
          <w:lang w:val="es-CO"/>
        </w:rPr>
        <w:t>,</w:t>
      </w:r>
      <w:r w:rsidR="00AF0C1F" w:rsidRPr="00265C4F">
        <w:rPr>
          <w:rFonts w:ascii="Arial" w:eastAsia="Calibri" w:hAnsi="Arial" w:cs="Arial"/>
          <w:color w:val="000000" w:themeColor="text1"/>
          <w:sz w:val="22"/>
          <w:lang w:val="es-CO"/>
        </w:rPr>
        <w:t xml:space="preserve"> </w:t>
      </w:r>
      <w:proofErr w:type="spellStart"/>
      <w:r w:rsidR="00AF0C1F" w:rsidRPr="00265C4F">
        <w:rPr>
          <w:rFonts w:ascii="Arial" w:eastAsia="Calibri" w:hAnsi="Arial" w:cs="Arial"/>
          <w:color w:val="000000" w:themeColor="text1"/>
          <w:sz w:val="22"/>
          <w:lang w:val="es-CO"/>
        </w:rPr>
        <w:t>iv</w:t>
      </w:r>
      <w:proofErr w:type="spellEnd"/>
      <w:r w:rsidR="00AF0C1F" w:rsidRPr="00265C4F">
        <w:rPr>
          <w:rFonts w:ascii="Arial" w:eastAsia="Calibri" w:hAnsi="Arial" w:cs="Arial"/>
          <w:color w:val="000000" w:themeColor="text1"/>
          <w:sz w:val="22"/>
          <w:lang w:val="es-CO"/>
        </w:rPr>
        <w:t xml:space="preserve">) la </w:t>
      </w:r>
      <w:r w:rsidR="00AF0C1F" w:rsidRPr="00265C4F">
        <w:rPr>
          <w:rFonts w:ascii="Arial" w:hAnsi="Arial" w:cs="Arial"/>
          <w:sz w:val="22"/>
          <w:lang w:val="es-CO"/>
        </w:rPr>
        <w:t xml:space="preserve">Renovación del Registro Único de Proponentes – RUP y sus efectos durante la verificación de la información. </w:t>
      </w:r>
    </w:p>
    <w:p w14:paraId="0CE3E657" w14:textId="578AE096" w:rsidR="00AC40CD" w:rsidRDefault="00AC40CD" w:rsidP="00AC40CD">
      <w:pPr>
        <w:spacing w:before="120" w:after="120" w:line="276" w:lineRule="auto"/>
        <w:ind w:firstLine="709"/>
        <w:jc w:val="both"/>
        <w:rPr>
          <w:rFonts w:ascii="Arial" w:eastAsia="Calibri" w:hAnsi="Arial" w:cs="Arial"/>
          <w:color w:val="000000" w:themeColor="text1"/>
          <w:sz w:val="22"/>
          <w:lang w:val="es-CO"/>
        </w:rPr>
      </w:pPr>
      <w:r w:rsidRPr="00265C4F">
        <w:rPr>
          <w:rFonts w:ascii="Arial" w:eastAsia="Calibri" w:hAnsi="Arial" w:cs="Arial"/>
          <w:bCs/>
          <w:color w:val="000000" w:themeColor="text1"/>
          <w:sz w:val="22"/>
          <w:lang w:val="es-CO"/>
        </w:rPr>
        <w:t>La Agencia</w:t>
      </w:r>
      <w:r w:rsidRPr="00265C4F">
        <w:rPr>
          <w:rFonts w:ascii="Arial" w:hAnsi="Arial" w:cs="Arial"/>
          <w:color w:val="000000" w:themeColor="text1"/>
          <w:sz w:val="22"/>
          <w:lang w:val="es-CO"/>
        </w:rPr>
        <w:t xml:space="preserve"> Nacional de Contratación Pública </w:t>
      </w:r>
      <w:r w:rsidR="001B6AB7">
        <w:rPr>
          <w:rFonts w:ascii="Arial" w:hAnsi="Arial" w:cs="Arial"/>
          <w:color w:val="000000" w:themeColor="text1"/>
          <w:sz w:val="22"/>
          <w:lang w:val="es-CO"/>
        </w:rPr>
        <w:t>–</w:t>
      </w:r>
      <w:r w:rsidRPr="00265C4F">
        <w:rPr>
          <w:rFonts w:ascii="Arial" w:hAnsi="Arial" w:cs="Arial"/>
          <w:color w:val="000000" w:themeColor="text1"/>
          <w:sz w:val="22"/>
          <w:lang w:val="es-CO"/>
        </w:rPr>
        <w:t xml:space="preserve"> Colombia Compra Eficiente</w:t>
      </w:r>
      <w:r w:rsidR="006C3A4B">
        <w:rPr>
          <w:rFonts w:ascii="Arial" w:hAnsi="Arial" w:cs="Arial"/>
          <w:color w:val="000000" w:themeColor="text1"/>
          <w:sz w:val="22"/>
          <w:lang w:val="es-CO"/>
        </w:rPr>
        <w:t>,</w:t>
      </w:r>
      <w:r w:rsidRPr="00265C4F">
        <w:rPr>
          <w:rFonts w:ascii="Arial" w:eastAsia="Calibri" w:hAnsi="Arial" w:cs="Arial"/>
          <w:color w:val="000000" w:themeColor="text1"/>
          <w:sz w:val="22"/>
          <w:lang w:val="es-CO"/>
        </w:rPr>
        <w:t xml:space="preserve"> mediante concepto </w:t>
      </w:r>
      <w:r w:rsidR="00A0699A">
        <w:rPr>
          <w:rFonts w:ascii="Arial" w:eastAsia="Calibri" w:hAnsi="Arial" w:cs="Arial"/>
          <w:color w:val="000000" w:themeColor="text1"/>
          <w:sz w:val="22"/>
          <w:lang w:val="es-CO"/>
        </w:rPr>
        <w:t>C – 328 del 30 de junio de 2020</w:t>
      </w:r>
      <w:r w:rsidRPr="00265C4F">
        <w:rPr>
          <w:rFonts w:ascii="Arial" w:eastAsia="Calibri" w:hAnsi="Arial" w:cs="Arial"/>
          <w:color w:val="000000" w:themeColor="text1"/>
          <w:sz w:val="22"/>
          <w:lang w:val="es-CO"/>
        </w:rPr>
        <w:t>, se pronunció sobre la inalterabilidad de los documentos tipo,</w:t>
      </w:r>
      <w:r w:rsidR="006C3A4B">
        <w:rPr>
          <w:rFonts w:ascii="Arial" w:eastAsia="Calibri" w:hAnsi="Arial" w:cs="Arial"/>
          <w:color w:val="000000" w:themeColor="text1"/>
          <w:sz w:val="22"/>
          <w:lang w:val="es-CO"/>
        </w:rPr>
        <w:t xml:space="preserve"> la aplicación del plazo para renovar el RUP, de conformidad con el Decreto 434 de 2020 y sobre la causal de rechazo del literal G de los documentos tipo.</w:t>
      </w:r>
      <w:r w:rsidRPr="00265C4F">
        <w:rPr>
          <w:rFonts w:ascii="Arial" w:eastAsia="Calibri" w:hAnsi="Arial" w:cs="Arial"/>
          <w:color w:val="000000" w:themeColor="text1"/>
          <w:sz w:val="22"/>
          <w:lang w:val="es-CO"/>
        </w:rPr>
        <w:t xml:space="preserve"> </w:t>
      </w:r>
      <w:r w:rsidR="006C3A4B">
        <w:rPr>
          <w:rFonts w:ascii="Arial" w:eastAsia="Calibri" w:hAnsi="Arial" w:cs="Arial"/>
          <w:color w:val="000000" w:themeColor="text1"/>
          <w:sz w:val="22"/>
          <w:lang w:val="es-CO"/>
        </w:rPr>
        <w:t>L</w:t>
      </w:r>
      <w:r w:rsidRPr="00265C4F">
        <w:rPr>
          <w:rFonts w:ascii="Arial" w:eastAsia="Calibri" w:hAnsi="Arial" w:cs="Arial"/>
          <w:color w:val="000000" w:themeColor="text1"/>
          <w:sz w:val="22"/>
          <w:lang w:val="es-CO"/>
        </w:rPr>
        <w:t>a</w:t>
      </w:r>
      <w:r w:rsidR="006C3A4B">
        <w:rPr>
          <w:rFonts w:ascii="Arial" w:eastAsia="Calibri" w:hAnsi="Arial" w:cs="Arial"/>
          <w:color w:val="000000" w:themeColor="text1"/>
          <w:sz w:val="22"/>
          <w:lang w:val="es-CO"/>
        </w:rPr>
        <w:t>s</w:t>
      </w:r>
      <w:r w:rsidRPr="00265C4F">
        <w:rPr>
          <w:rFonts w:ascii="Arial" w:eastAsia="Calibri" w:hAnsi="Arial" w:cs="Arial"/>
          <w:color w:val="000000" w:themeColor="text1"/>
          <w:sz w:val="22"/>
          <w:lang w:val="es-CO"/>
        </w:rPr>
        <w:t xml:space="preserve"> idea</w:t>
      </w:r>
      <w:r w:rsidR="006C3A4B">
        <w:rPr>
          <w:rFonts w:ascii="Arial" w:eastAsia="Calibri" w:hAnsi="Arial" w:cs="Arial"/>
          <w:color w:val="000000" w:themeColor="text1"/>
          <w:sz w:val="22"/>
          <w:lang w:val="es-CO"/>
        </w:rPr>
        <w:t>s</w:t>
      </w:r>
      <w:r w:rsidRPr="00265C4F">
        <w:rPr>
          <w:rFonts w:ascii="Arial" w:eastAsia="Calibri" w:hAnsi="Arial" w:cs="Arial"/>
          <w:color w:val="000000" w:themeColor="text1"/>
          <w:sz w:val="22"/>
          <w:lang w:val="es-CO"/>
        </w:rPr>
        <w:t xml:space="preserve"> desarrollada</w:t>
      </w:r>
      <w:r w:rsidR="006C3A4B">
        <w:rPr>
          <w:rFonts w:ascii="Arial" w:eastAsia="Calibri" w:hAnsi="Arial" w:cs="Arial"/>
          <w:color w:val="000000" w:themeColor="text1"/>
          <w:sz w:val="22"/>
          <w:lang w:val="es-CO"/>
        </w:rPr>
        <w:t>s</w:t>
      </w:r>
      <w:r w:rsidRPr="00265C4F">
        <w:rPr>
          <w:rFonts w:ascii="Arial" w:eastAsia="Calibri" w:hAnsi="Arial" w:cs="Arial"/>
          <w:color w:val="000000" w:themeColor="text1"/>
          <w:sz w:val="22"/>
          <w:lang w:val="es-CO"/>
        </w:rPr>
        <w:t xml:space="preserve"> se </w:t>
      </w:r>
      <w:r w:rsidR="006C3A4B">
        <w:rPr>
          <w:rFonts w:ascii="Arial" w:eastAsia="Calibri" w:hAnsi="Arial" w:cs="Arial"/>
          <w:color w:val="000000" w:themeColor="text1"/>
          <w:sz w:val="22"/>
          <w:lang w:val="es-CO"/>
        </w:rPr>
        <w:t xml:space="preserve">desarrollarán y complementarán </w:t>
      </w:r>
      <w:r w:rsidRPr="00265C4F">
        <w:rPr>
          <w:rFonts w:ascii="Arial" w:eastAsia="Calibri" w:hAnsi="Arial" w:cs="Arial"/>
          <w:color w:val="000000" w:themeColor="text1"/>
          <w:sz w:val="22"/>
          <w:lang w:val="es-CO"/>
        </w:rPr>
        <w:t>a continuación</w:t>
      </w:r>
      <w:r w:rsidR="006C3A4B">
        <w:rPr>
          <w:rFonts w:ascii="Arial" w:eastAsia="Calibri" w:hAnsi="Arial" w:cs="Arial"/>
          <w:color w:val="000000" w:themeColor="text1"/>
          <w:sz w:val="22"/>
          <w:lang w:val="es-CO"/>
        </w:rPr>
        <w:t>.</w:t>
      </w:r>
    </w:p>
    <w:p w14:paraId="7F0957C2" w14:textId="77777777" w:rsidR="001B6AB7" w:rsidRPr="00265C4F" w:rsidRDefault="001B6AB7" w:rsidP="00013193">
      <w:pPr>
        <w:spacing w:line="276" w:lineRule="auto"/>
        <w:ind w:firstLine="709"/>
        <w:jc w:val="both"/>
        <w:rPr>
          <w:rFonts w:ascii="Arial" w:eastAsia="Calibri" w:hAnsi="Arial" w:cs="Arial"/>
          <w:color w:val="000000" w:themeColor="text1"/>
          <w:sz w:val="22"/>
          <w:lang w:val="es-CO"/>
        </w:rPr>
      </w:pPr>
    </w:p>
    <w:p w14:paraId="1E0845FD" w14:textId="77777777" w:rsidR="00AC40CD" w:rsidRPr="00265C4F" w:rsidRDefault="00AC40CD" w:rsidP="00AC40CD">
      <w:pPr>
        <w:tabs>
          <w:tab w:val="left" w:pos="426"/>
        </w:tabs>
        <w:spacing w:line="276" w:lineRule="auto"/>
        <w:jc w:val="both"/>
        <w:rPr>
          <w:rFonts w:ascii="Arial" w:eastAsia="Calibri" w:hAnsi="Arial" w:cs="Arial"/>
          <w:b/>
          <w:color w:val="000000" w:themeColor="text1"/>
          <w:sz w:val="22"/>
          <w:lang w:val="es-CO"/>
        </w:rPr>
      </w:pPr>
      <w:r w:rsidRPr="00265C4F">
        <w:rPr>
          <w:rFonts w:ascii="Arial" w:eastAsia="Calibri" w:hAnsi="Arial" w:cs="Arial"/>
          <w:b/>
          <w:color w:val="000000" w:themeColor="text1"/>
          <w:sz w:val="22"/>
          <w:lang w:val="es-CO"/>
        </w:rPr>
        <w:t>2.1. Documentos tipo para licitación de obra pública de infraestructura de transporte: inalterabilidad por parte de las entidades estatales al configurar el pliego de condiciones</w:t>
      </w:r>
    </w:p>
    <w:p w14:paraId="3E71BF18" w14:textId="77777777" w:rsidR="00AC40CD" w:rsidRPr="00265C4F" w:rsidRDefault="00AC40CD" w:rsidP="00AC40CD">
      <w:pPr>
        <w:spacing w:line="276" w:lineRule="auto"/>
        <w:jc w:val="both"/>
        <w:rPr>
          <w:rFonts w:ascii="Arial" w:eastAsia="Calibri" w:hAnsi="Arial" w:cs="Arial"/>
          <w:color w:val="000000" w:themeColor="text1"/>
          <w:sz w:val="22"/>
          <w:lang w:val="es-CO"/>
        </w:rPr>
      </w:pPr>
    </w:p>
    <w:p w14:paraId="2CBCE0CC" w14:textId="77777777" w:rsidR="00AC40CD" w:rsidRPr="00265C4F" w:rsidRDefault="00AC40CD" w:rsidP="00AC40CD">
      <w:pPr>
        <w:spacing w:line="276" w:lineRule="auto"/>
        <w:jc w:val="both"/>
        <w:rPr>
          <w:rFonts w:ascii="Arial" w:eastAsia="Calibri" w:hAnsi="Arial" w:cs="Arial"/>
          <w:bCs/>
          <w:color w:val="000000" w:themeColor="text1"/>
          <w:sz w:val="22"/>
          <w:lang w:val="es-CO"/>
        </w:rPr>
      </w:pPr>
      <w:r w:rsidRPr="00265C4F">
        <w:rPr>
          <w:rFonts w:ascii="Arial" w:eastAsia="Calibri" w:hAnsi="Arial" w:cs="Arial"/>
          <w:bCs/>
          <w:color w:val="000000" w:themeColor="text1"/>
          <w:sz w:val="22"/>
          <w:lang w:val="es-CO"/>
        </w:rPr>
        <w:t xml:space="preserve">El artículo 4 de la Ley 1882 de 2018 establece que corresponde al Gobierno Nacional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 </w:t>
      </w:r>
    </w:p>
    <w:p w14:paraId="6508CD38" w14:textId="77777777" w:rsidR="00AC40CD" w:rsidRPr="00265C4F" w:rsidRDefault="00AC40CD" w:rsidP="00AC40CD">
      <w:pPr>
        <w:spacing w:before="120" w:after="120" w:line="276" w:lineRule="auto"/>
        <w:ind w:firstLine="709"/>
        <w:jc w:val="both"/>
        <w:rPr>
          <w:rFonts w:ascii="Arial" w:eastAsia="Calibri" w:hAnsi="Arial" w:cs="Arial"/>
          <w:bCs/>
          <w:color w:val="000000" w:themeColor="text1"/>
          <w:sz w:val="22"/>
          <w:lang w:val="es-CO"/>
        </w:rPr>
      </w:pPr>
      <w:r w:rsidRPr="00265C4F">
        <w:rPr>
          <w:rFonts w:ascii="Arial" w:eastAsia="Calibri" w:hAnsi="Arial" w:cs="Arial"/>
          <w:bCs/>
          <w:color w:val="000000" w:themeColor="text1"/>
          <w:sz w:val="22"/>
          <w:lang w:val="es-CO"/>
        </w:rPr>
        <w:t>Adicionalmente, señala frente a su contenido que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 teniendo en cuenta la naturaleza y la cuantía de los contratos».</w:t>
      </w:r>
    </w:p>
    <w:p w14:paraId="1DB5D8C1" w14:textId="77777777" w:rsidR="00AC40CD" w:rsidRPr="00265C4F" w:rsidRDefault="00AC40CD" w:rsidP="00AC40CD">
      <w:pPr>
        <w:spacing w:before="120" w:after="120" w:line="276" w:lineRule="auto"/>
        <w:ind w:firstLine="709"/>
        <w:jc w:val="both"/>
        <w:rPr>
          <w:rFonts w:ascii="Arial" w:eastAsia="Calibri" w:hAnsi="Arial" w:cs="Arial"/>
          <w:bCs/>
          <w:color w:val="000000" w:themeColor="text1"/>
          <w:sz w:val="22"/>
          <w:lang w:val="es-CO"/>
        </w:rPr>
      </w:pPr>
      <w:r w:rsidRPr="00265C4F">
        <w:rPr>
          <w:rFonts w:ascii="Arial" w:eastAsia="Calibri" w:hAnsi="Arial" w:cs="Arial"/>
          <w:bCs/>
          <w:color w:val="000000" w:themeColor="text1"/>
          <w:sz w:val="22"/>
          <w:lang w:val="es-CO"/>
        </w:rPr>
        <w:t xml:space="preserve">Conforme a lo anterior, el Gobierno Nacional adoptó los Documentos Tipo para los pliegos de condiciones de los procesos de selección de licitación de obra pública de infraestructura de transporte mediante la expedición del Decreto 342 de 2019, el cual adiciona el Decreto 1082 de 2015. </w:t>
      </w:r>
    </w:p>
    <w:p w14:paraId="64491DCE" w14:textId="77777777" w:rsidR="00AC40CD" w:rsidRPr="00265C4F" w:rsidRDefault="00AC40CD" w:rsidP="00AC40CD">
      <w:pPr>
        <w:spacing w:before="120" w:after="120" w:line="276" w:lineRule="auto"/>
        <w:ind w:firstLine="709"/>
        <w:jc w:val="both"/>
        <w:rPr>
          <w:rFonts w:ascii="Arial" w:eastAsia="Calibri" w:hAnsi="Arial" w:cs="Arial"/>
          <w:bCs/>
          <w:color w:val="000000" w:themeColor="text1"/>
          <w:sz w:val="22"/>
          <w:lang w:val="es-CO"/>
        </w:rPr>
      </w:pPr>
      <w:r w:rsidRPr="00265C4F">
        <w:rPr>
          <w:rFonts w:ascii="Arial" w:eastAsia="Calibri" w:hAnsi="Arial" w:cs="Arial"/>
          <w:bCs/>
          <w:color w:val="000000" w:themeColor="text1"/>
          <w:sz w:val="22"/>
          <w:lang w:val="es-CO"/>
        </w:rPr>
        <w:lastRenderedPageBreak/>
        <w:t xml:space="preserve">Con el fin de establecer cuáles son los Documentos Tipo que están sujetos a esta disposición, el artículo 2.2.1.2.6.1.2. estableció un listado que determina el alcance de los documentos. Por su parte, el artículo 2.2.1.2.6.1.3. dispone que, en el desarrollo e implementación de los documentos señalados, la Agencia Nacional de Contratación Pública – Colombia Compra Eficiente, en coordinación con el Departamento Nacional de Planeación (DNP) y el Ministerio de Transporte, debe «Implementar formatos, anexos, matrices o formularios necesarios para la presentación de las ofertas y descripción del proceso de contratación». </w:t>
      </w:r>
    </w:p>
    <w:p w14:paraId="640962CB" w14:textId="77777777" w:rsidR="00AC40CD" w:rsidRPr="00265C4F" w:rsidRDefault="00AC40CD" w:rsidP="00AC40CD">
      <w:pPr>
        <w:spacing w:before="120" w:after="120" w:line="276" w:lineRule="auto"/>
        <w:ind w:firstLine="709"/>
        <w:jc w:val="both"/>
        <w:rPr>
          <w:rFonts w:ascii="Arial" w:eastAsia="Calibri" w:hAnsi="Arial" w:cs="Arial"/>
          <w:bCs/>
          <w:color w:val="000000" w:themeColor="text1"/>
          <w:sz w:val="22"/>
          <w:lang w:val="es-CO"/>
        </w:rPr>
      </w:pPr>
      <w:r w:rsidRPr="00265C4F">
        <w:rPr>
          <w:rFonts w:ascii="Arial" w:eastAsia="Calibri" w:hAnsi="Arial" w:cs="Arial"/>
          <w:bCs/>
          <w:color w:val="000000" w:themeColor="text1"/>
          <w:sz w:val="22"/>
          <w:lang w:val="es-CO"/>
        </w:rPr>
        <w:t xml:space="preserve">En cumplimiento de este mandato, la Resolución No. 1798 del 1 de abril de 2019, expedida por la Agencia Nacional de Contratación Pública – Colombia Compra Eficiente, implementó y desarrolló los documentos tipo aplicables a los procesos de licitación de obra pública de infraestructura de transporte, en su versión 1. </w:t>
      </w:r>
    </w:p>
    <w:p w14:paraId="571FE25B" w14:textId="05D6B54F" w:rsidR="00AC40CD" w:rsidRPr="00265C4F" w:rsidRDefault="004D0A01" w:rsidP="00AC40CD">
      <w:pPr>
        <w:spacing w:before="120" w:after="120" w:line="276" w:lineRule="auto"/>
        <w:ind w:firstLine="709"/>
        <w:jc w:val="both"/>
        <w:rPr>
          <w:rFonts w:ascii="Arial" w:eastAsia="Calibri" w:hAnsi="Arial" w:cs="Arial"/>
          <w:bCs/>
          <w:color w:val="000000" w:themeColor="text1"/>
          <w:sz w:val="22"/>
          <w:lang w:val="es-CO"/>
        </w:rPr>
      </w:pPr>
      <w:r>
        <w:rPr>
          <w:rFonts w:ascii="Arial" w:eastAsia="Calibri" w:hAnsi="Arial" w:cs="Arial"/>
          <w:bCs/>
          <w:color w:val="000000" w:themeColor="text1"/>
          <w:sz w:val="22"/>
          <w:lang w:val="es-CO"/>
        </w:rPr>
        <w:t>Posteriormente</w:t>
      </w:r>
      <w:r w:rsidR="00AC40CD" w:rsidRPr="00265C4F">
        <w:rPr>
          <w:rFonts w:ascii="Arial" w:eastAsia="Calibri" w:hAnsi="Arial" w:cs="Arial"/>
          <w:bCs/>
          <w:color w:val="000000" w:themeColor="text1"/>
          <w:sz w:val="22"/>
          <w:lang w:val="es-CO"/>
        </w:rPr>
        <w:t>, la Agencia expidió la Resolución No. 0045 del 14 de febrero de 2020, mediante la cual adoptó la versión 2 de los documentos tipo en dichos procesos de selección.</w:t>
      </w:r>
    </w:p>
    <w:p w14:paraId="7D3BAA60" w14:textId="77777777" w:rsidR="00AC40CD" w:rsidRPr="00265C4F" w:rsidRDefault="00AC40CD" w:rsidP="00AC40CD">
      <w:pPr>
        <w:spacing w:before="120" w:after="120" w:line="276" w:lineRule="auto"/>
        <w:ind w:firstLine="709"/>
        <w:jc w:val="both"/>
        <w:rPr>
          <w:rFonts w:ascii="Arial" w:eastAsia="Calibri" w:hAnsi="Arial" w:cs="Arial"/>
          <w:bCs/>
          <w:color w:val="000000" w:themeColor="text1"/>
          <w:sz w:val="22"/>
          <w:lang w:val="es-CO"/>
        </w:rPr>
      </w:pPr>
      <w:r w:rsidRPr="00265C4F">
        <w:rPr>
          <w:rFonts w:ascii="Arial" w:eastAsia="Calibri" w:hAnsi="Arial" w:cs="Arial"/>
          <w:bCs/>
          <w:color w:val="000000" w:themeColor="text1"/>
          <w:sz w:val="22"/>
          <w:lang w:val="es-CO"/>
        </w:rPr>
        <w:t xml:space="preserve">Ahora bien, el artículo 2.2.1.2.6.1.4. del Decreto 1082 de 2015, adicionado por el artículo 1 del Decreto 342 de 2019, establece la </w:t>
      </w:r>
      <w:r w:rsidRPr="00265C4F">
        <w:rPr>
          <w:rFonts w:ascii="Arial" w:eastAsia="Calibri" w:hAnsi="Arial" w:cs="Arial"/>
          <w:bCs/>
          <w:i/>
          <w:color w:val="000000" w:themeColor="text1"/>
          <w:sz w:val="22"/>
          <w:lang w:val="es-CO"/>
        </w:rPr>
        <w:t>inalterabilidad de los Documentos Tipo</w:t>
      </w:r>
      <w:r w:rsidRPr="00265C4F">
        <w:rPr>
          <w:rFonts w:ascii="Arial" w:eastAsia="Calibri" w:hAnsi="Arial" w:cs="Arial"/>
          <w:bCs/>
          <w:color w:val="000000" w:themeColor="text1"/>
          <w:sz w:val="22"/>
          <w:lang w:val="es-CO"/>
        </w:rPr>
        <w:t xml:space="preserve">,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que en ellos sean fijados. </w:t>
      </w:r>
    </w:p>
    <w:p w14:paraId="75042599" w14:textId="2874CD02" w:rsidR="00AC40CD" w:rsidRDefault="00AC40CD" w:rsidP="00AC40CD">
      <w:pPr>
        <w:spacing w:before="120" w:after="120" w:line="276" w:lineRule="auto"/>
        <w:ind w:firstLine="709"/>
        <w:jc w:val="both"/>
        <w:rPr>
          <w:rFonts w:ascii="Arial" w:eastAsia="Calibri" w:hAnsi="Arial" w:cs="Arial"/>
          <w:bCs/>
          <w:color w:val="000000" w:themeColor="text1"/>
          <w:sz w:val="22"/>
          <w:lang w:val="es-CO"/>
        </w:rPr>
      </w:pPr>
      <w:r w:rsidRPr="00265C4F">
        <w:rPr>
          <w:rFonts w:ascii="Arial" w:eastAsia="Calibri" w:hAnsi="Arial" w:cs="Arial"/>
          <w:bCs/>
          <w:color w:val="000000" w:themeColor="text1"/>
          <w:sz w:val="22"/>
          <w:lang w:val="es-CO"/>
        </w:rPr>
        <w:t xml:space="preserve">Esta prohibición la ratifica actualmente el artículo 2 de la Resolución No. 0045 de 2020, «Por la cual se actualizan los Documentos Tipo para los procesos de selección de licitación de obra pública de infraestructura de transporte y se deroga la Resolución 1798 de 2019», al consagrar la inalterabilidad de los documentos tipo en los siguientes términos: «Las Entidades Estatales no pueden incluir condiciones o modificar las señaladas en los Documentos Tipo, a menos que expresamente se les faculte para hacerlo». </w:t>
      </w:r>
    </w:p>
    <w:p w14:paraId="23E97E13" w14:textId="113DF4F3" w:rsidR="004D0A01" w:rsidRDefault="004D0A01" w:rsidP="00AC40CD">
      <w:pPr>
        <w:spacing w:before="120" w:after="120" w:line="276" w:lineRule="auto"/>
        <w:ind w:firstLine="709"/>
        <w:jc w:val="both"/>
        <w:rPr>
          <w:rFonts w:ascii="Arial" w:eastAsia="Calibri" w:hAnsi="Arial" w:cs="Arial"/>
          <w:bCs/>
          <w:color w:val="000000" w:themeColor="text1"/>
          <w:sz w:val="22"/>
          <w:lang w:val="es-CO"/>
        </w:rPr>
      </w:pPr>
      <w:r>
        <w:rPr>
          <w:rFonts w:ascii="Arial" w:eastAsia="Calibri" w:hAnsi="Arial" w:cs="Arial"/>
          <w:bCs/>
          <w:color w:val="000000" w:themeColor="text1"/>
          <w:sz w:val="22"/>
          <w:lang w:val="es-CO"/>
        </w:rPr>
        <w:t xml:space="preserve">No obstante lo anterior, como se desarrollará más adelante, y sin perjuicio de la inalterabilidad por parte de las entidades estatales que aplican los documentos tipo, dicha </w:t>
      </w:r>
      <w:r w:rsidR="00D96C47">
        <w:rPr>
          <w:rFonts w:ascii="Arial" w:eastAsia="Calibri" w:hAnsi="Arial" w:cs="Arial"/>
          <w:bCs/>
          <w:color w:val="000000" w:themeColor="text1"/>
          <w:sz w:val="22"/>
          <w:lang w:val="es-CO"/>
        </w:rPr>
        <w:t>regla</w:t>
      </w:r>
      <w:r>
        <w:rPr>
          <w:rFonts w:ascii="Arial" w:eastAsia="Calibri" w:hAnsi="Arial" w:cs="Arial"/>
          <w:bCs/>
          <w:color w:val="000000" w:themeColor="text1"/>
          <w:sz w:val="22"/>
          <w:lang w:val="es-CO"/>
        </w:rPr>
        <w:t xml:space="preserve"> no las exime –ni imposibilita– de la obligación de aplicar la normativa vigente aplicable al procedimiento de selección; máxime en los supuestos en que con posterioridad a la expedición de los Documentos Tipo se modifica la normativa que incide en los procedimientos de selección de contratistas</w:t>
      </w:r>
      <w:r w:rsidR="00D96C47">
        <w:rPr>
          <w:rFonts w:ascii="Arial" w:eastAsia="Calibri" w:hAnsi="Arial" w:cs="Arial"/>
          <w:bCs/>
          <w:color w:val="000000" w:themeColor="text1"/>
          <w:sz w:val="22"/>
          <w:lang w:val="es-CO"/>
        </w:rPr>
        <w:t>, aspecto que se desarrollará más adelante.</w:t>
      </w:r>
    </w:p>
    <w:p w14:paraId="3D54FDEA" w14:textId="77777777" w:rsidR="007A2CFC" w:rsidRPr="00265C4F" w:rsidRDefault="007A2CFC" w:rsidP="00013193">
      <w:pPr>
        <w:spacing w:line="276" w:lineRule="auto"/>
        <w:ind w:firstLine="709"/>
        <w:jc w:val="both"/>
        <w:rPr>
          <w:rFonts w:ascii="Arial" w:eastAsia="Calibri" w:hAnsi="Arial" w:cs="Arial"/>
          <w:bCs/>
          <w:color w:val="000000" w:themeColor="text1"/>
          <w:sz w:val="22"/>
          <w:lang w:val="es-CO"/>
        </w:rPr>
      </w:pPr>
    </w:p>
    <w:p w14:paraId="3B23612F" w14:textId="77777777" w:rsidR="00AC40CD" w:rsidRPr="00265C4F" w:rsidRDefault="00AC40CD" w:rsidP="00AC40CD">
      <w:pPr>
        <w:tabs>
          <w:tab w:val="left" w:pos="284"/>
        </w:tabs>
        <w:spacing w:line="276" w:lineRule="auto"/>
        <w:jc w:val="both"/>
        <w:rPr>
          <w:rFonts w:ascii="Arial" w:eastAsia="Calibri" w:hAnsi="Arial" w:cs="Arial"/>
          <w:b/>
          <w:sz w:val="22"/>
          <w:lang w:val="es-CO"/>
        </w:rPr>
      </w:pPr>
      <w:r w:rsidRPr="00265C4F">
        <w:rPr>
          <w:rFonts w:ascii="Arial" w:eastAsia="Calibri" w:hAnsi="Arial" w:cs="Arial"/>
          <w:b/>
          <w:sz w:val="22"/>
          <w:lang w:val="es-CO"/>
        </w:rPr>
        <w:lastRenderedPageBreak/>
        <w:t>2.2. Ampliación del plazo para renovar el Registro Único de Proponentes (RUP) con el fin de mitigar los efectos económicos y la propagación del Coronavirus COVID-19, Decreto 434 de 2020</w:t>
      </w:r>
    </w:p>
    <w:p w14:paraId="575412A0" w14:textId="77777777" w:rsidR="00AC40CD" w:rsidRPr="00265C4F" w:rsidRDefault="00AC40CD" w:rsidP="00AC40CD">
      <w:pPr>
        <w:tabs>
          <w:tab w:val="left" w:pos="284"/>
        </w:tabs>
        <w:spacing w:line="276" w:lineRule="auto"/>
        <w:jc w:val="both"/>
        <w:rPr>
          <w:rFonts w:ascii="Arial" w:eastAsia="Calibri" w:hAnsi="Arial" w:cs="Arial"/>
          <w:b/>
          <w:color w:val="000000" w:themeColor="text1"/>
          <w:sz w:val="22"/>
          <w:lang w:val="es-CO"/>
        </w:rPr>
      </w:pPr>
    </w:p>
    <w:p w14:paraId="4CF137EE" w14:textId="77777777" w:rsidR="007A2CFC" w:rsidRPr="00601A7E" w:rsidRDefault="007A2CFC" w:rsidP="007A2CFC">
      <w:pPr>
        <w:spacing w:after="120" w:line="276" w:lineRule="auto"/>
        <w:jc w:val="both"/>
        <w:rPr>
          <w:rFonts w:ascii="Arial" w:eastAsia="Calibri" w:hAnsi="Arial" w:cs="Arial"/>
          <w:sz w:val="22"/>
        </w:rPr>
      </w:pPr>
      <w:r w:rsidRPr="00601A7E">
        <w:rPr>
          <w:rFonts w:ascii="Arial" w:eastAsia="Calibri" w:hAnsi="Arial" w:cs="Arial"/>
          <w:sz w:val="22"/>
        </w:rPr>
        <w:t>En virtud de las facultades extraordinarias otorgadas al presidente de la República, por la declaratoria del Estado de Emergencia Económica, Social y Ecológica ocasionado por el nuevo coronavirus COVID-19, se han expedido diferentes decretos para mitigar sus efectos en los diferentes ámbitos del país. El Decreto 434 de 2020 se refiere a los efectos económicos de la emergencia, y establece plazos especiales para renova</w:t>
      </w:r>
      <w:r>
        <w:rPr>
          <w:rFonts w:ascii="Arial" w:eastAsia="Calibri" w:hAnsi="Arial" w:cs="Arial"/>
          <w:sz w:val="22"/>
        </w:rPr>
        <w:t>r</w:t>
      </w:r>
      <w:r w:rsidRPr="00601A7E">
        <w:rPr>
          <w:rFonts w:ascii="Arial" w:eastAsia="Calibri" w:hAnsi="Arial" w:cs="Arial"/>
          <w:sz w:val="22"/>
        </w:rPr>
        <w:t xml:space="preserve"> </w:t>
      </w:r>
      <w:r>
        <w:rPr>
          <w:rFonts w:ascii="Arial" w:eastAsia="Calibri" w:hAnsi="Arial" w:cs="Arial"/>
          <w:sz w:val="22"/>
        </w:rPr>
        <w:t>algunos</w:t>
      </w:r>
      <w:r w:rsidRPr="00601A7E">
        <w:rPr>
          <w:rFonts w:ascii="Arial" w:eastAsia="Calibri" w:hAnsi="Arial" w:cs="Arial"/>
          <w:sz w:val="22"/>
        </w:rPr>
        <w:t xml:space="preserve"> registros</w:t>
      </w:r>
      <w:r>
        <w:rPr>
          <w:rFonts w:ascii="Arial" w:eastAsia="Calibri" w:hAnsi="Arial" w:cs="Arial"/>
          <w:sz w:val="22"/>
        </w:rPr>
        <w:t>,</w:t>
      </w:r>
      <w:r w:rsidRPr="00601A7E">
        <w:rPr>
          <w:rFonts w:ascii="Arial" w:eastAsia="Calibri" w:hAnsi="Arial" w:cs="Arial"/>
          <w:sz w:val="22"/>
        </w:rPr>
        <w:t xml:space="preserve"> como la matrícula mercantil y el Registro Único Empresarial y Social </w:t>
      </w:r>
      <w:r>
        <w:rPr>
          <w:rFonts w:ascii="Arial" w:eastAsia="Calibri" w:hAnsi="Arial" w:cs="Arial"/>
          <w:sz w:val="22"/>
        </w:rPr>
        <w:t>–</w:t>
      </w:r>
      <w:r w:rsidRPr="00601A7E">
        <w:rPr>
          <w:rFonts w:ascii="Arial" w:eastAsia="Calibri" w:hAnsi="Arial" w:cs="Arial"/>
          <w:sz w:val="22"/>
        </w:rPr>
        <w:t>RUES</w:t>
      </w:r>
      <w:r>
        <w:rPr>
          <w:rFonts w:ascii="Arial" w:eastAsia="Calibri" w:hAnsi="Arial" w:cs="Arial"/>
          <w:sz w:val="22"/>
        </w:rPr>
        <w:t xml:space="preserve">–, </w:t>
      </w:r>
      <w:r w:rsidRPr="00601A7E">
        <w:rPr>
          <w:rFonts w:ascii="Arial" w:eastAsia="Calibri" w:hAnsi="Arial" w:cs="Arial"/>
          <w:sz w:val="22"/>
        </w:rPr>
        <w:t>y para adelantar las reuniones ordinarias de asambleas y demás cuerpos colegiados.</w:t>
      </w:r>
    </w:p>
    <w:p w14:paraId="5CFB7555" w14:textId="77777777" w:rsidR="007A2CFC" w:rsidRPr="00601A7E" w:rsidRDefault="007A2CFC" w:rsidP="007A2CFC">
      <w:pPr>
        <w:spacing w:after="120" w:line="276" w:lineRule="auto"/>
        <w:jc w:val="both"/>
        <w:rPr>
          <w:rFonts w:ascii="Arial" w:eastAsia="Calibri" w:hAnsi="Arial" w:cs="Arial"/>
          <w:sz w:val="22"/>
        </w:rPr>
      </w:pPr>
      <w:r w:rsidRPr="00601A7E">
        <w:rPr>
          <w:rFonts w:ascii="Arial" w:eastAsia="Calibri" w:hAnsi="Arial" w:cs="Arial"/>
          <w:sz w:val="22"/>
        </w:rPr>
        <w:tab/>
        <w:t>Respecto del RUES, las consideraciones del decreto citado señalan que el RUP es parte de este y que es administrado por las cámaras de comercio, de conformidad con el artículo 166 del Decreto Ley 019 de 2012</w:t>
      </w:r>
      <w:r w:rsidRPr="00601A7E">
        <w:rPr>
          <w:rStyle w:val="Refdenotaalpie"/>
          <w:rFonts w:ascii="Arial" w:eastAsia="Calibri" w:hAnsi="Arial" w:cs="Arial"/>
          <w:sz w:val="22"/>
        </w:rPr>
        <w:footnoteReference w:id="2"/>
      </w:r>
      <w:r w:rsidRPr="00601A7E">
        <w:rPr>
          <w:rFonts w:ascii="Arial" w:eastAsia="Calibri" w:hAnsi="Arial" w:cs="Arial"/>
          <w:sz w:val="22"/>
        </w:rPr>
        <w:t xml:space="preserve">, entre otros registros que lo componen; y que se considera necesario evitar </w:t>
      </w:r>
      <w:r>
        <w:rPr>
          <w:rFonts w:ascii="Arial" w:eastAsia="Calibri" w:hAnsi="Arial" w:cs="Arial"/>
          <w:sz w:val="22"/>
        </w:rPr>
        <w:t>el hacinamiento</w:t>
      </w:r>
      <w:r w:rsidRPr="00601A7E">
        <w:rPr>
          <w:rFonts w:ascii="Arial" w:eastAsia="Calibri" w:hAnsi="Arial" w:cs="Arial"/>
          <w:sz w:val="22"/>
        </w:rPr>
        <w:t xml:space="preserve"> de personas en las cámaras de comercio para adelantar los trámites asociados al RUES, teniendo en cuenta que la Confederación Colombiana de Cámaras de Comercio certificó que solo se </w:t>
      </w:r>
      <w:r>
        <w:rPr>
          <w:rFonts w:ascii="Arial" w:eastAsia="Calibri" w:hAnsi="Arial" w:cs="Arial"/>
          <w:sz w:val="22"/>
        </w:rPr>
        <w:t>habían</w:t>
      </w:r>
      <w:r w:rsidRPr="00601A7E">
        <w:rPr>
          <w:rFonts w:ascii="Arial" w:eastAsia="Calibri" w:hAnsi="Arial" w:cs="Arial"/>
          <w:sz w:val="22"/>
        </w:rPr>
        <w:t xml:space="preserve"> tramitado el 40% de los registros aproximadamente, lo que indica que la mayoría de las personas naturales y jurídicas se encuentran pendientes de acudir a las </w:t>
      </w:r>
      <w:r>
        <w:rPr>
          <w:rFonts w:ascii="Arial" w:eastAsia="Calibri" w:hAnsi="Arial" w:cs="Arial"/>
          <w:sz w:val="22"/>
        </w:rPr>
        <w:t>c</w:t>
      </w:r>
      <w:r w:rsidRPr="00601A7E">
        <w:rPr>
          <w:rFonts w:ascii="Arial" w:eastAsia="Calibri" w:hAnsi="Arial" w:cs="Arial"/>
          <w:sz w:val="22"/>
        </w:rPr>
        <w:t xml:space="preserve">ámaras de </w:t>
      </w:r>
      <w:r>
        <w:rPr>
          <w:rFonts w:ascii="Arial" w:eastAsia="Calibri" w:hAnsi="Arial" w:cs="Arial"/>
          <w:sz w:val="22"/>
        </w:rPr>
        <w:t>c</w:t>
      </w:r>
      <w:r w:rsidRPr="00601A7E">
        <w:rPr>
          <w:rFonts w:ascii="Arial" w:eastAsia="Calibri" w:hAnsi="Arial" w:cs="Arial"/>
          <w:sz w:val="22"/>
        </w:rPr>
        <w:t>omercio para cumplir sus obligaciones con el registro.</w:t>
      </w:r>
    </w:p>
    <w:p w14:paraId="35D12FD9" w14:textId="1265C5A4" w:rsidR="007A2CFC" w:rsidRDefault="007A2CFC" w:rsidP="007A2CFC">
      <w:pPr>
        <w:spacing w:after="120" w:line="276" w:lineRule="auto"/>
        <w:jc w:val="both"/>
        <w:rPr>
          <w:rFonts w:ascii="Arial" w:eastAsia="Calibri" w:hAnsi="Arial" w:cs="Arial"/>
          <w:i/>
          <w:iCs/>
          <w:sz w:val="22"/>
        </w:rPr>
      </w:pPr>
      <w:r w:rsidRPr="00601A7E">
        <w:rPr>
          <w:rFonts w:ascii="Arial" w:eastAsia="Calibri" w:hAnsi="Arial" w:cs="Arial"/>
          <w:sz w:val="22"/>
        </w:rPr>
        <w:tab/>
        <w:t>En ese sentido, para contribuir con las medidas de contención y prevención del riesgo de contagio, buscando que las personas no se acerquen</w:t>
      </w:r>
      <w:r w:rsidR="00D03FB6">
        <w:rPr>
          <w:rFonts w:ascii="Arial" w:eastAsia="Calibri" w:hAnsi="Arial" w:cs="Arial"/>
          <w:sz w:val="22"/>
        </w:rPr>
        <w:t xml:space="preserve"> de forma concentrada</w:t>
      </w:r>
      <w:r w:rsidRPr="00601A7E">
        <w:rPr>
          <w:rFonts w:ascii="Arial" w:eastAsia="Calibri" w:hAnsi="Arial" w:cs="Arial"/>
          <w:sz w:val="22"/>
        </w:rPr>
        <w:t xml:space="preserve"> a las Cámaras de Comercio para tramitar lo que corresponde al RUES, y particularmente al RUP, el artículo 2 del Decreto 434 de 2020 amplió el plazo para renovarlo, teniendo en cuenta que el artículo 2.2.1.1.1.5.1. del Decreto 1082 de 2015 impone la obligación de adelantar el trámite de renovación del RUP a más tardar el quinto día hábil del mes de abril, lo cual se extiende</w:t>
      </w:r>
      <w:r w:rsidR="00D03FB6">
        <w:rPr>
          <w:rFonts w:ascii="Arial" w:eastAsia="Calibri" w:hAnsi="Arial" w:cs="Arial"/>
          <w:sz w:val="22"/>
        </w:rPr>
        <w:t>, mediante el decreto legislativo,</w:t>
      </w:r>
      <w:r w:rsidRPr="00601A7E">
        <w:rPr>
          <w:rFonts w:ascii="Arial" w:eastAsia="Calibri" w:hAnsi="Arial" w:cs="Arial"/>
          <w:sz w:val="22"/>
        </w:rPr>
        <w:t xml:space="preserve"> </w:t>
      </w:r>
      <w:r w:rsidRPr="00601A7E">
        <w:rPr>
          <w:rFonts w:ascii="Arial" w:eastAsia="Calibri" w:hAnsi="Arial" w:cs="Arial"/>
          <w:i/>
          <w:iCs/>
          <w:sz w:val="22"/>
        </w:rPr>
        <w:t>al quinto día hábil del mes de julio de 2020</w:t>
      </w:r>
      <w:r w:rsidRPr="00601A7E">
        <w:rPr>
          <w:rStyle w:val="Refdenotaalpie"/>
          <w:rFonts w:ascii="Arial" w:eastAsia="Calibri" w:hAnsi="Arial" w:cs="Arial"/>
          <w:sz w:val="22"/>
        </w:rPr>
        <w:footnoteReference w:id="3"/>
      </w:r>
      <w:r w:rsidRPr="00601A7E">
        <w:rPr>
          <w:rFonts w:ascii="Arial" w:eastAsia="Calibri" w:hAnsi="Arial" w:cs="Arial"/>
          <w:i/>
          <w:iCs/>
          <w:sz w:val="22"/>
        </w:rPr>
        <w:t>.</w:t>
      </w:r>
    </w:p>
    <w:p w14:paraId="4AE921BE" w14:textId="77777777" w:rsidR="007A2CFC" w:rsidRDefault="007A2CFC" w:rsidP="00860E06">
      <w:pPr>
        <w:spacing w:line="276" w:lineRule="auto"/>
        <w:jc w:val="both"/>
        <w:rPr>
          <w:rFonts w:ascii="Arial" w:eastAsia="Calibri" w:hAnsi="Arial" w:cs="Arial"/>
          <w:i/>
          <w:iCs/>
          <w:sz w:val="22"/>
        </w:rPr>
      </w:pPr>
    </w:p>
    <w:p w14:paraId="1FBD8577" w14:textId="34C57DD7" w:rsidR="00AC40CD" w:rsidRPr="00265C4F" w:rsidRDefault="00AC40CD" w:rsidP="00AC40CD">
      <w:pPr>
        <w:tabs>
          <w:tab w:val="left" w:pos="284"/>
        </w:tabs>
        <w:spacing w:line="276" w:lineRule="auto"/>
        <w:jc w:val="both"/>
        <w:rPr>
          <w:rFonts w:ascii="Arial" w:eastAsia="Calibri" w:hAnsi="Arial" w:cs="Arial"/>
          <w:b/>
          <w:color w:val="000000" w:themeColor="text1"/>
          <w:sz w:val="22"/>
          <w:lang w:val="es-CO"/>
        </w:rPr>
      </w:pPr>
      <w:r w:rsidRPr="00265C4F">
        <w:rPr>
          <w:rFonts w:ascii="Arial" w:eastAsia="Calibri" w:hAnsi="Arial" w:cs="Arial"/>
          <w:b/>
          <w:color w:val="000000" w:themeColor="text1"/>
          <w:sz w:val="22"/>
          <w:lang w:val="es-CO"/>
        </w:rPr>
        <w:lastRenderedPageBreak/>
        <w:t>2.3. Causal de rechazo del literal G, de los documentos tipo para licitación de obra pública de infraestructura de transporte</w:t>
      </w:r>
      <w:r w:rsidR="00C037AC">
        <w:rPr>
          <w:rFonts w:ascii="Arial" w:eastAsia="Calibri" w:hAnsi="Arial" w:cs="Arial"/>
          <w:b/>
          <w:color w:val="000000" w:themeColor="text1"/>
          <w:sz w:val="22"/>
          <w:lang w:val="es-CO"/>
        </w:rPr>
        <w:t>,</w:t>
      </w:r>
      <w:r w:rsidRPr="00265C4F">
        <w:rPr>
          <w:rFonts w:ascii="Arial" w:eastAsia="Calibri" w:hAnsi="Arial" w:cs="Arial"/>
          <w:b/>
          <w:color w:val="000000" w:themeColor="text1"/>
          <w:sz w:val="22"/>
          <w:lang w:val="es-CO"/>
        </w:rPr>
        <w:t xml:space="preserve"> conforme al Decreto 434 de 2020</w:t>
      </w:r>
    </w:p>
    <w:p w14:paraId="44B5E1B9" w14:textId="77777777" w:rsidR="00AC40CD" w:rsidRPr="00265C4F" w:rsidRDefault="00AC40CD" w:rsidP="00AC40CD">
      <w:pPr>
        <w:tabs>
          <w:tab w:val="left" w:pos="284"/>
        </w:tabs>
        <w:spacing w:line="276" w:lineRule="auto"/>
        <w:jc w:val="both"/>
        <w:rPr>
          <w:rFonts w:ascii="Arial" w:eastAsia="Calibri" w:hAnsi="Arial" w:cs="Arial"/>
          <w:b/>
          <w:color w:val="000000" w:themeColor="text1"/>
          <w:sz w:val="22"/>
          <w:lang w:val="es-CO"/>
        </w:rPr>
      </w:pPr>
    </w:p>
    <w:p w14:paraId="20D22320" w14:textId="18F650DF" w:rsidR="00A0699A" w:rsidRPr="00601A7E" w:rsidRDefault="00A0699A" w:rsidP="00A0699A">
      <w:pPr>
        <w:spacing w:after="120" w:line="276" w:lineRule="auto"/>
        <w:jc w:val="both"/>
        <w:rPr>
          <w:rFonts w:ascii="Arial" w:eastAsia="Calibri" w:hAnsi="Arial" w:cs="Arial"/>
          <w:sz w:val="22"/>
        </w:rPr>
      </w:pPr>
      <w:r w:rsidRPr="00601A7E">
        <w:rPr>
          <w:rFonts w:ascii="Arial" w:eastAsia="Calibri" w:hAnsi="Arial" w:cs="Arial"/>
          <w:bCs/>
          <w:color w:val="000000" w:themeColor="text1"/>
          <w:sz w:val="22"/>
        </w:rPr>
        <w:t xml:space="preserve">En el entendido de que la regla general es la «inalterabilidad» de los documentos tipo por parte de las entidades estatales, resulta oportuno para el análisis del </w:t>
      </w:r>
      <w:r w:rsidR="00D03FB6">
        <w:rPr>
          <w:rFonts w:ascii="Arial" w:eastAsia="Calibri" w:hAnsi="Arial" w:cs="Arial"/>
          <w:bCs/>
          <w:color w:val="000000" w:themeColor="text1"/>
          <w:sz w:val="22"/>
        </w:rPr>
        <w:t>tema</w:t>
      </w:r>
      <w:r w:rsidR="00D03FB6" w:rsidRPr="00601A7E">
        <w:rPr>
          <w:rFonts w:ascii="Arial" w:eastAsia="Calibri" w:hAnsi="Arial" w:cs="Arial"/>
          <w:bCs/>
          <w:color w:val="000000" w:themeColor="text1"/>
          <w:sz w:val="22"/>
        </w:rPr>
        <w:t xml:space="preserve"> </w:t>
      </w:r>
      <w:r w:rsidRPr="00601A7E">
        <w:rPr>
          <w:rFonts w:ascii="Arial" w:eastAsia="Calibri" w:hAnsi="Arial" w:cs="Arial"/>
          <w:bCs/>
          <w:color w:val="000000" w:themeColor="text1"/>
          <w:sz w:val="22"/>
        </w:rPr>
        <w:t xml:space="preserve">bajo estudio, desarrollar algunos puntos sobre </w:t>
      </w:r>
      <w:r>
        <w:rPr>
          <w:rFonts w:ascii="Arial" w:eastAsia="Calibri" w:hAnsi="Arial" w:cs="Arial"/>
          <w:bCs/>
          <w:color w:val="000000" w:themeColor="text1"/>
          <w:sz w:val="22"/>
        </w:rPr>
        <w:t>estos</w:t>
      </w:r>
      <w:r w:rsidRPr="00601A7E">
        <w:rPr>
          <w:rFonts w:ascii="Arial" w:eastAsia="Calibri" w:hAnsi="Arial" w:cs="Arial"/>
          <w:bCs/>
          <w:color w:val="000000" w:themeColor="text1"/>
          <w:sz w:val="22"/>
        </w:rPr>
        <w:t>, y la interpretación que se debe hacer</w:t>
      </w:r>
      <w:r w:rsidR="00D03FB6">
        <w:rPr>
          <w:rFonts w:ascii="Arial" w:eastAsia="Calibri" w:hAnsi="Arial" w:cs="Arial"/>
          <w:bCs/>
          <w:color w:val="000000" w:themeColor="text1"/>
          <w:sz w:val="22"/>
        </w:rPr>
        <w:t xml:space="preserve"> de los Documentos Tipo,</w:t>
      </w:r>
      <w:r w:rsidRPr="00601A7E">
        <w:rPr>
          <w:rFonts w:ascii="Arial" w:eastAsia="Calibri" w:hAnsi="Arial" w:cs="Arial"/>
          <w:bCs/>
          <w:color w:val="000000" w:themeColor="text1"/>
          <w:sz w:val="22"/>
        </w:rPr>
        <w:t xml:space="preserve"> frente al contenido del artículo 2 del Decreto 434 de </w:t>
      </w:r>
      <w:r w:rsidRPr="00601A7E">
        <w:rPr>
          <w:rFonts w:ascii="Arial" w:eastAsia="Calibri" w:hAnsi="Arial" w:cs="Arial"/>
          <w:sz w:val="22"/>
        </w:rPr>
        <w:t xml:space="preserve">2020. </w:t>
      </w:r>
    </w:p>
    <w:p w14:paraId="389A3D12" w14:textId="77777777" w:rsidR="00A0699A" w:rsidRPr="00601A7E" w:rsidRDefault="00A0699A" w:rsidP="00A0699A">
      <w:pPr>
        <w:spacing w:after="120" w:line="276" w:lineRule="auto"/>
        <w:ind w:firstLine="709"/>
        <w:jc w:val="both"/>
        <w:rPr>
          <w:rFonts w:ascii="Arial" w:eastAsia="Calibri" w:hAnsi="Arial" w:cs="Arial"/>
          <w:sz w:val="22"/>
        </w:rPr>
      </w:pPr>
      <w:r w:rsidRPr="00601A7E">
        <w:rPr>
          <w:rFonts w:ascii="Arial" w:eastAsia="Calibri" w:hAnsi="Arial" w:cs="Arial"/>
          <w:sz w:val="22"/>
        </w:rPr>
        <w:t>La</w:t>
      </w:r>
      <w:r w:rsidRPr="00601A7E">
        <w:rPr>
          <w:rFonts w:ascii="Arial" w:eastAsia="Calibri" w:hAnsi="Arial" w:cs="Arial"/>
          <w:bCs/>
          <w:color w:val="000000" w:themeColor="text1"/>
          <w:sz w:val="22"/>
        </w:rPr>
        <w:t>s entidades públicas tienen la posibilidad de diligenciar la información contenida en los documentos tipo cuando expresamente se les faculte para hacerlo</w:t>
      </w:r>
      <w:r w:rsidRPr="00601A7E">
        <w:rPr>
          <w:rStyle w:val="Refdenotaalpie"/>
          <w:rFonts w:ascii="Arial" w:eastAsia="Calibri" w:hAnsi="Arial" w:cs="Arial"/>
          <w:bCs/>
          <w:color w:val="000000" w:themeColor="text1"/>
          <w:sz w:val="22"/>
        </w:rPr>
        <w:footnoteReference w:id="4"/>
      </w:r>
      <w:r w:rsidRPr="00601A7E">
        <w:rPr>
          <w:rFonts w:ascii="Arial" w:eastAsia="Calibri" w:hAnsi="Arial" w:cs="Arial"/>
          <w:bCs/>
          <w:color w:val="000000" w:themeColor="text1"/>
          <w:sz w:val="22"/>
        </w:rPr>
        <w:t xml:space="preserve">, por tal motivo, dentro del contenido de estos, </w:t>
      </w:r>
      <w:r>
        <w:rPr>
          <w:rFonts w:ascii="Arial" w:eastAsia="Calibri" w:hAnsi="Arial" w:cs="Arial"/>
          <w:bCs/>
          <w:color w:val="000000" w:themeColor="text1"/>
          <w:sz w:val="22"/>
        </w:rPr>
        <w:t>se</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circunscribió</w:t>
      </w:r>
      <w:r w:rsidRPr="00601A7E">
        <w:rPr>
          <w:rFonts w:ascii="Arial" w:eastAsia="Calibri" w:hAnsi="Arial" w:cs="Arial"/>
          <w:bCs/>
          <w:color w:val="000000" w:themeColor="text1"/>
          <w:sz w:val="22"/>
        </w:rPr>
        <w:t xml:space="preserve"> esta </w:t>
      </w:r>
      <w:r>
        <w:rPr>
          <w:rFonts w:ascii="Arial" w:eastAsia="Calibri" w:hAnsi="Arial" w:cs="Arial"/>
          <w:bCs/>
          <w:color w:val="000000" w:themeColor="text1"/>
          <w:sz w:val="22"/>
        </w:rPr>
        <w:t>facultad</w:t>
      </w:r>
      <w:r w:rsidRPr="00601A7E">
        <w:rPr>
          <w:rFonts w:ascii="Arial" w:eastAsia="Calibri" w:hAnsi="Arial" w:cs="Arial"/>
          <w:bCs/>
          <w:color w:val="000000" w:themeColor="text1"/>
          <w:sz w:val="22"/>
        </w:rPr>
        <w:t xml:space="preserve"> a los aspectos incluidos en corchetes y resaltados en gris</w:t>
      </w:r>
      <w:r>
        <w:rPr>
          <w:rFonts w:ascii="Arial" w:eastAsia="Calibri" w:hAnsi="Arial" w:cs="Arial"/>
          <w:bCs/>
          <w:color w:val="000000" w:themeColor="text1"/>
          <w:sz w:val="22"/>
        </w:rPr>
        <w:t xml:space="preserve">. Esta posibilidad también se habilitó </w:t>
      </w:r>
      <w:r w:rsidRPr="00601A7E">
        <w:rPr>
          <w:rFonts w:ascii="Arial" w:eastAsia="Calibri" w:hAnsi="Arial" w:cs="Arial"/>
          <w:bCs/>
          <w:color w:val="000000" w:themeColor="text1"/>
          <w:sz w:val="22"/>
        </w:rPr>
        <w:t>cuando el objeto contractual incluye bienes o servicios ajenos a la obra pública de infraestructura de transporte</w:t>
      </w:r>
      <w:r>
        <w:rPr>
          <w:rFonts w:ascii="Arial" w:eastAsia="Calibri" w:hAnsi="Arial" w:cs="Arial"/>
          <w:bCs/>
          <w:color w:val="000000" w:themeColor="text1"/>
          <w:sz w:val="22"/>
        </w:rPr>
        <w:t>, caso en que</w:t>
      </w:r>
      <w:r w:rsidRPr="00601A7E">
        <w:rPr>
          <w:rFonts w:ascii="Arial" w:eastAsia="Calibri" w:hAnsi="Arial" w:cs="Arial"/>
          <w:bCs/>
          <w:color w:val="000000" w:themeColor="text1"/>
          <w:sz w:val="22"/>
        </w:rPr>
        <w:t xml:space="preserve"> se podrá incluir información </w:t>
      </w:r>
      <w:r w:rsidRPr="00601A7E">
        <w:rPr>
          <w:rFonts w:ascii="Arial" w:eastAsia="Calibri" w:hAnsi="Arial" w:cs="Arial"/>
          <w:sz w:val="22"/>
        </w:rPr>
        <w:t xml:space="preserve">adicional. </w:t>
      </w:r>
    </w:p>
    <w:p w14:paraId="1025A918" w14:textId="77777777" w:rsidR="00A0699A" w:rsidRPr="00601A7E" w:rsidRDefault="00A0699A" w:rsidP="00A0699A">
      <w:pPr>
        <w:spacing w:after="120" w:line="276" w:lineRule="auto"/>
        <w:ind w:firstLine="709"/>
        <w:jc w:val="both"/>
        <w:rPr>
          <w:rFonts w:ascii="Arial" w:eastAsia="Calibri" w:hAnsi="Arial" w:cs="Arial"/>
          <w:sz w:val="22"/>
        </w:rPr>
      </w:pPr>
      <w:r>
        <w:rPr>
          <w:rFonts w:ascii="Arial" w:eastAsia="Calibri" w:hAnsi="Arial" w:cs="Arial"/>
          <w:sz w:val="22"/>
        </w:rPr>
        <w:t>Precisado lo anterior</w:t>
      </w:r>
      <w:r w:rsidRPr="00601A7E">
        <w:rPr>
          <w:rFonts w:ascii="Arial" w:eastAsia="Calibri" w:hAnsi="Arial" w:cs="Arial"/>
          <w:bCs/>
          <w:color w:val="000000" w:themeColor="text1"/>
          <w:sz w:val="22"/>
        </w:rPr>
        <w:t xml:space="preserve">, la causal de rechazo contenida en el litera G del </w:t>
      </w:r>
      <w:r>
        <w:rPr>
          <w:rFonts w:ascii="Arial" w:eastAsia="Calibri" w:hAnsi="Arial" w:cs="Arial"/>
          <w:bCs/>
          <w:color w:val="000000" w:themeColor="text1"/>
          <w:sz w:val="22"/>
        </w:rPr>
        <w:t>numeral</w:t>
      </w:r>
      <w:r w:rsidRPr="00601A7E">
        <w:rPr>
          <w:rFonts w:ascii="Arial" w:eastAsia="Calibri" w:hAnsi="Arial" w:cs="Arial"/>
          <w:bCs/>
          <w:color w:val="000000" w:themeColor="text1"/>
          <w:sz w:val="22"/>
        </w:rPr>
        <w:t xml:space="preserve"> 1.15 de los documentos tipo</w:t>
      </w:r>
      <w:r>
        <w:rPr>
          <w:rFonts w:ascii="Arial" w:eastAsia="Calibri" w:hAnsi="Arial" w:cs="Arial"/>
          <w:bCs/>
          <w:color w:val="000000" w:themeColor="text1"/>
          <w:sz w:val="22"/>
        </w:rPr>
        <w:t>, que</w:t>
      </w:r>
      <w:r w:rsidRPr="00601A7E">
        <w:rPr>
          <w:rFonts w:ascii="Arial" w:eastAsia="Calibri" w:hAnsi="Arial" w:cs="Arial"/>
          <w:bCs/>
          <w:color w:val="000000" w:themeColor="text1"/>
          <w:sz w:val="22"/>
        </w:rPr>
        <w:t xml:space="preserve"> señala: «Que el Proponente no acredite la presentación de la información para renovar el Registro Único de Proponentes (RUP) a más tardar el quinto día hábil del mes de abril de cada año», no </w:t>
      </w:r>
      <w:r>
        <w:rPr>
          <w:rFonts w:ascii="Arial" w:eastAsia="Calibri" w:hAnsi="Arial" w:cs="Arial"/>
          <w:bCs/>
          <w:color w:val="000000" w:themeColor="text1"/>
          <w:sz w:val="22"/>
        </w:rPr>
        <w:t>es de aquellas susceptibles de diligenciamiento o modificación</w:t>
      </w:r>
      <w:r w:rsidRPr="00601A7E">
        <w:rPr>
          <w:rFonts w:ascii="Arial" w:eastAsia="Calibri" w:hAnsi="Arial" w:cs="Arial"/>
          <w:bCs/>
          <w:color w:val="000000" w:themeColor="text1"/>
          <w:sz w:val="22"/>
        </w:rPr>
        <w:t xml:space="preserve"> por parte de las entidades</w:t>
      </w:r>
      <w:r>
        <w:rPr>
          <w:rFonts w:ascii="Arial" w:eastAsia="Calibri" w:hAnsi="Arial" w:cs="Arial"/>
          <w:bCs/>
          <w:color w:val="000000" w:themeColor="text1"/>
          <w:sz w:val="22"/>
        </w:rPr>
        <w:t>, en consecuencia,</w:t>
      </w:r>
      <w:r w:rsidRPr="00601A7E">
        <w:rPr>
          <w:rFonts w:ascii="Arial" w:eastAsia="Calibri" w:hAnsi="Arial" w:cs="Arial"/>
          <w:bCs/>
          <w:color w:val="000000" w:themeColor="text1"/>
          <w:sz w:val="22"/>
        </w:rPr>
        <w:t xml:space="preserve"> su contenido </w:t>
      </w:r>
      <w:r>
        <w:rPr>
          <w:rFonts w:ascii="Arial" w:eastAsia="Calibri" w:hAnsi="Arial" w:cs="Arial"/>
          <w:bCs/>
          <w:color w:val="000000" w:themeColor="text1"/>
          <w:sz w:val="22"/>
        </w:rPr>
        <w:t>es inalterable</w:t>
      </w:r>
      <w:r w:rsidRPr="00601A7E">
        <w:rPr>
          <w:rFonts w:ascii="Arial" w:eastAsia="Calibri" w:hAnsi="Arial" w:cs="Arial"/>
          <w:sz w:val="22"/>
        </w:rPr>
        <w:t xml:space="preserve">; esta afirmación cobra sustento </w:t>
      </w:r>
      <w:r>
        <w:rPr>
          <w:rFonts w:ascii="Arial" w:eastAsia="Calibri" w:hAnsi="Arial" w:cs="Arial"/>
          <w:sz w:val="22"/>
        </w:rPr>
        <w:t>de acuerdo al</w:t>
      </w:r>
      <w:r w:rsidRPr="00601A7E">
        <w:rPr>
          <w:rFonts w:ascii="Arial" w:eastAsia="Calibri" w:hAnsi="Arial" w:cs="Arial"/>
          <w:sz w:val="22"/>
        </w:rPr>
        <w:t xml:space="preserve"> primer párrafo del citado título de los documentos tipo, en cual dispuso que </w:t>
      </w:r>
      <w:r w:rsidRPr="00601A7E">
        <w:rPr>
          <w:rFonts w:ascii="Arial" w:eastAsia="Calibri" w:hAnsi="Arial" w:cs="Arial"/>
          <w:bCs/>
          <w:color w:val="000000" w:themeColor="text1"/>
          <w:sz w:val="22"/>
        </w:rPr>
        <w:t>«</w:t>
      </w:r>
      <w:r w:rsidRPr="00601A7E">
        <w:rPr>
          <w:rFonts w:ascii="Arial" w:eastAsia="Calibri" w:hAnsi="Arial" w:cs="Arial"/>
          <w:sz w:val="22"/>
        </w:rPr>
        <w:t>Las Entidades no podrán modificar o incluir causales de rechazo distintas a las señaladas en la presente sección</w:t>
      </w:r>
      <w:r w:rsidRPr="00601A7E">
        <w:rPr>
          <w:rFonts w:ascii="Arial" w:eastAsia="Calibri" w:hAnsi="Arial" w:cs="Arial"/>
          <w:bCs/>
          <w:color w:val="000000" w:themeColor="text1"/>
          <w:sz w:val="22"/>
        </w:rPr>
        <w:t>»</w:t>
      </w:r>
      <w:r w:rsidRPr="00601A7E">
        <w:rPr>
          <w:rFonts w:ascii="Arial" w:eastAsia="Calibri" w:hAnsi="Arial" w:cs="Arial"/>
          <w:sz w:val="22"/>
        </w:rPr>
        <w:t xml:space="preserve">. </w:t>
      </w:r>
    </w:p>
    <w:p w14:paraId="0FD4B11F" w14:textId="2D7EFB61" w:rsidR="00A0699A" w:rsidRDefault="00A0699A" w:rsidP="00A0699A">
      <w:pPr>
        <w:spacing w:after="120" w:line="276" w:lineRule="auto"/>
        <w:ind w:firstLine="709"/>
        <w:jc w:val="both"/>
        <w:rPr>
          <w:rFonts w:ascii="Arial" w:eastAsia="Calibri" w:hAnsi="Arial" w:cs="Arial"/>
          <w:bCs/>
          <w:color w:val="000000" w:themeColor="text1"/>
          <w:sz w:val="22"/>
        </w:rPr>
      </w:pPr>
      <w:r w:rsidRPr="00601A7E">
        <w:rPr>
          <w:rFonts w:ascii="Arial" w:eastAsia="Calibri" w:hAnsi="Arial" w:cs="Arial"/>
          <w:sz w:val="22"/>
        </w:rPr>
        <w:t>Sin embargo, para esta Subdirec</w:t>
      </w:r>
      <w:r w:rsidRPr="00601A7E">
        <w:rPr>
          <w:rFonts w:ascii="Arial" w:eastAsia="Calibri" w:hAnsi="Arial" w:cs="Arial"/>
          <w:bCs/>
          <w:color w:val="000000" w:themeColor="text1"/>
          <w:sz w:val="22"/>
        </w:rPr>
        <w:t>ción</w:t>
      </w:r>
      <w:r w:rsidR="00686813">
        <w:rPr>
          <w:rFonts w:ascii="Arial" w:eastAsia="Calibri" w:hAnsi="Arial" w:cs="Arial"/>
          <w:bCs/>
          <w:color w:val="000000" w:themeColor="text1"/>
          <w:sz w:val="22"/>
        </w:rPr>
        <w:t xml:space="preserve">, </w:t>
      </w:r>
      <w:r w:rsidRPr="00601A7E">
        <w:rPr>
          <w:rFonts w:ascii="Arial" w:eastAsia="Calibri" w:hAnsi="Arial" w:cs="Arial"/>
          <w:bCs/>
          <w:color w:val="000000" w:themeColor="text1"/>
          <w:sz w:val="22"/>
        </w:rPr>
        <w:t xml:space="preserve">el contenido de </w:t>
      </w:r>
      <w:r>
        <w:rPr>
          <w:rFonts w:ascii="Arial" w:eastAsia="Calibri" w:hAnsi="Arial" w:cs="Arial"/>
          <w:bCs/>
          <w:color w:val="000000" w:themeColor="text1"/>
          <w:sz w:val="22"/>
        </w:rPr>
        <w:t xml:space="preserve">dicha causal de rechazo </w:t>
      </w:r>
      <w:r w:rsidRPr="00601A7E">
        <w:rPr>
          <w:rFonts w:ascii="Arial" w:eastAsia="Calibri" w:hAnsi="Arial" w:cs="Arial"/>
          <w:bCs/>
          <w:color w:val="000000" w:themeColor="text1"/>
          <w:sz w:val="22"/>
        </w:rPr>
        <w:t xml:space="preserve">se encuentra </w:t>
      </w:r>
      <w:r>
        <w:rPr>
          <w:rFonts w:ascii="Arial" w:eastAsia="Calibri" w:hAnsi="Arial" w:cs="Arial"/>
          <w:bCs/>
          <w:color w:val="000000" w:themeColor="text1"/>
          <w:sz w:val="22"/>
        </w:rPr>
        <w:t>modificada temporalmente</w:t>
      </w:r>
      <w:r w:rsidRPr="00601A7E">
        <w:rPr>
          <w:rFonts w:ascii="Arial" w:eastAsia="Calibri" w:hAnsi="Arial" w:cs="Arial"/>
          <w:bCs/>
          <w:color w:val="000000" w:themeColor="text1"/>
          <w:sz w:val="22"/>
        </w:rPr>
        <w:t xml:space="preserve"> por el Decreto 434 de 2020. </w:t>
      </w:r>
      <w:r>
        <w:rPr>
          <w:rFonts w:ascii="Arial" w:eastAsia="Calibri" w:hAnsi="Arial" w:cs="Arial"/>
          <w:bCs/>
          <w:color w:val="000000" w:themeColor="text1"/>
          <w:sz w:val="22"/>
        </w:rPr>
        <w:t>En efecto</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los documentos tipo, de manera general, </w:t>
      </w:r>
      <w:r w:rsidRPr="00601A7E">
        <w:rPr>
          <w:rFonts w:ascii="Arial" w:eastAsia="Calibri" w:hAnsi="Arial" w:cs="Arial"/>
          <w:bCs/>
          <w:color w:val="000000" w:themeColor="text1"/>
          <w:sz w:val="22"/>
        </w:rPr>
        <w:t>previendo los posibles cambios normativos que se llega</w:t>
      </w:r>
      <w:r>
        <w:rPr>
          <w:rFonts w:ascii="Arial" w:eastAsia="Calibri" w:hAnsi="Arial" w:cs="Arial"/>
          <w:bCs/>
          <w:color w:val="000000" w:themeColor="text1"/>
          <w:sz w:val="22"/>
        </w:rPr>
        <w:t>ra</w:t>
      </w:r>
      <w:r w:rsidRPr="00601A7E">
        <w:rPr>
          <w:rFonts w:ascii="Arial" w:eastAsia="Calibri" w:hAnsi="Arial" w:cs="Arial"/>
          <w:bCs/>
          <w:color w:val="000000" w:themeColor="text1"/>
          <w:sz w:val="22"/>
        </w:rPr>
        <w:t>n a presentar y que t</w:t>
      </w:r>
      <w:r>
        <w:rPr>
          <w:rFonts w:ascii="Arial" w:eastAsia="Calibri" w:hAnsi="Arial" w:cs="Arial"/>
          <w:bCs/>
          <w:color w:val="000000" w:themeColor="text1"/>
          <w:sz w:val="22"/>
        </w:rPr>
        <w:t>uvieran</w:t>
      </w:r>
      <w:r w:rsidRPr="00601A7E">
        <w:rPr>
          <w:rFonts w:ascii="Arial" w:eastAsia="Calibri" w:hAnsi="Arial" w:cs="Arial"/>
          <w:bCs/>
          <w:color w:val="000000" w:themeColor="text1"/>
          <w:sz w:val="22"/>
        </w:rPr>
        <w:t xml:space="preserve"> incidencia</w:t>
      </w:r>
      <w:r>
        <w:rPr>
          <w:rFonts w:ascii="Arial" w:eastAsia="Calibri" w:hAnsi="Arial" w:cs="Arial"/>
          <w:bCs/>
          <w:color w:val="000000" w:themeColor="text1"/>
          <w:sz w:val="22"/>
        </w:rPr>
        <w:t xml:space="preserve"> en</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su contenido, en</w:t>
      </w:r>
      <w:r w:rsidRPr="00601A7E">
        <w:rPr>
          <w:rFonts w:ascii="Arial" w:eastAsia="Calibri" w:hAnsi="Arial" w:cs="Arial"/>
          <w:bCs/>
          <w:color w:val="000000" w:themeColor="text1"/>
          <w:sz w:val="22"/>
        </w:rPr>
        <w:t xml:space="preserve"> la «introducción» </w:t>
      </w:r>
      <w:r w:rsidR="00686813">
        <w:rPr>
          <w:rFonts w:ascii="Arial" w:eastAsia="Calibri" w:hAnsi="Arial" w:cs="Arial"/>
          <w:bCs/>
          <w:color w:val="000000" w:themeColor="text1"/>
          <w:sz w:val="22"/>
        </w:rPr>
        <w:t>incluyeron</w:t>
      </w:r>
      <w:r w:rsidRPr="00601A7E">
        <w:rPr>
          <w:rFonts w:ascii="Arial" w:eastAsia="Calibri" w:hAnsi="Arial" w:cs="Arial"/>
          <w:bCs/>
          <w:color w:val="000000" w:themeColor="text1"/>
          <w:sz w:val="22"/>
        </w:rPr>
        <w:t xml:space="preserve"> una disposición que imprime la obligación </w:t>
      </w:r>
      <w:r w:rsidR="00686813">
        <w:rPr>
          <w:rFonts w:ascii="Arial" w:eastAsia="Calibri" w:hAnsi="Arial" w:cs="Arial"/>
          <w:bCs/>
          <w:color w:val="000000" w:themeColor="text1"/>
          <w:sz w:val="22"/>
        </w:rPr>
        <w:t>para</w:t>
      </w:r>
      <w:r w:rsidR="00686813" w:rsidRPr="00601A7E">
        <w:rPr>
          <w:rFonts w:ascii="Arial" w:eastAsia="Calibri" w:hAnsi="Arial" w:cs="Arial"/>
          <w:bCs/>
          <w:color w:val="000000" w:themeColor="text1"/>
          <w:sz w:val="22"/>
        </w:rPr>
        <w:t xml:space="preserve"> </w:t>
      </w:r>
      <w:r w:rsidRPr="00601A7E">
        <w:rPr>
          <w:rFonts w:ascii="Arial" w:eastAsia="Calibri" w:hAnsi="Arial" w:cs="Arial"/>
          <w:bCs/>
          <w:color w:val="000000" w:themeColor="text1"/>
          <w:sz w:val="22"/>
        </w:rPr>
        <w:t>las entidades de aplicar la normativ</w:t>
      </w:r>
      <w:r w:rsidR="00686813">
        <w:rPr>
          <w:rFonts w:ascii="Arial" w:eastAsia="Calibri" w:hAnsi="Arial" w:cs="Arial"/>
          <w:bCs/>
          <w:color w:val="000000" w:themeColor="text1"/>
          <w:sz w:val="22"/>
        </w:rPr>
        <w:t>a</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vigente</w:t>
      </w:r>
      <w:r w:rsidR="00686813">
        <w:rPr>
          <w:rFonts w:ascii="Arial" w:eastAsia="Calibri" w:hAnsi="Arial" w:cs="Arial"/>
          <w:bCs/>
          <w:color w:val="000000" w:themeColor="text1"/>
          <w:sz w:val="22"/>
        </w:rPr>
        <w:t>,</w:t>
      </w:r>
      <w:r w:rsidRPr="00601A7E">
        <w:rPr>
          <w:rFonts w:ascii="Arial" w:eastAsia="Calibri" w:hAnsi="Arial" w:cs="Arial"/>
          <w:bCs/>
          <w:color w:val="000000" w:themeColor="text1"/>
          <w:sz w:val="22"/>
        </w:rPr>
        <w:t xml:space="preserve"> así: «El uso de los Documentos Tipo no exime a la Entidad Estatal de la obligación que le asiste de aplicar la normativa y la jurisprudencia aplicable al Proceso de Contratación […]». </w:t>
      </w:r>
    </w:p>
    <w:p w14:paraId="7755BCD4" w14:textId="2B66EBDA" w:rsidR="00686813" w:rsidRPr="00601A7E" w:rsidRDefault="00686813" w:rsidP="00A0699A">
      <w:pPr>
        <w:spacing w:after="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En este sentido, los Documentos Tipo, que constituyen una especie del reglamento, son objeto de modificación por parte de otras normas del ordenamiento, que inciden en la vigencia de su contenido, como es el caso relativo a la expedición de un decreto legislativo, que incide en la forma de aplicación de su contenido.</w:t>
      </w:r>
    </w:p>
    <w:p w14:paraId="6D9BBCF6" w14:textId="53FD23A1" w:rsidR="00A0699A" w:rsidRPr="00601A7E" w:rsidRDefault="00686813" w:rsidP="00A0699A">
      <w:pPr>
        <w:spacing w:after="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lastRenderedPageBreak/>
        <w:t>Además, f</w:t>
      </w:r>
      <w:r w:rsidR="00A0699A">
        <w:rPr>
          <w:rFonts w:ascii="Arial" w:eastAsia="Calibri" w:hAnsi="Arial" w:cs="Arial"/>
          <w:bCs/>
          <w:color w:val="000000" w:themeColor="text1"/>
          <w:sz w:val="22"/>
        </w:rPr>
        <w:t>rente al supuesto</w:t>
      </w:r>
      <w:r>
        <w:rPr>
          <w:rFonts w:ascii="Arial" w:eastAsia="Calibri" w:hAnsi="Arial" w:cs="Arial"/>
          <w:bCs/>
          <w:color w:val="000000" w:themeColor="text1"/>
          <w:sz w:val="22"/>
        </w:rPr>
        <w:t xml:space="preserve"> particular de la causal de rechazo del literal G de los Documentos Tipo,</w:t>
      </w:r>
      <w:r w:rsidR="00A0699A">
        <w:rPr>
          <w:rFonts w:ascii="Arial" w:eastAsia="Calibri" w:hAnsi="Arial" w:cs="Arial"/>
          <w:bCs/>
          <w:color w:val="000000" w:themeColor="text1"/>
          <w:sz w:val="22"/>
        </w:rPr>
        <w:t xml:space="preserve"> se presenta el fenómeno de la</w:t>
      </w:r>
      <w:r w:rsidR="00A0699A" w:rsidRPr="00601A7E">
        <w:rPr>
          <w:rFonts w:ascii="Arial" w:eastAsia="Calibri" w:hAnsi="Arial" w:cs="Arial"/>
          <w:bCs/>
          <w:color w:val="000000" w:themeColor="text1"/>
          <w:sz w:val="22"/>
        </w:rPr>
        <w:t xml:space="preserve"> pérdida de fuerza ejecutoria, </w:t>
      </w:r>
      <w:r>
        <w:rPr>
          <w:rFonts w:ascii="Arial" w:eastAsia="Calibri" w:hAnsi="Arial" w:cs="Arial"/>
          <w:bCs/>
          <w:color w:val="000000" w:themeColor="text1"/>
          <w:sz w:val="22"/>
        </w:rPr>
        <w:t>al menos limitada para el</w:t>
      </w:r>
      <w:r w:rsidR="00A0699A">
        <w:rPr>
          <w:rFonts w:ascii="Arial" w:eastAsia="Calibri" w:hAnsi="Arial" w:cs="Arial"/>
          <w:bCs/>
          <w:color w:val="000000" w:themeColor="text1"/>
          <w:sz w:val="22"/>
        </w:rPr>
        <w:t xml:space="preserve"> año 2020</w:t>
      </w:r>
      <w:r w:rsidR="00A0699A" w:rsidRPr="00601A7E">
        <w:rPr>
          <w:rFonts w:ascii="Arial" w:eastAsia="Calibri" w:hAnsi="Arial" w:cs="Arial"/>
          <w:bCs/>
          <w:color w:val="000000" w:themeColor="text1"/>
          <w:sz w:val="22"/>
        </w:rPr>
        <w:t xml:space="preserve">, </w:t>
      </w:r>
      <w:r w:rsidR="00A0699A">
        <w:rPr>
          <w:rFonts w:ascii="Arial" w:eastAsia="Calibri" w:hAnsi="Arial" w:cs="Arial"/>
          <w:bCs/>
          <w:color w:val="000000" w:themeColor="text1"/>
          <w:sz w:val="22"/>
        </w:rPr>
        <w:t>con fundamento en lo siguiente</w:t>
      </w:r>
      <w:r w:rsidR="00A0699A" w:rsidRPr="00601A7E">
        <w:rPr>
          <w:rFonts w:ascii="Arial" w:eastAsia="Calibri" w:hAnsi="Arial" w:cs="Arial"/>
          <w:bCs/>
          <w:color w:val="000000" w:themeColor="text1"/>
          <w:sz w:val="22"/>
        </w:rPr>
        <w:t xml:space="preserve">: </w:t>
      </w:r>
    </w:p>
    <w:p w14:paraId="0AAD2D3F" w14:textId="193E43C6" w:rsidR="00A0699A" w:rsidRDefault="00A0699A" w:rsidP="00A0699A">
      <w:pPr>
        <w:spacing w:after="120" w:line="276" w:lineRule="auto"/>
        <w:ind w:firstLine="709"/>
        <w:jc w:val="both"/>
        <w:rPr>
          <w:rFonts w:ascii="Arial" w:eastAsia="Calibri" w:hAnsi="Arial" w:cs="Arial"/>
          <w:bCs/>
          <w:color w:val="000000" w:themeColor="text1"/>
          <w:sz w:val="22"/>
        </w:rPr>
      </w:pPr>
      <w:r w:rsidRPr="00601A7E">
        <w:rPr>
          <w:rFonts w:ascii="Arial" w:eastAsia="Calibri" w:hAnsi="Arial" w:cs="Arial"/>
          <w:bCs/>
          <w:color w:val="000000" w:themeColor="text1"/>
          <w:sz w:val="22"/>
        </w:rPr>
        <w:t xml:space="preserve">El artículo 91 de la Ley 1437 de 2011, </w:t>
      </w:r>
      <w:r w:rsidR="00DA261B">
        <w:rPr>
          <w:rFonts w:ascii="Arial" w:eastAsia="Calibri" w:hAnsi="Arial" w:cs="Arial"/>
          <w:bCs/>
          <w:color w:val="000000" w:themeColor="text1"/>
          <w:sz w:val="22"/>
        </w:rPr>
        <w:t xml:space="preserve">regula </w:t>
      </w:r>
      <w:r w:rsidR="00686813">
        <w:rPr>
          <w:rFonts w:ascii="Arial" w:eastAsia="Calibri" w:hAnsi="Arial" w:cs="Arial"/>
          <w:bCs/>
          <w:color w:val="000000" w:themeColor="text1"/>
          <w:sz w:val="22"/>
        </w:rPr>
        <w:t>los supuestos</w:t>
      </w:r>
      <w:r w:rsidRPr="00601A7E">
        <w:rPr>
          <w:rFonts w:ascii="Arial" w:eastAsia="Calibri" w:hAnsi="Arial" w:cs="Arial"/>
          <w:bCs/>
          <w:color w:val="000000" w:themeColor="text1"/>
          <w:sz w:val="22"/>
        </w:rPr>
        <w:t xml:space="preserve"> que generan la p</w:t>
      </w:r>
      <w:r>
        <w:rPr>
          <w:rFonts w:ascii="Arial" w:eastAsia="Calibri" w:hAnsi="Arial" w:cs="Arial"/>
          <w:bCs/>
          <w:color w:val="000000" w:themeColor="text1"/>
          <w:sz w:val="22"/>
        </w:rPr>
        <w:t>é</w:t>
      </w:r>
      <w:r w:rsidRPr="00601A7E">
        <w:rPr>
          <w:rFonts w:ascii="Arial" w:eastAsia="Calibri" w:hAnsi="Arial" w:cs="Arial"/>
          <w:bCs/>
          <w:color w:val="000000" w:themeColor="text1"/>
          <w:sz w:val="22"/>
        </w:rPr>
        <w:t xml:space="preserve">rdida de ejecutoriedad </w:t>
      </w:r>
      <w:r w:rsidR="00895B34">
        <w:rPr>
          <w:rFonts w:ascii="Arial" w:eastAsia="Calibri" w:hAnsi="Arial" w:cs="Arial"/>
          <w:bCs/>
          <w:color w:val="000000" w:themeColor="text1"/>
          <w:sz w:val="22"/>
        </w:rPr>
        <w:t xml:space="preserve">o fuerza ejecutoria </w:t>
      </w:r>
      <w:r w:rsidRPr="00601A7E">
        <w:rPr>
          <w:rFonts w:ascii="Arial" w:eastAsia="Calibri" w:hAnsi="Arial" w:cs="Arial"/>
          <w:bCs/>
          <w:color w:val="000000" w:themeColor="text1"/>
          <w:sz w:val="22"/>
        </w:rPr>
        <w:t>del acto administrativo, denominadas por</w:t>
      </w:r>
      <w:r w:rsidR="00895B34">
        <w:rPr>
          <w:rFonts w:ascii="Arial" w:eastAsia="Calibri" w:hAnsi="Arial" w:cs="Arial"/>
          <w:bCs/>
          <w:color w:val="000000" w:themeColor="text1"/>
          <w:sz w:val="22"/>
        </w:rPr>
        <w:t xml:space="preserve"> algún sector de</w:t>
      </w:r>
      <w:r w:rsidRPr="00601A7E">
        <w:rPr>
          <w:rFonts w:ascii="Arial" w:eastAsia="Calibri" w:hAnsi="Arial" w:cs="Arial"/>
          <w:bCs/>
          <w:color w:val="000000" w:themeColor="text1"/>
          <w:sz w:val="22"/>
        </w:rPr>
        <w:t xml:space="preserve"> la doctrina administrati</w:t>
      </w:r>
      <w:r w:rsidR="00895B34">
        <w:rPr>
          <w:rFonts w:ascii="Arial" w:eastAsia="Calibri" w:hAnsi="Arial" w:cs="Arial"/>
          <w:bCs/>
          <w:color w:val="000000" w:themeColor="text1"/>
          <w:sz w:val="22"/>
        </w:rPr>
        <w:t>vista</w:t>
      </w:r>
      <w:r w:rsidRPr="00601A7E">
        <w:rPr>
          <w:rFonts w:ascii="Arial" w:eastAsia="Calibri" w:hAnsi="Arial" w:cs="Arial"/>
          <w:bCs/>
          <w:color w:val="000000" w:themeColor="text1"/>
          <w:sz w:val="22"/>
        </w:rPr>
        <w:t xml:space="preserve"> como «alteraciones a la normal eficacia del acto administrativo»</w:t>
      </w:r>
      <w:r w:rsidR="00895B34">
        <w:rPr>
          <w:rFonts w:ascii="Arial" w:eastAsia="Calibri" w:hAnsi="Arial" w:cs="Arial"/>
          <w:bCs/>
          <w:color w:val="000000" w:themeColor="text1"/>
          <w:sz w:val="22"/>
        </w:rPr>
        <w:t>, entre ellos, por Santofimio Gamboa</w:t>
      </w:r>
      <w:r w:rsidR="00895B34">
        <w:rPr>
          <w:rStyle w:val="Refdenotaalpie"/>
          <w:rFonts w:ascii="Arial" w:eastAsia="Calibri" w:hAnsi="Arial" w:cs="Arial"/>
          <w:bCs/>
          <w:color w:val="000000" w:themeColor="text1"/>
          <w:sz w:val="22"/>
        </w:rPr>
        <w:footnoteReference w:id="5"/>
      </w:r>
      <w:r>
        <w:rPr>
          <w:rFonts w:ascii="Arial" w:eastAsia="Calibri" w:hAnsi="Arial" w:cs="Arial"/>
          <w:bCs/>
          <w:color w:val="000000" w:themeColor="text1"/>
          <w:sz w:val="22"/>
        </w:rPr>
        <w:t xml:space="preserve">. </w:t>
      </w:r>
      <w:r w:rsidR="00895B34">
        <w:rPr>
          <w:rFonts w:ascii="Arial" w:eastAsia="Calibri" w:hAnsi="Arial" w:cs="Arial"/>
          <w:bCs/>
          <w:color w:val="000000" w:themeColor="text1"/>
          <w:sz w:val="22"/>
        </w:rPr>
        <w:t>Las causales establecidas en el artículo citado son los siguientes</w:t>
      </w:r>
      <w:r w:rsidRPr="00601A7E">
        <w:rPr>
          <w:rFonts w:ascii="Arial" w:eastAsia="Calibri" w:hAnsi="Arial" w:cs="Arial"/>
          <w:bCs/>
          <w:color w:val="000000" w:themeColor="text1"/>
          <w:sz w:val="22"/>
        </w:rPr>
        <w:t xml:space="preserve">: </w:t>
      </w:r>
    </w:p>
    <w:p w14:paraId="30AD7160" w14:textId="77777777" w:rsidR="00A0699A" w:rsidRPr="00601A7E" w:rsidRDefault="00A0699A" w:rsidP="00A0699A">
      <w:pPr>
        <w:spacing w:line="276" w:lineRule="auto"/>
        <w:ind w:firstLine="709"/>
        <w:jc w:val="both"/>
        <w:rPr>
          <w:rFonts w:ascii="Arial" w:eastAsia="Calibri" w:hAnsi="Arial" w:cs="Arial"/>
          <w:bCs/>
          <w:color w:val="000000" w:themeColor="text1"/>
          <w:sz w:val="22"/>
        </w:rPr>
      </w:pPr>
    </w:p>
    <w:p w14:paraId="08E33F27" w14:textId="77777777" w:rsidR="00A0699A" w:rsidRPr="00A14472" w:rsidRDefault="00A0699A" w:rsidP="27F111B0">
      <w:pPr>
        <w:pStyle w:val="Prrafodelista"/>
        <w:numPr>
          <w:ilvl w:val="0"/>
          <w:numId w:val="7"/>
        </w:numPr>
        <w:spacing w:after="120"/>
        <w:ind w:left="1134" w:right="709" w:hanging="425"/>
        <w:jc w:val="both"/>
        <w:rPr>
          <w:rFonts w:ascii="Arial" w:eastAsia="Calibri" w:hAnsi="Arial" w:cs="Arial"/>
          <w:color w:val="000000" w:themeColor="text1"/>
          <w:sz w:val="21"/>
          <w:szCs w:val="21"/>
        </w:rPr>
      </w:pPr>
      <w:r w:rsidRPr="27F111B0">
        <w:rPr>
          <w:rFonts w:ascii="Arial" w:eastAsia="Calibri" w:hAnsi="Arial" w:cs="Arial"/>
          <w:color w:val="000000" w:themeColor="text1"/>
          <w:sz w:val="21"/>
          <w:szCs w:val="21"/>
        </w:rPr>
        <w:t>Cuando sean suspendidos provisionalmente sus efectos por la Jurisdicción de lo Contencioso Administrativo.</w:t>
      </w:r>
    </w:p>
    <w:p w14:paraId="10FA7564" w14:textId="77777777" w:rsidR="00A0699A" w:rsidRPr="00A14472" w:rsidRDefault="00A0699A" w:rsidP="27F111B0">
      <w:pPr>
        <w:pStyle w:val="Prrafodelista"/>
        <w:numPr>
          <w:ilvl w:val="0"/>
          <w:numId w:val="7"/>
        </w:numPr>
        <w:spacing w:after="120"/>
        <w:ind w:left="1134" w:right="709" w:hanging="425"/>
        <w:jc w:val="both"/>
        <w:rPr>
          <w:rFonts w:ascii="Arial" w:eastAsia="Calibri" w:hAnsi="Arial" w:cs="Arial"/>
          <w:color w:val="000000" w:themeColor="text1"/>
          <w:sz w:val="21"/>
          <w:szCs w:val="21"/>
        </w:rPr>
      </w:pPr>
      <w:r w:rsidRPr="27F111B0">
        <w:rPr>
          <w:rFonts w:ascii="Arial" w:eastAsia="Calibri" w:hAnsi="Arial" w:cs="Arial"/>
          <w:color w:val="000000" w:themeColor="text1"/>
          <w:sz w:val="21"/>
          <w:szCs w:val="21"/>
        </w:rPr>
        <w:t>Cuando desaparezcan sus fundamentos de hecho o de derecho.</w:t>
      </w:r>
    </w:p>
    <w:p w14:paraId="737635F9" w14:textId="77777777" w:rsidR="00A0699A" w:rsidRPr="00A14472" w:rsidRDefault="00A0699A" w:rsidP="27F111B0">
      <w:pPr>
        <w:pStyle w:val="Prrafodelista"/>
        <w:numPr>
          <w:ilvl w:val="0"/>
          <w:numId w:val="7"/>
        </w:numPr>
        <w:spacing w:after="120"/>
        <w:ind w:left="1134" w:right="709" w:hanging="425"/>
        <w:jc w:val="both"/>
        <w:rPr>
          <w:rFonts w:ascii="Arial" w:eastAsia="Calibri" w:hAnsi="Arial" w:cs="Arial"/>
          <w:color w:val="000000" w:themeColor="text1"/>
          <w:sz w:val="21"/>
          <w:szCs w:val="21"/>
        </w:rPr>
      </w:pPr>
      <w:r w:rsidRPr="27F111B0">
        <w:rPr>
          <w:rFonts w:ascii="Arial" w:eastAsia="Calibri" w:hAnsi="Arial" w:cs="Arial"/>
          <w:color w:val="000000" w:themeColor="text1"/>
          <w:sz w:val="21"/>
          <w:szCs w:val="21"/>
        </w:rPr>
        <w:t>Cuando al cabo de cinco (5) años de estar en firme, la autoridad no ha realizado los actos que le correspondan para ejecutarlos.</w:t>
      </w:r>
    </w:p>
    <w:p w14:paraId="19017796" w14:textId="77777777" w:rsidR="00A0699A" w:rsidRPr="00A14472" w:rsidRDefault="00A0699A" w:rsidP="27F111B0">
      <w:pPr>
        <w:pStyle w:val="Prrafodelista"/>
        <w:numPr>
          <w:ilvl w:val="0"/>
          <w:numId w:val="7"/>
        </w:numPr>
        <w:spacing w:after="120"/>
        <w:ind w:left="1134" w:right="709" w:hanging="425"/>
        <w:jc w:val="both"/>
        <w:rPr>
          <w:rFonts w:ascii="Arial" w:eastAsia="Calibri" w:hAnsi="Arial" w:cs="Arial"/>
          <w:color w:val="000000" w:themeColor="text1"/>
          <w:sz w:val="21"/>
          <w:szCs w:val="21"/>
        </w:rPr>
      </w:pPr>
      <w:r w:rsidRPr="27F111B0">
        <w:rPr>
          <w:rFonts w:ascii="Arial" w:eastAsia="Calibri" w:hAnsi="Arial" w:cs="Arial"/>
          <w:color w:val="000000" w:themeColor="text1"/>
          <w:sz w:val="21"/>
          <w:szCs w:val="21"/>
        </w:rPr>
        <w:t>Cuando se cumpla la condición resolutoria a que se encuentre sometido el acto.</w:t>
      </w:r>
    </w:p>
    <w:p w14:paraId="68557F25" w14:textId="77777777" w:rsidR="00A0699A" w:rsidRPr="00A14472" w:rsidRDefault="00A0699A" w:rsidP="27F111B0">
      <w:pPr>
        <w:pStyle w:val="Prrafodelista"/>
        <w:numPr>
          <w:ilvl w:val="0"/>
          <w:numId w:val="7"/>
        </w:numPr>
        <w:spacing w:after="120"/>
        <w:ind w:left="1134" w:right="709" w:hanging="425"/>
        <w:jc w:val="both"/>
        <w:rPr>
          <w:rFonts w:ascii="Arial" w:eastAsia="Calibri" w:hAnsi="Arial" w:cs="Arial"/>
          <w:color w:val="000000" w:themeColor="text1"/>
          <w:sz w:val="21"/>
          <w:szCs w:val="21"/>
        </w:rPr>
      </w:pPr>
      <w:r w:rsidRPr="27F111B0">
        <w:rPr>
          <w:rFonts w:ascii="Arial" w:eastAsia="Calibri" w:hAnsi="Arial" w:cs="Arial"/>
          <w:color w:val="000000" w:themeColor="text1"/>
          <w:sz w:val="21"/>
          <w:szCs w:val="21"/>
        </w:rPr>
        <w:t>Cuando pierdan vigencia</w:t>
      </w:r>
      <w:r w:rsidRPr="27F111B0">
        <w:rPr>
          <w:rStyle w:val="Refdenotaalpie"/>
          <w:rFonts w:ascii="Arial" w:eastAsia="Calibri" w:hAnsi="Arial" w:cs="Arial"/>
          <w:color w:val="000000" w:themeColor="text1"/>
          <w:sz w:val="21"/>
          <w:szCs w:val="21"/>
        </w:rPr>
        <w:footnoteReference w:id="6"/>
      </w:r>
      <w:r w:rsidRPr="27F111B0">
        <w:rPr>
          <w:rFonts w:ascii="Arial" w:eastAsia="Calibri" w:hAnsi="Arial" w:cs="Arial"/>
          <w:color w:val="000000" w:themeColor="text1"/>
          <w:sz w:val="21"/>
          <w:szCs w:val="21"/>
        </w:rPr>
        <w:t>.</w:t>
      </w:r>
    </w:p>
    <w:p w14:paraId="32FB9D7C" w14:textId="77777777" w:rsidR="00A0699A" w:rsidRPr="00601A7E" w:rsidRDefault="00A0699A" w:rsidP="00A0699A">
      <w:pPr>
        <w:pStyle w:val="Prrafodelista"/>
        <w:spacing w:after="120" w:line="276" w:lineRule="auto"/>
        <w:ind w:left="1429" w:right="709"/>
        <w:jc w:val="both"/>
        <w:rPr>
          <w:rFonts w:ascii="Arial" w:eastAsia="Calibri" w:hAnsi="Arial" w:cs="Arial"/>
          <w:bCs/>
          <w:color w:val="000000" w:themeColor="text1"/>
          <w:sz w:val="22"/>
        </w:rPr>
      </w:pPr>
    </w:p>
    <w:p w14:paraId="79D57F3A" w14:textId="2B3D6763" w:rsidR="00A0699A" w:rsidRDefault="00A0699A" w:rsidP="00A0699A">
      <w:pPr>
        <w:spacing w:after="120" w:line="276" w:lineRule="auto"/>
        <w:ind w:firstLine="709"/>
        <w:jc w:val="both"/>
        <w:rPr>
          <w:rFonts w:ascii="Arial" w:eastAsia="Calibri" w:hAnsi="Arial" w:cs="Arial"/>
          <w:bCs/>
          <w:color w:val="000000" w:themeColor="text1"/>
          <w:sz w:val="22"/>
        </w:rPr>
      </w:pPr>
      <w:r w:rsidRPr="00601A7E">
        <w:rPr>
          <w:rFonts w:ascii="Arial" w:eastAsia="Calibri" w:hAnsi="Arial" w:cs="Arial"/>
          <w:bCs/>
          <w:color w:val="000000" w:themeColor="text1"/>
          <w:sz w:val="22"/>
        </w:rPr>
        <w:t xml:space="preserve">En la </w:t>
      </w:r>
      <w:r w:rsidR="00295DA4">
        <w:rPr>
          <w:rFonts w:ascii="Arial" w:eastAsia="Calibri" w:hAnsi="Arial" w:cs="Arial"/>
          <w:bCs/>
          <w:color w:val="000000" w:themeColor="text1"/>
          <w:sz w:val="22"/>
        </w:rPr>
        <w:t>elaboración</w:t>
      </w:r>
      <w:r w:rsidR="00295DA4" w:rsidRPr="00601A7E">
        <w:rPr>
          <w:rFonts w:ascii="Arial" w:eastAsia="Calibri" w:hAnsi="Arial" w:cs="Arial"/>
          <w:bCs/>
          <w:color w:val="000000" w:themeColor="text1"/>
          <w:sz w:val="22"/>
        </w:rPr>
        <w:t xml:space="preserve"> </w:t>
      </w:r>
      <w:r w:rsidRPr="00601A7E">
        <w:rPr>
          <w:rFonts w:ascii="Arial" w:eastAsia="Calibri" w:hAnsi="Arial" w:cs="Arial"/>
          <w:bCs/>
          <w:color w:val="000000" w:themeColor="text1"/>
          <w:sz w:val="22"/>
        </w:rPr>
        <w:t xml:space="preserve">de los Documentos Tipo, actualizados mediante Resolución 0045 de 2020, se </w:t>
      </w:r>
      <w:r>
        <w:rPr>
          <w:rFonts w:ascii="Arial" w:eastAsia="Calibri" w:hAnsi="Arial" w:cs="Arial"/>
          <w:bCs/>
          <w:color w:val="000000" w:themeColor="text1"/>
          <w:sz w:val="22"/>
        </w:rPr>
        <w:t>aplicó lo dispuesto en el</w:t>
      </w:r>
      <w:r w:rsidRPr="00601A7E">
        <w:rPr>
          <w:rFonts w:ascii="Arial" w:eastAsia="Calibri" w:hAnsi="Arial" w:cs="Arial"/>
          <w:bCs/>
          <w:color w:val="000000" w:themeColor="text1"/>
          <w:sz w:val="22"/>
        </w:rPr>
        <w:t xml:space="preserve"> artículo 2.2.1.1.1.5.1. del Decreto 1082 de 2015, específicamente lo relacionado con el límite temporal de la renovación del RUP</w:t>
      </w:r>
      <w:r>
        <w:rPr>
          <w:rFonts w:ascii="Arial" w:eastAsia="Calibri" w:hAnsi="Arial" w:cs="Arial"/>
          <w:bCs/>
          <w:color w:val="000000" w:themeColor="text1"/>
          <w:sz w:val="22"/>
        </w:rPr>
        <w:t>,</w:t>
      </w:r>
      <w:r w:rsidRPr="00601A7E">
        <w:rPr>
          <w:rFonts w:ascii="Arial" w:eastAsia="Calibri" w:hAnsi="Arial" w:cs="Arial"/>
          <w:bCs/>
          <w:color w:val="000000" w:themeColor="text1"/>
          <w:sz w:val="22"/>
        </w:rPr>
        <w:t xml:space="preserve"> a más tardar el quinto día hábil de</w:t>
      </w:r>
      <w:r>
        <w:rPr>
          <w:rFonts w:ascii="Arial" w:eastAsia="Calibri" w:hAnsi="Arial" w:cs="Arial"/>
          <w:bCs/>
          <w:color w:val="000000" w:themeColor="text1"/>
          <w:sz w:val="22"/>
        </w:rPr>
        <w:t>l</w:t>
      </w:r>
      <w:r w:rsidRPr="00601A7E">
        <w:rPr>
          <w:rFonts w:ascii="Arial" w:eastAsia="Calibri" w:hAnsi="Arial" w:cs="Arial"/>
          <w:bCs/>
          <w:color w:val="000000" w:themeColor="text1"/>
          <w:sz w:val="22"/>
        </w:rPr>
        <w:t xml:space="preserve"> mes de abril</w:t>
      </w:r>
      <w:r>
        <w:rPr>
          <w:rFonts w:ascii="Arial" w:eastAsia="Calibri" w:hAnsi="Arial" w:cs="Arial"/>
          <w:bCs/>
          <w:color w:val="000000" w:themeColor="text1"/>
          <w:sz w:val="22"/>
        </w:rPr>
        <w:t xml:space="preserve"> </w:t>
      </w:r>
      <w:r w:rsidRPr="00601A7E">
        <w:rPr>
          <w:rFonts w:ascii="Arial" w:eastAsia="Calibri" w:hAnsi="Arial" w:cs="Arial"/>
          <w:bCs/>
          <w:color w:val="000000" w:themeColor="text1"/>
          <w:sz w:val="22"/>
        </w:rPr>
        <w:t>de cada año</w:t>
      </w:r>
      <w:r w:rsidRPr="00A14472">
        <w:rPr>
          <w:rStyle w:val="Refdenotaalpie"/>
          <w:rFonts w:ascii="Arial" w:eastAsia="Calibri" w:hAnsi="Arial" w:cs="Arial"/>
          <w:bCs/>
          <w:color w:val="000000" w:themeColor="text1"/>
          <w:sz w:val="22"/>
        </w:rPr>
        <w:footnoteReference w:id="7"/>
      </w:r>
      <w:r w:rsidRPr="00601A7E">
        <w:rPr>
          <w:rFonts w:ascii="Arial" w:eastAsia="Calibri" w:hAnsi="Arial" w:cs="Arial"/>
          <w:bCs/>
          <w:color w:val="000000" w:themeColor="text1"/>
          <w:sz w:val="22"/>
        </w:rPr>
        <w:t xml:space="preserve">, </w:t>
      </w:r>
      <w:r w:rsidR="00295DA4">
        <w:rPr>
          <w:rFonts w:ascii="Arial" w:eastAsia="Calibri" w:hAnsi="Arial" w:cs="Arial"/>
          <w:bCs/>
          <w:color w:val="000000" w:themeColor="text1"/>
          <w:sz w:val="22"/>
        </w:rPr>
        <w:t xml:space="preserve">de manera que de acuerdo a dicho </w:t>
      </w:r>
      <w:r w:rsidR="00295DA4">
        <w:rPr>
          <w:rFonts w:ascii="Arial" w:eastAsia="Calibri" w:hAnsi="Arial" w:cs="Arial"/>
          <w:bCs/>
          <w:color w:val="000000" w:themeColor="text1"/>
          <w:sz w:val="22"/>
        </w:rPr>
        <w:lastRenderedPageBreak/>
        <w:t>fundamento jurídico se c</w:t>
      </w:r>
      <w:r w:rsidRPr="00601A7E">
        <w:rPr>
          <w:rFonts w:ascii="Arial" w:eastAsia="Calibri" w:hAnsi="Arial" w:cs="Arial"/>
          <w:bCs/>
          <w:color w:val="000000" w:themeColor="text1"/>
          <w:sz w:val="22"/>
        </w:rPr>
        <w:t>onfigur</w:t>
      </w:r>
      <w:r w:rsidR="00295DA4">
        <w:rPr>
          <w:rFonts w:ascii="Arial" w:eastAsia="Calibri" w:hAnsi="Arial" w:cs="Arial"/>
          <w:bCs/>
          <w:color w:val="000000" w:themeColor="text1"/>
          <w:sz w:val="22"/>
        </w:rPr>
        <w:t>ó</w:t>
      </w:r>
      <w:r w:rsidRPr="00601A7E">
        <w:rPr>
          <w:rFonts w:ascii="Arial" w:eastAsia="Calibri" w:hAnsi="Arial" w:cs="Arial"/>
          <w:bCs/>
          <w:color w:val="000000" w:themeColor="text1"/>
          <w:sz w:val="22"/>
        </w:rPr>
        <w:t xml:space="preserve"> la causal de rechazo del literal G</w:t>
      </w:r>
      <w:r>
        <w:rPr>
          <w:rFonts w:ascii="Arial" w:eastAsia="Calibri" w:hAnsi="Arial" w:cs="Arial"/>
          <w:bCs/>
          <w:color w:val="000000" w:themeColor="text1"/>
          <w:sz w:val="22"/>
        </w:rPr>
        <w:t>;</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no obstante</w:t>
      </w:r>
      <w:r w:rsidRPr="00601A7E">
        <w:rPr>
          <w:rFonts w:ascii="Arial" w:eastAsia="Calibri" w:hAnsi="Arial" w:cs="Arial"/>
          <w:bCs/>
          <w:color w:val="000000" w:themeColor="text1"/>
          <w:sz w:val="22"/>
        </w:rPr>
        <w:t>, est</w:t>
      </w:r>
      <w:r>
        <w:rPr>
          <w:rFonts w:ascii="Arial" w:eastAsia="Calibri" w:hAnsi="Arial" w:cs="Arial"/>
          <w:bCs/>
          <w:color w:val="000000" w:themeColor="text1"/>
          <w:sz w:val="22"/>
        </w:rPr>
        <w:t>a</w:t>
      </w:r>
      <w:r w:rsidRPr="00601A7E">
        <w:rPr>
          <w:rFonts w:ascii="Arial" w:eastAsia="Calibri" w:hAnsi="Arial" w:cs="Arial"/>
          <w:bCs/>
          <w:color w:val="000000" w:themeColor="text1"/>
          <w:sz w:val="22"/>
        </w:rPr>
        <w:t xml:space="preserve"> f</w:t>
      </w:r>
      <w:r>
        <w:rPr>
          <w:rFonts w:ascii="Arial" w:eastAsia="Calibri" w:hAnsi="Arial" w:cs="Arial"/>
          <w:bCs/>
          <w:color w:val="000000" w:themeColor="text1"/>
          <w:sz w:val="22"/>
        </w:rPr>
        <w:t>uente</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normativa</w:t>
      </w:r>
      <w:r w:rsidRPr="00601A7E">
        <w:rPr>
          <w:rFonts w:ascii="Arial" w:eastAsia="Calibri" w:hAnsi="Arial" w:cs="Arial"/>
          <w:bCs/>
          <w:color w:val="000000" w:themeColor="text1"/>
          <w:sz w:val="22"/>
        </w:rPr>
        <w:t xml:space="preserve"> sufrió</w:t>
      </w:r>
      <w:r>
        <w:rPr>
          <w:rFonts w:ascii="Arial" w:eastAsia="Calibri" w:hAnsi="Arial" w:cs="Arial"/>
          <w:bCs/>
          <w:color w:val="000000" w:themeColor="text1"/>
          <w:sz w:val="22"/>
        </w:rPr>
        <w:t>, para</w:t>
      </w:r>
      <w:r w:rsidR="00295DA4">
        <w:rPr>
          <w:rFonts w:ascii="Arial" w:eastAsia="Calibri" w:hAnsi="Arial" w:cs="Arial"/>
          <w:bCs/>
          <w:color w:val="000000" w:themeColor="text1"/>
          <w:sz w:val="22"/>
        </w:rPr>
        <w:t xml:space="preserve"> su</w:t>
      </w:r>
      <w:r>
        <w:rPr>
          <w:rFonts w:ascii="Arial" w:eastAsia="Calibri" w:hAnsi="Arial" w:cs="Arial"/>
          <w:bCs/>
          <w:color w:val="000000" w:themeColor="text1"/>
          <w:sz w:val="22"/>
        </w:rPr>
        <w:t xml:space="preserve"> </w:t>
      </w:r>
      <w:r w:rsidR="00295DA4">
        <w:rPr>
          <w:rFonts w:ascii="Arial" w:eastAsia="Calibri" w:hAnsi="Arial" w:cs="Arial"/>
          <w:bCs/>
          <w:color w:val="000000" w:themeColor="text1"/>
          <w:sz w:val="22"/>
        </w:rPr>
        <w:t>aplicación específica en el</w:t>
      </w:r>
      <w:r>
        <w:rPr>
          <w:rFonts w:ascii="Arial" w:eastAsia="Calibri" w:hAnsi="Arial" w:cs="Arial"/>
          <w:bCs/>
          <w:color w:val="000000" w:themeColor="text1"/>
          <w:sz w:val="22"/>
        </w:rPr>
        <w:t xml:space="preserve"> año 2020,</w:t>
      </w:r>
      <w:r w:rsidRPr="00601A7E">
        <w:rPr>
          <w:rFonts w:ascii="Arial" w:eastAsia="Calibri" w:hAnsi="Arial" w:cs="Arial"/>
          <w:bCs/>
          <w:color w:val="000000" w:themeColor="text1"/>
          <w:sz w:val="22"/>
        </w:rPr>
        <w:t xml:space="preserve"> una </w:t>
      </w:r>
      <w:r>
        <w:rPr>
          <w:rFonts w:ascii="Arial" w:eastAsia="Calibri" w:hAnsi="Arial" w:cs="Arial"/>
          <w:bCs/>
          <w:color w:val="000000" w:themeColor="text1"/>
          <w:sz w:val="22"/>
        </w:rPr>
        <w:t>alteración</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debido a</w:t>
      </w:r>
      <w:r w:rsidRPr="00601A7E">
        <w:rPr>
          <w:rFonts w:ascii="Arial" w:eastAsia="Calibri" w:hAnsi="Arial" w:cs="Arial"/>
          <w:bCs/>
          <w:color w:val="000000" w:themeColor="text1"/>
          <w:sz w:val="22"/>
        </w:rPr>
        <w:t xml:space="preserve"> la expedición del Decreto </w:t>
      </w:r>
      <w:r w:rsidR="00295DA4">
        <w:rPr>
          <w:rFonts w:ascii="Arial" w:eastAsia="Calibri" w:hAnsi="Arial" w:cs="Arial"/>
          <w:bCs/>
          <w:color w:val="000000" w:themeColor="text1"/>
          <w:sz w:val="22"/>
        </w:rPr>
        <w:t xml:space="preserve">Legislativo </w:t>
      </w:r>
      <w:r w:rsidRPr="00601A7E">
        <w:rPr>
          <w:rFonts w:ascii="Arial" w:eastAsia="Calibri" w:hAnsi="Arial" w:cs="Arial"/>
          <w:bCs/>
          <w:color w:val="000000" w:themeColor="text1"/>
          <w:sz w:val="22"/>
        </w:rPr>
        <w:t xml:space="preserve">434 de 2020, </w:t>
      </w:r>
      <w:r>
        <w:rPr>
          <w:rFonts w:ascii="Arial" w:eastAsia="Calibri" w:hAnsi="Arial" w:cs="Arial"/>
          <w:bCs/>
          <w:color w:val="000000" w:themeColor="text1"/>
          <w:sz w:val="22"/>
        </w:rPr>
        <w:t xml:space="preserve">lo que causó </w:t>
      </w:r>
      <w:r w:rsidR="00BA644B">
        <w:rPr>
          <w:rFonts w:ascii="Arial" w:eastAsia="Calibri" w:hAnsi="Arial" w:cs="Arial"/>
          <w:bCs/>
          <w:color w:val="000000" w:themeColor="text1"/>
          <w:sz w:val="22"/>
        </w:rPr>
        <w:t>la</w:t>
      </w:r>
      <w:r w:rsidR="00BA644B" w:rsidRPr="00601A7E">
        <w:rPr>
          <w:rFonts w:ascii="Arial" w:eastAsia="Calibri" w:hAnsi="Arial" w:cs="Arial"/>
          <w:bCs/>
          <w:color w:val="000000" w:themeColor="text1"/>
          <w:sz w:val="22"/>
        </w:rPr>
        <w:t xml:space="preserve"> </w:t>
      </w:r>
      <w:r w:rsidRPr="00601A7E">
        <w:rPr>
          <w:rFonts w:ascii="Arial" w:eastAsia="Calibri" w:hAnsi="Arial" w:cs="Arial"/>
          <w:bCs/>
          <w:color w:val="000000" w:themeColor="text1"/>
          <w:sz w:val="22"/>
        </w:rPr>
        <w:t>pérdida de fuerza ejecutoria</w:t>
      </w:r>
      <w:r w:rsidR="00295DA4">
        <w:rPr>
          <w:rFonts w:ascii="Arial" w:eastAsia="Calibri" w:hAnsi="Arial" w:cs="Arial"/>
          <w:bCs/>
          <w:color w:val="000000" w:themeColor="text1"/>
          <w:sz w:val="22"/>
        </w:rPr>
        <w:t xml:space="preserve"> de la causal de rechazo del literal G, en los términos en que fue regulada</w:t>
      </w:r>
      <w:r w:rsidR="00BA644B">
        <w:rPr>
          <w:rFonts w:ascii="Arial" w:eastAsia="Calibri" w:hAnsi="Arial" w:cs="Arial"/>
          <w:bCs/>
          <w:color w:val="000000" w:themeColor="text1"/>
          <w:sz w:val="22"/>
        </w:rPr>
        <w:t>,</w:t>
      </w:r>
      <w:r w:rsidRPr="00601A7E">
        <w:rPr>
          <w:rFonts w:ascii="Arial" w:eastAsia="Calibri" w:hAnsi="Arial" w:cs="Arial"/>
          <w:bCs/>
          <w:color w:val="000000" w:themeColor="text1"/>
          <w:sz w:val="22"/>
        </w:rPr>
        <w:t xml:space="preserve"> de acuerdo con el numeral 2 de artículo 91 de la Ley 1437 de 2011</w:t>
      </w:r>
      <w:r w:rsidR="00BA644B">
        <w:rPr>
          <w:rFonts w:ascii="Arial" w:eastAsia="Calibri" w:hAnsi="Arial" w:cs="Arial"/>
          <w:bCs/>
          <w:color w:val="000000" w:themeColor="text1"/>
          <w:sz w:val="22"/>
        </w:rPr>
        <w:t>, debiendo realizarse su aplicación en los términos de la nueva normativa vigente, esto es, conforme al artículo 2 del decreto legislativo citado</w:t>
      </w:r>
      <w:r w:rsidRPr="00601A7E">
        <w:rPr>
          <w:rFonts w:ascii="Arial" w:eastAsia="Calibri" w:hAnsi="Arial" w:cs="Arial"/>
          <w:bCs/>
          <w:color w:val="000000" w:themeColor="text1"/>
          <w:sz w:val="22"/>
        </w:rPr>
        <w:t>. Sobre la pérdida de fuerza ejecutoria por desaparición de</w:t>
      </w:r>
      <w:r>
        <w:rPr>
          <w:rFonts w:ascii="Arial" w:eastAsia="Calibri" w:hAnsi="Arial" w:cs="Arial"/>
          <w:bCs/>
          <w:color w:val="000000" w:themeColor="text1"/>
          <w:sz w:val="22"/>
        </w:rPr>
        <w:t xml:space="preserve"> los</w:t>
      </w:r>
      <w:r w:rsidRPr="00601A7E">
        <w:rPr>
          <w:rFonts w:ascii="Arial" w:eastAsia="Calibri" w:hAnsi="Arial" w:cs="Arial"/>
          <w:bCs/>
          <w:color w:val="000000" w:themeColor="text1"/>
          <w:sz w:val="22"/>
        </w:rPr>
        <w:t xml:space="preserve"> fundamentos de hecho o de derecho, </w:t>
      </w:r>
      <w:r w:rsidR="00BA644B">
        <w:rPr>
          <w:rFonts w:ascii="Arial" w:eastAsia="Calibri" w:hAnsi="Arial" w:cs="Arial"/>
          <w:bCs/>
          <w:color w:val="000000" w:themeColor="text1"/>
          <w:sz w:val="22"/>
        </w:rPr>
        <w:t xml:space="preserve">también conocida como decaimiento del acto administrativo, </w:t>
      </w:r>
      <w:r w:rsidRPr="00601A7E">
        <w:rPr>
          <w:rFonts w:ascii="Arial" w:eastAsia="Calibri" w:hAnsi="Arial" w:cs="Arial"/>
          <w:bCs/>
          <w:color w:val="000000" w:themeColor="text1"/>
          <w:sz w:val="22"/>
        </w:rPr>
        <w:t xml:space="preserve">el Consejo de Estado, en sentencia del 29 de abril de 2012 señaló: </w:t>
      </w:r>
    </w:p>
    <w:p w14:paraId="0E7EC477" w14:textId="77777777" w:rsidR="00A0699A" w:rsidRPr="00601A7E" w:rsidRDefault="00A0699A" w:rsidP="00A0699A">
      <w:pPr>
        <w:spacing w:line="276" w:lineRule="auto"/>
        <w:ind w:firstLine="709"/>
        <w:jc w:val="both"/>
        <w:rPr>
          <w:rFonts w:ascii="Arial" w:eastAsia="Calibri" w:hAnsi="Arial" w:cs="Arial"/>
          <w:bCs/>
          <w:color w:val="000000" w:themeColor="text1"/>
          <w:sz w:val="22"/>
        </w:rPr>
      </w:pPr>
    </w:p>
    <w:p w14:paraId="3043CE64" w14:textId="6B348102" w:rsidR="00A0699A" w:rsidRDefault="00A0699A" w:rsidP="00A0699A">
      <w:pPr>
        <w:spacing w:after="120"/>
        <w:ind w:left="709" w:right="709"/>
        <w:jc w:val="both"/>
        <w:rPr>
          <w:rFonts w:ascii="Arial" w:eastAsia="Calibri" w:hAnsi="Arial" w:cs="Arial"/>
          <w:bCs/>
          <w:color w:val="000000" w:themeColor="text1"/>
          <w:sz w:val="21"/>
          <w:szCs w:val="21"/>
        </w:rPr>
      </w:pPr>
      <w:r w:rsidRPr="00601A7E">
        <w:rPr>
          <w:rFonts w:ascii="Arial" w:eastAsia="Calibri" w:hAnsi="Arial" w:cs="Arial"/>
          <w:bCs/>
          <w:color w:val="000000" w:themeColor="text1"/>
          <w:sz w:val="21"/>
          <w:szCs w:val="21"/>
        </w:rPr>
        <w:t>Este evento ha sido conocido en la doctrina como decaimiento, y se define como un fenómeno de derogación implícita aplicable a los actos administrativos dictados en ejecución de una ley y cuya validez se sustenta en la que se predique de la norma que le da sostén. De modo que cuando una ley es declarada inconstitucional o es derogada, los actos administrativos expedidos para desarrollarla, implementarla o con fundamento en esta (</w:t>
      </w:r>
      <w:proofErr w:type="spellStart"/>
      <w:r w:rsidRPr="00601A7E">
        <w:rPr>
          <w:rFonts w:ascii="Arial" w:eastAsia="Calibri" w:hAnsi="Arial" w:cs="Arial"/>
          <w:bCs/>
          <w:color w:val="000000" w:themeColor="text1"/>
          <w:sz w:val="21"/>
          <w:szCs w:val="21"/>
        </w:rPr>
        <w:t>secundum</w:t>
      </w:r>
      <w:proofErr w:type="spellEnd"/>
      <w:r w:rsidRPr="00601A7E">
        <w:rPr>
          <w:rFonts w:ascii="Arial" w:eastAsia="Calibri" w:hAnsi="Arial" w:cs="Arial"/>
          <w:bCs/>
          <w:color w:val="000000" w:themeColor="text1"/>
          <w:sz w:val="21"/>
          <w:szCs w:val="21"/>
        </w:rPr>
        <w:t xml:space="preserve"> </w:t>
      </w:r>
      <w:proofErr w:type="spellStart"/>
      <w:r w:rsidRPr="00601A7E">
        <w:rPr>
          <w:rFonts w:ascii="Arial" w:eastAsia="Calibri" w:hAnsi="Arial" w:cs="Arial"/>
          <w:bCs/>
          <w:color w:val="000000" w:themeColor="text1"/>
          <w:sz w:val="21"/>
          <w:szCs w:val="21"/>
        </w:rPr>
        <w:t>legem</w:t>
      </w:r>
      <w:proofErr w:type="spellEnd"/>
      <w:r w:rsidRPr="00601A7E">
        <w:rPr>
          <w:rFonts w:ascii="Arial" w:eastAsia="Calibri" w:hAnsi="Arial" w:cs="Arial"/>
          <w:bCs/>
          <w:color w:val="000000" w:themeColor="text1"/>
          <w:sz w:val="21"/>
          <w:szCs w:val="21"/>
        </w:rPr>
        <w:t xml:space="preserve">), dejan de tener fuerza obligatoria y pierden vigencia de facto. Sobre el fenómeno del decaimiento el Consejo de Estado ha afirmado que en el derecho colombiano no existe una acción autónoma que lo declare o que exprese por esa vía la pérdida de su fuerza ejecutoria, pues, el decaimiento de un acto administrativo es un fenómeno que genera la pérdida de fuerza ejecutoria, </w:t>
      </w:r>
      <w:proofErr w:type="gramStart"/>
      <w:r w:rsidRPr="00601A7E">
        <w:rPr>
          <w:rFonts w:ascii="Arial" w:eastAsia="Calibri" w:hAnsi="Arial" w:cs="Arial"/>
          <w:bCs/>
          <w:color w:val="000000" w:themeColor="text1"/>
          <w:sz w:val="21"/>
          <w:szCs w:val="21"/>
        </w:rPr>
        <w:t>y</w:t>
      </w:r>
      <w:proofErr w:type="gramEnd"/>
      <w:r w:rsidRPr="00601A7E">
        <w:rPr>
          <w:rFonts w:ascii="Arial" w:eastAsia="Calibri" w:hAnsi="Arial" w:cs="Arial"/>
          <w:bCs/>
          <w:color w:val="000000" w:themeColor="text1"/>
          <w:sz w:val="21"/>
          <w:szCs w:val="21"/>
        </w:rPr>
        <w:t xml:space="preserve"> por lo tanto, su declaración conforma una excepción, alegable cuando la administración pretende hacerlo efectivo en ejercicio del privilegio de la ejecución de oficio</w:t>
      </w:r>
      <w:r w:rsidRPr="00601A7E">
        <w:rPr>
          <w:rStyle w:val="Refdenotaalpie"/>
          <w:rFonts w:ascii="Arial" w:eastAsia="Calibri" w:hAnsi="Arial" w:cs="Arial"/>
          <w:bCs/>
          <w:color w:val="000000" w:themeColor="text1"/>
          <w:sz w:val="21"/>
          <w:szCs w:val="21"/>
        </w:rPr>
        <w:footnoteReference w:id="8"/>
      </w:r>
      <w:r w:rsidRPr="00601A7E">
        <w:rPr>
          <w:rFonts w:ascii="Arial" w:eastAsia="Calibri" w:hAnsi="Arial" w:cs="Arial"/>
          <w:bCs/>
          <w:color w:val="000000" w:themeColor="text1"/>
          <w:sz w:val="21"/>
          <w:szCs w:val="21"/>
        </w:rPr>
        <w:t>.</w:t>
      </w:r>
    </w:p>
    <w:p w14:paraId="34519EE8" w14:textId="77777777" w:rsidR="00A0699A" w:rsidRPr="00601A7E" w:rsidRDefault="00A0699A" w:rsidP="00A0699A">
      <w:pPr>
        <w:ind w:left="709" w:right="709"/>
        <w:jc w:val="both"/>
        <w:rPr>
          <w:rFonts w:ascii="Arial" w:eastAsia="Calibri" w:hAnsi="Arial" w:cs="Arial"/>
          <w:bCs/>
          <w:color w:val="000000" w:themeColor="text1"/>
          <w:sz w:val="21"/>
          <w:szCs w:val="21"/>
        </w:rPr>
      </w:pPr>
    </w:p>
    <w:p w14:paraId="3A49F62F" w14:textId="133F249D" w:rsidR="00A0699A" w:rsidRDefault="00A0699A" w:rsidP="00A0699A">
      <w:pPr>
        <w:spacing w:after="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Así las cosas</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de cara a este asunto en particular, </w:t>
      </w:r>
      <w:r w:rsidRPr="00601A7E">
        <w:rPr>
          <w:rFonts w:ascii="Arial" w:eastAsia="Calibri" w:hAnsi="Arial" w:cs="Arial"/>
          <w:bCs/>
          <w:color w:val="000000" w:themeColor="text1"/>
          <w:sz w:val="22"/>
        </w:rPr>
        <w:t>nos encontramos frente a</w:t>
      </w:r>
      <w:r>
        <w:rPr>
          <w:rFonts w:ascii="Arial" w:eastAsia="Calibri" w:hAnsi="Arial" w:cs="Arial"/>
          <w:bCs/>
          <w:color w:val="000000" w:themeColor="text1"/>
          <w:sz w:val="22"/>
        </w:rPr>
        <w:t>l</w:t>
      </w:r>
      <w:r w:rsidRPr="00601A7E">
        <w:rPr>
          <w:rFonts w:ascii="Arial" w:eastAsia="Calibri" w:hAnsi="Arial" w:cs="Arial"/>
          <w:bCs/>
          <w:color w:val="000000" w:themeColor="text1"/>
          <w:sz w:val="22"/>
        </w:rPr>
        <w:t xml:space="preserve"> fenómeno </w:t>
      </w:r>
      <w:r>
        <w:rPr>
          <w:rFonts w:ascii="Arial" w:eastAsia="Calibri" w:hAnsi="Arial" w:cs="Arial"/>
          <w:bCs/>
          <w:color w:val="000000" w:themeColor="text1"/>
          <w:sz w:val="22"/>
        </w:rPr>
        <w:t xml:space="preserve">del </w:t>
      </w:r>
      <w:r w:rsidRPr="00601A7E">
        <w:rPr>
          <w:rFonts w:ascii="Arial" w:eastAsia="Calibri" w:hAnsi="Arial" w:cs="Arial"/>
          <w:bCs/>
          <w:color w:val="000000" w:themeColor="text1"/>
          <w:sz w:val="22"/>
        </w:rPr>
        <w:t xml:space="preserve">decaimiento del acto administrativo, pues los elementos de derecho que </w:t>
      </w:r>
      <w:r>
        <w:rPr>
          <w:rFonts w:ascii="Arial" w:eastAsia="Calibri" w:hAnsi="Arial" w:cs="Arial"/>
          <w:bCs/>
          <w:color w:val="000000" w:themeColor="text1"/>
          <w:sz w:val="22"/>
        </w:rPr>
        <w:t>fundamentaban</w:t>
      </w:r>
      <w:r w:rsidRPr="00601A7E">
        <w:rPr>
          <w:rFonts w:ascii="Arial" w:eastAsia="Calibri" w:hAnsi="Arial" w:cs="Arial"/>
          <w:bCs/>
          <w:color w:val="000000" w:themeColor="text1"/>
          <w:sz w:val="22"/>
        </w:rPr>
        <w:t xml:space="preserve"> la causal de rechazo G, del Documento Tipo, fueron </w:t>
      </w:r>
      <w:r>
        <w:rPr>
          <w:rFonts w:ascii="Arial" w:eastAsia="Calibri" w:hAnsi="Arial" w:cs="Arial"/>
          <w:bCs/>
          <w:color w:val="000000" w:themeColor="text1"/>
          <w:sz w:val="22"/>
        </w:rPr>
        <w:t>alterados, para el año 2020,</w:t>
      </w:r>
      <w:r w:rsidRPr="00601A7E">
        <w:rPr>
          <w:rFonts w:ascii="Arial" w:eastAsia="Calibri" w:hAnsi="Arial" w:cs="Arial"/>
          <w:bCs/>
          <w:color w:val="000000" w:themeColor="text1"/>
          <w:sz w:val="22"/>
        </w:rPr>
        <w:t xml:space="preserve"> por el artículo 2 del Decreto 434 de 2020, el cual amplió la renovación del Registro Único de Proponentes hasta el quinto día hábil del mes de julio de 2020</w:t>
      </w:r>
      <w:r>
        <w:rPr>
          <w:rFonts w:ascii="Arial" w:eastAsia="Calibri" w:hAnsi="Arial" w:cs="Arial"/>
          <w:bCs/>
          <w:color w:val="000000" w:themeColor="text1"/>
          <w:sz w:val="22"/>
        </w:rPr>
        <w:t xml:space="preserve">, así las cosas este decreto </w:t>
      </w:r>
      <w:r w:rsidR="00472820">
        <w:rPr>
          <w:rFonts w:ascii="Arial" w:eastAsia="Calibri" w:hAnsi="Arial" w:cs="Arial"/>
          <w:bCs/>
          <w:color w:val="000000" w:themeColor="text1"/>
          <w:sz w:val="22"/>
        </w:rPr>
        <w:t xml:space="preserve">legislativo </w:t>
      </w:r>
      <w:r w:rsidRPr="00601A7E">
        <w:rPr>
          <w:rFonts w:ascii="Arial" w:eastAsia="Calibri" w:hAnsi="Arial" w:cs="Arial"/>
          <w:bCs/>
          <w:color w:val="000000" w:themeColor="text1"/>
          <w:sz w:val="22"/>
        </w:rPr>
        <w:t xml:space="preserve">conlleva a que desaparezcan </w:t>
      </w:r>
      <w:r w:rsidR="00472820">
        <w:rPr>
          <w:rFonts w:ascii="Arial" w:eastAsia="Calibri" w:hAnsi="Arial" w:cs="Arial"/>
          <w:bCs/>
          <w:color w:val="000000" w:themeColor="text1"/>
          <w:sz w:val="22"/>
        </w:rPr>
        <w:t>los fundamentos de derecho que sustentaban la regulación</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de los documentos tipo en este </w:t>
      </w:r>
      <w:r w:rsidR="00472820">
        <w:rPr>
          <w:rFonts w:ascii="Arial" w:eastAsia="Calibri" w:hAnsi="Arial" w:cs="Arial"/>
          <w:bCs/>
          <w:color w:val="000000" w:themeColor="text1"/>
          <w:sz w:val="22"/>
        </w:rPr>
        <w:t>aspecto</w:t>
      </w:r>
      <w:r>
        <w:rPr>
          <w:rFonts w:ascii="Arial" w:eastAsia="Calibri" w:hAnsi="Arial" w:cs="Arial"/>
          <w:bCs/>
          <w:color w:val="000000" w:themeColor="text1"/>
          <w:sz w:val="22"/>
        </w:rPr>
        <w:t xml:space="preserve"> en particular</w:t>
      </w:r>
      <w:r w:rsidR="00472820">
        <w:rPr>
          <w:rFonts w:ascii="Arial" w:eastAsia="Calibri" w:hAnsi="Arial" w:cs="Arial"/>
          <w:bCs/>
          <w:color w:val="000000" w:themeColor="text1"/>
          <w:sz w:val="22"/>
        </w:rPr>
        <w:t>, debiéndose aplicar la normativa vigente.</w:t>
      </w:r>
      <w:r>
        <w:rPr>
          <w:rFonts w:ascii="Arial" w:eastAsia="Calibri" w:hAnsi="Arial" w:cs="Arial"/>
          <w:bCs/>
          <w:color w:val="000000" w:themeColor="text1"/>
          <w:sz w:val="22"/>
        </w:rPr>
        <w:t xml:space="preserve"> </w:t>
      </w:r>
    </w:p>
    <w:p w14:paraId="2A285AB1" w14:textId="19E5ADCB" w:rsidR="00BA644B" w:rsidRPr="00601A7E" w:rsidRDefault="00BA644B" w:rsidP="00A0699A">
      <w:pPr>
        <w:spacing w:after="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En efecto, es necesario tener en cuenta que la pérdida de fuerza ejecutoria de los actos administrativos y, entre ellos, por el decaimiento del acto, también es predicable de los Documentos Tipo, al tratarse estos de un tipo de actos administrativos</w:t>
      </w:r>
      <w:r w:rsidR="00102DD4">
        <w:rPr>
          <w:rFonts w:ascii="Arial" w:eastAsia="Calibri" w:hAnsi="Arial" w:cs="Arial"/>
          <w:bCs/>
          <w:color w:val="000000" w:themeColor="text1"/>
          <w:sz w:val="22"/>
        </w:rPr>
        <w:t xml:space="preserve">. En este sentido, </w:t>
      </w:r>
      <w:r w:rsidR="00102DD4">
        <w:rPr>
          <w:rFonts w:ascii="Arial" w:eastAsia="Calibri" w:hAnsi="Arial" w:cs="Arial"/>
          <w:bCs/>
          <w:color w:val="000000" w:themeColor="text1"/>
          <w:sz w:val="22"/>
        </w:rPr>
        <w:lastRenderedPageBreak/>
        <w:t xml:space="preserve">la desaparición de los fundamentos de hecho o de derecho en que se sustentan los documentos tipo o parte de su contenido, incide en su eventual pérdida de fuerza ejecutoria. </w:t>
      </w:r>
      <w:r w:rsidR="006D51B8">
        <w:rPr>
          <w:rFonts w:ascii="Arial" w:eastAsia="Calibri" w:hAnsi="Arial" w:cs="Arial"/>
          <w:bCs/>
          <w:color w:val="000000" w:themeColor="text1"/>
          <w:sz w:val="22"/>
        </w:rPr>
        <w:t>Así</w:t>
      </w:r>
      <w:r w:rsidR="00102DD4">
        <w:rPr>
          <w:rFonts w:ascii="Arial" w:eastAsia="Calibri" w:hAnsi="Arial" w:cs="Arial"/>
          <w:bCs/>
          <w:color w:val="000000" w:themeColor="text1"/>
          <w:sz w:val="22"/>
        </w:rPr>
        <w:t>, la modificación de la normativa vigente tiene la potencialidad de generar el efecto indicado, como sucede en el caso bajo estudio, pues, como lo señala la doctrina</w:t>
      </w:r>
      <w:r w:rsidR="006D51B8">
        <w:rPr>
          <w:rFonts w:ascii="Arial" w:eastAsia="Calibri" w:hAnsi="Arial" w:cs="Arial"/>
          <w:bCs/>
          <w:color w:val="000000" w:themeColor="text1"/>
          <w:sz w:val="22"/>
        </w:rPr>
        <w:t>,</w:t>
      </w:r>
      <w:r w:rsidR="00102DD4">
        <w:rPr>
          <w:rFonts w:ascii="Arial" w:eastAsia="Calibri" w:hAnsi="Arial" w:cs="Arial"/>
          <w:bCs/>
          <w:color w:val="000000" w:themeColor="text1"/>
          <w:sz w:val="22"/>
        </w:rPr>
        <w:t xml:space="preserve"> este fenómeno se presenta</w:t>
      </w:r>
      <w:r w:rsidR="006D51B8">
        <w:rPr>
          <w:rFonts w:ascii="Arial" w:eastAsia="Calibri" w:hAnsi="Arial" w:cs="Arial"/>
          <w:bCs/>
          <w:color w:val="000000" w:themeColor="text1"/>
          <w:sz w:val="22"/>
        </w:rPr>
        <w:t>, entre otros supuestos,</w:t>
      </w:r>
      <w:r w:rsidR="00102DD4">
        <w:rPr>
          <w:rFonts w:ascii="Arial" w:eastAsia="Calibri" w:hAnsi="Arial" w:cs="Arial"/>
          <w:bCs/>
          <w:color w:val="000000" w:themeColor="text1"/>
          <w:sz w:val="22"/>
        </w:rPr>
        <w:t xml:space="preserve"> frente a las modificaciones </w:t>
      </w:r>
      <w:r w:rsidR="006D51B8">
        <w:rPr>
          <w:rFonts w:ascii="Arial" w:eastAsia="Calibri" w:hAnsi="Arial" w:cs="Arial"/>
          <w:bCs/>
          <w:color w:val="000000" w:themeColor="text1"/>
          <w:sz w:val="22"/>
        </w:rPr>
        <w:t>en el ordenamiento</w:t>
      </w:r>
      <w:r w:rsidR="00102DD4">
        <w:rPr>
          <w:rFonts w:ascii="Arial" w:eastAsia="Calibri" w:hAnsi="Arial" w:cs="Arial"/>
          <w:bCs/>
          <w:color w:val="000000" w:themeColor="text1"/>
          <w:sz w:val="22"/>
        </w:rPr>
        <w:t xml:space="preserve"> </w:t>
      </w:r>
      <w:r w:rsidR="00310125">
        <w:rPr>
          <w:rFonts w:ascii="Arial" w:eastAsia="Calibri" w:hAnsi="Arial" w:cs="Arial"/>
          <w:bCs/>
          <w:color w:val="000000" w:themeColor="text1"/>
          <w:sz w:val="22"/>
        </w:rPr>
        <w:t xml:space="preserve">jurídico </w:t>
      </w:r>
      <w:r w:rsidR="00102DD4">
        <w:rPr>
          <w:rFonts w:ascii="Arial" w:eastAsia="Calibri" w:hAnsi="Arial" w:cs="Arial"/>
          <w:bCs/>
          <w:color w:val="000000" w:themeColor="text1"/>
          <w:sz w:val="22"/>
        </w:rPr>
        <w:t>que afectan los fundamentos del acto administrativo, lo que a su vez incide</w:t>
      </w:r>
      <w:r w:rsidR="006D51B8">
        <w:rPr>
          <w:rFonts w:ascii="Arial" w:eastAsia="Calibri" w:hAnsi="Arial" w:cs="Arial"/>
          <w:bCs/>
          <w:color w:val="000000" w:themeColor="text1"/>
          <w:sz w:val="22"/>
        </w:rPr>
        <w:t xml:space="preserve"> y afecta </w:t>
      </w:r>
      <w:r w:rsidR="00102DD4">
        <w:rPr>
          <w:rFonts w:ascii="Arial" w:eastAsia="Calibri" w:hAnsi="Arial" w:cs="Arial"/>
          <w:bCs/>
          <w:color w:val="000000" w:themeColor="text1"/>
          <w:sz w:val="22"/>
        </w:rPr>
        <w:t xml:space="preserve">la motivación </w:t>
      </w:r>
      <w:r w:rsidR="006D51B8">
        <w:rPr>
          <w:rFonts w:ascii="Arial" w:eastAsia="Calibri" w:hAnsi="Arial" w:cs="Arial"/>
          <w:bCs/>
          <w:color w:val="000000" w:themeColor="text1"/>
          <w:sz w:val="22"/>
        </w:rPr>
        <w:t xml:space="preserve">del acto, </w:t>
      </w:r>
      <w:r w:rsidR="00C12C88">
        <w:rPr>
          <w:rFonts w:ascii="Arial" w:eastAsia="Calibri" w:hAnsi="Arial" w:cs="Arial"/>
          <w:bCs/>
          <w:color w:val="000000" w:themeColor="text1"/>
          <w:sz w:val="22"/>
        </w:rPr>
        <w:t>por lo que en virtud de dichas alteraciones</w:t>
      </w:r>
      <w:r w:rsidR="006D51B8">
        <w:rPr>
          <w:rFonts w:ascii="Arial" w:eastAsia="Calibri" w:hAnsi="Arial" w:cs="Arial"/>
          <w:bCs/>
          <w:color w:val="000000" w:themeColor="text1"/>
          <w:sz w:val="22"/>
        </w:rPr>
        <w:t xml:space="preserve"> este deja de producir efectos parcial o totalmente</w:t>
      </w:r>
      <w:r w:rsidR="006D51B8">
        <w:rPr>
          <w:rStyle w:val="Refdenotaalpie"/>
          <w:rFonts w:ascii="Arial" w:eastAsia="Calibri" w:hAnsi="Arial" w:cs="Arial"/>
          <w:bCs/>
          <w:color w:val="000000" w:themeColor="text1"/>
          <w:sz w:val="22"/>
        </w:rPr>
        <w:footnoteReference w:id="9"/>
      </w:r>
      <w:r w:rsidR="006D51B8">
        <w:rPr>
          <w:rFonts w:ascii="Arial" w:eastAsia="Calibri" w:hAnsi="Arial" w:cs="Arial"/>
          <w:bCs/>
          <w:color w:val="000000" w:themeColor="text1"/>
          <w:sz w:val="22"/>
        </w:rPr>
        <w:t>.</w:t>
      </w:r>
    </w:p>
    <w:p w14:paraId="605E8E04" w14:textId="0F855283" w:rsidR="00C037AC" w:rsidRDefault="00C037AC" w:rsidP="00472820">
      <w:pPr>
        <w:spacing w:after="120" w:line="276" w:lineRule="auto"/>
        <w:ind w:firstLine="708"/>
        <w:jc w:val="both"/>
        <w:rPr>
          <w:rFonts w:ascii="Arial" w:eastAsia="Calibri" w:hAnsi="Arial" w:cs="Arial"/>
          <w:bCs/>
          <w:color w:val="000000" w:themeColor="text1"/>
          <w:sz w:val="22"/>
        </w:rPr>
      </w:pPr>
      <w:r w:rsidRPr="00746C20">
        <w:rPr>
          <w:rFonts w:ascii="Arial" w:eastAsia="Calibri" w:hAnsi="Arial" w:cs="Arial"/>
          <w:bCs/>
          <w:color w:val="000000" w:themeColor="text1"/>
          <w:sz w:val="22"/>
        </w:rPr>
        <w:t xml:space="preserve">Al respecto, es preciso </w:t>
      </w:r>
      <w:r>
        <w:rPr>
          <w:rFonts w:ascii="Arial" w:eastAsia="Calibri" w:hAnsi="Arial" w:cs="Arial"/>
          <w:bCs/>
          <w:color w:val="000000" w:themeColor="text1"/>
          <w:sz w:val="22"/>
        </w:rPr>
        <w:t>señalar</w:t>
      </w:r>
      <w:r w:rsidRPr="00746C20">
        <w:rPr>
          <w:rFonts w:ascii="Arial" w:eastAsia="Calibri" w:hAnsi="Arial" w:cs="Arial"/>
          <w:bCs/>
          <w:color w:val="000000" w:themeColor="text1"/>
          <w:sz w:val="22"/>
        </w:rPr>
        <w:t xml:space="preserve"> que los Documentos Tipo</w:t>
      </w:r>
      <w:r w:rsidR="00C12C88">
        <w:rPr>
          <w:rFonts w:ascii="Arial" w:eastAsia="Calibri" w:hAnsi="Arial" w:cs="Arial"/>
          <w:bCs/>
          <w:color w:val="000000" w:themeColor="text1"/>
          <w:sz w:val="22"/>
        </w:rPr>
        <w:t>, al no ser</w:t>
      </w:r>
      <w:r w:rsidRPr="00746C20">
        <w:rPr>
          <w:rFonts w:ascii="Arial" w:eastAsia="Calibri" w:hAnsi="Arial" w:cs="Arial"/>
          <w:bCs/>
          <w:color w:val="000000" w:themeColor="text1"/>
          <w:sz w:val="22"/>
        </w:rPr>
        <w:t xml:space="preserve"> ajenos a estas circunstancias</w:t>
      </w:r>
      <w:r>
        <w:rPr>
          <w:rFonts w:ascii="Arial" w:eastAsia="Calibri" w:hAnsi="Arial" w:cs="Arial"/>
          <w:bCs/>
          <w:color w:val="000000" w:themeColor="text1"/>
          <w:sz w:val="22"/>
        </w:rPr>
        <w:t>,</w:t>
      </w:r>
      <w:r w:rsidRPr="00746C20">
        <w:rPr>
          <w:rFonts w:ascii="Arial" w:eastAsia="Calibri" w:hAnsi="Arial" w:cs="Arial"/>
          <w:bCs/>
          <w:color w:val="000000" w:themeColor="text1"/>
          <w:sz w:val="22"/>
        </w:rPr>
        <w:t xml:space="preserve"> </w:t>
      </w:r>
      <w:r w:rsidR="00C12C88">
        <w:rPr>
          <w:rFonts w:ascii="Arial" w:eastAsia="Calibri" w:hAnsi="Arial" w:cs="Arial"/>
          <w:bCs/>
          <w:color w:val="000000" w:themeColor="text1"/>
          <w:sz w:val="22"/>
        </w:rPr>
        <w:t xml:space="preserve">establecieron la obligación para </w:t>
      </w:r>
      <w:r w:rsidRPr="00746C20">
        <w:rPr>
          <w:rFonts w:ascii="Arial" w:eastAsia="Calibri" w:hAnsi="Arial" w:cs="Arial"/>
          <w:bCs/>
          <w:color w:val="000000" w:themeColor="text1"/>
          <w:sz w:val="22"/>
        </w:rPr>
        <w:t>la</w:t>
      </w:r>
      <w:r>
        <w:rPr>
          <w:rFonts w:ascii="Arial" w:eastAsia="Calibri" w:hAnsi="Arial" w:cs="Arial"/>
          <w:bCs/>
          <w:color w:val="000000" w:themeColor="text1"/>
          <w:sz w:val="22"/>
        </w:rPr>
        <w:t>s</w:t>
      </w:r>
      <w:r w:rsidRPr="00746C20">
        <w:rPr>
          <w:rFonts w:ascii="Arial" w:eastAsia="Calibri" w:hAnsi="Arial" w:cs="Arial"/>
          <w:bCs/>
          <w:color w:val="000000" w:themeColor="text1"/>
          <w:sz w:val="22"/>
        </w:rPr>
        <w:t xml:space="preserve"> </w:t>
      </w:r>
      <w:r>
        <w:rPr>
          <w:rFonts w:ascii="Arial" w:eastAsia="Calibri" w:hAnsi="Arial" w:cs="Arial"/>
          <w:bCs/>
          <w:color w:val="000000" w:themeColor="text1"/>
          <w:sz w:val="22"/>
        </w:rPr>
        <w:t>e</w:t>
      </w:r>
      <w:r w:rsidRPr="00746C20">
        <w:rPr>
          <w:rFonts w:ascii="Arial" w:eastAsia="Calibri" w:hAnsi="Arial" w:cs="Arial"/>
          <w:bCs/>
          <w:color w:val="000000" w:themeColor="text1"/>
          <w:sz w:val="22"/>
        </w:rPr>
        <w:t>ntidad</w:t>
      </w:r>
      <w:r>
        <w:rPr>
          <w:rFonts w:ascii="Arial" w:eastAsia="Calibri" w:hAnsi="Arial" w:cs="Arial"/>
          <w:bCs/>
          <w:color w:val="000000" w:themeColor="text1"/>
          <w:sz w:val="22"/>
        </w:rPr>
        <w:t>es</w:t>
      </w:r>
      <w:r w:rsidRPr="00746C20">
        <w:rPr>
          <w:rFonts w:ascii="Arial" w:eastAsia="Calibri" w:hAnsi="Arial" w:cs="Arial"/>
          <w:bCs/>
          <w:color w:val="000000" w:themeColor="text1"/>
          <w:sz w:val="22"/>
        </w:rPr>
        <w:t xml:space="preserve"> </w:t>
      </w:r>
      <w:r>
        <w:rPr>
          <w:rFonts w:ascii="Arial" w:eastAsia="Calibri" w:hAnsi="Arial" w:cs="Arial"/>
          <w:bCs/>
          <w:color w:val="000000" w:themeColor="text1"/>
          <w:sz w:val="22"/>
        </w:rPr>
        <w:t>e</w:t>
      </w:r>
      <w:r w:rsidRPr="00746C20">
        <w:rPr>
          <w:rFonts w:ascii="Arial" w:eastAsia="Calibri" w:hAnsi="Arial" w:cs="Arial"/>
          <w:bCs/>
          <w:color w:val="000000" w:themeColor="text1"/>
          <w:sz w:val="22"/>
        </w:rPr>
        <w:t>statal</w:t>
      </w:r>
      <w:r>
        <w:rPr>
          <w:rFonts w:ascii="Arial" w:eastAsia="Calibri" w:hAnsi="Arial" w:cs="Arial"/>
          <w:bCs/>
          <w:color w:val="000000" w:themeColor="text1"/>
          <w:sz w:val="22"/>
        </w:rPr>
        <w:t>es</w:t>
      </w:r>
      <w:r w:rsidRPr="00746C20">
        <w:rPr>
          <w:rFonts w:ascii="Arial" w:eastAsia="Calibri" w:hAnsi="Arial" w:cs="Arial"/>
          <w:bCs/>
          <w:color w:val="000000" w:themeColor="text1"/>
          <w:sz w:val="22"/>
        </w:rPr>
        <w:t xml:space="preserve"> </w:t>
      </w:r>
      <w:r w:rsidR="00C12C88">
        <w:rPr>
          <w:rFonts w:ascii="Arial" w:eastAsia="Calibri" w:hAnsi="Arial" w:cs="Arial"/>
          <w:bCs/>
          <w:color w:val="000000" w:themeColor="text1"/>
          <w:sz w:val="22"/>
        </w:rPr>
        <w:t>de</w:t>
      </w:r>
      <w:r w:rsidRPr="00746C20">
        <w:rPr>
          <w:rFonts w:ascii="Arial" w:eastAsia="Calibri" w:hAnsi="Arial" w:cs="Arial"/>
          <w:bCs/>
          <w:color w:val="000000" w:themeColor="text1"/>
          <w:sz w:val="22"/>
        </w:rPr>
        <w:t xml:space="preserve"> aplicar la normativa y la jurisprudencia </w:t>
      </w:r>
      <w:r w:rsidR="00C12C88">
        <w:rPr>
          <w:rFonts w:ascii="Arial" w:eastAsia="Calibri" w:hAnsi="Arial" w:cs="Arial"/>
          <w:bCs/>
          <w:color w:val="000000" w:themeColor="text1"/>
          <w:sz w:val="22"/>
        </w:rPr>
        <w:t xml:space="preserve">vigente </w:t>
      </w:r>
      <w:r w:rsidRPr="00746C20">
        <w:rPr>
          <w:rFonts w:ascii="Arial" w:eastAsia="Calibri" w:hAnsi="Arial" w:cs="Arial"/>
          <w:bCs/>
          <w:color w:val="000000" w:themeColor="text1"/>
          <w:sz w:val="22"/>
        </w:rPr>
        <w:t xml:space="preserve">aplicable al </w:t>
      </w:r>
      <w:r>
        <w:rPr>
          <w:rFonts w:ascii="Arial" w:eastAsia="Calibri" w:hAnsi="Arial" w:cs="Arial"/>
          <w:bCs/>
          <w:color w:val="000000" w:themeColor="text1"/>
          <w:sz w:val="22"/>
        </w:rPr>
        <w:t>p</w:t>
      </w:r>
      <w:r w:rsidRPr="00746C20">
        <w:rPr>
          <w:rFonts w:ascii="Arial" w:eastAsia="Calibri" w:hAnsi="Arial" w:cs="Arial"/>
          <w:bCs/>
          <w:color w:val="000000" w:themeColor="text1"/>
          <w:sz w:val="22"/>
        </w:rPr>
        <w:t xml:space="preserve">roceso de </w:t>
      </w:r>
      <w:r>
        <w:rPr>
          <w:rFonts w:ascii="Arial" w:eastAsia="Calibri" w:hAnsi="Arial" w:cs="Arial"/>
          <w:bCs/>
          <w:color w:val="000000" w:themeColor="text1"/>
          <w:sz w:val="22"/>
        </w:rPr>
        <w:t>c</w:t>
      </w:r>
      <w:r w:rsidRPr="00746C20">
        <w:rPr>
          <w:rFonts w:ascii="Arial" w:eastAsia="Calibri" w:hAnsi="Arial" w:cs="Arial"/>
          <w:bCs/>
          <w:color w:val="000000" w:themeColor="text1"/>
          <w:sz w:val="22"/>
        </w:rPr>
        <w:t>ontratación. En ese</w:t>
      </w:r>
      <w:r>
        <w:rPr>
          <w:rFonts w:ascii="Arial" w:eastAsia="Calibri" w:hAnsi="Arial" w:cs="Arial"/>
          <w:bCs/>
          <w:color w:val="000000" w:themeColor="text1"/>
          <w:sz w:val="22"/>
        </w:rPr>
        <w:t xml:space="preserve"> entendido, </w:t>
      </w:r>
      <w:r w:rsidRPr="00601A7E">
        <w:rPr>
          <w:rFonts w:ascii="Arial" w:eastAsia="Calibri" w:hAnsi="Arial" w:cs="Arial"/>
          <w:bCs/>
          <w:color w:val="000000" w:themeColor="text1"/>
          <w:sz w:val="22"/>
        </w:rPr>
        <w:t>el Decreto 434 de 2020, expedido con ocasión a la declaración del Estado de Emergencia Económica, Social y Ecológica a casusa del coronavirus COVID-19</w:t>
      </w:r>
      <w:r>
        <w:rPr>
          <w:rFonts w:ascii="Arial" w:eastAsia="Calibri" w:hAnsi="Arial" w:cs="Arial"/>
          <w:bCs/>
          <w:color w:val="000000" w:themeColor="text1"/>
          <w:sz w:val="22"/>
        </w:rPr>
        <w:t>, para el año 2020,</w:t>
      </w:r>
      <w:r w:rsidRPr="00601A7E">
        <w:rPr>
          <w:rFonts w:ascii="Arial" w:eastAsia="Calibri" w:hAnsi="Arial" w:cs="Arial"/>
          <w:bCs/>
          <w:color w:val="000000" w:themeColor="text1"/>
          <w:sz w:val="22"/>
        </w:rPr>
        <w:t xml:space="preserve"> </w:t>
      </w:r>
      <w:r w:rsidR="00472820">
        <w:rPr>
          <w:rFonts w:ascii="Arial" w:eastAsia="Calibri" w:hAnsi="Arial" w:cs="Arial"/>
          <w:bCs/>
          <w:color w:val="000000" w:themeColor="text1"/>
          <w:sz w:val="22"/>
        </w:rPr>
        <w:t>modificó</w:t>
      </w:r>
      <w:r>
        <w:rPr>
          <w:rFonts w:ascii="Arial" w:eastAsia="Calibri" w:hAnsi="Arial" w:cs="Arial"/>
          <w:bCs/>
          <w:color w:val="000000" w:themeColor="text1"/>
          <w:sz w:val="22"/>
        </w:rPr>
        <w:t xml:space="preserve"> del término para renovar el RUP</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lo cual exige a las entidades contratantes cumplir el Decreto con fuerza de Ley</w:t>
      </w:r>
      <w:r w:rsidR="00C12C88">
        <w:rPr>
          <w:rFonts w:ascii="Arial" w:eastAsia="Calibri" w:hAnsi="Arial" w:cs="Arial"/>
          <w:bCs/>
          <w:color w:val="000000" w:themeColor="text1"/>
          <w:sz w:val="22"/>
        </w:rPr>
        <w:t>, entre otros, en los procedimientos de selección que se adelanten con fundamento en los Documentos Tipo.</w:t>
      </w:r>
      <w:r w:rsidRPr="00601A7E">
        <w:rPr>
          <w:rFonts w:ascii="Arial" w:eastAsia="Calibri" w:hAnsi="Arial" w:cs="Arial"/>
          <w:bCs/>
          <w:color w:val="000000" w:themeColor="text1"/>
          <w:sz w:val="22"/>
        </w:rPr>
        <w:t xml:space="preserve"> </w:t>
      </w:r>
    </w:p>
    <w:p w14:paraId="5D7E819C" w14:textId="77777777" w:rsidR="00C037AC" w:rsidRPr="00265C4F" w:rsidRDefault="00C037AC" w:rsidP="00860E06">
      <w:pPr>
        <w:spacing w:line="276" w:lineRule="auto"/>
        <w:jc w:val="both"/>
        <w:rPr>
          <w:rFonts w:ascii="Arial" w:eastAsia="Calibri" w:hAnsi="Arial" w:cs="Arial"/>
          <w:sz w:val="22"/>
          <w:lang w:val="es-CO"/>
        </w:rPr>
      </w:pPr>
    </w:p>
    <w:p w14:paraId="22BF6878" w14:textId="338438CB" w:rsidR="00A1118B" w:rsidRPr="00265C4F" w:rsidRDefault="00A1118B" w:rsidP="00A1118B">
      <w:pPr>
        <w:pStyle w:val="Prrafodelista"/>
        <w:spacing w:line="276" w:lineRule="auto"/>
        <w:ind w:left="0"/>
        <w:jc w:val="both"/>
        <w:rPr>
          <w:rFonts w:ascii="Arial" w:hAnsi="Arial" w:cs="Arial"/>
          <w:b/>
          <w:sz w:val="22"/>
          <w:lang w:val="es-CO"/>
        </w:rPr>
      </w:pPr>
      <w:r w:rsidRPr="00265C4F">
        <w:rPr>
          <w:rFonts w:ascii="Arial" w:hAnsi="Arial" w:cs="Arial"/>
          <w:b/>
          <w:sz w:val="22"/>
          <w:lang w:val="es-CO"/>
        </w:rPr>
        <w:t>2.</w:t>
      </w:r>
      <w:r w:rsidR="00AC40CD" w:rsidRPr="00265C4F">
        <w:rPr>
          <w:rFonts w:ascii="Arial" w:hAnsi="Arial" w:cs="Arial"/>
          <w:b/>
          <w:sz w:val="22"/>
          <w:lang w:val="es-CO"/>
        </w:rPr>
        <w:t>4</w:t>
      </w:r>
      <w:r w:rsidRPr="00265C4F">
        <w:rPr>
          <w:rFonts w:ascii="Arial" w:hAnsi="Arial" w:cs="Arial"/>
          <w:b/>
          <w:sz w:val="22"/>
          <w:lang w:val="es-CO"/>
        </w:rPr>
        <w:t>. Renovación del Registro Único de Proponentes – RUP y sus efectos durante la verificación de la información</w:t>
      </w:r>
    </w:p>
    <w:p w14:paraId="6E9DB9DD" w14:textId="33F05403" w:rsidR="002F3B74" w:rsidRPr="00265C4F" w:rsidRDefault="002F3B74" w:rsidP="00A1118B">
      <w:pPr>
        <w:pStyle w:val="Prrafodelista"/>
        <w:spacing w:line="276" w:lineRule="auto"/>
        <w:ind w:left="0"/>
        <w:jc w:val="both"/>
        <w:rPr>
          <w:rFonts w:ascii="Arial" w:hAnsi="Arial" w:cs="Arial"/>
          <w:b/>
          <w:sz w:val="22"/>
          <w:lang w:val="es-CO"/>
        </w:rPr>
      </w:pPr>
    </w:p>
    <w:p w14:paraId="2417968B" w14:textId="168AA5C2" w:rsidR="00A1118B" w:rsidRPr="00265C4F" w:rsidRDefault="002F3B74" w:rsidP="00AC40CD">
      <w:pPr>
        <w:spacing w:after="120" w:line="276" w:lineRule="auto"/>
        <w:jc w:val="both"/>
        <w:rPr>
          <w:rFonts w:ascii="Arial" w:eastAsia="Calibri" w:hAnsi="Arial" w:cs="Arial"/>
          <w:sz w:val="22"/>
          <w:lang w:val="es-CO"/>
        </w:rPr>
      </w:pPr>
      <w:r w:rsidRPr="00265C4F">
        <w:rPr>
          <w:rFonts w:ascii="Arial" w:eastAsia="Calibri" w:hAnsi="Arial" w:cs="Arial"/>
          <w:sz w:val="22"/>
          <w:lang w:val="es-CO"/>
        </w:rPr>
        <w:t xml:space="preserve">Las problemáticas asociadas al RUP, relacionadas con la firmeza de la inscripción, renovación y actualización fueron tratadas por la Agencia en los siguientes conceptos: 4201713000001182 del 24 de marzo de 2017; 4201814000002165 del 23 de abril de 2017; 4201713000001647 del 27 de abril de 2017; 4201711000001879 del 11 de mayo de 2017; 4201714000002097 del 24 de mayo de 2017; 4201814000002927 del 11 de abril de 2018; 4201814000002917 del 11 de mayo de 2018; 4201813000003018 del 11 de mayo de 2018; ; 4201814000004174 del 18 de mayo de 2018; 4201814000004014 del 20 de junio de 2018; 4201813000004073 del 21 de junio de 2018; 4201912000003350 del 4 de julio de 2019; 4201912000007418 del 11 de diciembre de 2019; y </w:t>
      </w:r>
      <w:r w:rsidR="00CD001D" w:rsidRPr="00265C4F">
        <w:rPr>
          <w:rFonts w:ascii="Arial" w:eastAsia="Calibri" w:hAnsi="Arial" w:cs="Arial"/>
          <w:sz w:val="22"/>
          <w:lang w:val="es-CO"/>
        </w:rPr>
        <w:t xml:space="preserve">C – 005 </w:t>
      </w:r>
      <w:r w:rsidRPr="00265C4F">
        <w:rPr>
          <w:rFonts w:ascii="Arial" w:eastAsia="Calibri" w:hAnsi="Arial" w:cs="Arial"/>
          <w:sz w:val="22"/>
          <w:lang w:val="es-CO"/>
        </w:rPr>
        <w:t xml:space="preserve"> del 14 de febrero de 2020.</w:t>
      </w:r>
    </w:p>
    <w:p w14:paraId="37F708E5" w14:textId="2853B3B5" w:rsidR="00A1118B" w:rsidRPr="00265C4F" w:rsidRDefault="00A1118B" w:rsidP="00AC40CD">
      <w:pPr>
        <w:spacing w:after="120" w:line="276" w:lineRule="auto"/>
        <w:ind w:firstLine="709"/>
        <w:jc w:val="both"/>
        <w:rPr>
          <w:rFonts w:ascii="Arial" w:hAnsi="Arial" w:cs="Arial"/>
          <w:sz w:val="22"/>
          <w:lang w:val="es-CO"/>
        </w:rPr>
      </w:pPr>
      <w:r w:rsidRPr="00265C4F">
        <w:rPr>
          <w:rFonts w:ascii="Arial" w:hAnsi="Arial" w:cs="Arial"/>
          <w:sz w:val="22"/>
          <w:lang w:val="es-CO"/>
        </w:rPr>
        <w:lastRenderedPageBreak/>
        <w:t>Las cámaras de comercio, de acuerdo con el artículo 6.1 de la Ley 1150 de 2007 y con el artículo 2.2.1.1.1.5.3. del Decreto 1082 de 2015, verificarán y certificarán los requisitos habilitantes de experiencia, capacidad jurídica, capacidad financiera y de organización. De acuerdo con lo establecido en el numeral 6.3 de la Ley 1150 de 2007, la cámara de comercio</w:t>
      </w:r>
      <w:r w:rsidR="00BB1F95" w:rsidRPr="00265C4F">
        <w:rPr>
          <w:rFonts w:ascii="Arial" w:hAnsi="Arial" w:cs="Arial"/>
          <w:sz w:val="22"/>
          <w:lang w:val="es-CO"/>
        </w:rPr>
        <w:t>,</w:t>
      </w:r>
      <w:r w:rsidRPr="00265C4F">
        <w:rPr>
          <w:rFonts w:ascii="Arial" w:hAnsi="Arial" w:cs="Arial"/>
          <w:sz w:val="22"/>
          <w:lang w:val="es-CO"/>
        </w:rPr>
        <w:t xml:space="preserve"> verificada la información aportada por el </w:t>
      </w:r>
      <w:r w:rsidR="00123E43" w:rsidRPr="00265C4F">
        <w:rPr>
          <w:rFonts w:ascii="Arial" w:hAnsi="Arial" w:cs="Arial"/>
          <w:sz w:val="22"/>
          <w:lang w:val="es-CO"/>
        </w:rPr>
        <w:t>proponente</w:t>
      </w:r>
      <w:r w:rsidR="00BB1F95" w:rsidRPr="00265C4F">
        <w:rPr>
          <w:rFonts w:ascii="Arial" w:hAnsi="Arial" w:cs="Arial"/>
          <w:sz w:val="22"/>
          <w:lang w:val="es-CO"/>
        </w:rPr>
        <w:t>,</w:t>
      </w:r>
      <w:r w:rsidRPr="00265C4F">
        <w:rPr>
          <w:rFonts w:ascii="Arial" w:hAnsi="Arial" w:cs="Arial"/>
          <w:sz w:val="22"/>
          <w:lang w:val="es-CO"/>
        </w:rPr>
        <w:t xml:space="preserv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00265C4F">
        <w:rPr>
          <w:rFonts w:ascii="Arial" w:hAnsi="Arial" w:cs="Arial"/>
          <w:i/>
          <w:iCs/>
          <w:sz w:val="22"/>
          <w:lang w:val="es-CO"/>
        </w:rPr>
        <w:t>inscripción, renovación o actualización–</w:t>
      </w:r>
      <w:r w:rsidRPr="00265C4F">
        <w:rPr>
          <w:rStyle w:val="Refdenotaalpie"/>
          <w:rFonts w:ascii="Arial" w:hAnsi="Arial" w:cs="Arial"/>
          <w:sz w:val="22"/>
          <w:lang w:val="es-CO"/>
        </w:rPr>
        <w:footnoteReference w:id="10"/>
      </w:r>
      <w:r w:rsidRPr="00265C4F">
        <w:rPr>
          <w:rFonts w:ascii="Arial" w:hAnsi="Arial" w:cs="Arial"/>
          <w:sz w:val="22"/>
          <w:lang w:val="es-CO"/>
        </w:rPr>
        <w:t>. En firme el acto administrativo que realiza la inscripción en el Registro Único de Proponentes se podrá demandar su nulidad sin que la presentación de la demanda suspenda la inscripción del RUP.</w:t>
      </w:r>
    </w:p>
    <w:p w14:paraId="1B1D0E16" w14:textId="569C2AC4" w:rsidR="00A1118B" w:rsidRPr="00265C4F" w:rsidRDefault="00A1118B" w:rsidP="00A1118B">
      <w:pPr>
        <w:spacing w:line="276" w:lineRule="auto"/>
        <w:ind w:firstLine="708"/>
        <w:jc w:val="both"/>
        <w:rPr>
          <w:rFonts w:ascii="Arial" w:eastAsia="Calibri" w:hAnsi="Arial" w:cs="Arial"/>
          <w:sz w:val="22"/>
          <w:lang w:val="es-CO"/>
        </w:rPr>
      </w:pPr>
      <w:r w:rsidRPr="00265C4F">
        <w:rPr>
          <w:rFonts w:ascii="Arial" w:eastAsia="Calibri" w:hAnsi="Arial" w:cs="Arial"/>
          <w:sz w:val="22"/>
          <w:lang w:val="es-CO"/>
        </w:rPr>
        <w:t>De otro lado, el artículo 2.2.1.1.1.5.1. del Decreto 1082 de 2015 señala que las personas inscritas en el RUP deben presentar la información para renovar su registro a más tardar el quinto día hábil del mes de abril de cada año; de lo contrario cesan los efectos del RUP</w:t>
      </w:r>
      <w:r w:rsidRPr="00265C4F">
        <w:rPr>
          <w:rStyle w:val="Refdenotaalpie"/>
          <w:rFonts w:ascii="Arial" w:eastAsia="Calibri" w:hAnsi="Arial" w:cs="Arial"/>
          <w:sz w:val="22"/>
          <w:lang w:val="es-CO"/>
        </w:rPr>
        <w:footnoteReference w:id="11"/>
      </w:r>
      <w:r w:rsidR="00822BD2">
        <w:rPr>
          <w:rFonts w:ascii="Arial" w:eastAsia="Calibri" w:hAnsi="Arial" w:cs="Arial"/>
          <w:sz w:val="22"/>
          <w:lang w:val="es-CO"/>
        </w:rPr>
        <w:t xml:space="preserve">; sin perjuicio de lo indicado para el presente año, conforme al Decreto Legislativo </w:t>
      </w:r>
      <w:r w:rsidR="00822BD2">
        <w:rPr>
          <w:rFonts w:ascii="Arial" w:eastAsia="Calibri" w:hAnsi="Arial" w:cs="Arial"/>
          <w:sz w:val="22"/>
          <w:lang w:val="es-CO"/>
        </w:rPr>
        <w:lastRenderedPageBreak/>
        <w:t xml:space="preserve">434 de 2020, debiéndose entender </w:t>
      </w:r>
      <w:r w:rsidR="006A0DB3" w:rsidRPr="006A0DB3">
        <w:rPr>
          <w:rFonts w:ascii="Arial" w:eastAsia="Calibri" w:hAnsi="Arial" w:cs="Arial"/>
          <w:sz w:val="22"/>
          <w:lang w:val="es-CO"/>
        </w:rPr>
        <w:t>a más tardar el quinto día hábil del mes de julio de 2020</w:t>
      </w:r>
      <w:r w:rsidRPr="00265C4F">
        <w:rPr>
          <w:rFonts w:ascii="Arial" w:eastAsia="Calibri" w:hAnsi="Arial" w:cs="Arial"/>
          <w:sz w:val="22"/>
          <w:lang w:val="es-CO"/>
        </w:rPr>
        <w:t>. Asimismo, el Consejo de Estado en sentencia del 19 de septiembre de 2019 señaló la finalidad de la renovación del RUP y las consecuencias de no hacerlo en el término previsto:</w:t>
      </w:r>
    </w:p>
    <w:p w14:paraId="44B2341D" w14:textId="77777777" w:rsidR="00A1118B" w:rsidRPr="00265C4F" w:rsidRDefault="00A1118B" w:rsidP="00A1118B">
      <w:pPr>
        <w:spacing w:line="276" w:lineRule="auto"/>
        <w:jc w:val="both"/>
        <w:rPr>
          <w:rFonts w:ascii="Arial" w:eastAsia="Calibri" w:hAnsi="Arial" w:cs="Arial"/>
          <w:sz w:val="22"/>
          <w:lang w:val="es-CO"/>
        </w:rPr>
      </w:pPr>
    </w:p>
    <w:p w14:paraId="03861960" w14:textId="77777777" w:rsidR="00A1118B" w:rsidRPr="00265C4F" w:rsidRDefault="00A1118B" w:rsidP="00A1118B">
      <w:pPr>
        <w:tabs>
          <w:tab w:val="left" w:pos="567"/>
        </w:tabs>
        <w:ind w:left="709" w:right="709"/>
        <w:jc w:val="both"/>
        <w:rPr>
          <w:rFonts w:ascii="Arial" w:hAnsi="Arial" w:cs="Arial"/>
          <w:sz w:val="21"/>
          <w:szCs w:val="21"/>
          <w:lang w:val="es-CO"/>
        </w:rPr>
      </w:pPr>
      <w:r w:rsidRPr="00265C4F">
        <w:rPr>
          <w:rFonts w:ascii="Arial" w:hAnsi="Arial" w:cs="Arial"/>
          <w:sz w:val="21"/>
          <w:szCs w:val="21"/>
          <w:lang w:val="es-CO"/>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4A882D60" w14:textId="77777777" w:rsidR="00A1118B" w:rsidRPr="00265C4F" w:rsidRDefault="00A1118B" w:rsidP="00A1118B">
      <w:pPr>
        <w:tabs>
          <w:tab w:val="left" w:pos="567"/>
        </w:tabs>
        <w:ind w:left="709" w:right="709"/>
        <w:jc w:val="both"/>
        <w:rPr>
          <w:rFonts w:ascii="Arial" w:hAnsi="Arial" w:cs="Arial"/>
          <w:sz w:val="21"/>
          <w:szCs w:val="21"/>
          <w:lang w:val="es-CO"/>
        </w:rPr>
      </w:pPr>
    </w:p>
    <w:p w14:paraId="654189E0" w14:textId="77777777" w:rsidR="00A1118B" w:rsidRPr="00265C4F" w:rsidRDefault="00A1118B" w:rsidP="00A1118B">
      <w:pPr>
        <w:tabs>
          <w:tab w:val="left" w:pos="567"/>
        </w:tabs>
        <w:ind w:left="709" w:right="709"/>
        <w:jc w:val="both"/>
        <w:rPr>
          <w:rFonts w:ascii="Arial" w:hAnsi="Arial" w:cs="Arial"/>
          <w:sz w:val="21"/>
          <w:szCs w:val="21"/>
          <w:lang w:val="es-CO"/>
        </w:rPr>
      </w:pPr>
      <w:r w:rsidRPr="00265C4F">
        <w:rPr>
          <w:rFonts w:ascii="Arial" w:hAnsi="Arial" w:cs="Arial"/>
          <w:sz w:val="21"/>
          <w:szCs w:val="21"/>
          <w:lang w:val="es-CO"/>
        </w:rPr>
        <w:t xml:space="preserve">Ante ese panorama, </w:t>
      </w:r>
      <w:bookmarkStart w:id="1" w:name="_Hlk20983873"/>
      <w:r w:rsidRPr="00265C4F">
        <w:rPr>
          <w:rFonts w:ascii="Arial" w:hAnsi="Arial" w:cs="Arial"/>
          <w:sz w:val="21"/>
          <w:szCs w:val="21"/>
          <w:lang w:val="es-CO"/>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265C4F">
        <w:rPr>
          <w:rStyle w:val="Refdenotaalpie"/>
          <w:rFonts w:ascii="Arial" w:hAnsi="Arial" w:cs="Arial"/>
          <w:sz w:val="21"/>
          <w:szCs w:val="21"/>
          <w:lang w:val="es-CO"/>
        </w:rPr>
        <w:footnoteReference w:id="12"/>
      </w:r>
      <w:r w:rsidRPr="00265C4F">
        <w:rPr>
          <w:rFonts w:ascii="Arial" w:hAnsi="Arial" w:cs="Arial"/>
          <w:sz w:val="21"/>
          <w:szCs w:val="21"/>
          <w:lang w:val="es-CO"/>
        </w:rPr>
        <w:t xml:space="preserve">.  </w:t>
      </w:r>
    </w:p>
    <w:bookmarkEnd w:id="1"/>
    <w:p w14:paraId="1E533397" w14:textId="77777777" w:rsidR="00A1118B" w:rsidRPr="00265C4F" w:rsidRDefault="00A1118B" w:rsidP="00A1118B">
      <w:pPr>
        <w:jc w:val="both"/>
        <w:rPr>
          <w:rFonts w:ascii="Arial" w:eastAsia="Calibri" w:hAnsi="Arial" w:cs="Arial"/>
          <w:sz w:val="22"/>
          <w:lang w:val="es-CO"/>
        </w:rPr>
      </w:pPr>
      <w:r w:rsidRPr="00265C4F">
        <w:rPr>
          <w:rFonts w:ascii="Arial" w:eastAsia="Calibri" w:hAnsi="Arial" w:cs="Arial"/>
          <w:sz w:val="22"/>
          <w:lang w:val="es-CO"/>
        </w:rPr>
        <w:t xml:space="preserve"> </w:t>
      </w:r>
    </w:p>
    <w:p w14:paraId="78EED9D4" w14:textId="1EF6207B" w:rsidR="00A1118B" w:rsidRPr="00265C4F" w:rsidRDefault="00A1118B" w:rsidP="00A1118B">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 xml:space="preserve">Conforme a lo anterior, en armonía con lo señalado en el artículo 2.2.1.1.1.5.1. del Decreto 1082 de 2015, </w:t>
      </w:r>
      <w:r w:rsidRPr="00265C4F">
        <w:rPr>
          <w:rFonts w:ascii="Arial" w:eastAsia="Calibri" w:hAnsi="Arial" w:cs="Arial"/>
          <w:i/>
          <w:sz w:val="22"/>
          <w:lang w:val="es-CO"/>
        </w:rPr>
        <w:t>si el proponente</w:t>
      </w:r>
      <w:r w:rsidRPr="00265C4F">
        <w:rPr>
          <w:rFonts w:ascii="Arial" w:eastAsia="Calibri" w:hAnsi="Arial" w:cs="Arial"/>
          <w:sz w:val="22"/>
          <w:lang w:val="es-CO"/>
        </w:rPr>
        <w:t xml:space="preserve"> </w:t>
      </w:r>
      <w:r w:rsidRPr="00265C4F">
        <w:rPr>
          <w:rFonts w:ascii="Arial" w:eastAsia="Calibri" w:hAnsi="Arial" w:cs="Arial"/>
          <w:i/>
          <w:sz w:val="22"/>
          <w:lang w:val="es-CO"/>
        </w:rPr>
        <w:t>no presenta la información para renovar su registro</w:t>
      </w:r>
      <w:r w:rsidRPr="00265C4F">
        <w:rPr>
          <w:rFonts w:ascii="Arial" w:eastAsia="Calibri" w:hAnsi="Arial" w:cs="Arial"/>
          <w:sz w:val="22"/>
          <w:lang w:val="es-CO"/>
        </w:rPr>
        <w:t xml:space="preserve"> antes del quinto día hábil del mes de abril de cada año</w:t>
      </w:r>
      <w:r w:rsidR="006A0DB3">
        <w:rPr>
          <w:rFonts w:ascii="Arial" w:eastAsia="Calibri" w:hAnsi="Arial" w:cs="Arial"/>
          <w:sz w:val="22"/>
          <w:lang w:val="es-CO"/>
        </w:rPr>
        <w:t xml:space="preserve"> –o </w:t>
      </w:r>
      <w:r w:rsidR="006A0DB3" w:rsidRPr="00685722">
        <w:rPr>
          <w:rFonts w:ascii="Arial" w:eastAsia="Calibri" w:hAnsi="Arial" w:cs="Arial"/>
          <w:sz w:val="22"/>
          <w:lang w:val="es-CO"/>
        </w:rPr>
        <w:t>el quinto día hábil del mes de julio</w:t>
      </w:r>
      <w:r w:rsidR="006A0DB3">
        <w:rPr>
          <w:rFonts w:ascii="Arial" w:eastAsia="Calibri" w:hAnsi="Arial" w:cs="Arial"/>
          <w:sz w:val="22"/>
          <w:lang w:val="es-CO"/>
        </w:rPr>
        <w:t>, para el 2020</w:t>
      </w:r>
      <w:r w:rsidR="006A0DB3" w:rsidRPr="00685722">
        <w:rPr>
          <w:rFonts w:ascii="Arial" w:eastAsia="Calibri" w:hAnsi="Arial" w:cs="Arial"/>
          <w:sz w:val="22"/>
          <w:lang w:val="es-CO"/>
        </w:rPr>
        <w:t>–</w:t>
      </w:r>
      <w:r w:rsidRPr="00265C4F">
        <w:rPr>
          <w:rFonts w:ascii="Arial" w:eastAsia="Calibri" w:hAnsi="Arial" w:cs="Arial"/>
          <w:sz w:val="22"/>
          <w:lang w:val="es-CO"/>
        </w:rPr>
        <w:t xml:space="preserve">,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14:paraId="7E27A022" w14:textId="6348C11C" w:rsidR="00A1118B" w:rsidRPr="00265C4F" w:rsidRDefault="00A1118B" w:rsidP="00A1118B">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 xml:space="preserve">Tratándose del trámite de </w:t>
      </w:r>
      <w:r w:rsidRPr="00265C4F">
        <w:rPr>
          <w:rFonts w:ascii="Arial" w:eastAsia="Calibri" w:hAnsi="Arial" w:cs="Arial"/>
          <w:i/>
          <w:sz w:val="22"/>
          <w:lang w:val="es-CO"/>
        </w:rPr>
        <w:t>renovación,</w:t>
      </w:r>
      <w:r w:rsidRPr="00265C4F">
        <w:rPr>
          <w:rFonts w:ascii="Arial" w:eastAsia="Calibri" w:hAnsi="Arial" w:cs="Arial"/>
          <w:sz w:val="22"/>
          <w:lang w:val="es-CO"/>
        </w:rPr>
        <w:t xml:space="preserve"> la persona que haya presentado la información para renovar su registro a más tardar al quinto día hábil del mes de abril</w:t>
      </w:r>
      <w:r w:rsidR="006A0DB3">
        <w:rPr>
          <w:rFonts w:ascii="Arial" w:eastAsia="Calibri" w:hAnsi="Arial" w:cs="Arial"/>
          <w:sz w:val="22"/>
          <w:lang w:val="es-CO"/>
        </w:rPr>
        <w:t xml:space="preserve"> –o</w:t>
      </w:r>
      <w:r w:rsidR="006A0DB3" w:rsidRPr="00685722">
        <w:rPr>
          <w:rFonts w:ascii="Arial" w:eastAsia="Calibri" w:hAnsi="Arial" w:cs="Arial"/>
          <w:sz w:val="22"/>
          <w:lang w:val="es-CO"/>
        </w:rPr>
        <w:t xml:space="preserve"> quinto día hábil del mes de julio, para el 2020–</w:t>
      </w:r>
      <w:r w:rsidRPr="00265C4F">
        <w:rPr>
          <w:rFonts w:ascii="Arial" w:eastAsia="Calibri" w:hAnsi="Arial" w:cs="Arial"/>
          <w:sz w:val="22"/>
          <w:lang w:val="es-CO"/>
        </w:rPr>
        <w:t xml:space="preserve">, cumpliendo con el requisito establecido en el artículo 2.2.1.1.1.5.1., puede participar en los procedimientos de selección, debiéndose tener en cuenta la información «antigua»; de manera que en el período comprendido entre </w:t>
      </w:r>
      <w:r w:rsidRPr="00265C4F">
        <w:rPr>
          <w:rFonts w:ascii="Arial" w:eastAsia="Calibri" w:hAnsi="Arial" w:cs="Arial"/>
          <w:sz w:val="22"/>
          <w:lang w:val="es-CO"/>
        </w:rPr>
        <w:lastRenderedPageBreak/>
        <w:t xml:space="preserve">el momento de la solicitud de renovación y el momento de la firmeza de la nueva información, se permite que emplee la información del RUP que está en firme antes de iniciar el trámite de renovación, cuyos efectos no han cesado </w:t>
      </w:r>
      <w:r w:rsidR="003E4ED5" w:rsidRPr="00265C4F">
        <w:rPr>
          <w:rFonts w:ascii="Arial" w:eastAsia="Calibri" w:hAnsi="Arial" w:cs="Arial"/>
          <w:sz w:val="22"/>
          <w:lang w:val="es-CO"/>
        </w:rPr>
        <w:t>por encontrarse</w:t>
      </w:r>
      <w:r w:rsidRPr="00265C4F">
        <w:rPr>
          <w:rFonts w:ascii="Arial" w:eastAsia="Calibri" w:hAnsi="Arial" w:cs="Arial"/>
          <w:sz w:val="22"/>
          <w:lang w:val="es-CO"/>
        </w:rPr>
        <w:t xml:space="preserve"> vigente.</w:t>
      </w:r>
    </w:p>
    <w:p w14:paraId="4D21C0C7" w14:textId="4F261C4A" w:rsidR="001F179E" w:rsidRPr="00265C4F" w:rsidRDefault="00A1118B" w:rsidP="003E4ED5">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Así las cosas, para verificar que los efectos del RUP no han cesado, es necesario que el certificado contenga la anotación de que el inscrit</w:t>
      </w:r>
      <w:r w:rsidR="00B14FC4" w:rsidRPr="00265C4F">
        <w:rPr>
          <w:rFonts w:ascii="Arial" w:eastAsia="Calibri" w:hAnsi="Arial" w:cs="Arial"/>
          <w:sz w:val="22"/>
          <w:lang w:val="es-CO"/>
        </w:rPr>
        <w:t>o, a más tardar el quinto día hábil de abril de cada año</w:t>
      </w:r>
      <w:r w:rsidR="006A0DB3">
        <w:rPr>
          <w:rFonts w:ascii="Arial" w:eastAsia="Calibri" w:hAnsi="Arial" w:cs="Arial"/>
          <w:sz w:val="22"/>
          <w:lang w:val="es-CO"/>
        </w:rPr>
        <w:t xml:space="preserve"> –o</w:t>
      </w:r>
      <w:r w:rsidR="006A0DB3" w:rsidRPr="00BE4892">
        <w:rPr>
          <w:rFonts w:ascii="Arial" w:eastAsia="Calibri" w:hAnsi="Arial" w:cs="Arial"/>
          <w:sz w:val="22"/>
          <w:lang w:val="es-CO"/>
        </w:rPr>
        <w:t xml:space="preserve"> quinto día hábil del mes de julio, para el 2020–</w:t>
      </w:r>
      <w:r w:rsidR="00B14FC4" w:rsidRPr="00265C4F">
        <w:rPr>
          <w:rFonts w:ascii="Arial" w:eastAsia="Calibri" w:hAnsi="Arial" w:cs="Arial"/>
          <w:sz w:val="22"/>
          <w:lang w:val="es-CO"/>
        </w:rPr>
        <w:t>,</w:t>
      </w:r>
      <w:r w:rsidR="00B14FC4" w:rsidRPr="00265C4F" w:rsidDel="00B14FC4">
        <w:rPr>
          <w:rFonts w:ascii="Arial" w:eastAsia="Calibri" w:hAnsi="Arial" w:cs="Arial"/>
          <w:sz w:val="22"/>
          <w:lang w:val="es-CO"/>
        </w:rPr>
        <w:t xml:space="preserve"> </w:t>
      </w:r>
      <w:r w:rsidRPr="00265C4F">
        <w:rPr>
          <w:rFonts w:ascii="Arial" w:eastAsia="Calibri" w:hAnsi="Arial" w:cs="Arial"/>
          <w:sz w:val="22"/>
          <w:lang w:val="es-CO"/>
        </w:rPr>
        <w:t>radicó ante la cámara de comercio los documentos para la renovación</w:t>
      </w:r>
      <w:r w:rsidR="00B14FC4" w:rsidRPr="00265C4F">
        <w:rPr>
          <w:rFonts w:ascii="Arial" w:eastAsia="Calibri" w:hAnsi="Arial" w:cs="Arial"/>
          <w:sz w:val="22"/>
          <w:lang w:val="es-CO"/>
        </w:rPr>
        <w:t xml:space="preserve">. En todo caso, si </w:t>
      </w:r>
      <w:r w:rsidR="003C099D" w:rsidRPr="00265C4F">
        <w:rPr>
          <w:rFonts w:ascii="Arial" w:eastAsia="Calibri" w:hAnsi="Arial" w:cs="Arial"/>
          <w:sz w:val="22"/>
          <w:lang w:val="es-CO"/>
        </w:rPr>
        <w:t>tal circunstancia no estuviere inscrita en el certificado</w:t>
      </w:r>
      <w:r w:rsidR="00B14FC4" w:rsidRPr="00265C4F">
        <w:rPr>
          <w:rFonts w:ascii="Arial" w:eastAsia="Calibri" w:hAnsi="Arial" w:cs="Arial"/>
          <w:sz w:val="22"/>
          <w:lang w:val="es-CO"/>
        </w:rPr>
        <w:t>, se podrá acre</w:t>
      </w:r>
      <w:r w:rsidR="003C099D" w:rsidRPr="00265C4F">
        <w:rPr>
          <w:rFonts w:ascii="Arial" w:eastAsia="Calibri" w:hAnsi="Arial" w:cs="Arial"/>
          <w:sz w:val="22"/>
          <w:lang w:val="es-CO"/>
        </w:rPr>
        <w:t>ditar</w:t>
      </w:r>
      <w:r w:rsidRPr="00265C4F">
        <w:rPr>
          <w:rFonts w:ascii="Arial" w:eastAsia="Calibri" w:hAnsi="Arial" w:cs="Arial"/>
          <w:sz w:val="22"/>
          <w:lang w:val="es-CO"/>
        </w:rPr>
        <w:t xml:space="preserve"> </w:t>
      </w:r>
      <w:r w:rsidR="003C099D" w:rsidRPr="00265C4F">
        <w:rPr>
          <w:rFonts w:ascii="Arial" w:eastAsia="Calibri" w:hAnsi="Arial" w:cs="Arial"/>
          <w:sz w:val="22"/>
          <w:lang w:val="es-CO"/>
        </w:rPr>
        <w:t xml:space="preserve">a través del medio </w:t>
      </w:r>
      <w:r w:rsidR="004C5B23" w:rsidRPr="00265C4F">
        <w:rPr>
          <w:rFonts w:ascii="Arial" w:eastAsia="Calibri" w:hAnsi="Arial" w:cs="Arial"/>
          <w:sz w:val="22"/>
          <w:lang w:val="es-CO"/>
        </w:rPr>
        <w:t xml:space="preserve">documental </w:t>
      </w:r>
      <w:r w:rsidR="003C099D" w:rsidRPr="00265C4F">
        <w:rPr>
          <w:rFonts w:ascii="Arial" w:eastAsia="Calibri" w:hAnsi="Arial" w:cs="Arial"/>
          <w:sz w:val="22"/>
          <w:lang w:val="es-CO"/>
        </w:rPr>
        <w:t>expedido por la cámara de comercio correspondiente</w:t>
      </w:r>
      <w:r w:rsidR="003E4ED5" w:rsidRPr="00265C4F">
        <w:rPr>
          <w:rFonts w:ascii="Arial" w:eastAsia="Calibri" w:hAnsi="Arial" w:cs="Arial"/>
          <w:sz w:val="22"/>
          <w:lang w:val="es-CO"/>
        </w:rPr>
        <w:t>,</w:t>
      </w:r>
      <w:r w:rsidR="004C5B23" w:rsidRPr="00265C4F">
        <w:rPr>
          <w:rFonts w:ascii="Arial" w:eastAsia="Calibri" w:hAnsi="Arial" w:cs="Arial"/>
          <w:sz w:val="22"/>
          <w:lang w:val="es-CO"/>
        </w:rPr>
        <w:t xml:space="preserve"> </w:t>
      </w:r>
      <w:r w:rsidR="003E4ED5" w:rsidRPr="00265C4F">
        <w:rPr>
          <w:rFonts w:ascii="Arial" w:eastAsia="Calibri" w:hAnsi="Arial" w:cs="Arial"/>
          <w:sz w:val="22"/>
          <w:lang w:val="es-CO"/>
        </w:rPr>
        <w:t>a</w:t>
      </w:r>
      <w:r w:rsidR="004C5B23" w:rsidRPr="00265C4F">
        <w:rPr>
          <w:rFonts w:ascii="Arial" w:eastAsia="Calibri" w:hAnsi="Arial" w:cs="Arial"/>
          <w:sz w:val="22"/>
          <w:lang w:val="es-CO"/>
        </w:rPr>
        <w:t>s</w:t>
      </w:r>
      <w:r w:rsidR="003E4ED5" w:rsidRPr="00265C4F">
        <w:rPr>
          <w:rFonts w:ascii="Arial" w:eastAsia="Calibri" w:hAnsi="Arial" w:cs="Arial"/>
          <w:sz w:val="22"/>
          <w:lang w:val="es-CO"/>
        </w:rPr>
        <w:t>í</w:t>
      </w:r>
      <w:r w:rsidR="004C5B23" w:rsidRPr="00265C4F">
        <w:rPr>
          <w:rFonts w:ascii="Arial" w:eastAsia="Calibri" w:hAnsi="Arial" w:cs="Arial"/>
          <w:sz w:val="22"/>
          <w:lang w:val="es-CO"/>
        </w:rPr>
        <w:t xml:space="preserve"> pues</w:t>
      </w:r>
      <w:r w:rsidR="003C099D" w:rsidRPr="00265C4F">
        <w:rPr>
          <w:rFonts w:ascii="Arial" w:eastAsia="Calibri" w:hAnsi="Arial" w:cs="Arial"/>
          <w:sz w:val="22"/>
          <w:lang w:val="es-CO"/>
        </w:rPr>
        <w:t xml:space="preserve">, </w:t>
      </w:r>
      <w:r w:rsidR="004C5B23" w:rsidRPr="00265C4F">
        <w:rPr>
          <w:rFonts w:ascii="Arial" w:eastAsia="Calibri" w:hAnsi="Arial" w:cs="Arial"/>
          <w:sz w:val="22"/>
          <w:lang w:val="es-CO"/>
        </w:rPr>
        <w:t xml:space="preserve">por no haber tarifa legal que permita establecer la forma de acreditar el trámite de renovación, </w:t>
      </w:r>
      <w:r w:rsidR="0098455D" w:rsidRPr="00265C4F">
        <w:rPr>
          <w:rFonts w:ascii="Arial" w:eastAsia="Calibri" w:hAnsi="Arial" w:cs="Arial"/>
          <w:sz w:val="22"/>
          <w:lang w:val="es-CO"/>
        </w:rPr>
        <w:t>la entidad estatal</w:t>
      </w:r>
      <w:r w:rsidR="003C099D" w:rsidRPr="00265C4F">
        <w:rPr>
          <w:rFonts w:ascii="Arial" w:eastAsia="Calibri" w:hAnsi="Arial" w:cs="Arial"/>
          <w:sz w:val="22"/>
          <w:lang w:val="es-CO"/>
        </w:rPr>
        <w:t xml:space="preserve"> </w:t>
      </w:r>
      <w:r w:rsidR="004A1E27" w:rsidRPr="00265C4F">
        <w:rPr>
          <w:rFonts w:ascii="Arial" w:eastAsia="Calibri" w:hAnsi="Arial" w:cs="Arial"/>
          <w:sz w:val="22"/>
          <w:lang w:val="es-CO"/>
        </w:rPr>
        <w:t>debe</w:t>
      </w:r>
      <w:r w:rsidR="0098455D" w:rsidRPr="00265C4F">
        <w:rPr>
          <w:rFonts w:ascii="Arial" w:eastAsia="Calibri" w:hAnsi="Arial" w:cs="Arial"/>
          <w:sz w:val="22"/>
          <w:lang w:val="es-CO"/>
        </w:rPr>
        <w:t xml:space="preserve"> </w:t>
      </w:r>
      <w:r w:rsidR="00DD1FE4" w:rsidRPr="00265C4F">
        <w:rPr>
          <w:rFonts w:ascii="Arial" w:eastAsia="Calibri" w:hAnsi="Arial" w:cs="Arial"/>
          <w:sz w:val="22"/>
          <w:lang w:val="es-CO"/>
        </w:rPr>
        <w:t xml:space="preserve">verificar que </w:t>
      </w:r>
      <w:r w:rsidR="0098455D" w:rsidRPr="00265C4F">
        <w:rPr>
          <w:rFonts w:ascii="Arial" w:eastAsia="Calibri" w:hAnsi="Arial" w:cs="Arial"/>
          <w:sz w:val="22"/>
          <w:lang w:val="es-CO"/>
        </w:rPr>
        <w:t xml:space="preserve">el </w:t>
      </w:r>
      <w:r w:rsidR="003C099D" w:rsidRPr="00265C4F">
        <w:rPr>
          <w:rFonts w:ascii="Arial" w:eastAsia="Calibri" w:hAnsi="Arial" w:cs="Arial"/>
          <w:sz w:val="22"/>
          <w:lang w:val="es-CO"/>
        </w:rPr>
        <w:t xml:space="preserve">documento </w:t>
      </w:r>
      <w:r w:rsidR="0098455D" w:rsidRPr="00265C4F">
        <w:rPr>
          <w:rFonts w:ascii="Arial" w:eastAsia="Calibri" w:hAnsi="Arial" w:cs="Arial"/>
          <w:sz w:val="22"/>
          <w:lang w:val="es-CO"/>
        </w:rPr>
        <w:t xml:space="preserve">aportado por el </w:t>
      </w:r>
      <w:r w:rsidR="002A5C49" w:rsidRPr="00265C4F">
        <w:rPr>
          <w:rFonts w:ascii="Arial" w:eastAsia="Calibri" w:hAnsi="Arial" w:cs="Arial"/>
          <w:sz w:val="22"/>
          <w:lang w:val="es-CO"/>
        </w:rPr>
        <w:t>proponente</w:t>
      </w:r>
      <w:r w:rsidR="0098455D" w:rsidRPr="00265C4F">
        <w:rPr>
          <w:rFonts w:ascii="Arial" w:eastAsia="Calibri" w:hAnsi="Arial" w:cs="Arial"/>
          <w:sz w:val="22"/>
          <w:lang w:val="es-CO"/>
        </w:rPr>
        <w:t xml:space="preserve"> </w:t>
      </w:r>
      <w:r w:rsidR="004C5B23" w:rsidRPr="00265C4F">
        <w:rPr>
          <w:rFonts w:ascii="Arial" w:eastAsia="Calibri" w:hAnsi="Arial" w:cs="Arial"/>
          <w:sz w:val="22"/>
          <w:lang w:val="es-CO"/>
        </w:rPr>
        <w:t>ofrezca</w:t>
      </w:r>
      <w:r w:rsidR="0098455D" w:rsidRPr="00265C4F">
        <w:rPr>
          <w:rFonts w:ascii="Arial" w:eastAsia="Calibri" w:hAnsi="Arial" w:cs="Arial"/>
          <w:sz w:val="22"/>
          <w:lang w:val="es-CO"/>
        </w:rPr>
        <w:t xml:space="preserve"> certeza sobre el </w:t>
      </w:r>
      <w:r w:rsidR="004C5B23" w:rsidRPr="00265C4F">
        <w:rPr>
          <w:rFonts w:ascii="Arial" w:eastAsia="Calibri" w:hAnsi="Arial" w:cs="Arial"/>
          <w:sz w:val="22"/>
          <w:lang w:val="es-CO"/>
        </w:rPr>
        <w:t xml:space="preserve">estado del </w:t>
      </w:r>
      <w:r w:rsidR="0098455D" w:rsidRPr="00265C4F">
        <w:rPr>
          <w:rFonts w:ascii="Arial" w:eastAsia="Calibri" w:hAnsi="Arial" w:cs="Arial"/>
          <w:sz w:val="22"/>
          <w:lang w:val="es-CO"/>
        </w:rPr>
        <w:t>trámite</w:t>
      </w:r>
      <w:r w:rsidR="009B2279" w:rsidRPr="00265C4F">
        <w:rPr>
          <w:rFonts w:ascii="Arial" w:eastAsia="Calibri" w:hAnsi="Arial" w:cs="Arial"/>
          <w:sz w:val="22"/>
          <w:lang w:val="es-CO"/>
        </w:rPr>
        <w:t xml:space="preserve">. </w:t>
      </w:r>
    </w:p>
    <w:p w14:paraId="73485D05" w14:textId="644812DF" w:rsidR="007E312B" w:rsidRPr="00265C4F" w:rsidRDefault="00B008A4" w:rsidP="009A7C76">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Dicho esto, l</w:t>
      </w:r>
      <w:r w:rsidR="007E312B" w:rsidRPr="00265C4F">
        <w:rPr>
          <w:rFonts w:ascii="Arial" w:eastAsia="Calibri" w:hAnsi="Arial" w:cs="Arial"/>
          <w:sz w:val="22"/>
          <w:lang w:val="es-CO"/>
        </w:rPr>
        <w:t>a firmeza del acto de inscripción, renovación y actualización del RUP debe armonizarse con las prescripciones establecidas para la generalidad de los actos administrativos, esto es, de acuerdo con el artículo 87 de la Ley 1437 de 2011</w:t>
      </w:r>
      <w:r w:rsidR="007E312B" w:rsidRPr="00265C4F">
        <w:rPr>
          <w:rStyle w:val="Refdenotaalpie"/>
          <w:rFonts w:ascii="Arial" w:eastAsia="Calibri" w:hAnsi="Arial" w:cs="Arial"/>
          <w:sz w:val="22"/>
          <w:lang w:val="es-CO"/>
        </w:rPr>
        <w:footnoteReference w:id="13"/>
      </w:r>
      <w:r w:rsidR="007E312B" w:rsidRPr="00265C4F">
        <w:rPr>
          <w:rFonts w:ascii="Arial" w:eastAsia="Calibri" w:hAnsi="Arial" w:cs="Arial"/>
          <w:sz w:val="22"/>
          <w:lang w:val="es-CO"/>
        </w:rPr>
        <w:t xml:space="preserve">. </w:t>
      </w:r>
    </w:p>
    <w:p w14:paraId="4E148A68" w14:textId="77777777" w:rsidR="007E312B" w:rsidRPr="00265C4F" w:rsidRDefault="007E312B" w:rsidP="009A7C76">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w:t>
      </w:r>
    </w:p>
    <w:p w14:paraId="1B5FADA7" w14:textId="295A943B" w:rsidR="007E312B" w:rsidRPr="00265C4F" w:rsidRDefault="007E312B" w:rsidP="009A7C76">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Así pues,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265C4F">
        <w:rPr>
          <w:rStyle w:val="Refdenotaalpie"/>
          <w:rFonts w:ascii="Arial" w:eastAsia="Calibri" w:hAnsi="Arial" w:cs="Arial"/>
          <w:sz w:val="22"/>
          <w:lang w:val="es-CO"/>
        </w:rPr>
        <w:footnoteReference w:id="14"/>
      </w:r>
      <w:r w:rsidRPr="00265C4F">
        <w:rPr>
          <w:rFonts w:ascii="Arial" w:eastAsia="Calibri" w:hAnsi="Arial" w:cs="Arial"/>
          <w:sz w:val="22"/>
          <w:lang w:val="es-CO"/>
        </w:rPr>
        <w:t xml:space="preserve">. </w:t>
      </w:r>
    </w:p>
    <w:p w14:paraId="454EE335" w14:textId="77777777" w:rsidR="007E312B" w:rsidRPr="00265C4F" w:rsidRDefault="007E312B" w:rsidP="009A7C76">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Es importante resaltar que los distintos eventos de firmeza señalados en el artículo 87 del CPACA involucran la exigencia de la publicidad, comunicación o notificación del </w:t>
      </w:r>
      <w:r w:rsidRPr="00265C4F">
        <w:rPr>
          <w:rFonts w:ascii="Arial" w:eastAsia="Calibri" w:hAnsi="Arial" w:cs="Arial"/>
          <w:sz w:val="22"/>
          <w:lang w:val="es-CO"/>
        </w:rPr>
        <w:lastRenderedPageBreak/>
        <w:t xml:space="preserve">acto, además de incluir la necesidad de resolver los recursos administrativos interpuestos contra la decisión, como expresión del debido proceso y del derecho de defensa en sede administrativa. </w:t>
      </w:r>
    </w:p>
    <w:p w14:paraId="0EA334BF" w14:textId="5C18B838" w:rsidR="007E312B" w:rsidRPr="00265C4F" w:rsidRDefault="007E312B" w:rsidP="009A7C76">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w:t>
      </w:r>
      <w:r w:rsidR="007E34CF" w:rsidRPr="00265C4F">
        <w:rPr>
          <w:rFonts w:ascii="Arial" w:eastAsia="Calibri" w:hAnsi="Arial" w:cs="Arial"/>
          <w:sz w:val="22"/>
          <w:lang w:val="es-CO"/>
        </w:rPr>
        <w:t>recursos. Si</w:t>
      </w:r>
      <w:r w:rsidRPr="00265C4F">
        <w:rPr>
          <w:rFonts w:ascii="Arial" w:eastAsia="Calibri" w:hAnsi="Arial" w:cs="Arial"/>
          <w:sz w:val="22"/>
          <w:lang w:val="es-CO"/>
        </w:rPr>
        <w:t xml:space="preserve"> ocurre lo último, para que el acto de inscripción o renovación quede en firme, o que la actualización de la nueva información adquiera firmeza, será necesario que se resuelvan dichos recursos. </w:t>
      </w:r>
    </w:p>
    <w:p w14:paraId="62D90E79" w14:textId="77777777" w:rsidR="007E312B" w:rsidRPr="00265C4F" w:rsidRDefault="007E312B" w:rsidP="009A7C76">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w:t>
      </w:r>
    </w:p>
    <w:p w14:paraId="5ED7B51B" w14:textId="6D623273" w:rsidR="007E312B" w:rsidRPr="00265C4F" w:rsidRDefault="007E312B" w:rsidP="009A7C76">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En relación con la </w:t>
      </w:r>
      <w:r w:rsidRPr="00685722">
        <w:rPr>
          <w:rFonts w:ascii="Arial" w:eastAsia="Calibri" w:hAnsi="Arial" w:cs="Arial"/>
          <w:i/>
          <w:iCs/>
          <w:sz w:val="22"/>
          <w:lang w:val="es-CO"/>
        </w:rPr>
        <w:t>inscripción</w:t>
      </w:r>
      <w:r w:rsidRPr="00265C4F">
        <w:rPr>
          <w:rFonts w:ascii="Arial" w:eastAsia="Calibri" w:hAnsi="Arial" w:cs="Arial"/>
          <w:sz w:val="22"/>
          <w:lang w:val="es-CO"/>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w:t>
      </w:r>
      <w:r w:rsidR="00967E6D" w:rsidRPr="00265C4F">
        <w:rPr>
          <w:rStyle w:val="Refdenotaalpie"/>
          <w:rFonts w:ascii="Arial" w:eastAsia="Calibri" w:hAnsi="Arial" w:cs="Arial"/>
          <w:sz w:val="22"/>
          <w:lang w:val="es-CO"/>
        </w:rPr>
        <w:footnoteReference w:id="15"/>
      </w:r>
      <w:r w:rsidRPr="00265C4F">
        <w:rPr>
          <w:rFonts w:ascii="Arial" w:eastAsia="Calibri" w:hAnsi="Arial" w:cs="Arial"/>
          <w:sz w:val="22"/>
          <w:lang w:val="es-CO"/>
        </w:rPr>
        <w:t>, que establece que los proponentes no pueden acreditar circunstancias ocurridas con posterioridad al cierre del proceso, unido a lo expresado por la Sala de Consulta y Servicio Civil del Consejo de Estado, quien interpretó una norma de igual contenido a la anterior</w:t>
      </w:r>
      <w:r w:rsidR="00967E6D" w:rsidRPr="00265C4F">
        <w:rPr>
          <w:rStyle w:val="Refdenotaalpie"/>
          <w:rFonts w:ascii="Arial" w:eastAsia="Calibri" w:hAnsi="Arial" w:cs="Arial"/>
          <w:sz w:val="22"/>
          <w:lang w:val="es-CO"/>
        </w:rPr>
        <w:footnoteReference w:id="16"/>
      </w:r>
      <w:r w:rsidRPr="00265C4F">
        <w:rPr>
          <w:rFonts w:ascii="Arial" w:eastAsia="Calibri" w:hAnsi="Arial" w:cs="Arial"/>
          <w:sz w:val="22"/>
          <w:lang w:val="es-CO"/>
        </w:rPr>
        <w:t xml:space="preserve">, señalando que el proponente debe cumplir materialmente </w:t>
      </w:r>
      <w:r w:rsidRPr="00265C4F">
        <w:rPr>
          <w:rFonts w:ascii="Arial" w:eastAsia="Calibri" w:hAnsi="Arial" w:cs="Arial"/>
          <w:sz w:val="22"/>
          <w:lang w:val="es-CO"/>
        </w:rPr>
        <w:lastRenderedPageBreak/>
        <w:t xml:space="preserve">para la fecha del cierre del proceso con los requisitos que se requieren para presentar la oferta. En este sentido, para ese momento la persona natural o jurídica debe estar inscrita en el Registro Único de Proponentes, para lo cual no basta con la solicitud o radicación de los documentos para el trámite, sino que, además, el acto administrativo de </w:t>
      </w:r>
      <w:r w:rsidRPr="00265C4F">
        <w:rPr>
          <w:rFonts w:ascii="Arial" w:eastAsia="Calibri" w:hAnsi="Arial" w:cs="Arial"/>
          <w:i/>
          <w:iCs/>
          <w:sz w:val="22"/>
          <w:lang w:val="es-CO"/>
        </w:rPr>
        <w:t>inscripción</w:t>
      </w:r>
      <w:r w:rsidRPr="00265C4F">
        <w:rPr>
          <w:rFonts w:ascii="Arial" w:eastAsia="Calibri" w:hAnsi="Arial" w:cs="Arial"/>
          <w:sz w:val="22"/>
          <w:lang w:val="es-CO"/>
        </w:rPr>
        <w:t xml:space="preserve"> debe estar en firme, pues solo así se materializa y produce efectos la inscripción</w:t>
      </w:r>
      <w:r w:rsidR="00967E6D" w:rsidRPr="00265C4F">
        <w:rPr>
          <w:rStyle w:val="Refdenotaalpie"/>
          <w:rFonts w:ascii="Arial" w:eastAsia="Calibri" w:hAnsi="Arial" w:cs="Arial"/>
          <w:sz w:val="22"/>
          <w:lang w:val="es-CO"/>
        </w:rPr>
        <w:footnoteReference w:id="17"/>
      </w:r>
      <w:r w:rsidR="00967E6D" w:rsidRPr="00265C4F">
        <w:rPr>
          <w:rFonts w:ascii="Arial" w:eastAsia="Calibri" w:hAnsi="Arial" w:cs="Arial"/>
          <w:sz w:val="22"/>
          <w:lang w:val="es-CO"/>
        </w:rPr>
        <w:t xml:space="preserve">. </w:t>
      </w:r>
    </w:p>
    <w:p w14:paraId="3544FFFA" w14:textId="54EFF2A0" w:rsidR="007E312B" w:rsidRPr="00265C4F" w:rsidRDefault="007E312B" w:rsidP="004A1E27">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Por lo tanto, si la cámara de comercio expide el acto administrativo de </w:t>
      </w:r>
      <w:r w:rsidRPr="00265C4F">
        <w:rPr>
          <w:rFonts w:ascii="Arial" w:eastAsia="Calibri" w:hAnsi="Arial" w:cs="Arial"/>
          <w:i/>
          <w:iCs/>
          <w:sz w:val="22"/>
          <w:lang w:val="es-CO"/>
        </w:rPr>
        <w:t>inscripción</w:t>
      </w:r>
      <w:r w:rsidRPr="00265C4F">
        <w:rPr>
          <w:rFonts w:ascii="Arial" w:eastAsia="Calibri" w:hAnsi="Arial" w:cs="Arial"/>
          <w:sz w:val="22"/>
          <w:lang w:val="es-CO"/>
        </w:rPr>
        <w:t xml:space="preserve"> en el RUP después del cierre</w:t>
      </w:r>
      <w:r w:rsidR="006A0DB3">
        <w:rPr>
          <w:rFonts w:ascii="Arial" w:eastAsia="Calibri" w:hAnsi="Arial" w:cs="Arial"/>
          <w:sz w:val="22"/>
          <w:lang w:val="es-CO"/>
        </w:rPr>
        <w:t xml:space="preserve"> del procedimiento de selección</w:t>
      </w:r>
      <w:r w:rsidRPr="00265C4F">
        <w:rPr>
          <w:rFonts w:ascii="Arial" w:eastAsia="Calibri" w:hAnsi="Arial" w:cs="Arial"/>
          <w:sz w:val="22"/>
          <w:lang w:val="es-CO"/>
        </w:rPr>
        <w:t xml:space="preserve">, con motivo a la falta de renovación a tiempo de la información contenida en él o por ser la primera inscripción, el proponente no </w:t>
      </w:r>
      <w:r w:rsidR="004A1E27" w:rsidRPr="00265C4F">
        <w:rPr>
          <w:rFonts w:ascii="Arial" w:eastAsia="Calibri" w:hAnsi="Arial" w:cs="Arial"/>
          <w:sz w:val="22"/>
          <w:lang w:val="es-CO"/>
        </w:rPr>
        <w:t xml:space="preserve">puede </w:t>
      </w:r>
      <w:r w:rsidRPr="00265C4F">
        <w:rPr>
          <w:rFonts w:ascii="Arial" w:eastAsia="Calibri" w:hAnsi="Arial" w:cs="Arial"/>
          <w:sz w:val="22"/>
          <w:lang w:val="es-CO"/>
        </w:rPr>
        <w:t xml:space="preserve">aportarlo al proceso, porque al momento de presentar la oferta no tenía capacidad para contratar, y no puede acreditar </w:t>
      </w:r>
      <w:r w:rsidR="004A1E27" w:rsidRPr="00265C4F">
        <w:rPr>
          <w:rFonts w:ascii="Arial" w:eastAsia="Calibri" w:hAnsi="Arial" w:cs="Arial"/>
          <w:sz w:val="22"/>
          <w:lang w:val="es-CO"/>
        </w:rPr>
        <w:t xml:space="preserve">circunstancias </w:t>
      </w:r>
      <w:r w:rsidRPr="00265C4F">
        <w:rPr>
          <w:rFonts w:ascii="Arial" w:eastAsia="Calibri" w:hAnsi="Arial" w:cs="Arial"/>
          <w:sz w:val="22"/>
          <w:lang w:val="es-CO"/>
        </w:rPr>
        <w:t xml:space="preserve">ocurridas con posterioridad al cierre del proceso, reiterando que la inscripción debe estar en firme antes del cierre, pues la inscripción solo se materializa y es oponible a terceros cuando el acto </w:t>
      </w:r>
      <w:r w:rsidR="004A1E27" w:rsidRPr="00265C4F">
        <w:rPr>
          <w:rFonts w:ascii="Arial" w:eastAsia="Calibri" w:hAnsi="Arial" w:cs="Arial"/>
          <w:sz w:val="22"/>
          <w:lang w:val="es-CO"/>
        </w:rPr>
        <w:t xml:space="preserve">administrativo </w:t>
      </w:r>
      <w:r w:rsidRPr="00265C4F">
        <w:rPr>
          <w:rFonts w:ascii="Arial" w:eastAsia="Calibri" w:hAnsi="Arial" w:cs="Arial"/>
          <w:sz w:val="22"/>
          <w:lang w:val="es-CO"/>
        </w:rPr>
        <w:t>está en firme.</w:t>
      </w:r>
    </w:p>
    <w:p w14:paraId="4CDA7200" w14:textId="08BB14A7" w:rsidR="00D06014" w:rsidRDefault="00D06014" w:rsidP="00D06014">
      <w:pPr>
        <w:spacing w:after="120" w:line="276" w:lineRule="auto"/>
        <w:ind w:firstLine="708"/>
        <w:jc w:val="both"/>
        <w:rPr>
          <w:rFonts w:ascii="Arial" w:eastAsia="Calibri" w:hAnsi="Arial" w:cs="Arial"/>
          <w:color w:val="000000" w:themeColor="text1"/>
          <w:sz w:val="22"/>
          <w:lang w:val="es-CO"/>
        </w:rPr>
      </w:pPr>
      <w:r w:rsidRPr="00E87DEA">
        <w:rPr>
          <w:rFonts w:ascii="Arial" w:hAnsi="Arial" w:cs="Arial"/>
          <w:color w:val="000000" w:themeColor="text1"/>
          <w:sz w:val="22"/>
          <w:lang w:val="es-CO"/>
        </w:rPr>
        <w:t>Tratándose del</w:t>
      </w:r>
      <w:r w:rsidRPr="00265C4F">
        <w:rPr>
          <w:rFonts w:ascii="Arial" w:hAnsi="Arial" w:cs="Arial"/>
          <w:color w:val="000000" w:themeColor="text1"/>
          <w:sz w:val="22"/>
          <w:lang w:val="es-CO"/>
        </w:rPr>
        <w:t xml:space="preserve"> trámite de </w:t>
      </w:r>
      <w:r w:rsidRPr="00265C4F">
        <w:rPr>
          <w:rFonts w:ascii="Arial" w:hAnsi="Arial" w:cs="Arial"/>
          <w:i/>
          <w:iCs/>
          <w:color w:val="000000" w:themeColor="text1"/>
          <w:sz w:val="22"/>
          <w:lang w:val="es-CO"/>
        </w:rPr>
        <w:t>renovación,</w:t>
      </w:r>
      <w:r w:rsidRPr="00265C4F">
        <w:rPr>
          <w:rFonts w:ascii="Arial" w:hAnsi="Arial" w:cs="Arial"/>
          <w:color w:val="000000" w:themeColor="text1"/>
          <w:sz w:val="22"/>
          <w:lang w:val="es-CO"/>
        </w:rPr>
        <w:t xml:space="preserve"> se reitera lo expresado en el sentido de que </w:t>
      </w:r>
      <w:r w:rsidRPr="00265C4F">
        <w:rPr>
          <w:rFonts w:ascii="Arial" w:eastAsia="Calibri" w:hAnsi="Arial" w:cs="Arial"/>
          <w:color w:val="000000" w:themeColor="text1"/>
          <w:sz w:val="22"/>
          <w:lang w:val="es-CO"/>
        </w:rPr>
        <w:t>la persona que presentó la información para renovar su registro antes del quinto día hábil de abril de cada año, cumpliendo el requisito del artículo 2.2.1.1.1.5.1.</w:t>
      </w:r>
      <w:r w:rsidR="00DB5526" w:rsidRPr="00265C4F">
        <w:rPr>
          <w:rFonts w:ascii="Arial" w:eastAsia="Calibri" w:hAnsi="Arial" w:cs="Arial"/>
          <w:color w:val="000000" w:themeColor="text1"/>
          <w:sz w:val="22"/>
          <w:lang w:val="es-CO"/>
        </w:rPr>
        <w:t xml:space="preserve"> o antes del quinto d</w:t>
      </w:r>
      <w:r w:rsidR="002E5817">
        <w:rPr>
          <w:rFonts w:ascii="Arial" w:eastAsia="Calibri" w:hAnsi="Arial" w:cs="Arial"/>
          <w:color w:val="000000" w:themeColor="text1"/>
          <w:sz w:val="22"/>
          <w:lang w:val="es-CO"/>
        </w:rPr>
        <w:t>í</w:t>
      </w:r>
      <w:r w:rsidR="00DB5526" w:rsidRPr="00265C4F">
        <w:rPr>
          <w:rFonts w:ascii="Arial" w:eastAsia="Calibri" w:hAnsi="Arial" w:cs="Arial"/>
          <w:color w:val="000000" w:themeColor="text1"/>
          <w:sz w:val="22"/>
          <w:lang w:val="es-CO"/>
        </w:rPr>
        <w:t>a hábil del mes de julio</w:t>
      </w:r>
      <w:r w:rsidR="00C037AC">
        <w:rPr>
          <w:rFonts w:ascii="Arial" w:eastAsia="Calibri" w:hAnsi="Arial" w:cs="Arial"/>
          <w:color w:val="000000" w:themeColor="text1"/>
          <w:sz w:val="22"/>
          <w:lang w:val="es-CO"/>
        </w:rPr>
        <w:t>,</w:t>
      </w:r>
      <w:r w:rsidR="00DB5526" w:rsidRPr="00265C4F">
        <w:rPr>
          <w:rFonts w:ascii="Arial" w:eastAsia="Calibri" w:hAnsi="Arial" w:cs="Arial"/>
          <w:color w:val="000000" w:themeColor="text1"/>
          <w:sz w:val="22"/>
          <w:lang w:val="es-CO"/>
        </w:rPr>
        <w:t xml:space="preserve"> </w:t>
      </w:r>
      <w:r w:rsidR="00C037AC">
        <w:rPr>
          <w:rFonts w:ascii="Arial" w:eastAsia="Calibri" w:hAnsi="Arial" w:cs="Arial"/>
          <w:color w:val="000000" w:themeColor="text1"/>
          <w:sz w:val="22"/>
          <w:lang w:val="es-CO"/>
        </w:rPr>
        <w:t>para el</w:t>
      </w:r>
      <w:r w:rsidR="00DB5526" w:rsidRPr="00265C4F">
        <w:rPr>
          <w:rFonts w:ascii="Arial" w:eastAsia="Calibri" w:hAnsi="Arial" w:cs="Arial"/>
          <w:color w:val="000000" w:themeColor="text1"/>
          <w:sz w:val="22"/>
          <w:lang w:val="es-CO"/>
        </w:rPr>
        <w:t xml:space="preserve"> 2020, conforme lo establecido en el artículo 2 del Decreto 434 de 2020</w:t>
      </w:r>
      <w:r w:rsidRPr="00265C4F">
        <w:rPr>
          <w:rFonts w:ascii="Arial" w:eastAsia="Calibri" w:hAnsi="Arial" w:cs="Arial"/>
          <w:color w:val="000000" w:themeColor="text1"/>
          <w:sz w:val="22"/>
          <w:lang w:val="es-CO"/>
        </w:rPr>
        <w:t xml:space="preserve"> y pese a que la renovación no esté en firme, </w:t>
      </w:r>
      <w:r w:rsidR="00C037AC">
        <w:rPr>
          <w:rFonts w:ascii="Arial" w:eastAsia="Calibri" w:hAnsi="Arial" w:cs="Arial"/>
          <w:color w:val="000000" w:themeColor="text1"/>
          <w:sz w:val="22"/>
          <w:lang w:val="es-CO"/>
        </w:rPr>
        <w:t xml:space="preserve">es decir, mientras esté en trámite el proceso de renovación, </w:t>
      </w:r>
      <w:r w:rsidRPr="00265C4F">
        <w:rPr>
          <w:rFonts w:ascii="Arial" w:eastAsia="Calibri" w:hAnsi="Arial" w:cs="Arial"/>
          <w:color w:val="000000" w:themeColor="text1"/>
          <w:sz w:val="22"/>
          <w:lang w:val="es-CO"/>
        </w:rPr>
        <w:t>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6C9EC253" w14:textId="161F1FB2" w:rsidR="002E5817" w:rsidRPr="00685722" w:rsidRDefault="002E5817" w:rsidP="00D06014">
      <w:pPr>
        <w:spacing w:after="120"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lastRenderedPageBreak/>
        <w:t>Debe tenerse en cuenta, en relación con este aspecto, que el parágrafo 1 –inciso segundo– del artículo 5 de la Ley 1150 de 2007, modificado por el artículo 5 de la Ley 1882 de 2018 establece que: «</w:t>
      </w:r>
      <w:r w:rsidRPr="00685722">
        <w:rPr>
          <w:rFonts w:ascii="Arial" w:eastAsia="Calibri" w:hAnsi="Arial" w:cs="Arial"/>
          <w:color w:val="000000" w:themeColor="text1"/>
          <w:sz w:val="22"/>
          <w:lang w:val="es-CO"/>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2"/>
          <w:lang w:val="es-CO"/>
        </w:rPr>
        <w:t>»</w:t>
      </w:r>
      <w:r w:rsidRPr="00685722">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Esta regla tiene un alcance muy amplio, pues no expresa, como pudo haberlo hecho, que durante dicho término no se pueden </w:t>
      </w:r>
      <w:r w:rsidRPr="00685722">
        <w:rPr>
          <w:rFonts w:ascii="Arial" w:eastAsia="Calibri" w:hAnsi="Arial" w:cs="Arial"/>
          <w:i/>
          <w:iCs/>
          <w:color w:val="000000" w:themeColor="text1"/>
          <w:sz w:val="22"/>
          <w:lang w:val="es-CO"/>
        </w:rPr>
        <w:t>subsanar</w:t>
      </w:r>
      <w:r>
        <w:rPr>
          <w:rFonts w:ascii="Arial" w:eastAsia="Calibri" w:hAnsi="Arial" w:cs="Arial"/>
          <w:color w:val="000000" w:themeColor="text1"/>
          <w:sz w:val="22"/>
          <w:lang w:val="es-CO"/>
        </w:rPr>
        <w:t xml:space="preserve"> circunstancias ocurridas con posterioridad al cierre; sino que optó por establecer un</w:t>
      </w:r>
      <w:r w:rsidR="0066406C">
        <w:rPr>
          <w:rFonts w:ascii="Arial" w:eastAsia="Calibri" w:hAnsi="Arial" w:cs="Arial"/>
          <w:color w:val="000000" w:themeColor="text1"/>
          <w:sz w:val="22"/>
          <w:lang w:val="es-CO"/>
        </w:rPr>
        <w:t>a</w:t>
      </w:r>
      <w:r>
        <w:rPr>
          <w:rFonts w:ascii="Arial" w:eastAsia="Calibri" w:hAnsi="Arial" w:cs="Arial"/>
          <w:color w:val="000000" w:themeColor="text1"/>
          <w:sz w:val="22"/>
          <w:lang w:val="es-CO"/>
        </w:rPr>
        <w:t xml:space="preserve"> regla más amplia, consistente en que durante dicho término</w:t>
      </w:r>
      <w:r w:rsidR="0066406C">
        <w:rPr>
          <w:rFonts w:ascii="Arial" w:eastAsia="Calibri" w:hAnsi="Arial" w:cs="Arial"/>
          <w:color w:val="000000" w:themeColor="text1"/>
          <w:sz w:val="22"/>
          <w:lang w:val="es-CO"/>
        </w:rPr>
        <w:t xml:space="preserve"> los proponentes</w:t>
      </w:r>
      <w:r>
        <w:rPr>
          <w:rFonts w:ascii="Arial" w:eastAsia="Calibri" w:hAnsi="Arial" w:cs="Arial"/>
          <w:color w:val="000000" w:themeColor="text1"/>
          <w:sz w:val="22"/>
          <w:lang w:val="es-CO"/>
        </w:rPr>
        <w:t xml:space="preserve"> no puede</w:t>
      </w:r>
      <w:r w:rsidR="0066406C">
        <w:rPr>
          <w:rFonts w:ascii="Arial" w:eastAsia="Calibri" w:hAnsi="Arial" w:cs="Arial"/>
          <w:color w:val="000000" w:themeColor="text1"/>
          <w:sz w:val="22"/>
          <w:lang w:val="es-CO"/>
        </w:rPr>
        <w:t>n</w:t>
      </w:r>
      <w:r>
        <w:rPr>
          <w:rFonts w:ascii="Arial" w:eastAsia="Calibri" w:hAnsi="Arial" w:cs="Arial"/>
          <w:color w:val="000000" w:themeColor="text1"/>
          <w:sz w:val="22"/>
          <w:lang w:val="es-CO"/>
        </w:rPr>
        <w:t xml:space="preserve"> acreditar </w:t>
      </w:r>
      <w:r w:rsidR="000E0524">
        <w:rPr>
          <w:rFonts w:ascii="Arial" w:eastAsia="Calibri" w:hAnsi="Arial" w:cs="Arial"/>
          <w:color w:val="000000" w:themeColor="text1"/>
          <w:sz w:val="22"/>
          <w:lang w:val="es-CO"/>
        </w:rPr>
        <w:t xml:space="preserve">ningún tipo de </w:t>
      </w:r>
      <w:r w:rsidR="0066406C">
        <w:rPr>
          <w:rFonts w:ascii="Arial" w:eastAsia="Calibri" w:hAnsi="Arial" w:cs="Arial"/>
          <w:color w:val="000000" w:themeColor="text1"/>
          <w:sz w:val="22"/>
          <w:lang w:val="es-CO"/>
        </w:rPr>
        <w:t>«</w:t>
      </w:r>
      <w:r>
        <w:rPr>
          <w:rFonts w:ascii="Arial" w:eastAsia="Calibri" w:hAnsi="Arial" w:cs="Arial"/>
          <w:color w:val="000000" w:themeColor="text1"/>
          <w:sz w:val="22"/>
          <w:lang w:val="es-CO"/>
        </w:rPr>
        <w:t>circunstancias</w:t>
      </w:r>
      <w:r w:rsidR="0066406C">
        <w:rPr>
          <w:rFonts w:ascii="Arial" w:eastAsia="Calibri" w:hAnsi="Arial" w:cs="Arial"/>
          <w:color w:val="000000" w:themeColor="text1"/>
          <w:sz w:val="22"/>
          <w:lang w:val="es-CO"/>
        </w:rPr>
        <w:t xml:space="preserve"> ocurridas con posterioridad al cierre</w:t>
      </w:r>
      <w:r w:rsidR="000E0524">
        <w:rPr>
          <w:rFonts w:ascii="Arial" w:eastAsia="Calibri" w:hAnsi="Arial" w:cs="Arial"/>
          <w:color w:val="000000" w:themeColor="text1"/>
          <w:sz w:val="22"/>
          <w:lang w:val="es-CO"/>
        </w:rPr>
        <w:t xml:space="preserve"> del proceso</w:t>
      </w:r>
      <w:r w:rsidR="0066406C">
        <w:rPr>
          <w:rFonts w:ascii="Arial" w:eastAsia="Calibri" w:hAnsi="Arial" w:cs="Arial"/>
          <w:color w:val="000000" w:themeColor="text1"/>
          <w:sz w:val="22"/>
          <w:lang w:val="es-CO"/>
        </w:rPr>
        <w:t>»</w:t>
      </w:r>
      <w:r w:rsidR="000E0524">
        <w:rPr>
          <w:rFonts w:ascii="Arial" w:eastAsia="Calibri" w:hAnsi="Arial" w:cs="Arial"/>
          <w:color w:val="000000" w:themeColor="text1"/>
          <w:sz w:val="22"/>
          <w:lang w:val="es-CO"/>
        </w:rPr>
        <w:t xml:space="preserve">, lo que se configuraría si se presentara o acreditara un RUP diferente </w:t>
      </w:r>
      <w:r w:rsidR="000E0524">
        <w:rPr>
          <w:rFonts w:ascii="Arial" w:eastAsia="Calibri" w:hAnsi="Arial" w:cs="Arial"/>
          <w:i/>
          <w:iCs/>
          <w:color w:val="000000" w:themeColor="text1"/>
          <w:sz w:val="22"/>
          <w:lang w:val="es-CO"/>
        </w:rPr>
        <w:t xml:space="preserve">renovado, </w:t>
      </w:r>
      <w:r w:rsidR="000E0524">
        <w:rPr>
          <w:rFonts w:ascii="Arial" w:eastAsia="Calibri" w:hAnsi="Arial" w:cs="Arial"/>
          <w:color w:val="000000" w:themeColor="text1"/>
          <w:sz w:val="22"/>
          <w:lang w:val="es-CO"/>
        </w:rPr>
        <w:t xml:space="preserve">que no estaba en firme para el cierre del proceso; independientemente de que </w:t>
      </w:r>
      <w:r w:rsidR="000E0524" w:rsidRPr="001A5539">
        <w:rPr>
          <w:rFonts w:ascii="Arial" w:eastAsia="Calibri" w:hAnsi="Arial" w:cs="Arial"/>
          <w:color w:val="000000" w:themeColor="text1"/>
          <w:sz w:val="22"/>
          <w:lang w:val="es-CO"/>
        </w:rPr>
        <w:t xml:space="preserve">este </w:t>
      </w:r>
      <w:r w:rsidR="000E0524" w:rsidRPr="00685722">
        <w:rPr>
          <w:rFonts w:ascii="Arial" w:eastAsia="Calibri" w:hAnsi="Arial" w:cs="Arial"/>
          <w:color w:val="000000" w:themeColor="text1"/>
          <w:sz w:val="22"/>
          <w:lang w:val="es-CO"/>
        </w:rPr>
        <w:t xml:space="preserve">nuevo RUP </w:t>
      </w:r>
      <w:r w:rsidR="000E0524" w:rsidRPr="001A5539">
        <w:rPr>
          <w:rFonts w:ascii="Arial" w:eastAsia="Calibri" w:hAnsi="Arial" w:cs="Arial"/>
          <w:color w:val="000000" w:themeColor="text1"/>
          <w:sz w:val="22"/>
          <w:lang w:val="es-CO"/>
        </w:rPr>
        <w:t>fav</w:t>
      </w:r>
      <w:r w:rsidR="000E0524">
        <w:rPr>
          <w:rFonts w:ascii="Arial" w:eastAsia="Calibri" w:hAnsi="Arial" w:cs="Arial"/>
          <w:color w:val="000000" w:themeColor="text1"/>
          <w:sz w:val="22"/>
          <w:lang w:val="es-CO"/>
        </w:rPr>
        <w:t>orezca o perjudique al interesado.</w:t>
      </w:r>
      <w:r w:rsidR="001A5539">
        <w:rPr>
          <w:rFonts w:ascii="Arial" w:eastAsia="Calibri" w:hAnsi="Arial" w:cs="Arial"/>
          <w:color w:val="000000" w:themeColor="text1"/>
          <w:sz w:val="22"/>
          <w:lang w:val="es-CO"/>
        </w:rPr>
        <w:t xml:space="preserve"> Pues de la norma comentada se sigue que la evaluación se debe realizar conforme a las circunstancias ocurridas con anterioridad al cierre del proceso.</w:t>
      </w:r>
    </w:p>
    <w:p w14:paraId="0F3A5BA5" w14:textId="1DA8AB96" w:rsidR="00D06014" w:rsidRDefault="00D06014" w:rsidP="00E01591">
      <w:pPr>
        <w:spacing w:after="120" w:line="276" w:lineRule="auto"/>
        <w:ind w:firstLine="709"/>
        <w:jc w:val="both"/>
        <w:rPr>
          <w:rFonts w:ascii="Arial" w:hAnsi="Arial" w:cs="Arial"/>
          <w:color w:val="000000" w:themeColor="text1"/>
          <w:sz w:val="22"/>
          <w:lang w:val="es-CO"/>
        </w:rPr>
      </w:pPr>
      <w:r w:rsidRPr="00265C4F">
        <w:rPr>
          <w:rFonts w:ascii="Arial" w:hAnsi="Arial" w:cs="Arial"/>
          <w:color w:val="000000" w:themeColor="text1"/>
          <w:sz w:val="22"/>
          <w:lang w:val="es-CO"/>
        </w:rPr>
        <w:t xml:space="preserve">Finalmente, tratándose del trámite administrativo de la </w:t>
      </w:r>
      <w:r w:rsidRPr="00265C4F">
        <w:rPr>
          <w:rFonts w:ascii="Arial" w:hAnsi="Arial" w:cs="Arial"/>
          <w:i/>
          <w:iCs/>
          <w:color w:val="000000" w:themeColor="text1"/>
          <w:sz w:val="22"/>
          <w:lang w:val="es-CO"/>
        </w:rPr>
        <w:t>actualización</w:t>
      </w:r>
      <w:r w:rsidRPr="00265C4F">
        <w:rPr>
          <w:rFonts w:ascii="Arial" w:hAnsi="Arial" w:cs="Arial"/>
          <w:color w:val="000000" w:themeColor="text1"/>
          <w:sz w:val="22"/>
          <w:lang w:val="es-CO"/>
        </w:rPr>
        <w:t xml:space="preserve">, sucede algo similar con la renovación, en el sentido de </w:t>
      </w:r>
      <w:r w:rsidR="00CD001D" w:rsidRPr="00265C4F">
        <w:rPr>
          <w:rFonts w:ascii="Arial" w:hAnsi="Arial" w:cs="Arial"/>
          <w:color w:val="000000" w:themeColor="text1"/>
          <w:sz w:val="22"/>
          <w:lang w:val="es-CO"/>
        </w:rPr>
        <w:t>que,</w:t>
      </w:r>
      <w:r w:rsidRPr="00265C4F">
        <w:rPr>
          <w:rFonts w:ascii="Arial" w:hAnsi="Arial" w:cs="Arial"/>
          <w:color w:val="000000" w:themeColor="text1"/>
          <w:sz w:val="22"/>
          <w:lang w:val="es-CO"/>
        </w:rPr>
        <w:t xml:space="preserv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de manera que el trámite de </w:t>
      </w:r>
      <w:r w:rsidRPr="00265C4F">
        <w:rPr>
          <w:rFonts w:ascii="Arial" w:hAnsi="Arial" w:cs="Arial"/>
          <w:i/>
          <w:iCs/>
          <w:color w:val="000000" w:themeColor="text1"/>
          <w:sz w:val="22"/>
          <w:lang w:val="es-CO"/>
        </w:rPr>
        <w:t xml:space="preserve">actualización </w:t>
      </w:r>
      <w:r w:rsidRPr="00265C4F">
        <w:rPr>
          <w:rFonts w:ascii="Arial" w:hAnsi="Arial" w:cs="Arial"/>
          <w:color w:val="000000" w:themeColor="text1"/>
          <w:sz w:val="22"/>
          <w:lang w:val="es-CO"/>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p>
    <w:p w14:paraId="6ACB4AB8" w14:textId="07CC6066" w:rsidR="009230C0" w:rsidRPr="00265C4F" w:rsidRDefault="009230C0" w:rsidP="00E01591">
      <w:pPr>
        <w:spacing w:after="120" w:line="276" w:lineRule="auto"/>
        <w:ind w:firstLine="709"/>
        <w:jc w:val="both"/>
        <w:rPr>
          <w:rFonts w:ascii="Arial" w:eastAsia="Calibri" w:hAnsi="Arial" w:cs="Arial"/>
          <w:sz w:val="22"/>
          <w:lang w:val="es-CO"/>
        </w:rPr>
      </w:pPr>
      <w:r>
        <w:rPr>
          <w:rFonts w:ascii="Arial" w:hAnsi="Arial" w:cs="Arial"/>
          <w:color w:val="000000" w:themeColor="text1"/>
          <w:sz w:val="22"/>
          <w:lang w:val="es-CO"/>
        </w:rPr>
        <w:t>Con fundamento en las consideraciones anteriores, se procederá a responder cada una de las preguntas planteadas por el peticionario.</w:t>
      </w:r>
    </w:p>
    <w:p w14:paraId="202FDEED" w14:textId="77777777" w:rsidR="00A1118B" w:rsidRPr="00265C4F" w:rsidRDefault="00A1118B" w:rsidP="00A1118B">
      <w:pPr>
        <w:spacing w:line="276" w:lineRule="auto"/>
        <w:ind w:firstLine="709"/>
        <w:jc w:val="both"/>
        <w:rPr>
          <w:rFonts w:ascii="Arial" w:hAnsi="Arial" w:cs="Arial"/>
          <w:sz w:val="22"/>
          <w:lang w:val="es-CO"/>
        </w:rPr>
      </w:pPr>
    </w:p>
    <w:p w14:paraId="5DDAF901" w14:textId="21FEE9A4" w:rsidR="00AC40CD" w:rsidRPr="00265C4F" w:rsidRDefault="00A1118B" w:rsidP="004206ED">
      <w:pPr>
        <w:pStyle w:val="Prrafodelista"/>
        <w:tabs>
          <w:tab w:val="left" w:pos="284"/>
        </w:tabs>
        <w:spacing w:line="276" w:lineRule="auto"/>
        <w:ind w:left="0"/>
        <w:jc w:val="both"/>
        <w:rPr>
          <w:rFonts w:ascii="Arial" w:eastAsia="Calibri" w:hAnsi="Arial" w:cs="Arial"/>
          <w:sz w:val="22"/>
          <w:lang w:val="es-CO"/>
        </w:rPr>
      </w:pPr>
      <w:r w:rsidRPr="00265C4F">
        <w:rPr>
          <w:rFonts w:ascii="Arial" w:eastAsia="Calibri" w:hAnsi="Arial" w:cs="Arial"/>
          <w:b/>
          <w:sz w:val="22"/>
          <w:lang w:val="es-CO"/>
        </w:rPr>
        <w:t>3. Respuesta</w:t>
      </w:r>
    </w:p>
    <w:p w14:paraId="7EFD58A5" w14:textId="1C608927" w:rsidR="00AC40CD" w:rsidRDefault="00AC40CD" w:rsidP="00300794">
      <w:pPr>
        <w:spacing w:after="120"/>
        <w:ind w:right="709"/>
        <w:jc w:val="both"/>
        <w:rPr>
          <w:rFonts w:ascii="Arial" w:hAnsi="Arial" w:cs="Arial"/>
          <w:sz w:val="21"/>
          <w:szCs w:val="21"/>
          <w:lang w:val="es-CO"/>
        </w:rPr>
      </w:pPr>
    </w:p>
    <w:p w14:paraId="3E7A5909" w14:textId="37ABFE6C" w:rsidR="00300794" w:rsidRPr="00300794" w:rsidRDefault="00300794" w:rsidP="00300794">
      <w:pPr>
        <w:spacing w:after="120" w:line="276" w:lineRule="auto"/>
        <w:jc w:val="both"/>
        <w:rPr>
          <w:rFonts w:ascii="Arial" w:hAnsi="Arial" w:cs="Arial"/>
          <w:color w:val="000000" w:themeColor="text1"/>
          <w:sz w:val="22"/>
          <w:lang w:val="es-CO"/>
        </w:rPr>
      </w:pPr>
      <w:r w:rsidRPr="00300794">
        <w:rPr>
          <w:rFonts w:ascii="Arial" w:hAnsi="Arial" w:cs="Arial"/>
          <w:color w:val="000000" w:themeColor="text1"/>
          <w:sz w:val="22"/>
          <w:lang w:val="es-CO"/>
        </w:rPr>
        <w:t xml:space="preserve">Para efectos </w:t>
      </w:r>
      <w:r>
        <w:rPr>
          <w:rFonts w:ascii="Arial" w:hAnsi="Arial" w:cs="Arial"/>
          <w:color w:val="000000" w:themeColor="text1"/>
          <w:sz w:val="22"/>
          <w:lang w:val="es-CO"/>
        </w:rPr>
        <w:t xml:space="preserve">de </w:t>
      </w:r>
      <w:r w:rsidRPr="00300794">
        <w:rPr>
          <w:rFonts w:ascii="Arial" w:hAnsi="Arial" w:cs="Arial"/>
          <w:color w:val="000000" w:themeColor="text1"/>
          <w:sz w:val="22"/>
          <w:lang w:val="es-CO"/>
        </w:rPr>
        <w:t>mayor claridad en las respuestas</w:t>
      </w:r>
      <w:r>
        <w:rPr>
          <w:rFonts w:ascii="Arial" w:hAnsi="Arial" w:cs="Arial"/>
          <w:color w:val="000000" w:themeColor="text1"/>
          <w:sz w:val="22"/>
          <w:lang w:val="es-CO"/>
        </w:rPr>
        <w:t>, y debido a que cierta información previa es necesaria para comprender la posterior,</w:t>
      </w:r>
      <w:r w:rsidRPr="00300794">
        <w:rPr>
          <w:rFonts w:ascii="Arial" w:hAnsi="Arial" w:cs="Arial"/>
          <w:color w:val="000000" w:themeColor="text1"/>
          <w:sz w:val="22"/>
          <w:lang w:val="es-CO"/>
        </w:rPr>
        <w:t xml:space="preserve"> </w:t>
      </w:r>
      <w:r>
        <w:rPr>
          <w:rFonts w:ascii="Arial" w:hAnsi="Arial" w:cs="Arial"/>
          <w:color w:val="000000" w:themeColor="text1"/>
          <w:sz w:val="22"/>
          <w:lang w:val="es-CO"/>
        </w:rPr>
        <w:t xml:space="preserve">las preguntas </w:t>
      </w:r>
      <w:r w:rsidRPr="00300794">
        <w:rPr>
          <w:rFonts w:ascii="Arial" w:hAnsi="Arial" w:cs="Arial"/>
          <w:color w:val="000000" w:themeColor="text1"/>
          <w:sz w:val="22"/>
          <w:lang w:val="es-CO"/>
        </w:rPr>
        <w:t>se ordenarán en un orden distinto al planteado por el peticionario,</w:t>
      </w:r>
      <w:r>
        <w:rPr>
          <w:rFonts w:ascii="Arial" w:hAnsi="Arial" w:cs="Arial"/>
          <w:color w:val="000000" w:themeColor="text1"/>
          <w:sz w:val="22"/>
          <w:lang w:val="es-CO"/>
        </w:rPr>
        <w:t xml:space="preserve"> como sigue.</w:t>
      </w:r>
    </w:p>
    <w:p w14:paraId="7E7CFF71" w14:textId="77777777" w:rsidR="00300794" w:rsidRPr="00265C4F" w:rsidRDefault="00300794" w:rsidP="00300794">
      <w:pPr>
        <w:ind w:right="709"/>
        <w:jc w:val="both"/>
        <w:rPr>
          <w:rFonts w:ascii="Arial" w:hAnsi="Arial" w:cs="Arial"/>
          <w:sz w:val="21"/>
          <w:szCs w:val="21"/>
          <w:lang w:val="es-CO"/>
        </w:rPr>
      </w:pPr>
    </w:p>
    <w:p w14:paraId="2363CE3D" w14:textId="017C2F5B" w:rsidR="00AC40CD" w:rsidRPr="00265C4F" w:rsidRDefault="008A465E" w:rsidP="00685722">
      <w:pPr>
        <w:ind w:left="709" w:right="709"/>
        <w:jc w:val="both"/>
        <w:rPr>
          <w:rFonts w:ascii="Arial" w:eastAsia="Malgun Gothic" w:hAnsi="Arial" w:cs="Arial"/>
          <w:color w:val="000000" w:themeColor="text1"/>
          <w:sz w:val="21"/>
          <w:szCs w:val="21"/>
          <w:lang w:val="es-CO"/>
        </w:rPr>
      </w:pPr>
      <w:r>
        <w:rPr>
          <w:rFonts w:ascii="Arial" w:eastAsia="Malgun Gothic" w:hAnsi="Arial" w:cs="Arial"/>
          <w:bCs/>
          <w:color w:val="000000" w:themeColor="text1"/>
          <w:sz w:val="21"/>
          <w:szCs w:val="21"/>
          <w:lang w:val="es-CO"/>
        </w:rPr>
        <w:t xml:space="preserve">«4. […] </w:t>
      </w:r>
      <w:r w:rsidR="00AC40CD" w:rsidRPr="00265C4F">
        <w:rPr>
          <w:rFonts w:ascii="Arial" w:eastAsia="Malgun Gothic" w:hAnsi="Arial" w:cs="Arial"/>
          <w:bCs/>
          <w:color w:val="000000" w:themeColor="text1"/>
          <w:sz w:val="21"/>
          <w:szCs w:val="21"/>
          <w:lang w:val="es-CO"/>
        </w:rPr>
        <w:t>¿</w:t>
      </w:r>
      <w:r w:rsidRPr="008A465E">
        <w:rPr>
          <w:rFonts w:ascii="Arial" w:eastAsia="Malgun Gothic" w:hAnsi="Arial" w:cs="Arial"/>
          <w:bCs/>
          <w:color w:val="000000" w:themeColor="text1"/>
          <w:sz w:val="21"/>
          <w:szCs w:val="21"/>
          <w:lang w:val="es-CO"/>
        </w:rPr>
        <w:t xml:space="preserve">Qué debe hacer una Entidad Estatal frente a la causal de rechazo del literal G de la versión 2 del pliego tipo de licitación de obra pública de infraestructura de transporte, teniendo en cuenta el plazo consagrado en el </w:t>
      </w:r>
      <w:r w:rsidRPr="008A465E">
        <w:rPr>
          <w:rFonts w:ascii="Arial" w:eastAsia="Malgun Gothic" w:hAnsi="Arial" w:cs="Arial"/>
          <w:bCs/>
          <w:color w:val="000000" w:themeColor="text1"/>
          <w:sz w:val="21"/>
          <w:szCs w:val="21"/>
          <w:lang w:val="es-CO"/>
        </w:rPr>
        <w:lastRenderedPageBreak/>
        <w:t>artículo 2 del Decreto 434 del 19 de marzo de 2020, y la prohibición expresa de modificar o incluir causales de rechazo en los documentos tipo</w:t>
      </w:r>
      <w:r w:rsidR="00AC40CD" w:rsidRPr="00265C4F">
        <w:rPr>
          <w:rFonts w:ascii="Arial" w:eastAsia="Malgun Gothic" w:hAnsi="Arial" w:cs="Arial"/>
          <w:color w:val="000000" w:themeColor="text1"/>
          <w:sz w:val="21"/>
          <w:szCs w:val="21"/>
          <w:lang w:val="es-CO"/>
        </w:rPr>
        <w:t>?</w:t>
      </w:r>
      <w:r>
        <w:rPr>
          <w:rFonts w:ascii="Arial" w:eastAsia="Malgun Gothic" w:hAnsi="Arial" w:cs="Arial"/>
          <w:color w:val="000000" w:themeColor="text1"/>
          <w:sz w:val="21"/>
          <w:szCs w:val="21"/>
          <w:lang w:val="es-CO"/>
        </w:rPr>
        <w:t>».</w:t>
      </w:r>
    </w:p>
    <w:p w14:paraId="63B67E81" w14:textId="77777777" w:rsidR="00A41873" w:rsidRPr="00265C4F" w:rsidRDefault="00A41873" w:rsidP="00685722">
      <w:pPr>
        <w:ind w:left="709" w:right="709"/>
        <w:jc w:val="both"/>
        <w:rPr>
          <w:rFonts w:ascii="Arial" w:eastAsia="Malgun Gothic" w:hAnsi="Arial" w:cs="Arial"/>
          <w:color w:val="000000" w:themeColor="text1"/>
          <w:sz w:val="21"/>
          <w:szCs w:val="21"/>
          <w:lang w:val="es-CO"/>
        </w:rPr>
      </w:pPr>
    </w:p>
    <w:p w14:paraId="1B6140E4" w14:textId="35BE3EB1" w:rsidR="00AC40CD" w:rsidRPr="00265C4F" w:rsidRDefault="00AC40CD" w:rsidP="00685722">
      <w:pPr>
        <w:tabs>
          <w:tab w:val="left" w:pos="426"/>
        </w:tabs>
        <w:spacing w:line="276" w:lineRule="auto"/>
        <w:jc w:val="both"/>
        <w:rPr>
          <w:rFonts w:ascii="Arial" w:eastAsia="Calibri" w:hAnsi="Arial" w:cs="Arial"/>
          <w:sz w:val="22"/>
          <w:lang w:val="es-CO"/>
        </w:rPr>
      </w:pPr>
      <w:r w:rsidRPr="00265C4F">
        <w:rPr>
          <w:rFonts w:ascii="Arial" w:eastAsia="Calibri" w:hAnsi="Arial" w:cs="Arial"/>
          <w:sz w:val="22"/>
          <w:lang w:val="es-CO"/>
        </w:rPr>
        <w:t>Si bien la regla general de los Documentos Tipo es su inalterabilidad, no se exime a la entidad de aplicar la normativ</w:t>
      </w:r>
      <w:r w:rsidR="00380A43">
        <w:rPr>
          <w:rFonts w:ascii="Arial" w:eastAsia="Calibri" w:hAnsi="Arial" w:cs="Arial"/>
          <w:sz w:val="22"/>
          <w:lang w:val="es-CO"/>
        </w:rPr>
        <w:t>a</w:t>
      </w:r>
      <w:r w:rsidRPr="00265C4F">
        <w:rPr>
          <w:rFonts w:ascii="Arial" w:eastAsia="Calibri" w:hAnsi="Arial" w:cs="Arial"/>
          <w:sz w:val="22"/>
          <w:lang w:val="es-CO"/>
        </w:rPr>
        <w:t xml:space="preserve"> aplicable al proceso de contratación, por lo tanto</w:t>
      </w:r>
      <w:r w:rsidR="00265C4F">
        <w:rPr>
          <w:rFonts w:ascii="Arial" w:eastAsia="Calibri" w:hAnsi="Arial" w:cs="Arial"/>
          <w:sz w:val="22"/>
          <w:lang w:val="es-CO"/>
        </w:rPr>
        <w:t>,</w:t>
      </w:r>
      <w:r w:rsidRPr="00265C4F">
        <w:rPr>
          <w:rFonts w:ascii="Arial" w:eastAsia="Calibri" w:hAnsi="Arial" w:cs="Arial"/>
          <w:sz w:val="22"/>
          <w:lang w:val="es-CO"/>
        </w:rPr>
        <w:t xml:space="preserve"> en caso de que la entidad lo considere pertinente, </w:t>
      </w:r>
      <w:r w:rsidR="00380A43">
        <w:rPr>
          <w:rFonts w:ascii="Arial" w:eastAsia="Calibri" w:hAnsi="Arial" w:cs="Arial"/>
          <w:sz w:val="22"/>
          <w:lang w:val="es-CO"/>
        </w:rPr>
        <w:t>podrá</w:t>
      </w:r>
      <w:r w:rsidRPr="00265C4F">
        <w:rPr>
          <w:rFonts w:ascii="Arial" w:eastAsia="Calibri" w:hAnsi="Arial" w:cs="Arial"/>
          <w:sz w:val="22"/>
          <w:lang w:val="es-CO"/>
        </w:rPr>
        <w:t xml:space="preserve"> expedir una adenda con contenido aclaratorio frente a la causal de rechazo del literal G, del título 1.15 de los Documentos Tipo, en el entendido de que estos son un reglamento </w:t>
      </w:r>
      <w:r w:rsidR="00380A43">
        <w:rPr>
          <w:rFonts w:ascii="Arial" w:eastAsia="Calibri" w:hAnsi="Arial" w:cs="Arial"/>
          <w:sz w:val="22"/>
          <w:lang w:val="es-CO"/>
        </w:rPr>
        <w:t>que se fundamenta en otras normas del ordenamiento jurídico</w:t>
      </w:r>
      <w:r w:rsidRPr="00265C4F">
        <w:rPr>
          <w:rFonts w:ascii="Arial" w:eastAsia="Calibri" w:hAnsi="Arial" w:cs="Arial"/>
          <w:sz w:val="22"/>
          <w:lang w:val="es-CO"/>
        </w:rPr>
        <w:t xml:space="preserve">, por lo </w:t>
      </w:r>
      <w:r w:rsidR="00265C4F">
        <w:rPr>
          <w:rFonts w:ascii="Arial" w:eastAsia="Calibri" w:hAnsi="Arial" w:cs="Arial"/>
          <w:sz w:val="22"/>
          <w:lang w:val="es-CO"/>
        </w:rPr>
        <w:t>cual</w:t>
      </w:r>
      <w:r w:rsidRPr="00265C4F">
        <w:rPr>
          <w:rFonts w:ascii="Arial" w:eastAsia="Calibri" w:hAnsi="Arial" w:cs="Arial"/>
          <w:sz w:val="22"/>
          <w:lang w:val="es-CO"/>
        </w:rPr>
        <w:t>, si la ley cambia o sufre modificaciones, deben ajustarse y aplicarse las disposiciones vigentes. La causal de rechazo mencionada pierde fuerza ejecutoria y su contenido debe</w:t>
      </w:r>
      <w:r w:rsidR="00380A43">
        <w:rPr>
          <w:rFonts w:ascii="Arial" w:eastAsia="Calibri" w:hAnsi="Arial" w:cs="Arial"/>
          <w:sz w:val="22"/>
          <w:lang w:val="es-CO"/>
        </w:rPr>
        <w:t xml:space="preserve"> aplicarse</w:t>
      </w:r>
      <w:r w:rsidRPr="00265C4F">
        <w:rPr>
          <w:rFonts w:ascii="Arial" w:eastAsia="Calibri" w:hAnsi="Arial" w:cs="Arial"/>
          <w:sz w:val="22"/>
          <w:lang w:val="es-CO"/>
        </w:rPr>
        <w:t xml:space="preserve"> </w:t>
      </w:r>
      <w:r w:rsidR="00380A43">
        <w:rPr>
          <w:rFonts w:ascii="Arial" w:eastAsia="Calibri" w:hAnsi="Arial" w:cs="Arial"/>
          <w:sz w:val="22"/>
          <w:lang w:val="es-CO"/>
        </w:rPr>
        <w:t>adecuada</w:t>
      </w:r>
      <w:r w:rsidR="00380A43" w:rsidRPr="00265C4F">
        <w:rPr>
          <w:rFonts w:ascii="Arial" w:eastAsia="Calibri" w:hAnsi="Arial" w:cs="Arial"/>
          <w:sz w:val="22"/>
          <w:lang w:val="es-CO"/>
        </w:rPr>
        <w:t xml:space="preserve"> </w:t>
      </w:r>
      <w:r w:rsidRPr="00265C4F">
        <w:rPr>
          <w:rFonts w:ascii="Arial" w:eastAsia="Calibri" w:hAnsi="Arial" w:cs="Arial"/>
          <w:sz w:val="22"/>
          <w:lang w:val="es-CO"/>
        </w:rPr>
        <w:t xml:space="preserve">a lo </w:t>
      </w:r>
      <w:r w:rsidR="00380A43">
        <w:rPr>
          <w:rFonts w:ascii="Arial" w:eastAsia="Calibri" w:hAnsi="Arial" w:cs="Arial"/>
          <w:sz w:val="22"/>
          <w:lang w:val="es-CO"/>
        </w:rPr>
        <w:t>establecido</w:t>
      </w:r>
      <w:r w:rsidR="00380A43" w:rsidRPr="00265C4F">
        <w:rPr>
          <w:rFonts w:ascii="Arial" w:eastAsia="Calibri" w:hAnsi="Arial" w:cs="Arial"/>
          <w:sz w:val="22"/>
          <w:lang w:val="es-CO"/>
        </w:rPr>
        <w:t xml:space="preserve"> </w:t>
      </w:r>
      <w:r w:rsidRPr="00265C4F">
        <w:rPr>
          <w:rFonts w:ascii="Arial" w:eastAsia="Calibri" w:hAnsi="Arial" w:cs="Arial"/>
          <w:sz w:val="22"/>
          <w:lang w:val="es-CO"/>
        </w:rPr>
        <w:t>en el artículo 2 del Decreto 434 de 2020</w:t>
      </w:r>
      <w:r w:rsidR="00380A43">
        <w:rPr>
          <w:rFonts w:ascii="Arial" w:eastAsia="Calibri" w:hAnsi="Arial" w:cs="Arial"/>
          <w:sz w:val="22"/>
          <w:lang w:val="es-CO"/>
        </w:rPr>
        <w:t xml:space="preserve">, de modo </w:t>
      </w:r>
      <w:proofErr w:type="gramStart"/>
      <w:r w:rsidR="00380A43">
        <w:rPr>
          <w:rFonts w:ascii="Arial" w:eastAsia="Calibri" w:hAnsi="Arial" w:cs="Arial"/>
          <w:sz w:val="22"/>
          <w:lang w:val="es-CO"/>
        </w:rPr>
        <w:t>que</w:t>
      </w:r>
      <w:proofErr w:type="gramEnd"/>
      <w:r w:rsidR="00380A43">
        <w:rPr>
          <w:rFonts w:ascii="Arial" w:eastAsia="Calibri" w:hAnsi="Arial" w:cs="Arial"/>
          <w:sz w:val="22"/>
          <w:lang w:val="es-CO"/>
        </w:rPr>
        <w:t xml:space="preserve"> con base en dicha modificación, en todo caso, se deben evaluar las ofertas.</w:t>
      </w:r>
    </w:p>
    <w:p w14:paraId="65859E48" w14:textId="77777777" w:rsidR="00DB5526" w:rsidRPr="00265C4F" w:rsidRDefault="00DB5526" w:rsidP="00685722">
      <w:pPr>
        <w:tabs>
          <w:tab w:val="left" w:pos="426"/>
        </w:tabs>
        <w:spacing w:line="276" w:lineRule="auto"/>
        <w:jc w:val="both"/>
        <w:rPr>
          <w:rFonts w:ascii="Arial" w:eastAsia="Calibri" w:hAnsi="Arial" w:cs="Arial"/>
          <w:sz w:val="22"/>
          <w:lang w:val="es-CO"/>
        </w:rPr>
      </w:pPr>
    </w:p>
    <w:p w14:paraId="453280D0" w14:textId="7454FE80" w:rsidR="00A41873" w:rsidRPr="00265C4F" w:rsidRDefault="00AC40CD" w:rsidP="00685722">
      <w:pPr>
        <w:ind w:left="709" w:right="709"/>
        <w:jc w:val="both"/>
        <w:rPr>
          <w:rFonts w:ascii="Arial" w:eastAsia="Calibri" w:hAnsi="Arial" w:cs="Arial"/>
          <w:color w:val="000000" w:themeColor="text1"/>
          <w:sz w:val="21"/>
          <w:szCs w:val="21"/>
          <w:lang w:val="es-CO"/>
        </w:rPr>
      </w:pPr>
      <w:r w:rsidRPr="00265C4F">
        <w:rPr>
          <w:rFonts w:ascii="Arial" w:eastAsia="Calibri" w:hAnsi="Arial" w:cs="Arial"/>
          <w:color w:val="000000" w:themeColor="text1"/>
          <w:sz w:val="21"/>
          <w:szCs w:val="21"/>
          <w:lang w:val="es-CO"/>
        </w:rPr>
        <w:t>«</w:t>
      </w:r>
      <w:r w:rsidR="008A465E">
        <w:rPr>
          <w:rFonts w:ascii="Arial" w:eastAsia="Calibri" w:hAnsi="Arial" w:cs="Arial"/>
          <w:color w:val="000000" w:themeColor="text1"/>
          <w:sz w:val="21"/>
          <w:szCs w:val="21"/>
          <w:lang w:val="es-CO"/>
        </w:rPr>
        <w:t xml:space="preserve">5. </w:t>
      </w:r>
      <w:r w:rsidR="008A465E" w:rsidRPr="008A465E">
        <w:rPr>
          <w:rFonts w:ascii="Arial" w:eastAsia="Malgun Gothic" w:hAnsi="Arial" w:cs="Arial"/>
          <w:bCs/>
          <w:color w:val="000000" w:themeColor="text1"/>
          <w:sz w:val="21"/>
          <w:szCs w:val="21"/>
          <w:lang w:val="es-CO"/>
        </w:rPr>
        <w:t>Teniendo en cuenta que conforme al artículo 2 del Decreto 434 del 19 de marzo de 2020 el plazo máximo para renovar es a más tardar el quinto día hábil del mes de julio de 2020, y mientras ese plazo no ocurre, ¿es posible que la Entidad requiera en los pliegos tipo que el RUP pueda contener información financiera vigente y en firme tanto de corte a 31 de diciembre de 2018, como de corte a 31 de diciembre de 2019?</w:t>
      </w:r>
      <w:r w:rsidRPr="00265C4F">
        <w:rPr>
          <w:rFonts w:ascii="Arial" w:eastAsia="Calibri" w:hAnsi="Arial" w:cs="Arial"/>
          <w:color w:val="000000" w:themeColor="text1"/>
          <w:sz w:val="21"/>
          <w:szCs w:val="21"/>
          <w:lang w:val="es-CO"/>
        </w:rPr>
        <w:t>»</w:t>
      </w:r>
    </w:p>
    <w:p w14:paraId="4895FA0A" w14:textId="77777777" w:rsidR="00A41873" w:rsidRPr="00265C4F" w:rsidRDefault="00A41873" w:rsidP="00685722">
      <w:pPr>
        <w:ind w:left="709" w:right="709"/>
        <w:jc w:val="both"/>
        <w:rPr>
          <w:rFonts w:ascii="Arial" w:eastAsia="Calibri" w:hAnsi="Arial" w:cs="Arial"/>
          <w:color w:val="000000" w:themeColor="text1"/>
          <w:sz w:val="21"/>
          <w:szCs w:val="21"/>
          <w:lang w:val="es-CO"/>
        </w:rPr>
      </w:pPr>
    </w:p>
    <w:p w14:paraId="44775E92" w14:textId="50835B16" w:rsidR="00A41873" w:rsidRPr="00685722" w:rsidRDefault="005C57E1" w:rsidP="00685722">
      <w:pPr>
        <w:pStyle w:val="paragraph"/>
        <w:spacing w:before="0" w:beforeAutospacing="0" w:after="120" w:afterAutospacing="0" w:line="276" w:lineRule="auto"/>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Teniendo en cuenta que la capacidad financiera se evalúa conforme a la información contenida en el RUP, </w:t>
      </w:r>
      <w:proofErr w:type="gramStart"/>
      <w:r>
        <w:rPr>
          <w:rStyle w:val="normaltextrun"/>
          <w:rFonts w:ascii="Arial" w:hAnsi="Arial" w:cs="Arial"/>
          <w:color w:val="000000"/>
          <w:sz w:val="22"/>
          <w:szCs w:val="22"/>
        </w:rPr>
        <w:t>de acuerdo a</w:t>
      </w:r>
      <w:proofErr w:type="gramEnd"/>
      <w:r>
        <w:rPr>
          <w:rStyle w:val="normaltextrun"/>
          <w:rFonts w:ascii="Arial" w:hAnsi="Arial" w:cs="Arial"/>
          <w:color w:val="000000"/>
          <w:sz w:val="22"/>
          <w:szCs w:val="22"/>
        </w:rPr>
        <w:t xml:space="preserve"> lo establecido </w:t>
      </w:r>
      <w:r w:rsidRPr="005C57E1">
        <w:rPr>
          <w:rStyle w:val="normaltextrun"/>
          <w:rFonts w:ascii="Arial" w:hAnsi="Arial" w:cs="Arial"/>
          <w:color w:val="000000"/>
          <w:sz w:val="22"/>
          <w:szCs w:val="22"/>
        </w:rPr>
        <w:t>en los artículos 5 y 6 de la Ley 1150 de 2007 y artícul</w:t>
      </w:r>
      <w:r w:rsidR="0097164E">
        <w:rPr>
          <w:rStyle w:val="normaltextrun"/>
          <w:rFonts w:ascii="Arial" w:hAnsi="Arial" w:cs="Arial"/>
          <w:color w:val="000000"/>
          <w:sz w:val="22"/>
          <w:szCs w:val="22"/>
        </w:rPr>
        <w:t xml:space="preserve">o </w:t>
      </w:r>
      <w:r w:rsidR="0097164E" w:rsidRPr="0097164E">
        <w:rPr>
          <w:rStyle w:val="normaltextrun"/>
          <w:rFonts w:ascii="Arial" w:hAnsi="Arial" w:cs="Arial"/>
          <w:color w:val="000000"/>
          <w:sz w:val="22"/>
          <w:szCs w:val="22"/>
        </w:rPr>
        <w:t>2.2.1.1.1.5.1. y siguientes del Decreto 1082 de 2015</w:t>
      </w:r>
      <w:r>
        <w:rPr>
          <w:rStyle w:val="normaltextrun"/>
          <w:rFonts w:ascii="Arial" w:hAnsi="Arial" w:cs="Arial"/>
          <w:color w:val="000000"/>
          <w:sz w:val="22"/>
          <w:szCs w:val="22"/>
        </w:rPr>
        <w:t>, los indicadores financieros a utilizar son los últimos que haya inscrito o renovado el proponente en su registro y que, como se indicó en las consideraciones, esté</w:t>
      </w:r>
      <w:r w:rsidR="003C6653">
        <w:rPr>
          <w:rStyle w:val="normaltextrun"/>
          <w:rFonts w:ascii="Arial" w:hAnsi="Arial" w:cs="Arial"/>
          <w:color w:val="000000"/>
          <w:sz w:val="22"/>
          <w:szCs w:val="22"/>
        </w:rPr>
        <w:t>n</w:t>
      </w:r>
      <w:r>
        <w:rPr>
          <w:rStyle w:val="normaltextrun"/>
          <w:rFonts w:ascii="Arial" w:hAnsi="Arial" w:cs="Arial"/>
          <w:color w:val="000000"/>
          <w:sz w:val="22"/>
          <w:szCs w:val="22"/>
        </w:rPr>
        <w:t xml:space="preserve"> en firme antes del cierre del procedimiento de selección</w:t>
      </w:r>
      <w:r w:rsidR="004F5512">
        <w:rPr>
          <w:rStyle w:val="normaltextrun"/>
          <w:rFonts w:ascii="Arial" w:hAnsi="Arial" w:cs="Arial"/>
          <w:color w:val="000000"/>
          <w:sz w:val="22"/>
          <w:szCs w:val="22"/>
        </w:rPr>
        <w:t>. En este sentido</w:t>
      </w:r>
      <w:r w:rsidR="003C6653">
        <w:rPr>
          <w:rStyle w:val="normaltextrun"/>
          <w:rFonts w:ascii="Arial" w:hAnsi="Arial" w:cs="Arial"/>
          <w:color w:val="000000"/>
          <w:sz w:val="22"/>
          <w:szCs w:val="22"/>
        </w:rPr>
        <w:t>,</w:t>
      </w:r>
      <w:r w:rsidR="004F5512">
        <w:rPr>
          <w:rStyle w:val="normaltextrun"/>
          <w:rFonts w:ascii="Arial" w:hAnsi="Arial" w:cs="Arial"/>
          <w:color w:val="000000"/>
          <w:sz w:val="22"/>
          <w:szCs w:val="22"/>
        </w:rPr>
        <w:t xml:space="preserve"> esta evaluación se realiza con fundamento en la información contenida en el RUP vigente y en firme al momento del cierre del procedimiento de s</w:t>
      </w:r>
      <w:r w:rsidR="00182192">
        <w:rPr>
          <w:rStyle w:val="normaltextrun"/>
          <w:rFonts w:ascii="Arial" w:hAnsi="Arial" w:cs="Arial"/>
          <w:color w:val="000000"/>
          <w:sz w:val="22"/>
          <w:szCs w:val="22"/>
        </w:rPr>
        <w:t>elección</w:t>
      </w:r>
      <w:r w:rsidR="003C6653">
        <w:rPr>
          <w:rStyle w:val="normaltextrun"/>
          <w:rFonts w:ascii="Arial" w:hAnsi="Arial" w:cs="Arial"/>
          <w:color w:val="000000"/>
          <w:sz w:val="22"/>
          <w:szCs w:val="22"/>
        </w:rPr>
        <w:t xml:space="preserve">. </w:t>
      </w:r>
      <w:r w:rsidR="00182192">
        <w:rPr>
          <w:rStyle w:val="normaltextrun"/>
          <w:rFonts w:ascii="Arial" w:hAnsi="Arial" w:cs="Arial"/>
          <w:color w:val="000000"/>
          <w:sz w:val="22"/>
          <w:szCs w:val="22"/>
        </w:rPr>
        <w:t xml:space="preserve"> </w:t>
      </w:r>
    </w:p>
    <w:p w14:paraId="3273D45E" w14:textId="438FBBD2" w:rsidR="00A41873" w:rsidRPr="00265C4F" w:rsidRDefault="00265C4F" w:rsidP="00685722">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rPr>
        <w:t>Así</w:t>
      </w:r>
      <w:r w:rsidR="003C6653">
        <w:rPr>
          <w:rStyle w:val="normaltextrun"/>
          <w:rFonts w:ascii="Arial" w:hAnsi="Arial" w:cs="Arial"/>
          <w:color w:val="000000"/>
          <w:sz w:val="22"/>
          <w:szCs w:val="22"/>
        </w:rPr>
        <w:t>, tratándose de un procedimiento de selección cuya fecha de cierre para presentación de ofertas fuera el presente año, antes del quinto día hábil del mes de julio del 2020, como es el supuesto hipotético planteado por el peticionario, si el oferente ya hubiera renovado el registro el presente año y estuviera en firme para antes del cierre del proceso, los indicadores financieros con los que se debería evaluar dicha oferta serían los registrados en el RUP, esto es, con corte a 3</w:t>
      </w:r>
      <w:r w:rsidR="00ED7DD3">
        <w:rPr>
          <w:rStyle w:val="normaltextrun"/>
          <w:rFonts w:ascii="Arial" w:hAnsi="Arial" w:cs="Arial"/>
          <w:color w:val="000000"/>
          <w:sz w:val="22"/>
          <w:szCs w:val="22"/>
        </w:rPr>
        <w:t>1</w:t>
      </w:r>
      <w:r w:rsidR="003C6653">
        <w:rPr>
          <w:rStyle w:val="normaltextrun"/>
          <w:rFonts w:ascii="Arial" w:hAnsi="Arial" w:cs="Arial"/>
          <w:color w:val="000000"/>
          <w:sz w:val="22"/>
          <w:szCs w:val="22"/>
        </w:rPr>
        <w:t xml:space="preserve"> de diciembre de 2019. Ahora bien, </w:t>
      </w:r>
      <w:r w:rsidR="009E043C">
        <w:rPr>
          <w:rStyle w:val="normaltextrun"/>
          <w:rFonts w:ascii="Arial" w:hAnsi="Arial" w:cs="Arial"/>
          <w:color w:val="000000"/>
          <w:sz w:val="22"/>
          <w:szCs w:val="22"/>
        </w:rPr>
        <w:t xml:space="preserve">en el caso hipotético planteado, esto es, que el cierre del proceso fuera antes del quinto día hábil del mes de julio y </w:t>
      </w:r>
      <w:r w:rsidR="003C6653">
        <w:rPr>
          <w:rStyle w:val="normaltextrun"/>
          <w:rFonts w:ascii="Arial" w:hAnsi="Arial" w:cs="Arial"/>
          <w:color w:val="000000"/>
          <w:sz w:val="22"/>
          <w:szCs w:val="22"/>
        </w:rPr>
        <w:t>el proponente no hubiera renovado su registro</w:t>
      </w:r>
      <w:r w:rsidR="009E043C">
        <w:rPr>
          <w:rStyle w:val="normaltextrun"/>
          <w:rFonts w:ascii="Arial" w:hAnsi="Arial" w:cs="Arial"/>
          <w:color w:val="000000"/>
          <w:sz w:val="22"/>
          <w:szCs w:val="22"/>
        </w:rPr>
        <w:t xml:space="preserve"> el presente año, la evaluación en todo caso se realizaría con la que tenga vigente y en firme, que para tal proponente sería con corte a 31 de diciembre de 2018.</w:t>
      </w:r>
    </w:p>
    <w:p w14:paraId="4D904545" w14:textId="593F5E2B" w:rsidR="00A41873" w:rsidRPr="00265C4F" w:rsidRDefault="00A41873">
      <w:pPr>
        <w:pStyle w:val="paragraph"/>
        <w:spacing w:before="0" w:beforeAutospacing="0" w:after="0" w:afterAutospacing="0"/>
        <w:jc w:val="both"/>
        <w:textAlignment w:val="baseline"/>
        <w:rPr>
          <w:rFonts w:ascii="Segoe UI" w:hAnsi="Segoe UI" w:cs="Segoe UI"/>
          <w:sz w:val="18"/>
          <w:szCs w:val="18"/>
        </w:rPr>
      </w:pPr>
    </w:p>
    <w:p w14:paraId="41F3F707" w14:textId="1C5758EE" w:rsidR="00714981" w:rsidRPr="00265C4F" w:rsidRDefault="00714981" w:rsidP="00685722">
      <w:pPr>
        <w:ind w:left="709" w:right="709"/>
        <w:jc w:val="both"/>
        <w:rPr>
          <w:rFonts w:ascii="Arial" w:eastAsia="Calibri" w:hAnsi="Arial" w:cs="Arial"/>
          <w:color w:val="000000" w:themeColor="text1"/>
          <w:sz w:val="21"/>
          <w:szCs w:val="21"/>
          <w:lang w:val="es-CO"/>
        </w:rPr>
      </w:pPr>
      <w:r w:rsidRPr="00265C4F">
        <w:rPr>
          <w:rFonts w:ascii="Arial" w:eastAsia="Calibri" w:hAnsi="Arial" w:cs="Arial"/>
          <w:color w:val="000000" w:themeColor="text1"/>
          <w:sz w:val="21"/>
          <w:szCs w:val="21"/>
          <w:lang w:val="es-CO"/>
        </w:rPr>
        <w:t>«</w:t>
      </w:r>
      <w:r w:rsidR="001946F3">
        <w:rPr>
          <w:rFonts w:ascii="Arial" w:eastAsia="Calibri" w:hAnsi="Arial" w:cs="Arial"/>
          <w:color w:val="000000" w:themeColor="text1"/>
          <w:sz w:val="21"/>
          <w:szCs w:val="21"/>
          <w:lang w:val="es-CO"/>
        </w:rPr>
        <w:t xml:space="preserve">6. </w:t>
      </w:r>
      <w:r w:rsidR="001946F3" w:rsidRPr="001946F3">
        <w:rPr>
          <w:rFonts w:ascii="Arial" w:eastAsia="Calibri" w:hAnsi="Arial" w:cs="Arial"/>
          <w:color w:val="000000" w:themeColor="text1"/>
          <w:sz w:val="21"/>
          <w:szCs w:val="21"/>
          <w:lang w:val="es-CO"/>
        </w:rPr>
        <w:t xml:space="preserve">En caso de que la respuesta anterior indique que no es viable posibilitar la presentación de información financiera tanto de corte a 31 de diciembre de </w:t>
      </w:r>
      <w:r w:rsidR="001946F3" w:rsidRPr="001946F3">
        <w:rPr>
          <w:rFonts w:ascii="Arial" w:eastAsia="Calibri" w:hAnsi="Arial" w:cs="Arial"/>
          <w:color w:val="000000" w:themeColor="text1"/>
          <w:sz w:val="21"/>
          <w:szCs w:val="21"/>
          <w:lang w:val="es-CO"/>
        </w:rPr>
        <w:lastRenderedPageBreak/>
        <w:t>2018, como de corte a 31 de diciembre de 2019, sino en su defecto solo una, ¿sería una exigencia jurídicamente razonable y justificada</w:t>
      </w:r>
      <w:r w:rsidR="001946F3">
        <w:rPr>
          <w:rFonts w:ascii="Arial" w:eastAsia="Calibri" w:hAnsi="Arial" w:cs="Arial"/>
          <w:color w:val="000000" w:themeColor="text1"/>
          <w:sz w:val="21"/>
          <w:szCs w:val="21"/>
          <w:lang w:val="es-CO"/>
        </w:rPr>
        <w:t>?</w:t>
      </w:r>
      <w:r w:rsidRPr="00265C4F">
        <w:rPr>
          <w:rFonts w:ascii="Arial" w:eastAsia="Calibri" w:hAnsi="Arial" w:cs="Arial"/>
          <w:color w:val="000000" w:themeColor="text1"/>
          <w:sz w:val="21"/>
          <w:szCs w:val="21"/>
          <w:lang w:val="es-CO"/>
        </w:rPr>
        <w:t xml:space="preserve">» </w:t>
      </w:r>
    </w:p>
    <w:p w14:paraId="571CFC80" w14:textId="77777777" w:rsidR="00CB72F9" w:rsidRPr="00265C4F" w:rsidRDefault="00CB72F9" w:rsidP="00685722">
      <w:pPr>
        <w:ind w:left="709"/>
        <w:jc w:val="both"/>
        <w:rPr>
          <w:rFonts w:ascii="Arial" w:eastAsia="Calibri" w:hAnsi="Arial" w:cs="Arial"/>
          <w:color w:val="000000" w:themeColor="text1"/>
          <w:sz w:val="21"/>
          <w:szCs w:val="21"/>
          <w:lang w:val="es-CO"/>
        </w:rPr>
      </w:pPr>
    </w:p>
    <w:p w14:paraId="7611D7D1" w14:textId="2078713F" w:rsidR="00714981" w:rsidRPr="00265C4F" w:rsidRDefault="00714981" w:rsidP="00685722">
      <w:pPr>
        <w:spacing w:line="276" w:lineRule="auto"/>
        <w:jc w:val="both"/>
        <w:rPr>
          <w:rFonts w:ascii="Arial" w:eastAsia="Calibri" w:hAnsi="Arial" w:cs="Arial"/>
          <w:color w:val="000000" w:themeColor="text1"/>
          <w:sz w:val="22"/>
          <w:lang w:val="es-CO"/>
        </w:rPr>
      </w:pPr>
      <w:r w:rsidRPr="00265C4F">
        <w:rPr>
          <w:rFonts w:ascii="Arial" w:eastAsia="Calibri" w:hAnsi="Arial" w:cs="Arial"/>
          <w:color w:val="000000" w:themeColor="text1"/>
          <w:sz w:val="22"/>
          <w:lang w:val="es-CO"/>
        </w:rPr>
        <w:t xml:space="preserve">Se remite a la respuesta dada al interrogante anterior, donde se </w:t>
      </w:r>
      <w:r w:rsidR="009E043C">
        <w:rPr>
          <w:rFonts w:ascii="Arial" w:eastAsia="Calibri" w:hAnsi="Arial" w:cs="Arial"/>
          <w:color w:val="000000" w:themeColor="text1"/>
          <w:sz w:val="22"/>
          <w:lang w:val="es-CO"/>
        </w:rPr>
        <w:t>señalan</w:t>
      </w:r>
      <w:r w:rsidR="009E043C" w:rsidRPr="00265C4F">
        <w:rPr>
          <w:rFonts w:ascii="Arial" w:eastAsia="Calibri" w:hAnsi="Arial" w:cs="Arial"/>
          <w:color w:val="000000" w:themeColor="text1"/>
          <w:sz w:val="22"/>
          <w:lang w:val="es-CO"/>
        </w:rPr>
        <w:t xml:space="preserve"> </w:t>
      </w:r>
      <w:r w:rsidRPr="00265C4F">
        <w:rPr>
          <w:rFonts w:ascii="Arial" w:eastAsia="Calibri" w:hAnsi="Arial" w:cs="Arial"/>
          <w:color w:val="000000" w:themeColor="text1"/>
          <w:sz w:val="22"/>
          <w:lang w:val="es-CO"/>
        </w:rPr>
        <w:t>las dos situaciones que se pueden presentar</w:t>
      </w:r>
      <w:r w:rsidR="009E043C">
        <w:rPr>
          <w:rFonts w:ascii="Arial" w:eastAsia="Calibri" w:hAnsi="Arial" w:cs="Arial"/>
          <w:color w:val="000000" w:themeColor="text1"/>
          <w:sz w:val="22"/>
          <w:lang w:val="es-CO"/>
        </w:rPr>
        <w:t>, para la evaluación de las ofertas</w:t>
      </w:r>
      <w:r w:rsidR="00CB72F9" w:rsidRPr="00265C4F">
        <w:rPr>
          <w:rFonts w:ascii="Arial" w:eastAsia="Calibri" w:hAnsi="Arial" w:cs="Arial"/>
          <w:color w:val="000000" w:themeColor="text1"/>
          <w:sz w:val="22"/>
          <w:lang w:val="es-CO"/>
        </w:rPr>
        <w:t xml:space="preserve">. </w:t>
      </w:r>
    </w:p>
    <w:p w14:paraId="3773F5C0" w14:textId="76A79340" w:rsidR="00CB72F9" w:rsidRPr="00265C4F" w:rsidRDefault="00CB72F9" w:rsidP="00685722">
      <w:pPr>
        <w:spacing w:line="276" w:lineRule="auto"/>
        <w:ind w:right="709"/>
        <w:jc w:val="both"/>
        <w:rPr>
          <w:rFonts w:ascii="Arial" w:eastAsia="Calibri" w:hAnsi="Arial" w:cs="Arial"/>
          <w:color w:val="000000" w:themeColor="text1"/>
          <w:sz w:val="22"/>
          <w:lang w:val="es-CO"/>
        </w:rPr>
      </w:pPr>
    </w:p>
    <w:p w14:paraId="424E9275" w14:textId="59C40B3F" w:rsidR="00CB72F9" w:rsidRPr="00265C4F" w:rsidRDefault="004152AE" w:rsidP="00685722">
      <w:pPr>
        <w:spacing w:after="120"/>
        <w:ind w:left="709" w:right="709"/>
        <w:jc w:val="both"/>
        <w:rPr>
          <w:rFonts w:ascii="Arial" w:eastAsia="Calibri" w:hAnsi="Arial" w:cs="Arial"/>
          <w:color w:val="000000" w:themeColor="text1"/>
          <w:sz w:val="21"/>
          <w:szCs w:val="21"/>
          <w:lang w:val="es-CO"/>
        </w:rPr>
      </w:pPr>
      <w:r>
        <w:rPr>
          <w:rFonts w:ascii="Arial" w:eastAsia="Calibri" w:hAnsi="Arial" w:cs="Arial"/>
          <w:color w:val="000000" w:themeColor="text1"/>
          <w:sz w:val="21"/>
          <w:szCs w:val="21"/>
          <w:lang w:val="es-CO"/>
        </w:rPr>
        <w:t xml:space="preserve">«1. </w:t>
      </w:r>
      <w:r w:rsidR="00CB72F9" w:rsidRPr="00265C4F">
        <w:rPr>
          <w:rFonts w:ascii="Arial" w:eastAsia="Calibri" w:hAnsi="Arial" w:cs="Arial"/>
          <w:color w:val="000000" w:themeColor="text1"/>
          <w:sz w:val="21"/>
          <w:szCs w:val="21"/>
          <w:lang w:val="es-CO"/>
        </w:rPr>
        <w:t>Si en el curso de un proceso de selección, un proponente allega un RUP vigente y en firme con información financiera de corte 31 de diciembre de 2018, pero con posterioridad al cierre se configura el plazo máximo que tiene para renovar, y en efecto el proponente renueva dentro de dicho plazo:</w:t>
      </w:r>
    </w:p>
    <w:p w14:paraId="5B556B4B" w14:textId="50F05CC2" w:rsidR="00CB72F9" w:rsidRPr="00265C4F" w:rsidRDefault="004152AE" w:rsidP="00685722">
      <w:pPr>
        <w:spacing w:after="120"/>
        <w:ind w:left="709" w:right="709"/>
        <w:jc w:val="both"/>
        <w:rPr>
          <w:rFonts w:ascii="Arial" w:eastAsia="Calibri" w:hAnsi="Arial" w:cs="Arial"/>
          <w:color w:val="000000" w:themeColor="text1"/>
          <w:sz w:val="21"/>
          <w:szCs w:val="21"/>
          <w:lang w:val="es-CO"/>
        </w:rPr>
      </w:pPr>
      <w:proofErr w:type="gramStart"/>
      <w:r>
        <w:rPr>
          <w:rFonts w:ascii="Arial" w:eastAsia="Calibri" w:hAnsi="Arial" w:cs="Arial"/>
          <w:color w:val="000000" w:themeColor="text1"/>
          <w:sz w:val="21"/>
          <w:szCs w:val="21"/>
          <w:lang w:val="es-CO"/>
        </w:rPr>
        <w:t>»</w:t>
      </w:r>
      <w:r w:rsidR="00CD001D" w:rsidRPr="00265C4F">
        <w:rPr>
          <w:rFonts w:ascii="Arial" w:eastAsia="Calibri" w:hAnsi="Arial" w:cs="Arial"/>
          <w:color w:val="000000" w:themeColor="text1"/>
          <w:sz w:val="21"/>
          <w:szCs w:val="21"/>
          <w:lang w:val="es-CO"/>
        </w:rPr>
        <w:t>a</w:t>
      </w:r>
      <w:proofErr w:type="gramEnd"/>
      <w:r w:rsidR="00CD001D" w:rsidRPr="00265C4F">
        <w:rPr>
          <w:rFonts w:ascii="Arial" w:eastAsia="Calibri" w:hAnsi="Arial" w:cs="Arial"/>
          <w:color w:val="000000" w:themeColor="text1"/>
          <w:sz w:val="21"/>
          <w:szCs w:val="21"/>
          <w:lang w:val="es-CO"/>
        </w:rPr>
        <w:t>) ¿</w:t>
      </w:r>
      <w:r w:rsidR="00CB72F9" w:rsidRPr="00265C4F">
        <w:rPr>
          <w:rFonts w:ascii="Arial" w:eastAsia="Calibri" w:hAnsi="Arial" w:cs="Arial"/>
          <w:color w:val="000000" w:themeColor="text1"/>
          <w:sz w:val="21"/>
          <w:szCs w:val="21"/>
          <w:lang w:val="es-CO"/>
        </w:rPr>
        <w:t>Debe aportar el RUP renovado?, de ser así, ¿la vigencia y la firmeza cómo deben evaluarse?</w:t>
      </w:r>
    </w:p>
    <w:p w14:paraId="7701FF73" w14:textId="30235565" w:rsidR="00CB72F9" w:rsidRPr="00265C4F" w:rsidRDefault="004152AE" w:rsidP="00685722">
      <w:pPr>
        <w:spacing w:after="120"/>
        <w:ind w:left="709" w:right="709"/>
        <w:jc w:val="both"/>
        <w:rPr>
          <w:rFonts w:ascii="Arial" w:eastAsia="Calibri" w:hAnsi="Arial" w:cs="Arial"/>
          <w:color w:val="000000" w:themeColor="text1"/>
          <w:sz w:val="21"/>
          <w:szCs w:val="21"/>
          <w:lang w:val="es-CO"/>
        </w:rPr>
      </w:pPr>
      <w:proofErr w:type="gramStart"/>
      <w:r>
        <w:rPr>
          <w:rFonts w:ascii="Arial" w:eastAsia="Calibri" w:hAnsi="Arial" w:cs="Arial"/>
          <w:color w:val="000000" w:themeColor="text1"/>
          <w:sz w:val="21"/>
          <w:szCs w:val="21"/>
          <w:lang w:val="es-CO"/>
        </w:rPr>
        <w:t>»</w:t>
      </w:r>
      <w:r w:rsidR="00CD001D" w:rsidRPr="00265C4F">
        <w:rPr>
          <w:rFonts w:ascii="Arial" w:eastAsia="Calibri" w:hAnsi="Arial" w:cs="Arial"/>
          <w:color w:val="000000" w:themeColor="text1"/>
          <w:sz w:val="21"/>
          <w:szCs w:val="21"/>
          <w:lang w:val="es-CO"/>
        </w:rPr>
        <w:t>b</w:t>
      </w:r>
      <w:proofErr w:type="gramEnd"/>
      <w:r w:rsidR="00CD001D" w:rsidRPr="00265C4F">
        <w:rPr>
          <w:rFonts w:ascii="Arial" w:eastAsia="Calibri" w:hAnsi="Arial" w:cs="Arial"/>
          <w:color w:val="000000" w:themeColor="text1"/>
          <w:sz w:val="21"/>
          <w:szCs w:val="21"/>
          <w:lang w:val="es-CO"/>
        </w:rPr>
        <w:t>) En</w:t>
      </w:r>
      <w:r w:rsidR="00CB72F9" w:rsidRPr="00265C4F">
        <w:rPr>
          <w:rFonts w:ascii="Arial" w:eastAsia="Calibri" w:hAnsi="Arial" w:cs="Arial"/>
          <w:color w:val="000000" w:themeColor="text1"/>
          <w:sz w:val="21"/>
          <w:szCs w:val="21"/>
          <w:lang w:val="es-CO"/>
        </w:rPr>
        <w:t xml:space="preserve"> caso contrario, ¿Basta que acredite dentro del proceso que presentó ante la Cámara de Comercio la información para renovar a más tardar el quinto día hábil del mes de julio de 2020?</w:t>
      </w:r>
    </w:p>
    <w:p w14:paraId="22B1CB80" w14:textId="05D2916E" w:rsidR="00CB72F9" w:rsidRPr="00265C4F" w:rsidRDefault="004152AE" w:rsidP="00685722">
      <w:pPr>
        <w:spacing w:after="120"/>
        <w:ind w:left="709" w:right="709"/>
        <w:jc w:val="both"/>
        <w:rPr>
          <w:rFonts w:ascii="Arial" w:eastAsia="Calibri" w:hAnsi="Arial" w:cs="Arial"/>
          <w:color w:val="000000" w:themeColor="text1"/>
          <w:sz w:val="21"/>
          <w:szCs w:val="21"/>
          <w:lang w:val="es-CO"/>
        </w:rPr>
      </w:pPr>
      <w:r>
        <w:rPr>
          <w:rFonts w:ascii="Arial" w:eastAsia="Calibri" w:hAnsi="Arial" w:cs="Arial"/>
          <w:color w:val="000000" w:themeColor="text1"/>
          <w:sz w:val="21"/>
          <w:szCs w:val="21"/>
          <w:lang w:val="es-CO"/>
        </w:rPr>
        <w:t>»</w:t>
      </w:r>
      <w:r w:rsidR="00CB72F9" w:rsidRPr="00265C4F">
        <w:rPr>
          <w:rFonts w:ascii="Arial" w:eastAsia="Calibri" w:hAnsi="Arial" w:cs="Arial"/>
          <w:color w:val="000000" w:themeColor="text1"/>
          <w:sz w:val="21"/>
          <w:szCs w:val="21"/>
          <w:lang w:val="es-CO"/>
        </w:rPr>
        <w:t>c)</w:t>
      </w:r>
      <w:r w:rsidR="00300794">
        <w:rPr>
          <w:rFonts w:ascii="Arial" w:eastAsia="Calibri" w:hAnsi="Arial" w:cs="Arial"/>
          <w:color w:val="000000" w:themeColor="text1"/>
          <w:sz w:val="21"/>
          <w:szCs w:val="21"/>
          <w:lang w:val="es-CO"/>
        </w:rPr>
        <w:t xml:space="preserve"> </w:t>
      </w:r>
      <w:r w:rsidR="00CB72F9" w:rsidRPr="00265C4F">
        <w:rPr>
          <w:rFonts w:ascii="Arial" w:eastAsia="Calibri" w:hAnsi="Arial" w:cs="Arial"/>
          <w:color w:val="000000" w:themeColor="text1"/>
          <w:sz w:val="21"/>
          <w:szCs w:val="21"/>
          <w:lang w:val="es-CO"/>
        </w:rPr>
        <w:t>En caso de ser positiva la respuesta, ¿cuál es el documento idóneo para probar que presentó la información para renovar dentro del plazo legal?</w:t>
      </w:r>
    </w:p>
    <w:p w14:paraId="19D8B68F" w14:textId="667D8FBC" w:rsidR="00CB72F9" w:rsidRPr="00265C4F" w:rsidRDefault="004152AE" w:rsidP="00685722">
      <w:pPr>
        <w:spacing w:after="120"/>
        <w:ind w:left="709" w:right="709"/>
        <w:jc w:val="both"/>
        <w:rPr>
          <w:rFonts w:ascii="Arial" w:eastAsia="Calibri" w:hAnsi="Arial" w:cs="Arial"/>
          <w:color w:val="000000" w:themeColor="text1"/>
          <w:sz w:val="21"/>
          <w:szCs w:val="21"/>
          <w:lang w:val="es-CO"/>
        </w:rPr>
      </w:pPr>
      <w:proofErr w:type="gramStart"/>
      <w:r>
        <w:rPr>
          <w:rFonts w:ascii="Arial" w:eastAsia="Calibri" w:hAnsi="Arial" w:cs="Arial"/>
          <w:color w:val="000000" w:themeColor="text1"/>
          <w:sz w:val="21"/>
          <w:szCs w:val="21"/>
          <w:lang w:val="es-CO"/>
        </w:rPr>
        <w:t>»</w:t>
      </w:r>
      <w:r w:rsidR="00CD001D" w:rsidRPr="00265C4F">
        <w:rPr>
          <w:rFonts w:ascii="Arial" w:eastAsia="Calibri" w:hAnsi="Arial" w:cs="Arial"/>
          <w:color w:val="000000" w:themeColor="text1"/>
          <w:sz w:val="21"/>
          <w:szCs w:val="21"/>
          <w:lang w:val="es-CO"/>
        </w:rPr>
        <w:t>d</w:t>
      </w:r>
      <w:proofErr w:type="gramEnd"/>
      <w:r w:rsidR="00CD001D" w:rsidRPr="00265C4F">
        <w:rPr>
          <w:rFonts w:ascii="Arial" w:eastAsia="Calibri" w:hAnsi="Arial" w:cs="Arial"/>
          <w:color w:val="000000" w:themeColor="text1"/>
          <w:sz w:val="21"/>
          <w:szCs w:val="21"/>
          <w:lang w:val="es-CO"/>
        </w:rPr>
        <w:t>) ¿</w:t>
      </w:r>
      <w:r w:rsidR="00CB72F9" w:rsidRPr="00265C4F">
        <w:rPr>
          <w:rFonts w:ascii="Arial" w:eastAsia="Calibri" w:hAnsi="Arial" w:cs="Arial"/>
          <w:color w:val="000000" w:themeColor="text1"/>
          <w:sz w:val="21"/>
          <w:szCs w:val="21"/>
          <w:lang w:val="es-CO"/>
        </w:rPr>
        <w:t>Son válidas informaciones que al respecto reporte el portal web del RUES?</w:t>
      </w:r>
    </w:p>
    <w:p w14:paraId="29E0433F" w14:textId="23778BA0" w:rsidR="00CB72F9" w:rsidRDefault="004152AE" w:rsidP="00685722">
      <w:pPr>
        <w:spacing w:after="120"/>
        <w:ind w:left="709" w:right="709"/>
        <w:jc w:val="both"/>
        <w:rPr>
          <w:rFonts w:ascii="Arial" w:eastAsia="Calibri" w:hAnsi="Arial" w:cs="Arial"/>
          <w:color w:val="000000" w:themeColor="text1"/>
          <w:sz w:val="21"/>
          <w:szCs w:val="21"/>
          <w:lang w:val="es-CO"/>
        </w:rPr>
      </w:pPr>
      <w:proofErr w:type="gramStart"/>
      <w:r>
        <w:rPr>
          <w:rFonts w:ascii="Arial" w:eastAsia="Calibri" w:hAnsi="Arial" w:cs="Arial"/>
          <w:color w:val="000000" w:themeColor="text1"/>
          <w:sz w:val="21"/>
          <w:szCs w:val="21"/>
          <w:lang w:val="es-CO"/>
        </w:rPr>
        <w:t>»</w:t>
      </w:r>
      <w:r w:rsidR="00CD001D" w:rsidRPr="00265C4F">
        <w:rPr>
          <w:rFonts w:ascii="Arial" w:eastAsia="Calibri" w:hAnsi="Arial" w:cs="Arial"/>
          <w:color w:val="000000" w:themeColor="text1"/>
          <w:sz w:val="21"/>
          <w:szCs w:val="21"/>
          <w:lang w:val="es-CO"/>
        </w:rPr>
        <w:t>e</w:t>
      </w:r>
      <w:proofErr w:type="gramEnd"/>
      <w:r w:rsidR="00CD001D" w:rsidRPr="00265C4F">
        <w:rPr>
          <w:rFonts w:ascii="Arial" w:eastAsia="Calibri" w:hAnsi="Arial" w:cs="Arial"/>
          <w:color w:val="000000" w:themeColor="text1"/>
          <w:sz w:val="21"/>
          <w:szCs w:val="21"/>
          <w:lang w:val="es-CO"/>
        </w:rPr>
        <w:t>) ¿</w:t>
      </w:r>
      <w:r w:rsidR="00CB72F9" w:rsidRPr="00265C4F">
        <w:rPr>
          <w:rFonts w:ascii="Arial" w:eastAsia="Calibri" w:hAnsi="Arial" w:cs="Arial"/>
          <w:color w:val="000000" w:themeColor="text1"/>
          <w:sz w:val="21"/>
          <w:szCs w:val="21"/>
          <w:lang w:val="es-CO"/>
        </w:rPr>
        <w:t xml:space="preserve">Es posible que la Entidad requiera al proponente </w:t>
      </w:r>
      <w:r w:rsidR="00CB72F9" w:rsidRPr="00685722">
        <w:rPr>
          <w:rFonts w:ascii="Arial" w:eastAsia="Calibri" w:hAnsi="Arial" w:cs="Arial"/>
          <w:b/>
          <w:bCs/>
          <w:color w:val="000000" w:themeColor="text1"/>
          <w:sz w:val="21"/>
          <w:szCs w:val="21"/>
          <w:lang w:val="es-CO"/>
        </w:rPr>
        <w:t>en cualquier momento del proceso</w:t>
      </w:r>
      <w:r w:rsidR="00CB72F9" w:rsidRPr="00265C4F">
        <w:rPr>
          <w:rFonts w:ascii="Arial" w:eastAsia="Calibri" w:hAnsi="Arial" w:cs="Arial"/>
          <w:color w:val="000000" w:themeColor="text1"/>
          <w:sz w:val="21"/>
          <w:szCs w:val="21"/>
          <w:lang w:val="es-CO"/>
        </w:rPr>
        <w:t xml:space="preserve">, a efectos de validar que presentó la información para renovar en el plazo </w:t>
      </w:r>
      <w:r w:rsidR="00265C4F" w:rsidRPr="00265C4F">
        <w:rPr>
          <w:rFonts w:ascii="Arial" w:eastAsia="Calibri" w:hAnsi="Arial" w:cs="Arial"/>
          <w:color w:val="000000" w:themeColor="text1"/>
          <w:sz w:val="21"/>
          <w:szCs w:val="21"/>
          <w:lang w:val="es-CO"/>
        </w:rPr>
        <w:t>legal?</w:t>
      </w:r>
      <w:r w:rsidR="00CB72F9" w:rsidRPr="00265C4F">
        <w:rPr>
          <w:rFonts w:ascii="Arial" w:eastAsia="Calibri" w:hAnsi="Arial" w:cs="Arial"/>
          <w:color w:val="000000" w:themeColor="text1"/>
          <w:sz w:val="21"/>
          <w:szCs w:val="21"/>
          <w:lang w:val="es-CO"/>
        </w:rPr>
        <w:t xml:space="preserve"> Piénsese en el evento de que el plazo máximo para renovar ocurra con posterioridad a la etapa de evaluación de las ofertas. </w:t>
      </w:r>
    </w:p>
    <w:p w14:paraId="1970C2A3" w14:textId="77777777" w:rsidR="00300794" w:rsidRPr="004152AE" w:rsidRDefault="00300794" w:rsidP="00300794">
      <w:pPr>
        <w:spacing w:after="120"/>
        <w:ind w:left="709" w:right="709"/>
        <w:jc w:val="both"/>
        <w:rPr>
          <w:rFonts w:ascii="Arial" w:eastAsia="Calibri" w:hAnsi="Arial" w:cs="Arial"/>
          <w:color w:val="000000" w:themeColor="text1"/>
          <w:sz w:val="21"/>
          <w:szCs w:val="21"/>
          <w:lang w:val="es-CO"/>
        </w:rPr>
      </w:pPr>
      <w:r>
        <w:rPr>
          <w:rFonts w:ascii="Arial" w:eastAsia="Calibri" w:hAnsi="Arial" w:cs="Arial"/>
          <w:color w:val="000000" w:themeColor="text1"/>
          <w:sz w:val="21"/>
          <w:szCs w:val="21"/>
          <w:lang w:val="es-CO"/>
        </w:rPr>
        <w:t>«</w:t>
      </w:r>
      <w:r w:rsidRPr="004152AE">
        <w:rPr>
          <w:rFonts w:ascii="Arial" w:eastAsia="Calibri" w:hAnsi="Arial" w:cs="Arial"/>
          <w:color w:val="000000" w:themeColor="text1"/>
          <w:sz w:val="21"/>
          <w:szCs w:val="21"/>
          <w:lang w:val="es-CO"/>
        </w:rPr>
        <w:t>2.</w:t>
      </w:r>
      <w:r>
        <w:rPr>
          <w:rFonts w:ascii="Arial" w:eastAsia="Calibri" w:hAnsi="Arial" w:cs="Arial"/>
          <w:color w:val="000000" w:themeColor="text1"/>
          <w:sz w:val="21"/>
          <w:szCs w:val="21"/>
          <w:lang w:val="es-CO"/>
        </w:rPr>
        <w:t xml:space="preserve"> </w:t>
      </w:r>
      <w:r w:rsidRPr="004152AE">
        <w:rPr>
          <w:rFonts w:ascii="Arial" w:eastAsia="Calibri" w:hAnsi="Arial" w:cs="Arial"/>
          <w:color w:val="000000" w:themeColor="text1"/>
          <w:sz w:val="21"/>
          <w:szCs w:val="21"/>
          <w:lang w:val="es-CO"/>
        </w:rPr>
        <w:t>Si en el curso de un proceso de selección, un proponente allega un RUP vigente y en firme con información financiera de corte 31 de diciembre de 2018, pero con posterioridad al cierre se configura el plazo máximo que tiene para renovar, y en efecto el proponente renueva dentro de dicho plazo, y el RUP con la información actualizada (2019) adquiere firmeza durante el proceso de selección:</w:t>
      </w:r>
    </w:p>
    <w:p w14:paraId="15E795AC" w14:textId="77777777" w:rsidR="00300794" w:rsidRPr="004152AE" w:rsidRDefault="00300794" w:rsidP="00300794">
      <w:pPr>
        <w:spacing w:after="120"/>
        <w:ind w:left="709" w:right="709"/>
        <w:jc w:val="both"/>
        <w:rPr>
          <w:rFonts w:ascii="Arial" w:eastAsia="Calibri" w:hAnsi="Arial" w:cs="Arial"/>
          <w:color w:val="000000" w:themeColor="text1"/>
          <w:sz w:val="21"/>
          <w:szCs w:val="21"/>
          <w:lang w:val="es-CO"/>
        </w:rPr>
      </w:pPr>
      <w:proofErr w:type="gramStart"/>
      <w:r>
        <w:rPr>
          <w:rFonts w:ascii="Arial" w:eastAsia="Calibri" w:hAnsi="Arial" w:cs="Arial"/>
          <w:color w:val="000000" w:themeColor="text1"/>
          <w:sz w:val="21"/>
          <w:szCs w:val="21"/>
          <w:lang w:val="es-CO"/>
        </w:rPr>
        <w:t>»</w:t>
      </w:r>
      <w:r w:rsidRPr="004152AE">
        <w:rPr>
          <w:rFonts w:ascii="Arial" w:eastAsia="Calibri" w:hAnsi="Arial" w:cs="Arial"/>
          <w:color w:val="000000" w:themeColor="text1"/>
          <w:sz w:val="21"/>
          <w:szCs w:val="21"/>
          <w:lang w:val="es-CO"/>
        </w:rPr>
        <w:t>a</w:t>
      </w:r>
      <w:proofErr w:type="gramEnd"/>
      <w:r w:rsidRPr="004152AE">
        <w:rPr>
          <w:rFonts w:ascii="Arial" w:eastAsia="Calibri" w:hAnsi="Arial" w:cs="Arial"/>
          <w:color w:val="000000" w:themeColor="text1"/>
          <w:sz w:val="21"/>
          <w:szCs w:val="21"/>
          <w:lang w:val="es-CO"/>
        </w:rPr>
        <w:t>)</w:t>
      </w:r>
      <w:r>
        <w:rPr>
          <w:rFonts w:ascii="Arial" w:eastAsia="Calibri" w:hAnsi="Arial" w:cs="Arial"/>
          <w:color w:val="000000" w:themeColor="text1"/>
          <w:sz w:val="21"/>
          <w:szCs w:val="21"/>
          <w:lang w:val="es-CO"/>
        </w:rPr>
        <w:t xml:space="preserve"> </w:t>
      </w:r>
      <w:r w:rsidRPr="004152AE">
        <w:rPr>
          <w:rFonts w:ascii="Arial" w:eastAsia="Calibri" w:hAnsi="Arial" w:cs="Arial"/>
          <w:color w:val="000000" w:themeColor="text1"/>
          <w:sz w:val="21"/>
          <w:szCs w:val="21"/>
          <w:lang w:val="es-CO"/>
        </w:rPr>
        <w:t>¿Cuál información financiera debe tener en cuenta la Entidad para efectos de su evaluación?</w:t>
      </w:r>
    </w:p>
    <w:p w14:paraId="7065B2A3" w14:textId="77777777" w:rsidR="00300794" w:rsidRPr="004152AE" w:rsidRDefault="00300794" w:rsidP="00300794">
      <w:pPr>
        <w:spacing w:after="120"/>
        <w:ind w:left="709" w:right="709"/>
        <w:jc w:val="both"/>
        <w:rPr>
          <w:rFonts w:ascii="Arial" w:eastAsia="Calibri" w:hAnsi="Arial" w:cs="Arial"/>
          <w:color w:val="000000" w:themeColor="text1"/>
          <w:sz w:val="21"/>
          <w:szCs w:val="21"/>
          <w:lang w:val="es-CO"/>
        </w:rPr>
      </w:pPr>
      <w:proofErr w:type="gramStart"/>
      <w:r>
        <w:rPr>
          <w:rFonts w:ascii="Arial" w:eastAsia="Calibri" w:hAnsi="Arial" w:cs="Arial"/>
          <w:color w:val="000000" w:themeColor="text1"/>
          <w:sz w:val="21"/>
          <w:szCs w:val="21"/>
          <w:lang w:val="es-CO"/>
        </w:rPr>
        <w:t>»</w:t>
      </w:r>
      <w:r w:rsidRPr="004152AE">
        <w:rPr>
          <w:rFonts w:ascii="Arial" w:eastAsia="Calibri" w:hAnsi="Arial" w:cs="Arial"/>
          <w:color w:val="000000" w:themeColor="text1"/>
          <w:sz w:val="21"/>
          <w:szCs w:val="21"/>
          <w:lang w:val="es-CO"/>
        </w:rPr>
        <w:t>b</w:t>
      </w:r>
      <w:proofErr w:type="gramEnd"/>
      <w:r w:rsidRPr="004152AE">
        <w:rPr>
          <w:rFonts w:ascii="Arial" w:eastAsia="Calibri" w:hAnsi="Arial" w:cs="Arial"/>
          <w:color w:val="000000" w:themeColor="text1"/>
          <w:sz w:val="21"/>
          <w:szCs w:val="21"/>
          <w:lang w:val="es-CO"/>
        </w:rPr>
        <w:t>)</w:t>
      </w:r>
      <w:r>
        <w:rPr>
          <w:rFonts w:ascii="Arial" w:eastAsia="Calibri" w:hAnsi="Arial" w:cs="Arial"/>
          <w:color w:val="000000" w:themeColor="text1"/>
          <w:sz w:val="21"/>
          <w:szCs w:val="21"/>
          <w:lang w:val="es-CO"/>
        </w:rPr>
        <w:t xml:space="preserve"> </w:t>
      </w:r>
      <w:r w:rsidRPr="004152AE">
        <w:rPr>
          <w:rFonts w:ascii="Arial" w:eastAsia="Calibri" w:hAnsi="Arial" w:cs="Arial"/>
          <w:color w:val="000000" w:themeColor="text1"/>
          <w:sz w:val="21"/>
          <w:szCs w:val="21"/>
          <w:lang w:val="es-CO"/>
        </w:rPr>
        <w:t>¿Es posible que se culmine dicho proceso de selección, considerando la evaluación del RUP con la información de corte 31 de diciembre de 2018, aun cuando esta no es la que se encuentra en firme?</w:t>
      </w:r>
    </w:p>
    <w:p w14:paraId="0882F82D" w14:textId="77777777" w:rsidR="00300794" w:rsidRPr="00ED7DD3" w:rsidRDefault="00300794" w:rsidP="00300794">
      <w:pPr>
        <w:spacing w:after="120"/>
        <w:ind w:left="709" w:right="709"/>
        <w:jc w:val="both"/>
        <w:rPr>
          <w:rFonts w:ascii="Arial" w:eastAsia="Calibri" w:hAnsi="Arial" w:cs="Arial"/>
          <w:color w:val="000000" w:themeColor="text1"/>
          <w:sz w:val="21"/>
          <w:szCs w:val="21"/>
          <w:lang w:val="es-CO"/>
        </w:rPr>
      </w:pPr>
      <w:r>
        <w:rPr>
          <w:rFonts w:ascii="Arial" w:eastAsia="Calibri" w:hAnsi="Arial" w:cs="Arial"/>
          <w:color w:val="000000" w:themeColor="text1"/>
          <w:sz w:val="21"/>
          <w:szCs w:val="21"/>
          <w:lang w:val="es-CO"/>
        </w:rPr>
        <w:t>»</w:t>
      </w:r>
      <w:r w:rsidRPr="004152AE">
        <w:rPr>
          <w:rFonts w:ascii="Arial" w:eastAsia="Calibri" w:hAnsi="Arial" w:cs="Arial"/>
          <w:color w:val="000000" w:themeColor="text1"/>
          <w:sz w:val="21"/>
          <w:szCs w:val="21"/>
          <w:lang w:val="es-CO"/>
        </w:rPr>
        <w:t>c)</w:t>
      </w:r>
      <w:r>
        <w:rPr>
          <w:rFonts w:ascii="Arial" w:eastAsia="Calibri" w:hAnsi="Arial" w:cs="Arial"/>
          <w:color w:val="000000" w:themeColor="text1"/>
          <w:sz w:val="21"/>
          <w:szCs w:val="21"/>
          <w:lang w:val="es-CO"/>
        </w:rPr>
        <w:t xml:space="preserve"> </w:t>
      </w:r>
      <w:r w:rsidRPr="004152AE">
        <w:rPr>
          <w:rFonts w:ascii="Arial" w:eastAsia="Calibri" w:hAnsi="Arial" w:cs="Arial"/>
          <w:color w:val="000000" w:themeColor="text1"/>
          <w:sz w:val="21"/>
          <w:szCs w:val="21"/>
          <w:lang w:val="es-CO"/>
        </w:rPr>
        <w:t>O en su defecto, ¿Debe evaluarse nuevamente antes de la adjudicación, a efectos de constatar las condiciones financieras y organizacionales de dicho proponente?</w:t>
      </w:r>
      <w:r>
        <w:rPr>
          <w:rFonts w:ascii="Arial" w:eastAsia="Calibri" w:hAnsi="Arial" w:cs="Arial"/>
          <w:color w:val="000000" w:themeColor="text1"/>
          <w:sz w:val="21"/>
          <w:szCs w:val="21"/>
          <w:lang w:val="es-CO"/>
        </w:rPr>
        <w:t>»</w:t>
      </w:r>
    </w:p>
    <w:p w14:paraId="15C8E98D" w14:textId="77777777" w:rsidR="00CB72F9" w:rsidRPr="00265C4F" w:rsidRDefault="00CB72F9" w:rsidP="00685722">
      <w:pPr>
        <w:ind w:right="709"/>
        <w:jc w:val="both"/>
        <w:rPr>
          <w:rFonts w:ascii="Arial" w:eastAsia="Calibri" w:hAnsi="Arial" w:cs="Arial"/>
          <w:color w:val="000000" w:themeColor="text1"/>
          <w:sz w:val="22"/>
          <w:lang w:val="es-CO"/>
        </w:rPr>
      </w:pPr>
    </w:p>
    <w:p w14:paraId="07B86626" w14:textId="622C0438" w:rsidR="00642D99" w:rsidRPr="00265C4F" w:rsidRDefault="009E043C" w:rsidP="00685722">
      <w:pPr>
        <w:spacing w:after="120" w:line="276" w:lineRule="auto"/>
        <w:jc w:val="both"/>
        <w:rPr>
          <w:rFonts w:ascii="Arial" w:eastAsia="Arial" w:hAnsi="Arial" w:cs="Arial"/>
          <w:sz w:val="22"/>
          <w:lang w:val="es-CO"/>
        </w:rPr>
      </w:pPr>
      <w:r>
        <w:rPr>
          <w:rFonts w:ascii="Arial" w:eastAsia="Arial" w:hAnsi="Arial" w:cs="Arial"/>
          <w:sz w:val="22"/>
          <w:lang w:val="es-CO"/>
        </w:rPr>
        <w:t>En relación con estos interrogantes es oportuno</w:t>
      </w:r>
      <w:r w:rsidR="00642D99" w:rsidRPr="00265C4F">
        <w:rPr>
          <w:rFonts w:ascii="Arial" w:eastAsia="Arial" w:hAnsi="Arial" w:cs="Arial"/>
          <w:sz w:val="22"/>
          <w:lang w:val="es-CO"/>
        </w:rPr>
        <w:t xml:space="preserve"> precisar que de</w:t>
      </w:r>
      <w:r w:rsidR="00CB72F9" w:rsidRPr="00265C4F">
        <w:rPr>
          <w:rFonts w:ascii="Arial" w:eastAsia="Arial" w:hAnsi="Arial" w:cs="Arial"/>
          <w:sz w:val="22"/>
          <w:lang w:val="es-CO"/>
        </w:rPr>
        <w:t xml:space="preserve"> conformidad con la competencia otorgada según el numeral 8 del artículo 11 y numeral 5 del artículo 3 del Decreto Ley 4170 de 2011, la Agencia Nacional de Contratación Pública Colombia Compra Eficiente atiende consultas relativas a temas contractuales en lo que se refiere a la aplicación de normas de carácter general en materia de compras y contratación pública; </w:t>
      </w:r>
      <w:r w:rsidR="00CB72F9" w:rsidRPr="00265C4F">
        <w:rPr>
          <w:rFonts w:ascii="Arial" w:eastAsia="Arial" w:hAnsi="Arial" w:cs="Arial"/>
          <w:sz w:val="22"/>
          <w:lang w:val="es-CO"/>
        </w:rPr>
        <w:lastRenderedPageBreak/>
        <w:t xml:space="preserve">por tal motivo, </w:t>
      </w:r>
      <w:r w:rsidR="00BE557F">
        <w:rPr>
          <w:rFonts w:ascii="Arial" w:eastAsia="Arial" w:hAnsi="Arial" w:cs="Arial"/>
          <w:sz w:val="22"/>
          <w:lang w:val="es-CO"/>
        </w:rPr>
        <w:t>esta Agencia</w:t>
      </w:r>
      <w:r w:rsidR="00CB72F9" w:rsidRPr="00265C4F">
        <w:rPr>
          <w:rFonts w:ascii="Arial" w:eastAsia="Arial" w:hAnsi="Arial" w:cs="Arial"/>
          <w:sz w:val="22"/>
          <w:lang w:val="es-CO"/>
        </w:rPr>
        <w:t xml:space="preserve"> carece de competencia para decidir sobre la legalidad de las decisiones tomadas por las entidades estatales con ocasión de su actividad contractual, o para pronunciarse respecto de actuaciones contractuales específicas.</w:t>
      </w:r>
    </w:p>
    <w:p w14:paraId="509940F5" w14:textId="53648D12" w:rsidR="009E043C" w:rsidRDefault="009E043C" w:rsidP="003C6653">
      <w:pPr>
        <w:spacing w:after="120" w:line="276" w:lineRule="auto"/>
        <w:ind w:firstLine="708"/>
        <w:jc w:val="both"/>
        <w:rPr>
          <w:rFonts w:ascii="Arial" w:eastAsia="Arial" w:hAnsi="Arial" w:cs="Arial"/>
          <w:sz w:val="22"/>
          <w:lang w:val="es-CO"/>
        </w:rPr>
      </w:pPr>
      <w:r>
        <w:rPr>
          <w:rFonts w:ascii="Arial" w:eastAsia="Arial" w:hAnsi="Arial" w:cs="Arial"/>
          <w:sz w:val="22"/>
          <w:lang w:val="es-CO"/>
        </w:rPr>
        <w:t>Sin perjuicio de lo anterior, en este lugar se reiteran los fundamentos desarrollados en las consideraciones, mediante los cuales se orienta la solución a los interrogantes planteados por el peticionario</w:t>
      </w:r>
      <w:r w:rsidR="00BE557F">
        <w:rPr>
          <w:rFonts w:ascii="Arial" w:eastAsia="Arial" w:hAnsi="Arial" w:cs="Arial"/>
          <w:sz w:val="22"/>
          <w:lang w:val="es-CO"/>
        </w:rPr>
        <w:t xml:space="preserve"> y que responden </w:t>
      </w:r>
      <w:r w:rsidR="00300794">
        <w:rPr>
          <w:rFonts w:ascii="Arial" w:eastAsia="Arial" w:hAnsi="Arial" w:cs="Arial"/>
          <w:sz w:val="22"/>
          <w:lang w:val="es-CO"/>
        </w:rPr>
        <w:t>a los dos presupuestos planteados</w:t>
      </w:r>
      <w:r w:rsidR="00BE557F">
        <w:rPr>
          <w:rFonts w:ascii="Arial" w:eastAsia="Arial" w:hAnsi="Arial" w:cs="Arial"/>
          <w:sz w:val="22"/>
          <w:lang w:val="es-CO"/>
        </w:rPr>
        <w:t xml:space="preserve"> por el peticionario para </w:t>
      </w:r>
      <w:r w:rsidR="00300794">
        <w:rPr>
          <w:rFonts w:ascii="Arial" w:eastAsia="Arial" w:hAnsi="Arial" w:cs="Arial"/>
          <w:sz w:val="22"/>
          <w:lang w:val="es-CO"/>
        </w:rPr>
        <w:t>exponer cada uno de</w:t>
      </w:r>
      <w:r w:rsidR="00BE557F">
        <w:rPr>
          <w:rFonts w:ascii="Arial" w:eastAsia="Arial" w:hAnsi="Arial" w:cs="Arial"/>
          <w:sz w:val="22"/>
          <w:lang w:val="es-CO"/>
        </w:rPr>
        <w:t xml:space="preserve"> los interrogantes puntuales</w:t>
      </w:r>
      <w:r w:rsidR="00300794">
        <w:rPr>
          <w:rFonts w:ascii="Arial" w:eastAsia="Arial" w:hAnsi="Arial" w:cs="Arial"/>
          <w:sz w:val="22"/>
          <w:lang w:val="es-CO"/>
        </w:rPr>
        <w:t>, de modo que con las siguientes líneas se responden los supuestos anteriores.</w:t>
      </w:r>
    </w:p>
    <w:p w14:paraId="609B1D47" w14:textId="7E17EEB4" w:rsidR="009E043C" w:rsidRDefault="00311133" w:rsidP="009E043C">
      <w:pPr>
        <w:spacing w:after="120" w:line="276" w:lineRule="auto"/>
        <w:ind w:firstLine="708"/>
        <w:jc w:val="both"/>
        <w:rPr>
          <w:rFonts w:ascii="Arial" w:eastAsia="Calibri" w:hAnsi="Arial" w:cs="Arial"/>
          <w:color w:val="000000" w:themeColor="text1"/>
          <w:sz w:val="22"/>
          <w:lang w:val="es-CO"/>
        </w:rPr>
      </w:pPr>
      <w:r>
        <w:rPr>
          <w:rFonts w:ascii="Arial" w:hAnsi="Arial" w:cs="Arial"/>
          <w:color w:val="000000" w:themeColor="text1"/>
          <w:sz w:val="22"/>
          <w:lang w:val="es-CO"/>
        </w:rPr>
        <w:t xml:space="preserve">Se reitera la idea expresada en este concepto, en el sentido de que </w:t>
      </w:r>
      <w:r>
        <w:rPr>
          <w:rStyle w:val="normaltextrun"/>
          <w:rFonts w:ascii="Arial" w:hAnsi="Arial" w:cs="Arial"/>
          <w:color w:val="000000"/>
          <w:sz w:val="22"/>
        </w:rPr>
        <w:t>la evaluación de las ofertas se realiza con fundamento en la información contenida en el RUP vigente y en firme al momento del cierre del procedimiento de selección.</w:t>
      </w:r>
      <w:r w:rsidRPr="00E87DEA">
        <w:rPr>
          <w:rFonts w:ascii="Arial" w:hAnsi="Arial" w:cs="Arial"/>
          <w:color w:val="000000" w:themeColor="text1"/>
          <w:sz w:val="22"/>
          <w:lang w:val="es-CO"/>
        </w:rPr>
        <w:t xml:space="preserve"> </w:t>
      </w:r>
      <w:r w:rsidR="009E043C" w:rsidRPr="00E87DEA">
        <w:rPr>
          <w:rFonts w:ascii="Arial" w:hAnsi="Arial" w:cs="Arial"/>
          <w:color w:val="000000" w:themeColor="text1"/>
          <w:sz w:val="22"/>
          <w:lang w:val="es-CO"/>
        </w:rPr>
        <w:t>Tratándose del</w:t>
      </w:r>
      <w:r w:rsidR="009E043C" w:rsidRPr="00265C4F">
        <w:rPr>
          <w:rFonts w:ascii="Arial" w:hAnsi="Arial" w:cs="Arial"/>
          <w:color w:val="000000" w:themeColor="text1"/>
          <w:sz w:val="22"/>
          <w:lang w:val="es-CO"/>
        </w:rPr>
        <w:t xml:space="preserve"> trámite de </w:t>
      </w:r>
      <w:r w:rsidR="009E043C" w:rsidRPr="00265C4F">
        <w:rPr>
          <w:rFonts w:ascii="Arial" w:hAnsi="Arial" w:cs="Arial"/>
          <w:i/>
          <w:iCs/>
          <w:color w:val="000000" w:themeColor="text1"/>
          <w:sz w:val="22"/>
          <w:lang w:val="es-CO"/>
        </w:rPr>
        <w:t>renovación,</w:t>
      </w:r>
      <w:r w:rsidR="009E043C" w:rsidRPr="00265C4F">
        <w:rPr>
          <w:rFonts w:ascii="Arial" w:hAnsi="Arial" w:cs="Arial"/>
          <w:color w:val="000000" w:themeColor="text1"/>
          <w:sz w:val="22"/>
          <w:lang w:val="es-CO"/>
        </w:rPr>
        <w:t xml:space="preserve"> se reitera lo expresado en el sentido de que </w:t>
      </w:r>
      <w:r w:rsidR="009E043C" w:rsidRPr="00265C4F">
        <w:rPr>
          <w:rFonts w:ascii="Arial" w:eastAsia="Calibri" w:hAnsi="Arial" w:cs="Arial"/>
          <w:color w:val="000000" w:themeColor="text1"/>
          <w:sz w:val="22"/>
          <w:lang w:val="es-CO"/>
        </w:rPr>
        <w:t>la persona que presentó la información para renovar su registro antes del quinto día hábil de abril de cada año, cumpliendo el requisito del artículo 2.2.1.1.1.5.1. o antes del quinto d</w:t>
      </w:r>
      <w:r w:rsidR="009E043C">
        <w:rPr>
          <w:rFonts w:ascii="Arial" w:eastAsia="Calibri" w:hAnsi="Arial" w:cs="Arial"/>
          <w:color w:val="000000" w:themeColor="text1"/>
          <w:sz w:val="22"/>
          <w:lang w:val="es-CO"/>
        </w:rPr>
        <w:t>í</w:t>
      </w:r>
      <w:r w:rsidR="009E043C" w:rsidRPr="00265C4F">
        <w:rPr>
          <w:rFonts w:ascii="Arial" w:eastAsia="Calibri" w:hAnsi="Arial" w:cs="Arial"/>
          <w:color w:val="000000" w:themeColor="text1"/>
          <w:sz w:val="22"/>
          <w:lang w:val="es-CO"/>
        </w:rPr>
        <w:t>a hábil del mes de julio</w:t>
      </w:r>
      <w:r w:rsidR="009E043C">
        <w:rPr>
          <w:rFonts w:ascii="Arial" w:eastAsia="Calibri" w:hAnsi="Arial" w:cs="Arial"/>
          <w:color w:val="000000" w:themeColor="text1"/>
          <w:sz w:val="22"/>
          <w:lang w:val="es-CO"/>
        </w:rPr>
        <w:t>,</w:t>
      </w:r>
      <w:r w:rsidR="009E043C" w:rsidRPr="00265C4F">
        <w:rPr>
          <w:rFonts w:ascii="Arial" w:eastAsia="Calibri" w:hAnsi="Arial" w:cs="Arial"/>
          <w:color w:val="000000" w:themeColor="text1"/>
          <w:sz w:val="22"/>
          <w:lang w:val="es-CO"/>
        </w:rPr>
        <w:t xml:space="preserve"> </w:t>
      </w:r>
      <w:r w:rsidR="009E043C">
        <w:rPr>
          <w:rFonts w:ascii="Arial" w:eastAsia="Calibri" w:hAnsi="Arial" w:cs="Arial"/>
          <w:color w:val="000000" w:themeColor="text1"/>
          <w:sz w:val="22"/>
          <w:lang w:val="es-CO"/>
        </w:rPr>
        <w:t>para el</w:t>
      </w:r>
      <w:r w:rsidR="009E043C" w:rsidRPr="00265C4F">
        <w:rPr>
          <w:rFonts w:ascii="Arial" w:eastAsia="Calibri" w:hAnsi="Arial" w:cs="Arial"/>
          <w:color w:val="000000" w:themeColor="text1"/>
          <w:sz w:val="22"/>
          <w:lang w:val="es-CO"/>
        </w:rPr>
        <w:t xml:space="preserve"> 2020, conforme lo establecido en el artículo 2 del Decreto 434 de 2020 y pese a que la renovación no esté en firme, </w:t>
      </w:r>
      <w:r w:rsidR="009E043C">
        <w:rPr>
          <w:rFonts w:ascii="Arial" w:eastAsia="Calibri" w:hAnsi="Arial" w:cs="Arial"/>
          <w:color w:val="000000" w:themeColor="text1"/>
          <w:sz w:val="22"/>
          <w:lang w:val="es-CO"/>
        </w:rPr>
        <w:t xml:space="preserve">es decir, mientras esté en trámite el proceso de renovación, </w:t>
      </w:r>
      <w:r w:rsidR="009E043C" w:rsidRPr="00265C4F">
        <w:rPr>
          <w:rFonts w:ascii="Arial" w:eastAsia="Calibri" w:hAnsi="Arial" w:cs="Arial"/>
          <w:color w:val="000000" w:themeColor="text1"/>
          <w:sz w:val="22"/>
          <w:lang w:val="es-CO"/>
        </w:rPr>
        <w:t>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39BF0728" w14:textId="77777777" w:rsidR="009E043C" w:rsidRPr="002B11FE" w:rsidRDefault="009E043C" w:rsidP="009E043C">
      <w:pPr>
        <w:spacing w:after="120"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Debe tenerse en cuenta, en relación con este aspecto, que el parágrafo 1 –inciso segundo– del artículo 5 de la Ley 1150 de 2007, modificado por el artículo 5 de la Ley 1882 de 2018 establece que: «</w:t>
      </w:r>
      <w:r w:rsidRPr="002B11FE">
        <w:rPr>
          <w:rFonts w:ascii="Arial" w:eastAsia="Calibri" w:hAnsi="Arial" w:cs="Arial"/>
          <w:color w:val="000000" w:themeColor="text1"/>
          <w:sz w:val="22"/>
          <w:lang w:val="es-CO"/>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2"/>
          <w:lang w:val="es-CO"/>
        </w:rPr>
        <w:t>»</w:t>
      </w:r>
      <w:r w:rsidRPr="002B11FE">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Esta regla tiene un alcance muy amplio, pues no expresa, como pudo haberlo hecho, que durante dicho término no se pueden </w:t>
      </w:r>
      <w:r w:rsidRPr="002B11FE">
        <w:rPr>
          <w:rFonts w:ascii="Arial" w:eastAsia="Calibri" w:hAnsi="Arial" w:cs="Arial"/>
          <w:i/>
          <w:iCs/>
          <w:color w:val="000000" w:themeColor="text1"/>
          <w:sz w:val="22"/>
          <w:lang w:val="es-CO"/>
        </w:rPr>
        <w:t>subsanar</w:t>
      </w:r>
      <w:r>
        <w:rPr>
          <w:rFonts w:ascii="Arial" w:eastAsia="Calibri" w:hAnsi="Arial" w:cs="Arial"/>
          <w:color w:val="000000" w:themeColor="text1"/>
          <w:sz w:val="22"/>
          <w:lang w:val="es-CO"/>
        </w:rPr>
        <w:t xml:space="preserve"> circunstancias ocurridas con posterioridad al cierre; sino que optó por establecer una regla más amplia, consistente en que durante dicho término los proponentes no pueden acreditar ningún tipo de «circunstancias ocurridas con posterioridad al cierre del proceso», lo que se configuraría si se presentara o acreditara un RUP diferente </w:t>
      </w:r>
      <w:r>
        <w:rPr>
          <w:rFonts w:ascii="Arial" w:eastAsia="Calibri" w:hAnsi="Arial" w:cs="Arial"/>
          <w:i/>
          <w:iCs/>
          <w:color w:val="000000" w:themeColor="text1"/>
          <w:sz w:val="22"/>
          <w:lang w:val="es-CO"/>
        </w:rPr>
        <w:t xml:space="preserve">renovado, </w:t>
      </w:r>
      <w:r>
        <w:rPr>
          <w:rFonts w:ascii="Arial" w:eastAsia="Calibri" w:hAnsi="Arial" w:cs="Arial"/>
          <w:color w:val="000000" w:themeColor="text1"/>
          <w:sz w:val="22"/>
          <w:lang w:val="es-CO"/>
        </w:rPr>
        <w:t xml:space="preserve">que no estaba en firme para el cierre del proceso; independientemente de que </w:t>
      </w:r>
      <w:r w:rsidRPr="001A5539">
        <w:rPr>
          <w:rFonts w:ascii="Arial" w:eastAsia="Calibri" w:hAnsi="Arial" w:cs="Arial"/>
          <w:color w:val="000000" w:themeColor="text1"/>
          <w:sz w:val="22"/>
          <w:lang w:val="es-CO"/>
        </w:rPr>
        <w:t xml:space="preserve">este </w:t>
      </w:r>
      <w:r w:rsidRPr="002B11FE">
        <w:rPr>
          <w:rFonts w:ascii="Arial" w:eastAsia="Calibri" w:hAnsi="Arial" w:cs="Arial"/>
          <w:color w:val="000000" w:themeColor="text1"/>
          <w:sz w:val="22"/>
          <w:lang w:val="es-CO"/>
        </w:rPr>
        <w:t xml:space="preserve">nuevo RUP </w:t>
      </w:r>
      <w:r w:rsidRPr="001A5539">
        <w:rPr>
          <w:rFonts w:ascii="Arial" w:eastAsia="Calibri" w:hAnsi="Arial" w:cs="Arial"/>
          <w:color w:val="000000" w:themeColor="text1"/>
          <w:sz w:val="22"/>
          <w:lang w:val="es-CO"/>
        </w:rPr>
        <w:t>fav</w:t>
      </w:r>
      <w:r>
        <w:rPr>
          <w:rFonts w:ascii="Arial" w:eastAsia="Calibri" w:hAnsi="Arial" w:cs="Arial"/>
          <w:color w:val="000000" w:themeColor="text1"/>
          <w:sz w:val="22"/>
          <w:lang w:val="es-CO"/>
        </w:rPr>
        <w:t xml:space="preserve">orezca o perjudique al </w:t>
      </w:r>
      <w:r>
        <w:rPr>
          <w:rFonts w:ascii="Arial" w:eastAsia="Calibri" w:hAnsi="Arial" w:cs="Arial"/>
          <w:color w:val="000000" w:themeColor="text1"/>
          <w:sz w:val="22"/>
          <w:lang w:val="es-CO"/>
        </w:rPr>
        <w:lastRenderedPageBreak/>
        <w:t>interesado. Pues de la norma comentada se sigue que la evaluación se debe realizar conforme a las circunstancias ocurridas con anterioridad al cierre del proceso.</w:t>
      </w:r>
    </w:p>
    <w:p w14:paraId="10797296" w14:textId="77777777" w:rsidR="004152AE" w:rsidRDefault="004152AE" w:rsidP="004152AE">
      <w:pPr>
        <w:ind w:left="709" w:right="709"/>
        <w:jc w:val="both"/>
        <w:rPr>
          <w:rFonts w:ascii="Arial" w:eastAsia="Calibri" w:hAnsi="Arial" w:cs="Arial"/>
          <w:color w:val="000000" w:themeColor="text1"/>
          <w:sz w:val="21"/>
          <w:szCs w:val="21"/>
          <w:lang w:val="es-CO"/>
        </w:rPr>
      </w:pPr>
    </w:p>
    <w:p w14:paraId="1E550AEA" w14:textId="55E1C05B" w:rsidR="00B97920" w:rsidRPr="00B97920" w:rsidRDefault="004152AE" w:rsidP="00B97920">
      <w:pPr>
        <w:spacing w:after="120"/>
        <w:ind w:left="709" w:right="709"/>
        <w:jc w:val="both"/>
        <w:rPr>
          <w:rFonts w:ascii="Arial" w:eastAsia="Calibri" w:hAnsi="Arial" w:cs="Arial"/>
          <w:color w:val="000000" w:themeColor="text1"/>
          <w:sz w:val="21"/>
          <w:szCs w:val="21"/>
          <w:lang w:val="es-CO"/>
        </w:rPr>
      </w:pPr>
      <w:r>
        <w:rPr>
          <w:rFonts w:ascii="Arial" w:eastAsia="Calibri" w:hAnsi="Arial" w:cs="Arial"/>
          <w:color w:val="000000" w:themeColor="text1"/>
          <w:sz w:val="21"/>
          <w:szCs w:val="21"/>
          <w:lang w:val="es-CO"/>
        </w:rPr>
        <w:t>«</w:t>
      </w:r>
      <w:r w:rsidR="00B97920">
        <w:rPr>
          <w:rFonts w:ascii="Arial" w:eastAsia="Calibri" w:hAnsi="Arial" w:cs="Arial"/>
          <w:color w:val="000000" w:themeColor="text1"/>
          <w:sz w:val="21"/>
          <w:szCs w:val="21"/>
          <w:lang w:val="es-CO"/>
        </w:rPr>
        <w:t>3</w:t>
      </w:r>
      <w:r w:rsidRPr="004152AE">
        <w:rPr>
          <w:rFonts w:ascii="Arial" w:eastAsia="Calibri" w:hAnsi="Arial" w:cs="Arial"/>
          <w:color w:val="000000" w:themeColor="text1"/>
          <w:sz w:val="21"/>
          <w:szCs w:val="21"/>
          <w:lang w:val="es-CO"/>
        </w:rPr>
        <w:t>.</w:t>
      </w:r>
      <w:r w:rsidR="00B97920">
        <w:rPr>
          <w:rFonts w:ascii="Arial" w:eastAsia="Calibri" w:hAnsi="Arial" w:cs="Arial"/>
          <w:color w:val="000000" w:themeColor="text1"/>
          <w:sz w:val="21"/>
          <w:szCs w:val="21"/>
          <w:lang w:val="es-CO"/>
        </w:rPr>
        <w:t xml:space="preserve"> </w:t>
      </w:r>
      <w:r w:rsidR="00B97920" w:rsidRPr="00B97920">
        <w:rPr>
          <w:rFonts w:ascii="Arial" w:eastAsia="Calibri" w:hAnsi="Arial" w:cs="Arial"/>
          <w:color w:val="000000" w:themeColor="text1"/>
          <w:sz w:val="21"/>
          <w:szCs w:val="21"/>
          <w:lang w:val="es-CO"/>
        </w:rPr>
        <w:t>Si en el curso de un proceso de selección, un proponente allega un RUP vigente y en firme con información financiera de corte 31 de diciembre de 2018, pero con posterioridad al cierre se configura el plazo máximo que tiene para renovar, y este NO renueva dentro de dicho plazo:</w:t>
      </w:r>
    </w:p>
    <w:p w14:paraId="25D76542" w14:textId="51643207" w:rsidR="00B97920" w:rsidRPr="00B97920" w:rsidRDefault="00B97920" w:rsidP="00B97920">
      <w:pPr>
        <w:spacing w:after="120"/>
        <w:ind w:left="709" w:right="709"/>
        <w:jc w:val="both"/>
        <w:rPr>
          <w:rFonts w:ascii="Arial" w:eastAsia="Calibri" w:hAnsi="Arial" w:cs="Arial"/>
          <w:color w:val="000000" w:themeColor="text1"/>
          <w:sz w:val="21"/>
          <w:szCs w:val="21"/>
          <w:lang w:val="es-CO"/>
        </w:rPr>
      </w:pPr>
      <w:proofErr w:type="gramStart"/>
      <w:r>
        <w:rPr>
          <w:rFonts w:ascii="Arial" w:eastAsia="Calibri" w:hAnsi="Arial" w:cs="Arial"/>
          <w:color w:val="000000" w:themeColor="text1"/>
          <w:sz w:val="21"/>
          <w:szCs w:val="21"/>
          <w:lang w:val="es-CO"/>
        </w:rPr>
        <w:t>»</w:t>
      </w:r>
      <w:r w:rsidRPr="00B97920">
        <w:rPr>
          <w:rFonts w:ascii="Arial" w:eastAsia="Calibri" w:hAnsi="Arial" w:cs="Arial"/>
          <w:color w:val="000000" w:themeColor="text1"/>
          <w:sz w:val="21"/>
          <w:szCs w:val="21"/>
          <w:lang w:val="es-CO"/>
        </w:rPr>
        <w:t>a</w:t>
      </w:r>
      <w:proofErr w:type="gramEnd"/>
      <w:r w:rsidRPr="00B97920">
        <w:rPr>
          <w:rFonts w:ascii="Arial" w:eastAsia="Calibri" w:hAnsi="Arial" w:cs="Arial"/>
          <w:color w:val="000000" w:themeColor="text1"/>
          <w:sz w:val="21"/>
          <w:szCs w:val="21"/>
          <w:lang w:val="es-CO"/>
        </w:rPr>
        <w:t>)</w:t>
      </w:r>
      <w:r>
        <w:rPr>
          <w:rFonts w:ascii="Arial" w:eastAsia="Calibri" w:hAnsi="Arial" w:cs="Arial"/>
          <w:color w:val="000000" w:themeColor="text1"/>
          <w:sz w:val="21"/>
          <w:szCs w:val="21"/>
          <w:lang w:val="es-CO"/>
        </w:rPr>
        <w:t xml:space="preserve"> </w:t>
      </w:r>
      <w:r w:rsidRPr="00B97920">
        <w:rPr>
          <w:rFonts w:ascii="Arial" w:eastAsia="Calibri" w:hAnsi="Arial" w:cs="Arial"/>
          <w:color w:val="000000" w:themeColor="text1"/>
          <w:sz w:val="21"/>
          <w:szCs w:val="21"/>
          <w:lang w:val="es-CO"/>
        </w:rPr>
        <w:t>¿</w:t>
      </w:r>
      <w:proofErr w:type="spellStart"/>
      <w:r w:rsidRPr="00B97920">
        <w:rPr>
          <w:rFonts w:ascii="Arial" w:eastAsia="Calibri" w:hAnsi="Arial" w:cs="Arial"/>
          <w:color w:val="000000" w:themeColor="text1"/>
          <w:sz w:val="21"/>
          <w:szCs w:val="21"/>
          <w:lang w:val="es-CO"/>
        </w:rPr>
        <w:t>Césan</w:t>
      </w:r>
      <w:proofErr w:type="spellEnd"/>
      <w:r w:rsidRPr="00B97920">
        <w:rPr>
          <w:rFonts w:ascii="Arial" w:eastAsia="Calibri" w:hAnsi="Arial" w:cs="Arial"/>
          <w:color w:val="000000" w:themeColor="text1"/>
          <w:sz w:val="21"/>
          <w:szCs w:val="21"/>
          <w:lang w:val="es-CO"/>
        </w:rPr>
        <w:t xml:space="preserve"> los efectos del RUP?. Téngase en cuenta que el artículo 2 del Decreto 434 del 19 de marzo de 2020 no contempló la cesación de los efectos, como sí lo hace el artículo 2.2.1.1.1.5.1. del Decreto 1082 de 2015.</w:t>
      </w:r>
    </w:p>
    <w:p w14:paraId="617FD054" w14:textId="0BE025AA" w:rsidR="009230C0" w:rsidRPr="00ED7DD3" w:rsidRDefault="00B97920" w:rsidP="00B97920">
      <w:pPr>
        <w:spacing w:after="120"/>
        <w:ind w:left="709" w:right="709"/>
        <w:jc w:val="both"/>
        <w:rPr>
          <w:rFonts w:ascii="Arial" w:eastAsia="Calibri" w:hAnsi="Arial" w:cs="Arial"/>
          <w:color w:val="000000" w:themeColor="text1"/>
          <w:sz w:val="21"/>
          <w:szCs w:val="21"/>
          <w:lang w:val="es-CO"/>
        </w:rPr>
      </w:pPr>
      <w:proofErr w:type="gramStart"/>
      <w:r>
        <w:rPr>
          <w:rFonts w:ascii="Arial" w:eastAsia="Calibri" w:hAnsi="Arial" w:cs="Arial"/>
          <w:color w:val="000000" w:themeColor="text1"/>
          <w:sz w:val="21"/>
          <w:szCs w:val="21"/>
          <w:lang w:val="es-CO"/>
        </w:rPr>
        <w:t>»</w:t>
      </w:r>
      <w:r w:rsidRPr="00B97920">
        <w:rPr>
          <w:rFonts w:ascii="Arial" w:eastAsia="Calibri" w:hAnsi="Arial" w:cs="Arial"/>
          <w:color w:val="000000" w:themeColor="text1"/>
          <w:sz w:val="21"/>
          <w:szCs w:val="21"/>
          <w:lang w:val="es-CO"/>
        </w:rPr>
        <w:t>b</w:t>
      </w:r>
      <w:proofErr w:type="gramEnd"/>
      <w:r w:rsidRPr="00B97920">
        <w:rPr>
          <w:rFonts w:ascii="Arial" w:eastAsia="Calibri" w:hAnsi="Arial" w:cs="Arial"/>
          <w:color w:val="000000" w:themeColor="text1"/>
          <w:sz w:val="21"/>
          <w:szCs w:val="21"/>
          <w:lang w:val="es-CO"/>
        </w:rPr>
        <w:t>)</w:t>
      </w:r>
      <w:r>
        <w:rPr>
          <w:rFonts w:ascii="Arial" w:eastAsia="Calibri" w:hAnsi="Arial" w:cs="Arial"/>
          <w:color w:val="000000" w:themeColor="text1"/>
          <w:sz w:val="21"/>
          <w:szCs w:val="21"/>
          <w:lang w:val="es-CO"/>
        </w:rPr>
        <w:t xml:space="preserve"> </w:t>
      </w:r>
      <w:r w:rsidRPr="00B97920">
        <w:rPr>
          <w:rFonts w:ascii="Arial" w:eastAsia="Calibri" w:hAnsi="Arial" w:cs="Arial"/>
          <w:color w:val="000000" w:themeColor="text1"/>
          <w:sz w:val="21"/>
          <w:szCs w:val="21"/>
          <w:lang w:val="es-CO"/>
        </w:rPr>
        <w:t>¿Cuáles son las consecuencias para el proponente de no renovar en el término establecido en el artículo 2 del Decreto 434 del 19 de marzo de 2020?</w:t>
      </w:r>
      <w:r w:rsidR="00300794">
        <w:rPr>
          <w:rFonts w:ascii="Arial" w:eastAsia="Calibri" w:hAnsi="Arial" w:cs="Arial"/>
          <w:color w:val="000000" w:themeColor="text1"/>
          <w:sz w:val="21"/>
          <w:szCs w:val="21"/>
          <w:lang w:val="es-CO"/>
        </w:rPr>
        <w:t>»</w:t>
      </w:r>
    </w:p>
    <w:p w14:paraId="02692114" w14:textId="77777777" w:rsidR="00642D99" w:rsidRPr="00685722" w:rsidRDefault="00642D99" w:rsidP="00685722">
      <w:pPr>
        <w:ind w:left="709" w:right="709"/>
        <w:jc w:val="both"/>
        <w:rPr>
          <w:rFonts w:ascii="Arial" w:eastAsia="Calibri" w:hAnsi="Arial" w:cs="Arial"/>
          <w:color w:val="000000" w:themeColor="text1"/>
          <w:sz w:val="21"/>
          <w:szCs w:val="21"/>
          <w:highlight w:val="red"/>
          <w:lang w:val="es-CO"/>
        </w:rPr>
      </w:pPr>
    </w:p>
    <w:p w14:paraId="05E080CA" w14:textId="77777777" w:rsidR="00E33255" w:rsidRPr="00265C4F" w:rsidRDefault="00E33255" w:rsidP="00E33255">
      <w:pPr>
        <w:spacing w:after="120" w:line="276" w:lineRule="auto"/>
        <w:jc w:val="both"/>
        <w:rPr>
          <w:rFonts w:ascii="Arial" w:eastAsia="Arial" w:hAnsi="Arial" w:cs="Arial"/>
          <w:sz w:val="22"/>
          <w:lang w:val="es-CO"/>
        </w:rPr>
      </w:pPr>
      <w:r>
        <w:rPr>
          <w:rFonts w:ascii="Arial" w:eastAsia="Arial" w:hAnsi="Arial" w:cs="Arial"/>
          <w:sz w:val="22"/>
          <w:lang w:val="es-CO"/>
        </w:rPr>
        <w:t>En relación con estos interrogantes es oportuno</w:t>
      </w:r>
      <w:r w:rsidRPr="00265C4F">
        <w:rPr>
          <w:rFonts w:ascii="Arial" w:eastAsia="Arial" w:hAnsi="Arial" w:cs="Arial"/>
          <w:sz w:val="22"/>
          <w:lang w:val="es-CO"/>
        </w:rPr>
        <w:t xml:space="preserve"> precisar que de conformidad con la competencia otorgada según el numeral 8 del artículo 11 y numeral 5 del artículo 3 del Decreto Ley 4170 de 2011, la Agencia Nacional de Contratación Pública Colombia Compra Eficiente atiende consultas relativas a temas contractuales en lo que se refiere a la aplicación de normas de carácter general en materia de compras y contratación pública; por tal motivo, </w:t>
      </w:r>
      <w:r>
        <w:rPr>
          <w:rFonts w:ascii="Arial" w:eastAsia="Arial" w:hAnsi="Arial" w:cs="Arial"/>
          <w:sz w:val="22"/>
          <w:lang w:val="es-CO"/>
        </w:rPr>
        <w:t>esta Agencia</w:t>
      </w:r>
      <w:r w:rsidRPr="00265C4F">
        <w:rPr>
          <w:rFonts w:ascii="Arial" w:eastAsia="Arial" w:hAnsi="Arial" w:cs="Arial"/>
          <w:sz w:val="22"/>
          <w:lang w:val="es-CO"/>
        </w:rPr>
        <w:t xml:space="preserve"> carece de competencia para decidir sobre la legalidad de las decisiones tomadas por las entidades estatales con ocasión de su actividad contractual, o para pronunciarse respecto de actuaciones contractuales específicas.</w:t>
      </w:r>
    </w:p>
    <w:p w14:paraId="76CCDF90" w14:textId="1AA1A5F8" w:rsidR="00E33255" w:rsidRDefault="00E33255" w:rsidP="00E33255">
      <w:pPr>
        <w:spacing w:after="120" w:line="276" w:lineRule="auto"/>
        <w:ind w:firstLine="708"/>
        <w:jc w:val="both"/>
        <w:rPr>
          <w:rFonts w:ascii="Arial" w:eastAsia="Calibri" w:hAnsi="Arial" w:cs="Arial"/>
          <w:color w:val="000000" w:themeColor="text1"/>
          <w:sz w:val="22"/>
          <w:lang w:val="es-CO"/>
        </w:rPr>
      </w:pPr>
      <w:r>
        <w:rPr>
          <w:rFonts w:ascii="Arial" w:eastAsia="Arial" w:hAnsi="Arial" w:cs="Arial"/>
          <w:sz w:val="22"/>
          <w:lang w:val="es-CO"/>
        </w:rPr>
        <w:t xml:space="preserve">Sin perjuicio de lo anterior, en términos generales, frente al supuesto planteado por el peticionario, donde en la fecha del cierre del proceso </w:t>
      </w:r>
      <w:proofErr w:type="spellStart"/>
      <w:r>
        <w:rPr>
          <w:rFonts w:ascii="Arial" w:eastAsia="Arial" w:hAnsi="Arial" w:cs="Arial"/>
          <w:sz w:val="22"/>
          <w:lang w:val="es-CO"/>
        </w:rPr>
        <w:t>aun</w:t>
      </w:r>
      <w:proofErr w:type="spellEnd"/>
      <w:r>
        <w:rPr>
          <w:rFonts w:ascii="Arial" w:eastAsia="Arial" w:hAnsi="Arial" w:cs="Arial"/>
          <w:sz w:val="22"/>
          <w:lang w:val="es-CO"/>
        </w:rPr>
        <w:t xml:space="preserve"> no ha surgido la obligación de </w:t>
      </w:r>
      <w:r>
        <w:rPr>
          <w:rFonts w:ascii="Arial" w:eastAsia="Arial" w:hAnsi="Arial" w:cs="Arial"/>
          <w:i/>
          <w:iCs/>
          <w:sz w:val="22"/>
          <w:lang w:val="es-CO"/>
        </w:rPr>
        <w:t xml:space="preserve">renovar </w:t>
      </w:r>
      <w:r>
        <w:rPr>
          <w:rFonts w:ascii="Arial" w:eastAsia="Arial" w:hAnsi="Arial" w:cs="Arial"/>
          <w:sz w:val="22"/>
          <w:lang w:val="es-CO"/>
        </w:rPr>
        <w:t xml:space="preserve">el RUP, es necesario reiterar las consideraciones </w:t>
      </w:r>
      <w:r>
        <w:rPr>
          <w:rFonts w:ascii="Arial" w:eastAsia="Calibri" w:hAnsi="Arial" w:cs="Arial"/>
          <w:color w:val="000000" w:themeColor="text1"/>
          <w:sz w:val="22"/>
          <w:lang w:val="es-CO"/>
        </w:rPr>
        <w:t>en el sentido de que</w:t>
      </w:r>
      <w:r w:rsidRPr="00265C4F">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en los supuestos en que el</w:t>
      </w:r>
      <w:r w:rsidRPr="00265C4F">
        <w:rPr>
          <w:rFonts w:ascii="Arial" w:eastAsia="Calibri" w:hAnsi="Arial" w:cs="Arial"/>
          <w:color w:val="000000" w:themeColor="text1"/>
          <w:sz w:val="22"/>
          <w:lang w:val="es-CO"/>
        </w:rPr>
        <w:t xml:space="preserve"> RUP con la información «antigua» se haya presentado válidamente antes del cierre del proceso</w:t>
      </w:r>
      <w:r>
        <w:rPr>
          <w:rFonts w:ascii="Arial" w:eastAsia="Calibri" w:hAnsi="Arial" w:cs="Arial"/>
          <w:color w:val="000000" w:themeColor="text1"/>
          <w:sz w:val="22"/>
          <w:lang w:val="es-CO"/>
        </w:rPr>
        <w:t>,</w:t>
      </w:r>
      <w:r w:rsidRPr="00265C4F">
        <w:rPr>
          <w:rFonts w:ascii="Arial" w:eastAsia="Calibri" w:hAnsi="Arial" w:cs="Arial"/>
          <w:color w:val="000000" w:themeColor="text1"/>
          <w:sz w:val="22"/>
          <w:lang w:val="es-CO"/>
        </w:rPr>
        <w:t xml:space="preserve"> para la evaluación de las propuestas se deberá utilizar la información del registro presentado inicialmente,</w:t>
      </w:r>
      <w:r>
        <w:rPr>
          <w:rFonts w:ascii="Arial" w:eastAsia="Calibri" w:hAnsi="Arial" w:cs="Arial"/>
          <w:color w:val="000000" w:themeColor="text1"/>
          <w:sz w:val="22"/>
          <w:lang w:val="es-CO"/>
        </w:rPr>
        <w:t xml:space="preserve"> incluso aunque con posterioridad al cierre del proceso </w:t>
      </w:r>
      <w:r w:rsidRPr="00265C4F">
        <w:rPr>
          <w:rFonts w:ascii="Arial" w:eastAsia="Calibri" w:hAnsi="Arial" w:cs="Arial"/>
          <w:color w:val="000000" w:themeColor="text1"/>
          <w:sz w:val="22"/>
          <w:lang w:val="es-CO"/>
        </w:rPr>
        <w:t>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2CA982E9" w14:textId="34D8368F" w:rsidR="00E33255" w:rsidRDefault="00E33255" w:rsidP="00E33255">
      <w:pPr>
        <w:spacing w:after="120"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Debe tenerse en cuenta, en relación con este aspecto, que el parágrafo 1 –inciso segundo– del artículo 5 de la Ley 1150 de 2007, modificado por el artículo 5 de la Ley 1882 de 2018 establece que: «</w:t>
      </w:r>
      <w:r w:rsidRPr="002B11FE">
        <w:rPr>
          <w:rFonts w:ascii="Arial" w:eastAsia="Calibri" w:hAnsi="Arial" w:cs="Arial"/>
          <w:color w:val="000000" w:themeColor="text1"/>
          <w:sz w:val="22"/>
          <w:lang w:val="es-CO"/>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2"/>
          <w:lang w:val="es-CO"/>
        </w:rPr>
        <w:t>»</w:t>
      </w:r>
      <w:r w:rsidRPr="002B11FE">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Esta regla tiene un alcance muy amplio, pues no expresa, como pudo haberlo hecho, que durante dicho término no se pueden </w:t>
      </w:r>
      <w:r w:rsidRPr="002B11FE">
        <w:rPr>
          <w:rFonts w:ascii="Arial" w:eastAsia="Calibri" w:hAnsi="Arial" w:cs="Arial"/>
          <w:i/>
          <w:iCs/>
          <w:color w:val="000000" w:themeColor="text1"/>
          <w:sz w:val="22"/>
          <w:lang w:val="es-CO"/>
        </w:rPr>
        <w:t>subsanar</w:t>
      </w:r>
      <w:r>
        <w:rPr>
          <w:rFonts w:ascii="Arial" w:eastAsia="Calibri" w:hAnsi="Arial" w:cs="Arial"/>
          <w:color w:val="000000" w:themeColor="text1"/>
          <w:sz w:val="22"/>
          <w:lang w:val="es-CO"/>
        </w:rPr>
        <w:t xml:space="preserve"> circunstancias ocurridas con posterioridad al cierre; sino que optó por establecer una regla más amplia, consistente en que durante dicho término los proponentes no pueden acreditar ningún tipo de «circunstancias ocurridas con posterioridad al cierre del proceso», lo que se configuraría si </w:t>
      </w:r>
      <w:r>
        <w:rPr>
          <w:rFonts w:ascii="Arial" w:eastAsia="Calibri" w:hAnsi="Arial" w:cs="Arial"/>
          <w:color w:val="000000" w:themeColor="text1"/>
          <w:sz w:val="22"/>
          <w:lang w:val="es-CO"/>
        </w:rPr>
        <w:lastRenderedPageBreak/>
        <w:t xml:space="preserve">se presentara o acreditara un RUP diferente </w:t>
      </w:r>
      <w:r>
        <w:rPr>
          <w:rFonts w:ascii="Arial" w:eastAsia="Calibri" w:hAnsi="Arial" w:cs="Arial"/>
          <w:i/>
          <w:iCs/>
          <w:color w:val="000000" w:themeColor="text1"/>
          <w:sz w:val="22"/>
          <w:lang w:val="es-CO"/>
        </w:rPr>
        <w:t xml:space="preserve">renovado </w:t>
      </w:r>
      <w:r>
        <w:rPr>
          <w:rFonts w:ascii="Arial" w:eastAsia="Calibri" w:hAnsi="Arial" w:cs="Arial"/>
          <w:color w:val="000000" w:themeColor="text1"/>
          <w:sz w:val="22"/>
          <w:lang w:val="es-CO"/>
        </w:rPr>
        <w:t xml:space="preserve">que no estaba en firme para el cierre del proceso, o que el proponente no cumplió con la carga de renovar a tiempo, cuando dicha exigencia no había surgido antes del cierre del proceso; de manera que se debe tener en cuenta la información que el proponente tenía vigente y en firme –o la carencia de esta– antes del cierre del proceso, independientemente de que </w:t>
      </w:r>
      <w:r w:rsidR="00ED7DD3">
        <w:rPr>
          <w:rFonts w:ascii="Arial" w:eastAsia="Calibri" w:hAnsi="Arial" w:cs="Arial"/>
          <w:color w:val="000000" w:themeColor="text1"/>
          <w:sz w:val="22"/>
          <w:lang w:val="es-CO"/>
        </w:rPr>
        <w:t>las circunstancias ocurridas con posterioridad al cierre del proceso</w:t>
      </w:r>
      <w:r w:rsidRPr="002B11FE">
        <w:rPr>
          <w:rFonts w:ascii="Arial" w:eastAsia="Calibri" w:hAnsi="Arial" w:cs="Arial"/>
          <w:color w:val="000000" w:themeColor="text1"/>
          <w:sz w:val="22"/>
          <w:lang w:val="es-CO"/>
        </w:rPr>
        <w:t xml:space="preserve"> </w:t>
      </w:r>
      <w:r w:rsidRPr="001A5539">
        <w:rPr>
          <w:rFonts w:ascii="Arial" w:eastAsia="Calibri" w:hAnsi="Arial" w:cs="Arial"/>
          <w:color w:val="000000" w:themeColor="text1"/>
          <w:sz w:val="22"/>
          <w:lang w:val="es-CO"/>
        </w:rPr>
        <w:t>fav</w:t>
      </w:r>
      <w:r>
        <w:rPr>
          <w:rFonts w:ascii="Arial" w:eastAsia="Calibri" w:hAnsi="Arial" w:cs="Arial"/>
          <w:color w:val="000000" w:themeColor="text1"/>
          <w:sz w:val="22"/>
          <w:lang w:val="es-CO"/>
        </w:rPr>
        <w:t>orezca</w:t>
      </w:r>
      <w:r w:rsidR="00ED7DD3">
        <w:rPr>
          <w:rFonts w:ascii="Arial" w:eastAsia="Calibri" w:hAnsi="Arial" w:cs="Arial"/>
          <w:color w:val="000000" w:themeColor="text1"/>
          <w:sz w:val="22"/>
          <w:lang w:val="es-CO"/>
        </w:rPr>
        <w:t>n</w:t>
      </w:r>
      <w:r>
        <w:rPr>
          <w:rFonts w:ascii="Arial" w:eastAsia="Calibri" w:hAnsi="Arial" w:cs="Arial"/>
          <w:color w:val="000000" w:themeColor="text1"/>
          <w:sz w:val="22"/>
          <w:lang w:val="es-CO"/>
        </w:rPr>
        <w:t xml:space="preserve"> o perjudique</w:t>
      </w:r>
      <w:r w:rsidR="00ED7DD3">
        <w:rPr>
          <w:rFonts w:ascii="Arial" w:eastAsia="Calibri" w:hAnsi="Arial" w:cs="Arial"/>
          <w:color w:val="000000" w:themeColor="text1"/>
          <w:sz w:val="22"/>
          <w:lang w:val="es-CO"/>
        </w:rPr>
        <w:t>n</w:t>
      </w:r>
      <w:r>
        <w:rPr>
          <w:rFonts w:ascii="Arial" w:eastAsia="Calibri" w:hAnsi="Arial" w:cs="Arial"/>
          <w:color w:val="000000" w:themeColor="text1"/>
          <w:sz w:val="22"/>
          <w:lang w:val="es-CO"/>
        </w:rPr>
        <w:t xml:space="preserve"> al interesado. Pues de la norma comentada se sigue que la evaluación se debe realizar conforme a las circunstancias ocurridas con anterioridad al cierre del proceso.</w:t>
      </w:r>
    </w:p>
    <w:p w14:paraId="65B1CCD6" w14:textId="3111AC8C" w:rsidR="00ED7DD3" w:rsidRDefault="00ED7DD3" w:rsidP="00E33255">
      <w:pPr>
        <w:spacing w:after="120"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 xml:space="preserve">Lo anterior se fundamenta en </w:t>
      </w:r>
      <w:r w:rsidR="00CD38C8">
        <w:rPr>
          <w:rFonts w:ascii="Arial" w:eastAsia="Calibri" w:hAnsi="Arial" w:cs="Arial"/>
          <w:color w:val="000000" w:themeColor="text1"/>
          <w:sz w:val="22"/>
          <w:lang w:val="es-CO"/>
        </w:rPr>
        <w:t>6</w:t>
      </w:r>
      <w:r>
        <w:rPr>
          <w:rFonts w:ascii="Arial" w:eastAsia="Calibri" w:hAnsi="Arial" w:cs="Arial"/>
          <w:color w:val="000000" w:themeColor="text1"/>
          <w:sz w:val="22"/>
          <w:lang w:val="es-CO"/>
        </w:rPr>
        <w:t xml:space="preserve"> razones: i) en el supuesto indicado por el peticionario, suponiendo que se trata de un proceso cuyo cierre ocurrió antes de la fecha máxima en que se debe cumplir con la obligación de renovar el registro para el año 2020, la entidad debe admitir la evaluación de indicadores financieros, con corte </w:t>
      </w:r>
      <w:r>
        <w:rPr>
          <w:rFonts w:ascii="Arial" w:eastAsia="Calibri" w:hAnsi="Arial" w:cs="Arial"/>
          <w:i/>
          <w:iCs/>
          <w:color w:val="000000" w:themeColor="text1"/>
          <w:sz w:val="22"/>
          <w:lang w:val="es-CO"/>
        </w:rPr>
        <w:t xml:space="preserve">mínimo </w:t>
      </w:r>
      <w:r>
        <w:rPr>
          <w:rFonts w:ascii="Arial" w:eastAsia="Calibri" w:hAnsi="Arial" w:cs="Arial"/>
          <w:color w:val="000000" w:themeColor="text1"/>
          <w:sz w:val="22"/>
          <w:lang w:val="es-CO"/>
        </w:rPr>
        <w:t xml:space="preserve">al 31 de diciembre de 2018; </w:t>
      </w:r>
      <w:proofErr w:type="spellStart"/>
      <w:r>
        <w:rPr>
          <w:rFonts w:ascii="Arial" w:eastAsia="Calibri" w:hAnsi="Arial" w:cs="Arial"/>
          <w:color w:val="000000" w:themeColor="text1"/>
          <w:sz w:val="22"/>
          <w:lang w:val="es-CO"/>
        </w:rPr>
        <w:t>ii</w:t>
      </w:r>
      <w:proofErr w:type="spellEnd"/>
      <w:r>
        <w:rPr>
          <w:rFonts w:ascii="Arial" w:eastAsia="Calibri" w:hAnsi="Arial" w:cs="Arial"/>
          <w:color w:val="000000" w:themeColor="text1"/>
          <w:sz w:val="22"/>
          <w:lang w:val="es-CO"/>
        </w:rPr>
        <w:t xml:space="preserve">) al momento del cierre el proponente tenía un RUP en firme y vigente; </w:t>
      </w:r>
      <w:proofErr w:type="spellStart"/>
      <w:r>
        <w:rPr>
          <w:rFonts w:ascii="Arial" w:eastAsia="Calibri" w:hAnsi="Arial" w:cs="Arial"/>
          <w:color w:val="000000" w:themeColor="text1"/>
          <w:sz w:val="22"/>
          <w:lang w:val="es-CO"/>
        </w:rPr>
        <w:t>iii</w:t>
      </w:r>
      <w:proofErr w:type="spellEnd"/>
      <w:r>
        <w:rPr>
          <w:rFonts w:ascii="Arial" w:eastAsia="Calibri" w:hAnsi="Arial" w:cs="Arial"/>
          <w:color w:val="000000" w:themeColor="text1"/>
          <w:sz w:val="22"/>
          <w:lang w:val="es-CO"/>
        </w:rPr>
        <w:t xml:space="preserve">) durante el término para subsanar los proponentes no pueden acreditar circunstancias ocurridas con posterioridad al cierre del proceso; </w:t>
      </w:r>
      <w:proofErr w:type="spellStart"/>
      <w:r>
        <w:rPr>
          <w:rFonts w:ascii="Arial" w:eastAsia="Calibri" w:hAnsi="Arial" w:cs="Arial"/>
          <w:color w:val="000000" w:themeColor="text1"/>
          <w:sz w:val="22"/>
          <w:lang w:val="es-CO"/>
        </w:rPr>
        <w:t>iv</w:t>
      </w:r>
      <w:proofErr w:type="spellEnd"/>
      <w:r>
        <w:rPr>
          <w:rFonts w:ascii="Arial" w:eastAsia="Calibri" w:hAnsi="Arial" w:cs="Arial"/>
          <w:color w:val="000000" w:themeColor="text1"/>
          <w:sz w:val="22"/>
          <w:lang w:val="es-CO"/>
        </w:rPr>
        <w:t xml:space="preserve">) la consecuencia jurídica establecida en el artículo </w:t>
      </w:r>
      <w:r w:rsidRPr="00ED7DD3">
        <w:rPr>
          <w:rFonts w:ascii="Arial" w:eastAsia="Calibri" w:hAnsi="Arial" w:cs="Arial"/>
          <w:color w:val="000000" w:themeColor="text1"/>
          <w:sz w:val="22"/>
          <w:lang w:val="es-CO"/>
        </w:rPr>
        <w:t>2.2.1.1.1.5.1.</w:t>
      </w:r>
      <w:r>
        <w:rPr>
          <w:rFonts w:ascii="Arial" w:eastAsia="Calibri" w:hAnsi="Arial" w:cs="Arial"/>
          <w:color w:val="000000" w:themeColor="text1"/>
          <w:sz w:val="22"/>
          <w:lang w:val="es-CO"/>
        </w:rPr>
        <w:t xml:space="preserve"> del Decreto 1082 de 2015</w:t>
      </w:r>
      <w:r w:rsidR="00FC7897">
        <w:rPr>
          <w:rStyle w:val="Refdenotaalpie"/>
          <w:rFonts w:ascii="Arial" w:eastAsia="Calibri" w:hAnsi="Arial" w:cs="Arial"/>
          <w:color w:val="000000" w:themeColor="text1"/>
          <w:sz w:val="22"/>
          <w:lang w:val="es-CO"/>
        </w:rPr>
        <w:footnoteReference w:id="18"/>
      </w:r>
      <w:r w:rsidR="00FC7897">
        <w:rPr>
          <w:rFonts w:ascii="Arial" w:eastAsia="Calibri" w:hAnsi="Arial" w:cs="Arial"/>
          <w:color w:val="000000" w:themeColor="text1"/>
          <w:sz w:val="22"/>
          <w:lang w:val="es-CO"/>
        </w:rPr>
        <w:t>,</w:t>
      </w:r>
      <w:r w:rsidR="00E9703E">
        <w:rPr>
          <w:rFonts w:ascii="Arial" w:eastAsia="Calibri" w:hAnsi="Arial" w:cs="Arial"/>
          <w:color w:val="000000" w:themeColor="text1"/>
          <w:sz w:val="22"/>
          <w:lang w:val="es-CO"/>
        </w:rPr>
        <w:t xml:space="preserve"> al establecer que ante la falta de renovación «cesan los efectos del RUP» produce efectos a futuro, </w:t>
      </w:r>
      <w:r w:rsidR="004E027B">
        <w:rPr>
          <w:rFonts w:ascii="Arial" w:eastAsia="Calibri" w:hAnsi="Arial" w:cs="Arial"/>
          <w:color w:val="000000" w:themeColor="text1"/>
          <w:sz w:val="22"/>
          <w:lang w:val="es-CO"/>
        </w:rPr>
        <w:t>pero</w:t>
      </w:r>
      <w:r w:rsidR="00E9703E">
        <w:rPr>
          <w:rFonts w:ascii="Arial" w:eastAsia="Calibri" w:hAnsi="Arial" w:cs="Arial"/>
          <w:color w:val="000000" w:themeColor="text1"/>
          <w:sz w:val="22"/>
          <w:lang w:val="es-CO"/>
        </w:rPr>
        <w:t xml:space="preserve"> no retroactivos; v) en caso de que ante la falta de renovación cesaran los efectos del RUP</w:t>
      </w:r>
      <w:r w:rsidR="004E027B">
        <w:rPr>
          <w:rFonts w:ascii="Arial" w:eastAsia="Calibri" w:hAnsi="Arial" w:cs="Arial"/>
          <w:color w:val="000000" w:themeColor="text1"/>
          <w:sz w:val="22"/>
          <w:lang w:val="es-CO"/>
        </w:rPr>
        <w:t xml:space="preserve"> incluso para los procesos cuyo cierre ya ocurrió,</w:t>
      </w:r>
      <w:r w:rsidR="00E9703E">
        <w:rPr>
          <w:rFonts w:ascii="Arial" w:eastAsia="Calibri" w:hAnsi="Arial" w:cs="Arial"/>
          <w:color w:val="000000" w:themeColor="text1"/>
          <w:sz w:val="22"/>
          <w:lang w:val="es-CO"/>
        </w:rPr>
        <w:t xml:space="preserve"> </w:t>
      </w:r>
      <w:r w:rsidR="004E027B">
        <w:rPr>
          <w:rFonts w:ascii="Arial" w:eastAsia="Calibri" w:hAnsi="Arial" w:cs="Arial"/>
          <w:color w:val="000000" w:themeColor="text1"/>
          <w:sz w:val="22"/>
          <w:lang w:val="es-CO"/>
        </w:rPr>
        <w:t>permitiría que los proponentes</w:t>
      </w:r>
      <w:r w:rsidR="00E9703E">
        <w:rPr>
          <w:rFonts w:ascii="Arial" w:eastAsia="Calibri" w:hAnsi="Arial" w:cs="Arial"/>
          <w:color w:val="000000" w:themeColor="text1"/>
          <w:sz w:val="22"/>
          <w:lang w:val="es-CO"/>
        </w:rPr>
        <w:t xml:space="preserve"> manipular</w:t>
      </w:r>
      <w:r w:rsidR="004E027B">
        <w:rPr>
          <w:rFonts w:ascii="Arial" w:eastAsia="Calibri" w:hAnsi="Arial" w:cs="Arial"/>
          <w:color w:val="000000" w:themeColor="text1"/>
          <w:sz w:val="22"/>
          <w:lang w:val="es-CO"/>
        </w:rPr>
        <w:t>an</w:t>
      </w:r>
      <w:r w:rsidR="00E9703E">
        <w:rPr>
          <w:rFonts w:ascii="Arial" w:eastAsia="Calibri" w:hAnsi="Arial" w:cs="Arial"/>
          <w:color w:val="000000" w:themeColor="text1"/>
          <w:sz w:val="22"/>
          <w:lang w:val="es-CO"/>
        </w:rPr>
        <w:t>, luego del cierre del proceso la evaluación de las ofertas, para retirarse del mismo por considerar posteriormente que el contrato no le resulta</w:t>
      </w:r>
      <w:r w:rsidR="004E027B">
        <w:rPr>
          <w:rFonts w:ascii="Arial" w:eastAsia="Calibri" w:hAnsi="Arial" w:cs="Arial"/>
          <w:color w:val="000000" w:themeColor="text1"/>
          <w:sz w:val="22"/>
          <w:lang w:val="es-CO"/>
        </w:rPr>
        <w:t>ría</w:t>
      </w:r>
      <w:r w:rsidR="00E9703E">
        <w:rPr>
          <w:rFonts w:ascii="Arial" w:eastAsia="Calibri" w:hAnsi="Arial" w:cs="Arial"/>
          <w:color w:val="000000" w:themeColor="text1"/>
          <w:sz w:val="22"/>
          <w:lang w:val="es-CO"/>
        </w:rPr>
        <w:t xml:space="preserve"> conveniente o con la finalidad de que la adjudicación se realice a otro oferente</w:t>
      </w:r>
      <w:r w:rsidR="004E027B">
        <w:rPr>
          <w:rFonts w:ascii="Arial" w:eastAsia="Calibri" w:hAnsi="Arial" w:cs="Arial"/>
          <w:color w:val="000000" w:themeColor="text1"/>
          <w:sz w:val="22"/>
          <w:lang w:val="es-CO"/>
        </w:rPr>
        <w:t xml:space="preserve">; incluso, debe tenerse en cuenta que los inscritos en el RUP pueden cancelar en cualquier momento su inscripción –art. </w:t>
      </w:r>
      <w:r w:rsidR="004E027B" w:rsidRPr="00ED7DD3">
        <w:rPr>
          <w:rFonts w:ascii="Arial" w:eastAsia="Calibri" w:hAnsi="Arial" w:cs="Arial"/>
          <w:color w:val="000000" w:themeColor="text1"/>
          <w:sz w:val="22"/>
          <w:lang w:val="es-CO"/>
        </w:rPr>
        <w:t>2.2.1.1.1.5.1.</w:t>
      </w:r>
      <w:r w:rsidR="004E027B">
        <w:rPr>
          <w:rFonts w:ascii="Arial" w:eastAsia="Calibri" w:hAnsi="Arial" w:cs="Arial"/>
          <w:color w:val="000000" w:themeColor="text1"/>
          <w:sz w:val="22"/>
          <w:lang w:val="es-CO"/>
        </w:rPr>
        <w:t xml:space="preserve"> del Decreto 1082 de 2015–, pudiendo utilizarse esta actuación para los fines anteriores, de manera que en caso de que esto se haga luego del cierre del proceso, tal actuación no tendría incidencia en el procedimiento de selección, toda vez que al momento del cierre</w:t>
      </w:r>
      <w:r w:rsidR="002808DD">
        <w:rPr>
          <w:rFonts w:ascii="Arial" w:eastAsia="Calibri" w:hAnsi="Arial" w:cs="Arial"/>
          <w:color w:val="000000" w:themeColor="text1"/>
          <w:sz w:val="22"/>
          <w:lang w:val="es-CO"/>
        </w:rPr>
        <w:t xml:space="preserve"> y para</w:t>
      </w:r>
      <w:r w:rsidR="004E027B">
        <w:rPr>
          <w:rFonts w:ascii="Arial" w:eastAsia="Calibri" w:hAnsi="Arial" w:cs="Arial"/>
          <w:color w:val="000000" w:themeColor="text1"/>
          <w:sz w:val="22"/>
          <w:lang w:val="es-CO"/>
        </w:rPr>
        <w:t xml:space="preserve"> </w:t>
      </w:r>
      <w:r w:rsidR="002808DD">
        <w:rPr>
          <w:rFonts w:ascii="Arial" w:eastAsia="Calibri" w:hAnsi="Arial" w:cs="Arial"/>
          <w:color w:val="000000" w:themeColor="text1"/>
          <w:sz w:val="22"/>
          <w:lang w:val="es-CO"/>
        </w:rPr>
        <w:t>cuando</w:t>
      </w:r>
      <w:r w:rsidR="004E027B">
        <w:rPr>
          <w:rFonts w:ascii="Arial" w:eastAsia="Calibri" w:hAnsi="Arial" w:cs="Arial"/>
          <w:color w:val="000000" w:themeColor="text1"/>
          <w:sz w:val="22"/>
          <w:lang w:val="es-CO"/>
        </w:rPr>
        <w:t xml:space="preserve"> el proponente presentó su oferta tenía un RUP vigente y en firme</w:t>
      </w:r>
      <w:r w:rsidR="00CD38C8">
        <w:rPr>
          <w:rFonts w:ascii="Arial" w:eastAsia="Calibri" w:hAnsi="Arial" w:cs="Arial"/>
          <w:color w:val="000000" w:themeColor="text1"/>
          <w:sz w:val="22"/>
          <w:lang w:val="es-CO"/>
        </w:rPr>
        <w:t xml:space="preserve">; finalmente vi) la capacidad jurídica se acredita al momento de presentar la oferta, sin perjuicio de la posibilidad de que sobrevenga una causal de inhabilidad o incompatibilidad, de manera que si, por ejemplo, el representante legal de una sociedad contaba con alguna limitación respecto a su capacidad para representar a la sociedad y presentó con su </w:t>
      </w:r>
      <w:r w:rsidR="00D05E43">
        <w:rPr>
          <w:rFonts w:ascii="Arial" w:eastAsia="Calibri" w:hAnsi="Arial" w:cs="Arial"/>
          <w:color w:val="000000" w:themeColor="text1"/>
          <w:sz w:val="22"/>
          <w:lang w:val="es-CO"/>
        </w:rPr>
        <w:t>propuesta</w:t>
      </w:r>
      <w:r w:rsidR="00CD38C8">
        <w:rPr>
          <w:rFonts w:ascii="Arial" w:eastAsia="Calibri" w:hAnsi="Arial" w:cs="Arial"/>
          <w:color w:val="000000" w:themeColor="text1"/>
          <w:sz w:val="22"/>
          <w:lang w:val="es-CO"/>
        </w:rPr>
        <w:t xml:space="preserve"> la autorización del órgano social correspondiente que lo habilitaba para presentar la oferta y comprometer a la sociedad, el hecho de que posteriormente</w:t>
      </w:r>
      <w:r w:rsidR="00E31C13">
        <w:rPr>
          <w:rFonts w:ascii="Arial" w:eastAsia="Calibri" w:hAnsi="Arial" w:cs="Arial"/>
          <w:color w:val="000000" w:themeColor="text1"/>
          <w:sz w:val="22"/>
          <w:lang w:val="es-CO"/>
        </w:rPr>
        <w:t>, por ejemplo, durante la evaluación de las propuestas,</w:t>
      </w:r>
      <w:r w:rsidR="00CD38C8">
        <w:rPr>
          <w:rFonts w:ascii="Arial" w:eastAsia="Calibri" w:hAnsi="Arial" w:cs="Arial"/>
          <w:color w:val="000000" w:themeColor="text1"/>
          <w:sz w:val="22"/>
          <w:lang w:val="es-CO"/>
        </w:rPr>
        <w:t xml:space="preserve"> el órgano social le revoque dicha autorización</w:t>
      </w:r>
      <w:r w:rsidR="002D2AEB">
        <w:rPr>
          <w:rFonts w:ascii="Arial" w:eastAsia="Calibri" w:hAnsi="Arial" w:cs="Arial"/>
          <w:color w:val="000000" w:themeColor="text1"/>
          <w:sz w:val="22"/>
          <w:lang w:val="es-CO"/>
        </w:rPr>
        <w:t xml:space="preserve"> no afecta la vinculatoriedad de la oferta para el proponente</w:t>
      </w:r>
      <w:r w:rsidR="007C305E">
        <w:rPr>
          <w:rFonts w:ascii="Arial" w:eastAsia="Calibri" w:hAnsi="Arial" w:cs="Arial"/>
          <w:color w:val="000000" w:themeColor="text1"/>
          <w:sz w:val="22"/>
          <w:lang w:val="es-CO"/>
        </w:rPr>
        <w:t>, con las consecuencias que ello apareja</w:t>
      </w:r>
      <w:r w:rsidR="00E31C13">
        <w:rPr>
          <w:rFonts w:ascii="Arial" w:eastAsia="Calibri" w:hAnsi="Arial" w:cs="Arial"/>
          <w:color w:val="000000" w:themeColor="text1"/>
          <w:sz w:val="22"/>
          <w:lang w:val="es-CO"/>
        </w:rPr>
        <w:t xml:space="preserve"> en materia de responsabilidad.</w:t>
      </w:r>
    </w:p>
    <w:p w14:paraId="0E153CC5" w14:textId="5FC91719" w:rsidR="00B97920" w:rsidRDefault="00B97920" w:rsidP="00B97920">
      <w:pPr>
        <w:spacing w:line="276" w:lineRule="auto"/>
        <w:jc w:val="both"/>
        <w:rPr>
          <w:rFonts w:ascii="Arial" w:eastAsia="Calibri" w:hAnsi="Arial" w:cs="Arial"/>
          <w:color w:val="000000" w:themeColor="text1"/>
          <w:sz w:val="22"/>
          <w:lang w:val="es-CO"/>
        </w:rPr>
      </w:pPr>
    </w:p>
    <w:p w14:paraId="40880980" w14:textId="7799F10E" w:rsidR="00B97920" w:rsidRPr="00B97920" w:rsidRDefault="00B97920" w:rsidP="00B97920">
      <w:pPr>
        <w:ind w:left="709" w:right="709"/>
        <w:jc w:val="both"/>
        <w:rPr>
          <w:rFonts w:ascii="Arial" w:eastAsia="Calibri" w:hAnsi="Arial" w:cs="Arial"/>
          <w:color w:val="000000" w:themeColor="text1"/>
          <w:sz w:val="21"/>
          <w:szCs w:val="21"/>
          <w:lang w:val="es-CO"/>
        </w:rPr>
      </w:pPr>
      <w:r>
        <w:rPr>
          <w:rFonts w:ascii="Arial" w:eastAsia="Calibri" w:hAnsi="Arial" w:cs="Arial"/>
          <w:color w:val="000000" w:themeColor="text1"/>
          <w:sz w:val="21"/>
          <w:szCs w:val="21"/>
          <w:lang w:val="es-CO"/>
        </w:rPr>
        <w:t xml:space="preserve">«7. </w:t>
      </w:r>
      <w:r w:rsidRPr="00B97920">
        <w:rPr>
          <w:rFonts w:ascii="Arial" w:eastAsia="Calibri" w:hAnsi="Arial" w:cs="Arial"/>
          <w:color w:val="000000" w:themeColor="text1"/>
          <w:sz w:val="21"/>
          <w:szCs w:val="21"/>
          <w:lang w:val="es-CO"/>
        </w:rPr>
        <w:t xml:space="preserve">Los supuestos antes enunciados, ¿tienen el mismo tratamiento </w:t>
      </w:r>
      <w:proofErr w:type="gramStart"/>
      <w:r w:rsidRPr="00B97920">
        <w:rPr>
          <w:rFonts w:ascii="Arial" w:eastAsia="Calibri" w:hAnsi="Arial" w:cs="Arial"/>
          <w:color w:val="000000" w:themeColor="text1"/>
          <w:sz w:val="21"/>
          <w:szCs w:val="21"/>
          <w:lang w:val="es-CO"/>
        </w:rPr>
        <w:t>indistintamente  si</w:t>
      </w:r>
      <w:proofErr w:type="gramEnd"/>
      <w:r w:rsidRPr="00B97920">
        <w:rPr>
          <w:rFonts w:ascii="Arial" w:eastAsia="Calibri" w:hAnsi="Arial" w:cs="Arial"/>
          <w:color w:val="000000" w:themeColor="text1"/>
          <w:sz w:val="21"/>
          <w:szCs w:val="21"/>
          <w:lang w:val="es-CO"/>
        </w:rPr>
        <w:t xml:space="preserve"> se trata de la versión 1 de los documentos tipo, o la versión 2?</w:t>
      </w:r>
      <w:r>
        <w:rPr>
          <w:rFonts w:ascii="Arial" w:eastAsia="Calibri" w:hAnsi="Arial" w:cs="Arial"/>
          <w:color w:val="000000" w:themeColor="text1"/>
          <w:sz w:val="21"/>
          <w:szCs w:val="21"/>
          <w:lang w:val="es-CO"/>
        </w:rPr>
        <w:t>»</w:t>
      </w:r>
    </w:p>
    <w:p w14:paraId="11A6650A" w14:textId="67C1A05E" w:rsidR="00F56D55" w:rsidRPr="00B97920" w:rsidRDefault="00F56D55" w:rsidP="00B97920">
      <w:pPr>
        <w:spacing w:line="276" w:lineRule="auto"/>
        <w:ind w:firstLine="709"/>
        <w:jc w:val="both"/>
        <w:rPr>
          <w:rFonts w:ascii="Arial" w:eastAsia="Calibri" w:hAnsi="Arial" w:cs="Arial"/>
          <w:color w:val="000000" w:themeColor="text1"/>
          <w:sz w:val="22"/>
          <w:lang w:val="es-CO"/>
        </w:rPr>
      </w:pPr>
    </w:p>
    <w:p w14:paraId="0A3220C6" w14:textId="0A2DFB93" w:rsidR="00B97920" w:rsidRPr="00B97920" w:rsidRDefault="00B97920" w:rsidP="009414EB">
      <w:pPr>
        <w:spacing w:line="276" w:lineRule="auto"/>
        <w:jc w:val="both"/>
        <w:rPr>
          <w:rFonts w:ascii="Arial" w:eastAsia="Calibri" w:hAnsi="Arial" w:cs="Arial"/>
          <w:color w:val="000000" w:themeColor="text1"/>
          <w:sz w:val="22"/>
          <w:lang w:val="es-CO"/>
        </w:rPr>
      </w:pPr>
      <w:r w:rsidRPr="00B97920">
        <w:rPr>
          <w:rFonts w:ascii="Arial" w:eastAsia="Calibri" w:hAnsi="Arial" w:cs="Arial"/>
          <w:color w:val="000000" w:themeColor="text1"/>
          <w:sz w:val="22"/>
          <w:lang w:val="es-CO"/>
        </w:rPr>
        <w:t>La respuesta a los interrogantes anteriores aplica a los procesos que se adelantan tanto con la versión 1, como con la versión 2 de los Documentos Tipo.</w:t>
      </w:r>
    </w:p>
    <w:p w14:paraId="05D7C5C7" w14:textId="6A8D74F3" w:rsidR="00B97920" w:rsidRDefault="00B97920" w:rsidP="00A1118B">
      <w:pPr>
        <w:spacing w:line="276" w:lineRule="auto"/>
        <w:jc w:val="both"/>
        <w:rPr>
          <w:rFonts w:ascii="Arial" w:eastAsia="Arial" w:hAnsi="Arial" w:cs="Arial"/>
          <w:color w:val="000000"/>
          <w:sz w:val="22"/>
        </w:rPr>
      </w:pPr>
    </w:p>
    <w:p w14:paraId="4FCC736E" w14:textId="77777777" w:rsidR="009414EB" w:rsidRPr="00B97920" w:rsidRDefault="009414EB" w:rsidP="00A1118B">
      <w:pPr>
        <w:spacing w:line="276" w:lineRule="auto"/>
        <w:jc w:val="both"/>
        <w:rPr>
          <w:rFonts w:ascii="Arial" w:eastAsia="Arial" w:hAnsi="Arial" w:cs="Arial"/>
          <w:color w:val="000000"/>
          <w:sz w:val="22"/>
        </w:rPr>
      </w:pPr>
    </w:p>
    <w:p w14:paraId="437B4218" w14:textId="77777777" w:rsidR="00E31C13" w:rsidRPr="00274147" w:rsidRDefault="00E31C13" w:rsidP="00E31C13">
      <w:pPr>
        <w:spacing w:line="276" w:lineRule="auto"/>
        <w:jc w:val="both"/>
        <w:rPr>
          <w:rFonts w:ascii="Arial" w:eastAsia="Arial" w:hAnsi="Arial" w:cs="Arial"/>
          <w:color w:val="000000"/>
          <w:sz w:val="22"/>
        </w:rPr>
      </w:pPr>
      <w:r w:rsidRPr="00274147">
        <w:rPr>
          <w:rFonts w:ascii="Arial" w:eastAsia="Arial" w:hAnsi="Arial" w:cs="Arial"/>
          <w:color w:val="000000"/>
          <w:sz w:val="22"/>
        </w:rPr>
        <w:t xml:space="preserve">Este concepto tiene el alcance previsto en el artículo 28 del Código de Procedimiento Administrativo y de lo Contencioso Administrativo, es decir, se trata de una apreciación y por lo tanto no vincula a los destinatarios, quienes pueden y deben resolver </w:t>
      </w:r>
      <w:r>
        <w:rPr>
          <w:rFonts w:ascii="Arial" w:eastAsia="Arial" w:hAnsi="Arial" w:cs="Arial"/>
          <w:color w:val="000000"/>
          <w:sz w:val="22"/>
        </w:rPr>
        <w:t>particularmente</w:t>
      </w:r>
      <w:r w:rsidRPr="00274147">
        <w:rPr>
          <w:rFonts w:ascii="Arial" w:eastAsia="Arial" w:hAnsi="Arial" w:cs="Arial"/>
          <w:color w:val="000000"/>
          <w:sz w:val="22"/>
        </w:rPr>
        <w:t xml:space="preserve"> las inquietudes que les surgen sobre los temas de hecho y de derecho que se consultan.</w:t>
      </w:r>
    </w:p>
    <w:p w14:paraId="3F1A9754" w14:textId="77777777" w:rsidR="00A1118B" w:rsidRPr="00265C4F" w:rsidRDefault="00A1118B" w:rsidP="00A1118B">
      <w:pPr>
        <w:spacing w:line="276" w:lineRule="auto"/>
        <w:ind w:firstLine="708"/>
        <w:jc w:val="both"/>
        <w:rPr>
          <w:rFonts w:ascii="Arial" w:eastAsia="Calibri" w:hAnsi="Arial" w:cs="Arial"/>
          <w:sz w:val="22"/>
          <w:lang w:val="es-CO"/>
        </w:rPr>
      </w:pPr>
    </w:p>
    <w:p w14:paraId="7A2C359F" w14:textId="60699FBA" w:rsidR="00A1118B" w:rsidRPr="00265C4F" w:rsidRDefault="00A1118B" w:rsidP="00A1118B">
      <w:pPr>
        <w:spacing w:line="276" w:lineRule="auto"/>
        <w:jc w:val="both"/>
        <w:rPr>
          <w:rFonts w:ascii="Arial" w:eastAsia="Calibri" w:hAnsi="Arial" w:cs="Arial"/>
          <w:sz w:val="22"/>
          <w:lang w:val="es-CO"/>
        </w:rPr>
      </w:pPr>
      <w:r w:rsidRPr="00265C4F">
        <w:rPr>
          <w:noProof/>
          <w:lang w:val="es-CO"/>
        </w:rPr>
        <mc:AlternateContent>
          <mc:Choice Requires="wps">
            <w:drawing>
              <wp:anchor distT="0" distB="0" distL="114300" distR="114300" simplePos="0" relativeHeight="251658240" behindDoc="0" locked="0" layoutInCell="1" allowOverlap="1" wp14:anchorId="02056D76" wp14:editId="5D675661">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F19528">
              <v:line id="Conector recto 4"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B3E1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w10:wrap anchorx="page"/>
              </v:line>
            </w:pict>
          </mc:Fallback>
        </mc:AlternateContent>
      </w:r>
    </w:p>
    <w:p w14:paraId="0D12193D" w14:textId="77777777" w:rsidR="00A1118B" w:rsidRPr="00265C4F" w:rsidRDefault="00A1118B" w:rsidP="00A1118B">
      <w:pPr>
        <w:spacing w:line="276" w:lineRule="auto"/>
        <w:rPr>
          <w:rFonts w:ascii="Arial" w:eastAsia="Times New Roman" w:hAnsi="Arial" w:cs="Arial"/>
          <w:sz w:val="22"/>
          <w:lang w:val="es-CO" w:eastAsia="es-CO"/>
        </w:rPr>
      </w:pPr>
      <w:r w:rsidRPr="00265C4F">
        <w:rPr>
          <w:rFonts w:ascii="Arial" w:eastAsia="Times New Roman" w:hAnsi="Arial" w:cs="Arial"/>
          <w:sz w:val="22"/>
          <w:lang w:val="es-CO" w:eastAsia="es-CO"/>
        </w:rPr>
        <w:t>Atentamente,</w:t>
      </w:r>
    </w:p>
    <w:p w14:paraId="0A5EF209" w14:textId="2C6FEEED" w:rsidR="00A1118B" w:rsidRDefault="009414EB" w:rsidP="00A1118B">
      <w:pPr>
        <w:spacing w:line="276" w:lineRule="auto"/>
        <w:jc w:val="center"/>
        <w:rPr>
          <w:rFonts w:ascii="Arial" w:eastAsia="Times New Roman" w:hAnsi="Arial" w:cs="Arial"/>
          <w:sz w:val="18"/>
          <w:szCs w:val="20"/>
          <w:lang w:val="es-CO" w:eastAsia="es-CO"/>
        </w:rPr>
      </w:pPr>
      <w:r>
        <w:rPr>
          <w:noProof/>
        </w:rPr>
        <w:drawing>
          <wp:inline distT="0" distB="0" distL="0" distR="0" wp14:anchorId="6C79CD0A" wp14:editId="7EB1D5D9">
            <wp:extent cx="2773045" cy="988695"/>
            <wp:effectExtent l="0" t="0" r="0" b="0"/>
            <wp:docPr id="10214820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D2DC0C1" w14:textId="77777777" w:rsidR="006F7FB4" w:rsidRPr="00265C4F" w:rsidRDefault="006F7FB4" w:rsidP="00A1118B">
      <w:pPr>
        <w:spacing w:line="276" w:lineRule="auto"/>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1118B" w:rsidRPr="00265C4F" w14:paraId="54288736" w14:textId="77777777" w:rsidTr="00A1118B">
        <w:trPr>
          <w:trHeight w:val="315"/>
        </w:trPr>
        <w:tc>
          <w:tcPr>
            <w:tcW w:w="488" w:type="dxa"/>
            <w:vAlign w:val="center"/>
            <w:hideMark/>
          </w:tcPr>
          <w:p w14:paraId="7777F192" w14:textId="77777777" w:rsidR="00A1118B" w:rsidRPr="00265C4F" w:rsidRDefault="00A1118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17093D24" w14:textId="77777777" w:rsidR="00685722" w:rsidRPr="00265C4F" w:rsidRDefault="00685722" w:rsidP="00685722">
            <w:pPr>
              <w:rPr>
                <w:rFonts w:ascii="Arial" w:eastAsia="Times New Roman" w:hAnsi="Arial" w:cs="Arial"/>
                <w:sz w:val="16"/>
                <w:szCs w:val="16"/>
                <w:lang w:val="es-CO" w:eastAsia="es-ES"/>
              </w:rPr>
            </w:pPr>
            <w:r>
              <w:rPr>
                <w:rFonts w:ascii="Arial" w:eastAsia="Times New Roman" w:hAnsi="Arial" w:cs="Arial"/>
                <w:sz w:val="16"/>
                <w:szCs w:val="16"/>
                <w:lang w:val="es-CO" w:eastAsia="es-ES"/>
              </w:rPr>
              <w:t>Sebastián Ramírez Grisales</w:t>
            </w:r>
          </w:p>
          <w:p w14:paraId="4EB6C175" w14:textId="587B3CE8" w:rsidR="001A635E" w:rsidRPr="00265C4F" w:rsidRDefault="00685722" w:rsidP="00685722">
            <w:pPr>
              <w:rPr>
                <w:rFonts w:ascii="Arial" w:eastAsia="Times New Roman" w:hAnsi="Arial" w:cs="Arial"/>
                <w:sz w:val="16"/>
                <w:szCs w:val="16"/>
                <w:lang w:val="es-CO" w:eastAsia="es-ES"/>
              </w:rPr>
            </w:pPr>
            <w:r>
              <w:rPr>
                <w:rFonts w:ascii="Arial" w:eastAsia="Times New Roman" w:hAnsi="Arial" w:cs="Arial"/>
                <w:sz w:val="16"/>
                <w:szCs w:val="16"/>
                <w:lang w:val="es-CO" w:eastAsia="es-ES"/>
              </w:rPr>
              <w:t>Contratista – Subdirección de</w:t>
            </w:r>
            <w:r w:rsidRPr="00265C4F">
              <w:rPr>
                <w:rFonts w:ascii="Arial" w:eastAsia="Times New Roman" w:hAnsi="Arial" w:cs="Arial"/>
                <w:sz w:val="16"/>
                <w:szCs w:val="16"/>
                <w:lang w:val="es-CO" w:eastAsia="es-ES"/>
              </w:rPr>
              <w:t xml:space="preserve"> Gestión Contractual</w:t>
            </w:r>
          </w:p>
        </w:tc>
      </w:tr>
      <w:tr w:rsidR="00A1118B" w:rsidRPr="00265C4F" w14:paraId="2F99034A" w14:textId="77777777" w:rsidTr="00A1118B">
        <w:trPr>
          <w:trHeight w:val="330"/>
        </w:trPr>
        <w:tc>
          <w:tcPr>
            <w:tcW w:w="488" w:type="dxa"/>
            <w:vAlign w:val="center"/>
            <w:hideMark/>
          </w:tcPr>
          <w:p w14:paraId="31D7F710" w14:textId="77777777" w:rsidR="00A1118B" w:rsidRPr="00265C4F" w:rsidRDefault="00A1118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F5BB944" w14:textId="77777777" w:rsidR="00685722" w:rsidRPr="00265C4F" w:rsidRDefault="00685722" w:rsidP="00685722">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Fabián Gonzalo Marín Cortés</w:t>
            </w:r>
          </w:p>
          <w:p w14:paraId="0E495D9D" w14:textId="5CDF4589" w:rsidR="00A1118B" w:rsidRPr="00265C4F" w:rsidRDefault="00685722" w:rsidP="00685722">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Subdirector de Gestión Contractual</w:t>
            </w:r>
          </w:p>
        </w:tc>
      </w:tr>
      <w:tr w:rsidR="00A1118B" w:rsidRPr="00265C4F" w14:paraId="72A75B8A" w14:textId="77777777" w:rsidTr="00A1118B">
        <w:trPr>
          <w:trHeight w:val="300"/>
        </w:trPr>
        <w:tc>
          <w:tcPr>
            <w:tcW w:w="488" w:type="dxa"/>
            <w:vAlign w:val="center"/>
            <w:hideMark/>
          </w:tcPr>
          <w:p w14:paraId="1C1FEAA7" w14:textId="77777777" w:rsidR="00A1118B" w:rsidRPr="00265C4F" w:rsidRDefault="00A1118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79C810" w14:textId="77777777" w:rsidR="00A1118B" w:rsidRPr="00265C4F" w:rsidRDefault="00A1118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Fabián Gonzalo Marín Cortés</w:t>
            </w:r>
          </w:p>
          <w:p w14:paraId="4DFCB48D" w14:textId="77777777" w:rsidR="00A1118B" w:rsidRPr="00265C4F" w:rsidRDefault="00A1118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Subdirector de Gestión Contractual</w:t>
            </w:r>
          </w:p>
        </w:tc>
      </w:tr>
      <w:tr w:rsidR="00A1118B" w:rsidRPr="00265C4F" w14:paraId="54E6BD41" w14:textId="77777777" w:rsidTr="00A1118B">
        <w:trPr>
          <w:trHeight w:val="300"/>
        </w:trPr>
        <w:tc>
          <w:tcPr>
            <w:tcW w:w="488" w:type="dxa"/>
            <w:vAlign w:val="center"/>
            <w:hideMark/>
          </w:tcPr>
          <w:p w14:paraId="196FA091" w14:textId="77777777" w:rsidR="00A1118B" w:rsidRPr="00265C4F" w:rsidRDefault="00A1118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6F8FA6" w14:textId="77777777" w:rsidR="00A1118B" w:rsidRPr="00265C4F" w:rsidRDefault="00A1118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0</w:t>
            </w:r>
          </w:p>
        </w:tc>
      </w:tr>
      <w:bookmarkEnd w:id="0"/>
    </w:tbl>
    <w:p w14:paraId="7EBF297E" w14:textId="77777777" w:rsidR="007B0854" w:rsidRPr="00265C4F" w:rsidRDefault="007B0854" w:rsidP="00A1118B">
      <w:pPr>
        <w:rPr>
          <w:lang w:val="es-CO"/>
        </w:rPr>
      </w:pPr>
    </w:p>
    <w:sectPr w:rsidR="007B0854" w:rsidRPr="00265C4F"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B572F" w14:textId="77777777" w:rsidR="000E0524" w:rsidRDefault="000E0524">
      <w:r>
        <w:separator/>
      </w:r>
    </w:p>
  </w:endnote>
  <w:endnote w:type="continuationSeparator" w:id="0">
    <w:p w14:paraId="298A43B4" w14:textId="77777777" w:rsidR="000E0524" w:rsidRDefault="000E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0E0524" w:rsidRPr="00A66252" w:rsidRDefault="000E0524" w:rsidP="007B0854">
    <w:pPr>
      <w:pStyle w:val="Sinespaciado"/>
      <w:jc w:val="center"/>
      <w:rPr>
        <w:rFonts w:ascii="Arial" w:hAnsi="Arial" w:cs="Arial"/>
        <w:sz w:val="22"/>
      </w:rPr>
    </w:pPr>
  </w:p>
  <w:p w14:paraId="312C4A14" w14:textId="1CC17C36" w:rsidR="000E0524" w:rsidRPr="005A79FE" w:rsidRDefault="000E0524"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0E0524" w:rsidRDefault="27F111B0" w:rsidP="007B0854">
    <w:pPr>
      <w:pStyle w:val="Piedepgina"/>
      <w:jc w:val="center"/>
    </w:pPr>
    <w:r>
      <w:rPr>
        <w:noProof/>
      </w:rPr>
      <w:drawing>
        <wp:inline distT="0" distB="0" distL="0" distR="0" wp14:anchorId="608B196D" wp14:editId="2243763B">
          <wp:extent cx="4241994" cy="595165"/>
          <wp:effectExtent l="0" t="0" r="6350" b="0"/>
          <wp:docPr id="191929736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0E0524" w:rsidRPr="007B0854" w:rsidRDefault="000E0524"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958CA" w14:textId="77777777" w:rsidR="000E0524" w:rsidRDefault="000E0524">
      <w:r>
        <w:separator/>
      </w:r>
    </w:p>
  </w:footnote>
  <w:footnote w:type="continuationSeparator" w:id="0">
    <w:p w14:paraId="574C5F27" w14:textId="77777777" w:rsidR="000E0524" w:rsidRDefault="000E0524">
      <w:r>
        <w:continuationSeparator/>
      </w:r>
    </w:p>
  </w:footnote>
  <w:footnote w:id="1">
    <w:p w14:paraId="1514A8C7" w14:textId="77777777" w:rsidR="000E0524" w:rsidRPr="00FC7897" w:rsidRDefault="000E0524" w:rsidP="00FC7897">
      <w:pPr>
        <w:pStyle w:val="Textonotapie"/>
        <w:ind w:firstLine="708"/>
        <w:jc w:val="both"/>
        <w:rPr>
          <w:rFonts w:ascii="Arial" w:eastAsia="Times New Roman" w:hAnsi="Arial" w:cs="Arial"/>
          <w:color w:val="000000" w:themeColor="text1"/>
          <w:sz w:val="19"/>
          <w:szCs w:val="19"/>
          <w:lang w:val="es-CO" w:eastAsia="es-ES_tradnl"/>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eastAsia="Times New Roman" w:hAnsi="Arial" w:cs="Arial"/>
          <w:color w:val="000000" w:themeColor="text1"/>
          <w:sz w:val="19"/>
          <w:szCs w:val="19"/>
          <w:lang w:val="es-CO" w:eastAsia="es-ES_tradnl"/>
        </w:rPr>
        <w:t>Artículo 3°. Funciones. La Agencia Nacional de Contratación Pública –Colombia Compra Eficiente– ejercerá las siguientes funciones: [...]</w:t>
      </w:r>
    </w:p>
    <w:p w14:paraId="549BA9A4" w14:textId="77777777" w:rsidR="000E0524" w:rsidRPr="00FC7897" w:rsidRDefault="000E0524">
      <w:pPr>
        <w:pStyle w:val="Textonotapie"/>
        <w:ind w:firstLine="708"/>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color w:val="000000" w:themeColor="text1"/>
          <w:sz w:val="19"/>
          <w:szCs w:val="19"/>
          <w:lang w:val="es-CO" w:eastAsia="es-ES_tradnl"/>
        </w:rPr>
        <w:t xml:space="preserve">»5. Absolver consultas sobre la aplicación de normas de carácter general y expedir circulares externas en materia de compras y contratación pública […] </w:t>
      </w:r>
    </w:p>
    <w:p w14:paraId="72C7E020" w14:textId="77777777" w:rsidR="000E0524" w:rsidRPr="00FC7897" w:rsidRDefault="000E0524">
      <w:pPr>
        <w:pStyle w:val="Textonotapie"/>
        <w:ind w:firstLine="708"/>
        <w:jc w:val="both"/>
        <w:rPr>
          <w:rFonts w:ascii="Arial" w:eastAsia="Times New Roman" w:hAnsi="Arial" w:cs="Arial"/>
          <w:color w:val="000000" w:themeColor="text1"/>
          <w:sz w:val="19"/>
          <w:szCs w:val="19"/>
          <w:lang w:val="es-CO" w:eastAsia="es-ES_tradnl"/>
        </w:rPr>
      </w:pPr>
      <w:proofErr w:type="gramStart"/>
      <w:r w:rsidRPr="00FC7897">
        <w:rPr>
          <w:rFonts w:ascii="Arial" w:eastAsia="Times New Roman" w:hAnsi="Arial" w:cs="Arial"/>
          <w:color w:val="000000" w:themeColor="text1"/>
          <w:sz w:val="19"/>
          <w:szCs w:val="19"/>
          <w:lang w:val="es-CO" w:eastAsia="es-ES_tradnl"/>
        </w:rPr>
        <w:t>»Artículo</w:t>
      </w:r>
      <w:proofErr w:type="gramEnd"/>
      <w:r w:rsidRPr="00FC7897">
        <w:rPr>
          <w:rFonts w:ascii="Arial" w:eastAsia="Times New Roman" w:hAnsi="Arial" w:cs="Arial"/>
          <w:color w:val="000000" w:themeColor="text1"/>
          <w:sz w:val="19"/>
          <w:szCs w:val="19"/>
          <w:lang w:val="es-CO" w:eastAsia="es-ES_tradnl"/>
        </w:rPr>
        <w:t xml:space="preserve"> 11. Subdirección de Gestión Contractual. Son funciones de la Subdirección de Gestión Contractual las siguientes: [...]</w:t>
      </w:r>
    </w:p>
    <w:p w14:paraId="78EE2CE0" w14:textId="77777777" w:rsidR="000E0524" w:rsidRPr="00FC7897" w:rsidRDefault="000E0524">
      <w:pPr>
        <w:pStyle w:val="Textonotapie"/>
        <w:ind w:firstLine="708"/>
        <w:jc w:val="both"/>
        <w:rPr>
          <w:rFonts w:ascii="Arial" w:hAnsi="Arial" w:cs="Arial"/>
          <w:color w:val="000000" w:themeColor="text1"/>
          <w:sz w:val="19"/>
          <w:szCs w:val="19"/>
          <w:lang w:val="es-CO"/>
        </w:rPr>
      </w:pPr>
      <w:r w:rsidRPr="00FC7897">
        <w:rPr>
          <w:rFonts w:ascii="Arial" w:eastAsia="Times New Roman" w:hAnsi="Arial" w:cs="Arial"/>
          <w:color w:val="000000" w:themeColor="text1"/>
          <w:sz w:val="19"/>
          <w:szCs w:val="19"/>
          <w:lang w:val="es-CO" w:eastAsia="es-ES_tradnl"/>
        </w:rPr>
        <w:t>»8. Absolver consultas sobre la aplicación de normas de carácter general».</w:t>
      </w:r>
    </w:p>
  </w:footnote>
  <w:footnote w:id="2">
    <w:p w14:paraId="352555E0" w14:textId="77777777" w:rsidR="000E0524" w:rsidRPr="00FC7897" w:rsidRDefault="000E0524">
      <w:pPr>
        <w:pStyle w:val="Textonotapie"/>
        <w:ind w:firstLine="708"/>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eastAsia="es-CO"/>
        </w:rPr>
        <w:t>Decreto Ley 019 de 2012: «Artículo 166. Del Registro Único Empresarial y Social. Al Registro Único Empresarial (RUE) de que trata el artículo 11 de la Ley 590 de 2000, que integró el Registro Mercantil y el Registro Único de Proponentes[...]».</w:t>
      </w:r>
      <w:r w:rsidRPr="00FC7897">
        <w:rPr>
          <w:rFonts w:ascii="Arial" w:hAnsi="Arial" w:cs="Arial"/>
          <w:color w:val="000000" w:themeColor="text1"/>
          <w:sz w:val="19"/>
          <w:szCs w:val="19"/>
        </w:rPr>
        <w:t xml:space="preserve"> </w:t>
      </w:r>
    </w:p>
    <w:p w14:paraId="745C3522" w14:textId="77777777" w:rsidR="000E0524" w:rsidRPr="00FC7897" w:rsidRDefault="000E0524">
      <w:pPr>
        <w:pStyle w:val="Textonotapie"/>
        <w:ind w:firstLine="708"/>
        <w:jc w:val="both"/>
        <w:rPr>
          <w:rFonts w:ascii="Arial" w:hAnsi="Arial" w:cs="Arial"/>
          <w:color w:val="000000" w:themeColor="text1"/>
          <w:sz w:val="19"/>
          <w:szCs w:val="19"/>
        </w:rPr>
      </w:pPr>
    </w:p>
  </w:footnote>
  <w:footnote w:id="3">
    <w:p w14:paraId="106F537D" w14:textId="77777777" w:rsidR="000E0524" w:rsidRPr="00FC7897" w:rsidRDefault="000E0524">
      <w:pPr>
        <w:pStyle w:val="Textonotapie"/>
        <w:ind w:firstLine="708"/>
        <w:jc w:val="both"/>
        <w:rPr>
          <w:rFonts w:ascii="Arial" w:hAnsi="Arial" w:cs="Arial"/>
          <w:color w:val="000000" w:themeColor="text1"/>
          <w:sz w:val="19"/>
          <w:szCs w:val="19"/>
          <w:lang w:eastAsia="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eastAsia="es-CO"/>
        </w:rPr>
        <w:t>Decreto 434 de 2020: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p w14:paraId="19E298E3" w14:textId="77777777" w:rsidR="000E0524" w:rsidRPr="00FC7897" w:rsidRDefault="000E0524">
      <w:pPr>
        <w:pStyle w:val="Textonotapie"/>
        <w:ind w:firstLine="708"/>
        <w:jc w:val="both"/>
        <w:rPr>
          <w:rFonts w:ascii="Arial" w:hAnsi="Arial" w:cs="Arial"/>
          <w:color w:val="000000" w:themeColor="text1"/>
          <w:sz w:val="19"/>
          <w:szCs w:val="19"/>
        </w:rPr>
      </w:pPr>
    </w:p>
  </w:footnote>
  <w:footnote w:id="4">
    <w:p w14:paraId="427642FD" w14:textId="77777777" w:rsidR="000E0524" w:rsidRPr="00FC7897" w:rsidRDefault="000E0524">
      <w:pPr>
        <w:pStyle w:val="Textonotapie"/>
        <w:ind w:firstLine="708"/>
        <w:jc w:val="both"/>
        <w:rPr>
          <w:rFonts w:ascii="Arial" w:hAnsi="Arial" w:cs="Arial"/>
          <w:color w:val="000000" w:themeColor="text1"/>
          <w:sz w:val="19"/>
          <w:szCs w:val="19"/>
          <w:lang w:eastAsia="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Resolución 0045 de 2020: </w:t>
      </w:r>
      <w:r w:rsidRPr="00FC7897">
        <w:rPr>
          <w:rFonts w:ascii="Arial" w:hAnsi="Arial" w:cs="Arial"/>
          <w:color w:val="000000" w:themeColor="text1"/>
          <w:sz w:val="19"/>
          <w:szCs w:val="19"/>
          <w:lang w:eastAsia="es-CO"/>
        </w:rPr>
        <w:t>«</w:t>
      </w:r>
      <w:r w:rsidRPr="00FC7897">
        <w:rPr>
          <w:rFonts w:ascii="Arial" w:hAnsi="Arial" w:cs="Arial"/>
          <w:color w:val="000000" w:themeColor="text1"/>
          <w:sz w:val="19"/>
          <w:szCs w:val="19"/>
        </w:rPr>
        <w:t>Artículo 2. Inalterabilidad de los Documentos Tipo. Las Entidades Estatales no pueden incluir condiciones o modificar las señaladas en los Documentos Tipo, a menos que expresamente se les faculte para hacerlo</w:t>
      </w:r>
      <w:r w:rsidRPr="00FC7897">
        <w:rPr>
          <w:rFonts w:ascii="Arial" w:hAnsi="Arial" w:cs="Arial"/>
          <w:color w:val="000000" w:themeColor="text1"/>
          <w:sz w:val="19"/>
          <w:szCs w:val="19"/>
          <w:lang w:eastAsia="es-CO"/>
        </w:rPr>
        <w:t>».</w:t>
      </w:r>
    </w:p>
  </w:footnote>
  <w:footnote w:id="5">
    <w:p w14:paraId="23F17DE6" w14:textId="720928CD" w:rsidR="000E0524" w:rsidRPr="00FC7897" w:rsidRDefault="000E0524">
      <w:pPr>
        <w:pStyle w:val="Textonotapie"/>
        <w:ind w:firstLine="708"/>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SANTOFIMIO GAMBOA, Jaime Orlando. Compendio de derecho administrativo. Bogotá: Universidad Externado de Colombia, 2017. p. 563.</w:t>
      </w:r>
    </w:p>
    <w:p w14:paraId="6D0918E5" w14:textId="77777777" w:rsidR="000E0524" w:rsidRPr="00685722" w:rsidRDefault="000E0524" w:rsidP="00685722">
      <w:pPr>
        <w:pStyle w:val="Textonotapie"/>
        <w:ind w:firstLine="708"/>
        <w:jc w:val="both"/>
        <w:rPr>
          <w:rFonts w:ascii="Arial" w:hAnsi="Arial" w:cs="Arial"/>
          <w:color w:val="000000" w:themeColor="text1"/>
          <w:sz w:val="19"/>
          <w:szCs w:val="19"/>
          <w:lang w:val="es-CO"/>
        </w:rPr>
      </w:pPr>
    </w:p>
  </w:footnote>
  <w:footnote w:id="6">
    <w:p w14:paraId="4DF4BC8D" w14:textId="77777777" w:rsidR="000E0524" w:rsidRPr="00FC7897" w:rsidRDefault="000E0524">
      <w:pPr>
        <w:pStyle w:val="Textonotapie"/>
        <w:ind w:firstLine="709"/>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Ley 1437 de 2011: </w:t>
      </w:r>
      <w:r w:rsidRPr="00FC7897">
        <w:rPr>
          <w:rFonts w:ascii="Arial" w:hAnsi="Arial" w:cs="Arial"/>
          <w:color w:val="000000" w:themeColor="text1"/>
          <w:sz w:val="19"/>
          <w:szCs w:val="19"/>
          <w:lang w:eastAsia="es-CO"/>
        </w:rPr>
        <w:t>«</w:t>
      </w:r>
      <w:r w:rsidRPr="00FC7897">
        <w:rPr>
          <w:rFonts w:ascii="Arial" w:hAnsi="Arial" w:cs="Arial"/>
          <w:color w:val="000000" w:themeColor="text1"/>
          <w:sz w:val="19"/>
          <w:szCs w:val="19"/>
        </w:rPr>
        <w:t xml:space="preserve">Artículo 91. Perdida de Ejecutoriedad del Acto Administrativo. Salvo norma expresa en contrario, los actos administrativos en firme serán obligatorios mientras no hayan sido anulados por la Jurisdicción de lo Contencioso Administrativo. Perderán obligatoriedad y, por lo tanto, no podrán ser ejecutados en los siguientes casos: </w:t>
      </w:r>
    </w:p>
    <w:p w14:paraId="40F2427E" w14:textId="77777777" w:rsidR="000E0524" w:rsidRPr="00FC7897" w:rsidRDefault="27F111B0" w:rsidP="27F111B0">
      <w:pPr>
        <w:pStyle w:val="Textonotapie"/>
        <w:numPr>
          <w:ilvl w:val="0"/>
          <w:numId w:val="7"/>
        </w:numPr>
        <w:ind w:left="993" w:hanging="284"/>
        <w:jc w:val="both"/>
        <w:rPr>
          <w:rFonts w:ascii="Arial" w:hAnsi="Arial" w:cs="Arial"/>
          <w:color w:val="000000" w:themeColor="text1"/>
          <w:sz w:val="19"/>
          <w:szCs w:val="19"/>
        </w:rPr>
      </w:pPr>
      <w:r w:rsidRPr="27F111B0">
        <w:rPr>
          <w:rFonts w:ascii="Arial" w:hAnsi="Arial" w:cs="Arial"/>
          <w:color w:val="000000" w:themeColor="text1"/>
          <w:sz w:val="19"/>
          <w:szCs w:val="19"/>
        </w:rPr>
        <w:t>Cuando sean suspendidos provisionalmente sus efectos por la Jurisdicción de lo Contencioso Administrativo.</w:t>
      </w:r>
    </w:p>
    <w:p w14:paraId="28EDAA60" w14:textId="77777777" w:rsidR="000E0524" w:rsidRPr="00FC7897" w:rsidRDefault="27F111B0" w:rsidP="27F111B0">
      <w:pPr>
        <w:pStyle w:val="Textonotapie"/>
        <w:numPr>
          <w:ilvl w:val="0"/>
          <w:numId w:val="7"/>
        </w:numPr>
        <w:ind w:left="993" w:hanging="284"/>
        <w:jc w:val="both"/>
        <w:rPr>
          <w:rFonts w:ascii="Arial" w:hAnsi="Arial" w:cs="Arial"/>
          <w:color w:val="000000" w:themeColor="text1"/>
          <w:sz w:val="19"/>
          <w:szCs w:val="19"/>
        </w:rPr>
      </w:pPr>
      <w:r w:rsidRPr="27F111B0">
        <w:rPr>
          <w:rFonts w:ascii="Arial" w:hAnsi="Arial" w:cs="Arial"/>
          <w:color w:val="000000" w:themeColor="text1"/>
          <w:sz w:val="19"/>
          <w:szCs w:val="19"/>
        </w:rPr>
        <w:t>Cuando desaparezcan sus fundamentos de hecho o de derecho.</w:t>
      </w:r>
    </w:p>
    <w:p w14:paraId="40ADED1B" w14:textId="77777777" w:rsidR="000E0524" w:rsidRPr="00FC7897" w:rsidRDefault="27F111B0" w:rsidP="27F111B0">
      <w:pPr>
        <w:pStyle w:val="Textonotapie"/>
        <w:numPr>
          <w:ilvl w:val="0"/>
          <w:numId w:val="7"/>
        </w:numPr>
        <w:ind w:left="993" w:hanging="284"/>
        <w:jc w:val="both"/>
        <w:rPr>
          <w:rFonts w:ascii="Arial" w:hAnsi="Arial" w:cs="Arial"/>
          <w:color w:val="000000" w:themeColor="text1"/>
          <w:sz w:val="19"/>
          <w:szCs w:val="19"/>
        </w:rPr>
      </w:pPr>
      <w:r w:rsidRPr="27F111B0">
        <w:rPr>
          <w:rFonts w:ascii="Arial" w:hAnsi="Arial" w:cs="Arial"/>
          <w:color w:val="000000" w:themeColor="text1"/>
          <w:sz w:val="19"/>
          <w:szCs w:val="19"/>
        </w:rPr>
        <w:t>Cuando al cabo de cinco (5) años de estar en firme, la autoridad no ha realizado los actos que le correspondan para ejecutarlos.</w:t>
      </w:r>
    </w:p>
    <w:p w14:paraId="6B6E028B" w14:textId="77777777" w:rsidR="000E0524" w:rsidRPr="00FC7897" w:rsidRDefault="27F111B0" w:rsidP="27F111B0">
      <w:pPr>
        <w:pStyle w:val="Textonotapie"/>
        <w:numPr>
          <w:ilvl w:val="0"/>
          <w:numId w:val="7"/>
        </w:numPr>
        <w:ind w:left="993" w:hanging="284"/>
        <w:jc w:val="both"/>
        <w:rPr>
          <w:rFonts w:ascii="Arial" w:hAnsi="Arial" w:cs="Arial"/>
          <w:color w:val="000000" w:themeColor="text1"/>
          <w:sz w:val="19"/>
          <w:szCs w:val="19"/>
        </w:rPr>
      </w:pPr>
      <w:r w:rsidRPr="27F111B0">
        <w:rPr>
          <w:rFonts w:ascii="Arial" w:hAnsi="Arial" w:cs="Arial"/>
          <w:color w:val="000000" w:themeColor="text1"/>
          <w:sz w:val="19"/>
          <w:szCs w:val="19"/>
        </w:rPr>
        <w:t>Cuando se cumpla la condición resolutoria a que se encuentre sometido el acto.</w:t>
      </w:r>
    </w:p>
    <w:p w14:paraId="76647140" w14:textId="77777777" w:rsidR="000E0524" w:rsidRPr="00FC7897" w:rsidRDefault="27F111B0" w:rsidP="27F111B0">
      <w:pPr>
        <w:pStyle w:val="Textonotapie"/>
        <w:numPr>
          <w:ilvl w:val="0"/>
          <w:numId w:val="7"/>
        </w:numPr>
        <w:ind w:left="993" w:hanging="284"/>
        <w:jc w:val="both"/>
        <w:rPr>
          <w:rFonts w:ascii="Arial" w:hAnsi="Arial" w:cs="Arial"/>
          <w:color w:val="000000" w:themeColor="text1"/>
          <w:sz w:val="19"/>
          <w:szCs w:val="19"/>
        </w:rPr>
      </w:pPr>
      <w:r w:rsidRPr="27F111B0">
        <w:rPr>
          <w:rFonts w:ascii="Arial" w:hAnsi="Arial" w:cs="Arial"/>
          <w:color w:val="000000" w:themeColor="text1"/>
          <w:sz w:val="19"/>
          <w:szCs w:val="19"/>
        </w:rPr>
        <w:t>Cuando pierdan vigencia</w:t>
      </w:r>
      <w:r w:rsidRPr="27F111B0">
        <w:rPr>
          <w:rFonts w:ascii="Arial" w:hAnsi="Arial" w:cs="Arial"/>
          <w:color w:val="000000" w:themeColor="text1"/>
          <w:sz w:val="19"/>
          <w:szCs w:val="19"/>
          <w:lang w:eastAsia="es-CO"/>
        </w:rPr>
        <w:t>»</w:t>
      </w:r>
    </w:p>
    <w:p w14:paraId="06598DAE" w14:textId="77777777" w:rsidR="000E0524" w:rsidRPr="00FC7897" w:rsidRDefault="000E0524">
      <w:pPr>
        <w:pStyle w:val="Textonotapie"/>
        <w:ind w:left="993"/>
        <w:jc w:val="both"/>
        <w:rPr>
          <w:rFonts w:ascii="Arial" w:hAnsi="Arial" w:cs="Arial"/>
          <w:bCs/>
          <w:color w:val="000000" w:themeColor="text1"/>
          <w:sz w:val="19"/>
          <w:szCs w:val="19"/>
        </w:rPr>
      </w:pPr>
    </w:p>
  </w:footnote>
  <w:footnote w:id="7">
    <w:p w14:paraId="349CEF34" w14:textId="77777777" w:rsidR="000E0524" w:rsidRPr="00FC7897" w:rsidRDefault="000E0524">
      <w:pPr>
        <w:pStyle w:val="Textonotapie"/>
        <w:ind w:firstLine="709"/>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Decreto 1082 de 2015: «Artículo 2.2.1.1.1.5.1.</w:t>
      </w:r>
      <w:r w:rsidRPr="00FC7897">
        <w:rPr>
          <w:rFonts w:ascii="Arial" w:eastAsia="Calibri" w:hAnsi="Arial" w:cs="Arial"/>
          <w:bCs/>
          <w:color w:val="000000" w:themeColor="text1"/>
          <w:sz w:val="19"/>
          <w:szCs w:val="19"/>
        </w:rPr>
        <w:t xml:space="preserve"> </w:t>
      </w:r>
      <w:r w:rsidRPr="00FC7897">
        <w:rPr>
          <w:rFonts w:ascii="Arial" w:hAnsi="Arial" w:cs="Arial"/>
          <w:color w:val="000000" w:themeColor="text1"/>
          <w:sz w:val="19"/>
          <w:szCs w:val="19"/>
        </w:rPr>
        <w:t>Inscripción, renovación, actualización y cancelación del RUP.</w:t>
      </w:r>
      <w:r w:rsidRPr="00FC7897">
        <w:rPr>
          <w:rFonts w:ascii="Arial" w:hAnsi="Arial" w:cs="Arial"/>
          <w:color w:val="000000" w:themeColor="text1"/>
          <w:sz w:val="19"/>
          <w:szCs w:val="19"/>
          <w:lang w:eastAsia="es-CO"/>
        </w:rPr>
        <w:t xml:space="preserve"> </w:t>
      </w:r>
      <w:r w:rsidRPr="00FC7897">
        <w:rPr>
          <w:rFonts w:ascii="Arial" w:hAnsi="Arial" w:cs="Arial"/>
          <w:color w:val="000000" w:themeColor="text1"/>
          <w:sz w:val="19"/>
          <w:szCs w:val="19"/>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03917111" w14:textId="77777777" w:rsidR="000E0524" w:rsidRPr="00FC7897" w:rsidRDefault="000E0524">
      <w:pPr>
        <w:pStyle w:val="Textonotapie"/>
        <w:ind w:firstLine="708"/>
        <w:jc w:val="both"/>
        <w:rPr>
          <w:rFonts w:ascii="Arial" w:hAnsi="Arial" w:cs="Arial"/>
          <w:color w:val="000000" w:themeColor="text1"/>
          <w:sz w:val="19"/>
          <w:szCs w:val="19"/>
        </w:rPr>
      </w:pPr>
      <w:proofErr w:type="gramStart"/>
      <w:r w:rsidRPr="00FC7897">
        <w:rPr>
          <w:rFonts w:ascii="Arial" w:hAnsi="Arial" w:cs="Arial"/>
          <w:color w:val="000000" w:themeColor="text1"/>
          <w:sz w:val="19"/>
          <w:szCs w:val="19"/>
        </w:rPr>
        <w:t>»La</w:t>
      </w:r>
      <w:proofErr w:type="gramEnd"/>
      <w:r w:rsidRPr="00FC7897">
        <w:rPr>
          <w:rFonts w:ascii="Arial" w:hAnsi="Arial" w:cs="Arial"/>
          <w:color w:val="000000" w:themeColor="text1"/>
          <w:sz w:val="19"/>
          <w:szCs w:val="19"/>
        </w:rPr>
        <w:t xml:space="preserve">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7DAB3E1D" w14:textId="77777777" w:rsidR="000E0524" w:rsidRPr="00FC7897" w:rsidRDefault="000E0524">
      <w:pPr>
        <w:pStyle w:val="Textonotapie"/>
        <w:ind w:firstLine="708"/>
        <w:jc w:val="both"/>
        <w:rPr>
          <w:rFonts w:ascii="Arial" w:hAnsi="Arial" w:cs="Arial"/>
          <w:color w:val="000000" w:themeColor="text1"/>
          <w:sz w:val="19"/>
          <w:szCs w:val="19"/>
        </w:rPr>
      </w:pPr>
      <w:proofErr w:type="gramStart"/>
      <w:r w:rsidRPr="00FC7897">
        <w:rPr>
          <w:rFonts w:ascii="Arial" w:hAnsi="Arial" w:cs="Arial"/>
          <w:color w:val="000000" w:themeColor="text1"/>
          <w:sz w:val="19"/>
          <w:szCs w:val="19"/>
        </w:rPr>
        <w:t>»Los</w:t>
      </w:r>
      <w:proofErr w:type="gramEnd"/>
      <w:r w:rsidRPr="00FC7897">
        <w:rPr>
          <w:rFonts w:ascii="Arial" w:hAnsi="Arial" w:cs="Arial"/>
          <w:color w:val="000000" w:themeColor="text1"/>
          <w:sz w:val="19"/>
          <w:szCs w:val="19"/>
        </w:rPr>
        <w:t xml:space="preserve"> inscritos en el RUP pueden en cualquier momento solicitar a la cámara de comercio cancelar su inscripción».</w:t>
      </w:r>
    </w:p>
    <w:p w14:paraId="2D7ACD6E" w14:textId="77777777" w:rsidR="000E0524" w:rsidRPr="00FC7897" w:rsidRDefault="000E0524">
      <w:pPr>
        <w:pStyle w:val="Textonotapie"/>
        <w:jc w:val="both"/>
        <w:rPr>
          <w:rFonts w:ascii="Arial" w:hAnsi="Arial" w:cs="Arial"/>
          <w:color w:val="000000" w:themeColor="text1"/>
          <w:sz w:val="19"/>
          <w:szCs w:val="19"/>
        </w:rPr>
      </w:pPr>
    </w:p>
  </w:footnote>
  <w:footnote w:id="8">
    <w:p w14:paraId="5B27C834" w14:textId="77777777" w:rsidR="000E0524" w:rsidRPr="00FC7897" w:rsidRDefault="000E0524">
      <w:pPr>
        <w:ind w:firstLine="709"/>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Consejo de Estado. Sección Tercera. Subsección B. Sentencia del 29 de marzo de 2012. </w:t>
      </w:r>
      <w:proofErr w:type="spellStart"/>
      <w:r w:rsidRPr="00FC7897">
        <w:rPr>
          <w:rFonts w:ascii="Arial" w:hAnsi="Arial" w:cs="Arial"/>
          <w:color w:val="000000" w:themeColor="text1"/>
          <w:sz w:val="19"/>
          <w:szCs w:val="19"/>
        </w:rPr>
        <w:t>Exp</w:t>
      </w:r>
      <w:proofErr w:type="spellEnd"/>
      <w:r w:rsidRPr="00FC7897">
        <w:rPr>
          <w:rFonts w:ascii="Arial" w:hAnsi="Arial" w:cs="Arial"/>
          <w:color w:val="000000" w:themeColor="text1"/>
          <w:sz w:val="19"/>
          <w:szCs w:val="19"/>
        </w:rPr>
        <w:t xml:space="preserve">. 25.693. C.P. Danilo Rojas </w:t>
      </w:r>
      <w:proofErr w:type="spellStart"/>
      <w:r w:rsidRPr="00FC7897">
        <w:rPr>
          <w:rFonts w:ascii="Arial" w:hAnsi="Arial" w:cs="Arial"/>
          <w:color w:val="000000" w:themeColor="text1"/>
          <w:sz w:val="19"/>
          <w:szCs w:val="19"/>
        </w:rPr>
        <w:t>Betancourth</w:t>
      </w:r>
      <w:proofErr w:type="spellEnd"/>
      <w:r w:rsidRPr="00FC7897">
        <w:rPr>
          <w:rFonts w:ascii="Arial" w:hAnsi="Arial" w:cs="Arial"/>
          <w:color w:val="000000" w:themeColor="text1"/>
          <w:sz w:val="19"/>
          <w:szCs w:val="19"/>
        </w:rPr>
        <w:t>.</w:t>
      </w:r>
    </w:p>
    <w:p w14:paraId="20386B87" w14:textId="77777777" w:rsidR="000E0524" w:rsidRPr="00FC7897" w:rsidRDefault="000E0524">
      <w:pPr>
        <w:pStyle w:val="Textonotapie"/>
        <w:jc w:val="both"/>
        <w:rPr>
          <w:rFonts w:ascii="Arial" w:hAnsi="Arial" w:cs="Arial"/>
          <w:color w:val="000000" w:themeColor="text1"/>
          <w:sz w:val="19"/>
          <w:szCs w:val="19"/>
        </w:rPr>
      </w:pPr>
      <w:r w:rsidRPr="00FC7897">
        <w:rPr>
          <w:rFonts w:ascii="Arial" w:hAnsi="Arial" w:cs="Arial"/>
          <w:color w:val="000000" w:themeColor="text1"/>
          <w:sz w:val="19"/>
          <w:szCs w:val="19"/>
        </w:rPr>
        <w:t xml:space="preserve"> </w:t>
      </w:r>
    </w:p>
  </w:footnote>
  <w:footnote w:id="9">
    <w:p w14:paraId="2C19A738" w14:textId="7FB6F8F8" w:rsidR="000E0524" w:rsidRPr="00FC7897" w:rsidRDefault="000E0524">
      <w:pPr>
        <w:pStyle w:val="Textonotapie"/>
        <w:ind w:firstLine="708"/>
        <w:jc w:val="both"/>
        <w:rPr>
          <w:rFonts w:ascii="Arial" w:hAnsi="Arial" w:cs="Arial"/>
          <w:color w:val="000000" w:themeColor="text1"/>
          <w:sz w:val="19"/>
          <w:szCs w:val="19"/>
        </w:rPr>
      </w:pPr>
      <w:r w:rsidRPr="00685722">
        <w:rPr>
          <w:rStyle w:val="Refdenotaalpie"/>
          <w:rFonts w:ascii="Arial" w:hAnsi="Arial" w:cs="Arial"/>
          <w:sz w:val="19"/>
          <w:szCs w:val="19"/>
        </w:rPr>
        <w:footnoteRef/>
      </w:r>
      <w:r w:rsidRPr="00685722">
        <w:rPr>
          <w:rFonts w:ascii="Arial" w:hAnsi="Arial" w:cs="Arial"/>
          <w:sz w:val="19"/>
          <w:szCs w:val="19"/>
        </w:rPr>
        <w:t xml:space="preserve"> </w:t>
      </w:r>
      <w:r w:rsidRPr="00685722">
        <w:rPr>
          <w:rFonts w:ascii="Arial" w:hAnsi="Arial" w:cs="Arial"/>
          <w:color w:val="000000" w:themeColor="text1"/>
          <w:sz w:val="19"/>
          <w:szCs w:val="19"/>
        </w:rPr>
        <w:t>Santofimio Gamboa</w:t>
      </w:r>
      <w:r w:rsidRPr="00FC7897">
        <w:rPr>
          <w:rFonts w:ascii="Arial" w:hAnsi="Arial" w:cs="Arial"/>
          <w:color w:val="000000" w:themeColor="text1"/>
          <w:sz w:val="19"/>
          <w:szCs w:val="19"/>
        </w:rPr>
        <w:t>, al desarrollar esta causal de pérdida de fuerza ejecutoria señala en su texto que: «Cintra do Amaral identifica el decaimiento como las modificaciones de orden legal que le retiran los fundamentos de validez a un acto que ha sido producido válidamente.</w:t>
      </w:r>
    </w:p>
    <w:p w14:paraId="297A3F13" w14:textId="7290A63D" w:rsidR="000E0524" w:rsidRPr="00685722" w:rsidRDefault="000E0524" w:rsidP="00685722">
      <w:pPr>
        <w:pStyle w:val="Textonotapie"/>
        <w:ind w:firstLine="708"/>
        <w:jc w:val="both"/>
        <w:rPr>
          <w:rFonts w:ascii="Arial" w:hAnsi="Arial" w:cs="Arial"/>
          <w:sz w:val="19"/>
          <w:szCs w:val="19"/>
          <w:lang w:val="es-CO"/>
        </w:rPr>
      </w:pPr>
      <w:proofErr w:type="gramStart"/>
      <w:r w:rsidRPr="00FC7897">
        <w:rPr>
          <w:rFonts w:ascii="Arial" w:hAnsi="Arial" w:cs="Arial"/>
          <w:color w:val="000000" w:themeColor="text1"/>
          <w:sz w:val="19"/>
          <w:szCs w:val="19"/>
        </w:rPr>
        <w:t>»El</w:t>
      </w:r>
      <w:proofErr w:type="gramEnd"/>
      <w:r w:rsidRPr="00FC7897">
        <w:rPr>
          <w:rFonts w:ascii="Arial" w:hAnsi="Arial" w:cs="Arial"/>
          <w:color w:val="000000" w:themeColor="text1"/>
          <w:sz w:val="19"/>
          <w:szCs w:val="19"/>
        </w:rPr>
        <w:t xml:space="preserve"> decaimiento del acto en el derecho colombiano está en íntima relación con la motivación del acto, se configura por la desaparición de los elementos integrantes del concepto motivante del acto. Recordemos que al estudiar los elementos externos del acto administrativo identificábamos como uno de los principales el denominado de los motivos o razones de orden jurídico que le sirven a la administración para determinar su competencia e igualmente para resolver sustancialmente el conflicto planteado. Al desaparecer uno de esos elementos se configura en el derecho colombiano el fenómeno del decaimiento». (SANTOFIMIO GAMBOA, Jaime Orlando. Ob. Cit., p. 568).</w:t>
      </w:r>
    </w:p>
  </w:footnote>
  <w:footnote w:id="10">
    <w:p w14:paraId="5C1AA32B" w14:textId="77777777" w:rsidR="000E0524" w:rsidRPr="00FC7897" w:rsidRDefault="000E0524">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FC7897">
        <w:rPr>
          <w:rStyle w:val="Refdenotaalpie"/>
          <w:rFonts w:ascii="Arial" w:eastAsiaTheme="minorHAnsi" w:hAnsi="Arial" w:cs="Arial"/>
          <w:color w:val="000000" w:themeColor="text1"/>
          <w:sz w:val="19"/>
          <w:szCs w:val="19"/>
          <w:lang w:eastAsia="en-US"/>
        </w:rPr>
        <w:footnoteRef/>
      </w:r>
      <w:r w:rsidRPr="00FC7897">
        <w:rPr>
          <w:rFonts w:ascii="Arial" w:hAnsi="Arial" w:cs="Arial"/>
          <w:color w:val="000000" w:themeColor="text1"/>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04F28BAE" w14:textId="77777777" w:rsidR="000E0524" w:rsidRPr="00FC7897" w:rsidRDefault="000E0524">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FC7897">
        <w:rPr>
          <w:rFonts w:ascii="Arial" w:hAnsi="Arial" w:cs="Arial"/>
          <w:color w:val="000000" w:themeColor="text1"/>
          <w:sz w:val="19"/>
          <w:szCs w:val="19"/>
          <w:lang w:val="es-MX"/>
        </w:rPr>
        <w:t>»En</w:t>
      </w:r>
      <w:proofErr w:type="gramEnd"/>
      <w:r w:rsidRPr="00FC7897">
        <w:rPr>
          <w:rFonts w:ascii="Arial" w:hAnsi="Arial" w:cs="Arial"/>
          <w:color w:val="000000" w:themeColor="text1"/>
          <w:sz w:val="19"/>
          <w:szCs w:val="19"/>
          <w:lang w:val="es-MX"/>
        </w:rPr>
        <w:t xml:space="preserve"> firme la inscripción, cualquier persona podrá demandar su nulidad en desarrollo de la acción prevista en el Código Contencioso Administrativo. Para el efecto será competente el Juez de lo Contencioso Administrativo en única instancia.</w:t>
      </w:r>
    </w:p>
    <w:p w14:paraId="67E54AA1" w14:textId="77777777" w:rsidR="000E0524" w:rsidRPr="00FC7897" w:rsidRDefault="000E0524">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FC7897">
        <w:rPr>
          <w:rFonts w:ascii="Arial" w:hAnsi="Arial" w:cs="Arial"/>
          <w:color w:val="000000" w:themeColor="text1"/>
          <w:sz w:val="19"/>
          <w:szCs w:val="19"/>
          <w:lang w:val="es-MX"/>
        </w:rPr>
        <w:t>»La</w:t>
      </w:r>
      <w:proofErr w:type="gramEnd"/>
      <w:r w:rsidRPr="00FC7897">
        <w:rPr>
          <w:rFonts w:ascii="Arial" w:hAnsi="Arial" w:cs="Arial"/>
          <w:color w:val="000000" w:themeColor="text1"/>
          <w:sz w:val="19"/>
          <w:szCs w:val="19"/>
          <w:lang w:val="es-MX"/>
        </w:rPr>
        <w:t xml:space="preserve">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626CFA12" w14:textId="77777777" w:rsidR="000E0524" w:rsidRPr="00FC7897" w:rsidRDefault="000E0524">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FC7897">
        <w:rPr>
          <w:rFonts w:ascii="Arial" w:hAnsi="Arial" w:cs="Arial"/>
          <w:color w:val="000000" w:themeColor="text1"/>
          <w:sz w:val="19"/>
          <w:szCs w:val="19"/>
          <w:lang w:val="es-MX"/>
        </w:rPr>
        <w:t>»Cuando</w:t>
      </w:r>
      <w:proofErr w:type="gramEnd"/>
      <w:r w:rsidRPr="00FC7897">
        <w:rPr>
          <w:rFonts w:ascii="Arial" w:hAnsi="Arial" w:cs="Arial"/>
          <w:color w:val="000000" w:themeColor="text1"/>
          <w:sz w:val="19"/>
          <w:szCs w:val="19"/>
          <w:lang w:val="es-MX"/>
        </w:rPr>
        <w:t xml:space="preserve">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09C280D9" w14:textId="77777777" w:rsidR="000E0524" w:rsidRPr="00FC7897" w:rsidRDefault="000E0524">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FC7897">
        <w:rPr>
          <w:rFonts w:ascii="Arial" w:hAnsi="Arial" w:cs="Arial"/>
          <w:color w:val="000000" w:themeColor="text1"/>
          <w:sz w:val="19"/>
          <w:szCs w:val="19"/>
          <w:lang w:val="es-MX"/>
        </w:rPr>
        <w:t>»En</w:t>
      </w:r>
      <w:proofErr w:type="gramEnd"/>
      <w:r w:rsidRPr="00FC7897">
        <w:rPr>
          <w:rFonts w:ascii="Arial" w:hAnsi="Arial" w:cs="Arial"/>
          <w:color w:val="000000" w:themeColor="text1"/>
          <w:sz w:val="19"/>
          <w:szCs w:val="19"/>
          <w:lang w:val="es-MX"/>
        </w:rPr>
        <w:t xml:space="preserve">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05D5C56D" w14:textId="77777777" w:rsidR="000E0524" w:rsidRPr="00FC7897" w:rsidRDefault="000E0524">
      <w:pPr>
        <w:pStyle w:val="NormalWeb"/>
        <w:spacing w:before="0" w:beforeAutospacing="0" w:after="0" w:afterAutospacing="0"/>
        <w:ind w:firstLine="708"/>
        <w:jc w:val="both"/>
        <w:rPr>
          <w:rFonts w:ascii="Arial" w:hAnsi="Arial" w:cs="Arial"/>
          <w:color w:val="000000" w:themeColor="text1"/>
          <w:sz w:val="19"/>
          <w:szCs w:val="19"/>
          <w:lang w:val="es-MX"/>
        </w:rPr>
      </w:pPr>
      <w:proofErr w:type="gramStart"/>
      <w:r w:rsidRPr="00FC7897">
        <w:rPr>
          <w:rFonts w:ascii="Arial" w:hAnsi="Arial" w:cs="Arial"/>
          <w:color w:val="000000" w:themeColor="text1"/>
          <w:sz w:val="19"/>
          <w:szCs w:val="19"/>
          <w:lang w:val="es-MX"/>
        </w:rPr>
        <w:t>»Las</w:t>
      </w:r>
      <w:proofErr w:type="gramEnd"/>
      <w:r w:rsidRPr="00FC7897">
        <w:rPr>
          <w:rFonts w:ascii="Arial" w:hAnsi="Arial" w:cs="Arial"/>
          <w:color w:val="000000" w:themeColor="text1"/>
          <w:sz w:val="19"/>
          <w:szCs w:val="19"/>
          <w:lang w:val="es-MX"/>
        </w:rPr>
        <w:t xml:space="preserve"> mismas sanciones previstas en el inciso anterior se predicarán en el evento en que el Juez de lo Contencioso Administrativa declare la nulidad del acto de inscripción.</w:t>
      </w:r>
    </w:p>
    <w:p w14:paraId="750389BC" w14:textId="77777777" w:rsidR="000E0524" w:rsidRPr="00FC7897" w:rsidRDefault="000E0524">
      <w:pPr>
        <w:pStyle w:val="NormalWeb"/>
        <w:spacing w:before="0" w:beforeAutospacing="0" w:after="0" w:afterAutospacing="0"/>
        <w:ind w:firstLine="708"/>
        <w:jc w:val="both"/>
        <w:rPr>
          <w:rFonts w:ascii="Arial" w:hAnsi="Arial" w:cs="Arial"/>
          <w:color w:val="000000" w:themeColor="text1"/>
          <w:sz w:val="19"/>
          <w:szCs w:val="19"/>
          <w:lang w:val="es-MX"/>
        </w:rPr>
      </w:pPr>
      <w:proofErr w:type="gramStart"/>
      <w:r w:rsidRPr="00FC7897">
        <w:rPr>
          <w:rFonts w:ascii="Arial" w:hAnsi="Arial" w:cs="Arial"/>
          <w:color w:val="000000" w:themeColor="text1"/>
          <w:sz w:val="19"/>
          <w:szCs w:val="19"/>
          <w:lang w:val="es-MX"/>
        </w:rPr>
        <w:t>»La</w:t>
      </w:r>
      <w:proofErr w:type="gramEnd"/>
      <w:r w:rsidRPr="00FC7897">
        <w:rPr>
          <w:rFonts w:ascii="Arial" w:hAnsi="Arial" w:cs="Arial"/>
          <w:color w:val="000000" w:themeColor="text1"/>
          <w:sz w:val="19"/>
          <w:szCs w:val="19"/>
          <w:lang w:val="es-MX"/>
        </w:rPr>
        <w:t xml:space="preserve"> información contenida en el registro es pública y su consulta será gratuita».</w:t>
      </w:r>
    </w:p>
    <w:p w14:paraId="23C7F8C5" w14:textId="77777777" w:rsidR="000E0524" w:rsidRPr="00FC7897" w:rsidRDefault="000E0524">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11">
    <w:p w14:paraId="499F60A1" w14:textId="77777777" w:rsidR="000E0524" w:rsidRPr="00FC7897" w:rsidRDefault="000E0524">
      <w:pPr>
        <w:pStyle w:val="Textonotapie"/>
        <w:ind w:firstLine="708"/>
        <w:jc w:val="both"/>
        <w:rPr>
          <w:rFonts w:ascii="Arial" w:eastAsia="Times New Roman" w:hAnsi="Arial" w:cs="Arial"/>
          <w:color w:val="000000" w:themeColor="text1"/>
          <w:sz w:val="19"/>
          <w:szCs w:val="19"/>
          <w:lang w:eastAsia="es-CO"/>
        </w:rPr>
      </w:pPr>
      <w:r w:rsidRPr="00FC7897">
        <w:rPr>
          <w:rStyle w:val="Refdenotaalpie"/>
          <w:rFonts w:ascii="Arial" w:hAnsi="Arial" w:cs="Arial"/>
          <w:color w:val="000000" w:themeColor="text1"/>
          <w:sz w:val="19"/>
          <w:szCs w:val="19"/>
        </w:rPr>
        <w:footnoteRef/>
      </w:r>
      <w:r w:rsidRPr="00FC7897">
        <w:rPr>
          <w:rFonts w:ascii="Arial" w:eastAsia="Times New Roman" w:hAnsi="Arial" w:cs="Arial"/>
          <w:color w:val="000000" w:themeColor="text1"/>
          <w:sz w:val="19"/>
          <w:szCs w:val="19"/>
          <w:lang w:eastAsia="es-CO"/>
        </w:rPr>
        <w:t>«Artículo 2.2.1.1.1.5.1. Inscripción, renovación, actualización y cancelación del RUP.</w:t>
      </w:r>
    </w:p>
    <w:p w14:paraId="024AC9C6" w14:textId="77777777" w:rsidR="000E0524" w:rsidRPr="00FC7897" w:rsidRDefault="000E0524">
      <w:pPr>
        <w:pStyle w:val="Textonotapie"/>
        <w:ind w:firstLine="708"/>
        <w:jc w:val="both"/>
        <w:rPr>
          <w:rFonts w:ascii="Arial" w:eastAsia="Times New Roman" w:hAnsi="Arial" w:cs="Arial"/>
          <w:color w:val="000000" w:themeColor="text1"/>
          <w:sz w:val="19"/>
          <w:szCs w:val="19"/>
          <w:lang w:eastAsia="es-CO"/>
        </w:rPr>
      </w:pPr>
      <w:r w:rsidRPr="00FC7897">
        <w:rPr>
          <w:rFonts w:ascii="Arial" w:eastAsia="Times New Roman" w:hAnsi="Arial" w:cs="Arial"/>
          <w:color w:val="000000" w:themeColor="text1"/>
          <w:sz w:val="19"/>
          <w:szCs w:val="19"/>
          <w:lang w:eastAsia="es-CO"/>
        </w:rPr>
        <w:t>[…]</w:t>
      </w:r>
    </w:p>
    <w:p w14:paraId="0A2B56C6" w14:textId="77777777" w:rsidR="000E0524" w:rsidRPr="00FC7897" w:rsidRDefault="000E0524">
      <w:pPr>
        <w:pStyle w:val="Textonotapie"/>
        <w:ind w:firstLine="708"/>
        <w:jc w:val="both"/>
        <w:rPr>
          <w:rFonts w:ascii="Arial" w:eastAsia="Times New Roman" w:hAnsi="Arial" w:cs="Arial"/>
          <w:color w:val="000000" w:themeColor="text1"/>
          <w:sz w:val="19"/>
          <w:szCs w:val="19"/>
          <w:lang w:eastAsia="es-CO"/>
        </w:rPr>
      </w:pPr>
      <w:proofErr w:type="gramStart"/>
      <w:r w:rsidRPr="00FC7897">
        <w:rPr>
          <w:rFonts w:ascii="Arial" w:eastAsia="Times New Roman" w:hAnsi="Arial" w:cs="Arial"/>
          <w:color w:val="000000" w:themeColor="text1"/>
          <w:sz w:val="19"/>
          <w:szCs w:val="19"/>
          <w:lang w:eastAsia="es-CO"/>
        </w:rPr>
        <w:t>»La</w:t>
      </w:r>
      <w:proofErr w:type="gramEnd"/>
      <w:r w:rsidRPr="00FC7897">
        <w:rPr>
          <w:rFonts w:ascii="Arial" w:eastAsia="Times New Roman" w:hAnsi="Arial" w:cs="Arial"/>
          <w:color w:val="000000" w:themeColor="text1"/>
          <w:sz w:val="19"/>
          <w:szCs w:val="19"/>
          <w:lang w:eastAsia="es-CO"/>
        </w:rPr>
        <w:t xml:space="preserve">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BAC92FE" w14:textId="77777777" w:rsidR="000E0524" w:rsidRPr="00FC7897" w:rsidRDefault="000E0524">
      <w:pPr>
        <w:pStyle w:val="Textonotapie"/>
        <w:ind w:firstLine="708"/>
        <w:jc w:val="both"/>
        <w:rPr>
          <w:rFonts w:ascii="Arial" w:eastAsia="Times New Roman" w:hAnsi="Arial" w:cs="Arial"/>
          <w:color w:val="000000" w:themeColor="text1"/>
          <w:sz w:val="19"/>
          <w:szCs w:val="19"/>
          <w:lang w:eastAsia="es-CO"/>
        </w:rPr>
      </w:pPr>
    </w:p>
  </w:footnote>
  <w:footnote w:id="12">
    <w:p w14:paraId="668FF96C" w14:textId="77777777" w:rsidR="000E0524" w:rsidRPr="00FC7897" w:rsidRDefault="000E0524">
      <w:pPr>
        <w:pStyle w:val="Textonotapie"/>
        <w:ind w:firstLine="708"/>
        <w:jc w:val="both"/>
        <w:rPr>
          <w:rFonts w:ascii="Arial" w:eastAsia="Times New Roman" w:hAnsi="Arial" w:cs="Arial"/>
          <w:color w:val="000000" w:themeColor="text1"/>
          <w:sz w:val="19"/>
          <w:szCs w:val="19"/>
          <w:lang w:eastAsia="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eastAsia="Times New Roman" w:hAnsi="Arial" w:cs="Arial"/>
          <w:color w:val="000000" w:themeColor="text1"/>
          <w:sz w:val="19"/>
          <w:szCs w:val="19"/>
          <w:lang w:eastAsia="es-CO"/>
        </w:rPr>
        <w:t xml:space="preserve">Consejo de Estado. Sección Tercera. Subsección A. Sentencia del 19 de septiembre de 2019. </w:t>
      </w:r>
      <w:proofErr w:type="spellStart"/>
      <w:r w:rsidRPr="00FC7897">
        <w:rPr>
          <w:rFonts w:ascii="Arial" w:eastAsia="Times New Roman" w:hAnsi="Arial" w:cs="Arial"/>
          <w:color w:val="000000" w:themeColor="text1"/>
          <w:sz w:val="19"/>
          <w:szCs w:val="19"/>
          <w:lang w:eastAsia="es-CO"/>
        </w:rPr>
        <w:t>Exp</w:t>
      </w:r>
      <w:proofErr w:type="spellEnd"/>
      <w:r w:rsidRPr="00FC7897">
        <w:rPr>
          <w:rFonts w:ascii="Arial" w:eastAsia="Times New Roman" w:hAnsi="Arial" w:cs="Arial"/>
          <w:color w:val="000000" w:themeColor="text1"/>
          <w:sz w:val="19"/>
          <w:szCs w:val="19"/>
          <w:lang w:eastAsia="es-CO"/>
        </w:rPr>
        <w:t>. 59.432. C.P. Marta Nubia Velásquez Rico.</w:t>
      </w:r>
    </w:p>
    <w:p w14:paraId="3C608903" w14:textId="77777777" w:rsidR="000E0524" w:rsidRPr="00FC7897" w:rsidRDefault="000E0524">
      <w:pPr>
        <w:pStyle w:val="Textonotapie"/>
        <w:ind w:firstLine="708"/>
        <w:jc w:val="both"/>
        <w:rPr>
          <w:rFonts w:ascii="Arial" w:hAnsi="Arial" w:cs="Arial"/>
          <w:color w:val="000000" w:themeColor="text1"/>
          <w:sz w:val="19"/>
          <w:szCs w:val="19"/>
          <w:lang w:val="es-CO"/>
        </w:rPr>
      </w:pPr>
    </w:p>
  </w:footnote>
  <w:footnote w:id="13">
    <w:p w14:paraId="6732447E" w14:textId="77777777" w:rsidR="000E0524" w:rsidRPr="00FC7897" w:rsidRDefault="000E0524">
      <w:pPr>
        <w:pStyle w:val="Textonotapie"/>
        <w:ind w:firstLine="709"/>
        <w:jc w:val="both"/>
        <w:rPr>
          <w:rFonts w:ascii="Arial" w:hAnsi="Arial" w:cs="Arial"/>
          <w:color w:val="000000" w:themeColor="text1"/>
          <w:sz w:val="19"/>
          <w:szCs w:val="19"/>
          <w:lang w:val="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val="es-CO"/>
        </w:rPr>
        <w:t xml:space="preserve">«Artículo 87. Firmeza de los actos administrativos. Los actos administrativos quedarán en firme: </w:t>
      </w:r>
    </w:p>
    <w:p w14:paraId="5731D4FD" w14:textId="598E0F2A" w:rsidR="000E0524" w:rsidRPr="00FC7897" w:rsidRDefault="000E0524">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704FAC82" w14:textId="39E8A7AF" w:rsidR="000E0524" w:rsidRPr="00FC7897" w:rsidRDefault="000E0524">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0155B10A" w14:textId="3B99DF27" w:rsidR="000E0524" w:rsidRPr="00FC7897" w:rsidRDefault="000E0524">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67CC5A58" w14:textId="7D5AE389" w:rsidR="000E0524" w:rsidRPr="00FC7897" w:rsidRDefault="000E0524">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 xml:space="preserve">»4. Desde el día siguiente al de la notificación de la aceptación del desistimiento de los recursos. </w:t>
      </w:r>
    </w:p>
    <w:p w14:paraId="2446FAF9" w14:textId="50104E3A" w:rsidR="000E0524" w:rsidRPr="00FC7897" w:rsidRDefault="000E0524">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»5. Desde el día siguiente al de la protocolización a que alude el artículo 85 para el silencio administrativo positivo».</w:t>
      </w:r>
    </w:p>
    <w:p w14:paraId="1C95D765" w14:textId="77777777" w:rsidR="000E0524" w:rsidRPr="00FC7897" w:rsidRDefault="000E0524">
      <w:pPr>
        <w:pStyle w:val="Textonotapie"/>
        <w:ind w:firstLine="709"/>
        <w:jc w:val="both"/>
        <w:rPr>
          <w:rFonts w:ascii="Arial" w:hAnsi="Arial" w:cs="Arial"/>
          <w:color w:val="000000" w:themeColor="text1"/>
          <w:sz w:val="19"/>
          <w:szCs w:val="19"/>
          <w:lang w:val="es-CO"/>
        </w:rPr>
      </w:pPr>
    </w:p>
  </w:footnote>
  <w:footnote w:id="14">
    <w:p w14:paraId="72B57B9D" w14:textId="77777777" w:rsidR="000E0524" w:rsidRPr="00FC7897" w:rsidRDefault="000E0524">
      <w:pPr>
        <w:pStyle w:val="Textonotapie"/>
        <w:ind w:firstLine="709"/>
        <w:jc w:val="both"/>
        <w:rPr>
          <w:rFonts w:ascii="Arial" w:hAnsi="Arial" w:cs="Arial"/>
          <w:color w:val="000000" w:themeColor="text1"/>
          <w:sz w:val="19"/>
          <w:szCs w:val="19"/>
          <w:lang w:val="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val="es-CO"/>
        </w:rPr>
        <w:t xml:space="preserve">Consejo de Estado. Sección Cuarta. Sentencia del 19 de noviembre de 1999. </w:t>
      </w:r>
      <w:proofErr w:type="spellStart"/>
      <w:r w:rsidRPr="00FC7897">
        <w:rPr>
          <w:rFonts w:ascii="Arial" w:hAnsi="Arial" w:cs="Arial"/>
          <w:color w:val="000000" w:themeColor="text1"/>
          <w:sz w:val="19"/>
          <w:szCs w:val="19"/>
          <w:lang w:val="es-CO"/>
        </w:rPr>
        <w:t>Exp</w:t>
      </w:r>
      <w:proofErr w:type="spellEnd"/>
      <w:r w:rsidRPr="00FC7897">
        <w:rPr>
          <w:rFonts w:ascii="Arial" w:hAnsi="Arial" w:cs="Arial"/>
          <w:color w:val="000000" w:themeColor="text1"/>
          <w:sz w:val="19"/>
          <w:szCs w:val="19"/>
          <w:lang w:val="es-CO"/>
        </w:rPr>
        <w:t>. 9.453. CP. Daniel Manrique Guzmán.</w:t>
      </w:r>
    </w:p>
    <w:p w14:paraId="12F56790" w14:textId="375419C4" w:rsidR="000E0524" w:rsidRPr="00FC7897" w:rsidRDefault="000E0524">
      <w:pPr>
        <w:pStyle w:val="Textonotapie"/>
        <w:jc w:val="both"/>
        <w:rPr>
          <w:rFonts w:ascii="Arial" w:hAnsi="Arial" w:cs="Arial"/>
          <w:color w:val="000000" w:themeColor="text1"/>
          <w:sz w:val="19"/>
          <w:szCs w:val="19"/>
        </w:rPr>
      </w:pPr>
    </w:p>
  </w:footnote>
  <w:footnote w:id="15">
    <w:p w14:paraId="3F7EBD2A" w14:textId="77777777" w:rsidR="000E0524" w:rsidRPr="00FC7897" w:rsidRDefault="000E0524">
      <w:pPr>
        <w:ind w:firstLine="709"/>
        <w:jc w:val="both"/>
        <w:rPr>
          <w:rFonts w:ascii="Arial" w:eastAsia="Times New Roman" w:hAnsi="Arial" w:cs="Arial"/>
          <w:color w:val="000000" w:themeColor="text1"/>
          <w:sz w:val="19"/>
          <w:szCs w:val="19"/>
          <w:lang w:val="es-CO" w:eastAsia="es-ES_tradnl"/>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eastAsia="Times New Roman" w:hAnsi="Arial" w:cs="Arial"/>
          <w:color w:val="000000" w:themeColor="text1"/>
          <w:sz w:val="19"/>
          <w:szCs w:val="19"/>
          <w:lang w:val="es-CO" w:eastAsia="es-ES_tradnl"/>
        </w:rPr>
        <w:t xml:space="preserve">Ley 1882 de 2018: «Artículo 5. Modifíquese el Parágrafo 1 e inclúyanse los parágrafos 3, 4 y 5 de artículo 5° de la Ley 1150 de 2007, los cuales quedarán así: </w:t>
      </w:r>
    </w:p>
    <w:p w14:paraId="36F8ED7B" w14:textId="77777777" w:rsidR="000E0524" w:rsidRPr="00FC7897" w:rsidRDefault="000E0524">
      <w:pPr>
        <w:ind w:firstLine="709"/>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color w:val="000000" w:themeColor="text1"/>
          <w:sz w:val="19"/>
          <w:szCs w:val="19"/>
          <w:lang w:val="es-CO" w:eastAsia="es-ES_tradnl"/>
        </w:rPr>
        <w:t xml:space="preserve">[…] </w:t>
      </w:r>
    </w:p>
    <w:p w14:paraId="5B2C3F49" w14:textId="77777777" w:rsidR="000E0524" w:rsidRPr="00FC7897" w:rsidRDefault="000E0524">
      <w:pPr>
        <w:ind w:firstLine="709"/>
        <w:jc w:val="both"/>
        <w:rPr>
          <w:rFonts w:ascii="Arial" w:eastAsia="Times New Roman" w:hAnsi="Arial" w:cs="Arial"/>
          <w:color w:val="000000" w:themeColor="text1"/>
          <w:sz w:val="19"/>
          <w:szCs w:val="19"/>
          <w:lang w:val="es-CO" w:eastAsia="es-ES_tradnl"/>
        </w:rPr>
      </w:pPr>
      <w:proofErr w:type="gramStart"/>
      <w:r w:rsidRPr="00FC7897">
        <w:rPr>
          <w:rFonts w:ascii="Arial" w:eastAsia="Times New Roman" w:hAnsi="Arial" w:cs="Arial"/>
          <w:color w:val="000000" w:themeColor="text1"/>
          <w:sz w:val="19"/>
          <w:szCs w:val="19"/>
          <w:lang w:val="es-CO" w:eastAsia="es-ES_tradnl"/>
        </w:rPr>
        <w:t>»Artículo</w:t>
      </w:r>
      <w:proofErr w:type="gramEnd"/>
      <w:r w:rsidRPr="00FC7897">
        <w:rPr>
          <w:rFonts w:ascii="Arial" w:eastAsia="Times New Roman" w:hAnsi="Arial" w:cs="Arial"/>
          <w:color w:val="000000" w:themeColor="text1"/>
          <w:sz w:val="19"/>
          <w:szCs w:val="19"/>
          <w:lang w:val="es-CO" w:eastAsia="es-ES_tradnl"/>
        </w:rPr>
        <w:t xml:space="preserve"> 5°. De la selección objetiva. </w:t>
      </w:r>
    </w:p>
    <w:p w14:paraId="3D15276C" w14:textId="77777777" w:rsidR="000E0524" w:rsidRPr="00FC7897" w:rsidRDefault="000E0524">
      <w:pPr>
        <w:ind w:firstLine="709"/>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color w:val="000000" w:themeColor="text1"/>
          <w:sz w:val="19"/>
          <w:szCs w:val="19"/>
          <w:lang w:val="es-CO" w:eastAsia="es-ES_tradnl"/>
        </w:rPr>
        <w:t xml:space="preserve">[…] </w:t>
      </w:r>
    </w:p>
    <w:p w14:paraId="6D3F3244" w14:textId="77777777" w:rsidR="000E0524" w:rsidRPr="00FC7897" w:rsidRDefault="000E0524">
      <w:pPr>
        <w:ind w:firstLine="709"/>
        <w:jc w:val="both"/>
        <w:rPr>
          <w:rFonts w:ascii="Arial" w:eastAsia="Times New Roman" w:hAnsi="Arial" w:cs="Arial"/>
          <w:color w:val="000000" w:themeColor="text1"/>
          <w:sz w:val="19"/>
          <w:szCs w:val="19"/>
          <w:lang w:val="es-CO" w:eastAsia="es-ES_tradnl"/>
        </w:rPr>
      </w:pPr>
      <w:proofErr w:type="gramStart"/>
      <w:r w:rsidRPr="00FC7897">
        <w:rPr>
          <w:rFonts w:ascii="Arial" w:eastAsia="Times New Roman" w:hAnsi="Arial" w:cs="Arial"/>
          <w:color w:val="000000" w:themeColor="text1"/>
          <w:sz w:val="19"/>
          <w:szCs w:val="19"/>
          <w:lang w:val="es-CO" w:eastAsia="es-ES_tradnl"/>
        </w:rPr>
        <w:t>»Parágrafo</w:t>
      </w:r>
      <w:proofErr w:type="gramEnd"/>
      <w:r w:rsidRPr="00FC7897">
        <w:rPr>
          <w:rFonts w:ascii="Arial" w:eastAsia="Times New Roman" w:hAnsi="Arial" w:cs="Arial"/>
          <w:color w:val="000000" w:themeColor="text1"/>
          <w:sz w:val="19"/>
          <w:szCs w:val="19"/>
          <w:lang w:val="es-CO" w:eastAsia="es-ES_tradnl"/>
        </w:rPr>
        <w:t xml:space="preserve">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42D97A6B" w14:textId="6F961F64" w:rsidR="000E0524" w:rsidRPr="00FC7897" w:rsidRDefault="000E0524">
      <w:pPr>
        <w:ind w:firstLine="709"/>
        <w:jc w:val="both"/>
        <w:rPr>
          <w:rFonts w:ascii="Arial" w:eastAsia="Times New Roman" w:hAnsi="Arial" w:cs="Arial"/>
          <w:color w:val="000000" w:themeColor="text1"/>
          <w:sz w:val="19"/>
          <w:szCs w:val="19"/>
          <w:lang w:val="es-CO" w:eastAsia="es-ES_tradnl"/>
        </w:rPr>
      </w:pPr>
      <w:proofErr w:type="gramStart"/>
      <w:r w:rsidRPr="00FC7897">
        <w:rPr>
          <w:rFonts w:ascii="Arial" w:eastAsia="Times New Roman" w:hAnsi="Arial" w:cs="Arial"/>
          <w:i/>
          <w:iCs/>
          <w:color w:val="000000" w:themeColor="text1"/>
          <w:sz w:val="19"/>
          <w:szCs w:val="19"/>
          <w:lang w:val="es-CO" w:eastAsia="es-ES_tradnl"/>
        </w:rPr>
        <w:t>»Durante</w:t>
      </w:r>
      <w:proofErr w:type="gramEnd"/>
      <w:r w:rsidRPr="00FC7897">
        <w:rPr>
          <w:rFonts w:ascii="Arial" w:eastAsia="Times New Roman" w:hAnsi="Arial" w:cs="Arial"/>
          <w:i/>
          <w:iCs/>
          <w:color w:val="000000" w:themeColor="text1"/>
          <w:sz w:val="19"/>
          <w:szCs w:val="19"/>
          <w:lang w:val="es-CO" w:eastAsia="es-ES_tradnl"/>
        </w:rPr>
        <w:t xml:space="preserve"> el término otorgado para subsanar las ofertas, los proponentes no podrán acreditar circunstancias ocurridas con posterioridad al cierre del proceso»</w:t>
      </w:r>
      <w:r w:rsidRPr="00FC7897">
        <w:rPr>
          <w:rFonts w:ascii="Arial" w:eastAsia="Times New Roman" w:hAnsi="Arial" w:cs="Arial"/>
          <w:color w:val="000000" w:themeColor="text1"/>
          <w:sz w:val="19"/>
          <w:szCs w:val="19"/>
          <w:lang w:val="es-CO" w:eastAsia="es-ES_tradnl"/>
        </w:rPr>
        <w:t xml:space="preserve"> (cursiva fuera de texto).</w:t>
      </w:r>
    </w:p>
    <w:p w14:paraId="6403D40E" w14:textId="46077AFA" w:rsidR="000E0524" w:rsidRPr="00FC7897" w:rsidRDefault="000E0524">
      <w:pPr>
        <w:pStyle w:val="Textonotapie"/>
        <w:jc w:val="both"/>
        <w:rPr>
          <w:rFonts w:ascii="Arial" w:hAnsi="Arial" w:cs="Arial"/>
          <w:color w:val="000000" w:themeColor="text1"/>
          <w:sz w:val="19"/>
          <w:szCs w:val="19"/>
        </w:rPr>
      </w:pPr>
    </w:p>
  </w:footnote>
  <w:footnote w:id="16">
    <w:p w14:paraId="4227B38C" w14:textId="77777777" w:rsidR="000E0524" w:rsidRPr="00FC7897" w:rsidRDefault="000E0524">
      <w:pPr>
        <w:pStyle w:val="Textonotapie"/>
        <w:ind w:firstLine="709"/>
        <w:jc w:val="both"/>
        <w:rPr>
          <w:rFonts w:ascii="Arial" w:hAnsi="Arial" w:cs="Arial"/>
          <w:color w:val="000000" w:themeColor="text1"/>
          <w:sz w:val="19"/>
          <w:szCs w:val="19"/>
          <w:lang w:val="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FC7897">
        <w:rPr>
          <w:rFonts w:ascii="Arial" w:hAnsi="Arial" w:cs="Arial"/>
          <w:i/>
          <w:iCs/>
          <w:color w:val="000000" w:themeColor="text1"/>
          <w:sz w:val="19"/>
          <w:szCs w:val="19"/>
          <w:lang w:val="es-CO"/>
        </w:rPr>
        <w:t>ni que se acrediten circunstancias ocurridas con posterioridad al cierre del proceso»</w:t>
      </w:r>
      <w:r w:rsidRPr="00FC7897">
        <w:rPr>
          <w:rFonts w:ascii="Arial" w:hAnsi="Arial" w:cs="Arial"/>
          <w:color w:val="000000" w:themeColor="text1"/>
          <w:sz w:val="19"/>
          <w:szCs w:val="19"/>
          <w:lang w:val="es-CO"/>
        </w:rPr>
        <w:t xml:space="preserve"> (cursiva fuera de texto).</w:t>
      </w:r>
    </w:p>
    <w:p w14:paraId="6B366647" w14:textId="081FECDC" w:rsidR="000E0524" w:rsidRPr="00FC7897" w:rsidRDefault="000E0524">
      <w:pPr>
        <w:pStyle w:val="Textonotapie"/>
        <w:ind w:firstLine="709"/>
        <w:jc w:val="both"/>
        <w:rPr>
          <w:rFonts w:ascii="Arial" w:hAnsi="Arial" w:cs="Arial"/>
          <w:color w:val="000000" w:themeColor="text1"/>
          <w:sz w:val="19"/>
          <w:szCs w:val="19"/>
        </w:rPr>
      </w:pPr>
    </w:p>
  </w:footnote>
  <w:footnote w:id="17">
    <w:p w14:paraId="1012D963" w14:textId="77777777" w:rsidR="000E0524" w:rsidRPr="00FC7897" w:rsidRDefault="000E0524">
      <w:pPr>
        <w:pStyle w:val="Textonotapie"/>
        <w:ind w:firstLine="709"/>
        <w:jc w:val="both"/>
        <w:rPr>
          <w:rFonts w:ascii="Arial" w:hAnsi="Arial" w:cs="Arial"/>
          <w:color w:val="000000" w:themeColor="text1"/>
          <w:sz w:val="19"/>
          <w:szCs w:val="19"/>
          <w:lang w:val="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val="es-CO"/>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w:t>
      </w:r>
      <w:proofErr w:type="spellStart"/>
      <w:r w:rsidRPr="00FC7897">
        <w:rPr>
          <w:rFonts w:ascii="Arial" w:hAnsi="Arial" w:cs="Arial"/>
          <w:color w:val="000000" w:themeColor="text1"/>
          <w:sz w:val="19"/>
          <w:szCs w:val="19"/>
          <w:lang w:val="es-CO"/>
        </w:rPr>
        <w:t>Exp</w:t>
      </w:r>
      <w:proofErr w:type="spellEnd"/>
      <w:r w:rsidRPr="00FC7897">
        <w:rPr>
          <w:rFonts w:ascii="Arial" w:hAnsi="Arial" w:cs="Arial"/>
          <w:color w:val="000000" w:themeColor="text1"/>
          <w:sz w:val="19"/>
          <w:szCs w:val="19"/>
          <w:lang w:val="es-CO"/>
        </w:rPr>
        <w:t>. 1.927. C.P. William Zambrano Cetina).</w:t>
      </w:r>
    </w:p>
    <w:p w14:paraId="1E335FD4" w14:textId="3E2A64F6" w:rsidR="000E0524" w:rsidRPr="00FC7897" w:rsidRDefault="000E0524">
      <w:pPr>
        <w:pStyle w:val="Textonotapie"/>
        <w:jc w:val="both"/>
        <w:rPr>
          <w:rFonts w:ascii="Arial" w:hAnsi="Arial" w:cs="Arial"/>
          <w:color w:val="000000" w:themeColor="text1"/>
          <w:sz w:val="19"/>
          <w:szCs w:val="19"/>
        </w:rPr>
      </w:pPr>
    </w:p>
  </w:footnote>
  <w:footnote w:id="18">
    <w:p w14:paraId="0EA529F5" w14:textId="052CFE96" w:rsidR="00FC7897" w:rsidRPr="00685722" w:rsidRDefault="00FC7897" w:rsidP="00685722">
      <w:pPr>
        <w:pStyle w:val="Textonotapie"/>
        <w:ind w:firstLine="708"/>
        <w:jc w:val="both"/>
        <w:rPr>
          <w:rFonts w:ascii="Arial" w:hAnsi="Arial" w:cs="Arial"/>
          <w:sz w:val="19"/>
          <w:szCs w:val="19"/>
        </w:rPr>
      </w:pPr>
      <w:r w:rsidRPr="00685722">
        <w:rPr>
          <w:rStyle w:val="Refdenotaalpie"/>
          <w:rFonts w:ascii="Arial" w:hAnsi="Arial" w:cs="Arial"/>
          <w:sz w:val="19"/>
          <w:szCs w:val="19"/>
        </w:rPr>
        <w:footnoteRef/>
      </w:r>
      <w:r w:rsidRPr="00685722">
        <w:rPr>
          <w:rFonts w:ascii="Arial" w:hAnsi="Arial" w:cs="Arial"/>
          <w:sz w:val="19"/>
          <w:szCs w:val="19"/>
        </w:rPr>
        <w:t xml:space="preserve"> Consecuencia que también aplica a los procesos de 2020</w:t>
      </w:r>
      <w:r>
        <w:rPr>
          <w:rFonts w:ascii="Arial" w:hAnsi="Arial" w:cs="Arial"/>
          <w:sz w:val="19"/>
          <w:szCs w:val="19"/>
        </w:rPr>
        <w:t xml:space="preserve">, ya que el </w:t>
      </w:r>
      <w:r w:rsidRPr="00685722">
        <w:rPr>
          <w:rFonts w:ascii="Arial" w:hAnsi="Arial" w:cs="Arial"/>
          <w:sz w:val="19"/>
          <w:szCs w:val="19"/>
        </w:rPr>
        <w:t xml:space="preserve">artículo 2 del Decreto 434 del 19 de marzo de 2020 solo modificó la fecha máxima que se tiene para renovar el registro, </w:t>
      </w:r>
      <w:proofErr w:type="gramStart"/>
      <w:r w:rsidRPr="00685722">
        <w:rPr>
          <w:rFonts w:ascii="Arial" w:hAnsi="Arial" w:cs="Arial"/>
          <w:sz w:val="19"/>
          <w:szCs w:val="19"/>
        </w:rPr>
        <w:t>siguiendo aplicando</w:t>
      </w:r>
      <w:proofErr w:type="gramEnd"/>
      <w:r w:rsidRPr="00685722">
        <w:rPr>
          <w:rFonts w:ascii="Arial" w:hAnsi="Arial" w:cs="Arial"/>
          <w:sz w:val="19"/>
          <w:szCs w:val="19"/>
        </w:rPr>
        <w:t xml:space="preserve"> en lo demás las normas del Decreto 1082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0E0524" w:rsidRDefault="000E0524">
    <w:pPr>
      <w:pStyle w:val="Encabezado"/>
    </w:pPr>
  </w:p>
  <w:p w14:paraId="6A4C7F2C" w14:textId="7D093DBB" w:rsidR="000E0524" w:rsidRDefault="000E0524">
    <w:pPr>
      <w:pStyle w:val="Encabezado"/>
    </w:pPr>
  </w:p>
  <w:p w14:paraId="055F2E1F" w14:textId="0B935ADD" w:rsidR="000E0524" w:rsidRDefault="000E0524">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0E0524" w:rsidRDefault="000E0524">
    <w:pPr>
      <w:pStyle w:val="Encabezado"/>
    </w:pPr>
  </w:p>
  <w:p w14:paraId="3D323BDB" w14:textId="04AF0DE6" w:rsidR="000E0524" w:rsidRDefault="000E0524">
    <w:pPr>
      <w:pStyle w:val="Encabezado"/>
    </w:pPr>
  </w:p>
  <w:p w14:paraId="6520770B" w14:textId="18EB07B5" w:rsidR="000E0524" w:rsidRDefault="000E05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A26038"/>
    <w:multiLevelType w:val="hybridMultilevel"/>
    <w:tmpl w:val="D9C63332"/>
    <w:lvl w:ilvl="0" w:tplc="70EA504E">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5A05853"/>
    <w:multiLevelType w:val="hybridMultilevel"/>
    <w:tmpl w:val="92D0C210"/>
    <w:lvl w:ilvl="0" w:tplc="9834956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D276FD3"/>
    <w:multiLevelType w:val="hybridMultilevel"/>
    <w:tmpl w:val="1B46C6A2"/>
    <w:lvl w:ilvl="0" w:tplc="E6DAF10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67C363DE"/>
    <w:multiLevelType w:val="hybridMultilevel"/>
    <w:tmpl w:val="9768DD5A"/>
    <w:lvl w:ilvl="0" w:tplc="4C7EEC08">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5"/>
  </w:num>
  <w:num w:numId="4">
    <w:abstractNumId w:val="6"/>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7C83"/>
    <w:rsid w:val="00011452"/>
    <w:rsid w:val="00013193"/>
    <w:rsid w:val="00013A97"/>
    <w:rsid w:val="00044372"/>
    <w:rsid w:val="00050453"/>
    <w:rsid w:val="00053C58"/>
    <w:rsid w:val="0006671D"/>
    <w:rsid w:val="0008367B"/>
    <w:rsid w:val="000942EB"/>
    <w:rsid w:val="000A3F30"/>
    <w:rsid w:val="000B103F"/>
    <w:rsid w:val="000D15B1"/>
    <w:rsid w:val="000E0524"/>
    <w:rsid w:val="000F14E8"/>
    <w:rsid w:val="00102DD4"/>
    <w:rsid w:val="00103915"/>
    <w:rsid w:val="001059A1"/>
    <w:rsid w:val="00122B23"/>
    <w:rsid w:val="00123E43"/>
    <w:rsid w:val="001262EA"/>
    <w:rsid w:val="00130469"/>
    <w:rsid w:val="00137B39"/>
    <w:rsid w:val="00137FFA"/>
    <w:rsid w:val="001448AA"/>
    <w:rsid w:val="001572CD"/>
    <w:rsid w:val="00173305"/>
    <w:rsid w:val="00177893"/>
    <w:rsid w:val="00182192"/>
    <w:rsid w:val="00185583"/>
    <w:rsid w:val="00185851"/>
    <w:rsid w:val="001946F3"/>
    <w:rsid w:val="001A5539"/>
    <w:rsid w:val="001A635E"/>
    <w:rsid w:val="001B5789"/>
    <w:rsid w:val="001B6AB7"/>
    <w:rsid w:val="001C0ABA"/>
    <w:rsid w:val="001D0743"/>
    <w:rsid w:val="001F179E"/>
    <w:rsid w:val="0020502E"/>
    <w:rsid w:val="00206542"/>
    <w:rsid w:val="00207742"/>
    <w:rsid w:val="00233F21"/>
    <w:rsid w:val="00234B84"/>
    <w:rsid w:val="00246B65"/>
    <w:rsid w:val="00262EE4"/>
    <w:rsid w:val="00265C4F"/>
    <w:rsid w:val="002808DD"/>
    <w:rsid w:val="002869F7"/>
    <w:rsid w:val="0029200B"/>
    <w:rsid w:val="00292336"/>
    <w:rsid w:val="00295DA4"/>
    <w:rsid w:val="002A5C49"/>
    <w:rsid w:val="002A6D4D"/>
    <w:rsid w:val="002B1C31"/>
    <w:rsid w:val="002D2AEB"/>
    <w:rsid w:val="002D7F51"/>
    <w:rsid w:val="002E0915"/>
    <w:rsid w:val="002E5817"/>
    <w:rsid w:val="002F3B74"/>
    <w:rsid w:val="00300794"/>
    <w:rsid w:val="003033BA"/>
    <w:rsid w:val="00310125"/>
    <w:rsid w:val="00311133"/>
    <w:rsid w:val="00327526"/>
    <w:rsid w:val="00327783"/>
    <w:rsid w:val="0034680A"/>
    <w:rsid w:val="00352B43"/>
    <w:rsid w:val="00364BDA"/>
    <w:rsid w:val="00380A43"/>
    <w:rsid w:val="00386456"/>
    <w:rsid w:val="003A5471"/>
    <w:rsid w:val="003A581E"/>
    <w:rsid w:val="003B62C1"/>
    <w:rsid w:val="003C099D"/>
    <w:rsid w:val="003C6653"/>
    <w:rsid w:val="003D3EBE"/>
    <w:rsid w:val="003E4ED5"/>
    <w:rsid w:val="003F4FB7"/>
    <w:rsid w:val="00400C84"/>
    <w:rsid w:val="00414275"/>
    <w:rsid w:val="004152AE"/>
    <w:rsid w:val="004206ED"/>
    <w:rsid w:val="00431D81"/>
    <w:rsid w:val="004336F3"/>
    <w:rsid w:val="004422D6"/>
    <w:rsid w:val="00443D80"/>
    <w:rsid w:val="00443F61"/>
    <w:rsid w:val="00447A31"/>
    <w:rsid w:val="00451254"/>
    <w:rsid w:val="00472820"/>
    <w:rsid w:val="004A1E27"/>
    <w:rsid w:val="004A34D2"/>
    <w:rsid w:val="004A5D94"/>
    <w:rsid w:val="004C5B23"/>
    <w:rsid w:val="004C6C73"/>
    <w:rsid w:val="004D0A01"/>
    <w:rsid w:val="004D1A3E"/>
    <w:rsid w:val="004E027B"/>
    <w:rsid w:val="004E643E"/>
    <w:rsid w:val="004F2E52"/>
    <w:rsid w:val="004F3F8B"/>
    <w:rsid w:val="004F5512"/>
    <w:rsid w:val="0051074C"/>
    <w:rsid w:val="0051336C"/>
    <w:rsid w:val="00513AF2"/>
    <w:rsid w:val="005311A1"/>
    <w:rsid w:val="0054413A"/>
    <w:rsid w:val="00552530"/>
    <w:rsid w:val="005564CA"/>
    <w:rsid w:val="00571765"/>
    <w:rsid w:val="00573CDC"/>
    <w:rsid w:val="005A79FE"/>
    <w:rsid w:val="005B529B"/>
    <w:rsid w:val="005B568E"/>
    <w:rsid w:val="005C1863"/>
    <w:rsid w:val="005C57E1"/>
    <w:rsid w:val="00611678"/>
    <w:rsid w:val="00642D99"/>
    <w:rsid w:val="00655371"/>
    <w:rsid w:val="00656E72"/>
    <w:rsid w:val="0066406C"/>
    <w:rsid w:val="00676032"/>
    <w:rsid w:val="00685722"/>
    <w:rsid w:val="00686813"/>
    <w:rsid w:val="00691378"/>
    <w:rsid w:val="00696CDD"/>
    <w:rsid w:val="00697665"/>
    <w:rsid w:val="006A0DB3"/>
    <w:rsid w:val="006A7FD0"/>
    <w:rsid w:val="006B316C"/>
    <w:rsid w:val="006C3A4B"/>
    <w:rsid w:val="006D51B8"/>
    <w:rsid w:val="006D7687"/>
    <w:rsid w:val="006E0572"/>
    <w:rsid w:val="006F321D"/>
    <w:rsid w:val="006F7FB4"/>
    <w:rsid w:val="00705631"/>
    <w:rsid w:val="00714981"/>
    <w:rsid w:val="00734BA8"/>
    <w:rsid w:val="00742DD2"/>
    <w:rsid w:val="0075385B"/>
    <w:rsid w:val="0075647A"/>
    <w:rsid w:val="007634AD"/>
    <w:rsid w:val="007802FC"/>
    <w:rsid w:val="0078122E"/>
    <w:rsid w:val="007A2738"/>
    <w:rsid w:val="007A2CFC"/>
    <w:rsid w:val="007B0854"/>
    <w:rsid w:val="007B46FC"/>
    <w:rsid w:val="007C297F"/>
    <w:rsid w:val="007C305E"/>
    <w:rsid w:val="007D31F8"/>
    <w:rsid w:val="007E312B"/>
    <w:rsid w:val="007E34CF"/>
    <w:rsid w:val="007F1221"/>
    <w:rsid w:val="007F12AD"/>
    <w:rsid w:val="007F72CB"/>
    <w:rsid w:val="00810936"/>
    <w:rsid w:val="00811A5E"/>
    <w:rsid w:val="00813130"/>
    <w:rsid w:val="00821742"/>
    <w:rsid w:val="00822BD2"/>
    <w:rsid w:val="00826E68"/>
    <w:rsid w:val="0083119B"/>
    <w:rsid w:val="008366C4"/>
    <w:rsid w:val="00836EAB"/>
    <w:rsid w:val="00842AD6"/>
    <w:rsid w:val="00846BF0"/>
    <w:rsid w:val="00847979"/>
    <w:rsid w:val="0085092D"/>
    <w:rsid w:val="00860E06"/>
    <w:rsid w:val="00883B97"/>
    <w:rsid w:val="00895B34"/>
    <w:rsid w:val="008A465E"/>
    <w:rsid w:val="008C3BF7"/>
    <w:rsid w:val="008C4490"/>
    <w:rsid w:val="008D2EED"/>
    <w:rsid w:val="008E1C15"/>
    <w:rsid w:val="00902D36"/>
    <w:rsid w:val="009047C5"/>
    <w:rsid w:val="00917224"/>
    <w:rsid w:val="009230C0"/>
    <w:rsid w:val="009414EB"/>
    <w:rsid w:val="00943498"/>
    <w:rsid w:val="009464A2"/>
    <w:rsid w:val="009475B7"/>
    <w:rsid w:val="009501C7"/>
    <w:rsid w:val="0095385A"/>
    <w:rsid w:val="00967E6D"/>
    <w:rsid w:val="0097164E"/>
    <w:rsid w:val="0098455D"/>
    <w:rsid w:val="009A4297"/>
    <w:rsid w:val="009A7C76"/>
    <w:rsid w:val="009B2279"/>
    <w:rsid w:val="009B2637"/>
    <w:rsid w:val="009B4024"/>
    <w:rsid w:val="009B5EC9"/>
    <w:rsid w:val="009C2897"/>
    <w:rsid w:val="009E043C"/>
    <w:rsid w:val="009E2F75"/>
    <w:rsid w:val="009E4F0B"/>
    <w:rsid w:val="00A00C13"/>
    <w:rsid w:val="00A0699A"/>
    <w:rsid w:val="00A1118B"/>
    <w:rsid w:val="00A128E8"/>
    <w:rsid w:val="00A24560"/>
    <w:rsid w:val="00A2510D"/>
    <w:rsid w:val="00A34538"/>
    <w:rsid w:val="00A41873"/>
    <w:rsid w:val="00A47E77"/>
    <w:rsid w:val="00A66252"/>
    <w:rsid w:val="00A875A5"/>
    <w:rsid w:val="00AA352C"/>
    <w:rsid w:val="00AA442B"/>
    <w:rsid w:val="00AB3F0B"/>
    <w:rsid w:val="00AC40CD"/>
    <w:rsid w:val="00AE1CD8"/>
    <w:rsid w:val="00AE7AAD"/>
    <w:rsid w:val="00AF0C1F"/>
    <w:rsid w:val="00B008A4"/>
    <w:rsid w:val="00B01E74"/>
    <w:rsid w:val="00B111F7"/>
    <w:rsid w:val="00B14FC4"/>
    <w:rsid w:val="00B22E22"/>
    <w:rsid w:val="00B2577F"/>
    <w:rsid w:val="00B5013B"/>
    <w:rsid w:val="00B525CB"/>
    <w:rsid w:val="00B63CB2"/>
    <w:rsid w:val="00B90639"/>
    <w:rsid w:val="00B93578"/>
    <w:rsid w:val="00B97920"/>
    <w:rsid w:val="00BA644B"/>
    <w:rsid w:val="00BB1F95"/>
    <w:rsid w:val="00BB2D58"/>
    <w:rsid w:val="00BD485A"/>
    <w:rsid w:val="00BD78FE"/>
    <w:rsid w:val="00BE45E7"/>
    <w:rsid w:val="00BE557F"/>
    <w:rsid w:val="00BF5AC9"/>
    <w:rsid w:val="00C037AC"/>
    <w:rsid w:val="00C11F22"/>
    <w:rsid w:val="00C120F5"/>
    <w:rsid w:val="00C12C88"/>
    <w:rsid w:val="00C179FF"/>
    <w:rsid w:val="00C24A93"/>
    <w:rsid w:val="00C26506"/>
    <w:rsid w:val="00CA287E"/>
    <w:rsid w:val="00CA4390"/>
    <w:rsid w:val="00CB0031"/>
    <w:rsid w:val="00CB72F9"/>
    <w:rsid w:val="00CC00CD"/>
    <w:rsid w:val="00CD001D"/>
    <w:rsid w:val="00CD38C8"/>
    <w:rsid w:val="00D03FB6"/>
    <w:rsid w:val="00D05E43"/>
    <w:rsid w:val="00D06014"/>
    <w:rsid w:val="00D06FB2"/>
    <w:rsid w:val="00D107BD"/>
    <w:rsid w:val="00D16E39"/>
    <w:rsid w:val="00D43247"/>
    <w:rsid w:val="00D51F97"/>
    <w:rsid w:val="00D579B0"/>
    <w:rsid w:val="00D704E9"/>
    <w:rsid w:val="00D72E9D"/>
    <w:rsid w:val="00D7674E"/>
    <w:rsid w:val="00D76C11"/>
    <w:rsid w:val="00D80E8F"/>
    <w:rsid w:val="00D82CE5"/>
    <w:rsid w:val="00D96C47"/>
    <w:rsid w:val="00DA261B"/>
    <w:rsid w:val="00DA5AB1"/>
    <w:rsid w:val="00DA5ABB"/>
    <w:rsid w:val="00DB2967"/>
    <w:rsid w:val="00DB5526"/>
    <w:rsid w:val="00DB783C"/>
    <w:rsid w:val="00DC108A"/>
    <w:rsid w:val="00DC5F09"/>
    <w:rsid w:val="00DC62E5"/>
    <w:rsid w:val="00DD1A24"/>
    <w:rsid w:val="00DD1FE4"/>
    <w:rsid w:val="00DD735D"/>
    <w:rsid w:val="00DE3119"/>
    <w:rsid w:val="00DE340B"/>
    <w:rsid w:val="00DE7005"/>
    <w:rsid w:val="00DF236B"/>
    <w:rsid w:val="00DF6729"/>
    <w:rsid w:val="00E01591"/>
    <w:rsid w:val="00E13AB8"/>
    <w:rsid w:val="00E21051"/>
    <w:rsid w:val="00E30532"/>
    <w:rsid w:val="00E31C13"/>
    <w:rsid w:val="00E33255"/>
    <w:rsid w:val="00E33B62"/>
    <w:rsid w:val="00E538D2"/>
    <w:rsid w:val="00E605C9"/>
    <w:rsid w:val="00E64B2E"/>
    <w:rsid w:val="00E64E6F"/>
    <w:rsid w:val="00E66FFB"/>
    <w:rsid w:val="00E87DEA"/>
    <w:rsid w:val="00E9703E"/>
    <w:rsid w:val="00EA4D6B"/>
    <w:rsid w:val="00ED7DD3"/>
    <w:rsid w:val="00EF06D8"/>
    <w:rsid w:val="00F15B00"/>
    <w:rsid w:val="00F24989"/>
    <w:rsid w:val="00F34373"/>
    <w:rsid w:val="00F47851"/>
    <w:rsid w:val="00F56D55"/>
    <w:rsid w:val="00F66EC5"/>
    <w:rsid w:val="00F80A37"/>
    <w:rsid w:val="00F84899"/>
    <w:rsid w:val="00F859F0"/>
    <w:rsid w:val="00F96C02"/>
    <w:rsid w:val="00FA2370"/>
    <w:rsid w:val="00FB360D"/>
    <w:rsid w:val="00FC4073"/>
    <w:rsid w:val="00FC7897"/>
    <w:rsid w:val="00FD3ACD"/>
    <w:rsid w:val="00FE141E"/>
    <w:rsid w:val="0330CF7C"/>
    <w:rsid w:val="065A6E1E"/>
    <w:rsid w:val="0BA2BD77"/>
    <w:rsid w:val="112C8282"/>
    <w:rsid w:val="119C522B"/>
    <w:rsid w:val="18233859"/>
    <w:rsid w:val="18990C33"/>
    <w:rsid w:val="1C838DD9"/>
    <w:rsid w:val="276CB260"/>
    <w:rsid w:val="27F111B0"/>
    <w:rsid w:val="320EF44B"/>
    <w:rsid w:val="41F4678E"/>
    <w:rsid w:val="4DC56AB2"/>
    <w:rsid w:val="7659FD68"/>
    <w:rsid w:val="78A02C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48FC69B5"/>
  <w15:docId w15:val="{69FEA87A-343B-414E-A3D1-7D4D74EE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customStyle="1" w:styleId="paragraph">
    <w:name w:val="paragraph"/>
    <w:basedOn w:val="Normal"/>
    <w:rsid w:val="00A41873"/>
    <w:pPr>
      <w:spacing w:before="100" w:beforeAutospacing="1" w:after="100" w:afterAutospacing="1"/>
    </w:pPr>
    <w:rPr>
      <w:rFonts w:ascii="Times New Roman" w:eastAsia="Times New Roman" w:hAnsi="Times New Roman" w:cs="Times New Roman"/>
      <w:szCs w:val="24"/>
      <w:lang w:val="es-CO" w:eastAsia="es-ES_tradnl"/>
    </w:rPr>
  </w:style>
  <w:style w:type="character" w:customStyle="1" w:styleId="normaltextrun">
    <w:name w:val="normaltextrun"/>
    <w:basedOn w:val="Fuentedeprrafopredeter"/>
    <w:rsid w:val="00A41873"/>
  </w:style>
  <w:style w:type="character" w:customStyle="1" w:styleId="eop">
    <w:name w:val="eop"/>
    <w:basedOn w:val="Fuentedeprrafopredeter"/>
    <w:rsid w:val="00A41873"/>
  </w:style>
  <w:style w:type="character" w:styleId="Textoennegrita">
    <w:name w:val="Strong"/>
    <w:basedOn w:val="Fuentedeprrafopredeter"/>
    <w:uiPriority w:val="22"/>
    <w:qFormat/>
    <w:rsid w:val="00642D99"/>
    <w:rPr>
      <w:b/>
      <w:bCs/>
    </w:rPr>
  </w:style>
  <w:style w:type="paragraph" w:styleId="Revisin">
    <w:name w:val="Revision"/>
    <w:hidden/>
    <w:uiPriority w:val="99"/>
    <w:semiHidden/>
    <w:rsid w:val="00860E06"/>
    <w:pPr>
      <w:spacing w:after="0" w:line="240" w:lineRule="auto"/>
    </w:pPr>
    <w:rPr>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0">
      <w:bodyDiv w:val="1"/>
      <w:marLeft w:val="0"/>
      <w:marRight w:val="0"/>
      <w:marTop w:val="0"/>
      <w:marBottom w:val="0"/>
      <w:divBdr>
        <w:top w:val="none" w:sz="0" w:space="0" w:color="auto"/>
        <w:left w:val="none" w:sz="0" w:space="0" w:color="auto"/>
        <w:bottom w:val="none" w:sz="0" w:space="0" w:color="auto"/>
        <w:right w:val="none" w:sz="0" w:space="0" w:color="auto"/>
      </w:divBdr>
    </w:div>
    <w:div w:id="3304783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9201822">
      <w:bodyDiv w:val="1"/>
      <w:marLeft w:val="0"/>
      <w:marRight w:val="0"/>
      <w:marTop w:val="0"/>
      <w:marBottom w:val="0"/>
      <w:divBdr>
        <w:top w:val="none" w:sz="0" w:space="0" w:color="auto"/>
        <w:left w:val="none" w:sz="0" w:space="0" w:color="auto"/>
        <w:bottom w:val="none" w:sz="0" w:space="0" w:color="auto"/>
        <w:right w:val="none" w:sz="0" w:space="0" w:color="auto"/>
      </w:divBdr>
      <w:divsChild>
        <w:div w:id="1492988048">
          <w:marLeft w:val="0"/>
          <w:marRight w:val="0"/>
          <w:marTop w:val="0"/>
          <w:marBottom w:val="0"/>
          <w:divBdr>
            <w:top w:val="none" w:sz="0" w:space="0" w:color="auto"/>
            <w:left w:val="none" w:sz="0" w:space="0" w:color="auto"/>
            <w:bottom w:val="none" w:sz="0" w:space="0" w:color="auto"/>
            <w:right w:val="none" w:sz="0" w:space="0" w:color="auto"/>
          </w:divBdr>
          <w:divsChild>
            <w:div w:id="1152601886">
              <w:marLeft w:val="0"/>
              <w:marRight w:val="0"/>
              <w:marTop w:val="0"/>
              <w:marBottom w:val="0"/>
              <w:divBdr>
                <w:top w:val="none" w:sz="0" w:space="0" w:color="auto"/>
                <w:left w:val="none" w:sz="0" w:space="0" w:color="auto"/>
                <w:bottom w:val="none" w:sz="0" w:space="0" w:color="auto"/>
                <w:right w:val="none" w:sz="0" w:space="0" w:color="auto"/>
              </w:divBdr>
              <w:divsChild>
                <w:div w:id="16862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691756">
      <w:bodyDiv w:val="1"/>
      <w:marLeft w:val="0"/>
      <w:marRight w:val="0"/>
      <w:marTop w:val="0"/>
      <w:marBottom w:val="0"/>
      <w:divBdr>
        <w:top w:val="none" w:sz="0" w:space="0" w:color="auto"/>
        <w:left w:val="none" w:sz="0" w:space="0" w:color="auto"/>
        <w:bottom w:val="none" w:sz="0" w:space="0" w:color="auto"/>
        <w:right w:val="none" w:sz="0" w:space="0" w:color="auto"/>
      </w:divBdr>
    </w:div>
    <w:div w:id="361247512">
      <w:bodyDiv w:val="1"/>
      <w:marLeft w:val="0"/>
      <w:marRight w:val="0"/>
      <w:marTop w:val="0"/>
      <w:marBottom w:val="0"/>
      <w:divBdr>
        <w:top w:val="none" w:sz="0" w:space="0" w:color="auto"/>
        <w:left w:val="none" w:sz="0" w:space="0" w:color="auto"/>
        <w:bottom w:val="none" w:sz="0" w:space="0" w:color="auto"/>
        <w:right w:val="none" w:sz="0" w:space="0" w:color="auto"/>
      </w:divBdr>
    </w:div>
    <w:div w:id="463734701">
      <w:bodyDiv w:val="1"/>
      <w:marLeft w:val="0"/>
      <w:marRight w:val="0"/>
      <w:marTop w:val="0"/>
      <w:marBottom w:val="0"/>
      <w:divBdr>
        <w:top w:val="none" w:sz="0" w:space="0" w:color="auto"/>
        <w:left w:val="none" w:sz="0" w:space="0" w:color="auto"/>
        <w:bottom w:val="none" w:sz="0" w:space="0" w:color="auto"/>
        <w:right w:val="none" w:sz="0" w:space="0" w:color="auto"/>
      </w:divBdr>
    </w:div>
    <w:div w:id="546183791">
      <w:bodyDiv w:val="1"/>
      <w:marLeft w:val="0"/>
      <w:marRight w:val="0"/>
      <w:marTop w:val="0"/>
      <w:marBottom w:val="0"/>
      <w:divBdr>
        <w:top w:val="none" w:sz="0" w:space="0" w:color="auto"/>
        <w:left w:val="none" w:sz="0" w:space="0" w:color="auto"/>
        <w:bottom w:val="none" w:sz="0" w:space="0" w:color="auto"/>
        <w:right w:val="none" w:sz="0" w:space="0" w:color="auto"/>
      </w:divBdr>
    </w:div>
    <w:div w:id="576597916">
      <w:bodyDiv w:val="1"/>
      <w:marLeft w:val="0"/>
      <w:marRight w:val="0"/>
      <w:marTop w:val="0"/>
      <w:marBottom w:val="0"/>
      <w:divBdr>
        <w:top w:val="none" w:sz="0" w:space="0" w:color="auto"/>
        <w:left w:val="none" w:sz="0" w:space="0" w:color="auto"/>
        <w:bottom w:val="none" w:sz="0" w:space="0" w:color="auto"/>
        <w:right w:val="none" w:sz="0" w:space="0" w:color="auto"/>
      </w:divBdr>
      <w:divsChild>
        <w:div w:id="974674064">
          <w:marLeft w:val="0"/>
          <w:marRight w:val="0"/>
          <w:marTop w:val="0"/>
          <w:marBottom w:val="0"/>
          <w:divBdr>
            <w:top w:val="none" w:sz="0" w:space="0" w:color="auto"/>
            <w:left w:val="none" w:sz="0" w:space="0" w:color="auto"/>
            <w:bottom w:val="none" w:sz="0" w:space="0" w:color="auto"/>
            <w:right w:val="none" w:sz="0" w:space="0" w:color="auto"/>
          </w:divBdr>
          <w:divsChild>
            <w:div w:id="661659882">
              <w:marLeft w:val="0"/>
              <w:marRight w:val="0"/>
              <w:marTop w:val="0"/>
              <w:marBottom w:val="0"/>
              <w:divBdr>
                <w:top w:val="none" w:sz="0" w:space="0" w:color="auto"/>
                <w:left w:val="none" w:sz="0" w:space="0" w:color="auto"/>
                <w:bottom w:val="none" w:sz="0" w:space="0" w:color="auto"/>
                <w:right w:val="none" w:sz="0" w:space="0" w:color="auto"/>
              </w:divBdr>
              <w:divsChild>
                <w:div w:id="21469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4411">
      <w:bodyDiv w:val="1"/>
      <w:marLeft w:val="0"/>
      <w:marRight w:val="0"/>
      <w:marTop w:val="0"/>
      <w:marBottom w:val="0"/>
      <w:divBdr>
        <w:top w:val="none" w:sz="0" w:space="0" w:color="auto"/>
        <w:left w:val="none" w:sz="0" w:space="0" w:color="auto"/>
        <w:bottom w:val="none" w:sz="0" w:space="0" w:color="auto"/>
        <w:right w:val="none" w:sz="0" w:space="0" w:color="auto"/>
      </w:divBdr>
    </w:div>
    <w:div w:id="906379918">
      <w:bodyDiv w:val="1"/>
      <w:marLeft w:val="0"/>
      <w:marRight w:val="0"/>
      <w:marTop w:val="0"/>
      <w:marBottom w:val="0"/>
      <w:divBdr>
        <w:top w:val="none" w:sz="0" w:space="0" w:color="auto"/>
        <w:left w:val="none" w:sz="0" w:space="0" w:color="auto"/>
        <w:bottom w:val="none" w:sz="0" w:space="0" w:color="auto"/>
        <w:right w:val="none" w:sz="0" w:space="0" w:color="auto"/>
      </w:divBdr>
    </w:div>
    <w:div w:id="963774954">
      <w:bodyDiv w:val="1"/>
      <w:marLeft w:val="0"/>
      <w:marRight w:val="0"/>
      <w:marTop w:val="0"/>
      <w:marBottom w:val="0"/>
      <w:divBdr>
        <w:top w:val="none" w:sz="0" w:space="0" w:color="auto"/>
        <w:left w:val="none" w:sz="0" w:space="0" w:color="auto"/>
        <w:bottom w:val="none" w:sz="0" w:space="0" w:color="auto"/>
        <w:right w:val="none" w:sz="0" w:space="0" w:color="auto"/>
      </w:divBdr>
    </w:div>
    <w:div w:id="989790944">
      <w:bodyDiv w:val="1"/>
      <w:marLeft w:val="0"/>
      <w:marRight w:val="0"/>
      <w:marTop w:val="0"/>
      <w:marBottom w:val="0"/>
      <w:divBdr>
        <w:top w:val="none" w:sz="0" w:space="0" w:color="auto"/>
        <w:left w:val="none" w:sz="0" w:space="0" w:color="auto"/>
        <w:bottom w:val="none" w:sz="0" w:space="0" w:color="auto"/>
        <w:right w:val="none" w:sz="0" w:space="0" w:color="auto"/>
      </w:divBdr>
    </w:div>
    <w:div w:id="1129932967">
      <w:bodyDiv w:val="1"/>
      <w:marLeft w:val="0"/>
      <w:marRight w:val="0"/>
      <w:marTop w:val="0"/>
      <w:marBottom w:val="0"/>
      <w:divBdr>
        <w:top w:val="none" w:sz="0" w:space="0" w:color="auto"/>
        <w:left w:val="none" w:sz="0" w:space="0" w:color="auto"/>
        <w:bottom w:val="none" w:sz="0" w:space="0" w:color="auto"/>
        <w:right w:val="none" w:sz="0" w:space="0" w:color="auto"/>
      </w:divBdr>
    </w:div>
    <w:div w:id="1156603970">
      <w:bodyDiv w:val="1"/>
      <w:marLeft w:val="0"/>
      <w:marRight w:val="0"/>
      <w:marTop w:val="0"/>
      <w:marBottom w:val="0"/>
      <w:divBdr>
        <w:top w:val="none" w:sz="0" w:space="0" w:color="auto"/>
        <w:left w:val="none" w:sz="0" w:space="0" w:color="auto"/>
        <w:bottom w:val="none" w:sz="0" w:space="0" w:color="auto"/>
        <w:right w:val="none" w:sz="0" w:space="0" w:color="auto"/>
      </w:divBdr>
    </w:div>
    <w:div w:id="1220284864">
      <w:bodyDiv w:val="1"/>
      <w:marLeft w:val="0"/>
      <w:marRight w:val="0"/>
      <w:marTop w:val="0"/>
      <w:marBottom w:val="0"/>
      <w:divBdr>
        <w:top w:val="none" w:sz="0" w:space="0" w:color="auto"/>
        <w:left w:val="none" w:sz="0" w:space="0" w:color="auto"/>
        <w:bottom w:val="none" w:sz="0" w:space="0" w:color="auto"/>
        <w:right w:val="none" w:sz="0" w:space="0" w:color="auto"/>
      </w:divBdr>
    </w:div>
    <w:div w:id="1753744437">
      <w:bodyDiv w:val="1"/>
      <w:marLeft w:val="0"/>
      <w:marRight w:val="0"/>
      <w:marTop w:val="0"/>
      <w:marBottom w:val="0"/>
      <w:divBdr>
        <w:top w:val="none" w:sz="0" w:space="0" w:color="auto"/>
        <w:left w:val="none" w:sz="0" w:space="0" w:color="auto"/>
        <w:bottom w:val="none" w:sz="0" w:space="0" w:color="auto"/>
        <w:right w:val="none" w:sz="0" w:space="0" w:color="auto"/>
      </w:divBdr>
    </w:div>
    <w:div w:id="2114545414">
      <w:bodyDiv w:val="1"/>
      <w:marLeft w:val="0"/>
      <w:marRight w:val="0"/>
      <w:marTop w:val="0"/>
      <w:marBottom w:val="0"/>
      <w:divBdr>
        <w:top w:val="none" w:sz="0" w:space="0" w:color="auto"/>
        <w:left w:val="none" w:sz="0" w:space="0" w:color="auto"/>
        <w:bottom w:val="none" w:sz="0" w:space="0" w:color="auto"/>
        <w:right w:val="none" w:sz="0" w:space="0" w:color="auto"/>
      </w:divBdr>
      <w:divsChild>
        <w:div w:id="340746768">
          <w:marLeft w:val="0"/>
          <w:marRight w:val="0"/>
          <w:marTop w:val="0"/>
          <w:marBottom w:val="0"/>
          <w:divBdr>
            <w:top w:val="none" w:sz="0" w:space="0" w:color="auto"/>
            <w:left w:val="none" w:sz="0" w:space="0" w:color="auto"/>
            <w:bottom w:val="none" w:sz="0" w:space="0" w:color="auto"/>
            <w:right w:val="none" w:sz="0" w:space="0" w:color="auto"/>
          </w:divBdr>
        </w:div>
        <w:div w:id="416025624">
          <w:marLeft w:val="0"/>
          <w:marRight w:val="0"/>
          <w:marTop w:val="0"/>
          <w:marBottom w:val="0"/>
          <w:divBdr>
            <w:top w:val="none" w:sz="0" w:space="0" w:color="auto"/>
            <w:left w:val="none" w:sz="0" w:space="0" w:color="auto"/>
            <w:bottom w:val="none" w:sz="0" w:space="0" w:color="auto"/>
            <w:right w:val="none" w:sz="0" w:space="0" w:color="auto"/>
          </w:divBdr>
        </w:div>
        <w:div w:id="144221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FA206897-EBBB-4300-AFF9-0F1DAE79C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C7844-CCB9-4CA8-8F0D-BAD27EE67DD6}">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881F284-A9F3-4942-8C4D-3CF20D7F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22</Pages>
  <Words>8373</Words>
  <Characters>46053</Characters>
  <Application>Microsoft Office Word</Application>
  <DocSecurity>0</DocSecurity>
  <Lines>383</Lines>
  <Paragraphs>108</Paragraphs>
  <ScaleCrop>false</ScaleCrop>
  <Company/>
  <LinksUpToDate>false</LinksUpToDate>
  <CharactersWithSpaces>54318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36</cp:revision>
  <dcterms:created xsi:type="dcterms:W3CDTF">2020-07-14T22:19:00Z</dcterms:created>
  <dcterms:modified xsi:type="dcterms:W3CDTF">2020-08-10T16:18:00Z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