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780FF" w14:textId="77777777" w:rsidR="000A5448" w:rsidRPr="00B63656" w:rsidRDefault="000A5448" w:rsidP="000A5448">
      <w:pPr>
        <w:jc w:val="right"/>
        <w:rPr>
          <w:rFonts w:ascii="Arial" w:hAnsi="Arial" w:cs="Arial"/>
          <w:b/>
          <w:sz w:val="16"/>
          <w:szCs w:val="16"/>
          <w:lang w:eastAsia="es-ES"/>
        </w:rPr>
      </w:pPr>
      <w:bookmarkStart w:id="0" w:name="_Hlk34141372"/>
      <w:bookmarkStart w:id="1" w:name="_Hlk28946138"/>
      <w:bookmarkStart w:id="2" w:name="_Hlk29548183"/>
      <w:bookmarkStart w:id="3" w:name="_Hlk29890381"/>
      <w:bookmarkEnd w:id="0"/>
      <w:r w:rsidRPr="00B63656">
        <w:rPr>
          <w:rFonts w:ascii="Arial" w:hAnsi="Arial" w:cs="Arial"/>
          <w:b/>
          <w:sz w:val="16"/>
          <w:szCs w:val="16"/>
          <w:lang w:eastAsia="es-ES"/>
        </w:rPr>
        <w:t>CCE-DES-FM-17</w:t>
      </w:r>
    </w:p>
    <w:bookmarkEnd w:id="1"/>
    <w:bookmarkEnd w:id="2"/>
    <w:p w14:paraId="59DCA0F5" w14:textId="77777777" w:rsidR="000A5448" w:rsidRPr="00B63656" w:rsidRDefault="000A5448" w:rsidP="000A5448">
      <w:pPr>
        <w:jc w:val="both"/>
        <w:rPr>
          <w:rFonts w:ascii="Arial" w:eastAsia="Calibri" w:hAnsi="Arial" w:cs="Arial"/>
          <w:sz w:val="16"/>
          <w:szCs w:val="16"/>
          <w:highlight w:val="yellow"/>
          <w:lang w:val="es-ES"/>
        </w:rPr>
      </w:pPr>
    </w:p>
    <w:p w14:paraId="0017CD8B" w14:textId="77777777" w:rsidR="000A5448" w:rsidRDefault="000A5448" w:rsidP="000A5448">
      <w:pPr>
        <w:spacing w:line="276" w:lineRule="auto"/>
        <w:jc w:val="both"/>
        <w:rPr>
          <w:rFonts w:ascii="Arial" w:eastAsia="Calibri" w:hAnsi="Arial" w:cs="Arial"/>
          <w:b/>
          <w:color w:val="000000" w:themeColor="text1"/>
          <w:sz w:val="22"/>
        </w:rPr>
      </w:pPr>
      <w:r>
        <w:rPr>
          <w:rFonts w:ascii="Arial" w:eastAsia="Calibri" w:hAnsi="Arial" w:cs="Arial"/>
          <w:b/>
          <w:color w:val="000000" w:themeColor="text1"/>
          <w:sz w:val="22"/>
        </w:rPr>
        <w:t xml:space="preserve">SECOP – Publicidad – Entidades de régimen especial </w:t>
      </w:r>
    </w:p>
    <w:p w14:paraId="2C350E9C" w14:textId="77777777" w:rsidR="000A5448" w:rsidRDefault="000A5448" w:rsidP="000A5448">
      <w:pPr>
        <w:spacing w:line="276" w:lineRule="auto"/>
        <w:jc w:val="both"/>
        <w:rPr>
          <w:rFonts w:ascii="Arial" w:hAnsi="Arial" w:cs="Arial"/>
          <w:color w:val="000000" w:themeColor="text1"/>
          <w:sz w:val="20"/>
          <w:szCs w:val="20"/>
        </w:rPr>
      </w:pPr>
    </w:p>
    <w:p w14:paraId="0A7E4A99" w14:textId="77777777" w:rsidR="000A5448" w:rsidRDefault="000A5448" w:rsidP="000A5448">
      <w:pPr>
        <w:pStyle w:val="Prrafodelista"/>
        <w:ind w:left="0"/>
        <w:jc w:val="both"/>
        <w:rPr>
          <w:rFonts w:ascii="Arial" w:eastAsia="Calibri" w:hAnsi="Arial" w:cs="Arial"/>
          <w:color w:val="000000" w:themeColor="text1"/>
          <w:sz w:val="20"/>
          <w:szCs w:val="20"/>
        </w:rPr>
      </w:pPr>
      <w:r>
        <w:rPr>
          <w:rFonts w:ascii="Arial" w:eastAsia="Calibri" w:hAnsi="Arial" w:cs="Arial"/>
          <w:color w:val="000000" w:themeColor="text1"/>
          <w:sz w:val="20"/>
          <w:szCs w:val="20"/>
        </w:rPr>
        <w:t>La obligatoriedad de publicar las actuaciones contractuales de las entidades no depende de su régimen de contratación, sino de la ejecución de recursos públicos, pues así lo determinó, provisionalmente, el Consejo de Estado, Sección Tercera, Subsección C, en el auto del 14 de agosto de 2017, radicación número: 11001-03-26-000-2017-00031-00 [58.820], proferido por el Magistrado Jaime Orlando Santofimio. Ese deber no atiende a las condiciones fácticas que tengan las entidades excluidas del régimen de contratación estatal, sino ─se reitera─ al hecho de que la contratación implique la ejecución de recursos públicos.</w:t>
      </w:r>
    </w:p>
    <w:p w14:paraId="2A007B1E" w14:textId="77777777" w:rsidR="000A5448" w:rsidRDefault="000A5448" w:rsidP="000A5448">
      <w:pPr>
        <w:pStyle w:val="Prrafodelista"/>
        <w:spacing w:line="276" w:lineRule="auto"/>
        <w:ind w:left="0"/>
        <w:jc w:val="both"/>
        <w:rPr>
          <w:rFonts w:ascii="Arial" w:eastAsia="Calibri" w:hAnsi="Arial" w:cs="Arial"/>
          <w:color w:val="000000" w:themeColor="text1"/>
          <w:sz w:val="20"/>
          <w:szCs w:val="20"/>
          <w:highlight w:val="yellow"/>
        </w:rPr>
      </w:pPr>
    </w:p>
    <w:p w14:paraId="6F7FF5D4" w14:textId="77777777" w:rsidR="000A5448" w:rsidRDefault="000A5448" w:rsidP="000A5448">
      <w:pPr>
        <w:pStyle w:val="Prrafodelista"/>
        <w:spacing w:line="276" w:lineRule="auto"/>
        <w:ind w:left="0"/>
        <w:jc w:val="both"/>
        <w:rPr>
          <w:rFonts w:ascii="Arial" w:eastAsia="Calibri" w:hAnsi="Arial" w:cs="Arial"/>
          <w:b/>
          <w:color w:val="000000" w:themeColor="text1"/>
          <w:sz w:val="22"/>
          <w:szCs w:val="20"/>
        </w:rPr>
      </w:pPr>
      <w:r>
        <w:rPr>
          <w:rFonts w:ascii="Arial" w:eastAsia="Calibri" w:hAnsi="Arial" w:cs="Arial"/>
          <w:b/>
          <w:color w:val="000000" w:themeColor="text1"/>
          <w:sz w:val="22"/>
          <w:szCs w:val="20"/>
        </w:rPr>
        <w:t xml:space="preserve">SECOP – Publicidad </w:t>
      </w:r>
      <w:r>
        <w:rPr>
          <w:rFonts w:ascii="Arial" w:eastAsia="Calibri" w:hAnsi="Arial" w:cs="Arial"/>
          <w:b/>
          <w:color w:val="000000" w:themeColor="text1"/>
          <w:sz w:val="22"/>
          <w:szCs w:val="20"/>
        </w:rPr>
        <w:softHyphen/>
        <w:t xml:space="preserve">– Documentos </w:t>
      </w:r>
    </w:p>
    <w:p w14:paraId="1B06AE3E" w14:textId="77777777" w:rsidR="000A5448" w:rsidRDefault="000A5448" w:rsidP="000A5448">
      <w:pPr>
        <w:pStyle w:val="Prrafodelista"/>
        <w:spacing w:line="276" w:lineRule="auto"/>
        <w:ind w:left="0"/>
        <w:jc w:val="both"/>
        <w:rPr>
          <w:rFonts w:ascii="Arial" w:eastAsia="Calibri" w:hAnsi="Arial" w:cs="Arial"/>
          <w:color w:val="000000" w:themeColor="text1"/>
          <w:sz w:val="20"/>
          <w:szCs w:val="20"/>
        </w:rPr>
      </w:pPr>
    </w:p>
    <w:p w14:paraId="6A574D79" w14:textId="77777777" w:rsidR="000A5448" w:rsidRDefault="000A5448" w:rsidP="000A5448">
      <w:pPr>
        <w:spacing w:after="12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Ahora, el Decreto 103 de 2015 señala que los documentos que deberán publicar las entidades estatales, entre estas las empresas sociales del Estado, son: i) las autorizaciones, requerimientos, aprobaciones o informes del supervisor o del interventor, que prueben la ejecución del contrato, ii) en relación con los procedimientos, lineamientos y políticas en materia de adquisición se deberán publicar los documentos previstos en el manual de contratación de la entidad y, finalmente, iii) el plan anual de adquisiciones. </w:t>
      </w:r>
    </w:p>
    <w:p w14:paraId="324409B4" w14:textId="77777777" w:rsidR="000A5448" w:rsidRDefault="000A5448" w:rsidP="000A5448">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Frente al segundo grupo de documentos, debido a que estas entidades están sometidas al derecho privado, y por lo tanto no celebran sus procesos de contratación con las modalidades de contratación previstas en la Ley 80 de 1993; cada una definirá en su manual de contratación el procedimiento para la contratación de sus bienes y servicios.</w:t>
      </w:r>
    </w:p>
    <w:p w14:paraId="773503B2" w14:textId="77777777" w:rsidR="000A5448" w:rsidRDefault="000A5448" w:rsidP="000A5448">
      <w:pPr>
        <w:jc w:val="both"/>
        <w:rPr>
          <w:rFonts w:ascii="Arial" w:eastAsia="Calibri" w:hAnsi="Arial" w:cs="Arial"/>
          <w:color w:val="000000" w:themeColor="text1"/>
          <w:sz w:val="20"/>
          <w:szCs w:val="20"/>
        </w:rPr>
      </w:pPr>
    </w:p>
    <w:p w14:paraId="47DBC48A" w14:textId="77777777" w:rsidR="000A5448" w:rsidRDefault="000A5448" w:rsidP="000A5448">
      <w:pPr>
        <w:pStyle w:val="Prrafodelista"/>
        <w:spacing w:line="276" w:lineRule="auto"/>
        <w:ind w:left="0"/>
        <w:jc w:val="both"/>
        <w:rPr>
          <w:rFonts w:ascii="Arial" w:eastAsia="Calibri" w:hAnsi="Arial" w:cs="Arial"/>
          <w:b/>
          <w:color w:val="000000" w:themeColor="text1"/>
          <w:sz w:val="22"/>
          <w:szCs w:val="20"/>
        </w:rPr>
      </w:pPr>
      <w:r>
        <w:rPr>
          <w:rFonts w:ascii="Arial" w:eastAsia="Calibri" w:hAnsi="Arial" w:cs="Arial"/>
          <w:b/>
          <w:color w:val="000000" w:themeColor="text1"/>
          <w:sz w:val="22"/>
          <w:szCs w:val="20"/>
        </w:rPr>
        <w:t xml:space="preserve">SECOP – Publicidad </w:t>
      </w:r>
      <w:r>
        <w:rPr>
          <w:rFonts w:ascii="Arial" w:eastAsia="Calibri" w:hAnsi="Arial" w:cs="Arial"/>
          <w:b/>
          <w:color w:val="000000" w:themeColor="text1"/>
          <w:sz w:val="22"/>
          <w:szCs w:val="20"/>
        </w:rPr>
        <w:softHyphen/>
        <w:t xml:space="preserve">– Término </w:t>
      </w:r>
    </w:p>
    <w:p w14:paraId="550FCC28" w14:textId="77777777" w:rsidR="000A5448" w:rsidRDefault="000A5448" w:rsidP="000A5448">
      <w:pPr>
        <w:jc w:val="both"/>
        <w:rPr>
          <w:rFonts w:ascii="Arial" w:eastAsia="Calibri" w:hAnsi="Arial" w:cs="Arial"/>
          <w:b/>
          <w:color w:val="000000" w:themeColor="text1"/>
          <w:sz w:val="20"/>
          <w:szCs w:val="20"/>
        </w:rPr>
      </w:pPr>
    </w:p>
    <w:p w14:paraId="5A17F531" w14:textId="77777777" w:rsidR="000A5448" w:rsidRDefault="000A5448" w:rsidP="000A5448">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A pesar de que el Decreto 1082 de 2015 no aplica a las Empresas sociales del Estado, porque su régimen de contratación es el derecho privado, será posible aplicarle esta norma en virtud de la analogía, y teniendo en cuenta que no es posible que las entidades definan el momento en el cual publicarán sus documentos contractuales en su manual de contratación, porque este es un asunto que debe definir el legislador o el gobierno por medio de un Decreto reglamentario. Conforme a lo anterior, las entidades de régimen especial deben publicar sus documentos del proceso de contratación dentro de los tres (3) días siguientes a su expedición.</w:t>
      </w:r>
    </w:p>
    <w:p w14:paraId="642650C2" w14:textId="77777777" w:rsidR="000A5448" w:rsidRPr="00B63656" w:rsidRDefault="000A5448" w:rsidP="000A5448">
      <w:pPr>
        <w:jc w:val="both"/>
        <w:rPr>
          <w:rFonts w:ascii="Arial" w:eastAsia="Calibri" w:hAnsi="Arial" w:cs="Arial"/>
          <w:b/>
          <w:bCs/>
          <w:sz w:val="20"/>
          <w:szCs w:val="20"/>
        </w:rPr>
      </w:pPr>
    </w:p>
    <w:p w14:paraId="2CF51B43" w14:textId="77777777" w:rsidR="000A5448" w:rsidRPr="00B63656" w:rsidRDefault="000A5448" w:rsidP="000A5448">
      <w:pPr>
        <w:jc w:val="both"/>
        <w:rPr>
          <w:rFonts w:ascii="Arial" w:eastAsia="Calibri" w:hAnsi="Arial" w:cs="Arial"/>
          <w:b/>
          <w:bCs/>
          <w:sz w:val="20"/>
          <w:szCs w:val="20"/>
        </w:rPr>
      </w:pPr>
    </w:p>
    <w:p w14:paraId="3FCFEC34" w14:textId="13261CB9" w:rsidR="001465F1" w:rsidRPr="001465F1" w:rsidRDefault="00CE7C9B" w:rsidP="001465F1">
      <w:pPr>
        <w:rPr>
          <w:rFonts w:ascii="Arial" w:hAnsi="Arial" w:cs="Arial"/>
          <w:b/>
          <w:bCs/>
          <w:sz w:val="22"/>
        </w:rPr>
      </w:pPr>
      <w:r w:rsidRPr="001465F1">
        <w:rPr>
          <w:rFonts w:ascii="Arial" w:hAnsi="Arial" w:cs="Arial"/>
          <w:sz w:val="22"/>
        </w:rPr>
        <w:t xml:space="preserve">Bogotá D.C., </w:t>
      </w:r>
      <w:r w:rsidRPr="001465F1">
        <w:rPr>
          <w:rFonts w:ascii="Arial" w:hAnsi="Arial" w:cs="Arial"/>
          <w:b/>
          <w:bCs/>
          <w:sz w:val="22"/>
        </w:rPr>
        <w:t xml:space="preserve">24/07/2020 Hora 23:6:42s </w:t>
      </w:r>
    </w:p>
    <w:p w14:paraId="3D7E4A51" w14:textId="28257395" w:rsidR="000A5448" w:rsidRDefault="000A5448" w:rsidP="00CE7C9B">
      <w:pPr>
        <w:jc w:val="right"/>
        <w:rPr>
          <w:rFonts w:ascii="Arial" w:hAnsi="Arial" w:cs="Arial"/>
          <w:b/>
          <w:sz w:val="22"/>
          <w:szCs w:val="24"/>
        </w:rPr>
      </w:pPr>
      <w:r>
        <w:rPr>
          <w:rFonts w:ascii="Arial" w:hAnsi="Arial" w:cs="Arial"/>
          <w:b/>
          <w:sz w:val="22"/>
          <w:szCs w:val="24"/>
        </w:rPr>
        <w:t xml:space="preserve">N° Radicado: </w:t>
      </w:r>
      <w:r w:rsidR="00947808" w:rsidRPr="00947808">
        <w:rPr>
          <w:rFonts w:ascii="Arial" w:hAnsi="Arial" w:cs="Arial"/>
          <w:b/>
          <w:sz w:val="22"/>
          <w:szCs w:val="24"/>
        </w:rPr>
        <w:t>2202013000006625</w:t>
      </w:r>
    </w:p>
    <w:p w14:paraId="61F65738" w14:textId="77777777" w:rsidR="000A5448" w:rsidRDefault="000A5448" w:rsidP="000A5448">
      <w:pPr>
        <w:rPr>
          <w:rFonts w:ascii="Arial" w:eastAsia="Calibri" w:hAnsi="Arial" w:cs="Arial"/>
          <w:sz w:val="22"/>
        </w:rPr>
      </w:pPr>
    </w:p>
    <w:p w14:paraId="427CF85A" w14:textId="77777777" w:rsidR="000A5448" w:rsidRDefault="000A5448" w:rsidP="000A5448">
      <w:pPr>
        <w:rPr>
          <w:rFonts w:ascii="Arial" w:eastAsia="Calibri" w:hAnsi="Arial" w:cs="Arial"/>
          <w:sz w:val="22"/>
        </w:rPr>
      </w:pPr>
      <w:r>
        <w:rPr>
          <w:rFonts w:ascii="Arial" w:eastAsia="Calibri" w:hAnsi="Arial" w:cs="Arial"/>
          <w:sz w:val="22"/>
        </w:rPr>
        <w:t>Señora</w:t>
      </w:r>
    </w:p>
    <w:p w14:paraId="4F507BF2" w14:textId="77777777" w:rsidR="000A5448" w:rsidRDefault="000A5448" w:rsidP="000A5448">
      <w:pPr>
        <w:rPr>
          <w:rFonts w:ascii="Arial" w:eastAsia="Calibri" w:hAnsi="Arial" w:cs="Arial"/>
          <w:b/>
          <w:sz w:val="22"/>
        </w:rPr>
      </w:pPr>
      <w:r>
        <w:rPr>
          <w:rFonts w:ascii="Arial" w:eastAsia="Calibri" w:hAnsi="Arial" w:cs="Arial"/>
          <w:b/>
          <w:sz w:val="22"/>
        </w:rPr>
        <w:t>Sugey Hernández Cortés</w:t>
      </w:r>
    </w:p>
    <w:p w14:paraId="5DAFD84A" w14:textId="77777777" w:rsidR="000A5448" w:rsidRDefault="000A5448" w:rsidP="000A5448">
      <w:pPr>
        <w:rPr>
          <w:rFonts w:ascii="Arial" w:eastAsia="Calibri" w:hAnsi="Arial" w:cs="Arial"/>
          <w:sz w:val="22"/>
        </w:rPr>
      </w:pPr>
      <w:r>
        <w:rPr>
          <w:rFonts w:ascii="Arial" w:eastAsia="Calibri" w:hAnsi="Arial" w:cs="Arial"/>
          <w:sz w:val="22"/>
        </w:rPr>
        <w:t>Florencia, Caquetá</w:t>
      </w:r>
    </w:p>
    <w:p w14:paraId="3E0985DF" w14:textId="77777777" w:rsidR="000A5448" w:rsidRDefault="000A5448" w:rsidP="000A5448">
      <w:pPr>
        <w:rPr>
          <w:rFonts w:ascii="Arial" w:eastAsia="Calibri" w:hAnsi="Arial" w:cs="Arial"/>
          <w:b/>
          <w:bCs/>
          <w:sz w:val="22"/>
        </w:rPr>
      </w:pPr>
    </w:p>
    <w:p w14:paraId="0E618093" w14:textId="77777777" w:rsidR="000A5448" w:rsidRDefault="000A5448" w:rsidP="000A5448">
      <w:pPr>
        <w:rPr>
          <w:rFonts w:ascii="Arial" w:eastAsia="Calibri" w:hAnsi="Arial" w:cs="Arial"/>
          <w:b/>
          <w:bCs/>
          <w:sz w:val="22"/>
        </w:rPr>
      </w:pPr>
    </w:p>
    <w:p w14:paraId="4D8E4298" w14:textId="25036C42" w:rsidR="000A5448" w:rsidRDefault="000A5448" w:rsidP="000A5448">
      <w:pPr>
        <w:rPr>
          <w:rFonts w:ascii="Arial" w:eastAsia="Calibri" w:hAnsi="Arial" w:cs="Arial"/>
          <w:b/>
          <w:bCs/>
          <w:sz w:val="22"/>
        </w:rPr>
      </w:pPr>
      <w:r>
        <w:rPr>
          <w:rFonts w:ascii="Arial" w:eastAsia="Calibri" w:hAnsi="Arial" w:cs="Arial"/>
          <w:b/>
          <w:bCs/>
          <w:sz w:val="22"/>
        </w:rPr>
        <w:t xml:space="preserve">                                            Concepto C</w:t>
      </w:r>
      <w:r w:rsidR="00B03933">
        <w:rPr>
          <w:rFonts w:ascii="Arial" w:eastAsia="Calibri" w:hAnsi="Arial" w:cs="Arial"/>
          <w:b/>
          <w:bCs/>
          <w:sz w:val="22"/>
        </w:rPr>
        <w:t xml:space="preserve"> </w:t>
      </w:r>
      <w:r>
        <w:rPr>
          <w:rFonts w:ascii="Arial" w:eastAsia="Calibri" w:hAnsi="Arial" w:cs="Arial"/>
          <w:b/>
          <w:bCs/>
          <w:sz w:val="22"/>
        </w:rPr>
        <w:t>‒ 468 de 2020</w:t>
      </w:r>
    </w:p>
    <w:p w14:paraId="659DAE16" w14:textId="77777777" w:rsidR="000A5448" w:rsidRDefault="000A5448" w:rsidP="000A5448">
      <w:pPr>
        <w:jc w:val="center"/>
        <w:rPr>
          <w:rFonts w:ascii="Arial" w:eastAsia="Calibri" w:hAnsi="Arial" w:cs="Arial"/>
          <w:b/>
          <w:bCs/>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A5448" w14:paraId="645B7E8A" w14:textId="77777777" w:rsidTr="000A5448">
        <w:tc>
          <w:tcPr>
            <w:tcW w:w="2689" w:type="dxa"/>
          </w:tcPr>
          <w:p w14:paraId="6D2C7F45" w14:textId="77777777" w:rsidR="000A5448" w:rsidRDefault="000A5448">
            <w:pPr>
              <w:rPr>
                <w:rFonts w:ascii="Arial" w:eastAsia="Calibri" w:hAnsi="Arial" w:cs="Arial"/>
                <w:b/>
                <w:sz w:val="22"/>
              </w:rPr>
            </w:pPr>
          </w:p>
          <w:p w14:paraId="5F1B6EE1" w14:textId="77777777" w:rsidR="000A5448" w:rsidRDefault="000A5448">
            <w:pPr>
              <w:rPr>
                <w:rFonts w:ascii="Arial" w:eastAsia="Calibri" w:hAnsi="Arial" w:cs="Arial"/>
                <w:sz w:val="22"/>
              </w:rPr>
            </w:pPr>
            <w:r>
              <w:rPr>
                <w:rFonts w:ascii="Arial" w:eastAsia="Calibri" w:hAnsi="Arial" w:cs="Arial"/>
                <w:b/>
                <w:sz w:val="22"/>
              </w:rPr>
              <w:t>Temas:</w:t>
            </w:r>
            <w:r>
              <w:rPr>
                <w:rFonts w:ascii="Arial" w:eastAsia="Calibri" w:hAnsi="Arial" w:cs="Arial"/>
                <w:sz w:val="22"/>
              </w:rPr>
              <w:t xml:space="preserve">                                      </w:t>
            </w:r>
          </w:p>
        </w:tc>
        <w:tc>
          <w:tcPr>
            <w:tcW w:w="6237" w:type="dxa"/>
            <w:hideMark/>
          </w:tcPr>
          <w:p w14:paraId="3A798E79" w14:textId="77777777" w:rsidR="000A5448" w:rsidRDefault="000A5448" w:rsidP="00B03933">
            <w:pPr>
              <w:jc w:val="both"/>
              <w:rPr>
                <w:rFonts w:ascii="Arial" w:eastAsia="Calibri" w:hAnsi="Arial" w:cs="Arial"/>
                <w:sz w:val="22"/>
                <w:highlight w:val="yellow"/>
              </w:rPr>
            </w:pPr>
            <w:r>
              <w:rPr>
                <w:rFonts w:ascii="Arial" w:eastAsia="Calibri" w:hAnsi="Arial" w:cs="Arial"/>
                <w:sz w:val="22"/>
              </w:rPr>
              <w:t>SECOP – Publicidad – Entidades de régimen especial / SECOP – Publicidad – Documentos / SECOP – Publicidad – Término</w:t>
            </w:r>
          </w:p>
        </w:tc>
      </w:tr>
      <w:tr w:rsidR="000A5448" w14:paraId="4165F079" w14:textId="77777777" w:rsidTr="000A5448">
        <w:tc>
          <w:tcPr>
            <w:tcW w:w="2689" w:type="dxa"/>
            <w:hideMark/>
          </w:tcPr>
          <w:p w14:paraId="25125205" w14:textId="77777777" w:rsidR="000A5448" w:rsidRDefault="000A5448">
            <w:pPr>
              <w:rPr>
                <w:rFonts w:ascii="Arial" w:eastAsia="Calibri" w:hAnsi="Arial" w:cs="Arial"/>
                <w:b/>
                <w:sz w:val="22"/>
              </w:rPr>
            </w:pPr>
            <w:r>
              <w:rPr>
                <w:rFonts w:ascii="Arial" w:eastAsia="Calibri" w:hAnsi="Arial" w:cs="Arial"/>
                <w:b/>
                <w:sz w:val="22"/>
              </w:rPr>
              <w:t>Radicación:</w:t>
            </w:r>
            <w:r>
              <w:rPr>
                <w:rFonts w:ascii="Arial" w:eastAsia="Calibri" w:hAnsi="Arial" w:cs="Arial"/>
                <w:sz w:val="22"/>
              </w:rPr>
              <w:t xml:space="preserve">                              </w:t>
            </w:r>
          </w:p>
        </w:tc>
        <w:tc>
          <w:tcPr>
            <w:tcW w:w="6237" w:type="dxa"/>
            <w:hideMark/>
          </w:tcPr>
          <w:p w14:paraId="4AE15425" w14:textId="77777777" w:rsidR="000A5448" w:rsidRDefault="000A5448">
            <w:pPr>
              <w:jc w:val="both"/>
              <w:rPr>
                <w:rFonts w:ascii="Arial" w:eastAsia="Calibri" w:hAnsi="Arial" w:cs="Arial"/>
                <w:sz w:val="22"/>
              </w:rPr>
            </w:pPr>
            <w:r>
              <w:rPr>
                <w:rFonts w:ascii="Arial" w:eastAsia="Calibri" w:hAnsi="Arial" w:cs="Arial"/>
                <w:sz w:val="22"/>
              </w:rPr>
              <w:t>Respuesta consulta # 4202012000005580</w:t>
            </w:r>
          </w:p>
        </w:tc>
      </w:tr>
    </w:tbl>
    <w:p w14:paraId="1E611D8D" w14:textId="77777777" w:rsidR="000A5448" w:rsidRDefault="000A5448" w:rsidP="000A5448">
      <w:pPr>
        <w:spacing w:line="276" w:lineRule="auto"/>
        <w:jc w:val="both"/>
        <w:rPr>
          <w:rFonts w:ascii="Arial" w:eastAsia="Calibri" w:hAnsi="Arial" w:cs="Arial"/>
          <w:sz w:val="22"/>
        </w:rPr>
      </w:pPr>
      <w:r>
        <w:rPr>
          <w:rFonts w:ascii="Arial" w:eastAsia="Calibri" w:hAnsi="Arial" w:cs="Arial"/>
          <w:sz w:val="22"/>
        </w:rPr>
        <w:lastRenderedPageBreak/>
        <w:t>Estimada señora Hernández:</w:t>
      </w:r>
    </w:p>
    <w:p w14:paraId="0EB75DC7" w14:textId="77777777" w:rsidR="000A5448" w:rsidRDefault="000A5448" w:rsidP="000A5448">
      <w:pPr>
        <w:spacing w:line="276" w:lineRule="auto"/>
        <w:jc w:val="both"/>
        <w:rPr>
          <w:rFonts w:ascii="Arial" w:eastAsia="Calibri" w:hAnsi="Arial" w:cs="Arial"/>
          <w:sz w:val="22"/>
        </w:rPr>
      </w:pPr>
    </w:p>
    <w:p w14:paraId="2B954D92" w14:textId="77777777" w:rsidR="000A5448" w:rsidRDefault="000A5448" w:rsidP="000A5448">
      <w:pPr>
        <w:spacing w:line="276" w:lineRule="auto"/>
        <w:jc w:val="both"/>
        <w:rPr>
          <w:rFonts w:ascii="Arial" w:eastAsia="Calibri" w:hAnsi="Arial" w:cs="Arial"/>
          <w:sz w:val="22"/>
        </w:rPr>
      </w:pPr>
      <w:r>
        <w:rPr>
          <w:rFonts w:ascii="Arial" w:eastAsia="Calibri"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presentada el 3 de julio del 2020. </w:t>
      </w:r>
    </w:p>
    <w:p w14:paraId="19CDAF4F" w14:textId="77777777" w:rsidR="000A5448" w:rsidRDefault="000A5448" w:rsidP="000A5448">
      <w:pPr>
        <w:spacing w:line="276" w:lineRule="auto"/>
        <w:jc w:val="both"/>
        <w:rPr>
          <w:rFonts w:ascii="Arial" w:eastAsia="Calibri" w:hAnsi="Arial" w:cs="Arial"/>
          <w:b/>
          <w:sz w:val="22"/>
        </w:rPr>
      </w:pPr>
    </w:p>
    <w:p w14:paraId="02CB384E" w14:textId="77777777" w:rsidR="000A5448" w:rsidRDefault="000A5448" w:rsidP="000A5448">
      <w:pPr>
        <w:pStyle w:val="Prrafodelista"/>
        <w:tabs>
          <w:tab w:val="left" w:pos="0"/>
          <w:tab w:val="left" w:pos="142"/>
          <w:tab w:val="left" w:pos="284"/>
        </w:tabs>
        <w:spacing w:line="276" w:lineRule="auto"/>
        <w:ind w:left="0"/>
        <w:jc w:val="both"/>
        <w:rPr>
          <w:rFonts w:ascii="Arial" w:eastAsia="Calibri" w:hAnsi="Arial" w:cs="Arial"/>
          <w:b/>
          <w:sz w:val="22"/>
        </w:rPr>
      </w:pPr>
      <w:r>
        <w:rPr>
          <w:rFonts w:ascii="Arial" w:eastAsia="Calibri" w:hAnsi="Arial" w:cs="Arial"/>
          <w:b/>
          <w:sz w:val="22"/>
        </w:rPr>
        <w:t>1. Problemas planteados</w:t>
      </w:r>
    </w:p>
    <w:p w14:paraId="493BAA34" w14:textId="77777777" w:rsidR="000A5448" w:rsidRDefault="000A5448" w:rsidP="000A5448">
      <w:pPr>
        <w:tabs>
          <w:tab w:val="left" w:pos="426"/>
        </w:tabs>
        <w:spacing w:line="276" w:lineRule="auto"/>
        <w:jc w:val="both"/>
        <w:rPr>
          <w:rFonts w:ascii="Arial" w:eastAsia="Calibri" w:hAnsi="Arial" w:cs="Arial"/>
          <w:b/>
          <w:sz w:val="22"/>
        </w:rPr>
      </w:pPr>
    </w:p>
    <w:p w14:paraId="10FD6AA2" w14:textId="77777777" w:rsidR="000A5448" w:rsidRDefault="000A5448" w:rsidP="000A5448">
      <w:pPr>
        <w:tabs>
          <w:tab w:val="left" w:pos="426"/>
        </w:tabs>
        <w:spacing w:line="276" w:lineRule="auto"/>
        <w:jc w:val="both"/>
        <w:rPr>
          <w:rFonts w:ascii="Arial" w:eastAsia="Calibri" w:hAnsi="Arial" w:cs="Arial"/>
          <w:sz w:val="22"/>
        </w:rPr>
      </w:pPr>
      <w:bookmarkStart w:id="4" w:name="_Hlk45491920"/>
      <w:r>
        <w:rPr>
          <w:rFonts w:ascii="Arial" w:eastAsia="Calibri" w:hAnsi="Arial" w:cs="Arial"/>
          <w:sz w:val="22"/>
        </w:rPr>
        <w:t>Usted formuló las siguientes preguntas: i) «</w:t>
      </w:r>
      <w:r>
        <w:rPr>
          <w:rFonts w:ascii="Arial" w:hAnsi="Arial" w:cs="Arial"/>
          <w:sz w:val="22"/>
        </w:rPr>
        <w:t xml:space="preserve">[…] </w:t>
      </w:r>
      <w:r>
        <w:rPr>
          <w:rFonts w:ascii="Arial" w:eastAsia="Calibri" w:hAnsi="Arial" w:cs="Arial"/>
          <w:sz w:val="22"/>
        </w:rPr>
        <w:t xml:space="preserve">¿Qué tan viable es que la Empresa Social del Estado se tome 15 días siguientes a la suscripción de la orden o Contrato para hacer la publicación? incumpliendo lo dispuesto en el artículo 2.2.1.1.1.7.1 del Decreto No 1082 del 26 de mayo de 2015 </w:t>
      </w:r>
      <w:r>
        <w:rPr>
          <w:rFonts w:ascii="Arial" w:hAnsi="Arial" w:cs="Arial"/>
          <w:sz w:val="22"/>
        </w:rPr>
        <w:t xml:space="preserve">[…]» y ii) </w:t>
      </w:r>
      <w:r>
        <w:rPr>
          <w:rFonts w:ascii="Arial" w:eastAsia="Calibri" w:hAnsi="Arial" w:cs="Arial"/>
          <w:sz w:val="22"/>
        </w:rPr>
        <w:t>«¿Qué tipo de documentos las Empresas Sociales del Estado deben publicar en el SECOP?»</w:t>
      </w:r>
      <w:bookmarkEnd w:id="4"/>
      <w:r>
        <w:rPr>
          <w:rFonts w:ascii="Arial" w:eastAsia="Calibri" w:hAnsi="Arial" w:cs="Arial"/>
          <w:sz w:val="22"/>
        </w:rPr>
        <w:t>.</w:t>
      </w:r>
    </w:p>
    <w:p w14:paraId="64F075E2" w14:textId="77777777" w:rsidR="000A5448" w:rsidRDefault="000A5448" w:rsidP="000A5448">
      <w:pPr>
        <w:tabs>
          <w:tab w:val="left" w:pos="426"/>
        </w:tabs>
        <w:jc w:val="both"/>
        <w:rPr>
          <w:rFonts w:ascii="Arial" w:eastAsia="Calibri" w:hAnsi="Arial" w:cs="Arial"/>
          <w:sz w:val="22"/>
        </w:rPr>
      </w:pPr>
    </w:p>
    <w:p w14:paraId="77E73F4E" w14:textId="77777777" w:rsidR="000A5448" w:rsidRDefault="000A5448" w:rsidP="000A5448">
      <w:pPr>
        <w:pStyle w:val="Prrafodelista"/>
        <w:tabs>
          <w:tab w:val="left" w:pos="0"/>
          <w:tab w:val="left" w:pos="284"/>
        </w:tabs>
        <w:ind w:left="0"/>
        <w:jc w:val="both"/>
        <w:rPr>
          <w:rFonts w:ascii="Arial" w:eastAsia="Calibri" w:hAnsi="Arial" w:cs="Arial"/>
          <w:b/>
          <w:sz w:val="22"/>
        </w:rPr>
      </w:pPr>
      <w:r>
        <w:rPr>
          <w:rFonts w:ascii="Arial" w:eastAsia="Calibri" w:hAnsi="Arial" w:cs="Arial"/>
          <w:b/>
          <w:sz w:val="22"/>
        </w:rPr>
        <w:t>2. Consideraciones</w:t>
      </w:r>
    </w:p>
    <w:p w14:paraId="7D749C3A" w14:textId="77777777" w:rsidR="000A5448" w:rsidRDefault="000A5448" w:rsidP="000A5448">
      <w:pPr>
        <w:pStyle w:val="Prrafodelista"/>
        <w:tabs>
          <w:tab w:val="left" w:pos="0"/>
          <w:tab w:val="left" w:pos="284"/>
        </w:tabs>
        <w:ind w:left="0"/>
        <w:jc w:val="both"/>
        <w:rPr>
          <w:rFonts w:ascii="Arial" w:eastAsia="Calibri" w:hAnsi="Arial" w:cs="Arial"/>
          <w:b/>
          <w:sz w:val="22"/>
        </w:rPr>
      </w:pPr>
    </w:p>
    <w:p w14:paraId="7D9A57E0" w14:textId="77777777" w:rsidR="000A5448" w:rsidRDefault="000A5448" w:rsidP="000A5448">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Para desarrollar los problemas planteados se explicará, en primer lugar, cómo el SECOP es la plataforma que las entidades deben utilizar para publicar la actividad contractual, para luego determinar los documentos contractuales que deben publicar las Empresas Sociales del Estado en el SECOP, y por último, indicar el momento de su publicación. Todo lo anterior se hará en el marco de la competencia de esta Agencia, por lo cual no se analizará el caso particular expuesto.</w:t>
      </w:r>
    </w:p>
    <w:p w14:paraId="252A217D" w14:textId="6A1E2F4A" w:rsidR="000A5448" w:rsidRDefault="000A5448" w:rsidP="000A5448">
      <w:pPr>
        <w:spacing w:line="276" w:lineRule="auto"/>
        <w:ind w:firstLine="708"/>
        <w:jc w:val="both"/>
        <w:rPr>
          <w:rFonts w:ascii="Arial" w:eastAsia="Calibri" w:hAnsi="Arial" w:cs="Arial"/>
          <w:color w:val="000000" w:themeColor="text1"/>
          <w:sz w:val="22"/>
        </w:rPr>
      </w:pPr>
      <w:r>
        <w:rPr>
          <w:rFonts w:ascii="Arial" w:eastAsia="Calibri" w:hAnsi="Arial" w:cs="Arial"/>
          <w:bCs/>
          <w:color w:val="000000" w:themeColor="text1"/>
          <w:sz w:val="22"/>
        </w:rPr>
        <w:t>La Agencia Nacional de Contratación Pública estudió por este tema en la consulta No. 4201913000005397 del 9 de agosto de 2019 y reiteró la posición en l</w:t>
      </w:r>
      <w:r w:rsidR="00D22EAD">
        <w:rPr>
          <w:rFonts w:ascii="Arial" w:eastAsia="Calibri" w:hAnsi="Arial" w:cs="Arial"/>
          <w:bCs/>
          <w:color w:val="000000" w:themeColor="text1"/>
          <w:sz w:val="22"/>
        </w:rPr>
        <w:t>o</w:t>
      </w:r>
      <w:r>
        <w:rPr>
          <w:rFonts w:ascii="Arial" w:eastAsia="Calibri" w:hAnsi="Arial" w:cs="Arial"/>
          <w:bCs/>
          <w:color w:val="000000" w:themeColor="text1"/>
          <w:sz w:val="22"/>
        </w:rPr>
        <w:t xml:space="preserve">s siguientes conceptos: 4201912000006611 del 25 de septiembre de 2019, </w:t>
      </w:r>
      <w:r>
        <w:rPr>
          <w:rFonts w:ascii="Arial" w:hAnsi="Arial" w:cs="Arial"/>
          <w:color w:val="000000" w:themeColor="text1"/>
          <w:sz w:val="22"/>
        </w:rPr>
        <w:t xml:space="preserve">4201913000006847 del 4 de octubre de 2019, </w:t>
      </w:r>
      <w:r>
        <w:rPr>
          <w:rFonts w:ascii="Arial" w:eastAsia="Calibri" w:hAnsi="Arial" w:cs="Arial"/>
          <w:bCs/>
          <w:color w:val="000000" w:themeColor="text1"/>
          <w:sz w:val="22"/>
        </w:rPr>
        <w:t>4201912000007762 del 18 de noviembre de 2019, 4201912000007828 del 13 de noviembre de 2019 y CU-003 del 15 de enero de 2020</w:t>
      </w:r>
      <w:r>
        <w:rPr>
          <w:rFonts w:ascii="Arial" w:hAnsi="Arial" w:cs="Arial"/>
          <w:color w:val="000000" w:themeColor="text1"/>
          <w:sz w:val="22"/>
        </w:rPr>
        <w:t xml:space="preserve">. </w:t>
      </w:r>
      <w:r>
        <w:rPr>
          <w:rFonts w:ascii="Arial" w:eastAsia="Calibri" w:hAnsi="Arial" w:cs="Arial"/>
          <w:color w:val="000000" w:themeColor="text1"/>
          <w:sz w:val="22"/>
        </w:rPr>
        <w:t>En todas sostuvo la idea que se reitera a continuación:</w:t>
      </w:r>
      <w:r>
        <w:rPr>
          <w:rFonts w:ascii="Arial" w:hAnsi="Arial" w:cs="Arial"/>
          <w:color w:val="000000" w:themeColor="text1"/>
          <w:sz w:val="22"/>
        </w:rPr>
        <w:t xml:space="preserve"> </w:t>
      </w:r>
    </w:p>
    <w:p w14:paraId="5C538EA7" w14:textId="77777777" w:rsidR="000A5448" w:rsidRDefault="000A5448" w:rsidP="000A5448">
      <w:pPr>
        <w:spacing w:line="276" w:lineRule="auto"/>
        <w:jc w:val="both"/>
        <w:rPr>
          <w:rFonts w:ascii="Arial" w:eastAsia="Calibri" w:hAnsi="Arial" w:cs="Arial"/>
          <w:color w:val="000000" w:themeColor="text1"/>
          <w:sz w:val="22"/>
        </w:rPr>
      </w:pPr>
    </w:p>
    <w:p w14:paraId="0C947922" w14:textId="77777777" w:rsidR="000A5448" w:rsidRDefault="000A5448" w:rsidP="000A5448">
      <w:pPr>
        <w:tabs>
          <w:tab w:val="left" w:pos="426"/>
        </w:tabs>
        <w:spacing w:line="276" w:lineRule="auto"/>
        <w:jc w:val="both"/>
        <w:rPr>
          <w:rFonts w:ascii="Arial" w:eastAsia="Calibri" w:hAnsi="Arial" w:cs="Arial"/>
          <w:b/>
          <w:color w:val="000000" w:themeColor="text1"/>
          <w:sz w:val="22"/>
        </w:rPr>
      </w:pPr>
      <w:r>
        <w:rPr>
          <w:rFonts w:ascii="Arial" w:eastAsia="Calibri" w:hAnsi="Arial" w:cs="Arial"/>
          <w:b/>
          <w:color w:val="000000" w:themeColor="text1"/>
          <w:sz w:val="22"/>
        </w:rPr>
        <w:t>2.1 Publicidad de los contratos en el Sistema Electrónico de Contratación Pública –SECOP–</w:t>
      </w:r>
    </w:p>
    <w:p w14:paraId="36F7C65F" w14:textId="77777777" w:rsidR="000A5448" w:rsidRDefault="000A5448" w:rsidP="000A5448">
      <w:pPr>
        <w:pStyle w:val="Prrafodelista"/>
        <w:spacing w:line="276" w:lineRule="auto"/>
        <w:ind w:left="0" w:firstLine="709"/>
        <w:jc w:val="both"/>
        <w:rPr>
          <w:rFonts w:ascii="Arial" w:eastAsia="Calibri" w:hAnsi="Arial" w:cs="Arial"/>
          <w:b/>
          <w:color w:val="000000" w:themeColor="text1"/>
          <w:sz w:val="22"/>
        </w:rPr>
      </w:pPr>
    </w:p>
    <w:p w14:paraId="5A820D1E" w14:textId="77777777" w:rsidR="000A5448" w:rsidRDefault="000A5448" w:rsidP="000A5448">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Para la Corte Constitucional, el principio de publicidad es la garantía que tienen las personas de conocer las actuaciones judiciales y administrativas y con base en ese conocimiento tener la posibilidad de exigir que se surtan conforme a la ley: </w:t>
      </w:r>
    </w:p>
    <w:p w14:paraId="4A3E133C" w14:textId="77777777" w:rsidR="000A5448" w:rsidRDefault="000A5448" w:rsidP="000A5448">
      <w:pPr>
        <w:ind w:firstLine="709"/>
        <w:jc w:val="both"/>
        <w:rPr>
          <w:rFonts w:ascii="Arial" w:eastAsia="Calibri" w:hAnsi="Arial" w:cs="Arial"/>
          <w:color w:val="000000" w:themeColor="text1"/>
          <w:sz w:val="22"/>
        </w:rPr>
      </w:pPr>
    </w:p>
    <w:p w14:paraId="4A74CEBF" w14:textId="77777777" w:rsidR="000A5448" w:rsidRDefault="000A5448" w:rsidP="000A5448">
      <w:pPr>
        <w:tabs>
          <w:tab w:val="left" w:pos="3885"/>
        </w:tabs>
        <w:ind w:left="709" w:right="709"/>
        <w:jc w:val="both"/>
        <w:rPr>
          <w:rFonts w:ascii="Arial" w:hAnsi="Arial" w:cs="Arial"/>
          <w:color w:val="000000" w:themeColor="text1"/>
          <w:sz w:val="21"/>
          <w:szCs w:val="21"/>
          <w:lang w:val="es-ES"/>
        </w:rPr>
      </w:pPr>
      <w:r>
        <w:rPr>
          <w:rFonts w:ascii="Arial" w:hAnsi="Arial" w:cs="Arial"/>
          <w:color w:val="000000" w:themeColor="text1"/>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7E2C4914" w14:textId="77777777" w:rsidR="000A5448" w:rsidRDefault="000A5448" w:rsidP="000A5448">
      <w:pPr>
        <w:tabs>
          <w:tab w:val="left" w:pos="3885"/>
        </w:tabs>
        <w:ind w:left="709" w:right="709"/>
        <w:jc w:val="both"/>
        <w:rPr>
          <w:rFonts w:ascii="Arial" w:hAnsi="Arial" w:cs="Arial"/>
          <w:color w:val="000000" w:themeColor="text1"/>
          <w:sz w:val="21"/>
          <w:szCs w:val="21"/>
          <w:lang w:val="es-ES"/>
        </w:rPr>
      </w:pPr>
    </w:p>
    <w:p w14:paraId="03FC805A" w14:textId="77777777" w:rsidR="000A5448" w:rsidRDefault="000A5448" w:rsidP="000A5448">
      <w:pPr>
        <w:tabs>
          <w:tab w:val="left" w:pos="3885"/>
          <w:tab w:val="left" w:pos="8222"/>
        </w:tabs>
        <w:ind w:left="709" w:right="709"/>
        <w:jc w:val="both"/>
        <w:rPr>
          <w:rFonts w:ascii="Arial" w:hAnsi="Arial" w:cs="Arial"/>
          <w:color w:val="000000" w:themeColor="text1"/>
          <w:sz w:val="22"/>
          <w:lang w:val="es-ES"/>
        </w:rPr>
      </w:pPr>
      <w:r>
        <w:rPr>
          <w:rFonts w:ascii="Arial" w:hAnsi="Arial" w:cs="Arial"/>
          <w:color w:val="000000" w:themeColor="text1"/>
          <w:sz w:val="21"/>
          <w:szCs w:val="21"/>
          <w:lang w:val="es-ES"/>
        </w:rPr>
        <w:lastRenderedPageBreak/>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Pr>
          <w:rStyle w:val="Refdenotaalpie"/>
          <w:rFonts w:ascii="Arial" w:eastAsia="Calibri" w:hAnsi="Arial" w:cs="Arial"/>
          <w:color w:val="000000" w:themeColor="text1"/>
          <w:sz w:val="21"/>
          <w:szCs w:val="21"/>
        </w:rPr>
        <w:footnoteReference w:id="1"/>
      </w:r>
      <w:r>
        <w:rPr>
          <w:rFonts w:ascii="Arial" w:eastAsia="Calibri" w:hAnsi="Arial" w:cs="Arial"/>
          <w:color w:val="000000" w:themeColor="text1"/>
          <w:sz w:val="21"/>
          <w:szCs w:val="21"/>
        </w:rPr>
        <w:t>.</w:t>
      </w:r>
    </w:p>
    <w:p w14:paraId="08D4A862" w14:textId="77777777" w:rsidR="000A5448" w:rsidRDefault="000A5448" w:rsidP="000A5448">
      <w:pPr>
        <w:spacing w:line="276" w:lineRule="auto"/>
        <w:ind w:right="709"/>
        <w:jc w:val="both"/>
        <w:rPr>
          <w:rFonts w:ascii="Arial" w:eastAsia="Calibri" w:hAnsi="Arial" w:cs="Arial"/>
          <w:color w:val="000000" w:themeColor="text1"/>
          <w:sz w:val="22"/>
        </w:rPr>
      </w:pPr>
    </w:p>
    <w:p w14:paraId="614C671B" w14:textId="77777777" w:rsidR="000A5448" w:rsidRDefault="000A5448" w:rsidP="000A5448">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«contará con la información oficial de la contratación realizada con dineros públicos, para lo cual establecerá los patrones a que haya lugar y se encargará de su difusión a través de canales electrónicos»</w:t>
      </w:r>
      <w:r>
        <w:rPr>
          <w:rStyle w:val="Refdenotaalpie"/>
          <w:rFonts w:ascii="Arial" w:eastAsia="Calibri" w:hAnsi="Arial" w:cs="Arial"/>
          <w:color w:val="000000" w:themeColor="text1"/>
          <w:sz w:val="22"/>
        </w:rPr>
        <w:footnoteReference w:id="2"/>
      </w:r>
      <w:r>
        <w:rPr>
          <w:rFonts w:ascii="Arial" w:eastAsia="Calibri" w:hAnsi="Arial" w:cs="Arial"/>
          <w:color w:val="000000" w:themeColor="text1"/>
          <w:sz w:val="22"/>
        </w:rPr>
        <w:t xml:space="preserve">. </w:t>
      </w:r>
    </w:p>
    <w:p w14:paraId="4B1C56CB" w14:textId="77777777" w:rsidR="000A5448" w:rsidRDefault="000A5448" w:rsidP="000A5448">
      <w:pPr>
        <w:spacing w:after="120" w:line="276" w:lineRule="auto"/>
        <w:ind w:firstLine="709"/>
        <w:jc w:val="both"/>
        <w:rPr>
          <w:rFonts w:ascii="Arial" w:eastAsia="Calibri" w:hAnsi="Arial" w:cs="Arial"/>
          <w:color w:val="000000" w:themeColor="text1"/>
          <w:sz w:val="22"/>
        </w:rPr>
      </w:pPr>
      <w:r>
        <w:rPr>
          <w:rFonts w:ascii="Arial" w:hAnsi="Arial" w:cs="Arial"/>
          <w:color w:val="000000" w:themeColor="text1"/>
          <w:sz w:val="22"/>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Pr>
          <w:rStyle w:val="Refdenotaalpie"/>
          <w:rFonts w:ascii="Arial" w:hAnsi="Arial" w:cs="Arial"/>
          <w:color w:val="000000" w:themeColor="text1"/>
          <w:sz w:val="22"/>
        </w:rPr>
        <w:footnoteReference w:id="3"/>
      </w:r>
      <w:r>
        <w:rPr>
          <w:rFonts w:ascii="Arial" w:hAnsi="Arial" w:cs="Arial"/>
          <w:color w:val="000000" w:themeColor="text1"/>
          <w:sz w:val="22"/>
        </w:rPr>
        <w:t xml:space="preserve">. El principio de transparencia en la </w:t>
      </w:r>
      <w:r>
        <w:rPr>
          <w:rFonts w:ascii="Arial" w:hAnsi="Arial" w:cs="Arial"/>
          <w:color w:val="000000" w:themeColor="text1"/>
          <w:sz w:val="22"/>
        </w:rPr>
        <w:lastRenderedPageBreak/>
        <w:t xml:space="preserve">información alude al deber de los sujetos de proporcionar y facilitar el acceso a la misma en los términos más amplios posibles, y a través de los medios y procedimientos que establezca la ley. </w:t>
      </w:r>
    </w:p>
    <w:p w14:paraId="193A7760" w14:textId="77777777" w:rsidR="000A5448" w:rsidRDefault="000A5448" w:rsidP="000A5448">
      <w:pPr>
        <w:pStyle w:val="NormalWeb"/>
        <w:spacing w:before="0" w:beforeAutospacing="0" w:after="120" w:afterAutospacing="0" w:line="276" w:lineRule="auto"/>
        <w:ind w:firstLine="709"/>
        <w:jc w:val="both"/>
        <w:rPr>
          <w:rFonts w:ascii="Arial" w:eastAsiaTheme="minorHAnsi" w:hAnsi="Arial" w:cs="Arial"/>
          <w:color w:val="000000" w:themeColor="text1"/>
          <w:sz w:val="22"/>
          <w:szCs w:val="22"/>
          <w:lang w:val="es-MX" w:eastAsia="en-US"/>
        </w:rPr>
      </w:pPr>
      <w:r>
        <w:rPr>
          <w:rFonts w:ascii="Arial" w:eastAsiaTheme="minorHAnsi" w:hAnsi="Arial" w:cs="Arial"/>
          <w:color w:val="000000" w:themeColor="text1"/>
          <w:sz w:val="22"/>
          <w:szCs w:val="22"/>
          <w:lang w:val="es-MX" w:eastAsia="en-US"/>
        </w:rPr>
        <w:t>La ley citada establece, en el literal e) del artículo 9, que los sujetos obligados, que son todas las entidades públicas</w:t>
      </w:r>
      <w:r>
        <w:rPr>
          <w:rStyle w:val="Refdenotaalpie"/>
          <w:rFonts w:ascii="Arial" w:eastAsiaTheme="minorHAnsi" w:hAnsi="Arial" w:cs="Arial"/>
          <w:color w:val="000000" w:themeColor="text1"/>
          <w:sz w:val="22"/>
          <w:szCs w:val="22"/>
          <w:lang w:val="es-MX" w:eastAsia="en-US"/>
        </w:rPr>
        <w:footnoteReference w:id="4"/>
      </w:r>
      <w:r>
        <w:rPr>
          <w:rFonts w:ascii="Arial" w:eastAsiaTheme="minorHAnsi" w:hAnsi="Arial" w:cs="Arial"/>
          <w:color w:val="000000" w:themeColor="text1"/>
          <w:sz w:val="22"/>
          <w:szCs w:val="22"/>
          <w:lang w:val="es-MX" w:eastAsia="en-US"/>
        </w:rPr>
        <w:t>, deben publicar la información relativa a su contratación. Esta obligación fue desarrollada por el Decreto Único Reglamentario 1081 de 2015</w:t>
      </w:r>
      <w:r>
        <w:rPr>
          <w:rStyle w:val="Refdenotaalpie"/>
          <w:rFonts w:ascii="Arial" w:eastAsiaTheme="minorHAnsi" w:hAnsi="Arial" w:cs="Arial"/>
          <w:color w:val="000000" w:themeColor="text1"/>
          <w:sz w:val="22"/>
          <w:szCs w:val="22"/>
          <w:lang w:val="es-MX" w:eastAsia="en-US"/>
        </w:rPr>
        <w:footnoteReference w:id="5"/>
      </w:r>
      <w:r>
        <w:rPr>
          <w:rFonts w:ascii="Arial" w:eastAsiaTheme="minorHAnsi" w:hAnsi="Arial" w:cs="Arial"/>
          <w:color w:val="000000" w:themeColor="text1"/>
          <w:sz w:val="22"/>
          <w:szCs w:val="22"/>
          <w:lang w:val="es-MX" w:eastAsia="en-US"/>
        </w:rPr>
        <w:t>, el cual dispuso que la publicación de la información contractual de los sujetos obligados, que contratan con cargo a recursos públicos, debe hacerse en el Sistema Electrónico de Contratación Pública ─</w:t>
      </w:r>
      <w:r>
        <w:rPr>
          <w:rFonts w:ascii="Arial" w:eastAsiaTheme="minorHAnsi" w:hAnsi="Arial" w:cs="Arial"/>
          <w:color w:val="000000" w:themeColor="text1"/>
          <w:sz w:val="22"/>
          <w:szCs w:val="22"/>
          <w:lang w:val="es-MX" w:eastAsia="en-US"/>
        </w:rPr>
        <w:softHyphen/>
        <w:t xml:space="preserve"> </w:t>
      </w:r>
      <w:r>
        <w:rPr>
          <w:rFonts w:ascii="Arial" w:eastAsiaTheme="minorHAnsi" w:hAnsi="Arial" w:cs="Arial"/>
          <w:color w:val="000000" w:themeColor="text1"/>
          <w:sz w:val="22"/>
          <w:szCs w:val="22"/>
          <w:lang w:val="es-MX" w:eastAsia="en-US"/>
        </w:rPr>
        <w:softHyphen/>
        <w:t>SECOP.</w:t>
      </w:r>
    </w:p>
    <w:p w14:paraId="7302583E" w14:textId="77777777" w:rsidR="000A5448" w:rsidRDefault="000A5448" w:rsidP="000A5448">
      <w:pPr>
        <w:spacing w:after="120" w:line="276" w:lineRule="auto"/>
        <w:ind w:firstLine="709"/>
        <w:jc w:val="both"/>
        <w:rPr>
          <w:rFonts w:ascii="Arial" w:hAnsi="Arial" w:cs="Arial"/>
          <w:color w:val="000000" w:themeColor="text1"/>
          <w:sz w:val="22"/>
          <w:lang w:val="es-ES"/>
        </w:rPr>
      </w:pPr>
      <w:r>
        <w:rPr>
          <w:rFonts w:ascii="Arial" w:hAnsi="Arial" w:cs="Arial"/>
          <w:color w:val="000000" w:themeColor="text1"/>
          <w:sz w:val="22"/>
        </w:rPr>
        <w:t xml:space="preserve">Asimismo, de </w:t>
      </w:r>
      <w:r>
        <w:rPr>
          <w:rFonts w:ascii="Arial" w:hAnsi="Arial" w:cs="Arial"/>
          <w:color w:val="000000" w:themeColor="text1"/>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3C002F78" w14:textId="77777777" w:rsidR="000A5448" w:rsidRDefault="000A5448" w:rsidP="000A5448">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Pr>
          <w:rStyle w:val="Refdenotaalpie"/>
          <w:rFonts w:ascii="Arial" w:eastAsia="Calibri" w:hAnsi="Arial" w:cs="Arial"/>
          <w:color w:val="000000" w:themeColor="text1"/>
          <w:sz w:val="22"/>
        </w:rPr>
        <w:footnoteReference w:id="6"/>
      </w:r>
      <w:r>
        <w:rPr>
          <w:rFonts w:ascii="Arial" w:eastAsia="Calibri" w:hAnsi="Arial" w:cs="Arial"/>
          <w:color w:val="000000" w:themeColor="text1"/>
          <w:sz w:val="22"/>
        </w:rPr>
        <w:t>.</w:t>
      </w:r>
    </w:p>
    <w:p w14:paraId="6E29ECA0" w14:textId="77777777" w:rsidR="000A5448" w:rsidRDefault="000A5448" w:rsidP="000A5448">
      <w:pPr>
        <w:spacing w:after="120"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Para el año 2013, la Agencia Nacional de Contratación Pública ─ Colombia Compra Eficiente, mediante la mediante la Circular Externa No 1 del</w:t>
      </w:r>
      <w:r>
        <w:rPr>
          <w:color w:val="000000" w:themeColor="text1"/>
          <w:sz w:val="22"/>
        </w:rPr>
        <w:t xml:space="preserve"> </w:t>
      </w:r>
      <w:r>
        <w:rPr>
          <w:rFonts w:ascii="Arial" w:hAnsi="Arial" w:cs="Arial"/>
          <w:color w:val="000000" w:themeColor="text1"/>
          <w:sz w:val="22"/>
          <w:lang w:val="es-ES"/>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Pr>
          <w:rStyle w:val="Refdenotaalpie"/>
          <w:rFonts w:ascii="Arial" w:hAnsi="Arial" w:cs="Arial"/>
          <w:color w:val="000000" w:themeColor="text1"/>
          <w:sz w:val="22"/>
          <w:lang w:val="es-ES"/>
        </w:rPr>
        <w:footnoteReference w:id="7"/>
      </w:r>
      <w:r>
        <w:rPr>
          <w:rFonts w:ascii="Arial" w:hAnsi="Arial" w:cs="Arial"/>
          <w:color w:val="000000" w:themeColor="text1"/>
          <w:sz w:val="22"/>
          <w:lang w:val="es-ES"/>
        </w:rPr>
        <w:t xml:space="preserve">. </w:t>
      </w:r>
      <w:r>
        <w:rPr>
          <w:rFonts w:ascii="Arial" w:hAnsi="Arial" w:cs="Arial"/>
          <w:color w:val="000000" w:themeColor="text1"/>
          <w:sz w:val="22"/>
          <w:lang w:val="es-ES"/>
        </w:rPr>
        <w:lastRenderedPageBreak/>
        <w:t>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5967B4C1" w14:textId="77777777" w:rsidR="000A5448" w:rsidRDefault="000A5448" w:rsidP="000A5448">
      <w:pPr>
        <w:spacing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El debate sobre la obligatoriedad o no de publicar en el SECOP, para las entidades con régimen especial de contratación, ya fue definido, al menos de manera preliminar, por el Consejo de Estado que expresó que la obligación prevista en la Circular Externa No. 1 se ajusta a la normativa superior:</w:t>
      </w:r>
    </w:p>
    <w:p w14:paraId="7A8E290D" w14:textId="77777777" w:rsidR="000A5448" w:rsidRDefault="000A5448" w:rsidP="000A5448">
      <w:pPr>
        <w:spacing w:line="276" w:lineRule="auto"/>
        <w:jc w:val="both"/>
        <w:rPr>
          <w:rFonts w:ascii="Arial" w:hAnsi="Arial" w:cs="Arial"/>
          <w:color w:val="000000" w:themeColor="text1"/>
          <w:sz w:val="22"/>
          <w:lang w:val="es-ES"/>
        </w:rPr>
      </w:pPr>
    </w:p>
    <w:p w14:paraId="3AC9C8DD" w14:textId="77777777" w:rsidR="000A5448" w:rsidRDefault="000A5448" w:rsidP="000A5448">
      <w:pPr>
        <w:tabs>
          <w:tab w:val="left" w:pos="3885"/>
        </w:tabs>
        <w:ind w:left="709" w:right="709"/>
        <w:jc w:val="both"/>
        <w:rPr>
          <w:rFonts w:ascii="Arial" w:hAnsi="Arial" w:cs="Arial"/>
          <w:color w:val="000000" w:themeColor="text1"/>
          <w:sz w:val="21"/>
          <w:szCs w:val="21"/>
          <w:lang w:val="es-ES"/>
        </w:rPr>
      </w:pPr>
      <w:r>
        <w:rPr>
          <w:rFonts w:ascii="Arial" w:hAnsi="Arial" w:cs="Arial"/>
          <w:color w:val="000000" w:themeColor="text1"/>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6A2BAAE9" w14:textId="77777777" w:rsidR="000A5448" w:rsidRDefault="000A5448" w:rsidP="000A5448">
      <w:pPr>
        <w:tabs>
          <w:tab w:val="left" w:pos="3885"/>
        </w:tabs>
        <w:ind w:left="709" w:right="709"/>
        <w:jc w:val="both"/>
        <w:rPr>
          <w:rFonts w:ascii="Arial" w:hAnsi="Arial" w:cs="Arial"/>
          <w:color w:val="000000" w:themeColor="text1"/>
          <w:sz w:val="21"/>
          <w:szCs w:val="21"/>
          <w:lang w:val="es-ES"/>
        </w:rPr>
      </w:pPr>
    </w:p>
    <w:p w14:paraId="2848AAAD" w14:textId="77777777" w:rsidR="000A5448" w:rsidRDefault="000A5448" w:rsidP="000A5448">
      <w:pPr>
        <w:tabs>
          <w:tab w:val="left" w:pos="3885"/>
        </w:tabs>
        <w:ind w:left="709" w:right="709"/>
        <w:jc w:val="both"/>
        <w:rPr>
          <w:rFonts w:ascii="Arial" w:hAnsi="Arial" w:cs="Arial"/>
          <w:color w:val="000000" w:themeColor="text1"/>
          <w:sz w:val="21"/>
          <w:szCs w:val="21"/>
          <w:lang w:val="es-ES"/>
        </w:rPr>
      </w:pPr>
      <w:r>
        <w:rPr>
          <w:rFonts w:ascii="Arial" w:hAnsi="Arial" w:cs="Arial"/>
          <w:color w:val="000000" w:themeColor="text1"/>
          <w:sz w:val="21"/>
          <w:szCs w:val="21"/>
          <w:lang w:val="es-ES"/>
        </w:rPr>
        <w:t>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06C87642" w14:textId="77777777" w:rsidR="000A5448" w:rsidRDefault="000A5448" w:rsidP="000A5448">
      <w:pPr>
        <w:tabs>
          <w:tab w:val="left" w:pos="3885"/>
        </w:tabs>
        <w:ind w:left="709" w:right="709"/>
        <w:jc w:val="both"/>
        <w:rPr>
          <w:rFonts w:ascii="Arial" w:hAnsi="Arial" w:cs="Arial"/>
          <w:color w:val="000000" w:themeColor="text1"/>
          <w:sz w:val="21"/>
          <w:szCs w:val="21"/>
          <w:lang w:val="es-ES"/>
        </w:rPr>
      </w:pPr>
      <w:r>
        <w:rPr>
          <w:rFonts w:ascii="Arial" w:hAnsi="Arial" w:cs="Arial"/>
          <w:color w:val="000000" w:themeColor="text1"/>
          <w:sz w:val="21"/>
          <w:szCs w:val="21"/>
          <w:lang w:val="es-ES"/>
        </w:rPr>
        <w:t>[…]</w:t>
      </w:r>
    </w:p>
    <w:p w14:paraId="536D796C" w14:textId="77777777" w:rsidR="000A5448" w:rsidRDefault="000A5448" w:rsidP="000A5448">
      <w:pPr>
        <w:tabs>
          <w:tab w:val="left" w:pos="3885"/>
        </w:tabs>
        <w:ind w:left="709" w:right="709"/>
        <w:jc w:val="both"/>
        <w:rPr>
          <w:rFonts w:ascii="Arial" w:hAnsi="Arial" w:cs="Arial"/>
          <w:color w:val="000000" w:themeColor="text1"/>
          <w:sz w:val="21"/>
          <w:szCs w:val="21"/>
          <w:lang w:val="es-ES"/>
        </w:rPr>
      </w:pPr>
    </w:p>
    <w:p w14:paraId="29D80DF6" w14:textId="77777777" w:rsidR="000A5448" w:rsidRDefault="000A5448" w:rsidP="000A5448">
      <w:pPr>
        <w:tabs>
          <w:tab w:val="left" w:pos="3885"/>
        </w:tabs>
        <w:ind w:left="709" w:right="709"/>
        <w:jc w:val="both"/>
        <w:rPr>
          <w:rFonts w:ascii="Arial" w:hAnsi="Arial" w:cs="Arial"/>
          <w:color w:val="000000" w:themeColor="text1"/>
          <w:sz w:val="21"/>
          <w:szCs w:val="21"/>
          <w:lang w:val="es-ES"/>
        </w:rPr>
      </w:pPr>
      <w:r>
        <w:rPr>
          <w:rFonts w:ascii="Arial" w:hAnsi="Arial" w:cs="Arial"/>
          <w:color w:val="000000" w:themeColor="text1"/>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Pr>
          <w:rStyle w:val="Refdenotaalpie"/>
          <w:rFonts w:ascii="Arial" w:hAnsi="Arial" w:cs="Arial"/>
          <w:color w:val="000000" w:themeColor="text1"/>
          <w:sz w:val="21"/>
          <w:szCs w:val="21"/>
        </w:rPr>
        <w:footnoteReference w:id="8"/>
      </w:r>
      <w:r>
        <w:rPr>
          <w:rStyle w:val="Refdenotaalpie"/>
          <w:rFonts w:ascii="Arial" w:hAnsi="Arial" w:cs="Arial"/>
          <w:color w:val="000000" w:themeColor="text1"/>
          <w:sz w:val="21"/>
          <w:szCs w:val="21"/>
        </w:rPr>
        <w:t>.</w:t>
      </w:r>
    </w:p>
    <w:p w14:paraId="609C5528" w14:textId="77777777" w:rsidR="000A5448" w:rsidRDefault="000A5448" w:rsidP="000A5448">
      <w:pPr>
        <w:tabs>
          <w:tab w:val="left" w:pos="3885"/>
        </w:tabs>
        <w:spacing w:line="276" w:lineRule="auto"/>
        <w:ind w:left="709" w:right="709"/>
        <w:jc w:val="both"/>
        <w:rPr>
          <w:rFonts w:ascii="Arial" w:eastAsia="Calibri" w:hAnsi="Arial" w:cs="Arial"/>
          <w:color w:val="000000" w:themeColor="text1"/>
          <w:sz w:val="22"/>
        </w:rPr>
      </w:pPr>
    </w:p>
    <w:p w14:paraId="687BC19C" w14:textId="77777777" w:rsidR="000A5448" w:rsidRDefault="000A5448" w:rsidP="000A5448">
      <w:pPr>
        <w:spacing w:line="276" w:lineRule="auto"/>
        <w:ind w:firstLine="708"/>
        <w:jc w:val="both"/>
        <w:rPr>
          <w:rFonts w:ascii="Arial" w:hAnsi="Arial" w:cs="Arial"/>
          <w:color w:val="000000" w:themeColor="text1"/>
          <w:sz w:val="22"/>
          <w:lang w:val="es-ES"/>
        </w:rPr>
      </w:pPr>
      <w:r>
        <w:rPr>
          <w:rFonts w:ascii="Arial" w:hAnsi="Arial" w:cs="Arial"/>
          <w:color w:val="000000" w:themeColor="text1"/>
          <w:sz w:val="22"/>
          <w:lang w:val="es-ES"/>
        </w:rPr>
        <w:t xml:space="preserve">Adicionalmente, el deber de hacer pública la información contractual oficial no se determina por la naturaleza de la entidad ejecutora ─pública o privada─, ni del régimen </w:t>
      </w:r>
      <w:r>
        <w:rPr>
          <w:rFonts w:ascii="Arial" w:hAnsi="Arial" w:cs="Arial"/>
          <w:color w:val="000000" w:themeColor="text1"/>
          <w:sz w:val="22"/>
          <w:lang w:val="es-ES"/>
        </w:rPr>
        <w:lastRenderedPageBreak/>
        <w:t xml:space="preserve">sustantivo contractual que aplique, sea de la Ley 80 de 1993 o de los regímenes exceptuados. En particular, sobre el deber de publicidad de estos, el Consejo de Estado sostuvo: </w:t>
      </w:r>
    </w:p>
    <w:p w14:paraId="6EBF74F5" w14:textId="77777777" w:rsidR="000A5448" w:rsidRDefault="000A5448" w:rsidP="000A5448">
      <w:pPr>
        <w:ind w:leftChars="709" w:left="1702" w:right="709" w:firstLine="2"/>
        <w:jc w:val="both"/>
        <w:rPr>
          <w:rFonts w:ascii="Arial" w:hAnsi="Arial" w:cs="Arial"/>
          <w:color w:val="000000" w:themeColor="text1"/>
          <w:sz w:val="21"/>
          <w:szCs w:val="21"/>
          <w:lang w:val="es-ES"/>
        </w:rPr>
      </w:pPr>
    </w:p>
    <w:p w14:paraId="41F6BB70" w14:textId="77777777" w:rsidR="000A5448" w:rsidRDefault="000A5448" w:rsidP="000A5448">
      <w:pPr>
        <w:ind w:leftChars="295" w:left="708" w:right="709"/>
        <w:jc w:val="both"/>
        <w:rPr>
          <w:rFonts w:ascii="Arial" w:hAnsi="Arial" w:cs="Arial"/>
          <w:color w:val="000000" w:themeColor="text1"/>
          <w:sz w:val="21"/>
          <w:szCs w:val="21"/>
          <w:lang w:val="es-ES"/>
        </w:rPr>
      </w:pPr>
      <w:r>
        <w:rPr>
          <w:rFonts w:ascii="Arial" w:hAnsi="Arial" w:cs="Arial"/>
          <w:color w:val="000000" w:themeColor="text1"/>
          <w:sz w:val="21"/>
          <w:szCs w:val="21"/>
          <w:lang w:val="es-E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r>
        <w:rPr>
          <w:rStyle w:val="Refdenotaalpie"/>
          <w:rFonts w:ascii="Arial" w:hAnsi="Arial" w:cs="Arial"/>
          <w:color w:val="000000" w:themeColor="text1"/>
          <w:sz w:val="21"/>
          <w:szCs w:val="21"/>
          <w:lang w:val="es-ES"/>
        </w:rPr>
        <w:footnoteReference w:id="9"/>
      </w:r>
      <w:r>
        <w:rPr>
          <w:rFonts w:ascii="Arial" w:hAnsi="Arial" w:cs="Arial"/>
          <w:color w:val="000000" w:themeColor="text1"/>
          <w:sz w:val="21"/>
          <w:szCs w:val="21"/>
          <w:lang w:val="es-ES"/>
        </w:rPr>
        <w:t>.</w:t>
      </w:r>
    </w:p>
    <w:p w14:paraId="318188D6" w14:textId="77777777" w:rsidR="000A5448" w:rsidRDefault="000A5448" w:rsidP="000A5448">
      <w:pPr>
        <w:spacing w:line="276" w:lineRule="auto"/>
        <w:ind w:leftChars="709" w:left="1702" w:right="709"/>
        <w:jc w:val="both"/>
        <w:rPr>
          <w:rFonts w:ascii="Arial" w:hAnsi="Arial" w:cs="Arial"/>
          <w:color w:val="000000" w:themeColor="text1"/>
          <w:sz w:val="21"/>
          <w:szCs w:val="21"/>
          <w:lang w:val="es-ES"/>
        </w:rPr>
      </w:pPr>
    </w:p>
    <w:p w14:paraId="516B48B7" w14:textId="77777777" w:rsidR="000A5448" w:rsidRDefault="000A5448" w:rsidP="000A5448">
      <w:pPr>
        <w:spacing w:after="120" w:line="276" w:lineRule="auto"/>
        <w:ind w:firstLine="708"/>
        <w:jc w:val="both"/>
        <w:rPr>
          <w:rFonts w:ascii="Arial" w:hAnsi="Arial" w:cs="Arial"/>
          <w:color w:val="000000" w:themeColor="text1"/>
          <w:sz w:val="22"/>
          <w:lang w:val="es-ES"/>
        </w:rPr>
      </w:pPr>
      <w:r>
        <w:rPr>
          <w:rFonts w:ascii="Arial" w:hAnsi="Arial" w:cs="Arial"/>
          <w:color w:val="000000" w:themeColor="text1"/>
          <w:sz w:val="22"/>
          <w:lang w:val="es-ES"/>
        </w:rPr>
        <w:t xml:space="preserve">Nótese, entonces, que el Consejo de Estado asumió como criterio para determinar la obligatoriedad de publicar en el SECOP que la contratación se haga con recursos públicos, conclusión que la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un pronunciamiento del Consejo de Estado. </w:t>
      </w:r>
    </w:p>
    <w:p w14:paraId="1BD17F8E" w14:textId="77777777" w:rsidR="000A5448" w:rsidRDefault="000A5448" w:rsidP="000A5448">
      <w:pPr>
        <w:spacing w:after="120" w:line="276" w:lineRule="auto"/>
        <w:ind w:firstLine="708"/>
        <w:jc w:val="both"/>
        <w:rPr>
          <w:rFonts w:ascii="Arial" w:hAnsi="Arial" w:cs="Arial"/>
          <w:color w:val="000000" w:themeColor="text1"/>
          <w:sz w:val="22"/>
          <w:lang w:val="es-ES"/>
        </w:rPr>
      </w:pPr>
      <w:r>
        <w:rPr>
          <w:rFonts w:ascii="Arial" w:hAnsi="Arial" w:cs="Arial"/>
          <w:color w:val="000000" w:themeColor="text1"/>
          <w:sz w:val="22"/>
          <w:lang w:val="es-ES"/>
        </w:rPr>
        <w:t xml:space="preserve">Dentro de las razones que consideró el máximo tribunal de lo contencioso administrativo no tuvo en cuenta razones de orden fáctico como las planteadas en la solicitud, relativas a las responsabilidades de las entidades o su posible afectación en la competitividad para aquellas que operan en diferentes mercados. La razón relevante es que si la entidad contrata con dineros públicos debe publicar su proceso de contratación en el SECOP. </w:t>
      </w:r>
    </w:p>
    <w:p w14:paraId="4F1733B7" w14:textId="77777777" w:rsidR="000A5448" w:rsidRDefault="000A5448" w:rsidP="000A5448">
      <w:pPr>
        <w:spacing w:line="276" w:lineRule="auto"/>
        <w:jc w:val="both"/>
        <w:rPr>
          <w:rFonts w:ascii="Arial" w:hAnsi="Arial" w:cs="Arial"/>
          <w:color w:val="000000" w:themeColor="text1"/>
          <w:sz w:val="22"/>
          <w:lang w:val="es-ES"/>
        </w:rPr>
      </w:pPr>
    </w:p>
    <w:p w14:paraId="4827D81C" w14:textId="77777777" w:rsidR="000A5448" w:rsidRDefault="000A5448" w:rsidP="000A5448">
      <w:pPr>
        <w:tabs>
          <w:tab w:val="left" w:pos="284"/>
          <w:tab w:val="left" w:pos="426"/>
        </w:tabs>
        <w:spacing w:line="276" w:lineRule="auto"/>
        <w:jc w:val="both"/>
        <w:rPr>
          <w:rFonts w:ascii="Arial" w:hAnsi="Arial" w:cs="Arial"/>
          <w:b/>
          <w:color w:val="000000" w:themeColor="text1"/>
          <w:sz w:val="22"/>
          <w:lang w:val="es-ES"/>
        </w:rPr>
      </w:pPr>
      <w:r>
        <w:rPr>
          <w:rFonts w:ascii="Arial" w:hAnsi="Arial" w:cs="Arial"/>
          <w:b/>
          <w:color w:val="000000" w:themeColor="text1"/>
          <w:sz w:val="22"/>
          <w:lang w:val="es-ES"/>
        </w:rPr>
        <w:t xml:space="preserve">2.2 Precedentes de Colombia Compra Eficiente sobre los documentos que publican en el SECOP las entidades de régimen especial </w:t>
      </w:r>
    </w:p>
    <w:p w14:paraId="3B9A81D7" w14:textId="77777777" w:rsidR="000A5448" w:rsidRDefault="000A5448" w:rsidP="000A5448">
      <w:pPr>
        <w:pStyle w:val="Prrafodelista"/>
        <w:spacing w:line="276" w:lineRule="auto"/>
        <w:ind w:left="0"/>
        <w:jc w:val="both"/>
        <w:rPr>
          <w:rFonts w:ascii="Arial" w:hAnsi="Arial" w:cs="Arial"/>
          <w:b/>
          <w:color w:val="000000" w:themeColor="text1"/>
          <w:sz w:val="22"/>
          <w:lang w:val="es-ES"/>
        </w:rPr>
      </w:pPr>
    </w:p>
    <w:p w14:paraId="3173DC83" w14:textId="77777777" w:rsidR="000A5448" w:rsidRDefault="000A5448" w:rsidP="000A5448">
      <w:pPr>
        <w:pStyle w:val="Prrafodelista"/>
        <w:spacing w:after="120" w:line="276" w:lineRule="auto"/>
        <w:ind w:left="0"/>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Determinada la obligación que tienen las entidades sujetas a un régimen especial de publicar su actividad contractual en el SECOP, a continuación se identificarán los documentos que deben publicar, n</w:t>
      </w:r>
      <w:r>
        <w:rPr>
          <w:rFonts w:ascii="Arial" w:hAnsi="Arial" w:cs="Arial"/>
          <w:bCs/>
          <w:color w:val="000000" w:themeColor="text1"/>
          <w:sz w:val="22"/>
          <w:lang w:val="es-ES"/>
        </w:rPr>
        <w:t>o sin antes explicar la posición que la Agencia Nacional de Contratación Pública ─ Colombia Compra Eficiente ha adoptado desde el 2016 hasta el 2019.</w:t>
      </w:r>
    </w:p>
    <w:p w14:paraId="44DF6B66" w14:textId="77777777" w:rsidR="000A5448" w:rsidRDefault="000A5448" w:rsidP="000A5448">
      <w:pPr>
        <w:spacing w:after="120" w:line="276" w:lineRule="auto"/>
        <w:ind w:firstLine="708"/>
        <w:jc w:val="both"/>
        <w:rPr>
          <w:rFonts w:ascii="Arial" w:hAnsi="Arial" w:cs="Arial"/>
          <w:color w:val="000000" w:themeColor="text1"/>
          <w:sz w:val="22"/>
          <w:lang w:val="es-ES"/>
        </w:rPr>
      </w:pPr>
      <w:r>
        <w:rPr>
          <w:rFonts w:ascii="Arial" w:hAnsi="Arial" w:cs="Arial"/>
          <w:bCs/>
          <w:color w:val="000000" w:themeColor="text1"/>
          <w:sz w:val="22"/>
          <w:lang w:val="es-ES"/>
        </w:rPr>
        <w:t xml:space="preserve">En la consulta identificada con el Radicado No. 41612000877 del 15 de febrero de 2016, señaló que las empresas industriales y comerciales del Estado, las empresas de </w:t>
      </w:r>
      <w:r>
        <w:rPr>
          <w:rFonts w:ascii="Arial" w:hAnsi="Arial" w:cs="Arial"/>
          <w:bCs/>
          <w:color w:val="000000" w:themeColor="text1"/>
          <w:sz w:val="22"/>
          <w:lang w:val="es-ES"/>
        </w:rPr>
        <w:lastRenderedPageBreak/>
        <w:t xml:space="preserve">servicios públicos domiciliarios y las sociedades de economía mixta, todas sometidas a un régimen especial de contratación, debían publicar en el SECOP todos los documentos del proceso que define el Decreto 1082 de 2015, así como lo relativo a la ejecución del contrato. Lo anterior </w:t>
      </w:r>
      <w:r>
        <w:rPr>
          <w:rFonts w:ascii="Arial" w:hAnsi="Arial" w:cs="Arial"/>
          <w:color w:val="000000" w:themeColor="text1"/>
          <w:sz w:val="22"/>
          <w:lang w:val="es-ES"/>
        </w:rPr>
        <w:t>se fundamentó en el literal c) del artículo 3 de la Ley 1150 de 2007</w:t>
      </w:r>
      <w:r>
        <w:rPr>
          <w:vertAlign w:val="superscript"/>
        </w:rPr>
        <w:footnoteReference w:id="10"/>
      </w:r>
      <w:r>
        <w:rPr>
          <w:rFonts w:ascii="Arial" w:hAnsi="Arial" w:cs="Arial"/>
          <w:color w:val="000000" w:themeColor="text1"/>
          <w:sz w:val="22"/>
          <w:lang w:val="es-ES"/>
        </w:rPr>
        <w:t>.</w:t>
      </w:r>
    </w:p>
    <w:p w14:paraId="4A2811C7" w14:textId="77777777" w:rsidR="000A5448" w:rsidRDefault="000A5448" w:rsidP="000A5448">
      <w:pPr>
        <w:spacing w:after="120" w:line="276" w:lineRule="auto"/>
        <w:ind w:firstLine="708"/>
        <w:jc w:val="both"/>
        <w:rPr>
          <w:rFonts w:ascii="Arial" w:eastAsia="Calibri" w:hAnsi="Arial" w:cs="Arial"/>
          <w:color w:val="000000" w:themeColor="text1"/>
          <w:sz w:val="22"/>
          <w:lang w:val="es-ES"/>
        </w:rPr>
      </w:pPr>
      <w:r>
        <w:rPr>
          <w:rFonts w:ascii="Arial" w:hAnsi="Arial" w:cs="Arial"/>
          <w:color w:val="000000" w:themeColor="text1"/>
          <w:sz w:val="22"/>
          <w:lang w:val="es-ES"/>
        </w:rPr>
        <w:t xml:space="preserve">En este sentido, la Agencia Nacional de Contratación Pública, en virtud del literal c) del artículo 3 de la Ley 1150 de 2007, reconoció la obligatoriedad, por parte de las entidades de régimen especial, de publicar su actividad contractual en el SECOP. Ahora, con fundamento en el artículo 2.2.1.1.1.3.1 del Decreto 1082 de 2015, normativa que aplica a las entidades que se rigen por la Ley 80 de 1993, se enunciaron los </w:t>
      </w:r>
      <w:r>
        <w:rPr>
          <w:rFonts w:ascii="Arial" w:eastAsia="Calibri" w:hAnsi="Arial" w:cs="Arial"/>
          <w:color w:val="000000" w:themeColor="text1"/>
          <w:sz w:val="22"/>
          <w:lang w:val="es-ES"/>
        </w:rPr>
        <w:t xml:space="preserve">documentos del proceso que se debían publicar. </w:t>
      </w:r>
    </w:p>
    <w:p w14:paraId="7E3EE471" w14:textId="77777777" w:rsidR="000A5448" w:rsidRDefault="000A5448" w:rsidP="000A5448">
      <w:pPr>
        <w:pStyle w:val="Prrafodelista"/>
        <w:spacing w:after="120" w:line="276" w:lineRule="auto"/>
        <w:ind w:left="0"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Posteriormente, en el año 2018, cambió el fundamento normativo que define los documentos que las entidades de régimen especial debían publicar en el SECOP. En el concepto con radicado No. 4201814000008329 del 8 de octubre de 2018 se explicó que en virtud del artículo 11 de la Ley 1712 de 2014, los destinatarios de las normas contenidas en la ley de transparencia deben publicar los procedimientos, lineamientos, políticas en materia de adquisiciones y compras, así como todos los datos de adjudicación y ejecución de contratos, incluidos concursos y licitaciones. Por lo tanto, los documentos que se deben publicar serán los previstos en el manual de contratación de cada entidad de régimen especial para la adquisición de un bien o servicio, y no los que define el artículo 2.2.1.1.1.3.1 del Decreto 1082 de 2015</w:t>
      </w:r>
      <w:r>
        <w:rPr>
          <w:rStyle w:val="Refdenotaalpie"/>
          <w:rFonts w:ascii="Arial" w:eastAsia="Calibri" w:hAnsi="Arial" w:cs="Arial"/>
          <w:color w:val="000000" w:themeColor="text1"/>
          <w:sz w:val="22"/>
          <w:lang w:val="es-ES"/>
        </w:rPr>
        <w:footnoteReference w:id="11"/>
      </w:r>
      <w:r>
        <w:rPr>
          <w:rFonts w:ascii="Arial" w:eastAsia="Calibri" w:hAnsi="Arial" w:cs="Arial"/>
          <w:color w:val="000000" w:themeColor="text1"/>
          <w:sz w:val="22"/>
          <w:lang w:val="es-ES"/>
        </w:rPr>
        <w:t xml:space="preserve">. </w:t>
      </w:r>
    </w:p>
    <w:p w14:paraId="4DCECB7F" w14:textId="77777777" w:rsidR="000A5448" w:rsidRDefault="000A5448" w:rsidP="000A5448">
      <w:pPr>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lastRenderedPageBreak/>
        <w:t xml:space="preserve">Conforme a lo anterior, en un primer momento la Agencia Nacional de Contratación Pública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103 de 2015. Esta posición es la que se acogerá y desarrollará en esta consulta. </w:t>
      </w:r>
    </w:p>
    <w:p w14:paraId="11619823" w14:textId="77777777" w:rsidR="000A5448" w:rsidRDefault="000A5448" w:rsidP="000A5448">
      <w:pPr>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efecto, la Ley 1712 de 2014, normativa que creó la Ley de Transparencia y del Derecho de Acceso a la Información Pública, señala en el literal g), artículo 11, que todo sujeto obligado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681637C0" w14:textId="77777777" w:rsidR="000A5448" w:rsidRDefault="000A5448" w:rsidP="000A5448">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lang w:val="es-ES"/>
        </w:rPr>
        <w:t>Luego, el</w:t>
      </w:r>
      <w:r>
        <w:rPr>
          <w:rFonts w:ascii="Arial" w:eastAsia="Calibri" w:hAnsi="Arial" w:cs="Arial"/>
          <w:color w:val="000000" w:themeColor="text1"/>
          <w:sz w:val="22"/>
        </w:rPr>
        <w:t xml:space="preserve"> artículo 8 del Decreto reglamentario 103 de 2015, «Por el cual se reglamenta parcialmente la Ley 1712 de 2014 y se dictan otras disposiciones», señala, de forma enunciativa, que se debe publicar la información relativa a la ejecución del contrato, como las aprobaciones, autorizaciones, requerimientos o informes del supervisor o interventor, que aprueben la ejecución del contrato</w:t>
      </w:r>
      <w:r>
        <w:rPr>
          <w:rStyle w:val="Refdenotaalpie"/>
          <w:rFonts w:ascii="Arial" w:eastAsia="Calibri" w:hAnsi="Arial" w:cs="Arial"/>
          <w:color w:val="000000" w:themeColor="text1"/>
          <w:sz w:val="22"/>
        </w:rPr>
        <w:footnoteReference w:id="12"/>
      </w:r>
      <w:r>
        <w:rPr>
          <w:rFonts w:ascii="Arial" w:eastAsia="Calibri" w:hAnsi="Arial" w:cs="Arial"/>
          <w:color w:val="000000" w:themeColor="text1"/>
          <w:sz w:val="22"/>
        </w:rPr>
        <w:t>. Por su parte, el artículo 9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w:t>
      </w:r>
      <w:r>
        <w:rPr>
          <w:rStyle w:val="Refdenotaalpie"/>
          <w:rFonts w:ascii="Arial" w:eastAsia="Calibri" w:hAnsi="Arial" w:cs="Arial"/>
          <w:color w:val="000000" w:themeColor="text1"/>
          <w:sz w:val="22"/>
        </w:rPr>
        <w:footnoteReference w:id="13"/>
      </w:r>
      <w:r>
        <w:rPr>
          <w:rFonts w:ascii="Arial" w:eastAsia="Calibri" w:hAnsi="Arial" w:cs="Arial"/>
          <w:color w:val="000000" w:themeColor="text1"/>
          <w:sz w:val="22"/>
        </w:rPr>
        <w:t xml:space="preserve">. Finalmente, el artículo 10 establece la obligación que tienen las entidades de publicar en el SECOP el Plan Anual de </w:t>
      </w:r>
      <w:r>
        <w:rPr>
          <w:rFonts w:ascii="Arial" w:eastAsia="Calibri" w:hAnsi="Arial" w:cs="Arial"/>
          <w:color w:val="000000" w:themeColor="text1"/>
          <w:sz w:val="22"/>
          <w:lang w:val="es-ES"/>
        </w:rPr>
        <w:t>Adquisiciones</w:t>
      </w:r>
      <w:r>
        <w:rPr>
          <w:rStyle w:val="Refdenotaalpie"/>
          <w:rFonts w:ascii="Arial" w:eastAsia="Calibri" w:hAnsi="Arial" w:cs="Arial"/>
          <w:color w:val="000000" w:themeColor="text1"/>
          <w:sz w:val="22"/>
        </w:rPr>
        <w:footnoteReference w:id="14"/>
      </w:r>
      <w:r>
        <w:rPr>
          <w:rFonts w:ascii="Arial" w:eastAsia="Calibri" w:hAnsi="Arial" w:cs="Arial"/>
          <w:color w:val="000000" w:themeColor="text1"/>
          <w:sz w:val="22"/>
        </w:rPr>
        <w:t xml:space="preserve">.  </w:t>
      </w:r>
    </w:p>
    <w:p w14:paraId="3765B411" w14:textId="77777777" w:rsidR="000A5448" w:rsidRDefault="000A5448" w:rsidP="000A5448">
      <w:pPr>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rPr>
        <w:t>De conformidad con lo anterior, el Decreto 103 de 2015 señala que los documentos que deben publicar las entidades estatales, entre estas las empresas sociales del Estado, son: i) las autorizaciones, requerimientos, aprobaciones o informes del supervisor o del interventor, que prueben la ejecución del contrato, ii) los procedimientos, lineamientos y políticas en materia de adquisición que corresponden a los  documentos que los conforman, previstos en el manual de contratación de la entidad, y finalmente, iii</w:t>
      </w:r>
      <w:r>
        <w:rPr>
          <w:rFonts w:ascii="Arial" w:eastAsia="Calibri" w:hAnsi="Arial" w:cs="Arial"/>
          <w:color w:val="000000" w:themeColor="text1"/>
          <w:sz w:val="22"/>
          <w:lang w:val="es-ES"/>
        </w:rPr>
        <w:t xml:space="preserve">) el plan anual de adquisiciones. </w:t>
      </w:r>
    </w:p>
    <w:p w14:paraId="53B9B88E" w14:textId="77777777" w:rsidR="000A5448" w:rsidRDefault="000A5448" w:rsidP="000A5448">
      <w:pPr>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 </w:t>
      </w:r>
    </w:p>
    <w:p w14:paraId="16EA0B43" w14:textId="77777777" w:rsidR="000A5448" w:rsidRDefault="000A5448" w:rsidP="000A5448">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lang w:val="es-ES"/>
        </w:rPr>
        <w:t>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se publicarán en la plataforma del SECOP para cada procedimiento de contratación que se adelante, incluido el acto de adjudicación, por expresa disposición</w:t>
      </w:r>
      <w:r>
        <w:rPr>
          <w:rFonts w:ascii="Arial" w:eastAsia="Calibri" w:hAnsi="Arial" w:cs="Arial"/>
          <w:color w:val="000000" w:themeColor="text1"/>
          <w:sz w:val="22"/>
        </w:rPr>
        <w:t xml:space="preserve"> del literal g) del artículo 11 de la Ley 1712 de 2014. </w:t>
      </w:r>
    </w:p>
    <w:p w14:paraId="2BBEBD7E" w14:textId="77777777" w:rsidR="000A5448" w:rsidRDefault="000A5448" w:rsidP="000A5448">
      <w:pPr>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rPr>
        <w:t>Por lo tanto, en estos casos aplica la Ley 1712 de 2014 y el Decreto 103 de 2015, no el Decreto 1082 de 2015, porque esta última norma rige a las entidades sometidas al Estatuto General de Contratación Pública, y por lo tanto no aplica a las empresas sociales del Estado que, por regla general, se rigen por el derecho privado. Por su parte, la Ley 1712 de 2014 y el Decreto reglamentario 103 de 2015 aplican a cualquier entidad pública, incluyendo</w:t>
      </w:r>
      <w:r>
        <w:rPr>
          <w:rFonts w:ascii="Arial" w:hAnsi="Arial" w:cs="Arial"/>
          <w:color w:val="000000" w:themeColor="text1"/>
          <w:sz w:val="22"/>
        </w:rPr>
        <w:t xml:space="preserve"> </w:t>
      </w:r>
      <w:r>
        <w:rPr>
          <w:rFonts w:ascii="Arial" w:eastAsia="Times New Roman" w:hAnsi="Arial" w:cs="Arial"/>
          <w:color w:val="000000" w:themeColor="text1"/>
          <w:sz w:val="22"/>
          <w:lang w:val="es-CO" w:eastAsia="es-CO"/>
        </w:rPr>
        <w:t xml:space="preserve">las pertenecientes a todas las ramas del poder público, en todos los niveles de la estructura estatal, central o descentralizada por servicios o </w:t>
      </w:r>
      <w:r>
        <w:rPr>
          <w:rFonts w:ascii="Arial" w:eastAsia="Calibri" w:hAnsi="Arial" w:cs="Arial"/>
          <w:color w:val="000000" w:themeColor="text1"/>
          <w:sz w:val="22"/>
          <w:lang w:val="es-ES"/>
        </w:rPr>
        <w:t>territorialmente, en los órdenes nacional, departamental, municipal y distrital.</w:t>
      </w:r>
    </w:p>
    <w:p w14:paraId="4F784E6F" w14:textId="77777777" w:rsidR="000A5448" w:rsidRDefault="000A5448" w:rsidP="000A5448">
      <w:pPr>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Identificados los documentos que deben publicar las entidades de régimen especial y su fundamento normativo, a continuación se explicará cuándo se deben publicar, no sin antes explicar la posición que Colombia Compra Eficiente ha tenido en relación con este asunto. </w:t>
      </w:r>
    </w:p>
    <w:p w14:paraId="5565D2FD" w14:textId="77777777" w:rsidR="000A5448" w:rsidRDefault="000A5448" w:rsidP="000A5448">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lang w:val="es-ES"/>
        </w:rPr>
        <w:t>En el año 2017, en la consulta con radicado No. 4201713000005390 se prevé que: el plazo para publicar</w:t>
      </w:r>
      <w:r>
        <w:rPr>
          <w:rFonts w:ascii="Arial" w:eastAsia="Calibri" w:hAnsi="Arial" w:cs="Arial"/>
          <w:color w:val="000000" w:themeColor="text1"/>
          <w:sz w:val="22"/>
        </w:rPr>
        <w:t xml:space="preserve"> por parte de las entidades de régimen especial es el que se fije en el manual de contratación de la entidad»</w:t>
      </w:r>
      <w:r>
        <w:rPr>
          <w:rStyle w:val="Refdenotaalpie"/>
          <w:rFonts w:ascii="Arial" w:eastAsia="Calibri" w:hAnsi="Arial" w:cs="Arial"/>
          <w:color w:val="000000" w:themeColor="text1"/>
          <w:sz w:val="22"/>
        </w:rPr>
        <w:footnoteReference w:id="15"/>
      </w:r>
      <w:r>
        <w:rPr>
          <w:rFonts w:ascii="Arial" w:eastAsia="Calibri" w:hAnsi="Arial" w:cs="Arial"/>
          <w:color w:val="000000" w:themeColor="text1"/>
          <w:sz w:val="22"/>
        </w:rPr>
        <w:t>. Por su parte, en el año 2018, con la expedición de la Circular Externa Única, se cambió la postura y se indica: «las entidades que aun utilizan el SECOP I están obligadas a publicar los documentos del proceso dentro de los tres (3) días siguientes a su expedición</w:t>
      </w:r>
      <w:r>
        <w:rPr>
          <w:rStyle w:val="Refdenotaalpie"/>
          <w:rFonts w:ascii="Arial" w:eastAsia="Calibri" w:hAnsi="Arial" w:cs="Arial"/>
          <w:color w:val="000000" w:themeColor="text1"/>
          <w:sz w:val="22"/>
        </w:rPr>
        <w:footnoteReference w:id="16"/>
      </w:r>
      <w:r>
        <w:rPr>
          <w:rFonts w:ascii="Arial" w:eastAsia="Calibri" w:hAnsi="Arial" w:cs="Arial"/>
          <w:color w:val="000000" w:themeColor="text1"/>
          <w:sz w:val="22"/>
        </w:rPr>
        <w:t xml:space="preserve"> […]». De lo regulado en la Circular Externa Única se infiere que se otorga un tratamiento igualitario a las entidades, independientemente de su régimen de contratación, por lo tanto, aplica el artículo 2.2.1.1.1.7.1. del Decreto 1082 de 2015. </w:t>
      </w:r>
    </w:p>
    <w:p w14:paraId="3E5C0582" w14:textId="77777777" w:rsidR="000A5448" w:rsidRDefault="000A5448" w:rsidP="000A5448">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En este sentido, se han tenido dos posturas frente a la oportunidad de publicar los documentos en el SECOP. En un primer momento, la entidad tiene autonomía para determinar el plazo en su manual de contratación, debido a que no les aplica el Estatuto General de Contratación Pública; en un segundo momento, a partir de la expedición de la Circular Externa Única, tanto las entidades que se rigen por la Ley 80 como aquellas que tienen un estatuto de régimen especial, deberán publicar sus documentos, dentro de los tres (3) días siguientes a su expedición, por expresa disposición del artículo 2.2.1.1.1.7.1. del Decreto 1082 de 2015. Esta última posición es la que se acogerá y se desarrollará en esta consulta. </w:t>
      </w:r>
    </w:p>
    <w:p w14:paraId="6B4C1EA5" w14:textId="77777777" w:rsidR="000A5448" w:rsidRDefault="000A5448" w:rsidP="000A5448">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La Ley 1712 de 2014 y el Decreto reglamentario 103 de 2015, normativas que indican los documentos que se deben publicar, no señalan el momento para su divulgación, y en ese sentido existe un vacío normativo. En los casos que no exista norma aplicable, la Corte Constitucional, en la sentencia C-083 de 1995, reconoce a la analogía como una fuente de derecho autónoma a la que se pueden acudir para suplir el vacío. De esta forma, reconoce que: «la analogía es la aplicación de la ley a situaciones no contempladas expresamente a ellas, pero que sólo difieren a las que sí lo están en aspectos jurídicamente irrelevantes, es decir, ajenos a aquellos que explican y fundamentan la</w:t>
      </w:r>
      <w:r>
        <w:rPr>
          <w:rFonts w:ascii="Arial" w:eastAsia="Calibri" w:hAnsi="Arial" w:cs="Arial"/>
          <w:i/>
          <w:color w:val="000000" w:themeColor="text1"/>
          <w:sz w:val="22"/>
        </w:rPr>
        <w:t xml:space="preserve"> </w:t>
      </w:r>
      <w:r>
        <w:rPr>
          <w:rFonts w:ascii="Arial" w:eastAsia="Calibri" w:hAnsi="Arial" w:cs="Arial"/>
          <w:color w:val="000000" w:themeColor="text1"/>
          <w:sz w:val="22"/>
        </w:rPr>
        <w:t>razón de ser de la norma»</w:t>
      </w:r>
      <w:r>
        <w:rPr>
          <w:rStyle w:val="Refdenotaalpie"/>
          <w:rFonts w:ascii="Arial" w:eastAsia="Calibri" w:hAnsi="Arial" w:cs="Arial"/>
          <w:color w:val="000000" w:themeColor="text1"/>
          <w:sz w:val="22"/>
        </w:rPr>
        <w:footnoteReference w:id="17"/>
      </w:r>
      <w:r>
        <w:rPr>
          <w:rFonts w:ascii="Arial" w:eastAsia="Calibri" w:hAnsi="Arial" w:cs="Arial"/>
          <w:color w:val="000000" w:themeColor="text1"/>
          <w:sz w:val="22"/>
        </w:rPr>
        <w:t xml:space="preserve">. En este sentido, el juez razona por analogía, cuando aplica una ley frente una situación no contemplada explícitamente en ella, a partir del estudio de situaciones fácticas que fueron tratadas por el legislador y guardan similitud con el asunto tratado. </w:t>
      </w:r>
    </w:p>
    <w:p w14:paraId="624098A6" w14:textId="77777777" w:rsidR="000A5448" w:rsidRDefault="000A5448" w:rsidP="000A5448">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El Decreto 1082 de 2015, en el artículo 2.2.1.1.1.7.1, normativa que regula la publicidad en el SECOP, establece que las entidades están obligadas a publicar los documentos del proceso y los actos administrativos del proceso de contratación, dentro de los tres (3) días siguientes a su expedición. Además, indica el deber de las entidades de publicar oportunamente el aviso de convocatoria o la invitación en los procesos de contratación de mínima cuantía y el proyecto de pliego de condiciones en el SECOP para que presenten observaciones o soliciten aclaraciones</w:t>
      </w:r>
      <w:r>
        <w:rPr>
          <w:rStyle w:val="Refdenotaalpie"/>
          <w:rFonts w:ascii="Arial" w:eastAsia="Calibri" w:hAnsi="Arial" w:cs="Arial"/>
          <w:color w:val="000000" w:themeColor="text1"/>
          <w:sz w:val="22"/>
        </w:rPr>
        <w:footnoteReference w:id="18"/>
      </w:r>
      <w:r>
        <w:rPr>
          <w:rFonts w:ascii="Arial" w:eastAsia="Calibri" w:hAnsi="Arial" w:cs="Arial"/>
          <w:color w:val="000000" w:themeColor="text1"/>
          <w:sz w:val="22"/>
        </w:rPr>
        <w:t xml:space="preserve">. En este sentido, las entidades sometidas al régimen de contratación de Ley 80 de 1993 publicarán en el SECOP sus documentos dentro de los 3 días siguientes a su expedición. </w:t>
      </w:r>
    </w:p>
    <w:p w14:paraId="632D0A1E" w14:textId="77777777" w:rsidR="000A5448" w:rsidRDefault="000A5448" w:rsidP="000A5448">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Si bien, tal y cómo se mencionó en el acápite anterior, el Decreto 1082 de 2015 no aplica a las empresas sociales del Estado, porque su régimen de contratación es el derecho privado, será posible aplicarle esta norma en virtud de la analogía. Lo anterior, debido a que esta norma guarda similitud con el asunto tratado ya que regula la publicidad de los documentos del SECOP y, por lo tanto, es viable aplicarle la consecuencia jurídica de esta norma a las entidades de régimen especial. </w:t>
      </w:r>
    </w:p>
    <w:p w14:paraId="51EA1DBA" w14:textId="77777777" w:rsidR="000A5448" w:rsidRDefault="000A5448" w:rsidP="000A5448">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A su vez, no es posible que las entidades definan el momento en el cual publicarán sus documentos contractuales en su manual de contratación, porque este es un asunto que debe definir el legislador o el gobierno por medio de un Decreto reglamentario. </w:t>
      </w:r>
    </w:p>
    <w:p w14:paraId="1D8359F0" w14:textId="77777777" w:rsidR="000A5448" w:rsidRDefault="000A5448" w:rsidP="000A5448">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14:paraId="531E1F35" w14:textId="77777777" w:rsidR="000A5448" w:rsidRDefault="000A5448" w:rsidP="000A5448">
      <w:pPr>
        <w:pStyle w:val="Prrafodelista"/>
        <w:spacing w:after="120" w:line="276" w:lineRule="auto"/>
        <w:ind w:left="0"/>
        <w:jc w:val="both"/>
        <w:rPr>
          <w:rFonts w:ascii="Arial" w:eastAsia="Calibri" w:hAnsi="Arial" w:cs="Arial"/>
          <w:color w:val="000000" w:themeColor="text1"/>
          <w:sz w:val="22"/>
        </w:rPr>
      </w:pPr>
      <w:r>
        <w:rPr>
          <w:rFonts w:ascii="Arial" w:eastAsia="Calibri" w:hAnsi="Arial" w:cs="Arial"/>
          <w:color w:val="000000" w:themeColor="text1"/>
          <w:sz w:val="22"/>
        </w:rPr>
        <w:tab/>
        <w:t xml:space="preserve">En todo caso, si se adoptará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 se aplicaría el artículo 2.2.1.1.1.7.1. </w:t>
      </w:r>
    </w:p>
    <w:p w14:paraId="45A017FC" w14:textId="77777777" w:rsidR="000A5448" w:rsidRDefault="000A5448" w:rsidP="000A5448">
      <w:pPr>
        <w:pStyle w:val="Prrafodelista"/>
        <w:spacing w:line="276" w:lineRule="auto"/>
        <w:ind w:left="0"/>
        <w:jc w:val="both"/>
        <w:rPr>
          <w:rFonts w:ascii="Arial" w:eastAsia="Calibri" w:hAnsi="Arial" w:cs="Arial"/>
          <w:color w:val="000000" w:themeColor="text1"/>
          <w:sz w:val="22"/>
        </w:rPr>
      </w:pPr>
    </w:p>
    <w:p w14:paraId="29C4EF52" w14:textId="77777777" w:rsidR="000A5448" w:rsidRDefault="000A5448" w:rsidP="000A5448">
      <w:pPr>
        <w:tabs>
          <w:tab w:val="left" w:pos="0"/>
        </w:tabs>
        <w:spacing w:line="276" w:lineRule="auto"/>
        <w:jc w:val="both"/>
        <w:rPr>
          <w:rFonts w:ascii="Arial" w:eastAsia="Calibri" w:hAnsi="Arial" w:cs="Arial"/>
          <w:b/>
          <w:sz w:val="22"/>
          <w:lang w:val="es-ES"/>
        </w:rPr>
      </w:pPr>
      <w:r>
        <w:rPr>
          <w:rFonts w:ascii="Arial" w:eastAsia="Calibri" w:hAnsi="Arial" w:cs="Arial"/>
          <w:b/>
          <w:sz w:val="22"/>
          <w:lang w:val="es-ES"/>
        </w:rPr>
        <w:t xml:space="preserve">3. Respuestas </w:t>
      </w:r>
    </w:p>
    <w:p w14:paraId="031DEF4A" w14:textId="77777777" w:rsidR="000A5448" w:rsidRDefault="000A5448" w:rsidP="000A5448">
      <w:pPr>
        <w:tabs>
          <w:tab w:val="left" w:pos="0"/>
        </w:tabs>
        <w:spacing w:line="276" w:lineRule="auto"/>
        <w:jc w:val="both"/>
        <w:rPr>
          <w:rFonts w:ascii="Arial" w:eastAsia="Calibri" w:hAnsi="Arial" w:cs="Arial"/>
          <w:sz w:val="20"/>
          <w:szCs w:val="20"/>
          <w:lang w:val="es-ES"/>
        </w:rPr>
      </w:pPr>
    </w:p>
    <w:p w14:paraId="2E719CD6" w14:textId="77777777" w:rsidR="000A5448" w:rsidRDefault="000A5448" w:rsidP="000A5448">
      <w:pPr>
        <w:tabs>
          <w:tab w:val="left" w:pos="426"/>
        </w:tabs>
        <w:ind w:left="709" w:right="709"/>
        <w:jc w:val="both"/>
        <w:rPr>
          <w:rFonts w:ascii="Arial" w:eastAsia="Calibri" w:hAnsi="Arial" w:cs="Arial"/>
          <w:sz w:val="21"/>
          <w:szCs w:val="21"/>
        </w:rPr>
      </w:pPr>
      <w:r>
        <w:rPr>
          <w:rFonts w:ascii="Arial" w:eastAsia="Calibri" w:hAnsi="Arial" w:cs="Arial"/>
          <w:sz w:val="21"/>
          <w:szCs w:val="21"/>
        </w:rPr>
        <w:t>i. «[…] ¿Qué tan viable es que la Empresa Social del Estado se tome 15 días siguientes a la suscripción de la orden o Contrato para hacer la publicación? incumpliendo lo dispuesto en el artículo 2.2.1.1.1.7.1 del Decreto No 1082 del 26 de mayo de 2015 […]»</w:t>
      </w:r>
    </w:p>
    <w:p w14:paraId="579A8500" w14:textId="77777777" w:rsidR="000A5448" w:rsidRDefault="000A5448" w:rsidP="000A5448">
      <w:pPr>
        <w:tabs>
          <w:tab w:val="left" w:pos="426"/>
        </w:tabs>
        <w:ind w:left="709" w:right="709"/>
        <w:jc w:val="both"/>
        <w:rPr>
          <w:rFonts w:ascii="Arial" w:eastAsia="Calibri" w:hAnsi="Arial" w:cs="Arial"/>
          <w:sz w:val="21"/>
          <w:szCs w:val="21"/>
        </w:rPr>
      </w:pPr>
    </w:p>
    <w:p w14:paraId="5DED37E0" w14:textId="77777777" w:rsidR="000A5448" w:rsidRDefault="000A5448" w:rsidP="000A5448">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A pesar de que el Decreto 1082 de 2015 no aplica a las Empresas sociales del Estado, porque su régimen de contratación es el derecho privado, será posible aplicarle esta norma en virtud de la analogía, y teniendo en cuenta que no es posible que las entidades definan el momento en el cual publicarán sus documentos contractuales en su manual de contratación, porque este es un asunto que debe definir el legislador o el gobierno por medio de un Decreto reglamentario. Conforme a lo anterior, las entidades de régimen especial deben publicar sus documentos del proceso de contratación dentro de los tres (3) días siguientes a su expedición.</w:t>
      </w:r>
    </w:p>
    <w:p w14:paraId="70857546" w14:textId="77777777" w:rsidR="000A5448" w:rsidRDefault="000A5448" w:rsidP="000A5448">
      <w:pPr>
        <w:tabs>
          <w:tab w:val="left" w:pos="0"/>
        </w:tabs>
        <w:spacing w:line="276" w:lineRule="auto"/>
        <w:jc w:val="both"/>
        <w:rPr>
          <w:rFonts w:ascii="Arial" w:eastAsia="Calibri" w:hAnsi="Arial" w:cs="Arial"/>
          <w:sz w:val="21"/>
          <w:szCs w:val="21"/>
        </w:rPr>
      </w:pPr>
    </w:p>
    <w:p w14:paraId="4AF0E3A8" w14:textId="77777777" w:rsidR="000A5448" w:rsidRDefault="000A5448" w:rsidP="000A5448">
      <w:pPr>
        <w:tabs>
          <w:tab w:val="left" w:pos="426"/>
        </w:tabs>
        <w:ind w:left="709" w:right="709"/>
        <w:jc w:val="both"/>
        <w:rPr>
          <w:rFonts w:ascii="Arial" w:eastAsia="Calibri" w:hAnsi="Arial" w:cs="Arial"/>
          <w:sz w:val="21"/>
          <w:szCs w:val="21"/>
        </w:rPr>
      </w:pPr>
      <w:r>
        <w:rPr>
          <w:rFonts w:ascii="Arial" w:eastAsia="Calibri" w:hAnsi="Arial" w:cs="Arial"/>
          <w:sz w:val="21"/>
          <w:szCs w:val="21"/>
        </w:rPr>
        <w:t>ii. «¿Qué tipo de documentos las Empresas Sociales del Estado deben publicar en el SECOP?».</w:t>
      </w:r>
    </w:p>
    <w:p w14:paraId="165A8D29" w14:textId="77777777" w:rsidR="000A5448" w:rsidRDefault="000A5448" w:rsidP="000A5448">
      <w:pPr>
        <w:tabs>
          <w:tab w:val="left" w:pos="426"/>
        </w:tabs>
        <w:ind w:right="758"/>
        <w:jc w:val="both"/>
        <w:rPr>
          <w:rFonts w:ascii="Arial" w:eastAsia="Calibri" w:hAnsi="Arial" w:cs="Arial"/>
          <w:sz w:val="21"/>
          <w:szCs w:val="21"/>
        </w:rPr>
      </w:pPr>
    </w:p>
    <w:p w14:paraId="2AE60B4D" w14:textId="77777777" w:rsidR="000A5448" w:rsidRDefault="000A5448" w:rsidP="000A5448">
      <w:pPr>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rPr>
        <w:t>La obligatoriedad de publicar las actuaciones contractuales de las entidades no depende de su régimen de contratación, sino de la ejecución de recursos públicos, pues así lo determinó, provisionalmente, el Consejo de Estado, Sección Tercera, Subsección C, en el auto del 14 de agosto de 2017. Ese deber no atiende a las condiciones de las entidades excluidas del régimen de contratación estatal, sino ─se reitera─ al hecho de que la contratación implique la ejecución de recursos públicos.</w:t>
      </w:r>
    </w:p>
    <w:p w14:paraId="564C65A8" w14:textId="77777777" w:rsidR="000A5448" w:rsidRDefault="000A5448" w:rsidP="000A5448">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Ahora, el Decreto 103 de 2015 señala que los documentos que deberán publicar las entidades estatales, entre estas las empresas sociales del Estado, son: i) las autorizaciones, requerimientos, aprobaciones o informes del supervisor o del interventor, que prueben la ejecución del contrato, ii) en relación con los procedimientos, lineamientos y políticas en materia de adquisición se deberán publicar los documentos previstos en el manual de contratación de la entidad y, finalmente, iii) el plan anual de adquisiciones. </w:t>
      </w:r>
    </w:p>
    <w:p w14:paraId="4BE4D252" w14:textId="77777777" w:rsidR="000A5448" w:rsidRDefault="000A5448" w:rsidP="000A5448">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Frente al segundo grupo de documentos, debido a que estas entidades están sometidas al derecho privado, y por lo tanto no adelantan sus procesos con las modalidades previstas en la Ley 80 de 1993, cada una definirá en su manual el procedimiento para la contratación de sus bienes y servicios. </w:t>
      </w:r>
      <w:r>
        <w:rPr>
          <w:rFonts w:ascii="Arial" w:eastAsia="Calibri" w:hAnsi="Arial" w:cs="Arial"/>
          <w:color w:val="000000" w:themeColor="text1"/>
          <w:sz w:val="22"/>
          <w:lang w:val="es-ES"/>
        </w:rPr>
        <w:t xml:space="preserve">En este sentido, la entidad lo hará ya sea por medio de un procedimiento público, mediante el cual se realice </w:t>
      </w:r>
      <w:r w:rsidRPr="000A5448">
        <w:rPr>
          <w:rFonts w:ascii="Arial" w:eastAsia="Calibri" w:hAnsi="Arial" w:cs="Arial"/>
          <w:color w:val="000000" w:themeColor="text1"/>
          <w:sz w:val="22"/>
        </w:rPr>
        <w:t>una</w:t>
      </w:r>
      <w:r>
        <w:rPr>
          <w:rFonts w:ascii="Arial" w:eastAsia="Calibri" w:hAnsi="Arial" w:cs="Arial"/>
          <w:color w:val="000000" w:themeColor="text1"/>
          <w:sz w:val="22"/>
          <w:lang w:val="es-ES"/>
        </w:rPr>
        <w:t xml:space="preserve">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se publicarán en la plataforma del SECOP para cada procedimiento de contratación que se adelante, incluido el acto de adjudicación, por expresa disposición</w:t>
      </w:r>
      <w:r>
        <w:rPr>
          <w:rFonts w:ascii="Arial" w:eastAsia="Calibri" w:hAnsi="Arial" w:cs="Arial"/>
          <w:color w:val="000000" w:themeColor="text1"/>
          <w:sz w:val="22"/>
        </w:rPr>
        <w:t xml:space="preserve"> del literal g) del artículo 11 de la Ley 1712 de 2014.</w:t>
      </w:r>
    </w:p>
    <w:p w14:paraId="24656A09" w14:textId="77777777" w:rsidR="000A5448" w:rsidRDefault="000A5448" w:rsidP="000A5448">
      <w:pPr>
        <w:spacing w:after="120" w:line="276" w:lineRule="auto"/>
        <w:jc w:val="both"/>
        <w:rPr>
          <w:rFonts w:ascii="Arial" w:hAnsi="Arial" w:cs="Arial"/>
          <w:sz w:val="22"/>
        </w:rPr>
      </w:pPr>
    </w:p>
    <w:p w14:paraId="61A1915E" w14:textId="77777777" w:rsidR="000A5448" w:rsidRDefault="000A5448" w:rsidP="000A5448">
      <w:pPr>
        <w:spacing w:line="276" w:lineRule="auto"/>
        <w:jc w:val="both"/>
        <w:rPr>
          <w:rFonts w:ascii="Arial" w:hAnsi="Arial" w:cs="Arial"/>
          <w:sz w:val="22"/>
        </w:rPr>
      </w:pPr>
      <w:r>
        <w:rPr>
          <w:rFonts w:ascii="Arial" w:hAnsi="Arial" w:cs="Arial"/>
          <w:sz w:val="22"/>
        </w:rPr>
        <w:t>Este concepto tiene el alcance previsto en el artículo 28 del Código de Procedimiento Administrativo y de lo Contencioso Administrativo, modificado por el artículo 1 de la Ley 1755 de 2015.</w:t>
      </w:r>
    </w:p>
    <w:p w14:paraId="0E52A289" w14:textId="77777777" w:rsidR="000A5448" w:rsidRDefault="000A5448" w:rsidP="000A5448">
      <w:pPr>
        <w:pStyle w:val="NormalWeb"/>
        <w:spacing w:before="0" w:beforeAutospacing="0" w:after="0" w:afterAutospacing="0" w:line="276" w:lineRule="auto"/>
        <w:jc w:val="both"/>
        <w:rPr>
          <w:rFonts w:ascii="Arial" w:hAnsi="Arial" w:cs="Arial"/>
          <w:sz w:val="16"/>
          <w:szCs w:val="16"/>
          <w:lang w:val="es-MX"/>
        </w:rPr>
      </w:pPr>
    </w:p>
    <w:p w14:paraId="13321E04" w14:textId="77777777" w:rsidR="000A5448" w:rsidRDefault="000A5448" w:rsidP="000A5448">
      <w:pPr>
        <w:pStyle w:val="NormalWeb"/>
        <w:spacing w:before="0" w:beforeAutospacing="0" w:after="0" w:afterAutospacing="0" w:line="276" w:lineRule="auto"/>
        <w:jc w:val="both"/>
        <w:rPr>
          <w:rFonts w:ascii="Arial" w:hAnsi="Arial" w:cs="Arial"/>
          <w:sz w:val="16"/>
          <w:szCs w:val="16"/>
          <w:lang w:val="es-MX"/>
        </w:rPr>
      </w:pPr>
    </w:p>
    <w:p w14:paraId="04B6346E" w14:textId="77777777" w:rsidR="000A5448" w:rsidRDefault="000A5448" w:rsidP="000A5448">
      <w:pPr>
        <w:pStyle w:val="NormalWeb"/>
        <w:spacing w:before="0" w:beforeAutospacing="0" w:after="0" w:afterAutospacing="0" w:line="276" w:lineRule="auto"/>
        <w:jc w:val="both"/>
        <w:rPr>
          <w:rFonts w:ascii="Arial" w:hAnsi="Arial" w:cs="Arial"/>
          <w:sz w:val="22"/>
          <w:szCs w:val="22"/>
          <w:lang w:val="es-MX"/>
        </w:rPr>
      </w:pPr>
      <w:r>
        <w:rPr>
          <w:rFonts w:ascii="Arial" w:hAnsi="Arial" w:cs="Arial"/>
          <w:sz w:val="22"/>
          <w:szCs w:val="22"/>
          <w:lang w:val="es-MX"/>
        </w:rPr>
        <w:t>Atentamente,</w:t>
      </w:r>
    </w:p>
    <w:p w14:paraId="5D06238B" w14:textId="77777777" w:rsidR="000A5448" w:rsidRDefault="000A5448" w:rsidP="000A5448">
      <w:pPr>
        <w:jc w:val="center"/>
        <w:rPr>
          <w:rFonts w:ascii="Arial" w:eastAsia="Times New Roman" w:hAnsi="Arial" w:cs="Arial"/>
          <w:sz w:val="18"/>
          <w:szCs w:val="20"/>
          <w:lang w:eastAsia="es-CO"/>
        </w:rPr>
      </w:pPr>
    </w:p>
    <w:p w14:paraId="4F8E858E" w14:textId="1E348D35" w:rsidR="000A5448" w:rsidRDefault="00680896" w:rsidP="000A5448">
      <w:pPr>
        <w:jc w:val="center"/>
        <w:rPr>
          <w:rFonts w:ascii="Arial" w:eastAsia="Times New Roman" w:hAnsi="Arial" w:cs="Arial"/>
          <w:sz w:val="18"/>
          <w:szCs w:val="20"/>
          <w:lang w:eastAsia="es-CO"/>
        </w:rPr>
      </w:pPr>
      <w:r>
        <w:rPr>
          <w:noProof/>
        </w:rPr>
        <w:drawing>
          <wp:inline distT="0" distB="0" distL="0" distR="0" wp14:anchorId="6119F482" wp14:editId="3BC5F94A">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29A66E4E" w14:textId="77777777" w:rsidR="000A5448" w:rsidRDefault="000A5448" w:rsidP="000A5448">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A5448" w14:paraId="68D90F21" w14:textId="77777777" w:rsidTr="000A5448">
        <w:trPr>
          <w:trHeight w:val="315"/>
        </w:trPr>
        <w:tc>
          <w:tcPr>
            <w:tcW w:w="812" w:type="dxa"/>
            <w:vAlign w:val="center"/>
            <w:hideMark/>
          </w:tcPr>
          <w:p w14:paraId="70E27861" w14:textId="77777777" w:rsidR="000A5448" w:rsidRDefault="000A5448">
            <w:pPr>
              <w:rPr>
                <w:rFonts w:ascii="Arial" w:eastAsia="Times New Roman" w:hAnsi="Arial" w:cs="Arial"/>
                <w:sz w:val="16"/>
                <w:szCs w:val="16"/>
                <w:lang w:eastAsia="es-ES"/>
              </w:rPr>
            </w:pPr>
            <w:r>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B311D78" w14:textId="77777777" w:rsidR="000A5448" w:rsidRDefault="000A5448">
            <w:pPr>
              <w:rPr>
                <w:rFonts w:ascii="Arial" w:eastAsia="Times New Roman" w:hAnsi="Arial" w:cs="Arial"/>
                <w:sz w:val="16"/>
                <w:szCs w:val="16"/>
                <w:lang w:eastAsia="es-ES"/>
              </w:rPr>
            </w:pPr>
            <w:r>
              <w:rPr>
                <w:rFonts w:ascii="Arial" w:eastAsia="Times New Roman" w:hAnsi="Arial" w:cs="Arial"/>
                <w:sz w:val="16"/>
                <w:szCs w:val="16"/>
                <w:lang w:eastAsia="es-ES"/>
              </w:rPr>
              <w:t>Ximena Ríos López</w:t>
            </w:r>
          </w:p>
          <w:p w14:paraId="664464BA" w14:textId="77777777" w:rsidR="000A5448" w:rsidRDefault="000A5448">
            <w:pPr>
              <w:rPr>
                <w:rFonts w:ascii="Arial" w:eastAsia="Times New Roman" w:hAnsi="Arial" w:cs="Arial"/>
                <w:sz w:val="16"/>
                <w:szCs w:val="16"/>
                <w:lang w:eastAsia="es-ES"/>
              </w:rPr>
            </w:pPr>
            <w:r>
              <w:rPr>
                <w:rFonts w:ascii="Arial" w:eastAsia="Times New Roman" w:hAnsi="Arial" w:cs="Arial"/>
                <w:sz w:val="16"/>
                <w:szCs w:val="16"/>
                <w:lang w:eastAsia="es-ES"/>
              </w:rPr>
              <w:t>Gestor T1-11</w:t>
            </w:r>
          </w:p>
        </w:tc>
      </w:tr>
      <w:tr w:rsidR="000A5448" w14:paraId="6000D9E8" w14:textId="77777777" w:rsidTr="000A5448">
        <w:trPr>
          <w:trHeight w:val="330"/>
        </w:trPr>
        <w:tc>
          <w:tcPr>
            <w:tcW w:w="812" w:type="dxa"/>
            <w:vAlign w:val="center"/>
            <w:hideMark/>
          </w:tcPr>
          <w:p w14:paraId="6A2663D7" w14:textId="77777777" w:rsidR="000A5448" w:rsidRDefault="000A5448">
            <w:pPr>
              <w:rPr>
                <w:rFonts w:ascii="Arial" w:eastAsia="Times New Roman" w:hAnsi="Arial" w:cs="Arial"/>
                <w:sz w:val="16"/>
                <w:szCs w:val="16"/>
                <w:lang w:eastAsia="es-ES"/>
              </w:rPr>
            </w:pPr>
            <w:r>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DD11CCD" w14:textId="77777777" w:rsidR="000A5448" w:rsidRDefault="000A5448">
            <w:pPr>
              <w:rPr>
                <w:rFonts w:ascii="Arial" w:eastAsia="Times New Roman" w:hAnsi="Arial" w:cs="Arial"/>
                <w:sz w:val="16"/>
                <w:szCs w:val="16"/>
                <w:lang w:eastAsia="es-ES"/>
              </w:rPr>
            </w:pPr>
            <w:r>
              <w:rPr>
                <w:rFonts w:ascii="Arial" w:eastAsia="Times New Roman" w:hAnsi="Arial" w:cs="Arial"/>
                <w:sz w:val="16"/>
                <w:szCs w:val="16"/>
                <w:lang w:eastAsia="es-ES"/>
              </w:rPr>
              <w:t>Juan David Montoya Penagos</w:t>
            </w:r>
          </w:p>
          <w:p w14:paraId="3A4ABB51" w14:textId="77777777" w:rsidR="000A5448" w:rsidRDefault="000A5448">
            <w:pPr>
              <w:rPr>
                <w:rFonts w:ascii="Arial" w:eastAsia="Times New Roman" w:hAnsi="Arial" w:cs="Arial"/>
                <w:sz w:val="16"/>
                <w:szCs w:val="16"/>
                <w:lang w:eastAsia="es-ES"/>
              </w:rPr>
            </w:pPr>
            <w:r>
              <w:rPr>
                <w:rFonts w:ascii="Arial" w:eastAsia="Times New Roman" w:hAnsi="Arial" w:cs="Arial"/>
                <w:sz w:val="16"/>
                <w:szCs w:val="16"/>
                <w:lang w:eastAsia="es-ES"/>
              </w:rPr>
              <w:t>Contratista de la Subdirección de Gestión Contractual</w:t>
            </w:r>
          </w:p>
        </w:tc>
      </w:tr>
      <w:tr w:rsidR="000A5448" w14:paraId="12B670E3" w14:textId="77777777" w:rsidTr="000A5448">
        <w:trPr>
          <w:trHeight w:val="300"/>
        </w:trPr>
        <w:tc>
          <w:tcPr>
            <w:tcW w:w="812" w:type="dxa"/>
            <w:vAlign w:val="center"/>
            <w:hideMark/>
          </w:tcPr>
          <w:p w14:paraId="1BB47E10" w14:textId="77777777" w:rsidR="000A5448" w:rsidRDefault="000A5448">
            <w:pPr>
              <w:rPr>
                <w:rFonts w:ascii="Arial" w:eastAsia="Times New Roman" w:hAnsi="Arial" w:cs="Arial"/>
                <w:sz w:val="16"/>
                <w:szCs w:val="16"/>
                <w:lang w:eastAsia="es-ES"/>
              </w:rPr>
            </w:pPr>
            <w:r>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654EB0D" w14:textId="77777777" w:rsidR="000A5448" w:rsidRDefault="000A5448">
            <w:pPr>
              <w:rPr>
                <w:rFonts w:ascii="Arial" w:eastAsia="Times New Roman" w:hAnsi="Arial" w:cs="Arial"/>
                <w:sz w:val="16"/>
                <w:szCs w:val="16"/>
                <w:lang w:eastAsia="es-ES"/>
              </w:rPr>
            </w:pPr>
            <w:r>
              <w:rPr>
                <w:rFonts w:ascii="Arial" w:eastAsia="Times New Roman" w:hAnsi="Arial" w:cs="Arial"/>
                <w:sz w:val="16"/>
                <w:szCs w:val="16"/>
                <w:lang w:eastAsia="es-ES"/>
              </w:rPr>
              <w:t>Fabián Gonzalo Marín Cortés</w:t>
            </w:r>
          </w:p>
          <w:p w14:paraId="32CA3740" w14:textId="77777777" w:rsidR="000A5448" w:rsidRDefault="000A5448">
            <w:pPr>
              <w:rPr>
                <w:rFonts w:ascii="Arial" w:eastAsia="Times New Roman" w:hAnsi="Arial" w:cs="Arial"/>
                <w:sz w:val="16"/>
                <w:szCs w:val="16"/>
                <w:lang w:eastAsia="es-ES"/>
              </w:rPr>
            </w:pPr>
            <w:r>
              <w:rPr>
                <w:rFonts w:ascii="Arial" w:eastAsia="Times New Roman" w:hAnsi="Arial" w:cs="Arial"/>
                <w:sz w:val="16"/>
                <w:szCs w:val="16"/>
                <w:lang w:eastAsia="es-ES"/>
              </w:rPr>
              <w:t>Subdirector de Gestión Contractual</w:t>
            </w:r>
          </w:p>
        </w:tc>
      </w:tr>
    </w:tbl>
    <w:p w14:paraId="7C1577BF" w14:textId="77777777" w:rsidR="000A5448" w:rsidRDefault="000A5448" w:rsidP="000A5448">
      <w:pPr>
        <w:rPr>
          <w:rFonts w:ascii="Arial" w:eastAsia="Times New Roman" w:hAnsi="Arial" w:cs="Arial"/>
          <w:sz w:val="16"/>
          <w:szCs w:val="16"/>
          <w:lang w:eastAsia="es-ES"/>
        </w:rPr>
      </w:pPr>
    </w:p>
    <w:bookmarkEnd w:id="3"/>
    <w:p w14:paraId="7EBF297E" w14:textId="77777777" w:rsidR="007B0854" w:rsidRPr="000A5448" w:rsidRDefault="007B0854" w:rsidP="000A5448"/>
    <w:sectPr w:rsidR="007B0854" w:rsidRPr="000A5448"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5F433" w14:textId="77777777" w:rsidR="00B77EB1" w:rsidRDefault="00B77EB1">
      <w:r>
        <w:separator/>
      </w:r>
    </w:p>
  </w:endnote>
  <w:endnote w:type="continuationSeparator" w:id="0">
    <w:p w14:paraId="1D6DCA9E" w14:textId="77777777" w:rsidR="00B77EB1" w:rsidRDefault="00B77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1CC17C3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96F8E" w14:textId="77777777" w:rsidR="00B77EB1" w:rsidRDefault="00B77EB1">
      <w:r>
        <w:separator/>
      </w:r>
    </w:p>
  </w:footnote>
  <w:footnote w:type="continuationSeparator" w:id="0">
    <w:p w14:paraId="5BFD6D69" w14:textId="77777777" w:rsidR="00B77EB1" w:rsidRDefault="00B77EB1">
      <w:r>
        <w:continuationSeparator/>
      </w:r>
    </w:p>
  </w:footnote>
  <w:footnote w:id="1">
    <w:p w14:paraId="5E9FDEEF" w14:textId="77777777" w:rsidR="000A5448" w:rsidRDefault="000A5448" w:rsidP="000A5448">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Corte Constitucional. Sentencia C- 341 del 4 de junio de 2014. M. P. Mauricio González Cuervo</w:t>
      </w:r>
    </w:p>
    <w:p w14:paraId="36385D1A" w14:textId="77777777" w:rsidR="000A5448" w:rsidRDefault="000A5448" w:rsidP="000A5448">
      <w:pPr>
        <w:pStyle w:val="Textonotapie"/>
        <w:ind w:firstLine="708"/>
        <w:jc w:val="both"/>
        <w:rPr>
          <w:rFonts w:ascii="Arial" w:hAnsi="Arial" w:cs="Arial"/>
          <w:color w:val="000000" w:themeColor="text1"/>
          <w:sz w:val="19"/>
          <w:szCs w:val="19"/>
        </w:rPr>
      </w:pPr>
    </w:p>
  </w:footnote>
  <w:footnote w:id="2">
    <w:p w14:paraId="2B5885F7" w14:textId="77777777" w:rsidR="000A5448" w:rsidRDefault="000A5448" w:rsidP="000A5448">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7E180E32" w14:textId="77777777" w:rsidR="000A5448" w:rsidRDefault="000A5448" w:rsidP="000A5448">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»Lo anterior, sin perjuicio de las publicaciones previstas en el numeral 3 del artículo 30 de la Ley 80 de 1993.</w:t>
      </w:r>
    </w:p>
    <w:p w14:paraId="7BE5A094" w14:textId="77777777" w:rsidR="000A5448" w:rsidRDefault="000A5448" w:rsidP="000A5448">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334E36E4" w14:textId="77777777" w:rsidR="000A5448" w:rsidRDefault="000A5448" w:rsidP="000A5448">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p>
    <w:p w14:paraId="5A9C9CAC" w14:textId="77777777" w:rsidR="000A5448" w:rsidRDefault="000A5448" w:rsidP="000A5448">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45335624" w14:textId="77777777" w:rsidR="000A5448" w:rsidRDefault="000A5448" w:rsidP="000A5448">
      <w:pPr>
        <w:pStyle w:val="Textonotapie"/>
        <w:ind w:firstLine="708"/>
        <w:jc w:val="both"/>
        <w:rPr>
          <w:rFonts w:ascii="Arial" w:hAnsi="Arial" w:cs="Arial"/>
          <w:color w:val="000000" w:themeColor="text1"/>
          <w:sz w:val="19"/>
          <w:szCs w:val="19"/>
          <w:lang w:val="es-CO"/>
        </w:rPr>
      </w:pPr>
    </w:p>
  </w:footnote>
  <w:footnote w:id="3">
    <w:p w14:paraId="5D7C6CE2" w14:textId="77777777" w:rsidR="000A5448" w:rsidRDefault="000A5448" w:rsidP="000A5448">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0969F0B9" w14:textId="77777777" w:rsidR="000A5448" w:rsidRDefault="000A5448" w:rsidP="000A5448">
      <w:pPr>
        <w:pStyle w:val="Textonotapie"/>
        <w:ind w:firstLine="708"/>
        <w:jc w:val="both"/>
        <w:rPr>
          <w:rFonts w:ascii="Arial" w:hAnsi="Arial" w:cs="Arial"/>
          <w:color w:val="000000" w:themeColor="text1"/>
          <w:sz w:val="19"/>
          <w:szCs w:val="19"/>
          <w:lang w:val="es-CO"/>
        </w:rPr>
      </w:pPr>
    </w:p>
  </w:footnote>
  <w:footnote w:id="4">
    <w:p w14:paraId="40449BC9" w14:textId="77777777" w:rsidR="000A5448" w:rsidRDefault="000A5448" w:rsidP="000A5448">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231938CD" w14:textId="77777777" w:rsidR="000A5448" w:rsidRDefault="000A5448" w:rsidP="000A5448">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19A4CE97" w14:textId="77777777" w:rsidR="000A5448" w:rsidRDefault="000A5448" w:rsidP="000A5448">
      <w:pPr>
        <w:pStyle w:val="Textonotapie"/>
        <w:jc w:val="both"/>
        <w:rPr>
          <w:rFonts w:ascii="Arial" w:hAnsi="Arial" w:cs="Arial"/>
          <w:color w:val="000000" w:themeColor="text1"/>
          <w:sz w:val="19"/>
          <w:szCs w:val="19"/>
          <w:lang w:val="es-CO"/>
        </w:rPr>
      </w:pPr>
    </w:p>
  </w:footnote>
  <w:footnote w:id="5">
    <w:p w14:paraId="62964095" w14:textId="77777777" w:rsidR="000A5448" w:rsidRDefault="000A5448" w:rsidP="000A5448">
      <w:pPr>
        <w:pStyle w:val="Textonotapie"/>
        <w:ind w:firstLine="709"/>
        <w:jc w:val="both"/>
        <w:rPr>
          <w:rFonts w:ascii="Arial" w:hAnsi="Arial" w:cs="Arial"/>
          <w:color w:val="000000" w:themeColor="text1"/>
          <w:sz w:val="19"/>
          <w:szCs w:val="19"/>
        </w:rPr>
      </w:pPr>
      <w:r>
        <w:rPr>
          <w:rFonts w:ascii="Arial" w:eastAsia="Times New Roman" w:hAnsi="Arial" w:cs="Arial"/>
          <w:color w:val="000000" w:themeColor="text1"/>
          <w:sz w:val="19"/>
          <w:szCs w:val="19"/>
          <w:vertAlign w:val="superscript"/>
          <w:lang w:val="es-ES" w:eastAsia="es-ES"/>
        </w:rPr>
        <w:footnoteRef/>
      </w:r>
      <w:r>
        <w:rPr>
          <w:rFonts w:ascii="Arial" w:eastAsia="Times New Roman" w:hAnsi="Arial" w:cs="Arial"/>
          <w:color w:val="000000" w:themeColor="text1"/>
          <w:sz w:val="19"/>
          <w:szCs w:val="19"/>
          <w:vertAlign w:val="superscript"/>
          <w:lang w:val="es-ES" w:eastAsia="es-ES"/>
        </w:rPr>
        <w:t xml:space="preserve"> </w:t>
      </w:r>
      <w:r>
        <w:rPr>
          <w:rFonts w:ascii="Arial" w:eastAsia="Times New Roman" w:hAnsi="Arial" w:cs="Arial"/>
          <w:color w:val="000000" w:themeColor="text1"/>
          <w:sz w:val="19"/>
          <w:szCs w:val="19"/>
          <w:lang w:val="es-ES" w:eastAsia="es-ES"/>
        </w:rPr>
        <w:t>«</w:t>
      </w:r>
      <w:r>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39388A24" w14:textId="77777777" w:rsidR="000A5448" w:rsidRDefault="000A5448" w:rsidP="000A5448">
      <w:pPr>
        <w:pStyle w:val="Textonotapie"/>
        <w:ind w:firstLine="709"/>
        <w:jc w:val="both"/>
        <w:rPr>
          <w:rFonts w:ascii="Arial" w:eastAsia="Times New Roman" w:hAnsi="Arial" w:cs="Arial"/>
          <w:color w:val="000000" w:themeColor="text1"/>
          <w:sz w:val="19"/>
          <w:szCs w:val="19"/>
          <w:lang w:val="es-ES" w:eastAsia="es-ES"/>
        </w:rPr>
      </w:pPr>
      <w:r>
        <w:rPr>
          <w:rFonts w:ascii="Arial" w:hAnsi="Arial" w:cs="Arial"/>
          <w:color w:val="000000" w:themeColor="text1"/>
          <w:sz w:val="19"/>
          <w:szCs w:val="19"/>
        </w:rPr>
        <w:t>[…].</w:t>
      </w:r>
    </w:p>
    <w:p w14:paraId="49186424" w14:textId="77777777" w:rsidR="000A5448" w:rsidRDefault="000A5448" w:rsidP="000A5448">
      <w:pPr>
        <w:pStyle w:val="Textonotapie"/>
        <w:ind w:firstLine="709"/>
        <w:jc w:val="both"/>
        <w:rPr>
          <w:rFonts w:ascii="Arial" w:eastAsia="Times New Roman" w:hAnsi="Arial" w:cs="Arial"/>
          <w:color w:val="000000" w:themeColor="text1"/>
          <w:sz w:val="19"/>
          <w:szCs w:val="19"/>
          <w:lang w:val="es-ES" w:eastAsia="es-ES"/>
        </w:rPr>
      </w:pPr>
      <w:r>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47C6837B" w14:textId="77777777" w:rsidR="000A5448" w:rsidRDefault="000A5448" w:rsidP="000A5448">
      <w:pPr>
        <w:pStyle w:val="Textonotapie"/>
        <w:ind w:firstLine="709"/>
        <w:jc w:val="both"/>
        <w:rPr>
          <w:rFonts w:ascii="Arial" w:eastAsia="Times New Roman" w:hAnsi="Arial" w:cs="Arial"/>
          <w:color w:val="000000" w:themeColor="text1"/>
          <w:sz w:val="19"/>
          <w:szCs w:val="19"/>
          <w:lang w:val="es-ES" w:eastAsia="es-ES"/>
        </w:rPr>
      </w:pPr>
    </w:p>
  </w:footnote>
  <w:footnote w:id="6">
    <w:p w14:paraId="25AEEDB0" w14:textId="77777777" w:rsidR="000A5448" w:rsidRDefault="000A5448" w:rsidP="000A5448">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C</w:t>
      </w:r>
      <w:r>
        <w:rPr>
          <w:rFonts w:ascii="Arial" w:eastAsia="Times New Roman" w:hAnsi="Arial" w:cs="Arial"/>
          <w:color w:val="000000" w:themeColor="text1"/>
          <w:sz w:val="19"/>
          <w:szCs w:val="19"/>
          <w:lang w:val="es-ES" w:eastAsia="es-ES"/>
        </w:rPr>
        <w:t xml:space="preserve">orte Constitucional. Sentencia C─274 de 9 de mayo de 2013. M.P. María Victoria Calle Correa. </w:t>
      </w:r>
    </w:p>
    <w:p w14:paraId="42E130E9" w14:textId="77777777" w:rsidR="000A5448" w:rsidRDefault="000A5448" w:rsidP="000A5448">
      <w:pPr>
        <w:pStyle w:val="Textonotapie"/>
        <w:ind w:firstLine="708"/>
        <w:jc w:val="both"/>
        <w:rPr>
          <w:rFonts w:ascii="Arial" w:hAnsi="Arial" w:cs="Arial"/>
          <w:color w:val="000000" w:themeColor="text1"/>
          <w:sz w:val="19"/>
          <w:szCs w:val="19"/>
          <w:lang w:val="es-CO"/>
        </w:rPr>
      </w:pPr>
    </w:p>
  </w:footnote>
  <w:footnote w:id="7">
    <w:p w14:paraId="541E286B" w14:textId="77777777" w:rsidR="000A5448" w:rsidRDefault="000A5448" w:rsidP="000A5448">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24017F8B" w14:textId="77777777" w:rsidR="000A5448" w:rsidRDefault="000A5448" w:rsidP="000A5448">
      <w:pPr>
        <w:pStyle w:val="Textonotapie"/>
        <w:ind w:firstLine="708"/>
        <w:jc w:val="both"/>
        <w:rPr>
          <w:rFonts w:ascii="Arial" w:hAnsi="Arial" w:cs="Arial"/>
          <w:color w:val="000000" w:themeColor="text1"/>
          <w:sz w:val="19"/>
          <w:szCs w:val="19"/>
          <w:lang w:val="es-CO"/>
        </w:rPr>
      </w:pPr>
    </w:p>
  </w:footnote>
  <w:footnote w:id="8">
    <w:p w14:paraId="6886B5D6" w14:textId="77777777" w:rsidR="000A5448" w:rsidRDefault="000A5448" w:rsidP="000A5448">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Consejo de Estado. Sección Tercera. Subsección C. Auto del 14 de agosto de 2017. Exp. 58.820. C.P. Jaime Orlando Santofimio Gamboa. </w:t>
      </w:r>
    </w:p>
    <w:p w14:paraId="12FAB161" w14:textId="77777777" w:rsidR="000A5448" w:rsidRDefault="000A5448" w:rsidP="000A5448">
      <w:pPr>
        <w:pStyle w:val="Textonotapie"/>
        <w:ind w:firstLine="708"/>
        <w:jc w:val="both"/>
        <w:rPr>
          <w:rFonts w:ascii="Arial" w:hAnsi="Arial" w:cs="Arial"/>
          <w:color w:val="000000" w:themeColor="text1"/>
          <w:sz w:val="19"/>
          <w:szCs w:val="19"/>
          <w:lang w:val="es-CO"/>
        </w:rPr>
      </w:pPr>
    </w:p>
  </w:footnote>
  <w:footnote w:id="9">
    <w:p w14:paraId="36739986" w14:textId="77777777" w:rsidR="000A5448" w:rsidRDefault="000A5448" w:rsidP="000A5448">
      <w:pPr>
        <w:pStyle w:val="Textonotapie"/>
        <w:ind w:firstLine="708"/>
        <w:jc w:val="both"/>
      </w:pPr>
      <w:r>
        <w:rPr>
          <w:rStyle w:val="Refdenotaalpie"/>
        </w:rPr>
        <w:footnoteRef/>
      </w:r>
      <w:r>
        <w:t xml:space="preserve"> </w:t>
      </w:r>
      <w:r>
        <w:rPr>
          <w:rFonts w:ascii="Arial" w:hAnsi="Arial" w:cs="Arial"/>
          <w:color w:val="000000" w:themeColor="text1"/>
          <w:sz w:val="19"/>
          <w:szCs w:val="19"/>
        </w:rPr>
        <w:t>Consejo de Estado. Sección Tercera. Subsección C. Auto del 14 de agosto de 2017. Exp. 58.820. C.P. Jaime Orlando Santofimio Gamboa.</w:t>
      </w:r>
    </w:p>
  </w:footnote>
  <w:footnote w:id="10">
    <w:p w14:paraId="0BD587DE" w14:textId="77777777" w:rsidR="000A5448" w:rsidRDefault="000A5448" w:rsidP="000A5448">
      <w:pPr>
        <w:pStyle w:val="Prrafodelista"/>
        <w:ind w:left="0" w:firstLine="708"/>
        <w:jc w:val="both"/>
        <w:rPr>
          <w:rFonts w:ascii="Arial" w:hAnsi="Arial" w:cs="Arial"/>
          <w:bCs/>
          <w:color w:val="000000" w:themeColor="text1"/>
          <w:sz w:val="19"/>
          <w:szCs w:val="19"/>
          <w:lang w:val="es-ES"/>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bCs/>
          <w:color w:val="000000" w:themeColor="text1"/>
          <w:sz w:val="19"/>
          <w:szCs w:val="19"/>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19CA0F7D" w14:textId="77777777" w:rsidR="000A5448" w:rsidRDefault="000A5448" w:rsidP="000A5448">
      <w:pPr>
        <w:pStyle w:val="Textonotapie"/>
        <w:ind w:firstLine="708"/>
        <w:jc w:val="both"/>
        <w:rPr>
          <w:rFonts w:ascii="Arial" w:hAnsi="Arial" w:cs="Arial"/>
          <w:color w:val="000000" w:themeColor="text1"/>
          <w:sz w:val="19"/>
          <w:szCs w:val="19"/>
          <w:lang w:val="es-ES"/>
        </w:rPr>
      </w:pPr>
    </w:p>
  </w:footnote>
  <w:footnote w:id="11">
    <w:p w14:paraId="77C0FEF4" w14:textId="77777777" w:rsidR="000A5448" w:rsidRDefault="000A5448" w:rsidP="000A5448">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4201E0F5" w14:textId="77777777" w:rsidR="000A5448" w:rsidRDefault="000A5448" w:rsidP="000A5448">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p w14:paraId="5D1FFCD4" w14:textId="77777777" w:rsidR="000A5448" w:rsidRDefault="000A5448" w:rsidP="000A5448">
      <w:pPr>
        <w:pStyle w:val="Textonotapie"/>
        <w:jc w:val="both"/>
        <w:rPr>
          <w:rFonts w:ascii="Arial" w:hAnsi="Arial" w:cs="Arial"/>
          <w:color w:val="000000" w:themeColor="text1"/>
          <w:sz w:val="19"/>
          <w:szCs w:val="19"/>
        </w:rPr>
      </w:pPr>
    </w:p>
  </w:footnote>
  <w:footnote w:id="12">
    <w:p w14:paraId="2F334B73" w14:textId="77777777" w:rsidR="000A5448" w:rsidRDefault="000A5448" w:rsidP="000A5448">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p w14:paraId="5DE24CF9" w14:textId="77777777" w:rsidR="000A5448" w:rsidRDefault="000A5448" w:rsidP="000A5448">
      <w:pPr>
        <w:pStyle w:val="Textonotapie"/>
        <w:ind w:firstLine="708"/>
        <w:jc w:val="both"/>
        <w:rPr>
          <w:rFonts w:ascii="Arial" w:hAnsi="Arial" w:cs="Arial"/>
          <w:color w:val="000000" w:themeColor="text1"/>
          <w:sz w:val="19"/>
          <w:szCs w:val="19"/>
        </w:rPr>
      </w:pPr>
    </w:p>
  </w:footnote>
  <w:footnote w:id="13">
    <w:p w14:paraId="4DAFD043" w14:textId="77777777" w:rsidR="000A5448" w:rsidRDefault="000A5448" w:rsidP="000A5448">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14:paraId="6CD57214" w14:textId="77777777" w:rsidR="000A5448" w:rsidRDefault="000A5448" w:rsidP="000A5448">
      <w:pPr>
        <w:pStyle w:val="Textonotapie"/>
        <w:ind w:firstLine="708"/>
        <w:jc w:val="both"/>
        <w:rPr>
          <w:rFonts w:ascii="Arial" w:hAnsi="Arial" w:cs="Arial"/>
          <w:color w:val="000000" w:themeColor="text1"/>
          <w:sz w:val="19"/>
          <w:szCs w:val="19"/>
        </w:rPr>
      </w:pPr>
    </w:p>
  </w:footnote>
  <w:footnote w:id="14">
    <w:p w14:paraId="53865E01" w14:textId="77777777" w:rsidR="000A5448" w:rsidRDefault="000A5448" w:rsidP="000A5448">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Decreto 103 de 2015: «Artículo 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14:paraId="64D12633" w14:textId="77777777" w:rsidR="000A5448" w:rsidRDefault="000A5448" w:rsidP="000A5448">
      <w:pPr>
        <w:pStyle w:val="Textonotapie"/>
        <w:jc w:val="both"/>
        <w:rPr>
          <w:rFonts w:ascii="Arial" w:hAnsi="Arial" w:cs="Arial"/>
          <w:color w:val="000000" w:themeColor="text1"/>
          <w:sz w:val="19"/>
          <w:szCs w:val="19"/>
        </w:rPr>
      </w:pPr>
      <w:r>
        <w:rPr>
          <w:rFonts w:ascii="Arial" w:hAnsi="Arial" w:cs="Arial"/>
          <w:color w:val="000000" w:themeColor="text1"/>
          <w:sz w:val="19"/>
          <w:szCs w:val="19"/>
        </w:rPr>
        <w:t>»Los sujetos obligados que no contratan con cargo a recursos públicos no están obligados a publicar su Plan Anual de Adquisiciones.</w:t>
      </w:r>
    </w:p>
    <w:p w14:paraId="46B36A90" w14:textId="77777777" w:rsidR="000A5448" w:rsidRDefault="000A5448" w:rsidP="000A5448">
      <w:pPr>
        <w:pStyle w:val="Textonotapie"/>
        <w:jc w:val="both"/>
        <w:rPr>
          <w:rFonts w:ascii="Arial" w:hAnsi="Arial" w:cs="Arial"/>
          <w:color w:val="000000" w:themeColor="text1"/>
          <w:sz w:val="19"/>
          <w:szCs w:val="19"/>
        </w:rPr>
      </w:pPr>
      <w:r>
        <w:rPr>
          <w:rFonts w:ascii="Arial" w:hAnsi="Arial" w:cs="Arial"/>
          <w:color w:val="000000" w:themeColor="text1"/>
          <w:sz w:val="19"/>
          <w:szCs w:val="19"/>
        </w:rPr>
        <w:t>»Los sujetos obligados que contratan con cargo a recursos públicos y recursos privados, deben publicar en su página web y en el SECOP el Plan Anual de Adquisiciones para los recursos de carácter público que ejecutarán en el año.</w:t>
      </w:r>
    </w:p>
    <w:p w14:paraId="6C0BEFB3" w14:textId="77777777" w:rsidR="000A5448" w:rsidRDefault="000A5448" w:rsidP="000A5448">
      <w:pPr>
        <w:pStyle w:val="Textonotapie"/>
        <w:jc w:val="both"/>
        <w:rPr>
          <w:rFonts w:ascii="Arial" w:hAnsi="Arial" w:cs="Arial"/>
          <w:color w:val="000000" w:themeColor="text1"/>
          <w:sz w:val="19"/>
          <w:szCs w:val="19"/>
        </w:rPr>
      </w:pPr>
      <w:r>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p>
  </w:footnote>
  <w:footnote w:id="15">
    <w:p w14:paraId="20F79A9E" w14:textId="77777777" w:rsidR="000A5448" w:rsidRDefault="000A5448" w:rsidP="000A5448">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Esta posición fue acogida en las siguientes consultas Rad. 4201813000006240: «Las Entidades Estatales que cuentan con régimen especial de contratación pueden aplicar las reglas contenidas en su propio manual de contratación, en consecuencia, estas entidades pueden establecer un término diferente a los 3 días que determina el Decreto 1082 de 2015 para publicar su actividad contractual en SECOP.</w:t>
      </w:r>
    </w:p>
    <w:p w14:paraId="55F36B26" w14:textId="77777777" w:rsidR="000A5448" w:rsidRDefault="000A5448" w:rsidP="000A5448">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»En todo caso, en virtud del principio de transparencia al cual están sujetas las entidades de régimen especial, el término que establezcan en su manual de contratación debe garantizar que el SECOP cuente con la información del Sistema de Compra Pública de forma oportuna. Recomendamos a las entidades de régimen especial publicar su información contractual una vez la tengan disponible ya que esa información es relevante para el Sistema de Compra Pública».</w:t>
      </w:r>
    </w:p>
    <w:p w14:paraId="76628324" w14:textId="77777777" w:rsidR="000A5448" w:rsidRDefault="000A5448" w:rsidP="000A5448">
      <w:pPr>
        <w:pStyle w:val="Textonotapie"/>
        <w:jc w:val="both"/>
        <w:rPr>
          <w:rFonts w:ascii="Arial" w:hAnsi="Arial" w:cs="Arial"/>
          <w:color w:val="000000" w:themeColor="text1"/>
          <w:sz w:val="19"/>
          <w:szCs w:val="19"/>
          <w:lang w:val="es-CO"/>
        </w:rPr>
      </w:pPr>
    </w:p>
  </w:footnote>
  <w:footnote w:id="16">
    <w:p w14:paraId="3C4E0353" w14:textId="77777777" w:rsidR="000A5448" w:rsidRDefault="000A5448" w:rsidP="000A5448">
      <w:pPr>
        <w:pStyle w:val="Textonotapie"/>
        <w:ind w:firstLine="709"/>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Circular Externa Única: «Numeral 1.2 Oportunidad en la publicación de la información en el SECOP: Las Entidades que aún utilizan el SECOP I están obligadas a publicar en el SECOP los Documentos del Proceso dentro de los tres (3) días siguientes a su expedición.</w:t>
      </w:r>
    </w:p>
    <w:p w14:paraId="17E25BC0" w14:textId="77777777" w:rsidR="000A5448" w:rsidRDefault="000A5448" w:rsidP="000A5448">
      <w:pPr>
        <w:pStyle w:val="Textonotapie"/>
        <w:ind w:firstLine="709"/>
        <w:jc w:val="both"/>
        <w:rPr>
          <w:rFonts w:ascii="Arial" w:hAnsi="Arial" w:cs="Arial"/>
          <w:color w:val="000000" w:themeColor="text1"/>
          <w:sz w:val="19"/>
          <w:szCs w:val="19"/>
        </w:rPr>
      </w:pPr>
      <w:r>
        <w:rPr>
          <w:rFonts w:ascii="Arial" w:hAnsi="Arial" w:cs="Arial"/>
          <w:color w:val="000000" w:themeColor="text1"/>
          <w:sz w:val="19"/>
          <w:szCs w:val="19"/>
        </w:rPr>
        <w:t xml:space="preserve">»La información registrada por las Entidades en el SECOP II y en la Tienda Virtual del Estado Colombiano, está disponible en tiempo real en razón a que las actuaciones del Proceso de Contratación tienen lugar electrónicamente a través de dichas plataformas transaccionales. </w:t>
      </w:r>
    </w:p>
    <w:p w14:paraId="61E68AFF" w14:textId="77777777" w:rsidR="000A5448" w:rsidRDefault="000A5448" w:rsidP="000A5448">
      <w:pPr>
        <w:pStyle w:val="Textonotapie"/>
        <w:ind w:firstLine="709"/>
        <w:jc w:val="both"/>
        <w:rPr>
          <w:rFonts w:ascii="Arial" w:hAnsi="Arial" w:cs="Arial"/>
          <w:color w:val="000000" w:themeColor="text1"/>
          <w:sz w:val="19"/>
          <w:szCs w:val="19"/>
        </w:rPr>
      </w:pPr>
      <w:r>
        <w:rPr>
          <w:rFonts w:ascii="Arial" w:hAnsi="Arial" w:cs="Arial"/>
          <w:color w:val="000000" w:themeColor="text1"/>
          <w:sz w:val="19"/>
          <w:szCs w:val="19"/>
        </w:rPr>
        <w:t>»Con respecto a los documentos que no son generados electrónicamente, el SECOP II permite publicarlos a través de un “mensaje público” o como un “documento del proceso”, para la publicidad de dichos documentos la Entidad Estatal tiene el plazo de tres días siguientes a su expedición».</w:t>
      </w:r>
    </w:p>
  </w:footnote>
  <w:footnote w:id="17">
    <w:p w14:paraId="646F45F5" w14:textId="77777777" w:rsidR="000A5448" w:rsidRDefault="000A5448" w:rsidP="000A5448">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Corte Constitucional. Sentencia C- 083 del 1 de marzo de 1995. M.P. Carlos Gaviria Díaz</w:t>
      </w:r>
    </w:p>
    <w:p w14:paraId="1BDBA25F" w14:textId="77777777" w:rsidR="000A5448" w:rsidRDefault="000A5448" w:rsidP="000A5448">
      <w:pPr>
        <w:pStyle w:val="Textonotapie"/>
        <w:ind w:firstLine="708"/>
        <w:jc w:val="both"/>
        <w:rPr>
          <w:rFonts w:ascii="Arial" w:hAnsi="Arial" w:cs="Arial"/>
          <w:color w:val="000000" w:themeColor="text1"/>
          <w:sz w:val="19"/>
          <w:szCs w:val="19"/>
        </w:rPr>
      </w:pPr>
    </w:p>
  </w:footnote>
  <w:footnote w:id="18">
    <w:p w14:paraId="53F0CC3C" w14:textId="77777777" w:rsidR="000A5448" w:rsidRDefault="000A5448" w:rsidP="000A5448">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57D7FCB3" w14:textId="77777777" w:rsidR="000A5448" w:rsidRDefault="000A5448" w:rsidP="000A5448">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20C75"/>
    <w:rsid w:val="000942EB"/>
    <w:rsid w:val="000A5448"/>
    <w:rsid w:val="000B103F"/>
    <w:rsid w:val="000F14E8"/>
    <w:rsid w:val="00103915"/>
    <w:rsid w:val="00122B23"/>
    <w:rsid w:val="00137FFA"/>
    <w:rsid w:val="001465F1"/>
    <w:rsid w:val="001670DB"/>
    <w:rsid w:val="00234B84"/>
    <w:rsid w:val="00282A6C"/>
    <w:rsid w:val="002901A0"/>
    <w:rsid w:val="002B2434"/>
    <w:rsid w:val="002F0696"/>
    <w:rsid w:val="003033BA"/>
    <w:rsid w:val="0034680A"/>
    <w:rsid w:val="00373EE9"/>
    <w:rsid w:val="00386456"/>
    <w:rsid w:val="003A581E"/>
    <w:rsid w:val="004422D6"/>
    <w:rsid w:val="00474AFD"/>
    <w:rsid w:val="00484C00"/>
    <w:rsid w:val="004A34D2"/>
    <w:rsid w:val="004C3B80"/>
    <w:rsid w:val="0051074C"/>
    <w:rsid w:val="00513AF2"/>
    <w:rsid w:val="0054413A"/>
    <w:rsid w:val="00545410"/>
    <w:rsid w:val="005564CA"/>
    <w:rsid w:val="005A79FE"/>
    <w:rsid w:val="00655371"/>
    <w:rsid w:val="00680896"/>
    <w:rsid w:val="00697665"/>
    <w:rsid w:val="006A7FD0"/>
    <w:rsid w:val="006D7687"/>
    <w:rsid w:val="006E0572"/>
    <w:rsid w:val="00705631"/>
    <w:rsid w:val="00742DD2"/>
    <w:rsid w:val="0075647A"/>
    <w:rsid w:val="007634AD"/>
    <w:rsid w:val="0078122E"/>
    <w:rsid w:val="007B0854"/>
    <w:rsid w:val="007F72CB"/>
    <w:rsid w:val="0083119B"/>
    <w:rsid w:val="00836EAB"/>
    <w:rsid w:val="0085092D"/>
    <w:rsid w:val="008704E3"/>
    <w:rsid w:val="00880D4C"/>
    <w:rsid w:val="008E1C15"/>
    <w:rsid w:val="009047C5"/>
    <w:rsid w:val="00947808"/>
    <w:rsid w:val="0095385A"/>
    <w:rsid w:val="00964C51"/>
    <w:rsid w:val="009E5AE9"/>
    <w:rsid w:val="00A24560"/>
    <w:rsid w:val="00A34538"/>
    <w:rsid w:val="00A50F4E"/>
    <w:rsid w:val="00A66584"/>
    <w:rsid w:val="00A71696"/>
    <w:rsid w:val="00AA442B"/>
    <w:rsid w:val="00B03933"/>
    <w:rsid w:val="00B22E22"/>
    <w:rsid w:val="00B525CB"/>
    <w:rsid w:val="00B63656"/>
    <w:rsid w:val="00B63CB2"/>
    <w:rsid w:val="00B77EB1"/>
    <w:rsid w:val="00BD49C8"/>
    <w:rsid w:val="00BD78FE"/>
    <w:rsid w:val="00BE2F0E"/>
    <w:rsid w:val="00CA287E"/>
    <w:rsid w:val="00CC00CD"/>
    <w:rsid w:val="00CE7C9B"/>
    <w:rsid w:val="00D16E39"/>
    <w:rsid w:val="00D22EAD"/>
    <w:rsid w:val="00D60B0D"/>
    <w:rsid w:val="00D72E9D"/>
    <w:rsid w:val="00D82CE5"/>
    <w:rsid w:val="00DA5AB1"/>
    <w:rsid w:val="00DC62E5"/>
    <w:rsid w:val="00DD735D"/>
    <w:rsid w:val="00DE3119"/>
    <w:rsid w:val="00DF236B"/>
    <w:rsid w:val="00E13AB8"/>
    <w:rsid w:val="00E1532A"/>
    <w:rsid w:val="00E33B62"/>
    <w:rsid w:val="00E42794"/>
    <w:rsid w:val="00EC708D"/>
    <w:rsid w:val="00F53BED"/>
    <w:rsid w:val="00F70789"/>
    <w:rsid w:val="00F84899"/>
    <w:rsid w:val="00F859F0"/>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character" w:customStyle="1" w:styleId="NormalWebCar">
    <w:name w:val="Normal (Web) Car"/>
    <w:link w:val="NormalWeb"/>
    <w:uiPriority w:val="99"/>
    <w:rsid w:val="00A50F4E"/>
    <w:rPr>
      <w:rFonts w:ascii="Times New Roman" w:eastAsia="Times New Roman" w:hAnsi="Times New Roman" w:cs="Times New Roman"/>
      <w:sz w:val="24"/>
      <w:szCs w:val="24"/>
      <w:lang w:eastAsia="es-CO"/>
    </w:rPr>
  </w:style>
  <w:style w:type="paragraph" w:customStyle="1" w:styleId="Default">
    <w:name w:val="Default"/>
    <w:rsid w:val="00CE7C9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6981760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53476129">
      <w:bodyDiv w:val="1"/>
      <w:marLeft w:val="0"/>
      <w:marRight w:val="0"/>
      <w:marTop w:val="0"/>
      <w:marBottom w:val="0"/>
      <w:divBdr>
        <w:top w:val="none" w:sz="0" w:space="0" w:color="auto"/>
        <w:left w:val="none" w:sz="0" w:space="0" w:color="auto"/>
        <w:bottom w:val="none" w:sz="0" w:space="0" w:color="auto"/>
        <w:right w:val="none" w:sz="0" w:space="0" w:color="auto"/>
      </w:divBdr>
    </w:div>
    <w:div w:id="710153174">
      <w:bodyDiv w:val="1"/>
      <w:marLeft w:val="0"/>
      <w:marRight w:val="0"/>
      <w:marTop w:val="0"/>
      <w:marBottom w:val="0"/>
      <w:divBdr>
        <w:top w:val="none" w:sz="0" w:space="0" w:color="auto"/>
        <w:left w:val="none" w:sz="0" w:space="0" w:color="auto"/>
        <w:bottom w:val="none" w:sz="0" w:space="0" w:color="auto"/>
        <w:right w:val="none" w:sz="0" w:space="0" w:color="auto"/>
      </w:divBdr>
    </w:div>
    <w:div w:id="190895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2.xml><?xml version="1.0" encoding="utf-8"?>
<ds:datastoreItem xmlns:ds="http://schemas.openxmlformats.org/officeDocument/2006/customXml" ds:itemID="{55A6856E-A454-4E7A-A5AC-7A886567A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58F50-30E1-4470-9305-62D82B876918}">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9</TotalTime>
  <Pages>8</Pages>
  <Words>4199</Words>
  <Characters>23096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9</cp:revision>
  <dcterms:created xsi:type="dcterms:W3CDTF">2020-07-25T04:12:00Z</dcterms:created>
  <dcterms:modified xsi:type="dcterms:W3CDTF">2020-08-10T16:32:00Z</dcterms:modified>
</cp:coreProperties>
</file>