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F67FA5"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F67FA5">
        <w:rPr>
          <w:rFonts w:ascii="Arial" w:hAnsi="Arial" w:cs="Arial"/>
          <w:b/>
          <w:color w:val="000000" w:themeColor="text1"/>
          <w:sz w:val="16"/>
          <w:szCs w:val="16"/>
          <w:lang w:eastAsia="es-ES"/>
        </w:rPr>
        <w:t>CCE-DES-FM-17</w:t>
      </w:r>
      <w:bookmarkEnd w:id="0"/>
      <w:bookmarkEnd w:id="1"/>
    </w:p>
    <w:p w14:paraId="1F85047A" w14:textId="77777777" w:rsidR="001A2559" w:rsidRPr="00902CB0" w:rsidRDefault="001A2559" w:rsidP="001A2559">
      <w:pPr>
        <w:pStyle w:val="Prrafodelista"/>
        <w:spacing w:line="276" w:lineRule="auto"/>
        <w:ind w:left="0"/>
        <w:jc w:val="both"/>
        <w:rPr>
          <w:rFonts w:ascii="Arial" w:eastAsia="Calibri" w:hAnsi="Arial" w:cs="Arial"/>
          <w:color w:val="000000" w:themeColor="text1"/>
          <w:sz w:val="16"/>
          <w:szCs w:val="16"/>
        </w:rPr>
      </w:pPr>
    </w:p>
    <w:p w14:paraId="0BF7AEE6" w14:textId="77777777" w:rsidR="00A80922" w:rsidRPr="00F67FA5" w:rsidRDefault="00A80922" w:rsidP="00A80922">
      <w:pPr>
        <w:pStyle w:val="Prrafodelista"/>
        <w:ind w:left="0"/>
        <w:jc w:val="both"/>
        <w:rPr>
          <w:rFonts w:ascii="Arial" w:eastAsia="Calibri" w:hAnsi="Arial" w:cs="Arial"/>
          <w:b/>
          <w:color w:val="000000" w:themeColor="text1"/>
          <w:sz w:val="22"/>
          <w:szCs w:val="20"/>
          <w:lang w:val="es-ES"/>
        </w:rPr>
      </w:pPr>
      <w:r w:rsidRPr="00F67FA5">
        <w:rPr>
          <w:rFonts w:ascii="Arial" w:eastAsia="Calibri" w:hAnsi="Arial" w:cs="Arial"/>
          <w:b/>
          <w:color w:val="000000" w:themeColor="text1"/>
          <w:sz w:val="22"/>
          <w:szCs w:val="20"/>
          <w:lang w:val="es-ES"/>
        </w:rPr>
        <w:t>SECOP – Deber de publicación – Finalidad – Principio de publicidad</w:t>
      </w:r>
    </w:p>
    <w:p w14:paraId="37FD7509" w14:textId="77777777" w:rsidR="00A80922" w:rsidRPr="00F67FA5" w:rsidRDefault="00A80922" w:rsidP="00A80922">
      <w:pPr>
        <w:pStyle w:val="Prrafodelista"/>
        <w:ind w:left="0"/>
        <w:jc w:val="both"/>
        <w:rPr>
          <w:rFonts w:ascii="Arial" w:eastAsia="Calibri" w:hAnsi="Arial" w:cs="Arial"/>
          <w:b/>
          <w:color w:val="000000" w:themeColor="text1"/>
          <w:sz w:val="22"/>
          <w:szCs w:val="20"/>
          <w:lang w:val="es-ES"/>
        </w:rPr>
      </w:pPr>
    </w:p>
    <w:p w14:paraId="117FBF0D" w14:textId="77777777" w:rsidR="00A80922" w:rsidRPr="00F67FA5" w:rsidRDefault="00A80922" w:rsidP="00A80922">
      <w:pPr>
        <w:spacing w:after="120"/>
        <w:jc w:val="both"/>
        <w:rPr>
          <w:rFonts w:ascii="Arial" w:hAnsi="Arial" w:cs="Arial"/>
          <w:color w:val="000000" w:themeColor="text1"/>
          <w:sz w:val="20"/>
          <w:szCs w:val="20"/>
          <w:lang w:val="es-ES"/>
        </w:rPr>
      </w:pPr>
      <w:r w:rsidRPr="00F67FA5">
        <w:rPr>
          <w:rFonts w:ascii="Arial" w:hAnsi="Arial" w:cs="Arial"/>
          <w:color w:val="000000" w:themeColor="text1"/>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F67FA5" w:rsidRDefault="00A80922" w:rsidP="00902CB0">
      <w:pPr>
        <w:jc w:val="both"/>
        <w:rPr>
          <w:rFonts w:ascii="Arial" w:hAnsi="Arial" w:cs="Arial"/>
          <w:color w:val="000000" w:themeColor="text1"/>
          <w:sz w:val="20"/>
          <w:szCs w:val="20"/>
          <w:lang w:val="es-ES"/>
        </w:rPr>
      </w:pPr>
      <w:r w:rsidRPr="00F67FA5">
        <w:rPr>
          <w:rFonts w:ascii="Arial" w:hAnsi="Arial" w:cs="Arial"/>
          <w:color w:val="000000" w:themeColor="text1"/>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F67FA5" w:rsidRDefault="00944B47" w:rsidP="00902CB0">
      <w:pPr>
        <w:pStyle w:val="Prrafodelista"/>
        <w:spacing w:line="276" w:lineRule="auto"/>
        <w:ind w:left="0"/>
        <w:jc w:val="both"/>
        <w:rPr>
          <w:rFonts w:ascii="Arial" w:eastAsia="Calibri" w:hAnsi="Arial" w:cs="Arial"/>
          <w:b/>
          <w:color w:val="000000" w:themeColor="text1"/>
          <w:sz w:val="20"/>
          <w:szCs w:val="20"/>
          <w:lang w:val="es-ES"/>
        </w:rPr>
      </w:pPr>
    </w:p>
    <w:p w14:paraId="1A4B7E63" w14:textId="6F5166DD" w:rsidR="00A80922" w:rsidRDefault="00A80922" w:rsidP="00902CB0">
      <w:pPr>
        <w:jc w:val="both"/>
        <w:rPr>
          <w:rFonts w:ascii="Arial" w:hAnsi="Arial" w:cs="Arial"/>
          <w:b/>
          <w:bCs/>
          <w:color w:val="000000" w:themeColor="text1"/>
          <w:sz w:val="22"/>
          <w:lang w:val="es-ES"/>
        </w:rPr>
      </w:pPr>
      <w:r w:rsidRPr="00F67FA5">
        <w:rPr>
          <w:rFonts w:ascii="Arial" w:hAnsi="Arial" w:cs="Arial"/>
          <w:b/>
          <w:bCs/>
          <w:color w:val="000000" w:themeColor="text1"/>
          <w:sz w:val="22"/>
          <w:lang w:val="es-ES"/>
        </w:rPr>
        <w:t>DOCUMENTOS DEL PROCESO – Noción – Deber de publicación – Proceso de contratación</w:t>
      </w:r>
    </w:p>
    <w:p w14:paraId="20E41AE2" w14:textId="77777777" w:rsidR="00902CB0" w:rsidRPr="00F67FA5" w:rsidRDefault="00902CB0" w:rsidP="00902CB0">
      <w:pPr>
        <w:jc w:val="both"/>
        <w:rPr>
          <w:rFonts w:ascii="Arial" w:hAnsi="Arial" w:cs="Arial"/>
          <w:b/>
          <w:bCs/>
          <w:color w:val="000000" w:themeColor="text1"/>
          <w:sz w:val="22"/>
          <w:lang w:val="es-ES"/>
        </w:rPr>
      </w:pPr>
    </w:p>
    <w:p w14:paraId="5D3C6252" w14:textId="77777777" w:rsidR="00A80922" w:rsidRPr="00F67FA5" w:rsidRDefault="00A80922" w:rsidP="00902CB0">
      <w:pPr>
        <w:jc w:val="both"/>
        <w:rPr>
          <w:rFonts w:ascii="Arial" w:eastAsia="Calibri" w:hAnsi="Arial" w:cs="Arial"/>
          <w:color w:val="000000" w:themeColor="text1"/>
          <w:sz w:val="20"/>
          <w:szCs w:val="20"/>
          <w:lang w:val="es-ES"/>
        </w:rPr>
      </w:pPr>
      <w:r w:rsidRPr="00F67FA5">
        <w:rPr>
          <w:rFonts w:ascii="Arial" w:eastAsia="Calibri" w:hAnsi="Arial" w:cs="Arial"/>
          <w:color w:val="000000" w:themeColor="text1"/>
          <w:sz w:val="20"/>
          <w:szCs w:val="20"/>
          <w:lang w:val="es-ES"/>
        </w:rPr>
        <w:t xml:space="preserve">[…] el deber de publicidad de la actividad contractual de las entidades estatales no solo se encuentra regulado por el artículo 3 de la Ley 1150 de 2007 y el </w:t>
      </w:r>
      <w:r w:rsidRPr="00F67FA5">
        <w:rPr>
          <w:rFonts w:ascii="Arial" w:eastAsia="Arial" w:hAnsi="Arial" w:cs="Arial"/>
          <w:color w:val="000000" w:themeColor="text1"/>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F67FA5">
        <w:rPr>
          <w:rFonts w:ascii="Arial" w:eastAsia="Arial" w:hAnsi="Arial" w:cs="Arial"/>
          <w:i/>
          <w:iCs/>
          <w:color w:val="000000" w:themeColor="text1"/>
          <w:sz w:val="20"/>
          <w:szCs w:val="20"/>
          <w:lang w:val="es-ES"/>
        </w:rPr>
        <w:t xml:space="preserve">Documentos del Procesos </w:t>
      </w:r>
      <w:r w:rsidRPr="00F67FA5">
        <w:rPr>
          <w:rFonts w:ascii="Arial" w:eastAsia="Arial" w:hAnsi="Arial" w:cs="Arial"/>
          <w:color w:val="000000" w:themeColor="text1"/>
          <w:sz w:val="20"/>
          <w:szCs w:val="20"/>
          <w:lang w:val="es-ES"/>
        </w:rPr>
        <w:t>expedidos por la entidad estatal.</w:t>
      </w:r>
    </w:p>
    <w:p w14:paraId="7094D321" w14:textId="77777777" w:rsidR="00A80922" w:rsidRPr="00F67FA5" w:rsidRDefault="00A80922" w:rsidP="00A80922">
      <w:pPr>
        <w:spacing w:before="120"/>
        <w:jc w:val="both"/>
        <w:rPr>
          <w:rFonts w:ascii="Arial" w:eastAsia="Calibri" w:hAnsi="Arial" w:cs="Arial"/>
          <w:color w:val="000000" w:themeColor="text1"/>
          <w:sz w:val="22"/>
          <w:lang w:val="es-ES"/>
        </w:rPr>
      </w:pPr>
      <w:r w:rsidRPr="00F67FA5">
        <w:rPr>
          <w:rFonts w:ascii="Arial" w:eastAsia="Calibri" w:hAnsi="Arial" w:cs="Arial"/>
          <w:color w:val="000000" w:themeColor="text1"/>
          <w:sz w:val="20"/>
          <w:szCs w:val="20"/>
          <w:lang w:val="es-ES"/>
        </w:rPr>
        <w:t xml:space="preserve">Esto quiere decir que las entidades estatales, además de los documentos y actos administrativos que expidan durante el </w:t>
      </w:r>
      <w:r w:rsidRPr="00F67FA5">
        <w:rPr>
          <w:rFonts w:ascii="Arial" w:eastAsia="Calibri" w:hAnsi="Arial" w:cs="Arial"/>
          <w:i/>
          <w:iCs/>
          <w:color w:val="000000" w:themeColor="text1"/>
          <w:sz w:val="20"/>
          <w:szCs w:val="20"/>
          <w:lang w:val="es-ES"/>
        </w:rPr>
        <w:t>Proceso de Contratación,</w:t>
      </w:r>
      <w:r w:rsidRPr="00F67FA5">
        <w:rPr>
          <w:rFonts w:ascii="Arial" w:eastAsia="Calibri" w:hAnsi="Arial" w:cs="Arial"/>
          <w:color w:val="000000" w:themeColor="text1"/>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F67FA5">
        <w:rPr>
          <w:rFonts w:ascii="Arial" w:eastAsia="Calibri" w:hAnsi="Arial" w:cs="Arial"/>
          <w:i/>
          <w:iCs/>
          <w:color w:val="000000" w:themeColor="text1"/>
          <w:sz w:val="20"/>
          <w:szCs w:val="20"/>
          <w:lang w:val="es-ES"/>
        </w:rPr>
        <w:t xml:space="preserve"> Documento del Proceso, </w:t>
      </w:r>
      <w:r w:rsidRPr="00F67FA5">
        <w:rPr>
          <w:rFonts w:ascii="Arial" w:eastAsia="Calibri" w:hAnsi="Arial" w:cs="Arial"/>
          <w:color w:val="000000" w:themeColor="text1"/>
          <w:sz w:val="20"/>
          <w:szCs w:val="20"/>
          <w:lang w:val="es-ES"/>
        </w:rPr>
        <w:t>hace parte del desarrollo del proceso de contratación, y que por disposición de la Ley de la transparencia y acceso a la información pública, deber ser publicada de manera proactiva por la entidad estatal</w:t>
      </w:r>
      <w:r w:rsidRPr="00F67FA5">
        <w:rPr>
          <w:rFonts w:ascii="Arial" w:eastAsia="Calibri" w:hAnsi="Arial" w:cs="Arial"/>
          <w:color w:val="000000" w:themeColor="text1"/>
          <w:sz w:val="22"/>
          <w:lang w:val="es-ES"/>
        </w:rPr>
        <w:t xml:space="preserve">.   </w:t>
      </w:r>
    </w:p>
    <w:p w14:paraId="70D18D6D" w14:textId="77777777" w:rsidR="00B26D02" w:rsidRPr="00F67FA5" w:rsidRDefault="00B26D02" w:rsidP="008C0579">
      <w:pPr>
        <w:jc w:val="both"/>
        <w:rPr>
          <w:rFonts w:ascii="Arial" w:hAnsi="Arial" w:cs="Arial"/>
          <w:color w:val="000000" w:themeColor="text1"/>
          <w:sz w:val="20"/>
          <w:szCs w:val="20"/>
          <w:lang w:val="es-ES"/>
        </w:rPr>
      </w:pPr>
    </w:p>
    <w:p w14:paraId="3F2D60AC" w14:textId="77777777" w:rsidR="00AA2570" w:rsidRPr="00F67FA5" w:rsidRDefault="00AA2570" w:rsidP="008C0579">
      <w:pPr>
        <w:spacing w:line="276" w:lineRule="auto"/>
        <w:jc w:val="both"/>
        <w:rPr>
          <w:rFonts w:ascii="Arial" w:hAnsi="Arial" w:cs="Arial"/>
          <w:b/>
          <w:bCs/>
          <w:color w:val="000000" w:themeColor="text1"/>
          <w:sz w:val="22"/>
          <w:lang w:val="es-ES"/>
        </w:rPr>
      </w:pPr>
      <w:r w:rsidRPr="00F67FA5">
        <w:rPr>
          <w:rFonts w:ascii="Arial" w:hAnsi="Arial" w:cs="Arial"/>
          <w:b/>
          <w:bCs/>
          <w:color w:val="000000" w:themeColor="text1"/>
          <w:sz w:val="22"/>
          <w:lang w:val="es-ES"/>
        </w:rPr>
        <w:t>PLAN ANUAL DE ADQUISICIONES – Publicación – Fundamento normativo</w:t>
      </w:r>
    </w:p>
    <w:p w14:paraId="4F55178B" w14:textId="77777777" w:rsidR="00AE5EFA" w:rsidRPr="00F67FA5" w:rsidRDefault="00AE5EFA" w:rsidP="008C0579">
      <w:pPr>
        <w:jc w:val="both"/>
        <w:rPr>
          <w:rFonts w:ascii="Arial" w:eastAsia="Calibri" w:hAnsi="Arial" w:cs="Arial"/>
          <w:bCs/>
          <w:color w:val="000000" w:themeColor="text1"/>
          <w:sz w:val="20"/>
          <w:szCs w:val="20"/>
          <w:lang w:val="es-ES_tradnl"/>
        </w:rPr>
      </w:pPr>
    </w:p>
    <w:p w14:paraId="24A14718" w14:textId="77777777" w:rsidR="00A80922" w:rsidRPr="00F67FA5" w:rsidRDefault="00A80922" w:rsidP="00A80922">
      <w:pPr>
        <w:spacing w:after="120"/>
        <w:jc w:val="both"/>
        <w:rPr>
          <w:rFonts w:ascii="Arial" w:eastAsia="Calibri" w:hAnsi="Arial" w:cs="Arial"/>
          <w:bCs/>
          <w:color w:val="000000" w:themeColor="text1"/>
          <w:sz w:val="20"/>
          <w:szCs w:val="20"/>
          <w:lang w:val="es-ES_tradnl"/>
        </w:rPr>
      </w:pPr>
      <w:r w:rsidRPr="00F67FA5">
        <w:rPr>
          <w:rFonts w:ascii="Arial" w:eastAsia="Calibri" w:hAnsi="Arial" w:cs="Arial"/>
          <w:bCs/>
          <w:color w:val="000000" w:themeColor="text1"/>
          <w:sz w:val="20"/>
          <w:szCs w:val="20"/>
          <w:lang w:val="es-ES_tradnl"/>
        </w:rPr>
        <w:t xml:space="preserve">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w:t>
      </w:r>
      <w:r w:rsidRPr="00F67FA5">
        <w:rPr>
          <w:rFonts w:ascii="Arial" w:eastAsia="Calibri" w:hAnsi="Arial" w:cs="Arial"/>
          <w:bCs/>
          <w:color w:val="000000" w:themeColor="text1"/>
          <w:sz w:val="20"/>
          <w:szCs w:val="20"/>
          <w:lang w:val="es-ES_tradnl"/>
        </w:rPr>
        <w:lastRenderedPageBreak/>
        <w:t>contratar con el Estado y tiene por finalidad informar a los potenciales proveedores de una estimación de las obras, bienes y servicios requeridos por cada entidad.</w:t>
      </w:r>
    </w:p>
    <w:p w14:paraId="19ED6059" w14:textId="0A09C7ED" w:rsidR="00944B47" w:rsidRPr="00F67FA5" w:rsidRDefault="00A80922" w:rsidP="00A80922">
      <w:pPr>
        <w:jc w:val="both"/>
        <w:rPr>
          <w:rFonts w:ascii="Arial" w:eastAsia="Calibri" w:hAnsi="Arial" w:cs="Arial"/>
          <w:bCs/>
          <w:color w:val="000000" w:themeColor="text1"/>
          <w:sz w:val="20"/>
          <w:szCs w:val="20"/>
          <w:lang w:val="es-ES_tradnl"/>
        </w:rPr>
      </w:pPr>
      <w:r w:rsidRPr="00F67FA5">
        <w:rPr>
          <w:rFonts w:ascii="Arial" w:eastAsia="Calibri" w:hAnsi="Arial" w:cs="Arial"/>
          <w:bCs/>
          <w:color w:val="000000" w:themeColor="text1"/>
          <w:sz w:val="20"/>
          <w:szCs w:val="20"/>
          <w:lang w:val="es-ES_tradnl"/>
        </w:rPr>
        <w:t xml:space="preserve">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w:t>
      </w:r>
      <w:proofErr w:type="spellStart"/>
      <w:r w:rsidRPr="00F67FA5">
        <w:rPr>
          <w:rFonts w:ascii="Arial" w:eastAsia="Calibri" w:hAnsi="Arial" w:cs="Arial"/>
          <w:bCs/>
          <w:color w:val="000000" w:themeColor="text1"/>
          <w:sz w:val="20"/>
          <w:szCs w:val="20"/>
          <w:lang w:val="es-ES_tradnl"/>
        </w:rPr>
        <w:t>Ibídem</w:t>
      </w:r>
      <w:proofErr w:type="spellEnd"/>
      <w:r w:rsidRPr="00F67FA5">
        <w:rPr>
          <w:rFonts w:ascii="Arial" w:eastAsia="Calibri" w:hAnsi="Arial" w:cs="Arial"/>
          <w:bCs/>
          <w:color w:val="000000" w:themeColor="text1"/>
          <w:sz w:val="20"/>
          <w:szCs w:val="20"/>
          <w:lang w:val="es-ES_tradnl"/>
        </w:rPr>
        <w:t>.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34477B88" w14:textId="77777777" w:rsidR="00A80922" w:rsidRPr="00F67FA5" w:rsidRDefault="00A80922" w:rsidP="00A80922">
      <w:pPr>
        <w:jc w:val="both"/>
        <w:rPr>
          <w:rFonts w:ascii="Arial" w:eastAsia="Calibri" w:hAnsi="Arial" w:cs="Arial"/>
          <w:color w:val="000000" w:themeColor="text1"/>
          <w:sz w:val="20"/>
          <w:szCs w:val="20"/>
          <w:lang w:val="es-ES"/>
        </w:rPr>
      </w:pPr>
    </w:p>
    <w:p w14:paraId="0B8543E5" w14:textId="1C45823E" w:rsidR="00944B47" w:rsidRPr="00F67FA5" w:rsidRDefault="00944B47" w:rsidP="285899D8">
      <w:pPr>
        <w:jc w:val="both"/>
        <w:rPr>
          <w:rFonts w:ascii="Arial" w:eastAsia="Calibri" w:hAnsi="Arial" w:cs="Arial"/>
          <w:b/>
          <w:bCs/>
          <w:color w:val="000000" w:themeColor="text1"/>
          <w:sz w:val="22"/>
          <w:lang w:val="es-CO"/>
        </w:rPr>
      </w:pPr>
      <w:r w:rsidRPr="285899D8">
        <w:rPr>
          <w:rFonts w:ascii="Arial" w:eastAsia="Calibri" w:hAnsi="Arial" w:cs="Arial"/>
          <w:b/>
          <w:bCs/>
          <w:color w:val="000000" w:themeColor="text1"/>
          <w:sz w:val="22"/>
          <w:lang w:val="es-CO"/>
        </w:rPr>
        <w:t xml:space="preserve">SECOP I </w:t>
      </w:r>
      <w:r w:rsidR="00AE5EFA" w:rsidRPr="285899D8">
        <w:rPr>
          <w:rFonts w:ascii="Arial" w:eastAsia="Calibri" w:hAnsi="Arial" w:cs="Arial"/>
          <w:b/>
          <w:bCs/>
          <w:color w:val="000000" w:themeColor="text1"/>
          <w:sz w:val="22"/>
          <w:lang w:val="es-CO"/>
        </w:rPr>
        <w:t>–</w:t>
      </w:r>
      <w:r w:rsidRPr="285899D8">
        <w:rPr>
          <w:rFonts w:ascii="Arial" w:eastAsia="Calibri" w:hAnsi="Arial" w:cs="Arial"/>
          <w:b/>
          <w:bCs/>
          <w:color w:val="000000" w:themeColor="text1"/>
          <w:sz w:val="22"/>
          <w:lang w:val="es-CO"/>
        </w:rPr>
        <w:t xml:space="preserve"> </w:t>
      </w:r>
      <w:proofErr w:type="spellStart"/>
      <w:r w:rsidRPr="285899D8">
        <w:rPr>
          <w:rFonts w:ascii="Arial" w:eastAsia="Calibri" w:hAnsi="Arial" w:cs="Arial"/>
          <w:b/>
          <w:bCs/>
          <w:color w:val="000000" w:themeColor="text1"/>
          <w:sz w:val="22"/>
          <w:lang w:val="es-CO"/>
        </w:rPr>
        <w:t>S</w:t>
      </w:r>
      <w:r w:rsidR="59257999" w:rsidRPr="285899D8">
        <w:rPr>
          <w:rFonts w:ascii="Arial" w:eastAsia="Calibri" w:hAnsi="Arial" w:cs="Arial"/>
          <w:b/>
          <w:bCs/>
          <w:color w:val="000000" w:themeColor="text1"/>
          <w:sz w:val="22"/>
          <w:lang w:val="es-CO"/>
        </w:rPr>
        <w:t>ecop</w:t>
      </w:r>
      <w:proofErr w:type="spellEnd"/>
      <w:r w:rsidRPr="285899D8">
        <w:rPr>
          <w:rFonts w:ascii="Arial" w:eastAsia="Calibri" w:hAnsi="Arial" w:cs="Arial"/>
          <w:b/>
          <w:bCs/>
          <w:color w:val="000000" w:themeColor="text1"/>
          <w:sz w:val="22"/>
          <w:lang w:val="es-CO"/>
        </w:rPr>
        <w:t xml:space="preserve"> II – Naturaleza – </w:t>
      </w:r>
      <w:r w:rsidR="00955CFA" w:rsidRPr="285899D8">
        <w:rPr>
          <w:rFonts w:ascii="Arial" w:eastAsia="Calibri" w:hAnsi="Arial" w:cs="Arial"/>
          <w:b/>
          <w:bCs/>
          <w:color w:val="000000" w:themeColor="text1"/>
          <w:sz w:val="22"/>
          <w:lang w:val="es-CO"/>
        </w:rPr>
        <w:t xml:space="preserve">Medio de publicidad – </w:t>
      </w:r>
      <w:r w:rsidRPr="285899D8">
        <w:rPr>
          <w:rFonts w:ascii="Arial" w:eastAsia="Calibri" w:hAnsi="Arial" w:cs="Arial"/>
          <w:b/>
          <w:bCs/>
          <w:color w:val="000000" w:themeColor="text1"/>
          <w:sz w:val="22"/>
          <w:lang w:val="es-CO"/>
        </w:rPr>
        <w:t>Plataforma transaccional</w:t>
      </w:r>
    </w:p>
    <w:p w14:paraId="0F00AD85" w14:textId="77777777" w:rsidR="00944B47" w:rsidRPr="00F67FA5" w:rsidRDefault="00944B47" w:rsidP="00944B47">
      <w:pPr>
        <w:jc w:val="both"/>
        <w:rPr>
          <w:rFonts w:ascii="Arial" w:eastAsia="Calibri" w:hAnsi="Arial" w:cs="Arial"/>
          <w:color w:val="000000" w:themeColor="text1"/>
          <w:sz w:val="20"/>
          <w:szCs w:val="20"/>
        </w:rPr>
      </w:pPr>
    </w:p>
    <w:p w14:paraId="04168754" w14:textId="77777777" w:rsidR="00A80922" w:rsidRPr="00F67FA5" w:rsidRDefault="00A80922" w:rsidP="00A80922">
      <w:pPr>
        <w:spacing w:after="120"/>
        <w:jc w:val="both"/>
        <w:rPr>
          <w:rFonts w:ascii="Arial" w:eastAsia="Calibri" w:hAnsi="Arial" w:cs="Arial"/>
          <w:color w:val="000000" w:themeColor="text1"/>
          <w:sz w:val="20"/>
          <w:szCs w:val="20"/>
        </w:rPr>
      </w:pPr>
      <w:r w:rsidRPr="00F67FA5">
        <w:rPr>
          <w:rFonts w:ascii="Arial" w:eastAsia="Calibri" w:hAnsi="Arial" w:cs="Arial"/>
          <w:color w:val="000000" w:themeColor="text1"/>
          <w:sz w:val="20"/>
          <w:szCs w:val="20"/>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75B27" w14:textId="44FDC129" w:rsidR="00944B47" w:rsidRPr="00F67FA5" w:rsidRDefault="00A80922" w:rsidP="00A80922">
      <w:pPr>
        <w:jc w:val="both"/>
        <w:rPr>
          <w:rFonts w:ascii="Arial" w:eastAsia="Calibri" w:hAnsi="Arial" w:cs="Arial"/>
          <w:color w:val="000000" w:themeColor="text1"/>
          <w:sz w:val="20"/>
          <w:szCs w:val="20"/>
        </w:rPr>
      </w:pPr>
      <w:r w:rsidRPr="00F67FA5">
        <w:rPr>
          <w:rFonts w:ascii="Arial" w:eastAsia="Calibri" w:hAnsi="Arial" w:cs="Arial"/>
          <w:color w:val="000000" w:themeColor="text1"/>
          <w:sz w:val="20"/>
          <w:szCs w:val="20"/>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E81C55" w14:textId="77777777" w:rsidR="00A80922" w:rsidRPr="00F67FA5" w:rsidRDefault="00A80922" w:rsidP="00A80922">
      <w:pPr>
        <w:jc w:val="both"/>
        <w:rPr>
          <w:rFonts w:ascii="Arial" w:eastAsia="Calibri" w:hAnsi="Arial" w:cs="Arial"/>
          <w:color w:val="000000" w:themeColor="text1"/>
          <w:sz w:val="20"/>
          <w:szCs w:val="20"/>
          <w:lang w:val="es-ES"/>
        </w:rPr>
      </w:pPr>
    </w:p>
    <w:p w14:paraId="333E223D" w14:textId="77777777" w:rsidR="00AA2570" w:rsidRPr="00F67FA5" w:rsidRDefault="00AA2570" w:rsidP="00AA2570">
      <w:pPr>
        <w:jc w:val="both"/>
        <w:rPr>
          <w:rFonts w:ascii="Arial" w:eastAsia="Calibri" w:hAnsi="Arial" w:cs="Arial"/>
          <w:b/>
          <w:bCs/>
          <w:color w:val="000000" w:themeColor="text1"/>
          <w:sz w:val="22"/>
        </w:rPr>
      </w:pPr>
      <w:r w:rsidRPr="00F67FA5">
        <w:rPr>
          <w:rFonts w:ascii="Arial" w:eastAsia="Calibri" w:hAnsi="Arial" w:cs="Arial"/>
          <w:b/>
          <w:bCs/>
          <w:color w:val="000000" w:themeColor="text1"/>
          <w:sz w:val="22"/>
        </w:rPr>
        <w:t xml:space="preserve">SECOP II – Obligatoriedad </w:t>
      </w:r>
    </w:p>
    <w:p w14:paraId="71B442A4" w14:textId="77777777" w:rsidR="00AA2570" w:rsidRPr="00F67FA5" w:rsidRDefault="00AA2570" w:rsidP="00AA2570">
      <w:pPr>
        <w:jc w:val="both"/>
        <w:rPr>
          <w:rFonts w:ascii="Arial" w:eastAsia="Calibri" w:hAnsi="Arial" w:cs="Arial"/>
          <w:color w:val="000000" w:themeColor="text1"/>
          <w:sz w:val="20"/>
          <w:szCs w:val="20"/>
        </w:rPr>
      </w:pPr>
    </w:p>
    <w:p w14:paraId="6CF1E241" w14:textId="77777777" w:rsidR="00944B47" w:rsidRPr="00F67FA5" w:rsidRDefault="00AA2570" w:rsidP="00944B47">
      <w:pPr>
        <w:spacing w:after="120"/>
        <w:jc w:val="both"/>
        <w:rPr>
          <w:rFonts w:ascii="Arial" w:eastAsia="Calibri" w:hAnsi="Arial" w:cs="Arial"/>
          <w:color w:val="000000" w:themeColor="text1"/>
          <w:sz w:val="20"/>
          <w:szCs w:val="20"/>
          <w:lang w:val="es-ES"/>
        </w:rPr>
      </w:pPr>
      <w:r w:rsidRPr="00F67FA5">
        <w:rPr>
          <w:rFonts w:ascii="Arial" w:eastAsia="Calibri" w:hAnsi="Arial" w:cs="Arial"/>
          <w:color w:val="000000" w:themeColor="text1"/>
          <w:sz w:val="20"/>
          <w:szCs w:val="20"/>
          <w:lang w:val="es-ES"/>
        </w:rPr>
        <w:t xml:space="preserve">[…] </w:t>
      </w:r>
      <w:r w:rsidR="00944B47" w:rsidRPr="00F67FA5">
        <w:rPr>
          <w:rFonts w:ascii="Arial" w:eastAsia="Calibri" w:hAnsi="Arial" w:cs="Arial"/>
          <w:color w:val="000000" w:themeColor="text1"/>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7E4966D4" w:rsidR="00944B47" w:rsidRPr="00F67FA5" w:rsidRDefault="00944B47" w:rsidP="008C0579">
      <w:pPr>
        <w:jc w:val="both"/>
        <w:rPr>
          <w:rFonts w:ascii="Arial" w:eastAsia="Calibri" w:hAnsi="Arial" w:cs="Arial"/>
          <w:color w:val="000000" w:themeColor="text1"/>
          <w:sz w:val="20"/>
          <w:szCs w:val="20"/>
          <w:lang w:val="es-ES"/>
        </w:rPr>
      </w:pPr>
      <w:r w:rsidRPr="00F67FA5">
        <w:rPr>
          <w:rFonts w:ascii="Arial" w:eastAsia="Calibri" w:hAnsi="Arial" w:cs="Arial"/>
          <w:color w:val="000000" w:themeColor="text1"/>
          <w:sz w:val="20"/>
          <w:szCs w:val="20"/>
          <w:lang w:val="es-ES"/>
        </w:rPr>
        <w:t xml:space="preserve">En ese sentido, las entidades estatales incluidas en el Anexo 1 de la Circular Externa No. 1 de </w:t>
      </w:r>
      <w:proofErr w:type="gramStart"/>
      <w:r w:rsidRPr="00F67FA5">
        <w:rPr>
          <w:rFonts w:ascii="Arial" w:eastAsia="Calibri" w:hAnsi="Arial" w:cs="Arial"/>
          <w:color w:val="000000" w:themeColor="text1"/>
          <w:sz w:val="20"/>
          <w:szCs w:val="20"/>
          <w:lang w:val="es-ES"/>
        </w:rPr>
        <w:t>2020,  ya</w:t>
      </w:r>
      <w:proofErr w:type="gramEnd"/>
      <w:r w:rsidRPr="00F67FA5">
        <w:rPr>
          <w:rFonts w:ascii="Arial" w:eastAsia="Calibri" w:hAnsi="Arial" w:cs="Arial"/>
          <w:color w:val="000000" w:themeColor="text1"/>
          <w:sz w:val="20"/>
          <w:szCs w:val="20"/>
          <w:lang w:val="es-ES"/>
        </w:rPr>
        <w:t xml:space="preserve"> sea que se encuentren sometidas o exceptuadas de las </w:t>
      </w:r>
      <w:proofErr w:type="spellStart"/>
      <w:r w:rsidRPr="00F67FA5">
        <w:rPr>
          <w:rFonts w:ascii="Arial" w:eastAsia="Calibri" w:hAnsi="Arial" w:cs="Arial"/>
          <w:color w:val="000000" w:themeColor="text1"/>
          <w:sz w:val="20"/>
          <w:szCs w:val="20"/>
          <w:lang w:val="es-ES"/>
        </w:rPr>
        <w:t>apliación</w:t>
      </w:r>
      <w:proofErr w:type="spellEnd"/>
      <w:r w:rsidRPr="00F67FA5">
        <w:rPr>
          <w:rFonts w:ascii="Arial" w:eastAsia="Calibri" w:hAnsi="Arial" w:cs="Arial"/>
          <w:color w:val="000000" w:themeColor="text1"/>
          <w:sz w:val="20"/>
          <w:szCs w:val="20"/>
          <w:lang w:val="es-ES"/>
        </w:rPr>
        <w:t xml:space="preserve"> de la Ley 80 de 1993, deben cumplir con el deber de dar publicidad a la actividad contractual con la publicación de los</w:t>
      </w:r>
      <w:r w:rsidRPr="00F67FA5">
        <w:rPr>
          <w:rFonts w:ascii="Arial" w:eastAsia="Calibri" w:hAnsi="Arial" w:cs="Arial"/>
          <w:i/>
          <w:iCs/>
          <w:color w:val="000000" w:themeColor="text1"/>
          <w:sz w:val="20"/>
          <w:szCs w:val="20"/>
          <w:lang w:val="es-ES"/>
        </w:rPr>
        <w:t xml:space="preserve"> Documentos del Proceso </w:t>
      </w:r>
      <w:r w:rsidRPr="00F67FA5">
        <w:rPr>
          <w:rFonts w:ascii="Arial" w:eastAsia="Calibri" w:hAnsi="Arial" w:cs="Arial"/>
          <w:color w:val="000000" w:themeColor="text1"/>
          <w:sz w:val="20"/>
          <w:szCs w:val="20"/>
          <w:lang w:val="es-ES"/>
        </w:rPr>
        <w:t xml:space="preserve">en el SECOP II, publicación que debe realizarse en tiempo real en atención a la naturaleza transaccional de esta plataforma. </w:t>
      </w:r>
    </w:p>
    <w:p w14:paraId="60FAC6B4" w14:textId="0FA5D29E" w:rsidR="00B26D02" w:rsidRPr="00F67FA5" w:rsidRDefault="00B26D02" w:rsidP="008C0579">
      <w:pPr>
        <w:jc w:val="both"/>
        <w:rPr>
          <w:rFonts w:ascii="Arial" w:eastAsia="Calibri" w:hAnsi="Arial" w:cs="Arial"/>
          <w:color w:val="000000" w:themeColor="text1"/>
          <w:sz w:val="20"/>
          <w:szCs w:val="20"/>
          <w:lang w:val="es-ES"/>
        </w:rPr>
      </w:pPr>
    </w:p>
    <w:p w14:paraId="4076C9D5" w14:textId="77777777" w:rsidR="00B26D02" w:rsidRPr="00F67FA5" w:rsidRDefault="00B26D02" w:rsidP="00B26D02">
      <w:pPr>
        <w:spacing w:line="276" w:lineRule="auto"/>
        <w:jc w:val="both"/>
        <w:rPr>
          <w:rFonts w:ascii="Arial" w:hAnsi="Arial" w:cs="Arial"/>
          <w:b/>
          <w:bCs/>
          <w:color w:val="000000" w:themeColor="text1"/>
          <w:sz w:val="22"/>
          <w:lang w:val="es-CO"/>
        </w:rPr>
      </w:pPr>
      <w:r w:rsidRPr="00F67FA5">
        <w:rPr>
          <w:rFonts w:ascii="Arial" w:hAnsi="Arial" w:cs="Arial"/>
          <w:b/>
          <w:bCs/>
          <w:color w:val="000000" w:themeColor="text1"/>
          <w:sz w:val="22"/>
          <w:lang w:val="es-CO"/>
        </w:rPr>
        <w:t>SECOP – Publicación – Documentos</w:t>
      </w:r>
    </w:p>
    <w:p w14:paraId="2829C8CC" w14:textId="77777777" w:rsidR="00B26D02" w:rsidRPr="00F67FA5" w:rsidRDefault="00B26D02" w:rsidP="00B26D02">
      <w:pPr>
        <w:spacing w:line="276" w:lineRule="auto"/>
        <w:jc w:val="both"/>
        <w:rPr>
          <w:rFonts w:ascii="Arial" w:hAnsi="Arial" w:cs="Arial"/>
          <w:b/>
          <w:bCs/>
          <w:color w:val="000000" w:themeColor="text1"/>
          <w:sz w:val="20"/>
          <w:szCs w:val="20"/>
          <w:lang w:val="es-CO"/>
        </w:rPr>
      </w:pPr>
    </w:p>
    <w:p w14:paraId="6608FA79" w14:textId="77777777" w:rsidR="00B26D02" w:rsidRPr="00F67FA5" w:rsidRDefault="00B26D02" w:rsidP="00B26D02">
      <w:pPr>
        <w:jc w:val="both"/>
        <w:rPr>
          <w:rFonts w:ascii="Arial" w:hAnsi="Arial" w:cs="Arial"/>
          <w:color w:val="000000" w:themeColor="text1"/>
          <w:sz w:val="20"/>
          <w:szCs w:val="20"/>
          <w:lang w:val="es-ES_tradnl"/>
        </w:rPr>
      </w:pPr>
      <w:r w:rsidRPr="00F67FA5">
        <w:rPr>
          <w:rFonts w:ascii="Arial" w:hAnsi="Arial" w:cs="Arial"/>
          <w:color w:val="000000" w:themeColor="text1"/>
          <w:sz w:val="20"/>
          <w:szCs w:val="20"/>
          <w:lang w:val="es-ES_tradnl"/>
        </w:rPr>
        <w:t xml:space="preserve">Las entidades públicas sometidas al Estatuto General de Contratación de la Administración Pública, a las que no </w:t>
      </w:r>
      <w:proofErr w:type="spellStart"/>
      <w:r w:rsidRPr="00F67FA5">
        <w:rPr>
          <w:rFonts w:ascii="Arial" w:hAnsi="Arial" w:cs="Arial"/>
          <w:color w:val="000000" w:themeColor="text1"/>
          <w:sz w:val="20"/>
          <w:szCs w:val="20"/>
          <w:lang w:val="es-ES_tradnl"/>
        </w:rPr>
        <w:t>correspoda</w:t>
      </w:r>
      <w:proofErr w:type="spellEnd"/>
      <w:r w:rsidRPr="00F67FA5">
        <w:rPr>
          <w:rFonts w:ascii="Arial" w:hAnsi="Arial" w:cs="Arial"/>
          <w:color w:val="000000" w:themeColor="text1"/>
          <w:sz w:val="20"/>
          <w:szCs w:val="20"/>
          <w:lang w:val="es-ES_tradnl"/>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w:t>
      </w:r>
      <w:r w:rsidRPr="00F67FA5">
        <w:rPr>
          <w:rFonts w:ascii="Arial" w:hAnsi="Arial" w:cs="Arial"/>
          <w:color w:val="000000" w:themeColor="text1"/>
          <w:sz w:val="20"/>
          <w:szCs w:val="20"/>
          <w:lang w:val="es-ES_tradnl"/>
        </w:rPr>
        <w:lastRenderedPageBreak/>
        <w:t xml:space="preserve">artículos 2.1.1.2.1.7, 2.1.1.2.1.8, 2.1.1.2.1.9 y 2.1.1.2.1.10 del Decreto 1081 de 2015, deben publicar en SECOP I,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w:t>
      </w:r>
      <w:proofErr w:type="spellStart"/>
      <w:r w:rsidRPr="00F67FA5">
        <w:rPr>
          <w:rFonts w:ascii="Arial" w:hAnsi="Arial" w:cs="Arial"/>
          <w:color w:val="000000" w:themeColor="text1"/>
          <w:sz w:val="20"/>
          <w:szCs w:val="20"/>
          <w:lang w:val="es-ES_tradnl"/>
        </w:rPr>
        <w:t>ii</w:t>
      </w:r>
      <w:proofErr w:type="spellEnd"/>
      <w:r w:rsidRPr="00F67FA5">
        <w:rPr>
          <w:rFonts w:ascii="Arial" w:hAnsi="Arial" w:cs="Arial"/>
          <w:color w:val="000000" w:themeColor="text1"/>
          <w:sz w:val="20"/>
          <w:szCs w:val="20"/>
          <w:lang w:val="es-ES_tradnl"/>
        </w:rPr>
        <w:t xml:space="preserve">) los estudios y documentos previos –técnicos o no–; </w:t>
      </w:r>
      <w:proofErr w:type="spellStart"/>
      <w:r w:rsidRPr="00F67FA5">
        <w:rPr>
          <w:rFonts w:ascii="Arial" w:hAnsi="Arial" w:cs="Arial"/>
          <w:color w:val="000000" w:themeColor="text1"/>
          <w:sz w:val="20"/>
          <w:szCs w:val="20"/>
          <w:lang w:val="es-ES_tradnl"/>
        </w:rPr>
        <w:t>iii</w:t>
      </w:r>
      <w:proofErr w:type="spellEnd"/>
      <w:r w:rsidRPr="00F67FA5">
        <w:rPr>
          <w:rFonts w:ascii="Arial" w:hAnsi="Arial" w:cs="Arial"/>
          <w:color w:val="000000" w:themeColor="text1"/>
          <w:sz w:val="20"/>
          <w:szCs w:val="20"/>
          <w:lang w:val="es-ES_tradnl"/>
        </w:rPr>
        <w:t xml:space="preserve">) el  aviso de convocatoria; </w:t>
      </w:r>
      <w:proofErr w:type="spellStart"/>
      <w:r w:rsidRPr="00F67FA5">
        <w:rPr>
          <w:rFonts w:ascii="Arial" w:hAnsi="Arial" w:cs="Arial"/>
          <w:color w:val="000000" w:themeColor="text1"/>
          <w:sz w:val="20"/>
          <w:szCs w:val="20"/>
          <w:lang w:val="es-ES_tradnl"/>
        </w:rPr>
        <w:t>iv</w:t>
      </w:r>
      <w:proofErr w:type="spellEnd"/>
      <w:r w:rsidRPr="00F67FA5">
        <w:rPr>
          <w:rFonts w:ascii="Arial" w:hAnsi="Arial" w:cs="Arial"/>
          <w:color w:val="000000" w:themeColor="text1"/>
          <w:sz w:val="20"/>
          <w:szCs w:val="20"/>
          <w:lang w:val="es-ES_tradnl"/>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F67FA5">
        <w:rPr>
          <w:rFonts w:ascii="Arial" w:hAnsi="Arial" w:cs="Arial"/>
          <w:color w:val="000000" w:themeColor="text1"/>
          <w:sz w:val="20"/>
          <w:szCs w:val="20"/>
          <w:lang w:val="es-ES_tradnl"/>
        </w:rPr>
        <w:t>vii</w:t>
      </w:r>
      <w:proofErr w:type="spellEnd"/>
      <w:r w:rsidRPr="00F67FA5">
        <w:rPr>
          <w:rFonts w:ascii="Arial" w:hAnsi="Arial" w:cs="Arial"/>
          <w:color w:val="000000" w:themeColor="text1"/>
          <w:sz w:val="20"/>
          <w:szCs w:val="20"/>
          <w:lang w:val="es-ES_tradnl"/>
        </w:rPr>
        <w:t xml:space="preserve">) el acta de cierre del plazo para presentar ofertas; </w:t>
      </w:r>
      <w:proofErr w:type="spellStart"/>
      <w:r w:rsidRPr="00F67FA5">
        <w:rPr>
          <w:rFonts w:ascii="Arial" w:hAnsi="Arial" w:cs="Arial"/>
          <w:color w:val="000000" w:themeColor="text1"/>
          <w:sz w:val="20"/>
          <w:szCs w:val="20"/>
          <w:lang w:val="es-ES_tradnl"/>
        </w:rPr>
        <w:t>viii</w:t>
      </w:r>
      <w:proofErr w:type="spellEnd"/>
      <w:r w:rsidRPr="00F67FA5">
        <w:rPr>
          <w:rFonts w:ascii="Arial" w:hAnsi="Arial" w:cs="Arial"/>
          <w:color w:val="000000" w:themeColor="text1"/>
          <w:sz w:val="20"/>
          <w:szCs w:val="20"/>
          <w:lang w:val="es-ES_tradnl"/>
        </w:rPr>
        <w:t xml:space="preserve">) las adendas; </w:t>
      </w:r>
      <w:proofErr w:type="spellStart"/>
      <w:r w:rsidRPr="00F67FA5">
        <w:rPr>
          <w:rFonts w:ascii="Arial" w:hAnsi="Arial" w:cs="Arial"/>
          <w:color w:val="000000" w:themeColor="text1"/>
          <w:sz w:val="20"/>
          <w:szCs w:val="20"/>
          <w:lang w:val="es-ES_tradnl"/>
        </w:rPr>
        <w:t>ix</w:t>
      </w:r>
      <w:proofErr w:type="spellEnd"/>
      <w:r w:rsidRPr="00F67FA5">
        <w:rPr>
          <w:rFonts w:ascii="Arial" w:hAnsi="Arial" w:cs="Arial"/>
          <w:color w:val="000000" w:themeColor="text1"/>
          <w:sz w:val="20"/>
          <w:szCs w:val="20"/>
          <w:lang w:val="es-ES_tradnl"/>
        </w:rPr>
        <w:t xml:space="preserve">) la oferta del adjudicatario, así como las aclaraciones que se le realicen; x) el informe de precalificación y las observaciones que se formulen; xi) el informe de evaluación y las observaciones que se formulen; </w:t>
      </w:r>
      <w:proofErr w:type="spellStart"/>
      <w:r w:rsidRPr="00F67FA5">
        <w:rPr>
          <w:rFonts w:ascii="Arial" w:hAnsi="Arial" w:cs="Arial"/>
          <w:color w:val="000000" w:themeColor="text1"/>
          <w:sz w:val="20"/>
          <w:szCs w:val="20"/>
          <w:lang w:val="es-ES_tradnl"/>
        </w:rPr>
        <w:t>xii</w:t>
      </w:r>
      <w:proofErr w:type="spellEnd"/>
      <w:r w:rsidRPr="00F67FA5">
        <w:rPr>
          <w:rFonts w:ascii="Arial" w:hAnsi="Arial" w:cs="Arial"/>
          <w:color w:val="000000" w:themeColor="text1"/>
          <w:sz w:val="20"/>
          <w:szCs w:val="20"/>
          <w:lang w:val="es-ES_tradnl"/>
        </w:rPr>
        <w:t xml:space="preserve">) las respuestas a las observaciones; </w:t>
      </w:r>
      <w:proofErr w:type="spellStart"/>
      <w:r w:rsidRPr="00F67FA5">
        <w:rPr>
          <w:rFonts w:ascii="Arial" w:hAnsi="Arial" w:cs="Arial"/>
          <w:color w:val="000000" w:themeColor="text1"/>
          <w:sz w:val="20"/>
          <w:szCs w:val="20"/>
          <w:lang w:val="es-ES_tradnl"/>
        </w:rPr>
        <w:t>xiii</w:t>
      </w:r>
      <w:proofErr w:type="spellEnd"/>
      <w:r w:rsidRPr="00F67FA5">
        <w:rPr>
          <w:rFonts w:ascii="Arial" w:hAnsi="Arial" w:cs="Arial"/>
          <w:color w:val="000000" w:themeColor="text1"/>
          <w:sz w:val="20"/>
          <w:szCs w:val="20"/>
          <w:lang w:val="es-ES_tradnl"/>
        </w:rPr>
        <w:t xml:space="preserve">) el contrato y los otrosíes o modificaciones; </w:t>
      </w:r>
      <w:proofErr w:type="spellStart"/>
      <w:r w:rsidRPr="00F67FA5">
        <w:rPr>
          <w:rFonts w:ascii="Arial" w:hAnsi="Arial" w:cs="Arial"/>
          <w:color w:val="000000" w:themeColor="text1"/>
          <w:sz w:val="20"/>
          <w:szCs w:val="20"/>
          <w:lang w:val="es-ES_tradnl"/>
        </w:rPr>
        <w:t>xiv</w:t>
      </w:r>
      <w:proofErr w:type="spellEnd"/>
      <w:r w:rsidRPr="00F67FA5">
        <w:rPr>
          <w:rFonts w:ascii="Arial" w:hAnsi="Arial" w:cs="Arial"/>
          <w:color w:val="000000" w:themeColor="text1"/>
          <w:sz w:val="20"/>
          <w:szCs w:val="20"/>
          <w:lang w:val="es-ES_tradnl"/>
        </w:rPr>
        <w:t xml:space="preserve">) el acta de inicio; </w:t>
      </w:r>
      <w:proofErr w:type="spellStart"/>
      <w:r w:rsidRPr="00F67FA5">
        <w:rPr>
          <w:rFonts w:ascii="Arial" w:hAnsi="Arial" w:cs="Arial"/>
          <w:color w:val="000000" w:themeColor="text1"/>
          <w:sz w:val="20"/>
          <w:szCs w:val="20"/>
          <w:lang w:val="es-ES_tradnl"/>
        </w:rPr>
        <w:t>xv</w:t>
      </w:r>
      <w:proofErr w:type="spellEnd"/>
      <w:r w:rsidRPr="00F67FA5">
        <w:rPr>
          <w:rFonts w:ascii="Arial" w:hAnsi="Arial" w:cs="Arial"/>
          <w:color w:val="000000" w:themeColor="text1"/>
          <w:sz w:val="20"/>
          <w:szCs w:val="20"/>
          <w:lang w:val="es-ES_tradnl"/>
        </w:rPr>
        <w:t xml:space="preserve">) las garantías; </w:t>
      </w:r>
      <w:proofErr w:type="spellStart"/>
      <w:r w:rsidRPr="00F67FA5">
        <w:rPr>
          <w:rFonts w:ascii="Arial" w:hAnsi="Arial" w:cs="Arial"/>
          <w:color w:val="000000" w:themeColor="text1"/>
          <w:sz w:val="20"/>
          <w:szCs w:val="20"/>
          <w:lang w:val="es-ES_tradnl"/>
        </w:rPr>
        <w:t>xvi</w:t>
      </w:r>
      <w:proofErr w:type="spellEnd"/>
      <w:r w:rsidRPr="00F67FA5">
        <w:rPr>
          <w:rFonts w:ascii="Arial" w:hAnsi="Arial" w:cs="Arial"/>
          <w:color w:val="000000" w:themeColor="text1"/>
          <w:sz w:val="20"/>
          <w:szCs w:val="20"/>
          <w:lang w:val="es-ES_tradnl"/>
        </w:rPr>
        <w:t xml:space="preserve">) el acta de liquidación; </w:t>
      </w:r>
      <w:proofErr w:type="spellStart"/>
      <w:r w:rsidRPr="00F67FA5">
        <w:rPr>
          <w:rFonts w:ascii="Arial" w:hAnsi="Arial" w:cs="Arial"/>
          <w:color w:val="000000" w:themeColor="text1"/>
          <w:sz w:val="20"/>
          <w:szCs w:val="20"/>
          <w:lang w:val="es-ES_tradnl"/>
        </w:rPr>
        <w:t>xvii</w:t>
      </w:r>
      <w:proofErr w:type="spellEnd"/>
      <w:r w:rsidRPr="00F67FA5">
        <w:rPr>
          <w:rFonts w:ascii="Arial" w:hAnsi="Arial" w:cs="Arial"/>
          <w:color w:val="000000" w:themeColor="text1"/>
          <w:sz w:val="20"/>
          <w:szCs w:val="20"/>
          <w:lang w:val="es-ES_tradnl"/>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F67FA5">
        <w:rPr>
          <w:rFonts w:ascii="Arial" w:hAnsi="Arial" w:cs="Arial"/>
          <w:color w:val="000000" w:themeColor="text1"/>
          <w:sz w:val="20"/>
          <w:szCs w:val="20"/>
          <w:lang w:val="es-ES_tradnl"/>
        </w:rPr>
        <w:t>xviii</w:t>
      </w:r>
      <w:proofErr w:type="spellEnd"/>
      <w:r w:rsidRPr="00F67FA5">
        <w:rPr>
          <w:rFonts w:ascii="Arial" w:hAnsi="Arial" w:cs="Arial"/>
          <w:color w:val="000000" w:themeColor="text1"/>
          <w:sz w:val="20"/>
          <w:szCs w:val="20"/>
          <w:lang w:val="es-ES_tradnl"/>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F67FA5">
        <w:rPr>
          <w:rFonts w:ascii="Arial" w:hAnsi="Arial" w:cs="Arial"/>
          <w:color w:val="000000" w:themeColor="text1"/>
          <w:sz w:val="20"/>
          <w:szCs w:val="20"/>
          <w:lang w:val="es-ES_tradnl"/>
        </w:rPr>
        <w:t>ix</w:t>
      </w:r>
      <w:proofErr w:type="spellEnd"/>
      <w:r w:rsidRPr="00F67FA5">
        <w:rPr>
          <w:rFonts w:ascii="Arial" w:hAnsi="Arial" w:cs="Arial"/>
          <w:color w:val="000000" w:themeColor="text1"/>
          <w:sz w:val="20"/>
          <w:szCs w:val="20"/>
          <w:lang w:val="es-ES_tradnl"/>
        </w:rPr>
        <w:t xml:space="preserve">) las reclamaciones que presenten las partes y las respuestas que se expidan a las mismas; </w:t>
      </w:r>
      <w:proofErr w:type="spellStart"/>
      <w:r w:rsidRPr="00F67FA5">
        <w:rPr>
          <w:rFonts w:ascii="Arial" w:hAnsi="Arial" w:cs="Arial"/>
          <w:color w:val="000000" w:themeColor="text1"/>
          <w:sz w:val="20"/>
          <w:szCs w:val="20"/>
          <w:lang w:val="es-ES_tradnl"/>
        </w:rPr>
        <w:t>xx</w:t>
      </w:r>
      <w:proofErr w:type="spellEnd"/>
      <w:r w:rsidRPr="00F67FA5">
        <w:rPr>
          <w:rFonts w:ascii="Arial" w:hAnsi="Arial" w:cs="Arial"/>
          <w:color w:val="000000" w:themeColor="text1"/>
          <w:sz w:val="20"/>
          <w:szCs w:val="20"/>
          <w:lang w:val="es-ES_tradnl"/>
        </w:rPr>
        <w:t xml:space="preserve">) las actas de entrega o recibo, </w:t>
      </w:r>
      <w:proofErr w:type="spellStart"/>
      <w:r w:rsidRPr="00F67FA5">
        <w:rPr>
          <w:rFonts w:ascii="Arial" w:hAnsi="Arial" w:cs="Arial"/>
          <w:color w:val="000000" w:themeColor="text1"/>
          <w:sz w:val="20"/>
          <w:szCs w:val="20"/>
          <w:lang w:val="es-ES_tradnl"/>
        </w:rPr>
        <w:t>xxi</w:t>
      </w:r>
      <w:proofErr w:type="spellEnd"/>
      <w:r w:rsidRPr="00F67FA5">
        <w:rPr>
          <w:rFonts w:ascii="Arial" w:hAnsi="Arial" w:cs="Arial"/>
          <w:color w:val="000000" w:themeColor="text1"/>
          <w:sz w:val="20"/>
          <w:szCs w:val="20"/>
          <w:lang w:val="es-ES_tradnl"/>
        </w:rPr>
        <w:t xml:space="preserve">) los informes de supervisión y/o interventoría; </w:t>
      </w:r>
      <w:proofErr w:type="spellStart"/>
      <w:r w:rsidRPr="00F67FA5">
        <w:rPr>
          <w:rFonts w:ascii="Arial" w:hAnsi="Arial" w:cs="Arial"/>
          <w:color w:val="000000" w:themeColor="text1"/>
          <w:sz w:val="20"/>
          <w:szCs w:val="20"/>
          <w:lang w:val="es-ES_tradnl"/>
        </w:rPr>
        <w:t>xxii</w:t>
      </w:r>
      <w:proofErr w:type="spellEnd"/>
      <w:r w:rsidRPr="00F67FA5">
        <w:rPr>
          <w:rFonts w:ascii="Arial" w:hAnsi="Arial" w:cs="Arial"/>
          <w:color w:val="000000" w:themeColor="text1"/>
          <w:sz w:val="20"/>
          <w:szCs w:val="20"/>
          <w:lang w:val="es-ES_tradnl"/>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F67FA5">
        <w:rPr>
          <w:rFonts w:ascii="Arial" w:hAnsi="Arial" w:cs="Arial"/>
          <w:color w:val="000000" w:themeColor="text1"/>
          <w:sz w:val="20"/>
          <w:szCs w:val="20"/>
          <w:lang w:val="es-ES_tradnl"/>
        </w:rPr>
        <w:t>xxiii</w:t>
      </w:r>
      <w:proofErr w:type="spellEnd"/>
      <w:r w:rsidRPr="00F67FA5">
        <w:rPr>
          <w:rFonts w:ascii="Arial" w:hAnsi="Arial" w:cs="Arial"/>
          <w:color w:val="000000" w:themeColor="text1"/>
          <w:sz w:val="20"/>
          <w:szCs w:val="20"/>
          <w:lang w:val="es-ES_tradnl"/>
        </w:rPr>
        <w:t xml:space="preserve">) la liquidación unilateral y </w:t>
      </w:r>
      <w:proofErr w:type="spellStart"/>
      <w:r w:rsidRPr="00F67FA5">
        <w:rPr>
          <w:rFonts w:ascii="Arial" w:hAnsi="Arial" w:cs="Arial"/>
          <w:color w:val="000000" w:themeColor="text1"/>
          <w:sz w:val="20"/>
          <w:szCs w:val="20"/>
          <w:lang w:val="es-ES_tradnl"/>
        </w:rPr>
        <w:t>xxiv</w:t>
      </w:r>
      <w:proofErr w:type="spellEnd"/>
      <w:r w:rsidRPr="00F67FA5">
        <w:rPr>
          <w:rFonts w:ascii="Arial" w:hAnsi="Arial" w:cs="Arial"/>
          <w:color w:val="000000" w:themeColor="text1"/>
          <w:sz w:val="20"/>
          <w:szCs w:val="20"/>
          <w:lang w:val="es-ES_tradnl"/>
        </w:rPr>
        <w:t>)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p>
    <w:p w14:paraId="192115C2" w14:textId="77777777" w:rsidR="009B7F9B" w:rsidRPr="00902CB0" w:rsidRDefault="009B7F9B" w:rsidP="009B7F9B">
      <w:pPr>
        <w:rPr>
          <w:rFonts w:ascii="Arial" w:hAnsi="Arial" w:cs="Arial"/>
          <w:color w:val="000000" w:themeColor="text1"/>
          <w:sz w:val="20"/>
          <w:szCs w:val="20"/>
          <w:lang w:val="es-CO"/>
        </w:rPr>
      </w:pPr>
      <w:bookmarkStart w:id="2" w:name="_Hlk38283712"/>
      <w:bookmarkStart w:id="3" w:name="_Hlk38449610"/>
      <w:bookmarkStart w:id="4" w:name="_Hlk29890381"/>
    </w:p>
    <w:p w14:paraId="3378BDE9" w14:textId="77777777" w:rsidR="00504A89" w:rsidRPr="00902CB0" w:rsidRDefault="00504A89" w:rsidP="00504A89">
      <w:pPr>
        <w:autoSpaceDE w:val="0"/>
        <w:autoSpaceDN w:val="0"/>
        <w:adjustRightInd w:val="0"/>
        <w:rPr>
          <w:rFonts w:ascii="Arial" w:hAnsi="Arial" w:cs="Arial"/>
          <w:color w:val="000000"/>
          <w:sz w:val="20"/>
          <w:szCs w:val="20"/>
          <w:lang w:val="es-CO"/>
        </w:rPr>
      </w:pPr>
      <w:bookmarkStart w:id="5" w:name="_Hlk46488214"/>
    </w:p>
    <w:p w14:paraId="3A1A5030" w14:textId="301D79E2" w:rsidR="00504A89" w:rsidRPr="00504A89" w:rsidRDefault="00504A89" w:rsidP="00504A89">
      <w:pPr>
        <w:autoSpaceDE w:val="0"/>
        <w:autoSpaceDN w:val="0"/>
        <w:adjustRightInd w:val="0"/>
        <w:rPr>
          <w:rFonts w:ascii="Arial" w:hAnsi="Arial" w:cs="Arial"/>
          <w:color w:val="000000"/>
          <w:sz w:val="22"/>
          <w:lang w:val="es-CO"/>
        </w:rPr>
      </w:pPr>
      <w:r w:rsidRPr="00504A89">
        <w:rPr>
          <w:rFonts w:ascii="Arial" w:hAnsi="Arial" w:cs="Arial"/>
          <w:color w:val="000000"/>
          <w:sz w:val="22"/>
          <w:lang w:val="es-CO"/>
        </w:rPr>
        <w:t xml:space="preserve">Bogotá D.C., </w:t>
      </w:r>
      <w:r w:rsidRPr="00504A89">
        <w:rPr>
          <w:rFonts w:ascii="Arial" w:hAnsi="Arial" w:cs="Arial"/>
          <w:b/>
          <w:bCs/>
          <w:color w:val="000000"/>
          <w:sz w:val="22"/>
          <w:lang w:val="es-CO"/>
        </w:rPr>
        <w:t xml:space="preserve">24/07/2020 Hora 13:23:54s </w:t>
      </w:r>
    </w:p>
    <w:p w14:paraId="738FEAEE" w14:textId="1E83124A" w:rsidR="006E15C5" w:rsidRPr="00F67FA5" w:rsidRDefault="00504A89" w:rsidP="00504A89">
      <w:pPr>
        <w:jc w:val="right"/>
        <w:rPr>
          <w:rFonts w:ascii="Arial" w:hAnsi="Arial" w:cs="Arial"/>
          <w:b/>
          <w:color w:val="000000" w:themeColor="text1"/>
          <w:sz w:val="22"/>
        </w:rPr>
      </w:pPr>
      <w:proofErr w:type="spellStart"/>
      <w:r w:rsidRPr="00504A89">
        <w:rPr>
          <w:rFonts w:ascii="Arial" w:hAnsi="Arial" w:cs="Arial"/>
          <w:b/>
          <w:bCs/>
          <w:color w:val="000000"/>
          <w:sz w:val="22"/>
          <w:lang w:val="es-CO"/>
        </w:rPr>
        <w:t>N°</w:t>
      </w:r>
      <w:proofErr w:type="spellEnd"/>
      <w:r w:rsidRPr="00504A89">
        <w:rPr>
          <w:rFonts w:ascii="Arial" w:hAnsi="Arial" w:cs="Arial"/>
          <w:b/>
          <w:bCs/>
          <w:color w:val="000000"/>
          <w:sz w:val="22"/>
          <w:lang w:val="es-CO"/>
        </w:rPr>
        <w:t xml:space="preserve"> Radicado: 2202013000006594</w:t>
      </w:r>
    </w:p>
    <w:p w14:paraId="1A6F1B4C" w14:textId="77777777" w:rsidR="009B7F9B" w:rsidRPr="00F67FA5" w:rsidRDefault="009B7F9B" w:rsidP="009B7F9B">
      <w:pPr>
        <w:rPr>
          <w:rFonts w:ascii="Arial" w:eastAsia="Calibri" w:hAnsi="Arial" w:cs="Arial"/>
          <w:color w:val="000000" w:themeColor="text1"/>
          <w:sz w:val="22"/>
        </w:rPr>
      </w:pPr>
    </w:p>
    <w:p w14:paraId="3376EEB4" w14:textId="77777777" w:rsidR="009B7F9B" w:rsidRPr="00F67FA5" w:rsidRDefault="009B7F9B" w:rsidP="009B7F9B">
      <w:pPr>
        <w:rPr>
          <w:rFonts w:ascii="Arial" w:eastAsia="Calibri" w:hAnsi="Arial" w:cs="Arial"/>
          <w:color w:val="000000" w:themeColor="text1"/>
          <w:sz w:val="22"/>
        </w:rPr>
      </w:pPr>
    </w:p>
    <w:p w14:paraId="74B03CCA" w14:textId="08F197E9" w:rsidR="009B7F9B" w:rsidRPr="00F67FA5" w:rsidRDefault="009B7F9B" w:rsidP="009B7F9B">
      <w:pPr>
        <w:rPr>
          <w:rFonts w:ascii="Arial" w:eastAsia="Calibri" w:hAnsi="Arial" w:cs="Arial"/>
          <w:color w:val="000000" w:themeColor="text1"/>
          <w:sz w:val="22"/>
        </w:rPr>
      </w:pPr>
      <w:r w:rsidRPr="00F67FA5">
        <w:rPr>
          <w:rFonts w:ascii="Arial" w:eastAsia="Calibri" w:hAnsi="Arial" w:cs="Arial"/>
          <w:color w:val="000000" w:themeColor="text1"/>
          <w:sz w:val="22"/>
        </w:rPr>
        <w:t>Señor</w:t>
      </w:r>
      <w:r w:rsidR="00492D50" w:rsidRPr="00F67FA5">
        <w:rPr>
          <w:rFonts w:ascii="Arial" w:eastAsia="Calibri" w:hAnsi="Arial" w:cs="Arial"/>
          <w:color w:val="000000" w:themeColor="text1"/>
          <w:sz w:val="22"/>
        </w:rPr>
        <w:t>a</w:t>
      </w:r>
    </w:p>
    <w:p w14:paraId="07C77A59" w14:textId="6EB09FDB" w:rsidR="00492D50" w:rsidRPr="00F67FA5" w:rsidRDefault="00492D50" w:rsidP="009B7F9B">
      <w:pPr>
        <w:rPr>
          <w:rFonts w:ascii="Arial" w:eastAsia="Calibri" w:hAnsi="Arial" w:cs="Arial"/>
          <w:b/>
          <w:color w:val="000000" w:themeColor="text1"/>
          <w:sz w:val="22"/>
        </w:rPr>
      </w:pPr>
      <w:r w:rsidRPr="00F67FA5">
        <w:rPr>
          <w:rFonts w:ascii="Arial" w:eastAsia="Calibri" w:hAnsi="Arial" w:cs="Arial"/>
          <w:b/>
          <w:color w:val="000000" w:themeColor="text1"/>
          <w:sz w:val="22"/>
        </w:rPr>
        <w:t>Diana Milena Cuervo</w:t>
      </w:r>
    </w:p>
    <w:p w14:paraId="62AAF159" w14:textId="2C34A00F" w:rsidR="009B7F9B" w:rsidRPr="00F67FA5" w:rsidRDefault="00492D50" w:rsidP="009B7F9B">
      <w:pPr>
        <w:rPr>
          <w:rFonts w:ascii="Arial" w:eastAsia="Calibri" w:hAnsi="Arial" w:cs="Arial"/>
          <w:color w:val="000000" w:themeColor="text1"/>
          <w:sz w:val="22"/>
        </w:rPr>
      </w:pPr>
      <w:r w:rsidRPr="00F67FA5">
        <w:rPr>
          <w:rFonts w:ascii="Arial" w:eastAsia="Calibri" w:hAnsi="Arial" w:cs="Arial"/>
          <w:color w:val="000000" w:themeColor="text1"/>
          <w:sz w:val="22"/>
        </w:rPr>
        <w:t>Motavita, Boyacá</w:t>
      </w:r>
    </w:p>
    <w:p w14:paraId="52F9C018" w14:textId="77777777" w:rsidR="009B7F9B" w:rsidRPr="00F67FA5" w:rsidRDefault="009B7F9B" w:rsidP="009B7F9B">
      <w:pPr>
        <w:rPr>
          <w:rFonts w:ascii="Arial" w:eastAsia="Calibri" w:hAnsi="Arial" w:cs="Arial"/>
          <w:color w:val="000000" w:themeColor="text1"/>
          <w:sz w:val="22"/>
        </w:rPr>
      </w:pPr>
    </w:p>
    <w:p w14:paraId="2921B229" w14:textId="77777777" w:rsidR="009B7F9B" w:rsidRPr="00F67FA5" w:rsidRDefault="009B7F9B" w:rsidP="009B7F9B">
      <w:pPr>
        <w:rPr>
          <w:rFonts w:ascii="Arial" w:eastAsia="Calibri" w:hAnsi="Arial" w:cs="Arial"/>
          <w:color w:val="000000" w:themeColor="text1"/>
          <w:sz w:val="22"/>
        </w:rPr>
      </w:pPr>
    </w:p>
    <w:p w14:paraId="0CBC855F" w14:textId="52FDB11F" w:rsidR="009B7F9B" w:rsidRPr="00F67FA5" w:rsidRDefault="00AE5EFA" w:rsidP="008C0579">
      <w:pPr>
        <w:rPr>
          <w:rFonts w:ascii="Arial" w:eastAsia="Calibri" w:hAnsi="Arial" w:cs="Arial"/>
          <w:b/>
          <w:color w:val="000000" w:themeColor="text1"/>
          <w:sz w:val="22"/>
        </w:rPr>
      </w:pPr>
      <w:r w:rsidRPr="00F67FA5">
        <w:rPr>
          <w:rFonts w:ascii="Arial" w:eastAsia="Calibri" w:hAnsi="Arial" w:cs="Arial"/>
          <w:b/>
          <w:color w:val="000000" w:themeColor="text1"/>
          <w:sz w:val="22"/>
        </w:rPr>
        <w:t xml:space="preserve">                                            </w:t>
      </w:r>
      <w:r w:rsidR="009B7F9B" w:rsidRPr="00F67FA5">
        <w:rPr>
          <w:rFonts w:ascii="Arial" w:eastAsia="Calibri" w:hAnsi="Arial" w:cs="Arial"/>
          <w:b/>
          <w:color w:val="000000" w:themeColor="text1"/>
          <w:sz w:val="22"/>
        </w:rPr>
        <w:t xml:space="preserve">Concepto C – </w:t>
      </w:r>
      <w:r w:rsidR="006E15C5" w:rsidRPr="00F67FA5">
        <w:rPr>
          <w:rFonts w:ascii="Arial" w:eastAsia="Calibri" w:hAnsi="Arial" w:cs="Arial"/>
          <w:b/>
          <w:color w:val="000000" w:themeColor="text1"/>
          <w:sz w:val="22"/>
        </w:rPr>
        <w:t>4</w:t>
      </w:r>
      <w:r w:rsidR="00492D50" w:rsidRPr="00F67FA5">
        <w:rPr>
          <w:rFonts w:ascii="Arial" w:eastAsia="Calibri" w:hAnsi="Arial" w:cs="Arial"/>
          <w:b/>
          <w:color w:val="000000" w:themeColor="text1"/>
          <w:sz w:val="22"/>
        </w:rPr>
        <w:t>74</w:t>
      </w:r>
      <w:r w:rsidR="006E15C5" w:rsidRPr="00F67FA5">
        <w:rPr>
          <w:rFonts w:ascii="Arial" w:eastAsia="Calibri" w:hAnsi="Arial" w:cs="Arial"/>
          <w:b/>
          <w:color w:val="000000" w:themeColor="text1"/>
          <w:sz w:val="22"/>
        </w:rPr>
        <w:t xml:space="preserve"> </w:t>
      </w:r>
      <w:r w:rsidR="009B7F9B" w:rsidRPr="00F67FA5">
        <w:rPr>
          <w:rFonts w:ascii="Arial" w:eastAsia="Calibri" w:hAnsi="Arial" w:cs="Arial"/>
          <w:b/>
          <w:color w:val="000000" w:themeColor="text1"/>
          <w:sz w:val="22"/>
        </w:rPr>
        <w:t>de 2020</w:t>
      </w:r>
    </w:p>
    <w:p w14:paraId="232ADF37" w14:textId="77777777" w:rsidR="009B7F9B" w:rsidRPr="00F67FA5" w:rsidRDefault="009B7F9B" w:rsidP="009B7F9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B5232" w:rsidRPr="006B5232" w14:paraId="2123D216" w14:textId="77777777" w:rsidTr="008007A7">
        <w:trPr>
          <w:trHeight w:val="1029"/>
        </w:trPr>
        <w:tc>
          <w:tcPr>
            <w:tcW w:w="2689" w:type="dxa"/>
            <w:hideMark/>
          </w:tcPr>
          <w:p w14:paraId="3EC1F9B4" w14:textId="77777777" w:rsidR="009B7F9B" w:rsidRPr="00F67FA5" w:rsidRDefault="009B7F9B" w:rsidP="008007A7">
            <w:pPr>
              <w:rPr>
                <w:rFonts w:ascii="Arial" w:eastAsia="Calibri" w:hAnsi="Arial" w:cs="Arial"/>
                <w:color w:val="000000" w:themeColor="text1"/>
                <w:sz w:val="22"/>
              </w:rPr>
            </w:pPr>
            <w:r w:rsidRPr="00F67FA5">
              <w:rPr>
                <w:rFonts w:ascii="Arial" w:eastAsia="Calibri" w:hAnsi="Arial" w:cs="Arial"/>
                <w:b/>
                <w:color w:val="000000" w:themeColor="text1"/>
                <w:sz w:val="22"/>
              </w:rPr>
              <w:t>Temas:</w:t>
            </w:r>
            <w:r w:rsidRPr="00F67FA5">
              <w:rPr>
                <w:rFonts w:ascii="Arial" w:eastAsia="Calibri" w:hAnsi="Arial" w:cs="Arial"/>
                <w:color w:val="000000" w:themeColor="text1"/>
                <w:sz w:val="22"/>
              </w:rPr>
              <w:t xml:space="preserve">              </w:t>
            </w:r>
          </w:p>
        </w:tc>
        <w:tc>
          <w:tcPr>
            <w:tcW w:w="6237" w:type="dxa"/>
            <w:hideMark/>
          </w:tcPr>
          <w:p w14:paraId="32953520" w14:textId="138EE0AA" w:rsidR="009B7F9B" w:rsidRPr="00F67FA5" w:rsidRDefault="009B7F9B" w:rsidP="008C0579">
            <w:pPr>
              <w:spacing w:after="120"/>
              <w:jc w:val="both"/>
              <w:rPr>
                <w:rFonts w:ascii="Arial" w:eastAsia="Calibri" w:hAnsi="Arial" w:cs="Arial"/>
                <w:color w:val="000000" w:themeColor="text1"/>
                <w:sz w:val="22"/>
                <w:lang w:val="es-CO"/>
              </w:rPr>
            </w:pPr>
            <w:r w:rsidRPr="00F67FA5">
              <w:rPr>
                <w:rFonts w:ascii="Arial" w:eastAsia="Calibri" w:hAnsi="Arial" w:cs="Arial"/>
                <w:color w:val="000000" w:themeColor="text1"/>
                <w:sz w:val="22"/>
              </w:rPr>
              <w:t xml:space="preserve">PRINCIPIO DE PUBLICIDAD – Noción – Acceso a la información pública / SECOP – Deber de publicación </w:t>
            </w:r>
            <w:proofErr w:type="gramStart"/>
            <w:r w:rsidRPr="00F67FA5">
              <w:rPr>
                <w:rFonts w:ascii="Arial" w:eastAsia="Calibri" w:hAnsi="Arial" w:cs="Arial"/>
                <w:color w:val="000000" w:themeColor="text1"/>
                <w:sz w:val="22"/>
              </w:rPr>
              <w:t>–  Finalidad</w:t>
            </w:r>
            <w:proofErr w:type="gramEnd"/>
            <w:r w:rsidRPr="00F67FA5">
              <w:rPr>
                <w:rFonts w:ascii="Arial" w:eastAsia="Calibri" w:hAnsi="Arial" w:cs="Arial"/>
                <w:color w:val="000000" w:themeColor="text1"/>
                <w:sz w:val="22"/>
              </w:rPr>
              <w:t xml:space="preserve"> – Principio de publicidad – Ejecución de recursos públicos / PLAN ANUAL DE ADQUISICIONES – Publicación – Fundamento normativo / SECOP I y SECOP II – Naturaleza – Medio de publicidad – Plataforma transaccional / SECOP II – Obligatoriedad</w:t>
            </w:r>
            <w:r w:rsidR="00492D50" w:rsidRPr="00F67FA5">
              <w:rPr>
                <w:rFonts w:ascii="Arial" w:eastAsia="Calibri" w:hAnsi="Arial" w:cs="Arial"/>
                <w:color w:val="000000" w:themeColor="text1"/>
                <w:sz w:val="22"/>
              </w:rPr>
              <w:t xml:space="preserve"> / SECOP – Publicación – Documentos </w:t>
            </w:r>
          </w:p>
        </w:tc>
      </w:tr>
      <w:tr w:rsidR="00492D50" w:rsidRPr="006B5232" w14:paraId="0EED7CDA" w14:textId="77777777" w:rsidTr="008007A7">
        <w:trPr>
          <w:trHeight w:val="264"/>
        </w:trPr>
        <w:tc>
          <w:tcPr>
            <w:tcW w:w="2689" w:type="dxa"/>
          </w:tcPr>
          <w:p w14:paraId="763F5813" w14:textId="77777777" w:rsidR="009B7F9B" w:rsidRPr="00F67FA5" w:rsidRDefault="009B7F9B" w:rsidP="008007A7">
            <w:pPr>
              <w:rPr>
                <w:rFonts w:ascii="Arial" w:eastAsia="Calibri" w:hAnsi="Arial" w:cs="Arial"/>
                <w:b/>
                <w:color w:val="000000" w:themeColor="text1"/>
                <w:sz w:val="22"/>
              </w:rPr>
            </w:pPr>
            <w:r w:rsidRPr="00F67FA5">
              <w:rPr>
                <w:rFonts w:ascii="Arial" w:eastAsia="Calibri" w:hAnsi="Arial" w:cs="Arial"/>
                <w:b/>
                <w:color w:val="000000" w:themeColor="text1"/>
                <w:sz w:val="22"/>
              </w:rPr>
              <w:t>Radicación:</w:t>
            </w:r>
            <w:r w:rsidRPr="00F67FA5">
              <w:rPr>
                <w:rFonts w:ascii="Arial" w:eastAsia="Calibri" w:hAnsi="Arial" w:cs="Arial"/>
                <w:color w:val="000000" w:themeColor="text1"/>
                <w:sz w:val="22"/>
              </w:rPr>
              <w:t xml:space="preserve">                              </w:t>
            </w:r>
          </w:p>
        </w:tc>
        <w:tc>
          <w:tcPr>
            <w:tcW w:w="6237" w:type="dxa"/>
          </w:tcPr>
          <w:p w14:paraId="7722D90B" w14:textId="3D60AD2F" w:rsidR="009B7F9B" w:rsidRPr="00F67FA5" w:rsidRDefault="009B7F9B" w:rsidP="008007A7">
            <w:pPr>
              <w:jc w:val="both"/>
              <w:rPr>
                <w:rFonts w:ascii="Arial" w:eastAsia="Calibri" w:hAnsi="Arial" w:cs="Arial"/>
                <w:color w:val="000000" w:themeColor="text1"/>
                <w:sz w:val="22"/>
              </w:rPr>
            </w:pPr>
            <w:r w:rsidRPr="00F67FA5">
              <w:rPr>
                <w:rFonts w:ascii="Arial" w:eastAsia="Calibri" w:hAnsi="Arial" w:cs="Arial"/>
                <w:color w:val="000000" w:themeColor="text1"/>
                <w:sz w:val="22"/>
              </w:rPr>
              <w:t xml:space="preserve">Respuesta consulta # </w:t>
            </w:r>
            <w:r w:rsidR="00492D50" w:rsidRPr="00F67FA5">
              <w:rPr>
                <w:rFonts w:ascii="Arial" w:eastAsia="Calibri" w:hAnsi="Arial" w:cs="Arial"/>
                <w:color w:val="000000" w:themeColor="text1"/>
                <w:sz w:val="22"/>
              </w:rPr>
              <w:t>4202013000005667</w:t>
            </w:r>
          </w:p>
        </w:tc>
      </w:tr>
    </w:tbl>
    <w:p w14:paraId="47DB626E" w14:textId="77777777" w:rsidR="009B7F9B" w:rsidRPr="00F67FA5" w:rsidRDefault="009B7F9B" w:rsidP="008C0579">
      <w:pPr>
        <w:spacing w:line="276" w:lineRule="auto"/>
        <w:rPr>
          <w:rFonts w:ascii="Arial" w:eastAsia="Calibri" w:hAnsi="Arial" w:cs="Arial"/>
          <w:color w:val="000000" w:themeColor="text1"/>
          <w:sz w:val="22"/>
        </w:rPr>
      </w:pPr>
    </w:p>
    <w:p w14:paraId="4EEEC9F2" w14:textId="77777777" w:rsidR="009B7F9B" w:rsidRPr="00F67FA5" w:rsidRDefault="009B7F9B" w:rsidP="008C0579">
      <w:pPr>
        <w:spacing w:line="276" w:lineRule="auto"/>
        <w:rPr>
          <w:rFonts w:ascii="Arial" w:eastAsia="Calibri" w:hAnsi="Arial" w:cs="Arial"/>
          <w:color w:val="000000" w:themeColor="text1"/>
          <w:sz w:val="22"/>
        </w:rPr>
      </w:pPr>
    </w:p>
    <w:p w14:paraId="39C63AA8" w14:textId="4B4ACBAE" w:rsidR="009B7F9B" w:rsidRPr="00F67FA5" w:rsidRDefault="009B7F9B" w:rsidP="008C0579">
      <w:pPr>
        <w:spacing w:line="276" w:lineRule="auto"/>
        <w:rPr>
          <w:rFonts w:ascii="Arial" w:eastAsia="Calibri" w:hAnsi="Arial" w:cs="Arial"/>
          <w:color w:val="000000" w:themeColor="text1"/>
          <w:sz w:val="22"/>
        </w:rPr>
      </w:pPr>
      <w:r w:rsidRPr="00F67FA5">
        <w:rPr>
          <w:rFonts w:ascii="Arial" w:eastAsia="Calibri" w:hAnsi="Arial" w:cs="Arial"/>
          <w:color w:val="000000" w:themeColor="text1"/>
          <w:sz w:val="22"/>
        </w:rPr>
        <w:t>Estimad</w:t>
      </w:r>
      <w:r w:rsidR="00492D50" w:rsidRPr="00F67FA5">
        <w:rPr>
          <w:rFonts w:ascii="Arial" w:eastAsia="Calibri" w:hAnsi="Arial" w:cs="Arial"/>
          <w:color w:val="000000" w:themeColor="text1"/>
          <w:sz w:val="22"/>
        </w:rPr>
        <w:t>a</w:t>
      </w:r>
      <w:r w:rsidRPr="00F67FA5">
        <w:rPr>
          <w:rFonts w:ascii="Arial" w:eastAsia="Calibri" w:hAnsi="Arial" w:cs="Arial"/>
          <w:color w:val="000000" w:themeColor="text1"/>
          <w:sz w:val="22"/>
        </w:rPr>
        <w:t xml:space="preserve"> señor</w:t>
      </w:r>
      <w:r w:rsidR="00492D50" w:rsidRPr="00F67FA5">
        <w:rPr>
          <w:rFonts w:ascii="Arial" w:eastAsia="Calibri" w:hAnsi="Arial" w:cs="Arial"/>
          <w:color w:val="000000" w:themeColor="text1"/>
          <w:sz w:val="22"/>
        </w:rPr>
        <w:t>a</w:t>
      </w:r>
      <w:r w:rsidRPr="00F67FA5">
        <w:rPr>
          <w:rFonts w:ascii="Arial" w:eastAsia="Calibri" w:hAnsi="Arial" w:cs="Arial"/>
          <w:color w:val="000000" w:themeColor="text1"/>
          <w:sz w:val="22"/>
        </w:rPr>
        <w:t xml:space="preserve"> </w:t>
      </w:r>
      <w:r w:rsidR="00492D50" w:rsidRPr="00F67FA5">
        <w:rPr>
          <w:rFonts w:ascii="Arial" w:eastAsia="Calibri" w:hAnsi="Arial" w:cs="Arial"/>
          <w:color w:val="000000" w:themeColor="text1"/>
          <w:sz w:val="22"/>
        </w:rPr>
        <w:t>Cuervo</w:t>
      </w:r>
      <w:r w:rsidR="006E15C5" w:rsidRPr="00F67FA5">
        <w:rPr>
          <w:rFonts w:ascii="Arial" w:eastAsia="Calibri" w:hAnsi="Arial" w:cs="Arial"/>
          <w:color w:val="000000" w:themeColor="text1"/>
          <w:sz w:val="22"/>
        </w:rPr>
        <w:t>,</w:t>
      </w:r>
    </w:p>
    <w:p w14:paraId="16CB4689" w14:textId="77777777" w:rsidR="009B7F9B" w:rsidRPr="00F67FA5" w:rsidRDefault="009B7F9B" w:rsidP="009B7F9B">
      <w:pPr>
        <w:spacing w:line="276" w:lineRule="auto"/>
        <w:jc w:val="both"/>
        <w:rPr>
          <w:rFonts w:ascii="Arial" w:eastAsia="Calibri" w:hAnsi="Arial" w:cs="Arial"/>
          <w:color w:val="000000" w:themeColor="text1"/>
          <w:sz w:val="22"/>
        </w:rPr>
      </w:pPr>
    </w:p>
    <w:p w14:paraId="0F5DA20E" w14:textId="487B65C7" w:rsidR="009B7F9B" w:rsidRPr="00F67FA5" w:rsidRDefault="009B7F9B" w:rsidP="009B7F9B">
      <w:pPr>
        <w:spacing w:line="276" w:lineRule="auto"/>
        <w:jc w:val="both"/>
        <w:rPr>
          <w:rFonts w:ascii="Arial" w:eastAsia="Calibri" w:hAnsi="Arial" w:cs="Arial"/>
          <w:color w:val="000000" w:themeColor="text1"/>
          <w:sz w:val="22"/>
        </w:rPr>
      </w:pPr>
      <w:r w:rsidRPr="00F67FA5">
        <w:rPr>
          <w:rFonts w:ascii="Arial" w:eastAsia="Calibri" w:hAnsi="Arial" w:cs="Arial"/>
          <w:color w:val="000000" w:themeColor="text1"/>
          <w:sz w:val="22"/>
        </w:rPr>
        <w:t xml:space="preserve">La Agencia Nacional de Contratación Pública – Colombia Compra Eficiente responde su consulta del </w:t>
      </w:r>
      <w:r w:rsidR="00492D50" w:rsidRPr="00F67FA5">
        <w:rPr>
          <w:rFonts w:ascii="Arial" w:eastAsia="Calibri" w:hAnsi="Arial" w:cs="Arial"/>
          <w:color w:val="000000" w:themeColor="text1"/>
          <w:sz w:val="22"/>
        </w:rPr>
        <w:t>7</w:t>
      </w:r>
      <w:r w:rsidR="006E15C5" w:rsidRPr="00F67FA5">
        <w:rPr>
          <w:rFonts w:ascii="Arial" w:eastAsia="Calibri" w:hAnsi="Arial" w:cs="Arial"/>
          <w:color w:val="000000" w:themeColor="text1"/>
          <w:sz w:val="22"/>
        </w:rPr>
        <w:t xml:space="preserve"> </w:t>
      </w:r>
      <w:r w:rsidRPr="00F67FA5">
        <w:rPr>
          <w:rFonts w:ascii="Arial" w:eastAsia="Calibri" w:hAnsi="Arial" w:cs="Arial"/>
          <w:color w:val="000000" w:themeColor="text1"/>
          <w:sz w:val="22"/>
        </w:rPr>
        <w:t xml:space="preserve">de </w:t>
      </w:r>
      <w:proofErr w:type="gramStart"/>
      <w:r w:rsidR="00492D50" w:rsidRPr="00F67FA5">
        <w:rPr>
          <w:rFonts w:ascii="Arial" w:eastAsia="Calibri" w:hAnsi="Arial" w:cs="Arial"/>
          <w:color w:val="000000" w:themeColor="text1"/>
          <w:sz w:val="22"/>
        </w:rPr>
        <w:t>julio</w:t>
      </w:r>
      <w:r w:rsidR="006E15C5" w:rsidRPr="00F67FA5">
        <w:rPr>
          <w:rFonts w:ascii="Arial" w:eastAsia="Calibri" w:hAnsi="Arial" w:cs="Arial"/>
          <w:color w:val="000000" w:themeColor="text1"/>
          <w:sz w:val="22"/>
        </w:rPr>
        <w:t xml:space="preserve"> </w:t>
      </w:r>
      <w:r w:rsidRPr="00F67FA5">
        <w:rPr>
          <w:rFonts w:ascii="Arial" w:eastAsia="Calibri" w:hAnsi="Arial" w:cs="Arial"/>
          <w:color w:val="000000" w:themeColor="text1"/>
          <w:sz w:val="22"/>
        </w:rPr>
        <w:t xml:space="preserve"> de</w:t>
      </w:r>
      <w:proofErr w:type="gramEnd"/>
      <w:r w:rsidRPr="00F67FA5">
        <w:rPr>
          <w:rFonts w:ascii="Arial" w:eastAsia="Calibri" w:hAnsi="Arial" w:cs="Arial"/>
          <w:color w:val="000000" w:themeColor="text1"/>
          <w:sz w:val="22"/>
        </w:rPr>
        <w:t xml:space="preserve"> 2020, en ejercicio de la competencia otorgada por el numeral 5 del artículo 3 y por el numeral 8 del artículo 11 del Decreto 4170 de 2011.</w:t>
      </w:r>
    </w:p>
    <w:p w14:paraId="161EB3FA" w14:textId="77777777" w:rsidR="009B7F9B" w:rsidRPr="00F67FA5" w:rsidRDefault="009B7F9B" w:rsidP="009B7F9B">
      <w:pPr>
        <w:spacing w:line="276" w:lineRule="auto"/>
        <w:jc w:val="both"/>
        <w:rPr>
          <w:rFonts w:ascii="Arial" w:eastAsia="Calibri" w:hAnsi="Arial" w:cs="Arial"/>
          <w:color w:val="000000" w:themeColor="text1"/>
          <w:sz w:val="22"/>
        </w:rPr>
      </w:pPr>
    </w:p>
    <w:p w14:paraId="32EB3CD6" w14:textId="77777777" w:rsidR="009B7F9B" w:rsidRPr="00F67FA5" w:rsidRDefault="009B7F9B" w:rsidP="009B7F9B">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F67FA5">
        <w:rPr>
          <w:rFonts w:ascii="Arial" w:eastAsia="Calibri" w:hAnsi="Arial" w:cs="Arial"/>
          <w:b/>
          <w:color w:val="000000" w:themeColor="text1"/>
          <w:sz w:val="22"/>
        </w:rPr>
        <w:t>Problemas planteados</w:t>
      </w:r>
    </w:p>
    <w:p w14:paraId="0589AE5E" w14:textId="77777777" w:rsidR="009B7F9B" w:rsidRPr="00F67FA5" w:rsidRDefault="009B7F9B" w:rsidP="009B7F9B">
      <w:pPr>
        <w:pStyle w:val="Prrafodelista"/>
        <w:tabs>
          <w:tab w:val="left" w:pos="284"/>
        </w:tabs>
        <w:spacing w:line="276" w:lineRule="auto"/>
        <w:ind w:left="0"/>
        <w:rPr>
          <w:rFonts w:ascii="Arial" w:eastAsia="Calibri" w:hAnsi="Arial" w:cs="Arial"/>
          <w:b/>
          <w:color w:val="000000" w:themeColor="text1"/>
          <w:sz w:val="22"/>
        </w:rPr>
      </w:pPr>
    </w:p>
    <w:p w14:paraId="0DF310B6" w14:textId="0DF21B39" w:rsidR="009B7F9B" w:rsidRPr="00F67FA5" w:rsidRDefault="00BA740B" w:rsidP="009B7F9B">
      <w:pPr>
        <w:autoSpaceDE w:val="0"/>
        <w:autoSpaceDN w:val="0"/>
        <w:adjustRightInd w:val="0"/>
        <w:spacing w:line="276" w:lineRule="auto"/>
        <w:jc w:val="both"/>
        <w:rPr>
          <w:rFonts w:ascii="Arial" w:hAnsi="Arial" w:cs="Arial"/>
          <w:color w:val="000000" w:themeColor="text1"/>
          <w:sz w:val="22"/>
          <w:lang w:val="es-CO"/>
        </w:rPr>
      </w:pPr>
      <w:bookmarkStart w:id="6" w:name="_Hlk44670585"/>
      <w:r w:rsidRPr="00F67FA5">
        <w:rPr>
          <w:rFonts w:ascii="Arial" w:eastAsia="Calibri" w:hAnsi="Arial" w:cs="Arial"/>
          <w:color w:val="000000" w:themeColor="text1"/>
          <w:sz w:val="22"/>
        </w:rPr>
        <w:t>En la petición, usted solicita</w:t>
      </w:r>
      <w:r w:rsidR="00752F9B" w:rsidRPr="00F67FA5">
        <w:rPr>
          <w:rFonts w:ascii="Arial" w:eastAsia="Calibri" w:hAnsi="Arial" w:cs="Arial"/>
          <w:color w:val="000000" w:themeColor="text1"/>
          <w:sz w:val="22"/>
        </w:rPr>
        <w:t>:</w:t>
      </w:r>
      <w:r w:rsidR="009B7F9B" w:rsidRPr="00F67FA5">
        <w:rPr>
          <w:rFonts w:ascii="Arial" w:eastAsia="Calibri" w:hAnsi="Arial" w:cs="Arial"/>
          <w:color w:val="000000" w:themeColor="text1"/>
          <w:sz w:val="22"/>
        </w:rPr>
        <w:t xml:space="preserve"> </w:t>
      </w:r>
      <w:bookmarkStart w:id="7" w:name="_Hlk40095622"/>
      <w:r w:rsidR="009B7F9B" w:rsidRPr="00F67FA5">
        <w:rPr>
          <w:rFonts w:ascii="Arial" w:eastAsia="Calibri" w:hAnsi="Arial" w:cs="Arial"/>
          <w:color w:val="000000" w:themeColor="text1"/>
          <w:sz w:val="22"/>
        </w:rPr>
        <w:t xml:space="preserve">«[…] </w:t>
      </w:r>
      <w:r w:rsidR="00492D50" w:rsidRPr="00F67FA5">
        <w:rPr>
          <w:rFonts w:ascii="Arial" w:hAnsi="Arial" w:cs="Arial"/>
          <w:color w:val="000000" w:themeColor="text1"/>
          <w:sz w:val="22"/>
          <w:lang w:val="es-CO"/>
        </w:rPr>
        <w:t xml:space="preserve">quisiera saber </w:t>
      </w:r>
      <w:proofErr w:type="spellStart"/>
      <w:r w:rsidR="00492D50" w:rsidRPr="00F67FA5">
        <w:rPr>
          <w:rFonts w:ascii="Arial" w:hAnsi="Arial" w:cs="Arial"/>
          <w:color w:val="000000" w:themeColor="text1"/>
          <w:sz w:val="22"/>
          <w:lang w:val="es-CO"/>
        </w:rPr>
        <w:t>cuales</w:t>
      </w:r>
      <w:proofErr w:type="spellEnd"/>
      <w:r w:rsidR="00492D50" w:rsidRPr="00F67FA5">
        <w:rPr>
          <w:rFonts w:ascii="Arial" w:hAnsi="Arial" w:cs="Arial"/>
          <w:color w:val="000000" w:themeColor="text1"/>
          <w:sz w:val="22"/>
          <w:lang w:val="es-CO"/>
        </w:rPr>
        <w:t xml:space="preserve"> son los documentos obligatorios que se deben cargar en la plataforma SECOP 1 por cada proceso de contratación, bien sea contratación directa, mínima cuantía, selección abreviada, licitación </w:t>
      </w:r>
      <w:proofErr w:type="spellStart"/>
      <w:r w:rsidR="00492D50" w:rsidRPr="00F67FA5">
        <w:rPr>
          <w:rFonts w:ascii="Arial" w:hAnsi="Arial" w:cs="Arial"/>
          <w:color w:val="000000" w:themeColor="text1"/>
          <w:sz w:val="22"/>
          <w:lang w:val="es-CO"/>
        </w:rPr>
        <w:t>publica</w:t>
      </w:r>
      <w:proofErr w:type="spellEnd"/>
      <w:r w:rsidR="00492D50" w:rsidRPr="00F67FA5">
        <w:rPr>
          <w:rFonts w:ascii="Arial" w:hAnsi="Arial" w:cs="Arial"/>
          <w:color w:val="000000" w:themeColor="text1"/>
          <w:sz w:val="22"/>
          <w:lang w:val="es-CO"/>
        </w:rPr>
        <w:t xml:space="preserve"> y demás </w:t>
      </w:r>
      <w:r w:rsidR="009B7F9B" w:rsidRPr="00F67FA5">
        <w:rPr>
          <w:rFonts w:ascii="Arial" w:hAnsi="Arial" w:cs="Arial"/>
          <w:color w:val="000000" w:themeColor="text1"/>
          <w:sz w:val="22"/>
          <w:lang w:val="es-CO"/>
        </w:rPr>
        <w:t>[…]».</w:t>
      </w:r>
      <w:bookmarkEnd w:id="6"/>
      <w:bookmarkEnd w:id="7"/>
    </w:p>
    <w:p w14:paraId="1478A7F5" w14:textId="77777777" w:rsidR="009B7F9B" w:rsidRPr="00F67FA5" w:rsidRDefault="009B7F9B" w:rsidP="009B7F9B">
      <w:pPr>
        <w:spacing w:line="276" w:lineRule="auto"/>
        <w:ind w:left="709" w:right="709"/>
        <w:jc w:val="both"/>
        <w:rPr>
          <w:rFonts w:ascii="Arial" w:eastAsia="Calibri" w:hAnsi="Arial" w:cs="Arial"/>
          <w:color w:val="000000" w:themeColor="text1"/>
          <w:sz w:val="21"/>
          <w:szCs w:val="21"/>
        </w:rPr>
      </w:pPr>
    </w:p>
    <w:p w14:paraId="73D03073" w14:textId="079E6BD8" w:rsidR="009B7F9B" w:rsidRPr="00F67FA5" w:rsidRDefault="009B7F9B" w:rsidP="009B7F9B">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F67FA5">
        <w:rPr>
          <w:rFonts w:ascii="Arial" w:eastAsia="Calibri" w:hAnsi="Arial" w:cs="Arial"/>
          <w:b/>
          <w:color w:val="000000" w:themeColor="text1"/>
          <w:sz w:val="22"/>
        </w:rPr>
        <w:t>Consideraciones</w:t>
      </w:r>
    </w:p>
    <w:p w14:paraId="639BF164" w14:textId="708884CF" w:rsidR="008C0579" w:rsidRPr="00F67FA5" w:rsidRDefault="008C0579" w:rsidP="008C0579">
      <w:pPr>
        <w:pStyle w:val="Prrafodelista"/>
        <w:tabs>
          <w:tab w:val="left" w:pos="284"/>
        </w:tabs>
        <w:spacing w:line="276" w:lineRule="auto"/>
        <w:ind w:left="0"/>
        <w:rPr>
          <w:rFonts w:ascii="Arial" w:eastAsia="Calibri" w:hAnsi="Arial" w:cs="Arial"/>
          <w:b/>
          <w:color w:val="000000" w:themeColor="text1"/>
          <w:sz w:val="22"/>
        </w:rPr>
      </w:pPr>
    </w:p>
    <w:p w14:paraId="405BE03A" w14:textId="6E76A67B" w:rsidR="008C0579" w:rsidRPr="00F67FA5" w:rsidRDefault="008C0579" w:rsidP="008C0579">
      <w:pPr>
        <w:pStyle w:val="Prrafodelista"/>
        <w:tabs>
          <w:tab w:val="left" w:pos="284"/>
        </w:tabs>
        <w:spacing w:after="120" w:line="276" w:lineRule="auto"/>
        <w:ind w:left="0"/>
        <w:jc w:val="both"/>
        <w:rPr>
          <w:rFonts w:ascii="Arial" w:eastAsia="Calibri" w:hAnsi="Arial" w:cs="Arial"/>
          <w:b/>
          <w:color w:val="000000" w:themeColor="text1"/>
          <w:sz w:val="22"/>
        </w:rPr>
      </w:pPr>
      <w:r w:rsidRPr="00F67FA5">
        <w:rPr>
          <w:rFonts w:ascii="Arial" w:eastAsia="Calibri" w:hAnsi="Arial" w:cs="Arial"/>
          <w:color w:val="000000" w:themeColor="text1"/>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 cuya tesis se reitera en el presente concepto.</w:t>
      </w:r>
    </w:p>
    <w:p w14:paraId="64DB223C" w14:textId="58DDADD3" w:rsidR="009B7F9B" w:rsidRPr="00F67FA5" w:rsidRDefault="008C0579"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r>
      <w:r w:rsidR="009B7F9B" w:rsidRPr="00F67FA5">
        <w:rPr>
          <w:rFonts w:ascii="Arial" w:eastAsia="Arial" w:hAnsi="Arial" w:cs="Arial"/>
          <w:color w:val="000000" w:themeColor="text1"/>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F67FA5"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 xml:space="preserve">En ese sentido, teniendo en cuenta que mediante los procedimientos contractuales las entidades ejecutan recursos públicos y satisfacen el interés general, la normativa del sistema de compra pública –Ley 80 de 1993, Ley 1150 de 2007 y Decreto 1082 de 2015–, </w:t>
      </w:r>
      <w:r w:rsidRPr="00F67FA5">
        <w:rPr>
          <w:rFonts w:ascii="Arial" w:eastAsia="Arial" w:hAnsi="Arial" w:cs="Arial"/>
          <w:color w:val="000000" w:themeColor="text1"/>
          <w:sz w:val="22"/>
          <w:lang w:val="es-ES"/>
        </w:rPr>
        <w:lastRenderedPageBreak/>
        <w:t>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F67FA5">
        <w:rPr>
          <w:rFonts w:ascii="Arial" w:eastAsia="Arial" w:hAnsi="Arial" w:cs="Arial"/>
          <w:color w:val="000000" w:themeColor="text1"/>
          <w:sz w:val="22"/>
          <w:vertAlign w:val="superscript"/>
          <w:lang w:val="es-ES"/>
        </w:rPr>
        <w:footnoteReference w:id="1"/>
      </w:r>
      <w:r w:rsidRPr="00F67FA5">
        <w:rPr>
          <w:rFonts w:ascii="Arial" w:eastAsia="Arial" w:hAnsi="Arial" w:cs="Arial"/>
          <w:color w:val="000000" w:themeColor="text1"/>
          <w:sz w:val="22"/>
          <w:lang w:val="es-ES"/>
        </w:rPr>
        <w:t xml:space="preserve">, </w:t>
      </w:r>
      <w:proofErr w:type="gramStart"/>
      <w:r w:rsidRPr="00F67FA5">
        <w:rPr>
          <w:rFonts w:ascii="Arial" w:eastAsia="Arial" w:hAnsi="Arial" w:cs="Arial"/>
          <w:color w:val="000000" w:themeColor="text1"/>
          <w:sz w:val="22"/>
          <w:lang w:val="es-ES"/>
        </w:rPr>
        <w:t>con  lo</w:t>
      </w:r>
      <w:proofErr w:type="gramEnd"/>
      <w:r w:rsidRPr="00F67FA5">
        <w:rPr>
          <w:rFonts w:ascii="Arial" w:eastAsia="Arial" w:hAnsi="Arial" w:cs="Arial"/>
          <w:color w:val="000000" w:themeColor="text1"/>
          <w:sz w:val="22"/>
          <w:lang w:val="es-ES"/>
        </w:rPr>
        <w:t xml:space="preserve"> cual se puede determinar quiénes deben cumplir los principios y obligaciones señalados en las normas citadas.</w:t>
      </w:r>
    </w:p>
    <w:p w14:paraId="097605BD" w14:textId="77777777" w:rsidR="009B7F9B" w:rsidRPr="00F67FA5"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El artículo 23 de la Ley 80 de 1993 regula los principios que rigen las actuaciones dentro de los procedimientos contractuales que adelantan las entidades</w:t>
      </w:r>
      <w:r w:rsidRPr="00F67FA5">
        <w:rPr>
          <w:rFonts w:ascii="Arial" w:eastAsia="Arial" w:hAnsi="Arial" w:cs="Arial"/>
          <w:color w:val="000000" w:themeColor="text1"/>
          <w:sz w:val="22"/>
          <w:vertAlign w:val="superscript"/>
          <w:lang w:val="es-ES"/>
        </w:rPr>
        <w:footnoteReference w:id="2"/>
      </w:r>
      <w:r w:rsidRPr="00F67FA5">
        <w:rPr>
          <w:rFonts w:ascii="Arial" w:eastAsia="Arial" w:hAnsi="Arial" w:cs="Arial"/>
          <w:color w:val="000000" w:themeColor="text1"/>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F67FA5">
        <w:rPr>
          <w:rFonts w:ascii="Arial" w:eastAsia="Arial" w:hAnsi="Arial" w:cs="Arial"/>
          <w:color w:val="000000" w:themeColor="text1"/>
          <w:sz w:val="22"/>
          <w:vertAlign w:val="superscript"/>
          <w:lang w:val="es-ES"/>
        </w:rPr>
        <w:footnoteReference w:id="3"/>
      </w:r>
      <w:r w:rsidRPr="00F67FA5">
        <w:rPr>
          <w:rFonts w:ascii="Arial" w:eastAsia="Arial" w:hAnsi="Arial" w:cs="Arial"/>
          <w:color w:val="000000" w:themeColor="text1"/>
          <w:sz w:val="22"/>
          <w:lang w:val="es-ES"/>
        </w:rPr>
        <w:t xml:space="preserve">. De esta forma, las entidades </w:t>
      </w:r>
      <w:r w:rsidRPr="00F67FA5">
        <w:rPr>
          <w:rFonts w:ascii="Arial" w:eastAsia="Arial" w:hAnsi="Arial" w:cs="Arial"/>
          <w:color w:val="000000" w:themeColor="text1"/>
          <w:sz w:val="22"/>
          <w:lang w:val="es-ES"/>
        </w:rPr>
        <w:lastRenderedPageBreak/>
        <w:t>estatales deben publicar sus actuaciones de los procedimientos contractuales en el medio que ha definido el Estado para tal fin.</w:t>
      </w:r>
    </w:p>
    <w:p w14:paraId="0FC6E29A" w14:textId="79209BF1" w:rsidR="009B7F9B" w:rsidRPr="00F67FA5"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 xml:space="preserve">Para resolver su consulta relacionada con la publicidad en el SECOP: i) en primer lugar se desarrollará el marco normativo de los procedimientos contractuales y su publicidad; y </w:t>
      </w:r>
      <w:proofErr w:type="spellStart"/>
      <w:r w:rsidRPr="00F67FA5">
        <w:rPr>
          <w:rFonts w:ascii="Arial" w:eastAsia="Arial" w:hAnsi="Arial" w:cs="Arial"/>
          <w:color w:val="000000" w:themeColor="text1"/>
          <w:sz w:val="22"/>
          <w:lang w:val="es-ES"/>
        </w:rPr>
        <w:t>ii</w:t>
      </w:r>
      <w:proofErr w:type="spellEnd"/>
      <w:r w:rsidRPr="00F67FA5">
        <w:rPr>
          <w:rFonts w:ascii="Arial" w:eastAsia="Arial" w:hAnsi="Arial" w:cs="Arial"/>
          <w:color w:val="000000" w:themeColor="text1"/>
          <w:sz w:val="22"/>
          <w:lang w:val="es-ES"/>
        </w:rPr>
        <w:t>) se señalarán los documentos que se deben publicar en el SECOP</w:t>
      </w:r>
      <w:r w:rsidR="008C0579" w:rsidRPr="00F67FA5">
        <w:rPr>
          <w:rFonts w:ascii="Arial" w:eastAsia="Arial" w:hAnsi="Arial" w:cs="Arial"/>
          <w:color w:val="000000" w:themeColor="text1"/>
          <w:sz w:val="22"/>
          <w:lang w:val="es-ES"/>
        </w:rPr>
        <w:t xml:space="preserve"> I, conforme a la tesis expuesta por esta Agencia en el concepto CU-</w:t>
      </w:r>
      <w:r w:rsidR="00107E4D" w:rsidRPr="00F67FA5">
        <w:rPr>
          <w:rFonts w:ascii="Arial" w:eastAsia="Arial" w:hAnsi="Arial" w:cs="Arial"/>
          <w:color w:val="000000" w:themeColor="text1"/>
          <w:sz w:val="22"/>
          <w:lang w:val="es-ES"/>
        </w:rPr>
        <w:t>367 del 23 de julio de 2020</w:t>
      </w:r>
      <w:r w:rsidRPr="00F67FA5">
        <w:rPr>
          <w:rFonts w:ascii="Arial" w:eastAsia="Arial" w:hAnsi="Arial" w:cs="Arial"/>
          <w:color w:val="000000" w:themeColor="text1"/>
          <w:sz w:val="22"/>
          <w:lang w:val="es-ES"/>
        </w:rPr>
        <w:t>.</w:t>
      </w:r>
    </w:p>
    <w:p w14:paraId="5BEFF799" w14:textId="77777777" w:rsidR="009B7F9B" w:rsidRPr="00F67FA5"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lang w:val="es-ES"/>
        </w:rPr>
      </w:pPr>
    </w:p>
    <w:p w14:paraId="1FFA97A1" w14:textId="05B2939F" w:rsidR="009B7F9B" w:rsidRPr="00F67FA5"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color w:val="000000" w:themeColor="text1"/>
          <w:sz w:val="22"/>
          <w:lang w:val="es-ES"/>
        </w:rPr>
      </w:pPr>
      <w:r w:rsidRPr="00F67FA5">
        <w:rPr>
          <w:rFonts w:ascii="Arial" w:eastAsia="Arial" w:hAnsi="Arial" w:cs="Arial"/>
          <w:b/>
          <w:bCs/>
          <w:color w:val="000000" w:themeColor="text1"/>
          <w:sz w:val="22"/>
          <w:lang w:val="es-ES"/>
        </w:rPr>
        <w:t xml:space="preserve">Principio de publicidad y acceso a la información pública </w:t>
      </w:r>
    </w:p>
    <w:p w14:paraId="618C0518" w14:textId="77777777" w:rsidR="00107E4D" w:rsidRPr="00F67FA5"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color w:val="000000" w:themeColor="text1"/>
          <w:sz w:val="22"/>
          <w:lang w:val="es-ES"/>
        </w:rPr>
      </w:pPr>
    </w:p>
    <w:p w14:paraId="53BF6E87" w14:textId="77777777" w:rsidR="00107E4D" w:rsidRPr="00F67FA5" w:rsidRDefault="00107E4D" w:rsidP="00107E4D">
      <w:pPr>
        <w:widowControl w:val="0"/>
        <w:tabs>
          <w:tab w:val="left" w:pos="728"/>
        </w:tabs>
        <w:autoSpaceDE w:val="0"/>
        <w:autoSpaceDN w:val="0"/>
        <w:spacing w:line="276" w:lineRule="auto"/>
        <w:jc w:val="both"/>
        <w:rPr>
          <w:rFonts w:ascii="Arial" w:eastAsia="Arial" w:hAnsi="Arial" w:cs="Arial"/>
          <w:b/>
          <w:color w:val="000000" w:themeColor="text1"/>
          <w:sz w:val="22"/>
          <w:lang w:val="es-ES"/>
        </w:rPr>
      </w:pPr>
      <w:r w:rsidRPr="00F67FA5">
        <w:rPr>
          <w:rFonts w:ascii="Arial" w:eastAsia="Arial" w:hAnsi="Arial" w:cs="Arial"/>
          <w:color w:val="000000" w:themeColor="text1"/>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F67FA5" w:rsidRDefault="00107E4D" w:rsidP="00107E4D">
      <w:pPr>
        <w:widowControl w:val="0"/>
        <w:tabs>
          <w:tab w:val="left" w:pos="728"/>
        </w:tabs>
        <w:autoSpaceDE w:val="0"/>
        <w:autoSpaceDN w:val="0"/>
        <w:spacing w:line="276" w:lineRule="auto"/>
        <w:jc w:val="both"/>
        <w:rPr>
          <w:rFonts w:ascii="Arial" w:eastAsia="Arial" w:hAnsi="Arial" w:cs="Arial"/>
          <w:color w:val="000000" w:themeColor="text1"/>
          <w:sz w:val="22"/>
          <w:lang w:val="es-ES"/>
        </w:rPr>
      </w:pPr>
    </w:p>
    <w:p w14:paraId="07C8051A" w14:textId="77777777" w:rsidR="00107E4D" w:rsidRPr="00F67FA5" w:rsidRDefault="00107E4D" w:rsidP="00107E4D">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r w:rsidRPr="00F67FA5">
        <w:rPr>
          <w:rFonts w:ascii="Arial" w:eastAsia="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F787B9B" w14:textId="77777777" w:rsidR="00107E4D" w:rsidRPr="00F67FA5" w:rsidRDefault="00107E4D" w:rsidP="00107E4D">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p>
    <w:p w14:paraId="6C2AB5E2" w14:textId="77777777" w:rsidR="00107E4D" w:rsidRPr="00F67FA5" w:rsidRDefault="00107E4D" w:rsidP="00107E4D">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r w:rsidRPr="00F67FA5">
        <w:rPr>
          <w:rFonts w:ascii="Arial" w:eastAsia="Arial" w:hAnsi="Arial" w:cs="Arial"/>
          <w:color w:val="000000" w:themeColor="text1"/>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F67FA5">
        <w:rPr>
          <w:rFonts w:ascii="Arial" w:eastAsia="Arial" w:hAnsi="Arial" w:cs="Arial"/>
          <w:color w:val="000000" w:themeColor="text1"/>
          <w:sz w:val="21"/>
          <w:szCs w:val="21"/>
          <w:lang w:val="es-ES"/>
        </w:rPr>
        <w:t>autoridades públicas</w:t>
      </w:r>
      <w:proofErr w:type="gramEnd"/>
      <w:r w:rsidRPr="00F67FA5">
        <w:rPr>
          <w:rFonts w:ascii="Arial" w:eastAsia="Arial" w:hAnsi="Arial" w:cs="Arial"/>
          <w:color w:val="000000" w:themeColor="text1"/>
          <w:sz w:val="21"/>
          <w:szCs w:val="21"/>
          <w:lang w:val="es-ES"/>
        </w:rPr>
        <w:t xml:space="preserve"> y, a través de ese conocimiento, a exigir que ellas se surtan conforme a la ley</w:t>
      </w:r>
      <w:r w:rsidRPr="00F67FA5">
        <w:rPr>
          <w:rFonts w:ascii="Arial" w:eastAsia="Arial" w:hAnsi="Arial" w:cs="Arial"/>
          <w:color w:val="000000" w:themeColor="text1"/>
          <w:sz w:val="21"/>
          <w:szCs w:val="21"/>
          <w:vertAlign w:val="superscript"/>
          <w:lang w:val="es-ES"/>
        </w:rPr>
        <w:footnoteReference w:id="4"/>
      </w:r>
      <w:r w:rsidRPr="00F67FA5">
        <w:rPr>
          <w:rFonts w:ascii="Arial" w:eastAsia="Arial" w:hAnsi="Arial" w:cs="Arial"/>
          <w:color w:val="000000" w:themeColor="text1"/>
          <w:sz w:val="21"/>
          <w:szCs w:val="21"/>
          <w:lang w:val="es-ES"/>
        </w:rPr>
        <w:t>.</w:t>
      </w:r>
    </w:p>
    <w:p w14:paraId="3D90915E" w14:textId="77777777" w:rsidR="00107E4D" w:rsidRPr="00F67FA5" w:rsidRDefault="00107E4D" w:rsidP="00107E4D">
      <w:pPr>
        <w:widowControl w:val="0"/>
        <w:tabs>
          <w:tab w:val="left" w:pos="728"/>
        </w:tabs>
        <w:autoSpaceDE w:val="0"/>
        <w:autoSpaceDN w:val="0"/>
        <w:spacing w:line="276" w:lineRule="auto"/>
        <w:jc w:val="both"/>
        <w:rPr>
          <w:rFonts w:ascii="Arial" w:eastAsia="Arial" w:hAnsi="Arial" w:cs="Arial"/>
          <w:color w:val="000000" w:themeColor="text1"/>
          <w:sz w:val="22"/>
          <w:lang w:val="es-ES"/>
        </w:rPr>
      </w:pPr>
    </w:p>
    <w:p w14:paraId="6E259D23" w14:textId="77777777" w:rsidR="00107E4D" w:rsidRPr="00F67FA5" w:rsidRDefault="00107E4D" w:rsidP="00107E4D">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F67FA5">
        <w:rPr>
          <w:rFonts w:ascii="Arial" w:eastAsia="Arial" w:hAnsi="Arial" w:cs="Arial"/>
          <w:color w:val="000000" w:themeColor="text1"/>
          <w:sz w:val="22"/>
          <w:vertAlign w:val="superscript"/>
          <w:lang w:val="es-ES"/>
        </w:rPr>
        <w:footnoteReference w:id="5"/>
      </w:r>
      <w:r w:rsidRPr="00F67FA5">
        <w:rPr>
          <w:rFonts w:ascii="Arial" w:eastAsia="Arial" w:hAnsi="Arial" w:cs="Arial"/>
          <w:color w:val="000000" w:themeColor="text1"/>
          <w:sz w:val="22"/>
          <w:lang w:val="es-ES"/>
        </w:rPr>
        <w:t xml:space="preserve">. </w:t>
      </w:r>
    </w:p>
    <w:p w14:paraId="340A2753" w14:textId="77777777" w:rsidR="00107E4D" w:rsidRPr="00F67FA5" w:rsidRDefault="00107E4D" w:rsidP="00107E4D">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lastRenderedPageBreak/>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F67FA5">
        <w:rPr>
          <w:rFonts w:ascii="Arial" w:eastAsia="Arial" w:hAnsi="Arial" w:cs="Arial"/>
          <w:color w:val="000000" w:themeColor="text1"/>
          <w:sz w:val="22"/>
          <w:vertAlign w:val="superscript"/>
          <w:lang w:val="es-ES"/>
        </w:rPr>
        <w:footnoteReference w:id="6"/>
      </w:r>
      <w:r w:rsidRPr="00F67FA5">
        <w:rPr>
          <w:rFonts w:ascii="Arial" w:eastAsia="Arial" w:hAnsi="Arial" w:cs="Arial"/>
          <w:color w:val="000000" w:themeColor="text1"/>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77777777" w:rsidR="00107E4D" w:rsidRPr="00F67FA5" w:rsidRDefault="00107E4D" w:rsidP="00107E4D">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La ley citada establece, en el literal e) del artículo 9, que los sujetos obligados, que son todas las entidades públicas</w:t>
      </w:r>
      <w:r w:rsidRPr="00F67FA5">
        <w:rPr>
          <w:rFonts w:ascii="Arial" w:eastAsia="Arial" w:hAnsi="Arial" w:cs="Arial"/>
          <w:color w:val="000000" w:themeColor="text1"/>
          <w:sz w:val="22"/>
          <w:vertAlign w:val="superscript"/>
          <w:lang w:val="es-ES"/>
        </w:rPr>
        <w:footnoteReference w:id="7"/>
      </w:r>
      <w:r w:rsidRPr="00F67FA5">
        <w:rPr>
          <w:rFonts w:ascii="Arial" w:eastAsia="Arial" w:hAnsi="Arial" w:cs="Arial"/>
          <w:color w:val="000000" w:themeColor="text1"/>
          <w:sz w:val="22"/>
          <w:lang w:val="es-ES"/>
        </w:rPr>
        <w:t xml:space="preserve">, deben publicar la información relativa a su contratación. Esta obligación </w:t>
      </w:r>
      <w:proofErr w:type="gramStart"/>
      <w:r w:rsidRPr="00F67FA5">
        <w:rPr>
          <w:rFonts w:ascii="Arial" w:eastAsia="Arial" w:hAnsi="Arial" w:cs="Arial"/>
          <w:color w:val="000000" w:themeColor="text1"/>
          <w:sz w:val="22"/>
          <w:lang w:val="es-ES"/>
        </w:rPr>
        <w:t>fue  en</w:t>
      </w:r>
      <w:proofErr w:type="gramEnd"/>
      <w:r w:rsidRPr="00F67FA5">
        <w:rPr>
          <w:rFonts w:ascii="Arial" w:eastAsia="Arial" w:hAnsi="Arial" w:cs="Arial"/>
          <w:color w:val="000000" w:themeColor="text1"/>
          <w:sz w:val="22"/>
          <w:lang w:val="es-ES"/>
        </w:rPr>
        <w:t xml:space="preserve"> principio desarrollada por el  Decreto 103 de 2015, hoy compilado en el Decreto Único Reglamentario 1081 de 2015</w:t>
      </w:r>
      <w:r w:rsidRPr="00F67FA5">
        <w:rPr>
          <w:rFonts w:ascii="Arial" w:eastAsia="Arial" w:hAnsi="Arial" w:cs="Arial"/>
          <w:color w:val="000000" w:themeColor="text1"/>
          <w:sz w:val="22"/>
          <w:vertAlign w:val="superscript"/>
          <w:lang w:val="es-ES"/>
        </w:rPr>
        <w:footnoteReference w:id="8"/>
      </w:r>
      <w:r w:rsidRPr="00F67FA5">
        <w:rPr>
          <w:rFonts w:ascii="Arial" w:eastAsia="Arial" w:hAnsi="Arial" w:cs="Arial"/>
          <w:color w:val="000000" w:themeColor="text1"/>
          <w:sz w:val="22"/>
          <w:lang w:val="es-ES"/>
        </w:rPr>
        <w:t>, el cual dispuso que la publicación de la información contractual de los sujetos obligados, que contratan con cargo a recursos públicos, debe hacerse en el Sistema Electrónico de Contratación Pública –SECOP–.</w:t>
      </w:r>
    </w:p>
    <w:p w14:paraId="26AE94F3" w14:textId="77777777" w:rsidR="00107E4D" w:rsidRPr="00F67FA5" w:rsidRDefault="00107E4D" w:rsidP="00107E4D">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 xml:space="preserve">Asimismo, de acuerdo con el literal g) del artículo 11 de la misma Ley, todos los </w:t>
      </w:r>
      <w:r w:rsidRPr="00F67FA5">
        <w:rPr>
          <w:rFonts w:ascii="Arial" w:eastAsia="Arial" w:hAnsi="Arial" w:cs="Arial"/>
          <w:color w:val="000000" w:themeColor="text1"/>
          <w:sz w:val="22"/>
          <w:lang w:val="es-ES"/>
        </w:rPr>
        <w:lastRenderedPageBreak/>
        <w:t xml:space="preserve">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F67FA5" w:rsidRDefault="00107E4D" w:rsidP="00107E4D">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F67FA5">
        <w:rPr>
          <w:rFonts w:ascii="Arial" w:eastAsia="Arial" w:hAnsi="Arial" w:cs="Arial"/>
          <w:color w:val="000000" w:themeColor="text1"/>
          <w:sz w:val="22"/>
          <w:vertAlign w:val="superscript"/>
          <w:lang w:val="es-ES"/>
        </w:rPr>
        <w:footnoteReference w:id="9"/>
      </w:r>
      <w:r w:rsidRPr="00F67FA5">
        <w:rPr>
          <w:rFonts w:ascii="Arial" w:eastAsia="Arial" w:hAnsi="Arial" w:cs="Arial"/>
          <w:color w:val="000000" w:themeColor="text1"/>
          <w:sz w:val="22"/>
          <w:lang w:val="es-ES"/>
        </w:rPr>
        <w:t>.</w:t>
      </w:r>
    </w:p>
    <w:p w14:paraId="773A9D0A" w14:textId="77777777" w:rsidR="00107E4D" w:rsidRPr="00F67FA5" w:rsidRDefault="00107E4D" w:rsidP="00107E4D">
      <w:pPr>
        <w:widowControl w:val="0"/>
        <w:tabs>
          <w:tab w:val="left" w:pos="728"/>
        </w:tabs>
        <w:autoSpaceDE w:val="0"/>
        <w:autoSpaceDN w:val="0"/>
        <w:spacing w:line="276" w:lineRule="auto"/>
        <w:jc w:val="both"/>
        <w:rPr>
          <w:rFonts w:ascii="Arial" w:hAnsi="Arial" w:cs="Arial"/>
          <w:color w:val="000000" w:themeColor="text1"/>
          <w:sz w:val="22"/>
          <w:lang w:val="es-ES"/>
        </w:rPr>
      </w:pPr>
      <w:r w:rsidRPr="00F67FA5">
        <w:rPr>
          <w:rFonts w:ascii="Arial" w:eastAsia="Arial" w:hAnsi="Arial" w:cs="Arial"/>
          <w:color w:val="000000" w:themeColor="text1"/>
          <w:sz w:val="22"/>
          <w:lang w:val="es-ES"/>
        </w:rPr>
        <w:tab/>
      </w:r>
      <w:r w:rsidRPr="00F67FA5">
        <w:rPr>
          <w:rFonts w:ascii="Arial" w:hAnsi="Arial" w:cs="Arial"/>
          <w:color w:val="000000" w:themeColor="text1"/>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F67FA5">
        <w:rPr>
          <w:rFonts w:ascii="Arial" w:hAnsi="Arial" w:cs="Arial"/>
          <w:color w:val="000000" w:themeColor="text1"/>
          <w:sz w:val="22"/>
          <w:vertAlign w:val="superscript"/>
          <w:lang w:val="es-ES"/>
        </w:rPr>
        <w:footnoteReference w:id="10"/>
      </w:r>
      <w:r w:rsidRPr="00F67FA5">
        <w:rPr>
          <w:rFonts w:ascii="Arial" w:hAnsi="Arial" w:cs="Arial"/>
          <w:color w:val="000000" w:themeColor="text1"/>
          <w:sz w:val="22"/>
          <w:lang w:val="es-ES"/>
        </w:rPr>
        <w:t>,  lo que permite controlar las actuaciones y decisiones de la Administración y el cumplimiento de los demás principios de la contratación pública. Así lo confirma el Consejo de Estado, analizando el principio de publicidad:</w:t>
      </w:r>
    </w:p>
    <w:p w14:paraId="1EA76D44" w14:textId="77777777" w:rsidR="00107E4D" w:rsidRPr="00F67FA5" w:rsidRDefault="00107E4D" w:rsidP="00107E4D">
      <w:pPr>
        <w:spacing w:after="120"/>
        <w:ind w:left="709" w:right="709"/>
        <w:jc w:val="both"/>
        <w:rPr>
          <w:rFonts w:ascii="Arial" w:hAnsi="Arial" w:cs="Arial"/>
          <w:color w:val="000000" w:themeColor="text1"/>
          <w:sz w:val="21"/>
          <w:szCs w:val="21"/>
          <w:lang w:val="es-ES"/>
        </w:rPr>
      </w:pPr>
    </w:p>
    <w:p w14:paraId="18177B15" w14:textId="77777777" w:rsidR="00107E4D" w:rsidRPr="00F67FA5" w:rsidRDefault="00107E4D" w:rsidP="00107E4D">
      <w:pPr>
        <w:ind w:left="709" w:right="709"/>
        <w:jc w:val="both"/>
        <w:rPr>
          <w:rFonts w:ascii="Arial" w:hAnsi="Arial" w:cs="Arial"/>
          <w:color w:val="000000" w:themeColor="text1"/>
          <w:sz w:val="21"/>
          <w:szCs w:val="21"/>
          <w:lang w:val="es-ES"/>
        </w:rPr>
      </w:pPr>
      <w:r w:rsidRPr="00F67FA5">
        <w:rPr>
          <w:rFonts w:ascii="Arial" w:hAnsi="Arial" w:cs="Arial"/>
          <w:color w:val="000000" w:themeColor="text1"/>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57D9A301" w14:textId="77777777" w:rsidR="00107E4D" w:rsidRPr="00F67FA5" w:rsidRDefault="00107E4D" w:rsidP="00107E4D">
      <w:pPr>
        <w:spacing w:after="120"/>
        <w:ind w:left="709" w:right="709"/>
        <w:jc w:val="both"/>
        <w:rPr>
          <w:rFonts w:ascii="Arial" w:hAnsi="Arial" w:cs="Arial"/>
          <w:color w:val="000000" w:themeColor="text1"/>
          <w:sz w:val="21"/>
          <w:szCs w:val="21"/>
          <w:lang w:val="es-ES"/>
        </w:rPr>
      </w:pPr>
    </w:p>
    <w:p w14:paraId="534F370D" w14:textId="77777777" w:rsidR="00107E4D" w:rsidRPr="00F67FA5" w:rsidRDefault="00107E4D" w:rsidP="00107E4D">
      <w:pPr>
        <w:ind w:left="709" w:right="709"/>
        <w:jc w:val="both"/>
        <w:rPr>
          <w:rFonts w:ascii="Arial" w:hAnsi="Arial" w:cs="Arial"/>
          <w:color w:val="000000" w:themeColor="text1"/>
          <w:sz w:val="21"/>
          <w:szCs w:val="21"/>
          <w:lang w:val="es-ES"/>
        </w:rPr>
      </w:pPr>
      <w:r w:rsidRPr="00F67FA5">
        <w:rPr>
          <w:rFonts w:ascii="Arial" w:hAnsi="Arial" w:cs="Arial"/>
          <w:color w:val="000000" w:themeColor="text1"/>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w:t>
      </w:r>
      <w:r w:rsidRPr="00F67FA5">
        <w:rPr>
          <w:rFonts w:ascii="Arial" w:hAnsi="Arial" w:cs="Arial"/>
          <w:color w:val="000000" w:themeColor="text1"/>
          <w:sz w:val="21"/>
          <w:szCs w:val="21"/>
          <w:lang w:val="es-ES"/>
        </w:rPr>
        <w:lastRenderedPageBreak/>
        <w:t xml:space="preserve">al público y a los participantes o concurrentes, quienes, incluso, en el caso de la licitación pueden hacer uso del ejercicio del derecho a la audiencia pública (art. 24 No. 3 </w:t>
      </w:r>
      <w:proofErr w:type="spellStart"/>
      <w:r w:rsidRPr="00F67FA5">
        <w:rPr>
          <w:rFonts w:ascii="Arial" w:hAnsi="Arial" w:cs="Arial"/>
          <w:color w:val="000000" w:themeColor="text1"/>
          <w:sz w:val="21"/>
          <w:szCs w:val="21"/>
          <w:lang w:val="es-ES"/>
        </w:rPr>
        <w:t>ibídem</w:t>
      </w:r>
      <w:proofErr w:type="spellEnd"/>
      <w:r w:rsidRPr="00F67FA5">
        <w:rPr>
          <w:rFonts w:ascii="Arial" w:hAnsi="Arial" w:cs="Arial"/>
          <w:color w:val="000000" w:themeColor="text1"/>
          <w:sz w:val="21"/>
          <w:szCs w:val="21"/>
          <w:lang w:val="es-ES"/>
        </w:rPr>
        <w:t xml:space="preserve"> en armonía con el artículo 273 de la Constitución Política).</w:t>
      </w:r>
    </w:p>
    <w:p w14:paraId="20FFD7D3" w14:textId="77777777" w:rsidR="00107E4D" w:rsidRPr="00F67FA5" w:rsidRDefault="00107E4D" w:rsidP="00107E4D">
      <w:pPr>
        <w:spacing w:after="120"/>
        <w:ind w:left="709" w:right="709"/>
        <w:jc w:val="both"/>
        <w:rPr>
          <w:rFonts w:ascii="Arial" w:hAnsi="Arial" w:cs="Arial"/>
          <w:color w:val="000000" w:themeColor="text1"/>
          <w:sz w:val="21"/>
          <w:szCs w:val="21"/>
          <w:lang w:val="es-ES"/>
        </w:rPr>
      </w:pPr>
    </w:p>
    <w:p w14:paraId="120774EC" w14:textId="77777777" w:rsidR="00107E4D" w:rsidRPr="00F67FA5" w:rsidRDefault="00107E4D" w:rsidP="00107E4D">
      <w:pPr>
        <w:spacing w:after="120"/>
        <w:ind w:left="709" w:right="709"/>
        <w:jc w:val="both"/>
        <w:rPr>
          <w:rFonts w:ascii="Arial" w:hAnsi="Arial" w:cs="Arial"/>
          <w:color w:val="000000" w:themeColor="text1"/>
          <w:sz w:val="21"/>
          <w:szCs w:val="21"/>
          <w:lang w:val="es-ES"/>
        </w:rPr>
      </w:pPr>
      <w:r w:rsidRPr="00F67FA5">
        <w:rPr>
          <w:rFonts w:ascii="Arial" w:hAnsi="Arial" w:cs="Arial"/>
          <w:color w:val="000000" w:themeColor="text1"/>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F67FA5">
        <w:rPr>
          <w:rFonts w:ascii="Arial" w:hAnsi="Arial" w:cs="Arial"/>
          <w:color w:val="000000" w:themeColor="text1"/>
          <w:sz w:val="21"/>
          <w:szCs w:val="21"/>
          <w:vertAlign w:val="superscript"/>
          <w:lang w:val="es-ES"/>
        </w:rPr>
        <w:footnoteReference w:id="11"/>
      </w:r>
      <w:r w:rsidRPr="00F67FA5">
        <w:rPr>
          <w:rFonts w:ascii="Arial" w:hAnsi="Arial" w:cs="Arial"/>
          <w:color w:val="000000" w:themeColor="text1"/>
          <w:sz w:val="21"/>
          <w:szCs w:val="21"/>
          <w:lang w:val="es-ES"/>
        </w:rPr>
        <w:t>.</w:t>
      </w:r>
    </w:p>
    <w:p w14:paraId="431D4F36" w14:textId="77777777" w:rsidR="00107E4D" w:rsidRPr="00F67FA5" w:rsidRDefault="00107E4D" w:rsidP="00107E4D">
      <w:pPr>
        <w:spacing w:after="120"/>
        <w:ind w:left="709" w:right="709"/>
        <w:jc w:val="both"/>
        <w:rPr>
          <w:rFonts w:ascii="Arial" w:hAnsi="Arial" w:cs="Arial"/>
          <w:color w:val="000000" w:themeColor="text1"/>
          <w:sz w:val="21"/>
          <w:szCs w:val="21"/>
          <w:lang w:val="es-ES"/>
        </w:rPr>
      </w:pPr>
    </w:p>
    <w:p w14:paraId="56749D69" w14:textId="77777777" w:rsidR="00107E4D" w:rsidRPr="00F67FA5" w:rsidRDefault="00107E4D" w:rsidP="00107E4D">
      <w:pPr>
        <w:spacing w:after="120" w:line="276" w:lineRule="auto"/>
        <w:ind w:firstLine="709"/>
        <w:jc w:val="both"/>
        <w:rPr>
          <w:rFonts w:ascii="Arial" w:hAnsi="Arial" w:cs="Arial"/>
          <w:color w:val="000000" w:themeColor="text1"/>
          <w:sz w:val="22"/>
          <w:lang w:val="es-ES"/>
        </w:rPr>
      </w:pPr>
      <w:r w:rsidRPr="00F67FA5">
        <w:rPr>
          <w:rFonts w:ascii="Arial" w:hAnsi="Arial" w:cs="Arial"/>
          <w:color w:val="000000" w:themeColor="text1"/>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F67FA5" w:rsidRDefault="00107E4D" w:rsidP="00107E4D">
      <w:pPr>
        <w:spacing w:after="120" w:line="276" w:lineRule="auto"/>
        <w:ind w:firstLine="709"/>
        <w:jc w:val="both"/>
        <w:rPr>
          <w:rFonts w:ascii="Arial" w:hAnsi="Arial" w:cs="Arial"/>
          <w:color w:val="000000" w:themeColor="text1"/>
          <w:sz w:val="22"/>
          <w:lang w:val="es-ES"/>
        </w:rPr>
      </w:pPr>
      <w:r w:rsidRPr="00F67FA5">
        <w:rPr>
          <w:rFonts w:ascii="Arial" w:hAnsi="Arial" w:cs="Arial"/>
          <w:color w:val="000000" w:themeColor="text1"/>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w:t>
      </w:r>
      <w:proofErr w:type="gramStart"/>
      <w:r w:rsidRPr="00F67FA5">
        <w:rPr>
          <w:rFonts w:ascii="Arial" w:hAnsi="Arial" w:cs="Arial"/>
          <w:color w:val="000000" w:themeColor="text1"/>
          <w:sz w:val="22"/>
          <w:lang w:val="es-ES"/>
        </w:rPr>
        <w:t>general  y</w:t>
      </w:r>
      <w:proofErr w:type="gramEnd"/>
      <w:r w:rsidRPr="00F67FA5">
        <w:rPr>
          <w:rFonts w:ascii="Arial" w:hAnsi="Arial" w:cs="Arial"/>
          <w:color w:val="000000" w:themeColor="text1"/>
          <w:sz w:val="22"/>
          <w:lang w:val="es-ES"/>
        </w:rPr>
        <w:t xml:space="preserve"> que por tanto incumben a la ciudadanía.  </w:t>
      </w:r>
    </w:p>
    <w:p w14:paraId="53442C04" w14:textId="77777777" w:rsidR="00107E4D" w:rsidRPr="00F67FA5" w:rsidRDefault="00107E4D" w:rsidP="00107E4D">
      <w:pPr>
        <w:spacing w:line="276" w:lineRule="auto"/>
        <w:ind w:firstLine="709"/>
        <w:jc w:val="both"/>
        <w:rPr>
          <w:rFonts w:ascii="Arial" w:hAnsi="Arial" w:cs="Arial"/>
          <w:color w:val="000000" w:themeColor="text1"/>
          <w:sz w:val="22"/>
          <w:lang w:val="es-ES"/>
        </w:rPr>
      </w:pPr>
      <w:r w:rsidRPr="00F67FA5">
        <w:rPr>
          <w:rFonts w:ascii="Arial" w:hAnsi="Arial" w:cs="Arial"/>
          <w:color w:val="000000" w:themeColor="text1"/>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7223D519" w14:textId="77777777" w:rsidR="00D12042" w:rsidRPr="00F67FA5" w:rsidRDefault="00D12042" w:rsidP="009B7F9B">
      <w:pPr>
        <w:spacing w:line="276" w:lineRule="auto"/>
        <w:jc w:val="both"/>
        <w:rPr>
          <w:rFonts w:ascii="Arial" w:eastAsia="Calibri" w:hAnsi="Arial" w:cs="Arial"/>
          <w:b/>
          <w:bCs/>
          <w:color w:val="000000" w:themeColor="text1"/>
          <w:sz w:val="22"/>
          <w:lang w:val="es-ES"/>
        </w:rPr>
      </w:pPr>
    </w:p>
    <w:p w14:paraId="4C3DEEEA" w14:textId="77777777" w:rsidR="00107E4D" w:rsidRPr="00F67FA5" w:rsidRDefault="00107E4D" w:rsidP="00107E4D">
      <w:pPr>
        <w:spacing w:line="276" w:lineRule="auto"/>
        <w:jc w:val="both"/>
        <w:rPr>
          <w:rFonts w:ascii="Arial" w:eastAsia="Calibri" w:hAnsi="Arial" w:cs="Arial"/>
          <w:b/>
          <w:color w:val="000000" w:themeColor="text1"/>
          <w:sz w:val="22"/>
          <w:lang w:val="es-ES"/>
        </w:rPr>
      </w:pPr>
      <w:r w:rsidRPr="00F67FA5">
        <w:rPr>
          <w:rFonts w:ascii="Arial" w:eastAsia="Calibri" w:hAnsi="Arial" w:cs="Arial"/>
          <w:b/>
          <w:bCs/>
          <w:color w:val="000000" w:themeColor="text1"/>
          <w:sz w:val="22"/>
          <w:lang w:val="es-ES"/>
        </w:rPr>
        <w:t xml:space="preserve">2.2. </w:t>
      </w:r>
      <w:r w:rsidRPr="00F67FA5">
        <w:rPr>
          <w:rFonts w:ascii="Arial" w:eastAsia="Calibri" w:hAnsi="Arial" w:cs="Arial"/>
          <w:b/>
          <w:color w:val="000000" w:themeColor="text1"/>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F67FA5" w:rsidRDefault="00107E4D" w:rsidP="00107E4D">
      <w:pPr>
        <w:spacing w:line="276" w:lineRule="auto"/>
        <w:ind w:left="360"/>
        <w:contextualSpacing/>
        <w:jc w:val="both"/>
        <w:rPr>
          <w:rFonts w:ascii="Arial" w:hAnsi="Arial" w:cs="Arial"/>
          <w:b/>
          <w:color w:val="000000" w:themeColor="text1"/>
          <w:sz w:val="22"/>
          <w:lang w:val="es-ES"/>
        </w:rPr>
      </w:pPr>
    </w:p>
    <w:p w14:paraId="2BFFA2A3" w14:textId="77777777" w:rsidR="00D12042" w:rsidRPr="00F67FA5" w:rsidRDefault="00D12042" w:rsidP="00D12042">
      <w:pPr>
        <w:spacing w:line="276" w:lineRule="auto"/>
        <w:contextualSpacing/>
        <w:jc w:val="both"/>
        <w:rPr>
          <w:rFonts w:ascii="Arial" w:hAnsi="Arial" w:cs="Arial"/>
          <w:color w:val="000000" w:themeColor="text1"/>
          <w:sz w:val="22"/>
          <w:lang w:val="es-ES"/>
        </w:rPr>
      </w:pPr>
      <w:r w:rsidRPr="00F67FA5">
        <w:rPr>
          <w:rFonts w:ascii="Arial" w:hAnsi="Arial" w:cs="Arial"/>
          <w:color w:val="000000" w:themeColor="text1"/>
          <w:sz w:val="22"/>
          <w:lang w:val="es-ES"/>
        </w:rPr>
        <w:lastRenderedPageBreak/>
        <w:t>La Agencia Nacional de Contratación Pública ―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 y complementa a continuación</w:t>
      </w:r>
      <w:r w:rsidRPr="00F67FA5">
        <w:rPr>
          <w:rStyle w:val="Refdenotaalpie"/>
          <w:rFonts w:ascii="Arial" w:hAnsi="Arial" w:cs="Arial"/>
          <w:color w:val="000000" w:themeColor="text1"/>
          <w:sz w:val="22"/>
          <w:lang w:val="es-ES"/>
        </w:rPr>
        <w:footnoteReference w:id="12"/>
      </w:r>
      <w:r w:rsidRPr="00F67FA5">
        <w:rPr>
          <w:rFonts w:ascii="Arial" w:hAnsi="Arial" w:cs="Arial"/>
          <w:color w:val="000000" w:themeColor="text1"/>
          <w:sz w:val="22"/>
          <w:lang w:val="es-ES"/>
        </w:rPr>
        <w:t>:</w:t>
      </w:r>
    </w:p>
    <w:p w14:paraId="090F1D9C" w14:textId="77777777" w:rsidR="00D12042" w:rsidRPr="00F67FA5" w:rsidRDefault="00D12042" w:rsidP="00D12042">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F67FA5">
        <w:rPr>
          <w:rFonts w:ascii="Arial" w:eastAsia="Calibri" w:hAnsi="Arial" w:cs="Arial"/>
          <w:color w:val="000000" w:themeColor="text1"/>
          <w:sz w:val="22"/>
          <w:lang w:val="es-ES"/>
        </w:rPr>
        <w:t>2007  ̶</w:t>
      </w:r>
      <w:proofErr w:type="gramEnd"/>
      <w:r w:rsidRPr="00F67FA5">
        <w:rPr>
          <w:rFonts w:ascii="Arial" w:eastAsia="Calibri" w:hAnsi="Arial" w:cs="Arial"/>
          <w:color w:val="000000" w:themeColor="text1"/>
          <w:sz w:val="22"/>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F67FA5">
        <w:rPr>
          <w:rFonts w:ascii="Arial" w:eastAsia="Calibri" w:hAnsi="Arial" w:cs="Arial"/>
          <w:color w:val="000000" w:themeColor="text1"/>
          <w:sz w:val="22"/>
          <w:vertAlign w:val="superscript"/>
          <w:lang w:val="es-ES"/>
        </w:rPr>
        <w:footnoteReference w:id="13"/>
      </w:r>
      <w:r w:rsidRPr="00F67FA5">
        <w:rPr>
          <w:rFonts w:ascii="Arial" w:eastAsia="Calibri" w:hAnsi="Arial" w:cs="Arial"/>
          <w:color w:val="000000" w:themeColor="text1"/>
          <w:sz w:val="22"/>
          <w:lang w:val="es-ES"/>
        </w:rPr>
        <w:t>. Por consiguiente, para que los documentos de la actividad contractual se conozcan la entidad debe publicarlos, sin importar la modalidad de selección.</w:t>
      </w:r>
    </w:p>
    <w:p w14:paraId="23EFADB5" w14:textId="77777777" w:rsidR="00D12042" w:rsidRPr="00F67FA5" w:rsidRDefault="00D12042" w:rsidP="00D12042">
      <w:pPr>
        <w:widowControl w:val="0"/>
        <w:autoSpaceDE w:val="0"/>
        <w:autoSpaceDN w:val="0"/>
        <w:spacing w:line="276" w:lineRule="auto"/>
        <w:ind w:right="49" w:firstLine="708"/>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Pr="00F67FA5">
        <w:rPr>
          <w:rFonts w:ascii="Arial" w:eastAsia="Arial" w:hAnsi="Arial" w:cs="Arial"/>
          <w:color w:val="000000" w:themeColor="text1"/>
          <w:sz w:val="22"/>
          <w:vertAlign w:val="superscript"/>
          <w:lang w:val="es-ES"/>
        </w:rPr>
        <w:footnoteReference w:id="14"/>
      </w:r>
      <w:r w:rsidRPr="00F67FA5">
        <w:rPr>
          <w:rFonts w:ascii="Arial" w:eastAsia="Arial" w:hAnsi="Arial" w:cs="Arial"/>
          <w:color w:val="000000" w:themeColor="text1"/>
          <w:sz w:val="22"/>
          <w:lang w:val="es-ES"/>
        </w:rPr>
        <w:t xml:space="preserve">. Este sistema debe contar </w:t>
      </w:r>
      <w:r w:rsidRPr="00F67FA5">
        <w:rPr>
          <w:rFonts w:ascii="Arial" w:eastAsia="Arial" w:hAnsi="Arial" w:cs="Arial"/>
          <w:color w:val="000000" w:themeColor="text1"/>
          <w:sz w:val="22"/>
          <w:lang w:val="es-ES"/>
        </w:rPr>
        <w:lastRenderedPageBreak/>
        <w:t>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F67FA5" w:rsidRDefault="00D12042" w:rsidP="00D12042">
      <w:pPr>
        <w:widowControl w:val="0"/>
        <w:autoSpaceDE w:val="0"/>
        <w:autoSpaceDN w:val="0"/>
        <w:spacing w:before="120" w:line="276" w:lineRule="auto"/>
        <w:ind w:right="306"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proofErr w:type="gramStart"/>
      <w:r w:rsidRPr="00F67FA5">
        <w:rPr>
          <w:rFonts w:ascii="Arial" w:eastAsia="Arial" w:hAnsi="Arial" w:cs="Arial"/>
          <w:color w:val="000000" w:themeColor="text1"/>
          <w:sz w:val="22"/>
          <w:lang w:val="es-ES"/>
        </w:rPr>
        <w:t>autoridades públicas</w:t>
      </w:r>
      <w:proofErr w:type="gramEnd"/>
      <w:r w:rsidRPr="00F67FA5">
        <w:rPr>
          <w:rFonts w:ascii="Arial" w:eastAsia="Arial" w:hAnsi="Arial" w:cs="Arial"/>
          <w:color w:val="000000" w:themeColor="text1"/>
          <w:sz w:val="22"/>
          <w:lang w:val="es-ES"/>
        </w:rPr>
        <w:t xml:space="preserve"> en el ejercicio de las funciones administrativas que la ley les otorga.</w:t>
      </w:r>
    </w:p>
    <w:p w14:paraId="241F678C" w14:textId="77777777" w:rsidR="00D12042" w:rsidRPr="00F67FA5" w:rsidRDefault="00D12042" w:rsidP="00D12042">
      <w:pPr>
        <w:widowControl w:val="0"/>
        <w:autoSpaceDE w:val="0"/>
        <w:autoSpaceDN w:val="0"/>
        <w:spacing w:before="120" w:line="276" w:lineRule="auto"/>
        <w:ind w:right="306"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F67FA5" w:rsidRDefault="00D12042" w:rsidP="00D12042">
      <w:pPr>
        <w:widowControl w:val="0"/>
        <w:autoSpaceDE w:val="0"/>
        <w:autoSpaceDN w:val="0"/>
        <w:rPr>
          <w:rFonts w:ascii="Arial" w:eastAsia="Arial" w:hAnsi="Arial" w:cs="Arial"/>
          <w:color w:val="000000" w:themeColor="text1"/>
          <w:sz w:val="25"/>
          <w:lang w:val="es-ES"/>
        </w:rPr>
      </w:pPr>
    </w:p>
    <w:p w14:paraId="5FC7D145" w14:textId="77777777" w:rsidR="00D12042" w:rsidRPr="00F67FA5" w:rsidRDefault="00D12042" w:rsidP="00D12042">
      <w:pPr>
        <w:widowControl w:val="0"/>
        <w:autoSpaceDE w:val="0"/>
        <w:autoSpaceDN w:val="0"/>
        <w:ind w:left="709" w:right="709"/>
        <w:jc w:val="both"/>
        <w:rPr>
          <w:rFonts w:ascii="Arial" w:eastAsia="Arial" w:hAnsi="Arial" w:cs="Arial"/>
          <w:color w:val="000000" w:themeColor="text1"/>
          <w:sz w:val="21"/>
          <w:lang w:val="es-ES"/>
        </w:rPr>
      </w:pPr>
      <w:r w:rsidRPr="00F67FA5">
        <w:rPr>
          <w:rFonts w:ascii="Arial" w:eastAsia="Arial" w:hAnsi="Arial" w:cs="Arial"/>
          <w:color w:val="000000" w:themeColor="text1"/>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F67FA5">
        <w:rPr>
          <w:rFonts w:ascii="Arial" w:eastAsia="Arial" w:hAnsi="Arial" w:cs="Arial"/>
          <w:color w:val="000000" w:themeColor="text1"/>
          <w:spacing w:val="-6"/>
          <w:sz w:val="21"/>
          <w:lang w:val="es-ES"/>
        </w:rPr>
        <w:t xml:space="preserve"> </w:t>
      </w:r>
      <w:r w:rsidRPr="00F67FA5">
        <w:rPr>
          <w:rFonts w:ascii="Arial" w:eastAsia="Arial" w:hAnsi="Arial" w:cs="Arial"/>
          <w:color w:val="000000" w:themeColor="text1"/>
          <w:sz w:val="21"/>
          <w:lang w:val="es-ES"/>
        </w:rPr>
        <w:t>estatal.</w:t>
      </w:r>
    </w:p>
    <w:p w14:paraId="0FB41B83" w14:textId="77777777" w:rsidR="00D12042" w:rsidRPr="00F67FA5" w:rsidRDefault="00D12042" w:rsidP="00D12042">
      <w:pPr>
        <w:widowControl w:val="0"/>
        <w:autoSpaceDE w:val="0"/>
        <w:autoSpaceDN w:val="0"/>
        <w:spacing w:before="10"/>
        <w:ind w:left="709" w:right="709"/>
        <w:rPr>
          <w:rFonts w:ascii="Arial" w:eastAsia="Arial" w:hAnsi="Arial" w:cs="Arial"/>
          <w:color w:val="000000" w:themeColor="text1"/>
          <w:sz w:val="20"/>
          <w:lang w:val="es-ES"/>
        </w:rPr>
      </w:pPr>
    </w:p>
    <w:p w14:paraId="0B902318" w14:textId="77777777" w:rsidR="00D12042" w:rsidRPr="00F67FA5" w:rsidRDefault="00D12042" w:rsidP="00D12042">
      <w:pPr>
        <w:widowControl w:val="0"/>
        <w:autoSpaceDE w:val="0"/>
        <w:autoSpaceDN w:val="0"/>
        <w:spacing w:before="1"/>
        <w:ind w:left="709" w:right="709"/>
        <w:jc w:val="both"/>
        <w:rPr>
          <w:rFonts w:ascii="Arial" w:eastAsia="Arial" w:hAnsi="Arial" w:cs="Arial"/>
          <w:color w:val="000000" w:themeColor="text1"/>
          <w:sz w:val="21"/>
          <w:lang w:val="es-ES"/>
        </w:rPr>
      </w:pPr>
      <w:r w:rsidRPr="00F67FA5">
        <w:rPr>
          <w:rFonts w:ascii="Arial" w:eastAsia="Arial" w:hAnsi="Arial" w:cs="Arial"/>
          <w:color w:val="000000" w:themeColor="text1"/>
          <w:sz w:val="21"/>
          <w:lang w:val="es-ES"/>
        </w:rPr>
        <w:lastRenderedPageBreak/>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F67FA5">
        <w:rPr>
          <w:rFonts w:ascii="Arial" w:eastAsia="Arial" w:hAnsi="Arial" w:cs="Arial"/>
          <w:color w:val="000000" w:themeColor="text1"/>
          <w:spacing w:val="-3"/>
          <w:sz w:val="21"/>
          <w:lang w:val="es-ES"/>
        </w:rPr>
        <w:t xml:space="preserve">Y, </w:t>
      </w:r>
      <w:r w:rsidRPr="00F67FA5">
        <w:rPr>
          <w:rFonts w:ascii="Arial" w:eastAsia="Arial" w:hAnsi="Arial" w:cs="Arial"/>
          <w:color w:val="000000" w:themeColor="text1"/>
          <w:sz w:val="21"/>
          <w:lang w:val="es-ES"/>
        </w:rPr>
        <w:t>de conteras, suple algunas de las limitaciones de las que adolecía el Diario Único de Contratación, en términos de cobertura geográfica, de cantidad de ejemplares y de posibilidad de acceso por parte de la</w:t>
      </w:r>
      <w:r w:rsidRPr="00F67FA5">
        <w:rPr>
          <w:rFonts w:ascii="Arial" w:eastAsia="Arial" w:hAnsi="Arial" w:cs="Arial"/>
          <w:color w:val="000000" w:themeColor="text1"/>
          <w:spacing w:val="-4"/>
          <w:sz w:val="21"/>
          <w:lang w:val="es-ES"/>
        </w:rPr>
        <w:t xml:space="preserve"> </w:t>
      </w:r>
      <w:r w:rsidRPr="00F67FA5">
        <w:rPr>
          <w:rFonts w:ascii="Arial" w:eastAsia="Arial" w:hAnsi="Arial" w:cs="Arial"/>
          <w:color w:val="000000" w:themeColor="text1"/>
          <w:sz w:val="21"/>
          <w:lang w:val="es-ES"/>
        </w:rPr>
        <w:t>ciudadanía.</w:t>
      </w:r>
    </w:p>
    <w:p w14:paraId="339F1388" w14:textId="77777777" w:rsidR="00D12042" w:rsidRPr="00F67FA5" w:rsidRDefault="00D12042" w:rsidP="00D12042">
      <w:pPr>
        <w:widowControl w:val="0"/>
        <w:autoSpaceDE w:val="0"/>
        <w:autoSpaceDN w:val="0"/>
        <w:spacing w:before="1" w:line="276" w:lineRule="auto"/>
        <w:ind w:right="307"/>
        <w:jc w:val="both"/>
        <w:rPr>
          <w:rFonts w:ascii="Arial" w:eastAsia="Arial" w:hAnsi="Arial" w:cs="Arial"/>
          <w:color w:val="000000" w:themeColor="text1"/>
          <w:sz w:val="25"/>
          <w:lang w:val="es-ES"/>
        </w:rPr>
      </w:pPr>
    </w:p>
    <w:p w14:paraId="78BD0AA4" w14:textId="77777777" w:rsidR="00D12042" w:rsidRPr="00F67FA5" w:rsidRDefault="00D12042" w:rsidP="00D12042">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F67FA5" w:rsidRDefault="00D12042" w:rsidP="00D12042">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La expresión </w:t>
      </w:r>
      <w:r w:rsidRPr="00F67FA5">
        <w:rPr>
          <w:rFonts w:ascii="Arial" w:eastAsia="Arial" w:hAnsi="Arial" w:cs="Arial"/>
          <w:i/>
          <w:iCs/>
          <w:color w:val="000000" w:themeColor="text1"/>
          <w:sz w:val="22"/>
          <w:lang w:val="es-ES"/>
        </w:rPr>
        <w:t>Documentos del Proceso</w:t>
      </w:r>
      <w:r w:rsidRPr="00F67FA5">
        <w:rPr>
          <w:rFonts w:ascii="Arial" w:eastAsia="Arial" w:hAnsi="Arial" w:cs="Arial"/>
          <w:color w:val="000000" w:themeColor="text1"/>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F67FA5" w:rsidRDefault="00D12042" w:rsidP="00D12042">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F67FA5">
        <w:rPr>
          <w:rFonts w:ascii="Arial" w:eastAsia="Arial" w:hAnsi="Arial" w:cs="Arial"/>
          <w:i/>
          <w:iCs/>
          <w:color w:val="000000" w:themeColor="text1"/>
          <w:sz w:val="22"/>
          <w:lang w:val="es-ES"/>
        </w:rPr>
        <w:t>Ibídem</w:t>
      </w:r>
      <w:proofErr w:type="spellEnd"/>
      <w:r w:rsidRPr="00F67FA5">
        <w:rPr>
          <w:rFonts w:ascii="Arial" w:eastAsia="Arial" w:hAnsi="Arial" w:cs="Arial"/>
          <w:color w:val="000000" w:themeColor="text1"/>
          <w:sz w:val="22"/>
          <w:lang w:val="es-ES"/>
        </w:rPr>
        <w:t xml:space="preserve"> recoge en la noción de </w:t>
      </w:r>
      <w:r w:rsidRPr="00F67FA5">
        <w:rPr>
          <w:rFonts w:ascii="Arial" w:eastAsia="Arial" w:hAnsi="Arial" w:cs="Arial"/>
          <w:i/>
          <w:iCs/>
          <w:color w:val="000000" w:themeColor="text1"/>
          <w:sz w:val="22"/>
          <w:lang w:val="es-ES"/>
        </w:rPr>
        <w:t>Documentos del Proceso</w:t>
      </w:r>
      <w:r w:rsidRPr="00F67FA5">
        <w:rPr>
          <w:rFonts w:ascii="Arial" w:eastAsia="Arial" w:hAnsi="Arial" w:cs="Arial"/>
          <w:color w:val="000000" w:themeColor="text1"/>
          <w:sz w:val="22"/>
          <w:lang w:val="es-ES"/>
        </w:rPr>
        <w:t xml:space="preserve"> «cualquier otro documento expedido por la Entidad Estatal durante el </w:t>
      </w:r>
      <w:r w:rsidRPr="00F67FA5">
        <w:rPr>
          <w:rFonts w:ascii="Arial" w:eastAsia="Arial" w:hAnsi="Arial" w:cs="Arial"/>
          <w:i/>
          <w:iCs/>
          <w:color w:val="000000" w:themeColor="text1"/>
          <w:sz w:val="22"/>
          <w:lang w:val="es-ES"/>
        </w:rPr>
        <w:t>Proceso de Contratación»</w:t>
      </w:r>
      <w:r w:rsidRPr="00F67FA5">
        <w:rPr>
          <w:rFonts w:ascii="Arial" w:eastAsia="Arial" w:hAnsi="Arial" w:cs="Arial"/>
          <w:color w:val="000000" w:themeColor="text1"/>
          <w:sz w:val="22"/>
          <w:lang w:val="es-ES"/>
        </w:rPr>
        <w:t xml:space="preserve">. Este mismo artículo define la expresión </w:t>
      </w:r>
      <w:r w:rsidRPr="00F67FA5">
        <w:rPr>
          <w:rFonts w:ascii="Arial" w:eastAsia="Arial" w:hAnsi="Arial" w:cs="Arial"/>
          <w:i/>
          <w:iCs/>
          <w:color w:val="000000" w:themeColor="text1"/>
          <w:sz w:val="22"/>
          <w:lang w:val="es-ES"/>
        </w:rPr>
        <w:t>Proceso de Contratación</w:t>
      </w:r>
      <w:r w:rsidRPr="00F67FA5">
        <w:rPr>
          <w:rFonts w:ascii="Arial" w:eastAsia="Arial" w:hAnsi="Arial" w:cs="Arial"/>
          <w:color w:val="000000" w:themeColor="text1"/>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F67FA5" w:rsidRDefault="00D12042" w:rsidP="00D12042">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Nótese que la norma hace referencia a los documentos «expedidos por la entidad estatal» durante el proceso de contratación, excluyendo de la noción de </w:t>
      </w:r>
      <w:r w:rsidRPr="00F67FA5">
        <w:rPr>
          <w:rFonts w:ascii="Arial" w:eastAsia="Arial" w:hAnsi="Arial" w:cs="Arial"/>
          <w:i/>
          <w:iCs/>
          <w:color w:val="000000" w:themeColor="text1"/>
          <w:sz w:val="22"/>
          <w:lang w:val="es-ES"/>
        </w:rPr>
        <w:t>Documentos del Proceso</w:t>
      </w:r>
      <w:r w:rsidRPr="00F67FA5">
        <w:rPr>
          <w:rFonts w:ascii="Arial" w:eastAsia="Arial" w:hAnsi="Arial" w:cs="Arial"/>
          <w:color w:val="000000" w:themeColor="text1"/>
          <w:sz w:val="22"/>
          <w:lang w:val="es-ES"/>
        </w:rPr>
        <w:t xml:space="preserve"> los expedidos por un sujeto distinto a la entidad, salvo la oferta, la cual se incluye expresamente en el artículo 2.2.1.1.1.3.1. </w:t>
      </w:r>
    </w:p>
    <w:p w14:paraId="614205C9" w14:textId="77777777" w:rsidR="00D12042" w:rsidRPr="00F67FA5" w:rsidRDefault="00D12042" w:rsidP="00D12042">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F67FA5">
        <w:rPr>
          <w:rFonts w:ascii="Arial" w:eastAsia="Arial" w:hAnsi="Arial" w:cs="Arial"/>
          <w:i/>
          <w:iCs/>
          <w:color w:val="000000" w:themeColor="text1"/>
          <w:sz w:val="22"/>
          <w:lang w:val="es-ES"/>
        </w:rPr>
        <w:t>Proceso de Contratación</w:t>
      </w:r>
      <w:r w:rsidRPr="00F67FA5">
        <w:rPr>
          <w:rFonts w:ascii="Arial" w:eastAsia="Arial" w:hAnsi="Arial" w:cs="Arial"/>
          <w:color w:val="000000" w:themeColor="text1"/>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w:t>
      </w:r>
      <w:r w:rsidRPr="00F67FA5">
        <w:rPr>
          <w:rFonts w:ascii="Arial" w:eastAsia="Arial" w:hAnsi="Arial" w:cs="Arial"/>
          <w:color w:val="000000" w:themeColor="text1"/>
          <w:sz w:val="22"/>
          <w:lang w:val="es-ES"/>
        </w:rPr>
        <w:lastRenderedPageBreak/>
        <w:t xml:space="preserve">ocurra más tarde», lo que significa que todos los documentos expedidos por la entidad durante las etapas precontractual, de ejecución y </w:t>
      </w:r>
      <w:proofErr w:type="spellStart"/>
      <w:r w:rsidRPr="00F67FA5">
        <w:rPr>
          <w:rFonts w:ascii="Arial" w:eastAsia="Arial" w:hAnsi="Arial" w:cs="Arial"/>
          <w:color w:val="000000" w:themeColor="text1"/>
          <w:sz w:val="22"/>
          <w:lang w:val="es-ES"/>
        </w:rPr>
        <w:t>postcontractual</w:t>
      </w:r>
      <w:proofErr w:type="spellEnd"/>
      <w:r w:rsidRPr="00F67FA5">
        <w:rPr>
          <w:rFonts w:ascii="Arial" w:eastAsia="Arial" w:hAnsi="Arial" w:cs="Arial"/>
          <w:color w:val="000000" w:themeColor="text1"/>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F67FA5" w:rsidRDefault="00D12042" w:rsidP="00D12042">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En todo caso, de conformidad con la segunda parte del inciso primero del artículo 2.2.1.1.1.7.1 </w:t>
      </w:r>
      <w:proofErr w:type="spellStart"/>
      <w:r w:rsidRPr="00F67FA5">
        <w:rPr>
          <w:rFonts w:ascii="Arial" w:eastAsia="Arial" w:hAnsi="Arial" w:cs="Arial"/>
          <w:i/>
          <w:iCs/>
          <w:color w:val="000000" w:themeColor="text1"/>
          <w:sz w:val="22"/>
          <w:lang w:val="es-ES"/>
        </w:rPr>
        <w:t>Ibídem</w:t>
      </w:r>
      <w:proofErr w:type="spellEnd"/>
      <w:r w:rsidRPr="00F67FA5">
        <w:rPr>
          <w:rFonts w:ascii="Arial" w:eastAsia="Arial" w:hAnsi="Arial" w:cs="Arial"/>
          <w:color w:val="000000" w:themeColor="text1"/>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F67FA5">
        <w:rPr>
          <w:rFonts w:ascii="Arial" w:eastAsia="Arial" w:hAnsi="Arial" w:cs="Arial"/>
          <w:i/>
          <w:iCs/>
          <w:color w:val="000000" w:themeColor="text1"/>
          <w:sz w:val="22"/>
          <w:lang w:val="es-ES"/>
        </w:rPr>
        <w:t xml:space="preserve"> </w:t>
      </w:r>
      <w:r w:rsidRPr="00F67FA5">
        <w:rPr>
          <w:rFonts w:ascii="Arial" w:eastAsia="Arial" w:hAnsi="Arial" w:cs="Arial"/>
          <w:color w:val="000000" w:themeColor="text1"/>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F67FA5" w:rsidRDefault="00D12042" w:rsidP="00D12042">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 El inciso segundo del artículo 2.2.1.1.1.7.1 </w:t>
      </w:r>
      <w:proofErr w:type="spellStart"/>
      <w:r w:rsidRPr="00F67FA5">
        <w:rPr>
          <w:rFonts w:ascii="Arial" w:eastAsia="Arial" w:hAnsi="Arial" w:cs="Arial"/>
          <w:i/>
          <w:iCs/>
          <w:color w:val="000000" w:themeColor="text1"/>
          <w:sz w:val="22"/>
          <w:lang w:val="es-ES"/>
        </w:rPr>
        <w:t>ejusdem</w:t>
      </w:r>
      <w:proofErr w:type="spellEnd"/>
      <w:r w:rsidRPr="00F67FA5">
        <w:rPr>
          <w:rFonts w:ascii="Arial" w:eastAsia="Arial" w:hAnsi="Arial" w:cs="Arial"/>
          <w:i/>
          <w:iCs/>
          <w:color w:val="000000" w:themeColor="text1"/>
          <w:sz w:val="22"/>
          <w:lang w:val="es-ES"/>
        </w:rPr>
        <w:t xml:space="preserve">, </w:t>
      </w:r>
      <w:r w:rsidRPr="00F67FA5">
        <w:rPr>
          <w:rFonts w:ascii="Arial" w:eastAsia="Arial" w:hAnsi="Arial" w:cs="Arial"/>
          <w:color w:val="000000" w:themeColor="text1"/>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F67FA5">
        <w:rPr>
          <w:rFonts w:ascii="Arial" w:hAnsi="Arial" w:cs="Arial"/>
          <w:color w:val="000000" w:themeColor="text1"/>
          <w:sz w:val="22"/>
          <w:lang w:val="es-ES"/>
        </w:rPr>
        <w:t xml:space="preserve">2.2.1.1.2.1.4, deber que hace extensivo a la invitación </w:t>
      </w:r>
      <w:r w:rsidRPr="00F67FA5">
        <w:rPr>
          <w:rFonts w:ascii="Arial" w:eastAsia="Arial" w:hAnsi="Arial" w:cs="Arial"/>
          <w:color w:val="000000" w:themeColor="text1"/>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F67FA5" w:rsidRDefault="00D12042" w:rsidP="00D12042">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F67FA5">
        <w:rPr>
          <w:rFonts w:ascii="Arial" w:eastAsia="Arial" w:hAnsi="Arial" w:cs="Arial"/>
          <w:color w:val="000000" w:themeColor="text1"/>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F67FA5">
        <w:rPr>
          <w:rFonts w:ascii="Arial" w:eastAsia="Arial" w:hAnsi="Arial" w:cs="Arial"/>
          <w:i/>
          <w:iCs/>
          <w:color w:val="000000" w:themeColor="text1"/>
          <w:sz w:val="22"/>
          <w:lang w:val="es-ES"/>
        </w:rPr>
        <w:t>Proceso de Contratación</w:t>
      </w:r>
      <w:r w:rsidRPr="00F67FA5">
        <w:rPr>
          <w:rFonts w:ascii="Arial" w:eastAsia="Arial" w:hAnsi="Arial" w:cs="Arial"/>
          <w:color w:val="000000" w:themeColor="text1"/>
          <w:sz w:val="22"/>
          <w:lang w:val="es-ES"/>
        </w:rPr>
        <w:t xml:space="preserve"> expedidos durante las etapas precontractual, de ejecución y </w:t>
      </w:r>
      <w:proofErr w:type="spellStart"/>
      <w:r w:rsidRPr="00F67FA5">
        <w:rPr>
          <w:rFonts w:ascii="Arial" w:eastAsia="Arial" w:hAnsi="Arial" w:cs="Arial"/>
          <w:color w:val="000000" w:themeColor="text1"/>
          <w:sz w:val="22"/>
          <w:lang w:val="es-ES"/>
        </w:rPr>
        <w:t>postcontractual</w:t>
      </w:r>
      <w:proofErr w:type="spellEnd"/>
      <w:r w:rsidRPr="00F67FA5">
        <w:rPr>
          <w:rFonts w:ascii="Arial" w:eastAsia="Arial" w:hAnsi="Arial" w:cs="Arial"/>
          <w:color w:val="000000" w:themeColor="text1"/>
          <w:sz w:val="22"/>
          <w:lang w:val="es-ES"/>
        </w:rPr>
        <w:t>, dentro de los tres (3) días hábiles siguientes a su producción</w:t>
      </w:r>
      <w:r w:rsidRPr="00F67FA5">
        <w:rPr>
          <w:rStyle w:val="Refdenotaalpie"/>
          <w:rFonts w:ascii="Arial" w:eastAsia="Arial" w:hAnsi="Arial" w:cs="Arial"/>
          <w:color w:val="000000" w:themeColor="text1"/>
          <w:sz w:val="22"/>
          <w:lang w:val="es-ES"/>
        </w:rPr>
        <w:footnoteReference w:id="15"/>
      </w:r>
      <w:r w:rsidRPr="00F67FA5">
        <w:rPr>
          <w:rFonts w:ascii="Arial" w:eastAsia="Arial" w:hAnsi="Arial" w:cs="Arial"/>
          <w:color w:val="000000" w:themeColor="text1"/>
          <w:sz w:val="22"/>
          <w:lang w:val="es-ES"/>
        </w:rPr>
        <w:t xml:space="preserve">, deber que aplica a todas las modalidades de selección y entidades regidas por el Estatuto General de </w:t>
      </w:r>
      <w:r w:rsidRPr="00F67FA5">
        <w:rPr>
          <w:rFonts w:ascii="Arial" w:eastAsia="Arial" w:hAnsi="Arial" w:cs="Arial"/>
          <w:color w:val="000000" w:themeColor="text1"/>
          <w:sz w:val="22"/>
          <w:lang w:val="es-ES"/>
        </w:rPr>
        <w:lastRenderedPageBreak/>
        <w:t>Contratación de la Administración Pública, y del que solo se encuentran excluidas las ofertas ganadoras y los documentos expedidos en el marco de operaciones de bolsa de productos.</w:t>
      </w:r>
    </w:p>
    <w:p w14:paraId="7B8F73E1"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F67FA5">
        <w:rPr>
          <w:rFonts w:ascii="Arial" w:hAnsi="Arial" w:cs="Arial"/>
          <w:color w:val="000000" w:themeColor="text1"/>
          <w:sz w:val="22"/>
          <w:lang w:val="es-ES"/>
        </w:rPr>
        <w:t>la información de su gestión contractual</w:t>
      </w:r>
      <w:r w:rsidRPr="00F67FA5">
        <w:rPr>
          <w:rStyle w:val="Refdenotaalpie"/>
          <w:rFonts w:ascii="Arial" w:hAnsi="Arial" w:cs="Arial"/>
          <w:color w:val="000000" w:themeColor="text1"/>
          <w:sz w:val="22"/>
          <w:lang w:val="es-ES"/>
        </w:rPr>
        <w:footnoteReference w:id="16"/>
      </w:r>
      <w:r w:rsidRPr="00F67FA5">
        <w:rPr>
          <w:rFonts w:ascii="Arial" w:eastAsia="Calibri" w:hAnsi="Arial" w:cs="Arial"/>
          <w:color w:val="000000" w:themeColor="text1"/>
          <w:sz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F67FA5">
        <w:rPr>
          <w:rStyle w:val="Refdenotaalpie"/>
          <w:rFonts w:ascii="Arial" w:eastAsia="Calibri" w:hAnsi="Arial" w:cs="Arial"/>
          <w:color w:val="000000" w:themeColor="text1"/>
          <w:sz w:val="22"/>
          <w:lang w:val="es-ES"/>
        </w:rPr>
        <w:footnoteReference w:id="17"/>
      </w:r>
      <w:r w:rsidRPr="00F67FA5">
        <w:rPr>
          <w:rFonts w:ascii="Arial" w:eastAsia="Calibri" w:hAnsi="Arial" w:cs="Arial"/>
          <w:color w:val="000000" w:themeColor="text1"/>
          <w:sz w:val="22"/>
          <w:lang w:val="es-ES"/>
        </w:rPr>
        <w:t>. El artículo 2.1.1.2.1.10 establece la obligación que tienen las entidades de publicar en el SECOP el Plan Anual de Adquisiciones</w:t>
      </w:r>
      <w:r w:rsidRPr="00F67FA5">
        <w:rPr>
          <w:rStyle w:val="Refdenotaalpie"/>
          <w:rFonts w:ascii="Arial" w:eastAsia="Calibri" w:hAnsi="Arial" w:cs="Arial"/>
          <w:color w:val="000000" w:themeColor="text1"/>
          <w:sz w:val="22"/>
          <w:lang w:val="es-ES"/>
        </w:rPr>
        <w:footnoteReference w:id="18"/>
      </w:r>
      <w:r w:rsidRPr="00F67FA5">
        <w:rPr>
          <w:rFonts w:ascii="Arial" w:eastAsia="Calibri" w:hAnsi="Arial" w:cs="Arial"/>
          <w:color w:val="000000" w:themeColor="text1"/>
          <w:sz w:val="22"/>
          <w:lang w:val="es-ES"/>
        </w:rPr>
        <w:t xml:space="preserve">. </w:t>
      </w:r>
    </w:p>
    <w:p w14:paraId="495D889B"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lastRenderedPageBreak/>
        <w:t xml:space="preserve">De otro lado, el artículo 2.1.1.2.1.8, establece los efectos de </w:t>
      </w:r>
      <w:r w:rsidRPr="00F67FA5">
        <w:rPr>
          <w:rFonts w:ascii="Arial" w:hAnsi="Arial" w:cs="Arial"/>
          <w:color w:val="000000" w:themeColor="text1"/>
          <w:sz w:val="22"/>
          <w:lang w:val="es-ES"/>
        </w:rPr>
        <w:t>la obligación contenida en el literal g) del artículo 11 de la Ley 1712 de 2014, en relación con los documentos producidos durante la ejecución del contrato, señalando que se</w:t>
      </w:r>
      <w:r w:rsidRPr="00F67FA5">
        <w:rPr>
          <w:rFonts w:ascii="Arial" w:eastAsia="Calibri" w:hAnsi="Arial" w:cs="Arial"/>
          <w:color w:val="000000" w:themeColor="text1"/>
          <w:sz w:val="22"/>
          <w:lang w:val="es-ES"/>
        </w:rPr>
        <w:t xml:space="preserve"> deben publicar las aprobaciones, autorizaciones, requerimientos o informes del supervisor o interventor, que prueben la ejecución del contrato</w:t>
      </w:r>
      <w:r w:rsidRPr="00F67FA5">
        <w:rPr>
          <w:rStyle w:val="Refdenotaalpie"/>
          <w:rFonts w:ascii="Arial" w:eastAsia="Calibri" w:hAnsi="Arial" w:cs="Arial"/>
          <w:color w:val="000000" w:themeColor="text1"/>
          <w:sz w:val="22"/>
          <w:lang w:val="es-ES"/>
        </w:rPr>
        <w:footnoteReference w:id="19"/>
      </w:r>
      <w:r w:rsidRPr="00F67FA5">
        <w:rPr>
          <w:rFonts w:ascii="Arial" w:eastAsia="Calibri" w:hAnsi="Arial" w:cs="Arial"/>
          <w:color w:val="000000" w:themeColor="text1"/>
          <w:sz w:val="22"/>
          <w:lang w:val="es-ES"/>
        </w:rPr>
        <w:t>.</w:t>
      </w:r>
    </w:p>
    <w:p w14:paraId="244E848B"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En ese orden, el deber de publicar la actividad contractual de las entidades estatales no solo está regulado en el artículo 3 de la Ley 1150 de 2007, y en el </w:t>
      </w:r>
      <w:r w:rsidRPr="00F67FA5">
        <w:rPr>
          <w:rFonts w:ascii="Arial" w:eastAsia="Arial" w:hAnsi="Arial" w:cs="Arial"/>
          <w:color w:val="000000" w:themeColor="text1"/>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F67FA5">
        <w:rPr>
          <w:rFonts w:ascii="Arial" w:eastAsia="Arial" w:hAnsi="Arial" w:cs="Arial"/>
          <w:i/>
          <w:iCs/>
          <w:color w:val="000000" w:themeColor="text1"/>
          <w:sz w:val="22"/>
          <w:lang w:val="es-ES"/>
        </w:rPr>
        <w:t xml:space="preserve">Documentos del Proceso </w:t>
      </w:r>
      <w:r w:rsidRPr="00F67FA5">
        <w:rPr>
          <w:rFonts w:ascii="Arial" w:eastAsia="Arial" w:hAnsi="Arial" w:cs="Arial"/>
          <w:color w:val="000000" w:themeColor="text1"/>
          <w:sz w:val="22"/>
          <w:lang w:val="es-ES"/>
        </w:rPr>
        <w:t>expedidos por la «entidad estatal».</w:t>
      </w:r>
    </w:p>
    <w:p w14:paraId="733F80FD"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F67FA5">
        <w:rPr>
          <w:rFonts w:ascii="Arial" w:eastAsia="Calibri" w:hAnsi="Arial" w:cs="Arial"/>
          <w:i/>
          <w:iCs/>
          <w:color w:val="000000" w:themeColor="text1"/>
          <w:sz w:val="22"/>
          <w:lang w:val="es-ES"/>
        </w:rPr>
        <w:t>Documentos del Proceso.</w:t>
      </w:r>
      <w:r w:rsidRPr="00F67FA5">
        <w:rPr>
          <w:rFonts w:ascii="Arial" w:hAnsi="Arial" w:cs="Arial"/>
          <w:color w:val="000000" w:themeColor="text1"/>
          <w:sz w:val="22"/>
          <w:lang w:val="es-ES"/>
        </w:rPr>
        <w:t xml:space="preserve"> Esto</w:t>
      </w:r>
      <w:r w:rsidRPr="00F67FA5">
        <w:rPr>
          <w:rFonts w:ascii="Arial" w:eastAsia="Calibri" w:hAnsi="Arial" w:cs="Arial"/>
          <w:i/>
          <w:iCs/>
          <w:color w:val="000000" w:themeColor="text1"/>
          <w:sz w:val="22"/>
          <w:lang w:val="es-ES"/>
        </w:rPr>
        <w:t xml:space="preserve"> </w:t>
      </w:r>
      <w:r w:rsidRPr="00F67FA5">
        <w:rPr>
          <w:rFonts w:ascii="Arial" w:eastAsia="Calibri" w:hAnsi="Arial" w:cs="Arial"/>
          <w:color w:val="000000" w:themeColor="text1"/>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F67FA5">
        <w:rPr>
          <w:rFonts w:ascii="Arial" w:eastAsia="Calibri" w:hAnsi="Arial" w:cs="Arial"/>
          <w:i/>
          <w:iCs/>
          <w:color w:val="000000" w:themeColor="text1"/>
          <w:sz w:val="22"/>
          <w:lang w:val="es-ES"/>
        </w:rPr>
        <w:t>Proceso de Contratación,</w:t>
      </w:r>
      <w:r w:rsidRPr="00F67FA5">
        <w:rPr>
          <w:rFonts w:ascii="Arial" w:eastAsia="Calibri" w:hAnsi="Arial" w:cs="Arial"/>
          <w:color w:val="000000" w:themeColor="text1"/>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66446876"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lastRenderedPageBreak/>
        <w:t xml:space="preserve">Esto quiere decir que las entidades estatales, además de los documentos y actos administrativos </w:t>
      </w:r>
      <w:r w:rsidRPr="00F67FA5">
        <w:rPr>
          <w:rFonts w:ascii="Arial" w:eastAsia="Calibri" w:hAnsi="Arial" w:cs="Arial"/>
          <w:color w:val="000000" w:themeColor="text1"/>
          <w:sz w:val="22"/>
          <w:lang w:val="es-ES"/>
        </w:rPr>
        <w:softHyphen/>
      </w:r>
      <w:r w:rsidRPr="00F67FA5">
        <w:rPr>
          <w:rFonts w:ascii="Arial" w:eastAsia="Calibri" w:hAnsi="Arial" w:cs="Arial"/>
          <w:color w:val="000000" w:themeColor="text1"/>
          <w:sz w:val="22"/>
          <w:lang w:val="es-ES"/>
        </w:rPr>
        <w:softHyphen/>
        <w:t>–de trámite o definitivos– que expiden durante los procedimientos de contratación</w:t>
      </w:r>
      <w:r w:rsidRPr="00F67FA5">
        <w:rPr>
          <w:rFonts w:ascii="Arial" w:eastAsia="Calibri" w:hAnsi="Arial" w:cs="Arial"/>
          <w:i/>
          <w:iCs/>
          <w:color w:val="000000" w:themeColor="text1"/>
          <w:sz w:val="22"/>
          <w:lang w:val="es-ES"/>
        </w:rPr>
        <w:t>,</w:t>
      </w:r>
      <w:r w:rsidRPr="00F67FA5">
        <w:rPr>
          <w:rFonts w:ascii="Arial" w:eastAsia="Calibri" w:hAnsi="Arial" w:cs="Arial"/>
          <w:color w:val="000000" w:themeColor="text1"/>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F67FA5">
        <w:rPr>
          <w:rFonts w:ascii="Arial" w:eastAsia="Calibri" w:hAnsi="Arial" w:cs="Arial"/>
          <w:i/>
          <w:iCs/>
          <w:color w:val="000000" w:themeColor="text1"/>
          <w:sz w:val="22"/>
          <w:lang w:val="es-ES"/>
        </w:rPr>
        <w:t xml:space="preserve"> Documento del Proceso, </w:t>
      </w:r>
      <w:r w:rsidRPr="00F67FA5">
        <w:rPr>
          <w:rFonts w:ascii="Arial" w:eastAsia="Calibri" w:hAnsi="Arial" w:cs="Arial"/>
          <w:color w:val="000000" w:themeColor="text1"/>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F67FA5">
        <w:rPr>
          <w:rFonts w:ascii="Arial" w:eastAsia="Arial" w:hAnsi="Arial" w:cs="Arial"/>
          <w:color w:val="000000" w:themeColor="text1"/>
          <w:sz w:val="22"/>
          <w:lang w:val="es-ES"/>
        </w:rPr>
        <w:t>artículo 2.2.1.1.1.7.1. del Decreto 1082 de 2015.</w:t>
      </w:r>
    </w:p>
    <w:p w14:paraId="667C0CEB"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F67FA5">
        <w:rPr>
          <w:rStyle w:val="nfasis"/>
          <w:rFonts w:ascii="Arial" w:hAnsi="Arial" w:cs="Arial"/>
          <w:color w:val="000000" w:themeColor="text1"/>
          <w:sz w:val="22"/>
          <w:lang w:val="es-ES"/>
        </w:rPr>
        <w:t>máxima publicidad para un titular universal</w:t>
      </w:r>
      <w:r w:rsidRPr="00F67FA5">
        <w:rPr>
          <w:rStyle w:val="Refdenotaalpie"/>
          <w:rFonts w:ascii="Arial" w:hAnsi="Arial" w:cs="Arial"/>
          <w:i/>
          <w:iCs/>
          <w:color w:val="000000" w:themeColor="text1"/>
          <w:sz w:val="22"/>
          <w:lang w:val="es-ES"/>
        </w:rPr>
        <w:footnoteReference w:id="20"/>
      </w:r>
      <w:r w:rsidRPr="00F67FA5">
        <w:rPr>
          <w:rStyle w:val="nfasis"/>
          <w:rFonts w:ascii="Arial" w:hAnsi="Arial" w:cs="Arial"/>
          <w:color w:val="000000" w:themeColor="text1"/>
          <w:sz w:val="22"/>
          <w:lang w:val="es-ES"/>
        </w:rPr>
        <w:t>, transparencia, facilitación y divulgación proactiva de la información</w:t>
      </w:r>
      <w:r w:rsidRPr="00F67FA5">
        <w:rPr>
          <w:rStyle w:val="Refdenotaalpie"/>
          <w:rFonts w:ascii="Arial" w:hAnsi="Arial" w:cs="Arial"/>
          <w:i/>
          <w:iCs/>
          <w:color w:val="000000" w:themeColor="text1"/>
          <w:sz w:val="22"/>
          <w:lang w:val="es-ES"/>
        </w:rPr>
        <w:footnoteReference w:id="21"/>
      </w:r>
      <w:r w:rsidRPr="00F67FA5">
        <w:rPr>
          <w:rStyle w:val="nfasis"/>
          <w:rFonts w:ascii="Arial" w:hAnsi="Arial" w:cs="Arial"/>
          <w:color w:val="000000" w:themeColor="text1"/>
          <w:sz w:val="22"/>
          <w:lang w:val="es-ES"/>
        </w:rPr>
        <w:t xml:space="preserve">, </w:t>
      </w:r>
      <w:r w:rsidRPr="00F67FA5">
        <w:rPr>
          <w:rStyle w:val="nfasis"/>
          <w:rFonts w:ascii="Arial" w:hAnsi="Arial" w:cs="Arial"/>
          <w:i w:val="0"/>
          <w:iCs w:val="0"/>
          <w:color w:val="000000" w:themeColor="text1"/>
          <w:sz w:val="22"/>
          <w:lang w:val="es-ES"/>
        </w:rPr>
        <w:t xml:space="preserve"> </w:t>
      </w:r>
      <w:r w:rsidRPr="00F67FA5">
        <w:rPr>
          <w:rStyle w:val="nfasis"/>
          <w:rFonts w:ascii="Arial" w:hAnsi="Arial" w:cs="Arial"/>
          <w:i w:val="0"/>
          <w:iCs w:val="0"/>
          <w:color w:val="000000" w:themeColor="text1"/>
          <w:sz w:val="22"/>
          <w:lang w:val="es-ES"/>
        </w:rPr>
        <w:lastRenderedPageBreak/>
        <w:t xml:space="preserve">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F67FA5" w:rsidRDefault="00D12042" w:rsidP="00D12042">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bCs/>
          <w:color w:val="000000" w:themeColor="text1"/>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F67FA5">
        <w:rPr>
          <w:rFonts w:ascii="Arial" w:hAnsi="Arial" w:cs="Arial"/>
          <w:color w:val="000000" w:themeColor="text1"/>
          <w:sz w:val="22"/>
          <w:lang w:val="es-ES"/>
        </w:rPr>
        <w:t>radicado interno No.</w:t>
      </w:r>
      <w:r w:rsidRPr="00F67FA5">
        <w:rPr>
          <w:rFonts w:ascii="Arial" w:hAnsi="Arial" w:cs="Arial"/>
          <w:color w:val="000000" w:themeColor="text1"/>
          <w:lang w:val="es-ES"/>
        </w:rPr>
        <w:t xml:space="preserve"> </w:t>
      </w:r>
      <w:r w:rsidRPr="00F67FA5">
        <w:rPr>
          <w:rFonts w:ascii="Arial" w:eastAsia="Calibri" w:hAnsi="Arial" w:cs="Arial"/>
          <w:bCs/>
          <w:color w:val="000000" w:themeColor="text1"/>
          <w:sz w:val="22"/>
          <w:lang w:val="es-ES"/>
        </w:rPr>
        <w:t xml:space="preserve">2202013000003074–, </w:t>
      </w:r>
      <w:r w:rsidRPr="00F67FA5">
        <w:rPr>
          <w:rFonts w:ascii="Arial" w:eastAsia="Calibri" w:hAnsi="Arial" w:cs="Arial"/>
          <w:color w:val="000000" w:themeColor="text1"/>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F67FA5" w:rsidRDefault="00D12042" w:rsidP="00D12042">
      <w:pPr>
        <w:spacing w:after="120" w:line="276" w:lineRule="auto"/>
        <w:ind w:firstLine="709"/>
        <w:jc w:val="both"/>
        <w:rPr>
          <w:rStyle w:val="Textoennegrita"/>
          <w:rFonts w:ascii="Arial" w:hAnsi="Arial" w:cs="Arial"/>
          <w:b w:val="0"/>
          <w:bCs w:val="0"/>
          <w:color w:val="000000" w:themeColor="text1"/>
          <w:sz w:val="22"/>
          <w:lang w:val="es-ES"/>
        </w:rPr>
      </w:pPr>
      <w:r w:rsidRPr="00F67FA5">
        <w:rPr>
          <w:rFonts w:ascii="Arial" w:eastAsia="Calibri" w:hAnsi="Arial" w:cs="Arial"/>
          <w:color w:val="000000" w:themeColor="text1"/>
          <w:sz w:val="22"/>
          <w:lang w:val="es-ES"/>
        </w:rPr>
        <w:t xml:space="preserve">En ese sentido, el Plan Anual de Adquisiciones no forma parte de la noción de </w:t>
      </w:r>
      <w:r w:rsidRPr="00F67FA5">
        <w:rPr>
          <w:rFonts w:ascii="Arial" w:eastAsia="Calibri" w:hAnsi="Arial" w:cs="Arial"/>
          <w:i/>
          <w:iCs/>
          <w:color w:val="000000" w:themeColor="text1"/>
          <w:sz w:val="22"/>
          <w:lang w:val="es-ES"/>
        </w:rPr>
        <w:t xml:space="preserve">Documentos del Proceso, </w:t>
      </w:r>
      <w:r w:rsidRPr="00F67FA5">
        <w:rPr>
          <w:rFonts w:ascii="Arial" w:eastAsia="Calibri" w:hAnsi="Arial" w:cs="Arial"/>
          <w:color w:val="000000" w:themeColor="text1"/>
          <w:sz w:val="22"/>
          <w:lang w:val="es-ES"/>
        </w:rPr>
        <w:t xml:space="preserve">ni hace parte del </w:t>
      </w:r>
      <w:r w:rsidRPr="00F67FA5">
        <w:rPr>
          <w:rFonts w:ascii="Arial" w:eastAsia="Calibri" w:hAnsi="Arial" w:cs="Arial"/>
          <w:i/>
          <w:iCs/>
          <w:color w:val="000000" w:themeColor="text1"/>
          <w:sz w:val="22"/>
          <w:lang w:val="es-ES"/>
        </w:rPr>
        <w:t>Proce</w:t>
      </w:r>
      <w:r w:rsidRPr="00F67FA5">
        <w:rPr>
          <w:rFonts w:ascii="Arial" w:eastAsia="Calibri" w:hAnsi="Arial" w:cs="Arial"/>
          <w:color w:val="000000" w:themeColor="text1"/>
          <w:sz w:val="22"/>
          <w:lang w:val="es-ES"/>
        </w:rPr>
        <w:t xml:space="preserve">so </w:t>
      </w:r>
      <w:r w:rsidRPr="00F67FA5">
        <w:rPr>
          <w:rFonts w:ascii="Arial" w:eastAsia="Calibri" w:hAnsi="Arial" w:cs="Arial"/>
          <w:i/>
          <w:iCs/>
          <w:color w:val="000000" w:themeColor="text1"/>
          <w:sz w:val="22"/>
          <w:lang w:val="es-ES"/>
        </w:rPr>
        <w:t>de Contratación,</w:t>
      </w:r>
      <w:r w:rsidRPr="00F67FA5">
        <w:rPr>
          <w:rFonts w:ascii="Arial" w:eastAsia="Calibri" w:hAnsi="Arial" w:cs="Arial"/>
          <w:color w:val="000000" w:themeColor="text1"/>
          <w:sz w:val="22"/>
          <w:lang w:val="es-ES"/>
        </w:rPr>
        <w:t xml:space="preserve"> conforme al artículo 2.2.1.1.1.3.1 del Decreto 1082 de 2015, por lo que el deber de publicarlo encuentra apoyo en normas distintas del artículo 2.2.1.1.1.7.1 </w:t>
      </w:r>
      <w:proofErr w:type="spellStart"/>
      <w:r w:rsidRPr="00F67FA5">
        <w:rPr>
          <w:rFonts w:ascii="Arial" w:eastAsia="Calibri" w:hAnsi="Arial" w:cs="Arial"/>
          <w:i/>
          <w:iCs/>
          <w:color w:val="000000" w:themeColor="text1"/>
          <w:sz w:val="22"/>
          <w:lang w:val="es-ES"/>
        </w:rPr>
        <w:t>Ibídem</w:t>
      </w:r>
      <w:proofErr w:type="spellEnd"/>
      <w:r w:rsidRPr="00F67FA5">
        <w:rPr>
          <w:rFonts w:ascii="Arial" w:eastAsia="Calibri" w:hAnsi="Arial" w:cs="Arial"/>
          <w:i/>
          <w:iCs/>
          <w:color w:val="000000" w:themeColor="text1"/>
          <w:sz w:val="22"/>
          <w:lang w:val="es-ES"/>
        </w:rPr>
        <w:t xml:space="preserve">. </w:t>
      </w:r>
      <w:r w:rsidRPr="00F67FA5">
        <w:rPr>
          <w:rFonts w:ascii="Arial" w:eastAsia="Calibri" w:hAnsi="Arial" w:cs="Arial"/>
          <w:color w:val="000000" w:themeColor="text1"/>
          <w:sz w:val="22"/>
          <w:lang w:val="es-ES"/>
        </w:rPr>
        <w:t>Es el artículo 74 de la Ley 1474 de 2011</w:t>
      </w:r>
      <w:r w:rsidRPr="00F67FA5">
        <w:rPr>
          <w:rStyle w:val="Refdenotaalpie"/>
          <w:rFonts w:ascii="Arial" w:eastAsia="Calibri" w:hAnsi="Arial" w:cs="Arial"/>
          <w:color w:val="000000" w:themeColor="text1"/>
          <w:sz w:val="22"/>
          <w:lang w:val="es-ES"/>
        </w:rPr>
        <w:footnoteReference w:id="22"/>
      </w:r>
      <w:r w:rsidRPr="00F67FA5">
        <w:rPr>
          <w:rFonts w:ascii="Arial" w:eastAsia="Calibri" w:hAnsi="Arial" w:cs="Arial"/>
          <w:color w:val="000000" w:themeColor="text1"/>
          <w:sz w:val="22"/>
          <w:lang w:val="es-ES"/>
        </w:rPr>
        <w:t xml:space="preserve"> el que dispone que </w:t>
      </w:r>
      <w:r w:rsidRPr="00F67FA5">
        <w:rPr>
          <w:rFonts w:ascii="Arial" w:hAnsi="Arial" w:cs="Arial"/>
          <w:color w:val="000000" w:themeColor="text1"/>
          <w:sz w:val="22"/>
          <w:lang w:val="es-ES"/>
        </w:rPr>
        <w:t xml:space="preserve">a más tardar el 31 de enero de cada año las entidades deben publicar, en su página web, el Plan de Acción para el año siguiente; y el artículo </w:t>
      </w:r>
      <w:r w:rsidRPr="00F67FA5">
        <w:rPr>
          <w:rStyle w:val="Textoennegrita"/>
          <w:rFonts w:ascii="Arial" w:hAnsi="Arial" w:cs="Arial"/>
          <w:b w:val="0"/>
          <w:bCs w:val="0"/>
          <w:color w:val="000000" w:themeColor="text1"/>
          <w:sz w:val="22"/>
          <w:lang w:val="es-ES"/>
        </w:rPr>
        <w:lastRenderedPageBreak/>
        <w:t>2.2.1.1.1.4.3</w:t>
      </w:r>
      <w:r w:rsidRPr="00F67FA5">
        <w:rPr>
          <w:rStyle w:val="Refdenotaalpie"/>
          <w:rFonts w:ascii="Arial" w:hAnsi="Arial" w:cs="Arial"/>
          <w:color w:val="000000" w:themeColor="text1"/>
          <w:sz w:val="22"/>
          <w:lang w:val="es-ES"/>
        </w:rPr>
        <w:footnoteReference w:id="23"/>
      </w:r>
      <w:r w:rsidRPr="00F67FA5">
        <w:rPr>
          <w:rStyle w:val="Textoennegrita"/>
          <w:rFonts w:ascii="Arial" w:hAnsi="Arial" w:cs="Arial"/>
          <w:color w:val="000000" w:themeColor="text1"/>
          <w:sz w:val="22"/>
          <w:lang w:val="es-ES"/>
        </w:rPr>
        <w:t xml:space="preserve"> </w:t>
      </w:r>
      <w:r w:rsidRPr="00F67FA5">
        <w:rPr>
          <w:rStyle w:val="Textoennegrita"/>
          <w:rFonts w:ascii="Arial" w:hAnsi="Arial" w:cs="Arial"/>
          <w:b w:val="0"/>
          <w:bCs w:val="0"/>
          <w:color w:val="000000" w:themeColor="text1"/>
          <w:sz w:val="22"/>
          <w:lang w:val="es-ES"/>
        </w:rPr>
        <w:t>del Decreto 1082 de 2015 también exige publicarlo en la página web de la entidad y además en el SECOP; así como también lo indica el citado artículo 2.1.1.2.1.10 del Decreto 1081 de 2015.</w:t>
      </w:r>
    </w:p>
    <w:p w14:paraId="132C9548" w14:textId="77777777" w:rsidR="00D12042" w:rsidRPr="00F67FA5" w:rsidRDefault="00D12042" w:rsidP="00D12042">
      <w:pPr>
        <w:spacing w:after="120" w:line="276" w:lineRule="auto"/>
        <w:ind w:firstLine="709"/>
        <w:jc w:val="both"/>
        <w:rPr>
          <w:rFonts w:ascii="Arial" w:hAnsi="Arial" w:cs="Arial"/>
          <w:color w:val="000000" w:themeColor="text1"/>
          <w:sz w:val="22"/>
          <w:lang w:val="es-ES"/>
        </w:rPr>
      </w:pPr>
      <w:r w:rsidRPr="00F67FA5">
        <w:rPr>
          <w:rStyle w:val="Textoennegrita"/>
          <w:rFonts w:ascii="Arial" w:hAnsi="Arial" w:cs="Arial"/>
          <w:b w:val="0"/>
          <w:bCs w:val="0"/>
          <w:color w:val="000000" w:themeColor="text1"/>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F67FA5">
        <w:rPr>
          <w:rStyle w:val="Textoennegrita"/>
          <w:rFonts w:ascii="Arial" w:hAnsi="Arial" w:cs="Arial"/>
          <w:b w:val="0"/>
          <w:bCs w:val="0"/>
          <w:i/>
          <w:iCs/>
          <w:color w:val="000000" w:themeColor="text1"/>
          <w:sz w:val="22"/>
          <w:lang w:val="es-ES"/>
        </w:rPr>
        <w:t>proceso de contratación</w:t>
      </w:r>
      <w:r w:rsidRPr="00F67FA5">
        <w:rPr>
          <w:rStyle w:val="Textoennegrita"/>
          <w:rFonts w:ascii="Arial" w:hAnsi="Arial" w:cs="Arial"/>
          <w:b w:val="0"/>
          <w:bCs w:val="0"/>
          <w:color w:val="000000" w:themeColor="text1"/>
          <w:sz w:val="22"/>
          <w:lang w:val="es-ES"/>
        </w:rPr>
        <w:t xml:space="preserve">: i) el estudio de oportunidad y conveniencia; </w:t>
      </w:r>
      <w:proofErr w:type="spellStart"/>
      <w:r w:rsidRPr="00F67FA5">
        <w:rPr>
          <w:rStyle w:val="Textoennegrita"/>
          <w:rFonts w:ascii="Arial" w:hAnsi="Arial" w:cs="Arial"/>
          <w:b w:val="0"/>
          <w:bCs w:val="0"/>
          <w:color w:val="000000" w:themeColor="text1"/>
          <w:sz w:val="22"/>
          <w:lang w:val="es-ES"/>
        </w:rPr>
        <w:t>ii</w:t>
      </w:r>
      <w:proofErr w:type="spellEnd"/>
      <w:r w:rsidRPr="00F67FA5">
        <w:rPr>
          <w:rStyle w:val="Textoennegrita"/>
          <w:rFonts w:ascii="Arial" w:hAnsi="Arial" w:cs="Arial"/>
          <w:b w:val="0"/>
          <w:bCs w:val="0"/>
          <w:color w:val="000000" w:themeColor="text1"/>
          <w:sz w:val="22"/>
          <w:lang w:val="es-ES"/>
        </w:rPr>
        <w:t xml:space="preserve">) </w:t>
      </w:r>
      <w:r w:rsidRPr="00F67FA5">
        <w:rPr>
          <w:rFonts w:ascii="Arial" w:hAnsi="Arial" w:cs="Arial"/>
          <w:color w:val="000000" w:themeColor="text1"/>
          <w:sz w:val="22"/>
          <w:lang w:val="es-ES"/>
        </w:rPr>
        <w:t xml:space="preserve">los estudios y documentos previos –técnicos o no–; </w:t>
      </w:r>
      <w:proofErr w:type="spellStart"/>
      <w:r w:rsidRPr="00F67FA5">
        <w:rPr>
          <w:rFonts w:ascii="Arial" w:hAnsi="Arial" w:cs="Arial"/>
          <w:color w:val="000000" w:themeColor="text1"/>
          <w:sz w:val="22"/>
          <w:lang w:val="es-ES"/>
        </w:rPr>
        <w:t>iii</w:t>
      </w:r>
      <w:proofErr w:type="spellEnd"/>
      <w:r w:rsidRPr="00F67FA5">
        <w:rPr>
          <w:rFonts w:ascii="Arial" w:hAnsi="Arial" w:cs="Arial"/>
          <w:color w:val="000000" w:themeColor="text1"/>
          <w:sz w:val="22"/>
          <w:lang w:val="es-ES"/>
        </w:rPr>
        <w:t xml:space="preserve">) el  aviso de convocatoria; </w:t>
      </w:r>
      <w:proofErr w:type="spellStart"/>
      <w:r w:rsidRPr="00F67FA5">
        <w:rPr>
          <w:rFonts w:ascii="Arial" w:hAnsi="Arial" w:cs="Arial"/>
          <w:color w:val="000000" w:themeColor="text1"/>
          <w:sz w:val="22"/>
          <w:lang w:val="es-ES"/>
        </w:rPr>
        <w:t>iv</w:t>
      </w:r>
      <w:proofErr w:type="spellEnd"/>
      <w:r w:rsidRPr="00F67FA5">
        <w:rPr>
          <w:rFonts w:ascii="Arial" w:hAnsi="Arial" w:cs="Arial"/>
          <w:color w:val="000000" w:themeColor="text1"/>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F67FA5">
        <w:rPr>
          <w:rFonts w:ascii="Arial" w:hAnsi="Arial" w:cs="Arial"/>
          <w:color w:val="000000" w:themeColor="text1"/>
          <w:sz w:val="22"/>
          <w:lang w:val="es-ES"/>
        </w:rPr>
        <w:t>vii</w:t>
      </w:r>
      <w:proofErr w:type="spellEnd"/>
      <w:r w:rsidRPr="00F67FA5">
        <w:rPr>
          <w:rFonts w:ascii="Arial" w:hAnsi="Arial" w:cs="Arial"/>
          <w:color w:val="000000" w:themeColor="text1"/>
          <w:sz w:val="22"/>
          <w:lang w:val="es-ES"/>
        </w:rPr>
        <w:t xml:space="preserve">) el acta de cierre del plazo para presentar ofertas; </w:t>
      </w:r>
      <w:proofErr w:type="spellStart"/>
      <w:r w:rsidRPr="00F67FA5">
        <w:rPr>
          <w:rFonts w:ascii="Arial" w:hAnsi="Arial" w:cs="Arial"/>
          <w:color w:val="000000" w:themeColor="text1"/>
          <w:sz w:val="22"/>
          <w:lang w:val="es-ES"/>
        </w:rPr>
        <w:t>viii</w:t>
      </w:r>
      <w:proofErr w:type="spellEnd"/>
      <w:r w:rsidRPr="00F67FA5">
        <w:rPr>
          <w:rFonts w:ascii="Arial" w:hAnsi="Arial" w:cs="Arial"/>
          <w:color w:val="000000" w:themeColor="text1"/>
          <w:sz w:val="22"/>
          <w:lang w:val="es-ES"/>
        </w:rPr>
        <w:t xml:space="preserve">) las adendas; </w:t>
      </w:r>
      <w:proofErr w:type="spellStart"/>
      <w:r w:rsidRPr="00F67FA5">
        <w:rPr>
          <w:rFonts w:ascii="Arial" w:hAnsi="Arial" w:cs="Arial"/>
          <w:color w:val="000000" w:themeColor="text1"/>
          <w:sz w:val="22"/>
          <w:lang w:val="es-ES"/>
        </w:rPr>
        <w:t>ix</w:t>
      </w:r>
      <w:proofErr w:type="spellEnd"/>
      <w:r w:rsidRPr="00F67FA5">
        <w:rPr>
          <w:rFonts w:ascii="Arial" w:hAnsi="Arial" w:cs="Arial"/>
          <w:color w:val="000000" w:themeColor="text1"/>
          <w:sz w:val="22"/>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F67FA5">
        <w:rPr>
          <w:rFonts w:ascii="Arial" w:hAnsi="Arial" w:cs="Arial"/>
          <w:color w:val="000000" w:themeColor="text1"/>
          <w:sz w:val="22"/>
          <w:lang w:val="es-ES"/>
        </w:rPr>
        <w:t>xii</w:t>
      </w:r>
      <w:proofErr w:type="spellEnd"/>
      <w:r w:rsidRPr="00F67FA5">
        <w:rPr>
          <w:rFonts w:ascii="Arial" w:hAnsi="Arial" w:cs="Arial"/>
          <w:color w:val="000000" w:themeColor="text1"/>
          <w:sz w:val="22"/>
          <w:lang w:val="es-ES"/>
        </w:rPr>
        <w:t xml:space="preserve">) las respuestas a las observaciones; </w:t>
      </w:r>
      <w:proofErr w:type="spellStart"/>
      <w:r w:rsidRPr="00F67FA5">
        <w:rPr>
          <w:rFonts w:ascii="Arial" w:hAnsi="Arial" w:cs="Arial"/>
          <w:color w:val="000000" w:themeColor="text1"/>
          <w:sz w:val="22"/>
          <w:lang w:val="es-ES"/>
        </w:rPr>
        <w:t>xiii</w:t>
      </w:r>
      <w:proofErr w:type="spellEnd"/>
      <w:r w:rsidRPr="00F67FA5">
        <w:rPr>
          <w:rFonts w:ascii="Arial" w:hAnsi="Arial" w:cs="Arial"/>
          <w:color w:val="000000" w:themeColor="text1"/>
          <w:sz w:val="22"/>
          <w:lang w:val="es-ES"/>
        </w:rPr>
        <w:t xml:space="preserve">) el contrato y los otrosíes o modificaciones; </w:t>
      </w:r>
      <w:proofErr w:type="spellStart"/>
      <w:r w:rsidRPr="00F67FA5">
        <w:rPr>
          <w:rFonts w:ascii="Arial" w:hAnsi="Arial" w:cs="Arial"/>
          <w:color w:val="000000" w:themeColor="text1"/>
          <w:sz w:val="22"/>
          <w:lang w:val="es-ES"/>
        </w:rPr>
        <w:t>xiv</w:t>
      </w:r>
      <w:proofErr w:type="spellEnd"/>
      <w:r w:rsidRPr="00F67FA5">
        <w:rPr>
          <w:rFonts w:ascii="Arial" w:hAnsi="Arial" w:cs="Arial"/>
          <w:color w:val="000000" w:themeColor="text1"/>
          <w:sz w:val="22"/>
          <w:lang w:val="es-ES"/>
        </w:rPr>
        <w:t xml:space="preserve">) el acta de inicio; </w:t>
      </w:r>
      <w:proofErr w:type="spellStart"/>
      <w:r w:rsidRPr="00F67FA5">
        <w:rPr>
          <w:rFonts w:ascii="Arial" w:hAnsi="Arial" w:cs="Arial"/>
          <w:color w:val="000000" w:themeColor="text1"/>
          <w:sz w:val="22"/>
          <w:lang w:val="es-ES"/>
        </w:rPr>
        <w:t>xv</w:t>
      </w:r>
      <w:proofErr w:type="spellEnd"/>
      <w:r w:rsidRPr="00F67FA5">
        <w:rPr>
          <w:rFonts w:ascii="Arial" w:hAnsi="Arial" w:cs="Arial"/>
          <w:color w:val="000000" w:themeColor="text1"/>
          <w:sz w:val="22"/>
          <w:lang w:val="es-ES"/>
        </w:rPr>
        <w:t xml:space="preserve">) las garantías; </w:t>
      </w:r>
      <w:proofErr w:type="spellStart"/>
      <w:r w:rsidRPr="00F67FA5">
        <w:rPr>
          <w:rFonts w:ascii="Arial" w:hAnsi="Arial" w:cs="Arial"/>
          <w:color w:val="000000" w:themeColor="text1"/>
          <w:sz w:val="22"/>
          <w:lang w:val="es-ES"/>
        </w:rPr>
        <w:t>xvi</w:t>
      </w:r>
      <w:proofErr w:type="spellEnd"/>
      <w:r w:rsidRPr="00F67FA5">
        <w:rPr>
          <w:rFonts w:ascii="Arial" w:hAnsi="Arial" w:cs="Arial"/>
          <w:color w:val="000000" w:themeColor="text1"/>
          <w:sz w:val="22"/>
          <w:lang w:val="es-ES"/>
        </w:rPr>
        <w:t xml:space="preserve">) el acta de liquidación; </w:t>
      </w:r>
      <w:proofErr w:type="spellStart"/>
      <w:r w:rsidRPr="00F67FA5">
        <w:rPr>
          <w:rFonts w:ascii="Arial" w:hAnsi="Arial" w:cs="Arial"/>
          <w:color w:val="000000" w:themeColor="text1"/>
          <w:sz w:val="22"/>
          <w:lang w:val="es-ES"/>
        </w:rPr>
        <w:t>xvii</w:t>
      </w:r>
      <w:proofErr w:type="spellEnd"/>
      <w:r w:rsidRPr="00F67FA5">
        <w:rPr>
          <w:rFonts w:ascii="Arial" w:hAnsi="Arial" w:cs="Arial"/>
          <w:color w:val="000000" w:themeColor="text1"/>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F67FA5">
        <w:rPr>
          <w:rFonts w:ascii="Arial" w:hAnsi="Arial" w:cs="Arial"/>
          <w:color w:val="000000" w:themeColor="text1"/>
          <w:sz w:val="22"/>
          <w:lang w:val="es-ES"/>
        </w:rPr>
        <w:t>xviii</w:t>
      </w:r>
      <w:proofErr w:type="spellEnd"/>
      <w:r w:rsidRPr="00F67FA5">
        <w:rPr>
          <w:rFonts w:ascii="Arial" w:hAnsi="Arial" w:cs="Arial"/>
          <w:color w:val="000000" w:themeColor="text1"/>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F67FA5">
        <w:rPr>
          <w:rFonts w:ascii="Arial" w:hAnsi="Arial" w:cs="Arial"/>
          <w:color w:val="000000" w:themeColor="text1"/>
          <w:sz w:val="22"/>
          <w:lang w:val="es-ES"/>
        </w:rPr>
        <w:t>ix</w:t>
      </w:r>
      <w:proofErr w:type="spellEnd"/>
      <w:r w:rsidRPr="00F67FA5">
        <w:rPr>
          <w:rFonts w:ascii="Arial" w:hAnsi="Arial" w:cs="Arial"/>
          <w:color w:val="000000" w:themeColor="text1"/>
          <w:sz w:val="22"/>
          <w:lang w:val="es-ES"/>
        </w:rPr>
        <w:t xml:space="preserve">) las reclamaciones que presenten las partes y las respuestas que se expidan a las mismas; </w:t>
      </w:r>
      <w:proofErr w:type="spellStart"/>
      <w:r w:rsidRPr="00F67FA5">
        <w:rPr>
          <w:rFonts w:ascii="Arial" w:hAnsi="Arial" w:cs="Arial"/>
          <w:color w:val="000000" w:themeColor="text1"/>
          <w:sz w:val="22"/>
          <w:lang w:val="es-ES"/>
        </w:rPr>
        <w:t>xx</w:t>
      </w:r>
      <w:proofErr w:type="spellEnd"/>
      <w:r w:rsidRPr="00F67FA5">
        <w:rPr>
          <w:rFonts w:ascii="Arial" w:hAnsi="Arial" w:cs="Arial"/>
          <w:color w:val="000000" w:themeColor="text1"/>
          <w:sz w:val="22"/>
          <w:lang w:val="es-ES"/>
        </w:rPr>
        <w:t xml:space="preserve">) las actas de entrega o recibo, </w:t>
      </w:r>
      <w:proofErr w:type="spellStart"/>
      <w:r w:rsidRPr="00F67FA5">
        <w:rPr>
          <w:rFonts w:ascii="Arial" w:hAnsi="Arial" w:cs="Arial"/>
          <w:color w:val="000000" w:themeColor="text1"/>
          <w:sz w:val="22"/>
          <w:lang w:val="es-ES"/>
        </w:rPr>
        <w:t>xxi</w:t>
      </w:r>
      <w:proofErr w:type="spellEnd"/>
      <w:r w:rsidRPr="00F67FA5">
        <w:rPr>
          <w:rFonts w:ascii="Arial" w:hAnsi="Arial" w:cs="Arial"/>
          <w:color w:val="000000" w:themeColor="text1"/>
          <w:sz w:val="22"/>
          <w:lang w:val="es-ES"/>
        </w:rPr>
        <w:t xml:space="preserve">) los informes de supervisión y/o interventoría; </w:t>
      </w:r>
      <w:proofErr w:type="spellStart"/>
      <w:r w:rsidRPr="00F67FA5">
        <w:rPr>
          <w:rFonts w:ascii="Arial" w:hAnsi="Arial" w:cs="Arial"/>
          <w:color w:val="000000" w:themeColor="text1"/>
          <w:sz w:val="22"/>
          <w:lang w:val="es-ES"/>
        </w:rPr>
        <w:t>xxii</w:t>
      </w:r>
      <w:proofErr w:type="spellEnd"/>
      <w:r w:rsidRPr="00F67FA5">
        <w:rPr>
          <w:rFonts w:ascii="Arial" w:hAnsi="Arial" w:cs="Arial"/>
          <w:color w:val="000000" w:themeColor="text1"/>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F67FA5">
        <w:rPr>
          <w:rFonts w:ascii="Arial" w:hAnsi="Arial" w:cs="Arial"/>
          <w:color w:val="000000" w:themeColor="text1"/>
          <w:sz w:val="22"/>
          <w:lang w:val="es-ES"/>
        </w:rPr>
        <w:t>xxiii</w:t>
      </w:r>
      <w:proofErr w:type="spellEnd"/>
      <w:r w:rsidRPr="00F67FA5">
        <w:rPr>
          <w:rFonts w:ascii="Arial" w:hAnsi="Arial" w:cs="Arial"/>
          <w:color w:val="000000" w:themeColor="text1"/>
          <w:sz w:val="22"/>
          <w:lang w:val="es-ES"/>
        </w:rPr>
        <w:t xml:space="preserve">) la liquidación unilateral; y </w:t>
      </w:r>
      <w:proofErr w:type="spellStart"/>
      <w:r w:rsidRPr="00F67FA5">
        <w:rPr>
          <w:rFonts w:ascii="Arial" w:hAnsi="Arial" w:cs="Arial"/>
          <w:color w:val="000000" w:themeColor="text1"/>
          <w:sz w:val="22"/>
          <w:lang w:val="es-ES"/>
        </w:rPr>
        <w:t>xxiv</w:t>
      </w:r>
      <w:proofErr w:type="spellEnd"/>
      <w:r w:rsidRPr="00F67FA5">
        <w:rPr>
          <w:rFonts w:ascii="Arial" w:hAnsi="Arial" w:cs="Arial"/>
          <w:color w:val="000000" w:themeColor="text1"/>
          <w:sz w:val="22"/>
          <w:lang w:val="es-ES"/>
        </w:rPr>
        <w:t xml:space="preserve">) en general cualquier otro documento producido o expedido con ocasión del </w:t>
      </w:r>
      <w:r w:rsidRPr="00F67FA5">
        <w:rPr>
          <w:rFonts w:ascii="Arial" w:hAnsi="Arial" w:cs="Arial"/>
          <w:i/>
          <w:iCs/>
          <w:color w:val="000000" w:themeColor="text1"/>
          <w:sz w:val="22"/>
          <w:lang w:val="es-ES"/>
        </w:rPr>
        <w:t>Proceso de Contratación</w:t>
      </w:r>
      <w:r w:rsidRPr="00F67FA5">
        <w:rPr>
          <w:rFonts w:ascii="Arial" w:hAnsi="Arial" w:cs="Arial"/>
          <w:color w:val="000000" w:themeColor="text1"/>
          <w:sz w:val="22"/>
          <w:lang w:val="es-ES"/>
        </w:rPr>
        <w:t>, sin importar quién sea su autor –la Administración o el contratista–, con excepción de los que pertenecen a</w:t>
      </w:r>
      <w:r w:rsidRPr="00F67FA5">
        <w:rPr>
          <w:rFonts w:ascii="Arial" w:eastAsia="Arial" w:hAnsi="Arial" w:cs="Arial"/>
          <w:color w:val="000000" w:themeColor="text1"/>
          <w:sz w:val="22"/>
          <w:lang w:val="es-ES"/>
        </w:rPr>
        <w:t xml:space="preserve">l marco de operaciones de bolsa de productos, expresamente excluidos de publicación por el artículo 2.2.1.1.1.7.1. del Decreto 1082 de 2015. </w:t>
      </w:r>
    </w:p>
    <w:p w14:paraId="3067B496" w14:textId="77777777" w:rsidR="00D12042" w:rsidRPr="00F67FA5" w:rsidRDefault="00D12042" w:rsidP="00D12042">
      <w:pPr>
        <w:spacing w:line="276" w:lineRule="auto"/>
        <w:ind w:firstLine="709"/>
        <w:jc w:val="both"/>
        <w:rPr>
          <w:rFonts w:ascii="Arial" w:hAnsi="Arial" w:cs="Arial"/>
          <w:color w:val="000000" w:themeColor="text1"/>
          <w:sz w:val="22"/>
          <w:lang w:val="es-ES"/>
        </w:rPr>
      </w:pPr>
      <w:r w:rsidRPr="00F67FA5">
        <w:rPr>
          <w:rFonts w:ascii="Arial" w:hAnsi="Arial" w:cs="Arial"/>
          <w:color w:val="000000" w:themeColor="text1"/>
          <w:sz w:val="22"/>
          <w:lang w:val="es-ES"/>
        </w:rPr>
        <w:t>Sin perjuicio de lo anterior, no debe perderse de vista que en virtud del principio de transparencia, específicamente por cuenta de lo dispuesto en el numeral 4 del artículo 24 de la Ley 80 de 1993</w:t>
      </w:r>
      <w:r w:rsidRPr="00F67FA5">
        <w:rPr>
          <w:rStyle w:val="Refdenotaalpie"/>
          <w:rFonts w:ascii="Arial" w:hAnsi="Arial" w:cs="Arial"/>
          <w:color w:val="000000" w:themeColor="text1"/>
          <w:sz w:val="22"/>
          <w:lang w:val="es-ES"/>
        </w:rPr>
        <w:footnoteReference w:id="24"/>
      </w:r>
      <w:r w:rsidRPr="00F67FA5">
        <w:rPr>
          <w:rFonts w:ascii="Arial" w:hAnsi="Arial" w:cs="Arial"/>
          <w:color w:val="000000" w:themeColor="text1"/>
          <w:sz w:val="22"/>
          <w:lang w:val="es-ES"/>
        </w:rPr>
        <w:t xml:space="preserve">, así como por el principio de máxima publicidad establecido en el </w:t>
      </w:r>
      <w:r w:rsidRPr="00F67FA5">
        <w:rPr>
          <w:rFonts w:ascii="Arial" w:hAnsi="Arial" w:cs="Arial"/>
          <w:color w:val="000000" w:themeColor="text1"/>
          <w:sz w:val="22"/>
          <w:lang w:val="es-ES"/>
        </w:rPr>
        <w:lastRenderedPageBreak/>
        <w:t>artículo 2 de la Ley 1712 de 2014</w:t>
      </w:r>
      <w:r w:rsidRPr="00F67FA5">
        <w:rPr>
          <w:rStyle w:val="Refdenotaalpie"/>
          <w:rFonts w:ascii="Arial" w:hAnsi="Arial" w:cs="Arial"/>
          <w:color w:val="000000" w:themeColor="text1"/>
          <w:sz w:val="22"/>
          <w:lang w:val="es-ES"/>
        </w:rPr>
        <w:footnoteReference w:id="25"/>
      </w:r>
      <w:r w:rsidRPr="00F67FA5">
        <w:rPr>
          <w:rFonts w:ascii="Arial" w:hAnsi="Arial" w:cs="Arial"/>
          <w:color w:val="000000" w:themeColor="text1"/>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F67FA5">
        <w:rPr>
          <w:rStyle w:val="Refdenotaalpie"/>
          <w:rFonts w:ascii="Arial" w:hAnsi="Arial" w:cs="Arial"/>
          <w:color w:val="000000" w:themeColor="text1"/>
          <w:sz w:val="22"/>
          <w:lang w:val="es-ES"/>
        </w:rPr>
        <w:footnoteReference w:id="26"/>
      </w:r>
      <w:r w:rsidRPr="00F67FA5">
        <w:rPr>
          <w:rFonts w:ascii="Arial" w:hAnsi="Arial" w:cs="Arial"/>
          <w:color w:val="000000" w:themeColor="text1"/>
          <w:sz w:val="22"/>
          <w:lang w:val="es-ES"/>
        </w:rPr>
        <w:t>. Esta posibilidad solo se encuentra limitada respecto de la documentación que tenga la calidad de reservada</w:t>
      </w:r>
      <w:r w:rsidRPr="00F67FA5">
        <w:rPr>
          <w:rFonts w:ascii="Arial" w:hAnsi="Arial" w:cs="Arial"/>
          <w:color w:val="000000" w:themeColor="text1"/>
          <w:sz w:val="22"/>
          <w:vertAlign w:val="superscript"/>
          <w:lang w:val="es-ES"/>
        </w:rPr>
        <w:footnoteReference w:id="27"/>
      </w:r>
      <w:r w:rsidRPr="00F67FA5">
        <w:rPr>
          <w:rFonts w:ascii="Arial" w:hAnsi="Arial" w:cs="Arial"/>
          <w:color w:val="000000" w:themeColor="text1"/>
          <w:sz w:val="22"/>
          <w:lang w:val="es-ES"/>
        </w:rPr>
        <w:t>, que deberá someterse al tratamiento establecido en el artículo 36 del CPACA, en lo relativo a la formación de cuadernos separados</w:t>
      </w:r>
      <w:r w:rsidRPr="00F67FA5">
        <w:rPr>
          <w:rFonts w:ascii="Arial" w:hAnsi="Arial" w:cs="Arial"/>
          <w:color w:val="000000" w:themeColor="text1"/>
          <w:sz w:val="22"/>
          <w:vertAlign w:val="superscript"/>
          <w:lang w:val="es-ES"/>
        </w:rPr>
        <w:footnoteReference w:id="28"/>
      </w:r>
      <w:r w:rsidRPr="00F67FA5">
        <w:rPr>
          <w:rFonts w:ascii="Arial" w:hAnsi="Arial" w:cs="Arial"/>
          <w:color w:val="000000" w:themeColor="text1"/>
          <w:sz w:val="22"/>
          <w:lang w:val="es-ES"/>
        </w:rPr>
        <w:t>.</w:t>
      </w:r>
    </w:p>
    <w:p w14:paraId="6A9B4E26" w14:textId="21978109" w:rsidR="009B7F9B" w:rsidRPr="00F67FA5" w:rsidRDefault="009B7F9B" w:rsidP="008C0579">
      <w:pPr>
        <w:spacing w:before="120" w:line="276" w:lineRule="auto"/>
        <w:ind w:firstLine="709"/>
        <w:jc w:val="both"/>
        <w:rPr>
          <w:rStyle w:val="Textoennegrita"/>
          <w:rFonts w:ascii="Arial" w:hAnsi="Arial" w:cs="Arial"/>
          <w:b w:val="0"/>
          <w:bCs w:val="0"/>
          <w:color w:val="000000" w:themeColor="text1"/>
          <w:sz w:val="22"/>
          <w:lang w:val="es-ES"/>
        </w:rPr>
      </w:pPr>
    </w:p>
    <w:p w14:paraId="63120921" w14:textId="77777777" w:rsidR="009B7F9B" w:rsidRPr="00F67FA5" w:rsidRDefault="009B7F9B" w:rsidP="008C0579">
      <w:pPr>
        <w:spacing w:line="276" w:lineRule="auto"/>
        <w:ind w:firstLine="709"/>
        <w:jc w:val="both"/>
        <w:rPr>
          <w:rStyle w:val="Textoennegrita"/>
          <w:rFonts w:ascii="Arial" w:hAnsi="Arial" w:cs="Arial"/>
          <w:b w:val="0"/>
          <w:bCs w:val="0"/>
          <w:color w:val="000000" w:themeColor="text1"/>
          <w:sz w:val="22"/>
        </w:rPr>
      </w:pPr>
    </w:p>
    <w:p w14:paraId="00F7E962" w14:textId="77777777" w:rsidR="00107E4D" w:rsidRPr="00F67FA5" w:rsidRDefault="00107E4D" w:rsidP="00107E4D">
      <w:pPr>
        <w:spacing w:line="276" w:lineRule="auto"/>
        <w:jc w:val="both"/>
        <w:rPr>
          <w:rFonts w:ascii="Arial" w:eastAsia="Calibri" w:hAnsi="Arial" w:cs="Arial"/>
          <w:b/>
          <w:color w:val="000000" w:themeColor="text1"/>
          <w:sz w:val="22"/>
          <w:lang w:val="es-ES"/>
        </w:rPr>
      </w:pPr>
      <w:r w:rsidRPr="00F67FA5">
        <w:rPr>
          <w:rFonts w:ascii="Arial" w:eastAsia="Calibri" w:hAnsi="Arial" w:cs="Arial"/>
          <w:b/>
          <w:color w:val="000000" w:themeColor="text1"/>
          <w:sz w:val="22"/>
          <w:lang w:val="es-ES"/>
        </w:rPr>
        <w:t>2.3. SECOP II como herramienta para la gestión contractual, su despliegue y utilización como plataforma electrónica transaccional</w:t>
      </w:r>
    </w:p>
    <w:p w14:paraId="41C109E0" w14:textId="77777777" w:rsidR="00107E4D" w:rsidRPr="00F67FA5" w:rsidRDefault="00107E4D" w:rsidP="00107E4D">
      <w:pPr>
        <w:spacing w:line="276" w:lineRule="auto"/>
        <w:jc w:val="both"/>
        <w:rPr>
          <w:rFonts w:ascii="Arial" w:eastAsia="Calibri" w:hAnsi="Arial" w:cs="Arial"/>
          <w:b/>
          <w:color w:val="000000" w:themeColor="text1"/>
          <w:sz w:val="22"/>
          <w:lang w:val="es-ES"/>
        </w:rPr>
      </w:pPr>
    </w:p>
    <w:p w14:paraId="25A4B5D6" w14:textId="77777777" w:rsidR="00107E4D" w:rsidRPr="00F67FA5" w:rsidRDefault="00107E4D" w:rsidP="00107E4D">
      <w:pPr>
        <w:spacing w:after="120" w:line="276" w:lineRule="auto"/>
        <w:jc w:val="both"/>
        <w:rPr>
          <w:rFonts w:ascii="Arial" w:eastAsia="Calibri" w:hAnsi="Arial" w:cs="Arial"/>
          <w:color w:val="000000" w:themeColor="text1"/>
          <w:sz w:val="22"/>
          <w:lang w:val="es-ES"/>
        </w:rPr>
      </w:pPr>
      <w:bookmarkStart w:id="9" w:name="_Hlk46402844"/>
      <w:r w:rsidRPr="00F67FA5">
        <w:rPr>
          <w:rFonts w:ascii="Arial" w:eastAsia="Calibri" w:hAnsi="Arial" w:cs="Arial"/>
          <w:color w:val="000000" w:themeColor="text1"/>
          <w:sz w:val="22"/>
          <w:lang w:val="es-ES"/>
        </w:rPr>
        <w:t>La Agencia Nacional de Contratación Pública – Colombia Compra Eficiente tiene como función  administrar el SECOP</w:t>
      </w:r>
      <w:r w:rsidRPr="00F67FA5">
        <w:rPr>
          <w:rStyle w:val="Refdenotaalpie"/>
          <w:rFonts w:ascii="Arial" w:eastAsia="Calibri" w:hAnsi="Arial" w:cs="Arial"/>
          <w:color w:val="000000" w:themeColor="text1"/>
          <w:sz w:val="22"/>
          <w:lang w:val="es-ES"/>
        </w:rPr>
        <w:footnoteReference w:id="29"/>
      </w:r>
      <w:r w:rsidRPr="00F67FA5">
        <w:rPr>
          <w:rFonts w:ascii="Arial" w:eastAsia="Calibri" w:hAnsi="Arial" w:cs="Arial"/>
          <w:color w:val="000000" w:themeColor="text1"/>
          <w:sz w:val="22"/>
          <w:lang w:val="es-ES"/>
        </w:rPr>
        <w:t>,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AE0A16B"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9"/>
    <w:p w14:paraId="569D5512"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6CD56D27"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Con anterioridad a estas circulares se expidieron la Circular Externa No. 1 de 2013, que regula la publicación en SECOP I de las entidades que contratan con cargo a recursos </w:t>
      </w:r>
      <w:r w:rsidRPr="00F67FA5">
        <w:rPr>
          <w:rFonts w:ascii="Arial" w:eastAsia="Calibri" w:hAnsi="Arial" w:cs="Arial"/>
          <w:color w:val="000000" w:themeColor="text1"/>
          <w:sz w:val="22"/>
          <w:lang w:val="es-ES"/>
        </w:rPr>
        <w:lastRenderedPageBreak/>
        <w:t xml:space="preserve">públicos, y la Circular Externa No. 20 de 2015, que reguló la </w:t>
      </w:r>
      <w:r w:rsidRPr="00F67FA5">
        <w:rPr>
          <w:rFonts w:ascii="Arial" w:hAnsi="Arial" w:cs="Arial"/>
          <w:color w:val="000000" w:themeColor="text1"/>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52C9544C"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El SECOP II, entonces, empezó a ser de uso obligatorio solo para las entidades mencionadas en el Anexo 1 de la Circular Externa No. 1 de 2019, y por ende el SECOP I cumple únicamente la función de repositorio de información.</w:t>
      </w:r>
    </w:p>
    <w:p w14:paraId="10B3CD71"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w:t>
      </w:r>
      <w:proofErr w:type="gramStart"/>
      <w:r w:rsidRPr="00F67FA5">
        <w:rPr>
          <w:rFonts w:ascii="Arial" w:eastAsia="Calibri" w:hAnsi="Arial" w:cs="Arial"/>
          <w:color w:val="000000" w:themeColor="text1"/>
          <w:sz w:val="22"/>
          <w:lang w:val="es-ES"/>
        </w:rPr>
        <w:t>entrada en vigencia</w:t>
      </w:r>
      <w:proofErr w:type="gramEnd"/>
      <w:r w:rsidRPr="00F67FA5">
        <w:rPr>
          <w:rFonts w:ascii="Arial" w:eastAsia="Calibri" w:hAnsi="Arial"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5CDD15C1" w14:textId="77777777" w:rsidR="00107E4D" w:rsidRPr="00F67FA5" w:rsidRDefault="00107E4D" w:rsidP="00107E4D">
      <w:pPr>
        <w:spacing w:before="120" w:after="120"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289885AD" w14:textId="77777777" w:rsidR="00107E4D" w:rsidRPr="00F67FA5" w:rsidRDefault="00107E4D" w:rsidP="00107E4D">
      <w:pPr>
        <w:spacing w:before="120" w:after="120" w:line="276" w:lineRule="auto"/>
        <w:ind w:firstLine="708"/>
        <w:jc w:val="both"/>
        <w:rPr>
          <w:rFonts w:ascii="Arial" w:eastAsia="Calibri" w:hAnsi="Arial" w:cs="Arial"/>
          <w:b/>
          <w:color w:val="000000" w:themeColor="text1"/>
          <w:sz w:val="22"/>
          <w:lang w:val="es-ES"/>
        </w:rPr>
      </w:pPr>
      <w:r w:rsidRPr="00F67FA5">
        <w:rPr>
          <w:rFonts w:ascii="Arial" w:eastAsia="Calibri" w:hAnsi="Arial" w:cs="Arial"/>
          <w:color w:val="000000" w:themeColor="text1"/>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F67FA5">
        <w:rPr>
          <w:rFonts w:ascii="Arial" w:eastAsia="Calibri" w:hAnsi="Arial" w:cs="Arial"/>
          <w:i/>
          <w:iCs/>
          <w:color w:val="000000" w:themeColor="text1"/>
          <w:sz w:val="22"/>
          <w:lang w:val="es-ES"/>
        </w:rPr>
        <w:t xml:space="preserve"> Documentos del Proceso </w:t>
      </w:r>
      <w:r w:rsidRPr="00F67FA5">
        <w:rPr>
          <w:rFonts w:ascii="Arial" w:eastAsia="Calibri" w:hAnsi="Arial" w:cs="Arial"/>
          <w:color w:val="000000" w:themeColor="text1"/>
          <w:sz w:val="22"/>
          <w:lang w:val="es-ES"/>
        </w:rPr>
        <w:t>y los actos administrativos del</w:t>
      </w:r>
      <w:r w:rsidRPr="00F67FA5">
        <w:rPr>
          <w:rFonts w:ascii="Arial" w:eastAsia="Calibri" w:hAnsi="Arial" w:cs="Arial"/>
          <w:i/>
          <w:iCs/>
          <w:color w:val="000000" w:themeColor="text1"/>
          <w:sz w:val="22"/>
          <w:lang w:val="es-ES"/>
        </w:rPr>
        <w:t xml:space="preserve"> Proceso de Contratación </w:t>
      </w:r>
      <w:r w:rsidRPr="00F67FA5">
        <w:rPr>
          <w:rFonts w:ascii="Arial" w:eastAsia="Calibri" w:hAnsi="Arial" w:cs="Arial"/>
          <w:color w:val="000000" w:themeColor="text1"/>
          <w:sz w:val="22"/>
          <w:lang w:val="es-ES"/>
        </w:rPr>
        <w:t>en el SECOP II.</w:t>
      </w:r>
    </w:p>
    <w:p w14:paraId="7E4CFB49" w14:textId="77777777" w:rsidR="00107E4D" w:rsidRPr="00F67FA5" w:rsidRDefault="00107E4D" w:rsidP="00107E4D">
      <w:pPr>
        <w:spacing w:line="276" w:lineRule="auto"/>
        <w:ind w:firstLine="708"/>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lastRenderedPageBreak/>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 </w:t>
      </w:r>
    </w:p>
    <w:p w14:paraId="6A511D9F" w14:textId="3A64BD94" w:rsidR="00107E4D" w:rsidRPr="00F67FA5" w:rsidRDefault="00107E4D" w:rsidP="00107E4D">
      <w:pPr>
        <w:spacing w:before="120"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Si bien los </w:t>
      </w:r>
      <w:r w:rsidRPr="00F67FA5">
        <w:rPr>
          <w:rFonts w:ascii="Arial" w:eastAsia="Calibri" w:hAnsi="Arial" w:cs="Arial"/>
          <w:i/>
          <w:iCs/>
          <w:color w:val="000000" w:themeColor="text1"/>
          <w:sz w:val="22"/>
          <w:lang w:val="es-ES"/>
        </w:rPr>
        <w:t xml:space="preserve">Documentos del Proceso </w:t>
      </w:r>
      <w:r w:rsidRPr="00F67FA5">
        <w:rPr>
          <w:rFonts w:ascii="Arial" w:eastAsia="Calibri" w:hAnsi="Arial" w:cs="Arial"/>
          <w:color w:val="000000" w:themeColor="text1"/>
          <w:sz w:val="22"/>
          <w:lang w:val="es-ES"/>
        </w:rPr>
        <w:t xml:space="preserve">que deben publicarse en el SECOP II, corresponden a los mismos antes identificados que deben publicarse en el SECOP I, esto es, los expedidos durante el </w:t>
      </w:r>
      <w:r w:rsidRPr="00F67FA5">
        <w:rPr>
          <w:rFonts w:ascii="Arial" w:eastAsia="Calibri" w:hAnsi="Arial" w:cs="Arial"/>
          <w:i/>
          <w:iCs/>
          <w:color w:val="000000" w:themeColor="text1"/>
          <w:sz w:val="22"/>
          <w:lang w:val="es-ES"/>
        </w:rPr>
        <w:t>Proceso de Contratación</w:t>
      </w:r>
      <w:r w:rsidRPr="00F67FA5">
        <w:rPr>
          <w:rFonts w:ascii="Arial" w:eastAsia="Calibri" w:hAnsi="Arial" w:cs="Arial"/>
          <w:color w:val="000000" w:themeColor="text1"/>
          <w:sz w:val="22"/>
          <w:lang w:val="es-ES"/>
        </w:rPr>
        <w:t>,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a diferencia de los procesos publicados en el SECOP I, en los que primero se generan los documentos escritos y luego se publican en la plataforma dentro del plazo de tres(3) días previsto en el artículo 2.2.1.1.1.7.1 del Decreto 1082 de 2015. Esto significa, que el término de tres (3) días para publicar</w:t>
      </w:r>
      <w:r w:rsidR="00BB315C" w:rsidRPr="00F67FA5">
        <w:rPr>
          <w:rFonts w:ascii="Arial" w:eastAsia="Calibri" w:hAnsi="Arial" w:cs="Arial"/>
          <w:color w:val="000000" w:themeColor="text1"/>
          <w:sz w:val="22"/>
          <w:lang w:val="es-ES"/>
        </w:rPr>
        <w:t>, en principio,</w:t>
      </w:r>
      <w:r w:rsidRPr="00F67FA5">
        <w:rPr>
          <w:rFonts w:ascii="Arial" w:eastAsia="Calibri" w:hAnsi="Arial" w:cs="Arial"/>
          <w:color w:val="000000" w:themeColor="text1"/>
          <w:sz w:val="22"/>
          <w:lang w:val="es-ES"/>
        </w:rPr>
        <w:t xml:space="preserve"> no es aplicable a</w:t>
      </w:r>
      <w:r w:rsidR="00BB315C" w:rsidRPr="00F67FA5">
        <w:rPr>
          <w:rFonts w:ascii="Arial" w:eastAsia="Calibri" w:hAnsi="Arial" w:cs="Arial"/>
          <w:color w:val="000000" w:themeColor="text1"/>
          <w:sz w:val="22"/>
          <w:lang w:val="es-ES"/>
        </w:rPr>
        <w:t xml:space="preserve"> todas</w:t>
      </w:r>
      <w:r w:rsidRPr="00F67FA5">
        <w:rPr>
          <w:rFonts w:ascii="Arial" w:eastAsia="Calibri" w:hAnsi="Arial" w:cs="Arial"/>
          <w:color w:val="000000" w:themeColor="text1"/>
          <w:sz w:val="22"/>
          <w:lang w:val="es-ES"/>
        </w:rPr>
        <w:t xml:space="preserve">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655DDDEB" w14:textId="0F7DA726" w:rsidR="00BB315C" w:rsidRPr="00F67FA5" w:rsidRDefault="00BB315C" w:rsidP="00BB315C">
      <w:pPr>
        <w:spacing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En ese orden, el carácter transaccional de SECOP II, como herramienta que permite no solo publicar sino también gestionar y crear </w:t>
      </w:r>
      <w:r w:rsidRPr="00F67FA5">
        <w:rPr>
          <w:rFonts w:ascii="Arial" w:eastAsia="Calibri" w:hAnsi="Arial" w:cs="Arial"/>
          <w:i/>
          <w:iCs/>
          <w:color w:val="000000" w:themeColor="text1"/>
          <w:sz w:val="22"/>
          <w:lang w:val="es-ES"/>
        </w:rPr>
        <w:t xml:space="preserve">Documentos del Proceso, </w:t>
      </w:r>
      <w:r w:rsidRPr="00F67FA5">
        <w:rPr>
          <w:rFonts w:ascii="Arial" w:eastAsia="Calibri" w:hAnsi="Arial" w:cs="Arial"/>
          <w:color w:val="000000" w:themeColor="text1"/>
          <w:sz w:val="22"/>
          <w:lang w:val="es-ES"/>
        </w:rPr>
        <w:t xml:space="preserve">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w:t>
      </w:r>
    </w:p>
    <w:p w14:paraId="6282099C" w14:textId="2F4DA423" w:rsidR="00BB315C" w:rsidRPr="00F67FA5" w:rsidRDefault="00BB315C" w:rsidP="00BB315C">
      <w:pPr>
        <w:spacing w:after="120" w:line="276" w:lineRule="auto"/>
        <w:ind w:firstLine="709"/>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Sin perjuicio de lo anterior, existen actuaciones que por su naturaleza no son generadas al interior de SECOP II, como por ejemplo los actos administrativos de apertura o el de </w:t>
      </w:r>
      <w:proofErr w:type="gramStart"/>
      <w:r w:rsidRPr="00F67FA5">
        <w:rPr>
          <w:rFonts w:ascii="Arial" w:eastAsia="Calibri" w:hAnsi="Arial" w:cs="Arial"/>
          <w:color w:val="000000" w:themeColor="text1"/>
          <w:sz w:val="22"/>
          <w:lang w:val="es-ES"/>
        </w:rPr>
        <w:t>adjudicación</w:t>
      </w:r>
      <w:proofErr w:type="gramEnd"/>
      <w:r w:rsidRPr="00F67FA5">
        <w:rPr>
          <w:rFonts w:ascii="Arial" w:eastAsia="Calibri" w:hAnsi="Arial" w:cs="Arial"/>
          <w:color w:val="000000" w:themeColor="text1"/>
          <w:sz w:val="22"/>
          <w:lang w:val="es-ES"/>
        </w:rPr>
        <w:t xml:space="preserve"> así como otras actuaciones que, en primer lugar, se producen por fuera de la plataforma pero que al no estar exceptuadas del deber de publicidad deben ser posteriormente publicadas en SECOP II. Tales actuaciones deberán ser publicadas dentro del </w:t>
      </w:r>
      <w:proofErr w:type="spellStart"/>
      <w:r w:rsidRPr="00F67FA5">
        <w:rPr>
          <w:rFonts w:ascii="Arial" w:eastAsia="Calibri" w:hAnsi="Arial" w:cs="Arial"/>
          <w:color w:val="000000" w:themeColor="text1"/>
          <w:sz w:val="22"/>
          <w:lang w:val="es-ES"/>
        </w:rPr>
        <w:t>termino</w:t>
      </w:r>
      <w:proofErr w:type="spellEnd"/>
      <w:r w:rsidRPr="00F67FA5">
        <w:rPr>
          <w:rFonts w:ascii="Arial" w:eastAsia="Calibri" w:hAnsi="Arial" w:cs="Arial"/>
          <w:color w:val="000000" w:themeColor="text1"/>
          <w:sz w:val="22"/>
          <w:lang w:val="es-ES"/>
        </w:rPr>
        <w:t xml:space="preserve"> de tres (3) días hábiles previsto en el artículo 2.2.1.1.1.7.1 del Decreto 1082 de 2015.</w:t>
      </w:r>
    </w:p>
    <w:p w14:paraId="5BA6BB6B" w14:textId="77777777" w:rsidR="00923029" w:rsidRPr="00F67FA5" w:rsidRDefault="00923029" w:rsidP="009B7F9B">
      <w:pPr>
        <w:pStyle w:val="Prrafodelista"/>
        <w:tabs>
          <w:tab w:val="left" w:pos="284"/>
        </w:tabs>
        <w:spacing w:line="276" w:lineRule="auto"/>
        <w:ind w:left="0"/>
        <w:jc w:val="both"/>
        <w:rPr>
          <w:rFonts w:ascii="Arial" w:eastAsia="Calibri" w:hAnsi="Arial" w:cs="Arial"/>
          <w:b/>
          <w:color w:val="000000" w:themeColor="text1"/>
          <w:sz w:val="22"/>
          <w:lang w:val="es-ES"/>
        </w:rPr>
      </w:pPr>
    </w:p>
    <w:p w14:paraId="39997576" w14:textId="0B5875AA" w:rsidR="009B7F9B" w:rsidRPr="00F67FA5" w:rsidRDefault="009B7F9B" w:rsidP="009B7F9B">
      <w:pPr>
        <w:pStyle w:val="Prrafodelista"/>
        <w:tabs>
          <w:tab w:val="left" w:pos="284"/>
        </w:tabs>
        <w:spacing w:line="276" w:lineRule="auto"/>
        <w:ind w:left="0"/>
        <w:jc w:val="both"/>
        <w:rPr>
          <w:rFonts w:ascii="Arial" w:eastAsia="Calibri" w:hAnsi="Arial" w:cs="Arial"/>
          <w:color w:val="000000" w:themeColor="text1"/>
          <w:sz w:val="22"/>
          <w:lang w:val="es-ES_tradnl"/>
        </w:rPr>
      </w:pPr>
      <w:r w:rsidRPr="00F67FA5">
        <w:rPr>
          <w:rFonts w:ascii="Arial" w:eastAsia="Calibri" w:hAnsi="Arial" w:cs="Arial"/>
          <w:b/>
          <w:color w:val="000000" w:themeColor="text1"/>
          <w:sz w:val="22"/>
          <w:lang w:val="es-ES_tradnl"/>
        </w:rPr>
        <w:lastRenderedPageBreak/>
        <w:t>3. Respuesta</w:t>
      </w:r>
    </w:p>
    <w:p w14:paraId="4F3C0942" w14:textId="77777777" w:rsidR="009B7F9B" w:rsidRPr="00F67FA5" w:rsidRDefault="009B7F9B" w:rsidP="009B7F9B">
      <w:pPr>
        <w:spacing w:line="276" w:lineRule="auto"/>
        <w:ind w:left="709" w:right="709"/>
        <w:jc w:val="both"/>
        <w:rPr>
          <w:rFonts w:ascii="Arial" w:eastAsia="Calibri" w:hAnsi="Arial" w:cs="Arial"/>
          <w:i/>
          <w:color w:val="000000" w:themeColor="text1"/>
          <w:sz w:val="22"/>
          <w:lang w:val="es-ES_tradnl"/>
        </w:rPr>
      </w:pPr>
    </w:p>
    <w:p w14:paraId="082EA740" w14:textId="6E785610" w:rsidR="00923029" w:rsidRPr="00F67FA5" w:rsidRDefault="00492D50" w:rsidP="00923029">
      <w:pPr>
        <w:ind w:left="709" w:right="709"/>
        <w:jc w:val="both"/>
        <w:rPr>
          <w:rFonts w:ascii="Arial" w:hAnsi="Arial" w:cs="Arial"/>
          <w:color w:val="000000" w:themeColor="text1"/>
          <w:sz w:val="21"/>
          <w:szCs w:val="21"/>
          <w:lang w:val="es-CO"/>
        </w:rPr>
      </w:pPr>
      <w:r w:rsidRPr="00F67FA5">
        <w:rPr>
          <w:rFonts w:ascii="Arial" w:eastAsia="Calibri" w:hAnsi="Arial" w:cs="Arial"/>
          <w:color w:val="000000" w:themeColor="text1"/>
          <w:sz w:val="21"/>
          <w:szCs w:val="21"/>
        </w:rPr>
        <w:t xml:space="preserve">«[…] </w:t>
      </w:r>
      <w:r w:rsidRPr="00F67FA5">
        <w:rPr>
          <w:rFonts w:ascii="Arial" w:hAnsi="Arial" w:cs="Arial"/>
          <w:color w:val="000000" w:themeColor="text1"/>
          <w:sz w:val="21"/>
          <w:szCs w:val="21"/>
          <w:lang w:val="es-CO"/>
        </w:rPr>
        <w:t xml:space="preserve">quisiera saber </w:t>
      </w:r>
      <w:proofErr w:type="spellStart"/>
      <w:r w:rsidRPr="00F67FA5">
        <w:rPr>
          <w:rFonts w:ascii="Arial" w:hAnsi="Arial" w:cs="Arial"/>
          <w:color w:val="000000" w:themeColor="text1"/>
          <w:sz w:val="21"/>
          <w:szCs w:val="21"/>
          <w:lang w:val="es-CO"/>
        </w:rPr>
        <w:t>cuales</w:t>
      </w:r>
      <w:proofErr w:type="spellEnd"/>
      <w:r w:rsidRPr="00F67FA5">
        <w:rPr>
          <w:rFonts w:ascii="Arial" w:hAnsi="Arial" w:cs="Arial"/>
          <w:color w:val="000000" w:themeColor="text1"/>
          <w:sz w:val="21"/>
          <w:szCs w:val="21"/>
          <w:lang w:val="es-CO"/>
        </w:rPr>
        <w:t xml:space="preserve"> son los documentos obligatorios que se deben cargar en la plataforma SECOP 1 por cada proceso de contratación, bien sea contratación directa, mínima cuantía, selección abreviada, licitación </w:t>
      </w:r>
      <w:proofErr w:type="spellStart"/>
      <w:r w:rsidRPr="00F67FA5">
        <w:rPr>
          <w:rFonts w:ascii="Arial" w:hAnsi="Arial" w:cs="Arial"/>
          <w:color w:val="000000" w:themeColor="text1"/>
          <w:sz w:val="21"/>
          <w:szCs w:val="21"/>
          <w:lang w:val="es-CO"/>
        </w:rPr>
        <w:t>publica</w:t>
      </w:r>
      <w:proofErr w:type="spellEnd"/>
      <w:r w:rsidRPr="00F67FA5">
        <w:rPr>
          <w:rFonts w:ascii="Arial" w:hAnsi="Arial" w:cs="Arial"/>
          <w:color w:val="000000" w:themeColor="text1"/>
          <w:sz w:val="21"/>
          <w:szCs w:val="21"/>
          <w:lang w:val="es-CO"/>
        </w:rPr>
        <w:t xml:space="preserve"> y demás […]».</w:t>
      </w:r>
    </w:p>
    <w:p w14:paraId="198A96D5" w14:textId="77777777" w:rsidR="00492D50" w:rsidRPr="00F67FA5" w:rsidRDefault="00492D50" w:rsidP="00923029">
      <w:pPr>
        <w:ind w:left="709" w:right="709"/>
        <w:jc w:val="both"/>
        <w:rPr>
          <w:rFonts w:ascii="Arial" w:eastAsia="Calibri" w:hAnsi="Arial" w:cs="Arial"/>
          <w:color w:val="000000" w:themeColor="text1"/>
          <w:sz w:val="21"/>
          <w:szCs w:val="21"/>
          <w:lang w:val="es-ES_tradnl"/>
        </w:rPr>
      </w:pPr>
    </w:p>
    <w:p w14:paraId="3D322EFC" w14:textId="691BE6F6" w:rsidR="00107E4D" w:rsidRPr="00F67FA5" w:rsidRDefault="00107E4D" w:rsidP="00492D50">
      <w:pPr>
        <w:spacing w:line="276" w:lineRule="auto"/>
        <w:jc w:val="both"/>
        <w:rPr>
          <w:rFonts w:ascii="Arial" w:eastAsia="Calibri" w:hAnsi="Arial" w:cs="Arial"/>
          <w:color w:val="000000" w:themeColor="text1"/>
          <w:sz w:val="22"/>
          <w:lang w:val="es-ES"/>
        </w:rPr>
      </w:pPr>
      <w:r w:rsidRPr="00F67FA5">
        <w:rPr>
          <w:rFonts w:ascii="Arial" w:eastAsia="Calibri" w:hAnsi="Arial" w:cs="Arial"/>
          <w:color w:val="000000" w:themeColor="text1"/>
          <w:sz w:val="22"/>
          <w:lang w:val="es-ES"/>
        </w:rPr>
        <w:t xml:space="preserve">Las entidades públicas sometidas al Estatuto General de Contratación de la Administración Pública, a las que no </w:t>
      </w:r>
      <w:proofErr w:type="spellStart"/>
      <w:r w:rsidRPr="00F67FA5">
        <w:rPr>
          <w:rFonts w:ascii="Arial" w:eastAsia="Calibri" w:hAnsi="Arial" w:cs="Arial"/>
          <w:color w:val="000000" w:themeColor="text1"/>
          <w:sz w:val="22"/>
          <w:lang w:val="es-ES"/>
        </w:rPr>
        <w:t>correspoda</w:t>
      </w:r>
      <w:proofErr w:type="spellEnd"/>
      <w:r w:rsidRPr="00F67FA5">
        <w:rPr>
          <w:rFonts w:ascii="Arial" w:eastAsia="Calibri" w:hAnsi="Arial" w:cs="Arial"/>
          <w:color w:val="000000" w:themeColor="text1"/>
          <w:sz w:val="22"/>
          <w:lang w:val="es-ES"/>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I, además del Plan Anual de Adquisiciones, todos los documentos, actos administrativos o actuaciones </w:t>
      </w:r>
      <w:r w:rsidR="00C34B29" w:rsidRPr="00F67FA5">
        <w:rPr>
          <w:rFonts w:ascii="Arial" w:eastAsia="Calibri" w:hAnsi="Arial" w:cs="Arial"/>
          <w:color w:val="000000" w:themeColor="text1"/>
          <w:sz w:val="22"/>
          <w:lang w:val="es-ES"/>
        </w:rPr>
        <w:t xml:space="preserve">que </w:t>
      </w:r>
      <w:proofErr w:type="spellStart"/>
      <w:r w:rsidR="00C34B29" w:rsidRPr="00F67FA5">
        <w:rPr>
          <w:rFonts w:ascii="Arial" w:eastAsia="Calibri" w:hAnsi="Arial" w:cs="Arial"/>
          <w:color w:val="000000" w:themeColor="text1"/>
          <w:sz w:val="22"/>
          <w:lang w:val="es-ES"/>
        </w:rPr>
        <w:t>debán</w:t>
      </w:r>
      <w:proofErr w:type="spellEnd"/>
      <w:r w:rsidR="00C34B29" w:rsidRPr="00F67FA5">
        <w:rPr>
          <w:rFonts w:ascii="Arial" w:eastAsia="Calibri" w:hAnsi="Arial" w:cs="Arial"/>
          <w:color w:val="000000" w:themeColor="text1"/>
          <w:sz w:val="22"/>
          <w:lang w:val="es-ES"/>
        </w:rPr>
        <w:t xml:space="preserve"> ser expedidos </w:t>
      </w:r>
      <w:r w:rsidRPr="00F67FA5">
        <w:rPr>
          <w:rFonts w:ascii="Arial" w:eastAsia="Calibri" w:hAnsi="Arial" w:cs="Arial"/>
          <w:color w:val="000000" w:themeColor="text1"/>
          <w:sz w:val="22"/>
          <w:lang w:val="es-ES"/>
        </w:rPr>
        <w:t xml:space="preserve">con ocasión del </w:t>
      </w:r>
      <w:r w:rsidRPr="00F67FA5">
        <w:rPr>
          <w:rFonts w:ascii="Arial" w:eastAsia="Calibri" w:hAnsi="Arial" w:cs="Arial"/>
          <w:i/>
          <w:iCs/>
          <w:color w:val="000000" w:themeColor="text1"/>
          <w:sz w:val="22"/>
          <w:lang w:val="es-ES"/>
        </w:rPr>
        <w:t>Proceso de Contratación</w:t>
      </w:r>
      <w:r w:rsidR="00C34B29" w:rsidRPr="00F67FA5">
        <w:rPr>
          <w:rFonts w:ascii="Arial" w:eastAsia="Calibri" w:hAnsi="Arial" w:cs="Arial"/>
          <w:i/>
          <w:iCs/>
          <w:color w:val="000000" w:themeColor="text1"/>
          <w:sz w:val="22"/>
          <w:lang w:val="es-ES"/>
        </w:rPr>
        <w:t xml:space="preserve">, </w:t>
      </w:r>
      <w:r w:rsidR="00C34B29" w:rsidRPr="00F67FA5">
        <w:rPr>
          <w:rFonts w:ascii="Arial" w:eastAsia="Calibri" w:hAnsi="Arial" w:cs="Arial"/>
          <w:color w:val="000000" w:themeColor="text1"/>
          <w:sz w:val="22"/>
          <w:lang w:val="es-ES"/>
        </w:rPr>
        <w:t>así como conforme a las normas que regulan cada modalidad de selección,</w:t>
      </w:r>
      <w:r w:rsidR="00A80922" w:rsidRPr="00F67FA5">
        <w:rPr>
          <w:rFonts w:ascii="Arial" w:eastAsia="Calibri" w:hAnsi="Arial" w:cs="Arial"/>
          <w:i/>
          <w:iCs/>
          <w:color w:val="000000" w:themeColor="text1"/>
          <w:sz w:val="22"/>
          <w:lang w:val="es-ES"/>
        </w:rPr>
        <w:t xml:space="preserve"> </w:t>
      </w:r>
      <w:r w:rsidR="00A80922" w:rsidRPr="00F67FA5">
        <w:rPr>
          <w:rFonts w:ascii="Arial" w:eastAsia="Calibri" w:hAnsi="Arial" w:cs="Arial"/>
          <w:color w:val="000000" w:themeColor="text1"/>
          <w:sz w:val="22"/>
          <w:lang w:val="es-ES"/>
        </w:rPr>
        <w:t>dentro de los tres (3) días hábiles siguientes a su expedición</w:t>
      </w:r>
      <w:r w:rsidRPr="00F67FA5">
        <w:rPr>
          <w:rFonts w:ascii="Arial" w:eastAsia="Calibri" w:hAnsi="Arial" w:cs="Arial"/>
          <w:color w:val="000000" w:themeColor="text1"/>
          <w:sz w:val="22"/>
          <w:lang w:val="es-ES"/>
        </w:rPr>
        <w:t>. Dentro de tales documentos encontramos, entre otros, los siguientes:</w:t>
      </w:r>
      <w:r w:rsidRPr="00F67FA5">
        <w:rPr>
          <w:rStyle w:val="Textoennegrita"/>
          <w:rFonts w:ascii="Arial" w:hAnsi="Arial" w:cs="Arial"/>
          <w:b w:val="0"/>
          <w:bCs w:val="0"/>
          <w:color w:val="000000" w:themeColor="text1"/>
          <w:sz w:val="22"/>
          <w:lang w:val="es-ES"/>
        </w:rPr>
        <w:t xml:space="preserve"> i) el estudio de oportunidad y conveniencia; </w:t>
      </w:r>
      <w:proofErr w:type="spellStart"/>
      <w:r w:rsidRPr="00F67FA5">
        <w:rPr>
          <w:rStyle w:val="Textoennegrita"/>
          <w:rFonts w:ascii="Arial" w:hAnsi="Arial" w:cs="Arial"/>
          <w:b w:val="0"/>
          <w:bCs w:val="0"/>
          <w:color w:val="000000" w:themeColor="text1"/>
          <w:sz w:val="22"/>
          <w:lang w:val="es-ES"/>
        </w:rPr>
        <w:t>ii</w:t>
      </w:r>
      <w:proofErr w:type="spellEnd"/>
      <w:r w:rsidRPr="00F67FA5">
        <w:rPr>
          <w:rStyle w:val="Textoennegrita"/>
          <w:rFonts w:ascii="Arial" w:hAnsi="Arial" w:cs="Arial"/>
          <w:b w:val="0"/>
          <w:bCs w:val="0"/>
          <w:color w:val="000000" w:themeColor="text1"/>
          <w:sz w:val="22"/>
          <w:lang w:val="es-ES"/>
        </w:rPr>
        <w:t xml:space="preserve">) </w:t>
      </w:r>
      <w:r w:rsidRPr="00F67FA5">
        <w:rPr>
          <w:rFonts w:ascii="Arial" w:hAnsi="Arial" w:cs="Arial"/>
          <w:color w:val="000000" w:themeColor="text1"/>
          <w:sz w:val="22"/>
          <w:lang w:val="es-ES"/>
        </w:rPr>
        <w:t xml:space="preserve">los estudios y documentos previos –técnicos o no–; </w:t>
      </w:r>
      <w:proofErr w:type="spellStart"/>
      <w:r w:rsidRPr="00F67FA5">
        <w:rPr>
          <w:rFonts w:ascii="Arial" w:hAnsi="Arial" w:cs="Arial"/>
          <w:color w:val="000000" w:themeColor="text1"/>
          <w:sz w:val="22"/>
          <w:lang w:val="es-ES"/>
        </w:rPr>
        <w:t>iii</w:t>
      </w:r>
      <w:proofErr w:type="spellEnd"/>
      <w:r w:rsidRPr="00F67FA5">
        <w:rPr>
          <w:rFonts w:ascii="Arial" w:hAnsi="Arial" w:cs="Arial"/>
          <w:color w:val="000000" w:themeColor="text1"/>
          <w:sz w:val="22"/>
          <w:lang w:val="es-ES"/>
        </w:rPr>
        <w:t xml:space="preserve">) el  aviso de convocatoria; </w:t>
      </w:r>
      <w:proofErr w:type="spellStart"/>
      <w:r w:rsidRPr="00F67FA5">
        <w:rPr>
          <w:rFonts w:ascii="Arial" w:hAnsi="Arial" w:cs="Arial"/>
          <w:color w:val="000000" w:themeColor="text1"/>
          <w:sz w:val="22"/>
          <w:lang w:val="es-ES"/>
        </w:rPr>
        <w:t>iv</w:t>
      </w:r>
      <w:proofErr w:type="spellEnd"/>
      <w:r w:rsidRPr="00F67FA5">
        <w:rPr>
          <w:rFonts w:ascii="Arial" w:hAnsi="Arial" w:cs="Arial"/>
          <w:color w:val="000000" w:themeColor="text1"/>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F67FA5">
        <w:rPr>
          <w:rFonts w:ascii="Arial" w:hAnsi="Arial" w:cs="Arial"/>
          <w:color w:val="000000" w:themeColor="text1"/>
          <w:sz w:val="22"/>
          <w:lang w:val="es-ES"/>
        </w:rPr>
        <w:t>vii</w:t>
      </w:r>
      <w:proofErr w:type="spellEnd"/>
      <w:r w:rsidRPr="00F67FA5">
        <w:rPr>
          <w:rFonts w:ascii="Arial" w:hAnsi="Arial" w:cs="Arial"/>
          <w:color w:val="000000" w:themeColor="text1"/>
          <w:sz w:val="22"/>
          <w:lang w:val="es-ES"/>
        </w:rPr>
        <w:t xml:space="preserve">) el acta de cierre del plazo para presentar ofertas; </w:t>
      </w:r>
      <w:proofErr w:type="spellStart"/>
      <w:r w:rsidRPr="00F67FA5">
        <w:rPr>
          <w:rFonts w:ascii="Arial" w:hAnsi="Arial" w:cs="Arial"/>
          <w:color w:val="000000" w:themeColor="text1"/>
          <w:sz w:val="22"/>
          <w:lang w:val="es-ES"/>
        </w:rPr>
        <w:t>viii</w:t>
      </w:r>
      <w:proofErr w:type="spellEnd"/>
      <w:r w:rsidRPr="00F67FA5">
        <w:rPr>
          <w:rFonts w:ascii="Arial" w:hAnsi="Arial" w:cs="Arial"/>
          <w:color w:val="000000" w:themeColor="text1"/>
          <w:sz w:val="22"/>
          <w:lang w:val="es-ES"/>
        </w:rPr>
        <w:t xml:space="preserve">) las adendas; </w:t>
      </w:r>
      <w:proofErr w:type="spellStart"/>
      <w:r w:rsidRPr="00F67FA5">
        <w:rPr>
          <w:rFonts w:ascii="Arial" w:hAnsi="Arial" w:cs="Arial"/>
          <w:color w:val="000000" w:themeColor="text1"/>
          <w:sz w:val="22"/>
          <w:lang w:val="es-ES"/>
        </w:rPr>
        <w:t>ix</w:t>
      </w:r>
      <w:proofErr w:type="spellEnd"/>
      <w:r w:rsidRPr="00F67FA5">
        <w:rPr>
          <w:rFonts w:ascii="Arial" w:hAnsi="Arial" w:cs="Arial"/>
          <w:color w:val="000000" w:themeColor="text1"/>
          <w:sz w:val="22"/>
          <w:lang w:val="es-ES"/>
        </w:rPr>
        <w:t xml:space="preserve">) la oferta del adjudicatario, así como las aclaraciones que se le realicen; x) el informe de precalificación y las observaciones que se formulen; xi) el informe de evaluación y las observaciones que se formulen; </w:t>
      </w:r>
      <w:proofErr w:type="spellStart"/>
      <w:r w:rsidRPr="00F67FA5">
        <w:rPr>
          <w:rFonts w:ascii="Arial" w:hAnsi="Arial" w:cs="Arial"/>
          <w:color w:val="000000" w:themeColor="text1"/>
          <w:sz w:val="22"/>
          <w:lang w:val="es-ES"/>
        </w:rPr>
        <w:t>xii</w:t>
      </w:r>
      <w:proofErr w:type="spellEnd"/>
      <w:r w:rsidRPr="00F67FA5">
        <w:rPr>
          <w:rFonts w:ascii="Arial" w:hAnsi="Arial" w:cs="Arial"/>
          <w:color w:val="000000" w:themeColor="text1"/>
          <w:sz w:val="22"/>
          <w:lang w:val="es-ES"/>
        </w:rPr>
        <w:t xml:space="preserve">) las respuestas a las observaciones; </w:t>
      </w:r>
      <w:proofErr w:type="spellStart"/>
      <w:r w:rsidRPr="00F67FA5">
        <w:rPr>
          <w:rFonts w:ascii="Arial" w:hAnsi="Arial" w:cs="Arial"/>
          <w:color w:val="000000" w:themeColor="text1"/>
          <w:sz w:val="22"/>
          <w:lang w:val="es-ES"/>
        </w:rPr>
        <w:t>xiii</w:t>
      </w:r>
      <w:proofErr w:type="spellEnd"/>
      <w:r w:rsidRPr="00F67FA5">
        <w:rPr>
          <w:rFonts w:ascii="Arial" w:hAnsi="Arial" w:cs="Arial"/>
          <w:color w:val="000000" w:themeColor="text1"/>
          <w:sz w:val="22"/>
          <w:lang w:val="es-ES"/>
        </w:rPr>
        <w:t xml:space="preserve">) el contrato y los otrosíes o modificaciones; </w:t>
      </w:r>
      <w:proofErr w:type="spellStart"/>
      <w:r w:rsidRPr="00F67FA5">
        <w:rPr>
          <w:rFonts w:ascii="Arial" w:hAnsi="Arial" w:cs="Arial"/>
          <w:color w:val="000000" w:themeColor="text1"/>
          <w:sz w:val="22"/>
          <w:lang w:val="es-ES"/>
        </w:rPr>
        <w:t>xiv</w:t>
      </w:r>
      <w:proofErr w:type="spellEnd"/>
      <w:r w:rsidRPr="00F67FA5">
        <w:rPr>
          <w:rFonts w:ascii="Arial" w:hAnsi="Arial" w:cs="Arial"/>
          <w:color w:val="000000" w:themeColor="text1"/>
          <w:sz w:val="22"/>
          <w:lang w:val="es-ES"/>
        </w:rPr>
        <w:t xml:space="preserve">) el acta de inicio; </w:t>
      </w:r>
      <w:proofErr w:type="spellStart"/>
      <w:r w:rsidRPr="00F67FA5">
        <w:rPr>
          <w:rFonts w:ascii="Arial" w:hAnsi="Arial" w:cs="Arial"/>
          <w:color w:val="000000" w:themeColor="text1"/>
          <w:sz w:val="22"/>
          <w:lang w:val="es-ES"/>
        </w:rPr>
        <w:t>xv</w:t>
      </w:r>
      <w:proofErr w:type="spellEnd"/>
      <w:r w:rsidRPr="00F67FA5">
        <w:rPr>
          <w:rFonts w:ascii="Arial" w:hAnsi="Arial" w:cs="Arial"/>
          <w:color w:val="000000" w:themeColor="text1"/>
          <w:sz w:val="22"/>
          <w:lang w:val="es-ES"/>
        </w:rPr>
        <w:t xml:space="preserve">) las garantías; </w:t>
      </w:r>
      <w:proofErr w:type="spellStart"/>
      <w:r w:rsidRPr="00F67FA5">
        <w:rPr>
          <w:rFonts w:ascii="Arial" w:hAnsi="Arial" w:cs="Arial"/>
          <w:color w:val="000000" w:themeColor="text1"/>
          <w:sz w:val="22"/>
          <w:lang w:val="es-ES"/>
        </w:rPr>
        <w:t>xvi</w:t>
      </w:r>
      <w:proofErr w:type="spellEnd"/>
      <w:r w:rsidRPr="00F67FA5">
        <w:rPr>
          <w:rFonts w:ascii="Arial" w:hAnsi="Arial" w:cs="Arial"/>
          <w:color w:val="000000" w:themeColor="text1"/>
          <w:sz w:val="22"/>
          <w:lang w:val="es-ES"/>
        </w:rPr>
        <w:t xml:space="preserve">) el acta de liquidación; </w:t>
      </w:r>
      <w:proofErr w:type="spellStart"/>
      <w:r w:rsidRPr="00F67FA5">
        <w:rPr>
          <w:rFonts w:ascii="Arial" w:hAnsi="Arial" w:cs="Arial"/>
          <w:color w:val="000000" w:themeColor="text1"/>
          <w:sz w:val="22"/>
          <w:lang w:val="es-ES"/>
        </w:rPr>
        <w:t>xvii</w:t>
      </w:r>
      <w:proofErr w:type="spellEnd"/>
      <w:r w:rsidRPr="00F67FA5">
        <w:rPr>
          <w:rFonts w:ascii="Arial" w:hAnsi="Arial" w:cs="Arial"/>
          <w:color w:val="000000" w:themeColor="text1"/>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F67FA5">
        <w:rPr>
          <w:rFonts w:ascii="Arial" w:hAnsi="Arial" w:cs="Arial"/>
          <w:color w:val="000000" w:themeColor="text1"/>
          <w:sz w:val="22"/>
          <w:lang w:val="es-ES"/>
        </w:rPr>
        <w:t>xviii</w:t>
      </w:r>
      <w:proofErr w:type="spellEnd"/>
      <w:r w:rsidRPr="00F67FA5">
        <w:rPr>
          <w:rFonts w:ascii="Arial" w:hAnsi="Arial" w:cs="Arial"/>
          <w:color w:val="000000" w:themeColor="text1"/>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F67FA5">
        <w:rPr>
          <w:rFonts w:ascii="Arial" w:hAnsi="Arial" w:cs="Arial"/>
          <w:color w:val="000000" w:themeColor="text1"/>
          <w:sz w:val="22"/>
          <w:lang w:val="es-ES"/>
        </w:rPr>
        <w:t>ix</w:t>
      </w:r>
      <w:proofErr w:type="spellEnd"/>
      <w:r w:rsidRPr="00F67FA5">
        <w:rPr>
          <w:rFonts w:ascii="Arial" w:hAnsi="Arial" w:cs="Arial"/>
          <w:color w:val="000000" w:themeColor="text1"/>
          <w:sz w:val="22"/>
          <w:lang w:val="es-ES"/>
        </w:rPr>
        <w:t xml:space="preserve">) las reclamaciones que presenten las partes y las respuestas que se expidan a las mismas; </w:t>
      </w:r>
      <w:proofErr w:type="spellStart"/>
      <w:r w:rsidRPr="00F67FA5">
        <w:rPr>
          <w:rFonts w:ascii="Arial" w:hAnsi="Arial" w:cs="Arial"/>
          <w:color w:val="000000" w:themeColor="text1"/>
          <w:sz w:val="22"/>
          <w:lang w:val="es-ES"/>
        </w:rPr>
        <w:t>xx</w:t>
      </w:r>
      <w:proofErr w:type="spellEnd"/>
      <w:r w:rsidRPr="00F67FA5">
        <w:rPr>
          <w:rFonts w:ascii="Arial" w:hAnsi="Arial" w:cs="Arial"/>
          <w:color w:val="000000" w:themeColor="text1"/>
          <w:sz w:val="22"/>
          <w:lang w:val="es-ES"/>
        </w:rPr>
        <w:t xml:space="preserve">) las actas de entrega o recibo, </w:t>
      </w:r>
      <w:proofErr w:type="spellStart"/>
      <w:r w:rsidRPr="00F67FA5">
        <w:rPr>
          <w:rFonts w:ascii="Arial" w:hAnsi="Arial" w:cs="Arial"/>
          <w:color w:val="000000" w:themeColor="text1"/>
          <w:sz w:val="22"/>
          <w:lang w:val="es-ES"/>
        </w:rPr>
        <w:t>xxi</w:t>
      </w:r>
      <w:proofErr w:type="spellEnd"/>
      <w:r w:rsidRPr="00F67FA5">
        <w:rPr>
          <w:rFonts w:ascii="Arial" w:hAnsi="Arial" w:cs="Arial"/>
          <w:color w:val="000000" w:themeColor="text1"/>
          <w:sz w:val="22"/>
          <w:lang w:val="es-ES"/>
        </w:rPr>
        <w:t xml:space="preserve">) los informes de supervisión y/o interventoría; </w:t>
      </w:r>
      <w:proofErr w:type="spellStart"/>
      <w:r w:rsidRPr="00F67FA5">
        <w:rPr>
          <w:rFonts w:ascii="Arial" w:hAnsi="Arial" w:cs="Arial"/>
          <w:color w:val="000000" w:themeColor="text1"/>
          <w:sz w:val="22"/>
          <w:lang w:val="es-ES"/>
        </w:rPr>
        <w:t>xxii</w:t>
      </w:r>
      <w:proofErr w:type="spellEnd"/>
      <w:r w:rsidRPr="00F67FA5">
        <w:rPr>
          <w:rFonts w:ascii="Arial" w:hAnsi="Arial" w:cs="Arial"/>
          <w:color w:val="000000" w:themeColor="text1"/>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F67FA5">
        <w:rPr>
          <w:rFonts w:ascii="Arial" w:hAnsi="Arial" w:cs="Arial"/>
          <w:color w:val="000000" w:themeColor="text1"/>
          <w:sz w:val="22"/>
          <w:lang w:val="es-ES"/>
        </w:rPr>
        <w:t>xxiii</w:t>
      </w:r>
      <w:proofErr w:type="spellEnd"/>
      <w:r w:rsidRPr="00F67FA5">
        <w:rPr>
          <w:rFonts w:ascii="Arial" w:hAnsi="Arial" w:cs="Arial"/>
          <w:color w:val="000000" w:themeColor="text1"/>
          <w:sz w:val="22"/>
          <w:lang w:val="es-ES"/>
        </w:rPr>
        <w:t xml:space="preserve">) la liquidación unilateral y </w:t>
      </w:r>
      <w:proofErr w:type="spellStart"/>
      <w:r w:rsidRPr="00F67FA5">
        <w:rPr>
          <w:rFonts w:ascii="Arial" w:hAnsi="Arial" w:cs="Arial"/>
          <w:color w:val="000000" w:themeColor="text1"/>
          <w:sz w:val="22"/>
          <w:lang w:val="es-ES"/>
        </w:rPr>
        <w:t>xxiv</w:t>
      </w:r>
      <w:proofErr w:type="spellEnd"/>
      <w:r w:rsidRPr="00F67FA5">
        <w:rPr>
          <w:rFonts w:ascii="Arial" w:hAnsi="Arial" w:cs="Arial"/>
          <w:color w:val="000000" w:themeColor="text1"/>
          <w:sz w:val="22"/>
          <w:lang w:val="es-ES"/>
        </w:rPr>
        <w:t xml:space="preserve">) en general cualquier otro documento producido o expedido con ocasión del </w:t>
      </w:r>
      <w:r w:rsidRPr="00F67FA5">
        <w:rPr>
          <w:rFonts w:ascii="Arial" w:hAnsi="Arial" w:cs="Arial"/>
          <w:i/>
          <w:iCs/>
          <w:color w:val="000000" w:themeColor="text1"/>
          <w:sz w:val="22"/>
          <w:lang w:val="es-ES"/>
        </w:rPr>
        <w:t>Proceso de Contratación</w:t>
      </w:r>
      <w:r w:rsidRPr="00F67FA5">
        <w:rPr>
          <w:rFonts w:ascii="Arial" w:hAnsi="Arial" w:cs="Arial"/>
          <w:color w:val="000000" w:themeColor="text1"/>
          <w:sz w:val="22"/>
          <w:lang w:val="es-ES"/>
        </w:rPr>
        <w:t xml:space="preserve">, </w:t>
      </w:r>
      <w:r w:rsidR="00C34B29" w:rsidRPr="00F67FA5">
        <w:rPr>
          <w:rFonts w:ascii="Arial" w:hAnsi="Arial" w:cs="Arial"/>
          <w:color w:val="000000" w:themeColor="text1"/>
          <w:sz w:val="22"/>
          <w:lang w:val="es-ES"/>
        </w:rPr>
        <w:t>y de acuerdo a lo regulado por el Decreto 1082 de 2015 para cada modalidad de selección</w:t>
      </w:r>
      <w:r w:rsidR="00492D50" w:rsidRPr="00F67FA5">
        <w:rPr>
          <w:rFonts w:ascii="Arial" w:hAnsi="Arial" w:cs="Arial"/>
          <w:color w:val="000000" w:themeColor="text1"/>
          <w:sz w:val="22"/>
          <w:lang w:val="es-ES"/>
        </w:rPr>
        <w:t xml:space="preserve"> ya sea de licitación pública, selección abreviada, concurso de méritos, contratación directa </w:t>
      </w:r>
      <w:r w:rsidR="00492D50" w:rsidRPr="00F67FA5">
        <w:rPr>
          <w:rFonts w:ascii="Arial" w:hAnsi="Arial" w:cs="Arial"/>
          <w:color w:val="000000" w:themeColor="text1"/>
          <w:sz w:val="22"/>
          <w:lang w:val="es-ES"/>
        </w:rPr>
        <w:lastRenderedPageBreak/>
        <w:t>y mínima cuantía</w:t>
      </w:r>
      <w:r w:rsidR="00C34B29" w:rsidRPr="00F67FA5">
        <w:rPr>
          <w:rFonts w:ascii="Arial" w:hAnsi="Arial" w:cs="Arial"/>
          <w:color w:val="000000" w:themeColor="text1"/>
          <w:sz w:val="22"/>
          <w:lang w:val="es-ES"/>
        </w:rPr>
        <w:t xml:space="preserve">, </w:t>
      </w:r>
      <w:r w:rsidRPr="00F67FA5">
        <w:rPr>
          <w:rFonts w:ascii="Arial" w:hAnsi="Arial" w:cs="Arial"/>
          <w:color w:val="000000" w:themeColor="text1"/>
          <w:sz w:val="22"/>
          <w:lang w:val="es-ES"/>
        </w:rPr>
        <w:t>sin importar quién sea su autor –la Administración o el contratista–, con excepción de los que pertenecen a</w:t>
      </w:r>
      <w:r w:rsidRPr="00F67FA5">
        <w:rPr>
          <w:rFonts w:ascii="Arial" w:eastAsia="Arial" w:hAnsi="Arial" w:cs="Arial"/>
          <w:color w:val="000000" w:themeColor="text1"/>
          <w:sz w:val="22"/>
          <w:lang w:val="es-ES"/>
        </w:rPr>
        <w:t xml:space="preserve">l marco de operaciones de bolsa de productos, expresamente excluidos de publicación por el artículo 2.2.1.1.1.7.1. del Decreto 1082 de 2015. </w:t>
      </w:r>
    </w:p>
    <w:p w14:paraId="151F89FF" w14:textId="77777777" w:rsidR="009B7F9B" w:rsidRPr="00F67FA5" w:rsidRDefault="009B7F9B" w:rsidP="009B7F9B">
      <w:pPr>
        <w:spacing w:line="276" w:lineRule="auto"/>
        <w:jc w:val="both"/>
        <w:rPr>
          <w:rFonts w:ascii="Arial" w:eastAsia="Calibri" w:hAnsi="Arial" w:cs="Arial"/>
          <w:color w:val="000000" w:themeColor="text1"/>
          <w:sz w:val="22"/>
          <w:lang w:val="es-ES"/>
        </w:rPr>
      </w:pPr>
    </w:p>
    <w:p w14:paraId="75FDC6B6" w14:textId="77777777" w:rsidR="009B7F9B" w:rsidRPr="00F67FA5" w:rsidRDefault="009B7F9B" w:rsidP="009B7F9B">
      <w:pPr>
        <w:spacing w:line="276" w:lineRule="auto"/>
        <w:jc w:val="both"/>
        <w:rPr>
          <w:rFonts w:ascii="Arial" w:eastAsia="Calibri" w:hAnsi="Arial" w:cs="Arial"/>
          <w:color w:val="000000" w:themeColor="text1"/>
          <w:sz w:val="22"/>
        </w:rPr>
      </w:pPr>
      <w:r w:rsidRPr="00F67FA5">
        <w:rPr>
          <w:rFonts w:ascii="Arial" w:eastAsia="Calibri" w:hAnsi="Arial" w:cs="Arial"/>
          <w:color w:val="000000" w:themeColor="text1"/>
          <w:sz w:val="22"/>
        </w:rPr>
        <w:t>Este concepto tiene el alcance previsto en el artículo 28 del Código de Procedimiento Administrativo y de lo Contencioso Administrativo.</w:t>
      </w:r>
    </w:p>
    <w:p w14:paraId="23BD3479" w14:textId="59584906" w:rsidR="009B7F9B" w:rsidRPr="00F67FA5" w:rsidRDefault="009B7F9B" w:rsidP="009B7F9B">
      <w:pPr>
        <w:spacing w:line="276" w:lineRule="auto"/>
        <w:jc w:val="both"/>
        <w:rPr>
          <w:rFonts w:ascii="Arial" w:eastAsia="Times New Roman" w:hAnsi="Arial" w:cs="Arial"/>
          <w:color w:val="000000" w:themeColor="text1"/>
          <w:sz w:val="22"/>
          <w:lang w:eastAsia="es-CO"/>
        </w:rPr>
      </w:pPr>
      <w:r w:rsidRPr="00F67FA5">
        <w:rPr>
          <w:rFonts w:ascii="Arial" w:eastAsia="Calibri" w:hAnsi="Arial" w:cs="Arial"/>
          <w:noProof/>
          <w:color w:val="000000" w:themeColor="text1"/>
          <w:sz w:val="22"/>
          <w:lang w:val="es-ES_tradnl" w:eastAsia="es-ES_tradnl"/>
        </w:rPr>
        <mc:AlternateContent>
          <mc:Choice Requires="wps">
            <w:drawing>
              <wp:anchor distT="0" distB="0" distL="114300" distR="114300" simplePos="0" relativeHeight="251659264" behindDoc="0" locked="0" layoutInCell="1" allowOverlap="1" wp14:anchorId="250FE17C" wp14:editId="2AF656C7">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0B1107E4"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F67FA5" w:rsidRDefault="009B7F9B" w:rsidP="009B7F9B">
      <w:pPr>
        <w:spacing w:line="276" w:lineRule="auto"/>
        <w:jc w:val="both"/>
        <w:rPr>
          <w:rFonts w:ascii="Arial" w:hAnsi="Arial" w:cs="Arial"/>
          <w:color w:val="000000" w:themeColor="text1"/>
          <w:sz w:val="22"/>
          <w:szCs w:val="20"/>
        </w:rPr>
      </w:pPr>
      <w:r w:rsidRPr="00F67FA5">
        <w:rPr>
          <w:rFonts w:ascii="Arial" w:eastAsia="Times New Roman" w:hAnsi="Arial" w:cs="Arial"/>
          <w:color w:val="000000" w:themeColor="text1"/>
          <w:sz w:val="22"/>
          <w:lang w:eastAsia="es-CO"/>
        </w:rPr>
        <w:t>Atentamente,</w:t>
      </w:r>
    </w:p>
    <w:p w14:paraId="61A70295" w14:textId="77777777" w:rsidR="009B7F9B" w:rsidRPr="00F67FA5" w:rsidRDefault="009B7F9B" w:rsidP="009B7F9B">
      <w:pPr>
        <w:spacing w:after="18"/>
        <w:jc w:val="center"/>
        <w:rPr>
          <w:rFonts w:ascii="Arial" w:eastAsia="Times New Roman" w:hAnsi="Arial" w:cs="Arial"/>
          <w:color w:val="000000" w:themeColor="text1"/>
          <w:sz w:val="18"/>
          <w:szCs w:val="20"/>
          <w:lang w:eastAsia="es-CO"/>
        </w:rPr>
      </w:pPr>
    </w:p>
    <w:p w14:paraId="4F62D4D8" w14:textId="7AA63467" w:rsidR="009B7F9B" w:rsidRDefault="00EB5E77" w:rsidP="00EB5E77">
      <w:pPr>
        <w:spacing w:after="18"/>
        <w:jc w:val="center"/>
        <w:rPr>
          <w:rFonts w:ascii="Arial" w:hAnsi="Arial" w:cs="Arial"/>
          <w:color w:val="000000" w:themeColor="text1"/>
        </w:rPr>
      </w:pPr>
      <w:r>
        <w:rPr>
          <w:noProof/>
        </w:rPr>
        <w:drawing>
          <wp:inline distT="0" distB="0" distL="0" distR="0" wp14:anchorId="62ACFC57" wp14:editId="21598F71">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5353BA5" w14:textId="77777777" w:rsidR="00EB5E77" w:rsidRPr="00EB5E77" w:rsidRDefault="00EB5E77" w:rsidP="00EB5E77">
      <w:pPr>
        <w:spacing w:after="18"/>
        <w:jc w:val="center"/>
        <w:rPr>
          <w:rFonts w:ascii="Arial" w:hAnsi="Arial" w:cs="Arial"/>
          <w:color w:val="000000" w:themeColor="text1"/>
          <w:sz w:val="18"/>
          <w:szCs w:val="18"/>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6B5232" w:rsidRPr="006B5232" w14:paraId="7AA6FB0A" w14:textId="77777777" w:rsidTr="008007A7">
        <w:trPr>
          <w:trHeight w:val="286"/>
        </w:trPr>
        <w:tc>
          <w:tcPr>
            <w:tcW w:w="817" w:type="dxa"/>
            <w:vAlign w:val="center"/>
          </w:tcPr>
          <w:p w14:paraId="1D8C3425"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Elaboró:</w:t>
            </w:r>
          </w:p>
        </w:tc>
        <w:tc>
          <w:tcPr>
            <w:tcW w:w="4445" w:type="dxa"/>
            <w:tcBorders>
              <w:bottom w:val="dotted" w:sz="4" w:space="0" w:color="7F7F7F" w:themeColor="text1" w:themeTint="80"/>
            </w:tcBorders>
            <w:vAlign w:val="center"/>
          </w:tcPr>
          <w:p w14:paraId="26B92278"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Alejandro Sarmiento Cantillo</w:t>
            </w:r>
          </w:p>
          <w:p w14:paraId="276C23D2" w14:textId="396B2A71"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 xml:space="preserve">Contratista </w:t>
            </w:r>
            <w:r w:rsidR="009B52BF" w:rsidRPr="00F67FA5">
              <w:rPr>
                <w:rFonts w:ascii="Arial" w:eastAsia="Times New Roman" w:hAnsi="Arial" w:cs="Arial"/>
                <w:color w:val="000000" w:themeColor="text1"/>
                <w:sz w:val="14"/>
                <w:szCs w:val="14"/>
                <w:lang w:eastAsia="es-ES"/>
              </w:rPr>
              <w:t>de la</w:t>
            </w:r>
            <w:r w:rsidRPr="00F67FA5">
              <w:rPr>
                <w:rFonts w:ascii="Arial" w:eastAsia="Times New Roman" w:hAnsi="Arial" w:cs="Arial"/>
                <w:color w:val="000000" w:themeColor="text1"/>
                <w:sz w:val="14"/>
                <w:szCs w:val="14"/>
                <w:lang w:eastAsia="es-ES"/>
              </w:rPr>
              <w:t xml:space="preserve"> Subdirección de Gestión Contractual</w:t>
            </w:r>
          </w:p>
        </w:tc>
      </w:tr>
      <w:tr w:rsidR="006B5232" w:rsidRPr="006B5232" w14:paraId="427093FF" w14:textId="77777777" w:rsidTr="008007A7">
        <w:trPr>
          <w:trHeight w:val="299"/>
        </w:trPr>
        <w:tc>
          <w:tcPr>
            <w:tcW w:w="817" w:type="dxa"/>
            <w:vAlign w:val="center"/>
          </w:tcPr>
          <w:p w14:paraId="72F9A0F8"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DA1517D" w14:textId="40E2B2C7" w:rsidR="009B7F9B" w:rsidRPr="00F67FA5" w:rsidRDefault="00CD32D4"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Cristian Andrés Díaz Díez</w:t>
            </w:r>
          </w:p>
          <w:p w14:paraId="60C00AF0" w14:textId="681632AC"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 xml:space="preserve">Contratista </w:t>
            </w:r>
            <w:r w:rsidR="009B52BF" w:rsidRPr="00F67FA5">
              <w:rPr>
                <w:rFonts w:ascii="Arial" w:eastAsia="Times New Roman" w:hAnsi="Arial" w:cs="Arial"/>
                <w:color w:val="000000" w:themeColor="text1"/>
                <w:sz w:val="14"/>
                <w:szCs w:val="14"/>
                <w:lang w:eastAsia="es-ES"/>
              </w:rPr>
              <w:t>de la</w:t>
            </w:r>
            <w:r w:rsidRPr="00F67FA5">
              <w:rPr>
                <w:rFonts w:ascii="Arial" w:eastAsia="Times New Roman" w:hAnsi="Arial" w:cs="Arial"/>
                <w:color w:val="000000" w:themeColor="text1"/>
                <w:sz w:val="14"/>
                <w:szCs w:val="14"/>
                <w:lang w:eastAsia="es-ES"/>
              </w:rPr>
              <w:t xml:space="preserve"> Subdirección de Gestión Contractual</w:t>
            </w:r>
          </w:p>
        </w:tc>
      </w:tr>
      <w:tr w:rsidR="006B5232" w:rsidRPr="006B5232" w14:paraId="0D3F12A6" w14:textId="77777777" w:rsidTr="008007A7">
        <w:trPr>
          <w:trHeight w:val="272"/>
        </w:trPr>
        <w:tc>
          <w:tcPr>
            <w:tcW w:w="817" w:type="dxa"/>
            <w:vAlign w:val="center"/>
          </w:tcPr>
          <w:p w14:paraId="73EA6C4F"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34A0844"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Fabián Gonzalo Marín Cortés</w:t>
            </w:r>
          </w:p>
          <w:p w14:paraId="4A2BCC07" w14:textId="77777777" w:rsidR="009B7F9B" w:rsidRPr="00F67FA5" w:rsidRDefault="009B7F9B" w:rsidP="008007A7">
            <w:pPr>
              <w:rPr>
                <w:rFonts w:ascii="Arial" w:eastAsia="Times New Roman" w:hAnsi="Arial" w:cs="Arial"/>
                <w:color w:val="000000" w:themeColor="text1"/>
                <w:sz w:val="14"/>
                <w:szCs w:val="14"/>
                <w:lang w:eastAsia="es-ES"/>
              </w:rPr>
            </w:pPr>
            <w:r w:rsidRPr="00F67FA5">
              <w:rPr>
                <w:rFonts w:ascii="Arial" w:eastAsia="Times New Roman" w:hAnsi="Arial" w:cs="Arial"/>
                <w:color w:val="000000" w:themeColor="text1"/>
                <w:sz w:val="14"/>
                <w:szCs w:val="14"/>
                <w:lang w:eastAsia="es-ES"/>
              </w:rPr>
              <w:t>Subdirector de Gestión Contractual</w:t>
            </w:r>
          </w:p>
        </w:tc>
      </w:tr>
      <w:bookmarkEnd w:id="2"/>
      <w:bookmarkEnd w:id="3"/>
    </w:tbl>
    <w:p w14:paraId="47BB1636" w14:textId="77777777" w:rsidR="009B7F9B" w:rsidRPr="00F67FA5" w:rsidRDefault="009B7F9B" w:rsidP="009B7F9B">
      <w:pPr>
        <w:rPr>
          <w:color w:val="000000" w:themeColor="text1"/>
        </w:rPr>
      </w:pPr>
    </w:p>
    <w:bookmarkEnd w:id="4"/>
    <w:bookmarkEnd w:id="5"/>
    <w:p w14:paraId="35B56F46" w14:textId="77777777" w:rsidR="00746E08" w:rsidRPr="00F67FA5" w:rsidRDefault="00746E08" w:rsidP="00746E08">
      <w:pPr>
        <w:rPr>
          <w:rFonts w:ascii="Arial" w:eastAsia="Times New Roman" w:hAnsi="Arial" w:cs="Arial"/>
          <w:color w:val="000000" w:themeColor="text1"/>
          <w:sz w:val="16"/>
          <w:szCs w:val="16"/>
          <w:lang w:eastAsia="es-ES"/>
        </w:rPr>
      </w:pPr>
    </w:p>
    <w:sectPr w:rsidR="00746E08" w:rsidRPr="00F67FA5"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E4432" w14:textId="77777777" w:rsidR="00895D71" w:rsidRDefault="00895D71">
      <w:r>
        <w:separator/>
      </w:r>
    </w:p>
  </w:endnote>
  <w:endnote w:type="continuationSeparator" w:id="0">
    <w:p w14:paraId="7A550416" w14:textId="77777777" w:rsidR="00895D71" w:rsidRDefault="0089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2EF28465"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1E291F" w:rsidRDefault="285899D8" w:rsidP="00322937">
    <w:pPr>
      <w:pStyle w:val="Piedepgina"/>
      <w:jc w:val="center"/>
      <w:rPr>
        <w:lang w:val="es-ES"/>
      </w:rPr>
    </w:pPr>
    <w:r>
      <w:rPr>
        <w:noProof/>
      </w:rPr>
      <w:drawing>
        <wp:inline distT="0" distB="0" distL="0" distR="0" wp14:anchorId="608B196D" wp14:editId="0FC6A48C">
          <wp:extent cx="3700130" cy="519139"/>
          <wp:effectExtent l="0" t="0" r="0" b="0"/>
          <wp:docPr id="6573161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6B8D" w14:textId="77777777" w:rsidR="00895D71" w:rsidRDefault="00895D71">
      <w:r>
        <w:separator/>
      </w:r>
    </w:p>
  </w:footnote>
  <w:footnote w:type="continuationSeparator" w:id="0">
    <w:p w14:paraId="0F8AD775" w14:textId="77777777" w:rsidR="00895D71" w:rsidRDefault="00895D71">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8"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8"/>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96E30D"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4091340D" w14:textId="77777777" w:rsidR="009B7F9B" w:rsidRPr="000C0FED" w:rsidRDefault="009B7F9B" w:rsidP="009B7F9B">
      <w:pPr>
        <w:ind w:left="300" w:right="49" w:hanging="16"/>
        <w:jc w:val="both"/>
        <w:rPr>
          <w:rFonts w:ascii="Arial" w:hAnsi="Arial" w:cs="Arial"/>
          <w:color w:val="000000" w:themeColor="text1"/>
          <w:sz w:val="19"/>
          <w:szCs w:val="19"/>
        </w:rPr>
      </w:pPr>
    </w:p>
    <w:p w14:paraId="1D86B7C2" w14:textId="77777777" w:rsidR="009B7F9B" w:rsidRPr="000C0FED" w:rsidRDefault="009B7F9B" w:rsidP="009B7F9B">
      <w:pPr>
        <w:pStyle w:val="Textonotapie"/>
        <w:ind w:right="49"/>
        <w:rPr>
          <w:rFonts w:ascii="Arial" w:hAnsi="Arial" w:cs="Arial"/>
          <w:color w:val="000000" w:themeColor="text1"/>
          <w:sz w:val="19"/>
          <w:szCs w:val="19"/>
        </w:rPr>
      </w:pPr>
    </w:p>
  </w:footnote>
  <w:footnote w:id="4">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7737F1C8"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38438782"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8EEEDA2"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11F1FFC" w14:textId="77777777" w:rsidR="00107E4D" w:rsidRPr="00851936" w:rsidRDefault="00107E4D" w:rsidP="00107E4D">
      <w:pPr>
        <w:pStyle w:val="Textonotapie"/>
        <w:ind w:right="49"/>
        <w:jc w:val="both"/>
        <w:rPr>
          <w:rFonts w:ascii="Arial" w:hAnsi="Arial" w:cs="Arial"/>
          <w:color w:val="000000" w:themeColor="text1"/>
          <w:sz w:val="19"/>
          <w:szCs w:val="19"/>
          <w:lang w:val="es-ES"/>
        </w:rPr>
      </w:pPr>
    </w:p>
  </w:footnote>
  <w:footnote w:id="11">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3">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4">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15">
    <w:p w14:paraId="12682085"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3FB44444" w14:textId="77777777" w:rsidR="00D12042" w:rsidRPr="00851936" w:rsidRDefault="00D12042" w:rsidP="00D12042">
      <w:pPr>
        <w:pStyle w:val="Textonotapie"/>
        <w:ind w:firstLine="708"/>
        <w:jc w:val="both"/>
        <w:rPr>
          <w:rFonts w:ascii="Arial" w:hAnsi="Arial" w:cs="Arial"/>
          <w:sz w:val="19"/>
          <w:szCs w:val="19"/>
        </w:rPr>
      </w:pPr>
    </w:p>
  </w:footnote>
  <w:footnote w:id="16">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7">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D0EE0B8"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6ECFD18D"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9">
    <w:p w14:paraId="35A6FED7"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p w14:paraId="628B583E"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20">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48C24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p w14:paraId="2F53F6A3" w14:textId="77777777" w:rsidR="00D12042" w:rsidRPr="00851936" w:rsidRDefault="00D12042" w:rsidP="00D12042">
      <w:pPr>
        <w:pStyle w:val="Textonotapie"/>
        <w:rPr>
          <w:rFonts w:ascii="Arial" w:hAnsi="Arial" w:cs="Arial"/>
          <w:sz w:val="19"/>
          <w:szCs w:val="19"/>
          <w:lang w:val="es-CO"/>
        </w:rPr>
      </w:pPr>
    </w:p>
  </w:footnote>
  <w:footnote w:id="22">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»Igualmente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3">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24">
    <w:p w14:paraId="33A76CAA" w14:textId="77777777" w:rsidR="00D12042" w:rsidRDefault="00D12042" w:rsidP="00D12042">
      <w:pPr>
        <w:pStyle w:val="Textonotapie"/>
        <w:ind w:firstLine="708"/>
        <w:jc w:val="both"/>
        <w:rPr>
          <w:rFonts w:ascii="Arial" w:hAnsi="Arial" w:cs="Arial"/>
          <w:sz w:val="19"/>
          <w:szCs w:val="19"/>
        </w:rPr>
      </w:pPr>
    </w:p>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5">
    <w:p w14:paraId="17C37B13"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4155560E" w14:textId="77777777" w:rsidR="00D12042" w:rsidRPr="00851936" w:rsidRDefault="00D12042" w:rsidP="00D12042">
      <w:pPr>
        <w:pStyle w:val="Textonotapie"/>
        <w:rPr>
          <w:rFonts w:ascii="Arial" w:hAnsi="Arial" w:cs="Arial"/>
          <w:sz w:val="19"/>
          <w:szCs w:val="19"/>
          <w:lang w:val="es-CO"/>
        </w:rPr>
      </w:pPr>
    </w:p>
  </w:footnote>
  <w:footnote w:id="26">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28">
    <w:p w14:paraId="0D7044FC" w14:textId="77777777" w:rsidR="00D12042"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D12042">
      <w:pPr>
        <w:pStyle w:val="Textonotapie"/>
        <w:ind w:firstLine="708"/>
        <w:rPr>
          <w:rFonts w:ascii="Arial" w:hAnsi="Arial" w:cs="Arial"/>
          <w:sz w:val="19"/>
          <w:szCs w:val="19"/>
        </w:rPr>
      </w:pPr>
    </w:p>
  </w:footnote>
  <w:footnote w:id="29">
    <w:p w14:paraId="44EA5193"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6C48550F" w14:textId="77777777" w:rsidR="00107E4D" w:rsidRPr="00851936" w:rsidRDefault="00107E4D" w:rsidP="00107E4D">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1E291F" w:rsidRDefault="001E291F">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A89"/>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CB0"/>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30B"/>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5E77"/>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285899D8"/>
    <w:rsid w:val="5925799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2596F-8EEC-FC41-8476-B6209923A44E}">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8198</Words>
  <Characters>45094</Characters>
  <Application>Microsoft Office Word</Application>
  <DocSecurity>0</DocSecurity>
  <Lines>375</Lines>
  <Paragraphs>106</Paragraphs>
  <ScaleCrop>false</ScaleCrop>
  <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5</cp:revision>
  <cp:lastPrinted>2020-01-30T15:05:00Z</cp:lastPrinted>
  <dcterms:created xsi:type="dcterms:W3CDTF">2020-07-24T18:29:00Z</dcterms:created>
  <dcterms:modified xsi:type="dcterms:W3CDTF">2020-08-10T18:30:00Z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