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69BF9" w14:textId="77777777" w:rsidR="002A56B2" w:rsidRPr="008D7D85" w:rsidRDefault="002A56B2" w:rsidP="002A56B2">
      <w:pPr>
        <w:jc w:val="right"/>
        <w:rPr>
          <w:rFonts w:ascii="Arial" w:hAnsi="Arial" w:cs="Arial"/>
          <w:b/>
          <w:sz w:val="16"/>
          <w:szCs w:val="16"/>
          <w:lang w:val="es-ES_tradnl" w:eastAsia="es-ES"/>
        </w:rPr>
      </w:pPr>
      <w:bookmarkStart w:id="0" w:name="_Hlk28946138"/>
      <w:bookmarkStart w:id="1" w:name="_Hlk29548183"/>
      <w:r w:rsidRPr="009C6B45">
        <w:rPr>
          <w:rFonts w:ascii="Arial" w:hAnsi="Arial" w:cs="Arial"/>
          <w:bCs/>
          <w:sz w:val="16"/>
          <w:szCs w:val="16"/>
          <w:lang w:val="es-ES_tradnl" w:eastAsia="es-ES"/>
        </w:rPr>
        <w:tab/>
      </w:r>
      <w:r w:rsidRPr="008D7D85">
        <w:rPr>
          <w:rFonts w:ascii="Arial" w:hAnsi="Arial" w:cs="Arial"/>
          <w:b/>
          <w:sz w:val="16"/>
          <w:szCs w:val="16"/>
          <w:lang w:val="es-ES_tradnl" w:eastAsia="es-ES"/>
        </w:rPr>
        <w:t>CCE-DES-FM-17</w:t>
      </w:r>
    </w:p>
    <w:p w14:paraId="75672693" w14:textId="62FE718F" w:rsidR="00E106AF" w:rsidRPr="008D7D85" w:rsidRDefault="00E106AF" w:rsidP="00E106AF">
      <w:pPr>
        <w:jc w:val="both"/>
        <w:rPr>
          <w:rFonts w:ascii="Arial" w:hAnsi="Arial" w:cs="Arial"/>
          <w:b/>
          <w:sz w:val="16"/>
          <w:szCs w:val="16"/>
          <w:lang w:val="es-ES_tradnl" w:eastAsia="es-ES"/>
        </w:rPr>
      </w:pPr>
    </w:p>
    <w:p w14:paraId="56576259" w14:textId="7058AB32" w:rsidR="00E106AF" w:rsidRPr="009C6B45" w:rsidRDefault="00E106AF" w:rsidP="00E106AF">
      <w:pPr>
        <w:jc w:val="both"/>
        <w:rPr>
          <w:rFonts w:ascii="Arial" w:hAnsi="Arial" w:cs="Arial"/>
          <w:b/>
          <w:sz w:val="22"/>
          <w:szCs w:val="22"/>
          <w:lang w:val="es-ES_tradnl" w:eastAsia="es-ES"/>
        </w:rPr>
      </w:pPr>
      <w:r w:rsidRPr="009C6B45">
        <w:rPr>
          <w:rFonts w:ascii="Arial" w:hAnsi="Arial" w:cs="Arial"/>
          <w:b/>
          <w:sz w:val="22"/>
          <w:szCs w:val="22"/>
          <w:lang w:val="es-ES_tradnl" w:eastAsia="es-ES"/>
        </w:rPr>
        <w:t xml:space="preserve">LIQUIDACIÓN DEL CONTRATO </w:t>
      </w:r>
      <w:r w:rsidR="009554FD" w:rsidRPr="009C6B45">
        <w:rPr>
          <w:rFonts w:ascii="Arial" w:hAnsi="Arial" w:cs="Arial"/>
          <w:b/>
          <w:sz w:val="22"/>
          <w:szCs w:val="22"/>
          <w:lang w:val="es-ES_tradnl" w:eastAsia="es-ES"/>
        </w:rPr>
        <w:t xml:space="preserve">- </w:t>
      </w:r>
      <w:r w:rsidRPr="009C6B45">
        <w:rPr>
          <w:rFonts w:ascii="Arial" w:hAnsi="Arial" w:cs="Arial"/>
          <w:b/>
          <w:sz w:val="22"/>
          <w:szCs w:val="22"/>
          <w:lang w:val="es-ES_tradnl" w:eastAsia="es-ES"/>
        </w:rPr>
        <w:t xml:space="preserve">Definición – Objetivo </w:t>
      </w:r>
    </w:p>
    <w:p w14:paraId="6667039C" w14:textId="310A5E10" w:rsidR="00E106AF" w:rsidRPr="009C6B45" w:rsidRDefault="00E106AF" w:rsidP="00E106AF">
      <w:pPr>
        <w:jc w:val="both"/>
        <w:rPr>
          <w:rFonts w:ascii="Arial" w:hAnsi="Arial" w:cs="Arial"/>
          <w:b/>
          <w:sz w:val="16"/>
          <w:szCs w:val="16"/>
          <w:lang w:val="es-ES_tradnl" w:eastAsia="es-ES"/>
        </w:rPr>
      </w:pPr>
    </w:p>
    <w:p w14:paraId="7E37DB6F" w14:textId="655C89FF" w:rsidR="00056F52" w:rsidRPr="009C6B45" w:rsidRDefault="00056F52" w:rsidP="00056F52">
      <w:pPr>
        <w:jc w:val="both"/>
        <w:rPr>
          <w:rFonts w:ascii="Arial" w:hAnsi="Arial" w:cs="Arial"/>
          <w:sz w:val="20"/>
          <w:szCs w:val="20"/>
          <w:lang w:val="es-ES_tradnl" w:eastAsia="es-ES"/>
        </w:rPr>
      </w:pPr>
      <w:r w:rsidRPr="00056F52">
        <w:rPr>
          <w:rFonts w:ascii="Arial" w:hAnsi="Arial" w:cs="Arial"/>
          <w:sz w:val="20"/>
          <w:szCs w:val="20"/>
          <w:lang w:val="es-ES_tradnl" w:eastAsia="es-ES"/>
        </w:rPr>
        <w:t xml:space="preserve">La liquidación es el momento en el cual, una vez concluido el contrato estatal, las partes cruzan cuentas respecto de sus obligaciones. El objetivo de la liquidación es determinar si las partes pueden declararse a paz y salvo mutuo, o si existen obligaciones por cumplir, y con ocasión de aquella se puede acordar la forma en que deben ser cumplidas. </w:t>
      </w:r>
    </w:p>
    <w:p w14:paraId="32F7A952" w14:textId="5A05E05F" w:rsidR="00E106AF" w:rsidRPr="009C6B45" w:rsidRDefault="00E106AF" w:rsidP="00E106AF">
      <w:pPr>
        <w:jc w:val="both"/>
        <w:rPr>
          <w:rFonts w:ascii="Arial" w:hAnsi="Arial" w:cs="Arial"/>
          <w:sz w:val="20"/>
          <w:szCs w:val="20"/>
          <w:lang w:val="es-ES_tradnl" w:eastAsia="es-ES"/>
        </w:rPr>
      </w:pPr>
    </w:p>
    <w:p w14:paraId="2E7D9539" w14:textId="47F170C7" w:rsidR="00E106AF" w:rsidRPr="009C6B45" w:rsidRDefault="00E106AF" w:rsidP="00E106AF">
      <w:pPr>
        <w:jc w:val="both"/>
        <w:rPr>
          <w:rFonts w:ascii="Arial" w:hAnsi="Arial" w:cs="Arial"/>
          <w:b/>
          <w:sz w:val="22"/>
          <w:szCs w:val="22"/>
          <w:lang w:val="es-ES_tradnl" w:eastAsia="es-ES"/>
        </w:rPr>
      </w:pPr>
      <w:r w:rsidRPr="009C6B45">
        <w:rPr>
          <w:rFonts w:ascii="Arial" w:hAnsi="Arial" w:cs="Arial"/>
          <w:b/>
          <w:sz w:val="22"/>
          <w:szCs w:val="22"/>
          <w:lang w:val="es-ES_tradnl" w:eastAsia="es-ES"/>
        </w:rPr>
        <w:t>LIQUIDACI</w:t>
      </w:r>
      <w:r w:rsidR="009554FD" w:rsidRPr="009C6B45">
        <w:rPr>
          <w:rFonts w:ascii="Arial" w:hAnsi="Arial" w:cs="Arial"/>
          <w:b/>
          <w:sz w:val="22"/>
          <w:szCs w:val="22"/>
          <w:lang w:val="es-ES_tradnl" w:eastAsia="es-ES"/>
        </w:rPr>
        <w:t>ÓN DEL CONTRATO</w:t>
      </w:r>
      <w:r w:rsidRPr="009C6B45">
        <w:rPr>
          <w:rFonts w:ascii="Arial" w:hAnsi="Arial" w:cs="Arial"/>
          <w:b/>
          <w:sz w:val="22"/>
          <w:szCs w:val="22"/>
          <w:lang w:val="es-ES_tradnl" w:eastAsia="es-ES"/>
        </w:rPr>
        <w:t xml:space="preserve"> – Normativ</w:t>
      </w:r>
      <w:r w:rsidR="00071380" w:rsidRPr="009C6B45">
        <w:rPr>
          <w:rFonts w:ascii="Arial" w:hAnsi="Arial" w:cs="Arial"/>
          <w:b/>
          <w:sz w:val="22"/>
          <w:szCs w:val="22"/>
          <w:lang w:val="es-ES_tradnl" w:eastAsia="es-ES"/>
        </w:rPr>
        <w:t>a</w:t>
      </w:r>
      <w:r w:rsidRPr="009C6B45">
        <w:rPr>
          <w:rFonts w:ascii="Arial" w:hAnsi="Arial" w:cs="Arial"/>
          <w:b/>
          <w:sz w:val="22"/>
          <w:szCs w:val="22"/>
          <w:lang w:val="es-ES_tradnl" w:eastAsia="es-ES"/>
        </w:rPr>
        <w:t xml:space="preserve"> </w:t>
      </w:r>
    </w:p>
    <w:p w14:paraId="7F204F26" w14:textId="77777777" w:rsidR="00E106AF" w:rsidRPr="009C6B45" w:rsidRDefault="00E106AF" w:rsidP="00E106AF">
      <w:pPr>
        <w:jc w:val="both"/>
        <w:rPr>
          <w:rFonts w:ascii="Arial" w:hAnsi="Arial" w:cs="Arial"/>
          <w:sz w:val="20"/>
          <w:szCs w:val="20"/>
          <w:lang w:val="es-ES_tradnl" w:eastAsia="es-ES"/>
        </w:rPr>
      </w:pPr>
    </w:p>
    <w:p w14:paraId="5E39BDC4" w14:textId="7ADCAE6C" w:rsidR="00056F52" w:rsidRPr="009C6B45" w:rsidRDefault="00056F52" w:rsidP="00E106AF">
      <w:pPr>
        <w:jc w:val="both"/>
        <w:rPr>
          <w:rFonts w:ascii="Arial" w:hAnsi="Arial" w:cs="Arial"/>
          <w:sz w:val="20"/>
          <w:szCs w:val="20"/>
          <w:lang w:val="es-ES_tradnl" w:eastAsia="es-ES"/>
        </w:rPr>
      </w:pPr>
      <w:r w:rsidRPr="00056F52">
        <w:rPr>
          <w:rFonts w:ascii="Arial" w:hAnsi="Arial" w:cs="Arial"/>
          <w:sz w:val="20"/>
          <w:szCs w:val="20"/>
          <w:lang w:val="es-ES_tradnl" w:eastAsia="es-ES"/>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manejo. </w:t>
      </w:r>
    </w:p>
    <w:p w14:paraId="51E58581" w14:textId="6F58B17F" w:rsidR="00E106AF" w:rsidRPr="009C6B45" w:rsidRDefault="00E106AF" w:rsidP="00E106AF">
      <w:pPr>
        <w:jc w:val="both"/>
        <w:rPr>
          <w:rFonts w:ascii="Arial" w:hAnsi="Arial" w:cs="Arial"/>
          <w:sz w:val="20"/>
          <w:szCs w:val="20"/>
          <w:lang w:val="es-ES_tradnl" w:eastAsia="es-ES"/>
        </w:rPr>
      </w:pPr>
    </w:p>
    <w:p w14:paraId="389E46F4" w14:textId="25D527FC" w:rsidR="007E6590" w:rsidRPr="009C6B45" w:rsidRDefault="007E6590" w:rsidP="00E106AF">
      <w:pPr>
        <w:jc w:val="both"/>
        <w:rPr>
          <w:rFonts w:ascii="Arial" w:hAnsi="Arial" w:cs="Arial"/>
          <w:b/>
          <w:sz w:val="22"/>
          <w:szCs w:val="22"/>
          <w:lang w:val="es-ES_tradnl" w:eastAsia="es-ES"/>
        </w:rPr>
      </w:pPr>
      <w:r w:rsidRPr="009C6B45">
        <w:rPr>
          <w:rFonts w:ascii="Arial" w:hAnsi="Arial" w:cs="Arial"/>
          <w:b/>
          <w:sz w:val="22"/>
          <w:szCs w:val="22"/>
          <w:lang w:val="es-ES_tradnl" w:eastAsia="es-ES"/>
        </w:rPr>
        <w:t xml:space="preserve">LIQUIDACIÓN DEL CONTRATO – Oportunidad </w:t>
      </w:r>
    </w:p>
    <w:p w14:paraId="7F125106" w14:textId="7CBB46A4" w:rsidR="00056F52" w:rsidRDefault="00056F52" w:rsidP="00E106AF">
      <w:pPr>
        <w:jc w:val="both"/>
        <w:rPr>
          <w:rFonts w:ascii="Arial" w:hAnsi="Arial" w:cs="Arial"/>
          <w:sz w:val="20"/>
          <w:szCs w:val="20"/>
          <w:lang w:val="es-ES_tradnl" w:eastAsia="es-ES"/>
        </w:rPr>
      </w:pPr>
    </w:p>
    <w:p w14:paraId="00E905FA" w14:textId="797D2DAC" w:rsidR="00056F52" w:rsidRPr="00056F52" w:rsidRDefault="00056F52" w:rsidP="008D7D85">
      <w:pPr>
        <w:spacing w:after="120"/>
        <w:jc w:val="both"/>
        <w:rPr>
          <w:rFonts w:ascii="Arial" w:hAnsi="Arial" w:cs="Arial"/>
          <w:sz w:val="20"/>
          <w:szCs w:val="20"/>
          <w:lang w:val="es-ES_tradnl" w:eastAsia="es-ES"/>
        </w:rPr>
      </w:pPr>
      <w:r>
        <w:rPr>
          <w:rFonts w:ascii="Arial" w:hAnsi="Arial" w:cs="Arial"/>
          <w:sz w:val="20"/>
          <w:szCs w:val="20"/>
          <w:lang w:val="es-ES_tradnl" w:eastAsia="es-ES"/>
        </w:rPr>
        <w:t xml:space="preserve">[…] </w:t>
      </w:r>
      <w:r w:rsidRPr="00056F52">
        <w:rPr>
          <w:rFonts w:ascii="Arial" w:hAnsi="Arial" w:cs="Arial"/>
          <w:sz w:val="20"/>
          <w:szCs w:val="20"/>
          <w:lang w:val="es-ES_tradnl" w:eastAsia="es-ES"/>
        </w:rPr>
        <w:t>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(ii) la expedición del acto administrativo que ordene la terminación del contrato o (iii) la fecha del acuerdo que disponga la terminación del contrato.</w:t>
      </w:r>
    </w:p>
    <w:p w14:paraId="3791FE56" w14:textId="0696EFD6" w:rsidR="00056F52" w:rsidRPr="009C6B45" w:rsidRDefault="00056F52" w:rsidP="008D7D85">
      <w:pPr>
        <w:jc w:val="both"/>
        <w:rPr>
          <w:rFonts w:ascii="Arial" w:hAnsi="Arial" w:cs="Arial"/>
          <w:sz w:val="20"/>
          <w:szCs w:val="20"/>
          <w:lang w:val="es-ES_tradnl" w:eastAsia="es-ES"/>
        </w:rPr>
      </w:pPr>
      <w:r w:rsidRPr="00056F52">
        <w:rPr>
          <w:rFonts w:ascii="Arial" w:hAnsi="Arial" w:cs="Arial"/>
          <w:sz w:val="20"/>
          <w:szCs w:val="20"/>
          <w:lang w:val="es-ES_tradnl" w:eastAsia="es-ES"/>
        </w:rPr>
        <w:t>Durante este término, el contratista puede solicitar que se adelante el trámite de liquidación. Sin embargo, es responsabilidad de la entidad estatal convocarlo para adelantar la liquidación de común acuerdo o notificarlo para que se presente a la liquidación , de manera que el contrato pueda ser liquidado bilateralmente, bien sea en el plazo previsto en el pliego de condiciones, el acordado por las partes, o los cuatro meses señalados en la Ley, según corresponda. Esta liquidación bilateral puede ser total o parcial, y el documento que la contiene presta mérito ejecutivo, siempre que se satisfagan los elementos para considerarlo como tal.</w:t>
      </w:r>
    </w:p>
    <w:p w14:paraId="3933ED1E" w14:textId="4FEA59A4" w:rsidR="00AE64FF" w:rsidRPr="009C6B45" w:rsidRDefault="00AE64FF" w:rsidP="008D7D85">
      <w:pPr>
        <w:jc w:val="both"/>
        <w:rPr>
          <w:rFonts w:ascii="Arial" w:hAnsi="Arial" w:cs="Arial"/>
          <w:sz w:val="20"/>
          <w:szCs w:val="20"/>
          <w:lang w:val="es-ES_tradnl" w:eastAsia="es-ES"/>
        </w:rPr>
      </w:pPr>
    </w:p>
    <w:p w14:paraId="6C7DC82F" w14:textId="1C255E15" w:rsidR="00AE64FF" w:rsidRPr="009C6B45" w:rsidRDefault="00AE64FF" w:rsidP="008D7D85">
      <w:pPr>
        <w:jc w:val="both"/>
        <w:rPr>
          <w:rFonts w:ascii="Arial" w:hAnsi="Arial" w:cs="Arial"/>
          <w:b/>
          <w:sz w:val="22"/>
          <w:szCs w:val="22"/>
          <w:lang w:val="es-ES_tradnl" w:eastAsia="es-ES"/>
        </w:rPr>
      </w:pPr>
      <w:r w:rsidRPr="009C6B45">
        <w:rPr>
          <w:rFonts w:ascii="Arial" w:hAnsi="Arial" w:cs="Arial"/>
          <w:b/>
          <w:sz w:val="22"/>
          <w:szCs w:val="22"/>
          <w:lang w:val="es-ES_tradnl" w:eastAsia="es-ES"/>
        </w:rPr>
        <w:t>LIQUIDACIÓN DEL CONTRATO</w:t>
      </w:r>
      <w:r w:rsidR="009554FD" w:rsidRPr="009C6B45">
        <w:rPr>
          <w:rFonts w:ascii="Arial" w:hAnsi="Arial" w:cs="Arial"/>
          <w:b/>
          <w:sz w:val="22"/>
          <w:szCs w:val="22"/>
          <w:lang w:val="es-ES_tradnl" w:eastAsia="es-ES"/>
        </w:rPr>
        <w:t xml:space="preserve"> </w:t>
      </w:r>
      <w:r w:rsidRPr="009C6B45">
        <w:rPr>
          <w:rFonts w:ascii="Arial" w:hAnsi="Arial" w:cs="Arial"/>
          <w:b/>
          <w:sz w:val="22"/>
          <w:szCs w:val="22"/>
          <w:lang w:val="es-ES_tradnl" w:eastAsia="es-ES"/>
        </w:rPr>
        <w:t xml:space="preserve">– Liquidación unilateral </w:t>
      </w:r>
    </w:p>
    <w:p w14:paraId="786CB64A" w14:textId="1CE03878" w:rsidR="00AE64FF" w:rsidRPr="009C6B45" w:rsidRDefault="00AE64FF" w:rsidP="008D7D85">
      <w:pPr>
        <w:jc w:val="both"/>
        <w:rPr>
          <w:rFonts w:ascii="Arial" w:hAnsi="Arial" w:cs="Arial"/>
          <w:sz w:val="20"/>
          <w:szCs w:val="20"/>
          <w:lang w:val="es-ES_tradnl" w:eastAsia="es-ES"/>
        </w:rPr>
      </w:pPr>
    </w:p>
    <w:p w14:paraId="571E2B9F" w14:textId="1CC92D4D" w:rsidR="00056F52" w:rsidRPr="00056F52" w:rsidRDefault="00056F52" w:rsidP="008D7D85">
      <w:pPr>
        <w:spacing w:after="120"/>
        <w:jc w:val="both"/>
        <w:rPr>
          <w:rFonts w:ascii="Arial" w:hAnsi="Arial" w:cs="Arial"/>
          <w:sz w:val="20"/>
          <w:szCs w:val="20"/>
          <w:lang w:val="es-ES_tradnl" w:eastAsia="es-ES"/>
        </w:rPr>
      </w:pPr>
      <w:r w:rsidRPr="00056F52">
        <w:rPr>
          <w:rFonts w:ascii="Arial" w:hAnsi="Arial" w:cs="Arial"/>
          <w:sz w:val="20"/>
          <w:szCs w:val="20"/>
          <w:lang w:val="es-ES_tradnl" w:eastAsia="es-ES"/>
        </w:rPr>
        <w:t xml:space="preserve">Si no se logra la liquidación bilateral del contrato, la entidad estatal tiene la facultad de liquidar unilateralmente el contrato durante el término de 2 meses  contados a partir del vencimiento del plazo que acuerden las partes para liquidar bilateralmente, o, ante el silencio de estas, del vencimiento de los 4 meses supletivos establecidos por la Ley. </w:t>
      </w:r>
    </w:p>
    <w:p w14:paraId="5E8C5F64" w14:textId="5301253D" w:rsidR="00056F52" w:rsidRPr="009C6B45" w:rsidRDefault="00056F52" w:rsidP="008D7D85">
      <w:pPr>
        <w:jc w:val="both"/>
        <w:rPr>
          <w:rFonts w:ascii="Arial" w:hAnsi="Arial" w:cs="Arial"/>
          <w:sz w:val="20"/>
          <w:szCs w:val="20"/>
          <w:lang w:val="es-ES_tradnl" w:eastAsia="es-ES"/>
        </w:rPr>
      </w:pPr>
      <w:r w:rsidRPr="00056F52">
        <w:rPr>
          <w:rFonts w:ascii="Arial" w:hAnsi="Arial" w:cs="Arial"/>
          <w:sz w:val="20"/>
          <w:szCs w:val="20"/>
          <w:lang w:val="es-ES_tradnl" w:eastAsia="es-ES"/>
        </w:rPr>
        <w:t>Finalmente, transcurridos estos 2 meses, la liquidación podrá ser realizada en cualquier tiempo dentro de los dos años siguientes al vencimiento del término referido. Durante estos dos años la liquidación podrá hacerse de mutuo acuerdo, unilateralmente por la entidad, o podrá ser solicitada judicialmente por el interesado</w:t>
      </w:r>
      <w:r>
        <w:rPr>
          <w:rFonts w:ascii="Arial" w:hAnsi="Arial" w:cs="Arial"/>
          <w:sz w:val="20"/>
          <w:szCs w:val="20"/>
          <w:lang w:val="es-ES_tradnl" w:eastAsia="es-ES"/>
        </w:rPr>
        <w:t>.</w:t>
      </w:r>
    </w:p>
    <w:p w14:paraId="07BD433B" w14:textId="24B5D822" w:rsidR="009554FD" w:rsidRPr="009C6B45" w:rsidRDefault="009554FD" w:rsidP="008D7D85">
      <w:pPr>
        <w:jc w:val="both"/>
        <w:rPr>
          <w:rFonts w:ascii="Arial" w:hAnsi="Arial" w:cs="Arial"/>
          <w:sz w:val="20"/>
          <w:szCs w:val="20"/>
          <w:lang w:val="es-ES_tradnl" w:eastAsia="es-ES"/>
        </w:rPr>
      </w:pPr>
    </w:p>
    <w:p w14:paraId="6F3164B8" w14:textId="0D781651" w:rsidR="009554FD" w:rsidRPr="009C6B45" w:rsidRDefault="009554FD" w:rsidP="008D7D85">
      <w:pPr>
        <w:jc w:val="both"/>
        <w:rPr>
          <w:rFonts w:ascii="Arial" w:hAnsi="Arial" w:cs="Arial"/>
          <w:b/>
          <w:sz w:val="22"/>
          <w:szCs w:val="22"/>
          <w:lang w:val="es-ES_tradnl" w:eastAsia="es-ES"/>
        </w:rPr>
      </w:pPr>
      <w:r w:rsidRPr="009C6B45">
        <w:rPr>
          <w:rFonts w:ascii="Arial" w:hAnsi="Arial" w:cs="Arial"/>
          <w:b/>
          <w:sz w:val="22"/>
          <w:szCs w:val="22"/>
          <w:lang w:val="es-ES_tradnl" w:eastAsia="es-ES"/>
        </w:rPr>
        <w:t>LIQUIDACIÓN DEL CONTRATO – Plazo máximo</w:t>
      </w:r>
    </w:p>
    <w:p w14:paraId="25417B1B" w14:textId="3CCEEDFA" w:rsidR="009554FD" w:rsidRPr="009C6B45" w:rsidRDefault="009554FD" w:rsidP="008D7D85">
      <w:pPr>
        <w:jc w:val="both"/>
        <w:rPr>
          <w:rFonts w:ascii="Arial" w:hAnsi="Arial" w:cs="Arial"/>
          <w:sz w:val="20"/>
          <w:szCs w:val="20"/>
          <w:lang w:val="es-ES_tradnl" w:eastAsia="es-ES"/>
        </w:rPr>
      </w:pPr>
    </w:p>
    <w:p w14:paraId="6C7FEC73" w14:textId="79C1AD96" w:rsidR="00056F52" w:rsidRPr="009C6B45" w:rsidRDefault="00056F52" w:rsidP="008D7D85">
      <w:pPr>
        <w:jc w:val="both"/>
        <w:rPr>
          <w:rFonts w:ascii="Arial" w:hAnsi="Arial" w:cs="Arial"/>
          <w:sz w:val="20"/>
          <w:szCs w:val="20"/>
          <w:lang w:val="es-ES_tradnl" w:eastAsia="es-ES"/>
        </w:rPr>
      </w:pPr>
      <w:r>
        <w:rPr>
          <w:rFonts w:ascii="Arial" w:hAnsi="Arial" w:cs="Arial"/>
          <w:sz w:val="20"/>
          <w:szCs w:val="20"/>
          <w:lang w:val="es-ES_tradnl" w:eastAsia="es-ES"/>
        </w:rPr>
        <w:t xml:space="preserve">[…] </w:t>
      </w:r>
      <w:r w:rsidRPr="00056F52">
        <w:rPr>
          <w:rFonts w:ascii="Arial" w:hAnsi="Arial" w:cs="Arial"/>
          <w:sz w:val="20"/>
          <w:szCs w:val="20"/>
          <w:lang w:val="es-ES_tradnl" w:eastAsia="es-ES"/>
        </w:rPr>
        <w:t xml:space="preserve">la facultad de liquidar los contratos tiene una ventana temporal que empieza con la terminación del contrato y comprende el período contractual pactado por las partes o legal supletivo– de 4 meses – para la liquidación bilateral, más el período legal para la liquidación unilateral – de 2 meses –, más el plazo para que opere el fenómeno de la caducidad –de 2 años –, el cual se cuenta desde este último. </w:t>
      </w:r>
    </w:p>
    <w:p w14:paraId="215C09D7" w14:textId="3E895D87" w:rsidR="009554FD" w:rsidRPr="009C6B45" w:rsidRDefault="009554FD" w:rsidP="009554FD">
      <w:pPr>
        <w:jc w:val="both"/>
        <w:rPr>
          <w:rFonts w:ascii="Arial" w:hAnsi="Arial" w:cs="Arial"/>
          <w:sz w:val="20"/>
          <w:szCs w:val="20"/>
          <w:lang w:val="es-ES_tradnl" w:eastAsia="es-ES"/>
        </w:rPr>
      </w:pPr>
    </w:p>
    <w:p w14:paraId="36D5E766" w14:textId="54091AAE" w:rsidR="009554FD" w:rsidRPr="009C6B45" w:rsidRDefault="009554FD" w:rsidP="009554FD">
      <w:pPr>
        <w:jc w:val="both"/>
        <w:rPr>
          <w:rFonts w:ascii="Arial" w:hAnsi="Arial" w:cs="Arial"/>
          <w:b/>
          <w:sz w:val="22"/>
          <w:szCs w:val="22"/>
          <w:lang w:val="es-ES_tradnl" w:eastAsia="es-ES"/>
        </w:rPr>
      </w:pPr>
      <w:r w:rsidRPr="009C6B45">
        <w:rPr>
          <w:rFonts w:ascii="Arial" w:hAnsi="Arial" w:cs="Arial"/>
          <w:b/>
          <w:sz w:val="22"/>
          <w:szCs w:val="22"/>
          <w:lang w:val="es-ES_tradnl" w:eastAsia="es-ES"/>
        </w:rPr>
        <w:lastRenderedPageBreak/>
        <w:t xml:space="preserve">LIQUIDACIÓN DEL CONTRATO – Tipos de liquidación </w:t>
      </w:r>
    </w:p>
    <w:p w14:paraId="75C758FC" w14:textId="70C4D618" w:rsidR="00E106AF" w:rsidRPr="009C6B45" w:rsidRDefault="00E106AF" w:rsidP="00E106AF">
      <w:pPr>
        <w:jc w:val="both"/>
        <w:rPr>
          <w:rFonts w:ascii="Arial" w:hAnsi="Arial" w:cs="Arial"/>
          <w:sz w:val="20"/>
          <w:szCs w:val="20"/>
          <w:lang w:val="es-ES_tradnl" w:eastAsia="es-ES"/>
        </w:rPr>
      </w:pPr>
    </w:p>
    <w:p w14:paraId="1660C1A2" w14:textId="54502D46" w:rsidR="009554FD" w:rsidRPr="009C6B45" w:rsidRDefault="009554FD" w:rsidP="009554FD">
      <w:pPr>
        <w:jc w:val="both"/>
        <w:rPr>
          <w:rFonts w:ascii="Arial" w:hAnsi="Arial" w:cs="Arial"/>
          <w:sz w:val="20"/>
          <w:szCs w:val="20"/>
          <w:lang w:val="es-ES_tradnl" w:eastAsia="es-ES"/>
        </w:rPr>
      </w:pPr>
      <w:r w:rsidRPr="009C6B45">
        <w:rPr>
          <w:rFonts w:ascii="Arial" w:hAnsi="Arial" w:cs="Arial"/>
          <w:sz w:val="20"/>
          <w:szCs w:val="20"/>
          <w:lang w:val="es-ES_tradnl" w:eastAsia="es-ES"/>
        </w:rPr>
        <w:t xml:space="preserve">[…] </w:t>
      </w:r>
      <w:r w:rsidR="00056F52" w:rsidRPr="00056F52">
        <w:rPr>
          <w:rFonts w:ascii="Arial" w:hAnsi="Arial" w:cs="Arial"/>
          <w:sz w:val="20"/>
          <w:szCs w:val="20"/>
          <w:lang w:val="es-ES_tradnl" w:eastAsia="es-ES"/>
        </w:rPr>
        <w:t>de acuerdo con el artículo 11 de la Ley 1150 de 2007, existen tres tipos de liquidación: i) bilateral, ii) unilateral y iii) judicial. En términos generales, la primera, que puede ser total o parcial, debe hacerse en el término que estipulen las partes o, en su defecto, dentro del término subsidiario de cuatro meses. La segunda se debe practicar dentro de los dos meses siguientes al vencimiento del término que acuerden las partes, o, ante el silencio de estas, de los cuatro meses para realizar la liquidación bilateral, sin que esta se efectúe. Finalmente, la tercera la realiza el juez contencioso administrativo dentro de un proceso judicial de controversias contractuales y puede darse con ocasión de una demanda del interesado solicitando dicha liquidación y para ello existe un plazo máximo de 2 años contados a partir de los dos meses establecidos en la Ley para realizar la liquidación unilateral, de conformidad con la citada decisión de unificación del Consejo de Estado.</w:t>
      </w:r>
    </w:p>
    <w:p w14:paraId="57460D7D" w14:textId="42E070C0" w:rsidR="00066CFF" w:rsidRPr="009C6B45" w:rsidRDefault="00066CFF" w:rsidP="009554FD">
      <w:pPr>
        <w:jc w:val="both"/>
        <w:rPr>
          <w:rFonts w:ascii="Arial" w:hAnsi="Arial" w:cs="Arial"/>
          <w:sz w:val="20"/>
          <w:szCs w:val="20"/>
          <w:lang w:val="es-ES_tradnl" w:eastAsia="es-ES"/>
        </w:rPr>
      </w:pPr>
    </w:p>
    <w:p w14:paraId="37523FA1" w14:textId="699A3758" w:rsidR="00066CFF" w:rsidRPr="009C6B45" w:rsidRDefault="00066CFF" w:rsidP="009554FD">
      <w:pPr>
        <w:jc w:val="both"/>
        <w:rPr>
          <w:rFonts w:ascii="Arial" w:hAnsi="Arial" w:cs="Arial"/>
          <w:b/>
          <w:sz w:val="22"/>
          <w:szCs w:val="22"/>
          <w:lang w:val="es-ES_tradnl" w:eastAsia="es-ES"/>
        </w:rPr>
      </w:pPr>
      <w:r w:rsidRPr="009C6B45">
        <w:rPr>
          <w:rFonts w:ascii="Arial" w:hAnsi="Arial" w:cs="Arial"/>
          <w:b/>
          <w:sz w:val="22"/>
          <w:szCs w:val="22"/>
          <w:lang w:val="es-ES_tradnl" w:eastAsia="es-ES"/>
        </w:rPr>
        <w:t xml:space="preserve">GARANTÍA DE CUMPLIMIENTO – Carácter indemnizatorio </w:t>
      </w:r>
    </w:p>
    <w:p w14:paraId="4436B0B2" w14:textId="24F42A3A" w:rsidR="00066CFF" w:rsidRPr="009C6B45" w:rsidRDefault="00066CFF" w:rsidP="009554FD">
      <w:pPr>
        <w:jc w:val="both"/>
        <w:rPr>
          <w:rFonts w:ascii="Arial" w:hAnsi="Arial" w:cs="Arial"/>
          <w:sz w:val="20"/>
          <w:szCs w:val="20"/>
          <w:lang w:val="es-ES_tradnl" w:eastAsia="es-ES"/>
        </w:rPr>
      </w:pPr>
    </w:p>
    <w:p w14:paraId="3AFAB3ED" w14:textId="17ACF574" w:rsidR="00066CFF" w:rsidRPr="009C6B45" w:rsidRDefault="00066CFF" w:rsidP="00066CFF">
      <w:pPr>
        <w:jc w:val="both"/>
        <w:rPr>
          <w:rFonts w:ascii="Arial" w:hAnsi="Arial" w:cs="Arial"/>
          <w:bCs/>
          <w:sz w:val="20"/>
          <w:szCs w:val="20"/>
          <w:lang w:val="es-ES_tradnl" w:eastAsia="es-ES"/>
        </w:rPr>
      </w:pPr>
      <w:r w:rsidRPr="009C6B45">
        <w:rPr>
          <w:rFonts w:ascii="Arial" w:hAnsi="Arial" w:cs="Arial"/>
          <w:bCs/>
          <w:sz w:val="20"/>
          <w:szCs w:val="20"/>
          <w:lang w:val="es-ES_tradnl" w:eastAsia="es-ES"/>
        </w:rPr>
        <w:t>Tiene carácter indemnizatorio</w:t>
      </w:r>
      <w:r w:rsidR="00652F74">
        <w:rPr>
          <w:rFonts w:ascii="Arial" w:hAnsi="Arial" w:cs="Arial"/>
          <w:bCs/>
          <w:sz w:val="20"/>
          <w:szCs w:val="20"/>
          <w:lang w:val="es-ES_tradnl" w:eastAsia="es-ES"/>
        </w:rPr>
        <w:t>,</w:t>
      </w:r>
      <w:r w:rsidRPr="009C6B45">
        <w:rPr>
          <w:rFonts w:ascii="Arial" w:hAnsi="Arial" w:cs="Arial"/>
          <w:bCs/>
          <w:sz w:val="20"/>
          <w:szCs w:val="20"/>
          <w:lang w:val="es-ES_tradnl" w:eastAsia="es-ES"/>
        </w:rPr>
        <w:t xml:space="preserve"> dado que su finalidad es proteger el patrimonio público del daño que le puede ocasionar el posible incumplimiento de las obligaciones contractuales por parte del particular contratista, para</w:t>
      </w:r>
      <w:r w:rsidR="00F63667">
        <w:rPr>
          <w:rFonts w:ascii="Arial" w:hAnsi="Arial" w:cs="Arial"/>
          <w:bCs/>
          <w:sz w:val="20"/>
          <w:szCs w:val="20"/>
          <w:lang w:val="es-ES_tradnl" w:eastAsia="es-ES"/>
        </w:rPr>
        <w:t>,</w:t>
      </w:r>
      <w:r w:rsidRPr="009C6B45">
        <w:rPr>
          <w:rFonts w:ascii="Arial" w:hAnsi="Arial" w:cs="Arial"/>
          <w:bCs/>
          <w:sz w:val="20"/>
          <w:szCs w:val="20"/>
          <w:lang w:val="es-ES_tradnl" w:eastAsia="es-ES"/>
        </w:rPr>
        <w:t xml:space="preserve"> de esta manera</w:t>
      </w:r>
      <w:r w:rsidR="00F63667">
        <w:rPr>
          <w:rFonts w:ascii="Arial" w:hAnsi="Arial" w:cs="Arial"/>
          <w:bCs/>
          <w:sz w:val="20"/>
          <w:szCs w:val="20"/>
          <w:lang w:val="es-ES_tradnl" w:eastAsia="es-ES"/>
        </w:rPr>
        <w:t>,</w:t>
      </w:r>
      <w:r w:rsidRPr="009C6B45">
        <w:rPr>
          <w:rFonts w:ascii="Arial" w:hAnsi="Arial" w:cs="Arial"/>
          <w:bCs/>
          <w:sz w:val="20"/>
          <w:szCs w:val="20"/>
          <w:lang w:val="es-ES_tradnl" w:eastAsia="es-ES"/>
        </w:rPr>
        <w:t xml:space="preserve"> evitar que dicho patrimonio se vea afectado o empobrecido.</w:t>
      </w:r>
    </w:p>
    <w:p w14:paraId="297A6117" w14:textId="44017869" w:rsidR="009554FD" w:rsidRPr="009C6B45" w:rsidRDefault="009554FD" w:rsidP="009554FD">
      <w:pPr>
        <w:jc w:val="both"/>
        <w:rPr>
          <w:rFonts w:ascii="Arial" w:hAnsi="Arial" w:cs="Arial"/>
          <w:sz w:val="20"/>
          <w:szCs w:val="20"/>
          <w:lang w:val="es-ES_tradnl" w:eastAsia="es-ES"/>
        </w:rPr>
      </w:pPr>
    </w:p>
    <w:p w14:paraId="07752898" w14:textId="59C40E02" w:rsidR="00E73969" w:rsidRPr="009C6B45" w:rsidRDefault="00E73969" w:rsidP="009554FD">
      <w:pPr>
        <w:jc w:val="both"/>
        <w:rPr>
          <w:rFonts w:ascii="Arial" w:hAnsi="Arial" w:cs="Arial"/>
          <w:b/>
          <w:sz w:val="22"/>
          <w:szCs w:val="22"/>
          <w:lang w:val="es-ES_tradnl" w:eastAsia="es-ES"/>
        </w:rPr>
      </w:pPr>
      <w:r w:rsidRPr="009C6B45">
        <w:rPr>
          <w:rFonts w:ascii="Arial" w:hAnsi="Arial" w:cs="Arial"/>
          <w:b/>
          <w:sz w:val="22"/>
          <w:szCs w:val="22"/>
          <w:lang w:val="es-ES_tradnl" w:eastAsia="es-ES"/>
        </w:rPr>
        <w:t xml:space="preserve">GARANTÍA DE CUMPLIMIENTO – Vigencia </w:t>
      </w:r>
    </w:p>
    <w:p w14:paraId="150EBB86" w14:textId="77777777" w:rsidR="00E73969" w:rsidRPr="009C6B45" w:rsidRDefault="00E73969" w:rsidP="009554FD">
      <w:pPr>
        <w:jc w:val="both"/>
        <w:rPr>
          <w:rFonts w:ascii="Arial" w:hAnsi="Arial" w:cs="Arial"/>
          <w:sz w:val="20"/>
          <w:szCs w:val="20"/>
          <w:lang w:val="es-ES_tradnl" w:eastAsia="es-ES"/>
        </w:rPr>
      </w:pPr>
    </w:p>
    <w:p w14:paraId="4D145CF0" w14:textId="31AC5D5C" w:rsidR="001F452E" w:rsidRPr="009C6B45" w:rsidRDefault="00056F52" w:rsidP="008D7D85">
      <w:pPr>
        <w:spacing w:after="120"/>
        <w:jc w:val="both"/>
        <w:rPr>
          <w:rFonts w:ascii="Arial" w:hAnsi="Arial" w:cs="Arial"/>
          <w:bCs/>
          <w:sz w:val="20"/>
          <w:szCs w:val="20"/>
          <w:lang w:val="es-ES_tradnl" w:eastAsia="es-ES"/>
        </w:rPr>
      </w:pPr>
      <w:r>
        <w:rPr>
          <w:rFonts w:ascii="Arial" w:hAnsi="Arial" w:cs="Arial"/>
          <w:bCs/>
          <w:sz w:val="20"/>
          <w:szCs w:val="20"/>
          <w:lang w:val="es-ES_tradnl" w:eastAsia="es-ES"/>
        </w:rPr>
        <w:t xml:space="preserve">[…] </w:t>
      </w:r>
      <w:r w:rsidRPr="00056F52">
        <w:rPr>
          <w:rFonts w:ascii="Arial" w:hAnsi="Arial" w:cs="Arial"/>
          <w:bCs/>
          <w:sz w:val="20"/>
          <w:szCs w:val="20"/>
          <w:lang w:val="es-ES_tradnl" w:eastAsia="es-ES"/>
        </w:rPr>
        <w:t xml:space="preserve">el artículo 2.2.1.2.3.1.12. del citado Decreto señala que «[l]a garantía de cumplimiento del contrato debe tener una vigencia mínima hasta la liquidación del contrato». </w:t>
      </w:r>
    </w:p>
    <w:p w14:paraId="092D5FA8" w14:textId="1BB10EDC" w:rsidR="00056F52" w:rsidRPr="009C6B45" w:rsidRDefault="00056F52" w:rsidP="008D7D85">
      <w:pPr>
        <w:jc w:val="both"/>
        <w:rPr>
          <w:rFonts w:ascii="Arial" w:hAnsi="Arial" w:cs="Arial"/>
          <w:bCs/>
          <w:sz w:val="20"/>
          <w:szCs w:val="20"/>
          <w:lang w:val="es-ES_tradnl" w:eastAsia="es-ES"/>
        </w:rPr>
      </w:pPr>
      <w:r w:rsidRPr="00056F52">
        <w:rPr>
          <w:rFonts w:ascii="Arial" w:hAnsi="Arial" w:cs="Arial"/>
          <w:bCs/>
          <w:sz w:val="20"/>
          <w:szCs w:val="20"/>
          <w:lang w:val="es-ES_tradnl" w:eastAsia="es-ES"/>
        </w:rPr>
        <w:t xml:space="preserve">Para poner en contacto este aparte del concepto con los términos para la liquidación bilateral, unilateral o judicial, se puede afirmar que la entidad debe mantener la garantía de cumplimiento vigente durante el plazo de ejecución del contrato, más el plazo para la liquidación bilateral – bien sea este el plazo acordado por las partes o el supletivo de </w:t>
      </w:r>
      <w:r w:rsidR="003E5C29">
        <w:rPr>
          <w:rFonts w:ascii="Arial" w:hAnsi="Arial" w:cs="Arial"/>
          <w:bCs/>
          <w:sz w:val="20"/>
          <w:szCs w:val="20"/>
          <w:lang w:val="es-ES_tradnl" w:eastAsia="es-ES"/>
        </w:rPr>
        <w:t>4</w:t>
      </w:r>
      <w:r w:rsidRPr="00056F52">
        <w:rPr>
          <w:rFonts w:ascii="Arial" w:hAnsi="Arial" w:cs="Arial"/>
          <w:bCs/>
          <w:sz w:val="20"/>
          <w:szCs w:val="20"/>
          <w:lang w:val="es-ES_tradnl" w:eastAsia="es-ES"/>
        </w:rPr>
        <w:t xml:space="preserve"> meses – más el plazo de dos meses que tiene la entidad para realizar la liquidación unilateral. </w:t>
      </w:r>
    </w:p>
    <w:p w14:paraId="2BFA83DA" w14:textId="44A1087A" w:rsidR="00912E49" w:rsidRPr="009C6B45" w:rsidRDefault="00912E49" w:rsidP="008D7D85">
      <w:pPr>
        <w:jc w:val="both"/>
        <w:rPr>
          <w:rFonts w:ascii="Arial" w:hAnsi="Arial" w:cs="Arial"/>
          <w:bCs/>
          <w:sz w:val="20"/>
          <w:szCs w:val="20"/>
          <w:lang w:val="es-ES_tradnl" w:eastAsia="es-ES"/>
        </w:rPr>
      </w:pPr>
    </w:p>
    <w:p w14:paraId="53F33F7A" w14:textId="24449E18" w:rsidR="00912E49" w:rsidRPr="009C6B45" w:rsidRDefault="00912E49" w:rsidP="008D7D85">
      <w:pPr>
        <w:jc w:val="both"/>
        <w:rPr>
          <w:rFonts w:ascii="Arial" w:hAnsi="Arial" w:cs="Arial"/>
          <w:b/>
          <w:sz w:val="22"/>
          <w:szCs w:val="22"/>
          <w:lang w:val="es-ES_tradnl" w:eastAsia="es-ES"/>
        </w:rPr>
      </w:pPr>
      <w:r w:rsidRPr="009C6B45">
        <w:rPr>
          <w:rFonts w:ascii="Arial" w:hAnsi="Arial" w:cs="Arial"/>
          <w:b/>
          <w:sz w:val="22"/>
          <w:szCs w:val="22"/>
          <w:lang w:val="es-ES_tradnl" w:eastAsia="es-ES"/>
        </w:rPr>
        <w:t>GARANTÍA DE CUMPLIMIENTO – Vigencia – Principios de la Función Administrativa</w:t>
      </w:r>
    </w:p>
    <w:p w14:paraId="70CF18B1" w14:textId="68A7AFA7" w:rsidR="00912E49" w:rsidRPr="009C6B45" w:rsidRDefault="00912E49" w:rsidP="008D7D85">
      <w:pPr>
        <w:jc w:val="both"/>
        <w:rPr>
          <w:rFonts w:ascii="Arial" w:hAnsi="Arial" w:cs="Arial"/>
          <w:sz w:val="20"/>
          <w:szCs w:val="20"/>
          <w:lang w:val="es-ES_tradnl" w:eastAsia="es-ES"/>
        </w:rPr>
      </w:pPr>
    </w:p>
    <w:p w14:paraId="040A7AEE" w14:textId="6C162110" w:rsidR="00912E49" w:rsidRPr="009C6B45" w:rsidRDefault="00912E49" w:rsidP="008D7D85">
      <w:pPr>
        <w:jc w:val="both"/>
        <w:rPr>
          <w:rFonts w:ascii="Arial" w:hAnsi="Arial" w:cs="Arial"/>
          <w:sz w:val="20"/>
          <w:szCs w:val="20"/>
          <w:lang w:val="es-ES_tradnl" w:eastAsia="es-ES"/>
        </w:rPr>
      </w:pPr>
      <w:r w:rsidRPr="009C6B45">
        <w:rPr>
          <w:rFonts w:ascii="Arial" w:hAnsi="Arial" w:cs="Arial"/>
          <w:sz w:val="20"/>
          <w:szCs w:val="20"/>
          <w:lang w:val="es-ES_tradnl" w:eastAsia="es-ES"/>
        </w:rPr>
        <w:t xml:space="preserve">[…] las entidades estatales deben tener en consideración los principios de la función administrativa, consagrados en el artículo 209 superior, y en particular los principios de eficiencia y eficacia en el manejo de los recursos públicos, cuando determinen la fórmula precisa en que ejercerán la </w:t>
      </w:r>
      <w:r w:rsidR="001F05D5" w:rsidRPr="009C6B45">
        <w:rPr>
          <w:rFonts w:ascii="Arial" w:hAnsi="Arial" w:cs="Arial"/>
          <w:sz w:val="20"/>
          <w:szCs w:val="20"/>
          <w:lang w:val="es-ES_tradnl" w:eastAsia="es-ES"/>
        </w:rPr>
        <w:t>discreci</w:t>
      </w:r>
      <w:r w:rsidR="001F05D5">
        <w:rPr>
          <w:rFonts w:ascii="Arial" w:hAnsi="Arial" w:cs="Arial"/>
          <w:sz w:val="20"/>
          <w:szCs w:val="20"/>
          <w:lang w:val="es-ES_tradnl" w:eastAsia="es-ES"/>
        </w:rPr>
        <w:t>onalidad</w:t>
      </w:r>
      <w:r w:rsidR="001F05D5" w:rsidRPr="009C6B45">
        <w:rPr>
          <w:rFonts w:ascii="Arial" w:hAnsi="Arial" w:cs="Arial"/>
          <w:sz w:val="20"/>
          <w:szCs w:val="20"/>
          <w:lang w:val="es-ES_tradnl" w:eastAsia="es-ES"/>
        </w:rPr>
        <w:t xml:space="preserve"> </w:t>
      </w:r>
      <w:r w:rsidRPr="009C6B45">
        <w:rPr>
          <w:rFonts w:ascii="Arial" w:hAnsi="Arial" w:cs="Arial"/>
          <w:sz w:val="20"/>
          <w:szCs w:val="20"/>
          <w:lang w:val="es-ES_tradnl" w:eastAsia="es-ES"/>
        </w:rPr>
        <w:t>que les otorgan las normas vigentes sobre la materia. Si bien las garantías son en principio asumidas por el contratista, no puede perderse de vista que estos constituyen costos indirectos que a la larga son asumidos por la entidad. En ese orden de ideas, salvo que se considere absolutamente necesario en el caso concreto, de cara al principio de eficiencia</w:t>
      </w:r>
      <w:r w:rsidR="001F05D5">
        <w:rPr>
          <w:rFonts w:ascii="Arial" w:hAnsi="Arial" w:cs="Arial"/>
          <w:sz w:val="20"/>
          <w:szCs w:val="20"/>
          <w:lang w:val="es-ES_tradnl" w:eastAsia="es-ES"/>
        </w:rPr>
        <w:t>,</w:t>
      </w:r>
      <w:r w:rsidRPr="009C6B45">
        <w:rPr>
          <w:rFonts w:ascii="Arial" w:hAnsi="Arial" w:cs="Arial"/>
          <w:sz w:val="20"/>
          <w:szCs w:val="20"/>
          <w:lang w:val="es-ES_tradnl" w:eastAsia="es-ES"/>
        </w:rPr>
        <w:t xml:space="preserve"> no se observa la necesidad de requerir un amparo de cumplimiento por todo el término de 2 años en que se puede ejercer la acción de controversias contractuales para solicitar la liquidación. Ello es así, pues la liquidación puede hacerse de manera unilateral al día siguiente en que se venza el término pactado en el contrato para realizar la liquidación bilateral, o vencidos los 4 meses supletivos de que trata el artículo 7 de la Ley 1150 de 2007.</w:t>
      </w:r>
    </w:p>
    <w:p w14:paraId="4A564CBB" w14:textId="77777777" w:rsidR="00E106AF" w:rsidRPr="009C6B45" w:rsidRDefault="00E106AF" w:rsidP="00E106AF">
      <w:pPr>
        <w:jc w:val="both"/>
        <w:rPr>
          <w:rFonts w:ascii="Arial" w:hAnsi="Arial" w:cs="Arial"/>
          <w:sz w:val="20"/>
          <w:szCs w:val="20"/>
          <w:lang w:val="es-ES_tradnl" w:eastAsia="es-ES"/>
        </w:rPr>
      </w:pPr>
    </w:p>
    <w:bookmarkEnd w:id="0"/>
    <w:bookmarkEnd w:id="1"/>
    <w:p w14:paraId="2AE6F03C" w14:textId="77777777" w:rsidR="00D85D2F" w:rsidRPr="008D7D85" w:rsidRDefault="00D85D2F" w:rsidP="00D85D2F">
      <w:pPr>
        <w:pStyle w:val="Default"/>
        <w:rPr>
          <w:sz w:val="20"/>
          <w:szCs w:val="20"/>
          <w:lang w:val="es-ES_tradnl"/>
        </w:rPr>
      </w:pPr>
    </w:p>
    <w:p w14:paraId="4FFC3C6C" w14:textId="3046AB15" w:rsidR="002A56B2" w:rsidRPr="000D2ED5" w:rsidRDefault="002A56B2" w:rsidP="000D2ED5">
      <w:pPr>
        <w:rPr>
          <w:rFonts w:ascii="Arial" w:hAnsi="Arial" w:cs="Arial"/>
          <w:b/>
          <w:color w:val="000000" w:themeColor="text1"/>
          <w:sz w:val="22"/>
          <w:lang w:val="es-ES_tradnl"/>
        </w:rPr>
      </w:pPr>
      <w:r w:rsidRPr="009C6B45">
        <w:rPr>
          <w:rFonts w:ascii="Arial" w:hAnsi="Arial" w:cs="Arial"/>
          <w:color w:val="000000" w:themeColor="text1"/>
          <w:sz w:val="22"/>
          <w:lang w:val="es-ES_tradnl"/>
        </w:rPr>
        <w:t xml:space="preserve">Bogotá D.C., </w:t>
      </w:r>
      <w:r w:rsidR="000D2ED5" w:rsidRPr="000D2ED5">
        <w:rPr>
          <w:rFonts w:ascii="Arial" w:hAnsi="Arial" w:cs="Arial"/>
          <w:b/>
          <w:color w:val="000000" w:themeColor="text1"/>
          <w:sz w:val="22"/>
        </w:rPr>
        <w:t>27/07/2020 Hora 13:27:44s</w:t>
      </w:r>
    </w:p>
    <w:p w14:paraId="1AA6DF44" w14:textId="77777777" w:rsidR="002A56B2" w:rsidRPr="009C6B45" w:rsidRDefault="002A56B2" w:rsidP="002A56B2">
      <w:pPr>
        <w:jc w:val="right"/>
        <w:rPr>
          <w:rFonts w:ascii="Arial" w:hAnsi="Arial" w:cs="Arial"/>
          <w:b/>
          <w:color w:val="000000" w:themeColor="text1"/>
          <w:sz w:val="22"/>
          <w:lang w:val="es-ES_tradnl"/>
        </w:rPr>
      </w:pPr>
    </w:p>
    <w:p w14:paraId="0ECFF9FD" w14:textId="6E94B937" w:rsidR="002A56B2" w:rsidRPr="000D2ED5" w:rsidRDefault="000D2ED5" w:rsidP="000D2ED5">
      <w:pPr>
        <w:jc w:val="right"/>
        <w:rPr>
          <w:rFonts w:ascii="Arial" w:hAnsi="Arial" w:cs="Arial"/>
          <w:b/>
          <w:color w:val="000000" w:themeColor="text1"/>
          <w:sz w:val="22"/>
          <w:lang w:val="es-ES_tradnl"/>
        </w:rPr>
      </w:pPr>
      <w:r>
        <w:rPr>
          <w:rFonts w:ascii="Arial" w:hAnsi="Arial" w:cs="Arial"/>
          <w:b/>
          <w:color w:val="000000" w:themeColor="text1"/>
          <w:sz w:val="22"/>
          <w:lang w:val="es-ES_tradnl"/>
        </w:rPr>
        <w:t xml:space="preserve">N° Radicado: </w:t>
      </w:r>
      <w:r w:rsidRPr="000D2ED5">
        <w:rPr>
          <w:rFonts w:ascii="Arial" w:hAnsi="Arial" w:cs="Arial"/>
          <w:b/>
          <w:color w:val="000000" w:themeColor="text1"/>
          <w:sz w:val="22"/>
        </w:rPr>
        <w:t>2202013000006651</w:t>
      </w:r>
    </w:p>
    <w:p w14:paraId="5BB620EC" w14:textId="77777777" w:rsidR="002A56B2" w:rsidRPr="009C6B45" w:rsidRDefault="002A56B2" w:rsidP="002A56B2">
      <w:pPr>
        <w:rPr>
          <w:rFonts w:ascii="Arial" w:eastAsia="Calibri" w:hAnsi="Arial" w:cs="Arial"/>
          <w:color w:val="000000" w:themeColor="text1"/>
          <w:sz w:val="22"/>
          <w:lang w:val="es-ES_tradnl"/>
        </w:rPr>
      </w:pPr>
    </w:p>
    <w:p w14:paraId="0D548AEF" w14:textId="393CEA5B" w:rsidR="00B414DE" w:rsidRPr="009C6B45" w:rsidRDefault="00B414DE" w:rsidP="00450B8D">
      <w:pPr>
        <w:rPr>
          <w:rFonts w:ascii="Arial" w:eastAsia="Calibri" w:hAnsi="Arial" w:cs="Arial"/>
          <w:color w:val="000000" w:themeColor="text1"/>
          <w:sz w:val="22"/>
          <w:lang w:val="es-ES_tradnl"/>
        </w:rPr>
      </w:pPr>
      <w:r w:rsidRPr="009C6B45">
        <w:rPr>
          <w:rFonts w:ascii="Arial" w:eastAsia="Calibri" w:hAnsi="Arial" w:cs="Arial"/>
          <w:color w:val="000000" w:themeColor="text1"/>
          <w:sz w:val="22"/>
          <w:lang w:val="es-ES_tradnl"/>
        </w:rPr>
        <w:lastRenderedPageBreak/>
        <w:t>Señor</w:t>
      </w:r>
      <w:r w:rsidR="005F6F8C" w:rsidRPr="009C6B45">
        <w:rPr>
          <w:rFonts w:ascii="Arial" w:eastAsia="Calibri" w:hAnsi="Arial" w:cs="Arial"/>
          <w:color w:val="000000" w:themeColor="text1"/>
          <w:sz w:val="22"/>
          <w:lang w:val="es-ES_tradnl"/>
        </w:rPr>
        <w:t>a</w:t>
      </w:r>
    </w:p>
    <w:p w14:paraId="7F629C68" w14:textId="1A1B8718" w:rsidR="00B414DE" w:rsidRPr="009C6B45" w:rsidRDefault="005F6F8C" w:rsidP="00450B8D">
      <w:pPr>
        <w:rPr>
          <w:rFonts w:ascii="Arial" w:eastAsia="Calibri" w:hAnsi="Arial" w:cs="Arial"/>
          <w:b/>
          <w:color w:val="000000" w:themeColor="text1"/>
          <w:sz w:val="22"/>
          <w:lang w:val="es-ES_tradnl"/>
        </w:rPr>
      </w:pPr>
      <w:r w:rsidRPr="009C6B45">
        <w:rPr>
          <w:rFonts w:ascii="Arial" w:eastAsia="Calibri" w:hAnsi="Arial" w:cs="Arial"/>
          <w:b/>
          <w:color w:val="000000" w:themeColor="text1"/>
          <w:sz w:val="22"/>
          <w:lang w:val="es-ES_tradnl"/>
        </w:rPr>
        <w:t xml:space="preserve">María Catalina Bohórquez de la Espriella </w:t>
      </w:r>
    </w:p>
    <w:p w14:paraId="05173AB8" w14:textId="77777777" w:rsidR="00B414DE" w:rsidRPr="009C6B45" w:rsidRDefault="00B414DE" w:rsidP="00450B8D">
      <w:pPr>
        <w:rPr>
          <w:rFonts w:ascii="Arial" w:eastAsia="Calibri" w:hAnsi="Arial" w:cs="Arial"/>
          <w:color w:val="000000" w:themeColor="text1"/>
          <w:sz w:val="22"/>
          <w:lang w:val="es-ES_tradnl"/>
        </w:rPr>
      </w:pPr>
      <w:r w:rsidRPr="009C6B45">
        <w:rPr>
          <w:rFonts w:ascii="Arial" w:eastAsia="Calibri" w:hAnsi="Arial" w:cs="Arial"/>
          <w:color w:val="000000" w:themeColor="text1"/>
          <w:sz w:val="22"/>
          <w:lang w:val="es-ES_tradnl"/>
        </w:rPr>
        <w:t>Medellín, Antioquia</w:t>
      </w:r>
    </w:p>
    <w:p w14:paraId="67345EE9" w14:textId="77777777" w:rsidR="00B414DE" w:rsidRPr="009C6B45" w:rsidRDefault="00B414DE" w:rsidP="00450B8D">
      <w:pPr>
        <w:rPr>
          <w:rFonts w:ascii="Arial" w:eastAsia="Calibri" w:hAnsi="Arial" w:cs="Arial"/>
          <w:color w:val="000000" w:themeColor="text1"/>
          <w:sz w:val="22"/>
          <w:lang w:val="es-ES_tradnl"/>
        </w:rPr>
      </w:pPr>
    </w:p>
    <w:p w14:paraId="5F2A0814" w14:textId="77777777" w:rsidR="00B414DE" w:rsidRPr="009C6B45" w:rsidRDefault="00B414DE" w:rsidP="00450B8D">
      <w:pPr>
        <w:rPr>
          <w:rFonts w:ascii="Arial" w:eastAsia="Calibri" w:hAnsi="Arial" w:cs="Arial"/>
          <w:color w:val="000000" w:themeColor="text1"/>
          <w:sz w:val="22"/>
          <w:lang w:val="es-ES_tradnl"/>
        </w:rPr>
      </w:pPr>
    </w:p>
    <w:p w14:paraId="6A84D5A2" w14:textId="77777777" w:rsidR="00B414DE" w:rsidRPr="009C6B45" w:rsidRDefault="00B414DE" w:rsidP="00450B8D">
      <w:pPr>
        <w:rPr>
          <w:rFonts w:ascii="Arial" w:eastAsia="Calibri" w:hAnsi="Arial" w:cs="Arial"/>
          <w:color w:val="000000" w:themeColor="text1"/>
          <w:sz w:val="22"/>
          <w:lang w:val="es-ES_tradnl"/>
        </w:rPr>
      </w:pPr>
    </w:p>
    <w:p w14:paraId="0504970D" w14:textId="6210F454" w:rsidR="00B414DE" w:rsidRPr="009C6B45" w:rsidRDefault="00B414DE" w:rsidP="00450B8D">
      <w:pPr>
        <w:ind w:firstLine="2694"/>
        <w:rPr>
          <w:rFonts w:ascii="Arial" w:eastAsia="Calibri" w:hAnsi="Arial" w:cs="Arial"/>
          <w:b/>
          <w:color w:val="000000" w:themeColor="text1"/>
          <w:sz w:val="22"/>
          <w:lang w:val="es-ES_tradnl"/>
        </w:rPr>
      </w:pPr>
      <w:r w:rsidRPr="009C6B45">
        <w:rPr>
          <w:rFonts w:ascii="Arial" w:eastAsia="Calibri" w:hAnsi="Arial" w:cs="Arial"/>
          <w:b/>
          <w:color w:val="000000" w:themeColor="text1"/>
          <w:sz w:val="22"/>
          <w:lang w:val="es-ES_tradnl"/>
        </w:rPr>
        <w:t xml:space="preserve">Concepto C </w:t>
      </w:r>
      <w:r w:rsidR="00F41731" w:rsidRPr="009C6B45">
        <w:rPr>
          <w:rFonts w:ascii="Arial" w:eastAsia="Calibri" w:hAnsi="Arial" w:cs="Arial"/>
          <w:b/>
          <w:color w:val="000000" w:themeColor="text1"/>
          <w:sz w:val="22"/>
          <w:lang w:val="es-ES_tradnl"/>
        </w:rPr>
        <w:t xml:space="preserve">─ </w:t>
      </w:r>
      <w:r w:rsidR="002A56B2" w:rsidRPr="009C6B45">
        <w:rPr>
          <w:rFonts w:ascii="Arial" w:eastAsia="Calibri" w:hAnsi="Arial" w:cs="Arial"/>
          <w:b/>
          <w:color w:val="000000" w:themeColor="text1"/>
          <w:sz w:val="22"/>
          <w:lang w:val="es-ES_tradnl"/>
        </w:rPr>
        <w:t>479</w:t>
      </w:r>
      <w:r w:rsidRPr="009C6B45">
        <w:rPr>
          <w:rFonts w:ascii="Arial" w:eastAsia="Calibri" w:hAnsi="Arial" w:cs="Arial"/>
          <w:b/>
          <w:color w:val="000000" w:themeColor="text1"/>
          <w:sz w:val="22"/>
          <w:lang w:val="es-ES_tradnl"/>
        </w:rPr>
        <w:t xml:space="preserve"> de 2020</w:t>
      </w:r>
    </w:p>
    <w:p w14:paraId="1C23701E" w14:textId="77777777" w:rsidR="00B414DE" w:rsidRPr="009C6B45" w:rsidRDefault="00B414DE" w:rsidP="00450B8D">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E44D4" w:rsidRPr="00C91526" w14:paraId="02EC7E35" w14:textId="77777777" w:rsidTr="00450B8D">
        <w:tc>
          <w:tcPr>
            <w:tcW w:w="2689" w:type="dxa"/>
            <w:hideMark/>
          </w:tcPr>
          <w:p w14:paraId="1690F0B0" w14:textId="77777777" w:rsidR="00B414DE" w:rsidRPr="000D2ED5" w:rsidRDefault="00B414DE" w:rsidP="00B414DE">
            <w:pPr>
              <w:rPr>
                <w:rFonts w:ascii="Arial" w:eastAsia="Calibri" w:hAnsi="Arial" w:cs="Arial"/>
                <w:color w:val="000000" w:themeColor="text1"/>
                <w:sz w:val="22"/>
                <w:lang w:val="es-ES_tradnl"/>
              </w:rPr>
            </w:pPr>
            <w:r w:rsidRPr="000D2ED5">
              <w:rPr>
                <w:rFonts w:ascii="Arial" w:eastAsia="Calibri" w:hAnsi="Arial" w:cs="Arial"/>
                <w:b/>
                <w:color w:val="000000" w:themeColor="text1"/>
                <w:sz w:val="22"/>
                <w:lang w:val="es-ES_tradnl"/>
              </w:rPr>
              <w:t>Temas:</w:t>
            </w:r>
            <w:r w:rsidRPr="000D2ED5">
              <w:rPr>
                <w:rFonts w:ascii="Arial" w:eastAsia="Calibri" w:hAnsi="Arial" w:cs="Arial"/>
                <w:color w:val="000000" w:themeColor="text1"/>
                <w:sz w:val="22"/>
                <w:lang w:val="es-ES_tradnl"/>
              </w:rPr>
              <w:t xml:space="preserve">           </w:t>
            </w:r>
          </w:p>
          <w:p w14:paraId="516E55D8" w14:textId="77777777" w:rsidR="00B414DE" w:rsidRPr="000D2ED5" w:rsidRDefault="00B414DE" w:rsidP="00B414DE">
            <w:pPr>
              <w:rPr>
                <w:rFonts w:ascii="Arial" w:eastAsia="Calibri" w:hAnsi="Arial" w:cs="Arial"/>
                <w:color w:val="000000" w:themeColor="text1"/>
                <w:sz w:val="22"/>
                <w:lang w:val="es-ES_tradnl"/>
              </w:rPr>
            </w:pPr>
            <w:r w:rsidRPr="000D2ED5">
              <w:rPr>
                <w:rFonts w:ascii="Arial" w:eastAsia="Calibri" w:hAnsi="Arial" w:cs="Arial"/>
                <w:color w:val="000000" w:themeColor="text1"/>
                <w:sz w:val="22"/>
                <w:lang w:val="es-ES_tradnl"/>
              </w:rPr>
              <w:t xml:space="preserve">                           </w:t>
            </w:r>
          </w:p>
        </w:tc>
        <w:tc>
          <w:tcPr>
            <w:tcW w:w="6237" w:type="dxa"/>
            <w:hideMark/>
          </w:tcPr>
          <w:p w14:paraId="10E02B5E" w14:textId="3582DAC5" w:rsidR="00B414DE" w:rsidRPr="000D2ED5" w:rsidRDefault="000D2ED5" w:rsidP="0050493D">
            <w:pPr>
              <w:jc w:val="both"/>
              <w:rPr>
                <w:rFonts w:ascii="Arial" w:eastAsia="Calibri" w:hAnsi="Arial" w:cs="Arial"/>
                <w:color w:val="000000" w:themeColor="text1"/>
                <w:sz w:val="21"/>
                <w:szCs w:val="21"/>
                <w:lang w:val="es-ES_tradnl"/>
              </w:rPr>
            </w:pPr>
            <w:r w:rsidRPr="000D2ED5">
              <w:rPr>
                <w:rFonts w:ascii="Arial" w:eastAsia="Calibri" w:hAnsi="Arial" w:cs="Arial"/>
                <w:color w:val="000000" w:themeColor="text1"/>
                <w:sz w:val="21"/>
                <w:szCs w:val="21"/>
              </w:rPr>
              <w:t>LIQUIDACIÓN DEL CONTRATO - Definición – Objetivo / LIQUIDACIÓN DEL CONTRATO – Normativa / LIQUIDACIÓN DEL CONTRATO – Oportunidad / LIQUIDACIÓN DEL CONTRATO – Liquidación unilateral / LIQUIDACIÓN DEL CONTRATO – Plazo máximo / LIQUIDACIÓN DEL CONTRATO – Tipos de liquidación / GARANTÍA DE CUMPLIMIENTO – Carácter indemnizatorio / GARANTÍA DE CUMPLIMIENTO – Vigencia / GARANTÍA DE CUMPLIMIENTO – Vigencia – Principios de la Función Administrativa</w:t>
            </w:r>
          </w:p>
        </w:tc>
      </w:tr>
      <w:tr w:rsidR="00B414DE" w:rsidRPr="00C91526" w14:paraId="08429821" w14:textId="77777777" w:rsidTr="00450B8D">
        <w:tc>
          <w:tcPr>
            <w:tcW w:w="2689" w:type="dxa"/>
          </w:tcPr>
          <w:p w14:paraId="45B26E8D" w14:textId="77777777" w:rsidR="00B414DE" w:rsidRPr="009C6B45" w:rsidRDefault="00B414DE" w:rsidP="00B414DE">
            <w:pPr>
              <w:rPr>
                <w:rFonts w:ascii="Arial" w:eastAsia="Calibri" w:hAnsi="Arial" w:cs="Arial"/>
                <w:b/>
                <w:color w:val="000000" w:themeColor="text1"/>
                <w:sz w:val="22"/>
                <w:lang w:val="es-ES_tradnl"/>
              </w:rPr>
            </w:pPr>
            <w:r w:rsidRPr="009C6B45">
              <w:rPr>
                <w:rFonts w:ascii="Arial" w:eastAsia="Calibri" w:hAnsi="Arial" w:cs="Arial"/>
                <w:b/>
                <w:color w:val="000000" w:themeColor="text1"/>
                <w:sz w:val="22"/>
                <w:lang w:val="es-ES_tradnl"/>
              </w:rPr>
              <w:t>Radicación:</w:t>
            </w:r>
            <w:r w:rsidRPr="009C6B45">
              <w:rPr>
                <w:rFonts w:ascii="Arial" w:eastAsia="Calibri" w:hAnsi="Arial" w:cs="Arial"/>
                <w:color w:val="000000" w:themeColor="text1"/>
                <w:sz w:val="22"/>
                <w:lang w:val="es-ES_tradnl"/>
              </w:rPr>
              <w:t xml:space="preserve">                              </w:t>
            </w:r>
          </w:p>
        </w:tc>
        <w:tc>
          <w:tcPr>
            <w:tcW w:w="6237" w:type="dxa"/>
          </w:tcPr>
          <w:p w14:paraId="6947F303" w14:textId="20698481" w:rsidR="00B414DE" w:rsidRPr="009C6B45" w:rsidRDefault="00B414DE" w:rsidP="00F41731">
            <w:pPr>
              <w:jc w:val="both"/>
              <w:rPr>
                <w:rFonts w:ascii="Arial" w:eastAsia="Calibri" w:hAnsi="Arial" w:cs="Arial"/>
                <w:color w:val="000000" w:themeColor="text1"/>
                <w:sz w:val="22"/>
                <w:lang w:val="es-ES_tradnl"/>
              </w:rPr>
            </w:pPr>
            <w:r w:rsidRPr="009C6B45">
              <w:rPr>
                <w:rFonts w:ascii="Arial" w:eastAsia="Calibri" w:hAnsi="Arial" w:cs="Arial"/>
                <w:color w:val="000000" w:themeColor="text1"/>
                <w:sz w:val="22"/>
                <w:lang w:val="es-ES_tradnl"/>
              </w:rPr>
              <w:t xml:space="preserve">Respuesta a consulta # </w:t>
            </w:r>
            <w:r w:rsidR="00F41731" w:rsidRPr="009C6B45">
              <w:rPr>
                <w:rFonts w:ascii="Arial" w:eastAsia="Calibri" w:hAnsi="Arial" w:cs="Arial"/>
                <w:color w:val="000000" w:themeColor="text1"/>
                <w:sz w:val="22"/>
                <w:lang w:val="es-ES_tradnl"/>
              </w:rPr>
              <w:t>420201</w:t>
            </w:r>
            <w:r w:rsidR="00C34174" w:rsidRPr="009C6B45">
              <w:rPr>
                <w:rFonts w:ascii="Arial" w:eastAsia="Calibri" w:hAnsi="Arial" w:cs="Arial"/>
                <w:color w:val="000000" w:themeColor="text1"/>
                <w:sz w:val="22"/>
                <w:lang w:val="es-ES_tradnl"/>
              </w:rPr>
              <w:t>3000005764</w:t>
            </w:r>
          </w:p>
        </w:tc>
      </w:tr>
    </w:tbl>
    <w:p w14:paraId="7DD2DBE3" w14:textId="77777777" w:rsidR="00B414DE" w:rsidRPr="009C6B45" w:rsidRDefault="00B414DE" w:rsidP="00450B8D">
      <w:pPr>
        <w:jc w:val="both"/>
        <w:rPr>
          <w:rFonts w:ascii="Arial" w:eastAsia="Calibri" w:hAnsi="Arial" w:cs="Arial"/>
          <w:bCs/>
          <w:color w:val="000000" w:themeColor="text1"/>
          <w:sz w:val="21"/>
          <w:szCs w:val="21"/>
          <w:lang w:val="es-ES_tradnl"/>
        </w:rPr>
      </w:pPr>
    </w:p>
    <w:p w14:paraId="1D4A929F" w14:textId="77777777" w:rsidR="00B414DE" w:rsidRPr="009C6B45" w:rsidRDefault="00B414DE" w:rsidP="00450B8D">
      <w:pPr>
        <w:rPr>
          <w:rFonts w:ascii="Arial" w:eastAsia="Calibri" w:hAnsi="Arial" w:cs="Arial"/>
          <w:color w:val="000000" w:themeColor="text1"/>
          <w:sz w:val="22"/>
          <w:lang w:val="es-ES_tradnl"/>
        </w:rPr>
      </w:pPr>
    </w:p>
    <w:p w14:paraId="50E79AAD" w14:textId="5809A30F" w:rsidR="00B414DE" w:rsidRPr="009C6B45" w:rsidRDefault="005F6F8C" w:rsidP="00450B8D">
      <w:pPr>
        <w:rPr>
          <w:rFonts w:ascii="Arial" w:eastAsia="Calibri" w:hAnsi="Arial" w:cs="Arial"/>
          <w:color w:val="000000" w:themeColor="text1"/>
          <w:sz w:val="22"/>
          <w:lang w:val="es-ES_tradnl"/>
        </w:rPr>
      </w:pPr>
      <w:r w:rsidRPr="009C6B45">
        <w:rPr>
          <w:rFonts w:ascii="Arial" w:eastAsia="Calibri" w:hAnsi="Arial" w:cs="Arial"/>
          <w:color w:val="000000" w:themeColor="text1"/>
          <w:sz w:val="22"/>
          <w:lang w:val="es-ES_tradnl"/>
        </w:rPr>
        <w:t>Estimado señora Bohórquez</w:t>
      </w:r>
      <w:r w:rsidR="00B414DE" w:rsidRPr="009C6B45">
        <w:rPr>
          <w:rFonts w:ascii="Arial" w:eastAsia="Calibri" w:hAnsi="Arial" w:cs="Arial"/>
          <w:color w:val="000000" w:themeColor="text1"/>
          <w:sz w:val="22"/>
          <w:lang w:val="es-ES_tradnl"/>
        </w:rPr>
        <w:t>:</w:t>
      </w:r>
    </w:p>
    <w:p w14:paraId="6025D289" w14:textId="77777777" w:rsidR="00B414DE" w:rsidRPr="009C6B45" w:rsidRDefault="00B414DE" w:rsidP="00450B8D">
      <w:pPr>
        <w:rPr>
          <w:rFonts w:ascii="Arial" w:eastAsia="Calibri" w:hAnsi="Arial" w:cs="Arial"/>
          <w:color w:val="000000" w:themeColor="text1"/>
          <w:sz w:val="22"/>
          <w:lang w:val="es-ES_tradnl"/>
        </w:rPr>
      </w:pPr>
    </w:p>
    <w:p w14:paraId="260ABCFE" w14:textId="347DAA3D" w:rsidR="00B414DE" w:rsidRPr="009C6B45" w:rsidRDefault="009A4639" w:rsidP="00450B8D">
      <w:pPr>
        <w:spacing w:line="276" w:lineRule="auto"/>
        <w:jc w:val="both"/>
        <w:rPr>
          <w:rFonts w:ascii="Arial" w:eastAsia="Calibri" w:hAnsi="Arial" w:cs="Arial"/>
          <w:color w:val="000000" w:themeColor="text1"/>
          <w:sz w:val="22"/>
          <w:lang w:val="es-ES_tradnl"/>
        </w:rPr>
      </w:pPr>
      <w:r w:rsidRPr="009C6B45">
        <w:rPr>
          <w:rFonts w:ascii="Arial" w:eastAsia="Calibri" w:hAnsi="Arial" w:cs="Arial"/>
          <w:color w:val="000000" w:themeColor="text1"/>
          <w:sz w:val="22"/>
          <w:lang w:val="es-ES_tradnl"/>
        </w:rPr>
        <w:t>La Agencia Nacional de Contratación Pública ― Colombia Compra Eficiente resp</w:t>
      </w:r>
      <w:r w:rsidR="00A72898" w:rsidRPr="009C6B45">
        <w:rPr>
          <w:rFonts w:ascii="Arial" w:eastAsia="Calibri" w:hAnsi="Arial" w:cs="Arial"/>
          <w:color w:val="000000" w:themeColor="text1"/>
          <w:sz w:val="22"/>
          <w:lang w:val="es-ES_tradnl"/>
        </w:rPr>
        <w:t>onde su consulta del 30 de junio</w:t>
      </w:r>
      <w:r w:rsidRPr="009C6B45">
        <w:rPr>
          <w:rFonts w:ascii="Arial" w:eastAsia="Calibri" w:hAnsi="Arial" w:cs="Arial"/>
          <w:color w:val="000000" w:themeColor="text1"/>
          <w:sz w:val="22"/>
          <w:lang w:val="es-ES_tradnl"/>
        </w:rPr>
        <w:t xml:space="preserve"> de 2020, e</w:t>
      </w:r>
      <w:r w:rsidR="00B414DE" w:rsidRPr="009C6B45">
        <w:rPr>
          <w:rFonts w:ascii="Arial" w:eastAsia="Calibri" w:hAnsi="Arial" w:cs="Arial"/>
          <w:color w:val="000000" w:themeColor="text1"/>
          <w:sz w:val="22"/>
          <w:lang w:val="es-ES_tradnl"/>
        </w:rPr>
        <w:t xml:space="preserve">n ejercicio de la competencia otorgada por los artículos 11, numeral 8º, y 3º, numeral 5º, del Decreto Ley 4170 de 2011. </w:t>
      </w:r>
    </w:p>
    <w:p w14:paraId="05013358" w14:textId="77777777" w:rsidR="00B414DE" w:rsidRPr="009C6B45" w:rsidRDefault="00B414DE" w:rsidP="00450B8D">
      <w:pPr>
        <w:spacing w:line="276" w:lineRule="auto"/>
        <w:jc w:val="both"/>
        <w:rPr>
          <w:rFonts w:ascii="Arial" w:eastAsia="Calibri" w:hAnsi="Arial" w:cs="Arial"/>
          <w:color w:val="000000" w:themeColor="text1"/>
          <w:sz w:val="22"/>
          <w:lang w:val="es-ES_tradnl"/>
        </w:rPr>
      </w:pPr>
    </w:p>
    <w:p w14:paraId="1A1B6CFF" w14:textId="77777777" w:rsidR="00B414DE" w:rsidRPr="009C6B45" w:rsidRDefault="00B414DE" w:rsidP="00B414DE">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_tradnl"/>
        </w:rPr>
      </w:pPr>
      <w:r w:rsidRPr="009C6B45">
        <w:rPr>
          <w:rFonts w:ascii="Arial" w:eastAsia="Calibri" w:hAnsi="Arial" w:cs="Arial"/>
          <w:b/>
          <w:color w:val="000000" w:themeColor="text1"/>
          <w:sz w:val="22"/>
          <w:lang w:val="es-ES_tradnl"/>
        </w:rPr>
        <w:t xml:space="preserve">Problemas planteados </w:t>
      </w:r>
    </w:p>
    <w:p w14:paraId="293124B1" w14:textId="77777777" w:rsidR="00B414DE" w:rsidRPr="009C6B45" w:rsidRDefault="00B414DE" w:rsidP="00450B8D">
      <w:pPr>
        <w:tabs>
          <w:tab w:val="left" w:pos="426"/>
        </w:tabs>
        <w:spacing w:line="276" w:lineRule="auto"/>
        <w:jc w:val="both"/>
        <w:rPr>
          <w:rFonts w:ascii="Arial" w:eastAsia="Calibri" w:hAnsi="Arial" w:cs="Arial"/>
          <w:b/>
          <w:color w:val="000000" w:themeColor="text1"/>
          <w:sz w:val="22"/>
          <w:lang w:val="es-ES_tradnl"/>
        </w:rPr>
      </w:pPr>
    </w:p>
    <w:p w14:paraId="47F806B8" w14:textId="1284044F" w:rsidR="00B414DE" w:rsidRPr="009C6B45" w:rsidRDefault="00B414DE" w:rsidP="00A72898">
      <w:pPr>
        <w:tabs>
          <w:tab w:val="left" w:pos="426"/>
        </w:tabs>
        <w:spacing w:before="120" w:line="276" w:lineRule="auto"/>
        <w:jc w:val="both"/>
        <w:rPr>
          <w:rFonts w:ascii="Arial" w:eastAsia="Calibri" w:hAnsi="Arial" w:cs="Arial"/>
          <w:color w:val="000000" w:themeColor="text1"/>
          <w:sz w:val="22"/>
          <w:lang w:val="es-ES_tradnl"/>
        </w:rPr>
      </w:pPr>
      <w:r w:rsidRPr="009C6B45">
        <w:rPr>
          <w:rFonts w:ascii="Arial" w:eastAsia="Calibri" w:hAnsi="Arial" w:cs="Arial"/>
          <w:color w:val="000000" w:themeColor="text1"/>
          <w:sz w:val="22"/>
          <w:lang w:val="es-ES_tradnl"/>
        </w:rPr>
        <w:t>Usted re</w:t>
      </w:r>
      <w:r w:rsidR="003979E0" w:rsidRPr="009C6B45">
        <w:rPr>
          <w:rFonts w:ascii="Arial" w:eastAsia="Calibri" w:hAnsi="Arial" w:cs="Arial"/>
          <w:color w:val="000000" w:themeColor="text1"/>
          <w:sz w:val="22"/>
          <w:lang w:val="es-ES_tradnl"/>
        </w:rPr>
        <w:t xml:space="preserve">aliza la siguiente pregunta: </w:t>
      </w:r>
      <w:r w:rsidR="00C844D3" w:rsidRPr="009C6B45">
        <w:rPr>
          <w:rFonts w:ascii="Arial" w:eastAsia="Calibri" w:hAnsi="Arial" w:cs="Arial"/>
          <w:color w:val="000000" w:themeColor="text1"/>
          <w:sz w:val="22"/>
          <w:lang w:val="es-ES_tradnl"/>
        </w:rPr>
        <w:t>«</w:t>
      </w:r>
      <w:r w:rsidR="003979E0" w:rsidRPr="009C6B45">
        <w:rPr>
          <w:rFonts w:ascii="Arial" w:eastAsia="Calibri" w:hAnsi="Arial" w:cs="Arial"/>
          <w:color w:val="000000" w:themeColor="text1"/>
          <w:sz w:val="22"/>
          <w:lang w:val="es-ES_tradnl"/>
        </w:rPr>
        <w:t>¿Cuál es el alcance interpretativo del artículo 2.2.1.2.3.1.12. del Decreto 1082 de 2015 teniendo en cuenta los tipos y momentos de liquidación del contrato estatal establecidos en el artículo 11 de la Ley 1150 de 2007?</w:t>
      </w:r>
      <w:r w:rsidR="00C844D3" w:rsidRPr="009C6B45">
        <w:rPr>
          <w:rFonts w:ascii="Arial" w:eastAsia="Calibri" w:hAnsi="Arial" w:cs="Arial"/>
          <w:color w:val="000000" w:themeColor="text1"/>
          <w:sz w:val="22"/>
          <w:lang w:val="es-ES_tradnl"/>
        </w:rPr>
        <w:t>»</w:t>
      </w:r>
      <w:r w:rsidRPr="009C6B45">
        <w:rPr>
          <w:rFonts w:ascii="Arial" w:eastAsia="Calibri" w:hAnsi="Arial" w:cs="Arial"/>
          <w:color w:val="000000" w:themeColor="text1"/>
          <w:sz w:val="22"/>
          <w:lang w:val="es-ES_tradnl"/>
        </w:rPr>
        <w:t xml:space="preserve"> </w:t>
      </w:r>
    </w:p>
    <w:p w14:paraId="1126AE51" w14:textId="77777777" w:rsidR="00B414DE" w:rsidRPr="009C6B45" w:rsidRDefault="00B414DE" w:rsidP="00450B8D">
      <w:pPr>
        <w:tabs>
          <w:tab w:val="left" w:pos="426"/>
        </w:tabs>
        <w:spacing w:line="276" w:lineRule="auto"/>
        <w:jc w:val="both"/>
        <w:rPr>
          <w:rFonts w:ascii="Arial" w:eastAsia="Calibri" w:hAnsi="Arial" w:cs="Arial"/>
          <w:color w:val="000000" w:themeColor="text1"/>
          <w:sz w:val="22"/>
          <w:lang w:val="es-ES_tradnl"/>
        </w:rPr>
      </w:pPr>
    </w:p>
    <w:p w14:paraId="13FA1B5E" w14:textId="06084105" w:rsidR="00B414DE" w:rsidRPr="009C6B45" w:rsidRDefault="00B414DE" w:rsidP="00B414DE">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_tradnl"/>
        </w:rPr>
      </w:pPr>
      <w:r w:rsidRPr="009C6B45">
        <w:rPr>
          <w:rFonts w:ascii="Arial" w:eastAsia="Calibri" w:hAnsi="Arial" w:cs="Arial"/>
          <w:b/>
          <w:color w:val="000000" w:themeColor="text1"/>
          <w:sz w:val="22"/>
          <w:lang w:val="es-ES_tradnl"/>
        </w:rPr>
        <w:t>Consideraciones</w:t>
      </w:r>
    </w:p>
    <w:p w14:paraId="05B317A4" w14:textId="590C170B" w:rsidR="00A72898" w:rsidRPr="009C6B45" w:rsidRDefault="00A72898" w:rsidP="00A72898">
      <w:pPr>
        <w:tabs>
          <w:tab w:val="left" w:pos="426"/>
        </w:tabs>
        <w:spacing w:line="276" w:lineRule="auto"/>
        <w:jc w:val="both"/>
        <w:rPr>
          <w:rFonts w:ascii="Arial" w:eastAsia="Calibri" w:hAnsi="Arial" w:cs="Arial"/>
          <w:b/>
          <w:color w:val="000000" w:themeColor="text1"/>
          <w:sz w:val="22"/>
          <w:lang w:val="es-ES_tradnl"/>
        </w:rPr>
      </w:pPr>
    </w:p>
    <w:p w14:paraId="3FDCEE52" w14:textId="383A3F34" w:rsidR="00A72898" w:rsidRPr="009C6B45" w:rsidRDefault="00A72898" w:rsidP="00C844D3">
      <w:pPr>
        <w:tabs>
          <w:tab w:val="left" w:pos="426"/>
        </w:tabs>
        <w:spacing w:line="276" w:lineRule="auto"/>
        <w:jc w:val="both"/>
        <w:rPr>
          <w:rFonts w:ascii="Arial" w:eastAsia="Calibri" w:hAnsi="Arial" w:cs="Arial"/>
          <w:color w:val="000000" w:themeColor="text1"/>
          <w:sz w:val="22"/>
          <w:lang w:val="es-ES_tradnl"/>
        </w:rPr>
      </w:pPr>
      <w:r w:rsidRPr="009C6B45">
        <w:rPr>
          <w:rFonts w:ascii="Arial" w:eastAsia="Calibri" w:hAnsi="Arial" w:cs="Arial"/>
          <w:color w:val="000000" w:themeColor="text1"/>
          <w:sz w:val="22"/>
          <w:lang w:val="es-ES_tradnl"/>
        </w:rPr>
        <w:t xml:space="preserve">Para </w:t>
      </w:r>
      <w:r w:rsidR="006665A8">
        <w:rPr>
          <w:rFonts w:ascii="Arial" w:eastAsia="Calibri" w:hAnsi="Arial" w:cs="Arial"/>
          <w:color w:val="000000" w:themeColor="text1"/>
          <w:sz w:val="22"/>
          <w:lang w:val="es-ES_tradnl"/>
        </w:rPr>
        <w:t>responder el</w:t>
      </w:r>
      <w:r w:rsidRPr="009C6B45">
        <w:rPr>
          <w:rFonts w:ascii="Arial" w:eastAsia="Calibri" w:hAnsi="Arial" w:cs="Arial"/>
          <w:color w:val="000000" w:themeColor="text1"/>
          <w:sz w:val="22"/>
          <w:lang w:val="es-ES_tradnl"/>
        </w:rPr>
        <w:t xml:space="preserve"> interrogante planteado en la consulta, se analizará el concepto de liquidación de los contratos estatales, la diferencia entre el acta de recibo final y el acta de liquidación y, finalmente, los aspectos más importantes sobre la garantía de cumplimiento del contrato. </w:t>
      </w:r>
      <w:r w:rsidR="00C844D3" w:rsidRPr="009C6B45">
        <w:rPr>
          <w:rFonts w:ascii="Arial" w:eastAsia="Calibri" w:hAnsi="Arial" w:cs="Arial"/>
          <w:color w:val="000000" w:themeColor="text1"/>
          <w:sz w:val="22"/>
          <w:lang w:val="es-ES_tradnl"/>
        </w:rPr>
        <w:t>La Agencia Nacional de Contratación Pública – Colombia Compra Eficiente – se pronunció sobre el tema de la liquidación en el concepto CU-028 de 25 de febrero de 2020</w:t>
      </w:r>
      <w:r w:rsidR="00086C81" w:rsidRPr="009C6B45">
        <w:rPr>
          <w:rFonts w:ascii="Arial" w:eastAsia="Calibri" w:hAnsi="Arial" w:cs="Arial"/>
          <w:color w:val="000000" w:themeColor="text1"/>
          <w:sz w:val="22"/>
          <w:lang w:val="es-ES_tradnl"/>
        </w:rPr>
        <w:t xml:space="preserve"> y C-221 de 21 de abril de 2020</w:t>
      </w:r>
      <w:r w:rsidR="00364375">
        <w:rPr>
          <w:rFonts w:ascii="Arial" w:eastAsia="Calibri" w:hAnsi="Arial" w:cs="Arial"/>
          <w:color w:val="000000" w:themeColor="text1"/>
          <w:sz w:val="22"/>
          <w:lang w:val="es-ES_tradnl"/>
        </w:rPr>
        <w:t>. L</w:t>
      </w:r>
      <w:r w:rsidR="00C844D3" w:rsidRPr="009C6B45">
        <w:rPr>
          <w:rFonts w:ascii="Arial" w:eastAsia="Calibri" w:hAnsi="Arial" w:cs="Arial"/>
          <w:color w:val="000000" w:themeColor="text1"/>
          <w:sz w:val="22"/>
          <w:lang w:val="es-ES_tradnl"/>
        </w:rPr>
        <w:t xml:space="preserve">a tesis desarrollada se expone a continuación.  </w:t>
      </w:r>
    </w:p>
    <w:p w14:paraId="3927A434" w14:textId="77777777" w:rsidR="00A72898" w:rsidRPr="009C6B45" w:rsidRDefault="00A72898" w:rsidP="00A72898">
      <w:pPr>
        <w:tabs>
          <w:tab w:val="left" w:pos="426"/>
        </w:tabs>
        <w:spacing w:line="276" w:lineRule="auto"/>
        <w:jc w:val="both"/>
        <w:rPr>
          <w:rFonts w:ascii="Arial" w:eastAsia="Calibri" w:hAnsi="Arial" w:cs="Arial"/>
          <w:b/>
          <w:color w:val="000000" w:themeColor="text1"/>
          <w:sz w:val="22"/>
          <w:lang w:val="es-ES_tradnl"/>
        </w:rPr>
      </w:pPr>
    </w:p>
    <w:p w14:paraId="1FC69EEF" w14:textId="5C65CB6A" w:rsidR="00C844D3" w:rsidRPr="009C6B45" w:rsidRDefault="003979E0" w:rsidP="003C2405">
      <w:pPr>
        <w:pStyle w:val="Sinespaciado"/>
        <w:spacing w:line="276" w:lineRule="auto"/>
        <w:jc w:val="both"/>
        <w:rPr>
          <w:rFonts w:ascii="Arial" w:hAnsi="Arial" w:cs="Arial"/>
          <w:b/>
          <w:color w:val="000000" w:themeColor="text1"/>
          <w:sz w:val="22"/>
          <w:lang w:val="es-ES_tradnl"/>
        </w:rPr>
      </w:pPr>
      <w:r w:rsidRPr="009C6B45">
        <w:rPr>
          <w:rFonts w:ascii="Arial" w:hAnsi="Arial" w:cs="Arial"/>
          <w:b/>
          <w:color w:val="000000" w:themeColor="text1"/>
          <w:sz w:val="22"/>
          <w:lang w:val="es-ES_tradnl"/>
        </w:rPr>
        <w:t>2.1. La liquidación del contrato estatal</w:t>
      </w:r>
    </w:p>
    <w:p w14:paraId="48398A08" w14:textId="77777777" w:rsidR="00086C81" w:rsidRPr="009C6B45" w:rsidRDefault="00086C81" w:rsidP="003C2405">
      <w:pPr>
        <w:pStyle w:val="Sinespaciado"/>
        <w:spacing w:line="276" w:lineRule="auto"/>
        <w:jc w:val="both"/>
        <w:rPr>
          <w:rFonts w:ascii="Arial" w:hAnsi="Arial" w:cs="Arial"/>
          <w:b/>
          <w:color w:val="000000" w:themeColor="text1"/>
          <w:sz w:val="22"/>
          <w:lang w:val="es-ES_tradnl"/>
        </w:rPr>
      </w:pPr>
    </w:p>
    <w:p w14:paraId="60318626" w14:textId="0E1475DB" w:rsidR="003C2405" w:rsidRPr="009C6B45" w:rsidRDefault="003C2405" w:rsidP="003C2405">
      <w:pPr>
        <w:pStyle w:val="Sinespaciado"/>
        <w:spacing w:after="120" w:line="276" w:lineRule="auto"/>
        <w:jc w:val="both"/>
        <w:rPr>
          <w:rFonts w:ascii="Arial" w:hAnsi="Arial" w:cs="Arial"/>
          <w:color w:val="000000" w:themeColor="text1"/>
          <w:sz w:val="22"/>
          <w:lang w:val="es-ES_tradnl"/>
        </w:rPr>
      </w:pPr>
      <w:r w:rsidRPr="009C6B45">
        <w:rPr>
          <w:rFonts w:ascii="Arial" w:hAnsi="Arial" w:cs="Arial"/>
          <w:color w:val="000000" w:themeColor="text1"/>
          <w:sz w:val="22"/>
          <w:lang w:val="es-ES_tradnl"/>
        </w:rPr>
        <w:lastRenderedPageBreak/>
        <w:t xml:space="preserve">La liquidación es el momento en el cual, una vez concluido el contrato estatal, las partes cruzan cuentas respecto de sus obligaciones. El objetivo de la liquidación es determinar si las partes pueden declararse a paz y salvo mutuo, o si existen obligaciones por cumplir, y con ocasión de aquella se puede acordar la forma en que deben ser cumplidas. </w:t>
      </w:r>
    </w:p>
    <w:p w14:paraId="21260784" w14:textId="647DBF5C" w:rsidR="003C2405" w:rsidRPr="009C6B45" w:rsidRDefault="003C2405" w:rsidP="001C5AB9">
      <w:pPr>
        <w:spacing w:before="120" w:line="276" w:lineRule="auto"/>
        <w:ind w:firstLine="708"/>
        <w:jc w:val="both"/>
        <w:rPr>
          <w:rFonts w:ascii="Arial" w:hAnsi="Arial" w:cs="Arial"/>
          <w:color w:val="000000" w:themeColor="text1"/>
          <w:sz w:val="21"/>
          <w:szCs w:val="21"/>
          <w:lang w:val="es-ES_tradnl"/>
        </w:rPr>
      </w:pPr>
      <w:r w:rsidRPr="009C6B45">
        <w:rPr>
          <w:rFonts w:ascii="Arial" w:hAnsi="Arial" w:cs="Arial"/>
          <w:color w:val="000000" w:themeColor="text1"/>
          <w:sz w:val="22"/>
          <w:lang w:val="es-ES_tradnl"/>
        </w:rPr>
        <w:t xml:space="preserve">La liquidación del contrato, según la jurisprudencia, 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9C6B45">
        <w:rPr>
          <w:rFonts w:ascii="Arial" w:hAnsi="Arial" w:cs="Arial"/>
          <w:i/>
          <w:iCs/>
          <w:color w:val="000000" w:themeColor="text1"/>
          <w:sz w:val="22"/>
          <w:lang w:val="es-ES_tradnl"/>
        </w:rPr>
        <w:t>liquidar</w:t>
      </w:r>
      <w:r w:rsidRPr="009C6B45">
        <w:rPr>
          <w:rFonts w:ascii="Arial" w:hAnsi="Arial" w:cs="Arial"/>
          <w:color w:val="000000" w:themeColor="text1"/>
          <w:sz w:val="22"/>
          <w:lang w:val="es-ES_tradnl"/>
        </w:rPr>
        <w:t xml:space="preserve"> supone un ajuste en relación con las cuentas y el estado de cumplimiento del contrato estatal y, por el otro, que la </w:t>
      </w:r>
      <w:r w:rsidRPr="009C6B45">
        <w:rPr>
          <w:rFonts w:ascii="Arial" w:hAnsi="Arial" w:cs="Arial"/>
          <w:i/>
          <w:iCs/>
          <w:color w:val="000000" w:themeColor="text1"/>
          <w:sz w:val="22"/>
          <w:lang w:val="es-ES_tradnl"/>
        </w:rPr>
        <w:t>liquidación</w:t>
      </w:r>
      <w:r w:rsidRPr="009C6B45">
        <w:rPr>
          <w:rFonts w:ascii="Arial" w:hAnsi="Arial" w:cs="Arial"/>
          <w:color w:val="000000" w:themeColor="text1"/>
          <w:sz w:val="22"/>
          <w:lang w:val="es-ES_tradnl"/>
        </w:rPr>
        <w:t xml:space="preserve"> debe incluir el análisis de las condiciones de calidad y oportunidad en la entrega de los bienes, obras o servicios, así como el balance económico y el comportamiento financiero del negocio</w:t>
      </w:r>
      <w:r w:rsidRPr="009C6B45">
        <w:rPr>
          <w:rStyle w:val="Refdenotaalpie"/>
          <w:rFonts w:ascii="Arial" w:hAnsi="Arial" w:cs="Arial"/>
          <w:color w:val="000000" w:themeColor="text1"/>
          <w:sz w:val="22"/>
          <w:lang w:val="es-ES_tradnl"/>
        </w:rPr>
        <w:footnoteReference w:id="1"/>
      </w:r>
      <w:r w:rsidRPr="009C6B45">
        <w:rPr>
          <w:rFonts w:ascii="Arial" w:hAnsi="Arial" w:cs="Arial"/>
          <w:color w:val="000000" w:themeColor="text1"/>
          <w:sz w:val="22"/>
          <w:lang w:val="es-ES_tradnl"/>
        </w:rPr>
        <w:t xml:space="preserve">. </w:t>
      </w:r>
    </w:p>
    <w:p w14:paraId="1D772183" w14:textId="4F830A6F" w:rsidR="003C2405" w:rsidRPr="009C6B45" w:rsidRDefault="003C2405" w:rsidP="003C2405">
      <w:pPr>
        <w:pStyle w:val="Sinespaciado"/>
        <w:spacing w:after="120" w:line="276" w:lineRule="auto"/>
        <w:ind w:firstLine="708"/>
        <w:jc w:val="both"/>
        <w:rPr>
          <w:rFonts w:ascii="Arial" w:hAnsi="Arial" w:cs="Arial"/>
          <w:color w:val="000000" w:themeColor="text1"/>
          <w:sz w:val="22"/>
          <w:lang w:val="es-ES_tradnl"/>
        </w:rPr>
      </w:pPr>
      <w:r w:rsidRPr="009C6B45">
        <w:rPr>
          <w:rFonts w:ascii="Arial" w:hAnsi="Arial" w:cs="Arial"/>
          <w:color w:val="000000" w:themeColor="text1"/>
          <w:sz w:val="22"/>
          <w:lang w:val="es-ES_tradnl"/>
        </w:rPr>
        <w:t xml:space="preserve">Las disposiciones legales que </w:t>
      </w:r>
      <w:r w:rsidR="00C42382">
        <w:rPr>
          <w:rFonts w:ascii="Arial" w:hAnsi="Arial" w:cs="Arial"/>
          <w:color w:val="000000" w:themeColor="text1"/>
          <w:sz w:val="22"/>
          <w:lang w:val="es-ES_tradnl"/>
        </w:rPr>
        <w:t>regulan</w:t>
      </w:r>
      <w:r w:rsidR="00C42382" w:rsidRPr="009C6B45">
        <w:rPr>
          <w:rFonts w:ascii="Arial" w:hAnsi="Arial" w:cs="Arial"/>
          <w:color w:val="000000" w:themeColor="text1"/>
          <w:sz w:val="22"/>
          <w:lang w:val="es-ES_tradnl"/>
        </w:rPr>
        <w:t xml:space="preserve"> </w:t>
      </w:r>
      <w:r w:rsidRPr="009C6B45">
        <w:rPr>
          <w:rFonts w:ascii="Arial" w:hAnsi="Arial" w:cs="Arial"/>
          <w:color w:val="000000" w:themeColor="text1"/>
          <w:sz w:val="22"/>
          <w:lang w:val="es-ES_tradnl"/>
        </w:rPr>
        <w:t>la etapa de liquidación de los contratos estatales son el artículo 60 de la Ley 80 de 1993, modificado por el artículo 217 del Decreto 019 de 2012, y el artículo 11 de la Ley 1150 de 2007. El primer</w:t>
      </w:r>
      <w:r w:rsidR="00C42382">
        <w:rPr>
          <w:rFonts w:ascii="Arial" w:hAnsi="Arial" w:cs="Arial"/>
          <w:color w:val="000000" w:themeColor="text1"/>
          <w:sz w:val="22"/>
          <w:lang w:val="es-ES_tradnl"/>
        </w:rPr>
        <w:t>o</w:t>
      </w:r>
      <w:r w:rsidRPr="009C6B45">
        <w:rPr>
          <w:rFonts w:ascii="Arial" w:hAnsi="Arial" w:cs="Arial"/>
          <w:color w:val="000000" w:themeColor="text1"/>
          <w:sz w:val="22"/>
          <w:lang w:val="es-ES_tradnl"/>
        </w:rPr>
        <w:t xml:space="preserve"> de estos artículos se refiere al alcance sustantivo de la liquidación, mientras que </w:t>
      </w:r>
      <w:r w:rsidR="00C42382">
        <w:rPr>
          <w:rFonts w:ascii="Arial" w:hAnsi="Arial" w:cs="Arial"/>
          <w:color w:val="000000" w:themeColor="text1"/>
          <w:sz w:val="22"/>
          <w:lang w:val="es-ES_tradnl"/>
        </w:rPr>
        <w:t>el</w:t>
      </w:r>
      <w:r w:rsidR="00C42382" w:rsidRPr="009C6B45">
        <w:rPr>
          <w:rFonts w:ascii="Arial" w:hAnsi="Arial" w:cs="Arial"/>
          <w:color w:val="000000" w:themeColor="text1"/>
          <w:sz w:val="22"/>
          <w:lang w:val="es-ES_tradnl"/>
        </w:rPr>
        <w:t xml:space="preserve"> </w:t>
      </w:r>
      <w:r w:rsidRPr="009C6B45">
        <w:rPr>
          <w:rFonts w:ascii="Arial" w:hAnsi="Arial" w:cs="Arial"/>
          <w:color w:val="000000" w:themeColor="text1"/>
          <w:sz w:val="22"/>
          <w:lang w:val="es-ES_tradnl"/>
        </w:rPr>
        <w:t>segund</w:t>
      </w:r>
      <w:r w:rsidR="00C42382">
        <w:rPr>
          <w:rFonts w:ascii="Arial" w:hAnsi="Arial" w:cs="Arial"/>
          <w:color w:val="000000" w:themeColor="text1"/>
          <w:sz w:val="22"/>
          <w:lang w:val="es-ES_tradnl"/>
        </w:rPr>
        <w:t>o</w:t>
      </w:r>
      <w:r w:rsidRPr="009C6B45">
        <w:rPr>
          <w:rFonts w:ascii="Arial" w:hAnsi="Arial" w:cs="Arial"/>
          <w:color w:val="000000" w:themeColor="text1"/>
          <w:sz w:val="22"/>
          <w:lang w:val="es-ES_tradnl"/>
        </w:rPr>
        <w:t xml:space="preserve"> contiene reglas procedimentales para su manejo. </w:t>
      </w:r>
    </w:p>
    <w:p w14:paraId="208FDC9A" w14:textId="503FD2BF" w:rsidR="0032186C" w:rsidRPr="009C6B45" w:rsidRDefault="003C2405" w:rsidP="0032186C">
      <w:pPr>
        <w:pStyle w:val="Sinespaciado"/>
        <w:spacing w:after="120" w:line="276" w:lineRule="auto"/>
        <w:ind w:firstLine="708"/>
        <w:jc w:val="both"/>
        <w:rPr>
          <w:rFonts w:ascii="Arial" w:hAnsi="Arial" w:cs="Arial"/>
          <w:color w:val="000000" w:themeColor="text1"/>
          <w:sz w:val="22"/>
          <w:lang w:val="es-ES_tradnl"/>
        </w:rPr>
      </w:pPr>
      <w:r w:rsidRPr="009C6B45">
        <w:rPr>
          <w:rFonts w:ascii="Arial" w:hAnsi="Arial" w:cs="Arial"/>
          <w:color w:val="000000" w:themeColor="text1"/>
          <w:sz w:val="22"/>
          <w:lang w:val="es-ES_tradnl"/>
        </w:rPr>
        <w:t>De acuerdo con el artículo 60 de la Ley 80 de 1993, los contratos de tracto sucesivo, aquellos cuyo cumplimiento o ejecución se prolongue en el tiempo y los demás que lo requieran «serán objeto de liquidación»</w:t>
      </w:r>
      <w:r w:rsidR="0032186C" w:rsidRPr="009C6B45">
        <w:rPr>
          <w:rFonts w:ascii="Arial" w:hAnsi="Arial" w:cs="Arial"/>
          <w:color w:val="000000" w:themeColor="text1"/>
          <w:sz w:val="22"/>
          <w:lang w:val="es-ES_tradnl"/>
        </w:rPr>
        <w:t>. El mismo artículo prescribe que no será obligatoria la liquidación en los contratos de prestación de servicios profesionales</w:t>
      </w:r>
      <w:r w:rsidR="00D82606">
        <w:rPr>
          <w:rFonts w:ascii="Arial" w:hAnsi="Arial" w:cs="Arial"/>
          <w:color w:val="000000" w:themeColor="text1"/>
          <w:sz w:val="22"/>
          <w:lang w:val="es-ES_tradnl"/>
        </w:rPr>
        <w:t xml:space="preserve"> y de apoyo a la gestión</w:t>
      </w:r>
      <w:r w:rsidR="0032186C" w:rsidRPr="009C6B45">
        <w:rPr>
          <w:rFonts w:ascii="Arial" w:hAnsi="Arial" w:cs="Arial"/>
          <w:color w:val="000000" w:themeColor="text1"/>
          <w:sz w:val="22"/>
          <w:lang w:val="es-ES_tradnl"/>
        </w:rPr>
        <w:t xml:space="preserve">. </w:t>
      </w:r>
    </w:p>
    <w:p w14:paraId="36AE80B8" w14:textId="4F7CD7BD" w:rsidR="003C2405" w:rsidRPr="009C6B45" w:rsidRDefault="0032186C" w:rsidP="0032186C">
      <w:pPr>
        <w:pStyle w:val="Sinespaciado"/>
        <w:spacing w:after="120" w:line="276" w:lineRule="auto"/>
        <w:ind w:firstLine="708"/>
        <w:jc w:val="both"/>
        <w:rPr>
          <w:rFonts w:ascii="Arial" w:hAnsi="Arial" w:cs="Arial"/>
          <w:color w:val="000000" w:themeColor="text1"/>
          <w:sz w:val="22"/>
          <w:lang w:val="es-ES_tradnl"/>
        </w:rPr>
      </w:pPr>
      <w:r w:rsidRPr="009C6B45">
        <w:rPr>
          <w:rFonts w:ascii="Arial" w:hAnsi="Arial" w:cs="Arial"/>
          <w:color w:val="000000" w:themeColor="text1"/>
          <w:sz w:val="22"/>
          <w:lang w:val="es-ES_tradnl"/>
        </w:rPr>
        <w:t xml:space="preserve">Adicionalmente, </w:t>
      </w:r>
      <w:r w:rsidR="00DC3EB9">
        <w:rPr>
          <w:rFonts w:ascii="Arial" w:hAnsi="Arial" w:cs="Arial"/>
          <w:color w:val="000000" w:themeColor="text1"/>
          <w:sz w:val="22"/>
          <w:lang w:val="es-ES_tradnl"/>
        </w:rPr>
        <w:t>en los contratos</w:t>
      </w:r>
      <w:r w:rsidRPr="009C6B45">
        <w:rPr>
          <w:rFonts w:ascii="Arial" w:hAnsi="Arial" w:cs="Arial"/>
          <w:color w:val="000000" w:themeColor="text1"/>
          <w:sz w:val="22"/>
          <w:lang w:val="es-ES_tradnl"/>
        </w:rPr>
        <w:t xml:space="preserve"> las entidades estatales deben definir </w:t>
      </w:r>
      <w:r w:rsidR="00DB79F5" w:rsidRPr="009C6B45">
        <w:rPr>
          <w:rFonts w:ascii="Arial" w:hAnsi="Arial" w:cs="Arial"/>
          <w:color w:val="000000" w:themeColor="text1"/>
          <w:sz w:val="22"/>
          <w:lang w:val="es-ES_tradnl"/>
        </w:rPr>
        <w:t>la oportunidad y forma de recibir el objeto contratado y, en</w:t>
      </w:r>
      <w:r w:rsidRPr="009C6B45">
        <w:rPr>
          <w:rFonts w:ascii="Arial" w:hAnsi="Arial" w:cs="Arial"/>
          <w:color w:val="000000" w:themeColor="text1"/>
          <w:sz w:val="22"/>
          <w:lang w:val="es-ES_tradnl"/>
        </w:rPr>
        <w:t xml:space="preserve"> cada caso</w:t>
      </w:r>
      <w:r w:rsidR="00F778CF">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si un contrato requiere o no de liquidación</w:t>
      </w:r>
      <w:r w:rsidR="00F778CF">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con arreglo a criterios tales como la naturaleza, objeto y plazo del contrato</w:t>
      </w:r>
      <w:r w:rsidRPr="009C6B45">
        <w:rPr>
          <w:rStyle w:val="Refdenotaalpie"/>
          <w:rFonts w:ascii="Arial" w:hAnsi="Arial" w:cs="Arial"/>
          <w:color w:val="000000" w:themeColor="text1"/>
          <w:sz w:val="22"/>
          <w:lang w:val="es-ES_tradnl"/>
        </w:rPr>
        <w:footnoteReference w:id="2"/>
      </w:r>
      <w:r w:rsidRPr="009C6B45">
        <w:rPr>
          <w:rFonts w:ascii="Arial" w:hAnsi="Arial" w:cs="Arial"/>
          <w:color w:val="000000" w:themeColor="text1"/>
          <w:sz w:val="22"/>
          <w:lang w:val="es-ES_tradnl"/>
        </w:rPr>
        <w:t xml:space="preserve">, así como la probabilidad de que puedan surgir diferencias durante la ejecución del contrato.  </w:t>
      </w:r>
    </w:p>
    <w:p w14:paraId="5C725330" w14:textId="5B0F691E" w:rsidR="00C34EB1" w:rsidRPr="009C6B45" w:rsidRDefault="00C34EB1" w:rsidP="0032186C">
      <w:pPr>
        <w:pStyle w:val="Sinespaciado"/>
        <w:spacing w:after="120" w:line="276" w:lineRule="auto"/>
        <w:ind w:firstLine="708"/>
        <w:jc w:val="both"/>
        <w:rPr>
          <w:rFonts w:ascii="Arial" w:hAnsi="Arial" w:cs="Arial"/>
          <w:color w:val="000000" w:themeColor="text1"/>
          <w:sz w:val="22"/>
          <w:lang w:val="es-ES_tradnl"/>
        </w:rPr>
      </w:pPr>
      <w:r w:rsidRPr="009C6B45">
        <w:rPr>
          <w:rFonts w:ascii="Arial" w:hAnsi="Arial" w:cs="Arial"/>
          <w:color w:val="000000" w:themeColor="text1"/>
          <w:sz w:val="22"/>
          <w:lang w:val="es-ES_tradnl"/>
        </w:rPr>
        <w:lastRenderedPageBreak/>
        <w:t>El artículo 11 de la Ley 1150 de 2007</w:t>
      </w:r>
      <w:r w:rsidR="00E81289" w:rsidRPr="009C6B45">
        <w:rPr>
          <w:rStyle w:val="Refdenotaalpie"/>
          <w:rFonts w:ascii="Arial" w:hAnsi="Arial" w:cs="Arial"/>
          <w:color w:val="000000" w:themeColor="text1"/>
          <w:sz w:val="22"/>
          <w:lang w:val="es-ES_tradnl"/>
        </w:rPr>
        <w:footnoteReference w:id="3"/>
      </w:r>
      <w:r w:rsidRPr="009C6B45">
        <w:rPr>
          <w:rFonts w:ascii="Arial" w:hAnsi="Arial" w:cs="Arial"/>
          <w:color w:val="000000" w:themeColor="text1"/>
          <w:sz w:val="22"/>
          <w:lang w:val="es-ES_tradnl"/>
        </w:rPr>
        <w:t xml:space="preserve"> contiene las reglas de tipo procedimental para liquidar los contratos estatales que se pasan a explicar. </w:t>
      </w:r>
    </w:p>
    <w:p w14:paraId="45D11518" w14:textId="1C363910" w:rsidR="00DB79F5" w:rsidRPr="009C6B45" w:rsidRDefault="00DB79F5" w:rsidP="003C2405">
      <w:pPr>
        <w:pStyle w:val="Sinespaciado"/>
        <w:spacing w:after="120" w:line="276" w:lineRule="auto"/>
        <w:ind w:firstLine="709"/>
        <w:jc w:val="both"/>
        <w:rPr>
          <w:rFonts w:ascii="Arial" w:hAnsi="Arial" w:cs="Arial"/>
          <w:color w:val="000000" w:themeColor="text1"/>
          <w:sz w:val="22"/>
          <w:lang w:val="es-ES_tradnl"/>
        </w:rPr>
      </w:pPr>
      <w:r w:rsidRPr="009C6B45">
        <w:rPr>
          <w:rFonts w:ascii="Arial" w:hAnsi="Arial" w:cs="Arial"/>
          <w:color w:val="000000" w:themeColor="text1"/>
          <w:sz w:val="22"/>
          <w:lang w:val="es-ES_tradnl"/>
        </w:rPr>
        <w:t>En</w:t>
      </w:r>
      <w:r w:rsidR="00C34EB1" w:rsidRPr="009C6B45">
        <w:rPr>
          <w:rFonts w:ascii="Arial" w:hAnsi="Arial" w:cs="Arial"/>
          <w:color w:val="000000" w:themeColor="text1"/>
          <w:sz w:val="22"/>
          <w:lang w:val="es-ES_tradnl"/>
        </w:rPr>
        <w:t xml:space="preserve"> primer lugar, en</w:t>
      </w:r>
      <w:r w:rsidRPr="009C6B45">
        <w:rPr>
          <w:rFonts w:ascii="Arial" w:hAnsi="Arial" w:cs="Arial"/>
          <w:color w:val="000000" w:themeColor="text1"/>
          <w:sz w:val="22"/>
          <w:lang w:val="es-ES_tradnl"/>
        </w:rPr>
        <w:t xml:space="preserve"> ejercicio de la autonomía de la voluntad y de conformidad con los criterios </w:t>
      </w:r>
      <w:r w:rsidR="00C34EB1" w:rsidRPr="009C6B45">
        <w:rPr>
          <w:rFonts w:ascii="Arial" w:hAnsi="Arial" w:cs="Arial"/>
          <w:color w:val="000000" w:themeColor="text1"/>
          <w:sz w:val="22"/>
          <w:lang w:val="es-ES_tradnl"/>
        </w:rPr>
        <w:t>de la naturaleza, objeto y plazo del contrato</w:t>
      </w:r>
      <w:r w:rsidRPr="009C6B45">
        <w:rPr>
          <w:rFonts w:ascii="Arial" w:hAnsi="Arial" w:cs="Arial"/>
          <w:color w:val="000000" w:themeColor="text1"/>
          <w:sz w:val="22"/>
          <w:lang w:val="es-ES_tradnl"/>
        </w:rPr>
        <w:t>, la entidad puede definir en el pliego de condiciones</w:t>
      </w:r>
      <w:r w:rsidR="00826E56">
        <w:rPr>
          <w:rFonts w:ascii="Arial" w:hAnsi="Arial" w:cs="Arial"/>
          <w:color w:val="000000" w:themeColor="text1"/>
          <w:sz w:val="22"/>
          <w:lang w:val="es-ES_tradnl"/>
        </w:rPr>
        <w:t xml:space="preserve"> o en el contrato</w:t>
      </w:r>
      <w:r w:rsidRPr="009C6B45">
        <w:rPr>
          <w:rFonts w:ascii="Arial" w:hAnsi="Arial" w:cs="Arial"/>
          <w:color w:val="000000" w:themeColor="text1"/>
          <w:sz w:val="22"/>
          <w:lang w:val="es-ES_tradnl"/>
        </w:rPr>
        <w:t xml:space="preserve"> el plazo para efectuar la liquidación de mutuo acuerdo. En ausencia de pacto contractual, el artículo 11 de la Ley 1150 de 2007 </w:t>
      </w:r>
      <w:r w:rsidR="0021359A" w:rsidRPr="009C6B45">
        <w:rPr>
          <w:rFonts w:ascii="Arial" w:hAnsi="Arial" w:cs="Arial"/>
          <w:color w:val="000000" w:themeColor="text1"/>
          <w:sz w:val="22"/>
          <w:lang w:val="es-ES_tradnl"/>
        </w:rPr>
        <w:t>prevé</w:t>
      </w:r>
      <w:r w:rsidRPr="009C6B45">
        <w:rPr>
          <w:rFonts w:ascii="Arial" w:hAnsi="Arial" w:cs="Arial"/>
          <w:color w:val="000000" w:themeColor="text1"/>
          <w:sz w:val="22"/>
          <w:lang w:val="es-ES_tradnl"/>
        </w:rPr>
        <w:t xml:space="preserve"> un término supletivo de 4 meses </w:t>
      </w:r>
      <w:r w:rsidR="005A083E" w:rsidRPr="009C6B45">
        <w:rPr>
          <w:rFonts w:ascii="Arial" w:hAnsi="Arial" w:cs="Arial"/>
          <w:color w:val="000000" w:themeColor="text1"/>
          <w:sz w:val="22"/>
          <w:lang w:val="es-ES_tradnl"/>
        </w:rPr>
        <w:t>contados desde</w:t>
      </w:r>
      <w:r w:rsidR="00826E56">
        <w:rPr>
          <w:rFonts w:ascii="Arial" w:hAnsi="Arial" w:cs="Arial"/>
          <w:color w:val="000000" w:themeColor="text1"/>
          <w:sz w:val="22"/>
          <w:lang w:val="es-ES_tradnl"/>
        </w:rPr>
        <w:t>:</w:t>
      </w:r>
      <w:r w:rsidR="005A083E" w:rsidRPr="009C6B45">
        <w:rPr>
          <w:rFonts w:ascii="Arial" w:hAnsi="Arial" w:cs="Arial"/>
          <w:color w:val="000000" w:themeColor="text1"/>
          <w:sz w:val="22"/>
          <w:lang w:val="es-ES_tradnl"/>
        </w:rPr>
        <w:t xml:space="preserve"> (i) el vencimiento del plazo previsto para la ejecución del contrato, (ii) la expedición del acto administrativo que ordene la terminación del contrato o (iii) la fecha del acuerdo que disponga la terminación del contrato.</w:t>
      </w:r>
    </w:p>
    <w:p w14:paraId="2C534D71" w14:textId="5F990874" w:rsidR="00F554CD" w:rsidRPr="009C6B45" w:rsidRDefault="005A083E" w:rsidP="00F554CD">
      <w:pPr>
        <w:pStyle w:val="Sinespaciado"/>
        <w:spacing w:after="120" w:line="276" w:lineRule="auto"/>
        <w:ind w:firstLine="709"/>
        <w:jc w:val="both"/>
        <w:rPr>
          <w:rFonts w:ascii="Arial" w:hAnsi="Arial" w:cs="Arial"/>
          <w:color w:val="000000" w:themeColor="text1"/>
          <w:sz w:val="22"/>
          <w:lang w:val="es-ES_tradnl"/>
        </w:rPr>
      </w:pPr>
      <w:r w:rsidRPr="009C6B45">
        <w:rPr>
          <w:rFonts w:ascii="Arial" w:hAnsi="Arial" w:cs="Arial"/>
          <w:color w:val="000000" w:themeColor="text1"/>
          <w:sz w:val="22"/>
          <w:lang w:val="es-ES_tradnl"/>
        </w:rPr>
        <w:t>Durante este término</w:t>
      </w:r>
      <w:r w:rsidR="00086C81" w:rsidRPr="009C6B45">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w:t>
      </w:r>
      <w:r w:rsidR="003C2405" w:rsidRPr="009C6B45">
        <w:rPr>
          <w:rFonts w:ascii="Arial" w:hAnsi="Arial" w:cs="Arial"/>
          <w:color w:val="000000" w:themeColor="text1"/>
          <w:sz w:val="22"/>
          <w:lang w:val="es-ES_tradnl"/>
        </w:rPr>
        <w:t>el contratista puede solicitar que se adelante el trámite</w:t>
      </w:r>
      <w:r w:rsidRPr="009C6B45">
        <w:rPr>
          <w:rFonts w:ascii="Arial" w:hAnsi="Arial" w:cs="Arial"/>
          <w:color w:val="000000" w:themeColor="text1"/>
          <w:sz w:val="22"/>
          <w:lang w:val="es-ES_tradnl"/>
        </w:rPr>
        <w:t xml:space="preserve"> de liquidación</w:t>
      </w:r>
      <w:r w:rsidR="0021359A" w:rsidRPr="009C6B45">
        <w:rPr>
          <w:rFonts w:ascii="Arial" w:hAnsi="Arial" w:cs="Arial"/>
          <w:color w:val="000000" w:themeColor="text1"/>
          <w:sz w:val="22"/>
          <w:lang w:val="es-ES_tradnl"/>
        </w:rPr>
        <w:t>. Sin embargo,</w:t>
      </w:r>
      <w:r w:rsidR="003C2405" w:rsidRPr="009C6B45">
        <w:rPr>
          <w:rFonts w:ascii="Arial" w:hAnsi="Arial" w:cs="Arial"/>
          <w:color w:val="000000" w:themeColor="text1"/>
          <w:sz w:val="22"/>
          <w:lang w:val="es-ES_tradnl"/>
        </w:rPr>
        <w:t xml:space="preserve"> es responsabilidad de la </w:t>
      </w:r>
      <w:r w:rsidR="00E778A1">
        <w:rPr>
          <w:rFonts w:ascii="Arial" w:hAnsi="Arial" w:cs="Arial"/>
          <w:color w:val="000000" w:themeColor="text1"/>
          <w:sz w:val="22"/>
          <w:lang w:val="es-ES_tradnl"/>
        </w:rPr>
        <w:t>e</w:t>
      </w:r>
      <w:r w:rsidR="003C2405" w:rsidRPr="009C6B45">
        <w:rPr>
          <w:rFonts w:ascii="Arial" w:hAnsi="Arial" w:cs="Arial"/>
          <w:color w:val="000000" w:themeColor="text1"/>
          <w:sz w:val="22"/>
          <w:lang w:val="es-ES_tradnl"/>
        </w:rPr>
        <w:t xml:space="preserve">ntidad </w:t>
      </w:r>
      <w:r w:rsidR="00E778A1">
        <w:rPr>
          <w:rFonts w:ascii="Arial" w:hAnsi="Arial" w:cs="Arial"/>
          <w:color w:val="000000" w:themeColor="text1"/>
          <w:sz w:val="22"/>
          <w:lang w:val="es-ES_tradnl"/>
        </w:rPr>
        <w:t>e</w:t>
      </w:r>
      <w:r w:rsidR="003C2405" w:rsidRPr="009C6B45">
        <w:rPr>
          <w:rFonts w:ascii="Arial" w:hAnsi="Arial" w:cs="Arial"/>
          <w:color w:val="000000" w:themeColor="text1"/>
          <w:sz w:val="22"/>
          <w:lang w:val="es-ES_tradnl"/>
        </w:rPr>
        <w:t>statal convocarlo para adelantar la liquidación de común acuerdo o notificarlo para que se presente a la liquidación</w:t>
      </w:r>
      <w:r w:rsidRPr="009C6B45">
        <w:rPr>
          <w:rStyle w:val="Refdenotaalpie"/>
          <w:rFonts w:ascii="Arial" w:hAnsi="Arial" w:cs="Arial"/>
          <w:color w:val="000000" w:themeColor="text1"/>
          <w:sz w:val="22"/>
          <w:lang w:val="es-ES_tradnl"/>
        </w:rPr>
        <w:footnoteReference w:id="4"/>
      </w:r>
      <w:r w:rsidR="003C2405" w:rsidRPr="009C6B45">
        <w:rPr>
          <w:rFonts w:ascii="Arial" w:hAnsi="Arial" w:cs="Arial"/>
          <w:color w:val="000000" w:themeColor="text1"/>
          <w:sz w:val="22"/>
          <w:lang w:val="es-ES_tradnl"/>
        </w:rPr>
        <w:t>, de manera que el contrato pueda ser liquidado</w:t>
      </w:r>
      <w:r w:rsidR="0021359A" w:rsidRPr="009C6B45">
        <w:rPr>
          <w:rFonts w:ascii="Arial" w:hAnsi="Arial" w:cs="Arial"/>
          <w:color w:val="000000" w:themeColor="text1"/>
          <w:sz w:val="22"/>
          <w:lang w:val="es-ES_tradnl"/>
        </w:rPr>
        <w:t xml:space="preserve"> bilateralmente, bien sea</w:t>
      </w:r>
      <w:r w:rsidR="003C2405" w:rsidRPr="009C6B45">
        <w:rPr>
          <w:rFonts w:ascii="Arial" w:hAnsi="Arial" w:cs="Arial"/>
          <w:color w:val="000000" w:themeColor="text1"/>
          <w:sz w:val="22"/>
          <w:lang w:val="es-ES_tradnl"/>
        </w:rPr>
        <w:t xml:space="preserve"> en el plazo previsto en el pliego de condiciones, el acordado por las partes, o los cuatro meses señalados en la Ley</w:t>
      </w:r>
      <w:r w:rsidR="0021359A" w:rsidRPr="009C6B45">
        <w:rPr>
          <w:rFonts w:ascii="Arial" w:hAnsi="Arial" w:cs="Arial"/>
          <w:color w:val="000000" w:themeColor="text1"/>
          <w:sz w:val="22"/>
          <w:lang w:val="es-ES_tradnl"/>
        </w:rPr>
        <w:t>,</w:t>
      </w:r>
      <w:r w:rsidR="003C2405" w:rsidRPr="009C6B45">
        <w:rPr>
          <w:rFonts w:ascii="Arial" w:hAnsi="Arial" w:cs="Arial"/>
          <w:color w:val="000000" w:themeColor="text1"/>
          <w:sz w:val="22"/>
          <w:lang w:val="es-ES_tradnl"/>
        </w:rPr>
        <w:t xml:space="preserve"> según corresponda. </w:t>
      </w:r>
      <w:r w:rsidR="00EA42DD" w:rsidRPr="009C6B45">
        <w:rPr>
          <w:rFonts w:ascii="Arial" w:hAnsi="Arial" w:cs="Arial"/>
          <w:color w:val="000000" w:themeColor="text1"/>
          <w:sz w:val="22"/>
          <w:lang w:val="es-ES_tradnl"/>
        </w:rPr>
        <w:t>Esta liquidación bilateral puede ser total o parcial</w:t>
      </w:r>
      <w:r w:rsidR="00EA42DD" w:rsidRPr="009C6B45">
        <w:rPr>
          <w:rStyle w:val="Refdenotaalpie"/>
          <w:rFonts w:ascii="Arial" w:hAnsi="Arial" w:cs="Arial"/>
          <w:iCs/>
          <w:color w:val="000000" w:themeColor="text1"/>
          <w:sz w:val="22"/>
          <w:lang w:val="es-ES_tradnl"/>
        </w:rPr>
        <w:footnoteReference w:id="5"/>
      </w:r>
      <w:r w:rsidR="00EA42DD" w:rsidRPr="009C6B45">
        <w:rPr>
          <w:rFonts w:ascii="Arial" w:hAnsi="Arial" w:cs="Arial"/>
          <w:color w:val="000000" w:themeColor="text1"/>
          <w:sz w:val="22"/>
          <w:lang w:val="es-ES_tradnl"/>
        </w:rPr>
        <w:t xml:space="preserve">, y </w:t>
      </w:r>
      <w:r w:rsidR="00EA42DD" w:rsidRPr="009C6B45">
        <w:rPr>
          <w:rFonts w:ascii="Arial" w:hAnsi="Arial" w:cs="Arial"/>
          <w:iCs/>
          <w:color w:val="000000" w:themeColor="text1"/>
          <w:sz w:val="22"/>
          <w:lang w:val="es-ES_tradnl"/>
        </w:rPr>
        <w:t>el documento que la contiene presta mérito ejecutivo</w:t>
      </w:r>
      <w:r w:rsidR="009C6B45">
        <w:rPr>
          <w:rFonts w:ascii="Arial" w:hAnsi="Arial" w:cs="Arial"/>
          <w:iCs/>
          <w:color w:val="000000" w:themeColor="text1"/>
          <w:sz w:val="22"/>
          <w:lang w:val="es-ES_tradnl"/>
        </w:rPr>
        <w:t>, siempre que se satisfagan los elementos para considerarlo como tal</w:t>
      </w:r>
      <w:r w:rsidR="00EA42DD" w:rsidRPr="009C6B45">
        <w:rPr>
          <w:rFonts w:ascii="Arial" w:hAnsi="Arial" w:cs="Arial"/>
          <w:color w:val="000000" w:themeColor="text1"/>
          <w:sz w:val="22"/>
          <w:lang w:val="es-ES_tradnl"/>
        </w:rPr>
        <w:t>.</w:t>
      </w:r>
    </w:p>
    <w:p w14:paraId="28B06806" w14:textId="7D8D0AA6" w:rsidR="00F554CD" w:rsidRPr="009C6B45" w:rsidRDefault="00F554CD" w:rsidP="00F554CD">
      <w:pPr>
        <w:pStyle w:val="Sinespaciado"/>
        <w:spacing w:line="276" w:lineRule="auto"/>
        <w:ind w:firstLine="709"/>
        <w:jc w:val="both"/>
        <w:rPr>
          <w:rFonts w:ascii="Arial" w:hAnsi="Arial" w:cs="Arial"/>
          <w:color w:val="000000" w:themeColor="text1"/>
          <w:sz w:val="22"/>
          <w:lang w:val="es-ES_tradnl"/>
        </w:rPr>
      </w:pPr>
      <w:r w:rsidRPr="009C6B45">
        <w:rPr>
          <w:rFonts w:ascii="Arial" w:hAnsi="Arial" w:cs="Arial"/>
          <w:color w:val="000000" w:themeColor="text1"/>
          <w:sz w:val="22"/>
          <w:lang w:val="es-ES_tradnl"/>
        </w:rPr>
        <w:lastRenderedPageBreak/>
        <w:t xml:space="preserve">Si no es posible efectuar la liquidación de manera bilateral, el ordenamiento jurídico prevé una habilitación competencial, de carácter subsidiario, para que la entidad estatal realice la liquidación </w:t>
      </w:r>
      <w:r w:rsidR="00EA42DD" w:rsidRPr="009C6B45">
        <w:rPr>
          <w:rFonts w:ascii="Arial" w:hAnsi="Arial" w:cs="Arial"/>
          <w:color w:val="000000" w:themeColor="text1"/>
          <w:sz w:val="22"/>
          <w:lang w:val="es-ES_tradnl"/>
        </w:rPr>
        <w:t>unilateralmente</w:t>
      </w:r>
      <w:r w:rsidRPr="009C6B45">
        <w:rPr>
          <w:rFonts w:ascii="Arial" w:hAnsi="Arial" w:cs="Arial"/>
          <w:color w:val="000000" w:themeColor="text1"/>
          <w:sz w:val="22"/>
          <w:lang w:val="es-ES_tradnl"/>
        </w:rPr>
        <w:t>. Sobre el punto</w:t>
      </w:r>
      <w:r w:rsidR="00EA42DD" w:rsidRPr="009C6B45">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el Consejo de Estado ha señalado:</w:t>
      </w:r>
    </w:p>
    <w:p w14:paraId="260EE891" w14:textId="77777777" w:rsidR="00F554CD" w:rsidRPr="009C6B45" w:rsidRDefault="00F554CD" w:rsidP="00F554CD">
      <w:pPr>
        <w:pStyle w:val="Sinespaciado"/>
        <w:ind w:left="709" w:right="760"/>
        <w:jc w:val="both"/>
        <w:rPr>
          <w:rFonts w:ascii="Arial" w:hAnsi="Arial" w:cs="Arial"/>
          <w:color w:val="000000" w:themeColor="text1"/>
          <w:sz w:val="21"/>
          <w:szCs w:val="21"/>
          <w:lang w:val="es-ES_tradnl"/>
        </w:rPr>
      </w:pPr>
    </w:p>
    <w:p w14:paraId="65A7197C" w14:textId="74C0CC04" w:rsidR="00F554CD" w:rsidRPr="009C6B45" w:rsidRDefault="00F554CD" w:rsidP="00F554CD">
      <w:pPr>
        <w:pStyle w:val="Sinespaciado"/>
        <w:ind w:left="709" w:right="760"/>
        <w:jc w:val="both"/>
        <w:rPr>
          <w:rFonts w:ascii="Arial" w:hAnsi="Arial" w:cs="Arial"/>
          <w:color w:val="000000" w:themeColor="text1"/>
          <w:sz w:val="21"/>
          <w:szCs w:val="21"/>
          <w:lang w:val="es-ES_tradnl"/>
        </w:rPr>
      </w:pPr>
      <w:r w:rsidRPr="009C6B45">
        <w:rPr>
          <w:rFonts w:ascii="Arial" w:hAnsi="Arial" w:cs="Arial"/>
          <w:color w:val="000000" w:themeColor="text1"/>
          <w:sz w:val="21"/>
          <w:szCs w:val="21"/>
          <w:lang w:val="es-ES_tradnl"/>
        </w:rPr>
        <w:t>Al respecto 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w:t>
      </w:r>
      <w:r w:rsidRPr="009C6B45">
        <w:rPr>
          <w:rStyle w:val="Refdenotaalpie"/>
          <w:rFonts w:ascii="Arial" w:hAnsi="Arial" w:cs="Arial"/>
          <w:color w:val="000000" w:themeColor="text1"/>
          <w:sz w:val="21"/>
          <w:szCs w:val="21"/>
          <w:lang w:val="es-ES_tradnl"/>
        </w:rPr>
        <w:footnoteReference w:id="6"/>
      </w:r>
      <w:r w:rsidRPr="009C6B45">
        <w:rPr>
          <w:rFonts w:ascii="Arial" w:hAnsi="Arial" w:cs="Arial"/>
          <w:color w:val="000000" w:themeColor="text1"/>
          <w:sz w:val="21"/>
          <w:szCs w:val="21"/>
          <w:lang w:val="es-ES_tradnl"/>
        </w:rPr>
        <w:t xml:space="preserve">. </w:t>
      </w:r>
    </w:p>
    <w:p w14:paraId="14CC45CE" w14:textId="77777777" w:rsidR="00F554CD" w:rsidRPr="009C6B45" w:rsidRDefault="00F554CD" w:rsidP="00F554CD">
      <w:pPr>
        <w:pStyle w:val="Sinespaciado"/>
        <w:ind w:left="709" w:right="760"/>
        <w:jc w:val="both"/>
        <w:rPr>
          <w:rFonts w:ascii="Arial" w:hAnsi="Arial" w:cs="Arial"/>
          <w:color w:val="000000" w:themeColor="text1"/>
          <w:sz w:val="21"/>
          <w:szCs w:val="21"/>
          <w:lang w:val="es-ES_tradnl"/>
        </w:rPr>
      </w:pPr>
    </w:p>
    <w:p w14:paraId="6BD6DD1C" w14:textId="2DA51E91" w:rsidR="00C34EB1" w:rsidRPr="009C6B45" w:rsidRDefault="0021359A" w:rsidP="00EA42DD">
      <w:pPr>
        <w:pStyle w:val="Sinespaciado"/>
        <w:spacing w:after="120" w:line="276" w:lineRule="auto"/>
        <w:ind w:firstLine="708"/>
        <w:jc w:val="both"/>
        <w:rPr>
          <w:rFonts w:ascii="Arial" w:hAnsi="Arial" w:cs="Arial"/>
          <w:color w:val="000000" w:themeColor="text1"/>
          <w:sz w:val="22"/>
          <w:lang w:val="es-ES_tradnl"/>
        </w:rPr>
      </w:pPr>
      <w:r w:rsidRPr="009C6B45">
        <w:rPr>
          <w:rFonts w:ascii="Arial" w:hAnsi="Arial" w:cs="Arial"/>
          <w:color w:val="000000" w:themeColor="text1"/>
          <w:sz w:val="22"/>
          <w:lang w:val="es-ES_tradnl"/>
        </w:rPr>
        <w:t>Si no se logra la liquidación bilateral del contrato, l</w:t>
      </w:r>
      <w:r w:rsidR="00C34EB1" w:rsidRPr="009C6B45">
        <w:rPr>
          <w:rFonts w:ascii="Arial" w:hAnsi="Arial" w:cs="Arial"/>
          <w:color w:val="000000" w:themeColor="text1"/>
          <w:sz w:val="22"/>
          <w:lang w:val="es-ES_tradnl"/>
        </w:rPr>
        <w:t xml:space="preserve">a </w:t>
      </w:r>
      <w:r w:rsidR="0042238D">
        <w:rPr>
          <w:rFonts w:ascii="Arial" w:hAnsi="Arial" w:cs="Arial"/>
          <w:color w:val="000000" w:themeColor="text1"/>
          <w:sz w:val="22"/>
          <w:lang w:val="es-ES_tradnl"/>
        </w:rPr>
        <w:t>e</w:t>
      </w:r>
      <w:r w:rsidR="00C34EB1" w:rsidRPr="009C6B45">
        <w:rPr>
          <w:rFonts w:ascii="Arial" w:hAnsi="Arial" w:cs="Arial"/>
          <w:color w:val="000000" w:themeColor="text1"/>
          <w:sz w:val="22"/>
          <w:lang w:val="es-ES_tradnl"/>
        </w:rPr>
        <w:t xml:space="preserve">ntidad </w:t>
      </w:r>
      <w:r w:rsidR="0042238D">
        <w:rPr>
          <w:rFonts w:ascii="Arial" w:hAnsi="Arial" w:cs="Arial"/>
          <w:color w:val="000000" w:themeColor="text1"/>
          <w:sz w:val="22"/>
          <w:lang w:val="es-ES_tradnl"/>
        </w:rPr>
        <w:t>e</w:t>
      </w:r>
      <w:r w:rsidR="00C34EB1" w:rsidRPr="009C6B45">
        <w:rPr>
          <w:rFonts w:ascii="Arial" w:hAnsi="Arial" w:cs="Arial"/>
          <w:color w:val="000000" w:themeColor="text1"/>
          <w:sz w:val="22"/>
          <w:lang w:val="es-ES_tradnl"/>
        </w:rPr>
        <w:t xml:space="preserve">statal tiene </w:t>
      </w:r>
      <w:r w:rsidRPr="009C6B45">
        <w:rPr>
          <w:rFonts w:ascii="Arial" w:hAnsi="Arial" w:cs="Arial"/>
          <w:color w:val="000000" w:themeColor="text1"/>
          <w:sz w:val="22"/>
          <w:lang w:val="es-ES_tradnl"/>
        </w:rPr>
        <w:t>la</w:t>
      </w:r>
      <w:r w:rsidR="00C34EB1" w:rsidRPr="009C6B45">
        <w:rPr>
          <w:rFonts w:ascii="Arial" w:hAnsi="Arial" w:cs="Arial"/>
          <w:color w:val="000000" w:themeColor="text1"/>
          <w:sz w:val="22"/>
          <w:lang w:val="es-ES_tradnl"/>
        </w:rPr>
        <w:t xml:space="preserve"> facultad de liquidar unilateralmente el contrato durante el término de </w:t>
      </w:r>
      <w:r w:rsidR="00EA42DD" w:rsidRPr="009C6B45">
        <w:rPr>
          <w:rFonts w:ascii="Arial" w:hAnsi="Arial" w:cs="Arial"/>
          <w:color w:val="000000" w:themeColor="text1"/>
          <w:sz w:val="22"/>
          <w:lang w:val="es-ES_tradnl"/>
        </w:rPr>
        <w:t>2</w:t>
      </w:r>
      <w:r w:rsidR="00C34EB1" w:rsidRPr="009C6B45">
        <w:rPr>
          <w:rFonts w:ascii="Arial" w:hAnsi="Arial" w:cs="Arial"/>
          <w:color w:val="000000" w:themeColor="text1"/>
          <w:sz w:val="22"/>
          <w:lang w:val="es-ES_tradnl"/>
        </w:rPr>
        <w:t xml:space="preserve"> meses</w:t>
      </w:r>
      <w:r w:rsidR="00EA42DD" w:rsidRPr="009C6B45">
        <w:rPr>
          <w:rStyle w:val="Refdenotaalpie"/>
          <w:rFonts w:ascii="Arial" w:hAnsi="Arial" w:cs="Arial"/>
          <w:color w:val="000000" w:themeColor="text1"/>
          <w:sz w:val="22"/>
          <w:lang w:val="es-ES_tradnl"/>
        </w:rPr>
        <w:footnoteReference w:id="7"/>
      </w:r>
      <w:r w:rsidR="00C34EB1" w:rsidRPr="009C6B45">
        <w:rPr>
          <w:rFonts w:ascii="Arial" w:hAnsi="Arial" w:cs="Arial"/>
          <w:color w:val="000000" w:themeColor="text1"/>
          <w:sz w:val="22"/>
          <w:lang w:val="es-ES_tradnl"/>
        </w:rPr>
        <w:t xml:space="preserve"> contados a partir del vencimiento del plazo </w:t>
      </w:r>
      <w:r w:rsidRPr="009C6B45">
        <w:rPr>
          <w:rFonts w:ascii="Arial" w:hAnsi="Arial" w:cs="Arial"/>
          <w:color w:val="000000" w:themeColor="text1"/>
          <w:sz w:val="22"/>
          <w:lang w:val="es-ES_tradnl"/>
        </w:rPr>
        <w:t>que acuerden las partes para liquidar bilateralmente, o</w:t>
      </w:r>
      <w:r w:rsidR="00F709AB">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ante el </w:t>
      </w:r>
      <w:r w:rsidR="00F709AB" w:rsidRPr="00F709AB">
        <w:rPr>
          <w:rFonts w:ascii="Arial" w:hAnsi="Arial" w:cs="Arial"/>
          <w:color w:val="000000" w:themeColor="text1"/>
          <w:sz w:val="22"/>
          <w:lang w:val="es-ES_tradnl"/>
        </w:rPr>
        <w:t>silencio</w:t>
      </w:r>
      <w:r w:rsidRPr="009C6B45">
        <w:rPr>
          <w:rFonts w:ascii="Arial" w:hAnsi="Arial" w:cs="Arial"/>
          <w:color w:val="000000" w:themeColor="text1"/>
          <w:sz w:val="22"/>
          <w:lang w:val="es-ES_tradnl"/>
        </w:rPr>
        <w:t xml:space="preserve"> de estas</w:t>
      </w:r>
      <w:r w:rsidR="00086C81" w:rsidRPr="009C6B45">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de</w:t>
      </w:r>
      <w:r w:rsidR="00EA42DD" w:rsidRPr="009C6B45">
        <w:rPr>
          <w:rFonts w:ascii="Arial" w:hAnsi="Arial" w:cs="Arial"/>
          <w:color w:val="000000" w:themeColor="text1"/>
          <w:sz w:val="22"/>
          <w:lang w:val="es-ES_tradnl"/>
        </w:rPr>
        <w:t xml:space="preserve">l vencimiento de los 4 meses supletivos establecidos por la Ley. </w:t>
      </w:r>
    </w:p>
    <w:p w14:paraId="09F302B3" w14:textId="33A1D17E" w:rsidR="00E81289" w:rsidRPr="009C6B45" w:rsidRDefault="00EA42DD" w:rsidP="00086C81">
      <w:pPr>
        <w:pStyle w:val="Sinespaciado"/>
        <w:spacing w:line="276" w:lineRule="auto"/>
        <w:ind w:firstLine="709"/>
        <w:jc w:val="both"/>
        <w:rPr>
          <w:rFonts w:ascii="Arial" w:hAnsi="Arial" w:cs="Arial"/>
          <w:color w:val="000000" w:themeColor="text1"/>
          <w:sz w:val="22"/>
          <w:lang w:val="es-ES_tradnl"/>
        </w:rPr>
      </w:pPr>
      <w:r w:rsidRPr="009C6B45">
        <w:rPr>
          <w:rFonts w:ascii="Arial" w:hAnsi="Arial" w:cs="Arial"/>
          <w:color w:val="000000" w:themeColor="text1"/>
          <w:sz w:val="22"/>
          <w:lang w:val="es-ES_tradnl"/>
        </w:rPr>
        <w:t>Finalmente, transcurridos estos 2 meses</w:t>
      </w:r>
      <w:r w:rsidR="00E81289" w:rsidRPr="009C6B45">
        <w:rPr>
          <w:rFonts w:ascii="Arial" w:hAnsi="Arial" w:cs="Arial"/>
          <w:color w:val="000000" w:themeColor="text1"/>
          <w:sz w:val="22"/>
          <w:lang w:val="es-ES_tradnl"/>
        </w:rPr>
        <w:t xml:space="preserve">, la liquidación podrá ser realizada en cualquier tiempo dentro de los dos años siguientes al vencimiento del término referido. Durante estos dos años la liquidación podrá hacerse de mutuo acuerdo, unilateralmente por la entidad, o podrá ser solicitada </w:t>
      </w:r>
      <w:r w:rsidR="00F709AB" w:rsidRPr="00F709AB">
        <w:rPr>
          <w:rFonts w:ascii="Arial" w:hAnsi="Arial" w:cs="Arial"/>
          <w:color w:val="000000" w:themeColor="text1"/>
          <w:sz w:val="22"/>
          <w:lang w:val="es-ES_tradnl"/>
        </w:rPr>
        <w:t>judicialmente</w:t>
      </w:r>
      <w:r w:rsidR="00E81289" w:rsidRPr="009C6B45">
        <w:rPr>
          <w:rFonts w:ascii="Arial" w:hAnsi="Arial" w:cs="Arial"/>
          <w:color w:val="000000" w:themeColor="text1"/>
          <w:sz w:val="22"/>
          <w:lang w:val="es-ES_tradnl"/>
        </w:rPr>
        <w:t xml:space="preserve"> por el </w:t>
      </w:r>
      <w:r w:rsidR="00AF0733">
        <w:rPr>
          <w:rFonts w:ascii="Arial" w:hAnsi="Arial" w:cs="Arial"/>
          <w:color w:val="000000" w:themeColor="text1"/>
          <w:sz w:val="22"/>
          <w:lang w:val="es-ES_tradnl"/>
        </w:rPr>
        <w:t>interesado</w:t>
      </w:r>
      <w:r w:rsidR="00E81289" w:rsidRPr="009C6B45">
        <w:rPr>
          <w:rFonts w:ascii="Arial" w:hAnsi="Arial" w:cs="Arial"/>
          <w:color w:val="000000" w:themeColor="text1"/>
          <w:sz w:val="22"/>
          <w:lang w:val="es-ES_tradnl"/>
        </w:rPr>
        <w:t xml:space="preserve">. En este sentido, en decisión de Unificación el Consejo de Estado </w:t>
      </w:r>
      <w:r w:rsidR="00086C81" w:rsidRPr="009C6B45">
        <w:rPr>
          <w:rFonts w:ascii="Arial" w:hAnsi="Arial" w:cs="Arial"/>
          <w:color w:val="000000" w:themeColor="text1"/>
          <w:sz w:val="22"/>
          <w:lang w:val="es-ES_tradnl"/>
        </w:rPr>
        <w:t>dijo</w:t>
      </w:r>
      <w:r w:rsidR="00E81289" w:rsidRPr="009C6B45">
        <w:rPr>
          <w:rFonts w:ascii="Arial" w:hAnsi="Arial" w:cs="Arial"/>
          <w:color w:val="000000" w:themeColor="text1"/>
          <w:sz w:val="22"/>
          <w:lang w:val="es-ES_tradnl"/>
        </w:rPr>
        <w:t xml:space="preserve">: </w:t>
      </w:r>
    </w:p>
    <w:p w14:paraId="359D7257" w14:textId="77777777" w:rsidR="00086C81" w:rsidRPr="009C6B45" w:rsidRDefault="00086C81" w:rsidP="008677EC">
      <w:pPr>
        <w:pStyle w:val="Sinespaciado"/>
        <w:ind w:left="709" w:right="760"/>
        <w:jc w:val="both"/>
        <w:rPr>
          <w:rFonts w:ascii="Arial" w:hAnsi="Arial" w:cs="Arial"/>
          <w:color w:val="000000" w:themeColor="text1"/>
          <w:sz w:val="21"/>
          <w:szCs w:val="21"/>
          <w:lang w:val="es-ES_tradnl"/>
        </w:rPr>
      </w:pPr>
    </w:p>
    <w:p w14:paraId="5E9EFA7A" w14:textId="7438346A" w:rsidR="008677EC" w:rsidRPr="009C6B45" w:rsidRDefault="00E81289" w:rsidP="008677EC">
      <w:pPr>
        <w:pStyle w:val="Sinespaciado"/>
        <w:ind w:left="709" w:right="760"/>
        <w:jc w:val="both"/>
        <w:rPr>
          <w:rFonts w:ascii="Arial" w:hAnsi="Arial" w:cs="Arial"/>
          <w:color w:val="000000" w:themeColor="text1"/>
          <w:sz w:val="21"/>
          <w:szCs w:val="21"/>
          <w:lang w:val="es-ES_tradnl"/>
        </w:rPr>
      </w:pPr>
      <w:r w:rsidRPr="009C6B45">
        <w:rPr>
          <w:rFonts w:ascii="Arial" w:hAnsi="Arial" w:cs="Arial"/>
          <w:color w:val="000000" w:themeColor="text1"/>
          <w:sz w:val="21"/>
          <w:szCs w:val="21"/>
          <w:lang w:val="es-ES_tradnl"/>
        </w:rPr>
        <w:t>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vencimiento sin que la administración lo hubiera liquidado unilateralmente, bajo condición de que el acuerdo liquidatorio se logre dentro del lapso de dos años contados a partir del vencimiento del término legalmente conocido para la liquidación unilateral, pues ese es el lapso que el ordenamiento ha fijado para el ejercicio oportuno de la acción</w:t>
      </w:r>
      <w:r w:rsidR="00086C81" w:rsidRPr="009C6B45">
        <w:rPr>
          <w:rStyle w:val="Refdenotaalpie"/>
          <w:rFonts w:ascii="Arial" w:hAnsi="Arial" w:cs="Arial"/>
          <w:color w:val="000000" w:themeColor="text1"/>
          <w:sz w:val="21"/>
          <w:szCs w:val="21"/>
          <w:lang w:val="es-ES_tradnl"/>
        </w:rPr>
        <w:footnoteReference w:id="8"/>
      </w:r>
      <w:r w:rsidRPr="009C6B45">
        <w:rPr>
          <w:rFonts w:ascii="Arial" w:hAnsi="Arial" w:cs="Arial"/>
          <w:color w:val="000000" w:themeColor="text1"/>
          <w:sz w:val="21"/>
          <w:szCs w:val="21"/>
          <w:lang w:val="es-ES_tradnl"/>
        </w:rPr>
        <w:t>.</w:t>
      </w:r>
    </w:p>
    <w:p w14:paraId="76FB6E4D" w14:textId="77777777" w:rsidR="008677EC" w:rsidRPr="009C6B45" w:rsidRDefault="008677EC" w:rsidP="008677EC">
      <w:pPr>
        <w:pStyle w:val="Sinespaciado"/>
        <w:ind w:left="709" w:right="760"/>
        <w:jc w:val="both"/>
        <w:rPr>
          <w:rFonts w:ascii="Arial" w:hAnsi="Arial" w:cs="Arial"/>
          <w:color w:val="000000" w:themeColor="text1"/>
          <w:sz w:val="21"/>
          <w:szCs w:val="21"/>
          <w:lang w:val="es-ES_tradnl"/>
        </w:rPr>
      </w:pPr>
    </w:p>
    <w:p w14:paraId="63CBE7A8" w14:textId="300BA17C" w:rsidR="008677EC" w:rsidRPr="009C6B45" w:rsidRDefault="008677EC" w:rsidP="00E81289">
      <w:pPr>
        <w:spacing w:after="120" w:line="276" w:lineRule="auto"/>
        <w:jc w:val="both"/>
        <w:rPr>
          <w:rFonts w:ascii="Arial" w:hAnsi="Arial" w:cs="Arial"/>
          <w:color w:val="000000" w:themeColor="text1"/>
          <w:sz w:val="22"/>
          <w:lang w:val="es-ES_tradnl"/>
        </w:rPr>
      </w:pPr>
      <w:r w:rsidRPr="009C6B45">
        <w:rPr>
          <w:rFonts w:ascii="Arial" w:hAnsi="Arial" w:cs="Arial"/>
          <w:color w:val="000000" w:themeColor="text1"/>
          <w:sz w:val="22"/>
          <w:lang w:val="es-ES_tradnl"/>
        </w:rPr>
        <w:lastRenderedPageBreak/>
        <w:tab/>
        <w:t>Así las cosas,</w:t>
      </w:r>
      <w:r w:rsidRPr="009C6B45">
        <w:rPr>
          <w:rFonts w:ascii="Arial" w:hAnsi="Arial" w:cs="Arial"/>
          <w:color w:val="000000" w:themeColor="text1"/>
          <w:sz w:val="22"/>
          <w:lang w:val="es-ES_tradnl"/>
        </w:rPr>
        <w:tab/>
        <w:t xml:space="preserve">es claro que el ordenamiento jurídico vigente permite la liquidación </w:t>
      </w:r>
      <w:r w:rsidR="003F7329" w:rsidRPr="009C6B45">
        <w:rPr>
          <w:rFonts w:ascii="Arial" w:hAnsi="Arial" w:cs="Arial"/>
          <w:color w:val="000000" w:themeColor="text1"/>
          <w:sz w:val="22"/>
          <w:lang w:val="es-ES_tradnl"/>
        </w:rPr>
        <w:t xml:space="preserve">unilateral o </w:t>
      </w:r>
      <w:r w:rsidRPr="009C6B45">
        <w:rPr>
          <w:rFonts w:ascii="Arial" w:hAnsi="Arial" w:cs="Arial"/>
          <w:color w:val="000000" w:themeColor="text1"/>
          <w:sz w:val="22"/>
          <w:lang w:val="es-ES_tradnl"/>
        </w:rPr>
        <w:t>bilateral</w:t>
      </w:r>
      <w:r w:rsidR="003F7329" w:rsidRPr="009C6B45">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w:t>
      </w:r>
      <w:r w:rsidR="003F7329" w:rsidRPr="009C6B45">
        <w:rPr>
          <w:rFonts w:ascii="Arial" w:hAnsi="Arial" w:cs="Arial"/>
          <w:color w:val="000000" w:themeColor="text1"/>
          <w:sz w:val="22"/>
          <w:lang w:val="es-ES_tradnl"/>
        </w:rPr>
        <w:t>una vez vencido</w:t>
      </w:r>
      <w:r w:rsidRPr="009C6B45">
        <w:rPr>
          <w:rFonts w:ascii="Arial" w:hAnsi="Arial" w:cs="Arial"/>
          <w:color w:val="000000" w:themeColor="text1"/>
          <w:sz w:val="22"/>
          <w:lang w:val="es-ES_tradnl"/>
        </w:rPr>
        <w:t xml:space="preserve"> el plazo de dos meses para la liquidación unilateral de que trata el inciso segundo del artículo 11 de la Ley 1150 de 2007, siempre y cuando la liquidación se realice dentro del plazo de dos años «a partir del vencimiento del término legalmente conocido para la liquidación unilateral, pues este es el lapso que el ordenamiento ha fijado para el ejercicio oportuno de la acción». </w:t>
      </w:r>
    </w:p>
    <w:p w14:paraId="23F0EC7B" w14:textId="2968AE19" w:rsidR="003F7329" w:rsidRPr="009C6B45" w:rsidRDefault="008677EC" w:rsidP="004C0962">
      <w:pPr>
        <w:spacing w:after="120" w:line="276" w:lineRule="auto"/>
        <w:jc w:val="both"/>
        <w:rPr>
          <w:rFonts w:ascii="Arial" w:hAnsi="Arial" w:cs="Arial"/>
          <w:color w:val="000000" w:themeColor="text1"/>
          <w:sz w:val="22"/>
          <w:lang w:val="es-ES_tradnl"/>
        </w:rPr>
      </w:pPr>
      <w:r w:rsidRPr="009C6B45">
        <w:rPr>
          <w:rFonts w:ascii="Arial" w:hAnsi="Arial" w:cs="Arial"/>
          <w:color w:val="000000" w:themeColor="text1"/>
          <w:sz w:val="22"/>
          <w:lang w:val="es-ES_tradnl"/>
        </w:rPr>
        <w:tab/>
      </w:r>
      <w:r w:rsidR="004C0962" w:rsidRPr="009C6B45">
        <w:rPr>
          <w:rFonts w:ascii="Arial" w:hAnsi="Arial" w:cs="Arial"/>
          <w:color w:val="000000" w:themeColor="text1"/>
          <w:sz w:val="22"/>
          <w:lang w:val="es-ES_tradnl"/>
        </w:rPr>
        <w:t>En otras palabras</w:t>
      </w:r>
      <w:r w:rsidR="003F7329" w:rsidRPr="009C6B45">
        <w:rPr>
          <w:rFonts w:ascii="Arial" w:hAnsi="Arial" w:cs="Arial"/>
          <w:color w:val="000000" w:themeColor="text1"/>
          <w:sz w:val="22"/>
          <w:lang w:val="es-ES_tradnl"/>
        </w:rPr>
        <w:t xml:space="preserve">, la facultad de liquidar los contratos tiene una ventana temporal que empieza con la terminación </w:t>
      </w:r>
      <w:r w:rsidR="00E232ED" w:rsidRPr="009C6B45">
        <w:rPr>
          <w:rFonts w:ascii="Arial" w:hAnsi="Arial" w:cs="Arial"/>
          <w:color w:val="000000" w:themeColor="text1"/>
          <w:sz w:val="22"/>
          <w:lang w:val="es-ES_tradnl"/>
        </w:rPr>
        <w:t xml:space="preserve">del contrato </w:t>
      </w:r>
      <w:r w:rsidR="003F7329" w:rsidRPr="009C6B45">
        <w:rPr>
          <w:rFonts w:ascii="Arial" w:hAnsi="Arial" w:cs="Arial"/>
          <w:color w:val="000000" w:themeColor="text1"/>
          <w:sz w:val="22"/>
          <w:lang w:val="es-ES_tradnl"/>
        </w:rPr>
        <w:t>y comprende el per</w:t>
      </w:r>
      <w:r w:rsidR="00E2516A">
        <w:rPr>
          <w:rFonts w:ascii="Arial" w:hAnsi="Arial" w:cs="Arial"/>
          <w:color w:val="000000" w:themeColor="text1"/>
          <w:sz w:val="22"/>
          <w:lang w:val="es-ES_tradnl"/>
        </w:rPr>
        <w:t>í</w:t>
      </w:r>
      <w:r w:rsidR="003F7329" w:rsidRPr="009C6B45">
        <w:rPr>
          <w:rFonts w:ascii="Arial" w:hAnsi="Arial" w:cs="Arial"/>
          <w:color w:val="000000" w:themeColor="text1"/>
          <w:sz w:val="22"/>
          <w:lang w:val="es-ES_tradnl"/>
        </w:rPr>
        <w:t>odo contractual</w:t>
      </w:r>
      <w:r w:rsidR="00E232ED" w:rsidRPr="009C6B45">
        <w:rPr>
          <w:rFonts w:ascii="Arial" w:hAnsi="Arial" w:cs="Arial"/>
          <w:color w:val="000000" w:themeColor="text1"/>
          <w:sz w:val="22"/>
          <w:lang w:val="es-ES_tradnl"/>
        </w:rPr>
        <w:t xml:space="preserve"> pactado por las partes</w:t>
      </w:r>
      <w:r w:rsidR="003F7329" w:rsidRPr="009C6B45">
        <w:rPr>
          <w:rFonts w:ascii="Arial" w:hAnsi="Arial" w:cs="Arial"/>
          <w:color w:val="000000" w:themeColor="text1"/>
          <w:sz w:val="22"/>
          <w:lang w:val="es-ES_tradnl"/>
        </w:rPr>
        <w:t xml:space="preserve"> o legal</w:t>
      </w:r>
      <w:r w:rsidR="004C0962" w:rsidRPr="009C6B45">
        <w:rPr>
          <w:rFonts w:ascii="Arial" w:hAnsi="Arial" w:cs="Arial"/>
          <w:color w:val="000000" w:themeColor="text1"/>
          <w:sz w:val="22"/>
          <w:lang w:val="es-ES_tradnl"/>
        </w:rPr>
        <w:t xml:space="preserve"> </w:t>
      </w:r>
      <w:r w:rsidR="00E232ED" w:rsidRPr="009C6B45">
        <w:rPr>
          <w:rFonts w:ascii="Arial" w:hAnsi="Arial" w:cs="Arial"/>
          <w:color w:val="000000" w:themeColor="text1"/>
          <w:sz w:val="22"/>
          <w:lang w:val="es-ES_tradnl"/>
        </w:rPr>
        <w:t>supletivo</w:t>
      </w:r>
      <w:r w:rsidR="004C0962" w:rsidRPr="009C6B45">
        <w:rPr>
          <w:rFonts w:ascii="Arial" w:hAnsi="Arial" w:cs="Arial"/>
          <w:color w:val="000000" w:themeColor="text1"/>
          <w:sz w:val="22"/>
          <w:lang w:val="es-ES_tradnl"/>
        </w:rPr>
        <w:t>– de 4 meses –</w:t>
      </w:r>
      <w:r w:rsidR="003F7329" w:rsidRPr="009C6B45">
        <w:rPr>
          <w:rFonts w:ascii="Arial" w:hAnsi="Arial" w:cs="Arial"/>
          <w:color w:val="000000" w:themeColor="text1"/>
          <w:sz w:val="22"/>
          <w:lang w:val="es-ES_tradnl"/>
        </w:rPr>
        <w:t xml:space="preserve"> para la liquidación bilateral, más el per</w:t>
      </w:r>
      <w:r w:rsidR="0021387B">
        <w:rPr>
          <w:rFonts w:ascii="Arial" w:hAnsi="Arial" w:cs="Arial"/>
          <w:color w:val="000000" w:themeColor="text1"/>
          <w:sz w:val="22"/>
          <w:lang w:val="es-ES_tradnl"/>
        </w:rPr>
        <w:t>í</w:t>
      </w:r>
      <w:r w:rsidR="003F7329" w:rsidRPr="009C6B45">
        <w:rPr>
          <w:rFonts w:ascii="Arial" w:hAnsi="Arial" w:cs="Arial"/>
          <w:color w:val="000000" w:themeColor="text1"/>
          <w:sz w:val="22"/>
          <w:lang w:val="es-ES_tradnl"/>
        </w:rPr>
        <w:t xml:space="preserve">odo legal para la liquidación unilateral </w:t>
      </w:r>
      <w:r w:rsidR="004C0962" w:rsidRPr="009C6B45">
        <w:rPr>
          <w:rFonts w:ascii="Arial" w:hAnsi="Arial" w:cs="Arial"/>
          <w:color w:val="000000" w:themeColor="text1"/>
          <w:sz w:val="22"/>
          <w:lang w:val="es-ES_tradnl"/>
        </w:rPr>
        <w:t xml:space="preserve">– </w:t>
      </w:r>
      <w:r w:rsidR="003F7329" w:rsidRPr="009C6B45">
        <w:rPr>
          <w:rFonts w:ascii="Arial" w:hAnsi="Arial" w:cs="Arial"/>
          <w:color w:val="000000" w:themeColor="text1"/>
          <w:sz w:val="22"/>
          <w:lang w:val="es-ES_tradnl"/>
        </w:rPr>
        <w:t>de 2 meses</w:t>
      </w:r>
      <w:r w:rsidR="004C0962" w:rsidRPr="009C6B45">
        <w:rPr>
          <w:rFonts w:ascii="Arial" w:hAnsi="Arial" w:cs="Arial"/>
          <w:color w:val="000000" w:themeColor="text1"/>
          <w:sz w:val="22"/>
          <w:lang w:val="es-ES_tradnl"/>
        </w:rPr>
        <w:t xml:space="preserve"> –,</w:t>
      </w:r>
      <w:r w:rsidR="003F7329" w:rsidRPr="009C6B45">
        <w:rPr>
          <w:rFonts w:ascii="Arial" w:hAnsi="Arial" w:cs="Arial"/>
          <w:color w:val="000000" w:themeColor="text1"/>
          <w:sz w:val="22"/>
          <w:lang w:val="es-ES_tradnl"/>
        </w:rPr>
        <w:t xml:space="preserve"> más el plazo</w:t>
      </w:r>
      <w:r w:rsidR="004C0962" w:rsidRPr="009C6B45">
        <w:rPr>
          <w:rFonts w:ascii="Arial" w:hAnsi="Arial" w:cs="Arial"/>
          <w:color w:val="000000" w:themeColor="text1"/>
          <w:sz w:val="22"/>
          <w:lang w:val="es-ES_tradnl"/>
        </w:rPr>
        <w:t xml:space="preserve"> para que opere el </w:t>
      </w:r>
      <w:r w:rsidR="0021387B" w:rsidRPr="0021387B">
        <w:rPr>
          <w:rFonts w:ascii="Arial" w:hAnsi="Arial" w:cs="Arial"/>
          <w:color w:val="000000" w:themeColor="text1"/>
          <w:sz w:val="22"/>
          <w:lang w:val="es-ES_tradnl"/>
        </w:rPr>
        <w:t>fenómeno</w:t>
      </w:r>
      <w:r w:rsidR="004C0962" w:rsidRPr="009C6B45">
        <w:rPr>
          <w:rFonts w:ascii="Arial" w:hAnsi="Arial" w:cs="Arial"/>
          <w:color w:val="000000" w:themeColor="text1"/>
          <w:sz w:val="22"/>
          <w:lang w:val="es-ES_tradnl"/>
        </w:rPr>
        <w:t xml:space="preserve"> de la caducidad –</w:t>
      </w:r>
      <w:r w:rsidR="003F7329" w:rsidRPr="009C6B45">
        <w:rPr>
          <w:rFonts w:ascii="Arial" w:hAnsi="Arial" w:cs="Arial"/>
          <w:color w:val="000000" w:themeColor="text1"/>
          <w:sz w:val="22"/>
          <w:lang w:val="es-ES_tradnl"/>
        </w:rPr>
        <w:t xml:space="preserve">de </w:t>
      </w:r>
      <w:r w:rsidR="004C0962" w:rsidRPr="009C6B45">
        <w:rPr>
          <w:rFonts w:ascii="Arial" w:hAnsi="Arial" w:cs="Arial"/>
          <w:color w:val="000000" w:themeColor="text1"/>
          <w:sz w:val="22"/>
          <w:lang w:val="es-ES_tradnl"/>
        </w:rPr>
        <w:t>2</w:t>
      </w:r>
      <w:r w:rsidR="003F7329" w:rsidRPr="009C6B45">
        <w:rPr>
          <w:rFonts w:ascii="Arial" w:hAnsi="Arial" w:cs="Arial"/>
          <w:color w:val="000000" w:themeColor="text1"/>
          <w:sz w:val="22"/>
          <w:lang w:val="es-ES_tradnl"/>
        </w:rPr>
        <w:t xml:space="preserve"> años</w:t>
      </w:r>
      <w:r w:rsidR="004C0962" w:rsidRPr="009C6B45">
        <w:rPr>
          <w:rFonts w:ascii="Arial" w:hAnsi="Arial" w:cs="Arial"/>
          <w:color w:val="000000" w:themeColor="text1"/>
          <w:sz w:val="22"/>
          <w:lang w:val="es-ES_tradnl"/>
        </w:rPr>
        <w:t xml:space="preserve"> –, el c</w:t>
      </w:r>
      <w:r w:rsidR="009554FD" w:rsidRPr="009C6B45">
        <w:rPr>
          <w:rFonts w:ascii="Arial" w:hAnsi="Arial" w:cs="Arial"/>
          <w:color w:val="000000" w:themeColor="text1"/>
          <w:sz w:val="22"/>
          <w:lang w:val="es-ES_tradnl"/>
        </w:rPr>
        <w:t>ual se cuenta desde este último</w:t>
      </w:r>
      <w:r w:rsidR="004C0962" w:rsidRPr="009C6B45">
        <w:rPr>
          <w:rFonts w:ascii="Arial" w:hAnsi="Arial" w:cs="Arial"/>
          <w:color w:val="000000" w:themeColor="text1"/>
          <w:sz w:val="22"/>
          <w:lang w:val="es-ES_tradnl"/>
        </w:rPr>
        <w:t>.</w:t>
      </w:r>
      <w:r w:rsidR="003F7329" w:rsidRPr="009C6B45">
        <w:rPr>
          <w:rFonts w:ascii="Arial" w:hAnsi="Arial" w:cs="Arial"/>
          <w:color w:val="000000" w:themeColor="text1"/>
          <w:sz w:val="22"/>
          <w:lang w:val="es-ES_tradnl"/>
        </w:rPr>
        <w:t xml:space="preserve"> </w:t>
      </w:r>
    </w:p>
    <w:p w14:paraId="57013F28" w14:textId="32B03ED0" w:rsidR="004C0962" w:rsidRPr="009C6B45" w:rsidRDefault="003F7329" w:rsidP="004C0962">
      <w:pPr>
        <w:spacing w:after="120" w:line="276" w:lineRule="auto"/>
        <w:ind w:firstLine="708"/>
        <w:jc w:val="both"/>
        <w:rPr>
          <w:rFonts w:ascii="Arial" w:hAnsi="Arial" w:cs="Arial"/>
          <w:color w:val="000000" w:themeColor="text1"/>
          <w:sz w:val="22"/>
          <w:lang w:val="es-ES_tradnl"/>
        </w:rPr>
      </w:pPr>
      <w:r w:rsidRPr="009C6B45">
        <w:rPr>
          <w:rFonts w:ascii="Arial" w:hAnsi="Arial" w:cs="Arial"/>
          <w:color w:val="000000" w:themeColor="text1"/>
          <w:sz w:val="22"/>
          <w:lang w:val="es-ES_tradnl"/>
        </w:rPr>
        <w:t xml:space="preserve">En ese orden de ideas, si se trata de un contrato en </w:t>
      </w:r>
      <w:r w:rsidR="004C0962" w:rsidRPr="009C6B45">
        <w:rPr>
          <w:rFonts w:ascii="Arial" w:hAnsi="Arial" w:cs="Arial"/>
          <w:color w:val="000000" w:themeColor="text1"/>
          <w:sz w:val="22"/>
          <w:lang w:val="es-ES_tradnl"/>
        </w:rPr>
        <w:t>el cual</w:t>
      </w:r>
      <w:r w:rsidRPr="009C6B45">
        <w:rPr>
          <w:rFonts w:ascii="Arial" w:hAnsi="Arial" w:cs="Arial"/>
          <w:color w:val="000000" w:themeColor="text1"/>
          <w:sz w:val="22"/>
          <w:lang w:val="es-ES_tradnl"/>
        </w:rPr>
        <w:t xml:space="preserve"> no existe pacto sobre el término para la liquidación bilateral, el término supletivo aplicaría, y </w:t>
      </w:r>
      <w:r w:rsidR="004C0962" w:rsidRPr="009C6B45">
        <w:rPr>
          <w:rFonts w:ascii="Arial" w:hAnsi="Arial" w:cs="Arial"/>
          <w:color w:val="000000" w:themeColor="text1"/>
          <w:sz w:val="22"/>
          <w:lang w:val="es-ES_tradnl"/>
        </w:rPr>
        <w:t>se podría</w:t>
      </w:r>
      <w:r w:rsidRPr="009C6B45">
        <w:rPr>
          <w:rFonts w:ascii="Arial" w:hAnsi="Arial" w:cs="Arial"/>
          <w:color w:val="000000" w:themeColor="text1"/>
          <w:sz w:val="22"/>
          <w:lang w:val="es-ES_tradnl"/>
        </w:rPr>
        <w:t xml:space="preserve"> liquidar el contrato dentro de los 4 meses siguientes a </w:t>
      </w:r>
      <w:r w:rsidR="004C0962" w:rsidRPr="009C6B45">
        <w:rPr>
          <w:rFonts w:ascii="Arial" w:hAnsi="Arial" w:cs="Arial"/>
          <w:color w:val="000000" w:themeColor="text1"/>
          <w:sz w:val="22"/>
          <w:lang w:val="es-ES_tradnl"/>
        </w:rPr>
        <w:t>su</w:t>
      </w:r>
      <w:r w:rsidRPr="009C6B45">
        <w:rPr>
          <w:rFonts w:ascii="Arial" w:hAnsi="Arial" w:cs="Arial"/>
          <w:color w:val="000000" w:themeColor="text1"/>
          <w:sz w:val="22"/>
          <w:lang w:val="es-ES_tradnl"/>
        </w:rPr>
        <w:t xml:space="preserve"> terminación de manera bilateral, dentro de los 2 meses siguientes a ellos de manera unilateral por la entidad, más</w:t>
      </w:r>
      <w:r w:rsidR="004C0962" w:rsidRPr="009C6B45">
        <w:rPr>
          <w:rFonts w:ascii="Arial" w:hAnsi="Arial" w:cs="Arial"/>
          <w:color w:val="000000" w:themeColor="text1"/>
          <w:sz w:val="22"/>
          <w:lang w:val="es-ES_tradnl"/>
        </w:rPr>
        <w:t xml:space="preserve"> un plazo de</w:t>
      </w:r>
      <w:r w:rsidRPr="009C6B45">
        <w:rPr>
          <w:rFonts w:ascii="Arial" w:hAnsi="Arial" w:cs="Arial"/>
          <w:color w:val="000000" w:themeColor="text1"/>
          <w:sz w:val="22"/>
          <w:lang w:val="es-ES_tradnl"/>
        </w:rPr>
        <w:t xml:space="preserve"> 2 años para la liquidación unilateral, bilateral o judicial: para un total de 2 años y 6 meses.  </w:t>
      </w:r>
      <w:r w:rsidR="004C0962" w:rsidRPr="009C6B45">
        <w:rPr>
          <w:rFonts w:ascii="Arial" w:hAnsi="Arial" w:cs="Arial"/>
          <w:color w:val="000000" w:themeColor="text1"/>
          <w:sz w:val="22"/>
          <w:lang w:val="es-ES_tradnl"/>
        </w:rPr>
        <w:t>Estos términos pueden verse modificados si las partes acuerdan un plazo mayor o menor para realizar la liquidación de mutuo acuerdo</w:t>
      </w:r>
      <w:r w:rsidR="00E232ED" w:rsidRPr="009C6B45">
        <w:rPr>
          <w:rFonts w:ascii="Arial" w:hAnsi="Arial" w:cs="Arial"/>
          <w:color w:val="000000" w:themeColor="text1"/>
          <w:sz w:val="22"/>
          <w:lang w:val="es-ES_tradnl"/>
        </w:rPr>
        <w:t>, con lo cual dejaría de estar incluido el término supletivo de la Ley 1150 de 2007</w:t>
      </w:r>
      <w:r w:rsidR="004C0962" w:rsidRPr="009C6B45">
        <w:rPr>
          <w:rFonts w:ascii="Arial" w:hAnsi="Arial" w:cs="Arial"/>
          <w:color w:val="000000" w:themeColor="text1"/>
          <w:sz w:val="22"/>
          <w:lang w:val="es-ES_tradnl"/>
        </w:rPr>
        <w:t xml:space="preserve">. </w:t>
      </w:r>
    </w:p>
    <w:p w14:paraId="0F0E7E12" w14:textId="5F81CB68" w:rsidR="00B414DE" w:rsidRPr="009C6B45" w:rsidRDefault="00E81289" w:rsidP="004C0962">
      <w:pPr>
        <w:spacing w:after="120" w:line="276" w:lineRule="auto"/>
        <w:ind w:firstLine="708"/>
        <w:jc w:val="both"/>
        <w:rPr>
          <w:rFonts w:ascii="Arial" w:hAnsi="Arial" w:cs="Arial"/>
          <w:color w:val="000000" w:themeColor="text1"/>
          <w:sz w:val="22"/>
          <w:lang w:val="es-ES_tradnl"/>
        </w:rPr>
      </w:pPr>
      <w:r w:rsidRPr="009C6B45">
        <w:rPr>
          <w:rFonts w:ascii="Arial" w:hAnsi="Arial" w:cs="Arial"/>
          <w:color w:val="000000" w:themeColor="text1"/>
          <w:sz w:val="22"/>
          <w:lang w:val="es-ES_tradnl"/>
        </w:rPr>
        <w:t>En suma, de</w:t>
      </w:r>
      <w:r w:rsidRPr="009C6B45">
        <w:rPr>
          <w:rFonts w:ascii="Arial" w:hAnsi="Arial" w:cs="Arial"/>
          <w:iCs/>
          <w:color w:val="000000" w:themeColor="text1"/>
          <w:sz w:val="22"/>
          <w:lang w:val="es-ES_tradnl"/>
        </w:rPr>
        <w:t xml:space="preserve"> acuerdo con el artículo 11 de la Ley 1150 de 2007, existen tres tipos de liquidación: i) bilateral, ii) unilateral y iii) judicial. En términos generales, la primera, que puede ser total o parcial, debe hacerse en el término que estipulen las partes o, en su defecto, dentro del término </w:t>
      </w:r>
      <w:r w:rsidR="0058473E">
        <w:rPr>
          <w:rFonts w:ascii="Arial" w:hAnsi="Arial" w:cs="Arial"/>
          <w:iCs/>
          <w:color w:val="000000" w:themeColor="text1"/>
          <w:sz w:val="22"/>
          <w:lang w:val="es-ES_tradnl"/>
        </w:rPr>
        <w:t>subsidiario</w:t>
      </w:r>
      <w:r w:rsidR="0058473E" w:rsidRPr="009C6B45">
        <w:rPr>
          <w:rFonts w:ascii="Arial" w:hAnsi="Arial" w:cs="Arial"/>
          <w:iCs/>
          <w:color w:val="000000" w:themeColor="text1"/>
          <w:sz w:val="22"/>
          <w:lang w:val="es-ES_tradnl"/>
        </w:rPr>
        <w:t xml:space="preserve"> </w:t>
      </w:r>
      <w:r w:rsidRPr="009C6B45">
        <w:rPr>
          <w:rFonts w:ascii="Arial" w:hAnsi="Arial" w:cs="Arial"/>
          <w:iCs/>
          <w:color w:val="000000" w:themeColor="text1"/>
          <w:sz w:val="22"/>
          <w:lang w:val="es-ES_tradnl"/>
        </w:rPr>
        <w:t>de cuatro meses. La segunda se debe practicar d</w:t>
      </w:r>
      <w:r w:rsidRPr="009C6B45">
        <w:rPr>
          <w:rFonts w:ascii="Arial" w:hAnsi="Arial" w:cs="Arial"/>
          <w:color w:val="000000" w:themeColor="text1"/>
          <w:sz w:val="22"/>
          <w:lang w:val="es-ES_tradnl"/>
        </w:rPr>
        <w:t>entro de los dos meses siguientes al vencimiento del término que acuerden las partes, o</w:t>
      </w:r>
      <w:r w:rsidR="000926E7">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ante el silencio de estas</w:t>
      </w:r>
      <w:r w:rsidR="000926E7">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de los cuatro meses para realizar la liquidación bilateral, sin que </w:t>
      </w:r>
      <w:r w:rsidR="000926E7">
        <w:rPr>
          <w:rFonts w:ascii="Arial" w:hAnsi="Arial" w:cs="Arial"/>
          <w:color w:val="000000" w:themeColor="text1"/>
          <w:sz w:val="22"/>
          <w:lang w:val="es-ES_tradnl"/>
        </w:rPr>
        <w:t>e</w:t>
      </w:r>
      <w:r w:rsidRPr="009C6B45">
        <w:rPr>
          <w:rFonts w:ascii="Arial" w:hAnsi="Arial" w:cs="Arial"/>
          <w:color w:val="000000" w:themeColor="text1"/>
          <w:sz w:val="22"/>
          <w:lang w:val="es-ES_tradnl"/>
        </w:rPr>
        <w:t>sta se efectúe.</w:t>
      </w:r>
      <w:r w:rsidR="008677EC" w:rsidRPr="009C6B45">
        <w:rPr>
          <w:rFonts w:ascii="Arial" w:hAnsi="Arial" w:cs="Arial"/>
          <w:color w:val="000000" w:themeColor="text1"/>
          <w:sz w:val="22"/>
          <w:lang w:val="es-ES_tradnl"/>
        </w:rPr>
        <w:t xml:space="preserve"> Finalmente,</w:t>
      </w:r>
      <w:r w:rsidRPr="009C6B45">
        <w:rPr>
          <w:rFonts w:ascii="Arial" w:hAnsi="Arial" w:cs="Arial"/>
          <w:color w:val="000000" w:themeColor="text1"/>
          <w:sz w:val="22"/>
          <w:lang w:val="es-ES_tradnl"/>
        </w:rPr>
        <w:t xml:space="preserve"> </w:t>
      </w:r>
      <w:r w:rsidR="008677EC" w:rsidRPr="009C6B45">
        <w:rPr>
          <w:rFonts w:ascii="Arial" w:hAnsi="Arial" w:cs="Arial"/>
          <w:color w:val="000000" w:themeColor="text1"/>
          <w:sz w:val="22"/>
          <w:lang w:val="es-ES_tradnl"/>
        </w:rPr>
        <w:t>l</w:t>
      </w:r>
      <w:r w:rsidRPr="009C6B45">
        <w:rPr>
          <w:rFonts w:ascii="Arial" w:hAnsi="Arial" w:cs="Arial"/>
          <w:color w:val="000000" w:themeColor="text1"/>
          <w:sz w:val="22"/>
          <w:lang w:val="es-ES_tradnl"/>
        </w:rPr>
        <w:t xml:space="preserve">a tercera la realiza el juez contencioso administrativo dentro de un proceso judicial de controversias contractuales y puede darse con ocasión de una demanda del </w:t>
      </w:r>
      <w:r w:rsidR="000926E7">
        <w:rPr>
          <w:rFonts w:ascii="Arial" w:hAnsi="Arial" w:cs="Arial"/>
          <w:color w:val="000000" w:themeColor="text1"/>
          <w:sz w:val="22"/>
          <w:lang w:val="es-ES_tradnl"/>
        </w:rPr>
        <w:t>interesado</w:t>
      </w:r>
      <w:r w:rsidR="000926E7" w:rsidRPr="009C6B45">
        <w:rPr>
          <w:rFonts w:ascii="Arial" w:hAnsi="Arial" w:cs="Arial"/>
          <w:color w:val="000000" w:themeColor="text1"/>
          <w:sz w:val="22"/>
          <w:lang w:val="es-ES_tradnl"/>
        </w:rPr>
        <w:t xml:space="preserve"> </w:t>
      </w:r>
      <w:r w:rsidRPr="009C6B45">
        <w:rPr>
          <w:rFonts w:ascii="Arial" w:hAnsi="Arial" w:cs="Arial"/>
          <w:color w:val="000000" w:themeColor="text1"/>
          <w:sz w:val="22"/>
          <w:lang w:val="es-ES_tradnl"/>
        </w:rPr>
        <w:t>solicitando dicha liquidación</w:t>
      </w:r>
      <w:r w:rsidR="008677EC" w:rsidRPr="009C6B45">
        <w:rPr>
          <w:rFonts w:ascii="Arial" w:hAnsi="Arial" w:cs="Arial"/>
          <w:color w:val="000000" w:themeColor="text1"/>
          <w:sz w:val="22"/>
          <w:lang w:val="es-ES_tradnl"/>
        </w:rPr>
        <w:t xml:space="preserve"> y para ello existe un plazo máximo de 2 años contados a partir de los dos meses establecidos en la Ley para realizar la liquidación unilateral</w:t>
      </w:r>
      <w:r w:rsidR="000926E7">
        <w:rPr>
          <w:rFonts w:ascii="Arial" w:hAnsi="Arial" w:cs="Arial"/>
          <w:color w:val="000000" w:themeColor="text1"/>
          <w:sz w:val="22"/>
          <w:lang w:val="es-ES_tradnl"/>
        </w:rPr>
        <w:t>,</w:t>
      </w:r>
      <w:r w:rsidR="008677EC" w:rsidRPr="009C6B45">
        <w:rPr>
          <w:rFonts w:ascii="Arial" w:hAnsi="Arial" w:cs="Arial"/>
          <w:color w:val="000000" w:themeColor="text1"/>
          <w:sz w:val="22"/>
          <w:lang w:val="es-ES_tradnl"/>
        </w:rPr>
        <w:t xml:space="preserve"> de conformidad con la citada decisión de unificación del Consejo de Estado</w:t>
      </w:r>
      <w:r w:rsidRPr="009C6B45">
        <w:rPr>
          <w:rFonts w:ascii="Arial" w:hAnsi="Arial" w:cs="Arial"/>
          <w:color w:val="000000" w:themeColor="text1"/>
          <w:sz w:val="22"/>
          <w:lang w:val="es-ES_tradnl"/>
        </w:rPr>
        <w:t>.</w:t>
      </w:r>
    </w:p>
    <w:p w14:paraId="22031387" w14:textId="77777777" w:rsidR="00B414DE" w:rsidRPr="009C6B45" w:rsidRDefault="00B414DE" w:rsidP="00450B8D">
      <w:pPr>
        <w:spacing w:line="276" w:lineRule="auto"/>
        <w:ind w:firstLine="708"/>
        <w:jc w:val="both"/>
        <w:rPr>
          <w:rFonts w:ascii="Arial" w:hAnsi="Arial" w:cs="Arial"/>
          <w:color w:val="000000" w:themeColor="text1"/>
          <w:sz w:val="22"/>
          <w:lang w:val="es-ES_tradnl"/>
        </w:rPr>
      </w:pPr>
    </w:p>
    <w:p w14:paraId="49EC0DB7" w14:textId="3B03CC28" w:rsidR="00975C71" w:rsidRPr="009C6B45" w:rsidRDefault="00BA1551" w:rsidP="00450B8D">
      <w:pPr>
        <w:spacing w:line="276" w:lineRule="auto"/>
        <w:jc w:val="both"/>
        <w:rPr>
          <w:rFonts w:ascii="Arial" w:hAnsi="Arial" w:cs="Arial"/>
          <w:b/>
          <w:bCs/>
          <w:color w:val="000000" w:themeColor="text1"/>
          <w:sz w:val="22"/>
          <w:lang w:val="es-ES_tradnl"/>
        </w:rPr>
      </w:pPr>
      <w:r w:rsidRPr="009C6B45">
        <w:rPr>
          <w:rFonts w:ascii="Arial" w:hAnsi="Arial" w:cs="Arial"/>
          <w:b/>
          <w:bCs/>
          <w:color w:val="000000" w:themeColor="text1"/>
          <w:sz w:val="22"/>
          <w:lang w:val="es-ES_tradnl"/>
        </w:rPr>
        <w:t>2.</w:t>
      </w:r>
      <w:r w:rsidR="004C0962" w:rsidRPr="009C6B45">
        <w:rPr>
          <w:rFonts w:ascii="Arial" w:hAnsi="Arial" w:cs="Arial"/>
          <w:b/>
          <w:bCs/>
          <w:color w:val="000000" w:themeColor="text1"/>
          <w:sz w:val="22"/>
          <w:lang w:val="es-ES_tradnl"/>
        </w:rPr>
        <w:t>2</w:t>
      </w:r>
      <w:r w:rsidR="00B414DE" w:rsidRPr="009C6B45">
        <w:rPr>
          <w:rFonts w:ascii="Arial" w:hAnsi="Arial" w:cs="Arial"/>
          <w:b/>
          <w:bCs/>
          <w:color w:val="000000" w:themeColor="text1"/>
          <w:sz w:val="22"/>
          <w:lang w:val="es-ES_tradnl"/>
        </w:rPr>
        <w:t>.</w:t>
      </w:r>
      <w:r w:rsidRPr="009C6B45">
        <w:rPr>
          <w:rFonts w:ascii="Arial" w:hAnsi="Arial" w:cs="Arial"/>
          <w:b/>
          <w:bCs/>
          <w:color w:val="000000" w:themeColor="text1"/>
          <w:sz w:val="22"/>
          <w:lang w:val="es-ES_tradnl"/>
        </w:rPr>
        <w:t xml:space="preserve"> La garant</w:t>
      </w:r>
      <w:r w:rsidR="00A614ED" w:rsidRPr="009C6B45">
        <w:rPr>
          <w:rFonts w:ascii="Arial" w:hAnsi="Arial" w:cs="Arial"/>
          <w:b/>
          <w:bCs/>
          <w:color w:val="000000" w:themeColor="text1"/>
          <w:sz w:val="22"/>
          <w:lang w:val="es-ES_tradnl"/>
        </w:rPr>
        <w:t>ía de cumplimiento: noción</w:t>
      </w:r>
      <w:r w:rsidR="00975C71" w:rsidRPr="009C6B45">
        <w:rPr>
          <w:rFonts w:ascii="Arial" w:hAnsi="Arial" w:cs="Arial"/>
          <w:b/>
          <w:bCs/>
          <w:color w:val="000000" w:themeColor="text1"/>
          <w:sz w:val="22"/>
          <w:lang w:val="es-ES_tradnl"/>
        </w:rPr>
        <w:t xml:space="preserve"> y vigencia </w:t>
      </w:r>
    </w:p>
    <w:p w14:paraId="49F0C92C" w14:textId="77777777" w:rsidR="00975C71" w:rsidRPr="009C6B45" w:rsidRDefault="00975C71" w:rsidP="00450B8D">
      <w:pPr>
        <w:spacing w:line="276" w:lineRule="auto"/>
        <w:jc w:val="both"/>
        <w:rPr>
          <w:rFonts w:ascii="Arial" w:hAnsi="Arial" w:cs="Arial"/>
          <w:b/>
          <w:bCs/>
          <w:color w:val="000000" w:themeColor="text1"/>
          <w:sz w:val="22"/>
          <w:lang w:val="es-ES_tradnl"/>
        </w:rPr>
      </w:pPr>
    </w:p>
    <w:p w14:paraId="1F441C2E" w14:textId="40E4D8A6" w:rsidR="009F1174" w:rsidRPr="009C6B45" w:rsidRDefault="00E232ED" w:rsidP="00A02F49">
      <w:pPr>
        <w:spacing w:line="276" w:lineRule="auto"/>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L</w:t>
      </w:r>
      <w:r w:rsidR="00A02F49" w:rsidRPr="009C6B45">
        <w:rPr>
          <w:rFonts w:ascii="Arial" w:hAnsi="Arial" w:cs="Arial"/>
          <w:bCs/>
          <w:color w:val="000000" w:themeColor="text1"/>
          <w:sz w:val="22"/>
          <w:lang w:val="es-ES_tradnl"/>
        </w:rPr>
        <w:t xml:space="preserve">a Guía de Garantías en procesos de Contratación </w:t>
      </w:r>
      <w:r w:rsidRPr="009C6B45">
        <w:rPr>
          <w:rFonts w:ascii="Arial" w:hAnsi="Arial" w:cs="Arial"/>
          <w:bCs/>
          <w:color w:val="000000" w:themeColor="text1"/>
          <w:sz w:val="22"/>
          <w:lang w:val="es-ES_tradnl"/>
        </w:rPr>
        <w:t>señala</w:t>
      </w:r>
      <w:r w:rsidR="00A02F49" w:rsidRPr="009C6B45">
        <w:rPr>
          <w:rFonts w:ascii="Arial" w:hAnsi="Arial" w:cs="Arial"/>
          <w:bCs/>
          <w:color w:val="000000" w:themeColor="text1"/>
          <w:sz w:val="22"/>
          <w:lang w:val="es-ES_tradnl"/>
        </w:rPr>
        <w:t xml:space="preserve"> que </w:t>
      </w:r>
      <w:r w:rsidR="00A02F49" w:rsidRPr="009C6B45">
        <w:rPr>
          <w:rFonts w:ascii="Arial" w:hAnsi="Arial" w:cs="Arial"/>
          <w:bCs/>
          <w:color w:val="000000" w:themeColor="text1"/>
          <w:sz w:val="22"/>
          <w:szCs w:val="22"/>
          <w:lang w:val="es-ES_tradnl"/>
        </w:rPr>
        <w:t>«Las garantías son instrumentos de cobertura de algunos Riesgos comunes en Procesos de Contratación»</w:t>
      </w:r>
      <w:r w:rsidR="00A02F49" w:rsidRPr="009C6B45">
        <w:rPr>
          <w:rStyle w:val="Refdenotaalpie"/>
          <w:rFonts w:ascii="Arial" w:hAnsi="Arial" w:cs="Arial"/>
          <w:bCs/>
          <w:color w:val="000000" w:themeColor="text1"/>
          <w:sz w:val="21"/>
          <w:szCs w:val="21"/>
          <w:lang w:val="es-ES_tradnl"/>
        </w:rPr>
        <w:footnoteReference w:id="9"/>
      </w:r>
      <w:r w:rsidR="00A02F49" w:rsidRPr="009C6B45">
        <w:rPr>
          <w:rFonts w:ascii="Arial" w:hAnsi="Arial" w:cs="Arial"/>
          <w:bCs/>
          <w:color w:val="000000" w:themeColor="text1"/>
          <w:sz w:val="21"/>
          <w:szCs w:val="21"/>
          <w:lang w:val="es-ES_tradnl"/>
        </w:rPr>
        <w:t xml:space="preserve">. </w:t>
      </w:r>
      <w:r w:rsidR="00A02F49" w:rsidRPr="009C6B45">
        <w:rPr>
          <w:rFonts w:ascii="Arial" w:hAnsi="Arial" w:cs="Arial"/>
          <w:bCs/>
          <w:color w:val="000000" w:themeColor="text1"/>
          <w:sz w:val="22"/>
          <w:lang w:val="es-ES_tradnl"/>
        </w:rPr>
        <w:t xml:space="preserve"> </w:t>
      </w:r>
      <w:r w:rsidRPr="009C6B45">
        <w:rPr>
          <w:rFonts w:ascii="Arial" w:hAnsi="Arial" w:cs="Arial"/>
          <w:bCs/>
          <w:color w:val="000000" w:themeColor="text1"/>
          <w:sz w:val="22"/>
          <w:lang w:val="es-ES_tradnl"/>
        </w:rPr>
        <w:lastRenderedPageBreak/>
        <w:t>S</w:t>
      </w:r>
      <w:r w:rsidR="009F1174" w:rsidRPr="009C6B45">
        <w:rPr>
          <w:rFonts w:ascii="Arial" w:hAnsi="Arial" w:cs="Arial"/>
          <w:bCs/>
          <w:color w:val="000000" w:themeColor="text1"/>
          <w:sz w:val="22"/>
          <w:lang w:val="es-ES_tradnl"/>
        </w:rPr>
        <w:t>obre la garantía de cumplimiento</w:t>
      </w:r>
      <w:r w:rsidRPr="009C6B45">
        <w:rPr>
          <w:rFonts w:ascii="Arial" w:hAnsi="Arial" w:cs="Arial"/>
          <w:bCs/>
          <w:color w:val="000000" w:themeColor="text1"/>
          <w:sz w:val="22"/>
          <w:lang w:val="es-ES_tradnl"/>
        </w:rPr>
        <w:t>,</w:t>
      </w:r>
      <w:r w:rsidR="009F1174" w:rsidRPr="009C6B45">
        <w:rPr>
          <w:rFonts w:ascii="Arial" w:hAnsi="Arial" w:cs="Arial"/>
          <w:bCs/>
          <w:color w:val="000000" w:themeColor="text1"/>
          <w:sz w:val="22"/>
          <w:lang w:val="es-ES_tradnl"/>
        </w:rPr>
        <w:t xml:space="preserve"> la Agencia Nacional de Contratación Pública ha </w:t>
      </w:r>
      <w:r w:rsidRPr="009C6B45">
        <w:rPr>
          <w:rFonts w:ascii="Arial" w:hAnsi="Arial" w:cs="Arial"/>
          <w:bCs/>
          <w:color w:val="000000" w:themeColor="text1"/>
          <w:sz w:val="22"/>
          <w:lang w:val="es-ES_tradnl"/>
        </w:rPr>
        <w:t>sostenido</w:t>
      </w:r>
      <w:r w:rsidR="009F1174" w:rsidRPr="009C6B45">
        <w:rPr>
          <w:rFonts w:ascii="Arial" w:hAnsi="Arial" w:cs="Arial"/>
          <w:bCs/>
          <w:color w:val="000000" w:themeColor="text1"/>
          <w:sz w:val="22"/>
          <w:lang w:val="es-ES_tradnl"/>
        </w:rPr>
        <w:t xml:space="preserve"> lo siguiente:</w:t>
      </w:r>
    </w:p>
    <w:p w14:paraId="316DADB4" w14:textId="77777777" w:rsidR="00A02F49" w:rsidRPr="009C6B45" w:rsidRDefault="00A02F49" w:rsidP="009F1174">
      <w:pPr>
        <w:ind w:left="709" w:right="758"/>
        <w:jc w:val="both"/>
        <w:rPr>
          <w:rFonts w:ascii="Arial" w:hAnsi="Arial" w:cs="Arial"/>
          <w:bCs/>
          <w:color w:val="000000" w:themeColor="text1"/>
          <w:sz w:val="21"/>
          <w:szCs w:val="21"/>
          <w:lang w:val="es-ES_tradnl"/>
        </w:rPr>
      </w:pPr>
    </w:p>
    <w:p w14:paraId="6B10F609" w14:textId="4677D596" w:rsidR="00B414DE" w:rsidRPr="009C6B45" w:rsidRDefault="00975C71" w:rsidP="009F1174">
      <w:pPr>
        <w:ind w:left="709" w:right="758"/>
        <w:jc w:val="both"/>
        <w:rPr>
          <w:rFonts w:ascii="Arial" w:hAnsi="Arial" w:cs="Arial"/>
          <w:bCs/>
          <w:color w:val="000000" w:themeColor="text1"/>
          <w:sz w:val="21"/>
          <w:szCs w:val="21"/>
          <w:lang w:val="es-ES_tradnl"/>
        </w:rPr>
      </w:pPr>
      <w:r w:rsidRPr="009C6B45">
        <w:rPr>
          <w:rFonts w:ascii="Arial" w:hAnsi="Arial" w:cs="Arial"/>
          <w:bCs/>
          <w:color w:val="000000" w:themeColor="text1"/>
          <w:sz w:val="21"/>
          <w:szCs w:val="21"/>
          <w:lang w:val="es-ES_tradnl"/>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w:t>
      </w:r>
    </w:p>
    <w:p w14:paraId="5BBDADF6" w14:textId="77777777" w:rsidR="009F1174" w:rsidRPr="009C6B45" w:rsidRDefault="009F1174" w:rsidP="009F1174">
      <w:pPr>
        <w:ind w:left="709" w:right="758"/>
        <w:jc w:val="both"/>
        <w:rPr>
          <w:rFonts w:ascii="Arial" w:hAnsi="Arial" w:cs="Arial"/>
          <w:bCs/>
          <w:color w:val="000000" w:themeColor="text1"/>
          <w:sz w:val="21"/>
          <w:szCs w:val="21"/>
          <w:lang w:val="es-ES_tradnl"/>
        </w:rPr>
      </w:pPr>
    </w:p>
    <w:p w14:paraId="1E1A1AD1" w14:textId="6D9D794F" w:rsidR="00BA1551" w:rsidRPr="009C6B45" w:rsidRDefault="00975C71" w:rsidP="009F1174">
      <w:pPr>
        <w:ind w:left="709" w:right="758"/>
        <w:jc w:val="both"/>
        <w:rPr>
          <w:rFonts w:ascii="Arial" w:hAnsi="Arial" w:cs="Arial"/>
          <w:bCs/>
          <w:color w:val="000000" w:themeColor="text1"/>
          <w:sz w:val="21"/>
          <w:szCs w:val="21"/>
          <w:lang w:val="es-ES_tradnl"/>
        </w:rPr>
      </w:pPr>
      <w:r w:rsidRPr="009C6B45">
        <w:rPr>
          <w:rFonts w:ascii="Arial" w:hAnsi="Arial" w:cs="Arial"/>
          <w:bCs/>
          <w:color w:val="000000" w:themeColor="text1"/>
          <w:sz w:val="21"/>
          <w:szCs w:val="21"/>
          <w:lang w:val="es-ES_tradnl"/>
        </w:rPr>
        <w:t>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contratos en los cuales la ley establece su obligatoriedad, se presume incorporada en el respectivo contrato y no podrá ser renunciada por la Administración</w:t>
      </w:r>
      <w:r w:rsidR="009F1174" w:rsidRPr="009C6B45">
        <w:rPr>
          <w:rStyle w:val="Refdenotaalpie"/>
          <w:rFonts w:ascii="Arial" w:hAnsi="Arial" w:cs="Arial"/>
          <w:bCs/>
          <w:color w:val="000000" w:themeColor="text1"/>
          <w:sz w:val="21"/>
          <w:szCs w:val="21"/>
          <w:lang w:val="es-ES_tradnl"/>
        </w:rPr>
        <w:footnoteReference w:id="10"/>
      </w:r>
      <w:r w:rsidRPr="009C6B45">
        <w:rPr>
          <w:rFonts w:ascii="Arial" w:hAnsi="Arial" w:cs="Arial"/>
          <w:bCs/>
          <w:color w:val="000000" w:themeColor="text1"/>
          <w:sz w:val="21"/>
          <w:szCs w:val="21"/>
          <w:lang w:val="es-ES_tradnl"/>
        </w:rPr>
        <w:t>.</w:t>
      </w:r>
    </w:p>
    <w:p w14:paraId="3B61F45E" w14:textId="77777777" w:rsidR="00A02F49" w:rsidRPr="009C6B45" w:rsidRDefault="00A02F49" w:rsidP="009F1174">
      <w:pPr>
        <w:spacing w:line="276" w:lineRule="auto"/>
        <w:jc w:val="both"/>
        <w:rPr>
          <w:rFonts w:ascii="Arial" w:hAnsi="Arial" w:cs="Arial"/>
          <w:bCs/>
          <w:color w:val="000000" w:themeColor="text1"/>
          <w:sz w:val="22"/>
          <w:lang w:val="es-ES_tradnl"/>
        </w:rPr>
      </w:pPr>
    </w:p>
    <w:p w14:paraId="655226B9" w14:textId="4D730265" w:rsidR="002A3EC7" w:rsidRPr="009C6B45" w:rsidRDefault="00A02F49" w:rsidP="002A3EC7">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Como puede verse, la finalidad y principal objetivo de la garantía</w:t>
      </w:r>
      <w:r w:rsidR="004110A1" w:rsidRPr="009C6B45">
        <w:rPr>
          <w:rFonts w:ascii="Arial" w:hAnsi="Arial" w:cs="Arial"/>
          <w:bCs/>
          <w:color w:val="000000" w:themeColor="text1"/>
          <w:sz w:val="22"/>
          <w:lang w:val="es-ES_tradnl"/>
        </w:rPr>
        <w:t xml:space="preserve"> de cumplimiento</w:t>
      </w:r>
      <w:r w:rsidRPr="009C6B45">
        <w:rPr>
          <w:rFonts w:ascii="Arial" w:hAnsi="Arial" w:cs="Arial"/>
          <w:bCs/>
          <w:color w:val="000000" w:themeColor="text1"/>
          <w:sz w:val="22"/>
          <w:lang w:val="es-ES_tradnl"/>
        </w:rPr>
        <w:t xml:space="preserve"> es proteger el patrimonio de la entidad de los potenciales riesgos </w:t>
      </w:r>
      <w:r w:rsidR="004110A1" w:rsidRPr="009C6B45">
        <w:rPr>
          <w:rFonts w:ascii="Arial" w:hAnsi="Arial" w:cs="Arial"/>
          <w:bCs/>
          <w:color w:val="000000" w:themeColor="text1"/>
          <w:sz w:val="22"/>
          <w:lang w:val="es-ES_tradnl"/>
        </w:rPr>
        <w:t xml:space="preserve">y efectos </w:t>
      </w:r>
      <w:r w:rsidRPr="009C6B45">
        <w:rPr>
          <w:rFonts w:ascii="Arial" w:hAnsi="Arial" w:cs="Arial"/>
          <w:bCs/>
          <w:color w:val="000000" w:themeColor="text1"/>
          <w:sz w:val="22"/>
          <w:lang w:val="es-ES_tradnl"/>
        </w:rPr>
        <w:t>derivados de un incumplimiento del contratista</w:t>
      </w:r>
      <w:r w:rsidR="004110A1" w:rsidRPr="009C6B45">
        <w:rPr>
          <w:rFonts w:ascii="Arial" w:hAnsi="Arial" w:cs="Arial"/>
          <w:bCs/>
          <w:color w:val="000000" w:themeColor="text1"/>
          <w:sz w:val="22"/>
          <w:lang w:val="es-ES_tradnl"/>
        </w:rPr>
        <w:t>. Esta función, se advierte, debe irradiar la comprensión de las normas sobre garantías en general</w:t>
      </w:r>
      <w:r w:rsidR="00E232ED" w:rsidRPr="009C6B45">
        <w:rPr>
          <w:rFonts w:ascii="Arial" w:hAnsi="Arial" w:cs="Arial"/>
          <w:bCs/>
          <w:color w:val="000000" w:themeColor="text1"/>
          <w:sz w:val="22"/>
          <w:lang w:val="es-ES_tradnl"/>
        </w:rPr>
        <w:t xml:space="preserve"> y sobre su vigencia en particular</w:t>
      </w:r>
      <w:r w:rsidR="004110A1" w:rsidRPr="009C6B45">
        <w:rPr>
          <w:rFonts w:ascii="Arial" w:hAnsi="Arial" w:cs="Arial"/>
          <w:bCs/>
          <w:color w:val="000000" w:themeColor="text1"/>
          <w:sz w:val="22"/>
          <w:lang w:val="es-ES_tradnl"/>
        </w:rPr>
        <w:t xml:space="preserve">. </w:t>
      </w:r>
    </w:p>
    <w:p w14:paraId="15ABCFBF" w14:textId="6BD8EA54" w:rsidR="002A3EC7" w:rsidRPr="009C6B45" w:rsidRDefault="00E232ED" w:rsidP="004110A1">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Según el </w:t>
      </w:r>
      <w:r w:rsidR="002A3EC7" w:rsidRPr="009C6B45">
        <w:rPr>
          <w:rFonts w:ascii="Arial" w:hAnsi="Arial" w:cs="Arial"/>
          <w:bCs/>
          <w:color w:val="000000" w:themeColor="text1"/>
          <w:sz w:val="22"/>
          <w:lang w:val="es-ES_tradnl"/>
        </w:rPr>
        <w:t>2.2.1.2.3.1.7. del Decreto 1082 de 2015</w:t>
      </w:r>
      <w:r w:rsidR="002A3EC7" w:rsidRPr="009C6B45">
        <w:rPr>
          <w:rStyle w:val="Refdenotaalpie"/>
          <w:rFonts w:ascii="Arial" w:hAnsi="Arial" w:cs="Arial"/>
          <w:bCs/>
          <w:color w:val="000000" w:themeColor="text1"/>
          <w:sz w:val="22"/>
          <w:lang w:val="es-ES_tradnl"/>
        </w:rPr>
        <w:footnoteReference w:id="11"/>
      </w:r>
      <w:r w:rsidRPr="009C6B45">
        <w:rPr>
          <w:rFonts w:ascii="Arial" w:hAnsi="Arial" w:cs="Arial"/>
          <w:bCs/>
          <w:color w:val="000000" w:themeColor="text1"/>
          <w:sz w:val="22"/>
          <w:lang w:val="es-ES_tradnl"/>
        </w:rPr>
        <w:t>,</w:t>
      </w:r>
      <w:r w:rsidR="002A3EC7" w:rsidRPr="009C6B45">
        <w:rPr>
          <w:rFonts w:ascii="Arial" w:hAnsi="Arial" w:cs="Arial"/>
          <w:bCs/>
          <w:color w:val="000000" w:themeColor="text1"/>
          <w:sz w:val="22"/>
          <w:lang w:val="es-ES_tradnl"/>
        </w:rPr>
        <w:t xml:space="preserve"> la garantía única de cumplimiento cuenta con varios amparos que incluyen el de buen manejo y correcta </w:t>
      </w:r>
      <w:r w:rsidR="002A3EC7" w:rsidRPr="009C6B45">
        <w:rPr>
          <w:rFonts w:ascii="Arial" w:hAnsi="Arial" w:cs="Arial"/>
          <w:bCs/>
          <w:color w:val="000000" w:themeColor="text1"/>
          <w:sz w:val="22"/>
          <w:lang w:val="es-ES_tradnl"/>
        </w:rPr>
        <w:lastRenderedPageBreak/>
        <w:t>inversión del anticipo, la devolución del pago anticipado, el amparo de cumplimiento del contrato, la garantía de pago de salarios, entre otros.</w:t>
      </w:r>
    </w:p>
    <w:p w14:paraId="33A7B4A1" w14:textId="74E946CE" w:rsidR="002A0A0B" w:rsidRPr="009C6B45" w:rsidRDefault="002A3EC7" w:rsidP="008208BF">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El amparo de cumplimiento</w:t>
      </w:r>
      <w:r w:rsidR="00E232ED" w:rsidRPr="009C6B45">
        <w:rPr>
          <w:rFonts w:ascii="Arial" w:hAnsi="Arial" w:cs="Arial"/>
          <w:bCs/>
          <w:color w:val="000000" w:themeColor="text1"/>
          <w:sz w:val="22"/>
          <w:lang w:val="es-ES_tradnl"/>
        </w:rPr>
        <w:t>, que constituye el objeto central de este concepto,</w:t>
      </w:r>
      <w:r w:rsidRPr="009C6B45">
        <w:rPr>
          <w:rFonts w:ascii="Arial" w:hAnsi="Arial" w:cs="Arial"/>
          <w:bCs/>
          <w:color w:val="000000" w:themeColor="text1"/>
          <w:sz w:val="22"/>
          <w:lang w:val="es-ES_tradnl"/>
        </w:rPr>
        <w:t xml:space="preserve"> es uno de los </w:t>
      </w:r>
      <w:r w:rsidR="008208BF" w:rsidRPr="009C6B45">
        <w:rPr>
          <w:rFonts w:ascii="Arial" w:hAnsi="Arial" w:cs="Arial"/>
          <w:bCs/>
          <w:color w:val="000000" w:themeColor="text1"/>
          <w:sz w:val="22"/>
          <w:lang w:val="es-ES_tradnl"/>
        </w:rPr>
        <w:t>múltiples</w:t>
      </w:r>
      <w:r w:rsidRPr="009C6B45">
        <w:rPr>
          <w:rFonts w:ascii="Arial" w:hAnsi="Arial" w:cs="Arial"/>
          <w:bCs/>
          <w:color w:val="000000" w:themeColor="text1"/>
          <w:sz w:val="22"/>
          <w:lang w:val="es-ES_tradnl"/>
        </w:rPr>
        <w:t xml:space="preserve"> </w:t>
      </w:r>
      <w:r w:rsidR="008208BF" w:rsidRPr="009C6B45">
        <w:rPr>
          <w:rFonts w:ascii="Arial" w:hAnsi="Arial" w:cs="Arial"/>
          <w:bCs/>
          <w:color w:val="000000" w:themeColor="text1"/>
          <w:sz w:val="22"/>
          <w:lang w:val="es-ES_tradnl"/>
        </w:rPr>
        <w:t xml:space="preserve">amparos </w:t>
      </w:r>
      <w:r w:rsidRPr="009C6B45">
        <w:rPr>
          <w:rFonts w:ascii="Arial" w:hAnsi="Arial" w:cs="Arial"/>
          <w:bCs/>
          <w:color w:val="000000" w:themeColor="text1"/>
          <w:sz w:val="22"/>
          <w:lang w:val="es-ES_tradnl"/>
        </w:rPr>
        <w:t>que conforman la garantía única de cumplimiento</w:t>
      </w:r>
      <w:r w:rsidR="003B1CAE">
        <w:rPr>
          <w:rFonts w:ascii="Arial" w:hAnsi="Arial" w:cs="Arial"/>
          <w:bCs/>
          <w:color w:val="000000" w:themeColor="text1"/>
          <w:sz w:val="22"/>
          <w:lang w:val="es-ES_tradnl"/>
        </w:rPr>
        <w:t>.</w:t>
      </w:r>
      <w:r w:rsidR="00E232ED" w:rsidRPr="009C6B45">
        <w:rPr>
          <w:rFonts w:ascii="Arial" w:hAnsi="Arial" w:cs="Arial"/>
          <w:bCs/>
          <w:color w:val="000000" w:themeColor="text1"/>
          <w:sz w:val="22"/>
          <w:lang w:val="es-ES_tradnl"/>
        </w:rPr>
        <w:t xml:space="preserve"> </w:t>
      </w:r>
      <w:r w:rsidR="003B1CAE">
        <w:rPr>
          <w:rFonts w:ascii="Arial" w:hAnsi="Arial" w:cs="Arial"/>
          <w:bCs/>
          <w:color w:val="000000" w:themeColor="text1"/>
          <w:sz w:val="22"/>
          <w:lang w:val="es-ES_tradnl"/>
        </w:rPr>
        <w:t>A</w:t>
      </w:r>
      <w:r w:rsidR="00E232ED" w:rsidRPr="009C6B45">
        <w:rPr>
          <w:rFonts w:ascii="Arial" w:hAnsi="Arial" w:cs="Arial"/>
          <w:bCs/>
          <w:color w:val="000000" w:themeColor="text1"/>
          <w:sz w:val="22"/>
          <w:lang w:val="es-ES_tradnl"/>
        </w:rPr>
        <w:t xml:space="preserve">l tenor de lo normado por el </w:t>
      </w:r>
      <w:r w:rsidRPr="009C6B45">
        <w:rPr>
          <w:rFonts w:ascii="Arial" w:hAnsi="Arial" w:cs="Arial"/>
          <w:bCs/>
          <w:color w:val="000000" w:themeColor="text1"/>
          <w:sz w:val="22"/>
          <w:lang w:val="es-ES_tradnl"/>
        </w:rPr>
        <w:t xml:space="preserve">artículo 2.2.1.2.3.1.7. </w:t>
      </w:r>
      <w:r w:rsidRPr="009C6B45">
        <w:rPr>
          <w:rFonts w:ascii="Arial" w:hAnsi="Arial" w:cs="Arial"/>
          <w:bCs/>
          <w:i/>
          <w:iCs/>
          <w:color w:val="000000" w:themeColor="text1"/>
          <w:sz w:val="22"/>
          <w:lang w:val="es-ES_tradnl"/>
        </w:rPr>
        <w:t>Ibídem</w:t>
      </w:r>
      <w:r w:rsidR="00E232ED" w:rsidRPr="009C6B45">
        <w:rPr>
          <w:rFonts w:ascii="Arial" w:hAnsi="Arial" w:cs="Arial"/>
          <w:bCs/>
          <w:color w:val="000000" w:themeColor="text1"/>
          <w:sz w:val="22"/>
          <w:lang w:val="es-ES_tradnl"/>
        </w:rPr>
        <w:t xml:space="preserve"> la garantía de cumplimiento debe </w:t>
      </w:r>
      <w:r w:rsidR="008208BF" w:rsidRPr="009C6B45">
        <w:rPr>
          <w:rFonts w:ascii="Arial" w:hAnsi="Arial" w:cs="Arial"/>
          <w:bCs/>
          <w:color w:val="000000" w:themeColor="text1"/>
          <w:sz w:val="22"/>
          <w:lang w:val="es-ES_tradnl"/>
        </w:rPr>
        <w:t xml:space="preserve">proteger a la entidad </w:t>
      </w:r>
      <w:r w:rsidR="002A0A0B" w:rsidRPr="009C6B45">
        <w:rPr>
          <w:rFonts w:ascii="Arial" w:hAnsi="Arial" w:cs="Arial"/>
          <w:bCs/>
          <w:color w:val="000000" w:themeColor="text1"/>
          <w:sz w:val="22"/>
          <w:lang w:val="es-ES_tradnl"/>
        </w:rPr>
        <w:t>de los perjuicios que se pueda</w:t>
      </w:r>
      <w:r w:rsidR="008208BF" w:rsidRPr="009C6B45">
        <w:rPr>
          <w:rFonts w:ascii="Arial" w:hAnsi="Arial" w:cs="Arial"/>
          <w:bCs/>
          <w:color w:val="000000" w:themeColor="text1"/>
          <w:sz w:val="22"/>
          <w:lang w:val="es-ES_tradnl"/>
        </w:rPr>
        <w:t>n</w:t>
      </w:r>
      <w:r w:rsidR="002A0A0B" w:rsidRPr="009C6B45">
        <w:rPr>
          <w:rFonts w:ascii="Arial" w:hAnsi="Arial" w:cs="Arial"/>
          <w:bCs/>
          <w:color w:val="000000" w:themeColor="text1"/>
          <w:sz w:val="22"/>
          <w:lang w:val="es-ES_tradnl"/>
        </w:rPr>
        <w:t xml:space="preserve"> ocasionar con el incumplimiento, total o parcial del contrato, del cumplimiento tardío o defectuoso, de los daños por entregas parciales de la obra, cuando el contrato no prevé entregas parciales, y del valor de las multas y de la cláusula penal pecuniaria. De lo anterior se advierte que el amparo de cumplimiento tiene como objeto proteger a la entidad de los riesgos que puedan concretarse durante la etapa de ejecución del contrato y, más claramente, aquellos derivados de incumplimientos o conductas imputables al contratista. </w:t>
      </w:r>
    </w:p>
    <w:p w14:paraId="6D08D940" w14:textId="2DD8E097" w:rsidR="004F3B02" w:rsidRPr="009C6B45" w:rsidRDefault="008208BF" w:rsidP="008208BF">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De otra parte, e</w:t>
      </w:r>
      <w:r w:rsidR="004110A1" w:rsidRPr="009C6B45">
        <w:rPr>
          <w:rFonts w:ascii="Arial" w:hAnsi="Arial" w:cs="Arial"/>
          <w:bCs/>
          <w:color w:val="000000" w:themeColor="text1"/>
          <w:sz w:val="22"/>
          <w:lang w:val="es-ES_tradnl"/>
        </w:rPr>
        <w:t xml:space="preserve">n relación con la vigencia de las garantías, </w:t>
      </w:r>
      <w:r w:rsidR="001850FE" w:rsidRPr="009C6B45">
        <w:rPr>
          <w:rFonts w:ascii="Arial" w:hAnsi="Arial" w:cs="Arial"/>
          <w:bCs/>
          <w:color w:val="000000" w:themeColor="text1"/>
          <w:sz w:val="22"/>
          <w:lang w:val="es-ES_tradnl"/>
        </w:rPr>
        <w:t xml:space="preserve">el artículo 2.2.1.2.3.1.12. del citado </w:t>
      </w:r>
      <w:r w:rsidR="00635578">
        <w:rPr>
          <w:rFonts w:ascii="Arial" w:hAnsi="Arial" w:cs="Arial"/>
          <w:bCs/>
          <w:color w:val="000000" w:themeColor="text1"/>
          <w:sz w:val="22"/>
          <w:lang w:val="es-ES_tradnl"/>
        </w:rPr>
        <w:t>D</w:t>
      </w:r>
      <w:r w:rsidR="001850FE" w:rsidRPr="009C6B45">
        <w:rPr>
          <w:rFonts w:ascii="Arial" w:hAnsi="Arial" w:cs="Arial"/>
          <w:bCs/>
          <w:color w:val="000000" w:themeColor="text1"/>
          <w:sz w:val="22"/>
          <w:lang w:val="es-ES_tradnl"/>
        </w:rPr>
        <w:t xml:space="preserve">ecreto señala que «[l]a garantía de cumplimiento del contrato debe tener una vigencia mínima hasta la liquidación del contrato». </w:t>
      </w:r>
    </w:p>
    <w:p w14:paraId="7ED81E22" w14:textId="58714DEA" w:rsidR="008208BF" w:rsidRPr="009C6B45" w:rsidRDefault="008208BF" w:rsidP="008208BF">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Lo primero que debe ponerse de presente es que esta disposición no se refiere a la garantía única de cumplimiento en su totalidad, sino exclusivamente al amparo de cumplimiento al que se ha venido haciendo referencia; ello explica, que los artículos anteriores y subsiguientes establezcan términos diferentes para los demás amparos</w:t>
      </w:r>
      <w:r w:rsidR="004F3B02" w:rsidRPr="009C6B45">
        <w:rPr>
          <w:rFonts w:ascii="Arial" w:hAnsi="Arial" w:cs="Arial"/>
          <w:bCs/>
          <w:color w:val="000000" w:themeColor="text1"/>
          <w:sz w:val="22"/>
          <w:lang w:val="es-ES_tradnl"/>
        </w:rPr>
        <w:t xml:space="preserve"> que conforman la garantía única de cumplimiento</w:t>
      </w:r>
      <w:r w:rsidRPr="009C6B45">
        <w:rPr>
          <w:rFonts w:ascii="Arial" w:hAnsi="Arial" w:cs="Arial"/>
          <w:bCs/>
          <w:color w:val="000000" w:themeColor="text1"/>
          <w:sz w:val="22"/>
          <w:lang w:val="es-ES_tradnl"/>
        </w:rPr>
        <w:t xml:space="preserve">. Así, por ejemplo, el artículo 2.2.1.2.3.1.13 </w:t>
      </w:r>
      <w:r w:rsidRPr="009C6B45">
        <w:rPr>
          <w:rFonts w:ascii="Arial" w:hAnsi="Arial" w:cs="Arial"/>
          <w:bCs/>
          <w:i/>
          <w:iCs/>
          <w:color w:val="000000" w:themeColor="text1"/>
          <w:sz w:val="22"/>
          <w:lang w:val="es-ES_tradnl"/>
        </w:rPr>
        <w:t>Ibídem</w:t>
      </w:r>
      <w:r w:rsidRPr="009C6B45">
        <w:rPr>
          <w:rFonts w:ascii="Arial" w:hAnsi="Arial" w:cs="Arial"/>
          <w:bCs/>
          <w:color w:val="000000" w:themeColor="text1"/>
          <w:sz w:val="22"/>
          <w:lang w:val="es-ES_tradnl"/>
        </w:rPr>
        <w:t xml:space="preserve"> </w:t>
      </w:r>
      <w:r w:rsidR="004F3B02" w:rsidRPr="009C6B45">
        <w:rPr>
          <w:rFonts w:ascii="Arial" w:hAnsi="Arial" w:cs="Arial"/>
          <w:bCs/>
          <w:color w:val="000000" w:themeColor="text1"/>
          <w:sz w:val="22"/>
          <w:lang w:val="es-ES_tradnl"/>
        </w:rPr>
        <w:t xml:space="preserve">prescribe que la garantía de pago de salarios y prestaciones sociales debe estar vigente por el plazo del contrato y 3 años adicionales y, a su vez, el artículo 2.2.1.2.3.1.14 establece un término no inferior a 5 años para la garantía de estabilidad de la obra. </w:t>
      </w:r>
    </w:p>
    <w:p w14:paraId="0DC6E4AD" w14:textId="742CCFC1" w:rsidR="004F3B02" w:rsidRPr="009C6B45" w:rsidRDefault="004F3B02" w:rsidP="008208BF">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Dicho ello, es preciso distinguir dos conceptos jurídicos relevantes para comprender el alcance del artículo 2.2.1.2.3.1.12.; estos son, de un lado, la vigencia de la garantía y, de otro, el plazo para su reclamación. Esta distinción es importante pues para hacer una reclamación </w:t>
      </w:r>
      <w:r w:rsidR="00DE5B4E" w:rsidRPr="009C6B45">
        <w:rPr>
          <w:rFonts w:ascii="Arial" w:hAnsi="Arial" w:cs="Arial"/>
          <w:bCs/>
          <w:color w:val="000000" w:themeColor="text1"/>
          <w:sz w:val="22"/>
          <w:lang w:val="es-ES_tradnl"/>
        </w:rPr>
        <w:t xml:space="preserve">válida </w:t>
      </w:r>
      <w:r w:rsidRPr="009C6B45">
        <w:rPr>
          <w:rFonts w:ascii="Arial" w:hAnsi="Arial" w:cs="Arial"/>
          <w:bCs/>
          <w:color w:val="000000" w:themeColor="text1"/>
          <w:sz w:val="22"/>
          <w:lang w:val="es-ES_tradnl"/>
        </w:rPr>
        <w:t xml:space="preserve">al garante no es indispensable que la garantía se encuentre vigente, sino que lo haya estado en el momento de la concreción de riesgo, como se pasa a explicar.  </w:t>
      </w:r>
    </w:p>
    <w:p w14:paraId="09085642" w14:textId="6FBD6FEC" w:rsidR="004F3B02" w:rsidRPr="009C6B45" w:rsidRDefault="00DE5B4E" w:rsidP="00DE5B4E">
      <w:pPr>
        <w:spacing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lastRenderedPageBreak/>
        <w:t xml:space="preserve">Sobre el punto, el artículo 1047 del Código de Comercio establece que la póliza debe expresar, entre otros, «ii) la vigencia del contrato, con indicación de las fechas y horas de iniciación y vencimiento, o el modo de determinar unas y otras». El Consejo de Estado se pronunció sobre esta disposición en los siguientes términos: </w:t>
      </w:r>
    </w:p>
    <w:p w14:paraId="2A3E385A" w14:textId="77777777" w:rsidR="00DE5B4E" w:rsidRPr="009C6B45" w:rsidRDefault="00DE5B4E" w:rsidP="00DE5B4E">
      <w:pPr>
        <w:ind w:left="709" w:right="758"/>
        <w:jc w:val="both"/>
        <w:rPr>
          <w:rFonts w:ascii="Arial" w:hAnsi="Arial" w:cs="Arial"/>
          <w:bCs/>
          <w:color w:val="000000" w:themeColor="text1"/>
          <w:sz w:val="21"/>
          <w:szCs w:val="21"/>
          <w:lang w:val="es-ES_tradnl"/>
        </w:rPr>
      </w:pPr>
    </w:p>
    <w:p w14:paraId="36B24A35" w14:textId="4A45C0B4" w:rsidR="004F3B02" w:rsidRPr="009C6B45" w:rsidRDefault="004F3B02" w:rsidP="00DE5B4E">
      <w:pPr>
        <w:ind w:left="709" w:right="758"/>
        <w:jc w:val="both"/>
        <w:rPr>
          <w:rFonts w:ascii="Arial" w:hAnsi="Arial" w:cs="Arial"/>
          <w:bCs/>
          <w:color w:val="000000" w:themeColor="text1"/>
          <w:sz w:val="21"/>
          <w:szCs w:val="21"/>
          <w:lang w:val="es-ES_tradnl"/>
        </w:rPr>
      </w:pPr>
      <w:r w:rsidRPr="009C6B45">
        <w:rPr>
          <w:rFonts w:ascii="Arial" w:hAnsi="Arial" w:cs="Arial"/>
          <w:bCs/>
          <w:color w:val="000000" w:themeColor="text1"/>
          <w:sz w:val="21"/>
          <w:szCs w:val="21"/>
          <w:lang w:val="es-ES_tradnl"/>
        </w:rPr>
        <w:t>Dada la naturaleza de la obligación que contrae el asegurador,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w:t>
      </w:r>
      <w:r w:rsidR="00DE5B4E" w:rsidRPr="009C6B45">
        <w:rPr>
          <w:rStyle w:val="Refdenotaalpie"/>
          <w:rFonts w:ascii="Arial" w:hAnsi="Arial" w:cs="Arial"/>
          <w:bCs/>
          <w:color w:val="000000" w:themeColor="text1"/>
          <w:sz w:val="21"/>
          <w:szCs w:val="21"/>
          <w:lang w:val="es-ES_tradnl"/>
        </w:rPr>
        <w:footnoteReference w:id="12"/>
      </w:r>
      <w:r w:rsidRPr="009C6B45">
        <w:rPr>
          <w:rFonts w:ascii="Arial" w:hAnsi="Arial" w:cs="Arial"/>
          <w:bCs/>
          <w:color w:val="000000" w:themeColor="text1"/>
          <w:sz w:val="21"/>
          <w:szCs w:val="21"/>
          <w:lang w:val="es-ES_tradnl"/>
        </w:rPr>
        <w:t xml:space="preserve">. </w:t>
      </w:r>
    </w:p>
    <w:p w14:paraId="70FE8CA2" w14:textId="77777777" w:rsidR="00DE5B4E" w:rsidRPr="009C6B45" w:rsidRDefault="00DE5B4E" w:rsidP="00DE5B4E">
      <w:pPr>
        <w:ind w:left="709" w:right="758"/>
        <w:jc w:val="both"/>
        <w:rPr>
          <w:rFonts w:ascii="Arial" w:hAnsi="Arial" w:cs="Arial"/>
          <w:bCs/>
          <w:color w:val="000000" w:themeColor="text1"/>
          <w:sz w:val="21"/>
          <w:szCs w:val="21"/>
          <w:lang w:val="es-ES_tradnl"/>
        </w:rPr>
      </w:pPr>
    </w:p>
    <w:p w14:paraId="6C5B624B" w14:textId="7E49B4CE" w:rsidR="00DE5B4E" w:rsidRDefault="00DE5B4E" w:rsidP="00DE5B4E">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Resulta claro que el riesgo que se traslada al garante solamente será aquel se realice dentro del plazo de vigencia del contrato; es decir, si el siniestro se presenta dentro de esos límites temporales el garante deberá asumir sus consecuencias. Sin embargo, ello no puede confundirse con el término para hacer la reclamación de un riesgo ocurrido durante el término de vigencia de la garantía, pues para ello resulta necesario recurrir a las normas sobre prescripción de las acciones. </w:t>
      </w:r>
    </w:p>
    <w:p w14:paraId="6CAA3074" w14:textId="2EAC6686" w:rsidR="009C6B45" w:rsidRPr="009C6B45" w:rsidRDefault="009C6B45" w:rsidP="00DE5B4E">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Conforme a lo explicado, puede decirse que una vez culmina el plazo de ejecución, deja de existir también, en gran medida, el riesgo de incumplimiento por parte del contratista, pues los incumplimientos del contrato, por definición, solamente pueden ocurrir durante la etapa de cumplimiento, o ejecución de las obligaciones. Lo anterior no pretende desconocer que para ciertos contratos algunas obligaciones y su exigibilidad subsisten más allá del plazo acordado para la ejecución del objeto principal, tal puede ser el caso de los aportes a la seguridad social de los trabajadores vinculados a la ejecución del objeto del contrato. </w:t>
      </w:r>
    </w:p>
    <w:p w14:paraId="76D4D18A" w14:textId="3B691688" w:rsidR="00727BE1" w:rsidRPr="009C6B45" w:rsidRDefault="00727BE1" w:rsidP="00727BE1">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Lo anterior, según lo explicado, no puede confundirse con la reclamación, y por ello aún si la entidad comprueba o verifica un incumplimiento con posterioridad al plazo de ejecución, este incumplimiento es un riesgo asegurado puesto que se ha concretado, temporalmente hablando, durante </w:t>
      </w:r>
      <w:r w:rsidR="009C6B45">
        <w:rPr>
          <w:rFonts w:ascii="Arial" w:hAnsi="Arial" w:cs="Arial"/>
          <w:bCs/>
          <w:color w:val="000000" w:themeColor="text1"/>
          <w:sz w:val="22"/>
          <w:lang w:val="es-ES_tradnl"/>
        </w:rPr>
        <w:t>el</w:t>
      </w:r>
      <w:r w:rsidR="009C6B45" w:rsidRPr="009C6B45">
        <w:rPr>
          <w:rFonts w:ascii="Arial" w:hAnsi="Arial" w:cs="Arial"/>
          <w:bCs/>
          <w:color w:val="000000" w:themeColor="text1"/>
          <w:sz w:val="22"/>
          <w:lang w:val="es-ES_tradnl"/>
        </w:rPr>
        <w:t xml:space="preserve"> </w:t>
      </w:r>
      <w:r w:rsidRPr="009C6B45">
        <w:rPr>
          <w:rFonts w:ascii="Arial" w:hAnsi="Arial" w:cs="Arial"/>
          <w:bCs/>
          <w:color w:val="000000" w:themeColor="text1"/>
          <w:sz w:val="22"/>
          <w:lang w:val="es-ES_tradnl"/>
        </w:rPr>
        <w:t>plazo de ejecución del contrato.</w:t>
      </w:r>
    </w:p>
    <w:p w14:paraId="7B20EC0A" w14:textId="77777777" w:rsidR="00727BE1" w:rsidRPr="009C6B45" w:rsidRDefault="00727BE1" w:rsidP="00727BE1">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Por ello es fundamental que el amparo esté vigente hasta el plazo máximo de ejecución del contrato y sus obligaciones, pero desde el punto de vista del riesgo asegurado, no sería necesario que dicha garantía se extienda para comprender los plazos adicionales otorgados por el ordenamiento para realizar la liquidación. </w:t>
      </w:r>
    </w:p>
    <w:p w14:paraId="2765F2F0" w14:textId="44370F63" w:rsidR="00EC4208" w:rsidRPr="009C6B45" w:rsidRDefault="007917E4" w:rsidP="008F6F78">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No obstante, la norma reglamentaria es clara y exige de la entidad estatal que la garantía permanezca vigente </w:t>
      </w:r>
      <w:r w:rsidR="008F6F78" w:rsidRPr="009C6B45">
        <w:rPr>
          <w:rFonts w:ascii="Arial" w:hAnsi="Arial" w:cs="Arial"/>
          <w:bCs/>
          <w:color w:val="000000" w:themeColor="text1"/>
          <w:sz w:val="22"/>
          <w:lang w:val="es-ES_tradnl"/>
        </w:rPr>
        <w:t xml:space="preserve">hasta la efectiva liquidación del contrato; esto es </w:t>
      </w:r>
      <w:r w:rsidRPr="009C6B45">
        <w:rPr>
          <w:rFonts w:ascii="Arial" w:hAnsi="Arial" w:cs="Arial"/>
          <w:bCs/>
          <w:color w:val="000000" w:themeColor="text1"/>
          <w:sz w:val="22"/>
          <w:lang w:val="es-ES_tradnl"/>
        </w:rPr>
        <w:t xml:space="preserve">más allá del plazo de ejecución. </w:t>
      </w:r>
      <w:r w:rsidR="00944606" w:rsidRPr="009C6B45">
        <w:rPr>
          <w:rFonts w:ascii="Arial" w:hAnsi="Arial" w:cs="Arial"/>
          <w:bCs/>
          <w:color w:val="000000" w:themeColor="text1"/>
          <w:sz w:val="22"/>
          <w:lang w:val="es-ES_tradnl"/>
        </w:rPr>
        <w:t xml:space="preserve">Ello revela que </w:t>
      </w:r>
      <w:r w:rsidRPr="009C6B45">
        <w:rPr>
          <w:rFonts w:ascii="Arial" w:hAnsi="Arial" w:cs="Arial"/>
          <w:bCs/>
          <w:color w:val="000000" w:themeColor="text1"/>
          <w:sz w:val="22"/>
          <w:lang w:val="es-ES_tradnl"/>
        </w:rPr>
        <w:t>el Decreto 1082 de 2015</w:t>
      </w:r>
      <w:r w:rsidR="00944606" w:rsidRPr="009C6B45">
        <w:rPr>
          <w:rFonts w:ascii="Arial" w:hAnsi="Arial" w:cs="Arial"/>
          <w:bCs/>
          <w:color w:val="000000" w:themeColor="text1"/>
          <w:sz w:val="22"/>
          <w:lang w:val="es-ES_tradnl"/>
        </w:rPr>
        <w:t xml:space="preserve"> </w:t>
      </w:r>
      <w:r w:rsidR="00EC4208" w:rsidRPr="009C6B45">
        <w:rPr>
          <w:rFonts w:ascii="Arial" w:hAnsi="Arial" w:cs="Arial"/>
          <w:bCs/>
          <w:color w:val="000000" w:themeColor="text1"/>
          <w:sz w:val="22"/>
          <w:lang w:val="es-ES_tradnl"/>
        </w:rPr>
        <w:t xml:space="preserve">hace una exigencia que se podría calificar como excesiva en la medida en que requiere que el amparo de cumplimiento </w:t>
      </w:r>
      <w:r w:rsidR="00EC4208" w:rsidRPr="009C6B45">
        <w:rPr>
          <w:rFonts w:ascii="Arial" w:hAnsi="Arial" w:cs="Arial"/>
          <w:bCs/>
          <w:color w:val="000000" w:themeColor="text1"/>
          <w:sz w:val="22"/>
          <w:lang w:val="es-ES_tradnl"/>
        </w:rPr>
        <w:lastRenderedPageBreak/>
        <w:t>esté vigente incluso durante un per</w:t>
      </w:r>
      <w:r w:rsidR="001E65F8" w:rsidRPr="00752428">
        <w:rPr>
          <w:rFonts w:ascii="Arial" w:hAnsi="Arial" w:cs="Arial"/>
          <w:bCs/>
          <w:color w:val="000000" w:themeColor="text1"/>
          <w:sz w:val="22"/>
          <w:lang w:val="es-ES_tradnl"/>
        </w:rPr>
        <w:t>í</w:t>
      </w:r>
      <w:r w:rsidR="00EC4208" w:rsidRPr="009C6B45">
        <w:rPr>
          <w:rFonts w:ascii="Arial" w:hAnsi="Arial" w:cs="Arial"/>
          <w:bCs/>
          <w:color w:val="000000" w:themeColor="text1"/>
          <w:sz w:val="22"/>
          <w:lang w:val="es-ES_tradnl"/>
        </w:rPr>
        <w:t>odo en donde el riesgo asegurado no podría</w:t>
      </w:r>
      <w:r w:rsidR="009C6B45">
        <w:rPr>
          <w:rFonts w:ascii="Arial" w:hAnsi="Arial" w:cs="Arial"/>
          <w:bCs/>
          <w:color w:val="000000" w:themeColor="text1"/>
          <w:sz w:val="22"/>
          <w:lang w:val="es-ES_tradnl"/>
        </w:rPr>
        <w:t>, en principio,</w:t>
      </w:r>
      <w:r w:rsidR="00EC4208" w:rsidRPr="009C6B45">
        <w:rPr>
          <w:rFonts w:ascii="Arial" w:hAnsi="Arial" w:cs="Arial"/>
          <w:bCs/>
          <w:color w:val="000000" w:themeColor="text1"/>
          <w:sz w:val="22"/>
          <w:lang w:val="es-ES_tradnl"/>
        </w:rPr>
        <w:t xml:space="preserve"> acaecer: esto es, el plazo que va desde la terminación del contrato hasta la efectiva liquidación. </w:t>
      </w:r>
    </w:p>
    <w:p w14:paraId="4FB619DB" w14:textId="49922790" w:rsidR="009C6B45" w:rsidRDefault="009C6B45" w:rsidP="00EF3D2F">
      <w:pPr>
        <w:spacing w:after="120" w:line="276" w:lineRule="auto"/>
        <w:ind w:firstLine="708"/>
        <w:jc w:val="both"/>
        <w:rPr>
          <w:rFonts w:ascii="Arial" w:hAnsi="Arial" w:cs="Arial"/>
          <w:bCs/>
          <w:color w:val="000000" w:themeColor="text1"/>
          <w:sz w:val="22"/>
          <w:lang w:val="es-ES_tradnl"/>
        </w:rPr>
      </w:pPr>
      <w:r>
        <w:rPr>
          <w:rFonts w:ascii="Arial" w:hAnsi="Arial" w:cs="Arial"/>
          <w:bCs/>
          <w:color w:val="000000" w:themeColor="text1"/>
          <w:sz w:val="22"/>
          <w:lang w:val="es-ES_tradnl"/>
        </w:rPr>
        <w:t>Pese a ello</w:t>
      </w:r>
      <w:r w:rsidR="006D4530" w:rsidRPr="009C6B45">
        <w:rPr>
          <w:rFonts w:ascii="Arial" w:hAnsi="Arial" w:cs="Arial"/>
          <w:bCs/>
          <w:color w:val="000000" w:themeColor="text1"/>
          <w:sz w:val="22"/>
          <w:lang w:val="es-ES_tradnl"/>
        </w:rPr>
        <w:t xml:space="preserve">, la garantía de cumplimiento, en virtud del tenor literal de las normas vigentes, debe tener una vigencia mínima hasta la efectiva liquidación del contrato. </w:t>
      </w:r>
    </w:p>
    <w:p w14:paraId="5659D74B" w14:textId="35450E10" w:rsidR="009C6B45" w:rsidRDefault="009C6B45" w:rsidP="00EF3D2F">
      <w:pPr>
        <w:spacing w:after="120" w:line="276" w:lineRule="auto"/>
        <w:ind w:firstLine="708"/>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Para poner en contacto este aparte del concepto con los términos para la liquidación bilateral, unilateral o judicial, se puede afirmar que la entidad </w:t>
      </w:r>
      <w:r>
        <w:rPr>
          <w:rFonts w:ascii="Arial" w:hAnsi="Arial" w:cs="Arial"/>
          <w:bCs/>
          <w:color w:val="000000" w:themeColor="text1"/>
          <w:sz w:val="22"/>
          <w:lang w:val="es-ES_tradnl"/>
        </w:rPr>
        <w:t xml:space="preserve">debe mantener la garantía de cumplimiento vigente durante el plazo de ejecución del contrato, más el plazo para la liquidación bilateral – bien sea este el plazo acordado por las partes o el supletivo de </w:t>
      </w:r>
      <w:r w:rsidR="006D52F1">
        <w:rPr>
          <w:rFonts w:ascii="Arial" w:hAnsi="Arial" w:cs="Arial"/>
          <w:bCs/>
          <w:color w:val="000000" w:themeColor="text1"/>
          <w:sz w:val="22"/>
          <w:lang w:val="es-ES_tradnl"/>
        </w:rPr>
        <w:t>4</w:t>
      </w:r>
      <w:r>
        <w:rPr>
          <w:rFonts w:ascii="Arial" w:hAnsi="Arial" w:cs="Arial"/>
          <w:bCs/>
          <w:color w:val="000000" w:themeColor="text1"/>
          <w:sz w:val="22"/>
          <w:lang w:val="es-ES_tradnl"/>
        </w:rPr>
        <w:t xml:space="preserve"> meses – más el plazo de dos meses que tiene la entidad para realizar la liquidación unilateral. </w:t>
      </w:r>
    </w:p>
    <w:p w14:paraId="578F69A5" w14:textId="77777777" w:rsidR="00056F52" w:rsidRDefault="009C6B45" w:rsidP="00EF3D2F">
      <w:pPr>
        <w:spacing w:after="120" w:line="276" w:lineRule="auto"/>
        <w:ind w:firstLine="708"/>
        <w:jc w:val="both"/>
        <w:rPr>
          <w:rFonts w:ascii="Arial" w:hAnsi="Arial" w:cs="Arial"/>
          <w:bCs/>
          <w:color w:val="000000" w:themeColor="text1"/>
          <w:sz w:val="22"/>
          <w:lang w:val="es-ES_tradnl"/>
        </w:rPr>
      </w:pPr>
      <w:r>
        <w:rPr>
          <w:rFonts w:ascii="Arial" w:hAnsi="Arial" w:cs="Arial"/>
          <w:bCs/>
          <w:color w:val="000000" w:themeColor="text1"/>
          <w:sz w:val="22"/>
          <w:lang w:val="es-ES_tradnl"/>
        </w:rPr>
        <w:t>Con base en ello, si no se pactó un plazo para la liquidación bilateral, la entidad debe solicitar que el amparo de cumplimiento esté vigente desde la suscripción del contrato</w:t>
      </w:r>
      <w:r w:rsidR="00056F52">
        <w:rPr>
          <w:rFonts w:ascii="Arial" w:hAnsi="Arial" w:cs="Arial"/>
          <w:bCs/>
          <w:color w:val="000000" w:themeColor="text1"/>
          <w:sz w:val="22"/>
          <w:lang w:val="es-ES_tradnl"/>
        </w:rPr>
        <w:t>, durante todo el plazo de ejecución y seis meses más; esto correspondería al plazo de los 4 meses supletorios para la liquidación bilateral más 2 meses adicionales para la liquidación unilateral.</w:t>
      </w:r>
    </w:p>
    <w:p w14:paraId="2E143CF5" w14:textId="07049615" w:rsidR="009C6B45" w:rsidRDefault="00056F52" w:rsidP="00EF3D2F">
      <w:pPr>
        <w:spacing w:after="120" w:line="276" w:lineRule="auto"/>
        <w:ind w:firstLine="708"/>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Ahora bien, si por alguna razón no se logra liquidar el contrato dentro del plazo para la liquidación unilateral, la entidad estatal </w:t>
      </w:r>
      <w:r w:rsidR="00565B22">
        <w:rPr>
          <w:rFonts w:ascii="Arial" w:hAnsi="Arial" w:cs="Arial"/>
          <w:bCs/>
          <w:color w:val="000000" w:themeColor="text1"/>
          <w:sz w:val="22"/>
          <w:lang w:val="es-ES_tradnl"/>
        </w:rPr>
        <w:t>deberá</w:t>
      </w:r>
      <w:r>
        <w:rPr>
          <w:rFonts w:ascii="Arial" w:hAnsi="Arial" w:cs="Arial"/>
          <w:bCs/>
          <w:color w:val="000000" w:themeColor="text1"/>
          <w:sz w:val="22"/>
          <w:lang w:val="es-ES_tradnl"/>
        </w:rPr>
        <w:t xml:space="preserve"> solicitar al contratista que amplíe el amparo de cumplimiento hasta que se logre la efectiva liquidación del contrato. </w:t>
      </w:r>
    </w:p>
    <w:p w14:paraId="7F7479D0" w14:textId="77777777" w:rsidR="00056F52" w:rsidRDefault="00056F52" w:rsidP="00EF3D2F">
      <w:pPr>
        <w:spacing w:after="120" w:line="276" w:lineRule="auto"/>
        <w:ind w:firstLine="708"/>
        <w:jc w:val="both"/>
        <w:rPr>
          <w:rFonts w:ascii="Arial" w:hAnsi="Arial" w:cs="Arial"/>
          <w:bCs/>
          <w:color w:val="000000" w:themeColor="text1"/>
          <w:sz w:val="22"/>
          <w:lang w:val="es-ES_tradnl"/>
        </w:rPr>
      </w:pPr>
    </w:p>
    <w:p w14:paraId="1525C158" w14:textId="77777777" w:rsidR="00B414DE" w:rsidRPr="009C6B45" w:rsidRDefault="00B414DE" w:rsidP="00B414DE">
      <w:pPr>
        <w:pStyle w:val="Prrafodelista"/>
        <w:numPr>
          <w:ilvl w:val="0"/>
          <w:numId w:val="1"/>
        </w:numPr>
        <w:tabs>
          <w:tab w:val="left" w:pos="284"/>
        </w:tabs>
        <w:spacing w:line="276" w:lineRule="auto"/>
        <w:ind w:left="0" w:firstLine="0"/>
        <w:rPr>
          <w:rFonts w:ascii="Arial" w:hAnsi="Arial" w:cs="Arial"/>
          <w:b/>
          <w:bCs/>
          <w:color w:val="000000" w:themeColor="text1"/>
          <w:sz w:val="22"/>
          <w:lang w:val="es-ES_tradnl"/>
        </w:rPr>
      </w:pPr>
      <w:r w:rsidRPr="009C6B45">
        <w:rPr>
          <w:rFonts w:ascii="Arial" w:hAnsi="Arial" w:cs="Arial"/>
          <w:b/>
          <w:bCs/>
          <w:color w:val="000000" w:themeColor="text1"/>
          <w:sz w:val="22"/>
          <w:lang w:val="es-ES_tradnl"/>
        </w:rPr>
        <w:t xml:space="preserve">Respuesta </w:t>
      </w:r>
    </w:p>
    <w:p w14:paraId="24EEA074" w14:textId="77777777" w:rsidR="00483651" w:rsidRPr="009C6B45" w:rsidRDefault="00483651" w:rsidP="001850FE">
      <w:pPr>
        <w:ind w:right="709"/>
        <w:jc w:val="both"/>
        <w:rPr>
          <w:rFonts w:ascii="Arial" w:eastAsia="Calibri" w:hAnsi="Arial" w:cs="Arial"/>
          <w:color w:val="000000" w:themeColor="text1"/>
          <w:sz w:val="21"/>
          <w:szCs w:val="21"/>
          <w:lang w:val="es-ES_tradnl"/>
        </w:rPr>
      </w:pPr>
    </w:p>
    <w:p w14:paraId="456FBA8B" w14:textId="062718CA" w:rsidR="00B414DE" w:rsidRPr="009C6B45" w:rsidRDefault="005F6F8C" w:rsidP="00483651">
      <w:pPr>
        <w:ind w:left="709" w:right="709"/>
        <w:jc w:val="both"/>
        <w:rPr>
          <w:rFonts w:ascii="Arial" w:eastAsia="Calibri" w:hAnsi="Arial" w:cs="Arial"/>
          <w:color w:val="000000" w:themeColor="text1"/>
          <w:sz w:val="21"/>
          <w:szCs w:val="21"/>
          <w:lang w:val="es-ES_tradnl"/>
        </w:rPr>
      </w:pPr>
      <w:r w:rsidRPr="009C6B45">
        <w:rPr>
          <w:rFonts w:ascii="Arial" w:eastAsia="Calibri" w:hAnsi="Arial" w:cs="Arial"/>
          <w:color w:val="000000" w:themeColor="text1"/>
          <w:sz w:val="21"/>
          <w:szCs w:val="21"/>
          <w:lang w:val="es-ES_tradnl"/>
        </w:rPr>
        <w:t xml:space="preserve">(i) </w:t>
      </w:r>
      <w:r w:rsidR="00FB2F20" w:rsidRPr="009C6B45">
        <w:rPr>
          <w:rFonts w:ascii="Arial" w:eastAsia="Calibri" w:hAnsi="Arial" w:cs="Arial"/>
          <w:color w:val="000000" w:themeColor="text1"/>
          <w:sz w:val="21"/>
          <w:szCs w:val="21"/>
          <w:lang w:val="es-ES_tradnl"/>
        </w:rPr>
        <w:t>«</w:t>
      </w:r>
      <w:r w:rsidRPr="009C6B45">
        <w:rPr>
          <w:rFonts w:ascii="Arial" w:eastAsia="Calibri" w:hAnsi="Arial" w:cs="Arial"/>
          <w:color w:val="000000" w:themeColor="text1"/>
          <w:sz w:val="21"/>
          <w:szCs w:val="21"/>
          <w:lang w:val="es-ES_tradnl"/>
        </w:rPr>
        <w:t>¿Cuál es el alcance interpretativo del artículo 2.2.1.2.3.1.12. del Decreto 1082 de 2015 teniendo en cuenta los tipos y momentos de liquidación del contrato estatal establecidos en el artículo 11 de la Ley 1150 de 2007?</w:t>
      </w:r>
    </w:p>
    <w:p w14:paraId="6A542FC6" w14:textId="77777777" w:rsidR="00B414DE" w:rsidRPr="009C6B45" w:rsidRDefault="00B414DE" w:rsidP="00450B8D">
      <w:pPr>
        <w:spacing w:line="276" w:lineRule="auto"/>
        <w:ind w:left="709" w:right="709"/>
        <w:jc w:val="both"/>
        <w:rPr>
          <w:rFonts w:ascii="Arial" w:hAnsi="Arial" w:cs="Arial"/>
          <w:color w:val="000000" w:themeColor="text1"/>
          <w:sz w:val="22"/>
          <w:lang w:val="es-ES_tradnl"/>
        </w:rPr>
      </w:pPr>
    </w:p>
    <w:p w14:paraId="77D6F3F7" w14:textId="5E956EBF" w:rsidR="006D4530" w:rsidRPr="009C6B45" w:rsidRDefault="006D4530" w:rsidP="006D4530">
      <w:pPr>
        <w:spacing w:after="120" w:line="276" w:lineRule="auto"/>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El artículo 2.2.1.2.3.1.12. del Decreto 1082 de 2015 señala que «[l]a garantía de cumplimiento del contrato debe tener una vigencia mínima hasta la liquidación del contrato». </w:t>
      </w:r>
    </w:p>
    <w:p w14:paraId="77FCCB3C" w14:textId="2437AAF3" w:rsidR="00F92F57" w:rsidRPr="009C6B45" w:rsidRDefault="00D770A9" w:rsidP="00EF3D2F">
      <w:pPr>
        <w:spacing w:after="120" w:line="276" w:lineRule="auto"/>
        <w:ind w:firstLine="708"/>
        <w:jc w:val="both"/>
        <w:rPr>
          <w:rFonts w:ascii="Arial" w:hAnsi="Arial" w:cs="Arial"/>
          <w:bCs/>
          <w:color w:val="000000" w:themeColor="text1"/>
          <w:sz w:val="22"/>
          <w:lang w:val="es-ES_tradnl"/>
        </w:rPr>
      </w:pPr>
      <w:r>
        <w:rPr>
          <w:rFonts w:ascii="Arial" w:hAnsi="Arial" w:cs="Arial"/>
          <w:bCs/>
          <w:color w:val="000000" w:themeColor="text1"/>
          <w:sz w:val="22"/>
          <w:lang w:val="es-ES_tradnl"/>
        </w:rPr>
        <w:t>L</w:t>
      </w:r>
      <w:r w:rsidR="006D4530" w:rsidRPr="009C6B45">
        <w:rPr>
          <w:rFonts w:ascii="Arial" w:hAnsi="Arial" w:cs="Arial"/>
          <w:bCs/>
          <w:color w:val="000000" w:themeColor="text1"/>
          <w:sz w:val="22"/>
          <w:lang w:val="es-ES_tradnl"/>
        </w:rPr>
        <w:t xml:space="preserve">a garantía de cumplimiento, en virtud del tenor literal de las normas vigentes, debe tener una vigencia mínima hasta la efectiva liquidación del contrato. </w:t>
      </w:r>
    </w:p>
    <w:p w14:paraId="60A6D639" w14:textId="35395E0B" w:rsidR="00056F52" w:rsidRDefault="00056F52" w:rsidP="00056F52">
      <w:pPr>
        <w:spacing w:after="120" w:line="276" w:lineRule="auto"/>
        <w:ind w:firstLine="708"/>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Para poner en contacto este aparte del concepto con los términos para la liquidación bilateral, unilateral o judicial, se puede afirmar que la entidad </w:t>
      </w:r>
      <w:r>
        <w:rPr>
          <w:rFonts w:ascii="Arial" w:hAnsi="Arial" w:cs="Arial"/>
          <w:bCs/>
          <w:color w:val="000000" w:themeColor="text1"/>
          <w:sz w:val="22"/>
          <w:lang w:val="es-ES_tradnl"/>
        </w:rPr>
        <w:t xml:space="preserve">debe mantener la garantía de cumplimiento vigente durante el plazo de ejecución del contrato, más el plazo para la liquidación bilateral – bien sea este el plazo acordado por las partes o el supletivo de </w:t>
      </w:r>
      <w:r w:rsidR="006D52F1">
        <w:rPr>
          <w:rFonts w:ascii="Arial" w:hAnsi="Arial" w:cs="Arial"/>
          <w:bCs/>
          <w:color w:val="000000" w:themeColor="text1"/>
          <w:sz w:val="22"/>
          <w:lang w:val="es-ES_tradnl"/>
        </w:rPr>
        <w:t>4</w:t>
      </w:r>
      <w:r>
        <w:rPr>
          <w:rFonts w:ascii="Arial" w:hAnsi="Arial" w:cs="Arial"/>
          <w:bCs/>
          <w:color w:val="000000" w:themeColor="text1"/>
          <w:sz w:val="22"/>
          <w:lang w:val="es-ES_tradnl"/>
        </w:rPr>
        <w:t xml:space="preserve"> meses – más el plazo de dos meses que tiene la entidad para realizar la liquidación unilateral. </w:t>
      </w:r>
    </w:p>
    <w:p w14:paraId="7B7525B1" w14:textId="77777777" w:rsidR="00056F52" w:rsidRDefault="00056F52" w:rsidP="00056F52">
      <w:pPr>
        <w:spacing w:after="120" w:line="276" w:lineRule="auto"/>
        <w:ind w:firstLine="708"/>
        <w:jc w:val="both"/>
        <w:rPr>
          <w:rFonts w:ascii="Arial" w:hAnsi="Arial" w:cs="Arial"/>
          <w:bCs/>
          <w:color w:val="000000" w:themeColor="text1"/>
          <w:sz w:val="22"/>
          <w:lang w:val="es-ES_tradnl"/>
        </w:rPr>
      </w:pPr>
      <w:r>
        <w:rPr>
          <w:rFonts w:ascii="Arial" w:hAnsi="Arial" w:cs="Arial"/>
          <w:bCs/>
          <w:color w:val="000000" w:themeColor="text1"/>
          <w:sz w:val="22"/>
          <w:lang w:val="es-ES_tradnl"/>
        </w:rPr>
        <w:lastRenderedPageBreak/>
        <w:t>Con base en ello, si no se pactó un plazo para la liquidación bilateral, la entidad debe solicitar que el amparo de cumplimiento esté vigente desde la suscripción del contrato, durante todo el plazo de ejecución y seis meses más; esto correspondería al plazo de los 4 meses supletorios para la liquidación bilateral más 2 meses adicionales para la liquidación unilateral.</w:t>
      </w:r>
    </w:p>
    <w:p w14:paraId="01CF9788" w14:textId="587CE35D" w:rsidR="00CF3CFD" w:rsidRPr="009C6B45" w:rsidRDefault="00056F52" w:rsidP="001C5AB9">
      <w:pPr>
        <w:spacing w:after="120" w:line="276" w:lineRule="auto"/>
        <w:ind w:firstLine="708"/>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Ahora bien, si por alguna razón no se logra liquidar el contrato dentro del plazo para la liquidación unilateral, la entidad estatal </w:t>
      </w:r>
      <w:r w:rsidR="00565B22">
        <w:rPr>
          <w:rFonts w:ascii="Arial" w:hAnsi="Arial" w:cs="Arial"/>
          <w:bCs/>
          <w:color w:val="000000" w:themeColor="text1"/>
          <w:sz w:val="22"/>
          <w:lang w:val="es-ES_tradnl"/>
        </w:rPr>
        <w:t>deber</w:t>
      </w:r>
      <w:r w:rsidR="009D0E06">
        <w:rPr>
          <w:rFonts w:ascii="Arial" w:hAnsi="Arial" w:cs="Arial"/>
          <w:bCs/>
          <w:color w:val="000000" w:themeColor="text1"/>
          <w:sz w:val="22"/>
          <w:lang w:val="es-ES_tradnl"/>
        </w:rPr>
        <w:t>á</w:t>
      </w:r>
      <w:r>
        <w:rPr>
          <w:rFonts w:ascii="Arial" w:hAnsi="Arial" w:cs="Arial"/>
          <w:bCs/>
          <w:color w:val="000000" w:themeColor="text1"/>
          <w:sz w:val="22"/>
          <w:lang w:val="es-ES_tradnl"/>
        </w:rPr>
        <w:t xml:space="preserve"> solicitar al contratista que amplíe el amparo de cumplimiento hasta que se logre la efectiva liquidación del contrato. </w:t>
      </w:r>
    </w:p>
    <w:p w14:paraId="396A4674" w14:textId="77777777" w:rsidR="00B414DE" w:rsidRPr="009C6B45" w:rsidRDefault="00B414DE" w:rsidP="00450B8D">
      <w:pPr>
        <w:spacing w:line="276" w:lineRule="auto"/>
        <w:jc w:val="both"/>
        <w:rPr>
          <w:rFonts w:ascii="Arial" w:eastAsia="Calibri" w:hAnsi="Arial" w:cs="Arial"/>
          <w:color w:val="000000" w:themeColor="text1"/>
          <w:sz w:val="22"/>
          <w:lang w:val="es-ES_tradnl"/>
        </w:rPr>
      </w:pPr>
      <w:r w:rsidRPr="009C6B45">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3D1D8FAE" w14:textId="77777777" w:rsidR="00B414DE" w:rsidRPr="009C6B45" w:rsidRDefault="00B414DE" w:rsidP="00450B8D">
      <w:pPr>
        <w:spacing w:line="276" w:lineRule="auto"/>
        <w:ind w:firstLine="708"/>
        <w:jc w:val="both"/>
        <w:rPr>
          <w:rFonts w:ascii="Arial" w:eastAsia="Calibri" w:hAnsi="Arial" w:cs="Arial"/>
          <w:color w:val="000000" w:themeColor="text1"/>
          <w:sz w:val="22"/>
          <w:lang w:val="es-ES_tradnl"/>
        </w:rPr>
      </w:pPr>
    </w:p>
    <w:p w14:paraId="321DE140" w14:textId="77777777" w:rsidR="00B414DE" w:rsidRPr="009C6B45" w:rsidRDefault="00B414DE" w:rsidP="00450B8D">
      <w:pPr>
        <w:jc w:val="both"/>
        <w:rPr>
          <w:rFonts w:ascii="Arial" w:hAnsi="Arial" w:cs="Arial"/>
          <w:color w:val="000000" w:themeColor="text1"/>
          <w:sz w:val="22"/>
          <w:lang w:val="es-ES_tradnl" w:eastAsia="es-CO"/>
        </w:rPr>
      </w:pPr>
      <w:r w:rsidRPr="009C6B45">
        <w:rPr>
          <w:rFonts w:ascii="Arial" w:hAnsi="Arial" w:cs="Arial"/>
          <w:color w:val="000000" w:themeColor="text1"/>
          <w:sz w:val="22"/>
          <w:lang w:val="es-ES_tradnl" w:eastAsia="es-CO"/>
        </w:rPr>
        <w:t>Atentamente,</w:t>
      </w:r>
    </w:p>
    <w:p w14:paraId="3F572253" w14:textId="7C2CAA35" w:rsidR="00B414DE" w:rsidRDefault="00601B74" w:rsidP="00B414DE">
      <w:pPr>
        <w:jc w:val="center"/>
        <w:rPr>
          <w:rFonts w:ascii="Arial" w:hAnsi="Arial" w:cs="Arial"/>
          <w:color w:val="000000" w:themeColor="text1"/>
          <w:sz w:val="18"/>
          <w:szCs w:val="20"/>
          <w:lang w:val="es-ES_tradnl" w:eastAsia="es-CO"/>
        </w:rPr>
      </w:pPr>
      <w:r w:rsidRPr="00601B74">
        <w:rPr>
          <w:rFonts w:ascii="Calibri" w:eastAsia="Calibri" w:hAnsi="Calibri"/>
          <w:noProof/>
          <w:szCs w:val="22"/>
          <w:lang w:eastAsia="es-CO"/>
        </w:rPr>
        <w:drawing>
          <wp:inline distT="0" distB="0" distL="0" distR="0" wp14:anchorId="588AA392" wp14:editId="59B1FCAB">
            <wp:extent cx="2773045" cy="98869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D32B5C5" w14:textId="77777777" w:rsidR="00601B74" w:rsidRPr="009C6B45" w:rsidRDefault="00601B74" w:rsidP="00B414DE">
      <w:pPr>
        <w:jc w:val="center"/>
        <w:rPr>
          <w:rFonts w:ascii="Arial" w:hAnsi="Arial" w:cs="Arial"/>
          <w:color w:val="000000" w:themeColor="text1"/>
          <w:sz w:val="18"/>
          <w:szCs w:val="20"/>
          <w:lang w:val="es-ES_tradnl" w:eastAsia="es-CO"/>
        </w:rPr>
      </w:pPr>
    </w:p>
    <w:p w14:paraId="0CCCAE56" w14:textId="77777777" w:rsidR="00B414DE" w:rsidRPr="009C6B45" w:rsidRDefault="00B414DE" w:rsidP="00B414DE">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E44D4" w:rsidRPr="00C91526" w14:paraId="4AD57BFC" w14:textId="77777777" w:rsidTr="00B414DE">
        <w:trPr>
          <w:trHeight w:val="315"/>
        </w:trPr>
        <w:tc>
          <w:tcPr>
            <w:tcW w:w="812" w:type="dxa"/>
            <w:vAlign w:val="center"/>
            <w:hideMark/>
          </w:tcPr>
          <w:p w14:paraId="2348C71A" w14:textId="77777777" w:rsidR="00B414DE" w:rsidRPr="009C6B45" w:rsidRDefault="00B414DE" w:rsidP="00450B8D">
            <w:pPr>
              <w:rPr>
                <w:rFonts w:ascii="Arial" w:hAnsi="Arial" w:cs="Arial"/>
                <w:color w:val="000000" w:themeColor="text1"/>
                <w:sz w:val="16"/>
                <w:szCs w:val="16"/>
                <w:lang w:val="es-ES_tradnl" w:eastAsia="es-ES"/>
              </w:rPr>
            </w:pPr>
            <w:r w:rsidRPr="009C6B45">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4360F89" w14:textId="77777777" w:rsidR="00B414DE" w:rsidRPr="009C6B45" w:rsidRDefault="00FB2F20" w:rsidP="00450B8D">
            <w:pPr>
              <w:rPr>
                <w:rFonts w:ascii="Arial" w:hAnsi="Arial" w:cs="Arial"/>
                <w:color w:val="000000" w:themeColor="text1"/>
                <w:sz w:val="16"/>
                <w:szCs w:val="16"/>
                <w:lang w:val="es-ES_tradnl" w:eastAsia="es-ES"/>
              </w:rPr>
            </w:pPr>
            <w:r w:rsidRPr="009C6B45">
              <w:rPr>
                <w:rFonts w:ascii="Arial" w:hAnsi="Arial" w:cs="Arial"/>
                <w:color w:val="000000" w:themeColor="text1"/>
                <w:sz w:val="16"/>
                <w:szCs w:val="16"/>
                <w:lang w:val="es-ES_tradnl" w:eastAsia="es-ES"/>
              </w:rPr>
              <w:t xml:space="preserve">Sebastian Barreto Cifuentes </w:t>
            </w:r>
          </w:p>
          <w:p w14:paraId="4FC81B8B" w14:textId="43CAE153" w:rsidR="00EB72B4" w:rsidRPr="009C6B45" w:rsidRDefault="00EB72B4" w:rsidP="00450B8D">
            <w:pPr>
              <w:rPr>
                <w:rFonts w:ascii="Arial" w:hAnsi="Arial" w:cs="Arial"/>
                <w:color w:val="000000" w:themeColor="text1"/>
                <w:sz w:val="16"/>
                <w:szCs w:val="16"/>
                <w:lang w:val="es-ES_tradnl" w:eastAsia="es-ES"/>
              </w:rPr>
            </w:pPr>
            <w:r w:rsidRPr="009C6B45">
              <w:rPr>
                <w:rFonts w:ascii="Arial" w:hAnsi="Arial" w:cs="Arial"/>
                <w:color w:val="000000" w:themeColor="text1"/>
                <w:sz w:val="16"/>
                <w:szCs w:val="16"/>
                <w:lang w:val="es-ES_tradnl" w:eastAsia="es-ES"/>
              </w:rPr>
              <w:t>Contratista de la Subdirección de Gestión Contractual</w:t>
            </w:r>
          </w:p>
        </w:tc>
      </w:tr>
      <w:tr w:rsidR="00EE44D4" w:rsidRPr="00C91526" w14:paraId="0C80F724" w14:textId="77777777" w:rsidTr="00B414DE">
        <w:trPr>
          <w:trHeight w:val="330"/>
        </w:trPr>
        <w:tc>
          <w:tcPr>
            <w:tcW w:w="812" w:type="dxa"/>
            <w:vAlign w:val="center"/>
            <w:hideMark/>
          </w:tcPr>
          <w:p w14:paraId="7B02603D" w14:textId="77777777" w:rsidR="00B414DE" w:rsidRPr="009C6B45" w:rsidRDefault="00B414DE" w:rsidP="00450B8D">
            <w:pPr>
              <w:rPr>
                <w:rFonts w:ascii="Arial" w:hAnsi="Arial" w:cs="Arial"/>
                <w:color w:val="000000" w:themeColor="text1"/>
                <w:sz w:val="16"/>
                <w:szCs w:val="16"/>
                <w:lang w:val="es-ES_tradnl" w:eastAsia="es-ES"/>
              </w:rPr>
            </w:pPr>
            <w:r w:rsidRPr="009C6B45">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533015E" w14:textId="4A7852B0" w:rsidR="00B414DE" w:rsidRPr="009C6B45" w:rsidRDefault="00D816C0" w:rsidP="00450B8D">
            <w:pPr>
              <w:rPr>
                <w:rFonts w:ascii="Arial" w:hAnsi="Arial" w:cs="Arial"/>
                <w:color w:val="000000" w:themeColor="text1"/>
                <w:sz w:val="16"/>
                <w:szCs w:val="16"/>
                <w:lang w:val="es-ES_tradnl" w:eastAsia="es-ES"/>
              </w:rPr>
            </w:pPr>
            <w:r w:rsidRPr="009C6B45">
              <w:rPr>
                <w:rFonts w:ascii="Arial" w:hAnsi="Arial" w:cs="Arial"/>
                <w:color w:val="000000" w:themeColor="text1"/>
                <w:sz w:val="16"/>
                <w:szCs w:val="16"/>
                <w:lang w:val="es-ES_tradnl" w:eastAsia="es-ES"/>
              </w:rPr>
              <w:t>Cristian Andrés Díaz Díez</w:t>
            </w:r>
          </w:p>
          <w:p w14:paraId="30C83AB5" w14:textId="0508FF0F" w:rsidR="00B414DE" w:rsidRPr="009C6B45" w:rsidRDefault="00D816C0" w:rsidP="00450B8D">
            <w:pPr>
              <w:rPr>
                <w:rFonts w:ascii="Arial" w:hAnsi="Arial" w:cs="Arial"/>
                <w:color w:val="000000" w:themeColor="text1"/>
                <w:sz w:val="16"/>
                <w:szCs w:val="16"/>
                <w:lang w:val="es-ES_tradnl" w:eastAsia="es-ES"/>
              </w:rPr>
            </w:pPr>
            <w:r w:rsidRPr="009C6B45">
              <w:rPr>
                <w:rFonts w:ascii="Arial" w:hAnsi="Arial" w:cs="Arial"/>
                <w:color w:val="000000" w:themeColor="text1"/>
                <w:sz w:val="16"/>
                <w:szCs w:val="16"/>
                <w:lang w:val="es-ES_tradnl" w:eastAsia="es-ES"/>
              </w:rPr>
              <w:t xml:space="preserve">Contratista, Subdirección </w:t>
            </w:r>
            <w:r w:rsidR="00B414DE" w:rsidRPr="009C6B45">
              <w:rPr>
                <w:rFonts w:ascii="Arial" w:hAnsi="Arial" w:cs="Arial"/>
                <w:color w:val="000000" w:themeColor="text1"/>
                <w:sz w:val="16"/>
                <w:szCs w:val="16"/>
                <w:lang w:val="es-ES_tradnl" w:eastAsia="es-ES"/>
              </w:rPr>
              <w:t>de Gestión Contractual</w:t>
            </w:r>
          </w:p>
        </w:tc>
      </w:tr>
      <w:tr w:rsidR="00B414DE" w:rsidRPr="00C91526" w14:paraId="2ED34222" w14:textId="77777777" w:rsidTr="00B414DE">
        <w:trPr>
          <w:trHeight w:val="300"/>
        </w:trPr>
        <w:tc>
          <w:tcPr>
            <w:tcW w:w="812" w:type="dxa"/>
            <w:vAlign w:val="center"/>
            <w:hideMark/>
          </w:tcPr>
          <w:p w14:paraId="4A95DB32" w14:textId="77777777" w:rsidR="00B414DE" w:rsidRPr="009C6B45" w:rsidRDefault="00B414DE" w:rsidP="00450B8D">
            <w:pPr>
              <w:rPr>
                <w:rFonts w:ascii="Arial" w:hAnsi="Arial" w:cs="Arial"/>
                <w:color w:val="000000" w:themeColor="text1"/>
                <w:sz w:val="16"/>
                <w:szCs w:val="16"/>
                <w:lang w:val="es-ES_tradnl" w:eastAsia="es-ES"/>
              </w:rPr>
            </w:pPr>
            <w:r w:rsidRPr="009C6B45">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206F310" w14:textId="77777777" w:rsidR="00B414DE" w:rsidRPr="009C6B45" w:rsidRDefault="00B414DE" w:rsidP="00450B8D">
            <w:pPr>
              <w:rPr>
                <w:rFonts w:ascii="Arial" w:hAnsi="Arial" w:cs="Arial"/>
                <w:color w:val="000000" w:themeColor="text1"/>
                <w:sz w:val="16"/>
                <w:szCs w:val="16"/>
                <w:lang w:val="es-ES_tradnl" w:eastAsia="es-ES"/>
              </w:rPr>
            </w:pPr>
            <w:r w:rsidRPr="009C6B45">
              <w:rPr>
                <w:rFonts w:ascii="Arial" w:hAnsi="Arial" w:cs="Arial"/>
                <w:color w:val="000000" w:themeColor="text1"/>
                <w:sz w:val="16"/>
                <w:szCs w:val="16"/>
                <w:lang w:val="es-ES_tradnl" w:eastAsia="es-ES"/>
              </w:rPr>
              <w:t>Fabián Gonzalo Marín Cortés</w:t>
            </w:r>
          </w:p>
          <w:p w14:paraId="0FA7AE38" w14:textId="77777777" w:rsidR="00B414DE" w:rsidRPr="009C6B45" w:rsidRDefault="00B414DE" w:rsidP="00450B8D">
            <w:pPr>
              <w:rPr>
                <w:rFonts w:ascii="Arial" w:hAnsi="Arial" w:cs="Arial"/>
                <w:color w:val="000000" w:themeColor="text1"/>
                <w:sz w:val="16"/>
                <w:szCs w:val="16"/>
                <w:lang w:val="es-ES_tradnl" w:eastAsia="es-ES"/>
              </w:rPr>
            </w:pPr>
            <w:r w:rsidRPr="009C6B45">
              <w:rPr>
                <w:rFonts w:ascii="Arial" w:hAnsi="Arial" w:cs="Arial"/>
                <w:color w:val="000000" w:themeColor="text1"/>
                <w:sz w:val="16"/>
                <w:szCs w:val="16"/>
                <w:lang w:val="es-ES_tradnl" w:eastAsia="es-ES"/>
              </w:rPr>
              <w:t>Subdirector de Gestión Contractual</w:t>
            </w:r>
          </w:p>
        </w:tc>
      </w:tr>
    </w:tbl>
    <w:p w14:paraId="799CD722" w14:textId="77777777" w:rsidR="00B414DE" w:rsidRPr="009C6B45" w:rsidRDefault="00B414DE" w:rsidP="00B414DE">
      <w:pPr>
        <w:rPr>
          <w:rFonts w:ascii="Arial" w:hAnsi="Arial" w:cs="Arial"/>
          <w:color w:val="000000" w:themeColor="text1"/>
          <w:sz w:val="16"/>
          <w:szCs w:val="16"/>
          <w:lang w:val="es-ES_tradnl" w:eastAsia="es-ES"/>
        </w:rPr>
      </w:pPr>
    </w:p>
    <w:p w14:paraId="10F629D1" w14:textId="77777777" w:rsidR="00EA6C85" w:rsidRPr="009C6B45" w:rsidRDefault="00EA6C85">
      <w:pPr>
        <w:rPr>
          <w:color w:val="000000" w:themeColor="text1"/>
          <w:lang w:val="es-ES_tradnl"/>
        </w:rPr>
      </w:pPr>
    </w:p>
    <w:sectPr w:rsidR="00EA6C85" w:rsidRPr="009C6B45" w:rsidSect="00450B8D">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FB687" w14:textId="77777777" w:rsidR="00927DD9" w:rsidRDefault="00927DD9" w:rsidP="00B414DE">
      <w:r>
        <w:separator/>
      </w:r>
    </w:p>
  </w:endnote>
  <w:endnote w:type="continuationSeparator" w:id="0">
    <w:p w14:paraId="3DE73F39" w14:textId="77777777" w:rsidR="00927DD9" w:rsidRDefault="00927DD9" w:rsidP="00B4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BF934" w14:textId="77777777" w:rsidR="00450B8D" w:rsidRDefault="00450B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F716E" w14:textId="2433E0B3" w:rsidR="00450B8D" w:rsidRPr="008217B7" w:rsidRDefault="00450B8D" w:rsidP="00450B8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01B74">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01B74">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766F493F" w14:textId="77777777" w:rsidR="00450B8D" w:rsidRDefault="00450B8D" w:rsidP="00450B8D">
    <w:pPr>
      <w:pStyle w:val="Piedepgina"/>
      <w:jc w:val="center"/>
      <w:rPr>
        <w:lang w:val="es-ES"/>
      </w:rPr>
    </w:pPr>
    <w:r>
      <w:rPr>
        <w:noProof/>
        <w:lang w:val="es-CO" w:eastAsia="es-CO"/>
      </w:rPr>
      <w:drawing>
        <wp:inline distT="0" distB="0" distL="0" distR="0" wp14:anchorId="78957759" wp14:editId="19108673">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2659F03F" w14:textId="77777777" w:rsidR="00450B8D" w:rsidRDefault="00450B8D" w:rsidP="00450B8D">
    <w:pPr>
      <w:pStyle w:val="Piedepgina"/>
      <w:jc w:val="center"/>
      <w:rPr>
        <w:lang w:val="es-ES"/>
      </w:rPr>
    </w:pPr>
  </w:p>
  <w:p w14:paraId="63626C30" w14:textId="77777777" w:rsidR="00450B8D" w:rsidRPr="007B0854" w:rsidRDefault="00450B8D" w:rsidP="00450B8D">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1F8C5" w14:textId="77777777" w:rsidR="00450B8D" w:rsidRDefault="00450B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D6FF3" w14:textId="77777777" w:rsidR="00927DD9" w:rsidRDefault="00927DD9" w:rsidP="00B414DE">
      <w:r>
        <w:separator/>
      </w:r>
    </w:p>
  </w:footnote>
  <w:footnote w:type="continuationSeparator" w:id="0">
    <w:p w14:paraId="7CAB9C91" w14:textId="77777777" w:rsidR="00927DD9" w:rsidRDefault="00927DD9" w:rsidP="00B414DE">
      <w:r>
        <w:continuationSeparator/>
      </w:r>
    </w:p>
  </w:footnote>
  <w:footnote w:id="1">
    <w:p w14:paraId="608CA333" w14:textId="4A2B52AE" w:rsidR="00450B8D" w:rsidRPr="00DE5B4E" w:rsidRDefault="00450B8D" w:rsidP="002A3EC7">
      <w:pPr>
        <w:ind w:firstLine="708"/>
        <w:jc w:val="both"/>
        <w:rPr>
          <w:rFonts w:ascii="Arial" w:hAnsi="Arial" w:cs="Arial"/>
          <w:color w:val="000000" w:themeColor="text1"/>
          <w:sz w:val="19"/>
          <w:szCs w:val="19"/>
        </w:rPr>
      </w:pPr>
      <w:r w:rsidRPr="00DE5B4E">
        <w:rPr>
          <w:rStyle w:val="Refdenotaalpie"/>
          <w:rFonts w:ascii="Arial" w:hAnsi="Arial" w:cs="Arial"/>
          <w:color w:val="000000" w:themeColor="text1"/>
          <w:sz w:val="19"/>
          <w:szCs w:val="19"/>
        </w:rPr>
        <w:footnoteRef/>
      </w:r>
      <w:r w:rsidRPr="00DE5B4E">
        <w:rPr>
          <w:rFonts w:ascii="Arial" w:hAnsi="Arial" w:cs="Arial"/>
          <w:color w:val="000000" w:themeColor="text1"/>
          <w:sz w:val="19"/>
          <w:szCs w:val="19"/>
        </w:rPr>
        <w:t xml:space="preserve"> </w:t>
      </w:r>
      <w:r w:rsidR="00056F52">
        <w:rPr>
          <w:rFonts w:ascii="Arial" w:hAnsi="Arial" w:cs="Arial"/>
          <w:color w:val="000000" w:themeColor="text1"/>
          <w:sz w:val="19"/>
          <w:szCs w:val="19"/>
        </w:rPr>
        <w:t>CONSEJO DE ESTADO</w:t>
      </w:r>
      <w:r w:rsidRPr="00DE5B4E">
        <w:rPr>
          <w:rFonts w:ascii="Arial" w:hAnsi="Arial" w:cs="Arial"/>
          <w:color w:val="000000" w:themeColor="text1"/>
          <w:sz w:val="19"/>
          <w:szCs w:val="19"/>
        </w:rPr>
        <w:t>. Sección Tercera. Subsección «C». Radicado No. 05001-23-31-000-1998-00038-01. Número Interno 27.777. M.P. Enrique Gil Botero.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0E5DD716" w14:textId="77777777" w:rsidR="00450B8D" w:rsidRPr="00DE5B4E" w:rsidRDefault="00450B8D" w:rsidP="002A3EC7">
      <w:pPr>
        <w:pStyle w:val="Textonotapie"/>
        <w:ind w:firstLine="708"/>
        <w:jc w:val="both"/>
        <w:rPr>
          <w:rFonts w:ascii="Arial" w:hAnsi="Arial" w:cs="Arial"/>
          <w:color w:val="000000" w:themeColor="text1"/>
          <w:sz w:val="19"/>
          <w:szCs w:val="19"/>
          <w:lang w:val="es-ES"/>
        </w:rPr>
      </w:pPr>
    </w:p>
  </w:footnote>
  <w:footnote w:id="2">
    <w:p w14:paraId="054A3292" w14:textId="041405A5" w:rsidR="00450B8D" w:rsidRDefault="00450B8D" w:rsidP="002A3EC7">
      <w:pPr>
        <w:pStyle w:val="Textonotapie"/>
        <w:ind w:firstLine="708"/>
        <w:jc w:val="both"/>
        <w:rPr>
          <w:rFonts w:ascii="Arial" w:hAnsi="Arial" w:cs="Arial"/>
          <w:sz w:val="19"/>
          <w:szCs w:val="19"/>
        </w:rPr>
      </w:pPr>
      <w:r w:rsidRPr="00DE5B4E">
        <w:rPr>
          <w:rStyle w:val="Refdenotaalpie"/>
          <w:rFonts w:ascii="Arial" w:hAnsi="Arial" w:cs="Arial"/>
          <w:sz w:val="19"/>
          <w:szCs w:val="19"/>
        </w:rPr>
        <w:footnoteRef/>
      </w:r>
      <w:r w:rsidRPr="00DE5B4E">
        <w:rPr>
          <w:rFonts w:ascii="Arial" w:hAnsi="Arial" w:cs="Arial"/>
          <w:sz w:val="19"/>
          <w:szCs w:val="19"/>
        </w:rPr>
        <w:t xml:space="preserve"> CONSEJO DE ESTADO, Sala de Consulta y Servicio Civil. Radicado No. 1453. Concepto de 6 de agosto de 2003. MP. Augusto Trejos.</w:t>
      </w:r>
    </w:p>
    <w:p w14:paraId="0F293222" w14:textId="77777777" w:rsidR="00BC1CD6" w:rsidRPr="00DE5B4E" w:rsidRDefault="00BC1CD6" w:rsidP="002A3EC7">
      <w:pPr>
        <w:pStyle w:val="Textonotapie"/>
        <w:ind w:firstLine="708"/>
        <w:jc w:val="both"/>
        <w:rPr>
          <w:rFonts w:ascii="Arial" w:hAnsi="Arial" w:cs="Arial"/>
          <w:sz w:val="19"/>
          <w:szCs w:val="19"/>
        </w:rPr>
      </w:pPr>
    </w:p>
  </w:footnote>
  <w:footnote w:id="3">
    <w:p w14:paraId="5DD2939D" w14:textId="452DA31D" w:rsidR="00450B8D" w:rsidRPr="00DE5B4E" w:rsidRDefault="00450B8D" w:rsidP="009C6B45">
      <w:pPr>
        <w:pStyle w:val="Textonotapie"/>
        <w:ind w:firstLine="708"/>
        <w:jc w:val="both"/>
        <w:rPr>
          <w:rFonts w:ascii="Arial" w:hAnsi="Arial" w:cs="Arial"/>
          <w:sz w:val="19"/>
          <w:szCs w:val="19"/>
          <w:lang w:val="es-ES"/>
        </w:rPr>
      </w:pPr>
      <w:r w:rsidRPr="00DE5B4E">
        <w:rPr>
          <w:rStyle w:val="Refdenotaalpie"/>
          <w:rFonts w:ascii="Arial" w:hAnsi="Arial" w:cs="Arial"/>
          <w:sz w:val="19"/>
          <w:szCs w:val="19"/>
        </w:rPr>
        <w:footnoteRef/>
      </w:r>
      <w:r w:rsidRPr="00DE5B4E">
        <w:rPr>
          <w:rFonts w:ascii="Arial" w:hAnsi="Arial" w:cs="Arial"/>
          <w:sz w:val="19"/>
          <w:szCs w:val="19"/>
        </w:rPr>
        <w:t xml:space="preserve"> </w:t>
      </w:r>
      <w:r w:rsidRPr="00DE5B4E">
        <w:rPr>
          <w:rFonts w:ascii="Arial" w:hAnsi="Arial" w:cs="Arial"/>
          <w:sz w:val="19"/>
          <w:szCs w:val="19"/>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2DEE921D" w14:textId="02D76003" w:rsidR="00450B8D" w:rsidRPr="00DE5B4E" w:rsidRDefault="00450B8D" w:rsidP="009C6B45">
      <w:pPr>
        <w:pStyle w:val="Textonotapie"/>
        <w:ind w:firstLine="708"/>
        <w:jc w:val="both"/>
        <w:rPr>
          <w:rFonts w:ascii="Arial" w:hAnsi="Arial" w:cs="Arial"/>
          <w:sz w:val="19"/>
          <w:szCs w:val="19"/>
          <w:lang w:val="es-ES"/>
        </w:rPr>
      </w:pPr>
      <w:r w:rsidRPr="00DE5B4E">
        <w:rPr>
          <w:rFonts w:ascii="Arial" w:hAnsi="Arial" w:cs="Arial"/>
          <w:sz w:val="19"/>
          <w:szCs w:val="19"/>
          <w:lang w:val="es-ES"/>
        </w:rPr>
        <w:t>» 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1CAA8E84" w14:textId="1B8B09B7" w:rsidR="00450B8D" w:rsidRPr="00DE5B4E" w:rsidRDefault="00450B8D" w:rsidP="009C6B45">
      <w:pPr>
        <w:pStyle w:val="Textonotapie"/>
        <w:ind w:firstLine="708"/>
        <w:jc w:val="both"/>
        <w:rPr>
          <w:rFonts w:ascii="Arial" w:hAnsi="Arial" w:cs="Arial"/>
          <w:sz w:val="19"/>
          <w:szCs w:val="19"/>
          <w:lang w:val="es-ES"/>
        </w:rPr>
      </w:pPr>
      <w:r w:rsidRPr="00DE5B4E">
        <w:rPr>
          <w:rFonts w:ascii="Arial" w:hAnsi="Arial" w:cs="Arial"/>
          <w:sz w:val="19"/>
          <w:szCs w:val="19"/>
          <w:lang w:val="es-ES"/>
        </w:rPr>
        <w:t>»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79407C29" w14:textId="71EED827" w:rsidR="00450B8D" w:rsidRPr="00DE5B4E" w:rsidRDefault="00450B8D" w:rsidP="002A3EC7">
      <w:pPr>
        <w:pStyle w:val="Textonotapie"/>
        <w:ind w:firstLine="708"/>
        <w:jc w:val="both"/>
        <w:rPr>
          <w:rFonts w:ascii="Arial" w:hAnsi="Arial" w:cs="Arial"/>
          <w:sz w:val="19"/>
          <w:szCs w:val="19"/>
          <w:lang w:val="es-ES"/>
        </w:rPr>
      </w:pPr>
      <w:r w:rsidRPr="00DE5B4E">
        <w:rPr>
          <w:rFonts w:ascii="Arial" w:hAnsi="Arial" w:cs="Arial"/>
          <w:sz w:val="19"/>
          <w:szCs w:val="19"/>
          <w:lang w:val="es-ES"/>
        </w:rPr>
        <w:t>» Los contratistas tendrán derecho a efectuar salvedades a la liquidación por mutuo acuerdo, y en este evento la liquidación unilateral solo procederá en relación con los aspectos que no hayan sido objeto de acuerdo»</w:t>
      </w:r>
      <w:r w:rsidR="00086C81" w:rsidRPr="00DE5B4E">
        <w:rPr>
          <w:rFonts w:ascii="Arial" w:hAnsi="Arial" w:cs="Arial"/>
          <w:sz w:val="19"/>
          <w:szCs w:val="19"/>
          <w:lang w:val="es-ES"/>
        </w:rPr>
        <w:t>.</w:t>
      </w:r>
    </w:p>
    <w:p w14:paraId="6F4EBE50" w14:textId="77777777" w:rsidR="00086C81" w:rsidRPr="00DE5B4E" w:rsidRDefault="00086C81" w:rsidP="002A3EC7">
      <w:pPr>
        <w:pStyle w:val="Textonotapie"/>
        <w:ind w:firstLine="708"/>
        <w:jc w:val="both"/>
        <w:rPr>
          <w:rFonts w:ascii="Arial" w:hAnsi="Arial" w:cs="Arial"/>
          <w:sz w:val="19"/>
          <w:szCs w:val="19"/>
          <w:lang w:val="es-ES"/>
        </w:rPr>
      </w:pPr>
    </w:p>
  </w:footnote>
  <w:footnote w:id="4">
    <w:p w14:paraId="733397AB" w14:textId="37539D5A" w:rsidR="00450B8D" w:rsidRPr="00DE5B4E" w:rsidRDefault="00450B8D" w:rsidP="002A3EC7">
      <w:pPr>
        <w:pStyle w:val="Textonotapie"/>
        <w:ind w:firstLine="708"/>
        <w:jc w:val="both"/>
        <w:rPr>
          <w:rFonts w:ascii="Arial" w:hAnsi="Arial" w:cs="Arial"/>
          <w:sz w:val="19"/>
          <w:szCs w:val="19"/>
          <w:lang w:val="es-ES"/>
        </w:rPr>
      </w:pPr>
      <w:r w:rsidRPr="00DE5B4E">
        <w:rPr>
          <w:rStyle w:val="Refdenotaalpie"/>
          <w:rFonts w:ascii="Arial" w:hAnsi="Arial" w:cs="Arial"/>
          <w:sz w:val="19"/>
          <w:szCs w:val="19"/>
        </w:rPr>
        <w:footnoteRef/>
      </w:r>
      <w:r w:rsidRPr="00DE5B4E">
        <w:rPr>
          <w:rFonts w:ascii="Arial" w:hAnsi="Arial" w:cs="Arial"/>
          <w:sz w:val="19"/>
          <w:szCs w:val="19"/>
        </w:rPr>
        <w:t xml:space="preserve"> COLOMBIA COMPRA EFICIENTE. Guía para la Liquidación de los Procesos de Contratación. página 5, disponible en: </w:t>
      </w:r>
      <w:hyperlink r:id="rId1" w:history="1">
        <w:r w:rsidRPr="00DE5B4E">
          <w:rPr>
            <w:rStyle w:val="Hipervnculo"/>
            <w:rFonts w:ascii="Arial" w:hAnsi="Arial" w:cs="Arial"/>
            <w:sz w:val="19"/>
            <w:szCs w:val="19"/>
          </w:rPr>
          <w:t>https://www.colombiacompra.gov.co/sites/cce_public/files/cce_documents/cce_guia_liquidacion_procesos.pdf</w:t>
        </w:r>
      </w:hyperlink>
      <w:r w:rsidRPr="00DE5B4E">
        <w:rPr>
          <w:rFonts w:ascii="Arial" w:hAnsi="Arial" w:cs="Arial"/>
          <w:sz w:val="19"/>
          <w:szCs w:val="19"/>
        </w:rPr>
        <w:t xml:space="preserve"> </w:t>
      </w:r>
    </w:p>
  </w:footnote>
  <w:footnote w:id="5">
    <w:p w14:paraId="403AE7BF" w14:textId="77777777" w:rsidR="00450B8D" w:rsidRPr="00DE5B4E" w:rsidRDefault="00450B8D" w:rsidP="002A3EC7">
      <w:pPr>
        <w:pStyle w:val="Textonotapie"/>
        <w:ind w:firstLine="708"/>
        <w:jc w:val="both"/>
        <w:rPr>
          <w:rFonts w:ascii="Arial" w:hAnsi="Arial" w:cs="Arial"/>
          <w:color w:val="000000" w:themeColor="text1"/>
          <w:sz w:val="19"/>
          <w:szCs w:val="19"/>
        </w:rPr>
      </w:pPr>
      <w:r w:rsidRPr="00DE5B4E">
        <w:rPr>
          <w:rStyle w:val="Refdenotaalpie"/>
          <w:rFonts w:ascii="Arial" w:hAnsi="Arial" w:cs="Arial"/>
          <w:color w:val="000000" w:themeColor="text1"/>
          <w:sz w:val="19"/>
          <w:szCs w:val="19"/>
        </w:rPr>
        <w:footnoteRef/>
      </w:r>
      <w:r w:rsidRPr="00DE5B4E">
        <w:rPr>
          <w:rFonts w:ascii="Arial" w:hAnsi="Arial" w:cs="Arial"/>
          <w:color w:val="000000" w:themeColor="text1"/>
          <w:sz w:val="19"/>
          <w:szCs w:val="19"/>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p w14:paraId="2ED964D4" w14:textId="77777777" w:rsidR="00450B8D" w:rsidRPr="00DE5B4E" w:rsidRDefault="00450B8D" w:rsidP="002A3EC7">
      <w:pPr>
        <w:pStyle w:val="Textonotapie"/>
        <w:ind w:firstLine="708"/>
        <w:jc w:val="both"/>
        <w:rPr>
          <w:rFonts w:ascii="Arial" w:hAnsi="Arial" w:cs="Arial"/>
          <w:color w:val="000000" w:themeColor="text1"/>
          <w:sz w:val="19"/>
          <w:szCs w:val="19"/>
          <w:lang w:val="es-ES"/>
        </w:rPr>
      </w:pPr>
    </w:p>
  </w:footnote>
  <w:footnote w:id="6">
    <w:p w14:paraId="235FB0F0" w14:textId="2B582FD5" w:rsidR="00450B8D" w:rsidRPr="00DE5B4E" w:rsidRDefault="00450B8D" w:rsidP="002A3EC7">
      <w:pPr>
        <w:pStyle w:val="Textonotapie"/>
        <w:ind w:firstLine="708"/>
        <w:jc w:val="both"/>
        <w:rPr>
          <w:rFonts w:ascii="Arial" w:hAnsi="Arial" w:cs="Arial"/>
          <w:sz w:val="19"/>
          <w:szCs w:val="19"/>
        </w:rPr>
      </w:pPr>
      <w:r w:rsidRPr="00DE5B4E">
        <w:rPr>
          <w:rStyle w:val="Refdenotaalpie"/>
          <w:rFonts w:ascii="Arial" w:hAnsi="Arial" w:cs="Arial"/>
          <w:sz w:val="19"/>
          <w:szCs w:val="19"/>
        </w:rPr>
        <w:footnoteRef/>
      </w:r>
      <w:r w:rsidRPr="00DE5B4E">
        <w:rPr>
          <w:rFonts w:ascii="Arial" w:hAnsi="Arial" w:cs="Arial"/>
          <w:sz w:val="19"/>
          <w:szCs w:val="19"/>
        </w:rPr>
        <w:t xml:space="preserve"> CONSEJO DE ESTADO. Sala de Consulta y Servicio Civil. Concepto de 28 de Junio de 2016. Radicación: 2253. C.P. Álvaro Namén Vargas. </w:t>
      </w:r>
    </w:p>
    <w:p w14:paraId="712FC63C" w14:textId="77777777" w:rsidR="00450B8D" w:rsidRPr="00DE5B4E" w:rsidRDefault="00450B8D" w:rsidP="002A3EC7">
      <w:pPr>
        <w:pStyle w:val="Textonotapie"/>
        <w:ind w:firstLine="708"/>
        <w:jc w:val="both"/>
        <w:rPr>
          <w:rFonts w:ascii="Arial" w:hAnsi="Arial" w:cs="Arial"/>
          <w:sz w:val="19"/>
          <w:szCs w:val="19"/>
          <w:lang w:val="es-ES"/>
        </w:rPr>
      </w:pPr>
    </w:p>
  </w:footnote>
  <w:footnote w:id="7">
    <w:p w14:paraId="784E0BD3" w14:textId="77777777" w:rsidR="00450B8D" w:rsidRPr="00DE5B4E" w:rsidRDefault="00450B8D" w:rsidP="002A3EC7">
      <w:pPr>
        <w:pStyle w:val="Textonotapie"/>
        <w:ind w:firstLine="708"/>
        <w:jc w:val="both"/>
        <w:rPr>
          <w:rFonts w:ascii="Arial" w:hAnsi="Arial" w:cs="Arial"/>
          <w:color w:val="000000" w:themeColor="text1"/>
          <w:sz w:val="19"/>
          <w:szCs w:val="19"/>
        </w:rPr>
      </w:pPr>
      <w:r w:rsidRPr="00DE5B4E">
        <w:rPr>
          <w:rStyle w:val="Refdenotaalpie"/>
          <w:rFonts w:ascii="Arial" w:hAnsi="Arial" w:cs="Arial"/>
          <w:color w:val="000000" w:themeColor="text1"/>
          <w:sz w:val="19"/>
          <w:szCs w:val="19"/>
        </w:rPr>
        <w:footnoteRef/>
      </w:r>
      <w:r w:rsidRPr="00DE5B4E">
        <w:rPr>
          <w:rFonts w:ascii="Arial" w:hAnsi="Arial" w:cs="Arial"/>
          <w:color w:val="000000" w:themeColor="text1"/>
          <w:sz w:val="19"/>
          <w:szCs w:val="19"/>
        </w:rPr>
        <w:t xml:space="preserve"> Es importante advertir que también durante estos dos meses se podrá realizar una liquidación bilateral, esto es, de mutuo acuerdo, lo cual significa que el plazo para hacer la liquidación bilateral no es un término perentorio, sino sencillamente indicativo.</w:t>
      </w:r>
    </w:p>
    <w:p w14:paraId="65289E74" w14:textId="77777777" w:rsidR="00450B8D" w:rsidRPr="00DE5B4E" w:rsidRDefault="00450B8D" w:rsidP="002A3EC7">
      <w:pPr>
        <w:pStyle w:val="Textonotapie"/>
        <w:ind w:firstLine="708"/>
        <w:jc w:val="both"/>
        <w:rPr>
          <w:rFonts w:ascii="Arial" w:hAnsi="Arial" w:cs="Arial"/>
          <w:color w:val="000000" w:themeColor="text1"/>
          <w:sz w:val="19"/>
          <w:szCs w:val="19"/>
          <w:lang w:val="es-ES"/>
        </w:rPr>
      </w:pPr>
    </w:p>
  </w:footnote>
  <w:footnote w:id="8">
    <w:p w14:paraId="2B3FCB48" w14:textId="429DD9D2" w:rsidR="00086C81" w:rsidRPr="00DE5B4E" w:rsidRDefault="00086C81" w:rsidP="00086C81">
      <w:pPr>
        <w:pStyle w:val="Textonotapie"/>
        <w:ind w:firstLine="708"/>
        <w:jc w:val="both"/>
        <w:rPr>
          <w:rFonts w:ascii="Arial" w:hAnsi="Arial" w:cs="Arial"/>
          <w:sz w:val="19"/>
          <w:szCs w:val="19"/>
          <w:lang w:val="es-ES"/>
        </w:rPr>
      </w:pPr>
      <w:r w:rsidRPr="00DE5B4E">
        <w:rPr>
          <w:rStyle w:val="Refdenotaalpie"/>
          <w:rFonts w:ascii="Arial" w:hAnsi="Arial" w:cs="Arial"/>
          <w:sz w:val="19"/>
          <w:szCs w:val="19"/>
        </w:rPr>
        <w:footnoteRef/>
      </w:r>
      <w:r w:rsidRPr="00DE5B4E">
        <w:rPr>
          <w:rFonts w:ascii="Arial" w:hAnsi="Arial" w:cs="Arial"/>
          <w:sz w:val="19"/>
          <w:szCs w:val="19"/>
        </w:rPr>
        <w:t xml:space="preserve"> CONSEJO DE ESTADO. Sección Tercera. Sala Plena. Auto de 1 de agosto de 2019. Exp. 62009. C.P. Jaime Enrique Rodríguez Navas. </w:t>
      </w:r>
    </w:p>
  </w:footnote>
  <w:footnote w:id="9">
    <w:p w14:paraId="4994A13C" w14:textId="4E3B46AC" w:rsidR="00450B8D" w:rsidRPr="00DE5B4E" w:rsidRDefault="00450B8D" w:rsidP="002A3EC7">
      <w:pPr>
        <w:pStyle w:val="Textonotapie"/>
        <w:ind w:firstLine="708"/>
        <w:jc w:val="both"/>
        <w:rPr>
          <w:rFonts w:ascii="Arial" w:hAnsi="Arial" w:cs="Arial"/>
          <w:sz w:val="19"/>
          <w:szCs w:val="19"/>
          <w:lang w:val="es-ES"/>
        </w:rPr>
      </w:pPr>
      <w:r w:rsidRPr="00DE5B4E">
        <w:rPr>
          <w:rStyle w:val="Refdenotaalpie"/>
          <w:rFonts w:ascii="Arial" w:hAnsi="Arial" w:cs="Arial"/>
          <w:sz w:val="19"/>
          <w:szCs w:val="19"/>
        </w:rPr>
        <w:footnoteRef/>
      </w:r>
      <w:r w:rsidRPr="00DE5B4E">
        <w:rPr>
          <w:rFonts w:ascii="Arial" w:hAnsi="Arial" w:cs="Arial"/>
          <w:sz w:val="19"/>
          <w:szCs w:val="19"/>
        </w:rPr>
        <w:t xml:space="preserve"> </w:t>
      </w:r>
      <w:r w:rsidRPr="00DE5B4E">
        <w:rPr>
          <w:rFonts w:ascii="Arial" w:hAnsi="Arial" w:cs="Arial"/>
          <w:sz w:val="19"/>
          <w:szCs w:val="19"/>
          <w:lang w:val="es-ES"/>
        </w:rPr>
        <w:t xml:space="preserve">COLOMBIA COMPRA EFICIENTE. Guía de Garantías en Proceso de Contratación. Disponible en: </w:t>
      </w:r>
      <w:hyperlink r:id="rId2" w:history="1">
        <w:r w:rsidRPr="00DE5B4E">
          <w:rPr>
            <w:rStyle w:val="Hipervnculo"/>
            <w:rFonts w:ascii="Arial" w:hAnsi="Arial" w:cs="Arial"/>
            <w:sz w:val="19"/>
            <w:szCs w:val="19"/>
            <w:lang w:val="es-ES"/>
          </w:rPr>
          <w:t>https://www.colombiacompra.gov.co/sites/cce_public/files/cce_documents/cce_guia_garantias.pdf</w:t>
        </w:r>
      </w:hyperlink>
      <w:r w:rsidRPr="00DE5B4E">
        <w:rPr>
          <w:rFonts w:ascii="Arial" w:hAnsi="Arial" w:cs="Arial"/>
          <w:sz w:val="19"/>
          <w:szCs w:val="19"/>
          <w:lang w:val="es-ES"/>
        </w:rPr>
        <w:t xml:space="preserve"> </w:t>
      </w:r>
    </w:p>
    <w:p w14:paraId="53131B36" w14:textId="77777777" w:rsidR="00450B8D" w:rsidRPr="00DE5B4E" w:rsidRDefault="00450B8D" w:rsidP="002A3EC7">
      <w:pPr>
        <w:pStyle w:val="Textonotapie"/>
        <w:jc w:val="both"/>
        <w:rPr>
          <w:rFonts w:ascii="Arial" w:hAnsi="Arial" w:cs="Arial"/>
          <w:sz w:val="19"/>
          <w:szCs w:val="19"/>
        </w:rPr>
      </w:pPr>
    </w:p>
  </w:footnote>
  <w:footnote w:id="10">
    <w:p w14:paraId="4D43B69F" w14:textId="6C923821" w:rsidR="00450B8D" w:rsidRPr="00DE5B4E" w:rsidRDefault="00450B8D" w:rsidP="002A3EC7">
      <w:pPr>
        <w:pStyle w:val="Textonotapie"/>
        <w:ind w:firstLine="708"/>
        <w:jc w:val="both"/>
        <w:rPr>
          <w:rFonts w:ascii="Arial" w:hAnsi="Arial" w:cs="Arial"/>
          <w:sz w:val="19"/>
          <w:szCs w:val="19"/>
          <w:lang w:val="es-ES"/>
        </w:rPr>
      </w:pPr>
      <w:r w:rsidRPr="00DE5B4E">
        <w:rPr>
          <w:rStyle w:val="Refdenotaalpie"/>
          <w:rFonts w:ascii="Arial" w:hAnsi="Arial" w:cs="Arial"/>
          <w:sz w:val="19"/>
          <w:szCs w:val="19"/>
        </w:rPr>
        <w:footnoteRef/>
      </w:r>
      <w:r w:rsidRPr="00DE5B4E">
        <w:rPr>
          <w:rFonts w:ascii="Arial" w:hAnsi="Arial" w:cs="Arial"/>
          <w:sz w:val="19"/>
          <w:szCs w:val="19"/>
        </w:rPr>
        <w:t xml:space="preserve"> </w:t>
      </w:r>
      <w:r w:rsidRPr="00DE5B4E">
        <w:rPr>
          <w:rFonts w:ascii="Arial" w:hAnsi="Arial" w:cs="Arial"/>
          <w:sz w:val="19"/>
          <w:szCs w:val="19"/>
          <w:lang w:val="es-ES"/>
        </w:rPr>
        <w:t xml:space="preserve">COLOMBIA COMPRA EFICIENTE. </w:t>
      </w:r>
      <w:r w:rsidR="00C872F0" w:rsidRPr="00DE5B4E">
        <w:rPr>
          <w:rFonts w:ascii="Arial" w:hAnsi="Arial" w:cs="Arial"/>
          <w:sz w:val="19"/>
          <w:szCs w:val="19"/>
          <w:lang w:val="es-ES"/>
        </w:rPr>
        <w:t>Síntesis</w:t>
      </w:r>
      <w:r w:rsidRPr="00DE5B4E">
        <w:rPr>
          <w:rFonts w:ascii="Arial" w:hAnsi="Arial" w:cs="Arial"/>
          <w:sz w:val="19"/>
          <w:szCs w:val="19"/>
          <w:lang w:val="es-ES"/>
        </w:rPr>
        <w:t xml:space="preserve">: 8. Etapa precontractual: Garantía de cumplimiento del contrato estatal. </w:t>
      </w:r>
    </w:p>
    <w:p w14:paraId="22D3E77B" w14:textId="77777777" w:rsidR="00450B8D" w:rsidRPr="00DE5B4E" w:rsidRDefault="00450B8D" w:rsidP="002A3EC7">
      <w:pPr>
        <w:pStyle w:val="Textonotapie"/>
        <w:ind w:firstLine="708"/>
        <w:jc w:val="both"/>
        <w:rPr>
          <w:rFonts w:ascii="Arial" w:hAnsi="Arial" w:cs="Arial"/>
          <w:sz w:val="19"/>
          <w:szCs w:val="19"/>
        </w:rPr>
      </w:pPr>
    </w:p>
  </w:footnote>
  <w:footnote w:id="11">
    <w:p w14:paraId="37D5C026" w14:textId="7771C665" w:rsidR="002A3EC7" w:rsidRPr="00DE5B4E" w:rsidRDefault="002A3EC7" w:rsidP="002A3EC7">
      <w:pPr>
        <w:pStyle w:val="Textonotapie"/>
        <w:ind w:firstLine="708"/>
        <w:jc w:val="both"/>
        <w:rPr>
          <w:rFonts w:ascii="Arial" w:hAnsi="Arial" w:cs="Arial"/>
          <w:sz w:val="19"/>
          <w:szCs w:val="19"/>
        </w:rPr>
      </w:pPr>
      <w:r w:rsidRPr="00DE5B4E">
        <w:rPr>
          <w:rStyle w:val="Refdenotaalpie"/>
          <w:rFonts w:ascii="Arial" w:hAnsi="Arial" w:cs="Arial"/>
          <w:sz w:val="19"/>
          <w:szCs w:val="19"/>
        </w:rPr>
        <w:footnoteRef/>
      </w:r>
      <w:r w:rsidRPr="00DE5B4E">
        <w:rPr>
          <w:rFonts w:ascii="Arial" w:hAnsi="Arial" w:cs="Arial"/>
          <w:sz w:val="19"/>
          <w:szCs w:val="19"/>
        </w:rPr>
        <w:t xml:space="preserve"> La norma citada dispone: «Artículo 2.2.1.2.3.1.7. Garantía de cumplimiento. La garantía de cumplimiento del contrato debe cubrir:</w:t>
      </w:r>
    </w:p>
    <w:p w14:paraId="143DAB77" w14:textId="5DD9EE2A"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7FAC0A51" w14:textId="27E38109"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»2.    Devolución del pago anticipado. Este amparo cubre los perjuicios sufridos por la Entidad Estatal por la no devolución total o parcial del dinero entregado al contratista a título de pago anticipado, cuando a ello hubiere lugar.</w:t>
      </w:r>
    </w:p>
    <w:p w14:paraId="65A3C698" w14:textId="0C92BCD1"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»3.    Cumplimiento del contrato. Este amparo cubre a la Entidad Estatal de los perjuicios derivados de:</w:t>
      </w:r>
    </w:p>
    <w:p w14:paraId="3734245D" w14:textId="1B2BB956"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»3.1.   El incumplimiento total o parcial del contrato, cuando el incumplimiento es imputable al contratista;</w:t>
      </w:r>
    </w:p>
    <w:p w14:paraId="206532DC" w14:textId="5034DD28"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»3.2.   El cumplimiento tardío o defectuoso del contrato, cuando el incumplimiento es imputable al contratista;</w:t>
      </w:r>
    </w:p>
    <w:p w14:paraId="379E42C4" w14:textId="17152652"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»3.3.   Los daños imputables al contratista por entregas parciales de la obra, cuando el contrato no prevé entregas parciales; y</w:t>
      </w:r>
    </w:p>
    <w:p w14:paraId="7F4F8DB9" w14:textId="3E17303F"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»3.4.   El pago del valor de las multas y de la cláusula penal pecuniaria.</w:t>
      </w:r>
    </w:p>
    <w:p w14:paraId="6770DD60" w14:textId="71D94C9B"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703986EE" w14:textId="5DB504B7"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»La Entidad Estatal no debe exigir una garantía para cubrir este Riesgo en los contratos que se ejecuten fuera del territorio nacional con personal contratado bajo un régimen jurídico distinto al colombiano.</w:t>
      </w:r>
    </w:p>
    <w:p w14:paraId="41C11F2E" w14:textId="297727D4"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»5.    Estabilidad y calidad de la obra. Este amparo cubre a la Entidad Estatal de los perjuicios ocasionados por cualquier tipo de daño o deterioro, imputable al contratista, sufrido por la obra entregada a satisfacción.</w:t>
      </w:r>
    </w:p>
    <w:p w14:paraId="35EF256C" w14:textId="141A3A06"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»6.    Calidad del servicio. Este amparo cubre a la Entidad Estatal por los perjuicios deri­vados de la deficiente calidad del servicio prestado.</w:t>
      </w:r>
    </w:p>
    <w:p w14:paraId="41EDCBC7" w14:textId="4D30B8B1"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»7.    Calidad y correcto funcionamiento de los bienes. Este amparo debe cubrir la calidad y el correcto funcionamiento de los bienes que recibe la Entidad Estatal en cumplimiento de un contrato.</w:t>
      </w:r>
    </w:p>
    <w:p w14:paraId="2D4438A6" w14:textId="44736D0F" w:rsidR="002A3EC7" w:rsidRPr="00DE5B4E" w:rsidRDefault="002A3EC7" w:rsidP="002A3EC7">
      <w:pPr>
        <w:pStyle w:val="Textonotapie"/>
        <w:ind w:firstLine="708"/>
        <w:jc w:val="both"/>
        <w:rPr>
          <w:rFonts w:ascii="Arial" w:hAnsi="Arial" w:cs="Arial"/>
          <w:sz w:val="19"/>
          <w:szCs w:val="19"/>
        </w:rPr>
      </w:pPr>
      <w:r w:rsidRPr="00DE5B4E">
        <w:rPr>
          <w:rFonts w:ascii="Arial" w:hAnsi="Arial" w:cs="Arial"/>
          <w:sz w:val="19"/>
          <w:szCs w:val="19"/>
        </w:rPr>
        <w:t>»8.    Los demás incumplimientos de obligaciones que la Entidad Estatal considere deben ser amparados de manera proporcional y acorde a la naturaleza del contrato».</w:t>
      </w:r>
    </w:p>
  </w:footnote>
  <w:footnote w:id="12">
    <w:p w14:paraId="3DA01B57" w14:textId="7323238D" w:rsidR="00DE5B4E" w:rsidRPr="00DE5B4E" w:rsidRDefault="00DE5B4E" w:rsidP="00DE5B4E">
      <w:pPr>
        <w:pStyle w:val="Textonotapie"/>
        <w:ind w:firstLine="708"/>
        <w:rPr>
          <w:rFonts w:ascii="Arial" w:hAnsi="Arial" w:cs="Arial"/>
          <w:sz w:val="19"/>
          <w:szCs w:val="19"/>
        </w:rPr>
      </w:pPr>
      <w:r w:rsidRPr="00DE5B4E">
        <w:rPr>
          <w:rStyle w:val="Refdenotaalpie"/>
          <w:rFonts w:ascii="Arial" w:hAnsi="Arial" w:cs="Arial"/>
          <w:sz w:val="19"/>
          <w:szCs w:val="19"/>
        </w:rPr>
        <w:footnoteRef/>
      </w:r>
      <w:r w:rsidRPr="00DE5B4E">
        <w:rPr>
          <w:rFonts w:ascii="Arial" w:hAnsi="Arial" w:cs="Arial"/>
          <w:sz w:val="19"/>
          <w:szCs w:val="19"/>
        </w:rPr>
        <w:t xml:space="preserve"> </w:t>
      </w:r>
      <w:r>
        <w:rPr>
          <w:rFonts w:ascii="Arial" w:hAnsi="Arial" w:cs="Arial"/>
          <w:sz w:val="19"/>
          <w:szCs w:val="19"/>
        </w:rPr>
        <w:t xml:space="preserve">CONSEJO DE ESTADO. Sección Tercera. Subsección B. Sentencia de 19 de junio de 2013. Exp. 25472. C.P. Danilo Rojas Betancourth.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668EA" w14:textId="77777777" w:rsidR="00450B8D" w:rsidRDefault="00450B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DC374" w14:textId="77777777" w:rsidR="00450B8D" w:rsidRDefault="00450B8D">
    <w:pPr>
      <w:pStyle w:val="Encabezado"/>
    </w:pPr>
    <w:r>
      <w:rPr>
        <w:noProof/>
        <w:lang w:val="es-CO" w:eastAsia="es-CO"/>
      </w:rPr>
      <w:drawing>
        <wp:anchor distT="0" distB="0" distL="114300" distR="114300" simplePos="0" relativeHeight="251659264" behindDoc="1" locked="0" layoutInCell="1" allowOverlap="1" wp14:anchorId="167429E6" wp14:editId="017820F8">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46B1D" w14:textId="77777777" w:rsidR="00450B8D" w:rsidRDefault="00450B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A7C2613C"/>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D737E9E"/>
    <w:multiLevelType w:val="hybridMultilevel"/>
    <w:tmpl w:val="B192C1FA"/>
    <w:lvl w:ilvl="0" w:tplc="240A0011">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4DE"/>
    <w:rsid w:val="000039E1"/>
    <w:rsid w:val="00003A62"/>
    <w:rsid w:val="00031B4F"/>
    <w:rsid w:val="00056F52"/>
    <w:rsid w:val="00066CFF"/>
    <w:rsid w:val="00071380"/>
    <w:rsid w:val="000728DE"/>
    <w:rsid w:val="00086C81"/>
    <w:rsid w:val="000926E7"/>
    <w:rsid w:val="000B562A"/>
    <w:rsid w:val="000C13EA"/>
    <w:rsid w:val="000D2ED5"/>
    <w:rsid w:val="000E0191"/>
    <w:rsid w:val="000E387D"/>
    <w:rsid w:val="000E5B5B"/>
    <w:rsid w:val="00101EF3"/>
    <w:rsid w:val="00141C23"/>
    <w:rsid w:val="00155391"/>
    <w:rsid w:val="00173C18"/>
    <w:rsid w:val="001850FE"/>
    <w:rsid w:val="001B60AC"/>
    <w:rsid w:val="001C5AB9"/>
    <w:rsid w:val="001D393D"/>
    <w:rsid w:val="001E604C"/>
    <w:rsid w:val="001E65F8"/>
    <w:rsid w:val="001E7119"/>
    <w:rsid w:val="001F05D5"/>
    <w:rsid w:val="001F452E"/>
    <w:rsid w:val="001F4744"/>
    <w:rsid w:val="0021359A"/>
    <w:rsid w:val="0021387B"/>
    <w:rsid w:val="00222730"/>
    <w:rsid w:val="00222AAB"/>
    <w:rsid w:val="0025201D"/>
    <w:rsid w:val="00267459"/>
    <w:rsid w:val="00297E77"/>
    <w:rsid w:val="002A0A0B"/>
    <w:rsid w:val="002A3EC7"/>
    <w:rsid w:val="002A56B2"/>
    <w:rsid w:val="002E21C0"/>
    <w:rsid w:val="002F42B6"/>
    <w:rsid w:val="002F468C"/>
    <w:rsid w:val="0032186C"/>
    <w:rsid w:val="003306EE"/>
    <w:rsid w:val="00355473"/>
    <w:rsid w:val="00364375"/>
    <w:rsid w:val="003979E0"/>
    <w:rsid w:val="003B1CAE"/>
    <w:rsid w:val="003C2405"/>
    <w:rsid w:val="003C281E"/>
    <w:rsid w:val="003E5C29"/>
    <w:rsid w:val="003F39B5"/>
    <w:rsid w:val="003F7329"/>
    <w:rsid w:val="004110A1"/>
    <w:rsid w:val="00415B81"/>
    <w:rsid w:val="0042238D"/>
    <w:rsid w:val="00445FD5"/>
    <w:rsid w:val="00450B8D"/>
    <w:rsid w:val="00483651"/>
    <w:rsid w:val="00486258"/>
    <w:rsid w:val="004B18B0"/>
    <w:rsid w:val="004C0962"/>
    <w:rsid w:val="004C0ACE"/>
    <w:rsid w:val="004F3B02"/>
    <w:rsid w:val="0050493D"/>
    <w:rsid w:val="00507D44"/>
    <w:rsid w:val="00530BBB"/>
    <w:rsid w:val="00542B00"/>
    <w:rsid w:val="00565B22"/>
    <w:rsid w:val="0058473E"/>
    <w:rsid w:val="005A083E"/>
    <w:rsid w:val="005A5129"/>
    <w:rsid w:val="005B2080"/>
    <w:rsid w:val="005E3EAB"/>
    <w:rsid w:val="005F6F8C"/>
    <w:rsid w:val="00601B74"/>
    <w:rsid w:val="0063396E"/>
    <w:rsid w:val="00635578"/>
    <w:rsid w:val="00646598"/>
    <w:rsid w:val="00652F74"/>
    <w:rsid w:val="006665A8"/>
    <w:rsid w:val="00674DF5"/>
    <w:rsid w:val="006A4794"/>
    <w:rsid w:val="006D06D5"/>
    <w:rsid w:val="006D28C4"/>
    <w:rsid w:val="006D4530"/>
    <w:rsid w:val="006D4574"/>
    <w:rsid w:val="006D52F1"/>
    <w:rsid w:val="006E01B8"/>
    <w:rsid w:val="006E416F"/>
    <w:rsid w:val="00727BE1"/>
    <w:rsid w:val="00752428"/>
    <w:rsid w:val="007917E4"/>
    <w:rsid w:val="007A5B30"/>
    <w:rsid w:val="007C2DF1"/>
    <w:rsid w:val="007E6590"/>
    <w:rsid w:val="008124B3"/>
    <w:rsid w:val="008208BF"/>
    <w:rsid w:val="00826E56"/>
    <w:rsid w:val="00831DD0"/>
    <w:rsid w:val="008677EC"/>
    <w:rsid w:val="00897B79"/>
    <w:rsid w:val="008A3517"/>
    <w:rsid w:val="008D7D85"/>
    <w:rsid w:val="008F0C53"/>
    <w:rsid w:val="008F6F78"/>
    <w:rsid w:val="0090501A"/>
    <w:rsid w:val="00912E49"/>
    <w:rsid w:val="00927DD9"/>
    <w:rsid w:val="00944606"/>
    <w:rsid w:val="009553A7"/>
    <w:rsid w:val="009554FD"/>
    <w:rsid w:val="0097361F"/>
    <w:rsid w:val="00975C71"/>
    <w:rsid w:val="00986CDF"/>
    <w:rsid w:val="009A4639"/>
    <w:rsid w:val="009C6B45"/>
    <w:rsid w:val="009D0E06"/>
    <w:rsid w:val="009D7CD1"/>
    <w:rsid w:val="009E3832"/>
    <w:rsid w:val="009F1174"/>
    <w:rsid w:val="009F11D5"/>
    <w:rsid w:val="00A02F49"/>
    <w:rsid w:val="00A36C06"/>
    <w:rsid w:val="00A37CBF"/>
    <w:rsid w:val="00A614ED"/>
    <w:rsid w:val="00A67D29"/>
    <w:rsid w:val="00A72898"/>
    <w:rsid w:val="00A77D37"/>
    <w:rsid w:val="00A97364"/>
    <w:rsid w:val="00AC3023"/>
    <w:rsid w:val="00AE5D1A"/>
    <w:rsid w:val="00AE64FF"/>
    <w:rsid w:val="00AF0733"/>
    <w:rsid w:val="00B414DE"/>
    <w:rsid w:val="00B42C4F"/>
    <w:rsid w:val="00B471AF"/>
    <w:rsid w:val="00BA1551"/>
    <w:rsid w:val="00BC1CD6"/>
    <w:rsid w:val="00BE6E35"/>
    <w:rsid w:val="00BF4AE0"/>
    <w:rsid w:val="00BF66F6"/>
    <w:rsid w:val="00C06F7B"/>
    <w:rsid w:val="00C239FA"/>
    <w:rsid w:val="00C34174"/>
    <w:rsid w:val="00C34EB1"/>
    <w:rsid w:val="00C42382"/>
    <w:rsid w:val="00C5783A"/>
    <w:rsid w:val="00C743C3"/>
    <w:rsid w:val="00C7475D"/>
    <w:rsid w:val="00C844D3"/>
    <w:rsid w:val="00C872F0"/>
    <w:rsid w:val="00C91526"/>
    <w:rsid w:val="00C9438A"/>
    <w:rsid w:val="00CC7712"/>
    <w:rsid w:val="00CF2711"/>
    <w:rsid w:val="00CF3CFD"/>
    <w:rsid w:val="00D102E5"/>
    <w:rsid w:val="00D365AC"/>
    <w:rsid w:val="00D57A17"/>
    <w:rsid w:val="00D67815"/>
    <w:rsid w:val="00D770A9"/>
    <w:rsid w:val="00D816C0"/>
    <w:rsid w:val="00D82606"/>
    <w:rsid w:val="00D85D2F"/>
    <w:rsid w:val="00D85D7B"/>
    <w:rsid w:val="00D9583C"/>
    <w:rsid w:val="00DA1D04"/>
    <w:rsid w:val="00DB79F5"/>
    <w:rsid w:val="00DC3EB9"/>
    <w:rsid w:val="00DC43A8"/>
    <w:rsid w:val="00DE5B4E"/>
    <w:rsid w:val="00DF123C"/>
    <w:rsid w:val="00E01F78"/>
    <w:rsid w:val="00E106AF"/>
    <w:rsid w:val="00E232ED"/>
    <w:rsid w:val="00E2516A"/>
    <w:rsid w:val="00E26720"/>
    <w:rsid w:val="00E73969"/>
    <w:rsid w:val="00E778A1"/>
    <w:rsid w:val="00E81289"/>
    <w:rsid w:val="00EA42DD"/>
    <w:rsid w:val="00EA6C85"/>
    <w:rsid w:val="00EB72B4"/>
    <w:rsid w:val="00EC4208"/>
    <w:rsid w:val="00ED04A5"/>
    <w:rsid w:val="00ED0755"/>
    <w:rsid w:val="00EE44D4"/>
    <w:rsid w:val="00EF3D2F"/>
    <w:rsid w:val="00F16AE6"/>
    <w:rsid w:val="00F41731"/>
    <w:rsid w:val="00F467FE"/>
    <w:rsid w:val="00F554CD"/>
    <w:rsid w:val="00F63667"/>
    <w:rsid w:val="00F709AB"/>
    <w:rsid w:val="00F7703D"/>
    <w:rsid w:val="00F778CF"/>
    <w:rsid w:val="00F92F57"/>
    <w:rsid w:val="00FA0CA1"/>
    <w:rsid w:val="00FB2F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23B17"/>
  <w15:chartTrackingRefBased/>
  <w15:docId w15:val="{7C0F370A-AFA6-4DBB-8524-C5206633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49"/>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414DE"/>
    <w:pPr>
      <w:tabs>
        <w:tab w:val="center" w:pos="4419"/>
        <w:tab w:val="right" w:pos="8838"/>
      </w:tabs>
    </w:pPr>
    <w:rPr>
      <w:rFonts w:asciiTheme="minorHAnsi" w:eastAsiaTheme="minorHAnsi" w:hAnsiTheme="minorHAnsi" w:cstheme="minorBidi"/>
      <w:szCs w:val="22"/>
      <w:lang w:val="es-MX"/>
    </w:rPr>
  </w:style>
  <w:style w:type="character" w:customStyle="1" w:styleId="PiedepginaCar">
    <w:name w:val="Pie de página Car"/>
    <w:basedOn w:val="Fuentedeprrafopredeter"/>
    <w:link w:val="Piedepgina"/>
    <w:uiPriority w:val="99"/>
    <w:rsid w:val="00B414DE"/>
    <w:rPr>
      <w:sz w:val="24"/>
      <w:lang w:val="es-MX"/>
    </w:rPr>
  </w:style>
  <w:style w:type="paragraph" w:styleId="Encabezado">
    <w:name w:val="header"/>
    <w:basedOn w:val="Normal"/>
    <w:link w:val="EncabezadoCar"/>
    <w:uiPriority w:val="99"/>
    <w:unhideWhenUsed/>
    <w:rsid w:val="00B414DE"/>
    <w:pPr>
      <w:tabs>
        <w:tab w:val="center" w:pos="4252"/>
        <w:tab w:val="right" w:pos="8504"/>
      </w:tabs>
    </w:pPr>
    <w:rPr>
      <w:rFonts w:asciiTheme="minorHAnsi" w:eastAsiaTheme="minorHAnsi" w:hAnsiTheme="minorHAnsi" w:cstheme="minorBidi"/>
      <w:szCs w:val="22"/>
      <w:lang w:val="es-MX"/>
    </w:rPr>
  </w:style>
  <w:style w:type="character" w:customStyle="1" w:styleId="EncabezadoCar">
    <w:name w:val="Encabezado Car"/>
    <w:basedOn w:val="Fuentedeprrafopredeter"/>
    <w:link w:val="Encabezado"/>
    <w:uiPriority w:val="99"/>
    <w:rsid w:val="00B414DE"/>
    <w:rPr>
      <w:sz w:val="24"/>
      <w:lang w:val="es-MX"/>
    </w:rPr>
  </w:style>
  <w:style w:type="table" w:styleId="Tablaconcuadrcula">
    <w:name w:val="Table Grid"/>
    <w:basedOn w:val="Tablanormal"/>
    <w:uiPriority w:val="59"/>
    <w:rsid w:val="00B4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B414DE"/>
    <w:pPr>
      <w:ind w:left="720"/>
      <w:contextualSpacing/>
    </w:pPr>
    <w:rPr>
      <w:rFonts w:asciiTheme="minorHAnsi" w:eastAsiaTheme="minorHAnsi" w:hAnsiTheme="minorHAnsi" w:cstheme="minorBidi"/>
      <w:szCs w:val="22"/>
      <w:lang w:val="es-MX"/>
    </w:rPr>
  </w:style>
  <w:style w:type="paragraph" w:styleId="Sinespaciado">
    <w:name w:val="No Spacing"/>
    <w:aliases w:val="No Indent"/>
    <w:uiPriority w:val="3"/>
    <w:qFormat/>
    <w:rsid w:val="00B414DE"/>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B414D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B414DE"/>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B414DE"/>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414DE"/>
    <w:rPr>
      <w:sz w:val="24"/>
      <w:lang w:val="es-MX"/>
    </w:rPr>
  </w:style>
  <w:style w:type="paragraph" w:customStyle="1" w:styleId="Capitulo1">
    <w:name w:val="Capitulo 1"/>
    <w:basedOn w:val="Normal"/>
    <w:qFormat/>
    <w:rsid w:val="00B414DE"/>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B414DE"/>
    <w:rPr>
      <w:vertAlign w:val="superscript"/>
    </w:rPr>
  </w:style>
  <w:style w:type="paragraph" w:customStyle="1" w:styleId="Default">
    <w:name w:val="Default"/>
    <w:rsid w:val="00D85D2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D57A17"/>
    <w:rPr>
      <w:rFonts w:eastAsiaTheme="minorHAnsi"/>
      <w:lang w:val="es-MX"/>
    </w:rPr>
  </w:style>
  <w:style w:type="character" w:styleId="Hipervnculo">
    <w:name w:val="Hyperlink"/>
    <w:basedOn w:val="Fuentedeprrafopredeter"/>
    <w:uiPriority w:val="99"/>
    <w:unhideWhenUsed/>
    <w:rsid w:val="006E01B8"/>
    <w:rPr>
      <w:color w:val="0563C1" w:themeColor="hyperlink"/>
      <w:u w:val="single"/>
    </w:rPr>
  </w:style>
  <w:style w:type="character" w:customStyle="1" w:styleId="UnresolvedMention1">
    <w:name w:val="Unresolved Mention1"/>
    <w:basedOn w:val="Fuentedeprrafopredeter"/>
    <w:uiPriority w:val="99"/>
    <w:semiHidden/>
    <w:unhideWhenUsed/>
    <w:rsid w:val="005A083E"/>
    <w:rPr>
      <w:color w:val="605E5C"/>
      <w:shd w:val="clear" w:color="auto" w:fill="E1DFDD"/>
    </w:rPr>
  </w:style>
  <w:style w:type="character" w:styleId="Textoennegrita">
    <w:name w:val="Strong"/>
    <w:basedOn w:val="Fuentedeprrafopredeter"/>
    <w:uiPriority w:val="22"/>
    <w:qFormat/>
    <w:rsid w:val="004110A1"/>
    <w:rPr>
      <w:b/>
      <w:bCs/>
    </w:rPr>
  </w:style>
  <w:style w:type="character" w:styleId="nfasis">
    <w:name w:val="Emphasis"/>
    <w:basedOn w:val="Fuentedeprrafopredeter"/>
    <w:uiPriority w:val="20"/>
    <w:qFormat/>
    <w:rsid w:val="004110A1"/>
    <w:rPr>
      <w:i/>
      <w:iCs/>
    </w:rPr>
  </w:style>
  <w:style w:type="paragraph" w:styleId="Textodeglobo">
    <w:name w:val="Balloon Text"/>
    <w:basedOn w:val="Normal"/>
    <w:link w:val="TextodegloboCar"/>
    <w:uiPriority w:val="99"/>
    <w:semiHidden/>
    <w:unhideWhenUsed/>
    <w:rsid w:val="002A56B2"/>
    <w:rPr>
      <w:sz w:val="18"/>
      <w:szCs w:val="18"/>
    </w:rPr>
  </w:style>
  <w:style w:type="character" w:customStyle="1" w:styleId="TextodegloboCar">
    <w:name w:val="Texto de globo Car"/>
    <w:basedOn w:val="Fuentedeprrafopredeter"/>
    <w:link w:val="Textodeglobo"/>
    <w:uiPriority w:val="99"/>
    <w:semiHidden/>
    <w:rsid w:val="002A56B2"/>
    <w:rPr>
      <w:rFonts w:ascii="Times New Roman" w:eastAsia="Times New Roman" w:hAnsi="Times New Roman" w:cs="Times New Roman"/>
      <w:sz w:val="18"/>
      <w:szCs w:val="18"/>
    </w:rPr>
  </w:style>
  <w:style w:type="character" w:styleId="Refdecomentario">
    <w:name w:val="annotation reference"/>
    <w:basedOn w:val="Fuentedeprrafopredeter"/>
    <w:uiPriority w:val="99"/>
    <w:semiHidden/>
    <w:unhideWhenUsed/>
    <w:rsid w:val="002A56B2"/>
    <w:rPr>
      <w:sz w:val="16"/>
      <w:szCs w:val="16"/>
    </w:rPr>
  </w:style>
  <w:style w:type="paragraph" w:styleId="Textocomentario">
    <w:name w:val="annotation text"/>
    <w:basedOn w:val="Normal"/>
    <w:link w:val="TextocomentarioCar"/>
    <w:uiPriority w:val="99"/>
    <w:semiHidden/>
    <w:unhideWhenUsed/>
    <w:rsid w:val="002A56B2"/>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semiHidden/>
    <w:rsid w:val="002A56B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F11D5"/>
    <w:rPr>
      <w:rFonts w:ascii="Times New Roman" w:eastAsia="Times New Roman" w:hAnsi="Times New Roman" w:cs="Times New Roman"/>
      <w:b/>
      <w:bCs/>
      <w:lang w:val="es-CO"/>
    </w:rPr>
  </w:style>
  <w:style w:type="character" w:customStyle="1" w:styleId="AsuntodelcomentarioCar">
    <w:name w:val="Asunto del comentario Car"/>
    <w:basedOn w:val="TextocomentarioCar"/>
    <w:link w:val="Asuntodelcomentario"/>
    <w:uiPriority w:val="99"/>
    <w:semiHidden/>
    <w:rsid w:val="009F11D5"/>
    <w:rPr>
      <w:rFonts w:ascii="Times New Roman" w:eastAsia="Times New Roman" w:hAnsi="Times New Roman" w:cs="Times New Roman"/>
      <w:b/>
      <w:bCs/>
      <w:sz w:val="20"/>
      <w:szCs w:val="20"/>
      <w:lang w:val="es-MX"/>
    </w:rPr>
  </w:style>
  <w:style w:type="paragraph" w:styleId="Revisin">
    <w:name w:val="Revision"/>
    <w:hidden/>
    <w:uiPriority w:val="99"/>
    <w:semiHidden/>
    <w:rsid w:val="005E3EA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1558">
      <w:bodyDiv w:val="1"/>
      <w:marLeft w:val="0"/>
      <w:marRight w:val="0"/>
      <w:marTop w:val="0"/>
      <w:marBottom w:val="0"/>
      <w:divBdr>
        <w:top w:val="none" w:sz="0" w:space="0" w:color="auto"/>
        <w:left w:val="none" w:sz="0" w:space="0" w:color="auto"/>
        <w:bottom w:val="none" w:sz="0" w:space="0" w:color="auto"/>
        <w:right w:val="none" w:sz="0" w:space="0" w:color="auto"/>
      </w:divBdr>
    </w:div>
    <w:div w:id="281965796">
      <w:bodyDiv w:val="1"/>
      <w:marLeft w:val="0"/>
      <w:marRight w:val="0"/>
      <w:marTop w:val="0"/>
      <w:marBottom w:val="0"/>
      <w:divBdr>
        <w:top w:val="none" w:sz="0" w:space="0" w:color="auto"/>
        <w:left w:val="none" w:sz="0" w:space="0" w:color="auto"/>
        <w:bottom w:val="none" w:sz="0" w:space="0" w:color="auto"/>
        <w:right w:val="none" w:sz="0" w:space="0" w:color="auto"/>
      </w:divBdr>
    </w:div>
    <w:div w:id="447697258">
      <w:bodyDiv w:val="1"/>
      <w:marLeft w:val="0"/>
      <w:marRight w:val="0"/>
      <w:marTop w:val="0"/>
      <w:marBottom w:val="0"/>
      <w:divBdr>
        <w:top w:val="none" w:sz="0" w:space="0" w:color="auto"/>
        <w:left w:val="none" w:sz="0" w:space="0" w:color="auto"/>
        <w:bottom w:val="none" w:sz="0" w:space="0" w:color="auto"/>
        <w:right w:val="none" w:sz="0" w:space="0" w:color="auto"/>
      </w:divBdr>
    </w:div>
    <w:div w:id="449251502">
      <w:bodyDiv w:val="1"/>
      <w:marLeft w:val="0"/>
      <w:marRight w:val="0"/>
      <w:marTop w:val="0"/>
      <w:marBottom w:val="0"/>
      <w:divBdr>
        <w:top w:val="none" w:sz="0" w:space="0" w:color="auto"/>
        <w:left w:val="none" w:sz="0" w:space="0" w:color="auto"/>
        <w:bottom w:val="none" w:sz="0" w:space="0" w:color="auto"/>
        <w:right w:val="none" w:sz="0" w:space="0" w:color="auto"/>
      </w:divBdr>
    </w:div>
    <w:div w:id="477183958">
      <w:bodyDiv w:val="1"/>
      <w:marLeft w:val="0"/>
      <w:marRight w:val="0"/>
      <w:marTop w:val="0"/>
      <w:marBottom w:val="0"/>
      <w:divBdr>
        <w:top w:val="none" w:sz="0" w:space="0" w:color="auto"/>
        <w:left w:val="none" w:sz="0" w:space="0" w:color="auto"/>
        <w:bottom w:val="none" w:sz="0" w:space="0" w:color="auto"/>
        <w:right w:val="none" w:sz="0" w:space="0" w:color="auto"/>
      </w:divBdr>
    </w:div>
    <w:div w:id="667443252">
      <w:bodyDiv w:val="1"/>
      <w:marLeft w:val="0"/>
      <w:marRight w:val="0"/>
      <w:marTop w:val="0"/>
      <w:marBottom w:val="0"/>
      <w:divBdr>
        <w:top w:val="none" w:sz="0" w:space="0" w:color="auto"/>
        <w:left w:val="none" w:sz="0" w:space="0" w:color="auto"/>
        <w:bottom w:val="none" w:sz="0" w:space="0" w:color="auto"/>
        <w:right w:val="none" w:sz="0" w:space="0" w:color="auto"/>
      </w:divBdr>
    </w:div>
    <w:div w:id="736899898">
      <w:bodyDiv w:val="1"/>
      <w:marLeft w:val="0"/>
      <w:marRight w:val="0"/>
      <w:marTop w:val="0"/>
      <w:marBottom w:val="0"/>
      <w:divBdr>
        <w:top w:val="none" w:sz="0" w:space="0" w:color="auto"/>
        <w:left w:val="none" w:sz="0" w:space="0" w:color="auto"/>
        <w:bottom w:val="none" w:sz="0" w:space="0" w:color="auto"/>
        <w:right w:val="none" w:sz="0" w:space="0" w:color="auto"/>
      </w:divBdr>
    </w:div>
    <w:div w:id="743768160">
      <w:bodyDiv w:val="1"/>
      <w:marLeft w:val="0"/>
      <w:marRight w:val="0"/>
      <w:marTop w:val="0"/>
      <w:marBottom w:val="0"/>
      <w:divBdr>
        <w:top w:val="none" w:sz="0" w:space="0" w:color="auto"/>
        <w:left w:val="none" w:sz="0" w:space="0" w:color="auto"/>
        <w:bottom w:val="none" w:sz="0" w:space="0" w:color="auto"/>
        <w:right w:val="none" w:sz="0" w:space="0" w:color="auto"/>
      </w:divBdr>
    </w:div>
    <w:div w:id="816610400">
      <w:bodyDiv w:val="1"/>
      <w:marLeft w:val="0"/>
      <w:marRight w:val="0"/>
      <w:marTop w:val="0"/>
      <w:marBottom w:val="0"/>
      <w:divBdr>
        <w:top w:val="none" w:sz="0" w:space="0" w:color="auto"/>
        <w:left w:val="none" w:sz="0" w:space="0" w:color="auto"/>
        <w:bottom w:val="none" w:sz="0" w:space="0" w:color="auto"/>
        <w:right w:val="none" w:sz="0" w:space="0" w:color="auto"/>
      </w:divBdr>
    </w:div>
    <w:div w:id="927035956">
      <w:bodyDiv w:val="1"/>
      <w:marLeft w:val="0"/>
      <w:marRight w:val="0"/>
      <w:marTop w:val="0"/>
      <w:marBottom w:val="0"/>
      <w:divBdr>
        <w:top w:val="none" w:sz="0" w:space="0" w:color="auto"/>
        <w:left w:val="none" w:sz="0" w:space="0" w:color="auto"/>
        <w:bottom w:val="none" w:sz="0" w:space="0" w:color="auto"/>
        <w:right w:val="none" w:sz="0" w:space="0" w:color="auto"/>
      </w:divBdr>
    </w:div>
    <w:div w:id="965886970">
      <w:bodyDiv w:val="1"/>
      <w:marLeft w:val="0"/>
      <w:marRight w:val="0"/>
      <w:marTop w:val="0"/>
      <w:marBottom w:val="0"/>
      <w:divBdr>
        <w:top w:val="none" w:sz="0" w:space="0" w:color="auto"/>
        <w:left w:val="none" w:sz="0" w:space="0" w:color="auto"/>
        <w:bottom w:val="none" w:sz="0" w:space="0" w:color="auto"/>
        <w:right w:val="none" w:sz="0" w:space="0" w:color="auto"/>
      </w:divBdr>
    </w:div>
    <w:div w:id="1204713484">
      <w:bodyDiv w:val="1"/>
      <w:marLeft w:val="0"/>
      <w:marRight w:val="0"/>
      <w:marTop w:val="0"/>
      <w:marBottom w:val="0"/>
      <w:divBdr>
        <w:top w:val="none" w:sz="0" w:space="0" w:color="auto"/>
        <w:left w:val="none" w:sz="0" w:space="0" w:color="auto"/>
        <w:bottom w:val="none" w:sz="0" w:space="0" w:color="auto"/>
        <w:right w:val="none" w:sz="0" w:space="0" w:color="auto"/>
      </w:divBdr>
    </w:div>
    <w:div w:id="1320115925">
      <w:bodyDiv w:val="1"/>
      <w:marLeft w:val="0"/>
      <w:marRight w:val="0"/>
      <w:marTop w:val="0"/>
      <w:marBottom w:val="0"/>
      <w:divBdr>
        <w:top w:val="none" w:sz="0" w:space="0" w:color="auto"/>
        <w:left w:val="none" w:sz="0" w:space="0" w:color="auto"/>
        <w:bottom w:val="none" w:sz="0" w:space="0" w:color="auto"/>
        <w:right w:val="none" w:sz="0" w:space="0" w:color="auto"/>
      </w:divBdr>
    </w:div>
    <w:div w:id="1456867817">
      <w:bodyDiv w:val="1"/>
      <w:marLeft w:val="0"/>
      <w:marRight w:val="0"/>
      <w:marTop w:val="0"/>
      <w:marBottom w:val="0"/>
      <w:divBdr>
        <w:top w:val="none" w:sz="0" w:space="0" w:color="auto"/>
        <w:left w:val="none" w:sz="0" w:space="0" w:color="auto"/>
        <w:bottom w:val="none" w:sz="0" w:space="0" w:color="auto"/>
        <w:right w:val="none" w:sz="0" w:space="0" w:color="auto"/>
      </w:divBdr>
    </w:div>
    <w:div w:id="1508666894">
      <w:bodyDiv w:val="1"/>
      <w:marLeft w:val="0"/>
      <w:marRight w:val="0"/>
      <w:marTop w:val="0"/>
      <w:marBottom w:val="0"/>
      <w:divBdr>
        <w:top w:val="none" w:sz="0" w:space="0" w:color="auto"/>
        <w:left w:val="none" w:sz="0" w:space="0" w:color="auto"/>
        <w:bottom w:val="none" w:sz="0" w:space="0" w:color="auto"/>
        <w:right w:val="none" w:sz="0" w:space="0" w:color="auto"/>
      </w:divBdr>
    </w:div>
    <w:div w:id="1579368278">
      <w:bodyDiv w:val="1"/>
      <w:marLeft w:val="0"/>
      <w:marRight w:val="0"/>
      <w:marTop w:val="0"/>
      <w:marBottom w:val="0"/>
      <w:divBdr>
        <w:top w:val="none" w:sz="0" w:space="0" w:color="auto"/>
        <w:left w:val="none" w:sz="0" w:space="0" w:color="auto"/>
        <w:bottom w:val="none" w:sz="0" w:space="0" w:color="auto"/>
        <w:right w:val="none" w:sz="0" w:space="0" w:color="auto"/>
      </w:divBdr>
    </w:div>
    <w:div w:id="1598635096">
      <w:bodyDiv w:val="1"/>
      <w:marLeft w:val="0"/>
      <w:marRight w:val="0"/>
      <w:marTop w:val="0"/>
      <w:marBottom w:val="0"/>
      <w:divBdr>
        <w:top w:val="none" w:sz="0" w:space="0" w:color="auto"/>
        <w:left w:val="none" w:sz="0" w:space="0" w:color="auto"/>
        <w:bottom w:val="none" w:sz="0" w:space="0" w:color="auto"/>
        <w:right w:val="none" w:sz="0" w:space="0" w:color="auto"/>
      </w:divBdr>
    </w:div>
    <w:div w:id="1602837449">
      <w:bodyDiv w:val="1"/>
      <w:marLeft w:val="0"/>
      <w:marRight w:val="0"/>
      <w:marTop w:val="0"/>
      <w:marBottom w:val="0"/>
      <w:divBdr>
        <w:top w:val="none" w:sz="0" w:space="0" w:color="auto"/>
        <w:left w:val="none" w:sz="0" w:space="0" w:color="auto"/>
        <w:bottom w:val="none" w:sz="0" w:space="0" w:color="auto"/>
        <w:right w:val="none" w:sz="0" w:space="0" w:color="auto"/>
      </w:divBdr>
    </w:div>
    <w:div w:id="1604991346">
      <w:bodyDiv w:val="1"/>
      <w:marLeft w:val="0"/>
      <w:marRight w:val="0"/>
      <w:marTop w:val="0"/>
      <w:marBottom w:val="0"/>
      <w:divBdr>
        <w:top w:val="none" w:sz="0" w:space="0" w:color="auto"/>
        <w:left w:val="none" w:sz="0" w:space="0" w:color="auto"/>
        <w:bottom w:val="none" w:sz="0" w:space="0" w:color="auto"/>
        <w:right w:val="none" w:sz="0" w:space="0" w:color="auto"/>
      </w:divBdr>
    </w:div>
    <w:div w:id="1761175588">
      <w:bodyDiv w:val="1"/>
      <w:marLeft w:val="0"/>
      <w:marRight w:val="0"/>
      <w:marTop w:val="0"/>
      <w:marBottom w:val="0"/>
      <w:divBdr>
        <w:top w:val="none" w:sz="0" w:space="0" w:color="auto"/>
        <w:left w:val="none" w:sz="0" w:space="0" w:color="auto"/>
        <w:bottom w:val="none" w:sz="0" w:space="0" w:color="auto"/>
        <w:right w:val="none" w:sz="0" w:space="0" w:color="auto"/>
      </w:divBdr>
    </w:div>
    <w:div w:id="1819345301">
      <w:bodyDiv w:val="1"/>
      <w:marLeft w:val="0"/>
      <w:marRight w:val="0"/>
      <w:marTop w:val="0"/>
      <w:marBottom w:val="0"/>
      <w:divBdr>
        <w:top w:val="none" w:sz="0" w:space="0" w:color="auto"/>
        <w:left w:val="none" w:sz="0" w:space="0" w:color="auto"/>
        <w:bottom w:val="none" w:sz="0" w:space="0" w:color="auto"/>
        <w:right w:val="none" w:sz="0" w:space="0" w:color="auto"/>
      </w:divBdr>
    </w:div>
    <w:div w:id="1821995983">
      <w:bodyDiv w:val="1"/>
      <w:marLeft w:val="0"/>
      <w:marRight w:val="0"/>
      <w:marTop w:val="0"/>
      <w:marBottom w:val="0"/>
      <w:divBdr>
        <w:top w:val="none" w:sz="0" w:space="0" w:color="auto"/>
        <w:left w:val="none" w:sz="0" w:space="0" w:color="auto"/>
        <w:bottom w:val="none" w:sz="0" w:space="0" w:color="auto"/>
        <w:right w:val="none" w:sz="0" w:space="0" w:color="auto"/>
      </w:divBdr>
    </w:div>
    <w:div w:id="1899704641">
      <w:bodyDiv w:val="1"/>
      <w:marLeft w:val="0"/>
      <w:marRight w:val="0"/>
      <w:marTop w:val="0"/>
      <w:marBottom w:val="0"/>
      <w:divBdr>
        <w:top w:val="none" w:sz="0" w:space="0" w:color="auto"/>
        <w:left w:val="none" w:sz="0" w:space="0" w:color="auto"/>
        <w:bottom w:val="none" w:sz="0" w:space="0" w:color="auto"/>
        <w:right w:val="none" w:sz="0" w:space="0" w:color="auto"/>
      </w:divBdr>
    </w:div>
    <w:div w:id="2085058501">
      <w:bodyDiv w:val="1"/>
      <w:marLeft w:val="0"/>
      <w:marRight w:val="0"/>
      <w:marTop w:val="0"/>
      <w:marBottom w:val="0"/>
      <w:divBdr>
        <w:top w:val="none" w:sz="0" w:space="0" w:color="auto"/>
        <w:left w:val="none" w:sz="0" w:space="0" w:color="auto"/>
        <w:bottom w:val="none" w:sz="0" w:space="0" w:color="auto"/>
        <w:right w:val="none" w:sz="0" w:space="0" w:color="auto"/>
      </w:divBdr>
    </w:div>
    <w:div w:id="21322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guia_garantias.pdf" TargetMode="External"/><Relationship Id="rId1" Type="http://schemas.openxmlformats.org/officeDocument/2006/relationships/hyperlink" Target="https://www.colombiacompra.gov.co/sites/cce_public/files/cce_documents/cce_guia_liquidacion_proceso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7A30-7BC8-40B8-B280-C188A900B11B}">
  <ds:schemaRefs>
    <ds:schemaRef ds:uri="http://schemas.microsoft.com/sharepoint/v3/contenttype/forms"/>
  </ds:schemaRefs>
</ds:datastoreItem>
</file>

<file path=customXml/itemProps2.xml><?xml version="1.0" encoding="utf-8"?>
<ds:datastoreItem xmlns:ds="http://schemas.openxmlformats.org/officeDocument/2006/customXml" ds:itemID="{34AEC866-4FA2-4623-BF59-5A8B928A2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81352-70BB-456F-BE9F-D648057BDE98}">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C147276-2722-40B2-BF3C-4B567BD3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4226</Words>
  <Characters>23244</Characters>
  <Application>Microsoft Office Word</Application>
  <DocSecurity>0</DocSecurity>
  <Lines>193</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8</cp:revision>
  <dcterms:created xsi:type="dcterms:W3CDTF">2020-07-27T16:49:00Z</dcterms:created>
  <dcterms:modified xsi:type="dcterms:W3CDTF">2020-08-10T18:42:00Z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