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EA9C8" w14:textId="77777777" w:rsidR="001A0A7F" w:rsidRPr="00E36D20" w:rsidRDefault="001A0A7F" w:rsidP="001A0A7F">
      <w:pPr>
        <w:jc w:val="both"/>
        <w:rPr>
          <w:rFonts w:ascii="Arial" w:hAnsi="Arial" w:cs="Arial"/>
          <w:b/>
          <w:bCs/>
          <w:noProof/>
          <w:color w:val="000000" w:themeColor="text1"/>
          <w:sz w:val="20"/>
          <w:szCs w:val="20"/>
          <w:lang w:val="es-ES_tradnl"/>
        </w:rPr>
      </w:pPr>
      <w:r w:rsidRPr="00E36D20">
        <w:rPr>
          <w:rFonts w:ascii="Arial" w:eastAsia="Calibri" w:hAnsi="Arial" w:cs="Arial"/>
          <w:b/>
          <w:bCs/>
          <w:color w:val="000000" w:themeColor="text1"/>
          <w:sz w:val="20"/>
          <w:szCs w:val="20"/>
          <w:lang w:val="es-ES_tradnl"/>
        </w:rPr>
        <w:t>LEY 2195 DE 2022 – Aplicación de documentos tipo – entidades de régimen especial – artículo 56</w:t>
      </w:r>
    </w:p>
    <w:p w14:paraId="58245863" w14:textId="77777777" w:rsidR="001A0A7F" w:rsidRPr="00E36D20" w:rsidRDefault="001A0A7F" w:rsidP="001A0A7F">
      <w:pPr>
        <w:jc w:val="both"/>
        <w:rPr>
          <w:rFonts w:ascii="Arial" w:hAnsi="Arial" w:cs="Arial"/>
          <w:noProof/>
          <w:color w:val="000000" w:themeColor="text1"/>
          <w:sz w:val="20"/>
          <w:szCs w:val="20"/>
          <w:lang w:val="es-ES_tradnl"/>
        </w:rPr>
      </w:pPr>
    </w:p>
    <w:p w14:paraId="055FBC30" w14:textId="77777777" w:rsidR="001A0A7F" w:rsidRPr="00E36D20" w:rsidRDefault="001A0A7F" w:rsidP="001A0A7F">
      <w:pPr>
        <w:tabs>
          <w:tab w:val="left" w:pos="0"/>
        </w:tabs>
        <w:spacing w:after="120"/>
        <w:jc w:val="both"/>
        <w:rPr>
          <w:rFonts w:ascii="Arial" w:eastAsia="Calibri" w:hAnsi="Arial" w:cs="Arial"/>
          <w:bCs/>
          <w:sz w:val="20"/>
          <w:szCs w:val="20"/>
          <w:lang w:val="es-ES_tradnl"/>
        </w:rPr>
      </w:pPr>
      <w:r w:rsidRPr="00E36D20">
        <w:rPr>
          <w:rFonts w:ascii="Arial" w:eastAsia="Calibri" w:hAnsi="Arial" w:cs="Arial"/>
          <w:bCs/>
          <w:sz w:val="20"/>
          <w:szCs w:val="20"/>
          <w:lang w:val="es-ES_tradnl"/>
        </w:rPr>
        <w:t xml:space="preserve">[…] En ese sentido, el contenido normativo de la Ley 2022 de 2020, y en su momento también la Ley 1882 de 2018, excluía del ámbito de aplicación de los documentos tipo la contratación de entidades estatales de régimen exceptuado, por lo general, sujetas al derecho civil y comercial. </w:t>
      </w:r>
    </w:p>
    <w:p w14:paraId="44C33855" w14:textId="77777777" w:rsidR="001A0A7F" w:rsidRPr="00E36D20" w:rsidRDefault="001A0A7F" w:rsidP="001A0A7F">
      <w:pPr>
        <w:tabs>
          <w:tab w:val="left" w:pos="0"/>
        </w:tabs>
        <w:spacing w:after="120"/>
        <w:jc w:val="both"/>
        <w:rPr>
          <w:rFonts w:ascii="Arial" w:eastAsia="Calibri" w:hAnsi="Arial" w:cs="Arial"/>
          <w:bCs/>
          <w:sz w:val="20"/>
          <w:szCs w:val="20"/>
          <w:lang w:val="es-ES_tradnl"/>
        </w:rPr>
      </w:pPr>
      <w:r w:rsidRPr="00E36D20">
        <w:rPr>
          <w:rFonts w:ascii="Arial" w:eastAsia="Calibri" w:hAnsi="Arial" w:cs="Arial"/>
          <w:bCs/>
          <w:sz w:val="20"/>
          <w:szCs w:val="20"/>
          <w:lang w:val="es-ES_tradnl"/>
        </w:rPr>
        <w:t xml:space="preserve">No obstante, este panorama ha variado con la reciente expedición de la Ley 2195 de 2022, «Por medio de la cual se adoptan medidas en materia de transparencia, prevención y lucha contra la corrupción y se dictan otras disposiciones». De conformidad con su artículo 1, esta norma tiene por objeto la adopción de diferentes medidas tendientes a prevenir los actos de corrupción, reforzar la articulación de las entidades del Estado y a recuperar los daños ocasionados por la corrupción, promoviendo la cultura de la legalidad e integridad. </w:t>
      </w:r>
    </w:p>
    <w:p w14:paraId="1054E5E1" w14:textId="77777777" w:rsidR="001A0A7F" w:rsidRPr="00E36D20" w:rsidRDefault="001A0A7F" w:rsidP="001A0A7F">
      <w:pPr>
        <w:jc w:val="both"/>
        <w:rPr>
          <w:rFonts w:ascii="Arial" w:eastAsia="Calibri" w:hAnsi="Arial" w:cs="Arial"/>
          <w:bCs/>
          <w:sz w:val="20"/>
          <w:szCs w:val="20"/>
          <w:lang w:val="es-ES_tradnl"/>
        </w:rPr>
      </w:pPr>
      <w:r w:rsidRPr="00E36D20">
        <w:rPr>
          <w:rFonts w:ascii="Arial" w:eastAsia="Calibri" w:hAnsi="Arial" w:cs="Arial"/>
          <w:bCs/>
          <w:sz w:val="20"/>
          <w:szCs w:val="20"/>
          <w:lang w:val="es-ES_tradnl"/>
        </w:rPr>
        <w:t>Entre las medidas adoptadas por la Ley mencionada se destaca el artículo 56, disposición que se refiere de manera expresa a los documentos tipo y a su aplicabilidad a sujetos diferentes de las entidades estatales sometidas al Estatuto General de Contratación de la Administración Pública.</w:t>
      </w:r>
    </w:p>
    <w:p w14:paraId="2403A9C7" w14:textId="77777777" w:rsidR="001A0A7F" w:rsidRPr="00E36D20" w:rsidRDefault="001A0A7F" w:rsidP="001A0A7F">
      <w:pPr>
        <w:jc w:val="both"/>
        <w:rPr>
          <w:rFonts w:ascii="Arial" w:eastAsia="Calibri" w:hAnsi="Arial" w:cs="Arial"/>
          <w:bCs/>
          <w:sz w:val="20"/>
          <w:szCs w:val="20"/>
          <w:lang w:val="es-ES_tradnl"/>
        </w:rPr>
      </w:pPr>
    </w:p>
    <w:p w14:paraId="3B95043F" w14:textId="77777777" w:rsidR="001A0A7F" w:rsidRPr="00E36D20" w:rsidRDefault="001A0A7F" w:rsidP="001A0A7F">
      <w:pPr>
        <w:jc w:val="both"/>
        <w:rPr>
          <w:rFonts w:ascii="Arial" w:eastAsia="Calibri" w:hAnsi="Arial" w:cs="Arial"/>
          <w:b/>
          <w:sz w:val="20"/>
          <w:szCs w:val="20"/>
          <w:lang w:val="es-ES_tradnl"/>
        </w:rPr>
      </w:pPr>
      <w:r w:rsidRPr="00E36D20">
        <w:rPr>
          <w:rFonts w:ascii="Arial" w:eastAsia="Calibri" w:hAnsi="Arial" w:cs="Arial"/>
          <w:b/>
          <w:sz w:val="20"/>
          <w:szCs w:val="20"/>
          <w:lang w:val="es-ES_tradnl"/>
        </w:rPr>
        <w:t>LEY 2195 DE 2022 – Cambios en la implementación de documentos tipo</w:t>
      </w:r>
    </w:p>
    <w:p w14:paraId="5ED0AD44" w14:textId="77777777" w:rsidR="001A0A7F" w:rsidRPr="00E36D20" w:rsidRDefault="001A0A7F" w:rsidP="001A0A7F">
      <w:pPr>
        <w:jc w:val="both"/>
        <w:rPr>
          <w:rFonts w:ascii="Arial" w:hAnsi="Arial" w:cs="Arial"/>
          <w:noProof/>
          <w:color w:val="000000" w:themeColor="text1"/>
          <w:sz w:val="20"/>
          <w:szCs w:val="20"/>
          <w:lang w:val="es-ES_tradnl"/>
        </w:rPr>
      </w:pPr>
    </w:p>
    <w:p w14:paraId="0693F561" w14:textId="77777777" w:rsidR="001A0A7F" w:rsidRDefault="001A0A7F" w:rsidP="001A0A7F">
      <w:pPr>
        <w:tabs>
          <w:tab w:val="left" w:pos="0"/>
        </w:tabs>
        <w:spacing w:after="120"/>
        <w:jc w:val="both"/>
        <w:rPr>
          <w:rFonts w:ascii="Arial" w:eastAsia="Calibri" w:hAnsi="Arial" w:cs="Arial"/>
          <w:b/>
          <w:sz w:val="20"/>
          <w:szCs w:val="20"/>
          <w:lang w:val="es-ES_tradnl"/>
        </w:rPr>
      </w:pPr>
      <w:r w:rsidRPr="00E36D20">
        <w:rPr>
          <w:rFonts w:ascii="Arial" w:eastAsia="Calibri" w:hAnsi="Arial" w:cs="Arial"/>
          <w:bCs/>
          <w:sz w:val="20"/>
          <w:szCs w:val="20"/>
          <w:lang w:val="es-ES_tradnl"/>
        </w:rPr>
        <w:t xml:space="preserve">En tales términos, de lo analizado hasta aquí es posible concluir que un efecto importante de la norma bajo estudio es la ampliación del ámbito de aplicación de los documentos tipo, al hacerlos obligatorios para unos sujetos que, en principio, de acuerdo con la Ley 2022 de 2020, no estarían sometidos a esos documentos. Para complementar esta medida, la disposición además hace extensiva la aplicación del EGCAP a esto sujetos que, en virtud de su naturaleza jurídica, tienen, como regla general, un régimen de contratación diferente, tales como las entidades exceptuadas, los patrimonios autónomos y las personas naturales y jurídicas de derecho privado, a los que expresamente hace alusión el artículo 56.  De esta forma, independientemente de que el inciso tercero del literal c) del artículo 2, numeral 4, de la Ley 1150 de 2007 parezca indicar que se debe aplicar el derecho privado, por ser este el régimen que por regla general aplica la entidad ejecutora, tratándose de objetos cobijados por documentos tipo, los mismos deberán ser contratados aplicando tales pliegos tipo y las disposiciones del EGCAP.  </w:t>
      </w:r>
    </w:p>
    <w:p w14:paraId="75393E63" w14:textId="77777777" w:rsidR="001A0A7F" w:rsidRDefault="001A0A7F" w:rsidP="001A0A7F">
      <w:pPr>
        <w:jc w:val="both"/>
        <w:rPr>
          <w:rFonts w:ascii="Arial" w:eastAsia="Calibri" w:hAnsi="Arial" w:cs="Arial"/>
          <w:b/>
          <w:sz w:val="20"/>
          <w:szCs w:val="20"/>
          <w:lang w:val="es-ES_tradnl"/>
        </w:rPr>
      </w:pPr>
      <w:r>
        <w:rPr>
          <w:rFonts w:ascii="Arial" w:eastAsia="Calibri" w:hAnsi="Arial" w:cs="Arial"/>
          <w:b/>
          <w:sz w:val="20"/>
          <w:szCs w:val="20"/>
          <w:lang w:val="es-ES_tradnl"/>
        </w:rPr>
        <w:t xml:space="preserve">LEY 2195 DE 2022 – Ámbito de aplicación </w:t>
      </w:r>
    </w:p>
    <w:p w14:paraId="301B45FD" w14:textId="77777777" w:rsidR="001A0A7F" w:rsidRDefault="001A0A7F" w:rsidP="001A0A7F">
      <w:pPr>
        <w:jc w:val="both"/>
        <w:rPr>
          <w:rFonts w:ascii="Arial" w:eastAsia="Calibri" w:hAnsi="Arial" w:cs="Arial"/>
          <w:b/>
          <w:sz w:val="20"/>
          <w:szCs w:val="20"/>
          <w:lang w:val="es-ES_tradnl"/>
        </w:rPr>
      </w:pPr>
    </w:p>
    <w:p w14:paraId="2158D5A7" w14:textId="77777777" w:rsidR="001A0A7F" w:rsidRPr="00B25D32" w:rsidRDefault="001A0A7F" w:rsidP="001A0A7F">
      <w:pPr>
        <w:tabs>
          <w:tab w:val="left" w:pos="0"/>
        </w:tabs>
        <w:spacing w:after="120"/>
        <w:jc w:val="both"/>
        <w:rPr>
          <w:rFonts w:ascii="Arial" w:eastAsia="Calibri" w:hAnsi="Arial" w:cs="Arial"/>
          <w:bCs/>
          <w:sz w:val="20"/>
          <w:szCs w:val="20"/>
          <w:lang w:val="es-ES_tradnl"/>
        </w:rPr>
      </w:pPr>
      <w:r w:rsidRPr="00B25D32">
        <w:rPr>
          <w:rFonts w:ascii="Arial" w:eastAsia="Calibri" w:hAnsi="Arial" w:cs="Arial"/>
          <w:bCs/>
          <w:sz w:val="20"/>
          <w:szCs w:val="20"/>
          <w:lang w:val="es-ES_tradnl"/>
        </w:rPr>
        <w:t xml:space="preserve">De acuerdo con esto, el artículo 56 de la Ley 2195 de 2022 es una norma que complementa al parágrafo 7 del artículo 2 de la Ley 1150 de 2007, modificado por la Ley 2022 de 2020, que establece el mandato de aplicación obligatoria de los documentos tipo para las entidades sometidas al EGCAP. Si bien el texto de la Ley 2022 de 2020 establece con claridad la regla de aplicación obligatoria de los documentos tipo en los Procesos de Contratación adelantados por las entidades estatales regidas por el EGCAP, lo cierto es que sus efectos no eran los mismos en los procesos de selección adelantados por entidades exceptuadas o con regímenes especiales.  </w:t>
      </w:r>
    </w:p>
    <w:p w14:paraId="680919DE" w14:textId="77777777" w:rsidR="001A0A7F" w:rsidRPr="00B25D32" w:rsidRDefault="001A0A7F" w:rsidP="001A0A7F">
      <w:pPr>
        <w:tabs>
          <w:tab w:val="left" w:pos="0"/>
        </w:tabs>
        <w:spacing w:after="120"/>
        <w:jc w:val="both"/>
        <w:rPr>
          <w:rFonts w:ascii="Arial" w:eastAsia="Calibri" w:hAnsi="Arial" w:cs="Arial"/>
          <w:bCs/>
          <w:sz w:val="20"/>
          <w:szCs w:val="20"/>
          <w:lang w:val="es-ES_tradnl"/>
        </w:rPr>
      </w:pPr>
      <w:r w:rsidRPr="00B25D32">
        <w:rPr>
          <w:rFonts w:ascii="Arial" w:eastAsia="Calibri" w:hAnsi="Arial" w:cs="Arial"/>
          <w:bCs/>
          <w:sz w:val="20"/>
          <w:szCs w:val="20"/>
          <w:lang w:val="es-ES_tradnl"/>
        </w:rPr>
        <w:t xml:space="preserve">Antes de la expedición del artículo 56 </w:t>
      </w:r>
      <w:r w:rsidRPr="00B25D32">
        <w:rPr>
          <w:rFonts w:ascii="Arial" w:eastAsia="Calibri" w:hAnsi="Arial" w:cs="Arial"/>
          <w:bCs/>
          <w:i/>
          <w:iCs/>
          <w:sz w:val="20"/>
          <w:szCs w:val="20"/>
          <w:lang w:val="es-ES_tradnl"/>
        </w:rPr>
        <w:t>ibídem,</w:t>
      </w:r>
      <w:r w:rsidRPr="00B25D32">
        <w:rPr>
          <w:rFonts w:ascii="Arial" w:eastAsia="Calibri" w:hAnsi="Arial" w:cs="Arial"/>
          <w:bCs/>
          <w:sz w:val="20"/>
          <w:szCs w:val="20"/>
          <w:lang w:val="es-ES_tradnl"/>
        </w:rPr>
        <w:t xml:space="preserve"> la Ley 2022 de 2020 ya había establecido el mandato de aplicación obligatoria de los documentos tipo, atribuyendo a esta Agencia la competencia para expedirlos. Dicha Ley restringe su aplicación en los Procesos de Contratación a través de los que una entidad estatal regida por el EGCAP debe adquirir una obra o servicio, por supuesto siempre que el objeto a contratar, al igual que la modalidad que se requiere emplear, estén cobijados por algún documento tipo vigente. Por el contrario, la aplicación de documentos tipo por parte de entidades con regímenes especiales o de derecho privado era un asunto que escapaba del ámbito de aplicación de lo establecido por la Ley 2022 de 2020, incluso tratándose de obras o servicios para cuya contratación hubieren documentos tipo vigentes, dado que la aplicación de estos solo era procedente cuando el régimen de la entidad contratante fuera el EGCAP, toda vez que el parágrafo </w:t>
      </w:r>
      <w:r w:rsidRPr="00B25D32">
        <w:rPr>
          <w:rFonts w:ascii="Arial" w:eastAsia="Calibri" w:hAnsi="Arial" w:cs="Arial"/>
          <w:bCs/>
          <w:sz w:val="20"/>
          <w:szCs w:val="20"/>
          <w:lang w:val="es-ES_tradnl"/>
        </w:rPr>
        <w:lastRenderedPageBreak/>
        <w:t xml:space="preserve">7 del artículo 2 de la Ley 1150 de 2007 solo se refiere a la obligación de aplicar los documentos tipo en los Procesos de Contratación que adelanten las entidades sometidas al EGCAP. </w:t>
      </w:r>
    </w:p>
    <w:p w14:paraId="40324E50" w14:textId="77777777" w:rsidR="001A0A7F" w:rsidRDefault="001A0A7F" w:rsidP="001A0A7F">
      <w:pPr>
        <w:jc w:val="both"/>
        <w:rPr>
          <w:rFonts w:ascii="Arial" w:eastAsia="Calibri" w:hAnsi="Arial" w:cs="Arial"/>
          <w:b/>
          <w:sz w:val="20"/>
          <w:szCs w:val="20"/>
          <w:lang w:val="es-ES_tradnl"/>
        </w:rPr>
      </w:pPr>
    </w:p>
    <w:p w14:paraId="4A0D55C8" w14:textId="23B2A2E9" w:rsidR="00D34196" w:rsidRDefault="00D34196" w:rsidP="00D34196">
      <w:pPr>
        <w:jc w:val="both"/>
        <w:rPr>
          <w:rFonts w:ascii="Arial" w:eastAsia="Calibri" w:hAnsi="Arial" w:cs="Arial"/>
          <w:b/>
          <w:sz w:val="22"/>
          <w:szCs w:val="22"/>
          <w:lang w:val="es-ES" w:eastAsia="en-US"/>
        </w:rPr>
      </w:pPr>
    </w:p>
    <w:p w14:paraId="1720884F" w14:textId="77777777" w:rsidR="001A0A7F" w:rsidRDefault="001A0A7F" w:rsidP="00D34196">
      <w:pPr>
        <w:jc w:val="both"/>
        <w:rPr>
          <w:rFonts w:ascii="Arial" w:eastAsia="Calibri" w:hAnsi="Arial" w:cs="Arial"/>
          <w:b/>
          <w:sz w:val="22"/>
          <w:szCs w:val="22"/>
          <w:lang w:val="es-ES" w:eastAsia="en-US"/>
        </w:rPr>
      </w:pPr>
    </w:p>
    <w:p w14:paraId="105E60C8" w14:textId="779818D3" w:rsidR="00D34196" w:rsidRDefault="00D34196" w:rsidP="00D34196">
      <w:pPr>
        <w:rPr>
          <w:rFonts w:ascii="Arial" w:hAnsi="Arial" w:cs="Arial"/>
          <w:bCs/>
          <w:color w:val="000000" w:themeColor="text1"/>
          <w:sz w:val="22"/>
          <w:lang w:val="es-ES"/>
        </w:rPr>
      </w:pPr>
    </w:p>
    <w:p w14:paraId="20FD4D6A" w14:textId="308FB19A" w:rsidR="001A0A7F" w:rsidRDefault="001A0A7F" w:rsidP="00D34196">
      <w:pPr>
        <w:rPr>
          <w:rFonts w:ascii="Arial" w:hAnsi="Arial" w:cs="Arial"/>
          <w:bCs/>
          <w:color w:val="000000" w:themeColor="text1"/>
          <w:sz w:val="22"/>
          <w:lang w:val="es-ES"/>
        </w:rPr>
      </w:pPr>
    </w:p>
    <w:p w14:paraId="139D2F79" w14:textId="1032F639" w:rsidR="001A0A7F" w:rsidRDefault="001A0A7F" w:rsidP="00D34196">
      <w:pPr>
        <w:rPr>
          <w:rFonts w:ascii="Arial" w:hAnsi="Arial" w:cs="Arial"/>
          <w:bCs/>
          <w:color w:val="000000" w:themeColor="text1"/>
          <w:sz w:val="22"/>
          <w:lang w:val="es-ES"/>
        </w:rPr>
      </w:pPr>
    </w:p>
    <w:p w14:paraId="0E1CA434" w14:textId="7BD41AE8" w:rsidR="001A0A7F" w:rsidRDefault="001A0A7F" w:rsidP="00D34196">
      <w:pPr>
        <w:rPr>
          <w:rFonts w:ascii="Arial" w:hAnsi="Arial" w:cs="Arial"/>
          <w:bCs/>
          <w:color w:val="000000" w:themeColor="text1"/>
          <w:sz w:val="22"/>
          <w:lang w:val="es-ES"/>
        </w:rPr>
      </w:pPr>
    </w:p>
    <w:p w14:paraId="13192315" w14:textId="46638637" w:rsidR="001A0A7F" w:rsidRDefault="001A0A7F" w:rsidP="00D34196">
      <w:pPr>
        <w:rPr>
          <w:rFonts w:ascii="Arial" w:hAnsi="Arial" w:cs="Arial"/>
          <w:bCs/>
          <w:color w:val="000000" w:themeColor="text1"/>
          <w:sz w:val="22"/>
          <w:lang w:val="es-ES"/>
        </w:rPr>
      </w:pPr>
    </w:p>
    <w:p w14:paraId="7320BE8C" w14:textId="4A3B0781" w:rsidR="001A0A7F" w:rsidRDefault="001A0A7F" w:rsidP="00D34196">
      <w:pPr>
        <w:rPr>
          <w:rFonts w:ascii="Arial" w:hAnsi="Arial" w:cs="Arial"/>
          <w:bCs/>
          <w:color w:val="000000" w:themeColor="text1"/>
          <w:sz w:val="22"/>
          <w:lang w:val="es-ES"/>
        </w:rPr>
      </w:pPr>
    </w:p>
    <w:p w14:paraId="559BC970" w14:textId="548BA4E7" w:rsidR="001A0A7F" w:rsidRDefault="001A0A7F" w:rsidP="00D34196">
      <w:pPr>
        <w:rPr>
          <w:rFonts w:ascii="Arial" w:hAnsi="Arial" w:cs="Arial"/>
          <w:bCs/>
          <w:color w:val="000000" w:themeColor="text1"/>
          <w:sz w:val="22"/>
          <w:lang w:val="es-ES"/>
        </w:rPr>
      </w:pPr>
    </w:p>
    <w:p w14:paraId="0C421C3F" w14:textId="5F4246B2" w:rsidR="001A0A7F" w:rsidRDefault="001A0A7F" w:rsidP="00D34196">
      <w:pPr>
        <w:rPr>
          <w:rFonts w:ascii="Arial" w:hAnsi="Arial" w:cs="Arial"/>
          <w:bCs/>
          <w:color w:val="000000" w:themeColor="text1"/>
          <w:sz w:val="22"/>
          <w:lang w:val="es-ES"/>
        </w:rPr>
      </w:pPr>
    </w:p>
    <w:p w14:paraId="0C9F0225" w14:textId="4B21F2FF" w:rsidR="001A0A7F" w:rsidRDefault="001A0A7F" w:rsidP="00D34196">
      <w:pPr>
        <w:rPr>
          <w:rFonts w:ascii="Arial" w:hAnsi="Arial" w:cs="Arial"/>
          <w:bCs/>
          <w:color w:val="000000" w:themeColor="text1"/>
          <w:sz w:val="22"/>
          <w:lang w:val="es-ES"/>
        </w:rPr>
      </w:pPr>
    </w:p>
    <w:p w14:paraId="70740B42" w14:textId="2EE0CF06" w:rsidR="001A0A7F" w:rsidRDefault="001A0A7F" w:rsidP="00D34196">
      <w:pPr>
        <w:rPr>
          <w:rFonts w:ascii="Arial" w:hAnsi="Arial" w:cs="Arial"/>
          <w:bCs/>
          <w:color w:val="000000" w:themeColor="text1"/>
          <w:sz w:val="22"/>
          <w:lang w:val="es-ES"/>
        </w:rPr>
      </w:pPr>
    </w:p>
    <w:p w14:paraId="0172F053" w14:textId="317A5D25" w:rsidR="001A0A7F" w:rsidRDefault="001A0A7F" w:rsidP="00D34196">
      <w:pPr>
        <w:rPr>
          <w:rFonts w:ascii="Arial" w:hAnsi="Arial" w:cs="Arial"/>
          <w:bCs/>
          <w:color w:val="000000" w:themeColor="text1"/>
          <w:sz w:val="22"/>
          <w:lang w:val="es-ES"/>
        </w:rPr>
      </w:pPr>
    </w:p>
    <w:p w14:paraId="3E5428BD" w14:textId="3DABA6E6" w:rsidR="001A0A7F" w:rsidRDefault="001A0A7F" w:rsidP="00D34196">
      <w:pPr>
        <w:rPr>
          <w:rFonts w:ascii="Arial" w:hAnsi="Arial" w:cs="Arial"/>
          <w:bCs/>
          <w:color w:val="000000" w:themeColor="text1"/>
          <w:sz w:val="22"/>
          <w:lang w:val="es-ES"/>
        </w:rPr>
      </w:pPr>
    </w:p>
    <w:p w14:paraId="7D2EAB9B" w14:textId="027A424A" w:rsidR="001A0A7F" w:rsidRDefault="001A0A7F" w:rsidP="00D34196">
      <w:pPr>
        <w:rPr>
          <w:rFonts w:ascii="Arial" w:hAnsi="Arial" w:cs="Arial"/>
          <w:bCs/>
          <w:color w:val="000000" w:themeColor="text1"/>
          <w:sz w:val="22"/>
          <w:lang w:val="es-ES"/>
        </w:rPr>
      </w:pPr>
    </w:p>
    <w:p w14:paraId="274DB06E" w14:textId="6A76317F" w:rsidR="001A0A7F" w:rsidRDefault="001A0A7F" w:rsidP="00D34196">
      <w:pPr>
        <w:rPr>
          <w:rFonts w:ascii="Arial" w:hAnsi="Arial" w:cs="Arial"/>
          <w:bCs/>
          <w:color w:val="000000" w:themeColor="text1"/>
          <w:sz w:val="22"/>
          <w:lang w:val="es-ES"/>
        </w:rPr>
      </w:pPr>
    </w:p>
    <w:p w14:paraId="5355B532" w14:textId="1A1513C3" w:rsidR="001A0A7F" w:rsidRDefault="001A0A7F" w:rsidP="00D34196">
      <w:pPr>
        <w:rPr>
          <w:rFonts w:ascii="Arial" w:hAnsi="Arial" w:cs="Arial"/>
          <w:bCs/>
          <w:color w:val="000000" w:themeColor="text1"/>
          <w:sz w:val="22"/>
          <w:lang w:val="es-ES"/>
        </w:rPr>
      </w:pPr>
    </w:p>
    <w:p w14:paraId="35A3D617" w14:textId="6958F74F" w:rsidR="001A0A7F" w:rsidRDefault="001A0A7F" w:rsidP="00D34196">
      <w:pPr>
        <w:rPr>
          <w:rFonts w:ascii="Arial" w:hAnsi="Arial" w:cs="Arial"/>
          <w:bCs/>
          <w:color w:val="000000" w:themeColor="text1"/>
          <w:sz w:val="22"/>
          <w:lang w:val="es-ES"/>
        </w:rPr>
      </w:pPr>
    </w:p>
    <w:p w14:paraId="1514926E" w14:textId="51423BAF" w:rsidR="001A0A7F" w:rsidRDefault="001A0A7F" w:rsidP="00D34196">
      <w:pPr>
        <w:rPr>
          <w:rFonts w:ascii="Arial" w:hAnsi="Arial" w:cs="Arial"/>
          <w:bCs/>
          <w:color w:val="000000" w:themeColor="text1"/>
          <w:sz w:val="22"/>
          <w:lang w:val="es-ES"/>
        </w:rPr>
      </w:pPr>
    </w:p>
    <w:p w14:paraId="74F88B7A" w14:textId="7E0BBE87" w:rsidR="001A0A7F" w:rsidRDefault="001A0A7F" w:rsidP="00D34196">
      <w:pPr>
        <w:rPr>
          <w:rFonts w:ascii="Arial" w:hAnsi="Arial" w:cs="Arial"/>
          <w:bCs/>
          <w:color w:val="000000" w:themeColor="text1"/>
          <w:sz w:val="22"/>
          <w:lang w:val="es-ES"/>
        </w:rPr>
      </w:pPr>
    </w:p>
    <w:p w14:paraId="239940F3" w14:textId="495D6027" w:rsidR="001A0A7F" w:rsidRDefault="001A0A7F" w:rsidP="00D34196">
      <w:pPr>
        <w:rPr>
          <w:rFonts w:ascii="Arial" w:hAnsi="Arial" w:cs="Arial"/>
          <w:bCs/>
          <w:color w:val="000000" w:themeColor="text1"/>
          <w:sz w:val="22"/>
          <w:lang w:val="es-ES"/>
        </w:rPr>
      </w:pPr>
    </w:p>
    <w:p w14:paraId="1E3E82A6" w14:textId="5F26E2E9" w:rsidR="001A0A7F" w:rsidRDefault="001A0A7F" w:rsidP="00D34196">
      <w:pPr>
        <w:rPr>
          <w:rFonts w:ascii="Arial" w:hAnsi="Arial" w:cs="Arial"/>
          <w:bCs/>
          <w:color w:val="000000" w:themeColor="text1"/>
          <w:sz w:val="22"/>
          <w:lang w:val="es-ES"/>
        </w:rPr>
      </w:pPr>
    </w:p>
    <w:p w14:paraId="71DBDEDB" w14:textId="1B016C13" w:rsidR="001A0A7F" w:rsidRDefault="001A0A7F" w:rsidP="00D34196">
      <w:pPr>
        <w:rPr>
          <w:rFonts w:ascii="Arial" w:hAnsi="Arial" w:cs="Arial"/>
          <w:bCs/>
          <w:color w:val="000000" w:themeColor="text1"/>
          <w:sz w:val="22"/>
          <w:lang w:val="es-ES"/>
        </w:rPr>
      </w:pPr>
    </w:p>
    <w:p w14:paraId="209BD9C4" w14:textId="15FDE4E9" w:rsidR="001A0A7F" w:rsidRDefault="001A0A7F" w:rsidP="00D34196">
      <w:pPr>
        <w:rPr>
          <w:rFonts w:ascii="Arial" w:hAnsi="Arial" w:cs="Arial"/>
          <w:bCs/>
          <w:color w:val="000000" w:themeColor="text1"/>
          <w:sz w:val="22"/>
          <w:lang w:val="es-ES"/>
        </w:rPr>
      </w:pPr>
    </w:p>
    <w:p w14:paraId="484374AB" w14:textId="5EDF9C89" w:rsidR="001A0A7F" w:rsidRDefault="001A0A7F" w:rsidP="00D34196">
      <w:pPr>
        <w:rPr>
          <w:rFonts w:ascii="Arial" w:hAnsi="Arial" w:cs="Arial"/>
          <w:bCs/>
          <w:color w:val="000000" w:themeColor="text1"/>
          <w:sz w:val="22"/>
          <w:lang w:val="es-ES"/>
        </w:rPr>
      </w:pPr>
    </w:p>
    <w:p w14:paraId="43851A7F" w14:textId="64565519" w:rsidR="001A0A7F" w:rsidRDefault="001A0A7F" w:rsidP="00D34196">
      <w:pPr>
        <w:rPr>
          <w:rFonts w:ascii="Arial" w:hAnsi="Arial" w:cs="Arial"/>
          <w:bCs/>
          <w:color w:val="000000" w:themeColor="text1"/>
          <w:sz w:val="22"/>
          <w:lang w:val="es-ES"/>
        </w:rPr>
      </w:pPr>
    </w:p>
    <w:p w14:paraId="5F0B8D8D" w14:textId="59424286" w:rsidR="001A0A7F" w:rsidRDefault="001A0A7F" w:rsidP="00D34196">
      <w:pPr>
        <w:rPr>
          <w:rFonts w:ascii="Arial" w:hAnsi="Arial" w:cs="Arial"/>
          <w:bCs/>
          <w:color w:val="000000" w:themeColor="text1"/>
          <w:sz w:val="22"/>
          <w:lang w:val="es-ES"/>
        </w:rPr>
      </w:pPr>
    </w:p>
    <w:p w14:paraId="5DFEE286" w14:textId="16451256" w:rsidR="001A0A7F" w:rsidRDefault="001A0A7F" w:rsidP="00D34196">
      <w:pPr>
        <w:rPr>
          <w:rFonts w:ascii="Arial" w:hAnsi="Arial" w:cs="Arial"/>
          <w:bCs/>
          <w:color w:val="000000" w:themeColor="text1"/>
          <w:sz w:val="22"/>
          <w:lang w:val="es-ES"/>
        </w:rPr>
      </w:pPr>
    </w:p>
    <w:p w14:paraId="72DD370B" w14:textId="2B959DFA" w:rsidR="001A0A7F" w:rsidRDefault="001A0A7F" w:rsidP="00D34196">
      <w:pPr>
        <w:rPr>
          <w:rFonts w:ascii="Arial" w:hAnsi="Arial" w:cs="Arial"/>
          <w:bCs/>
          <w:color w:val="000000" w:themeColor="text1"/>
          <w:sz w:val="22"/>
          <w:lang w:val="es-ES"/>
        </w:rPr>
      </w:pPr>
    </w:p>
    <w:p w14:paraId="25DA58C3" w14:textId="448BFB9E" w:rsidR="001A0A7F" w:rsidRDefault="001A0A7F" w:rsidP="00D34196">
      <w:pPr>
        <w:rPr>
          <w:rFonts w:ascii="Arial" w:hAnsi="Arial" w:cs="Arial"/>
          <w:bCs/>
          <w:color w:val="000000" w:themeColor="text1"/>
          <w:sz w:val="22"/>
          <w:lang w:val="es-ES"/>
        </w:rPr>
      </w:pPr>
    </w:p>
    <w:p w14:paraId="4940C0E1" w14:textId="54344178" w:rsidR="001A0A7F" w:rsidRDefault="001A0A7F" w:rsidP="00D34196">
      <w:pPr>
        <w:rPr>
          <w:rFonts w:ascii="Arial" w:hAnsi="Arial" w:cs="Arial"/>
          <w:bCs/>
          <w:color w:val="000000" w:themeColor="text1"/>
          <w:sz w:val="22"/>
          <w:lang w:val="es-ES"/>
        </w:rPr>
      </w:pPr>
    </w:p>
    <w:p w14:paraId="73C0683D" w14:textId="376BEF96" w:rsidR="001A0A7F" w:rsidRDefault="001A0A7F" w:rsidP="00D34196">
      <w:pPr>
        <w:rPr>
          <w:rFonts w:ascii="Arial" w:hAnsi="Arial" w:cs="Arial"/>
          <w:bCs/>
          <w:color w:val="000000" w:themeColor="text1"/>
          <w:sz w:val="22"/>
          <w:lang w:val="es-ES"/>
        </w:rPr>
      </w:pPr>
    </w:p>
    <w:p w14:paraId="42D3180C" w14:textId="374E53EF" w:rsidR="001A0A7F" w:rsidRDefault="001A0A7F" w:rsidP="00D34196">
      <w:pPr>
        <w:rPr>
          <w:rFonts w:ascii="Arial" w:hAnsi="Arial" w:cs="Arial"/>
          <w:bCs/>
          <w:color w:val="000000" w:themeColor="text1"/>
          <w:sz w:val="22"/>
          <w:lang w:val="es-ES"/>
        </w:rPr>
      </w:pPr>
    </w:p>
    <w:p w14:paraId="52F6CDEA" w14:textId="61467EE5" w:rsidR="001A0A7F" w:rsidRDefault="001A0A7F" w:rsidP="00D34196">
      <w:pPr>
        <w:rPr>
          <w:rFonts w:ascii="Arial" w:hAnsi="Arial" w:cs="Arial"/>
          <w:bCs/>
          <w:color w:val="000000" w:themeColor="text1"/>
          <w:sz w:val="22"/>
          <w:lang w:val="es-ES"/>
        </w:rPr>
      </w:pPr>
    </w:p>
    <w:p w14:paraId="687EFED1" w14:textId="6B0279C8" w:rsidR="001A0A7F" w:rsidRDefault="001A0A7F" w:rsidP="00D34196">
      <w:pPr>
        <w:rPr>
          <w:rFonts w:ascii="Arial" w:hAnsi="Arial" w:cs="Arial"/>
          <w:bCs/>
          <w:color w:val="000000" w:themeColor="text1"/>
          <w:sz w:val="22"/>
          <w:lang w:val="es-ES"/>
        </w:rPr>
      </w:pPr>
    </w:p>
    <w:p w14:paraId="5906D009" w14:textId="7567D623" w:rsidR="001A0A7F" w:rsidRDefault="001A0A7F" w:rsidP="00D34196">
      <w:pPr>
        <w:rPr>
          <w:rFonts w:ascii="Arial" w:hAnsi="Arial" w:cs="Arial"/>
          <w:bCs/>
          <w:color w:val="000000" w:themeColor="text1"/>
          <w:sz w:val="22"/>
          <w:lang w:val="es-ES"/>
        </w:rPr>
      </w:pPr>
    </w:p>
    <w:p w14:paraId="2B8EF9FF" w14:textId="27197A17" w:rsidR="001A0A7F" w:rsidRDefault="001A0A7F" w:rsidP="00D34196">
      <w:pPr>
        <w:rPr>
          <w:rFonts w:ascii="Arial" w:hAnsi="Arial" w:cs="Arial"/>
          <w:bCs/>
          <w:color w:val="000000" w:themeColor="text1"/>
          <w:sz w:val="22"/>
          <w:lang w:val="es-ES"/>
        </w:rPr>
      </w:pPr>
    </w:p>
    <w:p w14:paraId="176D7EA7" w14:textId="5EA08C48" w:rsidR="001A0A7F" w:rsidRDefault="001A0A7F" w:rsidP="00D34196">
      <w:pPr>
        <w:rPr>
          <w:rFonts w:ascii="Arial" w:hAnsi="Arial" w:cs="Arial"/>
          <w:bCs/>
          <w:color w:val="000000" w:themeColor="text1"/>
          <w:sz w:val="22"/>
          <w:lang w:val="es-ES"/>
        </w:rPr>
      </w:pPr>
    </w:p>
    <w:p w14:paraId="50328829" w14:textId="3D9E7D36" w:rsidR="001A0A7F" w:rsidRDefault="001A0A7F" w:rsidP="00D34196">
      <w:pPr>
        <w:rPr>
          <w:rFonts w:ascii="Arial" w:hAnsi="Arial" w:cs="Arial"/>
          <w:bCs/>
          <w:color w:val="000000" w:themeColor="text1"/>
          <w:sz w:val="22"/>
          <w:lang w:val="es-ES"/>
        </w:rPr>
      </w:pPr>
    </w:p>
    <w:p w14:paraId="0436652D" w14:textId="35D419AF" w:rsidR="001A0A7F" w:rsidRDefault="001A0A7F" w:rsidP="00D34196">
      <w:pPr>
        <w:rPr>
          <w:rFonts w:ascii="Arial" w:hAnsi="Arial" w:cs="Arial"/>
          <w:bCs/>
          <w:color w:val="000000" w:themeColor="text1"/>
          <w:sz w:val="22"/>
          <w:lang w:val="es-ES"/>
        </w:rPr>
      </w:pPr>
    </w:p>
    <w:p w14:paraId="24EA1A1B" w14:textId="43F834E2" w:rsidR="001A0A7F" w:rsidRDefault="001A0A7F" w:rsidP="00D34196">
      <w:pPr>
        <w:rPr>
          <w:rFonts w:ascii="Arial" w:hAnsi="Arial" w:cs="Arial"/>
          <w:bCs/>
          <w:color w:val="000000" w:themeColor="text1"/>
          <w:sz w:val="22"/>
          <w:lang w:val="es-ES"/>
        </w:rPr>
      </w:pPr>
    </w:p>
    <w:p w14:paraId="6D817705" w14:textId="1ABFE31F" w:rsidR="001A0A7F" w:rsidRDefault="001A0A7F" w:rsidP="00D34196">
      <w:pPr>
        <w:rPr>
          <w:rFonts w:ascii="Arial" w:hAnsi="Arial" w:cs="Arial"/>
          <w:bCs/>
          <w:color w:val="000000" w:themeColor="text1"/>
          <w:sz w:val="22"/>
          <w:lang w:val="es-ES"/>
        </w:rPr>
      </w:pPr>
    </w:p>
    <w:p w14:paraId="4E78C9BE" w14:textId="77777777" w:rsidR="001A0A7F" w:rsidRDefault="001A0A7F" w:rsidP="00D34196">
      <w:pPr>
        <w:rPr>
          <w:rFonts w:ascii="Arial" w:hAnsi="Arial" w:cs="Arial"/>
          <w:bCs/>
          <w:color w:val="000000" w:themeColor="text1"/>
          <w:sz w:val="22"/>
          <w:lang w:val="es-ES"/>
        </w:rPr>
      </w:pPr>
    </w:p>
    <w:p w14:paraId="712A944F" w14:textId="22CB17BC" w:rsidR="00D34196" w:rsidRDefault="00837002" w:rsidP="00D34196">
      <w:pPr>
        <w:rPr>
          <w:rFonts w:ascii="Arial" w:hAnsi="Arial" w:cs="Arial"/>
          <w:bCs/>
          <w:color w:val="000000" w:themeColor="text1"/>
          <w:sz w:val="22"/>
          <w:lang w:val="es-ES"/>
        </w:rPr>
      </w:pPr>
      <w:r>
        <w:rPr>
          <w:rFonts w:ascii="Arial" w:hAnsi="Arial" w:cs="Arial"/>
          <w:bCs/>
          <w:color w:val="000000" w:themeColor="text1"/>
          <w:sz w:val="22"/>
          <w:lang w:val="es-ES"/>
        </w:rPr>
        <w:lastRenderedPageBreak/>
        <w:t>Bogotá, D.C</w:t>
      </w:r>
      <w:r w:rsidR="00FC5172">
        <w:rPr>
          <w:rFonts w:ascii="Arial" w:hAnsi="Arial" w:cs="Arial"/>
          <w:bCs/>
          <w:color w:val="000000" w:themeColor="text1"/>
          <w:sz w:val="22"/>
          <w:lang w:val="es-ES"/>
        </w:rPr>
        <w:t>.</w:t>
      </w:r>
    </w:p>
    <w:p w14:paraId="175DAC1D" w14:textId="785D1AA0" w:rsidR="00837002" w:rsidRDefault="00837002" w:rsidP="00D34196">
      <w:pPr>
        <w:rPr>
          <w:rFonts w:ascii="Arial" w:hAnsi="Arial" w:cs="Arial"/>
          <w:bCs/>
          <w:color w:val="000000" w:themeColor="text1"/>
          <w:sz w:val="22"/>
          <w:lang w:val="es-ES"/>
        </w:rPr>
      </w:pPr>
    </w:p>
    <w:p w14:paraId="62034BBE" w14:textId="01333D5D" w:rsidR="00687EEB" w:rsidRDefault="00687EEB" w:rsidP="00687EEB">
      <w:pPr>
        <w:jc w:val="right"/>
      </w:pPr>
      <w:r>
        <w:fldChar w:fldCharType="begin"/>
      </w:r>
      <w:r>
        <w:instrText xml:space="preserve"> INCLUDEPICTURE "/var/folders/tb/0fmk9b510f57pz5rwhv8lnpw0000gp/T/com.microsoft.Word/WebArchiveCopyPasteTempFiles/page1image55164928" \* MERGEFORMATINET </w:instrText>
      </w:r>
      <w:r>
        <w:fldChar w:fldCharType="separate"/>
      </w:r>
      <w:r>
        <w:rPr>
          <w:noProof/>
        </w:rPr>
        <w:drawing>
          <wp:inline distT="0" distB="0" distL="0" distR="0" wp14:anchorId="605CC520" wp14:editId="0E8AE300">
            <wp:extent cx="2404745" cy="609600"/>
            <wp:effectExtent l="0" t="0" r="0" b="0"/>
            <wp:docPr id="4" name="Imagen 4" descr="page1image55164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51649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4745" cy="609600"/>
                    </a:xfrm>
                    <a:prstGeom prst="rect">
                      <a:avLst/>
                    </a:prstGeom>
                    <a:noFill/>
                    <a:ln>
                      <a:noFill/>
                    </a:ln>
                  </pic:spPr>
                </pic:pic>
              </a:graphicData>
            </a:graphic>
          </wp:inline>
        </w:drawing>
      </w:r>
      <w:r>
        <w:fldChar w:fldCharType="end"/>
      </w:r>
    </w:p>
    <w:p w14:paraId="26D35D45" w14:textId="77777777" w:rsidR="00687EEB" w:rsidRDefault="00687EEB" w:rsidP="00D34196">
      <w:pPr>
        <w:rPr>
          <w:rFonts w:ascii="Arial" w:hAnsi="Arial" w:cs="Arial"/>
          <w:bCs/>
          <w:color w:val="000000" w:themeColor="text1"/>
          <w:sz w:val="22"/>
          <w:lang w:val="es-ES"/>
        </w:rPr>
      </w:pPr>
    </w:p>
    <w:p w14:paraId="50B07D2B" w14:textId="77777777" w:rsidR="00837002" w:rsidRDefault="00837002" w:rsidP="00D34196">
      <w:pPr>
        <w:rPr>
          <w:rFonts w:ascii="Arial" w:hAnsi="Arial" w:cs="Arial"/>
          <w:bCs/>
          <w:color w:val="000000" w:themeColor="text1"/>
          <w:sz w:val="22"/>
          <w:lang w:val="es-ES"/>
        </w:rPr>
      </w:pPr>
    </w:p>
    <w:p w14:paraId="098894D6" w14:textId="0EE410DD" w:rsidR="00D34196" w:rsidRDefault="00D34196" w:rsidP="00D34196">
      <w:pPr>
        <w:rPr>
          <w:rFonts w:ascii="Arial" w:hAnsi="Arial" w:cs="Arial"/>
          <w:bCs/>
          <w:color w:val="000000" w:themeColor="text1"/>
          <w:sz w:val="22"/>
          <w:lang w:val="es-ES"/>
        </w:rPr>
      </w:pPr>
      <w:r>
        <w:rPr>
          <w:rFonts w:ascii="Arial" w:hAnsi="Arial" w:cs="Arial"/>
          <w:bCs/>
          <w:color w:val="000000" w:themeColor="text1"/>
          <w:sz w:val="22"/>
          <w:lang w:val="es-ES"/>
        </w:rPr>
        <w:t>Señor</w:t>
      </w:r>
      <w:r w:rsidR="00DB2853">
        <w:rPr>
          <w:rFonts w:ascii="Arial" w:hAnsi="Arial" w:cs="Arial"/>
          <w:bCs/>
          <w:color w:val="000000" w:themeColor="text1"/>
          <w:sz w:val="22"/>
          <w:lang w:val="es-ES"/>
        </w:rPr>
        <w:t>a</w:t>
      </w:r>
    </w:p>
    <w:p w14:paraId="7D7CDCAC" w14:textId="40725ACD" w:rsidR="00161326" w:rsidRDefault="00DB2853" w:rsidP="00D34196">
      <w:pPr>
        <w:rPr>
          <w:rFonts w:ascii="Arial" w:hAnsi="Arial" w:cs="Arial"/>
          <w:b/>
          <w:color w:val="000000" w:themeColor="text1"/>
          <w:sz w:val="22"/>
          <w:lang w:val="es-ES"/>
        </w:rPr>
      </w:pPr>
      <w:r>
        <w:rPr>
          <w:rFonts w:ascii="Arial" w:hAnsi="Arial" w:cs="Arial"/>
          <w:b/>
          <w:color w:val="000000" w:themeColor="text1"/>
          <w:sz w:val="22"/>
          <w:lang w:val="es-ES"/>
        </w:rPr>
        <w:t xml:space="preserve">Paula Andrea Franco Hoyos </w:t>
      </w:r>
    </w:p>
    <w:p w14:paraId="5683EF3A" w14:textId="26716041" w:rsidR="00D84D7B" w:rsidRPr="00D84D7B" w:rsidRDefault="00D17323" w:rsidP="00D34196">
      <w:pPr>
        <w:rPr>
          <w:rFonts w:ascii="Arial" w:hAnsi="Arial" w:cs="Arial"/>
          <w:bCs/>
          <w:color w:val="000000" w:themeColor="text1"/>
          <w:sz w:val="22"/>
          <w:lang w:val="es-ES"/>
        </w:rPr>
      </w:pPr>
      <w:r>
        <w:rPr>
          <w:rFonts w:ascii="Arial" w:hAnsi="Arial" w:cs="Arial"/>
          <w:bCs/>
          <w:color w:val="000000" w:themeColor="text1"/>
          <w:sz w:val="22"/>
          <w:lang w:val="es-ES"/>
        </w:rPr>
        <w:t xml:space="preserve">Armenia, Quindío </w:t>
      </w:r>
    </w:p>
    <w:p w14:paraId="10A92D79" w14:textId="77777777" w:rsidR="00D34196" w:rsidRPr="00071199" w:rsidRDefault="00D34196" w:rsidP="00D34196">
      <w:pPr>
        <w:jc w:val="both"/>
        <w:rPr>
          <w:rFonts w:ascii="Arial" w:hAnsi="Arial" w:cs="Arial"/>
          <w:b/>
          <w:color w:val="000000" w:themeColor="text1"/>
          <w:sz w:val="22"/>
          <w:lang w:val="es-ES"/>
        </w:rPr>
      </w:pPr>
    </w:p>
    <w:p w14:paraId="454231CE" w14:textId="77777777" w:rsidR="00D34196" w:rsidRPr="00071199" w:rsidRDefault="00D34196" w:rsidP="00D34196">
      <w:pPr>
        <w:jc w:val="both"/>
        <w:rPr>
          <w:rFonts w:ascii="Arial" w:eastAsia="Calibri" w:hAnsi="Arial" w:cs="Arial"/>
          <w:color w:val="000000" w:themeColor="text1"/>
          <w:sz w:val="22"/>
          <w:lang w:val="es-ES"/>
        </w:rPr>
      </w:pPr>
    </w:p>
    <w:p w14:paraId="177D842E" w14:textId="0360F160" w:rsidR="00D34196" w:rsidRPr="00071199" w:rsidRDefault="00D34196" w:rsidP="00D34196">
      <w:pPr>
        <w:rPr>
          <w:rFonts w:ascii="Arial" w:eastAsia="Calibri" w:hAnsi="Arial" w:cs="Arial"/>
          <w:b/>
          <w:bCs/>
          <w:color w:val="000000" w:themeColor="text1"/>
          <w:sz w:val="22"/>
          <w:lang w:val="es-ES"/>
        </w:rPr>
      </w:pPr>
      <w:r w:rsidRPr="00071199">
        <w:rPr>
          <w:rFonts w:ascii="Arial" w:eastAsia="Calibri" w:hAnsi="Arial" w:cs="Arial"/>
          <w:b/>
          <w:bCs/>
          <w:color w:val="000000" w:themeColor="text1"/>
          <w:sz w:val="22"/>
          <w:lang w:val="es-ES"/>
        </w:rPr>
        <w:t xml:space="preserve">                                            Concepto C ‒ </w:t>
      </w:r>
      <w:r w:rsidR="00837002">
        <w:rPr>
          <w:rFonts w:ascii="Arial" w:eastAsia="Calibri" w:hAnsi="Arial" w:cs="Arial"/>
          <w:b/>
          <w:bCs/>
          <w:color w:val="000000" w:themeColor="text1"/>
          <w:sz w:val="22"/>
          <w:lang w:val="es-ES"/>
        </w:rPr>
        <w:t>4</w:t>
      </w:r>
      <w:r w:rsidR="00DB2853">
        <w:rPr>
          <w:rFonts w:ascii="Arial" w:eastAsia="Calibri" w:hAnsi="Arial" w:cs="Arial"/>
          <w:b/>
          <w:bCs/>
          <w:color w:val="000000" w:themeColor="text1"/>
          <w:sz w:val="22"/>
          <w:lang w:val="es-ES"/>
        </w:rPr>
        <w:t>94</w:t>
      </w:r>
      <w:r>
        <w:rPr>
          <w:rFonts w:ascii="Arial" w:eastAsia="Calibri" w:hAnsi="Arial" w:cs="Arial"/>
          <w:b/>
          <w:bCs/>
          <w:color w:val="000000" w:themeColor="text1"/>
          <w:sz w:val="22"/>
          <w:lang w:val="es-ES"/>
        </w:rPr>
        <w:t xml:space="preserve"> </w:t>
      </w:r>
      <w:r w:rsidRPr="00071199">
        <w:rPr>
          <w:rFonts w:ascii="Arial" w:eastAsia="Calibri" w:hAnsi="Arial" w:cs="Arial"/>
          <w:b/>
          <w:bCs/>
          <w:color w:val="000000" w:themeColor="text1"/>
          <w:sz w:val="22"/>
          <w:lang w:val="es-ES"/>
        </w:rPr>
        <w:t>de 202</w:t>
      </w:r>
      <w:r w:rsidR="00837002">
        <w:rPr>
          <w:rFonts w:ascii="Arial" w:eastAsia="Calibri" w:hAnsi="Arial" w:cs="Arial"/>
          <w:b/>
          <w:bCs/>
          <w:color w:val="000000" w:themeColor="text1"/>
          <w:sz w:val="22"/>
          <w:lang w:val="es-ES"/>
        </w:rPr>
        <w:t>2</w:t>
      </w:r>
    </w:p>
    <w:p w14:paraId="4544921B" w14:textId="77777777" w:rsidR="00D34196" w:rsidRPr="00FC5172" w:rsidRDefault="00D34196" w:rsidP="00D34196">
      <w:pPr>
        <w:jc w:val="both"/>
        <w:rPr>
          <w:rFonts w:ascii="Arial" w:eastAsia="Calibri" w:hAnsi="Arial" w:cs="Arial"/>
          <w:color w:val="000000" w:themeColor="text1"/>
          <w:sz w:val="22"/>
          <w:szCs w:val="22"/>
          <w:lang w:val="es-ES"/>
        </w:rPr>
      </w:pP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37"/>
      </w:tblGrid>
      <w:tr w:rsidR="00D34196" w:rsidRPr="00FC5172" w14:paraId="6B548809" w14:textId="77777777" w:rsidTr="004C501B">
        <w:tc>
          <w:tcPr>
            <w:tcW w:w="2689" w:type="dxa"/>
          </w:tcPr>
          <w:p w14:paraId="72A5F4E4" w14:textId="77777777" w:rsidR="00D34196" w:rsidRPr="00FC5172" w:rsidRDefault="00D34196" w:rsidP="004C501B">
            <w:pPr>
              <w:jc w:val="both"/>
              <w:rPr>
                <w:rFonts w:ascii="Arial" w:eastAsia="Calibri" w:hAnsi="Arial" w:cs="Arial"/>
                <w:color w:val="000000" w:themeColor="text1"/>
                <w:sz w:val="22"/>
                <w:szCs w:val="22"/>
                <w:lang w:val="es-ES"/>
              </w:rPr>
            </w:pPr>
            <w:r w:rsidRPr="00FC5172">
              <w:rPr>
                <w:rFonts w:ascii="Arial" w:eastAsia="Calibri" w:hAnsi="Arial" w:cs="Arial"/>
                <w:b/>
                <w:color w:val="000000" w:themeColor="text1"/>
                <w:sz w:val="22"/>
                <w:szCs w:val="22"/>
                <w:lang w:val="es-ES"/>
              </w:rPr>
              <w:t>Temas:</w:t>
            </w:r>
            <w:r w:rsidRPr="00FC5172">
              <w:rPr>
                <w:rFonts w:ascii="Arial" w:eastAsia="Calibri" w:hAnsi="Arial" w:cs="Arial"/>
                <w:color w:val="000000" w:themeColor="text1"/>
                <w:sz w:val="22"/>
                <w:szCs w:val="22"/>
                <w:lang w:val="es-ES"/>
              </w:rPr>
              <w:t xml:space="preserve">                                      </w:t>
            </w:r>
          </w:p>
        </w:tc>
        <w:tc>
          <w:tcPr>
            <w:tcW w:w="6237" w:type="dxa"/>
          </w:tcPr>
          <w:p w14:paraId="0E26388F" w14:textId="70A254B8" w:rsidR="00D34196" w:rsidRPr="00FC5172" w:rsidRDefault="001A0A7F" w:rsidP="000B1881">
            <w:pPr>
              <w:jc w:val="both"/>
              <w:rPr>
                <w:rFonts w:ascii="Arial" w:eastAsia="Calibri" w:hAnsi="Arial" w:cs="Arial"/>
                <w:color w:val="000000" w:themeColor="text1"/>
                <w:sz w:val="22"/>
                <w:szCs w:val="22"/>
                <w:highlight w:val="yellow"/>
                <w:lang w:val="es-ES"/>
              </w:rPr>
            </w:pPr>
            <w:r w:rsidRPr="00FC5172">
              <w:rPr>
                <w:rFonts w:ascii="Arial" w:eastAsia="Calibri" w:hAnsi="Arial" w:cs="Arial"/>
                <w:color w:val="000000" w:themeColor="text1"/>
                <w:sz w:val="22"/>
                <w:szCs w:val="22"/>
                <w:lang w:val="es-ES_tradnl"/>
              </w:rPr>
              <w:t xml:space="preserve">LEY 2195 DE 2022 – Aplicación de documentos tipo – entidades de régimen especial – artículo 56 / </w:t>
            </w:r>
            <w:r w:rsidRPr="00FC5172">
              <w:rPr>
                <w:rFonts w:ascii="Arial" w:eastAsia="Calibri" w:hAnsi="Arial" w:cs="Arial"/>
                <w:bCs/>
                <w:sz w:val="22"/>
                <w:szCs w:val="22"/>
                <w:lang w:val="es-ES_tradnl"/>
              </w:rPr>
              <w:t xml:space="preserve">LEY 2195 DE 2022 – Cambios en la implementación de documentos tipo / LEY 2195 DE 2022 – Ámbito de aplicación </w:t>
            </w:r>
          </w:p>
        </w:tc>
      </w:tr>
      <w:tr w:rsidR="00D34196" w:rsidRPr="00FC5172" w14:paraId="21ABBA24" w14:textId="77777777" w:rsidTr="004C501B">
        <w:tc>
          <w:tcPr>
            <w:tcW w:w="2689" w:type="dxa"/>
          </w:tcPr>
          <w:p w14:paraId="24F3A30E" w14:textId="77777777" w:rsidR="00D34196" w:rsidRPr="00FC5172" w:rsidRDefault="00D34196" w:rsidP="004C501B">
            <w:pPr>
              <w:spacing w:before="120"/>
              <w:jc w:val="both"/>
              <w:rPr>
                <w:rFonts w:ascii="Arial" w:eastAsia="Calibri" w:hAnsi="Arial" w:cs="Arial"/>
                <w:b/>
                <w:color w:val="000000" w:themeColor="text1"/>
                <w:sz w:val="22"/>
                <w:szCs w:val="22"/>
                <w:lang w:val="es-ES"/>
              </w:rPr>
            </w:pPr>
            <w:r w:rsidRPr="00FC5172">
              <w:rPr>
                <w:rFonts w:ascii="Arial" w:eastAsia="Calibri" w:hAnsi="Arial" w:cs="Arial"/>
                <w:b/>
                <w:color w:val="000000" w:themeColor="text1"/>
                <w:sz w:val="22"/>
                <w:szCs w:val="22"/>
                <w:lang w:val="es-ES"/>
              </w:rPr>
              <w:t>Radicación:</w:t>
            </w:r>
            <w:r w:rsidRPr="00FC5172">
              <w:rPr>
                <w:rFonts w:ascii="Arial" w:eastAsia="Calibri" w:hAnsi="Arial" w:cs="Arial"/>
                <w:color w:val="000000" w:themeColor="text1"/>
                <w:sz w:val="22"/>
                <w:szCs w:val="22"/>
                <w:lang w:val="es-ES"/>
              </w:rPr>
              <w:t xml:space="preserve">                              </w:t>
            </w:r>
          </w:p>
        </w:tc>
        <w:tc>
          <w:tcPr>
            <w:tcW w:w="6237" w:type="dxa"/>
          </w:tcPr>
          <w:p w14:paraId="31C30536" w14:textId="63F28B2D" w:rsidR="00D34196" w:rsidRPr="00FC5172" w:rsidRDefault="00D34196" w:rsidP="004C501B">
            <w:pPr>
              <w:spacing w:before="120"/>
              <w:jc w:val="both"/>
              <w:rPr>
                <w:rFonts w:ascii="Arial" w:eastAsia="Calibri" w:hAnsi="Arial" w:cs="Arial"/>
                <w:color w:val="000000" w:themeColor="text1"/>
                <w:sz w:val="22"/>
                <w:szCs w:val="22"/>
                <w:lang w:val="es-ES"/>
              </w:rPr>
            </w:pPr>
            <w:r w:rsidRPr="00FC5172">
              <w:rPr>
                <w:rFonts w:ascii="Arial" w:eastAsia="Arial" w:hAnsi="Arial" w:cs="Arial"/>
                <w:sz w:val="22"/>
                <w:szCs w:val="22"/>
                <w:lang w:val="es-ES" w:eastAsia="en-US"/>
              </w:rPr>
              <w:t xml:space="preserve">Respuesta a consulta </w:t>
            </w:r>
            <w:r w:rsidR="00161326" w:rsidRPr="00FC5172">
              <w:rPr>
                <w:rFonts w:ascii="Arial" w:eastAsia="Arial" w:hAnsi="Arial" w:cs="Arial"/>
                <w:sz w:val="22"/>
                <w:szCs w:val="22"/>
                <w:lang w:val="es-ES" w:eastAsia="en-US"/>
              </w:rPr>
              <w:t>P202206</w:t>
            </w:r>
            <w:r w:rsidR="00D17323" w:rsidRPr="00FC5172">
              <w:rPr>
                <w:rFonts w:ascii="Arial" w:eastAsia="Arial" w:hAnsi="Arial" w:cs="Arial"/>
                <w:sz w:val="22"/>
                <w:szCs w:val="22"/>
                <w:lang w:val="es-ES" w:eastAsia="en-US"/>
              </w:rPr>
              <w:t>15006010</w:t>
            </w:r>
          </w:p>
        </w:tc>
      </w:tr>
    </w:tbl>
    <w:p w14:paraId="5410C288" w14:textId="77777777" w:rsidR="00D34196" w:rsidRPr="00071199" w:rsidRDefault="00D34196" w:rsidP="00D34196">
      <w:pPr>
        <w:jc w:val="both"/>
        <w:rPr>
          <w:rFonts w:ascii="Arial" w:eastAsia="Calibri" w:hAnsi="Arial" w:cs="Arial"/>
          <w:color w:val="000000" w:themeColor="text1"/>
          <w:sz w:val="22"/>
          <w:lang w:val="es-ES"/>
        </w:rPr>
      </w:pPr>
    </w:p>
    <w:p w14:paraId="2203B1E0" w14:textId="77777777" w:rsidR="00D34196" w:rsidRPr="00071199" w:rsidRDefault="00D34196" w:rsidP="00D34196">
      <w:pPr>
        <w:jc w:val="both"/>
        <w:rPr>
          <w:rFonts w:ascii="Arial" w:eastAsia="Calibri" w:hAnsi="Arial" w:cs="Arial"/>
          <w:color w:val="000000" w:themeColor="text1"/>
          <w:sz w:val="22"/>
          <w:lang w:val="es-ES"/>
        </w:rPr>
      </w:pPr>
    </w:p>
    <w:p w14:paraId="02CBA962" w14:textId="6DB8BCEC" w:rsidR="00D34196" w:rsidRPr="00071199" w:rsidRDefault="00D34196" w:rsidP="00D34196">
      <w:pPr>
        <w:jc w:val="both"/>
        <w:rPr>
          <w:rFonts w:ascii="Arial" w:eastAsia="Calibri" w:hAnsi="Arial" w:cs="Arial"/>
          <w:color w:val="000000" w:themeColor="text1"/>
          <w:sz w:val="22"/>
          <w:lang w:val="es-ES"/>
        </w:rPr>
      </w:pPr>
      <w:r w:rsidRPr="00071199">
        <w:rPr>
          <w:rFonts w:ascii="Arial" w:eastAsia="Calibri" w:hAnsi="Arial" w:cs="Arial"/>
          <w:color w:val="000000" w:themeColor="text1"/>
          <w:sz w:val="22"/>
          <w:lang w:val="es-ES"/>
        </w:rPr>
        <w:t>Estimad</w:t>
      </w:r>
      <w:r w:rsidR="00D17323">
        <w:rPr>
          <w:rFonts w:ascii="Arial" w:eastAsia="Calibri" w:hAnsi="Arial" w:cs="Arial"/>
          <w:color w:val="000000" w:themeColor="text1"/>
          <w:sz w:val="22"/>
          <w:lang w:val="es-ES"/>
        </w:rPr>
        <w:t>a Señora Franco</w:t>
      </w:r>
      <w:r w:rsidR="00D84D7B">
        <w:rPr>
          <w:rFonts w:ascii="Arial" w:eastAsia="Calibri" w:hAnsi="Arial" w:cs="Arial"/>
          <w:color w:val="000000" w:themeColor="text1"/>
          <w:sz w:val="22"/>
          <w:lang w:val="es-ES"/>
        </w:rPr>
        <w:t>:</w:t>
      </w:r>
    </w:p>
    <w:p w14:paraId="5A2DC142" w14:textId="77777777" w:rsidR="00D34196" w:rsidRPr="00071199" w:rsidRDefault="00D34196" w:rsidP="00D34196">
      <w:pPr>
        <w:jc w:val="both"/>
        <w:rPr>
          <w:rFonts w:ascii="Arial" w:eastAsia="Calibri" w:hAnsi="Arial" w:cs="Arial"/>
          <w:color w:val="000000" w:themeColor="text1"/>
          <w:sz w:val="22"/>
          <w:lang w:val="es-ES"/>
        </w:rPr>
      </w:pPr>
    </w:p>
    <w:p w14:paraId="285BE4B6" w14:textId="1BBD7CEE" w:rsidR="00D34196" w:rsidRPr="00071199" w:rsidRDefault="00D34196" w:rsidP="00D34196">
      <w:pPr>
        <w:spacing w:line="276" w:lineRule="auto"/>
        <w:jc w:val="both"/>
        <w:rPr>
          <w:rFonts w:ascii="Arial" w:eastAsia="Calibri" w:hAnsi="Arial" w:cs="Arial"/>
          <w:color w:val="000000" w:themeColor="text1"/>
          <w:sz w:val="22"/>
          <w:lang w:val="es-ES"/>
        </w:rPr>
      </w:pPr>
      <w:r w:rsidRPr="00071199">
        <w:rPr>
          <w:rFonts w:ascii="Arial" w:eastAsia="Calibri" w:hAnsi="Arial" w:cs="Arial"/>
          <w:color w:val="000000" w:themeColor="text1"/>
          <w:sz w:val="22"/>
          <w:lang w:val="es-ES"/>
        </w:rPr>
        <w:t xml:space="preserve">En ejercicio de la competencia otorgada por el numeral 8 del artículo 11 y el numeral 5 del artículo 3 del Decreto Ley 4170 de 2011, la Agencia Nacional de Contratación Pública – Colombia Compra Eficiente responde su consulta del </w:t>
      </w:r>
      <w:r w:rsidR="00D17323">
        <w:rPr>
          <w:rFonts w:ascii="Arial" w:eastAsia="Calibri" w:hAnsi="Arial" w:cs="Arial"/>
          <w:color w:val="000000" w:themeColor="text1"/>
          <w:sz w:val="22"/>
          <w:lang w:val="es-ES"/>
        </w:rPr>
        <w:t>15</w:t>
      </w:r>
      <w:r w:rsidR="00D84D7B">
        <w:rPr>
          <w:rFonts w:ascii="Arial" w:eastAsia="Calibri" w:hAnsi="Arial" w:cs="Arial"/>
          <w:color w:val="000000" w:themeColor="text1"/>
          <w:sz w:val="22"/>
          <w:lang w:val="es-ES"/>
        </w:rPr>
        <w:t xml:space="preserve"> de junio de 2022</w:t>
      </w:r>
      <w:r w:rsidRPr="00071199">
        <w:rPr>
          <w:rFonts w:ascii="Arial" w:eastAsia="Calibri" w:hAnsi="Arial" w:cs="Arial"/>
          <w:color w:val="000000" w:themeColor="text1"/>
          <w:sz w:val="22"/>
          <w:lang w:val="es-ES"/>
        </w:rPr>
        <w:t>.</w:t>
      </w:r>
    </w:p>
    <w:p w14:paraId="6861DB87" w14:textId="77777777" w:rsidR="00D34196" w:rsidRPr="00071199" w:rsidRDefault="00D34196" w:rsidP="00D34196">
      <w:pPr>
        <w:spacing w:line="276" w:lineRule="auto"/>
        <w:jc w:val="both"/>
        <w:rPr>
          <w:rFonts w:ascii="Arial" w:eastAsia="Calibri" w:hAnsi="Arial" w:cs="Arial"/>
          <w:b/>
          <w:color w:val="000000" w:themeColor="text1"/>
          <w:sz w:val="22"/>
          <w:lang w:val="es-ES"/>
        </w:rPr>
      </w:pPr>
    </w:p>
    <w:p w14:paraId="0D2FB9D7" w14:textId="77777777" w:rsidR="00D34196" w:rsidRPr="00071199" w:rsidRDefault="00D34196" w:rsidP="00D34196">
      <w:pPr>
        <w:pStyle w:val="Prrafodelista"/>
        <w:numPr>
          <w:ilvl w:val="0"/>
          <w:numId w:val="1"/>
        </w:numPr>
        <w:tabs>
          <w:tab w:val="left" w:pos="0"/>
          <w:tab w:val="left" w:pos="142"/>
          <w:tab w:val="left" w:pos="284"/>
        </w:tabs>
        <w:spacing w:line="276" w:lineRule="auto"/>
        <w:ind w:left="0" w:firstLine="0"/>
        <w:jc w:val="both"/>
        <w:rPr>
          <w:rFonts w:ascii="Arial" w:eastAsia="Calibri" w:hAnsi="Arial" w:cs="Arial"/>
          <w:b/>
          <w:color w:val="000000" w:themeColor="text1"/>
          <w:sz w:val="22"/>
          <w:lang w:val="es-ES"/>
        </w:rPr>
      </w:pPr>
      <w:r w:rsidRPr="00071199">
        <w:rPr>
          <w:rFonts w:ascii="Arial" w:eastAsia="Calibri" w:hAnsi="Arial" w:cs="Arial"/>
          <w:b/>
          <w:color w:val="000000" w:themeColor="text1"/>
          <w:sz w:val="22"/>
          <w:lang w:val="es-ES"/>
        </w:rPr>
        <w:t xml:space="preserve">Problema planteado </w:t>
      </w:r>
    </w:p>
    <w:p w14:paraId="7AF920E1" w14:textId="77777777" w:rsidR="00D34196" w:rsidRPr="00071199" w:rsidRDefault="00D34196" w:rsidP="00D34196">
      <w:pPr>
        <w:tabs>
          <w:tab w:val="left" w:pos="426"/>
        </w:tabs>
        <w:spacing w:line="276" w:lineRule="auto"/>
        <w:jc w:val="both"/>
        <w:rPr>
          <w:rFonts w:ascii="Arial" w:eastAsia="Calibri" w:hAnsi="Arial" w:cs="Arial"/>
          <w:b/>
          <w:color w:val="000000" w:themeColor="text1"/>
          <w:sz w:val="22"/>
          <w:lang w:val="es-ES"/>
        </w:rPr>
      </w:pPr>
    </w:p>
    <w:p w14:paraId="41C1CA93" w14:textId="1C6CDAC6" w:rsidR="00D34196" w:rsidRDefault="0027792D" w:rsidP="00DB2853">
      <w:pPr>
        <w:spacing w:line="276" w:lineRule="auto"/>
        <w:jc w:val="both"/>
        <w:rPr>
          <w:rFonts w:ascii="Arial" w:hAnsi="Arial" w:cs="Arial"/>
          <w:color w:val="000000" w:themeColor="text1"/>
          <w:sz w:val="22"/>
          <w:lang w:val="es-ES"/>
        </w:rPr>
      </w:pPr>
      <w:r>
        <w:rPr>
          <w:rFonts w:ascii="Arial" w:hAnsi="Arial" w:cs="Arial"/>
          <w:color w:val="000000" w:themeColor="text1"/>
          <w:sz w:val="22"/>
          <w:lang w:val="es-ES"/>
        </w:rPr>
        <w:t>U</w:t>
      </w:r>
      <w:r w:rsidR="00D34196" w:rsidRPr="00123704">
        <w:rPr>
          <w:rFonts w:ascii="Arial" w:hAnsi="Arial" w:cs="Arial"/>
          <w:color w:val="000000" w:themeColor="text1"/>
          <w:sz w:val="22"/>
          <w:lang w:val="es-ES"/>
        </w:rPr>
        <w:t>sted realiza la siguiente pregunta:</w:t>
      </w:r>
    </w:p>
    <w:p w14:paraId="2EA011A2" w14:textId="4158AAD9" w:rsidR="00D34196" w:rsidRPr="00DB2853" w:rsidRDefault="00DB2853" w:rsidP="00DB2853">
      <w:pPr>
        <w:pStyle w:val="NormalWeb"/>
        <w:ind w:left="708" w:right="900"/>
        <w:jc w:val="both"/>
        <w:rPr>
          <w:rFonts w:ascii="Arial" w:hAnsi="Arial" w:cs="Arial"/>
          <w:sz w:val="21"/>
          <w:szCs w:val="21"/>
        </w:rPr>
      </w:pPr>
      <w:bookmarkStart w:id="0" w:name="_Hlk103091320"/>
      <w:r w:rsidRPr="006337DF">
        <w:rPr>
          <w:rFonts w:ascii="Arial" w:hAnsi="Arial" w:cs="Arial"/>
          <w:sz w:val="21"/>
          <w:szCs w:val="21"/>
        </w:rPr>
        <w:t>«</w:t>
      </w:r>
      <w:bookmarkEnd w:id="0"/>
      <w:r w:rsidRPr="00504C78">
        <w:rPr>
          <w:rFonts w:ascii="Arial" w:hAnsi="Arial" w:cs="Arial"/>
          <w:sz w:val="21"/>
          <w:szCs w:val="21"/>
        </w:rPr>
        <w:t xml:space="preserve">[…] por medio del presente me permito solicitar concepto respecto de la posibilidad o no que tienen las empresas prestadoras de servicios públicos domiciliarios cuya naturaleza jurídica es la de una sociedad anónima entre entidades públicas (sic), de aplicar en sus procedimientos de selección de contratistas la excepción contenida en el parágrafo del artículo 56 de la Ley 2195 de 2022, la cual preceptúa: "PARÁGRAFO. Se exceptúan del presente artículo las Instituciones de Educación Superior públicas, las empresas sociales del Estado, las sociedades de economía mixta y las empresas industriales y comerciales del Estado, únicamente en cuanto a la contratación de su giro ordinario. En estos casos, en los manuales de contratación de estas entidades, se fomentará como buena práctica la aplicación de los pliegos tipo.", o si por el contrario, deben, para la adquisición de bienes, obras o servicios, en el marco de la ejecución de un convenio y/o contrato </w:t>
      </w:r>
      <w:r w:rsidRPr="00504C78">
        <w:rPr>
          <w:rFonts w:ascii="Arial" w:hAnsi="Arial" w:cs="Arial"/>
          <w:sz w:val="21"/>
          <w:szCs w:val="21"/>
        </w:rPr>
        <w:lastRenderedPageBreak/>
        <w:t>interadministrativo, aplicar los documentos tipo adoptados por la Agencia Nacional de Contratación Pública -Colombia Compra Eficiente, conforme al parágrafo 7 del artículo 2o de la Ley 1150 de 2007 o las normas que lo modifiquen o sustituyan; y por tanto, desarrollar los procedimientos de selección y los contratos a que haya lugar, aplicando las disposiciones establecidas por el Estatuto General de Contratación de la Administración Pública</w:t>
      </w:r>
      <w:bookmarkStart w:id="1" w:name="_Hlk103091300"/>
      <w:r w:rsidRPr="006337DF">
        <w:rPr>
          <w:rFonts w:ascii="Arial" w:hAnsi="Arial" w:cs="Arial"/>
          <w:sz w:val="21"/>
          <w:szCs w:val="21"/>
        </w:rPr>
        <w:t>»</w:t>
      </w:r>
      <w:bookmarkEnd w:id="1"/>
      <w:r w:rsidR="007763AF">
        <w:rPr>
          <w:rFonts w:ascii="Arial" w:hAnsi="Arial" w:cs="Arial"/>
          <w:sz w:val="21"/>
          <w:szCs w:val="21"/>
        </w:rPr>
        <w:t>.</w:t>
      </w:r>
      <w:r w:rsidRPr="00504C78">
        <w:rPr>
          <w:rFonts w:ascii="Arial" w:hAnsi="Arial" w:cs="Arial"/>
          <w:sz w:val="21"/>
          <w:szCs w:val="21"/>
        </w:rPr>
        <w:t xml:space="preserve"> </w:t>
      </w:r>
    </w:p>
    <w:p w14:paraId="6FBE4691" w14:textId="0F8F0B1D" w:rsidR="00D34196" w:rsidRDefault="00D34196" w:rsidP="001A0A7F">
      <w:pPr>
        <w:pStyle w:val="Prrafodelista"/>
        <w:numPr>
          <w:ilvl w:val="0"/>
          <w:numId w:val="1"/>
        </w:numPr>
        <w:tabs>
          <w:tab w:val="left" w:pos="0"/>
          <w:tab w:val="left" w:pos="284"/>
        </w:tabs>
        <w:ind w:left="0" w:firstLine="0"/>
        <w:jc w:val="both"/>
        <w:rPr>
          <w:rFonts w:ascii="Arial" w:eastAsia="Calibri" w:hAnsi="Arial" w:cs="Arial"/>
          <w:b/>
          <w:color w:val="000000" w:themeColor="text1"/>
          <w:sz w:val="22"/>
          <w:lang w:val="es-ES"/>
        </w:rPr>
      </w:pPr>
      <w:r w:rsidRPr="00071199">
        <w:rPr>
          <w:rFonts w:ascii="Arial" w:eastAsia="Calibri" w:hAnsi="Arial" w:cs="Arial"/>
          <w:b/>
          <w:color w:val="000000" w:themeColor="text1"/>
          <w:sz w:val="22"/>
          <w:lang w:val="es-ES"/>
        </w:rPr>
        <w:t>Consideraciones</w:t>
      </w:r>
    </w:p>
    <w:p w14:paraId="7DAA0FBA" w14:textId="77777777" w:rsidR="00FC5172" w:rsidRPr="001A0A7F" w:rsidRDefault="00FC5172" w:rsidP="00FC5172">
      <w:pPr>
        <w:pStyle w:val="Prrafodelista"/>
        <w:tabs>
          <w:tab w:val="left" w:pos="0"/>
          <w:tab w:val="left" w:pos="284"/>
        </w:tabs>
        <w:ind w:left="0"/>
        <w:jc w:val="both"/>
        <w:rPr>
          <w:rFonts w:ascii="Arial" w:eastAsia="Calibri" w:hAnsi="Arial" w:cs="Arial"/>
          <w:b/>
          <w:color w:val="000000" w:themeColor="text1"/>
          <w:sz w:val="22"/>
          <w:lang w:val="es-ES"/>
        </w:rPr>
      </w:pPr>
    </w:p>
    <w:p w14:paraId="380DC03B" w14:textId="43300DD5" w:rsidR="001A0A7F" w:rsidRPr="001A0A7F" w:rsidRDefault="009E549A" w:rsidP="001A0A7F">
      <w:pPr>
        <w:tabs>
          <w:tab w:val="left" w:pos="426"/>
        </w:tabs>
        <w:spacing w:line="276" w:lineRule="auto"/>
        <w:jc w:val="both"/>
        <w:rPr>
          <w:rFonts w:ascii="Arial" w:hAnsi="Arial" w:cs="Arial"/>
          <w:b/>
          <w:sz w:val="22"/>
        </w:rPr>
      </w:pPr>
      <w:r>
        <w:rPr>
          <w:rFonts w:ascii="Arial" w:eastAsia="Calibri" w:hAnsi="Arial" w:cs="Arial"/>
          <w:sz w:val="22"/>
          <w:lang w:val="es-ES_tradnl"/>
        </w:rPr>
        <w:t>P</w:t>
      </w:r>
      <w:r w:rsidR="001A0A7F" w:rsidRPr="00910FF7">
        <w:rPr>
          <w:rFonts w:ascii="Arial" w:hAnsi="Arial" w:cs="Arial"/>
          <w:sz w:val="22"/>
        </w:rPr>
        <w:t>ara resolver su consulta se desarrollarán los siguientes temas:</w:t>
      </w:r>
      <w:r w:rsidR="001A0A7F" w:rsidRPr="00910FF7">
        <w:rPr>
          <w:rFonts w:ascii="Arial" w:eastAsia="Calibri" w:hAnsi="Arial" w:cs="Arial"/>
          <w:bCs/>
          <w:color w:val="000000" w:themeColor="text1"/>
          <w:sz w:val="22"/>
        </w:rPr>
        <w:t xml:space="preserve"> </w:t>
      </w:r>
      <w:r w:rsidR="001A0A7F">
        <w:rPr>
          <w:rFonts w:ascii="Arial" w:hAnsi="Arial" w:cs="Arial"/>
          <w:color w:val="000000" w:themeColor="text1"/>
          <w:sz w:val="22"/>
          <w:lang w:val="es-ES_tradnl"/>
        </w:rPr>
        <w:t xml:space="preserve">i) </w:t>
      </w:r>
      <w:r w:rsidR="001A0A7F" w:rsidRPr="001A0A7F">
        <w:rPr>
          <w:rFonts w:ascii="Arial" w:hAnsi="Arial" w:cs="Arial"/>
          <w:color w:val="000000" w:themeColor="text1"/>
          <w:sz w:val="22"/>
          <w:lang w:val="es-ES_tradnl"/>
        </w:rPr>
        <w:t xml:space="preserve">fundamento normativo y ámbito de aplicación de los documentos tipo, </w:t>
      </w:r>
      <w:proofErr w:type="spellStart"/>
      <w:r w:rsidR="001A0A7F" w:rsidRPr="001A0A7F">
        <w:rPr>
          <w:rFonts w:ascii="Arial" w:hAnsi="Arial" w:cs="Arial"/>
          <w:color w:val="000000" w:themeColor="text1"/>
          <w:sz w:val="22"/>
          <w:lang w:val="es-ES_tradnl"/>
        </w:rPr>
        <w:t>ii</w:t>
      </w:r>
      <w:proofErr w:type="spellEnd"/>
      <w:r w:rsidR="001A0A7F" w:rsidRPr="001A0A7F">
        <w:rPr>
          <w:rFonts w:ascii="Arial" w:hAnsi="Arial" w:cs="Arial"/>
          <w:color w:val="000000" w:themeColor="text1"/>
          <w:sz w:val="22"/>
          <w:lang w:val="es-ES_tradnl"/>
        </w:rPr>
        <w:t>)</w:t>
      </w:r>
      <w:r w:rsidR="001A0A7F">
        <w:rPr>
          <w:rFonts w:ascii="Arial" w:hAnsi="Arial" w:cs="Arial"/>
          <w:color w:val="000000" w:themeColor="text1"/>
          <w:sz w:val="22"/>
          <w:lang w:val="es-ES_tradnl"/>
        </w:rPr>
        <w:t xml:space="preserve"> </w:t>
      </w:r>
      <w:r w:rsidR="001A0A7F" w:rsidRPr="001A0A7F">
        <w:rPr>
          <w:rFonts w:ascii="Arial" w:eastAsia="Calibri" w:hAnsi="Arial" w:cs="Arial"/>
          <w:sz w:val="22"/>
          <w:lang w:val="es-ES_tradnl"/>
        </w:rPr>
        <w:t xml:space="preserve">Análisis del artículo 56 de la Ley 2195 de 2022. Aplicación obligatoria del Estatuto General de Contratación de la Administración Pública y de los documentos tipo en la contratación de las entidades estatales exceptuadas y de los particulares y </w:t>
      </w:r>
      <w:proofErr w:type="spellStart"/>
      <w:r w:rsidR="001A0A7F" w:rsidRPr="001A0A7F">
        <w:rPr>
          <w:rFonts w:ascii="Arial" w:eastAsia="Calibri" w:hAnsi="Arial" w:cs="Arial"/>
          <w:sz w:val="22"/>
          <w:lang w:val="es-ES_tradnl"/>
        </w:rPr>
        <w:t>iii</w:t>
      </w:r>
      <w:proofErr w:type="spellEnd"/>
      <w:r w:rsidR="001A0A7F" w:rsidRPr="001A0A7F">
        <w:rPr>
          <w:rFonts w:ascii="Arial" w:eastAsia="Calibri" w:hAnsi="Arial" w:cs="Arial"/>
          <w:sz w:val="22"/>
          <w:lang w:val="es-ES_tradnl"/>
        </w:rPr>
        <w:t xml:space="preserve">) </w:t>
      </w:r>
      <w:r w:rsidR="001A0A7F" w:rsidRPr="001A0A7F">
        <w:rPr>
          <w:rFonts w:ascii="Arial" w:eastAsia="Calibri" w:hAnsi="Arial" w:cs="Arial"/>
          <w:color w:val="000000" w:themeColor="text1"/>
          <w:sz w:val="22"/>
        </w:rPr>
        <w:t>Empresas de servicios públicos domiciliarios: régimen especial de contratación y naturaleza jurídica</w:t>
      </w:r>
    </w:p>
    <w:p w14:paraId="0294606B" w14:textId="77777777" w:rsidR="001A0A7F" w:rsidRDefault="001A0A7F" w:rsidP="001A0A7F">
      <w:pPr>
        <w:spacing w:before="120" w:line="276" w:lineRule="auto"/>
        <w:ind w:firstLine="709"/>
        <w:jc w:val="both"/>
        <w:rPr>
          <w:rFonts w:ascii="Arial" w:hAnsi="Arial" w:cs="Arial"/>
          <w:bCs/>
          <w:color w:val="000000" w:themeColor="text1"/>
          <w:sz w:val="22"/>
        </w:rPr>
      </w:pPr>
      <w:r w:rsidRPr="000A617B">
        <w:rPr>
          <w:rFonts w:ascii="Arial" w:hAnsi="Arial" w:cs="Arial"/>
          <w:color w:val="000000" w:themeColor="text1"/>
          <w:sz w:val="22"/>
        </w:rPr>
        <w:t>La Agencia Nacional de Contratación Pública – Colombia Compra Eficiente</w:t>
      </w:r>
      <w:r>
        <w:rPr>
          <w:rFonts w:ascii="Arial" w:hAnsi="Arial" w:cs="Arial"/>
          <w:color w:val="000000" w:themeColor="text1"/>
          <w:sz w:val="22"/>
        </w:rPr>
        <w:t>,</w:t>
      </w:r>
      <w:r>
        <w:rPr>
          <w:rFonts w:ascii="Arial" w:hAnsi="Arial" w:cs="Arial"/>
          <w:bCs/>
          <w:color w:val="000000" w:themeColor="text1"/>
          <w:sz w:val="22"/>
          <w:lang w:val="es-ES_tradnl"/>
        </w:rPr>
        <w:t xml:space="preserve"> </w:t>
      </w:r>
      <w:r w:rsidRPr="007201D3">
        <w:rPr>
          <w:rFonts w:ascii="Arial" w:hAnsi="Arial" w:cs="Arial"/>
          <w:bCs/>
          <w:color w:val="000000" w:themeColor="text1"/>
          <w:sz w:val="22"/>
          <w:lang w:val="es-ES_tradnl"/>
        </w:rPr>
        <w:t xml:space="preserve">se ha pronunciado sobre el ámbito de aplicación de los documentos tipo en la contratación estatal, entre otros, en los </w:t>
      </w:r>
      <w:r>
        <w:rPr>
          <w:rFonts w:ascii="Arial" w:hAnsi="Arial" w:cs="Arial"/>
          <w:bCs/>
          <w:color w:val="000000" w:themeColor="text1"/>
          <w:sz w:val="22"/>
          <w:lang w:val="es-ES_tradnl"/>
        </w:rPr>
        <w:t>C</w:t>
      </w:r>
      <w:r w:rsidRPr="007201D3">
        <w:rPr>
          <w:rFonts w:ascii="Arial" w:hAnsi="Arial" w:cs="Arial"/>
          <w:bCs/>
          <w:color w:val="000000" w:themeColor="text1"/>
          <w:sz w:val="22"/>
          <w:lang w:val="es-ES_tradnl"/>
        </w:rPr>
        <w:t xml:space="preserve">onceptos C-294 del 18 de mayo de 2020, C-276 y C-277 del 26 de mayo de 2020; C–380 y C–381 del 1 de junio de 2020; C-404 del 12 de junio de 2020, C-352 del 30 de junio de 2020, C-430 del 7 de julio de 2020, C-481 del 27 de julio de 2020, C-502 del 29 de julio de 2020, C-500 del 3 de agosto de 2020, C-563 del 26 de agosto de 2020, C-570 del 27 de agosto de 2020, C-713 del 2 de diciembre de 2020 y C-744 del 22 de diciembre de 2020. </w:t>
      </w:r>
      <w:r>
        <w:rPr>
          <w:rFonts w:ascii="Arial" w:hAnsi="Arial" w:cs="Arial"/>
          <w:bCs/>
          <w:color w:val="000000" w:themeColor="text1"/>
          <w:sz w:val="22"/>
          <w:lang w:val="es-ES_tradnl"/>
        </w:rPr>
        <w:t>Por lo demás</w:t>
      </w:r>
      <w:r w:rsidRPr="007201D3">
        <w:rPr>
          <w:rFonts w:ascii="Arial" w:hAnsi="Arial" w:cs="Arial"/>
          <w:bCs/>
          <w:color w:val="000000" w:themeColor="text1"/>
          <w:sz w:val="22"/>
          <w:lang w:val="es-ES_tradnl"/>
        </w:rPr>
        <w:t xml:space="preserve">, en </w:t>
      </w:r>
      <w:r>
        <w:rPr>
          <w:rFonts w:ascii="Arial" w:hAnsi="Arial" w:cs="Arial"/>
          <w:bCs/>
          <w:color w:val="000000" w:themeColor="text1"/>
          <w:sz w:val="22"/>
          <w:lang w:val="es-ES_tradnl"/>
        </w:rPr>
        <w:t>los</w:t>
      </w:r>
      <w:r w:rsidRPr="007201D3">
        <w:rPr>
          <w:rFonts w:ascii="Arial" w:hAnsi="Arial" w:cs="Arial"/>
          <w:bCs/>
          <w:color w:val="000000" w:themeColor="text1"/>
          <w:sz w:val="22"/>
          <w:lang w:val="es-ES_tradnl"/>
        </w:rPr>
        <w:t xml:space="preserve"> </w:t>
      </w:r>
      <w:r>
        <w:rPr>
          <w:rFonts w:ascii="Arial" w:hAnsi="Arial" w:cs="Arial"/>
          <w:bCs/>
          <w:color w:val="000000" w:themeColor="text1"/>
          <w:sz w:val="22"/>
          <w:lang w:val="es-ES_tradnl"/>
        </w:rPr>
        <w:t>C</w:t>
      </w:r>
      <w:r w:rsidRPr="007201D3">
        <w:rPr>
          <w:rFonts w:ascii="Arial" w:hAnsi="Arial" w:cs="Arial"/>
          <w:bCs/>
          <w:color w:val="000000" w:themeColor="text1"/>
          <w:sz w:val="22"/>
          <w:lang w:val="es-ES_tradnl"/>
        </w:rPr>
        <w:t>oncepto</w:t>
      </w:r>
      <w:r>
        <w:rPr>
          <w:rFonts w:ascii="Arial" w:hAnsi="Arial" w:cs="Arial"/>
          <w:bCs/>
          <w:color w:val="000000" w:themeColor="text1"/>
          <w:sz w:val="22"/>
          <w:lang w:val="es-ES_tradnl"/>
        </w:rPr>
        <w:t>s</w:t>
      </w:r>
      <w:r w:rsidRPr="007201D3">
        <w:rPr>
          <w:rFonts w:ascii="Arial" w:hAnsi="Arial" w:cs="Arial"/>
          <w:bCs/>
          <w:color w:val="000000" w:themeColor="text1"/>
          <w:sz w:val="22"/>
          <w:lang w:val="es-ES_tradnl"/>
        </w:rPr>
        <w:t xml:space="preserve"> C-066 del 28 de enero de 2022,</w:t>
      </w:r>
      <w:r>
        <w:rPr>
          <w:rFonts w:ascii="Arial" w:hAnsi="Arial" w:cs="Arial"/>
          <w:bCs/>
          <w:color w:val="000000" w:themeColor="text1"/>
          <w:sz w:val="22"/>
          <w:lang w:val="es-ES_tradnl"/>
        </w:rPr>
        <w:t xml:space="preserve"> C-033 del 4 de marzo de 2022, C-082 del 2 de marzo de 2022 y C-065 del 9 de marzo de 2022,</w:t>
      </w:r>
      <w:r w:rsidRPr="007201D3">
        <w:rPr>
          <w:rFonts w:ascii="Arial" w:hAnsi="Arial" w:cs="Arial"/>
          <w:bCs/>
          <w:color w:val="000000" w:themeColor="text1"/>
          <w:sz w:val="22"/>
          <w:lang w:val="es-ES_tradnl"/>
        </w:rPr>
        <w:t xml:space="preserve"> la Agencia se refirió al alcance de lo dispuesto en el artículo 56 de la Ley 2195 de 2022</w:t>
      </w:r>
      <w:r>
        <w:rPr>
          <w:rFonts w:ascii="Arial" w:hAnsi="Arial" w:cs="Arial"/>
          <w:bCs/>
          <w:color w:val="000000" w:themeColor="text1"/>
          <w:sz w:val="22"/>
          <w:lang w:val="es-ES_tradnl"/>
        </w:rPr>
        <w:t xml:space="preserve">. </w:t>
      </w:r>
      <w:r w:rsidRPr="00CB38DD">
        <w:rPr>
          <w:rFonts w:ascii="Arial" w:hAnsi="Arial" w:cs="Arial"/>
          <w:bCs/>
          <w:color w:val="000000" w:themeColor="text1"/>
          <w:sz w:val="22"/>
        </w:rPr>
        <w:t>La tesis desarrollada en estos conceptos se reitera y complementa a continuación</w:t>
      </w:r>
      <w:r>
        <w:rPr>
          <w:rFonts w:ascii="Arial" w:hAnsi="Arial" w:cs="Arial"/>
          <w:bCs/>
          <w:color w:val="000000" w:themeColor="text1"/>
          <w:sz w:val="22"/>
        </w:rPr>
        <w:t>.</w:t>
      </w:r>
    </w:p>
    <w:p w14:paraId="0E10B659" w14:textId="77777777" w:rsidR="00D34196" w:rsidRPr="00071199" w:rsidRDefault="00D34196" w:rsidP="00D34196">
      <w:pPr>
        <w:spacing w:line="276" w:lineRule="auto"/>
        <w:jc w:val="both"/>
        <w:rPr>
          <w:rFonts w:ascii="Arial" w:eastAsia="Calibri" w:hAnsi="Arial" w:cs="Arial"/>
          <w:color w:val="000000" w:themeColor="text1"/>
          <w:sz w:val="22"/>
          <w:szCs w:val="22"/>
          <w:lang w:val="es-ES"/>
        </w:rPr>
      </w:pPr>
    </w:p>
    <w:p w14:paraId="1E6C9C34" w14:textId="77777777" w:rsidR="00DB2853" w:rsidRPr="00E858D2" w:rsidRDefault="00DB2853" w:rsidP="00DB2853">
      <w:pPr>
        <w:spacing w:line="276" w:lineRule="auto"/>
        <w:jc w:val="both"/>
        <w:rPr>
          <w:rFonts w:ascii="Arial" w:eastAsia="Arial" w:hAnsi="Arial" w:cs="Arial"/>
          <w:b/>
          <w:bCs/>
          <w:sz w:val="22"/>
          <w:lang w:val="es-ES_tradnl"/>
        </w:rPr>
      </w:pPr>
      <w:r w:rsidRPr="00E858D2">
        <w:rPr>
          <w:rFonts w:ascii="Arial" w:eastAsia="Arial" w:hAnsi="Arial" w:cs="Arial"/>
          <w:b/>
          <w:bCs/>
          <w:sz w:val="22"/>
          <w:lang w:val="es-ES_tradnl"/>
        </w:rPr>
        <w:t>2.</w:t>
      </w:r>
      <w:r>
        <w:rPr>
          <w:rFonts w:ascii="Arial" w:eastAsia="Arial" w:hAnsi="Arial" w:cs="Arial"/>
          <w:b/>
          <w:bCs/>
          <w:sz w:val="22"/>
          <w:lang w:val="es-ES_tradnl"/>
        </w:rPr>
        <w:t>1</w:t>
      </w:r>
      <w:r w:rsidRPr="00E858D2">
        <w:rPr>
          <w:rFonts w:ascii="Arial" w:eastAsia="Arial" w:hAnsi="Arial" w:cs="Arial"/>
          <w:b/>
          <w:bCs/>
          <w:sz w:val="22"/>
          <w:lang w:val="es-ES_tradnl"/>
        </w:rPr>
        <w:t xml:space="preserve">. Fundamento normativo y ámbito de aplicación de los documentos tipo </w:t>
      </w:r>
    </w:p>
    <w:p w14:paraId="47B12652" w14:textId="77777777" w:rsidR="00DB2853" w:rsidRDefault="00DB2853" w:rsidP="00DB2853">
      <w:pPr>
        <w:spacing w:line="276" w:lineRule="auto"/>
        <w:jc w:val="both"/>
        <w:rPr>
          <w:rFonts w:ascii="Arial" w:eastAsia="Calibri" w:hAnsi="Arial" w:cs="Arial"/>
          <w:sz w:val="22"/>
          <w:lang w:val="es-ES_tradnl"/>
        </w:rPr>
      </w:pPr>
    </w:p>
    <w:p w14:paraId="7217F0CD" w14:textId="77777777" w:rsidR="00DB2853" w:rsidRPr="00E858D2" w:rsidRDefault="00DB2853" w:rsidP="00DB2853">
      <w:pPr>
        <w:spacing w:after="120" w:line="276" w:lineRule="auto"/>
        <w:jc w:val="both"/>
        <w:rPr>
          <w:rFonts w:ascii="Arial" w:eastAsia="Calibri" w:hAnsi="Arial" w:cs="Arial"/>
          <w:sz w:val="22"/>
          <w:lang w:val="es-ES_tradnl"/>
        </w:rPr>
      </w:pPr>
      <w:r w:rsidRPr="00E858D2">
        <w:rPr>
          <w:rFonts w:ascii="Arial" w:eastAsia="Calibri" w:hAnsi="Arial" w:cs="Arial"/>
          <w:sz w:val="22"/>
          <w:lang w:val="es-ES_tradnl"/>
        </w:rPr>
        <w:t>La adopción de los documentos tipo obligatorios en el ordenamiento jurídico colombiano se incluyó por primera vez en el parágrafo 3 del artículo 2 de la Ley 1150 de 2007</w:t>
      </w:r>
      <w:r w:rsidRPr="00E858D2">
        <w:rPr>
          <w:rStyle w:val="Refdenotaalpie"/>
          <w:rFonts w:ascii="Arial" w:eastAsia="Calibri" w:hAnsi="Arial" w:cs="Arial"/>
        </w:rPr>
        <w:footnoteReference w:id="1"/>
      </w:r>
      <w:r w:rsidRPr="00E858D2">
        <w:rPr>
          <w:rFonts w:ascii="Arial" w:eastAsia="Calibri" w:hAnsi="Arial" w:cs="Arial"/>
          <w:sz w:val="22"/>
          <w:lang w:val="es-ES_tradnl"/>
        </w:rPr>
        <w:t xml:space="preserve">, que facultó al Gobierno Nacional para expedirlos, pero solo cuando se tratara de la adquisición o suministro de bienes y servicios de características técnicas uniformes y de común utilización. Sin embargo, esta facultad no ha sido ejercida hasta la actualidad. </w:t>
      </w:r>
    </w:p>
    <w:p w14:paraId="1B7DE096" w14:textId="77777777" w:rsidR="00DB2853" w:rsidRPr="00E858D2" w:rsidRDefault="00DB2853" w:rsidP="00DB2853">
      <w:pPr>
        <w:spacing w:line="276" w:lineRule="auto"/>
        <w:ind w:firstLine="708"/>
        <w:jc w:val="both"/>
        <w:rPr>
          <w:rFonts w:ascii="Arial" w:eastAsia="Calibri" w:hAnsi="Arial" w:cs="Arial"/>
          <w:sz w:val="22"/>
          <w:lang w:val="es-ES_tradnl"/>
        </w:rPr>
      </w:pPr>
      <w:r w:rsidRPr="00E858D2">
        <w:rPr>
          <w:rFonts w:ascii="Arial" w:eastAsia="Calibri" w:hAnsi="Arial" w:cs="Arial"/>
          <w:sz w:val="22"/>
          <w:lang w:val="es-ES_tradnl"/>
        </w:rPr>
        <w:t xml:space="preserve">Debido a lo anterior, el artículo 4 de la Ley 1882 de 2018 es el antecedente más relevante respecto a los documentos tipo. A partir de esta norma se determinó la </w:t>
      </w:r>
      <w:r w:rsidRPr="00E858D2">
        <w:rPr>
          <w:rFonts w:ascii="Arial" w:eastAsia="Calibri" w:hAnsi="Arial" w:cs="Arial"/>
          <w:sz w:val="22"/>
          <w:lang w:val="es-ES_tradnl"/>
        </w:rPr>
        <w:lastRenderedPageBreak/>
        <w:t xml:space="preserve">obligatoriedad para todas las entidades sometidas al Estatuto General de Contratación de la Administración Pública de aplicar los documentos tipo adoptados por el Gobierno Nacional. Debe señalarse que en virtud de la Ley 1882 de 2018 se expidieron varios documentos tipo para el sector de infraestructura de transporte y, por tanto, es importante explicar el proceso previsto en dicho cuerpo normativo. </w:t>
      </w:r>
    </w:p>
    <w:p w14:paraId="471D9490" w14:textId="77777777" w:rsidR="00DB2853" w:rsidRPr="00E858D2" w:rsidRDefault="00DB2853" w:rsidP="00DB2853">
      <w:pPr>
        <w:spacing w:before="120" w:after="120" w:line="276" w:lineRule="auto"/>
        <w:ind w:firstLine="708"/>
        <w:jc w:val="both"/>
        <w:rPr>
          <w:rFonts w:ascii="Arial" w:eastAsia="Calibri" w:hAnsi="Arial" w:cs="Arial"/>
          <w:sz w:val="22"/>
          <w:lang w:val="es-ES_tradnl"/>
        </w:rPr>
      </w:pPr>
      <w:r w:rsidRPr="00E858D2">
        <w:rPr>
          <w:rFonts w:ascii="Arial" w:eastAsia="Calibri" w:hAnsi="Arial" w:cs="Arial"/>
          <w:sz w:val="22"/>
          <w:lang w:val="es-ES_tradnl"/>
        </w:rPr>
        <w:t>El artículo 4 de la Ley 1882 de 2018 establecía que el Gobierno Nacional adoptaría los documentos tipo para los pliegos de condiciones de los procesos de selección de obras públicas, interventoría para las obras públicas, interventoría para consultoría de estudios y diseños para obras públicas y consultoría en ingeniería para obras, los cuales debían ser utilizados por todas las entidades sometidas al Estatuto General de Contratación de la Administración Pública en los Procesos de Contratación que adelantaran</w:t>
      </w:r>
      <w:r w:rsidRPr="00E858D2">
        <w:rPr>
          <w:rStyle w:val="Refdenotaalpie"/>
          <w:rFonts w:ascii="Arial" w:eastAsia="Calibri" w:hAnsi="Arial" w:cs="Arial"/>
        </w:rPr>
        <w:footnoteReference w:id="2"/>
      </w:r>
      <w:r w:rsidRPr="00E858D2">
        <w:rPr>
          <w:rFonts w:ascii="Arial" w:eastAsia="Calibri" w:hAnsi="Arial" w:cs="Arial"/>
          <w:sz w:val="22"/>
          <w:lang w:val="es-ES_tradnl"/>
        </w:rPr>
        <w:t>.</w:t>
      </w:r>
    </w:p>
    <w:p w14:paraId="54D92962" w14:textId="77777777" w:rsidR="00DB2853" w:rsidRPr="00E858D2" w:rsidRDefault="00DB2853" w:rsidP="00DB2853">
      <w:pPr>
        <w:spacing w:before="120" w:after="120" w:line="276" w:lineRule="auto"/>
        <w:jc w:val="both"/>
        <w:rPr>
          <w:rFonts w:ascii="Arial" w:eastAsia="Calibri" w:hAnsi="Arial" w:cs="Arial"/>
          <w:sz w:val="22"/>
          <w:lang w:val="es-ES_tradnl"/>
        </w:rPr>
      </w:pPr>
      <w:r w:rsidRPr="00E858D2">
        <w:rPr>
          <w:rFonts w:ascii="Arial" w:eastAsia="Calibri" w:hAnsi="Arial" w:cs="Arial"/>
          <w:sz w:val="22"/>
          <w:lang w:val="es-ES_tradnl"/>
        </w:rPr>
        <w:tab/>
        <w:t xml:space="preserve">Asimismo, señalaba que, dentro de los documentos tipo, el gobierno adoptaría de manera general y con alcance obligatorio para todas las entidades las condiciones habilitantes, así como los factores técnicos y económicos de escogencia, según correspondiera a cada modalidad de selección y la ponderación precisa y detallada de los mismos, teniendo en cuenta la naturaleza y cuantía de los contratos. Para la adopción de esta reglamentación el gobierno tendría en cuenta las características propias de las regiones con el ánimo de promover el empleo local. Por último, se facultaba al gobierno para adoptar los documentos tipo cuando lo considerara necesario en relación con otros contratos o procesos de selección. </w:t>
      </w:r>
    </w:p>
    <w:p w14:paraId="2A1582F9" w14:textId="77777777" w:rsidR="00DB2853" w:rsidRPr="00E858D2" w:rsidRDefault="00DB2853" w:rsidP="00DB2853">
      <w:pPr>
        <w:spacing w:before="120" w:after="120" w:line="276" w:lineRule="auto"/>
        <w:jc w:val="both"/>
        <w:rPr>
          <w:rFonts w:ascii="Arial" w:eastAsia="Calibri" w:hAnsi="Arial" w:cs="Arial"/>
          <w:sz w:val="22"/>
          <w:lang w:val="es-ES_tradnl"/>
        </w:rPr>
      </w:pPr>
      <w:r w:rsidRPr="00E858D2">
        <w:rPr>
          <w:rFonts w:ascii="Arial" w:eastAsia="Calibri" w:hAnsi="Arial" w:cs="Arial"/>
          <w:sz w:val="22"/>
          <w:lang w:val="es-ES_tradnl"/>
        </w:rPr>
        <w:tab/>
        <w:t xml:space="preserve">De la norma descrita se concluía lo siguiente: i) la adopción de los documentos tipo estaba en cabeza del Gobierno Nacional. </w:t>
      </w:r>
      <w:proofErr w:type="spellStart"/>
      <w:r w:rsidRPr="00E858D2">
        <w:rPr>
          <w:rFonts w:ascii="Arial" w:eastAsia="Calibri" w:hAnsi="Arial" w:cs="Arial"/>
          <w:sz w:val="22"/>
          <w:lang w:val="es-ES_tradnl"/>
        </w:rPr>
        <w:t>ii</w:t>
      </w:r>
      <w:proofErr w:type="spellEnd"/>
      <w:r w:rsidRPr="00E858D2">
        <w:rPr>
          <w:rFonts w:ascii="Arial" w:eastAsia="Calibri" w:hAnsi="Arial" w:cs="Arial"/>
          <w:sz w:val="22"/>
          <w:lang w:val="es-ES_tradnl"/>
        </w:rPr>
        <w:t xml:space="preserve">) Estos debían relacionarse con procesos de obra públicas, interventoría para las obras públicas, interventoría para consultoría de estudios y diseños y, finalmente, consultoría en ingeniería para obras. </w:t>
      </w:r>
      <w:proofErr w:type="spellStart"/>
      <w:r w:rsidRPr="00E858D2">
        <w:rPr>
          <w:rFonts w:ascii="Arial" w:eastAsia="Calibri" w:hAnsi="Arial" w:cs="Arial"/>
          <w:sz w:val="22"/>
          <w:lang w:val="es-ES_tradnl"/>
        </w:rPr>
        <w:t>iii</w:t>
      </w:r>
      <w:proofErr w:type="spellEnd"/>
      <w:r w:rsidRPr="00E858D2">
        <w:rPr>
          <w:rFonts w:ascii="Arial" w:eastAsia="Calibri" w:hAnsi="Arial" w:cs="Arial"/>
          <w:sz w:val="22"/>
          <w:lang w:val="es-ES_tradnl"/>
        </w:rPr>
        <w:t xml:space="preserve">) Eran de obligatorio cumplimiento por parte de todas las entidades sometidas al Estatuto General de Contratación de la Administración Pública. </w:t>
      </w:r>
      <w:proofErr w:type="spellStart"/>
      <w:r w:rsidRPr="00E858D2">
        <w:rPr>
          <w:rFonts w:ascii="Arial" w:eastAsia="Calibri" w:hAnsi="Arial" w:cs="Arial"/>
          <w:sz w:val="22"/>
          <w:lang w:val="es-ES_tradnl"/>
        </w:rPr>
        <w:t>iv</w:t>
      </w:r>
      <w:proofErr w:type="spellEnd"/>
      <w:r w:rsidRPr="00E858D2">
        <w:rPr>
          <w:rFonts w:ascii="Arial" w:eastAsia="Calibri" w:hAnsi="Arial" w:cs="Arial"/>
          <w:sz w:val="22"/>
          <w:lang w:val="es-ES_tradnl"/>
        </w:rPr>
        <w:t xml:space="preserve">) En los documentos tipo se indicarían las </w:t>
      </w:r>
      <w:r w:rsidRPr="00E858D2">
        <w:rPr>
          <w:rFonts w:ascii="Arial" w:eastAsia="Calibri" w:hAnsi="Arial" w:cs="Arial"/>
          <w:sz w:val="22"/>
          <w:lang w:val="es-ES_tradnl"/>
        </w:rPr>
        <w:lastRenderedPageBreak/>
        <w:t xml:space="preserve">condiciones generales de los requisitos habilitantes, así como los factores técnicos y económicos de escogencia, según correspondiera para cada modalidad de selección. v) El Gobierno Nacional tenía la facultad de adoptar documentos tipo en otros contratos o procesos de selección. Por último, vi) los documentos tipo serían adoptados por categorías de acuerdo con la cuantía de la contratación. </w:t>
      </w:r>
    </w:p>
    <w:p w14:paraId="164E534A" w14:textId="77777777" w:rsidR="00DB2853" w:rsidRPr="00E858D2" w:rsidRDefault="00DB2853" w:rsidP="00DB2853">
      <w:pPr>
        <w:spacing w:before="120" w:after="120" w:line="276" w:lineRule="auto"/>
        <w:jc w:val="both"/>
        <w:rPr>
          <w:rFonts w:ascii="Arial" w:eastAsia="Calibri" w:hAnsi="Arial" w:cs="Arial"/>
          <w:sz w:val="22"/>
          <w:lang w:val="es-ES_tradnl"/>
        </w:rPr>
      </w:pPr>
      <w:r w:rsidRPr="00E858D2">
        <w:rPr>
          <w:rFonts w:ascii="Arial" w:eastAsia="Calibri" w:hAnsi="Arial" w:cs="Arial"/>
          <w:sz w:val="22"/>
          <w:lang w:val="es-ES_tradnl"/>
        </w:rPr>
        <w:tab/>
        <w:t xml:space="preserve">Esta norma fue estudiada por la Corte Constitucional en la Sentencia C-119 de 2020. Al respecto, indicó que la adopción de los documentos tipo no afectaba la autonomía de las entidades territoriales, en cuanto la estandarización se predicaba únicamente de los requisitos habilitantes </w:t>
      </w:r>
      <w:bookmarkStart w:id="2" w:name="_Hlk48665985"/>
      <w:r w:rsidRPr="00E858D2">
        <w:rPr>
          <w:rFonts w:ascii="Arial" w:eastAsia="Calibri" w:hAnsi="Arial" w:cs="Arial"/>
          <w:sz w:val="22"/>
          <w:lang w:val="es-ES_tradnl"/>
        </w:rPr>
        <w:t>y los criterios de escogencia, elementos propios del procedimiento de selección del contratista, materia en la que existe reserva de ley y que no se encuentra atribuida a la regulación de las entidades territoriales</w:t>
      </w:r>
      <w:bookmarkEnd w:id="2"/>
      <w:r w:rsidRPr="00E858D2">
        <w:rPr>
          <w:rFonts w:ascii="Arial" w:eastAsia="Calibri" w:hAnsi="Arial" w:cs="Arial"/>
          <w:sz w:val="22"/>
          <w:lang w:val="es-ES_tradnl"/>
        </w:rPr>
        <w:t>. De igual manera, se establece que esta autonomía se garantiza con la identificación autónoma de sus necesidades y la configuración de los elementos del contrato</w:t>
      </w:r>
      <w:r w:rsidRPr="00E858D2">
        <w:rPr>
          <w:rStyle w:val="Refdenotaalpie"/>
          <w:rFonts w:ascii="Arial" w:eastAsia="Calibri" w:hAnsi="Arial" w:cs="Arial"/>
        </w:rPr>
        <w:footnoteReference w:id="3"/>
      </w:r>
      <w:r w:rsidRPr="00E858D2">
        <w:rPr>
          <w:rFonts w:ascii="Arial" w:eastAsia="Calibri" w:hAnsi="Arial" w:cs="Arial"/>
          <w:sz w:val="22"/>
          <w:lang w:val="es-ES_tradnl"/>
        </w:rPr>
        <w:t>.</w:t>
      </w:r>
    </w:p>
    <w:p w14:paraId="55DE06A3" w14:textId="77777777" w:rsidR="00DB2853" w:rsidRPr="00E858D2" w:rsidRDefault="00DB2853" w:rsidP="00DB2853">
      <w:pPr>
        <w:spacing w:before="120" w:after="120" w:line="276" w:lineRule="auto"/>
        <w:jc w:val="both"/>
        <w:rPr>
          <w:rFonts w:ascii="Arial" w:eastAsia="Calibri" w:hAnsi="Arial" w:cs="Arial"/>
          <w:sz w:val="22"/>
          <w:lang w:val="es-ES_tradnl"/>
        </w:rPr>
      </w:pPr>
      <w:r w:rsidRPr="00E858D2">
        <w:rPr>
          <w:rFonts w:ascii="Arial" w:eastAsia="Calibri" w:hAnsi="Arial" w:cs="Arial"/>
          <w:sz w:val="22"/>
          <w:lang w:val="es-ES_tradnl"/>
        </w:rPr>
        <w:tab/>
        <w:t>De este modo, los documentos tipo no afectan la autonomía de las entidades territoriales. Lo anterior, debido a que la definición de los requisitos habilitantes y de aspectos técnicos de la escogencia del contratista en los Procesos de Contratación, son aspectos en los que el legislador tiene amplia libertad de configuración normativa y, por tanto, puede atribuir dicha regulación al Gobierno Nacional. Ahora, dicha autonomía se materializa cuando las entidades territoriales deciden iniciar una convocatoria para satisfacer sus necesidades para la adquisición de un bien, obra o servicio, y además se incluyen en la minuta del contrato las condiciones particulares del negocio jurídico a celebrar.</w:t>
      </w:r>
    </w:p>
    <w:p w14:paraId="41B1835E" w14:textId="77777777" w:rsidR="00DB2853" w:rsidRPr="00E858D2" w:rsidRDefault="00DB2853" w:rsidP="00DB2853">
      <w:pPr>
        <w:spacing w:before="120" w:after="120" w:line="276" w:lineRule="auto"/>
        <w:jc w:val="both"/>
        <w:rPr>
          <w:rFonts w:ascii="Arial" w:eastAsia="Calibri" w:hAnsi="Arial" w:cs="Arial"/>
          <w:sz w:val="22"/>
          <w:lang w:val="es-ES_tradnl"/>
        </w:rPr>
      </w:pPr>
      <w:r w:rsidRPr="00E858D2">
        <w:rPr>
          <w:rFonts w:ascii="Arial" w:eastAsia="Calibri" w:hAnsi="Arial" w:cs="Arial"/>
          <w:sz w:val="22"/>
          <w:lang w:val="es-ES_tradnl"/>
        </w:rPr>
        <w:tab/>
        <w:t xml:space="preserve">Dada la relevancia económica y el impacto que tienen en el nivel territorial los proyectos de obra en el sector transporte, el Gobierno Nacional, en vigencia del artículo 4 de la Ley 1882 de 2018, por el cual se adicionó el parágrafo 7 del artículo 2 de la Ley 1150 de 2007, inició la implementación gradual de documentos tipo mediante el Decreto 342 de 2019, relacionado con los documentos tipo para los procesos de selección de licitación de obra pública de infraestructura de transporte. Luego se expidió el Decreto 2096 de 2019, que permitió el desarrollo de los documentos tipo para los pliegos de condiciones de los procesos de obras públicas de infraestructura de transporte que se adelantaran por la modalidad de selección abreviada de menor cuantía. </w:t>
      </w:r>
    </w:p>
    <w:p w14:paraId="5209730E" w14:textId="77777777" w:rsidR="00DB2853" w:rsidRPr="00E858D2" w:rsidRDefault="00DB2853" w:rsidP="00DB2853">
      <w:pPr>
        <w:spacing w:before="120" w:after="120" w:line="276" w:lineRule="auto"/>
        <w:ind w:firstLine="708"/>
        <w:jc w:val="both"/>
        <w:rPr>
          <w:rFonts w:ascii="Arial" w:eastAsia="Calibri" w:hAnsi="Arial" w:cs="Arial"/>
          <w:sz w:val="22"/>
          <w:lang w:val="es-ES_tradnl"/>
        </w:rPr>
      </w:pPr>
      <w:r w:rsidRPr="00E858D2">
        <w:rPr>
          <w:rFonts w:ascii="Arial" w:eastAsia="Calibri" w:hAnsi="Arial" w:cs="Arial"/>
          <w:sz w:val="22"/>
          <w:lang w:val="es-ES_tradnl"/>
        </w:rPr>
        <w:lastRenderedPageBreak/>
        <w:t>Finalmente, se profirió el Decreto 594 de 2020, frente a los documentos tipo para los contratos de obra pública</w:t>
      </w:r>
      <w:r w:rsidRPr="00E858D2" w:rsidDel="00A434AB">
        <w:rPr>
          <w:rFonts w:ascii="Arial" w:eastAsia="Calibri" w:hAnsi="Arial" w:cs="Arial"/>
          <w:sz w:val="22"/>
          <w:lang w:val="es-ES_tradnl"/>
        </w:rPr>
        <w:t xml:space="preserve"> </w:t>
      </w:r>
      <w:r w:rsidRPr="00E858D2">
        <w:rPr>
          <w:rFonts w:ascii="Arial" w:eastAsia="Calibri" w:hAnsi="Arial" w:cs="Arial"/>
          <w:sz w:val="22"/>
          <w:lang w:val="es-ES_tradnl"/>
        </w:rPr>
        <w:t xml:space="preserve">de infraestructura de transporte que se surtieran por la modalidad de mínima cuantía. Estos documentos fueron implementados y desarrollados por la Agencia Nacional de Contratación Pública </w:t>
      </w:r>
      <w:bookmarkStart w:id="3" w:name="_Hlk37841850"/>
      <w:r w:rsidRPr="00E858D2">
        <w:rPr>
          <w:rFonts w:ascii="Arial" w:eastAsia="Calibri" w:hAnsi="Arial" w:cs="Arial"/>
          <w:sz w:val="22"/>
          <w:lang w:val="es-ES_tradnl"/>
        </w:rPr>
        <w:t xml:space="preserve">– Colombia Compra Eficiente, </w:t>
      </w:r>
      <w:bookmarkEnd w:id="3"/>
      <w:r w:rsidRPr="00E858D2">
        <w:rPr>
          <w:rFonts w:ascii="Arial" w:eastAsia="Calibri" w:hAnsi="Arial" w:cs="Arial"/>
          <w:sz w:val="22"/>
          <w:lang w:val="es-ES_tradnl"/>
        </w:rPr>
        <w:t>por medio de la Resolución 1798 de 2019 –derogada por la Resolución 045 de 2020–, la Resolución 044 de 2020 y la Resolución 094 de 2020.</w:t>
      </w:r>
    </w:p>
    <w:p w14:paraId="4F8FCBFB" w14:textId="77777777" w:rsidR="00DB2853" w:rsidRPr="00E858D2" w:rsidRDefault="00DB2853" w:rsidP="00DB2853">
      <w:pPr>
        <w:pStyle w:val="Normal11pt"/>
        <w:spacing w:before="120" w:line="276" w:lineRule="auto"/>
        <w:ind w:left="0" w:firstLine="709"/>
        <w:rPr>
          <w:rFonts w:eastAsia="Calibri"/>
          <w:color w:val="auto"/>
        </w:rPr>
      </w:pPr>
      <w:r w:rsidRPr="00E858D2">
        <w:rPr>
          <w:rFonts w:eastAsia="Calibri"/>
          <w:color w:val="auto"/>
        </w:rPr>
        <w:t>Con posterioridad a la adopción de los anteriores documentos tipo, se expidió la Ley 2022 de 2020, norma que modificó el parágrafo 7 del artículo 2 de la Ley 1150 de 2007, que había sido adicionado por la Ley 1882 de 2018</w:t>
      </w:r>
      <w:r w:rsidRPr="00E858D2">
        <w:rPr>
          <w:rStyle w:val="Refdenotaalpie"/>
          <w:rFonts w:eastAsia="Calibri"/>
        </w:rPr>
        <w:footnoteReference w:id="4"/>
      </w:r>
      <w:r w:rsidRPr="00E858D2">
        <w:rPr>
          <w:rFonts w:eastAsia="Calibri"/>
          <w:color w:val="auto"/>
        </w:rPr>
        <w:t xml:space="preserve">. Con esta modificación, si bien se mantuvo el mandato de aplicación obligatoria de los documentos tipo por parte de las entidades sometidas al Estatuto General de Contratación de la Administración Pública, se atribuyó, específicamente, a la </w:t>
      </w:r>
      <w:r w:rsidRPr="00E858D2">
        <w:rPr>
          <w:rFonts w:eastAsia="Calibri"/>
          <w:color w:val="auto"/>
          <w:lang w:eastAsia="en-US"/>
        </w:rPr>
        <w:t xml:space="preserve">Agencia Nacional de Contratación Pública – Colombia Compra Eficiente la competencia para su adopción. </w:t>
      </w:r>
      <w:r w:rsidRPr="00E858D2">
        <w:rPr>
          <w:rFonts w:eastAsia="Calibri"/>
          <w:color w:val="auto"/>
        </w:rPr>
        <w:t xml:space="preserve">En este marco, con la finalidad de realizar un desarrollo armónico y ajustado a la ley que otorgó esta competencia, esta Agencia emitió la Resolución 160 de 2020 «Por la cual se adopta el procedimiento para implementar los documentos tipo y se define el sistema para su revisión». Asimismo, con fundamento en dicha Ley, se profirió la Resolución 240 de 2020, «Por la cual se actualizan los Documentos Tipo para los procesos de selección de licitación de obra pública de infraestructura de transporte y se deroga la Resolución 0045 de 2020». </w:t>
      </w:r>
    </w:p>
    <w:p w14:paraId="5A914B9A" w14:textId="77777777" w:rsidR="00DB2853" w:rsidRDefault="00DB2853" w:rsidP="00DB2853">
      <w:pPr>
        <w:pStyle w:val="Normal11pt"/>
        <w:spacing w:before="120" w:line="276" w:lineRule="auto"/>
        <w:ind w:left="0" w:firstLine="709"/>
        <w:rPr>
          <w:rFonts w:eastAsia="Calibri"/>
          <w:color w:val="auto"/>
        </w:rPr>
      </w:pPr>
      <w:r w:rsidRPr="00E858D2">
        <w:rPr>
          <w:rFonts w:eastAsia="Calibri"/>
          <w:color w:val="auto"/>
        </w:rPr>
        <w:lastRenderedPageBreak/>
        <w:t xml:space="preserve">De igual manera, se expidió la Resolución 241 de 2020, «Por la cual se actualizan los Documentos Tipo para los procesos de selección abreviada de menor cuantía de obra pública de infraestructura de transporte y se deroga la Resolución 0044 de 2020». Adicionalmente, entró en vigor la Resolución 256 de 2020, «Por la cual se adoptan los documentos tipo para los procesos de selección de concursos de méritos, para contratar la interventoría de obras públicas de infraestructura de transporte». </w:t>
      </w:r>
    </w:p>
    <w:p w14:paraId="130E309C" w14:textId="77777777" w:rsidR="00DB2853" w:rsidRPr="00E858D2" w:rsidRDefault="00DB2853" w:rsidP="00DB2853">
      <w:pPr>
        <w:pStyle w:val="Normal11pt"/>
        <w:spacing w:before="120" w:line="276" w:lineRule="auto"/>
        <w:ind w:left="0" w:firstLine="709"/>
        <w:rPr>
          <w:rFonts w:eastAsia="Calibri"/>
          <w:color w:val="auto"/>
        </w:rPr>
      </w:pPr>
      <w:r w:rsidRPr="00E858D2">
        <w:rPr>
          <w:rFonts w:eastAsia="Calibri"/>
          <w:color w:val="auto"/>
        </w:rPr>
        <w:t xml:space="preserve">De igual manera, se expidió la Resolución 241 de 2020, «Por la cual se actualizan los Documentos Tipo para los procesos de selección abreviada de menor cuantía de obra pública de infraestructura de transporte y se deroga la Resolución 0044 de 2020». Adicionalmente, </w:t>
      </w:r>
      <w:proofErr w:type="gramStart"/>
      <w:r w:rsidRPr="00E858D2">
        <w:rPr>
          <w:rFonts w:eastAsia="Calibri"/>
          <w:color w:val="auto"/>
        </w:rPr>
        <w:t>entró en vigencia</w:t>
      </w:r>
      <w:proofErr w:type="gramEnd"/>
      <w:r w:rsidRPr="00E858D2">
        <w:rPr>
          <w:rFonts w:eastAsia="Calibri"/>
          <w:color w:val="auto"/>
        </w:rPr>
        <w:t xml:space="preserve"> la Resolución 256 de 2020, «Por la cual se adoptan los documentos tipo para los procesos de selección de concursos de méritos, para contratar la interventoría de obras públicas de infraestructura de transporte». Por otra parte, se expidió la Resolución 248 de 2020, «Por la cual se adoptan los documentos tipo para los procesos de licitación pública para obras de infraestructura de agua potable y saneamiento básico», la Resolución 249 de 2020, «Por la cual se adoptan los documentos tipo para los procesos de licitación pública para obras de infraestructura de agua potable y saneamiento básico en la modalidad llave en mano», y la Resolución 269 de 2020, «Por la cual se adopta el documento tipo para los procesos de gestión catastral con enfoque multipropósito que se celebren a través de contratos interadministrativos».</w:t>
      </w:r>
    </w:p>
    <w:p w14:paraId="226B8619" w14:textId="77777777" w:rsidR="00DB2853" w:rsidRPr="00E858D2" w:rsidRDefault="00DB2853" w:rsidP="00DB2853">
      <w:pPr>
        <w:pStyle w:val="Normal11pt"/>
        <w:spacing w:before="120" w:line="276" w:lineRule="auto"/>
        <w:ind w:left="0" w:firstLine="709"/>
        <w:rPr>
          <w:color w:val="auto"/>
        </w:rPr>
      </w:pPr>
      <w:r w:rsidRPr="00E858D2">
        <w:rPr>
          <w:rFonts w:eastAsia="Calibri"/>
          <w:color w:val="auto"/>
        </w:rPr>
        <w:t xml:space="preserve">A los actos administrativos mencionados se suman: i) la Resolución 193 de 2021, </w:t>
      </w:r>
      <w:r w:rsidRPr="00E858D2">
        <w:rPr>
          <w:color w:val="auto"/>
        </w:rPr>
        <w:t>«Por la cual se adoptan los documentos tipo para los procesos de selección de concurso de méritos, para contratar la consultoría de estudios de ingeniería de infraestructura de transporte»,</w:t>
      </w:r>
      <w:r w:rsidRPr="00E858D2">
        <w:rPr>
          <w:rFonts w:eastAsia="Calibri"/>
          <w:color w:val="auto"/>
        </w:rPr>
        <w:t xml:space="preserve"> </w:t>
      </w:r>
      <w:proofErr w:type="spellStart"/>
      <w:r w:rsidRPr="00E858D2">
        <w:rPr>
          <w:rFonts w:eastAsia="Calibri"/>
          <w:color w:val="auto"/>
        </w:rPr>
        <w:t>ii</w:t>
      </w:r>
      <w:proofErr w:type="spellEnd"/>
      <w:r w:rsidRPr="00E858D2">
        <w:rPr>
          <w:rFonts w:eastAsia="Calibri"/>
          <w:color w:val="auto"/>
        </w:rPr>
        <w:t>) la Resolución 219 de 2020,</w:t>
      </w:r>
      <w:r w:rsidRPr="00E858D2">
        <w:rPr>
          <w:color w:val="auto"/>
        </w:rPr>
        <w:t xml:space="preserve"> «Por la cual se adoptan los documentos tipo para los procesos de licitación de obra pública de infraestructura social», </w:t>
      </w:r>
      <w:proofErr w:type="spellStart"/>
      <w:r w:rsidRPr="00E858D2">
        <w:rPr>
          <w:color w:val="auto"/>
        </w:rPr>
        <w:t>iii</w:t>
      </w:r>
      <w:proofErr w:type="spellEnd"/>
      <w:r w:rsidRPr="00E858D2">
        <w:rPr>
          <w:color w:val="auto"/>
        </w:rPr>
        <w:t xml:space="preserve">) la Resolución 220 de 2021, «Por la cual se adoptan los documentos tipo complementarios para los procesos de licitación de obra pública de infraestructura social relacionados con el sector educativo», </w:t>
      </w:r>
      <w:proofErr w:type="spellStart"/>
      <w:r w:rsidRPr="00E858D2">
        <w:rPr>
          <w:color w:val="auto"/>
        </w:rPr>
        <w:t>iv</w:t>
      </w:r>
      <w:proofErr w:type="spellEnd"/>
      <w:r w:rsidRPr="00E858D2">
        <w:rPr>
          <w:color w:val="auto"/>
        </w:rPr>
        <w:t xml:space="preserve">) la Resolución 392 de 2021, «Por la cual se adoptan los documentos tipo complementarios para los procesos de licitación de obra pública de infraestructura social relacionados con el sector salud», y v) la Resolución 454 de 2021, «Por la cual se adoptan los documentos tipo complementarios para los procesos de licitación de obra pública de infraestructura social relacionados con el sector cultura, recreación y deporte». </w:t>
      </w:r>
    </w:p>
    <w:p w14:paraId="1204341E" w14:textId="77777777" w:rsidR="00DB2853" w:rsidRPr="00E858D2" w:rsidRDefault="00DB2853" w:rsidP="00DB2853">
      <w:pPr>
        <w:pStyle w:val="Normal11pt"/>
        <w:spacing w:before="120" w:after="120" w:line="276" w:lineRule="auto"/>
        <w:ind w:left="0" w:firstLine="709"/>
        <w:rPr>
          <w:color w:val="auto"/>
        </w:rPr>
      </w:pPr>
      <w:r w:rsidRPr="00E858D2">
        <w:rPr>
          <w:color w:val="auto"/>
        </w:rPr>
        <w:t xml:space="preserve">En cuanto al ámbito de aplicación de estos documentos, es preciso explicar que cada una de estas resoluciones está relacionada con un sector, un objeto contractual y una modalidad de selección específica. Esto de tal manera que las entidades estatales regidas por el Estatuto General de Contratación de la Administración Pública, al momento de adelantar un proceso de contratación asociado a uno de los sectores para los que se han implementado documentos tipo, deben consultar el contenido de los respectivos documentos tipo, para determinar si la modalidad de escogencia y el objeto a contratar son </w:t>
      </w:r>
      <w:r w:rsidRPr="00E858D2">
        <w:rPr>
          <w:color w:val="auto"/>
        </w:rPr>
        <w:lastRenderedPageBreak/>
        <w:t xml:space="preserve">o no subsumibles dentro de lo dispuesto en aquellos. De ser esto así, la entidad estará obligada a adelantar el proceso de contratación aplicando los documentos tipo del caso. </w:t>
      </w:r>
    </w:p>
    <w:p w14:paraId="46501DDE" w14:textId="77777777" w:rsidR="00DB2853" w:rsidRPr="00E858D2" w:rsidRDefault="00DB2853" w:rsidP="00DB2853">
      <w:pPr>
        <w:spacing w:line="276" w:lineRule="auto"/>
        <w:ind w:firstLine="708"/>
        <w:jc w:val="both"/>
        <w:rPr>
          <w:rFonts w:ascii="Arial" w:hAnsi="Arial" w:cs="Arial"/>
          <w:sz w:val="22"/>
          <w:shd w:val="clear" w:color="auto" w:fill="FFFFFF"/>
          <w:lang w:val="es-ES_tradnl"/>
        </w:rPr>
      </w:pPr>
      <w:r w:rsidRPr="00E858D2">
        <w:rPr>
          <w:rFonts w:ascii="Arial" w:hAnsi="Arial" w:cs="Arial"/>
          <w:sz w:val="22"/>
          <w:shd w:val="clear" w:color="auto" w:fill="FFFFFF"/>
          <w:lang w:val="es-ES_tradnl"/>
        </w:rPr>
        <w:t xml:space="preserve">Es importante advertir que todas las resoluciones mediante las que se han adoptado documentos tipo consagran la regla de la inalterabilidad. Esta prohibición consiste en que las entidades estatales no pueden incluir o modificar en los </w:t>
      </w:r>
      <w:r w:rsidRPr="00E858D2">
        <w:rPr>
          <w:rFonts w:ascii="Arial" w:hAnsi="Arial" w:cs="Arial"/>
          <w:i/>
          <w:iCs/>
          <w:sz w:val="22"/>
          <w:shd w:val="clear" w:color="auto" w:fill="FFFFFF"/>
          <w:lang w:val="es-ES_tradnl"/>
        </w:rPr>
        <w:t>Documentos del Proceso</w:t>
      </w:r>
      <w:r w:rsidRPr="00E858D2">
        <w:rPr>
          <w:rFonts w:ascii="Arial" w:hAnsi="Arial" w:cs="Arial"/>
          <w:sz w:val="22"/>
          <w:shd w:val="clear" w:color="auto" w:fill="FFFFFF"/>
          <w:lang w:val="es-ES_tradnl"/>
        </w:rPr>
        <w:t xml:space="preserve"> los requisitos habilitantes, los factores técnicos y económicos de escogencia y los sistemas de ponderación distintos a los señalados en los documentos tipo. En consecuencia, las condiciones establecidas en dichos documentos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0A96A59E" w14:textId="77777777" w:rsidR="00DB2853" w:rsidRPr="00E858D2" w:rsidRDefault="00DB2853" w:rsidP="00DB2853">
      <w:pPr>
        <w:pStyle w:val="Normal11pt"/>
        <w:spacing w:before="120" w:line="276" w:lineRule="auto"/>
        <w:ind w:left="0" w:firstLine="709"/>
        <w:rPr>
          <w:rFonts w:eastAsia="Calibri"/>
          <w:color w:val="auto"/>
          <w:lang w:eastAsia="en-US"/>
        </w:rPr>
      </w:pPr>
      <w:r w:rsidRPr="00E858D2">
        <w:rPr>
          <w:rFonts w:eastAsia="Calibri"/>
          <w:color w:val="auto"/>
        </w:rPr>
        <w:t>Por último, cabe aclarar que la Agencia Nacional de Contratación Pública sigue avanzando en nuevos documentos tipo. Sin embargo, debe tenerse en cuenta que estos exigen un minucioso desarrollo en el cual se consideran las observaciones de las entidades técnicas y especializadas con la finalidad de adoptar documentos tipo que contengan las mejores prácticas contractuales que procuren el adecuado desarrollo de los principios que rigen la contratación pública.</w:t>
      </w:r>
    </w:p>
    <w:p w14:paraId="505C5B51" w14:textId="77777777" w:rsidR="00DB2853" w:rsidRDefault="00DB2853" w:rsidP="00DB2853">
      <w:pPr>
        <w:tabs>
          <w:tab w:val="left" w:pos="0"/>
        </w:tabs>
        <w:jc w:val="both"/>
        <w:rPr>
          <w:rFonts w:ascii="Arial" w:eastAsia="Calibri" w:hAnsi="Arial" w:cs="Arial"/>
          <w:b/>
          <w:sz w:val="22"/>
          <w:lang w:val="es-ES_tradnl"/>
        </w:rPr>
      </w:pPr>
    </w:p>
    <w:p w14:paraId="0227FFC2" w14:textId="77777777" w:rsidR="00DB2853" w:rsidRPr="00E858D2" w:rsidRDefault="00DB2853" w:rsidP="00DB2853">
      <w:pPr>
        <w:tabs>
          <w:tab w:val="left" w:pos="0"/>
        </w:tabs>
        <w:spacing w:line="276" w:lineRule="auto"/>
        <w:jc w:val="both"/>
        <w:rPr>
          <w:rFonts w:ascii="Arial" w:eastAsia="Calibri" w:hAnsi="Arial" w:cs="Arial"/>
          <w:b/>
          <w:sz w:val="22"/>
          <w:lang w:val="es-ES_tradnl"/>
        </w:rPr>
      </w:pPr>
      <w:r w:rsidRPr="00E858D2">
        <w:rPr>
          <w:rFonts w:ascii="Arial" w:eastAsia="Calibri" w:hAnsi="Arial" w:cs="Arial"/>
          <w:b/>
          <w:sz w:val="22"/>
          <w:lang w:val="es-ES_tradnl"/>
        </w:rPr>
        <w:t>2.</w:t>
      </w:r>
      <w:r>
        <w:rPr>
          <w:rFonts w:ascii="Arial" w:eastAsia="Calibri" w:hAnsi="Arial" w:cs="Arial"/>
          <w:b/>
          <w:sz w:val="22"/>
          <w:lang w:val="es-ES_tradnl"/>
        </w:rPr>
        <w:t>2.</w:t>
      </w:r>
      <w:r w:rsidRPr="00E858D2">
        <w:rPr>
          <w:rFonts w:ascii="Arial" w:eastAsia="Calibri" w:hAnsi="Arial" w:cs="Arial"/>
          <w:b/>
          <w:sz w:val="22"/>
          <w:lang w:val="es-ES_tradnl"/>
        </w:rPr>
        <w:t xml:space="preserve"> </w:t>
      </w:r>
      <w:bookmarkStart w:id="4" w:name="_Hlk95322387"/>
      <w:r w:rsidRPr="00E858D2">
        <w:rPr>
          <w:rFonts w:ascii="Arial" w:eastAsia="Calibri" w:hAnsi="Arial" w:cs="Arial"/>
          <w:b/>
          <w:sz w:val="22"/>
          <w:lang w:val="es-ES_tradnl"/>
        </w:rPr>
        <w:t xml:space="preserve">Análisis del artículo 56 de la Ley 2195 de 2022. Aplicación obligatoria del Estatuto General de Contratación de la Administración Pública y de los documentos tipo en la contratación de las entidades estatales exceptuadas y de los particulares </w:t>
      </w:r>
    </w:p>
    <w:bookmarkEnd w:id="4"/>
    <w:p w14:paraId="538B53F9" w14:textId="77777777" w:rsidR="00DB2853" w:rsidRPr="00E858D2" w:rsidRDefault="00DB2853" w:rsidP="00DB2853">
      <w:pPr>
        <w:tabs>
          <w:tab w:val="left" w:pos="0"/>
        </w:tabs>
        <w:spacing w:line="276" w:lineRule="auto"/>
        <w:jc w:val="both"/>
        <w:rPr>
          <w:rFonts w:ascii="Arial" w:eastAsia="Calibri" w:hAnsi="Arial" w:cs="Arial"/>
          <w:b/>
          <w:sz w:val="22"/>
          <w:lang w:val="es-ES_tradnl"/>
        </w:rPr>
      </w:pPr>
    </w:p>
    <w:p w14:paraId="23214E87"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Pr>
          <w:rFonts w:ascii="Arial" w:eastAsia="Calibri" w:hAnsi="Arial" w:cs="Arial"/>
          <w:bCs/>
          <w:sz w:val="22"/>
          <w:lang w:val="es-ES_tradnl"/>
        </w:rPr>
        <w:t>E</w:t>
      </w:r>
      <w:r w:rsidRPr="00E858D2">
        <w:rPr>
          <w:rFonts w:ascii="Arial" w:eastAsia="Calibri" w:hAnsi="Arial" w:cs="Arial"/>
          <w:bCs/>
          <w:sz w:val="22"/>
          <w:lang w:val="es-ES_tradnl"/>
        </w:rPr>
        <w:t>n virtud de la Ley 2022 de 2020, los documentos tipo expedidos por la Agencia Nacional de Contratación Pública son de aplicación obligatoria para las entidades estatales sometidas al Estatuto General de Contratación de la Administración Pública. En ese sentido, el contenido normativo de la Ley 2022 de 2020, y en su momento también la Ley 1882 de 2018</w:t>
      </w:r>
      <w:r>
        <w:rPr>
          <w:rFonts w:ascii="Arial" w:eastAsia="Calibri" w:hAnsi="Arial" w:cs="Arial"/>
          <w:bCs/>
          <w:sz w:val="22"/>
          <w:lang w:val="es-ES_tradnl"/>
        </w:rPr>
        <w:t>,</w:t>
      </w:r>
      <w:r w:rsidRPr="00E858D2">
        <w:rPr>
          <w:rFonts w:ascii="Arial" w:eastAsia="Calibri" w:hAnsi="Arial" w:cs="Arial"/>
          <w:bCs/>
          <w:sz w:val="22"/>
          <w:lang w:val="es-ES_tradnl"/>
        </w:rPr>
        <w:t xml:space="preserve"> excluía del ámbito de aplicación de los documentos tipo la contratación de entidades estatales de régimen exceptuado, por lo general, sujetas al derecho </w:t>
      </w:r>
      <w:r>
        <w:rPr>
          <w:rFonts w:ascii="Arial" w:eastAsia="Calibri" w:hAnsi="Arial" w:cs="Arial"/>
          <w:bCs/>
          <w:sz w:val="22"/>
          <w:lang w:val="es-ES_tradnl"/>
        </w:rPr>
        <w:t>civil y comercial</w:t>
      </w:r>
      <w:r w:rsidRPr="00E858D2">
        <w:rPr>
          <w:rFonts w:ascii="Arial" w:eastAsia="Calibri" w:hAnsi="Arial" w:cs="Arial"/>
          <w:bCs/>
          <w:sz w:val="22"/>
          <w:lang w:val="es-ES_tradnl"/>
        </w:rPr>
        <w:t xml:space="preserve">. </w:t>
      </w:r>
    </w:p>
    <w:p w14:paraId="4FCE5E12"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sidRPr="00E858D2">
        <w:rPr>
          <w:rFonts w:ascii="Arial" w:eastAsia="Calibri" w:hAnsi="Arial" w:cs="Arial"/>
          <w:b/>
          <w:sz w:val="22"/>
          <w:lang w:val="es-ES_tradnl"/>
        </w:rPr>
        <w:tab/>
      </w:r>
      <w:r w:rsidRPr="00E858D2">
        <w:rPr>
          <w:rFonts w:ascii="Arial" w:eastAsia="Calibri" w:hAnsi="Arial" w:cs="Arial"/>
          <w:bCs/>
          <w:sz w:val="22"/>
          <w:lang w:val="es-ES_tradnl"/>
        </w:rPr>
        <w:t xml:space="preserve">No obstante, este panorama ha variado con la reciente expedición de la Ley 2195 de 2022, «Por medio de la cual se adoptan medidas en materia de transparencia, prevención y lucha contra la corrupción y se dictan otras disposiciones». De conformidad con su artículo 1, esta norma tiene por objeto la adopción de diferentes medidas tendientes a prevenir los actos de corrupción, reforzar la articulación de las entidades del Estado y a recuperar los daños ocasionados por la corrupción, promoviendo la cultura de la legalidad e integridad. </w:t>
      </w:r>
    </w:p>
    <w:p w14:paraId="3AFBA7E4" w14:textId="77777777" w:rsidR="00DB2853" w:rsidRPr="00E858D2" w:rsidRDefault="00DB2853" w:rsidP="00DB2853">
      <w:pPr>
        <w:tabs>
          <w:tab w:val="left" w:pos="0"/>
        </w:tabs>
        <w:spacing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Entre las medidas adoptadas por la Ley mencionada se destaca el artículo 56</w:t>
      </w:r>
      <w:r>
        <w:rPr>
          <w:rFonts w:ascii="Arial" w:eastAsia="Calibri" w:hAnsi="Arial" w:cs="Arial"/>
          <w:bCs/>
          <w:sz w:val="22"/>
          <w:lang w:val="es-ES_tradnl"/>
        </w:rPr>
        <w:t>,</w:t>
      </w:r>
      <w:r w:rsidRPr="00E858D2">
        <w:rPr>
          <w:rFonts w:ascii="Arial" w:eastAsia="Calibri" w:hAnsi="Arial" w:cs="Arial"/>
          <w:bCs/>
          <w:sz w:val="22"/>
          <w:lang w:val="es-ES_tradnl"/>
        </w:rPr>
        <w:t xml:space="preserve"> disposición </w:t>
      </w:r>
      <w:r>
        <w:rPr>
          <w:rFonts w:ascii="Arial" w:eastAsia="Calibri" w:hAnsi="Arial" w:cs="Arial"/>
          <w:bCs/>
          <w:sz w:val="22"/>
          <w:lang w:val="es-ES_tradnl"/>
        </w:rPr>
        <w:t xml:space="preserve">que </w:t>
      </w:r>
      <w:r w:rsidRPr="00E858D2">
        <w:rPr>
          <w:rFonts w:ascii="Arial" w:eastAsia="Calibri" w:hAnsi="Arial" w:cs="Arial"/>
          <w:bCs/>
          <w:sz w:val="22"/>
          <w:lang w:val="es-ES_tradnl"/>
        </w:rPr>
        <w:t xml:space="preserve">se refiere de manera expresa a los documentos tipo y a su aplicabilidad a </w:t>
      </w:r>
      <w:r w:rsidRPr="00E858D2">
        <w:rPr>
          <w:rFonts w:ascii="Arial" w:eastAsia="Calibri" w:hAnsi="Arial" w:cs="Arial"/>
          <w:bCs/>
          <w:sz w:val="22"/>
          <w:lang w:val="es-ES_tradnl"/>
        </w:rPr>
        <w:lastRenderedPageBreak/>
        <w:t xml:space="preserve">sujetos diferentes de las entidades estatales sometidas al Estatuto General de Contratación de la Administración Pública. El tenor literal de este precepto </w:t>
      </w:r>
      <w:r>
        <w:rPr>
          <w:rFonts w:ascii="Arial" w:eastAsia="Calibri" w:hAnsi="Arial" w:cs="Arial"/>
          <w:bCs/>
          <w:sz w:val="22"/>
          <w:lang w:val="es-ES_tradnl"/>
        </w:rPr>
        <w:t>dispone</w:t>
      </w:r>
      <w:r w:rsidRPr="00E858D2">
        <w:rPr>
          <w:rFonts w:ascii="Arial" w:eastAsia="Calibri" w:hAnsi="Arial" w:cs="Arial"/>
          <w:bCs/>
          <w:sz w:val="22"/>
          <w:lang w:val="es-ES_tradnl"/>
        </w:rPr>
        <w:t xml:space="preserve"> lo siguiente:</w:t>
      </w:r>
    </w:p>
    <w:p w14:paraId="63649704" w14:textId="77777777" w:rsidR="00DB2853" w:rsidRPr="00E858D2" w:rsidRDefault="00DB2853" w:rsidP="00DB2853">
      <w:pPr>
        <w:tabs>
          <w:tab w:val="left" w:pos="0"/>
        </w:tabs>
        <w:spacing w:line="276" w:lineRule="auto"/>
        <w:jc w:val="both"/>
        <w:rPr>
          <w:rFonts w:ascii="Arial" w:eastAsia="Calibri" w:hAnsi="Arial" w:cs="Arial"/>
          <w:bCs/>
          <w:sz w:val="22"/>
          <w:lang w:val="es-ES_tradnl"/>
        </w:rPr>
      </w:pPr>
    </w:p>
    <w:p w14:paraId="25024F58" w14:textId="77777777" w:rsidR="00DB2853" w:rsidRPr="00E858D2" w:rsidRDefault="00DB2853" w:rsidP="00DB2853">
      <w:pPr>
        <w:tabs>
          <w:tab w:val="left" w:pos="0"/>
        </w:tabs>
        <w:spacing w:after="120"/>
        <w:ind w:left="709" w:right="709"/>
        <w:jc w:val="both"/>
        <w:rPr>
          <w:rFonts w:ascii="Arial" w:hAnsi="Arial" w:cs="Arial"/>
          <w:sz w:val="21"/>
          <w:szCs w:val="21"/>
          <w:lang w:val="es-ES_tradnl"/>
        </w:rPr>
      </w:pPr>
      <w:r w:rsidRPr="00C75E02">
        <w:rPr>
          <w:rFonts w:ascii="Arial" w:hAnsi="Arial" w:cs="Arial"/>
          <w:sz w:val="21"/>
          <w:szCs w:val="21"/>
          <w:lang w:val="es-ES_tradnl"/>
        </w:rPr>
        <w:t>«</w:t>
      </w:r>
      <w:r w:rsidRPr="00E858D2">
        <w:rPr>
          <w:rFonts w:ascii="Arial" w:hAnsi="Arial" w:cs="Arial"/>
          <w:sz w:val="21"/>
          <w:szCs w:val="21"/>
          <w:lang w:val="es-ES_tradnl"/>
        </w:rPr>
        <w:t xml:space="preserve">Artículo 56. Aplicación de los documentos tipo a entidades de régimen especial. Para la adquisición de bienes, obras o servicios, las entidades estatales sometidas al Estatuto General de Contratación de la Administración Pública que celebren contratos o convenios interadministrativos o de cualquier otra índole, con otra entidad estatal o con patrimonios autónomos o con personas naturales o jurídicas de derecho privado, cuyo régimen de contratación sea especial o de derecho privado, deberán aplicar los documentos tipo adoptados por la Agencia Nacional de Contratación Pública - Colombia Compra Eficiente o quien haga sus veces, conforme al parágrafo 7 del artículo 2 de la Ley 1150 de 2007 o las normas que lo modifiquen o sustituyan. </w:t>
      </w:r>
    </w:p>
    <w:p w14:paraId="64AAA31B" w14:textId="77777777" w:rsidR="00DB2853" w:rsidRPr="00E858D2" w:rsidRDefault="00DB2853" w:rsidP="00DB2853">
      <w:pPr>
        <w:tabs>
          <w:tab w:val="left" w:pos="0"/>
        </w:tabs>
        <w:spacing w:after="120"/>
        <w:ind w:left="709" w:right="709"/>
        <w:jc w:val="both"/>
        <w:rPr>
          <w:rFonts w:ascii="Arial" w:hAnsi="Arial" w:cs="Arial"/>
          <w:sz w:val="21"/>
          <w:szCs w:val="21"/>
          <w:lang w:val="es-ES_tradnl"/>
        </w:rPr>
      </w:pPr>
      <w:bookmarkStart w:id="5" w:name="_Hlk107579157"/>
      <w:r w:rsidRPr="00E858D2">
        <w:rPr>
          <w:rFonts w:ascii="Arial" w:hAnsi="Arial" w:cs="Arial"/>
          <w:sz w:val="21"/>
          <w:szCs w:val="21"/>
          <w:lang w:val="es-ES_tradnl"/>
        </w:rPr>
        <w:t xml:space="preserve">Los procedimientos de selección y los contratos que realicen en desarrollo de los anteriores negocios jurídicos, donde apliquen los documentos tipo se regirán por el Estatuto General de Contratación de la Administración Pública. </w:t>
      </w:r>
    </w:p>
    <w:bookmarkEnd w:id="5"/>
    <w:p w14:paraId="01402F3C" w14:textId="77777777" w:rsidR="00DB2853" w:rsidRPr="00E858D2" w:rsidRDefault="00DB2853" w:rsidP="00DB2853">
      <w:pPr>
        <w:tabs>
          <w:tab w:val="left" w:pos="0"/>
        </w:tabs>
        <w:ind w:left="709" w:right="709"/>
        <w:jc w:val="both"/>
        <w:rPr>
          <w:rFonts w:ascii="Arial" w:eastAsia="Calibri" w:hAnsi="Arial" w:cs="Arial"/>
          <w:bCs/>
          <w:sz w:val="21"/>
          <w:szCs w:val="21"/>
          <w:lang w:val="es-ES_tradnl"/>
        </w:rPr>
      </w:pPr>
      <w:r w:rsidRPr="00E858D2">
        <w:rPr>
          <w:rFonts w:ascii="Arial" w:hAnsi="Arial" w:cs="Arial"/>
          <w:sz w:val="21"/>
          <w:szCs w:val="21"/>
          <w:lang w:val="es-ES_tradnl"/>
        </w:rPr>
        <w:t xml:space="preserve">Parágrafo. Se exceptúan del presente artículo las Instituciones de Educación Superior públicas, las empresas sociales del Estado, las sociedades de economía mixta y las empresas industriales y comerciales del Estado, únicamente en cuanto a la contratación de su </w:t>
      </w:r>
      <w:r w:rsidRPr="00FC3C59">
        <w:rPr>
          <w:rFonts w:ascii="Arial" w:hAnsi="Arial" w:cs="Arial"/>
          <w:sz w:val="21"/>
          <w:szCs w:val="21"/>
          <w:lang w:val="es-ES_tradnl"/>
        </w:rPr>
        <w:t>giro ordinario</w:t>
      </w:r>
      <w:r w:rsidRPr="004E48D9">
        <w:rPr>
          <w:rFonts w:ascii="Arial" w:hAnsi="Arial" w:cs="Arial"/>
          <w:sz w:val="21"/>
          <w:szCs w:val="21"/>
          <w:lang w:val="es-ES_tradnl"/>
        </w:rPr>
        <w:t xml:space="preserve">. </w:t>
      </w:r>
      <w:r w:rsidRPr="00E858D2">
        <w:rPr>
          <w:rFonts w:ascii="Arial" w:hAnsi="Arial" w:cs="Arial"/>
          <w:sz w:val="21"/>
          <w:szCs w:val="21"/>
          <w:lang w:val="es-ES_tradnl"/>
        </w:rPr>
        <w:t>En estos casos, en los manuales de contratación de estas entidades, se fomentará como buena práctica la aplicación de los pliegos tipo.</w:t>
      </w:r>
      <w:r w:rsidRPr="00422EC2">
        <w:rPr>
          <w:rFonts w:ascii="Arial" w:eastAsia="Calibri" w:hAnsi="Arial" w:cs="Arial"/>
          <w:color w:val="000000" w:themeColor="text1"/>
          <w:sz w:val="21"/>
          <w:szCs w:val="21"/>
          <w:lang w:val="es-ES"/>
        </w:rPr>
        <w:t>»</w:t>
      </w:r>
    </w:p>
    <w:p w14:paraId="1660BDE8" w14:textId="77777777" w:rsidR="00DB2853" w:rsidRPr="00E858D2" w:rsidRDefault="00DB2853" w:rsidP="00DB2853">
      <w:pPr>
        <w:tabs>
          <w:tab w:val="left" w:pos="0"/>
        </w:tabs>
        <w:spacing w:line="276" w:lineRule="auto"/>
        <w:jc w:val="both"/>
        <w:rPr>
          <w:rFonts w:ascii="Arial" w:eastAsia="Calibri" w:hAnsi="Arial" w:cs="Arial"/>
          <w:bCs/>
          <w:sz w:val="22"/>
          <w:lang w:val="es-ES_tradnl"/>
        </w:rPr>
      </w:pPr>
    </w:p>
    <w:p w14:paraId="18622E19" w14:textId="77777777" w:rsidR="00DB2853" w:rsidRPr="00E858D2" w:rsidRDefault="00DB2853" w:rsidP="00DB2853">
      <w:pPr>
        <w:tabs>
          <w:tab w:val="left" w:pos="0"/>
        </w:tabs>
        <w:spacing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 xml:space="preserve">Las implicaciones de lo establecido en esta norma son variadas y se presentan en múltiples ámbitos de la actividad contractual de las entidades estatales, </w:t>
      </w:r>
      <w:proofErr w:type="gramStart"/>
      <w:r w:rsidRPr="00E858D2">
        <w:rPr>
          <w:rFonts w:ascii="Arial" w:eastAsia="Calibri" w:hAnsi="Arial" w:cs="Arial"/>
          <w:bCs/>
          <w:sz w:val="22"/>
          <w:lang w:val="es-ES_tradnl"/>
        </w:rPr>
        <w:t>que</w:t>
      </w:r>
      <w:proofErr w:type="gramEnd"/>
      <w:r w:rsidRPr="00E858D2">
        <w:rPr>
          <w:rFonts w:ascii="Arial" w:eastAsia="Calibri" w:hAnsi="Arial" w:cs="Arial"/>
          <w:bCs/>
          <w:sz w:val="22"/>
          <w:lang w:val="es-ES_tradnl"/>
        </w:rPr>
        <w:t xml:space="preserve"> como consecuencia de la entrada en vigor de la disposición en cita, ven alterado su régimen jurídico. Es por esto por lo que una interpretación adecuada de esta disposición, orientada a establecer con precisión el alcance de sus efectos, exige detenerse sobre ciertos aspectos que, a juicio de esta Agencia, resulta indispensable analizar para la comprensión de la norma materia de consulta, los cuales se desarrollan a continuación.    </w:t>
      </w:r>
    </w:p>
    <w:p w14:paraId="098F38A2" w14:textId="77777777" w:rsidR="00DB2853" w:rsidRPr="00E858D2" w:rsidRDefault="00DB2853" w:rsidP="00DB2853">
      <w:pPr>
        <w:tabs>
          <w:tab w:val="left" w:pos="0"/>
        </w:tabs>
        <w:jc w:val="both"/>
        <w:rPr>
          <w:rFonts w:ascii="Arial" w:eastAsia="Calibri" w:hAnsi="Arial" w:cs="Arial"/>
          <w:b/>
          <w:sz w:val="22"/>
          <w:lang w:val="es-ES_tradnl"/>
        </w:rPr>
      </w:pPr>
    </w:p>
    <w:p w14:paraId="567C5BE1" w14:textId="77777777" w:rsidR="00DB2853" w:rsidRDefault="00DB2853" w:rsidP="00DB2853">
      <w:pPr>
        <w:tabs>
          <w:tab w:val="left" w:pos="426"/>
        </w:tabs>
        <w:spacing w:line="276" w:lineRule="auto"/>
        <w:jc w:val="both"/>
        <w:rPr>
          <w:rFonts w:ascii="Arial" w:eastAsia="Calibri" w:hAnsi="Arial" w:cs="Arial"/>
          <w:b/>
          <w:sz w:val="22"/>
          <w:lang w:val="es-ES_tradnl"/>
        </w:rPr>
      </w:pPr>
      <w:r>
        <w:rPr>
          <w:rFonts w:ascii="Arial" w:eastAsia="Calibri" w:hAnsi="Arial" w:cs="Arial"/>
          <w:b/>
          <w:i/>
          <w:iCs/>
          <w:sz w:val="22"/>
          <w:lang w:val="es-ES_tradnl"/>
        </w:rPr>
        <w:tab/>
      </w:r>
      <w:r>
        <w:rPr>
          <w:rFonts w:ascii="Arial" w:eastAsia="Calibri" w:hAnsi="Arial" w:cs="Arial"/>
          <w:b/>
          <w:i/>
          <w:iCs/>
          <w:sz w:val="22"/>
          <w:lang w:val="es-ES_tradnl"/>
        </w:rPr>
        <w:tab/>
      </w:r>
      <w:r w:rsidRPr="00FF11A8">
        <w:rPr>
          <w:rFonts w:ascii="Arial" w:eastAsia="Calibri" w:hAnsi="Arial" w:cs="Arial"/>
          <w:b/>
          <w:i/>
          <w:iCs/>
          <w:sz w:val="22"/>
          <w:lang w:val="es-ES_tradnl"/>
        </w:rPr>
        <w:t>2.2.1.</w:t>
      </w:r>
      <w:r w:rsidRPr="00504C78">
        <w:rPr>
          <w:rFonts w:ascii="Arial" w:eastAsia="Calibri" w:hAnsi="Arial" w:cs="Arial"/>
          <w:b/>
          <w:sz w:val="22"/>
          <w:lang w:val="es-ES_tradnl"/>
        </w:rPr>
        <w:t xml:space="preserve"> </w:t>
      </w:r>
      <w:r w:rsidRPr="00E858D2">
        <w:rPr>
          <w:rFonts w:ascii="Arial" w:eastAsia="Calibri" w:hAnsi="Arial" w:cs="Arial"/>
          <w:b/>
          <w:sz w:val="22"/>
          <w:lang w:val="es-ES_tradnl"/>
        </w:rPr>
        <w:t>Ámbito de aplicación y finalidad de la norma</w:t>
      </w:r>
    </w:p>
    <w:p w14:paraId="7BDDB1B2" w14:textId="77777777" w:rsidR="00DB2853" w:rsidRPr="00F0096D" w:rsidRDefault="00DB2853" w:rsidP="00DB2853">
      <w:pPr>
        <w:tabs>
          <w:tab w:val="left" w:pos="426"/>
        </w:tabs>
        <w:ind w:left="709"/>
        <w:jc w:val="both"/>
        <w:rPr>
          <w:rFonts w:ascii="Arial" w:eastAsia="Calibri" w:hAnsi="Arial" w:cs="Arial"/>
          <w:bCs/>
          <w:sz w:val="22"/>
          <w:lang w:val="es-ES_tradnl"/>
        </w:rPr>
      </w:pPr>
    </w:p>
    <w:p w14:paraId="02F6F1DA"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sidRPr="00E858D2">
        <w:rPr>
          <w:rFonts w:ascii="Arial" w:eastAsia="Calibri" w:hAnsi="Arial" w:cs="Arial"/>
          <w:bCs/>
          <w:sz w:val="22"/>
          <w:lang w:val="es-ES_tradnl"/>
        </w:rPr>
        <w:t xml:space="preserve">Como se desprende de la parte inicial de la norma citada, esta se refiere a la adquisición de bienes, obras o servicios por parte de entidades estatales sometidas al EGCAP, que celebren contratos, convenios interadministrativos o de cualquier otra índole con entidades estatales exceptuadas, patrimonios autónomos, personas naturales o jurídicas de derecho privado. En ese sentido, este primer inciso formula un mandato dirigido a las entidades sometidas al EGCAP, para que, en la adquisición de bienes, obras o servicios, apliquen los documentos tipo expedidos por esta Agencia, cuando celebren contratos o convenios interadministrativos o de cualquier otra índole, con otra entidad estatal, o con patrimonios autónomos o con personas naturales o jurídicas, cuyo régimen de contratación sea especial o de derecho privado.  </w:t>
      </w:r>
    </w:p>
    <w:p w14:paraId="56A8F928"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sidRPr="00E858D2">
        <w:rPr>
          <w:rFonts w:ascii="Arial" w:eastAsia="Calibri" w:hAnsi="Arial" w:cs="Arial"/>
          <w:bCs/>
          <w:sz w:val="22"/>
          <w:lang w:val="es-ES_tradnl"/>
        </w:rPr>
        <w:lastRenderedPageBreak/>
        <w:tab/>
        <w:t xml:space="preserve">De acuerdo con esto, el artículo 56 de la Ley 2195 de 2022 es una norma que complementa al parágrafo 7 del artículo 2 de la Ley 1150 de 2007, modificado por la Ley 2022 de 2020, que establece el mandato de aplicación obligatoria de los documentos tipo para las entidades sometidas al EGCAP. Si bien el texto de la Ley 2022 de 2020 establece con claridad la regla de aplicación obligatoria de los documentos tipo en los Procesos de Contratación adelantados por las entidades estatales regidas por el EGCAP, lo cierto es que sus efectos no eran los mismos en los procesos de selección adelantados por entidades exceptuadas o con regímenes especiales.  </w:t>
      </w:r>
    </w:p>
    <w:p w14:paraId="2B6B5FE2"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 xml:space="preserve">Antes de la expedición del artículo 56 </w:t>
      </w:r>
      <w:r w:rsidRPr="00E858D2">
        <w:rPr>
          <w:rFonts w:ascii="Arial" w:eastAsia="Calibri" w:hAnsi="Arial" w:cs="Arial"/>
          <w:bCs/>
          <w:i/>
          <w:iCs/>
          <w:sz w:val="22"/>
          <w:lang w:val="es-ES_tradnl"/>
        </w:rPr>
        <w:t>ibídem</w:t>
      </w:r>
      <w:r>
        <w:rPr>
          <w:rFonts w:ascii="Arial" w:eastAsia="Calibri" w:hAnsi="Arial" w:cs="Arial"/>
          <w:bCs/>
          <w:i/>
          <w:iCs/>
          <w:sz w:val="22"/>
          <w:lang w:val="es-ES_tradnl"/>
        </w:rPr>
        <w:t>,</w:t>
      </w:r>
      <w:r w:rsidRPr="00E858D2">
        <w:rPr>
          <w:rFonts w:ascii="Arial" w:eastAsia="Calibri" w:hAnsi="Arial" w:cs="Arial"/>
          <w:bCs/>
          <w:sz w:val="22"/>
          <w:lang w:val="es-ES_tradnl"/>
        </w:rPr>
        <w:t xml:space="preserve"> la Ley 2022 de 2020 ya había establecido el mandato de aplicación obligatoria de los documentos tipo, atribuyendo a esta Agencia la competencia para expedirlos. Dicha Ley restringe su aplicación en los Procesos de Contratación a través de los que una entidad estatal regida por el EGCAP debe adquirir una obra o servicio, por supuesto siempre que el objeto a contratar, al igual que la modalidad que se requiere emplear, estén cobijados por algún documento tipo vigente. Por el contrario, la aplicación de documentos tipo por parte de entidades con regímenes especiales o de derecho privado era un asunto que escapaba del ámbito de aplicación de lo establecido por la Ley 2022 de 202</w:t>
      </w:r>
      <w:r>
        <w:rPr>
          <w:rFonts w:ascii="Arial" w:eastAsia="Calibri" w:hAnsi="Arial" w:cs="Arial"/>
          <w:bCs/>
          <w:sz w:val="22"/>
          <w:lang w:val="es-ES_tradnl"/>
        </w:rPr>
        <w:t>0</w:t>
      </w:r>
      <w:r w:rsidRPr="00E858D2">
        <w:rPr>
          <w:rFonts w:ascii="Arial" w:eastAsia="Calibri" w:hAnsi="Arial" w:cs="Arial"/>
          <w:bCs/>
          <w:sz w:val="22"/>
          <w:lang w:val="es-ES_tradnl"/>
        </w:rPr>
        <w:t xml:space="preserve">, incluso tratándose de obras o servicios para cuya contratación hubieren documentos tipo vigentes, </w:t>
      </w:r>
      <w:r>
        <w:rPr>
          <w:rFonts w:ascii="Arial" w:eastAsia="Calibri" w:hAnsi="Arial" w:cs="Arial"/>
          <w:bCs/>
          <w:sz w:val="22"/>
          <w:lang w:val="es-ES_tradnl"/>
        </w:rPr>
        <w:t>dado</w:t>
      </w:r>
      <w:r w:rsidRPr="00E858D2">
        <w:rPr>
          <w:rFonts w:ascii="Arial" w:eastAsia="Calibri" w:hAnsi="Arial" w:cs="Arial"/>
          <w:bCs/>
          <w:sz w:val="22"/>
          <w:lang w:val="es-ES_tradnl"/>
        </w:rPr>
        <w:t xml:space="preserve"> que la aplicación de estos solo era procedente cuando el régimen de la entidad contratante </w:t>
      </w:r>
      <w:r>
        <w:rPr>
          <w:rFonts w:ascii="Arial" w:eastAsia="Calibri" w:hAnsi="Arial" w:cs="Arial"/>
          <w:bCs/>
          <w:sz w:val="22"/>
          <w:lang w:val="es-ES_tradnl"/>
        </w:rPr>
        <w:t>fuera</w:t>
      </w:r>
      <w:r w:rsidRPr="00E858D2">
        <w:rPr>
          <w:rFonts w:ascii="Arial" w:eastAsia="Calibri" w:hAnsi="Arial" w:cs="Arial"/>
          <w:bCs/>
          <w:sz w:val="22"/>
          <w:lang w:val="es-ES_tradnl"/>
        </w:rPr>
        <w:t xml:space="preserve"> el EGCAP, toda vez que el parágrafo 7 del artículo 2 de la Ley 1150 de 2007 solo se refiere a la obligación de aplicar los documentos tipo en los Procesos de Contratación que adelanten las entidades sometidas al EGCAP. </w:t>
      </w:r>
    </w:p>
    <w:p w14:paraId="514A1E3E"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Por tanto, la norma, por el hecho de estar dirigida únicamente a las entidades sometidas a la Ley 80 de 1993 y la Ley 1150 de 2007, solo permitía que los documentos tipo tuvieran que aplicarse de manera obligatoria cuando este era el régimen general de la contratación de la entidad que adelantaba el Proceso de Contratación. En estos términos, si bien la Ley 2022 de 2020 no limitó la aplicabilidad de los documentos tipo expedidos por esta Agencia a una modalidad en específico, sí estableció que su implementación debía hacerse en el marco del EGCAP.</w:t>
      </w:r>
    </w:p>
    <w:p w14:paraId="237712C2"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 xml:space="preserve">En este escenario, el primer inciso del artículo 56 de la Ley 2195 de 2022 surge como una disposición complementaria de la Ley 2022 de 2020, en la medida en que, según se desprende de su texto, de una parte, la norma busca extender la aplicación obligatoria de los documentos tipo a la celebración de contratos o convenios interadministrativos entre entidades regidas por EGCAP y otros sujetos cuyo régimen de contratación prevalente es el derecho privado. Esto de tal forma que cuando una entidad estatal regida por el EGCAP celebre contratos o convenios con otra i) entidad estatal de régimen especial o con </w:t>
      </w:r>
      <w:proofErr w:type="spellStart"/>
      <w:r w:rsidRPr="00E858D2">
        <w:rPr>
          <w:rFonts w:ascii="Arial" w:eastAsia="Calibri" w:hAnsi="Arial" w:cs="Arial"/>
          <w:bCs/>
          <w:sz w:val="22"/>
          <w:lang w:val="es-ES_tradnl"/>
        </w:rPr>
        <w:t>ii</w:t>
      </w:r>
      <w:proofErr w:type="spellEnd"/>
      <w:r w:rsidRPr="00E858D2">
        <w:rPr>
          <w:rFonts w:ascii="Arial" w:eastAsia="Calibri" w:hAnsi="Arial" w:cs="Arial"/>
          <w:bCs/>
          <w:sz w:val="22"/>
          <w:lang w:val="es-ES_tradnl"/>
        </w:rPr>
        <w:t xml:space="preserve">) patrimonios autónomos o </w:t>
      </w:r>
      <w:proofErr w:type="spellStart"/>
      <w:r w:rsidRPr="00E858D2">
        <w:rPr>
          <w:rFonts w:ascii="Arial" w:eastAsia="Calibri" w:hAnsi="Arial" w:cs="Arial"/>
          <w:bCs/>
          <w:sz w:val="22"/>
          <w:lang w:val="es-ES_tradnl"/>
        </w:rPr>
        <w:t>iii</w:t>
      </w:r>
      <w:proofErr w:type="spellEnd"/>
      <w:r w:rsidRPr="00E858D2">
        <w:rPr>
          <w:rFonts w:ascii="Arial" w:eastAsia="Calibri" w:hAnsi="Arial" w:cs="Arial"/>
          <w:bCs/>
          <w:sz w:val="22"/>
          <w:lang w:val="es-ES_tradnl"/>
        </w:rPr>
        <w:t xml:space="preserve">) con personas naturales o jurídicas de derecho privado, tenga que hacerlo aplicando documentos tipo. Los efectos del primer inciso del artículo 56 se proyectarían entonces a los contratos o convenios que se deban celebrar con estos sujetos, </w:t>
      </w:r>
      <w:r w:rsidRPr="00E858D2">
        <w:rPr>
          <w:rFonts w:ascii="Arial" w:eastAsia="Calibri" w:hAnsi="Arial" w:cs="Arial"/>
          <w:bCs/>
          <w:sz w:val="22"/>
          <w:lang w:val="es-ES_tradnl"/>
        </w:rPr>
        <w:lastRenderedPageBreak/>
        <w:t xml:space="preserve">cuyos objetos comprendan la adquisición de bienes, obras o servicios, que, al tenor de lo dispuesto en el apartado normativo bajo examen, deberán celebrarse mediante documentos tipo.      </w:t>
      </w:r>
    </w:p>
    <w:p w14:paraId="2A1754F9"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 xml:space="preserve">Sin perjuicio de lo anterior, solo es posible comprender los efectos de lo dispuesto en el artículo 56 de la Ley 2195 de 2020 cuando se interpretan en conjunto todos sus componentes. Esto </w:t>
      </w:r>
      <w:r>
        <w:rPr>
          <w:rFonts w:ascii="Arial" w:eastAsia="Calibri" w:hAnsi="Arial" w:cs="Arial"/>
          <w:bCs/>
          <w:sz w:val="22"/>
          <w:lang w:val="es-ES_tradnl"/>
        </w:rPr>
        <w:t>dado</w:t>
      </w:r>
      <w:r w:rsidRPr="00E858D2">
        <w:rPr>
          <w:rFonts w:ascii="Arial" w:eastAsia="Calibri" w:hAnsi="Arial" w:cs="Arial"/>
          <w:bCs/>
          <w:sz w:val="22"/>
          <w:lang w:val="es-ES_tradnl"/>
        </w:rPr>
        <w:t xml:space="preserve"> que, </w:t>
      </w:r>
      <w:r>
        <w:rPr>
          <w:rFonts w:ascii="Arial" w:eastAsia="Calibri" w:hAnsi="Arial" w:cs="Arial"/>
          <w:bCs/>
          <w:sz w:val="22"/>
          <w:lang w:val="es-ES_tradnl"/>
        </w:rPr>
        <w:t>a las ideas precedentes se</w:t>
      </w:r>
      <w:r w:rsidRPr="00E858D2">
        <w:rPr>
          <w:rFonts w:ascii="Arial" w:eastAsia="Calibri" w:hAnsi="Arial" w:cs="Arial"/>
          <w:bCs/>
          <w:sz w:val="22"/>
          <w:lang w:val="es-ES_tradnl"/>
        </w:rPr>
        <w:t xml:space="preserve"> suman las implicaciones de lo ordenado por el segundo inciso de la norma, en referencia a los procedimientos de selección y contratos que deban celebrarse en desarrollo de los negocios a los que se refiere el primer inciso, en los que, además de la aplicación de los documentos tipo, se dispone la aplicación del EGCAP. </w:t>
      </w:r>
    </w:p>
    <w:p w14:paraId="5C23ACA5"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 xml:space="preserve">De acuerdo con esto, el cambio normativo que supone el artículo en comento no se agota con el mandato de aplicación obligatoria de los documentos tipo en los convenios o contratos que celebren las entidades estatales regidas por el EGCAP con otras entidades de régimen especial, patrimonios autónomos, personas naturales o jurídicas de derecho privado, pues, según se desprende del segundo inciso de la norma, esta además ordena la aplicación del EGCAP a los Procesos de Contratación que se adelanten y a los contratos que se celebren con ocasión de los contratos o convenios a los que se refiere el primer inciso. </w:t>
      </w:r>
      <w:r w:rsidRPr="00397E5B">
        <w:rPr>
          <w:rFonts w:ascii="Arial" w:eastAsia="Calibri" w:hAnsi="Arial" w:cs="Arial"/>
          <w:bCs/>
          <w:sz w:val="22"/>
          <w:lang w:val="es-ES_tradnl"/>
        </w:rPr>
        <w:t xml:space="preserve">Esto significa que, ya sea una entidad estatal de régimen especial, un patrimonio autónomo o una persona natural o jurídica de derecho privado, en virtud de lo dispuesto en los incisos primero y segundo del artículo 56 </w:t>
      </w:r>
      <w:proofErr w:type="spellStart"/>
      <w:r w:rsidRPr="00397E5B">
        <w:rPr>
          <w:rFonts w:ascii="Arial" w:eastAsia="Calibri" w:hAnsi="Arial" w:cs="Arial"/>
          <w:bCs/>
          <w:i/>
          <w:iCs/>
          <w:sz w:val="22"/>
          <w:lang w:val="es-ES_tradnl"/>
        </w:rPr>
        <w:t>ejusdem</w:t>
      </w:r>
      <w:proofErr w:type="spellEnd"/>
      <w:r w:rsidRPr="00397E5B">
        <w:rPr>
          <w:rFonts w:ascii="Arial" w:eastAsia="Calibri" w:hAnsi="Arial" w:cs="Arial"/>
          <w:bCs/>
          <w:i/>
          <w:iCs/>
          <w:sz w:val="22"/>
          <w:lang w:val="es-ES_tradnl"/>
        </w:rPr>
        <w:t xml:space="preserve">, </w:t>
      </w:r>
      <w:r w:rsidRPr="00397E5B">
        <w:rPr>
          <w:rFonts w:ascii="Arial" w:eastAsia="Calibri" w:hAnsi="Arial" w:cs="Arial"/>
          <w:bCs/>
          <w:sz w:val="22"/>
          <w:lang w:val="es-ES_tradnl"/>
        </w:rPr>
        <w:t>si,</w:t>
      </w:r>
      <w:r w:rsidRPr="00397E5B">
        <w:rPr>
          <w:rFonts w:ascii="Arial" w:eastAsia="Calibri" w:hAnsi="Arial" w:cs="Arial"/>
          <w:bCs/>
          <w:i/>
          <w:iCs/>
          <w:sz w:val="22"/>
          <w:lang w:val="es-ES_tradnl"/>
        </w:rPr>
        <w:t xml:space="preserve"> </w:t>
      </w:r>
      <w:r w:rsidRPr="00397E5B">
        <w:rPr>
          <w:rFonts w:ascii="Arial" w:eastAsia="Calibri" w:hAnsi="Arial" w:cs="Arial"/>
          <w:bCs/>
          <w:sz w:val="22"/>
          <w:lang w:val="es-ES_tradnl"/>
        </w:rPr>
        <w:t>en efecto, deben subcontratar bienes, obras o servicios, en cumplimiento de un contrato o convenio con una entidad estatal sometida a la Ley 80 de 1993, deberá adelantar el procedimiento de selección, así como celebrar el respectivo contrato, implementando los documentos tipo  y aplicando las disposiciones del EGCAP.</w:t>
      </w:r>
      <w:r w:rsidRPr="00E858D2">
        <w:rPr>
          <w:rFonts w:ascii="Arial" w:eastAsia="Calibri" w:hAnsi="Arial" w:cs="Arial"/>
          <w:bCs/>
          <w:sz w:val="22"/>
          <w:lang w:val="es-ES_tradnl"/>
        </w:rPr>
        <w:t xml:space="preserve"> </w:t>
      </w:r>
    </w:p>
    <w:p w14:paraId="5FA32E20" w14:textId="77777777" w:rsidR="00DB2853" w:rsidRDefault="00DB2853" w:rsidP="00DB2853">
      <w:pPr>
        <w:tabs>
          <w:tab w:val="left" w:pos="0"/>
        </w:tabs>
        <w:spacing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 xml:space="preserve">Esta, además, es la interpretación que se desprende de la justificación del proyecto normativo que se convirtió en la Ley 2195 de 2022, en la que, respecto de los contratos ejecutados por entidades de derecho privado, se refirió a la «[..] obligatoriedad de aplicar los documentos tipo, aun si son ejecutados con entidades de régimen especial», como uno de los propósitos de la Ley.  Conforme se indica en la justificación jurídica del proyecto ley, este: </w:t>
      </w:r>
    </w:p>
    <w:p w14:paraId="122D68F4" w14:textId="77777777" w:rsidR="00DB2853" w:rsidRPr="00E858D2" w:rsidRDefault="00DB2853" w:rsidP="00DB2853">
      <w:pPr>
        <w:tabs>
          <w:tab w:val="left" w:pos="0"/>
        </w:tabs>
        <w:jc w:val="both"/>
        <w:rPr>
          <w:rFonts w:ascii="Arial" w:eastAsia="Calibri" w:hAnsi="Arial" w:cs="Arial"/>
          <w:bCs/>
          <w:sz w:val="22"/>
          <w:lang w:val="es-ES_tradnl"/>
        </w:rPr>
      </w:pPr>
    </w:p>
    <w:p w14:paraId="73201E9F" w14:textId="77777777" w:rsidR="00DB2853" w:rsidRPr="00E858D2" w:rsidRDefault="00DB2853" w:rsidP="00DB2853">
      <w:pPr>
        <w:tabs>
          <w:tab w:val="left" w:pos="0"/>
        </w:tabs>
        <w:ind w:left="709" w:right="709"/>
        <w:jc w:val="both"/>
        <w:rPr>
          <w:rFonts w:ascii="Arial" w:eastAsia="Calibri" w:hAnsi="Arial" w:cs="Arial"/>
          <w:bCs/>
          <w:sz w:val="21"/>
          <w:szCs w:val="21"/>
          <w:lang w:val="es-ES_tradnl"/>
        </w:rPr>
      </w:pPr>
      <w:r w:rsidRPr="00D77CBA">
        <w:rPr>
          <w:rFonts w:ascii="Arial" w:eastAsia="Calibri" w:hAnsi="Arial" w:cs="Arial"/>
          <w:color w:val="000000" w:themeColor="text1"/>
          <w:sz w:val="21"/>
          <w:szCs w:val="21"/>
          <w:lang w:val="es-ES"/>
        </w:rPr>
        <w:t>«</w:t>
      </w:r>
      <w:r w:rsidRPr="00E858D2">
        <w:rPr>
          <w:rFonts w:ascii="Arial" w:eastAsia="Calibri" w:hAnsi="Arial" w:cs="Arial"/>
          <w:bCs/>
          <w:sz w:val="21"/>
          <w:szCs w:val="21"/>
          <w:lang w:val="es-ES_tradnl"/>
        </w:rPr>
        <w:t xml:space="preserve">[…] determina la aplicación de documentos tipo, en los términos del parágrafo 7 del artículo 2 de la Ley 1150 de 2007 o las normas que lo modifiquen o sustituyan, en los eventos en que entidades públicas sometidas al Estatuto General de Contratación de la Administración Pública celebren contratos o convenios interadministrativos o de cualquier otra índole con otras entidades estatales, patrimonios autónomos o personas naturales o jurídicas de derecho privado. Así mismo, se determina que los procedimientos de selección y los </w:t>
      </w:r>
      <w:r w:rsidRPr="00E858D2">
        <w:rPr>
          <w:rFonts w:ascii="Arial" w:eastAsia="Calibri" w:hAnsi="Arial" w:cs="Arial"/>
          <w:bCs/>
          <w:sz w:val="21"/>
          <w:szCs w:val="21"/>
          <w:lang w:val="es-ES_tradnl"/>
        </w:rPr>
        <w:lastRenderedPageBreak/>
        <w:t>contratos realizados en dichos negocios jurídicos deben regirse por las normas de contratación pública</w:t>
      </w:r>
      <w:r w:rsidRPr="00E858D2">
        <w:rPr>
          <w:rStyle w:val="Refdenotaalpie"/>
          <w:rFonts w:ascii="Arial" w:eastAsia="Calibri" w:hAnsi="Arial" w:cs="Arial"/>
          <w:sz w:val="21"/>
          <w:szCs w:val="21"/>
        </w:rPr>
        <w:footnoteReference w:id="5"/>
      </w:r>
      <w:r w:rsidRPr="00E858D2">
        <w:rPr>
          <w:rFonts w:ascii="Arial" w:eastAsia="Calibri" w:hAnsi="Arial" w:cs="Arial"/>
          <w:bCs/>
          <w:sz w:val="21"/>
          <w:szCs w:val="21"/>
          <w:lang w:val="es-ES_tradnl"/>
        </w:rPr>
        <w:t>.</w:t>
      </w:r>
      <w:r w:rsidRPr="00422EC2">
        <w:rPr>
          <w:rFonts w:ascii="Arial" w:eastAsia="Calibri" w:hAnsi="Arial" w:cs="Arial"/>
          <w:color w:val="000000" w:themeColor="text1"/>
          <w:sz w:val="21"/>
          <w:szCs w:val="21"/>
          <w:lang w:val="es-ES"/>
        </w:rPr>
        <w:t>»</w:t>
      </w:r>
      <w:r w:rsidRPr="00E858D2">
        <w:rPr>
          <w:rFonts w:ascii="Arial" w:eastAsia="Calibri" w:hAnsi="Arial" w:cs="Arial"/>
          <w:bCs/>
          <w:sz w:val="21"/>
          <w:szCs w:val="21"/>
          <w:lang w:val="es-ES_tradnl"/>
        </w:rPr>
        <w:t xml:space="preserve"> </w:t>
      </w:r>
    </w:p>
    <w:p w14:paraId="3243ACA1" w14:textId="77777777" w:rsidR="00DB2853" w:rsidRPr="00E858D2" w:rsidRDefault="00DB2853" w:rsidP="00DB2853">
      <w:pPr>
        <w:tabs>
          <w:tab w:val="left" w:pos="0"/>
        </w:tabs>
        <w:spacing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 xml:space="preserve"> </w:t>
      </w:r>
    </w:p>
    <w:p w14:paraId="6942617F" w14:textId="77777777" w:rsidR="00DB2853" w:rsidRPr="00E858D2" w:rsidRDefault="00DB2853" w:rsidP="00DB2853">
      <w:pPr>
        <w:tabs>
          <w:tab w:val="left" w:pos="0"/>
        </w:tabs>
        <w:spacing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 xml:space="preserve">De lo anterior se desprende que el propósito del legislador con la expedición de la norma objeto, como se ha explicado, es que las entidades estatales que tienen como régimen principal el EGCAP no puedan eludir su aplicación, ni la de los documentos tipo que resulten obligatorios, celebrando convenios o contratos con entidades exceptuadas o particulares sometidos al derecho privado, para que sean estos últimos quienes, en el marco de sus regímenes especiales o de derecho privado, realicen la subcontratación de los bienes, obras o servicios que demanda la entidad estatal, en una suerte de tercerización de la contratación. Lo anterior teniendo en cuenta que, a la luz de lo dispuesto en el artículo 56 de la Ley 2195 de 2022, tales entidades exceptuadas, patrimonios autónomos o particulares, que han suscrito convenios o contratos de cualquier índole con entidades sometidas al EGCAP, estarán obligadas a aplicar dicho estatuto para la subcontratación derivada de obras, bienes, obras o servicios, siempre que exista documento tipo en el sector en el que se adelanta la contratación.  </w:t>
      </w:r>
    </w:p>
    <w:p w14:paraId="32A32A24" w14:textId="77777777" w:rsidR="00DB2853" w:rsidRPr="00E858D2" w:rsidRDefault="00DB2853" w:rsidP="00DB2853">
      <w:pPr>
        <w:tabs>
          <w:tab w:val="left" w:pos="0"/>
        </w:tabs>
        <w:spacing w:line="276" w:lineRule="auto"/>
        <w:jc w:val="both"/>
        <w:rPr>
          <w:rFonts w:ascii="Arial" w:eastAsia="Calibri" w:hAnsi="Arial" w:cs="Arial"/>
          <w:bCs/>
          <w:sz w:val="22"/>
          <w:lang w:val="es-ES_tradnl"/>
        </w:rPr>
      </w:pPr>
    </w:p>
    <w:p w14:paraId="38947B39" w14:textId="77777777" w:rsidR="00DB2853" w:rsidRPr="00E858D2" w:rsidRDefault="00DB2853" w:rsidP="00DB2853">
      <w:pPr>
        <w:tabs>
          <w:tab w:val="left" w:pos="0"/>
        </w:tabs>
        <w:spacing w:line="276" w:lineRule="auto"/>
        <w:jc w:val="both"/>
        <w:rPr>
          <w:rFonts w:ascii="Arial" w:eastAsia="Calibri" w:hAnsi="Arial" w:cs="Arial"/>
          <w:bCs/>
          <w:sz w:val="22"/>
          <w:lang w:val="es-ES_tradnl"/>
        </w:rPr>
      </w:pPr>
      <w:r>
        <w:rPr>
          <w:rFonts w:ascii="Arial" w:eastAsia="Calibri" w:hAnsi="Arial" w:cs="Arial"/>
          <w:b/>
          <w:i/>
          <w:iCs/>
          <w:sz w:val="22"/>
          <w:lang w:val="es-ES_tradnl"/>
        </w:rPr>
        <w:tab/>
      </w:r>
      <w:r w:rsidRPr="00504C78">
        <w:rPr>
          <w:rFonts w:ascii="Arial" w:eastAsia="Calibri" w:hAnsi="Arial" w:cs="Arial"/>
          <w:b/>
          <w:sz w:val="22"/>
          <w:lang w:val="es-ES_tradnl"/>
        </w:rPr>
        <w:t>2.2.2.</w:t>
      </w:r>
      <w:r w:rsidRPr="00504C78">
        <w:rPr>
          <w:rFonts w:ascii="Arial" w:eastAsia="Calibri" w:hAnsi="Arial" w:cs="Arial"/>
          <w:bCs/>
          <w:sz w:val="22"/>
          <w:lang w:val="es-ES_tradnl"/>
        </w:rPr>
        <w:t xml:space="preserve"> </w:t>
      </w:r>
      <w:r w:rsidRPr="00E858D2">
        <w:rPr>
          <w:rFonts w:ascii="Arial" w:eastAsia="Calibri" w:hAnsi="Arial" w:cs="Arial"/>
          <w:b/>
          <w:sz w:val="22"/>
          <w:lang w:val="es-ES_tradnl"/>
        </w:rPr>
        <w:t>Aplicación prevalente del Estatuto General de Contratación de la Administración Pública por parte entidades exceptuadas. Aparente tensión con el literal c) del artículo 2, numeral 4, de la Ley 1150 de 2007.</w:t>
      </w:r>
    </w:p>
    <w:p w14:paraId="334812DF" w14:textId="77777777" w:rsidR="00DB2853" w:rsidRPr="00E858D2" w:rsidRDefault="00DB2853" w:rsidP="00DB2853">
      <w:pPr>
        <w:tabs>
          <w:tab w:val="left" w:pos="0"/>
        </w:tabs>
        <w:spacing w:line="276" w:lineRule="auto"/>
        <w:jc w:val="both"/>
        <w:rPr>
          <w:rFonts w:ascii="Arial" w:eastAsia="Calibri" w:hAnsi="Arial" w:cs="Arial"/>
          <w:bCs/>
          <w:sz w:val="22"/>
          <w:lang w:val="es-ES_tradnl"/>
        </w:rPr>
      </w:pPr>
    </w:p>
    <w:p w14:paraId="6F08D4B1"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sidRPr="00E858D2">
        <w:rPr>
          <w:rFonts w:ascii="Arial" w:eastAsia="Calibri" w:hAnsi="Arial" w:cs="Arial"/>
          <w:bCs/>
          <w:sz w:val="22"/>
          <w:lang w:val="es-ES_tradnl"/>
        </w:rPr>
        <w:t>En este punto es necesario analizar los efectos del artículo 56 de la Ley 2195 de 2022, respecto de lo dispuesto en el artículo 2, numeral 4, de la Ley 1150 de 2007, particularmente, de lo establecido en el tercer inciso del literal c)</w:t>
      </w:r>
      <w:r w:rsidRPr="00E858D2">
        <w:rPr>
          <w:rStyle w:val="Refdenotaalpie"/>
          <w:rFonts w:ascii="Arial" w:eastAsia="Calibri" w:hAnsi="Arial" w:cs="Arial"/>
        </w:rPr>
        <w:footnoteReference w:id="6"/>
      </w:r>
      <w:r w:rsidRPr="00E858D2">
        <w:rPr>
          <w:rFonts w:ascii="Arial" w:eastAsia="Calibri" w:hAnsi="Arial" w:cs="Arial"/>
          <w:bCs/>
          <w:sz w:val="22"/>
          <w:lang w:val="es-ES_tradnl"/>
        </w:rPr>
        <w:t xml:space="preserve">. Lo anterior por cuanto </w:t>
      </w:r>
      <w:r w:rsidRPr="00E858D2">
        <w:rPr>
          <w:rFonts w:ascii="Arial" w:eastAsia="Calibri" w:hAnsi="Arial" w:cs="Arial"/>
          <w:bCs/>
          <w:sz w:val="22"/>
          <w:lang w:val="es-ES_tradnl"/>
        </w:rPr>
        <w:lastRenderedPageBreak/>
        <w:t xml:space="preserve">esta norma, al establecer como causal de contratación directa la celebración de convenios o contratos interadministrativos regulaba la normativa aplicable a estos cuando el régimen prevalente de la entidad encargada de la ejecución no fuera el de la Ley 80 de 1993, casos en los que la norma imponía la aplicación de esta normativa, a menos que la entidad ejecutora desarrollara su actividad en competencia con el sector privado, o cuando la ejecución del contrato tuviere relación directa con el desarrollo de su actividad, evento en los que se imponía el derecho privado. En ese sentido, en este último evento el tercer inciso del literal c) del artículo 2-4 de la Ley 1150 de 2007, daba pie a la aplicación de normas de derecho privado, lo que evidencia una aparente tensión entre este y el artículo 56 de la Ley 2195 de 2022, en lo que se refiere al régimen aplicable en estas situaciones, </w:t>
      </w:r>
      <w:r>
        <w:rPr>
          <w:rFonts w:ascii="Arial" w:eastAsia="Calibri" w:hAnsi="Arial" w:cs="Arial"/>
          <w:bCs/>
          <w:sz w:val="22"/>
          <w:lang w:val="es-ES_tradnl"/>
        </w:rPr>
        <w:t>dado</w:t>
      </w:r>
      <w:r w:rsidRPr="00E858D2">
        <w:rPr>
          <w:rFonts w:ascii="Arial" w:eastAsia="Calibri" w:hAnsi="Arial" w:cs="Arial"/>
          <w:bCs/>
          <w:sz w:val="22"/>
          <w:lang w:val="es-ES_tradnl"/>
        </w:rPr>
        <w:t xml:space="preserve"> que</w:t>
      </w:r>
      <w:r>
        <w:rPr>
          <w:rFonts w:ascii="Arial" w:eastAsia="Calibri" w:hAnsi="Arial" w:cs="Arial"/>
          <w:bCs/>
          <w:sz w:val="22"/>
          <w:lang w:val="es-ES_tradnl"/>
        </w:rPr>
        <w:t>,</w:t>
      </w:r>
      <w:r w:rsidRPr="00E858D2">
        <w:rPr>
          <w:rFonts w:ascii="Arial" w:eastAsia="Calibri" w:hAnsi="Arial" w:cs="Arial"/>
          <w:bCs/>
          <w:sz w:val="22"/>
          <w:lang w:val="es-ES_tradnl"/>
        </w:rPr>
        <w:t xml:space="preserve"> en estos eventos, al tenor de lo dispuesto en esta última norma, deben aplicarse el EGCAP y los documentos tipo. </w:t>
      </w:r>
    </w:p>
    <w:p w14:paraId="40D488C8"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Esto supone una aparente antinomia entre el literal c) del artículo 2, numeral 4, de la Ley 1150 de 2007 y el artículo 56 de la Ley 2195 de 2022, en la medida en que para un mismo supuesto de hecho –la celebración de un convenio interadministrativo entre una entidad sometida al EGCAP y otra exceptuada, en la que la última es la ejecutora y desarrolla su actividad en competencia con el sector privado–, se establecen diferentes consecuencias jurídicas, ya que mientras que la primera norma dispone la aplicación del derecho privado, la última impone la aplicación de documentos tipo y del EGCAP. Esta aparente contradicción, necesariamente debe ser resuelta en favor del artículo 56 de la Ley 2195 de 2022, cuya aplicación debe privilegia</w:t>
      </w:r>
      <w:r>
        <w:rPr>
          <w:rFonts w:ascii="Arial" w:eastAsia="Calibri" w:hAnsi="Arial" w:cs="Arial"/>
          <w:bCs/>
          <w:sz w:val="22"/>
          <w:lang w:val="es-ES_tradnl"/>
        </w:rPr>
        <w:t>rse</w:t>
      </w:r>
      <w:r w:rsidRPr="00E858D2">
        <w:rPr>
          <w:rFonts w:ascii="Arial" w:eastAsia="Calibri" w:hAnsi="Arial" w:cs="Arial"/>
          <w:bCs/>
          <w:sz w:val="22"/>
          <w:lang w:val="es-ES_tradnl"/>
        </w:rPr>
        <w:t xml:space="preserve">, al ser esta la norma expedida más recientemente. </w:t>
      </w:r>
    </w:p>
    <w:p w14:paraId="34902B83"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En efecto, tratándose de disposiciones de igual jerarquía normativa</w:t>
      </w:r>
      <w:r w:rsidRPr="00E858D2">
        <w:rPr>
          <w:rStyle w:val="Refdenotaalpie"/>
          <w:rFonts w:ascii="Arial" w:eastAsia="Calibri" w:hAnsi="Arial" w:cs="Arial"/>
        </w:rPr>
        <w:footnoteReference w:id="7"/>
      </w:r>
      <w:r w:rsidRPr="00E858D2">
        <w:rPr>
          <w:rFonts w:ascii="Arial" w:eastAsia="Calibri" w:hAnsi="Arial" w:cs="Arial"/>
          <w:bCs/>
          <w:sz w:val="22"/>
          <w:lang w:val="es-ES_tradnl"/>
        </w:rPr>
        <w:t xml:space="preserve">–ambas son leyes ordinarias–, que coinciden en su ámbito de aplicación, debe </w:t>
      </w:r>
      <w:r>
        <w:rPr>
          <w:rFonts w:ascii="Arial" w:eastAsia="Calibri" w:hAnsi="Arial" w:cs="Arial"/>
          <w:bCs/>
          <w:sz w:val="22"/>
          <w:lang w:val="es-ES_tradnl"/>
        </w:rPr>
        <w:t>inferir</w:t>
      </w:r>
      <w:r w:rsidRPr="00E858D2">
        <w:rPr>
          <w:rFonts w:ascii="Arial" w:eastAsia="Calibri" w:hAnsi="Arial" w:cs="Arial"/>
          <w:bCs/>
          <w:sz w:val="22"/>
          <w:lang w:val="es-ES_tradnl"/>
        </w:rPr>
        <w:t xml:space="preserve">se que, en lo que respecta al régimen aplicable a los contratos con entidades exceptuadas ejecutoras de </w:t>
      </w:r>
      <w:r w:rsidRPr="00E858D2">
        <w:rPr>
          <w:rFonts w:ascii="Arial" w:eastAsia="Calibri" w:hAnsi="Arial" w:cs="Arial"/>
          <w:bCs/>
          <w:sz w:val="22"/>
          <w:lang w:val="es-ES_tradnl"/>
        </w:rPr>
        <w:lastRenderedPageBreak/>
        <w:t xml:space="preserve">contratos o convenios interadministrativos, que desarrollen su actividad en competencia con el sector privado, el artículo 56 de la Ley 2195 de 2022 supuso una modificación tácita del artículo 2, numeral 4, literal c), de la Ley 1150 de 2007. De acuerdo con lo expuesto, los efectos de esta modificación no solo se proyectan a la celebración propiamente dicha del contrato o convenio entre la entidad sometida y la exceptuada, sino que se extienden a todos los contratos y procedimientos de selección que adelanten estos últimos en desarrollo de la relación primigenia, en los que deberán aplicarse el EGCAP y los documentos tipo vigentes. </w:t>
      </w:r>
    </w:p>
    <w:p w14:paraId="19E205AD"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 xml:space="preserve">En tales términos, de lo analizado hasta aquí es posible concluir que un efecto importante de la norma bajo estudio es la ampliación del ámbito de aplicación de los documentos tipo, al hacerlos obligatorios para unos sujetos que, en principio, de acuerdo con la Ley 2022 de 2020, no estarían sometidos a esos documentos. Para complementar esta medida, la disposición además hace extensiva la aplicación del EGCAP a esto sujetos que, en virtud de su naturaleza jurídica, tienen, como regla general, un régimen de contratación diferente, tales como las entidades exceptuadas, los patrimonios autónomos y las personas naturales y jurídicas de derecho privado, a los que expresamente hace alusión el artículo 56. De esta forma, independientemente de que el inciso tercero del literal c) del artículo 2, numeral 4, de la Ley 1150 de 2007 parezca indicar que se debe aplicar el derecho privado, por ser este el régimen que por regla general aplica la entidad ejecutora, tratándose de objetos cobijados por documentos tipo, los mismos deberán ser contratados aplicando tales pliegos tipo y las disposiciones del EGCAP.  </w:t>
      </w:r>
    </w:p>
    <w:p w14:paraId="0F008376"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 xml:space="preserve">En este punto conviene precisar que, de conformidad con el artículo 56, el hecho de que una entidad exceptuada, un patrimonio autónomo, una persona natural o una persona jurídica, tenga suscrito un contrato o convenio con una entidad sometida al EGCAP, no significa que mute su régimen jurídico de manera permanente. Al respecto, de una lectura conjunta de los incisos primero y segundo se desprende que estos introducen el mandato de aplicación obligatoria del EGCAP por parte de los mencionados sujetos de régimen de derecho privado solo en lo referido a la subcontratación de bienes, obras y servicios relacionados con un contrato o convenio suscrito con una entidad sometida al EGCAP, siempre que exista documento tipo </w:t>
      </w:r>
      <w:r>
        <w:rPr>
          <w:rFonts w:ascii="Arial" w:eastAsia="Calibri" w:hAnsi="Arial" w:cs="Arial"/>
          <w:bCs/>
          <w:sz w:val="22"/>
          <w:lang w:val="es-ES_tradnl"/>
        </w:rPr>
        <w:t xml:space="preserve">aplicable al objeto contractual </w:t>
      </w:r>
      <w:r w:rsidRPr="00E858D2">
        <w:rPr>
          <w:rFonts w:ascii="Arial" w:eastAsia="Calibri" w:hAnsi="Arial" w:cs="Arial"/>
          <w:bCs/>
          <w:sz w:val="22"/>
          <w:lang w:val="es-ES_tradnl"/>
        </w:rPr>
        <w:t xml:space="preserve">que se planea contratar. Esto significa que los contratos no relacionados con los compromisos adquiridos con la entidad sometida al EGCAP no tendrían que aplicar el régimen contractual público ni los documentos tipo, salvo que quieran hacerlo como una buena práctica de contratación. </w:t>
      </w:r>
    </w:p>
    <w:p w14:paraId="21BFEF88" w14:textId="0F50A07C" w:rsidR="00DB2853" w:rsidRDefault="00DB2853" w:rsidP="00FF11A8">
      <w:pPr>
        <w:tabs>
          <w:tab w:val="left" w:pos="0"/>
        </w:tabs>
        <w:spacing w:after="120" w:line="276" w:lineRule="auto"/>
        <w:jc w:val="both"/>
        <w:rPr>
          <w:rFonts w:ascii="Arial" w:eastAsia="Calibri" w:hAnsi="Arial" w:cs="Arial"/>
          <w:bCs/>
          <w:color w:val="000000" w:themeColor="text1"/>
          <w:sz w:val="22"/>
          <w:lang w:val="es-ES_tradnl"/>
        </w:rPr>
      </w:pPr>
      <w:r w:rsidRPr="00E858D2">
        <w:rPr>
          <w:rFonts w:ascii="Arial" w:eastAsia="Calibri" w:hAnsi="Arial" w:cs="Arial"/>
          <w:bCs/>
          <w:sz w:val="22"/>
          <w:lang w:val="es-ES_tradnl"/>
        </w:rPr>
        <w:tab/>
        <w:t xml:space="preserve">De acuerdo con esto, respecto de la aplicación del EGCAP por parte de entidades exceptuadas y particulares, es necesario recalcar que, conforme se interpreta de la redacción de la norma, esta solo es obligatoria en los casos en los que el objeto contractual derivado que se pretende contratar esté cobijado y sometido a algún documento tipo. Esto significa que la aplicación del EGCAP solo será forzosa cuando existe un documento tipo que contempla bienes, obras y servicios dentro de las que se subsume la actividad a </w:t>
      </w:r>
      <w:r w:rsidRPr="00E858D2">
        <w:rPr>
          <w:rFonts w:ascii="Arial" w:eastAsia="Calibri" w:hAnsi="Arial" w:cs="Arial"/>
          <w:bCs/>
          <w:sz w:val="22"/>
          <w:lang w:val="es-ES_tradnl"/>
        </w:rPr>
        <w:lastRenderedPageBreak/>
        <w:t>contratar por parte de la entidad de régimen especial, patrimonio autónomo o particular. Por ejemplo, si en cumplimiento de un convenio con una entidad sometida al EGCAP, un</w:t>
      </w:r>
      <w:r>
        <w:rPr>
          <w:rFonts w:ascii="Arial" w:eastAsia="Calibri" w:hAnsi="Arial" w:cs="Arial"/>
          <w:bCs/>
          <w:sz w:val="22"/>
          <w:lang w:val="es-ES_tradnl"/>
        </w:rPr>
        <w:t>a</w:t>
      </w:r>
      <w:r w:rsidRPr="00E858D2">
        <w:rPr>
          <w:rFonts w:ascii="Arial" w:eastAsia="Calibri" w:hAnsi="Arial" w:cs="Arial"/>
          <w:bCs/>
          <w:sz w:val="22"/>
          <w:lang w:val="es-ES_tradnl"/>
        </w:rPr>
        <w:t xml:space="preserve"> </w:t>
      </w:r>
      <w:r>
        <w:rPr>
          <w:rFonts w:ascii="Arial" w:eastAsia="Calibri" w:hAnsi="Arial" w:cs="Arial"/>
          <w:bCs/>
          <w:sz w:val="22"/>
          <w:lang w:val="es-ES_tradnl"/>
        </w:rPr>
        <w:t>entidad exceptuada</w:t>
      </w:r>
      <w:r w:rsidRPr="00E858D2">
        <w:rPr>
          <w:rFonts w:ascii="Arial" w:eastAsia="Calibri" w:hAnsi="Arial" w:cs="Arial"/>
          <w:bCs/>
          <w:sz w:val="22"/>
          <w:lang w:val="es-ES_tradnl"/>
        </w:rPr>
        <w:t xml:space="preserve"> debe contratar el desarrollo de un software o la compra de unos buses, no estará obligado a seguirse por el EGCAP, al no ser estos objetos cobijados por los documentos tipo vigentes, mientras que si lo que requiere es el mantenimiento o la rehabilitación de una vía secundaría, por el contrario</w:t>
      </w:r>
      <w:r>
        <w:rPr>
          <w:rFonts w:ascii="Arial" w:eastAsia="Calibri" w:hAnsi="Arial" w:cs="Arial"/>
          <w:bCs/>
          <w:sz w:val="22"/>
          <w:lang w:val="es-ES_tradnl"/>
        </w:rPr>
        <w:t>,</w:t>
      </w:r>
      <w:r w:rsidRPr="00E858D2">
        <w:rPr>
          <w:rFonts w:ascii="Arial" w:eastAsia="Calibri" w:hAnsi="Arial" w:cs="Arial"/>
          <w:bCs/>
          <w:sz w:val="22"/>
          <w:lang w:val="es-ES_tradnl"/>
        </w:rPr>
        <w:t xml:space="preserve"> sí estará sometido al EGCAP, al estar tales actividades incluidas dentro de los documentos tipo de infraestructura de transporte. Esto por supuesto puede cambiar si la Agencia, en el futuro, adopta más documentos tipo que incluyan los objetos mencionados. </w:t>
      </w:r>
      <w:r w:rsidRPr="00437DB9">
        <w:rPr>
          <w:rFonts w:ascii="Arial" w:eastAsia="Calibri" w:hAnsi="Arial" w:cs="Arial"/>
          <w:bCs/>
          <w:color w:val="000000" w:themeColor="text1"/>
          <w:sz w:val="22"/>
          <w:lang w:val="es-ES_tradnl"/>
        </w:rPr>
        <w:t xml:space="preserve"> </w:t>
      </w:r>
    </w:p>
    <w:p w14:paraId="5CF46F22" w14:textId="17E32D5E" w:rsidR="00DA3591" w:rsidRPr="00864E72" w:rsidRDefault="00DA3591" w:rsidP="00DA3591">
      <w:pPr>
        <w:tabs>
          <w:tab w:val="left" w:pos="0"/>
        </w:tabs>
        <w:spacing w:before="120" w:line="276" w:lineRule="auto"/>
        <w:ind w:firstLine="709"/>
        <w:jc w:val="both"/>
        <w:rPr>
          <w:rFonts w:ascii="Arial" w:eastAsia="Calibri" w:hAnsi="Arial" w:cs="Arial"/>
          <w:bCs/>
          <w:color w:val="000000" w:themeColor="text1"/>
          <w:sz w:val="22"/>
          <w:lang w:val="es-ES_tradnl"/>
        </w:rPr>
      </w:pPr>
      <w:r w:rsidRPr="00864E72">
        <w:rPr>
          <w:rFonts w:ascii="Arial" w:eastAsia="Calibri" w:hAnsi="Arial" w:cs="Arial"/>
          <w:bCs/>
          <w:color w:val="000000" w:themeColor="text1"/>
          <w:sz w:val="22"/>
          <w:lang w:val="es-ES_tradnl"/>
        </w:rPr>
        <w:t>En relación con las empresas prestadoras de servicios públicos domiciliarios, conviene señalar, acorde con lo expresado por la Corte Constitucional en la Sentencia C-736 de 2007</w:t>
      </w:r>
      <w:r w:rsidRPr="00864E72">
        <w:rPr>
          <w:rStyle w:val="Refdenotaalpie"/>
          <w:rFonts w:ascii="Arial" w:eastAsia="Calibri" w:hAnsi="Arial" w:cs="Arial"/>
          <w:bCs/>
          <w:color w:val="000000" w:themeColor="text1"/>
          <w:sz w:val="22"/>
          <w:lang w:val="es-ES_tradnl"/>
        </w:rPr>
        <w:footnoteReference w:id="8"/>
      </w:r>
      <w:r w:rsidRPr="00864E72">
        <w:rPr>
          <w:rFonts w:ascii="Arial" w:eastAsia="Calibri" w:hAnsi="Arial" w:cs="Arial"/>
          <w:bCs/>
          <w:color w:val="000000" w:themeColor="text1"/>
          <w:sz w:val="22"/>
          <w:lang w:val="es-ES_tradnl"/>
        </w:rPr>
        <w:t xml:space="preserve">, que aquellas son entidades descentralizadas por servicios, independientemente de la naturaleza y porcentaje de su capital. En otras palabras, aunque el artículo 14 de la Ley 142 de 1994 establece que las empresas prestadoras de servicios públicos domiciliarios pueden ser </w:t>
      </w:r>
      <w:r w:rsidRPr="00864E72">
        <w:rPr>
          <w:rFonts w:ascii="Arial" w:eastAsia="Calibri" w:hAnsi="Arial" w:cs="Arial"/>
          <w:bCs/>
          <w:i/>
          <w:iCs/>
          <w:color w:val="000000" w:themeColor="text1"/>
          <w:sz w:val="22"/>
          <w:lang w:val="es-ES_tradnl"/>
        </w:rPr>
        <w:t>oficiales</w:t>
      </w:r>
      <w:r w:rsidRPr="00864E72">
        <w:rPr>
          <w:rFonts w:ascii="Arial" w:eastAsia="Calibri" w:hAnsi="Arial" w:cs="Arial"/>
          <w:bCs/>
          <w:color w:val="000000" w:themeColor="text1"/>
          <w:sz w:val="22"/>
          <w:lang w:val="es-ES_tradnl"/>
        </w:rPr>
        <w:t xml:space="preserve">, </w:t>
      </w:r>
      <w:r w:rsidRPr="00864E72">
        <w:rPr>
          <w:rFonts w:ascii="Arial" w:eastAsia="Calibri" w:hAnsi="Arial" w:cs="Arial"/>
          <w:bCs/>
          <w:i/>
          <w:iCs/>
          <w:color w:val="000000" w:themeColor="text1"/>
          <w:sz w:val="22"/>
          <w:lang w:val="es-ES_tradnl"/>
        </w:rPr>
        <w:t>mixtas</w:t>
      </w:r>
      <w:r w:rsidRPr="00864E72">
        <w:rPr>
          <w:rFonts w:ascii="Arial" w:eastAsia="Calibri" w:hAnsi="Arial" w:cs="Arial"/>
          <w:bCs/>
          <w:color w:val="000000" w:themeColor="text1"/>
          <w:sz w:val="22"/>
          <w:lang w:val="es-ES_tradnl"/>
        </w:rPr>
        <w:t xml:space="preserve"> o </w:t>
      </w:r>
      <w:r w:rsidRPr="00864E72">
        <w:rPr>
          <w:rFonts w:ascii="Arial" w:eastAsia="Calibri" w:hAnsi="Arial" w:cs="Arial"/>
          <w:bCs/>
          <w:i/>
          <w:iCs/>
          <w:color w:val="000000" w:themeColor="text1"/>
          <w:sz w:val="22"/>
          <w:lang w:val="es-ES_tradnl"/>
        </w:rPr>
        <w:t>privadas</w:t>
      </w:r>
      <w:r w:rsidRPr="00864E72">
        <w:rPr>
          <w:rStyle w:val="Refdenotaalpie"/>
          <w:rFonts w:ascii="Arial" w:eastAsia="Calibri" w:hAnsi="Arial" w:cs="Arial"/>
          <w:bCs/>
          <w:color w:val="000000" w:themeColor="text1"/>
          <w:sz w:val="22"/>
          <w:lang w:val="es-ES_tradnl"/>
        </w:rPr>
        <w:footnoteReference w:id="9"/>
      </w:r>
      <w:r w:rsidRPr="00864E72">
        <w:rPr>
          <w:rFonts w:ascii="Arial" w:eastAsia="Calibri" w:hAnsi="Arial" w:cs="Arial"/>
          <w:bCs/>
          <w:color w:val="000000" w:themeColor="text1"/>
          <w:sz w:val="22"/>
          <w:lang w:val="es-ES_tradnl"/>
        </w:rPr>
        <w:t xml:space="preserve">, estas tres especies ingresan en la categoría de las </w:t>
      </w:r>
      <w:r w:rsidRPr="00864E72">
        <w:rPr>
          <w:rFonts w:ascii="Arial" w:eastAsia="Calibri" w:hAnsi="Arial" w:cs="Arial"/>
          <w:bCs/>
          <w:i/>
          <w:iCs/>
          <w:color w:val="000000" w:themeColor="text1"/>
          <w:sz w:val="22"/>
          <w:lang w:val="es-ES_tradnl"/>
        </w:rPr>
        <w:t>entidades descentralizadas por servicios</w:t>
      </w:r>
      <w:r w:rsidRPr="00864E72">
        <w:rPr>
          <w:rFonts w:ascii="Arial" w:eastAsia="Calibri" w:hAnsi="Arial" w:cs="Arial"/>
          <w:bCs/>
          <w:color w:val="000000" w:themeColor="text1"/>
          <w:sz w:val="22"/>
          <w:lang w:val="es-ES_tradnl"/>
        </w:rPr>
        <w:t xml:space="preserve">. Adicionalmente, debe recordarse que en dicha Sentencia el alto tribunal afirmó que las empresas prestadoras de servicios públicos domiciliarios </w:t>
      </w:r>
      <w:r w:rsidRPr="00864E72">
        <w:rPr>
          <w:rFonts w:ascii="Arial" w:eastAsia="Calibri" w:hAnsi="Arial" w:cs="Arial"/>
          <w:bCs/>
          <w:i/>
          <w:iCs/>
          <w:color w:val="000000" w:themeColor="text1"/>
          <w:sz w:val="22"/>
          <w:lang w:val="es-ES_tradnl"/>
        </w:rPr>
        <w:t>mixtas y privadas</w:t>
      </w:r>
      <w:r w:rsidRPr="00864E72">
        <w:rPr>
          <w:rFonts w:ascii="Arial" w:eastAsia="Calibri" w:hAnsi="Arial" w:cs="Arial"/>
          <w:bCs/>
          <w:color w:val="000000" w:themeColor="text1"/>
          <w:sz w:val="22"/>
          <w:lang w:val="es-ES_tradnl"/>
        </w:rPr>
        <w:t xml:space="preserve"> son tipos </w:t>
      </w:r>
      <w:r w:rsidRPr="00864E72">
        <w:rPr>
          <w:rFonts w:ascii="Arial" w:eastAsia="Calibri" w:hAnsi="Arial" w:cs="Arial"/>
          <w:bCs/>
          <w:i/>
          <w:iCs/>
          <w:color w:val="000000" w:themeColor="text1"/>
          <w:sz w:val="22"/>
          <w:lang w:val="es-ES_tradnl"/>
        </w:rPr>
        <w:t>especiales</w:t>
      </w:r>
      <w:r w:rsidRPr="00864E72">
        <w:rPr>
          <w:rFonts w:ascii="Arial" w:eastAsia="Calibri" w:hAnsi="Arial" w:cs="Arial"/>
          <w:bCs/>
          <w:color w:val="000000" w:themeColor="text1"/>
          <w:sz w:val="22"/>
          <w:lang w:val="es-ES_tradnl"/>
        </w:rPr>
        <w:t xml:space="preserve"> de entidades descentralizadas por servicios que, por tanto, no pueden encasillarse en las otras especies de entidades descentralizadas por servicios enlistadas en el artículo 38 de la Ley 489 de 1998, es decir, que no cabe considerarlas, verbigracia, dentro de las sociedades públicas, ni en las sociedades de economía mixta. En efecto:</w:t>
      </w:r>
    </w:p>
    <w:p w14:paraId="285855AD" w14:textId="77777777" w:rsidR="00DA3591" w:rsidRPr="00864E72" w:rsidRDefault="00DA3591" w:rsidP="00DA3591">
      <w:pPr>
        <w:tabs>
          <w:tab w:val="left" w:pos="0"/>
        </w:tabs>
        <w:ind w:left="709" w:right="709"/>
        <w:jc w:val="both"/>
        <w:rPr>
          <w:rFonts w:ascii="Arial" w:eastAsia="Calibri" w:hAnsi="Arial" w:cs="Arial"/>
          <w:bCs/>
          <w:color w:val="000000" w:themeColor="text1"/>
          <w:sz w:val="21"/>
          <w:szCs w:val="21"/>
          <w:lang w:val="es-ES_tradnl"/>
        </w:rPr>
      </w:pPr>
    </w:p>
    <w:p w14:paraId="5FDB9E05" w14:textId="77777777" w:rsidR="00DA3591" w:rsidRPr="00864E72" w:rsidRDefault="00DA3591" w:rsidP="00DA3591">
      <w:pPr>
        <w:tabs>
          <w:tab w:val="left" w:pos="0"/>
        </w:tabs>
        <w:ind w:left="709" w:right="709"/>
        <w:jc w:val="both"/>
        <w:rPr>
          <w:rFonts w:ascii="Arial" w:eastAsia="Calibri" w:hAnsi="Arial" w:cs="Arial"/>
          <w:bCs/>
          <w:i/>
          <w:iCs/>
          <w:color w:val="000000" w:themeColor="text1"/>
          <w:sz w:val="21"/>
          <w:szCs w:val="21"/>
          <w:lang w:val="es-ES_tradnl"/>
        </w:rPr>
      </w:pPr>
      <w:r w:rsidRPr="00864E72">
        <w:rPr>
          <w:rFonts w:ascii="Arial" w:eastAsia="Calibri" w:hAnsi="Arial" w:cs="Arial"/>
          <w:bCs/>
          <w:color w:val="000000" w:themeColor="text1"/>
          <w:sz w:val="21"/>
          <w:szCs w:val="21"/>
          <w:lang w:val="es-ES_tradnl"/>
        </w:rPr>
        <w:t xml:space="preserve">[…] la Corte entiende que el constituyente quiso definir que las personas o entidades que asuman la prestación de los servicios públicos tendrán no sólo un régimen jurídico especial, </w:t>
      </w:r>
      <w:r w:rsidRPr="00864E72">
        <w:rPr>
          <w:rFonts w:ascii="Arial" w:eastAsia="Calibri" w:hAnsi="Arial" w:cs="Arial"/>
          <w:bCs/>
          <w:i/>
          <w:iCs/>
          <w:color w:val="000000" w:themeColor="text1"/>
          <w:sz w:val="21"/>
          <w:szCs w:val="21"/>
          <w:lang w:val="es-ES_tradnl"/>
        </w:rPr>
        <w:t>sino también una naturaleza jurídica especial</w:t>
      </w:r>
      <w:r w:rsidRPr="00864E72">
        <w:rPr>
          <w:rFonts w:ascii="Arial" w:eastAsia="Calibri" w:hAnsi="Arial" w:cs="Arial"/>
          <w:bCs/>
          <w:color w:val="000000" w:themeColor="text1"/>
          <w:sz w:val="21"/>
          <w:szCs w:val="21"/>
          <w:lang w:val="es-ES_tradnl"/>
        </w:rPr>
        <w:t xml:space="preserve">; esta particular naturaleza y reglamentación jurídica encuentra su fundamento en la necesidad de hacer realidad la finalidad social que es definida por la misma Carta como objetivo de la adecuada prestación de los servicios públicos. De lo anterior se desprende que cuando el Estado asume directamente o participa con los particulares en dicho cometido, las entidades que surgen para esos efectos </w:t>
      </w:r>
      <w:r w:rsidRPr="00864E72">
        <w:rPr>
          <w:rFonts w:ascii="Arial" w:eastAsia="Calibri" w:hAnsi="Arial" w:cs="Arial"/>
          <w:bCs/>
          <w:color w:val="000000" w:themeColor="text1"/>
          <w:sz w:val="21"/>
          <w:szCs w:val="21"/>
          <w:lang w:val="es-ES_tradnl"/>
        </w:rPr>
        <w:lastRenderedPageBreak/>
        <w:t xml:space="preserve">también se revisten de ese carácter especial y quedan sujetas a la reglamentación jurídica particularmente diseñada para la prestación adecuada de los servicios públicos. Otro tanto sucede cuando los particulares asumen la prestación de servicios públicos. </w:t>
      </w:r>
      <w:r w:rsidRPr="00864E72">
        <w:rPr>
          <w:rFonts w:ascii="Arial" w:eastAsia="Calibri" w:hAnsi="Arial" w:cs="Arial"/>
          <w:bCs/>
          <w:i/>
          <w:iCs/>
          <w:color w:val="000000" w:themeColor="text1"/>
          <w:sz w:val="21"/>
          <w:szCs w:val="21"/>
          <w:lang w:val="es-ES_tradnl"/>
        </w:rPr>
        <w:t>Así las cosas, las sociedades públicas, privadas o mixtas cuyo objeto social sea la prestación de los servicios en comento, antes que sociedades de economía mixta, sociedades entre entidades públicas o sociedades de carácter privado, vienen a ser entidades de naturaleza especial, para responder así a este interés constitucional de someter esta actividad de interés social a un régimen jurídico también especial</w:t>
      </w:r>
    </w:p>
    <w:p w14:paraId="074A0D4C" w14:textId="77777777" w:rsidR="00DA3591" w:rsidRPr="00864E72" w:rsidRDefault="00DA3591" w:rsidP="00DA3591">
      <w:pPr>
        <w:tabs>
          <w:tab w:val="left" w:pos="0"/>
        </w:tabs>
        <w:ind w:left="709" w:right="709"/>
        <w:jc w:val="both"/>
        <w:rPr>
          <w:rFonts w:ascii="Arial" w:eastAsia="Calibri" w:hAnsi="Arial" w:cs="Arial"/>
          <w:bCs/>
          <w:color w:val="000000" w:themeColor="text1"/>
          <w:sz w:val="21"/>
          <w:szCs w:val="21"/>
          <w:lang w:val="es-ES_tradnl"/>
        </w:rPr>
      </w:pPr>
    </w:p>
    <w:p w14:paraId="3EECCA2B" w14:textId="77777777" w:rsidR="00DA3591" w:rsidRPr="00864E72" w:rsidRDefault="00DA3591" w:rsidP="00DA3591">
      <w:pPr>
        <w:tabs>
          <w:tab w:val="left" w:pos="0"/>
        </w:tabs>
        <w:ind w:left="709" w:right="709"/>
        <w:jc w:val="both"/>
        <w:rPr>
          <w:rFonts w:ascii="Arial" w:eastAsia="Calibri" w:hAnsi="Arial" w:cs="Arial"/>
          <w:bCs/>
          <w:color w:val="000000" w:themeColor="text1"/>
          <w:sz w:val="21"/>
          <w:szCs w:val="21"/>
          <w:lang w:val="es-ES_tradnl"/>
        </w:rPr>
      </w:pPr>
      <w:r w:rsidRPr="00864E72">
        <w:rPr>
          <w:rFonts w:ascii="Arial" w:eastAsia="Calibri" w:hAnsi="Arial" w:cs="Arial"/>
          <w:bCs/>
          <w:color w:val="000000" w:themeColor="text1"/>
          <w:sz w:val="21"/>
          <w:szCs w:val="21"/>
          <w:lang w:val="es-ES_tradnl"/>
        </w:rPr>
        <w:t>[…]</w:t>
      </w:r>
    </w:p>
    <w:p w14:paraId="1D1497E2" w14:textId="77777777" w:rsidR="00DA3591" w:rsidRPr="00864E72" w:rsidRDefault="00DA3591" w:rsidP="00DA3591">
      <w:pPr>
        <w:tabs>
          <w:tab w:val="left" w:pos="0"/>
        </w:tabs>
        <w:ind w:left="709" w:right="709"/>
        <w:jc w:val="both"/>
        <w:rPr>
          <w:rFonts w:ascii="Arial" w:eastAsia="Calibri" w:hAnsi="Arial" w:cs="Arial"/>
          <w:bCs/>
          <w:color w:val="000000" w:themeColor="text1"/>
          <w:sz w:val="21"/>
          <w:szCs w:val="21"/>
          <w:lang w:val="es-ES_tradnl"/>
        </w:rPr>
      </w:pPr>
      <w:r w:rsidRPr="00864E72">
        <w:rPr>
          <w:rFonts w:ascii="Arial" w:eastAsia="Calibri" w:hAnsi="Arial" w:cs="Arial"/>
          <w:bCs/>
          <w:color w:val="000000" w:themeColor="text1"/>
          <w:sz w:val="21"/>
          <w:szCs w:val="21"/>
          <w:lang w:val="es-ES_tradnl"/>
        </w:rPr>
        <w:t>[…] después de haber estudiado los conceptos de sociedad de economía mixta y de empresa de servicios públicos, la Corte estima que la naturaleza y el régimen jurídico especial de la prestación de los servicios públicos dispuesto por el constituyente en el artículo 365 de la Carta impiden considerar que las empresas de servicios públicos constituidas bajo la forma de sociedades por acciones, en las cuales concurran en cualquier proporción el capital público y el privado, sean “sociedades de economía mixta”. A juicio de la Corporación, y por lo dicho anteriormente, se trata de entidades de tipología especial expresamente definida por el legislador en desarrollo de las normas superiores antes mencionadas, que señalan las particularidades de esta actividad</w:t>
      </w:r>
      <w:r w:rsidRPr="00864E72">
        <w:rPr>
          <w:rStyle w:val="Refdenotaalpie"/>
          <w:rFonts w:ascii="Arial" w:eastAsia="Calibri" w:hAnsi="Arial" w:cs="Arial"/>
          <w:bCs/>
          <w:color w:val="000000" w:themeColor="text1"/>
          <w:sz w:val="21"/>
          <w:szCs w:val="21"/>
          <w:lang w:val="es-ES_tradnl"/>
        </w:rPr>
        <w:footnoteReference w:id="10"/>
      </w:r>
      <w:r w:rsidRPr="00864E72">
        <w:rPr>
          <w:rFonts w:ascii="Arial" w:eastAsia="Calibri" w:hAnsi="Arial" w:cs="Arial"/>
          <w:bCs/>
          <w:color w:val="000000" w:themeColor="text1"/>
          <w:sz w:val="21"/>
          <w:szCs w:val="21"/>
          <w:lang w:val="es-ES_tradnl"/>
        </w:rPr>
        <w:t xml:space="preserve"> (énfasis fuera de texto).</w:t>
      </w:r>
    </w:p>
    <w:p w14:paraId="3A137EC9" w14:textId="77777777" w:rsidR="00DA3591" w:rsidRPr="00864E72" w:rsidRDefault="00DA3591" w:rsidP="00DA3591">
      <w:pPr>
        <w:tabs>
          <w:tab w:val="left" w:pos="0"/>
        </w:tabs>
        <w:spacing w:line="276" w:lineRule="auto"/>
        <w:ind w:firstLine="709"/>
        <w:jc w:val="both"/>
        <w:rPr>
          <w:rFonts w:ascii="Arial" w:eastAsia="Calibri" w:hAnsi="Arial" w:cs="Arial"/>
          <w:bCs/>
          <w:color w:val="000000" w:themeColor="text1"/>
          <w:sz w:val="22"/>
          <w:lang w:val="es-ES_tradnl"/>
        </w:rPr>
      </w:pPr>
    </w:p>
    <w:p w14:paraId="18F3BC04" w14:textId="39F81D52" w:rsidR="00DA3591" w:rsidRPr="00864E72" w:rsidRDefault="00AE5211" w:rsidP="00DA3591">
      <w:pPr>
        <w:spacing w:line="276" w:lineRule="auto"/>
        <w:ind w:firstLine="709"/>
        <w:jc w:val="both"/>
        <w:rPr>
          <w:rFonts w:ascii="Arial" w:eastAsia="Calibri" w:hAnsi="Arial" w:cs="Arial"/>
          <w:bCs/>
          <w:color w:val="000000" w:themeColor="text1"/>
          <w:sz w:val="22"/>
          <w:lang w:val="es-ES_tradnl"/>
        </w:rPr>
      </w:pPr>
      <w:r>
        <w:rPr>
          <w:rFonts w:ascii="Arial" w:eastAsia="Calibri" w:hAnsi="Arial" w:cs="Arial"/>
          <w:bCs/>
          <w:color w:val="000000" w:themeColor="text1"/>
          <w:sz w:val="22"/>
          <w:lang w:val="es-ES_tradnl"/>
        </w:rPr>
        <w:t>Con todo,</w:t>
      </w:r>
      <w:r w:rsidR="00DA3591" w:rsidRPr="00864E72">
        <w:rPr>
          <w:rFonts w:ascii="Arial" w:eastAsia="Calibri" w:hAnsi="Arial" w:cs="Arial"/>
          <w:bCs/>
          <w:color w:val="000000" w:themeColor="text1"/>
          <w:sz w:val="22"/>
          <w:lang w:val="es-ES_tradnl"/>
        </w:rPr>
        <w:t xml:space="preserve"> el artículo 17 de la Ley 142 de 1994 establece que</w:t>
      </w:r>
      <w:r>
        <w:rPr>
          <w:rFonts w:ascii="Arial" w:eastAsia="Calibri" w:hAnsi="Arial" w:cs="Arial"/>
          <w:bCs/>
          <w:color w:val="000000" w:themeColor="text1"/>
          <w:sz w:val="22"/>
          <w:lang w:val="es-ES_tradnl"/>
        </w:rPr>
        <w:t xml:space="preserve"> «</w:t>
      </w:r>
      <w:r w:rsidRPr="00AE5211">
        <w:rPr>
          <w:rFonts w:ascii="Arial" w:eastAsia="Calibri" w:hAnsi="Arial" w:cs="Arial"/>
          <w:bCs/>
          <w:color w:val="000000" w:themeColor="text1"/>
          <w:sz w:val="22"/>
          <w:lang w:val="es-ES_tradnl"/>
        </w:rPr>
        <w:t xml:space="preserve">Las empresas de servicios públicos son sociedades por acciones cuyo objeto es la prestación de los servicios públicos </w:t>
      </w:r>
      <w:r w:rsidR="00AD247E">
        <w:rPr>
          <w:rFonts w:ascii="Arial" w:eastAsia="Calibri" w:hAnsi="Arial" w:cs="Arial"/>
          <w:bCs/>
          <w:color w:val="000000" w:themeColor="text1"/>
          <w:sz w:val="22"/>
          <w:lang w:val="es-ES_tradnl"/>
        </w:rPr>
        <w:t xml:space="preserve">[...]», sin perjuicio de lo cual, establece </w:t>
      </w:r>
      <w:proofErr w:type="gramStart"/>
      <w:r w:rsidR="00AD247E">
        <w:rPr>
          <w:rFonts w:ascii="Arial" w:eastAsia="Calibri" w:hAnsi="Arial" w:cs="Arial"/>
          <w:bCs/>
          <w:color w:val="000000" w:themeColor="text1"/>
          <w:sz w:val="22"/>
          <w:lang w:val="es-ES_tradnl"/>
        </w:rPr>
        <w:t xml:space="preserve">que </w:t>
      </w:r>
      <w:r w:rsidR="00DA3591" w:rsidRPr="00864E72">
        <w:rPr>
          <w:rFonts w:ascii="Arial" w:eastAsia="Calibri" w:hAnsi="Arial" w:cs="Arial"/>
          <w:bCs/>
          <w:color w:val="000000" w:themeColor="text1"/>
          <w:sz w:val="22"/>
          <w:lang w:val="es-ES_tradnl"/>
        </w:rPr>
        <w:t xml:space="preserve"> «</w:t>
      </w:r>
      <w:proofErr w:type="gramEnd"/>
      <w:r w:rsidR="00DA3591" w:rsidRPr="00864E72">
        <w:rPr>
          <w:rFonts w:ascii="Arial" w:eastAsia="Calibri" w:hAnsi="Arial" w:cs="Arial"/>
          <w:bCs/>
          <w:color w:val="000000" w:themeColor="text1"/>
          <w:sz w:val="22"/>
          <w:lang w:val="es-ES_tradnl"/>
        </w:rPr>
        <w:t xml:space="preserve">Las entidades descentralizadas de cualquier orden territorial o nacional, cuyos propietarios no deseen que su capital esté representado en acciones, </w:t>
      </w:r>
      <w:r w:rsidR="00DA3591" w:rsidRPr="00864E72">
        <w:rPr>
          <w:rFonts w:ascii="Arial" w:eastAsia="Calibri" w:hAnsi="Arial" w:cs="Arial"/>
          <w:bCs/>
          <w:i/>
          <w:iCs/>
          <w:color w:val="000000" w:themeColor="text1"/>
          <w:sz w:val="22"/>
          <w:lang w:val="es-ES_tradnl"/>
        </w:rPr>
        <w:t>deberán adoptar la forma de empresa industrial y comercial del estado</w:t>
      </w:r>
      <w:r w:rsidR="00DA3591" w:rsidRPr="00864E72">
        <w:rPr>
          <w:rFonts w:ascii="Arial" w:eastAsia="Calibri" w:hAnsi="Arial" w:cs="Arial"/>
          <w:bCs/>
          <w:color w:val="000000" w:themeColor="text1"/>
          <w:sz w:val="22"/>
          <w:lang w:val="es-ES_tradnl"/>
        </w:rPr>
        <w:t xml:space="preserve">» (cursiva fuera de texto). Es decir que en tal evento esa es la </w:t>
      </w:r>
      <w:r w:rsidR="00DA3591" w:rsidRPr="00864E72">
        <w:rPr>
          <w:rFonts w:ascii="Arial" w:eastAsia="Calibri" w:hAnsi="Arial" w:cs="Arial"/>
          <w:bCs/>
          <w:i/>
          <w:iCs/>
          <w:color w:val="000000" w:themeColor="text1"/>
          <w:sz w:val="22"/>
          <w:lang w:val="es-ES_tradnl"/>
        </w:rPr>
        <w:t>naturaleza</w:t>
      </w:r>
      <w:r w:rsidR="00DA3591" w:rsidRPr="00864E72">
        <w:rPr>
          <w:rFonts w:ascii="Arial" w:eastAsia="Calibri" w:hAnsi="Arial" w:cs="Arial"/>
          <w:bCs/>
          <w:color w:val="000000" w:themeColor="text1"/>
          <w:sz w:val="22"/>
          <w:lang w:val="es-ES_tradnl"/>
        </w:rPr>
        <w:t xml:space="preserve"> de la empresa de servicios públicos domiciliarios. Así lo reconoció la Corte Constitucional en un apartado del fallo que se viene comentando, al decir que «[…], el artículo 17 de la Ley en cita define así </w:t>
      </w:r>
      <w:r w:rsidR="00DA3591" w:rsidRPr="00864E72">
        <w:rPr>
          <w:rFonts w:ascii="Arial" w:eastAsia="Calibri" w:hAnsi="Arial" w:cs="Arial"/>
          <w:bCs/>
          <w:i/>
          <w:iCs/>
          <w:color w:val="000000" w:themeColor="text1"/>
          <w:sz w:val="22"/>
          <w:lang w:val="es-ES_tradnl"/>
        </w:rPr>
        <w:t>la naturaleza jurídica</w:t>
      </w:r>
      <w:r w:rsidR="00DA3591" w:rsidRPr="00864E72">
        <w:rPr>
          <w:rFonts w:ascii="Arial" w:eastAsia="Calibri" w:hAnsi="Arial" w:cs="Arial"/>
          <w:bCs/>
          <w:color w:val="000000" w:themeColor="text1"/>
          <w:sz w:val="22"/>
          <w:lang w:val="es-ES_tradnl"/>
        </w:rPr>
        <w:t xml:space="preserve"> de las empresas de servicios públicos» (énfasis fuera de texto). El Consejo de Estado también ha considerado, interpretando el mismo artículo, que las empresas de servicios públicos domiciliarios pueden tener la </w:t>
      </w:r>
      <w:r w:rsidR="00DA3591" w:rsidRPr="00864E72">
        <w:rPr>
          <w:rFonts w:ascii="Arial" w:eastAsia="Calibri" w:hAnsi="Arial" w:cs="Arial"/>
          <w:bCs/>
          <w:i/>
          <w:iCs/>
          <w:color w:val="000000" w:themeColor="text1"/>
          <w:sz w:val="22"/>
          <w:lang w:val="es-ES_tradnl"/>
        </w:rPr>
        <w:t>forma</w:t>
      </w:r>
      <w:r w:rsidR="00DA3591" w:rsidRPr="00864E72">
        <w:rPr>
          <w:rFonts w:ascii="Arial" w:eastAsia="Calibri" w:hAnsi="Arial" w:cs="Arial"/>
          <w:bCs/>
          <w:color w:val="000000" w:themeColor="text1"/>
          <w:sz w:val="22"/>
          <w:lang w:val="es-ES_tradnl"/>
        </w:rPr>
        <w:t xml:space="preserve"> de empresas industriales y comerciales del Estado o de sociedades por acciones. Lo dijo, por ejemplo, para otorgarles a las empresas industriales y comerciales del Estado que prestaran servicios públicos domiciliarios el carácter de entidades públicas e indicar que, por tanto, eran sujetos pasivos de la contribución especial prevista en el artículo 6 de la Ley 1106 de 2006. En tal sentido, dicha corporación judicial indicó: </w:t>
      </w:r>
    </w:p>
    <w:p w14:paraId="59809482" w14:textId="77777777" w:rsidR="00DA3591" w:rsidRPr="00864E72" w:rsidRDefault="00DA3591" w:rsidP="00DA3591">
      <w:pPr>
        <w:spacing w:line="276" w:lineRule="auto"/>
        <w:ind w:firstLine="709"/>
        <w:jc w:val="both"/>
        <w:rPr>
          <w:rFonts w:ascii="Arial" w:eastAsia="Calibri" w:hAnsi="Arial" w:cs="Arial"/>
          <w:bCs/>
          <w:color w:val="000000" w:themeColor="text1"/>
          <w:sz w:val="22"/>
          <w:lang w:val="es-ES_tradnl"/>
        </w:rPr>
      </w:pPr>
    </w:p>
    <w:p w14:paraId="34CE1BC4" w14:textId="77777777" w:rsidR="00DA3591" w:rsidRPr="00864E72" w:rsidRDefault="00DA3591" w:rsidP="00DA3591">
      <w:pPr>
        <w:tabs>
          <w:tab w:val="left" w:pos="0"/>
        </w:tabs>
        <w:ind w:left="709" w:right="709"/>
        <w:jc w:val="both"/>
        <w:rPr>
          <w:rFonts w:ascii="Arial" w:eastAsia="Calibri" w:hAnsi="Arial" w:cs="Arial"/>
          <w:bCs/>
          <w:color w:val="000000" w:themeColor="text1"/>
          <w:sz w:val="21"/>
          <w:szCs w:val="21"/>
          <w:lang w:val="es-ES_tradnl"/>
        </w:rPr>
      </w:pPr>
      <w:r w:rsidRPr="00864E72">
        <w:rPr>
          <w:rFonts w:ascii="Arial" w:eastAsia="Calibri" w:hAnsi="Arial" w:cs="Arial"/>
          <w:bCs/>
          <w:color w:val="000000" w:themeColor="text1"/>
          <w:sz w:val="21"/>
          <w:szCs w:val="21"/>
          <w:lang w:val="es-ES_tradnl"/>
        </w:rPr>
        <w:t xml:space="preserve">La Sala precisa que el acto acusado resolvió la consulta referida a una empresa de servicios públicos domiciliarios de naturaleza pública, toda vez que como se </w:t>
      </w:r>
      <w:r w:rsidRPr="00864E72">
        <w:rPr>
          <w:rFonts w:ascii="Arial" w:eastAsia="Calibri" w:hAnsi="Arial" w:cs="Arial"/>
          <w:bCs/>
          <w:color w:val="000000" w:themeColor="text1"/>
          <w:sz w:val="21"/>
          <w:szCs w:val="21"/>
          <w:lang w:val="es-ES_tradnl"/>
        </w:rPr>
        <w:lastRenderedPageBreak/>
        <w:t>puso de presente se constituyó como empresa Industrial y Comercial del Estado, organismo que al tenor del artículo 38 de la Ley 489 de 1998, hace parte del sector descentralizado por servicios de la rama ejecutiva del poder público.</w:t>
      </w:r>
    </w:p>
    <w:p w14:paraId="620BEE31" w14:textId="77777777" w:rsidR="00DA3591" w:rsidRPr="00864E72" w:rsidRDefault="00DA3591" w:rsidP="00DA3591">
      <w:pPr>
        <w:tabs>
          <w:tab w:val="left" w:pos="0"/>
        </w:tabs>
        <w:ind w:left="709" w:right="709"/>
        <w:jc w:val="both"/>
        <w:rPr>
          <w:rFonts w:ascii="Arial" w:eastAsia="Calibri" w:hAnsi="Arial" w:cs="Arial"/>
          <w:bCs/>
          <w:color w:val="000000" w:themeColor="text1"/>
          <w:sz w:val="21"/>
          <w:szCs w:val="21"/>
          <w:lang w:val="es-ES_tradnl"/>
        </w:rPr>
      </w:pPr>
    </w:p>
    <w:p w14:paraId="7EBDAC48" w14:textId="77777777" w:rsidR="00DA3591" w:rsidRPr="00864E72" w:rsidRDefault="00DA3591" w:rsidP="00DA3591">
      <w:pPr>
        <w:tabs>
          <w:tab w:val="left" w:pos="0"/>
        </w:tabs>
        <w:ind w:left="709" w:right="709"/>
        <w:jc w:val="both"/>
        <w:rPr>
          <w:rFonts w:ascii="Arial" w:eastAsia="Calibri" w:hAnsi="Arial" w:cs="Arial"/>
          <w:bCs/>
          <w:color w:val="000000" w:themeColor="text1"/>
          <w:sz w:val="21"/>
          <w:szCs w:val="21"/>
          <w:lang w:val="es-ES_tradnl"/>
        </w:rPr>
      </w:pPr>
      <w:r w:rsidRPr="00864E72">
        <w:rPr>
          <w:rFonts w:ascii="Arial" w:eastAsia="Calibri" w:hAnsi="Arial" w:cs="Arial"/>
          <w:bCs/>
          <w:color w:val="000000" w:themeColor="text1"/>
          <w:sz w:val="21"/>
          <w:szCs w:val="21"/>
          <w:lang w:val="es-ES_tradnl"/>
        </w:rPr>
        <w:t xml:space="preserve">Ahora, el artículo 19 ibídem enuncia como régimen jurídico de las empresas en mención, las reglas, entre otras, sobre la denominación, duración, aportes, mecanismos de constitución, registro, emisión, colocación de acciones, causales de disolución. </w:t>
      </w:r>
    </w:p>
    <w:p w14:paraId="4D87483B" w14:textId="77777777" w:rsidR="00DA3591" w:rsidRPr="00864E72" w:rsidRDefault="00DA3591" w:rsidP="00DA3591">
      <w:pPr>
        <w:tabs>
          <w:tab w:val="left" w:pos="0"/>
        </w:tabs>
        <w:ind w:left="709" w:right="709"/>
        <w:jc w:val="both"/>
        <w:rPr>
          <w:rFonts w:ascii="Arial" w:eastAsia="Calibri" w:hAnsi="Arial" w:cs="Arial"/>
          <w:bCs/>
          <w:color w:val="000000" w:themeColor="text1"/>
          <w:sz w:val="21"/>
          <w:szCs w:val="21"/>
          <w:lang w:val="es-ES_tradnl"/>
        </w:rPr>
      </w:pPr>
      <w:r w:rsidRPr="00864E72">
        <w:rPr>
          <w:rFonts w:ascii="Arial" w:eastAsia="Calibri" w:hAnsi="Arial" w:cs="Arial"/>
          <w:bCs/>
          <w:color w:val="000000" w:themeColor="text1"/>
          <w:sz w:val="21"/>
          <w:szCs w:val="21"/>
          <w:lang w:val="es-ES_tradnl"/>
        </w:rPr>
        <w:t>[…]</w:t>
      </w:r>
    </w:p>
    <w:p w14:paraId="59EAE5DC" w14:textId="77777777" w:rsidR="00DA3591" w:rsidRPr="00864E72" w:rsidRDefault="00DA3591" w:rsidP="00DA3591">
      <w:pPr>
        <w:tabs>
          <w:tab w:val="left" w:pos="0"/>
        </w:tabs>
        <w:ind w:left="709" w:right="709"/>
        <w:jc w:val="both"/>
        <w:rPr>
          <w:rFonts w:ascii="Arial" w:eastAsia="Calibri" w:hAnsi="Arial" w:cs="Arial"/>
          <w:bCs/>
          <w:color w:val="000000" w:themeColor="text1"/>
          <w:sz w:val="21"/>
          <w:szCs w:val="21"/>
          <w:lang w:val="es-ES_tradnl"/>
        </w:rPr>
      </w:pPr>
      <w:r w:rsidRPr="00864E72">
        <w:rPr>
          <w:rFonts w:ascii="Arial" w:eastAsia="Calibri" w:hAnsi="Arial" w:cs="Arial"/>
          <w:bCs/>
          <w:color w:val="000000" w:themeColor="text1"/>
          <w:sz w:val="21"/>
          <w:szCs w:val="21"/>
          <w:lang w:val="es-ES_tradnl"/>
        </w:rPr>
        <w:t>La Corte Constitucional en la sentencia C-318 de 1998 aludió al elemento subjetivo para determinar el contrato de obra pública a que se refiere la contribución en cuestión. Así pues, adquiere relevancia en este punto la naturaleza de cada entidad, por lo cual si se considera que determinado ente es estatal (empresa industrial y comercial del Estado), y celebra un contrato de obra está en el supuesto de la descripción del hecho gravado que contempla el artículo 6º de la Ley 1106 de 2006</w:t>
      </w:r>
      <w:r w:rsidRPr="00864E72">
        <w:rPr>
          <w:rStyle w:val="Refdenotaalpie"/>
          <w:rFonts w:ascii="Arial" w:eastAsia="Calibri" w:hAnsi="Arial" w:cs="Arial"/>
          <w:bCs/>
          <w:color w:val="000000" w:themeColor="text1"/>
          <w:sz w:val="21"/>
          <w:szCs w:val="21"/>
          <w:lang w:val="es-ES_tradnl"/>
        </w:rPr>
        <w:footnoteReference w:id="11"/>
      </w:r>
      <w:r w:rsidRPr="00864E72">
        <w:rPr>
          <w:rFonts w:ascii="Arial" w:eastAsia="Calibri" w:hAnsi="Arial" w:cs="Arial"/>
          <w:bCs/>
          <w:color w:val="000000" w:themeColor="text1"/>
          <w:sz w:val="21"/>
          <w:szCs w:val="21"/>
          <w:lang w:val="es-ES_tradnl"/>
        </w:rPr>
        <w:t>.</w:t>
      </w:r>
    </w:p>
    <w:p w14:paraId="23810E60" w14:textId="77777777" w:rsidR="00DA3591" w:rsidRPr="00864E72" w:rsidRDefault="00DA3591" w:rsidP="00DA3591">
      <w:pPr>
        <w:tabs>
          <w:tab w:val="left" w:pos="0"/>
        </w:tabs>
        <w:ind w:right="709"/>
        <w:jc w:val="both"/>
        <w:rPr>
          <w:rFonts w:ascii="Arial" w:eastAsia="Calibri" w:hAnsi="Arial" w:cs="Arial"/>
          <w:bCs/>
          <w:color w:val="000000" w:themeColor="text1"/>
          <w:sz w:val="21"/>
          <w:szCs w:val="21"/>
          <w:lang w:val="es-ES_tradnl"/>
        </w:rPr>
      </w:pPr>
    </w:p>
    <w:p w14:paraId="29115078" w14:textId="1BFDCCB2" w:rsidR="00DA3591" w:rsidRPr="00864E72" w:rsidRDefault="00DA3591" w:rsidP="00DA3591">
      <w:pPr>
        <w:spacing w:line="276" w:lineRule="auto"/>
        <w:ind w:firstLine="709"/>
        <w:jc w:val="both"/>
        <w:rPr>
          <w:rFonts w:ascii="Arial" w:eastAsia="Calibri" w:hAnsi="Arial" w:cs="Arial"/>
          <w:bCs/>
          <w:color w:val="000000" w:themeColor="text1"/>
          <w:sz w:val="22"/>
          <w:szCs w:val="22"/>
          <w:lang w:val="es-ES_tradnl"/>
        </w:rPr>
      </w:pPr>
      <w:r w:rsidRPr="00864E72">
        <w:rPr>
          <w:rFonts w:ascii="Arial" w:eastAsia="Calibri" w:hAnsi="Arial" w:cs="Arial"/>
          <w:bCs/>
          <w:color w:val="000000" w:themeColor="text1"/>
          <w:sz w:val="22"/>
          <w:szCs w:val="22"/>
          <w:lang w:val="es-ES_tradnl"/>
        </w:rPr>
        <w:t xml:space="preserve">En otras palabras, con fundamento en la jurisprudencia se concluyó </w:t>
      </w:r>
      <w:r w:rsidR="00120B91" w:rsidRPr="00864E72">
        <w:rPr>
          <w:rFonts w:ascii="Arial" w:eastAsia="Calibri" w:hAnsi="Arial" w:cs="Arial"/>
          <w:bCs/>
          <w:color w:val="000000" w:themeColor="text1"/>
          <w:sz w:val="22"/>
          <w:szCs w:val="22"/>
          <w:lang w:val="es-ES_tradnl"/>
        </w:rPr>
        <w:t>que,</w:t>
      </w:r>
      <w:r w:rsidRPr="00864E72">
        <w:rPr>
          <w:rFonts w:ascii="Arial" w:eastAsia="Calibri" w:hAnsi="Arial" w:cs="Arial"/>
          <w:bCs/>
          <w:color w:val="000000" w:themeColor="text1"/>
          <w:sz w:val="22"/>
          <w:szCs w:val="22"/>
          <w:lang w:val="es-ES_tradnl"/>
        </w:rPr>
        <w:t xml:space="preserve"> a las empresas prestadoras de servicios públicos domiciliarios, que, según el artículo 17 de la Ley 142 de 1994, se conformaran como empresas industriales y comerciales del Estado se les tenía en cuenta esta naturaleza jurídica –la de empresas industriales y comerciales del Estado–, para hacerlas destinatarias de la contribución especial. También en un reciente concepto la Superintendencia de Servicios Públicos Domiciliarios recordó que el legislador permitió que las empresas de servicios públicos domiciliarios adoptaran la forma de empresas industriales y comerciales del Estado, pero que el plazo para que esto se diera ya venció. En palabras de este organismo, «Los plazos legales para efectuar la transformación a que alude el parágrafo del artículo 17 de la Ley 142 de 1994, de las entidades descentralizadas en Empresas Industriales y Comerciales del Estado, venció el 3 de enero de 1998, por lo que, a partir de tal fecha, aquéllas que no lo hicieron, debieron constituirse como sociedades por acciones; mientras que el término de transformación para la Nación y a las entidades territoriales (departamentos, municipios, distritos), que prestaban directamente los servicios públicos domiciliarios, de acuerdo con el artículo 182 referido, venció el 11 de enero de 1996»</w:t>
      </w:r>
      <w:r w:rsidRPr="00864E72">
        <w:rPr>
          <w:rStyle w:val="Refdenotaalpie"/>
          <w:rFonts w:ascii="Arial" w:eastAsia="Calibri" w:hAnsi="Arial" w:cs="Arial"/>
          <w:bCs/>
          <w:color w:val="000000" w:themeColor="text1"/>
          <w:sz w:val="22"/>
          <w:szCs w:val="22"/>
          <w:lang w:val="es-ES_tradnl"/>
        </w:rPr>
        <w:footnoteReference w:id="12"/>
      </w:r>
      <w:r w:rsidRPr="00864E72">
        <w:rPr>
          <w:rFonts w:ascii="Arial" w:eastAsia="Calibri" w:hAnsi="Arial" w:cs="Arial"/>
          <w:bCs/>
          <w:color w:val="000000" w:themeColor="text1"/>
          <w:sz w:val="22"/>
          <w:szCs w:val="22"/>
          <w:lang w:val="es-ES_tradnl"/>
        </w:rPr>
        <w:t>.</w:t>
      </w:r>
    </w:p>
    <w:p w14:paraId="1848CC09" w14:textId="77777777" w:rsidR="00DA3591" w:rsidRPr="00864E72" w:rsidRDefault="00DA3591" w:rsidP="00DA3591">
      <w:pPr>
        <w:spacing w:before="120" w:line="276" w:lineRule="auto"/>
        <w:ind w:firstLine="709"/>
        <w:jc w:val="both"/>
        <w:rPr>
          <w:rFonts w:ascii="Arial" w:eastAsia="Calibri" w:hAnsi="Arial" w:cs="Arial"/>
          <w:bCs/>
          <w:color w:val="000000" w:themeColor="text1"/>
          <w:sz w:val="22"/>
          <w:lang w:val="es-ES_tradnl"/>
        </w:rPr>
      </w:pPr>
      <w:r w:rsidRPr="00864E72">
        <w:rPr>
          <w:rFonts w:ascii="Arial" w:eastAsia="Calibri" w:hAnsi="Arial" w:cs="Arial"/>
          <w:bCs/>
          <w:color w:val="000000" w:themeColor="text1"/>
          <w:sz w:val="22"/>
          <w:lang w:val="es-ES_tradnl"/>
        </w:rPr>
        <w:t xml:space="preserve">En este orden de ideas, las excepciones consagradas en el parágrafo del artículo 56 de la Ley 2195 de 2022 solo se aplican a los órganos del Estado cuya naturaleza jurídica coincida con la de las entidades allí indicadas de manera </w:t>
      </w:r>
      <w:r w:rsidRPr="00864E72">
        <w:rPr>
          <w:rFonts w:ascii="Arial" w:eastAsia="Calibri" w:hAnsi="Arial" w:cs="Arial"/>
          <w:bCs/>
          <w:i/>
          <w:iCs/>
          <w:color w:val="000000" w:themeColor="text1"/>
          <w:sz w:val="22"/>
          <w:lang w:val="es-ES_tradnl"/>
        </w:rPr>
        <w:t>taxativa</w:t>
      </w:r>
      <w:r w:rsidRPr="00864E72">
        <w:rPr>
          <w:rFonts w:ascii="Arial" w:eastAsia="Calibri" w:hAnsi="Arial" w:cs="Arial"/>
          <w:bCs/>
          <w:color w:val="000000" w:themeColor="text1"/>
          <w:sz w:val="22"/>
          <w:lang w:val="es-ES_tradnl"/>
        </w:rPr>
        <w:t>, esto es, a «</w:t>
      </w:r>
      <w:r w:rsidRPr="00864E72">
        <w:rPr>
          <w:rFonts w:ascii="Arial" w:hAnsi="Arial" w:cs="Arial"/>
          <w:color w:val="000000" w:themeColor="text1"/>
        </w:rPr>
        <w:t xml:space="preserve">[…] </w:t>
      </w:r>
      <w:r w:rsidRPr="00864E72">
        <w:rPr>
          <w:rFonts w:ascii="Arial" w:eastAsia="Calibri" w:hAnsi="Arial" w:cs="Arial"/>
          <w:bCs/>
          <w:color w:val="000000" w:themeColor="text1"/>
          <w:sz w:val="22"/>
          <w:lang w:val="es-ES_tradnl"/>
        </w:rPr>
        <w:t xml:space="preserve">las Instituciones de Educación Superior públicas, las empresas sociales del Estado, las sociedades de economía mixta y las empresas industriales y comerciales del Estado, </w:t>
      </w:r>
      <w:r w:rsidRPr="00864E72">
        <w:rPr>
          <w:rFonts w:ascii="Arial" w:eastAsia="Calibri" w:hAnsi="Arial" w:cs="Arial"/>
          <w:bCs/>
          <w:color w:val="000000" w:themeColor="text1"/>
          <w:sz w:val="22"/>
          <w:lang w:val="es-ES_tradnl"/>
        </w:rPr>
        <w:lastRenderedPageBreak/>
        <w:t xml:space="preserve">únicamente en cuanto a la contratación de su giro ordinario». Por consiguiente, cada entidad estatal deberá analizar su naturaleza jurídica y hacer una interpretación restrictiva de este parágrafo, pues las excepciones deben leerse de manera acorde con dicho parámetro hermenéutico. Tratándose de empresas prestadoras de servicios públicos domiciliarios, no sobra indicar que la autoridad competente para resolver las consultas relacionadas con aspectos asociados a su naturaleza jurídica es la Superintendencia de Servicios Públicos Domiciliarios, de conformidad con el artículo 11, numeral 2, del Decreto 1369 de 2020, según el cual dicha entidad debe «Absolver las consultas jurídicas externas relativas al régimen de los servicios públicos domiciliarios». </w:t>
      </w:r>
    </w:p>
    <w:p w14:paraId="5B54E795" w14:textId="77777777" w:rsidR="00DB2853" w:rsidRDefault="00DB2853" w:rsidP="00DB2853">
      <w:pPr>
        <w:tabs>
          <w:tab w:val="left" w:pos="0"/>
        </w:tabs>
        <w:spacing w:line="276" w:lineRule="auto"/>
        <w:jc w:val="both"/>
        <w:rPr>
          <w:rFonts w:ascii="Arial" w:eastAsia="Calibri" w:hAnsi="Arial" w:cs="Arial"/>
          <w:b/>
          <w:sz w:val="22"/>
          <w:lang w:val="es-ES_tradnl"/>
        </w:rPr>
      </w:pPr>
    </w:p>
    <w:p w14:paraId="63451B4A" w14:textId="77777777" w:rsidR="00DB2853" w:rsidRPr="00E858D2" w:rsidRDefault="00DB2853" w:rsidP="00DB2853">
      <w:pPr>
        <w:tabs>
          <w:tab w:val="left" w:pos="0"/>
        </w:tabs>
        <w:spacing w:line="276" w:lineRule="auto"/>
        <w:jc w:val="both"/>
        <w:rPr>
          <w:rFonts w:ascii="Arial" w:eastAsia="Calibri" w:hAnsi="Arial" w:cs="Arial"/>
          <w:b/>
          <w:sz w:val="22"/>
          <w:lang w:val="es-ES_tradnl"/>
        </w:rPr>
      </w:pPr>
      <w:r>
        <w:rPr>
          <w:rFonts w:ascii="Arial" w:eastAsia="Calibri" w:hAnsi="Arial" w:cs="Arial"/>
          <w:b/>
          <w:sz w:val="22"/>
          <w:lang w:val="es-ES_tradnl"/>
        </w:rPr>
        <w:tab/>
      </w:r>
      <w:r w:rsidRPr="00504C78">
        <w:rPr>
          <w:rFonts w:ascii="Arial" w:eastAsia="Calibri" w:hAnsi="Arial" w:cs="Arial"/>
          <w:b/>
          <w:sz w:val="22"/>
          <w:lang w:val="es-ES_tradnl"/>
        </w:rPr>
        <w:t xml:space="preserve">2.2.3. </w:t>
      </w:r>
      <w:r w:rsidRPr="00E858D2">
        <w:rPr>
          <w:rFonts w:ascii="Arial" w:eastAsia="Calibri" w:hAnsi="Arial" w:cs="Arial"/>
          <w:b/>
          <w:sz w:val="22"/>
          <w:lang w:val="es-ES_tradnl"/>
        </w:rPr>
        <w:t xml:space="preserve">La noción de </w:t>
      </w:r>
      <w:r w:rsidRPr="00E858D2">
        <w:rPr>
          <w:rFonts w:ascii="Arial" w:eastAsia="Calibri" w:hAnsi="Arial" w:cs="Arial"/>
          <w:b/>
          <w:i/>
          <w:iCs/>
          <w:sz w:val="22"/>
          <w:lang w:val="es-ES_tradnl"/>
        </w:rPr>
        <w:t xml:space="preserve">giro ordinario </w:t>
      </w:r>
      <w:r w:rsidRPr="00E858D2">
        <w:rPr>
          <w:rFonts w:ascii="Arial" w:eastAsia="Calibri" w:hAnsi="Arial" w:cs="Arial"/>
          <w:b/>
          <w:sz w:val="22"/>
          <w:lang w:val="es-ES_tradnl"/>
        </w:rPr>
        <w:t>y su relevancia para la aplicación del artículo 56 de la Ley 2195 de 2022</w:t>
      </w:r>
    </w:p>
    <w:p w14:paraId="6D34CFC1" w14:textId="77777777" w:rsidR="00DB2853" w:rsidRPr="00E858D2" w:rsidRDefault="00DB2853" w:rsidP="00DB2853">
      <w:pPr>
        <w:tabs>
          <w:tab w:val="left" w:pos="0"/>
        </w:tabs>
        <w:spacing w:line="276" w:lineRule="auto"/>
        <w:jc w:val="both"/>
        <w:rPr>
          <w:rFonts w:ascii="Arial" w:eastAsia="Calibri" w:hAnsi="Arial" w:cs="Arial"/>
          <w:b/>
          <w:sz w:val="22"/>
          <w:lang w:val="es-ES_tradnl"/>
        </w:rPr>
      </w:pPr>
    </w:p>
    <w:p w14:paraId="1E131235" w14:textId="77777777" w:rsidR="00DB2853" w:rsidRPr="00E858D2" w:rsidRDefault="00DB2853" w:rsidP="00DB2853">
      <w:pPr>
        <w:tabs>
          <w:tab w:val="left" w:pos="0"/>
        </w:tabs>
        <w:spacing w:after="120" w:line="276" w:lineRule="auto"/>
        <w:jc w:val="both"/>
        <w:rPr>
          <w:rFonts w:ascii="Arial" w:eastAsia="Calibri" w:hAnsi="Arial" w:cs="Arial"/>
          <w:bCs/>
          <w:sz w:val="22"/>
          <w:lang w:val="es-ES_tradnl"/>
        </w:rPr>
      </w:pPr>
      <w:r>
        <w:rPr>
          <w:rFonts w:ascii="Arial" w:eastAsia="Calibri" w:hAnsi="Arial" w:cs="Arial"/>
          <w:bCs/>
          <w:sz w:val="22"/>
          <w:lang w:val="es-ES_tradnl"/>
        </w:rPr>
        <w:t>Para una adecuada comprensión del artículo 56 de la Ley 2195 de 2022</w:t>
      </w:r>
      <w:r w:rsidRPr="00E858D2">
        <w:rPr>
          <w:rFonts w:ascii="Arial" w:eastAsia="Calibri" w:hAnsi="Arial" w:cs="Arial"/>
          <w:bCs/>
          <w:sz w:val="22"/>
          <w:lang w:val="es-ES_tradnl"/>
        </w:rPr>
        <w:t xml:space="preserve">, es necesario precisar el alcance de lo dispuesto en </w:t>
      </w:r>
      <w:r>
        <w:rPr>
          <w:rFonts w:ascii="Arial" w:eastAsia="Calibri" w:hAnsi="Arial" w:cs="Arial"/>
          <w:bCs/>
          <w:sz w:val="22"/>
          <w:lang w:val="es-ES_tradnl"/>
        </w:rPr>
        <w:t>sus</w:t>
      </w:r>
      <w:r w:rsidRPr="00E858D2">
        <w:rPr>
          <w:rFonts w:ascii="Arial" w:eastAsia="Calibri" w:hAnsi="Arial" w:cs="Arial"/>
          <w:bCs/>
          <w:sz w:val="22"/>
          <w:lang w:val="es-ES_tradnl"/>
        </w:rPr>
        <w:t xml:space="preserve"> dos primeros incisos a luz de lo establecido en su parágrafo, el cual excluye de la aplicación de los primeros incisos del artículo 56, a cierto tipo de entidades, en lo relacionado con la contratación de su </w:t>
      </w:r>
      <w:r w:rsidRPr="00E858D2">
        <w:rPr>
          <w:rFonts w:ascii="Arial" w:eastAsia="Calibri" w:hAnsi="Arial" w:cs="Arial"/>
          <w:bCs/>
          <w:i/>
          <w:iCs/>
          <w:sz w:val="22"/>
          <w:lang w:val="es-ES_tradnl"/>
        </w:rPr>
        <w:t>giro ordinario</w:t>
      </w:r>
      <w:r w:rsidRPr="00E858D2">
        <w:rPr>
          <w:rFonts w:ascii="Arial" w:eastAsia="Calibri" w:hAnsi="Arial" w:cs="Arial"/>
          <w:bCs/>
          <w:sz w:val="22"/>
          <w:lang w:val="es-ES_tradnl"/>
        </w:rPr>
        <w:t xml:space="preserve">. Conforme se desprende del texto del referido parágrafo, se exceptúa de lo señalado en los dos primeros incisos a: i) las instituciones de educación superior públicas, </w:t>
      </w:r>
      <w:proofErr w:type="spellStart"/>
      <w:r w:rsidRPr="00E858D2">
        <w:rPr>
          <w:rFonts w:ascii="Arial" w:eastAsia="Calibri" w:hAnsi="Arial" w:cs="Arial"/>
          <w:bCs/>
          <w:sz w:val="22"/>
          <w:lang w:val="es-ES_tradnl"/>
        </w:rPr>
        <w:t>ii</w:t>
      </w:r>
      <w:proofErr w:type="spellEnd"/>
      <w:r w:rsidRPr="00E858D2">
        <w:rPr>
          <w:rFonts w:ascii="Arial" w:eastAsia="Calibri" w:hAnsi="Arial" w:cs="Arial"/>
          <w:bCs/>
          <w:sz w:val="22"/>
          <w:lang w:val="es-ES_tradnl"/>
        </w:rPr>
        <w:t xml:space="preserve">) las empresas sociales del Estado, </w:t>
      </w:r>
      <w:proofErr w:type="spellStart"/>
      <w:r w:rsidRPr="00E858D2">
        <w:rPr>
          <w:rFonts w:ascii="Arial" w:eastAsia="Calibri" w:hAnsi="Arial" w:cs="Arial"/>
          <w:bCs/>
          <w:sz w:val="22"/>
          <w:lang w:val="es-ES_tradnl"/>
        </w:rPr>
        <w:t>iii</w:t>
      </w:r>
      <w:proofErr w:type="spellEnd"/>
      <w:r w:rsidRPr="00E858D2">
        <w:rPr>
          <w:rFonts w:ascii="Arial" w:eastAsia="Calibri" w:hAnsi="Arial" w:cs="Arial"/>
          <w:bCs/>
          <w:sz w:val="22"/>
          <w:lang w:val="es-ES_tradnl"/>
        </w:rPr>
        <w:t xml:space="preserve">) las sociedades de economía mixta y </w:t>
      </w:r>
      <w:proofErr w:type="spellStart"/>
      <w:r w:rsidRPr="00E858D2">
        <w:rPr>
          <w:rFonts w:ascii="Arial" w:eastAsia="Calibri" w:hAnsi="Arial" w:cs="Arial"/>
          <w:bCs/>
          <w:sz w:val="22"/>
          <w:lang w:val="es-ES_tradnl"/>
        </w:rPr>
        <w:t>iv</w:t>
      </w:r>
      <w:proofErr w:type="spellEnd"/>
      <w:r w:rsidRPr="00E858D2">
        <w:rPr>
          <w:rFonts w:ascii="Arial" w:eastAsia="Calibri" w:hAnsi="Arial" w:cs="Arial"/>
          <w:bCs/>
          <w:sz w:val="22"/>
          <w:lang w:val="es-ES_tradnl"/>
        </w:rPr>
        <w:t xml:space="preserve">) las empresas industriales y comerciales del Estado, únicamente, en la contratación relacionada con el </w:t>
      </w:r>
      <w:r w:rsidRPr="00E858D2">
        <w:rPr>
          <w:rFonts w:ascii="Arial" w:eastAsia="Calibri" w:hAnsi="Arial" w:cs="Arial"/>
          <w:bCs/>
          <w:i/>
          <w:iCs/>
          <w:sz w:val="22"/>
          <w:lang w:val="es-ES_tradnl"/>
        </w:rPr>
        <w:t>giro ordinario.</w:t>
      </w:r>
      <w:r w:rsidRPr="00E858D2">
        <w:rPr>
          <w:rFonts w:ascii="Arial" w:eastAsia="Calibri" w:hAnsi="Arial" w:cs="Arial"/>
          <w:bCs/>
          <w:sz w:val="22"/>
          <w:lang w:val="es-ES_tradnl"/>
        </w:rPr>
        <w:t xml:space="preserve"> Esto significa que</w:t>
      </w:r>
      <w:r>
        <w:rPr>
          <w:rFonts w:ascii="Arial" w:eastAsia="Calibri" w:hAnsi="Arial" w:cs="Arial"/>
          <w:bCs/>
          <w:sz w:val="22"/>
          <w:lang w:val="es-ES_tradnl"/>
        </w:rPr>
        <w:t>,</w:t>
      </w:r>
      <w:r w:rsidRPr="00E858D2">
        <w:rPr>
          <w:rFonts w:ascii="Arial" w:eastAsia="Calibri" w:hAnsi="Arial" w:cs="Arial"/>
          <w:bCs/>
          <w:sz w:val="22"/>
          <w:lang w:val="es-ES_tradnl"/>
        </w:rPr>
        <w:t xml:space="preserve"> en la contratación asociada a su </w:t>
      </w:r>
      <w:r w:rsidRPr="00E858D2">
        <w:rPr>
          <w:rFonts w:ascii="Arial" w:eastAsia="Calibri" w:hAnsi="Arial" w:cs="Arial"/>
          <w:bCs/>
          <w:i/>
          <w:iCs/>
          <w:sz w:val="22"/>
          <w:lang w:val="es-ES_tradnl"/>
        </w:rPr>
        <w:t xml:space="preserve">giro ordinario, </w:t>
      </w:r>
      <w:r w:rsidRPr="00E858D2">
        <w:rPr>
          <w:rFonts w:ascii="Arial" w:eastAsia="Calibri" w:hAnsi="Arial" w:cs="Arial"/>
          <w:bCs/>
          <w:sz w:val="22"/>
          <w:lang w:val="es-ES_tradnl"/>
        </w:rPr>
        <w:t xml:space="preserve">estos tipos de entidades no tendrían que aplicar, de manera obligatoria, los documentos tipo, ni tampoco el EGCAP. En este caso la norma se limita a fomentar la implementación de documentos tipo a modo de buena práctica contractual, en los casos en los que se estime conveniente. </w:t>
      </w:r>
    </w:p>
    <w:p w14:paraId="5CAE2EBA" w14:textId="77777777" w:rsidR="00DB2853" w:rsidRPr="00E858D2" w:rsidRDefault="00DB2853" w:rsidP="00DB2853">
      <w:pPr>
        <w:tabs>
          <w:tab w:val="left" w:pos="0"/>
        </w:tabs>
        <w:spacing w:after="120" w:line="276" w:lineRule="auto"/>
        <w:jc w:val="both"/>
        <w:rPr>
          <w:rFonts w:ascii="Arial" w:eastAsia="Arial" w:hAnsi="Arial" w:cs="Arial"/>
          <w:color w:val="000000"/>
          <w:sz w:val="22"/>
          <w:lang w:val="es-ES_tradnl"/>
        </w:rPr>
      </w:pPr>
      <w:r w:rsidRPr="00E858D2">
        <w:rPr>
          <w:rFonts w:ascii="Arial" w:eastAsia="Calibri" w:hAnsi="Arial" w:cs="Arial"/>
          <w:bCs/>
          <w:sz w:val="22"/>
          <w:lang w:val="es-ES_tradnl"/>
        </w:rPr>
        <w:tab/>
        <w:t xml:space="preserve">Ahora, es importante tener en cuenta que cuando la norma se refiere a la contratación del </w:t>
      </w:r>
      <w:r w:rsidRPr="00E858D2">
        <w:rPr>
          <w:rFonts w:ascii="Arial" w:eastAsia="Calibri" w:hAnsi="Arial" w:cs="Arial"/>
          <w:bCs/>
          <w:i/>
          <w:iCs/>
          <w:sz w:val="22"/>
          <w:lang w:val="es-ES_tradnl"/>
        </w:rPr>
        <w:t>giro ordinario</w:t>
      </w:r>
      <w:r w:rsidRPr="00E858D2">
        <w:rPr>
          <w:rFonts w:ascii="Arial" w:eastAsia="Calibri" w:hAnsi="Arial" w:cs="Arial"/>
          <w:bCs/>
          <w:sz w:val="22"/>
          <w:lang w:val="es-ES_tradnl"/>
        </w:rPr>
        <w:t>, emplea un concepto jurídico indeterminado</w:t>
      </w:r>
      <w:r w:rsidRPr="00E858D2">
        <w:rPr>
          <w:rStyle w:val="Refdenotaalpie"/>
          <w:rFonts w:ascii="Arial" w:eastAsia="Calibri" w:hAnsi="Arial" w:cs="Arial"/>
        </w:rPr>
        <w:footnoteReference w:id="13"/>
      </w:r>
      <w:r w:rsidRPr="00E858D2">
        <w:rPr>
          <w:rFonts w:ascii="Arial" w:eastAsia="Calibri" w:hAnsi="Arial" w:cs="Arial"/>
          <w:bCs/>
          <w:sz w:val="22"/>
          <w:lang w:val="es-ES_tradnl"/>
        </w:rPr>
        <w:t xml:space="preserve">. </w:t>
      </w:r>
      <w:r w:rsidRPr="00E858D2">
        <w:rPr>
          <w:rFonts w:ascii="Arial" w:eastAsia="Arial" w:hAnsi="Arial" w:cs="Arial"/>
          <w:color w:val="000000"/>
          <w:sz w:val="22"/>
          <w:lang w:val="es-ES_tradnl"/>
        </w:rPr>
        <w:t xml:space="preserve">Un concepto adquiere esta denominación en el Derecho cuando se trata de un enunciado que goza de vaguedad y que debe materializarse en cada caso, atendiendo a las técnicas de la interpretación jurídica. De igual forma, se trata de un concepto para cuya concreción las entidades estatales gozan de cierto grado de discrecionalidad en su aplicación, pero deben respetar los límites previstos en las normas de orden público. Por ejemplo, no podrán </w:t>
      </w:r>
      <w:r w:rsidRPr="00E858D2">
        <w:rPr>
          <w:rFonts w:ascii="Arial" w:eastAsia="Arial" w:hAnsi="Arial" w:cs="Arial"/>
          <w:color w:val="000000"/>
          <w:sz w:val="22"/>
          <w:lang w:val="es-ES_tradnl"/>
        </w:rPr>
        <w:lastRenderedPageBreak/>
        <w:t xml:space="preserve">considerar que cualquier contrato que celebren hace parte del giro ordinario de sus negocios. </w:t>
      </w:r>
    </w:p>
    <w:p w14:paraId="21438D9C" w14:textId="77777777" w:rsidR="00DB2853" w:rsidRPr="00E858D2" w:rsidRDefault="00DB2853" w:rsidP="00DB2853">
      <w:pPr>
        <w:tabs>
          <w:tab w:val="left" w:pos="0"/>
        </w:tabs>
        <w:spacing w:line="276" w:lineRule="auto"/>
        <w:ind w:firstLine="709"/>
        <w:jc w:val="both"/>
        <w:rPr>
          <w:rFonts w:ascii="Arial" w:eastAsia="Calibri" w:hAnsi="Arial" w:cs="Arial"/>
          <w:bCs/>
          <w:sz w:val="22"/>
          <w:lang w:val="es-ES_tradnl"/>
        </w:rPr>
      </w:pPr>
      <w:r w:rsidRPr="00E858D2">
        <w:rPr>
          <w:rFonts w:ascii="Arial" w:eastAsia="Arial" w:hAnsi="Arial" w:cs="Arial"/>
          <w:color w:val="000000"/>
          <w:sz w:val="22"/>
          <w:lang w:val="es-ES_tradnl"/>
        </w:rPr>
        <w:t>La Corte Constitucional también ha reconocido que el Congreso de la República, dentro de su libertad de configuración legislativa, puede emplear este tipo de conceptos, que se caracterizan por tener un cierto halo de incertidumbre en su interpretación, quedando referida su determinación concreta a la actividad de los operadores jurídicos</w:t>
      </w:r>
      <w:r w:rsidRPr="00E858D2">
        <w:rPr>
          <w:rStyle w:val="Refdenotaalpie"/>
          <w:rFonts w:ascii="Arial" w:eastAsia="Arial" w:hAnsi="Arial" w:cs="Arial"/>
        </w:rPr>
        <w:footnoteReference w:id="14"/>
      </w:r>
      <w:r w:rsidRPr="00E858D2">
        <w:rPr>
          <w:rFonts w:ascii="Arial" w:eastAsia="Arial" w:hAnsi="Arial" w:cs="Arial"/>
          <w:color w:val="000000"/>
          <w:sz w:val="22"/>
          <w:lang w:val="es-ES_tradnl"/>
        </w:rPr>
        <w:t>.</w:t>
      </w:r>
    </w:p>
    <w:p w14:paraId="379C4CB3" w14:textId="77777777" w:rsidR="00DB2853" w:rsidRPr="00E858D2" w:rsidRDefault="00DB2853" w:rsidP="00DB2853">
      <w:pPr>
        <w:tabs>
          <w:tab w:val="left" w:pos="0"/>
        </w:tabs>
        <w:spacing w:before="120" w:line="276" w:lineRule="auto"/>
        <w:ind w:firstLine="709"/>
        <w:jc w:val="both"/>
        <w:rPr>
          <w:rFonts w:ascii="Arial" w:eastAsia="Calibri" w:hAnsi="Arial" w:cs="Arial"/>
          <w:bCs/>
          <w:sz w:val="22"/>
          <w:lang w:val="es-ES_tradnl"/>
        </w:rPr>
      </w:pPr>
      <w:r w:rsidRPr="00E858D2">
        <w:rPr>
          <w:rFonts w:ascii="Arial" w:eastAsia="Calibri" w:hAnsi="Arial" w:cs="Arial"/>
          <w:bCs/>
          <w:sz w:val="22"/>
          <w:lang w:val="es-ES_tradnl"/>
        </w:rPr>
        <w:t xml:space="preserve">Aunque, como se indicó, la expresión giro ordinario de los negocios es un concepto jurídico indeterminado, el Consejo de Estado ha tenido la oportunidad de pronunciarse en distintas ocasiones sobre su alcance, estableciendo algunos criterios de interpretación.  En su momento, en relación con el alcance de la expresión </w:t>
      </w:r>
      <w:r w:rsidRPr="00E858D2">
        <w:rPr>
          <w:rFonts w:ascii="Arial" w:eastAsia="Calibri" w:hAnsi="Arial" w:cs="Arial"/>
          <w:bCs/>
          <w:i/>
          <w:iCs/>
          <w:sz w:val="22"/>
          <w:lang w:val="es-ES_tradnl"/>
        </w:rPr>
        <w:t xml:space="preserve">giro ordinario </w:t>
      </w:r>
      <w:r w:rsidRPr="00E858D2">
        <w:rPr>
          <w:rFonts w:ascii="Arial" w:eastAsia="Calibri" w:hAnsi="Arial" w:cs="Arial"/>
          <w:bCs/>
          <w:sz w:val="22"/>
          <w:lang w:val="es-ES_tradnl"/>
        </w:rPr>
        <w:t>incluida en la redacción original del parágrafo 1 del artículo 32 de la Ley 80 de 1993</w:t>
      </w:r>
      <w:r w:rsidRPr="00E858D2">
        <w:rPr>
          <w:rStyle w:val="Refdenotaalpie"/>
          <w:rFonts w:ascii="Arial" w:eastAsia="Calibri" w:hAnsi="Arial" w:cs="Arial"/>
        </w:rPr>
        <w:footnoteReference w:id="15"/>
      </w:r>
      <w:r w:rsidRPr="00E858D2">
        <w:rPr>
          <w:rFonts w:ascii="Arial" w:eastAsia="Calibri" w:hAnsi="Arial" w:cs="Arial"/>
          <w:bCs/>
          <w:sz w:val="22"/>
          <w:lang w:val="es-ES_tradnl"/>
        </w:rPr>
        <w:t xml:space="preserve">, la Sección Tercera manifestó lo siguiente: </w:t>
      </w:r>
    </w:p>
    <w:p w14:paraId="02373D42" w14:textId="77777777" w:rsidR="00DB2853" w:rsidRPr="00E858D2" w:rsidRDefault="00DB2853" w:rsidP="00DB2853">
      <w:pPr>
        <w:tabs>
          <w:tab w:val="left" w:pos="0"/>
        </w:tabs>
        <w:jc w:val="both"/>
        <w:rPr>
          <w:rFonts w:ascii="Arial" w:eastAsia="Calibri" w:hAnsi="Arial" w:cs="Arial"/>
          <w:bCs/>
          <w:sz w:val="22"/>
          <w:lang w:val="es-ES_tradnl"/>
        </w:rPr>
      </w:pPr>
    </w:p>
    <w:p w14:paraId="1C35B25E" w14:textId="77777777" w:rsidR="00DB2853" w:rsidRPr="00E858D2" w:rsidRDefault="00DB2853" w:rsidP="00DB2853">
      <w:pPr>
        <w:ind w:left="709" w:right="709"/>
        <w:jc w:val="both"/>
        <w:rPr>
          <w:rFonts w:ascii="Arial" w:hAnsi="Arial" w:cs="Arial"/>
          <w:sz w:val="21"/>
          <w:szCs w:val="21"/>
          <w:lang w:val="es-ES_tradnl" w:eastAsia="es-CO"/>
        </w:rPr>
      </w:pPr>
      <w:r w:rsidRPr="00742837">
        <w:rPr>
          <w:rFonts w:ascii="Arial" w:hAnsi="Arial" w:cs="Arial"/>
          <w:sz w:val="21"/>
          <w:szCs w:val="21"/>
          <w:lang w:val="es-ES_tradnl"/>
        </w:rPr>
        <w:t>«</w:t>
      </w:r>
      <w:r w:rsidRPr="00E858D2">
        <w:rPr>
          <w:rFonts w:ascii="Arial" w:hAnsi="Arial" w:cs="Arial"/>
          <w:sz w:val="21"/>
          <w:szCs w:val="21"/>
          <w:lang w:val="es-ES_tradnl"/>
        </w:rPr>
        <w:t xml:space="preserve">[E]l giro ordinario de las actividades de una sociedad comercial no sólo comprende aquello que define en forma concreta su objeto social, sino todos los actos directamente relacionados con el mismo, lo que denota que entre éstos y aquéllas debe existir una relación de necesidad que los hace parte en el objeto de la sociedad. </w:t>
      </w:r>
      <w:proofErr w:type="gramStart"/>
      <w:r w:rsidRPr="00E858D2">
        <w:rPr>
          <w:rFonts w:ascii="Arial" w:hAnsi="Arial" w:cs="Arial"/>
          <w:sz w:val="21"/>
          <w:szCs w:val="21"/>
          <w:lang w:val="es-ES_tradnl"/>
        </w:rPr>
        <w:t>Siendo</w:t>
      </w:r>
      <w:proofErr w:type="gramEnd"/>
      <w:r w:rsidRPr="00E858D2">
        <w:rPr>
          <w:rFonts w:ascii="Arial" w:hAnsi="Arial" w:cs="Arial"/>
          <w:sz w:val="21"/>
          <w:szCs w:val="21"/>
          <w:lang w:val="es-ES_tradnl"/>
        </w:rPr>
        <w:t xml:space="preserve"> así las cosas, resulta que el concepto “giro ordinario de las actividades” […], hace relación tanto a las actividades o negocios realizados en cumplimiento del objeto social o de las funciones principales, expresamente definidas por la Ley, como también a todo aquello que es conexo con ellas y que se realiza para desarrollar la función principal, estableciéndose entre estos una relación de medio a fin, estrecha y complementaria</w:t>
      </w:r>
      <w:r>
        <w:rPr>
          <w:rFonts w:ascii="Arial" w:hAnsi="Arial" w:cs="Arial"/>
          <w:sz w:val="21"/>
          <w:szCs w:val="21"/>
          <w:lang w:val="es-ES_tradnl"/>
        </w:rPr>
        <w:t>.</w:t>
      </w:r>
      <w:r w:rsidRPr="00742837">
        <w:rPr>
          <w:rFonts w:ascii="Arial" w:hAnsi="Arial" w:cs="Arial"/>
          <w:sz w:val="21"/>
          <w:szCs w:val="21"/>
          <w:lang w:val="es-ES_tradnl"/>
        </w:rPr>
        <w:t>»</w:t>
      </w:r>
      <w:r w:rsidRPr="00E858D2">
        <w:rPr>
          <w:rStyle w:val="Refdenotaalpie"/>
          <w:rFonts w:ascii="Arial" w:hAnsi="Arial" w:cs="Arial"/>
        </w:rPr>
        <w:footnoteReference w:id="16"/>
      </w:r>
    </w:p>
    <w:p w14:paraId="53088C21" w14:textId="77777777" w:rsidR="00DB2853" w:rsidRPr="00E858D2" w:rsidRDefault="00DB2853" w:rsidP="00DB2853">
      <w:pPr>
        <w:tabs>
          <w:tab w:val="left" w:pos="0"/>
        </w:tabs>
        <w:jc w:val="both"/>
        <w:rPr>
          <w:rFonts w:ascii="Arial" w:eastAsia="Calibri" w:hAnsi="Arial" w:cs="Arial"/>
          <w:bCs/>
          <w:i/>
          <w:iCs/>
          <w:sz w:val="22"/>
          <w:lang w:val="es-ES_tradnl"/>
        </w:rPr>
      </w:pPr>
    </w:p>
    <w:p w14:paraId="09F49F84" w14:textId="77777777" w:rsidR="00DB2853" w:rsidRDefault="00DB2853" w:rsidP="00DB2853">
      <w:pPr>
        <w:tabs>
          <w:tab w:val="left" w:pos="0"/>
        </w:tabs>
        <w:spacing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 xml:space="preserve">En el mismo sentido se pronunció recientemente el Alto Tribunal de lo Contencioso Administrativo, reiterando las anteriores consideraciones, al expresar que: </w:t>
      </w:r>
    </w:p>
    <w:p w14:paraId="0898300C" w14:textId="77777777" w:rsidR="00DB2853" w:rsidRPr="00E858D2" w:rsidRDefault="00DB2853" w:rsidP="00DB2853">
      <w:pPr>
        <w:tabs>
          <w:tab w:val="left" w:pos="0"/>
        </w:tabs>
        <w:jc w:val="both"/>
        <w:rPr>
          <w:rFonts w:ascii="Arial" w:eastAsia="Calibri" w:hAnsi="Arial" w:cs="Arial"/>
          <w:bCs/>
          <w:sz w:val="22"/>
          <w:lang w:val="es-ES_tradnl"/>
        </w:rPr>
      </w:pPr>
    </w:p>
    <w:p w14:paraId="5177EC76" w14:textId="77777777" w:rsidR="00DB2853" w:rsidRPr="00E858D2" w:rsidRDefault="00DB2853" w:rsidP="00DB2853">
      <w:pPr>
        <w:tabs>
          <w:tab w:val="left" w:pos="0"/>
        </w:tabs>
        <w:spacing w:after="120"/>
        <w:ind w:left="709" w:right="709"/>
        <w:jc w:val="both"/>
        <w:rPr>
          <w:rFonts w:ascii="Arial" w:eastAsia="Calibri" w:hAnsi="Arial" w:cs="Arial"/>
          <w:bCs/>
          <w:sz w:val="21"/>
          <w:szCs w:val="21"/>
          <w:lang w:val="es-ES_tradnl"/>
        </w:rPr>
      </w:pPr>
      <w:r w:rsidRPr="00742837">
        <w:rPr>
          <w:rFonts w:ascii="Arial" w:eastAsia="Calibri" w:hAnsi="Arial" w:cs="Arial"/>
          <w:bCs/>
          <w:sz w:val="21"/>
          <w:szCs w:val="21"/>
          <w:lang w:val="es-ES_tradnl"/>
        </w:rPr>
        <w:t>«</w:t>
      </w:r>
      <w:r w:rsidRPr="00E858D2">
        <w:rPr>
          <w:rFonts w:ascii="Arial" w:eastAsia="Calibri" w:hAnsi="Arial" w:cs="Arial"/>
          <w:bCs/>
          <w:sz w:val="21"/>
          <w:szCs w:val="21"/>
          <w:lang w:val="es-ES_tradnl"/>
        </w:rPr>
        <w:t xml:space="preserve">[E]l elemento central para la determinación de este concepto jurídico, remite al objeto social –cuando se trata de empresas públicas o privadas constituidas bajo alguno de los tipos societarios definidos en la ley– pero también se refiere, </w:t>
      </w:r>
      <w:r w:rsidRPr="00E858D2">
        <w:rPr>
          <w:rFonts w:ascii="Arial" w:eastAsia="Calibri" w:hAnsi="Arial" w:cs="Arial"/>
          <w:bCs/>
          <w:sz w:val="21"/>
          <w:szCs w:val="21"/>
          <w:lang w:val="es-ES_tradnl"/>
        </w:rPr>
        <w:lastRenderedPageBreak/>
        <w:t>mutatis mutandis, al objeto y funciones expresamente definidas en los actos de creación de entidades públicas que, por su naturaleza, se orientan al desarrollo de actividades industriales y comerciales. De forma que, el giro ordinario de los negocios se explica a partir del objeto social o, también, de las funciones expresamente fijadas por ley, según se trate de una persona jurídica pública o privada, pues ambas categorías, para estos efectos, resultan equivalentes.</w:t>
      </w:r>
    </w:p>
    <w:p w14:paraId="00B75C3D" w14:textId="77777777" w:rsidR="00DB2853" w:rsidRPr="00E858D2" w:rsidRDefault="00DB2853" w:rsidP="00DB2853">
      <w:pPr>
        <w:tabs>
          <w:tab w:val="left" w:pos="0"/>
        </w:tabs>
        <w:spacing w:after="120"/>
        <w:ind w:left="709" w:right="709"/>
        <w:jc w:val="both"/>
        <w:rPr>
          <w:rFonts w:ascii="Arial" w:eastAsia="Calibri" w:hAnsi="Arial" w:cs="Arial"/>
          <w:bCs/>
          <w:sz w:val="21"/>
          <w:szCs w:val="21"/>
          <w:lang w:val="es-ES_tradnl"/>
        </w:rPr>
      </w:pPr>
      <w:r w:rsidRPr="00E858D2">
        <w:rPr>
          <w:rFonts w:ascii="Arial" w:eastAsia="Calibri" w:hAnsi="Arial" w:cs="Arial"/>
          <w:bCs/>
          <w:sz w:val="21"/>
          <w:szCs w:val="21"/>
          <w:lang w:val="es-ES_tradnl"/>
        </w:rPr>
        <w:t xml:space="preserve">Así las cosas, es razonable que el concepto de “giro ordinario de los negocios” sea compatible, de cara al sub lite, con el objeto y funciones de las empresas industriales y comerciales del estado –EICE– de carácter financiero, como lo es </w:t>
      </w:r>
      <w:proofErr w:type="spellStart"/>
      <w:r w:rsidRPr="00E858D2">
        <w:rPr>
          <w:rFonts w:ascii="Arial" w:eastAsia="Calibri" w:hAnsi="Arial" w:cs="Arial"/>
          <w:bCs/>
          <w:sz w:val="21"/>
          <w:szCs w:val="21"/>
          <w:lang w:val="es-ES_tradnl"/>
        </w:rPr>
        <w:t>Fonade</w:t>
      </w:r>
      <w:proofErr w:type="spellEnd"/>
      <w:r w:rsidRPr="00E858D2">
        <w:rPr>
          <w:rFonts w:ascii="Arial" w:eastAsia="Calibri" w:hAnsi="Arial" w:cs="Arial"/>
          <w:bCs/>
          <w:sz w:val="21"/>
          <w:szCs w:val="21"/>
          <w:lang w:val="es-ES_tradnl"/>
        </w:rPr>
        <w:t xml:space="preserve">, dado que para el desarrollo de su ejercicio comercial ha sido autorizada para actuar en términos equivalentes a los particulares, de manera que al incursionar en el mercado como un partícipe más, el desarrollo de su gestión está atada al giro ordinario de tales negocios, en los mismos términos en los que se desarrolla el objeto social de las empresas privadas.   </w:t>
      </w:r>
    </w:p>
    <w:p w14:paraId="155A3CD2" w14:textId="77777777" w:rsidR="00DB2853" w:rsidRPr="00E858D2" w:rsidRDefault="00DB2853" w:rsidP="00DB2853">
      <w:pPr>
        <w:tabs>
          <w:tab w:val="left" w:pos="0"/>
        </w:tabs>
        <w:ind w:left="709" w:right="709"/>
        <w:jc w:val="both"/>
        <w:rPr>
          <w:rFonts w:ascii="Arial" w:eastAsia="Calibri" w:hAnsi="Arial" w:cs="Arial"/>
          <w:bCs/>
          <w:sz w:val="21"/>
          <w:szCs w:val="21"/>
          <w:lang w:val="es-ES_tradnl"/>
        </w:rPr>
      </w:pPr>
      <w:r w:rsidRPr="00E858D2">
        <w:rPr>
          <w:rFonts w:ascii="Arial" w:eastAsia="Calibri" w:hAnsi="Arial" w:cs="Arial"/>
          <w:bCs/>
          <w:sz w:val="21"/>
          <w:szCs w:val="21"/>
          <w:lang w:val="es-ES_tradnl"/>
        </w:rPr>
        <w:t>7.8. De otra parte, y frente a las actividades conexas o complementarias al objeto social, existe plena compatibilidad respecto de los actos y contratos que puede desarrollar una EICE bajo el giro ordinario de sus negocios pues, al tenor de lo normado en el artículo 86 de la Ley 489 de 1998, dispuso el legislador que además de las actividades y funciones previstas en la ley, en las normas de creación y en sus estatutos internos, la empresas industriales y comerciales del estado están facultadas para “desarrollar y ejecutar todos aquellos que sean necesarios para el cumplimiento del objeto asignado”, previsión que ratifica la aplicación equivalente del giro ordinario de los negocios a las EICE, en sus dos categorías de actuación –objeto principal y actividades conexas»</w:t>
      </w:r>
      <w:r w:rsidRPr="00E858D2">
        <w:rPr>
          <w:rStyle w:val="Refdenotaalpie"/>
          <w:rFonts w:ascii="Arial" w:eastAsia="Calibri" w:hAnsi="Arial" w:cs="Arial"/>
        </w:rPr>
        <w:footnoteReference w:id="17"/>
      </w:r>
      <w:r w:rsidRPr="00E858D2">
        <w:rPr>
          <w:rFonts w:ascii="Arial" w:eastAsia="Calibri" w:hAnsi="Arial" w:cs="Arial"/>
          <w:bCs/>
          <w:sz w:val="21"/>
          <w:szCs w:val="21"/>
          <w:lang w:val="es-ES_tradnl"/>
        </w:rPr>
        <w:t xml:space="preserve">. </w:t>
      </w:r>
    </w:p>
    <w:p w14:paraId="41DC01A8" w14:textId="77777777" w:rsidR="00DB2853" w:rsidRPr="00E858D2" w:rsidRDefault="00DB2853" w:rsidP="00DB2853">
      <w:pPr>
        <w:tabs>
          <w:tab w:val="left" w:pos="0"/>
        </w:tabs>
        <w:spacing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r>
    </w:p>
    <w:p w14:paraId="3038664F" w14:textId="77777777" w:rsidR="00DB2853" w:rsidRDefault="00DB2853" w:rsidP="00DB2853">
      <w:pPr>
        <w:tabs>
          <w:tab w:val="left" w:pos="0"/>
        </w:tabs>
        <w:spacing w:after="120" w:line="276" w:lineRule="auto"/>
        <w:jc w:val="both"/>
        <w:rPr>
          <w:rFonts w:ascii="Arial" w:eastAsia="Calibri" w:hAnsi="Arial" w:cs="Arial"/>
          <w:bCs/>
          <w:sz w:val="22"/>
          <w:lang w:val="es-ES_tradnl"/>
        </w:rPr>
      </w:pPr>
      <w:r w:rsidRPr="00E858D2">
        <w:rPr>
          <w:rFonts w:ascii="Arial" w:eastAsia="Calibri" w:hAnsi="Arial" w:cs="Arial"/>
          <w:bCs/>
          <w:sz w:val="22"/>
          <w:lang w:val="es-ES_tradnl"/>
        </w:rPr>
        <w:tab/>
        <w:t xml:space="preserve">Conforme con lo expresado en estas providencias, el </w:t>
      </w:r>
      <w:r w:rsidRPr="00E858D2">
        <w:rPr>
          <w:rFonts w:ascii="Arial" w:eastAsia="Calibri" w:hAnsi="Arial" w:cs="Arial"/>
          <w:bCs/>
          <w:i/>
          <w:iCs/>
          <w:sz w:val="22"/>
          <w:lang w:val="es-ES_tradnl"/>
        </w:rPr>
        <w:t xml:space="preserve">giro ordinario </w:t>
      </w:r>
      <w:r w:rsidRPr="00E858D2">
        <w:rPr>
          <w:rFonts w:ascii="Arial" w:eastAsia="Calibri" w:hAnsi="Arial" w:cs="Arial"/>
          <w:bCs/>
          <w:sz w:val="22"/>
          <w:lang w:val="es-ES_tradnl"/>
        </w:rPr>
        <w:t>involucra los asuntos que integran el desarrollo del objeto social de una sociedad comercial, una empresa o entidad pública, lo cual comprende tanto unas actividades directamente relacionadas con dicho objeto social, así como otros actos conexos al mismo. Esta interpretación, en principio, es coherente con la regulación de la capacidad de las sociedades comerciales establecida en el Código de Comercio, cuyo artículo 99 dispone que «[</w:t>
      </w:r>
      <w:r w:rsidRPr="00E858D2">
        <w:rPr>
          <w:rFonts w:ascii="Arial" w:hAnsi="Arial" w:cs="Arial"/>
          <w:sz w:val="22"/>
          <w:lang w:val="es-ES_tradnl"/>
        </w:rPr>
        <w:t>S]e</w:t>
      </w:r>
      <w:r w:rsidRPr="00E858D2">
        <w:rPr>
          <w:rFonts w:ascii="Arial" w:eastAsia="Calibri" w:hAnsi="Arial" w:cs="Arial"/>
          <w:bCs/>
          <w:sz w:val="22"/>
          <w:lang w:val="es-ES_tradnl"/>
        </w:rPr>
        <w:t xml:space="preserve"> entenderán incluidos en el objeto social los actos directamente relacionados con el mismo y los que tengan como finalidad ejercer los derechos o cumplir las obligaciones, legal o convencionalmente derivados de la existencia y actividad de la sociedad»</w:t>
      </w:r>
      <w:r w:rsidRPr="00E858D2">
        <w:rPr>
          <w:rStyle w:val="Refdenotaalpie"/>
          <w:rFonts w:ascii="Arial" w:eastAsia="Calibri" w:hAnsi="Arial" w:cs="Arial"/>
        </w:rPr>
        <w:footnoteReference w:id="18"/>
      </w:r>
      <w:r w:rsidRPr="00E858D2">
        <w:rPr>
          <w:rFonts w:ascii="Arial" w:eastAsia="Calibri" w:hAnsi="Arial" w:cs="Arial"/>
          <w:bCs/>
          <w:sz w:val="22"/>
          <w:lang w:val="es-ES_tradnl"/>
        </w:rPr>
        <w:t xml:space="preserve">. </w:t>
      </w:r>
    </w:p>
    <w:p w14:paraId="7EB99F71" w14:textId="77777777" w:rsidR="00DB2853" w:rsidRPr="00E62261" w:rsidRDefault="00DB2853" w:rsidP="00DB2853">
      <w:pPr>
        <w:tabs>
          <w:tab w:val="left" w:pos="0"/>
        </w:tabs>
        <w:spacing w:line="276" w:lineRule="auto"/>
        <w:jc w:val="both"/>
        <w:rPr>
          <w:rFonts w:ascii="Arial" w:eastAsia="Calibri" w:hAnsi="Arial" w:cs="Arial"/>
          <w:bCs/>
          <w:sz w:val="22"/>
          <w:lang w:val="es-ES_tradnl"/>
        </w:rPr>
      </w:pPr>
      <w:r>
        <w:rPr>
          <w:rFonts w:ascii="Arial" w:eastAsia="Calibri" w:hAnsi="Arial" w:cs="Arial"/>
          <w:bCs/>
          <w:sz w:val="22"/>
          <w:lang w:val="es-ES_tradnl"/>
        </w:rPr>
        <w:lastRenderedPageBreak/>
        <w:tab/>
      </w:r>
      <w:r w:rsidRPr="00E62261">
        <w:rPr>
          <w:rFonts w:ascii="Arial" w:eastAsia="Calibri" w:hAnsi="Arial" w:cs="Arial"/>
          <w:bCs/>
          <w:sz w:val="22"/>
          <w:lang w:val="es-ES_tradnl"/>
        </w:rPr>
        <w:t xml:space="preserve">De otra parte, la doctrina societaria también se ha encargado de definir el </w:t>
      </w:r>
      <w:r w:rsidRPr="00E62261">
        <w:rPr>
          <w:rFonts w:ascii="Arial" w:eastAsia="Calibri" w:hAnsi="Arial" w:cs="Arial"/>
          <w:bCs/>
          <w:i/>
          <w:iCs/>
          <w:sz w:val="22"/>
          <w:lang w:val="es-ES_tradnl"/>
        </w:rPr>
        <w:t>objeto social</w:t>
      </w:r>
      <w:r w:rsidRPr="00E62261">
        <w:rPr>
          <w:rFonts w:ascii="Arial" w:eastAsia="Calibri" w:hAnsi="Arial" w:cs="Arial"/>
          <w:bCs/>
          <w:sz w:val="22"/>
          <w:lang w:val="es-ES_tradnl"/>
        </w:rPr>
        <w:t xml:space="preserve">, así como su relación con el concepto de </w:t>
      </w:r>
      <w:r w:rsidRPr="00E62261">
        <w:rPr>
          <w:rFonts w:ascii="Arial" w:eastAsia="Calibri" w:hAnsi="Arial" w:cs="Arial"/>
          <w:bCs/>
          <w:i/>
          <w:iCs/>
          <w:sz w:val="22"/>
          <w:lang w:val="es-ES_tradnl"/>
        </w:rPr>
        <w:t>giro ordinario</w:t>
      </w:r>
      <w:r w:rsidRPr="00E62261">
        <w:rPr>
          <w:rFonts w:ascii="Arial" w:eastAsia="Calibri" w:hAnsi="Arial" w:cs="Arial"/>
          <w:bCs/>
          <w:sz w:val="22"/>
          <w:lang w:val="es-ES_tradnl"/>
        </w:rPr>
        <w:t>. Al respecto, la Superintendencia de Sociedades, citando doctrina autorizada en la materia, ha señalado:</w:t>
      </w:r>
    </w:p>
    <w:p w14:paraId="32269B7A" w14:textId="77777777" w:rsidR="00DB2853" w:rsidRPr="00E62261" w:rsidRDefault="00DB2853" w:rsidP="00DB2853">
      <w:pPr>
        <w:tabs>
          <w:tab w:val="left" w:pos="0"/>
        </w:tabs>
        <w:jc w:val="both"/>
        <w:rPr>
          <w:rFonts w:ascii="Arial" w:eastAsia="Calibri" w:hAnsi="Arial" w:cs="Arial"/>
          <w:bCs/>
          <w:sz w:val="22"/>
          <w:lang w:val="es-ES_tradnl"/>
        </w:rPr>
      </w:pPr>
    </w:p>
    <w:p w14:paraId="0E2760AE" w14:textId="77777777" w:rsidR="00DB2853" w:rsidRPr="00E62261" w:rsidRDefault="00DB2853" w:rsidP="00DB2853">
      <w:pPr>
        <w:tabs>
          <w:tab w:val="left" w:pos="0"/>
        </w:tabs>
        <w:spacing w:after="120"/>
        <w:ind w:left="709" w:right="709"/>
        <w:jc w:val="both"/>
        <w:rPr>
          <w:rFonts w:ascii="Arial" w:hAnsi="Arial" w:cs="Arial"/>
          <w:sz w:val="21"/>
          <w:szCs w:val="21"/>
          <w:lang w:val="es-ES_tradnl"/>
        </w:rPr>
      </w:pPr>
      <w:r w:rsidRPr="00742837">
        <w:rPr>
          <w:rFonts w:ascii="Arial" w:hAnsi="Arial" w:cs="Arial"/>
          <w:sz w:val="21"/>
          <w:szCs w:val="21"/>
          <w:lang w:val="es-ES_tradnl"/>
        </w:rPr>
        <w:t>«</w:t>
      </w:r>
      <w:r w:rsidRPr="00E62261">
        <w:rPr>
          <w:rFonts w:ascii="Arial" w:hAnsi="Arial" w:cs="Arial"/>
          <w:sz w:val="21"/>
          <w:szCs w:val="21"/>
          <w:lang w:val="es-ES_tradnl"/>
        </w:rPr>
        <w:t xml:space="preserve">Si bien el llamado giro ordinario de los negocios se encuentra determinado por las actividades que constituyen el objeto social, resultan oportunas algunas precisiones conceptuales en torno al empleo constante en la práctica mercantil de la referida expresión "giro ordinario de los negocios". Partiendo de las anteriores consideraciones en cuanto al tema del objeto social, se concluye que éste alude a las actividades que desarrolla o se propone realizar el ente social, al paso que solamente quedan cobijadas por "giro ordinario" aquellas actividades </w:t>
      </w:r>
      <w:proofErr w:type="gramStart"/>
      <w:r w:rsidRPr="00E62261">
        <w:rPr>
          <w:rFonts w:ascii="Arial" w:hAnsi="Arial" w:cs="Arial"/>
          <w:sz w:val="21"/>
          <w:szCs w:val="21"/>
          <w:lang w:val="es-ES_tradnl"/>
        </w:rPr>
        <w:t>que</w:t>
      </w:r>
      <w:proofErr w:type="gramEnd"/>
      <w:r w:rsidRPr="00E62261">
        <w:rPr>
          <w:rFonts w:ascii="Arial" w:hAnsi="Arial" w:cs="Arial"/>
          <w:sz w:val="21"/>
          <w:szCs w:val="21"/>
          <w:lang w:val="es-ES_tradnl"/>
        </w:rPr>
        <w:t xml:space="preserve"> en forma habitual u ordinaria, ejecuta la sociedad.</w:t>
      </w:r>
    </w:p>
    <w:p w14:paraId="17B4A005" w14:textId="77777777" w:rsidR="00DB2853" w:rsidRPr="00E62261" w:rsidRDefault="00DB2853" w:rsidP="00DB2853">
      <w:pPr>
        <w:tabs>
          <w:tab w:val="left" w:pos="0"/>
        </w:tabs>
        <w:ind w:left="709" w:right="709"/>
        <w:jc w:val="both"/>
        <w:rPr>
          <w:rFonts w:ascii="Arial" w:eastAsia="Calibri" w:hAnsi="Arial" w:cs="Arial"/>
          <w:bCs/>
          <w:sz w:val="21"/>
          <w:szCs w:val="21"/>
          <w:lang w:val="es-ES_tradnl"/>
        </w:rPr>
      </w:pPr>
      <w:r w:rsidRPr="00E62261">
        <w:rPr>
          <w:rFonts w:ascii="Arial" w:hAnsi="Arial" w:cs="Arial"/>
          <w:sz w:val="21"/>
          <w:szCs w:val="21"/>
          <w:lang w:val="es-ES_tradnl"/>
        </w:rPr>
        <w:t>Advierte el profesor GAVIRIA GUTIÉRREZ (Lecciones de Derecho Comercial, Biblioteca Jurídica DIKE, Medellín, 1987, Pág. 251) que "el objeto social tiene un significado de mayor amplitud que el giro ordinario, pues aquel comprende cuanto acto sea necesario o conveniente para realizar el fin social propuesto, ya sea de simple gestión ordinaria, como la compra de materias primas y la venta de productos elaborados, ya de gestión extraordinaria, como un traslado de las instalaciones industriales, un despido masivo, un cambio de marcas y demás signos distintivos", de lo cual puede deducirse una relación de género a especie entre ambos conceptos, siendo el giro ordinario una especie que se enmarca al interior del genérico objeto social»</w:t>
      </w:r>
      <w:r w:rsidRPr="00E62261">
        <w:rPr>
          <w:rFonts w:ascii="Arial" w:hAnsi="Arial" w:cs="Arial"/>
          <w:vertAlign w:val="superscript"/>
        </w:rPr>
        <w:footnoteReference w:id="19"/>
      </w:r>
      <w:r w:rsidRPr="00E62261">
        <w:rPr>
          <w:rFonts w:ascii="Arial" w:hAnsi="Arial" w:cs="Arial"/>
          <w:sz w:val="21"/>
          <w:szCs w:val="21"/>
          <w:lang w:val="es-ES_tradnl"/>
        </w:rPr>
        <w:t>.</w:t>
      </w:r>
    </w:p>
    <w:p w14:paraId="076BAB20" w14:textId="77777777" w:rsidR="00DB2853" w:rsidRPr="00E62261" w:rsidRDefault="00DB2853" w:rsidP="00DB2853">
      <w:pPr>
        <w:tabs>
          <w:tab w:val="left" w:pos="0"/>
        </w:tabs>
        <w:spacing w:line="276" w:lineRule="auto"/>
        <w:jc w:val="both"/>
        <w:rPr>
          <w:rFonts w:ascii="Arial" w:eastAsia="Calibri" w:hAnsi="Arial" w:cs="Arial"/>
          <w:bCs/>
          <w:sz w:val="22"/>
          <w:lang w:val="es-ES_tradnl"/>
        </w:rPr>
      </w:pPr>
    </w:p>
    <w:p w14:paraId="48908CCB" w14:textId="77777777" w:rsidR="00DB2853" w:rsidRPr="00E62261" w:rsidRDefault="00DB2853" w:rsidP="00DB2853">
      <w:pPr>
        <w:tabs>
          <w:tab w:val="left" w:pos="0"/>
        </w:tabs>
        <w:spacing w:after="120" w:line="276" w:lineRule="auto"/>
        <w:jc w:val="both"/>
        <w:rPr>
          <w:rFonts w:ascii="Arial" w:eastAsia="Calibri" w:hAnsi="Arial" w:cs="Arial"/>
          <w:bCs/>
          <w:sz w:val="22"/>
          <w:lang w:val="es-ES_tradnl"/>
        </w:rPr>
      </w:pPr>
      <w:r w:rsidRPr="00E62261">
        <w:rPr>
          <w:rFonts w:ascii="Arial" w:eastAsia="Calibri" w:hAnsi="Arial" w:cs="Arial"/>
          <w:bCs/>
          <w:sz w:val="22"/>
          <w:lang w:val="es-ES_tradnl"/>
        </w:rPr>
        <w:tab/>
        <w:t xml:space="preserve">De acuerdo con estas consideraciones, no hay una plena equivalencia entre las </w:t>
      </w:r>
      <w:bookmarkStart w:id="6" w:name="_Hlk95322109"/>
      <w:r w:rsidRPr="00E62261">
        <w:rPr>
          <w:rFonts w:ascii="Arial" w:eastAsia="Calibri" w:hAnsi="Arial" w:cs="Arial"/>
          <w:bCs/>
          <w:sz w:val="22"/>
          <w:lang w:val="es-ES_tradnl"/>
        </w:rPr>
        <w:t xml:space="preserve">actividades que hacen parte del desarrollo del </w:t>
      </w:r>
      <w:r w:rsidRPr="00E62261">
        <w:rPr>
          <w:rFonts w:ascii="Arial" w:eastAsia="Calibri" w:hAnsi="Arial" w:cs="Arial"/>
          <w:bCs/>
          <w:i/>
          <w:iCs/>
          <w:sz w:val="22"/>
          <w:lang w:val="es-ES_tradnl"/>
        </w:rPr>
        <w:t>objeto social</w:t>
      </w:r>
      <w:r w:rsidRPr="00E62261">
        <w:rPr>
          <w:rFonts w:ascii="Arial" w:eastAsia="Calibri" w:hAnsi="Arial" w:cs="Arial"/>
          <w:bCs/>
          <w:sz w:val="22"/>
          <w:lang w:val="es-ES_tradnl"/>
        </w:rPr>
        <w:t xml:space="preserve"> y las que comprende el </w:t>
      </w:r>
      <w:r w:rsidRPr="00E62261">
        <w:rPr>
          <w:rFonts w:ascii="Arial" w:eastAsia="Calibri" w:hAnsi="Arial" w:cs="Arial"/>
          <w:bCs/>
          <w:i/>
          <w:iCs/>
          <w:sz w:val="22"/>
          <w:lang w:val="es-ES_tradnl"/>
        </w:rPr>
        <w:t>giro ordinario</w:t>
      </w:r>
      <w:r w:rsidRPr="00E62261">
        <w:rPr>
          <w:rFonts w:ascii="Arial" w:eastAsia="Calibri" w:hAnsi="Arial" w:cs="Arial"/>
          <w:bCs/>
          <w:sz w:val="22"/>
          <w:lang w:val="es-ES_tradnl"/>
        </w:rPr>
        <w:t xml:space="preserve">, pues, como precisa la Superintendencia de Sociedades, entre lo que designan estas categorías existe una relación de género a especie. </w:t>
      </w:r>
    </w:p>
    <w:p w14:paraId="6C761AFD" w14:textId="77777777" w:rsidR="00DB2853" w:rsidRPr="00E62261" w:rsidRDefault="00DB2853" w:rsidP="00DB2853">
      <w:pPr>
        <w:tabs>
          <w:tab w:val="left" w:pos="0"/>
        </w:tabs>
        <w:spacing w:after="120" w:line="276" w:lineRule="auto"/>
        <w:jc w:val="both"/>
        <w:rPr>
          <w:rFonts w:ascii="Arial" w:eastAsia="Calibri" w:hAnsi="Arial" w:cs="Arial"/>
          <w:bCs/>
          <w:sz w:val="22"/>
          <w:lang w:val="es-ES_tradnl"/>
        </w:rPr>
      </w:pPr>
      <w:r w:rsidRPr="00E62261">
        <w:rPr>
          <w:rFonts w:ascii="Arial" w:eastAsia="Calibri" w:hAnsi="Arial" w:cs="Arial"/>
          <w:bCs/>
          <w:sz w:val="22"/>
          <w:lang w:val="es-ES_tradnl"/>
        </w:rPr>
        <w:tab/>
        <w:t xml:space="preserve">En relación con la aplicación de lo dispuesto en el parágrafo del artículo 56 de la Ley 2195 de 2022, conviene aclarar que, a juicio de esta Agencia, a menos que el Presidente de la República, en ejercicio de la potestad reglamentaria atribuida por el artículo 189.11 de la Constitución Política, disponga algo diferente, la expresión </w:t>
      </w:r>
      <w:r w:rsidRPr="00E62261">
        <w:rPr>
          <w:rFonts w:ascii="Arial" w:eastAsia="Calibri" w:hAnsi="Arial" w:cs="Arial"/>
          <w:bCs/>
          <w:i/>
          <w:iCs/>
          <w:sz w:val="22"/>
          <w:lang w:val="es-ES_tradnl"/>
        </w:rPr>
        <w:t xml:space="preserve">giro ordinario </w:t>
      </w:r>
      <w:r w:rsidRPr="00E62261">
        <w:rPr>
          <w:rFonts w:ascii="Arial" w:eastAsia="Calibri" w:hAnsi="Arial" w:cs="Arial"/>
          <w:bCs/>
          <w:sz w:val="22"/>
          <w:lang w:val="es-ES_tradnl"/>
        </w:rPr>
        <w:t xml:space="preserve">en dicha norma se usa para designar a la contratación directamente relacionada con los asuntos de la gestión habitual u ordinaria de los tipos de entidades mencionadas en el parágrafo. No obstante, la determinación de las actividades que comprenden el </w:t>
      </w:r>
      <w:r w:rsidRPr="00E62261">
        <w:rPr>
          <w:rFonts w:ascii="Arial" w:eastAsia="Calibri" w:hAnsi="Arial" w:cs="Arial"/>
          <w:bCs/>
          <w:i/>
          <w:iCs/>
          <w:sz w:val="22"/>
          <w:lang w:val="es-ES_tradnl"/>
        </w:rPr>
        <w:t>giro ordinario</w:t>
      </w:r>
      <w:r w:rsidRPr="00E62261">
        <w:rPr>
          <w:rFonts w:ascii="Arial" w:eastAsia="Calibri" w:hAnsi="Arial" w:cs="Arial"/>
          <w:bCs/>
          <w:sz w:val="22"/>
          <w:lang w:val="es-ES_tradnl"/>
        </w:rPr>
        <w:t xml:space="preserve"> es un asunto que debe establecerse en cada caso concreto por parte de las entidades estatales –</w:t>
      </w:r>
      <w:r w:rsidRPr="00E62261">
        <w:rPr>
          <w:rFonts w:ascii="Arial" w:eastAsia="Calibri" w:hAnsi="Arial" w:cs="Arial"/>
          <w:bCs/>
          <w:sz w:val="22"/>
          <w:lang w:val="es-ES_tradnl"/>
        </w:rPr>
        <w:lastRenderedPageBreak/>
        <w:t xml:space="preserve">analizando lo establecido en sus actos de creación y verificando los negocios habituales u ordinarios que desarrollan–, pues el parágrafo del artículo 56 </w:t>
      </w:r>
      <w:proofErr w:type="spellStart"/>
      <w:r w:rsidRPr="00E62261">
        <w:rPr>
          <w:rFonts w:ascii="Arial" w:eastAsia="Calibri" w:hAnsi="Arial" w:cs="Arial"/>
          <w:bCs/>
          <w:i/>
          <w:iCs/>
          <w:sz w:val="22"/>
          <w:lang w:val="es-ES_tradnl"/>
        </w:rPr>
        <w:t>ejusdem</w:t>
      </w:r>
      <w:proofErr w:type="spellEnd"/>
      <w:r w:rsidRPr="00E62261">
        <w:rPr>
          <w:rFonts w:ascii="Arial" w:eastAsia="Calibri" w:hAnsi="Arial" w:cs="Arial"/>
          <w:bCs/>
          <w:sz w:val="22"/>
          <w:lang w:val="es-ES_tradnl"/>
        </w:rPr>
        <w:t xml:space="preserve"> se limita a enunciar algunos tipos de entidades estatales, las cuales no solo difieren en su naturaleza jurídica, sino también en las actividades que realizan. </w:t>
      </w:r>
    </w:p>
    <w:p w14:paraId="09F6548C" w14:textId="77777777" w:rsidR="00DB2853" w:rsidRPr="00E62261" w:rsidRDefault="00DB2853" w:rsidP="00DB2853">
      <w:pPr>
        <w:tabs>
          <w:tab w:val="left" w:pos="0"/>
        </w:tabs>
        <w:spacing w:after="120" w:line="276" w:lineRule="auto"/>
        <w:ind w:firstLine="709"/>
        <w:jc w:val="both"/>
        <w:rPr>
          <w:rFonts w:ascii="Arial" w:eastAsia="Calibri" w:hAnsi="Arial" w:cs="Arial"/>
          <w:bCs/>
          <w:sz w:val="22"/>
          <w:lang w:val="es-ES_tradnl"/>
        </w:rPr>
      </w:pPr>
      <w:r w:rsidRPr="00E62261">
        <w:rPr>
          <w:rFonts w:ascii="Arial" w:eastAsia="Calibri" w:hAnsi="Arial" w:cs="Arial"/>
          <w:bCs/>
          <w:sz w:val="22"/>
          <w:lang w:val="es-ES_tradnl"/>
        </w:rPr>
        <w:t xml:space="preserve">Esto impide que la Agencia Nacional de Contratación Pública, en sede consultiva, pueda determinar, con un criterio universal y absoluto, qué actividades específicas hacen parte del giro ordinario de los negocios de dichas entidades y cuáles escapan de este, pues, como se indicó, al explicar la naturaleza de los conceptos jurídicos indeterminados, la concreción del alcance de la expresión </w:t>
      </w:r>
      <w:r w:rsidRPr="00E62261">
        <w:rPr>
          <w:rFonts w:ascii="Arial" w:eastAsia="Calibri" w:hAnsi="Arial" w:cs="Arial"/>
          <w:bCs/>
          <w:i/>
          <w:iCs/>
          <w:sz w:val="22"/>
          <w:lang w:val="es-ES_tradnl"/>
        </w:rPr>
        <w:t>giro ordinario</w:t>
      </w:r>
      <w:r w:rsidRPr="00E62261">
        <w:rPr>
          <w:rFonts w:ascii="Arial" w:eastAsia="Calibri" w:hAnsi="Arial" w:cs="Arial"/>
          <w:bCs/>
          <w:sz w:val="22"/>
          <w:lang w:val="es-ES_tradnl"/>
        </w:rPr>
        <w:t xml:space="preserve"> debe hacerse en el caso concreto, empleando un criterio de interpretación restrictiva. Ello en la medida en que el parágrafo del artículo 56 consagra una excepción a una regla general. Además, cada una de las entidades estatales señaladas en dicho parágrafo se encuentra circunscrita, hermenéuticamente –para acotar aquel concepto–, a lo que establezcan sus normas estatutarias –actos de creación y demás reglamentos–, así como a la realidad de los negocios que hacen parte de su dinámica habitual.</w:t>
      </w:r>
    </w:p>
    <w:bookmarkEnd w:id="6"/>
    <w:p w14:paraId="4A16436B" w14:textId="77777777" w:rsidR="00DB2853" w:rsidRPr="00E62261" w:rsidRDefault="00DB2853" w:rsidP="00DB2853">
      <w:pPr>
        <w:tabs>
          <w:tab w:val="left" w:pos="0"/>
        </w:tabs>
        <w:spacing w:after="120" w:line="276" w:lineRule="auto"/>
        <w:jc w:val="both"/>
        <w:rPr>
          <w:rFonts w:ascii="Arial" w:eastAsia="Calibri" w:hAnsi="Arial" w:cs="Arial"/>
          <w:bCs/>
          <w:sz w:val="22"/>
          <w:lang w:val="es-ES_tradnl"/>
        </w:rPr>
      </w:pPr>
      <w:r w:rsidRPr="00E62261">
        <w:rPr>
          <w:rFonts w:ascii="Arial" w:eastAsia="Calibri" w:hAnsi="Arial" w:cs="Arial"/>
          <w:bCs/>
          <w:sz w:val="22"/>
          <w:lang w:val="es-ES_tradnl"/>
        </w:rPr>
        <w:tab/>
        <w:t xml:space="preserve">En tales términos, lo dispuesto en el parágrafo del artículo 56 implica que las instituciones de educación superior públicas, las empresas sociales del Estado, las sociedades de economía mixta y las empresas industriales y comerciales del Estado, no tendrán que implementar los documentos tipo únicamente para la contratación relacionada con el </w:t>
      </w:r>
      <w:r w:rsidRPr="00E62261">
        <w:rPr>
          <w:rFonts w:ascii="Arial" w:eastAsia="Calibri" w:hAnsi="Arial" w:cs="Arial"/>
          <w:bCs/>
          <w:i/>
          <w:iCs/>
          <w:sz w:val="22"/>
          <w:lang w:val="es-ES_tradnl"/>
        </w:rPr>
        <w:t xml:space="preserve">giro ordinario </w:t>
      </w:r>
      <w:r w:rsidRPr="00E62261">
        <w:rPr>
          <w:rFonts w:ascii="Arial" w:eastAsia="Calibri" w:hAnsi="Arial" w:cs="Arial"/>
          <w:bCs/>
          <w:sz w:val="22"/>
          <w:lang w:val="es-ES_tradnl"/>
        </w:rPr>
        <w:t xml:space="preserve">de sus asuntos, salvo que los manuales internos de contratación de estas entidades dispongan la obligación de tener en cuenta los documentos tipo como una buena práctica contractual. De acuerdo con este entendimiento, estas entidades, en virtud de su enunciación en este parágrafo, quedan, en principio, exceptuadas de los documentos tipo, incluso para la contratación de obras o servicios cubiertos por documentos tipo, en el marco del cumplimiento de contratos o convenios con entidades sometidas al EGCAP y de los negocios jurídicos que se deriven de ellos, exclusivamente en lo que se refiere a </w:t>
      </w:r>
      <w:r w:rsidRPr="00E62261">
        <w:rPr>
          <w:rFonts w:ascii="Arial" w:eastAsia="Calibri" w:hAnsi="Arial" w:cs="Arial"/>
          <w:bCs/>
          <w:i/>
          <w:iCs/>
          <w:sz w:val="22"/>
          <w:lang w:val="es-ES_tradnl"/>
        </w:rPr>
        <w:t>su giro ordinario</w:t>
      </w:r>
      <w:r w:rsidRPr="00E62261">
        <w:rPr>
          <w:rFonts w:ascii="Arial" w:eastAsia="Calibri" w:hAnsi="Arial" w:cs="Arial"/>
          <w:bCs/>
          <w:sz w:val="22"/>
          <w:lang w:val="es-ES_tradnl"/>
        </w:rPr>
        <w:t xml:space="preserve">, entendido este conforme a los criterios jurisprudenciales y doctrinarios aquí explicados. En otras palabras, ninguna entidad cuya naturaleza jurídica coincida con las mencionadas en el parágrafo del artículo 56, tendrá que someterse de manera obligatoria a los documentos tipo o el EGCAP para la contratación de obras o servicios asociadas a su </w:t>
      </w:r>
      <w:r w:rsidRPr="00E62261">
        <w:rPr>
          <w:rFonts w:ascii="Arial" w:eastAsia="Calibri" w:hAnsi="Arial" w:cs="Arial"/>
          <w:bCs/>
          <w:i/>
          <w:iCs/>
          <w:sz w:val="22"/>
          <w:lang w:val="es-ES_tradnl"/>
        </w:rPr>
        <w:t>giro ordinario</w:t>
      </w:r>
      <w:r w:rsidRPr="00E62261">
        <w:rPr>
          <w:rFonts w:ascii="Arial" w:eastAsia="Calibri" w:hAnsi="Arial" w:cs="Arial"/>
          <w:bCs/>
          <w:sz w:val="22"/>
          <w:lang w:val="es-ES_tradnl"/>
        </w:rPr>
        <w:t xml:space="preserve">, a menos que su manual de contratación establezca lo contrario. De hacerlo, primará el principio de inderogabilidad singular del reglamento, que obliga a aplicarlo en las actuaciones concretas.  </w:t>
      </w:r>
    </w:p>
    <w:p w14:paraId="5325416D" w14:textId="77777777" w:rsidR="00DB2853" w:rsidRPr="00E62261" w:rsidRDefault="00DB2853" w:rsidP="00DB2853">
      <w:pPr>
        <w:tabs>
          <w:tab w:val="left" w:pos="0"/>
        </w:tabs>
        <w:spacing w:after="120" w:line="276" w:lineRule="auto"/>
        <w:jc w:val="both"/>
        <w:rPr>
          <w:rFonts w:ascii="Arial" w:eastAsia="Calibri" w:hAnsi="Arial" w:cs="Arial"/>
          <w:bCs/>
          <w:sz w:val="22"/>
          <w:lang w:val="es-ES_tradnl"/>
        </w:rPr>
      </w:pPr>
      <w:r w:rsidRPr="00E62261">
        <w:rPr>
          <w:rFonts w:ascii="Arial" w:eastAsia="Calibri" w:hAnsi="Arial" w:cs="Arial"/>
          <w:bCs/>
          <w:sz w:val="22"/>
          <w:lang w:val="es-ES_tradnl"/>
        </w:rPr>
        <w:tab/>
        <w:t xml:space="preserve">Esta interpretación, a juicio de la Agencia, se desprende de la literalidad del texto de la norma en comento, sino que además está en armonía con la voluntad del órgano legislativo. Al respecto se estima que, si bien es cierto que entre los propósitos del artículo está la extensión de los documentos tipo a entidades exceptuadas –a través de las cuales </w:t>
      </w:r>
      <w:r w:rsidRPr="00E62261">
        <w:rPr>
          <w:rFonts w:ascii="Arial" w:eastAsia="Calibri" w:hAnsi="Arial" w:cs="Arial"/>
          <w:bCs/>
          <w:sz w:val="22"/>
          <w:lang w:val="es-ES_tradnl"/>
        </w:rPr>
        <w:lastRenderedPageBreak/>
        <w:t>se podría estar eludiendo la aplicación de documentos tipo</w:t>
      </w:r>
      <w:r w:rsidRPr="00E62261">
        <w:rPr>
          <w:rFonts w:ascii="Arial" w:eastAsia="Calibri" w:hAnsi="Arial" w:cs="Arial"/>
          <w:vertAlign w:val="superscript"/>
        </w:rPr>
        <w:footnoteReference w:id="20"/>
      </w:r>
      <w:r w:rsidRPr="00E62261">
        <w:rPr>
          <w:rFonts w:ascii="Arial" w:eastAsia="Calibri" w:hAnsi="Arial" w:cs="Arial"/>
          <w:bCs/>
          <w:sz w:val="22"/>
          <w:lang w:val="es-ES_tradnl"/>
        </w:rPr>
        <w:t>–, no es menos cierto que el Legislador, en materia de contratación estatal, goza de un amplio margen de configuración normativa, de conformidad con lo dispuesto en el inciso final del artículo 150 de la Constitución Política</w:t>
      </w:r>
      <w:r w:rsidRPr="00E62261">
        <w:rPr>
          <w:rFonts w:ascii="Arial" w:eastAsia="Calibri" w:hAnsi="Arial" w:cs="Arial"/>
          <w:vertAlign w:val="superscript"/>
        </w:rPr>
        <w:footnoteReference w:id="21"/>
      </w:r>
      <w:r w:rsidRPr="00E62261">
        <w:rPr>
          <w:rFonts w:ascii="Arial" w:eastAsia="Calibri" w:hAnsi="Arial" w:cs="Arial"/>
          <w:bCs/>
          <w:sz w:val="22"/>
          <w:lang w:val="es-ES_tradnl"/>
        </w:rPr>
        <w:t xml:space="preserve">. En ese sentido, en virtud de esta potestad de configuración normativa, resulta perfectamente válido que se establezca una regla general y unas excepciones, como se hace, por ejemplo, en el artículo 56 de la Ley 2195 de 2022, en el que se consagra un mandato general en los primeros dos incisos, y una excepción en el parágrafo, para lo que enuncian unos tipos de entidades que se excluyen de la regla general, únicamente respecto de la contratación de su </w:t>
      </w:r>
      <w:r w:rsidRPr="00E62261">
        <w:rPr>
          <w:rFonts w:ascii="Arial" w:eastAsia="Calibri" w:hAnsi="Arial" w:cs="Arial"/>
          <w:bCs/>
          <w:i/>
          <w:iCs/>
          <w:sz w:val="22"/>
          <w:lang w:val="es-ES_tradnl"/>
        </w:rPr>
        <w:t>giro ordinario.</w:t>
      </w:r>
      <w:r w:rsidRPr="00E62261">
        <w:rPr>
          <w:rFonts w:ascii="Arial" w:eastAsia="Calibri" w:hAnsi="Arial" w:cs="Arial"/>
          <w:bCs/>
          <w:sz w:val="22"/>
          <w:lang w:val="es-ES_tradnl"/>
        </w:rPr>
        <w:t xml:space="preserve"> A esto se suma el hecho de que el parágrafo bajo estudio es una norma restrictiva, por lo que, en virtud de dicho carácter, amerita una interpretación apegada a lo que literalmente se desprende del texto. Como lo ha establecido el Consejo de Estado, «[…] de conformidad con la jurisprudencia uniforme y reiterada de esta Corporación, la aplicación de las normas que </w:t>
      </w:r>
      <w:r w:rsidRPr="00E62261">
        <w:rPr>
          <w:rFonts w:ascii="Arial" w:eastAsia="Calibri" w:hAnsi="Arial" w:cs="Arial"/>
          <w:bCs/>
          <w:sz w:val="22"/>
          <w:lang w:val="es-ES_tradnl"/>
        </w:rPr>
        <w:lastRenderedPageBreak/>
        <w:t>contemplan […] prohibiciones o limitaciones, deben responder a una interpretación restrictiva que no permite su extensión, por vía de la figura de la analogía, a supuestos no contemplados por el ordenamiento»</w:t>
      </w:r>
      <w:r w:rsidRPr="00E62261">
        <w:rPr>
          <w:rFonts w:ascii="Arial" w:eastAsia="Calibri" w:hAnsi="Arial" w:cs="Arial"/>
          <w:vertAlign w:val="superscript"/>
        </w:rPr>
        <w:footnoteReference w:id="22"/>
      </w:r>
      <w:r w:rsidRPr="00E62261">
        <w:rPr>
          <w:rFonts w:ascii="Arial" w:eastAsia="Calibri" w:hAnsi="Arial" w:cs="Arial"/>
          <w:bCs/>
          <w:sz w:val="22"/>
          <w:lang w:val="es-ES_tradnl"/>
        </w:rPr>
        <w:t>.</w:t>
      </w:r>
    </w:p>
    <w:p w14:paraId="574BDF78" w14:textId="77777777" w:rsidR="00DB2853" w:rsidRPr="00E62261" w:rsidRDefault="00DB2853" w:rsidP="00DB2853">
      <w:pPr>
        <w:tabs>
          <w:tab w:val="left" w:pos="0"/>
        </w:tabs>
        <w:spacing w:before="120" w:after="120" w:line="276" w:lineRule="auto"/>
        <w:ind w:firstLine="709"/>
        <w:jc w:val="both"/>
        <w:rPr>
          <w:rFonts w:ascii="Arial" w:hAnsi="Arial" w:cs="Arial"/>
          <w:sz w:val="22"/>
        </w:rPr>
      </w:pPr>
      <w:r w:rsidRPr="00E62261">
        <w:rPr>
          <w:rFonts w:ascii="Arial" w:eastAsia="Calibri" w:hAnsi="Arial" w:cs="Arial"/>
          <w:bCs/>
          <w:sz w:val="22"/>
          <w:lang w:val="es-ES_tradnl"/>
        </w:rPr>
        <w:t>De acuerdo con esta interpretación restrictiva</w:t>
      </w:r>
      <w:r w:rsidRPr="00E62261">
        <w:rPr>
          <w:rFonts w:ascii="Arial" w:eastAsia="Calibri" w:hAnsi="Arial" w:cs="Arial"/>
          <w:vertAlign w:val="superscript"/>
        </w:rPr>
        <w:footnoteReference w:id="23"/>
      </w:r>
      <w:r w:rsidRPr="00E62261">
        <w:rPr>
          <w:rFonts w:ascii="Arial" w:eastAsia="Calibri" w:hAnsi="Arial" w:cs="Arial"/>
          <w:bCs/>
          <w:sz w:val="22"/>
          <w:lang w:val="es-ES_tradnl"/>
        </w:rPr>
        <w:t xml:space="preserve">, el parágrafo del artículo 56 de la Ley 2195 de 2022 es claro al excluir a las instituciones de educación superior públicas, las empresas sociales del Estado, las sociedades de economía mixta y las empresas industriales y comerciales del Estado, de la aplicación de los documentos tipo y del EGCAP, únicamente en la contratación asociada a su </w:t>
      </w:r>
      <w:r w:rsidRPr="00E62261">
        <w:rPr>
          <w:rFonts w:ascii="Arial" w:eastAsia="Calibri" w:hAnsi="Arial" w:cs="Arial"/>
          <w:bCs/>
          <w:i/>
          <w:iCs/>
          <w:sz w:val="22"/>
          <w:lang w:val="es-ES_tradnl"/>
        </w:rPr>
        <w:t xml:space="preserve">giro ordinario, </w:t>
      </w:r>
      <w:r w:rsidRPr="00E62261">
        <w:rPr>
          <w:rFonts w:ascii="Arial" w:eastAsia="Calibri" w:hAnsi="Arial" w:cs="Arial"/>
          <w:bCs/>
          <w:sz w:val="22"/>
          <w:lang w:val="es-ES_tradnl"/>
        </w:rPr>
        <w:t>derivada del cumplimiento de contratos y/o convenios con entidades sometidas al EGCAP. Por ello, no es posible sostener una interpretación teleológica que pretenda una aplicación extensiva de los documentos tipo por parte de las entidades estatales que menciona el parágrafo, pues  ello además implicaría contrariar aquel mandato interpretativo según el cual «cuando el sentido de la ley sea claro, no se desatenderá su tenor literal a pretexto de consultar su espíritu»</w:t>
      </w:r>
      <w:r w:rsidRPr="00E62261">
        <w:rPr>
          <w:rFonts w:ascii="Arial" w:hAnsi="Arial" w:cs="Arial"/>
          <w:vertAlign w:val="superscript"/>
        </w:rPr>
        <w:footnoteReference w:id="24"/>
      </w:r>
      <w:r w:rsidRPr="00E62261">
        <w:rPr>
          <w:rFonts w:ascii="Arial" w:eastAsia="Calibri" w:hAnsi="Arial" w:cs="Arial"/>
          <w:bCs/>
          <w:sz w:val="22"/>
          <w:lang w:val="es-ES_tradnl"/>
        </w:rPr>
        <w:t>, al igual que la regla según la cual «</w:t>
      </w:r>
      <w:r w:rsidRPr="00E62261">
        <w:rPr>
          <w:rFonts w:ascii="Arial" w:hAnsi="Arial" w:cs="Arial"/>
          <w:sz w:val="22"/>
        </w:rPr>
        <w:t>Lo favorable u odioso de una disposición no se tomará en cuenta para ampliar o restringir su interpretación»</w:t>
      </w:r>
      <w:r w:rsidRPr="00E62261">
        <w:rPr>
          <w:rFonts w:ascii="Arial" w:hAnsi="Arial" w:cs="Arial"/>
          <w:vertAlign w:val="superscript"/>
        </w:rPr>
        <w:footnoteReference w:id="25"/>
      </w:r>
      <w:r w:rsidRPr="00E62261">
        <w:rPr>
          <w:rFonts w:ascii="Arial" w:hAnsi="Arial" w:cs="Arial"/>
          <w:sz w:val="22"/>
        </w:rPr>
        <w:t xml:space="preserve">. </w:t>
      </w:r>
    </w:p>
    <w:p w14:paraId="14C8D583" w14:textId="77777777" w:rsidR="00DB2853" w:rsidRDefault="00DB2853" w:rsidP="00DB2853">
      <w:pPr>
        <w:tabs>
          <w:tab w:val="left" w:pos="0"/>
        </w:tabs>
        <w:spacing w:before="120" w:line="276" w:lineRule="auto"/>
        <w:ind w:firstLine="709"/>
        <w:jc w:val="both"/>
        <w:rPr>
          <w:rFonts w:ascii="Arial" w:eastAsia="Calibri" w:hAnsi="Arial" w:cs="Arial"/>
          <w:bCs/>
          <w:sz w:val="22"/>
          <w:lang w:val="es-ES_tradnl"/>
        </w:rPr>
      </w:pPr>
      <w:r w:rsidRPr="00E62261">
        <w:rPr>
          <w:rFonts w:ascii="Arial" w:eastAsia="Calibri" w:hAnsi="Arial" w:cs="Arial"/>
          <w:bCs/>
          <w:sz w:val="22"/>
          <w:lang w:val="es-ES_tradnl"/>
        </w:rPr>
        <w:t xml:space="preserve">En conclusión, a juicio de esta Agencia lo dispuesto en el parágrafo del artículo 56 de la Ley 2195 de 2022, es una manifestación de la voluntad del Legislador de relevar a las instituciones de educación superior públicas, las empresas sociales del Estado, las sociedades de economía mixta y las empresas industriales y comerciales del Estado, de la implementación de documentos tipo y de la aplicación del EGCAP, únicamente en lo que tiene que ver con su </w:t>
      </w:r>
      <w:r w:rsidRPr="00E62261">
        <w:rPr>
          <w:rFonts w:ascii="Arial" w:eastAsia="Calibri" w:hAnsi="Arial" w:cs="Arial"/>
          <w:bCs/>
          <w:i/>
          <w:iCs/>
          <w:sz w:val="22"/>
          <w:lang w:val="es-ES_tradnl"/>
        </w:rPr>
        <w:t>giro ordinario</w:t>
      </w:r>
      <w:r w:rsidRPr="00E62261">
        <w:rPr>
          <w:rFonts w:ascii="Arial" w:eastAsia="Calibri" w:hAnsi="Arial" w:cs="Arial"/>
          <w:bCs/>
          <w:sz w:val="22"/>
          <w:lang w:val="es-ES_tradnl"/>
        </w:rPr>
        <w:t xml:space="preserve">. Esto significa que tales entidades, cuando, en desarrollo de un contrato o un convenio con una entidad sometida al EGCAP, requieran contratar un objeto cobijado por algún documento tipo, que no esté comprendido dentro de su </w:t>
      </w:r>
      <w:r w:rsidRPr="00E62261">
        <w:rPr>
          <w:rFonts w:ascii="Arial" w:eastAsia="Calibri" w:hAnsi="Arial" w:cs="Arial"/>
          <w:bCs/>
          <w:i/>
          <w:iCs/>
          <w:sz w:val="22"/>
          <w:lang w:val="es-ES_tradnl"/>
        </w:rPr>
        <w:t>giro ordinario,</w:t>
      </w:r>
      <w:r w:rsidRPr="00E62261">
        <w:rPr>
          <w:rFonts w:ascii="Arial" w:eastAsia="Calibri" w:hAnsi="Arial" w:cs="Arial"/>
          <w:bCs/>
          <w:sz w:val="22"/>
          <w:lang w:val="es-ES_tradnl"/>
        </w:rPr>
        <w:t xml:space="preserve"> deberán regirse por lo establecido en los dos incisos del referido artículo. Esta interpretación encuentra sustento en el principio del efecto útil del artículo 56 de la Ley 2195 de 2022, pues refleja el alcance que el Legislador quiso darle a la norma en comento.  </w:t>
      </w:r>
    </w:p>
    <w:p w14:paraId="2B743A59" w14:textId="77777777" w:rsidR="00DB2853" w:rsidRDefault="00DB2853" w:rsidP="00D34196">
      <w:pPr>
        <w:tabs>
          <w:tab w:val="left" w:pos="0"/>
        </w:tabs>
        <w:jc w:val="both"/>
        <w:rPr>
          <w:rFonts w:ascii="Arial" w:eastAsia="Calibri" w:hAnsi="Arial" w:cs="Arial"/>
          <w:b/>
          <w:color w:val="000000" w:themeColor="text1"/>
          <w:sz w:val="22"/>
          <w:lang w:val="es-ES"/>
        </w:rPr>
      </w:pPr>
    </w:p>
    <w:p w14:paraId="2F817477" w14:textId="0E4C981D" w:rsidR="00D34196" w:rsidRPr="00071199" w:rsidRDefault="00D34196" w:rsidP="00D34196">
      <w:pPr>
        <w:tabs>
          <w:tab w:val="left" w:pos="0"/>
        </w:tabs>
        <w:jc w:val="both"/>
        <w:rPr>
          <w:rFonts w:ascii="Arial" w:eastAsia="Calibri" w:hAnsi="Arial" w:cs="Arial"/>
          <w:b/>
          <w:color w:val="000000" w:themeColor="text1"/>
          <w:sz w:val="22"/>
          <w:lang w:val="es-ES"/>
        </w:rPr>
      </w:pPr>
      <w:r w:rsidRPr="00071199">
        <w:rPr>
          <w:rFonts w:ascii="Arial" w:eastAsia="Calibri" w:hAnsi="Arial" w:cs="Arial"/>
          <w:b/>
          <w:color w:val="000000" w:themeColor="text1"/>
          <w:sz w:val="22"/>
          <w:lang w:val="es-ES"/>
        </w:rPr>
        <w:t>3. Respuestas</w:t>
      </w:r>
    </w:p>
    <w:p w14:paraId="145DCB5B" w14:textId="77777777" w:rsidR="00D34196" w:rsidRPr="00071199" w:rsidRDefault="00D34196" w:rsidP="00D34196">
      <w:pPr>
        <w:tabs>
          <w:tab w:val="left" w:pos="0"/>
        </w:tabs>
        <w:jc w:val="both"/>
        <w:rPr>
          <w:rFonts w:ascii="Arial" w:eastAsia="Calibri" w:hAnsi="Arial" w:cs="Arial"/>
          <w:color w:val="000000" w:themeColor="text1"/>
          <w:sz w:val="22"/>
          <w:lang w:val="es-ES"/>
        </w:rPr>
      </w:pPr>
    </w:p>
    <w:p w14:paraId="66149593" w14:textId="03882D24" w:rsidR="00D34196" w:rsidRPr="00DB2853" w:rsidRDefault="00DB2853" w:rsidP="00DB2853">
      <w:pPr>
        <w:pStyle w:val="NormalWeb"/>
        <w:ind w:left="708" w:right="900"/>
        <w:jc w:val="both"/>
        <w:rPr>
          <w:rFonts w:ascii="Arial" w:hAnsi="Arial" w:cs="Arial"/>
          <w:sz w:val="21"/>
          <w:szCs w:val="21"/>
        </w:rPr>
      </w:pPr>
      <w:r w:rsidRPr="006337DF">
        <w:rPr>
          <w:rFonts w:ascii="Arial" w:hAnsi="Arial" w:cs="Arial"/>
          <w:sz w:val="21"/>
          <w:szCs w:val="21"/>
        </w:rPr>
        <w:t>«</w:t>
      </w:r>
      <w:r w:rsidRPr="00504C78">
        <w:rPr>
          <w:rFonts w:ascii="Arial" w:hAnsi="Arial" w:cs="Arial"/>
          <w:sz w:val="21"/>
          <w:szCs w:val="21"/>
        </w:rPr>
        <w:t>[…] por medio del presente me permito solicitar concepto respecto de la posibilidad o no que tienen las empresas prestadoras de servicios públicos domiciliarios cuya naturaleza jurídica es la de una sociedad anónima entre entidades públicas (sic), de aplicar en sus procedimientos de selección de contratistas la excepción contenida en el parágrafo del artículo 56 de la Ley 2195 de 2022, la cual preceptúa: "PARÁGRAFO. Se exceptúan del presente artículo las Instituciones de Educación Superior públicas, las empresas sociales del Estado, las sociedades de economía mixta y las empresas industriales y comerciales del Estado, únicamente en cuanto a la contratación de su giro ordinario. En estos casos, en los manuales de contratación de estas entidades, se fomentará como buena práctica la aplicación de los pliegos tipo.", o si por el contrario, deben, para la adquisición de bienes, obras o servicios, en el marco de la ejecución de un convenio y/o contrato interadministrativo, aplicar los documentos tipo adoptados por la Agencia Nacional de Contratación Pública -Colombia Compra Eficiente, conforme al parágrafo 7 del artículo 2o de la Ley 1150 de 2007 o las normas que lo modifiquen o sustituyan; y por tanto, desarrollar los procedimientos de selección y los contratos a que haya lugar, aplicando las disposiciones establecidas por el Estatuto General de Contratación de la Administración Pública.</w:t>
      </w:r>
      <w:r w:rsidRPr="006337DF">
        <w:rPr>
          <w:rFonts w:ascii="Arial" w:hAnsi="Arial" w:cs="Arial"/>
          <w:sz w:val="21"/>
          <w:szCs w:val="21"/>
        </w:rPr>
        <w:t>»</w:t>
      </w:r>
      <w:r w:rsidRPr="00504C78">
        <w:rPr>
          <w:rFonts w:ascii="Arial" w:hAnsi="Arial" w:cs="Arial"/>
          <w:sz w:val="21"/>
          <w:szCs w:val="21"/>
        </w:rPr>
        <w:t xml:space="preserve"> </w:t>
      </w:r>
    </w:p>
    <w:p w14:paraId="31114ACA" w14:textId="77777777" w:rsidR="00DB2853" w:rsidRPr="00AA4ED6" w:rsidRDefault="00DB2853" w:rsidP="00DB2853">
      <w:pPr>
        <w:spacing w:line="276" w:lineRule="auto"/>
        <w:jc w:val="both"/>
        <w:rPr>
          <w:rFonts w:ascii="Arial" w:hAnsi="Arial" w:cs="Arial"/>
          <w:color w:val="000000"/>
          <w:sz w:val="22"/>
          <w:szCs w:val="22"/>
          <w:bdr w:val="none" w:sz="0" w:space="0" w:color="auto" w:frame="1"/>
        </w:rPr>
      </w:pPr>
      <w:bookmarkStart w:id="7" w:name="_Hlk96331557"/>
      <w:r w:rsidRPr="00437DB9">
        <w:rPr>
          <w:rFonts w:ascii="Arial" w:hAnsi="Arial" w:cs="Arial"/>
          <w:color w:val="000000" w:themeColor="text1"/>
          <w:sz w:val="22"/>
          <w:szCs w:val="22"/>
          <w:shd w:val="clear" w:color="auto" w:fill="FFFFFF"/>
          <w:lang w:val="es-ES_tradnl"/>
        </w:rPr>
        <w:t>De conformidad con l</w:t>
      </w:r>
      <w:r>
        <w:rPr>
          <w:rFonts w:ascii="Arial" w:hAnsi="Arial" w:cs="Arial"/>
          <w:color w:val="000000" w:themeColor="text1"/>
          <w:sz w:val="22"/>
          <w:szCs w:val="22"/>
          <w:shd w:val="clear" w:color="auto" w:fill="FFFFFF"/>
          <w:lang w:val="es-ES_tradnl"/>
        </w:rPr>
        <w:t xml:space="preserve">as consideraciones atrás expuestas, </w:t>
      </w:r>
      <w:r>
        <w:rPr>
          <w:rFonts w:ascii="Arial" w:hAnsi="Arial" w:cs="Arial"/>
          <w:color w:val="000000"/>
          <w:sz w:val="22"/>
          <w:szCs w:val="22"/>
          <w:bdr w:val="none" w:sz="0" w:space="0" w:color="auto" w:frame="1"/>
        </w:rPr>
        <w:t xml:space="preserve">es posible concluir que, </w:t>
      </w:r>
      <w:r w:rsidRPr="00437DB9">
        <w:rPr>
          <w:rFonts w:ascii="Arial" w:hAnsi="Arial" w:cs="Arial"/>
          <w:color w:val="000000" w:themeColor="text1"/>
          <w:sz w:val="22"/>
          <w:szCs w:val="22"/>
          <w:shd w:val="clear" w:color="auto" w:fill="FFFFFF"/>
          <w:lang w:val="es-ES_tradnl"/>
        </w:rPr>
        <w:t>en virtud de lo establecido en el parágrafo 7 del artículo 2 de la Ley 1150 de 2007, modificado por el artículo 1 de la Ley 2022 de 2020, las entidades estatales regidas por el Estatuto General de Contratación de la Administración Pública están obligadas a aplicar los documentos tipo en los procedimientos y contratos que adelanten en aplicación de dicha normativa. Adicionalmente, en atención a lo dispuesto en los dos primeros incisos del artículo 56 de la Ley 2195 de 2022</w:t>
      </w:r>
      <w:r>
        <w:rPr>
          <w:rFonts w:ascii="Arial" w:hAnsi="Arial" w:cs="Arial"/>
          <w:color w:val="000000" w:themeColor="text1"/>
          <w:sz w:val="22"/>
          <w:szCs w:val="22"/>
          <w:shd w:val="clear" w:color="auto" w:fill="FFFFFF"/>
          <w:lang w:val="es-ES_tradnl"/>
        </w:rPr>
        <w:t xml:space="preserve">, </w:t>
      </w:r>
      <w:r w:rsidRPr="00437DB9">
        <w:rPr>
          <w:rFonts w:ascii="Arial" w:hAnsi="Arial" w:cs="Arial"/>
          <w:color w:val="000000" w:themeColor="text1"/>
          <w:sz w:val="22"/>
          <w:szCs w:val="22"/>
          <w:shd w:val="clear" w:color="auto" w:fill="FFFFFF"/>
          <w:lang w:val="es-ES_tradnl"/>
        </w:rPr>
        <w:t>cuando estas entidades suscriban convenios o contratos de cualquier índole con entidades estatales de régimen especial o exc</w:t>
      </w:r>
      <w:r w:rsidRPr="00CE4F09">
        <w:rPr>
          <w:rFonts w:ascii="Arial" w:hAnsi="Arial" w:cs="Arial"/>
          <w:color w:val="000000" w:themeColor="text1"/>
          <w:sz w:val="22"/>
          <w:szCs w:val="22"/>
          <w:shd w:val="clear" w:color="auto" w:fill="FFFFFF"/>
          <w:lang w:val="es-ES_tradnl"/>
        </w:rPr>
        <w:t>eptuado,</w:t>
      </w:r>
      <w:r w:rsidRPr="00437DB9">
        <w:rPr>
          <w:rFonts w:ascii="Arial" w:hAnsi="Arial" w:cs="Arial"/>
          <w:color w:val="000000" w:themeColor="text1"/>
          <w:sz w:val="22"/>
          <w:szCs w:val="22"/>
          <w:shd w:val="clear" w:color="auto" w:fill="FFFFFF"/>
          <w:lang w:val="es-ES_tradnl"/>
        </w:rPr>
        <w:t xml:space="preserve"> patrimonios autónomos, personas naturales o jurídicas de derecho privado, también deberán aplicar documentos tipo, y en general, las disposiciones del Estatuto General de Contratación de la Administración Pública.  </w:t>
      </w:r>
    </w:p>
    <w:p w14:paraId="7F6EF528" w14:textId="77777777" w:rsidR="00DB2853" w:rsidRPr="00437DB9" w:rsidRDefault="00DB2853" w:rsidP="00DB2853">
      <w:pPr>
        <w:spacing w:before="120" w:line="276" w:lineRule="auto"/>
        <w:ind w:firstLine="708"/>
        <w:jc w:val="both"/>
        <w:rPr>
          <w:rFonts w:ascii="Arial" w:hAnsi="Arial" w:cs="Arial"/>
          <w:color w:val="000000" w:themeColor="text1"/>
          <w:sz w:val="22"/>
          <w:szCs w:val="22"/>
          <w:shd w:val="clear" w:color="auto" w:fill="FFFFFF"/>
          <w:lang w:val="es-ES_tradnl"/>
        </w:rPr>
      </w:pPr>
      <w:r>
        <w:rPr>
          <w:rFonts w:ascii="Arial" w:hAnsi="Arial" w:cs="Arial"/>
          <w:color w:val="000000" w:themeColor="text1"/>
          <w:sz w:val="22"/>
          <w:szCs w:val="22"/>
          <w:shd w:val="clear" w:color="auto" w:fill="FFFFFF"/>
          <w:lang w:val="es-ES_tradnl"/>
        </w:rPr>
        <w:t xml:space="preserve">La obligación de aplicar </w:t>
      </w:r>
      <w:r w:rsidRPr="00437DB9">
        <w:rPr>
          <w:rFonts w:ascii="Arial" w:hAnsi="Arial" w:cs="Arial"/>
          <w:color w:val="000000" w:themeColor="text1"/>
          <w:sz w:val="22"/>
          <w:szCs w:val="22"/>
          <w:shd w:val="clear" w:color="auto" w:fill="FFFFFF"/>
          <w:lang w:val="es-ES_tradnl"/>
        </w:rPr>
        <w:t>documentos tipo</w:t>
      </w:r>
      <w:r>
        <w:rPr>
          <w:rFonts w:ascii="Arial" w:hAnsi="Arial" w:cs="Arial"/>
          <w:color w:val="000000" w:themeColor="text1"/>
          <w:sz w:val="22"/>
          <w:szCs w:val="22"/>
          <w:shd w:val="clear" w:color="auto" w:fill="FFFFFF"/>
          <w:lang w:val="es-ES_tradnl"/>
        </w:rPr>
        <w:t>,</w:t>
      </w:r>
      <w:r w:rsidRPr="00437DB9">
        <w:rPr>
          <w:rFonts w:ascii="Arial" w:hAnsi="Arial" w:cs="Arial"/>
          <w:color w:val="000000" w:themeColor="text1"/>
          <w:sz w:val="22"/>
          <w:szCs w:val="22"/>
          <w:shd w:val="clear" w:color="auto" w:fill="FFFFFF"/>
          <w:lang w:val="es-ES_tradnl"/>
        </w:rPr>
        <w:t xml:space="preserve"> y en general, las disposiciones del Estatuto General de Contratación de la Administración Pública</w:t>
      </w:r>
      <w:r>
        <w:rPr>
          <w:rFonts w:ascii="Arial" w:hAnsi="Arial" w:cs="Arial"/>
          <w:color w:val="000000" w:themeColor="text1"/>
          <w:sz w:val="22"/>
          <w:szCs w:val="22"/>
          <w:shd w:val="clear" w:color="auto" w:fill="FFFFFF"/>
          <w:lang w:val="es-ES_tradnl"/>
        </w:rPr>
        <w:t xml:space="preserve"> se extienden no solamente a la celebración del contrato o convenio propiamente dicho, sino también </w:t>
      </w:r>
      <w:r w:rsidRPr="00437DB9">
        <w:rPr>
          <w:rFonts w:ascii="Arial" w:hAnsi="Arial" w:cs="Arial"/>
          <w:color w:val="000000" w:themeColor="text1"/>
          <w:sz w:val="22"/>
          <w:szCs w:val="22"/>
          <w:shd w:val="clear" w:color="auto" w:fill="FFFFFF"/>
          <w:lang w:val="es-ES_tradnl"/>
        </w:rPr>
        <w:t>a los compromisos contractuales derivados</w:t>
      </w:r>
      <w:r>
        <w:rPr>
          <w:rFonts w:ascii="Arial" w:hAnsi="Arial" w:cs="Arial"/>
          <w:color w:val="000000" w:themeColor="text1"/>
          <w:sz w:val="22"/>
          <w:szCs w:val="22"/>
          <w:shd w:val="clear" w:color="auto" w:fill="FFFFFF"/>
          <w:lang w:val="es-ES_tradnl"/>
        </w:rPr>
        <w:t>, según lo expresamente consagrado en el segundo inciso del artículo 56 de la ley citada</w:t>
      </w:r>
      <w:r w:rsidRPr="00437DB9">
        <w:rPr>
          <w:rFonts w:ascii="Arial" w:hAnsi="Arial" w:cs="Arial"/>
          <w:color w:val="000000" w:themeColor="text1"/>
          <w:sz w:val="22"/>
          <w:szCs w:val="22"/>
          <w:shd w:val="clear" w:color="auto" w:fill="FFFFFF"/>
          <w:lang w:val="es-ES_tradnl"/>
        </w:rPr>
        <w:t xml:space="preserve">. Esto implica que, si una entidad exceptuada, un patrimonio autónomo o una persona natural o jurídica de derecho privado, en cumplimiento de un compromiso asumido en el contrato celebrado con una entidad sometida al Estatuto General, debe contratar una obra o servicio cobijado por algún documento tipo, </w:t>
      </w:r>
      <w:r w:rsidRPr="00437DB9">
        <w:rPr>
          <w:rFonts w:ascii="Arial" w:hAnsi="Arial" w:cs="Arial"/>
          <w:color w:val="000000" w:themeColor="text1"/>
          <w:sz w:val="22"/>
          <w:szCs w:val="22"/>
          <w:lang w:val="es-ES_tradnl"/>
        </w:rPr>
        <w:t>estará obligada a</w:t>
      </w:r>
      <w:r w:rsidRPr="00437DB9">
        <w:rPr>
          <w:rFonts w:ascii="Arial" w:hAnsi="Arial" w:cs="Arial"/>
          <w:color w:val="000000" w:themeColor="text1"/>
          <w:sz w:val="22"/>
          <w:szCs w:val="22"/>
          <w:shd w:val="clear" w:color="auto" w:fill="FFFFFF"/>
          <w:lang w:val="es-ES_tradnl"/>
        </w:rPr>
        <w:t xml:space="preserve"> hacerlo aplicando los mencionados documentos tipo, además de adelantar el </w:t>
      </w:r>
      <w:r w:rsidRPr="00437DB9">
        <w:rPr>
          <w:rFonts w:ascii="Arial" w:hAnsi="Arial" w:cs="Arial"/>
          <w:color w:val="000000" w:themeColor="text1"/>
          <w:sz w:val="22"/>
          <w:szCs w:val="22"/>
          <w:shd w:val="clear" w:color="auto" w:fill="FFFFFF"/>
          <w:lang w:val="es-ES_tradnl"/>
        </w:rPr>
        <w:lastRenderedPageBreak/>
        <w:t xml:space="preserve">proceso de contratación y celebrar el contrato conforme al Estatuto General de Contratación de la Administración Pública.  </w:t>
      </w:r>
    </w:p>
    <w:p w14:paraId="7143E744" w14:textId="77777777" w:rsidR="00560497" w:rsidRDefault="00DB2853" w:rsidP="00DB2853">
      <w:pPr>
        <w:spacing w:before="120" w:line="276" w:lineRule="auto"/>
        <w:jc w:val="both"/>
        <w:rPr>
          <w:rFonts w:ascii="Arial" w:hAnsi="Arial" w:cs="Arial"/>
          <w:color w:val="000000"/>
          <w:sz w:val="22"/>
          <w:szCs w:val="22"/>
          <w:bdr w:val="none" w:sz="0" w:space="0" w:color="auto" w:frame="1"/>
        </w:rPr>
      </w:pPr>
      <w:r w:rsidRPr="00F867D5">
        <w:rPr>
          <w:rFonts w:ascii="Arial" w:hAnsi="Arial" w:cs="Arial"/>
          <w:sz w:val="22"/>
          <w:szCs w:val="22"/>
          <w:shd w:val="clear" w:color="auto" w:fill="FFFFFF"/>
          <w:lang w:val="es-ES_tradnl"/>
        </w:rPr>
        <w:tab/>
        <w:t xml:space="preserve">No obstante, se encuentran exceptuadas del ámbito de aplicación de la norma </w:t>
      </w:r>
      <w:r w:rsidRPr="00F867D5">
        <w:rPr>
          <w:rFonts w:ascii="Arial" w:hAnsi="Arial" w:cs="Arial"/>
          <w:sz w:val="22"/>
          <w:szCs w:val="22"/>
          <w:shd w:val="clear" w:color="auto" w:fill="FFFFFF"/>
        </w:rPr>
        <w:t>las Instituciones de Educación Superior públicas, las empresas sociales del Estado, las sociedades de economía mixta y las empresas industriales y comerciales del Estado, únicamente en cuanto a la contratación de su giro ordinario</w:t>
      </w:r>
      <w:r w:rsidRPr="00F867D5">
        <w:rPr>
          <w:rFonts w:ascii="Arial" w:hAnsi="Arial" w:cs="Arial"/>
          <w:sz w:val="22"/>
          <w:szCs w:val="22"/>
          <w:shd w:val="clear" w:color="auto" w:fill="FFFFFF"/>
          <w:lang w:val="es-ES_tradnl"/>
        </w:rPr>
        <w:t>.</w:t>
      </w:r>
      <w:r>
        <w:rPr>
          <w:rFonts w:ascii="Arial" w:hAnsi="Arial" w:cs="Arial"/>
          <w:sz w:val="22"/>
          <w:szCs w:val="22"/>
          <w:shd w:val="clear" w:color="auto" w:fill="FFFFFF"/>
          <w:lang w:val="es-ES_tradnl"/>
        </w:rPr>
        <w:t xml:space="preserve"> </w:t>
      </w:r>
      <w:r w:rsidRPr="00F867D5">
        <w:rPr>
          <w:rFonts w:ascii="Arial" w:hAnsi="Arial" w:cs="Arial"/>
          <w:sz w:val="22"/>
          <w:szCs w:val="22"/>
          <w:shd w:val="clear" w:color="auto" w:fill="FFFFFF"/>
          <w:lang w:val="es-ES_tradnl"/>
        </w:rPr>
        <w:t xml:space="preserve">Bajo los lineamientos descritos, cada entidad pública debe hacer un ejercicio de subsunción a efectos de determinar si la noma en cita resulta aplicable, dada su naturaleza jurídica. </w:t>
      </w:r>
      <w:r>
        <w:rPr>
          <w:rFonts w:ascii="Arial" w:eastAsia="Calibri" w:hAnsi="Arial" w:cs="Arial"/>
          <w:bCs/>
          <w:sz w:val="22"/>
          <w:lang w:val="es-ES_tradnl"/>
        </w:rPr>
        <w:t xml:space="preserve">En este orden de ideas, y a efectos concretos de su pregunta, </w:t>
      </w:r>
      <w:r>
        <w:rPr>
          <w:rFonts w:ascii="Arial" w:hAnsi="Arial" w:cs="Arial"/>
          <w:color w:val="000000" w:themeColor="text1"/>
          <w:sz w:val="22"/>
          <w:szCs w:val="22"/>
          <w:shd w:val="clear" w:color="auto" w:fill="FFFFFF"/>
          <w:lang w:val="es-ES_tradnl"/>
        </w:rPr>
        <w:t xml:space="preserve">es posible concluir que las empresas de servicios públicos domiciliarios, según el artículo 17 de la Ley 142 de 1994, y con independencia de que </w:t>
      </w:r>
      <w:r w:rsidRPr="000346AF">
        <w:rPr>
          <w:rFonts w:ascii="Arial" w:hAnsi="Arial" w:cs="Arial"/>
          <w:color w:val="000000" w:themeColor="text1"/>
          <w:sz w:val="22"/>
          <w:szCs w:val="22"/>
          <w:shd w:val="clear" w:color="auto" w:fill="FFFFFF"/>
          <w:lang w:val="es-ES_tradnl"/>
        </w:rPr>
        <w:t>sean privadas, mixtas u oficiales,</w:t>
      </w:r>
      <w:r>
        <w:rPr>
          <w:rFonts w:ascii="Arial" w:hAnsi="Arial" w:cs="Arial"/>
          <w:color w:val="000000" w:themeColor="text1"/>
          <w:sz w:val="22"/>
          <w:szCs w:val="22"/>
          <w:shd w:val="clear" w:color="auto" w:fill="FFFFFF"/>
          <w:lang w:val="es-ES_tradnl"/>
        </w:rPr>
        <w:t xml:space="preserve"> tienen naturaleza jurídica de </w:t>
      </w:r>
      <w:r w:rsidRPr="000346AF">
        <w:rPr>
          <w:rFonts w:ascii="Arial" w:hAnsi="Arial" w:cs="Arial"/>
          <w:color w:val="000000" w:themeColor="text1"/>
          <w:sz w:val="22"/>
          <w:szCs w:val="22"/>
          <w:shd w:val="clear" w:color="auto" w:fill="FFFFFF"/>
          <w:lang w:val="es-ES_tradnl"/>
        </w:rPr>
        <w:t>sociedades</w:t>
      </w:r>
      <w:r>
        <w:rPr>
          <w:rFonts w:ascii="Arial" w:hAnsi="Arial" w:cs="Arial"/>
          <w:color w:val="000000" w:themeColor="text1"/>
          <w:sz w:val="22"/>
          <w:szCs w:val="22"/>
          <w:shd w:val="clear" w:color="auto" w:fill="FFFFFF"/>
          <w:lang w:val="es-ES_tradnl"/>
        </w:rPr>
        <w:t xml:space="preserve"> comerciales</w:t>
      </w:r>
      <w:r w:rsidRPr="000346AF">
        <w:rPr>
          <w:rFonts w:ascii="Arial" w:hAnsi="Arial" w:cs="Arial"/>
          <w:color w:val="000000" w:themeColor="text1"/>
          <w:sz w:val="22"/>
          <w:szCs w:val="22"/>
          <w:shd w:val="clear" w:color="auto" w:fill="FFFFFF"/>
          <w:lang w:val="es-ES_tradnl"/>
        </w:rPr>
        <w:t xml:space="preserve"> por acciones</w:t>
      </w:r>
      <w:r>
        <w:rPr>
          <w:rFonts w:ascii="Arial" w:hAnsi="Arial" w:cs="Arial"/>
          <w:color w:val="000000" w:themeColor="text1"/>
          <w:sz w:val="22"/>
          <w:szCs w:val="22"/>
          <w:shd w:val="clear" w:color="auto" w:fill="FFFFFF"/>
          <w:lang w:val="es-ES_tradnl"/>
        </w:rPr>
        <w:t xml:space="preserve">, </w:t>
      </w:r>
      <w:r>
        <w:rPr>
          <w:rFonts w:ascii="Arial" w:hAnsi="Arial" w:cs="Arial"/>
          <w:color w:val="000000"/>
          <w:sz w:val="22"/>
          <w:szCs w:val="22"/>
          <w:bdr w:val="none" w:sz="0" w:space="0" w:color="auto" w:frame="1"/>
        </w:rPr>
        <w:t xml:space="preserve">con unas reglas particulares sobre su régimen jurídico, contenidas en la Ley 142 de 1994, pero que en los asuntos no regulados por ésta se rigen por lo dispuesto en el Código de Comercio para las sociedades anónimas, según el artículo 19.15 de la Ley 142 de 1994. </w:t>
      </w:r>
    </w:p>
    <w:p w14:paraId="49944203" w14:textId="59D00B8A" w:rsidR="00560497" w:rsidRDefault="00DB2853" w:rsidP="00560497">
      <w:pPr>
        <w:spacing w:before="120" w:line="276" w:lineRule="auto"/>
        <w:ind w:firstLine="708"/>
        <w:jc w:val="both"/>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De este modo, resulta claro que las empresas prestadoras de servicios públicos domiciliarios tienen un régimen jurídico propio y especial,</w:t>
      </w:r>
      <w:r w:rsidR="001964B4" w:rsidDel="001964B4">
        <w:rPr>
          <w:rFonts w:ascii="Arial" w:hAnsi="Arial" w:cs="Arial"/>
          <w:color w:val="000000"/>
          <w:sz w:val="22"/>
          <w:szCs w:val="22"/>
          <w:bdr w:val="none" w:sz="0" w:space="0" w:color="auto" w:frame="1"/>
        </w:rPr>
        <w:t xml:space="preserve"> </w:t>
      </w:r>
      <w:r w:rsidR="00983061">
        <w:rPr>
          <w:rFonts w:ascii="Arial" w:hAnsi="Arial" w:cs="Arial"/>
          <w:color w:val="000000"/>
          <w:sz w:val="22"/>
          <w:szCs w:val="22"/>
          <w:bdr w:val="none" w:sz="0" w:space="0" w:color="auto" w:frame="1"/>
        </w:rPr>
        <w:t xml:space="preserve">del que no se encuentran exento </w:t>
      </w:r>
      <w:r>
        <w:rPr>
          <w:rFonts w:ascii="Arial" w:hAnsi="Arial" w:cs="Arial"/>
          <w:color w:val="000000"/>
          <w:sz w:val="22"/>
          <w:szCs w:val="22"/>
          <w:bdr w:val="none" w:sz="0" w:space="0" w:color="auto" w:frame="1"/>
        </w:rPr>
        <w:t xml:space="preserve">aquellas que adoptan la estructura de empresas industriales y comerciales del Estado, </w:t>
      </w:r>
      <w:r w:rsidR="00983061">
        <w:rPr>
          <w:rFonts w:ascii="Arial" w:hAnsi="Arial" w:cs="Arial"/>
          <w:color w:val="000000"/>
          <w:sz w:val="22"/>
          <w:szCs w:val="22"/>
          <w:bdr w:val="none" w:sz="0" w:space="0" w:color="auto" w:frame="1"/>
        </w:rPr>
        <w:t xml:space="preserve">que </w:t>
      </w:r>
      <w:r>
        <w:rPr>
          <w:rFonts w:ascii="Arial" w:hAnsi="Arial" w:cs="Arial"/>
          <w:color w:val="000000"/>
          <w:sz w:val="22"/>
          <w:szCs w:val="22"/>
          <w:bdr w:val="none" w:sz="0" w:space="0" w:color="auto" w:frame="1"/>
        </w:rPr>
        <w:t>siguen rigiéndose por lo previsto en la Ley 142 de 1994.</w:t>
      </w:r>
      <w:r>
        <w:rPr>
          <w:rFonts w:ascii="Arial" w:hAnsi="Arial" w:cs="Arial"/>
          <w:color w:val="000000"/>
          <w:sz w:val="22"/>
          <w:szCs w:val="22"/>
          <w:bdr w:val="none" w:sz="0" w:space="0" w:color="auto" w:frame="1"/>
        </w:rPr>
        <w:tab/>
        <w:t xml:space="preserve">Por tanto, las empresas prestadoras de servicios públicos, en virtud de su naturaleza y régimen jurídicos, no encajan dentro de las entidades enunciadas en el parágrafo del artículo </w:t>
      </w:r>
      <w:r w:rsidRPr="00D017BE">
        <w:rPr>
          <w:rFonts w:ascii="Arial" w:hAnsi="Arial" w:cs="Arial"/>
          <w:color w:val="000000"/>
          <w:sz w:val="22"/>
          <w:szCs w:val="22"/>
          <w:bdr w:val="none" w:sz="0" w:space="0" w:color="auto" w:frame="1"/>
        </w:rPr>
        <w:t>56 de la Ley 2195 de 2022</w:t>
      </w:r>
      <w:r>
        <w:rPr>
          <w:rFonts w:ascii="Arial" w:hAnsi="Arial" w:cs="Arial"/>
          <w:color w:val="000000"/>
          <w:sz w:val="22"/>
          <w:szCs w:val="22"/>
          <w:bdr w:val="none" w:sz="0" w:space="0" w:color="auto" w:frame="1"/>
        </w:rPr>
        <w:t xml:space="preserve"> y, por tanto, no están exceptuadas de la obligación allí contenida en esa disposición normativa, ni siquiera cuando se trate de la</w:t>
      </w:r>
      <w:r w:rsidRPr="00D017BE">
        <w:rPr>
          <w:rFonts w:ascii="Arial" w:hAnsi="Arial" w:cs="Arial"/>
          <w:color w:val="000000"/>
          <w:sz w:val="22"/>
          <w:szCs w:val="22"/>
          <w:bdr w:val="none" w:sz="0" w:space="0" w:color="auto" w:frame="1"/>
        </w:rPr>
        <w:t xml:space="preserve"> contratación de su </w:t>
      </w:r>
      <w:r w:rsidRPr="00FF11A8">
        <w:rPr>
          <w:rFonts w:ascii="Arial" w:hAnsi="Arial" w:cs="Arial"/>
          <w:i/>
          <w:iCs/>
          <w:color w:val="000000"/>
          <w:sz w:val="22"/>
          <w:szCs w:val="22"/>
          <w:bdr w:val="none" w:sz="0" w:space="0" w:color="auto" w:frame="1"/>
        </w:rPr>
        <w:t>giro ordinario</w:t>
      </w:r>
      <w:r w:rsidRPr="00D017BE">
        <w:rPr>
          <w:rFonts w:ascii="Arial" w:hAnsi="Arial" w:cs="Arial"/>
          <w:color w:val="000000"/>
          <w:sz w:val="22"/>
          <w:szCs w:val="22"/>
          <w:bdr w:val="none" w:sz="0" w:space="0" w:color="auto" w:frame="1"/>
        </w:rPr>
        <w:t>.</w:t>
      </w:r>
    </w:p>
    <w:bookmarkEnd w:id="7"/>
    <w:p w14:paraId="67F1E9A8" w14:textId="77777777" w:rsidR="00DB2853" w:rsidRPr="00DB2853" w:rsidRDefault="00DB2853" w:rsidP="00FF11A8">
      <w:pPr>
        <w:jc w:val="both"/>
        <w:rPr>
          <w:rFonts w:ascii="Arial" w:hAnsi="Arial" w:cs="Arial"/>
          <w:color w:val="000000"/>
          <w:sz w:val="22"/>
          <w:szCs w:val="22"/>
          <w:bdr w:val="none" w:sz="0" w:space="0" w:color="auto" w:frame="1"/>
        </w:rPr>
      </w:pPr>
    </w:p>
    <w:p w14:paraId="150221C7" w14:textId="77777777" w:rsidR="00D34196" w:rsidRPr="00071199" w:rsidRDefault="00D34196" w:rsidP="00D34196">
      <w:pPr>
        <w:spacing w:line="276" w:lineRule="auto"/>
        <w:jc w:val="both"/>
        <w:rPr>
          <w:rFonts w:ascii="Arial" w:hAnsi="Arial" w:cs="Arial"/>
          <w:color w:val="000000" w:themeColor="text1"/>
          <w:sz w:val="22"/>
          <w:lang w:val="es-ES"/>
        </w:rPr>
      </w:pPr>
      <w:r w:rsidRPr="00071199">
        <w:rPr>
          <w:rFonts w:ascii="Arial" w:hAnsi="Arial" w:cs="Arial"/>
          <w:color w:val="000000" w:themeColor="text1"/>
          <w:sz w:val="22"/>
          <w:lang w:val="es-ES"/>
        </w:rPr>
        <w:t>Este concepto tiene el alcance previsto en el artículo 28 del Código de Procedimiento Administrativo y de lo Contencioso Administrativo.</w:t>
      </w:r>
    </w:p>
    <w:p w14:paraId="0DD698F3" w14:textId="77777777" w:rsidR="00D34196" w:rsidRPr="00071199" w:rsidRDefault="00D34196" w:rsidP="00D34196">
      <w:pPr>
        <w:pStyle w:val="NormalWeb"/>
        <w:spacing w:before="0" w:beforeAutospacing="0" w:after="0" w:afterAutospacing="0" w:line="276" w:lineRule="auto"/>
        <w:jc w:val="both"/>
        <w:rPr>
          <w:rFonts w:ascii="Arial" w:hAnsi="Arial" w:cs="Arial"/>
          <w:color w:val="000000" w:themeColor="text1"/>
          <w:sz w:val="22"/>
          <w:szCs w:val="22"/>
          <w:lang w:val="es-ES"/>
        </w:rPr>
      </w:pPr>
    </w:p>
    <w:p w14:paraId="7D321A2F" w14:textId="415D0D8A" w:rsidR="00D34196" w:rsidRPr="00071199" w:rsidRDefault="00D34196" w:rsidP="00FF11A8">
      <w:pPr>
        <w:pStyle w:val="NormalWeb"/>
        <w:spacing w:before="0" w:beforeAutospacing="0" w:after="0" w:afterAutospacing="0" w:line="276" w:lineRule="auto"/>
        <w:jc w:val="both"/>
        <w:rPr>
          <w:rFonts w:ascii="Arial" w:hAnsi="Arial" w:cs="Arial"/>
          <w:color w:val="000000" w:themeColor="text1"/>
          <w:sz w:val="22"/>
          <w:szCs w:val="22"/>
          <w:lang w:val="es-ES"/>
        </w:rPr>
      </w:pPr>
      <w:r w:rsidRPr="00071199">
        <w:rPr>
          <w:rFonts w:ascii="Arial" w:hAnsi="Arial" w:cs="Arial"/>
          <w:color w:val="000000" w:themeColor="text1"/>
          <w:sz w:val="22"/>
          <w:szCs w:val="22"/>
          <w:lang w:val="es-ES"/>
        </w:rPr>
        <w:t>Atentamente,</w:t>
      </w:r>
    </w:p>
    <w:p w14:paraId="7C925729" w14:textId="18C87251" w:rsidR="00AE0692" w:rsidRPr="004212E5" w:rsidRDefault="00813D36" w:rsidP="00AE0692">
      <w:pPr>
        <w:jc w:val="center"/>
        <w:rPr>
          <w:rFonts w:ascii="Arial" w:hAnsi="Arial" w:cs="Arial"/>
          <w:color w:val="000000"/>
          <w:lang w:val="es-ES_tradnl" w:eastAsia="es-CO"/>
        </w:rPr>
      </w:pPr>
      <w:r>
        <w:rPr>
          <w:noProof/>
        </w:rPr>
        <w:drawing>
          <wp:inline distT="0" distB="0" distL="0" distR="0" wp14:anchorId="5CD65521" wp14:editId="258CCCAC">
            <wp:extent cx="2534004" cy="981212"/>
            <wp:effectExtent l="0" t="0" r="0" b="9525"/>
            <wp:docPr id="3" name="Imagen 3"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 Carta&#10;&#10;Descripción generada automáticamente"/>
                    <pic:cNvPicPr/>
                  </pic:nvPicPr>
                  <pic:blipFill>
                    <a:blip r:embed="rId11"/>
                    <a:stretch>
                      <a:fillRect/>
                    </a:stretch>
                  </pic:blipFill>
                  <pic:spPr>
                    <a:xfrm>
                      <a:off x="0" y="0"/>
                      <a:ext cx="2534004" cy="981212"/>
                    </a:xfrm>
                    <a:prstGeom prst="rect">
                      <a:avLst/>
                    </a:prstGeom>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4413"/>
      </w:tblGrid>
      <w:tr w:rsidR="00AE0692" w:rsidRPr="00530937" w14:paraId="3D9E0B1B" w14:textId="77777777" w:rsidTr="00B53228">
        <w:trPr>
          <w:trHeight w:val="315"/>
        </w:trPr>
        <w:tc>
          <w:tcPr>
            <w:tcW w:w="812" w:type="dxa"/>
            <w:vAlign w:val="center"/>
          </w:tcPr>
          <w:p w14:paraId="1526B336" w14:textId="77777777" w:rsidR="00AE0692" w:rsidRPr="00FD2DFE" w:rsidRDefault="00AE0692" w:rsidP="00B53228">
            <w:pPr>
              <w:rPr>
                <w:rFonts w:ascii="Arial" w:hAnsi="Arial" w:cs="Arial"/>
                <w:sz w:val="16"/>
                <w:szCs w:val="16"/>
                <w:lang w:eastAsia="es-ES"/>
              </w:rPr>
            </w:pPr>
            <w:r w:rsidRPr="00FD2DFE">
              <w:rPr>
                <w:rFonts w:ascii="Arial" w:hAnsi="Arial" w:cs="Arial"/>
                <w:sz w:val="16"/>
                <w:szCs w:val="16"/>
                <w:lang w:eastAsia="es-ES"/>
              </w:rPr>
              <w:t>Elaboró:</w:t>
            </w:r>
          </w:p>
        </w:tc>
        <w:tc>
          <w:tcPr>
            <w:tcW w:w="4413" w:type="dxa"/>
            <w:tcBorders>
              <w:bottom w:val="dotted" w:sz="4" w:space="0" w:color="7F7F7F" w:themeColor="text1" w:themeTint="80"/>
            </w:tcBorders>
            <w:vAlign w:val="center"/>
          </w:tcPr>
          <w:p w14:paraId="08B5E714" w14:textId="77777777" w:rsidR="00AE0692" w:rsidRPr="00FD2DFE" w:rsidRDefault="00AE0692" w:rsidP="00B53228">
            <w:pPr>
              <w:rPr>
                <w:rFonts w:ascii="Arial" w:hAnsi="Arial" w:cs="Arial"/>
                <w:sz w:val="16"/>
                <w:szCs w:val="16"/>
                <w:lang w:eastAsia="es-ES"/>
              </w:rPr>
            </w:pPr>
            <w:r w:rsidRPr="00FD2DFE">
              <w:rPr>
                <w:rFonts w:ascii="Arial" w:hAnsi="Arial" w:cs="Arial"/>
                <w:sz w:val="16"/>
                <w:szCs w:val="16"/>
                <w:lang w:eastAsia="es-ES"/>
              </w:rPr>
              <w:t xml:space="preserve">Camilo Perdomo Villamil </w:t>
            </w:r>
          </w:p>
          <w:p w14:paraId="456E902E" w14:textId="77777777" w:rsidR="00AE0692" w:rsidRPr="00FD2DFE" w:rsidRDefault="00AE0692" w:rsidP="00B53228">
            <w:pPr>
              <w:rPr>
                <w:rFonts w:ascii="Arial" w:hAnsi="Arial" w:cs="Arial"/>
                <w:sz w:val="16"/>
                <w:szCs w:val="16"/>
                <w:lang w:eastAsia="es-ES"/>
              </w:rPr>
            </w:pPr>
            <w:r w:rsidRPr="00FD2DFE">
              <w:rPr>
                <w:rFonts w:ascii="Arial" w:hAnsi="Arial" w:cs="Arial"/>
                <w:sz w:val="16"/>
                <w:szCs w:val="16"/>
                <w:lang w:eastAsia="es-ES"/>
              </w:rPr>
              <w:t xml:space="preserve">Contratista de la Subdirección de Gestión Contractual  </w:t>
            </w:r>
          </w:p>
        </w:tc>
      </w:tr>
      <w:tr w:rsidR="00AE0692" w:rsidRPr="00530937" w14:paraId="257517B6" w14:textId="77777777" w:rsidTr="00B53228">
        <w:trPr>
          <w:trHeight w:val="330"/>
        </w:trPr>
        <w:tc>
          <w:tcPr>
            <w:tcW w:w="812" w:type="dxa"/>
            <w:vAlign w:val="center"/>
          </w:tcPr>
          <w:p w14:paraId="731CCED7" w14:textId="77777777" w:rsidR="00AE0692" w:rsidRPr="00FD2DFE" w:rsidRDefault="00AE0692" w:rsidP="00B53228">
            <w:pPr>
              <w:rPr>
                <w:rFonts w:ascii="Arial" w:hAnsi="Arial" w:cs="Arial"/>
                <w:sz w:val="16"/>
                <w:szCs w:val="16"/>
                <w:lang w:eastAsia="es-ES"/>
              </w:rPr>
            </w:pPr>
            <w:r w:rsidRPr="00FD2DFE">
              <w:rPr>
                <w:rFonts w:ascii="Arial" w:hAnsi="Arial" w:cs="Arial"/>
                <w:sz w:val="16"/>
                <w:szCs w:val="16"/>
                <w:lang w:eastAsia="es-ES"/>
              </w:rPr>
              <w:t>Revisó:</w:t>
            </w:r>
          </w:p>
        </w:tc>
        <w:tc>
          <w:tcPr>
            <w:tcW w:w="4413" w:type="dxa"/>
            <w:tcBorders>
              <w:top w:val="dotted" w:sz="4" w:space="0" w:color="7F7F7F" w:themeColor="text1" w:themeTint="80"/>
              <w:bottom w:val="dotted" w:sz="4" w:space="0" w:color="7F7F7F" w:themeColor="text1" w:themeTint="80"/>
            </w:tcBorders>
            <w:vAlign w:val="center"/>
          </w:tcPr>
          <w:p w14:paraId="2FBDB376" w14:textId="77777777" w:rsidR="00AE0692" w:rsidRDefault="001A0A7F" w:rsidP="00B53228">
            <w:pPr>
              <w:rPr>
                <w:rFonts w:ascii="Arial" w:hAnsi="Arial" w:cs="Arial"/>
                <w:sz w:val="16"/>
                <w:szCs w:val="16"/>
                <w:lang w:eastAsia="es-ES"/>
              </w:rPr>
            </w:pPr>
            <w:r>
              <w:rPr>
                <w:rFonts w:ascii="Arial" w:hAnsi="Arial" w:cs="Arial"/>
                <w:sz w:val="16"/>
                <w:szCs w:val="16"/>
                <w:lang w:eastAsia="es-ES"/>
              </w:rPr>
              <w:t>Alejandro Sarmiento Cantillo</w:t>
            </w:r>
          </w:p>
          <w:p w14:paraId="0822431B" w14:textId="330C652D" w:rsidR="001A0A7F" w:rsidRPr="00FD2DFE" w:rsidRDefault="001A0A7F" w:rsidP="00B53228">
            <w:pPr>
              <w:rPr>
                <w:rFonts w:ascii="Arial" w:hAnsi="Arial" w:cs="Arial"/>
                <w:sz w:val="16"/>
                <w:szCs w:val="16"/>
                <w:lang w:eastAsia="es-ES"/>
              </w:rPr>
            </w:pPr>
            <w:r>
              <w:rPr>
                <w:rFonts w:ascii="Arial" w:hAnsi="Arial" w:cs="Arial"/>
                <w:sz w:val="16"/>
                <w:szCs w:val="16"/>
                <w:lang w:eastAsia="es-ES"/>
              </w:rPr>
              <w:t>Gestor T1-15 de la Subdirección de Gestión Contractual</w:t>
            </w:r>
          </w:p>
        </w:tc>
      </w:tr>
      <w:tr w:rsidR="00AE0692" w:rsidRPr="00530937" w14:paraId="1472DB62" w14:textId="77777777" w:rsidTr="00B53228">
        <w:trPr>
          <w:trHeight w:val="300"/>
        </w:trPr>
        <w:tc>
          <w:tcPr>
            <w:tcW w:w="812" w:type="dxa"/>
            <w:vAlign w:val="center"/>
          </w:tcPr>
          <w:p w14:paraId="181B5DBD" w14:textId="77777777" w:rsidR="00AE0692" w:rsidRPr="00FD2DFE" w:rsidRDefault="00AE0692" w:rsidP="00B53228">
            <w:pPr>
              <w:rPr>
                <w:rFonts w:ascii="Arial" w:hAnsi="Arial" w:cs="Arial"/>
                <w:sz w:val="16"/>
                <w:szCs w:val="16"/>
                <w:lang w:eastAsia="es-ES"/>
              </w:rPr>
            </w:pPr>
            <w:r w:rsidRPr="00FD2DFE">
              <w:rPr>
                <w:rFonts w:ascii="Arial" w:hAnsi="Arial" w:cs="Arial"/>
                <w:sz w:val="16"/>
                <w:szCs w:val="16"/>
                <w:lang w:eastAsia="es-ES"/>
              </w:rPr>
              <w:t>Aprobó:</w:t>
            </w:r>
          </w:p>
        </w:tc>
        <w:tc>
          <w:tcPr>
            <w:tcW w:w="4413" w:type="dxa"/>
            <w:tcBorders>
              <w:top w:val="dotted" w:sz="4" w:space="0" w:color="7F7F7F" w:themeColor="text1" w:themeTint="80"/>
              <w:bottom w:val="dotted" w:sz="4" w:space="0" w:color="7F7F7F" w:themeColor="text1" w:themeTint="80"/>
            </w:tcBorders>
            <w:vAlign w:val="center"/>
          </w:tcPr>
          <w:p w14:paraId="6CE7CD1C" w14:textId="77777777" w:rsidR="00AE0692" w:rsidRPr="00530937" w:rsidRDefault="00AE0692" w:rsidP="00B53228">
            <w:pPr>
              <w:rPr>
                <w:rFonts w:ascii="Arial" w:eastAsia="Calibri" w:hAnsi="Arial" w:cs="Arial"/>
                <w:sz w:val="16"/>
                <w:szCs w:val="16"/>
                <w:lang w:val="pt-BR" w:eastAsia="es-ES"/>
              </w:rPr>
            </w:pPr>
            <w:r w:rsidRPr="00530937">
              <w:rPr>
                <w:rFonts w:ascii="Arial" w:eastAsia="Calibri" w:hAnsi="Arial" w:cs="Arial"/>
                <w:sz w:val="16"/>
                <w:szCs w:val="16"/>
                <w:lang w:val="pt-BR" w:eastAsia="es-ES"/>
              </w:rPr>
              <w:t>Juan David Marín López</w:t>
            </w:r>
          </w:p>
          <w:p w14:paraId="13B4A6E2" w14:textId="77777777" w:rsidR="00AE0692" w:rsidRPr="00FD2DFE" w:rsidRDefault="00AE0692" w:rsidP="00B53228">
            <w:pPr>
              <w:rPr>
                <w:rFonts w:ascii="Arial" w:hAnsi="Arial" w:cs="Arial"/>
                <w:sz w:val="16"/>
                <w:szCs w:val="16"/>
                <w:lang w:eastAsia="es-ES"/>
              </w:rPr>
            </w:pPr>
            <w:r w:rsidRPr="00530937">
              <w:rPr>
                <w:rFonts w:ascii="Arial" w:eastAsia="Calibri" w:hAnsi="Arial" w:cs="Arial"/>
                <w:sz w:val="16"/>
                <w:szCs w:val="16"/>
                <w:lang w:eastAsia="es-ES"/>
              </w:rPr>
              <w:t xml:space="preserve">Subdirector de Gestión Contractual </w:t>
            </w:r>
            <w:r w:rsidRPr="00530937">
              <w:rPr>
                <w:rFonts w:ascii="Arial" w:eastAsia="Calibri" w:hAnsi="Arial" w:cs="Arial"/>
                <w:sz w:val="16"/>
                <w:szCs w:val="16"/>
                <w:lang w:val="pt-BR" w:eastAsia="es-ES"/>
              </w:rPr>
              <w:t>(E)</w:t>
            </w:r>
          </w:p>
        </w:tc>
      </w:tr>
    </w:tbl>
    <w:p w14:paraId="5813BAB0" w14:textId="77777777" w:rsidR="00D34196" w:rsidRDefault="00D34196"/>
    <w:sectPr w:rsidR="00D34196" w:rsidSect="005D791B">
      <w:headerReference w:type="default" r:id="rId12"/>
      <w:footerReference w:type="default" r:id="rId13"/>
      <w:pgSz w:w="12240" w:h="15840"/>
      <w:pgMar w:top="2041" w:right="1701" w:bottom="1418" w:left="1701"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564DB" w14:textId="77777777" w:rsidR="008C0622" w:rsidRDefault="008C0622" w:rsidP="00D34196">
      <w:r>
        <w:separator/>
      </w:r>
    </w:p>
  </w:endnote>
  <w:endnote w:type="continuationSeparator" w:id="0">
    <w:p w14:paraId="6F68D891" w14:textId="77777777" w:rsidR="008C0622" w:rsidRDefault="008C0622" w:rsidP="00D34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D8E6F" w14:textId="77777777" w:rsidR="008F4163" w:rsidRDefault="00000000" w:rsidP="00322937">
    <w:pPr>
      <w:pStyle w:val="Sinespaciado"/>
      <w:jc w:val="right"/>
      <w:rPr>
        <w:rFonts w:ascii="Arial" w:hAnsi="Arial" w:cs="Arial"/>
        <w:sz w:val="18"/>
        <w:szCs w:val="18"/>
      </w:rPr>
    </w:pPr>
  </w:p>
  <w:p w14:paraId="322E16CF" w14:textId="77777777" w:rsidR="008F4163" w:rsidRPr="00D059DA" w:rsidRDefault="00A0446B" w:rsidP="00FE42ED">
    <w:pPr>
      <w:pStyle w:val="Piedepgina"/>
      <w:jc w:val="right"/>
      <w:rPr>
        <w:rFonts w:ascii="Arial" w:hAnsi="Arial" w:cs="Arial"/>
        <w:color w:val="7F7F7F"/>
        <w:sz w:val="16"/>
        <w:szCs w:val="16"/>
      </w:rPr>
    </w:pPr>
    <w:r w:rsidRPr="00D059DA">
      <w:rPr>
        <w:rFonts w:ascii="Arial" w:hAnsi="Arial" w:cs="Arial"/>
        <w:bCs/>
        <w:color w:val="7F7F7F"/>
        <w:sz w:val="16"/>
        <w:szCs w:val="16"/>
      </w:rPr>
      <w:t xml:space="preserve">Página </w:t>
    </w:r>
    <w:r w:rsidRPr="00D059DA">
      <w:rPr>
        <w:rFonts w:ascii="Arial" w:hAnsi="Arial" w:cs="Arial"/>
        <w:b/>
        <w:bCs/>
        <w:color w:val="7F7F7F"/>
        <w:sz w:val="16"/>
        <w:szCs w:val="16"/>
      </w:rPr>
      <w:fldChar w:fldCharType="begin"/>
    </w:r>
    <w:r w:rsidRPr="00D059DA">
      <w:rPr>
        <w:rFonts w:ascii="Arial" w:hAnsi="Arial" w:cs="Arial"/>
        <w:b/>
        <w:bCs/>
        <w:color w:val="7F7F7F"/>
        <w:sz w:val="16"/>
        <w:szCs w:val="16"/>
      </w:rPr>
      <w:instrText>PAGE  \* Arabic  \* MERGEFORMAT</w:instrText>
    </w:r>
    <w:r w:rsidRPr="00D059DA">
      <w:rPr>
        <w:rFonts w:ascii="Arial" w:hAnsi="Arial" w:cs="Arial"/>
        <w:b/>
        <w:bCs/>
        <w:color w:val="7F7F7F"/>
        <w:sz w:val="16"/>
        <w:szCs w:val="16"/>
      </w:rPr>
      <w:fldChar w:fldCharType="separate"/>
    </w:r>
    <w:r w:rsidRPr="00D059DA">
      <w:rPr>
        <w:rFonts w:ascii="Arial" w:hAnsi="Arial" w:cs="Arial"/>
        <w:b/>
        <w:bCs/>
        <w:noProof/>
        <w:color w:val="7F7F7F"/>
        <w:sz w:val="16"/>
        <w:szCs w:val="16"/>
      </w:rPr>
      <w:t>2</w:t>
    </w:r>
    <w:r w:rsidRPr="00D059DA">
      <w:rPr>
        <w:rFonts w:ascii="Arial" w:hAnsi="Arial" w:cs="Arial"/>
        <w:b/>
        <w:bCs/>
        <w:color w:val="7F7F7F"/>
        <w:sz w:val="16"/>
        <w:szCs w:val="16"/>
      </w:rPr>
      <w:fldChar w:fldCharType="end"/>
    </w:r>
    <w:r w:rsidRPr="00D059DA">
      <w:rPr>
        <w:rFonts w:ascii="Arial" w:hAnsi="Arial" w:cs="Arial"/>
        <w:color w:val="7F7F7F"/>
        <w:sz w:val="16"/>
        <w:szCs w:val="16"/>
      </w:rPr>
      <w:t xml:space="preserve"> de </w:t>
    </w:r>
    <w:r w:rsidRPr="00D059DA">
      <w:rPr>
        <w:rFonts w:ascii="Arial" w:hAnsi="Arial" w:cs="Arial"/>
        <w:b/>
        <w:bCs/>
        <w:color w:val="7F7F7F"/>
        <w:sz w:val="16"/>
        <w:szCs w:val="16"/>
      </w:rPr>
      <w:fldChar w:fldCharType="begin"/>
    </w:r>
    <w:r w:rsidRPr="00D059DA">
      <w:rPr>
        <w:rFonts w:ascii="Arial" w:hAnsi="Arial" w:cs="Arial"/>
        <w:b/>
        <w:bCs/>
        <w:color w:val="7F7F7F"/>
        <w:sz w:val="16"/>
        <w:szCs w:val="16"/>
      </w:rPr>
      <w:instrText>NUMPAGES  \* Arabic  \* MERGEFORMAT</w:instrText>
    </w:r>
    <w:r w:rsidRPr="00D059DA">
      <w:rPr>
        <w:rFonts w:ascii="Arial" w:hAnsi="Arial" w:cs="Arial"/>
        <w:b/>
        <w:bCs/>
        <w:color w:val="7F7F7F"/>
        <w:sz w:val="16"/>
        <w:szCs w:val="16"/>
      </w:rPr>
      <w:fldChar w:fldCharType="separate"/>
    </w:r>
    <w:r w:rsidRPr="00D059DA">
      <w:rPr>
        <w:rFonts w:ascii="Arial" w:hAnsi="Arial" w:cs="Arial"/>
        <w:b/>
        <w:bCs/>
        <w:noProof/>
        <w:color w:val="7F7F7F"/>
        <w:sz w:val="16"/>
        <w:szCs w:val="16"/>
      </w:rPr>
      <w:t>15</w:t>
    </w:r>
    <w:r w:rsidRPr="00D059DA">
      <w:rPr>
        <w:rFonts w:ascii="Arial" w:hAnsi="Arial" w:cs="Arial"/>
        <w:b/>
        <w:bCs/>
        <w:color w:val="7F7F7F"/>
        <w:sz w:val="16"/>
        <w:szCs w:val="16"/>
      </w:rPr>
      <w:fldChar w:fldCharType="end"/>
    </w:r>
  </w:p>
  <w:p w14:paraId="2D2DDEEA" w14:textId="77777777" w:rsidR="008F4163" w:rsidRDefault="00A0446B" w:rsidP="00322937">
    <w:pPr>
      <w:pStyle w:val="Piedepgina"/>
      <w:jc w:val="center"/>
      <w:rPr>
        <w:lang w:val="es-ES"/>
      </w:rPr>
    </w:pPr>
    <w:r>
      <w:rPr>
        <w:noProof/>
        <w:lang w:val="es-ES_tradnl" w:eastAsia="es-ES_tradnl"/>
      </w:rPr>
      <w:drawing>
        <wp:inline distT="0" distB="0" distL="0" distR="0" wp14:anchorId="2C1E8216" wp14:editId="2971484E">
          <wp:extent cx="3700130" cy="51913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e_pagina_pie_pagina_excel.png"/>
                  <pic:cNvPicPr/>
                </pic:nvPicPr>
                <pic:blipFill>
                  <a:blip r:embed="rId1">
                    <a:extLst>
                      <a:ext uri="{28A0092B-C50C-407E-A947-70E740481C1C}">
                        <a14:useLocalDpi xmlns:a14="http://schemas.microsoft.com/office/drawing/2010/main" val="0"/>
                      </a:ext>
                    </a:extLst>
                  </a:blip>
                  <a:stretch>
                    <a:fillRect/>
                  </a:stretch>
                </pic:blipFill>
                <pic:spPr>
                  <a:xfrm>
                    <a:off x="0" y="0"/>
                    <a:ext cx="3779589" cy="530287"/>
                  </a:xfrm>
                  <a:prstGeom prst="rect">
                    <a:avLst/>
                  </a:prstGeom>
                </pic:spPr>
              </pic:pic>
            </a:graphicData>
          </a:graphic>
        </wp:inline>
      </w:drawing>
    </w:r>
  </w:p>
  <w:p w14:paraId="53CD7712" w14:textId="77777777" w:rsidR="008F4163" w:rsidRDefault="00000000" w:rsidP="007B0854">
    <w:pPr>
      <w:pStyle w:val="Piedepgina"/>
      <w:jc w:val="center"/>
      <w:rPr>
        <w:lang w:val="es-ES"/>
      </w:rPr>
    </w:pPr>
  </w:p>
  <w:p w14:paraId="0C5DD2FF" w14:textId="77777777" w:rsidR="008F4163" w:rsidRPr="007B0854" w:rsidRDefault="00000000" w:rsidP="007B0854">
    <w:pPr>
      <w:pStyle w:val="Piedepgina"/>
      <w:jc w:val="cen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D34E7" w14:textId="77777777" w:rsidR="008C0622" w:rsidRDefault="008C0622" w:rsidP="00D34196">
      <w:r>
        <w:separator/>
      </w:r>
    </w:p>
  </w:footnote>
  <w:footnote w:type="continuationSeparator" w:id="0">
    <w:p w14:paraId="4965B314" w14:textId="77777777" w:rsidR="008C0622" w:rsidRDefault="008C0622" w:rsidP="00D34196">
      <w:r>
        <w:continuationSeparator/>
      </w:r>
    </w:p>
  </w:footnote>
  <w:footnote w:id="1">
    <w:p w14:paraId="414055AE" w14:textId="77777777" w:rsidR="00DB2853" w:rsidRPr="00560497" w:rsidRDefault="00DB2853" w:rsidP="00560497">
      <w:pPr>
        <w:pStyle w:val="Textonotapie"/>
        <w:ind w:firstLine="709"/>
        <w:jc w:val="both"/>
        <w:rPr>
          <w:rFonts w:ascii="Arial" w:hAnsi="Arial" w:cs="Arial"/>
          <w:color w:val="000000" w:themeColor="text1"/>
          <w:sz w:val="19"/>
          <w:szCs w:val="19"/>
          <w:lang w:val="es-CO"/>
        </w:rPr>
      </w:pPr>
      <w:r w:rsidRPr="00560497">
        <w:rPr>
          <w:rStyle w:val="Refdenotaalpie"/>
          <w:rFonts w:ascii="Arial" w:hAnsi="Arial" w:cs="Arial"/>
          <w:sz w:val="19"/>
          <w:szCs w:val="19"/>
        </w:rPr>
        <w:footnoteRef/>
      </w:r>
      <w:r w:rsidRPr="00560497">
        <w:rPr>
          <w:rFonts w:ascii="Arial" w:hAnsi="Arial" w:cs="Arial"/>
          <w:color w:val="000000" w:themeColor="text1"/>
          <w:sz w:val="19"/>
          <w:szCs w:val="19"/>
        </w:rPr>
        <w:t xml:space="preserve"> «Parágrafo 3. El Gobierno Nacional tendrá la facultad de estandarizar las condiciones generales de los pliegos de condiciones y los contratos de las entidades estatales, cuando se trate de la adquisición o suministro de bienes y servicios de características técnicas uniformes y de común utilización por parte de las entidades».</w:t>
      </w:r>
    </w:p>
  </w:footnote>
  <w:footnote w:id="2">
    <w:p w14:paraId="5C23DB89" w14:textId="77777777" w:rsidR="00DB2853" w:rsidRPr="00560497" w:rsidRDefault="00DB2853" w:rsidP="00560497">
      <w:pPr>
        <w:pStyle w:val="Textonotapie"/>
        <w:ind w:firstLine="709"/>
        <w:jc w:val="both"/>
        <w:rPr>
          <w:rFonts w:ascii="Arial" w:hAnsi="Arial" w:cs="Arial"/>
          <w:color w:val="000000" w:themeColor="text1"/>
          <w:sz w:val="19"/>
          <w:szCs w:val="19"/>
        </w:rPr>
      </w:pPr>
      <w:r w:rsidRPr="00560497">
        <w:rPr>
          <w:rStyle w:val="Refdenotaalpie"/>
          <w:rFonts w:ascii="Arial" w:hAnsi="Arial" w:cs="Arial"/>
          <w:sz w:val="19"/>
          <w:szCs w:val="19"/>
        </w:rPr>
        <w:footnoteRef/>
      </w:r>
      <w:r w:rsidRPr="00560497">
        <w:rPr>
          <w:rFonts w:ascii="Arial" w:hAnsi="Arial" w:cs="Arial"/>
          <w:color w:val="000000" w:themeColor="text1"/>
          <w:sz w:val="19"/>
          <w:szCs w:val="19"/>
        </w:rPr>
        <w:t xml:space="preserve"> </w:t>
      </w:r>
      <w:r w:rsidRPr="00560497">
        <w:rPr>
          <w:rFonts w:ascii="Arial" w:hAnsi="Arial" w:cs="Arial"/>
          <w:color w:val="000000" w:themeColor="text1"/>
          <w:sz w:val="19"/>
          <w:szCs w:val="19"/>
          <w:lang w:val="es-CO"/>
        </w:rPr>
        <w:t xml:space="preserve">Ley 1882 de 2018: «Artículo 4. </w:t>
      </w:r>
      <w:r w:rsidRPr="00560497">
        <w:rPr>
          <w:rFonts w:ascii="Arial" w:hAnsi="Arial" w:cs="Arial"/>
          <w:color w:val="000000" w:themeColor="text1"/>
          <w:sz w:val="19"/>
          <w:szCs w:val="19"/>
        </w:rPr>
        <w:t>El Gobierno nacional adoptará documentos tipo para los pliegos de condiciones de los procesos de selección de obras públicas, interventoría para las obras públicas, interventoría para consultoría de estudios y diseños para obras públicas, consultoría en ingeniería para obras, los cuales deberán ser utilizados por todas las entidades sometidas al Estatuto General de la Contratación de la Administración Pública en los procesos de selección que adelanten. Dentro de los documentos tipo el Gobierno adoptará de manera general y con alcance obligatorio para todas las entidades sometidas al Estatuto General de Contratación de la Administración Pública, las condiciones habilitantes, así como los factores técnicos y económicos de escogencia, según corresponda a cada modalidad de selección y la ponderación precisa y detallada de los mismos, que deberán incluirse en los pliegos de condiciones, teniendo en cuenta la naturaleza y cuantía de los contratos. Para la adopción de esta reglamentación el Gobierno tendrá en cuenta las características propias de las regiones con el ánimo de promover el empleo local.</w:t>
      </w:r>
    </w:p>
    <w:p w14:paraId="66AA031D" w14:textId="77777777" w:rsidR="00DB2853" w:rsidRPr="00560497" w:rsidRDefault="00DB2853" w:rsidP="00560497">
      <w:pPr>
        <w:pStyle w:val="Textonotapie"/>
        <w:ind w:firstLine="709"/>
        <w:jc w:val="both"/>
        <w:rPr>
          <w:rFonts w:ascii="Arial" w:hAnsi="Arial" w:cs="Arial"/>
          <w:color w:val="000000" w:themeColor="text1"/>
          <w:sz w:val="19"/>
          <w:szCs w:val="19"/>
          <w:lang w:val="es-CO"/>
        </w:rPr>
      </w:pPr>
      <w:r w:rsidRPr="00560497">
        <w:rPr>
          <w:rFonts w:ascii="Arial" w:hAnsi="Arial" w:cs="Arial"/>
          <w:color w:val="000000" w:themeColor="text1"/>
          <w:sz w:val="19"/>
          <w:szCs w:val="19"/>
          <w:lang w:val="es-CO"/>
        </w:rPr>
        <w:t>»La facultad de adoptar documentos tipo la tendrá el Gobierno nacional, cuando lo considere necesario, en relación con otros contratos o procesos de selección.</w:t>
      </w:r>
    </w:p>
    <w:p w14:paraId="23466267" w14:textId="77777777" w:rsidR="00DB2853" w:rsidRPr="00560497" w:rsidRDefault="00DB2853" w:rsidP="00560497">
      <w:pPr>
        <w:pStyle w:val="Textonotapie"/>
        <w:ind w:firstLine="709"/>
        <w:jc w:val="both"/>
        <w:rPr>
          <w:rFonts w:ascii="Arial" w:hAnsi="Arial" w:cs="Arial"/>
          <w:color w:val="000000" w:themeColor="text1"/>
          <w:sz w:val="19"/>
          <w:szCs w:val="19"/>
          <w:lang w:val="es-CO"/>
        </w:rPr>
      </w:pPr>
      <w:r w:rsidRPr="00560497">
        <w:rPr>
          <w:rFonts w:ascii="Arial" w:hAnsi="Arial" w:cs="Arial"/>
          <w:color w:val="000000" w:themeColor="text1"/>
          <w:sz w:val="19"/>
          <w:szCs w:val="19"/>
          <w:lang w:val="es-CO"/>
        </w:rPr>
        <w:t>»Los pliegos tipo se adoptarán por categorías de acuerdo con la cuantía de la contratación, según la reglamentación que expida el Gobierno nacional».</w:t>
      </w:r>
    </w:p>
  </w:footnote>
  <w:footnote w:id="3">
    <w:p w14:paraId="5E39CE5A" w14:textId="77777777" w:rsidR="00DB2853" w:rsidRPr="00560497" w:rsidRDefault="00DB2853" w:rsidP="00560497">
      <w:pPr>
        <w:pStyle w:val="Textonotapie"/>
        <w:ind w:firstLine="709"/>
        <w:jc w:val="both"/>
        <w:rPr>
          <w:rFonts w:ascii="Arial" w:hAnsi="Arial" w:cs="Arial"/>
          <w:color w:val="000000" w:themeColor="text1"/>
          <w:sz w:val="19"/>
          <w:szCs w:val="19"/>
        </w:rPr>
      </w:pPr>
      <w:r w:rsidRPr="00560497">
        <w:rPr>
          <w:rStyle w:val="Refdenotaalpie"/>
          <w:rFonts w:ascii="Arial" w:hAnsi="Arial" w:cs="Arial"/>
          <w:sz w:val="19"/>
          <w:szCs w:val="19"/>
        </w:rPr>
        <w:footnoteRef/>
      </w:r>
      <w:r w:rsidRPr="00560497">
        <w:rPr>
          <w:rFonts w:ascii="Arial" w:hAnsi="Arial" w:cs="Arial"/>
          <w:color w:val="000000" w:themeColor="text1"/>
          <w:sz w:val="19"/>
          <w:szCs w:val="19"/>
        </w:rPr>
        <w:t xml:space="preserve"> Corte Constitucional. Sentencia C-119 de 2020. M.P. Alejandro Linares Cantillo. «Encontró la Corte en el control abstracto de constitucionalidad, que de la norma no surge vulneración alguna de la autonomía de los entes territoriales, en cuanto que la estandarización se predica únicamente de los requisitos habilitantes y los criterios de escogencia, elementos propios del procedimiento de selección de contratistas, materia en la que existe reserva de ley, el Legislador goza de un amplio margen de configuración normativa y que no se encuentra atribuida a la regulación de las entidades territoriales. Resaltó que la norma cuestionada no interfiere en la facultad de las entidades territoriales para gestionar sus propios intereses, la que, en materia contractual, se predica particularmente de la identificación autónoma de sus necesidades y la configuración de los elementos del contrato».</w:t>
      </w:r>
    </w:p>
  </w:footnote>
  <w:footnote w:id="4">
    <w:p w14:paraId="6AAE30BA" w14:textId="77777777" w:rsidR="00DB2853" w:rsidRPr="00560497" w:rsidRDefault="00DB2853" w:rsidP="00560497">
      <w:pPr>
        <w:pStyle w:val="NormalWeb"/>
        <w:spacing w:before="0" w:beforeAutospacing="0" w:after="0" w:afterAutospacing="0"/>
        <w:ind w:firstLine="709"/>
        <w:jc w:val="both"/>
        <w:rPr>
          <w:rFonts w:ascii="Arial" w:hAnsi="Arial" w:cs="Arial"/>
          <w:color w:val="000000" w:themeColor="text1"/>
          <w:sz w:val="19"/>
          <w:szCs w:val="19"/>
        </w:rPr>
      </w:pPr>
      <w:r w:rsidRPr="00560497">
        <w:rPr>
          <w:rStyle w:val="Refdenotaalpie"/>
          <w:rFonts w:ascii="Arial" w:hAnsi="Arial" w:cs="Arial"/>
          <w:sz w:val="19"/>
          <w:szCs w:val="19"/>
        </w:rPr>
        <w:footnoteRef/>
      </w:r>
      <w:r w:rsidRPr="00560497">
        <w:rPr>
          <w:rFonts w:ascii="Arial" w:hAnsi="Arial" w:cs="Arial"/>
          <w:color w:val="000000" w:themeColor="text1"/>
          <w:sz w:val="19"/>
          <w:szCs w:val="19"/>
        </w:rPr>
        <w:t xml:space="preserve"> Ley 2022 de 2020: «</w:t>
      </w:r>
      <w:r w:rsidRPr="00560497">
        <w:rPr>
          <w:rStyle w:val="Textoennegrita"/>
          <w:rFonts w:ascii="Arial" w:hAnsi="Arial" w:cs="Arial"/>
          <w:color w:val="000000" w:themeColor="text1"/>
          <w:sz w:val="19"/>
          <w:szCs w:val="19"/>
        </w:rPr>
        <w:t>Artículo 1º.</w:t>
      </w:r>
      <w:r w:rsidRPr="00560497">
        <w:rPr>
          <w:rFonts w:ascii="Arial" w:hAnsi="Arial" w:cs="Arial"/>
          <w:color w:val="000000" w:themeColor="text1"/>
          <w:sz w:val="19"/>
          <w:szCs w:val="19"/>
        </w:rPr>
        <w:t> Modifíquese el artículo 4º de la Ley 1882 de 2018, el cual quedará así: </w:t>
      </w:r>
    </w:p>
    <w:p w14:paraId="37904E33" w14:textId="77777777" w:rsidR="00DB2853" w:rsidRPr="00560497" w:rsidRDefault="00DB2853" w:rsidP="00560497">
      <w:pPr>
        <w:pStyle w:val="NormalWeb"/>
        <w:spacing w:before="0" w:beforeAutospacing="0" w:after="0" w:afterAutospacing="0"/>
        <w:ind w:firstLine="709"/>
        <w:jc w:val="both"/>
        <w:rPr>
          <w:rFonts w:ascii="Arial" w:hAnsi="Arial" w:cs="Arial"/>
          <w:color w:val="000000" w:themeColor="text1"/>
          <w:sz w:val="19"/>
          <w:szCs w:val="19"/>
        </w:rPr>
      </w:pPr>
      <w:r w:rsidRPr="00560497">
        <w:rPr>
          <w:rStyle w:val="Textoennegrita"/>
          <w:rFonts w:ascii="Arial" w:hAnsi="Arial" w:cs="Arial"/>
          <w:color w:val="000000" w:themeColor="text1"/>
          <w:sz w:val="19"/>
          <w:szCs w:val="19"/>
        </w:rPr>
        <w:t>»Artículo 4º.</w:t>
      </w:r>
      <w:r w:rsidRPr="00560497">
        <w:rPr>
          <w:rFonts w:ascii="Arial" w:hAnsi="Arial" w:cs="Arial"/>
          <w:color w:val="000000" w:themeColor="text1"/>
          <w:sz w:val="19"/>
          <w:szCs w:val="19"/>
        </w:rPr>
        <w:t> Adiciónese el siguiente parágrafo al artículo 2º de la Ley 1150 de 2007. </w:t>
      </w:r>
    </w:p>
    <w:p w14:paraId="3614D351" w14:textId="77777777" w:rsidR="00DB2853" w:rsidRPr="00560497" w:rsidRDefault="00DB2853" w:rsidP="00560497">
      <w:pPr>
        <w:pStyle w:val="NormalWeb"/>
        <w:spacing w:before="0" w:beforeAutospacing="0" w:after="0" w:afterAutospacing="0"/>
        <w:ind w:firstLine="709"/>
        <w:jc w:val="both"/>
        <w:rPr>
          <w:rFonts w:ascii="Arial" w:hAnsi="Arial" w:cs="Arial"/>
          <w:color w:val="000000" w:themeColor="text1"/>
          <w:sz w:val="19"/>
          <w:szCs w:val="19"/>
        </w:rPr>
      </w:pPr>
      <w:r w:rsidRPr="00560497">
        <w:rPr>
          <w:rStyle w:val="Textoennegrita"/>
          <w:rFonts w:ascii="Arial" w:hAnsi="Arial" w:cs="Arial"/>
          <w:color w:val="000000" w:themeColor="text1"/>
          <w:sz w:val="19"/>
          <w:szCs w:val="19"/>
        </w:rPr>
        <w:t>»Parágrafo 7º.</w:t>
      </w:r>
      <w:r w:rsidRPr="00560497">
        <w:rPr>
          <w:rFonts w:ascii="Arial" w:hAnsi="Arial" w:cs="Arial"/>
          <w:color w:val="000000" w:themeColor="text1"/>
          <w:sz w:val="19"/>
          <w:szCs w:val="19"/>
        </w:rPr>
        <w:t> La Agencia Nacional de Contratación Pública Colombia Compra Eficiente o quien haga sus veces, adoptará documentos tipo que serán de obligatorio cumplimiento en la actividad contractual de todas las entidades sometidas al Estatuto General de Contratación de la Administración Pública. </w:t>
      </w:r>
    </w:p>
    <w:p w14:paraId="57FBADA1" w14:textId="77777777" w:rsidR="00DB2853" w:rsidRPr="00560497" w:rsidRDefault="00DB2853" w:rsidP="00560497">
      <w:pPr>
        <w:pStyle w:val="NormalWeb"/>
        <w:spacing w:before="0" w:beforeAutospacing="0" w:after="0" w:afterAutospacing="0"/>
        <w:ind w:firstLine="709"/>
        <w:jc w:val="both"/>
        <w:rPr>
          <w:rFonts w:ascii="Arial" w:hAnsi="Arial" w:cs="Arial"/>
          <w:color w:val="000000" w:themeColor="text1"/>
          <w:sz w:val="19"/>
          <w:szCs w:val="19"/>
        </w:rPr>
      </w:pPr>
      <w:r w:rsidRPr="00560497">
        <w:rPr>
          <w:rFonts w:ascii="Arial" w:hAnsi="Arial" w:cs="Arial"/>
          <w:color w:val="000000" w:themeColor="text1"/>
          <w:sz w:val="19"/>
          <w:szCs w:val="19"/>
        </w:rPr>
        <w:t>»Dentro de estos documentos tipo, se establecerán los requisitos habilitantes, factores técnicos, económicos y otros factores de escogencia, así como aquellos requisitos que, previa justificación, representen buenas prácticas contractuales que procuren el adecuado desarrollo de los principios que rigen la contratación pública. </w:t>
      </w:r>
    </w:p>
    <w:p w14:paraId="6D40E635" w14:textId="77777777" w:rsidR="00DB2853" w:rsidRPr="00560497" w:rsidRDefault="00DB2853" w:rsidP="00560497">
      <w:pPr>
        <w:pStyle w:val="NormalWeb"/>
        <w:spacing w:before="0" w:beforeAutospacing="0" w:after="0" w:afterAutospacing="0"/>
        <w:ind w:firstLine="709"/>
        <w:jc w:val="both"/>
        <w:rPr>
          <w:rFonts w:ascii="Arial" w:hAnsi="Arial" w:cs="Arial"/>
          <w:color w:val="000000" w:themeColor="text1"/>
          <w:sz w:val="19"/>
          <w:szCs w:val="19"/>
        </w:rPr>
      </w:pPr>
      <w:r w:rsidRPr="00560497">
        <w:rPr>
          <w:rFonts w:ascii="Arial" w:hAnsi="Arial" w:cs="Arial"/>
          <w:color w:val="000000" w:themeColor="text1"/>
          <w:sz w:val="19"/>
          <w:szCs w:val="19"/>
        </w:rPr>
        <w:t>»Con el ánimo de promover la descentralización, el empleo local, el desarrollo, los servicios e industria local, en la adopción de los documentos tipo, se tendrá en cuenta las características propias de las regiones, la cuantía, el fomento de la economía local y la naturaleza y especialidad de la contratación. Para tal efecto se deberá llevar a cabo un proceso de capacitación para los municipios. </w:t>
      </w:r>
    </w:p>
    <w:p w14:paraId="6DCC6E98" w14:textId="77777777" w:rsidR="00DB2853" w:rsidRPr="00560497" w:rsidRDefault="00DB2853" w:rsidP="00560497">
      <w:pPr>
        <w:pStyle w:val="NormalWeb"/>
        <w:spacing w:before="0" w:beforeAutospacing="0" w:after="0" w:afterAutospacing="0"/>
        <w:ind w:firstLine="709"/>
        <w:jc w:val="both"/>
        <w:rPr>
          <w:rFonts w:ascii="Arial" w:hAnsi="Arial" w:cs="Arial"/>
          <w:color w:val="000000" w:themeColor="text1"/>
          <w:sz w:val="19"/>
          <w:szCs w:val="19"/>
        </w:rPr>
      </w:pPr>
      <w:r w:rsidRPr="00560497">
        <w:rPr>
          <w:rFonts w:ascii="Arial" w:hAnsi="Arial" w:cs="Arial"/>
          <w:color w:val="000000" w:themeColor="text1"/>
          <w:sz w:val="19"/>
          <w:szCs w:val="19"/>
        </w:rPr>
        <w:t>»La Agencia Nacional de Contratación Pública Colombia Compra Eficiente fijará un cronograma, y definirá en coordinación con las entidades técnicas o especializadas correspondientes el procedimiento para implementar gradualmente los documentos tipo, con el propósito de facilitar la incorporación de estos en el sistema de compra pública y deberá establecer el procedimiento para recibir y revisar comentarios de los interesados, así como un sistema para la revisión constante de los documentos tipo, que expida. </w:t>
      </w:r>
    </w:p>
    <w:p w14:paraId="56BBBA6C" w14:textId="77777777" w:rsidR="00DB2853" w:rsidRPr="00560497" w:rsidRDefault="00DB2853" w:rsidP="00560497">
      <w:pPr>
        <w:pStyle w:val="NormalWeb"/>
        <w:spacing w:before="0" w:beforeAutospacing="0" w:after="0" w:afterAutospacing="0"/>
        <w:ind w:firstLine="709"/>
        <w:jc w:val="both"/>
        <w:rPr>
          <w:rFonts w:ascii="Arial" w:hAnsi="Arial" w:cs="Arial"/>
          <w:color w:val="000000" w:themeColor="text1"/>
          <w:sz w:val="19"/>
          <w:szCs w:val="19"/>
        </w:rPr>
      </w:pPr>
      <w:r w:rsidRPr="00560497">
        <w:rPr>
          <w:rFonts w:ascii="Arial" w:hAnsi="Arial" w:cs="Arial"/>
          <w:color w:val="000000" w:themeColor="text1"/>
          <w:sz w:val="19"/>
          <w:szCs w:val="19"/>
        </w:rPr>
        <w:t>»En todo caso, serán de uso obligatorio los documentos tipo para los pliegos de condiciones de los procesos de selección de obras públicas, interventoría para las obras públicas interventoría para consultoría de estudios y diseños para obras públicas, consultoría en ingeniería para obras, que lleven a cabo todas las entidades sometidas al Estatuto General de Contratación de la Administración Pública, en los términos fijados mediante la reglamentación correspondiente».</w:t>
      </w:r>
    </w:p>
  </w:footnote>
  <w:footnote w:id="5">
    <w:p w14:paraId="7AEBAF27" w14:textId="77777777" w:rsidR="00DB2853" w:rsidRPr="00560497" w:rsidRDefault="00DB2853" w:rsidP="00560497">
      <w:pPr>
        <w:pStyle w:val="Textonotapie"/>
        <w:ind w:firstLine="709"/>
        <w:jc w:val="both"/>
        <w:rPr>
          <w:rFonts w:ascii="Arial" w:hAnsi="Arial" w:cs="Arial"/>
          <w:color w:val="000000" w:themeColor="text1"/>
          <w:sz w:val="19"/>
          <w:szCs w:val="19"/>
        </w:rPr>
      </w:pPr>
      <w:r w:rsidRPr="00560497">
        <w:rPr>
          <w:rStyle w:val="Refdenotaalpie"/>
          <w:rFonts w:ascii="Arial" w:hAnsi="Arial" w:cs="Arial"/>
          <w:sz w:val="19"/>
          <w:szCs w:val="19"/>
        </w:rPr>
        <w:footnoteRef/>
      </w:r>
      <w:r w:rsidRPr="00560497">
        <w:rPr>
          <w:rFonts w:ascii="Arial" w:hAnsi="Arial" w:cs="Arial"/>
          <w:color w:val="000000" w:themeColor="text1"/>
          <w:sz w:val="19"/>
          <w:szCs w:val="19"/>
        </w:rPr>
        <w:t xml:space="preserve"> ». CONGRESO DE LA REPÚBLICA. Gaceta Nº 1677 del 23 de noviembre de 2021. Justificación jurídica del Proyecto de Ley No. 226 de 2021 Cámara. p. 15.</w:t>
      </w:r>
    </w:p>
  </w:footnote>
  <w:footnote w:id="6">
    <w:p w14:paraId="3EAB56EA" w14:textId="77777777" w:rsidR="00DB2853" w:rsidRPr="00560497" w:rsidRDefault="00DB2853" w:rsidP="00560497">
      <w:pPr>
        <w:pStyle w:val="NormalWeb"/>
        <w:spacing w:before="0" w:beforeAutospacing="0" w:after="0" w:afterAutospacing="0"/>
        <w:ind w:firstLine="708"/>
        <w:jc w:val="both"/>
        <w:rPr>
          <w:rFonts w:ascii="Arial" w:hAnsi="Arial" w:cs="Arial"/>
          <w:color w:val="000000"/>
          <w:sz w:val="19"/>
          <w:szCs w:val="19"/>
        </w:rPr>
      </w:pPr>
      <w:r w:rsidRPr="00560497">
        <w:rPr>
          <w:rStyle w:val="Refdenotaalpie"/>
          <w:rFonts w:ascii="Arial" w:hAnsi="Arial" w:cs="Arial"/>
          <w:sz w:val="19"/>
          <w:szCs w:val="19"/>
        </w:rPr>
        <w:footnoteRef/>
      </w:r>
      <w:r w:rsidRPr="00560497">
        <w:rPr>
          <w:rFonts w:ascii="Arial" w:hAnsi="Arial" w:cs="Arial"/>
          <w:sz w:val="19"/>
          <w:szCs w:val="19"/>
        </w:rPr>
        <w:t xml:space="preserve"> «</w:t>
      </w:r>
      <w:r w:rsidRPr="00560497">
        <w:rPr>
          <w:rStyle w:val="Textoennegrita"/>
          <w:rFonts w:ascii="Arial" w:hAnsi="Arial" w:cs="Arial"/>
          <w:color w:val="000000"/>
          <w:sz w:val="19"/>
          <w:szCs w:val="19"/>
        </w:rPr>
        <w:t>Artículo 2°.</w:t>
      </w:r>
      <w:r w:rsidRPr="00560497">
        <w:rPr>
          <w:rStyle w:val="nfasis"/>
          <w:rFonts w:ascii="Arial" w:hAnsi="Arial" w:cs="Arial"/>
          <w:color w:val="000000"/>
          <w:sz w:val="19"/>
          <w:szCs w:val="19"/>
        </w:rPr>
        <w:t>De las modalidades de selección. </w:t>
      </w:r>
      <w:r w:rsidRPr="00560497">
        <w:rPr>
          <w:rFonts w:ascii="Arial" w:hAnsi="Arial" w:cs="Arial"/>
          <w:color w:val="000000"/>
          <w:sz w:val="19"/>
          <w:szCs w:val="19"/>
        </w:rPr>
        <w:t xml:space="preserve">La escogencia del contratista se efectuará con arreglo a las modalidades de selección de licitación pública, selección abreviada, concurso de méritos y contratación directa, con base en las siguientes reglas:  </w:t>
      </w:r>
    </w:p>
    <w:p w14:paraId="4E3230A4" w14:textId="77777777" w:rsidR="00DB2853" w:rsidRPr="00560497" w:rsidRDefault="00DB2853" w:rsidP="00560497">
      <w:pPr>
        <w:pStyle w:val="NormalWeb"/>
        <w:spacing w:before="0" w:beforeAutospacing="0" w:after="0" w:afterAutospacing="0"/>
        <w:ind w:firstLine="708"/>
        <w:jc w:val="both"/>
        <w:rPr>
          <w:rFonts w:ascii="Arial" w:hAnsi="Arial" w:cs="Arial"/>
          <w:color w:val="000000"/>
          <w:sz w:val="19"/>
          <w:szCs w:val="19"/>
        </w:rPr>
      </w:pPr>
      <w:r w:rsidRPr="00560497">
        <w:rPr>
          <w:rFonts w:ascii="Arial" w:hAnsi="Arial" w:cs="Arial"/>
          <w:color w:val="000000"/>
          <w:sz w:val="19"/>
          <w:szCs w:val="19"/>
        </w:rPr>
        <w:t>[…]</w:t>
      </w:r>
    </w:p>
    <w:p w14:paraId="7680D10D" w14:textId="77777777" w:rsidR="00DB2853" w:rsidRPr="00560497" w:rsidRDefault="00DB2853" w:rsidP="00560497">
      <w:pPr>
        <w:pStyle w:val="NormalWeb"/>
        <w:spacing w:before="0" w:beforeAutospacing="0" w:after="0" w:afterAutospacing="0"/>
        <w:ind w:firstLine="708"/>
        <w:jc w:val="both"/>
        <w:rPr>
          <w:rFonts w:ascii="Arial" w:hAnsi="Arial" w:cs="Arial"/>
          <w:color w:val="000000"/>
          <w:sz w:val="19"/>
          <w:szCs w:val="19"/>
        </w:rPr>
      </w:pPr>
      <w:r w:rsidRPr="00560497">
        <w:rPr>
          <w:rFonts w:ascii="Arial" w:hAnsi="Arial" w:cs="Arial"/>
          <w:color w:val="000000"/>
          <w:sz w:val="19"/>
          <w:szCs w:val="19"/>
        </w:rPr>
        <w:t>»4. Contratación directa. La modalidad de selección de contratación directa, solamente procederá en los siguientes casos: </w:t>
      </w:r>
    </w:p>
    <w:p w14:paraId="46E0D8E2" w14:textId="77777777" w:rsidR="00DB2853" w:rsidRPr="00560497" w:rsidRDefault="00DB2853" w:rsidP="00560497">
      <w:pPr>
        <w:jc w:val="both"/>
        <w:rPr>
          <w:rFonts w:ascii="Arial" w:hAnsi="Arial" w:cs="Arial"/>
          <w:color w:val="000000"/>
          <w:sz w:val="19"/>
          <w:szCs w:val="19"/>
          <w:lang w:eastAsia="es-CO"/>
        </w:rPr>
      </w:pPr>
      <w:r w:rsidRPr="00560497">
        <w:rPr>
          <w:rFonts w:ascii="Arial" w:hAnsi="Arial" w:cs="Arial"/>
          <w:color w:val="000000"/>
          <w:sz w:val="19"/>
          <w:szCs w:val="19"/>
          <w:lang w:eastAsia="es-CO"/>
        </w:rPr>
        <w:t>  […]  </w:t>
      </w:r>
    </w:p>
    <w:p w14:paraId="3AED2500" w14:textId="77777777" w:rsidR="00DB2853" w:rsidRPr="00560497" w:rsidRDefault="00DB2853" w:rsidP="00560497">
      <w:pPr>
        <w:ind w:firstLine="708"/>
        <w:jc w:val="both"/>
        <w:rPr>
          <w:rFonts w:ascii="Arial" w:hAnsi="Arial" w:cs="Arial"/>
          <w:color w:val="000000"/>
          <w:sz w:val="19"/>
          <w:szCs w:val="19"/>
          <w:lang w:eastAsia="es-CO"/>
        </w:rPr>
      </w:pPr>
      <w:r w:rsidRPr="00560497">
        <w:rPr>
          <w:rFonts w:ascii="Arial" w:hAnsi="Arial" w:cs="Arial"/>
          <w:color w:val="000000"/>
          <w:sz w:val="19"/>
          <w:szCs w:val="19"/>
          <w:lang w:eastAsia="es-CO"/>
        </w:rPr>
        <w:t>»c) Contratos interadministrativos, siempre que las obligaciones derivadas del mismo tengan relación directa con el objeto de la entidad ejecutora señalado en la ley o en sus reglamentos.  </w:t>
      </w:r>
    </w:p>
    <w:p w14:paraId="36B1551B" w14:textId="77777777" w:rsidR="00DB2853" w:rsidRPr="00560497" w:rsidRDefault="00DB2853" w:rsidP="00560497">
      <w:pPr>
        <w:jc w:val="both"/>
        <w:rPr>
          <w:rFonts w:ascii="Arial" w:hAnsi="Arial" w:cs="Arial"/>
          <w:color w:val="000000"/>
          <w:sz w:val="19"/>
          <w:szCs w:val="19"/>
          <w:lang w:eastAsia="es-CO"/>
        </w:rPr>
      </w:pPr>
      <w:r w:rsidRPr="00560497">
        <w:rPr>
          <w:rFonts w:ascii="Arial" w:hAnsi="Arial" w:cs="Arial"/>
          <w:color w:val="000000"/>
          <w:sz w:val="19"/>
          <w:szCs w:val="19"/>
          <w:lang w:eastAsia="es-CO"/>
        </w:rPr>
        <w:t>  </w:t>
      </w:r>
      <w:r w:rsidRPr="00560497">
        <w:rPr>
          <w:rFonts w:ascii="Arial" w:hAnsi="Arial" w:cs="Arial"/>
          <w:color w:val="000000"/>
          <w:sz w:val="19"/>
          <w:szCs w:val="19"/>
          <w:lang w:eastAsia="es-CO"/>
        </w:rPr>
        <w:tab/>
        <w:t>»Se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  </w:t>
      </w:r>
    </w:p>
    <w:p w14:paraId="4C1ABA0F" w14:textId="77777777" w:rsidR="00DB2853" w:rsidRPr="00560497" w:rsidRDefault="00DB2853" w:rsidP="00560497">
      <w:pPr>
        <w:jc w:val="both"/>
        <w:rPr>
          <w:rFonts w:ascii="Arial" w:hAnsi="Arial" w:cs="Arial"/>
          <w:color w:val="000000"/>
          <w:sz w:val="19"/>
          <w:szCs w:val="19"/>
          <w:lang w:eastAsia="es-CO"/>
        </w:rPr>
      </w:pPr>
      <w:r w:rsidRPr="00560497">
        <w:rPr>
          <w:rFonts w:ascii="Arial" w:hAnsi="Arial" w:cs="Arial"/>
          <w:color w:val="000000"/>
          <w:sz w:val="19"/>
          <w:szCs w:val="19"/>
          <w:lang w:eastAsia="es-CO"/>
        </w:rPr>
        <w:t>  </w:t>
      </w:r>
      <w:r w:rsidRPr="00560497">
        <w:rPr>
          <w:rFonts w:ascii="Arial" w:hAnsi="Arial" w:cs="Arial"/>
          <w:color w:val="000000"/>
          <w:sz w:val="19"/>
          <w:szCs w:val="19"/>
          <w:lang w:eastAsia="es-CO"/>
        </w:rPr>
        <w:tab/>
        <w:t>»En aquellos eventos en que el régimen aplicable a la contratación de la entidad ejecutora no sea el de la Ley 80 de 1993, la ejecución de dichos contratos estará en todo caso sometida a esta ley, salvo que la entidad ejecutora desarrolle su actividad en competencia con el sector privado o cuando la ejecución del contrato interadministrativo tenga relación directa con el desarrollo de su actividad.  </w:t>
      </w:r>
    </w:p>
    <w:p w14:paraId="3860B5B4" w14:textId="77777777" w:rsidR="00DB2853" w:rsidRPr="00560497" w:rsidRDefault="00DB2853" w:rsidP="00560497">
      <w:pPr>
        <w:jc w:val="both"/>
        <w:rPr>
          <w:rFonts w:ascii="Arial" w:hAnsi="Arial" w:cs="Arial"/>
          <w:color w:val="000000"/>
          <w:sz w:val="19"/>
          <w:szCs w:val="19"/>
          <w:lang w:eastAsia="es-CO"/>
        </w:rPr>
      </w:pPr>
      <w:r w:rsidRPr="00560497">
        <w:rPr>
          <w:rFonts w:ascii="Arial" w:hAnsi="Arial" w:cs="Arial"/>
          <w:color w:val="000000"/>
          <w:sz w:val="19"/>
          <w:szCs w:val="19"/>
          <w:lang w:eastAsia="es-CO"/>
        </w:rPr>
        <w:t>  </w:t>
      </w:r>
      <w:r w:rsidRPr="00560497">
        <w:rPr>
          <w:rFonts w:ascii="Arial" w:hAnsi="Arial" w:cs="Arial"/>
          <w:color w:val="000000"/>
          <w:sz w:val="19"/>
          <w:szCs w:val="19"/>
          <w:lang w:eastAsia="es-CO"/>
        </w:rPr>
        <w:tab/>
        <w:t>»En aquellos casos en que la entidad estatal ejecutora deba subcontratar algunas de las actividades derivadas del contrato principal, no podrá ni ella ni el subcontratista, contratar o vincular a las personas naturales o jurídicas que hayan participado en la elaboración de los estudios, diseños y proyectos que tengan relación directa con el objeto del contrato principal. </w:t>
      </w:r>
    </w:p>
    <w:p w14:paraId="71279593" w14:textId="77777777" w:rsidR="00DB2853" w:rsidRPr="00560497" w:rsidRDefault="00DB2853" w:rsidP="00560497">
      <w:pPr>
        <w:jc w:val="both"/>
        <w:rPr>
          <w:rFonts w:ascii="Arial" w:hAnsi="Arial" w:cs="Arial"/>
          <w:sz w:val="19"/>
          <w:szCs w:val="19"/>
        </w:rPr>
      </w:pPr>
      <w:r w:rsidRPr="00560497">
        <w:rPr>
          <w:rFonts w:ascii="Arial" w:hAnsi="Arial" w:cs="Arial"/>
          <w:color w:val="000000"/>
          <w:sz w:val="19"/>
          <w:szCs w:val="19"/>
          <w:lang w:eastAsia="es-CO"/>
        </w:rPr>
        <w:t>  </w:t>
      </w:r>
      <w:r w:rsidRPr="00560497">
        <w:rPr>
          <w:rFonts w:ascii="Arial" w:hAnsi="Arial" w:cs="Arial"/>
          <w:color w:val="000000"/>
          <w:sz w:val="19"/>
          <w:szCs w:val="19"/>
          <w:lang w:eastAsia="es-CO"/>
        </w:rPr>
        <w:tab/>
        <w:t>»Estarán exceptuados de la figura del contrato interadministrativo, los contratos de seguro de las entidades estatales[…]». </w:t>
      </w:r>
      <w:r w:rsidRPr="00560497">
        <w:rPr>
          <w:rFonts w:ascii="Arial" w:hAnsi="Arial" w:cs="Arial"/>
          <w:sz w:val="19"/>
          <w:szCs w:val="19"/>
        </w:rPr>
        <w:t xml:space="preserve"> </w:t>
      </w:r>
    </w:p>
  </w:footnote>
  <w:footnote w:id="7">
    <w:p w14:paraId="16A22AC8" w14:textId="77777777" w:rsidR="00DB2853" w:rsidRPr="00560497" w:rsidRDefault="00DB2853" w:rsidP="00560497">
      <w:pPr>
        <w:pStyle w:val="Textonotapie"/>
        <w:ind w:firstLine="708"/>
        <w:jc w:val="both"/>
        <w:rPr>
          <w:rFonts w:ascii="Arial" w:hAnsi="Arial" w:cs="Arial"/>
          <w:sz w:val="19"/>
          <w:szCs w:val="19"/>
          <w:lang w:val="es-CO"/>
        </w:rPr>
      </w:pPr>
      <w:r w:rsidRPr="00560497">
        <w:rPr>
          <w:rStyle w:val="Refdenotaalpie"/>
          <w:rFonts w:ascii="Arial" w:hAnsi="Arial" w:cs="Arial"/>
          <w:sz w:val="19"/>
          <w:szCs w:val="19"/>
        </w:rPr>
        <w:footnoteRef/>
      </w:r>
      <w:r w:rsidRPr="00560497">
        <w:rPr>
          <w:rFonts w:ascii="Arial" w:hAnsi="Arial" w:cs="Arial"/>
          <w:sz w:val="19"/>
          <w:szCs w:val="19"/>
        </w:rPr>
        <w:t xml:space="preserve"> Este es uno de los casos típicos de antinomias que ha identificado la doctrina, que al respecto ha señalado: «Segundo caso: antinomias entre normas provenientes de dos fuentes distintas, pero del mismo tipo (por ejemplo, dos leyes estatales ordinarias) Ahora bien, dos fuentes del mismo tipo por lo general habrán sido promulgadas o emanadas en momentos distintos. En estos casos, la antinomia se resuelve dando la preferencia a la norma más reciente en el tiempo. La norma sucesiva debe ser aplicada, la anterior debe considerarse abrogada, ya no en vigencia […] Este modo de razonar constituye aplicación del principio cronológico: la norma sucesiva abroga la precedente («</w:t>
      </w:r>
      <w:r w:rsidRPr="00560497">
        <w:rPr>
          <w:rFonts w:ascii="Arial" w:hAnsi="Arial" w:cs="Arial"/>
          <w:i/>
          <w:iCs/>
          <w:sz w:val="19"/>
          <w:szCs w:val="19"/>
        </w:rPr>
        <w:t>lex posterior derogat legi priori</w:t>
      </w:r>
      <w:r w:rsidRPr="00560497">
        <w:rPr>
          <w:rFonts w:ascii="Arial" w:hAnsi="Arial" w:cs="Arial"/>
          <w:sz w:val="19"/>
          <w:szCs w:val="19"/>
        </w:rPr>
        <w:t xml:space="preserve">»)». GUASTINI, Ricardo. La interpretación de los documentos normativos. Trad. Cesar E. Moreno Primera Edición, Centro Iberoamericano de Investigaciones Jurídicas y Sociales: Derecho Global Editores, México, 2018. pp. 423 </w:t>
      </w:r>
    </w:p>
  </w:footnote>
  <w:footnote w:id="8">
    <w:p w14:paraId="0A066B18" w14:textId="77777777" w:rsidR="00DA3591" w:rsidRPr="00560497" w:rsidRDefault="00DA3591" w:rsidP="00560497">
      <w:pPr>
        <w:pStyle w:val="Textonotapie"/>
        <w:ind w:firstLine="709"/>
        <w:jc w:val="both"/>
        <w:rPr>
          <w:rFonts w:ascii="Arial" w:hAnsi="Arial" w:cs="Arial"/>
          <w:color w:val="000000" w:themeColor="text1"/>
          <w:sz w:val="19"/>
          <w:szCs w:val="19"/>
          <w:lang w:val="es-ES"/>
        </w:rPr>
      </w:pPr>
      <w:r w:rsidRPr="00560497">
        <w:rPr>
          <w:rStyle w:val="Refdenotaalpie"/>
          <w:rFonts w:ascii="Arial" w:hAnsi="Arial" w:cs="Arial"/>
          <w:color w:val="000000" w:themeColor="text1"/>
          <w:sz w:val="19"/>
          <w:szCs w:val="19"/>
        </w:rPr>
        <w:footnoteRef/>
      </w:r>
      <w:r w:rsidRPr="00560497">
        <w:rPr>
          <w:rFonts w:ascii="Arial" w:hAnsi="Arial" w:cs="Arial"/>
          <w:color w:val="000000" w:themeColor="text1"/>
          <w:sz w:val="19"/>
          <w:szCs w:val="19"/>
        </w:rPr>
        <w:t xml:space="preserve"> </w:t>
      </w:r>
      <w:r w:rsidRPr="00560497">
        <w:rPr>
          <w:rFonts w:ascii="Arial" w:hAnsi="Arial" w:cs="Arial"/>
          <w:color w:val="000000" w:themeColor="text1"/>
          <w:sz w:val="19"/>
          <w:szCs w:val="19"/>
          <w:lang w:val="es-ES"/>
        </w:rPr>
        <w:t>Magistrado Ponente: Marco Gerardo Monroy Cabra.</w:t>
      </w:r>
    </w:p>
    <w:p w14:paraId="33473A08" w14:textId="77777777" w:rsidR="00DA3591" w:rsidRPr="00560497" w:rsidRDefault="00DA3591" w:rsidP="00560497">
      <w:pPr>
        <w:pStyle w:val="Textonotapie"/>
        <w:ind w:firstLine="709"/>
        <w:jc w:val="both"/>
        <w:rPr>
          <w:rFonts w:ascii="Arial" w:hAnsi="Arial" w:cs="Arial"/>
          <w:color w:val="000000" w:themeColor="text1"/>
          <w:sz w:val="19"/>
          <w:szCs w:val="19"/>
          <w:lang w:val="es-ES"/>
        </w:rPr>
      </w:pPr>
    </w:p>
  </w:footnote>
  <w:footnote w:id="9">
    <w:p w14:paraId="4E8A153B" w14:textId="77777777" w:rsidR="00DA3591" w:rsidRPr="00560497" w:rsidRDefault="00DA3591" w:rsidP="00560497">
      <w:pPr>
        <w:pStyle w:val="Textonotapie"/>
        <w:ind w:firstLine="709"/>
        <w:jc w:val="both"/>
        <w:rPr>
          <w:rFonts w:ascii="Arial" w:hAnsi="Arial" w:cs="Arial"/>
          <w:color w:val="000000" w:themeColor="text1"/>
          <w:sz w:val="19"/>
          <w:szCs w:val="19"/>
        </w:rPr>
      </w:pPr>
      <w:r w:rsidRPr="00560497">
        <w:rPr>
          <w:rStyle w:val="Refdenotaalpie"/>
          <w:rFonts w:ascii="Arial" w:hAnsi="Arial" w:cs="Arial"/>
          <w:color w:val="000000" w:themeColor="text1"/>
          <w:sz w:val="19"/>
          <w:szCs w:val="19"/>
        </w:rPr>
        <w:footnoteRef/>
      </w:r>
      <w:r w:rsidRPr="00560497">
        <w:rPr>
          <w:rFonts w:ascii="Arial" w:hAnsi="Arial" w:cs="Arial"/>
          <w:color w:val="000000" w:themeColor="text1"/>
          <w:sz w:val="19"/>
          <w:szCs w:val="19"/>
        </w:rPr>
        <w:t xml:space="preserve"> En lo pertinente, dicho artículo señala: </w:t>
      </w:r>
    </w:p>
    <w:p w14:paraId="225D477C" w14:textId="453E747C" w:rsidR="00DA3591" w:rsidRPr="00560497" w:rsidRDefault="00BB7772" w:rsidP="00560497">
      <w:pPr>
        <w:pStyle w:val="Textonotapie"/>
        <w:ind w:firstLine="709"/>
        <w:jc w:val="both"/>
        <w:rPr>
          <w:rFonts w:ascii="Arial" w:hAnsi="Arial" w:cs="Arial"/>
          <w:color w:val="000000" w:themeColor="text1"/>
          <w:sz w:val="19"/>
          <w:szCs w:val="19"/>
          <w:lang w:val="es-ES"/>
        </w:rPr>
      </w:pPr>
      <w:r w:rsidRPr="00560497">
        <w:rPr>
          <w:rFonts w:ascii="Arial" w:hAnsi="Arial" w:cs="Arial"/>
          <w:color w:val="000000" w:themeColor="text1"/>
          <w:sz w:val="19"/>
          <w:szCs w:val="19"/>
          <w:lang w:val="es-ES"/>
        </w:rPr>
        <w:t>»</w:t>
      </w:r>
      <w:r w:rsidR="00DA3591" w:rsidRPr="00560497">
        <w:rPr>
          <w:rFonts w:ascii="Arial" w:hAnsi="Arial" w:cs="Arial"/>
          <w:color w:val="000000" w:themeColor="text1"/>
          <w:sz w:val="19"/>
          <w:szCs w:val="19"/>
          <w:lang w:val="es-ES"/>
        </w:rPr>
        <w:t>[…]</w:t>
      </w:r>
    </w:p>
    <w:p w14:paraId="6F8C2BB9" w14:textId="77777777" w:rsidR="00DA3591" w:rsidRPr="00560497" w:rsidRDefault="00DA3591" w:rsidP="00560497">
      <w:pPr>
        <w:pStyle w:val="Textonotapie"/>
        <w:ind w:firstLine="709"/>
        <w:jc w:val="both"/>
        <w:rPr>
          <w:rFonts w:ascii="Arial" w:hAnsi="Arial" w:cs="Arial"/>
          <w:color w:val="000000" w:themeColor="text1"/>
          <w:sz w:val="19"/>
          <w:szCs w:val="19"/>
          <w:lang w:val="es-ES"/>
        </w:rPr>
      </w:pPr>
      <w:r w:rsidRPr="00560497">
        <w:rPr>
          <w:rFonts w:ascii="Arial" w:hAnsi="Arial" w:cs="Arial"/>
          <w:color w:val="000000" w:themeColor="text1"/>
          <w:sz w:val="19"/>
          <w:szCs w:val="19"/>
          <w:lang w:val="es-ES"/>
        </w:rPr>
        <w:t>»14.5. EMPRESA DE SERVICIOS PÚBLICOS OFICIAL. Es aquella en cuyo capital la Nación, las entidades territoriales, o las entidades descentralizadas de aquella o estas tienen el 100% de los aportes.</w:t>
      </w:r>
    </w:p>
    <w:p w14:paraId="6F764394" w14:textId="14E060C8" w:rsidR="00DA3591" w:rsidRPr="00560497" w:rsidRDefault="00BB7772" w:rsidP="00560497">
      <w:pPr>
        <w:pStyle w:val="Textonotapie"/>
        <w:ind w:firstLine="709"/>
        <w:jc w:val="both"/>
        <w:rPr>
          <w:rFonts w:ascii="Arial" w:hAnsi="Arial" w:cs="Arial"/>
          <w:color w:val="000000" w:themeColor="text1"/>
          <w:sz w:val="19"/>
          <w:szCs w:val="19"/>
          <w:lang w:val="es-ES"/>
        </w:rPr>
      </w:pPr>
      <w:r w:rsidRPr="00560497">
        <w:rPr>
          <w:rFonts w:ascii="Arial" w:hAnsi="Arial" w:cs="Arial"/>
          <w:color w:val="000000" w:themeColor="text1"/>
          <w:sz w:val="19"/>
          <w:szCs w:val="19"/>
          <w:lang w:val="es-ES"/>
        </w:rPr>
        <w:t>»</w:t>
      </w:r>
      <w:r w:rsidR="00DA3591" w:rsidRPr="00560497">
        <w:rPr>
          <w:rFonts w:ascii="Arial" w:hAnsi="Arial" w:cs="Arial"/>
          <w:color w:val="000000" w:themeColor="text1"/>
          <w:sz w:val="19"/>
          <w:szCs w:val="19"/>
          <w:lang w:val="es-ES"/>
        </w:rPr>
        <w:t>14.6. EMPRESA DE SERVICIOS PÚBLICOS MIXTA. Es aquella en cuyo capital la Nación, las entidades territoriales, o las entidades descentralizadas de aquella o éstas tienen aportes iguales o superiores al 50%.</w:t>
      </w:r>
    </w:p>
    <w:p w14:paraId="270B69D9" w14:textId="73BD6F3B" w:rsidR="00DA3591" w:rsidRPr="00560497" w:rsidRDefault="00BB7772" w:rsidP="00560497">
      <w:pPr>
        <w:pStyle w:val="Textonotapie"/>
        <w:ind w:firstLine="709"/>
        <w:jc w:val="both"/>
        <w:rPr>
          <w:rFonts w:ascii="Arial" w:hAnsi="Arial" w:cs="Arial"/>
          <w:color w:val="000000" w:themeColor="text1"/>
          <w:sz w:val="19"/>
          <w:szCs w:val="19"/>
          <w:lang w:val="es-ES"/>
        </w:rPr>
      </w:pPr>
      <w:r w:rsidRPr="00560497">
        <w:rPr>
          <w:rFonts w:ascii="Arial" w:hAnsi="Arial" w:cs="Arial"/>
          <w:color w:val="000000" w:themeColor="text1"/>
          <w:sz w:val="19"/>
          <w:szCs w:val="19"/>
          <w:lang w:val="es-ES"/>
        </w:rPr>
        <w:t>»</w:t>
      </w:r>
      <w:r w:rsidR="00DA3591" w:rsidRPr="00560497">
        <w:rPr>
          <w:rFonts w:ascii="Arial" w:hAnsi="Arial" w:cs="Arial"/>
          <w:color w:val="000000" w:themeColor="text1"/>
          <w:sz w:val="19"/>
          <w:szCs w:val="19"/>
          <w:lang w:val="es-ES"/>
        </w:rPr>
        <w:t>14.7. EMPRESA DE SERVICIOS PÚBLICOS PRIVADA. Es aquella cuyo capital pertenece mayoritariamente a particulares, o a entidades surgidas de convenios internacionales que deseen someterse íntegramente para estos efectos a las reglas a las que se someten los particulares».</w:t>
      </w:r>
    </w:p>
  </w:footnote>
  <w:footnote w:id="10">
    <w:p w14:paraId="7BE85EA7" w14:textId="206FF7B7" w:rsidR="00DA3591" w:rsidRPr="00560497" w:rsidRDefault="00DA3591" w:rsidP="00560497">
      <w:pPr>
        <w:pStyle w:val="Textonotapie"/>
        <w:ind w:firstLine="709"/>
        <w:jc w:val="both"/>
        <w:rPr>
          <w:rFonts w:ascii="Arial" w:hAnsi="Arial" w:cs="Arial"/>
          <w:color w:val="000000" w:themeColor="text1"/>
          <w:sz w:val="19"/>
          <w:szCs w:val="19"/>
        </w:rPr>
      </w:pPr>
      <w:r w:rsidRPr="00560497">
        <w:rPr>
          <w:rStyle w:val="Refdenotaalpie"/>
          <w:rFonts w:ascii="Arial" w:hAnsi="Arial" w:cs="Arial"/>
          <w:color w:val="000000" w:themeColor="text1"/>
          <w:sz w:val="19"/>
          <w:szCs w:val="19"/>
        </w:rPr>
        <w:footnoteRef/>
      </w:r>
      <w:r w:rsidRPr="00560497">
        <w:rPr>
          <w:rFonts w:ascii="Arial" w:hAnsi="Arial" w:cs="Arial"/>
          <w:color w:val="000000" w:themeColor="text1"/>
          <w:sz w:val="19"/>
          <w:szCs w:val="19"/>
        </w:rPr>
        <w:t xml:space="preserve"> Sentencia C-736 de 2007.</w:t>
      </w:r>
    </w:p>
    <w:p w14:paraId="027EF257" w14:textId="77777777" w:rsidR="00BB7772" w:rsidRPr="00560497" w:rsidRDefault="00BB7772" w:rsidP="00560497">
      <w:pPr>
        <w:pStyle w:val="Textonotapie"/>
        <w:ind w:firstLine="709"/>
        <w:jc w:val="both"/>
        <w:rPr>
          <w:rFonts w:ascii="Arial" w:hAnsi="Arial" w:cs="Arial"/>
          <w:color w:val="000000" w:themeColor="text1"/>
          <w:sz w:val="19"/>
          <w:szCs w:val="19"/>
          <w:lang w:val="es-ES"/>
        </w:rPr>
      </w:pPr>
    </w:p>
  </w:footnote>
  <w:footnote w:id="11">
    <w:p w14:paraId="1C842F0C" w14:textId="43E9E6C4" w:rsidR="00DA3591" w:rsidRPr="00560497" w:rsidRDefault="00DA3591" w:rsidP="00560497">
      <w:pPr>
        <w:pStyle w:val="Textonotapie"/>
        <w:ind w:firstLine="709"/>
        <w:jc w:val="both"/>
        <w:rPr>
          <w:rFonts w:ascii="Arial" w:hAnsi="Arial" w:cs="Arial"/>
          <w:color w:val="000000" w:themeColor="text1"/>
          <w:sz w:val="19"/>
          <w:szCs w:val="19"/>
        </w:rPr>
      </w:pPr>
      <w:r w:rsidRPr="00560497">
        <w:rPr>
          <w:rStyle w:val="Refdenotaalpie"/>
          <w:rFonts w:ascii="Arial" w:hAnsi="Arial" w:cs="Arial"/>
          <w:color w:val="000000" w:themeColor="text1"/>
          <w:sz w:val="19"/>
          <w:szCs w:val="19"/>
        </w:rPr>
        <w:footnoteRef/>
      </w:r>
      <w:r w:rsidRPr="00560497">
        <w:rPr>
          <w:rFonts w:ascii="Arial" w:hAnsi="Arial" w:cs="Arial"/>
          <w:color w:val="000000" w:themeColor="text1"/>
          <w:sz w:val="19"/>
          <w:szCs w:val="19"/>
        </w:rPr>
        <w:t xml:space="preserve"> Consejo de Estado. </w:t>
      </w:r>
      <w:r w:rsidR="00BB7772" w:rsidRPr="00560497">
        <w:rPr>
          <w:rFonts w:ascii="Arial" w:hAnsi="Arial" w:cs="Arial"/>
          <w:color w:val="000000" w:themeColor="text1"/>
          <w:sz w:val="19"/>
          <w:szCs w:val="19"/>
        </w:rPr>
        <w:t>Sección</w:t>
      </w:r>
      <w:r w:rsidRPr="00560497">
        <w:rPr>
          <w:rFonts w:ascii="Arial" w:hAnsi="Arial" w:cs="Arial"/>
          <w:color w:val="000000" w:themeColor="text1"/>
          <w:sz w:val="19"/>
          <w:szCs w:val="19"/>
        </w:rPr>
        <w:t xml:space="preserve"> Cuarta. Sentencia del 1 de 2012. Consejero ponente: William Giraldo Giraldo. Expediente 17907. </w:t>
      </w:r>
    </w:p>
    <w:p w14:paraId="160D94F0" w14:textId="77777777" w:rsidR="00DA3591" w:rsidRPr="00560497" w:rsidRDefault="00DA3591" w:rsidP="00560497">
      <w:pPr>
        <w:pStyle w:val="Textonotapie"/>
        <w:ind w:firstLine="709"/>
        <w:jc w:val="both"/>
        <w:rPr>
          <w:rFonts w:ascii="Arial" w:hAnsi="Arial" w:cs="Arial"/>
          <w:color w:val="000000" w:themeColor="text1"/>
          <w:sz w:val="19"/>
          <w:szCs w:val="19"/>
        </w:rPr>
      </w:pPr>
    </w:p>
  </w:footnote>
  <w:footnote w:id="12">
    <w:p w14:paraId="221769CC" w14:textId="0FBBCCAC" w:rsidR="00DA3591" w:rsidRPr="00560497" w:rsidRDefault="00DA3591" w:rsidP="00560497">
      <w:pPr>
        <w:pStyle w:val="Textonotapie"/>
        <w:ind w:firstLine="709"/>
        <w:jc w:val="both"/>
        <w:rPr>
          <w:rFonts w:ascii="Arial" w:hAnsi="Arial" w:cs="Arial"/>
          <w:color w:val="000000" w:themeColor="text1"/>
          <w:sz w:val="19"/>
          <w:szCs w:val="19"/>
          <w:lang w:val="es-ES"/>
        </w:rPr>
      </w:pPr>
      <w:r w:rsidRPr="00560497">
        <w:rPr>
          <w:rStyle w:val="Refdenotaalpie"/>
          <w:rFonts w:ascii="Arial" w:hAnsi="Arial" w:cs="Arial"/>
          <w:color w:val="000000" w:themeColor="text1"/>
          <w:sz w:val="19"/>
          <w:szCs w:val="19"/>
        </w:rPr>
        <w:footnoteRef/>
      </w:r>
      <w:r w:rsidRPr="00560497">
        <w:rPr>
          <w:rFonts w:ascii="Arial" w:hAnsi="Arial" w:cs="Arial"/>
          <w:color w:val="000000" w:themeColor="text1"/>
          <w:sz w:val="19"/>
          <w:szCs w:val="19"/>
        </w:rPr>
        <w:t xml:space="preserve"> </w:t>
      </w:r>
      <w:r w:rsidR="00BB7772" w:rsidRPr="00560497">
        <w:rPr>
          <w:rFonts w:ascii="Arial" w:hAnsi="Arial" w:cs="Arial"/>
          <w:color w:val="000000" w:themeColor="text1"/>
          <w:sz w:val="19"/>
          <w:szCs w:val="19"/>
        </w:rPr>
        <w:t>Superintendencia</w:t>
      </w:r>
      <w:r w:rsidRPr="00560497">
        <w:rPr>
          <w:rFonts w:ascii="Arial" w:hAnsi="Arial" w:cs="Arial"/>
          <w:color w:val="000000" w:themeColor="text1"/>
          <w:sz w:val="19"/>
          <w:szCs w:val="19"/>
        </w:rPr>
        <w:t xml:space="preserve"> de Servicios Públicos Domiciliarios. </w:t>
      </w:r>
      <w:r w:rsidRPr="00560497">
        <w:rPr>
          <w:rFonts w:ascii="Arial" w:hAnsi="Arial" w:cs="Arial"/>
          <w:color w:val="000000" w:themeColor="text1"/>
          <w:sz w:val="19"/>
          <w:szCs w:val="19"/>
          <w:lang w:val="es-ES"/>
        </w:rPr>
        <w:t>Concepto C-766 de 2021.</w:t>
      </w:r>
    </w:p>
  </w:footnote>
  <w:footnote w:id="13">
    <w:p w14:paraId="664FF03A" w14:textId="77777777" w:rsidR="00DB2853" w:rsidRPr="00560497" w:rsidRDefault="00DB2853" w:rsidP="00560497">
      <w:pPr>
        <w:pStyle w:val="Textonotapie"/>
        <w:ind w:firstLine="709"/>
        <w:jc w:val="both"/>
        <w:rPr>
          <w:rFonts w:ascii="Arial" w:hAnsi="Arial" w:cs="Arial"/>
          <w:color w:val="000000" w:themeColor="text1"/>
          <w:sz w:val="19"/>
          <w:szCs w:val="19"/>
          <w:lang w:val="es-ES"/>
        </w:rPr>
      </w:pPr>
      <w:r w:rsidRPr="00560497">
        <w:rPr>
          <w:rStyle w:val="Refdenotaalpie"/>
          <w:rFonts w:ascii="Arial" w:hAnsi="Arial" w:cs="Arial"/>
          <w:sz w:val="19"/>
          <w:szCs w:val="19"/>
        </w:rPr>
        <w:footnoteRef/>
      </w:r>
      <w:r w:rsidRPr="00560497">
        <w:rPr>
          <w:rFonts w:ascii="Arial" w:hAnsi="Arial" w:cs="Arial"/>
          <w:sz w:val="19"/>
          <w:szCs w:val="19"/>
        </w:rPr>
        <w:t xml:space="preserve"> </w:t>
      </w:r>
      <w:r w:rsidRPr="00560497">
        <w:rPr>
          <w:rFonts w:ascii="Arial" w:hAnsi="Arial" w:cs="Arial"/>
          <w:color w:val="000000" w:themeColor="text1"/>
          <w:sz w:val="19"/>
          <w:szCs w:val="19"/>
          <w:lang w:val="es-ES"/>
        </w:rPr>
        <w:t>Según García de Enterría, «Estos concepto jurídicos indeterminados, o que se contienen en lo que también se llaman las normas flexibles, son consustanciales a toda la técnica jurídica y no constituyen una particularidad del Derecho público […], son conceptos jurídicos indeterminados, en el sentido de que la medida concreta para la aplicación de los mismos en un caso particular no nos la resuelve o determina con exactitud la propia Ley que los ha creado y de cuya aplicación se trata» (GARCÍA DE ENTERRÍA, Eduardo. La lucha contra las inmunidades del poder en el derecho administrativo. 3ª ed. Madrid: Civitas, 1983. pp. 33-34).</w:t>
      </w:r>
    </w:p>
    <w:p w14:paraId="23BFDC68" w14:textId="77777777" w:rsidR="00DB2853" w:rsidRPr="00560497" w:rsidRDefault="00DB2853" w:rsidP="00560497">
      <w:pPr>
        <w:pStyle w:val="Textonotapie"/>
        <w:ind w:firstLine="709"/>
        <w:jc w:val="both"/>
        <w:rPr>
          <w:rFonts w:ascii="Arial" w:hAnsi="Arial" w:cs="Arial"/>
          <w:sz w:val="19"/>
          <w:szCs w:val="19"/>
        </w:rPr>
      </w:pPr>
    </w:p>
  </w:footnote>
  <w:footnote w:id="14">
    <w:p w14:paraId="12773483" w14:textId="77777777" w:rsidR="00DB2853" w:rsidRPr="00560497" w:rsidRDefault="00DB2853" w:rsidP="00560497">
      <w:pPr>
        <w:pStyle w:val="Textonotapie"/>
        <w:ind w:firstLine="709"/>
        <w:jc w:val="both"/>
        <w:rPr>
          <w:rFonts w:ascii="Arial" w:hAnsi="Arial" w:cs="Arial"/>
          <w:sz w:val="19"/>
          <w:szCs w:val="19"/>
        </w:rPr>
      </w:pPr>
      <w:r w:rsidRPr="00560497">
        <w:rPr>
          <w:rStyle w:val="Refdenotaalpie"/>
          <w:rFonts w:ascii="Arial" w:hAnsi="Arial" w:cs="Arial"/>
          <w:sz w:val="19"/>
          <w:szCs w:val="19"/>
        </w:rPr>
        <w:footnoteRef/>
      </w:r>
      <w:r w:rsidRPr="00560497">
        <w:rPr>
          <w:rFonts w:ascii="Arial" w:hAnsi="Arial" w:cs="Arial"/>
          <w:sz w:val="19"/>
          <w:szCs w:val="19"/>
        </w:rPr>
        <w:t xml:space="preserve"> Sentencia C-382 de 2019, M.P. Alejandro Linares Cantillo.</w:t>
      </w:r>
    </w:p>
  </w:footnote>
  <w:footnote w:id="15">
    <w:p w14:paraId="022637F2" w14:textId="77777777" w:rsidR="00DB2853" w:rsidRPr="00560497" w:rsidRDefault="00DB2853" w:rsidP="00560497">
      <w:pPr>
        <w:pStyle w:val="Textonotapie"/>
        <w:ind w:firstLine="709"/>
        <w:jc w:val="both"/>
        <w:rPr>
          <w:rFonts w:ascii="Arial" w:hAnsi="Arial" w:cs="Arial"/>
          <w:color w:val="000000" w:themeColor="text1"/>
          <w:sz w:val="19"/>
          <w:szCs w:val="19"/>
        </w:rPr>
      </w:pPr>
    </w:p>
    <w:p w14:paraId="0F3CF4CA" w14:textId="77777777" w:rsidR="00DB2853" w:rsidRPr="00560497" w:rsidRDefault="00DB2853" w:rsidP="00560497">
      <w:pPr>
        <w:pStyle w:val="Textonotapie"/>
        <w:ind w:firstLine="709"/>
        <w:jc w:val="both"/>
        <w:rPr>
          <w:rFonts w:ascii="Arial" w:hAnsi="Arial" w:cs="Arial"/>
          <w:color w:val="000000" w:themeColor="text1"/>
          <w:sz w:val="19"/>
          <w:szCs w:val="19"/>
        </w:rPr>
      </w:pPr>
      <w:r w:rsidRPr="00560497">
        <w:rPr>
          <w:rStyle w:val="Refdenotaalpie"/>
          <w:rFonts w:ascii="Arial" w:hAnsi="Arial" w:cs="Arial"/>
          <w:sz w:val="19"/>
          <w:szCs w:val="19"/>
        </w:rPr>
        <w:footnoteRef/>
      </w:r>
      <w:r w:rsidRPr="00560497">
        <w:rPr>
          <w:rFonts w:ascii="Arial" w:hAnsi="Arial" w:cs="Arial"/>
          <w:color w:val="000000" w:themeColor="text1"/>
          <w:sz w:val="19"/>
          <w:szCs w:val="19"/>
        </w:rPr>
        <w:t xml:space="preserve"> La redacción original del parágrafo primero del artículo 32 de la Ley 80 de 1993, incluía la expresión </w:t>
      </w:r>
      <w:r w:rsidRPr="00560497">
        <w:rPr>
          <w:rFonts w:ascii="Arial" w:hAnsi="Arial" w:cs="Arial"/>
          <w:i/>
          <w:iCs/>
          <w:color w:val="000000" w:themeColor="text1"/>
          <w:sz w:val="19"/>
          <w:szCs w:val="19"/>
        </w:rPr>
        <w:t>giro ordinario</w:t>
      </w:r>
      <w:r w:rsidRPr="00560497">
        <w:rPr>
          <w:rFonts w:ascii="Arial" w:hAnsi="Arial" w:cs="Arial"/>
          <w:color w:val="000000" w:themeColor="text1"/>
          <w:sz w:val="19"/>
          <w:szCs w:val="19"/>
        </w:rPr>
        <w:t xml:space="preserve">, la cual servía de elemento calificante para la determinación del régimen aplicable a los contratos de los establecimientos de crédito público, las compañías de seguros y las demás entidades financieras públicas. Dicho parágrafo establecía «Sin perjuicio de lo dispuesto en esta ley sobre fiducia y encargo fiduciario, los contratos que celebren los establecimientos de crédito, las compañías de seguros y las demás entidades financieras de carácter estatal, que correspondan </w:t>
      </w:r>
      <w:r w:rsidRPr="00560497">
        <w:rPr>
          <w:rFonts w:ascii="Arial" w:hAnsi="Arial" w:cs="Arial"/>
          <w:i/>
          <w:iCs/>
          <w:color w:val="000000" w:themeColor="text1"/>
          <w:sz w:val="19"/>
          <w:szCs w:val="19"/>
        </w:rPr>
        <w:t>al giro ordinario de las actividades propias de su objeto social,</w:t>
      </w:r>
      <w:r w:rsidRPr="00560497">
        <w:rPr>
          <w:rFonts w:ascii="Arial" w:hAnsi="Arial" w:cs="Arial"/>
          <w:color w:val="000000" w:themeColor="text1"/>
          <w:sz w:val="19"/>
          <w:szCs w:val="19"/>
        </w:rPr>
        <w:t xml:space="preserve"> no estarán sujetos a las disposiciones del presente estatuto y se regirán por las disposiciones legales y reglamentarias aplicables a dichas actividades» [Énfasis fuera de texto].</w:t>
      </w:r>
    </w:p>
  </w:footnote>
  <w:footnote w:id="16">
    <w:p w14:paraId="3087B3DD" w14:textId="77777777" w:rsidR="00DB2853" w:rsidRPr="00560497" w:rsidRDefault="00DB2853" w:rsidP="00560497">
      <w:pPr>
        <w:pStyle w:val="Textonotapie"/>
        <w:ind w:firstLine="709"/>
        <w:jc w:val="both"/>
        <w:rPr>
          <w:rFonts w:ascii="Arial" w:hAnsi="Arial" w:cs="Arial"/>
          <w:color w:val="000000" w:themeColor="text1"/>
          <w:sz w:val="19"/>
          <w:szCs w:val="19"/>
        </w:rPr>
      </w:pPr>
      <w:r w:rsidRPr="00560497">
        <w:rPr>
          <w:rStyle w:val="Refdenotaalpie"/>
          <w:rFonts w:ascii="Arial" w:hAnsi="Arial" w:cs="Arial"/>
          <w:sz w:val="19"/>
          <w:szCs w:val="19"/>
        </w:rPr>
        <w:footnoteRef/>
      </w:r>
      <w:r w:rsidRPr="00560497">
        <w:rPr>
          <w:rFonts w:ascii="Arial" w:hAnsi="Arial" w:cs="Arial"/>
          <w:color w:val="000000" w:themeColor="text1"/>
          <w:sz w:val="19"/>
          <w:szCs w:val="19"/>
        </w:rPr>
        <w:t xml:space="preserve"> Consejo de Estado. Sección Tercera. Subsección B. Sentencia del 12 de octubre de 2011. Exp. No. 20070. C.P. Danilo Rojas Betancourt.</w:t>
      </w:r>
    </w:p>
    <w:p w14:paraId="610C04E4" w14:textId="77777777" w:rsidR="00DB2853" w:rsidRPr="00560497" w:rsidRDefault="00DB2853" w:rsidP="00560497">
      <w:pPr>
        <w:pStyle w:val="Textonotapie"/>
        <w:ind w:firstLine="709"/>
        <w:jc w:val="both"/>
        <w:rPr>
          <w:rFonts w:ascii="Arial" w:hAnsi="Arial" w:cs="Arial"/>
          <w:color w:val="000000" w:themeColor="text1"/>
          <w:sz w:val="19"/>
          <w:szCs w:val="19"/>
        </w:rPr>
      </w:pPr>
    </w:p>
  </w:footnote>
  <w:footnote w:id="17">
    <w:p w14:paraId="25249657" w14:textId="77777777" w:rsidR="00DB2853" w:rsidRPr="00560497" w:rsidRDefault="00DB2853" w:rsidP="00560497">
      <w:pPr>
        <w:ind w:firstLine="709"/>
        <w:jc w:val="both"/>
        <w:rPr>
          <w:rFonts w:ascii="Arial" w:hAnsi="Arial" w:cs="Arial"/>
          <w:color w:val="000000" w:themeColor="text1"/>
          <w:sz w:val="19"/>
          <w:szCs w:val="19"/>
        </w:rPr>
      </w:pPr>
      <w:r w:rsidRPr="00560497">
        <w:rPr>
          <w:rStyle w:val="Refdenotaalpie"/>
          <w:rFonts w:ascii="Arial" w:hAnsi="Arial" w:cs="Arial"/>
          <w:sz w:val="19"/>
          <w:szCs w:val="19"/>
        </w:rPr>
        <w:footnoteRef/>
      </w:r>
      <w:r w:rsidRPr="00560497">
        <w:rPr>
          <w:rFonts w:ascii="Arial" w:hAnsi="Arial" w:cs="Arial"/>
          <w:color w:val="000000" w:themeColor="text1"/>
          <w:sz w:val="19"/>
          <w:szCs w:val="19"/>
        </w:rPr>
        <w:t xml:space="preserve"> Consejo de Estado. Sección Tercera. Subsección A. Sentencia del 3 de marzo de 2021. Exp. No. 51373. C.P. José Roberto Sáchica Méndez. </w:t>
      </w:r>
    </w:p>
    <w:p w14:paraId="07A85695" w14:textId="77777777" w:rsidR="00DB2853" w:rsidRPr="00560497" w:rsidRDefault="00DB2853" w:rsidP="00560497">
      <w:pPr>
        <w:ind w:firstLine="709"/>
        <w:jc w:val="both"/>
        <w:rPr>
          <w:rFonts w:ascii="Arial" w:hAnsi="Arial" w:cs="Arial"/>
          <w:color w:val="000000" w:themeColor="text1"/>
          <w:sz w:val="19"/>
          <w:szCs w:val="19"/>
        </w:rPr>
      </w:pPr>
    </w:p>
  </w:footnote>
  <w:footnote w:id="18">
    <w:p w14:paraId="600E56D6" w14:textId="77777777" w:rsidR="00DB2853" w:rsidRPr="00560497" w:rsidRDefault="00DB2853" w:rsidP="00560497">
      <w:pPr>
        <w:pStyle w:val="Textonotapie"/>
        <w:ind w:firstLine="709"/>
        <w:jc w:val="both"/>
        <w:rPr>
          <w:rFonts w:ascii="Arial" w:hAnsi="Arial" w:cs="Arial"/>
          <w:color w:val="000000" w:themeColor="text1"/>
          <w:sz w:val="19"/>
          <w:szCs w:val="19"/>
        </w:rPr>
      </w:pPr>
      <w:r w:rsidRPr="00560497">
        <w:rPr>
          <w:rStyle w:val="Refdenotaalpie"/>
          <w:rFonts w:ascii="Arial" w:hAnsi="Arial" w:cs="Arial"/>
          <w:sz w:val="19"/>
          <w:szCs w:val="19"/>
        </w:rPr>
        <w:footnoteRef/>
      </w:r>
      <w:r w:rsidRPr="00560497">
        <w:rPr>
          <w:rFonts w:ascii="Arial" w:hAnsi="Arial" w:cs="Arial"/>
          <w:color w:val="000000" w:themeColor="text1"/>
          <w:sz w:val="19"/>
          <w:szCs w:val="19"/>
        </w:rPr>
        <w:t xml:space="preserve"> El Consejo de Estado ha precisado que: «Según esta norma, el giro ordinario de las actividades de una sociedad comercial no sólo comprende aquello que define en forma concreta su objeto social, sino todos los actos directamente relacionados con el mismo, lo que denota que entre éstos y aquéllas debe existir una relación de necesidad que los hace parte del objeto de la sociedad. Tal es el caso de la contratación de la publicidad para promocionar la empresa o sus productos, o la contratación de profesionales para que realicen una consultoría o asesoría relacionada con las actividades de la empresa, etc.</w:t>
      </w:r>
    </w:p>
    <w:p w14:paraId="21263F3D" w14:textId="77777777" w:rsidR="00DB2853" w:rsidRPr="00560497" w:rsidRDefault="00DB2853" w:rsidP="00560497">
      <w:pPr>
        <w:pStyle w:val="Textonotapie"/>
        <w:ind w:firstLine="709"/>
        <w:jc w:val="both"/>
        <w:rPr>
          <w:rFonts w:ascii="Arial" w:hAnsi="Arial" w:cs="Arial"/>
          <w:color w:val="000000" w:themeColor="text1"/>
          <w:sz w:val="19"/>
          <w:szCs w:val="19"/>
        </w:rPr>
      </w:pPr>
      <w:r w:rsidRPr="00560497">
        <w:rPr>
          <w:rFonts w:ascii="Arial" w:hAnsi="Arial" w:cs="Arial"/>
          <w:color w:val="000000" w:themeColor="text1"/>
          <w:sz w:val="19"/>
          <w:szCs w:val="19"/>
        </w:rPr>
        <w:t>»En estos casos, mal podría decirse que la sociedad no puede realizar este tipo de actos necesarios para el buen desempeño de sus actividades comerciales. Lo propio cabe decir de las entidades financieras. De manera que la norma comercial citada es perfectamente trasladable al campo financiero».  Consejo de Estado. Sección Tercera. Sentencia del 6 de julio de 2005. Exp. No. 11575. C.P. Alier E. Hernández Enríquez.</w:t>
      </w:r>
    </w:p>
  </w:footnote>
  <w:footnote w:id="19">
    <w:p w14:paraId="5354C56D" w14:textId="77777777" w:rsidR="00DB2853" w:rsidRPr="00560497" w:rsidRDefault="00DB2853" w:rsidP="00560497">
      <w:pPr>
        <w:pStyle w:val="Textonotapie"/>
        <w:ind w:firstLine="709"/>
        <w:jc w:val="both"/>
        <w:rPr>
          <w:rFonts w:ascii="Arial" w:hAnsi="Arial" w:cs="Arial"/>
          <w:color w:val="000000"/>
          <w:sz w:val="19"/>
          <w:szCs w:val="19"/>
        </w:rPr>
      </w:pPr>
      <w:r w:rsidRPr="00560497">
        <w:rPr>
          <w:rStyle w:val="Refdenotaalpie"/>
          <w:rFonts w:ascii="Arial" w:hAnsi="Arial" w:cs="Arial"/>
          <w:sz w:val="19"/>
          <w:szCs w:val="19"/>
        </w:rPr>
        <w:footnoteRef/>
      </w:r>
      <w:r w:rsidRPr="00560497">
        <w:rPr>
          <w:rFonts w:ascii="Arial" w:hAnsi="Arial" w:cs="Arial"/>
          <w:color w:val="000000"/>
          <w:sz w:val="19"/>
          <w:szCs w:val="19"/>
        </w:rPr>
        <w:t xml:space="preserve"> Superintendencia de Sociedades. Oficio 220-014111 del 18 de febrero de 2015. Consultado el 9 de febrero de 2022 en: </w:t>
      </w:r>
      <w:hyperlink r:id="rId1" w:history="1">
        <w:r w:rsidRPr="00560497">
          <w:rPr>
            <w:rStyle w:val="Hipervnculo"/>
            <w:rFonts w:ascii="Arial" w:hAnsi="Arial" w:cs="Arial"/>
            <w:color w:val="000000"/>
            <w:sz w:val="19"/>
            <w:szCs w:val="19"/>
          </w:rPr>
          <w:t>https://www.supersociedades.gov.co/nuestra_entidad/normatividad/normatividad_conceptos_juridicos/OFICIO_220-014111_DE_2015.pdf</w:t>
        </w:r>
      </w:hyperlink>
    </w:p>
  </w:footnote>
  <w:footnote w:id="20">
    <w:p w14:paraId="7626BE43" w14:textId="77777777" w:rsidR="00DB2853" w:rsidRPr="00560497" w:rsidRDefault="00DB2853" w:rsidP="00560497">
      <w:pPr>
        <w:pStyle w:val="Textonotapie"/>
        <w:ind w:firstLine="709"/>
        <w:jc w:val="both"/>
        <w:rPr>
          <w:rFonts w:ascii="Arial" w:hAnsi="Arial" w:cs="Arial"/>
          <w:color w:val="000000"/>
          <w:sz w:val="19"/>
          <w:szCs w:val="19"/>
        </w:rPr>
      </w:pPr>
      <w:r w:rsidRPr="00560497">
        <w:rPr>
          <w:rStyle w:val="Refdenotaalpie"/>
          <w:rFonts w:ascii="Arial" w:hAnsi="Arial" w:cs="Arial"/>
          <w:sz w:val="19"/>
          <w:szCs w:val="19"/>
        </w:rPr>
        <w:footnoteRef/>
      </w:r>
      <w:r w:rsidRPr="00560497">
        <w:rPr>
          <w:rFonts w:ascii="Arial" w:hAnsi="Arial" w:cs="Arial"/>
          <w:color w:val="000000"/>
          <w:sz w:val="19"/>
          <w:szCs w:val="19"/>
        </w:rPr>
        <w:t xml:space="preserve"> En efecto, en audiencia Pública del 18 de marzo de 2021, esta Agencia llamó la atención sobre la necesidad  de incluir en el Proyecto de Ley  «[…] algunas disposiciones [..] relacionadas por ejemplo con impedir que las entidades sometidas al estatuto de contratación celebren contratos jurídicos de derecho privado, con lo que se prevé evitar escapar del ámbito del estatuto de contratación pública, asimismo fortalecer que en los convenios deben emplearse documentos tipos; extender la aplicación del estatuto de contratación algunos objetos en los cuales tienen un régimen especial y a patrimonios autónomos, así como empresas de servicios públicos». CONGRESO DE LA REPÚBLICA. Gaceta Nº 1677 del 23 de noviembre de 2021. Justificación jurídica del Proyecto de Ley No. 226 de 2021 Cámara. p. 15.</w:t>
      </w:r>
      <w:r w:rsidRPr="00560497">
        <w:rPr>
          <w:rFonts w:ascii="Arial" w:hAnsi="Arial" w:cs="Arial"/>
          <w:color w:val="000000"/>
          <w:sz w:val="19"/>
          <w:szCs w:val="19"/>
        </w:rPr>
        <w:cr/>
      </w:r>
    </w:p>
  </w:footnote>
  <w:footnote w:id="21">
    <w:p w14:paraId="475DFE1C" w14:textId="77777777" w:rsidR="00DB2853" w:rsidRPr="00560497" w:rsidRDefault="00DB2853" w:rsidP="00560497">
      <w:pPr>
        <w:pStyle w:val="Textonotapie"/>
        <w:ind w:firstLine="709"/>
        <w:jc w:val="both"/>
        <w:rPr>
          <w:rFonts w:ascii="Arial" w:hAnsi="Arial" w:cs="Arial"/>
          <w:color w:val="000000"/>
          <w:sz w:val="19"/>
          <w:szCs w:val="19"/>
        </w:rPr>
      </w:pPr>
      <w:r w:rsidRPr="00560497">
        <w:rPr>
          <w:rStyle w:val="Refdenotaalpie"/>
          <w:rFonts w:ascii="Arial" w:hAnsi="Arial" w:cs="Arial"/>
          <w:sz w:val="19"/>
          <w:szCs w:val="19"/>
        </w:rPr>
        <w:footnoteRef/>
      </w:r>
      <w:r w:rsidRPr="00560497">
        <w:rPr>
          <w:rFonts w:ascii="Arial" w:hAnsi="Arial" w:cs="Arial"/>
          <w:color w:val="000000"/>
          <w:sz w:val="19"/>
          <w:szCs w:val="19"/>
        </w:rPr>
        <w:t xml:space="preserve"> Al respecto ha señalado la Corte Constitucional: «En relación con el ámbito de configuración del legislador en materia contractual la jurisprudencia constitucional ha señalado los siguientes criterios:</w:t>
      </w:r>
    </w:p>
    <w:p w14:paraId="7BEA560E" w14:textId="315A5EC3" w:rsidR="00DB2853" w:rsidRPr="00560497" w:rsidRDefault="00560497" w:rsidP="00560497">
      <w:pPr>
        <w:pStyle w:val="Textonotapie"/>
        <w:ind w:firstLine="709"/>
        <w:jc w:val="both"/>
        <w:rPr>
          <w:rFonts w:ascii="Arial" w:hAnsi="Arial" w:cs="Arial"/>
          <w:color w:val="000000"/>
          <w:sz w:val="19"/>
          <w:szCs w:val="19"/>
        </w:rPr>
      </w:pPr>
      <w:r>
        <w:rPr>
          <w:rFonts w:ascii="Arial" w:hAnsi="Arial" w:cs="Arial"/>
          <w:color w:val="000000"/>
          <w:sz w:val="19"/>
          <w:szCs w:val="19"/>
        </w:rPr>
        <w:t>»</w:t>
      </w:r>
      <w:r w:rsidR="00DB2853" w:rsidRPr="00560497">
        <w:rPr>
          <w:rFonts w:ascii="Arial" w:hAnsi="Arial" w:cs="Arial"/>
          <w:color w:val="000000"/>
          <w:sz w:val="19"/>
          <w:szCs w:val="19"/>
        </w:rPr>
        <w:t>(i) De la Constitución no es posible inferir la obligación para el legislador de incorporar en un solo cuerpo normativo toda la legislación existente en materia contractual, pues si ésta hubiera sido la voluntad del constituyente, en el artículo 150 Fundamental se habría autorizado al Congreso de la República para expedir un estatuto único de contratación para el Estado y no un estatuto general como prevé la disposición constitucional.[27]</w:t>
      </w:r>
    </w:p>
    <w:p w14:paraId="67F447C7" w14:textId="72DDA840" w:rsidR="00DB2853" w:rsidRPr="00560497" w:rsidRDefault="00560497" w:rsidP="00560497">
      <w:pPr>
        <w:pStyle w:val="Textonotapie"/>
        <w:ind w:firstLine="709"/>
        <w:jc w:val="both"/>
        <w:rPr>
          <w:rFonts w:ascii="Arial" w:hAnsi="Arial" w:cs="Arial"/>
          <w:color w:val="000000"/>
          <w:sz w:val="19"/>
          <w:szCs w:val="19"/>
        </w:rPr>
      </w:pPr>
      <w:r>
        <w:rPr>
          <w:rFonts w:ascii="Arial" w:hAnsi="Arial" w:cs="Arial"/>
          <w:color w:val="000000"/>
          <w:sz w:val="19"/>
          <w:szCs w:val="19"/>
        </w:rPr>
        <w:t>»</w:t>
      </w:r>
      <w:r w:rsidR="00DB2853" w:rsidRPr="00560497">
        <w:rPr>
          <w:rFonts w:ascii="Arial" w:hAnsi="Arial" w:cs="Arial"/>
          <w:color w:val="000000"/>
          <w:sz w:val="19"/>
          <w:szCs w:val="19"/>
        </w:rPr>
        <w:t>(ii) El mandato otorgado al Congreso de la República, en el artículo 150 de la Carta, para que dicte un estatuto general de contratación de la administración pública y en especial de la administración nacional, implica el reconocimiento de una amplia libertad de configuración del legislador para diseñar un régimen legal cuya finalidad sea la de propender por el logro de los objetivos constitucionales del Estado Social de Derecho, toda vez que el cumplimiento de estas metas requiere del aprovisionamiento de bienes y servicios por parte de los órganos públicos mediante la contratación. En este orden de ideas, es innegable el carácter instrumental que ostenta el contrato estatal, puesto que no es un fin en sí mismo sino un medio para la consecución de los altos objetivos del Estado.[28]</w:t>
      </w:r>
    </w:p>
    <w:p w14:paraId="21727E54" w14:textId="71BF85FB" w:rsidR="00DB2853" w:rsidRPr="00560497" w:rsidRDefault="00560497" w:rsidP="00560497">
      <w:pPr>
        <w:pStyle w:val="Textonotapie"/>
        <w:ind w:firstLine="709"/>
        <w:jc w:val="both"/>
        <w:rPr>
          <w:rFonts w:ascii="Arial" w:hAnsi="Arial" w:cs="Arial"/>
          <w:color w:val="000000"/>
          <w:sz w:val="19"/>
          <w:szCs w:val="19"/>
        </w:rPr>
      </w:pPr>
      <w:r>
        <w:rPr>
          <w:rFonts w:ascii="Arial" w:hAnsi="Arial" w:cs="Arial"/>
          <w:color w:val="000000"/>
          <w:sz w:val="19"/>
          <w:szCs w:val="19"/>
        </w:rPr>
        <w:t>»</w:t>
      </w:r>
      <w:r w:rsidR="00DB2853" w:rsidRPr="00560497">
        <w:rPr>
          <w:rFonts w:ascii="Arial" w:hAnsi="Arial" w:cs="Arial"/>
          <w:color w:val="000000"/>
          <w:sz w:val="19"/>
          <w:szCs w:val="19"/>
        </w:rPr>
        <w:t>(iii) En virtud de la potestad de configuración que se comenta el Congreso tiene libertad para regular los aspectos más significativos de la contratación pública como son los referentes a las cláusulas excepcionales, la clasificación de los contratos estatales, los deberes y derechos de las partes contratantes, la competencia y capacidad para contratar, principios fundamentales, nulidades, control de la gestión contractual, responsabilidad contractual, liquidación de los contratos y solución de las controversias contractuales, entre otros, todo dentro de los límites de razonabilidad y proporcionalidad y con arreglo a los parámetros constitucionales». Sentencia C-713 del 7 de octubre de 2009. M.P. María Victoria Calle Correa.</w:t>
      </w:r>
    </w:p>
    <w:p w14:paraId="4065189C" w14:textId="77777777" w:rsidR="00DB2853" w:rsidRPr="00560497" w:rsidRDefault="00DB2853" w:rsidP="00560497">
      <w:pPr>
        <w:pStyle w:val="Textonotapie"/>
        <w:ind w:firstLine="709"/>
        <w:jc w:val="both"/>
        <w:rPr>
          <w:rFonts w:ascii="Arial" w:hAnsi="Arial" w:cs="Arial"/>
          <w:color w:val="000000"/>
          <w:sz w:val="19"/>
          <w:szCs w:val="19"/>
        </w:rPr>
      </w:pPr>
      <w:r w:rsidRPr="00560497">
        <w:rPr>
          <w:rFonts w:ascii="Arial" w:hAnsi="Arial" w:cs="Arial"/>
          <w:color w:val="000000"/>
          <w:sz w:val="19"/>
          <w:szCs w:val="19"/>
        </w:rPr>
        <w:t xml:space="preserve"> </w:t>
      </w:r>
    </w:p>
  </w:footnote>
  <w:footnote w:id="22">
    <w:p w14:paraId="016DE614" w14:textId="77777777" w:rsidR="00DB2853" w:rsidRPr="00560497" w:rsidRDefault="00DB2853" w:rsidP="00560497">
      <w:pPr>
        <w:pStyle w:val="Textonotapie"/>
        <w:ind w:firstLine="709"/>
        <w:jc w:val="both"/>
        <w:rPr>
          <w:rFonts w:ascii="Arial" w:hAnsi="Arial" w:cs="Arial"/>
          <w:color w:val="000000"/>
          <w:sz w:val="19"/>
          <w:szCs w:val="19"/>
        </w:rPr>
      </w:pPr>
      <w:r w:rsidRPr="00560497">
        <w:rPr>
          <w:rStyle w:val="Refdenotaalpie"/>
          <w:rFonts w:ascii="Arial" w:hAnsi="Arial" w:cs="Arial"/>
          <w:sz w:val="19"/>
          <w:szCs w:val="19"/>
        </w:rPr>
        <w:footnoteRef/>
      </w:r>
      <w:r w:rsidRPr="00560497">
        <w:rPr>
          <w:rFonts w:ascii="Arial" w:hAnsi="Arial" w:cs="Arial"/>
          <w:sz w:val="19"/>
          <w:szCs w:val="19"/>
        </w:rPr>
        <w:t xml:space="preserve"> </w:t>
      </w:r>
      <w:r w:rsidRPr="00560497">
        <w:rPr>
          <w:rFonts w:ascii="Arial" w:hAnsi="Arial" w:cs="Arial"/>
          <w:color w:val="000000"/>
          <w:sz w:val="19"/>
          <w:szCs w:val="19"/>
        </w:rPr>
        <w:t>Consejo de Estado. Sección Tercera. Subsección A. Sentencia del 24 de junio de 2015. Exp. 40.635. Consejero Ponente: Hernán Andrade Rincón (E).</w:t>
      </w:r>
    </w:p>
    <w:p w14:paraId="702032BA" w14:textId="77777777" w:rsidR="00DB2853" w:rsidRPr="00560497" w:rsidRDefault="00DB2853" w:rsidP="00560497">
      <w:pPr>
        <w:pStyle w:val="Textonotapie"/>
        <w:ind w:firstLine="709"/>
        <w:jc w:val="both"/>
        <w:rPr>
          <w:rFonts w:ascii="Arial" w:hAnsi="Arial" w:cs="Arial"/>
          <w:sz w:val="19"/>
          <w:szCs w:val="19"/>
          <w:lang w:val="es-ES"/>
        </w:rPr>
      </w:pPr>
    </w:p>
  </w:footnote>
  <w:footnote w:id="23">
    <w:p w14:paraId="1E4702E2" w14:textId="77777777" w:rsidR="00DB2853" w:rsidRPr="00560497" w:rsidRDefault="00DB2853" w:rsidP="00560497">
      <w:pPr>
        <w:pStyle w:val="Textonotapie"/>
        <w:ind w:firstLine="709"/>
        <w:jc w:val="both"/>
        <w:rPr>
          <w:rFonts w:ascii="Arial" w:hAnsi="Arial" w:cs="Arial"/>
          <w:color w:val="000000"/>
          <w:sz w:val="19"/>
          <w:szCs w:val="19"/>
          <w:lang w:val="es-ES"/>
        </w:rPr>
      </w:pPr>
      <w:r w:rsidRPr="00560497">
        <w:rPr>
          <w:rStyle w:val="Refdenotaalpie"/>
          <w:rFonts w:ascii="Arial" w:hAnsi="Arial" w:cs="Arial"/>
          <w:sz w:val="19"/>
          <w:szCs w:val="19"/>
        </w:rPr>
        <w:footnoteRef/>
      </w:r>
      <w:r w:rsidRPr="00560497">
        <w:rPr>
          <w:rFonts w:ascii="Arial" w:hAnsi="Arial" w:cs="Arial"/>
          <w:sz w:val="19"/>
          <w:szCs w:val="19"/>
        </w:rPr>
        <w:t xml:space="preserve"> </w:t>
      </w:r>
      <w:r w:rsidRPr="00560497">
        <w:rPr>
          <w:rFonts w:ascii="Arial" w:hAnsi="Arial" w:cs="Arial"/>
          <w:color w:val="000000"/>
          <w:sz w:val="19"/>
          <w:szCs w:val="19"/>
          <w:lang w:val="es-ES"/>
        </w:rPr>
        <w:t>Consejo de Estado. Sala de Consulta y Servicio Civil. Concepto del 30 de abril de 2015. Expediente: 2251. Consejero Ponente: Álvaro Namén Vargas.</w:t>
      </w:r>
    </w:p>
    <w:p w14:paraId="25465A1E" w14:textId="77777777" w:rsidR="00DB2853" w:rsidRPr="00560497" w:rsidRDefault="00DB2853" w:rsidP="00560497">
      <w:pPr>
        <w:pStyle w:val="Textonotapie"/>
        <w:ind w:firstLine="709"/>
        <w:jc w:val="both"/>
        <w:rPr>
          <w:rFonts w:ascii="Arial" w:hAnsi="Arial" w:cs="Arial"/>
          <w:sz w:val="19"/>
          <w:szCs w:val="19"/>
          <w:lang w:val="es-ES"/>
        </w:rPr>
      </w:pPr>
    </w:p>
  </w:footnote>
  <w:footnote w:id="24">
    <w:p w14:paraId="16FBE55A" w14:textId="77777777" w:rsidR="00DB2853" w:rsidRPr="00560497" w:rsidRDefault="00DB2853" w:rsidP="00560497">
      <w:pPr>
        <w:pStyle w:val="Textonotapie"/>
        <w:ind w:firstLine="709"/>
        <w:jc w:val="both"/>
        <w:rPr>
          <w:rFonts w:ascii="Arial" w:hAnsi="Arial" w:cs="Arial"/>
          <w:color w:val="000000"/>
          <w:sz w:val="19"/>
          <w:szCs w:val="19"/>
        </w:rPr>
      </w:pPr>
      <w:r w:rsidRPr="00560497">
        <w:rPr>
          <w:rStyle w:val="Refdenotaalpie"/>
          <w:rFonts w:ascii="Arial" w:hAnsi="Arial" w:cs="Arial"/>
          <w:sz w:val="19"/>
          <w:szCs w:val="19"/>
        </w:rPr>
        <w:footnoteRef/>
      </w:r>
      <w:r w:rsidRPr="00560497">
        <w:rPr>
          <w:rFonts w:ascii="Arial" w:hAnsi="Arial" w:cs="Arial"/>
          <w:color w:val="000000"/>
          <w:sz w:val="19"/>
          <w:szCs w:val="19"/>
        </w:rPr>
        <w:t xml:space="preserve"> Código Civil: «Artículo 27. Interpretación Gramatical. Cuando el sentido de la ley sea claro, no se desatenderá su tenor literal a pretexto de consultar su espíritu.</w:t>
      </w:r>
    </w:p>
    <w:p w14:paraId="589A66DD" w14:textId="77777777" w:rsidR="00DB2853" w:rsidRPr="00560497" w:rsidRDefault="00DB2853" w:rsidP="00560497">
      <w:pPr>
        <w:pStyle w:val="Textonotapie"/>
        <w:ind w:firstLine="709"/>
        <w:jc w:val="both"/>
        <w:rPr>
          <w:rFonts w:ascii="Arial" w:hAnsi="Arial" w:cs="Arial"/>
          <w:color w:val="000000"/>
          <w:sz w:val="19"/>
          <w:szCs w:val="19"/>
        </w:rPr>
      </w:pPr>
      <w:r w:rsidRPr="00560497">
        <w:rPr>
          <w:rFonts w:ascii="Arial" w:hAnsi="Arial" w:cs="Arial"/>
          <w:color w:val="000000"/>
          <w:sz w:val="19"/>
          <w:szCs w:val="19"/>
        </w:rPr>
        <w:t>»Pero bien se puede, para interpretar una expresión oscura de la ley, recurrir a su intención o espíritu, claramente manifestados en ella misma o en la historia fidedigna de su establecimiento».</w:t>
      </w:r>
    </w:p>
  </w:footnote>
  <w:footnote w:id="25">
    <w:p w14:paraId="36691CD4" w14:textId="77777777" w:rsidR="00DB2853" w:rsidRPr="00560497" w:rsidRDefault="00DB2853" w:rsidP="00560497">
      <w:pPr>
        <w:ind w:firstLine="708"/>
        <w:jc w:val="both"/>
        <w:rPr>
          <w:rFonts w:ascii="Arial" w:hAnsi="Arial" w:cs="Arial"/>
          <w:sz w:val="19"/>
          <w:szCs w:val="19"/>
        </w:rPr>
      </w:pPr>
      <w:r w:rsidRPr="00560497">
        <w:rPr>
          <w:rStyle w:val="Refdenotaalpie"/>
          <w:rFonts w:ascii="Arial" w:hAnsi="Arial" w:cs="Arial"/>
          <w:sz w:val="19"/>
          <w:szCs w:val="19"/>
        </w:rPr>
        <w:footnoteRef/>
      </w:r>
      <w:r w:rsidRPr="00560497">
        <w:rPr>
          <w:rFonts w:ascii="Arial" w:hAnsi="Arial" w:cs="Arial"/>
          <w:sz w:val="19"/>
          <w:szCs w:val="19"/>
        </w:rPr>
        <w:t xml:space="preserve"> Código Civil: «Artículo 31. Interpretación sobre la extensión de una ley. Lo favorable u odioso de una disposición no se tomará en cuenta para ampliar o restringir su interpretación. La extensión que deba darse a toda ley se determinará por su genuino sentido, y según las reglas de interpretación precedentes».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6EC5A" w14:textId="77777777" w:rsidR="008F4163" w:rsidRDefault="00A0446B">
    <w:pPr>
      <w:pStyle w:val="Encabezado"/>
    </w:pPr>
    <w:r>
      <w:rPr>
        <w:noProof/>
        <w:lang w:val="es-ES_tradnl" w:eastAsia="es-ES_tradnl"/>
      </w:rPr>
      <w:drawing>
        <wp:anchor distT="0" distB="0" distL="114300" distR="114300" simplePos="0" relativeHeight="251659264" behindDoc="1" locked="0" layoutInCell="1" allowOverlap="1" wp14:anchorId="32A9D217" wp14:editId="37ED77ED">
          <wp:simplePos x="0" y="0"/>
          <wp:positionH relativeFrom="column">
            <wp:posOffset>4382135</wp:posOffset>
          </wp:positionH>
          <wp:positionV relativeFrom="paragraph">
            <wp:posOffset>483226</wp:posOffset>
          </wp:positionV>
          <wp:extent cx="1257300" cy="516255"/>
          <wp:effectExtent l="0" t="0" r="0" b="0"/>
          <wp:wrapTight wrapText="bothSides">
            <wp:wrapPolygon edited="0">
              <wp:start x="327" y="0"/>
              <wp:lineTo x="327" y="18332"/>
              <wp:lineTo x="1964" y="19129"/>
              <wp:lineTo x="11127" y="20723"/>
              <wp:lineTo x="12764" y="20723"/>
              <wp:lineTo x="19636" y="19129"/>
              <wp:lineTo x="21273" y="18332"/>
              <wp:lineTo x="20945" y="0"/>
              <wp:lineTo x="327" y="0"/>
            </wp:wrapPolygon>
          </wp:wrapTight>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516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num w:numId="1" w16cid:durableId="879590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196"/>
    <w:rsid w:val="000B1881"/>
    <w:rsid w:val="00113B57"/>
    <w:rsid w:val="00120B91"/>
    <w:rsid w:val="00161326"/>
    <w:rsid w:val="001964B4"/>
    <w:rsid w:val="001A0A7F"/>
    <w:rsid w:val="0027792D"/>
    <w:rsid w:val="003C2EC2"/>
    <w:rsid w:val="003E1108"/>
    <w:rsid w:val="00410C14"/>
    <w:rsid w:val="00437574"/>
    <w:rsid w:val="00560497"/>
    <w:rsid w:val="005C5A99"/>
    <w:rsid w:val="00687EEB"/>
    <w:rsid w:val="00720945"/>
    <w:rsid w:val="007763AF"/>
    <w:rsid w:val="00791A56"/>
    <w:rsid w:val="007A7818"/>
    <w:rsid w:val="00813D36"/>
    <w:rsid w:val="00837002"/>
    <w:rsid w:val="008C0622"/>
    <w:rsid w:val="00983061"/>
    <w:rsid w:val="009E549A"/>
    <w:rsid w:val="00A0446B"/>
    <w:rsid w:val="00A94792"/>
    <w:rsid w:val="00AA215C"/>
    <w:rsid w:val="00AD247E"/>
    <w:rsid w:val="00AE0692"/>
    <w:rsid w:val="00AE5211"/>
    <w:rsid w:val="00B4400C"/>
    <w:rsid w:val="00BB7772"/>
    <w:rsid w:val="00C83DC0"/>
    <w:rsid w:val="00CC74D7"/>
    <w:rsid w:val="00D17323"/>
    <w:rsid w:val="00D17660"/>
    <w:rsid w:val="00D34196"/>
    <w:rsid w:val="00D84D7B"/>
    <w:rsid w:val="00DA3591"/>
    <w:rsid w:val="00DB2853"/>
    <w:rsid w:val="00DE53C4"/>
    <w:rsid w:val="00DF2FA4"/>
    <w:rsid w:val="00E75F71"/>
    <w:rsid w:val="00F00CD1"/>
    <w:rsid w:val="00F847F8"/>
    <w:rsid w:val="00FC5172"/>
    <w:rsid w:val="00FF11A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143ED"/>
  <w15:chartTrackingRefBased/>
  <w15:docId w15:val="{825DE5A7-256F-4E68-B0B9-D699677B7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EEB"/>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D34196"/>
    <w:pPr>
      <w:tabs>
        <w:tab w:val="center" w:pos="4419"/>
        <w:tab w:val="right" w:pos="8838"/>
      </w:tabs>
    </w:pPr>
    <w:rPr>
      <w:rFonts w:asciiTheme="minorHAnsi" w:eastAsiaTheme="minorHAnsi" w:hAnsiTheme="minorHAnsi" w:cstheme="minorBidi"/>
      <w:szCs w:val="22"/>
      <w:lang w:val="es-MX" w:eastAsia="en-US"/>
    </w:rPr>
  </w:style>
  <w:style w:type="character" w:customStyle="1" w:styleId="PiedepginaCar">
    <w:name w:val="Pie de página Car"/>
    <w:basedOn w:val="Fuentedeprrafopredeter"/>
    <w:link w:val="Piedepgina"/>
    <w:uiPriority w:val="99"/>
    <w:rsid w:val="00D34196"/>
    <w:rPr>
      <w:sz w:val="24"/>
      <w:lang w:val="es-MX"/>
    </w:rPr>
  </w:style>
  <w:style w:type="paragraph" w:styleId="Encabezado">
    <w:name w:val="header"/>
    <w:basedOn w:val="Normal"/>
    <w:link w:val="EncabezadoCar"/>
    <w:uiPriority w:val="99"/>
    <w:unhideWhenUsed/>
    <w:rsid w:val="00D34196"/>
    <w:pPr>
      <w:tabs>
        <w:tab w:val="center" w:pos="4252"/>
        <w:tab w:val="right" w:pos="8504"/>
      </w:tabs>
    </w:pPr>
    <w:rPr>
      <w:rFonts w:asciiTheme="minorHAnsi" w:eastAsiaTheme="minorHAnsi" w:hAnsiTheme="minorHAnsi" w:cstheme="minorBidi"/>
      <w:szCs w:val="22"/>
      <w:lang w:val="es-MX" w:eastAsia="en-US"/>
    </w:rPr>
  </w:style>
  <w:style w:type="character" w:customStyle="1" w:styleId="EncabezadoCar">
    <w:name w:val="Encabezado Car"/>
    <w:basedOn w:val="Fuentedeprrafopredeter"/>
    <w:link w:val="Encabezado"/>
    <w:uiPriority w:val="99"/>
    <w:rsid w:val="00D34196"/>
    <w:rPr>
      <w:sz w:val="24"/>
      <w:lang w:val="es-MX"/>
    </w:rPr>
  </w:style>
  <w:style w:type="table" w:styleId="Tablaconcuadrcula">
    <w:name w:val="Table Grid"/>
    <w:basedOn w:val="Tablanormal"/>
    <w:uiPriority w:val="59"/>
    <w:qFormat/>
    <w:rsid w:val="00D34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D34196"/>
    <w:pPr>
      <w:ind w:left="720"/>
      <w:contextualSpacing/>
    </w:pPr>
    <w:rPr>
      <w:rFonts w:asciiTheme="minorHAnsi" w:eastAsiaTheme="minorHAnsi" w:hAnsiTheme="minorHAnsi" w:cstheme="minorBidi"/>
      <w:szCs w:val="22"/>
      <w:lang w:val="es-MX" w:eastAsia="en-US"/>
    </w:rPr>
  </w:style>
  <w:style w:type="paragraph" w:styleId="Textocomentario">
    <w:name w:val="annotation text"/>
    <w:basedOn w:val="Normal"/>
    <w:link w:val="TextocomentarioCar"/>
    <w:uiPriority w:val="99"/>
    <w:unhideWhenUsed/>
    <w:rsid w:val="00D34196"/>
    <w:rPr>
      <w:rFonts w:asciiTheme="minorHAnsi" w:eastAsiaTheme="minorHAnsi" w:hAnsiTheme="minorHAnsi" w:cstheme="minorBidi"/>
      <w:sz w:val="20"/>
      <w:szCs w:val="20"/>
      <w:lang w:val="es-MX" w:eastAsia="en-US"/>
    </w:rPr>
  </w:style>
  <w:style w:type="character" w:customStyle="1" w:styleId="TextocomentarioCar">
    <w:name w:val="Texto comentario Car"/>
    <w:basedOn w:val="Fuentedeprrafopredeter"/>
    <w:link w:val="Textocomentario"/>
    <w:uiPriority w:val="99"/>
    <w:rsid w:val="00D34196"/>
    <w:rPr>
      <w:sz w:val="20"/>
      <w:szCs w:val="20"/>
      <w:lang w:val="es-MX"/>
    </w:rPr>
  </w:style>
  <w:style w:type="paragraph" w:styleId="NormalWeb">
    <w:name w:val="Normal (Web)"/>
    <w:basedOn w:val="Normal"/>
    <w:link w:val="NormalWebCar"/>
    <w:uiPriority w:val="99"/>
    <w:unhideWhenUsed/>
    <w:rsid w:val="00D34196"/>
    <w:pPr>
      <w:spacing w:before="100" w:beforeAutospacing="1" w:after="100" w:afterAutospacing="1"/>
    </w:pPr>
    <w:rPr>
      <w:lang w:eastAsia="es-CO"/>
    </w:rPr>
  </w:style>
  <w:style w:type="paragraph" w:styleId="Sinespaciado">
    <w:name w:val="No Spacing"/>
    <w:aliases w:val="No Indent"/>
    <w:uiPriority w:val="1"/>
    <w:qFormat/>
    <w:rsid w:val="00D34196"/>
    <w:pPr>
      <w:spacing w:after="0" w:line="240" w:lineRule="auto"/>
    </w:pPr>
    <w:rPr>
      <w:sz w:val="24"/>
      <w:lang w:val="es-MX"/>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qFormat/>
    <w:locked/>
    <w:rsid w:val="00D34196"/>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
    <w:basedOn w:val="Normal"/>
    <w:link w:val="TextonotapieCar"/>
    <w:unhideWhenUsed/>
    <w:qFormat/>
    <w:rsid w:val="00D34196"/>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D34196"/>
    <w:rPr>
      <w:rFonts w:ascii="Times New Roman" w:eastAsia="Times New Roman" w:hAnsi="Times New Roman" w:cs="Times New Roman"/>
      <w:sz w:val="20"/>
      <w:szCs w:val="20"/>
      <w:lang w:eastAsia="es-ES_tradn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D34196"/>
    <w:rPr>
      <w:sz w:val="24"/>
      <w:lang w:val="es-MX"/>
    </w:rPr>
  </w:style>
  <w:style w:type="character" w:styleId="Refdenotaalpie">
    <w:name w:val="footnote reference"/>
    <w:aliases w:val="Ref. de nota al pie 2,Ref,de nota al pie,FC,Appel note de bas de p,f,4_G,16 Point,Superscript 6 Point,Texto nota al pie,Pie de Página,Texto de nota al pi,Nota de pie,Footnote Reference Char3,Texto nota pie Car2,Texto de nota al p,F,R"/>
    <w:basedOn w:val="Fuentedeprrafopredeter"/>
    <w:link w:val="Appelnotedebasde"/>
    <w:uiPriority w:val="99"/>
    <w:unhideWhenUsed/>
    <w:qFormat/>
    <w:rsid w:val="00D34196"/>
    <w:rPr>
      <w:vertAlign w:val="superscript"/>
    </w:rPr>
  </w:style>
  <w:style w:type="paragraph" w:customStyle="1" w:styleId="Appelnotedebasde">
    <w:name w:val="Appel note de bas de..."/>
    <w:basedOn w:val="Normal"/>
    <w:link w:val="Refdenotaalpie"/>
    <w:uiPriority w:val="99"/>
    <w:rsid w:val="00D34196"/>
    <w:pPr>
      <w:spacing w:after="160" w:line="240" w:lineRule="exact"/>
    </w:pPr>
    <w:rPr>
      <w:rFonts w:asciiTheme="minorHAnsi" w:eastAsiaTheme="minorHAnsi" w:hAnsiTheme="minorHAnsi" w:cstheme="minorBidi"/>
      <w:sz w:val="22"/>
      <w:szCs w:val="22"/>
      <w:vertAlign w:val="superscript"/>
      <w:lang w:eastAsia="en-US"/>
    </w:rPr>
  </w:style>
  <w:style w:type="character" w:customStyle="1" w:styleId="NormalWebCar">
    <w:name w:val="Normal (Web) Car"/>
    <w:link w:val="NormalWeb"/>
    <w:uiPriority w:val="99"/>
    <w:rsid w:val="00D34196"/>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DB2853"/>
    <w:rPr>
      <w:b/>
      <w:bCs/>
    </w:rPr>
  </w:style>
  <w:style w:type="character" w:styleId="nfasis">
    <w:name w:val="Emphasis"/>
    <w:basedOn w:val="Fuentedeprrafopredeter"/>
    <w:uiPriority w:val="20"/>
    <w:qFormat/>
    <w:rsid w:val="00DB2853"/>
    <w:rPr>
      <w:i/>
      <w:iCs/>
    </w:rPr>
  </w:style>
  <w:style w:type="character" w:styleId="Hipervnculo">
    <w:name w:val="Hyperlink"/>
    <w:basedOn w:val="Fuentedeprrafopredeter"/>
    <w:uiPriority w:val="99"/>
    <w:unhideWhenUsed/>
    <w:rsid w:val="00DB2853"/>
    <w:rPr>
      <w:color w:val="0563C1" w:themeColor="hyperlink"/>
      <w:u w:val="single"/>
    </w:rPr>
  </w:style>
  <w:style w:type="paragraph" w:customStyle="1" w:styleId="Normal11pt">
    <w:name w:val="Normal + 11 pt"/>
    <w:aliases w:val="Negro,Justificado,Izquierda:  -0,95 cm,Derecha:  0,04 cm"/>
    <w:basedOn w:val="Normal"/>
    <w:uiPriority w:val="99"/>
    <w:rsid w:val="00DB2853"/>
    <w:pPr>
      <w:ind w:left="-540"/>
      <w:jc w:val="both"/>
    </w:pPr>
    <w:rPr>
      <w:rFonts w:ascii="Arial" w:hAnsi="Arial" w:cs="Arial"/>
      <w:color w:val="000000"/>
      <w:sz w:val="22"/>
      <w:szCs w:val="22"/>
      <w:lang w:val="es-ES_tradnl" w:eastAsia="es-ES"/>
    </w:rPr>
  </w:style>
  <w:style w:type="paragraph" w:styleId="Revisin">
    <w:name w:val="Revision"/>
    <w:hidden/>
    <w:uiPriority w:val="99"/>
    <w:semiHidden/>
    <w:rsid w:val="007763AF"/>
    <w:pPr>
      <w:spacing w:after="0" w:line="240" w:lineRule="auto"/>
    </w:pPr>
    <w:rPr>
      <w:rFonts w:ascii="Times New Roman" w:eastAsia="Times New Roman" w:hAnsi="Times New Roman" w:cs="Times New Roman"/>
      <w:sz w:val="24"/>
      <w:szCs w:val="24"/>
      <w:lang w:eastAsia="es-ES_tradnl"/>
    </w:rPr>
  </w:style>
  <w:style w:type="character" w:styleId="Refdecomentario">
    <w:name w:val="annotation reference"/>
    <w:basedOn w:val="Fuentedeprrafopredeter"/>
    <w:uiPriority w:val="99"/>
    <w:semiHidden/>
    <w:unhideWhenUsed/>
    <w:rsid w:val="00F847F8"/>
    <w:rPr>
      <w:sz w:val="16"/>
      <w:szCs w:val="16"/>
    </w:rPr>
  </w:style>
  <w:style w:type="paragraph" w:styleId="Asuntodelcomentario">
    <w:name w:val="annotation subject"/>
    <w:basedOn w:val="Textocomentario"/>
    <w:next w:val="Textocomentario"/>
    <w:link w:val="AsuntodelcomentarioCar"/>
    <w:uiPriority w:val="99"/>
    <w:semiHidden/>
    <w:unhideWhenUsed/>
    <w:rsid w:val="00F847F8"/>
    <w:rPr>
      <w:rFonts w:ascii="Times New Roman" w:eastAsia="Times New Roman" w:hAnsi="Times New Roman" w:cs="Times New Roman"/>
      <w:b/>
      <w:bCs/>
      <w:lang w:val="es-CO" w:eastAsia="es-ES_tradnl"/>
    </w:rPr>
  </w:style>
  <w:style w:type="character" w:customStyle="1" w:styleId="AsuntodelcomentarioCar">
    <w:name w:val="Asunto del comentario Car"/>
    <w:basedOn w:val="TextocomentarioCar"/>
    <w:link w:val="Asuntodelcomentario"/>
    <w:uiPriority w:val="99"/>
    <w:semiHidden/>
    <w:rsid w:val="00F847F8"/>
    <w:rPr>
      <w:rFonts w:ascii="Times New Roman" w:eastAsia="Times New Roman" w:hAnsi="Times New Roman" w:cs="Times New Roman"/>
      <w:b/>
      <w:bCs/>
      <w:sz w:val="20"/>
      <w:szCs w:val="20"/>
      <w:lang w:val="es-MX"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312716">
      <w:bodyDiv w:val="1"/>
      <w:marLeft w:val="0"/>
      <w:marRight w:val="0"/>
      <w:marTop w:val="0"/>
      <w:marBottom w:val="0"/>
      <w:divBdr>
        <w:top w:val="none" w:sz="0" w:space="0" w:color="auto"/>
        <w:left w:val="none" w:sz="0" w:space="0" w:color="auto"/>
        <w:bottom w:val="none" w:sz="0" w:space="0" w:color="auto"/>
        <w:right w:val="none" w:sz="0" w:space="0" w:color="auto"/>
      </w:divBdr>
      <w:divsChild>
        <w:div w:id="1018389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supersociedades.gov.co/nuestra_entidad/normatividad/normatividad_conceptos_juridicos/OFICIO_220-014111_DE_201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6" ma:contentTypeDescription="Crear nuevo documento." ma:contentTypeScope="" ma:versionID="6fefc81145b88c108162955c226470b5">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23856a95c4658442fdcd06593afacd42"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8D98F9-2232-42E8-9296-823952689A89}">
  <ds:schemaRefs>
    <ds:schemaRef ds:uri="http://schemas.microsoft.com/sharepoint/v3/contenttype/forms"/>
  </ds:schemaRefs>
</ds:datastoreItem>
</file>

<file path=customXml/itemProps2.xml><?xml version="1.0" encoding="utf-8"?>
<ds:datastoreItem xmlns:ds="http://schemas.openxmlformats.org/officeDocument/2006/customXml" ds:itemID="{936D1DDD-6C18-441D-B774-37DF9E8AD90B}"/>
</file>

<file path=customXml/itemProps3.xml><?xml version="1.0" encoding="utf-8"?>
<ds:datastoreItem xmlns:ds="http://schemas.openxmlformats.org/officeDocument/2006/customXml" ds:itemID="{3938F4B7-2E39-466B-9106-64FFA729190F}">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10396</Words>
  <Characters>57179</Characters>
  <Application>Microsoft Office Word</Application>
  <DocSecurity>0</DocSecurity>
  <Lines>476</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Arlid Herrera Santa</dc:creator>
  <cp:keywords/>
  <dc:description/>
  <cp:lastModifiedBy>nicolle saenz camargo</cp:lastModifiedBy>
  <cp:revision>3</cp:revision>
  <dcterms:created xsi:type="dcterms:W3CDTF">2022-07-28T14:35:00Z</dcterms:created>
  <dcterms:modified xsi:type="dcterms:W3CDTF">2022-09-12T02:49:00Z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