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593CF1" w:rsidRDefault="00BE1E33" w:rsidP="00BE1E33">
      <w:pPr>
        <w:jc w:val="right"/>
        <w:rPr>
          <w:rFonts w:ascii="Arial" w:hAnsi="Arial" w:cs="Arial"/>
          <w:b/>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593CF1">
        <w:rPr>
          <w:rFonts w:ascii="Arial" w:hAnsi="Arial" w:cs="Arial"/>
          <w:b/>
          <w:color w:val="000000" w:themeColor="text1"/>
          <w:sz w:val="16"/>
          <w:szCs w:val="16"/>
          <w:lang w:eastAsia="es-ES"/>
        </w:rPr>
        <w:t>CCE-DES-FM-17</w:t>
      </w:r>
    </w:p>
    <w:p w14:paraId="25784C1D" w14:textId="77777777" w:rsidR="00BE1E33" w:rsidRPr="008840FF" w:rsidRDefault="00BE1E33" w:rsidP="00BE1E33">
      <w:pPr>
        <w:jc w:val="both"/>
        <w:rPr>
          <w:rFonts w:ascii="Arial" w:eastAsia="Calibri" w:hAnsi="Arial" w:cs="Arial"/>
          <w:b/>
          <w:color w:val="000000" w:themeColor="text1"/>
          <w:sz w:val="16"/>
          <w:szCs w:val="16"/>
        </w:rPr>
      </w:pPr>
    </w:p>
    <w:p w14:paraId="50B72F29" w14:textId="77777777" w:rsidR="001D0959" w:rsidRPr="001D0959" w:rsidRDefault="001D0959" w:rsidP="001D0959">
      <w:pPr>
        <w:jc w:val="both"/>
        <w:rPr>
          <w:rFonts w:ascii="Arial" w:eastAsia="Calibri" w:hAnsi="Arial" w:cs="Arial"/>
          <w:bCs/>
          <w:color w:val="000000"/>
          <w:sz w:val="22"/>
          <w:lang w:val="es-CO"/>
        </w:rPr>
      </w:pPr>
      <w:r w:rsidRPr="001D0959">
        <w:rPr>
          <w:rFonts w:ascii="Arial" w:eastAsia="Calibri" w:hAnsi="Arial" w:cs="Arial"/>
          <w:b/>
          <w:color w:val="000000"/>
          <w:sz w:val="22"/>
          <w:lang w:val="es-CO"/>
        </w:rPr>
        <w:t xml:space="preserve">SECOP </w:t>
      </w:r>
      <w:bookmarkStart w:id="2" w:name="_Hlk39740441"/>
      <w:r w:rsidRPr="001D0959">
        <w:rPr>
          <w:rFonts w:ascii="Arial" w:eastAsia="Calibri" w:hAnsi="Arial" w:cs="Arial"/>
          <w:b/>
          <w:color w:val="000000"/>
          <w:sz w:val="22"/>
          <w:lang w:val="es-CO"/>
        </w:rPr>
        <w:t>–</w:t>
      </w:r>
      <w:bookmarkEnd w:id="2"/>
      <w:r w:rsidRPr="001D0959">
        <w:rPr>
          <w:rFonts w:ascii="Arial" w:eastAsia="Calibri" w:hAnsi="Arial" w:cs="Arial"/>
          <w:b/>
          <w:color w:val="000000"/>
          <w:sz w:val="22"/>
          <w:lang w:val="es-CO"/>
        </w:rPr>
        <w:t xml:space="preserve"> Publicidad – Entidades de régimen especial – Reiteración de Concepto unificado CU-003 de 2020</w:t>
      </w:r>
    </w:p>
    <w:p w14:paraId="1E992B96" w14:textId="77777777" w:rsidR="001D0959" w:rsidRPr="001D0959" w:rsidRDefault="001D0959" w:rsidP="001D0959">
      <w:pPr>
        <w:jc w:val="both"/>
        <w:rPr>
          <w:rFonts w:ascii="Arial" w:eastAsia="Calibri" w:hAnsi="Arial" w:cs="Arial"/>
          <w:color w:val="000000"/>
          <w:sz w:val="22"/>
          <w:lang w:val="es-CO"/>
        </w:rPr>
      </w:pPr>
    </w:p>
    <w:p w14:paraId="3852CBC5" w14:textId="5B6005D4" w:rsidR="002C4E63" w:rsidRDefault="00CB0625" w:rsidP="00AF7B1D">
      <w:pPr>
        <w:spacing w:after="120"/>
        <w:jc w:val="both"/>
        <w:rPr>
          <w:rFonts w:ascii="Arial" w:eastAsia="Calibri" w:hAnsi="Arial" w:cs="Arial"/>
          <w:color w:val="000000"/>
          <w:sz w:val="20"/>
          <w:szCs w:val="20"/>
          <w:lang w:val="es-CO"/>
        </w:rPr>
      </w:pPr>
      <w:r>
        <w:rPr>
          <w:rFonts w:ascii="Arial" w:eastAsia="Calibri" w:hAnsi="Arial" w:cs="Arial"/>
          <w:color w:val="000000"/>
          <w:sz w:val="20"/>
          <w:szCs w:val="20"/>
          <w:lang w:val="es-CO"/>
        </w:rPr>
        <w:t xml:space="preserve">[…] </w:t>
      </w:r>
      <w:r w:rsidRPr="00CB0625">
        <w:rPr>
          <w:rFonts w:ascii="Arial" w:eastAsia="Calibri" w:hAnsi="Arial" w:cs="Arial"/>
          <w:color w:val="000000"/>
          <w:sz w:val="20"/>
          <w:szCs w:val="20"/>
          <w:lang w:val="es-CO"/>
        </w:rPr>
        <w:t>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w:t>
      </w:r>
    </w:p>
    <w:p w14:paraId="17D9E408" w14:textId="79EDF166" w:rsidR="00CB0625" w:rsidRDefault="00CB0625" w:rsidP="00AF7B1D">
      <w:pPr>
        <w:spacing w:after="120"/>
        <w:jc w:val="both"/>
        <w:rPr>
          <w:rFonts w:ascii="Arial" w:eastAsia="Calibri" w:hAnsi="Arial" w:cs="Arial"/>
          <w:color w:val="000000"/>
          <w:sz w:val="20"/>
          <w:szCs w:val="20"/>
          <w:lang w:val="es-CO"/>
        </w:rPr>
      </w:pPr>
      <w:r>
        <w:rPr>
          <w:rFonts w:ascii="Arial" w:eastAsia="Calibri" w:hAnsi="Arial" w:cs="Arial"/>
          <w:color w:val="000000"/>
          <w:sz w:val="20"/>
          <w:szCs w:val="20"/>
          <w:lang w:val="es-CO"/>
        </w:rPr>
        <w:t>[…]</w:t>
      </w:r>
    </w:p>
    <w:p w14:paraId="357A1355" w14:textId="63D16D54" w:rsidR="00CB0625" w:rsidRPr="001D0959" w:rsidRDefault="00CB0625" w:rsidP="00AF7B1D">
      <w:pPr>
        <w:jc w:val="both"/>
        <w:rPr>
          <w:rFonts w:ascii="Arial" w:eastAsia="Calibri" w:hAnsi="Arial" w:cs="Arial"/>
          <w:color w:val="000000"/>
          <w:sz w:val="20"/>
          <w:szCs w:val="20"/>
          <w:lang w:val="es-CO"/>
        </w:rPr>
      </w:pPr>
      <w:r w:rsidRPr="00CB0625">
        <w:rPr>
          <w:rFonts w:ascii="Arial" w:eastAsia="Calibri" w:hAnsi="Arial" w:cs="Arial"/>
          <w:color w:val="000000"/>
          <w:sz w:val="20"/>
          <w:szCs w:val="20"/>
          <w:lang w:val="es-CO"/>
        </w:rPr>
        <w:t xml:space="preserve">Dentro de los argumentos que consideró el máximo tribunal de lo contencioso administrativo, este no tuvo en cuenta razones de orden fáctico, como las relativas a las responsabilidades de las entidades o a la posible afectación en la competitividad para aquellas que operan en diferentes mercados. La razón relevante es que, si la entidad contrata con dineros públicos, debe publicar su proceso de contratación en el SECOP. </w:t>
      </w:r>
    </w:p>
    <w:p w14:paraId="6243F9C3" w14:textId="77777777" w:rsidR="001D0959" w:rsidRPr="001D0959" w:rsidRDefault="001D0959" w:rsidP="00AF7B1D">
      <w:pPr>
        <w:jc w:val="both"/>
        <w:rPr>
          <w:rFonts w:ascii="Arial" w:eastAsia="Calibri" w:hAnsi="Arial" w:cs="Arial"/>
          <w:b/>
          <w:color w:val="000000"/>
          <w:sz w:val="22"/>
          <w:lang w:val="es-CO"/>
        </w:rPr>
      </w:pPr>
    </w:p>
    <w:p w14:paraId="64D18A60" w14:textId="472B6AC6" w:rsidR="001D0959" w:rsidRDefault="001D0959" w:rsidP="00AF7B1D">
      <w:pPr>
        <w:jc w:val="both"/>
        <w:rPr>
          <w:rFonts w:ascii="Arial" w:eastAsia="Calibri" w:hAnsi="Arial" w:cs="Arial"/>
          <w:b/>
          <w:color w:val="000000"/>
          <w:sz w:val="22"/>
          <w:lang w:val="es-CO"/>
        </w:rPr>
      </w:pPr>
      <w:r w:rsidRPr="001D0959">
        <w:rPr>
          <w:rFonts w:ascii="Arial" w:eastAsia="Calibri" w:hAnsi="Arial" w:cs="Arial"/>
          <w:b/>
          <w:color w:val="000000"/>
          <w:sz w:val="22"/>
          <w:lang w:val="es-CO"/>
        </w:rPr>
        <w:t>SECOP – Publicidad –</w:t>
      </w:r>
      <w:r>
        <w:rPr>
          <w:rFonts w:ascii="Arial" w:eastAsia="Calibri" w:hAnsi="Arial" w:cs="Arial"/>
          <w:b/>
          <w:color w:val="000000"/>
          <w:sz w:val="22"/>
          <w:lang w:val="es-CO"/>
        </w:rPr>
        <w:t xml:space="preserve"> S</w:t>
      </w:r>
      <w:r w:rsidRPr="001D0959">
        <w:rPr>
          <w:rFonts w:ascii="Arial" w:eastAsia="Calibri" w:hAnsi="Arial" w:cs="Arial"/>
          <w:b/>
          <w:color w:val="000000"/>
          <w:sz w:val="22"/>
          <w:lang w:val="es-CO"/>
        </w:rPr>
        <w:t>ociedades de economía mixta</w:t>
      </w:r>
    </w:p>
    <w:p w14:paraId="67ABFEB3" w14:textId="77777777" w:rsidR="00CB0625" w:rsidRPr="001D0959" w:rsidRDefault="00CB0625" w:rsidP="00AF7B1D">
      <w:pPr>
        <w:jc w:val="both"/>
        <w:rPr>
          <w:rFonts w:ascii="Arial" w:eastAsia="Calibri" w:hAnsi="Arial" w:cs="Arial"/>
          <w:b/>
          <w:color w:val="000000"/>
          <w:sz w:val="22"/>
          <w:lang w:val="es-CO"/>
        </w:rPr>
      </w:pPr>
    </w:p>
    <w:p w14:paraId="2A5F2D9D" w14:textId="3201580E" w:rsidR="002C4E63" w:rsidRPr="00CB0625" w:rsidRDefault="00CB0625" w:rsidP="00AF7B1D">
      <w:pPr>
        <w:jc w:val="both"/>
        <w:rPr>
          <w:rFonts w:ascii="Arial" w:eastAsia="Calibri" w:hAnsi="Arial" w:cs="Arial"/>
          <w:color w:val="000000"/>
          <w:sz w:val="20"/>
          <w:szCs w:val="20"/>
          <w:lang w:val="es-ES"/>
        </w:rPr>
      </w:pPr>
      <w:r>
        <w:rPr>
          <w:rFonts w:ascii="Arial" w:eastAsia="Calibri" w:hAnsi="Arial" w:cs="Arial"/>
          <w:color w:val="000000"/>
          <w:sz w:val="20"/>
          <w:szCs w:val="20"/>
          <w:lang w:val="es-ES"/>
        </w:rPr>
        <w:t xml:space="preserve">[El artículo 5 de la Ley 1712 de 2014] </w:t>
      </w:r>
      <w:r w:rsidRPr="00CB0625">
        <w:rPr>
          <w:rFonts w:ascii="Arial" w:eastAsia="Calibri" w:hAnsi="Arial" w:cs="Arial"/>
          <w:color w:val="000000"/>
          <w:sz w:val="20"/>
          <w:szCs w:val="20"/>
          <w:lang w:val="es-ES"/>
        </w:rPr>
        <w:t>contiene una lista cuyo propósito es incluir a cualquier entidad, órgano, organismo, o persona natural que desempeñe función pública o actúe como autoridad. El literal a) estableció que son sujetos obligados «toda entidad pública, incluyendo las pertenecientes a todas las Ramas del Poder Público». Al ser las sociedades de economía mixta una entidad pública que hace parte de la rama ejecutiva–según lo dispone el artículo 38, numeral 2º, literal f) de la Ley 489 de 1998–, se inscribe en la categoría de sujeto obligado prevista en el artículo 9 de la Ley 1712 de 2014 y en consecuencia debe publicar la información relativa a su contratación en el SECOP, pues  este es un deber de las entidades estatales que contratan con recursos públicos, independientemente del régimen jurídico aplicable a dicha actividad contractual»</w:t>
      </w:r>
      <w:r>
        <w:rPr>
          <w:rFonts w:ascii="Arial" w:eastAsia="Calibri" w:hAnsi="Arial" w:cs="Arial"/>
          <w:color w:val="000000"/>
          <w:sz w:val="20"/>
          <w:szCs w:val="20"/>
          <w:lang w:val="es-ES"/>
        </w:rPr>
        <w:t>.</w:t>
      </w:r>
    </w:p>
    <w:p w14:paraId="279FC1CD" w14:textId="789BD4F8" w:rsidR="001D0959" w:rsidRPr="001D0959" w:rsidRDefault="00CB0625" w:rsidP="008840FF">
      <w:pPr>
        <w:jc w:val="both"/>
        <w:rPr>
          <w:rFonts w:ascii="Arial" w:eastAsia="Calibri" w:hAnsi="Arial" w:cs="Arial"/>
          <w:color w:val="000000"/>
          <w:sz w:val="20"/>
          <w:szCs w:val="20"/>
          <w:lang w:val="es-CO"/>
        </w:rPr>
      </w:pPr>
      <w:r w:rsidRPr="00CB0625">
        <w:rPr>
          <w:rFonts w:ascii="Arial" w:eastAsia="Calibri" w:hAnsi="Arial" w:cs="Arial"/>
          <w:color w:val="000000"/>
          <w:sz w:val="20"/>
          <w:szCs w:val="20"/>
          <w:lang w:val="es-ES"/>
        </w:rPr>
        <w:t>De manera más clara, el literal e) señaló que las empresas públicas, del Estado y las sociedades en donde el Estado tenga participación son sujetos obligados. Como consecuencia, las Sociedades de Economía Mixta son sujetos obligados para efectos de la Ley 1712 de 2014, pues son empresas en donde el Estado tiene participación.</w:t>
      </w:r>
    </w:p>
    <w:p w14:paraId="0D2E76F5" w14:textId="77777777" w:rsidR="001D0959" w:rsidRPr="001D0959" w:rsidRDefault="001D0959" w:rsidP="008840FF">
      <w:pPr>
        <w:jc w:val="both"/>
        <w:rPr>
          <w:rFonts w:ascii="Arial" w:eastAsia="Calibri" w:hAnsi="Arial" w:cs="Arial"/>
          <w:color w:val="000000"/>
          <w:sz w:val="20"/>
          <w:szCs w:val="20"/>
          <w:lang w:val="es-CO"/>
        </w:rPr>
      </w:pPr>
    </w:p>
    <w:p w14:paraId="4A963DEA" w14:textId="77777777" w:rsidR="001D0959" w:rsidRPr="001D0959" w:rsidRDefault="001D0959" w:rsidP="008840FF">
      <w:pPr>
        <w:jc w:val="both"/>
        <w:rPr>
          <w:rFonts w:ascii="Arial" w:eastAsia="Calibri" w:hAnsi="Arial" w:cs="Arial"/>
          <w:b/>
          <w:color w:val="000000"/>
          <w:sz w:val="22"/>
          <w:lang w:val="es-CO"/>
        </w:rPr>
      </w:pPr>
      <w:r w:rsidRPr="001D0959">
        <w:rPr>
          <w:rFonts w:ascii="Arial" w:eastAsia="Calibri" w:hAnsi="Arial" w:cs="Arial"/>
          <w:b/>
          <w:color w:val="000000"/>
          <w:sz w:val="22"/>
          <w:lang w:val="es-CO"/>
        </w:rPr>
        <w:t>SECOP – Publicidad – Documentos que se deben publicar</w:t>
      </w:r>
    </w:p>
    <w:p w14:paraId="00D21A98" w14:textId="77777777" w:rsidR="001D0959" w:rsidRPr="001D0959" w:rsidRDefault="001D0959" w:rsidP="008840FF">
      <w:pPr>
        <w:contextualSpacing/>
        <w:jc w:val="both"/>
        <w:rPr>
          <w:rFonts w:ascii="Arial" w:eastAsia="Calibri" w:hAnsi="Arial" w:cs="Arial"/>
          <w:color w:val="000000"/>
          <w:sz w:val="20"/>
          <w:szCs w:val="20"/>
          <w:lang w:val="es-CO"/>
        </w:rPr>
      </w:pPr>
    </w:p>
    <w:p w14:paraId="758E62C3" w14:textId="5DE7C96C" w:rsidR="002C4E63" w:rsidRPr="001D0959" w:rsidRDefault="001D0959" w:rsidP="008840FF">
      <w:pPr>
        <w:spacing w:after="120"/>
        <w:jc w:val="both"/>
        <w:rPr>
          <w:rFonts w:ascii="Arial" w:eastAsia="Calibri" w:hAnsi="Arial" w:cs="Arial"/>
          <w:color w:val="000000"/>
          <w:sz w:val="20"/>
          <w:szCs w:val="20"/>
          <w:lang w:val="es-CO"/>
        </w:rPr>
      </w:pPr>
      <w:r w:rsidRPr="001D0959">
        <w:rPr>
          <w:rFonts w:ascii="Arial" w:eastAsia="Calibri" w:hAnsi="Arial" w:cs="Arial"/>
          <w:color w:val="000000"/>
          <w:sz w:val="20"/>
          <w:szCs w:val="20"/>
          <w:lang w:val="es-CO"/>
        </w:rPr>
        <w:t xml:space="preserve">[…] </w:t>
      </w:r>
      <w:r w:rsidR="002C4E63" w:rsidRPr="002C4E63">
        <w:rPr>
          <w:rFonts w:ascii="Arial" w:eastAsia="Calibri" w:hAnsi="Arial" w:cs="Arial"/>
          <w:color w:val="000000"/>
          <w:sz w:val="20"/>
          <w:szCs w:val="20"/>
          <w:lang w:val="es-CO"/>
        </w:rPr>
        <w:t>, el Decreto 1081 de 2015 señala que los documentos que deben publicar las entidades del estado comprendidas en el ámbito de aplicación de la Ley 1712 de 2014, entre estas, por ejemplo, las empresas de economía mixta,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p>
    <w:p w14:paraId="5273F1C5" w14:textId="726FC806" w:rsidR="002C4E63" w:rsidRDefault="002C4E63" w:rsidP="008840FF">
      <w:pPr>
        <w:spacing w:after="120"/>
        <w:jc w:val="both"/>
        <w:rPr>
          <w:rFonts w:ascii="Arial" w:eastAsia="Calibri" w:hAnsi="Arial" w:cs="Arial"/>
          <w:color w:val="000000"/>
          <w:sz w:val="20"/>
          <w:szCs w:val="20"/>
          <w:lang w:val="es-CO"/>
        </w:rPr>
      </w:pPr>
      <w:r w:rsidRPr="002C4E63">
        <w:rPr>
          <w:rFonts w:ascii="Arial" w:eastAsia="Calibri" w:hAnsi="Arial" w:cs="Arial"/>
          <w:color w:val="000000"/>
          <w:sz w:val="20"/>
          <w:szCs w:val="20"/>
          <w:lang w:val="es-CO"/>
        </w:rPr>
        <w:t xml:space="preserve">Estas entidades están sometidas al derecho privado, y por lo tanto no realizan sus procesos de contratación mediante las modalidades previstas en la Ley 80 de 1993, por lo cual cada una definirá en su manual el procedimiento para contratar sus bienes y servicios. </w:t>
      </w:r>
    </w:p>
    <w:p w14:paraId="455991AE" w14:textId="77777777" w:rsidR="002C4E63" w:rsidRPr="002C4E63" w:rsidRDefault="002C4E63" w:rsidP="008840FF">
      <w:pPr>
        <w:spacing w:after="120"/>
        <w:jc w:val="both"/>
        <w:rPr>
          <w:rFonts w:ascii="Arial" w:eastAsia="Calibri" w:hAnsi="Arial" w:cs="Arial"/>
          <w:color w:val="000000"/>
          <w:sz w:val="20"/>
          <w:szCs w:val="20"/>
          <w:lang w:val="es-CO"/>
        </w:rPr>
      </w:pPr>
    </w:p>
    <w:p w14:paraId="4F9834E2" w14:textId="685758BA" w:rsidR="002C4E63" w:rsidRPr="001D0959" w:rsidRDefault="002C4E63" w:rsidP="008840FF">
      <w:pPr>
        <w:jc w:val="both"/>
        <w:rPr>
          <w:rFonts w:ascii="Arial" w:eastAsia="Calibri" w:hAnsi="Arial" w:cs="Arial"/>
          <w:color w:val="000000"/>
          <w:sz w:val="20"/>
          <w:szCs w:val="20"/>
          <w:lang w:val="es-CO"/>
        </w:rPr>
      </w:pPr>
      <w:r w:rsidRPr="002C4E63">
        <w:rPr>
          <w:rFonts w:ascii="Arial" w:eastAsia="Calibri" w:hAnsi="Arial" w:cs="Arial"/>
          <w:color w:val="000000"/>
          <w:sz w:val="20"/>
          <w:szCs w:val="20"/>
          <w:lang w:val="es-CO"/>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37038558" w14:textId="0BF081C3" w:rsidR="00825FD3" w:rsidRDefault="00825FD3" w:rsidP="008840FF">
      <w:pPr>
        <w:jc w:val="both"/>
        <w:rPr>
          <w:rFonts w:ascii="Arial" w:eastAsia="Calibri" w:hAnsi="Arial" w:cs="Arial"/>
          <w:color w:val="000000" w:themeColor="text1"/>
          <w:sz w:val="22"/>
          <w:lang w:val="es-CO"/>
        </w:rPr>
      </w:pPr>
    </w:p>
    <w:p w14:paraId="632B5A8A" w14:textId="07D64BC4" w:rsidR="00CB0625" w:rsidRPr="001D0959" w:rsidRDefault="00CB0625" w:rsidP="008840FF">
      <w:pPr>
        <w:jc w:val="both"/>
        <w:rPr>
          <w:rFonts w:ascii="Arial" w:eastAsia="Calibri" w:hAnsi="Arial" w:cs="Arial"/>
          <w:b/>
          <w:color w:val="000000"/>
          <w:sz w:val="22"/>
          <w:lang w:val="es-CO"/>
        </w:rPr>
      </w:pPr>
      <w:r w:rsidRPr="001D0959">
        <w:rPr>
          <w:rFonts w:ascii="Arial" w:eastAsia="Calibri" w:hAnsi="Arial" w:cs="Arial"/>
          <w:b/>
          <w:color w:val="000000"/>
          <w:sz w:val="22"/>
          <w:lang w:val="es-CO"/>
        </w:rPr>
        <w:t>SECOP – Publicidad – Documentos que se deben publicar</w:t>
      </w:r>
      <w:r>
        <w:rPr>
          <w:rFonts w:ascii="Arial" w:eastAsia="Calibri" w:hAnsi="Arial" w:cs="Arial"/>
          <w:b/>
          <w:color w:val="000000"/>
          <w:sz w:val="22"/>
          <w:lang w:val="es-CO"/>
        </w:rPr>
        <w:t xml:space="preserve"> – Reserva </w:t>
      </w:r>
    </w:p>
    <w:p w14:paraId="24AEDB9A" w14:textId="113D57CC" w:rsidR="00CB0625" w:rsidRDefault="00CB0625" w:rsidP="008840FF">
      <w:pPr>
        <w:jc w:val="both"/>
        <w:rPr>
          <w:rFonts w:ascii="Arial" w:eastAsia="Calibri" w:hAnsi="Arial" w:cs="Arial"/>
          <w:color w:val="000000" w:themeColor="text1"/>
          <w:sz w:val="22"/>
          <w:lang w:val="es-CO"/>
        </w:rPr>
      </w:pPr>
    </w:p>
    <w:p w14:paraId="795DE3A7" w14:textId="759BADDF" w:rsidR="00CB0625" w:rsidRPr="002C4E63" w:rsidRDefault="00CB0625" w:rsidP="008840FF">
      <w:pPr>
        <w:jc w:val="both"/>
        <w:rPr>
          <w:rFonts w:ascii="Arial" w:eastAsia="Calibri" w:hAnsi="Arial" w:cs="Arial"/>
          <w:color w:val="000000"/>
          <w:sz w:val="20"/>
          <w:szCs w:val="20"/>
          <w:lang w:val="es-CO"/>
        </w:rPr>
      </w:pPr>
      <w:r w:rsidRPr="002C4E63">
        <w:rPr>
          <w:rFonts w:ascii="Arial" w:eastAsia="Calibri" w:hAnsi="Arial" w:cs="Arial"/>
          <w:color w:val="000000"/>
          <w:sz w:val="20"/>
          <w:szCs w:val="20"/>
          <w:lang w:val="es-CO"/>
        </w:rPr>
        <w:t>Igualmente, se tiene que poner de presente que, excepcionalmente, las entidades no se encuentran obligadas a publicar tal documentación, tal excepción puede provenir, por ejemplo, del hecho de que la contratación no se hará con cargo a recursos públicos, o porque existe una expresa disposición legal en ese sentido, como sería el caso de la información sometida a reserva por razones industriales o comerciales, o la publicación relacionada con proyectos de inversión para el caso concreto del Plan Anual de Adquisiciones. No obstante, si la reserva aplica solamente para parte del documento o proceso, se deberá publicar aquel aparte del documento o aquellas piezas del proceso que no se encuadren dentro de la respectiva causal de reserva de conformidad con lo señalado por el artículo 21 de la Ley 1712 de 2014.</w:t>
      </w:r>
    </w:p>
    <w:p w14:paraId="2036CB1C" w14:textId="081FDF15" w:rsidR="005C5B7C" w:rsidRPr="008840FF" w:rsidRDefault="005C5B7C" w:rsidP="005C5B7C">
      <w:pPr>
        <w:jc w:val="both"/>
        <w:rPr>
          <w:rFonts w:ascii="Arial" w:eastAsia="Calibri" w:hAnsi="Arial" w:cs="Arial"/>
          <w:color w:val="000000" w:themeColor="text1"/>
          <w:sz w:val="20"/>
          <w:szCs w:val="20"/>
        </w:rPr>
      </w:pPr>
    </w:p>
    <w:p w14:paraId="49BDE71E" w14:textId="77777777" w:rsidR="00CB0625" w:rsidRPr="008840FF" w:rsidRDefault="00CB0625" w:rsidP="005C5B7C">
      <w:pPr>
        <w:jc w:val="both"/>
        <w:rPr>
          <w:rFonts w:ascii="Arial" w:eastAsia="Calibri" w:hAnsi="Arial" w:cs="Arial"/>
          <w:color w:val="000000" w:themeColor="text1"/>
          <w:sz w:val="20"/>
          <w:szCs w:val="20"/>
        </w:rPr>
      </w:pPr>
    </w:p>
    <w:p w14:paraId="5DAB3E30" w14:textId="38D23734" w:rsidR="00382B34" w:rsidRPr="009A69B5" w:rsidRDefault="00382B34" w:rsidP="00382B34">
      <w:pPr>
        <w:spacing w:line="276" w:lineRule="auto"/>
        <w:jc w:val="both"/>
        <w:rPr>
          <w:rFonts w:ascii="Arial" w:hAnsi="Arial" w:cs="Arial"/>
          <w:b/>
          <w:color w:val="000000" w:themeColor="text1"/>
          <w:sz w:val="22"/>
          <w:lang w:val="es-ES"/>
        </w:rPr>
      </w:pPr>
      <w:r w:rsidRPr="009A69B5">
        <w:rPr>
          <w:rFonts w:ascii="Arial" w:hAnsi="Arial" w:cs="Arial"/>
          <w:color w:val="000000" w:themeColor="text1"/>
          <w:sz w:val="22"/>
          <w:lang w:val="es-ES"/>
        </w:rPr>
        <w:t>Bogotá D.C.,</w:t>
      </w:r>
      <w:r w:rsidR="00E25800">
        <w:rPr>
          <w:rFonts w:ascii="Arial" w:hAnsi="Arial" w:cs="Arial"/>
          <w:b/>
          <w:color w:val="000000" w:themeColor="text1"/>
          <w:sz w:val="22"/>
          <w:lang w:val="es-ES"/>
        </w:rPr>
        <w:t xml:space="preserve"> </w:t>
      </w:r>
      <w:r w:rsidR="00E25800" w:rsidRPr="00E25800">
        <w:rPr>
          <w:rFonts w:ascii="Arial" w:hAnsi="Arial" w:cs="Arial"/>
          <w:b/>
          <w:color w:val="000000" w:themeColor="text1"/>
          <w:sz w:val="22"/>
        </w:rPr>
        <w:t>04/08/2020 Hora 10:43:30s</w:t>
      </w:r>
    </w:p>
    <w:p w14:paraId="0D7D9939" w14:textId="77777777" w:rsidR="00382B34" w:rsidRPr="009A69B5" w:rsidRDefault="00382B34" w:rsidP="00382B34">
      <w:pPr>
        <w:spacing w:line="276" w:lineRule="auto"/>
        <w:jc w:val="both"/>
        <w:rPr>
          <w:rFonts w:ascii="Arial" w:eastAsia="Calibri" w:hAnsi="Arial" w:cs="Arial"/>
          <w:color w:val="000000" w:themeColor="text1"/>
          <w:sz w:val="22"/>
          <w:lang w:val="es-ES"/>
        </w:rPr>
      </w:pPr>
    </w:p>
    <w:p w14:paraId="266BD4C2" w14:textId="739CA246" w:rsidR="00382B34" w:rsidRPr="009A69B5" w:rsidRDefault="00382B34" w:rsidP="008840FF">
      <w:pPr>
        <w:spacing w:line="276" w:lineRule="auto"/>
        <w:jc w:val="right"/>
        <w:rPr>
          <w:rFonts w:ascii="Arial" w:hAnsi="Arial" w:cs="Arial"/>
          <w:b/>
          <w:color w:val="000000" w:themeColor="text1"/>
          <w:sz w:val="22"/>
          <w:lang w:val="es-ES"/>
        </w:rPr>
      </w:pPr>
      <w:r w:rsidRPr="009A69B5">
        <w:rPr>
          <w:rFonts w:ascii="Arial" w:hAnsi="Arial" w:cs="Arial"/>
          <w:b/>
          <w:color w:val="000000" w:themeColor="text1"/>
          <w:sz w:val="22"/>
          <w:lang w:val="es-ES"/>
        </w:rPr>
        <w:t xml:space="preserve">N° Radicado: </w:t>
      </w:r>
      <w:r w:rsidR="00E25800" w:rsidRPr="00E25800">
        <w:rPr>
          <w:rFonts w:ascii="Arial" w:hAnsi="Arial" w:cs="Arial"/>
          <w:b/>
          <w:color w:val="000000" w:themeColor="text1"/>
          <w:sz w:val="22"/>
        </w:rPr>
        <w:t xml:space="preserve">220201300 0007066 </w:t>
      </w:r>
      <w:bookmarkStart w:id="3" w:name="_GoBack"/>
      <w:bookmarkEnd w:id="3"/>
    </w:p>
    <w:p w14:paraId="12A234ED" w14:textId="77777777" w:rsidR="00BE1E33" w:rsidRPr="00382B34" w:rsidRDefault="00BE1E33" w:rsidP="00BE1E33">
      <w:pPr>
        <w:rPr>
          <w:rFonts w:ascii="Arial" w:eastAsia="Calibri" w:hAnsi="Arial" w:cs="Arial"/>
          <w:color w:val="000000" w:themeColor="text1"/>
          <w:sz w:val="22"/>
          <w:lang w:val="es-ES"/>
        </w:rPr>
      </w:pPr>
    </w:p>
    <w:p w14:paraId="73D51859" w14:textId="6A25C292"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r w:rsidR="00684B06">
        <w:rPr>
          <w:rFonts w:ascii="Arial" w:eastAsia="Calibri" w:hAnsi="Arial" w:cs="Arial"/>
          <w:color w:val="000000" w:themeColor="text1"/>
          <w:sz w:val="22"/>
        </w:rPr>
        <w:t>a</w:t>
      </w:r>
    </w:p>
    <w:p w14:paraId="0ADC5F9B" w14:textId="6C92BD81" w:rsidR="00766030" w:rsidRDefault="00684B06" w:rsidP="00BE1E33">
      <w:pPr>
        <w:rPr>
          <w:rFonts w:ascii="Arial" w:eastAsia="Calibri" w:hAnsi="Arial" w:cs="Arial"/>
          <w:b/>
          <w:color w:val="000000" w:themeColor="text1"/>
          <w:sz w:val="22"/>
        </w:rPr>
      </w:pPr>
      <w:r>
        <w:rPr>
          <w:rFonts w:ascii="Arial" w:eastAsia="Calibri" w:hAnsi="Arial" w:cs="Arial"/>
          <w:b/>
          <w:color w:val="000000" w:themeColor="text1"/>
          <w:sz w:val="22"/>
        </w:rPr>
        <w:t xml:space="preserve">María Paula Sarmiento </w:t>
      </w:r>
      <w:r w:rsidR="00AD2C83">
        <w:rPr>
          <w:rFonts w:ascii="Arial" w:eastAsia="Calibri" w:hAnsi="Arial" w:cs="Arial"/>
          <w:b/>
          <w:color w:val="000000" w:themeColor="text1"/>
          <w:sz w:val="22"/>
        </w:rPr>
        <w:t xml:space="preserve">Hincapié </w:t>
      </w:r>
    </w:p>
    <w:p w14:paraId="095BF112" w14:textId="12E8DFBF" w:rsidR="00BE1E33" w:rsidRPr="006C15D5" w:rsidRDefault="00EA62F1" w:rsidP="00BE1E33">
      <w:pPr>
        <w:rPr>
          <w:rFonts w:ascii="Arial" w:eastAsia="Calibri" w:hAnsi="Arial" w:cs="Arial"/>
          <w:color w:val="000000" w:themeColor="text1"/>
          <w:sz w:val="22"/>
        </w:rPr>
      </w:pPr>
      <w:r>
        <w:rPr>
          <w:rFonts w:ascii="Arial" w:eastAsia="Calibri" w:hAnsi="Arial" w:cs="Arial"/>
          <w:color w:val="000000" w:themeColor="text1"/>
          <w:sz w:val="22"/>
        </w:rPr>
        <w:t>Bogotá D.C.</w:t>
      </w:r>
      <w:r w:rsidR="00BE1E33" w:rsidRPr="006C15D5">
        <w:rPr>
          <w:rFonts w:ascii="Arial" w:eastAsia="Calibri" w:hAnsi="Arial" w:cs="Arial"/>
          <w:color w:val="000000" w:themeColor="text1"/>
          <w:sz w:val="22"/>
        </w:rPr>
        <w:t xml:space="preserve">, </w:t>
      </w:r>
      <w:r>
        <w:rPr>
          <w:rFonts w:ascii="Arial" w:eastAsia="Calibri" w:hAnsi="Arial" w:cs="Arial"/>
          <w:color w:val="000000" w:themeColor="text1"/>
          <w:sz w:val="22"/>
        </w:rPr>
        <w:t>Cundinamarca</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3080BF63"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5A27E5">
        <w:rPr>
          <w:rFonts w:ascii="Arial" w:eastAsia="Calibri" w:hAnsi="Arial" w:cs="Arial"/>
          <w:b/>
          <w:color w:val="000000" w:themeColor="text1"/>
          <w:sz w:val="22"/>
        </w:rPr>
        <w:t>494</w:t>
      </w:r>
      <w:r w:rsidRPr="006C15D5">
        <w:rPr>
          <w:rFonts w:ascii="Arial" w:eastAsia="Calibri" w:hAnsi="Arial" w:cs="Arial"/>
          <w:b/>
          <w:color w:val="000000" w:themeColor="text1"/>
          <w:sz w:val="22"/>
        </w:rPr>
        <w:t xml:space="preserve"> 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3DBA9885" w:rsidR="00BE1E33" w:rsidRPr="00CB0625" w:rsidRDefault="005376E3">
            <w:pPr>
              <w:jc w:val="both"/>
              <w:rPr>
                <w:rFonts w:ascii="Arial" w:eastAsia="Calibri" w:hAnsi="Arial" w:cs="Arial"/>
                <w:color w:val="000000" w:themeColor="text1"/>
                <w:sz w:val="22"/>
                <w:lang w:val="es-CO"/>
              </w:rPr>
            </w:pPr>
            <w:r w:rsidRPr="005376E3">
              <w:rPr>
                <w:rFonts w:ascii="Arial" w:eastAsia="Calibri" w:hAnsi="Arial" w:cs="Arial"/>
                <w:color w:val="000000" w:themeColor="text1"/>
                <w:sz w:val="22"/>
                <w:lang w:val="es-CO"/>
              </w:rPr>
              <w:t>SECOP – Publicidad – Entidades de régimen especial – Reiteración de Concepto unificado CU-003 de 2020</w:t>
            </w:r>
            <w:r>
              <w:rPr>
                <w:rFonts w:ascii="Arial" w:eastAsia="Calibri" w:hAnsi="Arial" w:cs="Arial"/>
                <w:color w:val="000000" w:themeColor="text1"/>
                <w:sz w:val="22"/>
                <w:lang w:val="es-CO"/>
              </w:rPr>
              <w:t xml:space="preserve"> / </w:t>
            </w:r>
            <w:r w:rsidRPr="005376E3">
              <w:rPr>
                <w:rFonts w:ascii="Arial" w:eastAsia="Calibri" w:hAnsi="Arial" w:cs="Arial"/>
                <w:color w:val="000000" w:themeColor="text1"/>
                <w:sz w:val="22"/>
                <w:lang w:val="es-CO"/>
              </w:rPr>
              <w:t>SECOP – Publicidad – Sociedades de economía mixta</w:t>
            </w:r>
            <w:r>
              <w:rPr>
                <w:rFonts w:ascii="Arial" w:eastAsia="Calibri" w:hAnsi="Arial" w:cs="Arial"/>
                <w:color w:val="000000" w:themeColor="text1"/>
                <w:sz w:val="22"/>
                <w:lang w:val="es-CO"/>
              </w:rPr>
              <w:t xml:space="preserve"> / </w:t>
            </w:r>
            <w:r w:rsidRPr="005376E3">
              <w:rPr>
                <w:rFonts w:ascii="Arial" w:eastAsia="Calibri" w:hAnsi="Arial" w:cs="Arial"/>
                <w:color w:val="000000" w:themeColor="text1"/>
                <w:sz w:val="22"/>
                <w:lang w:val="es-CO"/>
              </w:rPr>
              <w:t>SECOP – Publicidad – Documentos que se deben publicar</w:t>
            </w:r>
            <w:r>
              <w:rPr>
                <w:rFonts w:ascii="Arial" w:eastAsia="Calibri" w:hAnsi="Arial" w:cs="Arial"/>
                <w:color w:val="000000" w:themeColor="text1"/>
                <w:sz w:val="22"/>
                <w:lang w:val="es-CO"/>
              </w:rPr>
              <w:t xml:space="preserve"> </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5DA9014C"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684B06" w:rsidRPr="00684B06">
              <w:rPr>
                <w:rFonts w:ascii="Arial" w:eastAsia="Calibri" w:hAnsi="Arial" w:cs="Arial"/>
                <w:color w:val="000000" w:themeColor="text1"/>
                <w:sz w:val="22"/>
              </w:rPr>
              <w:t>4202012000006056</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417ABDA8" w14:textId="3A3E06CA"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684B06">
        <w:rPr>
          <w:rFonts w:ascii="Arial" w:eastAsia="Calibri" w:hAnsi="Arial" w:cs="Arial"/>
          <w:color w:val="000000" w:themeColor="text1"/>
          <w:sz w:val="22"/>
        </w:rPr>
        <w:t>a señora Sarmiento</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23C883A0"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1D0959">
        <w:rPr>
          <w:rFonts w:ascii="Arial" w:eastAsia="Calibri" w:hAnsi="Arial" w:cs="Arial"/>
          <w:color w:val="000000" w:themeColor="text1"/>
          <w:sz w:val="22"/>
        </w:rPr>
        <w:t xml:space="preserve">17 de julio </w:t>
      </w:r>
      <w:r w:rsidRPr="006C15D5">
        <w:rPr>
          <w:rFonts w:ascii="Arial" w:eastAsia="Calibri" w:hAnsi="Arial" w:cs="Arial"/>
          <w:color w:val="000000" w:themeColor="text1"/>
          <w:sz w:val="22"/>
        </w:rPr>
        <w:t xml:space="preserve">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ListParagraph"/>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741F3B6B" w14:textId="6C9F1F76" w:rsidR="00BE1E33" w:rsidRPr="004B4AF2" w:rsidRDefault="00C07B5E" w:rsidP="00AD2C83">
      <w:pPr>
        <w:tabs>
          <w:tab w:val="left" w:pos="426"/>
        </w:tabs>
        <w:spacing w:line="276" w:lineRule="auto"/>
        <w:jc w:val="both"/>
        <w:rPr>
          <w:rFonts w:ascii="Arial" w:eastAsia="Calibri" w:hAnsi="Arial" w:cs="Arial"/>
          <w:color w:val="000000" w:themeColor="text1"/>
          <w:sz w:val="22"/>
        </w:rPr>
      </w:pPr>
      <w:bookmarkStart w:id="4" w:name="_Hlk41142281"/>
      <w:bookmarkStart w:id="5" w:name="_Hlk41043439"/>
      <w:r w:rsidRPr="004B4AF2">
        <w:rPr>
          <w:rFonts w:ascii="Arial" w:eastAsia="Calibri" w:hAnsi="Arial" w:cs="Arial"/>
          <w:color w:val="000000" w:themeColor="text1"/>
          <w:sz w:val="22"/>
        </w:rPr>
        <w:t>U</w:t>
      </w:r>
      <w:r w:rsidR="00EA62F1" w:rsidRPr="004B4AF2">
        <w:rPr>
          <w:rFonts w:ascii="Arial" w:eastAsia="Calibri" w:hAnsi="Arial" w:cs="Arial"/>
          <w:color w:val="000000" w:themeColor="text1"/>
          <w:sz w:val="22"/>
        </w:rPr>
        <w:t xml:space="preserve">sted realiza las siguientes preguntas: </w:t>
      </w:r>
      <w:bookmarkEnd w:id="4"/>
      <w:bookmarkEnd w:id="5"/>
      <w:r w:rsidR="004B4AF2" w:rsidRPr="004B4AF2">
        <w:rPr>
          <w:rFonts w:ascii="Arial" w:eastAsia="Calibri" w:hAnsi="Arial" w:cs="Arial"/>
          <w:color w:val="000000" w:themeColor="text1"/>
          <w:sz w:val="22"/>
        </w:rPr>
        <w:t>«</w:t>
      </w:r>
      <w:r w:rsidR="00AD2C83" w:rsidRPr="004B4AF2">
        <w:rPr>
          <w:rFonts w:ascii="Arial" w:eastAsia="Calibri" w:hAnsi="Arial" w:cs="Arial"/>
          <w:color w:val="000000" w:themeColor="text1"/>
          <w:sz w:val="22"/>
        </w:rPr>
        <w:t>(i) ¿Qué información de la actividad contractual debe publicar en el SECOP una sociedad de economía mixta, que tiene régimen de contratación especial y cuya participación pública es inferior al 90% y superior al 50%? (ii) ¿Cuál es el fundamento normativo que obliga a las sociedades de economía mixta con régimen de contratación especial a publicar información de la gestión contractual en el SECOP? (iii) ¿Cuáles son los contratos que una sociedad de economía mixta, que tiene régimen especial de contratación, debe publicar a través del SECOP? (iv) ¿Si un contrato establece las excepciones de acceso a la información en los términos previstos del Título III de la Ley 1712 de 2014, de igual forma, se debe publicar en el SECOP? (v) ¿Las sociedades de economía mixta, que tienen régimen de contratación especial y participación pública inferior al 90% y superior al 50% deben publicar toda la información prevista en el artículo 11 de la Ley 1712 de 2014 a través del Sistema Electrónico para la Contratación Pública – SECOP? (vi) ¿Cuáles son los gastos de funcionamiento que deben publicar en el SECOP las sociedades de economía mixta, cuya participación pública es inferior al 90% y superior al 50%? 7. Teniendo en cuenta que en el artículo 9 de la Ley 1712 de 2014 sostiene que los sujetos obligados deben reportar los gastos de inversión (vii) ¿Qué se considera gasto de inversión en las sociedades de economía mixta cuya participación pública es inferior al 90% y superior 50% y su régimen de contratación es especial?</w:t>
      </w:r>
      <w:r w:rsidR="004B4AF2" w:rsidRPr="004B4AF2">
        <w:rPr>
          <w:rFonts w:ascii="Arial" w:eastAsia="Calibri" w:hAnsi="Arial" w:cs="Arial"/>
          <w:color w:val="000000" w:themeColor="text1"/>
          <w:sz w:val="22"/>
        </w:rPr>
        <w:t>»</w:t>
      </w:r>
    </w:p>
    <w:p w14:paraId="6D375D8C" w14:textId="77777777" w:rsidR="00BE1E33" w:rsidRPr="006C15D5" w:rsidRDefault="00BE1E33"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ListParagraph"/>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056761A8" w:rsidR="00BE1E33" w:rsidRDefault="00BE1E33" w:rsidP="00BE1E33">
      <w:pPr>
        <w:spacing w:line="276" w:lineRule="auto"/>
        <w:jc w:val="both"/>
        <w:rPr>
          <w:rFonts w:ascii="Arial" w:eastAsia="Calibri" w:hAnsi="Arial" w:cs="Arial"/>
          <w:color w:val="000000" w:themeColor="text1"/>
          <w:sz w:val="22"/>
        </w:rPr>
      </w:pPr>
    </w:p>
    <w:p w14:paraId="6E80D8CB" w14:textId="1C7CA73D" w:rsidR="00673DB8" w:rsidRDefault="0025095A" w:rsidP="00673DB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Para responder las pre</w:t>
      </w:r>
      <w:r w:rsidR="00AD2C83">
        <w:rPr>
          <w:rFonts w:ascii="Arial" w:eastAsia="Calibri" w:hAnsi="Arial" w:cs="Arial"/>
          <w:color w:val="000000" w:themeColor="text1"/>
          <w:sz w:val="22"/>
        </w:rPr>
        <w:t>guntas planteadas, se analizará el principio de publicidad que rige la actividad contractual de las entidades estatales, el deber de pub</w:t>
      </w:r>
      <w:r w:rsidR="0040445B">
        <w:rPr>
          <w:rFonts w:ascii="Arial" w:eastAsia="Calibri" w:hAnsi="Arial" w:cs="Arial"/>
          <w:color w:val="000000" w:themeColor="text1"/>
          <w:sz w:val="22"/>
        </w:rPr>
        <w:t xml:space="preserve">licar en el SECOP, las particularidades de las entidades sometidas a regímenes especiales obligadas a publicar en el SECOP y los documentos que deben publicar, para, en general, alcanzar la comprensión de estos puntos a partir del caso de las sociedades de economía mixta. </w:t>
      </w:r>
      <w:r w:rsidR="00D17025">
        <w:rPr>
          <w:rFonts w:ascii="Arial" w:eastAsia="Calibri" w:hAnsi="Arial" w:cs="Arial"/>
          <w:color w:val="000000" w:themeColor="text1"/>
          <w:sz w:val="22"/>
        </w:rPr>
        <w:t xml:space="preserve">Finalmente, se realizará una breve referencia a lo que la jurisprudencia administrativa ha entendido por gastos de funcionamiento e inversión. </w:t>
      </w:r>
    </w:p>
    <w:p w14:paraId="5CB2DCE1" w14:textId="734C645D" w:rsidR="00885365" w:rsidRPr="003D3A3E" w:rsidRDefault="0040445B" w:rsidP="00885365">
      <w:pPr>
        <w:spacing w:line="276" w:lineRule="auto"/>
        <w:jc w:val="both"/>
        <w:rPr>
          <w:rFonts w:ascii="Arial" w:eastAsia="Calibri" w:hAnsi="Arial" w:cs="Arial"/>
          <w:bCs/>
          <w:color w:val="000000"/>
          <w:sz w:val="22"/>
          <w:lang w:val="es-CO"/>
        </w:rPr>
      </w:pPr>
      <w:r>
        <w:rPr>
          <w:rFonts w:ascii="Arial" w:eastAsia="Calibri" w:hAnsi="Arial" w:cs="Arial"/>
          <w:color w:val="000000" w:themeColor="text1"/>
          <w:sz w:val="22"/>
        </w:rPr>
        <w:tab/>
      </w:r>
      <w:r w:rsidR="003D3A3E" w:rsidRPr="003D3A3E">
        <w:rPr>
          <w:rFonts w:ascii="Arial" w:eastAsia="Calibri" w:hAnsi="Arial" w:cs="Arial"/>
          <w:bCs/>
          <w:color w:val="000000"/>
          <w:sz w:val="22"/>
          <w:lang w:val="es-CO"/>
        </w:rPr>
        <w:t xml:space="preserve">La Agencia Nacional de Contratación Pública estudió el alcance del principio de publicidad en la consulta del 9 de agosto de 2019 </w:t>
      </w:r>
      <w:r w:rsidR="005376E3">
        <w:rPr>
          <w:rFonts w:ascii="Arial" w:eastAsia="Calibri" w:hAnsi="Arial" w:cs="Arial"/>
          <w:bCs/>
          <w:color w:val="000000"/>
          <w:sz w:val="22"/>
          <w:lang w:val="es-CO"/>
        </w:rPr>
        <w:t xml:space="preserve">– </w:t>
      </w:r>
      <w:r w:rsidR="003D3A3E" w:rsidRPr="003D3A3E">
        <w:rPr>
          <w:rFonts w:ascii="Arial" w:eastAsia="Calibri" w:hAnsi="Arial" w:cs="Arial"/>
          <w:bCs/>
          <w:color w:val="000000"/>
          <w:sz w:val="22"/>
          <w:lang w:val="es-CO"/>
        </w:rPr>
        <w:t>radicado No. 4201913000005397</w:t>
      </w:r>
      <w:r w:rsidR="005376E3">
        <w:rPr>
          <w:rFonts w:ascii="Arial" w:eastAsia="Calibri" w:hAnsi="Arial" w:cs="Arial"/>
          <w:bCs/>
          <w:color w:val="000000"/>
          <w:sz w:val="22"/>
          <w:lang w:val="es-CO"/>
        </w:rPr>
        <w:t xml:space="preserve"> –</w:t>
      </w:r>
      <w:r w:rsidR="003D3A3E" w:rsidRPr="003D3A3E">
        <w:rPr>
          <w:rFonts w:ascii="Arial" w:eastAsia="Calibri" w:hAnsi="Arial" w:cs="Arial"/>
          <w:bCs/>
          <w:color w:val="000000"/>
          <w:sz w:val="22"/>
          <w:lang w:val="es-CO"/>
        </w:rPr>
        <w:t xml:space="preserve"> y reiteró su posición en las consultas del 25 de septiembre de 2019, </w:t>
      </w:r>
      <w:r w:rsidR="003D3A3E" w:rsidRPr="003D3A3E">
        <w:rPr>
          <w:rFonts w:ascii="Arial" w:hAnsi="Arial" w:cs="Arial"/>
          <w:color w:val="000000"/>
          <w:sz w:val="22"/>
          <w:lang w:val="es-CO"/>
        </w:rPr>
        <w:t xml:space="preserve">del 4 de octubre de 2019, y </w:t>
      </w:r>
      <w:r w:rsidR="003D3A3E" w:rsidRPr="003D3A3E">
        <w:rPr>
          <w:rFonts w:ascii="Arial" w:eastAsia="Calibri" w:hAnsi="Arial" w:cs="Arial"/>
          <w:bCs/>
          <w:color w:val="000000"/>
          <w:sz w:val="22"/>
          <w:lang w:val="es-CO"/>
        </w:rPr>
        <w:t xml:space="preserve">del 13 y 18 de noviembre de 2019 </w:t>
      </w:r>
      <w:r w:rsidR="005376E3">
        <w:rPr>
          <w:rFonts w:ascii="Arial" w:eastAsia="Calibri" w:hAnsi="Arial" w:cs="Arial"/>
          <w:bCs/>
          <w:color w:val="000000"/>
          <w:sz w:val="22"/>
          <w:lang w:val="es-CO"/>
        </w:rPr>
        <w:t xml:space="preserve">– </w:t>
      </w:r>
      <w:r w:rsidR="003D3A3E" w:rsidRPr="003D3A3E">
        <w:rPr>
          <w:rFonts w:ascii="Arial" w:eastAsia="Calibri" w:hAnsi="Arial" w:cs="Arial"/>
          <w:bCs/>
          <w:color w:val="000000"/>
          <w:sz w:val="22"/>
          <w:lang w:val="es-CO"/>
        </w:rPr>
        <w:t xml:space="preserve">radicados Nos. 4201912000006611, </w:t>
      </w:r>
      <w:r w:rsidR="003D3A3E" w:rsidRPr="003D3A3E">
        <w:rPr>
          <w:rFonts w:ascii="Arial" w:hAnsi="Arial" w:cs="Arial"/>
          <w:color w:val="000000"/>
          <w:sz w:val="22"/>
          <w:lang w:val="es-CO"/>
        </w:rPr>
        <w:t xml:space="preserve">4201913000006847 </w:t>
      </w:r>
      <w:r w:rsidR="003D3A3E" w:rsidRPr="003D3A3E">
        <w:rPr>
          <w:rFonts w:ascii="Arial" w:eastAsia="Calibri" w:hAnsi="Arial" w:cs="Arial"/>
          <w:bCs/>
          <w:color w:val="000000"/>
          <w:sz w:val="22"/>
          <w:lang w:val="es-CO"/>
        </w:rPr>
        <w:t>4201912000007828 y 4201912000007762</w:t>
      </w:r>
      <w:r w:rsidR="005376E3">
        <w:rPr>
          <w:rFonts w:ascii="Arial" w:eastAsia="Calibri" w:hAnsi="Arial" w:cs="Arial"/>
          <w:bCs/>
          <w:color w:val="000000"/>
          <w:sz w:val="22"/>
          <w:lang w:val="es-CO"/>
        </w:rPr>
        <w:t xml:space="preserve"> –</w:t>
      </w:r>
      <w:r w:rsidR="003D3A3E" w:rsidRPr="003D3A3E">
        <w:rPr>
          <w:rFonts w:ascii="Arial" w:hAnsi="Arial" w:cs="Arial"/>
          <w:color w:val="000000"/>
          <w:sz w:val="22"/>
          <w:lang w:val="es-CO"/>
        </w:rPr>
        <w:t>. Finalmente, en el Concepto CU−003 de 2020 unificó la tesis que venía construyendo en relación con el uso del SECOP, la cual se reiteró posteriormente, entre otros, en los conceptos</w:t>
      </w:r>
      <w:r w:rsidR="005376E3">
        <w:rPr>
          <w:rFonts w:ascii="Arial" w:hAnsi="Arial" w:cs="Arial"/>
          <w:color w:val="000000"/>
          <w:sz w:val="22"/>
          <w:lang w:val="es-CO"/>
        </w:rPr>
        <w:t xml:space="preserve"> </w:t>
      </w:r>
      <w:r w:rsidR="005376E3" w:rsidRPr="003D3A3E">
        <w:rPr>
          <w:rFonts w:ascii="Arial" w:hAnsi="Arial" w:cs="Arial"/>
          <w:color w:val="000000"/>
          <w:sz w:val="22"/>
          <w:lang w:val="es-CO"/>
        </w:rPr>
        <w:t>C</w:t>
      </w:r>
      <w:r w:rsidR="005376E3">
        <w:rPr>
          <w:rFonts w:ascii="Arial" w:hAnsi="Arial" w:cs="Arial"/>
          <w:color w:val="000000"/>
          <w:sz w:val="22"/>
          <w:lang w:val="es-CO"/>
        </w:rPr>
        <w:t xml:space="preserve"> – </w:t>
      </w:r>
      <w:r w:rsidR="005376E3" w:rsidRPr="003D3A3E">
        <w:rPr>
          <w:rFonts w:ascii="Arial" w:hAnsi="Arial" w:cs="Arial"/>
          <w:color w:val="000000"/>
          <w:sz w:val="22"/>
          <w:lang w:val="es-CO"/>
        </w:rPr>
        <w:t>116</w:t>
      </w:r>
      <w:r w:rsidR="005376E3">
        <w:rPr>
          <w:rFonts w:ascii="Arial" w:hAnsi="Arial" w:cs="Arial"/>
          <w:color w:val="000000"/>
          <w:sz w:val="22"/>
          <w:lang w:val="es-CO"/>
        </w:rPr>
        <w:t xml:space="preserve"> de 18 de febrero de 2020,</w:t>
      </w:r>
      <w:r w:rsidR="003D3A3E" w:rsidRPr="003D3A3E">
        <w:rPr>
          <w:rFonts w:ascii="Arial" w:hAnsi="Arial" w:cs="Arial"/>
          <w:color w:val="000000"/>
          <w:sz w:val="22"/>
          <w:lang w:val="es-CO"/>
        </w:rPr>
        <w:t xml:space="preserve"> </w:t>
      </w:r>
      <w:r w:rsidR="005376E3" w:rsidRPr="003D3A3E">
        <w:rPr>
          <w:rFonts w:ascii="Arial" w:hAnsi="Arial" w:cs="Arial"/>
          <w:color w:val="000000"/>
          <w:sz w:val="22"/>
          <w:lang w:val="es-CO"/>
        </w:rPr>
        <w:t>C</w:t>
      </w:r>
      <w:r w:rsidR="005376E3">
        <w:rPr>
          <w:rFonts w:ascii="Arial" w:hAnsi="Arial" w:cs="Arial"/>
          <w:color w:val="000000"/>
          <w:sz w:val="22"/>
          <w:lang w:val="es-CO"/>
        </w:rPr>
        <w:t>–</w:t>
      </w:r>
      <w:r w:rsidR="005376E3" w:rsidRPr="003D3A3E">
        <w:rPr>
          <w:rFonts w:ascii="Arial" w:hAnsi="Arial" w:cs="Arial"/>
          <w:color w:val="000000"/>
          <w:sz w:val="22"/>
          <w:lang w:val="es-CO"/>
        </w:rPr>
        <w:t>061</w:t>
      </w:r>
      <w:r w:rsidR="005376E3">
        <w:rPr>
          <w:rFonts w:ascii="Arial" w:hAnsi="Arial" w:cs="Arial"/>
          <w:color w:val="000000"/>
          <w:sz w:val="22"/>
          <w:lang w:val="es-CO"/>
        </w:rPr>
        <w:t xml:space="preserve"> del 3 de marzo de 2020</w:t>
      </w:r>
      <w:r w:rsidR="005376E3" w:rsidRPr="003D3A3E">
        <w:rPr>
          <w:rFonts w:ascii="Arial" w:hAnsi="Arial" w:cs="Arial"/>
          <w:color w:val="000000"/>
          <w:sz w:val="22"/>
          <w:lang w:val="es-CO"/>
        </w:rPr>
        <w:t>, C-072</w:t>
      </w:r>
      <w:r w:rsidR="005376E3">
        <w:rPr>
          <w:rFonts w:ascii="Arial" w:hAnsi="Arial" w:cs="Arial"/>
          <w:color w:val="000000"/>
          <w:sz w:val="22"/>
          <w:lang w:val="es-CO"/>
        </w:rPr>
        <w:t xml:space="preserve"> del 4 de marzo de 2020, </w:t>
      </w:r>
      <w:r w:rsidR="005376E3" w:rsidRPr="003D3A3E">
        <w:rPr>
          <w:rFonts w:ascii="Arial" w:hAnsi="Arial" w:cs="Arial"/>
          <w:color w:val="000000"/>
          <w:sz w:val="22"/>
          <w:lang w:val="es-CO"/>
        </w:rPr>
        <w:t>C</w:t>
      </w:r>
      <w:r w:rsidR="005376E3">
        <w:rPr>
          <w:rFonts w:ascii="Arial" w:hAnsi="Arial" w:cs="Arial"/>
          <w:color w:val="000000"/>
          <w:sz w:val="22"/>
          <w:lang w:val="es-CO"/>
        </w:rPr>
        <w:t xml:space="preserve"> – </w:t>
      </w:r>
      <w:r w:rsidR="005376E3" w:rsidRPr="003D3A3E">
        <w:rPr>
          <w:rFonts w:ascii="Arial" w:hAnsi="Arial" w:cs="Arial"/>
          <w:color w:val="000000"/>
          <w:sz w:val="22"/>
          <w:lang w:val="es-CO"/>
        </w:rPr>
        <w:t>095</w:t>
      </w:r>
      <w:r w:rsidR="005376E3">
        <w:rPr>
          <w:rFonts w:ascii="Arial" w:hAnsi="Arial" w:cs="Arial"/>
          <w:color w:val="000000"/>
          <w:sz w:val="22"/>
          <w:lang w:val="es-CO"/>
        </w:rPr>
        <w:t xml:space="preserve"> de 16 de marzo de 2020</w:t>
      </w:r>
      <w:r w:rsidR="005376E3" w:rsidRPr="003D3A3E">
        <w:rPr>
          <w:rFonts w:ascii="Arial" w:hAnsi="Arial" w:cs="Arial"/>
          <w:color w:val="000000"/>
          <w:sz w:val="22"/>
          <w:lang w:val="es-CO"/>
        </w:rPr>
        <w:t>, C</w:t>
      </w:r>
      <w:r w:rsidR="005376E3">
        <w:rPr>
          <w:rFonts w:ascii="Arial" w:hAnsi="Arial" w:cs="Arial"/>
          <w:color w:val="000000"/>
          <w:sz w:val="22"/>
          <w:lang w:val="es-CO"/>
        </w:rPr>
        <w:t xml:space="preserve"> –</w:t>
      </w:r>
      <w:r w:rsidR="005376E3" w:rsidRPr="003D3A3E">
        <w:rPr>
          <w:rFonts w:ascii="Arial" w:hAnsi="Arial" w:cs="Arial"/>
          <w:color w:val="000000"/>
          <w:sz w:val="22"/>
          <w:lang w:val="es-CO"/>
        </w:rPr>
        <w:t>110</w:t>
      </w:r>
      <w:r w:rsidR="005376E3">
        <w:rPr>
          <w:rFonts w:ascii="Arial" w:hAnsi="Arial" w:cs="Arial"/>
          <w:color w:val="000000"/>
          <w:sz w:val="22"/>
          <w:lang w:val="es-CO"/>
        </w:rPr>
        <w:t xml:space="preserve"> de 16 de marzo de 2020</w:t>
      </w:r>
      <w:r w:rsidR="005376E3" w:rsidRPr="003D3A3E">
        <w:rPr>
          <w:rFonts w:ascii="Arial" w:hAnsi="Arial" w:cs="Arial"/>
          <w:color w:val="000000"/>
          <w:sz w:val="22"/>
          <w:lang w:val="es-CO"/>
        </w:rPr>
        <w:t>, C</w:t>
      </w:r>
      <w:r w:rsidR="005376E3">
        <w:rPr>
          <w:rFonts w:ascii="Arial" w:hAnsi="Arial" w:cs="Arial"/>
          <w:color w:val="000000"/>
          <w:sz w:val="22"/>
          <w:lang w:val="es-CO"/>
        </w:rPr>
        <w:t xml:space="preserve"> – </w:t>
      </w:r>
      <w:r w:rsidR="005376E3" w:rsidRPr="003D3A3E">
        <w:rPr>
          <w:rFonts w:ascii="Arial" w:hAnsi="Arial" w:cs="Arial"/>
          <w:color w:val="000000"/>
          <w:sz w:val="22"/>
          <w:lang w:val="es-CO"/>
        </w:rPr>
        <w:t>115</w:t>
      </w:r>
      <w:r w:rsidR="005376E3">
        <w:rPr>
          <w:rFonts w:ascii="Arial" w:hAnsi="Arial" w:cs="Arial"/>
          <w:color w:val="000000"/>
          <w:sz w:val="22"/>
          <w:lang w:val="es-CO"/>
        </w:rPr>
        <w:t xml:space="preserve"> de 24 de marzo de 2020</w:t>
      </w:r>
      <w:r w:rsidR="005376E3" w:rsidRPr="003D3A3E">
        <w:rPr>
          <w:rFonts w:ascii="Arial" w:hAnsi="Arial" w:cs="Arial"/>
          <w:color w:val="000000"/>
          <w:sz w:val="22"/>
          <w:lang w:val="es-CO"/>
        </w:rPr>
        <w:t>, , C</w:t>
      </w:r>
      <w:r w:rsidR="005376E3">
        <w:rPr>
          <w:rFonts w:ascii="Arial" w:hAnsi="Arial" w:cs="Arial"/>
          <w:color w:val="000000"/>
          <w:sz w:val="22"/>
          <w:lang w:val="es-CO"/>
        </w:rPr>
        <w:t xml:space="preserve"> – </w:t>
      </w:r>
      <w:r w:rsidR="005376E3" w:rsidRPr="003D3A3E">
        <w:rPr>
          <w:rFonts w:ascii="Arial" w:hAnsi="Arial" w:cs="Arial"/>
          <w:color w:val="000000"/>
          <w:sz w:val="22"/>
          <w:lang w:val="es-CO"/>
        </w:rPr>
        <w:t>149</w:t>
      </w:r>
      <w:r w:rsidR="005376E3">
        <w:rPr>
          <w:rFonts w:ascii="Arial" w:hAnsi="Arial" w:cs="Arial"/>
          <w:color w:val="000000"/>
          <w:sz w:val="22"/>
          <w:lang w:val="es-CO"/>
        </w:rPr>
        <w:t xml:space="preserve"> de 24 de marzo de 2020</w:t>
      </w:r>
      <w:r w:rsidR="005376E3" w:rsidRPr="003D3A3E">
        <w:rPr>
          <w:rFonts w:ascii="Arial" w:hAnsi="Arial" w:cs="Arial"/>
          <w:color w:val="000000"/>
          <w:sz w:val="22"/>
          <w:lang w:val="es-CO"/>
        </w:rPr>
        <w:t>,</w:t>
      </w:r>
      <w:r w:rsidR="005376E3">
        <w:rPr>
          <w:rFonts w:ascii="Arial" w:hAnsi="Arial" w:cs="Arial"/>
          <w:color w:val="000000"/>
          <w:sz w:val="22"/>
          <w:lang w:val="es-CO"/>
        </w:rPr>
        <w:t xml:space="preserve"> </w:t>
      </w:r>
      <w:r w:rsidR="005376E3" w:rsidRPr="003D3A3E">
        <w:rPr>
          <w:rFonts w:ascii="Arial" w:hAnsi="Arial" w:cs="Arial"/>
          <w:color w:val="000000"/>
          <w:sz w:val="22"/>
          <w:lang w:val="es-CO"/>
        </w:rPr>
        <w:t>C</w:t>
      </w:r>
      <w:r w:rsidR="005376E3">
        <w:rPr>
          <w:rFonts w:ascii="Arial" w:hAnsi="Arial" w:cs="Arial"/>
          <w:color w:val="000000"/>
          <w:sz w:val="22"/>
          <w:lang w:val="es-CO"/>
        </w:rPr>
        <w:t xml:space="preserve"> – </w:t>
      </w:r>
      <w:r w:rsidR="005376E3" w:rsidRPr="003D3A3E">
        <w:rPr>
          <w:rFonts w:ascii="Arial" w:hAnsi="Arial" w:cs="Arial"/>
          <w:color w:val="000000"/>
          <w:sz w:val="22"/>
          <w:lang w:val="es-CO"/>
        </w:rPr>
        <w:t>197</w:t>
      </w:r>
      <w:r w:rsidR="005376E3">
        <w:rPr>
          <w:rFonts w:ascii="Arial" w:hAnsi="Arial" w:cs="Arial"/>
          <w:color w:val="000000"/>
          <w:sz w:val="22"/>
          <w:lang w:val="es-CO"/>
        </w:rPr>
        <w:t xml:space="preserve"> de 26 de marzo de 2020,</w:t>
      </w:r>
      <w:r w:rsidR="005376E3" w:rsidRPr="003D3A3E">
        <w:rPr>
          <w:rFonts w:ascii="Arial" w:hAnsi="Arial" w:cs="Arial"/>
          <w:color w:val="000000"/>
          <w:sz w:val="22"/>
          <w:lang w:val="es-CO"/>
        </w:rPr>
        <w:t xml:space="preserve"> C</w:t>
      </w:r>
      <w:r w:rsidR="005376E3">
        <w:rPr>
          <w:rFonts w:ascii="Arial" w:hAnsi="Arial" w:cs="Arial"/>
          <w:color w:val="000000"/>
          <w:sz w:val="22"/>
          <w:lang w:val="es-CO"/>
        </w:rPr>
        <w:t xml:space="preserve"> – </w:t>
      </w:r>
      <w:r w:rsidR="005376E3" w:rsidRPr="003D3A3E">
        <w:rPr>
          <w:rFonts w:ascii="Arial" w:hAnsi="Arial" w:cs="Arial"/>
          <w:color w:val="000000"/>
          <w:sz w:val="22"/>
          <w:lang w:val="es-CO"/>
        </w:rPr>
        <w:t>151</w:t>
      </w:r>
      <w:r w:rsidR="005376E3">
        <w:rPr>
          <w:rFonts w:ascii="Arial" w:hAnsi="Arial" w:cs="Arial"/>
          <w:color w:val="000000"/>
          <w:sz w:val="22"/>
          <w:lang w:val="es-CO"/>
        </w:rPr>
        <w:t xml:space="preserve"> de 29 de marzo de 2020</w:t>
      </w:r>
      <w:r w:rsidR="005376E3" w:rsidRPr="003D3A3E">
        <w:rPr>
          <w:rFonts w:ascii="Arial" w:hAnsi="Arial" w:cs="Arial"/>
          <w:color w:val="000000"/>
          <w:sz w:val="22"/>
          <w:lang w:val="es-CO"/>
        </w:rPr>
        <w:t>, C</w:t>
      </w:r>
      <w:r w:rsidR="005376E3">
        <w:rPr>
          <w:rFonts w:ascii="Arial" w:hAnsi="Arial" w:cs="Arial"/>
          <w:color w:val="000000"/>
          <w:sz w:val="22"/>
          <w:lang w:val="es-CO"/>
        </w:rPr>
        <w:t xml:space="preserve"> – </w:t>
      </w:r>
      <w:r w:rsidR="005376E3" w:rsidRPr="003D3A3E">
        <w:rPr>
          <w:rFonts w:ascii="Arial" w:hAnsi="Arial" w:cs="Arial"/>
          <w:color w:val="000000"/>
          <w:sz w:val="22"/>
          <w:lang w:val="es-CO"/>
        </w:rPr>
        <w:t>206</w:t>
      </w:r>
      <w:r w:rsidR="005376E3">
        <w:rPr>
          <w:rFonts w:ascii="Arial" w:hAnsi="Arial" w:cs="Arial"/>
          <w:color w:val="000000"/>
          <w:sz w:val="22"/>
          <w:lang w:val="es-CO"/>
        </w:rPr>
        <w:t xml:space="preserve"> de 29 de marzo de 2020, </w:t>
      </w:r>
      <w:r w:rsidR="005376E3" w:rsidRPr="003D3A3E">
        <w:rPr>
          <w:rFonts w:ascii="Arial" w:hAnsi="Arial" w:cs="Arial"/>
          <w:color w:val="000000"/>
          <w:sz w:val="22"/>
          <w:lang w:val="es-CO"/>
        </w:rPr>
        <w:t>C</w:t>
      </w:r>
      <w:r w:rsidR="005376E3">
        <w:rPr>
          <w:rFonts w:ascii="Arial" w:hAnsi="Arial" w:cs="Arial"/>
          <w:color w:val="000000"/>
          <w:sz w:val="22"/>
          <w:lang w:val="es-CO"/>
        </w:rPr>
        <w:t xml:space="preserve"> – </w:t>
      </w:r>
      <w:r w:rsidR="005376E3" w:rsidRPr="003D3A3E">
        <w:rPr>
          <w:rFonts w:ascii="Arial" w:hAnsi="Arial" w:cs="Arial"/>
          <w:color w:val="000000"/>
          <w:sz w:val="22"/>
          <w:lang w:val="es-CO"/>
        </w:rPr>
        <w:t>170</w:t>
      </w:r>
      <w:r w:rsidR="005376E3">
        <w:rPr>
          <w:rFonts w:ascii="Arial" w:hAnsi="Arial" w:cs="Arial"/>
          <w:color w:val="000000"/>
          <w:sz w:val="22"/>
          <w:lang w:val="es-CO"/>
        </w:rPr>
        <w:t xml:space="preserve"> de 6 de abril de 2020</w:t>
      </w:r>
      <w:r w:rsidR="005376E3" w:rsidRPr="003D3A3E">
        <w:rPr>
          <w:rFonts w:ascii="Arial" w:hAnsi="Arial" w:cs="Arial"/>
          <w:color w:val="000000"/>
          <w:sz w:val="22"/>
          <w:lang w:val="es-CO"/>
        </w:rPr>
        <w:t>, C</w:t>
      </w:r>
      <w:r w:rsidR="005376E3">
        <w:rPr>
          <w:rFonts w:ascii="Arial" w:hAnsi="Arial" w:cs="Arial"/>
          <w:color w:val="000000"/>
          <w:sz w:val="22"/>
          <w:lang w:val="es-CO"/>
        </w:rPr>
        <w:t xml:space="preserve"> – </w:t>
      </w:r>
      <w:r w:rsidR="005376E3" w:rsidRPr="003D3A3E">
        <w:rPr>
          <w:rFonts w:ascii="Arial" w:hAnsi="Arial" w:cs="Arial"/>
          <w:color w:val="000000"/>
          <w:sz w:val="22"/>
          <w:lang w:val="es-CO"/>
        </w:rPr>
        <w:t>171</w:t>
      </w:r>
      <w:r w:rsidR="005376E3">
        <w:rPr>
          <w:rFonts w:ascii="Arial" w:hAnsi="Arial" w:cs="Arial"/>
          <w:color w:val="000000"/>
          <w:sz w:val="22"/>
          <w:lang w:val="es-CO"/>
        </w:rPr>
        <w:t xml:space="preserve"> del 7 de abril de 2020, C – 264 del 7 de abril de 2020, </w:t>
      </w:r>
      <w:r w:rsidR="003D3A3E">
        <w:rPr>
          <w:rFonts w:ascii="Arial" w:hAnsi="Arial" w:cs="Arial"/>
          <w:color w:val="000000"/>
          <w:sz w:val="22"/>
          <w:lang w:val="es-CO"/>
        </w:rPr>
        <w:t>C</w:t>
      </w:r>
      <w:r w:rsidR="005376E3">
        <w:rPr>
          <w:rFonts w:ascii="Arial" w:hAnsi="Arial" w:cs="Arial"/>
          <w:color w:val="000000"/>
          <w:sz w:val="22"/>
          <w:lang w:val="es-CO"/>
        </w:rPr>
        <w:t xml:space="preserve"> –</w:t>
      </w:r>
      <w:r w:rsidR="003D3A3E">
        <w:rPr>
          <w:rFonts w:ascii="Arial" w:hAnsi="Arial" w:cs="Arial"/>
          <w:color w:val="000000"/>
          <w:sz w:val="22"/>
          <w:lang w:val="es-CO"/>
        </w:rPr>
        <w:t xml:space="preserve"> 011</w:t>
      </w:r>
      <w:r w:rsidR="004B4AF2">
        <w:rPr>
          <w:rFonts w:ascii="Arial" w:hAnsi="Arial" w:cs="Arial"/>
          <w:color w:val="000000"/>
          <w:sz w:val="22"/>
          <w:lang w:val="es-CO"/>
        </w:rPr>
        <w:t xml:space="preserve"> del 27 de abril de 2020</w:t>
      </w:r>
      <w:r w:rsidR="003D3A3E">
        <w:rPr>
          <w:rFonts w:ascii="Arial" w:hAnsi="Arial" w:cs="Arial"/>
          <w:color w:val="000000"/>
          <w:sz w:val="22"/>
          <w:lang w:val="es-CO"/>
        </w:rPr>
        <w:t xml:space="preserve">, </w:t>
      </w:r>
      <w:r w:rsidR="004B4AF2">
        <w:rPr>
          <w:rFonts w:ascii="Arial" w:hAnsi="Arial" w:cs="Arial"/>
          <w:color w:val="000000"/>
          <w:sz w:val="22"/>
          <w:lang w:val="es-CO"/>
        </w:rPr>
        <w:t>C</w:t>
      </w:r>
      <w:r w:rsidR="005376E3">
        <w:rPr>
          <w:rFonts w:ascii="Arial" w:hAnsi="Arial" w:cs="Arial"/>
          <w:color w:val="000000"/>
          <w:sz w:val="22"/>
          <w:lang w:val="es-CO"/>
        </w:rPr>
        <w:t xml:space="preserve"> – </w:t>
      </w:r>
      <w:r w:rsidR="004B4AF2">
        <w:rPr>
          <w:rFonts w:ascii="Arial" w:hAnsi="Arial" w:cs="Arial"/>
          <w:color w:val="000000"/>
          <w:sz w:val="22"/>
          <w:lang w:val="es-CO"/>
        </w:rPr>
        <w:t>232 del 24 de junio de 2020,  y C</w:t>
      </w:r>
      <w:r w:rsidR="005376E3">
        <w:rPr>
          <w:rFonts w:ascii="Arial" w:hAnsi="Arial" w:cs="Arial"/>
          <w:color w:val="000000"/>
          <w:sz w:val="22"/>
          <w:lang w:val="es-CO"/>
        </w:rPr>
        <w:t xml:space="preserve"> – </w:t>
      </w:r>
      <w:r w:rsidR="004B4AF2">
        <w:rPr>
          <w:rFonts w:ascii="Arial" w:hAnsi="Arial" w:cs="Arial"/>
          <w:color w:val="000000"/>
          <w:sz w:val="22"/>
          <w:lang w:val="es-CO"/>
        </w:rPr>
        <w:t>367 de 23 de julio de 2020.</w:t>
      </w:r>
      <w:r w:rsidR="00885365" w:rsidRPr="00885365">
        <w:rPr>
          <w:rFonts w:ascii="Arial" w:eastAsia="Calibri" w:hAnsi="Arial" w:cs="Arial"/>
          <w:bCs/>
          <w:color w:val="000000"/>
          <w:sz w:val="22"/>
          <w:lang w:val="es-CO"/>
        </w:rPr>
        <w:t xml:space="preserve"> </w:t>
      </w:r>
      <w:r w:rsidR="00885365" w:rsidRPr="003D3A3E">
        <w:rPr>
          <w:rFonts w:ascii="Arial" w:eastAsia="Calibri" w:hAnsi="Arial" w:cs="Arial"/>
          <w:bCs/>
          <w:color w:val="000000"/>
          <w:sz w:val="22"/>
          <w:lang w:val="es-CO"/>
        </w:rPr>
        <w:t xml:space="preserve">Las tesis propuestas se exponen y reiteran en este </w:t>
      </w:r>
      <w:r w:rsidR="00885365">
        <w:rPr>
          <w:rFonts w:ascii="Arial" w:eastAsia="Calibri" w:hAnsi="Arial" w:cs="Arial"/>
          <w:bCs/>
          <w:color w:val="000000"/>
          <w:sz w:val="22"/>
          <w:lang w:val="es-CO"/>
        </w:rPr>
        <w:t>concepto</w:t>
      </w:r>
      <w:r w:rsidR="00885365" w:rsidRPr="003D3A3E">
        <w:rPr>
          <w:rFonts w:ascii="Arial" w:eastAsia="Calibri" w:hAnsi="Arial" w:cs="Arial"/>
          <w:bCs/>
          <w:color w:val="000000"/>
          <w:sz w:val="22"/>
          <w:lang w:val="es-CO"/>
        </w:rPr>
        <w:t>.</w:t>
      </w:r>
    </w:p>
    <w:p w14:paraId="7831D062" w14:textId="77777777" w:rsidR="003D3A3E" w:rsidRDefault="003D3A3E" w:rsidP="00885365">
      <w:pPr>
        <w:spacing w:line="276" w:lineRule="auto"/>
        <w:jc w:val="both"/>
        <w:rPr>
          <w:rFonts w:ascii="Arial" w:eastAsia="Calibri" w:hAnsi="Arial" w:cs="Arial"/>
          <w:color w:val="000000" w:themeColor="text1"/>
          <w:sz w:val="22"/>
        </w:rPr>
      </w:pPr>
    </w:p>
    <w:p w14:paraId="6F3452D2" w14:textId="39CC66DE" w:rsidR="00FD3922" w:rsidRDefault="003D3A3E" w:rsidP="003D3A3E">
      <w:pPr>
        <w:tabs>
          <w:tab w:val="left" w:pos="426"/>
        </w:tabs>
        <w:spacing w:line="276" w:lineRule="auto"/>
        <w:jc w:val="both"/>
        <w:rPr>
          <w:rFonts w:ascii="Arial" w:eastAsia="Calibri" w:hAnsi="Arial" w:cs="Arial"/>
          <w:b/>
          <w:color w:val="000000"/>
          <w:sz w:val="22"/>
          <w:lang w:val="es-CO"/>
        </w:rPr>
      </w:pPr>
      <w:r w:rsidRPr="003D3A3E">
        <w:rPr>
          <w:rFonts w:ascii="Arial" w:eastAsia="Calibri" w:hAnsi="Arial" w:cs="Arial"/>
          <w:b/>
          <w:color w:val="000000"/>
          <w:sz w:val="22"/>
          <w:lang w:val="es-CO"/>
        </w:rPr>
        <w:t>2.1. Publicidad de los contratos en el Sistema Electrónico de Contratación Pública –SECOP–</w:t>
      </w:r>
      <w:r w:rsidR="0039011F">
        <w:rPr>
          <w:rFonts w:ascii="Arial" w:eastAsia="Calibri" w:hAnsi="Arial" w:cs="Arial"/>
          <w:b/>
          <w:color w:val="000000"/>
          <w:sz w:val="22"/>
          <w:lang w:val="es-CO"/>
        </w:rPr>
        <w:t xml:space="preserve"> por parte de</w:t>
      </w:r>
      <w:r w:rsidR="00711265">
        <w:rPr>
          <w:rFonts w:ascii="Arial" w:eastAsia="Calibri" w:hAnsi="Arial" w:cs="Arial"/>
          <w:b/>
          <w:color w:val="000000"/>
          <w:sz w:val="22"/>
          <w:lang w:val="es-CO"/>
        </w:rPr>
        <w:t xml:space="preserve"> </w:t>
      </w:r>
      <w:r w:rsidR="0039011F">
        <w:rPr>
          <w:rFonts w:ascii="Arial" w:eastAsia="Calibri" w:hAnsi="Arial" w:cs="Arial"/>
          <w:b/>
          <w:color w:val="000000"/>
          <w:sz w:val="22"/>
          <w:lang w:val="es-CO"/>
        </w:rPr>
        <w:t>e</w:t>
      </w:r>
      <w:r w:rsidR="00711265">
        <w:rPr>
          <w:rFonts w:ascii="Arial" w:eastAsia="Calibri" w:hAnsi="Arial" w:cs="Arial"/>
          <w:b/>
          <w:color w:val="000000"/>
          <w:sz w:val="22"/>
          <w:lang w:val="es-CO"/>
        </w:rPr>
        <w:t xml:space="preserve">ntidades </w:t>
      </w:r>
      <w:r w:rsidR="0039011F">
        <w:rPr>
          <w:rFonts w:ascii="Arial" w:eastAsia="Calibri" w:hAnsi="Arial" w:cs="Arial"/>
          <w:b/>
          <w:color w:val="000000"/>
          <w:sz w:val="22"/>
          <w:lang w:val="es-CO"/>
        </w:rPr>
        <w:t xml:space="preserve">con </w:t>
      </w:r>
      <w:r w:rsidR="00711265">
        <w:rPr>
          <w:rFonts w:ascii="Arial" w:eastAsia="Calibri" w:hAnsi="Arial" w:cs="Arial"/>
          <w:b/>
          <w:color w:val="000000"/>
          <w:sz w:val="22"/>
          <w:lang w:val="es-CO"/>
        </w:rPr>
        <w:t>régimen especial</w:t>
      </w:r>
    </w:p>
    <w:p w14:paraId="2A363635" w14:textId="77777777" w:rsidR="00885365" w:rsidRPr="003D3A3E" w:rsidRDefault="00885365" w:rsidP="00885365">
      <w:pPr>
        <w:tabs>
          <w:tab w:val="left" w:pos="426"/>
        </w:tabs>
        <w:spacing w:line="276" w:lineRule="auto"/>
        <w:jc w:val="both"/>
        <w:rPr>
          <w:rFonts w:ascii="Arial" w:eastAsia="Calibri" w:hAnsi="Arial" w:cs="Arial"/>
          <w:b/>
          <w:color w:val="000000"/>
          <w:sz w:val="22"/>
          <w:lang w:val="es-CO"/>
        </w:rPr>
      </w:pPr>
    </w:p>
    <w:p w14:paraId="1488FEAE" w14:textId="352686A3" w:rsidR="003D3A3E" w:rsidRPr="003D3A3E" w:rsidRDefault="008E0A23" w:rsidP="00885365">
      <w:pPr>
        <w:spacing w:line="276" w:lineRule="auto"/>
        <w:jc w:val="both"/>
        <w:rPr>
          <w:rFonts w:ascii="Arial" w:eastAsia="Calibri" w:hAnsi="Arial" w:cs="Arial"/>
          <w:color w:val="000000"/>
          <w:sz w:val="22"/>
        </w:rPr>
      </w:pPr>
      <w:r>
        <w:rPr>
          <w:rFonts w:ascii="Arial" w:eastAsia="Calibri" w:hAnsi="Arial" w:cs="Arial"/>
          <w:color w:val="000000"/>
          <w:sz w:val="22"/>
        </w:rPr>
        <w:t>Para</w:t>
      </w:r>
      <w:r w:rsidR="003D3A3E" w:rsidRPr="003D3A3E">
        <w:rPr>
          <w:rFonts w:ascii="Arial" w:eastAsia="Calibri" w:hAnsi="Arial" w:cs="Arial"/>
          <w:color w:val="000000"/>
          <w:sz w:val="22"/>
        </w:rPr>
        <w:t xml:space="preserve"> la Corte Constitucional, el principio de publicidad es la garantía que tienen las personas de conocer las actuaciones judiciales y administrativas y con base en ese conocimiento tener la posibilidad de exigir que se surtan conforme a la ley: </w:t>
      </w:r>
    </w:p>
    <w:p w14:paraId="669F21F7" w14:textId="77777777" w:rsidR="003D3A3E" w:rsidRPr="003D3A3E" w:rsidRDefault="003D3A3E" w:rsidP="003D3A3E">
      <w:pPr>
        <w:ind w:firstLine="708"/>
        <w:jc w:val="both"/>
        <w:rPr>
          <w:rFonts w:ascii="Arial" w:eastAsia="Calibri" w:hAnsi="Arial" w:cs="Arial"/>
          <w:color w:val="000000"/>
          <w:sz w:val="22"/>
        </w:rPr>
      </w:pPr>
    </w:p>
    <w:p w14:paraId="01E6E8E3" w14:textId="77777777" w:rsidR="003D3A3E" w:rsidRPr="003D3A3E" w:rsidRDefault="003D3A3E" w:rsidP="003D3A3E">
      <w:pPr>
        <w:ind w:left="709" w:right="709"/>
        <w:jc w:val="both"/>
        <w:rPr>
          <w:rFonts w:ascii="Arial" w:eastAsia="Calibri" w:hAnsi="Arial" w:cs="Arial"/>
          <w:color w:val="000000"/>
          <w:sz w:val="21"/>
          <w:szCs w:val="21"/>
        </w:rPr>
      </w:pPr>
      <w:r w:rsidRPr="003D3A3E">
        <w:rPr>
          <w:rFonts w:ascii="Arial" w:eastAsia="Calibri" w:hAnsi="Arial" w:cs="Arial"/>
          <w:color w:val="000000"/>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280EC03" w14:textId="77777777" w:rsidR="003D3A3E" w:rsidRPr="003D3A3E" w:rsidRDefault="003D3A3E" w:rsidP="003D3A3E">
      <w:pPr>
        <w:ind w:left="709" w:right="709"/>
        <w:jc w:val="both"/>
        <w:rPr>
          <w:rFonts w:ascii="Arial" w:eastAsia="Calibri" w:hAnsi="Arial" w:cs="Arial"/>
          <w:color w:val="000000"/>
          <w:sz w:val="21"/>
          <w:szCs w:val="21"/>
        </w:rPr>
      </w:pPr>
    </w:p>
    <w:p w14:paraId="76EAF49F" w14:textId="77777777" w:rsidR="003D3A3E" w:rsidRPr="003D3A3E" w:rsidRDefault="003D3A3E" w:rsidP="003D3A3E">
      <w:pPr>
        <w:ind w:left="709" w:right="709"/>
        <w:jc w:val="both"/>
        <w:rPr>
          <w:rFonts w:ascii="Arial" w:eastAsia="Calibri" w:hAnsi="Arial" w:cs="Arial"/>
          <w:color w:val="000000"/>
          <w:sz w:val="21"/>
          <w:szCs w:val="21"/>
        </w:rPr>
      </w:pPr>
      <w:r w:rsidRPr="003D3A3E">
        <w:rPr>
          <w:rFonts w:ascii="Arial" w:eastAsia="Calibri" w:hAnsi="Arial" w:cs="Arial"/>
          <w:color w:val="000000"/>
          <w:sz w:val="21"/>
          <w:szCs w:val="21"/>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3D3A3E">
        <w:rPr>
          <w:rFonts w:ascii="Arial" w:eastAsia="Calibri" w:hAnsi="Arial" w:cs="Arial"/>
          <w:color w:val="000000"/>
          <w:sz w:val="21"/>
          <w:szCs w:val="21"/>
          <w:vertAlign w:val="superscript"/>
        </w:rPr>
        <w:footnoteReference w:id="2"/>
      </w:r>
      <w:r w:rsidRPr="003D3A3E">
        <w:rPr>
          <w:rFonts w:ascii="Arial" w:eastAsia="Calibri" w:hAnsi="Arial" w:cs="Arial"/>
          <w:color w:val="000000"/>
          <w:sz w:val="21"/>
          <w:szCs w:val="21"/>
        </w:rPr>
        <w:t>.</w:t>
      </w:r>
    </w:p>
    <w:p w14:paraId="2EB77E2F" w14:textId="77777777" w:rsidR="003D3A3E" w:rsidRPr="003D3A3E" w:rsidRDefault="003D3A3E" w:rsidP="003D3A3E">
      <w:pPr>
        <w:ind w:firstLine="708"/>
        <w:jc w:val="both"/>
        <w:rPr>
          <w:rFonts w:ascii="Arial" w:eastAsia="Calibri" w:hAnsi="Arial" w:cs="Arial"/>
          <w:color w:val="000000"/>
          <w:sz w:val="21"/>
          <w:szCs w:val="21"/>
        </w:rPr>
      </w:pPr>
    </w:p>
    <w:p w14:paraId="5070A5D1" w14:textId="77777777" w:rsidR="003D3A3E" w:rsidRPr="003D3A3E" w:rsidRDefault="003D3A3E" w:rsidP="0016208C">
      <w:pPr>
        <w:spacing w:after="120" w:line="276" w:lineRule="auto"/>
        <w:ind w:firstLine="708"/>
        <w:jc w:val="both"/>
        <w:rPr>
          <w:rFonts w:ascii="Arial" w:eastAsia="Calibri" w:hAnsi="Arial" w:cs="Arial"/>
          <w:color w:val="000000"/>
          <w:sz w:val="22"/>
        </w:rPr>
      </w:pPr>
      <w:r w:rsidRPr="003D3A3E">
        <w:rPr>
          <w:rFonts w:ascii="Arial" w:eastAsia="Calibri" w:hAnsi="Arial" w:cs="Arial"/>
          <w:color w:val="000000"/>
          <w:sz w:val="22"/>
        </w:rPr>
        <w:t xml:space="preserve">El mencionado principio impone a las autoridades administrativas el deber de dar a conocer sus actos, contratos y decisiones, para que se divulguen y eventualmente se controlen las actuaciones. </w:t>
      </w:r>
    </w:p>
    <w:p w14:paraId="0C962D7A" w14:textId="77777777" w:rsidR="003D3A3E" w:rsidRPr="003D3A3E" w:rsidRDefault="003D3A3E" w:rsidP="00885365">
      <w:pPr>
        <w:spacing w:after="120" w:line="276" w:lineRule="auto"/>
        <w:ind w:firstLine="709"/>
        <w:jc w:val="both"/>
        <w:rPr>
          <w:rFonts w:ascii="Arial" w:eastAsia="Calibri" w:hAnsi="Arial" w:cs="Arial"/>
          <w:color w:val="000000"/>
          <w:sz w:val="22"/>
        </w:rPr>
      </w:pPr>
      <w:r w:rsidRPr="003D3A3E">
        <w:rPr>
          <w:rFonts w:ascii="Arial" w:eastAsia="Calibri" w:hAnsi="Arial" w:cs="Arial"/>
          <w:color w:val="000000"/>
          <w:sz w:val="22"/>
        </w:rPr>
        <w:t>Ahora bien, en relación con la contratación estatal, el literal c) del artículo 3 de la Ley 1150 de 2007 establece que la herramienta para tales fines es el Sistema Electrónico para la Contratación Pública «SECOP», que, según dicha norma, «contará con la información oficial de la contratación realizada con dineros públicos, para lo cual establecerá los patrones a que haya lugar y se encargará de su difusión a través de canales electrónicos»</w:t>
      </w:r>
      <w:r w:rsidRPr="003D3A3E">
        <w:rPr>
          <w:rFonts w:ascii="Arial" w:eastAsia="Calibri" w:hAnsi="Arial" w:cs="Arial"/>
          <w:color w:val="000000"/>
          <w:sz w:val="22"/>
          <w:vertAlign w:val="superscript"/>
        </w:rPr>
        <w:footnoteReference w:id="3"/>
      </w:r>
      <w:r w:rsidRPr="003D3A3E">
        <w:rPr>
          <w:rFonts w:ascii="Arial" w:eastAsia="Calibri" w:hAnsi="Arial" w:cs="Arial"/>
          <w:color w:val="000000"/>
          <w:sz w:val="22"/>
        </w:rPr>
        <w:t xml:space="preserve">. </w:t>
      </w:r>
    </w:p>
    <w:p w14:paraId="1B67A8FE" w14:textId="00D33355" w:rsidR="0016208C" w:rsidRPr="00C534BB" w:rsidRDefault="003D3A3E" w:rsidP="00C534BB">
      <w:pPr>
        <w:spacing w:line="276" w:lineRule="auto"/>
        <w:ind w:firstLine="709"/>
        <w:jc w:val="both"/>
        <w:rPr>
          <w:rFonts w:ascii="Arial" w:eastAsia="Calibri" w:hAnsi="Arial" w:cs="Arial"/>
          <w:color w:val="000000"/>
          <w:sz w:val="22"/>
        </w:rPr>
      </w:pPr>
      <w:r w:rsidRPr="003D3A3E">
        <w:rPr>
          <w:rFonts w:ascii="Arial" w:eastAsia="Calibri" w:hAnsi="Arial" w:cs="Arial"/>
          <w:color w:val="000000"/>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3D3A3E">
        <w:rPr>
          <w:rFonts w:ascii="Arial" w:eastAsia="Calibri" w:hAnsi="Arial" w:cs="Arial"/>
          <w:color w:val="000000"/>
          <w:sz w:val="22"/>
          <w:vertAlign w:val="superscript"/>
        </w:rPr>
        <w:footnoteReference w:id="4"/>
      </w:r>
      <w:r w:rsidRPr="003D3A3E">
        <w:rPr>
          <w:rFonts w:ascii="Arial" w:eastAsia="Calibri" w:hAnsi="Arial" w:cs="Arial"/>
          <w:color w:val="000000"/>
          <w:sz w:val="22"/>
        </w:rPr>
        <w:t>. El principio de transparencia en la información alude al deber de los sujetos de proporcionar y facilitar el acceso a la misma en los términos más amplios posibles, y a través de los medios y procedimientos que establezca la ley.</w:t>
      </w:r>
      <w:r w:rsidR="00F444C7">
        <w:rPr>
          <w:rFonts w:ascii="Arial" w:eastAsia="Calibri" w:hAnsi="Arial" w:cs="Arial"/>
          <w:color w:val="000000"/>
          <w:sz w:val="22"/>
        </w:rPr>
        <w:t xml:space="preserve"> El artículo 5 de la Ley 1512 de 2014 dispone: </w:t>
      </w:r>
    </w:p>
    <w:p w14:paraId="56F12C92" w14:textId="77777777" w:rsidR="00C534BB" w:rsidRDefault="00C534BB" w:rsidP="00F444C7">
      <w:pPr>
        <w:tabs>
          <w:tab w:val="left" w:pos="851"/>
        </w:tabs>
        <w:spacing w:after="120"/>
        <w:ind w:left="709" w:right="709"/>
        <w:jc w:val="both"/>
        <w:rPr>
          <w:rFonts w:ascii="Arial" w:eastAsia="Calibri" w:hAnsi="Arial" w:cs="Arial"/>
          <w:color w:val="000000" w:themeColor="text1"/>
          <w:sz w:val="21"/>
          <w:szCs w:val="21"/>
          <w:lang w:val="es-ES"/>
        </w:rPr>
      </w:pPr>
    </w:p>
    <w:p w14:paraId="29DFF27E" w14:textId="4164E6A5" w:rsidR="00F444C7" w:rsidRPr="00E80252" w:rsidRDefault="00F444C7" w:rsidP="00F444C7">
      <w:pPr>
        <w:tabs>
          <w:tab w:val="left" w:pos="851"/>
        </w:tabs>
        <w:spacing w:after="120"/>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Artículo 5. </w:t>
      </w:r>
      <w:r w:rsidRPr="00E80252">
        <w:rPr>
          <w:rFonts w:ascii="Arial" w:eastAsia="Calibri" w:hAnsi="Arial" w:cs="Arial"/>
          <w:color w:val="000000" w:themeColor="text1"/>
          <w:sz w:val="21"/>
          <w:szCs w:val="21"/>
          <w:lang w:val="es-ES"/>
        </w:rPr>
        <w:t>Las disposiciones de esta ley serán aplicables a las siguientes personas en calidad de sujetos obligados:</w:t>
      </w:r>
    </w:p>
    <w:p w14:paraId="0F669E93" w14:textId="77777777" w:rsidR="00F444C7" w:rsidRPr="00E80252" w:rsidRDefault="00F444C7" w:rsidP="00F444C7">
      <w:pPr>
        <w:tabs>
          <w:tab w:val="left" w:pos="851"/>
        </w:tabs>
        <w:ind w:left="709" w:right="709"/>
        <w:jc w:val="both"/>
        <w:rPr>
          <w:rFonts w:ascii="Arial" w:eastAsia="Calibri" w:hAnsi="Arial" w:cs="Arial"/>
          <w:color w:val="000000" w:themeColor="text1"/>
          <w:sz w:val="21"/>
          <w:szCs w:val="21"/>
          <w:lang w:val="es-ES"/>
        </w:rPr>
      </w:pPr>
      <w:r w:rsidRPr="00E80252">
        <w:rPr>
          <w:rFonts w:ascii="Arial" w:eastAsia="Calibri" w:hAnsi="Arial" w:cs="Arial"/>
          <w:color w:val="000000" w:themeColor="text1"/>
          <w:sz w:val="21"/>
          <w:szCs w:val="21"/>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6EDE15DC" w14:textId="77777777" w:rsidR="00F444C7" w:rsidRPr="00E80252" w:rsidRDefault="00F444C7" w:rsidP="00F444C7">
      <w:pPr>
        <w:tabs>
          <w:tab w:val="left" w:pos="851"/>
        </w:tabs>
        <w:spacing w:after="120"/>
        <w:ind w:left="709" w:right="709"/>
        <w:jc w:val="both"/>
        <w:rPr>
          <w:rFonts w:ascii="Arial" w:eastAsia="Calibri" w:hAnsi="Arial" w:cs="Arial"/>
          <w:color w:val="000000" w:themeColor="text1"/>
          <w:sz w:val="21"/>
          <w:szCs w:val="21"/>
          <w:lang w:val="es-ES"/>
        </w:rPr>
      </w:pPr>
      <w:r w:rsidRPr="00E80252">
        <w:rPr>
          <w:rFonts w:ascii="Arial" w:eastAsia="Calibri" w:hAnsi="Arial" w:cs="Arial"/>
          <w:color w:val="000000" w:themeColor="text1"/>
          <w:sz w:val="21"/>
          <w:szCs w:val="21"/>
          <w:lang w:val="es-ES"/>
        </w:rPr>
        <w:t>[…]</w:t>
      </w:r>
    </w:p>
    <w:p w14:paraId="58F99C6B" w14:textId="77777777" w:rsidR="00F444C7" w:rsidRPr="00E80252" w:rsidRDefault="00F444C7" w:rsidP="00F444C7">
      <w:pPr>
        <w:tabs>
          <w:tab w:val="left" w:pos="851"/>
        </w:tabs>
        <w:ind w:left="709" w:right="709"/>
        <w:jc w:val="both"/>
        <w:rPr>
          <w:rFonts w:ascii="Arial" w:eastAsia="Calibri" w:hAnsi="Arial" w:cs="Arial"/>
          <w:color w:val="000000" w:themeColor="text1"/>
          <w:sz w:val="21"/>
          <w:szCs w:val="21"/>
          <w:lang w:val="es-ES"/>
        </w:rPr>
      </w:pPr>
      <w:r w:rsidRPr="00E80252">
        <w:rPr>
          <w:rFonts w:ascii="Arial" w:eastAsia="Calibri" w:hAnsi="Arial" w:cs="Arial"/>
          <w:color w:val="000000" w:themeColor="text1"/>
          <w:sz w:val="21"/>
          <w:szCs w:val="21"/>
          <w:lang w:val="es-ES"/>
        </w:rPr>
        <w:t>e) Las empresas públicas creadas por ley, las empresas del Estado y sociedades en que este tenga participación.</w:t>
      </w:r>
    </w:p>
    <w:p w14:paraId="7AF2ACAE" w14:textId="77777777" w:rsidR="00F444C7" w:rsidRPr="00406E40" w:rsidRDefault="00F444C7" w:rsidP="00F444C7">
      <w:pPr>
        <w:tabs>
          <w:tab w:val="left" w:pos="426"/>
        </w:tabs>
        <w:spacing w:line="276" w:lineRule="auto"/>
        <w:ind w:right="758"/>
        <w:jc w:val="both"/>
        <w:rPr>
          <w:rFonts w:ascii="Arial" w:eastAsia="Calibri" w:hAnsi="Arial" w:cs="Arial"/>
          <w:color w:val="000000" w:themeColor="text1"/>
          <w:sz w:val="22"/>
          <w:lang w:val="es-ES"/>
        </w:rPr>
      </w:pPr>
    </w:p>
    <w:p w14:paraId="0F6101C4" w14:textId="3A7A08B3" w:rsidR="004B63AC" w:rsidRPr="004B63AC" w:rsidRDefault="00F444C7" w:rsidP="00C534BB">
      <w:pPr>
        <w:spacing w:after="120" w:line="276" w:lineRule="auto"/>
        <w:ind w:firstLine="709"/>
        <w:jc w:val="both"/>
        <w:rPr>
          <w:rFonts w:ascii="Arial" w:eastAsia="Calibri" w:hAnsi="Arial" w:cs="Arial"/>
          <w:bCs/>
          <w:color w:val="000000"/>
          <w:sz w:val="22"/>
          <w:lang w:val="es-CO"/>
        </w:rPr>
      </w:pPr>
      <w:r w:rsidRPr="0050010C">
        <w:rPr>
          <w:rFonts w:ascii="Arial" w:eastAsia="Calibri" w:hAnsi="Arial" w:cs="Arial"/>
          <w:sz w:val="22"/>
          <w:lang w:val="es-ES"/>
        </w:rPr>
        <w:t xml:space="preserve">Este precepto contiene una lista cuyo propósito es incluir a cualquier entidad, órgano, organismo, o persona natural que desempeñe función pública o </w:t>
      </w:r>
      <w:r w:rsidR="00570CFF">
        <w:rPr>
          <w:rFonts w:ascii="Arial" w:eastAsia="Calibri" w:hAnsi="Arial" w:cs="Arial"/>
          <w:sz w:val="22"/>
          <w:lang w:val="es-ES"/>
        </w:rPr>
        <w:t>actúe</w:t>
      </w:r>
      <w:r w:rsidR="00570CFF" w:rsidRPr="0050010C">
        <w:rPr>
          <w:rFonts w:ascii="Arial" w:eastAsia="Calibri" w:hAnsi="Arial" w:cs="Arial"/>
          <w:sz w:val="22"/>
          <w:lang w:val="es-ES"/>
        </w:rPr>
        <w:t xml:space="preserve"> </w:t>
      </w:r>
      <w:r w:rsidRPr="0050010C">
        <w:rPr>
          <w:rFonts w:ascii="Arial" w:eastAsia="Calibri" w:hAnsi="Arial" w:cs="Arial"/>
          <w:sz w:val="22"/>
          <w:lang w:val="es-ES"/>
        </w:rPr>
        <w:t xml:space="preserve">como autoridad. El literal a) estableció que son sujetos obligados «toda entidad pública, incluyendo las pertenecientes a todas las Ramas del Poder Público». </w:t>
      </w:r>
      <w:r w:rsidR="004B63AC">
        <w:rPr>
          <w:rFonts w:ascii="Arial" w:eastAsia="Calibri" w:hAnsi="Arial" w:cs="Arial"/>
          <w:bCs/>
          <w:color w:val="000000"/>
          <w:sz w:val="22"/>
          <w:lang w:val="es-CO"/>
        </w:rPr>
        <w:t>A</w:t>
      </w:r>
      <w:r w:rsidR="004B63AC" w:rsidRPr="003D3A3E">
        <w:rPr>
          <w:rFonts w:ascii="Arial" w:eastAsia="Calibri" w:hAnsi="Arial" w:cs="Arial"/>
          <w:bCs/>
          <w:color w:val="000000"/>
          <w:sz w:val="22"/>
          <w:lang w:val="es-CO"/>
        </w:rPr>
        <w:t xml:space="preserve">l ser </w:t>
      </w:r>
      <w:r w:rsidR="004B63AC">
        <w:rPr>
          <w:rFonts w:ascii="Arial" w:eastAsia="Calibri" w:hAnsi="Arial" w:cs="Arial"/>
          <w:bCs/>
          <w:color w:val="000000"/>
          <w:sz w:val="22"/>
          <w:lang w:val="es-CO"/>
        </w:rPr>
        <w:t xml:space="preserve">las sociedades de economía mixta </w:t>
      </w:r>
      <w:r w:rsidR="004B63AC" w:rsidRPr="003D3A3E">
        <w:rPr>
          <w:rFonts w:ascii="Arial" w:eastAsia="Calibri" w:hAnsi="Arial" w:cs="Arial"/>
          <w:bCs/>
          <w:color w:val="000000"/>
          <w:sz w:val="22"/>
          <w:lang w:val="es-CO"/>
        </w:rPr>
        <w:t xml:space="preserve">una entidad pública que hace parte de la rama ejecutiva–según lo dispone el artículo 38, numeral 2º, literal f) de la Ley 489 de 1998–, </w:t>
      </w:r>
      <w:r w:rsidR="004B63AC">
        <w:rPr>
          <w:rFonts w:ascii="Arial" w:eastAsia="Calibri" w:hAnsi="Arial" w:cs="Arial"/>
          <w:bCs/>
          <w:color w:val="000000"/>
          <w:sz w:val="22"/>
          <w:lang w:val="es-CO"/>
        </w:rPr>
        <w:t>se inscribe en</w:t>
      </w:r>
      <w:r w:rsidR="004B63AC" w:rsidRPr="003D3A3E">
        <w:rPr>
          <w:rFonts w:ascii="Arial" w:eastAsia="Calibri" w:hAnsi="Arial" w:cs="Arial"/>
          <w:bCs/>
          <w:color w:val="000000"/>
          <w:sz w:val="22"/>
          <w:lang w:val="es-CO"/>
        </w:rPr>
        <w:t xml:space="preserve"> la categoría de sujeto obligado prevista en el artículo 9 de la Ley 1712 de 2014 y en consecuencia debe publicar la información relativa a su contratación en el SECOP, pues  este es un deber de las entidades estatales que contratan con </w:t>
      </w:r>
      <w:r w:rsidR="004B63AC" w:rsidRPr="003D3A3E">
        <w:rPr>
          <w:rFonts w:ascii="Arial" w:eastAsia="Calibri" w:hAnsi="Arial" w:cs="Arial"/>
          <w:bCs/>
          <w:i/>
          <w:iCs/>
          <w:color w:val="000000"/>
          <w:sz w:val="22"/>
          <w:lang w:val="es-CO"/>
        </w:rPr>
        <w:t>recursos públicos</w:t>
      </w:r>
      <w:r w:rsidR="004B63AC" w:rsidRPr="003D3A3E">
        <w:rPr>
          <w:rFonts w:ascii="Arial" w:eastAsia="Calibri" w:hAnsi="Arial" w:cs="Arial"/>
          <w:bCs/>
          <w:color w:val="000000"/>
          <w:sz w:val="22"/>
          <w:lang w:val="es-CO"/>
        </w:rPr>
        <w:t>, independientemente del régimen jurídico aplicable a dicha actividad contractual» «cursivas propias».</w:t>
      </w:r>
    </w:p>
    <w:p w14:paraId="4AD77A0F" w14:textId="049CD340" w:rsidR="00F444C7" w:rsidRDefault="00F444C7" w:rsidP="00C534BB">
      <w:pPr>
        <w:tabs>
          <w:tab w:val="left" w:pos="426"/>
          <w:tab w:val="left" w:pos="8505"/>
        </w:tabs>
        <w:spacing w:after="120" w:line="276" w:lineRule="auto"/>
        <w:ind w:firstLine="709"/>
        <w:jc w:val="both"/>
        <w:rPr>
          <w:rFonts w:ascii="Arial" w:eastAsia="Calibri" w:hAnsi="Arial" w:cs="Arial"/>
          <w:sz w:val="22"/>
          <w:lang w:val="es-ES"/>
        </w:rPr>
      </w:pPr>
      <w:r w:rsidRPr="0050010C">
        <w:rPr>
          <w:rFonts w:ascii="Arial" w:eastAsia="Calibri" w:hAnsi="Arial" w:cs="Arial"/>
          <w:sz w:val="22"/>
          <w:lang w:val="es-ES"/>
        </w:rPr>
        <w:t xml:space="preserve"> De manera más clara, el literal e) señaló que las empresas públicas, del Estado y las sociedades en donde el Estado tenga participación son sujetos obligados. Como consecuencia, </w:t>
      </w:r>
      <w:r>
        <w:rPr>
          <w:rFonts w:ascii="Arial" w:eastAsia="Calibri" w:hAnsi="Arial" w:cs="Arial"/>
          <w:sz w:val="22"/>
          <w:lang w:val="es-ES"/>
        </w:rPr>
        <w:t xml:space="preserve">las Sociedades de Economía Mixta </w:t>
      </w:r>
      <w:r w:rsidRPr="0050010C">
        <w:rPr>
          <w:rFonts w:ascii="Arial" w:eastAsia="Calibri" w:hAnsi="Arial" w:cs="Arial"/>
          <w:sz w:val="22"/>
          <w:lang w:val="es-ES"/>
        </w:rPr>
        <w:t xml:space="preserve">son sujetos obligados para efectos de la Ley 1712 de 2014, pues son empresas en donde el Estado tiene participación. </w:t>
      </w:r>
    </w:p>
    <w:p w14:paraId="4B8AE0D4" w14:textId="475F47B4" w:rsidR="00F444C7" w:rsidRPr="002B6AEE" w:rsidRDefault="002B6AEE" w:rsidP="00C534BB">
      <w:pPr>
        <w:tabs>
          <w:tab w:val="left" w:pos="426"/>
          <w:tab w:val="left" w:pos="8505"/>
        </w:tabs>
        <w:spacing w:after="120" w:line="276" w:lineRule="auto"/>
        <w:ind w:firstLine="709"/>
        <w:jc w:val="both"/>
        <w:rPr>
          <w:rFonts w:ascii="Arial" w:eastAsia="Calibri" w:hAnsi="Arial" w:cs="Arial"/>
          <w:sz w:val="22"/>
          <w:lang w:val="es-ES"/>
        </w:rPr>
      </w:pPr>
      <w:r w:rsidRPr="0050010C">
        <w:rPr>
          <w:rFonts w:ascii="Arial" w:eastAsia="Calibri" w:hAnsi="Arial" w:cs="Arial"/>
          <w:sz w:val="22"/>
          <w:lang w:val="es-ES"/>
        </w:rPr>
        <w:t xml:space="preserve">Ahora bien, el literal e) del artículo 5 que se analiza fue declarado condicionalmente exequible, en sentencia C-274 de 2013, ya que «[…] la información solicitada puede referirse a la actividad propia, industrial o comercial, cuya divulgación facilitaría una ventaja competitiva a otras empresas privadas que operen en el mismo sector, en detrimento de la actividad que las primeras desarrollan». Por ello, el referido literal e) es constitucional «en el entendido de que las personas obligadas, en relación con su actividad propia, industrial o comercial, no están sujetas al deber de información, con respecto a dicha actividad». </w:t>
      </w:r>
      <w:r w:rsidR="002A1331" w:rsidRPr="002A1331">
        <w:rPr>
          <w:rFonts w:ascii="Arial" w:eastAsia="Calibri" w:hAnsi="Arial" w:cs="Arial"/>
          <w:sz w:val="22"/>
          <w:lang w:val="es-ES" w:eastAsia="en-GB"/>
        </w:rPr>
        <w:t>Lo anterior es congruente con otras normas del ordenamiento jurídico, como el artículo 18, literal c), de la Ley 1712 que establece como excepción al acceso a la información «c) Los secretos comerciales, industriales y profesionales»</w:t>
      </w:r>
      <w:r w:rsidR="002A1331">
        <w:rPr>
          <w:rFonts w:ascii="Arial" w:eastAsia="Calibri" w:hAnsi="Arial" w:cs="Arial"/>
          <w:sz w:val="22"/>
          <w:lang w:val="es-ES" w:eastAsia="en-GB"/>
        </w:rPr>
        <w:t xml:space="preserve"> y </w:t>
      </w:r>
      <w:r w:rsidR="002A1331" w:rsidRPr="002A1331">
        <w:rPr>
          <w:rFonts w:ascii="Arial" w:eastAsia="Calibri" w:hAnsi="Arial" w:cs="Arial"/>
          <w:sz w:val="22"/>
          <w:lang w:val="es-ES" w:eastAsia="en-GB"/>
        </w:rPr>
        <w:t xml:space="preserve">el numeral 6 del artículo 24 del Código de Procedimiento Administrativo y de lo Contencioso Administrativo </w:t>
      </w:r>
      <w:r w:rsidR="002A1331">
        <w:rPr>
          <w:rFonts w:ascii="Arial" w:eastAsia="Calibri" w:hAnsi="Arial" w:cs="Arial"/>
          <w:sz w:val="22"/>
          <w:lang w:val="es-ES" w:eastAsia="en-GB"/>
        </w:rPr>
        <w:t xml:space="preserve">que </w:t>
      </w:r>
      <w:r w:rsidR="002A1331" w:rsidRPr="002A1331">
        <w:rPr>
          <w:rFonts w:ascii="Arial" w:eastAsia="Calibri" w:hAnsi="Arial" w:cs="Arial"/>
          <w:sz w:val="22"/>
          <w:lang w:val="es-ES" w:eastAsia="en-GB"/>
        </w:rPr>
        <w:t xml:space="preserve">otorga carácter reservado a los documentos </w:t>
      </w:r>
      <w:bookmarkStart w:id="6" w:name="OLE_LINK1"/>
      <w:bookmarkStart w:id="7" w:name="OLE_LINK2"/>
      <w:r w:rsidR="002A1331" w:rsidRPr="002A1331">
        <w:rPr>
          <w:rFonts w:ascii="Arial" w:eastAsia="Calibri" w:hAnsi="Arial" w:cs="Arial"/>
          <w:sz w:val="22"/>
          <w:lang w:val="es-ES" w:eastAsia="en-GB"/>
        </w:rPr>
        <w:t>«[…] protegidos por el secreto comercial o industrial, así como los planes estratégicos de las empresas públicas de servicios públicos»</w:t>
      </w:r>
      <w:bookmarkEnd w:id="6"/>
      <w:bookmarkEnd w:id="7"/>
      <w:r w:rsidR="00EA6BC3" w:rsidRPr="00C534BB">
        <w:rPr>
          <w:rFonts w:ascii="Arial" w:eastAsia="Calibri" w:hAnsi="Arial" w:cs="Arial"/>
          <w:sz w:val="22"/>
          <w:lang w:val="es-ES" w:eastAsia="en-GB"/>
        </w:rPr>
        <w:t>.</w:t>
      </w:r>
    </w:p>
    <w:p w14:paraId="64801461" w14:textId="3AC08343" w:rsidR="003D3A3E" w:rsidRPr="003D3A3E" w:rsidRDefault="003D3A3E" w:rsidP="00C534BB">
      <w:pPr>
        <w:spacing w:after="120" w:line="276" w:lineRule="auto"/>
        <w:ind w:firstLine="709"/>
        <w:jc w:val="both"/>
        <w:rPr>
          <w:rFonts w:ascii="Arial" w:eastAsia="Calibri" w:hAnsi="Arial" w:cs="Arial"/>
          <w:color w:val="000000"/>
          <w:sz w:val="22"/>
        </w:rPr>
      </w:pPr>
      <w:r w:rsidRPr="003D3A3E">
        <w:rPr>
          <w:rFonts w:ascii="Arial" w:eastAsia="Calibri" w:hAnsi="Arial" w:cs="Arial"/>
          <w:color w:val="000000"/>
          <w:sz w:val="22"/>
        </w:rPr>
        <w:t xml:space="preserve">La ley </w:t>
      </w:r>
      <w:r w:rsidR="00EA6BC3">
        <w:rPr>
          <w:rFonts w:ascii="Arial" w:eastAsia="Calibri" w:hAnsi="Arial" w:cs="Arial"/>
          <w:color w:val="000000"/>
          <w:sz w:val="22"/>
        </w:rPr>
        <w:t>1712 de 2015</w:t>
      </w:r>
      <w:r w:rsidRPr="003D3A3E">
        <w:rPr>
          <w:rFonts w:ascii="Arial" w:eastAsia="Calibri" w:hAnsi="Arial" w:cs="Arial"/>
          <w:color w:val="000000"/>
          <w:sz w:val="22"/>
        </w:rPr>
        <w:t xml:space="preserve"> establece, en el literal e) del artículo 9, que los sujetos obligados deben publicar la información relativa a su contratación. Esta obligación fue desarrollada por el Decreto Único Reglamentario 1081 de 2015</w:t>
      </w:r>
      <w:r w:rsidRPr="003D3A3E">
        <w:rPr>
          <w:rFonts w:ascii="Arial" w:eastAsia="Calibri" w:hAnsi="Arial" w:cs="Arial"/>
          <w:color w:val="000000"/>
          <w:sz w:val="22"/>
          <w:vertAlign w:val="superscript"/>
        </w:rPr>
        <w:footnoteReference w:id="5"/>
      </w:r>
      <w:r w:rsidRPr="003D3A3E">
        <w:rPr>
          <w:rFonts w:ascii="Arial" w:eastAsia="Calibri" w:hAnsi="Arial" w:cs="Arial"/>
          <w:color w:val="000000"/>
          <w:sz w:val="22"/>
        </w:rPr>
        <w:t>, el cual dispuso que la publicación de la información contractual de los sujetos obligados, que contratan con cargo a recursos públicos, debe hacerse en el Sistema Electrónico de Contratación Pública ─ SECOP.</w:t>
      </w:r>
    </w:p>
    <w:p w14:paraId="209AC8A6" w14:textId="72B31805" w:rsidR="003D3A3E" w:rsidRDefault="003D3A3E" w:rsidP="00C534BB">
      <w:pPr>
        <w:spacing w:after="120" w:line="276" w:lineRule="auto"/>
        <w:ind w:firstLine="709"/>
        <w:jc w:val="both"/>
        <w:rPr>
          <w:rFonts w:ascii="Arial" w:eastAsia="Calibri" w:hAnsi="Arial" w:cs="Arial"/>
          <w:color w:val="000000"/>
          <w:sz w:val="22"/>
          <w:lang w:val="es-ES"/>
        </w:rPr>
      </w:pPr>
      <w:r w:rsidRPr="003D3A3E">
        <w:rPr>
          <w:rFonts w:ascii="Arial" w:eastAsia="Calibri" w:hAnsi="Arial" w:cs="Arial"/>
          <w:color w:val="000000"/>
          <w:sz w:val="22"/>
        </w:rPr>
        <w:t xml:space="preserve">Asimismo, de </w:t>
      </w:r>
      <w:r w:rsidRPr="003D3A3E">
        <w:rPr>
          <w:rFonts w:ascii="Arial" w:eastAsia="Calibri" w:hAnsi="Arial" w:cs="Arial"/>
          <w:color w:val="000000"/>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29580430" w14:textId="77777777" w:rsidR="008E0A23" w:rsidRPr="00954C16" w:rsidRDefault="008E0A23" w:rsidP="00C534BB">
      <w:pPr>
        <w:spacing w:after="120" w:line="276" w:lineRule="auto"/>
        <w:ind w:firstLine="709"/>
        <w:jc w:val="both"/>
        <w:rPr>
          <w:rFonts w:ascii="Arial" w:eastAsia="Calibri" w:hAnsi="Arial" w:cs="Arial"/>
          <w:sz w:val="22"/>
        </w:rPr>
      </w:pPr>
      <w:r w:rsidRPr="00954C16">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954C16">
        <w:rPr>
          <w:rStyle w:val="FootnoteReference"/>
          <w:rFonts w:ascii="Arial" w:eastAsia="Calibri" w:hAnsi="Arial" w:cs="Arial"/>
          <w:sz w:val="22"/>
        </w:rPr>
        <w:footnoteReference w:id="6"/>
      </w:r>
      <w:r w:rsidRPr="00954C16">
        <w:rPr>
          <w:rFonts w:ascii="Arial" w:eastAsia="Calibri" w:hAnsi="Arial" w:cs="Arial"/>
          <w:sz w:val="22"/>
        </w:rPr>
        <w:t>.</w:t>
      </w:r>
    </w:p>
    <w:p w14:paraId="30A56F51" w14:textId="2C60C696" w:rsidR="008E0A23" w:rsidRPr="00954C16" w:rsidRDefault="008E0A23" w:rsidP="00C534BB">
      <w:pPr>
        <w:spacing w:after="120" w:line="276" w:lineRule="auto"/>
        <w:ind w:firstLine="709"/>
        <w:jc w:val="both"/>
        <w:rPr>
          <w:rFonts w:ascii="Arial" w:hAnsi="Arial" w:cs="Arial"/>
          <w:sz w:val="22"/>
        </w:rPr>
      </w:pPr>
      <w:r w:rsidRPr="00954C16">
        <w:rPr>
          <w:rFonts w:ascii="Arial" w:hAnsi="Arial" w:cs="Arial"/>
          <w:sz w:val="22"/>
        </w:rPr>
        <w:t>Para el año 2013, la Agencia Nacional de Contratación Pública ─ Colombia Compra Eficiente, mediante la Circular Externa No 1 del 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954C16">
        <w:rPr>
          <w:rStyle w:val="FootnoteReference"/>
          <w:rFonts w:ascii="Arial" w:hAnsi="Arial" w:cs="Arial"/>
          <w:sz w:val="22"/>
        </w:rPr>
        <w:footnoteReference w:id="7"/>
      </w:r>
      <w:r w:rsidRPr="00954C16">
        <w:rPr>
          <w:rFonts w:ascii="Arial" w:hAnsi="Arial" w:cs="Arial"/>
          <w:sz w:val="22"/>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4F1FCBE8" w14:textId="50D46F2B" w:rsidR="008E0A23" w:rsidRPr="00954C16" w:rsidRDefault="008E0A23" w:rsidP="00C534BB">
      <w:pPr>
        <w:spacing w:line="276" w:lineRule="auto"/>
        <w:ind w:firstLine="709"/>
        <w:jc w:val="both"/>
        <w:rPr>
          <w:rFonts w:ascii="Arial" w:hAnsi="Arial" w:cs="Arial"/>
          <w:sz w:val="22"/>
        </w:rPr>
      </w:pPr>
      <w:r w:rsidRPr="00954C16">
        <w:rPr>
          <w:rFonts w:ascii="Arial" w:hAnsi="Arial" w:cs="Arial"/>
          <w:sz w:val="22"/>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1C2417D1" w14:textId="77777777" w:rsidR="00C534BB" w:rsidRDefault="00C534BB" w:rsidP="002B6AEE">
      <w:pPr>
        <w:tabs>
          <w:tab w:val="left" w:pos="3885"/>
        </w:tabs>
        <w:ind w:left="709" w:right="709"/>
        <w:jc w:val="both"/>
        <w:rPr>
          <w:rFonts w:ascii="Arial" w:hAnsi="Arial" w:cs="Arial"/>
          <w:sz w:val="21"/>
          <w:szCs w:val="21"/>
        </w:rPr>
      </w:pPr>
    </w:p>
    <w:p w14:paraId="11DE74CD" w14:textId="1EAE3496" w:rsidR="008E0A23" w:rsidRPr="00954C16" w:rsidRDefault="008E0A23" w:rsidP="002B6AEE">
      <w:pPr>
        <w:tabs>
          <w:tab w:val="left" w:pos="3885"/>
        </w:tabs>
        <w:ind w:left="709" w:right="709"/>
        <w:jc w:val="both"/>
        <w:rPr>
          <w:rFonts w:ascii="Arial" w:hAnsi="Arial" w:cs="Arial"/>
          <w:sz w:val="21"/>
          <w:szCs w:val="21"/>
        </w:rPr>
      </w:pPr>
      <w:r w:rsidRPr="00954C16">
        <w:rPr>
          <w:rFonts w:ascii="Arial" w:hAnsi="Arial" w:cs="Arial"/>
          <w:sz w:val="21"/>
          <w:szCs w:val="21"/>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1E339712" w14:textId="77777777" w:rsidR="008E0A23" w:rsidRPr="00954C16" w:rsidRDefault="008E0A23" w:rsidP="002B6AEE">
      <w:pPr>
        <w:tabs>
          <w:tab w:val="left" w:pos="3885"/>
        </w:tabs>
        <w:ind w:left="709" w:right="709"/>
        <w:jc w:val="both"/>
        <w:rPr>
          <w:rFonts w:ascii="Arial" w:hAnsi="Arial" w:cs="Arial"/>
          <w:sz w:val="21"/>
          <w:szCs w:val="21"/>
        </w:rPr>
      </w:pPr>
    </w:p>
    <w:p w14:paraId="3C3742AA" w14:textId="77777777" w:rsidR="008E0A23" w:rsidRPr="00954C16" w:rsidRDefault="008E0A23" w:rsidP="002B6AEE">
      <w:pPr>
        <w:tabs>
          <w:tab w:val="left" w:pos="3885"/>
        </w:tabs>
        <w:ind w:left="709" w:right="709"/>
        <w:jc w:val="both"/>
        <w:rPr>
          <w:rFonts w:ascii="Arial" w:hAnsi="Arial" w:cs="Arial"/>
          <w:sz w:val="21"/>
          <w:szCs w:val="21"/>
        </w:rPr>
      </w:pPr>
      <w:r w:rsidRPr="00954C16">
        <w:rPr>
          <w:rFonts w:ascii="Arial" w:hAnsi="Arial" w:cs="Arial"/>
          <w:sz w:val="21"/>
          <w:szCs w:val="21"/>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2F054548" w14:textId="77777777" w:rsidR="008E0A23" w:rsidRPr="00954C16" w:rsidRDefault="008E0A23" w:rsidP="002B6AEE">
      <w:pPr>
        <w:tabs>
          <w:tab w:val="left" w:pos="3885"/>
        </w:tabs>
        <w:ind w:left="709" w:right="709"/>
        <w:jc w:val="both"/>
        <w:rPr>
          <w:rFonts w:ascii="Arial" w:hAnsi="Arial" w:cs="Arial"/>
          <w:sz w:val="21"/>
          <w:szCs w:val="21"/>
        </w:rPr>
      </w:pPr>
      <w:r w:rsidRPr="00954C16">
        <w:rPr>
          <w:rFonts w:ascii="Arial" w:hAnsi="Arial" w:cs="Arial"/>
          <w:sz w:val="21"/>
          <w:szCs w:val="21"/>
        </w:rPr>
        <w:t>[…]</w:t>
      </w:r>
    </w:p>
    <w:p w14:paraId="783FA69B" w14:textId="77777777" w:rsidR="008E0A23" w:rsidRPr="00954C16" w:rsidRDefault="008E0A23" w:rsidP="002B6AEE">
      <w:pPr>
        <w:tabs>
          <w:tab w:val="left" w:pos="3885"/>
        </w:tabs>
        <w:ind w:left="709" w:right="709"/>
        <w:jc w:val="both"/>
        <w:rPr>
          <w:rFonts w:ascii="Arial" w:hAnsi="Arial" w:cs="Arial"/>
          <w:sz w:val="21"/>
          <w:szCs w:val="21"/>
        </w:rPr>
      </w:pPr>
    </w:p>
    <w:p w14:paraId="3CE78524" w14:textId="77777777" w:rsidR="008E0A23" w:rsidRPr="00954C16" w:rsidRDefault="008E0A23" w:rsidP="002B6AEE">
      <w:pPr>
        <w:tabs>
          <w:tab w:val="left" w:pos="3885"/>
        </w:tabs>
        <w:ind w:left="709" w:right="709"/>
        <w:jc w:val="both"/>
        <w:rPr>
          <w:rFonts w:ascii="Arial" w:hAnsi="Arial" w:cs="Arial"/>
          <w:sz w:val="21"/>
          <w:szCs w:val="21"/>
        </w:rPr>
      </w:pPr>
      <w:r w:rsidRPr="00954C16">
        <w:rPr>
          <w:rFonts w:ascii="Arial" w:hAnsi="Arial" w:cs="Arial"/>
          <w:sz w:val="21"/>
          <w:szCs w:val="21"/>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954C16">
        <w:rPr>
          <w:rStyle w:val="FootnoteReference"/>
          <w:rFonts w:ascii="Arial" w:hAnsi="Arial" w:cs="Arial"/>
          <w:sz w:val="21"/>
          <w:szCs w:val="21"/>
        </w:rPr>
        <w:footnoteReference w:id="8"/>
      </w:r>
      <w:r w:rsidRPr="00954C16">
        <w:rPr>
          <w:rStyle w:val="FootnoteReference"/>
          <w:rFonts w:ascii="Arial" w:hAnsi="Arial" w:cs="Arial"/>
          <w:sz w:val="21"/>
          <w:szCs w:val="21"/>
        </w:rPr>
        <w:t>.</w:t>
      </w:r>
    </w:p>
    <w:p w14:paraId="18EB813C" w14:textId="77777777" w:rsidR="008E0A23" w:rsidRPr="00954C16" w:rsidRDefault="008E0A23" w:rsidP="002B6AEE">
      <w:pPr>
        <w:tabs>
          <w:tab w:val="left" w:pos="3885"/>
        </w:tabs>
        <w:spacing w:line="276" w:lineRule="auto"/>
        <w:ind w:left="709" w:right="709"/>
        <w:jc w:val="both"/>
        <w:rPr>
          <w:rFonts w:ascii="Arial" w:eastAsia="Calibri" w:hAnsi="Arial" w:cs="Arial"/>
          <w:sz w:val="22"/>
        </w:rPr>
      </w:pPr>
    </w:p>
    <w:p w14:paraId="1DC99565" w14:textId="77777777" w:rsidR="008E0A23" w:rsidRPr="00954C16" w:rsidRDefault="008E0A23" w:rsidP="002B6AEE">
      <w:pPr>
        <w:spacing w:line="276" w:lineRule="auto"/>
        <w:ind w:firstLine="708"/>
        <w:jc w:val="both"/>
        <w:rPr>
          <w:rFonts w:ascii="Arial" w:hAnsi="Arial" w:cs="Arial"/>
          <w:sz w:val="22"/>
        </w:rPr>
      </w:pPr>
      <w:r w:rsidRPr="00954C16">
        <w:rPr>
          <w:rFonts w:ascii="Arial" w:hAnsi="Arial" w:cs="Arial"/>
          <w:sz w:val="22"/>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5974F8D0" w14:textId="77777777" w:rsidR="008E0A23" w:rsidRPr="00954C16" w:rsidRDefault="008E0A23" w:rsidP="002B6AEE">
      <w:pPr>
        <w:ind w:leftChars="709" w:left="1702" w:right="709" w:firstLine="2"/>
        <w:jc w:val="both"/>
        <w:rPr>
          <w:rFonts w:ascii="Arial" w:hAnsi="Arial" w:cs="Arial"/>
          <w:sz w:val="21"/>
          <w:szCs w:val="21"/>
        </w:rPr>
      </w:pPr>
    </w:p>
    <w:p w14:paraId="777A3B72" w14:textId="77777777" w:rsidR="008E0A23" w:rsidRPr="00954C16" w:rsidRDefault="008E0A23" w:rsidP="002B6AEE">
      <w:pPr>
        <w:ind w:leftChars="295" w:left="708" w:right="709"/>
        <w:jc w:val="both"/>
        <w:rPr>
          <w:rFonts w:ascii="Arial" w:hAnsi="Arial" w:cs="Arial"/>
          <w:sz w:val="21"/>
          <w:szCs w:val="21"/>
        </w:rPr>
      </w:pPr>
      <w:r w:rsidRPr="00954C16">
        <w:rPr>
          <w:rFonts w:ascii="Arial" w:hAnsi="Arial" w:cs="Arial"/>
          <w:sz w:val="21"/>
          <w:szCs w:val="21"/>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2747763B" w14:textId="77777777" w:rsidR="008E0A23" w:rsidRPr="00954C16" w:rsidRDefault="008E0A23" w:rsidP="002B6AEE">
      <w:pPr>
        <w:spacing w:line="276" w:lineRule="auto"/>
        <w:ind w:leftChars="709" w:left="1702" w:right="709"/>
        <w:jc w:val="both"/>
        <w:rPr>
          <w:rFonts w:ascii="Arial" w:hAnsi="Arial" w:cs="Arial"/>
          <w:sz w:val="21"/>
          <w:szCs w:val="21"/>
        </w:rPr>
      </w:pPr>
    </w:p>
    <w:p w14:paraId="7B8F8BF9" w14:textId="17AF434F" w:rsidR="008E0A23" w:rsidRDefault="008E0A23" w:rsidP="00C534BB">
      <w:pPr>
        <w:spacing w:after="120" w:line="276" w:lineRule="auto"/>
        <w:ind w:firstLine="709"/>
        <w:jc w:val="both"/>
        <w:rPr>
          <w:rFonts w:ascii="Arial" w:hAnsi="Arial" w:cs="Arial"/>
          <w:sz w:val="22"/>
        </w:rPr>
      </w:pPr>
      <w:r w:rsidRPr="00954C16">
        <w:rPr>
          <w:rFonts w:ascii="Arial" w:hAnsi="Arial" w:cs="Arial"/>
          <w:sz w:val="22"/>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540C548E" w14:textId="77777777" w:rsidR="005E37A2" w:rsidRDefault="008E0A23" w:rsidP="005E37A2">
      <w:pPr>
        <w:spacing w:after="120" w:line="276" w:lineRule="auto"/>
        <w:ind w:firstLine="709"/>
        <w:jc w:val="both"/>
        <w:rPr>
          <w:rFonts w:ascii="Arial" w:hAnsi="Arial" w:cs="Arial"/>
          <w:sz w:val="22"/>
        </w:rPr>
      </w:pPr>
      <w:r w:rsidRPr="00FB1B7C">
        <w:rPr>
          <w:rFonts w:ascii="Arial" w:hAnsi="Arial" w:cs="Arial"/>
          <w:sz w:val="22"/>
        </w:rPr>
        <w:t>Dentro de los argumentos que consideró el máximo tribunal de lo contencioso administrativo, este no tuvo en cuenta razones de orden fáctico, como las relativas a las responsabilidades de las entidades o a la posible afectación en la competitividad para aquellas que operan en diferentes mercados. La razón relevante es que, si la entidad contrata con dineros públicos, debe publicar su proceso de contratación en el SECOP.</w:t>
      </w:r>
      <w:r w:rsidRPr="00954C16">
        <w:rPr>
          <w:rFonts w:ascii="Arial" w:hAnsi="Arial" w:cs="Arial"/>
          <w:sz w:val="22"/>
        </w:rPr>
        <w:t xml:space="preserve"> </w:t>
      </w:r>
    </w:p>
    <w:p w14:paraId="68DFE87F" w14:textId="71931D33" w:rsidR="005E37A2" w:rsidRDefault="005E37A2" w:rsidP="005376E3">
      <w:pPr>
        <w:spacing w:line="276" w:lineRule="auto"/>
        <w:ind w:firstLine="709"/>
        <w:jc w:val="both"/>
        <w:rPr>
          <w:rFonts w:ascii="Arial" w:eastAsia="Calibri" w:hAnsi="Arial" w:cs="Arial"/>
          <w:b/>
          <w:color w:val="000000"/>
          <w:sz w:val="22"/>
          <w:lang w:val="es-CO"/>
        </w:rPr>
      </w:pPr>
      <w:r>
        <w:rPr>
          <w:rFonts w:ascii="Arial" w:hAnsi="Arial" w:cs="Arial"/>
          <w:sz w:val="22"/>
        </w:rPr>
        <w:t xml:space="preserve">De cualquier manera, se pone de presente que la obligación de publicar en el SECOP debe tomar consideración de la Setencia C-274 de 2013, según la cual las empresas públicas son sujetos obligados para los efectos de la Ley 1712 de 2014, </w:t>
      </w:r>
      <w:r w:rsidRPr="0050010C">
        <w:rPr>
          <w:rFonts w:ascii="Arial" w:eastAsia="Calibri" w:hAnsi="Arial" w:cs="Arial"/>
          <w:sz w:val="22"/>
          <w:lang w:val="es-ES"/>
        </w:rPr>
        <w:t>«en el entendido de que las personas obligadas, en relación con su actividad propia, industrial o comercial, no están sujetas al deber de información, con respecto a dicha actividad».</w:t>
      </w:r>
    </w:p>
    <w:p w14:paraId="4F9F03A5" w14:textId="77777777" w:rsidR="00B20414" w:rsidRDefault="00B20414" w:rsidP="003D3A3E">
      <w:pPr>
        <w:tabs>
          <w:tab w:val="left" w:pos="426"/>
        </w:tabs>
        <w:spacing w:line="276" w:lineRule="auto"/>
        <w:jc w:val="both"/>
        <w:rPr>
          <w:rFonts w:ascii="Arial" w:eastAsia="Calibri" w:hAnsi="Arial" w:cs="Arial"/>
          <w:b/>
          <w:color w:val="000000"/>
          <w:sz w:val="22"/>
          <w:lang w:val="es-CO"/>
        </w:rPr>
      </w:pPr>
    </w:p>
    <w:p w14:paraId="220698BD" w14:textId="1C42F433" w:rsidR="003D3A3E" w:rsidRPr="003D3A3E" w:rsidRDefault="001D0959" w:rsidP="003D3A3E">
      <w:pPr>
        <w:tabs>
          <w:tab w:val="left" w:pos="426"/>
        </w:tabs>
        <w:spacing w:line="276" w:lineRule="auto"/>
        <w:jc w:val="both"/>
        <w:rPr>
          <w:rFonts w:ascii="Arial" w:eastAsia="Calibri" w:hAnsi="Arial" w:cs="Arial"/>
          <w:b/>
          <w:color w:val="000000"/>
          <w:sz w:val="22"/>
          <w:lang w:val="es-CO"/>
        </w:rPr>
      </w:pPr>
      <w:r>
        <w:rPr>
          <w:rFonts w:ascii="Arial" w:eastAsia="Calibri" w:hAnsi="Arial" w:cs="Arial"/>
          <w:b/>
          <w:color w:val="000000"/>
          <w:sz w:val="22"/>
          <w:lang w:val="es-CO"/>
        </w:rPr>
        <w:t>2.</w:t>
      </w:r>
      <w:r w:rsidR="00711265">
        <w:rPr>
          <w:rFonts w:ascii="Arial" w:eastAsia="Calibri" w:hAnsi="Arial" w:cs="Arial"/>
          <w:b/>
          <w:color w:val="000000"/>
          <w:sz w:val="22"/>
          <w:lang w:val="es-CO"/>
        </w:rPr>
        <w:t>2</w:t>
      </w:r>
      <w:r w:rsidR="003D3A3E" w:rsidRPr="003D3A3E">
        <w:rPr>
          <w:rFonts w:ascii="Arial" w:eastAsia="Calibri" w:hAnsi="Arial" w:cs="Arial"/>
          <w:b/>
          <w:color w:val="000000"/>
          <w:sz w:val="22"/>
          <w:lang w:val="es-CO"/>
        </w:rPr>
        <w:t xml:space="preserve">. Documentos que deben publicar las entidades </w:t>
      </w:r>
      <w:r w:rsidR="00C534BB">
        <w:rPr>
          <w:rFonts w:ascii="Arial" w:eastAsia="Calibri" w:hAnsi="Arial" w:cs="Arial"/>
          <w:b/>
          <w:color w:val="000000"/>
          <w:sz w:val="22"/>
          <w:lang w:val="es-CO"/>
        </w:rPr>
        <w:t>con</w:t>
      </w:r>
      <w:r w:rsidR="003D3A3E" w:rsidRPr="003D3A3E">
        <w:rPr>
          <w:rFonts w:ascii="Arial" w:eastAsia="Calibri" w:hAnsi="Arial" w:cs="Arial"/>
          <w:b/>
          <w:color w:val="000000"/>
          <w:sz w:val="22"/>
          <w:lang w:val="es-CO"/>
        </w:rPr>
        <w:t xml:space="preserve"> régimen especial en el SECOP </w:t>
      </w:r>
    </w:p>
    <w:p w14:paraId="721E59DB" w14:textId="77777777" w:rsidR="003D3A3E" w:rsidRPr="003D3A3E" w:rsidRDefault="003D3A3E" w:rsidP="003D3A3E">
      <w:pPr>
        <w:tabs>
          <w:tab w:val="left" w:pos="426"/>
        </w:tabs>
        <w:spacing w:line="276" w:lineRule="auto"/>
        <w:jc w:val="both"/>
        <w:rPr>
          <w:rFonts w:ascii="Arial" w:eastAsia="Calibri" w:hAnsi="Arial" w:cs="Arial"/>
          <w:b/>
          <w:color w:val="000000"/>
          <w:sz w:val="22"/>
          <w:lang w:val="es-CO"/>
        </w:rPr>
      </w:pPr>
    </w:p>
    <w:p w14:paraId="1EB6AE78" w14:textId="2AE067F1" w:rsidR="0016208C" w:rsidRDefault="003D3A3E" w:rsidP="00C534BB">
      <w:pPr>
        <w:spacing w:after="120" w:line="276" w:lineRule="auto"/>
        <w:jc w:val="both"/>
        <w:rPr>
          <w:rFonts w:ascii="Arial" w:eastAsia="Calibri" w:hAnsi="Arial" w:cs="Arial"/>
          <w:bCs/>
          <w:color w:val="000000"/>
          <w:sz w:val="22"/>
          <w:lang w:val="es-CO"/>
        </w:rPr>
      </w:pPr>
      <w:r w:rsidRPr="003D3A3E">
        <w:rPr>
          <w:rFonts w:ascii="Arial" w:eastAsia="Calibri" w:hAnsi="Arial" w:cs="Arial"/>
          <w:color w:val="000000"/>
          <w:sz w:val="22"/>
          <w:lang w:val="es-CO"/>
        </w:rPr>
        <w:t>Determinada la obligación que tienen las entidades sujetas a un régimen especial de publicar su actividad contractual en el SECOP, a continuación, se identificarán los documentos que deben publicar, n</w:t>
      </w:r>
      <w:r w:rsidRPr="003D3A3E">
        <w:rPr>
          <w:rFonts w:ascii="Arial" w:eastAsia="Calibri" w:hAnsi="Arial" w:cs="Arial"/>
          <w:bCs/>
          <w:color w:val="000000"/>
          <w:sz w:val="22"/>
          <w:lang w:val="es-CO"/>
        </w:rPr>
        <w:t xml:space="preserve">o sin antes explicar la posición que la Agencia Nacional de Contratación Pública − Colombia Compra Eficiente ha adoptado desde el 2016 hasta la actualidad. </w:t>
      </w:r>
    </w:p>
    <w:p w14:paraId="305538E7" w14:textId="65913355" w:rsidR="003D3A3E" w:rsidRPr="00B81E5A" w:rsidRDefault="003D3A3E" w:rsidP="00C534BB">
      <w:pPr>
        <w:spacing w:after="120" w:line="276" w:lineRule="auto"/>
        <w:ind w:firstLine="709"/>
        <w:jc w:val="both"/>
        <w:rPr>
          <w:rFonts w:ascii="Arial" w:eastAsia="Calibri" w:hAnsi="Arial" w:cs="Arial"/>
          <w:bCs/>
          <w:color w:val="000000"/>
          <w:sz w:val="22"/>
          <w:lang w:val="es-CO"/>
        </w:rPr>
      </w:pPr>
      <w:r w:rsidRPr="003D3A3E">
        <w:rPr>
          <w:rFonts w:ascii="Arial" w:eastAsia="Calibri" w:hAnsi="Arial" w:cs="Arial"/>
          <w:bCs/>
          <w:color w:val="000000"/>
          <w:sz w:val="22"/>
          <w:lang w:val="es-CO"/>
        </w:rPr>
        <w:t xml:space="preserve">Al respecto, </w:t>
      </w:r>
      <w:r w:rsidR="00B81E5A">
        <w:rPr>
          <w:rFonts w:ascii="Arial" w:eastAsia="Calibri" w:hAnsi="Arial" w:cs="Arial"/>
          <w:bCs/>
          <w:color w:val="000000"/>
          <w:sz w:val="22"/>
          <w:lang w:val="es-CO"/>
        </w:rPr>
        <w:t>e</w:t>
      </w:r>
      <w:r w:rsidRPr="003D3A3E">
        <w:rPr>
          <w:rFonts w:ascii="Arial" w:eastAsia="Calibri" w:hAnsi="Arial" w:cs="Arial"/>
          <w:bCs/>
          <w:color w:val="000000"/>
          <w:sz w:val="22"/>
          <w:lang w:val="es-CO"/>
        </w:rPr>
        <w:t xml:space="preserve">n la consulta del 15 de febrero de 2016 </w:t>
      </w:r>
      <w:r w:rsidR="005376E3">
        <w:rPr>
          <w:rFonts w:ascii="Arial" w:eastAsia="Calibri" w:hAnsi="Arial" w:cs="Arial"/>
          <w:bCs/>
          <w:color w:val="000000"/>
          <w:sz w:val="22"/>
          <w:lang w:val="es-CO"/>
        </w:rPr>
        <w:t xml:space="preserve">– </w:t>
      </w:r>
      <w:r w:rsidRPr="003D3A3E">
        <w:rPr>
          <w:rFonts w:ascii="Arial" w:eastAsia="Calibri" w:hAnsi="Arial" w:cs="Arial"/>
          <w:bCs/>
          <w:color w:val="000000"/>
          <w:sz w:val="22"/>
          <w:lang w:val="es-CO"/>
        </w:rPr>
        <w:t>radicado No. 41612000877</w:t>
      </w:r>
      <w:r w:rsidR="005376E3">
        <w:rPr>
          <w:rFonts w:ascii="Arial" w:eastAsia="Calibri" w:hAnsi="Arial" w:cs="Arial"/>
          <w:bCs/>
          <w:color w:val="000000"/>
          <w:sz w:val="22"/>
          <w:lang w:val="es-CO"/>
        </w:rPr>
        <w:t>–</w:t>
      </w:r>
      <w:r w:rsidRPr="003D3A3E">
        <w:rPr>
          <w:rFonts w:ascii="Arial" w:eastAsia="Calibri" w:hAnsi="Arial" w:cs="Arial"/>
          <w:bCs/>
          <w:color w:val="000000"/>
          <w:sz w:val="22"/>
          <w:lang w:val="es-CO"/>
        </w:rPr>
        <w:t>, se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3D3A3E">
        <w:rPr>
          <w:rFonts w:ascii="Arial" w:eastAsia="Calibri" w:hAnsi="Arial" w:cs="Arial"/>
          <w:color w:val="000000"/>
          <w:vertAlign w:val="superscript"/>
          <w:lang w:val="es-CO"/>
        </w:rPr>
        <w:footnoteReference w:id="9"/>
      </w:r>
      <w:r w:rsidRPr="003D3A3E">
        <w:rPr>
          <w:rFonts w:ascii="Arial" w:eastAsia="Calibri" w:hAnsi="Arial" w:cs="Arial"/>
          <w:bCs/>
          <w:color w:val="000000"/>
          <w:sz w:val="22"/>
          <w:lang w:val="es-CO"/>
        </w:rPr>
        <w:t>.</w:t>
      </w:r>
    </w:p>
    <w:p w14:paraId="5074B54E" w14:textId="77777777" w:rsidR="003D3A3E" w:rsidRPr="003D3A3E" w:rsidRDefault="003D3A3E" w:rsidP="00C534BB">
      <w:pPr>
        <w:spacing w:after="120" w:line="276" w:lineRule="auto"/>
        <w:ind w:firstLine="709"/>
        <w:jc w:val="both"/>
        <w:rPr>
          <w:rFonts w:ascii="Arial" w:eastAsia="Calibri" w:hAnsi="Arial" w:cs="Arial"/>
          <w:color w:val="000000"/>
          <w:sz w:val="22"/>
          <w:lang w:val="es-CO"/>
        </w:rPr>
      </w:pPr>
      <w:r w:rsidRPr="003D3A3E">
        <w:rPr>
          <w:rFonts w:ascii="Arial" w:eastAsia="Calibri" w:hAnsi="Arial" w:cs="Arial"/>
          <w:color w:val="000000"/>
          <w:sz w:val="22"/>
          <w:lang w:val="es-CO"/>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documentos del proceso que se debían publicar. </w:t>
      </w:r>
    </w:p>
    <w:p w14:paraId="285C64CD" w14:textId="77777777" w:rsidR="003D3A3E" w:rsidRPr="003D3A3E" w:rsidRDefault="003D3A3E" w:rsidP="00C534BB">
      <w:pPr>
        <w:spacing w:after="120" w:line="276" w:lineRule="auto"/>
        <w:ind w:firstLine="709"/>
        <w:jc w:val="both"/>
        <w:rPr>
          <w:rFonts w:ascii="Arial" w:eastAsia="Calibri" w:hAnsi="Arial" w:cs="Arial"/>
          <w:color w:val="000000"/>
          <w:sz w:val="22"/>
          <w:lang w:val="es-CO"/>
        </w:rPr>
      </w:pPr>
      <w:r w:rsidRPr="003D3A3E">
        <w:rPr>
          <w:rFonts w:ascii="Arial" w:eastAsia="Calibri" w:hAnsi="Arial" w:cs="Arial"/>
          <w:color w:val="000000"/>
          <w:sz w:val="22"/>
          <w:lang w:val="es-CO"/>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3D3A3E">
        <w:rPr>
          <w:rFonts w:ascii="Arial" w:eastAsia="Calibri" w:hAnsi="Arial" w:cs="Arial"/>
          <w:color w:val="000000"/>
          <w:sz w:val="22"/>
          <w:vertAlign w:val="superscript"/>
          <w:lang w:val="es-CO"/>
        </w:rPr>
        <w:footnoteReference w:id="10"/>
      </w:r>
      <w:r w:rsidRPr="003D3A3E">
        <w:rPr>
          <w:rFonts w:ascii="Arial" w:eastAsia="Calibri" w:hAnsi="Arial" w:cs="Arial"/>
          <w:color w:val="000000"/>
          <w:sz w:val="22"/>
          <w:lang w:val="es-CO"/>
        </w:rPr>
        <w:t xml:space="preserve">. </w:t>
      </w:r>
    </w:p>
    <w:p w14:paraId="7B93E2C9" w14:textId="51DFCC07" w:rsidR="003D3A3E" w:rsidRPr="003D3A3E" w:rsidRDefault="003D3A3E" w:rsidP="00C534BB">
      <w:pPr>
        <w:spacing w:after="120" w:line="276" w:lineRule="auto"/>
        <w:ind w:firstLine="709"/>
        <w:jc w:val="both"/>
        <w:rPr>
          <w:rFonts w:ascii="Arial" w:eastAsia="Calibri" w:hAnsi="Arial" w:cs="Arial"/>
          <w:color w:val="000000"/>
          <w:sz w:val="22"/>
          <w:lang w:val="es-CO"/>
        </w:rPr>
      </w:pPr>
      <w:r w:rsidRPr="003D3A3E">
        <w:rPr>
          <w:rFonts w:ascii="Arial" w:eastAsia="Calibri" w:hAnsi="Arial" w:cs="Arial"/>
          <w:color w:val="000000"/>
          <w:sz w:val="22"/>
          <w:lang w:val="es-CO"/>
        </w:rPr>
        <w:t xml:space="preserve">Conforme </w:t>
      </w:r>
      <w:r w:rsidR="0016208C">
        <w:rPr>
          <w:rFonts w:ascii="Arial" w:eastAsia="Calibri" w:hAnsi="Arial" w:cs="Arial"/>
          <w:color w:val="000000"/>
          <w:sz w:val="22"/>
          <w:lang w:val="es-CO"/>
        </w:rPr>
        <w:t>a</w:t>
      </w:r>
      <w:r w:rsidRPr="003D3A3E">
        <w:rPr>
          <w:rFonts w:ascii="Arial" w:eastAsia="Calibri" w:hAnsi="Arial" w:cs="Arial"/>
          <w:color w:val="000000"/>
          <w:sz w:val="22"/>
          <w:lang w:val="es-CO"/>
        </w:rPr>
        <w:t xml:space="preserve">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737042CF" w14:textId="77777777" w:rsidR="003D3A3E" w:rsidRPr="003D3A3E" w:rsidRDefault="003D3A3E" w:rsidP="00C534BB">
      <w:pPr>
        <w:spacing w:after="120" w:line="276" w:lineRule="auto"/>
        <w:ind w:firstLine="709"/>
        <w:jc w:val="both"/>
        <w:rPr>
          <w:rFonts w:ascii="Arial" w:eastAsia="Calibri" w:hAnsi="Arial" w:cs="Arial"/>
          <w:color w:val="000000"/>
          <w:sz w:val="22"/>
          <w:lang w:val="es-CO"/>
        </w:rPr>
      </w:pPr>
      <w:r w:rsidRPr="003D3A3E">
        <w:rPr>
          <w:rFonts w:ascii="Arial" w:eastAsia="Calibri" w:hAnsi="Arial" w:cs="Arial"/>
          <w:color w:val="000000"/>
          <w:sz w:val="22"/>
          <w:lang w:val="es-CO"/>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4CCF9D7A" w14:textId="2545B2AA" w:rsidR="0016208C" w:rsidRDefault="003D3A3E" w:rsidP="00C534BB">
      <w:pPr>
        <w:spacing w:after="120" w:line="276" w:lineRule="auto"/>
        <w:ind w:firstLine="709"/>
        <w:jc w:val="both"/>
        <w:rPr>
          <w:rFonts w:ascii="Arial" w:eastAsia="Calibri" w:hAnsi="Arial" w:cs="Arial"/>
          <w:color w:val="000000"/>
          <w:sz w:val="22"/>
          <w:lang w:val="es-CO"/>
        </w:rPr>
      </w:pPr>
      <w:r w:rsidRPr="003D3A3E">
        <w:rPr>
          <w:rFonts w:ascii="Arial" w:eastAsia="Calibri" w:hAnsi="Arial" w:cs="Arial"/>
          <w:color w:val="000000"/>
          <w:sz w:val="22"/>
          <w:lang w:val="es-CO"/>
        </w:rPr>
        <w:t xml:space="preserve">Luego, el Decreto reglamentario 103 de 2015, «Por el cual se reglamenta parcialmente la Ley 1712 de 2014 y se dictan otras disposiciones», </w:t>
      </w:r>
      <w:r w:rsidR="0016208C">
        <w:rPr>
          <w:rFonts w:ascii="Arial" w:eastAsia="Calibri" w:hAnsi="Arial" w:cs="Arial"/>
          <w:color w:val="000000"/>
          <w:sz w:val="22"/>
          <w:lang w:val="es-CO"/>
        </w:rPr>
        <w:t xml:space="preserve">estableció algunas reglas que en la actualidad se encuentran compiladas en el Decreto 1081 de 2015, y que se pasan a explicar. </w:t>
      </w:r>
    </w:p>
    <w:p w14:paraId="0D2B8366" w14:textId="3BEA0BC2" w:rsidR="0016208C" w:rsidRDefault="0016208C" w:rsidP="00C534BB">
      <w:pPr>
        <w:spacing w:after="120" w:line="276" w:lineRule="auto"/>
        <w:ind w:firstLine="709"/>
        <w:jc w:val="both"/>
        <w:rPr>
          <w:rFonts w:ascii="Arial" w:eastAsia="Calibri" w:hAnsi="Arial" w:cs="Arial"/>
          <w:color w:val="000000"/>
          <w:sz w:val="22"/>
          <w:lang w:val="es-CO"/>
        </w:rPr>
      </w:pPr>
      <w:r>
        <w:rPr>
          <w:rFonts w:ascii="Arial" w:eastAsia="Calibri" w:hAnsi="Arial" w:cs="Arial"/>
          <w:color w:val="000000"/>
          <w:sz w:val="22"/>
          <w:lang w:val="es-CO"/>
        </w:rPr>
        <w:t>El artículo 2.1.1.2.1.8. del Decreto 1081 de 2015</w:t>
      </w:r>
      <w:r w:rsidRPr="0016208C">
        <w:rPr>
          <w:rFonts w:ascii="Arial" w:eastAsia="Calibri" w:hAnsi="Arial" w:cs="Arial"/>
          <w:color w:val="000000"/>
          <w:sz w:val="22"/>
          <w:lang w:val="es-CO"/>
        </w:rPr>
        <w:t xml:space="preserve"> </w:t>
      </w:r>
      <w:r w:rsidRPr="003D3A3E">
        <w:rPr>
          <w:rFonts w:ascii="Arial" w:eastAsia="Calibri" w:hAnsi="Arial" w:cs="Arial"/>
          <w:color w:val="000000"/>
          <w:sz w:val="22"/>
          <w:lang w:val="es-CO"/>
        </w:rPr>
        <w:t>señala, de forma enunciativa, que se debe publicar la información relativa a la ejecución del contrato, como las aprobaciones, autorizaciones, requerimientos o informes del supervisor o interventor, que aprueben la ejecución del contrato</w:t>
      </w:r>
      <w:r w:rsidRPr="003D3A3E">
        <w:rPr>
          <w:rFonts w:ascii="Arial" w:eastAsia="Calibri" w:hAnsi="Arial" w:cs="Arial"/>
          <w:color w:val="000000"/>
          <w:sz w:val="22"/>
          <w:vertAlign w:val="superscript"/>
          <w:lang w:val="es-CO"/>
        </w:rPr>
        <w:footnoteReference w:id="11"/>
      </w:r>
      <w:r w:rsidRPr="003D3A3E">
        <w:rPr>
          <w:rFonts w:ascii="Arial" w:eastAsia="Calibri" w:hAnsi="Arial" w:cs="Arial"/>
          <w:color w:val="000000"/>
          <w:sz w:val="22"/>
          <w:lang w:val="es-CO"/>
        </w:rPr>
        <w:t xml:space="preserve">. Por su parte, el artículo </w:t>
      </w:r>
      <w:r>
        <w:rPr>
          <w:rFonts w:ascii="Arial" w:eastAsia="Calibri" w:hAnsi="Arial" w:cs="Arial"/>
          <w:color w:val="000000"/>
          <w:sz w:val="22"/>
          <w:lang w:val="es-CO"/>
        </w:rPr>
        <w:t>2.2.1.1.2.1.9. establece</w:t>
      </w:r>
      <w:r w:rsidRPr="003D3A3E">
        <w:rPr>
          <w:rFonts w:ascii="Arial" w:eastAsia="Calibri" w:hAnsi="Arial" w:cs="Arial"/>
          <w:color w:val="000000"/>
          <w:sz w:val="22"/>
          <w:lang w:val="es-CO"/>
        </w:rPr>
        <w:t xml:space="preserve"> que las entidades deberán publicar los procedimientos, lineamientos y políticas en materia de adquisición, que no son otros que los previstos en el manual de contratación</w:t>
      </w:r>
      <w:r w:rsidR="00491A64">
        <w:rPr>
          <w:rFonts w:ascii="Arial" w:eastAsia="Calibri" w:hAnsi="Arial" w:cs="Arial"/>
          <w:color w:val="000000"/>
          <w:sz w:val="22"/>
          <w:lang w:val="es-CO"/>
        </w:rPr>
        <w:t xml:space="preserve"> de la respectiva entidad, el cual debe publicarse en el sitio web del sujeto obligado</w:t>
      </w:r>
      <w:r w:rsidR="00491A64" w:rsidRPr="003D3A3E">
        <w:rPr>
          <w:rFonts w:ascii="Arial" w:eastAsia="Calibri" w:hAnsi="Arial" w:cs="Arial"/>
          <w:color w:val="000000"/>
          <w:sz w:val="22"/>
          <w:vertAlign w:val="superscript"/>
          <w:lang w:val="es-CO"/>
        </w:rPr>
        <w:footnoteReference w:id="12"/>
      </w:r>
      <w:r w:rsidR="00491A64">
        <w:rPr>
          <w:rFonts w:ascii="Arial" w:eastAsia="Calibri" w:hAnsi="Arial" w:cs="Arial"/>
          <w:color w:val="000000"/>
          <w:sz w:val="22"/>
          <w:lang w:val="es-CO"/>
        </w:rPr>
        <w:t xml:space="preserve">. </w:t>
      </w:r>
      <w:r w:rsidRPr="003D3A3E">
        <w:rPr>
          <w:rFonts w:ascii="Arial" w:eastAsia="Calibri" w:hAnsi="Arial" w:cs="Arial"/>
          <w:color w:val="000000"/>
          <w:sz w:val="22"/>
          <w:lang w:val="es-CO"/>
        </w:rPr>
        <w:t xml:space="preserve">Finalmente, el artículo </w:t>
      </w:r>
      <w:r w:rsidR="00491A64" w:rsidRPr="00491A64">
        <w:rPr>
          <w:rFonts w:ascii="Arial" w:eastAsia="Calibri" w:hAnsi="Arial" w:cs="Arial"/>
          <w:color w:val="000000"/>
          <w:sz w:val="22"/>
          <w:lang w:val="es-CO"/>
        </w:rPr>
        <w:t>2.1.1.2.1.10.</w:t>
      </w:r>
      <w:r w:rsidR="00491A64">
        <w:rPr>
          <w:rFonts w:ascii="Arial" w:eastAsia="Calibri" w:hAnsi="Arial" w:cs="Arial"/>
          <w:color w:val="000000"/>
          <w:sz w:val="22"/>
          <w:lang w:val="es-CO"/>
        </w:rPr>
        <w:t xml:space="preserve"> </w:t>
      </w:r>
      <w:r w:rsidRPr="003D3A3E">
        <w:rPr>
          <w:rFonts w:ascii="Arial" w:eastAsia="Calibri" w:hAnsi="Arial" w:cs="Arial"/>
          <w:color w:val="000000"/>
          <w:sz w:val="22"/>
          <w:lang w:val="es-CO"/>
        </w:rPr>
        <w:t xml:space="preserve">establece la obligación </w:t>
      </w:r>
      <w:r w:rsidR="00C534BB">
        <w:rPr>
          <w:rFonts w:ascii="Arial" w:eastAsia="Calibri" w:hAnsi="Arial" w:cs="Arial"/>
          <w:color w:val="000000"/>
          <w:sz w:val="22"/>
          <w:lang w:val="es-CO"/>
        </w:rPr>
        <w:t>para</w:t>
      </w:r>
      <w:r w:rsidRPr="003D3A3E">
        <w:rPr>
          <w:rFonts w:ascii="Arial" w:eastAsia="Calibri" w:hAnsi="Arial" w:cs="Arial"/>
          <w:color w:val="000000"/>
          <w:sz w:val="22"/>
          <w:lang w:val="es-CO"/>
        </w:rPr>
        <w:t xml:space="preserve"> las entidades de publicar en el SECOP el Plan Anual de Adquisiciones</w:t>
      </w:r>
      <w:r w:rsidRPr="003D3A3E">
        <w:rPr>
          <w:rFonts w:ascii="Arial" w:eastAsia="Calibri" w:hAnsi="Arial" w:cs="Arial"/>
          <w:color w:val="000000"/>
          <w:sz w:val="22"/>
          <w:vertAlign w:val="superscript"/>
          <w:lang w:val="es-CO"/>
        </w:rPr>
        <w:footnoteReference w:id="13"/>
      </w:r>
      <w:r w:rsidRPr="003D3A3E">
        <w:rPr>
          <w:rFonts w:ascii="Arial" w:eastAsia="Calibri" w:hAnsi="Arial" w:cs="Arial"/>
          <w:color w:val="000000"/>
          <w:sz w:val="22"/>
          <w:lang w:val="es-CO"/>
        </w:rPr>
        <w:t xml:space="preserve">.  </w:t>
      </w:r>
    </w:p>
    <w:p w14:paraId="44EF6194" w14:textId="58B193CE" w:rsidR="003D3A3E" w:rsidRPr="003D3A3E" w:rsidRDefault="003D3A3E" w:rsidP="00C534BB">
      <w:pPr>
        <w:spacing w:after="120" w:line="276" w:lineRule="auto"/>
        <w:ind w:firstLine="708"/>
        <w:jc w:val="both"/>
        <w:rPr>
          <w:rFonts w:ascii="Arial" w:eastAsia="Calibri" w:hAnsi="Arial" w:cs="Arial"/>
          <w:color w:val="000000"/>
          <w:sz w:val="22"/>
          <w:lang w:val="es-CO"/>
        </w:rPr>
      </w:pPr>
      <w:r w:rsidRPr="003D3A3E">
        <w:rPr>
          <w:rFonts w:ascii="Arial" w:eastAsia="Calibri" w:hAnsi="Arial" w:cs="Arial"/>
          <w:color w:val="000000"/>
          <w:sz w:val="22"/>
          <w:lang w:val="es-CO"/>
        </w:rPr>
        <w:t xml:space="preserve">De conformidad con lo anterior, el Decreto </w:t>
      </w:r>
      <w:r w:rsidR="0020146B">
        <w:rPr>
          <w:rFonts w:ascii="Arial" w:eastAsia="Calibri" w:hAnsi="Arial" w:cs="Arial"/>
          <w:color w:val="000000"/>
          <w:sz w:val="22"/>
          <w:lang w:val="es-CO"/>
        </w:rPr>
        <w:t>1081</w:t>
      </w:r>
      <w:r w:rsidRPr="003D3A3E">
        <w:rPr>
          <w:rFonts w:ascii="Arial" w:eastAsia="Calibri" w:hAnsi="Arial" w:cs="Arial"/>
          <w:color w:val="000000"/>
          <w:sz w:val="22"/>
          <w:lang w:val="es-CO"/>
        </w:rPr>
        <w:t xml:space="preserve"> de 2015 señala que los documentos que deben publicar las entidades </w:t>
      </w:r>
      <w:r w:rsidR="00B81E5A">
        <w:rPr>
          <w:rFonts w:ascii="Arial" w:eastAsia="Calibri" w:hAnsi="Arial" w:cs="Arial"/>
          <w:color w:val="000000"/>
          <w:sz w:val="22"/>
          <w:lang w:val="es-CO"/>
        </w:rPr>
        <w:t>del estado</w:t>
      </w:r>
      <w:r w:rsidRPr="003D3A3E">
        <w:rPr>
          <w:rFonts w:ascii="Arial" w:eastAsia="Calibri" w:hAnsi="Arial" w:cs="Arial"/>
          <w:color w:val="000000"/>
          <w:sz w:val="22"/>
          <w:lang w:val="es-CO"/>
        </w:rPr>
        <w:t xml:space="preserve"> </w:t>
      </w:r>
      <w:r w:rsidR="00B81E5A">
        <w:rPr>
          <w:rFonts w:ascii="Arial" w:eastAsia="Calibri" w:hAnsi="Arial" w:cs="Arial"/>
          <w:color w:val="000000"/>
          <w:sz w:val="22"/>
          <w:lang w:val="es-CO"/>
        </w:rPr>
        <w:t xml:space="preserve">comprendidas en el ámbito de aplicación de </w:t>
      </w:r>
      <w:r w:rsidRPr="003D3A3E">
        <w:rPr>
          <w:rFonts w:ascii="Arial" w:eastAsia="Calibri" w:hAnsi="Arial" w:cs="Arial"/>
          <w:color w:val="000000"/>
          <w:sz w:val="22"/>
          <w:lang w:val="es-CO"/>
        </w:rPr>
        <w:t xml:space="preserve">la Ley 1712 de 2014, entre estas, por ejemplo, las empresas </w:t>
      </w:r>
      <w:r w:rsidR="0020146B">
        <w:rPr>
          <w:rFonts w:ascii="Arial" w:eastAsia="Calibri" w:hAnsi="Arial" w:cs="Arial"/>
          <w:color w:val="000000"/>
          <w:sz w:val="22"/>
          <w:lang w:val="es-CO"/>
        </w:rPr>
        <w:t>de economía mixta</w:t>
      </w:r>
      <w:r w:rsidRPr="003D3A3E">
        <w:rPr>
          <w:rFonts w:ascii="Arial" w:eastAsia="Calibri" w:hAnsi="Arial" w:cs="Arial"/>
          <w:color w:val="000000"/>
          <w:sz w:val="22"/>
          <w:lang w:val="es-CO"/>
        </w:rPr>
        <w:t xml:space="preserve">,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2E7F456E" w14:textId="22AB0E44" w:rsidR="003D3A3E" w:rsidRPr="003D3A3E" w:rsidRDefault="00B81E5A" w:rsidP="00C534BB">
      <w:pPr>
        <w:spacing w:after="120" w:line="276" w:lineRule="auto"/>
        <w:ind w:firstLine="709"/>
        <w:jc w:val="both"/>
        <w:rPr>
          <w:rFonts w:ascii="Arial" w:eastAsia="Calibri" w:hAnsi="Arial" w:cs="Arial"/>
          <w:color w:val="000000"/>
          <w:sz w:val="22"/>
          <w:lang w:val="es-CO"/>
        </w:rPr>
      </w:pPr>
      <w:r>
        <w:rPr>
          <w:rFonts w:ascii="Arial" w:eastAsia="Calibri" w:hAnsi="Arial" w:cs="Arial"/>
          <w:color w:val="000000"/>
          <w:sz w:val="22"/>
          <w:lang w:val="es-CO"/>
        </w:rPr>
        <w:t>E</w:t>
      </w:r>
      <w:r w:rsidR="003D3A3E" w:rsidRPr="003D3A3E">
        <w:rPr>
          <w:rFonts w:ascii="Arial" w:eastAsia="Calibri" w:hAnsi="Arial" w:cs="Arial"/>
          <w:color w:val="000000"/>
          <w:sz w:val="22"/>
          <w:lang w:val="es-CO"/>
        </w:rPr>
        <w:t>stas entidades están sometidas al derecho privado, y por lo tanto no realizan sus procesos de contratación mediante las modalidades previstas en la Ley 80 de 1993,</w:t>
      </w:r>
      <w:r>
        <w:rPr>
          <w:rFonts w:ascii="Arial" w:eastAsia="Calibri" w:hAnsi="Arial" w:cs="Arial"/>
          <w:color w:val="000000"/>
          <w:sz w:val="22"/>
          <w:lang w:val="es-CO"/>
        </w:rPr>
        <w:t xml:space="preserve"> </w:t>
      </w:r>
      <w:r w:rsidR="003E71F1">
        <w:rPr>
          <w:rFonts w:ascii="Arial" w:eastAsia="Calibri" w:hAnsi="Arial" w:cs="Arial"/>
          <w:color w:val="000000"/>
          <w:sz w:val="22"/>
          <w:lang w:val="es-CO"/>
        </w:rPr>
        <w:t>por</w:t>
      </w:r>
      <w:r>
        <w:rPr>
          <w:rFonts w:ascii="Arial" w:eastAsia="Calibri" w:hAnsi="Arial" w:cs="Arial"/>
          <w:color w:val="000000"/>
          <w:sz w:val="22"/>
          <w:lang w:val="es-CO"/>
        </w:rPr>
        <w:t xml:space="preserve"> lo cual</w:t>
      </w:r>
      <w:r w:rsidR="003D3A3E" w:rsidRPr="003D3A3E">
        <w:rPr>
          <w:rFonts w:ascii="Arial" w:eastAsia="Calibri" w:hAnsi="Arial" w:cs="Arial"/>
          <w:color w:val="000000"/>
          <w:sz w:val="22"/>
          <w:lang w:val="es-CO"/>
        </w:rPr>
        <w:t xml:space="preserve"> cada una definirá en su manual el procedimiento para contratar sus bienes y servicios. </w:t>
      </w:r>
    </w:p>
    <w:p w14:paraId="63975E8E" w14:textId="77777777" w:rsidR="003D3A3E" w:rsidRPr="003D3A3E" w:rsidRDefault="003D3A3E" w:rsidP="00C534BB">
      <w:pPr>
        <w:spacing w:after="120" w:line="276" w:lineRule="auto"/>
        <w:ind w:firstLine="709"/>
        <w:jc w:val="both"/>
        <w:rPr>
          <w:rFonts w:ascii="Arial" w:eastAsia="Calibri" w:hAnsi="Arial" w:cs="Arial"/>
          <w:color w:val="000000"/>
          <w:sz w:val="22"/>
          <w:lang w:val="es-CO"/>
        </w:rPr>
      </w:pPr>
      <w:r w:rsidRPr="003D3A3E">
        <w:rPr>
          <w:rFonts w:ascii="Arial" w:eastAsia="Calibri" w:hAnsi="Arial" w:cs="Arial"/>
          <w:color w:val="000000"/>
          <w:sz w:val="22"/>
          <w:lang w:val="es-CO"/>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7165DE4E" w14:textId="747D4F49" w:rsidR="00C534BB" w:rsidRPr="00C534BB" w:rsidRDefault="003D3A3E" w:rsidP="00CB0625">
      <w:pPr>
        <w:spacing w:after="120"/>
        <w:ind w:firstLine="708"/>
        <w:jc w:val="both"/>
        <w:rPr>
          <w:rFonts w:ascii="Arial" w:eastAsia="Times New Roman" w:hAnsi="Arial" w:cs="Arial"/>
          <w:b/>
          <w:sz w:val="22"/>
          <w:szCs w:val="24"/>
          <w:lang w:val="es-ES" w:eastAsia="en-GB"/>
        </w:rPr>
      </w:pPr>
      <w:r w:rsidRPr="003D3A3E">
        <w:rPr>
          <w:rFonts w:ascii="Arial" w:eastAsia="Calibri" w:hAnsi="Arial" w:cs="Arial"/>
          <w:color w:val="000000"/>
          <w:sz w:val="22"/>
          <w:lang w:val="es-CO"/>
        </w:rPr>
        <w:t>Igualmente, se tiene que</w:t>
      </w:r>
      <w:r w:rsidR="00EA6BC3">
        <w:rPr>
          <w:rFonts w:ascii="Arial" w:eastAsia="Calibri" w:hAnsi="Arial" w:cs="Arial"/>
          <w:color w:val="000000"/>
          <w:sz w:val="22"/>
          <w:lang w:val="es-CO"/>
        </w:rPr>
        <w:t xml:space="preserve"> poner de presente que</w:t>
      </w:r>
      <w:r w:rsidRPr="003D3A3E">
        <w:rPr>
          <w:rFonts w:ascii="Arial" w:eastAsia="Calibri" w:hAnsi="Arial" w:cs="Arial"/>
          <w:color w:val="000000"/>
          <w:sz w:val="22"/>
          <w:lang w:val="es-CO"/>
        </w:rPr>
        <w:t xml:space="preserve">, excepcionalmente, las entidades no </w:t>
      </w:r>
      <w:r w:rsidR="00EA6BC3">
        <w:rPr>
          <w:rFonts w:ascii="Arial" w:eastAsia="Calibri" w:hAnsi="Arial" w:cs="Arial"/>
          <w:color w:val="000000"/>
          <w:sz w:val="22"/>
          <w:lang w:val="es-CO"/>
        </w:rPr>
        <w:t>se encuentran obligadas a publicar tal documentación, tal excepción puede provenir, por ejemplo, del hecho de que la contratación no se hará con cargo a recursos públicos, o porque existe una expresa disposición legal en ese sentido, como sería el caso de la información sometida a reserva</w:t>
      </w:r>
      <w:r w:rsidR="003E71F1">
        <w:rPr>
          <w:rFonts w:ascii="Arial" w:eastAsia="Calibri" w:hAnsi="Arial" w:cs="Arial"/>
          <w:color w:val="000000"/>
          <w:sz w:val="22"/>
          <w:lang w:val="es-CO"/>
        </w:rPr>
        <w:t xml:space="preserve"> por razones industriales o comerciales,</w:t>
      </w:r>
      <w:r w:rsidR="00EA6BC3">
        <w:rPr>
          <w:rFonts w:ascii="Arial" w:eastAsia="Calibri" w:hAnsi="Arial" w:cs="Arial"/>
          <w:color w:val="000000"/>
          <w:sz w:val="22"/>
          <w:lang w:val="es-CO"/>
        </w:rPr>
        <w:t xml:space="preserve"> o la publicación relacionada con </w:t>
      </w:r>
      <w:r w:rsidR="003E71F1">
        <w:rPr>
          <w:rFonts w:ascii="Arial" w:eastAsia="Calibri" w:hAnsi="Arial" w:cs="Arial"/>
          <w:color w:val="000000"/>
          <w:sz w:val="22"/>
          <w:lang w:val="es-CO"/>
        </w:rPr>
        <w:t xml:space="preserve">proyectos de inversión para el caso concreto del Plan Anual de Adquisiciones. </w:t>
      </w:r>
      <w:r w:rsidR="00570CFF" w:rsidRPr="00570CFF">
        <w:rPr>
          <w:rFonts w:ascii="Arial" w:eastAsia="Calibri" w:hAnsi="Arial" w:cs="Arial"/>
          <w:color w:val="000000"/>
          <w:sz w:val="22"/>
          <w:lang w:val="es-ES"/>
        </w:rPr>
        <w:t xml:space="preserve">No obstante, si la reserva </w:t>
      </w:r>
      <w:r w:rsidR="00570CFF">
        <w:rPr>
          <w:rFonts w:ascii="Arial" w:eastAsia="Calibri" w:hAnsi="Arial" w:cs="Arial"/>
          <w:color w:val="000000"/>
          <w:sz w:val="22"/>
          <w:lang w:val="es-ES"/>
        </w:rPr>
        <w:t>aplica</w:t>
      </w:r>
      <w:r w:rsidR="00570CFF" w:rsidRPr="00570CFF">
        <w:rPr>
          <w:rFonts w:ascii="Arial" w:eastAsia="Calibri" w:hAnsi="Arial" w:cs="Arial"/>
          <w:color w:val="000000"/>
          <w:sz w:val="22"/>
          <w:lang w:val="es-ES"/>
        </w:rPr>
        <w:t xml:space="preserve"> sol</w:t>
      </w:r>
      <w:r w:rsidR="00570CFF">
        <w:rPr>
          <w:rFonts w:ascii="Arial" w:eastAsia="Calibri" w:hAnsi="Arial" w:cs="Arial"/>
          <w:color w:val="000000"/>
          <w:sz w:val="22"/>
          <w:lang w:val="es-ES"/>
        </w:rPr>
        <w:t>amente para</w:t>
      </w:r>
      <w:r w:rsidR="00570CFF" w:rsidRPr="00570CFF">
        <w:rPr>
          <w:rFonts w:ascii="Arial" w:eastAsia="Calibri" w:hAnsi="Arial" w:cs="Arial"/>
          <w:color w:val="000000"/>
          <w:sz w:val="22"/>
          <w:lang w:val="es-ES"/>
        </w:rPr>
        <w:t xml:space="preserve"> parte del documento o proceso, se deberá publicar aquel aparte del documento </w:t>
      </w:r>
      <w:r w:rsidR="00570CFF">
        <w:rPr>
          <w:rFonts w:ascii="Arial" w:eastAsia="Calibri" w:hAnsi="Arial" w:cs="Arial"/>
          <w:color w:val="000000"/>
          <w:sz w:val="22"/>
          <w:lang w:val="es-ES"/>
        </w:rPr>
        <w:t xml:space="preserve">o aquellas piezas del proceso </w:t>
      </w:r>
      <w:r w:rsidR="00570CFF" w:rsidRPr="00570CFF">
        <w:rPr>
          <w:rFonts w:ascii="Arial" w:eastAsia="Calibri" w:hAnsi="Arial" w:cs="Arial"/>
          <w:color w:val="000000"/>
          <w:sz w:val="22"/>
          <w:lang w:val="es-ES"/>
        </w:rPr>
        <w:t>que no se encuadr</w:t>
      </w:r>
      <w:r w:rsidR="00570CFF">
        <w:rPr>
          <w:rFonts w:ascii="Arial" w:eastAsia="Calibri" w:hAnsi="Arial" w:cs="Arial"/>
          <w:color w:val="000000"/>
          <w:sz w:val="22"/>
          <w:lang w:val="es-ES"/>
        </w:rPr>
        <w:t>en</w:t>
      </w:r>
      <w:r w:rsidR="00570CFF" w:rsidRPr="00570CFF">
        <w:rPr>
          <w:rFonts w:ascii="Arial" w:eastAsia="Calibri" w:hAnsi="Arial" w:cs="Arial"/>
          <w:color w:val="000000"/>
          <w:sz w:val="22"/>
          <w:lang w:val="es-ES"/>
        </w:rPr>
        <w:t xml:space="preserve"> dentro de la respectiva</w:t>
      </w:r>
      <w:r w:rsidR="00C91E31">
        <w:rPr>
          <w:rFonts w:ascii="Arial" w:eastAsia="Calibri" w:hAnsi="Arial" w:cs="Arial"/>
          <w:color w:val="000000"/>
          <w:sz w:val="22"/>
          <w:lang w:val="es-ES"/>
        </w:rPr>
        <w:t xml:space="preserve"> causal de</w:t>
      </w:r>
      <w:r w:rsidR="00570CFF" w:rsidRPr="00570CFF">
        <w:rPr>
          <w:rFonts w:ascii="Arial" w:eastAsia="Calibri" w:hAnsi="Arial" w:cs="Arial"/>
          <w:color w:val="000000"/>
          <w:sz w:val="22"/>
          <w:lang w:val="es-ES"/>
        </w:rPr>
        <w:t xml:space="preserve"> reserva</w:t>
      </w:r>
      <w:r w:rsidR="00570CFF">
        <w:rPr>
          <w:rFonts w:ascii="Arial" w:eastAsia="Calibri" w:hAnsi="Arial" w:cs="Arial"/>
          <w:color w:val="000000"/>
          <w:sz w:val="22"/>
          <w:lang w:val="es-ES"/>
        </w:rPr>
        <w:t xml:space="preserve"> de conformidad con lo señalado por el artículo 21 de la Ley 1712 de 2014</w:t>
      </w:r>
      <w:r w:rsidR="00570CFF" w:rsidRPr="00570CFF">
        <w:rPr>
          <w:rFonts w:ascii="Arial" w:eastAsia="Calibri" w:hAnsi="Arial" w:cs="Arial"/>
          <w:color w:val="000000"/>
          <w:sz w:val="22"/>
          <w:lang w:val="es-ES"/>
        </w:rPr>
        <w:t>.</w:t>
      </w:r>
    </w:p>
    <w:p w14:paraId="5266C421" w14:textId="0969F349" w:rsidR="00C534BB" w:rsidRDefault="00570CFF" w:rsidP="00CB0625">
      <w:pPr>
        <w:spacing w:after="120" w:line="276" w:lineRule="auto"/>
        <w:ind w:firstLine="708"/>
        <w:jc w:val="both"/>
        <w:rPr>
          <w:rFonts w:ascii="Arial" w:eastAsia="Calibri" w:hAnsi="Arial" w:cs="Arial"/>
          <w:sz w:val="22"/>
          <w:lang w:val="es-ES" w:eastAsia="en-GB"/>
        </w:rPr>
      </w:pPr>
      <w:r>
        <w:rPr>
          <w:rFonts w:ascii="Arial" w:eastAsia="Calibri" w:hAnsi="Arial" w:cs="Arial"/>
          <w:sz w:val="22"/>
          <w:lang w:val="es-ES" w:eastAsia="en-GB"/>
        </w:rPr>
        <w:t>De otra parte, s</w:t>
      </w:r>
      <w:r w:rsidR="00C534BB" w:rsidRPr="00C534BB">
        <w:rPr>
          <w:rFonts w:ascii="Arial" w:eastAsia="Calibri" w:hAnsi="Arial" w:cs="Arial"/>
          <w:sz w:val="22"/>
          <w:lang w:val="es-ES" w:eastAsia="en-GB"/>
        </w:rPr>
        <w:t>egún se indicó, las empresas públicas del Estado, y aquellas donde este tenga participación, son sujetos obligados, según el literal e) del artículo 5 de la Ley 1712 de 2015</w:t>
      </w:r>
      <w:r w:rsidR="00C534BB" w:rsidRPr="00C534BB">
        <w:rPr>
          <w:rFonts w:ascii="Arial" w:eastAsia="Calibri" w:hAnsi="Arial" w:cs="Arial"/>
          <w:sz w:val="22"/>
          <w:vertAlign w:val="superscript"/>
          <w:lang w:val="es-ES" w:eastAsia="en-GB"/>
        </w:rPr>
        <w:footnoteReference w:id="14"/>
      </w:r>
      <w:r w:rsidR="00C534BB" w:rsidRPr="00C534BB">
        <w:rPr>
          <w:rFonts w:ascii="Arial" w:eastAsia="Calibri" w:hAnsi="Arial" w:cs="Arial"/>
          <w:sz w:val="22"/>
          <w:lang w:val="es-ES" w:eastAsia="en-GB"/>
        </w:rPr>
        <w:t xml:space="preserve"> y, en consecuencia, se encuentran obligadas a publicar el plan anual de adquisiciones</w:t>
      </w:r>
      <w:r>
        <w:rPr>
          <w:rFonts w:ascii="Arial" w:eastAsia="Calibri" w:hAnsi="Arial" w:cs="Arial"/>
          <w:sz w:val="22"/>
          <w:lang w:val="es-ES" w:eastAsia="en-GB"/>
        </w:rPr>
        <w:t xml:space="preserve"> en relación con toda la contratación que realicen con cargo a recursos públicos</w:t>
      </w:r>
      <w:r w:rsidR="00C534BB" w:rsidRPr="00C534BB">
        <w:rPr>
          <w:rFonts w:ascii="Arial" w:eastAsia="Calibri" w:hAnsi="Arial" w:cs="Arial"/>
          <w:sz w:val="22"/>
          <w:lang w:val="es-ES" w:eastAsia="en-GB"/>
        </w:rPr>
        <w:t xml:space="preserve">. </w:t>
      </w:r>
    </w:p>
    <w:p w14:paraId="09FBC47A" w14:textId="52EF5BD1" w:rsidR="003E71F1" w:rsidRDefault="00570CFF" w:rsidP="003E71F1">
      <w:pPr>
        <w:tabs>
          <w:tab w:val="left" w:pos="426"/>
        </w:tabs>
        <w:spacing w:after="120" w:line="276" w:lineRule="auto"/>
        <w:ind w:firstLine="709"/>
        <w:jc w:val="both"/>
        <w:rPr>
          <w:rFonts w:ascii="Arial" w:eastAsia="Calibri" w:hAnsi="Arial" w:cs="Arial"/>
          <w:color w:val="000000"/>
          <w:sz w:val="22"/>
          <w:lang w:val="es-ES" w:eastAsia="en-GB"/>
        </w:rPr>
      </w:pPr>
      <w:r>
        <w:rPr>
          <w:rFonts w:ascii="Arial" w:eastAsia="Calibri" w:hAnsi="Arial" w:cs="Arial"/>
          <w:color w:val="000000"/>
          <w:sz w:val="22"/>
          <w:lang w:val="es-ES" w:eastAsia="en-GB"/>
        </w:rPr>
        <w:t xml:space="preserve">No obstante, </w:t>
      </w:r>
      <w:r w:rsidR="003E71F1">
        <w:rPr>
          <w:rFonts w:ascii="Arial" w:eastAsia="Calibri" w:hAnsi="Arial" w:cs="Arial"/>
          <w:color w:val="000000"/>
          <w:sz w:val="22"/>
          <w:lang w:val="es-ES" w:eastAsia="en-GB"/>
        </w:rPr>
        <w:t xml:space="preserve">la Ley 1474 de 2011 establece una norma adicional que es relevante mencionar. El parágrafo del artículo 74 de la Ley 1474 de 2011 señala que las empresas industriales y comerciales del estado y las sociedades de economía mixta no están obligadas a publicar información relacionada con </w:t>
      </w:r>
      <w:r w:rsidR="00C534BB" w:rsidRPr="00C534BB">
        <w:rPr>
          <w:rFonts w:ascii="Arial" w:eastAsia="Calibri" w:hAnsi="Arial" w:cs="Arial"/>
          <w:color w:val="000000"/>
          <w:sz w:val="22"/>
          <w:lang w:val="es-ES" w:eastAsia="en-GB"/>
        </w:rPr>
        <w:t>los «proyectos de inversiones»</w:t>
      </w:r>
      <w:r w:rsidR="003E71F1">
        <w:rPr>
          <w:rFonts w:ascii="Arial" w:eastAsia="Calibri" w:hAnsi="Arial" w:cs="Arial"/>
          <w:color w:val="000000"/>
          <w:sz w:val="22"/>
          <w:lang w:val="es-ES" w:eastAsia="en-GB"/>
        </w:rPr>
        <w:t>.</w:t>
      </w:r>
    </w:p>
    <w:p w14:paraId="41B15C6A" w14:textId="78DBE314" w:rsidR="00F01C26" w:rsidRPr="00AB7442" w:rsidRDefault="003E71F1" w:rsidP="00AB7442">
      <w:pPr>
        <w:tabs>
          <w:tab w:val="left" w:pos="426"/>
        </w:tabs>
        <w:spacing w:after="120" w:line="276" w:lineRule="auto"/>
        <w:ind w:firstLine="709"/>
        <w:jc w:val="both"/>
        <w:rPr>
          <w:rFonts w:ascii="Arial" w:eastAsia="Calibri" w:hAnsi="Arial" w:cs="Arial"/>
          <w:color w:val="000000"/>
          <w:sz w:val="22"/>
          <w:lang w:val="es-ES" w:eastAsia="en-GB"/>
        </w:rPr>
      </w:pPr>
      <w:r>
        <w:rPr>
          <w:rFonts w:ascii="Arial" w:eastAsia="Calibri" w:hAnsi="Arial" w:cs="Arial"/>
          <w:color w:val="000000"/>
          <w:sz w:val="22"/>
          <w:lang w:val="es-ES" w:eastAsia="en-GB"/>
        </w:rPr>
        <w:t xml:space="preserve">Ello quiere decir que, pese a la obligación general de publicar el Plan Anual que existe para las Sociedades de Economía Mixta, esta obligación no se extiende a los proyectos de inversiones. </w:t>
      </w:r>
      <w:r w:rsidR="00C534BB" w:rsidRPr="00C534BB">
        <w:rPr>
          <w:rFonts w:ascii="Arial" w:eastAsia="Calibri" w:hAnsi="Arial" w:cs="Arial"/>
          <w:color w:val="000000"/>
          <w:sz w:val="22"/>
          <w:lang w:val="es-ES" w:eastAsia="en-GB"/>
        </w:rPr>
        <w:t xml:space="preserve"> </w:t>
      </w:r>
    </w:p>
    <w:p w14:paraId="68B40360" w14:textId="77777777" w:rsidR="00AB7442" w:rsidRDefault="00AB7442" w:rsidP="008606DB">
      <w:pPr>
        <w:spacing w:line="276" w:lineRule="auto"/>
        <w:jc w:val="both"/>
        <w:rPr>
          <w:rFonts w:ascii="Arial" w:eastAsia="Calibri" w:hAnsi="Arial" w:cs="Arial"/>
          <w:b/>
          <w:color w:val="000000"/>
          <w:sz w:val="22"/>
          <w:lang w:val="es-CO"/>
        </w:rPr>
      </w:pPr>
    </w:p>
    <w:p w14:paraId="3F76111D" w14:textId="26A37B0A" w:rsidR="008606DB" w:rsidRPr="008606DB" w:rsidRDefault="008606DB" w:rsidP="008606DB">
      <w:pPr>
        <w:spacing w:line="276" w:lineRule="auto"/>
        <w:jc w:val="both"/>
        <w:rPr>
          <w:rFonts w:ascii="Arial" w:eastAsia="Calibri" w:hAnsi="Arial" w:cs="Arial"/>
          <w:b/>
          <w:color w:val="000000"/>
          <w:sz w:val="22"/>
          <w:lang w:val="es-CO"/>
        </w:rPr>
      </w:pPr>
      <w:r w:rsidRPr="008606DB">
        <w:rPr>
          <w:rFonts w:ascii="Arial" w:eastAsia="Calibri" w:hAnsi="Arial" w:cs="Arial"/>
          <w:b/>
          <w:color w:val="000000"/>
          <w:sz w:val="22"/>
          <w:lang w:val="es-CO"/>
        </w:rPr>
        <w:t xml:space="preserve">3. Respuestas </w:t>
      </w:r>
    </w:p>
    <w:p w14:paraId="4334E8BD" w14:textId="21EC2DA4" w:rsidR="001D0959" w:rsidRDefault="001D0959" w:rsidP="001D0959">
      <w:pPr>
        <w:spacing w:line="276" w:lineRule="auto"/>
        <w:ind w:firstLine="709"/>
        <w:jc w:val="both"/>
        <w:rPr>
          <w:rFonts w:ascii="Arial" w:eastAsia="Calibri" w:hAnsi="Arial" w:cs="Arial"/>
          <w:color w:val="000000"/>
          <w:sz w:val="22"/>
          <w:lang w:val="es-CO"/>
        </w:rPr>
      </w:pPr>
    </w:p>
    <w:p w14:paraId="76A21441" w14:textId="0BBCE2E5" w:rsidR="008606DB" w:rsidRPr="00570CFF" w:rsidRDefault="00570CFF" w:rsidP="00F625CA">
      <w:pPr>
        <w:ind w:left="709" w:right="900"/>
        <w:jc w:val="both"/>
        <w:rPr>
          <w:rFonts w:ascii="Arial" w:eastAsia="Calibri" w:hAnsi="Arial" w:cs="Arial"/>
          <w:color w:val="000000"/>
          <w:sz w:val="21"/>
          <w:szCs w:val="21"/>
        </w:rPr>
      </w:pPr>
      <w:r w:rsidRPr="00CB0625">
        <w:rPr>
          <w:rFonts w:ascii="Arial" w:eastAsia="Calibri" w:hAnsi="Arial" w:cs="Arial"/>
          <w:color w:val="000000"/>
          <w:sz w:val="21"/>
          <w:szCs w:val="21"/>
        </w:rPr>
        <w:t>«</w:t>
      </w:r>
      <w:r w:rsidR="0005301E" w:rsidRPr="00570CFF">
        <w:rPr>
          <w:rFonts w:ascii="Arial" w:eastAsia="Calibri" w:hAnsi="Arial" w:cs="Arial"/>
          <w:color w:val="000000"/>
          <w:sz w:val="21"/>
          <w:szCs w:val="21"/>
        </w:rPr>
        <w:t>(i) ¿Qué información de la actividad contractual debe publicar en el SECOP una sociedad de economía mixta, que tiene régimen de contratación especial y cuya participación pública es inferior al 90% y superior al 50%?</w:t>
      </w:r>
      <w:r w:rsidRPr="00CB0625">
        <w:rPr>
          <w:rFonts w:ascii="Arial" w:eastAsia="Calibri" w:hAnsi="Arial" w:cs="Arial"/>
          <w:color w:val="000000"/>
          <w:sz w:val="21"/>
          <w:szCs w:val="21"/>
        </w:rPr>
        <w:t>»</w:t>
      </w:r>
      <w:r w:rsidR="0005301E" w:rsidRPr="00570CFF">
        <w:rPr>
          <w:rFonts w:ascii="Arial" w:eastAsia="Calibri" w:hAnsi="Arial" w:cs="Arial"/>
          <w:color w:val="000000"/>
          <w:sz w:val="21"/>
          <w:szCs w:val="21"/>
        </w:rPr>
        <w:t xml:space="preserve"> </w:t>
      </w:r>
    </w:p>
    <w:p w14:paraId="11D0D817" w14:textId="77777777" w:rsidR="008606DB" w:rsidRDefault="008606DB" w:rsidP="008606DB">
      <w:pPr>
        <w:spacing w:line="276" w:lineRule="auto"/>
        <w:jc w:val="both"/>
        <w:rPr>
          <w:rFonts w:ascii="Arial" w:eastAsia="Calibri" w:hAnsi="Arial" w:cs="Arial"/>
          <w:color w:val="000000"/>
          <w:sz w:val="22"/>
        </w:rPr>
      </w:pPr>
    </w:p>
    <w:p w14:paraId="2C523063" w14:textId="43289913" w:rsidR="008009D5" w:rsidRDefault="008009D5" w:rsidP="008009D5">
      <w:pPr>
        <w:spacing w:after="120" w:line="276" w:lineRule="auto"/>
        <w:jc w:val="both"/>
        <w:rPr>
          <w:rFonts w:ascii="Arial" w:eastAsia="Calibri" w:hAnsi="Arial" w:cs="Arial"/>
          <w:color w:val="000000"/>
          <w:sz w:val="22"/>
          <w:lang w:val="es-CO"/>
        </w:rPr>
      </w:pPr>
      <w:r w:rsidRPr="008009D5">
        <w:rPr>
          <w:rFonts w:ascii="Arial" w:eastAsia="Calibri" w:hAnsi="Arial" w:cs="Arial"/>
          <w:color w:val="000000"/>
          <w:sz w:val="22"/>
          <w:lang w:val="es-CO"/>
        </w:rPr>
        <w:t xml:space="preserve">De conformidad con lo anterior, el Decreto 1081 de 2015 señala que los documentos que deben publicar las entidades del </w:t>
      </w:r>
      <w:r w:rsidR="00BF474B">
        <w:rPr>
          <w:rFonts w:ascii="Arial" w:eastAsia="Calibri" w:hAnsi="Arial" w:cs="Arial"/>
          <w:color w:val="000000"/>
          <w:sz w:val="22"/>
          <w:lang w:val="es-CO"/>
        </w:rPr>
        <w:t>E</w:t>
      </w:r>
      <w:r w:rsidRPr="008009D5">
        <w:rPr>
          <w:rFonts w:ascii="Arial" w:eastAsia="Calibri" w:hAnsi="Arial" w:cs="Arial"/>
          <w:color w:val="000000"/>
          <w:sz w:val="22"/>
          <w:lang w:val="es-CO"/>
        </w:rPr>
        <w:t xml:space="preserve">stado comprendidas en el ámbito de aplicación de la Ley 1712 de 2014, entre estas, por ejemplo, las </w:t>
      </w:r>
      <w:r w:rsidR="00BF474B">
        <w:rPr>
          <w:rFonts w:ascii="Arial" w:eastAsia="Calibri" w:hAnsi="Arial" w:cs="Arial"/>
          <w:color w:val="000000"/>
          <w:sz w:val="22"/>
          <w:lang w:val="es-CO"/>
        </w:rPr>
        <w:t>sociedades</w:t>
      </w:r>
      <w:r w:rsidR="00BF474B" w:rsidRPr="008009D5">
        <w:rPr>
          <w:rFonts w:ascii="Arial" w:eastAsia="Calibri" w:hAnsi="Arial" w:cs="Arial"/>
          <w:color w:val="000000"/>
          <w:sz w:val="22"/>
          <w:lang w:val="es-CO"/>
        </w:rPr>
        <w:t xml:space="preserve"> </w:t>
      </w:r>
      <w:r w:rsidRPr="008009D5">
        <w:rPr>
          <w:rFonts w:ascii="Arial" w:eastAsia="Calibri" w:hAnsi="Arial" w:cs="Arial"/>
          <w:color w:val="000000"/>
          <w:sz w:val="22"/>
          <w:lang w:val="es-CO"/>
        </w:rPr>
        <w:t xml:space="preserve">de economía mixta,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6B228331" w14:textId="77777777" w:rsidR="008009D5" w:rsidRPr="003D3A3E" w:rsidRDefault="008009D5" w:rsidP="008009D5">
      <w:pPr>
        <w:spacing w:after="120" w:line="276" w:lineRule="auto"/>
        <w:ind w:firstLine="709"/>
        <w:jc w:val="both"/>
        <w:rPr>
          <w:rFonts w:ascii="Arial" w:eastAsia="Calibri" w:hAnsi="Arial" w:cs="Arial"/>
          <w:color w:val="000000"/>
          <w:sz w:val="22"/>
          <w:lang w:val="es-CO"/>
        </w:rPr>
      </w:pPr>
      <w:r>
        <w:rPr>
          <w:rFonts w:ascii="Arial" w:eastAsia="Calibri" w:hAnsi="Arial" w:cs="Arial"/>
          <w:color w:val="000000"/>
          <w:sz w:val="22"/>
          <w:lang w:val="es-CO"/>
        </w:rPr>
        <w:t>E</w:t>
      </w:r>
      <w:r w:rsidRPr="003D3A3E">
        <w:rPr>
          <w:rFonts w:ascii="Arial" w:eastAsia="Calibri" w:hAnsi="Arial" w:cs="Arial"/>
          <w:color w:val="000000"/>
          <w:sz w:val="22"/>
          <w:lang w:val="es-CO"/>
        </w:rPr>
        <w:t>stas entidades están sometidas al derecho privado, y por lo tanto no realizan sus procesos de contratación mediante las modalidades previstas en la Ley 80 de 1993,</w:t>
      </w:r>
      <w:r>
        <w:rPr>
          <w:rFonts w:ascii="Arial" w:eastAsia="Calibri" w:hAnsi="Arial" w:cs="Arial"/>
          <w:color w:val="000000"/>
          <w:sz w:val="22"/>
          <w:lang w:val="es-CO"/>
        </w:rPr>
        <w:t xml:space="preserve"> por lo cual</w:t>
      </w:r>
      <w:r w:rsidRPr="003D3A3E">
        <w:rPr>
          <w:rFonts w:ascii="Arial" w:eastAsia="Calibri" w:hAnsi="Arial" w:cs="Arial"/>
          <w:color w:val="000000"/>
          <w:sz w:val="22"/>
          <w:lang w:val="es-CO"/>
        </w:rPr>
        <w:t xml:space="preserve"> cada una definirá en su manual el procedimiento para contratar sus bienes y servicios. </w:t>
      </w:r>
    </w:p>
    <w:p w14:paraId="59995A1A" w14:textId="7641B2FF" w:rsidR="008009D5" w:rsidRPr="008009D5" w:rsidRDefault="008009D5" w:rsidP="008009D5">
      <w:pPr>
        <w:spacing w:after="120" w:line="276" w:lineRule="auto"/>
        <w:ind w:firstLine="709"/>
        <w:jc w:val="both"/>
        <w:rPr>
          <w:rFonts w:ascii="Arial" w:eastAsia="Calibri" w:hAnsi="Arial" w:cs="Arial"/>
          <w:color w:val="000000"/>
          <w:sz w:val="22"/>
          <w:lang w:val="es-CO"/>
        </w:rPr>
      </w:pPr>
      <w:r w:rsidRPr="003D3A3E">
        <w:rPr>
          <w:rFonts w:ascii="Arial" w:eastAsia="Calibri" w:hAnsi="Arial" w:cs="Arial"/>
          <w:color w:val="000000"/>
          <w:sz w:val="22"/>
          <w:lang w:val="es-CO"/>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263D5B40" w14:textId="1CDF2F90" w:rsidR="008009D5" w:rsidRDefault="008009D5" w:rsidP="008009D5">
      <w:pPr>
        <w:spacing w:line="276" w:lineRule="auto"/>
        <w:ind w:firstLine="709"/>
        <w:jc w:val="both"/>
        <w:rPr>
          <w:rFonts w:ascii="Arial" w:eastAsia="Calibri" w:hAnsi="Arial" w:cs="Arial"/>
          <w:color w:val="000000"/>
          <w:sz w:val="22"/>
          <w:lang w:val="es-CO"/>
        </w:rPr>
      </w:pPr>
      <w:r w:rsidRPr="003D3A3E">
        <w:rPr>
          <w:rFonts w:ascii="Arial" w:eastAsia="Calibri" w:hAnsi="Arial" w:cs="Arial"/>
          <w:color w:val="000000"/>
          <w:sz w:val="22"/>
          <w:lang w:val="es-CO"/>
        </w:rPr>
        <w:t>Igualmente, se tiene que</w:t>
      </w:r>
      <w:r>
        <w:rPr>
          <w:rFonts w:ascii="Arial" w:eastAsia="Calibri" w:hAnsi="Arial" w:cs="Arial"/>
          <w:color w:val="000000"/>
          <w:sz w:val="22"/>
          <w:lang w:val="es-CO"/>
        </w:rPr>
        <w:t xml:space="preserve"> poner de presente que</w:t>
      </w:r>
      <w:r w:rsidRPr="003D3A3E">
        <w:rPr>
          <w:rFonts w:ascii="Arial" w:eastAsia="Calibri" w:hAnsi="Arial" w:cs="Arial"/>
          <w:color w:val="000000"/>
          <w:sz w:val="22"/>
          <w:lang w:val="es-CO"/>
        </w:rPr>
        <w:t xml:space="preserve">, excepcionalmente, las entidades no </w:t>
      </w:r>
      <w:r>
        <w:rPr>
          <w:rFonts w:ascii="Arial" w:eastAsia="Calibri" w:hAnsi="Arial" w:cs="Arial"/>
          <w:color w:val="000000"/>
          <w:sz w:val="22"/>
          <w:lang w:val="es-CO"/>
        </w:rPr>
        <w:t>se encuentran obligadas a publicar tal documentación</w:t>
      </w:r>
      <w:r w:rsidR="006F4E73">
        <w:rPr>
          <w:rFonts w:ascii="Arial" w:eastAsia="Calibri" w:hAnsi="Arial" w:cs="Arial"/>
          <w:color w:val="000000"/>
          <w:sz w:val="22"/>
          <w:lang w:val="es-CO"/>
        </w:rPr>
        <w:t>.</w:t>
      </w:r>
      <w:r>
        <w:rPr>
          <w:rFonts w:ascii="Arial" w:eastAsia="Calibri" w:hAnsi="Arial" w:cs="Arial"/>
          <w:color w:val="000000"/>
          <w:sz w:val="22"/>
          <w:lang w:val="es-CO"/>
        </w:rPr>
        <w:t xml:space="preserve"> </w:t>
      </w:r>
      <w:r w:rsidR="006F4E73">
        <w:rPr>
          <w:rFonts w:ascii="Arial" w:eastAsia="Calibri" w:hAnsi="Arial" w:cs="Arial"/>
          <w:color w:val="000000"/>
          <w:sz w:val="22"/>
          <w:lang w:val="es-CO"/>
        </w:rPr>
        <w:t>T</w:t>
      </w:r>
      <w:r>
        <w:rPr>
          <w:rFonts w:ascii="Arial" w:eastAsia="Calibri" w:hAnsi="Arial" w:cs="Arial"/>
          <w:color w:val="000000"/>
          <w:sz w:val="22"/>
          <w:lang w:val="es-CO"/>
        </w:rPr>
        <w:t xml:space="preserve">al excepción puede provenir, por ejemplo, del hecho de que la contratación no se hará con cargo a recursos públicos, o porque existe una expresa disposición legal en ese sentido, como sería el caso de la información sometida a reserva por razones industriales o comerciales, o la publicación relacionada con proyectos de inversión para el caso concreto del Plan Anual de Adquisiciones. </w:t>
      </w:r>
    </w:p>
    <w:p w14:paraId="0908BE9F" w14:textId="77777777" w:rsidR="008606DB" w:rsidRPr="008009D5" w:rsidRDefault="008606DB" w:rsidP="008606DB">
      <w:pPr>
        <w:spacing w:line="276" w:lineRule="auto"/>
        <w:jc w:val="both"/>
        <w:rPr>
          <w:rFonts w:ascii="Arial" w:eastAsia="Calibri" w:hAnsi="Arial" w:cs="Arial"/>
          <w:color w:val="000000"/>
          <w:sz w:val="22"/>
          <w:lang w:val="es-CO"/>
        </w:rPr>
      </w:pPr>
    </w:p>
    <w:p w14:paraId="22CD8C2E" w14:textId="3D6D7E21" w:rsidR="008606DB" w:rsidRPr="00570CFF" w:rsidRDefault="0005301E" w:rsidP="00F625CA">
      <w:pPr>
        <w:ind w:left="709" w:right="900"/>
        <w:jc w:val="both"/>
        <w:rPr>
          <w:rFonts w:ascii="Arial" w:eastAsia="Calibri" w:hAnsi="Arial" w:cs="Arial"/>
          <w:color w:val="000000"/>
          <w:sz w:val="21"/>
          <w:szCs w:val="21"/>
        </w:rPr>
      </w:pPr>
      <w:r w:rsidRPr="00F625CA">
        <w:rPr>
          <w:rFonts w:ascii="Arial" w:eastAsia="Calibri" w:hAnsi="Arial" w:cs="Arial"/>
          <w:color w:val="000000"/>
          <w:sz w:val="21"/>
          <w:szCs w:val="21"/>
        </w:rPr>
        <w:t xml:space="preserve">(ii) </w:t>
      </w:r>
      <w:r w:rsidR="00570CFF" w:rsidRPr="00CB0625">
        <w:rPr>
          <w:rFonts w:ascii="Arial" w:eastAsia="Calibri" w:hAnsi="Arial" w:cs="Arial"/>
          <w:color w:val="000000"/>
          <w:sz w:val="21"/>
          <w:szCs w:val="21"/>
        </w:rPr>
        <w:t>«</w:t>
      </w:r>
      <w:r w:rsidRPr="00570CFF">
        <w:rPr>
          <w:rFonts w:ascii="Arial" w:eastAsia="Calibri" w:hAnsi="Arial" w:cs="Arial"/>
          <w:color w:val="000000"/>
          <w:sz w:val="21"/>
          <w:szCs w:val="21"/>
        </w:rPr>
        <w:t>¿Cuál es el fundamento normativo que obliga a las sociedades de economía mixta con régimen de contratación especial a publicar información de la gestión contractual en el SECOP?</w:t>
      </w:r>
      <w:r w:rsidR="00570CFF" w:rsidRPr="00CB0625">
        <w:rPr>
          <w:rFonts w:ascii="Arial" w:eastAsia="Calibri" w:hAnsi="Arial" w:cs="Arial"/>
          <w:color w:val="000000"/>
          <w:sz w:val="21"/>
          <w:szCs w:val="21"/>
        </w:rPr>
        <w:t>»</w:t>
      </w:r>
      <w:r w:rsidRPr="00570CFF">
        <w:rPr>
          <w:rFonts w:ascii="Arial" w:eastAsia="Calibri" w:hAnsi="Arial" w:cs="Arial"/>
          <w:color w:val="000000"/>
          <w:sz w:val="21"/>
          <w:szCs w:val="21"/>
        </w:rPr>
        <w:t xml:space="preserve"> </w:t>
      </w:r>
    </w:p>
    <w:p w14:paraId="2E88990C" w14:textId="42AE1F71" w:rsidR="008606DB" w:rsidRDefault="008606DB" w:rsidP="008606DB">
      <w:pPr>
        <w:spacing w:line="276" w:lineRule="auto"/>
        <w:jc w:val="both"/>
        <w:rPr>
          <w:rFonts w:ascii="Arial" w:eastAsia="Calibri" w:hAnsi="Arial" w:cs="Arial"/>
          <w:color w:val="000000"/>
          <w:sz w:val="22"/>
        </w:rPr>
      </w:pPr>
    </w:p>
    <w:p w14:paraId="30568158" w14:textId="3173A628" w:rsidR="008009D5" w:rsidRPr="008009D5" w:rsidRDefault="008009D5" w:rsidP="008009D5">
      <w:pPr>
        <w:spacing w:after="120" w:line="276" w:lineRule="auto"/>
        <w:jc w:val="both"/>
        <w:rPr>
          <w:rFonts w:ascii="Arial" w:eastAsia="Calibri" w:hAnsi="Arial" w:cs="Arial"/>
          <w:color w:val="000000"/>
          <w:sz w:val="22"/>
        </w:rPr>
      </w:pPr>
      <w:r>
        <w:rPr>
          <w:rFonts w:ascii="Arial" w:eastAsia="Calibri" w:hAnsi="Arial" w:cs="Arial"/>
          <w:color w:val="000000"/>
          <w:sz w:val="22"/>
        </w:rPr>
        <w:t>E</w:t>
      </w:r>
      <w:r w:rsidRPr="003D3A3E">
        <w:rPr>
          <w:rFonts w:ascii="Arial" w:eastAsia="Calibri" w:hAnsi="Arial" w:cs="Arial"/>
          <w:color w:val="000000"/>
          <w:sz w:val="22"/>
        </w:rPr>
        <w:t>n relación con la contratación estatal, el literal c) del artículo 3 de la Ley 1150 de 2007 establece que la herramienta para tales fines es el Sistema Electrónico para la Contratación Pública «SECOP», que, según dicha norma, «contará con la información oficial de la contratación realizada con dineros públicos, para lo cual establecerá los patrones a que haya lugar y se encargará de su difusión a través de canales electrónicos»</w:t>
      </w:r>
      <w:r w:rsidRPr="003D3A3E">
        <w:rPr>
          <w:rFonts w:ascii="Arial" w:eastAsia="Calibri" w:hAnsi="Arial" w:cs="Arial"/>
          <w:color w:val="000000"/>
          <w:sz w:val="22"/>
          <w:vertAlign w:val="superscript"/>
        </w:rPr>
        <w:footnoteReference w:id="15"/>
      </w:r>
      <w:r w:rsidRPr="003D3A3E">
        <w:rPr>
          <w:rFonts w:ascii="Arial" w:eastAsia="Calibri" w:hAnsi="Arial" w:cs="Arial"/>
          <w:color w:val="000000"/>
          <w:sz w:val="22"/>
        </w:rPr>
        <w:t>.</w:t>
      </w:r>
    </w:p>
    <w:p w14:paraId="01ACD6C7" w14:textId="41C3995F" w:rsidR="008009D5" w:rsidRPr="004B63AC" w:rsidRDefault="008009D5" w:rsidP="008009D5">
      <w:pPr>
        <w:spacing w:after="120" w:line="276" w:lineRule="auto"/>
        <w:ind w:firstLine="709"/>
        <w:jc w:val="both"/>
        <w:rPr>
          <w:rFonts w:ascii="Arial" w:eastAsia="Calibri" w:hAnsi="Arial" w:cs="Arial"/>
          <w:bCs/>
          <w:color w:val="000000"/>
          <w:sz w:val="22"/>
          <w:lang w:val="es-CO"/>
        </w:rPr>
      </w:pPr>
      <w:r>
        <w:rPr>
          <w:rFonts w:ascii="Arial" w:eastAsia="Calibri" w:hAnsi="Arial" w:cs="Arial"/>
          <w:sz w:val="22"/>
          <w:lang w:val="es-ES"/>
        </w:rPr>
        <w:t>El artículo 5 de la Ley 1712 de 2014</w:t>
      </w:r>
      <w:r w:rsidRPr="0050010C">
        <w:rPr>
          <w:rFonts w:ascii="Arial" w:eastAsia="Calibri" w:hAnsi="Arial" w:cs="Arial"/>
          <w:sz w:val="22"/>
          <w:lang w:val="es-ES"/>
        </w:rPr>
        <w:t xml:space="preserve"> contiene una lista cuyo propósito es incluir a cualquier entidad, órgano, organismo, o persona natural que </w:t>
      </w:r>
      <w:r w:rsidRPr="00570CFF">
        <w:rPr>
          <w:rFonts w:ascii="Arial" w:eastAsia="Calibri" w:hAnsi="Arial" w:cs="Arial"/>
          <w:sz w:val="22"/>
          <w:lang w:val="es-ES"/>
        </w:rPr>
        <w:t>desempeñe</w:t>
      </w:r>
      <w:r w:rsidRPr="0050010C">
        <w:rPr>
          <w:rFonts w:ascii="Arial" w:eastAsia="Calibri" w:hAnsi="Arial" w:cs="Arial"/>
          <w:sz w:val="22"/>
          <w:lang w:val="es-ES"/>
        </w:rPr>
        <w:t xml:space="preserve"> función pública o </w:t>
      </w:r>
      <w:r w:rsidR="00570CFF">
        <w:rPr>
          <w:rFonts w:ascii="Arial" w:eastAsia="Calibri" w:hAnsi="Arial" w:cs="Arial"/>
          <w:sz w:val="22"/>
          <w:lang w:val="es-ES"/>
        </w:rPr>
        <w:t xml:space="preserve">actúe </w:t>
      </w:r>
      <w:r w:rsidRPr="0050010C">
        <w:rPr>
          <w:rFonts w:ascii="Arial" w:eastAsia="Calibri" w:hAnsi="Arial" w:cs="Arial"/>
          <w:sz w:val="22"/>
          <w:lang w:val="es-ES"/>
        </w:rPr>
        <w:t xml:space="preserve">como autoridad. El literal a) estableció que son sujetos obligados «toda entidad pública, incluyendo las pertenecientes a todas las Ramas del Poder Público». </w:t>
      </w:r>
      <w:r>
        <w:rPr>
          <w:rFonts w:ascii="Arial" w:eastAsia="Calibri" w:hAnsi="Arial" w:cs="Arial"/>
          <w:bCs/>
          <w:color w:val="000000"/>
          <w:sz w:val="22"/>
          <w:lang w:val="es-CO"/>
        </w:rPr>
        <w:t>A</w:t>
      </w:r>
      <w:r w:rsidRPr="003D3A3E">
        <w:rPr>
          <w:rFonts w:ascii="Arial" w:eastAsia="Calibri" w:hAnsi="Arial" w:cs="Arial"/>
          <w:bCs/>
          <w:color w:val="000000"/>
          <w:sz w:val="22"/>
          <w:lang w:val="es-CO"/>
        </w:rPr>
        <w:t xml:space="preserve">l ser </w:t>
      </w:r>
      <w:r>
        <w:rPr>
          <w:rFonts w:ascii="Arial" w:eastAsia="Calibri" w:hAnsi="Arial" w:cs="Arial"/>
          <w:bCs/>
          <w:color w:val="000000"/>
          <w:sz w:val="22"/>
          <w:lang w:val="es-CO"/>
        </w:rPr>
        <w:t xml:space="preserve">las sociedades de economía mixta </w:t>
      </w:r>
      <w:r w:rsidRPr="003D3A3E">
        <w:rPr>
          <w:rFonts w:ascii="Arial" w:eastAsia="Calibri" w:hAnsi="Arial" w:cs="Arial"/>
          <w:bCs/>
          <w:color w:val="000000"/>
          <w:sz w:val="22"/>
          <w:lang w:val="es-CO"/>
        </w:rPr>
        <w:t>entidad</w:t>
      </w:r>
      <w:r w:rsidR="006D4234">
        <w:rPr>
          <w:rFonts w:ascii="Arial" w:eastAsia="Calibri" w:hAnsi="Arial" w:cs="Arial"/>
          <w:bCs/>
          <w:color w:val="000000"/>
          <w:sz w:val="22"/>
          <w:lang w:val="es-CO"/>
        </w:rPr>
        <w:t>es</w:t>
      </w:r>
      <w:r w:rsidRPr="003D3A3E">
        <w:rPr>
          <w:rFonts w:ascii="Arial" w:eastAsia="Calibri" w:hAnsi="Arial" w:cs="Arial"/>
          <w:bCs/>
          <w:color w:val="000000"/>
          <w:sz w:val="22"/>
          <w:lang w:val="es-CO"/>
        </w:rPr>
        <w:t xml:space="preserve"> pública</w:t>
      </w:r>
      <w:r w:rsidR="006D4234">
        <w:rPr>
          <w:rFonts w:ascii="Arial" w:eastAsia="Calibri" w:hAnsi="Arial" w:cs="Arial"/>
          <w:bCs/>
          <w:color w:val="000000"/>
          <w:sz w:val="22"/>
          <w:lang w:val="es-CO"/>
        </w:rPr>
        <w:t>s</w:t>
      </w:r>
      <w:r w:rsidRPr="003D3A3E">
        <w:rPr>
          <w:rFonts w:ascii="Arial" w:eastAsia="Calibri" w:hAnsi="Arial" w:cs="Arial"/>
          <w:bCs/>
          <w:color w:val="000000"/>
          <w:sz w:val="22"/>
          <w:lang w:val="es-CO"/>
        </w:rPr>
        <w:t xml:space="preserve"> que hace</w:t>
      </w:r>
      <w:r w:rsidR="006D4234">
        <w:rPr>
          <w:rFonts w:ascii="Arial" w:eastAsia="Calibri" w:hAnsi="Arial" w:cs="Arial"/>
          <w:bCs/>
          <w:color w:val="000000"/>
          <w:sz w:val="22"/>
          <w:lang w:val="es-CO"/>
        </w:rPr>
        <w:t>n</w:t>
      </w:r>
      <w:r w:rsidRPr="003D3A3E">
        <w:rPr>
          <w:rFonts w:ascii="Arial" w:eastAsia="Calibri" w:hAnsi="Arial" w:cs="Arial"/>
          <w:bCs/>
          <w:color w:val="000000"/>
          <w:sz w:val="22"/>
          <w:lang w:val="es-CO"/>
        </w:rPr>
        <w:t xml:space="preserve"> parte de la rama ejecutiva</w:t>
      </w:r>
      <w:r w:rsidR="006D4234">
        <w:rPr>
          <w:rFonts w:ascii="Arial" w:eastAsia="Calibri" w:hAnsi="Arial" w:cs="Arial"/>
          <w:bCs/>
          <w:color w:val="000000"/>
          <w:sz w:val="22"/>
          <w:lang w:val="es-CO"/>
        </w:rPr>
        <w:t xml:space="preserve"> </w:t>
      </w:r>
      <w:r w:rsidRPr="003D3A3E">
        <w:rPr>
          <w:rFonts w:ascii="Arial" w:eastAsia="Calibri" w:hAnsi="Arial" w:cs="Arial"/>
          <w:bCs/>
          <w:color w:val="000000"/>
          <w:sz w:val="22"/>
          <w:lang w:val="es-CO"/>
        </w:rPr>
        <w:t xml:space="preserve">–según lo dispone el artículo 38, numeral 2º, literal f) de la Ley 489 de 1998–, </w:t>
      </w:r>
      <w:r>
        <w:rPr>
          <w:rFonts w:ascii="Arial" w:eastAsia="Calibri" w:hAnsi="Arial" w:cs="Arial"/>
          <w:bCs/>
          <w:color w:val="000000"/>
          <w:sz w:val="22"/>
          <w:lang w:val="es-CO"/>
        </w:rPr>
        <w:t>se inscribe</w:t>
      </w:r>
      <w:r w:rsidR="006D4234">
        <w:rPr>
          <w:rFonts w:ascii="Arial" w:eastAsia="Calibri" w:hAnsi="Arial" w:cs="Arial"/>
          <w:bCs/>
          <w:color w:val="000000"/>
          <w:sz w:val="22"/>
          <w:lang w:val="es-CO"/>
        </w:rPr>
        <w:t>n</w:t>
      </w:r>
      <w:r>
        <w:rPr>
          <w:rFonts w:ascii="Arial" w:eastAsia="Calibri" w:hAnsi="Arial" w:cs="Arial"/>
          <w:bCs/>
          <w:color w:val="000000"/>
          <w:sz w:val="22"/>
          <w:lang w:val="es-CO"/>
        </w:rPr>
        <w:t xml:space="preserve"> en</w:t>
      </w:r>
      <w:r w:rsidRPr="003D3A3E">
        <w:rPr>
          <w:rFonts w:ascii="Arial" w:eastAsia="Calibri" w:hAnsi="Arial" w:cs="Arial"/>
          <w:bCs/>
          <w:color w:val="000000"/>
          <w:sz w:val="22"/>
          <w:lang w:val="es-CO"/>
        </w:rPr>
        <w:t xml:space="preserve"> la categoría de sujeto</w:t>
      </w:r>
      <w:r w:rsidR="006D4234">
        <w:rPr>
          <w:rFonts w:ascii="Arial" w:eastAsia="Calibri" w:hAnsi="Arial" w:cs="Arial"/>
          <w:bCs/>
          <w:color w:val="000000"/>
          <w:sz w:val="22"/>
          <w:lang w:val="es-CO"/>
        </w:rPr>
        <w:t>s</w:t>
      </w:r>
      <w:r w:rsidRPr="003D3A3E">
        <w:rPr>
          <w:rFonts w:ascii="Arial" w:eastAsia="Calibri" w:hAnsi="Arial" w:cs="Arial"/>
          <w:bCs/>
          <w:color w:val="000000"/>
          <w:sz w:val="22"/>
          <w:lang w:val="es-CO"/>
        </w:rPr>
        <w:t xml:space="preserve"> obligado</w:t>
      </w:r>
      <w:r w:rsidR="006D4234">
        <w:rPr>
          <w:rFonts w:ascii="Arial" w:eastAsia="Calibri" w:hAnsi="Arial" w:cs="Arial"/>
          <w:bCs/>
          <w:color w:val="000000"/>
          <w:sz w:val="22"/>
          <w:lang w:val="es-CO"/>
        </w:rPr>
        <w:t>s,</w:t>
      </w:r>
      <w:r w:rsidRPr="003D3A3E">
        <w:rPr>
          <w:rFonts w:ascii="Arial" w:eastAsia="Calibri" w:hAnsi="Arial" w:cs="Arial"/>
          <w:bCs/>
          <w:color w:val="000000"/>
          <w:sz w:val="22"/>
          <w:lang w:val="es-CO"/>
        </w:rPr>
        <w:t xml:space="preserve"> prevista en el artículo 9 de la Ley 1712 de 2014 y en consecuencia debe publicar la información relativa a su contratación en el SECOP, pues  este es un deber de las entidades estatales que contratan con </w:t>
      </w:r>
      <w:r w:rsidRPr="003D3A3E">
        <w:rPr>
          <w:rFonts w:ascii="Arial" w:eastAsia="Calibri" w:hAnsi="Arial" w:cs="Arial"/>
          <w:bCs/>
          <w:i/>
          <w:iCs/>
          <w:color w:val="000000"/>
          <w:sz w:val="22"/>
          <w:lang w:val="es-CO"/>
        </w:rPr>
        <w:t>recursos públicos</w:t>
      </w:r>
      <w:r w:rsidRPr="003D3A3E">
        <w:rPr>
          <w:rFonts w:ascii="Arial" w:eastAsia="Calibri" w:hAnsi="Arial" w:cs="Arial"/>
          <w:bCs/>
          <w:color w:val="000000"/>
          <w:sz w:val="22"/>
          <w:lang w:val="es-CO"/>
        </w:rPr>
        <w:t xml:space="preserve">, independientemente del régimen jurídico aplicable a dicha actividad contractual» </w:t>
      </w:r>
      <w:r w:rsidR="006D4234">
        <w:rPr>
          <w:rFonts w:ascii="Arial" w:eastAsia="Calibri" w:hAnsi="Arial" w:cs="Arial"/>
          <w:bCs/>
          <w:color w:val="000000"/>
          <w:sz w:val="22"/>
          <w:lang w:val="es-CO"/>
        </w:rPr>
        <w:t>[</w:t>
      </w:r>
      <w:r w:rsidRPr="003D3A3E">
        <w:rPr>
          <w:rFonts w:ascii="Arial" w:eastAsia="Calibri" w:hAnsi="Arial" w:cs="Arial"/>
          <w:bCs/>
          <w:color w:val="000000"/>
          <w:sz w:val="22"/>
          <w:lang w:val="es-CO"/>
        </w:rPr>
        <w:t>cursivas propias</w:t>
      </w:r>
      <w:r w:rsidR="006D4234">
        <w:rPr>
          <w:rFonts w:ascii="Arial" w:eastAsia="Calibri" w:hAnsi="Arial" w:cs="Arial"/>
          <w:bCs/>
          <w:color w:val="000000"/>
          <w:sz w:val="22"/>
          <w:lang w:val="es-CO"/>
        </w:rPr>
        <w:t>]</w:t>
      </w:r>
      <w:r w:rsidRPr="003D3A3E">
        <w:rPr>
          <w:rFonts w:ascii="Arial" w:eastAsia="Calibri" w:hAnsi="Arial" w:cs="Arial"/>
          <w:bCs/>
          <w:color w:val="000000"/>
          <w:sz w:val="22"/>
          <w:lang w:val="es-CO"/>
        </w:rPr>
        <w:t>.</w:t>
      </w:r>
    </w:p>
    <w:p w14:paraId="5EB8408C" w14:textId="4019888A" w:rsidR="008009D5" w:rsidRDefault="008009D5" w:rsidP="008009D5">
      <w:pPr>
        <w:tabs>
          <w:tab w:val="left" w:pos="426"/>
          <w:tab w:val="left" w:pos="8505"/>
        </w:tabs>
        <w:spacing w:after="120" w:line="276" w:lineRule="auto"/>
        <w:ind w:firstLine="709"/>
        <w:jc w:val="both"/>
        <w:rPr>
          <w:rFonts w:ascii="Arial" w:eastAsia="Calibri" w:hAnsi="Arial" w:cs="Arial"/>
          <w:sz w:val="22"/>
          <w:lang w:val="es-ES"/>
        </w:rPr>
      </w:pPr>
      <w:r w:rsidRPr="0050010C">
        <w:rPr>
          <w:rFonts w:ascii="Arial" w:eastAsia="Calibri" w:hAnsi="Arial" w:cs="Arial"/>
          <w:sz w:val="22"/>
          <w:lang w:val="es-ES"/>
        </w:rPr>
        <w:t xml:space="preserve"> De manera más clara, el literal e) señaló que las empresas públicas, del Estado y las sociedades en donde el Estado tenga participación son sujetos obligados. Como consecuencia, </w:t>
      </w:r>
      <w:r>
        <w:rPr>
          <w:rFonts w:ascii="Arial" w:eastAsia="Calibri" w:hAnsi="Arial" w:cs="Arial"/>
          <w:sz w:val="22"/>
          <w:lang w:val="es-ES"/>
        </w:rPr>
        <w:t xml:space="preserve">las </w:t>
      </w:r>
      <w:r w:rsidR="00634DC9">
        <w:rPr>
          <w:rFonts w:ascii="Arial" w:eastAsia="Calibri" w:hAnsi="Arial" w:cs="Arial"/>
          <w:sz w:val="22"/>
          <w:lang w:val="es-ES"/>
        </w:rPr>
        <w:t>s</w:t>
      </w:r>
      <w:r>
        <w:rPr>
          <w:rFonts w:ascii="Arial" w:eastAsia="Calibri" w:hAnsi="Arial" w:cs="Arial"/>
          <w:sz w:val="22"/>
          <w:lang w:val="es-ES"/>
        </w:rPr>
        <w:t xml:space="preserve">ociedades de </w:t>
      </w:r>
      <w:r w:rsidR="00634DC9">
        <w:rPr>
          <w:rFonts w:ascii="Arial" w:eastAsia="Calibri" w:hAnsi="Arial" w:cs="Arial"/>
          <w:sz w:val="22"/>
          <w:lang w:val="es-ES"/>
        </w:rPr>
        <w:t>e</w:t>
      </w:r>
      <w:r>
        <w:rPr>
          <w:rFonts w:ascii="Arial" w:eastAsia="Calibri" w:hAnsi="Arial" w:cs="Arial"/>
          <w:sz w:val="22"/>
          <w:lang w:val="es-ES"/>
        </w:rPr>
        <w:t xml:space="preserve">conomía </w:t>
      </w:r>
      <w:r w:rsidR="00634DC9">
        <w:rPr>
          <w:rFonts w:ascii="Arial" w:eastAsia="Calibri" w:hAnsi="Arial" w:cs="Arial"/>
          <w:sz w:val="22"/>
          <w:lang w:val="es-ES"/>
        </w:rPr>
        <w:t>m</w:t>
      </w:r>
      <w:r>
        <w:rPr>
          <w:rFonts w:ascii="Arial" w:eastAsia="Calibri" w:hAnsi="Arial" w:cs="Arial"/>
          <w:sz w:val="22"/>
          <w:lang w:val="es-ES"/>
        </w:rPr>
        <w:t xml:space="preserve">ixta </w:t>
      </w:r>
      <w:r w:rsidRPr="0050010C">
        <w:rPr>
          <w:rFonts w:ascii="Arial" w:eastAsia="Calibri" w:hAnsi="Arial" w:cs="Arial"/>
          <w:sz w:val="22"/>
          <w:lang w:val="es-ES"/>
        </w:rPr>
        <w:t xml:space="preserve">son sujetos obligados para efectos de la Ley 1712 de 2014, pues son empresas en donde el Estado tiene participación. </w:t>
      </w:r>
    </w:p>
    <w:p w14:paraId="74AE900D" w14:textId="2E97E45C" w:rsidR="008009D5" w:rsidRPr="003D3A3E" w:rsidRDefault="008009D5" w:rsidP="008009D5">
      <w:pPr>
        <w:spacing w:after="120" w:line="276" w:lineRule="auto"/>
        <w:ind w:firstLine="709"/>
        <w:jc w:val="both"/>
        <w:rPr>
          <w:rFonts w:ascii="Arial" w:eastAsia="Calibri" w:hAnsi="Arial" w:cs="Arial"/>
          <w:color w:val="000000"/>
          <w:sz w:val="22"/>
        </w:rPr>
      </w:pPr>
      <w:r w:rsidRPr="003D3A3E">
        <w:rPr>
          <w:rFonts w:ascii="Arial" w:eastAsia="Calibri" w:hAnsi="Arial" w:cs="Arial"/>
          <w:color w:val="000000"/>
          <w:sz w:val="22"/>
        </w:rPr>
        <w:t xml:space="preserve">La ley </w:t>
      </w:r>
      <w:r>
        <w:rPr>
          <w:rFonts w:ascii="Arial" w:eastAsia="Calibri" w:hAnsi="Arial" w:cs="Arial"/>
          <w:color w:val="000000"/>
          <w:sz w:val="22"/>
        </w:rPr>
        <w:t>1712 de 201</w:t>
      </w:r>
      <w:r w:rsidR="00634DC9">
        <w:rPr>
          <w:rFonts w:ascii="Arial" w:eastAsia="Calibri" w:hAnsi="Arial" w:cs="Arial"/>
          <w:color w:val="000000"/>
          <w:sz w:val="22"/>
        </w:rPr>
        <w:t>4</w:t>
      </w:r>
      <w:r w:rsidRPr="003D3A3E">
        <w:rPr>
          <w:rFonts w:ascii="Arial" w:eastAsia="Calibri" w:hAnsi="Arial" w:cs="Arial"/>
          <w:color w:val="000000"/>
          <w:sz w:val="22"/>
        </w:rPr>
        <w:t xml:space="preserve"> establece, en el literal e) del artículo 9, que los sujetos obligados deben publicar la información relativa a su contratación. Esta obligación fue desarrollada por el Decreto Único Reglamentario 1081 de 2015</w:t>
      </w:r>
      <w:r w:rsidRPr="003D3A3E">
        <w:rPr>
          <w:rFonts w:ascii="Arial" w:eastAsia="Calibri" w:hAnsi="Arial" w:cs="Arial"/>
          <w:color w:val="000000"/>
          <w:sz w:val="22"/>
          <w:vertAlign w:val="superscript"/>
        </w:rPr>
        <w:footnoteReference w:id="16"/>
      </w:r>
      <w:r w:rsidRPr="003D3A3E">
        <w:rPr>
          <w:rFonts w:ascii="Arial" w:eastAsia="Calibri" w:hAnsi="Arial" w:cs="Arial"/>
          <w:color w:val="000000"/>
          <w:sz w:val="22"/>
        </w:rPr>
        <w:t>, el cual dispuso que la publicación de la información contractual de los sujetos obligados, que contratan con cargo a recursos públicos, debe hacerse en el Sistema Electrónico de Contratación Pública ─ SECOP.</w:t>
      </w:r>
    </w:p>
    <w:p w14:paraId="7C03C51C" w14:textId="5CF2646C" w:rsidR="008009D5" w:rsidRPr="008009D5" w:rsidRDefault="008009D5" w:rsidP="00AB7442">
      <w:pPr>
        <w:spacing w:line="276" w:lineRule="auto"/>
        <w:ind w:firstLine="709"/>
        <w:jc w:val="both"/>
        <w:rPr>
          <w:rFonts w:ascii="Arial" w:eastAsia="Calibri" w:hAnsi="Arial" w:cs="Arial"/>
          <w:color w:val="000000"/>
          <w:sz w:val="22"/>
          <w:lang w:val="es-ES"/>
        </w:rPr>
      </w:pPr>
      <w:r w:rsidRPr="003D3A3E">
        <w:rPr>
          <w:rFonts w:ascii="Arial" w:eastAsia="Calibri" w:hAnsi="Arial" w:cs="Arial"/>
          <w:color w:val="000000"/>
          <w:sz w:val="22"/>
        </w:rPr>
        <w:t xml:space="preserve">Asimismo, de </w:t>
      </w:r>
      <w:r w:rsidRPr="003D3A3E">
        <w:rPr>
          <w:rFonts w:ascii="Arial" w:eastAsia="Calibri" w:hAnsi="Arial" w:cs="Arial"/>
          <w:color w:val="000000"/>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3DAD6414" w14:textId="77777777" w:rsidR="00AB7442" w:rsidRDefault="00AB7442" w:rsidP="00F625CA">
      <w:pPr>
        <w:ind w:left="709" w:right="900"/>
        <w:jc w:val="both"/>
        <w:rPr>
          <w:rFonts w:ascii="Arial" w:eastAsia="Calibri" w:hAnsi="Arial" w:cs="Arial"/>
          <w:color w:val="000000"/>
          <w:sz w:val="21"/>
          <w:szCs w:val="21"/>
          <w:lang w:val="es-ES"/>
        </w:rPr>
      </w:pPr>
    </w:p>
    <w:p w14:paraId="38FD21CA" w14:textId="4070C551" w:rsidR="008606DB" w:rsidRPr="00F625CA" w:rsidRDefault="0005301E" w:rsidP="00F625CA">
      <w:pPr>
        <w:ind w:left="709" w:right="900"/>
        <w:jc w:val="both"/>
        <w:rPr>
          <w:rFonts w:ascii="Arial" w:eastAsia="Calibri" w:hAnsi="Arial" w:cs="Arial"/>
          <w:color w:val="000000"/>
          <w:sz w:val="21"/>
          <w:szCs w:val="21"/>
        </w:rPr>
      </w:pPr>
      <w:r w:rsidRPr="00F625CA">
        <w:rPr>
          <w:rFonts w:ascii="Arial" w:eastAsia="Calibri" w:hAnsi="Arial" w:cs="Arial"/>
          <w:color w:val="000000"/>
          <w:sz w:val="21"/>
          <w:szCs w:val="21"/>
        </w:rPr>
        <w:t>(</w:t>
      </w:r>
      <w:r w:rsidRPr="00570CFF">
        <w:rPr>
          <w:rFonts w:ascii="Arial" w:eastAsia="Calibri" w:hAnsi="Arial" w:cs="Arial"/>
          <w:color w:val="000000"/>
          <w:sz w:val="21"/>
          <w:szCs w:val="21"/>
        </w:rPr>
        <w:t xml:space="preserve">iii) </w:t>
      </w:r>
      <w:r w:rsidR="00570CFF" w:rsidRPr="00CB0625">
        <w:rPr>
          <w:rFonts w:ascii="Arial" w:eastAsia="Calibri" w:hAnsi="Arial" w:cs="Arial"/>
          <w:color w:val="000000"/>
          <w:sz w:val="21"/>
          <w:szCs w:val="21"/>
        </w:rPr>
        <w:t>«</w:t>
      </w:r>
      <w:r w:rsidRPr="00570CFF">
        <w:rPr>
          <w:rFonts w:ascii="Arial" w:eastAsia="Calibri" w:hAnsi="Arial" w:cs="Arial"/>
          <w:color w:val="000000"/>
          <w:sz w:val="21"/>
          <w:szCs w:val="21"/>
        </w:rPr>
        <w:t>¿Cuáles son los contratos que una sociedad de economía mixta, que tiene régimen especial de contratación, debe publicar a través del SECOP?</w:t>
      </w:r>
      <w:r w:rsidR="00570CFF" w:rsidRPr="00CB0625">
        <w:rPr>
          <w:rFonts w:ascii="Arial" w:eastAsia="Calibri" w:hAnsi="Arial" w:cs="Arial"/>
          <w:color w:val="000000"/>
          <w:sz w:val="21"/>
          <w:szCs w:val="21"/>
        </w:rPr>
        <w:t>»</w:t>
      </w:r>
      <w:r w:rsidRPr="00F625CA">
        <w:rPr>
          <w:rFonts w:ascii="Arial" w:eastAsia="Calibri" w:hAnsi="Arial" w:cs="Arial"/>
          <w:color w:val="000000"/>
          <w:sz w:val="21"/>
          <w:szCs w:val="21"/>
        </w:rPr>
        <w:t xml:space="preserve"> </w:t>
      </w:r>
    </w:p>
    <w:p w14:paraId="68D2B570" w14:textId="2CD12286" w:rsidR="008606DB" w:rsidRDefault="008606DB" w:rsidP="008606DB">
      <w:pPr>
        <w:spacing w:line="276" w:lineRule="auto"/>
        <w:jc w:val="both"/>
        <w:rPr>
          <w:rFonts w:ascii="Arial" w:eastAsia="Calibri" w:hAnsi="Arial" w:cs="Arial"/>
          <w:color w:val="000000"/>
          <w:sz w:val="22"/>
        </w:rPr>
      </w:pPr>
    </w:p>
    <w:p w14:paraId="21BCA51D" w14:textId="1420692D" w:rsidR="008009D5" w:rsidRDefault="008009D5" w:rsidP="00F625CA">
      <w:pPr>
        <w:spacing w:line="276" w:lineRule="auto"/>
        <w:jc w:val="both"/>
        <w:rPr>
          <w:rFonts w:ascii="Arial" w:eastAsia="Calibri" w:hAnsi="Arial" w:cs="Arial"/>
          <w:color w:val="000000"/>
          <w:sz w:val="22"/>
          <w:lang w:val="es-CO"/>
        </w:rPr>
      </w:pPr>
      <w:r>
        <w:rPr>
          <w:rFonts w:ascii="Arial" w:eastAsia="Calibri" w:hAnsi="Arial" w:cs="Arial"/>
          <w:color w:val="000000"/>
          <w:sz w:val="22"/>
          <w:lang w:val="es-CO"/>
        </w:rPr>
        <w:t>De conformidad con las respuestas anteriores, las sociedades de economía mixta deben publicar la información relativa a todos los contratos y procesos de contratación realizados con cargo a recursos públicos y que no se encuentren dentro de algunas de las excepciones legales que autoricen su no</w:t>
      </w:r>
      <w:r w:rsidR="00CC1FF9">
        <w:rPr>
          <w:rFonts w:ascii="Arial" w:eastAsia="Calibri" w:hAnsi="Arial" w:cs="Arial"/>
          <w:color w:val="000000"/>
          <w:sz w:val="22"/>
          <w:lang w:val="es-CO"/>
        </w:rPr>
        <w:t xml:space="preserve"> </w:t>
      </w:r>
      <w:r>
        <w:rPr>
          <w:rFonts w:ascii="Arial" w:eastAsia="Calibri" w:hAnsi="Arial" w:cs="Arial"/>
          <w:color w:val="000000"/>
          <w:sz w:val="22"/>
          <w:lang w:val="es-CO"/>
        </w:rPr>
        <w:t xml:space="preserve">publicación, como sería el caso de la información y documentación reservada, o la información de los proyectos de inversión para el caso del Plan Anual de Adquisiciones. </w:t>
      </w:r>
    </w:p>
    <w:p w14:paraId="5F822B83" w14:textId="77777777" w:rsidR="008606DB" w:rsidRDefault="008606DB" w:rsidP="008606DB">
      <w:pPr>
        <w:spacing w:line="276" w:lineRule="auto"/>
        <w:jc w:val="both"/>
        <w:rPr>
          <w:rFonts w:ascii="Arial" w:eastAsia="Calibri" w:hAnsi="Arial" w:cs="Arial"/>
          <w:color w:val="000000"/>
          <w:sz w:val="22"/>
        </w:rPr>
      </w:pPr>
    </w:p>
    <w:p w14:paraId="4B003DBA" w14:textId="3A6FAF53" w:rsidR="00F625CA" w:rsidRPr="00570CFF" w:rsidRDefault="0005301E" w:rsidP="008009D5">
      <w:pPr>
        <w:ind w:left="709" w:right="900"/>
        <w:jc w:val="both"/>
        <w:rPr>
          <w:rFonts w:ascii="Arial" w:eastAsia="Calibri" w:hAnsi="Arial" w:cs="Arial"/>
          <w:color w:val="000000"/>
          <w:sz w:val="21"/>
          <w:szCs w:val="21"/>
        </w:rPr>
      </w:pPr>
      <w:r w:rsidRPr="00570CFF">
        <w:rPr>
          <w:rFonts w:ascii="Arial" w:eastAsia="Calibri" w:hAnsi="Arial" w:cs="Arial"/>
          <w:color w:val="000000"/>
          <w:sz w:val="21"/>
          <w:szCs w:val="21"/>
        </w:rPr>
        <w:t>(iv)</w:t>
      </w:r>
      <w:r w:rsidR="00570CFF" w:rsidRPr="00570CFF">
        <w:rPr>
          <w:rFonts w:ascii="Arial" w:eastAsia="Calibri" w:hAnsi="Arial" w:cs="Arial"/>
          <w:color w:val="000000"/>
          <w:sz w:val="21"/>
          <w:szCs w:val="21"/>
        </w:rPr>
        <w:t xml:space="preserve"> </w:t>
      </w:r>
      <w:r w:rsidR="00570CFF" w:rsidRPr="00CB0625">
        <w:rPr>
          <w:rFonts w:ascii="Arial" w:eastAsia="Calibri" w:hAnsi="Arial" w:cs="Arial"/>
          <w:color w:val="000000"/>
          <w:sz w:val="21"/>
          <w:szCs w:val="21"/>
        </w:rPr>
        <w:t>«</w:t>
      </w:r>
      <w:r w:rsidRPr="00CB0625">
        <w:rPr>
          <w:rFonts w:ascii="Arial" w:eastAsia="Calibri" w:hAnsi="Arial" w:cs="Arial"/>
          <w:color w:val="000000"/>
          <w:sz w:val="21"/>
          <w:szCs w:val="21"/>
        </w:rPr>
        <w:t>¿Si un contrato establece las excepciones de acceso a la información en los términos previstos del Título III de la Ley 1712 de 2014, de igual forma, se debe publicar en el SECOP?</w:t>
      </w:r>
      <w:r w:rsidR="00570CFF" w:rsidRPr="00CB0625">
        <w:rPr>
          <w:rFonts w:ascii="Arial" w:eastAsia="Calibri" w:hAnsi="Arial" w:cs="Arial"/>
          <w:color w:val="000000"/>
          <w:sz w:val="21"/>
          <w:szCs w:val="21"/>
        </w:rPr>
        <w:t>»</w:t>
      </w:r>
      <w:r w:rsidRPr="00570CFF">
        <w:rPr>
          <w:rFonts w:ascii="Arial" w:eastAsia="Calibri" w:hAnsi="Arial" w:cs="Arial"/>
          <w:color w:val="000000"/>
          <w:sz w:val="21"/>
          <w:szCs w:val="21"/>
        </w:rPr>
        <w:t xml:space="preserve"> </w:t>
      </w:r>
    </w:p>
    <w:p w14:paraId="4545061E" w14:textId="0C0C9A97" w:rsidR="00D17025" w:rsidRDefault="00D17025" w:rsidP="008606DB">
      <w:pPr>
        <w:spacing w:line="276" w:lineRule="auto"/>
        <w:jc w:val="both"/>
        <w:rPr>
          <w:rFonts w:ascii="Arial" w:eastAsia="Calibri" w:hAnsi="Arial" w:cs="Arial"/>
          <w:color w:val="000000"/>
          <w:sz w:val="22"/>
        </w:rPr>
      </w:pPr>
    </w:p>
    <w:p w14:paraId="0CC1A4D1" w14:textId="6EEE9C00" w:rsidR="007A6915" w:rsidRDefault="008009D5" w:rsidP="007A6915">
      <w:pPr>
        <w:spacing w:after="120" w:line="276" w:lineRule="auto"/>
        <w:jc w:val="both"/>
        <w:rPr>
          <w:rFonts w:ascii="Arial" w:eastAsia="Calibri" w:hAnsi="Arial" w:cs="Arial"/>
          <w:sz w:val="22"/>
          <w:lang w:val="es-ES" w:eastAsia="en-GB"/>
        </w:rPr>
      </w:pPr>
      <w:r>
        <w:rPr>
          <w:rFonts w:ascii="Arial" w:eastAsia="Calibri" w:hAnsi="Arial" w:cs="Arial"/>
          <w:color w:val="000000"/>
          <w:sz w:val="22"/>
        </w:rPr>
        <w:t xml:space="preserve">Conforme se advirtió </w:t>
      </w:r>
      <w:r w:rsidR="007A6915">
        <w:rPr>
          <w:rFonts w:ascii="Arial" w:eastAsia="Calibri" w:hAnsi="Arial" w:cs="Arial"/>
          <w:color w:val="000000"/>
          <w:sz w:val="22"/>
        </w:rPr>
        <w:t>en el cuerpo de este concepto, las sociedades de economía mixta son sujetos obligados para efectos de la Ley 1712 de 2014. Sin embargo, dicha calidad</w:t>
      </w:r>
      <w:r w:rsidR="002E7BB8">
        <w:rPr>
          <w:rFonts w:ascii="Arial" w:eastAsia="Calibri" w:hAnsi="Arial" w:cs="Arial"/>
          <w:color w:val="000000"/>
          <w:sz w:val="22"/>
        </w:rPr>
        <w:t>,</w:t>
      </w:r>
      <w:r w:rsidR="007A6915">
        <w:rPr>
          <w:rFonts w:ascii="Arial" w:eastAsia="Calibri" w:hAnsi="Arial" w:cs="Arial"/>
          <w:color w:val="000000"/>
          <w:sz w:val="22"/>
        </w:rPr>
        <w:t xml:space="preserve"> de conformidad con la sentencia C-274 de 2013</w:t>
      </w:r>
      <w:r w:rsidR="002E7BB8">
        <w:rPr>
          <w:rFonts w:ascii="Arial" w:eastAsia="Calibri" w:hAnsi="Arial" w:cs="Arial"/>
          <w:color w:val="000000"/>
          <w:sz w:val="22"/>
        </w:rPr>
        <w:t>,</w:t>
      </w:r>
      <w:r w:rsidR="007A6915">
        <w:rPr>
          <w:rFonts w:ascii="Arial" w:eastAsia="Calibri" w:hAnsi="Arial" w:cs="Arial"/>
          <w:color w:val="000000"/>
          <w:sz w:val="22"/>
        </w:rPr>
        <w:t xml:space="preserve"> </w:t>
      </w:r>
      <w:r w:rsidR="007A6915">
        <w:rPr>
          <w:rFonts w:ascii="Arial" w:eastAsia="Calibri" w:hAnsi="Arial" w:cs="Arial"/>
          <w:sz w:val="22"/>
          <w:lang w:val="es-ES"/>
        </w:rPr>
        <w:t xml:space="preserve">se da </w:t>
      </w:r>
      <w:r w:rsidR="007A6915" w:rsidRPr="0050010C">
        <w:rPr>
          <w:rFonts w:ascii="Arial" w:eastAsia="Calibri" w:hAnsi="Arial" w:cs="Arial"/>
          <w:sz w:val="22"/>
          <w:lang w:val="es-ES"/>
        </w:rPr>
        <w:t xml:space="preserve">«en el entendido de que las personas obligadas, en relación con su actividad propia, industrial o comercial, no están sujetas al deber de información, con respecto a dicha actividad». </w:t>
      </w:r>
      <w:r w:rsidR="007A6915" w:rsidRPr="002A1331">
        <w:rPr>
          <w:rFonts w:ascii="Arial" w:eastAsia="Calibri" w:hAnsi="Arial" w:cs="Arial"/>
          <w:sz w:val="22"/>
          <w:lang w:val="es-ES" w:eastAsia="en-GB"/>
        </w:rPr>
        <w:t>Lo anterior es congruente con otras normas del ordenamiento jurídico, como el artículo 18, literal c), de la Ley 1712 que establece como excepción al acceso a la información «c) Los secretos comerciales, industriales y profesionales»</w:t>
      </w:r>
      <w:r w:rsidR="007A6915">
        <w:rPr>
          <w:rFonts w:ascii="Arial" w:eastAsia="Calibri" w:hAnsi="Arial" w:cs="Arial"/>
          <w:sz w:val="22"/>
          <w:lang w:val="es-ES" w:eastAsia="en-GB"/>
        </w:rPr>
        <w:t xml:space="preserve"> y </w:t>
      </w:r>
      <w:r w:rsidR="007A6915" w:rsidRPr="002A1331">
        <w:rPr>
          <w:rFonts w:ascii="Arial" w:eastAsia="Calibri" w:hAnsi="Arial" w:cs="Arial"/>
          <w:sz w:val="22"/>
          <w:lang w:val="es-ES" w:eastAsia="en-GB"/>
        </w:rPr>
        <w:t xml:space="preserve">el numeral 6 del artículo 24 del Código de Procedimiento Administrativo y de lo Contencioso Administrativo </w:t>
      </w:r>
      <w:r w:rsidR="007A6915">
        <w:rPr>
          <w:rFonts w:ascii="Arial" w:eastAsia="Calibri" w:hAnsi="Arial" w:cs="Arial"/>
          <w:sz w:val="22"/>
          <w:lang w:val="es-ES" w:eastAsia="en-GB"/>
        </w:rPr>
        <w:t xml:space="preserve">que </w:t>
      </w:r>
      <w:r w:rsidR="007A6915" w:rsidRPr="002A1331">
        <w:rPr>
          <w:rFonts w:ascii="Arial" w:eastAsia="Calibri" w:hAnsi="Arial" w:cs="Arial"/>
          <w:sz w:val="22"/>
          <w:lang w:val="es-ES" w:eastAsia="en-GB"/>
        </w:rPr>
        <w:t>otorga carácter reservado a los documentos «[…] protegidos por el secreto comercial o industrial, así como los planes estratégicos de las empresas públicas de servicios públicos»</w:t>
      </w:r>
      <w:r w:rsidR="007A6915" w:rsidRPr="00C534BB">
        <w:rPr>
          <w:rFonts w:ascii="Arial" w:eastAsia="Calibri" w:hAnsi="Arial" w:cs="Arial"/>
          <w:sz w:val="22"/>
          <w:lang w:val="es-ES" w:eastAsia="en-GB"/>
        </w:rPr>
        <w:t>.</w:t>
      </w:r>
    </w:p>
    <w:p w14:paraId="75605793" w14:textId="0A1D675D" w:rsidR="008009D5" w:rsidRPr="007A6915" w:rsidRDefault="007A6915" w:rsidP="007A6915">
      <w:pPr>
        <w:spacing w:line="276" w:lineRule="auto"/>
        <w:ind w:firstLine="851"/>
        <w:jc w:val="both"/>
        <w:rPr>
          <w:rFonts w:ascii="Arial" w:eastAsia="Calibri" w:hAnsi="Arial" w:cs="Arial"/>
          <w:sz w:val="22"/>
          <w:lang w:val="es-ES"/>
        </w:rPr>
      </w:pPr>
      <w:r>
        <w:rPr>
          <w:rFonts w:ascii="Arial" w:eastAsia="Calibri" w:hAnsi="Arial" w:cs="Arial"/>
          <w:sz w:val="22"/>
          <w:lang w:val="es-ES" w:eastAsia="en-GB"/>
        </w:rPr>
        <w:t xml:space="preserve">Lo anterior quiere decir que, si un contrato o proceso contractual se encuadra dentro de las excepciones del artículo 18 de la Ley 1712 de 2014, o 25 del CPACA, la empresa del estado no estará sometida a la obligación de publicar dicha información en el SECOP. </w:t>
      </w:r>
      <w:r w:rsidR="00570CFF" w:rsidRPr="00570CFF">
        <w:rPr>
          <w:rFonts w:ascii="Arial" w:eastAsia="Calibri" w:hAnsi="Arial" w:cs="Arial"/>
          <w:color w:val="000000"/>
          <w:sz w:val="22"/>
          <w:lang w:val="es-ES"/>
        </w:rPr>
        <w:t xml:space="preserve"> No obstante, si la reserva </w:t>
      </w:r>
      <w:r w:rsidR="00570CFF">
        <w:rPr>
          <w:rFonts w:ascii="Arial" w:eastAsia="Calibri" w:hAnsi="Arial" w:cs="Arial"/>
          <w:color w:val="000000"/>
          <w:sz w:val="22"/>
          <w:lang w:val="es-ES"/>
        </w:rPr>
        <w:t>aplica</w:t>
      </w:r>
      <w:r w:rsidR="00570CFF" w:rsidRPr="00570CFF">
        <w:rPr>
          <w:rFonts w:ascii="Arial" w:eastAsia="Calibri" w:hAnsi="Arial" w:cs="Arial"/>
          <w:color w:val="000000"/>
          <w:sz w:val="22"/>
          <w:lang w:val="es-ES"/>
        </w:rPr>
        <w:t xml:space="preserve"> sol</w:t>
      </w:r>
      <w:r w:rsidR="00570CFF">
        <w:rPr>
          <w:rFonts w:ascii="Arial" w:eastAsia="Calibri" w:hAnsi="Arial" w:cs="Arial"/>
          <w:color w:val="000000"/>
          <w:sz w:val="22"/>
          <w:lang w:val="es-ES"/>
        </w:rPr>
        <w:t>amente para</w:t>
      </w:r>
      <w:r w:rsidR="00570CFF" w:rsidRPr="00570CFF">
        <w:rPr>
          <w:rFonts w:ascii="Arial" w:eastAsia="Calibri" w:hAnsi="Arial" w:cs="Arial"/>
          <w:color w:val="000000"/>
          <w:sz w:val="22"/>
          <w:lang w:val="es-ES"/>
        </w:rPr>
        <w:t xml:space="preserve"> parte del documento o proceso, se deberá publicar aquel aparte del documento </w:t>
      </w:r>
      <w:r w:rsidR="00570CFF">
        <w:rPr>
          <w:rFonts w:ascii="Arial" w:eastAsia="Calibri" w:hAnsi="Arial" w:cs="Arial"/>
          <w:color w:val="000000"/>
          <w:sz w:val="22"/>
          <w:lang w:val="es-ES"/>
        </w:rPr>
        <w:t xml:space="preserve">o aquellas piezas del proceso </w:t>
      </w:r>
      <w:r w:rsidR="00570CFF" w:rsidRPr="00570CFF">
        <w:rPr>
          <w:rFonts w:ascii="Arial" w:eastAsia="Calibri" w:hAnsi="Arial" w:cs="Arial"/>
          <w:color w:val="000000"/>
          <w:sz w:val="22"/>
          <w:lang w:val="es-ES"/>
        </w:rPr>
        <w:t>que no se encuadr</w:t>
      </w:r>
      <w:r w:rsidR="00570CFF">
        <w:rPr>
          <w:rFonts w:ascii="Arial" w:eastAsia="Calibri" w:hAnsi="Arial" w:cs="Arial"/>
          <w:color w:val="000000"/>
          <w:sz w:val="22"/>
          <w:lang w:val="es-ES"/>
        </w:rPr>
        <w:t>en</w:t>
      </w:r>
      <w:r w:rsidR="00570CFF" w:rsidRPr="00570CFF">
        <w:rPr>
          <w:rFonts w:ascii="Arial" w:eastAsia="Calibri" w:hAnsi="Arial" w:cs="Arial"/>
          <w:color w:val="000000"/>
          <w:sz w:val="22"/>
          <w:lang w:val="es-ES"/>
        </w:rPr>
        <w:t xml:space="preserve"> dentro de la respectiva</w:t>
      </w:r>
      <w:r w:rsidR="00C91E31">
        <w:rPr>
          <w:rFonts w:ascii="Arial" w:eastAsia="Calibri" w:hAnsi="Arial" w:cs="Arial"/>
          <w:color w:val="000000"/>
          <w:sz w:val="22"/>
          <w:lang w:val="es-ES"/>
        </w:rPr>
        <w:t xml:space="preserve"> causal de</w:t>
      </w:r>
      <w:r w:rsidR="00570CFF" w:rsidRPr="00570CFF">
        <w:rPr>
          <w:rFonts w:ascii="Arial" w:eastAsia="Calibri" w:hAnsi="Arial" w:cs="Arial"/>
          <w:color w:val="000000"/>
          <w:sz w:val="22"/>
          <w:lang w:val="es-ES"/>
        </w:rPr>
        <w:t xml:space="preserve"> reserva</w:t>
      </w:r>
      <w:r w:rsidR="00570CFF">
        <w:rPr>
          <w:rFonts w:ascii="Arial" w:eastAsia="Calibri" w:hAnsi="Arial" w:cs="Arial"/>
          <w:color w:val="000000"/>
          <w:sz w:val="22"/>
          <w:lang w:val="es-ES"/>
        </w:rPr>
        <w:t xml:space="preserve"> de conformidad con lo señalado por el artículo 21 de la Ley 1712 de 2014</w:t>
      </w:r>
      <w:r w:rsidR="00570CFF" w:rsidRPr="00570CFF">
        <w:rPr>
          <w:rFonts w:ascii="Arial" w:eastAsia="Calibri" w:hAnsi="Arial" w:cs="Arial"/>
          <w:color w:val="000000"/>
          <w:sz w:val="22"/>
          <w:lang w:val="es-ES"/>
        </w:rPr>
        <w:t>.</w:t>
      </w:r>
    </w:p>
    <w:p w14:paraId="39C547DC" w14:textId="77777777" w:rsidR="007A6915" w:rsidRDefault="007A6915" w:rsidP="00F625CA">
      <w:pPr>
        <w:ind w:left="709" w:right="900"/>
        <w:jc w:val="both"/>
        <w:rPr>
          <w:rFonts w:ascii="Arial" w:eastAsia="Calibri" w:hAnsi="Arial" w:cs="Arial"/>
          <w:color w:val="000000"/>
          <w:sz w:val="21"/>
          <w:szCs w:val="21"/>
        </w:rPr>
      </w:pPr>
    </w:p>
    <w:p w14:paraId="403DE752" w14:textId="59DADE88" w:rsidR="008606DB" w:rsidRPr="00570CFF" w:rsidRDefault="00570CFF" w:rsidP="00AB7442">
      <w:pPr>
        <w:ind w:left="709" w:right="900"/>
        <w:jc w:val="both"/>
        <w:rPr>
          <w:rFonts w:ascii="Arial" w:eastAsia="Calibri" w:hAnsi="Arial" w:cs="Arial"/>
          <w:color w:val="000000"/>
          <w:sz w:val="21"/>
          <w:szCs w:val="21"/>
        </w:rPr>
      </w:pPr>
      <w:r w:rsidRPr="00CB0625">
        <w:rPr>
          <w:rFonts w:ascii="Arial" w:eastAsia="Calibri" w:hAnsi="Arial" w:cs="Arial"/>
          <w:color w:val="000000"/>
          <w:sz w:val="21"/>
          <w:szCs w:val="21"/>
        </w:rPr>
        <w:t>«</w:t>
      </w:r>
      <w:r w:rsidR="0005301E" w:rsidRPr="00570CFF">
        <w:rPr>
          <w:rFonts w:ascii="Arial" w:eastAsia="Calibri" w:hAnsi="Arial" w:cs="Arial"/>
          <w:color w:val="000000"/>
          <w:sz w:val="21"/>
          <w:szCs w:val="21"/>
        </w:rPr>
        <w:t>(v) ¿Las sociedades de economía mixta, que tienen régimen de contratación especial y participación pública inferior al 90% y superior al 50% deben publicar toda la información prevista en el artículo 11 de la Ley 1712 de 2014 a través del Sistema Electrónico para la Contratación Pública – SECOP?</w:t>
      </w:r>
      <w:r w:rsidRPr="00CB0625">
        <w:rPr>
          <w:rFonts w:ascii="Arial" w:eastAsia="Calibri" w:hAnsi="Arial" w:cs="Arial"/>
          <w:color w:val="000000"/>
          <w:sz w:val="21"/>
          <w:szCs w:val="21"/>
        </w:rPr>
        <w:t>»</w:t>
      </w:r>
      <w:r w:rsidR="0005301E" w:rsidRPr="00570CFF">
        <w:rPr>
          <w:rFonts w:ascii="Arial" w:eastAsia="Calibri" w:hAnsi="Arial" w:cs="Arial"/>
          <w:color w:val="000000"/>
          <w:sz w:val="21"/>
          <w:szCs w:val="21"/>
        </w:rPr>
        <w:t xml:space="preserve"> </w:t>
      </w:r>
    </w:p>
    <w:p w14:paraId="39F5F1BA" w14:textId="77777777" w:rsidR="00AB7442" w:rsidRPr="00AB7442" w:rsidRDefault="00AB7442" w:rsidP="00AB7442">
      <w:pPr>
        <w:ind w:left="709" w:right="900"/>
        <w:jc w:val="both"/>
        <w:rPr>
          <w:rFonts w:ascii="Arial" w:eastAsia="Calibri" w:hAnsi="Arial" w:cs="Arial"/>
          <w:color w:val="000000"/>
          <w:sz w:val="21"/>
          <w:szCs w:val="21"/>
        </w:rPr>
      </w:pPr>
    </w:p>
    <w:p w14:paraId="04CDCA40" w14:textId="3E706F9F" w:rsidR="008606DB" w:rsidRDefault="007A6915" w:rsidP="00AB7442">
      <w:pPr>
        <w:spacing w:line="276" w:lineRule="auto"/>
        <w:jc w:val="both"/>
        <w:rPr>
          <w:rFonts w:ascii="Arial" w:eastAsia="Calibri" w:hAnsi="Arial" w:cs="Arial"/>
          <w:color w:val="000000"/>
          <w:sz w:val="22"/>
        </w:rPr>
      </w:pPr>
      <w:r>
        <w:rPr>
          <w:rFonts w:ascii="Arial" w:eastAsia="Calibri" w:hAnsi="Arial" w:cs="Arial"/>
          <w:color w:val="000000"/>
          <w:sz w:val="22"/>
        </w:rPr>
        <w:t xml:space="preserve">Conforme se señaló para la respuesta (ii), las </w:t>
      </w:r>
      <w:r w:rsidR="00FA6D43">
        <w:rPr>
          <w:rFonts w:ascii="Arial" w:eastAsia="Calibri" w:hAnsi="Arial" w:cs="Arial"/>
          <w:color w:val="000000"/>
          <w:sz w:val="22"/>
        </w:rPr>
        <w:t>s</w:t>
      </w:r>
      <w:r>
        <w:rPr>
          <w:rFonts w:ascii="Arial" w:eastAsia="Calibri" w:hAnsi="Arial" w:cs="Arial"/>
          <w:color w:val="000000"/>
          <w:sz w:val="22"/>
        </w:rPr>
        <w:t xml:space="preserve">ociedades de </w:t>
      </w:r>
      <w:r w:rsidR="00FA6D43">
        <w:rPr>
          <w:rFonts w:ascii="Arial" w:eastAsia="Calibri" w:hAnsi="Arial" w:cs="Arial"/>
          <w:color w:val="000000"/>
          <w:sz w:val="22"/>
        </w:rPr>
        <w:t>e</w:t>
      </w:r>
      <w:r>
        <w:rPr>
          <w:rFonts w:ascii="Arial" w:eastAsia="Calibri" w:hAnsi="Arial" w:cs="Arial"/>
          <w:color w:val="000000"/>
          <w:sz w:val="22"/>
        </w:rPr>
        <w:t xml:space="preserve">conomía </w:t>
      </w:r>
      <w:r w:rsidR="00FA6D43">
        <w:rPr>
          <w:rFonts w:ascii="Arial" w:eastAsia="Calibri" w:hAnsi="Arial" w:cs="Arial"/>
          <w:color w:val="000000"/>
          <w:sz w:val="22"/>
        </w:rPr>
        <w:t>m</w:t>
      </w:r>
      <w:r>
        <w:rPr>
          <w:rFonts w:ascii="Arial" w:eastAsia="Calibri" w:hAnsi="Arial" w:cs="Arial"/>
          <w:color w:val="000000"/>
          <w:sz w:val="22"/>
        </w:rPr>
        <w:t>ixta son sujetos obligados para los efectos de la Ley 1712 de 2014.</w:t>
      </w:r>
      <w:r w:rsidR="00AB7442">
        <w:rPr>
          <w:rFonts w:ascii="Arial" w:eastAsia="Calibri" w:hAnsi="Arial" w:cs="Arial"/>
          <w:color w:val="000000"/>
          <w:sz w:val="22"/>
        </w:rPr>
        <w:t xml:space="preserve"> D</w:t>
      </w:r>
      <w:r w:rsidR="00AB7442" w:rsidRPr="003D3A3E">
        <w:rPr>
          <w:rFonts w:ascii="Arial" w:eastAsia="Calibri" w:hAnsi="Arial" w:cs="Arial"/>
          <w:color w:val="000000"/>
          <w:sz w:val="22"/>
        </w:rPr>
        <w:t xml:space="preserve">e </w:t>
      </w:r>
      <w:r w:rsidR="00AB7442" w:rsidRPr="003D3A3E">
        <w:rPr>
          <w:rFonts w:ascii="Arial" w:eastAsia="Calibri" w:hAnsi="Arial" w:cs="Arial"/>
          <w:color w:val="000000"/>
          <w:sz w:val="22"/>
          <w:lang w:val="es-ES"/>
        </w:rPr>
        <w:t xml:space="preserve">acuerdo con el literal g) del artículo 11 de la misma Ley, todos los destinatarios de la </w:t>
      </w:r>
      <w:r w:rsidR="0006256E">
        <w:rPr>
          <w:rFonts w:ascii="Arial" w:eastAsia="Calibri" w:hAnsi="Arial" w:cs="Arial"/>
          <w:color w:val="000000"/>
          <w:sz w:val="22"/>
          <w:lang w:val="es-ES"/>
        </w:rPr>
        <w:t>L</w:t>
      </w:r>
      <w:r w:rsidR="00AB7442" w:rsidRPr="003D3A3E">
        <w:rPr>
          <w:rFonts w:ascii="Arial" w:eastAsia="Calibri" w:hAnsi="Arial" w:cs="Arial"/>
          <w:color w:val="000000"/>
          <w:sz w:val="22"/>
          <w:lang w:val="es-ES"/>
        </w:rPr>
        <w:t xml:space="preserve">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B7D6268" w14:textId="77777777" w:rsidR="00AB7442" w:rsidRDefault="00AB7442" w:rsidP="00760974">
      <w:pPr>
        <w:ind w:left="709" w:right="900"/>
        <w:jc w:val="both"/>
        <w:rPr>
          <w:rFonts w:ascii="Arial" w:eastAsia="Calibri" w:hAnsi="Arial" w:cs="Arial"/>
          <w:color w:val="000000"/>
          <w:sz w:val="21"/>
          <w:szCs w:val="21"/>
        </w:rPr>
      </w:pPr>
    </w:p>
    <w:p w14:paraId="7A2B1BDA" w14:textId="00DC8176" w:rsidR="00760974" w:rsidRPr="00CB0625" w:rsidRDefault="0005301E" w:rsidP="00AB7442">
      <w:pPr>
        <w:ind w:left="709" w:right="900"/>
        <w:jc w:val="both"/>
        <w:rPr>
          <w:rFonts w:ascii="Arial" w:eastAsia="Calibri" w:hAnsi="Arial" w:cs="Arial"/>
          <w:color w:val="000000"/>
          <w:sz w:val="21"/>
          <w:szCs w:val="21"/>
        </w:rPr>
      </w:pPr>
      <w:r w:rsidRPr="00CB0625">
        <w:rPr>
          <w:rFonts w:ascii="Arial" w:eastAsia="Calibri" w:hAnsi="Arial" w:cs="Arial"/>
          <w:color w:val="000000"/>
          <w:sz w:val="21"/>
          <w:szCs w:val="21"/>
        </w:rPr>
        <w:t xml:space="preserve">(vi) </w:t>
      </w:r>
      <w:r w:rsidR="00CB0625" w:rsidRPr="00CB0625">
        <w:rPr>
          <w:rFonts w:ascii="Arial" w:eastAsia="Calibri" w:hAnsi="Arial" w:cs="Arial"/>
          <w:color w:val="000000"/>
          <w:sz w:val="21"/>
          <w:szCs w:val="21"/>
        </w:rPr>
        <w:t>«</w:t>
      </w:r>
      <w:r w:rsidRPr="00CB0625">
        <w:rPr>
          <w:rFonts w:ascii="Arial" w:eastAsia="Calibri" w:hAnsi="Arial" w:cs="Arial"/>
          <w:color w:val="000000"/>
          <w:sz w:val="21"/>
          <w:szCs w:val="21"/>
        </w:rPr>
        <w:t>¿Cuáles son los gastos de funcionamiento que deben publicar en el SECOP las sociedades de economía mixta, cuya participación pública es infer</w:t>
      </w:r>
      <w:r w:rsidR="00760974" w:rsidRPr="00CB0625">
        <w:rPr>
          <w:rFonts w:ascii="Arial" w:eastAsia="Calibri" w:hAnsi="Arial" w:cs="Arial"/>
          <w:color w:val="000000"/>
          <w:sz w:val="21"/>
          <w:szCs w:val="21"/>
        </w:rPr>
        <w:t>ior al 90% y superior al 50%?</w:t>
      </w:r>
      <w:r w:rsidR="00CB0625" w:rsidRPr="00CB0625">
        <w:rPr>
          <w:rFonts w:ascii="Arial" w:eastAsia="Calibri" w:hAnsi="Arial" w:cs="Arial"/>
          <w:color w:val="000000"/>
          <w:sz w:val="21"/>
          <w:szCs w:val="21"/>
        </w:rPr>
        <w:t>»</w:t>
      </w:r>
    </w:p>
    <w:p w14:paraId="1FACAB3A" w14:textId="77777777" w:rsidR="00760974" w:rsidRPr="00CB0625" w:rsidRDefault="00760974" w:rsidP="008606DB">
      <w:pPr>
        <w:spacing w:line="276" w:lineRule="auto"/>
        <w:jc w:val="both"/>
        <w:rPr>
          <w:rFonts w:ascii="Arial" w:eastAsia="Calibri" w:hAnsi="Arial" w:cs="Arial"/>
          <w:color w:val="000000"/>
          <w:sz w:val="22"/>
        </w:rPr>
      </w:pPr>
    </w:p>
    <w:p w14:paraId="16E2062A" w14:textId="2BEBE8BA" w:rsidR="0005301E" w:rsidRPr="00CB0625" w:rsidRDefault="00760974" w:rsidP="00760974">
      <w:pPr>
        <w:ind w:left="709" w:right="900"/>
        <w:jc w:val="both"/>
        <w:rPr>
          <w:rFonts w:ascii="Arial" w:eastAsia="Calibri" w:hAnsi="Arial" w:cs="Arial"/>
          <w:color w:val="000000"/>
          <w:sz w:val="21"/>
          <w:szCs w:val="21"/>
        </w:rPr>
      </w:pPr>
      <w:r w:rsidRPr="00CB0625">
        <w:rPr>
          <w:rFonts w:ascii="Arial" w:eastAsia="Calibri" w:hAnsi="Arial" w:cs="Arial"/>
          <w:color w:val="000000"/>
          <w:sz w:val="21"/>
          <w:szCs w:val="21"/>
        </w:rPr>
        <w:t xml:space="preserve">(vii) </w:t>
      </w:r>
      <w:r w:rsidR="00CB0625" w:rsidRPr="00CB0625">
        <w:rPr>
          <w:rFonts w:ascii="Arial" w:eastAsia="Calibri" w:hAnsi="Arial" w:cs="Arial"/>
          <w:color w:val="000000"/>
          <w:sz w:val="21"/>
          <w:szCs w:val="21"/>
        </w:rPr>
        <w:t>«</w:t>
      </w:r>
      <w:r w:rsidR="0005301E" w:rsidRPr="00CB0625">
        <w:rPr>
          <w:rFonts w:ascii="Arial" w:eastAsia="Calibri" w:hAnsi="Arial" w:cs="Arial"/>
          <w:color w:val="000000"/>
          <w:sz w:val="21"/>
          <w:szCs w:val="21"/>
        </w:rPr>
        <w:t>Teniendo en cuenta que en el artículo 9 de la Ley 1712 de 2014 sostiene que los sujetos obligados deben reportar los gastos de inversión ¿Qué se considera gasto de inversión en las sociedades de economía mixta cuya participación pública es inferior al 90% y superior 50% y su régimen de contratación es especial?</w:t>
      </w:r>
      <w:r w:rsidR="00CB0625" w:rsidRPr="00CB0625">
        <w:rPr>
          <w:rFonts w:ascii="Arial" w:eastAsia="Calibri" w:hAnsi="Arial" w:cs="Arial"/>
          <w:color w:val="000000"/>
          <w:sz w:val="21"/>
          <w:szCs w:val="21"/>
        </w:rPr>
        <w:t>»</w:t>
      </w:r>
    </w:p>
    <w:p w14:paraId="7C9FA1C6" w14:textId="2ADEED01" w:rsidR="001D0959" w:rsidRDefault="001D0959" w:rsidP="00AB7442">
      <w:pPr>
        <w:spacing w:line="276" w:lineRule="auto"/>
        <w:jc w:val="both"/>
        <w:rPr>
          <w:rFonts w:ascii="Arial" w:eastAsia="Calibri" w:hAnsi="Arial" w:cs="Arial"/>
          <w:color w:val="000000"/>
          <w:sz w:val="22"/>
        </w:rPr>
      </w:pPr>
    </w:p>
    <w:p w14:paraId="510D3DC3" w14:textId="750E6E04" w:rsidR="00AA69D1" w:rsidRPr="00CB0625" w:rsidRDefault="00AA69D1" w:rsidP="00CB0625">
      <w:pPr>
        <w:autoSpaceDE w:val="0"/>
        <w:autoSpaceDN w:val="0"/>
        <w:adjustRightInd w:val="0"/>
        <w:spacing w:after="120" w:line="276" w:lineRule="auto"/>
        <w:jc w:val="both"/>
        <w:rPr>
          <w:rFonts w:ascii="Arial" w:eastAsia="Times New Roman" w:hAnsi="Arial" w:cs="Arial"/>
          <w:sz w:val="22"/>
          <w:lang w:val="es-CO" w:eastAsia="es-ES_tradnl"/>
        </w:rPr>
      </w:pPr>
      <w:r w:rsidRPr="004E1877">
        <w:rPr>
          <w:rFonts w:ascii="Arial" w:eastAsia="Times New Roman" w:hAnsi="Arial" w:cs="Arial"/>
          <w:sz w:val="22"/>
          <w:lang w:val="es-CO" w:eastAsia="es-ES_tradnl"/>
        </w:rPr>
        <w:t xml:space="preserve">De conformidad con la competencia otorgada por el numeral 5 del artículo 3 y el numeral 8 del artículo 11 del Decreto 4170 de 2011, la Agencia Nacional de Contratación Pública - Colombia Compra Eficiente tiene competencia para atender consultas relativas a temas contractuales, </w:t>
      </w:r>
      <w:r>
        <w:rPr>
          <w:rFonts w:ascii="Arial" w:eastAsia="Times New Roman" w:hAnsi="Arial" w:cs="Arial"/>
          <w:sz w:val="22"/>
          <w:lang w:val="es-CO" w:eastAsia="es-ES_tradnl"/>
        </w:rPr>
        <w:t>y</w:t>
      </w:r>
      <w:r w:rsidRPr="004E1877">
        <w:rPr>
          <w:rFonts w:ascii="Arial" w:eastAsia="Times New Roman" w:hAnsi="Arial" w:cs="Arial"/>
          <w:sz w:val="22"/>
          <w:lang w:val="es-CO" w:eastAsia="es-ES_tradnl"/>
        </w:rPr>
        <w:t xml:space="preserve"> solo para «absolver consultas sobre la aplicación de normas de carácter general». Esto significa que no podemos pronunciarnos sobre casos particulares o sobre preguntas que no contengan dudas sobre la aplicación de una norma general en materia de contratación pública.</w:t>
      </w:r>
    </w:p>
    <w:p w14:paraId="0407474C" w14:textId="190878C9" w:rsidR="00AA69D1" w:rsidRPr="00463BF9" w:rsidRDefault="00AA69D1" w:rsidP="00CB0625">
      <w:pPr>
        <w:spacing w:after="120" w:line="276" w:lineRule="auto"/>
        <w:ind w:firstLine="709"/>
        <w:jc w:val="both"/>
        <w:rPr>
          <w:rFonts w:ascii="Arial" w:hAnsi="Arial" w:cs="Arial"/>
          <w:color w:val="000000" w:themeColor="text1"/>
          <w:sz w:val="22"/>
        </w:rPr>
      </w:pPr>
      <w:r w:rsidRPr="0039633C">
        <w:rPr>
          <w:rFonts w:ascii="Arial" w:eastAsia="Times New Roman" w:hAnsi="Arial" w:cs="Arial"/>
          <w:sz w:val="22"/>
          <w:lang w:val="es-CO" w:eastAsia="es-ES_tradnl"/>
        </w:rPr>
        <w:t xml:space="preserve">Teniendo en cuenta que su pregunta se relaciona con </w:t>
      </w:r>
      <w:r>
        <w:rPr>
          <w:rFonts w:ascii="Arial" w:eastAsia="Times New Roman" w:hAnsi="Arial" w:cs="Arial"/>
          <w:iCs/>
          <w:sz w:val="22"/>
          <w:lang w:val="es-CO" w:eastAsia="es-ES_tradnl"/>
        </w:rPr>
        <w:t>asuntos presupuestales que exceden las competencias de esta agencia</w:t>
      </w:r>
      <w:r w:rsidR="00CB0625">
        <w:rPr>
          <w:rFonts w:ascii="Arial" w:hAnsi="Arial" w:cs="Arial"/>
          <w:sz w:val="22"/>
          <w:lang w:val="es-CO"/>
        </w:rPr>
        <w:t>,</w:t>
      </w:r>
      <w:r>
        <w:rPr>
          <w:rFonts w:ascii="Arial" w:hAnsi="Arial" w:cs="Arial"/>
          <w:sz w:val="22"/>
          <w:lang w:val="es-CO"/>
        </w:rPr>
        <w:t xml:space="preserve"> </w:t>
      </w:r>
      <w:r w:rsidR="00CB0625">
        <w:rPr>
          <w:rFonts w:ascii="Arial" w:hAnsi="Arial" w:cs="Arial"/>
          <w:sz w:val="22"/>
          <w:lang w:val="es-CO"/>
        </w:rPr>
        <w:t>d</w:t>
      </w:r>
      <w:r w:rsidRPr="00463BF9">
        <w:rPr>
          <w:rFonts w:ascii="Arial" w:hAnsi="Arial" w:cs="Arial"/>
          <w:color w:val="000000" w:themeColor="text1"/>
          <w:sz w:val="22"/>
          <w:lang w:eastAsia="es-ES_tradnl"/>
        </w:rPr>
        <w:t>esafortunadamente</w:t>
      </w:r>
      <w:r w:rsidR="00CB0625">
        <w:rPr>
          <w:rFonts w:ascii="Arial" w:hAnsi="Arial" w:cs="Arial"/>
          <w:color w:val="000000" w:themeColor="text1"/>
          <w:sz w:val="22"/>
          <w:lang w:eastAsia="es-ES_tradnl"/>
        </w:rPr>
        <w:t>,</w:t>
      </w:r>
      <w:r w:rsidRPr="00463BF9">
        <w:rPr>
          <w:rFonts w:ascii="Arial" w:hAnsi="Arial" w:cs="Arial"/>
          <w:color w:val="000000" w:themeColor="text1"/>
          <w:sz w:val="22"/>
          <w:lang w:eastAsia="es-ES_tradnl"/>
        </w:rPr>
        <w:t xml:space="preserve"> no podemos responder su inquietud, pues no se refiere al alcance de alguna norma que rija la contratación de las entidades públicas</w:t>
      </w:r>
      <w:r>
        <w:rPr>
          <w:rFonts w:ascii="Arial" w:hAnsi="Arial" w:cs="Arial"/>
          <w:color w:val="000000" w:themeColor="text1"/>
          <w:sz w:val="22"/>
          <w:lang w:eastAsia="es-ES_tradnl"/>
        </w:rPr>
        <w:t xml:space="preserve">. </w:t>
      </w:r>
    </w:p>
    <w:p w14:paraId="75782C77" w14:textId="77777777" w:rsidR="00AA69D1" w:rsidRDefault="00AA69D1" w:rsidP="00AB7442">
      <w:pPr>
        <w:spacing w:line="276" w:lineRule="auto"/>
        <w:jc w:val="both"/>
        <w:rPr>
          <w:rFonts w:ascii="Arial" w:eastAsia="Calibri" w:hAnsi="Arial" w:cs="Arial"/>
          <w:color w:val="000000"/>
          <w:sz w:val="22"/>
        </w:rPr>
      </w:pPr>
    </w:p>
    <w:p w14:paraId="66CE4DD8" w14:textId="40186C6E" w:rsidR="00BE1E33" w:rsidRPr="006C15D5" w:rsidRDefault="00BE1E33" w:rsidP="00AB7442">
      <w:pPr>
        <w:spacing w:before="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38F678E8" w:rsidR="00BE1E33" w:rsidRDefault="00E25800" w:rsidP="00BE1E33">
      <w:pPr>
        <w:jc w:val="center"/>
        <w:rPr>
          <w:rFonts w:ascii="Arial" w:eastAsia="Times New Roman" w:hAnsi="Arial" w:cs="Arial"/>
          <w:color w:val="000000" w:themeColor="text1"/>
          <w:sz w:val="18"/>
          <w:szCs w:val="20"/>
          <w:lang w:eastAsia="es-CO"/>
        </w:rPr>
      </w:pPr>
      <w:r>
        <w:rPr>
          <w:rFonts w:ascii="Arial" w:eastAsia="Times New Roman" w:hAnsi="Arial" w:cs="Arial"/>
          <w:noProof/>
          <w:color w:val="000000" w:themeColor="text1"/>
          <w:sz w:val="18"/>
          <w:szCs w:val="20"/>
          <w:lang w:val="es-CO" w:eastAsia="es-CO"/>
        </w:rPr>
        <w:drawing>
          <wp:inline distT="0" distB="0" distL="0" distR="0" wp14:anchorId="56BF8258" wp14:editId="101DF207">
            <wp:extent cx="2773680" cy="987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680" cy="987425"/>
                    </a:xfrm>
                    <a:prstGeom prst="rect">
                      <a:avLst/>
                    </a:prstGeom>
                    <a:noFill/>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0E5B573B" w:rsidR="00BE1E33" w:rsidRPr="006C15D5" w:rsidRDefault="001D0959"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Sebastian Barreto Cifuentes </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2894AF7" w14:textId="7D132930" w:rsidR="00287EC8" w:rsidRPr="006C15D5" w:rsidRDefault="006F72B9" w:rsidP="00287EC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72718C99" w14:textId="632010B8" w:rsidR="00BE1E33" w:rsidRPr="006C15D5" w:rsidRDefault="006F72B9" w:rsidP="00287EC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00287EC8"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00287EC8" w:rsidRPr="006C15D5">
              <w:rPr>
                <w:rFonts w:ascii="Arial" w:eastAsia="Times New Roman" w:hAnsi="Arial" w:cs="Arial"/>
                <w:color w:val="000000" w:themeColor="text1"/>
                <w:sz w:val="16"/>
                <w:szCs w:val="16"/>
                <w:lang w:eastAsia="es-ES"/>
              </w:rPr>
              <w:t xml:space="preserve">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6335D" w14:textId="77777777" w:rsidR="00D157CA" w:rsidRDefault="00D157CA" w:rsidP="008C487C">
      <w:r>
        <w:separator/>
      </w:r>
    </w:p>
  </w:endnote>
  <w:endnote w:type="continuationSeparator" w:id="0">
    <w:p w14:paraId="1A88A935" w14:textId="77777777" w:rsidR="00D157CA" w:rsidRDefault="00D157CA" w:rsidP="008C487C">
      <w:r>
        <w:continuationSeparator/>
      </w:r>
    </w:p>
  </w:endnote>
  <w:endnote w:type="continuationNotice" w:id="1">
    <w:p w14:paraId="76E4E4F0" w14:textId="77777777" w:rsidR="00F8308F" w:rsidRDefault="00F83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F01C26" w:rsidRDefault="00F01C26" w:rsidP="00AC43E7">
    <w:pPr>
      <w:pStyle w:val="NoSpacing"/>
      <w:jc w:val="right"/>
      <w:rPr>
        <w:rFonts w:ascii="Arial" w:hAnsi="Arial" w:cs="Arial"/>
        <w:sz w:val="18"/>
        <w:szCs w:val="18"/>
      </w:rPr>
    </w:pPr>
  </w:p>
  <w:p w14:paraId="3D3EB348" w14:textId="27426C62" w:rsidR="00F01C26" w:rsidRPr="008217B7" w:rsidRDefault="00F01C26" w:rsidP="00AC43E7">
    <w:pPr>
      <w:pStyle w:val="Footer"/>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2580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25800">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29709EEF" w14:textId="77777777" w:rsidR="00F01C26" w:rsidRDefault="00F01C26" w:rsidP="00AC43E7">
    <w:pPr>
      <w:pStyle w:val="Footer"/>
      <w:jc w:val="center"/>
      <w:rPr>
        <w:lang w:val="es-ES"/>
      </w:rPr>
    </w:pPr>
    <w:r>
      <w:rPr>
        <w:noProof/>
        <w:lang w:val="es-CO" w:eastAsia="es-CO"/>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F01C26" w:rsidRPr="00E756AC" w:rsidRDefault="00F01C26" w:rsidP="00AC43E7">
    <w:pPr>
      <w:pStyle w:val="Footer"/>
      <w:jc w:val="center"/>
      <w:rPr>
        <w:sz w:val="18"/>
        <w:szCs w:val="18"/>
        <w:lang w:val="es-ES"/>
      </w:rPr>
    </w:pPr>
  </w:p>
  <w:p w14:paraId="428179B1" w14:textId="77777777" w:rsidR="00F01C26" w:rsidRPr="00E756AC" w:rsidRDefault="00F01C26" w:rsidP="00AC43E7">
    <w:pPr>
      <w:pStyle w:val="Footer"/>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843D3" w14:textId="77777777" w:rsidR="00D157CA" w:rsidRDefault="00D157CA" w:rsidP="008C487C">
      <w:r>
        <w:separator/>
      </w:r>
    </w:p>
  </w:footnote>
  <w:footnote w:type="continuationSeparator" w:id="0">
    <w:p w14:paraId="57375448" w14:textId="77777777" w:rsidR="00D157CA" w:rsidRDefault="00D157CA" w:rsidP="008C487C">
      <w:r>
        <w:continuationSeparator/>
      </w:r>
    </w:p>
  </w:footnote>
  <w:footnote w:type="continuationNotice" w:id="1">
    <w:p w14:paraId="6EA5286E" w14:textId="77777777" w:rsidR="00F8308F" w:rsidRDefault="00F8308F"/>
  </w:footnote>
  <w:footnote w:id="2">
    <w:p w14:paraId="603E82F7" w14:textId="77777777" w:rsidR="00F01C26" w:rsidRPr="00F01C26" w:rsidRDefault="00F01C26" w:rsidP="00F01C26">
      <w:pPr>
        <w:pStyle w:val="FootnoteText"/>
        <w:ind w:firstLine="708"/>
        <w:jc w:val="both"/>
        <w:rPr>
          <w:rFonts w:ascii="Arial" w:hAnsi="Arial" w:cs="Arial"/>
          <w:color w:val="000000"/>
          <w:sz w:val="19"/>
          <w:szCs w:val="19"/>
        </w:rPr>
      </w:pPr>
      <w:r w:rsidRPr="00F01C26">
        <w:rPr>
          <w:rStyle w:val="FootnoteReference"/>
          <w:rFonts w:ascii="Arial" w:hAnsi="Arial" w:cs="Arial"/>
          <w:color w:val="000000"/>
          <w:sz w:val="19"/>
          <w:szCs w:val="19"/>
        </w:rPr>
        <w:footnoteRef/>
      </w:r>
      <w:r w:rsidRPr="00F01C26">
        <w:rPr>
          <w:rFonts w:ascii="Arial" w:hAnsi="Arial" w:cs="Arial"/>
          <w:color w:val="000000"/>
          <w:sz w:val="19"/>
          <w:szCs w:val="19"/>
        </w:rPr>
        <w:t xml:space="preserve"> Corte Constitucional. Sentencia C- 341 del 4 de junio de 2014. M. P. Mauricio González Cuervo.</w:t>
      </w:r>
    </w:p>
    <w:p w14:paraId="59332056" w14:textId="77777777" w:rsidR="00F01C26" w:rsidRPr="00F01C26" w:rsidRDefault="00F01C26" w:rsidP="00F01C26">
      <w:pPr>
        <w:pStyle w:val="FootnoteText"/>
        <w:ind w:firstLine="708"/>
        <w:jc w:val="both"/>
        <w:rPr>
          <w:rFonts w:ascii="Arial" w:hAnsi="Arial" w:cs="Arial"/>
          <w:color w:val="000000"/>
          <w:sz w:val="19"/>
          <w:szCs w:val="19"/>
          <w:lang w:val="es-CO"/>
        </w:rPr>
      </w:pPr>
    </w:p>
  </w:footnote>
  <w:footnote w:id="3">
    <w:p w14:paraId="196C5E95" w14:textId="77777777" w:rsidR="00F01C26" w:rsidRPr="00F01C26" w:rsidRDefault="00F01C26" w:rsidP="00F01C26">
      <w:pPr>
        <w:pStyle w:val="FootnoteText"/>
        <w:ind w:firstLine="708"/>
        <w:jc w:val="both"/>
        <w:rPr>
          <w:rFonts w:ascii="Arial" w:hAnsi="Arial" w:cs="Arial"/>
          <w:color w:val="000000"/>
          <w:sz w:val="19"/>
          <w:szCs w:val="19"/>
        </w:rPr>
      </w:pPr>
      <w:r w:rsidRPr="00F01C26">
        <w:rPr>
          <w:rStyle w:val="FootnoteReference"/>
          <w:rFonts w:ascii="Arial" w:hAnsi="Arial" w:cs="Arial"/>
          <w:color w:val="000000"/>
          <w:sz w:val="19"/>
          <w:szCs w:val="19"/>
        </w:rPr>
        <w:footnoteRef/>
      </w:r>
      <w:r w:rsidRPr="00F01C26">
        <w:rPr>
          <w:rFonts w:ascii="Arial" w:hAnsi="Arial" w:cs="Arial"/>
          <w:color w:val="000000"/>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D753DB6" w14:textId="77777777" w:rsidR="00F01C26" w:rsidRPr="00F01C26" w:rsidRDefault="00F01C26" w:rsidP="00F01C26">
      <w:pPr>
        <w:pStyle w:val="FootnoteText"/>
        <w:ind w:firstLine="708"/>
        <w:jc w:val="both"/>
        <w:rPr>
          <w:rFonts w:ascii="Arial" w:hAnsi="Arial" w:cs="Arial"/>
          <w:color w:val="000000"/>
          <w:sz w:val="19"/>
          <w:szCs w:val="19"/>
        </w:rPr>
      </w:pPr>
      <w:r w:rsidRPr="00F01C26">
        <w:rPr>
          <w:rFonts w:ascii="Arial" w:hAnsi="Arial" w:cs="Arial"/>
          <w:color w:val="000000"/>
          <w:sz w:val="19"/>
          <w:szCs w:val="19"/>
        </w:rPr>
        <w:t>»Lo anterior, sin perjuicio de las publicaciones previstas en el numeral 3 del artículo 30 de la Ley 80 de 1993.</w:t>
      </w:r>
    </w:p>
    <w:p w14:paraId="45CD692D" w14:textId="77777777" w:rsidR="00F01C26" w:rsidRPr="00F01C26" w:rsidRDefault="00F01C26" w:rsidP="00F01C26">
      <w:pPr>
        <w:pStyle w:val="FootnoteText"/>
        <w:ind w:firstLine="708"/>
        <w:jc w:val="both"/>
        <w:rPr>
          <w:rFonts w:ascii="Arial" w:hAnsi="Arial" w:cs="Arial"/>
          <w:color w:val="000000"/>
          <w:sz w:val="19"/>
          <w:szCs w:val="19"/>
        </w:rPr>
      </w:pPr>
      <w:r w:rsidRPr="00F01C26">
        <w:rPr>
          <w:rFonts w:ascii="Arial" w:hAnsi="Arial" w:cs="Arial"/>
          <w:color w:val="000000"/>
          <w:sz w:val="19"/>
          <w:szCs w:val="19"/>
        </w:rPr>
        <w:t xml:space="preserve">»Con el fin de materializar los objetivos a que se refiere el inciso anterior, el Gobierno Nacional desarrollará el Sistema Electrónico para la Contratación Pública, Secop, el cual: </w:t>
      </w:r>
    </w:p>
    <w:p w14:paraId="7448B923" w14:textId="77777777" w:rsidR="00F01C26" w:rsidRPr="00F01C26" w:rsidRDefault="00F01C26" w:rsidP="00F01C26">
      <w:pPr>
        <w:pStyle w:val="FootnoteText"/>
        <w:ind w:firstLine="708"/>
        <w:jc w:val="both"/>
        <w:rPr>
          <w:rFonts w:ascii="Arial" w:hAnsi="Arial" w:cs="Arial"/>
          <w:color w:val="000000"/>
          <w:sz w:val="19"/>
          <w:szCs w:val="19"/>
        </w:rPr>
      </w:pPr>
      <w:r w:rsidRPr="00F01C26">
        <w:rPr>
          <w:rFonts w:ascii="Arial" w:hAnsi="Arial" w:cs="Arial"/>
          <w:color w:val="000000"/>
          <w:sz w:val="19"/>
          <w:szCs w:val="19"/>
        </w:rPr>
        <w:t>[…]</w:t>
      </w:r>
    </w:p>
    <w:p w14:paraId="24F37318" w14:textId="77777777" w:rsidR="00F01C26" w:rsidRPr="00F01C26" w:rsidRDefault="00F01C26" w:rsidP="00F01C26">
      <w:pPr>
        <w:pStyle w:val="FootnoteText"/>
        <w:ind w:firstLine="708"/>
        <w:jc w:val="both"/>
        <w:rPr>
          <w:rFonts w:ascii="Arial" w:hAnsi="Arial" w:cs="Arial"/>
          <w:color w:val="000000"/>
          <w:sz w:val="19"/>
          <w:szCs w:val="19"/>
        </w:rPr>
      </w:pPr>
      <w:r w:rsidRPr="00F01C26">
        <w:rPr>
          <w:rFonts w:ascii="Arial" w:hAnsi="Arial" w:cs="Arial"/>
          <w:color w:val="000000"/>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2A933178" w14:textId="77777777" w:rsidR="00F01C26" w:rsidRPr="00F01C26" w:rsidRDefault="00F01C26" w:rsidP="00F01C26">
      <w:pPr>
        <w:pStyle w:val="FootnoteText"/>
        <w:ind w:firstLine="708"/>
        <w:jc w:val="both"/>
        <w:rPr>
          <w:rFonts w:ascii="Arial" w:hAnsi="Arial" w:cs="Arial"/>
          <w:color w:val="000000"/>
          <w:sz w:val="19"/>
          <w:szCs w:val="19"/>
        </w:rPr>
      </w:pPr>
    </w:p>
  </w:footnote>
  <w:footnote w:id="4">
    <w:p w14:paraId="6BDD8296" w14:textId="77777777" w:rsidR="00F01C26" w:rsidRPr="00F01C26" w:rsidRDefault="00F01C26" w:rsidP="00F01C26">
      <w:pPr>
        <w:pStyle w:val="FootnoteText"/>
        <w:ind w:firstLine="708"/>
        <w:jc w:val="both"/>
        <w:rPr>
          <w:rFonts w:ascii="Arial" w:hAnsi="Arial" w:cs="Arial"/>
          <w:color w:val="000000"/>
          <w:sz w:val="19"/>
          <w:szCs w:val="19"/>
        </w:rPr>
      </w:pPr>
      <w:r w:rsidRPr="00F01C26">
        <w:rPr>
          <w:rStyle w:val="FootnoteReference"/>
          <w:rFonts w:ascii="Arial" w:hAnsi="Arial" w:cs="Arial"/>
          <w:color w:val="000000"/>
          <w:sz w:val="19"/>
          <w:szCs w:val="19"/>
        </w:rPr>
        <w:footnoteRef/>
      </w:r>
      <w:r w:rsidRPr="00F01C26">
        <w:rPr>
          <w:rFonts w:ascii="Arial" w:hAnsi="Arial" w:cs="Arial"/>
          <w:color w:val="000000"/>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2BE7A4F6" w14:textId="77777777" w:rsidR="00F01C26" w:rsidRPr="00F01C26" w:rsidRDefault="00F01C26" w:rsidP="00F01C26">
      <w:pPr>
        <w:pStyle w:val="FootnoteText"/>
        <w:ind w:firstLine="708"/>
        <w:jc w:val="both"/>
        <w:rPr>
          <w:rFonts w:ascii="Arial" w:hAnsi="Arial" w:cs="Arial"/>
          <w:color w:val="000000"/>
          <w:sz w:val="19"/>
          <w:szCs w:val="19"/>
        </w:rPr>
      </w:pPr>
    </w:p>
  </w:footnote>
  <w:footnote w:id="5">
    <w:p w14:paraId="64CE16BB" w14:textId="77777777" w:rsidR="00F01C26" w:rsidRPr="00F01C26" w:rsidRDefault="00F01C26" w:rsidP="00F01C26">
      <w:pPr>
        <w:pStyle w:val="FootnoteText"/>
        <w:ind w:firstLine="709"/>
        <w:jc w:val="both"/>
        <w:rPr>
          <w:rFonts w:ascii="Arial" w:hAnsi="Arial" w:cs="Arial"/>
          <w:color w:val="000000"/>
          <w:sz w:val="19"/>
          <w:szCs w:val="19"/>
        </w:rPr>
      </w:pPr>
      <w:r w:rsidRPr="00F01C26">
        <w:rPr>
          <w:rFonts w:ascii="Arial" w:eastAsia="Times New Roman" w:hAnsi="Arial" w:cs="Arial"/>
          <w:color w:val="000000"/>
          <w:sz w:val="19"/>
          <w:szCs w:val="19"/>
          <w:vertAlign w:val="superscript"/>
          <w:lang w:val="es-ES" w:eastAsia="es-ES"/>
        </w:rPr>
        <w:footnoteRef/>
      </w:r>
      <w:r w:rsidRPr="00F01C26">
        <w:rPr>
          <w:rFonts w:ascii="Arial" w:eastAsia="Times New Roman" w:hAnsi="Arial" w:cs="Arial"/>
          <w:color w:val="000000"/>
          <w:sz w:val="19"/>
          <w:szCs w:val="19"/>
          <w:vertAlign w:val="superscript"/>
          <w:lang w:val="es-ES" w:eastAsia="es-ES"/>
        </w:rPr>
        <w:t xml:space="preserve"> </w:t>
      </w:r>
      <w:r w:rsidRPr="00F01C26">
        <w:rPr>
          <w:rFonts w:ascii="Arial" w:eastAsia="Times New Roman" w:hAnsi="Arial" w:cs="Arial"/>
          <w:color w:val="000000"/>
          <w:sz w:val="19"/>
          <w:szCs w:val="19"/>
          <w:lang w:val="es-ES" w:eastAsia="es-ES"/>
        </w:rPr>
        <w:t>«</w:t>
      </w:r>
      <w:r w:rsidRPr="00F01C26">
        <w:rPr>
          <w:rFonts w:ascii="Arial" w:hAnsi="Arial" w:cs="Arial"/>
          <w:color w:val="000000"/>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21EF019" w14:textId="602E4D77" w:rsidR="00F01C26" w:rsidRPr="00F01C26" w:rsidRDefault="00F01C26" w:rsidP="007C6744">
      <w:pPr>
        <w:pStyle w:val="FootnoteText"/>
        <w:ind w:firstLine="709"/>
        <w:jc w:val="both"/>
        <w:rPr>
          <w:rFonts w:ascii="Arial" w:hAnsi="Arial" w:cs="Arial"/>
          <w:color w:val="000000"/>
          <w:sz w:val="19"/>
          <w:szCs w:val="19"/>
        </w:rPr>
      </w:pPr>
      <w:r w:rsidRPr="00F01C26">
        <w:rPr>
          <w:rFonts w:ascii="Arial" w:hAnsi="Arial" w:cs="Arial"/>
          <w:color w:val="000000"/>
          <w:sz w:val="19"/>
          <w:szCs w:val="19"/>
        </w:rPr>
        <w:t>[…]</w:t>
      </w:r>
    </w:p>
    <w:p w14:paraId="37EDD450" w14:textId="77777777" w:rsidR="00F01C26" w:rsidRPr="00F01C26" w:rsidRDefault="00F01C26" w:rsidP="00F01C26">
      <w:pPr>
        <w:pStyle w:val="FootnoteText"/>
        <w:ind w:firstLine="709"/>
        <w:jc w:val="both"/>
        <w:rPr>
          <w:rFonts w:ascii="Arial" w:eastAsia="Times New Roman" w:hAnsi="Arial" w:cs="Arial"/>
          <w:color w:val="000000"/>
          <w:sz w:val="19"/>
          <w:szCs w:val="19"/>
          <w:lang w:val="es-ES" w:eastAsia="es-ES"/>
        </w:rPr>
      </w:pPr>
      <w:proofErr w:type="gramStart"/>
      <w:r w:rsidRPr="00F01C26">
        <w:rPr>
          <w:rFonts w:ascii="Arial" w:eastAsia="Times New Roman" w:hAnsi="Arial" w:cs="Arial"/>
          <w:color w:val="000000"/>
          <w:sz w:val="19"/>
          <w:szCs w:val="19"/>
          <w:lang w:val="es-ES" w:eastAsia="es-ES"/>
        </w:rPr>
        <w:t>»Los</w:t>
      </w:r>
      <w:proofErr w:type="gramEnd"/>
      <w:r w:rsidRPr="00F01C26">
        <w:rPr>
          <w:rFonts w:ascii="Arial" w:eastAsia="Times New Roman" w:hAnsi="Arial" w:cs="Arial"/>
          <w:color w:val="000000"/>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39F6C3C0" w14:textId="77777777" w:rsidR="00F01C26" w:rsidRPr="00F01C26" w:rsidRDefault="00F01C26" w:rsidP="00F01C26">
      <w:pPr>
        <w:pStyle w:val="FootnoteText"/>
        <w:ind w:firstLine="709"/>
        <w:jc w:val="both"/>
        <w:rPr>
          <w:rFonts w:ascii="Arial" w:eastAsia="Times New Roman" w:hAnsi="Arial" w:cs="Arial"/>
          <w:color w:val="000000"/>
          <w:sz w:val="19"/>
          <w:szCs w:val="19"/>
          <w:lang w:val="es-ES" w:eastAsia="es-ES"/>
        </w:rPr>
      </w:pPr>
    </w:p>
  </w:footnote>
  <w:footnote w:id="6">
    <w:p w14:paraId="257285CC" w14:textId="77777777" w:rsidR="008E0A23" w:rsidRPr="001B0D3D" w:rsidRDefault="008E0A23" w:rsidP="008E0A23">
      <w:pPr>
        <w:pStyle w:val="FootnoteText"/>
        <w:ind w:firstLine="708"/>
        <w:rPr>
          <w:rFonts w:ascii="Arial" w:hAnsi="Arial" w:cs="Arial"/>
          <w:color w:val="000000" w:themeColor="text1"/>
          <w:sz w:val="19"/>
          <w:szCs w:val="19"/>
        </w:rPr>
      </w:pPr>
      <w:r w:rsidRPr="001B0D3D">
        <w:rPr>
          <w:rStyle w:val="FootnoteReference"/>
          <w:rFonts w:ascii="Arial" w:hAnsi="Arial" w:cs="Arial"/>
          <w:color w:val="000000" w:themeColor="text1"/>
          <w:sz w:val="19"/>
          <w:szCs w:val="19"/>
        </w:rPr>
        <w:footnoteRef/>
      </w:r>
      <w:r w:rsidRPr="001B0D3D">
        <w:rPr>
          <w:rFonts w:ascii="Arial" w:hAnsi="Arial" w:cs="Arial"/>
          <w:color w:val="000000" w:themeColor="text1"/>
          <w:sz w:val="19"/>
          <w:szCs w:val="19"/>
        </w:rPr>
        <w:t xml:space="preserve"> C</w:t>
      </w:r>
      <w:r w:rsidRPr="001B0D3D">
        <w:rPr>
          <w:rFonts w:ascii="Arial" w:eastAsia="Times New Roman" w:hAnsi="Arial" w:cs="Arial"/>
          <w:color w:val="000000" w:themeColor="text1"/>
          <w:sz w:val="19"/>
          <w:szCs w:val="19"/>
          <w:lang w:eastAsia="es-ES"/>
        </w:rPr>
        <w:t xml:space="preserve">orte Constitucional. Sentencia C─274 de 9 de mayo de 2013. M.P. María Victoria Calle Correa. </w:t>
      </w:r>
    </w:p>
    <w:p w14:paraId="3583AECA" w14:textId="77777777" w:rsidR="008E0A23" w:rsidRPr="001B0D3D" w:rsidRDefault="008E0A23" w:rsidP="008E0A23">
      <w:pPr>
        <w:pStyle w:val="FootnoteText"/>
        <w:ind w:firstLine="708"/>
        <w:rPr>
          <w:rFonts w:ascii="Arial" w:hAnsi="Arial" w:cs="Arial"/>
          <w:color w:val="000000" w:themeColor="text1"/>
          <w:sz w:val="19"/>
          <w:szCs w:val="19"/>
          <w:lang w:val="es-CO"/>
        </w:rPr>
      </w:pPr>
    </w:p>
  </w:footnote>
  <w:footnote w:id="7">
    <w:p w14:paraId="17D54065" w14:textId="77777777" w:rsidR="008E0A23" w:rsidRPr="001B0D3D" w:rsidRDefault="008E0A23" w:rsidP="008E0A23">
      <w:pPr>
        <w:pStyle w:val="FootnoteText"/>
        <w:ind w:firstLine="708"/>
        <w:rPr>
          <w:rFonts w:ascii="Arial" w:hAnsi="Arial" w:cs="Arial"/>
          <w:color w:val="000000" w:themeColor="text1"/>
          <w:sz w:val="19"/>
          <w:szCs w:val="19"/>
          <w:lang w:val="es-CO"/>
        </w:rPr>
      </w:pPr>
      <w:r w:rsidRPr="001B0D3D">
        <w:rPr>
          <w:rStyle w:val="FootnoteReference"/>
          <w:rFonts w:ascii="Arial" w:hAnsi="Arial" w:cs="Arial"/>
          <w:color w:val="000000" w:themeColor="text1"/>
          <w:sz w:val="19"/>
          <w:szCs w:val="19"/>
        </w:rPr>
        <w:footnoteRef/>
      </w:r>
      <w:r w:rsidRPr="001B0D3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8">
    <w:p w14:paraId="6B142154" w14:textId="77777777" w:rsidR="008E0A23" w:rsidRPr="001B0D3D" w:rsidRDefault="008E0A23" w:rsidP="008E0A23">
      <w:pPr>
        <w:pStyle w:val="FootnoteText"/>
        <w:ind w:firstLine="708"/>
        <w:rPr>
          <w:rFonts w:ascii="Arial" w:hAnsi="Arial" w:cs="Arial"/>
          <w:color w:val="000000" w:themeColor="text1"/>
          <w:sz w:val="19"/>
          <w:szCs w:val="19"/>
        </w:rPr>
      </w:pPr>
      <w:r w:rsidRPr="001B0D3D">
        <w:rPr>
          <w:rStyle w:val="FootnoteReference"/>
          <w:rFonts w:ascii="Arial" w:hAnsi="Arial" w:cs="Arial"/>
          <w:color w:val="000000" w:themeColor="text1"/>
          <w:sz w:val="19"/>
          <w:szCs w:val="19"/>
        </w:rPr>
        <w:footnoteRef/>
      </w:r>
      <w:r w:rsidRPr="001B0D3D">
        <w:rPr>
          <w:rFonts w:ascii="Arial" w:hAnsi="Arial" w:cs="Arial"/>
          <w:color w:val="000000" w:themeColor="text1"/>
          <w:sz w:val="19"/>
          <w:szCs w:val="19"/>
        </w:rPr>
        <w:t xml:space="preserve"> Consejo de Estado. Sección Tercera. Subsección C. Auto del 14 de agosto de 2017. Exp. 58.820. C.P. Jaime Orlando Santofimio Gamboa. </w:t>
      </w:r>
    </w:p>
    <w:p w14:paraId="7E4F8E05" w14:textId="77777777" w:rsidR="008E0A23" w:rsidRPr="001B0D3D" w:rsidRDefault="008E0A23" w:rsidP="008E0A23">
      <w:pPr>
        <w:pStyle w:val="FootnoteText"/>
        <w:ind w:firstLine="708"/>
        <w:rPr>
          <w:rFonts w:ascii="Arial" w:hAnsi="Arial" w:cs="Arial"/>
          <w:color w:val="000000" w:themeColor="text1"/>
          <w:sz w:val="19"/>
          <w:szCs w:val="19"/>
          <w:lang w:val="es-CO"/>
        </w:rPr>
      </w:pPr>
    </w:p>
  </w:footnote>
  <w:footnote w:id="9">
    <w:p w14:paraId="265498D8" w14:textId="629D9518" w:rsidR="00F01C26" w:rsidRPr="00F01C26" w:rsidRDefault="00F01C26" w:rsidP="00F01C26">
      <w:pPr>
        <w:pStyle w:val="ListParagraph"/>
        <w:ind w:left="0" w:firstLine="708"/>
        <w:jc w:val="both"/>
        <w:rPr>
          <w:rFonts w:ascii="Arial" w:hAnsi="Arial" w:cs="Arial"/>
          <w:bCs/>
          <w:color w:val="000000"/>
          <w:sz w:val="19"/>
          <w:szCs w:val="19"/>
        </w:rPr>
      </w:pPr>
      <w:r w:rsidRPr="00F01C26">
        <w:rPr>
          <w:rStyle w:val="FootnoteReference"/>
          <w:rFonts w:ascii="Arial" w:hAnsi="Arial" w:cs="Arial"/>
          <w:color w:val="000000"/>
          <w:sz w:val="19"/>
          <w:szCs w:val="19"/>
        </w:rPr>
        <w:footnoteRef/>
      </w:r>
      <w:r w:rsidRPr="00F01C26">
        <w:rPr>
          <w:rFonts w:ascii="Arial" w:hAnsi="Arial" w:cs="Arial"/>
          <w:color w:val="000000"/>
          <w:sz w:val="19"/>
          <w:szCs w:val="19"/>
        </w:rPr>
        <w:t xml:space="preserve"> </w:t>
      </w:r>
      <w:r w:rsidRPr="00F01C26">
        <w:rPr>
          <w:rFonts w:ascii="Arial" w:hAnsi="Arial" w:cs="Arial"/>
          <w:bCs/>
          <w:color w:val="000000"/>
          <w:sz w:val="19"/>
          <w:szCs w:val="19"/>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w:t>
      </w:r>
      <w:r w:rsidR="00507EA0">
        <w:rPr>
          <w:rFonts w:ascii="Arial" w:hAnsi="Arial" w:cs="Arial"/>
          <w:bCs/>
          <w:color w:val="000000"/>
          <w:sz w:val="19"/>
          <w:szCs w:val="19"/>
        </w:rPr>
        <w:t>a</w:t>
      </w:r>
      <w:r w:rsidRPr="00F01C26">
        <w:rPr>
          <w:rFonts w:ascii="Arial" w:hAnsi="Arial" w:cs="Arial"/>
          <w:bCs/>
          <w:color w:val="000000"/>
          <w:sz w:val="19"/>
          <w:szCs w:val="19"/>
        </w:rPr>
        <w:t xml:space="preserve">dendas; e) la oferta; f) el informe de evaluación; g) el contrato; y cualquier otro documento expedido por la </w:t>
      </w:r>
      <w:r w:rsidR="00507EA0">
        <w:rPr>
          <w:rFonts w:ascii="Arial" w:hAnsi="Arial" w:cs="Arial"/>
          <w:bCs/>
          <w:color w:val="000000"/>
          <w:sz w:val="19"/>
          <w:szCs w:val="19"/>
        </w:rPr>
        <w:t>e</w:t>
      </w:r>
      <w:r w:rsidRPr="00F01C26">
        <w:rPr>
          <w:rFonts w:ascii="Arial" w:hAnsi="Arial" w:cs="Arial"/>
          <w:bCs/>
          <w:color w:val="000000"/>
          <w:sz w:val="19"/>
          <w:szCs w:val="19"/>
        </w:rPr>
        <w:t xml:space="preserve">ntidad </w:t>
      </w:r>
      <w:r w:rsidR="00507EA0">
        <w:rPr>
          <w:rFonts w:ascii="Arial" w:hAnsi="Arial" w:cs="Arial"/>
          <w:bCs/>
          <w:color w:val="000000"/>
          <w:sz w:val="19"/>
          <w:szCs w:val="19"/>
        </w:rPr>
        <w:t>e</w:t>
      </w:r>
      <w:r w:rsidRPr="00F01C26">
        <w:rPr>
          <w:rFonts w:ascii="Arial" w:hAnsi="Arial" w:cs="Arial"/>
          <w:bCs/>
          <w:color w:val="000000"/>
          <w:sz w:val="19"/>
          <w:szCs w:val="19"/>
        </w:rPr>
        <w:t xml:space="preserve">statal durante el </w:t>
      </w:r>
      <w:r w:rsidR="00507EA0">
        <w:rPr>
          <w:rFonts w:ascii="Arial" w:hAnsi="Arial" w:cs="Arial"/>
          <w:bCs/>
          <w:color w:val="000000"/>
          <w:sz w:val="19"/>
          <w:szCs w:val="19"/>
        </w:rPr>
        <w:t>p</w:t>
      </w:r>
      <w:r w:rsidRPr="00F01C26">
        <w:rPr>
          <w:rFonts w:ascii="Arial" w:hAnsi="Arial" w:cs="Arial"/>
          <w:bCs/>
          <w:color w:val="000000"/>
          <w:sz w:val="19"/>
          <w:szCs w:val="19"/>
        </w:rPr>
        <w:t xml:space="preserve">roceso. </w:t>
      </w:r>
    </w:p>
    <w:p w14:paraId="1678575C" w14:textId="77777777" w:rsidR="00F01C26" w:rsidRPr="00F01C26" w:rsidRDefault="00F01C26" w:rsidP="00F01C26">
      <w:pPr>
        <w:pStyle w:val="FootnoteText"/>
        <w:ind w:firstLine="708"/>
        <w:jc w:val="both"/>
        <w:rPr>
          <w:rFonts w:ascii="Arial" w:hAnsi="Arial" w:cs="Arial"/>
          <w:color w:val="000000"/>
          <w:sz w:val="19"/>
          <w:szCs w:val="19"/>
        </w:rPr>
      </w:pPr>
    </w:p>
  </w:footnote>
  <w:footnote w:id="10">
    <w:p w14:paraId="21BC2370" w14:textId="526D9BF3" w:rsidR="00F01C26" w:rsidRPr="00F01C26" w:rsidRDefault="00F01C26" w:rsidP="00F01C26">
      <w:pPr>
        <w:pStyle w:val="FootnoteText"/>
        <w:ind w:firstLine="708"/>
        <w:jc w:val="both"/>
        <w:rPr>
          <w:rFonts w:ascii="Arial" w:hAnsi="Arial" w:cs="Arial"/>
          <w:color w:val="000000"/>
          <w:sz w:val="19"/>
          <w:szCs w:val="19"/>
        </w:rPr>
      </w:pPr>
      <w:r w:rsidRPr="00F01C26">
        <w:rPr>
          <w:rStyle w:val="FootnoteReference"/>
          <w:rFonts w:ascii="Arial" w:hAnsi="Arial" w:cs="Arial"/>
          <w:color w:val="000000"/>
          <w:sz w:val="19"/>
          <w:szCs w:val="19"/>
        </w:rPr>
        <w:footnoteRef/>
      </w:r>
      <w:r w:rsidRPr="00F01C26">
        <w:rPr>
          <w:rFonts w:ascii="Arial" w:hAnsi="Arial" w:cs="Arial"/>
          <w:color w:val="000000"/>
          <w:sz w:val="19"/>
          <w:szCs w:val="19"/>
        </w:rPr>
        <w:t xml:space="preserve"> Esta posición se reiteró en las siguientes consultas: No. 4201813000006842 del 16 de agosto de 2018, 4201813000010011 del 5 de diciembre de 2018, 4201813000009778 del 29 de octubre de 2018, entre otros</w:t>
      </w:r>
      <w:r w:rsidR="00F05375">
        <w:rPr>
          <w:rFonts w:ascii="Arial" w:hAnsi="Arial" w:cs="Arial"/>
          <w:color w:val="000000"/>
          <w:sz w:val="19"/>
          <w:szCs w:val="19"/>
        </w:rPr>
        <w:t>.</w:t>
      </w:r>
      <w:r w:rsidRPr="00F01C26">
        <w:rPr>
          <w:rFonts w:ascii="Arial" w:hAnsi="Arial" w:cs="Arial"/>
          <w:color w:val="000000"/>
          <w:sz w:val="19"/>
          <w:szCs w:val="19"/>
        </w:rPr>
        <w:t xml:space="preserve">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49A8504F" w14:textId="09559F05" w:rsidR="00F01C26" w:rsidRDefault="00F01C26" w:rsidP="00F01C26">
      <w:pPr>
        <w:pStyle w:val="FootnoteText"/>
        <w:ind w:firstLine="708"/>
        <w:jc w:val="both"/>
        <w:rPr>
          <w:rFonts w:ascii="Arial" w:hAnsi="Arial" w:cs="Arial"/>
          <w:color w:val="000000"/>
          <w:sz w:val="19"/>
          <w:szCs w:val="19"/>
        </w:rPr>
      </w:pPr>
      <w:r w:rsidRPr="00F01C26">
        <w:rPr>
          <w:rFonts w:ascii="Arial" w:hAnsi="Arial" w:cs="Arial"/>
          <w:color w:val="000000"/>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34C247AD" w14:textId="77777777" w:rsidR="0016208C" w:rsidRPr="00F01C26" w:rsidRDefault="0016208C" w:rsidP="00F01C26">
      <w:pPr>
        <w:pStyle w:val="FootnoteText"/>
        <w:ind w:firstLine="708"/>
        <w:jc w:val="both"/>
        <w:rPr>
          <w:rFonts w:ascii="Arial" w:eastAsia="Times New Roman" w:hAnsi="Arial" w:cs="Arial"/>
          <w:color w:val="000000"/>
          <w:sz w:val="19"/>
          <w:szCs w:val="19"/>
          <w:lang w:eastAsia="es-ES"/>
        </w:rPr>
      </w:pPr>
    </w:p>
  </w:footnote>
  <w:footnote w:id="11">
    <w:p w14:paraId="3DD68BC6" w14:textId="52049823" w:rsidR="0016208C" w:rsidRPr="0016208C" w:rsidRDefault="0016208C" w:rsidP="0016208C">
      <w:pPr>
        <w:pStyle w:val="FootnoteText"/>
        <w:ind w:firstLine="708"/>
        <w:jc w:val="both"/>
        <w:rPr>
          <w:rFonts w:ascii="Arial" w:hAnsi="Arial" w:cs="Arial"/>
          <w:color w:val="000000"/>
          <w:sz w:val="19"/>
          <w:szCs w:val="19"/>
        </w:rPr>
      </w:pPr>
      <w:r w:rsidRPr="00F01C26">
        <w:rPr>
          <w:rStyle w:val="FootnoteReference"/>
          <w:rFonts w:ascii="Arial" w:hAnsi="Arial" w:cs="Arial"/>
          <w:color w:val="000000"/>
          <w:sz w:val="19"/>
          <w:szCs w:val="19"/>
        </w:rPr>
        <w:footnoteRef/>
      </w:r>
      <w:r w:rsidRPr="00F01C26">
        <w:rPr>
          <w:rFonts w:ascii="Arial" w:hAnsi="Arial" w:cs="Arial"/>
          <w:color w:val="000000"/>
          <w:sz w:val="19"/>
          <w:szCs w:val="19"/>
        </w:rPr>
        <w:t xml:space="preserve"> Decreto </w:t>
      </w:r>
      <w:r w:rsidR="00491A64">
        <w:rPr>
          <w:rFonts w:ascii="Arial" w:hAnsi="Arial" w:cs="Arial"/>
          <w:color w:val="000000"/>
          <w:sz w:val="19"/>
          <w:szCs w:val="19"/>
        </w:rPr>
        <w:t>1081</w:t>
      </w:r>
      <w:r w:rsidRPr="00F01C26">
        <w:rPr>
          <w:rFonts w:ascii="Arial" w:hAnsi="Arial" w:cs="Arial"/>
          <w:color w:val="000000"/>
          <w:sz w:val="19"/>
          <w:szCs w:val="19"/>
        </w:rPr>
        <w:t xml:space="preserve"> de 2015: «</w:t>
      </w:r>
      <w:r w:rsidRPr="0016208C">
        <w:rPr>
          <w:rFonts w:ascii="Arial" w:hAnsi="Arial" w:cs="Arial"/>
          <w:color w:val="000000"/>
          <w:sz w:val="19"/>
          <w:szCs w:val="19"/>
        </w:rPr>
        <w:t>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F01C26">
        <w:rPr>
          <w:rFonts w:ascii="Arial" w:hAnsi="Arial" w:cs="Arial"/>
          <w:color w:val="000000"/>
          <w:sz w:val="19"/>
          <w:szCs w:val="19"/>
        </w:rPr>
        <w:t>».</w:t>
      </w:r>
    </w:p>
    <w:p w14:paraId="6ABCF721" w14:textId="77777777" w:rsidR="0016208C" w:rsidRPr="00F01C26" w:rsidRDefault="0016208C" w:rsidP="0016208C">
      <w:pPr>
        <w:pStyle w:val="FootnoteText"/>
        <w:ind w:firstLine="708"/>
        <w:jc w:val="both"/>
        <w:rPr>
          <w:rFonts w:ascii="Arial" w:hAnsi="Arial" w:cs="Arial"/>
          <w:color w:val="000000"/>
          <w:sz w:val="19"/>
          <w:szCs w:val="19"/>
        </w:rPr>
      </w:pPr>
    </w:p>
  </w:footnote>
  <w:footnote w:id="12">
    <w:p w14:paraId="41123B77" w14:textId="26230F27" w:rsidR="00491A64" w:rsidRDefault="00491A64" w:rsidP="00491A64">
      <w:pPr>
        <w:pStyle w:val="FootnoteText"/>
        <w:ind w:firstLine="708"/>
        <w:jc w:val="both"/>
        <w:rPr>
          <w:rFonts w:ascii="Arial" w:hAnsi="Arial" w:cs="Arial"/>
          <w:color w:val="000000"/>
          <w:sz w:val="19"/>
          <w:szCs w:val="19"/>
        </w:rPr>
      </w:pPr>
      <w:r w:rsidRPr="00F01C26">
        <w:rPr>
          <w:rStyle w:val="FootnoteReference"/>
          <w:rFonts w:ascii="Arial" w:hAnsi="Arial" w:cs="Arial"/>
          <w:color w:val="000000"/>
          <w:sz w:val="19"/>
          <w:szCs w:val="19"/>
        </w:rPr>
        <w:footnoteRef/>
      </w:r>
      <w:r w:rsidRPr="00F01C26">
        <w:rPr>
          <w:rFonts w:ascii="Arial" w:hAnsi="Arial" w:cs="Arial"/>
          <w:color w:val="000000"/>
          <w:sz w:val="19"/>
          <w:szCs w:val="19"/>
        </w:rPr>
        <w:t xml:space="preserve"> Decreto </w:t>
      </w:r>
      <w:r>
        <w:rPr>
          <w:rFonts w:ascii="Arial" w:hAnsi="Arial" w:cs="Arial"/>
          <w:color w:val="000000"/>
          <w:sz w:val="19"/>
          <w:szCs w:val="19"/>
        </w:rPr>
        <w:t>1081</w:t>
      </w:r>
      <w:r w:rsidRPr="00F01C26">
        <w:rPr>
          <w:rFonts w:ascii="Arial" w:hAnsi="Arial" w:cs="Arial"/>
          <w:color w:val="000000"/>
          <w:sz w:val="19"/>
          <w:szCs w:val="19"/>
        </w:rPr>
        <w:t xml:space="preserve"> de 2015: «</w:t>
      </w:r>
      <w:r w:rsidRPr="0016208C">
        <w:rPr>
          <w:rFonts w:ascii="Arial" w:hAnsi="Arial" w:cs="Arial"/>
          <w:color w:val="000000"/>
          <w:sz w:val="19"/>
          <w:szCs w:val="19"/>
        </w:rPr>
        <w:t>Artículo 2.1.1.2.1.9. Publicación de procedimientos, lineamientos y</w:t>
      </w:r>
      <w:r>
        <w:rPr>
          <w:rFonts w:ascii="Arial" w:hAnsi="Arial" w:cs="Arial"/>
          <w:color w:val="000000"/>
          <w:sz w:val="19"/>
          <w:szCs w:val="19"/>
          <w:lang w:val="es-ES"/>
        </w:rPr>
        <w:t xml:space="preserve"> </w:t>
      </w:r>
      <w:r w:rsidRPr="0016208C">
        <w:rPr>
          <w:rFonts w:ascii="Arial" w:hAnsi="Arial" w:cs="Arial"/>
          <w:color w:val="000000"/>
          <w:sz w:val="19"/>
          <w:szCs w:val="19"/>
        </w:rPr>
        <w:t>políticas en materia de adquisición y compras. Para los sujetos obligados que contratan con cargo a</w:t>
      </w:r>
      <w:r>
        <w:rPr>
          <w:rFonts w:ascii="Arial" w:hAnsi="Arial" w:cs="Arial"/>
          <w:color w:val="000000"/>
          <w:sz w:val="19"/>
          <w:szCs w:val="19"/>
          <w:lang w:val="es-ES"/>
        </w:rPr>
        <w:t xml:space="preserve"> </w:t>
      </w:r>
      <w:r w:rsidRPr="00491A64">
        <w:rPr>
          <w:rFonts w:ascii="Arial" w:hAnsi="Arial" w:cs="Arial"/>
          <w:color w:val="000000"/>
          <w:sz w:val="19"/>
          <w:szCs w:val="19"/>
          <w:lang w:val="es-ES"/>
        </w:rPr>
        <w:t>recursos públicos, los procedimientos, lineamientos y políticas en materia de adquisición y</w:t>
      </w:r>
      <w:r>
        <w:rPr>
          <w:rFonts w:ascii="Arial" w:hAnsi="Arial" w:cs="Arial"/>
          <w:color w:val="000000"/>
          <w:sz w:val="19"/>
          <w:szCs w:val="19"/>
          <w:lang w:val="es-ES"/>
        </w:rPr>
        <w:t xml:space="preserve"> </w:t>
      </w:r>
      <w:r w:rsidRPr="00491A64">
        <w:rPr>
          <w:rFonts w:ascii="Arial" w:hAnsi="Arial" w:cs="Arial"/>
          <w:color w:val="000000"/>
          <w:sz w:val="19"/>
          <w:szCs w:val="19"/>
          <w:lang w:val="es-ES"/>
        </w:rPr>
        <w:t>compras de los que trata el literal g) del artículo 11 de la Ley 1712 de 2014 son lo</w:t>
      </w:r>
      <w:r>
        <w:rPr>
          <w:rFonts w:ascii="Arial" w:hAnsi="Arial" w:cs="Arial"/>
          <w:color w:val="000000"/>
          <w:sz w:val="19"/>
          <w:szCs w:val="19"/>
          <w:lang w:val="es-ES"/>
        </w:rPr>
        <w:t xml:space="preserve">s </w:t>
      </w:r>
      <w:r w:rsidRPr="00491A64">
        <w:rPr>
          <w:rFonts w:ascii="Arial" w:hAnsi="Arial" w:cs="Arial"/>
          <w:color w:val="000000"/>
          <w:sz w:val="19"/>
          <w:szCs w:val="19"/>
          <w:lang w:val="es-ES"/>
        </w:rPr>
        <w:t>previstos en el manual de contratación expedido conforme a las directrices señaladas por</w:t>
      </w:r>
      <w:r>
        <w:rPr>
          <w:rFonts w:ascii="Arial" w:hAnsi="Arial" w:cs="Arial"/>
          <w:color w:val="000000"/>
          <w:sz w:val="19"/>
          <w:szCs w:val="19"/>
          <w:lang w:val="es-ES"/>
        </w:rPr>
        <w:t xml:space="preserve"> </w:t>
      </w:r>
      <w:r w:rsidRPr="00491A64">
        <w:rPr>
          <w:rFonts w:ascii="Arial" w:hAnsi="Arial" w:cs="Arial"/>
          <w:color w:val="000000"/>
          <w:sz w:val="19"/>
          <w:szCs w:val="19"/>
          <w:lang w:val="es-ES"/>
        </w:rPr>
        <w:t>la Agencia Nacional de Contratación Pública - Colombia Compra Eficiente -, el cual debe</w:t>
      </w:r>
      <w:r>
        <w:rPr>
          <w:rFonts w:ascii="Arial" w:hAnsi="Arial" w:cs="Arial"/>
          <w:color w:val="000000"/>
          <w:sz w:val="19"/>
          <w:szCs w:val="19"/>
          <w:lang w:val="es-ES"/>
        </w:rPr>
        <w:t xml:space="preserve"> </w:t>
      </w:r>
      <w:r w:rsidRPr="00491A64">
        <w:rPr>
          <w:rFonts w:ascii="Arial" w:hAnsi="Arial" w:cs="Arial"/>
          <w:color w:val="000000"/>
          <w:sz w:val="19"/>
          <w:szCs w:val="19"/>
          <w:lang w:val="es-ES"/>
        </w:rPr>
        <w:t>estar publicado en el sitio web oficial del sujeto obligado</w:t>
      </w:r>
      <w:r w:rsidRPr="00F01C26">
        <w:rPr>
          <w:rFonts w:ascii="Arial" w:hAnsi="Arial" w:cs="Arial"/>
          <w:color w:val="000000"/>
          <w:sz w:val="19"/>
          <w:szCs w:val="19"/>
        </w:rPr>
        <w:t>».</w:t>
      </w:r>
    </w:p>
    <w:p w14:paraId="2A090564" w14:textId="77777777" w:rsidR="00924A3A" w:rsidRPr="00491A64" w:rsidRDefault="00924A3A" w:rsidP="00491A64">
      <w:pPr>
        <w:pStyle w:val="FootnoteText"/>
        <w:ind w:firstLine="708"/>
        <w:jc w:val="both"/>
        <w:rPr>
          <w:rFonts w:ascii="Arial" w:hAnsi="Arial" w:cs="Arial"/>
          <w:color w:val="000000"/>
          <w:sz w:val="19"/>
          <w:szCs w:val="19"/>
          <w:lang w:val="es-ES"/>
        </w:rPr>
      </w:pPr>
    </w:p>
  </w:footnote>
  <w:footnote w:id="13">
    <w:p w14:paraId="01223917" w14:textId="2E9247F4" w:rsidR="0016208C" w:rsidRPr="00F01C26" w:rsidRDefault="0016208C" w:rsidP="0016208C">
      <w:pPr>
        <w:pStyle w:val="FootnoteText"/>
        <w:ind w:firstLine="708"/>
        <w:jc w:val="both"/>
        <w:rPr>
          <w:rFonts w:ascii="Arial" w:hAnsi="Arial" w:cs="Arial"/>
          <w:color w:val="000000"/>
          <w:sz w:val="19"/>
          <w:szCs w:val="19"/>
        </w:rPr>
      </w:pPr>
      <w:r w:rsidRPr="00F01C26">
        <w:rPr>
          <w:rStyle w:val="FootnoteReference"/>
          <w:rFonts w:ascii="Arial" w:hAnsi="Arial" w:cs="Arial"/>
          <w:color w:val="000000"/>
          <w:sz w:val="19"/>
          <w:szCs w:val="19"/>
        </w:rPr>
        <w:footnoteRef/>
      </w:r>
      <w:r w:rsidRPr="00F01C26">
        <w:rPr>
          <w:rFonts w:ascii="Arial" w:hAnsi="Arial" w:cs="Arial"/>
          <w:color w:val="000000"/>
          <w:sz w:val="19"/>
          <w:szCs w:val="19"/>
        </w:rPr>
        <w:t xml:space="preserve"> </w:t>
      </w:r>
      <w:r w:rsidR="00491A64" w:rsidRPr="00F01C26">
        <w:rPr>
          <w:rFonts w:ascii="Arial" w:hAnsi="Arial" w:cs="Arial"/>
          <w:color w:val="000000"/>
          <w:sz w:val="19"/>
          <w:szCs w:val="19"/>
        </w:rPr>
        <w:t xml:space="preserve">Decreto </w:t>
      </w:r>
      <w:r w:rsidR="00491A64">
        <w:rPr>
          <w:rFonts w:ascii="Arial" w:hAnsi="Arial" w:cs="Arial"/>
          <w:color w:val="000000"/>
          <w:sz w:val="19"/>
          <w:szCs w:val="19"/>
        </w:rPr>
        <w:t>1081</w:t>
      </w:r>
      <w:r w:rsidR="00491A64" w:rsidRPr="00F01C26">
        <w:rPr>
          <w:rFonts w:ascii="Arial" w:hAnsi="Arial" w:cs="Arial"/>
          <w:color w:val="000000"/>
          <w:sz w:val="19"/>
          <w:szCs w:val="19"/>
        </w:rPr>
        <w:t xml:space="preserve"> de 2015</w:t>
      </w:r>
      <w:r w:rsidRPr="00F01C26">
        <w:rPr>
          <w:rFonts w:ascii="Arial" w:hAnsi="Arial" w:cs="Arial"/>
          <w:color w:val="000000"/>
          <w:sz w:val="19"/>
          <w:szCs w:val="19"/>
        </w:rPr>
        <w:t xml:space="preserve">: «Artículo </w:t>
      </w:r>
      <w:r w:rsidR="003970C7" w:rsidRPr="003970C7">
        <w:rPr>
          <w:rFonts w:ascii="Arial" w:hAnsi="Arial" w:cs="Arial"/>
          <w:color w:val="000000"/>
          <w:sz w:val="19"/>
          <w:szCs w:val="19"/>
        </w:rPr>
        <w:t>2.1.1.2.1.10</w:t>
      </w:r>
      <w:r w:rsidRPr="00F01C26">
        <w:rPr>
          <w:rFonts w:ascii="Arial" w:hAnsi="Arial" w:cs="Arial"/>
          <w:color w:val="000000"/>
          <w:sz w:val="19"/>
          <w:szCs w:val="19"/>
        </w:rPr>
        <w:t>.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18F4D9EF" w14:textId="77777777" w:rsidR="0016208C" w:rsidRPr="00F01C26" w:rsidRDefault="0016208C" w:rsidP="0016208C">
      <w:pPr>
        <w:pStyle w:val="FootnoteText"/>
        <w:ind w:firstLine="708"/>
        <w:jc w:val="both"/>
        <w:rPr>
          <w:rFonts w:ascii="Arial" w:hAnsi="Arial" w:cs="Arial"/>
          <w:color w:val="000000"/>
          <w:sz w:val="19"/>
          <w:szCs w:val="19"/>
        </w:rPr>
      </w:pPr>
      <w:r w:rsidRPr="00F01C26">
        <w:rPr>
          <w:rFonts w:ascii="Arial" w:hAnsi="Arial" w:cs="Arial"/>
          <w:color w:val="000000"/>
          <w:sz w:val="19"/>
          <w:szCs w:val="19"/>
        </w:rPr>
        <w:t>»Los sujetos obligados que no contratan con cargo a recursos públicos no están obligados a publicar su Plan Anual de Adquisiciones.</w:t>
      </w:r>
    </w:p>
    <w:p w14:paraId="0459709C" w14:textId="77777777" w:rsidR="0016208C" w:rsidRPr="00F01C26" w:rsidRDefault="0016208C" w:rsidP="0016208C">
      <w:pPr>
        <w:pStyle w:val="FootnoteText"/>
        <w:ind w:firstLine="708"/>
        <w:jc w:val="both"/>
        <w:rPr>
          <w:rFonts w:ascii="Arial" w:hAnsi="Arial" w:cs="Arial"/>
          <w:color w:val="000000"/>
          <w:sz w:val="19"/>
          <w:szCs w:val="19"/>
        </w:rPr>
      </w:pPr>
      <w:r w:rsidRPr="00F01C26">
        <w:rPr>
          <w:rFonts w:ascii="Arial" w:hAnsi="Arial" w:cs="Arial"/>
          <w:color w:val="000000"/>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7641B3EC" w14:textId="77777777" w:rsidR="0016208C" w:rsidRPr="00F01C26" w:rsidRDefault="0016208C" w:rsidP="0016208C">
      <w:pPr>
        <w:pStyle w:val="FootnoteText"/>
        <w:ind w:firstLine="708"/>
        <w:jc w:val="both"/>
        <w:rPr>
          <w:rFonts w:ascii="Arial" w:hAnsi="Arial" w:cs="Arial"/>
          <w:color w:val="000000"/>
          <w:sz w:val="19"/>
          <w:szCs w:val="19"/>
        </w:rPr>
      </w:pPr>
      <w:r w:rsidRPr="00F01C26">
        <w:rPr>
          <w:rFonts w:ascii="Arial" w:hAnsi="Arial" w:cs="Arial"/>
          <w:color w:val="000000"/>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4">
    <w:p w14:paraId="1766A71C" w14:textId="77777777" w:rsidR="00C534BB" w:rsidRPr="006318E7" w:rsidRDefault="00C534BB" w:rsidP="00C534BB">
      <w:pPr>
        <w:pStyle w:val="FootnoteText"/>
        <w:ind w:firstLine="708"/>
        <w:rPr>
          <w:rFonts w:ascii="Arial" w:hAnsi="Arial" w:cs="Arial"/>
          <w:sz w:val="19"/>
          <w:szCs w:val="19"/>
          <w:lang w:val="es-ES"/>
        </w:rPr>
      </w:pPr>
      <w:r w:rsidRPr="006318E7">
        <w:rPr>
          <w:rStyle w:val="FootnoteReference"/>
          <w:rFonts w:ascii="Arial" w:hAnsi="Arial" w:cs="Arial"/>
          <w:sz w:val="19"/>
          <w:szCs w:val="19"/>
        </w:rPr>
        <w:footnoteRef/>
      </w:r>
      <w:r w:rsidRPr="006318E7">
        <w:rPr>
          <w:rFonts w:ascii="Arial" w:hAnsi="Arial" w:cs="Arial"/>
          <w:sz w:val="19"/>
          <w:szCs w:val="19"/>
        </w:rPr>
        <w:t xml:space="preserve"> El literal e) </w:t>
      </w:r>
      <w:r>
        <w:rPr>
          <w:rFonts w:ascii="Arial" w:hAnsi="Arial" w:cs="Arial"/>
          <w:sz w:val="19"/>
          <w:szCs w:val="19"/>
        </w:rPr>
        <w:t>dispone que sob sujetos obligados</w:t>
      </w:r>
      <w:r w:rsidRPr="006318E7">
        <w:rPr>
          <w:rFonts w:ascii="Arial" w:hAnsi="Arial" w:cs="Arial"/>
          <w:sz w:val="19"/>
          <w:szCs w:val="19"/>
        </w:rPr>
        <w:t>: «</w:t>
      </w:r>
      <w:r w:rsidRPr="00C534BB">
        <w:rPr>
          <w:rFonts w:ascii="Arial" w:eastAsia="Calibri" w:hAnsi="Arial" w:cs="Arial"/>
          <w:color w:val="000000"/>
          <w:sz w:val="19"/>
          <w:szCs w:val="19"/>
          <w:lang w:val="es-ES"/>
        </w:rPr>
        <w:t>Las empresas públicas creadas por ley, las empresas del Estado y sociedades en que este tenga participación».</w:t>
      </w:r>
    </w:p>
  </w:footnote>
  <w:footnote w:id="15">
    <w:p w14:paraId="5D9113CD" w14:textId="77777777" w:rsidR="008009D5" w:rsidRPr="00F01C26" w:rsidRDefault="008009D5" w:rsidP="008009D5">
      <w:pPr>
        <w:pStyle w:val="FootnoteText"/>
        <w:ind w:firstLine="708"/>
        <w:jc w:val="both"/>
        <w:rPr>
          <w:rFonts w:ascii="Arial" w:hAnsi="Arial" w:cs="Arial"/>
          <w:color w:val="000000"/>
          <w:sz w:val="19"/>
          <w:szCs w:val="19"/>
        </w:rPr>
      </w:pPr>
      <w:r w:rsidRPr="00F01C26">
        <w:rPr>
          <w:rStyle w:val="FootnoteReference"/>
          <w:rFonts w:ascii="Arial" w:hAnsi="Arial" w:cs="Arial"/>
          <w:color w:val="000000"/>
          <w:sz w:val="19"/>
          <w:szCs w:val="19"/>
        </w:rPr>
        <w:footnoteRef/>
      </w:r>
      <w:r w:rsidRPr="00F01C26">
        <w:rPr>
          <w:rFonts w:ascii="Arial" w:hAnsi="Arial" w:cs="Arial"/>
          <w:color w:val="000000"/>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1B18142" w14:textId="77777777" w:rsidR="008009D5" w:rsidRPr="00F01C26" w:rsidRDefault="008009D5" w:rsidP="008009D5">
      <w:pPr>
        <w:pStyle w:val="FootnoteText"/>
        <w:ind w:firstLine="708"/>
        <w:jc w:val="both"/>
        <w:rPr>
          <w:rFonts w:ascii="Arial" w:hAnsi="Arial" w:cs="Arial"/>
          <w:color w:val="000000"/>
          <w:sz w:val="19"/>
          <w:szCs w:val="19"/>
        </w:rPr>
      </w:pPr>
      <w:r w:rsidRPr="00F01C26">
        <w:rPr>
          <w:rFonts w:ascii="Arial" w:hAnsi="Arial" w:cs="Arial"/>
          <w:color w:val="000000"/>
          <w:sz w:val="19"/>
          <w:szCs w:val="19"/>
        </w:rPr>
        <w:t>»Lo anterior, sin perjuicio de las publicaciones previstas en el numeral 3 del artículo 30 de la Ley 80 de 1993.</w:t>
      </w:r>
    </w:p>
    <w:p w14:paraId="31B87607" w14:textId="77777777" w:rsidR="008009D5" w:rsidRPr="00F01C26" w:rsidRDefault="008009D5" w:rsidP="008009D5">
      <w:pPr>
        <w:pStyle w:val="FootnoteText"/>
        <w:ind w:firstLine="708"/>
        <w:jc w:val="both"/>
        <w:rPr>
          <w:rFonts w:ascii="Arial" w:hAnsi="Arial" w:cs="Arial"/>
          <w:color w:val="000000"/>
          <w:sz w:val="19"/>
          <w:szCs w:val="19"/>
        </w:rPr>
      </w:pPr>
      <w:r w:rsidRPr="00F01C26">
        <w:rPr>
          <w:rFonts w:ascii="Arial" w:hAnsi="Arial" w:cs="Arial"/>
          <w:color w:val="000000"/>
          <w:sz w:val="19"/>
          <w:szCs w:val="19"/>
        </w:rPr>
        <w:t xml:space="preserve">»Con el fin de materializar los objetivos a que se refiere el inciso anterior, el Gobierno Nacional desarrollará el Sistema Electrónico para la Contratación Pública, Secop, el cual: </w:t>
      </w:r>
    </w:p>
    <w:p w14:paraId="0C94B51A" w14:textId="77777777" w:rsidR="008009D5" w:rsidRPr="00F01C26" w:rsidRDefault="008009D5" w:rsidP="008009D5">
      <w:pPr>
        <w:pStyle w:val="FootnoteText"/>
        <w:ind w:firstLine="708"/>
        <w:jc w:val="both"/>
        <w:rPr>
          <w:rFonts w:ascii="Arial" w:hAnsi="Arial" w:cs="Arial"/>
          <w:color w:val="000000"/>
          <w:sz w:val="19"/>
          <w:szCs w:val="19"/>
        </w:rPr>
      </w:pPr>
      <w:r w:rsidRPr="00F01C26">
        <w:rPr>
          <w:rFonts w:ascii="Arial" w:hAnsi="Arial" w:cs="Arial"/>
          <w:color w:val="000000"/>
          <w:sz w:val="19"/>
          <w:szCs w:val="19"/>
        </w:rPr>
        <w:t>[…]</w:t>
      </w:r>
    </w:p>
    <w:p w14:paraId="3FF44FA8" w14:textId="77777777" w:rsidR="008009D5" w:rsidRPr="00F01C26" w:rsidRDefault="008009D5" w:rsidP="008009D5">
      <w:pPr>
        <w:pStyle w:val="FootnoteText"/>
        <w:ind w:firstLine="708"/>
        <w:jc w:val="both"/>
        <w:rPr>
          <w:rFonts w:ascii="Arial" w:hAnsi="Arial" w:cs="Arial"/>
          <w:color w:val="000000"/>
          <w:sz w:val="19"/>
          <w:szCs w:val="19"/>
        </w:rPr>
      </w:pPr>
      <w:r w:rsidRPr="00F01C26">
        <w:rPr>
          <w:rFonts w:ascii="Arial" w:hAnsi="Arial" w:cs="Arial"/>
          <w:color w:val="000000"/>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1AA0B620" w14:textId="77777777" w:rsidR="008009D5" w:rsidRPr="00F01C26" w:rsidRDefault="008009D5" w:rsidP="008009D5">
      <w:pPr>
        <w:pStyle w:val="FootnoteText"/>
        <w:ind w:firstLine="708"/>
        <w:jc w:val="both"/>
        <w:rPr>
          <w:rFonts w:ascii="Arial" w:hAnsi="Arial" w:cs="Arial"/>
          <w:color w:val="000000"/>
          <w:sz w:val="19"/>
          <w:szCs w:val="19"/>
        </w:rPr>
      </w:pPr>
    </w:p>
  </w:footnote>
  <w:footnote w:id="16">
    <w:p w14:paraId="1567CA28" w14:textId="77777777" w:rsidR="008009D5" w:rsidRPr="00F01C26" w:rsidRDefault="008009D5" w:rsidP="008009D5">
      <w:pPr>
        <w:pStyle w:val="FootnoteText"/>
        <w:ind w:firstLine="709"/>
        <w:jc w:val="both"/>
        <w:rPr>
          <w:rFonts w:ascii="Arial" w:hAnsi="Arial" w:cs="Arial"/>
          <w:color w:val="000000"/>
          <w:sz w:val="19"/>
          <w:szCs w:val="19"/>
        </w:rPr>
      </w:pPr>
      <w:r w:rsidRPr="00F01C26">
        <w:rPr>
          <w:rFonts w:ascii="Arial" w:eastAsia="Times New Roman" w:hAnsi="Arial" w:cs="Arial"/>
          <w:color w:val="000000"/>
          <w:sz w:val="19"/>
          <w:szCs w:val="19"/>
          <w:vertAlign w:val="superscript"/>
          <w:lang w:val="es-ES" w:eastAsia="es-ES"/>
        </w:rPr>
        <w:footnoteRef/>
      </w:r>
      <w:r w:rsidRPr="00F01C26">
        <w:rPr>
          <w:rFonts w:ascii="Arial" w:eastAsia="Times New Roman" w:hAnsi="Arial" w:cs="Arial"/>
          <w:color w:val="000000"/>
          <w:sz w:val="19"/>
          <w:szCs w:val="19"/>
          <w:vertAlign w:val="superscript"/>
          <w:lang w:val="es-ES" w:eastAsia="es-ES"/>
        </w:rPr>
        <w:t xml:space="preserve"> </w:t>
      </w:r>
      <w:r w:rsidRPr="00F01C26">
        <w:rPr>
          <w:rFonts w:ascii="Arial" w:eastAsia="Times New Roman" w:hAnsi="Arial" w:cs="Arial"/>
          <w:color w:val="000000"/>
          <w:sz w:val="19"/>
          <w:szCs w:val="19"/>
          <w:lang w:val="es-ES" w:eastAsia="es-ES"/>
        </w:rPr>
        <w:t>«</w:t>
      </w:r>
      <w:r w:rsidRPr="00F01C26">
        <w:rPr>
          <w:rFonts w:ascii="Arial" w:hAnsi="Arial" w:cs="Arial"/>
          <w:color w:val="000000"/>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9C32504" w14:textId="77777777" w:rsidR="008009D5" w:rsidRPr="00F01C26" w:rsidRDefault="008009D5" w:rsidP="008009D5">
      <w:pPr>
        <w:pStyle w:val="FootnoteText"/>
        <w:ind w:firstLine="709"/>
        <w:jc w:val="both"/>
        <w:rPr>
          <w:rFonts w:ascii="Arial" w:hAnsi="Arial" w:cs="Arial"/>
          <w:color w:val="000000"/>
          <w:sz w:val="19"/>
          <w:szCs w:val="19"/>
        </w:rPr>
      </w:pPr>
      <w:r w:rsidRPr="00F01C26">
        <w:rPr>
          <w:rFonts w:ascii="Arial" w:hAnsi="Arial" w:cs="Arial"/>
          <w:color w:val="000000"/>
          <w:sz w:val="19"/>
          <w:szCs w:val="19"/>
        </w:rPr>
        <w:t>[…]</w:t>
      </w:r>
    </w:p>
    <w:p w14:paraId="5E6FE50A" w14:textId="77777777" w:rsidR="008009D5" w:rsidRPr="00F01C26" w:rsidRDefault="008009D5" w:rsidP="008009D5">
      <w:pPr>
        <w:pStyle w:val="FootnoteText"/>
        <w:ind w:firstLine="709"/>
        <w:jc w:val="both"/>
        <w:rPr>
          <w:rFonts w:ascii="Arial" w:hAnsi="Arial" w:cs="Arial"/>
          <w:color w:val="000000"/>
          <w:sz w:val="19"/>
          <w:szCs w:val="19"/>
        </w:rPr>
      </w:pPr>
    </w:p>
    <w:p w14:paraId="05B2A1A1" w14:textId="77777777" w:rsidR="008009D5" w:rsidRPr="00F01C26" w:rsidRDefault="008009D5" w:rsidP="008009D5">
      <w:pPr>
        <w:pStyle w:val="FootnoteText"/>
        <w:ind w:firstLine="709"/>
        <w:jc w:val="both"/>
        <w:rPr>
          <w:rFonts w:ascii="Arial" w:eastAsia="Times New Roman" w:hAnsi="Arial" w:cs="Arial"/>
          <w:color w:val="000000"/>
          <w:sz w:val="19"/>
          <w:szCs w:val="19"/>
          <w:lang w:val="es-ES" w:eastAsia="es-ES"/>
        </w:rPr>
      </w:pPr>
      <w:proofErr w:type="gramStart"/>
      <w:r w:rsidRPr="00F01C26">
        <w:rPr>
          <w:rFonts w:ascii="Arial" w:eastAsia="Times New Roman" w:hAnsi="Arial" w:cs="Arial"/>
          <w:color w:val="000000"/>
          <w:sz w:val="19"/>
          <w:szCs w:val="19"/>
          <w:lang w:val="es-ES" w:eastAsia="es-ES"/>
        </w:rPr>
        <w:t>»Los</w:t>
      </w:r>
      <w:proofErr w:type="gramEnd"/>
      <w:r w:rsidRPr="00F01C26">
        <w:rPr>
          <w:rFonts w:ascii="Arial" w:eastAsia="Times New Roman" w:hAnsi="Arial" w:cs="Arial"/>
          <w:color w:val="000000"/>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30EF4DAB" w14:textId="77777777" w:rsidR="008009D5" w:rsidRPr="00F01C26" w:rsidRDefault="008009D5" w:rsidP="008009D5">
      <w:pPr>
        <w:pStyle w:val="FootnoteText"/>
        <w:ind w:firstLine="709"/>
        <w:jc w:val="both"/>
        <w:rPr>
          <w:rFonts w:ascii="Arial" w:eastAsia="Times New Roman" w:hAnsi="Arial" w:cs="Arial"/>
          <w:color w:val="000000"/>
          <w:sz w:val="19"/>
          <w:szCs w:val="19"/>
          <w:lang w:val="es-ES" w:eastAsia="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F01C26" w:rsidRDefault="00F01C26">
    <w:pPr>
      <w:pStyle w:val="Header"/>
    </w:pPr>
    <w:r>
      <w:rPr>
        <w:noProof/>
        <w:lang w:val="es-CO" w:eastAsia="es-CO"/>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BC5E56"/>
    <w:multiLevelType w:val="hybridMultilevel"/>
    <w:tmpl w:val="2D80D0E0"/>
    <w:lvl w:ilvl="0" w:tplc="C2E44790">
      <w:start w:val="1"/>
      <w:numFmt w:val="lowerLetter"/>
      <w:lvlText w:val="%1)"/>
      <w:lvlJc w:val="left"/>
      <w:pPr>
        <w:ind w:left="1211" w:hanging="360"/>
      </w:pPr>
      <w:rPr>
        <w:rFonts w:hint="default"/>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6C3911"/>
    <w:multiLevelType w:val="hybridMultilevel"/>
    <w:tmpl w:val="2D80D0E0"/>
    <w:lvl w:ilvl="0" w:tplc="C2E44790">
      <w:start w:val="1"/>
      <w:numFmt w:val="lowerLetter"/>
      <w:lvlText w:val="%1)"/>
      <w:lvlJc w:val="left"/>
      <w:pPr>
        <w:ind w:left="1211" w:hanging="360"/>
      </w:pPr>
      <w:rPr>
        <w:rFonts w:hint="default"/>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50B90CDA"/>
    <w:multiLevelType w:val="hybridMultilevel"/>
    <w:tmpl w:val="F1A61CF0"/>
    <w:lvl w:ilvl="0" w:tplc="A7B2C88A">
      <w:start w:val="1"/>
      <w:numFmt w:val="lowerLetter"/>
      <w:lvlText w:val="%1)"/>
      <w:lvlJc w:val="left"/>
      <w:pPr>
        <w:ind w:left="1068" w:hanging="360"/>
      </w:pPr>
      <w:rPr>
        <w:rFonts w:eastAsiaTheme="minorHAnsi"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D924CF"/>
    <w:multiLevelType w:val="hybridMultilevel"/>
    <w:tmpl w:val="CA525106"/>
    <w:lvl w:ilvl="0" w:tplc="37DC636E">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78202E2"/>
    <w:multiLevelType w:val="hybridMultilevel"/>
    <w:tmpl w:val="2D80D0E0"/>
    <w:lvl w:ilvl="0" w:tplc="C2E44790">
      <w:start w:val="1"/>
      <w:numFmt w:val="lowerLetter"/>
      <w:lvlText w:val="%1)"/>
      <w:lvlJc w:val="left"/>
      <w:pPr>
        <w:ind w:left="1211" w:hanging="360"/>
      </w:pPr>
      <w:rPr>
        <w:rFonts w:hint="default"/>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E0"/>
    <w:rsid w:val="000047EA"/>
    <w:rsid w:val="00004BE3"/>
    <w:rsid w:val="000072CE"/>
    <w:rsid w:val="00010D30"/>
    <w:rsid w:val="00023057"/>
    <w:rsid w:val="00024771"/>
    <w:rsid w:val="0003091B"/>
    <w:rsid w:val="000333A2"/>
    <w:rsid w:val="0003625C"/>
    <w:rsid w:val="00036646"/>
    <w:rsid w:val="00036E73"/>
    <w:rsid w:val="00040C88"/>
    <w:rsid w:val="00040D6E"/>
    <w:rsid w:val="00042C0C"/>
    <w:rsid w:val="00043A4D"/>
    <w:rsid w:val="00044FF2"/>
    <w:rsid w:val="00047050"/>
    <w:rsid w:val="0005301E"/>
    <w:rsid w:val="00061E34"/>
    <w:rsid w:val="00061EE4"/>
    <w:rsid w:val="0006256E"/>
    <w:rsid w:val="00062B0D"/>
    <w:rsid w:val="0006519B"/>
    <w:rsid w:val="0006747A"/>
    <w:rsid w:val="00071ED6"/>
    <w:rsid w:val="00085446"/>
    <w:rsid w:val="00086A16"/>
    <w:rsid w:val="00091570"/>
    <w:rsid w:val="00091D8F"/>
    <w:rsid w:val="000929DE"/>
    <w:rsid w:val="00093E58"/>
    <w:rsid w:val="00097CD6"/>
    <w:rsid w:val="000A1DBA"/>
    <w:rsid w:val="000A3B96"/>
    <w:rsid w:val="000A6338"/>
    <w:rsid w:val="000A6B6F"/>
    <w:rsid w:val="000C0E39"/>
    <w:rsid w:val="000C3D66"/>
    <w:rsid w:val="000C51AF"/>
    <w:rsid w:val="000C5830"/>
    <w:rsid w:val="000C5C37"/>
    <w:rsid w:val="000D088F"/>
    <w:rsid w:val="000D2946"/>
    <w:rsid w:val="000D66FA"/>
    <w:rsid w:val="000E4A3C"/>
    <w:rsid w:val="000E5BB2"/>
    <w:rsid w:val="000E6867"/>
    <w:rsid w:val="000F1E3D"/>
    <w:rsid w:val="000F211E"/>
    <w:rsid w:val="0010003E"/>
    <w:rsid w:val="00100AEC"/>
    <w:rsid w:val="00100DB2"/>
    <w:rsid w:val="001056C0"/>
    <w:rsid w:val="00106532"/>
    <w:rsid w:val="00107607"/>
    <w:rsid w:val="00112597"/>
    <w:rsid w:val="00115571"/>
    <w:rsid w:val="0012074A"/>
    <w:rsid w:val="001321AB"/>
    <w:rsid w:val="00140E57"/>
    <w:rsid w:val="00141B19"/>
    <w:rsid w:val="00141C64"/>
    <w:rsid w:val="00142E4E"/>
    <w:rsid w:val="00142F4E"/>
    <w:rsid w:val="0014462B"/>
    <w:rsid w:val="00153D2C"/>
    <w:rsid w:val="0015466A"/>
    <w:rsid w:val="001573F8"/>
    <w:rsid w:val="0016208C"/>
    <w:rsid w:val="00163EED"/>
    <w:rsid w:val="00164E79"/>
    <w:rsid w:val="00166C81"/>
    <w:rsid w:val="0017603D"/>
    <w:rsid w:val="00181A3E"/>
    <w:rsid w:val="0018229F"/>
    <w:rsid w:val="001865DB"/>
    <w:rsid w:val="00194C50"/>
    <w:rsid w:val="00196FB5"/>
    <w:rsid w:val="001B2E5D"/>
    <w:rsid w:val="001B469E"/>
    <w:rsid w:val="001B53BD"/>
    <w:rsid w:val="001B5E36"/>
    <w:rsid w:val="001C1D25"/>
    <w:rsid w:val="001D0959"/>
    <w:rsid w:val="001D38A0"/>
    <w:rsid w:val="001D5ECE"/>
    <w:rsid w:val="001E1C6D"/>
    <w:rsid w:val="001E3F37"/>
    <w:rsid w:val="001E44A9"/>
    <w:rsid w:val="001E5745"/>
    <w:rsid w:val="001E5DBB"/>
    <w:rsid w:val="001E7044"/>
    <w:rsid w:val="001F1051"/>
    <w:rsid w:val="001F1A2D"/>
    <w:rsid w:val="001F34A8"/>
    <w:rsid w:val="001F40B2"/>
    <w:rsid w:val="001F4B99"/>
    <w:rsid w:val="00200F92"/>
    <w:rsid w:val="0020146B"/>
    <w:rsid w:val="002034AD"/>
    <w:rsid w:val="00203BF1"/>
    <w:rsid w:val="00203F46"/>
    <w:rsid w:val="00207033"/>
    <w:rsid w:val="00210D66"/>
    <w:rsid w:val="00217339"/>
    <w:rsid w:val="002239B4"/>
    <w:rsid w:val="0022784F"/>
    <w:rsid w:val="00227D08"/>
    <w:rsid w:val="0023008F"/>
    <w:rsid w:val="0023180C"/>
    <w:rsid w:val="00234C6C"/>
    <w:rsid w:val="0023576D"/>
    <w:rsid w:val="00244A28"/>
    <w:rsid w:val="00247EBA"/>
    <w:rsid w:val="0025095A"/>
    <w:rsid w:val="002532DE"/>
    <w:rsid w:val="00265031"/>
    <w:rsid w:val="00266277"/>
    <w:rsid w:val="002723C7"/>
    <w:rsid w:val="002807AD"/>
    <w:rsid w:val="00283163"/>
    <w:rsid w:val="002834E0"/>
    <w:rsid w:val="00284C12"/>
    <w:rsid w:val="00286834"/>
    <w:rsid w:val="00286FAD"/>
    <w:rsid w:val="00287EC8"/>
    <w:rsid w:val="00293623"/>
    <w:rsid w:val="0029588A"/>
    <w:rsid w:val="00297358"/>
    <w:rsid w:val="002A1331"/>
    <w:rsid w:val="002A153A"/>
    <w:rsid w:val="002A390D"/>
    <w:rsid w:val="002A6417"/>
    <w:rsid w:val="002A6631"/>
    <w:rsid w:val="002B282F"/>
    <w:rsid w:val="002B4B30"/>
    <w:rsid w:val="002B56DF"/>
    <w:rsid w:val="002B6AEE"/>
    <w:rsid w:val="002B79E1"/>
    <w:rsid w:val="002C004E"/>
    <w:rsid w:val="002C441F"/>
    <w:rsid w:val="002C4E63"/>
    <w:rsid w:val="002D19BF"/>
    <w:rsid w:val="002E320B"/>
    <w:rsid w:val="002E67C5"/>
    <w:rsid w:val="002E7BB8"/>
    <w:rsid w:val="002E7BC2"/>
    <w:rsid w:val="002F1C33"/>
    <w:rsid w:val="002F2DB4"/>
    <w:rsid w:val="002F63BB"/>
    <w:rsid w:val="002F6C10"/>
    <w:rsid w:val="002F6DBB"/>
    <w:rsid w:val="002F701E"/>
    <w:rsid w:val="003001AC"/>
    <w:rsid w:val="00302F9F"/>
    <w:rsid w:val="00303EC5"/>
    <w:rsid w:val="00304386"/>
    <w:rsid w:val="0032657E"/>
    <w:rsid w:val="00326B54"/>
    <w:rsid w:val="00327C39"/>
    <w:rsid w:val="00330049"/>
    <w:rsid w:val="00334E97"/>
    <w:rsid w:val="003373C2"/>
    <w:rsid w:val="003401FE"/>
    <w:rsid w:val="00340A7A"/>
    <w:rsid w:val="003417F0"/>
    <w:rsid w:val="00350A47"/>
    <w:rsid w:val="0036125C"/>
    <w:rsid w:val="00377CD3"/>
    <w:rsid w:val="00382B34"/>
    <w:rsid w:val="00387D0F"/>
    <w:rsid w:val="0039011F"/>
    <w:rsid w:val="00390DCF"/>
    <w:rsid w:val="00396821"/>
    <w:rsid w:val="003970C7"/>
    <w:rsid w:val="003A06BB"/>
    <w:rsid w:val="003A122F"/>
    <w:rsid w:val="003A2944"/>
    <w:rsid w:val="003B0DEF"/>
    <w:rsid w:val="003C2074"/>
    <w:rsid w:val="003C3ADB"/>
    <w:rsid w:val="003C7207"/>
    <w:rsid w:val="003D0E4A"/>
    <w:rsid w:val="003D11B5"/>
    <w:rsid w:val="003D134C"/>
    <w:rsid w:val="003D3A3E"/>
    <w:rsid w:val="003D4A2B"/>
    <w:rsid w:val="003D69A5"/>
    <w:rsid w:val="003E14F9"/>
    <w:rsid w:val="003E71F1"/>
    <w:rsid w:val="003F309F"/>
    <w:rsid w:val="003F3119"/>
    <w:rsid w:val="003F4E8A"/>
    <w:rsid w:val="003F6D32"/>
    <w:rsid w:val="0040445B"/>
    <w:rsid w:val="00411760"/>
    <w:rsid w:val="004161D4"/>
    <w:rsid w:val="0041784E"/>
    <w:rsid w:val="00421EA9"/>
    <w:rsid w:val="004303E8"/>
    <w:rsid w:val="00430B5A"/>
    <w:rsid w:val="00431C20"/>
    <w:rsid w:val="00434710"/>
    <w:rsid w:val="0044207D"/>
    <w:rsid w:val="004439E2"/>
    <w:rsid w:val="00447FE5"/>
    <w:rsid w:val="00451231"/>
    <w:rsid w:val="004526D3"/>
    <w:rsid w:val="00457CF2"/>
    <w:rsid w:val="004617B8"/>
    <w:rsid w:val="00462A87"/>
    <w:rsid w:val="00463E5F"/>
    <w:rsid w:val="0046504E"/>
    <w:rsid w:val="00467620"/>
    <w:rsid w:val="00467C7C"/>
    <w:rsid w:val="004758FE"/>
    <w:rsid w:val="00476C17"/>
    <w:rsid w:val="00480836"/>
    <w:rsid w:val="004830C8"/>
    <w:rsid w:val="004837AB"/>
    <w:rsid w:val="00483A2F"/>
    <w:rsid w:val="00490DBF"/>
    <w:rsid w:val="00491A64"/>
    <w:rsid w:val="004A128C"/>
    <w:rsid w:val="004A1C13"/>
    <w:rsid w:val="004A5E72"/>
    <w:rsid w:val="004A6EE1"/>
    <w:rsid w:val="004B07EC"/>
    <w:rsid w:val="004B1BEE"/>
    <w:rsid w:val="004B2AB8"/>
    <w:rsid w:val="004B4AF2"/>
    <w:rsid w:val="004B5B9E"/>
    <w:rsid w:val="004B63AC"/>
    <w:rsid w:val="004C5E04"/>
    <w:rsid w:val="004D1ADE"/>
    <w:rsid w:val="004D770C"/>
    <w:rsid w:val="004E0D21"/>
    <w:rsid w:val="004E370E"/>
    <w:rsid w:val="004E7EAE"/>
    <w:rsid w:val="004F4387"/>
    <w:rsid w:val="00507EA0"/>
    <w:rsid w:val="00510BF5"/>
    <w:rsid w:val="00510EDC"/>
    <w:rsid w:val="00513233"/>
    <w:rsid w:val="00521BA7"/>
    <w:rsid w:val="005252E2"/>
    <w:rsid w:val="005376E3"/>
    <w:rsid w:val="005379AD"/>
    <w:rsid w:val="005511D5"/>
    <w:rsid w:val="005512C3"/>
    <w:rsid w:val="005678B1"/>
    <w:rsid w:val="00570CFF"/>
    <w:rsid w:val="0057157B"/>
    <w:rsid w:val="00575DC6"/>
    <w:rsid w:val="005820AB"/>
    <w:rsid w:val="00585FB5"/>
    <w:rsid w:val="00590EE1"/>
    <w:rsid w:val="00591586"/>
    <w:rsid w:val="00592DB1"/>
    <w:rsid w:val="00593CF1"/>
    <w:rsid w:val="00595363"/>
    <w:rsid w:val="00595A2B"/>
    <w:rsid w:val="005A17D2"/>
    <w:rsid w:val="005A27E5"/>
    <w:rsid w:val="005A5E4A"/>
    <w:rsid w:val="005B7357"/>
    <w:rsid w:val="005C5B7C"/>
    <w:rsid w:val="005C673B"/>
    <w:rsid w:val="005E01EB"/>
    <w:rsid w:val="005E247C"/>
    <w:rsid w:val="005E37A2"/>
    <w:rsid w:val="005F12C4"/>
    <w:rsid w:val="005F5D19"/>
    <w:rsid w:val="005F6CBF"/>
    <w:rsid w:val="00612D14"/>
    <w:rsid w:val="006135E6"/>
    <w:rsid w:val="00632E10"/>
    <w:rsid w:val="00632EA5"/>
    <w:rsid w:val="00634DC9"/>
    <w:rsid w:val="00635CBC"/>
    <w:rsid w:val="00637F5E"/>
    <w:rsid w:val="00644F52"/>
    <w:rsid w:val="0065701C"/>
    <w:rsid w:val="006604A6"/>
    <w:rsid w:val="00662792"/>
    <w:rsid w:val="00667868"/>
    <w:rsid w:val="00671B54"/>
    <w:rsid w:val="00673DB8"/>
    <w:rsid w:val="00675BFE"/>
    <w:rsid w:val="006774CA"/>
    <w:rsid w:val="006818B6"/>
    <w:rsid w:val="006824B8"/>
    <w:rsid w:val="00682500"/>
    <w:rsid w:val="0068288E"/>
    <w:rsid w:val="006843B8"/>
    <w:rsid w:val="00684B06"/>
    <w:rsid w:val="006852EB"/>
    <w:rsid w:val="00692ABF"/>
    <w:rsid w:val="00694209"/>
    <w:rsid w:val="00697718"/>
    <w:rsid w:val="00697A99"/>
    <w:rsid w:val="006A1226"/>
    <w:rsid w:val="006A172E"/>
    <w:rsid w:val="006A2518"/>
    <w:rsid w:val="006A3329"/>
    <w:rsid w:val="006A7743"/>
    <w:rsid w:val="006B150B"/>
    <w:rsid w:val="006B1785"/>
    <w:rsid w:val="006B317D"/>
    <w:rsid w:val="006B6C6A"/>
    <w:rsid w:val="006B70D9"/>
    <w:rsid w:val="006B7F25"/>
    <w:rsid w:val="006C15D5"/>
    <w:rsid w:val="006C1AEF"/>
    <w:rsid w:val="006C1C02"/>
    <w:rsid w:val="006C234F"/>
    <w:rsid w:val="006C2D0C"/>
    <w:rsid w:val="006C3D0C"/>
    <w:rsid w:val="006C5955"/>
    <w:rsid w:val="006D3624"/>
    <w:rsid w:val="006D39A8"/>
    <w:rsid w:val="006D4234"/>
    <w:rsid w:val="006D519D"/>
    <w:rsid w:val="006E0498"/>
    <w:rsid w:val="006E4EE7"/>
    <w:rsid w:val="006E65C2"/>
    <w:rsid w:val="006F31BC"/>
    <w:rsid w:val="006F3802"/>
    <w:rsid w:val="006F39D0"/>
    <w:rsid w:val="006F4E73"/>
    <w:rsid w:val="006F72B9"/>
    <w:rsid w:val="006F7746"/>
    <w:rsid w:val="0070582B"/>
    <w:rsid w:val="00711157"/>
    <w:rsid w:val="00711265"/>
    <w:rsid w:val="00714800"/>
    <w:rsid w:val="00715B7E"/>
    <w:rsid w:val="0072152F"/>
    <w:rsid w:val="00721C21"/>
    <w:rsid w:val="007229FD"/>
    <w:rsid w:val="00730CDB"/>
    <w:rsid w:val="007323E9"/>
    <w:rsid w:val="00736945"/>
    <w:rsid w:val="00736C89"/>
    <w:rsid w:val="00741965"/>
    <w:rsid w:val="0074421C"/>
    <w:rsid w:val="00745744"/>
    <w:rsid w:val="00745A21"/>
    <w:rsid w:val="0075032A"/>
    <w:rsid w:val="00750C12"/>
    <w:rsid w:val="00752FB9"/>
    <w:rsid w:val="00754433"/>
    <w:rsid w:val="00760974"/>
    <w:rsid w:val="00763652"/>
    <w:rsid w:val="00764BF7"/>
    <w:rsid w:val="007650D8"/>
    <w:rsid w:val="00766030"/>
    <w:rsid w:val="00770D7D"/>
    <w:rsid w:val="00772497"/>
    <w:rsid w:val="007754C3"/>
    <w:rsid w:val="007768FE"/>
    <w:rsid w:val="007902C3"/>
    <w:rsid w:val="00790BB8"/>
    <w:rsid w:val="00791377"/>
    <w:rsid w:val="00795C86"/>
    <w:rsid w:val="007A45E7"/>
    <w:rsid w:val="007A6915"/>
    <w:rsid w:val="007B4AAA"/>
    <w:rsid w:val="007C6744"/>
    <w:rsid w:val="007C6894"/>
    <w:rsid w:val="007D3B8C"/>
    <w:rsid w:val="007D62C7"/>
    <w:rsid w:val="007E001D"/>
    <w:rsid w:val="007E1604"/>
    <w:rsid w:val="007F5F0C"/>
    <w:rsid w:val="007F684F"/>
    <w:rsid w:val="007F7AC6"/>
    <w:rsid w:val="008009D5"/>
    <w:rsid w:val="00803061"/>
    <w:rsid w:val="008057D4"/>
    <w:rsid w:val="00807EEE"/>
    <w:rsid w:val="008103E9"/>
    <w:rsid w:val="008135F4"/>
    <w:rsid w:val="00813893"/>
    <w:rsid w:val="0082266E"/>
    <w:rsid w:val="008234E2"/>
    <w:rsid w:val="00824361"/>
    <w:rsid w:val="00825FD3"/>
    <w:rsid w:val="008301F9"/>
    <w:rsid w:val="0083146F"/>
    <w:rsid w:val="008327EE"/>
    <w:rsid w:val="00833F8E"/>
    <w:rsid w:val="0083539E"/>
    <w:rsid w:val="00836E71"/>
    <w:rsid w:val="00837EBE"/>
    <w:rsid w:val="00842E74"/>
    <w:rsid w:val="00843BE5"/>
    <w:rsid w:val="008535C9"/>
    <w:rsid w:val="00856B64"/>
    <w:rsid w:val="00857365"/>
    <w:rsid w:val="008606DB"/>
    <w:rsid w:val="00860A39"/>
    <w:rsid w:val="0086177D"/>
    <w:rsid w:val="0086204F"/>
    <w:rsid w:val="00862463"/>
    <w:rsid w:val="00863DD9"/>
    <w:rsid w:val="00865960"/>
    <w:rsid w:val="00866446"/>
    <w:rsid w:val="0086741B"/>
    <w:rsid w:val="00871568"/>
    <w:rsid w:val="00872D25"/>
    <w:rsid w:val="00881CD2"/>
    <w:rsid w:val="008840FF"/>
    <w:rsid w:val="00884E14"/>
    <w:rsid w:val="00885141"/>
    <w:rsid w:val="00885365"/>
    <w:rsid w:val="00886E66"/>
    <w:rsid w:val="00886F29"/>
    <w:rsid w:val="008917A3"/>
    <w:rsid w:val="00891A49"/>
    <w:rsid w:val="00897DAB"/>
    <w:rsid w:val="00897F8E"/>
    <w:rsid w:val="008A0633"/>
    <w:rsid w:val="008A3386"/>
    <w:rsid w:val="008A53F2"/>
    <w:rsid w:val="008B09B1"/>
    <w:rsid w:val="008B6430"/>
    <w:rsid w:val="008C24B6"/>
    <w:rsid w:val="008C487C"/>
    <w:rsid w:val="008C4C28"/>
    <w:rsid w:val="008D2FE5"/>
    <w:rsid w:val="008D3473"/>
    <w:rsid w:val="008D347F"/>
    <w:rsid w:val="008D575A"/>
    <w:rsid w:val="008E0A23"/>
    <w:rsid w:val="008E0FCC"/>
    <w:rsid w:val="008E2FE3"/>
    <w:rsid w:val="008E5698"/>
    <w:rsid w:val="008E5F34"/>
    <w:rsid w:val="008E7D3F"/>
    <w:rsid w:val="008F00CF"/>
    <w:rsid w:val="008F2267"/>
    <w:rsid w:val="008F3EE2"/>
    <w:rsid w:val="008F5D4C"/>
    <w:rsid w:val="008F67FD"/>
    <w:rsid w:val="009012BF"/>
    <w:rsid w:val="00902823"/>
    <w:rsid w:val="00905A7E"/>
    <w:rsid w:val="00905B18"/>
    <w:rsid w:val="00905B2F"/>
    <w:rsid w:val="009231E0"/>
    <w:rsid w:val="00923548"/>
    <w:rsid w:val="00923B70"/>
    <w:rsid w:val="00924134"/>
    <w:rsid w:val="00924A3A"/>
    <w:rsid w:val="00925293"/>
    <w:rsid w:val="00930B6C"/>
    <w:rsid w:val="00930E4B"/>
    <w:rsid w:val="00931C88"/>
    <w:rsid w:val="0094508D"/>
    <w:rsid w:val="00946E85"/>
    <w:rsid w:val="009506A7"/>
    <w:rsid w:val="0095113A"/>
    <w:rsid w:val="00951676"/>
    <w:rsid w:val="00954CF5"/>
    <w:rsid w:val="0096646C"/>
    <w:rsid w:val="00967230"/>
    <w:rsid w:val="00972087"/>
    <w:rsid w:val="00972C13"/>
    <w:rsid w:val="0097456D"/>
    <w:rsid w:val="00974A47"/>
    <w:rsid w:val="009812D7"/>
    <w:rsid w:val="00982E99"/>
    <w:rsid w:val="00990571"/>
    <w:rsid w:val="009908B6"/>
    <w:rsid w:val="009947D1"/>
    <w:rsid w:val="009A1A8C"/>
    <w:rsid w:val="009A5714"/>
    <w:rsid w:val="009A5DA7"/>
    <w:rsid w:val="009B1AEC"/>
    <w:rsid w:val="009B7329"/>
    <w:rsid w:val="009C27A9"/>
    <w:rsid w:val="009C3CA2"/>
    <w:rsid w:val="009D16ED"/>
    <w:rsid w:val="009D1D57"/>
    <w:rsid w:val="009D4F8F"/>
    <w:rsid w:val="009E2544"/>
    <w:rsid w:val="009E2770"/>
    <w:rsid w:val="009E4710"/>
    <w:rsid w:val="009E4A43"/>
    <w:rsid w:val="009E759E"/>
    <w:rsid w:val="009F2261"/>
    <w:rsid w:val="009F3537"/>
    <w:rsid w:val="009F42E0"/>
    <w:rsid w:val="009F6ADC"/>
    <w:rsid w:val="009F78A4"/>
    <w:rsid w:val="00A032F8"/>
    <w:rsid w:val="00A10347"/>
    <w:rsid w:val="00A158AB"/>
    <w:rsid w:val="00A25657"/>
    <w:rsid w:val="00A329B6"/>
    <w:rsid w:val="00A367A1"/>
    <w:rsid w:val="00A40178"/>
    <w:rsid w:val="00A415D2"/>
    <w:rsid w:val="00A42844"/>
    <w:rsid w:val="00A460BA"/>
    <w:rsid w:val="00A510F6"/>
    <w:rsid w:val="00A54828"/>
    <w:rsid w:val="00A57F74"/>
    <w:rsid w:val="00A651C9"/>
    <w:rsid w:val="00A67D0F"/>
    <w:rsid w:val="00A70E2D"/>
    <w:rsid w:val="00A72F00"/>
    <w:rsid w:val="00A73161"/>
    <w:rsid w:val="00A740E7"/>
    <w:rsid w:val="00A80739"/>
    <w:rsid w:val="00A83829"/>
    <w:rsid w:val="00A862C0"/>
    <w:rsid w:val="00A87EE1"/>
    <w:rsid w:val="00A91A20"/>
    <w:rsid w:val="00A9229F"/>
    <w:rsid w:val="00A95100"/>
    <w:rsid w:val="00A976BA"/>
    <w:rsid w:val="00AA0652"/>
    <w:rsid w:val="00AA2A39"/>
    <w:rsid w:val="00AA2C16"/>
    <w:rsid w:val="00AA615B"/>
    <w:rsid w:val="00AA6272"/>
    <w:rsid w:val="00AA69D1"/>
    <w:rsid w:val="00AB0DED"/>
    <w:rsid w:val="00AB14AB"/>
    <w:rsid w:val="00AB7442"/>
    <w:rsid w:val="00AC0C81"/>
    <w:rsid w:val="00AC1B48"/>
    <w:rsid w:val="00AC29D6"/>
    <w:rsid w:val="00AC43E7"/>
    <w:rsid w:val="00AD1E1B"/>
    <w:rsid w:val="00AD2C83"/>
    <w:rsid w:val="00AD54C3"/>
    <w:rsid w:val="00AD7725"/>
    <w:rsid w:val="00AE0522"/>
    <w:rsid w:val="00AE668A"/>
    <w:rsid w:val="00AE6858"/>
    <w:rsid w:val="00AE7EF0"/>
    <w:rsid w:val="00AF2EFF"/>
    <w:rsid w:val="00AF5C62"/>
    <w:rsid w:val="00AF643C"/>
    <w:rsid w:val="00AF6B2F"/>
    <w:rsid w:val="00AF7270"/>
    <w:rsid w:val="00AF727E"/>
    <w:rsid w:val="00AF7B1D"/>
    <w:rsid w:val="00B037D0"/>
    <w:rsid w:val="00B07143"/>
    <w:rsid w:val="00B14450"/>
    <w:rsid w:val="00B17BC5"/>
    <w:rsid w:val="00B20414"/>
    <w:rsid w:val="00B20582"/>
    <w:rsid w:val="00B2158C"/>
    <w:rsid w:val="00B217CA"/>
    <w:rsid w:val="00B23C5D"/>
    <w:rsid w:val="00B24E57"/>
    <w:rsid w:val="00B30D96"/>
    <w:rsid w:val="00B5123E"/>
    <w:rsid w:val="00B522C4"/>
    <w:rsid w:val="00B52B0E"/>
    <w:rsid w:val="00B5337D"/>
    <w:rsid w:val="00B62BEA"/>
    <w:rsid w:val="00B64B90"/>
    <w:rsid w:val="00B65290"/>
    <w:rsid w:val="00B65E25"/>
    <w:rsid w:val="00B70E26"/>
    <w:rsid w:val="00B7252F"/>
    <w:rsid w:val="00B81E5A"/>
    <w:rsid w:val="00B86CB5"/>
    <w:rsid w:val="00B8745F"/>
    <w:rsid w:val="00B90754"/>
    <w:rsid w:val="00B936F7"/>
    <w:rsid w:val="00B9572C"/>
    <w:rsid w:val="00B9782C"/>
    <w:rsid w:val="00B97D95"/>
    <w:rsid w:val="00B97E3C"/>
    <w:rsid w:val="00BA3D91"/>
    <w:rsid w:val="00BA7E78"/>
    <w:rsid w:val="00BB0833"/>
    <w:rsid w:val="00BB0EA7"/>
    <w:rsid w:val="00BB4CDF"/>
    <w:rsid w:val="00BB595B"/>
    <w:rsid w:val="00BB59F9"/>
    <w:rsid w:val="00BC15B8"/>
    <w:rsid w:val="00BC5279"/>
    <w:rsid w:val="00BC6C4E"/>
    <w:rsid w:val="00BC7B6A"/>
    <w:rsid w:val="00BD0EAC"/>
    <w:rsid w:val="00BD31AB"/>
    <w:rsid w:val="00BD58A7"/>
    <w:rsid w:val="00BD6EE4"/>
    <w:rsid w:val="00BE1E33"/>
    <w:rsid w:val="00BE2AD3"/>
    <w:rsid w:val="00BE36F7"/>
    <w:rsid w:val="00BF2443"/>
    <w:rsid w:val="00BF2CFF"/>
    <w:rsid w:val="00BF472E"/>
    <w:rsid w:val="00BF474B"/>
    <w:rsid w:val="00C05E89"/>
    <w:rsid w:val="00C07755"/>
    <w:rsid w:val="00C07B5E"/>
    <w:rsid w:val="00C10D3E"/>
    <w:rsid w:val="00C10DE8"/>
    <w:rsid w:val="00C12201"/>
    <w:rsid w:val="00C12AD2"/>
    <w:rsid w:val="00C1405A"/>
    <w:rsid w:val="00C14F61"/>
    <w:rsid w:val="00C169C3"/>
    <w:rsid w:val="00C276EA"/>
    <w:rsid w:val="00C31412"/>
    <w:rsid w:val="00C365AF"/>
    <w:rsid w:val="00C42740"/>
    <w:rsid w:val="00C451B1"/>
    <w:rsid w:val="00C4526C"/>
    <w:rsid w:val="00C50B1B"/>
    <w:rsid w:val="00C50C99"/>
    <w:rsid w:val="00C52801"/>
    <w:rsid w:val="00C534BB"/>
    <w:rsid w:val="00C60C0C"/>
    <w:rsid w:val="00C61C54"/>
    <w:rsid w:val="00C6210F"/>
    <w:rsid w:val="00C745C6"/>
    <w:rsid w:val="00C750BA"/>
    <w:rsid w:val="00C7706E"/>
    <w:rsid w:val="00C81767"/>
    <w:rsid w:val="00C826EF"/>
    <w:rsid w:val="00C8442D"/>
    <w:rsid w:val="00C91E31"/>
    <w:rsid w:val="00C95AC9"/>
    <w:rsid w:val="00C964DE"/>
    <w:rsid w:val="00C96F18"/>
    <w:rsid w:val="00CA3E6A"/>
    <w:rsid w:val="00CA4545"/>
    <w:rsid w:val="00CA51AC"/>
    <w:rsid w:val="00CA5790"/>
    <w:rsid w:val="00CA634C"/>
    <w:rsid w:val="00CA652B"/>
    <w:rsid w:val="00CA7BFF"/>
    <w:rsid w:val="00CB0625"/>
    <w:rsid w:val="00CC0C56"/>
    <w:rsid w:val="00CC11B6"/>
    <w:rsid w:val="00CC1FF9"/>
    <w:rsid w:val="00CC4245"/>
    <w:rsid w:val="00CD23FE"/>
    <w:rsid w:val="00CD4B33"/>
    <w:rsid w:val="00CD6B05"/>
    <w:rsid w:val="00CE35D5"/>
    <w:rsid w:val="00CF326B"/>
    <w:rsid w:val="00D0300E"/>
    <w:rsid w:val="00D03431"/>
    <w:rsid w:val="00D0763E"/>
    <w:rsid w:val="00D12644"/>
    <w:rsid w:val="00D134CC"/>
    <w:rsid w:val="00D14C1E"/>
    <w:rsid w:val="00D157CA"/>
    <w:rsid w:val="00D17025"/>
    <w:rsid w:val="00D21E5D"/>
    <w:rsid w:val="00D24682"/>
    <w:rsid w:val="00D24E7B"/>
    <w:rsid w:val="00D24F06"/>
    <w:rsid w:val="00D25AEF"/>
    <w:rsid w:val="00D31785"/>
    <w:rsid w:val="00D349EE"/>
    <w:rsid w:val="00D35298"/>
    <w:rsid w:val="00D36296"/>
    <w:rsid w:val="00D36DC3"/>
    <w:rsid w:val="00D418AD"/>
    <w:rsid w:val="00D44227"/>
    <w:rsid w:val="00D46629"/>
    <w:rsid w:val="00D527DA"/>
    <w:rsid w:val="00D56D47"/>
    <w:rsid w:val="00D57835"/>
    <w:rsid w:val="00D57F7D"/>
    <w:rsid w:val="00D655FB"/>
    <w:rsid w:val="00D70FB4"/>
    <w:rsid w:val="00D7302C"/>
    <w:rsid w:val="00D73854"/>
    <w:rsid w:val="00D73A38"/>
    <w:rsid w:val="00D74A1C"/>
    <w:rsid w:val="00D815C1"/>
    <w:rsid w:val="00D82E7D"/>
    <w:rsid w:val="00D85C85"/>
    <w:rsid w:val="00D85E33"/>
    <w:rsid w:val="00D866EC"/>
    <w:rsid w:val="00D9096A"/>
    <w:rsid w:val="00D92F6C"/>
    <w:rsid w:val="00D95879"/>
    <w:rsid w:val="00D97A6B"/>
    <w:rsid w:val="00DA2FA3"/>
    <w:rsid w:val="00DA5198"/>
    <w:rsid w:val="00DA7875"/>
    <w:rsid w:val="00DB0AD7"/>
    <w:rsid w:val="00DB751D"/>
    <w:rsid w:val="00DC09BD"/>
    <w:rsid w:val="00DC679E"/>
    <w:rsid w:val="00DD0E98"/>
    <w:rsid w:val="00DD14BC"/>
    <w:rsid w:val="00DE3F87"/>
    <w:rsid w:val="00DE64DE"/>
    <w:rsid w:val="00DE73B4"/>
    <w:rsid w:val="00DE787B"/>
    <w:rsid w:val="00DE7AB4"/>
    <w:rsid w:val="00DF4D86"/>
    <w:rsid w:val="00DF63E3"/>
    <w:rsid w:val="00DF6B09"/>
    <w:rsid w:val="00E00B41"/>
    <w:rsid w:val="00E01D84"/>
    <w:rsid w:val="00E048AB"/>
    <w:rsid w:val="00E104CD"/>
    <w:rsid w:val="00E111AA"/>
    <w:rsid w:val="00E137BB"/>
    <w:rsid w:val="00E20266"/>
    <w:rsid w:val="00E235DD"/>
    <w:rsid w:val="00E25800"/>
    <w:rsid w:val="00E261CD"/>
    <w:rsid w:val="00E3199C"/>
    <w:rsid w:val="00E41E74"/>
    <w:rsid w:val="00E42D0B"/>
    <w:rsid w:val="00E441BF"/>
    <w:rsid w:val="00E56980"/>
    <w:rsid w:val="00E56B59"/>
    <w:rsid w:val="00E62D29"/>
    <w:rsid w:val="00E64988"/>
    <w:rsid w:val="00E64A38"/>
    <w:rsid w:val="00E719F6"/>
    <w:rsid w:val="00E7345E"/>
    <w:rsid w:val="00E74ECB"/>
    <w:rsid w:val="00E756AC"/>
    <w:rsid w:val="00E8168D"/>
    <w:rsid w:val="00E8381A"/>
    <w:rsid w:val="00E87596"/>
    <w:rsid w:val="00E87794"/>
    <w:rsid w:val="00E96422"/>
    <w:rsid w:val="00E97B21"/>
    <w:rsid w:val="00EA5A59"/>
    <w:rsid w:val="00EA62F1"/>
    <w:rsid w:val="00EA6BC3"/>
    <w:rsid w:val="00EB3D8F"/>
    <w:rsid w:val="00ED0FE3"/>
    <w:rsid w:val="00ED3F7E"/>
    <w:rsid w:val="00ED4715"/>
    <w:rsid w:val="00ED7ACF"/>
    <w:rsid w:val="00EE1446"/>
    <w:rsid w:val="00EE3B97"/>
    <w:rsid w:val="00EF2CA6"/>
    <w:rsid w:val="00EF714C"/>
    <w:rsid w:val="00F01C26"/>
    <w:rsid w:val="00F02034"/>
    <w:rsid w:val="00F05375"/>
    <w:rsid w:val="00F117B1"/>
    <w:rsid w:val="00F134F9"/>
    <w:rsid w:val="00F2461C"/>
    <w:rsid w:val="00F24C62"/>
    <w:rsid w:val="00F24FC8"/>
    <w:rsid w:val="00F331F0"/>
    <w:rsid w:val="00F33BF4"/>
    <w:rsid w:val="00F34138"/>
    <w:rsid w:val="00F35E57"/>
    <w:rsid w:val="00F428CE"/>
    <w:rsid w:val="00F444C7"/>
    <w:rsid w:val="00F44566"/>
    <w:rsid w:val="00F47FCE"/>
    <w:rsid w:val="00F501D2"/>
    <w:rsid w:val="00F5266F"/>
    <w:rsid w:val="00F52BC9"/>
    <w:rsid w:val="00F557C0"/>
    <w:rsid w:val="00F56447"/>
    <w:rsid w:val="00F61A04"/>
    <w:rsid w:val="00F625CA"/>
    <w:rsid w:val="00F64055"/>
    <w:rsid w:val="00F6564C"/>
    <w:rsid w:val="00F710C6"/>
    <w:rsid w:val="00F722BD"/>
    <w:rsid w:val="00F72873"/>
    <w:rsid w:val="00F72FBD"/>
    <w:rsid w:val="00F73620"/>
    <w:rsid w:val="00F758ED"/>
    <w:rsid w:val="00F8308F"/>
    <w:rsid w:val="00F91CF0"/>
    <w:rsid w:val="00F9481A"/>
    <w:rsid w:val="00F956D1"/>
    <w:rsid w:val="00F9687F"/>
    <w:rsid w:val="00F97F15"/>
    <w:rsid w:val="00FA08DE"/>
    <w:rsid w:val="00FA6D43"/>
    <w:rsid w:val="00FB1B7C"/>
    <w:rsid w:val="00FB328E"/>
    <w:rsid w:val="00FB3430"/>
    <w:rsid w:val="00FB5E18"/>
    <w:rsid w:val="00FC2626"/>
    <w:rsid w:val="00FC755D"/>
    <w:rsid w:val="00FD3922"/>
    <w:rsid w:val="00FD6452"/>
    <w:rsid w:val="00FF0A4E"/>
    <w:rsid w:val="00FF12D6"/>
    <w:rsid w:val="00FF14A6"/>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9B080C74-676E-4901-9E84-8BC40182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487C"/>
    <w:pPr>
      <w:tabs>
        <w:tab w:val="center" w:pos="4419"/>
        <w:tab w:val="right" w:pos="8838"/>
      </w:tabs>
    </w:pPr>
  </w:style>
  <w:style w:type="character" w:customStyle="1" w:styleId="FooterChar">
    <w:name w:val="Footer Char"/>
    <w:basedOn w:val="DefaultParagraphFont"/>
    <w:link w:val="Footer"/>
    <w:uiPriority w:val="99"/>
    <w:rsid w:val="008C487C"/>
    <w:rPr>
      <w:sz w:val="24"/>
      <w:lang w:val="es-MX"/>
    </w:rPr>
  </w:style>
  <w:style w:type="paragraph" w:styleId="Header">
    <w:name w:val="header"/>
    <w:basedOn w:val="Normal"/>
    <w:link w:val="HeaderChar"/>
    <w:uiPriority w:val="99"/>
    <w:unhideWhenUsed/>
    <w:rsid w:val="008C487C"/>
    <w:pPr>
      <w:tabs>
        <w:tab w:val="center" w:pos="4252"/>
        <w:tab w:val="right" w:pos="8504"/>
      </w:tabs>
    </w:pPr>
  </w:style>
  <w:style w:type="character" w:customStyle="1" w:styleId="HeaderChar">
    <w:name w:val="Header Char"/>
    <w:basedOn w:val="DefaultParagraphFont"/>
    <w:link w:val="Header"/>
    <w:uiPriority w:val="99"/>
    <w:rsid w:val="008C487C"/>
    <w:rPr>
      <w:sz w:val="24"/>
      <w:lang w:val="es-MX"/>
    </w:rPr>
  </w:style>
  <w:style w:type="table" w:styleId="TableGrid">
    <w:name w:val="Table Grid"/>
    <w:basedOn w:val="Table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8C487C"/>
    <w:pPr>
      <w:ind w:left="720"/>
      <w:contextualSpacing/>
    </w:pPr>
  </w:style>
  <w:style w:type="paragraph" w:styleId="NoSpacing">
    <w:name w:val="No Spacing"/>
    <w:uiPriority w:val="1"/>
    <w:qFormat/>
    <w:rsid w:val="008C487C"/>
    <w:pPr>
      <w:spacing w:after="0" w:line="240" w:lineRule="auto"/>
    </w:pPr>
    <w:rPr>
      <w:sz w:val="24"/>
      <w:lang w:val="es-MX"/>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locked/>
    <w:rsid w:val="008C487C"/>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FootnoteTextChar"/>
    <w:uiPriority w:val="99"/>
    <w:unhideWhenUsed/>
    <w:qFormat/>
    <w:rsid w:val="008C487C"/>
    <w:rPr>
      <w:sz w:val="20"/>
      <w:szCs w:val="20"/>
    </w:rPr>
  </w:style>
  <w:style w:type="character" w:customStyle="1" w:styleId="TextonotapieCar1">
    <w:name w:val="Texto nota pie Car1"/>
    <w:basedOn w:val="DefaultParagraphFont"/>
    <w:uiPriority w:val="99"/>
    <w:semiHidden/>
    <w:rsid w:val="008C487C"/>
    <w:rPr>
      <w:sz w:val="20"/>
      <w:szCs w:val="20"/>
      <w:lang w:val="es-MX"/>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8C487C"/>
    <w:rPr>
      <w:sz w:val="24"/>
      <w:lang w:val="es-MX"/>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
    <w:basedOn w:val="DefaultParagraphFont"/>
    <w:link w:val="Appelnotedebasde"/>
    <w:uiPriority w:val="99"/>
    <w:unhideWhenUsed/>
    <w:qFormat/>
    <w:rsid w:val="008C487C"/>
    <w:rPr>
      <w:vertAlign w:val="superscript"/>
    </w:rPr>
  </w:style>
  <w:style w:type="character" w:styleId="Hyperlink">
    <w:name w:val="Hyperlink"/>
    <w:basedOn w:val="DefaultParagraphFont"/>
    <w:uiPriority w:val="99"/>
    <w:unhideWhenUsed/>
    <w:rsid w:val="008C487C"/>
    <w:rPr>
      <w:color w:val="0563C1" w:themeColor="hyperlink"/>
      <w:u w:val="single"/>
    </w:rPr>
  </w:style>
  <w:style w:type="paragraph" w:styleId="BalloonText">
    <w:name w:val="Balloon Text"/>
    <w:basedOn w:val="Normal"/>
    <w:link w:val="BalloonTextChar"/>
    <w:uiPriority w:val="99"/>
    <w:semiHidden/>
    <w:unhideWhenUsed/>
    <w:rsid w:val="00B65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UnresolvedMention1">
    <w:name w:val="Unresolved Mention1"/>
    <w:basedOn w:val="DefaultParagraphFont"/>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CommentReference">
    <w:name w:val="annotation reference"/>
    <w:basedOn w:val="DefaultParagraphFont"/>
    <w:uiPriority w:val="99"/>
    <w:semiHidden/>
    <w:unhideWhenUsed/>
    <w:rsid w:val="006C15D5"/>
    <w:rPr>
      <w:sz w:val="16"/>
      <w:szCs w:val="16"/>
    </w:rPr>
  </w:style>
  <w:style w:type="paragraph" w:styleId="CommentText">
    <w:name w:val="annotation text"/>
    <w:basedOn w:val="Normal"/>
    <w:link w:val="CommentTextChar"/>
    <w:uiPriority w:val="99"/>
    <w:semiHidden/>
    <w:unhideWhenUsed/>
    <w:rsid w:val="006C15D5"/>
    <w:rPr>
      <w:sz w:val="20"/>
      <w:szCs w:val="20"/>
    </w:rPr>
  </w:style>
  <w:style w:type="character" w:customStyle="1" w:styleId="CommentTextChar">
    <w:name w:val="Comment Text Char"/>
    <w:basedOn w:val="DefaultParagraphFont"/>
    <w:link w:val="CommentText"/>
    <w:uiPriority w:val="99"/>
    <w:semiHidden/>
    <w:rsid w:val="006C15D5"/>
    <w:rPr>
      <w:sz w:val="20"/>
      <w:szCs w:val="20"/>
      <w:lang w:val="es-MX"/>
    </w:rPr>
  </w:style>
  <w:style w:type="paragraph" w:styleId="CommentSubject">
    <w:name w:val="annotation subject"/>
    <w:basedOn w:val="CommentText"/>
    <w:next w:val="CommentText"/>
    <w:link w:val="CommentSubjectChar"/>
    <w:uiPriority w:val="99"/>
    <w:semiHidden/>
    <w:unhideWhenUsed/>
    <w:rsid w:val="006C15D5"/>
    <w:rPr>
      <w:b/>
      <w:bCs/>
    </w:rPr>
  </w:style>
  <w:style w:type="character" w:customStyle="1" w:styleId="CommentSubjectChar">
    <w:name w:val="Comment Subject Char"/>
    <w:basedOn w:val="CommentTextChar"/>
    <w:link w:val="CommentSubject"/>
    <w:uiPriority w:val="99"/>
    <w:semiHidden/>
    <w:rsid w:val="006C15D5"/>
    <w:rPr>
      <w:b/>
      <w:bCs/>
      <w:sz w:val="20"/>
      <w:szCs w:val="20"/>
      <w:lang w:val="es-MX"/>
    </w:rPr>
  </w:style>
  <w:style w:type="paragraph" w:customStyle="1" w:styleId="Appelnotedebasde">
    <w:name w:val="Appel note de bas de..."/>
    <w:basedOn w:val="Normal"/>
    <w:link w:val="FootnoteReference"/>
    <w:rsid w:val="00C534BB"/>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6133">
      <w:bodyDiv w:val="1"/>
      <w:marLeft w:val="0"/>
      <w:marRight w:val="0"/>
      <w:marTop w:val="0"/>
      <w:marBottom w:val="0"/>
      <w:divBdr>
        <w:top w:val="none" w:sz="0" w:space="0" w:color="auto"/>
        <w:left w:val="none" w:sz="0" w:space="0" w:color="auto"/>
        <w:bottom w:val="none" w:sz="0" w:space="0" w:color="auto"/>
        <w:right w:val="none" w:sz="0" w:space="0" w:color="auto"/>
      </w:divBdr>
    </w:div>
    <w:div w:id="76246188">
      <w:bodyDiv w:val="1"/>
      <w:marLeft w:val="0"/>
      <w:marRight w:val="0"/>
      <w:marTop w:val="0"/>
      <w:marBottom w:val="0"/>
      <w:divBdr>
        <w:top w:val="none" w:sz="0" w:space="0" w:color="auto"/>
        <w:left w:val="none" w:sz="0" w:space="0" w:color="auto"/>
        <w:bottom w:val="none" w:sz="0" w:space="0" w:color="auto"/>
        <w:right w:val="none" w:sz="0" w:space="0" w:color="auto"/>
      </w:divBdr>
    </w:div>
    <w:div w:id="965503467">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399858464">
      <w:bodyDiv w:val="1"/>
      <w:marLeft w:val="0"/>
      <w:marRight w:val="0"/>
      <w:marTop w:val="0"/>
      <w:marBottom w:val="0"/>
      <w:divBdr>
        <w:top w:val="none" w:sz="0" w:space="0" w:color="auto"/>
        <w:left w:val="none" w:sz="0" w:space="0" w:color="auto"/>
        <w:bottom w:val="none" w:sz="0" w:space="0" w:color="auto"/>
        <w:right w:val="none" w:sz="0" w:space="0" w:color="auto"/>
      </w:divBdr>
    </w:div>
    <w:div w:id="1877158437">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EAA1E85C-F34A-4014-9C82-B902827A2129}">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5663</Words>
  <Characters>32280</Characters>
  <Application>Microsoft Office Word</Application>
  <DocSecurity>4</DocSecurity>
  <Lines>269</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Camilo Amado</cp:lastModifiedBy>
  <cp:revision>8</cp:revision>
  <cp:lastPrinted>2020-03-17T19:42:00Z</cp:lastPrinted>
  <dcterms:created xsi:type="dcterms:W3CDTF">2020-08-04T17:22:00Z</dcterms:created>
  <dcterms:modified xsi:type="dcterms:W3CDTF">2020-08-10T21:36:00Z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