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DEB9" w14:textId="77777777" w:rsidR="00E1532A" w:rsidRPr="00C23E57" w:rsidRDefault="00E1532A" w:rsidP="00E1532A">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C23E57">
        <w:rPr>
          <w:rFonts w:ascii="Arial" w:hAnsi="Arial" w:cs="Arial"/>
          <w:b/>
          <w:sz w:val="16"/>
          <w:szCs w:val="16"/>
          <w:lang w:eastAsia="es-ES"/>
        </w:rPr>
        <w:t>CCE-DES-FM-17</w:t>
      </w:r>
    </w:p>
    <w:bookmarkEnd w:id="1"/>
    <w:bookmarkEnd w:id="2"/>
    <w:p w14:paraId="5B500BCA" w14:textId="77777777" w:rsidR="00E1532A" w:rsidRPr="00C23E57" w:rsidRDefault="00E1532A" w:rsidP="00E1532A">
      <w:pPr>
        <w:jc w:val="both"/>
        <w:rPr>
          <w:rFonts w:ascii="Arial" w:eastAsia="Calibri" w:hAnsi="Arial" w:cs="Arial"/>
          <w:sz w:val="16"/>
          <w:szCs w:val="16"/>
          <w:highlight w:val="yellow"/>
          <w:lang w:val="es-ES"/>
        </w:rPr>
      </w:pPr>
    </w:p>
    <w:p w14:paraId="28E12125" w14:textId="77777777" w:rsidR="00E1532A" w:rsidRDefault="00E1532A" w:rsidP="00E1532A">
      <w:pPr>
        <w:jc w:val="both"/>
        <w:rPr>
          <w:rFonts w:ascii="Arial" w:eastAsia="Calibri" w:hAnsi="Arial" w:cs="Arial"/>
          <w:b/>
          <w:bCs/>
          <w:sz w:val="22"/>
        </w:rPr>
      </w:pPr>
      <w:r>
        <w:rPr>
          <w:rFonts w:ascii="Arial" w:eastAsia="Calibri" w:hAnsi="Arial" w:cs="Arial"/>
          <w:b/>
          <w:bCs/>
          <w:sz w:val="22"/>
        </w:rPr>
        <w:t xml:space="preserve">PRECIOS ARTIFICIALMENTE BAJOS </w:t>
      </w:r>
      <w:r>
        <w:rPr>
          <w:rFonts w:ascii="Arial" w:eastAsia="Calibri" w:hAnsi="Arial" w:cs="Arial"/>
          <w:b/>
          <w:sz w:val="22"/>
        </w:rPr>
        <w:t>–</w:t>
      </w:r>
      <w:r>
        <w:rPr>
          <w:rFonts w:ascii="Arial" w:eastAsia="Calibri" w:hAnsi="Arial" w:cs="Arial"/>
          <w:b/>
          <w:bCs/>
          <w:sz w:val="22"/>
        </w:rPr>
        <w:t xml:space="preserve"> Noción</w:t>
      </w:r>
    </w:p>
    <w:p w14:paraId="5FC15D55" w14:textId="77777777" w:rsidR="00E1532A" w:rsidRDefault="00E1532A" w:rsidP="00E1532A">
      <w:pPr>
        <w:jc w:val="both"/>
        <w:rPr>
          <w:rFonts w:ascii="Arial" w:eastAsia="Calibri" w:hAnsi="Arial" w:cs="Arial"/>
          <w:sz w:val="20"/>
          <w:szCs w:val="20"/>
          <w:highlight w:val="yellow"/>
          <w:lang w:val="es-ES"/>
        </w:rPr>
      </w:pPr>
    </w:p>
    <w:p w14:paraId="17CA92A0" w14:textId="16490104" w:rsidR="00E1532A" w:rsidRDefault="00E1532A" w:rsidP="00C23E57">
      <w:pPr>
        <w:spacing w:after="120"/>
        <w:jc w:val="both"/>
        <w:rPr>
          <w:rFonts w:ascii="Arial" w:eastAsia="Calibri" w:hAnsi="Arial" w:cs="Arial"/>
          <w:sz w:val="20"/>
          <w:szCs w:val="20"/>
          <w:lang w:val="es-ES"/>
        </w:rPr>
      </w:pPr>
      <w:r>
        <w:rPr>
          <w:rFonts w:ascii="Arial" w:eastAsia="Calibri" w:hAnsi="Arial" w:cs="Arial"/>
          <w:sz w:val="20"/>
          <w:szCs w:val="20"/>
          <w:lang w:val="es-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r>
        <w:rPr>
          <w:rFonts w:ascii="Arial" w:eastAsia="Calibri" w:hAnsi="Arial" w:cs="Arial"/>
          <w:sz w:val="20"/>
          <w:szCs w:val="20"/>
          <w:lang w:val="es-ES"/>
        </w:rPr>
        <w:tab/>
      </w:r>
    </w:p>
    <w:p w14:paraId="5167B9A0" w14:textId="77777777" w:rsidR="00E1532A" w:rsidRDefault="00E1532A" w:rsidP="00C23E57">
      <w:pPr>
        <w:jc w:val="both"/>
        <w:rPr>
          <w:rFonts w:ascii="Arial" w:eastAsia="Calibri" w:hAnsi="Arial" w:cs="Arial"/>
          <w:sz w:val="20"/>
          <w:szCs w:val="20"/>
          <w:lang w:val="es-ES"/>
        </w:rPr>
      </w:pPr>
      <w:r>
        <w:rPr>
          <w:rFonts w:ascii="Arial" w:eastAsia="Calibri" w:hAnsi="Arial" w:cs="Arial"/>
          <w:sz w:val="20"/>
          <w:szCs w:val="20"/>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348FD21" w14:textId="77777777" w:rsidR="00E1532A" w:rsidRDefault="00E1532A" w:rsidP="00C23E57">
      <w:pPr>
        <w:jc w:val="both"/>
        <w:rPr>
          <w:rFonts w:ascii="Arial" w:eastAsia="Calibri" w:hAnsi="Arial" w:cs="Arial"/>
          <w:sz w:val="20"/>
          <w:szCs w:val="20"/>
          <w:lang w:val="es-ES"/>
        </w:rPr>
      </w:pPr>
    </w:p>
    <w:p w14:paraId="722391D5" w14:textId="77777777" w:rsidR="00E1532A" w:rsidRDefault="00E1532A" w:rsidP="00C23E57">
      <w:pPr>
        <w:jc w:val="both"/>
        <w:rPr>
          <w:rFonts w:ascii="Arial" w:eastAsia="Calibri" w:hAnsi="Arial" w:cs="Arial"/>
          <w:b/>
          <w:sz w:val="22"/>
        </w:rPr>
      </w:pPr>
      <w:r>
        <w:rPr>
          <w:rFonts w:ascii="Arial" w:eastAsia="Calibri" w:hAnsi="Arial" w:cs="Arial"/>
          <w:b/>
          <w:bCs/>
          <w:sz w:val="22"/>
        </w:rPr>
        <w:t xml:space="preserve">PRECIOS ARTIFICIALMENTE BAJOS </w:t>
      </w:r>
      <w:r>
        <w:rPr>
          <w:rFonts w:ascii="Arial" w:eastAsia="Calibri" w:hAnsi="Arial" w:cs="Arial"/>
          <w:b/>
          <w:sz w:val="22"/>
        </w:rPr>
        <w:t>–</w:t>
      </w:r>
      <w:r>
        <w:rPr>
          <w:rFonts w:ascii="Arial" w:eastAsia="Calibri" w:hAnsi="Arial" w:cs="Arial"/>
          <w:b/>
          <w:bCs/>
          <w:sz w:val="22"/>
        </w:rPr>
        <w:t xml:space="preserve"> Noción </w:t>
      </w:r>
      <w:r>
        <w:rPr>
          <w:rFonts w:ascii="Arial" w:eastAsia="Calibri" w:hAnsi="Arial" w:cs="Arial"/>
          <w:b/>
          <w:sz w:val="22"/>
        </w:rPr>
        <w:t>– Colombia Compra Eficiente</w:t>
      </w:r>
    </w:p>
    <w:p w14:paraId="599E9715" w14:textId="77777777" w:rsidR="00E1532A" w:rsidRDefault="00E1532A" w:rsidP="00C23E57">
      <w:pPr>
        <w:jc w:val="both"/>
        <w:rPr>
          <w:rFonts w:ascii="Arial" w:eastAsia="Calibri" w:hAnsi="Arial" w:cs="Arial"/>
          <w:sz w:val="20"/>
          <w:szCs w:val="20"/>
          <w:highlight w:val="yellow"/>
          <w:lang w:val="es-ES"/>
        </w:rPr>
      </w:pPr>
    </w:p>
    <w:p w14:paraId="3416E077" w14:textId="77777777" w:rsidR="00E1532A" w:rsidRDefault="00E1532A" w:rsidP="00C23E57">
      <w:pPr>
        <w:jc w:val="both"/>
        <w:rPr>
          <w:rFonts w:ascii="Arial" w:eastAsia="Calibri" w:hAnsi="Arial" w:cs="Arial"/>
          <w:sz w:val="20"/>
          <w:szCs w:val="20"/>
          <w:lang w:val="es-ES"/>
        </w:rPr>
      </w:pPr>
      <w:r>
        <w:rPr>
          <w:rFonts w:ascii="Arial" w:eastAsia="Calibri" w:hAnsi="Arial" w:cs="Arial"/>
          <w:sz w:val="20"/>
          <w:szCs w:val="20"/>
          <w:lang w:val="es-ES"/>
        </w:rPr>
        <w:t xml:space="preserve">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6CADF4EB" w14:textId="77777777" w:rsidR="00E1532A" w:rsidRDefault="00E1532A" w:rsidP="00E1532A">
      <w:pPr>
        <w:jc w:val="both"/>
        <w:rPr>
          <w:rFonts w:ascii="Arial" w:eastAsia="Calibri" w:hAnsi="Arial" w:cs="Arial"/>
          <w:sz w:val="20"/>
          <w:szCs w:val="20"/>
          <w:highlight w:val="yellow"/>
          <w:lang w:val="es-ES"/>
        </w:rPr>
      </w:pPr>
    </w:p>
    <w:p w14:paraId="6899C458" w14:textId="77777777" w:rsidR="00E1532A" w:rsidRDefault="00E1532A" w:rsidP="00E1532A">
      <w:pPr>
        <w:jc w:val="both"/>
        <w:rPr>
          <w:rFonts w:ascii="Arial" w:eastAsia="Calibri" w:hAnsi="Arial" w:cs="Arial"/>
          <w:b/>
          <w:sz w:val="22"/>
        </w:rPr>
      </w:pPr>
      <w:r>
        <w:rPr>
          <w:rFonts w:ascii="Arial" w:eastAsia="Calibri" w:hAnsi="Arial" w:cs="Arial"/>
          <w:b/>
          <w:bCs/>
          <w:sz w:val="22"/>
        </w:rPr>
        <w:t xml:space="preserve">GUÍA PARA EL MANEJO DE OFERTAS ARTIFICIALMENTE BAJAS EN PROCESOS DE CONTRATACIÓN </w:t>
      </w:r>
      <w:r>
        <w:rPr>
          <w:rFonts w:ascii="Arial" w:eastAsia="Calibri" w:hAnsi="Arial" w:cs="Arial"/>
          <w:b/>
          <w:sz w:val="22"/>
        </w:rPr>
        <w:t>– Identificación</w:t>
      </w:r>
    </w:p>
    <w:p w14:paraId="6E0E503D" w14:textId="77777777" w:rsidR="00E1532A" w:rsidRDefault="00E1532A" w:rsidP="00E1532A">
      <w:pPr>
        <w:jc w:val="both"/>
        <w:rPr>
          <w:rFonts w:ascii="Arial" w:eastAsia="Calibri" w:hAnsi="Arial" w:cs="Arial"/>
          <w:sz w:val="20"/>
          <w:szCs w:val="20"/>
          <w:highlight w:val="yellow"/>
          <w:lang w:val="es-ES"/>
        </w:rPr>
      </w:pPr>
    </w:p>
    <w:p w14:paraId="62BFA881" w14:textId="406E0F05" w:rsidR="00E1532A" w:rsidRDefault="00E1532A" w:rsidP="00C23E57">
      <w:pPr>
        <w:spacing w:after="120"/>
        <w:jc w:val="both"/>
        <w:rPr>
          <w:rFonts w:ascii="Arial" w:eastAsia="Calibri" w:hAnsi="Arial" w:cs="Arial"/>
          <w:sz w:val="20"/>
          <w:szCs w:val="20"/>
          <w:lang w:val="es-ES"/>
        </w:rPr>
      </w:pPr>
      <w:r>
        <w:rPr>
          <w:rFonts w:ascii="Arial" w:eastAsia="Calibri" w:hAnsi="Arial" w:cs="Arial"/>
          <w:sz w:val="20"/>
          <w:szCs w:val="20"/>
          <w:lang w:val="es-ES"/>
        </w:rPr>
        <w:t>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14:paraId="6DB03A85" w14:textId="77777777" w:rsidR="00E1532A" w:rsidRDefault="00E1532A" w:rsidP="00C23E57">
      <w:pPr>
        <w:spacing w:after="120"/>
        <w:jc w:val="both"/>
        <w:rPr>
          <w:rFonts w:ascii="Arial" w:eastAsia="Calibri" w:hAnsi="Arial" w:cs="Arial"/>
          <w:sz w:val="20"/>
          <w:szCs w:val="20"/>
          <w:lang w:val="es-ES"/>
        </w:rPr>
      </w:pPr>
      <w:r>
        <w:rPr>
          <w:rFonts w:ascii="Arial" w:eastAsia="Calibri" w:hAnsi="Arial" w:cs="Arial"/>
          <w:sz w:val="20"/>
          <w:szCs w:val="20"/>
          <w:lang w:val="es-ES"/>
        </w:rPr>
        <w:t xml:space="preserve">La segunda herramienta, denominada comparación relativa, corresponde a la «comparación de cada oferta con las demás presentadas», sin que se indique la cantidad de ofertas que debió recibir la entidad, por lo cual nada obsta para aplicarla, independientemente del número de ofertas presentadas al procedimiento. […] 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i) tomar el conjunto de ofertas a evaluar, </w:t>
      </w:r>
      <w:proofErr w:type="spellStart"/>
      <w:r>
        <w:rPr>
          <w:rFonts w:ascii="Arial" w:eastAsia="Calibri" w:hAnsi="Arial" w:cs="Arial"/>
          <w:sz w:val="20"/>
          <w:szCs w:val="20"/>
          <w:lang w:val="es-ES"/>
        </w:rPr>
        <w:t>ii</w:t>
      </w:r>
      <w:proofErr w:type="spellEnd"/>
      <w:r>
        <w:rPr>
          <w:rFonts w:ascii="Arial" w:eastAsia="Calibri" w:hAnsi="Arial" w:cs="Arial"/>
          <w:sz w:val="20"/>
          <w:szCs w:val="20"/>
          <w:lang w:val="es-ES"/>
        </w:rPr>
        <w:t xml:space="preserve">) calcular la mediana, o dependiendo de la dispersión de los datos el promedio, del valor </w:t>
      </w:r>
      <w:r>
        <w:rPr>
          <w:rFonts w:ascii="Arial" w:eastAsia="Calibri" w:hAnsi="Arial" w:cs="Arial"/>
          <w:sz w:val="20"/>
          <w:szCs w:val="20"/>
          <w:lang w:val="es-ES"/>
        </w:rPr>
        <w:lastRenderedPageBreak/>
        <w:t xml:space="preserve">de cada oferta o de cada ítem dentro de la oferta, </w:t>
      </w:r>
      <w:proofErr w:type="spellStart"/>
      <w:r>
        <w:rPr>
          <w:rFonts w:ascii="Arial" w:eastAsia="Calibri" w:hAnsi="Arial" w:cs="Arial"/>
          <w:sz w:val="20"/>
          <w:szCs w:val="20"/>
          <w:lang w:val="es-ES"/>
        </w:rPr>
        <w:t>iii</w:t>
      </w:r>
      <w:proofErr w:type="spellEnd"/>
      <w:r>
        <w:rPr>
          <w:rFonts w:ascii="Arial" w:eastAsia="Calibri" w:hAnsi="Arial" w:cs="Arial"/>
          <w:sz w:val="20"/>
          <w:szCs w:val="20"/>
          <w:lang w:val="es-ES"/>
        </w:rPr>
        <w:t xml:space="preserve">) calcular la desviación estándar del conjunto y </w:t>
      </w:r>
      <w:proofErr w:type="spellStart"/>
      <w:r>
        <w:rPr>
          <w:rFonts w:ascii="Arial" w:eastAsia="Calibri" w:hAnsi="Arial" w:cs="Arial"/>
          <w:sz w:val="20"/>
          <w:szCs w:val="20"/>
          <w:lang w:val="es-ES"/>
        </w:rPr>
        <w:t>iv</w:t>
      </w:r>
      <w:proofErr w:type="spellEnd"/>
      <w:r>
        <w:rPr>
          <w:rFonts w:ascii="Arial" w:eastAsia="Calibri" w:hAnsi="Arial" w:cs="Arial"/>
          <w:sz w:val="20"/>
          <w:szCs w:val="20"/>
          <w:lang w:val="es-ES"/>
        </w:rPr>
        <w:t>) determinar el valor mínimo aceptable.</w:t>
      </w:r>
    </w:p>
    <w:p w14:paraId="1CC20278" w14:textId="77777777" w:rsidR="00E1532A" w:rsidRDefault="00E1532A" w:rsidP="00E1532A">
      <w:pPr>
        <w:jc w:val="both"/>
        <w:rPr>
          <w:rFonts w:ascii="Arial" w:eastAsia="Calibri" w:hAnsi="Arial" w:cs="Arial"/>
          <w:sz w:val="20"/>
          <w:szCs w:val="20"/>
          <w:highlight w:val="yellow"/>
          <w:lang w:val="es-ES"/>
        </w:rPr>
      </w:pPr>
    </w:p>
    <w:p w14:paraId="59E57CB3" w14:textId="77777777" w:rsidR="00E1532A" w:rsidRDefault="00E1532A" w:rsidP="00E1532A">
      <w:pPr>
        <w:jc w:val="both"/>
        <w:rPr>
          <w:rFonts w:ascii="Arial" w:eastAsia="Calibri" w:hAnsi="Arial" w:cs="Arial"/>
          <w:b/>
          <w:sz w:val="22"/>
        </w:rPr>
      </w:pPr>
      <w:r>
        <w:rPr>
          <w:rFonts w:ascii="Arial" w:eastAsia="Calibri" w:hAnsi="Arial" w:cs="Arial"/>
          <w:b/>
          <w:bCs/>
          <w:sz w:val="22"/>
        </w:rPr>
        <w:t xml:space="preserve">GUÍA PARA EL MANEJO DE OFERTAS ARTIFICIALMENTE BAJAS EN PROCESOS DE CONTRATACIÓN </w:t>
      </w:r>
      <w:r>
        <w:rPr>
          <w:rFonts w:ascii="Arial" w:eastAsia="Calibri" w:hAnsi="Arial" w:cs="Arial"/>
          <w:b/>
          <w:sz w:val="22"/>
        </w:rPr>
        <w:t>– Manejo</w:t>
      </w:r>
    </w:p>
    <w:p w14:paraId="53EDC754" w14:textId="77777777" w:rsidR="00E1532A" w:rsidRDefault="00E1532A" w:rsidP="00E1532A">
      <w:pPr>
        <w:jc w:val="both"/>
        <w:rPr>
          <w:rFonts w:ascii="Arial" w:eastAsia="Calibri" w:hAnsi="Arial" w:cs="Arial"/>
          <w:sz w:val="20"/>
          <w:szCs w:val="20"/>
          <w:highlight w:val="yellow"/>
          <w:lang w:val="es-ES"/>
        </w:rPr>
      </w:pPr>
    </w:p>
    <w:p w14:paraId="6404B55C" w14:textId="77777777" w:rsidR="00E1532A" w:rsidRDefault="00E1532A" w:rsidP="00E1532A">
      <w:pPr>
        <w:jc w:val="both"/>
        <w:rPr>
          <w:rFonts w:ascii="Arial" w:eastAsia="Calibri" w:hAnsi="Arial" w:cs="Arial"/>
          <w:sz w:val="20"/>
          <w:szCs w:val="20"/>
          <w:lang w:val="es-ES"/>
        </w:rPr>
      </w:pPr>
      <w:r>
        <w:rPr>
          <w:rFonts w:ascii="Arial" w:eastAsia="Calibri" w:hAnsi="Arial" w:cs="Arial"/>
          <w:sz w:val="20"/>
          <w:szCs w:val="20"/>
          <w:lang w:val="es-ES"/>
        </w:rPr>
        <w:t xml:space="preserve">Identificadas estas ofertas, la Guía sugiere realizar las siguientes actuaciones, observando lo dispuesto en el artículo 2.2.1.1.2.2.4. del Decreto 1082 de 2015: i) solicitar aclaración a los proponentes que hayan ofertado precios que parecen bajos injustificadamente, </w:t>
      </w:r>
      <w:proofErr w:type="spellStart"/>
      <w:r>
        <w:rPr>
          <w:rFonts w:ascii="Arial" w:eastAsia="Calibri" w:hAnsi="Arial" w:cs="Arial"/>
          <w:sz w:val="20"/>
          <w:szCs w:val="20"/>
          <w:lang w:val="es-ES"/>
        </w:rPr>
        <w:t>ii</w:t>
      </w:r>
      <w:proofErr w:type="spellEnd"/>
      <w:r>
        <w:rPr>
          <w:rFonts w:ascii="Arial" w:eastAsia="Calibri" w:hAnsi="Arial" w:cs="Arial"/>
          <w:sz w:val="20"/>
          <w:szCs w:val="20"/>
          <w:lang w:val="es-ES"/>
        </w:rPr>
        <w:t xml:space="preserve">) analizar las explicaciones y </w:t>
      </w:r>
      <w:proofErr w:type="spellStart"/>
      <w:r>
        <w:rPr>
          <w:rFonts w:ascii="Arial" w:eastAsia="Calibri" w:hAnsi="Arial" w:cs="Arial"/>
          <w:sz w:val="20"/>
          <w:szCs w:val="20"/>
          <w:lang w:val="es-ES"/>
        </w:rPr>
        <w:t>iii</w:t>
      </w:r>
      <w:proofErr w:type="spellEnd"/>
      <w:r>
        <w:rPr>
          <w:rFonts w:ascii="Arial" w:eastAsia="Calibri" w:hAnsi="Arial" w:cs="Arial"/>
          <w:sz w:val="20"/>
          <w:szCs w:val="20"/>
          <w:lang w:val="es-ES"/>
        </w:rPr>
        <w:t>) decidir «si continúa con la evaluación de la oferta porque la explicación demuestra la habilidad del proponente para cumplir adecuadamente con el contrato con los precios ofrecidos, o rechazar la oferta si la explicación no sustenta los valores ofrecidos».</w:t>
      </w:r>
    </w:p>
    <w:p w14:paraId="23AE6E14" w14:textId="77777777" w:rsidR="00E1532A" w:rsidRDefault="00E1532A" w:rsidP="00E1532A">
      <w:pPr>
        <w:jc w:val="both"/>
        <w:rPr>
          <w:rFonts w:ascii="Arial" w:eastAsia="Calibri" w:hAnsi="Arial" w:cs="Arial"/>
          <w:sz w:val="20"/>
          <w:szCs w:val="20"/>
          <w:highlight w:val="yellow"/>
          <w:lang w:val="es-ES"/>
        </w:rPr>
      </w:pPr>
    </w:p>
    <w:p w14:paraId="75C1BF11" w14:textId="77777777" w:rsidR="00E1532A" w:rsidRDefault="00E1532A" w:rsidP="00E1532A">
      <w:pPr>
        <w:jc w:val="both"/>
        <w:rPr>
          <w:rFonts w:ascii="Arial" w:eastAsia="Calibri" w:hAnsi="Arial" w:cs="Arial"/>
          <w:b/>
          <w:bCs/>
          <w:sz w:val="22"/>
          <w:highlight w:val="yellow"/>
        </w:rPr>
      </w:pPr>
      <w:r>
        <w:rPr>
          <w:rFonts w:ascii="Arial" w:eastAsia="Calibri" w:hAnsi="Arial" w:cs="Arial"/>
          <w:b/>
          <w:bCs/>
          <w:sz w:val="22"/>
        </w:rPr>
        <w:t>DOCUMENTOS TIPO – Precios artificialmente bajos</w:t>
      </w:r>
    </w:p>
    <w:p w14:paraId="24CBEC28" w14:textId="77777777" w:rsidR="00E1532A" w:rsidRDefault="00E1532A" w:rsidP="00E1532A">
      <w:pPr>
        <w:jc w:val="both"/>
        <w:rPr>
          <w:rFonts w:ascii="Arial" w:eastAsia="Calibri" w:hAnsi="Arial" w:cs="Arial"/>
          <w:b/>
          <w:bCs/>
          <w:sz w:val="22"/>
          <w:highlight w:val="yellow"/>
        </w:rPr>
      </w:pPr>
    </w:p>
    <w:p w14:paraId="423953BC" w14:textId="534470B6" w:rsidR="00E1532A" w:rsidRDefault="00E1532A" w:rsidP="00C23E57">
      <w:pPr>
        <w:spacing w:after="120"/>
        <w:jc w:val="both"/>
        <w:rPr>
          <w:rFonts w:ascii="Arial" w:eastAsia="Calibri" w:hAnsi="Arial" w:cs="Arial"/>
          <w:sz w:val="20"/>
          <w:szCs w:val="20"/>
          <w:lang w:val="es-ES"/>
        </w:rPr>
      </w:pPr>
      <w:r>
        <w:rPr>
          <w:rFonts w:ascii="Arial" w:eastAsia="Calibri" w:hAnsi="Arial" w:cs="Arial"/>
          <w:sz w:val="20"/>
          <w:szCs w:val="20"/>
          <w:lang w:val="es-ES"/>
        </w:rPr>
        <w:t>El Capítulo III del Documento Base regula los requisitos habilitantes y establece los mecanismos para su verificación. Por su parte, el Capítulo IV del mismo documento regula los criterios de evaluación, y dentro de estos la «oferta económica», factor a calificar según el valor total indicado en la propuesta económica o el obtenido de la corrección aritmética. Igualmente, el numeral 4.1.3. del Documento establece que:</w:t>
      </w:r>
    </w:p>
    <w:p w14:paraId="2C4E37C7" w14:textId="77777777" w:rsidR="00E1532A" w:rsidRDefault="00E1532A" w:rsidP="00C23E57">
      <w:pPr>
        <w:jc w:val="both"/>
        <w:rPr>
          <w:rFonts w:ascii="Arial" w:eastAsia="Calibri" w:hAnsi="Arial" w:cs="Arial"/>
          <w:sz w:val="20"/>
          <w:szCs w:val="20"/>
          <w:lang w:val="es-ES"/>
        </w:rPr>
      </w:pPr>
      <w:r>
        <w:rPr>
          <w:rFonts w:ascii="Arial" w:eastAsia="Calibri" w:hAnsi="Arial" w:cs="Arial"/>
          <w:sz w:val="20"/>
          <w:szCs w:val="20"/>
          <w:lang w:val="es-ES"/>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proceso descrito en el artículo 2.2.1.1.2.2.4. del Decreto 1082 de 2015 y los parámetros definidos en la Guía para el manejo de ofertas artificialmente bajas en Procesos de Contratación de Colombia Compra Eficiente.</w:t>
      </w:r>
    </w:p>
    <w:p w14:paraId="4FBE9706" w14:textId="77777777" w:rsidR="00E1532A" w:rsidRPr="00F05078" w:rsidRDefault="00E1532A" w:rsidP="00C23E57">
      <w:pPr>
        <w:jc w:val="both"/>
        <w:rPr>
          <w:rFonts w:ascii="Arial" w:eastAsia="Calibri" w:hAnsi="Arial" w:cs="Arial"/>
          <w:b/>
          <w:bCs/>
          <w:sz w:val="20"/>
          <w:szCs w:val="20"/>
          <w:highlight w:val="yellow"/>
        </w:rPr>
      </w:pPr>
    </w:p>
    <w:p w14:paraId="12341876" w14:textId="77777777" w:rsidR="00F05078" w:rsidRPr="00F05078" w:rsidRDefault="00F05078" w:rsidP="00F05078">
      <w:pPr>
        <w:pStyle w:val="Default"/>
        <w:rPr>
          <w:sz w:val="20"/>
          <w:szCs w:val="20"/>
        </w:rPr>
      </w:pPr>
    </w:p>
    <w:p w14:paraId="739B24FB" w14:textId="2F1DC7AB" w:rsidR="00F05078" w:rsidRPr="00F05078" w:rsidRDefault="00F05078" w:rsidP="00F05078">
      <w:pPr>
        <w:pStyle w:val="Default"/>
        <w:rPr>
          <w:sz w:val="22"/>
          <w:szCs w:val="22"/>
        </w:rPr>
      </w:pPr>
      <w:r w:rsidRPr="00F05078">
        <w:rPr>
          <w:sz w:val="22"/>
          <w:szCs w:val="22"/>
        </w:rPr>
        <w:t xml:space="preserve">Bogotá D.C., </w:t>
      </w:r>
      <w:r w:rsidRPr="00F05078">
        <w:rPr>
          <w:b/>
          <w:bCs/>
          <w:sz w:val="22"/>
          <w:szCs w:val="22"/>
        </w:rPr>
        <w:t xml:space="preserve">24/07/2020 Hora 23:44:14s </w:t>
      </w:r>
    </w:p>
    <w:p w14:paraId="4BB1C321" w14:textId="21E6A147" w:rsidR="00E1532A" w:rsidRPr="00F05078" w:rsidRDefault="00F05078" w:rsidP="00F05078">
      <w:pPr>
        <w:jc w:val="right"/>
        <w:rPr>
          <w:rFonts w:ascii="Arial" w:eastAsia="Calibri" w:hAnsi="Arial" w:cs="Arial"/>
          <w:sz w:val="22"/>
        </w:rPr>
      </w:pPr>
      <w:proofErr w:type="spellStart"/>
      <w:r w:rsidRPr="00F05078">
        <w:rPr>
          <w:rFonts w:ascii="Arial" w:hAnsi="Arial" w:cs="Arial"/>
          <w:b/>
          <w:bCs/>
          <w:sz w:val="22"/>
        </w:rPr>
        <w:t>N°</w:t>
      </w:r>
      <w:proofErr w:type="spellEnd"/>
      <w:r w:rsidRPr="00F05078">
        <w:rPr>
          <w:rFonts w:ascii="Arial" w:hAnsi="Arial" w:cs="Arial"/>
          <w:b/>
          <w:bCs/>
          <w:sz w:val="22"/>
        </w:rPr>
        <w:t xml:space="preserve"> Radicado: 2202013000006626</w:t>
      </w:r>
    </w:p>
    <w:p w14:paraId="075D0093" w14:textId="77777777" w:rsidR="00066C9D" w:rsidRDefault="00066C9D" w:rsidP="00E1532A">
      <w:pPr>
        <w:rPr>
          <w:rFonts w:ascii="Arial" w:eastAsia="Calibri" w:hAnsi="Arial" w:cs="Arial"/>
          <w:sz w:val="22"/>
        </w:rPr>
      </w:pPr>
    </w:p>
    <w:p w14:paraId="55C4F8F9" w14:textId="77777777" w:rsidR="00963942" w:rsidRDefault="00963942" w:rsidP="00E1532A">
      <w:pPr>
        <w:rPr>
          <w:rFonts w:ascii="Arial" w:eastAsia="Calibri" w:hAnsi="Arial" w:cs="Arial"/>
          <w:sz w:val="22"/>
        </w:rPr>
      </w:pPr>
    </w:p>
    <w:p w14:paraId="3912B1DE" w14:textId="77777777" w:rsidR="00963942" w:rsidRDefault="00963942" w:rsidP="00E1532A">
      <w:pPr>
        <w:rPr>
          <w:rFonts w:ascii="Arial" w:eastAsia="Calibri" w:hAnsi="Arial" w:cs="Arial"/>
          <w:sz w:val="22"/>
        </w:rPr>
      </w:pPr>
    </w:p>
    <w:p w14:paraId="7D97A9B8" w14:textId="009040CD" w:rsidR="00E1532A" w:rsidRDefault="00E1532A" w:rsidP="00E1532A">
      <w:pPr>
        <w:rPr>
          <w:rFonts w:ascii="Arial" w:eastAsia="Calibri" w:hAnsi="Arial" w:cs="Arial"/>
          <w:sz w:val="22"/>
        </w:rPr>
      </w:pPr>
      <w:r>
        <w:rPr>
          <w:rFonts w:ascii="Arial" w:eastAsia="Calibri" w:hAnsi="Arial" w:cs="Arial"/>
          <w:sz w:val="22"/>
        </w:rPr>
        <w:t>Señora</w:t>
      </w:r>
    </w:p>
    <w:p w14:paraId="3E56E4CA" w14:textId="6E4014E2" w:rsidR="00E1532A" w:rsidRDefault="0016635D" w:rsidP="00E1532A">
      <w:pPr>
        <w:rPr>
          <w:rFonts w:ascii="Arial" w:eastAsia="Calibri" w:hAnsi="Arial" w:cs="Arial"/>
          <w:b/>
          <w:sz w:val="22"/>
        </w:rPr>
      </w:pPr>
      <w:r>
        <w:rPr>
          <w:rFonts w:ascii="Arial" w:eastAsia="Calibri" w:hAnsi="Arial" w:cs="Arial"/>
          <w:b/>
          <w:sz w:val="22"/>
        </w:rPr>
        <w:t>Lorena Ortiz</w:t>
      </w:r>
    </w:p>
    <w:p w14:paraId="2693F76B" w14:textId="77777777" w:rsidR="00E1532A" w:rsidRDefault="00E1532A" w:rsidP="00E1532A">
      <w:pPr>
        <w:rPr>
          <w:rFonts w:ascii="Arial" w:eastAsia="Calibri" w:hAnsi="Arial" w:cs="Arial"/>
          <w:sz w:val="22"/>
        </w:rPr>
      </w:pPr>
      <w:r>
        <w:rPr>
          <w:rFonts w:ascii="Arial" w:eastAsia="Calibri" w:hAnsi="Arial" w:cs="Arial"/>
          <w:sz w:val="22"/>
        </w:rPr>
        <w:t>Ciudad</w:t>
      </w:r>
    </w:p>
    <w:p w14:paraId="15879C24" w14:textId="15EBB4F6" w:rsidR="00E1532A" w:rsidRDefault="00E1532A" w:rsidP="00E1532A">
      <w:pPr>
        <w:jc w:val="center"/>
        <w:rPr>
          <w:rFonts w:ascii="Arial" w:eastAsia="Calibri" w:hAnsi="Arial" w:cs="Arial"/>
          <w:b/>
          <w:bCs/>
          <w:sz w:val="22"/>
        </w:rPr>
      </w:pPr>
    </w:p>
    <w:p w14:paraId="0E8A05A1" w14:textId="77777777" w:rsidR="00066C9D" w:rsidRDefault="00066C9D" w:rsidP="00E1532A">
      <w:pPr>
        <w:jc w:val="center"/>
        <w:rPr>
          <w:rFonts w:ascii="Arial" w:eastAsia="Calibri" w:hAnsi="Arial" w:cs="Arial"/>
          <w:b/>
          <w:bCs/>
          <w:sz w:val="22"/>
        </w:rPr>
      </w:pPr>
    </w:p>
    <w:p w14:paraId="0E7DC382" w14:textId="5DAEBBFB" w:rsidR="00E1532A" w:rsidRDefault="00E1532A" w:rsidP="00E1532A">
      <w:pPr>
        <w:jc w:val="center"/>
        <w:rPr>
          <w:rFonts w:ascii="Arial" w:eastAsia="Calibri" w:hAnsi="Arial" w:cs="Arial"/>
          <w:b/>
          <w:bCs/>
          <w:sz w:val="22"/>
        </w:rPr>
      </w:pPr>
      <w:r>
        <w:rPr>
          <w:rFonts w:ascii="Arial" w:eastAsia="Calibri" w:hAnsi="Arial" w:cs="Arial"/>
          <w:b/>
          <w:bCs/>
          <w:sz w:val="22"/>
        </w:rPr>
        <w:t>Concepto C</w:t>
      </w:r>
      <w:r w:rsidR="005E44B3">
        <w:rPr>
          <w:rFonts w:ascii="Arial" w:eastAsia="Calibri" w:hAnsi="Arial" w:cs="Arial"/>
          <w:b/>
          <w:bCs/>
          <w:sz w:val="22"/>
        </w:rPr>
        <w:t xml:space="preserve"> </w:t>
      </w:r>
      <w:r>
        <w:rPr>
          <w:rFonts w:ascii="Arial" w:eastAsia="Calibri" w:hAnsi="Arial" w:cs="Arial"/>
          <w:b/>
          <w:bCs/>
          <w:sz w:val="22"/>
        </w:rPr>
        <w:t>‒ 4</w:t>
      </w:r>
      <w:r w:rsidR="00766610">
        <w:rPr>
          <w:rFonts w:ascii="Arial" w:eastAsia="Calibri" w:hAnsi="Arial" w:cs="Arial"/>
          <w:b/>
          <w:bCs/>
          <w:sz w:val="22"/>
        </w:rPr>
        <w:t xml:space="preserve">96 </w:t>
      </w:r>
      <w:r>
        <w:rPr>
          <w:rFonts w:ascii="Arial" w:eastAsia="Calibri" w:hAnsi="Arial" w:cs="Arial"/>
          <w:b/>
          <w:bCs/>
          <w:sz w:val="22"/>
        </w:rPr>
        <w:t>de 2020</w:t>
      </w:r>
    </w:p>
    <w:p w14:paraId="09C20F12" w14:textId="6006B72C" w:rsidR="00E1532A" w:rsidRDefault="00E1532A" w:rsidP="00E1532A">
      <w:pPr>
        <w:jc w:val="center"/>
        <w:rPr>
          <w:rFonts w:ascii="Arial" w:eastAsia="Calibri" w:hAnsi="Arial" w:cs="Arial"/>
          <w:b/>
          <w:bCs/>
          <w:sz w:val="22"/>
        </w:rPr>
      </w:pPr>
    </w:p>
    <w:p w14:paraId="7CADE9F9" w14:textId="77777777" w:rsidR="00066C9D" w:rsidRDefault="00066C9D" w:rsidP="00E1532A">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1532A" w14:paraId="55154B84" w14:textId="77777777" w:rsidTr="00E1532A">
        <w:tc>
          <w:tcPr>
            <w:tcW w:w="2689" w:type="dxa"/>
          </w:tcPr>
          <w:p w14:paraId="74C8EBE5" w14:textId="77777777" w:rsidR="00E1532A" w:rsidRDefault="00E1532A">
            <w:pPr>
              <w:rPr>
                <w:rFonts w:ascii="Arial" w:eastAsia="Calibri" w:hAnsi="Arial" w:cs="Arial"/>
                <w:b/>
                <w:sz w:val="22"/>
              </w:rPr>
            </w:pPr>
          </w:p>
          <w:p w14:paraId="5B0E9F89" w14:textId="77777777" w:rsidR="00E1532A" w:rsidRDefault="00E1532A">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tc>
        <w:tc>
          <w:tcPr>
            <w:tcW w:w="6237" w:type="dxa"/>
            <w:hideMark/>
          </w:tcPr>
          <w:p w14:paraId="5B0B219C" w14:textId="63C8AE8D" w:rsidR="00E1532A" w:rsidRDefault="00E1532A">
            <w:pPr>
              <w:jc w:val="both"/>
              <w:rPr>
                <w:rFonts w:ascii="Arial" w:eastAsia="Calibri" w:hAnsi="Arial" w:cs="Arial"/>
                <w:sz w:val="22"/>
              </w:rPr>
            </w:pPr>
            <w:r>
              <w:rPr>
                <w:rFonts w:ascii="Arial" w:eastAsia="Calibri" w:hAnsi="Arial" w:cs="Arial"/>
                <w:sz w:val="22"/>
              </w:rPr>
              <w:t xml:space="preserve">PRECIOS ARTIFICIALMENTE BAJOS – Noción / PRECIOS ARTIFICIALMENTE BAJOS – Noción – Colombia Compra Eficiente / GUÍA PARA EL MANEJO DE OFERTAS ARTIFICIALMENTE BAJAS EN PROCESOS DE CONTRATACIÓN – Identificación / GUÍA PARA EL MANEJO DE OFERTAS ARTIFICIALMENTE BAJAS EN PROCESOS DE </w:t>
            </w:r>
            <w:r>
              <w:rPr>
                <w:rFonts w:ascii="Arial" w:eastAsia="Calibri" w:hAnsi="Arial" w:cs="Arial"/>
                <w:sz w:val="22"/>
              </w:rPr>
              <w:lastRenderedPageBreak/>
              <w:t>CONTRATACIÓN – Manejo / DOCUMENTOS TIPO – Precios artificialmente bajos</w:t>
            </w:r>
          </w:p>
        </w:tc>
      </w:tr>
      <w:tr w:rsidR="00E1532A" w14:paraId="68864F4C" w14:textId="77777777" w:rsidTr="00E1532A">
        <w:tc>
          <w:tcPr>
            <w:tcW w:w="2689" w:type="dxa"/>
            <w:hideMark/>
          </w:tcPr>
          <w:p w14:paraId="2CFEEBBC" w14:textId="77777777" w:rsidR="00E1532A" w:rsidRDefault="00E1532A">
            <w:pPr>
              <w:rPr>
                <w:rFonts w:ascii="Arial" w:eastAsia="Calibri" w:hAnsi="Arial" w:cs="Arial"/>
                <w:b/>
                <w:sz w:val="22"/>
              </w:rPr>
            </w:pPr>
            <w:r>
              <w:rPr>
                <w:rFonts w:ascii="Arial" w:eastAsia="Calibri" w:hAnsi="Arial" w:cs="Arial"/>
                <w:b/>
                <w:sz w:val="22"/>
              </w:rPr>
              <w:lastRenderedPageBreak/>
              <w:t>Radicación:</w:t>
            </w:r>
            <w:r>
              <w:rPr>
                <w:rFonts w:ascii="Arial" w:eastAsia="Calibri" w:hAnsi="Arial" w:cs="Arial"/>
                <w:sz w:val="22"/>
              </w:rPr>
              <w:t xml:space="preserve">                              </w:t>
            </w:r>
          </w:p>
        </w:tc>
        <w:tc>
          <w:tcPr>
            <w:tcW w:w="6237" w:type="dxa"/>
            <w:hideMark/>
          </w:tcPr>
          <w:p w14:paraId="4AA64A89" w14:textId="400EB65D" w:rsidR="00E1532A" w:rsidRDefault="00E1532A">
            <w:pPr>
              <w:jc w:val="both"/>
              <w:rPr>
                <w:rFonts w:ascii="Arial" w:eastAsia="Calibri" w:hAnsi="Arial" w:cs="Arial"/>
                <w:sz w:val="22"/>
              </w:rPr>
            </w:pPr>
            <w:r>
              <w:rPr>
                <w:rFonts w:ascii="Arial" w:eastAsia="Calibri" w:hAnsi="Arial" w:cs="Arial"/>
                <w:sz w:val="22"/>
              </w:rPr>
              <w:t xml:space="preserve">Respuesta consulta # </w:t>
            </w:r>
            <w:r w:rsidR="00105B0E" w:rsidRPr="00105B0E">
              <w:rPr>
                <w:rFonts w:ascii="Arial" w:eastAsia="Calibri" w:hAnsi="Arial" w:cs="Arial"/>
                <w:sz w:val="22"/>
              </w:rPr>
              <w:t>4202013000006051</w:t>
            </w:r>
          </w:p>
        </w:tc>
      </w:tr>
    </w:tbl>
    <w:p w14:paraId="039CF52C" w14:textId="77777777" w:rsidR="00E1532A" w:rsidRDefault="00E1532A" w:rsidP="00E1532A">
      <w:pPr>
        <w:jc w:val="both"/>
        <w:rPr>
          <w:rFonts w:ascii="Arial" w:eastAsia="Calibri" w:hAnsi="Arial" w:cs="Arial"/>
          <w:b/>
          <w:bCs/>
          <w:sz w:val="20"/>
          <w:szCs w:val="20"/>
        </w:rPr>
      </w:pPr>
    </w:p>
    <w:p w14:paraId="7F77AE7D" w14:textId="77777777" w:rsidR="00963942" w:rsidRDefault="00963942" w:rsidP="00E1532A">
      <w:pPr>
        <w:spacing w:line="276" w:lineRule="auto"/>
        <w:jc w:val="both"/>
        <w:rPr>
          <w:rFonts w:ascii="Arial" w:eastAsia="Calibri" w:hAnsi="Arial" w:cs="Arial"/>
          <w:sz w:val="22"/>
        </w:rPr>
      </w:pPr>
    </w:p>
    <w:p w14:paraId="51B34D47" w14:textId="1D3E70BC" w:rsidR="00E1532A" w:rsidRDefault="00E1532A" w:rsidP="00E1532A">
      <w:pPr>
        <w:spacing w:line="276" w:lineRule="auto"/>
        <w:jc w:val="both"/>
        <w:rPr>
          <w:rFonts w:ascii="Arial" w:eastAsia="Calibri" w:hAnsi="Arial" w:cs="Arial"/>
          <w:sz w:val="22"/>
        </w:rPr>
      </w:pPr>
      <w:r>
        <w:rPr>
          <w:rFonts w:ascii="Arial" w:eastAsia="Calibri" w:hAnsi="Arial" w:cs="Arial"/>
          <w:sz w:val="22"/>
        </w:rPr>
        <w:t xml:space="preserve">Estimada señora </w:t>
      </w:r>
      <w:r w:rsidR="0016635D">
        <w:rPr>
          <w:rFonts w:ascii="Arial" w:eastAsia="Calibri" w:hAnsi="Arial" w:cs="Arial"/>
          <w:sz w:val="22"/>
        </w:rPr>
        <w:t>Ortiz</w:t>
      </w:r>
      <w:r>
        <w:rPr>
          <w:rFonts w:ascii="Arial" w:eastAsia="Calibri" w:hAnsi="Arial" w:cs="Arial"/>
          <w:sz w:val="22"/>
        </w:rPr>
        <w:t>:</w:t>
      </w:r>
    </w:p>
    <w:p w14:paraId="66A8829E" w14:textId="77777777" w:rsidR="00E1532A" w:rsidRDefault="00E1532A" w:rsidP="00E1532A">
      <w:pPr>
        <w:spacing w:line="276" w:lineRule="auto"/>
        <w:jc w:val="both"/>
        <w:rPr>
          <w:rFonts w:ascii="Arial" w:eastAsia="Calibri" w:hAnsi="Arial" w:cs="Arial"/>
          <w:sz w:val="22"/>
        </w:rPr>
      </w:pPr>
    </w:p>
    <w:p w14:paraId="69A7E1D4" w14:textId="113F19A6" w:rsidR="00E1532A" w:rsidRDefault="00E1532A" w:rsidP="00E1532A">
      <w:pPr>
        <w:spacing w:line="276" w:lineRule="auto"/>
        <w:jc w:val="both"/>
        <w:rPr>
          <w:rFonts w:ascii="Arial" w:eastAsia="Calibri" w:hAnsi="Arial" w:cs="Arial"/>
          <w:sz w:val="22"/>
        </w:rPr>
      </w:pPr>
      <w:r>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presentada el </w:t>
      </w:r>
      <w:r w:rsidR="0074616A">
        <w:rPr>
          <w:rFonts w:ascii="Arial" w:eastAsia="Calibri" w:hAnsi="Arial" w:cs="Arial"/>
          <w:sz w:val="22"/>
        </w:rPr>
        <w:t>17</w:t>
      </w:r>
      <w:r>
        <w:rPr>
          <w:rFonts w:ascii="Arial" w:eastAsia="Calibri" w:hAnsi="Arial" w:cs="Arial"/>
          <w:sz w:val="22"/>
        </w:rPr>
        <w:t xml:space="preserve"> de julio del 2020. </w:t>
      </w:r>
    </w:p>
    <w:p w14:paraId="14348DB3" w14:textId="77777777" w:rsidR="00066C9D" w:rsidRDefault="00066C9D" w:rsidP="00E1532A">
      <w:pPr>
        <w:spacing w:line="276" w:lineRule="auto"/>
        <w:jc w:val="both"/>
        <w:rPr>
          <w:rFonts w:ascii="Arial" w:eastAsia="Calibri" w:hAnsi="Arial" w:cs="Arial"/>
          <w:b/>
          <w:sz w:val="22"/>
        </w:rPr>
      </w:pPr>
    </w:p>
    <w:p w14:paraId="635E3D34" w14:textId="77777777" w:rsidR="00E1532A" w:rsidRDefault="00E1532A" w:rsidP="00E1532A">
      <w:pPr>
        <w:pStyle w:val="Prrafodelista"/>
        <w:tabs>
          <w:tab w:val="left" w:pos="0"/>
          <w:tab w:val="left" w:pos="142"/>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315EF1FF" w14:textId="77777777" w:rsidR="00E1532A" w:rsidRDefault="00E1532A" w:rsidP="00E1532A">
      <w:pPr>
        <w:tabs>
          <w:tab w:val="left" w:pos="426"/>
        </w:tabs>
        <w:spacing w:line="276" w:lineRule="auto"/>
        <w:jc w:val="both"/>
        <w:rPr>
          <w:rFonts w:ascii="Arial" w:eastAsia="Calibri" w:hAnsi="Arial" w:cs="Arial"/>
          <w:b/>
          <w:sz w:val="22"/>
        </w:rPr>
      </w:pPr>
    </w:p>
    <w:p w14:paraId="482F2AD0" w14:textId="0FC254FF" w:rsidR="0074616A" w:rsidRDefault="00E1532A" w:rsidP="0074616A">
      <w:pPr>
        <w:tabs>
          <w:tab w:val="left" w:pos="426"/>
        </w:tabs>
        <w:spacing w:line="276" w:lineRule="auto"/>
        <w:jc w:val="both"/>
        <w:rPr>
          <w:rFonts w:ascii="Arial" w:hAnsi="Arial" w:cs="Arial"/>
          <w:sz w:val="22"/>
        </w:rPr>
      </w:pPr>
      <w:bookmarkStart w:id="4" w:name="_Hlk45491920"/>
      <w:r>
        <w:rPr>
          <w:rFonts w:ascii="Arial" w:eastAsia="Calibri" w:hAnsi="Arial" w:cs="Arial"/>
          <w:sz w:val="22"/>
        </w:rPr>
        <w:t>Usted formuló las siguientes preguntas en el contexto de los pliegos tipo: «</w:t>
      </w:r>
      <w:r w:rsidR="0074616A" w:rsidRPr="0074616A">
        <w:rPr>
          <w:rFonts w:ascii="Arial" w:hAnsi="Arial" w:cs="Arial"/>
          <w:sz w:val="22"/>
        </w:rPr>
        <w:t>1. Las entidades estatales que usan Pliego Tipo Versión 2, ¿Pueden establecer en el Pliego Tipo</w:t>
      </w:r>
      <w:r w:rsidR="0074616A">
        <w:rPr>
          <w:rFonts w:ascii="Arial" w:hAnsi="Arial" w:cs="Arial"/>
          <w:sz w:val="22"/>
        </w:rPr>
        <w:t xml:space="preserve"> V</w:t>
      </w:r>
      <w:r w:rsidR="0074616A" w:rsidRPr="0074616A">
        <w:rPr>
          <w:rFonts w:ascii="Arial" w:hAnsi="Arial" w:cs="Arial"/>
          <w:sz w:val="22"/>
        </w:rPr>
        <w:t>ersión 2 un rango descuento para determinar cu</w:t>
      </w:r>
      <w:r w:rsidR="005E44B3">
        <w:rPr>
          <w:rFonts w:ascii="Arial" w:hAnsi="Arial" w:cs="Arial"/>
          <w:sz w:val="22"/>
        </w:rPr>
        <w:t>á</w:t>
      </w:r>
      <w:r w:rsidR="0074616A" w:rsidRPr="0074616A">
        <w:rPr>
          <w:rFonts w:ascii="Arial" w:hAnsi="Arial" w:cs="Arial"/>
          <w:sz w:val="22"/>
        </w:rPr>
        <w:t>ndo una oferta económica es considerada</w:t>
      </w:r>
      <w:r w:rsidR="0074616A">
        <w:rPr>
          <w:rFonts w:ascii="Arial" w:hAnsi="Arial" w:cs="Arial"/>
          <w:sz w:val="22"/>
        </w:rPr>
        <w:t xml:space="preserve"> </w:t>
      </w:r>
      <w:r w:rsidR="0074616A" w:rsidRPr="0074616A">
        <w:rPr>
          <w:rFonts w:ascii="Arial" w:hAnsi="Arial" w:cs="Arial"/>
          <w:sz w:val="22"/>
        </w:rPr>
        <w:t>artificialmente baja?</w:t>
      </w:r>
    </w:p>
    <w:p w14:paraId="5E00CB7D" w14:textId="77777777" w:rsidR="0074616A" w:rsidRPr="0074616A" w:rsidRDefault="0074616A" w:rsidP="0074616A">
      <w:pPr>
        <w:tabs>
          <w:tab w:val="left" w:pos="426"/>
        </w:tabs>
        <w:spacing w:line="276" w:lineRule="auto"/>
        <w:jc w:val="both"/>
        <w:rPr>
          <w:rFonts w:ascii="Arial" w:hAnsi="Arial" w:cs="Arial"/>
          <w:sz w:val="22"/>
        </w:rPr>
      </w:pPr>
    </w:p>
    <w:p w14:paraId="509D1B6B" w14:textId="5AFA034F" w:rsidR="00E1532A" w:rsidRDefault="0074616A" w:rsidP="0074616A">
      <w:pPr>
        <w:tabs>
          <w:tab w:val="left" w:pos="426"/>
        </w:tabs>
        <w:spacing w:line="276" w:lineRule="auto"/>
        <w:jc w:val="both"/>
        <w:rPr>
          <w:rFonts w:ascii="Arial" w:eastAsia="Calibri" w:hAnsi="Arial" w:cs="Arial"/>
          <w:sz w:val="22"/>
        </w:rPr>
      </w:pPr>
      <w:r>
        <w:rPr>
          <w:rFonts w:ascii="Arial" w:eastAsia="Calibri" w:hAnsi="Arial" w:cs="Arial"/>
          <w:sz w:val="22"/>
        </w:rPr>
        <w:t>»</w:t>
      </w:r>
      <w:r w:rsidRPr="0074616A">
        <w:rPr>
          <w:rFonts w:ascii="Arial" w:hAnsi="Arial" w:cs="Arial"/>
          <w:sz w:val="22"/>
        </w:rPr>
        <w:t>2. Las entidades estatales que usan Pliego Tipo versión 2, ¿Tienen la obligación de aplicar la Gu</w:t>
      </w:r>
      <w:r>
        <w:rPr>
          <w:rFonts w:ascii="Arial" w:hAnsi="Arial" w:cs="Arial"/>
          <w:sz w:val="22"/>
        </w:rPr>
        <w:t>í</w:t>
      </w:r>
      <w:r w:rsidRPr="0074616A">
        <w:rPr>
          <w:rFonts w:ascii="Arial" w:hAnsi="Arial" w:cs="Arial"/>
          <w:sz w:val="22"/>
        </w:rPr>
        <w:t>a de</w:t>
      </w:r>
      <w:r>
        <w:rPr>
          <w:rFonts w:ascii="Arial" w:hAnsi="Arial" w:cs="Arial"/>
          <w:sz w:val="22"/>
        </w:rPr>
        <w:t xml:space="preserve"> </w:t>
      </w:r>
      <w:r w:rsidRPr="0074616A">
        <w:rPr>
          <w:rFonts w:ascii="Arial" w:hAnsi="Arial" w:cs="Arial"/>
          <w:sz w:val="22"/>
        </w:rPr>
        <w:t>Colombia Compra Eficiente, de precios artificialmente bajos?</w:t>
      </w:r>
      <w:r w:rsidR="00E1532A">
        <w:rPr>
          <w:rFonts w:ascii="Arial" w:eastAsia="Calibri" w:hAnsi="Arial" w:cs="Arial"/>
          <w:sz w:val="22"/>
        </w:rPr>
        <w:t>»</w:t>
      </w:r>
      <w:r>
        <w:rPr>
          <w:rFonts w:ascii="Arial" w:eastAsia="Calibri" w:hAnsi="Arial" w:cs="Arial"/>
          <w:sz w:val="22"/>
        </w:rPr>
        <w:t>.</w:t>
      </w:r>
      <w:bookmarkEnd w:id="4"/>
    </w:p>
    <w:p w14:paraId="349B93F0" w14:textId="77777777" w:rsidR="00066C9D" w:rsidRDefault="00066C9D" w:rsidP="00E1532A">
      <w:pPr>
        <w:tabs>
          <w:tab w:val="left" w:pos="426"/>
        </w:tabs>
        <w:jc w:val="both"/>
        <w:rPr>
          <w:rFonts w:ascii="Arial" w:eastAsia="Calibri" w:hAnsi="Arial" w:cs="Arial"/>
          <w:sz w:val="22"/>
        </w:rPr>
      </w:pPr>
    </w:p>
    <w:p w14:paraId="2C083E74" w14:textId="77777777" w:rsidR="00E1532A" w:rsidRDefault="00E1532A" w:rsidP="00E1532A">
      <w:pPr>
        <w:pStyle w:val="Prrafodelista"/>
        <w:tabs>
          <w:tab w:val="left" w:pos="0"/>
          <w:tab w:val="left" w:pos="284"/>
        </w:tabs>
        <w:ind w:left="0"/>
        <w:rPr>
          <w:rFonts w:ascii="Arial" w:eastAsia="Calibri" w:hAnsi="Arial" w:cs="Arial"/>
          <w:b/>
          <w:sz w:val="22"/>
        </w:rPr>
      </w:pPr>
      <w:r>
        <w:rPr>
          <w:rFonts w:ascii="Arial" w:eastAsia="Calibri" w:hAnsi="Arial" w:cs="Arial"/>
          <w:b/>
          <w:sz w:val="22"/>
        </w:rPr>
        <w:t>2. Consideraciones</w:t>
      </w:r>
    </w:p>
    <w:p w14:paraId="5350B76A" w14:textId="77777777" w:rsidR="00E1532A" w:rsidRDefault="00E1532A" w:rsidP="00E1532A">
      <w:pPr>
        <w:pStyle w:val="Prrafodelista"/>
        <w:tabs>
          <w:tab w:val="left" w:pos="0"/>
          <w:tab w:val="left" w:pos="284"/>
        </w:tabs>
        <w:ind w:left="0"/>
        <w:rPr>
          <w:rFonts w:ascii="Arial" w:eastAsia="Calibri" w:hAnsi="Arial" w:cs="Arial"/>
          <w:b/>
          <w:sz w:val="22"/>
        </w:rPr>
      </w:pPr>
    </w:p>
    <w:p w14:paraId="5A993E17" w14:textId="41B58435" w:rsidR="00E1532A" w:rsidRDefault="00E1532A" w:rsidP="00E1532A">
      <w:pPr>
        <w:spacing w:after="120" w:line="276" w:lineRule="auto"/>
        <w:jc w:val="both"/>
        <w:rPr>
          <w:rFonts w:ascii="Arial" w:hAnsi="Arial" w:cs="Arial"/>
          <w:sz w:val="22"/>
          <w:lang w:val="es-ES"/>
        </w:rPr>
      </w:pPr>
      <w:r>
        <w:rPr>
          <w:rFonts w:ascii="Arial" w:eastAsia="Calibri" w:hAnsi="Arial" w:cs="Arial"/>
          <w:sz w:val="22"/>
        </w:rPr>
        <w:t>La Agencia Nacional de Contratación Pública ― Colombia Compra Eficiente, en el concepto C-012 del 28 de enero de 2020 –radicado No. 2202013000000496–, así como en los conceptos del 21 y 28 de octubre, 7 de noviembre, 11 y 20 de diciembre de 2019, 7 de enero de 2020 –radicados Nos. 2201913000007853, 2201913000008058, 2201913000008288, 2201913000009110, 2201913000009489, 2202013000000038, C</w:t>
      </w:r>
      <w:r w:rsidR="0024110E">
        <w:rPr>
          <w:rFonts w:ascii="Arial" w:eastAsia="Calibri" w:hAnsi="Arial" w:cs="Arial"/>
          <w:sz w:val="22"/>
        </w:rPr>
        <w:t xml:space="preserve"> </w:t>
      </w:r>
      <w:r>
        <w:rPr>
          <w:rFonts w:ascii="Arial" w:eastAsia="Calibri" w:hAnsi="Arial" w:cs="Arial"/>
          <w:sz w:val="22"/>
        </w:rPr>
        <w:t>-</w:t>
      </w:r>
      <w:r w:rsidR="0024110E">
        <w:rPr>
          <w:rFonts w:ascii="Arial" w:eastAsia="Calibri" w:hAnsi="Arial" w:cs="Arial"/>
          <w:sz w:val="22"/>
        </w:rPr>
        <w:t xml:space="preserve"> </w:t>
      </w:r>
      <w:r>
        <w:rPr>
          <w:rFonts w:ascii="Arial" w:eastAsia="Calibri" w:hAnsi="Arial" w:cs="Arial"/>
          <w:sz w:val="22"/>
        </w:rPr>
        <w:t>163 del 31 de marzo de 2020</w:t>
      </w:r>
      <w:r w:rsidR="0024110E">
        <w:rPr>
          <w:rFonts w:ascii="Arial" w:eastAsia="Calibri" w:hAnsi="Arial" w:cs="Arial"/>
          <w:sz w:val="22"/>
        </w:rPr>
        <w:t>,</w:t>
      </w:r>
      <w:r>
        <w:rPr>
          <w:rFonts w:ascii="Arial" w:eastAsia="Calibri" w:hAnsi="Arial" w:cs="Arial"/>
          <w:sz w:val="22"/>
        </w:rPr>
        <w:t xml:space="preserve"> C</w:t>
      </w:r>
      <w:r w:rsidR="0024110E">
        <w:rPr>
          <w:rFonts w:ascii="Arial" w:eastAsia="Calibri" w:hAnsi="Arial" w:cs="Arial"/>
          <w:sz w:val="22"/>
        </w:rPr>
        <w:t xml:space="preserve"> </w:t>
      </w:r>
      <w:r>
        <w:rPr>
          <w:rFonts w:ascii="Arial" w:eastAsia="Calibri" w:hAnsi="Arial" w:cs="Arial"/>
          <w:sz w:val="22"/>
        </w:rPr>
        <w:t>-</w:t>
      </w:r>
      <w:r w:rsidR="0024110E">
        <w:rPr>
          <w:rFonts w:ascii="Arial" w:eastAsia="Calibri" w:hAnsi="Arial" w:cs="Arial"/>
          <w:sz w:val="22"/>
        </w:rPr>
        <w:t xml:space="preserve"> </w:t>
      </w:r>
      <w:r>
        <w:rPr>
          <w:rFonts w:ascii="Arial" w:eastAsia="Calibri" w:hAnsi="Arial" w:cs="Arial"/>
          <w:sz w:val="22"/>
        </w:rPr>
        <w:t>200 del 14 de abril de 2020</w:t>
      </w:r>
      <w:r w:rsidR="0024110E">
        <w:rPr>
          <w:rFonts w:ascii="Arial" w:eastAsia="Calibri" w:hAnsi="Arial" w:cs="Arial"/>
          <w:sz w:val="22"/>
        </w:rPr>
        <w:t>, C - 299 del 16 de julio de 2020 y C - 473 del 13 de julio de 2020</w:t>
      </w:r>
      <w:r>
        <w:rPr>
          <w:rFonts w:ascii="Arial" w:eastAsia="Calibri" w:hAnsi="Arial" w:cs="Arial"/>
          <w:sz w:val="22"/>
        </w:rPr>
        <w:t xml:space="preserve"> –, analizó la noción y alcance de los «precios artificialmente bajos», y las normas y jurisprudencia sobre la materia. </w:t>
      </w:r>
      <w:r>
        <w:rPr>
          <w:rFonts w:ascii="Arial" w:hAnsi="Arial" w:cs="Arial"/>
          <w:sz w:val="22"/>
          <w:lang w:val="es-ES"/>
        </w:rPr>
        <w:t>La tesis propuesta se expone a continuación.</w:t>
      </w:r>
    </w:p>
    <w:p w14:paraId="43EFD75D" w14:textId="3E3FA559" w:rsidR="00E1532A" w:rsidRDefault="00E1532A" w:rsidP="00E1532A">
      <w:pPr>
        <w:spacing w:line="276" w:lineRule="auto"/>
        <w:ind w:firstLine="708"/>
        <w:jc w:val="both"/>
        <w:rPr>
          <w:rFonts w:ascii="Arial" w:eastAsia="Calibri" w:hAnsi="Arial" w:cs="Arial"/>
          <w:sz w:val="22"/>
        </w:rPr>
      </w:pPr>
      <w:r>
        <w:rPr>
          <w:rFonts w:ascii="Arial" w:eastAsia="Calibri" w:hAnsi="Arial" w:cs="Arial"/>
          <w:sz w:val="22"/>
        </w:rPr>
        <w:t xml:space="preserve">Para resolver su consulta: i) en primer lugar se tendrá en cuenta la regulación sobre «precios artificialmente bajos», </w:t>
      </w:r>
      <w:proofErr w:type="spellStart"/>
      <w:r>
        <w:rPr>
          <w:rFonts w:ascii="Arial" w:eastAsia="Calibri" w:hAnsi="Arial" w:cs="Arial"/>
          <w:sz w:val="22"/>
        </w:rPr>
        <w:t>ii</w:t>
      </w:r>
      <w:proofErr w:type="spellEnd"/>
      <w:r>
        <w:rPr>
          <w:rFonts w:ascii="Arial" w:eastAsia="Calibri" w:hAnsi="Arial" w:cs="Arial"/>
          <w:sz w:val="22"/>
        </w:rPr>
        <w:t xml:space="preserve">) después se explicará este concepto respecto de los documentos tipo y finalmente </w:t>
      </w:r>
      <w:proofErr w:type="spellStart"/>
      <w:r>
        <w:rPr>
          <w:rFonts w:ascii="Arial" w:eastAsia="Calibri" w:hAnsi="Arial" w:cs="Arial"/>
          <w:sz w:val="22"/>
        </w:rPr>
        <w:t>iii</w:t>
      </w:r>
      <w:proofErr w:type="spellEnd"/>
      <w:r>
        <w:rPr>
          <w:rFonts w:ascii="Arial" w:eastAsia="Calibri" w:hAnsi="Arial" w:cs="Arial"/>
          <w:sz w:val="22"/>
        </w:rPr>
        <w:t xml:space="preserve">) se determinará </w:t>
      </w:r>
      <w:r w:rsidR="0024110E">
        <w:rPr>
          <w:rFonts w:ascii="Arial" w:eastAsia="Calibri" w:hAnsi="Arial" w:cs="Arial"/>
          <w:sz w:val="22"/>
        </w:rPr>
        <w:t>si es posible establecer un rango descuento para identificar los</w:t>
      </w:r>
      <w:r>
        <w:rPr>
          <w:rFonts w:ascii="Arial" w:eastAsia="Calibri" w:hAnsi="Arial" w:cs="Arial"/>
          <w:sz w:val="22"/>
        </w:rPr>
        <w:t xml:space="preserve"> «precios artificialmente bajos»</w:t>
      </w:r>
      <w:r w:rsidR="0024110E">
        <w:rPr>
          <w:rFonts w:ascii="Arial" w:eastAsia="Calibri" w:hAnsi="Arial" w:cs="Arial"/>
          <w:sz w:val="22"/>
        </w:rPr>
        <w:t>, y si es obligatoria la Guía de Colombia Compra Eficiente sobre el tema</w:t>
      </w:r>
      <w:r>
        <w:rPr>
          <w:rFonts w:ascii="Arial" w:eastAsia="Calibri" w:hAnsi="Arial" w:cs="Arial"/>
          <w:sz w:val="22"/>
        </w:rPr>
        <w:t xml:space="preserve">. </w:t>
      </w:r>
    </w:p>
    <w:p w14:paraId="5BCFA0CE" w14:textId="77777777" w:rsidR="00066C9D" w:rsidRDefault="00066C9D" w:rsidP="00E1532A">
      <w:pPr>
        <w:spacing w:line="276" w:lineRule="auto"/>
        <w:jc w:val="both"/>
        <w:rPr>
          <w:rFonts w:ascii="Arial" w:hAnsi="Arial" w:cs="Arial"/>
          <w:sz w:val="22"/>
          <w:lang w:val="es-ES"/>
        </w:rPr>
      </w:pPr>
    </w:p>
    <w:p w14:paraId="41980A96" w14:textId="77777777" w:rsidR="00E1532A" w:rsidRDefault="00E1532A" w:rsidP="00E1532A">
      <w:pPr>
        <w:spacing w:line="276" w:lineRule="auto"/>
        <w:jc w:val="both"/>
        <w:rPr>
          <w:rFonts w:ascii="Arial" w:eastAsia="Calibri" w:hAnsi="Arial" w:cs="Arial"/>
          <w:b/>
          <w:sz w:val="22"/>
        </w:rPr>
      </w:pPr>
      <w:r>
        <w:rPr>
          <w:rFonts w:ascii="Arial" w:eastAsia="Calibri" w:hAnsi="Arial" w:cs="Arial"/>
          <w:b/>
          <w:sz w:val="22"/>
        </w:rPr>
        <w:t>2.1 Regulación de los «precios artificialmente bajos» en la contratación pública: aproximación al concepto</w:t>
      </w:r>
    </w:p>
    <w:p w14:paraId="00DB0492" w14:textId="77777777" w:rsidR="00E1532A" w:rsidRDefault="00E1532A" w:rsidP="00E1532A">
      <w:pPr>
        <w:spacing w:line="276" w:lineRule="auto"/>
        <w:jc w:val="both"/>
        <w:rPr>
          <w:rFonts w:ascii="Arial" w:eastAsia="Calibri" w:hAnsi="Arial" w:cs="Arial"/>
          <w:b/>
          <w:sz w:val="22"/>
        </w:rPr>
      </w:pPr>
    </w:p>
    <w:p w14:paraId="6D4B13FA" w14:textId="77777777" w:rsidR="00E1532A" w:rsidRDefault="00E1532A" w:rsidP="00E1532A">
      <w:pPr>
        <w:spacing w:line="276" w:lineRule="auto"/>
        <w:jc w:val="both"/>
        <w:rPr>
          <w:rFonts w:ascii="Arial" w:hAnsi="Arial" w:cs="Arial"/>
          <w:sz w:val="22"/>
        </w:rPr>
      </w:pPr>
      <w:r>
        <w:rPr>
          <w:rFonts w:ascii="Arial" w:hAnsi="Arial" w:cs="Arial"/>
          <w:sz w:val="22"/>
        </w:rPr>
        <w:t xml:space="preserve">Es importante definir el concepto de </w:t>
      </w:r>
      <w:r>
        <w:rPr>
          <w:rFonts w:ascii="Arial" w:eastAsia="Calibri" w:hAnsi="Arial" w:cs="Arial"/>
          <w:sz w:val="22"/>
        </w:rPr>
        <w:t xml:space="preserve">«precio artificialmente bajo», por lo cual </w:t>
      </w:r>
      <w:r>
        <w:rPr>
          <w:rFonts w:ascii="Arial" w:hAnsi="Arial" w:cs="Arial"/>
          <w:sz w:val="22"/>
        </w:rPr>
        <w:t>la jurisprudencia de la Sección Tercera del Consejo de Estado señala que es aquel que, por un lado, resulta artificioso, disimulado o falso y, por el otro, no tiene sustento o fundamento en relación con su estructuración dentro del tráfico comercial:</w:t>
      </w:r>
    </w:p>
    <w:p w14:paraId="744A4DD6" w14:textId="77777777" w:rsidR="00E1532A" w:rsidRDefault="00E1532A" w:rsidP="00E1532A">
      <w:pPr>
        <w:spacing w:line="276" w:lineRule="auto"/>
        <w:jc w:val="both"/>
        <w:rPr>
          <w:rFonts w:ascii="Arial" w:hAnsi="Arial" w:cs="Arial"/>
          <w:sz w:val="21"/>
          <w:szCs w:val="21"/>
        </w:rPr>
      </w:pPr>
      <w:r>
        <w:rPr>
          <w:rFonts w:ascii="Arial" w:hAnsi="Arial" w:cs="Arial"/>
          <w:sz w:val="22"/>
        </w:rPr>
        <w:tab/>
      </w:r>
    </w:p>
    <w:p w14:paraId="61990566" w14:textId="77777777" w:rsidR="00E1532A" w:rsidRDefault="00E1532A" w:rsidP="00E1532A">
      <w:pPr>
        <w:ind w:left="708" w:right="709"/>
        <w:jc w:val="both"/>
        <w:rPr>
          <w:rFonts w:ascii="Arial" w:hAnsi="Arial" w:cs="Arial"/>
          <w:sz w:val="21"/>
          <w:szCs w:val="21"/>
        </w:rPr>
      </w:pPr>
      <w:r>
        <w:rPr>
          <w:rFonts w:ascii="Arial" w:hAnsi="Arial" w:cs="Arial"/>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Pr>
          <w:rStyle w:val="Refdenotaalpie"/>
          <w:rFonts w:ascii="Arial" w:hAnsi="Arial" w:cs="Arial"/>
          <w:sz w:val="21"/>
          <w:szCs w:val="21"/>
        </w:rPr>
        <w:footnoteReference w:id="1"/>
      </w:r>
      <w:r>
        <w:rPr>
          <w:rFonts w:ascii="Arial" w:hAnsi="Arial" w:cs="Arial"/>
          <w:sz w:val="21"/>
          <w:szCs w:val="21"/>
        </w:rPr>
        <w:t>.</w:t>
      </w:r>
    </w:p>
    <w:p w14:paraId="4671013B" w14:textId="77777777" w:rsidR="00E1532A" w:rsidRDefault="00E1532A" w:rsidP="00E1532A">
      <w:pPr>
        <w:ind w:left="708" w:right="709"/>
        <w:jc w:val="both"/>
        <w:rPr>
          <w:rFonts w:ascii="Arial" w:hAnsi="Arial" w:cs="Arial"/>
          <w:sz w:val="21"/>
          <w:szCs w:val="21"/>
        </w:rPr>
      </w:pPr>
    </w:p>
    <w:p w14:paraId="784912D7"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A partir de esta definición, se expone el marco normativo que existe sobre el tema, cuyo origen se encuentra en la Ley 80 de 1993, que indica como 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Pr>
          <w:rFonts w:ascii="Arial" w:hAnsi="Arial" w:cs="Arial"/>
          <w:sz w:val="22"/>
          <w:vertAlign w:val="superscript"/>
        </w:rPr>
        <w:footnoteReference w:id="2"/>
      </w:r>
      <w:r>
        <w:rPr>
          <w:rFonts w:ascii="Arial" w:hAnsi="Arial" w:cs="Arial"/>
          <w:sz w:val="22"/>
        </w:rPr>
        <w:t>.</w:t>
      </w:r>
    </w:p>
    <w:p w14:paraId="2664BD37"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Por ende, para que la entidad confirme que una oferta ofrece precios inferiores a otras, de forma artificiosa y 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w:t>
      </w:r>
    </w:p>
    <w:p w14:paraId="01BBAB3F" w14:textId="77777777" w:rsidR="00E1532A" w:rsidRDefault="00E1532A" w:rsidP="00E1532A">
      <w:pPr>
        <w:spacing w:after="120" w:line="276" w:lineRule="auto"/>
        <w:ind w:firstLine="709"/>
        <w:jc w:val="both"/>
        <w:rPr>
          <w:rFonts w:ascii="Arial" w:eastAsia="Calibri" w:hAnsi="Arial" w:cs="Arial"/>
          <w:sz w:val="22"/>
        </w:rPr>
      </w:pPr>
      <w:r>
        <w:rPr>
          <w:rFonts w:ascii="Arial" w:hAnsi="Arial" w:cs="Arial"/>
          <w:sz w:val="22"/>
        </w:rPr>
        <w:t xml:space="preserve">En concordancia con lo anterior, el Decreto 1082 de 2015 desarrolla el deber que tienen las entidades de analizar el mercado para conocer el valor del bien, obra o servicio que requieren para satisfacer su necesidad, lo cual les permitirá identificar si el precio que ofrece el proveedor no corresponde con la estructura de costos y gastos de todos aquellos </w:t>
      </w:r>
      <w:r>
        <w:rPr>
          <w:rFonts w:ascii="Arial" w:eastAsia="Calibri" w:hAnsi="Arial" w:cs="Arial"/>
          <w:sz w:val="22"/>
        </w:rPr>
        <w:lastRenderedPageBreak/>
        <w:t>que fabrican, comercializan y distribuyen el mismo producto en condiciones normales de operación</w:t>
      </w:r>
      <w:r>
        <w:rPr>
          <w:rStyle w:val="Refdenotaalpie"/>
          <w:rFonts w:ascii="Arial" w:eastAsia="Calibri" w:hAnsi="Arial" w:cs="Arial"/>
          <w:sz w:val="22"/>
        </w:rPr>
        <w:footnoteReference w:id="3"/>
      </w:r>
      <w:r>
        <w:rPr>
          <w:rFonts w:ascii="Arial" w:eastAsia="Calibri" w:hAnsi="Arial" w:cs="Arial"/>
          <w:sz w:val="22"/>
        </w:rPr>
        <w:t>.</w:t>
      </w:r>
    </w:p>
    <w:p w14:paraId="17A52F36"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 xml:space="preserve">Adicionalmente, para continuar con la presentación del marco normativo del tema, el artículo 2.2.1.1.2.2.4. del Decreto 1082 de 2015 establece lo que la entidad debe hacer cuando el precio de una oferta parece artificialmente bajo: i) solicitar explicación al oferente, </w:t>
      </w:r>
      <w:proofErr w:type="spellStart"/>
      <w:r>
        <w:rPr>
          <w:rFonts w:ascii="Arial" w:eastAsia="Calibri" w:hAnsi="Arial" w:cs="Arial"/>
          <w:sz w:val="22"/>
        </w:rPr>
        <w:t>ii</w:t>
      </w:r>
      <w:proofErr w:type="spellEnd"/>
      <w:r>
        <w:rPr>
          <w:rFonts w:ascii="Arial" w:eastAsia="Calibri" w:hAnsi="Arial" w:cs="Arial"/>
          <w:sz w:val="22"/>
        </w:rPr>
        <w:t xml:space="preserve">) analizar las explicaciones del oferente, </w:t>
      </w:r>
      <w:proofErr w:type="spellStart"/>
      <w:r>
        <w:rPr>
          <w:rFonts w:ascii="Arial" w:eastAsia="Calibri" w:hAnsi="Arial" w:cs="Arial"/>
          <w:sz w:val="22"/>
        </w:rPr>
        <w:t>iii</w:t>
      </w:r>
      <w:proofErr w:type="spellEnd"/>
      <w:r>
        <w:rPr>
          <w:rFonts w:ascii="Arial" w:eastAsia="Calibri" w:hAnsi="Arial" w:cs="Arial"/>
          <w:sz w:val="22"/>
        </w:rPr>
        <w:t xml:space="preserve">) el responsable de la evaluación de las ofertas debe recomendar rechazar o continuar la evaluación de la oferta, y </w:t>
      </w:r>
      <w:proofErr w:type="spellStart"/>
      <w:r>
        <w:rPr>
          <w:rFonts w:ascii="Arial" w:eastAsia="Calibri" w:hAnsi="Arial" w:cs="Arial"/>
          <w:sz w:val="22"/>
        </w:rPr>
        <w:t>iv</w:t>
      </w:r>
      <w:proofErr w:type="spellEnd"/>
      <w:r>
        <w:rPr>
          <w:rFonts w:ascii="Arial" w:eastAsia="Calibri" w:hAnsi="Arial" w:cs="Arial"/>
          <w:sz w:val="22"/>
        </w:rPr>
        <w:t>) para la subasta inversa, lo anterior se debe hacer al finalizar el evento</w:t>
      </w:r>
      <w:r>
        <w:rPr>
          <w:rStyle w:val="Refdenotaalpie"/>
          <w:rFonts w:ascii="Arial" w:eastAsia="Calibri" w:hAnsi="Arial" w:cs="Arial"/>
          <w:sz w:val="22"/>
        </w:rPr>
        <w:footnoteReference w:id="4"/>
      </w:r>
      <w:r>
        <w:rPr>
          <w:rFonts w:ascii="Arial" w:eastAsia="Calibri" w:hAnsi="Arial" w:cs="Arial"/>
          <w:sz w:val="22"/>
        </w:rPr>
        <w:t>.</w:t>
      </w:r>
    </w:p>
    <w:p w14:paraId="3710DB40"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El análisis de los precios de una oferta se hace en la fase de evaluación del procedimiento, que es la oportunidad para verificar, a través del comité evaluador</w:t>
      </w:r>
      <w:r>
        <w:rPr>
          <w:vertAlign w:val="superscript"/>
        </w:rPr>
        <w:footnoteReference w:id="5"/>
      </w:r>
      <w:r>
        <w:rPr>
          <w:rFonts w:ascii="Arial" w:eastAsia="Calibri" w:hAnsi="Arial" w:cs="Arial"/>
          <w:sz w:val="22"/>
        </w:rPr>
        <w:t xml:space="preserve">, las reglas diseñadas en la estructuración del procedimiento y plasmadas en los pliegos de </w:t>
      </w:r>
      <w:r>
        <w:rPr>
          <w:rFonts w:ascii="Arial" w:eastAsia="Calibri" w:hAnsi="Arial" w:cs="Arial"/>
          <w:sz w:val="22"/>
        </w:rPr>
        <w:lastRenderedPageBreak/>
        <w:t xml:space="preserve">condiciones, con el fin de comprobar si las cumplen o no, calificar a los oferentes o rechazarlos para establecer un orden de elegibilidad. </w:t>
      </w:r>
    </w:p>
    <w:p w14:paraId="1CB7EC4F"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En ese sentido, en la evaluación la entidad debe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del Decreto 1082 de 2015.</w:t>
      </w:r>
    </w:p>
    <w:p w14:paraId="56F1662B" w14:textId="77777777" w:rsidR="00E1532A" w:rsidRDefault="00E1532A" w:rsidP="00E1532A">
      <w:pPr>
        <w:spacing w:line="276" w:lineRule="auto"/>
        <w:ind w:firstLine="708"/>
        <w:jc w:val="both"/>
        <w:rPr>
          <w:rFonts w:ascii="Arial" w:eastAsia="Calibri" w:hAnsi="Arial" w:cs="Arial"/>
          <w:sz w:val="22"/>
        </w:rPr>
      </w:pPr>
      <w:r>
        <w:rPr>
          <w:rFonts w:ascii="Arial" w:eastAsia="Calibri" w:hAnsi="Arial" w:cs="Arial"/>
          <w:sz w:val="22"/>
        </w:rPr>
        <w:t>Finalmente, concluido ese análisis, es posible que a partir de las explicaciones ofrecidas por el proponente se determine que el valor responde a circunstancias objetivas que le permiten cumplir el contrato, sin que con ello termine la evaluación, porque el Decreto 1082 de 2015 señala que la entidad puede continuar el análisis en esta fase de evaluación.</w:t>
      </w:r>
    </w:p>
    <w:p w14:paraId="05E966CD" w14:textId="4758E5A3" w:rsidR="00E1532A" w:rsidRDefault="00E1532A" w:rsidP="00E1532A">
      <w:pPr>
        <w:spacing w:line="276" w:lineRule="auto"/>
        <w:jc w:val="both"/>
        <w:rPr>
          <w:rFonts w:ascii="Arial" w:eastAsia="Calibri" w:hAnsi="Arial" w:cs="Arial"/>
          <w:b/>
          <w:bCs/>
          <w:sz w:val="22"/>
        </w:rPr>
      </w:pPr>
    </w:p>
    <w:p w14:paraId="386E8026" w14:textId="77777777" w:rsidR="00066C9D" w:rsidRDefault="00066C9D" w:rsidP="00E1532A">
      <w:pPr>
        <w:spacing w:line="276" w:lineRule="auto"/>
        <w:jc w:val="both"/>
        <w:rPr>
          <w:rFonts w:ascii="Arial" w:eastAsia="Calibri" w:hAnsi="Arial" w:cs="Arial"/>
          <w:b/>
          <w:bCs/>
          <w:sz w:val="22"/>
        </w:rPr>
      </w:pPr>
    </w:p>
    <w:p w14:paraId="66197E84" w14:textId="008732A6" w:rsidR="00E1532A" w:rsidRDefault="00E1532A" w:rsidP="00E1532A">
      <w:pPr>
        <w:spacing w:line="276" w:lineRule="auto"/>
        <w:jc w:val="both"/>
        <w:rPr>
          <w:rFonts w:ascii="Arial" w:eastAsia="Calibri" w:hAnsi="Arial" w:cs="Arial"/>
          <w:b/>
          <w:bCs/>
          <w:sz w:val="22"/>
        </w:rPr>
      </w:pPr>
      <w:r>
        <w:rPr>
          <w:rFonts w:ascii="Arial" w:eastAsia="Calibri" w:hAnsi="Arial" w:cs="Arial"/>
          <w:b/>
          <w:bCs/>
          <w:sz w:val="22"/>
        </w:rPr>
        <w:t>2.2 Recomendaciones del ente rector de la contratación pública</w:t>
      </w:r>
      <w:r w:rsidR="005E44B3">
        <w:rPr>
          <w:rFonts w:ascii="Arial" w:eastAsia="Calibri" w:hAnsi="Arial" w:cs="Arial"/>
          <w:b/>
          <w:bCs/>
          <w:sz w:val="22"/>
        </w:rPr>
        <w:t xml:space="preserve">  ̶  </w:t>
      </w:r>
      <w:r>
        <w:rPr>
          <w:rFonts w:ascii="Arial" w:eastAsia="Calibri" w:hAnsi="Arial" w:cs="Arial"/>
          <w:b/>
          <w:bCs/>
          <w:sz w:val="22"/>
        </w:rPr>
        <w:t xml:space="preserve">Colombia Compra Eficiente respecto del manejo de ofertas que pueden tener </w:t>
      </w:r>
      <w:r>
        <w:rPr>
          <w:rFonts w:ascii="Arial" w:eastAsia="Calibri" w:hAnsi="Arial" w:cs="Arial"/>
          <w:b/>
          <w:sz w:val="22"/>
        </w:rPr>
        <w:t>«precios artificialmente bajos»</w:t>
      </w:r>
    </w:p>
    <w:p w14:paraId="7B17890F" w14:textId="77777777" w:rsidR="00E1532A" w:rsidRDefault="00E1532A" w:rsidP="00E1532A">
      <w:pPr>
        <w:spacing w:line="276" w:lineRule="auto"/>
        <w:ind w:firstLine="709"/>
        <w:jc w:val="both"/>
        <w:rPr>
          <w:rFonts w:ascii="Arial" w:hAnsi="Arial" w:cs="Arial"/>
          <w:sz w:val="22"/>
        </w:rPr>
      </w:pPr>
    </w:p>
    <w:p w14:paraId="50F1EEFF" w14:textId="77777777" w:rsidR="00E1532A" w:rsidRDefault="00E1532A" w:rsidP="00E1532A">
      <w:pPr>
        <w:spacing w:after="120" w:line="276" w:lineRule="auto"/>
        <w:jc w:val="both"/>
        <w:rPr>
          <w:rFonts w:ascii="Arial" w:eastAsia="Calibri" w:hAnsi="Arial" w:cs="Arial"/>
          <w:sz w:val="22"/>
        </w:rPr>
      </w:pPr>
      <w:r>
        <w:rPr>
          <w:rFonts w:ascii="Arial" w:hAnsi="Arial" w:cs="Arial"/>
          <w:sz w:val="22"/>
        </w:rPr>
        <w:t>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Esta Guía brinda recomendaciones a los participantes de la contratación pública, en cumplimiento d</w:t>
      </w:r>
      <w:r>
        <w:rPr>
          <w:rFonts w:ascii="Arial" w:eastAsia="Calibri" w:hAnsi="Arial" w:cs="Arial"/>
          <w:sz w:val="22"/>
        </w:rPr>
        <w:t>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Pr>
          <w:rStyle w:val="Refdenotaalpie"/>
          <w:rFonts w:ascii="Arial" w:eastAsia="Calibri" w:hAnsi="Arial" w:cs="Arial"/>
          <w:sz w:val="22"/>
        </w:rPr>
        <w:footnoteReference w:id="6"/>
      </w:r>
      <w:r>
        <w:rPr>
          <w:rFonts w:ascii="Arial" w:eastAsia="Calibri" w:hAnsi="Arial" w:cs="Arial"/>
          <w:sz w:val="22"/>
        </w:rPr>
        <w:t xml:space="preserve">. </w:t>
      </w:r>
    </w:p>
    <w:p w14:paraId="6C6A91DD" w14:textId="77777777" w:rsidR="00E1532A" w:rsidRDefault="00E1532A" w:rsidP="00E1532A">
      <w:pPr>
        <w:spacing w:after="120" w:line="276" w:lineRule="auto"/>
        <w:ind w:firstLine="708"/>
        <w:jc w:val="both"/>
        <w:rPr>
          <w:rFonts w:ascii="Arial" w:eastAsia="Calibri" w:hAnsi="Arial" w:cs="Arial"/>
          <w:sz w:val="22"/>
        </w:rPr>
      </w:pPr>
      <w:r>
        <w:rPr>
          <w:rFonts w:ascii="Arial" w:eastAsia="Calibri" w:hAnsi="Arial" w:cs="Arial"/>
          <w:sz w:val="22"/>
        </w:rPr>
        <w:lastRenderedPageBreak/>
        <w:t xml:space="preserve">Entre las funciones asignadas se contempla el desarrollo y publicación de instrumentos y herramientas que ayuden a los </w:t>
      </w:r>
      <w:r>
        <w:rPr>
          <w:rFonts w:ascii="Arial" w:hAnsi="Arial" w:cs="Arial"/>
          <w:sz w:val="22"/>
        </w:rPr>
        <w:t>participantes de la contratación pública</w:t>
      </w:r>
      <w:r>
        <w:rPr>
          <w:rFonts w:ascii="Arial" w:eastAsia="Calibri" w:hAnsi="Arial" w:cs="Arial"/>
          <w:sz w:val="22"/>
        </w:rPr>
        <w:t xml:space="preserve">,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4F6AB456"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w:t>
      </w:r>
      <w:r>
        <w:rPr>
          <w:rStyle w:val="Refdenotaalpie"/>
          <w:rFonts w:ascii="Arial" w:hAnsi="Arial" w:cs="Arial"/>
          <w:sz w:val="22"/>
        </w:rPr>
        <w:footnoteReference w:id="7"/>
      </w:r>
      <w:r>
        <w:rPr>
          <w:rFonts w:ascii="Arial" w:hAnsi="Arial" w:cs="Arial"/>
          <w:sz w:val="22"/>
        </w:rPr>
        <w:t xml:space="preserve">.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4B951431" w14:textId="5254D959" w:rsidR="00E1532A" w:rsidRDefault="00E1532A" w:rsidP="00E1532A">
      <w:pPr>
        <w:spacing w:line="276" w:lineRule="auto"/>
        <w:ind w:firstLine="709"/>
        <w:jc w:val="both"/>
        <w:rPr>
          <w:rFonts w:ascii="Arial" w:hAnsi="Arial" w:cs="Arial"/>
          <w:sz w:val="22"/>
        </w:rPr>
      </w:pPr>
      <w:r>
        <w:rPr>
          <w:rFonts w:ascii="Arial" w:hAnsi="Arial" w:cs="Arial"/>
          <w:sz w:val="22"/>
        </w:rPr>
        <w:t xml:space="preserve">A continuación, es necesario diferenciar dos procedimientos de la Guía: a) la identificación de ofertas que pueden ofrecer «precios artificialmente bajos» y b) el manejo de las ofertas con posibles «precios artificialmente bajos», para definir </w:t>
      </w:r>
      <w:r w:rsidR="000A639A">
        <w:rPr>
          <w:rFonts w:ascii="Arial" w:hAnsi="Arial" w:cs="Arial"/>
          <w:sz w:val="22"/>
        </w:rPr>
        <w:t>la posibilidad de establecer un rango descuento en el procedimiento de identificación</w:t>
      </w:r>
      <w:r>
        <w:rPr>
          <w:rFonts w:ascii="Arial" w:hAnsi="Arial" w:cs="Arial"/>
          <w:sz w:val="22"/>
        </w:rPr>
        <w:t>, de acuerdo con su consulta.</w:t>
      </w:r>
    </w:p>
    <w:p w14:paraId="31348A8C" w14:textId="77777777" w:rsidR="00E1532A" w:rsidRDefault="00E1532A" w:rsidP="00E1532A">
      <w:pPr>
        <w:spacing w:line="276" w:lineRule="auto"/>
        <w:jc w:val="both"/>
        <w:rPr>
          <w:rFonts w:ascii="Arial" w:hAnsi="Arial" w:cs="Arial"/>
          <w:sz w:val="22"/>
        </w:rPr>
      </w:pPr>
    </w:p>
    <w:p w14:paraId="47B3E22B" w14:textId="77777777" w:rsidR="00E1532A" w:rsidRDefault="00E1532A" w:rsidP="00E1532A">
      <w:pPr>
        <w:spacing w:line="276" w:lineRule="auto"/>
        <w:jc w:val="both"/>
        <w:rPr>
          <w:rFonts w:ascii="Arial" w:hAnsi="Arial" w:cs="Arial"/>
          <w:b/>
          <w:bCs/>
          <w:sz w:val="22"/>
        </w:rPr>
      </w:pPr>
      <w:r>
        <w:rPr>
          <w:rFonts w:ascii="Arial" w:hAnsi="Arial" w:cs="Arial"/>
          <w:b/>
          <w:bCs/>
          <w:sz w:val="22"/>
        </w:rPr>
        <w:t>a) Identificación de ofertas que pueden ofrecer «precios artificialmente bajos»</w:t>
      </w:r>
    </w:p>
    <w:p w14:paraId="5AF86622" w14:textId="77777777" w:rsidR="00E1532A" w:rsidRDefault="00E1532A" w:rsidP="00E1532A">
      <w:pPr>
        <w:spacing w:line="276" w:lineRule="auto"/>
        <w:jc w:val="both"/>
        <w:rPr>
          <w:rFonts w:ascii="Arial" w:hAnsi="Arial" w:cs="Arial"/>
          <w:b/>
          <w:bCs/>
          <w:sz w:val="22"/>
        </w:rPr>
      </w:pPr>
    </w:p>
    <w:p w14:paraId="06731061" w14:textId="77777777" w:rsidR="00E1532A" w:rsidRDefault="00E1532A" w:rsidP="00E1532A">
      <w:pPr>
        <w:spacing w:after="120" w:line="276" w:lineRule="auto"/>
        <w:jc w:val="both"/>
        <w:rPr>
          <w:rFonts w:ascii="Arial" w:hAnsi="Arial" w:cs="Arial"/>
          <w:sz w:val="22"/>
        </w:rPr>
      </w:pPr>
      <w:r>
        <w:rPr>
          <w:rFonts w:ascii="Arial" w:hAnsi="Arial" w:cs="Arial"/>
          <w:sz w:val="22"/>
        </w:rPr>
        <w:t>En la introducción de la Guía</w:t>
      </w:r>
      <w:r>
        <w:rPr>
          <w:rStyle w:val="Refdenotaalpie"/>
          <w:rFonts w:ascii="Arial" w:hAnsi="Arial" w:cs="Arial"/>
          <w:sz w:val="22"/>
        </w:rPr>
        <w:footnoteReference w:id="8"/>
      </w:r>
      <w:r>
        <w:rPr>
          <w:rFonts w:ascii="Arial" w:hAnsi="Arial" w:cs="Arial"/>
          <w:sz w:val="22"/>
        </w:rPr>
        <w:t xml:space="preserve"> se indica que su propósito es identificar las características de este tipo de ofertas, y después se señalan las consecuencias para la ejecución del contrato, cuando la oferta tiene «precios artificialmente bajos», como sobrecostos y distorsiones del mercado. Sobre las causas, se indica que puede ser el desconocimiento o que se busca afectar la competencia y la participación de otros proponentes. Con lo anterior, se observa que la Guía se dirige a las ofertas en general, cuyo análisis permitirá </w:t>
      </w:r>
      <w:r>
        <w:rPr>
          <w:rFonts w:ascii="Arial" w:hAnsi="Arial" w:cs="Arial"/>
          <w:sz w:val="22"/>
        </w:rPr>
        <w:lastRenderedPageBreak/>
        <w:t xml:space="preserve">identificar las que tengan precios que parecen artificialmente bajos, es decir que se debe incluir en la identificación a todas las ofertas del procedimiento y no a algunas en particular, ya que sin ese análisis general no se pueden separar las que ofrecen «precios artificialmente bajos» de las que no, más aun cuando la libre competencia en el procedimiento depende de todas las ofertas, y su afectación tiene incidencia en las mismas que pueden resultar perdedoras de forma injustificada; pero esta conclusión preliminar debe ser comprobada con los elementos que continúa señalando la Guía.  </w:t>
      </w:r>
    </w:p>
    <w:p w14:paraId="07480D8B"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 xml:space="preserve">Para identificar las ofertas, la entidad debe tener como insumos: i) el promedio del valor de las ofertas; </w:t>
      </w:r>
      <w:proofErr w:type="spellStart"/>
      <w:r>
        <w:rPr>
          <w:rFonts w:ascii="Arial" w:hAnsi="Arial" w:cs="Arial"/>
          <w:sz w:val="22"/>
        </w:rPr>
        <w:t>ii</w:t>
      </w:r>
      <w:proofErr w:type="spellEnd"/>
      <w:r>
        <w:rPr>
          <w:rFonts w:ascii="Arial" w:hAnsi="Arial" w:cs="Arial"/>
          <w:sz w:val="22"/>
        </w:rPr>
        <w:t>) la mediana del valor las ofertas</w:t>
      </w:r>
      <w:r>
        <w:rPr>
          <w:rStyle w:val="Refdenotaalpie"/>
          <w:rFonts w:ascii="Arial" w:hAnsi="Arial" w:cs="Arial"/>
          <w:sz w:val="22"/>
        </w:rPr>
        <w:footnoteReference w:id="9"/>
      </w:r>
      <w:r>
        <w:rPr>
          <w:rFonts w:ascii="Arial" w:hAnsi="Arial" w:cs="Arial"/>
          <w:sz w:val="22"/>
        </w:rPr>
        <w:t xml:space="preserve">; </w:t>
      </w:r>
      <w:proofErr w:type="spellStart"/>
      <w:r>
        <w:rPr>
          <w:rFonts w:ascii="Arial" w:hAnsi="Arial" w:cs="Arial"/>
          <w:sz w:val="22"/>
        </w:rPr>
        <w:t>iii</w:t>
      </w:r>
      <w:proofErr w:type="spellEnd"/>
      <w:r>
        <w:rPr>
          <w:rFonts w:ascii="Arial" w:hAnsi="Arial" w:cs="Arial"/>
          <w:sz w:val="22"/>
        </w:rPr>
        <w:t xml:space="preserve">) la desviación estándar del valor de las ofertas; </w:t>
      </w:r>
      <w:proofErr w:type="spellStart"/>
      <w:r>
        <w:rPr>
          <w:rFonts w:ascii="Arial" w:hAnsi="Arial" w:cs="Arial"/>
          <w:sz w:val="22"/>
        </w:rPr>
        <w:t>iv</w:t>
      </w:r>
      <w:proofErr w:type="spellEnd"/>
      <w:r>
        <w:rPr>
          <w:rFonts w:ascii="Arial" w:hAnsi="Arial" w:cs="Arial"/>
          <w:sz w:val="22"/>
        </w:rPr>
        <w:t xml:space="preserve">) la diferencia entre el costo estimado del contrato y el promedio o mediana del valor de las ofertas; v) la diferencia entre el valor de la oferta que puede ser artificialmente baja y el promedio del valor de las ofertas; vi) la diferencia entre el valor de la oferta que puede ser artificialmente baja y el costo estimado del contrato y </w:t>
      </w:r>
      <w:proofErr w:type="spellStart"/>
      <w:r>
        <w:rPr>
          <w:rFonts w:ascii="Arial" w:hAnsi="Arial" w:cs="Arial"/>
          <w:sz w:val="22"/>
        </w:rPr>
        <w:t>vii</w:t>
      </w:r>
      <w:proofErr w:type="spellEnd"/>
      <w:r>
        <w:rPr>
          <w:rFonts w:ascii="Arial" w:hAnsi="Arial" w:cs="Arial"/>
          <w:sz w:val="22"/>
        </w:rPr>
        <w:t xml:space="preserve">) la información histórica de ofertas y contratos del objeto del proceso de contratación. </w:t>
      </w:r>
    </w:p>
    <w:p w14:paraId="723C38BA"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 xml:space="preserve">Con esta información, la Guía propone dos (2) «herramientas» y una (1) «metodología», y su aplicación depende de la cantidad de ofertas que se presentaron al procedimiento. Para la primera herramienta, la entidad puede acudir a la </w:t>
      </w:r>
      <w:r>
        <w:rPr>
          <w:rFonts w:ascii="Arial" w:hAnsi="Arial" w:cs="Arial"/>
          <w:i/>
          <w:iCs/>
          <w:sz w:val="22"/>
        </w:rPr>
        <w:t>comparación absoluta,</w:t>
      </w:r>
      <w:r>
        <w:rPr>
          <w:rFonts w:ascii="Arial" w:hAnsi="Arial" w:cs="Arial"/>
          <w:sz w:val="22"/>
        </w:rPr>
        <w:t xml:space="preserve">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w:t>
      </w:r>
      <w:r>
        <w:rPr>
          <w:rFonts w:ascii="Arial" w:hAnsi="Arial" w:cs="Arial"/>
          <w:sz w:val="22"/>
          <w:lang w:val="es-ES"/>
        </w:rPr>
        <w:t>» sino aquellas con un valor por debajo del 20% o un porcentaje superior, respecto del valor que la entidad definió como precio del bien, obra o servicio.</w:t>
      </w:r>
    </w:p>
    <w:p w14:paraId="0B59305C"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 xml:space="preserve">La segunda herramienta, denominada </w:t>
      </w:r>
      <w:r>
        <w:rPr>
          <w:rFonts w:ascii="Arial" w:hAnsi="Arial" w:cs="Arial"/>
          <w:i/>
          <w:iCs/>
          <w:sz w:val="22"/>
        </w:rPr>
        <w:t>comparación relativa,</w:t>
      </w:r>
      <w:r>
        <w:rPr>
          <w:rFonts w:ascii="Arial" w:hAnsi="Arial" w:cs="Arial"/>
          <w:sz w:val="22"/>
        </w:rPr>
        <w:t xml:space="preserve"> corresponde a la «comparación de cada oferta con las demás presentadas», sin que se indique la cantidad de ofertas que debió recibir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77A0E567" w14:textId="77777777" w:rsidR="00E1532A" w:rsidRDefault="00E1532A" w:rsidP="00E1532A">
      <w:pPr>
        <w:spacing w:before="120" w:line="276" w:lineRule="auto"/>
        <w:ind w:firstLine="708"/>
        <w:jc w:val="both"/>
        <w:rPr>
          <w:rFonts w:ascii="Arial" w:hAnsi="Arial" w:cs="Arial"/>
          <w:sz w:val="21"/>
          <w:szCs w:val="21"/>
          <w:lang w:val="es-CO"/>
        </w:rPr>
      </w:pPr>
      <w:r>
        <w:rPr>
          <w:rFonts w:ascii="Arial" w:hAnsi="Arial" w:cs="Arial"/>
          <w:sz w:val="22"/>
        </w:rPr>
        <w:lastRenderedPageBreak/>
        <w:t xml:space="preserve">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w:t>
      </w:r>
      <w:r>
        <w:rPr>
          <w:rFonts w:ascii="Arial" w:hAnsi="Arial" w:cs="Arial"/>
          <w:sz w:val="21"/>
          <w:szCs w:val="21"/>
          <w:lang w:val="es-CO"/>
        </w:rPr>
        <w:t xml:space="preserve">i) tomar el conjunto de ofertas a evaluar, </w:t>
      </w:r>
      <w:proofErr w:type="spellStart"/>
      <w:r>
        <w:rPr>
          <w:rFonts w:ascii="Arial" w:hAnsi="Arial" w:cs="Arial"/>
          <w:sz w:val="21"/>
          <w:szCs w:val="21"/>
          <w:lang w:val="es-CO"/>
        </w:rPr>
        <w:t>ii</w:t>
      </w:r>
      <w:proofErr w:type="spellEnd"/>
      <w:r>
        <w:rPr>
          <w:rFonts w:ascii="Arial" w:hAnsi="Arial" w:cs="Arial"/>
          <w:sz w:val="21"/>
          <w:szCs w:val="21"/>
          <w:lang w:val="es-CO"/>
        </w:rPr>
        <w:t xml:space="preserve">) calcular la mediana, o dependiendo de la dispersión de los datos el promedio, del valor de cada oferta o de cada ítem dentro de la oferta, </w:t>
      </w:r>
      <w:proofErr w:type="spellStart"/>
      <w:r>
        <w:rPr>
          <w:rFonts w:ascii="Arial" w:hAnsi="Arial" w:cs="Arial"/>
          <w:sz w:val="21"/>
          <w:szCs w:val="21"/>
          <w:lang w:val="es-CO"/>
        </w:rPr>
        <w:t>iii</w:t>
      </w:r>
      <w:proofErr w:type="spellEnd"/>
      <w:r>
        <w:rPr>
          <w:rFonts w:ascii="Arial" w:hAnsi="Arial" w:cs="Arial"/>
          <w:sz w:val="21"/>
          <w:szCs w:val="21"/>
          <w:lang w:val="es-CO"/>
        </w:rPr>
        <w:t xml:space="preserve">) calcular la desviación estándar del conjunto y </w:t>
      </w:r>
      <w:proofErr w:type="spellStart"/>
      <w:r>
        <w:rPr>
          <w:rFonts w:ascii="Arial" w:hAnsi="Arial" w:cs="Arial"/>
          <w:sz w:val="21"/>
          <w:szCs w:val="21"/>
          <w:lang w:val="es-CO"/>
        </w:rPr>
        <w:t>iv</w:t>
      </w:r>
      <w:proofErr w:type="spellEnd"/>
      <w:r>
        <w:rPr>
          <w:rFonts w:ascii="Arial" w:hAnsi="Arial" w:cs="Arial"/>
          <w:sz w:val="21"/>
          <w:szCs w:val="21"/>
          <w:lang w:val="es-CO"/>
        </w:rPr>
        <w:t>) determinar el valor mínimo aceptable</w:t>
      </w:r>
      <w:r>
        <w:rPr>
          <w:rStyle w:val="Refdenotaalpie"/>
          <w:rFonts w:ascii="Arial" w:hAnsi="Arial" w:cs="Arial"/>
          <w:sz w:val="21"/>
          <w:szCs w:val="21"/>
        </w:rPr>
        <w:footnoteReference w:id="10"/>
      </w:r>
      <w:r>
        <w:rPr>
          <w:rFonts w:ascii="Arial" w:hAnsi="Arial" w:cs="Arial"/>
          <w:sz w:val="21"/>
          <w:szCs w:val="21"/>
          <w:lang w:val="es-CO"/>
        </w:rPr>
        <w:t>.</w:t>
      </w:r>
    </w:p>
    <w:p w14:paraId="728D9228" w14:textId="77777777" w:rsidR="00E1532A" w:rsidRDefault="00E1532A" w:rsidP="00E1532A">
      <w:pPr>
        <w:spacing w:line="276" w:lineRule="auto"/>
        <w:jc w:val="both"/>
        <w:rPr>
          <w:rFonts w:ascii="Arial" w:hAnsi="Arial" w:cs="Arial"/>
          <w:sz w:val="22"/>
        </w:rPr>
      </w:pPr>
    </w:p>
    <w:p w14:paraId="3C2CFE8B" w14:textId="77777777" w:rsidR="00E1532A" w:rsidRDefault="00E1532A" w:rsidP="00E1532A">
      <w:pPr>
        <w:spacing w:line="276" w:lineRule="auto"/>
        <w:ind w:firstLine="708"/>
        <w:jc w:val="both"/>
        <w:rPr>
          <w:rFonts w:ascii="Arial" w:hAnsi="Arial" w:cs="Arial"/>
          <w:sz w:val="22"/>
        </w:rPr>
      </w:pPr>
      <w:r>
        <w:rPr>
          <w:rFonts w:ascii="Arial" w:hAnsi="Arial" w:cs="Arial"/>
          <w:sz w:val="22"/>
        </w:rPr>
        <w:t xml:space="preserve">La </w:t>
      </w:r>
      <w:r>
        <w:rPr>
          <w:rFonts w:ascii="Arial" w:hAnsi="Arial" w:cs="Arial"/>
          <w:i/>
          <w:iCs/>
          <w:sz w:val="22"/>
        </w:rPr>
        <w:t>mediana</w:t>
      </w:r>
      <w:r>
        <w:rPr>
          <w:rFonts w:ascii="Arial" w:hAnsi="Arial" w:cs="Arial"/>
          <w:sz w:val="22"/>
        </w:rPr>
        <w:t xml:space="preserve"> se debe calcular ordenando los valores de mayor a menor y tomando el valor de la oferta en la mitad de la lista. Si el número de ofertas es par, caso en el cual no habrá una oferta «en la mitad», se toman los dos valores del medio, se suman y dividen en dos. Posteriormente, es necesario calcular la </w:t>
      </w:r>
      <w:r>
        <w:rPr>
          <w:rFonts w:ascii="Arial" w:hAnsi="Arial" w:cs="Arial"/>
          <w:i/>
          <w:iCs/>
          <w:sz w:val="22"/>
        </w:rPr>
        <w:t>desviación estándar</w:t>
      </w:r>
      <w:r>
        <w:rPr>
          <w:rFonts w:ascii="Arial" w:hAnsi="Arial" w:cs="Arial"/>
          <w:sz w:val="22"/>
        </w:rPr>
        <w:t xml:space="preserve">, utilizando la siguiente fórmula, en la que el </w:t>
      </w:r>
      <w:r>
        <w:rPr>
          <w:rFonts w:ascii="Arial" w:eastAsia="Calibri" w:hAnsi="Arial" w:cs="Arial"/>
          <w:sz w:val="22"/>
          <w:lang w:val="es-ES"/>
        </w:rPr>
        <w:t xml:space="preserve">valor </w:t>
      </w:r>
      <w:r>
        <w:rPr>
          <w:rFonts w:ascii="Arial" w:eastAsia="Calibri" w:hAnsi="Arial" w:cs="Arial"/>
          <w:i/>
          <w:sz w:val="22"/>
          <w:lang w:val="es-ES"/>
        </w:rPr>
        <w:t>n</w:t>
      </w:r>
      <w:r>
        <w:rPr>
          <w:rFonts w:ascii="Arial" w:eastAsia="Calibri" w:hAnsi="Arial" w:cs="Arial"/>
          <w:sz w:val="22"/>
          <w:lang w:val="es-ES"/>
        </w:rPr>
        <w:t xml:space="preserve"> es el número de ofertas</w:t>
      </w:r>
      <w:r>
        <w:rPr>
          <w:rFonts w:ascii="Arial" w:hAnsi="Arial" w:cs="Arial"/>
          <w:sz w:val="22"/>
        </w:rPr>
        <w:t xml:space="preserve">: </w:t>
      </w:r>
    </w:p>
    <w:p w14:paraId="252DF7A2" w14:textId="77777777" w:rsidR="00E1532A" w:rsidRDefault="00E1532A" w:rsidP="00E1532A">
      <w:pPr>
        <w:spacing w:line="276" w:lineRule="auto"/>
        <w:ind w:firstLine="708"/>
        <w:jc w:val="both"/>
        <w:rPr>
          <w:rFonts w:ascii="Arial" w:hAnsi="Arial" w:cs="Arial"/>
          <w:sz w:val="22"/>
        </w:rPr>
      </w:pPr>
    </w:p>
    <w:p w14:paraId="6F81D339" w14:textId="2CF68661" w:rsidR="00E1532A" w:rsidRDefault="00E1532A" w:rsidP="00E1532A">
      <w:pPr>
        <w:spacing w:line="276" w:lineRule="auto"/>
        <w:ind w:left="709" w:right="709"/>
        <w:jc w:val="both"/>
        <w:rPr>
          <w:rFonts w:ascii="Arial" w:hAnsi="Arial" w:cs="Arial"/>
          <w:sz w:val="22"/>
        </w:rPr>
      </w:pPr>
      <w:r>
        <w:rPr>
          <w:rFonts w:ascii="Arial" w:hAnsi="Arial" w:cs="Arial"/>
          <w:noProof/>
        </w:rPr>
        <w:drawing>
          <wp:inline distT="0" distB="0" distL="0" distR="0" wp14:anchorId="0A9C9F32" wp14:editId="0B17D943">
            <wp:extent cx="4975860" cy="4679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l="28764" t="35857" r="28677" b="57127"/>
                    <a:stretch>
                      <a:fillRect/>
                    </a:stretch>
                  </pic:blipFill>
                  <pic:spPr bwMode="auto">
                    <a:xfrm>
                      <a:off x="0" y="0"/>
                      <a:ext cx="4975860" cy="467995"/>
                    </a:xfrm>
                    <a:prstGeom prst="rect">
                      <a:avLst/>
                    </a:prstGeom>
                    <a:noFill/>
                    <a:ln>
                      <a:noFill/>
                    </a:ln>
                  </pic:spPr>
                </pic:pic>
              </a:graphicData>
            </a:graphic>
          </wp:inline>
        </w:drawing>
      </w:r>
    </w:p>
    <w:p w14:paraId="62911596" w14:textId="77777777" w:rsidR="00E1532A" w:rsidRDefault="00E1532A" w:rsidP="00E1532A">
      <w:pPr>
        <w:spacing w:line="276" w:lineRule="auto"/>
        <w:jc w:val="both"/>
        <w:rPr>
          <w:rFonts w:ascii="Arial" w:hAnsi="Arial" w:cs="Arial"/>
          <w:sz w:val="22"/>
        </w:rPr>
      </w:pPr>
    </w:p>
    <w:p w14:paraId="72F5FA46" w14:textId="77777777" w:rsidR="00E1532A" w:rsidRDefault="00E1532A" w:rsidP="00E1532A">
      <w:pPr>
        <w:spacing w:after="120" w:line="276" w:lineRule="auto"/>
        <w:ind w:firstLine="709"/>
        <w:jc w:val="both"/>
        <w:rPr>
          <w:rFonts w:ascii="Arial" w:eastAsia="Calibri" w:hAnsi="Arial" w:cs="Arial"/>
          <w:sz w:val="22"/>
          <w:lang w:val="es-ES"/>
        </w:rPr>
      </w:pPr>
      <w:r>
        <w:rPr>
          <w:rFonts w:ascii="Arial" w:hAnsi="Arial" w:cs="Arial"/>
          <w:sz w:val="22"/>
        </w:rPr>
        <w:t xml:space="preserve">El </w:t>
      </w:r>
      <w:r>
        <w:rPr>
          <w:rFonts w:ascii="Arial" w:hAnsi="Arial" w:cs="Arial"/>
          <w:i/>
          <w:iCs/>
          <w:sz w:val="22"/>
        </w:rPr>
        <w:t>valor mínimo aceptable</w:t>
      </w:r>
      <w:r>
        <w:rPr>
          <w:rFonts w:ascii="Arial" w:hAnsi="Arial" w:cs="Arial"/>
          <w:sz w:val="22"/>
        </w:rPr>
        <w:t xml:space="preserve">, por último, será igual a la </w:t>
      </w:r>
      <w:r>
        <w:rPr>
          <w:rFonts w:ascii="Arial" w:hAnsi="Arial" w:cs="Arial"/>
          <w:i/>
          <w:iCs/>
          <w:sz w:val="22"/>
        </w:rPr>
        <w:t>mediana</w:t>
      </w:r>
      <w:r>
        <w:rPr>
          <w:rFonts w:ascii="Arial" w:hAnsi="Arial" w:cs="Arial"/>
          <w:sz w:val="22"/>
        </w:rPr>
        <w:t xml:space="preserve"> menos la </w:t>
      </w:r>
      <w:r>
        <w:rPr>
          <w:rFonts w:ascii="Arial" w:hAnsi="Arial" w:cs="Arial"/>
          <w:i/>
          <w:iCs/>
          <w:sz w:val="22"/>
        </w:rPr>
        <w:t>desviación estándar</w:t>
      </w:r>
      <w:r>
        <w:rPr>
          <w:rFonts w:ascii="Arial" w:hAnsi="Arial" w:cs="Arial"/>
          <w:sz w:val="22"/>
        </w:rPr>
        <w:t>. Con todo, dicho valor puede ser diferente al obtenido con la anterior metodología, dependiendo de la información y los datos con los que cuenten las entidades. Esto es así porque l</w:t>
      </w:r>
      <w:r>
        <w:rPr>
          <w:rFonts w:ascii="Arial" w:eastAsia="Calibri" w:hAnsi="Arial" w:cs="Arial"/>
          <w:sz w:val="22"/>
          <w:lang w:val="es-ES"/>
        </w:rPr>
        <w:t>as entidades pueden o no acoger la metodología explicada, toda vez que la Guía no es de obligatorio cumplimiento para las entidades sino que es una orientación o lineamiento para sus procedimientos de contratación. En todo caso, «La Entidad Estatal puede identificar como posibles ofertas artificialmente bajas a todas las ofertas que cuenten con valores por debajo del valor mínimo aceptable».</w:t>
      </w:r>
    </w:p>
    <w:p w14:paraId="618F4703" w14:textId="15A414DC" w:rsidR="00E1532A" w:rsidRDefault="00E1532A" w:rsidP="00E1532A">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De esta manera, las dos (2) herramientas y la metodología propuestas por la Guía para identificar las ofertas con posibles </w:t>
      </w:r>
      <w:r>
        <w:rPr>
          <w:rFonts w:ascii="Arial" w:hAnsi="Arial" w:cs="Arial"/>
          <w:sz w:val="22"/>
        </w:rPr>
        <w:t>«precios artificialmente bajos»,</w:t>
      </w:r>
      <w:r>
        <w:rPr>
          <w:rFonts w:ascii="Arial" w:eastAsia="Calibri" w:hAnsi="Arial" w:cs="Arial"/>
          <w:sz w:val="22"/>
          <w:lang w:val="es-ES"/>
        </w:rPr>
        <w:t xml:space="preserve"> se aplican a todas las ofertas del procedimiento, ya que no existe exclusión de alguna oferta que no deba ser analizada, es decir, que se incluyen las ofertas que pueden ganar y las que no, y las que parecen tener </w:t>
      </w:r>
      <w:r>
        <w:rPr>
          <w:rFonts w:ascii="Arial" w:hAnsi="Arial" w:cs="Arial"/>
          <w:sz w:val="22"/>
        </w:rPr>
        <w:t>«precios artificialmente bajos» y las que no, para comprobar si esos precios tienen esa condición;</w:t>
      </w:r>
      <w:r>
        <w:rPr>
          <w:rFonts w:ascii="Arial" w:eastAsia="Calibri" w:hAnsi="Arial" w:cs="Arial"/>
          <w:sz w:val="22"/>
          <w:lang w:val="es-ES"/>
        </w:rPr>
        <w:t xml:space="preserve"> pero la identificación puede o no requerir de todas las ofertas del procedimiento, como en la </w:t>
      </w:r>
      <w:r>
        <w:rPr>
          <w:rFonts w:ascii="Arial" w:eastAsia="Calibri" w:hAnsi="Arial" w:cs="Arial"/>
          <w:i/>
          <w:iCs/>
          <w:sz w:val="22"/>
          <w:lang w:val="es-ES"/>
        </w:rPr>
        <w:t xml:space="preserve">comparación absoluta, </w:t>
      </w:r>
      <w:r>
        <w:rPr>
          <w:rFonts w:ascii="Arial" w:eastAsia="Calibri" w:hAnsi="Arial" w:cs="Arial"/>
          <w:sz w:val="22"/>
          <w:lang w:val="es-ES"/>
        </w:rPr>
        <w:t xml:space="preserve">donde no se requieren las demás ofertas sino que se hace un análisis individual, esto es, se aplica a todas las ofertas pero en la comparación solo se observa la oferta que la entidad seleccionó para la revisión de sus precios, y continuando con las demás porque todas deben ser analizadas. Por el contrario, </w:t>
      </w:r>
      <w:r>
        <w:rPr>
          <w:rFonts w:ascii="Arial" w:eastAsia="Calibri" w:hAnsi="Arial" w:cs="Arial"/>
          <w:sz w:val="22"/>
          <w:lang w:val="es-ES"/>
        </w:rPr>
        <w:lastRenderedPageBreak/>
        <w:t xml:space="preserve">en la </w:t>
      </w:r>
      <w:r>
        <w:rPr>
          <w:rFonts w:ascii="Arial" w:eastAsia="Calibri" w:hAnsi="Arial" w:cs="Arial"/>
          <w:i/>
          <w:iCs/>
          <w:sz w:val="22"/>
          <w:lang w:val="es-ES"/>
        </w:rPr>
        <w:t xml:space="preserve">comparación relativa </w:t>
      </w:r>
      <w:r>
        <w:rPr>
          <w:rFonts w:ascii="Arial" w:eastAsia="Calibri" w:hAnsi="Arial" w:cs="Arial"/>
          <w:sz w:val="22"/>
          <w:lang w:val="es-ES"/>
        </w:rPr>
        <w:t>y en la metodología, sí se requiere el conjunto de ofertas para la identificación, ya que la comparación se hace entre una oferta y las demás presentadas, y los datos que requiere la metodología resultan de tener los valores de todas las ofertas.</w:t>
      </w:r>
    </w:p>
    <w:p w14:paraId="50A43A65" w14:textId="77777777" w:rsidR="00E1532A" w:rsidRDefault="00E1532A" w:rsidP="00E1532A">
      <w:pPr>
        <w:spacing w:line="276" w:lineRule="auto"/>
        <w:ind w:firstLine="708"/>
        <w:jc w:val="both"/>
        <w:rPr>
          <w:rFonts w:ascii="Arial" w:eastAsia="Calibri" w:hAnsi="Arial" w:cs="Arial"/>
          <w:sz w:val="22"/>
          <w:lang w:val="es-ES"/>
        </w:rPr>
      </w:pPr>
      <w:r>
        <w:rPr>
          <w:rFonts w:ascii="Arial" w:eastAsia="Calibri" w:hAnsi="Arial" w:cs="Arial"/>
          <w:sz w:val="22"/>
          <w:lang w:val="es-ES"/>
        </w:rPr>
        <w:t>Se debe tener en cuenta que este acápite se refiere a la identificación de ofertas con precios que parezcan artificialmente bajos, y la definición de «identificar» indica que se trata de reconocer la diferencia entre una cosa y otra, para poder distinguir lo que se busca</w:t>
      </w:r>
      <w:r>
        <w:rPr>
          <w:rStyle w:val="Refdenotaalpie"/>
          <w:rFonts w:ascii="Arial" w:eastAsia="Calibri" w:hAnsi="Arial" w:cs="Arial"/>
          <w:sz w:val="22"/>
          <w:lang w:val="es-ES"/>
        </w:rPr>
        <w:footnoteReference w:id="11"/>
      </w:r>
      <w:r>
        <w:rPr>
          <w:rFonts w:ascii="Arial" w:eastAsia="Calibri" w:hAnsi="Arial" w:cs="Arial"/>
          <w:sz w:val="22"/>
          <w:lang w:val="es-ES"/>
        </w:rPr>
        <w:t>, lo cual no se puede hacer si no se revisan todas las ofertas; y esto no quiere decir que las dos (2) herramientas y la metodología requieran tener en cuenta todas las ofertas para analizar cada una, ya que se puede analizar una sola o en conjunto, dependiendo de lo mencionado.</w:t>
      </w:r>
    </w:p>
    <w:p w14:paraId="47611BA5" w14:textId="77777777" w:rsidR="00E1532A" w:rsidRDefault="00E1532A" w:rsidP="00E1532A">
      <w:pPr>
        <w:spacing w:line="276" w:lineRule="auto"/>
        <w:ind w:firstLine="709"/>
        <w:jc w:val="both"/>
        <w:rPr>
          <w:rFonts w:ascii="Arial" w:hAnsi="Arial" w:cs="Arial"/>
          <w:sz w:val="22"/>
        </w:rPr>
      </w:pPr>
    </w:p>
    <w:p w14:paraId="736E5271" w14:textId="77777777" w:rsidR="00E1532A" w:rsidRDefault="00E1532A" w:rsidP="00E1532A">
      <w:pPr>
        <w:spacing w:line="276" w:lineRule="auto"/>
        <w:jc w:val="both"/>
        <w:rPr>
          <w:rFonts w:ascii="Arial" w:hAnsi="Arial" w:cs="Arial"/>
          <w:b/>
          <w:bCs/>
          <w:sz w:val="22"/>
        </w:rPr>
      </w:pPr>
      <w:r>
        <w:rPr>
          <w:rFonts w:ascii="Arial" w:hAnsi="Arial" w:cs="Arial"/>
          <w:b/>
          <w:bCs/>
          <w:sz w:val="22"/>
        </w:rPr>
        <w:t>b) Manejo de las ofertas con posibles «precios artificialmente bajos»</w:t>
      </w:r>
    </w:p>
    <w:p w14:paraId="6A5DC085" w14:textId="77777777" w:rsidR="00E1532A" w:rsidRDefault="00E1532A" w:rsidP="00E1532A">
      <w:pPr>
        <w:spacing w:line="276" w:lineRule="auto"/>
        <w:jc w:val="both"/>
        <w:rPr>
          <w:rFonts w:ascii="Arial" w:hAnsi="Arial" w:cs="Arial"/>
          <w:b/>
          <w:bCs/>
          <w:sz w:val="22"/>
        </w:rPr>
      </w:pPr>
    </w:p>
    <w:p w14:paraId="29AF97BE" w14:textId="77777777" w:rsidR="00E1532A" w:rsidRDefault="00E1532A" w:rsidP="00E1532A">
      <w:pPr>
        <w:spacing w:line="276" w:lineRule="auto"/>
        <w:jc w:val="both"/>
        <w:rPr>
          <w:rFonts w:ascii="Arial" w:hAnsi="Arial" w:cs="Arial"/>
          <w:sz w:val="22"/>
        </w:rPr>
      </w:pPr>
      <w:r>
        <w:rPr>
          <w:rFonts w:ascii="Arial" w:eastAsia="Calibri" w:hAnsi="Arial" w:cs="Arial"/>
          <w:sz w:val="22"/>
          <w:lang w:val="es-ES"/>
        </w:rPr>
        <w:t>Identificadas estas ofertas, la Guía sugiere realizar las siguientes actuaciones</w:t>
      </w:r>
      <w:r>
        <w:rPr>
          <w:rFonts w:ascii="Arial" w:hAnsi="Arial" w:cs="Arial"/>
          <w:sz w:val="22"/>
        </w:rPr>
        <w:t xml:space="preserve">, observando lo dispuesto en el artículo 2.2.1.1.2.2.4. del Decreto 1082 de 2015: i) solicitar aclaración a los proponentes que hayan ofertado precios que parecen bajos injustificadamente, </w:t>
      </w:r>
      <w:proofErr w:type="spellStart"/>
      <w:r>
        <w:rPr>
          <w:rFonts w:ascii="Arial" w:hAnsi="Arial" w:cs="Arial"/>
          <w:sz w:val="22"/>
        </w:rPr>
        <w:t>ii</w:t>
      </w:r>
      <w:proofErr w:type="spellEnd"/>
      <w:r>
        <w:rPr>
          <w:rFonts w:ascii="Arial" w:hAnsi="Arial" w:cs="Arial"/>
          <w:sz w:val="22"/>
        </w:rPr>
        <w:t xml:space="preserve">) analizar las explicaciones y </w:t>
      </w:r>
      <w:proofErr w:type="spellStart"/>
      <w:r>
        <w:rPr>
          <w:rFonts w:ascii="Arial" w:hAnsi="Arial" w:cs="Arial"/>
          <w:sz w:val="22"/>
        </w:rPr>
        <w:t>iii</w:t>
      </w:r>
      <w:proofErr w:type="spellEnd"/>
      <w:r>
        <w:rPr>
          <w:rFonts w:ascii="Arial" w:hAnsi="Arial" w:cs="Arial"/>
          <w:sz w:val="22"/>
        </w:rPr>
        <w:t>) decidir «si continúa con la evaluación de la oferta porque la explicación demuestra la habilidad del proponente para cumplir adecuadamente con el contrato con los precios ofrecidos, o rechazar la oferta si la explicación no sustenta los valores ofrecidos»</w:t>
      </w:r>
      <w:r>
        <w:rPr>
          <w:rStyle w:val="Refdenotaalpie"/>
          <w:rFonts w:ascii="Arial" w:hAnsi="Arial" w:cs="Arial"/>
          <w:sz w:val="22"/>
        </w:rPr>
        <w:footnoteReference w:id="12"/>
      </w:r>
      <w:r>
        <w:rPr>
          <w:rFonts w:ascii="Arial" w:hAnsi="Arial" w:cs="Arial"/>
          <w:sz w:val="22"/>
        </w:rPr>
        <w:t xml:space="preserve">. </w:t>
      </w:r>
    </w:p>
    <w:p w14:paraId="505D1D4D" w14:textId="77777777" w:rsidR="00E1532A" w:rsidRDefault="00E1532A" w:rsidP="00E1532A">
      <w:pPr>
        <w:spacing w:before="120" w:line="276" w:lineRule="auto"/>
        <w:ind w:firstLine="709"/>
        <w:jc w:val="both"/>
        <w:rPr>
          <w:rFonts w:ascii="Arial" w:hAnsi="Arial" w:cs="Arial"/>
          <w:sz w:val="22"/>
        </w:rPr>
      </w:pPr>
      <w:r>
        <w:rPr>
          <w:rFonts w:ascii="Arial" w:hAnsi="Arial" w:cs="Arial"/>
          <w:sz w:val="22"/>
        </w:rPr>
        <w:t xml:space="preserve">La ley y el reglamento no determinan la forma ni el momento para requerir a los proponentes para que justifiquen el precio, por lo tanto, es facultativa para cada entidad pública, para lo cual, de todos modos, debe tener presentes las particularidades de cada modalidad de selección de contratistas, pues, por ejemplo, en la licitación pública la entidad conoce la oferta económica solo en la audiencia de adjudicación, por ende, es imposible pedir explicaciones antes. </w:t>
      </w:r>
    </w:p>
    <w:p w14:paraId="1F3A058A" w14:textId="77777777" w:rsidR="00E1532A" w:rsidRDefault="00E1532A" w:rsidP="00E1532A">
      <w:pPr>
        <w:spacing w:before="120" w:after="120" w:line="276" w:lineRule="auto"/>
        <w:ind w:firstLine="709"/>
        <w:jc w:val="both"/>
        <w:rPr>
          <w:rFonts w:ascii="Arial" w:hAnsi="Arial" w:cs="Arial"/>
          <w:sz w:val="22"/>
        </w:rPr>
      </w:pPr>
      <w:r>
        <w:rPr>
          <w:rFonts w:ascii="Arial" w:hAnsi="Arial" w:cs="Arial"/>
          <w:sz w:val="22"/>
        </w:rPr>
        <w:t xml:space="preserve">El artículo 2.2.1.1.2.2.4. del Decreto 1082 de 2015 también prevé que, dadas las explicaciones que justifican el precio, el comité evaluador decide si rechaza o no la oferta. Si el proponente no aporta información será una omisión que debe analizar el comité, y de ser el caso rechazará la oferta si la duda es de tal magnitud que no hacerlo podría afectar el proceso. </w:t>
      </w:r>
    </w:p>
    <w:p w14:paraId="0FF34E8F"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lastRenderedPageBreak/>
        <w:t>El requerimiento debe ser comunicado al proponente por el medio que la entidad considere más eficaz, pudiendo acudir a mensajes electrónicos y otros de similar informalidad. Por ejemplo, en el concepto del 7 de noviembre de 2019 –radicado No. 2201913000008288–, esta Agencia admite, en abstracto, la idoneidad de una llamada telefónica para comunicar el requerimiento al oferente.</w:t>
      </w:r>
    </w:p>
    <w:p w14:paraId="04198C1C" w14:textId="7C5B6938" w:rsidR="00E1532A" w:rsidRDefault="00E1532A" w:rsidP="00E1532A">
      <w:pPr>
        <w:spacing w:after="120" w:line="276" w:lineRule="auto"/>
        <w:ind w:firstLine="709"/>
        <w:jc w:val="both"/>
        <w:rPr>
          <w:rFonts w:ascii="Arial" w:hAnsi="Arial" w:cs="Arial"/>
          <w:sz w:val="22"/>
        </w:rPr>
      </w:pPr>
      <w:r>
        <w:rPr>
          <w:rFonts w:ascii="Arial" w:hAnsi="Arial" w:cs="Arial"/>
          <w:sz w:val="22"/>
        </w:rPr>
        <w:t>La ley y el reglamento tampoco establecen el término para justificar el precio. En consecuencia, es un asunto que también queda a la discrecionalidad de la entidad. Sin embargo, la discrecionalidad debe ejercerse de forma razonable, con buen criterio y de forma prudente. Así lo estableció la Sección Quinta del Consejo de Estado</w:t>
      </w:r>
      <w:r>
        <w:rPr>
          <w:rStyle w:val="Refdenotaalpie"/>
          <w:rFonts w:ascii="Arial" w:hAnsi="Arial" w:cs="Arial"/>
          <w:sz w:val="22"/>
        </w:rPr>
        <w:footnoteReference w:id="13"/>
      </w:r>
      <w:r>
        <w:rPr>
          <w:rFonts w:ascii="Arial" w:hAnsi="Arial" w:cs="Arial"/>
          <w:sz w:val="22"/>
        </w:rPr>
        <w:t xml:space="preserve">, resaltando que «[…]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 En el mismo sentido, en la doctrina foránea se ha dicho que la discrecionalidad administrativa tiene dos limitantes: una, el respeto a la finalidad jurídica que justifica, que no es nada distinto a satisfacer el interés general; y otra, que el uso de la discrecionalidad sea </w:t>
      </w:r>
      <w:r w:rsidR="00A419BF">
        <w:rPr>
          <w:rFonts w:ascii="Arial" w:hAnsi="Arial" w:cs="Arial"/>
          <w:sz w:val="22"/>
        </w:rPr>
        <w:t>necesario</w:t>
      </w:r>
      <w:r>
        <w:rPr>
          <w:rFonts w:ascii="Arial" w:hAnsi="Arial" w:cs="Arial"/>
          <w:sz w:val="22"/>
        </w:rPr>
        <w:t xml:space="preserve"> para cumplir el interés jurídico que se tutela. En estos términos, la entidad deberá adoptar una medida que esté acorde con el interés general</w:t>
      </w:r>
      <w:r>
        <w:rPr>
          <w:vertAlign w:val="superscript"/>
        </w:rPr>
        <w:footnoteReference w:id="14"/>
      </w:r>
      <w:r>
        <w:rPr>
          <w:rFonts w:ascii="Arial" w:hAnsi="Arial" w:cs="Arial"/>
          <w:sz w:val="22"/>
          <w:vertAlign w:val="superscript"/>
        </w:rPr>
        <w:t>.</w:t>
      </w:r>
    </w:p>
    <w:p w14:paraId="6320BE93"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 xml:space="preserve">Conforme a lo anterior, si bien es cierto que la entidad tiene la facultad de definir el término mínimo que otorgará a los proponentes para aclarar el precio que parece artificialmente bajo, también lo es que dicho término debe estar acorde, por un lado, con el interés general y, por el otro, con los principios de proporcionalidad y razonabilidad, así como también con los principios del Estatuto General de Contratación de la Administración Pública. </w:t>
      </w:r>
    </w:p>
    <w:p w14:paraId="7A3BF447" w14:textId="77777777" w:rsidR="00E1532A" w:rsidRDefault="00E1532A" w:rsidP="00E1532A">
      <w:pPr>
        <w:pStyle w:val="NormalWeb"/>
        <w:spacing w:before="0" w:beforeAutospacing="0" w:after="12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Verificada la información remitida por el proponente, la entidad debe definir si rechaza o no la oferta. En la «Guía para el manejo de ofertas artificialmente bajas en Procesos de Contratación», se</w:t>
      </w:r>
      <w:r>
        <w:rPr>
          <w:rFonts w:ascii="Arial" w:hAnsi="Arial" w:cs="Arial"/>
          <w:sz w:val="22"/>
        </w:rPr>
        <w:t xml:space="preserve"> </w:t>
      </w:r>
      <w:r>
        <w:rPr>
          <w:rFonts w:ascii="Arial" w:eastAsiaTheme="minorHAnsi" w:hAnsi="Arial" w:cs="Arial"/>
          <w:sz w:val="22"/>
          <w:szCs w:val="22"/>
          <w:lang w:val="es-ES" w:eastAsia="en-US"/>
        </w:rPr>
        <w:t xml:space="preserve">precisó que se debe rechazar la propuesta en los siguientes eventos: i) «el proponente no presenta por escrito a la entidad estatal la aclaración de la oferta»; </w:t>
      </w:r>
      <w:proofErr w:type="spellStart"/>
      <w:r>
        <w:rPr>
          <w:rFonts w:ascii="Arial" w:eastAsiaTheme="minorHAnsi" w:hAnsi="Arial" w:cs="Arial"/>
          <w:sz w:val="22"/>
          <w:szCs w:val="22"/>
          <w:lang w:val="es-ES" w:eastAsia="en-US"/>
        </w:rPr>
        <w:t>ii</w:t>
      </w:r>
      <w:proofErr w:type="spellEnd"/>
      <w:r>
        <w:rPr>
          <w:rFonts w:ascii="Arial" w:eastAsiaTheme="minorHAnsi" w:hAnsi="Arial" w:cs="Arial"/>
          <w:sz w:val="22"/>
          <w:szCs w:val="22"/>
          <w:lang w:val="es-ES" w:eastAsia="en-US"/>
        </w:rPr>
        <w:t xml:space="preserve">) «el proponente no envía parte o la totalidad de la información solicitada por la </w:t>
      </w:r>
      <w:r>
        <w:rPr>
          <w:rFonts w:ascii="Arial" w:eastAsiaTheme="minorHAnsi" w:hAnsi="Arial" w:cs="Arial"/>
          <w:sz w:val="22"/>
          <w:szCs w:val="22"/>
          <w:lang w:val="es-ES" w:eastAsia="en-US"/>
        </w:rPr>
        <w:lastRenderedPageBreak/>
        <w:t xml:space="preserve">entidad estatal»; </w:t>
      </w:r>
      <w:proofErr w:type="spellStart"/>
      <w:r>
        <w:rPr>
          <w:rFonts w:ascii="Arial" w:eastAsiaTheme="minorHAnsi" w:hAnsi="Arial" w:cs="Arial"/>
          <w:sz w:val="22"/>
          <w:szCs w:val="22"/>
          <w:lang w:val="es-ES" w:eastAsia="en-US"/>
        </w:rPr>
        <w:t>iii</w:t>
      </w:r>
      <w:proofErr w:type="spellEnd"/>
      <w:r>
        <w:rPr>
          <w:rFonts w:ascii="Arial" w:eastAsiaTheme="minorHAnsi" w:hAnsi="Arial" w:cs="Arial"/>
          <w:sz w:val="22"/>
          <w:szCs w:val="22"/>
          <w:lang w:val="es-ES" w:eastAsia="en-US"/>
        </w:rPr>
        <w:t xml:space="preserve">) «las aclaraciones del proponente no son satisfactorias para garantizar la sostenibilidad de la oferta durante la ejecución del contrato»; y </w:t>
      </w:r>
      <w:proofErr w:type="spellStart"/>
      <w:r>
        <w:rPr>
          <w:rFonts w:ascii="Arial" w:eastAsiaTheme="minorHAnsi" w:hAnsi="Arial" w:cs="Arial"/>
          <w:sz w:val="22"/>
          <w:szCs w:val="22"/>
          <w:lang w:val="es-ES" w:eastAsia="en-US"/>
        </w:rPr>
        <w:t>iv</w:t>
      </w:r>
      <w:proofErr w:type="spellEnd"/>
      <w:r>
        <w:rPr>
          <w:rFonts w:ascii="Arial" w:eastAsiaTheme="minorHAnsi" w:hAnsi="Arial" w:cs="Arial"/>
          <w:sz w:val="22"/>
          <w:szCs w:val="22"/>
          <w:lang w:val="es-ES" w:eastAsia="en-US"/>
        </w:rPr>
        <w:t>) «las aclaraciones del proponente no desvirtúan la teoría de que está utilizando su oferta como parte de una estrategia colusoria o […] anticompetitiva durante el proceso de selección». Esto, claro está, sin perjuicio de los eventos señalados en la Sección VII de la Guía, los cuales, de todos modos, son criterios orientadores para las entidades públicas y no «causales de rechazo» en estricto sentido.</w:t>
      </w:r>
    </w:p>
    <w:p w14:paraId="691730B1" w14:textId="59E085CC" w:rsidR="00E1532A" w:rsidRDefault="00E1532A" w:rsidP="00E1532A">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Finalmente, respecto de la aplicación del procedimiento descrito para el manejo de las ofertas cuyos precios parecen artificialmente bajos, la condición para que una oferta se trate según los pasos señalados, es que su precio pueda ser artificialmente bajo, esto quiere decir que no todas las ofertas deben tener un manejo de acuerdo con el procedimiento citado, sino solo las identificadas por sus «precios artificialmente bajos», y que requieran aclaraciones respecto de la sostenibilidad. Lo anterior es así no porque la Guía lo señale, ya que esta es una aplicación del Decreto 1082 de 2015, que es obligatorio para las entidades que se rigen por la Ley 80 de 1993, y en ese sentido deben cumplir el reglamento, que dispone que la entidad debe requerir al oferente que presentó valores que parecen artificialmente bajos, es decir, debe solicitar explicaciones a todas las ofertas que cumplan esa condición, sin que exista excepción. </w:t>
      </w:r>
    </w:p>
    <w:p w14:paraId="39B3DB88" w14:textId="0236F4CB" w:rsidR="00E1532A" w:rsidRDefault="00E1532A" w:rsidP="00E1532A">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p>
    <w:p w14:paraId="1159D210" w14:textId="77777777" w:rsidR="00066C9D" w:rsidRDefault="00066C9D" w:rsidP="00E1532A">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p>
    <w:p w14:paraId="43F9B318" w14:textId="77777777" w:rsidR="00E1532A" w:rsidRDefault="00E1532A" w:rsidP="00E1532A">
      <w:pPr>
        <w:pStyle w:val="NormalWeb"/>
        <w:spacing w:before="0" w:beforeAutospacing="0" w:after="0" w:afterAutospacing="0" w:line="276" w:lineRule="auto"/>
        <w:jc w:val="both"/>
        <w:rPr>
          <w:rFonts w:ascii="Arial" w:eastAsiaTheme="minorHAnsi" w:hAnsi="Arial" w:cs="Arial"/>
          <w:b/>
          <w:bCs/>
          <w:sz w:val="22"/>
          <w:szCs w:val="22"/>
          <w:lang w:val="es-ES" w:eastAsia="en-US"/>
        </w:rPr>
      </w:pPr>
      <w:r>
        <w:rPr>
          <w:rFonts w:ascii="Arial" w:eastAsiaTheme="minorHAnsi" w:hAnsi="Arial" w:cs="Arial"/>
          <w:b/>
          <w:bCs/>
          <w:sz w:val="22"/>
          <w:szCs w:val="22"/>
          <w:lang w:val="es-ES" w:eastAsia="en-US"/>
        </w:rPr>
        <w:t>2.3 Oferta con posibles «precios artificialmente bajos» en los procedimientos regidos por Documentos Tipo</w:t>
      </w:r>
    </w:p>
    <w:p w14:paraId="5D586C85" w14:textId="77777777" w:rsidR="00E1532A" w:rsidRDefault="00E1532A" w:rsidP="00E1532A">
      <w:pPr>
        <w:pStyle w:val="NormalWeb"/>
        <w:spacing w:before="0" w:beforeAutospacing="0" w:after="0" w:afterAutospacing="0" w:line="276" w:lineRule="auto"/>
        <w:jc w:val="both"/>
        <w:rPr>
          <w:rFonts w:ascii="Arial" w:eastAsiaTheme="minorHAnsi" w:hAnsi="Arial" w:cs="Arial"/>
          <w:b/>
          <w:bCs/>
          <w:sz w:val="22"/>
          <w:szCs w:val="22"/>
          <w:lang w:val="es-ES" w:eastAsia="en-US"/>
        </w:rPr>
      </w:pPr>
    </w:p>
    <w:p w14:paraId="24480B20" w14:textId="77777777" w:rsidR="00E1532A" w:rsidRDefault="00E1532A" w:rsidP="00E1532A">
      <w:pPr>
        <w:spacing w:after="120" w:line="276" w:lineRule="auto"/>
        <w:jc w:val="both"/>
        <w:rPr>
          <w:rFonts w:ascii="Arial" w:eastAsia="Calibri" w:hAnsi="Arial" w:cs="Arial"/>
          <w:sz w:val="22"/>
        </w:rPr>
      </w:pPr>
      <w:r>
        <w:rPr>
          <w:rFonts w:ascii="Arial" w:eastAsia="Calibri" w:hAnsi="Arial" w:cs="Arial"/>
          <w:sz w:val="22"/>
        </w:rPr>
        <w:t>Teniendo en cuenta que la consulta se realiza en vigencia de la versión 2 de los Documentos Tipo para licitación de obra pública de infraestructura de transporte, las consideraciones que se presentan a continuación están relacionadas con el Documento Base de estos documentos.</w:t>
      </w:r>
    </w:p>
    <w:p w14:paraId="7ADF982C" w14:textId="77777777" w:rsidR="00E1532A" w:rsidRDefault="00E1532A" w:rsidP="00E1532A">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Estos Documentos, según el artículo 2.2.1.2.6.1.2 </w:t>
      </w:r>
      <w:r>
        <w:rPr>
          <w:rFonts w:ascii="Arial" w:hAnsi="Arial" w:cs="Arial"/>
          <w:i/>
          <w:iCs/>
          <w:color w:val="000000" w:themeColor="text1"/>
          <w:sz w:val="22"/>
        </w:rPr>
        <w:t>ibidem</w:t>
      </w:r>
      <w:r>
        <w:rPr>
          <w:rFonts w:ascii="Arial" w:hAnsi="Arial" w:cs="Arial"/>
          <w:color w:val="000000" w:themeColor="text1"/>
          <w:sz w:val="22"/>
        </w:rPr>
        <w:t>,</w:t>
      </w:r>
      <w:r>
        <w:rPr>
          <w:rFonts w:ascii="Arial" w:hAnsi="Arial" w:cs="Arial"/>
          <w:i/>
          <w:iCs/>
          <w:color w:val="000000" w:themeColor="text1"/>
          <w:sz w:val="22"/>
        </w:rPr>
        <w:t xml:space="preserve"> </w:t>
      </w:r>
      <w:r>
        <w:rPr>
          <w:rFonts w:ascii="Arial" w:hAnsi="Arial" w:cs="Arial"/>
          <w:color w:val="000000" w:themeColor="text1"/>
          <w:sz w:val="22"/>
        </w:rPr>
        <w:t xml:space="preserve">«contienen parámetros obligatorios para las entidades estatales sometidas al Estatuto General de la Contratación Pública que adelanten procesos de selección de licitación de obra pública de infraestructura de transporte», que no pueden ser modificados por las entidades estatales, en lo concerniente a «las condiciones habilitantes, los factores técnicos y económicos de escogencia y los sistemas de ponderación», como lo establece el artículo 2.2.1.2.6.1.4. </w:t>
      </w:r>
      <w:proofErr w:type="spellStart"/>
      <w:r>
        <w:rPr>
          <w:rFonts w:ascii="Arial" w:hAnsi="Arial" w:cs="Arial"/>
          <w:i/>
          <w:iCs/>
          <w:color w:val="000000" w:themeColor="text1"/>
          <w:sz w:val="22"/>
        </w:rPr>
        <w:t>ejusdem</w:t>
      </w:r>
      <w:proofErr w:type="spellEnd"/>
      <w:r>
        <w:rPr>
          <w:rFonts w:ascii="Arial" w:hAnsi="Arial" w:cs="Arial"/>
          <w:color w:val="000000" w:themeColor="text1"/>
          <w:sz w:val="22"/>
        </w:rPr>
        <w:t>.</w:t>
      </w:r>
    </w:p>
    <w:p w14:paraId="6EDDD01C" w14:textId="77777777" w:rsidR="00E1532A" w:rsidRDefault="00E1532A" w:rsidP="00E1532A">
      <w:pPr>
        <w:spacing w:line="276" w:lineRule="auto"/>
        <w:ind w:firstLine="708"/>
        <w:jc w:val="both"/>
        <w:rPr>
          <w:rFonts w:ascii="Arial" w:hAnsi="Arial" w:cs="Arial"/>
          <w:color w:val="000000" w:themeColor="text1"/>
          <w:sz w:val="22"/>
        </w:rPr>
      </w:pPr>
      <w:r>
        <w:rPr>
          <w:rFonts w:ascii="Arial" w:hAnsi="Arial" w:cs="Arial"/>
          <w:color w:val="000000" w:themeColor="text1"/>
          <w:sz w:val="22"/>
        </w:rPr>
        <w:t>El Capítulo III del Documento Base regula los requisitos habilitantes y establece los mecanismos para su verificación. Por su parte, el Capítulo IV del mismo documento regula los criterios de evaluación, y dentro de estos la «oferta económica», factor a calificar según el valor total indicado en la propuesta económica o el obtenido de la corrección aritmética. Igualmente, el numeral 4.1.3. del Documento establece que:</w:t>
      </w:r>
    </w:p>
    <w:p w14:paraId="4E85B363" w14:textId="77777777" w:rsidR="00E1532A" w:rsidRDefault="00E1532A" w:rsidP="00E1532A">
      <w:pPr>
        <w:spacing w:line="276" w:lineRule="auto"/>
        <w:ind w:firstLine="708"/>
        <w:jc w:val="both"/>
        <w:rPr>
          <w:rFonts w:ascii="Arial" w:hAnsi="Arial" w:cs="Arial"/>
          <w:color w:val="000000" w:themeColor="text1"/>
          <w:sz w:val="22"/>
        </w:rPr>
      </w:pPr>
    </w:p>
    <w:p w14:paraId="7A3FC87C" w14:textId="77777777" w:rsidR="00E1532A" w:rsidRDefault="00E1532A" w:rsidP="00E1532A">
      <w:pPr>
        <w:ind w:left="709" w:right="709"/>
        <w:jc w:val="both"/>
        <w:rPr>
          <w:rFonts w:ascii="Arial" w:hAnsi="Arial" w:cs="Arial"/>
          <w:color w:val="000000" w:themeColor="text1"/>
          <w:sz w:val="21"/>
          <w:szCs w:val="21"/>
        </w:rPr>
      </w:pPr>
      <w:r>
        <w:rPr>
          <w:rFonts w:ascii="Arial" w:hAnsi="Arial" w:cs="Arial"/>
          <w:color w:val="000000" w:themeColor="text1"/>
          <w:sz w:val="21"/>
          <w:szCs w:val="21"/>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proceso descrito en el artículo 2.2.1.1.2.2.4. del Decreto 1082 de 2015 y los parámetros definidos en la Guía para el manejo de ofertas artificialmente bajas en Procesos de Contratación de Colombia Compra Eficiente.</w:t>
      </w:r>
    </w:p>
    <w:p w14:paraId="7BFB2FFC" w14:textId="77777777" w:rsidR="00E1532A" w:rsidRDefault="00E1532A" w:rsidP="00E1532A">
      <w:pPr>
        <w:ind w:left="709" w:right="709"/>
        <w:jc w:val="both"/>
        <w:rPr>
          <w:rFonts w:ascii="Arial" w:hAnsi="Arial" w:cs="Arial"/>
          <w:color w:val="000000" w:themeColor="text1"/>
          <w:sz w:val="21"/>
          <w:szCs w:val="21"/>
        </w:rPr>
      </w:pPr>
    </w:p>
    <w:p w14:paraId="6E6CC8F6" w14:textId="77777777" w:rsidR="00E1532A" w:rsidRDefault="00E1532A" w:rsidP="00E1532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el principio de responsabilidad, según el artículo 26, numeral 6º, de Ley 80 de 1993, los contratistas deben responder por presentar ofertas artificialmente bajas. En ese sentido, dentro de las causales de rechazo previstas en el Documento Base, contenidas en la Sección 1.15, se encuentra, entre otras, la siguiente: «Z. Cuando se determine que el valor total de la oferta es artificialmente bajo, de acuerdo con lo establecido en la sección 4.1.3.». Con todo, la entidad estatal está obligada a requerir al proponente para que aclare el valor de la oferta, siempre que dude sobre si el precio es o no artificialmente bajo, ya sea porque es artificial, falso, disimulado o muy reducido. En consecuencia, podrá rechazar la oferta, según lo establecido en el artículo 2.2.1.1.2.2.4. del Decreto 1082 de 2015, cuando las explicaciones del proponente son insuficientes o insatisfactorias. </w:t>
      </w:r>
    </w:p>
    <w:p w14:paraId="5E666D4B" w14:textId="77777777" w:rsidR="00E1532A" w:rsidRDefault="00E1532A" w:rsidP="00E1532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El reglamento establece la forma y momento para requerir a los proponentes que justifiquen el precio: durante la evaluación del precio. La determinación le corresponde a cada entidad pública, para lo cual debe tener presentes las particularidades de cada modalidad de selección, partiendo de la base de que la entidad solo podrá pedir explicaciones cuando conozca su oferta económica. Por ejemplo, en los procesos de licitación de obra pública la entidad únicamente la conoce cuando abre el «Sobre No 2».</w:t>
      </w:r>
    </w:p>
    <w:p w14:paraId="1A7BADB1" w14:textId="20496C2A" w:rsidR="00E1532A" w:rsidRDefault="00E1532A" w:rsidP="00E1532A">
      <w:pPr>
        <w:spacing w:line="276" w:lineRule="auto"/>
        <w:ind w:firstLine="708"/>
        <w:jc w:val="both"/>
        <w:rPr>
          <w:rFonts w:ascii="Arial" w:hAnsi="Arial" w:cs="Arial"/>
          <w:color w:val="000000" w:themeColor="text1"/>
          <w:sz w:val="22"/>
        </w:rPr>
      </w:pPr>
      <w:r>
        <w:rPr>
          <w:rFonts w:ascii="Arial" w:hAnsi="Arial" w:cs="Arial"/>
          <w:color w:val="000000" w:themeColor="text1"/>
          <w:sz w:val="22"/>
        </w:rPr>
        <w:t>Una vez publicado el informe de evaluación de los documentos e información de los requisitos habilitantes y de los documentos a los que se les asigne puntajes, diferentes a la oferta económica, y transcurrido el término para que los proponentes presenten observaciones y, de ser el caso, aporten la documentación que se les hubiere solicitado, la entidad debe publica</w:t>
      </w:r>
      <w:r w:rsidR="00EF5FB3">
        <w:rPr>
          <w:rFonts w:ascii="Arial" w:hAnsi="Arial" w:cs="Arial"/>
          <w:color w:val="000000" w:themeColor="text1"/>
          <w:sz w:val="22"/>
        </w:rPr>
        <w:t>r</w:t>
      </w:r>
      <w:r>
        <w:rPr>
          <w:rFonts w:ascii="Arial" w:hAnsi="Arial" w:cs="Arial"/>
          <w:color w:val="000000" w:themeColor="text1"/>
          <w:sz w:val="22"/>
        </w:rPr>
        <w:t xml:space="preserve"> el «informe final de evaluación». Luego de esto, en la fecha establecida en el Anexo 2 – Cronograma, se debe llevar a cabo la «audiencia efectiva de adjudicación», durante la cual la Entidad abrirá el Sobre 2 de los Proponentes habilitados y evaluará las ofertas económicas. Es en este momento en donde se conoce, por primera vez, la oferta económica de los proponentes.</w:t>
      </w:r>
    </w:p>
    <w:p w14:paraId="15C311CE" w14:textId="77777777" w:rsidR="00E1532A" w:rsidRDefault="00E1532A" w:rsidP="00E1532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Es del caso precisar que aunque es cierto que 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que tiene como fundamento el artículo </w:t>
      </w:r>
      <w:r>
        <w:rPr>
          <w:rFonts w:ascii="Arial" w:hAnsi="Arial" w:cs="Arial"/>
          <w:color w:val="000000" w:themeColor="text1"/>
          <w:sz w:val="22"/>
        </w:rPr>
        <w:lastRenderedPageBreak/>
        <w:t>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78ECFA5" w14:textId="77777777" w:rsidR="00E1532A" w:rsidRDefault="00E1532A" w:rsidP="00E1532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Incluso, de considerarlo procedente, la entidad podrá suspender la diligencia de adjudicación para permitirle al proponente que recopile mejores elementos de juicio para responder al requerimiento, claro está, justificando tal determinación. En todo caso, se debe tener en cuenta que dicha decisión es facultativa, lo que significa que no es obligatorio hacerlo en todos los casos, pese a que el proponente lo solicite expresamente. De todos modos, el artículo 2.2.1.1.2.2.4. del Decreto 1082 de 2015 prevé que, dadas las explicaciones que tratan de justificar el precio, el comité evaluador decidirá si rechaza o no la oferta. Ahora, si el proponente no allega información, será una omisión que deberá analizar el comité evaluador y, de ser el caso, podrá rechazar la oferta, si la duda que tiene es de tal magnitud que no tomar la decisión podría comprometer la legalidad del proceso. </w:t>
      </w:r>
    </w:p>
    <w:p w14:paraId="3CC0D58B" w14:textId="77777777" w:rsidR="00E1532A" w:rsidRDefault="00E1532A" w:rsidP="00E1532A">
      <w:pPr>
        <w:spacing w:before="120" w:line="276" w:lineRule="auto"/>
        <w:ind w:firstLine="708"/>
        <w:jc w:val="both"/>
        <w:rPr>
          <w:rFonts w:ascii="Arial" w:hAnsi="Arial" w:cs="Arial"/>
          <w:sz w:val="22"/>
          <w:lang w:val="es-ES"/>
        </w:rPr>
      </w:pPr>
      <w:r>
        <w:rPr>
          <w:rFonts w:ascii="Arial" w:hAnsi="Arial" w:cs="Arial"/>
          <w:color w:val="000000" w:themeColor="text1"/>
          <w:sz w:val="22"/>
        </w:rPr>
        <w:t xml:space="preserve">Teniendo en cuenta que el numeral 4.1.3. del Documento Base remite a la </w:t>
      </w:r>
      <w:r>
        <w:rPr>
          <w:rFonts w:ascii="Arial" w:hAnsi="Arial" w:cs="Arial"/>
          <w:sz w:val="22"/>
          <w:lang w:val="es-ES"/>
        </w:rPr>
        <w:t xml:space="preserve">«Guía para el manejo de ofertas artificialmente bajas en Procesos de Contratación» de Colombia Compra Eficiente, nuevamente se diferencian los dos (2) procedimientos que contiene, esto es, por un lado la identificación y por el otro el manejo de las ofertas con posibles «precios artificialmente bajos». Como dice la Guía, para identificar de este tipo de ofertas las dos (2) herramientas y la metodología se deben aplicar a todas las ofertas, para diferenciar cuáles son artificialmente bajas y cuáles no, pero no siempre se requiere revisar cada una respecto de las demás; por ejemplo, en la </w:t>
      </w:r>
      <w:r>
        <w:rPr>
          <w:rFonts w:ascii="Arial" w:hAnsi="Arial" w:cs="Arial"/>
          <w:i/>
          <w:iCs/>
          <w:sz w:val="22"/>
          <w:lang w:val="es-ES"/>
        </w:rPr>
        <w:t>comparación absoluta</w:t>
      </w:r>
      <w:r>
        <w:rPr>
          <w:rFonts w:ascii="Arial" w:hAnsi="Arial" w:cs="Arial"/>
          <w:sz w:val="22"/>
          <w:lang w:val="es-ES"/>
        </w:rPr>
        <w:t xml:space="preserve"> no se requieren las demás sino que la oferta objeto de análisis se contrasta con el estudio del sector, de acuerdo con lo expuesto.</w:t>
      </w:r>
    </w:p>
    <w:p w14:paraId="4CCCFEDA" w14:textId="5307F3B6" w:rsidR="00E1532A" w:rsidRDefault="00E1532A" w:rsidP="00E1532A">
      <w:pPr>
        <w:spacing w:before="120" w:line="276" w:lineRule="auto"/>
        <w:ind w:firstLine="708"/>
        <w:jc w:val="both"/>
        <w:rPr>
          <w:rFonts w:ascii="Arial" w:hAnsi="Arial" w:cs="Arial"/>
          <w:sz w:val="22"/>
          <w:lang w:val="es-ES"/>
        </w:rPr>
      </w:pPr>
      <w:r>
        <w:rPr>
          <w:rFonts w:ascii="Arial" w:hAnsi="Arial" w:cs="Arial"/>
          <w:sz w:val="22"/>
          <w:lang w:val="es-ES"/>
        </w:rPr>
        <w:t xml:space="preserve">Las explicaciones se solicitan a los proponentes cuya oferta cumpla con la condición de tener esos precios, después de que todas fueron analizadas para identificarlas, es decir, la entidad no debe solicitar aclaraciones a todas las ofertas del procedimiento contractual, y tampoco puede excluir de esa solicitud a una oferta que cumpla la condición de tener «precios artificialmente bajos», por ninguna circunstancia o excepción, ya que ello no procede ni esta establecido en las normas y recomendaciones expuestas. </w:t>
      </w:r>
    </w:p>
    <w:p w14:paraId="6F59C45D" w14:textId="4D4564E8" w:rsidR="00E1532A" w:rsidRDefault="00E1532A" w:rsidP="00E1532A">
      <w:pPr>
        <w:spacing w:before="120" w:line="276" w:lineRule="auto"/>
        <w:ind w:firstLine="708"/>
        <w:jc w:val="both"/>
        <w:rPr>
          <w:rFonts w:ascii="Arial" w:hAnsi="Arial" w:cs="Arial"/>
          <w:sz w:val="22"/>
          <w:lang w:val="es-ES"/>
        </w:rPr>
      </w:pPr>
      <w:r>
        <w:rPr>
          <w:rFonts w:ascii="Arial" w:hAnsi="Arial" w:cs="Arial"/>
          <w:sz w:val="22"/>
          <w:lang w:val="es-ES"/>
        </w:rPr>
        <w:t xml:space="preserve">Seguido de esto, como se señaló, de acuerdo con el literal Z del numeral 1.15, «CAUSALES DE RECHAZO», se deben rechazar las ofertas con valores artificialmente bajos, una vez se haya aplicado el procedimiento del Decreto 1082 de 2015 y de la Guía de Colombia Compra Eficiente; esto significa que la causal de rechazo se debe aplicar a todas las ofertas que cumplan esa condición, sin que se excluyan ofertas, esto quiere decir que no pueden mantenerse en el procedimiento las ofertas con «precios artificialmente </w:t>
      </w:r>
      <w:r>
        <w:rPr>
          <w:rFonts w:ascii="Arial" w:hAnsi="Arial" w:cs="Arial"/>
          <w:sz w:val="22"/>
          <w:lang w:val="es-ES"/>
        </w:rPr>
        <w:lastRenderedPageBreak/>
        <w:t>bajos»</w:t>
      </w:r>
      <w:r w:rsidR="00FF1759">
        <w:rPr>
          <w:rFonts w:ascii="Arial" w:hAnsi="Arial" w:cs="Arial"/>
          <w:sz w:val="22"/>
          <w:lang w:val="es-ES"/>
        </w:rPr>
        <w:t xml:space="preserve"> </w:t>
      </w:r>
      <w:r>
        <w:rPr>
          <w:rFonts w:ascii="Arial" w:hAnsi="Arial" w:cs="Arial"/>
          <w:sz w:val="22"/>
          <w:lang w:val="es-ES"/>
        </w:rPr>
        <w:t>porque se afecta el orden de elegibilidad, que no puede incluir ofertas que deban rechazarse.</w:t>
      </w:r>
    </w:p>
    <w:p w14:paraId="61CF1573" w14:textId="31D270CA" w:rsidR="00E1532A" w:rsidRDefault="00E1532A" w:rsidP="00E1532A">
      <w:pPr>
        <w:spacing w:before="120" w:line="276" w:lineRule="auto"/>
        <w:jc w:val="both"/>
        <w:rPr>
          <w:rFonts w:ascii="Arial" w:hAnsi="Arial" w:cs="Arial"/>
          <w:sz w:val="22"/>
          <w:lang w:val="es-ES"/>
        </w:rPr>
      </w:pPr>
      <w:r>
        <w:rPr>
          <w:rFonts w:ascii="Arial" w:hAnsi="Arial" w:cs="Arial"/>
          <w:sz w:val="22"/>
          <w:lang w:val="es-ES"/>
        </w:rPr>
        <w:tab/>
        <w:t>Para concluir, la Guía de Colombia Compra Eficiente plantea herramientas y una metodología que tiene</w:t>
      </w:r>
      <w:r w:rsidR="00A57DCB">
        <w:rPr>
          <w:rFonts w:ascii="Arial" w:hAnsi="Arial" w:cs="Arial"/>
          <w:sz w:val="22"/>
          <w:lang w:val="es-ES"/>
        </w:rPr>
        <w:t>n</w:t>
      </w:r>
      <w:r>
        <w:rPr>
          <w:rFonts w:ascii="Arial" w:hAnsi="Arial" w:cs="Arial"/>
          <w:sz w:val="22"/>
          <w:lang w:val="es-ES"/>
        </w:rPr>
        <w:t xml:space="preserve"> en cuenta la cantidad de ofertas del procedimiento de selección</w:t>
      </w:r>
      <w:r w:rsidR="00A57DCB">
        <w:rPr>
          <w:rFonts w:ascii="Arial" w:hAnsi="Arial" w:cs="Arial"/>
          <w:sz w:val="22"/>
          <w:lang w:val="es-ES"/>
        </w:rPr>
        <w:t xml:space="preserve"> </w:t>
      </w:r>
      <w:r>
        <w:rPr>
          <w:rFonts w:ascii="Arial" w:hAnsi="Arial" w:cs="Arial"/>
          <w:sz w:val="22"/>
          <w:lang w:val="es-ES"/>
        </w:rPr>
        <w:t>para identificar y manejar las ofertas con posibles «precios artificialmente bajos»,</w:t>
      </w:r>
      <w:r w:rsidR="00A57DCB">
        <w:rPr>
          <w:rFonts w:ascii="Arial" w:hAnsi="Arial" w:cs="Arial"/>
          <w:sz w:val="22"/>
          <w:lang w:val="es-ES"/>
        </w:rPr>
        <w:t xml:space="preserve"> y</w:t>
      </w:r>
      <w:r>
        <w:rPr>
          <w:rFonts w:ascii="Arial" w:hAnsi="Arial" w:cs="Arial"/>
          <w:sz w:val="22"/>
          <w:lang w:val="es-ES"/>
        </w:rPr>
        <w:t xml:space="preserve"> de acuerdo con lo establecido, en los procedimientos regidos por Documentos Tipo, la Guía es vinculante, teniendo en cuenta que el numeral 4.1.3. dispone ese deber para las entidades.</w:t>
      </w:r>
    </w:p>
    <w:p w14:paraId="6076CBBF" w14:textId="747644B2" w:rsidR="00E1532A" w:rsidRDefault="00E1532A" w:rsidP="00E1532A">
      <w:pPr>
        <w:pStyle w:val="NormalWeb"/>
        <w:spacing w:before="0" w:beforeAutospacing="0" w:after="0" w:afterAutospacing="0" w:line="276" w:lineRule="auto"/>
        <w:ind w:firstLine="708"/>
        <w:jc w:val="both"/>
        <w:rPr>
          <w:rFonts w:ascii="Arial" w:eastAsiaTheme="minorHAnsi" w:hAnsi="Arial" w:cs="Arial"/>
          <w:sz w:val="20"/>
          <w:szCs w:val="20"/>
          <w:lang w:val="es-ES" w:eastAsia="en-US"/>
        </w:rPr>
      </w:pPr>
    </w:p>
    <w:p w14:paraId="6FE78D03" w14:textId="77777777" w:rsidR="001B403C" w:rsidRDefault="001B403C" w:rsidP="00E1532A">
      <w:pPr>
        <w:pStyle w:val="NormalWeb"/>
        <w:spacing w:before="0" w:beforeAutospacing="0" w:after="0" w:afterAutospacing="0" w:line="276" w:lineRule="auto"/>
        <w:ind w:firstLine="708"/>
        <w:jc w:val="both"/>
        <w:rPr>
          <w:rFonts w:ascii="Arial" w:eastAsiaTheme="minorHAnsi" w:hAnsi="Arial" w:cs="Arial"/>
          <w:sz w:val="20"/>
          <w:szCs w:val="20"/>
          <w:lang w:val="es-ES" w:eastAsia="en-US"/>
        </w:rPr>
      </w:pPr>
    </w:p>
    <w:p w14:paraId="4873389A" w14:textId="77777777" w:rsidR="00E1532A" w:rsidRDefault="00E1532A" w:rsidP="00E1532A">
      <w:pPr>
        <w:tabs>
          <w:tab w:val="left" w:pos="0"/>
        </w:tabs>
        <w:spacing w:line="276" w:lineRule="auto"/>
        <w:jc w:val="both"/>
        <w:rPr>
          <w:rFonts w:ascii="Arial" w:eastAsia="Calibri" w:hAnsi="Arial" w:cs="Arial"/>
          <w:b/>
          <w:sz w:val="22"/>
          <w:lang w:val="es-ES"/>
        </w:rPr>
      </w:pPr>
      <w:r>
        <w:rPr>
          <w:rFonts w:ascii="Arial" w:eastAsia="Calibri" w:hAnsi="Arial" w:cs="Arial"/>
          <w:b/>
          <w:sz w:val="22"/>
          <w:lang w:val="es-ES"/>
        </w:rPr>
        <w:t xml:space="preserve">3. Respuestas </w:t>
      </w:r>
    </w:p>
    <w:p w14:paraId="074F3A19" w14:textId="77777777" w:rsidR="00E1532A" w:rsidRDefault="00E1532A" w:rsidP="00E1532A">
      <w:pPr>
        <w:tabs>
          <w:tab w:val="left" w:pos="0"/>
        </w:tabs>
        <w:spacing w:line="276" w:lineRule="auto"/>
        <w:jc w:val="both"/>
        <w:rPr>
          <w:rFonts w:ascii="Arial" w:eastAsia="Calibri" w:hAnsi="Arial" w:cs="Arial"/>
          <w:sz w:val="20"/>
          <w:szCs w:val="20"/>
          <w:lang w:val="es-ES"/>
        </w:rPr>
      </w:pPr>
    </w:p>
    <w:p w14:paraId="382CBFED" w14:textId="7CD467EA" w:rsidR="0074616A" w:rsidRPr="0074616A" w:rsidRDefault="0074616A" w:rsidP="0074616A">
      <w:pPr>
        <w:tabs>
          <w:tab w:val="left" w:pos="426"/>
        </w:tabs>
        <w:ind w:left="709" w:right="709"/>
        <w:jc w:val="both"/>
        <w:rPr>
          <w:rFonts w:ascii="Arial" w:eastAsia="Calibri" w:hAnsi="Arial" w:cs="Arial"/>
          <w:sz w:val="21"/>
          <w:szCs w:val="21"/>
        </w:rPr>
      </w:pPr>
      <w:r w:rsidRPr="0074616A">
        <w:rPr>
          <w:rFonts w:ascii="Arial" w:eastAsia="Calibri" w:hAnsi="Arial" w:cs="Arial"/>
          <w:sz w:val="21"/>
          <w:szCs w:val="21"/>
        </w:rPr>
        <w:t>«1. Las entidades estatales que usan Pliego Tipo Versión 2, ¿Pueden establecer en el Pliego Tipo Versión 2 un rango descuento para determinar cuando una oferta económica es considerada artificialmente baja?</w:t>
      </w:r>
    </w:p>
    <w:p w14:paraId="27CBAC1C" w14:textId="77777777" w:rsidR="0074616A" w:rsidRPr="0074616A" w:rsidRDefault="0074616A" w:rsidP="0074616A">
      <w:pPr>
        <w:tabs>
          <w:tab w:val="left" w:pos="426"/>
        </w:tabs>
        <w:ind w:left="709" w:right="709"/>
        <w:jc w:val="both"/>
        <w:rPr>
          <w:rFonts w:ascii="Arial" w:eastAsia="Calibri" w:hAnsi="Arial" w:cs="Arial"/>
          <w:sz w:val="21"/>
          <w:szCs w:val="21"/>
        </w:rPr>
      </w:pPr>
    </w:p>
    <w:p w14:paraId="380C10C8" w14:textId="5AD40CE2" w:rsidR="00E1532A" w:rsidRDefault="0074616A" w:rsidP="00315A0E">
      <w:pPr>
        <w:tabs>
          <w:tab w:val="left" w:pos="426"/>
        </w:tabs>
        <w:ind w:left="709" w:right="709"/>
        <w:jc w:val="both"/>
        <w:rPr>
          <w:rFonts w:ascii="Arial" w:eastAsia="Calibri" w:hAnsi="Arial" w:cs="Arial"/>
          <w:sz w:val="21"/>
          <w:szCs w:val="21"/>
        </w:rPr>
      </w:pPr>
      <w:r w:rsidRPr="0074616A">
        <w:rPr>
          <w:rFonts w:ascii="Arial" w:eastAsia="Calibri" w:hAnsi="Arial" w:cs="Arial"/>
          <w:sz w:val="21"/>
          <w:szCs w:val="21"/>
        </w:rPr>
        <w:t>»2. Las entidades estatales que usan Pliego Tipo versión 2, ¿Tienen la obligación de aplicar la Guía de Colombia Compra Eficiente, de precios artificialmente bajos?».</w:t>
      </w:r>
    </w:p>
    <w:p w14:paraId="13FF24BA" w14:textId="77777777" w:rsidR="00315A0E" w:rsidRDefault="00315A0E" w:rsidP="00315A0E">
      <w:pPr>
        <w:tabs>
          <w:tab w:val="left" w:pos="426"/>
        </w:tabs>
        <w:ind w:left="709" w:right="709"/>
        <w:jc w:val="both"/>
        <w:rPr>
          <w:rFonts w:ascii="Arial" w:eastAsia="Calibri" w:hAnsi="Arial" w:cs="Arial"/>
          <w:sz w:val="20"/>
          <w:szCs w:val="20"/>
          <w:lang w:val="es-ES"/>
        </w:rPr>
      </w:pPr>
    </w:p>
    <w:p w14:paraId="41EC8DE4" w14:textId="77777777" w:rsidR="00E1532A" w:rsidRDefault="00E1532A" w:rsidP="00315A0E">
      <w:pPr>
        <w:spacing w:line="276" w:lineRule="auto"/>
        <w:jc w:val="both"/>
        <w:rPr>
          <w:rFonts w:ascii="Arial" w:eastAsia="Calibri" w:hAnsi="Arial" w:cs="Arial"/>
          <w:color w:val="000000" w:themeColor="text1"/>
          <w:sz w:val="22"/>
          <w:lang w:val="es-ES"/>
        </w:rPr>
      </w:pPr>
      <w:r>
        <w:rPr>
          <w:rFonts w:ascii="Arial" w:hAnsi="Arial" w:cs="Arial"/>
          <w:color w:val="000000" w:themeColor="text1"/>
          <w:sz w:val="22"/>
        </w:rPr>
        <w:t xml:space="preserve">El reglamento determina la forma y el momento para requerir a los proponentes para que justifiquen el precio ofertado: en el momento de la evaluación del precio. </w:t>
      </w:r>
      <w:r>
        <w:rPr>
          <w:rFonts w:ascii="Arial" w:eastAsia="Calibri" w:hAnsi="Arial" w:cs="Arial"/>
          <w:color w:val="000000" w:themeColor="text1"/>
          <w:sz w:val="22"/>
          <w:lang w:val="es-ES"/>
        </w:rPr>
        <w:t xml:space="preserve"> En el caso de la licitación de obras públicas de infraestructura de transporte, el requerimiento que la entidad haga al proponente no puede hacerse antes de la apertura del «Sobre No. 2», esto es, antes de la audiencia efectiva de adjudicación, pues es en esa diligencia donde la entidad pública conoce la oferta económica.</w:t>
      </w:r>
    </w:p>
    <w:p w14:paraId="084076B3" w14:textId="529E6DBA" w:rsidR="003C25C4" w:rsidRDefault="00E1532A" w:rsidP="00E1532A">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De acuerdo con el numeral 4.1.3 del Documento Base, para identificar ofertas con «precios artificialmente bajos» se debe aplicar el procedimiento del numeral 2.2.1.1.2.2.4. del Decreto 1082 de 2015 y la Guía de Colombia Compra Eficiente. En ese sentido existen dos (2) «herramientas» y una (1) «metodología», que se debe</w:t>
      </w:r>
      <w:r w:rsidR="003C25C4">
        <w:rPr>
          <w:rFonts w:ascii="Arial" w:eastAsia="Calibri" w:hAnsi="Arial" w:cs="Arial"/>
          <w:color w:val="000000" w:themeColor="text1"/>
          <w:sz w:val="22"/>
          <w:lang w:val="es-ES"/>
        </w:rPr>
        <w:t>n</w:t>
      </w:r>
      <w:r>
        <w:rPr>
          <w:rFonts w:ascii="Arial" w:eastAsia="Calibri" w:hAnsi="Arial" w:cs="Arial"/>
          <w:color w:val="000000" w:themeColor="text1"/>
          <w:sz w:val="22"/>
          <w:lang w:val="es-ES"/>
        </w:rPr>
        <w:t xml:space="preserve"> aplicar a todas las ofertas y no solo a la oferta que tiene posibilidades de ser adjudicataria, ya que así lo establece la Guía, sin excepciones. Para identificar oferta</w:t>
      </w:r>
      <w:r w:rsidR="004E22FB">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 con precios artificialmente bajos, </w:t>
      </w:r>
      <w:r w:rsidR="003C25C4">
        <w:rPr>
          <w:rFonts w:ascii="Arial" w:eastAsia="Calibri" w:hAnsi="Arial" w:cs="Arial"/>
          <w:color w:val="000000" w:themeColor="text1"/>
          <w:sz w:val="22"/>
          <w:lang w:val="es-ES"/>
        </w:rPr>
        <w:t xml:space="preserve">la herramienta de </w:t>
      </w:r>
      <w:r w:rsidR="003C25C4" w:rsidRPr="003C25C4">
        <w:rPr>
          <w:rFonts w:ascii="Arial" w:eastAsia="Calibri" w:hAnsi="Arial" w:cs="Arial"/>
          <w:i/>
          <w:iCs/>
          <w:color w:val="000000" w:themeColor="text1"/>
          <w:sz w:val="22"/>
          <w:lang w:val="es-ES"/>
        </w:rPr>
        <w:t>comparación relativa</w:t>
      </w:r>
      <w:r w:rsidR="003C25C4">
        <w:rPr>
          <w:rFonts w:ascii="Arial" w:eastAsia="Calibri" w:hAnsi="Arial" w:cs="Arial"/>
          <w:color w:val="000000" w:themeColor="text1"/>
          <w:sz w:val="22"/>
          <w:lang w:val="es-ES"/>
        </w:rPr>
        <w:t xml:space="preserve"> no establece rangos y la Guía no señala la posibilidad de que la entidad pueda hacerlo; y sobre la </w:t>
      </w:r>
      <w:r w:rsidR="003C25C4" w:rsidRPr="003C25C4">
        <w:rPr>
          <w:rFonts w:ascii="Arial" w:eastAsia="Calibri" w:hAnsi="Arial" w:cs="Arial"/>
          <w:i/>
          <w:iCs/>
          <w:color w:val="000000" w:themeColor="text1"/>
          <w:sz w:val="22"/>
          <w:lang w:val="es-ES"/>
        </w:rPr>
        <w:t>comparación absoluta</w:t>
      </w:r>
      <w:r w:rsidR="003C25C4">
        <w:rPr>
          <w:rFonts w:ascii="Arial" w:eastAsia="Calibri" w:hAnsi="Arial" w:cs="Arial"/>
          <w:color w:val="000000" w:themeColor="text1"/>
          <w:sz w:val="22"/>
          <w:lang w:val="es-ES"/>
        </w:rPr>
        <w:t>, las ofertas con precios artificialmente bajos serán aquellas que sean menores en un 20% o más del costo estimado en el estudio del sector, por tanto ese es el rango que la entidad puede establecer.</w:t>
      </w:r>
    </w:p>
    <w:p w14:paraId="2B0C3760" w14:textId="72BA5837" w:rsidR="00E1532A" w:rsidRDefault="003C25C4" w:rsidP="004E22FB">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Finalmente, la metodología de la Guía para identificar oferta</w:t>
      </w:r>
      <w:r w:rsidR="004E22FB">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 con precios artificialmente bajos cuando al procedimiento se presentaron 5 o más ofertas, dispone que </w:t>
      </w:r>
      <w:r w:rsidR="004E22FB">
        <w:rPr>
          <w:rFonts w:ascii="Arial" w:eastAsia="Calibri" w:hAnsi="Arial" w:cs="Arial"/>
          <w:color w:val="000000" w:themeColor="text1"/>
          <w:sz w:val="22"/>
          <w:lang w:val="es-ES"/>
        </w:rPr>
        <w:t xml:space="preserve">se debe definir el valor mínimo aceptable de acuerdo con los pasos de la Guía y todas las ofertas con precios por debajo de dicho valor serán artificialmente bajas, sin embargo, la </w:t>
      </w:r>
      <w:r w:rsidR="004E22FB">
        <w:rPr>
          <w:rFonts w:ascii="Arial" w:eastAsia="Calibri" w:hAnsi="Arial" w:cs="Arial"/>
          <w:color w:val="000000" w:themeColor="text1"/>
          <w:sz w:val="22"/>
          <w:lang w:val="es-ES"/>
        </w:rPr>
        <w:lastRenderedPageBreak/>
        <w:t xml:space="preserve">Guía permite que la entidad fije «[…] </w:t>
      </w:r>
      <w:r w:rsidR="004E22FB" w:rsidRPr="004E22FB">
        <w:rPr>
          <w:rFonts w:ascii="Arial" w:eastAsia="Calibri" w:hAnsi="Arial" w:cs="Arial"/>
          <w:color w:val="000000" w:themeColor="text1"/>
          <w:sz w:val="22"/>
          <w:lang w:val="es-ES"/>
        </w:rPr>
        <w:t>un valor mínimo aceptable distinto de acuerdo con la información que tenga</w:t>
      </w:r>
      <w:r w:rsidR="004E22FB">
        <w:rPr>
          <w:rFonts w:ascii="Arial" w:eastAsia="Calibri" w:hAnsi="Arial" w:cs="Arial"/>
          <w:color w:val="000000" w:themeColor="text1"/>
          <w:sz w:val="22"/>
          <w:lang w:val="es-ES"/>
        </w:rPr>
        <w:t xml:space="preserve"> </w:t>
      </w:r>
      <w:r w:rsidR="004E22FB" w:rsidRPr="004E22FB">
        <w:rPr>
          <w:rFonts w:ascii="Arial" w:eastAsia="Calibri" w:hAnsi="Arial" w:cs="Arial"/>
          <w:color w:val="000000" w:themeColor="text1"/>
          <w:sz w:val="22"/>
          <w:lang w:val="es-ES"/>
        </w:rPr>
        <w:t>disponible y dependiendo de los datos que esté analizando</w:t>
      </w:r>
      <w:r w:rsidR="00E1532A">
        <w:rPr>
          <w:rFonts w:ascii="Arial" w:eastAsia="Calibri" w:hAnsi="Arial" w:cs="Arial"/>
          <w:color w:val="000000" w:themeColor="text1"/>
          <w:sz w:val="22"/>
          <w:lang w:val="es-ES"/>
        </w:rPr>
        <w:t xml:space="preserve"> </w:t>
      </w:r>
      <w:r w:rsidR="004E22FB">
        <w:rPr>
          <w:rFonts w:ascii="Arial" w:eastAsia="Calibri" w:hAnsi="Arial" w:cs="Arial"/>
          <w:color w:val="000000" w:themeColor="text1"/>
          <w:sz w:val="22"/>
          <w:lang w:val="es-ES"/>
        </w:rPr>
        <w:t>[…]»; en ese sentido la entidad puede establecer un rango, que en este caso se denomina valor mínimo aceptable, siguiendo los pasos de la metodología o con otra información para identificar ofertas con precios artificialmente bajos.</w:t>
      </w:r>
    </w:p>
    <w:p w14:paraId="0EB525A9" w14:textId="77777777" w:rsidR="00E1532A" w:rsidRDefault="00E1532A" w:rsidP="00E1532A">
      <w:pPr>
        <w:tabs>
          <w:tab w:val="left" w:pos="0"/>
        </w:tabs>
        <w:spacing w:line="276" w:lineRule="auto"/>
        <w:jc w:val="both"/>
        <w:rPr>
          <w:rFonts w:ascii="Arial" w:eastAsia="Calibri" w:hAnsi="Arial" w:cs="Arial"/>
          <w:sz w:val="21"/>
          <w:szCs w:val="21"/>
        </w:rPr>
      </w:pPr>
    </w:p>
    <w:p w14:paraId="3D27FC79" w14:textId="77777777" w:rsidR="00E1532A" w:rsidRDefault="00E1532A" w:rsidP="00E1532A">
      <w:pPr>
        <w:spacing w:line="276" w:lineRule="auto"/>
        <w:jc w:val="both"/>
        <w:rPr>
          <w:rFonts w:ascii="Arial" w:hAnsi="Arial" w:cs="Arial"/>
          <w:sz w:val="22"/>
        </w:rPr>
      </w:pPr>
    </w:p>
    <w:p w14:paraId="420D8014" w14:textId="77777777" w:rsidR="00E1532A" w:rsidRDefault="00E1532A" w:rsidP="00E1532A">
      <w:pPr>
        <w:spacing w:line="276" w:lineRule="auto"/>
        <w:jc w:val="both"/>
        <w:rPr>
          <w:rFonts w:ascii="Arial" w:hAnsi="Arial" w:cs="Arial"/>
          <w:sz w:val="22"/>
        </w:rPr>
      </w:pPr>
      <w:r>
        <w:rPr>
          <w:rFonts w:ascii="Arial" w:hAnsi="Arial" w:cs="Arial"/>
          <w:sz w:val="22"/>
        </w:rPr>
        <w:t>Este concepto tiene el alcance previsto en el artículo 28 del Código de Procedimiento Administrativo y de lo Contencioso Administrativo, modificado por el artículo 1 de la Ley 1755 de 2015.</w:t>
      </w:r>
    </w:p>
    <w:p w14:paraId="1AF75C1B" w14:textId="77777777" w:rsidR="00E1532A" w:rsidRDefault="00E1532A" w:rsidP="00E1532A">
      <w:pPr>
        <w:pStyle w:val="NormalWeb"/>
        <w:spacing w:before="0" w:beforeAutospacing="0" w:after="0" w:afterAutospacing="0" w:line="276" w:lineRule="auto"/>
        <w:jc w:val="both"/>
        <w:rPr>
          <w:rFonts w:ascii="Arial" w:hAnsi="Arial" w:cs="Arial"/>
          <w:sz w:val="16"/>
          <w:szCs w:val="16"/>
          <w:lang w:val="es-MX"/>
        </w:rPr>
      </w:pPr>
    </w:p>
    <w:p w14:paraId="1E952D4F" w14:textId="77777777" w:rsidR="00E1532A" w:rsidRDefault="00E1532A" w:rsidP="00E1532A">
      <w:pPr>
        <w:pStyle w:val="NormalWeb"/>
        <w:spacing w:before="0" w:beforeAutospacing="0" w:after="0" w:afterAutospacing="0" w:line="276" w:lineRule="auto"/>
        <w:jc w:val="both"/>
        <w:rPr>
          <w:rFonts w:ascii="Arial" w:hAnsi="Arial" w:cs="Arial"/>
          <w:sz w:val="16"/>
          <w:szCs w:val="16"/>
          <w:lang w:val="es-MX"/>
        </w:rPr>
      </w:pPr>
    </w:p>
    <w:p w14:paraId="5BF7FDB3" w14:textId="77777777" w:rsidR="00E1532A" w:rsidRDefault="00E1532A" w:rsidP="00E1532A">
      <w:pPr>
        <w:pStyle w:val="NormalWeb"/>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Atentamente,</w:t>
      </w:r>
    </w:p>
    <w:p w14:paraId="53CC993D" w14:textId="77777777" w:rsidR="00E1532A" w:rsidRDefault="00E1532A" w:rsidP="00E1532A">
      <w:pPr>
        <w:jc w:val="center"/>
        <w:rPr>
          <w:rFonts w:ascii="Arial" w:eastAsia="Times New Roman" w:hAnsi="Arial" w:cs="Arial"/>
          <w:sz w:val="18"/>
          <w:szCs w:val="20"/>
          <w:lang w:eastAsia="es-CO"/>
        </w:rPr>
      </w:pPr>
    </w:p>
    <w:p w14:paraId="6B1F9180" w14:textId="5ECF5312" w:rsidR="00E1532A" w:rsidRDefault="00963942" w:rsidP="00E1532A">
      <w:pPr>
        <w:jc w:val="center"/>
        <w:rPr>
          <w:rFonts w:ascii="Arial" w:eastAsia="Times New Roman" w:hAnsi="Arial" w:cs="Arial"/>
          <w:sz w:val="18"/>
          <w:szCs w:val="20"/>
          <w:lang w:eastAsia="es-CO"/>
        </w:rPr>
      </w:pPr>
      <w:r>
        <w:rPr>
          <w:noProof/>
        </w:rPr>
        <w:drawing>
          <wp:inline distT="0" distB="0" distL="0" distR="0" wp14:anchorId="52B2D3BF" wp14:editId="31722A0B">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51DBB42" w14:textId="77777777" w:rsidR="00E1532A" w:rsidRDefault="00E1532A" w:rsidP="00E1532A">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1532A" w14:paraId="0226725C" w14:textId="77777777" w:rsidTr="00E1532A">
        <w:trPr>
          <w:trHeight w:val="315"/>
        </w:trPr>
        <w:tc>
          <w:tcPr>
            <w:tcW w:w="812" w:type="dxa"/>
            <w:vAlign w:val="center"/>
            <w:hideMark/>
          </w:tcPr>
          <w:p w14:paraId="50A5B236"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FB29648"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013C521A"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E1532A" w14:paraId="382B594E" w14:textId="77777777" w:rsidTr="00E1532A">
        <w:trPr>
          <w:trHeight w:val="330"/>
        </w:trPr>
        <w:tc>
          <w:tcPr>
            <w:tcW w:w="812" w:type="dxa"/>
            <w:vAlign w:val="center"/>
            <w:hideMark/>
          </w:tcPr>
          <w:p w14:paraId="17FDEEC5"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BDB527"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1FDB3921"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E1532A" w14:paraId="6FEAF551" w14:textId="77777777" w:rsidTr="00E1532A">
        <w:trPr>
          <w:trHeight w:val="300"/>
        </w:trPr>
        <w:tc>
          <w:tcPr>
            <w:tcW w:w="812" w:type="dxa"/>
            <w:vAlign w:val="center"/>
            <w:hideMark/>
          </w:tcPr>
          <w:p w14:paraId="720DCAE7"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2E060B"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7EAA8CDD"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23D20828" w14:textId="77777777" w:rsidR="00E1532A" w:rsidRDefault="00E1532A" w:rsidP="00E1532A">
      <w:pPr>
        <w:rPr>
          <w:rFonts w:ascii="Arial" w:eastAsia="Times New Roman" w:hAnsi="Arial" w:cs="Arial"/>
          <w:sz w:val="16"/>
          <w:szCs w:val="16"/>
          <w:lang w:eastAsia="es-ES"/>
        </w:rPr>
      </w:pPr>
    </w:p>
    <w:bookmarkEnd w:id="3"/>
    <w:p w14:paraId="7EBF297E" w14:textId="77777777" w:rsidR="007B0854" w:rsidRPr="00E1532A" w:rsidRDefault="007B0854" w:rsidP="00E1532A"/>
    <w:sectPr w:rsidR="007B0854" w:rsidRPr="00E1532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FB936" w14:textId="77777777" w:rsidR="008E45DD" w:rsidRDefault="008E45DD">
      <w:r>
        <w:separator/>
      </w:r>
    </w:p>
  </w:endnote>
  <w:endnote w:type="continuationSeparator" w:id="0">
    <w:p w14:paraId="4C7A07FD" w14:textId="77777777" w:rsidR="008E45DD" w:rsidRDefault="008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2EBFEC48" w:rsidR="004A34D2" w:rsidRDefault="004A34D2" w:rsidP="007B0854">
    <w:pPr>
      <w:pStyle w:val="Sinespaciado"/>
      <w:jc w:val="center"/>
      <w:rPr>
        <w:rFonts w:ascii="Arial" w:hAnsi="Arial" w:cs="Arial"/>
        <w:sz w:val="12"/>
        <w:szCs w:val="12"/>
      </w:rPr>
    </w:pPr>
  </w:p>
  <w:p w14:paraId="13D842C7" w14:textId="6A867DBE" w:rsidR="00963942" w:rsidRDefault="00963942" w:rsidP="007B0854">
    <w:pPr>
      <w:pStyle w:val="Sinespaciado"/>
      <w:jc w:val="center"/>
      <w:rPr>
        <w:rFonts w:ascii="Arial" w:hAnsi="Arial" w:cs="Arial"/>
        <w:sz w:val="12"/>
        <w:szCs w:val="12"/>
      </w:rPr>
    </w:pPr>
  </w:p>
  <w:p w14:paraId="4492DDBB" w14:textId="77777777" w:rsidR="00963942" w:rsidRPr="00963942" w:rsidRDefault="00963942" w:rsidP="007B0854">
    <w:pPr>
      <w:pStyle w:val="Sinespaciado"/>
      <w:jc w:val="center"/>
      <w:rPr>
        <w:rFonts w:ascii="Arial" w:hAnsi="Arial" w:cs="Arial"/>
        <w:sz w:val="12"/>
        <w:szCs w:val="12"/>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D83A" w14:textId="77777777" w:rsidR="008E45DD" w:rsidRDefault="008E45DD">
      <w:r>
        <w:separator/>
      </w:r>
    </w:p>
  </w:footnote>
  <w:footnote w:type="continuationSeparator" w:id="0">
    <w:p w14:paraId="1BFFF39F" w14:textId="77777777" w:rsidR="008E45DD" w:rsidRDefault="008E45DD">
      <w:r>
        <w:continuationSeparator/>
      </w:r>
    </w:p>
  </w:footnote>
  <w:footnote w:id="1">
    <w:p w14:paraId="4B8FB76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Sentencia del 4 de junio de 2008. Exp. No. 17.783. C.P. Myriam Guerrero de Escobar.</w:t>
      </w:r>
    </w:p>
    <w:p w14:paraId="637ADDB3" w14:textId="77777777" w:rsidR="00E1532A" w:rsidRDefault="00E1532A" w:rsidP="00E1532A">
      <w:pPr>
        <w:pStyle w:val="Textonotapie"/>
        <w:ind w:firstLine="708"/>
        <w:jc w:val="both"/>
        <w:rPr>
          <w:rFonts w:ascii="Arial" w:hAnsi="Arial" w:cs="Arial"/>
          <w:sz w:val="19"/>
          <w:szCs w:val="19"/>
          <w:lang w:val="es-ES"/>
        </w:rPr>
      </w:pPr>
    </w:p>
  </w:footnote>
  <w:footnote w:id="2">
    <w:p w14:paraId="7B981795" w14:textId="77777777" w:rsidR="00E1532A" w:rsidRDefault="00E1532A" w:rsidP="00E1532A">
      <w:pPr>
        <w:pStyle w:val="Textonotapie"/>
        <w:ind w:firstLine="708"/>
        <w:jc w:val="both"/>
        <w:rPr>
          <w:rFonts w:ascii="Arial" w:eastAsia="Times New Roman"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val="es-CO"/>
        </w:rPr>
        <w:t>Ley 80 de 1993: «Artículo 26. Del Principio de Responsabilidad. En virtud de este principio:</w:t>
      </w:r>
    </w:p>
    <w:p w14:paraId="14CD9D20" w14:textId="77777777" w:rsidR="00E1532A" w:rsidRDefault="00E1532A" w:rsidP="00E1532A">
      <w:pPr>
        <w:pStyle w:val="Textonotapie"/>
        <w:jc w:val="both"/>
        <w:rPr>
          <w:rFonts w:ascii="Arial" w:eastAsia="Times New Roman" w:hAnsi="Arial" w:cs="Arial"/>
          <w:sz w:val="19"/>
          <w:szCs w:val="19"/>
          <w:lang w:val="es-CO"/>
        </w:rPr>
      </w:pPr>
      <w:r>
        <w:rPr>
          <w:rFonts w:ascii="Arial" w:eastAsia="Times New Roman" w:hAnsi="Arial" w:cs="Arial"/>
          <w:sz w:val="19"/>
          <w:szCs w:val="19"/>
          <w:lang w:val="es-CO"/>
        </w:rPr>
        <w:tab/>
        <w:t>»[…]</w:t>
      </w:r>
    </w:p>
    <w:p w14:paraId="2F11A0FA" w14:textId="77777777" w:rsidR="00E1532A" w:rsidRDefault="00E1532A" w:rsidP="00E1532A">
      <w:pPr>
        <w:pStyle w:val="Textonotapie"/>
        <w:ind w:firstLine="708"/>
        <w:jc w:val="both"/>
        <w:rPr>
          <w:rFonts w:ascii="Arial" w:eastAsia="Times New Roman" w:hAnsi="Arial" w:cs="Arial"/>
          <w:sz w:val="19"/>
          <w:szCs w:val="19"/>
          <w:lang w:val="es-CO"/>
        </w:rPr>
      </w:pPr>
      <w:r>
        <w:rPr>
          <w:rFonts w:ascii="Arial" w:eastAsia="Times New Roman" w:hAnsi="Arial" w:cs="Arial"/>
          <w:sz w:val="19"/>
          <w:szCs w:val="19"/>
          <w:lang w:val="es-CO"/>
        </w:rPr>
        <w:t>»6. Los contratistas responderán cuando formulen propuestas en las que se fijen condiciones económicas y de contratación artificialmente bajas con el propósito de obtener la adjudicación del contrato».</w:t>
      </w:r>
    </w:p>
    <w:p w14:paraId="5259742E" w14:textId="77777777" w:rsidR="00E1532A" w:rsidRDefault="00E1532A" w:rsidP="00E1532A">
      <w:pPr>
        <w:pStyle w:val="Textonotapie"/>
        <w:jc w:val="both"/>
        <w:rPr>
          <w:rFonts w:ascii="Arial" w:hAnsi="Arial" w:cs="Arial"/>
          <w:sz w:val="19"/>
          <w:szCs w:val="19"/>
          <w:lang w:val="es-CO"/>
        </w:rPr>
      </w:pPr>
    </w:p>
  </w:footnote>
  <w:footnote w:id="3">
    <w:p w14:paraId="4CCAEEFD"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03F376E" w14:textId="77777777" w:rsidR="00E1532A" w:rsidRDefault="00E1532A" w:rsidP="00E1532A">
      <w:pPr>
        <w:pStyle w:val="Textonotapie"/>
        <w:ind w:firstLine="708"/>
        <w:jc w:val="both"/>
        <w:rPr>
          <w:rFonts w:ascii="Arial" w:hAnsi="Arial" w:cs="Arial"/>
          <w:sz w:val="19"/>
          <w:szCs w:val="19"/>
          <w:lang w:val="es-CO"/>
        </w:rPr>
      </w:pPr>
    </w:p>
  </w:footnote>
  <w:footnote w:id="4">
    <w:p w14:paraId="343E306F"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50D4D203"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0F89A611"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»En la subasta inversa esta disposición es aplicable sobre el precio obtenido al final de la misma».</w:t>
      </w:r>
    </w:p>
    <w:p w14:paraId="2EB4A003" w14:textId="77777777" w:rsidR="00E1532A" w:rsidRDefault="00E1532A" w:rsidP="00E1532A">
      <w:pPr>
        <w:pStyle w:val="Textonotapie"/>
        <w:ind w:firstLine="708"/>
        <w:jc w:val="both"/>
        <w:rPr>
          <w:rFonts w:ascii="Arial" w:hAnsi="Arial" w:cs="Arial"/>
          <w:sz w:val="19"/>
          <w:szCs w:val="19"/>
          <w:lang w:val="es-CO"/>
        </w:rPr>
      </w:pPr>
    </w:p>
  </w:footnote>
  <w:footnote w:id="5">
    <w:p w14:paraId="626B51A7"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4A286735"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»Los miembros del comité evaluador están sujetos al régimen de inhabilidades e incompatibilidades y conflicto de interés previstos en la Constitución y la ley.</w:t>
      </w:r>
    </w:p>
    <w:p w14:paraId="0B0C398B"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»La verificación y la evaluación de las ofertas para la mínima cuantía será adelantada por quien sea designado por el ordenador del gasto sin que se requiera un comité plural».</w:t>
      </w:r>
    </w:p>
    <w:p w14:paraId="6F084270" w14:textId="77777777" w:rsidR="00E1532A" w:rsidRDefault="00E1532A" w:rsidP="00E1532A">
      <w:pPr>
        <w:pStyle w:val="Textonotapie"/>
        <w:ind w:firstLine="708"/>
        <w:jc w:val="both"/>
        <w:rPr>
          <w:rFonts w:ascii="Arial" w:hAnsi="Arial" w:cs="Arial"/>
          <w:sz w:val="19"/>
          <w:szCs w:val="19"/>
          <w:lang w:val="es-ES"/>
        </w:rPr>
      </w:pPr>
    </w:p>
  </w:footnote>
  <w:footnote w:id="6">
    <w:p w14:paraId="2AE9C4B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4170 de 2011: «Artículo 2. Objetivo de la Agencia Nacional de Contratación Pública </w:t>
      </w:r>
      <w:r>
        <w:rPr>
          <w:rFonts w:ascii="Arial" w:hAnsi="Arial" w:cs="Arial"/>
          <w:sz w:val="19"/>
          <w:szCs w:val="19"/>
        </w:rPr>
        <w:softHyphen/>
        <w:t xml:space="preserve">Colombia Compra Eficiente-. La Agencia Nacional de Contratación Pública </w:t>
      </w:r>
      <w:r>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652B7378"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 xml:space="preserve">»Artículo 3. Funciones. La Agencia Nacional de Contratación Pública </w:t>
      </w:r>
      <w:r>
        <w:rPr>
          <w:rFonts w:ascii="Arial" w:hAnsi="Arial" w:cs="Arial"/>
          <w:sz w:val="19"/>
          <w:szCs w:val="19"/>
        </w:rPr>
        <w:softHyphen/>
        <w:t xml:space="preserve"> Colombia Compra Eficiente- ejercerá las siguientes funciones:</w:t>
      </w:r>
    </w:p>
    <w:p w14:paraId="4EF9B323"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5C5A18CF"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0776A7E7"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w:t>
      </w:r>
    </w:p>
    <w:p w14:paraId="6E13EF34" w14:textId="77777777" w:rsidR="00E1532A" w:rsidRDefault="00E1532A" w:rsidP="00E1532A">
      <w:pPr>
        <w:pStyle w:val="Textonotapie"/>
        <w:ind w:firstLine="708"/>
        <w:jc w:val="both"/>
        <w:rPr>
          <w:rFonts w:ascii="Arial" w:hAnsi="Arial" w:cs="Arial"/>
          <w:sz w:val="19"/>
          <w:szCs w:val="19"/>
          <w:lang w:val="es-ES"/>
        </w:rPr>
      </w:pPr>
    </w:p>
  </w:footnote>
  <w:footnote w:id="7">
    <w:p w14:paraId="0DCC9721" w14:textId="77777777" w:rsidR="00E1532A" w:rsidRDefault="00E1532A" w:rsidP="00E1532A">
      <w:pPr>
        <w:pStyle w:val="Textonotapie"/>
        <w:ind w:firstLine="708"/>
        <w:rPr>
          <w:lang w:val="es-CO"/>
        </w:rPr>
      </w:pPr>
      <w:r>
        <w:rPr>
          <w:rStyle w:val="Refdenotaalpie"/>
        </w:rPr>
        <w:footnoteRef/>
      </w:r>
      <w:r>
        <w:t xml:space="preserve"> </w:t>
      </w:r>
      <w:r>
        <w:rPr>
          <w:rFonts w:ascii="Arial" w:hAnsi="Arial" w:cs="Arial"/>
          <w:sz w:val="19"/>
          <w:szCs w:val="19"/>
        </w:rPr>
        <w:t>Colombia Compra Eficiente. Guía para el manejo de ofertas artificialmente bajas en Procesos de Contratación. p. 3.</w:t>
      </w:r>
    </w:p>
  </w:footnote>
  <w:footnote w:id="8">
    <w:p w14:paraId="7CCE7C90" w14:textId="77777777" w:rsidR="00E1532A" w:rsidRDefault="00E1532A" w:rsidP="00E1532A">
      <w:pPr>
        <w:pStyle w:val="Textonotapie"/>
      </w:pPr>
    </w:p>
    <w:p w14:paraId="188DADA1" w14:textId="77777777" w:rsidR="00E1532A" w:rsidRDefault="00E1532A" w:rsidP="00E1532A">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Ibidem. p. 3.</w:t>
      </w:r>
    </w:p>
    <w:p w14:paraId="0E4AC325" w14:textId="77777777" w:rsidR="00E1532A" w:rsidRDefault="00E1532A" w:rsidP="00E1532A">
      <w:pPr>
        <w:pStyle w:val="Textonotapie"/>
        <w:ind w:firstLine="708"/>
        <w:rPr>
          <w:lang w:val="es-CO"/>
        </w:rPr>
      </w:pPr>
    </w:p>
  </w:footnote>
  <w:footnote w:id="9">
    <w:p w14:paraId="652D2B1F"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mediana representa el valor de la variable en posición central para un conjunto de datos ordenados.</w:t>
      </w:r>
    </w:p>
    <w:p w14:paraId="10DC2572" w14:textId="77777777" w:rsidR="00E1532A" w:rsidRDefault="00E1532A" w:rsidP="00E1532A">
      <w:pPr>
        <w:pStyle w:val="Textonotapie"/>
        <w:ind w:firstLine="708"/>
        <w:jc w:val="both"/>
        <w:rPr>
          <w:rFonts w:ascii="Arial" w:hAnsi="Arial" w:cs="Arial"/>
          <w:sz w:val="19"/>
          <w:szCs w:val="19"/>
          <w:lang w:val="es-ES"/>
        </w:rPr>
      </w:pPr>
    </w:p>
  </w:footnote>
  <w:footnote w:id="10">
    <w:p w14:paraId="6895507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Guía para el manejo de ofertas artificialmente bajas en Procesos de Contratación. p.5.</w:t>
      </w:r>
    </w:p>
    <w:p w14:paraId="433BEA93" w14:textId="77777777" w:rsidR="00E1532A" w:rsidRDefault="00E1532A" w:rsidP="00E1532A">
      <w:pPr>
        <w:pStyle w:val="Textonotapie"/>
        <w:ind w:firstLine="708"/>
        <w:jc w:val="both"/>
        <w:rPr>
          <w:rFonts w:ascii="Arial" w:hAnsi="Arial" w:cs="Arial"/>
          <w:sz w:val="19"/>
          <w:szCs w:val="19"/>
          <w:lang w:val="es-ES"/>
        </w:rPr>
      </w:pPr>
    </w:p>
  </w:footnote>
  <w:footnote w:id="11">
    <w:p w14:paraId="6CA2D5FA" w14:textId="77777777" w:rsidR="00E1532A" w:rsidRDefault="00E1532A" w:rsidP="00E1532A">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Diccionario de la Real Academia de la Lengua Española: «Identificar: […] 2. tr. Reconocer si una persona o cosa es la misma que se supone o se busca.</w:t>
      </w:r>
    </w:p>
    <w:p w14:paraId="3DF7CA16" w14:textId="77777777" w:rsidR="00E1532A" w:rsidRDefault="00E1532A" w:rsidP="00E1532A">
      <w:pPr>
        <w:pStyle w:val="Textonotapie"/>
        <w:ind w:firstLine="708"/>
        <w:rPr>
          <w:rFonts w:ascii="Arial" w:hAnsi="Arial" w:cs="Arial"/>
          <w:sz w:val="19"/>
          <w:szCs w:val="19"/>
        </w:rPr>
      </w:pPr>
      <w:r>
        <w:rPr>
          <w:rFonts w:ascii="Arial" w:hAnsi="Arial" w:cs="Arial"/>
          <w:sz w:val="19"/>
          <w:szCs w:val="19"/>
        </w:rPr>
        <w:t>[…]».</w:t>
      </w:r>
    </w:p>
    <w:p w14:paraId="661087FB" w14:textId="77777777" w:rsidR="00E1532A" w:rsidRDefault="00E1532A" w:rsidP="00E1532A">
      <w:pPr>
        <w:pStyle w:val="Textonotapie"/>
        <w:ind w:firstLine="708"/>
        <w:rPr>
          <w:lang w:val="es-CO"/>
        </w:rPr>
      </w:pPr>
    </w:p>
  </w:footnote>
  <w:footnote w:id="12">
    <w:p w14:paraId="233D87CB"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Guía para el manejo de ofertas artificialmente bajas en Procesos de Contratación. p.7.</w:t>
      </w:r>
    </w:p>
    <w:p w14:paraId="0A8F47E6" w14:textId="77777777" w:rsidR="00E1532A" w:rsidRDefault="00E1532A" w:rsidP="00E1532A">
      <w:pPr>
        <w:pStyle w:val="Textonotapie"/>
        <w:ind w:firstLine="708"/>
        <w:jc w:val="both"/>
        <w:rPr>
          <w:rFonts w:ascii="Arial" w:hAnsi="Arial" w:cs="Arial"/>
          <w:sz w:val="19"/>
          <w:szCs w:val="19"/>
          <w:lang w:val="es-ES"/>
        </w:rPr>
      </w:pPr>
    </w:p>
  </w:footnote>
  <w:footnote w:id="13">
    <w:p w14:paraId="35C5EB2B" w14:textId="77777777" w:rsidR="00E1532A" w:rsidRDefault="00E1532A" w:rsidP="00E1532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Consejo de Estado. Sección Segunda. Sentencia del 10 de junio de 1992. Exp. No. 4.249. C.P. Álvaro Lecompte Luna.</w:t>
      </w:r>
    </w:p>
    <w:p w14:paraId="04DB9556" w14:textId="77777777" w:rsidR="00E1532A" w:rsidRDefault="00E1532A" w:rsidP="00E1532A">
      <w:pPr>
        <w:pStyle w:val="Textonotapie"/>
        <w:ind w:firstLine="708"/>
        <w:jc w:val="both"/>
        <w:rPr>
          <w:rFonts w:ascii="Arial" w:hAnsi="Arial" w:cs="Arial"/>
          <w:sz w:val="19"/>
          <w:szCs w:val="19"/>
          <w:lang w:val="es-ES"/>
        </w:rPr>
      </w:pPr>
    </w:p>
  </w:footnote>
  <w:footnote w:id="14">
    <w:p w14:paraId="76FCA702"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3B26"/>
    <w:rsid w:val="00020C75"/>
    <w:rsid w:val="00066C9D"/>
    <w:rsid w:val="000942EB"/>
    <w:rsid w:val="000A639A"/>
    <w:rsid w:val="000B103F"/>
    <w:rsid w:val="000F14E8"/>
    <w:rsid w:val="00103915"/>
    <w:rsid w:val="00105B0E"/>
    <w:rsid w:val="00122B23"/>
    <w:rsid w:val="00137FFA"/>
    <w:rsid w:val="0016635D"/>
    <w:rsid w:val="001B403C"/>
    <w:rsid w:val="001E35AD"/>
    <w:rsid w:val="00234B84"/>
    <w:rsid w:val="0024110E"/>
    <w:rsid w:val="00282A6C"/>
    <w:rsid w:val="002C49C0"/>
    <w:rsid w:val="003033BA"/>
    <w:rsid w:val="00315A0E"/>
    <w:rsid w:val="0034680A"/>
    <w:rsid w:val="00386456"/>
    <w:rsid w:val="003A581E"/>
    <w:rsid w:val="003C25C4"/>
    <w:rsid w:val="00402016"/>
    <w:rsid w:val="00406F3E"/>
    <w:rsid w:val="004422D6"/>
    <w:rsid w:val="004A34D2"/>
    <w:rsid w:val="004E22FB"/>
    <w:rsid w:val="0051074C"/>
    <w:rsid w:val="00513AF2"/>
    <w:rsid w:val="0054413A"/>
    <w:rsid w:val="005564CA"/>
    <w:rsid w:val="005A79FE"/>
    <w:rsid w:val="005E44B3"/>
    <w:rsid w:val="006544DE"/>
    <w:rsid w:val="00655371"/>
    <w:rsid w:val="00697665"/>
    <w:rsid w:val="006A7FD0"/>
    <w:rsid w:val="006D7687"/>
    <w:rsid w:val="006E0572"/>
    <w:rsid w:val="00705631"/>
    <w:rsid w:val="00742DD2"/>
    <w:rsid w:val="0074616A"/>
    <w:rsid w:val="0074746B"/>
    <w:rsid w:val="0075647A"/>
    <w:rsid w:val="007634AD"/>
    <w:rsid w:val="00766610"/>
    <w:rsid w:val="0078122E"/>
    <w:rsid w:val="007B0854"/>
    <w:rsid w:val="007F629E"/>
    <w:rsid w:val="007F72CB"/>
    <w:rsid w:val="0083119B"/>
    <w:rsid w:val="00836EAB"/>
    <w:rsid w:val="0085092D"/>
    <w:rsid w:val="008E1C15"/>
    <w:rsid w:val="008E21F6"/>
    <w:rsid w:val="008E2685"/>
    <w:rsid w:val="008E45DD"/>
    <w:rsid w:val="009047C5"/>
    <w:rsid w:val="0095385A"/>
    <w:rsid w:val="00963942"/>
    <w:rsid w:val="00964D9F"/>
    <w:rsid w:val="00A24560"/>
    <w:rsid w:val="00A34538"/>
    <w:rsid w:val="00A419BF"/>
    <w:rsid w:val="00A57DCB"/>
    <w:rsid w:val="00AA442B"/>
    <w:rsid w:val="00B22E22"/>
    <w:rsid w:val="00B525CB"/>
    <w:rsid w:val="00B63CB2"/>
    <w:rsid w:val="00BA1FB5"/>
    <w:rsid w:val="00BD78FE"/>
    <w:rsid w:val="00BE2F0E"/>
    <w:rsid w:val="00C23E57"/>
    <w:rsid w:val="00CA287E"/>
    <w:rsid w:val="00CC00CD"/>
    <w:rsid w:val="00D16E39"/>
    <w:rsid w:val="00D72E9D"/>
    <w:rsid w:val="00D82CE5"/>
    <w:rsid w:val="00DA5AB1"/>
    <w:rsid w:val="00DC62E5"/>
    <w:rsid w:val="00DD735D"/>
    <w:rsid w:val="00DE3119"/>
    <w:rsid w:val="00DF236B"/>
    <w:rsid w:val="00E13AB8"/>
    <w:rsid w:val="00E1532A"/>
    <w:rsid w:val="00E33B62"/>
    <w:rsid w:val="00E42794"/>
    <w:rsid w:val="00EF5FB3"/>
    <w:rsid w:val="00F05078"/>
    <w:rsid w:val="00F53BED"/>
    <w:rsid w:val="00F84899"/>
    <w:rsid w:val="00F859F0"/>
    <w:rsid w:val="00FE141E"/>
    <w:rsid w:val="00FF175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F050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0BB4303-C124-44DA-8F6A-2B34FD87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16</Pages>
  <Words>5890</Words>
  <Characters>32399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2020-07-25T04:46:00Z</dcterms:created>
  <dcterms:modified xsi:type="dcterms:W3CDTF">2020-08-10T19:45:00Z</dcterms:modified>
</cp:coreProperties>
</file>