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62F8" w14:textId="7FFAC4E9" w:rsidR="007F7C03" w:rsidRPr="0008465D" w:rsidRDefault="00A71CEA" w:rsidP="0063204C">
      <w:pPr>
        <w:jc w:val="right"/>
        <w:rPr>
          <w:rFonts w:ascii="Arial" w:hAnsi="Arial" w:cs="Arial"/>
          <w:b/>
          <w:sz w:val="16"/>
          <w:szCs w:val="16"/>
          <w:lang w:val="es-ES" w:eastAsia="es-ES"/>
        </w:rPr>
      </w:pPr>
      <w:r w:rsidRPr="0008465D">
        <w:rPr>
          <w:rFonts w:ascii="Arial" w:hAnsi="Arial" w:cs="Arial"/>
          <w:b/>
          <w:sz w:val="16"/>
          <w:szCs w:val="16"/>
          <w:lang w:val="es-ES" w:eastAsia="es-ES"/>
        </w:rPr>
        <w:t>CCE-DES-FM-17</w:t>
      </w:r>
    </w:p>
    <w:p w14:paraId="3FBC9F04" w14:textId="77777777" w:rsidR="0031456F" w:rsidRPr="0008465D" w:rsidRDefault="0031456F" w:rsidP="0031456F">
      <w:pPr>
        <w:tabs>
          <w:tab w:val="left" w:pos="0"/>
        </w:tabs>
        <w:spacing w:line="276" w:lineRule="auto"/>
        <w:jc w:val="both"/>
        <w:rPr>
          <w:rFonts w:ascii="Arial" w:eastAsia="Calibri" w:hAnsi="Arial" w:cs="Arial"/>
          <w:b/>
          <w:sz w:val="22"/>
          <w:lang w:val="es-ES"/>
        </w:rPr>
      </w:pPr>
    </w:p>
    <w:p w14:paraId="253E81B5" w14:textId="77777777" w:rsidR="00A4084D" w:rsidRPr="00A03FAB" w:rsidRDefault="00A4084D" w:rsidP="00A4084D">
      <w:pPr>
        <w:jc w:val="both"/>
        <w:rPr>
          <w:rFonts w:ascii="Arial" w:eastAsia="Calibri" w:hAnsi="Arial" w:cs="Arial"/>
          <w:b/>
          <w:bCs/>
          <w:sz w:val="22"/>
          <w:szCs w:val="22"/>
        </w:rPr>
      </w:pPr>
      <w:r w:rsidRPr="00A03FAB">
        <w:rPr>
          <w:rFonts w:ascii="Arial" w:eastAsia="Calibri" w:hAnsi="Arial" w:cs="Arial"/>
          <w:b/>
          <w:bCs/>
          <w:sz w:val="22"/>
          <w:szCs w:val="22"/>
        </w:rPr>
        <w:t>CAPACIDAD RESIDUAL – Definición</w:t>
      </w:r>
    </w:p>
    <w:p w14:paraId="6A02CA9A" w14:textId="77777777" w:rsidR="00A4084D" w:rsidRPr="00A03FAB" w:rsidRDefault="00A4084D" w:rsidP="00A4084D">
      <w:pPr>
        <w:jc w:val="both"/>
        <w:rPr>
          <w:rFonts w:ascii="Arial" w:eastAsia="Calibri" w:hAnsi="Arial" w:cs="Arial"/>
          <w:b/>
          <w:sz w:val="20"/>
          <w:szCs w:val="20"/>
        </w:rPr>
      </w:pPr>
    </w:p>
    <w:p w14:paraId="42E06125" w14:textId="672A07B5" w:rsidR="00A00F82" w:rsidRPr="00A00F82" w:rsidRDefault="00A00F82" w:rsidP="00A00F82">
      <w:pPr>
        <w:spacing w:after="120"/>
        <w:jc w:val="both"/>
        <w:rPr>
          <w:rFonts w:ascii="Arial" w:eastAsia="Calibri" w:hAnsi="Arial" w:cs="Arial"/>
          <w:b/>
          <w:sz w:val="20"/>
          <w:szCs w:val="20"/>
        </w:rPr>
      </w:pPr>
      <w:r w:rsidRPr="0063580F">
        <w:rPr>
          <w:rFonts w:ascii="Arial" w:eastAsiaTheme="minorHAnsi" w:hAnsi="Arial" w:cs="Arial"/>
          <w:color w:val="000000" w:themeColor="text1"/>
          <w:sz w:val="20"/>
          <w:szCs w:val="20"/>
          <w:lang w:val="es-MX"/>
        </w:rPr>
        <w:t>De acuerdo con la definición establecida en el artículo 2.2.1.1.1.3.1. del Decreto 1082 de 2015, la capacidad residual es la aptitud de los oferentes para cumplir de manera oportuna y a cabalidad el objeto de un contrato de obra, sin que los demás compromisos contractuales que han adquirido afecten su habilidad para cumplir el objeto del contrato que está en proceso de selección. Por su parte, el Consejo de Estado ha definido la capacidad residual como «[…] la diferencia que existe entre el potencial de contratación que se tiene y los compromisos que haya adquirido y que se encuentren en ejecución, para la fecha de presentación de la oferta».En tales términos, la capacidad residual hace referencia a la suficiencia que tiene el proponente para asumir nuevas obligaciones que se derivan del contrato objeto del proceso de contratación, en relación con las obligaciones que ya adquirió frente a otros contratos</w:t>
      </w:r>
      <w:r w:rsidRPr="0063580F">
        <w:rPr>
          <w:rFonts w:ascii="Arial" w:hAnsi="Arial" w:cs="Arial"/>
          <w:sz w:val="20"/>
          <w:szCs w:val="20"/>
        </w:rPr>
        <w:t>Al respecto, la Ley 1150 de 2007 establece que la capacidad residual de los interesados en participar en procesos de selección para contratos de obra pública deberá ser igual o superior a la que la entidad ha establecido en los pliegos de condiciones</w:t>
      </w:r>
      <w:r>
        <w:rPr>
          <w:rFonts w:ascii="Arial" w:hAnsi="Arial" w:cs="Arial"/>
          <w:sz w:val="20"/>
          <w:szCs w:val="20"/>
        </w:rPr>
        <w:t xml:space="preserve">. </w:t>
      </w:r>
    </w:p>
    <w:p w14:paraId="0F780C21" w14:textId="77777777" w:rsidR="00A4084D" w:rsidRPr="0063580F" w:rsidRDefault="00A4084D" w:rsidP="00A00F82">
      <w:pPr>
        <w:jc w:val="both"/>
        <w:rPr>
          <w:rFonts w:ascii="Arial" w:eastAsia="Calibri" w:hAnsi="Arial" w:cs="Arial"/>
          <w:bCs/>
          <w:sz w:val="20"/>
          <w:szCs w:val="20"/>
        </w:rPr>
      </w:pPr>
    </w:p>
    <w:p w14:paraId="0B760DC1" w14:textId="77777777" w:rsidR="00A4084D" w:rsidRPr="00A03FAB" w:rsidRDefault="00A4084D" w:rsidP="00A4084D">
      <w:pPr>
        <w:jc w:val="both"/>
        <w:rPr>
          <w:rFonts w:ascii="Arial" w:eastAsia="Calibri" w:hAnsi="Arial" w:cs="Arial"/>
          <w:b/>
          <w:bCs/>
          <w:sz w:val="22"/>
          <w:szCs w:val="22"/>
        </w:rPr>
      </w:pPr>
      <w:r w:rsidRPr="00A03FAB">
        <w:rPr>
          <w:rFonts w:ascii="Arial" w:eastAsia="Calibri" w:hAnsi="Arial" w:cs="Arial"/>
          <w:b/>
          <w:bCs/>
          <w:sz w:val="22"/>
          <w:szCs w:val="22"/>
        </w:rPr>
        <w:t>CAPACIDAD RESIDUAL – Cálculo – Factores – Contratos de obra</w:t>
      </w:r>
    </w:p>
    <w:p w14:paraId="4AFA6EB1" w14:textId="77777777" w:rsidR="00A4084D" w:rsidRPr="00A03FAB" w:rsidRDefault="00A4084D" w:rsidP="00A4084D">
      <w:pPr>
        <w:jc w:val="both"/>
        <w:rPr>
          <w:rFonts w:ascii="Arial" w:eastAsia="Calibri" w:hAnsi="Arial" w:cs="Arial"/>
          <w:b/>
          <w:sz w:val="20"/>
          <w:szCs w:val="20"/>
        </w:rPr>
      </w:pPr>
    </w:p>
    <w:p w14:paraId="29B3E0CF" w14:textId="599A48DA" w:rsidR="00A00F82" w:rsidRPr="0063580F" w:rsidRDefault="00A4084D" w:rsidP="0063580F">
      <w:pPr>
        <w:spacing w:before="120" w:line="276" w:lineRule="auto"/>
        <w:jc w:val="both"/>
        <w:rPr>
          <w:rFonts w:ascii="Arial" w:eastAsiaTheme="minorHAnsi" w:hAnsi="Arial" w:cs="Arial"/>
          <w:color w:val="000000" w:themeColor="text1"/>
          <w:sz w:val="20"/>
          <w:szCs w:val="20"/>
          <w:lang w:val="es-MX" w:eastAsia="en-US"/>
        </w:rPr>
      </w:pPr>
      <w:r w:rsidRPr="00A00F82">
        <w:rPr>
          <w:rFonts w:ascii="Arial" w:eastAsia="Calibri" w:hAnsi="Arial" w:cs="Arial"/>
          <w:bCs/>
          <w:sz w:val="20"/>
          <w:szCs w:val="20"/>
        </w:rPr>
        <w:t>[…]</w:t>
      </w:r>
      <w:r w:rsidR="00A00F82" w:rsidRPr="0063580F">
        <w:rPr>
          <w:rFonts w:ascii="Arial" w:eastAsiaTheme="minorHAnsi" w:hAnsi="Arial" w:cs="Arial"/>
          <w:color w:val="000000" w:themeColor="text1"/>
          <w:sz w:val="20"/>
          <w:szCs w:val="20"/>
          <w:lang w:val="es-MX" w:eastAsia="en-US"/>
        </w:rPr>
        <w:t xml:space="preserve">el artículo 72 de la Ley 1682 de 2013, por la cual se adoptan medidas y disposiciones para los proyectos de infraestructura de transporte, estableció que la capacidad residual del proponente se debe calcular mediante la evaluación de los siguientes factores: Experiencia –E–, Capacidad Financiera –CF–, Capacidad Técnica –CT– y Capacidad de </w:t>
      </w:r>
      <w:r w:rsidR="00A00F82" w:rsidRPr="0063580F">
        <w:rPr>
          <w:rFonts w:ascii="Arial" w:eastAsia="Calibri" w:hAnsi="Arial" w:cs="Arial"/>
          <w:bCs/>
          <w:color w:val="000000" w:themeColor="text1"/>
          <w:sz w:val="20"/>
          <w:szCs w:val="20"/>
          <w:lang w:val="es-MX" w:eastAsia="en-US"/>
        </w:rPr>
        <w:t>Organización</w:t>
      </w:r>
      <w:r w:rsidR="00A00F82" w:rsidRPr="0063580F">
        <w:rPr>
          <w:rFonts w:ascii="Arial" w:eastAsiaTheme="minorHAnsi" w:hAnsi="Arial" w:cs="Arial"/>
          <w:color w:val="000000" w:themeColor="text1"/>
          <w:sz w:val="20"/>
          <w:szCs w:val="20"/>
          <w:lang w:val="es-MX" w:eastAsia="en-US"/>
        </w:rPr>
        <w:t xml:space="preserve"> –CO–. </w:t>
      </w:r>
    </w:p>
    <w:p w14:paraId="04756461" w14:textId="6B79E67D" w:rsidR="00A4084D" w:rsidRPr="0063580F" w:rsidRDefault="00A00F82" w:rsidP="00A00F82">
      <w:pPr>
        <w:jc w:val="both"/>
        <w:rPr>
          <w:rFonts w:ascii="Arial" w:eastAsia="Calibri" w:hAnsi="Arial" w:cs="Arial"/>
          <w:bCs/>
          <w:sz w:val="20"/>
          <w:szCs w:val="20"/>
        </w:rPr>
      </w:pPr>
      <w:r w:rsidRPr="0063580F">
        <w:rPr>
          <w:rFonts w:ascii="Arial" w:eastAsia="Calibri" w:hAnsi="Arial" w:cs="Arial"/>
          <w:color w:val="000000" w:themeColor="text1"/>
          <w:sz w:val="20"/>
          <w:szCs w:val="20"/>
          <w:lang w:val="es-MX" w:eastAsia="en-US"/>
        </w:rPr>
        <w:t>Igualmente, el artículo 2.2.1.1.1.6.4 del Decreto 1082 de 2015, establece que las entidades estatales deberán calcular la capacidad residual conforme a la metodología definida por Colombia Compre Eficiente y precisó que, para tales fines, resulta necesario tener en cuenta los factores de: i) experiencia; ii) capacidad financiera; iii) capacidad técnica; iv) capacidad de organización; y v) los saldos de los contratos en ejecución.</w:t>
      </w:r>
    </w:p>
    <w:p w14:paraId="26989C2E" w14:textId="77777777" w:rsidR="00A4084D" w:rsidRPr="00A03FAB" w:rsidRDefault="00A4084D" w:rsidP="00A4084D">
      <w:pPr>
        <w:jc w:val="both"/>
        <w:rPr>
          <w:rFonts w:ascii="Arial" w:eastAsia="Calibri" w:hAnsi="Arial" w:cs="Arial"/>
          <w:bCs/>
          <w:sz w:val="20"/>
          <w:szCs w:val="20"/>
        </w:rPr>
      </w:pPr>
    </w:p>
    <w:p w14:paraId="47AC5A5E" w14:textId="77777777" w:rsidR="00A4084D" w:rsidRPr="00A03FAB" w:rsidRDefault="00A4084D" w:rsidP="00A4084D">
      <w:pPr>
        <w:jc w:val="both"/>
        <w:rPr>
          <w:rFonts w:ascii="Arial" w:eastAsia="Calibri" w:hAnsi="Arial" w:cs="Arial"/>
          <w:b/>
          <w:bCs/>
          <w:sz w:val="22"/>
          <w:szCs w:val="22"/>
        </w:rPr>
      </w:pPr>
      <w:r w:rsidRPr="00A03FAB">
        <w:rPr>
          <w:rFonts w:ascii="Arial" w:eastAsia="Calibri" w:hAnsi="Arial" w:cs="Arial"/>
          <w:b/>
          <w:bCs/>
          <w:sz w:val="22"/>
          <w:szCs w:val="22"/>
        </w:rPr>
        <w:t>CAPACIDAD RESIDUAL – Carga – Entidades públicas</w:t>
      </w:r>
    </w:p>
    <w:p w14:paraId="3A1390D4" w14:textId="77777777" w:rsidR="00A4084D" w:rsidRPr="00A03FAB" w:rsidRDefault="00A4084D" w:rsidP="00A4084D">
      <w:pPr>
        <w:jc w:val="both"/>
        <w:rPr>
          <w:rFonts w:ascii="Arial" w:eastAsia="Calibri" w:hAnsi="Arial" w:cs="Arial"/>
          <w:b/>
          <w:sz w:val="20"/>
          <w:szCs w:val="20"/>
        </w:rPr>
      </w:pPr>
    </w:p>
    <w:p w14:paraId="68CD5D80" w14:textId="179B69C8" w:rsidR="00A00F82" w:rsidRPr="0063580F" w:rsidRDefault="00A4084D" w:rsidP="0063580F">
      <w:pPr>
        <w:pStyle w:val="Textoindependiente"/>
        <w:jc w:val="both"/>
        <w:rPr>
          <w:lang w:val="es-CO"/>
        </w:rPr>
      </w:pPr>
      <w:r w:rsidRPr="00A00F82">
        <w:rPr>
          <w:rFonts w:eastAsia="Calibri"/>
          <w:bCs/>
        </w:rPr>
        <w:t xml:space="preserve">[…] </w:t>
      </w:r>
      <w:bookmarkStart w:id="0" w:name="OLE_LINK1"/>
      <w:bookmarkStart w:id="1" w:name="OLE_LINK2"/>
      <w:r w:rsidR="00A00F82" w:rsidRPr="0063580F">
        <w:rPr>
          <w:lang w:val="es-CO"/>
        </w:rPr>
        <w:t xml:space="preserve">esta Agencia expidió la </w:t>
      </w:r>
      <w:r w:rsidR="00A00F82" w:rsidRPr="0063580F">
        <w:rPr>
          <w:i/>
          <w:iCs/>
          <w:lang w:val="es-CO"/>
        </w:rPr>
        <w:t>Guía para Determinar y Verificar la Capacidad Residual del Proponente en los Procesos de Contratación de Obra Pública</w:t>
      </w:r>
      <w:r w:rsidR="00A00F82" w:rsidRPr="0063580F">
        <w:rPr>
          <w:lang w:val="es-CO"/>
        </w:rPr>
        <w:t xml:space="preserve">. En este documento se establece, entre otras cuestiones, que a la entidad contratante le corresponde, primero, establecer la capacidad residual del proceso de contratación </w:t>
      </w:r>
      <w:r w:rsidR="00A00F82" w:rsidRPr="0063580F">
        <w:rPr>
          <w:i/>
          <w:iCs/>
          <w:lang w:val="es-CO"/>
        </w:rPr>
        <w:t>CRPC</w:t>
      </w:r>
      <w:r w:rsidR="00A00F82" w:rsidRPr="0063580F">
        <w:rPr>
          <w:lang w:val="es-CO"/>
        </w:rPr>
        <w:t xml:space="preserve"> y, segundo, determinar si los proponentes cumplen con la capacidad residual del proceso de contratación, claro está, teniendo en cuenta la siguiente información aportada por el proponente:</w:t>
      </w:r>
    </w:p>
    <w:p w14:paraId="2988E5F2" w14:textId="77777777" w:rsidR="00A00F82" w:rsidRPr="0063580F" w:rsidRDefault="00A00F82" w:rsidP="00A00F82">
      <w:pPr>
        <w:pStyle w:val="Textoindependiente"/>
        <w:ind w:left="709" w:right="760"/>
        <w:jc w:val="both"/>
        <w:rPr>
          <w:lang w:val="es-CO"/>
        </w:rPr>
      </w:pPr>
    </w:p>
    <w:p w14:paraId="03EA44B7" w14:textId="77777777" w:rsidR="00A00F82" w:rsidRPr="0063580F" w:rsidRDefault="00A00F82" w:rsidP="0063580F">
      <w:pPr>
        <w:pStyle w:val="Textoindependiente"/>
        <w:numPr>
          <w:ilvl w:val="0"/>
          <w:numId w:val="12"/>
        </w:numPr>
        <w:tabs>
          <w:tab w:val="left" w:pos="993"/>
        </w:tabs>
        <w:ind w:left="709" w:right="709" w:firstLine="0"/>
        <w:jc w:val="both"/>
        <w:rPr>
          <w:lang w:val="es-CO"/>
        </w:rPr>
      </w:pPr>
      <w:r w:rsidRPr="0063580F">
        <w:rPr>
          <w:lang w:val="es-CO"/>
        </w:rPr>
        <w:t>La lista de los Contratos en Ejecución, así como el valor y plazo de tales contratos.</w:t>
      </w:r>
    </w:p>
    <w:p w14:paraId="4D5AE51D" w14:textId="77777777" w:rsidR="00A00F82" w:rsidRPr="0063580F" w:rsidRDefault="00A00F82" w:rsidP="0063580F">
      <w:pPr>
        <w:pStyle w:val="Textoindependiente"/>
        <w:tabs>
          <w:tab w:val="left" w:pos="993"/>
        </w:tabs>
        <w:ind w:left="709" w:right="709"/>
        <w:jc w:val="both"/>
        <w:rPr>
          <w:lang w:val="es-CO"/>
        </w:rPr>
      </w:pPr>
    </w:p>
    <w:p w14:paraId="33147210" w14:textId="77777777" w:rsidR="00A00F82" w:rsidRPr="0063580F" w:rsidRDefault="00A00F82" w:rsidP="0063580F">
      <w:pPr>
        <w:pStyle w:val="Textoindependiente"/>
        <w:numPr>
          <w:ilvl w:val="0"/>
          <w:numId w:val="12"/>
        </w:numPr>
        <w:tabs>
          <w:tab w:val="left" w:pos="993"/>
        </w:tabs>
        <w:ind w:left="709" w:right="709" w:firstLine="0"/>
        <w:jc w:val="both"/>
        <w:rPr>
          <w:lang w:val="es-CO"/>
        </w:rPr>
      </w:pPr>
      <w:r w:rsidRPr="0063580F">
        <w:rPr>
          <w:lang w:val="es-CO"/>
        </w:rPr>
        <w:t>La lista de los Contratos en Ejecución, suscritos por sociedades, consorcios o uniones temporales, en los cuales el proponente tenga participación, así como el valor y plazo de tales contratos.</w:t>
      </w:r>
    </w:p>
    <w:p w14:paraId="32689233" w14:textId="77777777" w:rsidR="00A00F82" w:rsidRPr="0063580F" w:rsidRDefault="00A00F82" w:rsidP="0063580F">
      <w:pPr>
        <w:pStyle w:val="Textoindependiente"/>
        <w:tabs>
          <w:tab w:val="left" w:pos="993"/>
        </w:tabs>
        <w:ind w:right="709"/>
        <w:jc w:val="both"/>
        <w:rPr>
          <w:lang w:val="es-CO"/>
        </w:rPr>
      </w:pPr>
    </w:p>
    <w:p w14:paraId="70BD85D1" w14:textId="77777777" w:rsidR="00A00F82" w:rsidRPr="0063580F" w:rsidRDefault="00A00F82" w:rsidP="0063580F">
      <w:pPr>
        <w:pStyle w:val="Textoindependiente"/>
        <w:numPr>
          <w:ilvl w:val="0"/>
          <w:numId w:val="12"/>
        </w:numPr>
        <w:tabs>
          <w:tab w:val="left" w:pos="993"/>
        </w:tabs>
        <w:ind w:left="709" w:right="709" w:firstLine="0"/>
        <w:jc w:val="both"/>
        <w:rPr>
          <w:lang w:val="es-CO"/>
        </w:rPr>
      </w:pPr>
      <w:r w:rsidRPr="0063580F">
        <w:rPr>
          <w:lang w:val="es-CO"/>
        </w:rPr>
        <w:t xml:space="preserve">El estado de resultados auditado que contiene el mejor ingreso operacional de los últimos cinco (5) años y el balance general auditado del último año, suscrito por el interesado o su representante legal y el revisor fiscal si está obligado a tenerlo, o </w:t>
      </w:r>
      <w:r w:rsidRPr="0063580F">
        <w:rPr>
          <w:lang w:val="es-CO"/>
        </w:rPr>
        <w:lastRenderedPageBreak/>
        <w:t>el auditor o contador si no está obligado a tener revisor fiscal. Si se trata de proponentes obligados a tener RUP, las Entidades Estatales solo deben solicitar como documento adicional el estado de resultados que contiene el mejor ingreso operacional de los últimos cinco (5) años puesto que la información de la liquidez se encuentra en el RUP.</w:t>
      </w:r>
    </w:p>
    <w:bookmarkEnd w:id="0"/>
    <w:bookmarkEnd w:id="1"/>
    <w:p w14:paraId="159CCC8F" w14:textId="77777777" w:rsidR="00A4084D" w:rsidRPr="00A03FAB" w:rsidRDefault="00A4084D" w:rsidP="00A4084D">
      <w:pPr>
        <w:jc w:val="both"/>
        <w:rPr>
          <w:rFonts w:ascii="Arial" w:eastAsia="Calibri" w:hAnsi="Arial" w:cs="Arial"/>
          <w:bCs/>
          <w:sz w:val="20"/>
          <w:szCs w:val="20"/>
        </w:rPr>
      </w:pPr>
    </w:p>
    <w:p w14:paraId="3B604F1C" w14:textId="77777777" w:rsidR="00A4084D" w:rsidRPr="00A03FAB" w:rsidRDefault="00A4084D" w:rsidP="00A4084D">
      <w:pPr>
        <w:autoSpaceDE w:val="0"/>
        <w:autoSpaceDN w:val="0"/>
        <w:adjustRightInd w:val="0"/>
        <w:jc w:val="both"/>
        <w:rPr>
          <w:rFonts w:ascii="Arial" w:eastAsia="Calibri" w:hAnsi="Arial" w:cs="Arial"/>
          <w:b/>
          <w:bCs/>
          <w:sz w:val="22"/>
          <w:szCs w:val="22"/>
        </w:rPr>
      </w:pPr>
      <w:r w:rsidRPr="00A03FAB">
        <w:rPr>
          <w:rFonts w:ascii="Arial" w:eastAsia="Calibri" w:hAnsi="Arial" w:cs="Arial"/>
          <w:b/>
          <w:bCs/>
          <w:sz w:val="22"/>
          <w:szCs w:val="22"/>
        </w:rPr>
        <w:t xml:space="preserve">CAPACIDAD RESIDUAL – Proponente – Saldos – Contratos en Ejecución </w:t>
      </w:r>
    </w:p>
    <w:p w14:paraId="78C7B1BF" w14:textId="77777777" w:rsidR="00A4084D" w:rsidRPr="00A03FAB" w:rsidRDefault="00A4084D" w:rsidP="00A4084D">
      <w:pPr>
        <w:autoSpaceDE w:val="0"/>
        <w:autoSpaceDN w:val="0"/>
        <w:adjustRightInd w:val="0"/>
        <w:jc w:val="both"/>
        <w:rPr>
          <w:rFonts w:ascii="Arial" w:eastAsia="Calibri" w:hAnsi="Arial" w:cs="Arial"/>
          <w:b/>
          <w:sz w:val="22"/>
        </w:rPr>
      </w:pPr>
    </w:p>
    <w:p w14:paraId="694BE690" w14:textId="77777777" w:rsidR="0063580F" w:rsidRDefault="0063580F" w:rsidP="0063580F">
      <w:pPr>
        <w:spacing w:line="276" w:lineRule="auto"/>
        <w:jc w:val="both"/>
        <w:rPr>
          <w:rFonts w:ascii="Arial" w:hAnsi="Arial" w:cs="Arial"/>
          <w:sz w:val="22"/>
          <w:szCs w:val="22"/>
        </w:rPr>
      </w:pPr>
      <w:r>
        <w:rPr>
          <w:rFonts w:ascii="Arial" w:hAnsi="Arial" w:cs="Arial"/>
          <w:sz w:val="22"/>
          <w:szCs w:val="22"/>
        </w:rPr>
        <w:t xml:space="preserve">Para acreditar tales valores, correspondientes al factor Saldos de Contratos en Ejecución (SCE), la </w:t>
      </w:r>
      <w:r w:rsidRPr="00A00F82">
        <w:rPr>
          <w:rFonts w:ascii="Arial" w:hAnsi="Arial" w:cs="Arial"/>
          <w:i/>
          <w:iCs/>
          <w:sz w:val="22"/>
          <w:szCs w:val="22"/>
        </w:rPr>
        <w:t>Guía para Determinar y Verificar la Capacidad Residual del Proponente en los Procesos de Contratación de Obra Pública</w:t>
      </w:r>
      <w:r>
        <w:rPr>
          <w:rFonts w:ascii="Arial" w:hAnsi="Arial" w:cs="Arial"/>
          <w:i/>
          <w:iCs/>
          <w:sz w:val="22"/>
          <w:szCs w:val="22"/>
        </w:rPr>
        <w:t xml:space="preserve"> </w:t>
      </w:r>
      <w:r>
        <w:rPr>
          <w:rFonts w:ascii="Arial" w:hAnsi="Arial" w:cs="Arial"/>
          <w:sz w:val="22"/>
          <w:szCs w:val="22"/>
        </w:rPr>
        <w:t xml:space="preserve">establece lo siguiente: </w:t>
      </w:r>
    </w:p>
    <w:p w14:paraId="1FD91D59" w14:textId="77777777" w:rsidR="0063580F" w:rsidRDefault="0063580F" w:rsidP="0063580F">
      <w:pPr>
        <w:spacing w:after="120" w:line="276" w:lineRule="auto"/>
        <w:ind w:left="709" w:right="709"/>
        <w:jc w:val="both"/>
        <w:rPr>
          <w:rFonts w:ascii="Arial" w:hAnsi="Arial" w:cs="Arial"/>
          <w:sz w:val="21"/>
          <w:szCs w:val="21"/>
        </w:rPr>
      </w:pPr>
    </w:p>
    <w:p w14:paraId="67479C8C" w14:textId="77777777" w:rsidR="0063580F" w:rsidRDefault="0063580F" w:rsidP="0063580F">
      <w:pPr>
        <w:spacing w:line="276" w:lineRule="auto"/>
        <w:ind w:left="709" w:right="709"/>
        <w:jc w:val="both"/>
        <w:rPr>
          <w:rFonts w:ascii="Arial" w:hAnsi="Arial" w:cs="Arial"/>
          <w:sz w:val="21"/>
          <w:szCs w:val="21"/>
        </w:rPr>
      </w:pPr>
      <w:r w:rsidRPr="00A00F82">
        <w:rPr>
          <w:rFonts w:ascii="Arial" w:hAnsi="Arial" w:cs="Arial"/>
          <w:sz w:val="21"/>
          <w:szCs w:val="21"/>
        </w:rPr>
        <w:t>El proponente debe presentar un certificado suscrito por su representante legal y su revisor fiscal, si el proponente está obligado a tenerlo, o por el contador o su auditor independiente, el cual contenga la lista de los Contratos en Ejecución, tanto a nivel nacional como internacional, indicando: (i) el valor del contrato; (ii) el plazo del contrato en meses; (iii) la fecha de inicio de las obras objeto del contrato, día, mes, año; (iv) si la obra la ejecuta un consorcio, unión temporal o sociedad de propósito especial, junto con el porcentaje de participación del oferente que presenta el certificado; (v) si el contrato se encuentra suspendido, y si es así, la fecha de suspensión. Si el proponente no tiene Contratos en Ejecución, en el certificado debe constar expresamente esa circunstancia.</w:t>
      </w:r>
    </w:p>
    <w:p w14:paraId="1E849B4B" w14:textId="604640EB" w:rsidR="0063580F" w:rsidRDefault="0063580F" w:rsidP="00A4084D">
      <w:pPr>
        <w:spacing w:after="120"/>
        <w:jc w:val="both"/>
        <w:rPr>
          <w:rFonts w:ascii="Arial" w:eastAsia="Arial," w:hAnsi="Arial" w:cs="Arial"/>
          <w:sz w:val="20"/>
          <w:szCs w:val="20"/>
        </w:rPr>
      </w:pPr>
    </w:p>
    <w:p w14:paraId="02356BD0" w14:textId="5675C861" w:rsidR="0063580F" w:rsidRDefault="0063580F" w:rsidP="00A4084D">
      <w:pPr>
        <w:spacing w:after="120"/>
        <w:jc w:val="both"/>
        <w:rPr>
          <w:rFonts w:ascii="Arial" w:eastAsia="Arial," w:hAnsi="Arial" w:cs="Arial"/>
          <w:sz w:val="20"/>
          <w:szCs w:val="20"/>
        </w:rPr>
      </w:pPr>
    </w:p>
    <w:p w14:paraId="7F950575" w14:textId="12FF50A5" w:rsidR="0063580F" w:rsidRDefault="0063580F" w:rsidP="00A4084D">
      <w:pPr>
        <w:spacing w:after="120"/>
        <w:jc w:val="both"/>
        <w:rPr>
          <w:rFonts w:ascii="Arial" w:eastAsia="Arial," w:hAnsi="Arial" w:cs="Arial"/>
          <w:sz w:val="20"/>
          <w:szCs w:val="20"/>
        </w:rPr>
      </w:pPr>
    </w:p>
    <w:p w14:paraId="67C57639" w14:textId="1D554FF6" w:rsidR="0063580F" w:rsidRDefault="0063580F" w:rsidP="00A4084D">
      <w:pPr>
        <w:spacing w:after="120"/>
        <w:jc w:val="both"/>
        <w:rPr>
          <w:rFonts w:ascii="Arial" w:eastAsia="Arial," w:hAnsi="Arial" w:cs="Arial"/>
          <w:sz w:val="20"/>
          <w:szCs w:val="20"/>
        </w:rPr>
      </w:pPr>
    </w:p>
    <w:p w14:paraId="6CE94F61" w14:textId="4D973339" w:rsidR="0063580F" w:rsidRDefault="0063580F" w:rsidP="00A4084D">
      <w:pPr>
        <w:spacing w:after="120"/>
        <w:jc w:val="both"/>
        <w:rPr>
          <w:rFonts w:ascii="Arial" w:eastAsia="Arial," w:hAnsi="Arial" w:cs="Arial"/>
          <w:sz w:val="20"/>
          <w:szCs w:val="20"/>
        </w:rPr>
      </w:pPr>
    </w:p>
    <w:p w14:paraId="3C94FCA1" w14:textId="3AAC8E0C" w:rsidR="0063580F" w:rsidRDefault="0063580F" w:rsidP="00A4084D">
      <w:pPr>
        <w:spacing w:after="120"/>
        <w:jc w:val="both"/>
        <w:rPr>
          <w:rFonts w:ascii="Arial" w:eastAsia="Arial," w:hAnsi="Arial" w:cs="Arial"/>
          <w:sz w:val="20"/>
          <w:szCs w:val="20"/>
        </w:rPr>
      </w:pPr>
    </w:p>
    <w:p w14:paraId="08D228DF" w14:textId="0176A392" w:rsidR="0063580F" w:rsidRDefault="0063580F" w:rsidP="00A4084D">
      <w:pPr>
        <w:spacing w:after="120"/>
        <w:jc w:val="both"/>
        <w:rPr>
          <w:rFonts w:ascii="Arial" w:eastAsia="Arial," w:hAnsi="Arial" w:cs="Arial"/>
          <w:sz w:val="20"/>
          <w:szCs w:val="20"/>
        </w:rPr>
      </w:pPr>
    </w:p>
    <w:p w14:paraId="3F6DC020" w14:textId="70706C48" w:rsidR="0063580F" w:rsidRDefault="0063580F" w:rsidP="00A4084D">
      <w:pPr>
        <w:spacing w:after="120"/>
        <w:jc w:val="both"/>
        <w:rPr>
          <w:rFonts w:ascii="Arial" w:eastAsia="Arial," w:hAnsi="Arial" w:cs="Arial"/>
          <w:sz w:val="20"/>
          <w:szCs w:val="20"/>
        </w:rPr>
      </w:pPr>
    </w:p>
    <w:p w14:paraId="23F6F79A" w14:textId="548582B8" w:rsidR="0063580F" w:rsidRDefault="0063580F" w:rsidP="00A4084D">
      <w:pPr>
        <w:spacing w:after="120"/>
        <w:jc w:val="both"/>
        <w:rPr>
          <w:rFonts w:ascii="Arial" w:eastAsia="Arial," w:hAnsi="Arial" w:cs="Arial"/>
          <w:sz w:val="20"/>
          <w:szCs w:val="20"/>
        </w:rPr>
      </w:pPr>
    </w:p>
    <w:p w14:paraId="20F4BA64" w14:textId="679F573B" w:rsidR="0063580F" w:rsidRDefault="0063580F" w:rsidP="00A4084D">
      <w:pPr>
        <w:spacing w:after="120"/>
        <w:jc w:val="both"/>
        <w:rPr>
          <w:rFonts w:ascii="Arial" w:eastAsia="Arial," w:hAnsi="Arial" w:cs="Arial"/>
          <w:sz w:val="20"/>
          <w:szCs w:val="20"/>
        </w:rPr>
      </w:pPr>
    </w:p>
    <w:p w14:paraId="66E26885" w14:textId="16D09A59" w:rsidR="0063580F" w:rsidRDefault="0063580F" w:rsidP="00A4084D">
      <w:pPr>
        <w:spacing w:after="120"/>
        <w:jc w:val="both"/>
        <w:rPr>
          <w:rFonts w:ascii="Arial" w:eastAsia="Arial," w:hAnsi="Arial" w:cs="Arial"/>
          <w:sz w:val="20"/>
          <w:szCs w:val="20"/>
        </w:rPr>
      </w:pPr>
    </w:p>
    <w:p w14:paraId="5BBE0E9D" w14:textId="2543856A" w:rsidR="0063580F" w:rsidRDefault="0063580F" w:rsidP="00A4084D">
      <w:pPr>
        <w:spacing w:after="120"/>
        <w:jc w:val="both"/>
        <w:rPr>
          <w:rFonts w:ascii="Arial" w:eastAsia="Arial," w:hAnsi="Arial" w:cs="Arial"/>
          <w:sz w:val="20"/>
          <w:szCs w:val="20"/>
        </w:rPr>
      </w:pPr>
    </w:p>
    <w:p w14:paraId="2A61E7F6" w14:textId="090C818B" w:rsidR="0063580F" w:rsidRDefault="0063580F" w:rsidP="00A4084D">
      <w:pPr>
        <w:spacing w:after="120"/>
        <w:jc w:val="both"/>
        <w:rPr>
          <w:rFonts w:ascii="Arial" w:eastAsia="Arial," w:hAnsi="Arial" w:cs="Arial"/>
          <w:sz w:val="20"/>
          <w:szCs w:val="20"/>
        </w:rPr>
      </w:pPr>
    </w:p>
    <w:p w14:paraId="3FD25550" w14:textId="031FB129" w:rsidR="0063580F" w:rsidRDefault="0063580F" w:rsidP="00A4084D">
      <w:pPr>
        <w:spacing w:after="120"/>
        <w:jc w:val="both"/>
        <w:rPr>
          <w:rFonts w:ascii="Arial" w:eastAsia="Arial," w:hAnsi="Arial" w:cs="Arial"/>
          <w:sz w:val="20"/>
          <w:szCs w:val="20"/>
        </w:rPr>
      </w:pPr>
    </w:p>
    <w:p w14:paraId="71DC363A" w14:textId="28194217" w:rsidR="0063580F" w:rsidRDefault="0063580F" w:rsidP="00A4084D">
      <w:pPr>
        <w:spacing w:after="120"/>
        <w:jc w:val="both"/>
        <w:rPr>
          <w:rFonts w:ascii="Arial" w:eastAsia="Arial," w:hAnsi="Arial" w:cs="Arial"/>
          <w:sz w:val="20"/>
          <w:szCs w:val="20"/>
        </w:rPr>
      </w:pPr>
    </w:p>
    <w:p w14:paraId="6C092FDD" w14:textId="77777777" w:rsidR="0063580F" w:rsidRPr="00735D41" w:rsidRDefault="0063580F" w:rsidP="00A4084D">
      <w:pPr>
        <w:spacing w:after="120"/>
        <w:jc w:val="both"/>
        <w:rPr>
          <w:rFonts w:ascii="Arial" w:hAnsi="Arial" w:cs="Arial"/>
          <w:sz w:val="20"/>
          <w:szCs w:val="20"/>
        </w:rPr>
      </w:pPr>
    </w:p>
    <w:p w14:paraId="50E9D8E2" w14:textId="7AB0CE69" w:rsidR="00F51599" w:rsidRDefault="00F51599" w:rsidP="00116190">
      <w:pPr>
        <w:jc w:val="right"/>
      </w:pPr>
      <w:r>
        <w:lastRenderedPageBreak/>
        <w:fldChar w:fldCharType="begin"/>
      </w:r>
      <w:r>
        <w:instrText xml:space="preserve"> INCLUDEPICTURE "/var/folders/tb/0fmk9b510f57pz5rwhv8lnpw0000gp/T/com.microsoft.Word/WebArchiveCopyPasteTempFiles/page1image1840806768" \* MERGEFORMATINET </w:instrText>
      </w:r>
      <w:r>
        <w:fldChar w:fldCharType="separate"/>
      </w:r>
      <w:r>
        <w:rPr>
          <w:noProof/>
        </w:rPr>
        <w:drawing>
          <wp:inline distT="0" distB="0" distL="0" distR="0" wp14:anchorId="0CFC94EC" wp14:editId="5A8D52DD">
            <wp:extent cx="2393950" cy="615315"/>
            <wp:effectExtent l="0" t="0" r="6350" b="0"/>
            <wp:docPr id="4" name="Imagen 4" descr="page1image184080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8408067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3950" cy="615315"/>
                    </a:xfrm>
                    <a:prstGeom prst="rect">
                      <a:avLst/>
                    </a:prstGeom>
                    <a:noFill/>
                    <a:ln>
                      <a:noFill/>
                    </a:ln>
                  </pic:spPr>
                </pic:pic>
              </a:graphicData>
            </a:graphic>
          </wp:inline>
        </w:drawing>
      </w:r>
      <w:r>
        <w:fldChar w:fldCharType="end"/>
      </w:r>
    </w:p>
    <w:p w14:paraId="28DBDC28" w14:textId="77777777" w:rsidR="0061648F" w:rsidRPr="0008465D" w:rsidRDefault="0061648F" w:rsidP="00C33A69">
      <w:pPr>
        <w:spacing w:line="276" w:lineRule="auto"/>
        <w:jc w:val="right"/>
        <w:rPr>
          <w:rFonts w:ascii="Arial" w:hAnsi="Arial" w:cs="Arial"/>
          <w:b/>
          <w:bCs/>
          <w:sz w:val="22"/>
          <w:lang w:val="es-ES"/>
        </w:rPr>
      </w:pPr>
    </w:p>
    <w:p w14:paraId="67AC7ECE" w14:textId="790DBC52" w:rsidR="00C33A69" w:rsidRDefault="00C33A69" w:rsidP="00C33A69">
      <w:pPr>
        <w:rPr>
          <w:rFonts w:ascii="Arial" w:eastAsia="Calibri" w:hAnsi="Arial" w:cs="Arial"/>
          <w:sz w:val="22"/>
          <w:lang w:val="es-ES"/>
        </w:rPr>
      </w:pPr>
      <w:r w:rsidRPr="0008465D">
        <w:rPr>
          <w:rFonts w:ascii="Arial" w:eastAsia="Calibri" w:hAnsi="Arial" w:cs="Arial"/>
          <w:sz w:val="22"/>
          <w:lang w:val="es-ES"/>
        </w:rPr>
        <w:t>Señor</w:t>
      </w:r>
    </w:p>
    <w:p w14:paraId="7087C397" w14:textId="403695E7" w:rsidR="006717BA" w:rsidRPr="006717BA" w:rsidRDefault="006717BA" w:rsidP="00C33A69">
      <w:pPr>
        <w:rPr>
          <w:rFonts w:ascii="Arial" w:eastAsia="Calibri" w:hAnsi="Arial" w:cs="Arial"/>
          <w:b/>
          <w:bCs/>
          <w:sz w:val="22"/>
          <w:lang w:val="es-ES"/>
        </w:rPr>
      </w:pPr>
      <w:r>
        <w:rPr>
          <w:rFonts w:ascii="Arial" w:eastAsia="Calibri" w:hAnsi="Arial" w:cs="Arial"/>
          <w:b/>
          <w:bCs/>
          <w:sz w:val="22"/>
          <w:lang w:val="es-ES"/>
        </w:rPr>
        <w:t>Anónimo</w:t>
      </w:r>
    </w:p>
    <w:p w14:paraId="3BB8E2E5" w14:textId="77731CB2" w:rsidR="00C33A69" w:rsidRPr="00A4084D" w:rsidRDefault="00A4084D" w:rsidP="00C33A69">
      <w:pPr>
        <w:rPr>
          <w:rFonts w:ascii="Arial" w:eastAsia="Calibri" w:hAnsi="Arial" w:cs="Arial"/>
          <w:sz w:val="22"/>
          <w:lang w:val="es-ES"/>
        </w:rPr>
      </w:pPr>
      <w:r w:rsidRPr="00B50B9E">
        <w:rPr>
          <w:rFonts w:ascii="Arial" w:eastAsia="Calibri" w:hAnsi="Arial" w:cs="Arial"/>
          <w:sz w:val="22"/>
          <w:lang w:val="es-ES"/>
        </w:rPr>
        <w:t xml:space="preserve">Bogotá D.C </w:t>
      </w:r>
    </w:p>
    <w:p w14:paraId="3EE54747" w14:textId="77777777" w:rsidR="00C33A69" w:rsidRPr="0008465D" w:rsidRDefault="00C33A69" w:rsidP="00C33A69">
      <w:pPr>
        <w:rPr>
          <w:rFonts w:ascii="Arial" w:eastAsia="Calibri" w:hAnsi="Arial" w:cs="Arial"/>
          <w:sz w:val="22"/>
          <w:lang w:val="es-ES"/>
        </w:rPr>
      </w:pPr>
    </w:p>
    <w:p w14:paraId="5A1EF225" w14:textId="77777777" w:rsidR="00667FCB" w:rsidRPr="0008465D" w:rsidRDefault="00667FCB" w:rsidP="00667FCB">
      <w:pPr>
        <w:rPr>
          <w:rFonts w:ascii="Arial" w:eastAsia="Calibri" w:hAnsi="Arial" w:cs="Arial"/>
          <w:b/>
          <w:sz w:val="22"/>
          <w:lang w:val="es-ES"/>
        </w:rPr>
      </w:pPr>
    </w:p>
    <w:p w14:paraId="110710E1" w14:textId="047496AD" w:rsidR="00C33A69" w:rsidRPr="0008465D" w:rsidRDefault="0034413B" w:rsidP="006C0EA1">
      <w:pPr>
        <w:rPr>
          <w:rFonts w:ascii="Arial" w:eastAsia="Calibri" w:hAnsi="Arial" w:cs="Arial"/>
          <w:b/>
          <w:sz w:val="22"/>
          <w:lang w:val="es-ES"/>
        </w:rPr>
      </w:pPr>
      <w:r w:rsidRPr="0008465D">
        <w:rPr>
          <w:rFonts w:ascii="Arial" w:eastAsia="Calibri" w:hAnsi="Arial" w:cs="Arial"/>
          <w:b/>
          <w:sz w:val="22"/>
          <w:lang w:val="es-ES"/>
        </w:rPr>
        <w:t xml:space="preserve">                                            </w:t>
      </w:r>
      <w:r w:rsidR="00C33A69" w:rsidRPr="0008465D">
        <w:rPr>
          <w:rFonts w:ascii="Arial" w:eastAsia="Calibri" w:hAnsi="Arial" w:cs="Arial"/>
          <w:b/>
          <w:sz w:val="22"/>
          <w:lang w:val="es-ES"/>
        </w:rPr>
        <w:t>Concepto C</w:t>
      </w:r>
      <w:r w:rsidR="00A5202C" w:rsidRPr="0008465D">
        <w:rPr>
          <w:rFonts w:ascii="Arial" w:eastAsia="Calibri" w:hAnsi="Arial" w:cs="Arial"/>
          <w:b/>
          <w:sz w:val="22"/>
          <w:lang w:val="es-ES"/>
        </w:rPr>
        <w:t xml:space="preserve"> – </w:t>
      </w:r>
      <w:r w:rsidR="00A4084D">
        <w:rPr>
          <w:rFonts w:ascii="Arial" w:eastAsia="Calibri" w:hAnsi="Arial" w:cs="Arial"/>
          <w:b/>
          <w:sz w:val="22"/>
          <w:lang w:val="es-ES"/>
        </w:rPr>
        <w:t>510</w:t>
      </w:r>
      <w:r w:rsidR="00C33A69" w:rsidRPr="0008465D">
        <w:rPr>
          <w:rFonts w:ascii="Arial" w:eastAsia="Calibri" w:hAnsi="Arial" w:cs="Arial"/>
          <w:b/>
          <w:sz w:val="22"/>
          <w:lang w:val="es-ES"/>
        </w:rPr>
        <w:t xml:space="preserve"> de 2021 </w:t>
      </w:r>
    </w:p>
    <w:p w14:paraId="4DD43CD1" w14:textId="77777777" w:rsidR="00F361CD" w:rsidRPr="0008465D" w:rsidRDefault="00F361CD" w:rsidP="006C0EA1">
      <w:pPr>
        <w:rPr>
          <w:rFonts w:ascii="Arial" w:eastAsia="Calibri" w:hAnsi="Arial" w:cs="Arial"/>
          <w:b/>
          <w:sz w:val="22"/>
          <w:lang w:val="es-ES"/>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A4084D" w:rsidRPr="0008465D" w14:paraId="098B1F4D" w14:textId="77777777" w:rsidTr="00990D53">
        <w:trPr>
          <w:trHeight w:val="1214"/>
        </w:trPr>
        <w:tc>
          <w:tcPr>
            <w:tcW w:w="2689" w:type="dxa"/>
          </w:tcPr>
          <w:p w14:paraId="5400FE7E" w14:textId="77777777" w:rsidR="00A4084D" w:rsidRPr="0008465D" w:rsidRDefault="00A4084D" w:rsidP="00A4084D">
            <w:pPr>
              <w:rPr>
                <w:rFonts w:ascii="Arial" w:eastAsia="Calibri" w:hAnsi="Arial" w:cs="Arial"/>
                <w:lang w:val="es-ES"/>
              </w:rPr>
            </w:pPr>
            <w:r w:rsidRPr="0008465D">
              <w:rPr>
                <w:rFonts w:ascii="Arial" w:eastAsia="Calibri" w:hAnsi="Arial" w:cs="Arial"/>
                <w:b/>
                <w:lang w:val="es-ES"/>
              </w:rPr>
              <w:t>Temas:</w:t>
            </w:r>
            <w:r w:rsidRPr="0008465D">
              <w:rPr>
                <w:rFonts w:ascii="Arial" w:eastAsia="Calibri" w:hAnsi="Arial" w:cs="Arial"/>
                <w:lang w:val="es-ES"/>
              </w:rPr>
              <w:t xml:space="preserve">                                      </w:t>
            </w:r>
          </w:p>
        </w:tc>
        <w:tc>
          <w:tcPr>
            <w:tcW w:w="6237" w:type="dxa"/>
          </w:tcPr>
          <w:p w14:paraId="4FC40614" w14:textId="216C8F2B" w:rsidR="00A00F82" w:rsidRDefault="00A4084D" w:rsidP="0063580F">
            <w:pPr>
              <w:ind w:right="49"/>
              <w:jc w:val="both"/>
              <w:rPr>
                <w:rFonts w:ascii="Arial" w:eastAsia="Calibri" w:hAnsi="Arial" w:cs="Arial"/>
              </w:rPr>
            </w:pPr>
            <w:r w:rsidRPr="004F4910">
              <w:rPr>
                <w:rFonts w:ascii="Arial" w:eastAsia="Calibri" w:hAnsi="Arial" w:cs="Arial"/>
              </w:rPr>
              <w:t xml:space="preserve">CAPACIDAD RESIDUAL – Definición / CAPACIDAD RESIDUAL – Cálculo – Factores – Contratos de obra / CAPACIDAD RESIDUAL – Carga – Entidades públicas / CAPACIDAD RESIDUAL – Proponente – Saldos – Contratos en Ejecución </w:t>
            </w:r>
          </w:p>
          <w:p w14:paraId="61836A1F" w14:textId="38AC945A" w:rsidR="0063580F" w:rsidRPr="0008465D" w:rsidRDefault="0063580F" w:rsidP="0063580F">
            <w:pPr>
              <w:ind w:right="49"/>
              <w:jc w:val="both"/>
              <w:rPr>
                <w:rFonts w:ascii="Arial" w:eastAsia="Calibri" w:hAnsi="Arial" w:cs="Arial"/>
                <w:bCs/>
                <w:lang w:val="es-ES"/>
              </w:rPr>
            </w:pPr>
          </w:p>
        </w:tc>
      </w:tr>
      <w:tr w:rsidR="00A4084D" w:rsidRPr="0008465D" w14:paraId="7050D2D2" w14:textId="77777777" w:rsidTr="007C6F1C">
        <w:tc>
          <w:tcPr>
            <w:tcW w:w="2689" w:type="dxa"/>
          </w:tcPr>
          <w:p w14:paraId="393C8000" w14:textId="77777777" w:rsidR="00A4084D" w:rsidRPr="0008465D" w:rsidRDefault="00A4084D" w:rsidP="00A4084D">
            <w:pPr>
              <w:rPr>
                <w:rFonts w:ascii="Arial" w:eastAsia="Calibri" w:hAnsi="Arial" w:cs="Arial"/>
                <w:lang w:val="es-ES"/>
              </w:rPr>
            </w:pPr>
            <w:r w:rsidRPr="0008465D">
              <w:rPr>
                <w:rFonts w:ascii="Arial" w:eastAsia="Calibri" w:hAnsi="Arial" w:cs="Arial"/>
                <w:b/>
                <w:lang w:val="es-ES"/>
              </w:rPr>
              <w:t>Radicación:</w:t>
            </w:r>
            <w:r w:rsidRPr="0008465D">
              <w:rPr>
                <w:rFonts w:ascii="Arial" w:eastAsia="Calibri" w:hAnsi="Arial" w:cs="Arial"/>
                <w:lang w:val="es-ES"/>
              </w:rPr>
              <w:t xml:space="preserve">                              </w:t>
            </w:r>
          </w:p>
        </w:tc>
        <w:tc>
          <w:tcPr>
            <w:tcW w:w="6237" w:type="dxa"/>
          </w:tcPr>
          <w:p w14:paraId="61074E39" w14:textId="045FD074" w:rsidR="00A4084D" w:rsidRPr="0008465D" w:rsidRDefault="00A4084D" w:rsidP="00A4084D">
            <w:pPr>
              <w:rPr>
                <w:rFonts w:ascii="Arial" w:eastAsia="Calibri" w:hAnsi="Arial" w:cs="Arial"/>
                <w:lang w:val="es-ES"/>
              </w:rPr>
            </w:pPr>
            <w:r w:rsidRPr="0008465D">
              <w:rPr>
                <w:rFonts w:ascii="Arial" w:eastAsia="Calibri" w:hAnsi="Arial" w:cs="Arial"/>
                <w:lang w:val="es-ES"/>
              </w:rPr>
              <w:t>Respuesta a consulta P20210</w:t>
            </w:r>
            <w:r>
              <w:rPr>
                <w:rFonts w:ascii="Arial" w:eastAsia="Calibri" w:hAnsi="Arial" w:cs="Arial"/>
                <w:lang w:val="es-ES"/>
              </w:rPr>
              <w:t>809007040</w:t>
            </w:r>
          </w:p>
        </w:tc>
      </w:tr>
    </w:tbl>
    <w:p w14:paraId="67B4B4A1" w14:textId="77777777" w:rsidR="00C33A69" w:rsidRPr="0008465D" w:rsidRDefault="00C33A69" w:rsidP="00C33A69">
      <w:pPr>
        <w:spacing w:line="276" w:lineRule="auto"/>
        <w:rPr>
          <w:rFonts w:ascii="Arial" w:eastAsia="Calibri" w:hAnsi="Arial" w:cs="Arial"/>
          <w:sz w:val="22"/>
          <w:lang w:val="es-ES"/>
        </w:rPr>
      </w:pPr>
    </w:p>
    <w:p w14:paraId="1A826586" w14:textId="77777777" w:rsidR="00C33A69" w:rsidRPr="0008465D" w:rsidRDefault="00C33A69" w:rsidP="00C33A69">
      <w:pPr>
        <w:spacing w:line="276" w:lineRule="auto"/>
        <w:rPr>
          <w:rFonts w:ascii="Arial" w:eastAsia="Calibri" w:hAnsi="Arial" w:cs="Arial"/>
          <w:sz w:val="22"/>
          <w:lang w:val="es-ES"/>
        </w:rPr>
      </w:pPr>
    </w:p>
    <w:p w14:paraId="177D81C6" w14:textId="34D2B24E" w:rsidR="00C33A69" w:rsidRPr="0008465D" w:rsidRDefault="00C33A69" w:rsidP="00C33A69">
      <w:pPr>
        <w:tabs>
          <w:tab w:val="left" w:pos="3736"/>
        </w:tabs>
        <w:spacing w:line="276" w:lineRule="auto"/>
        <w:rPr>
          <w:rFonts w:ascii="Arial" w:eastAsia="Calibri" w:hAnsi="Arial" w:cs="Arial"/>
          <w:sz w:val="22"/>
          <w:lang w:val="es-ES"/>
        </w:rPr>
      </w:pPr>
      <w:r w:rsidRPr="0008465D">
        <w:rPr>
          <w:rFonts w:ascii="Arial" w:eastAsia="Calibri" w:hAnsi="Arial" w:cs="Arial"/>
          <w:sz w:val="22"/>
          <w:lang w:val="es-ES"/>
        </w:rPr>
        <w:t>Estimad</w:t>
      </w:r>
      <w:r w:rsidR="00345D8E" w:rsidRPr="0008465D">
        <w:rPr>
          <w:rFonts w:ascii="Arial" w:eastAsia="Calibri" w:hAnsi="Arial" w:cs="Arial"/>
          <w:sz w:val="22"/>
          <w:lang w:val="es-ES"/>
        </w:rPr>
        <w:t>o</w:t>
      </w:r>
      <w:r w:rsidRPr="0008465D">
        <w:rPr>
          <w:rFonts w:ascii="Arial" w:eastAsia="Calibri" w:hAnsi="Arial" w:cs="Arial"/>
          <w:sz w:val="22"/>
          <w:lang w:val="es-ES"/>
        </w:rPr>
        <w:t xml:space="preserve"> señor</w:t>
      </w:r>
      <w:r w:rsidR="0034413B" w:rsidRPr="0008465D">
        <w:rPr>
          <w:rFonts w:ascii="Arial" w:eastAsia="Calibri" w:hAnsi="Arial" w:cs="Arial"/>
          <w:sz w:val="22"/>
          <w:lang w:val="es-ES"/>
        </w:rPr>
        <w:t>:</w:t>
      </w:r>
      <w:r w:rsidRPr="0008465D">
        <w:rPr>
          <w:rFonts w:ascii="Arial" w:eastAsia="Calibri" w:hAnsi="Arial" w:cs="Arial"/>
          <w:sz w:val="22"/>
          <w:lang w:val="es-ES"/>
        </w:rPr>
        <w:tab/>
      </w:r>
    </w:p>
    <w:p w14:paraId="44E85655" w14:textId="77777777" w:rsidR="00C33A69" w:rsidRPr="0008465D" w:rsidRDefault="00C33A69" w:rsidP="00C33A69">
      <w:pPr>
        <w:spacing w:line="276" w:lineRule="auto"/>
        <w:rPr>
          <w:rFonts w:ascii="Arial" w:eastAsia="Calibri" w:hAnsi="Arial" w:cs="Arial"/>
          <w:sz w:val="22"/>
          <w:lang w:val="es-ES"/>
        </w:rPr>
      </w:pPr>
    </w:p>
    <w:p w14:paraId="2044C6B5" w14:textId="37C5456E" w:rsidR="00C33A69" w:rsidRPr="0008465D" w:rsidRDefault="00C33A69" w:rsidP="00C33A69">
      <w:pPr>
        <w:spacing w:line="276" w:lineRule="auto"/>
        <w:jc w:val="both"/>
        <w:rPr>
          <w:rFonts w:ascii="Arial" w:eastAsia="Calibri" w:hAnsi="Arial" w:cs="Arial"/>
          <w:sz w:val="22"/>
          <w:lang w:val="es-ES"/>
        </w:rPr>
      </w:pPr>
      <w:r w:rsidRPr="0008465D">
        <w:rPr>
          <w:rFonts w:ascii="Arial" w:eastAsia="Calibri" w:hAnsi="Arial" w:cs="Arial"/>
          <w:sz w:val="22"/>
          <w:lang w:val="es-ES"/>
        </w:rPr>
        <w:t xml:space="preserve">La Agencia Nacional de Contratación Pública </w:t>
      </w:r>
      <w:r w:rsidR="0034413B" w:rsidRPr="0008465D">
        <w:rPr>
          <w:rFonts w:ascii="Arial" w:eastAsia="Calibri" w:hAnsi="Arial" w:cs="Arial"/>
          <w:sz w:val="22"/>
          <w:lang w:val="es-ES"/>
        </w:rPr>
        <w:t xml:space="preserve">– </w:t>
      </w:r>
      <w:r w:rsidRPr="0008465D">
        <w:rPr>
          <w:rFonts w:ascii="Arial" w:eastAsia="Calibri" w:hAnsi="Arial" w:cs="Arial"/>
          <w:sz w:val="22"/>
          <w:lang w:val="es-ES"/>
        </w:rPr>
        <w:t xml:space="preserve">Colombia Compra Eficiente responde a su consulta del </w:t>
      </w:r>
      <w:r w:rsidR="00A4084D">
        <w:rPr>
          <w:rFonts w:ascii="Arial" w:eastAsia="Calibri" w:hAnsi="Arial" w:cs="Arial"/>
          <w:sz w:val="22"/>
          <w:lang w:val="es-ES"/>
        </w:rPr>
        <w:t>6 de agosto</w:t>
      </w:r>
      <w:r w:rsidR="00345D8E" w:rsidRPr="0008465D">
        <w:rPr>
          <w:rFonts w:ascii="Arial" w:eastAsia="Calibri" w:hAnsi="Arial" w:cs="Arial"/>
          <w:sz w:val="22"/>
          <w:lang w:val="es-ES"/>
        </w:rPr>
        <w:t xml:space="preserve"> de 2021</w:t>
      </w:r>
      <w:r w:rsidRPr="0008465D">
        <w:rPr>
          <w:rFonts w:ascii="Arial" w:eastAsia="Calibri" w:hAnsi="Arial" w:cs="Arial"/>
          <w:sz w:val="22"/>
          <w:lang w:val="es-ES"/>
        </w:rPr>
        <w:t xml:space="preserve">, en ejercicio de la competencia otorgada por el numeral 8 del artículo 11 y el numeral 5 del artículo 3 del Decreto Ley 4170 de 2011. </w:t>
      </w:r>
    </w:p>
    <w:p w14:paraId="0987E0B4" w14:textId="77777777" w:rsidR="00C33A69" w:rsidRPr="0008465D" w:rsidRDefault="00C33A69" w:rsidP="00C33A69">
      <w:pPr>
        <w:pStyle w:val="Prrafodelista"/>
        <w:spacing w:line="276" w:lineRule="auto"/>
        <w:ind w:left="0"/>
        <w:rPr>
          <w:rFonts w:ascii="Arial" w:eastAsia="Calibri" w:hAnsi="Arial" w:cs="Arial"/>
          <w:sz w:val="22"/>
          <w:lang w:val="es-ES"/>
        </w:rPr>
      </w:pPr>
    </w:p>
    <w:p w14:paraId="6238CC02" w14:textId="7F208216" w:rsidR="003C1F96" w:rsidRPr="0008465D" w:rsidRDefault="0034413B" w:rsidP="006C0EA1">
      <w:pPr>
        <w:tabs>
          <w:tab w:val="left" w:pos="0"/>
        </w:tabs>
        <w:spacing w:line="276" w:lineRule="auto"/>
        <w:jc w:val="both"/>
        <w:rPr>
          <w:rFonts w:ascii="Arial" w:eastAsia="Calibri" w:hAnsi="Arial" w:cs="Arial"/>
          <w:b/>
          <w:sz w:val="22"/>
          <w:lang w:val="es-ES"/>
        </w:rPr>
      </w:pPr>
      <w:r w:rsidRPr="0008465D">
        <w:rPr>
          <w:rFonts w:ascii="Arial" w:eastAsia="Calibri" w:hAnsi="Arial" w:cs="Arial"/>
          <w:b/>
          <w:sz w:val="22"/>
          <w:lang w:val="es-ES"/>
        </w:rPr>
        <w:t xml:space="preserve">1. </w:t>
      </w:r>
      <w:r w:rsidR="00C33A69" w:rsidRPr="0008465D">
        <w:rPr>
          <w:rFonts w:ascii="Arial" w:eastAsia="Calibri" w:hAnsi="Arial" w:cs="Arial"/>
          <w:b/>
          <w:sz w:val="22"/>
          <w:lang w:val="es-ES"/>
        </w:rPr>
        <w:t>Problema planteado</w:t>
      </w:r>
    </w:p>
    <w:p w14:paraId="6C91C2D0" w14:textId="77777777" w:rsidR="003C1F96" w:rsidRPr="0008465D" w:rsidRDefault="003C1F96" w:rsidP="0093085B">
      <w:pPr>
        <w:rPr>
          <w:rFonts w:ascii="Arial" w:eastAsia="Calibri" w:hAnsi="Arial" w:cs="Arial"/>
          <w:sz w:val="22"/>
          <w:lang w:val="es-ES"/>
        </w:rPr>
      </w:pPr>
    </w:p>
    <w:p w14:paraId="2BB6E8E5" w14:textId="54E19BDA" w:rsidR="00437FA5" w:rsidRDefault="00C33A69" w:rsidP="00A4084D">
      <w:pPr>
        <w:spacing w:line="276" w:lineRule="auto"/>
        <w:jc w:val="both"/>
        <w:rPr>
          <w:rFonts w:ascii="Arial" w:eastAsia="Calibri" w:hAnsi="Arial" w:cs="Arial"/>
          <w:sz w:val="22"/>
          <w:szCs w:val="22"/>
          <w:lang w:val="es-ES"/>
        </w:rPr>
      </w:pPr>
      <w:r w:rsidRPr="00A4084D">
        <w:rPr>
          <w:rFonts w:ascii="Arial" w:eastAsia="Calibri" w:hAnsi="Arial" w:cs="Arial"/>
          <w:sz w:val="22"/>
          <w:szCs w:val="22"/>
          <w:lang w:val="es-ES"/>
        </w:rPr>
        <w:t xml:space="preserve">Usted formula </w:t>
      </w:r>
      <w:r w:rsidR="003C1F96" w:rsidRPr="00A4084D">
        <w:rPr>
          <w:rFonts w:ascii="Arial" w:eastAsia="Calibri" w:hAnsi="Arial" w:cs="Arial"/>
          <w:sz w:val="22"/>
          <w:szCs w:val="22"/>
          <w:lang w:val="es-ES"/>
        </w:rPr>
        <w:t xml:space="preserve">la siguiente pregunta: </w:t>
      </w:r>
    </w:p>
    <w:p w14:paraId="6E24D60E" w14:textId="77777777" w:rsidR="00437FA5" w:rsidRDefault="00437FA5" w:rsidP="00A4084D">
      <w:pPr>
        <w:spacing w:line="276" w:lineRule="auto"/>
        <w:jc w:val="both"/>
        <w:rPr>
          <w:rFonts w:ascii="Arial" w:eastAsia="Calibri" w:hAnsi="Arial" w:cs="Arial"/>
          <w:sz w:val="22"/>
          <w:szCs w:val="22"/>
          <w:lang w:val="es-ES"/>
        </w:rPr>
      </w:pPr>
    </w:p>
    <w:p w14:paraId="1A68766A" w14:textId="34408EE6" w:rsidR="00B8750D" w:rsidRPr="00A00F82" w:rsidRDefault="00B8750D" w:rsidP="00A00F82">
      <w:pPr>
        <w:ind w:left="709" w:right="709"/>
        <w:jc w:val="both"/>
        <w:rPr>
          <w:rFonts w:ascii="Arial" w:hAnsi="Arial" w:cs="Arial"/>
          <w:sz w:val="21"/>
          <w:szCs w:val="21"/>
        </w:rPr>
      </w:pPr>
      <w:r w:rsidRPr="00A00F82">
        <w:rPr>
          <w:rFonts w:ascii="Arial" w:eastAsia="Calibri" w:hAnsi="Arial" w:cs="Arial"/>
          <w:sz w:val="21"/>
          <w:szCs w:val="21"/>
          <w:lang w:val="es-ES"/>
        </w:rPr>
        <w:t>«¿</w:t>
      </w:r>
      <w:r w:rsidR="00A4084D" w:rsidRPr="00A00F82">
        <w:rPr>
          <w:rFonts w:ascii="Arial" w:hAnsi="Arial" w:cs="Arial"/>
          <w:color w:val="000000"/>
          <w:sz w:val="21"/>
          <w:szCs w:val="21"/>
          <w:shd w:val="clear" w:color="auto" w:fill="FFFFFF"/>
        </w:rPr>
        <w:t>Solicito se confirme como (sic) se debe acreditar el factor de capacidad residual saldos de los contratos en ejecución – este debe contener únicamente la lista de los contratos de obras civiles en ejecución suscritos con Entidades Estatales y con entidades privadas, así́ como el valor y plazo de tales contratos, incluyendo contratos de concesión y los contratos de obra suscritos con concesionarios, esto quiere decir únicamente los contratos suscritos en el segmento 72, en los cuales el proponente tenga participación</w:t>
      </w:r>
      <w:r w:rsidRPr="00A00F82">
        <w:rPr>
          <w:rFonts w:ascii="Arial" w:hAnsi="Arial" w:cs="Arial"/>
          <w:sz w:val="21"/>
          <w:szCs w:val="21"/>
          <w:lang w:val="es-ES"/>
        </w:rPr>
        <w:t>?».</w:t>
      </w:r>
    </w:p>
    <w:p w14:paraId="4263F57D" w14:textId="77777777" w:rsidR="00C33A69" w:rsidRPr="0008465D" w:rsidRDefault="00C33A69" w:rsidP="0093085B">
      <w:pPr>
        <w:rPr>
          <w:rFonts w:ascii="Arial" w:eastAsia="Calibri" w:hAnsi="Arial" w:cs="Arial"/>
          <w:b/>
          <w:sz w:val="22"/>
          <w:lang w:val="es-ES"/>
        </w:rPr>
      </w:pPr>
    </w:p>
    <w:p w14:paraId="0FCD980D" w14:textId="52462B1A" w:rsidR="00C33A69" w:rsidRDefault="0034413B" w:rsidP="006C0EA1">
      <w:pPr>
        <w:spacing w:line="276" w:lineRule="auto"/>
        <w:jc w:val="both"/>
        <w:rPr>
          <w:rFonts w:ascii="Arial" w:eastAsia="Calibri" w:hAnsi="Arial" w:cs="Arial"/>
          <w:b/>
          <w:sz w:val="22"/>
          <w:lang w:val="es-ES"/>
        </w:rPr>
      </w:pPr>
      <w:r w:rsidRPr="0008465D">
        <w:rPr>
          <w:rFonts w:ascii="Arial" w:eastAsia="Calibri" w:hAnsi="Arial" w:cs="Arial"/>
          <w:b/>
          <w:sz w:val="22"/>
          <w:lang w:val="es-ES"/>
        </w:rPr>
        <w:t xml:space="preserve">2. </w:t>
      </w:r>
      <w:r w:rsidR="00C33A69" w:rsidRPr="0008465D">
        <w:rPr>
          <w:rFonts w:ascii="Arial" w:eastAsia="Calibri" w:hAnsi="Arial" w:cs="Arial"/>
          <w:b/>
          <w:sz w:val="22"/>
          <w:lang w:val="es-ES"/>
        </w:rPr>
        <w:t>Consideraciones</w:t>
      </w:r>
    </w:p>
    <w:p w14:paraId="68F078CF" w14:textId="6C577A68" w:rsidR="001478A6" w:rsidRDefault="001478A6" w:rsidP="006C0EA1">
      <w:pPr>
        <w:spacing w:line="276" w:lineRule="auto"/>
        <w:jc w:val="both"/>
        <w:rPr>
          <w:rFonts w:ascii="Arial" w:eastAsia="Calibri" w:hAnsi="Arial" w:cs="Arial"/>
          <w:b/>
          <w:sz w:val="22"/>
          <w:lang w:val="es-ES"/>
        </w:rPr>
      </w:pPr>
    </w:p>
    <w:p w14:paraId="5E3A02E1" w14:textId="6A27C444" w:rsidR="001478A6" w:rsidRDefault="001478A6" w:rsidP="001478A6">
      <w:pPr>
        <w:tabs>
          <w:tab w:val="left" w:pos="426"/>
        </w:tabs>
        <w:spacing w:after="120" w:line="276" w:lineRule="auto"/>
        <w:jc w:val="both"/>
        <w:rPr>
          <w:rFonts w:ascii="Arial" w:eastAsia="Calibri" w:hAnsi="Arial" w:cs="Arial"/>
          <w:color w:val="000000" w:themeColor="text1"/>
          <w:sz w:val="22"/>
          <w:lang w:val="es-ES_tradnl"/>
        </w:rPr>
      </w:pPr>
      <w:r w:rsidRPr="00C54AA4">
        <w:rPr>
          <w:rFonts w:ascii="Arial" w:eastAsia="Calibri" w:hAnsi="Arial" w:cs="Arial"/>
          <w:color w:val="000000" w:themeColor="text1"/>
          <w:sz w:val="22"/>
        </w:rPr>
        <w:t>La Agencia Nacional de Contratación Pública − Colombia Compra Eficiente se ha pronunciado sobre</w:t>
      </w:r>
      <w:r w:rsidRPr="003A130E">
        <w:rPr>
          <w:rFonts w:ascii="Arial" w:eastAsia="Calibri" w:hAnsi="Arial" w:cs="Arial"/>
          <w:sz w:val="22"/>
        </w:rPr>
        <w:t xml:space="preserve"> </w:t>
      </w:r>
      <w:r w:rsidRPr="008E15F6">
        <w:rPr>
          <w:rFonts w:ascii="Arial" w:eastAsia="Calibri" w:hAnsi="Arial" w:cs="Arial"/>
          <w:sz w:val="22"/>
        </w:rPr>
        <w:t>aspectos relativos a la acreditación del requisito de capacidad residual</w:t>
      </w:r>
      <w:r w:rsidRPr="00C54AA4">
        <w:rPr>
          <w:rFonts w:ascii="Arial" w:eastAsia="Calibri" w:hAnsi="Arial" w:cs="Arial"/>
          <w:color w:val="000000" w:themeColor="text1"/>
          <w:sz w:val="22"/>
        </w:rPr>
        <w:t xml:space="preserve"> en los conceptos </w:t>
      </w:r>
      <w:r>
        <w:rPr>
          <w:rFonts w:ascii="Arial" w:eastAsia="Calibri" w:hAnsi="Arial" w:cs="Arial"/>
          <w:color w:val="000000" w:themeColor="text1"/>
          <w:sz w:val="22"/>
        </w:rPr>
        <w:t xml:space="preserve">con radicado </w:t>
      </w:r>
      <w:r w:rsidRPr="006A71B3">
        <w:rPr>
          <w:rFonts w:ascii="Arial" w:eastAsia="Calibri" w:hAnsi="Arial" w:cs="Arial"/>
          <w:sz w:val="22"/>
        </w:rPr>
        <w:t>No</w:t>
      </w:r>
      <w:r>
        <w:rPr>
          <w:rFonts w:ascii="Arial" w:eastAsia="Calibri" w:hAnsi="Arial" w:cs="Arial"/>
          <w:sz w:val="22"/>
        </w:rPr>
        <w:t>s</w:t>
      </w:r>
      <w:r w:rsidRPr="006A71B3">
        <w:rPr>
          <w:rFonts w:ascii="Arial" w:eastAsia="Calibri" w:hAnsi="Arial" w:cs="Arial"/>
          <w:sz w:val="22"/>
        </w:rPr>
        <w:t xml:space="preserve">. 2201913000006275 del 27 de agosto de 2019, </w:t>
      </w:r>
      <w:r w:rsidRPr="006A71B3">
        <w:rPr>
          <w:rFonts w:ascii="Arial" w:eastAsia="Calibri" w:hAnsi="Arial" w:cs="Arial"/>
          <w:sz w:val="22"/>
        </w:rPr>
        <w:lastRenderedPageBreak/>
        <w:t>4201912000005192 del 9 de septiembre de 2019, 2201913000009465 del 20 de diciembre de 2019</w:t>
      </w:r>
      <w:r>
        <w:rPr>
          <w:rFonts w:ascii="Arial" w:eastAsia="Calibri" w:hAnsi="Arial" w:cs="Arial"/>
          <w:sz w:val="22"/>
        </w:rPr>
        <w:t xml:space="preserve"> y</w:t>
      </w:r>
      <w:r w:rsidRPr="006A71B3">
        <w:rPr>
          <w:rFonts w:ascii="Arial" w:eastAsia="Calibri" w:hAnsi="Arial" w:cs="Arial"/>
          <w:sz w:val="22"/>
        </w:rPr>
        <w:t xml:space="preserve"> 2201913000009642 del 26 de diciembre de 2019</w:t>
      </w:r>
      <w:r>
        <w:rPr>
          <w:rFonts w:ascii="Arial" w:eastAsia="Calibri" w:hAnsi="Arial" w:cs="Arial"/>
          <w:color w:val="000000" w:themeColor="text1"/>
          <w:sz w:val="22"/>
        </w:rPr>
        <w:t>;</w:t>
      </w:r>
      <w:r w:rsidRPr="00C54AA4">
        <w:rPr>
          <w:rFonts w:ascii="Arial" w:eastAsia="Calibri" w:hAnsi="Arial" w:cs="Arial"/>
          <w:color w:val="000000" w:themeColor="text1"/>
          <w:sz w:val="22"/>
        </w:rPr>
        <w:t xml:space="preserve"> </w:t>
      </w:r>
      <w:r>
        <w:rPr>
          <w:rFonts w:ascii="Arial" w:eastAsia="Calibri" w:hAnsi="Arial" w:cs="Arial"/>
          <w:color w:val="000000" w:themeColor="text1"/>
          <w:sz w:val="22"/>
        </w:rPr>
        <w:t>a</w:t>
      </w:r>
      <w:r w:rsidRPr="00C54AA4">
        <w:rPr>
          <w:rFonts w:ascii="Arial" w:eastAsia="Calibri" w:hAnsi="Arial" w:cs="Arial"/>
          <w:color w:val="000000" w:themeColor="text1"/>
          <w:sz w:val="22"/>
        </w:rPr>
        <w:t>sí como en los conceptos</w:t>
      </w:r>
      <w:r>
        <w:rPr>
          <w:rFonts w:ascii="Arial" w:eastAsia="Calibri" w:hAnsi="Arial" w:cs="Arial"/>
          <w:color w:val="000000" w:themeColor="text1"/>
          <w:sz w:val="22"/>
        </w:rPr>
        <w:t xml:space="preserve"> </w:t>
      </w:r>
      <w:r w:rsidRPr="0016149E">
        <w:rPr>
          <w:rFonts w:ascii="Arial" w:eastAsia="Calibri" w:hAnsi="Arial" w:cs="Arial"/>
          <w:sz w:val="22"/>
        </w:rPr>
        <w:t>C-033</w:t>
      </w:r>
      <w:r>
        <w:rPr>
          <w:rFonts w:ascii="Arial" w:eastAsia="Calibri" w:hAnsi="Arial" w:cs="Arial"/>
          <w:sz w:val="22"/>
        </w:rPr>
        <w:t xml:space="preserve"> del 13 de marzo de 2020, </w:t>
      </w:r>
      <w:r w:rsidRPr="008E15F6">
        <w:rPr>
          <w:rFonts w:ascii="Arial" w:eastAsia="Calibri" w:hAnsi="Arial" w:cs="Arial"/>
          <w:sz w:val="22"/>
        </w:rPr>
        <w:t>C-133 del 30 de marzo de 2020, C-196 del 8 de abril de 2020, C-297 del 4 de junio de 2020, C-489 del 23 de julio de 2020, C-522 del 6 de agosto de 2020, C-547 del 21 de agosto de 2020, C-642 de 30 de octubre de 2020, C-668 del 20 de noviembre de 2020</w:t>
      </w:r>
      <w:r>
        <w:rPr>
          <w:rFonts w:ascii="Arial" w:eastAsia="Calibri" w:hAnsi="Arial" w:cs="Arial"/>
          <w:sz w:val="22"/>
        </w:rPr>
        <w:t>,</w:t>
      </w:r>
      <w:r w:rsidRPr="008E15F6">
        <w:rPr>
          <w:rFonts w:ascii="Arial" w:eastAsia="Calibri" w:hAnsi="Arial" w:cs="Arial"/>
          <w:sz w:val="22"/>
        </w:rPr>
        <w:t xml:space="preserve"> C-720 del 11 de diciembre de 2020</w:t>
      </w:r>
      <w:r>
        <w:rPr>
          <w:rFonts w:ascii="Arial" w:eastAsia="Calibri" w:hAnsi="Arial" w:cs="Arial"/>
          <w:sz w:val="22"/>
        </w:rPr>
        <w:t xml:space="preserve">, C-789 del 19 de enero de 2021, C-042 del 3 de marzo, </w:t>
      </w:r>
      <w:hyperlink r:id="rId12">
        <w:r w:rsidRPr="007328D2">
          <w:rPr>
            <w:rStyle w:val="Hipervnculo"/>
            <w:rFonts w:ascii="Arial" w:eastAsia="Arial" w:hAnsi="Arial" w:cs="Arial"/>
            <w:color w:val="262626" w:themeColor="text1" w:themeTint="D9"/>
            <w:sz w:val="22"/>
            <w:szCs w:val="22"/>
            <w:u w:val="none"/>
            <w:lang w:val="es-MX"/>
          </w:rPr>
          <w:t>C-045 del 5  de marzo de 2021</w:t>
        </w:r>
      </w:hyperlink>
      <w:r w:rsidRPr="007328D2">
        <w:rPr>
          <w:rFonts w:ascii="Arial" w:eastAsia="Arial" w:hAnsi="Arial" w:cs="Arial"/>
          <w:color w:val="262626" w:themeColor="text1" w:themeTint="D9"/>
          <w:sz w:val="22"/>
          <w:szCs w:val="22"/>
          <w:lang w:val="es-MX"/>
        </w:rPr>
        <w:t>,</w:t>
      </w:r>
      <w:r>
        <w:rPr>
          <w:rFonts w:ascii="Arial" w:eastAsia="Arial" w:hAnsi="Arial" w:cs="Arial"/>
          <w:color w:val="262626" w:themeColor="text1" w:themeTint="D9"/>
          <w:sz w:val="22"/>
          <w:szCs w:val="22"/>
          <w:lang w:val="es-MX"/>
        </w:rPr>
        <w:t xml:space="preserve"> C-170 del 20 de abril de 2021</w:t>
      </w:r>
      <w:hyperlink r:id="rId13">
        <w:r w:rsidRPr="007328D2">
          <w:rPr>
            <w:rStyle w:val="Hipervnculo"/>
            <w:rFonts w:ascii="Arial" w:eastAsia="Arial" w:hAnsi="Arial" w:cs="Arial"/>
            <w:color w:val="262626" w:themeColor="text1" w:themeTint="D9"/>
            <w:sz w:val="22"/>
            <w:szCs w:val="22"/>
            <w:u w:val="none"/>
            <w:lang w:val="es-MX"/>
          </w:rPr>
          <w:t>,</w:t>
        </w:r>
      </w:hyperlink>
      <w:r>
        <w:rPr>
          <w:rStyle w:val="Hipervnculo"/>
          <w:rFonts w:ascii="Arial" w:eastAsia="Arial" w:hAnsi="Arial" w:cs="Arial"/>
          <w:color w:val="262626" w:themeColor="text1" w:themeTint="D9"/>
          <w:sz w:val="22"/>
          <w:szCs w:val="22"/>
          <w:u w:val="none"/>
          <w:lang w:val="es-MX"/>
        </w:rPr>
        <w:t xml:space="preserve">C-202 del 7 de mayo de 2021, C-219 del 19 de mayo de 2021, </w:t>
      </w:r>
      <w:r w:rsidR="00437FA5">
        <w:rPr>
          <w:rStyle w:val="Hipervnculo"/>
          <w:rFonts w:ascii="Arial" w:eastAsia="Arial" w:hAnsi="Arial" w:cs="Arial"/>
          <w:color w:val="262626" w:themeColor="text1" w:themeTint="D9"/>
          <w:sz w:val="22"/>
          <w:szCs w:val="22"/>
          <w:u w:val="none"/>
          <w:lang w:val="es-MX"/>
        </w:rPr>
        <w:t>C-368 del 28 de julio de 2021, C-392 del 5 de agosto de 2021,</w:t>
      </w:r>
      <w:r>
        <w:rPr>
          <w:rStyle w:val="Hipervnculo"/>
          <w:rFonts w:ascii="Arial" w:eastAsia="Arial" w:hAnsi="Arial" w:cs="Arial"/>
          <w:color w:val="262626" w:themeColor="text1" w:themeTint="D9"/>
          <w:sz w:val="22"/>
          <w:szCs w:val="22"/>
          <w:u w:val="none"/>
          <w:lang w:val="es-MX"/>
        </w:rPr>
        <w:t xml:space="preserve"> </w:t>
      </w:r>
      <w:r w:rsidRPr="007328D2">
        <w:rPr>
          <w:rStyle w:val="Hipervnculo"/>
          <w:rFonts w:ascii="Arial" w:eastAsia="Arial" w:hAnsi="Arial" w:cs="Arial"/>
          <w:color w:val="262626" w:themeColor="text1" w:themeTint="D9"/>
          <w:sz w:val="22"/>
          <w:szCs w:val="22"/>
          <w:u w:val="none"/>
          <w:lang w:val="es-MX"/>
        </w:rPr>
        <w:t>entre otros.</w:t>
      </w:r>
      <w:r w:rsidRPr="007328D2">
        <w:rPr>
          <w:rStyle w:val="Hipervnculo"/>
          <w:rFonts w:ascii="Arial" w:eastAsia="Arial" w:hAnsi="Arial" w:cs="Arial"/>
          <w:color w:val="262626" w:themeColor="text1" w:themeTint="D9"/>
          <w:sz w:val="20"/>
          <w:szCs w:val="20"/>
          <w:lang w:val="es-MX"/>
        </w:rPr>
        <w:t xml:space="preserve"> </w:t>
      </w:r>
    </w:p>
    <w:p w14:paraId="47357A57" w14:textId="2C681871" w:rsidR="00A4084D" w:rsidRDefault="00437FA5" w:rsidP="00437FA5">
      <w:pPr>
        <w:spacing w:before="120" w:line="276" w:lineRule="auto"/>
        <w:jc w:val="both"/>
        <w:rPr>
          <w:rFonts w:ascii="Arial" w:eastAsia="Calibri" w:hAnsi="Arial" w:cs="Arial"/>
          <w:b/>
          <w:bCs/>
          <w:sz w:val="22"/>
          <w:szCs w:val="22"/>
          <w:lang w:val="es-ES"/>
        </w:rPr>
      </w:pPr>
      <w:r>
        <w:rPr>
          <w:rFonts w:ascii="Arial" w:eastAsia="Calibri" w:hAnsi="Arial" w:cs="Arial"/>
          <w:sz w:val="22"/>
          <w:lang w:val="es-ES"/>
        </w:rPr>
        <w:tab/>
        <w:t>L</w:t>
      </w:r>
      <w:r w:rsidR="00722764" w:rsidRPr="0008465D">
        <w:rPr>
          <w:rFonts w:ascii="Arial" w:eastAsia="Calibri" w:hAnsi="Arial" w:cs="Arial"/>
          <w:sz w:val="22"/>
          <w:lang w:val="es-ES"/>
        </w:rPr>
        <w:t>a Subdirección –dentro de los límites de sus atribuciones– resolverá la consulta conforme a las normas generales en materia de contratación estatal</w:t>
      </w:r>
      <w:r w:rsidRPr="0008465D">
        <w:rPr>
          <w:rFonts w:ascii="Arial" w:hAnsi="Arial" w:cs="Arial"/>
          <w:sz w:val="22"/>
          <w:vertAlign w:val="superscript"/>
          <w:lang w:val="es-ES"/>
        </w:rPr>
        <w:footnoteReference w:id="1"/>
      </w:r>
      <w:r w:rsidR="00722764" w:rsidRPr="0008465D">
        <w:rPr>
          <w:rFonts w:ascii="Arial" w:eastAsia="Calibri" w:hAnsi="Arial" w:cs="Arial"/>
          <w:sz w:val="22"/>
          <w:lang w:val="es-ES"/>
        </w:rPr>
        <w:t>. Con este objetivo se analizarán los siguientes temas:</w:t>
      </w:r>
      <w:r w:rsidR="00C33A69" w:rsidRPr="0008465D">
        <w:rPr>
          <w:rFonts w:ascii="Arial" w:eastAsia="Calibri" w:hAnsi="Arial" w:cs="Arial"/>
          <w:sz w:val="22"/>
          <w:lang w:val="es-ES"/>
        </w:rPr>
        <w:t xml:space="preserve"> i)</w:t>
      </w:r>
      <w:r w:rsidR="0061648F" w:rsidRPr="0008465D">
        <w:rPr>
          <w:rFonts w:ascii="Arial" w:eastAsia="Calibri" w:hAnsi="Arial" w:cs="Arial"/>
          <w:sz w:val="22"/>
          <w:lang w:val="es-ES"/>
        </w:rPr>
        <w:t xml:space="preserve"> </w:t>
      </w:r>
      <w:r w:rsidR="00A4084D">
        <w:rPr>
          <w:rFonts w:ascii="Arial" w:eastAsia="Calibri" w:hAnsi="Arial" w:cs="Arial"/>
          <w:sz w:val="22"/>
          <w:lang w:val="es-ES"/>
        </w:rPr>
        <w:t>capacidad residual</w:t>
      </w:r>
      <w:r>
        <w:rPr>
          <w:rFonts w:ascii="Arial" w:eastAsia="Calibri" w:hAnsi="Arial" w:cs="Arial"/>
          <w:sz w:val="22"/>
          <w:lang w:val="es-ES"/>
        </w:rPr>
        <w:t xml:space="preserve">: </w:t>
      </w:r>
      <w:r w:rsidR="00A4084D">
        <w:rPr>
          <w:rFonts w:ascii="Arial" w:eastAsia="Calibri" w:hAnsi="Arial" w:cs="Arial"/>
          <w:sz w:val="22"/>
          <w:lang w:val="es-ES"/>
        </w:rPr>
        <w:t>generalidades</w:t>
      </w:r>
      <w:r>
        <w:rPr>
          <w:rFonts w:ascii="Arial" w:eastAsia="Calibri" w:hAnsi="Arial" w:cs="Arial"/>
          <w:sz w:val="22"/>
          <w:lang w:val="es-ES"/>
        </w:rPr>
        <w:t xml:space="preserve"> y</w:t>
      </w:r>
      <w:r w:rsidR="00A4084D">
        <w:rPr>
          <w:rFonts w:ascii="Arial" w:eastAsia="Calibri" w:hAnsi="Arial" w:cs="Arial"/>
          <w:sz w:val="22"/>
          <w:lang w:val="es-ES"/>
        </w:rPr>
        <w:t xml:space="preserve"> ii) </w:t>
      </w:r>
      <w:r w:rsidR="00DD1733">
        <w:rPr>
          <w:rFonts w:ascii="Arial" w:eastAsia="Calibri" w:hAnsi="Arial" w:cs="Arial"/>
          <w:sz w:val="22"/>
          <w:lang w:val="es-ES"/>
        </w:rPr>
        <w:t>C</w:t>
      </w:r>
      <w:r w:rsidR="00DD1733" w:rsidRPr="00DD1733">
        <w:rPr>
          <w:rFonts w:ascii="Arial" w:eastAsia="Calibri" w:hAnsi="Arial" w:cs="Arial"/>
          <w:sz w:val="22"/>
          <w:lang w:val="es-ES"/>
        </w:rPr>
        <w:t xml:space="preserve">ontratos </w:t>
      </w:r>
      <w:proofErr w:type="gramStart"/>
      <w:r w:rsidR="00DD1733" w:rsidRPr="00DD1733">
        <w:rPr>
          <w:rFonts w:ascii="Arial" w:eastAsia="Calibri" w:hAnsi="Arial" w:cs="Arial"/>
          <w:sz w:val="22"/>
          <w:lang w:val="es-ES"/>
        </w:rPr>
        <w:t>a</w:t>
      </w:r>
      <w:proofErr w:type="gramEnd"/>
      <w:r w:rsidR="00DD1733" w:rsidRPr="00DD1733">
        <w:rPr>
          <w:rFonts w:ascii="Arial" w:eastAsia="Calibri" w:hAnsi="Arial" w:cs="Arial"/>
          <w:sz w:val="22"/>
          <w:lang w:val="es-ES"/>
        </w:rPr>
        <w:t xml:space="preserve"> tener en cuenta para el cálculo del factor Saldos de Contratos en Ejecución (SCE) de la fórmula para determinar la Capacidad Residual del Proponente (CRP)</w:t>
      </w:r>
      <w:r w:rsidR="00DD1733">
        <w:rPr>
          <w:rFonts w:ascii="Arial" w:eastAsia="Calibri" w:hAnsi="Arial" w:cs="Arial"/>
          <w:sz w:val="22"/>
          <w:lang w:val="es-ES"/>
        </w:rPr>
        <w:t>.</w:t>
      </w:r>
    </w:p>
    <w:p w14:paraId="6DF09824" w14:textId="77777777" w:rsidR="00437FA5" w:rsidRPr="0008465D" w:rsidRDefault="00437FA5" w:rsidP="00A00F82">
      <w:pPr>
        <w:spacing w:line="276" w:lineRule="auto"/>
        <w:jc w:val="both"/>
        <w:rPr>
          <w:rFonts w:ascii="Arial" w:eastAsia="Calibri" w:hAnsi="Arial" w:cs="Arial"/>
          <w:b/>
          <w:bCs/>
          <w:sz w:val="22"/>
          <w:szCs w:val="22"/>
          <w:lang w:val="es-ES"/>
        </w:rPr>
      </w:pPr>
    </w:p>
    <w:p w14:paraId="379959B9" w14:textId="7E3232DF" w:rsidR="00B72A12" w:rsidRPr="0008465D" w:rsidRDefault="00B72A12" w:rsidP="00B72A12">
      <w:pPr>
        <w:spacing w:line="276" w:lineRule="auto"/>
        <w:jc w:val="both"/>
        <w:rPr>
          <w:rFonts w:ascii="Arial" w:hAnsi="Arial" w:cs="Arial"/>
          <w:b/>
          <w:bCs/>
          <w:sz w:val="22"/>
          <w:lang w:val="es-ES"/>
        </w:rPr>
      </w:pPr>
      <w:r w:rsidRPr="0008465D">
        <w:rPr>
          <w:rFonts w:ascii="Arial" w:eastAsia="Calibri" w:hAnsi="Arial" w:cs="Arial"/>
          <w:b/>
          <w:bCs/>
          <w:sz w:val="22"/>
          <w:szCs w:val="22"/>
          <w:lang w:val="es-ES"/>
        </w:rPr>
        <w:t>2.</w:t>
      </w:r>
      <w:r w:rsidR="00365758" w:rsidRPr="0008465D">
        <w:rPr>
          <w:rFonts w:ascii="Arial" w:eastAsia="Calibri" w:hAnsi="Arial" w:cs="Arial"/>
          <w:b/>
          <w:bCs/>
          <w:sz w:val="22"/>
          <w:szCs w:val="22"/>
          <w:lang w:val="es-ES"/>
        </w:rPr>
        <w:t>1.</w:t>
      </w:r>
      <w:r w:rsidR="00365758" w:rsidRPr="0008465D">
        <w:rPr>
          <w:rFonts w:ascii="Arial" w:hAnsi="Arial" w:cs="Arial"/>
          <w:b/>
          <w:bCs/>
          <w:sz w:val="22"/>
          <w:lang w:val="es-ES"/>
        </w:rPr>
        <w:t xml:space="preserve"> </w:t>
      </w:r>
      <w:r w:rsidR="00A4084D">
        <w:rPr>
          <w:rFonts w:ascii="Arial" w:hAnsi="Arial" w:cs="Arial"/>
          <w:b/>
          <w:bCs/>
          <w:sz w:val="22"/>
          <w:lang w:val="es-ES"/>
        </w:rPr>
        <w:t>Capacidad residual</w:t>
      </w:r>
      <w:r w:rsidR="00437FA5">
        <w:rPr>
          <w:rFonts w:ascii="Arial" w:hAnsi="Arial" w:cs="Arial"/>
          <w:b/>
          <w:bCs/>
          <w:sz w:val="22"/>
          <w:lang w:val="es-ES"/>
        </w:rPr>
        <w:t>:</w:t>
      </w:r>
      <w:r w:rsidR="00A4084D">
        <w:rPr>
          <w:rFonts w:ascii="Arial" w:hAnsi="Arial" w:cs="Arial"/>
          <w:b/>
          <w:bCs/>
          <w:sz w:val="22"/>
          <w:lang w:val="es-ES"/>
        </w:rPr>
        <w:t xml:space="preserve"> </w:t>
      </w:r>
      <w:r w:rsidR="00437FA5">
        <w:rPr>
          <w:rFonts w:ascii="Arial" w:hAnsi="Arial" w:cs="Arial"/>
          <w:b/>
          <w:bCs/>
          <w:sz w:val="22"/>
          <w:lang w:val="es-ES"/>
        </w:rPr>
        <w:t>G</w:t>
      </w:r>
      <w:r w:rsidR="00A4084D">
        <w:rPr>
          <w:rFonts w:ascii="Arial" w:hAnsi="Arial" w:cs="Arial"/>
          <w:b/>
          <w:bCs/>
          <w:sz w:val="22"/>
          <w:lang w:val="es-ES"/>
        </w:rPr>
        <w:t xml:space="preserve">eneralidades </w:t>
      </w:r>
    </w:p>
    <w:p w14:paraId="146DA2F4" w14:textId="77777777" w:rsidR="00437FA5" w:rsidRDefault="00437FA5" w:rsidP="00A00F82">
      <w:pPr>
        <w:pStyle w:val="Textoindependiente"/>
        <w:spacing w:line="276" w:lineRule="auto"/>
        <w:jc w:val="both"/>
        <w:rPr>
          <w:rFonts w:eastAsiaTheme="minorHAnsi"/>
          <w:color w:val="000000" w:themeColor="text1"/>
          <w:sz w:val="22"/>
          <w:szCs w:val="22"/>
          <w:lang w:val="es-MX"/>
        </w:rPr>
      </w:pPr>
    </w:p>
    <w:p w14:paraId="769F4FC7" w14:textId="405A2FEC" w:rsidR="00A4084D" w:rsidRPr="004F4910" w:rsidRDefault="00437FA5" w:rsidP="00A00F82">
      <w:pPr>
        <w:pStyle w:val="Textoindependiente"/>
        <w:spacing w:after="120" w:line="276" w:lineRule="auto"/>
        <w:jc w:val="both"/>
        <w:rPr>
          <w:sz w:val="22"/>
          <w:szCs w:val="22"/>
          <w:lang w:val="es-CO"/>
        </w:rPr>
      </w:pPr>
      <w:r w:rsidRPr="00BF28DB">
        <w:rPr>
          <w:rFonts w:eastAsiaTheme="minorHAnsi"/>
          <w:color w:val="000000" w:themeColor="text1"/>
          <w:sz w:val="22"/>
          <w:szCs w:val="22"/>
          <w:lang w:val="es-MX"/>
        </w:rPr>
        <w:t>De acuerdo con l</w:t>
      </w:r>
      <w:r>
        <w:rPr>
          <w:rFonts w:eastAsiaTheme="minorHAnsi"/>
          <w:color w:val="000000" w:themeColor="text1"/>
          <w:sz w:val="22"/>
          <w:szCs w:val="22"/>
          <w:lang w:val="es-MX"/>
        </w:rPr>
        <w:t>a definición</w:t>
      </w:r>
      <w:r w:rsidRPr="00BF28DB">
        <w:rPr>
          <w:rFonts w:eastAsiaTheme="minorHAnsi"/>
          <w:color w:val="000000" w:themeColor="text1"/>
          <w:sz w:val="22"/>
          <w:szCs w:val="22"/>
          <w:lang w:val="es-MX"/>
        </w:rPr>
        <w:t xml:space="preserve"> establecid</w:t>
      </w:r>
      <w:r>
        <w:rPr>
          <w:rFonts w:eastAsiaTheme="minorHAnsi"/>
          <w:color w:val="000000" w:themeColor="text1"/>
          <w:sz w:val="22"/>
          <w:szCs w:val="22"/>
          <w:lang w:val="es-MX"/>
        </w:rPr>
        <w:t>a</w:t>
      </w:r>
      <w:r w:rsidRPr="00BF28DB">
        <w:rPr>
          <w:rFonts w:eastAsiaTheme="minorHAnsi"/>
          <w:color w:val="000000" w:themeColor="text1"/>
          <w:sz w:val="22"/>
          <w:szCs w:val="22"/>
          <w:lang w:val="es-MX"/>
        </w:rPr>
        <w:t xml:space="preserve"> en el artículo 2.2.1.1.1.3.1. del Decreto 1082 de 2015, la capacidad residual es la aptitud de los oferentes para cumplir de manera oportuna y a cabalidad el objeto de un contrato de obra, sin que los demás compromisos contractuales que han adquirido afecten su habilidad </w:t>
      </w:r>
      <w:r>
        <w:rPr>
          <w:rFonts w:eastAsiaTheme="minorHAnsi"/>
          <w:color w:val="000000" w:themeColor="text1"/>
          <w:sz w:val="22"/>
          <w:szCs w:val="22"/>
          <w:lang w:val="es-MX"/>
        </w:rPr>
        <w:t>para</w:t>
      </w:r>
      <w:r w:rsidRPr="00BF28DB">
        <w:rPr>
          <w:rFonts w:eastAsiaTheme="minorHAnsi"/>
          <w:color w:val="000000" w:themeColor="text1"/>
          <w:sz w:val="22"/>
          <w:szCs w:val="22"/>
          <w:lang w:val="es-MX"/>
        </w:rPr>
        <w:t xml:space="preserve"> cumplir el objeto del contrato que está en proceso de selección</w:t>
      </w:r>
      <w:r w:rsidRPr="00BF28DB">
        <w:rPr>
          <w:rFonts w:eastAsiaTheme="minorHAnsi"/>
          <w:color w:val="000000" w:themeColor="text1"/>
          <w:sz w:val="22"/>
          <w:vertAlign w:val="superscript"/>
          <w:lang w:val="es-MX"/>
        </w:rPr>
        <w:footnoteReference w:id="2"/>
      </w:r>
      <w:r w:rsidRPr="00BF28DB">
        <w:rPr>
          <w:rFonts w:eastAsiaTheme="minorHAnsi"/>
          <w:color w:val="000000" w:themeColor="text1"/>
          <w:sz w:val="22"/>
          <w:szCs w:val="22"/>
          <w:lang w:val="es-MX"/>
        </w:rPr>
        <w:t>. Por su parte, el Consejo de Estado ha definido la capacidad residual como «</w:t>
      </w:r>
      <w:r>
        <w:rPr>
          <w:rFonts w:eastAsiaTheme="minorHAnsi"/>
          <w:color w:val="000000" w:themeColor="text1"/>
          <w:sz w:val="22"/>
          <w:szCs w:val="22"/>
          <w:lang w:val="es-MX"/>
        </w:rPr>
        <w:t xml:space="preserve">[…] </w:t>
      </w:r>
      <w:r w:rsidRPr="00BF28DB">
        <w:rPr>
          <w:rFonts w:eastAsiaTheme="minorHAnsi"/>
          <w:color w:val="000000" w:themeColor="text1"/>
          <w:sz w:val="22"/>
          <w:szCs w:val="22"/>
          <w:lang w:val="es-MX"/>
        </w:rPr>
        <w:t xml:space="preserve">la diferencia que existe entre el potencial de contratación que se tiene </w:t>
      </w:r>
      <w:r w:rsidRPr="00BF28DB">
        <w:rPr>
          <w:rFonts w:eastAsiaTheme="minorHAnsi"/>
          <w:color w:val="000000" w:themeColor="text1"/>
          <w:sz w:val="22"/>
          <w:szCs w:val="22"/>
          <w:lang w:val="es-MX"/>
        </w:rPr>
        <w:lastRenderedPageBreak/>
        <w:t>y los compromisos que haya adquirido y que se encuentren en ejecución, para la fecha de presentación de la oferta»</w:t>
      </w:r>
      <w:r w:rsidRPr="00BF28DB">
        <w:rPr>
          <w:rFonts w:eastAsia="Calibri"/>
          <w:color w:val="000000" w:themeColor="text1"/>
          <w:sz w:val="22"/>
          <w:szCs w:val="22"/>
          <w:vertAlign w:val="superscript"/>
          <w:lang w:val="es-MX"/>
        </w:rPr>
        <w:footnoteReference w:id="3"/>
      </w:r>
      <w:r w:rsidRPr="00BF28DB">
        <w:rPr>
          <w:rFonts w:eastAsiaTheme="minorHAnsi"/>
          <w:color w:val="000000" w:themeColor="text1"/>
          <w:sz w:val="22"/>
          <w:szCs w:val="22"/>
          <w:lang w:val="es-MX"/>
        </w:rPr>
        <w:t xml:space="preserve">.En </w:t>
      </w:r>
      <w:r>
        <w:rPr>
          <w:rFonts w:eastAsiaTheme="minorHAnsi"/>
          <w:color w:val="000000" w:themeColor="text1"/>
          <w:sz w:val="22"/>
          <w:szCs w:val="22"/>
          <w:lang w:val="es-MX"/>
        </w:rPr>
        <w:t>tales términos</w:t>
      </w:r>
      <w:r w:rsidRPr="00BF28DB">
        <w:rPr>
          <w:rFonts w:eastAsiaTheme="minorHAnsi"/>
          <w:color w:val="000000" w:themeColor="text1"/>
          <w:sz w:val="22"/>
          <w:szCs w:val="22"/>
          <w:lang w:val="es-MX"/>
        </w:rPr>
        <w:t>, la capacidad residual hace referencia a la suficiencia que tiene el proponente para asumir nuevas obligaciones que se derivan del contrato objeto del proceso de contratación, en relación con las obligaciones que ya adquirió frente a otros contratos</w:t>
      </w:r>
      <w:r w:rsidR="00A4084D">
        <w:rPr>
          <w:sz w:val="22"/>
          <w:szCs w:val="22"/>
          <w:lang w:val="es-CO"/>
        </w:rPr>
        <w:t>Al respecto, l</w:t>
      </w:r>
      <w:r w:rsidR="00A4084D" w:rsidRPr="004F4910">
        <w:rPr>
          <w:sz w:val="22"/>
          <w:szCs w:val="22"/>
          <w:lang w:val="es-CO"/>
        </w:rPr>
        <w:t xml:space="preserve">a Ley 1150 de 2007 establece que la capacidad residual de los interesados en participar en procesos de selección para contratos de obra </w:t>
      </w:r>
      <w:r w:rsidR="00A4084D">
        <w:rPr>
          <w:sz w:val="22"/>
          <w:szCs w:val="22"/>
          <w:lang w:val="es-CO"/>
        </w:rPr>
        <w:t xml:space="preserve">pública </w:t>
      </w:r>
      <w:r w:rsidR="00A4084D" w:rsidRPr="004F4910">
        <w:rPr>
          <w:sz w:val="22"/>
          <w:szCs w:val="22"/>
          <w:lang w:val="es-CO"/>
        </w:rPr>
        <w:t>deberá ser igual o superior a</w:t>
      </w:r>
      <w:r w:rsidR="00A4084D">
        <w:rPr>
          <w:sz w:val="22"/>
          <w:szCs w:val="22"/>
          <w:lang w:val="es-CO"/>
        </w:rPr>
        <w:t xml:space="preserve"> </w:t>
      </w:r>
      <w:r w:rsidR="00A4084D" w:rsidRPr="004F4910">
        <w:rPr>
          <w:sz w:val="22"/>
          <w:szCs w:val="22"/>
          <w:lang w:val="es-CO"/>
        </w:rPr>
        <w:t>l</w:t>
      </w:r>
      <w:r w:rsidR="00A4084D">
        <w:rPr>
          <w:sz w:val="22"/>
          <w:szCs w:val="22"/>
          <w:lang w:val="es-CO"/>
        </w:rPr>
        <w:t>a</w:t>
      </w:r>
      <w:r w:rsidR="00A4084D" w:rsidRPr="004F4910">
        <w:rPr>
          <w:sz w:val="22"/>
          <w:szCs w:val="22"/>
          <w:lang w:val="es-CO"/>
        </w:rPr>
        <w:t xml:space="preserve"> que la entidad ha establecido en los pliegos de condiciones, en los siguientes términos:</w:t>
      </w:r>
    </w:p>
    <w:p w14:paraId="07085885" w14:textId="77777777" w:rsidR="00437FA5" w:rsidRPr="00BF28DB" w:rsidRDefault="00437FA5" w:rsidP="00437FA5">
      <w:pPr>
        <w:spacing w:before="120" w:line="276" w:lineRule="auto"/>
        <w:ind w:firstLine="708"/>
        <w:jc w:val="both"/>
        <w:rPr>
          <w:rFonts w:ascii="Arial" w:eastAsiaTheme="minorHAnsi" w:hAnsi="Arial" w:cs="Arial"/>
          <w:color w:val="000000" w:themeColor="text1"/>
          <w:sz w:val="22"/>
          <w:szCs w:val="22"/>
          <w:lang w:val="es-MX" w:eastAsia="en-US"/>
        </w:rPr>
      </w:pPr>
      <w:r w:rsidRPr="00BF28DB">
        <w:rPr>
          <w:rFonts w:ascii="Arial" w:eastAsiaTheme="minorHAnsi" w:hAnsi="Arial" w:cs="Arial"/>
          <w:color w:val="000000" w:themeColor="text1"/>
          <w:sz w:val="22"/>
          <w:szCs w:val="22"/>
          <w:lang w:val="es-MX" w:eastAsia="en-US"/>
        </w:rPr>
        <w:t xml:space="preserve">El artículo 6 de la Ley 1150 de 2007 estableció como condición «para poder participar en los procesos de selección de los contratos de obra, la capacidad residual del proponente o </w:t>
      </w:r>
      <w:r w:rsidRPr="007328D2">
        <w:rPr>
          <w:rFonts w:ascii="Arial" w:eastAsiaTheme="minorHAnsi" w:hAnsi="Arial" w:cs="Arial"/>
          <w:i/>
          <w:iCs/>
          <w:color w:val="000000" w:themeColor="text1"/>
          <w:sz w:val="22"/>
          <w:szCs w:val="22"/>
          <w:lang w:val="es-MX" w:eastAsia="en-US"/>
        </w:rPr>
        <w:t>K</w:t>
      </w:r>
      <w:r w:rsidRPr="00BF28DB">
        <w:rPr>
          <w:rFonts w:ascii="Arial" w:eastAsiaTheme="minorHAnsi" w:hAnsi="Arial" w:cs="Arial"/>
          <w:color w:val="000000" w:themeColor="text1"/>
          <w:sz w:val="22"/>
          <w:szCs w:val="22"/>
          <w:lang w:val="es-MX" w:eastAsia="en-US"/>
        </w:rPr>
        <w:t xml:space="preserve"> de contratación». Además, determinó que esta debe ser igual o superior a la establecida en los pliegos de condiciones, en los siguientes términos: </w:t>
      </w:r>
    </w:p>
    <w:p w14:paraId="663896A5" w14:textId="77777777" w:rsidR="00437FA5" w:rsidRPr="00BF28DB" w:rsidRDefault="00437FA5" w:rsidP="00437FA5">
      <w:pPr>
        <w:spacing w:before="120"/>
        <w:ind w:right="709"/>
        <w:jc w:val="both"/>
        <w:rPr>
          <w:rFonts w:ascii="Arial" w:eastAsia="Calibri" w:hAnsi="Arial" w:cs="Arial"/>
          <w:color w:val="000000" w:themeColor="text1"/>
          <w:sz w:val="21"/>
          <w:szCs w:val="21"/>
          <w:lang w:val="es-MX" w:eastAsia="en-US"/>
        </w:rPr>
      </w:pPr>
    </w:p>
    <w:p w14:paraId="23F817DA" w14:textId="77777777" w:rsidR="00437FA5" w:rsidRPr="00BF28DB" w:rsidRDefault="00437FA5" w:rsidP="00437FA5">
      <w:pPr>
        <w:ind w:left="708" w:right="709"/>
        <w:jc w:val="both"/>
        <w:rPr>
          <w:rFonts w:ascii="Arial" w:eastAsia="Calibri" w:hAnsi="Arial" w:cs="Arial"/>
          <w:color w:val="000000" w:themeColor="text1"/>
          <w:sz w:val="21"/>
          <w:szCs w:val="21"/>
          <w:lang w:val="es-MX" w:eastAsia="en-US"/>
        </w:rPr>
      </w:pPr>
      <w:r w:rsidRPr="00BF28DB">
        <w:rPr>
          <w:rFonts w:ascii="Arial" w:eastAsia="Calibri" w:hAnsi="Arial" w:cs="Arial"/>
          <w:color w:val="000000" w:themeColor="text1"/>
          <w:sz w:val="21"/>
          <w:szCs w:val="21"/>
          <w:lang w:val="es-MX" w:eastAsia="en-US"/>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7FB7CCD9" w14:textId="77777777" w:rsidR="00437FA5" w:rsidRPr="00BF28DB" w:rsidRDefault="00437FA5" w:rsidP="00437FA5">
      <w:pPr>
        <w:ind w:left="708" w:right="709"/>
        <w:jc w:val="both"/>
        <w:rPr>
          <w:rFonts w:ascii="Arial" w:eastAsia="Calibri" w:hAnsi="Arial" w:cs="Arial"/>
          <w:color w:val="000000" w:themeColor="text1"/>
          <w:sz w:val="21"/>
          <w:szCs w:val="21"/>
          <w:lang w:val="es-MX" w:eastAsia="en-US"/>
        </w:rPr>
      </w:pPr>
    </w:p>
    <w:p w14:paraId="493AAC0C" w14:textId="77777777" w:rsidR="00437FA5" w:rsidRPr="00BF28DB" w:rsidRDefault="00437FA5" w:rsidP="00437FA5">
      <w:pPr>
        <w:ind w:left="708" w:right="709"/>
        <w:jc w:val="both"/>
        <w:rPr>
          <w:rFonts w:ascii="Arial" w:eastAsia="Calibri" w:hAnsi="Arial" w:cs="Arial"/>
          <w:color w:val="000000" w:themeColor="text1"/>
          <w:sz w:val="22"/>
          <w:szCs w:val="22"/>
          <w:lang w:val="es-MX" w:eastAsia="en-US"/>
        </w:rPr>
      </w:pPr>
      <w:r w:rsidRPr="00BF28DB">
        <w:rPr>
          <w:rFonts w:ascii="Arial" w:eastAsia="Calibri" w:hAnsi="Arial" w:cs="Arial"/>
          <w:color w:val="000000" w:themeColor="text1"/>
          <w:sz w:val="21"/>
          <w:szCs w:val="21"/>
          <w:lang w:val="es-MX" w:eastAsia="en-US"/>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58E37872" w14:textId="77777777" w:rsidR="00A4084D" w:rsidRPr="004F4910" w:rsidRDefault="00A4084D" w:rsidP="00A4084D">
      <w:pPr>
        <w:pStyle w:val="Textoindependiente"/>
        <w:ind w:right="49"/>
        <w:rPr>
          <w:sz w:val="22"/>
          <w:szCs w:val="22"/>
          <w:lang w:val="es-CO"/>
        </w:rPr>
      </w:pPr>
    </w:p>
    <w:p w14:paraId="2ABC9E59" w14:textId="77777777" w:rsidR="00437FA5" w:rsidRDefault="00437FA5" w:rsidP="00437FA5">
      <w:pPr>
        <w:spacing w:before="120" w:line="276" w:lineRule="auto"/>
        <w:ind w:firstLine="709"/>
        <w:jc w:val="both"/>
        <w:rPr>
          <w:rFonts w:ascii="Arial" w:eastAsiaTheme="minorHAnsi" w:hAnsi="Arial" w:cs="Arial"/>
          <w:color w:val="000000" w:themeColor="text1"/>
          <w:sz w:val="22"/>
          <w:szCs w:val="22"/>
          <w:lang w:val="es-MX" w:eastAsia="en-US"/>
        </w:rPr>
      </w:pPr>
      <w:r w:rsidRPr="00BF28DB">
        <w:rPr>
          <w:rFonts w:ascii="Arial" w:eastAsiaTheme="minorHAnsi" w:hAnsi="Arial" w:cs="Arial"/>
          <w:color w:val="000000" w:themeColor="text1"/>
          <w:sz w:val="22"/>
          <w:szCs w:val="22"/>
          <w:lang w:val="es-MX" w:eastAsia="en-US"/>
        </w:rPr>
        <w:t xml:space="preserve">Por su parte, el artículo 72 de la Ley 1682 de 2013, por la cual se adoptan medidas y disposiciones para los proyectos de infraestructura de transporte, estableció que la capacidad residual del proponente se debe calcular mediante la evaluación de los siguientes factores: Experiencia –E–, Capacidad Financiera –CF–, Capacidad Técnica –CT– y Capacidad de </w:t>
      </w:r>
      <w:r w:rsidRPr="00BF28DB">
        <w:rPr>
          <w:rFonts w:ascii="Arial" w:eastAsia="Calibri" w:hAnsi="Arial" w:cs="Arial"/>
          <w:bCs/>
          <w:color w:val="000000" w:themeColor="text1"/>
          <w:sz w:val="22"/>
          <w:szCs w:val="22"/>
          <w:lang w:val="es-MX" w:eastAsia="en-US"/>
        </w:rPr>
        <w:t>Organización</w:t>
      </w:r>
      <w:r w:rsidRPr="00BF28DB">
        <w:rPr>
          <w:rFonts w:ascii="Arial" w:eastAsiaTheme="minorHAnsi" w:hAnsi="Arial" w:cs="Arial"/>
          <w:color w:val="000000" w:themeColor="text1"/>
          <w:sz w:val="22"/>
          <w:szCs w:val="22"/>
          <w:lang w:val="es-MX" w:eastAsia="en-US"/>
        </w:rPr>
        <w:t xml:space="preserve"> –CO–. </w:t>
      </w:r>
    </w:p>
    <w:p w14:paraId="23C44F6A" w14:textId="77777777" w:rsidR="00437FA5" w:rsidRPr="00A851FD" w:rsidRDefault="00437FA5" w:rsidP="00437FA5">
      <w:pPr>
        <w:spacing w:before="120" w:line="276" w:lineRule="auto"/>
        <w:ind w:firstLine="709"/>
        <w:jc w:val="both"/>
        <w:rPr>
          <w:rFonts w:ascii="Arial" w:eastAsia="Calibri" w:hAnsi="Arial" w:cs="Arial"/>
          <w:color w:val="000000" w:themeColor="text1"/>
          <w:sz w:val="22"/>
          <w:szCs w:val="22"/>
          <w:lang w:val="es-MX" w:eastAsia="en-US"/>
        </w:rPr>
      </w:pPr>
      <w:r>
        <w:rPr>
          <w:rFonts w:ascii="Arial" w:eastAsia="Calibri" w:hAnsi="Arial" w:cs="Arial"/>
          <w:color w:val="000000" w:themeColor="text1"/>
          <w:sz w:val="22"/>
          <w:szCs w:val="22"/>
          <w:lang w:val="es-MX" w:eastAsia="en-US"/>
        </w:rPr>
        <w:t>Igualmente, e</w:t>
      </w:r>
      <w:r w:rsidRPr="00A851FD">
        <w:rPr>
          <w:rFonts w:ascii="Arial" w:eastAsia="Calibri" w:hAnsi="Arial" w:cs="Arial"/>
          <w:color w:val="000000" w:themeColor="text1"/>
          <w:sz w:val="22"/>
          <w:szCs w:val="22"/>
          <w:lang w:val="es-MX" w:eastAsia="en-US"/>
        </w:rPr>
        <w:t>l artículo 2.2.1.1.1.6.4 de</w:t>
      </w:r>
      <w:r>
        <w:rPr>
          <w:rFonts w:ascii="Arial" w:eastAsia="Calibri" w:hAnsi="Arial" w:cs="Arial"/>
          <w:color w:val="000000" w:themeColor="text1"/>
          <w:sz w:val="22"/>
          <w:szCs w:val="22"/>
          <w:lang w:val="es-MX" w:eastAsia="en-US"/>
        </w:rPr>
        <w:t xml:space="preserve">l Decreto 1082 de 2015, </w:t>
      </w:r>
      <w:r w:rsidRPr="00A851FD">
        <w:rPr>
          <w:rFonts w:ascii="Arial" w:eastAsia="Calibri" w:hAnsi="Arial" w:cs="Arial"/>
          <w:color w:val="000000" w:themeColor="text1"/>
          <w:sz w:val="22"/>
          <w:szCs w:val="22"/>
          <w:lang w:val="es-MX" w:eastAsia="en-US"/>
        </w:rPr>
        <w:t>establece que las entidades estatales deberán calcular la capacidad residual conforme a la metodología definida por Colombia Compre Eficiente y precisó que, para tale</w:t>
      </w:r>
      <w:r>
        <w:rPr>
          <w:rFonts w:ascii="Arial" w:eastAsia="Calibri" w:hAnsi="Arial" w:cs="Arial"/>
          <w:color w:val="000000" w:themeColor="text1"/>
          <w:sz w:val="22"/>
          <w:szCs w:val="22"/>
          <w:lang w:val="es-MX" w:eastAsia="en-US"/>
        </w:rPr>
        <w:t>s</w:t>
      </w:r>
      <w:r w:rsidRPr="00A851FD">
        <w:rPr>
          <w:rFonts w:ascii="Arial" w:eastAsia="Calibri" w:hAnsi="Arial" w:cs="Arial"/>
          <w:color w:val="000000" w:themeColor="text1"/>
          <w:sz w:val="22"/>
          <w:szCs w:val="22"/>
          <w:lang w:val="es-MX" w:eastAsia="en-US"/>
        </w:rPr>
        <w:t xml:space="preserve"> fines, resulta necesario tener en cuenta los factores de: i) experiencia; ii) capacidad financiera; iii) capacidad técnica; iv) capacidad de organización; y v) los saldos de los contratos en ejecución, así:</w:t>
      </w:r>
    </w:p>
    <w:p w14:paraId="3D275A25" w14:textId="77777777" w:rsidR="00437FA5" w:rsidRPr="00A851FD" w:rsidRDefault="00437FA5" w:rsidP="00437FA5">
      <w:pPr>
        <w:spacing w:line="276" w:lineRule="auto"/>
        <w:ind w:right="709"/>
        <w:jc w:val="both"/>
        <w:rPr>
          <w:rFonts w:ascii="Arial" w:eastAsia="Calibri" w:hAnsi="Arial" w:cs="Arial"/>
          <w:color w:val="000000" w:themeColor="text1"/>
          <w:sz w:val="21"/>
          <w:szCs w:val="21"/>
          <w:lang w:val="es-MX" w:eastAsia="en-US"/>
        </w:rPr>
      </w:pPr>
    </w:p>
    <w:p w14:paraId="29B9FF9B" w14:textId="77777777" w:rsidR="00437FA5" w:rsidRPr="00A851FD" w:rsidRDefault="00437FA5" w:rsidP="00437FA5">
      <w:pPr>
        <w:ind w:left="708" w:right="709"/>
        <w:jc w:val="both"/>
        <w:rPr>
          <w:rFonts w:ascii="Arial" w:eastAsia="Calibri" w:hAnsi="Arial" w:cs="Arial"/>
          <w:color w:val="000000" w:themeColor="text1"/>
          <w:sz w:val="21"/>
          <w:szCs w:val="21"/>
          <w:lang w:val="es-MX" w:eastAsia="en-US"/>
        </w:rPr>
      </w:pPr>
      <w:r w:rsidRPr="00A851FD">
        <w:rPr>
          <w:rFonts w:ascii="Arial" w:eastAsia="Calibri" w:hAnsi="Arial" w:cs="Arial"/>
          <w:color w:val="000000" w:themeColor="text1"/>
          <w:sz w:val="21"/>
          <w:szCs w:val="21"/>
          <w:lang w:val="es-MX" w:eastAsia="en-US"/>
        </w:rPr>
        <w:lastRenderedPageBreak/>
        <w:t xml:space="preserve">Artículo 2.2.1.1.1.6.4. Capacidad Residual. El interesado en celebrar contratos de obra pública con Entidades Estatales debe acreditar su Capacidad Residual o K de Contratación con los siguientes documentos: </w:t>
      </w:r>
      <w:r>
        <w:rPr>
          <w:rFonts w:ascii="Arial" w:eastAsia="Calibri" w:hAnsi="Arial" w:cs="Arial"/>
          <w:color w:val="000000" w:themeColor="text1"/>
          <w:sz w:val="21"/>
          <w:szCs w:val="21"/>
          <w:lang w:val="es-MX" w:eastAsia="en-US"/>
        </w:rPr>
        <w:t>[</w:t>
      </w:r>
      <w:r w:rsidRPr="00A851FD">
        <w:rPr>
          <w:rFonts w:ascii="Arial" w:eastAsia="Calibri" w:hAnsi="Arial" w:cs="Arial"/>
          <w:color w:val="000000" w:themeColor="text1"/>
          <w:sz w:val="21"/>
          <w:szCs w:val="21"/>
          <w:lang w:val="es-MX" w:eastAsia="en-US"/>
        </w:rPr>
        <w:t>…</w:t>
      </w:r>
      <w:r>
        <w:rPr>
          <w:rFonts w:ascii="Arial" w:eastAsia="Calibri" w:hAnsi="Arial" w:cs="Arial"/>
          <w:color w:val="000000" w:themeColor="text1"/>
          <w:sz w:val="21"/>
          <w:szCs w:val="21"/>
          <w:lang w:val="es-MX" w:eastAsia="en-US"/>
        </w:rPr>
        <w:t>]</w:t>
      </w:r>
    </w:p>
    <w:p w14:paraId="5F8F9FB2" w14:textId="77777777" w:rsidR="00437FA5" w:rsidRPr="00A851FD" w:rsidRDefault="00437FA5" w:rsidP="00437FA5">
      <w:pPr>
        <w:ind w:left="708" w:right="709"/>
        <w:jc w:val="both"/>
        <w:rPr>
          <w:rFonts w:ascii="Arial" w:eastAsia="Calibri" w:hAnsi="Arial" w:cs="Arial"/>
          <w:color w:val="000000" w:themeColor="text1"/>
          <w:sz w:val="21"/>
          <w:szCs w:val="21"/>
          <w:lang w:val="es-MX" w:eastAsia="en-US"/>
        </w:rPr>
      </w:pPr>
    </w:p>
    <w:p w14:paraId="2068A1F5" w14:textId="5548B284" w:rsidR="008A7D2C" w:rsidRPr="004F4910" w:rsidRDefault="00437FA5" w:rsidP="00437FA5">
      <w:pPr>
        <w:pStyle w:val="Textoindependiente"/>
        <w:spacing w:before="120" w:line="276" w:lineRule="auto"/>
        <w:ind w:firstLine="709"/>
        <w:jc w:val="both"/>
        <w:rPr>
          <w:sz w:val="22"/>
          <w:szCs w:val="22"/>
          <w:lang w:val="es-CO"/>
        </w:rPr>
      </w:pPr>
      <w:r w:rsidRPr="00A851FD">
        <w:rPr>
          <w:rFonts w:eastAsia="Calibri"/>
          <w:color w:val="000000" w:themeColor="text1"/>
          <w:sz w:val="21"/>
          <w:szCs w:val="21"/>
          <w:lang w:val="es-MX"/>
        </w:rPr>
        <w:t xml:space="preserve">La Entidad Estatal debe calcular la Capacidad Residual del proponente de acuerdo con la metodología que defina Colombia Compra Eficiente, teniendo en cuenta los factores de: Experiencia (E), Capacidad Financiera (CF), Capacidad Técnica (CT), Capacidad </w:t>
      </w:r>
    </w:p>
    <w:p w14:paraId="0D0242F0" w14:textId="77777777" w:rsidR="00A4084D" w:rsidRPr="004F4910" w:rsidRDefault="00A4084D" w:rsidP="00A4084D">
      <w:pPr>
        <w:pStyle w:val="Textoindependiente"/>
        <w:ind w:right="49"/>
        <w:rPr>
          <w:sz w:val="22"/>
          <w:szCs w:val="22"/>
          <w:lang w:val="es-CO"/>
        </w:rPr>
      </w:pPr>
    </w:p>
    <w:p w14:paraId="2ACEB90C" w14:textId="568A1B1D" w:rsidR="00A4084D" w:rsidRPr="004F4910" w:rsidRDefault="00A4084D" w:rsidP="00A4084D">
      <w:pPr>
        <w:pStyle w:val="Textoindependiente"/>
        <w:spacing w:line="276" w:lineRule="auto"/>
        <w:ind w:firstLine="709"/>
        <w:jc w:val="both"/>
        <w:rPr>
          <w:sz w:val="22"/>
          <w:szCs w:val="22"/>
          <w:lang w:val="es-CO"/>
        </w:rPr>
      </w:pPr>
      <w:r w:rsidRPr="004F4910">
        <w:rPr>
          <w:sz w:val="22"/>
          <w:szCs w:val="22"/>
          <w:lang w:val="es-CO"/>
        </w:rPr>
        <w:t xml:space="preserve">De conformidad con lo anterior, </w:t>
      </w:r>
      <w:r>
        <w:rPr>
          <w:sz w:val="22"/>
          <w:szCs w:val="22"/>
          <w:lang w:val="es-CO"/>
        </w:rPr>
        <w:t xml:space="preserve">esta </w:t>
      </w:r>
      <w:r w:rsidRPr="004F4910">
        <w:rPr>
          <w:sz w:val="22"/>
          <w:szCs w:val="22"/>
          <w:lang w:val="es-CO"/>
        </w:rPr>
        <w:t xml:space="preserve">Agencia expidió la </w:t>
      </w:r>
      <w:r w:rsidRPr="00A00F82">
        <w:rPr>
          <w:i/>
          <w:iCs/>
          <w:sz w:val="22"/>
          <w:szCs w:val="22"/>
          <w:lang w:val="es-CO"/>
        </w:rPr>
        <w:t>Guía para Determinar y Verificar la Capacidad Residual del Proponente en los Procesos de Contratación de Obra Pública</w:t>
      </w:r>
      <w:r w:rsidRPr="004F4910">
        <w:rPr>
          <w:sz w:val="22"/>
          <w:szCs w:val="22"/>
          <w:lang w:val="es-CO"/>
        </w:rPr>
        <w:t xml:space="preserve">. </w:t>
      </w:r>
      <w:r>
        <w:rPr>
          <w:sz w:val="22"/>
          <w:szCs w:val="22"/>
          <w:lang w:val="es-CO"/>
        </w:rPr>
        <w:t>En e</w:t>
      </w:r>
      <w:r w:rsidRPr="004F4910">
        <w:rPr>
          <w:sz w:val="22"/>
          <w:szCs w:val="22"/>
          <w:lang w:val="es-CO"/>
        </w:rPr>
        <w:t>ste documento</w:t>
      </w:r>
      <w:r>
        <w:rPr>
          <w:sz w:val="22"/>
          <w:szCs w:val="22"/>
          <w:lang w:val="es-CO"/>
        </w:rPr>
        <w:t xml:space="preserve"> se</w:t>
      </w:r>
      <w:r w:rsidRPr="004F4910">
        <w:rPr>
          <w:sz w:val="22"/>
          <w:szCs w:val="22"/>
          <w:lang w:val="es-CO"/>
        </w:rPr>
        <w:t xml:space="preserve"> establece, entre otras cuestiones, que a la entidad contratante </w:t>
      </w:r>
      <w:r>
        <w:rPr>
          <w:sz w:val="22"/>
          <w:szCs w:val="22"/>
          <w:lang w:val="es-CO"/>
        </w:rPr>
        <w:t xml:space="preserve">le </w:t>
      </w:r>
      <w:r w:rsidRPr="004F4910">
        <w:rPr>
          <w:sz w:val="22"/>
          <w:szCs w:val="22"/>
          <w:lang w:val="es-CO"/>
        </w:rPr>
        <w:t xml:space="preserve">corresponde, primero, establecer la capacidad residual del proceso de contratación </w:t>
      </w:r>
      <w:r w:rsidRPr="00A00F82">
        <w:rPr>
          <w:i/>
          <w:iCs/>
          <w:sz w:val="22"/>
          <w:szCs w:val="22"/>
          <w:lang w:val="es-CO"/>
        </w:rPr>
        <w:t>CRPC</w:t>
      </w:r>
      <w:r w:rsidRPr="004F4910">
        <w:rPr>
          <w:sz w:val="22"/>
          <w:szCs w:val="22"/>
          <w:lang w:val="es-CO"/>
        </w:rPr>
        <w:t xml:space="preserve"> y, segundo, determinar si los proponentes cumplen con la capacidad residual del proceso de contratación, claro está, teniendo en cuenta la siguiente información aportada por el proponente:</w:t>
      </w:r>
    </w:p>
    <w:p w14:paraId="579DBC40" w14:textId="77777777" w:rsidR="00A4084D" w:rsidRPr="004F4910" w:rsidRDefault="00A4084D">
      <w:pPr>
        <w:pStyle w:val="Textoindependiente"/>
        <w:ind w:left="709" w:right="760"/>
        <w:jc w:val="both"/>
        <w:rPr>
          <w:sz w:val="22"/>
          <w:szCs w:val="22"/>
          <w:lang w:val="es-CO"/>
        </w:rPr>
      </w:pPr>
    </w:p>
    <w:p w14:paraId="594BDA9C" w14:textId="77777777" w:rsidR="00A4084D" w:rsidRPr="004F4910" w:rsidRDefault="00A4084D" w:rsidP="00A4084D">
      <w:pPr>
        <w:pStyle w:val="Textoindependiente"/>
        <w:numPr>
          <w:ilvl w:val="0"/>
          <w:numId w:val="12"/>
        </w:numPr>
        <w:tabs>
          <w:tab w:val="left" w:pos="993"/>
        </w:tabs>
        <w:ind w:left="709" w:right="709" w:firstLine="0"/>
        <w:jc w:val="both"/>
        <w:rPr>
          <w:sz w:val="22"/>
          <w:szCs w:val="22"/>
          <w:lang w:val="es-CO"/>
        </w:rPr>
      </w:pPr>
      <w:r w:rsidRPr="004F4910">
        <w:rPr>
          <w:sz w:val="22"/>
          <w:szCs w:val="22"/>
          <w:lang w:val="es-CO"/>
        </w:rPr>
        <w:t>La lista de los Contratos en Ejecución, así como el valor y plazo de tales contratos.</w:t>
      </w:r>
    </w:p>
    <w:p w14:paraId="4E0E7A13" w14:textId="77777777" w:rsidR="00A4084D" w:rsidRPr="004F4910" w:rsidRDefault="00A4084D" w:rsidP="00A4084D">
      <w:pPr>
        <w:pStyle w:val="Textoindependiente"/>
        <w:tabs>
          <w:tab w:val="left" w:pos="993"/>
        </w:tabs>
        <w:ind w:left="709" w:right="709"/>
        <w:jc w:val="both"/>
        <w:rPr>
          <w:sz w:val="22"/>
          <w:szCs w:val="22"/>
          <w:lang w:val="es-CO"/>
        </w:rPr>
      </w:pPr>
    </w:p>
    <w:p w14:paraId="1C6DF7DB" w14:textId="77777777" w:rsidR="00A4084D" w:rsidRPr="004F4910" w:rsidRDefault="00A4084D" w:rsidP="00A4084D">
      <w:pPr>
        <w:pStyle w:val="Textoindependiente"/>
        <w:numPr>
          <w:ilvl w:val="0"/>
          <w:numId w:val="12"/>
        </w:numPr>
        <w:tabs>
          <w:tab w:val="left" w:pos="993"/>
        </w:tabs>
        <w:ind w:left="709" w:right="709" w:firstLine="0"/>
        <w:jc w:val="both"/>
        <w:rPr>
          <w:sz w:val="22"/>
          <w:szCs w:val="22"/>
          <w:lang w:val="es-CO"/>
        </w:rPr>
      </w:pPr>
      <w:r w:rsidRPr="004F4910">
        <w:rPr>
          <w:sz w:val="22"/>
          <w:szCs w:val="22"/>
          <w:lang w:val="es-CO"/>
        </w:rPr>
        <w:t>La lista de los Contratos en Ejecución, suscritos por sociedades, consorcios o uniones temporales, en los cuales el proponente tenga participación, así como el valor y plazo de tales contratos.</w:t>
      </w:r>
    </w:p>
    <w:p w14:paraId="41CA54F1" w14:textId="77777777" w:rsidR="00A4084D" w:rsidRPr="004F4910" w:rsidRDefault="00A4084D" w:rsidP="00A4084D">
      <w:pPr>
        <w:pStyle w:val="Textoindependiente"/>
        <w:tabs>
          <w:tab w:val="left" w:pos="993"/>
        </w:tabs>
        <w:ind w:right="709"/>
        <w:jc w:val="both"/>
        <w:rPr>
          <w:sz w:val="22"/>
          <w:szCs w:val="22"/>
          <w:lang w:val="es-CO"/>
        </w:rPr>
      </w:pPr>
    </w:p>
    <w:p w14:paraId="0A2966DD" w14:textId="77777777" w:rsidR="00A4084D" w:rsidRPr="004F4910" w:rsidRDefault="00A4084D" w:rsidP="00A4084D">
      <w:pPr>
        <w:pStyle w:val="Textoindependiente"/>
        <w:numPr>
          <w:ilvl w:val="0"/>
          <w:numId w:val="12"/>
        </w:numPr>
        <w:tabs>
          <w:tab w:val="left" w:pos="993"/>
        </w:tabs>
        <w:ind w:left="709" w:right="709" w:firstLine="0"/>
        <w:jc w:val="both"/>
        <w:rPr>
          <w:sz w:val="22"/>
          <w:szCs w:val="22"/>
          <w:lang w:val="es-CO"/>
        </w:rPr>
      </w:pPr>
      <w:r w:rsidRPr="004F4910">
        <w:rPr>
          <w:sz w:val="22"/>
          <w:szCs w:val="22"/>
          <w:lang w:val="es-CO"/>
        </w:rPr>
        <w:t>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que contiene el mejor ingreso operacional de los últimos cinco (5) años puesto que la información de la liquidez se encuentra en el RUP.</w:t>
      </w:r>
    </w:p>
    <w:p w14:paraId="122D1F59" w14:textId="77777777" w:rsidR="002E49B3" w:rsidRDefault="002E49B3" w:rsidP="00A00F82">
      <w:pPr>
        <w:pStyle w:val="Textoindependiente"/>
        <w:spacing w:line="276" w:lineRule="auto"/>
        <w:ind w:firstLine="709"/>
        <w:jc w:val="both"/>
        <w:rPr>
          <w:sz w:val="22"/>
          <w:szCs w:val="22"/>
          <w:lang w:val="es-CO"/>
        </w:rPr>
      </w:pPr>
    </w:p>
    <w:p w14:paraId="6CBDEC58" w14:textId="7B2694F3" w:rsidR="00A4084D" w:rsidRPr="004F4910" w:rsidRDefault="00A4084D" w:rsidP="00A00F82">
      <w:pPr>
        <w:pStyle w:val="Textoindependiente"/>
        <w:spacing w:after="120" w:line="276" w:lineRule="auto"/>
        <w:ind w:firstLine="709"/>
        <w:jc w:val="both"/>
        <w:rPr>
          <w:sz w:val="22"/>
          <w:szCs w:val="22"/>
          <w:lang w:val="es-CO"/>
        </w:rPr>
      </w:pPr>
      <w:r w:rsidRPr="004F4910">
        <w:rPr>
          <w:sz w:val="22"/>
          <w:szCs w:val="22"/>
          <w:lang w:val="es-CO"/>
        </w:rPr>
        <w:t>Ahora bien, para lo primero, esto es, para establecer la capacidad residual del proceso de contratación «CRPC», se debe determinar si el plazo del contrato es superior a doce meses. Si no lo es, la CRPC equivale al presupuesto oficial estimado del Proceso de Contratación menos el anticipo o pago anticipado cuando haya lugar. Si lo es, equivale a la proporción lineal de 12 meses del presupuesto oficial estimado menos el anticipo o pago anticipado.</w:t>
      </w:r>
    </w:p>
    <w:p w14:paraId="4D20ED12" w14:textId="77777777" w:rsidR="00A4084D" w:rsidRPr="004F4910" w:rsidRDefault="00A4084D" w:rsidP="009F1BB8">
      <w:pPr>
        <w:pStyle w:val="Textoindependiente"/>
        <w:spacing w:before="120" w:after="120" w:line="276" w:lineRule="auto"/>
        <w:ind w:firstLine="709"/>
        <w:jc w:val="both"/>
        <w:rPr>
          <w:sz w:val="22"/>
          <w:szCs w:val="22"/>
          <w:lang w:val="es-CO"/>
        </w:rPr>
      </w:pPr>
      <w:r w:rsidRPr="004F4910">
        <w:rPr>
          <w:sz w:val="22"/>
          <w:szCs w:val="22"/>
          <w:lang w:val="es-CO"/>
        </w:rPr>
        <w:t xml:space="preserve">Para lo segundo, es decir, </w:t>
      </w:r>
      <w:r>
        <w:rPr>
          <w:sz w:val="22"/>
          <w:szCs w:val="22"/>
          <w:lang w:val="es-CO"/>
        </w:rPr>
        <w:t xml:space="preserve">para </w:t>
      </w:r>
      <w:r w:rsidRPr="004F4910">
        <w:rPr>
          <w:sz w:val="22"/>
          <w:szCs w:val="22"/>
          <w:lang w:val="es-CO"/>
        </w:rPr>
        <w:t xml:space="preserve">verificar que cada proponente cumple con la CRPC, la entidad pública debe verificar que la capacidad residual del proponente «CRP» sea igual o superior a la capacidad referida en el párrafo precedente. De todas formas, previamente debe establecer la CRP, con fundamento en los siguientes factores: i) experiencia «E»; ii) </w:t>
      </w:r>
      <w:r w:rsidRPr="004F4910">
        <w:rPr>
          <w:sz w:val="22"/>
          <w:szCs w:val="22"/>
          <w:lang w:val="es-CO"/>
        </w:rPr>
        <w:lastRenderedPageBreak/>
        <w:t>capacidad financiera «CF»; iii) capacidad técnica «CT», iv) capacidad de organización «CO»; y v) los saldos de los contratos en ejecución «SCE», según la siguiente fórmula:</w:t>
      </w:r>
    </w:p>
    <w:p w14:paraId="0333A42F" w14:textId="77777777" w:rsidR="00A4084D" w:rsidRPr="004F4910" w:rsidRDefault="00A4084D" w:rsidP="00A4084D">
      <w:pPr>
        <w:pStyle w:val="Textoindependiente"/>
        <w:tabs>
          <w:tab w:val="left" w:pos="709"/>
          <w:tab w:val="left" w:pos="8080"/>
        </w:tabs>
        <w:spacing w:before="10"/>
        <w:ind w:right="49"/>
        <w:rPr>
          <w:sz w:val="22"/>
          <w:szCs w:val="22"/>
          <w:lang w:val="es-CO"/>
        </w:rPr>
      </w:pPr>
      <w:r w:rsidRPr="004F4910">
        <w:rPr>
          <w:noProof/>
          <w:sz w:val="22"/>
          <w:szCs w:val="22"/>
          <w:lang w:val="es-CO" w:eastAsia="es-ES_tradnl"/>
        </w:rPr>
        <w:drawing>
          <wp:anchor distT="0" distB="0" distL="0" distR="0" simplePos="0" relativeHeight="251659264" behindDoc="0" locked="0" layoutInCell="1" allowOverlap="1" wp14:anchorId="269B2903" wp14:editId="2981104A">
            <wp:simplePos x="0" y="0"/>
            <wp:positionH relativeFrom="page">
              <wp:posOffset>1545590</wp:posOffset>
            </wp:positionH>
            <wp:positionV relativeFrom="paragraph">
              <wp:posOffset>160655</wp:posOffset>
            </wp:positionV>
            <wp:extent cx="4638040" cy="67437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4638040" cy="674370"/>
                    </a:xfrm>
                    <a:prstGeom prst="rect">
                      <a:avLst/>
                    </a:prstGeom>
                  </pic:spPr>
                </pic:pic>
              </a:graphicData>
            </a:graphic>
            <wp14:sizeRelH relativeFrom="margin">
              <wp14:pctWidth>0</wp14:pctWidth>
            </wp14:sizeRelH>
          </wp:anchor>
        </w:drawing>
      </w:r>
    </w:p>
    <w:p w14:paraId="6F2E4DFA" w14:textId="77777777" w:rsidR="00A4084D" w:rsidRPr="004F4910" w:rsidRDefault="00A4084D" w:rsidP="00A4084D">
      <w:pPr>
        <w:pStyle w:val="Textoindependiente"/>
        <w:spacing w:before="120" w:line="276" w:lineRule="auto"/>
        <w:ind w:right="51" w:firstLine="709"/>
        <w:jc w:val="both"/>
        <w:rPr>
          <w:sz w:val="22"/>
          <w:szCs w:val="22"/>
          <w:lang w:val="es-CO"/>
        </w:rPr>
      </w:pPr>
    </w:p>
    <w:p w14:paraId="5E7264C9" w14:textId="77777777" w:rsidR="00A4084D" w:rsidRPr="004F4910" w:rsidRDefault="00A4084D" w:rsidP="009F1BB8">
      <w:pPr>
        <w:pStyle w:val="Textoindependiente"/>
        <w:spacing w:before="120" w:after="120" w:line="276" w:lineRule="auto"/>
        <w:ind w:firstLine="709"/>
        <w:jc w:val="both"/>
        <w:rPr>
          <w:sz w:val="22"/>
          <w:szCs w:val="22"/>
          <w:lang w:val="es-CO"/>
        </w:rPr>
      </w:pPr>
      <w:r w:rsidRPr="004F4910">
        <w:rPr>
          <w:sz w:val="22"/>
          <w:szCs w:val="22"/>
          <w:lang w:val="es-CO"/>
        </w:rPr>
        <w:t>A cada uno de estos factores se les debe asignar el siguiente puntaje máximo: i) «E» 120; ii) «CF» 40; y iii) «CT» 40. La «CO» no tiene asignación de puntaje en la fórmula, por un lado, porque su unidad de medida es en pesos colombianos «COP» y, por el otro, debido a que el mismo constituye un factor multiplicador de los demás factores en la fórmula. A continuación, se explicará, en términos generales, cómo calcular cada factor:</w:t>
      </w:r>
    </w:p>
    <w:p w14:paraId="65915240" w14:textId="06D61DC5" w:rsidR="00A4084D" w:rsidRPr="004F4910" w:rsidRDefault="00A4084D" w:rsidP="009F1BB8">
      <w:pPr>
        <w:pStyle w:val="Textoindependiente"/>
        <w:numPr>
          <w:ilvl w:val="0"/>
          <w:numId w:val="13"/>
        </w:numPr>
        <w:tabs>
          <w:tab w:val="left" w:pos="993"/>
        </w:tabs>
        <w:spacing w:before="120" w:after="120" w:line="276" w:lineRule="auto"/>
        <w:ind w:left="0" w:firstLine="709"/>
        <w:jc w:val="both"/>
        <w:rPr>
          <w:i/>
          <w:iCs/>
          <w:sz w:val="22"/>
          <w:szCs w:val="22"/>
          <w:lang w:val="es-CO"/>
        </w:rPr>
      </w:pPr>
      <w:r w:rsidRPr="004F4910">
        <w:rPr>
          <w:i/>
          <w:iCs/>
          <w:sz w:val="22"/>
          <w:szCs w:val="22"/>
          <w:lang w:val="es-CO"/>
        </w:rPr>
        <w:t>Capacidad financiera</w:t>
      </w:r>
      <w:r w:rsidR="009001A7">
        <w:rPr>
          <w:i/>
          <w:iCs/>
          <w:sz w:val="22"/>
          <w:szCs w:val="22"/>
          <w:lang w:val="es-CO"/>
        </w:rPr>
        <w:t xml:space="preserve"> (CF)</w:t>
      </w:r>
      <w:r w:rsidRPr="004F4910">
        <w:rPr>
          <w:i/>
          <w:iCs/>
          <w:sz w:val="22"/>
          <w:szCs w:val="22"/>
          <w:lang w:val="es-CO"/>
        </w:rPr>
        <w:t>.</w:t>
      </w:r>
      <w:r w:rsidRPr="004F4910">
        <w:rPr>
          <w:sz w:val="22"/>
          <w:szCs w:val="22"/>
          <w:lang w:val="es-CO"/>
        </w:rPr>
        <w:t xml:space="preserve"> Se mide por el «índice de liquidez» y este, a su vez, corresponde al resultado de dividir el «activo corriente» sobre el «pasivo corriente». El resultado puede ser calificado entre 20 y cuarenta puntos, según se explica en la Guía.</w:t>
      </w:r>
    </w:p>
    <w:p w14:paraId="130D5C49" w14:textId="65423D7A" w:rsidR="00A4084D" w:rsidRPr="004F4910" w:rsidRDefault="00A4084D" w:rsidP="009F1BB8">
      <w:pPr>
        <w:pStyle w:val="Textoindependiente"/>
        <w:numPr>
          <w:ilvl w:val="0"/>
          <w:numId w:val="13"/>
        </w:numPr>
        <w:tabs>
          <w:tab w:val="left" w:pos="993"/>
        </w:tabs>
        <w:spacing w:before="120" w:after="120" w:line="276" w:lineRule="auto"/>
        <w:ind w:left="0" w:firstLine="709"/>
        <w:jc w:val="both"/>
        <w:rPr>
          <w:i/>
          <w:iCs/>
          <w:sz w:val="22"/>
          <w:szCs w:val="22"/>
          <w:lang w:val="es-CO"/>
        </w:rPr>
      </w:pPr>
      <w:r w:rsidRPr="004F4910">
        <w:rPr>
          <w:i/>
          <w:iCs/>
          <w:sz w:val="22"/>
          <w:szCs w:val="22"/>
          <w:lang w:val="es-CO"/>
        </w:rPr>
        <w:t>Capacidad técnica</w:t>
      </w:r>
      <w:r w:rsidR="009001A7">
        <w:rPr>
          <w:i/>
          <w:iCs/>
          <w:sz w:val="22"/>
          <w:szCs w:val="22"/>
          <w:lang w:val="es-CO"/>
        </w:rPr>
        <w:t xml:space="preserve"> (CT)</w:t>
      </w:r>
      <w:r w:rsidRPr="004F4910">
        <w:rPr>
          <w:sz w:val="22"/>
          <w:szCs w:val="22"/>
          <w:lang w:val="es-CO"/>
        </w:rPr>
        <w:t>. Se determina teniendo en cuenta el número de socios y profesionales de la arquitectura, ingeniería y geología vinculados mediante una relación laboral o contractual. El puntaje a asignar, según la Guía, oscila entre 20 y 40 puntos. Para tales fines, se aclara, el proponente debe diligenciar el Anexo 2 de la «Guía para Determinar y Verificar la Capacidad Residual del Proponente en los Procesos de Contratación de Obra Pública» −este es diferente al Anexo 2 de los Documentos Tipo−.</w:t>
      </w:r>
    </w:p>
    <w:p w14:paraId="029A19BD" w14:textId="204CE58D" w:rsidR="00A4084D" w:rsidRPr="004F4910" w:rsidRDefault="00A4084D" w:rsidP="009F1BB8">
      <w:pPr>
        <w:pStyle w:val="Textoindependiente"/>
        <w:numPr>
          <w:ilvl w:val="0"/>
          <w:numId w:val="13"/>
        </w:numPr>
        <w:tabs>
          <w:tab w:val="left" w:pos="993"/>
        </w:tabs>
        <w:spacing w:before="120" w:after="120" w:line="276" w:lineRule="auto"/>
        <w:ind w:left="0" w:firstLine="709"/>
        <w:jc w:val="both"/>
        <w:rPr>
          <w:i/>
          <w:iCs/>
          <w:sz w:val="22"/>
          <w:szCs w:val="22"/>
          <w:lang w:val="es-CO"/>
        </w:rPr>
      </w:pPr>
      <w:r w:rsidRPr="004F4910">
        <w:rPr>
          <w:i/>
          <w:iCs/>
          <w:sz w:val="22"/>
          <w:szCs w:val="22"/>
          <w:lang w:val="es-CO"/>
        </w:rPr>
        <w:t>Capacidad de organización</w:t>
      </w:r>
      <w:r w:rsidR="009001A7">
        <w:rPr>
          <w:i/>
          <w:iCs/>
          <w:sz w:val="22"/>
          <w:szCs w:val="22"/>
          <w:lang w:val="es-CO"/>
        </w:rPr>
        <w:t xml:space="preserve"> (CO)</w:t>
      </w:r>
      <w:r w:rsidRPr="004F4910">
        <w:rPr>
          <w:sz w:val="22"/>
          <w:szCs w:val="22"/>
          <w:lang w:val="es-CO"/>
        </w:rPr>
        <w:t>. Corresponde a los ingresos operacionales, según el siguiente cuadro:</w:t>
      </w:r>
    </w:p>
    <w:tbl>
      <w:tblPr>
        <w:tblStyle w:val="Tablaconcuadrcula"/>
        <w:tblW w:w="7366" w:type="dxa"/>
        <w:tblInd w:w="709" w:type="dxa"/>
        <w:tblLook w:val="04A0" w:firstRow="1" w:lastRow="0" w:firstColumn="1" w:lastColumn="0" w:noHBand="0" w:noVBand="1"/>
      </w:tblPr>
      <w:tblGrid>
        <w:gridCol w:w="4053"/>
        <w:gridCol w:w="3313"/>
      </w:tblGrid>
      <w:tr w:rsidR="00A4084D" w:rsidRPr="004F4910" w14:paraId="050ACD27" w14:textId="77777777" w:rsidTr="00E63C75">
        <w:tc>
          <w:tcPr>
            <w:tcW w:w="4053" w:type="dxa"/>
            <w:shd w:val="clear" w:color="auto" w:fill="D9D9D9" w:themeFill="background1" w:themeFillShade="D9"/>
          </w:tcPr>
          <w:p w14:paraId="089D24E2" w14:textId="77777777" w:rsidR="00A4084D" w:rsidRPr="004F4910" w:rsidRDefault="00A4084D" w:rsidP="00E63C75">
            <w:pPr>
              <w:pStyle w:val="Textoindependiente"/>
              <w:tabs>
                <w:tab w:val="left" w:pos="993"/>
              </w:tabs>
              <w:spacing w:before="120" w:line="276" w:lineRule="auto"/>
              <w:ind w:right="51"/>
              <w:jc w:val="center"/>
              <w:rPr>
                <w:b/>
                <w:bCs/>
                <w:sz w:val="22"/>
                <w:szCs w:val="22"/>
                <w:lang w:val="es-CO"/>
              </w:rPr>
            </w:pPr>
            <w:r w:rsidRPr="004F4910">
              <w:rPr>
                <w:b/>
                <w:bCs/>
                <w:sz w:val="22"/>
                <w:szCs w:val="22"/>
                <w:lang w:val="es-CO"/>
              </w:rPr>
              <w:t>Años de información financiera</w:t>
            </w:r>
          </w:p>
        </w:tc>
        <w:tc>
          <w:tcPr>
            <w:tcW w:w="3313" w:type="dxa"/>
            <w:shd w:val="clear" w:color="auto" w:fill="D9D9D9" w:themeFill="background1" w:themeFillShade="D9"/>
          </w:tcPr>
          <w:p w14:paraId="0F9C94F2" w14:textId="77777777" w:rsidR="00A4084D" w:rsidRPr="004F4910" w:rsidRDefault="00A4084D" w:rsidP="00E63C75">
            <w:pPr>
              <w:pStyle w:val="Textoindependiente"/>
              <w:tabs>
                <w:tab w:val="left" w:pos="993"/>
              </w:tabs>
              <w:spacing w:before="120" w:line="276" w:lineRule="auto"/>
              <w:ind w:right="51"/>
              <w:jc w:val="center"/>
              <w:rPr>
                <w:b/>
                <w:bCs/>
                <w:sz w:val="22"/>
                <w:szCs w:val="22"/>
                <w:lang w:val="es-CO"/>
              </w:rPr>
            </w:pPr>
            <w:r w:rsidRPr="004F4910">
              <w:rPr>
                <w:b/>
                <w:bCs/>
                <w:sz w:val="22"/>
                <w:szCs w:val="22"/>
                <w:lang w:val="es-CO"/>
              </w:rPr>
              <w:t>Capacidad de organización</w:t>
            </w:r>
          </w:p>
        </w:tc>
      </w:tr>
      <w:tr w:rsidR="00A4084D" w:rsidRPr="004F4910" w14:paraId="02DB449D" w14:textId="77777777" w:rsidTr="00E63C75">
        <w:tc>
          <w:tcPr>
            <w:tcW w:w="4053" w:type="dxa"/>
          </w:tcPr>
          <w:p w14:paraId="0A6CFE5A"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Cinco (5) años o más</w:t>
            </w:r>
          </w:p>
        </w:tc>
        <w:tc>
          <w:tcPr>
            <w:tcW w:w="3313" w:type="dxa"/>
          </w:tcPr>
          <w:p w14:paraId="12668A7B"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Mayor ingreso operacional de los últimos cinco años</w:t>
            </w:r>
          </w:p>
        </w:tc>
      </w:tr>
      <w:tr w:rsidR="00A4084D" w:rsidRPr="004F4910" w14:paraId="5F4A909E" w14:textId="77777777" w:rsidTr="00E63C75">
        <w:tc>
          <w:tcPr>
            <w:tcW w:w="4053" w:type="dxa"/>
          </w:tcPr>
          <w:p w14:paraId="30E3E9CB"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Entre uno (1) y cinco (5) años</w:t>
            </w:r>
          </w:p>
        </w:tc>
        <w:tc>
          <w:tcPr>
            <w:tcW w:w="3313" w:type="dxa"/>
          </w:tcPr>
          <w:p w14:paraId="328CD16A"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Mayor ingreso operacional de los años de vida del oferente</w:t>
            </w:r>
          </w:p>
        </w:tc>
      </w:tr>
      <w:tr w:rsidR="00A4084D" w:rsidRPr="004F4910" w14:paraId="06EBAF6E" w14:textId="77777777" w:rsidTr="00E63C75">
        <w:tc>
          <w:tcPr>
            <w:tcW w:w="4053" w:type="dxa"/>
          </w:tcPr>
          <w:p w14:paraId="4A9AF7AE"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Menos de un (1) año</w:t>
            </w:r>
          </w:p>
        </w:tc>
        <w:tc>
          <w:tcPr>
            <w:tcW w:w="3313" w:type="dxa"/>
          </w:tcPr>
          <w:p w14:paraId="361CB8D6" w14:textId="77777777" w:rsidR="00A4084D" w:rsidRPr="004F4910" w:rsidRDefault="00A4084D" w:rsidP="00E63C75">
            <w:pPr>
              <w:pStyle w:val="Textoindependiente"/>
              <w:tabs>
                <w:tab w:val="left" w:pos="993"/>
              </w:tabs>
              <w:spacing w:before="120" w:line="276" w:lineRule="auto"/>
              <w:ind w:right="51"/>
              <w:jc w:val="both"/>
              <w:rPr>
                <w:sz w:val="22"/>
                <w:szCs w:val="22"/>
                <w:lang w:val="es-CO"/>
              </w:rPr>
            </w:pPr>
            <w:r w:rsidRPr="004F4910">
              <w:rPr>
                <w:sz w:val="22"/>
                <w:szCs w:val="22"/>
                <w:lang w:val="es-CO"/>
              </w:rPr>
              <w:t>USD 125.000</w:t>
            </w:r>
          </w:p>
        </w:tc>
      </w:tr>
    </w:tbl>
    <w:p w14:paraId="4983D946" w14:textId="0B3EFFBB" w:rsidR="00A4084D" w:rsidRPr="004F4910" w:rsidRDefault="00A4084D" w:rsidP="009F1BB8">
      <w:pPr>
        <w:pStyle w:val="Textoindependiente"/>
        <w:numPr>
          <w:ilvl w:val="0"/>
          <w:numId w:val="13"/>
        </w:numPr>
        <w:tabs>
          <w:tab w:val="left" w:pos="993"/>
        </w:tabs>
        <w:spacing w:before="120" w:after="120" w:line="276" w:lineRule="auto"/>
        <w:ind w:left="0" w:firstLine="709"/>
        <w:jc w:val="both"/>
        <w:rPr>
          <w:sz w:val="22"/>
          <w:szCs w:val="22"/>
          <w:lang w:val="es-CO"/>
        </w:rPr>
      </w:pPr>
      <w:r w:rsidRPr="004F4910">
        <w:rPr>
          <w:i/>
          <w:iCs/>
          <w:sz w:val="22"/>
          <w:szCs w:val="22"/>
          <w:lang w:val="es-CO"/>
        </w:rPr>
        <w:t xml:space="preserve">Saldos de los </w:t>
      </w:r>
      <w:r w:rsidR="009001A7">
        <w:rPr>
          <w:i/>
          <w:iCs/>
          <w:sz w:val="22"/>
          <w:szCs w:val="22"/>
          <w:lang w:val="es-CO"/>
        </w:rPr>
        <w:t>C</w:t>
      </w:r>
      <w:r w:rsidRPr="004F4910">
        <w:rPr>
          <w:i/>
          <w:iCs/>
          <w:sz w:val="22"/>
          <w:szCs w:val="22"/>
          <w:lang w:val="es-CO"/>
        </w:rPr>
        <w:t>ontratos en ejecución</w:t>
      </w:r>
      <w:r w:rsidR="009001A7">
        <w:rPr>
          <w:i/>
          <w:iCs/>
          <w:sz w:val="22"/>
          <w:szCs w:val="22"/>
          <w:lang w:val="es-CO"/>
        </w:rPr>
        <w:t xml:space="preserve"> (SCE)</w:t>
      </w:r>
      <w:r w:rsidRPr="004F4910">
        <w:rPr>
          <w:sz w:val="22"/>
          <w:szCs w:val="22"/>
          <w:lang w:val="es-CO"/>
        </w:rPr>
        <w:t>. Debe hacerse linealmente y calculando una «ejecución diaria equivalente al valor del contrato dividido por el plazo del contrato expresado en días». El resultado obtenido se debe multiplicar por el número de días pendientes para cumplir el plazo del contrato. Si el número de días por ejecutar un contrato es superior a 360 días, solo se tendrá en cuenta la proporción lineal de 12 meses.</w:t>
      </w:r>
    </w:p>
    <w:p w14:paraId="62332EF7" w14:textId="1AE367A8" w:rsidR="00A4084D" w:rsidRPr="004F4910" w:rsidRDefault="00A4084D" w:rsidP="009F1BB8">
      <w:pPr>
        <w:pStyle w:val="Textoindependiente"/>
        <w:numPr>
          <w:ilvl w:val="0"/>
          <w:numId w:val="13"/>
        </w:numPr>
        <w:tabs>
          <w:tab w:val="left" w:pos="993"/>
        </w:tabs>
        <w:spacing w:before="120" w:after="120" w:line="276" w:lineRule="auto"/>
        <w:ind w:left="0" w:firstLine="709"/>
        <w:jc w:val="both"/>
        <w:rPr>
          <w:sz w:val="22"/>
          <w:szCs w:val="22"/>
          <w:lang w:val="es-CO"/>
        </w:rPr>
      </w:pPr>
      <w:r w:rsidRPr="004F4910">
        <w:rPr>
          <w:i/>
          <w:iCs/>
          <w:sz w:val="22"/>
          <w:szCs w:val="22"/>
          <w:lang w:val="es-CO"/>
        </w:rPr>
        <w:lastRenderedPageBreak/>
        <w:t>Experiencia</w:t>
      </w:r>
      <w:r w:rsidR="009001A7">
        <w:rPr>
          <w:sz w:val="22"/>
          <w:szCs w:val="22"/>
          <w:lang w:val="es-CO"/>
        </w:rPr>
        <w:t xml:space="preserve"> </w:t>
      </w:r>
      <w:r w:rsidR="009001A7" w:rsidRPr="00A00F82">
        <w:rPr>
          <w:i/>
          <w:iCs/>
          <w:sz w:val="22"/>
          <w:szCs w:val="22"/>
          <w:lang w:val="es-CO"/>
        </w:rPr>
        <w:t>(E)</w:t>
      </w:r>
      <w:r w:rsidR="009001A7">
        <w:rPr>
          <w:i/>
          <w:iCs/>
          <w:sz w:val="22"/>
          <w:szCs w:val="22"/>
          <w:lang w:val="es-CO"/>
        </w:rPr>
        <w:t>.</w:t>
      </w:r>
      <w:r w:rsidRPr="004F4910">
        <w:rPr>
          <w:sz w:val="22"/>
          <w:szCs w:val="22"/>
          <w:lang w:val="es-CO"/>
        </w:rPr>
        <w:t xml:space="preserve"> Para los efectos de la capacidad residual</w:t>
      </w:r>
      <w:r w:rsidR="00397FDF">
        <w:rPr>
          <w:sz w:val="22"/>
          <w:szCs w:val="22"/>
          <w:lang w:val="es-CO"/>
        </w:rPr>
        <w:t xml:space="preserve">, </w:t>
      </w:r>
      <w:r w:rsidRPr="004F4910">
        <w:rPr>
          <w:sz w:val="22"/>
          <w:szCs w:val="22"/>
          <w:lang w:val="es-CO"/>
        </w:rPr>
        <w:t xml:space="preserve">corresponde de un lado, a la relación entre «el valor total en pesos de los contratos relacionados con la actividad de la construcción inscritos por el proponente en el Registro Único de Proponentes “RUP” en el segmento 72 […] del Clasificador de Bienes y Servicios», y del otro, al presupuesto oficial estimado del Proceso de Contratación. La relación indica el número de veces que el proponente ha ejecutado contratos equivalentes a la cuantía del proceso de contratación.  </w:t>
      </w:r>
    </w:p>
    <w:p w14:paraId="609DA015" w14:textId="77777777" w:rsidR="00A4084D" w:rsidRDefault="00A4084D" w:rsidP="00A00F82">
      <w:pPr>
        <w:pStyle w:val="Textoindependiente"/>
        <w:spacing w:before="120" w:line="276" w:lineRule="auto"/>
        <w:ind w:firstLine="709"/>
        <w:jc w:val="both"/>
        <w:rPr>
          <w:sz w:val="22"/>
          <w:szCs w:val="22"/>
          <w:lang w:val="es-CO"/>
        </w:rPr>
      </w:pPr>
      <w:r>
        <w:rPr>
          <w:sz w:val="22"/>
          <w:szCs w:val="22"/>
          <w:lang w:val="es-CO"/>
        </w:rPr>
        <w:t>En este contexto, r</w:t>
      </w:r>
      <w:r w:rsidRPr="004F4910">
        <w:rPr>
          <w:sz w:val="22"/>
          <w:szCs w:val="22"/>
          <w:lang w:val="es-CO"/>
        </w:rPr>
        <w:t xml:space="preserve">esulta </w:t>
      </w:r>
      <w:r>
        <w:rPr>
          <w:sz w:val="22"/>
          <w:szCs w:val="22"/>
          <w:lang w:val="es-CO"/>
        </w:rPr>
        <w:t>oportuno</w:t>
      </w:r>
      <w:r w:rsidRPr="004F4910">
        <w:rPr>
          <w:sz w:val="22"/>
          <w:szCs w:val="22"/>
          <w:lang w:val="es-CO"/>
        </w:rPr>
        <w:t xml:space="preserve"> precisar que</w:t>
      </w:r>
      <w:r>
        <w:rPr>
          <w:sz w:val="22"/>
          <w:szCs w:val="22"/>
          <w:lang w:val="es-CO"/>
        </w:rPr>
        <w:t>,</w:t>
      </w:r>
      <w:r w:rsidRPr="004F4910">
        <w:rPr>
          <w:sz w:val="22"/>
          <w:szCs w:val="22"/>
          <w:lang w:val="es-CO"/>
        </w:rPr>
        <w:t xml:space="preserve"> si bien es cierto la entidad estatal </w:t>
      </w:r>
      <w:r>
        <w:rPr>
          <w:sz w:val="22"/>
          <w:szCs w:val="22"/>
          <w:lang w:val="es-CO"/>
        </w:rPr>
        <w:t xml:space="preserve">es </w:t>
      </w:r>
      <w:r w:rsidRPr="004F4910">
        <w:rPr>
          <w:sz w:val="22"/>
          <w:szCs w:val="22"/>
          <w:lang w:val="es-CO"/>
        </w:rPr>
        <w:t>la que debe calcular la capacidad residual de los proponentes, también lo es que estos últimos, como se</w:t>
      </w:r>
      <w:r>
        <w:rPr>
          <w:sz w:val="22"/>
          <w:szCs w:val="22"/>
          <w:lang w:val="es-CO"/>
        </w:rPr>
        <w:t xml:space="preserve"> referenció</w:t>
      </w:r>
      <w:r w:rsidRPr="004F4910">
        <w:rPr>
          <w:sz w:val="22"/>
          <w:szCs w:val="22"/>
          <w:lang w:val="es-CO"/>
        </w:rPr>
        <w:t xml:space="preserve">, tienen </w:t>
      </w:r>
      <w:r>
        <w:rPr>
          <w:sz w:val="22"/>
          <w:szCs w:val="22"/>
          <w:lang w:val="es-CO"/>
        </w:rPr>
        <w:t xml:space="preserve">la </w:t>
      </w:r>
      <w:r w:rsidRPr="004F4910">
        <w:rPr>
          <w:sz w:val="22"/>
          <w:szCs w:val="22"/>
          <w:lang w:val="es-CO"/>
        </w:rPr>
        <w:t>carga</w:t>
      </w:r>
      <w:r>
        <w:rPr>
          <w:sz w:val="22"/>
          <w:szCs w:val="22"/>
          <w:lang w:val="es-CO"/>
        </w:rPr>
        <w:t xml:space="preserve"> de</w:t>
      </w:r>
      <w:r w:rsidRPr="004F4910">
        <w:rPr>
          <w:sz w:val="22"/>
          <w:szCs w:val="22"/>
          <w:lang w:val="es-CO"/>
        </w:rPr>
        <w:t xml:space="preserve"> aportar los documentos para acreditar su capacidad residual</w:t>
      </w:r>
      <w:r w:rsidRPr="004F4910">
        <w:rPr>
          <w:rStyle w:val="Refdenotaalpie"/>
          <w:sz w:val="22"/>
          <w:szCs w:val="22"/>
          <w:lang w:val="es-CO"/>
        </w:rPr>
        <w:footnoteReference w:id="4"/>
      </w:r>
      <w:r w:rsidRPr="004F4910">
        <w:rPr>
          <w:sz w:val="22"/>
          <w:szCs w:val="22"/>
          <w:lang w:val="es-CO"/>
        </w:rPr>
        <w:t xml:space="preserve">. </w:t>
      </w:r>
    </w:p>
    <w:p w14:paraId="1A13241E" w14:textId="77777777" w:rsidR="00A4084D" w:rsidRPr="004F4910" w:rsidRDefault="00A4084D" w:rsidP="00A4084D">
      <w:pPr>
        <w:pStyle w:val="Textoindependiente"/>
        <w:spacing w:line="276" w:lineRule="auto"/>
        <w:ind w:right="51" w:firstLine="709"/>
        <w:jc w:val="both"/>
        <w:rPr>
          <w:sz w:val="22"/>
          <w:szCs w:val="22"/>
          <w:lang w:val="es-CO"/>
        </w:rPr>
      </w:pPr>
    </w:p>
    <w:p w14:paraId="6B5D483F" w14:textId="727F8BF4" w:rsidR="00A4084D" w:rsidRDefault="00A4084D" w:rsidP="00A4084D">
      <w:pPr>
        <w:spacing w:line="276" w:lineRule="auto"/>
        <w:jc w:val="both"/>
        <w:rPr>
          <w:rFonts w:ascii="Arial" w:hAnsi="Arial" w:cs="Arial"/>
          <w:b/>
          <w:bCs/>
          <w:sz w:val="22"/>
          <w:szCs w:val="22"/>
        </w:rPr>
      </w:pPr>
      <w:r>
        <w:rPr>
          <w:rFonts w:ascii="Arial" w:hAnsi="Arial" w:cs="Arial"/>
          <w:b/>
          <w:bCs/>
          <w:sz w:val="22"/>
          <w:szCs w:val="22"/>
        </w:rPr>
        <w:t xml:space="preserve">2.2. </w:t>
      </w:r>
      <w:bookmarkStart w:id="2" w:name="_Hlk81557838"/>
      <w:r w:rsidR="009001A7">
        <w:rPr>
          <w:rFonts w:ascii="Arial" w:hAnsi="Arial" w:cs="Arial"/>
          <w:b/>
          <w:bCs/>
          <w:sz w:val="22"/>
          <w:szCs w:val="22"/>
        </w:rPr>
        <w:t>Contratos a tener en cuenta para el cálculo del factor Saldos de Contratos en Ejecución (SCE)</w:t>
      </w:r>
      <w:r>
        <w:rPr>
          <w:rFonts w:ascii="Arial" w:hAnsi="Arial" w:cs="Arial"/>
          <w:b/>
          <w:bCs/>
          <w:sz w:val="22"/>
          <w:szCs w:val="22"/>
        </w:rPr>
        <w:t xml:space="preserve"> </w:t>
      </w:r>
      <w:r w:rsidR="009001A7">
        <w:rPr>
          <w:rFonts w:ascii="Arial" w:hAnsi="Arial" w:cs="Arial"/>
          <w:b/>
          <w:bCs/>
          <w:sz w:val="22"/>
          <w:szCs w:val="22"/>
        </w:rPr>
        <w:t>de la f</w:t>
      </w:r>
      <w:r w:rsidR="00DD1733">
        <w:rPr>
          <w:rFonts w:ascii="Arial" w:hAnsi="Arial" w:cs="Arial"/>
          <w:b/>
          <w:bCs/>
          <w:sz w:val="22"/>
          <w:szCs w:val="22"/>
        </w:rPr>
        <w:t>ó</w:t>
      </w:r>
      <w:r w:rsidR="009001A7">
        <w:rPr>
          <w:rFonts w:ascii="Arial" w:hAnsi="Arial" w:cs="Arial"/>
          <w:b/>
          <w:bCs/>
          <w:sz w:val="22"/>
          <w:szCs w:val="22"/>
        </w:rPr>
        <w:t>rmula para determinar la Capacidad Residual del Proponente (CRP)</w:t>
      </w:r>
      <w:bookmarkEnd w:id="2"/>
    </w:p>
    <w:p w14:paraId="74A97F50" w14:textId="77777777" w:rsidR="00A4084D" w:rsidRDefault="00A4084D" w:rsidP="00A00F82">
      <w:pPr>
        <w:jc w:val="both"/>
        <w:rPr>
          <w:rFonts w:ascii="Arial" w:hAnsi="Arial" w:cs="Arial"/>
          <w:b/>
          <w:bCs/>
          <w:sz w:val="22"/>
          <w:szCs w:val="22"/>
        </w:rPr>
      </w:pPr>
    </w:p>
    <w:p w14:paraId="2D06002F" w14:textId="333EAD4C" w:rsidR="005F0E5D" w:rsidRDefault="00397FDF" w:rsidP="00397FDF">
      <w:pPr>
        <w:spacing w:after="120" w:line="276" w:lineRule="auto"/>
        <w:jc w:val="both"/>
        <w:rPr>
          <w:rFonts w:ascii="Arial" w:hAnsi="Arial" w:cs="Arial"/>
          <w:sz w:val="22"/>
          <w:szCs w:val="22"/>
        </w:rPr>
      </w:pPr>
      <w:r>
        <w:rPr>
          <w:rFonts w:ascii="Arial" w:hAnsi="Arial" w:cs="Arial"/>
          <w:sz w:val="22"/>
          <w:szCs w:val="22"/>
        </w:rPr>
        <w:t xml:space="preserve">A efectos del cálculo de la </w:t>
      </w:r>
      <w:r w:rsidR="009001A7">
        <w:rPr>
          <w:rFonts w:ascii="Arial" w:hAnsi="Arial" w:cs="Arial"/>
          <w:sz w:val="22"/>
          <w:szCs w:val="22"/>
        </w:rPr>
        <w:t>C</w:t>
      </w:r>
      <w:r>
        <w:rPr>
          <w:rFonts w:ascii="Arial" w:hAnsi="Arial" w:cs="Arial"/>
          <w:sz w:val="22"/>
          <w:szCs w:val="22"/>
        </w:rPr>
        <w:t xml:space="preserve">apacidad </w:t>
      </w:r>
      <w:r w:rsidR="009001A7">
        <w:rPr>
          <w:rFonts w:ascii="Arial" w:hAnsi="Arial" w:cs="Arial"/>
          <w:sz w:val="22"/>
          <w:szCs w:val="22"/>
        </w:rPr>
        <w:t>R</w:t>
      </w:r>
      <w:r>
        <w:rPr>
          <w:rFonts w:ascii="Arial" w:hAnsi="Arial" w:cs="Arial"/>
          <w:sz w:val="22"/>
          <w:szCs w:val="22"/>
        </w:rPr>
        <w:t>esidual</w:t>
      </w:r>
      <w:r w:rsidR="009001A7">
        <w:rPr>
          <w:rFonts w:ascii="Arial" w:hAnsi="Arial" w:cs="Arial"/>
          <w:sz w:val="22"/>
          <w:szCs w:val="22"/>
        </w:rPr>
        <w:t xml:space="preserve"> del Proponente (CRP)</w:t>
      </w:r>
      <w:r>
        <w:rPr>
          <w:rFonts w:ascii="Arial" w:hAnsi="Arial" w:cs="Arial"/>
          <w:sz w:val="22"/>
          <w:szCs w:val="22"/>
        </w:rPr>
        <w:t>,</w:t>
      </w:r>
      <w:r w:rsidR="009001A7">
        <w:rPr>
          <w:rFonts w:ascii="Arial" w:hAnsi="Arial" w:cs="Arial"/>
          <w:sz w:val="22"/>
          <w:szCs w:val="22"/>
        </w:rPr>
        <w:t xml:space="preserve"> conforme a la metodología descrita </w:t>
      </w:r>
      <w:r w:rsidR="009001A7" w:rsidRPr="00A00F82">
        <w:rPr>
          <w:rFonts w:ascii="Arial" w:hAnsi="Arial" w:cs="Arial"/>
          <w:i/>
          <w:iCs/>
          <w:sz w:val="22"/>
          <w:szCs w:val="22"/>
        </w:rPr>
        <w:t>supra</w:t>
      </w:r>
      <w:r w:rsidR="009001A7">
        <w:rPr>
          <w:rFonts w:ascii="Arial" w:hAnsi="Arial" w:cs="Arial"/>
          <w:sz w:val="22"/>
          <w:szCs w:val="22"/>
        </w:rPr>
        <w:t>, es necesario tener en cuenta la lista de</w:t>
      </w:r>
      <w:r>
        <w:rPr>
          <w:rFonts w:ascii="Arial" w:hAnsi="Arial" w:cs="Arial"/>
          <w:sz w:val="22"/>
          <w:szCs w:val="22"/>
        </w:rPr>
        <w:t xml:space="preserve"> </w:t>
      </w:r>
      <w:r w:rsidR="00A4084D">
        <w:rPr>
          <w:rFonts w:ascii="Arial" w:hAnsi="Arial" w:cs="Arial"/>
          <w:sz w:val="22"/>
          <w:szCs w:val="22"/>
        </w:rPr>
        <w:t>l</w:t>
      </w:r>
      <w:r w:rsidR="00A4084D" w:rsidRPr="00FB4D30">
        <w:rPr>
          <w:rFonts w:ascii="Arial" w:hAnsi="Arial" w:cs="Arial"/>
          <w:sz w:val="22"/>
          <w:szCs w:val="22"/>
        </w:rPr>
        <w:t>os contratos en ejecución</w:t>
      </w:r>
      <w:r w:rsidR="009001A7">
        <w:rPr>
          <w:rFonts w:ascii="Arial" w:hAnsi="Arial" w:cs="Arial"/>
          <w:sz w:val="22"/>
          <w:szCs w:val="22"/>
        </w:rPr>
        <w:t xml:space="preserve"> en cabeza del proponente, que</w:t>
      </w:r>
      <w:r w:rsidR="00A4084D" w:rsidRPr="00FB4D30">
        <w:rPr>
          <w:rFonts w:ascii="Arial" w:hAnsi="Arial" w:cs="Arial"/>
          <w:sz w:val="22"/>
          <w:szCs w:val="22"/>
        </w:rPr>
        <w:t xml:space="preserve"> son </w:t>
      </w:r>
      <w:r w:rsidR="00A4084D">
        <w:rPr>
          <w:rFonts w:ascii="Arial" w:hAnsi="Arial" w:cs="Arial"/>
          <w:sz w:val="22"/>
          <w:szCs w:val="22"/>
        </w:rPr>
        <w:t>aquellos</w:t>
      </w:r>
      <w:r w:rsidR="00A4084D" w:rsidRPr="00FB4D30">
        <w:rPr>
          <w:rFonts w:ascii="Arial" w:hAnsi="Arial" w:cs="Arial"/>
          <w:sz w:val="22"/>
          <w:szCs w:val="22"/>
        </w:rPr>
        <w:t xml:space="preserve"> qu</w:t>
      </w:r>
      <w:r w:rsidR="00A4084D">
        <w:rPr>
          <w:rFonts w:ascii="Arial" w:hAnsi="Arial" w:cs="Arial"/>
          <w:sz w:val="22"/>
          <w:szCs w:val="22"/>
        </w:rPr>
        <w:t xml:space="preserve">e, </w:t>
      </w:r>
      <w:r w:rsidR="00A4084D" w:rsidRPr="00FB4D30">
        <w:rPr>
          <w:rFonts w:ascii="Arial" w:hAnsi="Arial" w:cs="Arial"/>
          <w:sz w:val="22"/>
          <w:szCs w:val="22"/>
        </w:rPr>
        <w:t xml:space="preserve">a la fecha de </w:t>
      </w:r>
      <w:r w:rsidR="008F5345" w:rsidRPr="00FB4D30">
        <w:rPr>
          <w:rFonts w:ascii="Arial" w:hAnsi="Arial" w:cs="Arial"/>
          <w:sz w:val="22"/>
          <w:szCs w:val="22"/>
        </w:rPr>
        <w:t>presentación</w:t>
      </w:r>
      <w:r w:rsidR="00A4084D" w:rsidRPr="00FB4D30">
        <w:rPr>
          <w:rFonts w:ascii="Arial" w:hAnsi="Arial" w:cs="Arial"/>
          <w:sz w:val="22"/>
          <w:szCs w:val="22"/>
        </w:rPr>
        <w:t xml:space="preserve"> de la oferta</w:t>
      </w:r>
      <w:r w:rsidR="00A4084D">
        <w:rPr>
          <w:rFonts w:ascii="Arial" w:hAnsi="Arial" w:cs="Arial"/>
          <w:sz w:val="22"/>
          <w:szCs w:val="22"/>
        </w:rPr>
        <w:t>,</w:t>
      </w:r>
      <w:r w:rsidR="00A4084D" w:rsidRPr="00FB4D30">
        <w:rPr>
          <w:rFonts w:ascii="Arial" w:hAnsi="Arial" w:cs="Arial"/>
          <w:sz w:val="22"/>
          <w:szCs w:val="22"/>
        </w:rPr>
        <w:t xml:space="preserve"> obligan al proponente con </w:t>
      </w:r>
      <w:r w:rsidR="00A4084D">
        <w:rPr>
          <w:rFonts w:ascii="Arial" w:hAnsi="Arial" w:cs="Arial"/>
          <w:sz w:val="22"/>
          <w:szCs w:val="22"/>
        </w:rPr>
        <w:t>e</w:t>
      </w:r>
      <w:r w:rsidR="00A4084D" w:rsidRPr="00FB4D30">
        <w:rPr>
          <w:rFonts w:ascii="Arial" w:hAnsi="Arial" w:cs="Arial"/>
          <w:sz w:val="22"/>
          <w:szCs w:val="22"/>
        </w:rPr>
        <w:t xml:space="preserve">ntidades </w:t>
      </w:r>
      <w:r w:rsidR="00A4084D">
        <w:rPr>
          <w:rFonts w:ascii="Arial" w:hAnsi="Arial" w:cs="Arial"/>
          <w:sz w:val="22"/>
          <w:szCs w:val="22"/>
        </w:rPr>
        <w:t>e</w:t>
      </w:r>
      <w:r w:rsidR="00A4084D" w:rsidRPr="00FB4D30">
        <w:rPr>
          <w:rFonts w:ascii="Arial" w:hAnsi="Arial" w:cs="Arial"/>
          <w:sz w:val="22"/>
          <w:szCs w:val="22"/>
        </w:rPr>
        <w:t xml:space="preserve">statales y con entidades privadas para ejecutar obras </w:t>
      </w:r>
      <w:r w:rsidR="00A4084D">
        <w:rPr>
          <w:rFonts w:ascii="Arial" w:hAnsi="Arial" w:cs="Arial"/>
          <w:sz w:val="22"/>
          <w:szCs w:val="22"/>
        </w:rPr>
        <w:t>públicas</w:t>
      </w:r>
      <w:r w:rsidR="009001A7">
        <w:rPr>
          <w:rFonts w:ascii="Arial" w:hAnsi="Arial" w:cs="Arial"/>
          <w:sz w:val="22"/>
          <w:szCs w:val="22"/>
        </w:rPr>
        <w:t xml:space="preserve">. </w:t>
      </w:r>
      <w:r w:rsidR="00A4084D" w:rsidRPr="00FB4D30">
        <w:rPr>
          <w:rFonts w:ascii="Arial" w:hAnsi="Arial" w:cs="Arial"/>
          <w:sz w:val="22"/>
          <w:szCs w:val="22"/>
        </w:rPr>
        <w:t xml:space="preserve"> </w:t>
      </w:r>
      <w:r w:rsidR="00A4084D">
        <w:rPr>
          <w:rFonts w:ascii="Arial" w:hAnsi="Arial" w:cs="Arial"/>
          <w:sz w:val="22"/>
          <w:szCs w:val="22"/>
        </w:rPr>
        <w:t xml:space="preserve">Es decir, los saldos pendientes se derivan de las obligaciones que se encuentran </w:t>
      </w:r>
      <w:r w:rsidR="009001A7">
        <w:rPr>
          <w:rFonts w:ascii="Arial" w:hAnsi="Arial" w:cs="Arial"/>
          <w:sz w:val="22"/>
          <w:szCs w:val="22"/>
        </w:rPr>
        <w:t xml:space="preserve">vigentes </w:t>
      </w:r>
      <w:r w:rsidR="00A4084D">
        <w:rPr>
          <w:rFonts w:ascii="Arial" w:hAnsi="Arial" w:cs="Arial"/>
          <w:sz w:val="22"/>
          <w:szCs w:val="22"/>
        </w:rPr>
        <w:t>al momento de la presentación de la oferta.</w:t>
      </w:r>
      <w:r w:rsidR="00A4084D" w:rsidRPr="00FB4D30">
        <w:rPr>
          <w:rFonts w:ascii="Arial" w:hAnsi="Arial" w:cs="Arial"/>
          <w:sz w:val="22"/>
          <w:szCs w:val="22"/>
        </w:rPr>
        <w:t xml:space="preserve"> </w:t>
      </w:r>
      <w:r w:rsidR="00A4084D">
        <w:rPr>
          <w:rFonts w:ascii="Arial" w:hAnsi="Arial" w:cs="Arial"/>
          <w:sz w:val="22"/>
          <w:szCs w:val="22"/>
        </w:rPr>
        <w:t>A este respecto, n</w:t>
      </w:r>
      <w:r w:rsidR="00A4084D" w:rsidRPr="00FB4D30">
        <w:rPr>
          <w:rFonts w:ascii="Arial" w:hAnsi="Arial" w:cs="Arial"/>
          <w:sz w:val="22"/>
          <w:szCs w:val="22"/>
        </w:rPr>
        <w:t xml:space="preserve">o se entenderán como contratos en </w:t>
      </w:r>
      <w:r w:rsidR="008F5345" w:rsidRPr="00FB4D30">
        <w:rPr>
          <w:rFonts w:ascii="Arial" w:hAnsi="Arial" w:cs="Arial"/>
          <w:sz w:val="22"/>
          <w:szCs w:val="22"/>
        </w:rPr>
        <w:t>ejecución</w:t>
      </w:r>
      <w:r w:rsidR="00A4084D" w:rsidRPr="00FB4D30">
        <w:rPr>
          <w:rFonts w:ascii="Arial" w:hAnsi="Arial" w:cs="Arial"/>
          <w:sz w:val="22"/>
          <w:szCs w:val="22"/>
        </w:rPr>
        <w:t xml:space="preserve"> los que se encuentren en </w:t>
      </w:r>
      <w:r w:rsidR="008F5345" w:rsidRPr="00FB4D30">
        <w:rPr>
          <w:rFonts w:ascii="Arial" w:hAnsi="Arial" w:cs="Arial"/>
          <w:sz w:val="22"/>
          <w:szCs w:val="22"/>
        </w:rPr>
        <w:t>liquidación</w:t>
      </w:r>
      <w:r w:rsidR="00A4084D">
        <w:rPr>
          <w:rFonts w:ascii="Arial" w:hAnsi="Arial" w:cs="Arial"/>
          <w:sz w:val="22"/>
          <w:szCs w:val="22"/>
        </w:rPr>
        <w:t xml:space="preserve">. </w:t>
      </w:r>
    </w:p>
    <w:p w14:paraId="60AEED9A" w14:textId="197D6A89" w:rsidR="009001A7" w:rsidRDefault="009001A7" w:rsidP="00A00F82">
      <w:pPr>
        <w:spacing w:line="276" w:lineRule="auto"/>
        <w:jc w:val="both"/>
        <w:rPr>
          <w:rFonts w:ascii="Arial" w:hAnsi="Arial" w:cs="Arial"/>
          <w:sz w:val="22"/>
          <w:szCs w:val="22"/>
        </w:rPr>
      </w:pPr>
      <w:r>
        <w:rPr>
          <w:rFonts w:ascii="Arial" w:hAnsi="Arial" w:cs="Arial"/>
          <w:sz w:val="22"/>
          <w:szCs w:val="22"/>
        </w:rPr>
        <w:lastRenderedPageBreak/>
        <w:tab/>
        <w:t xml:space="preserve">Para acreditar tales valores, correspondientes al factor Saldos de Contratos en Ejecución (SCE), la </w:t>
      </w:r>
      <w:r w:rsidRPr="00A00F82">
        <w:rPr>
          <w:rFonts w:ascii="Arial" w:hAnsi="Arial" w:cs="Arial"/>
          <w:i/>
          <w:iCs/>
          <w:sz w:val="22"/>
          <w:szCs w:val="22"/>
        </w:rPr>
        <w:t>Guía para Determinar y Verificar la Capacidad Residual del Proponente en los Procesos de Contratación de Obra Pública</w:t>
      </w:r>
      <w:r>
        <w:rPr>
          <w:rFonts w:ascii="Arial" w:hAnsi="Arial" w:cs="Arial"/>
          <w:i/>
          <w:iCs/>
          <w:sz w:val="22"/>
          <w:szCs w:val="22"/>
        </w:rPr>
        <w:t xml:space="preserve"> </w:t>
      </w:r>
      <w:r>
        <w:rPr>
          <w:rFonts w:ascii="Arial" w:hAnsi="Arial" w:cs="Arial"/>
          <w:sz w:val="22"/>
          <w:szCs w:val="22"/>
        </w:rPr>
        <w:t xml:space="preserve">establece lo siguiente: </w:t>
      </w:r>
    </w:p>
    <w:p w14:paraId="1FFD84FF" w14:textId="77777777" w:rsidR="009001A7" w:rsidRDefault="009001A7" w:rsidP="009001A7">
      <w:pPr>
        <w:spacing w:after="120" w:line="276" w:lineRule="auto"/>
        <w:ind w:left="709" w:right="709"/>
        <w:jc w:val="both"/>
        <w:rPr>
          <w:rFonts w:ascii="Arial" w:hAnsi="Arial" w:cs="Arial"/>
          <w:sz w:val="21"/>
          <w:szCs w:val="21"/>
        </w:rPr>
      </w:pPr>
    </w:p>
    <w:p w14:paraId="32EA02D1" w14:textId="1DF9E08C" w:rsidR="009001A7" w:rsidRDefault="009001A7" w:rsidP="00DD1733">
      <w:pPr>
        <w:spacing w:line="276" w:lineRule="auto"/>
        <w:ind w:left="709" w:right="709"/>
        <w:jc w:val="both"/>
        <w:rPr>
          <w:rFonts w:ascii="Arial" w:hAnsi="Arial" w:cs="Arial"/>
          <w:sz w:val="21"/>
          <w:szCs w:val="21"/>
        </w:rPr>
      </w:pPr>
      <w:r w:rsidRPr="00A00F82">
        <w:rPr>
          <w:rFonts w:ascii="Arial" w:hAnsi="Arial" w:cs="Arial"/>
          <w:sz w:val="21"/>
          <w:szCs w:val="21"/>
        </w:rPr>
        <w:t>El proponente debe presentar un certificado suscrito por su representante legal y su revisor fiscal, si el proponente está obligado a tenerlo, o por el contador o su auditor independiente, el cual contenga la lista de los Contratos en Ejecución, tanto a nivel nacional como internacional, indicando: (i) el valor del contrato; (ii) el plazo del contrato en meses; (iii) la fecha de inicio de las obras objeto del contrato, día, mes, año; (iv) si la obra la ejecuta un consorcio, unión temporal o sociedad de propósito especial, junto con el porcentaje de participación del oferente que presenta el certificado; (v) si el contrato se encuentra suspendido, y si es así, la fecha de suspensión. Si el proponente no tiene Contratos en Ejecución, en el certificado debe constar expresamente esa circunstancia.</w:t>
      </w:r>
    </w:p>
    <w:p w14:paraId="162825A4" w14:textId="77777777" w:rsidR="00DD1733" w:rsidRPr="00A00F82" w:rsidRDefault="00DD1733" w:rsidP="00A00F82">
      <w:pPr>
        <w:spacing w:line="276" w:lineRule="auto"/>
        <w:ind w:left="709" w:right="709"/>
        <w:jc w:val="both"/>
        <w:rPr>
          <w:rFonts w:ascii="Arial" w:hAnsi="Arial" w:cs="Arial"/>
          <w:sz w:val="21"/>
          <w:szCs w:val="21"/>
        </w:rPr>
      </w:pPr>
    </w:p>
    <w:p w14:paraId="2191507E" w14:textId="206A9124" w:rsidR="00A4084D" w:rsidRPr="00FB4D30" w:rsidRDefault="00A4084D" w:rsidP="00A00F82">
      <w:pPr>
        <w:spacing w:line="276" w:lineRule="auto"/>
        <w:ind w:firstLine="708"/>
        <w:jc w:val="both"/>
        <w:rPr>
          <w:rFonts w:ascii="Arial" w:hAnsi="Arial" w:cs="Arial"/>
          <w:i/>
          <w:iCs/>
          <w:sz w:val="22"/>
          <w:szCs w:val="22"/>
        </w:rPr>
      </w:pPr>
      <w:r w:rsidRPr="00FB4D30">
        <w:rPr>
          <w:rFonts w:ascii="Arial" w:hAnsi="Arial" w:cs="Arial"/>
          <w:sz w:val="22"/>
          <w:szCs w:val="22"/>
        </w:rPr>
        <w:t xml:space="preserve">Teniendo en cuenta que los contratos en </w:t>
      </w:r>
      <w:r w:rsidR="008F5345" w:rsidRPr="00FB4D30">
        <w:rPr>
          <w:rFonts w:ascii="Arial" w:hAnsi="Arial" w:cs="Arial"/>
          <w:sz w:val="22"/>
          <w:szCs w:val="22"/>
        </w:rPr>
        <w:t>ejecución</w:t>
      </w:r>
      <w:r w:rsidRPr="00FB4D30">
        <w:rPr>
          <w:rFonts w:ascii="Arial" w:hAnsi="Arial" w:cs="Arial"/>
          <w:sz w:val="22"/>
          <w:szCs w:val="22"/>
        </w:rPr>
        <w:t xml:space="preserve"> son aquellos que a la fecha de </w:t>
      </w:r>
      <w:r w:rsidR="008F5345" w:rsidRPr="00FB4D30">
        <w:rPr>
          <w:rFonts w:ascii="Arial" w:hAnsi="Arial" w:cs="Arial"/>
          <w:sz w:val="22"/>
          <w:szCs w:val="22"/>
        </w:rPr>
        <w:t>presentación</w:t>
      </w:r>
      <w:r w:rsidRPr="00FB4D30">
        <w:rPr>
          <w:rFonts w:ascii="Arial" w:hAnsi="Arial" w:cs="Arial"/>
          <w:sz w:val="22"/>
          <w:szCs w:val="22"/>
        </w:rPr>
        <w:t xml:space="preserve"> de la oferta obligan al proponente</w:t>
      </w:r>
      <w:r>
        <w:rPr>
          <w:rFonts w:ascii="Arial" w:hAnsi="Arial" w:cs="Arial"/>
          <w:sz w:val="22"/>
          <w:szCs w:val="22"/>
        </w:rPr>
        <w:t xml:space="preserve">, </w:t>
      </w:r>
      <w:r w:rsidRPr="00FB4D30">
        <w:rPr>
          <w:rFonts w:ascii="Arial" w:hAnsi="Arial" w:cs="Arial"/>
          <w:sz w:val="22"/>
          <w:szCs w:val="22"/>
        </w:rPr>
        <w:t>se aclara que debe</w:t>
      </w:r>
      <w:r>
        <w:rPr>
          <w:rFonts w:ascii="Arial" w:hAnsi="Arial" w:cs="Arial"/>
          <w:sz w:val="22"/>
          <w:szCs w:val="22"/>
        </w:rPr>
        <w:t>n</w:t>
      </w:r>
      <w:r w:rsidRPr="00FB4D30">
        <w:rPr>
          <w:rFonts w:ascii="Arial" w:hAnsi="Arial" w:cs="Arial"/>
          <w:sz w:val="22"/>
          <w:szCs w:val="22"/>
        </w:rPr>
        <w:t xml:space="preserve"> tenerse en cuenta los contratos sin acta de inicio,</w:t>
      </w:r>
      <w:r>
        <w:rPr>
          <w:rFonts w:ascii="Arial" w:hAnsi="Arial" w:cs="Arial"/>
          <w:sz w:val="22"/>
          <w:szCs w:val="22"/>
        </w:rPr>
        <w:t xml:space="preserve"> pues</w:t>
      </w:r>
      <w:r w:rsidRPr="00FB4D30">
        <w:rPr>
          <w:rFonts w:ascii="Arial" w:hAnsi="Arial" w:cs="Arial"/>
          <w:sz w:val="22"/>
          <w:szCs w:val="22"/>
        </w:rPr>
        <w:t xml:space="preserve"> el criterio </w:t>
      </w:r>
      <w:r>
        <w:rPr>
          <w:rFonts w:ascii="Arial" w:hAnsi="Arial" w:cs="Arial"/>
          <w:sz w:val="22"/>
          <w:szCs w:val="22"/>
        </w:rPr>
        <w:t>determinante para establecer</w:t>
      </w:r>
      <w:r w:rsidRPr="00FB4D30">
        <w:rPr>
          <w:rFonts w:ascii="Arial" w:hAnsi="Arial" w:cs="Arial"/>
          <w:sz w:val="22"/>
          <w:szCs w:val="22"/>
        </w:rPr>
        <w:t xml:space="preserve"> si un contrato se encuentra en ejecución no </w:t>
      </w:r>
      <w:r>
        <w:rPr>
          <w:rFonts w:ascii="Arial" w:hAnsi="Arial" w:cs="Arial"/>
          <w:sz w:val="22"/>
          <w:szCs w:val="22"/>
        </w:rPr>
        <w:t xml:space="preserve">lo determina el acta de inicio, </w:t>
      </w:r>
      <w:r w:rsidRPr="00FB4D30">
        <w:rPr>
          <w:rFonts w:ascii="Arial" w:hAnsi="Arial" w:cs="Arial"/>
          <w:sz w:val="22"/>
          <w:szCs w:val="22"/>
        </w:rPr>
        <w:t>sino que el mismo obligue al proponente</w:t>
      </w:r>
      <w:r>
        <w:rPr>
          <w:rFonts w:ascii="Arial" w:hAnsi="Arial" w:cs="Arial"/>
          <w:sz w:val="22"/>
          <w:szCs w:val="22"/>
        </w:rPr>
        <w:t xml:space="preserve">. </w:t>
      </w:r>
      <w:r w:rsidRPr="00FB4D30">
        <w:rPr>
          <w:rFonts w:ascii="Arial" w:hAnsi="Arial" w:cs="Arial"/>
          <w:sz w:val="20"/>
          <w:szCs w:val="20"/>
        </w:rPr>
        <w:t xml:space="preserve"> </w:t>
      </w:r>
      <w:r w:rsidR="00DD1733">
        <w:rPr>
          <w:rFonts w:ascii="Arial" w:hAnsi="Arial" w:cs="Arial"/>
          <w:sz w:val="22"/>
          <w:szCs w:val="22"/>
        </w:rPr>
        <w:t xml:space="preserve"> </w:t>
      </w:r>
      <w:r>
        <w:rPr>
          <w:rFonts w:ascii="Arial" w:hAnsi="Arial" w:cs="Arial"/>
          <w:sz w:val="22"/>
          <w:szCs w:val="22"/>
        </w:rPr>
        <w:t>En este sentido, l</w:t>
      </w:r>
      <w:r w:rsidRPr="00FB4D30">
        <w:rPr>
          <w:rFonts w:ascii="Arial" w:hAnsi="Arial" w:cs="Arial"/>
          <w:sz w:val="22"/>
          <w:szCs w:val="22"/>
        </w:rPr>
        <w:t>a «</w:t>
      </w:r>
      <w:r w:rsidRPr="00A00F82">
        <w:rPr>
          <w:rFonts w:ascii="Arial" w:hAnsi="Arial" w:cs="Arial"/>
          <w:i/>
          <w:iCs/>
          <w:sz w:val="22"/>
          <w:szCs w:val="22"/>
        </w:rPr>
        <w:t>Guía para Determinar y Verificar la Capacidad Residual del Proponente en los Procesos de Contratación de Obra Pública</w:t>
      </w:r>
      <w:r w:rsidRPr="008A7D2C">
        <w:rPr>
          <w:rFonts w:ascii="Arial" w:hAnsi="Arial" w:cs="Arial"/>
          <w:i/>
          <w:iCs/>
          <w:sz w:val="22"/>
          <w:szCs w:val="22"/>
        </w:rPr>
        <w:t>»</w:t>
      </w:r>
      <w:r w:rsidRPr="00FB4D30">
        <w:rPr>
          <w:rFonts w:ascii="Arial" w:hAnsi="Arial" w:cs="Arial"/>
          <w:i/>
          <w:iCs/>
          <w:sz w:val="22"/>
          <w:szCs w:val="22"/>
        </w:rPr>
        <w:t xml:space="preserve"> </w:t>
      </w:r>
      <w:r>
        <w:rPr>
          <w:rFonts w:ascii="Arial" w:hAnsi="Arial" w:cs="Arial"/>
          <w:sz w:val="22"/>
          <w:szCs w:val="22"/>
        </w:rPr>
        <w:t>define los</w:t>
      </w:r>
      <w:r w:rsidRPr="00FB4D30">
        <w:rPr>
          <w:rFonts w:ascii="Arial" w:hAnsi="Arial" w:cs="Arial"/>
          <w:sz w:val="22"/>
          <w:szCs w:val="22"/>
        </w:rPr>
        <w:t xml:space="preserve"> </w:t>
      </w:r>
      <w:r w:rsidRPr="00FB4D30">
        <w:rPr>
          <w:rFonts w:ascii="Arial" w:hAnsi="Arial" w:cs="Arial"/>
          <w:i/>
          <w:iCs/>
          <w:sz w:val="22"/>
          <w:szCs w:val="22"/>
        </w:rPr>
        <w:t>Contratos en ejecución</w:t>
      </w:r>
      <w:r w:rsidRPr="00FB4D30">
        <w:rPr>
          <w:rFonts w:ascii="Arial" w:hAnsi="Arial" w:cs="Arial"/>
          <w:sz w:val="22"/>
          <w:szCs w:val="22"/>
        </w:rPr>
        <w:t xml:space="preserve"> </w:t>
      </w:r>
      <w:r>
        <w:rPr>
          <w:rFonts w:ascii="Arial" w:hAnsi="Arial" w:cs="Arial"/>
          <w:sz w:val="22"/>
          <w:szCs w:val="22"/>
        </w:rPr>
        <w:t xml:space="preserve">de la siguiente manera: </w:t>
      </w:r>
      <w:r w:rsidRPr="00FB4D30">
        <w:rPr>
          <w:rFonts w:ascii="Arial" w:hAnsi="Arial" w:cs="Arial"/>
          <w:i/>
          <w:iCs/>
          <w:sz w:val="22"/>
          <w:szCs w:val="22"/>
        </w:rPr>
        <w:t xml:space="preserve"> </w:t>
      </w:r>
    </w:p>
    <w:p w14:paraId="5EC9B50F" w14:textId="77777777" w:rsidR="00A4084D" w:rsidRPr="00FB4D30" w:rsidRDefault="00A4084D" w:rsidP="00A4084D">
      <w:pPr>
        <w:ind w:left="709" w:right="709"/>
        <w:jc w:val="both"/>
        <w:rPr>
          <w:rFonts w:ascii="Arial" w:hAnsi="Arial" w:cs="Arial"/>
          <w:sz w:val="22"/>
          <w:szCs w:val="22"/>
        </w:rPr>
      </w:pPr>
    </w:p>
    <w:p w14:paraId="5327AF28" w14:textId="1A24E35A" w:rsidR="00B41D0A" w:rsidRDefault="00A4084D" w:rsidP="00A4084D">
      <w:pPr>
        <w:ind w:left="709" w:right="709"/>
        <w:jc w:val="both"/>
        <w:rPr>
          <w:rFonts w:ascii="Arial" w:hAnsi="Arial" w:cs="Arial"/>
          <w:sz w:val="22"/>
          <w:szCs w:val="22"/>
        </w:rPr>
      </w:pPr>
      <w:r w:rsidRPr="00111872">
        <w:rPr>
          <w:rFonts w:ascii="Arial" w:hAnsi="Arial" w:cs="Arial"/>
          <w:sz w:val="21"/>
          <w:szCs w:val="21"/>
        </w:rPr>
        <w:t xml:space="preserve">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w:t>
      </w:r>
      <w:r w:rsidRPr="00111872">
        <w:rPr>
          <w:rFonts w:ascii="Arial" w:hAnsi="Arial" w:cs="Arial"/>
          <w:sz w:val="21"/>
          <w:szCs w:val="21"/>
          <w:u w:val="single"/>
        </w:rPr>
        <w:t xml:space="preserve">incluyendo los contratos suspendidos y aquellos que no tengan acta de inicio. </w:t>
      </w:r>
      <w:r w:rsidRPr="00111872">
        <w:rPr>
          <w:rFonts w:ascii="Arial" w:hAnsi="Arial" w:cs="Arial"/>
          <w:sz w:val="21"/>
          <w:szCs w:val="21"/>
        </w:rPr>
        <w:t xml:space="preserve">No se entenderán como contratos en ejecución los que se encuentren en liquidación. </w:t>
      </w:r>
      <w:r w:rsidR="00A744D9">
        <w:rPr>
          <w:rFonts w:ascii="Arial" w:hAnsi="Arial" w:cs="Arial"/>
          <w:sz w:val="21"/>
          <w:szCs w:val="21"/>
        </w:rPr>
        <w:t>[</w:t>
      </w:r>
      <w:r w:rsidRPr="00111872">
        <w:rPr>
          <w:rFonts w:ascii="Arial" w:hAnsi="Arial" w:cs="Arial"/>
          <w:sz w:val="21"/>
          <w:szCs w:val="21"/>
        </w:rPr>
        <w:t>Subrayas fuera del texto</w:t>
      </w:r>
      <w:r w:rsidR="00A744D9">
        <w:rPr>
          <w:rFonts w:ascii="Arial" w:hAnsi="Arial" w:cs="Arial"/>
          <w:sz w:val="21"/>
          <w:szCs w:val="21"/>
        </w:rPr>
        <w:t>]</w:t>
      </w:r>
      <w:r w:rsidRPr="00FB4D30">
        <w:rPr>
          <w:rStyle w:val="Refdenotaalpie"/>
          <w:rFonts w:ascii="Arial" w:hAnsi="Arial" w:cs="Arial"/>
          <w:sz w:val="22"/>
          <w:szCs w:val="22"/>
        </w:rPr>
        <w:footnoteReference w:id="5"/>
      </w:r>
      <w:r w:rsidRPr="00FB4D30">
        <w:rPr>
          <w:rFonts w:ascii="Arial" w:hAnsi="Arial" w:cs="Arial"/>
          <w:sz w:val="22"/>
          <w:szCs w:val="22"/>
        </w:rPr>
        <w:t>.</w:t>
      </w:r>
    </w:p>
    <w:p w14:paraId="639B75FA" w14:textId="77777777" w:rsidR="00B41D0A" w:rsidRDefault="00B41D0A" w:rsidP="00A4084D">
      <w:pPr>
        <w:ind w:left="709" w:right="709"/>
        <w:jc w:val="both"/>
        <w:rPr>
          <w:rFonts w:ascii="Arial" w:eastAsia="Calibri" w:hAnsi="Arial" w:cs="Arial"/>
          <w:color w:val="000000" w:themeColor="text1"/>
          <w:sz w:val="21"/>
          <w:szCs w:val="21"/>
          <w:lang w:val="es-ES"/>
        </w:rPr>
      </w:pPr>
    </w:p>
    <w:p w14:paraId="1147D48E" w14:textId="58435B4A" w:rsidR="00B41D0A" w:rsidRPr="00A00F82" w:rsidRDefault="00B41D0A" w:rsidP="00A00F82">
      <w:pPr>
        <w:tabs>
          <w:tab w:val="left" w:pos="8789"/>
        </w:tabs>
        <w:spacing w:line="276" w:lineRule="auto"/>
        <w:ind w:firstLine="709"/>
        <w:jc w:val="both"/>
        <w:rPr>
          <w:rFonts w:ascii="Arial" w:eastAsia="Calibri" w:hAnsi="Arial" w:cs="Arial"/>
          <w:color w:val="000000" w:themeColor="text1"/>
          <w:sz w:val="22"/>
          <w:szCs w:val="22"/>
          <w:lang w:val="es-ES"/>
        </w:rPr>
      </w:pPr>
      <w:r w:rsidRPr="00A00F82">
        <w:rPr>
          <w:rFonts w:ascii="Arial" w:eastAsia="Calibri" w:hAnsi="Arial" w:cs="Arial"/>
          <w:color w:val="000000" w:themeColor="text1"/>
          <w:sz w:val="22"/>
          <w:szCs w:val="22"/>
          <w:lang w:val="es-ES"/>
        </w:rPr>
        <w:t xml:space="preserve">En esa línea, la referida guía, al hablar de los contratos </w:t>
      </w:r>
      <w:r>
        <w:rPr>
          <w:rFonts w:ascii="Arial" w:eastAsia="Calibri" w:hAnsi="Arial" w:cs="Arial"/>
          <w:color w:val="000000" w:themeColor="text1"/>
          <w:sz w:val="22"/>
          <w:szCs w:val="22"/>
          <w:lang w:val="es-ES"/>
        </w:rPr>
        <w:t xml:space="preserve">al explicar la metodología </w:t>
      </w:r>
      <w:r w:rsidRPr="00A00F82">
        <w:rPr>
          <w:rFonts w:ascii="Arial" w:eastAsia="Calibri" w:hAnsi="Arial" w:cs="Arial"/>
          <w:color w:val="000000" w:themeColor="text1"/>
          <w:sz w:val="22"/>
          <w:szCs w:val="22"/>
          <w:lang w:val="es-ES"/>
        </w:rPr>
        <w:t>para el cálculo de los Saldos de Contratos en Ejecución (SCE), habla de la necesidad de tener en cuenta</w:t>
      </w:r>
      <w:r>
        <w:rPr>
          <w:rFonts w:ascii="Arial" w:eastAsia="Calibri" w:hAnsi="Arial" w:cs="Arial"/>
          <w:color w:val="000000" w:themeColor="text1"/>
          <w:sz w:val="22"/>
          <w:szCs w:val="22"/>
          <w:lang w:val="es-ES"/>
        </w:rPr>
        <w:t xml:space="preserve"> los contratos suspendidos, así como los compromisos relativos a la ejecución de obras civiles, tanto respecto entidades estatales como privadas, haciendo referencia expresa a los contratos de concesión y los que involucren al proponente como miembro de proponentes plurales</w:t>
      </w:r>
      <w:r w:rsidRPr="00A00F82">
        <w:rPr>
          <w:rFonts w:ascii="Arial" w:eastAsia="Calibri" w:hAnsi="Arial" w:cs="Arial"/>
          <w:color w:val="000000" w:themeColor="text1"/>
          <w:sz w:val="22"/>
          <w:szCs w:val="22"/>
          <w:lang w:val="es-ES"/>
        </w:rPr>
        <w:t xml:space="preserve">: </w:t>
      </w:r>
    </w:p>
    <w:p w14:paraId="454B293A" w14:textId="77777777" w:rsidR="00B41D0A" w:rsidRDefault="00B41D0A" w:rsidP="00B41D0A">
      <w:pPr>
        <w:ind w:left="709" w:right="709"/>
        <w:jc w:val="both"/>
        <w:rPr>
          <w:rFonts w:ascii="Arial" w:eastAsia="Calibri" w:hAnsi="Arial" w:cs="Arial"/>
          <w:color w:val="000000" w:themeColor="text1"/>
          <w:sz w:val="21"/>
          <w:szCs w:val="21"/>
          <w:lang w:val="es-ES"/>
        </w:rPr>
      </w:pPr>
    </w:p>
    <w:p w14:paraId="255BFF8B" w14:textId="131836FC" w:rsidR="00B41D0A" w:rsidRDefault="00B41D0A" w:rsidP="00B41D0A">
      <w:pPr>
        <w:ind w:left="709" w:right="709"/>
        <w:jc w:val="both"/>
        <w:rPr>
          <w:rFonts w:ascii="Arial" w:eastAsia="Calibri" w:hAnsi="Arial" w:cs="Arial"/>
          <w:color w:val="000000" w:themeColor="text1"/>
          <w:sz w:val="21"/>
          <w:szCs w:val="21"/>
          <w:lang w:val="es-ES"/>
        </w:rPr>
      </w:pPr>
      <w:r w:rsidRPr="00B41D0A">
        <w:rPr>
          <w:rFonts w:ascii="Arial" w:eastAsia="Calibri" w:hAnsi="Arial" w:cs="Arial"/>
          <w:color w:val="000000" w:themeColor="text1"/>
          <w:sz w:val="21"/>
          <w:szCs w:val="21"/>
          <w:lang w:val="es-ES"/>
        </w:rPr>
        <w:lastRenderedPageBreak/>
        <w:t>Si un contrato se encuentra suspendido, el cálculo del Saldo del Contrato en Ejecución de dicho contrato</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debe calcularse asumiendo que lo que falta por ejecutar empezará a ejecutarse en la fecha de la presentación</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de la oferta del Proceso de Contratación.</w:t>
      </w:r>
    </w:p>
    <w:p w14:paraId="73865181" w14:textId="77777777" w:rsidR="00B41D0A" w:rsidRDefault="00B41D0A" w:rsidP="00B41D0A">
      <w:pPr>
        <w:ind w:left="709" w:right="709"/>
        <w:jc w:val="both"/>
        <w:rPr>
          <w:rFonts w:ascii="Arial" w:eastAsia="Calibri" w:hAnsi="Arial" w:cs="Arial"/>
          <w:color w:val="000000" w:themeColor="text1"/>
          <w:sz w:val="21"/>
          <w:szCs w:val="21"/>
          <w:lang w:val="es-ES"/>
        </w:rPr>
      </w:pPr>
    </w:p>
    <w:p w14:paraId="7B33DEA1" w14:textId="1432B1AA" w:rsidR="00A4084D" w:rsidRPr="00FB4D30" w:rsidRDefault="00B41D0A">
      <w:pPr>
        <w:ind w:left="709" w:right="709"/>
        <w:jc w:val="both"/>
        <w:rPr>
          <w:rFonts w:ascii="Arial" w:hAnsi="Arial" w:cs="Arial"/>
          <w:sz w:val="22"/>
          <w:szCs w:val="22"/>
        </w:rPr>
      </w:pPr>
      <w:r w:rsidRPr="00B41D0A">
        <w:rPr>
          <w:rFonts w:ascii="Arial" w:eastAsia="Calibri" w:hAnsi="Arial" w:cs="Arial"/>
          <w:color w:val="000000" w:themeColor="text1"/>
          <w:sz w:val="21"/>
          <w:szCs w:val="21"/>
          <w:lang w:val="es-ES"/>
        </w:rPr>
        <w:t xml:space="preserve">El Decreto 791 de 2014 se </w:t>
      </w:r>
      <w:proofErr w:type="gramStart"/>
      <w:r w:rsidRPr="00B41D0A">
        <w:rPr>
          <w:rFonts w:ascii="Arial" w:eastAsia="Calibri" w:hAnsi="Arial" w:cs="Arial"/>
          <w:color w:val="000000" w:themeColor="text1"/>
          <w:sz w:val="21"/>
          <w:szCs w:val="21"/>
          <w:lang w:val="es-ES"/>
        </w:rPr>
        <w:t xml:space="preserve">refiere </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a</w:t>
      </w:r>
      <w:proofErr w:type="gramEnd"/>
      <w:r w:rsidRPr="00B41D0A">
        <w:rPr>
          <w:rFonts w:ascii="Arial" w:eastAsia="Calibri" w:hAnsi="Arial" w:cs="Arial"/>
          <w:color w:val="000000" w:themeColor="text1"/>
          <w:sz w:val="21"/>
          <w:szCs w:val="21"/>
          <w:lang w:val="es-ES"/>
        </w:rPr>
        <w:t xml:space="preserve"> los contratos para ejecutar obras civiles bien sean suscritos con Entidades</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Estatales, entidades privadas, incluyendo los contratos para ejecutar obras civiles en desarrollo de contratos</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de concesión. Lo anterior puesto que la capacidad del contratista para acometer nuevas obras es afectada</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tanto por los contratos públicos como los privados. Igualmente, se refiere a los contratos suscritos por el</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proponente como aquellos suscritos por consorcios, uniones temporales o sociedades de propósito especial</w:t>
      </w:r>
      <w:r>
        <w:rPr>
          <w:rFonts w:ascii="Arial" w:eastAsia="Calibri" w:hAnsi="Arial" w:cs="Arial"/>
          <w:color w:val="000000" w:themeColor="text1"/>
          <w:sz w:val="21"/>
          <w:szCs w:val="21"/>
          <w:lang w:val="es-ES"/>
        </w:rPr>
        <w:t xml:space="preserve"> </w:t>
      </w:r>
      <w:r w:rsidRPr="00B41D0A">
        <w:rPr>
          <w:rFonts w:ascii="Arial" w:eastAsia="Calibri" w:hAnsi="Arial" w:cs="Arial"/>
          <w:color w:val="000000" w:themeColor="text1"/>
          <w:sz w:val="21"/>
          <w:szCs w:val="21"/>
          <w:lang w:val="es-ES"/>
        </w:rPr>
        <w:t>en las cuales participe el oferente.</w:t>
      </w:r>
    </w:p>
    <w:p w14:paraId="2819C57E" w14:textId="77777777" w:rsidR="008A7D2C" w:rsidRDefault="008A7D2C" w:rsidP="00A00F82">
      <w:pPr>
        <w:spacing w:line="276" w:lineRule="auto"/>
        <w:ind w:firstLine="709"/>
        <w:jc w:val="both"/>
        <w:rPr>
          <w:rFonts w:ascii="Arial" w:hAnsi="Arial" w:cs="Arial"/>
          <w:sz w:val="22"/>
          <w:szCs w:val="22"/>
        </w:rPr>
      </w:pPr>
    </w:p>
    <w:p w14:paraId="63027ACE" w14:textId="4968095D" w:rsidR="00A4084D" w:rsidRPr="004F4910" w:rsidRDefault="00A4084D" w:rsidP="00A00F82">
      <w:pPr>
        <w:spacing w:before="120" w:line="276" w:lineRule="auto"/>
        <w:ind w:firstLine="709"/>
        <w:jc w:val="both"/>
        <w:rPr>
          <w:rFonts w:ascii="Arial" w:hAnsi="Arial" w:cs="Arial"/>
          <w:sz w:val="22"/>
          <w:szCs w:val="22"/>
        </w:rPr>
      </w:pPr>
      <w:r w:rsidRPr="004F4910">
        <w:rPr>
          <w:rFonts w:ascii="Arial" w:hAnsi="Arial" w:cs="Arial"/>
          <w:sz w:val="22"/>
          <w:szCs w:val="22"/>
        </w:rPr>
        <w:t xml:space="preserve">Como se </w:t>
      </w:r>
      <w:r>
        <w:rPr>
          <w:rFonts w:ascii="Arial" w:hAnsi="Arial" w:cs="Arial"/>
          <w:sz w:val="22"/>
          <w:szCs w:val="22"/>
        </w:rPr>
        <w:t>observa</w:t>
      </w:r>
      <w:r w:rsidRPr="004F4910">
        <w:rPr>
          <w:rFonts w:ascii="Arial" w:hAnsi="Arial" w:cs="Arial"/>
          <w:sz w:val="22"/>
          <w:szCs w:val="22"/>
        </w:rPr>
        <w:t xml:space="preserve">, los saldos pendientes por ejecutar de los contratos suspendidos </w:t>
      </w:r>
      <w:r>
        <w:rPr>
          <w:rFonts w:ascii="Arial" w:hAnsi="Arial" w:cs="Arial"/>
          <w:sz w:val="22"/>
          <w:szCs w:val="22"/>
        </w:rPr>
        <w:t xml:space="preserve">constituyen </w:t>
      </w:r>
      <w:r w:rsidRPr="004F4910">
        <w:rPr>
          <w:rFonts w:ascii="Arial" w:hAnsi="Arial" w:cs="Arial"/>
          <w:sz w:val="22"/>
          <w:szCs w:val="22"/>
        </w:rPr>
        <w:t>información que interesa para el cálculo del factor</w:t>
      </w:r>
      <w:r w:rsidR="00B41D0A">
        <w:rPr>
          <w:rFonts w:ascii="Arial" w:hAnsi="Arial" w:cs="Arial"/>
          <w:sz w:val="22"/>
          <w:szCs w:val="22"/>
        </w:rPr>
        <w:t xml:space="preserve"> </w:t>
      </w:r>
      <w:r w:rsidR="00B41D0A" w:rsidRPr="004F4910">
        <w:rPr>
          <w:rFonts w:ascii="Arial" w:hAnsi="Arial" w:cs="Arial"/>
          <w:sz w:val="22"/>
          <w:szCs w:val="22"/>
        </w:rPr>
        <w:t xml:space="preserve">Saldos </w:t>
      </w:r>
      <w:r w:rsidR="00B41D0A">
        <w:rPr>
          <w:rFonts w:ascii="Arial" w:hAnsi="Arial" w:cs="Arial"/>
          <w:sz w:val="22"/>
          <w:szCs w:val="22"/>
        </w:rPr>
        <w:t>de C</w:t>
      </w:r>
      <w:r w:rsidR="00B41D0A" w:rsidRPr="004F4910">
        <w:rPr>
          <w:rFonts w:ascii="Arial" w:hAnsi="Arial" w:cs="Arial"/>
          <w:sz w:val="22"/>
          <w:szCs w:val="22"/>
        </w:rPr>
        <w:t xml:space="preserve">ontratos en </w:t>
      </w:r>
      <w:r w:rsidR="00B41D0A">
        <w:rPr>
          <w:rFonts w:ascii="Arial" w:hAnsi="Arial" w:cs="Arial"/>
          <w:sz w:val="22"/>
          <w:szCs w:val="22"/>
        </w:rPr>
        <w:t>E</w:t>
      </w:r>
      <w:r w:rsidR="00B41D0A" w:rsidRPr="004F4910">
        <w:rPr>
          <w:rFonts w:ascii="Arial" w:hAnsi="Arial" w:cs="Arial"/>
          <w:sz w:val="22"/>
          <w:szCs w:val="22"/>
        </w:rPr>
        <w:t>jecución</w:t>
      </w:r>
      <w:r w:rsidRPr="004F4910">
        <w:rPr>
          <w:rFonts w:ascii="Arial" w:hAnsi="Arial" w:cs="Arial"/>
          <w:sz w:val="22"/>
          <w:szCs w:val="22"/>
        </w:rPr>
        <w:t xml:space="preserve"> (SCE). Al respecto debe mencionarse que si bien la suspensión de los contratos estatales no es una institución regulada explícitamente en el Estatuto General de Contratación de la Administración Pública, los saldos de los contratos pendientes por ejecutar de los contratos afectados por una suspensión </w:t>
      </w:r>
      <w:r>
        <w:rPr>
          <w:rFonts w:ascii="Arial" w:hAnsi="Arial" w:cs="Arial"/>
          <w:sz w:val="22"/>
          <w:szCs w:val="22"/>
        </w:rPr>
        <w:t>constituyen, también,</w:t>
      </w:r>
      <w:r w:rsidRPr="004F4910">
        <w:rPr>
          <w:rFonts w:ascii="Arial" w:hAnsi="Arial" w:cs="Arial"/>
          <w:sz w:val="22"/>
          <w:szCs w:val="22"/>
        </w:rPr>
        <w:t xml:space="preserve"> información relevante para calcular la capacidad residual del proponente (CRP).</w:t>
      </w:r>
      <w:r w:rsidR="005D2D71">
        <w:rPr>
          <w:rFonts w:ascii="Arial" w:hAnsi="Arial" w:cs="Arial"/>
          <w:sz w:val="22"/>
          <w:szCs w:val="22"/>
        </w:rPr>
        <w:t xml:space="preserve"> </w:t>
      </w:r>
      <w:r w:rsidR="00B41D0A">
        <w:rPr>
          <w:rFonts w:ascii="Arial" w:hAnsi="Arial" w:cs="Arial"/>
          <w:sz w:val="22"/>
          <w:szCs w:val="22"/>
        </w:rPr>
        <w:t>Conforme a lo anterior, p</w:t>
      </w:r>
      <w:r w:rsidRPr="00FB4D30">
        <w:rPr>
          <w:rFonts w:ascii="Arial" w:hAnsi="Arial" w:cs="Arial"/>
          <w:sz w:val="22"/>
          <w:szCs w:val="22"/>
        </w:rPr>
        <w:t xml:space="preserve">ara acreditar el factor  </w:t>
      </w:r>
      <w:r w:rsidR="00B41D0A">
        <w:rPr>
          <w:rFonts w:ascii="Arial" w:hAnsi="Arial" w:cs="Arial"/>
          <w:sz w:val="22"/>
          <w:szCs w:val="22"/>
        </w:rPr>
        <w:t>S</w:t>
      </w:r>
      <w:r w:rsidRPr="00FB4D30">
        <w:rPr>
          <w:rFonts w:ascii="Arial" w:hAnsi="Arial" w:cs="Arial"/>
          <w:sz w:val="22"/>
          <w:szCs w:val="22"/>
        </w:rPr>
        <w:t xml:space="preserve">aldos </w:t>
      </w:r>
      <w:r w:rsidR="00B41D0A">
        <w:rPr>
          <w:rFonts w:ascii="Arial" w:hAnsi="Arial" w:cs="Arial"/>
          <w:sz w:val="22"/>
          <w:szCs w:val="22"/>
        </w:rPr>
        <w:t>de C</w:t>
      </w:r>
      <w:r w:rsidRPr="00FB4D30">
        <w:rPr>
          <w:rFonts w:ascii="Arial" w:hAnsi="Arial" w:cs="Arial"/>
          <w:sz w:val="22"/>
          <w:szCs w:val="22"/>
        </w:rPr>
        <w:t xml:space="preserve">ontratos en </w:t>
      </w:r>
      <w:r w:rsidR="00B41D0A">
        <w:rPr>
          <w:rFonts w:ascii="Arial" w:hAnsi="Arial" w:cs="Arial"/>
          <w:sz w:val="22"/>
          <w:szCs w:val="22"/>
        </w:rPr>
        <w:t>E</w:t>
      </w:r>
      <w:r w:rsidRPr="00FB4D30">
        <w:rPr>
          <w:rFonts w:ascii="Arial" w:hAnsi="Arial" w:cs="Arial"/>
          <w:sz w:val="22"/>
          <w:szCs w:val="22"/>
        </w:rPr>
        <w:t xml:space="preserve">jecución, como lo establece la </w:t>
      </w:r>
      <w:r w:rsidRPr="00A00F82">
        <w:rPr>
          <w:rFonts w:ascii="Arial" w:hAnsi="Arial" w:cs="Arial"/>
          <w:i/>
          <w:iCs/>
          <w:sz w:val="22"/>
          <w:szCs w:val="22"/>
        </w:rPr>
        <w:t>Guía para determinar y verificar la Capacidad Residual del proponente en los procesos de contratación de obra pública</w:t>
      </w:r>
      <w:r w:rsidRPr="00FB4D30">
        <w:rPr>
          <w:rFonts w:ascii="Arial" w:hAnsi="Arial" w:cs="Arial"/>
          <w:sz w:val="22"/>
          <w:szCs w:val="22"/>
        </w:rPr>
        <w:t xml:space="preserve">, el proponente debe presentar la lista de Contratos en ejecución, </w:t>
      </w:r>
      <w:r w:rsidR="00B41D0A">
        <w:rPr>
          <w:rFonts w:ascii="Arial" w:hAnsi="Arial" w:cs="Arial"/>
          <w:color w:val="000000"/>
          <w:sz w:val="22"/>
          <w:szCs w:val="22"/>
          <w:bdr w:val="none" w:sz="0" w:space="0" w:color="auto" w:frame="1"/>
        </w:rPr>
        <w:t xml:space="preserve">inscritos </w:t>
      </w:r>
      <w:r w:rsidR="00B41D0A" w:rsidRPr="003460DD">
        <w:rPr>
          <w:rFonts w:ascii="Arial" w:hAnsi="Arial" w:cs="Arial"/>
          <w:color w:val="000000"/>
          <w:sz w:val="22"/>
          <w:szCs w:val="22"/>
          <w:bdr w:val="none" w:sz="0" w:space="0" w:color="auto" w:frame="1"/>
        </w:rPr>
        <w:t>en el RUP</w:t>
      </w:r>
      <w:r w:rsidR="00B41D0A">
        <w:rPr>
          <w:rFonts w:ascii="Arial" w:hAnsi="Arial" w:cs="Arial"/>
          <w:color w:val="000000"/>
          <w:sz w:val="22"/>
          <w:szCs w:val="22"/>
          <w:bdr w:val="none" w:sz="0" w:space="0" w:color="auto" w:frame="1"/>
        </w:rPr>
        <w:t xml:space="preserve"> del proponente en el segmento 72 del Clasificador </w:t>
      </w:r>
      <w:r w:rsidR="00B41D0A" w:rsidRPr="00883BDA">
        <w:rPr>
          <w:rFonts w:ascii="Arial" w:hAnsi="Arial" w:cs="Arial"/>
          <w:color w:val="000000" w:themeColor="text1"/>
          <w:sz w:val="22"/>
        </w:rPr>
        <w:t>UNSPSC</w:t>
      </w:r>
      <w:r w:rsidR="00B41D0A">
        <w:rPr>
          <w:rFonts w:ascii="Arial" w:hAnsi="Arial" w:cs="Arial"/>
          <w:sz w:val="22"/>
          <w:szCs w:val="22"/>
        </w:rPr>
        <w:t xml:space="preserve">. </w:t>
      </w:r>
    </w:p>
    <w:p w14:paraId="1EF5174F" w14:textId="77777777" w:rsidR="003B7F22" w:rsidRPr="0008465D" w:rsidRDefault="003B7F22" w:rsidP="00287477">
      <w:pPr>
        <w:tabs>
          <w:tab w:val="left" w:pos="709"/>
        </w:tabs>
        <w:spacing w:line="276" w:lineRule="auto"/>
        <w:jc w:val="both"/>
        <w:rPr>
          <w:rFonts w:ascii="Arial" w:eastAsia="Calibri" w:hAnsi="Arial" w:cs="Arial"/>
          <w:bCs/>
          <w:sz w:val="22"/>
          <w:szCs w:val="22"/>
          <w:lang w:val="es-ES"/>
        </w:rPr>
      </w:pPr>
    </w:p>
    <w:p w14:paraId="13355948" w14:textId="45EBD726" w:rsidR="00C33A69" w:rsidRPr="0008465D" w:rsidRDefault="001E2319">
      <w:pPr>
        <w:tabs>
          <w:tab w:val="left" w:pos="709"/>
        </w:tabs>
        <w:spacing w:line="276" w:lineRule="auto"/>
        <w:jc w:val="both"/>
        <w:rPr>
          <w:rFonts w:ascii="Arial" w:eastAsia="Calibri" w:hAnsi="Arial" w:cs="Arial"/>
          <w:b/>
          <w:sz w:val="22"/>
          <w:szCs w:val="22"/>
          <w:lang w:val="es-ES"/>
        </w:rPr>
      </w:pPr>
      <w:r w:rsidRPr="0008465D">
        <w:rPr>
          <w:rFonts w:ascii="Arial" w:eastAsia="Calibri" w:hAnsi="Arial" w:cs="Arial"/>
          <w:b/>
          <w:sz w:val="22"/>
          <w:szCs w:val="22"/>
          <w:lang w:val="es-ES"/>
        </w:rPr>
        <w:t xml:space="preserve">3. </w:t>
      </w:r>
      <w:r w:rsidR="00C33A69" w:rsidRPr="0008465D">
        <w:rPr>
          <w:rFonts w:ascii="Arial" w:eastAsia="Calibri" w:hAnsi="Arial" w:cs="Arial"/>
          <w:b/>
          <w:sz w:val="22"/>
          <w:szCs w:val="22"/>
          <w:lang w:val="es-ES"/>
        </w:rPr>
        <w:t>Respuesta</w:t>
      </w:r>
    </w:p>
    <w:p w14:paraId="2D7B54D8" w14:textId="5C13726D" w:rsidR="00C33A69" w:rsidRPr="0008465D" w:rsidRDefault="00C33A69">
      <w:pPr>
        <w:tabs>
          <w:tab w:val="left" w:pos="709"/>
        </w:tabs>
        <w:spacing w:line="276" w:lineRule="auto"/>
        <w:ind w:left="709" w:right="709"/>
        <w:jc w:val="both"/>
        <w:rPr>
          <w:rFonts w:ascii="Arial" w:eastAsia="Calibri" w:hAnsi="Arial" w:cs="Arial"/>
          <w:b/>
          <w:sz w:val="22"/>
          <w:szCs w:val="22"/>
          <w:lang w:val="es-ES"/>
        </w:rPr>
      </w:pPr>
    </w:p>
    <w:p w14:paraId="42384D29" w14:textId="39E4F164" w:rsidR="007B12F6" w:rsidRPr="0008465D" w:rsidRDefault="007B12F6" w:rsidP="00B50B9E">
      <w:pPr>
        <w:pStyle w:val="Prrafodelista"/>
        <w:ind w:left="709" w:right="709"/>
        <w:contextualSpacing w:val="0"/>
        <w:jc w:val="both"/>
        <w:rPr>
          <w:rFonts w:ascii="Arial" w:hAnsi="Arial" w:cs="Arial"/>
          <w:sz w:val="21"/>
          <w:szCs w:val="21"/>
          <w:lang w:val="es-ES"/>
        </w:rPr>
      </w:pPr>
      <w:r w:rsidRPr="0008465D">
        <w:rPr>
          <w:rFonts w:ascii="Arial" w:eastAsia="Calibri" w:hAnsi="Arial" w:cs="Arial"/>
          <w:sz w:val="21"/>
          <w:szCs w:val="21"/>
          <w:lang w:val="es-ES"/>
        </w:rPr>
        <w:t>«¿</w:t>
      </w:r>
      <w:r w:rsidR="00A4084D" w:rsidRPr="00E63C75">
        <w:rPr>
          <w:rFonts w:ascii="Arial" w:hAnsi="Arial" w:cs="Arial"/>
          <w:color w:val="000000"/>
          <w:sz w:val="22"/>
          <w:shd w:val="clear" w:color="auto" w:fill="FFFFFF"/>
        </w:rPr>
        <w:t>Solicito se confirme como (sic) se debe acreditar el factor de capacidad residual saldos de los contratos en ejecución – este debe contener únicamente la lista de los contratos de obras civiles en ejecución suscritos con Entidades Estatales y con entidades privadas, así́ como el valor y plazo de tales contratos, incluyendo contratos de concesión y los contratos de obra suscritos con concesionarios, esto quiere decir únicamente los contratos suscritos en el segmento 72, en los cuales el proponente tenga participación</w:t>
      </w:r>
      <w:r w:rsidRPr="0008465D">
        <w:rPr>
          <w:rFonts w:ascii="Arial" w:hAnsi="Arial" w:cs="Arial"/>
          <w:sz w:val="21"/>
          <w:szCs w:val="21"/>
          <w:lang w:val="es-ES"/>
        </w:rPr>
        <w:t>?».</w:t>
      </w:r>
    </w:p>
    <w:p w14:paraId="65AC39D7" w14:textId="7176A781" w:rsidR="007E42BC" w:rsidRDefault="007E42BC" w:rsidP="00287477">
      <w:pPr>
        <w:spacing w:line="276" w:lineRule="auto"/>
        <w:ind w:left="709" w:right="709"/>
        <w:jc w:val="both"/>
        <w:rPr>
          <w:rFonts w:ascii="Arial" w:eastAsia="Calibri" w:hAnsi="Arial" w:cs="Arial"/>
          <w:sz w:val="22"/>
          <w:szCs w:val="22"/>
          <w:lang w:val="es-ES"/>
        </w:rPr>
      </w:pPr>
    </w:p>
    <w:p w14:paraId="27957724" w14:textId="281583A3" w:rsidR="00397FDF" w:rsidRPr="007328D2" w:rsidRDefault="00397FDF" w:rsidP="00397FDF">
      <w:pPr>
        <w:pStyle w:val="Textoindependiente"/>
        <w:spacing w:after="120" w:line="276" w:lineRule="auto"/>
        <w:ind w:right="51"/>
        <w:jc w:val="both"/>
        <w:rPr>
          <w:sz w:val="22"/>
          <w:szCs w:val="22"/>
          <w:lang w:val="es-CO"/>
        </w:rPr>
      </w:pPr>
      <w:r w:rsidRPr="007328D2">
        <w:rPr>
          <w:sz w:val="22"/>
          <w:szCs w:val="22"/>
          <w:lang w:val="es-CO"/>
        </w:rPr>
        <w:t xml:space="preserve">Conforme con lo expuesto, el artículo 2.2.1.1.1.6.4 del Decreto 1082 de 2015 facultó a la Agencia Nacional de Contratación Pública – Colombia Compra Eficiente para establecer la metodología para el cálculo de la capacidad residual. Dicha competencia fue ejercida mediante la expedición de la </w:t>
      </w:r>
      <w:r w:rsidRPr="007328D2">
        <w:rPr>
          <w:i/>
          <w:iCs/>
          <w:sz w:val="22"/>
          <w:szCs w:val="22"/>
        </w:rPr>
        <w:t>Guía para Determinar y Verificar la Capacidad Residual del Proponente en los Procesos de Contratación de Obra Pública</w:t>
      </w:r>
      <w:r w:rsidRPr="007328D2">
        <w:rPr>
          <w:sz w:val="22"/>
          <w:szCs w:val="22"/>
        </w:rPr>
        <w:t xml:space="preserve">, en la que se desarrolla una metodología que tiene en cuenta lo dispuesto en el parágrafo 1 del artículo 6 de la Ley </w:t>
      </w:r>
      <w:r w:rsidRPr="007328D2">
        <w:rPr>
          <w:sz w:val="22"/>
          <w:szCs w:val="22"/>
        </w:rPr>
        <w:lastRenderedPageBreak/>
        <w:t>1150 de 2007 y el artículo 2.2.1.1.1.6.4 del Decreto 1082 de 2015, la cual resulta de obligatoria observancia tanto para las entidades como para los oferentes en los procesos de selección de obra pública.</w:t>
      </w:r>
    </w:p>
    <w:p w14:paraId="61D21A46" w14:textId="02CDB5C2" w:rsidR="00A4084D" w:rsidRPr="00B50B9E" w:rsidRDefault="006F03C7" w:rsidP="00A00F82">
      <w:pPr>
        <w:spacing w:line="276" w:lineRule="auto"/>
        <w:ind w:firstLine="708"/>
        <w:jc w:val="both"/>
        <w:rPr>
          <w:rFonts w:ascii="Arial" w:hAnsi="Arial" w:cs="Arial"/>
          <w:color w:val="000000"/>
          <w:sz w:val="22"/>
          <w:szCs w:val="22"/>
        </w:rPr>
      </w:pPr>
      <w:r>
        <w:rPr>
          <w:rFonts w:ascii="Arial" w:hAnsi="Arial" w:cs="Arial"/>
          <w:color w:val="000000"/>
          <w:sz w:val="22"/>
          <w:szCs w:val="22"/>
          <w:bdr w:val="none" w:sz="0" w:space="0" w:color="auto" w:frame="1"/>
        </w:rPr>
        <w:t xml:space="preserve">De acuerdo con lo explicado sobre la metodología establecida en la mencionada guía, </w:t>
      </w:r>
      <w:r w:rsidR="00A4084D" w:rsidRPr="00B50B9E">
        <w:rPr>
          <w:rFonts w:ascii="Arial" w:hAnsi="Arial" w:cs="Arial"/>
          <w:color w:val="000000"/>
          <w:sz w:val="22"/>
          <w:szCs w:val="22"/>
          <w:bdr w:val="none" w:sz="0" w:space="0" w:color="auto" w:frame="1"/>
        </w:rPr>
        <w:t xml:space="preserve">es posible concluir que, </w:t>
      </w:r>
      <w:r>
        <w:rPr>
          <w:rFonts w:ascii="Arial" w:hAnsi="Arial" w:cs="Arial"/>
          <w:color w:val="000000"/>
          <w:sz w:val="22"/>
          <w:szCs w:val="22"/>
          <w:bdr w:val="none" w:sz="0" w:space="0" w:color="auto" w:frame="1"/>
        </w:rPr>
        <w:t xml:space="preserve">para establecer el valor al que equivale el factor Saldos de Contratos en Ejecución (SCE), requerido para el cálculo de la Capacidad Residual del Proponente (CRP), se debe tener en cuenta los valores de  los </w:t>
      </w:r>
      <w:r w:rsidR="00A4084D" w:rsidRPr="00B50B9E">
        <w:rPr>
          <w:rFonts w:ascii="Arial" w:hAnsi="Arial" w:cs="Arial"/>
          <w:color w:val="000000"/>
          <w:sz w:val="22"/>
          <w:szCs w:val="22"/>
          <w:bdr w:val="none" w:sz="0" w:space="0" w:color="auto" w:frame="1"/>
        </w:rPr>
        <w:t>saldos de los contratos</w:t>
      </w:r>
      <w:r>
        <w:rPr>
          <w:rFonts w:ascii="Arial" w:hAnsi="Arial" w:cs="Arial"/>
          <w:color w:val="000000"/>
          <w:sz w:val="22"/>
          <w:szCs w:val="22"/>
          <w:bdr w:val="none" w:sz="0" w:space="0" w:color="auto" w:frame="1"/>
        </w:rPr>
        <w:t xml:space="preserve"> celebrados por el contratista para el desarrollo de obras, inscritos </w:t>
      </w:r>
      <w:r w:rsidRPr="00B50B9E">
        <w:rPr>
          <w:rFonts w:ascii="Arial" w:hAnsi="Arial" w:cs="Arial"/>
          <w:color w:val="000000"/>
          <w:sz w:val="22"/>
          <w:szCs w:val="22"/>
          <w:bdr w:val="none" w:sz="0" w:space="0" w:color="auto" w:frame="1"/>
        </w:rPr>
        <w:t xml:space="preserve">en el segmento 72 </w:t>
      </w:r>
      <w:r w:rsidRPr="00A00F82">
        <w:rPr>
          <w:rFonts w:ascii="Arial" w:hAnsi="Arial" w:cs="Arial"/>
          <w:i/>
          <w:iCs/>
          <w:color w:val="000000"/>
          <w:sz w:val="22"/>
          <w:szCs w:val="22"/>
          <w:bdr w:val="none" w:sz="0" w:space="0" w:color="auto" w:frame="1"/>
        </w:rPr>
        <w:t xml:space="preserve">“Servicios de Edificación, Construcción de Instalaciones y Mantenimiento” </w:t>
      </w:r>
      <w:r w:rsidRPr="00B50B9E">
        <w:rPr>
          <w:rFonts w:ascii="Arial" w:hAnsi="Arial" w:cs="Arial"/>
          <w:color w:val="000000"/>
          <w:sz w:val="22"/>
          <w:szCs w:val="22"/>
          <w:bdr w:val="none" w:sz="0" w:space="0" w:color="auto" w:frame="1"/>
        </w:rPr>
        <w:t>del Clasificador de Bienes y Servicios</w:t>
      </w:r>
      <w:r>
        <w:rPr>
          <w:rFonts w:ascii="Arial" w:hAnsi="Arial" w:cs="Arial"/>
          <w:color w:val="000000"/>
          <w:sz w:val="22"/>
          <w:szCs w:val="22"/>
          <w:bdr w:val="none" w:sz="0" w:space="0" w:color="auto" w:frame="1"/>
        </w:rPr>
        <w:t xml:space="preserve"> </w:t>
      </w:r>
      <w:r w:rsidRPr="006F03C7">
        <w:rPr>
          <w:rFonts w:ascii="Arial" w:hAnsi="Arial" w:cs="Arial"/>
          <w:color w:val="000000"/>
          <w:sz w:val="22"/>
          <w:szCs w:val="22"/>
          <w:bdr w:val="none" w:sz="0" w:space="0" w:color="auto" w:frame="1"/>
        </w:rPr>
        <w:t>UNSPSC</w:t>
      </w:r>
      <w:r>
        <w:rPr>
          <w:rFonts w:ascii="Arial" w:hAnsi="Arial" w:cs="Arial"/>
          <w:color w:val="000000"/>
          <w:sz w:val="22"/>
          <w:szCs w:val="22"/>
          <w:bdr w:val="none" w:sz="0" w:space="0" w:color="auto" w:frame="1"/>
        </w:rPr>
        <w:t xml:space="preserve">. Esto incluye todos los contratos celebrados para el desarrollo de obras civiles celebrados tanto </w:t>
      </w:r>
      <w:r w:rsidR="00A4084D" w:rsidRPr="00B50B9E">
        <w:rPr>
          <w:rFonts w:ascii="Arial" w:hAnsi="Arial" w:cs="Arial"/>
          <w:color w:val="000000"/>
          <w:sz w:val="22"/>
          <w:szCs w:val="22"/>
          <w:bdr w:val="none" w:sz="0" w:space="0" w:color="auto" w:frame="1"/>
        </w:rPr>
        <w:t>con entidades estatales</w:t>
      </w:r>
      <w:r>
        <w:rPr>
          <w:rFonts w:ascii="Arial" w:hAnsi="Arial" w:cs="Arial"/>
          <w:color w:val="000000"/>
          <w:sz w:val="22"/>
          <w:szCs w:val="22"/>
          <w:bdr w:val="none" w:sz="0" w:space="0" w:color="auto" w:frame="1"/>
        </w:rPr>
        <w:t>,</w:t>
      </w:r>
      <w:r w:rsidR="00A4084D" w:rsidRPr="00B50B9E">
        <w:rPr>
          <w:rFonts w:ascii="Arial" w:hAnsi="Arial" w:cs="Arial"/>
          <w:color w:val="000000"/>
          <w:sz w:val="22"/>
          <w:szCs w:val="22"/>
          <w:bdr w:val="none" w:sz="0" w:space="0" w:color="auto" w:frame="1"/>
        </w:rPr>
        <w:t xml:space="preserve"> como con sujetos privados, </w:t>
      </w:r>
      <w:r>
        <w:rPr>
          <w:rFonts w:ascii="Arial" w:hAnsi="Arial" w:cs="Arial"/>
          <w:color w:val="000000"/>
          <w:sz w:val="22"/>
          <w:szCs w:val="22"/>
          <w:bdr w:val="none" w:sz="0" w:space="0" w:color="auto" w:frame="1"/>
        </w:rPr>
        <w:t xml:space="preserve">que obliguen </w:t>
      </w:r>
      <w:r w:rsidR="00A4084D" w:rsidRPr="00B50B9E">
        <w:rPr>
          <w:rFonts w:ascii="Arial" w:hAnsi="Arial" w:cs="Arial"/>
          <w:color w:val="000000"/>
          <w:sz w:val="22"/>
          <w:szCs w:val="22"/>
          <w:bdr w:val="none" w:sz="0" w:space="0" w:color="auto" w:frame="1"/>
        </w:rPr>
        <w:t>al</w:t>
      </w:r>
      <w:r>
        <w:rPr>
          <w:rFonts w:ascii="Arial" w:hAnsi="Arial" w:cs="Arial"/>
          <w:color w:val="000000"/>
          <w:sz w:val="22"/>
          <w:szCs w:val="22"/>
          <w:bdr w:val="none" w:sz="0" w:space="0" w:color="auto" w:frame="1"/>
        </w:rPr>
        <w:t xml:space="preserve"> proponente al</w:t>
      </w:r>
      <w:r w:rsidR="00A4084D" w:rsidRPr="00B50B9E">
        <w:rPr>
          <w:rFonts w:ascii="Arial" w:hAnsi="Arial" w:cs="Arial"/>
          <w:color w:val="000000"/>
          <w:sz w:val="22"/>
          <w:szCs w:val="22"/>
          <w:bdr w:val="none" w:sz="0" w:space="0" w:color="auto" w:frame="1"/>
        </w:rPr>
        <w:t xml:space="preserve"> momento de presentar la propuesta. Lo anterior quiere decir que deben tenerse en cuenta obras civiles de contratos de concesión, contratos de obras suscritos con concesionarios, contratos suspendidos e incluso aquellos contratos que no tengan acta de inicio – porque a pesar de no contar con esta obligan al contratista</w:t>
      </w:r>
      <w:r w:rsidR="00DD1733">
        <w:rPr>
          <w:rFonts w:ascii="Arial" w:hAnsi="Arial" w:cs="Arial"/>
          <w:color w:val="000000"/>
          <w:sz w:val="22"/>
          <w:szCs w:val="22"/>
          <w:bdr w:val="none" w:sz="0" w:space="0" w:color="auto" w:frame="1"/>
        </w:rPr>
        <w:t>.</w:t>
      </w:r>
      <w:r w:rsidR="00A4084D" w:rsidRPr="00B50B9E">
        <w:rPr>
          <w:rFonts w:ascii="Arial" w:hAnsi="Arial" w:cs="Arial"/>
          <w:color w:val="000000"/>
          <w:sz w:val="22"/>
          <w:szCs w:val="22"/>
          <w:bdr w:val="none" w:sz="0" w:space="0" w:color="auto" w:frame="1"/>
        </w:rPr>
        <w:t xml:space="preserve">    </w:t>
      </w:r>
    </w:p>
    <w:p w14:paraId="0557A723" w14:textId="77777777" w:rsidR="0039206A" w:rsidRPr="0008465D" w:rsidRDefault="0039206A" w:rsidP="006C0EA1">
      <w:pPr>
        <w:pStyle w:val="xmsonospacing"/>
        <w:spacing w:before="0" w:beforeAutospacing="0" w:after="0" w:afterAutospacing="0" w:line="276" w:lineRule="auto"/>
        <w:jc w:val="both"/>
        <w:rPr>
          <w:rFonts w:ascii="Arial" w:hAnsi="Arial" w:cs="Arial"/>
          <w:sz w:val="22"/>
          <w:szCs w:val="22"/>
          <w:lang w:val="es-ES"/>
        </w:rPr>
      </w:pPr>
    </w:p>
    <w:p w14:paraId="0738C8F4" w14:textId="29CC140C" w:rsidR="00A71CEA" w:rsidRPr="0008465D" w:rsidRDefault="00A71CEA" w:rsidP="00FC46E7">
      <w:pPr>
        <w:spacing w:line="276" w:lineRule="auto"/>
        <w:jc w:val="both"/>
        <w:rPr>
          <w:rFonts w:ascii="Arial" w:eastAsia="Calibri" w:hAnsi="Arial" w:cs="Arial"/>
          <w:sz w:val="22"/>
          <w:lang w:val="es-ES"/>
        </w:rPr>
      </w:pPr>
      <w:r w:rsidRPr="0008465D">
        <w:rPr>
          <w:rFonts w:ascii="Arial" w:eastAsia="Calibri" w:hAnsi="Arial" w:cs="Arial"/>
          <w:sz w:val="22"/>
          <w:szCs w:val="22"/>
          <w:lang w:val="es-ES"/>
        </w:rPr>
        <w:t>Este concepto tiene el alcance previsto en el artículo 28 del Cód</w:t>
      </w:r>
      <w:r w:rsidRPr="0008465D">
        <w:rPr>
          <w:rFonts w:ascii="Arial" w:eastAsia="Calibri" w:hAnsi="Arial" w:cs="Arial"/>
          <w:sz w:val="22"/>
          <w:lang w:val="es-ES"/>
        </w:rPr>
        <w:t>igo de Procedimiento Administrativo y de lo Contencioso Administrativo.</w:t>
      </w:r>
    </w:p>
    <w:p w14:paraId="27A116DB" w14:textId="77777777" w:rsidR="00B55679" w:rsidRPr="0008465D" w:rsidRDefault="00B55679" w:rsidP="00FC46E7">
      <w:pPr>
        <w:jc w:val="both"/>
        <w:rPr>
          <w:rFonts w:ascii="Arial" w:eastAsia="Calibri" w:hAnsi="Arial" w:cs="Arial"/>
          <w:sz w:val="22"/>
          <w:lang w:val="es-ES"/>
        </w:rPr>
      </w:pPr>
    </w:p>
    <w:p w14:paraId="1BD8E63C" w14:textId="77777777" w:rsidR="00A71CEA" w:rsidRPr="0008465D" w:rsidRDefault="00A71CEA" w:rsidP="00FC46E7">
      <w:pPr>
        <w:jc w:val="both"/>
        <w:rPr>
          <w:rFonts w:ascii="Arial" w:hAnsi="Arial" w:cs="Arial"/>
          <w:sz w:val="22"/>
          <w:lang w:val="es-ES" w:eastAsia="es-CO"/>
        </w:rPr>
      </w:pPr>
      <w:r w:rsidRPr="0008465D">
        <w:rPr>
          <w:rFonts w:ascii="Arial" w:hAnsi="Arial" w:cs="Arial"/>
          <w:sz w:val="22"/>
          <w:lang w:val="es-ES" w:eastAsia="es-CO"/>
        </w:rPr>
        <w:t>Atentamente,</w:t>
      </w:r>
    </w:p>
    <w:p w14:paraId="4783A21F" w14:textId="027D26F5" w:rsidR="00A71CEA" w:rsidRPr="0008465D" w:rsidRDefault="00A71CEA">
      <w:pPr>
        <w:jc w:val="center"/>
        <w:rPr>
          <w:rFonts w:ascii="Arial" w:hAnsi="Arial" w:cs="Arial"/>
          <w:sz w:val="18"/>
          <w:szCs w:val="20"/>
          <w:lang w:val="es-ES" w:eastAsia="es-CO"/>
        </w:rPr>
      </w:pPr>
    </w:p>
    <w:p w14:paraId="1FEF5E59" w14:textId="77777777" w:rsidR="00A71CEA" w:rsidRPr="0008465D" w:rsidRDefault="00A71CEA" w:rsidP="00FC46E7">
      <w:pPr>
        <w:jc w:val="center"/>
        <w:rPr>
          <w:rFonts w:ascii="Arial" w:hAnsi="Arial" w:cs="Arial"/>
          <w:sz w:val="18"/>
          <w:szCs w:val="20"/>
          <w:lang w:val="es-ES"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08465D" w:rsidRPr="0008465D" w14:paraId="6FD066C0" w14:textId="77777777" w:rsidTr="007F1895">
        <w:trPr>
          <w:trHeight w:val="315"/>
        </w:trPr>
        <w:tc>
          <w:tcPr>
            <w:tcW w:w="812" w:type="dxa"/>
            <w:vAlign w:val="center"/>
            <w:hideMark/>
          </w:tcPr>
          <w:p w14:paraId="3D034311"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Elaboró:</w:t>
            </w:r>
          </w:p>
        </w:tc>
        <w:tc>
          <w:tcPr>
            <w:tcW w:w="4413" w:type="dxa"/>
            <w:tcBorders>
              <w:top w:val="nil"/>
              <w:left w:val="nil"/>
              <w:bottom w:val="dotted" w:sz="4" w:space="0" w:color="7F7F7F" w:themeColor="text1" w:themeTint="80"/>
              <w:right w:val="nil"/>
            </w:tcBorders>
            <w:vAlign w:val="center"/>
            <w:hideMark/>
          </w:tcPr>
          <w:p w14:paraId="4130A8A2"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 xml:space="preserve">Camilo Perdomo Villamil </w:t>
            </w:r>
          </w:p>
          <w:p w14:paraId="02C2374E"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Contratista de la Subdirección de Gestión Contractual</w:t>
            </w:r>
          </w:p>
        </w:tc>
      </w:tr>
      <w:tr w:rsidR="0008465D" w:rsidRPr="0008465D" w14:paraId="6CE7FA18" w14:textId="77777777" w:rsidTr="007F1895">
        <w:trPr>
          <w:trHeight w:val="330"/>
        </w:trPr>
        <w:tc>
          <w:tcPr>
            <w:tcW w:w="812" w:type="dxa"/>
            <w:vAlign w:val="center"/>
            <w:hideMark/>
          </w:tcPr>
          <w:p w14:paraId="2902D588"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6CC67DAC" w14:textId="2462014A" w:rsidR="00A71CEA" w:rsidRPr="0008465D" w:rsidRDefault="00A4084D" w:rsidP="00FC46E7">
            <w:pPr>
              <w:rPr>
                <w:rFonts w:ascii="Arial" w:hAnsi="Arial" w:cs="Arial"/>
                <w:sz w:val="16"/>
                <w:szCs w:val="16"/>
                <w:lang w:val="es-ES" w:eastAsia="es-ES"/>
              </w:rPr>
            </w:pPr>
            <w:r>
              <w:rPr>
                <w:rFonts w:ascii="Arial" w:hAnsi="Arial" w:cs="Arial"/>
                <w:sz w:val="16"/>
                <w:szCs w:val="16"/>
                <w:lang w:val="es-ES" w:eastAsia="es-ES"/>
              </w:rPr>
              <w:t xml:space="preserve">Alejandro Sarmiento </w:t>
            </w:r>
            <w:r w:rsidR="00DD1733">
              <w:rPr>
                <w:rFonts w:ascii="Arial" w:hAnsi="Arial" w:cs="Arial"/>
                <w:sz w:val="16"/>
                <w:szCs w:val="16"/>
                <w:lang w:val="es-ES" w:eastAsia="es-ES"/>
              </w:rPr>
              <w:t>Cantillo</w:t>
            </w:r>
          </w:p>
          <w:p w14:paraId="15D02354" w14:textId="5F8430C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Gestor T1-1</w:t>
            </w:r>
            <w:r w:rsidR="00AF0F4E" w:rsidRPr="0008465D">
              <w:rPr>
                <w:rFonts w:ascii="Arial" w:hAnsi="Arial" w:cs="Arial"/>
                <w:sz w:val="16"/>
                <w:szCs w:val="16"/>
                <w:lang w:val="es-ES" w:eastAsia="es-ES"/>
              </w:rPr>
              <w:t>1</w:t>
            </w:r>
            <w:r w:rsidRPr="0008465D">
              <w:rPr>
                <w:rFonts w:ascii="Arial" w:hAnsi="Arial" w:cs="Arial"/>
                <w:sz w:val="16"/>
                <w:szCs w:val="16"/>
                <w:lang w:val="es-ES" w:eastAsia="es-ES"/>
              </w:rPr>
              <w:t xml:space="preserve"> de la Subdirección de Gestión Contractual</w:t>
            </w:r>
          </w:p>
        </w:tc>
      </w:tr>
      <w:tr w:rsidR="00120437" w:rsidRPr="0008465D" w14:paraId="4BA2BDE6" w14:textId="77777777" w:rsidTr="007F1895">
        <w:trPr>
          <w:trHeight w:val="300"/>
        </w:trPr>
        <w:tc>
          <w:tcPr>
            <w:tcW w:w="812" w:type="dxa"/>
            <w:vAlign w:val="center"/>
            <w:hideMark/>
          </w:tcPr>
          <w:p w14:paraId="1A726DD9"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2ECCC83"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Jorge Augusto Tirado Navarro</w:t>
            </w:r>
          </w:p>
          <w:p w14:paraId="416E9DA6" w14:textId="77777777" w:rsidR="00A71CEA" w:rsidRPr="0008465D" w:rsidRDefault="00A71CEA" w:rsidP="00FC46E7">
            <w:pPr>
              <w:rPr>
                <w:rFonts w:ascii="Arial" w:hAnsi="Arial" w:cs="Arial"/>
                <w:sz w:val="16"/>
                <w:szCs w:val="16"/>
                <w:lang w:val="es-ES" w:eastAsia="es-ES"/>
              </w:rPr>
            </w:pPr>
            <w:r w:rsidRPr="0008465D">
              <w:rPr>
                <w:rFonts w:ascii="Arial" w:hAnsi="Arial" w:cs="Arial"/>
                <w:sz w:val="16"/>
                <w:szCs w:val="16"/>
                <w:lang w:val="es-ES" w:eastAsia="es-ES"/>
              </w:rPr>
              <w:t>Subdirector de Gestión Contractual ANCP – CCE</w:t>
            </w:r>
          </w:p>
        </w:tc>
      </w:tr>
    </w:tbl>
    <w:p w14:paraId="3D5BFD2B" w14:textId="77777777" w:rsidR="00A71CEA" w:rsidRPr="0008465D" w:rsidRDefault="00A71CEA" w:rsidP="00120437"/>
    <w:sectPr w:rsidR="00A71CEA" w:rsidRPr="0008465D" w:rsidSect="007F1895">
      <w:headerReference w:type="default" r:id="rId15"/>
      <w:footerReference w:type="default" r:id="rId16"/>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3E71B" w14:textId="77777777" w:rsidR="00374E97" w:rsidRDefault="00374E97" w:rsidP="00A71CEA">
      <w:r>
        <w:separator/>
      </w:r>
    </w:p>
  </w:endnote>
  <w:endnote w:type="continuationSeparator" w:id="0">
    <w:p w14:paraId="7177AAB2" w14:textId="77777777" w:rsidR="00374E97" w:rsidRDefault="00374E97" w:rsidP="00A7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Arial,">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B0DB" w14:textId="77777777" w:rsidR="00387886" w:rsidRDefault="00387886" w:rsidP="007F1895">
    <w:pPr>
      <w:pStyle w:val="Sinespaciado"/>
      <w:jc w:val="right"/>
      <w:rPr>
        <w:rFonts w:ascii="Arial" w:hAnsi="Arial" w:cs="Arial"/>
        <w:sz w:val="18"/>
        <w:szCs w:val="18"/>
      </w:rPr>
    </w:pPr>
  </w:p>
  <w:p w14:paraId="1A83C429" w14:textId="77777777" w:rsidR="00387886" w:rsidRDefault="00387886" w:rsidP="007F1895">
    <w:pPr>
      <w:pStyle w:val="Sinespaciado"/>
      <w:jc w:val="right"/>
      <w:rPr>
        <w:rFonts w:ascii="Arial" w:hAnsi="Arial" w:cs="Arial"/>
        <w:sz w:val="18"/>
        <w:szCs w:val="18"/>
      </w:rPr>
    </w:pPr>
  </w:p>
  <w:p w14:paraId="4C092373" w14:textId="77777777" w:rsidR="00387886" w:rsidRPr="008217B7" w:rsidRDefault="00387886" w:rsidP="007F1895">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2</w:t>
    </w:r>
    <w:r w:rsidRPr="00084B97">
      <w:rPr>
        <w:rFonts w:ascii="Arial" w:hAnsi="Arial" w:cs="Arial"/>
        <w:b/>
        <w:bCs/>
        <w:color w:val="7F7F7F" w:themeColor="text1" w:themeTint="80"/>
        <w:sz w:val="16"/>
        <w:szCs w:val="16"/>
      </w:rPr>
      <w:fldChar w:fldCharType="end"/>
    </w:r>
  </w:p>
  <w:p w14:paraId="15A1C25B" w14:textId="77777777" w:rsidR="00387886" w:rsidRDefault="00387886" w:rsidP="007F1895">
    <w:pPr>
      <w:pStyle w:val="Piedepgina"/>
      <w:jc w:val="center"/>
      <w:rPr>
        <w:lang w:val="es-ES"/>
      </w:rPr>
    </w:pPr>
    <w:r>
      <w:rPr>
        <w:noProof/>
      </w:rPr>
      <w:drawing>
        <wp:inline distT="0" distB="0" distL="0" distR="0" wp14:anchorId="1A50E6AF" wp14:editId="2CAE943A">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79A9CCC9" w14:textId="77777777" w:rsidR="00387886" w:rsidRPr="00E756AC" w:rsidRDefault="00387886" w:rsidP="007F1895">
    <w:pPr>
      <w:pStyle w:val="Piedepgina"/>
      <w:jc w:val="center"/>
      <w:rPr>
        <w:sz w:val="18"/>
        <w:szCs w:val="18"/>
        <w:lang w:val="es-ES"/>
      </w:rPr>
    </w:pPr>
  </w:p>
  <w:p w14:paraId="02222FE9" w14:textId="77777777" w:rsidR="00387886" w:rsidRPr="00E756AC" w:rsidRDefault="00387886" w:rsidP="007F1895">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5F14A" w14:textId="77777777" w:rsidR="00374E97" w:rsidRDefault="00374E97" w:rsidP="00A71CEA">
      <w:r>
        <w:separator/>
      </w:r>
    </w:p>
  </w:footnote>
  <w:footnote w:type="continuationSeparator" w:id="0">
    <w:p w14:paraId="4364279C" w14:textId="77777777" w:rsidR="00374E97" w:rsidRDefault="00374E97" w:rsidP="00A71CEA">
      <w:r>
        <w:continuationSeparator/>
      </w:r>
    </w:p>
  </w:footnote>
  <w:footnote w:id="1">
    <w:p w14:paraId="4B26559B" w14:textId="77777777" w:rsidR="00437FA5" w:rsidRPr="009F3352" w:rsidRDefault="00437FA5" w:rsidP="00437FA5">
      <w:pPr>
        <w:pStyle w:val="Textonotapie"/>
        <w:ind w:firstLine="708"/>
        <w:jc w:val="both"/>
        <w:rPr>
          <w:rFonts w:ascii="Arial" w:hAnsi="Arial" w:cs="Arial"/>
          <w:sz w:val="19"/>
          <w:szCs w:val="19"/>
          <w:lang w:val="es-ES"/>
        </w:rPr>
      </w:pPr>
      <w:r w:rsidRPr="009F3352">
        <w:rPr>
          <w:rStyle w:val="Refdenotaalpie"/>
          <w:rFonts w:ascii="Arial" w:hAnsi="Arial" w:cs="Arial"/>
          <w:sz w:val="19"/>
          <w:szCs w:val="19"/>
        </w:rPr>
        <w:footnoteRef/>
      </w:r>
      <w:r w:rsidRPr="009F3352">
        <w:rPr>
          <w:rFonts w:ascii="Arial" w:hAnsi="Arial" w:cs="Arial"/>
          <w:sz w:val="19"/>
          <w:szCs w:val="19"/>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9F3352">
        <w:rPr>
          <w:rFonts w:ascii="Arial" w:hAnsi="Arial" w:cs="Arial"/>
          <w:i/>
          <w:iCs/>
          <w:sz w:val="19"/>
          <w:szCs w:val="19"/>
        </w:rPr>
        <w:t xml:space="preserve">ibidem </w:t>
      </w:r>
      <w:r w:rsidRPr="009F3352">
        <w:rPr>
          <w:rFonts w:ascii="Arial" w:hAnsi="Arial" w:cs="Arial"/>
          <w:sz w:val="19"/>
          <w:szCs w:val="19"/>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footnote>
  <w:footnote w:id="2">
    <w:p w14:paraId="2A7881C8" w14:textId="77777777" w:rsidR="00437FA5" w:rsidRPr="009F7C66" w:rsidRDefault="00437FA5" w:rsidP="00437FA5">
      <w:pPr>
        <w:pStyle w:val="Textonotapie"/>
        <w:ind w:firstLine="708"/>
        <w:jc w:val="both"/>
        <w:rPr>
          <w:rFonts w:ascii="Arial" w:eastAsia="Calibri" w:hAnsi="Arial" w:cs="Arial"/>
          <w:color w:val="000000" w:themeColor="text1"/>
          <w:sz w:val="19"/>
          <w:szCs w:val="19"/>
        </w:rPr>
      </w:pPr>
      <w:r w:rsidRPr="000823DB">
        <w:rPr>
          <w:rStyle w:val="Refdenotaalpie"/>
          <w:rFonts w:ascii="Arial" w:hAnsi="Arial" w:cs="Arial"/>
          <w:color w:val="000000" w:themeColor="text1"/>
          <w:sz w:val="19"/>
          <w:szCs w:val="19"/>
        </w:rPr>
        <w:footnoteRef/>
      </w:r>
      <w:r w:rsidRPr="000823DB">
        <w:rPr>
          <w:rFonts w:ascii="Arial" w:hAnsi="Arial" w:cs="Arial"/>
          <w:color w:val="000000" w:themeColor="text1"/>
          <w:sz w:val="19"/>
          <w:szCs w:val="19"/>
        </w:rPr>
        <w:t xml:space="preserve"> </w:t>
      </w:r>
      <w:r w:rsidRPr="000823DB">
        <w:rPr>
          <w:rFonts w:ascii="Arial" w:eastAsia="Calibri" w:hAnsi="Arial" w:cs="Arial"/>
          <w:color w:val="000000" w:themeColor="text1"/>
          <w:sz w:val="19"/>
          <w:szCs w:val="19"/>
        </w:rPr>
        <w:t>Decreto 1082 de 2015: «Arti</w:t>
      </w:r>
      <w:r w:rsidRPr="009F7C66">
        <w:rPr>
          <w:rFonts w:ascii="Arial" w:eastAsia="Calibri" w:hAnsi="Arial" w:cs="Arial"/>
          <w:color w:val="000000" w:themeColor="text1"/>
          <w:sz w:val="19"/>
          <w:szCs w:val="19"/>
        </w:rPr>
        <w:t xml:space="preserve">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6C178D7A" w14:textId="77777777" w:rsidR="00437FA5" w:rsidRPr="009F7C66" w:rsidRDefault="00437FA5" w:rsidP="00437FA5">
      <w:pPr>
        <w:pStyle w:val="Textonotapie"/>
        <w:ind w:firstLine="708"/>
        <w:jc w:val="both"/>
        <w:rPr>
          <w:rFonts w:ascii="Arial" w:eastAsia="Calibri" w:hAnsi="Arial" w:cs="Arial"/>
          <w:color w:val="000000" w:themeColor="text1"/>
          <w:sz w:val="19"/>
          <w:szCs w:val="19"/>
        </w:rPr>
      </w:pPr>
      <w:r w:rsidRPr="009F7C66">
        <w:rPr>
          <w:rFonts w:ascii="Arial" w:eastAsia="Calibri" w:hAnsi="Arial" w:cs="Arial"/>
          <w:color w:val="000000" w:themeColor="text1"/>
          <w:sz w:val="19"/>
          <w:szCs w:val="19"/>
        </w:rPr>
        <w:t>[…]</w:t>
      </w:r>
    </w:p>
    <w:p w14:paraId="5E9B6785" w14:textId="77777777" w:rsidR="00437FA5" w:rsidRPr="009F7C66" w:rsidRDefault="00437FA5" w:rsidP="00437FA5">
      <w:pPr>
        <w:pStyle w:val="Textonotapie"/>
        <w:ind w:firstLine="708"/>
        <w:jc w:val="both"/>
        <w:rPr>
          <w:rFonts w:ascii="Arial" w:hAnsi="Arial" w:cs="Arial"/>
          <w:color w:val="000000" w:themeColor="text1"/>
          <w:sz w:val="19"/>
          <w:szCs w:val="19"/>
          <w:lang w:val="es-CO"/>
        </w:rPr>
      </w:pPr>
      <w:r w:rsidRPr="009F7C66">
        <w:rPr>
          <w:rFonts w:ascii="Arial" w:eastAsia="Calibri" w:hAnsi="Arial" w:cs="Arial"/>
          <w:color w:val="000000" w:themeColor="text1"/>
          <w:sz w:val="19"/>
          <w:szCs w:val="19"/>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9F7C66">
        <w:rPr>
          <w:rFonts w:ascii="Arial" w:hAnsi="Arial" w:cs="Arial"/>
          <w:color w:val="000000" w:themeColor="text1"/>
          <w:sz w:val="19"/>
          <w:szCs w:val="19"/>
          <w:lang w:val="es-CO"/>
        </w:rPr>
        <w:t xml:space="preserve"> </w:t>
      </w:r>
    </w:p>
    <w:p w14:paraId="0ADF503B" w14:textId="77777777" w:rsidR="00437FA5" w:rsidRPr="009F7C66" w:rsidRDefault="00437FA5" w:rsidP="00437FA5">
      <w:pPr>
        <w:pStyle w:val="Textonotapie"/>
        <w:jc w:val="both"/>
        <w:rPr>
          <w:rFonts w:ascii="Arial" w:hAnsi="Arial" w:cs="Arial"/>
          <w:color w:val="000000" w:themeColor="text1"/>
          <w:sz w:val="19"/>
          <w:szCs w:val="19"/>
          <w:lang w:val="es-CO"/>
        </w:rPr>
      </w:pPr>
    </w:p>
  </w:footnote>
  <w:footnote w:id="3">
    <w:p w14:paraId="3415A507" w14:textId="77777777" w:rsidR="00437FA5" w:rsidRPr="009F7C66" w:rsidRDefault="00437FA5" w:rsidP="00437FA5">
      <w:pPr>
        <w:pStyle w:val="Textonotapie"/>
        <w:ind w:firstLine="708"/>
        <w:jc w:val="both"/>
        <w:rPr>
          <w:rFonts w:ascii="Arial" w:hAnsi="Arial" w:cs="Arial"/>
          <w:color w:val="000000" w:themeColor="text1"/>
          <w:sz w:val="19"/>
          <w:szCs w:val="19"/>
          <w:lang w:val="es-CO"/>
        </w:rPr>
      </w:pPr>
      <w:r w:rsidRPr="000823DB">
        <w:rPr>
          <w:rFonts w:ascii="Arial" w:eastAsia="Calibri" w:hAnsi="Arial" w:cs="Arial"/>
          <w:color w:val="000000" w:themeColor="text1"/>
          <w:sz w:val="19"/>
          <w:szCs w:val="19"/>
          <w:vertAlign w:val="superscript"/>
        </w:rPr>
        <w:footnoteRef/>
      </w:r>
      <w:r w:rsidRPr="000823DB">
        <w:rPr>
          <w:rFonts w:ascii="Arial" w:eastAsia="Calibri" w:hAnsi="Arial" w:cs="Arial"/>
          <w:color w:val="000000" w:themeColor="text1"/>
          <w:sz w:val="19"/>
          <w:szCs w:val="19"/>
          <w:vertAlign w:val="superscript"/>
        </w:rPr>
        <w:t xml:space="preserve"> </w:t>
      </w:r>
      <w:r w:rsidRPr="000823DB">
        <w:rPr>
          <w:rFonts w:ascii="Arial" w:eastAsia="Calibri" w:hAnsi="Arial" w:cs="Arial"/>
          <w:color w:val="000000" w:themeColor="text1"/>
          <w:sz w:val="19"/>
          <w:szCs w:val="19"/>
        </w:rPr>
        <w:t xml:space="preserve">CONSEJO DE ESTADO. Sección Tercera. Sentencia del 26 de junio de 2003. Rad. 13.354. C.P: María Elena Giraldo Gómez. </w:t>
      </w:r>
    </w:p>
  </w:footnote>
  <w:footnote w:id="4">
    <w:p w14:paraId="0E736D76" w14:textId="77777777" w:rsidR="00A4084D" w:rsidRPr="00543959" w:rsidRDefault="00A4084D" w:rsidP="00A4084D">
      <w:pPr>
        <w:ind w:right="49" w:firstLine="708"/>
        <w:jc w:val="both"/>
        <w:rPr>
          <w:rFonts w:ascii="Arial" w:hAnsi="Arial" w:cs="Arial"/>
          <w:color w:val="000000" w:themeColor="text1"/>
          <w:sz w:val="19"/>
          <w:szCs w:val="19"/>
        </w:rPr>
      </w:pPr>
      <w:r w:rsidRPr="00543959">
        <w:rPr>
          <w:rStyle w:val="Refdenotaalpie"/>
          <w:rFonts w:ascii="Arial" w:hAnsi="Arial" w:cs="Arial"/>
          <w:color w:val="000000" w:themeColor="text1"/>
          <w:sz w:val="19"/>
          <w:szCs w:val="19"/>
        </w:rPr>
        <w:footnoteRef/>
      </w:r>
      <w:r w:rsidRPr="00543959">
        <w:rPr>
          <w:rFonts w:ascii="Arial" w:hAnsi="Arial" w:cs="Arial"/>
          <w:color w:val="000000" w:themeColor="text1"/>
          <w:sz w:val="19"/>
          <w:szCs w:val="19"/>
        </w:rPr>
        <w:t xml:space="preserve"> Decreto 1082 de 2015. «Artículo 2.2.1.1.1.6.4. Capacidad Residual. El interesado en celebrar contratos de obra pública con Entidades Estatales debe acreditar su Capacidad Residual o K de Contratación con los siguientes</w:t>
      </w:r>
      <w:r w:rsidRPr="00543959">
        <w:rPr>
          <w:rFonts w:ascii="Arial" w:hAnsi="Arial" w:cs="Arial"/>
          <w:color w:val="000000" w:themeColor="text1"/>
          <w:spacing w:val="-3"/>
          <w:sz w:val="19"/>
          <w:szCs w:val="19"/>
        </w:rPr>
        <w:t xml:space="preserve"> </w:t>
      </w:r>
      <w:r w:rsidRPr="00543959">
        <w:rPr>
          <w:rFonts w:ascii="Arial" w:hAnsi="Arial" w:cs="Arial"/>
          <w:color w:val="000000" w:themeColor="text1"/>
          <w:sz w:val="19"/>
          <w:szCs w:val="19"/>
        </w:rPr>
        <w:t>documentos:</w:t>
      </w:r>
    </w:p>
    <w:p w14:paraId="7D3AEFF3" w14:textId="77777777" w:rsidR="00A4084D" w:rsidRDefault="00A4084D" w:rsidP="00A4084D">
      <w:pPr>
        <w:ind w:right="49" w:firstLine="708"/>
        <w:jc w:val="both"/>
        <w:rPr>
          <w:rFonts w:ascii="Arial" w:hAnsi="Arial" w:cs="Arial"/>
          <w:color w:val="000000" w:themeColor="text1"/>
          <w:sz w:val="19"/>
          <w:szCs w:val="19"/>
        </w:rPr>
      </w:pPr>
      <w:r w:rsidRPr="00543959">
        <w:rPr>
          <w:rFonts w:ascii="Arial" w:hAnsi="Arial" w:cs="Arial"/>
          <w:color w:val="000000" w:themeColor="text1"/>
          <w:sz w:val="19"/>
          <w:szCs w:val="19"/>
        </w:rPr>
        <w:t>»1. La lista de los contratos de obras civiles en ejecución suscritos con Entidades Estatales y con entidades privadas, así como el valor y plazo de tales contratos, incluyendo contratos de concesión y los contratos de obra suscritos con</w:t>
      </w:r>
      <w:r w:rsidRPr="00543959">
        <w:rPr>
          <w:rFonts w:ascii="Arial" w:hAnsi="Arial" w:cs="Arial"/>
          <w:color w:val="000000" w:themeColor="text1"/>
          <w:spacing w:val="-4"/>
          <w:sz w:val="19"/>
          <w:szCs w:val="19"/>
        </w:rPr>
        <w:t xml:space="preserve"> </w:t>
      </w:r>
      <w:r w:rsidRPr="00543959">
        <w:rPr>
          <w:rFonts w:ascii="Arial" w:hAnsi="Arial" w:cs="Arial"/>
          <w:color w:val="000000" w:themeColor="text1"/>
          <w:sz w:val="19"/>
          <w:szCs w:val="19"/>
        </w:rPr>
        <w:t>concesionarios.</w:t>
      </w:r>
    </w:p>
    <w:p w14:paraId="5914444C" w14:textId="77777777" w:rsidR="00A4084D" w:rsidRPr="00543959" w:rsidRDefault="00A4084D" w:rsidP="00A4084D">
      <w:pPr>
        <w:ind w:right="49" w:firstLine="708"/>
        <w:jc w:val="both"/>
        <w:rPr>
          <w:rFonts w:ascii="Arial" w:hAnsi="Arial" w:cs="Arial"/>
          <w:color w:val="000000" w:themeColor="text1"/>
          <w:sz w:val="19"/>
          <w:szCs w:val="19"/>
        </w:rPr>
      </w:pPr>
      <w:r w:rsidRPr="00543959">
        <w:rPr>
          <w:rFonts w:ascii="Arial" w:hAnsi="Arial" w:cs="Arial"/>
          <w:color w:val="000000" w:themeColor="text1"/>
          <w:sz w:val="19"/>
          <w:szCs w:val="19"/>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30EF053E" w14:textId="28C282FC" w:rsidR="00A4084D" w:rsidRPr="00543959" w:rsidRDefault="00A4084D" w:rsidP="00A00F82">
      <w:pPr>
        <w:ind w:right="49" w:firstLine="708"/>
        <w:jc w:val="both"/>
        <w:rPr>
          <w:rFonts w:ascii="Arial" w:hAnsi="Arial" w:cs="Arial"/>
          <w:color w:val="000000" w:themeColor="text1"/>
          <w:sz w:val="19"/>
          <w:szCs w:val="19"/>
        </w:rPr>
      </w:pPr>
      <w:r w:rsidRPr="00543959">
        <w:rPr>
          <w:rFonts w:ascii="Arial" w:hAnsi="Arial" w:cs="Arial"/>
          <w:color w:val="000000" w:themeColor="text1"/>
          <w:sz w:val="19"/>
          <w:szCs w:val="19"/>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 w:id="5">
    <w:p w14:paraId="5541EBD7" w14:textId="77777777" w:rsidR="00A4084D" w:rsidRPr="00EB4F7E" w:rsidRDefault="00A4084D" w:rsidP="00A4084D">
      <w:pPr>
        <w:pStyle w:val="Textonotapie"/>
        <w:ind w:firstLine="708"/>
        <w:jc w:val="both"/>
        <w:rPr>
          <w:lang w:val="es-CO"/>
        </w:rPr>
      </w:pPr>
      <w:r w:rsidRPr="00A16516">
        <w:rPr>
          <w:rStyle w:val="Refdenotaalpie"/>
          <w:rFonts w:ascii="Arial" w:hAnsi="Arial" w:cs="Arial"/>
          <w:sz w:val="19"/>
          <w:szCs w:val="19"/>
        </w:rPr>
        <w:footnoteRef/>
      </w:r>
      <w:r w:rsidRPr="00A16516">
        <w:rPr>
          <w:rFonts w:ascii="Arial" w:hAnsi="Arial" w:cs="Arial"/>
          <w:sz w:val="19"/>
          <w:szCs w:val="19"/>
        </w:rPr>
        <w:t xml:space="preserve"> Agencia Nacional de Contratación Pública – Colombia Compra Eficiente. Guía para Determinar y Verificar la Capacidad Residual del Proponente en los Procesos de Contratación de Obra Pública. 2017. Pág 4. Disponible en:</w:t>
      </w:r>
      <w:r>
        <w:rPr>
          <w:rFonts w:ascii="Arial" w:hAnsi="Arial" w:cs="Arial"/>
          <w:sz w:val="19"/>
          <w:szCs w:val="19"/>
        </w:rPr>
        <w:t xml:space="preserve"> </w:t>
      </w:r>
      <w:hyperlink r:id="rId1" w:history="1">
        <w:r w:rsidRPr="00A16516">
          <w:rPr>
            <w:rStyle w:val="Hipervnculo"/>
            <w:rFonts w:ascii="Arial" w:hAnsi="Arial" w:cs="Arial"/>
            <w:sz w:val="19"/>
            <w:szCs w:val="19"/>
          </w:rPr>
          <w:t>https://colombiacompra.gov.co/sites/cce_public/files/cce_documents/cce_guia_capacidad_residual.pdf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2914" w14:textId="77777777" w:rsidR="00387886" w:rsidRDefault="00387886">
    <w:pPr>
      <w:pStyle w:val="Encabezado"/>
    </w:pPr>
    <w:r>
      <w:rPr>
        <w:noProof/>
        <w:lang w:val="es-CO" w:eastAsia="es-CO"/>
      </w:rPr>
      <w:drawing>
        <wp:anchor distT="0" distB="0" distL="114300" distR="114300" simplePos="0" relativeHeight="251659264" behindDoc="1" locked="0" layoutInCell="1" allowOverlap="1" wp14:anchorId="096CAC25" wp14:editId="2914B42D">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D2D0F12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D6C16A1"/>
    <w:multiLevelType w:val="hybridMultilevel"/>
    <w:tmpl w:val="1AB4BA0C"/>
    <w:lvl w:ilvl="0" w:tplc="A24CC236">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0ECA0D0B"/>
    <w:multiLevelType w:val="hybridMultilevel"/>
    <w:tmpl w:val="9B36D16A"/>
    <w:lvl w:ilvl="0" w:tplc="CFAEEA4A">
      <w:start w:val="1"/>
      <w:numFmt w:val="low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3B7C4233"/>
    <w:multiLevelType w:val="multilevel"/>
    <w:tmpl w:val="60A05F5C"/>
    <w:lvl w:ilvl="0">
      <w:start w:val="2"/>
      <w:numFmt w:val="upperRoman"/>
      <w:lvlText w:val="%1."/>
      <w:lvlJc w:val="right"/>
      <w:pPr>
        <w:ind w:left="1067" w:hanging="360"/>
      </w:pPr>
      <w:rPr>
        <w:rFonts w:hint="default"/>
        <w:color w:val="262626" w:themeColor="text1" w:themeTint="D9"/>
        <w:sz w:val="21"/>
        <w:szCs w:val="21"/>
      </w:rPr>
    </w:lvl>
    <w:lvl w:ilvl="1">
      <w:start w:val="3"/>
      <w:numFmt w:val="decimal"/>
      <w:isLgl/>
      <w:lvlText w:val="%1.%2."/>
      <w:lvlJc w:val="left"/>
      <w:pPr>
        <w:ind w:left="720" w:hanging="720"/>
      </w:pPr>
      <w:rPr>
        <w:rFonts w:hint="default"/>
      </w:rPr>
    </w:lvl>
    <w:lvl w:ilvl="2">
      <w:start w:val="1"/>
      <w:numFmt w:val="decimal"/>
      <w:isLgl/>
      <w:lvlText w:val="%1.%2.%3."/>
      <w:lvlJc w:val="left"/>
      <w:pPr>
        <w:ind w:left="1427" w:hanging="720"/>
      </w:pPr>
      <w:rPr>
        <w:rFonts w:hint="default"/>
      </w:rPr>
    </w:lvl>
    <w:lvl w:ilvl="3">
      <w:start w:val="1"/>
      <w:numFmt w:val="decimal"/>
      <w:isLgl/>
      <w:lvlText w:val="%1.%2.%3.%4."/>
      <w:lvlJc w:val="left"/>
      <w:pPr>
        <w:ind w:left="1787" w:hanging="1080"/>
      </w:pPr>
      <w:rPr>
        <w:rFonts w:hint="default"/>
      </w:rPr>
    </w:lvl>
    <w:lvl w:ilvl="4">
      <w:start w:val="1"/>
      <w:numFmt w:val="decimal"/>
      <w:isLgl/>
      <w:lvlText w:val="%1.%2.%3.%4.%5."/>
      <w:lvlJc w:val="left"/>
      <w:pPr>
        <w:ind w:left="1787" w:hanging="1080"/>
      </w:pPr>
      <w:rPr>
        <w:rFonts w:hint="default"/>
      </w:rPr>
    </w:lvl>
    <w:lvl w:ilvl="5">
      <w:start w:val="1"/>
      <w:numFmt w:val="decimal"/>
      <w:isLgl/>
      <w:lvlText w:val="%1.%2.%3.%4.%5.%6."/>
      <w:lvlJc w:val="left"/>
      <w:pPr>
        <w:ind w:left="2147" w:hanging="1440"/>
      </w:pPr>
      <w:rPr>
        <w:rFonts w:hint="default"/>
      </w:rPr>
    </w:lvl>
    <w:lvl w:ilvl="6">
      <w:start w:val="1"/>
      <w:numFmt w:val="decimal"/>
      <w:isLgl/>
      <w:lvlText w:val="%1.%2.%3.%4.%5.%6.%7."/>
      <w:lvlJc w:val="left"/>
      <w:pPr>
        <w:ind w:left="2147" w:hanging="1440"/>
      </w:pPr>
      <w:rPr>
        <w:rFonts w:hint="default"/>
      </w:rPr>
    </w:lvl>
    <w:lvl w:ilvl="7">
      <w:start w:val="1"/>
      <w:numFmt w:val="decimal"/>
      <w:isLgl/>
      <w:lvlText w:val="%1.%2.%3.%4.%5.%6.%7.%8."/>
      <w:lvlJc w:val="left"/>
      <w:pPr>
        <w:ind w:left="2507" w:hanging="1800"/>
      </w:pPr>
      <w:rPr>
        <w:rFonts w:hint="default"/>
      </w:rPr>
    </w:lvl>
    <w:lvl w:ilvl="8">
      <w:start w:val="1"/>
      <w:numFmt w:val="decimal"/>
      <w:isLgl/>
      <w:lvlText w:val="%1.%2.%3.%4.%5.%6.%7.%8.%9."/>
      <w:lvlJc w:val="left"/>
      <w:pPr>
        <w:ind w:left="2507" w:hanging="1800"/>
      </w:pPr>
      <w:rPr>
        <w:rFonts w:hint="default"/>
      </w:rPr>
    </w:lvl>
  </w:abstractNum>
  <w:abstractNum w:abstractNumId="4" w15:restartNumberingAfterBreak="0">
    <w:nsid w:val="3ECA0A6E"/>
    <w:multiLevelType w:val="multilevel"/>
    <w:tmpl w:val="E68E61D6"/>
    <w:lvl w:ilvl="0">
      <w:start w:val="2"/>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1AF1BC7"/>
    <w:multiLevelType w:val="hybridMultilevel"/>
    <w:tmpl w:val="F9B4296C"/>
    <w:lvl w:ilvl="0" w:tplc="0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8068A8"/>
    <w:multiLevelType w:val="hybridMultilevel"/>
    <w:tmpl w:val="B308C2F4"/>
    <w:lvl w:ilvl="0" w:tplc="A4889B9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5796B77"/>
    <w:multiLevelType w:val="hybridMultilevel"/>
    <w:tmpl w:val="C3C2806E"/>
    <w:lvl w:ilvl="0" w:tplc="852208B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6C94B5D"/>
    <w:multiLevelType w:val="multilevel"/>
    <w:tmpl w:val="ECDAF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63010D"/>
    <w:multiLevelType w:val="hybridMultilevel"/>
    <w:tmpl w:val="3D0C7AA0"/>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55EA2989"/>
    <w:multiLevelType w:val="hybridMultilevel"/>
    <w:tmpl w:val="AF48CE06"/>
    <w:lvl w:ilvl="0" w:tplc="72BAB26C">
      <w:start w:val="1"/>
      <w:numFmt w:val="lowerRoman"/>
      <w:lvlText w:val="%1)"/>
      <w:lvlJc w:val="left"/>
      <w:pPr>
        <w:ind w:left="1080" w:hanging="720"/>
      </w:pPr>
      <w:rPr>
        <w:rFonts w:ascii="Arial" w:eastAsia="Calibri" w:hAnsi="Arial" w:cs="Arial"/>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D7A51E5"/>
    <w:multiLevelType w:val="hybridMultilevel"/>
    <w:tmpl w:val="AF48CE06"/>
    <w:lvl w:ilvl="0" w:tplc="72BAB26C">
      <w:start w:val="1"/>
      <w:numFmt w:val="lowerRoman"/>
      <w:lvlText w:val="%1)"/>
      <w:lvlJc w:val="left"/>
      <w:pPr>
        <w:ind w:left="1080" w:hanging="720"/>
      </w:pPr>
      <w:rPr>
        <w:rFonts w:ascii="Arial" w:eastAsia="Calibri" w:hAnsi="Arial" w:cs="Arial"/>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0090DB1"/>
    <w:multiLevelType w:val="hybridMultilevel"/>
    <w:tmpl w:val="078E2E72"/>
    <w:lvl w:ilvl="0" w:tplc="30687C90">
      <w:start w:val="1"/>
      <w:numFmt w:val="lowerRoman"/>
      <w:lvlText w:val="%1)"/>
      <w:lvlJc w:val="left"/>
      <w:pPr>
        <w:ind w:left="1427" w:hanging="720"/>
      </w:pPr>
      <w:rPr>
        <w:rFonts w:hint="default"/>
      </w:rPr>
    </w:lvl>
    <w:lvl w:ilvl="1" w:tplc="080A0019" w:tentative="1">
      <w:start w:val="1"/>
      <w:numFmt w:val="lowerLetter"/>
      <w:lvlText w:val="%2."/>
      <w:lvlJc w:val="left"/>
      <w:pPr>
        <w:ind w:left="1787" w:hanging="360"/>
      </w:pPr>
    </w:lvl>
    <w:lvl w:ilvl="2" w:tplc="080A001B" w:tentative="1">
      <w:start w:val="1"/>
      <w:numFmt w:val="lowerRoman"/>
      <w:lvlText w:val="%3."/>
      <w:lvlJc w:val="right"/>
      <w:pPr>
        <w:ind w:left="2507" w:hanging="180"/>
      </w:pPr>
    </w:lvl>
    <w:lvl w:ilvl="3" w:tplc="080A000F" w:tentative="1">
      <w:start w:val="1"/>
      <w:numFmt w:val="decimal"/>
      <w:lvlText w:val="%4."/>
      <w:lvlJc w:val="left"/>
      <w:pPr>
        <w:ind w:left="3227" w:hanging="360"/>
      </w:pPr>
    </w:lvl>
    <w:lvl w:ilvl="4" w:tplc="080A0019" w:tentative="1">
      <w:start w:val="1"/>
      <w:numFmt w:val="lowerLetter"/>
      <w:lvlText w:val="%5."/>
      <w:lvlJc w:val="left"/>
      <w:pPr>
        <w:ind w:left="3947" w:hanging="360"/>
      </w:pPr>
    </w:lvl>
    <w:lvl w:ilvl="5" w:tplc="080A001B" w:tentative="1">
      <w:start w:val="1"/>
      <w:numFmt w:val="lowerRoman"/>
      <w:lvlText w:val="%6."/>
      <w:lvlJc w:val="right"/>
      <w:pPr>
        <w:ind w:left="4667" w:hanging="180"/>
      </w:pPr>
    </w:lvl>
    <w:lvl w:ilvl="6" w:tplc="080A000F" w:tentative="1">
      <w:start w:val="1"/>
      <w:numFmt w:val="decimal"/>
      <w:lvlText w:val="%7."/>
      <w:lvlJc w:val="left"/>
      <w:pPr>
        <w:ind w:left="5387" w:hanging="360"/>
      </w:pPr>
    </w:lvl>
    <w:lvl w:ilvl="7" w:tplc="080A0019" w:tentative="1">
      <w:start w:val="1"/>
      <w:numFmt w:val="lowerLetter"/>
      <w:lvlText w:val="%8."/>
      <w:lvlJc w:val="left"/>
      <w:pPr>
        <w:ind w:left="6107" w:hanging="360"/>
      </w:pPr>
    </w:lvl>
    <w:lvl w:ilvl="8" w:tplc="080A001B" w:tentative="1">
      <w:start w:val="1"/>
      <w:numFmt w:val="lowerRoman"/>
      <w:lvlText w:val="%9."/>
      <w:lvlJc w:val="right"/>
      <w:pPr>
        <w:ind w:left="6827" w:hanging="180"/>
      </w:pPr>
    </w:lvl>
  </w:abstractNum>
  <w:abstractNum w:abstractNumId="14" w15:restartNumberingAfterBreak="0">
    <w:nsid w:val="67032B02"/>
    <w:multiLevelType w:val="hybridMultilevel"/>
    <w:tmpl w:val="593E172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 w15:restartNumberingAfterBreak="0">
    <w:nsid w:val="6B41602F"/>
    <w:multiLevelType w:val="hybridMultilevel"/>
    <w:tmpl w:val="3BDE0786"/>
    <w:lvl w:ilvl="0" w:tplc="4956E6F8">
      <w:start w:val="1"/>
      <w:numFmt w:val="lowerRoman"/>
      <w:lvlText w:val="%1)"/>
      <w:lvlJc w:val="left"/>
      <w:pPr>
        <w:ind w:left="780" w:hanging="720"/>
      </w:pPr>
      <w:rPr>
        <w:rFonts w:eastAsia="Calibri" w:hint="default"/>
        <w:color w:val="000000" w:themeColor="text1"/>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6"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7" w15:restartNumberingAfterBreak="0">
    <w:nsid w:val="7FF76964"/>
    <w:multiLevelType w:val="hybridMultilevel"/>
    <w:tmpl w:val="1F4E4736"/>
    <w:lvl w:ilvl="0" w:tplc="1004B138">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2"/>
  </w:num>
  <w:num w:numId="5">
    <w:abstractNumId w:val="11"/>
  </w:num>
  <w:num w:numId="6">
    <w:abstractNumId w:val="15"/>
  </w:num>
  <w:num w:numId="7">
    <w:abstractNumId w:val="6"/>
  </w:num>
  <w:num w:numId="8">
    <w:abstractNumId w:val="4"/>
  </w:num>
  <w:num w:numId="9">
    <w:abstractNumId w:val="1"/>
  </w:num>
  <w:num w:numId="10">
    <w:abstractNumId w:val="8"/>
  </w:num>
  <w:num w:numId="11">
    <w:abstractNumId w:val="10"/>
  </w:num>
  <w:num w:numId="12">
    <w:abstractNumId w:val="14"/>
  </w:num>
  <w:num w:numId="13">
    <w:abstractNumId w:val="13"/>
  </w:num>
  <w:num w:numId="14">
    <w:abstractNumId w:val="9"/>
  </w:num>
  <w:num w:numId="15">
    <w:abstractNumId w:val="17"/>
  </w:num>
  <w:num w:numId="16">
    <w:abstractNumId w:val="12"/>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CEA"/>
    <w:rsid w:val="00001B57"/>
    <w:rsid w:val="00005144"/>
    <w:rsid w:val="00006860"/>
    <w:rsid w:val="000116D4"/>
    <w:rsid w:val="00011C11"/>
    <w:rsid w:val="00015425"/>
    <w:rsid w:val="00026C88"/>
    <w:rsid w:val="0003267E"/>
    <w:rsid w:val="000656E8"/>
    <w:rsid w:val="00072333"/>
    <w:rsid w:val="000755E1"/>
    <w:rsid w:val="0008465D"/>
    <w:rsid w:val="00086053"/>
    <w:rsid w:val="00094B59"/>
    <w:rsid w:val="000A5E3D"/>
    <w:rsid w:val="000A615D"/>
    <w:rsid w:val="000A787A"/>
    <w:rsid w:val="000B25FC"/>
    <w:rsid w:val="000B3835"/>
    <w:rsid w:val="000B627E"/>
    <w:rsid w:val="000B6A48"/>
    <w:rsid w:val="000C6E00"/>
    <w:rsid w:val="000C7645"/>
    <w:rsid w:val="000D7F51"/>
    <w:rsid w:val="000F1A28"/>
    <w:rsid w:val="00112852"/>
    <w:rsid w:val="0011553A"/>
    <w:rsid w:val="00116190"/>
    <w:rsid w:val="001177A4"/>
    <w:rsid w:val="00120437"/>
    <w:rsid w:val="001254A3"/>
    <w:rsid w:val="00126E39"/>
    <w:rsid w:val="00135CEA"/>
    <w:rsid w:val="001478A6"/>
    <w:rsid w:val="0015117A"/>
    <w:rsid w:val="00152B28"/>
    <w:rsid w:val="001561B2"/>
    <w:rsid w:val="00161966"/>
    <w:rsid w:val="00177D17"/>
    <w:rsid w:val="00182F8C"/>
    <w:rsid w:val="001900DE"/>
    <w:rsid w:val="0019191F"/>
    <w:rsid w:val="00193A3D"/>
    <w:rsid w:val="00195596"/>
    <w:rsid w:val="0019728C"/>
    <w:rsid w:val="00197A62"/>
    <w:rsid w:val="001B1773"/>
    <w:rsid w:val="001E2319"/>
    <w:rsid w:val="001E2E1C"/>
    <w:rsid w:val="001E6B84"/>
    <w:rsid w:val="001E6EA0"/>
    <w:rsid w:val="001F2332"/>
    <w:rsid w:val="001F5D6E"/>
    <w:rsid w:val="00201DB9"/>
    <w:rsid w:val="00202668"/>
    <w:rsid w:val="002057A4"/>
    <w:rsid w:val="00214AAC"/>
    <w:rsid w:val="00214E9F"/>
    <w:rsid w:val="00216826"/>
    <w:rsid w:val="00222032"/>
    <w:rsid w:val="00223F65"/>
    <w:rsid w:val="002336A5"/>
    <w:rsid w:val="00235E08"/>
    <w:rsid w:val="00242621"/>
    <w:rsid w:val="00252EB4"/>
    <w:rsid w:val="00256784"/>
    <w:rsid w:val="00256962"/>
    <w:rsid w:val="00262DCF"/>
    <w:rsid w:val="00263999"/>
    <w:rsid w:val="0026403F"/>
    <w:rsid w:val="002641CE"/>
    <w:rsid w:val="00265A2D"/>
    <w:rsid w:val="002663A9"/>
    <w:rsid w:val="0026761A"/>
    <w:rsid w:val="002676B8"/>
    <w:rsid w:val="0027480E"/>
    <w:rsid w:val="002762D1"/>
    <w:rsid w:val="00282CC0"/>
    <w:rsid w:val="00282D3F"/>
    <w:rsid w:val="00286B8C"/>
    <w:rsid w:val="00287477"/>
    <w:rsid w:val="002916DF"/>
    <w:rsid w:val="002A5C76"/>
    <w:rsid w:val="002A75EC"/>
    <w:rsid w:val="002B0FCE"/>
    <w:rsid w:val="002B19F5"/>
    <w:rsid w:val="002B2742"/>
    <w:rsid w:val="002C1171"/>
    <w:rsid w:val="002C5401"/>
    <w:rsid w:val="002E0303"/>
    <w:rsid w:val="002E4380"/>
    <w:rsid w:val="002E49B3"/>
    <w:rsid w:val="002F0E3F"/>
    <w:rsid w:val="002F1597"/>
    <w:rsid w:val="002F7E1E"/>
    <w:rsid w:val="00300B5B"/>
    <w:rsid w:val="00304C2D"/>
    <w:rsid w:val="0031456F"/>
    <w:rsid w:val="003233A2"/>
    <w:rsid w:val="003239DF"/>
    <w:rsid w:val="00324FA5"/>
    <w:rsid w:val="00332594"/>
    <w:rsid w:val="00336AC6"/>
    <w:rsid w:val="00337876"/>
    <w:rsid w:val="00337BD5"/>
    <w:rsid w:val="00343942"/>
    <w:rsid w:val="0034413B"/>
    <w:rsid w:val="00345D8E"/>
    <w:rsid w:val="00345FBC"/>
    <w:rsid w:val="00353024"/>
    <w:rsid w:val="00353092"/>
    <w:rsid w:val="003554A4"/>
    <w:rsid w:val="0035732E"/>
    <w:rsid w:val="00365758"/>
    <w:rsid w:val="00365D3A"/>
    <w:rsid w:val="0037075E"/>
    <w:rsid w:val="0037178A"/>
    <w:rsid w:val="003737DB"/>
    <w:rsid w:val="00373F13"/>
    <w:rsid w:val="00374E97"/>
    <w:rsid w:val="00380F1A"/>
    <w:rsid w:val="00384FE5"/>
    <w:rsid w:val="00387886"/>
    <w:rsid w:val="00391044"/>
    <w:rsid w:val="0039206A"/>
    <w:rsid w:val="00392411"/>
    <w:rsid w:val="00397000"/>
    <w:rsid w:val="00397FDF"/>
    <w:rsid w:val="003A5C98"/>
    <w:rsid w:val="003B2BEE"/>
    <w:rsid w:val="003B7F22"/>
    <w:rsid w:val="003B7F5F"/>
    <w:rsid w:val="003C1F96"/>
    <w:rsid w:val="003C5DD6"/>
    <w:rsid w:val="003C7636"/>
    <w:rsid w:val="003D09BA"/>
    <w:rsid w:val="003D123C"/>
    <w:rsid w:val="003D22F3"/>
    <w:rsid w:val="003E00F2"/>
    <w:rsid w:val="003E248F"/>
    <w:rsid w:val="003E3E01"/>
    <w:rsid w:val="003E77A8"/>
    <w:rsid w:val="003F0706"/>
    <w:rsid w:val="003F461C"/>
    <w:rsid w:val="003F7FB1"/>
    <w:rsid w:val="00403054"/>
    <w:rsid w:val="004053CD"/>
    <w:rsid w:val="00406687"/>
    <w:rsid w:val="0041470E"/>
    <w:rsid w:val="00415C7B"/>
    <w:rsid w:val="00416435"/>
    <w:rsid w:val="004164FC"/>
    <w:rsid w:val="00420492"/>
    <w:rsid w:val="00425386"/>
    <w:rsid w:val="00437FA5"/>
    <w:rsid w:val="00445D68"/>
    <w:rsid w:val="004501E2"/>
    <w:rsid w:val="00454997"/>
    <w:rsid w:val="00457367"/>
    <w:rsid w:val="004638FB"/>
    <w:rsid w:val="004710AE"/>
    <w:rsid w:val="00473C12"/>
    <w:rsid w:val="00475DD2"/>
    <w:rsid w:val="00476147"/>
    <w:rsid w:val="004762E0"/>
    <w:rsid w:val="00476544"/>
    <w:rsid w:val="0048044A"/>
    <w:rsid w:val="0048469A"/>
    <w:rsid w:val="004853AF"/>
    <w:rsid w:val="004903B7"/>
    <w:rsid w:val="00491FEA"/>
    <w:rsid w:val="00494F73"/>
    <w:rsid w:val="004B3968"/>
    <w:rsid w:val="004C5D05"/>
    <w:rsid w:val="004C6ABD"/>
    <w:rsid w:val="004D7DE2"/>
    <w:rsid w:val="004E4A1E"/>
    <w:rsid w:val="004E7410"/>
    <w:rsid w:val="004F04A7"/>
    <w:rsid w:val="004F2E83"/>
    <w:rsid w:val="00502061"/>
    <w:rsid w:val="00503512"/>
    <w:rsid w:val="00521FC6"/>
    <w:rsid w:val="00524B49"/>
    <w:rsid w:val="005303D7"/>
    <w:rsid w:val="00531E6B"/>
    <w:rsid w:val="0053247F"/>
    <w:rsid w:val="005342DB"/>
    <w:rsid w:val="00547A9E"/>
    <w:rsid w:val="0055029E"/>
    <w:rsid w:val="00554D93"/>
    <w:rsid w:val="0055693F"/>
    <w:rsid w:val="00563519"/>
    <w:rsid w:val="005668C1"/>
    <w:rsid w:val="0057168B"/>
    <w:rsid w:val="00572216"/>
    <w:rsid w:val="00577D3B"/>
    <w:rsid w:val="00587130"/>
    <w:rsid w:val="00591EB1"/>
    <w:rsid w:val="005A5EFD"/>
    <w:rsid w:val="005B056E"/>
    <w:rsid w:val="005B14A6"/>
    <w:rsid w:val="005B76C7"/>
    <w:rsid w:val="005C2970"/>
    <w:rsid w:val="005C59AD"/>
    <w:rsid w:val="005D2D71"/>
    <w:rsid w:val="005D46D0"/>
    <w:rsid w:val="005D4FC8"/>
    <w:rsid w:val="005E481C"/>
    <w:rsid w:val="005E66B0"/>
    <w:rsid w:val="005F04B8"/>
    <w:rsid w:val="005F0E5D"/>
    <w:rsid w:val="005F1D9D"/>
    <w:rsid w:val="00606451"/>
    <w:rsid w:val="006065A9"/>
    <w:rsid w:val="00611B99"/>
    <w:rsid w:val="0061648F"/>
    <w:rsid w:val="00623378"/>
    <w:rsid w:val="0063204C"/>
    <w:rsid w:val="0063580F"/>
    <w:rsid w:val="00644800"/>
    <w:rsid w:val="00662701"/>
    <w:rsid w:val="006663C2"/>
    <w:rsid w:val="00667FCB"/>
    <w:rsid w:val="006717BA"/>
    <w:rsid w:val="00673759"/>
    <w:rsid w:val="00674CE3"/>
    <w:rsid w:val="006757CA"/>
    <w:rsid w:val="00676D9E"/>
    <w:rsid w:val="006817BD"/>
    <w:rsid w:val="00687BDD"/>
    <w:rsid w:val="00695B76"/>
    <w:rsid w:val="006A5502"/>
    <w:rsid w:val="006B04C0"/>
    <w:rsid w:val="006B299E"/>
    <w:rsid w:val="006B5B79"/>
    <w:rsid w:val="006C0EA1"/>
    <w:rsid w:val="006C6FF2"/>
    <w:rsid w:val="006D2C01"/>
    <w:rsid w:val="006D3DBD"/>
    <w:rsid w:val="006D64B1"/>
    <w:rsid w:val="006E75EC"/>
    <w:rsid w:val="006F03C7"/>
    <w:rsid w:val="006F4E2E"/>
    <w:rsid w:val="006F61DB"/>
    <w:rsid w:val="00703E5A"/>
    <w:rsid w:val="00705A56"/>
    <w:rsid w:val="007118B2"/>
    <w:rsid w:val="0072221E"/>
    <w:rsid w:val="00722764"/>
    <w:rsid w:val="00725A00"/>
    <w:rsid w:val="007308F7"/>
    <w:rsid w:val="00745302"/>
    <w:rsid w:val="00754032"/>
    <w:rsid w:val="00756FD9"/>
    <w:rsid w:val="007675C8"/>
    <w:rsid w:val="00773948"/>
    <w:rsid w:val="00776374"/>
    <w:rsid w:val="007820EF"/>
    <w:rsid w:val="00783EBD"/>
    <w:rsid w:val="00784FEF"/>
    <w:rsid w:val="00792C7A"/>
    <w:rsid w:val="007A0123"/>
    <w:rsid w:val="007A4AE6"/>
    <w:rsid w:val="007B12F6"/>
    <w:rsid w:val="007B1D87"/>
    <w:rsid w:val="007B2580"/>
    <w:rsid w:val="007C574A"/>
    <w:rsid w:val="007C5E25"/>
    <w:rsid w:val="007E42BC"/>
    <w:rsid w:val="007E5394"/>
    <w:rsid w:val="007F06B3"/>
    <w:rsid w:val="007F1895"/>
    <w:rsid w:val="007F304E"/>
    <w:rsid w:val="007F7A62"/>
    <w:rsid w:val="007F7C03"/>
    <w:rsid w:val="00801533"/>
    <w:rsid w:val="00802F76"/>
    <w:rsid w:val="0081181F"/>
    <w:rsid w:val="00811D01"/>
    <w:rsid w:val="00820F88"/>
    <w:rsid w:val="00827A2A"/>
    <w:rsid w:val="008312A3"/>
    <w:rsid w:val="00833D8C"/>
    <w:rsid w:val="00843442"/>
    <w:rsid w:val="00847BA2"/>
    <w:rsid w:val="0085230B"/>
    <w:rsid w:val="00861714"/>
    <w:rsid w:val="00862027"/>
    <w:rsid w:val="008703A5"/>
    <w:rsid w:val="00875F7C"/>
    <w:rsid w:val="00880110"/>
    <w:rsid w:val="008855C4"/>
    <w:rsid w:val="008873A3"/>
    <w:rsid w:val="0089387F"/>
    <w:rsid w:val="008959DE"/>
    <w:rsid w:val="00895DA7"/>
    <w:rsid w:val="00897109"/>
    <w:rsid w:val="008A3B3A"/>
    <w:rsid w:val="008A51D3"/>
    <w:rsid w:val="008A7D2C"/>
    <w:rsid w:val="008B52AD"/>
    <w:rsid w:val="008C3F91"/>
    <w:rsid w:val="008C425C"/>
    <w:rsid w:val="008C5B45"/>
    <w:rsid w:val="008F5345"/>
    <w:rsid w:val="008F6437"/>
    <w:rsid w:val="009001A7"/>
    <w:rsid w:val="00905E0B"/>
    <w:rsid w:val="00912F8B"/>
    <w:rsid w:val="00920B53"/>
    <w:rsid w:val="0093085B"/>
    <w:rsid w:val="00930FAE"/>
    <w:rsid w:val="009332FC"/>
    <w:rsid w:val="00956ABA"/>
    <w:rsid w:val="00960FD1"/>
    <w:rsid w:val="00965D7F"/>
    <w:rsid w:val="00973FF7"/>
    <w:rsid w:val="0098230F"/>
    <w:rsid w:val="00990D53"/>
    <w:rsid w:val="009A3A2B"/>
    <w:rsid w:val="009A6A37"/>
    <w:rsid w:val="009B586F"/>
    <w:rsid w:val="009D5279"/>
    <w:rsid w:val="009D7A61"/>
    <w:rsid w:val="009E36A9"/>
    <w:rsid w:val="009E52BF"/>
    <w:rsid w:val="009F1B3C"/>
    <w:rsid w:val="009F1BB8"/>
    <w:rsid w:val="009F3352"/>
    <w:rsid w:val="00A00F82"/>
    <w:rsid w:val="00A012BF"/>
    <w:rsid w:val="00A21E65"/>
    <w:rsid w:val="00A335C2"/>
    <w:rsid w:val="00A35546"/>
    <w:rsid w:val="00A4084D"/>
    <w:rsid w:val="00A4095E"/>
    <w:rsid w:val="00A40CE5"/>
    <w:rsid w:val="00A4457D"/>
    <w:rsid w:val="00A47BC0"/>
    <w:rsid w:val="00A5027F"/>
    <w:rsid w:val="00A5157B"/>
    <w:rsid w:val="00A51E80"/>
    <w:rsid w:val="00A5202C"/>
    <w:rsid w:val="00A53195"/>
    <w:rsid w:val="00A64DE1"/>
    <w:rsid w:val="00A71CEA"/>
    <w:rsid w:val="00A744D9"/>
    <w:rsid w:val="00A80425"/>
    <w:rsid w:val="00A860DE"/>
    <w:rsid w:val="00A9164B"/>
    <w:rsid w:val="00AA2D55"/>
    <w:rsid w:val="00AA5749"/>
    <w:rsid w:val="00AB0071"/>
    <w:rsid w:val="00AB3B0A"/>
    <w:rsid w:val="00AB5F17"/>
    <w:rsid w:val="00AB6125"/>
    <w:rsid w:val="00AB6245"/>
    <w:rsid w:val="00AC2212"/>
    <w:rsid w:val="00AC44CB"/>
    <w:rsid w:val="00AC7423"/>
    <w:rsid w:val="00AC7AE5"/>
    <w:rsid w:val="00AD4216"/>
    <w:rsid w:val="00AE35EA"/>
    <w:rsid w:val="00AF0F4E"/>
    <w:rsid w:val="00B02D49"/>
    <w:rsid w:val="00B06567"/>
    <w:rsid w:val="00B12F0E"/>
    <w:rsid w:val="00B201A7"/>
    <w:rsid w:val="00B213D0"/>
    <w:rsid w:val="00B21E6E"/>
    <w:rsid w:val="00B2523E"/>
    <w:rsid w:val="00B3003B"/>
    <w:rsid w:val="00B315E0"/>
    <w:rsid w:val="00B31C5C"/>
    <w:rsid w:val="00B33E20"/>
    <w:rsid w:val="00B41D0A"/>
    <w:rsid w:val="00B43119"/>
    <w:rsid w:val="00B432EB"/>
    <w:rsid w:val="00B4436B"/>
    <w:rsid w:val="00B50B9E"/>
    <w:rsid w:val="00B52EF4"/>
    <w:rsid w:val="00B55679"/>
    <w:rsid w:val="00B5768A"/>
    <w:rsid w:val="00B612E6"/>
    <w:rsid w:val="00B6131E"/>
    <w:rsid w:val="00B651A5"/>
    <w:rsid w:val="00B7045A"/>
    <w:rsid w:val="00B70800"/>
    <w:rsid w:val="00B71711"/>
    <w:rsid w:val="00B72A12"/>
    <w:rsid w:val="00B72FB5"/>
    <w:rsid w:val="00B81F3F"/>
    <w:rsid w:val="00B8750D"/>
    <w:rsid w:val="00B8757F"/>
    <w:rsid w:val="00B878A9"/>
    <w:rsid w:val="00B913DC"/>
    <w:rsid w:val="00B933DD"/>
    <w:rsid w:val="00B937CA"/>
    <w:rsid w:val="00B950AF"/>
    <w:rsid w:val="00B96688"/>
    <w:rsid w:val="00BA084A"/>
    <w:rsid w:val="00BA0BD7"/>
    <w:rsid w:val="00BA3355"/>
    <w:rsid w:val="00BA3C72"/>
    <w:rsid w:val="00BA55C6"/>
    <w:rsid w:val="00BA75D3"/>
    <w:rsid w:val="00BA772C"/>
    <w:rsid w:val="00BA7F22"/>
    <w:rsid w:val="00BB05AC"/>
    <w:rsid w:val="00BB0D17"/>
    <w:rsid w:val="00BB242C"/>
    <w:rsid w:val="00BB32FE"/>
    <w:rsid w:val="00BB51F3"/>
    <w:rsid w:val="00BC0FB8"/>
    <w:rsid w:val="00BC1F98"/>
    <w:rsid w:val="00BC3923"/>
    <w:rsid w:val="00BC69AA"/>
    <w:rsid w:val="00BD1EE6"/>
    <w:rsid w:val="00BD2356"/>
    <w:rsid w:val="00BE51B6"/>
    <w:rsid w:val="00BF18D6"/>
    <w:rsid w:val="00BF6DF4"/>
    <w:rsid w:val="00BF7CAF"/>
    <w:rsid w:val="00C014D3"/>
    <w:rsid w:val="00C1196F"/>
    <w:rsid w:val="00C12881"/>
    <w:rsid w:val="00C12E90"/>
    <w:rsid w:val="00C15D6A"/>
    <w:rsid w:val="00C33A69"/>
    <w:rsid w:val="00C33B62"/>
    <w:rsid w:val="00C35FD1"/>
    <w:rsid w:val="00C47C47"/>
    <w:rsid w:val="00C54211"/>
    <w:rsid w:val="00C634E7"/>
    <w:rsid w:val="00C635D5"/>
    <w:rsid w:val="00C63CEA"/>
    <w:rsid w:val="00C64494"/>
    <w:rsid w:val="00C71ACE"/>
    <w:rsid w:val="00C72B17"/>
    <w:rsid w:val="00C74E58"/>
    <w:rsid w:val="00C87984"/>
    <w:rsid w:val="00C87D18"/>
    <w:rsid w:val="00C9071B"/>
    <w:rsid w:val="00C9429E"/>
    <w:rsid w:val="00CA5136"/>
    <w:rsid w:val="00CA5B8C"/>
    <w:rsid w:val="00CB4806"/>
    <w:rsid w:val="00CB59D0"/>
    <w:rsid w:val="00CC0546"/>
    <w:rsid w:val="00CC5AFE"/>
    <w:rsid w:val="00CE1110"/>
    <w:rsid w:val="00D0119D"/>
    <w:rsid w:val="00D0122C"/>
    <w:rsid w:val="00D039FB"/>
    <w:rsid w:val="00D0617B"/>
    <w:rsid w:val="00D16B9C"/>
    <w:rsid w:val="00D2039F"/>
    <w:rsid w:val="00D2759D"/>
    <w:rsid w:val="00D361AE"/>
    <w:rsid w:val="00D53EC8"/>
    <w:rsid w:val="00D541F8"/>
    <w:rsid w:val="00D60108"/>
    <w:rsid w:val="00D61F57"/>
    <w:rsid w:val="00D65F67"/>
    <w:rsid w:val="00D6639F"/>
    <w:rsid w:val="00D7246A"/>
    <w:rsid w:val="00D750C2"/>
    <w:rsid w:val="00D76B34"/>
    <w:rsid w:val="00D77BB0"/>
    <w:rsid w:val="00D80564"/>
    <w:rsid w:val="00D811B8"/>
    <w:rsid w:val="00D83DF9"/>
    <w:rsid w:val="00D842C4"/>
    <w:rsid w:val="00D848EA"/>
    <w:rsid w:val="00D8492E"/>
    <w:rsid w:val="00D8736B"/>
    <w:rsid w:val="00D8778D"/>
    <w:rsid w:val="00DA0395"/>
    <w:rsid w:val="00DA2C5A"/>
    <w:rsid w:val="00DA352E"/>
    <w:rsid w:val="00DB0FC7"/>
    <w:rsid w:val="00DB63BB"/>
    <w:rsid w:val="00DC1D74"/>
    <w:rsid w:val="00DC56A7"/>
    <w:rsid w:val="00DC7A25"/>
    <w:rsid w:val="00DD0D94"/>
    <w:rsid w:val="00DD1733"/>
    <w:rsid w:val="00DD2F62"/>
    <w:rsid w:val="00DE2C4E"/>
    <w:rsid w:val="00DE48B6"/>
    <w:rsid w:val="00DE736C"/>
    <w:rsid w:val="00DE7F80"/>
    <w:rsid w:val="00DF2E9E"/>
    <w:rsid w:val="00E00128"/>
    <w:rsid w:val="00E02A6A"/>
    <w:rsid w:val="00E131F1"/>
    <w:rsid w:val="00E14492"/>
    <w:rsid w:val="00E20FDA"/>
    <w:rsid w:val="00E227C9"/>
    <w:rsid w:val="00E231C5"/>
    <w:rsid w:val="00E24DB2"/>
    <w:rsid w:val="00E32788"/>
    <w:rsid w:val="00E36E70"/>
    <w:rsid w:val="00E40846"/>
    <w:rsid w:val="00E46C4E"/>
    <w:rsid w:val="00E53D75"/>
    <w:rsid w:val="00E673A1"/>
    <w:rsid w:val="00E833FA"/>
    <w:rsid w:val="00E90F2C"/>
    <w:rsid w:val="00EA41E8"/>
    <w:rsid w:val="00EA513C"/>
    <w:rsid w:val="00EA64FE"/>
    <w:rsid w:val="00EB0CCF"/>
    <w:rsid w:val="00EB1E4A"/>
    <w:rsid w:val="00EB27BA"/>
    <w:rsid w:val="00EB5133"/>
    <w:rsid w:val="00EC07EF"/>
    <w:rsid w:val="00EC0B51"/>
    <w:rsid w:val="00EC1382"/>
    <w:rsid w:val="00EC1AC1"/>
    <w:rsid w:val="00EC433E"/>
    <w:rsid w:val="00EC4E42"/>
    <w:rsid w:val="00ED3195"/>
    <w:rsid w:val="00ED5EA1"/>
    <w:rsid w:val="00EE1FFB"/>
    <w:rsid w:val="00EE4BF2"/>
    <w:rsid w:val="00EE54C6"/>
    <w:rsid w:val="00EE66CC"/>
    <w:rsid w:val="00F0401C"/>
    <w:rsid w:val="00F053F3"/>
    <w:rsid w:val="00F063D3"/>
    <w:rsid w:val="00F06565"/>
    <w:rsid w:val="00F06C3B"/>
    <w:rsid w:val="00F10A2F"/>
    <w:rsid w:val="00F13BAE"/>
    <w:rsid w:val="00F3225B"/>
    <w:rsid w:val="00F34F98"/>
    <w:rsid w:val="00F3503E"/>
    <w:rsid w:val="00F361CD"/>
    <w:rsid w:val="00F3683B"/>
    <w:rsid w:val="00F40BB1"/>
    <w:rsid w:val="00F44B4C"/>
    <w:rsid w:val="00F51599"/>
    <w:rsid w:val="00F5219A"/>
    <w:rsid w:val="00F53CB0"/>
    <w:rsid w:val="00F55F52"/>
    <w:rsid w:val="00F66114"/>
    <w:rsid w:val="00F735A7"/>
    <w:rsid w:val="00F777FD"/>
    <w:rsid w:val="00F779BA"/>
    <w:rsid w:val="00F80877"/>
    <w:rsid w:val="00F8666F"/>
    <w:rsid w:val="00F909BB"/>
    <w:rsid w:val="00F96DEA"/>
    <w:rsid w:val="00FA20B7"/>
    <w:rsid w:val="00FA42DC"/>
    <w:rsid w:val="00FA4BCE"/>
    <w:rsid w:val="00FA4CC2"/>
    <w:rsid w:val="00FC46E7"/>
    <w:rsid w:val="00FD0147"/>
    <w:rsid w:val="00FD27D7"/>
    <w:rsid w:val="00FD3E77"/>
    <w:rsid w:val="00FD6D80"/>
    <w:rsid w:val="00FE11D0"/>
    <w:rsid w:val="00FE2E42"/>
    <w:rsid w:val="00FE7D6D"/>
    <w:rsid w:val="00FF0564"/>
    <w:rsid w:val="00FF0F91"/>
    <w:rsid w:val="00FF1F9E"/>
    <w:rsid w:val="00FF38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067A5"/>
  <w15:chartTrackingRefBased/>
  <w15:docId w15:val="{E97E14D6-0A90-404C-8C98-EB4AE606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599"/>
    <w:rPr>
      <w:rFonts w:ascii="Times New Roman" w:eastAsia="Times New Roman" w:hAnsi="Times New Roman" w:cs="Times New Roman"/>
      <w:lang w:eastAsia="es-MX"/>
    </w:rPr>
  </w:style>
  <w:style w:type="paragraph" w:styleId="Ttulo2">
    <w:name w:val="heading 2"/>
    <w:basedOn w:val="Normal"/>
    <w:link w:val="Ttulo2Car"/>
    <w:uiPriority w:val="9"/>
    <w:qFormat/>
    <w:rsid w:val="00F40BB1"/>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71CEA"/>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A71CEA"/>
    <w:rPr>
      <w:szCs w:val="22"/>
      <w:lang w:val="es-MX"/>
    </w:rPr>
  </w:style>
  <w:style w:type="paragraph" w:styleId="Encabezado">
    <w:name w:val="header"/>
    <w:basedOn w:val="Normal"/>
    <w:link w:val="EncabezadoCar"/>
    <w:uiPriority w:val="99"/>
    <w:unhideWhenUsed/>
    <w:rsid w:val="00A71CEA"/>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A71CEA"/>
    <w:rPr>
      <w:szCs w:val="22"/>
      <w:lang w:val="es-MX"/>
    </w:rPr>
  </w:style>
  <w:style w:type="table" w:styleId="Tablaconcuadrcula">
    <w:name w:val="Table Grid"/>
    <w:basedOn w:val="Tablanormal"/>
    <w:uiPriority w:val="39"/>
    <w:qFormat/>
    <w:rsid w:val="00A71C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A71CEA"/>
    <w:pPr>
      <w:ind w:left="720"/>
      <w:contextualSpacing/>
    </w:pPr>
    <w:rPr>
      <w:rFonts w:asciiTheme="minorHAnsi" w:eastAsiaTheme="minorHAnsi" w:hAnsiTheme="minorHAnsi" w:cstheme="minorBidi"/>
      <w:szCs w:val="22"/>
      <w:lang w:val="es-MX" w:eastAsia="en-US"/>
    </w:rPr>
  </w:style>
  <w:style w:type="paragraph" w:styleId="Sinespaciado">
    <w:name w:val="No Spacing"/>
    <w:aliases w:val="No Indent"/>
    <w:uiPriority w:val="3"/>
    <w:qFormat/>
    <w:rsid w:val="00A71CEA"/>
    <w:rPr>
      <w:szCs w:val="22"/>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A71CEA"/>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A71CEA"/>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A71CEA"/>
    <w:rPr>
      <w:rFonts w:ascii="Times New Roman" w:eastAsia="Times New Roman" w:hAnsi="Times New Roman" w:cs="Times New Roman"/>
      <w:sz w:val="20"/>
      <w:szCs w:val="20"/>
      <w:lang w:eastAsia="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1CEA"/>
    <w:rPr>
      <w:szCs w:val="22"/>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A71CEA"/>
    <w:rPr>
      <w:vertAlign w:val="superscript"/>
    </w:rPr>
  </w:style>
  <w:style w:type="paragraph" w:styleId="Textoindependiente">
    <w:name w:val="Body Text"/>
    <w:basedOn w:val="Normal"/>
    <w:link w:val="TextoindependienteCar"/>
    <w:uiPriority w:val="1"/>
    <w:qFormat/>
    <w:rsid w:val="00A71CEA"/>
    <w:pPr>
      <w:widowControl w:val="0"/>
      <w:autoSpaceDE w:val="0"/>
      <w:autoSpaceDN w:val="0"/>
    </w:pPr>
    <w:rPr>
      <w:rFonts w:ascii="Arial" w:eastAsia="Arial" w:hAnsi="Arial" w:cs="Arial"/>
      <w:sz w:val="20"/>
      <w:szCs w:val="20"/>
      <w:lang w:val="es-ES" w:eastAsia="en-US"/>
    </w:rPr>
  </w:style>
  <w:style w:type="character" w:customStyle="1" w:styleId="TextoindependienteCar">
    <w:name w:val="Texto independiente Car"/>
    <w:basedOn w:val="Fuentedeprrafopredeter"/>
    <w:link w:val="Textoindependiente"/>
    <w:uiPriority w:val="1"/>
    <w:rsid w:val="00A71CEA"/>
    <w:rPr>
      <w:rFonts w:ascii="Arial" w:eastAsia="Arial" w:hAnsi="Arial" w:cs="Arial"/>
      <w:sz w:val="20"/>
      <w:szCs w:val="20"/>
      <w:lang w:val="es-ES"/>
    </w:rPr>
  </w:style>
  <w:style w:type="paragraph" w:customStyle="1" w:styleId="Appelnotedebasde">
    <w:name w:val="Appel note de bas de..."/>
    <w:basedOn w:val="Normal"/>
    <w:link w:val="Refdenotaalpie"/>
    <w:uiPriority w:val="99"/>
    <w:rsid w:val="00A71CEA"/>
    <w:pPr>
      <w:spacing w:after="160" w:line="240" w:lineRule="exact"/>
    </w:pPr>
    <w:rPr>
      <w:rFonts w:asciiTheme="minorHAnsi" w:eastAsiaTheme="minorHAnsi" w:hAnsiTheme="minorHAnsi" w:cstheme="minorBidi"/>
      <w:vertAlign w:val="superscript"/>
      <w:lang w:eastAsia="en-US"/>
    </w:rPr>
  </w:style>
  <w:style w:type="character" w:customStyle="1" w:styleId="apple-converted-space">
    <w:name w:val="apple-converted-space"/>
    <w:basedOn w:val="Fuentedeprrafopredeter"/>
    <w:rsid w:val="00A71CEA"/>
  </w:style>
  <w:style w:type="paragraph" w:styleId="NormalWeb">
    <w:name w:val="Normal (Web)"/>
    <w:basedOn w:val="Normal"/>
    <w:link w:val="NormalWebCar"/>
    <w:uiPriority w:val="99"/>
    <w:unhideWhenUsed/>
    <w:rsid w:val="00524B49"/>
    <w:pPr>
      <w:spacing w:before="100" w:beforeAutospacing="1" w:after="100" w:afterAutospacing="1"/>
    </w:pPr>
  </w:style>
  <w:style w:type="character" w:styleId="Hipervnculo">
    <w:name w:val="Hyperlink"/>
    <w:basedOn w:val="Fuentedeprrafopredeter"/>
    <w:uiPriority w:val="99"/>
    <w:unhideWhenUsed/>
    <w:rsid w:val="00524B49"/>
    <w:rPr>
      <w:color w:val="0000FF"/>
      <w:u w:val="single"/>
    </w:rPr>
  </w:style>
  <w:style w:type="character" w:styleId="Hipervnculovisitado">
    <w:name w:val="FollowedHyperlink"/>
    <w:basedOn w:val="Fuentedeprrafopredeter"/>
    <w:uiPriority w:val="99"/>
    <w:semiHidden/>
    <w:unhideWhenUsed/>
    <w:rsid w:val="00524B49"/>
    <w:rPr>
      <w:color w:val="954F72" w:themeColor="followedHyperlink"/>
      <w:u w:val="single"/>
    </w:rPr>
  </w:style>
  <w:style w:type="character" w:customStyle="1" w:styleId="Ttulo2Car">
    <w:name w:val="Título 2 Car"/>
    <w:basedOn w:val="Fuentedeprrafopredeter"/>
    <w:link w:val="Ttulo2"/>
    <w:uiPriority w:val="9"/>
    <w:rsid w:val="00F40BB1"/>
    <w:rPr>
      <w:rFonts w:ascii="Times New Roman" w:eastAsia="Times New Roman" w:hAnsi="Times New Roman" w:cs="Times New Roman"/>
      <w:b/>
      <w:bCs/>
      <w:sz w:val="36"/>
      <w:szCs w:val="36"/>
      <w:lang w:eastAsia="es-MX"/>
    </w:rPr>
  </w:style>
  <w:style w:type="character" w:styleId="Textoennegrita">
    <w:name w:val="Strong"/>
    <w:basedOn w:val="Fuentedeprrafopredeter"/>
    <w:uiPriority w:val="22"/>
    <w:qFormat/>
    <w:rsid w:val="00F40BB1"/>
    <w:rPr>
      <w:b/>
      <w:bCs/>
    </w:rPr>
  </w:style>
  <w:style w:type="character" w:styleId="Refdecomentario">
    <w:name w:val="annotation reference"/>
    <w:basedOn w:val="Fuentedeprrafopredeter"/>
    <w:uiPriority w:val="99"/>
    <w:semiHidden/>
    <w:unhideWhenUsed/>
    <w:rsid w:val="00776374"/>
    <w:rPr>
      <w:sz w:val="16"/>
      <w:szCs w:val="16"/>
    </w:rPr>
  </w:style>
  <w:style w:type="paragraph" w:styleId="Textocomentario">
    <w:name w:val="annotation text"/>
    <w:basedOn w:val="Normal"/>
    <w:link w:val="TextocomentarioCar"/>
    <w:uiPriority w:val="99"/>
    <w:unhideWhenUsed/>
    <w:rsid w:val="00776374"/>
    <w:rPr>
      <w:sz w:val="20"/>
      <w:szCs w:val="20"/>
    </w:rPr>
  </w:style>
  <w:style w:type="character" w:customStyle="1" w:styleId="TextocomentarioCar">
    <w:name w:val="Texto comentario Car"/>
    <w:basedOn w:val="Fuentedeprrafopredeter"/>
    <w:link w:val="Textocomentario"/>
    <w:uiPriority w:val="99"/>
    <w:rsid w:val="00776374"/>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76374"/>
    <w:rPr>
      <w:b/>
      <w:bCs/>
    </w:rPr>
  </w:style>
  <w:style w:type="character" w:customStyle="1" w:styleId="AsuntodelcomentarioCar">
    <w:name w:val="Asunto del comentario Car"/>
    <w:basedOn w:val="TextocomentarioCar"/>
    <w:link w:val="Asuntodelcomentario"/>
    <w:uiPriority w:val="99"/>
    <w:semiHidden/>
    <w:rsid w:val="00776374"/>
    <w:rPr>
      <w:rFonts w:ascii="Times New Roman" w:eastAsia="Times New Roman" w:hAnsi="Times New Roman" w:cs="Times New Roman"/>
      <w:b/>
      <w:bCs/>
      <w:sz w:val="20"/>
      <w:szCs w:val="20"/>
      <w:lang w:eastAsia="es-MX"/>
    </w:rPr>
  </w:style>
  <w:style w:type="character" w:styleId="nfasis">
    <w:name w:val="Emphasis"/>
    <w:basedOn w:val="Fuentedeprrafopredeter"/>
    <w:uiPriority w:val="20"/>
    <w:qFormat/>
    <w:rsid w:val="00A012BF"/>
    <w:rPr>
      <w:i/>
      <w:iCs/>
    </w:rPr>
  </w:style>
  <w:style w:type="paragraph" w:styleId="Ttulo">
    <w:name w:val="Title"/>
    <w:aliases w:val="Cláusula 9"/>
    <w:basedOn w:val="Normal"/>
    <w:next w:val="Normal"/>
    <w:link w:val="TtuloCar"/>
    <w:uiPriority w:val="10"/>
    <w:qFormat/>
    <w:rsid w:val="00DD0D94"/>
    <w:pPr>
      <w:numPr>
        <w:numId w:val="3"/>
      </w:numPr>
      <w:spacing w:after="300"/>
      <w:contextualSpacing/>
      <w:jc w:val="both"/>
    </w:pPr>
    <w:rPr>
      <w:rFonts w:asciiTheme="majorHAnsi" w:eastAsiaTheme="majorEastAsia" w:hAnsiTheme="majorHAnsi" w:cstheme="majorBidi"/>
      <w:color w:val="AEAAAA" w:themeColor="background2" w:themeShade="BF"/>
      <w:spacing w:val="5"/>
      <w:kern w:val="28"/>
      <w:sz w:val="20"/>
      <w:szCs w:val="52"/>
      <w:lang w:val="es-MX" w:eastAsia="en-US"/>
    </w:rPr>
  </w:style>
  <w:style w:type="character" w:customStyle="1" w:styleId="TtuloCar">
    <w:name w:val="Título Car"/>
    <w:aliases w:val="Cláusula 9 Car"/>
    <w:basedOn w:val="Fuentedeprrafopredeter"/>
    <w:link w:val="Ttulo"/>
    <w:uiPriority w:val="10"/>
    <w:rsid w:val="00DD0D94"/>
    <w:rPr>
      <w:rFonts w:asciiTheme="majorHAnsi" w:eastAsiaTheme="majorEastAsia" w:hAnsiTheme="majorHAnsi" w:cstheme="majorBidi"/>
      <w:color w:val="AEAAAA" w:themeColor="background2" w:themeShade="BF"/>
      <w:spacing w:val="5"/>
      <w:kern w:val="28"/>
      <w:sz w:val="20"/>
      <w:szCs w:val="52"/>
      <w:lang w:val="es-MX"/>
    </w:rPr>
  </w:style>
  <w:style w:type="paragraph" w:customStyle="1" w:styleId="paragraph">
    <w:name w:val="paragraph"/>
    <w:basedOn w:val="Normal"/>
    <w:rsid w:val="00687BDD"/>
    <w:pPr>
      <w:spacing w:before="100" w:beforeAutospacing="1" w:after="100" w:afterAutospacing="1" w:line="276" w:lineRule="auto"/>
      <w:ind w:firstLine="709"/>
      <w:jc w:val="both"/>
    </w:pPr>
    <w:rPr>
      <w:lang w:eastAsia="es-ES_tradnl"/>
    </w:rPr>
  </w:style>
  <w:style w:type="character" w:customStyle="1" w:styleId="normaltextrun">
    <w:name w:val="normaltextrun"/>
    <w:basedOn w:val="Fuentedeprrafopredeter"/>
    <w:rsid w:val="00687BDD"/>
  </w:style>
  <w:style w:type="character" w:customStyle="1" w:styleId="eop">
    <w:name w:val="eop"/>
    <w:basedOn w:val="Fuentedeprrafopredeter"/>
    <w:rsid w:val="00687BDD"/>
  </w:style>
  <w:style w:type="character" w:styleId="Mencinsinresolver">
    <w:name w:val="Unresolved Mention"/>
    <w:basedOn w:val="Fuentedeprrafopredeter"/>
    <w:uiPriority w:val="99"/>
    <w:semiHidden/>
    <w:unhideWhenUsed/>
    <w:rsid w:val="00094B59"/>
    <w:rPr>
      <w:color w:val="605E5C"/>
      <w:shd w:val="clear" w:color="auto" w:fill="E1DFDD"/>
    </w:rPr>
  </w:style>
  <w:style w:type="character" w:customStyle="1" w:styleId="NormalWebCar">
    <w:name w:val="Normal (Web) Car"/>
    <w:link w:val="NormalWeb"/>
    <w:uiPriority w:val="99"/>
    <w:rsid w:val="00C33A69"/>
    <w:rPr>
      <w:rFonts w:ascii="Times New Roman" w:eastAsia="Times New Roman" w:hAnsi="Times New Roman" w:cs="Times New Roman"/>
      <w:lang w:eastAsia="es-MX"/>
    </w:rPr>
  </w:style>
  <w:style w:type="paragraph" w:customStyle="1" w:styleId="Default">
    <w:name w:val="Default"/>
    <w:rsid w:val="00C33A69"/>
    <w:pPr>
      <w:autoSpaceDE w:val="0"/>
      <w:autoSpaceDN w:val="0"/>
      <w:adjustRightInd w:val="0"/>
    </w:pPr>
    <w:rPr>
      <w:rFonts w:ascii="Arial" w:hAnsi="Arial" w:cs="Arial"/>
      <w:color w:val="000000"/>
    </w:rPr>
  </w:style>
  <w:style w:type="paragraph" w:customStyle="1" w:styleId="xxmsonormal">
    <w:name w:val="x_x_msonormal"/>
    <w:basedOn w:val="Normal"/>
    <w:rsid w:val="00C33A69"/>
    <w:pPr>
      <w:spacing w:before="100" w:beforeAutospacing="1" w:after="100" w:afterAutospacing="1"/>
    </w:pPr>
  </w:style>
  <w:style w:type="character" w:customStyle="1" w:styleId="spellingerror">
    <w:name w:val="spellingerror"/>
    <w:basedOn w:val="Fuentedeprrafopredeter"/>
    <w:rsid w:val="00EB1E4A"/>
  </w:style>
  <w:style w:type="paragraph" w:customStyle="1" w:styleId="xmsonospacing">
    <w:name w:val="x_msonospacing"/>
    <w:basedOn w:val="Normal"/>
    <w:rsid w:val="0031456F"/>
    <w:pPr>
      <w:spacing w:before="100" w:beforeAutospacing="1" w:after="100" w:afterAutospacing="1"/>
    </w:pPr>
  </w:style>
  <w:style w:type="paragraph" w:customStyle="1" w:styleId="Normal11pt">
    <w:name w:val="Normal + 11 pt"/>
    <w:aliases w:val="Negro,Justificado,Izquierda:  -0,95 cm,Derecha:  0,04 cm"/>
    <w:basedOn w:val="Normal"/>
    <w:uiPriority w:val="99"/>
    <w:rsid w:val="00705A56"/>
    <w:pPr>
      <w:ind w:left="-540"/>
      <w:jc w:val="both"/>
    </w:pPr>
    <w:rPr>
      <w:rFonts w:ascii="Arial" w:hAnsi="Arial" w:cs="Arial"/>
      <w:color w:val="000000"/>
      <w:sz w:val="22"/>
      <w:szCs w:val="22"/>
      <w:lang w:val="es-ES_tradnl" w:eastAsia="es-ES"/>
    </w:rPr>
  </w:style>
  <w:style w:type="paragraph" w:customStyle="1" w:styleId="Invias-VietaNumerada">
    <w:name w:val="Invias-Viñeta Numerada"/>
    <w:next w:val="Normal"/>
    <w:link w:val="Invias-VietaNumeradaCar"/>
    <w:uiPriority w:val="99"/>
    <w:qFormat/>
    <w:rsid w:val="00B72A12"/>
    <w:pPr>
      <w:spacing w:before="240" w:after="120"/>
      <w:jc w:val="both"/>
    </w:pPr>
    <w:rPr>
      <w:rFonts w:ascii="Arial Narrow" w:eastAsia="Times New Roman" w:hAnsi="Arial Narrow" w:cs="Times New Roman"/>
      <w:lang w:val="en-US" w:eastAsia="es-ES"/>
    </w:rPr>
  </w:style>
  <w:style w:type="character" w:customStyle="1" w:styleId="Invias-VietaNumeradaCar">
    <w:name w:val="Invias-Viñeta Numerada Car"/>
    <w:link w:val="Invias-VietaNumerada"/>
    <w:uiPriority w:val="99"/>
    <w:locked/>
    <w:rsid w:val="00B72A12"/>
    <w:rPr>
      <w:rFonts w:ascii="Arial Narrow" w:eastAsia="Times New Roman" w:hAnsi="Arial Narrow" w:cs="Times New Roman"/>
      <w:lang w:val="en-US" w:eastAsia="es-ES"/>
    </w:rPr>
  </w:style>
  <w:style w:type="paragraph" w:styleId="Revisin">
    <w:name w:val="Revision"/>
    <w:hidden/>
    <w:uiPriority w:val="99"/>
    <w:semiHidden/>
    <w:rsid w:val="00343942"/>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060">
      <w:bodyDiv w:val="1"/>
      <w:marLeft w:val="0"/>
      <w:marRight w:val="0"/>
      <w:marTop w:val="0"/>
      <w:marBottom w:val="0"/>
      <w:divBdr>
        <w:top w:val="none" w:sz="0" w:space="0" w:color="auto"/>
        <w:left w:val="none" w:sz="0" w:space="0" w:color="auto"/>
        <w:bottom w:val="none" w:sz="0" w:space="0" w:color="auto"/>
        <w:right w:val="none" w:sz="0" w:space="0" w:color="auto"/>
      </w:divBdr>
    </w:div>
    <w:div w:id="29191926">
      <w:bodyDiv w:val="1"/>
      <w:marLeft w:val="0"/>
      <w:marRight w:val="0"/>
      <w:marTop w:val="0"/>
      <w:marBottom w:val="0"/>
      <w:divBdr>
        <w:top w:val="none" w:sz="0" w:space="0" w:color="auto"/>
        <w:left w:val="none" w:sz="0" w:space="0" w:color="auto"/>
        <w:bottom w:val="none" w:sz="0" w:space="0" w:color="auto"/>
        <w:right w:val="none" w:sz="0" w:space="0" w:color="auto"/>
      </w:divBdr>
    </w:div>
    <w:div w:id="56173611">
      <w:bodyDiv w:val="1"/>
      <w:marLeft w:val="0"/>
      <w:marRight w:val="0"/>
      <w:marTop w:val="0"/>
      <w:marBottom w:val="0"/>
      <w:divBdr>
        <w:top w:val="none" w:sz="0" w:space="0" w:color="auto"/>
        <w:left w:val="none" w:sz="0" w:space="0" w:color="auto"/>
        <w:bottom w:val="none" w:sz="0" w:space="0" w:color="auto"/>
        <w:right w:val="none" w:sz="0" w:space="0" w:color="auto"/>
      </w:divBdr>
    </w:div>
    <w:div w:id="114636653">
      <w:bodyDiv w:val="1"/>
      <w:marLeft w:val="0"/>
      <w:marRight w:val="0"/>
      <w:marTop w:val="0"/>
      <w:marBottom w:val="0"/>
      <w:divBdr>
        <w:top w:val="none" w:sz="0" w:space="0" w:color="auto"/>
        <w:left w:val="none" w:sz="0" w:space="0" w:color="auto"/>
        <w:bottom w:val="none" w:sz="0" w:space="0" w:color="auto"/>
        <w:right w:val="none" w:sz="0" w:space="0" w:color="auto"/>
      </w:divBdr>
    </w:div>
    <w:div w:id="127668976">
      <w:bodyDiv w:val="1"/>
      <w:marLeft w:val="0"/>
      <w:marRight w:val="0"/>
      <w:marTop w:val="0"/>
      <w:marBottom w:val="0"/>
      <w:divBdr>
        <w:top w:val="none" w:sz="0" w:space="0" w:color="auto"/>
        <w:left w:val="none" w:sz="0" w:space="0" w:color="auto"/>
        <w:bottom w:val="none" w:sz="0" w:space="0" w:color="auto"/>
        <w:right w:val="none" w:sz="0" w:space="0" w:color="auto"/>
      </w:divBdr>
      <w:divsChild>
        <w:div w:id="116996380">
          <w:marLeft w:val="0"/>
          <w:marRight w:val="0"/>
          <w:marTop w:val="0"/>
          <w:marBottom w:val="0"/>
          <w:divBdr>
            <w:top w:val="none" w:sz="0" w:space="0" w:color="auto"/>
            <w:left w:val="none" w:sz="0" w:space="0" w:color="auto"/>
            <w:bottom w:val="none" w:sz="0" w:space="0" w:color="auto"/>
            <w:right w:val="none" w:sz="0" w:space="0" w:color="auto"/>
          </w:divBdr>
        </w:div>
      </w:divsChild>
    </w:div>
    <w:div w:id="183596897">
      <w:bodyDiv w:val="1"/>
      <w:marLeft w:val="0"/>
      <w:marRight w:val="0"/>
      <w:marTop w:val="0"/>
      <w:marBottom w:val="0"/>
      <w:divBdr>
        <w:top w:val="none" w:sz="0" w:space="0" w:color="auto"/>
        <w:left w:val="none" w:sz="0" w:space="0" w:color="auto"/>
        <w:bottom w:val="none" w:sz="0" w:space="0" w:color="auto"/>
        <w:right w:val="none" w:sz="0" w:space="0" w:color="auto"/>
      </w:divBdr>
    </w:div>
    <w:div w:id="279412230">
      <w:bodyDiv w:val="1"/>
      <w:marLeft w:val="0"/>
      <w:marRight w:val="0"/>
      <w:marTop w:val="0"/>
      <w:marBottom w:val="0"/>
      <w:divBdr>
        <w:top w:val="none" w:sz="0" w:space="0" w:color="auto"/>
        <w:left w:val="none" w:sz="0" w:space="0" w:color="auto"/>
        <w:bottom w:val="none" w:sz="0" w:space="0" w:color="auto"/>
        <w:right w:val="none" w:sz="0" w:space="0" w:color="auto"/>
      </w:divBdr>
    </w:div>
    <w:div w:id="298219995">
      <w:bodyDiv w:val="1"/>
      <w:marLeft w:val="0"/>
      <w:marRight w:val="0"/>
      <w:marTop w:val="0"/>
      <w:marBottom w:val="0"/>
      <w:divBdr>
        <w:top w:val="none" w:sz="0" w:space="0" w:color="auto"/>
        <w:left w:val="none" w:sz="0" w:space="0" w:color="auto"/>
        <w:bottom w:val="none" w:sz="0" w:space="0" w:color="auto"/>
        <w:right w:val="none" w:sz="0" w:space="0" w:color="auto"/>
      </w:divBdr>
    </w:div>
    <w:div w:id="324893756">
      <w:bodyDiv w:val="1"/>
      <w:marLeft w:val="0"/>
      <w:marRight w:val="0"/>
      <w:marTop w:val="0"/>
      <w:marBottom w:val="0"/>
      <w:divBdr>
        <w:top w:val="none" w:sz="0" w:space="0" w:color="auto"/>
        <w:left w:val="none" w:sz="0" w:space="0" w:color="auto"/>
        <w:bottom w:val="none" w:sz="0" w:space="0" w:color="auto"/>
        <w:right w:val="none" w:sz="0" w:space="0" w:color="auto"/>
      </w:divBdr>
    </w:div>
    <w:div w:id="331495140">
      <w:bodyDiv w:val="1"/>
      <w:marLeft w:val="0"/>
      <w:marRight w:val="0"/>
      <w:marTop w:val="0"/>
      <w:marBottom w:val="0"/>
      <w:divBdr>
        <w:top w:val="none" w:sz="0" w:space="0" w:color="auto"/>
        <w:left w:val="none" w:sz="0" w:space="0" w:color="auto"/>
        <w:bottom w:val="none" w:sz="0" w:space="0" w:color="auto"/>
        <w:right w:val="none" w:sz="0" w:space="0" w:color="auto"/>
      </w:divBdr>
    </w:div>
    <w:div w:id="374349182">
      <w:bodyDiv w:val="1"/>
      <w:marLeft w:val="0"/>
      <w:marRight w:val="0"/>
      <w:marTop w:val="0"/>
      <w:marBottom w:val="0"/>
      <w:divBdr>
        <w:top w:val="none" w:sz="0" w:space="0" w:color="auto"/>
        <w:left w:val="none" w:sz="0" w:space="0" w:color="auto"/>
        <w:bottom w:val="none" w:sz="0" w:space="0" w:color="auto"/>
        <w:right w:val="none" w:sz="0" w:space="0" w:color="auto"/>
      </w:divBdr>
    </w:div>
    <w:div w:id="392705629">
      <w:bodyDiv w:val="1"/>
      <w:marLeft w:val="0"/>
      <w:marRight w:val="0"/>
      <w:marTop w:val="0"/>
      <w:marBottom w:val="0"/>
      <w:divBdr>
        <w:top w:val="none" w:sz="0" w:space="0" w:color="auto"/>
        <w:left w:val="none" w:sz="0" w:space="0" w:color="auto"/>
        <w:bottom w:val="none" w:sz="0" w:space="0" w:color="auto"/>
        <w:right w:val="none" w:sz="0" w:space="0" w:color="auto"/>
      </w:divBdr>
    </w:div>
    <w:div w:id="411238431">
      <w:bodyDiv w:val="1"/>
      <w:marLeft w:val="0"/>
      <w:marRight w:val="0"/>
      <w:marTop w:val="0"/>
      <w:marBottom w:val="0"/>
      <w:divBdr>
        <w:top w:val="none" w:sz="0" w:space="0" w:color="auto"/>
        <w:left w:val="none" w:sz="0" w:space="0" w:color="auto"/>
        <w:bottom w:val="none" w:sz="0" w:space="0" w:color="auto"/>
        <w:right w:val="none" w:sz="0" w:space="0" w:color="auto"/>
      </w:divBdr>
    </w:div>
    <w:div w:id="486366192">
      <w:bodyDiv w:val="1"/>
      <w:marLeft w:val="0"/>
      <w:marRight w:val="0"/>
      <w:marTop w:val="0"/>
      <w:marBottom w:val="0"/>
      <w:divBdr>
        <w:top w:val="none" w:sz="0" w:space="0" w:color="auto"/>
        <w:left w:val="none" w:sz="0" w:space="0" w:color="auto"/>
        <w:bottom w:val="none" w:sz="0" w:space="0" w:color="auto"/>
        <w:right w:val="none" w:sz="0" w:space="0" w:color="auto"/>
      </w:divBdr>
      <w:divsChild>
        <w:div w:id="1352760980">
          <w:marLeft w:val="0"/>
          <w:marRight w:val="0"/>
          <w:marTop w:val="0"/>
          <w:marBottom w:val="0"/>
          <w:divBdr>
            <w:top w:val="none" w:sz="0" w:space="0" w:color="auto"/>
            <w:left w:val="none" w:sz="0" w:space="0" w:color="auto"/>
            <w:bottom w:val="none" w:sz="0" w:space="0" w:color="auto"/>
            <w:right w:val="none" w:sz="0" w:space="0" w:color="auto"/>
          </w:divBdr>
          <w:divsChild>
            <w:div w:id="1312324098">
              <w:marLeft w:val="0"/>
              <w:marRight w:val="0"/>
              <w:marTop w:val="0"/>
              <w:marBottom w:val="0"/>
              <w:divBdr>
                <w:top w:val="none" w:sz="0" w:space="0" w:color="auto"/>
                <w:left w:val="none" w:sz="0" w:space="0" w:color="auto"/>
                <w:bottom w:val="none" w:sz="0" w:space="0" w:color="auto"/>
                <w:right w:val="none" w:sz="0" w:space="0" w:color="auto"/>
              </w:divBdr>
              <w:divsChild>
                <w:div w:id="15849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7665">
      <w:bodyDiv w:val="1"/>
      <w:marLeft w:val="0"/>
      <w:marRight w:val="0"/>
      <w:marTop w:val="0"/>
      <w:marBottom w:val="0"/>
      <w:divBdr>
        <w:top w:val="none" w:sz="0" w:space="0" w:color="auto"/>
        <w:left w:val="none" w:sz="0" w:space="0" w:color="auto"/>
        <w:bottom w:val="none" w:sz="0" w:space="0" w:color="auto"/>
        <w:right w:val="none" w:sz="0" w:space="0" w:color="auto"/>
      </w:divBdr>
    </w:div>
    <w:div w:id="504789930">
      <w:bodyDiv w:val="1"/>
      <w:marLeft w:val="0"/>
      <w:marRight w:val="0"/>
      <w:marTop w:val="0"/>
      <w:marBottom w:val="0"/>
      <w:divBdr>
        <w:top w:val="none" w:sz="0" w:space="0" w:color="auto"/>
        <w:left w:val="none" w:sz="0" w:space="0" w:color="auto"/>
        <w:bottom w:val="none" w:sz="0" w:space="0" w:color="auto"/>
        <w:right w:val="none" w:sz="0" w:space="0" w:color="auto"/>
      </w:divBdr>
      <w:divsChild>
        <w:div w:id="1849827054">
          <w:marLeft w:val="0"/>
          <w:marRight w:val="0"/>
          <w:marTop w:val="0"/>
          <w:marBottom w:val="0"/>
          <w:divBdr>
            <w:top w:val="none" w:sz="0" w:space="0" w:color="auto"/>
            <w:left w:val="none" w:sz="0" w:space="0" w:color="auto"/>
            <w:bottom w:val="none" w:sz="0" w:space="0" w:color="auto"/>
            <w:right w:val="none" w:sz="0" w:space="0" w:color="auto"/>
          </w:divBdr>
          <w:divsChild>
            <w:div w:id="1343824708">
              <w:marLeft w:val="0"/>
              <w:marRight w:val="0"/>
              <w:marTop w:val="0"/>
              <w:marBottom w:val="0"/>
              <w:divBdr>
                <w:top w:val="none" w:sz="0" w:space="0" w:color="auto"/>
                <w:left w:val="none" w:sz="0" w:space="0" w:color="auto"/>
                <w:bottom w:val="none" w:sz="0" w:space="0" w:color="auto"/>
                <w:right w:val="none" w:sz="0" w:space="0" w:color="auto"/>
              </w:divBdr>
              <w:divsChild>
                <w:div w:id="17741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98692">
      <w:bodyDiv w:val="1"/>
      <w:marLeft w:val="0"/>
      <w:marRight w:val="0"/>
      <w:marTop w:val="0"/>
      <w:marBottom w:val="0"/>
      <w:divBdr>
        <w:top w:val="none" w:sz="0" w:space="0" w:color="auto"/>
        <w:left w:val="none" w:sz="0" w:space="0" w:color="auto"/>
        <w:bottom w:val="none" w:sz="0" w:space="0" w:color="auto"/>
        <w:right w:val="none" w:sz="0" w:space="0" w:color="auto"/>
      </w:divBdr>
    </w:div>
    <w:div w:id="704448476">
      <w:bodyDiv w:val="1"/>
      <w:marLeft w:val="0"/>
      <w:marRight w:val="0"/>
      <w:marTop w:val="0"/>
      <w:marBottom w:val="0"/>
      <w:divBdr>
        <w:top w:val="none" w:sz="0" w:space="0" w:color="auto"/>
        <w:left w:val="none" w:sz="0" w:space="0" w:color="auto"/>
        <w:bottom w:val="none" w:sz="0" w:space="0" w:color="auto"/>
        <w:right w:val="none" w:sz="0" w:space="0" w:color="auto"/>
      </w:divBdr>
    </w:div>
    <w:div w:id="716318750">
      <w:bodyDiv w:val="1"/>
      <w:marLeft w:val="0"/>
      <w:marRight w:val="0"/>
      <w:marTop w:val="0"/>
      <w:marBottom w:val="0"/>
      <w:divBdr>
        <w:top w:val="none" w:sz="0" w:space="0" w:color="auto"/>
        <w:left w:val="none" w:sz="0" w:space="0" w:color="auto"/>
        <w:bottom w:val="none" w:sz="0" w:space="0" w:color="auto"/>
        <w:right w:val="none" w:sz="0" w:space="0" w:color="auto"/>
      </w:divBdr>
    </w:div>
    <w:div w:id="849830110">
      <w:bodyDiv w:val="1"/>
      <w:marLeft w:val="0"/>
      <w:marRight w:val="0"/>
      <w:marTop w:val="0"/>
      <w:marBottom w:val="0"/>
      <w:divBdr>
        <w:top w:val="none" w:sz="0" w:space="0" w:color="auto"/>
        <w:left w:val="none" w:sz="0" w:space="0" w:color="auto"/>
        <w:bottom w:val="none" w:sz="0" w:space="0" w:color="auto"/>
        <w:right w:val="none" w:sz="0" w:space="0" w:color="auto"/>
      </w:divBdr>
    </w:div>
    <w:div w:id="878780565">
      <w:bodyDiv w:val="1"/>
      <w:marLeft w:val="0"/>
      <w:marRight w:val="0"/>
      <w:marTop w:val="0"/>
      <w:marBottom w:val="0"/>
      <w:divBdr>
        <w:top w:val="none" w:sz="0" w:space="0" w:color="auto"/>
        <w:left w:val="none" w:sz="0" w:space="0" w:color="auto"/>
        <w:bottom w:val="none" w:sz="0" w:space="0" w:color="auto"/>
        <w:right w:val="none" w:sz="0" w:space="0" w:color="auto"/>
      </w:divBdr>
    </w:div>
    <w:div w:id="882785361">
      <w:bodyDiv w:val="1"/>
      <w:marLeft w:val="0"/>
      <w:marRight w:val="0"/>
      <w:marTop w:val="0"/>
      <w:marBottom w:val="0"/>
      <w:divBdr>
        <w:top w:val="none" w:sz="0" w:space="0" w:color="auto"/>
        <w:left w:val="none" w:sz="0" w:space="0" w:color="auto"/>
        <w:bottom w:val="none" w:sz="0" w:space="0" w:color="auto"/>
        <w:right w:val="none" w:sz="0" w:space="0" w:color="auto"/>
      </w:divBdr>
    </w:div>
    <w:div w:id="914783788">
      <w:bodyDiv w:val="1"/>
      <w:marLeft w:val="0"/>
      <w:marRight w:val="0"/>
      <w:marTop w:val="0"/>
      <w:marBottom w:val="0"/>
      <w:divBdr>
        <w:top w:val="none" w:sz="0" w:space="0" w:color="auto"/>
        <w:left w:val="none" w:sz="0" w:space="0" w:color="auto"/>
        <w:bottom w:val="none" w:sz="0" w:space="0" w:color="auto"/>
        <w:right w:val="none" w:sz="0" w:space="0" w:color="auto"/>
      </w:divBdr>
    </w:div>
    <w:div w:id="956109359">
      <w:bodyDiv w:val="1"/>
      <w:marLeft w:val="0"/>
      <w:marRight w:val="0"/>
      <w:marTop w:val="0"/>
      <w:marBottom w:val="0"/>
      <w:divBdr>
        <w:top w:val="none" w:sz="0" w:space="0" w:color="auto"/>
        <w:left w:val="none" w:sz="0" w:space="0" w:color="auto"/>
        <w:bottom w:val="none" w:sz="0" w:space="0" w:color="auto"/>
        <w:right w:val="none" w:sz="0" w:space="0" w:color="auto"/>
      </w:divBdr>
    </w:div>
    <w:div w:id="964624696">
      <w:bodyDiv w:val="1"/>
      <w:marLeft w:val="0"/>
      <w:marRight w:val="0"/>
      <w:marTop w:val="0"/>
      <w:marBottom w:val="0"/>
      <w:divBdr>
        <w:top w:val="none" w:sz="0" w:space="0" w:color="auto"/>
        <w:left w:val="none" w:sz="0" w:space="0" w:color="auto"/>
        <w:bottom w:val="none" w:sz="0" w:space="0" w:color="auto"/>
        <w:right w:val="none" w:sz="0" w:space="0" w:color="auto"/>
      </w:divBdr>
    </w:div>
    <w:div w:id="1126898605">
      <w:bodyDiv w:val="1"/>
      <w:marLeft w:val="0"/>
      <w:marRight w:val="0"/>
      <w:marTop w:val="0"/>
      <w:marBottom w:val="0"/>
      <w:divBdr>
        <w:top w:val="none" w:sz="0" w:space="0" w:color="auto"/>
        <w:left w:val="none" w:sz="0" w:space="0" w:color="auto"/>
        <w:bottom w:val="none" w:sz="0" w:space="0" w:color="auto"/>
        <w:right w:val="none" w:sz="0" w:space="0" w:color="auto"/>
      </w:divBdr>
    </w:div>
    <w:div w:id="1173640563">
      <w:bodyDiv w:val="1"/>
      <w:marLeft w:val="0"/>
      <w:marRight w:val="0"/>
      <w:marTop w:val="0"/>
      <w:marBottom w:val="0"/>
      <w:divBdr>
        <w:top w:val="none" w:sz="0" w:space="0" w:color="auto"/>
        <w:left w:val="none" w:sz="0" w:space="0" w:color="auto"/>
        <w:bottom w:val="none" w:sz="0" w:space="0" w:color="auto"/>
        <w:right w:val="none" w:sz="0" w:space="0" w:color="auto"/>
      </w:divBdr>
      <w:divsChild>
        <w:div w:id="236667670">
          <w:marLeft w:val="0"/>
          <w:marRight w:val="0"/>
          <w:marTop w:val="0"/>
          <w:marBottom w:val="0"/>
          <w:divBdr>
            <w:top w:val="none" w:sz="0" w:space="0" w:color="auto"/>
            <w:left w:val="none" w:sz="0" w:space="0" w:color="auto"/>
            <w:bottom w:val="none" w:sz="0" w:space="0" w:color="auto"/>
            <w:right w:val="none" w:sz="0" w:space="0" w:color="auto"/>
          </w:divBdr>
          <w:divsChild>
            <w:div w:id="444160927">
              <w:marLeft w:val="0"/>
              <w:marRight w:val="0"/>
              <w:marTop w:val="0"/>
              <w:marBottom w:val="0"/>
              <w:divBdr>
                <w:top w:val="none" w:sz="0" w:space="0" w:color="auto"/>
                <w:left w:val="none" w:sz="0" w:space="0" w:color="auto"/>
                <w:bottom w:val="none" w:sz="0" w:space="0" w:color="auto"/>
                <w:right w:val="none" w:sz="0" w:space="0" w:color="auto"/>
              </w:divBdr>
              <w:divsChild>
                <w:div w:id="20518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430790">
      <w:bodyDiv w:val="1"/>
      <w:marLeft w:val="0"/>
      <w:marRight w:val="0"/>
      <w:marTop w:val="0"/>
      <w:marBottom w:val="0"/>
      <w:divBdr>
        <w:top w:val="none" w:sz="0" w:space="0" w:color="auto"/>
        <w:left w:val="none" w:sz="0" w:space="0" w:color="auto"/>
        <w:bottom w:val="none" w:sz="0" w:space="0" w:color="auto"/>
        <w:right w:val="none" w:sz="0" w:space="0" w:color="auto"/>
      </w:divBdr>
    </w:div>
    <w:div w:id="1375883382">
      <w:bodyDiv w:val="1"/>
      <w:marLeft w:val="0"/>
      <w:marRight w:val="0"/>
      <w:marTop w:val="0"/>
      <w:marBottom w:val="0"/>
      <w:divBdr>
        <w:top w:val="none" w:sz="0" w:space="0" w:color="auto"/>
        <w:left w:val="none" w:sz="0" w:space="0" w:color="auto"/>
        <w:bottom w:val="none" w:sz="0" w:space="0" w:color="auto"/>
        <w:right w:val="none" w:sz="0" w:space="0" w:color="auto"/>
      </w:divBdr>
    </w:div>
    <w:div w:id="1457606160">
      <w:bodyDiv w:val="1"/>
      <w:marLeft w:val="0"/>
      <w:marRight w:val="0"/>
      <w:marTop w:val="0"/>
      <w:marBottom w:val="0"/>
      <w:divBdr>
        <w:top w:val="none" w:sz="0" w:space="0" w:color="auto"/>
        <w:left w:val="none" w:sz="0" w:space="0" w:color="auto"/>
        <w:bottom w:val="none" w:sz="0" w:space="0" w:color="auto"/>
        <w:right w:val="none" w:sz="0" w:space="0" w:color="auto"/>
      </w:divBdr>
      <w:divsChild>
        <w:div w:id="122502934">
          <w:marLeft w:val="0"/>
          <w:marRight w:val="0"/>
          <w:marTop w:val="0"/>
          <w:marBottom w:val="0"/>
          <w:divBdr>
            <w:top w:val="none" w:sz="0" w:space="0" w:color="auto"/>
            <w:left w:val="none" w:sz="0" w:space="0" w:color="auto"/>
            <w:bottom w:val="none" w:sz="0" w:space="0" w:color="auto"/>
            <w:right w:val="none" w:sz="0" w:space="0" w:color="auto"/>
          </w:divBdr>
        </w:div>
      </w:divsChild>
    </w:div>
    <w:div w:id="1475952723">
      <w:bodyDiv w:val="1"/>
      <w:marLeft w:val="0"/>
      <w:marRight w:val="0"/>
      <w:marTop w:val="0"/>
      <w:marBottom w:val="0"/>
      <w:divBdr>
        <w:top w:val="none" w:sz="0" w:space="0" w:color="auto"/>
        <w:left w:val="none" w:sz="0" w:space="0" w:color="auto"/>
        <w:bottom w:val="none" w:sz="0" w:space="0" w:color="auto"/>
        <w:right w:val="none" w:sz="0" w:space="0" w:color="auto"/>
      </w:divBdr>
    </w:div>
    <w:div w:id="1486707341">
      <w:bodyDiv w:val="1"/>
      <w:marLeft w:val="0"/>
      <w:marRight w:val="0"/>
      <w:marTop w:val="0"/>
      <w:marBottom w:val="0"/>
      <w:divBdr>
        <w:top w:val="none" w:sz="0" w:space="0" w:color="auto"/>
        <w:left w:val="none" w:sz="0" w:space="0" w:color="auto"/>
        <w:bottom w:val="none" w:sz="0" w:space="0" w:color="auto"/>
        <w:right w:val="none" w:sz="0" w:space="0" w:color="auto"/>
      </w:divBdr>
      <w:divsChild>
        <w:div w:id="277177450">
          <w:marLeft w:val="0"/>
          <w:marRight w:val="0"/>
          <w:marTop w:val="0"/>
          <w:marBottom w:val="0"/>
          <w:divBdr>
            <w:top w:val="none" w:sz="0" w:space="0" w:color="auto"/>
            <w:left w:val="none" w:sz="0" w:space="0" w:color="auto"/>
            <w:bottom w:val="none" w:sz="0" w:space="0" w:color="auto"/>
            <w:right w:val="none" w:sz="0" w:space="0" w:color="auto"/>
          </w:divBdr>
          <w:divsChild>
            <w:div w:id="37970307">
              <w:marLeft w:val="0"/>
              <w:marRight w:val="0"/>
              <w:marTop w:val="0"/>
              <w:marBottom w:val="0"/>
              <w:divBdr>
                <w:top w:val="none" w:sz="0" w:space="0" w:color="auto"/>
                <w:left w:val="none" w:sz="0" w:space="0" w:color="auto"/>
                <w:bottom w:val="none" w:sz="0" w:space="0" w:color="auto"/>
                <w:right w:val="none" w:sz="0" w:space="0" w:color="auto"/>
              </w:divBdr>
              <w:divsChild>
                <w:div w:id="1223295099">
                  <w:marLeft w:val="0"/>
                  <w:marRight w:val="0"/>
                  <w:marTop w:val="0"/>
                  <w:marBottom w:val="0"/>
                  <w:divBdr>
                    <w:top w:val="none" w:sz="0" w:space="0" w:color="auto"/>
                    <w:left w:val="none" w:sz="0" w:space="0" w:color="auto"/>
                    <w:bottom w:val="none" w:sz="0" w:space="0" w:color="auto"/>
                    <w:right w:val="none" w:sz="0" w:space="0" w:color="auto"/>
                  </w:divBdr>
                  <w:divsChild>
                    <w:div w:id="11829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19270">
      <w:bodyDiv w:val="1"/>
      <w:marLeft w:val="0"/>
      <w:marRight w:val="0"/>
      <w:marTop w:val="0"/>
      <w:marBottom w:val="0"/>
      <w:divBdr>
        <w:top w:val="none" w:sz="0" w:space="0" w:color="auto"/>
        <w:left w:val="none" w:sz="0" w:space="0" w:color="auto"/>
        <w:bottom w:val="none" w:sz="0" w:space="0" w:color="auto"/>
        <w:right w:val="none" w:sz="0" w:space="0" w:color="auto"/>
      </w:divBdr>
    </w:div>
    <w:div w:id="1656101068">
      <w:bodyDiv w:val="1"/>
      <w:marLeft w:val="0"/>
      <w:marRight w:val="0"/>
      <w:marTop w:val="0"/>
      <w:marBottom w:val="0"/>
      <w:divBdr>
        <w:top w:val="none" w:sz="0" w:space="0" w:color="auto"/>
        <w:left w:val="none" w:sz="0" w:space="0" w:color="auto"/>
        <w:bottom w:val="none" w:sz="0" w:space="0" w:color="auto"/>
        <w:right w:val="none" w:sz="0" w:space="0" w:color="auto"/>
      </w:divBdr>
    </w:div>
    <w:div w:id="1684281040">
      <w:bodyDiv w:val="1"/>
      <w:marLeft w:val="0"/>
      <w:marRight w:val="0"/>
      <w:marTop w:val="0"/>
      <w:marBottom w:val="0"/>
      <w:divBdr>
        <w:top w:val="none" w:sz="0" w:space="0" w:color="auto"/>
        <w:left w:val="none" w:sz="0" w:space="0" w:color="auto"/>
        <w:bottom w:val="none" w:sz="0" w:space="0" w:color="auto"/>
        <w:right w:val="none" w:sz="0" w:space="0" w:color="auto"/>
      </w:divBdr>
    </w:div>
    <w:div w:id="1698769485">
      <w:bodyDiv w:val="1"/>
      <w:marLeft w:val="0"/>
      <w:marRight w:val="0"/>
      <w:marTop w:val="0"/>
      <w:marBottom w:val="0"/>
      <w:divBdr>
        <w:top w:val="none" w:sz="0" w:space="0" w:color="auto"/>
        <w:left w:val="none" w:sz="0" w:space="0" w:color="auto"/>
        <w:bottom w:val="none" w:sz="0" w:space="0" w:color="auto"/>
        <w:right w:val="none" w:sz="0" w:space="0" w:color="auto"/>
      </w:divBdr>
    </w:div>
    <w:div w:id="1770154424">
      <w:bodyDiv w:val="1"/>
      <w:marLeft w:val="0"/>
      <w:marRight w:val="0"/>
      <w:marTop w:val="0"/>
      <w:marBottom w:val="0"/>
      <w:divBdr>
        <w:top w:val="none" w:sz="0" w:space="0" w:color="auto"/>
        <w:left w:val="none" w:sz="0" w:space="0" w:color="auto"/>
        <w:bottom w:val="none" w:sz="0" w:space="0" w:color="auto"/>
        <w:right w:val="none" w:sz="0" w:space="0" w:color="auto"/>
      </w:divBdr>
    </w:div>
    <w:div w:id="1908418874">
      <w:bodyDiv w:val="1"/>
      <w:marLeft w:val="0"/>
      <w:marRight w:val="0"/>
      <w:marTop w:val="0"/>
      <w:marBottom w:val="0"/>
      <w:divBdr>
        <w:top w:val="none" w:sz="0" w:space="0" w:color="auto"/>
        <w:left w:val="none" w:sz="0" w:space="0" w:color="auto"/>
        <w:bottom w:val="none" w:sz="0" w:space="0" w:color="auto"/>
        <w:right w:val="none" w:sz="0" w:space="0" w:color="auto"/>
      </w:divBdr>
      <w:divsChild>
        <w:div w:id="793448235">
          <w:marLeft w:val="0"/>
          <w:marRight w:val="0"/>
          <w:marTop w:val="0"/>
          <w:marBottom w:val="0"/>
          <w:divBdr>
            <w:top w:val="none" w:sz="0" w:space="0" w:color="auto"/>
            <w:left w:val="none" w:sz="0" w:space="0" w:color="auto"/>
            <w:bottom w:val="none" w:sz="0" w:space="0" w:color="auto"/>
            <w:right w:val="none" w:sz="0" w:space="0" w:color="auto"/>
          </w:divBdr>
          <w:divsChild>
            <w:div w:id="1859854039">
              <w:marLeft w:val="0"/>
              <w:marRight w:val="0"/>
              <w:marTop w:val="0"/>
              <w:marBottom w:val="0"/>
              <w:divBdr>
                <w:top w:val="none" w:sz="0" w:space="0" w:color="auto"/>
                <w:left w:val="none" w:sz="0" w:space="0" w:color="auto"/>
                <w:bottom w:val="none" w:sz="0" w:space="0" w:color="auto"/>
                <w:right w:val="none" w:sz="0" w:space="0" w:color="auto"/>
              </w:divBdr>
              <w:divsChild>
                <w:div w:id="15611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latoria.colombiacompra.gov.co/ficha/C-170%20de%20202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relatoria.colombiacompra.gov.co/ficha/C-045%20de%2020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documents/cce_guia_capacidad_residu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3" ma:contentTypeDescription="Crear nuevo documento." ma:contentTypeScope="" ma:versionID="5ce307a3737c73d7fc56b8c56af85e2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23b5beffdcd85b5c8f742a4950b070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068A7-41E5-4F46-AE2E-9E50701263AB}">
  <ds:schemaRefs>
    <ds:schemaRef ds:uri="http://schemas.microsoft.com/office/2006/metadata/properties"/>
    <ds:schemaRef ds:uri="http://schemas.microsoft.com/office/infopath/2007/PartnerControls"/>
    <ds:schemaRef ds:uri="9d85dbaf-23eb-4e57-a637-93dcacc8b1a1"/>
  </ds:schemaRefs>
</ds:datastoreItem>
</file>

<file path=customXml/itemProps2.xml><?xml version="1.0" encoding="utf-8"?>
<ds:datastoreItem xmlns:ds="http://schemas.openxmlformats.org/officeDocument/2006/customXml" ds:itemID="{08B20E85-293B-4D76-9B9F-747D530D9CA5}">
  <ds:schemaRefs>
    <ds:schemaRef ds:uri="http://schemas.microsoft.com/sharepoint/v3/contenttype/forms"/>
  </ds:schemaRefs>
</ds:datastoreItem>
</file>

<file path=customXml/itemProps3.xml><?xml version="1.0" encoding="utf-8"?>
<ds:datastoreItem xmlns:ds="http://schemas.openxmlformats.org/officeDocument/2006/customXml" ds:itemID="{4EC51071-2CC5-4BD5-80B5-28E75C6BA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C52AE-CEDA-FD42-B40D-BD0DC712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3748</Words>
  <Characters>20618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saenz camargo</dc:creator>
  <cp:keywords/>
  <dc:description/>
  <cp:lastModifiedBy>nicolle saenz camargo</cp:lastModifiedBy>
  <cp:revision>5</cp:revision>
  <dcterms:created xsi:type="dcterms:W3CDTF">2021-09-20T19:51:00Z</dcterms:created>
  <dcterms:modified xsi:type="dcterms:W3CDTF">2021-11-30T22:44:00Z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