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933C2" w14:textId="77777777" w:rsidR="003E622D" w:rsidRPr="00297B28" w:rsidRDefault="003E622D" w:rsidP="003E622D">
      <w:pPr>
        <w:jc w:val="right"/>
        <w:rPr>
          <w:rFonts w:ascii="Arial" w:eastAsia="Calibri" w:hAnsi="Arial" w:cs="Arial"/>
          <w:b/>
          <w:sz w:val="21"/>
          <w:szCs w:val="21"/>
        </w:rPr>
      </w:pPr>
      <w:bookmarkStart w:id="0" w:name="_Hlk29890381"/>
      <w:r w:rsidRPr="00297B28">
        <w:rPr>
          <w:rFonts w:ascii="Arial" w:hAnsi="Arial" w:cs="Arial"/>
          <w:b/>
          <w:sz w:val="16"/>
          <w:szCs w:val="16"/>
          <w:lang w:eastAsia="es-ES"/>
        </w:rPr>
        <w:t>CCE-DES-FM-17</w:t>
      </w:r>
    </w:p>
    <w:p w14:paraId="4C93562B" w14:textId="77777777" w:rsidR="003E622D" w:rsidRPr="008F3CDF" w:rsidRDefault="003E622D" w:rsidP="003E622D">
      <w:pPr>
        <w:jc w:val="both"/>
        <w:rPr>
          <w:rFonts w:ascii="Arial" w:eastAsia="Calibri" w:hAnsi="Arial" w:cs="Arial"/>
          <w:b/>
          <w:sz w:val="16"/>
          <w:szCs w:val="16"/>
        </w:rPr>
      </w:pPr>
    </w:p>
    <w:p w14:paraId="4B5D8E68" w14:textId="77777777" w:rsidR="003E622D" w:rsidRPr="00297B28" w:rsidRDefault="003E622D" w:rsidP="003E622D">
      <w:pPr>
        <w:jc w:val="both"/>
        <w:rPr>
          <w:rFonts w:ascii="Arial" w:eastAsia="Calibri" w:hAnsi="Arial" w:cs="Arial"/>
          <w:b/>
          <w:bCs/>
          <w:sz w:val="22"/>
        </w:rPr>
      </w:pPr>
      <w:r w:rsidRPr="0E565F8B">
        <w:rPr>
          <w:rFonts w:ascii="Arial" w:eastAsia="Calibri" w:hAnsi="Arial" w:cs="Arial"/>
          <w:b/>
          <w:bCs/>
          <w:sz w:val="22"/>
        </w:rPr>
        <w:t xml:space="preserve">CONTRATACIÓN CON ESAL – Contrato de colaboración – Objeto </w:t>
      </w:r>
      <w:r w:rsidRPr="0E565F8B">
        <w:rPr>
          <w:rFonts w:ascii="Arial" w:eastAsia="Arial" w:hAnsi="Arial" w:cs="Arial"/>
          <w:b/>
          <w:bCs/>
          <w:sz w:val="22"/>
          <w:lang w:val="es-CO"/>
        </w:rPr>
        <w:t>–</w:t>
      </w:r>
      <w:r w:rsidRPr="0E565F8B">
        <w:rPr>
          <w:rFonts w:ascii="Arial" w:eastAsia="Calibri" w:hAnsi="Arial" w:cs="Arial"/>
          <w:b/>
          <w:bCs/>
          <w:sz w:val="22"/>
        </w:rPr>
        <w:t xml:space="preserve"> Alcance </w:t>
      </w:r>
    </w:p>
    <w:p w14:paraId="5F2CFD00" w14:textId="77777777" w:rsidR="003E622D" w:rsidRPr="00297B28" w:rsidRDefault="003E622D" w:rsidP="003E622D">
      <w:pPr>
        <w:jc w:val="both"/>
        <w:rPr>
          <w:rFonts w:ascii="Arial" w:eastAsia="Calibri" w:hAnsi="Arial" w:cs="Arial"/>
          <w:bCs/>
          <w:sz w:val="20"/>
          <w:szCs w:val="20"/>
        </w:rPr>
      </w:pPr>
    </w:p>
    <w:p w14:paraId="1053C84A" w14:textId="498B1BF0" w:rsidR="003E622D" w:rsidRDefault="009320BD" w:rsidP="003E622D">
      <w:pPr>
        <w:jc w:val="both"/>
        <w:rPr>
          <w:rFonts w:ascii="Arial" w:hAnsi="Arial" w:cs="Arial"/>
          <w:sz w:val="20"/>
          <w:szCs w:val="20"/>
        </w:rPr>
      </w:pPr>
      <w:r w:rsidRPr="009320BD">
        <w:rPr>
          <w:rFonts w:ascii="Arial" w:hAnsi="Arial" w:cs="Arial"/>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r>
        <w:rPr>
          <w:rFonts w:ascii="Arial" w:hAnsi="Arial" w:cs="Arial"/>
          <w:sz w:val="20"/>
          <w:szCs w:val="20"/>
        </w:rPr>
        <w:t xml:space="preserve"> […]</w:t>
      </w:r>
    </w:p>
    <w:p w14:paraId="61127302" w14:textId="77777777" w:rsidR="003E622D" w:rsidRPr="00297B28" w:rsidRDefault="003E622D" w:rsidP="003E622D">
      <w:pPr>
        <w:jc w:val="both"/>
        <w:rPr>
          <w:rFonts w:ascii="Arial" w:hAnsi="Arial" w:cs="Arial"/>
          <w:sz w:val="20"/>
          <w:szCs w:val="20"/>
        </w:rPr>
      </w:pPr>
    </w:p>
    <w:p w14:paraId="1BD3064B" w14:textId="77777777" w:rsidR="003E622D" w:rsidRPr="00297B28" w:rsidRDefault="003E622D" w:rsidP="003E622D">
      <w:pPr>
        <w:jc w:val="both"/>
        <w:rPr>
          <w:rFonts w:ascii="Arial" w:eastAsia="Calibri" w:hAnsi="Arial" w:cs="Arial"/>
          <w:b/>
          <w:sz w:val="22"/>
        </w:rPr>
      </w:pPr>
      <w:bookmarkStart w:id="1" w:name="_Hlk48116542"/>
      <w:r w:rsidRPr="00297B28">
        <w:rPr>
          <w:rFonts w:ascii="Arial" w:eastAsia="Calibri" w:hAnsi="Arial" w:cs="Arial"/>
          <w:b/>
          <w:sz w:val="22"/>
        </w:rPr>
        <w:t>CONVENIOS DE ASOCIACIÓN –</w:t>
      </w:r>
      <w:r>
        <w:rPr>
          <w:rFonts w:ascii="Arial" w:eastAsia="Calibri" w:hAnsi="Arial" w:cs="Arial"/>
          <w:b/>
          <w:sz w:val="22"/>
        </w:rPr>
        <w:t xml:space="preserve"> S</w:t>
      </w:r>
      <w:r w:rsidRPr="00297B28">
        <w:rPr>
          <w:rFonts w:ascii="Arial" w:eastAsia="Calibri" w:hAnsi="Arial" w:cs="Arial"/>
          <w:b/>
          <w:sz w:val="22"/>
        </w:rPr>
        <w:t xml:space="preserve">ujetos </w:t>
      </w:r>
      <w:r>
        <w:rPr>
          <w:rFonts w:ascii="Arial" w:eastAsia="Calibri" w:hAnsi="Arial" w:cs="Arial"/>
          <w:b/>
          <w:sz w:val="22"/>
        </w:rPr>
        <w:t>–</w:t>
      </w:r>
      <w:r w:rsidRPr="00297B28">
        <w:rPr>
          <w:rFonts w:ascii="Arial" w:eastAsia="Calibri" w:hAnsi="Arial" w:cs="Arial"/>
          <w:b/>
          <w:sz w:val="22"/>
        </w:rPr>
        <w:t xml:space="preserve"> </w:t>
      </w:r>
      <w:r>
        <w:rPr>
          <w:rFonts w:ascii="Arial" w:eastAsia="Calibri" w:hAnsi="Arial" w:cs="Arial"/>
          <w:b/>
          <w:sz w:val="22"/>
        </w:rPr>
        <w:t>L</w:t>
      </w:r>
      <w:r w:rsidRPr="00297B28">
        <w:rPr>
          <w:rFonts w:ascii="Arial" w:eastAsia="Calibri" w:hAnsi="Arial" w:cs="Arial"/>
          <w:b/>
          <w:sz w:val="22"/>
        </w:rPr>
        <w:t>ímites legales</w:t>
      </w:r>
    </w:p>
    <w:bookmarkEnd w:id="1"/>
    <w:p w14:paraId="09A53AAC" w14:textId="77777777" w:rsidR="003E622D" w:rsidRPr="00297B28" w:rsidRDefault="003E622D" w:rsidP="003E622D">
      <w:pPr>
        <w:jc w:val="both"/>
        <w:rPr>
          <w:rFonts w:ascii="Arial" w:hAnsi="Arial" w:cs="Arial"/>
          <w:sz w:val="20"/>
          <w:szCs w:val="20"/>
        </w:rPr>
      </w:pPr>
    </w:p>
    <w:p w14:paraId="05C78A59" w14:textId="77CCBBCB" w:rsidR="003E622D" w:rsidRDefault="00C43236" w:rsidP="003E622D">
      <w:pPr>
        <w:pStyle w:val="Sinespaciado"/>
        <w:jc w:val="both"/>
        <w:rPr>
          <w:rFonts w:ascii="Arial" w:hAnsi="Arial" w:cs="Arial"/>
          <w:sz w:val="20"/>
          <w:szCs w:val="20"/>
        </w:rPr>
      </w:pPr>
      <w:r w:rsidRPr="00C43236">
        <w:rPr>
          <w:rFonts w:ascii="Arial" w:hAnsi="Arial" w:cs="Arial"/>
          <w:sz w:val="20"/>
          <w:szCs w:val="20"/>
        </w:rPr>
        <w:t>La normativa vigente no impide que varias entidades suscriban conjuntamente el convenio de asociación y tampoco que dos o más ESAL pueden hacerlo, a través de las figuras asociativas autorizadas por la ley, por ejemplo, la unión temporal o el consorcio .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294283F3" w14:textId="77777777" w:rsidR="00C43236" w:rsidRPr="00297B28" w:rsidRDefault="00C43236" w:rsidP="003E622D">
      <w:pPr>
        <w:pStyle w:val="Sinespaciado"/>
        <w:jc w:val="both"/>
        <w:rPr>
          <w:rFonts w:ascii="Arial" w:hAnsi="Arial" w:cs="Arial"/>
          <w:sz w:val="20"/>
          <w:szCs w:val="20"/>
        </w:rPr>
      </w:pPr>
    </w:p>
    <w:p w14:paraId="76EBE395" w14:textId="50BB49C8" w:rsidR="003E622D" w:rsidRPr="00297B28" w:rsidRDefault="003E622D" w:rsidP="003E622D">
      <w:pPr>
        <w:jc w:val="both"/>
        <w:rPr>
          <w:rFonts w:ascii="Arial" w:eastAsia="Calibri" w:hAnsi="Arial" w:cs="Arial"/>
          <w:b/>
          <w:sz w:val="22"/>
        </w:rPr>
      </w:pPr>
      <w:r w:rsidRPr="00297B28">
        <w:rPr>
          <w:rFonts w:ascii="Arial" w:eastAsia="Calibri" w:hAnsi="Arial" w:cs="Arial"/>
          <w:b/>
          <w:sz w:val="22"/>
        </w:rPr>
        <w:t>CONVENIOS DE ASOCIACIÓN –</w:t>
      </w:r>
      <w:r>
        <w:rPr>
          <w:rFonts w:ascii="Arial" w:eastAsia="Calibri" w:hAnsi="Arial" w:cs="Arial"/>
          <w:b/>
          <w:sz w:val="22"/>
        </w:rPr>
        <w:t xml:space="preserve"> Aporte</w:t>
      </w:r>
      <w:r w:rsidR="001E6AA2">
        <w:rPr>
          <w:rFonts w:ascii="Arial" w:eastAsia="Calibri" w:hAnsi="Arial" w:cs="Arial"/>
          <w:b/>
          <w:sz w:val="22"/>
        </w:rPr>
        <w:t xml:space="preserve"> económico de </w:t>
      </w:r>
      <w:r>
        <w:rPr>
          <w:rFonts w:ascii="Arial" w:eastAsia="Calibri" w:hAnsi="Arial" w:cs="Arial"/>
          <w:b/>
          <w:sz w:val="22"/>
        </w:rPr>
        <w:t xml:space="preserve">ESAL </w:t>
      </w:r>
      <w:r w:rsidRPr="00297B28">
        <w:rPr>
          <w:rFonts w:ascii="Arial" w:eastAsia="Calibri" w:hAnsi="Arial" w:cs="Arial"/>
          <w:b/>
          <w:sz w:val="22"/>
        </w:rPr>
        <w:t>–</w:t>
      </w:r>
      <w:r>
        <w:rPr>
          <w:rFonts w:ascii="Arial" w:eastAsia="Calibri" w:hAnsi="Arial" w:cs="Arial"/>
          <w:b/>
          <w:sz w:val="22"/>
        </w:rPr>
        <w:t xml:space="preserve"> Mecanismo de recaudo</w:t>
      </w:r>
    </w:p>
    <w:p w14:paraId="23789F5F" w14:textId="77777777" w:rsidR="003E622D" w:rsidRPr="00297B28" w:rsidRDefault="003E622D" w:rsidP="003E622D">
      <w:pPr>
        <w:pStyle w:val="Sinespaciado"/>
        <w:jc w:val="both"/>
        <w:rPr>
          <w:rFonts w:ascii="Arial" w:hAnsi="Arial" w:cs="Arial"/>
          <w:sz w:val="20"/>
          <w:szCs w:val="20"/>
        </w:rPr>
      </w:pPr>
    </w:p>
    <w:p w14:paraId="1ECC72D1" w14:textId="77777777" w:rsidR="000E099E" w:rsidRPr="000E099E" w:rsidRDefault="003E622D" w:rsidP="000E099E">
      <w:pPr>
        <w:jc w:val="both"/>
        <w:rPr>
          <w:rFonts w:ascii="Arial" w:hAnsi="Arial" w:cs="Arial"/>
          <w:sz w:val="20"/>
          <w:szCs w:val="20"/>
        </w:rPr>
      </w:pPr>
      <w:r w:rsidRPr="00297B28">
        <w:rPr>
          <w:rFonts w:ascii="Arial" w:hAnsi="Arial" w:cs="Arial"/>
          <w:sz w:val="20"/>
          <w:szCs w:val="20"/>
        </w:rPr>
        <w:t xml:space="preserve">[…] </w:t>
      </w:r>
      <w:r w:rsidR="000E099E" w:rsidRPr="000E099E">
        <w:rPr>
          <w:rFonts w:ascii="Arial" w:hAnsi="Arial" w:cs="Arial"/>
          <w:sz w:val="20"/>
          <w:szCs w:val="20"/>
        </w:rPr>
        <w:t>las entidades contratantes pueden definir libre y autónomamente el mecanismo de recolección de los recursos en dinero que la ESAL aportará para la ejecución de las actividades del convenio de asociación. A título ilustrativo, en la «Guía para la contratación con entidades privadas sin ánimo de lucro y de reconocida idoneidad», elaborada por Colombia Compra Eficiente, se establece que «[…] la exigencia de recursos en dinero se puede cumplir con instrumentos financieros, jurídicos y contables que sean transables y que tengan liquidez suficiente para ser equivalentes al dinero». De todos modos, se insiste, la entidad contratante puede definir el mecanismo de que le parezca más conveniente para el recaudo de los recursos económicos que debe aportar la ESAL.</w:t>
      </w:r>
    </w:p>
    <w:p w14:paraId="0969C498" w14:textId="3B3925B7" w:rsidR="000E099E" w:rsidRDefault="000E099E" w:rsidP="00946D01">
      <w:pPr>
        <w:jc w:val="both"/>
        <w:rPr>
          <w:rFonts w:ascii="Arial" w:hAnsi="Arial" w:cs="Arial"/>
          <w:sz w:val="20"/>
          <w:szCs w:val="20"/>
        </w:rPr>
      </w:pPr>
      <w:r w:rsidRPr="000E099E">
        <w:rPr>
          <w:rFonts w:ascii="Arial" w:hAnsi="Arial" w:cs="Arial"/>
          <w:sz w:val="20"/>
          <w:szCs w:val="20"/>
        </w:rPr>
        <w:t>Tal libertad de configuración se justifica, por un lado, en la ejecución efectiva del convenio de asociación y, por el otro, en la ausencia de regulación el Decreto 092 de 2017.</w:t>
      </w:r>
    </w:p>
    <w:p w14:paraId="1A68C3C3" w14:textId="281E60E3" w:rsidR="0025522B" w:rsidRDefault="0025522B" w:rsidP="00946D01">
      <w:pPr>
        <w:jc w:val="both"/>
        <w:rPr>
          <w:rFonts w:ascii="Arial" w:hAnsi="Arial" w:cs="Arial"/>
          <w:color w:val="000000"/>
          <w:sz w:val="20"/>
          <w:szCs w:val="20"/>
          <w:lang w:val="es-CO"/>
        </w:rPr>
      </w:pPr>
    </w:p>
    <w:p w14:paraId="3077B1B8" w14:textId="77777777" w:rsidR="00946D01" w:rsidRDefault="00946D01" w:rsidP="00946D01">
      <w:pPr>
        <w:jc w:val="both"/>
        <w:rPr>
          <w:rFonts w:ascii="Arial" w:hAnsi="Arial" w:cs="Arial"/>
          <w:color w:val="000000"/>
          <w:sz w:val="20"/>
          <w:szCs w:val="20"/>
          <w:lang w:val="es-CO"/>
        </w:rPr>
      </w:pPr>
    </w:p>
    <w:p w14:paraId="657B016F" w14:textId="218E2358" w:rsidR="003E622D" w:rsidRPr="009405F5" w:rsidRDefault="003E622D" w:rsidP="00946D01">
      <w:pPr>
        <w:autoSpaceDE w:val="0"/>
        <w:autoSpaceDN w:val="0"/>
        <w:adjustRightInd w:val="0"/>
        <w:rPr>
          <w:rFonts w:ascii="Arial" w:hAnsi="Arial" w:cs="Arial"/>
          <w:color w:val="000000"/>
          <w:sz w:val="22"/>
          <w:lang w:val="es-CO"/>
        </w:rPr>
      </w:pPr>
      <w:r w:rsidRPr="009405F5">
        <w:rPr>
          <w:rFonts w:ascii="Arial" w:hAnsi="Arial" w:cs="Arial"/>
          <w:color w:val="000000"/>
          <w:sz w:val="22"/>
          <w:lang w:val="es-CO"/>
        </w:rPr>
        <w:t xml:space="preserve">Bogotá D.C., </w:t>
      </w:r>
      <w:r w:rsidR="0047477D" w:rsidRPr="0047477D">
        <w:rPr>
          <w:rFonts w:ascii="Arial" w:hAnsi="Arial" w:cs="Arial"/>
          <w:b/>
          <w:bCs/>
          <w:color w:val="000000"/>
          <w:sz w:val="22"/>
          <w:lang w:val="es-CO"/>
        </w:rPr>
        <w:t>19/08/2020 Hora 9:28:34s</w:t>
      </w:r>
    </w:p>
    <w:p w14:paraId="3AF2FA48" w14:textId="39038290" w:rsidR="003E622D" w:rsidRPr="00297B28" w:rsidRDefault="003E622D" w:rsidP="003E622D">
      <w:pPr>
        <w:jc w:val="right"/>
        <w:rPr>
          <w:rFonts w:ascii="Arial" w:eastAsia="Calibri" w:hAnsi="Arial" w:cs="Arial"/>
          <w:sz w:val="22"/>
        </w:rPr>
      </w:pPr>
      <w:r w:rsidRPr="009405F5">
        <w:rPr>
          <w:rFonts w:ascii="Arial" w:hAnsi="Arial" w:cs="Arial"/>
          <w:b/>
          <w:bCs/>
          <w:color w:val="000000"/>
          <w:sz w:val="22"/>
          <w:lang w:val="es-CO"/>
        </w:rPr>
        <w:t xml:space="preserve">N° Radicado: </w:t>
      </w:r>
      <w:r w:rsidR="0047477D" w:rsidRPr="0047477D">
        <w:rPr>
          <w:rFonts w:ascii="Arial" w:hAnsi="Arial" w:cs="Arial"/>
          <w:b/>
          <w:bCs/>
          <w:color w:val="000000"/>
          <w:sz w:val="22"/>
          <w:lang w:val="es-CO"/>
        </w:rPr>
        <w:t>2202013000007604</w:t>
      </w:r>
    </w:p>
    <w:p w14:paraId="3A0E28E5" w14:textId="77777777" w:rsidR="0025522B" w:rsidRDefault="0025522B" w:rsidP="003E622D">
      <w:pPr>
        <w:rPr>
          <w:rFonts w:ascii="Arial" w:eastAsia="Calibri" w:hAnsi="Arial" w:cs="Arial"/>
          <w:sz w:val="22"/>
        </w:rPr>
      </w:pPr>
    </w:p>
    <w:p w14:paraId="11EB5916" w14:textId="14F94664" w:rsidR="003E622D" w:rsidRPr="00297B28" w:rsidRDefault="003E622D" w:rsidP="003E622D">
      <w:pPr>
        <w:rPr>
          <w:rFonts w:ascii="Arial" w:eastAsia="Calibri" w:hAnsi="Arial" w:cs="Arial"/>
          <w:sz w:val="22"/>
        </w:rPr>
      </w:pPr>
      <w:r w:rsidRPr="00297B28">
        <w:rPr>
          <w:rFonts w:ascii="Arial" w:eastAsia="Calibri" w:hAnsi="Arial" w:cs="Arial"/>
          <w:sz w:val="22"/>
        </w:rPr>
        <w:t>Señor</w:t>
      </w:r>
      <w:r>
        <w:rPr>
          <w:rFonts w:ascii="Arial" w:eastAsia="Calibri" w:hAnsi="Arial" w:cs="Arial"/>
          <w:sz w:val="22"/>
        </w:rPr>
        <w:t>a</w:t>
      </w:r>
    </w:p>
    <w:p w14:paraId="0CC55D8A" w14:textId="77777777" w:rsidR="003E622D" w:rsidRPr="00297B28" w:rsidRDefault="003E622D" w:rsidP="003E622D">
      <w:pPr>
        <w:rPr>
          <w:rFonts w:ascii="Arial" w:eastAsia="Calibri" w:hAnsi="Arial" w:cs="Arial"/>
          <w:b/>
          <w:sz w:val="22"/>
        </w:rPr>
      </w:pPr>
      <w:r>
        <w:rPr>
          <w:rFonts w:ascii="Arial" w:eastAsia="Calibri" w:hAnsi="Arial" w:cs="Arial"/>
          <w:b/>
          <w:sz w:val="22"/>
        </w:rPr>
        <w:t>Ester Pitalua Sayas</w:t>
      </w:r>
    </w:p>
    <w:p w14:paraId="0AA2219F" w14:textId="77777777" w:rsidR="003E622D" w:rsidRPr="00297B28" w:rsidRDefault="003E622D" w:rsidP="003E622D">
      <w:pPr>
        <w:rPr>
          <w:rFonts w:ascii="Arial" w:eastAsia="Calibri" w:hAnsi="Arial" w:cs="Arial"/>
          <w:sz w:val="22"/>
        </w:rPr>
      </w:pPr>
      <w:r>
        <w:rPr>
          <w:rFonts w:ascii="Arial" w:eastAsia="Calibri" w:hAnsi="Arial" w:cs="Arial"/>
          <w:sz w:val="22"/>
        </w:rPr>
        <w:t>Cartagena, Bolívar</w:t>
      </w:r>
    </w:p>
    <w:p w14:paraId="33F8E7C7" w14:textId="77777777" w:rsidR="003E622D" w:rsidRPr="00297B28" w:rsidRDefault="003E622D" w:rsidP="003E622D">
      <w:pPr>
        <w:ind w:firstLine="2694"/>
        <w:rPr>
          <w:rFonts w:ascii="Arial" w:eastAsia="Calibri" w:hAnsi="Arial" w:cs="Arial"/>
          <w:b/>
          <w:sz w:val="22"/>
        </w:rPr>
      </w:pPr>
      <w:r w:rsidRPr="00297B28">
        <w:rPr>
          <w:rFonts w:ascii="Arial" w:eastAsia="Calibri" w:hAnsi="Arial" w:cs="Arial"/>
          <w:b/>
          <w:sz w:val="22"/>
        </w:rPr>
        <w:lastRenderedPageBreak/>
        <w:t xml:space="preserve">Concepto C – </w:t>
      </w:r>
      <w:r>
        <w:rPr>
          <w:rFonts w:ascii="Arial" w:eastAsia="Calibri" w:hAnsi="Arial" w:cs="Arial"/>
          <w:b/>
          <w:sz w:val="22"/>
        </w:rPr>
        <w:t xml:space="preserve">515 </w:t>
      </w:r>
      <w:r w:rsidRPr="00297B28">
        <w:rPr>
          <w:rFonts w:ascii="Arial" w:eastAsia="Calibri" w:hAnsi="Arial" w:cs="Arial"/>
          <w:b/>
          <w:sz w:val="22"/>
        </w:rPr>
        <w:t>de 2020</w:t>
      </w:r>
    </w:p>
    <w:p w14:paraId="6EE09AA7" w14:textId="77777777" w:rsidR="003E622D" w:rsidRPr="00297B28" w:rsidRDefault="003E622D" w:rsidP="003E622D">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E622D" w:rsidRPr="00297B28" w14:paraId="4D8C53B0" w14:textId="77777777" w:rsidTr="00F53E5C">
        <w:tc>
          <w:tcPr>
            <w:tcW w:w="2689" w:type="dxa"/>
            <w:hideMark/>
          </w:tcPr>
          <w:p w14:paraId="3999DEF2" w14:textId="77777777" w:rsidR="003E622D" w:rsidRPr="00297B28" w:rsidRDefault="003E622D" w:rsidP="00F53E5C">
            <w:pPr>
              <w:rPr>
                <w:rFonts w:ascii="Arial" w:eastAsia="Calibri" w:hAnsi="Arial" w:cs="Arial"/>
                <w:sz w:val="22"/>
              </w:rPr>
            </w:pPr>
            <w:r w:rsidRPr="00297B28">
              <w:rPr>
                <w:rFonts w:ascii="Arial" w:eastAsia="Calibri" w:hAnsi="Arial" w:cs="Arial"/>
                <w:b/>
                <w:sz w:val="22"/>
              </w:rPr>
              <w:t>Temas:</w:t>
            </w:r>
            <w:r w:rsidRPr="00297B28">
              <w:rPr>
                <w:rFonts w:ascii="Arial" w:eastAsia="Calibri" w:hAnsi="Arial" w:cs="Arial"/>
                <w:sz w:val="22"/>
              </w:rPr>
              <w:t xml:space="preserve">           </w:t>
            </w:r>
          </w:p>
          <w:p w14:paraId="5F0AC181" w14:textId="77777777" w:rsidR="003E622D" w:rsidRPr="00297B28" w:rsidRDefault="003E622D" w:rsidP="00F53E5C">
            <w:pPr>
              <w:rPr>
                <w:rFonts w:ascii="Arial" w:eastAsia="Calibri" w:hAnsi="Arial" w:cs="Arial"/>
                <w:sz w:val="22"/>
              </w:rPr>
            </w:pPr>
            <w:r w:rsidRPr="00297B28">
              <w:rPr>
                <w:rFonts w:ascii="Arial" w:eastAsia="Calibri" w:hAnsi="Arial" w:cs="Arial"/>
                <w:sz w:val="22"/>
              </w:rPr>
              <w:t xml:space="preserve">                           </w:t>
            </w:r>
          </w:p>
        </w:tc>
        <w:tc>
          <w:tcPr>
            <w:tcW w:w="6237" w:type="dxa"/>
            <w:hideMark/>
          </w:tcPr>
          <w:p w14:paraId="3AAE58AA" w14:textId="33712E5F" w:rsidR="003E622D" w:rsidRPr="00297B28" w:rsidRDefault="003E622D" w:rsidP="003E622D">
            <w:pPr>
              <w:jc w:val="both"/>
              <w:rPr>
                <w:rFonts w:ascii="Arial" w:eastAsia="Calibri" w:hAnsi="Arial" w:cs="Arial"/>
                <w:bCs/>
                <w:sz w:val="22"/>
              </w:rPr>
            </w:pPr>
            <w:r w:rsidRPr="003E622D">
              <w:rPr>
                <w:rFonts w:ascii="Arial" w:eastAsia="Calibri" w:hAnsi="Arial" w:cs="Arial"/>
                <w:bCs/>
                <w:sz w:val="22"/>
              </w:rPr>
              <w:t>CONTRATACIÓN CON ESAL – Contrato de colaboración – Objeto – Alcance</w:t>
            </w:r>
            <w:r>
              <w:rPr>
                <w:rFonts w:ascii="Arial" w:eastAsia="Calibri" w:hAnsi="Arial" w:cs="Arial"/>
                <w:bCs/>
                <w:sz w:val="22"/>
              </w:rPr>
              <w:t xml:space="preserve"> / </w:t>
            </w:r>
            <w:r w:rsidRPr="003E622D">
              <w:rPr>
                <w:rFonts w:ascii="Arial" w:eastAsia="Calibri" w:hAnsi="Arial" w:cs="Arial"/>
                <w:bCs/>
                <w:sz w:val="22"/>
              </w:rPr>
              <w:t>DECRETO 092 DE 2017 – Aplicación – Criterios</w:t>
            </w:r>
            <w:r>
              <w:rPr>
                <w:rFonts w:ascii="Arial" w:eastAsia="Calibri" w:hAnsi="Arial" w:cs="Arial"/>
                <w:bCs/>
                <w:sz w:val="22"/>
              </w:rPr>
              <w:t xml:space="preserve"> / </w:t>
            </w:r>
            <w:r w:rsidRPr="003E622D">
              <w:rPr>
                <w:rFonts w:ascii="Arial" w:eastAsia="Calibri" w:hAnsi="Arial" w:cs="Arial"/>
                <w:bCs/>
                <w:sz w:val="22"/>
              </w:rPr>
              <w:t>CONVENIOS DE ASOCIACIÓN – Sujetos – Límites legales</w:t>
            </w:r>
            <w:r>
              <w:rPr>
                <w:rFonts w:ascii="Arial" w:eastAsia="Calibri" w:hAnsi="Arial" w:cs="Arial"/>
                <w:bCs/>
                <w:sz w:val="22"/>
              </w:rPr>
              <w:t xml:space="preserve"> / </w:t>
            </w:r>
            <w:r w:rsidRPr="003E622D">
              <w:rPr>
                <w:rFonts w:ascii="Arial" w:eastAsia="Calibri" w:hAnsi="Arial" w:cs="Arial"/>
                <w:bCs/>
                <w:sz w:val="22"/>
              </w:rPr>
              <w:t>CONVENIOS DE ASOCIACIÓN – Aporte económico de la ESAL – Mecanismo de recaudo</w:t>
            </w:r>
          </w:p>
        </w:tc>
      </w:tr>
      <w:tr w:rsidR="003E622D" w:rsidRPr="00297B28" w14:paraId="5447137C" w14:textId="77777777" w:rsidTr="00F53E5C">
        <w:tc>
          <w:tcPr>
            <w:tcW w:w="2689" w:type="dxa"/>
          </w:tcPr>
          <w:p w14:paraId="1B73704A" w14:textId="77777777" w:rsidR="003E622D" w:rsidRPr="00297B28" w:rsidRDefault="003E622D" w:rsidP="00F53E5C">
            <w:pPr>
              <w:rPr>
                <w:rFonts w:ascii="Arial" w:eastAsia="Calibri" w:hAnsi="Arial" w:cs="Arial"/>
                <w:b/>
                <w:sz w:val="22"/>
              </w:rPr>
            </w:pPr>
            <w:r w:rsidRPr="00297B28">
              <w:rPr>
                <w:rFonts w:ascii="Arial" w:eastAsia="Calibri" w:hAnsi="Arial" w:cs="Arial"/>
                <w:b/>
                <w:sz w:val="22"/>
              </w:rPr>
              <w:t>Radicación:</w:t>
            </w:r>
            <w:r w:rsidRPr="00297B28">
              <w:rPr>
                <w:rFonts w:ascii="Arial" w:eastAsia="Calibri" w:hAnsi="Arial" w:cs="Arial"/>
                <w:sz w:val="22"/>
              </w:rPr>
              <w:t xml:space="preserve">                              </w:t>
            </w:r>
          </w:p>
        </w:tc>
        <w:tc>
          <w:tcPr>
            <w:tcW w:w="6237" w:type="dxa"/>
          </w:tcPr>
          <w:p w14:paraId="36A78932" w14:textId="77777777" w:rsidR="003E622D" w:rsidRPr="00297B28" w:rsidRDefault="003E622D" w:rsidP="00F53E5C">
            <w:pPr>
              <w:spacing w:before="60"/>
              <w:jc w:val="both"/>
              <w:rPr>
                <w:rFonts w:ascii="Arial" w:eastAsia="Calibri" w:hAnsi="Arial" w:cs="Arial"/>
                <w:sz w:val="22"/>
              </w:rPr>
            </w:pPr>
            <w:r w:rsidRPr="00297B28">
              <w:rPr>
                <w:rFonts w:ascii="Arial" w:eastAsia="Calibri" w:hAnsi="Arial" w:cs="Arial"/>
                <w:sz w:val="22"/>
              </w:rPr>
              <w:t>Respuesta a consulta # 420201300000</w:t>
            </w:r>
            <w:r>
              <w:rPr>
                <w:rFonts w:ascii="Arial" w:eastAsia="Calibri" w:hAnsi="Arial" w:cs="Arial"/>
                <w:sz w:val="22"/>
              </w:rPr>
              <w:t>6381</w:t>
            </w:r>
          </w:p>
        </w:tc>
      </w:tr>
    </w:tbl>
    <w:p w14:paraId="45C37176" w14:textId="77777777" w:rsidR="003E622D" w:rsidRPr="00297B28" w:rsidRDefault="003E622D" w:rsidP="003E622D">
      <w:pPr>
        <w:rPr>
          <w:rFonts w:ascii="Arial" w:eastAsia="Calibri" w:hAnsi="Arial" w:cs="Arial"/>
          <w:sz w:val="22"/>
        </w:rPr>
      </w:pPr>
    </w:p>
    <w:p w14:paraId="5B30CADE" w14:textId="77777777" w:rsidR="003E622D" w:rsidRPr="00297B28" w:rsidRDefault="003E622D" w:rsidP="003E622D">
      <w:pPr>
        <w:rPr>
          <w:rFonts w:ascii="Arial" w:eastAsia="Calibri" w:hAnsi="Arial" w:cs="Arial"/>
          <w:sz w:val="22"/>
        </w:rPr>
      </w:pPr>
      <w:r w:rsidRPr="00297B28">
        <w:rPr>
          <w:rFonts w:ascii="Arial" w:eastAsia="Calibri" w:hAnsi="Arial" w:cs="Arial"/>
          <w:sz w:val="22"/>
        </w:rPr>
        <w:t>Estimad</w:t>
      </w:r>
      <w:r>
        <w:rPr>
          <w:rFonts w:ascii="Arial" w:eastAsia="Calibri" w:hAnsi="Arial" w:cs="Arial"/>
          <w:sz w:val="22"/>
        </w:rPr>
        <w:t>a ciudadana</w:t>
      </w:r>
      <w:r w:rsidRPr="00297B28">
        <w:rPr>
          <w:rFonts w:ascii="Arial" w:eastAsia="Calibri" w:hAnsi="Arial" w:cs="Arial"/>
          <w:sz w:val="22"/>
        </w:rPr>
        <w:t>:</w:t>
      </w:r>
    </w:p>
    <w:p w14:paraId="79E38BB9" w14:textId="77777777" w:rsidR="003E622D" w:rsidRPr="00297B28" w:rsidRDefault="003E622D" w:rsidP="003E622D">
      <w:pPr>
        <w:rPr>
          <w:rFonts w:ascii="Arial" w:eastAsia="Calibri" w:hAnsi="Arial" w:cs="Arial"/>
          <w:sz w:val="22"/>
        </w:rPr>
      </w:pPr>
    </w:p>
    <w:p w14:paraId="297439AF" w14:textId="77777777" w:rsidR="003E622D" w:rsidRPr="00297B28" w:rsidRDefault="003E622D" w:rsidP="003E622D">
      <w:pPr>
        <w:spacing w:line="276" w:lineRule="auto"/>
        <w:jc w:val="both"/>
        <w:rPr>
          <w:rFonts w:ascii="Arial" w:eastAsia="Calibri" w:hAnsi="Arial" w:cs="Arial"/>
          <w:sz w:val="22"/>
        </w:rPr>
      </w:pPr>
      <w:r w:rsidRPr="00297B28">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sz w:val="22"/>
        </w:rPr>
        <w:t>28</w:t>
      </w:r>
      <w:r w:rsidRPr="00297B28">
        <w:rPr>
          <w:rFonts w:ascii="Arial" w:eastAsia="Calibri" w:hAnsi="Arial" w:cs="Arial"/>
          <w:sz w:val="22"/>
        </w:rPr>
        <w:t xml:space="preserve"> de julio de 2020. </w:t>
      </w:r>
    </w:p>
    <w:p w14:paraId="6AD5C39E" w14:textId="77777777" w:rsidR="003E622D" w:rsidRPr="00297B28" w:rsidRDefault="003E622D" w:rsidP="003E622D">
      <w:pPr>
        <w:spacing w:line="276" w:lineRule="auto"/>
        <w:jc w:val="both"/>
        <w:rPr>
          <w:rFonts w:ascii="Arial" w:eastAsia="Calibri" w:hAnsi="Arial" w:cs="Arial"/>
          <w:sz w:val="22"/>
        </w:rPr>
      </w:pPr>
    </w:p>
    <w:p w14:paraId="25BE6475" w14:textId="77777777" w:rsidR="003E622D" w:rsidRPr="00297B28" w:rsidRDefault="003E622D" w:rsidP="003E622D">
      <w:pPr>
        <w:pStyle w:val="Prrafodelista"/>
        <w:numPr>
          <w:ilvl w:val="0"/>
          <w:numId w:val="6"/>
        </w:numPr>
        <w:tabs>
          <w:tab w:val="left" w:pos="284"/>
        </w:tabs>
        <w:spacing w:line="276" w:lineRule="auto"/>
        <w:ind w:left="0" w:firstLine="0"/>
        <w:jc w:val="both"/>
        <w:rPr>
          <w:rFonts w:ascii="Arial" w:eastAsia="Calibri" w:hAnsi="Arial" w:cs="Arial"/>
          <w:b/>
          <w:sz w:val="22"/>
        </w:rPr>
      </w:pPr>
      <w:r w:rsidRPr="00297B28">
        <w:rPr>
          <w:rFonts w:ascii="Arial" w:eastAsia="Calibri" w:hAnsi="Arial" w:cs="Arial"/>
          <w:b/>
          <w:sz w:val="22"/>
        </w:rPr>
        <w:t xml:space="preserve">Problemas planteados </w:t>
      </w:r>
    </w:p>
    <w:p w14:paraId="1420B140" w14:textId="77777777" w:rsidR="003E622D" w:rsidRPr="00297B28" w:rsidRDefault="003E622D" w:rsidP="003E622D">
      <w:pPr>
        <w:tabs>
          <w:tab w:val="left" w:pos="426"/>
        </w:tabs>
        <w:spacing w:line="276" w:lineRule="auto"/>
        <w:jc w:val="both"/>
        <w:rPr>
          <w:rFonts w:ascii="Arial" w:eastAsia="Calibri" w:hAnsi="Arial" w:cs="Arial"/>
          <w:b/>
          <w:sz w:val="22"/>
        </w:rPr>
      </w:pPr>
    </w:p>
    <w:p w14:paraId="453CA86F" w14:textId="0341251B" w:rsidR="003E622D" w:rsidRPr="00297B28" w:rsidRDefault="003E622D" w:rsidP="0011092B">
      <w:pPr>
        <w:tabs>
          <w:tab w:val="left" w:pos="426"/>
        </w:tabs>
        <w:spacing w:line="276" w:lineRule="auto"/>
        <w:jc w:val="both"/>
        <w:rPr>
          <w:rFonts w:ascii="Arial" w:eastAsia="Calibri" w:hAnsi="Arial" w:cs="Arial"/>
          <w:sz w:val="22"/>
        </w:rPr>
      </w:pPr>
      <w:r w:rsidRPr="00297B28">
        <w:rPr>
          <w:rFonts w:ascii="Arial" w:eastAsia="Calibri" w:hAnsi="Arial" w:cs="Arial"/>
          <w:sz w:val="22"/>
        </w:rPr>
        <w:t xml:space="preserve">Usted realiza las siguientes preguntas relacionadas con la aplicación del artículo </w:t>
      </w:r>
      <w:r>
        <w:rPr>
          <w:rFonts w:ascii="Arial" w:eastAsia="Calibri" w:hAnsi="Arial" w:cs="Arial"/>
          <w:sz w:val="22"/>
        </w:rPr>
        <w:t>5</w:t>
      </w:r>
      <w:r w:rsidRPr="00297B28">
        <w:rPr>
          <w:rFonts w:ascii="Arial" w:eastAsia="Calibri" w:hAnsi="Arial" w:cs="Arial"/>
          <w:sz w:val="22"/>
        </w:rPr>
        <w:t xml:space="preserve"> del Decreto 092 del 2017: </w:t>
      </w:r>
      <w:r>
        <w:rPr>
          <w:rFonts w:ascii="Arial" w:eastAsia="Calibri" w:hAnsi="Arial" w:cs="Arial"/>
          <w:sz w:val="22"/>
        </w:rPr>
        <w:t>i)</w:t>
      </w:r>
      <w:r w:rsidRPr="00297B28">
        <w:rPr>
          <w:rFonts w:ascii="Arial" w:eastAsia="Calibri" w:hAnsi="Arial" w:cs="Arial"/>
          <w:sz w:val="22"/>
        </w:rPr>
        <w:t xml:space="preserve"> «</w:t>
      </w:r>
      <w:r>
        <w:rPr>
          <w:rFonts w:ascii="Arial" w:eastAsia="Calibri" w:hAnsi="Arial" w:cs="Arial"/>
          <w:sz w:val="22"/>
        </w:rPr>
        <w:t xml:space="preserve">[…] </w:t>
      </w:r>
      <w:r w:rsidRPr="00BC5611">
        <w:rPr>
          <w:rFonts w:ascii="Arial" w:eastAsia="Calibri" w:hAnsi="Arial" w:cs="Arial"/>
          <w:sz w:val="22"/>
        </w:rPr>
        <w:t xml:space="preserve">¿la entidad </w:t>
      </w:r>
      <w:r w:rsidR="00703385" w:rsidRPr="00BC5611">
        <w:rPr>
          <w:rFonts w:ascii="Arial" w:eastAsia="Calibri" w:hAnsi="Arial" w:cs="Arial"/>
          <w:sz w:val="22"/>
        </w:rPr>
        <w:t>pública</w:t>
      </w:r>
      <w:r w:rsidRPr="00BC5611">
        <w:rPr>
          <w:rFonts w:ascii="Arial" w:eastAsia="Calibri" w:hAnsi="Arial" w:cs="Arial"/>
          <w:sz w:val="22"/>
        </w:rPr>
        <w:t xml:space="preserve"> contratante puede exigir dentro del convenio la </w:t>
      </w:r>
      <w:r w:rsidR="00703385" w:rsidRPr="00BC5611">
        <w:rPr>
          <w:rFonts w:ascii="Arial" w:eastAsia="Calibri" w:hAnsi="Arial" w:cs="Arial"/>
          <w:sz w:val="22"/>
        </w:rPr>
        <w:t>consignación</w:t>
      </w:r>
      <w:r w:rsidRPr="00BC5611">
        <w:rPr>
          <w:rFonts w:ascii="Arial" w:eastAsia="Calibri" w:hAnsi="Arial" w:cs="Arial"/>
          <w:sz w:val="22"/>
        </w:rPr>
        <w:t xml:space="preserve"> del valor de la contrapartida, en una cuenta que el contratante creará para tal fin?</w:t>
      </w:r>
      <w:r>
        <w:rPr>
          <w:rFonts w:ascii="Arial" w:eastAsia="Calibri" w:hAnsi="Arial" w:cs="Arial"/>
          <w:sz w:val="22"/>
        </w:rPr>
        <w:t xml:space="preserve">»; y ii) «[…] </w:t>
      </w:r>
      <w:r w:rsidRPr="00BC5611">
        <w:rPr>
          <w:rFonts w:ascii="Arial" w:eastAsia="Calibri" w:hAnsi="Arial" w:cs="Arial"/>
          <w:sz w:val="22"/>
        </w:rPr>
        <w:t>En caso de ser posible, por favor informar cual es la normatividad que lo regula</w:t>
      </w:r>
      <w:r w:rsidRPr="00297B28">
        <w:rPr>
          <w:rFonts w:ascii="Arial" w:eastAsia="Calibri" w:hAnsi="Arial" w:cs="Arial"/>
          <w:sz w:val="22"/>
        </w:rPr>
        <w:t>».</w:t>
      </w:r>
    </w:p>
    <w:p w14:paraId="43168F67" w14:textId="77777777" w:rsidR="003E622D" w:rsidRPr="00297B28" w:rsidRDefault="003E622D" w:rsidP="003E622D">
      <w:pPr>
        <w:tabs>
          <w:tab w:val="left" w:pos="426"/>
        </w:tabs>
        <w:spacing w:line="276" w:lineRule="auto"/>
        <w:jc w:val="both"/>
        <w:rPr>
          <w:rFonts w:ascii="Arial" w:eastAsia="Calibri" w:hAnsi="Arial" w:cs="Arial"/>
          <w:sz w:val="22"/>
        </w:rPr>
      </w:pPr>
    </w:p>
    <w:p w14:paraId="53883D88" w14:textId="77777777" w:rsidR="003E622D" w:rsidRPr="00297B28" w:rsidRDefault="003E622D" w:rsidP="003E622D">
      <w:pPr>
        <w:pStyle w:val="Prrafodelista"/>
        <w:numPr>
          <w:ilvl w:val="0"/>
          <w:numId w:val="6"/>
        </w:numPr>
        <w:tabs>
          <w:tab w:val="left" w:pos="426"/>
        </w:tabs>
        <w:spacing w:line="276" w:lineRule="auto"/>
        <w:ind w:left="284" w:hanging="284"/>
        <w:jc w:val="both"/>
        <w:rPr>
          <w:rFonts w:ascii="Arial" w:eastAsia="Calibri" w:hAnsi="Arial" w:cs="Arial"/>
          <w:b/>
          <w:sz w:val="22"/>
        </w:rPr>
      </w:pPr>
      <w:r w:rsidRPr="00297B28">
        <w:rPr>
          <w:rFonts w:ascii="Arial" w:eastAsia="Calibri" w:hAnsi="Arial" w:cs="Arial"/>
          <w:b/>
          <w:sz w:val="22"/>
        </w:rPr>
        <w:t>Consideraciones</w:t>
      </w:r>
    </w:p>
    <w:p w14:paraId="2CAD5F74" w14:textId="77777777" w:rsidR="003E622D" w:rsidRPr="00297B28" w:rsidRDefault="003E622D" w:rsidP="003E622D">
      <w:pPr>
        <w:pStyle w:val="Sinespaciado"/>
        <w:spacing w:line="276" w:lineRule="auto"/>
        <w:jc w:val="both"/>
        <w:rPr>
          <w:rFonts w:ascii="Arial" w:hAnsi="Arial" w:cs="Arial"/>
          <w:sz w:val="22"/>
        </w:rPr>
      </w:pPr>
    </w:p>
    <w:p w14:paraId="12339ED7" w14:textId="77777777" w:rsidR="003E622D" w:rsidRPr="00297B28" w:rsidRDefault="003E622D" w:rsidP="003E622D">
      <w:pPr>
        <w:pStyle w:val="Sinespaciado"/>
        <w:spacing w:line="276" w:lineRule="auto"/>
        <w:jc w:val="both"/>
        <w:rPr>
          <w:rFonts w:ascii="Arial" w:hAnsi="Arial" w:cs="Arial"/>
          <w:sz w:val="22"/>
        </w:rPr>
      </w:pPr>
      <w:r w:rsidRPr="00297B28">
        <w:rPr>
          <w:rFonts w:ascii="Arial" w:hAnsi="Arial" w:cs="Arial"/>
          <w:sz w:val="22"/>
        </w:rPr>
        <w:t>Para responder a sus interrogantes se estudiarán los siguientes tópicos: i)</w:t>
      </w:r>
      <w:r w:rsidRPr="00297B28">
        <w:t xml:space="preserve"> l</w:t>
      </w:r>
      <w:r w:rsidRPr="00297B28">
        <w:rPr>
          <w:rFonts w:ascii="Arial" w:hAnsi="Arial" w:cs="Arial"/>
          <w:sz w:val="22"/>
        </w:rPr>
        <w:t>os artículos 355 de la Constitución Política y 96 de la Ley 489 de 1998; y ii) la suspensión provisional de algunas normas del Decreto 92 de 2017.</w:t>
      </w:r>
    </w:p>
    <w:p w14:paraId="61614C56" w14:textId="77777777" w:rsidR="003E622D" w:rsidRPr="00297B28" w:rsidRDefault="003E622D" w:rsidP="003E622D">
      <w:pPr>
        <w:pStyle w:val="Sinespaciado"/>
        <w:spacing w:line="276" w:lineRule="auto"/>
        <w:jc w:val="both"/>
        <w:rPr>
          <w:rFonts w:ascii="Arial" w:hAnsi="Arial" w:cs="Arial"/>
          <w:sz w:val="22"/>
        </w:rPr>
      </w:pPr>
    </w:p>
    <w:p w14:paraId="6CBA5BDA" w14:textId="77777777" w:rsidR="003E622D" w:rsidRPr="00297B28" w:rsidRDefault="003E622D" w:rsidP="003E622D">
      <w:pPr>
        <w:pStyle w:val="Sinespaciado"/>
        <w:tabs>
          <w:tab w:val="left" w:pos="426"/>
        </w:tabs>
        <w:spacing w:line="276" w:lineRule="auto"/>
        <w:jc w:val="both"/>
        <w:rPr>
          <w:rFonts w:ascii="Arial" w:hAnsi="Arial" w:cs="Arial"/>
          <w:b/>
          <w:bCs/>
          <w:i/>
          <w:iCs/>
          <w:sz w:val="22"/>
        </w:rPr>
      </w:pPr>
      <w:r w:rsidRPr="00297B28">
        <w:rPr>
          <w:rFonts w:ascii="Arial" w:hAnsi="Arial" w:cs="Arial"/>
          <w:b/>
          <w:bCs/>
          <w:sz w:val="22"/>
        </w:rPr>
        <w:t>2.1.</w:t>
      </w:r>
      <w:r w:rsidRPr="00297B28">
        <w:rPr>
          <w:rFonts w:ascii="Arial" w:hAnsi="Arial" w:cs="Arial"/>
          <w:b/>
          <w:bCs/>
          <w:sz w:val="22"/>
        </w:rPr>
        <w:tab/>
        <w:t>Los artículos 355 de la Constitución Política y 96 de la Ley 489 de 1998</w:t>
      </w:r>
    </w:p>
    <w:p w14:paraId="7F0229F0" w14:textId="77777777" w:rsidR="00CA56A6" w:rsidRDefault="00CA56A6" w:rsidP="00CA56A6">
      <w:pPr>
        <w:spacing w:line="276" w:lineRule="auto"/>
        <w:jc w:val="both"/>
        <w:rPr>
          <w:rFonts w:ascii="Arial" w:eastAsia="Calibri" w:hAnsi="Arial" w:cs="Arial"/>
          <w:sz w:val="22"/>
        </w:rPr>
      </w:pPr>
    </w:p>
    <w:p w14:paraId="4462A784" w14:textId="3283A29D" w:rsidR="003E622D" w:rsidRPr="00297B28" w:rsidRDefault="003E622D" w:rsidP="0011092B">
      <w:pPr>
        <w:spacing w:line="276" w:lineRule="auto"/>
        <w:jc w:val="both"/>
        <w:rPr>
          <w:rFonts w:ascii="Arial" w:eastAsia="Calibri" w:hAnsi="Arial" w:cs="Arial"/>
          <w:sz w:val="22"/>
        </w:rPr>
      </w:pPr>
      <w:r w:rsidRPr="00297B28">
        <w:rPr>
          <w:rFonts w:ascii="Arial" w:eastAsia="Calibri" w:hAnsi="Arial" w:cs="Arial"/>
          <w:sz w:val="22"/>
        </w:rPr>
        <w:t xml:space="preserve">La Agencia Nacional de Contratación Pública – Colombia Compra Eficiente se ha pronunciado en diferentes conceptos sobre la contratación con </w:t>
      </w:r>
      <w:r w:rsidRPr="00297B28">
        <w:rPr>
          <w:rFonts w:ascii="Arial" w:hAnsi="Arial" w:cs="Arial"/>
          <w:sz w:val="22"/>
        </w:rPr>
        <w:t>entidades privadas sin ánimo de lucro y de reconocida idoneidad</w:t>
      </w:r>
      <w:r w:rsidRPr="00297B28">
        <w:rPr>
          <w:rFonts w:ascii="Arial" w:eastAsia="Calibri" w:hAnsi="Arial" w:cs="Arial"/>
          <w:sz w:val="22"/>
        </w:rPr>
        <w:t xml:space="preserve"> –</w:t>
      </w:r>
      <w:r w:rsidRPr="00297B28">
        <w:rPr>
          <w:rFonts w:ascii="Arial" w:hAnsi="Arial" w:cs="Arial"/>
          <w:sz w:val="22"/>
        </w:rPr>
        <w:t>desde ahora ESAL–</w:t>
      </w:r>
      <w:r w:rsidRPr="00297B28">
        <w:rPr>
          <w:rFonts w:ascii="Arial" w:eastAsia="Calibri" w:hAnsi="Arial" w:cs="Arial"/>
          <w:sz w:val="22"/>
        </w:rPr>
        <w:t>, en los conceptos del 30 de agosto y el 20 de diciembre de 2019 ─Radicados Nos. 2201913000006394 y 2201913000009467─ y, recientemente, en los conceptos C-081 del 3 de marzo de 2020, C-070  del 4 de marzo de 2020, C-094 del 4 de marzo de 2020, C-228 del 17 de marzo de 2020</w:t>
      </w:r>
      <w:r>
        <w:rPr>
          <w:rFonts w:ascii="Arial" w:eastAsia="Calibri" w:hAnsi="Arial" w:cs="Arial"/>
          <w:sz w:val="22"/>
        </w:rPr>
        <w:t xml:space="preserve">, </w:t>
      </w:r>
      <w:r w:rsidRPr="00297B28">
        <w:rPr>
          <w:rFonts w:ascii="Arial" w:eastAsia="Calibri" w:hAnsi="Arial" w:cs="Arial"/>
          <w:sz w:val="22"/>
        </w:rPr>
        <w:t>C-416 del 3 de julio de 2020</w:t>
      </w:r>
      <w:r>
        <w:rPr>
          <w:rFonts w:ascii="Arial" w:eastAsia="Calibri" w:hAnsi="Arial" w:cs="Arial"/>
          <w:sz w:val="22"/>
        </w:rPr>
        <w:t xml:space="preserve"> y C-498 del 27 de julio de 2020</w:t>
      </w:r>
      <w:r w:rsidRPr="00297B28">
        <w:rPr>
          <w:rFonts w:ascii="Arial" w:eastAsia="Calibri" w:hAnsi="Arial" w:cs="Arial"/>
          <w:sz w:val="22"/>
        </w:rPr>
        <w:t xml:space="preserve"> ─radicados Nos. 2202013000001573, 4202012000000478, 4202013000000755, 2202013000002007, 2202013000005738</w:t>
      </w:r>
      <w:r>
        <w:rPr>
          <w:rFonts w:ascii="Arial" w:eastAsia="Calibri" w:hAnsi="Arial" w:cs="Arial"/>
          <w:sz w:val="22"/>
        </w:rPr>
        <w:t xml:space="preserve"> y </w:t>
      </w:r>
      <w:r w:rsidRPr="00DC684A">
        <w:rPr>
          <w:rFonts w:ascii="Arial" w:eastAsia="Calibri" w:hAnsi="Arial" w:cs="Arial"/>
          <w:sz w:val="22"/>
        </w:rPr>
        <w:t>2202013000006690</w:t>
      </w:r>
      <w:r w:rsidRPr="00297B28">
        <w:rPr>
          <w:rFonts w:ascii="Arial" w:eastAsia="Calibri" w:hAnsi="Arial" w:cs="Arial"/>
          <w:sz w:val="22"/>
        </w:rPr>
        <w:t>─, por lo que en esta ocasión se reiteran dichas consideraciones.</w:t>
      </w:r>
    </w:p>
    <w:p w14:paraId="17C14D65" w14:textId="77777777" w:rsidR="003E622D" w:rsidRPr="00297B28" w:rsidRDefault="003E622D" w:rsidP="003E622D">
      <w:pPr>
        <w:pStyle w:val="Sinespaciado"/>
        <w:spacing w:before="120" w:line="276" w:lineRule="auto"/>
        <w:ind w:firstLine="708"/>
        <w:jc w:val="both"/>
        <w:rPr>
          <w:rFonts w:ascii="Arial" w:hAnsi="Arial" w:cs="Arial"/>
          <w:sz w:val="22"/>
        </w:rPr>
      </w:pPr>
      <w:r w:rsidRPr="00297B28">
        <w:rPr>
          <w:rFonts w:ascii="Arial" w:hAnsi="Arial" w:cs="Arial"/>
          <w:sz w:val="22"/>
        </w:rPr>
        <w:lastRenderedPageBreak/>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297B28">
        <w:rPr>
          <w:rStyle w:val="Refdenotaalpie"/>
          <w:rFonts w:ascii="Arial" w:hAnsi="Arial" w:cs="Arial"/>
          <w:sz w:val="22"/>
        </w:rPr>
        <w:footnoteReference w:id="1"/>
      </w:r>
      <w:r w:rsidRPr="00297B28">
        <w:rPr>
          <w:rFonts w:ascii="Arial" w:hAnsi="Arial" w:cs="Arial"/>
          <w:sz w:val="22"/>
        </w:rPr>
        <w:t>.</w:t>
      </w:r>
    </w:p>
    <w:p w14:paraId="6DC2D861"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Por otra parte, la Ley 489 de 1998, en el artículo 96</w:t>
      </w:r>
      <w:r w:rsidRPr="00297B28">
        <w:rPr>
          <w:rStyle w:val="Refdenotaalpie"/>
          <w:rFonts w:ascii="Arial" w:eastAsia="Calibri" w:hAnsi="Arial" w:cs="Arial"/>
          <w:sz w:val="22"/>
        </w:rPr>
        <w:footnoteReference w:id="2"/>
      </w:r>
      <w:r w:rsidRPr="00297B28">
        <w:rPr>
          <w:rFonts w:ascii="Arial" w:eastAsia="Calibri" w:hAnsi="Arial" w:cs="Arial"/>
          <w:sz w:val="22"/>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66F40662"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hAnsi="Arial" w:cs="Arial"/>
          <w:sz w:val="22"/>
        </w:rPr>
        <w:t>El Gobierno nacional, en desarrollo del artículo 355 de la Constitución, expidió el Decreto 92 de 2017, q</w:t>
      </w:r>
      <w:r w:rsidRPr="00297B28">
        <w:rPr>
          <w:rFonts w:ascii="Arial" w:eastAsia="Calibri" w:hAnsi="Arial" w:cs="Arial"/>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297B28">
        <w:rPr>
          <w:rFonts w:ascii="Arial" w:eastAsia="Calibri" w:hAnsi="Arial" w:cs="Arial"/>
          <w:i/>
          <w:iCs/>
          <w:sz w:val="22"/>
        </w:rPr>
        <w:t>ibidem</w:t>
      </w:r>
      <w:r w:rsidRPr="00297B28">
        <w:rPr>
          <w:rFonts w:ascii="Arial" w:eastAsia="Calibri" w:hAnsi="Arial" w:cs="Arial"/>
          <w:sz w:val="22"/>
        </w:rPr>
        <w:t xml:space="preserve">. Es posible diferenciar, pues, los </w:t>
      </w:r>
      <w:r w:rsidRPr="00297B28">
        <w:rPr>
          <w:rFonts w:ascii="Arial" w:eastAsia="Calibri" w:hAnsi="Arial" w:cs="Arial"/>
          <w:i/>
          <w:iCs/>
          <w:sz w:val="22"/>
        </w:rPr>
        <w:t>convenios de asociación</w:t>
      </w:r>
      <w:r w:rsidRPr="00297B28">
        <w:rPr>
          <w:rFonts w:ascii="Arial" w:eastAsia="Calibri" w:hAnsi="Arial" w:cs="Arial"/>
          <w:sz w:val="22"/>
        </w:rPr>
        <w:t xml:space="preserve">, regulados en el artículo 5, de los </w:t>
      </w:r>
      <w:r w:rsidRPr="00297B28">
        <w:rPr>
          <w:rFonts w:ascii="Arial" w:eastAsia="Calibri" w:hAnsi="Arial" w:cs="Arial"/>
          <w:i/>
          <w:iCs/>
          <w:sz w:val="22"/>
        </w:rPr>
        <w:t>contratos de colaboración</w:t>
      </w:r>
      <w:r w:rsidRPr="00297B28">
        <w:rPr>
          <w:rFonts w:ascii="Arial" w:eastAsia="Calibri" w:hAnsi="Arial" w:cs="Arial"/>
          <w:sz w:val="22"/>
        </w:rPr>
        <w:t>, establecidos en el artículo 2 del Decreto 92 de 2017</w:t>
      </w:r>
      <w:r w:rsidRPr="00297B28">
        <w:rPr>
          <w:rStyle w:val="Refdenotaalpie"/>
          <w:rFonts w:ascii="Arial" w:eastAsia="Calibri" w:hAnsi="Arial" w:cs="Arial"/>
          <w:sz w:val="22"/>
        </w:rPr>
        <w:footnoteReference w:id="3"/>
      </w:r>
      <w:r w:rsidRPr="00297B28">
        <w:rPr>
          <w:rFonts w:ascii="Arial" w:eastAsia="Calibri" w:hAnsi="Arial" w:cs="Arial"/>
          <w:sz w:val="22"/>
        </w:rPr>
        <w:t xml:space="preserve">. </w:t>
      </w:r>
    </w:p>
    <w:p w14:paraId="3AA5D543"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De conformidad con el artículo 96 de la Ley 489 de 1996, los </w:t>
      </w:r>
      <w:r w:rsidRPr="00297B28">
        <w:rPr>
          <w:rFonts w:ascii="Arial" w:eastAsia="Calibri" w:hAnsi="Arial" w:cs="Arial"/>
          <w:i/>
          <w:sz w:val="22"/>
        </w:rPr>
        <w:t>convenios de asociación</w:t>
      </w:r>
      <w:r w:rsidRPr="00297B28">
        <w:rPr>
          <w:rFonts w:ascii="Arial" w:eastAsia="Calibri" w:hAnsi="Arial" w:cs="Arial"/>
          <w:sz w:val="22"/>
        </w:rPr>
        <w:t xml:space="preserve"> pueden ser celebrados por cualquier entidad estatal «cualquiera sea su </w:t>
      </w:r>
      <w:r w:rsidRPr="00297B28">
        <w:rPr>
          <w:rFonts w:ascii="Arial" w:eastAsia="Calibri" w:hAnsi="Arial" w:cs="Arial"/>
          <w:sz w:val="22"/>
        </w:rPr>
        <w:lastRenderedPageBreak/>
        <w:t xml:space="preserve">naturaleza y orden administrativo», mientras que el artículo 355 superior establece que los </w:t>
      </w:r>
      <w:r w:rsidRPr="00297B28">
        <w:rPr>
          <w:rFonts w:ascii="Arial" w:eastAsia="Calibri" w:hAnsi="Arial" w:cs="Arial"/>
          <w:i/>
          <w:sz w:val="22"/>
        </w:rPr>
        <w:t>contratos de colaboración</w:t>
      </w:r>
      <w:r w:rsidRPr="00297B28">
        <w:rPr>
          <w:rFonts w:ascii="Arial" w:eastAsia="Calibri" w:hAnsi="Arial" w:cs="Arial"/>
          <w:sz w:val="22"/>
        </w:rPr>
        <w:t xml:space="preserve">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finalística supone una lectura de la norma en sentido amplio, es decir, de tal forma que se entienda que todas las entidades que forman parte de la Rama Ejecutiva pueden celebrar contratos con ESAL para la ejecución de actividades de interés público»</w:t>
      </w:r>
      <w:r w:rsidRPr="00297B28">
        <w:rPr>
          <w:rStyle w:val="Refdenotaalpie"/>
          <w:rFonts w:ascii="Arial" w:eastAsia="Calibri" w:hAnsi="Arial" w:cs="Arial"/>
          <w:sz w:val="22"/>
        </w:rPr>
        <w:footnoteReference w:id="4"/>
      </w:r>
      <w:r w:rsidRPr="00297B28">
        <w:rPr>
          <w:rFonts w:ascii="Arial" w:eastAsia="Calibri" w:hAnsi="Arial" w:cs="Arial"/>
          <w:sz w:val="22"/>
        </w:rPr>
        <w:t xml:space="preserve">.   </w:t>
      </w:r>
    </w:p>
    <w:p w14:paraId="06F34841"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Los </w:t>
      </w:r>
      <w:r w:rsidRPr="00297B28">
        <w:rPr>
          <w:rFonts w:ascii="Arial" w:eastAsia="Calibri" w:hAnsi="Arial" w:cs="Arial"/>
          <w:i/>
          <w:iCs/>
          <w:sz w:val="22"/>
        </w:rPr>
        <w:t xml:space="preserve">contratos de colaboración </w:t>
      </w:r>
      <w:r w:rsidRPr="00297B28">
        <w:rPr>
          <w:rFonts w:ascii="Arial" w:eastAsia="Calibri" w:hAnsi="Arial" w:cs="Arial"/>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E27A215" w14:textId="5BA99E9D"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Ahora bien, por disposición del artículo 4 del Decreto 92 de 2017, las entidades estatales deberán adelantar procesos competitivos cuando en el marco de planeación se evidencie que el programa o actividad que se requiere desarrollar es ofrecido por más de una ESAL. Para tales casos el referido artículo establece que, en el desarrollo de los respectivos procedimientos, la entidad estatal deberá garantizar las siguientes fases</w:t>
      </w:r>
      <w:r>
        <w:rPr>
          <w:rFonts w:ascii="Arial" w:eastAsia="Calibri" w:hAnsi="Arial" w:cs="Arial"/>
          <w:sz w:val="22"/>
        </w:rPr>
        <w:t>:</w:t>
      </w:r>
      <w:r w:rsidRPr="00297B28">
        <w:rPr>
          <w:rFonts w:ascii="Arial" w:eastAsia="Calibri" w:hAnsi="Arial" w:cs="Arial"/>
          <w:sz w:val="22"/>
        </w:rPr>
        <w:t xml:space="preserve">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w:t>
      </w:r>
      <w:r w:rsidRPr="00297B28">
        <w:rPr>
          <w:rFonts w:ascii="Arial" w:eastAsia="Calibri" w:hAnsi="Arial" w:cs="Arial"/>
          <w:sz w:val="22"/>
        </w:rPr>
        <w:lastRenderedPageBreak/>
        <w:t>acrediten su idoneidad, y (iii) evaluación de las ofertas por parte de la Entidad Estatal teniendo en cuenta los criterios definidos para el efecto»</w:t>
      </w:r>
      <w:r w:rsidR="00405B21">
        <w:rPr>
          <w:rStyle w:val="Refdenotaalpie"/>
          <w:rFonts w:ascii="Arial" w:eastAsia="Calibri" w:hAnsi="Arial" w:cs="Arial"/>
          <w:sz w:val="22"/>
        </w:rPr>
        <w:footnoteReference w:id="5"/>
      </w:r>
      <w:r w:rsidRPr="00297B28">
        <w:rPr>
          <w:rFonts w:ascii="Arial" w:eastAsia="Calibri" w:hAnsi="Arial" w:cs="Arial"/>
          <w:sz w:val="22"/>
        </w:rPr>
        <w:t xml:space="preserve">. </w:t>
      </w:r>
    </w:p>
    <w:p w14:paraId="1181C983" w14:textId="25DE3ECA"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En la primera fase o de</w:t>
      </w:r>
      <w:r w:rsidRPr="00297B28">
        <w:rPr>
          <w:rFonts w:ascii="Arial" w:eastAsia="Calibri" w:hAnsi="Arial" w:cs="Arial"/>
          <w:i/>
          <w:sz w:val="22"/>
        </w:rPr>
        <w:t xml:space="preserve"> convocatoria, </w:t>
      </w:r>
      <w:r w:rsidRPr="00297B28">
        <w:rPr>
          <w:rFonts w:ascii="Arial" w:eastAsia="Calibri" w:hAnsi="Arial" w:cs="Arial"/>
          <w:sz w:val="22"/>
        </w:rPr>
        <w:t xml:space="preserve">la norma establece que las entidades deberán definir los indicadores de idoneidad, experiencia, eficacia, eficiencia, manejo de riesgo y los criterios de ponderación de las ofertas, no obstante «tales indicadores deben haberse </w:t>
      </w:r>
      <w:r w:rsidRPr="00297B28">
        <w:rPr>
          <w:rFonts w:ascii="Arial" w:eastAsia="Calibri" w:hAnsi="Arial" w:cs="Arial"/>
          <w:i/>
          <w:sz w:val="22"/>
        </w:rPr>
        <w:t xml:space="preserve">definido </w:t>
      </w:r>
      <w:r w:rsidRPr="00297B28">
        <w:rPr>
          <w:rFonts w:ascii="Arial" w:eastAsia="Calibri" w:hAnsi="Arial" w:cs="Arial"/>
          <w:sz w:val="22"/>
        </w:rPr>
        <w:t>o identificado en la etapa de planeación, mientras que lo que se hace esta etapa es publicarlos, llamando la atención a participar en la competencia a las ESAL interesadas y que los cumplan»</w:t>
      </w:r>
      <w:r w:rsidRPr="00297B28">
        <w:rPr>
          <w:rStyle w:val="Refdenotaalpie"/>
          <w:rFonts w:ascii="Arial" w:eastAsia="Calibri" w:hAnsi="Arial" w:cs="Arial"/>
          <w:sz w:val="22"/>
        </w:rPr>
        <w:footnoteReference w:id="6"/>
      </w:r>
      <w:r>
        <w:rPr>
          <w:rFonts w:ascii="Arial" w:eastAsia="Calibri" w:hAnsi="Arial" w:cs="Arial"/>
          <w:sz w:val="22"/>
        </w:rPr>
        <w:t>.</w:t>
      </w:r>
    </w:p>
    <w:p w14:paraId="3B1C5DD0"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En la segunda fase o </w:t>
      </w:r>
      <w:r w:rsidRPr="00297B28">
        <w:rPr>
          <w:rFonts w:ascii="Arial" w:eastAsia="Calibri" w:hAnsi="Arial" w:cs="Arial"/>
          <w:i/>
          <w:sz w:val="22"/>
        </w:rPr>
        <w:t xml:space="preserve">Plazo para la presentación de ofertas, </w:t>
      </w:r>
      <w:r w:rsidRPr="00297B28">
        <w:rPr>
          <w:rFonts w:ascii="Arial" w:eastAsia="Calibri" w:hAnsi="Arial" w:cs="Arial"/>
          <w:sz w:val="22"/>
        </w:rPr>
        <w:t>la norma se limita a establecer que la entidad deberá definir un plazo razonable para que las ESAL presenten sus ofertas y demás documentación requerida en el marco del procedimiento. La definici</w:t>
      </w:r>
      <w:r>
        <w:rPr>
          <w:rFonts w:ascii="Arial" w:eastAsia="Calibri" w:hAnsi="Arial" w:cs="Arial"/>
          <w:sz w:val="22"/>
        </w:rPr>
        <w:t>ó</w:t>
      </w:r>
      <w:r w:rsidRPr="00297B28">
        <w:rPr>
          <w:rFonts w:ascii="Arial" w:eastAsia="Calibri" w:hAnsi="Arial" w:cs="Arial"/>
          <w:sz w:val="22"/>
        </w:rPr>
        <w:t xml:space="preserve">n de este plazo deberá hacerse en la convocatoria. </w:t>
      </w:r>
    </w:p>
    <w:p w14:paraId="4A47C962" w14:textId="2560525C" w:rsidR="003E622D" w:rsidRPr="00297B28" w:rsidRDefault="003E622D" w:rsidP="003E622D">
      <w:pPr>
        <w:spacing w:before="120" w:line="276" w:lineRule="auto"/>
        <w:ind w:firstLine="708"/>
        <w:jc w:val="both"/>
        <w:rPr>
          <w:rFonts w:ascii="Arial" w:eastAsia="Calibri" w:hAnsi="Arial" w:cs="Arial"/>
          <w:sz w:val="22"/>
          <w:lang w:val="es-CO"/>
        </w:rPr>
      </w:pPr>
      <w:r w:rsidRPr="00297B28">
        <w:rPr>
          <w:rFonts w:ascii="Arial" w:eastAsia="Calibri" w:hAnsi="Arial" w:cs="Arial"/>
          <w:sz w:val="22"/>
        </w:rPr>
        <w:t xml:space="preserve">La tercera fase o de </w:t>
      </w:r>
      <w:r w:rsidRPr="00297B28">
        <w:rPr>
          <w:rFonts w:ascii="Arial" w:eastAsia="Calibri" w:hAnsi="Arial" w:cs="Arial"/>
          <w:i/>
          <w:sz w:val="22"/>
        </w:rPr>
        <w:t>evaluación de ofertas</w:t>
      </w:r>
      <w:r w:rsidRPr="00297B28">
        <w:rPr>
          <w:rFonts w:ascii="Arial" w:eastAsia="Calibri" w:hAnsi="Arial" w:cs="Arial"/>
          <w:sz w:val="22"/>
        </w:rPr>
        <w:t xml:space="preserve"> deberá cumplirse una vez vencido el plazo para la presentación de ofertas, </w:t>
      </w:r>
      <w:r w:rsidR="00703385" w:rsidRPr="00297B28">
        <w:rPr>
          <w:rFonts w:ascii="Arial" w:eastAsia="Calibri" w:hAnsi="Arial" w:cs="Arial"/>
          <w:sz w:val="22"/>
        </w:rPr>
        <w:t>de acuerdo con</w:t>
      </w:r>
      <w:r w:rsidRPr="00297B28">
        <w:rPr>
          <w:rFonts w:ascii="Arial" w:eastAsia="Calibri" w:hAnsi="Arial" w:cs="Arial"/>
          <w:sz w:val="22"/>
        </w:rPr>
        <w:t xml:space="preserve"> los métodos de ponderación y plazo definidos en la convocatoria.</w:t>
      </w:r>
    </w:p>
    <w:p w14:paraId="3F057FC1" w14:textId="77777777" w:rsidR="003E622D" w:rsidRPr="00297B28" w:rsidRDefault="003E622D" w:rsidP="003E622D">
      <w:pPr>
        <w:pStyle w:val="Sinespaciado"/>
        <w:spacing w:before="120" w:line="276" w:lineRule="auto"/>
        <w:ind w:firstLine="708"/>
        <w:jc w:val="both"/>
        <w:rPr>
          <w:rFonts w:ascii="Arial" w:hAnsi="Arial" w:cs="Arial"/>
          <w:sz w:val="22"/>
        </w:rPr>
      </w:pPr>
      <w:r w:rsidRPr="00297B28">
        <w:rPr>
          <w:rFonts w:ascii="Arial" w:hAnsi="Arial" w:cs="Arial"/>
          <w:sz w:val="22"/>
        </w:rPr>
        <w:t xml:space="preserve">De otro lado, los </w:t>
      </w:r>
      <w:r w:rsidRPr="00297B28">
        <w:rPr>
          <w:rFonts w:ascii="Arial" w:hAnsi="Arial" w:cs="Arial"/>
          <w:i/>
          <w:iCs/>
          <w:sz w:val="22"/>
        </w:rPr>
        <w:t>convenios de asociación</w:t>
      </w:r>
      <w:r w:rsidRPr="00297B28">
        <w:rPr>
          <w:rFonts w:ascii="Arial" w:hAnsi="Arial" w:cs="Arial"/>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297B28">
        <w:rPr>
          <w:rStyle w:val="Refdenotaalpie"/>
          <w:rFonts w:ascii="Arial" w:hAnsi="Arial" w:cs="Arial"/>
          <w:sz w:val="22"/>
        </w:rPr>
        <w:footnoteReference w:id="7"/>
      </w:r>
      <w:r w:rsidRPr="00297B28">
        <w:rPr>
          <w:rFonts w:ascii="Arial" w:hAnsi="Arial" w:cs="Arial"/>
          <w:sz w:val="22"/>
        </w:rPr>
        <w:t xml:space="preserve">. </w:t>
      </w:r>
    </w:p>
    <w:p w14:paraId="5102F012" w14:textId="77777777" w:rsidR="003E622D" w:rsidRPr="00FC6180" w:rsidRDefault="003E622D" w:rsidP="003E622D">
      <w:pPr>
        <w:pStyle w:val="Sinespaciado"/>
        <w:spacing w:before="120" w:line="276" w:lineRule="auto"/>
        <w:ind w:firstLine="708"/>
        <w:jc w:val="both"/>
        <w:rPr>
          <w:rFonts w:ascii="Arial" w:hAnsi="Arial" w:cs="Arial"/>
          <w:sz w:val="22"/>
        </w:rPr>
      </w:pPr>
      <w:r w:rsidRPr="00297B28">
        <w:rPr>
          <w:rFonts w:ascii="Arial" w:hAnsi="Arial" w:cs="Arial"/>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w:t>
      </w:r>
      <w:r w:rsidRPr="00FC6180">
        <w:rPr>
          <w:rFonts w:ascii="Arial" w:hAnsi="Arial" w:cs="Arial"/>
          <w:sz w:val="22"/>
        </w:rPr>
        <w:t>convenio.</w:t>
      </w:r>
    </w:p>
    <w:p w14:paraId="78C0BE06" w14:textId="728D4FAF" w:rsidR="003E622D" w:rsidRDefault="003E622D" w:rsidP="003E622D">
      <w:pPr>
        <w:pStyle w:val="Sinespaciado"/>
        <w:spacing w:before="120" w:line="276" w:lineRule="auto"/>
        <w:ind w:firstLine="708"/>
        <w:jc w:val="both"/>
        <w:rPr>
          <w:rFonts w:ascii="Arial" w:hAnsi="Arial" w:cs="Arial"/>
          <w:sz w:val="22"/>
        </w:rPr>
      </w:pPr>
      <w:r w:rsidRPr="00FC6180">
        <w:rPr>
          <w:rFonts w:ascii="Arial" w:hAnsi="Arial" w:cs="Arial"/>
          <w:sz w:val="22"/>
        </w:rPr>
        <w:t xml:space="preserve">Resulta </w:t>
      </w:r>
      <w:bookmarkStart w:id="2" w:name="_Hlk48116482"/>
      <w:r w:rsidRPr="00FC6180">
        <w:rPr>
          <w:rFonts w:ascii="Arial" w:hAnsi="Arial" w:cs="Arial"/>
          <w:sz w:val="22"/>
        </w:rPr>
        <w:t>del caso precisar que las entidades contratantes pueden definir libre y autónomamente el mecanismo de recolección de los recursos en dinero que la ESAL aportará para la ejecución</w:t>
      </w:r>
      <w:r>
        <w:rPr>
          <w:rFonts w:ascii="Arial" w:hAnsi="Arial" w:cs="Arial"/>
          <w:sz w:val="22"/>
        </w:rPr>
        <w:t xml:space="preserve"> de las actividades del convenio de asociación. A título ilustrativo, </w:t>
      </w:r>
      <w:r>
        <w:rPr>
          <w:rFonts w:ascii="Arial" w:hAnsi="Arial" w:cs="Arial"/>
          <w:sz w:val="22"/>
        </w:rPr>
        <w:lastRenderedPageBreak/>
        <w:t>en la «</w:t>
      </w:r>
      <w:r w:rsidRPr="007677F9">
        <w:rPr>
          <w:rFonts w:ascii="Arial" w:hAnsi="Arial" w:cs="Arial"/>
          <w:sz w:val="22"/>
        </w:rPr>
        <w:t>Guía para la contratación con</w:t>
      </w:r>
      <w:r>
        <w:rPr>
          <w:rFonts w:ascii="Arial" w:hAnsi="Arial" w:cs="Arial"/>
          <w:sz w:val="22"/>
        </w:rPr>
        <w:t xml:space="preserve"> </w:t>
      </w:r>
      <w:r w:rsidRPr="007677F9">
        <w:rPr>
          <w:rFonts w:ascii="Arial" w:hAnsi="Arial" w:cs="Arial"/>
          <w:sz w:val="22"/>
        </w:rPr>
        <w:t>entidades privadas sin ánimo de lucro</w:t>
      </w:r>
      <w:r>
        <w:rPr>
          <w:rFonts w:ascii="Arial" w:hAnsi="Arial" w:cs="Arial"/>
          <w:sz w:val="22"/>
        </w:rPr>
        <w:t xml:space="preserve"> </w:t>
      </w:r>
      <w:r w:rsidRPr="007677F9">
        <w:rPr>
          <w:rFonts w:ascii="Arial" w:hAnsi="Arial" w:cs="Arial"/>
          <w:sz w:val="22"/>
        </w:rPr>
        <w:t>y de reconocida idoneidad</w:t>
      </w:r>
      <w:r>
        <w:rPr>
          <w:rFonts w:ascii="Arial" w:hAnsi="Arial" w:cs="Arial"/>
          <w:sz w:val="22"/>
        </w:rPr>
        <w:t xml:space="preserve">», elaborada por Colombia Compra Eficiente, se establece que «[…] </w:t>
      </w:r>
      <w:r w:rsidRPr="006D6051">
        <w:rPr>
          <w:rFonts w:ascii="Arial" w:hAnsi="Arial" w:cs="Arial"/>
          <w:sz w:val="22"/>
        </w:rPr>
        <w:t>la exigencia de recursos en dinero se puede cumplir con instrumentos financieros, jurídicos</w:t>
      </w:r>
      <w:r>
        <w:rPr>
          <w:rFonts w:ascii="Arial" w:hAnsi="Arial" w:cs="Arial"/>
          <w:sz w:val="22"/>
        </w:rPr>
        <w:t xml:space="preserve"> </w:t>
      </w:r>
      <w:r w:rsidRPr="006D6051">
        <w:rPr>
          <w:rFonts w:ascii="Arial" w:hAnsi="Arial" w:cs="Arial"/>
          <w:sz w:val="22"/>
        </w:rPr>
        <w:t>y contables que sean transables y que tengan liquidez suficiente para ser equivalentes al dinero</w:t>
      </w:r>
      <w:r>
        <w:rPr>
          <w:rFonts w:ascii="Arial" w:hAnsi="Arial" w:cs="Arial"/>
          <w:sz w:val="22"/>
        </w:rPr>
        <w:t>». De todos modos, se insiste, la entidad contratante puede definir el mecanismo de que le pare</w:t>
      </w:r>
      <w:r w:rsidR="004211F7">
        <w:rPr>
          <w:rFonts w:ascii="Arial" w:hAnsi="Arial" w:cs="Arial"/>
          <w:sz w:val="22"/>
        </w:rPr>
        <w:t>zca</w:t>
      </w:r>
      <w:r>
        <w:rPr>
          <w:rFonts w:ascii="Arial" w:hAnsi="Arial" w:cs="Arial"/>
          <w:sz w:val="22"/>
        </w:rPr>
        <w:t xml:space="preserve"> más conveniente para el recaudo de los recursos económicos que debe aportar la ESAL.</w:t>
      </w:r>
    </w:p>
    <w:p w14:paraId="1546E411" w14:textId="77777777" w:rsidR="003E622D" w:rsidRPr="006D6051" w:rsidRDefault="003E622D" w:rsidP="003E622D">
      <w:pPr>
        <w:pStyle w:val="Sinespaciado"/>
        <w:spacing w:before="120" w:line="276" w:lineRule="auto"/>
        <w:ind w:firstLine="708"/>
        <w:jc w:val="both"/>
        <w:rPr>
          <w:rFonts w:ascii="Arial" w:hAnsi="Arial" w:cs="Arial"/>
          <w:sz w:val="22"/>
        </w:rPr>
      </w:pPr>
      <w:r>
        <w:rPr>
          <w:rFonts w:ascii="Arial" w:hAnsi="Arial" w:cs="Arial"/>
          <w:sz w:val="22"/>
        </w:rPr>
        <w:t>Tal libertad de configuración se justifica, por un lado, en la ejecución efectiva del convenio de asociación y, por el otro, en la ausencia de regulación el Decreto 092 de 2017.</w:t>
      </w:r>
    </w:p>
    <w:bookmarkEnd w:id="2"/>
    <w:p w14:paraId="5BA82BA1" w14:textId="5A1B85D3" w:rsidR="003E622D" w:rsidRPr="00297B28" w:rsidRDefault="00D7385B" w:rsidP="003E622D">
      <w:pPr>
        <w:pStyle w:val="Sinespaciado"/>
        <w:spacing w:before="120" w:line="276" w:lineRule="auto"/>
        <w:ind w:firstLine="708"/>
        <w:jc w:val="both"/>
        <w:rPr>
          <w:rFonts w:ascii="Arial" w:hAnsi="Arial" w:cs="Arial"/>
          <w:sz w:val="22"/>
        </w:rPr>
      </w:pPr>
      <w:r>
        <w:rPr>
          <w:rFonts w:ascii="Arial" w:hAnsi="Arial" w:cs="Arial"/>
          <w:sz w:val="22"/>
        </w:rPr>
        <w:t>Ah</w:t>
      </w:r>
      <w:r w:rsidR="004F6ECD">
        <w:rPr>
          <w:rFonts w:ascii="Arial" w:hAnsi="Arial" w:cs="Arial"/>
          <w:sz w:val="22"/>
        </w:rPr>
        <w:t>o</w:t>
      </w:r>
      <w:r>
        <w:rPr>
          <w:rFonts w:ascii="Arial" w:hAnsi="Arial" w:cs="Arial"/>
          <w:sz w:val="22"/>
        </w:rPr>
        <w:t>ra, d</w:t>
      </w:r>
      <w:r w:rsidR="003E622D" w:rsidRPr="00297B28">
        <w:rPr>
          <w:rFonts w:ascii="Arial" w:hAnsi="Arial" w:cs="Arial"/>
          <w:sz w:val="22"/>
        </w:rPr>
        <w:t xml:space="preserve">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5D9E95F4" w14:textId="77777777" w:rsidR="003E622D" w:rsidRPr="00297B28" w:rsidRDefault="003E622D" w:rsidP="003E622D">
      <w:pPr>
        <w:pStyle w:val="Sinespaciado"/>
        <w:spacing w:before="120" w:line="276" w:lineRule="auto"/>
        <w:ind w:firstLine="708"/>
        <w:jc w:val="both"/>
        <w:rPr>
          <w:rFonts w:ascii="Arial" w:eastAsia="Calibri" w:hAnsi="Arial" w:cs="Arial"/>
          <w:sz w:val="22"/>
        </w:rPr>
      </w:pPr>
      <w:r w:rsidRPr="00297B28">
        <w:rPr>
          <w:rFonts w:ascii="Arial" w:hAnsi="Arial" w:cs="Arial"/>
          <w:sz w:val="22"/>
        </w:rPr>
        <w:t>L</w:t>
      </w:r>
      <w:r w:rsidRPr="00297B28">
        <w:rPr>
          <w:rFonts w:ascii="Arial" w:eastAsia="Calibri" w:hAnsi="Arial" w:cs="Arial"/>
          <w:sz w:val="22"/>
        </w:rPr>
        <w:t>a normativa vigente no impide que varias entidades suscriban conjuntamente el convenio de asociación y tampoco que dos o más ESAL pueden hacerlo, a través de las figuras asociativas autorizadas por la ley, por ejemplo, la unión temporal o el consorcio</w:t>
      </w:r>
      <w:r w:rsidRPr="00297B28">
        <w:rPr>
          <w:rStyle w:val="Refdenotaalpie"/>
          <w:rFonts w:ascii="Arial" w:eastAsia="Calibri" w:hAnsi="Arial" w:cs="Arial"/>
          <w:sz w:val="22"/>
        </w:rPr>
        <w:footnoteReference w:id="8"/>
      </w:r>
      <w:r w:rsidRPr="00297B28">
        <w:rPr>
          <w:rFonts w:ascii="Arial" w:eastAsia="Calibri" w:hAnsi="Arial" w:cs="Arial"/>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w:t>
      </w:r>
      <w:r w:rsidRPr="00297B28">
        <w:rPr>
          <w:rFonts w:ascii="Arial" w:eastAsia="Calibri" w:hAnsi="Arial" w:cs="Arial"/>
          <w:sz w:val="22"/>
        </w:rPr>
        <w:lastRenderedPageBreak/>
        <w:t>de una ESAL le ofrece al menos el 30% de recursos en dinero para el convenio de asociación, debe seleccionar objetivamente con cual asociarse»</w:t>
      </w:r>
      <w:r w:rsidRPr="00297B28">
        <w:rPr>
          <w:rStyle w:val="Refdenotaalpie"/>
          <w:rFonts w:ascii="Arial" w:eastAsia="Calibri" w:hAnsi="Arial" w:cs="Arial"/>
          <w:sz w:val="22"/>
        </w:rPr>
        <w:footnoteReference w:id="9"/>
      </w:r>
      <w:r w:rsidRPr="00297B28">
        <w:rPr>
          <w:rFonts w:ascii="Arial" w:eastAsia="Calibri" w:hAnsi="Arial" w:cs="Arial"/>
          <w:sz w:val="22"/>
        </w:rPr>
        <w:t>.</w:t>
      </w:r>
    </w:p>
    <w:p w14:paraId="27EBA302" w14:textId="77777777" w:rsidR="003E622D" w:rsidRPr="00297B28" w:rsidRDefault="003E622D" w:rsidP="003E622D">
      <w:pPr>
        <w:spacing w:before="120" w:line="276" w:lineRule="auto"/>
        <w:ind w:firstLine="708"/>
        <w:jc w:val="both"/>
        <w:rPr>
          <w:rFonts w:ascii="Arial" w:hAnsi="Arial" w:cs="Arial"/>
          <w:sz w:val="22"/>
        </w:rPr>
      </w:pPr>
      <w:r w:rsidRPr="00297B28">
        <w:rPr>
          <w:rFonts w:ascii="Arial" w:hAnsi="Arial" w:cs="Arial"/>
          <w:sz w:val="22"/>
        </w:rPr>
        <w:t xml:space="preserve">La noción «seleccionar de forma objetiva», contenida en la disposición </w:t>
      </w:r>
      <w:r w:rsidRPr="00297B28">
        <w:rPr>
          <w:rFonts w:ascii="Arial" w:hAnsi="Arial" w:cs="Arial"/>
          <w:i/>
          <w:iCs/>
          <w:sz w:val="22"/>
        </w:rPr>
        <w:t xml:space="preserve">sub examine </w:t>
      </w:r>
      <w:r w:rsidRPr="00297B28">
        <w:rPr>
          <w:rFonts w:ascii="Arial" w:hAnsi="Arial" w:cs="Arial"/>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15D956C0" w14:textId="77777777" w:rsidR="003E622D" w:rsidRPr="00297B28" w:rsidRDefault="003E622D" w:rsidP="003E622D">
      <w:pPr>
        <w:spacing w:before="120" w:line="276" w:lineRule="auto"/>
        <w:ind w:firstLine="708"/>
        <w:jc w:val="both"/>
        <w:rPr>
          <w:rFonts w:ascii="Arial" w:hAnsi="Arial" w:cs="Arial"/>
          <w:sz w:val="22"/>
        </w:rPr>
      </w:pPr>
      <w:r w:rsidRPr="00297B28">
        <w:rPr>
          <w:rFonts w:ascii="Arial" w:hAnsi="Arial" w:cs="Arial"/>
          <w:sz w:val="22"/>
        </w:rPr>
        <w:t xml:space="preserve">En suma, para la celebración de </w:t>
      </w:r>
      <w:r w:rsidRPr="00297B28">
        <w:rPr>
          <w:rFonts w:ascii="Arial" w:hAnsi="Arial" w:cs="Arial"/>
          <w:i/>
          <w:sz w:val="22"/>
        </w:rPr>
        <w:t>contratos de colaboración</w:t>
      </w:r>
      <w:r w:rsidRPr="00297B28">
        <w:rPr>
          <w:rFonts w:ascii="Arial" w:hAnsi="Arial" w:cs="Arial"/>
          <w:sz w:val="22"/>
        </w:rPr>
        <w:t xml:space="preserve">, cuando en la fase de planeación se determine que el programa a adelantarse es ofertado por más de una ESAL, las entidades estatales deberán adelantar procedimientos de contratación en los que se garanticen las tres fases definidas en el artículo 4 del Decreto 92 de 2017, así como los componentes de las mismas.  En cuanto a </w:t>
      </w:r>
      <w:r w:rsidRPr="00297B28">
        <w:rPr>
          <w:rFonts w:ascii="Arial" w:hAnsi="Arial" w:cs="Arial"/>
          <w:i/>
          <w:sz w:val="22"/>
        </w:rPr>
        <w:t>convenios de asociación</w:t>
      </w:r>
      <w:r w:rsidRPr="00297B28">
        <w:rPr>
          <w:rFonts w:ascii="Arial" w:hAnsi="Arial" w:cs="Arial"/>
          <w:sz w:val="22"/>
        </w:rPr>
        <w:t>,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4DE1C11E" w14:textId="77777777" w:rsidR="003E622D" w:rsidRPr="00297B28" w:rsidRDefault="003E622D" w:rsidP="003E622D">
      <w:pPr>
        <w:spacing w:line="276" w:lineRule="auto"/>
        <w:jc w:val="both"/>
        <w:rPr>
          <w:rFonts w:ascii="Arial" w:eastAsia="Calibri" w:hAnsi="Arial" w:cs="Arial"/>
          <w:sz w:val="22"/>
        </w:rPr>
      </w:pPr>
      <w:r w:rsidRPr="00297B28">
        <w:rPr>
          <w:rFonts w:ascii="Arial" w:eastAsia="Calibri" w:hAnsi="Arial" w:cs="Arial"/>
          <w:sz w:val="22"/>
        </w:rPr>
        <w:tab/>
      </w:r>
    </w:p>
    <w:p w14:paraId="68BA6CAB" w14:textId="77777777" w:rsidR="003E622D" w:rsidRPr="00297B28" w:rsidRDefault="003E622D" w:rsidP="003E622D">
      <w:pPr>
        <w:tabs>
          <w:tab w:val="left" w:pos="426"/>
        </w:tabs>
        <w:spacing w:line="276" w:lineRule="auto"/>
        <w:jc w:val="both"/>
        <w:rPr>
          <w:rFonts w:ascii="Arial" w:hAnsi="Arial" w:cs="Arial"/>
          <w:b/>
          <w:bCs/>
          <w:sz w:val="22"/>
        </w:rPr>
      </w:pPr>
      <w:r w:rsidRPr="00297B28">
        <w:rPr>
          <w:rFonts w:ascii="Arial" w:hAnsi="Arial" w:cs="Arial"/>
          <w:b/>
          <w:bCs/>
          <w:sz w:val="22"/>
        </w:rPr>
        <w:t>2.2.</w:t>
      </w:r>
      <w:r w:rsidRPr="00297B28">
        <w:rPr>
          <w:rFonts w:ascii="Arial" w:hAnsi="Arial" w:cs="Arial"/>
          <w:b/>
          <w:bCs/>
          <w:sz w:val="22"/>
        </w:rPr>
        <w:tab/>
        <w:t>Suspensión provisional de algunas normas del Decreto 92 de 2017</w:t>
      </w:r>
    </w:p>
    <w:p w14:paraId="52E7D4FB" w14:textId="77777777" w:rsidR="003E622D" w:rsidRPr="00297B28" w:rsidRDefault="003E622D" w:rsidP="003E622D">
      <w:pPr>
        <w:spacing w:line="276" w:lineRule="auto"/>
        <w:jc w:val="both"/>
        <w:rPr>
          <w:rFonts w:ascii="Arial" w:hAnsi="Arial" w:cs="Arial"/>
          <w:b/>
          <w:bCs/>
          <w:sz w:val="22"/>
        </w:rPr>
      </w:pPr>
    </w:p>
    <w:p w14:paraId="22E27A80" w14:textId="77777777" w:rsidR="003E622D" w:rsidRPr="00297B28" w:rsidRDefault="003E622D" w:rsidP="003E622D">
      <w:pPr>
        <w:spacing w:before="120" w:line="276" w:lineRule="auto"/>
        <w:jc w:val="both"/>
        <w:rPr>
          <w:rFonts w:ascii="Arial" w:hAnsi="Arial" w:cs="Arial"/>
          <w:sz w:val="22"/>
        </w:rPr>
      </w:pPr>
      <w:r w:rsidRPr="00297B28">
        <w:rPr>
          <w:rFonts w:ascii="Arial" w:hAnsi="Arial" w:cs="Arial"/>
          <w:sz w:val="22"/>
        </w:rPr>
        <w:t xml:space="preserve">Esta entidad se pronunció respecto de la suspensión provisional de algunos apartes del Decreto 92 de 2017, en el concepto No. </w:t>
      </w:r>
      <w:r w:rsidRPr="00297B28">
        <w:rPr>
          <w:rFonts w:ascii="Arial" w:eastAsia="Calibri" w:hAnsi="Arial" w:cs="Arial"/>
          <w:sz w:val="22"/>
        </w:rPr>
        <w:t>2201913000006512</w:t>
      </w:r>
      <w:r w:rsidRPr="00297B28">
        <w:rPr>
          <w:rFonts w:ascii="Arial" w:hAnsi="Arial" w:cs="Arial"/>
          <w:sz w:val="22"/>
        </w:rPr>
        <w:t xml:space="preserve"> del 3 de septiembre de 2019, cuyas consideraciones se reiteraron en los conceptos Nos. </w:t>
      </w:r>
      <w:r w:rsidRPr="00297B28">
        <w:rPr>
          <w:rFonts w:ascii="Arial" w:eastAsia="Calibri" w:hAnsi="Arial" w:cs="Arial"/>
          <w:sz w:val="22"/>
        </w:rPr>
        <w:t xml:space="preserve">2201913000006681 </w:t>
      </w:r>
      <w:r w:rsidRPr="00297B28">
        <w:rPr>
          <w:rFonts w:ascii="Arial" w:hAnsi="Arial" w:cs="Arial"/>
          <w:sz w:val="22"/>
        </w:rPr>
        <w:t xml:space="preserve">y 4201913000005551 del 9 de septiembre de 2019, 2201913000006843 del 16 de septiembre de 2019, </w:t>
      </w:r>
      <w:r w:rsidRPr="00297B28">
        <w:rPr>
          <w:rFonts w:ascii="Arial" w:eastAsia="Calibri" w:hAnsi="Arial" w:cs="Arial"/>
          <w:sz w:val="22"/>
        </w:rPr>
        <w:t xml:space="preserve">2201913000009198 del 12 de diciembre de 2019 y 2201913000009567 del 24 de diciembre de 2019. </w:t>
      </w:r>
      <w:r w:rsidRPr="00297B28">
        <w:rPr>
          <w:rFonts w:ascii="Arial" w:hAnsi="Arial" w:cs="Arial"/>
          <w:sz w:val="22"/>
        </w:rPr>
        <w:t>La tesis propuesta en estos conceptos se expondrá a continuación</w:t>
      </w:r>
      <w:r>
        <w:rPr>
          <w:rFonts w:ascii="Arial" w:hAnsi="Arial" w:cs="Arial"/>
          <w:sz w:val="22"/>
        </w:rPr>
        <w:t>:</w:t>
      </w:r>
    </w:p>
    <w:p w14:paraId="658247C1"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El Consejo de Estado, en el Auto del 6 de agosto de 2019 de la Sección Tercera, Subsección A, Consejero Ponente Carlos Alberto Zambrano Barrera –Exp. 62.003–, estudió la solicitud de suspensión provisional</w:t>
      </w:r>
      <w:r w:rsidRPr="00297B28">
        <w:rPr>
          <w:rStyle w:val="Refdenotaalpie"/>
          <w:rFonts w:ascii="Arial" w:eastAsia="Calibri" w:hAnsi="Arial" w:cs="Arial"/>
          <w:sz w:val="22"/>
        </w:rPr>
        <w:footnoteReference w:id="10"/>
      </w:r>
      <w:r w:rsidRPr="00297B28">
        <w:rPr>
          <w:rFonts w:ascii="Arial" w:eastAsia="Calibri" w:hAnsi="Arial" w:cs="Arial"/>
          <w:sz w:val="22"/>
        </w:rPr>
        <w:t xml:space="preserve"> del inciso 2 del artículo 1, literales a y c del </w:t>
      </w:r>
      <w:r w:rsidRPr="00297B28">
        <w:rPr>
          <w:rFonts w:ascii="Arial" w:eastAsia="Calibri" w:hAnsi="Arial" w:cs="Arial"/>
          <w:sz w:val="22"/>
        </w:rPr>
        <w:lastRenderedPageBreak/>
        <w:t xml:space="preserve">artículo 2, inciso 5 del artículo 2, inciso 2 del artículo 3, inciso final del artículo 4 y artículo 5 del Decreto 92 de 2017. </w:t>
      </w:r>
    </w:p>
    <w:p w14:paraId="5207AD59"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w:t>
      </w:r>
      <w:r w:rsidRPr="00297B28">
        <w:rPr>
          <w:rFonts w:ascii="Arial" w:eastAsia="Calibri" w:hAnsi="Arial" w:cs="Arial"/>
          <w:i/>
          <w:iCs/>
          <w:sz w:val="22"/>
        </w:rPr>
        <w:t>primera</w:t>
      </w:r>
      <w:r w:rsidRPr="00297B28">
        <w:rPr>
          <w:rFonts w:ascii="Arial" w:eastAsia="Calibri" w:hAnsi="Arial" w:cs="Arial"/>
          <w:sz w:val="22"/>
        </w:rPr>
        <w:t xml:space="preserve"> norma que estudió el Consejo de Estado fue el inciso 2 del artículo 1 del Decreto 92 de 2017, el cual establece que la interpretación de las expresiones que se encuentran en mayúsculas en el Decreto 92 de 2017 se harían de conformidad con la guía que expida la Agencia Nacional de Contratación Pública</w:t>
      </w:r>
      <w:r w:rsidRPr="00297B28">
        <w:rPr>
          <w:rStyle w:val="Refdenotaalpie"/>
          <w:rFonts w:ascii="Arial" w:eastAsia="Calibri" w:hAnsi="Arial" w:cs="Arial"/>
          <w:sz w:val="22"/>
        </w:rPr>
        <w:footnoteReference w:id="11"/>
      </w:r>
      <w:r w:rsidRPr="00297B28">
        <w:rPr>
          <w:rFonts w:ascii="Arial" w:eastAsia="Calibri" w:hAnsi="Arial" w:cs="Arial"/>
          <w:sz w:val="22"/>
        </w:rPr>
        <w:t>. Señaló que esta disposición, así como el inciso segundo del artículo 3 del Decreto 92 de 2017</w:t>
      </w:r>
      <w:r w:rsidRPr="00297B28">
        <w:rPr>
          <w:rStyle w:val="Refdenotaalpie"/>
          <w:rFonts w:ascii="Arial" w:eastAsia="Calibri" w:hAnsi="Arial" w:cs="Arial"/>
          <w:sz w:val="22"/>
        </w:rPr>
        <w:footnoteReference w:id="12"/>
      </w:r>
      <w:r w:rsidRPr="00297B28">
        <w:rPr>
          <w:rFonts w:ascii="Arial" w:eastAsia="Calibri" w:hAnsi="Arial" w:cs="Arial"/>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0B92214D" w14:textId="77777777" w:rsidR="003E622D" w:rsidRPr="00297B28" w:rsidRDefault="003E622D" w:rsidP="003E622D">
      <w:pPr>
        <w:spacing w:line="276" w:lineRule="auto"/>
        <w:jc w:val="both"/>
        <w:rPr>
          <w:rFonts w:ascii="Arial" w:eastAsia="Calibri" w:hAnsi="Arial" w:cs="Arial"/>
          <w:sz w:val="22"/>
        </w:rPr>
      </w:pPr>
    </w:p>
    <w:p w14:paraId="00144504" w14:textId="77777777" w:rsidR="003E622D" w:rsidRPr="00297B28" w:rsidRDefault="003E622D" w:rsidP="003E622D">
      <w:pPr>
        <w:tabs>
          <w:tab w:val="left" w:pos="8789"/>
        </w:tabs>
        <w:ind w:left="708" w:right="709"/>
        <w:jc w:val="both"/>
        <w:rPr>
          <w:rFonts w:ascii="Arial" w:eastAsia="Calibri" w:hAnsi="Arial" w:cs="Arial"/>
          <w:sz w:val="21"/>
          <w:szCs w:val="21"/>
        </w:rPr>
      </w:pPr>
      <w:r w:rsidRPr="00297B28">
        <w:rPr>
          <w:rFonts w:ascii="Arial" w:eastAsia="Calibri" w:hAnsi="Arial"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24A86D37" w14:textId="77777777" w:rsidR="003E622D" w:rsidRPr="00297B28" w:rsidRDefault="003E622D" w:rsidP="003E622D">
      <w:pPr>
        <w:spacing w:line="276" w:lineRule="auto"/>
        <w:jc w:val="both"/>
        <w:rPr>
          <w:rFonts w:ascii="Arial" w:eastAsia="Calibri" w:hAnsi="Arial" w:cs="Arial"/>
          <w:sz w:val="22"/>
        </w:rPr>
      </w:pPr>
    </w:p>
    <w:p w14:paraId="6C72AAC0" w14:textId="77777777" w:rsidR="003E622D" w:rsidRPr="00297B28" w:rsidRDefault="003E622D" w:rsidP="003E622D">
      <w:pPr>
        <w:spacing w:line="276" w:lineRule="auto"/>
        <w:ind w:firstLine="709"/>
        <w:jc w:val="both"/>
        <w:rPr>
          <w:rFonts w:ascii="Arial" w:eastAsia="Calibri" w:hAnsi="Arial" w:cs="Arial"/>
          <w:sz w:val="22"/>
        </w:rPr>
      </w:pPr>
      <w:r w:rsidRPr="00297B28">
        <w:rPr>
          <w:rFonts w:ascii="Arial" w:eastAsia="Calibri" w:hAnsi="Arial" w:cs="Arial"/>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060D7214"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lastRenderedPageBreak/>
        <w:t xml:space="preserve">La </w:t>
      </w:r>
      <w:r w:rsidRPr="00297B28">
        <w:rPr>
          <w:rFonts w:ascii="Arial" w:eastAsia="Calibri" w:hAnsi="Arial" w:cs="Arial"/>
          <w:i/>
          <w:iCs/>
          <w:sz w:val="22"/>
        </w:rPr>
        <w:t>segunda</w:t>
      </w:r>
      <w:r w:rsidRPr="00297B28">
        <w:rPr>
          <w:rFonts w:ascii="Arial" w:eastAsia="Calibri" w:hAnsi="Arial" w:cs="Arial"/>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297B28">
        <w:rPr>
          <w:rStyle w:val="Refdenotaalpie"/>
          <w:rFonts w:ascii="Arial" w:hAnsi="Arial" w:cs="Arial"/>
          <w:sz w:val="22"/>
        </w:rPr>
        <w:footnoteReference w:id="13"/>
      </w:r>
      <w:r w:rsidRPr="00297B28">
        <w:rPr>
          <w:rFonts w:ascii="Arial" w:eastAsia="Calibri" w:hAnsi="Arial" w:cs="Arial"/>
          <w:sz w:val="22"/>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4CDE1326" w14:textId="77777777" w:rsidR="003E622D" w:rsidRPr="00297B28" w:rsidRDefault="003E622D" w:rsidP="003E622D">
      <w:pPr>
        <w:spacing w:line="276" w:lineRule="auto"/>
        <w:jc w:val="both"/>
        <w:rPr>
          <w:rFonts w:ascii="Arial" w:eastAsia="Calibri" w:hAnsi="Arial" w:cs="Arial"/>
          <w:sz w:val="22"/>
        </w:rPr>
      </w:pPr>
    </w:p>
    <w:p w14:paraId="7E91873F" w14:textId="77777777" w:rsidR="003E622D" w:rsidRPr="00297B28" w:rsidRDefault="003E622D" w:rsidP="003E622D">
      <w:pPr>
        <w:ind w:left="708" w:right="709"/>
        <w:jc w:val="both"/>
        <w:rPr>
          <w:rFonts w:ascii="Arial" w:eastAsia="Calibri" w:hAnsi="Arial" w:cs="Arial"/>
          <w:sz w:val="21"/>
          <w:szCs w:val="21"/>
        </w:rPr>
      </w:pPr>
      <w:r w:rsidRPr="00297B28">
        <w:rPr>
          <w:rFonts w:ascii="Arial" w:eastAsia="Calibri" w:hAnsi="Arial"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2FFE720D" w14:textId="77777777" w:rsidR="003E622D" w:rsidRPr="00297B28" w:rsidRDefault="003E622D" w:rsidP="003E622D">
      <w:pPr>
        <w:spacing w:line="276" w:lineRule="auto"/>
        <w:jc w:val="both"/>
        <w:rPr>
          <w:rFonts w:ascii="Arial" w:eastAsia="Calibri" w:hAnsi="Arial" w:cs="Arial"/>
          <w:sz w:val="22"/>
        </w:rPr>
      </w:pPr>
    </w:p>
    <w:p w14:paraId="4F6A216E" w14:textId="77777777" w:rsidR="003E622D" w:rsidRPr="00297B28" w:rsidRDefault="003E622D" w:rsidP="003E622D">
      <w:pPr>
        <w:spacing w:line="276" w:lineRule="auto"/>
        <w:ind w:firstLine="708"/>
        <w:jc w:val="both"/>
        <w:rPr>
          <w:rFonts w:ascii="Arial" w:eastAsia="Calibri" w:hAnsi="Arial" w:cs="Arial"/>
          <w:sz w:val="22"/>
        </w:rPr>
      </w:pPr>
      <w:r w:rsidRPr="00297B28">
        <w:rPr>
          <w:rFonts w:ascii="Arial" w:eastAsia="Calibri" w:hAnsi="Arial"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35916875" w14:textId="77777777" w:rsidR="003E622D" w:rsidRPr="00297B28" w:rsidRDefault="003E622D" w:rsidP="003E622D">
      <w:pPr>
        <w:spacing w:line="276" w:lineRule="auto"/>
        <w:jc w:val="both"/>
        <w:rPr>
          <w:rFonts w:ascii="Arial" w:eastAsia="Calibri" w:hAnsi="Arial" w:cs="Arial"/>
          <w:sz w:val="22"/>
        </w:rPr>
      </w:pPr>
    </w:p>
    <w:p w14:paraId="26610EC5" w14:textId="77777777" w:rsidR="003E622D" w:rsidRPr="00297B28" w:rsidRDefault="003E622D" w:rsidP="003E622D">
      <w:pPr>
        <w:tabs>
          <w:tab w:val="left" w:pos="8080"/>
        </w:tabs>
        <w:ind w:left="708" w:right="709"/>
        <w:jc w:val="both"/>
        <w:rPr>
          <w:rFonts w:ascii="Arial" w:eastAsia="Calibri" w:hAnsi="Arial" w:cs="Arial"/>
          <w:sz w:val="21"/>
          <w:szCs w:val="21"/>
        </w:rPr>
      </w:pPr>
      <w:r w:rsidRPr="00297B28">
        <w:rPr>
          <w:rFonts w:ascii="Arial" w:eastAsia="Calibri" w:hAnsi="Arial"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w:t>
      </w:r>
      <w:r w:rsidRPr="00297B28">
        <w:rPr>
          <w:rFonts w:ascii="Arial" w:eastAsia="Calibri" w:hAnsi="Arial" w:cs="Arial"/>
          <w:sz w:val="21"/>
          <w:szCs w:val="21"/>
        </w:rPr>
        <w:lastRenderedPageBreak/>
        <w:t xml:space="preserve">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7480733B" w14:textId="77777777" w:rsidR="003E622D" w:rsidRPr="00297B28" w:rsidRDefault="003E622D" w:rsidP="003E622D">
      <w:pPr>
        <w:spacing w:line="276" w:lineRule="auto"/>
        <w:jc w:val="both"/>
        <w:rPr>
          <w:rFonts w:ascii="Arial" w:eastAsia="Calibri" w:hAnsi="Arial" w:cs="Arial"/>
          <w:sz w:val="22"/>
        </w:rPr>
      </w:pPr>
      <w:r w:rsidRPr="00297B28">
        <w:rPr>
          <w:rFonts w:ascii="Arial" w:eastAsia="Calibri" w:hAnsi="Arial" w:cs="Arial"/>
          <w:sz w:val="22"/>
        </w:rPr>
        <w:t xml:space="preserve"> </w:t>
      </w:r>
    </w:p>
    <w:p w14:paraId="7ED18C33"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92 de 2017.</w:t>
      </w:r>
    </w:p>
    <w:p w14:paraId="47FC84C7"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El Consejo de Estado, en </w:t>
      </w:r>
      <w:r w:rsidRPr="00297B28">
        <w:rPr>
          <w:rFonts w:ascii="Arial" w:eastAsia="Calibri" w:hAnsi="Arial" w:cs="Arial"/>
          <w:i/>
          <w:iCs/>
          <w:sz w:val="22"/>
        </w:rPr>
        <w:t>tercer</w:t>
      </w:r>
      <w:r w:rsidRPr="00297B28">
        <w:rPr>
          <w:rFonts w:ascii="Arial" w:eastAsia="Calibri" w:hAnsi="Arial" w:cs="Arial"/>
          <w:sz w:val="22"/>
        </w:rPr>
        <w:t xml:space="preserve"> lugar, examinó el literal c) y el inciso 5 del artículo 2 del Decreto</w:t>
      </w:r>
      <w:r w:rsidRPr="00297B28">
        <w:rPr>
          <w:rStyle w:val="Refdenotaalpie"/>
          <w:rFonts w:ascii="Arial" w:eastAsia="Calibri" w:hAnsi="Arial" w:cs="Arial"/>
          <w:sz w:val="22"/>
        </w:rPr>
        <w:footnoteReference w:id="14"/>
      </w:r>
      <w:r w:rsidRPr="00297B28">
        <w:rPr>
          <w:rFonts w:ascii="Arial" w:eastAsia="Calibri" w:hAnsi="Arial" w:cs="Arial"/>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3D7E90B2" w14:textId="77777777" w:rsidR="003E622D" w:rsidRPr="00297B28" w:rsidRDefault="003E622D" w:rsidP="003E622D">
      <w:pPr>
        <w:spacing w:line="276" w:lineRule="auto"/>
        <w:jc w:val="both"/>
        <w:rPr>
          <w:rFonts w:ascii="Arial" w:eastAsia="Calibri" w:hAnsi="Arial" w:cs="Arial"/>
          <w:sz w:val="22"/>
        </w:rPr>
      </w:pPr>
    </w:p>
    <w:p w14:paraId="3B81E4AA" w14:textId="77777777" w:rsidR="003E622D" w:rsidRPr="00297B28" w:rsidRDefault="003E622D" w:rsidP="003E622D">
      <w:pPr>
        <w:ind w:left="708" w:right="709"/>
        <w:jc w:val="both"/>
        <w:rPr>
          <w:rFonts w:ascii="Arial" w:eastAsia="Calibri" w:hAnsi="Arial" w:cs="Arial"/>
          <w:sz w:val="21"/>
          <w:szCs w:val="21"/>
        </w:rPr>
      </w:pPr>
      <w:r w:rsidRPr="00297B28">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012E2C19" w14:textId="77777777" w:rsidR="003E622D" w:rsidRPr="00297B28" w:rsidRDefault="003E622D" w:rsidP="003E622D">
      <w:pPr>
        <w:spacing w:line="276" w:lineRule="auto"/>
        <w:jc w:val="both"/>
        <w:rPr>
          <w:rFonts w:ascii="Arial" w:eastAsia="Calibri" w:hAnsi="Arial" w:cs="Arial"/>
          <w:sz w:val="22"/>
        </w:rPr>
      </w:pPr>
    </w:p>
    <w:p w14:paraId="635E627E"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w:t>
      </w:r>
      <w:r w:rsidRPr="00297B28">
        <w:rPr>
          <w:rFonts w:ascii="Arial" w:eastAsia="Calibri" w:hAnsi="Arial" w:cs="Arial"/>
          <w:sz w:val="22"/>
        </w:rPr>
        <w:lastRenderedPageBreak/>
        <w:t>Estatuto General de Contratación de la Administración Pública y no del régimen jurídico especial que establece el artículo 355 de la Constitución Política.</w:t>
      </w:r>
    </w:p>
    <w:p w14:paraId="36F56A72"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w:t>
      </w:r>
      <w:r w:rsidRPr="00297B28">
        <w:rPr>
          <w:rFonts w:ascii="Arial" w:eastAsia="Calibri" w:hAnsi="Arial" w:cs="Arial"/>
          <w:i/>
          <w:iCs/>
          <w:sz w:val="22"/>
        </w:rPr>
        <w:t>cuarta</w:t>
      </w:r>
      <w:r w:rsidRPr="00297B28">
        <w:rPr>
          <w:rFonts w:ascii="Arial" w:eastAsia="Calibri" w:hAnsi="Arial" w:cs="Arial"/>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297B28">
        <w:rPr>
          <w:rStyle w:val="Refdenotaalpie"/>
          <w:rFonts w:ascii="Arial" w:eastAsia="Calibri" w:hAnsi="Arial" w:cs="Arial"/>
          <w:sz w:val="22"/>
        </w:rPr>
        <w:footnoteReference w:id="15"/>
      </w:r>
      <w:r w:rsidRPr="00297B28">
        <w:rPr>
          <w:rFonts w:ascii="Arial" w:eastAsia="Calibri" w:hAnsi="Arial" w:cs="Arial"/>
          <w:sz w:val="22"/>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00016139"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En consecuencia, hasta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w:t>
      </w:r>
      <w:r w:rsidRPr="00297B28">
        <w:rPr>
          <w:rFonts w:ascii="Arial" w:eastAsia="Calibri" w:hAnsi="Arial" w:cs="Arial"/>
          <w:i/>
          <w:iCs/>
          <w:sz w:val="22"/>
        </w:rPr>
        <w:t>ibidem</w:t>
      </w:r>
      <w:r w:rsidRPr="00297B28">
        <w:rPr>
          <w:rFonts w:ascii="Arial" w:eastAsia="Calibri" w:hAnsi="Arial" w:cs="Arial"/>
          <w:sz w:val="22"/>
        </w:rPr>
        <w:t xml:space="preserve">. Incluso, habría lugar a tener en cuenta las exigencias del inciso 2 del artículo 4 </w:t>
      </w:r>
      <w:r w:rsidRPr="00297B28">
        <w:rPr>
          <w:rFonts w:ascii="Arial" w:eastAsia="Calibri" w:hAnsi="Arial" w:cs="Arial"/>
          <w:i/>
          <w:iCs/>
          <w:sz w:val="22"/>
        </w:rPr>
        <w:t>íbídem</w:t>
      </w:r>
      <w:r w:rsidRPr="00297B28">
        <w:rPr>
          <w:rFonts w:ascii="Arial" w:eastAsia="Calibri" w:hAnsi="Arial" w:cs="Arial"/>
          <w:sz w:val="22"/>
        </w:rPr>
        <w:t>, claro está, siempre que se configuren los supuestos de aplicación de dicha normativa, esto es, siempre que «exist[a] más de una entidad sin ánimo de lucro de reconocida idoneidad».</w:t>
      </w:r>
    </w:p>
    <w:p w14:paraId="4FFB77F6"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Por último, en </w:t>
      </w:r>
      <w:r w:rsidRPr="00297B28">
        <w:rPr>
          <w:rFonts w:ascii="Arial" w:eastAsia="Calibri" w:hAnsi="Arial" w:cs="Arial"/>
          <w:i/>
          <w:iCs/>
          <w:sz w:val="22"/>
        </w:rPr>
        <w:t xml:space="preserve">quinto </w:t>
      </w:r>
      <w:r w:rsidRPr="00297B28">
        <w:rPr>
          <w:rFonts w:ascii="Arial" w:eastAsia="Calibri" w:hAnsi="Arial" w:cs="Arial"/>
          <w:sz w:val="22"/>
        </w:rPr>
        <w:t xml:space="preserve">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7D35F14E"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hAnsi="Arial" w:cs="Arial"/>
          <w:sz w:val="22"/>
        </w:rPr>
        <w:t xml:space="preserve">En este orden de ideas, la contratación con entidades sin ánimo de lucro se sigue rigiendo por el Decreto 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w:t>
      </w:r>
      <w:r w:rsidRPr="00297B28">
        <w:rPr>
          <w:rFonts w:ascii="Arial" w:hAnsi="Arial" w:cs="Arial"/>
          <w:sz w:val="22"/>
        </w:rPr>
        <w:lastRenderedPageBreak/>
        <w:t>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19773C58"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Ahora, si se pretende realizar un </w:t>
      </w:r>
      <w:r w:rsidRPr="00297B28">
        <w:rPr>
          <w:rFonts w:ascii="Arial" w:eastAsia="Calibri" w:hAnsi="Arial" w:cs="Arial"/>
          <w:i/>
          <w:iCs/>
          <w:sz w:val="22"/>
        </w:rPr>
        <w:t>convenio de asociación</w:t>
      </w:r>
      <w:r w:rsidRPr="00297B28">
        <w:rPr>
          <w:rFonts w:ascii="Arial" w:eastAsia="Calibri" w:hAnsi="Arial" w:cs="Arial"/>
          <w:sz w:val="22"/>
        </w:rPr>
        <w:t xml:space="preserve"> con ESAL de reconocida idoneidad para el cumplimiento de las funciones que la ley les asigna a las entidades públicas, deben aplicar lo dispuesto en el artículo 5 del Decreto 92 de 2017. </w:t>
      </w:r>
    </w:p>
    <w:p w14:paraId="0E52AAF4"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Para los convenios de asociación, como se dijo,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297B28">
        <w:rPr>
          <w:rStyle w:val="Refdenotaalpie"/>
          <w:rFonts w:ascii="Arial" w:hAnsi="Arial" w:cs="Arial"/>
          <w:sz w:val="20"/>
          <w:szCs w:val="20"/>
        </w:rPr>
        <w:footnoteReference w:id="16"/>
      </w:r>
      <w:r w:rsidRPr="00297B28">
        <w:rPr>
          <w:rFonts w:ascii="Arial" w:eastAsia="Calibri" w:hAnsi="Arial" w:cs="Arial"/>
          <w:sz w:val="22"/>
        </w:rPr>
        <w:t>, y siempre que la entidad estatal verifique previamente que no existe ninguna otra entidad sin ánimo de lucro que ofrezca aportes iguales o superiores al 30%.</w:t>
      </w:r>
    </w:p>
    <w:p w14:paraId="147501D9" w14:textId="77777777" w:rsidR="003E622D" w:rsidRPr="00297B28" w:rsidRDefault="003E622D" w:rsidP="003E622D">
      <w:pPr>
        <w:spacing w:before="120" w:line="276" w:lineRule="auto"/>
        <w:ind w:firstLine="708"/>
        <w:jc w:val="both"/>
        <w:rPr>
          <w:rFonts w:ascii="Arial" w:eastAsia="Calibri" w:hAnsi="Arial" w:cs="Arial"/>
          <w:sz w:val="22"/>
        </w:rPr>
      </w:pPr>
      <w:r w:rsidRPr="00297B28">
        <w:rPr>
          <w:rFonts w:ascii="Arial" w:eastAsia="Calibri" w:hAnsi="Arial" w:cs="Arial"/>
          <w:sz w:val="22"/>
        </w:rPr>
        <w:t>Finalmente, el artículo 9 del Decreto 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297B28">
        <w:rPr>
          <w:rStyle w:val="Refdenotaalpie"/>
          <w:rFonts w:ascii="Arial" w:eastAsia="Calibri" w:hAnsi="Arial" w:cs="Arial"/>
          <w:sz w:val="22"/>
        </w:rPr>
        <w:footnoteReference w:id="17"/>
      </w:r>
      <w:r w:rsidRPr="00297B28">
        <w:rPr>
          <w:rFonts w:ascii="Arial" w:eastAsia="Calibri" w:hAnsi="Arial" w:cs="Arial"/>
          <w:sz w:val="22"/>
        </w:rPr>
        <w:t xml:space="preserve">. </w:t>
      </w:r>
    </w:p>
    <w:p w14:paraId="67D4A5F1" w14:textId="77777777" w:rsidR="003E622D" w:rsidRPr="00297B28" w:rsidRDefault="003E622D" w:rsidP="003E622D">
      <w:pPr>
        <w:spacing w:line="276" w:lineRule="auto"/>
        <w:ind w:right="709"/>
        <w:jc w:val="both"/>
        <w:rPr>
          <w:rFonts w:ascii="Arial" w:hAnsi="Arial" w:cs="Arial"/>
          <w:sz w:val="21"/>
          <w:szCs w:val="21"/>
          <w:lang w:val="es-CO"/>
        </w:rPr>
      </w:pPr>
    </w:p>
    <w:p w14:paraId="63EEECA9" w14:textId="77777777" w:rsidR="003E622D" w:rsidRPr="00297B28" w:rsidRDefault="003E622D" w:rsidP="003E622D">
      <w:pPr>
        <w:pStyle w:val="Prrafodelista"/>
        <w:numPr>
          <w:ilvl w:val="0"/>
          <w:numId w:val="6"/>
        </w:numPr>
        <w:tabs>
          <w:tab w:val="left" w:pos="284"/>
        </w:tabs>
        <w:spacing w:line="276" w:lineRule="auto"/>
        <w:ind w:left="0" w:firstLine="0"/>
        <w:rPr>
          <w:rFonts w:ascii="Arial" w:hAnsi="Arial" w:cs="Arial"/>
          <w:b/>
          <w:bCs/>
          <w:sz w:val="22"/>
          <w:lang w:val="es-CO"/>
        </w:rPr>
      </w:pPr>
      <w:r w:rsidRPr="00297B28">
        <w:rPr>
          <w:rFonts w:ascii="Arial" w:hAnsi="Arial" w:cs="Arial"/>
          <w:b/>
          <w:bCs/>
          <w:sz w:val="22"/>
          <w:lang w:val="es-CO"/>
        </w:rPr>
        <w:t xml:space="preserve">Respuesta </w:t>
      </w:r>
    </w:p>
    <w:p w14:paraId="5FF9EEA0" w14:textId="77777777" w:rsidR="003E622D" w:rsidRPr="00297B28" w:rsidRDefault="003E622D" w:rsidP="003E622D">
      <w:pPr>
        <w:spacing w:line="276" w:lineRule="auto"/>
        <w:jc w:val="both"/>
        <w:rPr>
          <w:rFonts w:ascii="Arial" w:hAnsi="Arial" w:cs="Arial"/>
          <w:sz w:val="22"/>
          <w:lang w:val="es-CO"/>
        </w:rPr>
      </w:pPr>
    </w:p>
    <w:p w14:paraId="12446B29" w14:textId="2B8E6E42" w:rsidR="003E622D" w:rsidRPr="00297B28" w:rsidRDefault="003E622D" w:rsidP="003E622D">
      <w:pPr>
        <w:spacing w:line="276" w:lineRule="auto"/>
        <w:ind w:left="709" w:right="709"/>
        <w:jc w:val="both"/>
        <w:rPr>
          <w:rFonts w:ascii="Arial" w:hAnsi="Arial" w:cs="Arial"/>
          <w:sz w:val="22"/>
          <w:lang w:val="es-CO"/>
        </w:rPr>
      </w:pPr>
      <w:r w:rsidRPr="00A516BE">
        <w:rPr>
          <w:rFonts w:ascii="Arial" w:eastAsia="Calibri" w:hAnsi="Arial" w:cs="Arial"/>
          <w:sz w:val="21"/>
          <w:szCs w:val="21"/>
        </w:rPr>
        <w:t xml:space="preserve">i) «[…] ¿la entidad </w:t>
      </w:r>
      <w:r w:rsidR="00703385" w:rsidRPr="00A516BE">
        <w:rPr>
          <w:rFonts w:ascii="Arial" w:eastAsia="Calibri" w:hAnsi="Arial" w:cs="Arial"/>
          <w:sz w:val="21"/>
          <w:szCs w:val="21"/>
        </w:rPr>
        <w:t>pública</w:t>
      </w:r>
      <w:r w:rsidRPr="00A516BE">
        <w:rPr>
          <w:rFonts w:ascii="Arial" w:eastAsia="Calibri" w:hAnsi="Arial" w:cs="Arial"/>
          <w:sz w:val="21"/>
          <w:szCs w:val="21"/>
        </w:rPr>
        <w:t xml:space="preserve"> contratante puede exigir dentro del convenio la </w:t>
      </w:r>
      <w:r w:rsidR="00703385" w:rsidRPr="00A516BE">
        <w:rPr>
          <w:rFonts w:ascii="Arial" w:eastAsia="Calibri" w:hAnsi="Arial" w:cs="Arial"/>
          <w:sz w:val="21"/>
          <w:szCs w:val="21"/>
        </w:rPr>
        <w:t>consignación</w:t>
      </w:r>
      <w:r w:rsidRPr="00A516BE">
        <w:rPr>
          <w:rFonts w:ascii="Arial" w:eastAsia="Calibri" w:hAnsi="Arial" w:cs="Arial"/>
          <w:sz w:val="21"/>
          <w:szCs w:val="21"/>
        </w:rPr>
        <w:t xml:space="preserve"> del valor de la contrapartida, en una cuenta que el contratante creará para tal fin?»</w:t>
      </w:r>
    </w:p>
    <w:p w14:paraId="2C9E3067" w14:textId="77777777" w:rsidR="00F611F0" w:rsidRDefault="00F611F0" w:rsidP="00F611F0">
      <w:pPr>
        <w:spacing w:line="276" w:lineRule="auto"/>
        <w:jc w:val="both"/>
        <w:rPr>
          <w:rFonts w:ascii="Arial" w:hAnsi="Arial" w:cs="Arial"/>
          <w:sz w:val="22"/>
          <w:lang w:val="es-CO"/>
        </w:rPr>
      </w:pPr>
    </w:p>
    <w:p w14:paraId="65CFC11C" w14:textId="71B7A0BC" w:rsidR="003E622D" w:rsidRPr="00987536" w:rsidRDefault="003E622D" w:rsidP="00405B21">
      <w:pPr>
        <w:spacing w:line="276" w:lineRule="auto"/>
        <w:jc w:val="both"/>
        <w:rPr>
          <w:rFonts w:ascii="Arial" w:hAnsi="Arial" w:cs="Arial"/>
          <w:sz w:val="22"/>
          <w:lang w:val="es-CO"/>
        </w:rPr>
      </w:pPr>
      <w:r w:rsidRPr="00297B28">
        <w:rPr>
          <w:rFonts w:ascii="Arial" w:hAnsi="Arial" w:cs="Arial"/>
          <w:sz w:val="22"/>
          <w:lang w:val="es-CO"/>
        </w:rPr>
        <w:lastRenderedPageBreak/>
        <w:t xml:space="preserve">En virtud de </w:t>
      </w:r>
      <w:r>
        <w:rPr>
          <w:rFonts w:ascii="Arial" w:hAnsi="Arial" w:cs="Arial"/>
          <w:sz w:val="22"/>
          <w:lang w:val="es-CO"/>
        </w:rPr>
        <w:t xml:space="preserve">las consideraciones expuestas en el presente documento, le informamos que </w:t>
      </w:r>
      <w:r w:rsidRPr="00FC6180">
        <w:rPr>
          <w:rFonts w:ascii="Arial" w:hAnsi="Arial" w:cs="Arial"/>
          <w:sz w:val="22"/>
        </w:rPr>
        <w:t>las entidades contratantes pueden definir libre y autónomamente el mecanismo de recolección de los recursos en dinero que la ESAL aportará para la ejecución</w:t>
      </w:r>
      <w:r>
        <w:rPr>
          <w:rFonts w:ascii="Arial" w:hAnsi="Arial" w:cs="Arial"/>
          <w:sz w:val="22"/>
        </w:rPr>
        <w:t xml:space="preserve"> de las actividades del convenio de asociación. A título ilustrativo, en la «</w:t>
      </w:r>
      <w:r w:rsidRPr="007677F9">
        <w:rPr>
          <w:rFonts w:ascii="Arial" w:hAnsi="Arial" w:cs="Arial"/>
          <w:sz w:val="22"/>
        </w:rPr>
        <w:t>Guía para la contratación con</w:t>
      </w:r>
      <w:r>
        <w:rPr>
          <w:rFonts w:ascii="Arial" w:hAnsi="Arial" w:cs="Arial"/>
          <w:sz w:val="22"/>
        </w:rPr>
        <w:t xml:space="preserve"> </w:t>
      </w:r>
      <w:r w:rsidRPr="007677F9">
        <w:rPr>
          <w:rFonts w:ascii="Arial" w:hAnsi="Arial" w:cs="Arial"/>
          <w:sz w:val="22"/>
        </w:rPr>
        <w:t>entidades privadas sin ánimo de lucro</w:t>
      </w:r>
      <w:r>
        <w:rPr>
          <w:rFonts w:ascii="Arial" w:hAnsi="Arial" w:cs="Arial"/>
          <w:sz w:val="22"/>
        </w:rPr>
        <w:t xml:space="preserve"> </w:t>
      </w:r>
      <w:r w:rsidRPr="007677F9">
        <w:rPr>
          <w:rFonts w:ascii="Arial" w:hAnsi="Arial" w:cs="Arial"/>
          <w:sz w:val="22"/>
        </w:rPr>
        <w:t>y de reconocida idoneidad</w:t>
      </w:r>
      <w:r>
        <w:rPr>
          <w:rFonts w:ascii="Arial" w:hAnsi="Arial" w:cs="Arial"/>
          <w:sz w:val="22"/>
        </w:rPr>
        <w:t xml:space="preserve">», elaborada por Colombia Compra Eficiente, se establece que «[…] </w:t>
      </w:r>
      <w:r w:rsidRPr="006D6051">
        <w:rPr>
          <w:rFonts w:ascii="Arial" w:hAnsi="Arial" w:cs="Arial"/>
          <w:sz w:val="22"/>
        </w:rPr>
        <w:t>la exigencia de recursos en dinero se puede cumplir con instrumentos financieros, jurídicos</w:t>
      </w:r>
      <w:r>
        <w:rPr>
          <w:rFonts w:ascii="Arial" w:hAnsi="Arial" w:cs="Arial"/>
          <w:sz w:val="22"/>
        </w:rPr>
        <w:t xml:space="preserve"> </w:t>
      </w:r>
      <w:r w:rsidRPr="006D6051">
        <w:rPr>
          <w:rFonts w:ascii="Arial" w:hAnsi="Arial" w:cs="Arial"/>
          <w:sz w:val="22"/>
        </w:rPr>
        <w:t>y contables que sean transables y que tengan liquidez suficiente para ser equivalentes al dinero</w:t>
      </w:r>
      <w:r>
        <w:rPr>
          <w:rFonts w:ascii="Arial" w:hAnsi="Arial" w:cs="Arial"/>
          <w:sz w:val="22"/>
        </w:rPr>
        <w:t>». De todos modos, se insiste, la entidad contratante puede definir el mecanismo de que le parezca más conveniente para el recaudo de los recursos económicos que debe aportar la ESAL.</w:t>
      </w:r>
    </w:p>
    <w:p w14:paraId="6E30385E" w14:textId="77777777" w:rsidR="003E622D" w:rsidRPr="00297B28" w:rsidRDefault="003E622D" w:rsidP="003E622D">
      <w:pPr>
        <w:spacing w:line="276" w:lineRule="auto"/>
        <w:jc w:val="both"/>
        <w:rPr>
          <w:rFonts w:ascii="Arial" w:eastAsia="Calibri" w:hAnsi="Arial" w:cs="Arial"/>
          <w:sz w:val="22"/>
        </w:rPr>
      </w:pPr>
    </w:p>
    <w:p w14:paraId="4AEF6F40" w14:textId="77777777" w:rsidR="003E622D" w:rsidRPr="00297B28" w:rsidRDefault="003E622D" w:rsidP="003E622D">
      <w:pPr>
        <w:spacing w:line="276" w:lineRule="auto"/>
        <w:ind w:left="709" w:right="709"/>
        <w:jc w:val="both"/>
        <w:rPr>
          <w:rFonts w:ascii="Arial" w:hAnsi="Arial" w:cs="Arial"/>
          <w:sz w:val="22"/>
          <w:lang w:val="es-CO"/>
        </w:rPr>
      </w:pPr>
      <w:r w:rsidRPr="00A516BE">
        <w:rPr>
          <w:rFonts w:ascii="Arial" w:eastAsia="Calibri" w:hAnsi="Arial" w:cs="Arial"/>
          <w:sz w:val="21"/>
          <w:szCs w:val="21"/>
        </w:rPr>
        <w:t>ii) «[…] En caso de ser posible, por favor informar cual es la normatividad que lo regula».</w:t>
      </w:r>
    </w:p>
    <w:p w14:paraId="5E8BC2E3" w14:textId="77777777" w:rsidR="003E622D" w:rsidRDefault="003E622D" w:rsidP="003E622D">
      <w:pPr>
        <w:spacing w:line="276" w:lineRule="auto"/>
        <w:jc w:val="both"/>
        <w:rPr>
          <w:rFonts w:ascii="Arial" w:eastAsia="Calibri" w:hAnsi="Arial" w:cs="Arial"/>
          <w:sz w:val="22"/>
          <w:lang w:val="es-CO"/>
        </w:rPr>
      </w:pPr>
    </w:p>
    <w:p w14:paraId="32C07A19" w14:textId="63CC0B70" w:rsidR="003E622D" w:rsidRPr="009B5EFF" w:rsidRDefault="003E622D" w:rsidP="003E622D">
      <w:pPr>
        <w:spacing w:line="276" w:lineRule="auto"/>
        <w:jc w:val="both"/>
        <w:rPr>
          <w:rFonts w:ascii="Arial" w:eastAsia="Calibri" w:hAnsi="Arial" w:cs="Arial"/>
          <w:sz w:val="22"/>
          <w:lang w:val="es-CO"/>
        </w:rPr>
      </w:pPr>
      <w:r>
        <w:rPr>
          <w:rFonts w:ascii="Arial" w:eastAsia="Calibri" w:hAnsi="Arial" w:cs="Arial"/>
          <w:sz w:val="22"/>
          <w:lang w:val="es-CO"/>
        </w:rPr>
        <w:t xml:space="preserve">La pregunta plantea dos hipótesis: la «normatividad que […] regula» los convenios de asociación o la que regula la «[…] cuenta que el contratante creará […]» para garantizar el monto de dinero exigido en el artículo 5 del Decreto 092 de 2017. En el primer evento, </w:t>
      </w:r>
      <w:r w:rsidR="00703385">
        <w:rPr>
          <w:rFonts w:ascii="Arial" w:eastAsia="Calibri" w:hAnsi="Arial" w:cs="Arial"/>
          <w:sz w:val="22"/>
          <w:lang w:val="es-CO"/>
        </w:rPr>
        <w:t>las normas aplicables</w:t>
      </w:r>
      <w:r>
        <w:rPr>
          <w:rFonts w:ascii="Arial" w:eastAsia="Calibri" w:hAnsi="Arial" w:cs="Arial"/>
          <w:sz w:val="22"/>
          <w:lang w:val="es-CO"/>
        </w:rPr>
        <w:t xml:space="preserve"> son </w:t>
      </w:r>
      <w:r w:rsidRPr="00297B28">
        <w:rPr>
          <w:rFonts w:ascii="Arial" w:hAnsi="Arial" w:cs="Arial"/>
          <w:sz w:val="22"/>
          <w:lang w:val="es-CO"/>
        </w:rPr>
        <w:t xml:space="preserve">los artículos 355 </w:t>
      </w:r>
      <w:r>
        <w:rPr>
          <w:rFonts w:ascii="Arial" w:hAnsi="Arial" w:cs="Arial"/>
          <w:sz w:val="22"/>
          <w:lang w:val="es-CO"/>
        </w:rPr>
        <w:t>de la Constitución Política,</w:t>
      </w:r>
      <w:r w:rsidRPr="00297B28">
        <w:rPr>
          <w:rFonts w:ascii="Arial" w:hAnsi="Arial" w:cs="Arial"/>
          <w:sz w:val="22"/>
          <w:lang w:val="es-CO"/>
        </w:rPr>
        <w:t xml:space="preserve"> 96 de la Ley 489 de 1998 y 5</w:t>
      </w:r>
      <w:r>
        <w:rPr>
          <w:rFonts w:ascii="Arial" w:hAnsi="Arial" w:cs="Arial"/>
          <w:sz w:val="22"/>
          <w:lang w:val="es-CO"/>
        </w:rPr>
        <w:t xml:space="preserve"> a </w:t>
      </w:r>
      <w:r w:rsidR="00703385">
        <w:rPr>
          <w:rFonts w:ascii="Arial" w:hAnsi="Arial" w:cs="Arial"/>
          <w:sz w:val="22"/>
          <w:lang w:val="es-CO"/>
        </w:rPr>
        <w:t xml:space="preserve">8 </w:t>
      </w:r>
      <w:r w:rsidR="00703385" w:rsidRPr="00297B28">
        <w:rPr>
          <w:rFonts w:ascii="Arial" w:hAnsi="Arial" w:cs="Arial"/>
          <w:sz w:val="22"/>
          <w:lang w:val="es-CO"/>
        </w:rPr>
        <w:t>del</w:t>
      </w:r>
      <w:r w:rsidRPr="00297B28">
        <w:rPr>
          <w:rFonts w:ascii="Arial" w:hAnsi="Arial" w:cs="Arial"/>
          <w:sz w:val="22"/>
          <w:lang w:val="es-CO"/>
        </w:rPr>
        <w:t xml:space="preserve"> Decreto 092 de 2017</w:t>
      </w:r>
      <w:r>
        <w:rPr>
          <w:rFonts w:ascii="Arial" w:hAnsi="Arial" w:cs="Arial"/>
          <w:sz w:val="22"/>
          <w:lang w:val="es-CO"/>
        </w:rPr>
        <w:t xml:space="preserve">. Para el segundo evento, las normas aplicables son las correspondientes del Título XVII del Código de Comercio, así como las expedidas en la materia por la Superintendencia Financiera y, en lo pertinente, las estipulaciones </w:t>
      </w:r>
      <w:r w:rsidR="000D08B5">
        <w:rPr>
          <w:rFonts w:ascii="Arial" w:hAnsi="Arial" w:cs="Arial"/>
          <w:sz w:val="22"/>
          <w:lang w:val="es-CO"/>
        </w:rPr>
        <w:t>contractuales</w:t>
      </w:r>
      <w:r>
        <w:rPr>
          <w:rFonts w:ascii="Arial" w:hAnsi="Arial" w:cs="Arial"/>
          <w:sz w:val="22"/>
          <w:lang w:val="es-CO"/>
        </w:rPr>
        <w:t>.</w:t>
      </w:r>
    </w:p>
    <w:p w14:paraId="1D18DFAF" w14:textId="77777777" w:rsidR="003E622D" w:rsidRPr="00297B28" w:rsidRDefault="003E622D" w:rsidP="003E622D">
      <w:pPr>
        <w:ind w:left="709" w:right="709"/>
        <w:jc w:val="both"/>
        <w:rPr>
          <w:rFonts w:ascii="Arial" w:eastAsia="Calibri" w:hAnsi="Arial" w:cs="Arial"/>
          <w:sz w:val="21"/>
          <w:szCs w:val="21"/>
        </w:rPr>
      </w:pPr>
    </w:p>
    <w:p w14:paraId="5E4A04CE" w14:textId="77777777" w:rsidR="003E622D" w:rsidRPr="00297B28" w:rsidRDefault="003E622D" w:rsidP="003E622D">
      <w:pPr>
        <w:spacing w:line="276" w:lineRule="auto"/>
        <w:jc w:val="both"/>
        <w:rPr>
          <w:rFonts w:ascii="Arial" w:eastAsia="Calibri" w:hAnsi="Arial" w:cs="Arial"/>
          <w:sz w:val="22"/>
        </w:rPr>
      </w:pPr>
      <w:r w:rsidRPr="00297B28">
        <w:rPr>
          <w:rFonts w:ascii="Arial" w:eastAsia="Calibri" w:hAnsi="Arial" w:cs="Arial"/>
          <w:sz w:val="22"/>
        </w:rPr>
        <w:t>Este concepto tiene el alcance previsto en el artículo 28 del Código de Procedimiento Administrativo y de lo Contencioso Administrativo.</w:t>
      </w:r>
    </w:p>
    <w:p w14:paraId="58A73092" w14:textId="77777777" w:rsidR="003E622D" w:rsidRPr="00297B28" w:rsidRDefault="003E622D" w:rsidP="003E622D">
      <w:pPr>
        <w:spacing w:line="276" w:lineRule="auto"/>
        <w:ind w:firstLine="708"/>
        <w:jc w:val="both"/>
        <w:rPr>
          <w:rFonts w:ascii="Arial" w:eastAsia="Calibri" w:hAnsi="Arial" w:cs="Arial"/>
          <w:sz w:val="22"/>
        </w:rPr>
      </w:pPr>
    </w:p>
    <w:p w14:paraId="20FF33CC" w14:textId="77777777" w:rsidR="003E622D" w:rsidRPr="00297B28" w:rsidRDefault="003E622D" w:rsidP="003E622D">
      <w:pPr>
        <w:jc w:val="both"/>
        <w:rPr>
          <w:rFonts w:ascii="Arial" w:eastAsia="Times New Roman" w:hAnsi="Arial" w:cs="Arial"/>
          <w:sz w:val="22"/>
          <w:lang w:eastAsia="es-CO"/>
        </w:rPr>
      </w:pPr>
      <w:r w:rsidRPr="00297B28">
        <w:rPr>
          <w:rFonts w:ascii="Arial" w:eastAsia="Times New Roman" w:hAnsi="Arial" w:cs="Arial"/>
          <w:sz w:val="22"/>
          <w:lang w:eastAsia="es-CO"/>
        </w:rPr>
        <w:t>Atentamente,</w:t>
      </w:r>
    </w:p>
    <w:bookmarkEnd w:id="0"/>
    <w:p w14:paraId="7972DC04" w14:textId="410F58FE" w:rsidR="003E622D" w:rsidRPr="00297B28" w:rsidRDefault="00A24DFE" w:rsidP="003E622D">
      <w:pPr>
        <w:jc w:val="center"/>
        <w:rPr>
          <w:rFonts w:ascii="Arial" w:eastAsia="Times New Roman" w:hAnsi="Arial" w:cs="Arial"/>
          <w:sz w:val="18"/>
          <w:szCs w:val="20"/>
          <w:lang w:eastAsia="es-CO"/>
        </w:rPr>
      </w:pPr>
      <w:r>
        <w:rPr>
          <w:noProof/>
          <w:lang w:val="en-US"/>
        </w:rPr>
        <w:drawing>
          <wp:inline distT="0" distB="0" distL="0" distR="0" wp14:anchorId="04D5E976" wp14:editId="1D69F789">
            <wp:extent cx="2773045" cy="988695"/>
            <wp:effectExtent l="0" t="0" r="0" b="0"/>
            <wp:docPr id="182232948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66F8D86" w14:textId="77777777" w:rsidR="003E622D" w:rsidRPr="00297B28" w:rsidRDefault="003E622D" w:rsidP="003E622D">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E622D" w:rsidRPr="00297B28" w14:paraId="011F5A9A" w14:textId="77777777" w:rsidTr="00F53E5C">
        <w:trPr>
          <w:trHeight w:val="315"/>
        </w:trPr>
        <w:tc>
          <w:tcPr>
            <w:tcW w:w="812" w:type="dxa"/>
            <w:vAlign w:val="center"/>
            <w:hideMark/>
          </w:tcPr>
          <w:p w14:paraId="40952220" w14:textId="77777777" w:rsidR="003E622D" w:rsidRPr="00297B28" w:rsidRDefault="003E622D" w:rsidP="00F53E5C">
            <w:pPr>
              <w:rPr>
                <w:rFonts w:ascii="Arial" w:eastAsia="Times New Roman" w:hAnsi="Arial" w:cs="Arial"/>
                <w:sz w:val="16"/>
                <w:szCs w:val="16"/>
                <w:lang w:eastAsia="es-ES"/>
              </w:rPr>
            </w:pPr>
            <w:r w:rsidRPr="00297B28">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44AF44D" w14:textId="77777777" w:rsidR="003E622D" w:rsidRPr="00297B28" w:rsidRDefault="003E622D" w:rsidP="00F53E5C">
            <w:pPr>
              <w:rPr>
                <w:rFonts w:ascii="Arial" w:eastAsia="Times New Roman" w:hAnsi="Arial" w:cs="Arial"/>
                <w:sz w:val="16"/>
                <w:szCs w:val="16"/>
                <w:lang w:eastAsia="es-ES"/>
              </w:rPr>
            </w:pPr>
            <w:r>
              <w:rPr>
                <w:rFonts w:ascii="Arial" w:eastAsia="Times New Roman" w:hAnsi="Arial" w:cs="Arial"/>
                <w:sz w:val="16"/>
                <w:szCs w:val="16"/>
                <w:lang w:eastAsia="es-ES"/>
              </w:rPr>
              <w:t>David Castellanos Carreño</w:t>
            </w:r>
          </w:p>
          <w:p w14:paraId="3A8AFD2C" w14:textId="77777777" w:rsidR="003E622D" w:rsidRPr="00297B28" w:rsidRDefault="003E622D" w:rsidP="00F53E5C">
            <w:pPr>
              <w:rPr>
                <w:rFonts w:ascii="Arial" w:eastAsia="Times New Roman" w:hAnsi="Arial" w:cs="Arial"/>
                <w:sz w:val="16"/>
                <w:szCs w:val="16"/>
                <w:lang w:eastAsia="es-ES"/>
              </w:rPr>
            </w:pPr>
            <w:r w:rsidRPr="00297B28">
              <w:rPr>
                <w:rFonts w:ascii="Arial" w:eastAsia="Times New Roman" w:hAnsi="Arial" w:cs="Arial"/>
                <w:sz w:val="16"/>
                <w:szCs w:val="16"/>
                <w:lang w:eastAsia="es-ES"/>
              </w:rPr>
              <w:t>Contratista – Subdirección de Gestión Contractual</w:t>
            </w:r>
          </w:p>
        </w:tc>
      </w:tr>
      <w:tr w:rsidR="003E622D" w:rsidRPr="00297B28" w14:paraId="222F101E" w14:textId="77777777" w:rsidTr="00F53E5C">
        <w:trPr>
          <w:trHeight w:val="330"/>
        </w:trPr>
        <w:tc>
          <w:tcPr>
            <w:tcW w:w="812" w:type="dxa"/>
            <w:vAlign w:val="center"/>
            <w:hideMark/>
          </w:tcPr>
          <w:p w14:paraId="2AE382B7" w14:textId="77777777" w:rsidR="003E622D" w:rsidRPr="00297B28" w:rsidRDefault="003E622D" w:rsidP="00F53E5C">
            <w:pPr>
              <w:rPr>
                <w:rFonts w:ascii="Arial" w:eastAsia="Times New Roman" w:hAnsi="Arial" w:cs="Arial"/>
                <w:sz w:val="16"/>
                <w:szCs w:val="16"/>
                <w:lang w:eastAsia="es-ES"/>
              </w:rPr>
            </w:pPr>
            <w:r w:rsidRPr="00297B28">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1A65DE" w14:textId="25DFB8E8" w:rsidR="003E622D" w:rsidRPr="00297B28" w:rsidRDefault="00F220BD" w:rsidP="00F53E5C">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10C2F49E" w14:textId="12C5615E" w:rsidR="003E622D" w:rsidRPr="00297B28" w:rsidRDefault="00F220BD" w:rsidP="00F53E5C">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w:t>
            </w:r>
            <w:r w:rsidR="003E622D" w:rsidRPr="00297B28">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003E622D" w:rsidRPr="00297B28">
              <w:rPr>
                <w:rFonts w:ascii="Arial" w:eastAsia="Times New Roman" w:hAnsi="Arial" w:cs="Arial"/>
                <w:sz w:val="16"/>
                <w:szCs w:val="16"/>
                <w:lang w:eastAsia="es-ES"/>
              </w:rPr>
              <w:t xml:space="preserve"> de Gestión Contractual</w:t>
            </w:r>
          </w:p>
        </w:tc>
      </w:tr>
      <w:tr w:rsidR="003E622D" w:rsidRPr="00297B28" w14:paraId="61EBB1EA" w14:textId="77777777" w:rsidTr="00F53E5C">
        <w:trPr>
          <w:trHeight w:val="300"/>
        </w:trPr>
        <w:tc>
          <w:tcPr>
            <w:tcW w:w="812" w:type="dxa"/>
            <w:vAlign w:val="center"/>
            <w:hideMark/>
          </w:tcPr>
          <w:p w14:paraId="028A03A7" w14:textId="77777777" w:rsidR="003E622D" w:rsidRPr="00297B28" w:rsidRDefault="003E622D" w:rsidP="00F53E5C">
            <w:pPr>
              <w:rPr>
                <w:rFonts w:ascii="Arial" w:eastAsia="Times New Roman" w:hAnsi="Arial" w:cs="Arial"/>
                <w:sz w:val="16"/>
                <w:szCs w:val="16"/>
                <w:lang w:eastAsia="es-ES"/>
              </w:rPr>
            </w:pPr>
            <w:r w:rsidRPr="00297B28">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BACC5A" w14:textId="77777777" w:rsidR="003E622D" w:rsidRPr="00297B28" w:rsidRDefault="003E622D" w:rsidP="00F53E5C">
            <w:pPr>
              <w:rPr>
                <w:rFonts w:ascii="Arial" w:eastAsia="Times New Roman" w:hAnsi="Arial" w:cs="Arial"/>
                <w:sz w:val="16"/>
                <w:szCs w:val="16"/>
                <w:lang w:eastAsia="es-ES"/>
              </w:rPr>
            </w:pPr>
            <w:r w:rsidRPr="00297B28">
              <w:rPr>
                <w:rFonts w:ascii="Arial" w:eastAsia="Times New Roman" w:hAnsi="Arial" w:cs="Arial"/>
                <w:sz w:val="16"/>
                <w:szCs w:val="16"/>
                <w:lang w:eastAsia="es-ES"/>
              </w:rPr>
              <w:t>Fabián Gonzalo Marín Cortés</w:t>
            </w:r>
          </w:p>
          <w:p w14:paraId="303E5265" w14:textId="77777777" w:rsidR="003E622D" w:rsidRPr="00297B28" w:rsidRDefault="003E622D" w:rsidP="00F53E5C">
            <w:pPr>
              <w:rPr>
                <w:rFonts w:ascii="Arial" w:eastAsia="Times New Roman" w:hAnsi="Arial" w:cs="Arial"/>
                <w:sz w:val="16"/>
                <w:szCs w:val="16"/>
                <w:lang w:eastAsia="es-ES"/>
              </w:rPr>
            </w:pPr>
            <w:r w:rsidRPr="00297B28">
              <w:rPr>
                <w:rFonts w:ascii="Arial" w:eastAsia="Times New Roman" w:hAnsi="Arial" w:cs="Arial"/>
                <w:sz w:val="16"/>
                <w:szCs w:val="16"/>
                <w:lang w:eastAsia="es-ES"/>
              </w:rPr>
              <w:t>Subdirector de Gestión Contractual</w:t>
            </w:r>
          </w:p>
        </w:tc>
      </w:tr>
    </w:tbl>
    <w:p w14:paraId="2A1548AB" w14:textId="77777777" w:rsidR="003E622D" w:rsidRPr="00297B28" w:rsidRDefault="003E622D" w:rsidP="003E622D">
      <w:pPr>
        <w:spacing w:line="276" w:lineRule="auto"/>
        <w:jc w:val="both"/>
        <w:rPr>
          <w:rFonts w:ascii="Arial" w:eastAsia="Times New Roman" w:hAnsi="Arial" w:cs="Arial"/>
          <w:sz w:val="18"/>
          <w:szCs w:val="18"/>
          <w:lang w:val="es-ES_tradnl" w:eastAsia="es-CO"/>
        </w:rPr>
      </w:pPr>
    </w:p>
    <w:p w14:paraId="0D91A470" w14:textId="77777777" w:rsidR="003E622D" w:rsidRPr="00297B28" w:rsidRDefault="003E622D" w:rsidP="003E622D">
      <w:pPr>
        <w:rPr>
          <w:rFonts w:ascii="Arial" w:eastAsia="Calibri" w:hAnsi="Arial" w:cs="Arial"/>
          <w:sz w:val="22"/>
        </w:rPr>
      </w:pPr>
    </w:p>
    <w:p w14:paraId="7EBF297E" w14:textId="77777777" w:rsidR="007B0854" w:rsidRPr="003E622D" w:rsidRDefault="007B0854" w:rsidP="003E622D"/>
    <w:sectPr w:rsidR="007B0854" w:rsidRPr="003E622D"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CCAEF" w14:textId="77777777" w:rsidR="00DA2678" w:rsidRDefault="00DA2678">
      <w:r>
        <w:separator/>
      </w:r>
    </w:p>
  </w:endnote>
  <w:endnote w:type="continuationSeparator" w:id="0">
    <w:p w14:paraId="48BEB5CD" w14:textId="77777777" w:rsidR="00DA2678" w:rsidRDefault="00DA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7BD6" w14:textId="2ABA0908" w:rsidR="0025522B" w:rsidRDefault="0025522B" w:rsidP="009879DD">
    <w:pPr>
      <w:pStyle w:val="Piedepgina"/>
      <w:jc w:val="right"/>
      <w:rPr>
        <w:rFonts w:ascii="Arial" w:hAnsi="Arial" w:cs="Arial"/>
        <w:bCs/>
        <w:color w:val="7F7F7F" w:themeColor="text1" w:themeTint="80"/>
        <w:sz w:val="16"/>
        <w:szCs w:val="16"/>
      </w:rPr>
    </w:pPr>
  </w:p>
  <w:p w14:paraId="385D1520" w14:textId="7FB8A171" w:rsidR="009879DD" w:rsidRPr="008217B7" w:rsidRDefault="009879DD" w:rsidP="009879D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E6AA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E6AA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546CE2BE" w14:textId="5EB87A53" w:rsidR="00F662F3" w:rsidRDefault="0E565F8B" w:rsidP="00F70A48">
    <w:pPr>
      <w:pStyle w:val="Sinespaciado"/>
      <w:jc w:val="center"/>
      <w:rPr>
        <w:rFonts w:ascii="Arial" w:hAnsi="Arial" w:cs="Arial"/>
        <w:sz w:val="18"/>
        <w:szCs w:val="18"/>
      </w:rPr>
    </w:pPr>
    <w:r>
      <w:rPr>
        <w:noProof/>
        <w:lang w:val="en-US"/>
      </w:rPr>
      <w:drawing>
        <wp:inline distT="0" distB="0" distL="0" distR="0" wp14:anchorId="608B196D" wp14:editId="5AF94119">
          <wp:extent cx="4241994" cy="595165"/>
          <wp:effectExtent l="0" t="0" r="6350" b="0"/>
          <wp:docPr id="86116284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639B338" w14:textId="77777777" w:rsidR="00405B21" w:rsidRPr="0025522B" w:rsidRDefault="00405B21" w:rsidP="00F70A48">
    <w:pPr>
      <w:pStyle w:val="Sinespaciado"/>
      <w:jc w:val="center"/>
      <w:rPr>
        <w:rFonts w:ascii="Arial" w:hAnsi="Arial" w:cs="Arial"/>
        <w:sz w:val="12"/>
        <w:szCs w:val="12"/>
      </w:rPr>
    </w:pPr>
  </w:p>
  <w:p w14:paraId="057C7734" w14:textId="77777777" w:rsidR="00987536" w:rsidRPr="0025522B" w:rsidRDefault="00987536" w:rsidP="00987536">
    <w:pPr>
      <w:pStyle w:val="Sinespaciad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893A" w14:textId="77777777" w:rsidR="00DA2678" w:rsidRDefault="00DA2678">
      <w:r>
        <w:separator/>
      </w:r>
    </w:p>
  </w:footnote>
  <w:footnote w:type="continuationSeparator" w:id="0">
    <w:p w14:paraId="453EF1CA" w14:textId="77777777" w:rsidR="00DA2678" w:rsidRDefault="00DA2678">
      <w:r>
        <w:continuationSeparator/>
      </w:r>
    </w:p>
  </w:footnote>
  <w:footnote w:id="1">
    <w:p w14:paraId="5325EC18"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70DF45B5"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 w:id="2">
    <w:p w14:paraId="40822DA9"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D1E7E71"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5E58AEA" w14:textId="77777777" w:rsidR="003E622D" w:rsidRPr="00405B21" w:rsidRDefault="003E622D" w:rsidP="00405B21">
      <w:pPr>
        <w:pStyle w:val="Textonotapie"/>
        <w:ind w:firstLine="708"/>
        <w:jc w:val="both"/>
        <w:rPr>
          <w:rFonts w:ascii="Arial" w:hAnsi="Arial" w:cs="Arial"/>
          <w:color w:val="000000" w:themeColor="text1"/>
          <w:sz w:val="19"/>
          <w:szCs w:val="19"/>
          <w:lang w:val="es-CO"/>
        </w:rPr>
      </w:pPr>
    </w:p>
  </w:footnote>
  <w:footnote w:id="3">
    <w:p w14:paraId="020F395C"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1D1825C3"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 w:id="4">
    <w:p w14:paraId="426D6B2E" w14:textId="77777777" w:rsidR="003E622D" w:rsidRPr="00405B21" w:rsidRDefault="003E622D" w:rsidP="00405B21">
      <w:pPr>
        <w:pStyle w:val="Textonotapie"/>
        <w:ind w:firstLine="708"/>
        <w:jc w:val="both"/>
        <w:rPr>
          <w:rFonts w:ascii="Arial" w:hAnsi="Arial" w:cs="Arial"/>
          <w:sz w:val="19"/>
          <w:szCs w:val="19"/>
        </w:rPr>
      </w:pPr>
      <w:r w:rsidRPr="00405B21">
        <w:rPr>
          <w:rStyle w:val="Refdenotaalpie"/>
          <w:rFonts w:ascii="Arial" w:hAnsi="Arial" w:cs="Arial"/>
          <w:sz w:val="19"/>
          <w:szCs w:val="19"/>
        </w:rPr>
        <w:footnoteRef/>
      </w:r>
      <w:r w:rsidRPr="00405B21">
        <w:rPr>
          <w:rFonts w:ascii="Arial" w:hAnsi="Arial" w:cs="Arial"/>
          <w:sz w:val="19"/>
          <w:szCs w:val="19"/>
        </w:rPr>
        <w:t xml:space="preserve"> Concepto del 12 de diciembre de 2019, radicado No. </w:t>
      </w:r>
      <w:r w:rsidRPr="00405B21">
        <w:rPr>
          <w:rFonts w:ascii="Arial" w:eastAsia="Calibri" w:hAnsi="Arial" w:cs="Arial"/>
          <w:color w:val="000000" w:themeColor="text1"/>
          <w:sz w:val="19"/>
          <w:szCs w:val="19"/>
        </w:rPr>
        <w:t>2201913000009196</w:t>
      </w:r>
      <w:r w:rsidRPr="00405B21">
        <w:rPr>
          <w:rFonts w:ascii="Arial" w:hAnsi="Arial" w:cs="Arial"/>
          <w:sz w:val="19"/>
          <w:szCs w:val="19"/>
        </w:rPr>
        <w:t>.</w:t>
      </w:r>
    </w:p>
  </w:footnote>
  <w:footnote w:id="5">
    <w:p w14:paraId="193A1C97" w14:textId="61D891C0" w:rsidR="00405B21" w:rsidRPr="00405B21" w:rsidRDefault="00405B21" w:rsidP="00405B21">
      <w:pPr>
        <w:pStyle w:val="Textonotapie"/>
        <w:ind w:firstLine="708"/>
        <w:jc w:val="both"/>
        <w:rPr>
          <w:rFonts w:ascii="Arial" w:hAnsi="Arial" w:cs="Arial"/>
          <w:sz w:val="19"/>
          <w:szCs w:val="19"/>
        </w:rPr>
      </w:pPr>
      <w:r w:rsidRPr="00405B21">
        <w:rPr>
          <w:rStyle w:val="Refdenotaalpie"/>
          <w:rFonts w:ascii="Arial" w:hAnsi="Arial" w:cs="Arial"/>
          <w:sz w:val="19"/>
          <w:szCs w:val="19"/>
        </w:rPr>
        <w:footnoteRef/>
      </w:r>
      <w:r w:rsidRPr="00405B21">
        <w:rPr>
          <w:rFonts w:ascii="Arial" w:hAnsi="Arial" w:cs="Arial"/>
          <w:sz w:val="19"/>
          <w:szCs w:val="19"/>
        </w:rPr>
        <w:t xml:space="preserve"> Decreto 092 de 2017. Artículo 4. «[…] 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p w14:paraId="1E267DCB" w14:textId="77777777" w:rsidR="00405B21" w:rsidRPr="00405B21" w:rsidRDefault="00405B21" w:rsidP="00405B21">
      <w:pPr>
        <w:pStyle w:val="Textonotapie"/>
        <w:ind w:firstLine="708"/>
        <w:jc w:val="both"/>
        <w:rPr>
          <w:rFonts w:ascii="Arial" w:hAnsi="Arial" w:cs="Arial"/>
          <w:sz w:val="19"/>
          <w:szCs w:val="19"/>
          <w:lang w:val="es-ES"/>
        </w:rPr>
      </w:pPr>
    </w:p>
  </w:footnote>
  <w:footnote w:id="6">
    <w:p w14:paraId="7AB59D2C" w14:textId="77777777" w:rsidR="003E622D" w:rsidRPr="00405B21" w:rsidRDefault="003E622D" w:rsidP="00405B21">
      <w:pPr>
        <w:pStyle w:val="Textonotapie"/>
        <w:ind w:firstLine="708"/>
        <w:jc w:val="both"/>
        <w:rPr>
          <w:rFonts w:ascii="Arial" w:hAnsi="Arial" w:cs="Arial"/>
          <w:sz w:val="19"/>
          <w:szCs w:val="19"/>
        </w:rPr>
      </w:pPr>
      <w:r w:rsidRPr="00405B21">
        <w:rPr>
          <w:rStyle w:val="Refdenotaalpie"/>
          <w:rFonts w:ascii="Arial" w:hAnsi="Arial" w:cs="Arial"/>
          <w:sz w:val="19"/>
          <w:szCs w:val="19"/>
        </w:rPr>
        <w:footnoteRef/>
      </w:r>
      <w:r w:rsidRPr="00405B21">
        <w:rPr>
          <w:rFonts w:ascii="Arial" w:hAnsi="Arial" w:cs="Arial"/>
          <w:sz w:val="19"/>
          <w:szCs w:val="19"/>
        </w:rPr>
        <w:t xml:space="preserve"> CHÁVEZ MARÍN, Augusto Ramón, Los Convenios de la Administración. Entre la gestión pública y la actividad contractual. 4ta Ed. Bogotá, Temis. 2020, pp. 426-427. </w:t>
      </w:r>
    </w:p>
    <w:p w14:paraId="245B9C8B" w14:textId="77777777" w:rsidR="003E622D" w:rsidRPr="00405B21" w:rsidRDefault="003E622D" w:rsidP="00405B21">
      <w:pPr>
        <w:pStyle w:val="Textonotapie"/>
        <w:ind w:firstLine="708"/>
        <w:jc w:val="both"/>
        <w:rPr>
          <w:rFonts w:ascii="Arial" w:hAnsi="Arial" w:cs="Arial"/>
          <w:sz w:val="19"/>
          <w:szCs w:val="19"/>
        </w:rPr>
      </w:pPr>
      <w:r w:rsidRPr="00405B21">
        <w:rPr>
          <w:rFonts w:ascii="Arial" w:hAnsi="Arial" w:cs="Arial"/>
          <w:sz w:val="19"/>
          <w:szCs w:val="19"/>
        </w:rPr>
        <w:t xml:space="preserve"> </w:t>
      </w:r>
    </w:p>
  </w:footnote>
  <w:footnote w:id="7">
    <w:p w14:paraId="69914833"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Concepto del 3 de septiembre de 2019, emitido en el radicado No. 2201913000006512.</w:t>
      </w:r>
    </w:p>
    <w:p w14:paraId="058BC637"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 w:id="8">
    <w:p w14:paraId="5E3FDEDB"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El numeral 16.9 de la Circular Externa Única de Colombia Compra Eficiente determina:</w:t>
      </w:r>
    </w:p>
    <w:p w14:paraId="53555E36"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Fonts w:ascii="Arial" w:hAnsi="Arial" w:cs="Arial"/>
          <w:color w:val="000000" w:themeColor="text1"/>
          <w:sz w:val="19"/>
          <w:szCs w:val="19"/>
        </w:rPr>
        <w:t>«16.9 Uniones temporales y consorcios conformados por entidades sin ánimo de lucro.</w:t>
      </w:r>
    </w:p>
    <w:p w14:paraId="0D0C119E"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30C7F44"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 w:id="9">
    <w:p w14:paraId="317B1544"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Concepto del 19 de noviembre de 2019, emitido en el radicado No. 2201913000008611.</w:t>
      </w:r>
    </w:p>
    <w:p w14:paraId="59EBA911"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 w:id="10">
    <w:p w14:paraId="40C1E970"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6A25359E"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 w:id="11">
    <w:p w14:paraId="3086D6A0" w14:textId="77777777" w:rsidR="003E622D" w:rsidRPr="00405B21" w:rsidRDefault="003E622D" w:rsidP="00405B21">
      <w:pPr>
        <w:pStyle w:val="Textonotapie"/>
        <w:ind w:firstLine="708"/>
        <w:jc w:val="both"/>
        <w:rPr>
          <w:rFonts w:ascii="Arial" w:eastAsia="Calibri"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w:t>
      </w:r>
      <w:r w:rsidRPr="00405B21">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3FE48500"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 w:id="12">
    <w:p w14:paraId="3CCF38C7"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w:t>
      </w:r>
      <w:r w:rsidRPr="00405B21">
        <w:rPr>
          <w:rFonts w:ascii="Arial" w:eastAsia="Calibri" w:hAnsi="Arial" w:cs="Arial"/>
          <w:color w:val="000000" w:themeColor="text1"/>
          <w:sz w:val="19"/>
          <w:szCs w:val="19"/>
        </w:rPr>
        <w:t>Decreto 092 de 2017, artículo 3, inciso 2: «</w:t>
      </w:r>
      <w:r w:rsidRPr="00405B21">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3">
    <w:p w14:paraId="74C1F3B8" w14:textId="77777777" w:rsidR="003E622D" w:rsidRPr="00405B21" w:rsidRDefault="003E622D" w:rsidP="00405B21">
      <w:pPr>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4FAFDA58" w14:textId="77777777" w:rsidR="003E622D" w:rsidRPr="00405B21" w:rsidRDefault="003E622D" w:rsidP="00405B21">
      <w:pPr>
        <w:ind w:firstLine="708"/>
        <w:jc w:val="both"/>
        <w:rPr>
          <w:rFonts w:ascii="Arial" w:hAnsi="Arial" w:cs="Arial"/>
          <w:color w:val="000000" w:themeColor="text1"/>
          <w:sz w:val="19"/>
          <w:szCs w:val="19"/>
        </w:rPr>
      </w:pPr>
    </w:p>
  </w:footnote>
  <w:footnote w:id="14">
    <w:p w14:paraId="28584F97"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5EF223BA"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 w:id="15">
    <w:p w14:paraId="0A51888A"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6">
    <w:p w14:paraId="74EFD42C"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2FAB851C" w14:textId="77777777" w:rsidR="003E622D" w:rsidRPr="00405B21" w:rsidRDefault="003E622D" w:rsidP="00405B21">
      <w:pPr>
        <w:pStyle w:val="Textonotapie"/>
        <w:jc w:val="both"/>
        <w:rPr>
          <w:rFonts w:ascii="Arial" w:hAnsi="Arial" w:cs="Arial"/>
          <w:color w:val="000000" w:themeColor="text1"/>
          <w:sz w:val="19"/>
          <w:szCs w:val="19"/>
          <w:lang w:val="es-ES"/>
        </w:rPr>
      </w:pPr>
    </w:p>
  </w:footnote>
  <w:footnote w:id="17">
    <w:p w14:paraId="621E5704" w14:textId="77777777" w:rsidR="003E622D" w:rsidRPr="00405B21" w:rsidRDefault="003E622D" w:rsidP="00405B2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40FD181C" w14:textId="77777777" w:rsidR="003E622D" w:rsidRPr="00405B21" w:rsidRDefault="003E622D" w:rsidP="00405B21">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662F3" w:rsidRDefault="00F662F3">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65"/>
    <w:rsid w:val="000022B8"/>
    <w:rsid w:val="00002BCB"/>
    <w:rsid w:val="00003A71"/>
    <w:rsid w:val="00006294"/>
    <w:rsid w:val="000064A0"/>
    <w:rsid w:val="00006A01"/>
    <w:rsid w:val="00007538"/>
    <w:rsid w:val="00011043"/>
    <w:rsid w:val="000170E9"/>
    <w:rsid w:val="000175B2"/>
    <w:rsid w:val="000203B7"/>
    <w:rsid w:val="00031281"/>
    <w:rsid w:val="00033010"/>
    <w:rsid w:val="000370A2"/>
    <w:rsid w:val="00037879"/>
    <w:rsid w:val="000425F4"/>
    <w:rsid w:val="00046689"/>
    <w:rsid w:val="00046B82"/>
    <w:rsid w:val="00047C66"/>
    <w:rsid w:val="00051624"/>
    <w:rsid w:val="000534A3"/>
    <w:rsid w:val="000553B3"/>
    <w:rsid w:val="00055676"/>
    <w:rsid w:val="000564A8"/>
    <w:rsid w:val="00057878"/>
    <w:rsid w:val="000610E3"/>
    <w:rsid w:val="0006459C"/>
    <w:rsid w:val="000664D2"/>
    <w:rsid w:val="000756D9"/>
    <w:rsid w:val="000820C0"/>
    <w:rsid w:val="000844F0"/>
    <w:rsid w:val="000865FD"/>
    <w:rsid w:val="00090778"/>
    <w:rsid w:val="000941BF"/>
    <w:rsid w:val="000942EB"/>
    <w:rsid w:val="00094BB5"/>
    <w:rsid w:val="00094FC6"/>
    <w:rsid w:val="00097264"/>
    <w:rsid w:val="00097627"/>
    <w:rsid w:val="000A5A7E"/>
    <w:rsid w:val="000A6A71"/>
    <w:rsid w:val="000B103F"/>
    <w:rsid w:val="000B27E4"/>
    <w:rsid w:val="000B3D0C"/>
    <w:rsid w:val="000B4DAC"/>
    <w:rsid w:val="000B633C"/>
    <w:rsid w:val="000B7D03"/>
    <w:rsid w:val="000C17A0"/>
    <w:rsid w:val="000C5483"/>
    <w:rsid w:val="000D08B5"/>
    <w:rsid w:val="000E099E"/>
    <w:rsid w:val="000E4821"/>
    <w:rsid w:val="000F09BF"/>
    <w:rsid w:val="000F14E8"/>
    <w:rsid w:val="000F2479"/>
    <w:rsid w:val="000F35D5"/>
    <w:rsid w:val="000F7490"/>
    <w:rsid w:val="00103915"/>
    <w:rsid w:val="0011092B"/>
    <w:rsid w:val="00113AE6"/>
    <w:rsid w:val="00122B23"/>
    <w:rsid w:val="001240BC"/>
    <w:rsid w:val="001240CA"/>
    <w:rsid w:val="00134457"/>
    <w:rsid w:val="00135FAF"/>
    <w:rsid w:val="00136110"/>
    <w:rsid w:val="00137FFA"/>
    <w:rsid w:val="00140577"/>
    <w:rsid w:val="001420C5"/>
    <w:rsid w:val="001429EA"/>
    <w:rsid w:val="00152509"/>
    <w:rsid w:val="001557B3"/>
    <w:rsid w:val="00155BAD"/>
    <w:rsid w:val="00160038"/>
    <w:rsid w:val="00161073"/>
    <w:rsid w:val="001673D7"/>
    <w:rsid w:val="0016752B"/>
    <w:rsid w:val="00167681"/>
    <w:rsid w:val="00170121"/>
    <w:rsid w:val="001708FC"/>
    <w:rsid w:val="001751E0"/>
    <w:rsid w:val="00175EB8"/>
    <w:rsid w:val="001778EE"/>
    <w:rsid w:val="00186285"/>
    <w:rsid w:val="00190339"/>
    <w:rsid w:val="001931CD"/>
    <w:rsid w:val="00193B02"/>
    <w:rsid w:val="0019537A"/>
    <w:rsid w:val="00197D88"/>
    <w:rsid w:val="001A1938"/>
    <w:rsid w:val="001A266E"/>
    <w:rsid w:val="001A46E7"/>
    <w:rsid w:val="001A4EE5"/>
    <w:rsid w:val="001B2909"/>
    <w:rsid w:val="001B37AF"/>
    <w:rsid w:val="001B5779"/>
    <w:rsid w:val="001C44DD"/>
    <w:rsid w:val="001C46CB"/>
    <w:rsid w:val="001C5099"/>
    <w:rsid w:val="001D0C2B"/>
    <w:rsid w:val="001D16E7"/>
    <w:rsid w:val="001D2067"/>
    <w:rsid w:val="001D3467"/>
    <w:rsid w:val="001D622F"/>
    <w:rsid w:val="001E06F7"/>
    <w:rsid w:val="001E2213"/>
    <w:rsid w:val="001E6AA2"/>
    <w:rsid w:val="001F4ACE"/>
    <w:rsid w:val="001F73DB"/>
    <w:rsid w:val="00200B0A"/>
    <w:rsid w:val="002032FC"/>
    <w:rsid w:val="00203371"/>
    <w:rsid w:val="00206649"/>
    <w:rsid w:val="002076D4"/>
    <w:rsid w:val="0021038C"/>
    <w:rsid w:val="00214A85"/>
    <w:rsid w:val="002204BB"/>
    <w:rsid w:val="0022447E"/>
    <w:rsid w:val="0023231B"/>
    <w:rsid w:val="00233E24"/>
    <w:rsid w:val="00234B84"/>
    <w:rsid w:val="00240E37"/>
    <w:rsid w:val="00241ED4"/>
    <w:rsid w:val="00246C2A"/>
    <w:rsid w:val="00254333"/>
    <w:rsid w:val="0025522B"/>
    <w:rsid w:val="0025549C"/>
    <w:rsid w:val="002559C0"/>
    <w:rsid w:val="00264D1A"/>
    <w:rsid w:val="0026622F"/>
    <w:rsid w:val="00277EC3"/>
    <w:rsid w:val="0028399D"/>
    <w:rsid w:val="00284675"/>
    <w:rsid w:val="002935C8"/>
    <w:rsid w:val="00294FD9"/>
    <w:rsid w:val="00296837"/>
    <w:rsid w:val="002975E8"/>
    <w:rsid w:val="002977B9"/>
    <w:rsid w:val="00297B28"/>
    <w:rsid w:val="002A4D85"/>
    <w:rsid w:val="002A4F76"/>
    <w:rsid w:val="002A5953"/>
    <w:rsid w:val="002B084A"/>
    <w:rsid w:val="002B3958"/>
    <w:rsid w:val="002B4457"/>
    <w:rsid w:val="002B7DD7"/>
    <w:rsid w:val="002C0DD1"/>
    <w:rsid w:val="002C143B"/>
    <w:rsid w:val="002C3677"/>
    <w:rsid w:val="002C3AC9"/>
    <w:rsid w:val="002C4134"/>
    <w:rsid w:val="002C52F6"/>
    <w:rsid w:val="002C5539"/>
    <w:rsid w:val="002C615C"/>
    <w:rsid w:val="002C7212"/>
    <w:rsid w:val="002D592C"/>
    <w:rsid w:val="002E0525"/>
    <w:rsid w:val="002E275B"/>
    <w:rsid w:val="002E41AF"/>
    <w:rsid w:val="002F5CCC"/>
    <w:rsid w:val="002F6887"/>
    <w:rsid w:val="002F7136"/>
    <w:rsid w:val="002F7833"/>
    <w:rsid w:val="00301537"/>
    <w:rsid w:val="003033BA"/>
    <w:rsid w:val="00310927"/>
    <w:rsid w:val="00312396"/>
    <w:rsid w:val="0031711D"/>
    <w:rsid w:val="00320765"/>
    <w:rsid w:val="0032111C"/>
    <w:rsid w:val="00323FCF"/>
    <w:rsid w:val="00324EAB"/>
    <w:rsid w:val="003257CE"/>
    <w:rsid w:val="0032648E"/>
    <w:rsid w:val="00326531"/>
    <w:rsid w:val="003412E1"/>
    <w:rsid w:val="00345BA4"/>
    <w:rsid w:val="0034619A"/>
    <w:rsid w:val="00346739"/>
    <w:rsid w:val="0034680A"/>
    <w:rsid w:val="003503ED"/>
    <w:rsid w:val="0035321A"/>
    <w:rsid w:val="003534A8"/>
    <w:rsid w:val="003541A1"/>
    <w:rsid w:val="00355DA3"/>
    <w:rsid w:val="00356D72"/>
    <w:rsid w:val="0036338C"/>
    <w:rsid w:val="00365F92"/>
    <w:rsid w:val="003710F8"/>
    <w:rsid w:val="00372FA1"/>
    <w:rsid w:val="00375E3B"/>
    <w:rsid w:val="00376340"/>
    <w:rsid w:val="00380018"/>
    <w:rsid w:val="003829D4"/>
    <w:rsid w:val="00382F9B"/>
    <w:rsid w:val="00386456"/>
    <w:rsid w:val="003955CA"/>
    <w:rsid w:val="003955FD"/>
    <w:rsid w:val="003A2726"/>
    <w:rsid w:val="003A2904"/>
    <w:rsid w:val="003A581E"/>
    <w:rsid w:val="003A6319"/>
    <w:rsid w:val="003B4B79"/>
    <w:rsid w:val="003C16FE"/>
    <w:rsid w:val="003C3E87"/>
    <w:rsid w:val="003D07F5"/>
    <w:rsid w:val="003D1504"/>
    <w:rsid w:val="003D4E4D"/>
    <w:rsid w:val="003D7B8F"/>
    <w:rsid w:val="003E0E20"/>
    <w:rsid w:val="003E622D"/>
    <w:rsid w:val="003F2F0B"/>
    <w:rsid w:val="003F6221"/>
    <w:rsid w:val="00400E78"/>
    <w:rsid w:val="004031BC"/>
    <w:rsid w:val="00405B21"/>
    <w:rsid w:val="004077BE"/>
    <w:rsid w:val="00410A57"/>
    <w:rsid w:val="00411FE9"/>
    <w:rsid w:val="00412966"/>
    <w:rsid w:val="004211F7"/>
    <w:rsid w:val="00424EDB"/>
    <w:rsid w:val="00435604"/>
    <w:rsid w:val="00437DAA"/>
    <w:rsid w:val="004419B5"/>
    <w:rsid w:val="004422D6"/>
    <w:rsid w:val="00442E08"/>
    <w:rsid w:val="0046091D"/>
    <w:rsid w:val="004630E8"/>
    <w:rsid w:val="004649CC"/>
    <w:rsid w:val="0046612E"/>
    <w:rsid w:val="0046679E"/>
    <w:rsid w:val="0047477D"/>
    <w:rsid w:val="004769A1"/>
    <w:rsid w:val="004774E9"/>
    <w:rsid w:val="004814DF"/>
    <w:rsid w:val="00483B08"/>
    <w:rsid w:val="004925FF"/>
    <w:rsid w:val="00496692"/>
    <w:rsid w:val="0049750B"/>
    <w:rsid w:val="004A25E4"/>
    <w:rsid w:val="004A34D2"/>
    <w:rsid w:val="004A4C2E"/>
    <w:rsid w:val="004A6D63"/>
    <w:rsid w:val="004A7882"/>
    <w:rsid w:val="004B2D01"/>
    <w:rsid w:val="004B595A"/>
    <w:rsid w:val="004B6418"/>
    <w:rsid w:val="004C1E59"/>
    <w:rsid w:val="004C229C"/>
    <w:rsid w:val="004C5ADA"/>
    <w:rsid w:val="004C60B5"/>
    <w:rsid w:val="004D4483"/>
    <w:rsid w:val="004D7001"/>
    <w:rsid w:val="004F095C"/>
    <w:rsid w:val="004F2879"/>
    <w:rsid w:val="004F4376"/>
    <w:rsid w:val="004F6ECD"/>
    <w:rsid w:val="004F6F6B"/>
    <w:rsid w:val="005021F5"/>
    <w:rsid w:val="005050FA"/>
    <w:rsid w:val="005055F6"/>
    <w:rsid w:val="0050615F"/>
    <w:rsid w:val="0051074C"/>
    <w:rsid w:val="00512D69"/>
    <w:rsid w:val="00513AF2"/>
    <w:rsid w:val="00513C27"/>
    <w:rsid w:val="00515584"/>
    <w:rsid w:val="00516D0D"/>
    <w:rsid w:val="00517BBF"/>
    <w:rsid w:val="005227B0"/>
    <w:rsid w:val="00522B4D"/>
    <w:rsid w:val="00523AEA"/>
    <w:rsid w:val="00524841"/>
    <w:rsid w:val="00524ADE"/>
    <w:rsid w:val="00525196"/>
    <w:rsid w:val="00534756"/>
    <w:rsid w:val="00536E50"/>
    <w:rsid w:val="00540BAA"/>
    <w:rsid w:val="00541C5C"/>
    <w:rsid w:val="0054413A"/>
    <w:rsid w:val="005534F8"/>
    <w:rsid w:val="00554677"/>
    <w:rsid w:val="005557ED"/>
    <w:rsid w:val="005564CA"/>
    <w:rsid w:val="005574A6"/>
    <w:rsid w:val="00572B28"/>
    <w:rsid w:val="005730FE"/>
    <w:rsid w:val="00576B70"/>
    <w:rsid w:val="00577353"/>
    <w:rsid w:val="00577E0C"/>
    <w:rsid w:val="00584DF7"/>
    <w:rsid w:val="00590090"/>
    <w:rsid w:val="00591411"/>
    <w:rsid w:val="00594445"/>
    <w:rsid w:val="005946A7"/>
    <w:rsid w:val="0059578E"/>
    <w:rsid w:val="00595ABA"/>
    <w:rsid w:val="005A7264"/>
    <w:rsid w:val="005B57B3"/>
    <w:rsid w:val="005B59B3"/>
    <w:rsid w:val="005C69A5"/>
    <w:rsid w:val="005C742E"/>
    <w:rsid w:val="005E2310"/>
    <w:rsid w:val="005E63E8"/>
    <w:rsid w:val="005F19D7"/>
    <w:rsid w:val="005F1E76"/>
    <w:rsid w:val="005F39C8"/>
    <w:rsid w:val="006004C4"/>
    <w:rsid w:val="0060123B"/>
    <w:rsid w:val="00601FAB"/>
    <w:rsid w:val="0060242D"/>
    <w:rsid w:val="006035FF"/>
    <w:rsid w:val="00604799"/>
    <w:rsid w:val="00616FCC"/>
    <w:rsid w:val="006175D9"/>
    <w:rsid w:val="00625588"/>
    <w:rsid w:val="00626D1B"/>
    <w:rsid w:val="0063608F"/>
    <w:rsid w:val="0064060E"/>
    <w:rsid w:val="00651D3F"/>
    <w:rsid w:val="00655371"/>
    <w:rsid w:val="006574AE"/>
    <w:rsid w:val="00660AC1"/>
    <w:rsid w:val="00661EF1"/>
    <w:rsid w:val="006800EB"/>
    <w:rsid w:val="00681EA7"/>
    <w:rsid w:val="006907EA"/>
    <w:rsid w:val="00690B01"/>
    <w:rsid w:val="00691AFA"/>
    <w:rsid w:val="00691B24"/>
    <w:rsid w:val="00697665"/>
    <w:rsid w:val="006A7FD0"/>
    <w:rsid w:val="006B0ACE"/>
    <w:rsid w:val="006B1FB3"/>
    <w:rsid w:val="006B3EBD"/>
    <w:rsid w:val="006B7884"/>
    <w:rsid w:val="006C1147"/>
    <w:rsid w:val="006C2C05"/>
    <w:rsid w:val="006C6FAC"/>
    <w:rsid w:val="006D4364"/>
    <w:rsid w:val="006D4970"/>
    <w:rsid w:val="006D4A0A"/>
    <w:rsid w:val="006D6051"/>
    <w:rsid w:val="006D7687"/>
    <w:rsid w:val="006E0572"/>
    <w:rsid w:val="006E52D3"/>
    <w:rsid w:val="006E594D"/>
    <w:rsid w:val="006E7076"/>
    <w:rsid w:val="006E7AE9"/>
    <w:rsid w:val="006F1382"/>
    <w:rsid w:val="006F2FC2"/>
    <w:rsid w:val="006F3838"/>
    <w:rsid w:val="00703385"/>
    <w:rsid w:val="0070339E"/>
    <w:rsid w:val="00703806"/>
    <w:rsid w:val="00705631"/>
    <w:rsid w:val="00706B51"/>
    <w:rsid w:val="00713E07"/>
    <w:rsid w:val="00722820"/>
    <w:rsid w:val="00724FF7"/>
    <w:rsid w:val="0072544D"/>
    <w:rsid w:val="00730438"/>
    <w:rsid w:val="00741948"/>
    <w:rsid w:val="00742DD2"/>
    <w:rsid w:val="00750EBE"/>
    <w:rsid w:val="0075320A"/>
    <w:rsid w:val="00753F76"/>
    <w:rsid w:val="0075647A"/>
    <w:rsid w:val="007634AD"/>
    <w:rsid w:val="007656D7"/>
    <w:rsid w:val="007677F9"/>
    <w:rsid w:val="007715A3"/>
    <w:rsid w:val="00777616"/>
    <w:rsid w:val="0078122E"/>
    <w:rsid w:val="00795740"/>
    <w:rsid w:val="007B0526"/>
    <w:rsid w:val="007B06D4"/>
    <w:rsid w:val="007B0854"/>
    <w:rsid w:val="007B4FEC"/>
    <w:rsid w:val="007B6F0C"/>
    <w:rsid w:val="007C11D5"/>
    <w:rsid w:val="007C2133"/>
    <w:rsid w:val="007C2E31"/>
    <w:rsid w:val="007D3FDE"/>
    <w:rsid w:val="007E6A55"/>
    <w:rsid w:val="007F0AC4"/>
    <w:rsid w:val="007F3B21"/>
    <w:rsid w:val="007F72CB"/>
    <w:rsid w:val="007F766A"/>
    <w:rsid w:val="00804256"/>
    <w:rsid w:val="00804C2B"/>
    <w:rsid w:val="00815B04"/>
    <w:rsid w:val="0081710B"/>
    <w:rsid w:val="00821C95"/>
    <w:rsid w:val="00825B08"/>
    <w:rsid w:val="00826405"/>
    <w:rsid w:val="0082710C"/>
    <w:rsid w:val="0083119B"/>
    <w:rsid w:val="0083448D"/>
    <w:rsid w:val="00836EAB"/>
    <w:rsid w:val="008410AB"/>
    <w:rsid w:val="008445D2"/>
    <w:rsid w:val="00844B0B"/>
    <w:rsid w:val="0085092D"/>
    <w:rsid w:val="008513BB"/>
    <w:rsid w:val="0085670D"/>
    <w:rsid w:val="00857BFF"/>
    <w:rsid w:val="00870B66"/>
    <w:rsid w:val="00875ABA"/>
    <w:rsid w:val="00880C42"/>
    <w:rsid w:val="00884974"/>
    <w:rsid w:val="0088500C"/>
    <w:rsid w:val="00886B28"/>
    <w:rsid w:val="008935A9"/>
    <w:rsid w:val="00894813"/>
    <w:rsid w:val="008B0356"/>
    <w:rsid w:val="008B1529"/>
    <w:rsid w:val="008B3E4E"/>
    <w:rsid w:val="008B56D7"/>
    <w:rsid w:val="008C07F4"/>
    <w:rsid w:val="008C0D0F"/>
    <w:rsid w:val="008C5E2B"/>
    <w:rsid w:val="008D10F4"/>
    <w:rsid w:val="008D69D4"/>
    <w:rsid w:val="008E1C15"/>
    <w:rsid w:val="008E2EE5"/>
    <w:rsid w:val="008E4D5F"/>
    <w:rsid w:val="008E70B0"/>
    <w:rsid w:val="008F3CDF"/>
    <w:rsid w:val="00900CC9"/>
    <w:rsid w:val="00901976"/>
    <w:rsid w:val="00902E5C"/>
    <w:rsid w:val="009047C5"/>
    <w:rsid w:val="0090641C"/>
    <w:rsid w:val="00907990"/>
    <w:rsid w:val="0091430A"/>
    <w:rsid w:val="0091532A"/>
    <w:rsid w:val="00916443"/>
    <w:rsid w:val="009242D2"/>
    <w:rsid w:val="009277D8"/>
    <w:rsid w:val="009320BD"/>
    <w:rsid w:val="00933B1A"/>
    <w:rsid w:val="00934B15"/>
    <w:rsid w:val="009405F5"/>
    <w:rsid w:val="00941461"/>
    <w:rsid w:val="0094638F"/>
    <w:rsid w:val="00946D01"/>
    <w:rsid w:val="00951AB2"/>
    <w:rsid w:val="00953745"/>
    <w:rsid w:val="0095385A"/>
    <w:rsid w:val="00955057"/>
    <w:rsid w:val="009576E0"/>
    <w:rsid w:val="00965F7A"/>
    <w:rsid w:val="009718D5"/>
    <w:rsid w:val="009723BC"/>
    <w:rsid w:val="0097523F"/>
    <w:rsid w:val="009755E1"/>
    <w:rsid w:val="00987536"/>
    <w:rsid w:val="009879DD"/>
    <w:rsid w:val="00991DCD"/>
    <w:rsid w:val="00995EA0"/>
    <w:rsid w:val="00996286"/>
    <w:rsid w:val="00996562"/>
    <w:rsid w:val="009A0016"/>
    <w:rsid w:val="009A75A1"/>
    <w:rsid w:val="009B25B1"/>
    <w:rsid w:val="009B5EFF"/>
    <w:rsid w:val="009B7375"/>
    <w:rsid w:val="009C5FD9"/>
    <w:rsid w:val="009C63C6"/>
    <w:rsid w:val="009D0332"/>
    <w:rsid w:val="009D2C05"/>
    <w:rsid w:val="009D2E08"/>
    <w:rsid w:val="009D5D30"/>
    <w:rsid w:val="009E03DA"/>
    <w:rsid w:val="009E0A8D"/>
    <w:rsid w:val="009E1AF9"/>
    <w:rsid w:val="009E38F3"/>
    <w:rsid w:val="009E53CB"/>
    <w:rsid w:val="009F02DE"/>
    <w:rsid w:val="009F4C19"/>
    <w:rsid w:val="009F566E"/>
    <w:rsid w:val="009F5DE4"/>
    <w:rsid w:val="009F6D81"/>
    <w:rsid w:val="00A0364D"/>
    <w:rsid w:val="00A054AE"/>
    <w:rsid w:val="00A0652B"/>
    <w:rsid w:val="00A06946"/>
    <w:rsid w:val="00A1175F"/>
    <w:rsid w:val="00A177EF"/>
    <w:rsid w:val="00A17FA0"/>
    <w:rsid w:val="00A20620"/>
    <w:rsid w:val="00A2124D"/>
    <w:rsid w:val="00A24145"/>
    <w:rsid w:val="00A24560"/>
    <w:rsid w:val="00A24DFE"/>
    <w:rsid w:val="00A270B6"/>
    <w:rsid w:val="00A27CE2"/>
    <w:rsid w:val="00A32837"/>
    <w:rsid w:val="00A34538"/>
    <w:rsid w:val="00A3493C"/>
    <w:rsid w:val="00A36B55"/>
    <w:rsid w:val="00A40D99"/>
    <w:rsid w:val="00A41125"/>
    <w:rsid w:val="00A411EA"/>
    <w:rsid w:val="00A516BE"/>
    <w:rsid w:val="00A5591F"/>
    <w:rsid w:val="00A576AE"/>
    <w:rsid w:val="00A657DE"/>
    <w:rsid w:val="00A701FD"/>
    <w:rsid w:val="00A8018F"/>
    <w:rsid w:val="00A82C64"/>
    <w:rsid w:val="00A85497"/>
    <w:rsid w:val="00AA024A"/>
    <w:rsid w:val="00AA0871"/>
    <w:rsid w:val="00AA442B"/>
    <w:rsid w:val="00AA6E5E"/>
    <w:rsid w:val="00AA7122"/>
    <w:rsid w:val="00AB2B7A"/>
    <w:rsid w:val="00AB7F10"/>
    <w:rsid w:val="00AC10B5"/>
    <w:rsid w:val="00AC2522"/>
    <w:rsid w:val="00AC7218"/>
    <w:rsid w:val="00AD1257"/>
    <w:rsid w:val="00AD1BBD"/>
    <w:rsid w:val="00AD2EBB"/>
    <w:rsid w:val="00AD7EB8"/>
    <w:rsid w:val="00AE032B"/>
    <w:rsid w:val="00AE52BF"/>
    <w:rsid w:val="00AE6BAD"/>
    <w:rsid w:val="00AE72C4"/>
    <w:rsid w:val="00AF02FA"/>
    <w:rsid w:val="00AF0CDB"/>
    <w:rsid w:val="00AF1C08"/>
    <w:rsid w:val="00AF20F4"/>
    <w:rsid w:val="00B009D7"/>
    <w:rsid w:val="00B06089"/>
    <w:rsid w:val="00B22E22"/>
    <w:rsid w:val="00B230B2"/>
    <w:rsid w:val="00B2352A"/>
    <w:rsid w:val="00B32654"/>
    <w:rsid w:val="00B34992"/>
    <w:rsid w:val="00B40EBB"/>
    <w:rsid w:val="00B42C49"/>
    <w:rsid w:val="00B45382"/>
    <w:rsid w:val="00B50DA4"/>
    <w:rsid w:val="00B525CB"/>
    <w:rsid w:val="00B54992"/>
    <w:rsid w:val="00B61D42"/>
    <w:rsid w:val="00B62BAA"/>
    <w:rsid w:val="00B63CB2"/>
    <w:rsid w:val="00B64D44"/>
    <w:rsid w:val="00B66431"/>
    <w:rsid w:val="00B72F10"/>
    <w:rsid w:val="00B75E30"/>
    <w:rsid w:val="00B817FF"/>
    <w:rsid w:val="00B846F7"/>
    <w:rsid w:val="00B8529C"/>
    <w:rsid w:val="00B86323"/>
    <w:rsid w:val="00B869F7"/>
    <w:rsid w:val="00B90CB4"/>
    <w:rsid w:val="00B973A7"/>
    <w:rsid w:val="00BC55B4"/>
    <w:rsid w:val="00BC5611"/>
    <w:rsid w:val="00BD2361"/>
    <w:rsid w:val="00BD5DC2"/>
    <w:rsid w:val="00BD78FE"/>
    <w:rsid w:val="00BE1EA8"/>
    <w:rsid w:val="00BE4F15"/>
    <w:rsid w:val="00BE50D0"/>
    <w:rsid w:val="00BE70E7"/>
    <w:rsid w:val="00BE7E8C"/>
    <w:rsid w:val="00BF2115"/>
    <w:rsid w:val="00BF745E"/>
    <w:rsid w:val="00C014B1"/>
    <w:rsid w:val="00C02545"/>
    <w:rsid w:val="00C02B88"/>
    <w:rsid w:val="00C03B4E"/>
    <w:rsid w:val="00C06C30"/>
    <w:rsid w:val="00C1367A"/>
    <w:rsid w:val="00C14A16"/>
    <w:rsid w:val="00C15CDD"/>
    <w:rsid w:val="00C16B93"/>
    <w:rsid w:val="00C21C93"/>
    <w:rsid w:val="00C24170"/>
    <w:rsid w:val="00C264C5"/>
    <w:rsid w:val="00C3379B"/>
    <w:rsid w:val="00C35B8D"/>
    <w:rsid w:val="00C35D18"/>
    <w:rsid w:val="00C3785D"/>
    <w:rsid w:val="00C37FDD"/>
    <w:rsid w:val="00C43236"/>
    <w:rsid w:val="00C503B0"/>
    <w:rsid w:val="00C542DC"/>
    <w:rsid w:val="00C5769C"/>
    <w:rsid w:val="00C60A0C"/>
    <w:rsid w:val="00C61F27"/>
    <w:rsid w:val="00C6511A"/>
    <w:rsid w:val="00C7082F"/>
    <w:rsid w:val="00C71C6E"/>
    <w:rsid w:val="00C74417"/>
    <w:rsid w:val="00C87D6E"/>
    <w:rsid w:val="00C91D0F"/>
    <w:rsid w:val="00C92B5D"/>
    <w:rsid w:val="00C94819"/>
    <w:rsid w:val="00C95EE3"/>
    <w:rsid w:val="00C9787C"/>
    <w:rsid w:val="00CA01D6"/>
    <w:rsid w:val="00CA11D0"/>
    <w:rsid w:val="00CA34C5"/>
    <w:rsid w:val="00CA56A6"/>
    <w:rsid w:val="00CA57B2"/>
    <w:rsid w:val="00CA63D7"/>
    <w:rsid w:val="00CB0F91"/>
    <w:rsid w:val="00CB29A3"/>
    <w:rsid w:val="00CB563C"/>
    <w:rsid w:val="00CB6CD6"/>
    <w:rsid w:val="00CB72ED"/>
    <w:rsid w:val="00CC00CD"/>
    <w:rsid w:val="00CC08C0"/>
    <w:rsid w:val="00CC099B"/>
    <w:rsid w:val="00CC3691"/>
    <w:rsid w:val="00CD360D"/>
    <w:rsid w:val="00CD4DC2"/>
    <w:rsid w:val="00CD7D5B"/>
    <w:rsid w:val="00CE3029"/>
    <w:rsid w:val="00CE32B4"/>
    <w:rsid w:val="00CF6007"/>
    <w:rsid w:val="00CF682A"/>
    <w:rsid w:val="00D00EF3"/>
    <w:rsid w:val="00D01ECB"/>
    <w:rsid w:val="00D044AF"/>
    <w:rsid w:val="00D0726B"/>
    <w:rsid w:val="00D157E8"/>
    <w:rsid w:val="00D16916"/>
    <w:rsid w:val="00D16C5A"/>
    <w:rsid w:val="00D16E39"/>
    <w:rsid w:val="00D2126F"/>
    <w:rsid w:val="00D222E1"/>
    <w:rsid w:val="00D22DDF"/>
    <w:rsid w:val="00D26A57"/>
    <w:rsid w:val="00D32C15"/>
    <w:rsid w:val="00D42048"/>
    <w:rsid w:val="00D45058"/>
    <w:rsid w:val="00D466ED"/>
    <w:rsid w:val="00D54F50"/>
    <w:rsid w:val="00D60FF6"/>
    <w:rsid w:val="00D62246"/>
    <w:rsid w:val="00D657A9"/>
    <w:rsid w:val="00D72E9D"/>
    <w:rsid w:val="00D7385B"/>
    <w:rsid w:val="00D764C5"/>
    <w:rsid w:val="00D764E4"/>
    <w:rsid w:val="00D800A9"/>
    <w:rsid w:val="00D80DB1"/>
    <w:rsid w:val="00D81805"/>
    <w:rsid w:val="00D82CE5"/>
    <w:rsid w:val="00D84D82"/>
    <w:rsid w:val="00D91577"/>
    <w:rsid w:val="00D96548"/>
    <w:rsid w:val="00DA2678"/>
    <w:rsid w:val="00DA5AB1"/>
    <w:rsid w:val="00DB4FDD"/>
    <w:rsid w:val="00DB7A7F"/>
    <w:rsid w:val="00DB7BE3"/>
    <w:rsid w:val="00DC090D"/>
    <w:rsid w:val="00DC47DB"/>
    <w:rsid w:val="00DC5D45"/>
    <w:rsid w:val="00DC62E5"/>
    <w:rsid w:val="00DC684A"/>
    <w:rsid w:val="00DD15F2"/>
    <w:rsid w:val="00DD22BB"/>
    <w:rsid w:val="00DD735D"/>
    <w:rsid w:val="00DE1B05"/>
    <w:rsid w:val="00DE2670"/>
    <w:rsid w:val="00DE3119"/>
    <w:rsid w:val="00DF2038"/>
    <w:rsid w:val="00DF236B"/>
    <w:rsid w:val="00DF455B"/>
    <w:rsid w:val="00DF661F"/>
    <w:rsid w:val="00DF7B06"/>
    <w:rsid w:val="00E03C26"/>
    <w:rsid w:val="00E04C25"/>
    <w:rsid w:val="00E11CFA"/>
    <w:rsid w:val="00E13AB8"/>
    <w:rsid w:val="00E14F1C"/>
    <w:rsid w:val="00E22F96"/>
    <w:rsid w:val="00E2372D"/>
    <w:rsid w:val="00E30F98"/>
    <w:rsid w:val="00E3242E"/>
    <w:rsid w:val="00E33B62"/>
    <w:rsid w:val="00E37FAE"/>
    <w:rsid w:val="00E41DB5"/>
    <w:rsid w:val="00E42B19"/>
    <w:rsid w:val="00E472C3"/>
    <w:rsid w:val="00E5435E"/>
    <w:rsid w:val="00E60D1B"/>
    <w:rsid w:val="00E61357"/>
    <w:rsid w:val="00E652AE"/>
    <w:rsid w:val="00E70217"/>
    <w:rsid w:val="00E70522"/>
    <w:rsid w:val="00E72FF5"/>
    <w:rsid w:val="00E84342"/>
    <w:rsid w:val="00E8638E"/>
    <w:rsid w:val="00E92294"/>
    <w:rsid w:val="00E95B4E"/>
    <w:rsid w:val="00EA0228"/>
    <w:rsid w:val="00EA1D38"/>
    <w:rsid w:val="00EA2C90"/>
    <w:rsid w:val="00EA794A"/>
    <w:rsid w:val="00EB1F82"/>
    <w:rsid w:val="00EB2AEC"/>
    <w:rsid w:val="00EC30B0"/>
    <w:rsid w:val="00EC7706"/>
    <w:rsid w:val="00ED036B"/>
    <w:rsid w:val="00ED1186"/>
    <w:rsid w:val="00ED45CF"/>
    <w:rsid w:val="00ED7820"/>
    <w:rsid w:val="00EE3799"/>
    <w:rsid w:val="00EF1D14"/>
    <w:rsid w:val="00EF379C"/>
    <w:rsid w:val="00EF4FE4"/>
    <w:rsid w:val="00EF5593"/>
    <w:rsid w:val="00F00B54"/>
    <w:rsid w:val="00F07073"/>
    <w:rsid w:val="00F07F82"/>
    <w:rsid w:val="00F10595"/>
    <w:rsid w:val="00F10CD5"/>
    <w:rsid w:val="00F12AB3"/>
    <w:rsid w:val="00F15E5B"/>
    <w:rsid w:val="00F167DF"/>
    <w:rsid w:val="00F207A4"/>
    <w:rsid w:val="00F220BD"/>
    <w:rsid w:val="00F239C8"/>
    <w:rsid w:val="00F27613"/>
    <w:rsid w:val="00F351AB"/>
    <w:rsid w:val="00F43817"/>
    <w:rsid w:val="00F52968"/>
    <w:rsid w:val="00F60612"/>
    <w:rsid w:val="00F611E0"/>
    <w:rsid w:val="00F611F0"/>
    <w:rsid w:val="00F662F3"/>
    <w:rsid w:val="00F70A48"/>
    <w:rsid w:val="00F710E6"/>
    <w:rsid w:val="00F747A4"/>
    <w:rsid w:val="00F764C2"/>
    <w:rsid w:val="00F77E2A"/>
    <w:rsid w:val="00F83CA4"/>
    <w:rsid w:val="00F83F8C"/>
    <w:rsid w:val="00F84899"/>
    <w:rsid w:val="00F8494D"/>
    <w:rsid w:val="00F859F0"/>
    <w:rsid w:val="00F87F52"/>
    <w:rsid w:val="00F941C6"/>
    <w:rsid w:val="00FA6240"/>
    <w:rsid w:val="00FA714B"/>
    <w:rsid w:val="00FB0AF7"/>
    <w:rsid w:val="00FB18D2"/>
    <w:rsid w:val="00FB4011"/>
    <w:rsid w:val="00FC34FA"/>
    <w:rsid w:val="00FC6180"/>
    <w:rsid w:val="00FC65C3"/>
    <w:rsid w:val="00FE141E"/>
    <w:rsid w:val="00FE16F2"/>
    <w:rsid w:val="00FE2C84"/>
    <w:rsid w:val="00FE4E11"/>
    <w:rsid w:val="00FF4C3E"/>
    <w:rsid w:val="00FF587C"/>
    <w:rsid w:val="0E565F8B"/>
    <w:rsid w:val="1E62CA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7B0854"/>
    <w:rPr>
      <w:vertAlign w:val="superscript"/>
    </w:rPr>
  </w:style>
  <w:style w:type="paragraph" w:customStyle="1" w:styleId="Default">
    <w:name w:val="Default"/>
    <w:rsid w:val="00442E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6901920">
      <w:bodyDiv w:val="1"/>
      <w:marLeft w:val="0"/>
      <w:marRight w:val="0"/>
      <w:marTop w:val="0"/>
      <w:marBottom w:val="0"/>
      <w:divBdr>
        <w:top w:val="none" w:sz="0" w:space="0" w:color="auto"/>
        <w:left w:val="none" w:sz="0" w:space="0" w:color="auto"/>
        <w:bottom w:val="none" w:sz="0" w:space="0" w:color="auto"/>
        <w:right w:val="none" w:sz="0" w:space="0" w:color="auto"/>
      </w:divBdr>
    </w:div>
    <w:div w:id="132064365">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376197051">
      <w:bodyDiv w:val="1"/>
      <w:marLeft w:val="0"/>
      <w:marRight w:val="0"/>
      <w:marTop w:val="0"/>
      <w:marBottom w:val="0"/>
      <w:divBdr>
        <w:top w:val="none" w:sz="0" w:space="0" w:color="auto"/>
        <w:left w:val="none" w:sz="0" w:space="0" w:color="auto"/>
        <w:bottom w:val="none" w:sz="0" w:space="0" w:color="auto"/>
        <w:right w:val="none" w:sz="0" w:space="0" w:color="auto"/>
      </w:divBdr>
    </w:div>
    <w:div w:id="399058361">
      <w:bodyDiv w:val="1"/>
      <w:marLeft w:val="0"/>
      <w:marRight w:val="0"/>
      <w:marTop w:val="0"/>
      <w:marBottom w:val="0"/>
      <w:divBdr>
        <w:top w:val="none" w:sz="0" w:space="0" w:color="auto"/>
        <w:left w:val="none" w:sz="0" w:space="0" w:color="auto"/>
        <w:bottom w:val="none" w:sz="0" w:space="0" w:color="auto"/>
        <w:right w:val="none" w:sz="0" w:space="0" w:color="auto"/>
      </w:divBdr>
      <w:divsChild>
        <w:div w:id="172305705">
          <w:marLeft w:val="0"/>
          <w:marRight w:val="0"/>
          <w:marTop w:val="0"/>
          <w:marBottom w:val="0"/>
          <w:divBdr>
            <w:top w:val="none" w:sz="0" w:space="0" w:color="auto"/>
            <w:left w:val="none" w:sz="0" w:space="0" w:color="auto"/>
            <w:bottom w:val="none" w:sz="0" w:space="0" w:color="auto"/>
            <w:right w:val="none" w:sz="0" w:space="0" w:color="auto"/>
          </w:divBdr>
          <w:divsChild>
            <w:div w:id="448356292">
              <w:marLeft w:val="0"/>
              <w:marRight w:val="0"/>
              <w:marTop w:val="0"/>
              <w:marBottom w:val="0"/>
              <w:divBdr>
                <w:top w:val="none" w:sz="0" w:space="0" w:color="auto"/>
                <w:left w:val="none" w:sz="0" w:space="0" w:color="auto"/>
                <w:bottom w:val="none" w:sz="0" w:space="0" w:color="auto"/>
                <w:right w:val="none" w:sz="0" w:space="0" w:color="auto"/>
              </w:divBdr>
              <w:divsChild>
                <w:div w:id="6792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490">
      <w:bodyDiv w:val="1"/>
      <w:marLeft w:val="0"/>
      <w:marRight w:val="0"/>
      <w:marTop w:val="0"/>
      <w:marBottom w:val="0"/>
      <w:divBdr>
        <w:top w:val="none" w:sz="0" w:space="0" w:color="auto"/>
        <w:left w:val="none" w:sz="0" w:space="0" w:color="auto"/>
        <w:bottom w:val="none" w:sz="0" w:space="0" w:color="auto"/>
        <w:right w:val="none" w:sz="0" w:space="0" w:color="auto"/>
      </w:divBdr>
    </w:div>
    <w:div w:id="567810040">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1854145">
      <w:bodyDiv w:val="1"/>
      <w:marLeft w:val="0"/>
      <w:marRight w:val="0"/>
      <w:marTop w:val="0"/>
      <w:marBottom w:val="0"/>
      <w:divBdr>
        <w:top w:val="none" w:sz="0" w:space="0" w:color="auto"/>
        <w:left w:val="none" w:sz="0" w:space="0" w:color="auto"/>
        <w:bottom w:val="none" w:sz="0" w:space="0" w:color="auto"/>
        <w:right w:val="none" w:sz="0" w:space="0" w:color="auto"/>
      </w:divBdr>
    </w:div>
    <w:div w:id="1070731669">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394232358">
      <w:bodyDiv w:val="1"/>
      <w:marLeft w:val="0"/>
      <w:marRight w:val="0"/>
      <w:marTop w:val="0"/>
      <w:marBottom w:val="0"/>
      <w:divBdr>
        <w:top w:val="none" w:sz="0" w:space="0" w:color="auto"/>
        <w:left w:val="none" w:sz="0" w:space="0" w:color="auto"/>
        <w:bottom w:val="none" w:sz="0" w:space="0" w:color="auto"/>
        <w:right w:val="none" w:sz="0" w:space="0" w:color="auto"/>
      </w:divBdr>
    </w:div>
    <w:div w:id="1409838906">
      <w:bodyDiv w:val="1"/>
      <w:marLeft w:val="0"/>
      <w:marRight w:val="0"/>
      <w:marTop w:val="0"/>
      <w:marBottom w:val="0"/>
      <w:divBdr>
        <w:top w:val="none" w:sz="0" w:space="0" w:color="auto"/>
        <w:left w:val="none" w:sz="0" w:space="0" w:color="auto"/>
        <w:bottom w:val="none" w:sz="0" w:space="0" w:color="auto"/>
        <w:right w:val="none" w:sz="0" w:space="0" w:color="auto"/>
      </w:divBdr>
    </w:div>
    <w:div w:id="1589116935">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 w:id="21362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D3616-AAAC-4CD0-B91D-EE8EA78468E5}">
  <ds:schemaRefs>
    <ds:schemaRef ds:uri="http://schemas.openxmlformats.org/officeDocument/2006/bibliography"/>
  </ds:schemaRefs>
</ds:datastoreItem>
</file>

<file path=customXml/itemProps2.xml><?xml version="1.0" encoding="utf-8"?>
<ds:datastoreItem xmlns:ds="http://schemas.openxmlformats.org/officeDocument/2006/customXml" ds:itemID="{0463AF9A-2EFA-4493-81CD-15C39FE4462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9780FC4-4794-4638-869C-880AE728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13</Pages>
  <Words>5081</Words>
  <Characters>27950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cp:lastPrinted>2020-03-03T23:07:00Z</cp:lastPrinted>
  <dcterms:created xsi:type="dcterms:W3CDTF">2020-08-19T15:21:00Z</dcterms:created>
  <dcterms:modified xsi:type="dcterms:W3CDTF">2020-08-19T16:24:00Z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