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F3DF1" w14:textId="77777777" w:rsidR="00DC42F8" w:rsidRPr="005921B4" w:rsidRDefault="00DC42F8" w:rsidP="00DC42F8">
      <w:pPr>
        <w:spacing w:line="276" w:lineRule="auto"/>
        <w:jc w:val="right"/>
        <w:rPr>
          <w:rFonts w:ascii="Arial" w:eastAsia="Calibri" w:hAnsi="Arial" w:cs="Arial"/>
          <w:b/>
          <w:bCs/>
          <w:sz w:val="22"/>
        </w:rPr>
      </w:pPr>
      <w:bookmarkStart w:id="0" w:name="_Hlk29890381"/>
      <w:r w:rsidRPr="005921B4">
        <w:rPr>
          <w:rFonts w:ascii="Arial" w:eastAsia="Times New Roman" w:hAnsi="Arial" w:cs="Arial"/>
          <w:b/>
          <w:bCs/>
          <w:sz w:val="16"/>
          <w:szCs w:val="16"/>
          <w:lang w:eastAsia="es-ES"/>
        </w:rPr>
        <w:t>CCE-DES-FM-17</w:t>
      </w:r>
    </w:p>
    <w:p w14:paraId="7BFB3417" w14:textId="77777777" w:rsidR="00070AB6" w:rsidRPr="005921B4" w:rsidRDefault="00070AB6" w:rsidP="00DC42F8">
      <w:pPr>
        <w:jc w:val="both"/>
        <w:rPr>
          <w:rFonts w:ascii="Arial" w:eastAsia="Calibri" w:hAnsi="Arial" w:cs="Arial"/>
          <w:b/>
          <w:bCs/>
          <w:sz w:val="16"/>
          <w:szCs w:val="16"/>
        </w:rPr>
      </w:pPr>
    </w:p>
    <w:p w14:paraId="70182B67" w14:textId="3A2D6EAA" w:rsidR="00DC42F8" w:rsidRPr="00505E1F" w:rsidRDefault="00505E1F" w:rsidP="00DC42F8">
      <w:pPr>
        <w:jc w:val="both"/>
        <w:rPr>
          <w:rFonts w:ascii="Arial" w:eastAsia="Calibri" w:hAnsi="Arial" w:cs="Arial"/>
          <w:b/>
          <w:bCs/>
          <w:sz w:val="22"/>
        </w:rPr>
      </w:pPr>
      <w:r w:rsidRPr="00505E1F">
        <w:rPr>
          <w:rFonts w:ascii="Arial" w:eastAsia="Calibri" w:hAnsi="Arial" w:cs="Arial"/>
          <w:b/>
          <w:bCs/>
          <w:sz w:val="22"/>
        </w:rPr>
        <w:t xml:space="preserve">DOCUMENTOS TIPO – Experiencia </w:t>
      </w:r>
    </w:p>
    <w:p w14:paraId="586C252A" w14:textId="77777777" w:rsidR="00505E1F" w:rsidRPr="00070AB6" w:rsidRDefault="00505E1F" w:rsidP="00DC42F8">
      <w:pPr>
        <w:jc w:val="both"/>
        <w:rPr>
          <w:rFonts w:ascii="Arial" w:eastAsia="Calibri" w:hAnsi="Arial" w:cs="Arial"/>
          <w:b/>
          <w:bCs/>
          <w:sz w:val="20"/>
          <w:szCs w:val="20"/>
        </w:rPr>
      </w:pPr>
    </w:p>
    <w:p w14:paraId="51C6A374" w14:textId="77777777" w:rsidR="00C13534" w:rsidRDefault="00505E1F" w:rsidP="00DC42F8">
      <w:pPr>
        <w:jc w:val="both"/>
      </w:pPr>
      <w:r w:rsidRPr="00505E1F">
        <w:rPr>
          <w:rFonts w:ascii="Arial" w:eastAsia="Calibri" w:hAnsi="Arial" w:cs="Arial"/>
          <w:sz w:val="20"/>
        </w:rPr>
        <w:t>El numeral 3.5 del «Documento Base o Pliego Tipo» establece las reglas para acreditar y evaluar la experiencia requerida en el procedimiento de contratación. Este numeral dispone que los Proponentes deben acreditar su experiencia mediante: i) la información consignada en el RUP para quienes estén obligados a tenerlo, ii) la presentación el Formato 3 – Experiencia para todos los Proponentes y iii) alguno de los documentos válidos para la acreditación de la experiencia señalados en el numeral 3.5.5. cuando se requiera la verificación de información del Proponente adicional a la contenida en el RUP.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varios documentos válidos para acreditar experiencia cuando se requiera la verificación de información del Proponente adicional a la contenida en el RUP; el numeral 3.5.6. señala las reglas para acreditar la experiencia mediante subcontratos; y el numeral 3.5.7. establece el valor mínimo que se debe acreditar con relación al presupuesto oficial de acuerdo con el número de contratos aportados.</w:t>
      </w:r>
      <w:r w:rsidR="00C13534" w:rsidRPr="00C13534">
        <w:t xml:space="preserve"> </w:t>
      </w:r>
    </w:p>
    <w:p w14:paraId="6BBB27A7" w14:textId="77777777" w:rsidR="00C13534" w:rsidRDefault="00C13534" w:rsidP="00DC42F8">
      <w:pPr>
        <w:jc w:val="both"/>
      </w:pPr>
    </w:p>
    <w:p w14:paraId="358351DD" w14:textId="554F7FF8" w:rsidR="00C13534" w:rsidRPr="00505E1F" w:rsidRDefault="00C13534" w:rsidP="00C13534">
      <w:pPr>
        <w:jc w:val="both"/>
        <w:rPr>
          <w:rFonts w:ascii="Arial" w:eastAsia="Calibri" w:hAnsi="Arial" w:cs="Arial"/>
          <w:b/>
          <w:bCs/>
          <w:sz w:val="22"/>
        </w:rPr>
      </w:pPr>
      <w:r>
        <w:rPr>
          <w:rFonts w:ascii="Arial" w:eastAsia="Calibri" w:hAnsi="Arial" w:cs="Arial"/>
          <w:b/>
          <w:bCs/>
          <w:sz w:val="22"/>
        </w:rPr>
        <w:t>EXPERIENCIA</w:t>
      </w:r>
      <w:r w:rsidRPr="00505E1F">
        <w:rPr>
          <w:rFonts w:ascii="Arial" w:eastAsia="Calibri" w:hAnsi="Arial" w:cs="Arial"/>
          <w:b/>
          <w:bCs/>
          <w:sz w:val="22"/>
        </w:rPr>
        <w:t xml:space="preserve"> – Experiencia</w:t>
      </w:r>
      <w:r>
        <w:rPr>
          <w:rFonts w:ascii="Arial" w:eastAsia="Calibri" w:hAnsi="Arial" w:cs="Arial"/>
          <w:b/>
          <w:bCs/>
          <w:sz w:val="22"/>
        </w:rPr>
        <w:t xml:space="preserve"> general </w:t>
      </w:r>
      <w:r w:rsidRPr="00505E1F">
        <w:rPr>
          <w:rFonts w:ascii="Arial" w:eastAsia="Calibri" w:hAnsi="Arial" w:cs="Arial"/>
          <w:b/>
          <w:bCs/>
          <w:sz w:val="22"/>
        </w:rPr>
        <w:t>– Experiencia</w:t>
      </w:r>
      <w:r>
        <w:rPr>
          <w:rFonts w:ascii="Arial" w:eastAsia="Calibri" w:hAnsi="Arial" w:cs="Arial"/>
          <w:b/>
          <w:bCs/>
          <w:sz w:val="22"/>
        </w:rPr>
        <w:t xml:space="preserve"> específica </w:t>
      </w:r>
      <w:r w:rsidRPr="00505E1F">
        <w:rPr>
          <w:rFonts w:ascii="Arial" w:eastAsia="Calibri" w:hAnsi="Arial" w:cs="Arial"/>
          <w:b/>
          <w:bCs/>
          <w:sz w:val="22"/>
        </w:rPr>
        <w:t xml:space="preserve">– </w:t>
      </w:r>
      <w:r>
        <w:rPr>
          <w:rFonts w:ascii="Arial" w:eastAsia="Calibri" w:hAnsi="Arial" w:cs="Arial"/>
          <w:b/>
          <w:bCs/>
          <w:sz w:val="22"/>
        </w:rPr>
        <w:t>Inalterabilidad</w:t>
      </w:r>
    </w:p>
    <w:p w14:paraId="75E73D9E" w14:textId="77777777" w:rsidR="00C13534" w:rsidRDefault="00C13534" w:rsidP="00DC42F8">
      <w:pPr>
        <w:jc w:val="both"/>
      </w:pPr>
    </w:p>
    <w:p w14:paraId="077209B7" w14:textId="3FD1ECE7" w:rsidR="00C13534" w:rsidRDefault="00C13534" w:rsidP="005921B4">
      <w:pPr>
        <w:spacing w:after="120"/>
        <w:jc w:val="both"/>
        <w:rPr>
          <w:rFonts w:ascii="Arial" w:eastAsia="Calibri" w:hAnsi="Arial" w:cs="Arial"/>
          <w:sz w:val="20"/>
        </w:rPr>
      </w:pPr>
      <w:r w:rsidRPr="00C13534">
        <w:rPr>
          <w:rFonts w:ascii="Arial" w:eastAsia="Calibri" w:hAnsi="Arial" w:cs="Arial"/>
          <w:sz w:val="20"/>
        </w:rPr>
        <w:t xml:space="preserve">Ahora bien, dentro de los requisitos de «experiencia general» establecidos en la Matriz 1 para la actividad «2.2 MEJORAMIENTO EN VÍAS TERCIARIAS», se hace referencia a los materiales «pavimento asfáltico o concreto hidráulico o placa huella», lo cual motiva la consulta que se resuelve, en la medida que se indaga en torno al material en que se debe acreditar el requisito de «experiencia específica». </w:t>
      </w:r>
    </w:p>
    <w:p w14:paraId="2C352D8D" w14:textId="37E280C0" w:rsidR="00505E1F" w:rsidRDefault="00C13534" w:rsidP="005921B4">
      <w:pPr>
        <w:jc w:val="both"/>
        <w:rPr>
          <w:rFonts w:ascii="Arial" w:eastAsia="Calibri" w:hAnsi="Arial" w:cs="Arial"/>
          <w:sz w:val="20"/>
        </w:rPr>
      </w:pPr>
      <w:r w:rsidRPr="00C13534">
        <w:rPr>
          <w:rFonts w:ascii="Arial" w:eastAsia="Calibri" w:hAnsi="Arial" w:cs="Arial"/>
          <w:sz w:val="20"/>
        </w:rPr>
        <w:t>Al respecto estima esta Agencia que, en virtud del principio de inalterabilidad de los documentos tipo establecido en el artículo 2.2.1.2.6.1.4 del Decreto 1082 de 2015, la limitación del requisito de «experiencia específica» no es procedente, comoquiera que supone una alteración de lo establecido en la «Matriz 1 – Experiencia», que no contempla un tipo de material, excluyendo la posibilidad de que las entidades puedan decantarse por alguno de ellos.</w:t>
      </w:r>
    </w:p>
    <w:p w14:paraId="245DA728" w14:textId="77777777" w:rsidR="00C13534" w:rsidRPr="00070AB6" w:rsidRDefault="00C13534" w:rsidP="005921B4">
      <w:pPr>
        <w:jc w:val="both"/>
        <w:rPr>
          <w:rFonts w:ascii="Arial" w:eastAsia="Calibri" w:hAnsi="Arial" w:cs="Arial"/>
          <w:b/>
          <w:bCs/>
          <w:sz w:val="20"/>
          <w:szCs w:val="20"/>
        </w:rPr>
      </w:pPr>
    </w:p>
    <w:p w14:paraId="6A45FAFD" w14:textId="214697AB" w:rsidR="00DC42F8" w:rsidRPr="00505E1F" w:rsidRDefault="00DC42F8" w:rsidP="005921B4">
      <w:pPr>
        <w:jc w:val="both"/>
        <w:rPr>
          <w:rFonts w:ascii="Arial" w:eastAsia="Calibri" w:hAnsi="Arial" w:cs="Arial"/>
          <w:b/>
          <w:sz w:val="20"/>
          <w:szCs w:val="20"/>
        </w:rPr>
      </w:pPr>
      <w:r w:rsidRPr="00505E1F">
        <w:rPr>
          <w:rFonts w:ascii="Arial" w:eastAsia="Calibri" w:hAnsi="Arial" w:cs="Arial"/>
          <w:b/>
          <w:bCs/>
          <w:sz w:val="22"/>
        </w:rPr>
        <w:t xml:space="preserve">DOCUMENTOS TIPO – «Factor de calidad» – </w:t>
      </w:r>
      <w:r w:rsidRPr="00505E1F">
        <w:rPr>
          <w:rFonts w:ascii="Arial" w:eastAsia="Calibri" w:hAnsi="Arial" w:cs="Arial"/>
          <w:b/>
          <w:sz w:val="22"/>
        </w:rPr>
        <w:t>Mantenimiento adicional</w:t>
      </w:r>
    </w:p>
    <w:p w14:paraId="19BA9D65" w14:textId="77777777" w:rsidR="00DC42F8" w:rsidRPr="00070AB6" w:rsidRDefault="00DC42F8" w:rsidP="005921B4">
      <w:pPr>
        <w:jc w:val="both"/>
        <w:rPr>
          <w:rFonts w:ascii="Arial" w:eastAsia="Calibri" w:hAnsi="Arial" w:cs="Arial"/>
          <w:b/>
          <w:sz w:val="20"/>
          <w:szCs w:val="20"/>
        </w:rPr>
      </w:pPr>
    </w:p>
    <w:p w14:paraId="34311179" w14:textId="154E7CAF" w:rsidR="00DC42F8" w:rsidRDefault="00397013" w:rsidP="005921B4">
      <w:pPr>
        <w:jc w:val="both"/>
        <w:rPr>
          <w:rFonts w:ascii="Arial" w:eastAsia="Calibri" w:hAnsi="Arial" w:cs="Arial"/>
          <w:sz w:val="20"/>
        </w:rPr>
      </w:pPr>
      <w:r w:rsidRPr="00505E1F">
        <w:rPr>
          <w:rFonts w:ascii="Arial" w:eastAsia="Calibri" w:hAnsi="Arial" w:cs="Arial"/>
          <w:sz w:val="20"/>
        </w:rPr>
        <w:t>El «Factor de Calidad –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procedimiento de contratación.</w:t>
      </w:r>
    </w:p>
    <w:p w14:paraId="7F11FE24" w14:textId="77777777" w:rsidR="00397013" w:rsidRPr="00070AB6" w:rsidRDefault="00397013" w:rsidP="00DC42F8">
      <w:pPr>
        <w:jc w:val="both"/>
        <w:rPr>
          <w:rFonts w:ascii="Arial" w:eastAsia="Calibri" w:hAnsi="Arial" w:cs="Arial"/>
          <w:b/>
          <w:bCs/>
          <w:sz w:val="20"/>
          <w:szCs w:val="20"/>
        </w:rPr>
      </w:pPr>
    </w:p>
    <w:p w14:paraId="4848E440" w14:textId="5727AE99" w:rsidR="00397013" w:rsidRDefault="009E55FC" w:rsidP="00DC42F8">
      <w:pPr>
        <w:rPr>
          <w:rFonts w:ascii="Arial" w:eastAsia="Calibri" w:hAnsi="Arial" w:cs="Arial"/>
          <w:b/>
          <w:sz w:val="22"/>
        </w:rPr>
      </w:pPr>
      <w:r w:rsidRPr="00505E1F">
        <w:rPr>
          <w:rFonts w:ascii="Arial" w:eastAsia="Calibri" w:hAnsi="Arial" w:cs="Arial"/>
          <w:b/>
          <w:sz w:val="22"/>
        </w:rPr>
        <w:t>MANTENIMIENTO ADICIONAL</w:t>
      </w:r>
      <w:r>
        <w:rPr>
          <w:rFonts w:ascii="Arial" w:eastAsia="Calibri" w:hAnsi="Arial" w:cs="Arial"/>
          <w:b/>
          <w:sz w:val="22"/>
        </w:rPr>
        <w:t xml:space="preserve"> </w:t>
      </w:r>
      <w:r w:rsidRPr="00505E1F">
        <w:rPr>
          <w:rFonts w:ascii="Arial" w:eastAsia="Calibri" w:hAnsi="Arial" w:cs="Arial"/>
          <w:b/>
          <w:bCs/>
          <w:sz w:val="22"/>
        </w:rPr>
        <w:t>–</w:t>
      </w:r>
      <w:r>
        <w:rPr>
          <w:rFonts w:ascii="Arial" w:eastAsia="Calibri" w:hAnsi="Arial" w:cs="Arial"/>
          <w:b/>
          <w:bCs/>
          <w:sz w:val="22"/>
        </w:rPr>
        <w:t xml:space="preserve"> Límite</w:t>
      </w:r>
    </w:p>
    <w:p w14:paraId="3E630887" w14:textId="784B03B3" w:rsidR="009E55FC" w:rsidRPr="00070AB6" w:rsidRDefault="009E55FC" w:rsidP="00DC42F8">
      <w:pPr>
        <w:rPr>
          <w:rFonts w:ascii="Arial" w:eastAsia="Calibri" w:hAnsi="Arial" w:cs="Arial"/>
          <w:b/>
          <w:sz w:val="20"/>
          <w:szCs w:val="20"/>
        </w:rPr>
      </w:pPr>
    </w:p>
    <w:p w14:paraId="6D32238E" w14:textId="77777777" w:rsidR="009E55FC" w:rsidRPr="009E55FC" w:rsidRDefault="009E55FC" w:rsidP="009E55FC">
      <w:pPr>
        <w:jc w:val="both"/>
        <w:rPr>
          <w:rFonts w:ascii="Arial" w:eastAsia="Calibri" w:hAnsi="Arial" w:cs="Arial"/>
          <w:sz w:val="20"/>
        </w:rPr>
      </w:pPr>
      <w:r w:rsidRPr="009E55FC">
        <w:rPr>
          <w:rFonts w:ascii="Arial" w:eastAsia="Calibri" w:hAnsi="Arial" w:cs="Arial"/>
          <w:sz w:val="20"/>
        </w:rPr>
        <w:t xml:space="preserve">También se debe tener en cuenta que mediante Resolución No. 116 del 21 de julio de 2020, Colombia Compra Eficiente, en cumplimiento de su deber de revisar periódicamente el contenido de los documentos tipo, con el fin de adaptarlos a la realidad de la contratación del país, modificó los factores de calidad de los documentos tipo para selección abreviada de menor cuantía y licitación </w:t>
      </w:r>
      <w:r w:rsidRPr="009E55FC">
        <w:rPr>
          <w:rFonts w:ascii="Arial" w:eastAsia="Calibri" w:hAnsi="Arial" w:cs="Arial"/>
          <w:sz w:val="20"/>
        </w:rPr>
        <w:lastRenderedPageBreak/>
        <w:t>pública Versión 2. Respecto del mantenimiento adicional, la modificación consiste en que la entidad debe establecer un límite al ofrecimiento del proponente entre el «[…] rango: 30% y 50% del plazo establecido por la entidad para la garantía de estabilidad y calidad de la obra de acuerdo con las disposiciones del artículo 2.2.1.2.3.1.14. del Decreto 1082 de 2015 […]».</w:t>
      </w:r>
    </w:p>
    <w:p w14:paraId="70D9D001" w14:textId="116A2402" w:rsidR="009E55FC" w:rsidRPr="005921B4" w:rsidRDefault="009E55FC" w:rsidP="00DC42F8">
      <w:pPr>
        <w:rPr>
          <w:rFonts w:ascii="Arial" w:hAnsi="Arial" w:cs="Arial"/>
          <w:sz w:val="20"/>
          <w:szCs w:val="20"/>
        </w:rPr>
      </w:pPr>
    </w:p>
    <w:p w14:paraId="2FF417A6" w14:textId="77777777" w:rsidR="009E55FC" w:rsidRPr="005921B4" w:rsidRDefault="009E55FC" w:rsidP="00DC42F8">
      <w:pPr>
        <w:rPr>
          <w:rFonts w:ascii="Arial" w:hAnsi="Arial" w:cs="Arial"/>
          <w:sz w:val="20"/>
          <w:szCs w:val="20"/>
        </w:rPr>
      </w:pPr>
    </w:p>
    <w:p w14:paraId="51349D02" w14:textId="02A4837E" w:rsidR="001357DC" w:rsidRDefault="001357DC" w:rsidP="007A2D8F">
      <w:pPr>
        <w:pStyle w:val="Default"/>
        <w:rPr>
          <w:b/>
          <w:sz w:val="22"/>
          <w:szCs w:val="20"/>
        </w:rPr>
      </w:pPr>
      <w:r>
        <w:rPr>
          <w:sz w:val="22"/>
          <w:szCs w:val="20"/>
        </w:rPr>
        <w:t xml:space="preserve">Bogotá D.C., </w:t>
      </w:r>
      <w:r w:rsidR="00925D64">
        <w:rPr>
          <w:b/>
          <w:sz w:val="22"/>
          <w:szCs w:val="20"/>
        </w:rPr>
        <w:t>18/08/2020</w:t>
      </w:r>
      <w:r w:rsidR="007A2D8F">
        <w:t xml:space="preserve"> </w:t>
      </w:r>
      <w:r w:rsidR="007A2D8F">
        <w:rPr>
          <w:b/>
          <w:bCs/>
          <w:sz w:val="22"/>
          <w:szCs w:val="22"/>
        </w:rPr>
        <w:t>Hora 4:24:45s</w:t>
      </w:r>
    </w:p>
    <w:p w14:paraId="254E73C5" w14:textId="77777777" w:rsidR="00070AB6" w:rsidRDefault="00070AB6" w:rsidP="001357DC">
      <w:pPr>
        <w:spacing w:line="276" w:lineRule="auto"/>
        <w:rPr>
          <w:rFonts w:ascii="Arial" w:hAnsi="Arial" w:cs="Arial"/>
          <w:b/>
          <w:sz w:val="22"/>
          <w:szCs w:val="20"/>
        </w:rPr>
      </w:pPr>
    </w:p>
    <w:p w14:paraId="6A7843A5" w14:textId="5D959A31" w:rsidR="001357DC" w:rsidRPr="002E3DDB" w:rsidRDefault="001357DC" w:rsidP="001357DC">
      <w:pPr>
        <w:jc w:val="right"/>
        <w:rPr>
          <w:rFonts w:ascii="Arial" w:eastAsia="Calibri" w:hAnsi="Arial" w:cs="Arial"/>
          <w:sz w:val="22"/>
        </w:rPr>
      </w:pPr>
      <w:r>
        <w:rPr>
          <w:rFonts w:ascii="Arial" w:hAnsi="Arial" w:cs="Arial"/>
          <w:b/>
          <w:sz w:val="22"/>
          <w:szCs w:val="20"/>
        </w:rPr>
        <w:t xml:space="preserve">N° Radicado: </w:t>
      </w:r>
      <w:r w:rsidR="00925D64" w:rsidRPr="00925D64">
        <w:rPr>
          <w:rFonts w:ascii="Arial" w:hAnsi="Arial" w:cs="Arial"/>
          <w:b/>
          <w:sz w:val="22"/>
          <w:szCs w:val="20"/>
        </w:rPr>
        <w:t>2202013000007523</w:t>
      </w:r>
    </w:p>
    <w:p w14:paraId="14CEBA6E" w14:textId="4E92B819" w:rsidR="00DC42F8" w:rsidRDefault="00DC42F8" w:rsidP="00DC42F8">
      <w:pPr>
        <w:tabs>
          <w:tab w:val="left" w:pos="3374"/>
        </w:tabs>
        <w:rPr>
          <w:rFonts w:ascii="Arial" w:eastAsia="Calibri" w:hAnsi="Arial" w:cs="Arial"/>
          <w:sz w:val="22"/>
        </w:rPr>
      </w:pPr>
    </w:p>
    <w:p w14:paraId="415A4C28" w14:textId="77777777" w:rsidR="00070AB6" w:rsidRDefault="00070AB6" w:rsidP="00DC42F8">
      <w:pPr>
        <w:tabs>
          <w:tab w:val="left" w:pos="3374"/>
        </w:tabs>
        <w:rPr>
          <w:rFonts w:ascii="Arial" w:eastAsia="Calibri" w:hAnsi="Arial" w:cs="Arial"/>
          <w:sz w:val="22"/>
        </w:rPr>
      </w:pPr>
    </w:p>
    <w:p w14:paraId="59D2D07F" w14:textId="438A7A84" w:rsidR="00DC42F8" w:rsidRDefault="00DC42F8" w:rsidP="00DC42F8">
      <w:pPr>
        <w:rPr>
          <w:rFonts w:ascii="Arial" w:eastAsia="Calibri" w:hAnsi="Arial" w:cs="Arial"/>
          <w:sz w:val="22"/>
        </w:rPr>
      </w:pPr>
      <w:r>
        <w:rPr>
          <w:rFonts w:ascii="Arial" w:eastAsia="Calibri" w:hAnsi="Arial" w:cs="Arial"/>
          <w:sz w:val="22"/>
        </w:rPr>
        <w:t>Señor</w:t>
      </w:r>
      <w:r w:rsidR="001357DC">
        <w:rPr>
          <w:rFonts w:ascii="Arial" w:eastAsia="Calibri" w:hAnsi="Arial" w:cs="Arial"/>
          <w:sz w:val="22"/>
        </w:rPr>
        <w:t>a</w:t>
      </w:r>
    </w:p>
    <w:p w14:paraId="2E509629" w14:textId="6A40E85A" w:rsidR="001357DC" w:rsidRDefault="001357DC" w:rsidP="00DC42F8">
      <w:pPr>
        <w:rPr>
          <w:rFonts w:ascii="Arial" w:eastAsia="Calibri" w:hAnsi="Arial" w:cs="Arial"/>
          <w:b/>
          <w:sz w:val="22"/>
        </w:rPr>
      </w:pPr>
      <w:r w:rsidRPr="001357DC">
        <w:rPr>
          <w:rFonts w:ascii="Arial" w:eastAsia="Calibri" w:hAnsi="Arial" w:cs="Arial"/>
          <w:b/>
          <w:sz w:val="22"/>
        </w:rPr>
        <w:t>Lisbeth Katherine</w:t>
      </w:r>
      <w:r>
        <w:rPr>
          <w:rFonts w:ascii="Arial" w:eastAsia="Calibri" w:hAnsi="Arial" w:cs="Arial"/>
          <w:b/>
          <w:sz w:val="22"/>
        </w:rPr>
        <w:t xml:space="preserve"> Pacheco Sierra</w:t>
      </w:r>
    </w:p>
    <w:p w14:paraId="0F032240" w14:textId="0B6F9673" w:rsidR="00DC42F8" w:rsidRDefault="001357DC" w:rsidP="00DC42F8">
      <w:pPr>
        <w:rPr>
          <w:rFonts w:ascii="Arial" w:eastAsia="Calibri" w:hAnsi="Arial" w:cs="Arial"/>
          <w:sz w:val="22"/>
        </w:rPr>
      </w:pPr>
      <w:r>
        <w:rPr>
          <w:rFonts w:ascii="Arial" w:eastAsia="Calibri" w:hAnsi="Arial" w:cs="Arial"/>
          <w:sz w:val="22"/>
        </w:rPr>
        <w:t>Los Patios</w:t>
      </w:r>
      <w:r w:rsidR="00DC42F8">
        <w:rPr>
          <w:rFonts w:ascii="Arial" w:eastAsia="Calibri" w:hAnsi="Arial" w:cs="Arial"/>
          <w:sz w:val="22"/>
        </w:rPr>
        <w:t>,</w:t>
      </w:r>
      <w:r>
        <w:rPr>
          <w:rFonts w:ascii="Arial" w:eastAsia="Calibri" w:hAnsi="Arial" w:cs="Arial"/>
          <w:sz w:val="22"/>
        </w:rPr>
        <w:t xml:space="preserve"> Norte de</w:t>
      </w:r>
      <w:r w:rsidR="00DC42F8">
        <w:rPr>
          <w:rFonts w:ascii="Arial" w:eastAsia="Calibri" w:hAnsi="Arial" w:cs="Arial"/>
          <w:sz w:val="22"/>
        </w:rPr>
        <w:t xml:space="preserve"> Santander</w:t>
      </w:r>
    </w:p>
    <w:p w14:paraId="0645A627" w14:textId="402884C8" w:rsidR="00DC42F8" w:rsidRDefault="00DC42F8" w:rsidP="00DC42F8">
      <w:pPr>
        <w:rPr>
          <w:rFonts w:ascii="Arial" w:eastAsia="Calibri" w:hAnsi="Arial" w:cs="Arial"/>
          <w:sz w:val="22"/>
        </w:rPr>
      </w:pPr>
    </w:p>
    <w:p w14:paraId="6D7AB5DC" w14:textId="77777777" w:rsidR="00070AB6" w:rsidRDefault="00070AB6" w:rsidP="00DC42F8">
      <w:pPr>
        <w:rPr>
          <w:rFonts w:ascii="Arial" w:eastAsia="Calibri" w:hAnsi="Arial" w:cs="Arial"/>
          <w:sz w:val="22"/>
        </w:rPr>
      </w:pPr>
    </w:p>
    <w:p w14:paraId="3903E2C9" w14:textId="0BEE9DF5" w:rsidR="00DC42F8" w:rsidRDefault="00DC42F8" w:rsidP="00DC42F8">
      <w:pPr>
        <w:rPr>
          <w:rFonts w:ascii="Arial" w:eastAsia="Calibri" w:hAnsi="Arial" w:cs="Arial"/>
          <w:b/>
          <w:sz w:val="22"/>
        </w:rPr>
      </w:pPr>
      <w:r>
        <w:rPr>
          <w:rFonts w:ascii="Arial" w:eastAsia="Calibri" w:hAnsi="Arial" w:cs="Arial"/>
          <w:sz w:val="22"/>
        </w:rPr>
        <w:t xml:space="preserve">                                            </w:t>
      </w:r>
      <w:r>
        <w:rPr>
          <w:rFonts w:ascii="Arial" w:eastAsia="Calibri" w:hAnsi="Arial" w:cs="Arial"/>
          <w:b/>
          <w:sz w:val="22"/>
        </w:rPr>
        <w:t xml:space="preserve">Concepto C – </w:t>
      </w:r>
      <w:r w:rsidR="001357DC">
        <w:rPr>
          <w:rFonts w:ascii="Arial" w:eastAsia="Calibri" w:hAnsi="Arial" w:cs="Arial"/>
          <w:b/>
          <w:sz w:val="22"/>
        </w:rPr>
        <w:t>528</w:t>
      </w:r>
      <w:r>
        <w:rPr>
          <w:rFonts w:ascii="Arial" w:eastAsia="Calibri" w:hAnsi="Arial" w:cs="Arial"/>
          <w:b/>
          <w:sz w:val="22"/>
        </w:rPr>
        <w:t xml:space="preserve"> de 2020</w:t>
      </w:r>
    </w:p>
    <w:p w14:paraId="652010D5" w14:textId="77777777" w:rsidR="00DC42F8" w:rsidRDefault="00DC42F8" w:rsidP="00DC42F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C42F8" w14:paraId="4DA38158" w14:textId="77777777" w:rsidTr="00D64522">
        <w:tc>
          <w:tcPr>
            <w:tcW w:w="2689" w:type="dxa"/>
            <w:hideMark/>
          </w:tcPr>
          <w:p w14:paraId="1A32B717" w14:textId="77777777" w:rsidR="00DC42F8" w:rsidRDefault="00DC42F8" w:rsidP="00D64522">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26A69C90" w14:textId="77777777" w:rsidR="00DC42F8" w:rsidRDefault="00DC42F8" w:rsidP="00D64522">
            <w:pPr>
              <w:rPr>
                <w:rFonts w:ascii="Arial" w:eastAsia="Calibri" w:hAnsi="Arial" w:cs="Arial"/>
                <w:sz w:val="22"/>
              </w:rPr>
            </w:pPr>
            <w:r>
              <w:rPr>
                <w:rFonts w:ascii="Arial" w:eastAsia="Calibri" w:hAnsi="Arial" w:cs="Arial"/>
                <w:sz w:val="22"/>
              </w:rPr>
              <w:t xml:space="preserve">                           </w:t>
            </w:r>
          </w:p>
        </w:tc>
        <w:tc>
          <w:tcPr>
            <w:tcW w:w="6237" w:type="dxa"/>
            <w:hideMark/>
          </w:tcPr>
          <w:p w14:paraId="60D1046C" w14:textId="6B157BD9" w:rsidR="00DC42F8" w:rsidRDefault="00DC42F8" w:rsidP="008E63E8">
            <w:pPr>
              <w:spacing w:after="120"/>
              <w:jc w:val="both"/>
              <w:rPr>
                <w:rFonts w:ascii="Arial" w:eastAsia="Calibri" w:hAnsi="Arial" w:cs="Arial"/>
                <w:sz w:val="22"/>
                <w:highlight w:val="yellow"/>
              </w:rPr>
            </w:pPr>
            <w:r w:rsidRPr="00505E1F">
              <w:rPr>
                <w:rFonts w:ascii="Arial" w:eastAsia="Calibri" w:hAnsi="Arial" w:cs="Arial"/>
                <w:sz w:val="22"/>
              </w:rPr>
              <w:t>DOCUMENTOS TIPO –</w:t>
            </w:r>
            <w:r w:rsidR="00505E1F" w:rsidRPr="00505E1F">
              <w:rPr>
                <w:rFonts w:ascii="Arial" w:eastAsia="Calibri" w:hAnsi="Arial" w:cs="Arial"/>
                <w:sz w:val="22"/>
              </w:rPr>
              <w:t xml:space="preserve"> Experiencia /</w:t>
            </w:r>
            <w:r w:rsidRPr="00505E1F">
              <w:rPr>
                <w:rFonts w:ascii="Arial" w:eastAsia="Calibri" w:hAnsi="Arial" w:cs="Arial"/>
                <w:sz w:val="22"/>
              </w:rPr>
              <w:t xml:space="preserve"> </w:t>
            </w:r>
            <w:r w:rsidR="00C13534" w:rsidRPr="00C13534">
              <w:rPr>
                <w:rFonts w:ascii="Arial" w:eastAsia="Calibri" w:hAnsi="Arial" w:cs="Arial"/>
                <w:sz w:val="22"/>
              </w:rPr>
              <w:t>EXPERIENCIA – Experiencia general – Experiencia específica – Inalterabilidad</w:t>
            </w:r>
            <w:r w:rsidR="00C13534">
              <w:rPr>
                <w:rFonts w:ascii="Arial" w:eastAsia="Calibri" w:hAnsi="Arial" w:cs="Arial"/>
                <w:sz w:val="22"/>
              </w:rPr>
              <w:t xml:space="preserve"> / </w:t>
            </w:r>
            <w:r w:rsidR="00505E1F" w:rsidRPr="00505E1F">
              <w:rPr>
                <w:rFonts w:ascii="Arial" w:eastAsia="Calibri" w:hAnsi="Arial" w:cs="Arial"/>
                <w:sz w:val="22"/>
              </w:rPr>
              <w:t xml:space="preserve">DOCUMENTOS TIPO – </w:t>
            </w:r>
            <w:r w:rsidRPr="00505E1F">
              <w:rPr>
                <w:rFonts w:ascii="Arial" w:eastAsia="Calibri" w:hAnsi="Arial" w:cs="Arial"/>
                <w:sz w:val="22"/>
              </w:rPr>
              <w:t>«Factor de calidad» – Mantenimiento adicional</w:t>
            </w:r>
            <w:r w:rsidR="009E55FC">
              <w:rPr>
                <w:rFonts w:ascii="Arial" w:eastAsia="Calibri" w:hAnsi="Arial" w:cs="Arial"/>
                <w:sz w:val="22"/>
              </w:rPr>
              <w:t xml:space="preserve"> / </w:t>
            </w:r>
            <w:r w:rsidR="009E55FC" w:rsidRPr="009E55FC">
              <w:rPr>
                <w:rFonts w:ascii="Arial" w:eastAsia="Calibri" w:hAnsi="Arial" w:cs="Arial"/>
                <w:sz w:val="22"/>
              </w:rPr>
              <w:t>MANTENIMIENTO ADICIONAL – Límite</w:t>
            </w:r>
          </w:p>
        </w:tc>
      </w:tr>
      <w:tr w:rsidR="00DC42F8" w14:paraId="4ABC6087" w14:textId="77777777" w:rsidTr="00D64522">
        <w:tc>
          <w:tcPr>
            <w:tcW w:w="2689" w:type="dxa"/>
            <w:hideMark/>
          </w:tcPr>
          <w:p w14:paraId="14A5EC35" w14:textId="77777777" w:rsidR="00DC42F8" w:rsidRDefault="00DC42F8" w:rsidP="00D64522">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3C635B8F" w14:textId="5960D1A1" w:rsidR="00DC42F8" w:rsidRDefault="00DC42F8" w:rsidP="00D64522">
            <w:pPr>
              <w:jc w:val="both"/>
              <w:rPr>
                <w:rFonts w:ascii="Arial" w:eastAsia="Calibri" w:hAnsi="Arial" w:cs="Arial"/>
                <w:sz w:val="22"/>
              </w:rPr>
            </w:pPr>
            <w:r>
              <w:rPr>
                <w:rFonts w:ascii="Arial" w:eastAsia="Calibri" w:hAnsi="Arial" w:cs="Arial"/>
                <w:sz w:val="22"/>
              </w:rPr>
              <w:t xml:space="preserve">Respuesta a consulta # </w:t>
            </w:r>
            <w:r w:rsidR="001357DC" w:rsidRPr="001357DC">
              <w:rPr>
                <w:rFonts w:ascii="Arial" w:eastAsia="Calibri" w:hAnsi="Arial" w:cs="Arial"/>
                <w:sz w:val="22"/>
              </w:rPr>
              <w:t>4202012000006534</w:t>
            </w:r>
          </w:p>
        </w:tc>
      </w:tr>
    </w:tbl>
    <w:p w14:paraId="37D0043E" w14:textId="77777777" w:rsidR="00DC42F8" w:rsidRDefault="00DC42F8" w:rsidP="00DC42F8">
      <w:pPr>
        <w:jc w:val="both"/>
        <w:rPr>
          <w:rFonts w:ascii="Arial" w:eastAsia="Calibri" w:hAnsi="Arial" w:cs="Arial"/>
          <w:sz w:val="22"/>
        </w:rPr>
      </w:pPr>
    </w:p>
    <w:p w14:paraId="423F9943" w14:textId="77777777" w:rsidR="00DC42F8" w:rsidRDefault="00DC42F8" w:rsidP="00DC42F8">
      <w:pPr>
        <w:rPr>
          <w:rFonts w:ascii="Arial" w:eastAsia="Calibri" w:hAnsi="Arial" w:cs="Arial"/>
          <w:sz w:val="22"/>
        </w:rPr>
      </w:pPr>
    </w:p>
    <w:p w14:paraId="1CE777E8" w14:textId="0D086B76" w:rsidR="00DC42F8" w:rsidRDefault="00DC42F8" w:rsidP="00DC42F8">
      <w:pPr>
        <w:rPr>
          <w:rFonts w:ascii="Arial" w:eastAsia="Calibri" w:hAnsi="Arial" w:cs="Arial"/>
          <w:sz w:val="22"/>
        </w:rPr>
      </w:pPr>
      <w:r>
        <w:rPr>
          <w:rFonts w:ascii="Arial" w:eastAsia="Calibri" w:hAnsi="Arial" w:cs="Arial"/>
          <w:sz w:val="22"/>
        </w:rPr>
        <w:t>Estimad</w:t>
      </w:r>
      <w:r w:rsidR="001357DC">
        <w:rPr>
          <w:rFonts w:ascii="Arial" w:eastAsia="Calibri" w:hAnsi="Arial" w:cs="Arial"/>
          <w:sz w:val="22"/>
        </w:rPr>
        <w:t>a</w:t>
      </w:r>
      <w:r>
        <w:rPr>
          <w:rFonts w:ascii="Arial" w:eastAsia="Calibri" w:hAnsi="Arial" w:cs="Arial"/>
          <w:sz w:val="22"/>
        </w:rPr>
        <w:t xml:space="preserve"> señor</w:t>
      </w:r>
      <w:r w:rsidR="001357DC">
        <w:rPr>
          <w:rFonts w:ascii="Arial" w:eastAsia="Calibri" w:hAnsi="Arial" w:cs="Arial"/>
          <w:sz w:val="22"/>
        </w:rPr>
        <w:t>a</w:t>
      </w:r>
      <w:r>
        <w:rPr>
          <w:rFonts w:ascii="Arial" w:eastAsia="Calibri" w:hAnsi="Arial" w:cs="Arial"/>
          <w:sz w:val="22"/>
        </w:rPr>
        <w:t xml:space="preserve"> </w:t>
      </w:r>
      <w:r w:rsidR="001357DC">
        <w:rPr>
          <w:rFonts w:ascii="Arial" w:eastAsia="Calibri" w:hAnsi="Arial" w:cs="Arial"/>
          <w:sz w:val="22"/>
        </w:rPr>
        <w:t>Pacheco,</w:t>
      </w:r>
    </w:p>
    <w:p w14:paraId="76EFCD94" w14:textId="77777777" w:rsidR="00DC42F8" w:rsidRDefault="00DC42F8" w:rsidP="00DC42F8">
      <w:pPr>
        <w:rPr>
          <w:rFonts w:ascii="Arial" w:eastAsia="Calibri" w:hAnsi="Arial" w:cs="Arial"/>
          <w:sz w:val="22"/>
        </w:rPr>
      </w:pPr>
    </w:p>
    <w:p w14:paraId="68AE9FD9" w14:textId="0D60256C" w:rsidR="00DC42F8" w:rsidRDefault="00DC42F8" w:rsidP="00DC42F8">
      <w:pPr>
        <w:spacing w:line="276" w:lineRule="auto"/>
        <w:ind w:right="49"/>
        <w:jc w:val="both"/>
        <w:rPr>
          <w:rFonts w:ascii="Arial" w:eastAsia="Calibri" w:hAnsi="Arial" w:cs="Arial"/>
          <w:sz w:val="22"/>
        </w:rPr>
      </w:pPr>
      <w:r>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1357DC">
        <w:rPr>
          <w:rFonts w:ascii="Arial" w:eastAsia="Calibri" w:hAnsi="Arial" w:cs="Arial"/>
          <w:sz w:val="22"/>
        </w:rPr>
        <w:t>31</w:t>
      </w:r>
      <w:r>
        <w:rPr>
          <w:rFonts w:ascii="Arial" w:eastAsia="Calibri" w:hAnsi="Arial" w:cs="Arial"/>
          <w:sz w:val="22"/>
        </w:rPr>
        <w:t xml:space="preserve"> de ju</w:t>
      </w:r>
      <w:r w:rsidR="001357DC">
        <w:rPr>
          <w:rFonts w:ascii="Arial" w:eastAsia="Calibri" w:hAnsi="Arial" w:cs="Arial"/>
          <w:sz w:val="22"/>
        </w:rPr>
        <w:t>l</w:t>
      </w:r>
      <w:r>
        <w:rPr>
          <w:rFonts w:ascii="Arial" w:eastAsia="Calibri" w:hAnsi="Arial" w:cs="Arial"/>
          <w:sz w:val="22"/>
        </w:rPr>
        <w:t xml:space="preserve">io de 2020. </w:t>
      </w:r>
    </w:p>
    <w:p w14:paraId="0E37360E" w14:textId="77777777" w:rsidR="00DC42F8" w:rsidRDefault="00DC42F8" w:rsidP="00DC42F8">
      <w:pPr>
        <w:spacing w:line="276" w:lineRule="auto"/>
        <w:jc w:val="both"/>
        <w:rPr>
          <w:rFonts w:ascii="Arial" w:eastAsia="Calibri" w:hAnsi="Arial" w:cs="Arial"/>
          <w:sz w:val="22"/>
        </w:rPr>
      </w:pPr>
    </w:p>
    <w:p w14:paraId="772171FA" w14:textId="77777777" w:rsidR="00DC42F8" w:rsidRDefault="00DC42F8" w:rsidP="00DC42F8">
      <w:pPr>
        <w:pStyle w:val="Prrafodelista"/>
        <w:tabs>
          <w:tab w:val="left" w:pos="284"/>
        </w:tabs>
        <w:spacing w:line="276" w:lineRule="auto"/>
        <w:ind w:left="0"/>
        <w:jc w:val="both"/>
        <w:rPr>
          <w:rFonts w:ascii="Arial" w:eastAsia="Calibri" w:hAnsi="Arial" w:cs="Arial"/>
          <w:b/>
          <w:sz w:val="22"/>
        </w:rPr>
      </w:pPr>
      <w:r>
        <w:rPr>
          <w:rFonts w:ascii="Arial" w:eastAsia="Calibri" w:hAnsi="Arial" w:cs="Arial"/>
          <w:b/>
          <w:sz w:val="22"/>
        </w:rPr>
        <w:t>1. Problemas planteados</w:t>
      </w:r>
    </w:p>
    <w:p w14:paraId="591E7B2E" w14:textId="77777777" w:rsidR="00DC42F8" w:rsidRDefault="00DC42F8" w:rsidP="00DC42F8">
      <w:pPr>
        <w:tabs>
          <w:tab w:val="left" w:pos="426"/>
        </w:tabs>
        <w:spacing w:line="276" w:lineRule="auto"/>
        <w:jc w:val="both"/>
        <w:rPr>
          <w:rFonts w:ascii="Arial" w:eastAsia="Calibri" w:hAnsi="Arial" w:cs="Arial"/>
          <w:b/>
          <w:sz w:val="22"/>
        </w:rPr>
      </w:pPr>
    </w:p>
    <w:p w14:paraId="01687B31" w14:textId="5DCE643A" w:rsidR="00DC42F8" w:rsidRPr="00776AE6" w:rsidRDefault="00067DC9" w:rsidP="00DC42F8">
      <w:pPr>
        <w:tabs>
          <w:tab w:val="left" w:pos="426"/>
        </w:tabs>
        <w:spacing w:line="276" w:lineRule="auto"/>
        <w:jc w:val="both"/>
        <w:rPr>
          <w:rFonts w:ascii="Arial" w:eastAsia="Calibri" w:hAnsi="Arial" w:cs="Arial"/>
          <w:sz w:val="22"/>
        </w:rPr>
      </w:pPr>
      <w:bookmarkStart w:id="1" w:name="_Hlk48209274"/>
      <w:r>
        <w:rPr>
          <w:rFonts w:ascii="Arial" w:eastAsia="Calibri" w:hAnsi="Arial" w:cs="Arial"/>
          <w:sz w:val="22"/>
        </w:rPr>
        <w:t>De acuerdo con los «Documentos Tipo – Versión 2» para licitación de obra pública de infraestructura de transporte</w:t>
      </w:r>
      <w:bookmarkEnd w:id="1"/>
      <w:r>
        <w:rPr>
          <w:rFonts w:ascii="Arial" w:eastAsia="Calibri" w:hAnsi="Arial" w:cs="Arial"/>
          <w:sz w:val="22"/>
        </w:rPr>
        <w:t>, u</w:t>
      </w:r>
      <w:r w:rsidR="00DC42F8" w:rsidRPr="00776AE6">
        <w:rPr>
          <w:rFonts w:ascii="Arial" w:eastAsia="Calibri" w:hAnsi="Arial" w:cs="Arial"/>
          <w:sz w:val="22"/>
        </w:rPr>
        <w:t xml:space="preserve">sted realiza las siguientes preguntas: </w:t>
      </w:r>
      <w:r>
        <w:rPr>
          <w:rFonts w:ascii="Arial" w:eastAsia="Calibri" w:hAnsi="Arial" w:cs="Arial"/>
          <w:sz w:val="22"/>
        </w:rPr>
        <w:t xml:space="preserve">i) «[…] </w:t>
      </w:r>
      <w:r w:rsidRPr="00067DC9">
        <w:rPr>
          <w:rFonts w:ascii="Arial" w:eastAsia="Calibri" w:hAnsi="Arial" w:cs="Arial"/>
          <w:sz w:val="22"/>
        </w:rPr>
        <w:t xml:space="preserve">En relación a la Experiencia específica exigida en los casos en donde según la matriz 1 se requiera </w:t>
      </w:r>
      <w:r w:rsidR="00354531">
        <w:rPr>
          <w:rFonts w:ascii="Arial" w:eastAsia="Calibri" w:hAnsi="Arial" w:cs="Arial"/>
          <w:sz w:val="22"/>
        </w:rPr>
        <w:t>[…]</w:t>
      </w:r>
      <w:r w:rsidRPr="00067DC9">
        <w:rPr>
          <w:rFonts w:ascii="Arial" w:eastAsia="Calibri" w:hAnsi="Arial" w:cs="Arial"/>
          <w:sz w:val="22"/>
        </w:rPr>
        <w:t xml:space="preserve"> “Por lo menos uno (1) de los contratos válidos aportados como experiencia general cuenta con una longitud intervenida que corresponda al 50% de la longitud de vía a construir mediante el presente proceso de contratación”, esta exigencia se debe entender que si se va construir una placa huella se debe aportar un contrato que tenga la longitud exigida en placa huella o se puede interpretar que puede ser en PAVIMENTO ASFALTICO O CONCRETO HIDRÁULICO como lo exige la experiencia general</w:t>
      </w:r>
      <w:r>
        <w:rPr>
          <w:rFonts w:ascii="Arial" w:eastAsia="Calibri" w:hAnsi="Arial" w:cs="Arial"/>
          <w:sz w:val="22"/>
        </w:rPr>
        <w:t xml:space="preserve"> […]» y ii)</w:t>
      </w:r>
    </w:p>
    <w:p w14:paraId="451EE78F" w14:textId="51E7E846" w:rsidR="00DC42F8" w:rsidRDefault="00DC42F8" w:rsidP="00DC42F8">
      <w:pPr>
        <w:tabs>
          <w:tab w:val="left" w:pos="426"/>
        </w:tabs>
        <w:spacing w:line="276" w:lineRule="auto"/>
        <w:jc w:val="both"/>
        <w:rPr>
          <w:rFonts w:ascii="Arial" w:eastAsia="Calibri" w:hAnsi="Arial" w:cs="Arial"/>
          <w:sz w:val="22"/>
        </w:rPr>
      </w:pPr>
      <w:r w:rsidRPr="00776AE6">
        <w:rPr>
          <w:rFonts w:ascii="Arial" w:eastAsia="Calibri" w:hAnsi="Arial" w:cs="Arial"/>
          <w:sz w:val="22"/>
        </w:rPr>
        <w:t xml:space="preserve"> «[...]</w:t>
      </w:r>
      <w:r w:rsidRPr="00776AE6">
        <w:t xml:space="preserve"> </w:t>
      </w:r>
      <w:r w:rsidR="001357DC" w:rsidRPr="001357DC">
        <w:rPr>
          <w:rFonts w:ascii="Arial" w:eastAsia="Calibri" w:hAnsi="Arial" w:cs="Arial"/>
          <w:sz w:val="22"/>
        </w:rPr>
        <w:t xml:space="preserve">En cuanto al mantenimiento adicional exigido por algunas entidades en el factor de calidad, no se cuenta con un tope máximo para comprometerse a un mantenimiento </w:t>
      </w:r>
      <w:r w:rsidR="001357DC" w:rsidRPr="001357DC">
        <w:rPr>
          <w:rFonts w:ascii="Arial" w:eastAsia="Calibri" w:hAnsi="Arial" w:cs="Arial"/>
          <w:sz w:val="22"/>
        </w:rPr>
        <w:lastRenderedPageBreak/>
        <w:t>rutinario haciendo de este requerimiento una oportunidad para que algunos proponentes desborden sus ofertas inmensurables. Explicar cómo se podría manejar o si existen limitaciones al respecto</w:t>
      </w:r>
      <w:r w:rsidRPr="00776AE6">
        <w:rPr>
          <w:rFonts w:ascii="Arial" w:eastAsia="Calibri" w:hAnsi="Arial" w:cs="Arial"/>
          <w:sz w:val="22"/>
        </w:rPr>
        <w:t>».</w:t>
      </w:r>
    </w:p>
    <w:p w14:paraId="4DA63FE6" w14:textId="77777777" w:rsidR="00DC42F8" w:rsidRDefault="00DC42F8" w:rsidP="00DC42F8">
      <w:pPr>
        <w:tabs>
          <w:tab w:val="left" w:pos="426"/>
        </w:tabs>
        <w:spacing w:line="276" w:lineRule="auto"/>
        <w:jc w:val="both"/>
        <w:rPr>
          <w:rFonts w:ascii="Arial" w:eastAsia="Calibri" w:hAnsi="Arial" w:cs="Arial"/>
          <w:sz w:val="22"/>
        </w:rPr>
      </w:pPr>
    </w:p>
    <w:p w14:paraId="7DEE4A6B" w14:textId="062D844F" w:rsidR="00DC42F8" w:rsidRDefault="00DC42F8" w:rsidP="00DC42F8">
      <w:pPr>
        <w:tabs>
          <w:tab w:val="left" w:pos="426"/>
        </w:tabs>
        <w:spacing w:line="276" w:lineRule="auto"/>
        <w:jc w:val="both"/>
        <w:rPr>
          <w:rFonts w:ascii="Arial" w:eastAsia="Calibri" w:hAnsi="Arial" w:cs="Arial"/>
          <w:b/>
          <w:sz w:val="22"/>
        </w:rPr>
      </w:pPr>
      <w:r>
        <w:rPr>
          <w:rFonts w:ascii="Arial" w:eastAsia="Calibri" w:hAnsi="Arial" w:cs="Arial"/>
          <w:b/>
          <w:sz w:val="22"/>
        </w:rPr>
        <w:t>2. Consideraciones</w:t>
      </w:r>
    </w:p>
    <w:p w14:paraId="1B398F1C" w14:textId="77777777" w:rsidR="00D42891" w:rsidRDefault="00D42891" w:rsidP="00DC42F8">
      <w:pPr>
        <w:tabs>
          <w:tab w:val="left" w:pos="426"/>
        </w:tabs>
        <w:spacing w:line="276" w:lineRule="auto"/>
        <w:jc w:val="both"/>
        <w:rPr>
          <w:rFonts w:ascii="Arial" w:eastAsia="Calibri" w:hAnsi="Arial" w:cs="Arial"/>
          <w:b/>
          <w:sz w:val="22"/>
        </w:rPr>
      </w:pPr>
    </w:p>
    <w:p w14:paraId="4D7BE3F6" w14:textId="5D204982" w:rsidR="00D42891" w:rsidRDefault="00D42891" w:rsidP="00D42891">
      <w:pPr>
        <w:spacing w:after="120" w:line="276" w:lineRule="auto"/>
        <w:jc w:val="both"/>
        <w:rPr>
          <w:rFonts w:ascii="Arial" w:eastAsia="Calibri" w:hAnsi="Arial" w:cs="Arial"/>
          <w:sz w:val="22"/>
        </w:rPr>
      </w:pPr>
      <w:r w:rsidRPr="002E3DDB">
        <w:rPr>
          <w:rStyle w:val="normaltextrun"/>
          <w:rFonts w:ascii="Arial" w:hAnsi="Arial" w:cs="Arial"/>
          <w:sz w:val="22"/>
          <w:shd w:val="clear" w:color="auto" w:fill="FFFFFF"/>
        </w:rPr>
        <w:t>La Agencia Nacional de Contratación Pública </w:t>
      </w:r>
      <w:r>
        <w:rPr>
          <w:rStyle w:val="normaltextrun"/>
          <w:rFonts w:ascii="Arial" w:hAnsi="Arial" w:cs="Arial"/>
          <w:sz w:val="22"/>
          <w:shd w:val="clear" w:color="auto" w:fill="FFFFFF"/>
        </w:rPr>
        <w:t>–</w:t>
      </w:r>
      <w:r w:rsidRPr="002E3DDB">
        <w:rPr>
          <w:rStyle w:val="normaltextrun"/>
          <w:rFonts w:ascii="Arial" w:hAnsi="Arial" w:cs="Arial"/>
          <w:sz w:val="22"/>
          <w:shd w:val="clear" w:color="auto" w:fill="FFFFFF"/>
        </w:rPr>
        <w:t xml:space="preserve"> Colombia Compra Eficiente se ha pronunciado en diferentes </w:t>
      </w:r>
      <w:r>
        <w:rPr>
          <w:rStyle w:val="normaltextrun"/>
          <w:rFonts w:ascii="Arial" w:hAnsi="Arial" w:cs="Arial"/>
          <w:sz w:val="22"/>
          <w:shd w:val="clear" w:color="auto" w:fill="FFFFFF"/>
        </w:rPr>
        <w:t>oportunidades</w:t>
      </w:r>
      <w:r w:rsidRPr="002E3DDB">
        <w:rPr>
          <w:rStyle w:val="normaltextrun"/>
          <w:rFonts w:ascii="Arial" w:hAnsi="Arial" w:cs="Arial"/>
          <w:sz w:val="22"/>
          <w:shd w:val="clear" w:color="auto" w:fill="FFFFFF"/>
        </w:rPr>
        <w:t xml:space="preserve"> sobre la forma de establecer y acreditar la experiencia exigible, en procedimientos de contratación de licitación de obra pública de infraestructura de transporte que aplican documentos tipo en los conceptos 4201912000004262 del 25 de junio de 2019, 4201912000004426 del 3 de julio de 2019, 4201912000005320 del 6 de agosto de 2019, 4201912000005394 del 9 de agosto de 2019, 4201912000005416 del 10 de agosto de 2019, 4201912000005548 del 15 de agosto de 2019, 4201912000005609 del 16 de agosto de 2019, 4201912000005809 del 27 de agosto de 2019, 4201912000005628 del 5 de septiembre de 2019, 4201912000006151 del 9 de septiembre de 2019, 4201912000007034 del 11 de octubre de 2019, 4201912000007124 del 17 de octubre de 2019, </w:t>
      </w:r>
      <w:r w:rsidRPr="00E8603C">
        <w:rPr>
          <w:rStyle w:val="normaltextrun"/>
          <w:rFonts w:ascii="Arial" w:hAnsi="Arial" w:cs="Arial"/>
          <w:sz w:val="22"/>
          <w:shd w:val="clear" w:color="auto" w:fill="FFFFFF"/>
        </w:rPr>
        <w:t>4201912000006449</w:t>
      </w:r>
      <w:r>
        <w:rPr>
          <w:rStyle w:val="normaltextrun"/>
          <w:rFonts w:ascii="Arial" w:hAnsi="Arial" w:cs="Arial"/>
          <w:sz w:val="22"/>
          <w:shd w:val="clear" w:color="auto" w:fill="FFFFFF"/>
        </w:rPr>
        <w:t xml:space="preserve"> del 21 de octubre de 2019, </w:t>
      </w:r>
      <w:r w:rsidRPr="002E3DDB">
        <w:rPr>
          <w:rStyle w:val="normaltextrun"/>
          <w:rFonts w:ascii="Arial" w:hAnsi="Arial" w:cs="Arial"/>
          <w:sz w:val="22"/>
          <w:shd w:val="clear" w:color="auto" w:fill="FFFFFF"/>
        </w:rPr>
        <w:t>4201912000007328 del 9 de diciembre de 2019, C – 056 del 8 de enero de 2020, C – 069 del 24 de enero de 2020, C – 097 del 5 de febrero de 2020, C – 198 del 17 de abril de 2020, C – 325 del 26 de mayo de 2020, C – 444 del 13 de julio de 2020</w:t>
      </w:r>
      <w:r>
        <w:rPr>
          <w:rStyle w:val="normaltextrun"/>
          <w:rFonts w:ascii="Arial" w:hAnsi="Arial" w:cs="Arial"/>
          <w:sz w:val="22"/>
          <w:shd w:val="clear" w:color="auto" w:fill="FFFFFF"/>
        </w:rPr>
        <w:t xml:space="preserve">, </w:t>
      </w:r>
      <w:bookmarkStart w:id="2" w:name="_Hlk47973556"/>
      <w:r w:rsidR="00AF2915">
        <w:rPr>
          <w:rStyle w:val="normaltextrun"/>
          <w:rFonts w:ascii="Arial" w:hAnsi="Arial" w:cs="Arial"/>
          <w:sz w:val="22"/>
          <w:shd w:val="clear" w:color="auto" w:fill="FFFFFF"/>
        </w:rPr>
        <w:t xml:space="preserve">C-485 del 29 de julio de 2020, </w:t>
      </w:r>
      <w:r>
        <w:rPr>
          <w:rStyle w:val="normaltextrun"/>
          <w:rFonts w:ascii="Arial" w:hAnsi="Arial" w:cs="Arial"/>
          <w:sz w:val="22"/>
          <w:shd w:val="clear" w:color="auto" w:fill="FFFFFF"/>
        </w:rPr>
        <w:t>C-512 del 6 de agosto de 2020</w:t>
      </w:r>
      <w:bookmarkEnd w:id="2"/>
      <w:r w:rsidRPr="002E3DDB">
        <w:rPr>
          <w:rStyle w:val="normaltextrun"/>
          <w:rFonts w:ascii="Arial" w:hAnsi="Arial" w:cs="Arial"/>
          <w:sz w:val="22"/>
          <w:shd w:val="clear" w:color="auto" w:fill="FFFFFF"/>
        </w:rPr>
        <w:t>, entre otr</w:t>
      </w:r>
      <w:r>
        <w:rPr>
          <w:rStyle w:val="normaltextrun"/>
          <w:rFonts w:ascii="Arial" w:hAnsi="Arial" w:cs="Arial"/>
          <w:sz w:val="22"/>
          <w:shd w:val="clear" w:color="auto" w:fill="FFFFFF"/>
        </w:rPr>
        <w:t>o</w:t>
      </w:r>
      <w:r w:rsidRPr="002E3DDB">
        <w:rPr>
          <w:rStyle w:val="normaltextrun"/>
          <w:rFonts w:ascii="Arial" w:hAnsi="Arial" w:cs="Arial"/>
          <w:sz w:val="22"/>
          <w:shd w:val="clear" w:color="auto" w:fill="FFFFFF"/>
        </w:rPr>
        <w:t>s, por lo que se </w:t>
      </w:r>
      <w:r>
        <w:rPr>
          <w:rStyle w:val="normaltextrun"/>
          <w:rFonts w:ascii="Arial" w:hAnsi="Arial" w:cs="Arial"/>
          <w:sz w:val="22"/>
          <w:shd w:val="clear" w:color="auto" w:fill="FFFFFF"/>
        </w:rPr>
        <w:t>reiterarán</w:t>
      </w:r>
      <w:r w:rsidRPr="002E3DDB">
        <w:rPr>
          <w:rStyle w:val="normaltextrun"/>
          <w:rFonts w:ascii="Arial" w:hAnsi="Arial" w:cs="Arial"/>
          <w:sz w:val="22"/>
          <w:shd w:val="clear" w:color="auto" w:fill="FFFFFF"/>
        </w:rPr>
        <w:t xml:space="preserve"> algunas consideraciones de estos conceptos.</w:t>
      </w:r>
      <w:r w:rsidRPr="002E3DDB">
        <w:rPr>
          <w:rStyle w:val="eop"/>
          <w:rFonts w:ascii="Arial" w:hAnsi="Arial" w:cs="Arial"/>
          <w:sz w:val="22"/>
          <w:shd w:val="clear" w:color="auto" w:fill="FFFFFF"/>
        </w:rPr>
        <w:t> </w:t>
      </w:r>
      <w:r w:rsidRPr="002E3DDB">
        <w:rPr>
          <w:rFonts w:ascii="Arial" w:eastAsia="Calibri" w:hAnsi="Arial" w:cs="Arial"/>
          <w:sz w:val="22"/>
        </w:rPr>
        <w:t xml:space="preserve"> </w:t>
      </w:r>
    </w:p>
    <w:p w14:paraId="6635EF58" w14:textId="77777777" w:rsidR="00D42891" w:rsidRPr="00976B52" w:rsidRDefault="00D42891" w:rsidP="00D42891">
      <w:pPr>
        <w:tabs>
          <w:tab w:val="left" w:pos="426"/>
        </w:tabs>
        <w:spacing w:after="120" w:line="276" w:lineRule="auto"/>
        <w:jc w:val="both"/>
        <w:rPr>
          <w:rFonts w:ascii="Arial" w:eastAsia="Calibri" w:hAnsi="Arial" w:cs="Arial"/>
          <w:bCs/>
          <w:sz w:val="22"/>
        </w:rPr>
      </w:pPr>
      <w:r>
        <w:rPr>
          <w:rFonts w:ascii="Arial" w:eastAsia="Calibri" w:hAnsi="Arial" w:cs="Arial"/>
          <w:sz w:val="22"/>
        </w:rPr>
        <w:tab/>
        <w:t xml:space="preserve">También, </w:t>
      </w:r>
      <w:r>
        <w:rPr>
          <w:rFonts w:ascii="Arial" w:eastAsia="Calibri" w:hAnsi="Arial" w:cs="Arial"/>
          <w:bCs/>
          <w:sz w:val="22"/>
        </w:rPr>
        <w:t>para responder su interrogante se reiteran las consideraciones expuestas en los conceptos C-294 del 18 de mayo de 2020, C-276 del 26 de mayo de 2020, C-277</w:t>
      </w:r>
      <w:r w:rsidRPr="003F4495">
        <w:rPr>
          <w:rFonts w:ascii="Arial" w:eastAsia="Calibri" w:hAnsi="Arial" w:cs="Arial"/>
          <w:bCs/>
          <w:sz w:val="22"/>
        </w:rPr>
        <w:t xml:space="preserve"> </w:t>
      </w:r>
      <w:r>
        <w:rPr>
          <w:rFonts w:ascii="Arial" w:eastAsia="Calibri" w:hAnsi="Arial" w:cs="Arial"/>
          <w:bCs/>
          <w:sz w:val="22"/>
        </w:rPr>
        <w:t>del 26 de mayo de 2020, C-278</w:t>
      </w:r>
      <w:r w:rsidRPr="003F4495">
        <w:rPr>
          <w:rFonts w:ascii="Arial" w:eastAsia="Calibri" w:hAnsi="Arial" w:cs="Arial"/>
          <w:bCs/>
          <w:sz w:val="22"/>
        </w:rPr>
        <w:t xml:space="preserve"> </w:t>
      </w:r>
      <w:r>
        <w:rPr>
          <w:rFonts w:ascii="Arial" w:eastAsia="Calibri" w:hAnsi="Arial" w:cs="Arial"/>
          <w:bCs/>
          <w:sz w:val="22"/>
        </w:rPr>
        <w:t>del 26 de mayo de 2020, C-380 del 1 de junio de 2020, C-381</w:t>
      </w:r>
      <w:r w:rsidRPr="003F4495">
        <w:rPr>
          <w:rFonts w:ascii="Arial" w:eastAsia="Calibri" w:hAnsi="Arial" w:cs="Arial"/>
          <w:bCs/>
          <w:sz w:val="22"/>
        </w:rPr>
        <w:t xml:space="preserve"> </w:t>
      </w:r>
      <w:r>
        <w:rPr>
          <w:rFonts w:ascii="Arial" w:eastAsia="Calibri" w:hAnsi="Arial" w:cs="Arial"/>
          <w:bCs/>
          <w:sz w:val="22"/>
        </w:rPr>
        <w:t xml:space="preserve">del 1 de junio de 2020, C-352 del 1 de julio de 2020 y C-432 del 27 de julio de 2020, en los que se estudiaron los factores de calidad de garantía suplementaria, cuadrillas de trabajo adicional y mantenimiento rutinario adicional. La tesis expuesta se reitera a continuación. </w:t>
      </w:r>
    </w:p>
    <w:p w14:paraId="64E7830B" w14:textId="209B285F" w:rsidR="00C853D9" w:rsidRDefault="00C853D9" w:rsidP="00DC42F8">
      <w:pPr>
        <w:tabs>
          <w:tab w:val="left" w:pos="426"/>
        </w:tabs>
        <w:spacing w:line="276" w:lineRule="auto"/>
        <w:jc w:val="both"/>
        <w:rPr>
          <w:rFonts w:ascii="Arial" w:eastAsia="Calibri" w:hAnsi="Arial" w:cs="Arial"/>
          <w:b/>
          <w:sz w:val="22"/>
        </w:rPr>
      </w:pPr>
    </w:p>
    <w:p w14:paraId="12565E0E" w14:textId="2662DE4C" w:rsidR="001357DC" w:rsidRDefault="00DC42F8" w:rsidP="00DC42F8">
      <w:pPr>
        <w:tabs>
          <w:tab w:val="left" w:pos="426"/>
        </w:tabs>
        <w:spacing w:line="276" w:lineRule="auto"/>
        <w:jc w:val="both"/>
        <w:rPr>
          <w:rFonts w:ascii="Arial" w:hAnsi="Arial" w:cs="Arial"/>
          <w:b/>
          <w:bCs/>
          <w:sz w:val="22"/>
        </w:rPr>
      </w:pPr>
      <w:r w:rsidRPr="00042D39">
        <w:rPr>
          <w:rFonts w:ascii="Arial" w:eastAsia="Calibri" w:hAnsi="Arial" w:cs="Arial"/>
          <w:b/>
          <w:sz w:val="22"/>
        </w:rPr>
        <w:t>2.1</w:t>
      </w:r>
      <w:r w:rsidR="001357DC">
        <w:rPr>
          <w:rFonts w:ascii="Arial" w:eastAsia="Calibri" w:hAnsi="Arial" w:cs="Arial"/>
          <w:b/>
          <w:sz w:val="22"/>
        </w:rPr>
        <w:t xml:space="preserve"> </w:t>
      </w:r>
      <w:r w:rsidR="001357DC" w:rsidRPr="002E3DDB">
        <w:rPr>
          <w:rFonts w:ascii="Arial" w:hAnsi="Arial" w:cs="Arial"/>
          <w:b/>
          <w:bCs/>
          <w:sz w:val="22"/>
        </w:rPr>
        <w:t>Documentos tipo versión 2: experiencia y su acreditación</w:t>
      </w:r>
    </w:p>
    <w:p w14:paraId="06DC5280" w14:textId="77777777" w:rsidR="00D42891" w:rsidRDefault="00D42891" w:rsidP="00D42891">
      <w:pPr>
        <w:spacing w:after="120" w:line="276" w:lineRule="auto"/>
        <w:jc w:val="both"/>
        <w:rPr>
          <w:rFonts w:ascii="Arial" w:hAnsi="Arial" w:cs="Arial"/>
          <w:b/>
          <w:bCs/>
          <w:sz w:val="22"/>
        </w:rPr>
      </w:pPr>
    </w:p>
    <w:p w14:paraId="5C1E342A" w14:textId="0A33F8CC" w:rsidR="001357DC" w:rsidRPr="002E3DDB" w:rsidRDefault="001357DC" w:rsidP="00D42891">
      <w:pPr>
        <w:spacing w:after="120" w:line="276" w:lineRule="auto"/>
        <w:jc w:val="both"/>
        <w:rPr>
          <w:rFonts w:ascii="Arial" w:hAnsi="Arial" w:cs="Arial"/>
          <w:sz w:val="22"/>
        </w:rPr>
      </w:pPr>
      <w:r w:rsidRPr="002E3DDB">
        <w:rPr>
          <w:rFonts w:ascii="Arial" w:hAnsi="Arial" w:cs="Arial"/>
          <w:sz w:val="22"/>
        </w:rPr>
        <w:t>El numeral 3.5 del «Documento Base o Pliego Tipo» establece las reglas para acreditar y evaluar la experiencia requerida en el procedimiento de contratación. Este numeral dispone que los Proponentes deben acreditar su experiencia mediante: i) la información consignada en el RUP para quienes estén obligados a tenerlo, ii) la presentación el Formato 3 – Experiencia para todos los Proponentes y iii)</w:t>
      </w:r>
      <w:r w:rsidRPr="002E3DDB">
        <w:t xml:space="preserve"> </w:t>
      </w:r>
      <w:r w:rsidRPr="002E3DDB">
        <w:rPr>
          <w:rFonts w:ascii="Arial" w:hAnsi="Arial" w:cs="Arial"/>
          <w:sz w:val="22"/>
        </w:rPr>
        <w:t>alguno de los documentos válidos para la acreditación de la experiencia señalados en el numeral 3.5.5</w:t>
      </w:r>
      <w:r>
        <w:rPr>
          <w:rFonts w:ascii="Arial" w:hAnsi="Arial" w:cs="Arial"/>
          <w:sz w:val="22"/>
        </w:rPr>
        <w:t>.</w:t>
      </w:r>
      <w:r w:rsidRPr="002E3DDB">
        <w:rPr>
          <w:rFonts w:ascii="Arial" w:hAnsi="Arial" w:cs="Arial"/>
          <w:sz w:val="22"/>
        </w:rPr>
        <w:t xml:space="preserve"> cuando se requiera la verificación de información del Proponente adicional a la contenida en el RUP. El numeral 3.5.1</w:t>
      </w:r>
      <w:r>
        <w:rPr>
          <w:rFonts w:ascii="Arial" w:hAnsi="Arial" w:cs="Arial"/>
          <w:sz w:val="22"/>
        </w:rPr>
        <w:t>.</w:t>
      </w:r>
      <w:r w:rsidRPr="002E3DDB">
        <w:rPr>
          <w:rFonts w:ascii="Arial" w:hAnsi="Arial" w:cs="Arial"/>
          <w:sz w:val="22"/>
        </w:rPr>
        <w:t xml:space="preserve"> señala las características que deben cumplir los contratos o certificaciones aportados </w:t>
      </w:r>
      <w:r w:rsidRPr="002E3DDB">
        <w:rPr>
          <w:rFonts w:ascii="Arial" w:hAnsi="Arial" w:cs="Arial"/>
          <w:sz w:val="22"/>
        </w:rPr>
        <w:lastRenderedPageBreak/>
        <w:t>para acreditar la experiencia; el numeral 3.5.2</w:t>
      </w:r>
      <w:r>
        <w:rPr>
          <w:rFonts w:ascii="Arial" w:hAnsi="Arial" w:cs="Arial"/>
          <w:sz w:val="22"/>
        </w:rPr>
        <w:t>.</w:t>
      </w:r>
      <w:r w:rsidRPr="002E3DDB">
        <w:rPr>
          <w:rFonts w:ascii="Arial" w:hAnsi="Arial" w:cs="Arial"/>
          <w:sz w:val="22"/>
        </w:rPr>
        <w:t xml:space="preserve"> enuncia los aspectos para analizar la experiencia acreditada; el numeral 3.5.3</w:t>
      </w:r>
      <w:r>
        <w:rPr>
          <w:rFonts w:ascii="Arial" w:hAnsi="Arial" w:cs="Arial"/>
          <w:sz w:val="22"/>
        </w:rPr>
        <w:t>.</w:t>
      </w:r>
      <w:r w:rsidRPr="002E3DDB">
        <w:rPr>
          <w:rFonts w:ascii="Arial" w:hAnsi="Arial" w:cs="Arial"/>
          <w:sz w:val="22"/>
        </w:rPr>
        <w:t xml:space="preserve"> señala los códigos del «clasificador de bienes, obras y servicios de las naciones unidas» en los cuales se deben encontrar clasificados los contratos aportados para acreditar la experiencia; el numeral 3.5.4</w:t>
      </w:r>
      <w:r>
        <w:rPr>
          <w:rFonts w:ascii="Arial" w:hAnsi="Arial" w:cs="Arial"/>
          <w:sz w:val="22"/>
        </w:rPr>
        <w:t>.</w:t>
      </w:r>
      <w:r w:rsidRPr="002E3DDB">
        <w:rPr>
          <w:rFonts w:ascii="Arial" w:hAnsi="Arial" w:cs="Arial"/>
          <w:sz w:val="22"/>
        </w:rPr>
        <w:t xml:space="preserve"> establece la información mínima que deben contener los documentos válidos para acreditar la experiencia; el numeral 3.5.5</w:t>
      </w:r>
      <w:r>
        <w:rPr>
          <w:rFonts w:ascii="Arial" w:hAnsi="Arial" w:cs="Arial"/>
          <w:sz w:val="22"/>
        </w:rPr>
        <w:t>.</w:t>
      </w:r>
      <w:r w:rsidRPr="002E3DDB">
        <w:rPr>
          <w:rFonts w:ascii="Arial" w:hAnsi="Arial" w:cs="Arial"/>
          <w:sz w:val="22"/>
        </w:rPr>
        <w:t xml:space="preserve"> define varios documentos válidos para acreditar experiencia cuando se requiera la verificación de información del Proponente adicional a la contenida en el RUP; el numeral 3.5.6</w:t>
      </w:r>
      <w:r>
        <w:rPr>
          <w:rFonts w:ascii="Arial" w:hAnsi="Arial" w:cs="Arial"/>
          <w:sz w:val="22"/>
        </w:rPr>
        <w:t>.</w:t>
      </w:r>
      <w:r w:rsidRPr="002E3DDB">
        <w:rPr>
          <w:rFonts w:ascii="Arial" w:hAnsi="Arial" w:cs="Arial"/>
          <w:sz w:val="22"/>
        </w:rPr>
        <w:t xml:space="preserve"> señala las reglas para acreditar la experiencia mediante subcontratos; y el numeral 3.5.7</w:t>
      </w:r>
      <w:r>
        <w:rPr>
          <w:rFonts w:ascii="Arial" w:hAnsi="Arial" w:cs="Arial"/>
          <w:sz w:val="22"/>
        </w:rPr>
        <w:t>.</w:t>
      </w:r>
      <w:r w:rsidRPr="002E3DDB">
        <w:rPr>
          <w:rFonts w:ascii="Arial" w:hAnsi="Arial" w:cs="Arial"/>
          <w:sz w:val="22"/>
        </w:rPr>
        <w:t xml:space="preserve"> establece el valor mínimo que se debe acreditar con relación al presupuesto oficial de acuerdo con el número de contratos aportados. </w:t>
      </w:r>
    </w:p>
    <w:p w14:paraId="55A1F24F" w14:textId="77777777" w:rsidR="00AF2915" w:rsidRDefault="00E8603C" w:rsidP="00AF2915">
      <w:pPr>
        <w:spacing w:before="120" w:line="276" w:lineRule="auto"/>
        <w:ind w:firstLine="708"/>
        <w:jc w:val="both"/>
        <w:rPr>
          <w:rFonts w:ascii="Arial" w:hAnsi="Arial" w:cs="Arial"/>
          <w:sz w:val="22"/>
        </w:rPr>
      </w:pPr>
      <w:r>
        <w:rPr>
          <w:rFonts w:ascii="Arial" w:hAnsi="Arial" w:cs="Arial"/>
          <w:sz w:val="22"/>
        </w:rPr>
        <w:t xml:space="preserve">En los procedimientos de selección regidos por los documentos tipo, </w:t>
      </w:r>
      <w:r w:rsidRPr="00E8603C">
        <w:rPr>
          <w:rFonts w:ascii="Arial" w:hAnsi="Arial" w:cs="Arial"/>
          <w:sz w:val="22"/>
        </w:rPr>
        <w:t>para definir la experiencia exigible, la entidad estatal, en la</w:t>
      </w:r>
      <w:r>
        <w:rPr>
          <w:rFonts w:ascii="Arial" w:hAnsi="Arial" w:cs="Arial"/>
          <w:sz w:val="22"/>
        </w:rPr>
        <w:t xml:space="preserve"> </w:t>
      </w:r>
      <w:r w:rsidRPr="00E8603C">
        <w:rPr>
          <w:rFonts w:ascii="Arial" w:hAnsi="Arial" w:cs="Arial"/>
          <w:sz w:val="22"/>
        </w:rPr>
        <w:t>etapa de planeación, debe identificar, de acuerdo con el alcance del objeto a contratar, el</w:t>
      </w:r>
      <w:r>
        <w:rPr>
          <w:rFonts w:ascii="Arial" w:hAnsi="Arial" w:cs="Arial"/>
          <w:sz w:val="22"/>
        </w:rPr>
        <w:t xml:space="preserve"> </w:t>
      </w:r>
      <w:r w:rsidRPr="00E8603C">
        <w:rPr>
          <w:rFonts w:ascii="Arial" w:hAnsi="Arial" w:cs="Arial"/>
          <w:sz w:val="22"/>
        </w:rPr>
        <w:t xml:space="preserve">tipo de infraestructura y las actividades definidas en la </w:t>
      </w:r>
      <w:r w:rsidR="00C853D9">
        <w:rPr>
          <w:rFonts w:ascii="Arial" w:hAnsi="Arial" w:cs="Arial"/>
          <w:sz w:val="22"/>
        </w:rPr>
        <w:t>«</w:t>
      </w:r>
      <w:r w:rsidRPr="00E8603C">
        <w:rPr>
          <w:rFonts w:ascii="Arial" w:hAnsi="Arial" w:cs="Arial"/>
          <w:sz w:val="22"/>
        </w:rPr>
        <w:t>Matriz 1- Experiencia</w:t>
      </w:r>
      <w:r w:rsidR="00C853D9">
        <w:rPr>
          <w:rFonts w:ascii="Arial" w:hAnsi="Arial" w:cs="Arial"/>
          <w:sz w:val="22"/>
        </w:rPr>
        <w:t>»</w:t>
      </w:r>
      <w:r w:rsidRPr="00E8603C">
        <w:rPr>
          <w:rFonts w:ascii="Arial" w:hAnsi="Arial" w:cs="Arial"/>
          <w:sz w:val="22"/>
        </w:rPr>
        <w:t xml:space="preserve">. </w:t>
      </w:r>
      <w:r w:rsidR="00AF2915">
        <w:rPr>
          <w:rFonts w:ascii="Arial" w:hAnsi="Arial" w:cs="Arial"/>
          <w:sz w:val="22"/>
        </w:rPr>
        <w:t>De igual manera, con el fin de verificar si el objeto a contratar se encuentra enmarcado en las actividades de experiencia, el «Anexo 3 – Glosario» establece los conceptos propios de la ingeniería civil que deben ser considerados para una adecuada aplicación de los criterios establecidos.</w:t>
      </w:r>
    </w:p>
    <w:p w14:paraId="40D9A015" w14:textId="77777777" w:rsidR="00AF2915" w:rsidRDefault="00AF2915" w:rsidP="00AF2915">
      <w:pPr>
        <w:spacing w:before="120" w:line="276" w:lineRule="auto"/>
        <w:ind w:firstLine="708"/>
        <w:jc w:val="both"/>
        <w:rPr>
          <w:rFonts w:ascii="Arial" w:hAnsi="Arial" w:cs="Arial"/>
          <w:sz w:val="22"/>
        </w:rPr>
      </w:pPr>
      <w:r>
        <w:rPr>
          <w:rFonts w:ascii="Arial" w:hAnsi="Arial" w:cs="Arial"/>
          <w:sz w:val="22"/>
        </w:rPr>
        <w:t xml:space="preserve">De acuerdo con las condiciones fijadas en el documento base, la configuración y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14:paraId="77DF283B" w14:textId="1230002E" w:rsidR="00AF2915" w:rsidRDefault="00AF2915" w:rsidP="00AF2915">
      <w:pPr>
        <w:spacing w:before="120" w:line="276" w:lineRule="auto"/>
        <w:ind w:firstLine="708"/>
        <w:jc w:val="both"/>
        <w:rPr>
          <w:rFonts w:ascii="Arial" w:hAnsi="Arial" w:cs="Arial"/>
          <w:sz w:val="22"/>
        </w:rPr>
      </w:pPr>
      <w:r>
        <w:rPr>
          <w:rFonts w:ascii="Arial" w:hAnsi="Arial" w:cs="Arial"/>
          <w:sz w:val="22"/>
        </w:rPr>
        <w:t xml:space="preserve">Para fijar las condiciones que deben cumplir los contratos aportados, en términos de actividades ejecutadas, las entidades deberán emplear la Matriz 1, documento que estandariza las condiciones de </w:t>
      </w:r>
      <w:r w:rsidR="004017A2">
        <w:rPr>
          <w:rFonts w:ascii="Arial" w:hAnsi="Arial" w:cs="Arial"/>
          <w:sz w:val="22"/>
        </w:rPr>
        <w:t>«</w:t>
      </w:r>
      <w:r>
        <w:rPr>
          <w:rFonts w:ascii="Arial" w:hAnsi="Arial" w:cs="Arial"/>
          <w:sz w:val="22"/>
        </w:rPr>
        <w:t>experiencia general</w:t>
      </w:r>
      <w:r w:rsidR="004017A2">
        <w:rPr>
          <w:rFonts w:ascii="Arial" w:hAnsi="Arial" w:cs="Arial"/>
          <w:sz w:val="22"/>
        </w:rPr>
        <w:t>»</w:t>
      </w:r>
      <w:r>
        <w:rPr>
          <w:rFonts w:ascii="Arial" w:hAnsi="Arial" w:cs="Arial"/>
          <w:sz w:val="22"/>
        </w:rPr>
        <w:t xml:space="preserve"> y/o </w:t>
      </w:r>
      <w:r w:rsidR="004017A2">
        <w:rPr>
          <w:rFonts w:ascii="Arial" w:hAnsi="Arial" w:cs="Arial"/>
          <w:sz w:val="22"/>
        </w:rPr>
        <w:t>«</w:t>
      </w:r>
      <w:r>
        <w:rPr>
          <w:rFonts w:ascii="Arial" w:hAnsi="Arial" w:cs="Arial"/>
          <w:sz w:val="22"/>
        </w:rPr>
        <w:t>experiencia específica</w:t>
      </w:r>
      <w:r w:rsidR="004017A2">
        <w:rPr>
          <w:rFonts w:ascii="Arial" w:hAnsi="Arial" w:cs="Arial"/>
          <w:sz w:val="22"/>
        </w:rPr>
        <w:t>»</w:t>
      </w:r>
      <w:r>
        <w:rPr>
          <w:rFonts w:ascii="Arial" w:hAnsi="Arial" w:cs="Arial"/>
          <w:sz w:val="22"/>
        </w:rPr>
        <w:t xml:space="preserve"> que deben requerir las entidades estatales a los proponentes para acreditar el requisito habilitante de experiencia de acuerdo con: i) el tipo de obra de infraestructura de transporte, ii) la actividad a contratar y iii) la cuantía del proceso de contratación.</w:t>
      </w:r>
    </w:p>
    <w:p w14:paraId="47176122" w14:textId="77777777" w:rsidR="00AF2915" w:rsidRDefault="00AF2915" w:rsidP="00AF2915">
      <w:pPr>
        <w:spacing w:before="120" w:line="276" w:lineRule="auto"/>
        <w:ind w:firstLine="708"/>
        <w:jc w:val="both"/>
        <w:rPr>
          <w:rFonts w:ascii="Arial" w:hAnsi="Arial" w:cs="Arial"/>
          <w:sz w:val="22"/>
        </w:rPr>
      </w:pPr>
      <w:r>
        <w:rPr>
          <w:rFonts w:ascii="Arial" w:hAnsi="Arial" w:cs="Arial"/>
          <w:sz w:val="22"/>
        </w:rPr>
        <w:t xml:space="preserve">Frente al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w:t>
      </w:r>
      <w:r>
        <w:rPr>
          <w:rFonts w:ascii="Arial" w:hAnsi="Arial" w:cs="Arial"/>
          <w:sz w:val="22"/>
        </w:rPr>
        <w:lastRenderedPageBreak/>
        <w:t>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el Decreto 342 de 2019.</w:t>
      </w:r>
    </w:p>
    <w:p w14:paraId="66F63F5F" w14:textId="77777777" w:rsidR="00AF2915" w:rsidRDefault="00AF2915" w:rsidP="00AF2915">
      <w:pPr>
        <w:spacing w:before="120" w:line="276" w:lineRule="auto"/>
        <w:ind w:firstLine="708"/>
        <w:jc w:val="both"/>
        <w:rPr>
          <w:rFonts w:ascii="Arial" w:hAnsi="Arial" w:cs="Arial"/>
          <w:sz w:val="22"/>
        </w:rPr>
      </w:pPr>
      <w:r>
        <w:rPr>
          <w:rFonts w:ascii="Arial" w:hAnsi="Arial" w:cs="Arial"/>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«Obras en vías primarias o secundarias» la entidad podrá verificar la experiencia requerida en su proceso, de acuerdo con las siguientes actividades: «1.1 Proyectos de construcción de vías», «1.2 Proyectos de mejoramiento de vías» y/o «1.3 Proyectos de rehabilitación o mantenimiento de carretera».</w:t>
      </w:r>
    </w:p>
    <w:p w14:paraId="0FEA208B" w14:textId="77777777" w:rsidR="00AF2915" w:rsidRDefault="00AF2915" w:rsidP="00AF2915">
      <w:pPr>
        <w:spacing w:before="120" w:line="276" w:lineRule="auto"/>
        <w:ind w:firstLine="708"/>
        <w:jc w:val="both"/>
        <w:rPr>
          <w:rFonts w:ascii="Arial" w:hAnsi="Arial" w:cs="Arial"/>
          <w:sz w:val="22"/>
        </w:rPr>
      </w:pPr>
      <w:r>
        <w:rPr>
          <w:rFonts w:ascii="Arial" w:hAnsi="Arial" w:cs="Arial"/>
          <w:sz w:val="22"/>
        </w:rPr>
        <w:t xml:space="preserve">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4 de la Ley 1882 de 2018 y en el artículo 2.2.1.2.6.1.3. del Decreto 1082 de 2015, conforme a los cuales las condiciones habilitantes fijadas en los documentos tipo deben tener en cuenta la naturaleza y cuantía del tipo de intervención. </w:t>
      </w:r>
    </w:p>
    <w:p w14:paraId="23EF1FBB" w14:textId="77777777" w:rsidR="00AF2915" w:rsidRDefault="00AF2915" w:rsidP="00AF2915">
      <w:pPr>
        <w:spacing w:before="120" w:line="276" w:lineRule="auto"/>
        <w:ind w:firstLine="708"/>
        <w:jc w:val="both"/>
        <w:rPr>
          <w:rFonts w:ascii="Arial" w:hAnsi="Arial" w:cs="Arial"/>
          <w:sz w:val="22"/>
        </w:rPr>
      </w:pPr>
      <w:r>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y, por lo tanto, de obligatorio cumplimiento. Igualmente, se encuentran sometidos a la reglamentación establecida en el Decreto 342 de 2019 y no pueden ser alterados, modificados o adicionados en su contenido. </w:t>
      </w:r>
    </w:p>
    <w:p w14:paraId="5BC771B6" w14:textId="3E2A68F7"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t xml:space="preserve">De esta manera, la entidad estatal, para definir la experiencia exigible en un </w:t>
      </w:r>
      <w:r w:rsidR="00C853D9">
        <w:rPr>
          <w:rFonts w:ascii="Arial" w:hAnsi="Arial" w:cs="Arial"/>
          <w:sz w:val="22"/>
        </w:rPr>
        <w:t>procedimiento</w:t>
      </w:r>
      <w:r w:rsidRPr="00E8603C">
        <w:rPr>
          <w:rFonts w:ascii="Arial" w:hAnsi="Arial" w:cs="Arial"/>
          <w:sz w:val="22"/>
        </w:rPr>
        <w:t xml:space="preserve"> de</w:t>
      </w:r>
      <w:r>
        <w:rPr>
          <w:rFonts w:ascii="Arial" w:hAnsi="Arial" w:cs="Arial"/>
          <w:sz w:val="22"/>
        </w:rPr>
        <w:t xml:space="preserve"> </w:t>
      </w:r>
      <w:r w:rsidR="00C853D9">
        <w:rPr>
          <w:rFonts w:ascii="Arial" w:hAnsi="Arial" w:cs="Arial"/>
          <w:sz w:val="22"/>
        </w:rPr>
        <w:t>c</w:t>
      </w:r>
      <w:r w:rsidRPr="00E8603C">
        <w:rPr>
          <w:rFonts w:ascii="Arial" w:hAnsi="Arial" w:cs="Arial"/>
          <w:sz w:val="22"/>
        </w:rPr>
        <w:t>ontratación de licitación de obra pública de infraestructura de transporte, debe seguir los</w:t>
      </w:r>
      <w:r>
        <w:rPr>
          <w:rFonts w:ascii="Arial" w:hAnsi="Arial" w:cs="Arial"/>
          <w:sz w:val="22"/>
        </w:rPr>
        <w:t xml:space="preserve"> </w:t>
      </w:r>
      <w:r w:rsidRPr="00E8603C">
        <w:rPr>
          <w:rFonts w:ascii="Arial" w:hAnsi="Arial" w:cs="Arial"/>
          <w:sz w:val="22"/>
        </w:rPr>
        <w:t>siguientes pasos:</w:t>
      </w:r>
    </w:p>
    <w:p w14:paraId="4C8A2764" w14:textId="0DE20663"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t xml:space="preserve">a) Identificar en la </w:t>
      </w:r>
      <w:r w:rsidR="00C853D9">
        <w:rPr>
          <w:rFonts w:ascii="Arial" w:hAnsi="Arial" w:cs="Arial"/>
          <w:sz w:val="22"/>
        </w:rPr>
        <w:t>«</w:t>
      </w:r>
      <w:r w:rsidR="00C853D9" w:rsidRPr="00E8603C">
        <w:rPr>
          <w:rFonts w:ascii="Arial" w:hAnsi="Arial" w:cs="Arial"/>
          <w:sz w:val="22"/>
        </w:rPr>
        <w:t>Matriz 1- Experiencia</w:t>
      </w:r>
      <w:r w:rsidR="00C853D9">
        <w:rPr>
          <w:rFonts w:ascii="Arial" w:hAnsi="Arial" w:cs="Arial"/>
          <w:sz w:val="22"/>
        </w:rPr>
        <w:t>»</w:t>
      </w:r>
      <w:r w:rsidRPr="00E8603C">
        <w:rPr>
          <w:rFonts w:ascii="Arial" w:hAnsi="Arial" w:cs="Arial"/>
          <w:sz w:val="22"/>
        </w:rPr>
        <w:t>, el tipo de infraestructura sobre el cual recae la</w:t>
      </w:r>
      <w:r>
        <w:rPr>
          <w:rFonts w:ascii="Arial" w:hAnsi="Arial" w:cs="Arial"/>
          <w:sz w:val="22"/>
        </w:rPr>
        <w:t xml:space="preserve"> </w:t>
      </w:r>
      <w:r w:rsidRPr="00E8603C">
        <w:rPr>
          <w:rFonts w:ascii="Arial" w:hAnsi="Arial" w:cs="Arial"/>
          <w:sz w:val="22"/>
        </w:rPr>
        <w:t>obra a ejecutar. Al respecto esta matriz contiene ocho (8) secciones: 1. OBRAS EN VÍAS</w:t>
      </w:r>
      <w:r w:rsidRPr="00E8603C">
        <w:t xml:space="preserve"> </w:t>
      </w:r>
      <w:r w:rsidRPr="00E8603C">
        <w:rPr>
          <w:rFonts w:ascii="Arial" w:hAnsi="Arial" w:cs="Arial"/>
          <w:sz w:val="22"/>
        </w:rPr>
        <w:t>PRIMARIAS O SECUNDARIAS. 2. OBRAS EN VIAS TERCIARIAS. 3. OBRAS</w:t>
      </w:r>
      <w:r>
        <w:rPr>
          <w:rFonts w:ascii="Arial" w:hAnsi="Arial" w:cs="Arial"/>
          <w:sz w:val="22"/>
        </w:rPr>
        <w:t xml:space="preserve"> </w:t>
      </w:r>
      <w:r w:rsidRPr="00E8603C">
        <w:rPr>
          <w:rFonts w:ascii="Arial" w:hAnsi="Arial" w:cs="Arial"/>
          <w:sz w:val="22"/>
        </w:rPr>
        <w:t>MARITIMAS Y FLUVIALES. 4. OBRAS EN VIAS PRIMARIAS O SECUNDARIAS O</w:t>
      </w:r>
      <w:r>
        <w:rPr>
          <w:rFonts w:ascii="Arial" w:hAnsi="Arial" w:cs="Arial"/>
          <w:sz w:val="22"/>
        </w:rPr>
        <w:t xml:space="preserve"> </w:t>
      </w:r>
      <w:r w:rsidRPr="00E8603C">
        <w:rPr>
          <w:rFonts w:ascii="Arial" w:hAnsi="Arial" w:cs="Arial"/>
          <w:sz w:val="22"/>
        </w:rPr>
        <w:t>TERCIARIAS PARA ATENCIÓN DE EMERGENCIAS DIFERENTES A CONTRATACIÓN</w:t>
      </w:r>
      <w:r>
        <w:rPr>
          <w:rFonts w:ascii="Arial" w:hAnsi="Arial" w:cs="Arial"/>
          <w:sz w:val="22"/>
        </w:rPr>
        <w:t xml:space="preserve"> </w:t>
      </w:r>
      <w:r w:rsidRPr="00E8603C">
        <w:rPr>
          <w:rFonts w:ascii="Arial" w:hAnsi="Arial" w:cs="Arial"/>
          <w:sz w:val="22"/>
        </w:rPr>
        <w:t>DIRECTA. 5. OBRAS FERREAS. 6. OBRAS INFRAESTRUCTURA VIAL URBANA. 7.</w:t>
      </w:r>
      <w:r>
        <w:rPr>
          <w:rFonts w:ascii="Arial" w:hAnsi="Arial" w:cs="Arial"/>
          <w:sz w:val="22"/>
        </w:rPr>
        <w:t xml:space="preserve"> </w:t>
      </w:r>
      <w:r w:rsidRPr="00E8603C">
        <w:rPr>
          <w:rFonts w:ascii="Arial" w:hAnsi="Arial" w:cs="Arial"/>
          <w:sz w:val="22"/>
        </w:rPr>
        <w:t>OBRAS EN PUENTES. 8. OBRAS AEROPORTUARIAS.</w:t>
      </w:r>
    </w:p>
    <w:p w14:paraId="452F2C31" w14:textId="481D1573"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t xml:space="preserve">b) Una vez definido el tipo de infraestructura, identificar la </w:t>
      </w:r>
      <w:r>
        <w:rPr>
          <w:rFonts w:ascii="Arial" w:hAnsi="Arial" w:cs="Arial"/>
          <w:sz w:val="22"/>
        </w:rPr>
        <w:t>«</w:t>
      </w:r>
      <w:r w:rsidRPr="00E8603C">
        <w:rPr>
          <w:rFonts w:ascii="Arial" w:hAnsi="Arial" w:cs="Arial"/>
          <w:sz w:val="22"/>
        </w:rPr>
        <w:t>ACTIVIDAD A CONTRATAR</w:t>
      </w:r>
      <w:r>
        <w:rPr>
          <w:rFonts w:ascii="Arial" w:hAnsi="Arial" w:cs="Arial"/>
          <w:sz w:val="22"/>
        </w:rPr>
        <w:t xml:space="preserve">» </w:t>
      </w:r>
      <w:r w:rsidRPr="00E8603C">
        <w:rPr>
          <w:rFonts w:ascii="Arial" w:hAnsi="Arial" w:cs="Arial"/>
          <w:sz w:val="22"/>
        </w:rPr>
        <w:t xml:space="preserve">acorde con la </w:t>
      </w:r>
      <w:r w:rsidR="00C853D9">
        <w:rPr>
          <w:rFonts w:ascii="Arial" w:hAnsi="Arial" w:cs="Arial"/>
          <w:sz w:val="22"/>
        </w:rPr>
        <w:t>«</w:t>
      </w:r>
      <w:r w:rsidR="00C853D9" w:rsidRPr="00E8603C">
        <w:rPr>
          <w:rFonts w:ascii="Arial" w:hAnsi="Arial" w:cs="Arial"/>
          <w:sz w:val="22"/>
        </w:rPr>
        <w:t>Matriz 1- Experiencia</w:t>
      </w:r>
      <w:r w:rsidR="00C853D9">
        <w:rPr>
          <w:rFonts w:ascii="Arial" w:hAnsi="Arial" w:cs="Arial"/>
          <w:sz w:val="22"/>
        </w:rPr>
        <w:t>»</w:t>
      </w:r>
      <w:r w:rsidRPr="00E8603C">
        <w:rPr>
          <w:rFonts w:ascii="Arial" w:hAnsi="Arial" w:cs="Arial"/>
          <w:sz w:val="22"/>
        </w:rPr>
        <w:t>.</w:t>
      </w:r>
    </w:p>
    <w:p w14:paraId="698EC686" w14:textId="7B33210C"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lastRenderedPageBreak/>
        <w:t xml:space="preserve">c) Identificar el rango en el cual se encuentra el </w:t>
      </w:r>
      <w:r w:rsidR="00C853D9">
        <w:rPr>
          <w:rFonts w:ascii="Arial" w:hAnsi="Arial" w:cs="Arial"/>
          <w:sz w:val="22"/>
        </w:rPr>
        <w:t>procedimiento</w:t>
      </w:r>
      <w:r w:rsidRPr="00E8603C">
        <w:rPr>
          <w:rFonts w:ascii="Arial" w:hAnsi="Arial" w:cs="Arial"/>
          <w:sz w:val="22"/>
        </w:rPr>
        <w:t xml:space="preserve"> de </w:t>
      </w:r>
      <w:r w:rsidR="00C853D9">
        <w:rPr>
          <w:rFonts w:ascii="Arial" w:hAnsi="Arial" w:cs="Arial"/>
          <w:sz w:val="22"/>
        </w:rPr>
        <w:t>c</w:t>
      </w:r>
      <w:r w:rsidRPr="00E8603C">
        <w:rPr>
          <w:rFonts w:ascii="Arial" w:hAnsi="Arial" w:cs="Arial"/>
          <w:sz w:val="22"/>
        </w:rPr>
        <w:t>ontratación de acuerdo con</w:t>
      </w:r>
      <w:r>
        <w:rPr>
          <w:rFonts w:ascii="Arial" w:hAnsi="Arial" w:cs="Arial"/>
          <w:sz w:val="22"/>
        </w:rPr>
        <w:t xml:space="preserve"> </w:t>
      </w:r>
      <w:r w:rsidRPr="00E8603C">
        <w:rPr>
          <w:rFonts w:ascii="Arial" w:hAnsi="Arial" w:cs="Arial"/>
          <w:sz w:val="22"/>
        </w:rPr>
        <w:t>el presupuesto oficial.</w:t>
      </w:r>
    </w:p>
    <w:p w14:paraId="61A932D3" w14:textId="7C9875F6"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t xml:space="preserve">d) Identificar la </w:t>
      </w:r>
      <w:r>
        <w:rPr>
          <w:rFonts w:ascii="Arial" w:hAnsi="Arial" w:cs="Arial"/>
          <w:sz w:val="22"/>
        </w:rPr>
        <w:t>«</w:t>
      </w:r>
      <w:r w:rsidRPr="00E8603C">
        <w:rPr>
          <w:rFonts w:ascii="Arial" w:hAnsi="Arial" w:cs="Arial"/>
          <w:sz w:val="22"/>
        </w:rPr>
        <w:t>experiencia general</w:t>
      </w:r>
      <w:r>
        <w:rPr>
          <w:rFonts w:ascii="Arial" w:hAnsi="Arial" w:cs="Arial"/>
          <w:sz w:val="22"/>
        </w:rPr>
        <w:t>»</w:t>
      </w:r>
      <w:r w:rsidRPr="00E8603C">
        <w:rPr>
          <w:rFonts w:ascii="Arial" w:hAnsi="Arial" w:cs="Arial"/>
          <w:sz w:val="22"/>
        </w:rPr>
        <w:t xml:space="preserve"> exigible acorde con la </w:t>
      </w:r>
      <w:r w:rsidR="00C853D9">
        <w:rPr>
          <w:rFonts w:ascii="Arial" w:hAnsi="Arial" w:cs="Arial"/>
          <w:sz w:val="22"/>
        </w:rPr>
        <w:t>«</w:t>
      </w:r>
      <w:r w:rsidR="00C853D9" w:rsidRPr="00E8603C">
        <w:rPr>
          <w:rFonts w:ascii="Arial" w:hAnsi="Arial" w:cs="Arial"/>
          <w:sz w:val="22"/>
        </w:rPr>
        <w:t>Matriz 1- Experiencia</w:t>
      </w:r>
      <w:r w:rsidR="00C853D9">
        <w:rPr>
          <w:rFonts w:ascii="Arial" w:hAnsi="Arial" w:cs="Arial"/>
          <w:sz w:val="22"/>
        </w:rPr>
        <w:t xml:space="preserve">» </w:t>
      </w:r>
      <w:r w:rsidRPr="00E8603C">
        <w:rPr>
          <w:rFonts w:ascii="Arial" w:hAnsi="Arial" w:cs="Arial"/>
          <w:sz w:val="22"/>
        </w:rPr>
        <w:t>teniendo</w:t>
      </w:r>
      <w:r>
        <w:rPr>
          <w:rFonts w:ascii="Arial" w:hAnsi="Arial" w:cs="Arial"/>
          <w:sz w:val="22"/>
        </w:rPr>
        <w:t xml:space="preserve"> </w:t>
      </w:r>
      <w:r w:rsidRPr="00E8603C">
        <w:rPr>
          <w:rFonts w:ascii="Arial" w:hAnsi="Arial" w:cs="Arial"/>
          <w:sz w:val="22"/>
        </w:rPr>
        <w:t xml:space="preserve">en cuenta la actividad a contratar y el rango de la cuantía del </w:t>
      </w:r>
      <w:r w:rsidR="00C853D9">
        <w:rPr>
          <w:rFonts w:ascii="Arial" w:hAnsi="Arial" w:cs="Arial"/>
          <w:sz w:val="22"/>
        </w:rPr>
        <w:t>procedimiento</w:t>
      </w:r>
      <w:r w:rsidRPr="00E8603C">
        <w:rPr>
          <w:rFonts w:ascii="Arial" w:hAnsi="Arial" w:cs="Arial"/>
          <w:sz w:val="22"/>
        </w:rPr>
        <w:t xml:space="preserve"> de </w:t>
      </w:r>
      <w:r w:rsidR="00C853D9">
        <w:rPr>
          <w:rFonts w:ascii="Arial" w:hAnsi="Arial" w:cs="Arial"/>
          <w:sz w:val="22"/>
        </w:rPr>
        <w:t>c</w:t>
      </w:r>
      <w:r w:rsidRPr="00E8603C">
        <w:rPr>
          <w:rFonts w:ascii="Arial" w:hAnsi="Arial" w:cs="Arial"/>
          <w:sz w:val="22"/>
        </w:rPr>
        <w:t>ontratación.</w:t>
      </w:r>
    </w:p>
    <w:p w14:paraId="34964560" w14:textId="3CD2413C" w:rsidR="00E8603C" w:rsidRPr="00E8603C" w:rsidRDefault="00E8603C" w:rsidP="00E8603C">
      <w:pPr>
        <w:spacing w:before="120" w:line="276" w:lineRule="auto"/>
        <w:ind w:firstLine="709"/>
        <w:jc w:val="both"/>
        <w:rPr>
          <w:rFonts w:ascii="Arial" w:hAnsi="Arial" w:cs="Arial"/>
          <w:sz w:val="22"/>
        </w:rPr>
      </w:pPr>
      <w:r w:rsidRPr="00E8603C">
        <w:rPr>
          <w:rFonts w:ascii="Arial" w:hAnsi="Arial" w:cs="Arial"/>
          <w:sz w:val="22"/>
        </w:rPr>
        <w:t xml:space="preserve">e) Identificar la </w:t>
      </w:r>
      <w:r>
        <w:rPr>
          <w:rFonts w:ascii="Arial" w:hAnsi="Arial" w:cs="Arial"/>
          <w:sz w:val="22"/>
        </w:rPr>
        <w:t>«</w:t>
      </w:r>
      <w:r w:rsidRPr="00E8603C">
        <w:rPr>
          <w:rFonts w:ascii="Arial" w:hAnsi="Arial" w:cs="Arial"/>
          <w:sz w:val="22"/>
        </w:rPr>
        <w:t>experiencia específica</w:t>
      </w:r>
      <w:r>
        <w:rPr>
          <w:rFonts w:ascii="Arial" w:hAnsi="Arial" w:cs="Arial"/>
          <w:sz w:val="22"/>
        </w:rPr>
        <w:t>»</w:t>
      </w:r>
      <w:r w:rsidRPr="00E8603C">
        <w:rPr>
          <w:rFonts w:ascii="Arial" w:hAnsi="Arial" w:cs="Arial"/>
          <w:sz w:val="22"/>
        </w:rPr>
        <w:t xml:space="preserve"> exigible y el porcentaje de dimensionamiento que</w:t>
      </w:r>
      <w:r>
        <w:rPr>
          <w:rFonts w:ascii="Arial" w:hAnsi="Arial" w:cs="Arial"/>
          <w:sz w:val="22"/>
        </w:rPr>
        <w:t xml:space="preserve"> </w:t>
      </w:r>
      <w:r w:rsidRPr="00E8603C">
        <w:rPr>
          <w:rFonts w:ascii="Arial" w:hAnsi="Arial" w:cs="Arial"/>
          <w:sz w:val="22"/>
        </w:rPr>
        <w:t>se puede solicitar acorde con la longitud a ejecutar de acuerdo con la cuantía del proce</w:t>
      </w:r>
      <w:r w:rsidR="00C853D9">
        <w:rPr>
          <w:rFonts w:ascii="Arial" w:hAnsi="Arial" w:cs="Arial"/>
          <w:sz w:val="22"/>
        </w:rPr>
        <w:t>dimiento</w:t>
      </w:r>
      <w:r>
        <w:rPr>
          <w:rFonts w:ascii="Arial" w:hAnsi="Arial" w:cs="Arial"/>
          <w:sz w:val="22"/>
        </w:rPr>
        <w:t xml:space="preserve"> </w:t>
      </w:r>
      <w:r w:rsidRPr="00E8603C">
        <w:rPr>
          <w:rFonts w:ascii="Arial" w:hAnsi="Arial" w:cs="Arial"/>
          <w:sz w:val="22"/>
        </w:rPr>
        <w:t xml:space="preserve">de contratación. En los casos que en la </w:t>
      </w:r>
      <w:r>
        <w:rPr>
          <w:rFonts w:ascii="Arial" w:hAnsi="Arial" w:cs="Arial"/>
          <w:sz w:val="22"/>
        </w:rPr>
        <w:t>«</w:t>
      </w:r>
      <w:r w:rsidRPr="00E8603C">
        <w:rPr>
          <w:rFonts w:ascii="Arial" w:hAnsi="Arial" w:cs="Arial"/>
          <w:sz w:val="22"/>
        </w:rPr>
        <w:t>experiencia específica</w:t>
      </w:r>
      <w:r>
        <w:rPr>
          <w:rFonts w:ascii="Arial" w:hAnsi="Arial" w:cs="Arial"/>
          <w:sz w:val="22"/>
        </w:rPr>
        <w:t>»</w:t>
      </w:r>
      <w:r w:rsidRPr="00E8603C">
        <w:rPr>
          <w:rFonts w:ascii="Arial" w:hAnsi="Arial" w:cs="Arial"/>
          <w:sz w:val="22"/>
        </w:rPr>
        <w:t xml:space="preserve"> se indique las siglas N.A</w:t>
      </w:r>
      <w:r>
        <w:rPr>
          <w:rFonts w:ascii="Arial" w:hAnsi="Arial" w:cs="Arial"/>
          <w:sz w:val="22"/>
        </w:rPr>
        <w:t xml:space="preserve"> </w:t>
      </w:r>
      <w:r w:rsidRPr="00E8603C">
        <w:rPr>
          <w:rFonts w:ascii="Arial" w:hAnsi="Arial" w:cs="Arial"/>
          <w:sz w:val="22"/>
        </w:rPr>
        <w:t>significa que la entidad estatal no puede exigir a los proponentes ningún tipo de</w:t>
      </w:r>
      <w:r>
        <w:rPr>
          <w:rFonts w:ascii="Arial" w:hAnsi="Arial" w:cs="Arial"/>
          <w:sz w:val="22"/>
        </w:rPr>
        <w:t xml:space="preserve"> </w:t>
      </w:r>
      <w:r w:rsidRPr="00E8603C">
        <w:rPr>
          <w:rFonts w:ascii="Arial" w:hAnsi="Arial" w:cs="Arial"/>
          <w:sz w:val="22"/>
        </w:rPr>
        <w:t>experiencia específica en los proce</w:t>
      </w:r>
      <w:r w:rsidR="00C853D9">
        <w:rPr>
          <w:rFonts w:ascii="Arial" w:hAnsi="Arial" w:cs="Arial"/>
          <w:sz w:val="22"/>
        </w:rPr>
        <w:t>dimientos</w:t>
      </w:r>
      <w:r w:rsidRPr="00E8603C">
        <w:rPr>
          <w:rFonts w:ascii="Arial" w:hAnsi="Arial" w:cs="Arial"/>
          <w:sz w:val="22"/>
        </w:rPr>
        <w:t xml:space="preserve"> de contratación.</w:t>
      </w:r>
    </w:p>
    <w:p w14:paraId="0F3FCE11" w14:textId="77777777" w:rsidR="00FD2E39" w:rsidRDefault="00FD2E39" w:rsidP="00FD2E39">
      <w:pPr>
        <w:spacing w:before="120" w:after="120" w:line="276" w:lineRule="auto"/>
        <w:ind w:firstLine="708"/>
        <w:jc w:val="both"/>
        <w:rPr>
          <w:rFonts w:ascii="Arial" w:hAnsi="Arial" w:cs="Arial"/>
          <w:sz w:val="22"/>
        </w:rPr>
      </w:pPr>
      <w:r>
        <w:rPr>
          <w:rFonts w:ascii="Arial" w:hAnsi="Arial" w:cs="Arial"/>
          <w:sz w:val="22"/>
        </w:rPr>
        <w:t>A continuación, se identifica la experiencia general y específica que la entidad estatal solicitará, de acuerdo con las características y parámetros explicados previamente:</w:t>
      </w:r>
    </w:p>
    <w:p w14:paraId="1DD127C9" w14:textId="77777777" w:rsidR="00FD2E39" w:rsidRDefault="00FD2E39" w:rsidP="00FD2E39">
      <w:pPr>
        <w:spacing w:before="120" w:after="120" w:line="276" w:lineRule="auto"/>
        <w:ind w:firstLine="708"/>
        <w:jc w:val="both"/>
        <w:rPr>
          <w:rFonts w:ascii="Arial" w:hAnsi="Arial" w:cs="Arial"/>
          <w:sz w:val="22"/>
        </w:rPr>
      </w:pPr>
      <w:r>
        <w:rPr>
          <w:rFonts w:ascii="Arial" w:hAnsi="Arial" w:cs="Arial"/>
          <w:sz w:val="22"/>
        </w:rPr>
        <w:t xml:space="preserve">a) De acuerdo con la Matriz 1 el tipo de infraestructura que se relaciona con el objeto contractual, por ejemplo, es </w:t>
      </w:r>
      <w:r>
        <w:rPr>
          <w:rFonts w:ascii="Arial" w:eastAsia="Calibri" w:hAnsi="Arial" w:cs="Arial"/>
          <w:sz w:val="22"/>
        </w:rPr>
        <w:t>«</w:t>
      </w:r>
      <w:r>
        <w:rPr>
          <w:rFonts w:ascii="Arial" w:hAnsi="Arial" w:cs="Arial"/>
          <w:sz w:val="22"/>
        </w:rPr>
        <w:t>2. OBRAS EN VÍAS TERCIARIAS</w:t>
      </w:r>
      <w:r>
        <w:rPr>
          <w:rFonts w:ascii="Arial" w:eastAsia="Calibri" w:hAnsi="Arial" w:cs="Arial"/>
          <w:sz w:val="22"/>
        </w:rPr>
        <w:t>»</w:t>
      </w:r>
      <w:r>
        <w:rPr>
          <w:rFonts w:ascii="Arial" w:hAnsi="Arial" w:cs="Arial"/>
          <w:sz w:val="22"/>
        </w:rPr>
        <w:t>.</w:t>
      </w:r>
    </w:p>
    <w:p w14:paraId="7BF01A0A" w14:textId="059848E8" w:rsidR="00FD2E39" w:rsidRDefault="00FD2E39" w:rsidP="00FD2E39">
      <w:pPr>
        <w:spacing w:before="120" w:after="120" w:line="276" w:lineRule="auto"/>
        <w:ind w:firstLine="708"/>
        <w:jc w:val="both"/>
        <w:rPr>
          <w:rFonts w:ascii="Arial" w:hAnsi="Arial" w:cs="Arial"/>
          <w:sz w:val="22"/>
        </w:rPr>
      </w:pPr>
      <w:r>
        <w:rPr>
          <w:rFonts w:ascii="Arial" w:hAnsi="Arial" w:cs="Arial"/>
          <w:sz w:val="22"/>
        </w:rPr>
        <w:t xml:space="preserve">b) Una de las actividades que se relaciona allí es el numeral </w:t>
      </w:r>
      <w:r>
        <w:rPr>
          <w:rFonts w:ascii="Arial" w:eastAsia="Calibri" w:hAnsi="Arial" w:cs="Arial"/>
          <w:sz w:val="22"/>
        </w:rPr>
        <w:t>«</w:t>
      </w:r>
      <w:r w:rsidR="00EA5E70" w:rsidRPr="00EA5E70">
        <w:rPr>
          <w:rFonts w:ascii="Arial" w:hAnsi="Arial" w:cs="Arial"/>
          <w:sz w:val="22"/>
        </w:rPr>
        <w:t>2.2</w:t>
      </w:r>
      <w:r w:rsidR="004017A2">
        <w:rPr>
          <w:rFonts w:ascii="Arial" w:hAnsi="Arial" w:cs="Arial"/>
          <w:sz w:val="22"/>
        </w:rPr>
        <w:t xml:space="preserve"> </w:t>
      </w:r>
      <w:r w:rsidR="00EA5E70" w:rsidRPr="00EA5E70">
        <w:rPr>
          <w:rFonts w:ascii="Arial" w:hAnsi="Arial" w:cs="Arial"/>
          <w:sz w:val="22"/>
        </w:rPr>
        <w:t>MEJORAMIENTO EN VÍAS TERCIARIAS</w:t>
      </w:r>
      <w:r>
        <w:rPr>
          <w:rFonts w:ascii="Arial" w:hAnsi="Arial" w:cs="Arial"/>
          <w:sz w:val="22"/>
        </w:rPr>
        <w:t>».</w:t>
      </w:r>
    </w:p>
    <w:p w14:paraId="4523F189" w14:textId="1235B251" w:rsidR="00FD2E39" w:rsidRDefault="00FD2E39" w:rsidP="00FD2E39">
      <w:pPr>
        <w:spacing w:before="120" w:after="120" w:line="276" w:lineRule="auto"/>
        <w:ind w:firstLine="708"/>
        <w:jc w:val="both"/>
        <w:rPr>
          <w:rFonts w:ascii="Arial" w:hAnsi="Arial" w:cs="Arial"/>
          <w:sz w:val="22"/>
        </w:rPr>
      </w:pPr>
      <w:r>
        <w:rPr>
          <w:rFonts w:ascii="Arial" w:hAnsi="Arial" w:cs="Arial"/>
          <w:sz w:val="22"/>
        </w:rPr>
        <w:t xml:space="preserve">c) </w:t>
      </w:r>
      <w:r>
        <w:rPr>
          <w:rFonts w:ascii="Arial" w:eastAsia="Calibri" w:hAnsi="Arial" w:cs="Arial"/>
          <w:sz w:val="22"/>
        </w:rPr>
        <w:t xml:space="preserve">La </w:t>
      </w:r>
      <w:r w:rsidR="004017A2">
        <w:rPr>
          <w:rFonts w:ascii="Arial" w:eastAsia="Calibri" w:hAnsi="Arial" w:cs="Arial"/>
          <w:sz w:val="22"/>
        </w:rPr>
        <w:t>«</w:t>
      </w:r>
      <w:r>
        <w:rPr>
          <w:rFonts w:ascii="Arial" w:eastAsia="Calibri" w:hAnsi="Arial" w:cs="Arial"/>
          <w:sz w:val="22"/>
        </w:rPr>
        <w:t>experiencia general</w:t>
      </w:r>
      <w:r w:rsidR="004017A2">
        <w:rPr>
          <w:rFonts w:ascii="Arial" w:eastAsia="Calibri" w:hAnsi="Arial" w:cs="Arial"/>
          <w:sz w:val="22"/>
        </w:rPr>
        <w:t>»</w:t>
      </w:r>
      <w:r>
        <w:rPr>
          <w:rFonts w:ascii="Arial" w:eastAsia="Calibri" w:hAnsi="Arial" w:cs="Arial"/>
          <w:sz w:val="22"/>
        </w:rPr>
        <w:t xml:space="preserve"> que se debe solicitar en procesos de contratación con presupuesto inferior a los 27.001 SMMLV, es «</w:t>
      </w:r>
      <w:r w:rsidR="00EA5E70" w:rsidRPr="00EA5E70">
        <w:rPr>
          <w:rFonts w:ascii="Arial" w:eastAsia="Calibri" w:hAnsi="Arial" w:cs="Arial"/>
          <w:sz w:val="22"/>
        </w:rPr>
        <w:t>CONSTRUCCIÓN O MEJORAMIENTO EN PAVIMENTO ASFALTICO O CONCRETO HIDRÁULICO O PLACA HUELLA DE VÍAS PRIMARIAS O SECUNDARIAS O VÍAS TERCIARIAS O VIAS URBANAS O PISTAS DE AEROPUERTOS</w:t>
      </w:r>
      <w:r>
        <w:rPr>
          <w:rFonts w:ascii="Arial" w:eastAsia="Calibri" w:hAnsi="Arial" w:cs="Arial"/>
          <w:sz w:val="22"/>
        </w:rPr>
        <w:t xml:space="preserve">». En ningún caso, la entidad podrá modificar la experiencia exigible dado que así fue establecida en la «Matriz 1 </w:t>
      </w:r>
      <w:r>
        <w:rPr>
          <w:rFonts w:ascii="Arial" w:hAnsi="Arial" w:cs="Arial"/>
          <w:sz w:val="22"/>
        </w:rPr>
        <w:t>–</w:t>
      </w:r>
      <w:r>
        <w:rPr>
          <w:rFonts w:ascii="Arial" w:eastAsia="Calibri" w:hAnsi="Arial" w:cs="Arial"/>
          <w:sz w:val="22"/>
        </w:rPr>
        <w:t xml:space="preserve"> Experiencia».</w:t>
      </w:r>
    </w:p>
    <w:p w14:paraId="0EF5F102" w14:textId="120629AC" w:rsidR="00FD2E39" w:rsidRDefault="00FD2E39" w:rsidP="00FD2E39">
      <w:pPr>
        <w:spacing w:before="120" w:after="120" w:line="276" w:lineRule="auto"/>
        <w:ind w:firstLine="708"/>
        <w:jc w:val="both"/>
        <w:rPr>
          <w:rFonts w:ascii="Arial" w:eastAsia="Calibri" w:hAnsi="Arial" w:cs="Arial"/>
          <w:sz w:val="22"/>
        </w:rPr>
      </w:pPr>
      <w:r>
        <w:rPr>
          <w:rFonts w:ascii="Arial" w:hAnsi="Arial" w:cs="Arial"/>
          <w:sz w:val="22"/>
        </w:rPr>
        <w:t xml:space="preserve">d) </w:t>
      </w:r>
      <w:r>
        <w:rPr>
          <w:rFonts w:ascii="Arial" w:eastAsia="Calibri" w:hAnsi="Arial" w:cs="Arial"/>
          <w:sz w:val="22"/>
        </w:rPr>
        <w:t xml:space="preserve">La </w:t>
      </w:r>
      <w:r w:rsidR="00EA5E70">
        <w:rPr>
          <w:rFonts w:ascii="Arial" w:eastAsia="Calibri" w:hAnsi="Arial" w:cs="Arial"/>
          <w:sz w:val="22"/>
        </w:rPr>
        <w:t>«</w:t>
      </w:r>
      <w:r>
        <w:rPr>
          <w:rFonts w:ascii="Arial" w:eastAsia="Calibri" w:hAnsi="Arial" w:cs="Arial"/>
          <w:sz w:val="22"/>
        </w:rPr>
        <w:t>experiencia específica</w:t>
      </w:r>
      <w:r w:rsidR="00EA5E70">
        <w:rPr>
          <w:rFonts w:ascii="Arial" w:eastAsia="Calibri" w:hAnsi="Arial" w:cs="Arial"/>
          <w:sz w:val="22"/>
        </w:rPr>
        <w:t>»</w:t>
      </w:r>
      <w:r>
        <w:rPr>
          <w:rFonts w:ascii="Arial" w:eastAsia="Calibri" w:hAnsi="Arial" w:cs="Arial"/>
          <w:sz w:val="22"/>
        </w:rPr>
        <w:t xml:space="preserve"> depende de la cuantía del proceso de contratación.</w:t>
      </w:r>
      <w:r w:rsidR="00EA5E70">
        <w:rPr>
          <w:rFonts w:ascii="Arial" w:eastAsia="Calibri" w:hAnsi="Arial" w:cs="Arial"/>
          <w:sz w:val="22"/>
        </w:rPr>
        <w:t xml:space="preserve"> </w:t>
      </w:r>
      <w:r>
        <w:rPr>
          <w:rFonts w:ascii="Arial" w:eastAsia="Calibri" w:hAnsi="Arial" w:cs="Arial"/>
          <w:sz w:val="22"/>
        </w:rPr>
        <w:t>Por un lado, para procesos con cuantía entre 100 SMMLV y 1.000 SMMLV, el requisito consiste en que «</w:t>
      </w:r>
      <w:r w:rsidR="00EA5E70" w:rsidRPr="00EA5E70">
        <w:rPr>
          <w:rFonts w:ascii="Arial" w:eastAsia="Calibri" w:hAnsi="Arial" w:cs="Arial"/>
          <w:sz w:val="22"/>
        </w:rPr>
        <w:t>Por lo menos uno (1) de los contratos válidos aportados como experiencia general cuenta con una longitud intervenida que corresponda al 50% de la longitud de vía a construir mediante el presente proceso de contratación</w:t>
      </w:r>
      <w:r>
        <w:rPr>
          <w:rFonts w:ascii="Arial" w:eastAsia="Calibri" w:hAnsi="Arial" w:cs="Arial"/>
          <w:sz w:val="22"/>
        </w:rPr>
        <w:t xml:space="preserve">». </w:t>
      </w:r>
    </w:p>
    <w:p w14:paraId="0C2BA435" w14:textId="77777777" w:rsidR="00FD2E39" w:rsidRDefault="00FD2E39" w:rsidP="00FD2E39">
      <w:pPr>
        <w:spacing w:before="120" w:after="120" w:line="276" w:lineRule="auto"/>
        <w:ind w:firstLine="708"/>
        <w:jc w:val="both"/>
        <w:rPr>
          <w:rFonts w:ascii="Arial" w:hAnsi="Arial" w:cs="Arial"/>
          <w:sz w:val="22"/>
        </w:rPr>
      </w:pPr>
      <w:r>
        <w:rPr>
          <w:rFonts w:ascii="Arial" w:hAnsi="Arial" w:cs="Arial"/>
          <w:sz w:val="22"/>
        </w:rPr>
        <w:t xml:space="preserve">En este sentido, la </w:t>
      </w:r>
      <w:r>
        <w:rPr>
          <w:rFonts w:ascii="Arial" w:eastAsia="Calibri" w:hAnsi="Arial" w:cs="Arial"/>
          <w:sz w:val="22"/>
        </w:rPr>
        <w:t>«</w:t>
      </w:r>
      <w:r>
        <w:rPr>
          <w:rFonts w:ascii="Arial" w:hAnsi="Arial" w:cs="Arial"/>
          <w:sz w:val="22"/>
        </w:rPr>
        <w:t>experiencia general</w:t>
      </w:r>
      <w:r>
        <w:rPr>
          <w:rFonts w:ascii="Arial" w:eastAsia="Calibri" w:hAnsi="Arial" w:cs="Arial"/>
          <w:sz w:val="22"/>
        </w:rPr>
        <w:t>»</w:t>
      </w:r>
      <w:r>
        <w:rPr>
          <w:rFonts w:ascii="Arial" w:hAnsi="Arial" w:cs="Arial"/>
          <w:sz w:val="22"/>
        </w:rPr>
        <w:t xml:space="preserve"> y la </w:t>
      </w:r>
      <w:r>
        <w:rPr>
          <w:rFonts w:ascii="Arial" w:eastAsia="Calibri" w:hAnsi="Arial" w:cs="Arial"/>
          <w:sz w:val="22"/>
        </w:rPr>
        <w:t>«</w:t>
      </w:r>
      <w:r>
        <w:rPr>
          <w:rFonts w:ascii="Arial" w:hAnsi="Arial" w:cs="Arial"/>
          <w:sz w:val="22"/>
        </w:rPr>
        <w:t>experiencia específica</w:t>
      </w:r>
      <w:r>
        <w:rPr>
          <w:rFonts w:ascii="Arial" w:eastAsia="Calibri" w:hAnsi="Arial" w:cs="Arial"/>
          <w:sz w:val="22"/>
        </w:rPr>
        <w:t>»</w:t>
      </w:r>
      <w:r>
        <w:rPr>
          <w:rFonts w:ascii="Arial" w:hAnsi="Arial" w:cs="Arial"/>
          <w:sz w:val="22"/>
        </w:rPr>
        <w:t xml:space="preserve">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 ni tampoco podrá alterar los requisitos allí establecidos. </w:t>
      </w:r>
    </w:p>
    <w:p w14:paraId="01474DDD" w14:textId="11592D22" w:rsidR="00FD2E39" w:rsidRDefault="00FD2E39" w:rsidP="00FD2E39">
      <w:pPr>
        <w:spacing w:before="120" w:line="276" w:lineRule="auto"/>
        <w:ind w:firstLine="709"/>
        <w:jc w:val="both"/>
        <w:rPr>
          <w:rFonts w:ascii="Arial" w:hAnsi="Arial" w:cs="Arial"/>
          <w:sz w:val="22"/>
        </w:rPr>
      </w:pPr>
      <w:r>
        <w:rPr>
          <w:rFonts w:ascii="Arial" w:hAnsi="Arial" w:cs="Arial"/>
          <w:sz w:val="22"/>
        </w:rPr>
        <w:t xml:space="preserve">Ahora bien, dentro de los requisitos de </w:t>
      </w:r>
      <w:r w:rsidR="004017A2">
        <w:rPr>
          <w:rFonts w:ascii="Arial" w:eastAsia="Calibri" w:hAnsi="Arial" w:cs="Arial"/>
          <w:sz w:val="22"/>
        </w:rPr>
        <w:t>«</w:t>
      </w:r>
      <w:r w:rsidR="004017A2">
        <w:rPr>
          <w:rFonts w:ascii="Arial" w:hAnsi="Arial" w:cs="Arial"/>
          <w:sz w:val="22"/>
        </w:rPr>
        <w:t>experiencia general</w:t>
      </w:r>
      <w:r w:rsidR="004017A2">
        <w:rPr>
          <w:rFonts w:ascii="Arial" w:eastAsia="Calibri" w:hAnsi="Arial" w:cs="Arial"/>
          <w:sz w:val="22"/>
        </w:rPr>
        <w:t>»</w:t>
      </w:r>
      <w:r w:rsidR="004017A2">
        <w:rPr>
          <w:rFonts w:ascii="Arial" w:hAnsi="Arial" w:cs="Arial"/>
          <w:sz w:val="22"/>
        </w:rPr>
        <w:t xml:space="preserve"> </w:t>
      </w:r>
      <w:r>
        <w:rPr>
          <w:rFonts w:ascii="Arial" w:hAnsi="Arial" w:cs="Arial"/>
          <w:sz w:val="22"/>
        </w:rPr>
        <w:t xml:space="preserve">establecidos en la Matriz 1 para la actividad </w:t>
      </w:r>
      <w:r>
        <w:rPr>
          <w:rFonts w:ascii="Arial" w:eastAsia="Calibri" w:hAnsi="Arial" w:cs="Arial"/>
          <w:sz w:val="22"/>
        </w:rPr>
        <w:t>«</w:t>
      </w:r>
      <w:r w:rsidR="004017A2" w:rsidRPr="00EA5E70">
        <w:rPr>
          <w:rFonts w:ascii="Arial" w:hAnsi="Arial" w:cs="Arial"/>
          <w:sz w:val="22"/>
        </w:rPr>
        <w:t>2.2 MEJORAMIENTO EN VÍAS TERCIARIAS</w:t>
      </w:r>
      <w:r>
        <w:rPr>
          <w:rFonts w:ascii="Arial" w:hAnsi="Arial" w:cs="Arial"/>
          <w:sz w:val="22"/>
        </w:rPr>
        <w:t>», se hace referencia a l</w:t>
      </w:r>
      <w:r w:rsidR="004017A2">
        <w:rPr>
          <w:rFonts w:ascii="Arial" w:hAnsi="Arial" w:cs="Arial"/>
          <w:sz w:val="22"/>
        </w:rPr>
        <w:t>os materiales</w:t>
      </w:r>
      <w:r>
        <w:rPr>
          <w:rFonts w:ascii="Arial" w:hAnsi="Arial" w:cs="Arial"/>
          <w:sz w:val="22"/>
        </w:rPr>
        <w:t xml:space="preserve"> «</w:t>
      </w:r>
      <w:r w:rsidR="004017A2" w:rsidRPr="00EA5E70">
        <w:rPr>
          <w:rFonts w:ascii="Arial" w:eastAsia="Calibri" w:hAnsi="Arial" w:cs="Arial"/>
          <w:sz w:val="22"/>
        </w:rPr>
        <w:t>pavimento asf</w:t>
      </w:r>
      <w:r w:rsidR="004017A2">
        <w:rPr>
          <w:rFonts w:ascii="Arial" w:eastAsia="Calibri" w:hAnsi="Arial" w:cs="Arial"/>
          <w:sz w:val="22"/>
        </w:rPr>
        <w:t>á</w:t>
      </w:r>
      <w:r w:rsidR="004017A2" w:rsidRPr="00EA5E70">
        <w:rPr>
          <w:rFonts w:ascii="Arial" w:eastAsia="Calibri" w:hAnsi="Arial" w:cs="Arial"/>
          <w:sz w:val="22"/>
        </w:rPr>
        <w:t>ltico o concreto hidráulico o placa huella</w:t>
      </w:r>
      <w:r>
        <w:rPr>
          <w:rFonts w:ascii="Arial" w:hAnsi="Arial" w:cs="Arial"/>
          <w:sz w:val="22"/>
        </w:rPr>
        <w:t xml:space="preserve">», lo </w:t>
      </w:r>
      <w:r>
        <w:rPr>
          <w:rFonts w:ascii="Arial" w:hAnsi="Arial" w:cs="Arial"/>
          <w:sz w:val="22"/>
        </w:rPr>
        <w:lastRenderedPageBreak/>
        <w:t>cual motiva la consulta que se resuelve, en la medida que se indaga en torno al</w:t>
      </w:r>
      <w:r w:rsidR="004017A2">
        <w:rPr>
          <w:rFonts w:ascii="Arial" w:hAnsi="Arial" w:cs="Arial"/>
          <w:sz w:val="22"/>
        </w:rPr>
        <w:t xml:space="preserve"> material en que se debe acreditar </w:t>
      </w:r>
      <w:r>
        <w:rPr>
          <w:rFonts w:ascii="Arial" w:hAnsi="Arial" w:cs="Arial"/>
          <w:sz w:val="22"/>
        </w:rPr>
        <w:t xml:space="preserve">el requisito de </w:t>
      </w:r>
      <w:r w:rsidR="004017A2">
        <w:rPr>
          <w:rFonts w:ascii="Arial" w:eastAsia="Calibri" w:hAnsi="Arial" w:cs="Arial"/>
          <w:sz w:val="22"/>
        </w:rPr>
        <w:t>«</w:t>
      </w:r>
      <w:r w:rsidR="004017A2">
        <w:rPr>
          <w:rFonts w:ascii="Arial" w:hAnsi="Arial" w:cs="Arial"/>
          <w:sz w:val="22"/>
        </w:rPr>
        <w:t>experiencia específica</w:t>
      </w:r>
      <w:r w:rsidR="004017A2">
        <w:rPr>
          <w:rFonts w:ascii="Arial" w:eastAsia="Calibri" w:hAnsi="Arial" w:cs="Arial"/>
          <w:sz w:val="22"/>
        </w:rPr>
        <w:t>»</w:t>
      </w:r>
      <w:r w:rsidR="004017A2">
        <w:rPr>
          <w:rFonts w:ascii="Arial" w:hAnsi="Arial" w:cs="Arial"/>
          <w:sz w:val="22"/>
        </w:rPr>
        <w:t>.</w:t>
      </w:r>
      <w:r>
        <w:rPr>
          <w:rFonts w:ascii="Arial" w:hAnsi="Arial" w:cs="Arial"/>
          <w:sz w:val="22"/>
        </w:rPr>
        <w:t xml:space="preserve"> </w:t>
      </w:r>
    </w:p>
    <w:p w14:paraId="2782CB23" w14:textId="61C89980" w:rsidR="00FD2E39" w:rsidRDefault="00FD2E39" w:rsidP="00FD2E39">
      <w:pPr>
        <w:spacing w:before="120" w:after="120" w:line="276" w:lineRule="auto"/>
        <w:ind w:firstLine="709"/>
        <w:jc w:val="both"/>
        <w:rPr>
          <w:rFonts w:ascii="Arial" w:hAnsi="Arial" w:cs="Arial"/>
          <w:sz w:val="22"/>
        </w:rPr>
      </w:pPr>
      <w:r>
        <w:rPr>
          <w:rFonts w:ascii="Arial" w:hAnsi="Arial" w:cs="Arial"/>
          <w:sz w:val="22"/>
        </w:rPr>
        <w:t>Al respecto estima esta Agencia que, en virtud del principio de inalterabilidad de los documentos tipo establecido en el artículo 2.2.1.2.6.1.4 del Decreto 1082 de 2015, l</w:t>
      </w:r>
      <w:r w:rsidR="004017A2">
        <w:rPr>
          <w:rFonts w:ascii="Arial" w:hAnsi="Arial" w:cs="Arial"/>
          <w:sz w:val="22"/>
        </w:rPr>
        <w:t>a</w:t>
      </w:r>
      <w:r>
        <w:rPr>
          <w:rFonts w:ascii="Arial" w:hAnsi="Arial" w:cs="Arial"/>
          <w:sz w:val="22"/>
        </w:rPr>
        <w:t xml:space="preserve"> limitación del requisito de </w:t>
      </w:r>
      <w:r w:rsidR="004017A2">
        <w:rPr>
          <w:rFonts w:ascii="Arial" w:eastAsia="Calibri" w:hAnsi="Arial" w:cs="Arial"/>
          <w:sz w:val="22"/>
        </w:rPr>
        <w:t>«</w:t>
      </w:r>
      <w:r w:rsidR="004017A2">
        <w:rPr>
          <w:rFonts w:ascii="Arial" w:hAnsi="Arial" w:cs="Arial"/>
          <w:sz w:val="22"/>
        </w:rPr>
        <w:t>experiencia específica</w:t>
      </w:r>
      <w:r w:rsidR="004017A2">
        <w:rPr>
          <w:rFonts w:ascii="Arial" w:eastAsia="Calibri" w:hAnsi="Arial" w:cs="Arial"/>
          <w:sz w:val="22"/>
        </w:rPr>
        <w:t>»</w:t>
      </w:r>
      <w:r>
        <w:rPr>
          <w:rFonts w:ascii="Arial" w:hAnsi="Arial" w:cs="Arial"/>
          <w:sz w:val="22"/>
        </w:rPr>
        <w:t xml:space="preserve"> no es procedente, comoquiera que supone una alteración de lo establecido en la «Matriz 1 – Experiencia», que </w:t>
      </w:r>
      <w:r w:rsidR="004017A2">
        <w:rPr>
          <w:rFonts w:ascii="Arial" w:hAnsi="Arial" w:cs="Arial"/>
          <w:sz w:val="22"/>
        </w:rPr>
        <w:t xml:space="preserve">no </w:t>
      </w:r>
      <w:r>
        <w:rPr>
          <w:rFonts w:ascii="Arial" w:hAnsi="Arial" w:cs="Arial"/>
          <w:sz w:val="22"/>
        </w:rPr>
        <w:t xml:space="preserve">contempla </w:t>
      </w:r>
      <w:r w:rsidR="004017A2">
        <w:rPr>
          <w:rFonts w:ascii="Arial" w:hAnsi="Arial" w:cs="Arial"/>
          <w:sz w:val="22"/>
        </w:rPr>
        <w:t>un tipo de material</w:t>
      </w:r>
      <w:r>
        <w:rPr>
          <w:rFonts w:ascii="Arial" w:hAnsi="Arial" w:cs="Arial"/>
          <w:sz w:val="22"/>
        </w:rPr>
        <w:t>, excluyendo la posibilidad de que las entidades puedan decantarse por alguno de ellos.</w:t>
      </w:r>
    </w:p>
    <w:p w14:paraId="5FB7CBDD" w14:textId="77777777" w:rsidR="00FD2E39" w:rsidRDefault="00FD2E39" w:rsidP="00FD2E39">
      <w:pPr>
        <w:pStyle w:val="Textoindependiente"/>
        <w:spacing w:before="120" w:after="120" w:line="276" w:lineRule="auto"/>
        <w:ind w:right="51" w:firstLine="709"/>
        <w:jc w:val="both"/>
      </w:pPr>
      <w:r>
        <w:t>Así lo explicó esta Agencia en el radicado No. 2201913000006640 del 9 de septiembre 2019, al expresar «Cuando la entidad estatal de acuerdo con el alcance del objeto contractual ha identificado el tipo de infraestructura, la actividad a contratar y la cuantía del proceso de contratación, debe determinar la “experiencia general” y la “experiencia específica” con base en la “Matriz 1 – Experiencia”, de acuerdo con la metodología previamente expuesta, dicha experiencia debe solicitarse en las condiciones allí previstas, con la descripción completa que corresponda a la experiencia general y especifica. Por lo tanto, para el caso objeto de consulta, no es posible limitar las actividades válidas para la acreditación de experiencia únicamente a “pavimento asfáltico”, se reitera, se deben solicitar todas las actividades exigidas en la “Matriz 1-</w:t>
      </w:r>
      <w:r>
        <w:rPr>
          <w:spacing w:val="-6"/>
        </w:rPr>
        <w:t xml:space="preserve"> </w:t>
      </w:r>
      <w:r>
        <w:t>Experiencia”».</w:t>
      </w:r>
    </w:p>
    <w:p w14:paraId="2914D3F0" w14:textId="4C6B0C83" w:rsidR="00FD2E39" w:rsidRDefault="00FD2E39" w:rsidP="00FD2E39">
      <w:pPr>
        <w:pStyle w:val="Textoindependiente"/>
        <w:spacing w:before="120" w:line="276" w:lineRule="auto"/>
        <w:ind w:right="51" w:firstLine="709"/>
        <w:jc w:val="both"/>
      </w:pPr>
      <w:r>
        <w:t xml:space="preserve">En ese orden, la inalterabilidad de los requisitos habilitantes estandarizados por los documentos tipo, impide que las entidades estatales al valerse de ellos para la configuración de sus pliegos de condiciones alteren, modifiquen o jueguen con lo establecido en la «Matriz 1 – Experiencia», lo que significa que tampoco podrán limitar el contenido o alcance de los requisitos, ya que ello supondría la alteración de estos, lo cual precisamente es una de las conductas proscritas por el referido principio de inalterabilidad. Conforme a esto, permitir la posibilidad de que se excluya uno de los tipos de </w:t>
      </w:r>
      <w:r w:rsidR="004017A2">
        <w:t>material</w:t>
      </w:r>
      <w:r>
        <w:t xml:space="preserve"> contemplados en los requisitos de </w:t>
      </w:r>
      <w:r w:rsidR="004017A2">
        <w:t>«</w:t>
      </w:r>
      <w:r>
        <w:t xml:space="preserve">experiencia </w:t>
      </w:r>
      <w:r w:rsidR="004017A2">
        <w:t>general»</w:t>
      </w:r>
      <w:r>
        <w:t xml:space="preserve"> establecidos para la actividad </w:t>
      </w:r>
      <w:r w:rsidR="004017A2">
        <w:t>2</w:t>
      </w:r>
      <w:r>
        <w:t>.</w:t>
      </w:r>
      <w:r w:rsidR="004017A2">
        <w:t xml:space="preserve">2 para acreditar la </w:t>
      </w:r>
      <w:r w:rsidR="004017A2">
        <w:rPr>
          <w:rFonts w:eastAsia="Calibri"/>
        </w:rPr>
        <w:t>«</w:t>
      </w:r>
      <w:r w:rsidR="004017A2">
        <w:t>experiencia específica</w:t>
      </w:r>
      <w:r w:rsidR="004017A2">
        <w:rPr>
          <w:rFonts w:eastAsia="Calibri"/>
        </w:rPr>
        <w:t>»</w:t>
      </w:r>
      <w:r>
        <w:t xml:space="preserve"> sería una vulneración del principio de inalterabilidad de los documentos tipo. </w:t>
      </w:r>
    </w:p>
    <w:p w14:paraId="6FD1CF85" w14:textId="77777777" w:rsidR="001357DC" w:rsidRDefault="001357DC" w:rsidP="00DC42F8">
      <w:pPr>
        <w:tabs>
          <w:tab w:val="left" w:pos="426"/>
        </w:tabs>
        <w:spacing w:line="276" w:lineRule="auto"/>
        <w:jc w:val="both"/>
        <w:rPr>
          <w:rFonts w:ascii="Arial" w:eastAsia="Calibri" w:hAnsi="Arial" w:cs="Arial"/>
          <w:b/>
          <w:sz w:val="22"/>
        </w:rPr>
      </w:pPr>
    </w:p>
    <w:p w14:paraId="47C2DD08" w14:textId="7A676F0D" w:rsidR="00DC42F8" w:rsidRPr="00BD595A" w:rsidRDefault="001357DC" w:rsidP="00DC42F8">
      <w:pPr>
        <w:tabs>
          <w:tab w:val="left" w:pos="426"/>
        </w:tabs>
        <w:spacing w:line="276" w:lineRule="auto"/>
        <w:jc w:val="both"/>
        <w:rPr>
          <w:rFonts w:ascii="Arial" w:eastAsia="Calibri" w:hAnsi="Arial" w:cs="Arial"/>
          <w:b/>
          <w:bCs/>
          <w:sz w:val="22"/>
        </w:rPr>
      </w:pPr>
      <w:r>
        <w:rPr>
          <w:rFonts w:ascii="Arial" w:eastAsia="Calibri" w:hAnsi="Arial" w:cs="Arial"/>
          <w:b/>
          <w:sz w:val="22"/>
        </w:rPr>
        <w:t xml:space="preserve">2.2 </w:t>
      </w:r>
      <w:r w:rsidR="00DC42F8" w:rsidRPr="00AC2544">
        <w:rPr>
          <w:rFonts w:ascii="Arial" w:eastAsia="Calibri" w:hAnsi="Arial" w:cs="Arial"/>
          <w:b/>
          <w:bCs/>
          <w:sz w:val="22"/>
        </w:rPr>
        <w:t>Opciones para asigna</w:t>
      </w:r>
      <w:r w:rsidR="00DC42F8">
        <w:rPr>
          <w:rFonts w:ascii="Arial" w:eastAsia="Calibri" w:hAnsi="Arial" w:cs="Arial"/>
          <w:b/>
          <w:bCs/>
          <w:sz w:val="22"/>
        </w:rPr>
        <w:t>r</w:t>
      </w:r>
      <w:r w:rsidR="00DC42F8" w:rsidRPr="00AC2544">
        <w:rPr>
          <w:rFonts w:ascii="Arial" w:eastAsia="Calibri" w:hAnsi="Arial" w:cs="Arial"/>
          <w:b/>
          <w:bCs/>
          <w:sz w:val="22"/>
        </w:rPr>
        <w:t xml:space="preserve"> puntaje por el factor de calidad establecido en los pliegos tipo</w:t>
      </w:r>
      <w:r w:rsidR="00DC42F8">
        <w:rPr>
          <w:rFonts w:ascii="Arial" w:eastAsia="Calibri" w:hAnsi="Arial" w:cs="Arial"/>
          <w:b/>
          <w:bCs/>
          <w:sz w:val="22"/>
        </w:rPr>
        <w:t>:</w:t>
      </w:r>
      <w:r w:rsidR="00DC42F8" w:rsidRPr="00E33DCF">
        <w:t xml:space="preserve"> </w:t>
      </w:r>
      <w:r w:rsidR="00DC42F8" w:rsidRPr="00E33DCF">
        <w:rPr>
          <w:rFonts w:ascii="Arial" w:eastAsia="Calibri" w:hAnsi="Arial" w:cs="Arial"/>
          <w:b/>
          <w:bCs/>
          <w:sz w:val="22"/>
        </w:rPr>
        <w:t>«Factor de Calidad – Mantenimiento adicional»</w:t>
      </w:r>
    </w:p>
    <w:p w14:paraId="19A64530" w14:textId="77777777" w:rsidR="00DC42F8" w:rsidRPr="00BD595A" w:rsidRDefault="00DC42F8" w:rsidP="00DC42F8">
      <w:pPr>
        <w:spacing w:line="276" w:lineRule="auto"/>
        <w:jc w:val="both"/>
        <w:rPr>
          <w:rFonts w:ascii="Arial" w:eastAsia="Calibri" w:hAnsi="Arial" w:cs="Arial"/>
          <w:b/>
          <w:bCs/>
          <w:sz w:val="22"/>
        </w:rPr>
      </w:pPr>
    </w:p>
    <w:p w14:paraId="48737900" w14:textId="15435216" w:rsidR="00DC42F8" w:rsidRPr="00564E86" w:rsidRDefault="00DC42F8" w:rsidP="00DC42F8">
      <w:pPr>
        <w:tabs>
          <w:tab w:val="left" w:pos="426"/>
        </w:tabs>
        <w:spacing w:before="120" w:line="276" w:lineRule="auto"/>
        <w:jc w:val="both"/>
        <w:rPr>
          <w:rFonts w:ascii="Arial" w:hAnsi="Arial" w:cs="Arial"/>
          <w:color w:val="000000" w:themeColor="text1"/>
          <w:sz w:val="22"/>
        </w:rPr>
      </w:pPr>
      <w:r w:rsidRPr="00564E86">
        <w:rPr>
          <w:rFonts w:ascii="Arial" w:hAnsi="Arial" w:cs="Arial"/>
          <w:color w:val="000000" w:themeColor="text1"/>
          <w:sz w:val="22"/>
        </w:rPr>
        <w:t xml:space="preserve">En relación con el «factor de calidad», es preciso aclarar que los </w:t>
      </w:r>
      <w:r w:rsidR="009E55FC" w:rsidRPr="00564E86">
        <w:rPr>
          <w:rFonts w:ascii="Arial" w:hAnsi="Arial" w:cs="Arial"/>
          <w:color w:val="000000" w:themeColor="text1"/>
          <w:sz w:val="22"/>
        </w:rPr>
        <w:t>documentos tipo</w:t>
      </w:r>
      <w:r w:rsidRPr="00564E86">
        <w:rPr>
          <w:rFonts w:ascii="Arial" w:hAnsi="Arial" w:cs="Arial"/>
          <w:color w:val="000000" w:themeColor="text1"/>
          <w:sz w:val="22"/>
        </w:rPr>
        <w:t xml:space="preserve"> conservan los tres factores existentes en la Versión 1 de licitación pública, e incluyen como nuevas opciones que podrá </w:t>
      </w:r>
      <w:r>
        <w:rPr>
          <w:rFonts w:ascii="Arial" w:hAnsi="Arial" w:cs="Arial"/>
          <w:color w:val="000000" w:themeColor="text1"/>
          <w:sz w:val="22"/>
        </w:rPr>
        <w:t>elegir</w:t>
      </w:r>
      <w:r w:rsidRPr="00564E86">
        <w:rPr>
          <w:rFonts w:ascii="Arial" w:hAnsi="Arial" w:cs="Arial"/>
          <w:color w:val="000000" w:themeColor="text1"/>
          <w:sz w:val="22"/>
        </w:rPr>
        <w:t xml:space="preserve"> la </w:t>
      </w:r>
      <w:r>
        <w:rPr>
          <w:rFonts w:ascii="Arial" w:hAnsi="Arial" w:cs="Arial"/>
          <w:color w:val="000000" w:themeColor="text1"/>
          <w:sz w:val="22"/>
        </w:rPr>
        <w:t>e</w:t>
      </w:r>
      <w:r w:rsidRPr="00564E86">
        <w:rPr>
          <w:rFonts w:ascii="Arial" w:hAnsi="Arial" w:cs="Arial"/>
          <w:color w:val="000000" w:themeColor="text1"/>
          <w:sz w:val="22"/>
        </w:rPr>
        <w:t>ntidad: i) la presentación de una garantía adicional o suplementaria, ii) cuadrillas de trabajo adicional a costo y riesgo del contratista y iii) el mantenimiento rutinario adicional por cuenta del contratista.</w:t>
      </w:r>
    </w:p>
    <w:p w14:paraId="10F5E386" w14:textId="77777777" w:rsidR="00DC42F8" w:rsidRPr="00564E86" w:rsidRDefault="00DC42F8" w:rsidP="00DC42F8">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lastRenderedPageBreak/>
        <w:t>Frente a los nuevos factores es importante resaltar que los Documentos señalan que «</w:t>
      </w:r>
      <w:r w:rsidRPr="00FF631E">
        <w:rPr>
          <w:rFonts w:ascii="Arial" w:hAnsi="Arial" w:cs="Arial"/>
          <w:color w:val="000000" w:themeColor="text1"/>
          <w:sz w:val="22"/>
        </w:rPr>
        <w:t>De acuerdo con las características del objeto a contratar y con el principio de proporcionalidad y razonabilidad la Entidad debe elegir una o varias de las opciones previstas para otorgar el puntaje del factor de calidad</w:t>
      </w:r>
      <w:r>
        <w:rPr>
          <w:rFonts w:ascii="Arial" w:hAnsi="Arial" w:cs="Arial"/>
          <w:color w:val="000000" w:themeColor="text1"/>
          <w:sz w:val="22"/>
        </w:rPr>
        <w:t xml:space="preserve"> […]</w:t>
      </w:r>
      <w:r w:rsidRPr="00564E86">
        <w:rPr>
          <w:rFonts w:ascii="Arial" w:hAnsi="Arial" w:cs="Arial"/>
          <w:color w:val="000000" w:themeColor="text1"/>
          <w:sz w:val="22"/>
        </w:rPr>
        <w:t>». En este sentido, la entidad debe valorar, frente a su necesidad y a los principios mencionados, cuándo este factor resulta pertinente para asegurar mejor calidad en la obra pública contratada</w:t>
      </w:r>
      <w:r>
        <w:rPr>
          <w:rFonts w:ascii="Arial" w:hAnsi="Arial" w:cs="Arial"/>
          <w:color w:val="000000" w:themeColor="text1"/>
          <w:sz w:val="22"/>
        </w:rPr>
        <w:t>, atendiendo a las particularidades de cada proyecto</w:t>
      </w:r>
      <w:r w:rsidRPr="00564E86">
        <w:rPr>
          <w:rFonts w:ascii="Arial" w:hAnsi="Arial" w:cs="Arial"/>
          <w:color w:val="000000" w:themeColor="text1"/>
          <w:sz w:val="22"/>
        </w:rPr>
        <w:t xml:space="preserve"> y, en todo caso, únicamente podrá exigir la acreditación de máximo tres de ellos, lo cual conserva el tope establecido en la </w:t>
      </w:r>
      <w:r>
        <w:rPr>
          <w:rFonts w:ascii="Arial" w:hAnsi="Arial" w:cs="Arial"/>
          <w:color w:val="000000" w:themeColor="text1"/>
          <w:sz w:val="22"/>
        </w:rPr>
        <w:t>V</w:t>
      </w:r>
      <w:r w:rsidRPr="00564E86">
        <w:rPr>
          <w:rFonts w:ascii="Arial" w:hAnsi="Arial" w:cs="Arial"/>
          <w:color w:val="000000" w:themeColor="text1"/>
          <w:sz w:val="22"/>
        </w:rPr>
        <w:t>ersión 1 de los Documentos.</w:t>
      </w:r>
    </w:p>
    <w:p w14:paraId="44263C15" w14:textId="001AAA8B" w:rsidR="00DC42F8" w:rsidRPr="00564E86" w:rsidRDefault="00DC42F8" w:rsidP="00DC42F8">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Adicionalmente, esta versión de los </w:t>
      </w:r>
      <w:r w:rsidR="00702E02" w:rsidRPr="00564E86">
        <w:rPr>
          <w:rFonts w:ascii="Arial" w:hAnsi="Arial" w:cs="Arial"/>
          <w:color w:val="000000" w:themeColor="text1"/>
          <w:sz w:val="22"/>
        </w:rPr>
        <w:t xml:space="preserve">documentos tipo </w:t>
      </w:r>
      <w:r w:rsidRPr="00564E86">
        <w:rPr>
          <w:rFonts w:ascii="Arial" w:hAnsi="Arial" w:cs="Arial"/>
          <w:color w:val="000000" w:themeColor="text1"/>
          <w:sz w:val="22"/>
        </w:rPr>
        <w:t>conserva el puntaje establecido para el factor de calidad en la Versión 1, de modo que no se alteró el total de</w:t>
      </w:r>
      <w:r>
        <w:rPr>
          <w:rFonts w:ascii="Arial" w:hAnsi="Arial" w:cs="Arial"/>
          <w:color w:val="000000" w:themeColor="text1"/>
          <w:sz w:val="22"/>
        </w:rPr>
        <w:t xml:space="preserve"> los</w:t>
      </w:r>
      <w:r w:rsidRPr="00564E86">
        <w:rPr>
          <w:rFonts w:ascii="Arial" w:hAnsi="Arial" w:cs="Arial"/>
          <w:color w:val="000000" w:themeColor="text1"/>
          <w:sz w:val="22"/>
        </w:rPr>
        <w:t xml:space="preserve"> 19 puntos que puede otorgar la entidad por </w:t>
      </w:r>
      <w:r>
        <w:rPr>
          <w:rFonts w:ascii="Arial" w:hAnsi="Arial" w:cs="Arial"/>
          <w:color w:val="000000" w:themeColor="text1"/>
          <w:sz w:val="22"/>
        </w:rPr>
        <w:t>este criterio de evaluación</w:t>
      </w:r>
      <w:r w:rsidRPr="00564E86">
        <w:rPr>
          <w:rFonts w:ascii="Arial" w:eastAsia="Calibri" w:hAnsi="Arial" w:cs="Arial"/>
          <w:color w:val="000000" w:themeColor="text1"/>
          <w:lang w:val="es-ES"/>
        </w:rPr>
        <w:t xml:space="preserve">. </w:t>
      </w:r>
      <w:r w:rsidRPr="00564E86">
        <w:rPr>
          <w:rFonts w:ascii="Arial" w:hAnsi="Arial" w:cs="Arial"/>
          <w:color w:val="000000" w:themeColor="text1"/>
          <w:sz w:val="22"/>
        </w:rPr>
        <w:t xml:space="preserve">A continuación, se explicará </w:t>
      </w:r>
      <w:r>
        <w:rPr>
          <w:rFonts w:ascii="Arial" w:hAnsi="Arial" w:cs="Arial"/>
          <w:color w:val="000000" w:themeColor="text1"/>
          <w:sz w:val="22"/>
        </w:rPr>
        <w:t>el</w:t>
      </w:r>
      <w:r w:rsidRPr="00564E86">
        <w:rPr>
          <w:rFonts w:ascii="Arial" w:hAnsi="Arial" w:cs="Arial"/>
          <w:color w:val="000000" w:themeColor="text1"/>
          <w:sz w:val="22"/>
        </w:rPr>
        <w:t xml:space="preserve"> factor</w:t>
      </w:r>
      <w:r>
        <w:rPr>
          <w:rFonts w:ascii="Arial" w:hAnsi="Arial" w:cs="Arial"/>
          <w:color w:val="000000" w:themeColor="text1"/>
          <w:sz w:val="22"/>
        </w:rPr>
        <w:t xml:space="preserve"> relacionado con el mantenimiento adicional, por ser el objeto de su consulta</w:t>
      </w:r>
      <w:r w:rsidRPr="00564E86">
        <w:rPr>
          <w:rFonts w:ascii="Arial" w:hAnsi="Arial" w:cs="Arial"/>
          <w:color w:val="000000" w:themeColor="text1"/>
          <w:sz w:val="22"/>
        </w:rPr>
        <w:t xml:space="preserve">. </w:t>
      </w:r>
    </w:p>
    <w:p w14:paraId="09DBD882" w14:textId="77777777" w:rsidR="00DC42F8" w:rsidRPr="00564E86" w:rsidRDefault="00DC42F8" w:rsidP="00DC42F8">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w:t>
      </w:r>
      <w:r w:rsidRPr="00564E86">
        <w:rPr>
          <w:rFonts w:ascii="Arial" w:hAnsi="Arial" w:cs="Arial"/>
          <w:color w:val="000000" w:themeColor="text1"/>
          <w:sz w:val="22"/>
        </w:rPr>
        <w:t xml:space="preserve">l «Factor de Calidad </w:t>
      </w:r>
      <w:r>
        <w:rPr>
          <w:rFonts w:ascii="Arial" w:hAnsi="Arial" w:cs="Arial"/>
          <w:color w:val="000000" w:themeColor="text1"/>
          <w:sz w:val="22"/>
        </w:rPr>
        <w:t>–</w:t>
      </w:r>
      <w:r w:rsidRPr="00564E86">
        <w:rPr>
          <w:rFonts w:ascii="Arial" w:hAnsi="Arial" w:cs="Arial"/>
          <w:color w:val="000000" w:themeColor="text1"/>
          <w:sz w:val="22"/>
        </w:rPr>
        <w:t xml:space="preserve"> Mantenimiento adicional» tiene como objeto mejorar la calidad de la obra, ya que se garantiza un mantenimiento rutinario, situación que otorga beneficios a las </w:t>
      </w:r>
      <w:r>
        <w:rPr>
          <w:rFonts w:ascii="Arial" w:hAnsi="Arial" w:cs="Arial"/>
          <w:color w:val="000000" w:themeColor="text1"/>
          <w:sz w:val="22"/>
        </w:rPr>
        <w:t>e</w:t>
      </w:r>
      <w:r w:rsidRPr="00564E86">
        <w:rPr>
          <w:rFonts w:ascii="Arial" w:hAnsi="Arial" w:cs="Arial"/>
          <w:color w:val="000000" w:themeColor="text1"/>
          <w:sz w:val="22"/>
        </w:rPr>
        <w:t xml:space="preserve">ntidades y a la ciudadanía en cuanto a la durabilidad de las condiciones de la infraestructura de transporte. Ahora, el </w:t>
      </w:r>
      <w:r>
        <w:rPr>
          <w:rFonts w:ascii="Arial" w:hAnsi="Arial" w:cs="Arial"/>
          <w:color w:val="000000" w:themeColor="text1"/>
          <w:sz w:val="22"/>
        </w:rPr>
        <w:t>p</w:t>
      </w:r>
      <w:r w:rsidRPr="00564E86">
        <w:rPr>
          <w:rFonts w:ascii="Arial" w:hAnsi="Arial" w:cs="Arial"/>
          <w:color w:val="000000" w:themeColor="text1"/>
          <w:sz w:val="22"/>
        </w:rPr>
        <w:t xml:space="preserve">roponente ofertará el número de meses durante los cuales se compromete a realizar por su propia cuenta y riesgo las labores de mantenimiento rutinario de la obra construida. El término ofertado será contado a partir de la terminación de las obras objeto del </w:t>
      </w:r>
      <w:r>
        <w:rPr>
          <w:rFonts w:ascii="Arial" w:hAnsi="Arial" w:cs="Arial"/>
          <w:color w:val="000000" w:themeColor="text1"/>
          <w:sz w:val="22"/>
        </w:rPr>
        <w:t>p</w:t>
      </w:r>
      <w:r w:rsidRPr="00564E86">
        <w:rPr>
          <w:rFonts w:ascii="Arial" w:hAnsi="Arial" w:cs="Arial"/>
          <w:color w:val="000000" w:themeColor="text1"/>
          <w:sz w:val="22"/>
        </w:rPr>
        <w:t>roce</w:t>
      </w:r>
      <w:r>
        <w:rPr>
          <w:rFonts w:ascii="Arial" w:hAnsi="Arial" w:cs="Arial"/>
          <w:color w:val="000000" w:themeColor="text1"/>
          <w:sz w:val="22"/>
        </w:rPr>
        <w:t>dimiento</w:t>
      </w:r>
      <w:r w:rsidRPr="00564E86">
        <w:rPr>
          <w:rFonts w:ascii="Arial" w:hAnsi="Arial" w:cs="Arial"/>
          <w:color w:val="000000" w:themeColor="text1"/>
          <w:sz w:val="22"/>
        </w:rPr>
        <w:t xml:space="preserve"> de </w:t>
      </w:r>
      <w:r>
        <w:rPr>
          <w:rFonts w:ascii="Arial" w:hAnsi="Arial" w:cs="Arial"/>
          <w:color w:val="000000" w:themeColor="text1"/>
          <w:sz w:val="22"/>
        </w:rPr>
        <w:t>c</w:t>
      </w:r>
      <w:r w:rsidRPr="00564E86">
        <w:rPr>
          <w:rFonts w:ascii="Arial" w:hAnsi="Arial" w:cs="Arial"/>
          <w:color w:val="000000" w:themeColor="text1"/>
          <w:sz w:val="22"/>
        </w:rPr>
        <w:t xml:space="preserve">ontratación. </w:t>
      </w:r>
    </w:p>
    <w:p w14:paraId="520DB5C3" w14:textId="52E1F7CF" w:rsidR="00DC42F8" w:rsidRDefault="00DC42F8" w:rsidP="00DC42F8">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Asimismo, es importante señalar que las labores ofrecidas correspond</w:t>
      </w:r>
      <w:r>
        <w:rPr>
          <w:rFonts w:ascii="Arial" w:hAnsi="Arial" w:cs="Arial"/>
          <w:color w:val="000000" w:themeColor="text1"/>
          <w:sz w:val="22"/>
        </w:rPr>
        <w:t>en</w:t>
      </w:r>
      <w:r w:rsidRPr="00564E86">
        <w:rPr>
          <w:rFonts w:ascii="Arial" w:hAnsi="Arial" w:cs="Arial"/>
          <w:color w:val="000000" w:themeColor="text1"/>
          <w:sz w:val="22"/>
        </w:rPr>
        <w:t xml:space="preserve"> a mantenimientos rutinarios que no estén relacionados con la estabilidad y calidad de las obras, y la </w:t>
      </w:r>
      <w:r>
        <w:rPr>
          <w:rFonts w:ascii="Arial" w:hAnsi="Arial" w:cs="Arial"/>
          <w:color w:val="000000" w:themeColor="text1"/>
          <w:sz w:val="22"/>
        </w:rPr>
        <w:t>e</w:t>
      </w:r>
      <w:r w:rsidRPr="00564E86">
        <w:rPr>
          <w:rFonts w:ascii="Arial" w:hAnsi="Arial" w:cs="Arial"/>
          <w:color w:val="000000" w:themeColor="text1"/>
          <w:sz w:val="22"/>
        </w:rPr>
        <w:t xml:space="preserve">ntidad determinará la forma para llevar a cabo el seguimiento de las labores ofertadas durante la ejecución del contrato. </w:t>
      </w:r>
      <w:r>
        <w:rPr>
          <w:rFonts w:ascii="Arial" w:hAnsi="Arial" w:cs="Arial"/>
          <w:color w:val="000000" w:themeColor="text1"/>
          <w:sz w:val="22"/>
        </w:rPr>
        <w:t>P</w:t>
      </w:r>
      <w:r w:rsidRPr="00564E86">
        <w:rPr>
          <w:rFonts w:ascii="Arial" w:hAnsi="Arial" w:cs="Arial"/>
          <w:color w:val="000000" w:themeColor="text1"/>
          <w:sz w:val="22"/>
        </w:rPr>
        <w:t xml:space="preserve">ara </w:t>
      </w:r>
      <w:r>
        <w:rPr>
          <w:rFonts w:ascii="Arial" w:hAnsi="Arial" w:cs="Arial"/>
          <w:color w:val="000000" w:themeColor="text1"/>
          <w:sz w:val="22"/>
        </w:rPr>
        <w:t xml:space="preserve">otorgar el </w:t>
      </w:r>
      <w:r w:rsidRPr="00564E86">
        <w:rPr>
          <w:rFonts w:ascii="Arial" w:hAnsi="Arial" w:cs="Arial"/>
          <w:color w:val="000000" w:themeColor="text1"/>
          <w:sz w:val="22"/>
        </w:rPr>
        <w:t xml:space="preserve">puntaje basta </w:t>
      </w:r>
      <w:r>
        <w:rPr>
          <w:rFonts w:ascii="Arial" w:hAnsi="Arial" w:cs="Arial"/>
          <w:color w:val="000000" w:themeColor="text1"/>
          <w:sz w:val="22"/>
        </w:rPr>
        <w:t>con</w:t>
      </w:r>
      <w:r w:rsidRPr="00564E86">
        <w:rPr>
          <w:rFonts w:ascii="Arial" w:hAnsi="Arial" w:cs="Arial"/>
          <w:color w:val="000000" w:themeColor="text1"/>
          <w:sz w:val="22"/>
        </w:rPr>
        <w:t xml:space="preserve"> diligencia</w:t>
      </w:r>
      <w:r>
        <w:rPr>
          <w:rFonts w:ascii="Arial" w:hAnsi="Arial" w:cs="Arial"/>
          <w:color w:val="000000" w:themeColor="text1"/>
          <w:sz w:val="22"/>
        </w:rPr>
        <w:t>r</w:t>
      </w:r>
      <w:r w:rsidRPr="00564E86">
        <w:rPr>
          <w:rFonts w:ascii="Arial" w:hAnsi="Arial" w:cs="Arial"/>
          <w:color w:val="000000" w:themeColor="text1"/>
          <w:sz w:val="22"/>
        </w:rPr>
        <w:t xml:space="preserve"> el «Formato 7D – Garantía Suplementaria o Adicional», «Formato 7E – Cuadrillas de trabajo adicional» o el «Formato 7F – Mantenimiento adicional»</w:t>
      </w:r>
      <w:r>
        <w:rPr>
          <w:rFonts w:ascii="Arial" w:hAnsi="Arial" w:cs="Arial"/>
          <w:color w:val="000000" w:themeColor="text1"/>
          <w:sz w:val="22"/>
        </w:rPr>
        <w:t>, dependiendo de los criterios de evaluación seleccionados por la entidad. En efecto, al diligenciarlos el</w:t>
      </w:r>
      <w:r w:rsidRPr="00564E86">
        <w:rPr>
          <w:rFonts w:ascii="Arial" w:hAnsi="Arial" w:cs="Arial"/>
          <w:color w:val="000000" w:themeColor="text1"/>
          <w:sz w:val="22"/>
        </w:rPr>
        <w:t xml:space="preserve"> proponente </w:t>
      </w:r>
      <w:r>
        <w:rPr>
          <w:rFonts w:ascii="Arial" w:hAnsi="Arial" w:cs="Arial"/>
          <w:color w:val="000000" w:themeColor="text1"/>
          <w:sz w:val="22"/>
        </w:rPr>
        <w:t xml:space="preserve">indica </w:t>
      </w:r>
      <w:r w:rsidRPr="00564E86">
        <w:rPr>
          <w:rFonts w:ascii="Arial" w:hAnsi="Arial" w:cs="Arial"/>
          <w:color w:val="000000" w:themeColor="text1"/>
          <w:sz w:val="22"/>
        </w:rPr>
        <w:t xml:space="preserve">bajo la gravedad de juramento cuál es el compromiso que asume, ya sea el tiempo de garantía adicional, el número de </w:t>
      </w:r>
      <w:r>
        <w:rPr>
          <w:rFonts w:ascii="Arial" w:hAnsi="Arial" w:cs="Arial"/>
          <w:color w:val="000000" w:themeColor="text1"/>
          <w:sz w:val="22"/>
        </w:rPr>
        <w:t>c</w:t>
      </w:r>
      <w:r w:rsidRPr="00564E86">
        <w:rPr>
          <w:rFonts w:ascii="Arial" w:hAnsi="Arial" w:cs="Arial"/>
          <w:color w:val="000000" w:themeColor="text1"/>
          <w:sz w:val="22"/>
        </w:rPr>
        <w:t xml:space="preserve">uadrillas de </w:t>
      </w:r>
      <w:r>
        <w:rPr>
          <w:rFonts w:ascii="Arial" w:hAnsi="Arial" w:cs="Arial"/>
          <w:color w:val="000000" w:themeColor="text1"/>
          <w:sz w:val="22"/>
        </w:rPr>
        <w:t>t</w:t>
      </w:r>
      <w:r w:rsidRPr="00564E86">
        <w:rPr>
          <w:rFonts w:ascii="Arial" w:hAnsi="Arial" w:cs="Arial"/>
          <w:color w:val="000000" w:themeColor="text1"/>
          <w:sz w:val="22"/>
        </w:rPr>
        <w:t xml:space="preserve">rabajo </w:t>
      </w:r>
      <w:r>
        <w:rPr>
          <w:rFonts w:ascii="Arial" w:hAnsi="Arial" w:cs="Arial"/>
          <w:color w:val="000000" w:themeColor="text1"/>
          <w:sz w:val="22"/>
        </w:rPr>
        <w:t>a</w:t>
      </w:r>
      <w:r w:rsidRPr="00564E86">
        <w:rPr>
          <w:rFonts w:ascii="Arial" w:hAnsi="Arial" w:cs="Arial"/>
          <w:color w:val="000000" w:themeColor="text1"/>
          <w:sz w:val="22"/>
        </w:rPr>
        <w:t xml:space="preserve">dicional o el tiempo </w:t>
      </w:r>
      <w:r>
        <w:rPr>
          <w:rFonts w:ascii="Arial" w:hAnsi="Arial" w:cs="Arial"/>
          <w:color w:val="000000" w:themeColor="text1"/>
          <w:sz w:val="22"/>
        </w:rPr>
        <w:t xml:space="preserve">por el </w:t>
      </w:r>
      <w:r w:rsidRPr="00564E86">
        <w:rPr>
          <w:rFonts w:ascii="Arial" w:hAnsi="Arial" w:cs="Arial"/>
          <w:color w:val="000000" w:themeColor="text1"/>
          <w:sz w:val="22"/>
        </w:rPr>
        <w:t>que realizará el mantenimiento rutinario.</w:t>
      </w:r>
    </w:p>
    <w:p w14:paraId="41ECB40A" w14:textId="472BA00A" w:rsidR="00EF2017" w:rsidRPr="00564E86" w:rsidRDefault="00EF2017">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En esta medida, d</w:t>
      </w:r>
      <w:r w:rsidRPr="00EF2017">
        <w:rPr>
          <w:rFonts w:ascii="Arial" w:hAnsi="Arial" w:cs="Arial"/>
          <w:color w:val="000000" w:themeColor="text1"/>
          <w:sz w:val="22"/>
        </w:rPr>
        <w:t xml:space="preserve">e acuerdo al documento base implementado por la Resolución No. 045 de 2020, el puntaje otorgado por este factor de calidad depende del ofrecimiento que realice cada proponente en sus ofertas, de acuerdo con sus capacidades y competitividad. En este sentido, el mayor puntaje lo recibirá aquel oferente que se comprometa a realizar durante un plazo mayor labores de mantenimiento rutinario después de la terminación de las obras objeto del proceso de contratación. En otras palabras, la entidad no puede fijar discrecionalmente un número de meses que den lugar a otorgar el puntaje por mantenimiento adicional, sino que depende del proponente ofertar el tiempo de </w:t>
      </w:r>
      <w:r w:rsidRPr="00EF2017">
        <w:rPr>
          <w:rFonts w:ascii="Arial" w:hAnsi="Arial" w:cs="Arial"/>
          <w:color w:val="000000" w:themeColor="text1"/>
          <w:sz w:val="22"/>
        </w:rPr>
        <w:lastRenderedPageBreak/>
        <w:t>mantenimiento adicional que está en capacidad de ofrecer, lo cual reduce el riesgo de direccionamiento, fomenta la competencia e incrementa las condiciones de calidad para la entidad.</w:t>
      </w:r>
    </w:p>
    <w:p w14:paraId="7302DF11" w14:textId="2F7A330C" w:rsidR="00DC42F8" w:rsidRDefault="00DC42F8" w:rsidP="00DC42F8">
      <w:pPr>
        <w:tabs>
          <w:tab w:val="left" w:pos="709"/>
        </w:tabs>
        <w:spacing w:before="120" w:line="276" w:lineRule="auto"/>
        <w:jc w:val="both"/>
        <w:rPr>
          <w:rFonts w:ascii="Arial" w:hAnsi="Arial" w:cs="Arial"/>
          <w:sz w:val="22"/>
        </w:rPr>
      </w:pPr>
      <w:r w:rsidRPr="00564E86">
        <w:rPr>
          <w:rFonts w:ascii="Arial" w:hAnsi="Arial" w:cs="Arial"/>
          <w:color w:val="000000" w:themeColor="text1"/>
          <w:sz w:val="22"/>
        </w:rPr>
        <w:tab/>
      </w:r>
      <w:r w:rsidR="00EF2017">
        <w:rPr>
          <w:rFonts w:ascii="Arial" w:hAnsi="Arial" w:cs="Arial"/>
          <w:color w:val="000000" w:themeColor="text1"/>
          <w:sz w:val="22"/>
        </w:rPr>
        <w:t xml:space="preserve">No obstante, </w:t>
      </w:r>
      <w:r>
        <w:rPr>
          <w:rFonts w:ascii="Arial" w:hAnsi="Arial" w:cs="Arial"/>
          <w:color w:val="000000" w:themeColor="text1"/>
          <w:sz w:val="22"/>
        </w:rPr>
        <w:t xml:space="preserve">se debe tener en cuenta que mediante Resolución No. 116 del 21 de julio de 2020, Colombia Compra Eficiente, en cumplimiento de su deber </w:t>
      </w:r>
      <w:r>
        <w:rPr>
          <w:rFonts w:ascii="Arial" w:hAnsi="Arial" w:cs="Arial"/>
          <w:sz w:val="22"/>
        </w:rPr>
        <w:t xml:space="preserve">de revisar periódicamente el contenido de los </w:t>
      </w:r>
      <w:r w:rsidR="009E55FC">
        <w:rPr>
          <w:rFonts w:ascii="Arial" w:hAnsi="Arial" w:cs="Arial"/>
          <w:sz w:val="22"/>
        </w:rPr>
        <w:t>documentos tipo</w:t>
      </w:r>
      <w:r>
        <w:rPr>
          <w:rFonts w:ascii="Arial" w:hAnsi="Arial" w:cs="Arial"/>
          <w:sz w:val="22"/>
        </w:rPr>
        <w:t xml:space="preserve">, con el fin de adaptarlos a la realidad de la contratación del país, modificó los factores de calidad de los </w:t>
      </w:r>
      <w:r w:rsidR="009E55FC">
        <w:rPr>
          <w:rFonts w:ascii="Arial" w:hAnsi="Arial" w:cs="Arial"/>
          <w:sz w:val="22"/>
        </w:rPr>
        <w:t xml:space="preserve">documentos tipo </w:t>
      </w:r>
      <w:r>
        <w:rPr>
          <w:rFonts w:ascii="Arial" w:hAnsi="Arial" w:cs="Arial"/>
          <w:sz w:val="22"/>
        </w:rPr>
        <w:t xml:space="preserve">para selección abreviada de menor cuantía y licitación pública Versión 2. Respecto del mantenimiento adicional, la modificación consiste en que la entidad debe establecer un límite al ofrecimiento del proponente entre el «[…] rango: 30% y 50% </w:t>
      </w:r>
      <w:r w:rsidRPr="00EC09C8">
        <w:rPr>
          <w:rFonts w:ascii="Arial" w:hAnsi="Arial" w:cs="Arial"/>
          <w:sz w:val="22"/>
        </w:rPr>
        <w:t>del plazo</w:t>
      </w:r>
      <w:r>
        <w:rPr>
          <w:rFonts w:ascii="Arial" w:hAnsi="Arial" w:cs="Arial"/>
          <w:sz w:val="22"/>
        </w:rPr>
        <w:t xml:space="preserve"> </w:t>
      </w:r>
      <w:r w:rsidRPr="00EC09C8">
        <w:rPr>
          <w:rFonts w:ascii="Arial" w:hAnsi="Arial" w:cs="Arial"/>
          <w:sz w:val="22"/>
        </w:rPr>
        <w:t>establecido por la entidad para la garantía de estabilidad y calidad de la obra de acuerdo</w:t>
      </w:r>
      <w:r>
        <w:rPr>
          <w:rFonts w:ascii="Arial" w:hAnsi="Arial" w:cs="Arial"/>
          <w:sz w:val="22"/>
        </w:rPr>
        <w:t xml:space="preserve"> </w:t>
      </w:r>
      <w:r w:rsidRPr="00EC09C8">
        <w:rPr>
          <w:rFonts w:ascii="Arial" w:hAnsi="Arial" w:cs="Arial"/>
          <w:sz w:val="22"/>
        </w:rPr>
        <w:t>con las disposiciones del artículo 2.2.1.2.3.1.14. del Decreto 1082 de 2015</w:t>
      </w:r>
      <w:r>
        <w:rPr>
          <w:rFonts w:ascii="Arial" w:hAnsi="Arial" w:cs="Arial"/>
          <w:sz w:val="22"/>
        </w:rPr>
        <w:t xml:space="preserve"> […]».</w:t>
      </w:r>
    </w:p>
    <w:p w14:paraId="43AB5234" w14:textId="1F4D7D97" w:rsidR="00EF2017" w:rsidRPr="00564E86" w:rsidRDefault="00EF2017" w:rsidP="00DC42F8">
      <w:pPr>
        <w:tabs>
          <w:tab w:val="left" w:pos="709"/>
        </w:tabs>
        <w:spacing w:before="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Pr="00EF2017">
        <w:rPr>
          <w:rFonts w:ascii="Arial" w:eastAsia="Calibri" w:hAnsi="Arial" w:cs="Arial"/>
          <w:color w:val="000000" w:themeColor="text1"/>
          <w:sz w:val="22"/>
        </w:rPr>
        <w:t>En ese sentido, antes de la vigencia de la Resolución 116 del 21 de julio de 2020, las entidades estatales que apliquen la versión 2 del documento base para procesos de licitación pública no se encuentran facultadas para fijar topes o un número máximo de meses que den lugar al otorgamiento del puntaje, ya que como se viene sosteniendo, esto depende únicamente de los proponentes.</w:t>
      </w:r>
      <w:r w:rsidR="00105DDC">
        <w:rPr>
          <w:rFonts w:ascii="Arial" w:eastAsia="Calibri" w:hAnsi="Arial" w:cs="Arial"/>
          <w:color w:val="000000" w:themeColor="text1"/>
          <w:sz w:val="22"/>
        </w:rPr>
        <w:t xml:space="preserve"> </w:t>
      </w:r>
      <w:r w:rsidR="00644C5E">
        <w:rPr>
          <w:rFonts w:ascii="Arial" w:eastAsia="Calibri" w:hAnsi="Arial" w:cs="Arial"/>
          <w:color w:val="000000" w:themeColor="text1"/>
          <w:sz w:val="22"/>
        </w:rPr>
        <w:t>E</w:t>
      </w:r>
      <w:r w:rsidR="00105DDC">
        <w:rPr>
          <w:rFonts w:ascii="Arial" w:eastAsia="Calibri" w:hAnsi="Arial" w:cs="Arial"/>
          <w:color w:val="000000" w:themeColor="text1"/>
          <w:sz w:val="22"/>
        </w:rPr>
        <w:t xml:space="preserve">sto </w:t>
      </w:r>
      <w:r w:rsidR="00105DDC" w:rsidRPr="00105DDC">
        <w:rPr>
          <w:rFonts w:ascii="Arial" w:eastAsia="Calibri" w:hAnsi="Arial" w:cs="Arial"/>
          <w:color w:val="000000" w:themeColor="text1"/>
          <w:sz w:val="22"/>
        </w:rPr>
        <w:t xml:space="preserve">no significa que un oferente pueda realizar un ofrecimiento exagerado o artificioso con el único fin de obtener el puntaje que corresponde, pues –en el evento que resulte adjudicatario del proceso de contratación– los compromisos adquiridos se convierten </w:t>
      </w:r>
      <w:r w:rsidR="00644C5E">
        <w:rPr>
          <w:rFonts w:ascii="Arial" w:eastAsia="Calibri" w:hAnsi="Arial" w:cs="Arial"/>
          <w:color w:val="000000" w:themeColor="text1"/>
          <w:sz w:val="22"/>
        </w:rPr>
        <w:t>deberes contractuales obligatorios</w:t>
      </w:r>
      <w:r w:rsidR="00105DDC" w:rsidRPr="00105DDC">
        <w:rPr>
          <w:rFonts w:ascii="Arial" w:eastAsia="Calibri" w:hAnsi="Arial" w:cs="Arial"/>
          <w:color w:val="000000" w:themeColor="text1"/>
          <w:sz w:val="22"/>
        </w:rPr>
        <w:t>, so pena de activarse las consecuencias asociadas al incumplimiento, incluyendo el uso de facultades sancionatorias de las entidades estatales.</w:t>
      </w:r>
    </w:p>
    <w:p w14:paraId="50347839" w14:textId="7E051A03" w:rsidR="00DC42F8" w:rsidRPr="00564E86" w:rsidRDefault="00DC42F8" w:rsidP="00DC42F8">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00644C5E">
        <w:rPr>
          <w:rFonts w:ascii="Arial" w:eastAsia="Calibri" w:hAnsi="Arial" w:cs="Arial"/>
          <w:color w:val="000000" w:themeColor="text1"/>
          <w:sz w:val="22"/>
        </w:rPr>
        <w:t>Al respecto, l</w:t>
      </w:r>
      <w:r w:rsidRPr="00564E86">
        <w:rPr>
          <w:rFonts w:ascii="Arial" w:eastAsia="Calibri" w:hAnsi="Arial" w:cs="Arial"/>
          <w:color w:val="000000" w:themeColor="text1"/>
          <w:sz w:val="22"/>
        </w:rPr>
        <w:t>a Ley 1150 de 2007, en el artículo 17, establece que</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en virtud </w:t>
      </w:r>
      <w:r>
        <w:rPr>
          <w:rFonts w:ascii="Arial" w:eastAsia="Calibri" w:hAnsi="Arial" w:cs="Arial"/>
          <w:color w:val="000000" w:themeColor="text1"/>
          <w:sz w:val="22"/>
        </w:rPr>
        <w:t>del</w:t>
      </w:r>
      <w:r w:rsidRPr="00564E86">
        <w:rPr>
          <w:rFonts w:ascii="Arial" w:eastAsia="Calibri" w:hAnsi="Arial" w:cs="Arial"/>
          <w:color w:val="000000" w:themeColor="text1"/>
          <w:sz w:val="22"/>
        </w:rPr>
        <w:t xml:space="preserve"> derecho al debido proceso y del deber de control y vigilancia sobre los contratos que corresponde a las entidades sometidas al Estatuto General de Contratación de la Administración Pública, </w:t>
      </w:r>
      <w:r>
        <w:rPr>
          <w:rFonts w:ascii="Arial" w:eastAsia="Calibri" w:hAnsi="Arial" w:cs="Arial"/>
          <w:color w:val="000000" w:themeColor="text1"/>
          <w:sz w:val="22"/>
        </w:rPr>
        <w:t xml:space="preserve">estas </w:t>
      </w:r>
      <w:r w:rsidRPr="00564E86">
        <w:rPr>
          <w:rFonts w:ascii="Arial" w:eastAsia="Calibri" w:hAnsi="Arial" w:cs="Arial"/>
          <w:color w:val="000000" w:themeColor="text1"/>
          <w:sz w:val="22"/>
        </w:rPr>
        <w:t>tienen la facultad de imponer multas que hayan sido pactadas con el objeto de conminar al contratista a cumplir con sus obligaciones</w:t>
      </w:r>
      <w:r w:rsidRPr="00564E86">
        <w:rPr>
          <w:rStyle w:val="Refdenotaalpie"/>
          <w:rFonts w:ascii="Arial" w:eastAsia="Calibri" w:hAnsi="Arial" w:cs="Arial"/>
          <w:color w:val="000000" w:themeColor="text1"/>
          <w:sz w:val="22"/>
        </w:rPr>
        <w:footnoteReference w:id="1"/>
      </w:r>
      <w:r w:rsidRPr="00564E86">
        <w:rPr>
          <w:rFonts w:ascii="Arial" w:eastAsia="Calibri" w:hAnsi="Arial" w:cs="Arial"/>
          <w:color w:val="000000" w:themeColor="text1"/>
          <w:sz w:val="22"/>
        </w:rPr>
        <w:t xml:space="preserve">. En razón </w:t>
      </w:r>
      <w:r w:rsidRPr="00564E86">
        <w:rPr>
          <w:rFonts w:ascii="Arial" w:eastAsia="Calibri" w:hAnsi="Arial" w:cs="Arial"/>
          <w:color w:val="000000" w:themeColor="text1"/>
          <w:sz w:val="22"/>
        </w:rPr>
        <w:lastRenderedPageBreak/>
        <w:t>a lo anterior, en el «Anexo 5 – Minuta del Contrato», en la «</w:t>
      </w:r>
      <w:r>
        <w:rPr>
          <w:rFonts w:ascii="Arial" w:eastAsia="Calibri" w:hAnsi="Arial" w:cs="Arial"/>
          <w:color w:val="000000" w:themeColor="text1"/>
          <w:sz w:val="22"/>
        </w:rPr>
        <w:t>C</w:t>
      </w:r>
      <w:r w:rsidRPr="00564E86">
        <w:rPr>
          <w:rFonts w:ascii="Arial" w:eastAsia="Calibri" w:hAnsi="Arial" w:cs="Arial"/>
          <w:color w:val="000000" w:themeColor="text1"/>
          <w:sz w:val="22"/>
        </w:rPr>
        <w:t>láusula 15. Multas», numeral 7</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se prevé</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como uno de los contenidos de las cláusulas que las entidades pueden incorporar en sus contratos, que se</w:t>
      </w:r>
      <w:r w:rsidRPr="00564E86">
        <w:rPr>
          <w:rFonts w:ascii="Arial" w:eastAsia="Calibri" w:hAnsi="Arial" w:cs="Arial"/>
          <w:color w:val="000000" w:themeColor="text1"/>
          <w:sz w:val="22"/>
        </w:rPr>
        <w:t xml:space="preserve"> impondrá una multa por incumplir el ofrecimiento otorgado en cuanto al factor de calidad. Así se indicó en los siguientes términos:</w:t>
      </w:r>
    </w:p>
    <w:p w14:paraId="07F51607" w14:textId="77777777" w:rsidR="00DC42F8" w:rsidRPr="00564E86" w:rsidRDefault="00DC42F8" w:rsidP="008E63E8">
      <w:pPr>
        <w:tabs>
          <w:tab w:val="left" w:pos="426"/>
          <w:tab w:val="left" w:pos="7938"/>
        </w:tabs>
        <w:spacing w:line="276" w:lineRule="auto"/>
        <w:jc w:val="both"/>
        <w:rPr>
          <w:rFonts w:ascii="Arial" w:eastAsia="Calibri" w:hAnsi="Arial" w:cs="Arial"/>
          <w:color w:val="000000" w:themeColor="text1"/>
          <w:sz w:val="22"/>
        </w:rPr>
      </w:pPr>
    </w:p>
    <w:p w14:paraId="605AAC8F" w14:textId="77777777" w:rsidR="00DC42F8" w:rsidRPr="000812EC" w:rsidRDefault="00DC42F8" w:rsidP="00DC42F8">
      <w:pPr>
        <w:tabs>
          <w:tab w:val="left" w:pos="426"/>
        </w:tabs>
        <w:ind w:left="709" w:right="709"/>
        <w:jc w:val="both"/>
        <w:rPr>
          <w:rFonts w:ascii="Arial" w:eastAsia="Calibri" w:hAnsi="Arial" w:cs="Arial"/>
          <w:color w:val="000000" w:themeColor="text1"/>
          <w:sz w:val="21"/>
          <w:szCs w:val="21"/>
        </w:rPr>
      </w:pPr>
      <w:r w:rsidRPr="000812EC">
        <w:rPr>
          <w:rFonts w:ascii="Arial" w:eastAsia="Calibri" w:hAnsi="Arial" w:cs="Arial"/>
          <w:color w:val="000000" w:themeColor="text1"/>
          <w:sz w:val="21"/>
          <w:szCs w:val="21"/>
        </w:rPr>
        <w:t>CLÁUSULA 15. MULTAS</w:t>
      </w:r>
    </w:p>
    <w:p w14:paraId="119AD5A0" w14:textId="77777777" w:rsidR="00DC42F8" w:rsidRPr="00564E86" w:rsidRDefault="00DC42F8" w:rsidP="00DC42F8">
      <w:pPr>
        <w:tabs>
          <w:tab w:val="left" w:pos="426"/>
        </w:tabs>
        <w:ind w:left="709" w:right="709"/>
        <w:jc w:val="both"/>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w:t>
      </w:r>
    </w:p>
    <w:p w14:paraId="7C020F46" w14:textId="77777777" w:rsidR="00DC42F8" w:rsidRPr="00564E86" w:rsidRDefault="00DC42F8" w:rsidP="00DC42F8">
      <w:pPr>
        <w:ind w:left="709" w:right="709"/>
        <w:jc w:val="both"/>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Si durante la ejecución del Contrato se generaran incumplimientos del Contratista, se causarán las siguientes multas:</w:t>
      </w:r>
    </w:p>
    <w:p w14:paraId="7610DA73" w14:textId="77777777" w:rsidR="00DC42F8" w:rsidRPr="00564E86" w:rsidRDefault="00DC42F8" w:rsidP="00DC42F8">
      <w:pPr>
        <w:ind w:left="709" w:right="709"/>
        <w:rPr>
          <w:rFonts w:ascii="Arial" w:eastAsia="Calibri" w:hAnsi="Arial" w:cs="Arial"/>
          <w:color w:val="000000" w:themeColor="text1"/>
          <w:sz w:val="21"/>
          <w:szCs w:val="21"/>
        </w:rPr>
      </w:pPr>
      <w:r w:rsidRPr="00564E86">
        <w:rPr>
          <w:rFonts w:ascii="Arial" w:eastAsia="Calibri" w:hAnsi="Arial" w:cs="Arial"/>
          <w:color w:val="000000" w:themeColor="text1"/>
          <w:sz w:val="21"/>
          <w:szCs w:val="21"/>
        </w:rPr>
        <w:t>[…]</w:t>
      </w:r>
    </w:p>
    <w:p w14:paraId="7F996EE0" w14:textId="77777777" w:rsidR="00DC42F8" w:rsidRPr="00564E86" w:rsidRDefault="00DC42F8" w:rsidP="00DC42F8">
      <w:pPr>
        <w:pStyle w:val="Prrafodelista"/>
        <w:numPr>
          <w:ilvl w:val="0"/>
          <w:numId w:val="7"/>
        </w:numPr>
        <w:ind w:left="709" w:right="709" w:firstLine="0"/>
        <w:jc w:val="both"/>
        <w:rPr>
          <w:rFonts w:ascii="Arial" w:eastAsia="Arial" w:hAnsi="Arial" w:cs="Arial"/>
          <w:color w:val="000000" w:themeColor="text1"/>
          <w:sz w:val="20"/>
          <w:szCs w:val="20"/>
          <w:lang w:val="es-CO"/>
        </w:rPr>
      </w:pPr>
      <w:r w:rsidRPr="00564E86">
        <w:rPr>
          <w:rFonts w:ascii="Arial" w:eastAsia="Arial" w:hAnsi="Arial" w:cs="Arial"/>
          <w:color w:val="000000" w:themeColor="text1"/>
          <w:sz w:val="20"/>
          <w:szCs w:val="20"/>
          <w:lang w:val="es-CO"/>
        </w:rPr>
        <w:t xml:space="preserve">Por </w:t>
      </w:r>
      <w:r w:rsidRPr="00564E86">
        <w:rPr>
          <w:rFonts w:ascii="Arial" w:eastAsia="Calibri" w:hAnsi="Arial" w:cs="Arial"/>
          <w:color w:val="000000" w:themeColor="text1"/>
          <w:sz w:val="21"/>
          <w:szCs w:val="21"/>
        </w:rPr>
        <w:t>incumplir el ofrecimiento otorgado en cuanto al factor calidad, al Contratista se le impondrá una multa equivalente al [</w:t>
      </w:r>
      <w:r w:rsidRPr="00564E86">
        <w:rPr>
          <w:rFonts w:ascii="Arial" w:eastAsia="Calibri" w:hAnsi="Arial" w:cs="Arial"/>
          <w:color w:val="000000" w:themeColor="text1"/>
          <w:sz w:val="21"/>
          <w:szCs w:val="21"/>
          <w:highlight w:val="lightGray"/>
        </w:rPr>
        <w:t>0,5%</w:t>
      </w:r>
      <w:r w:rsidRPr="00564E86">
        <w:rPr>
          <w:rFonts w:ascii="Arial" w:eastAsia="Calibri" w:hAnsi="Arial" w:cs="Arial"/>
          <w:color w:val="000000" w:themeColor="text1"/>
          <w:sz w:val="21"/>
          <w:szCs w:val="21"/>
        </w:rPr>
        <w:t xml:space="preserve">] del valor del contrato, </w:t>
      </w:r>
      <w:r w:rsidRPr="00564E86">
        <w:rPr>
          <w:rFonts w:ascii="Arial" w:eastAsia="Calibri" w:hAnsi="Arial" w:cs="Arial"/>
          <w:color w:val="000000" w:themeColor="text1"/>
          <w:sz w:val="21"/>
          <w:szCs w:val="21"/>
          <w:highlight w:val="lightGray"/>
        </w:rPr>
        <w:t>[por cada día calendario de atraso en el cumplimiento de dicha obligación</w:t>
      </w:r>
      <w:r w:rsidRPr="00564E86">
        <w:rPr>
          <w:rFonts w:ascii="Arial" w:eastAsia="Calibri" w:hAnsi="Arial" w:cs="Arial"/>
          <w:color w:val="000000" w:themeColor="text1"/>
          <w:sz w:val="21"/>
          <w:szCs w:val="21"/>
        </w:rPr>
        <w:t>].</w:t>
      </w:r>
    </w:p>
    <w:p w14:paraId="3C3F8661" w14:textId="77777777" w:rsidR="00DC42F8" w:rsidRPr="00564E86" w:rsidRDefault="00DC42F8" w:rsidP="008E63E8">
      <w:pPr>
        <w:pStyle w:val="Prrafodelista"/>
        <w:spacing w:line="276" w:lineRule="auto"/>
        <w:ind w:left="709" w:right="709"/>
        <w:jc w:val="both"/>
        <w:rPr>
          <w:rFonts w:ascii="Arial" w:eastAsia="Arial" w:hAnsi="Arial" w:cs="Arial"/>
          <w:color w:val="000000" w:themeColor="text1"/>
          <w:sz w:val="20"/>
          <w:szCs w:val="20"/>
          <w:lang w:val="es-CO"/>
        </w:rPr>
      </w:pPr>
      <w:r w:rsidRPr="00564E86">
        <w:rPr>
          <w:rFonts w:ascii="Arial" w:eastAsia="Calibri" w:hAnsi="Arial" w:cs="Arial"/>
          <w:color w:val="000000" w:themeColor="text1"/>
          <w:sz w:val="22"/>
        </w:rPr>
        <w:t xml:space="preserve"> </w:t>
      </w:r>
    </w:p>
    <w:p w14:paraId="6C130C94" w14:textId="77777777" w:rsidR="00DC42F8" w:rsidRPr="00564E86" w:rsidRDefault="00DC42F8" w:rsidP="00DC42F8">
      <w:pPr>
        <w:tabs>
          <w:tab w:val="left" w:pos="709"/>
        </w:tabs>
        <w:spacing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En este sentido, en caso</w:t>
      </w:r>
      <w:r>
        <w:rPr>
          <w:rFonts w:ascii="Arial" w:eastAsia="Calibri" w:hAnsi="Arial" w:cs="Arial"/>
          <w:color w:val="000000" w:themeColor="text1"/>
          <w:sz w:val="22"/>
        </w:rPr>
        <w:t xml:space="preserve"> de</w:t>
      </w:r>
      <w:r w:rsidRPr="00564E86">
        <w:rPr>
          <w:rFonts w:ascii="Arial" w:eastAsia="Calibri" w:hAnsi="Arial" w:cs="Arial"/>
          <w:color w:val="000000" w:themeColor="text1"/>
          <w:sz w:val="22"/>
        </w:rPr>
        <w:t xml:space="preserve"> que el oferente resulte adjudicatario del proce</w:t>
      </w:r>
      <w:r>
        <w:rPr>
          <w:rFonts w:ascii="Arial" w:eastAsia="Calibri" w:hAnsi="Arial" w:cs="Arial"/>
          <w:color w:val="000000" w:themeColor="text1"/>
          <w:sz w:val="22"/>
        </w:rPr>
        <w:t>dimiento de selección</w:t>
      </w:r>
      <w:r w:rsidRPr="00564E86">
        <w:rPr>
          <w:rFonts w:ascii="Arial" w:eastAsia="Calibri" w:hAnsi="Arial" w:cs="Arial"/>
          <w:color w:val="000000" w:themeColor="text1"/>
          <w:sz w:val="22"/>
        </w:rPr>
        <w:t xml:space="preserve">, y en consecuencia celebre el contrato con la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ntidad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statal, los ofrecimientos realizados en relación con los factores de calidad mencionados se </w:t>
      </w:r>
      <w:r>
        <w:rPr>
          <w:rFonts w:ascii="Arial" w:eastAsia="Calibri" w:hAnsi="Arial" w:cs="Arial"/>
          <w:color w:val="000000" w:themeColor="text1"/>
          <w:sz w:val="22"/>
        </w:rPr>
        <w:t xml:space="preserve">convierten en una obligación contractual y se </w:t>
      </w:r>
      <w:r w:rsidRPr="00564E86">
        <w:rPr>
          <w:rFonts w:ascii="Arial" w:eastAsia="Calibri" w:hAnsi="Arial" w:cs="Arial"/>
          <w:color w:val="000000" w:themeColor="text1"/>
          <w:sz w:val="22"/>
        </w:rPr>
        <w:t xml:space="preserve">deben cumplir, so pena </w:t>
      </w:r>
      <w:r>
        <w:rPr>
          <w:rFonts w:ascii="Arial" w:eastAsia="Calibri" w:hAnsi="Arial" w:cs="Arial"/>
          <w:color w:val="000000" w:themeColor="text1"/>
          <w:sz w:val="22"/>
        </w:rPr>
        <w:t xml:space="preserve">de </w:t>
      </w:r>
      <w:r w:rsidRPr="00564E86">
        <w:rPr>
          <w:rFonts w:ascii="Arial" w:eastAsia="Calibri" w:hAnsi="Arial" w:cs="Arial"/>
          <w:color w:val="000000" w:themeColor="text1"/>
          <w:sz w:val="22"/>
        </w:rPr>
        <w:t xml:space="preserve">que se impongan </w:t>
      </w:r>
      <w:r>
        <w:rPr>
          <w:rFonts w:ascii="Arial" w:eastAsia="Calibri" w:hAnsi="Arial" w:cs="Arial"/>
          <w:color w:val="000000" w:themeColor="text1"/>
          <w:sz w:val="22"/>
        </w:rPr>
        <w:t xml:space="preserve">las </w:t>
      </w:r>
      <w:r w:rsidRPr="00564E86">
        <w:rPr>
          <w:rFonts w:ascii="Arial" w:eastAsia="Calibri" w:hAnsi="Arial" w:cs="Arial"/>
          <w:color w:val="000000" w:themeColor="text1"/>
          <w:sz w:val="22"/>
        </w:rPr>
        <w:t>sanciones</w:t>
      </w:r>
      <w:r>
        <w:rPr>
          <w:rFonts w:ascii="Arial" w:eastAsia="Calibri" w:hAnsi="Arial" w:cs="Arial"/>
          <w:color w:val="000000" w:themeColor="text1"/>
          <w:sz w:val="22"/>
        </w:rPr>
        <w:t xml:space="preserve"> pactadas en el contrato, como, por ejemplo, la </w:t>
      </w:r>
      <w:r w:rsidRPr="00564E86">
        <w:rPr>
          <w:rFonts w:ascii="Arial" w:eastAsia="Calibri" w:hAnsi="Arial" w:cs="Arial"/>
          <w:color w:val="000000" w:themeColor="text1"/>
          <w:sz w:val="22"/>
        </w:rPr>
        <w:t>multa o</w:t>
      </w:r>
      <w:r>
        <w:rPr>
          <w:rFonts w:ascii="Arial" w:eastAsia="Calibri" w:hAnsi="Arial" w:cs="Arial"/>
          <w:color w:val="000000" w:themeColor="text1"/>
          <w:sz w:val="22"/>
        </w:rPr>
        <w:t xml:space="preserve"> la</w:t>
      </w:r>
      <w:r w:rsidRPr="00564E86">
        <w:rPr>
          <w:rFonts w:ascii="Arial" w:eastAsia="Calibri" w:hAnsi="Arial" w:cs="Arial"/>
          <w:color w:val="000000" w:themeColor="text1"/>
          <w:sz w:val="22"/>
        </w:rPr>
        <w:t xml:space="preserve"> cl</w:t>
      </w:r>
      <w:r>
        <w:rPr>
          <w:rFonts w:ascii="Arial" w:eastAsia="Calibri" w:hAnsi="Arial" w:cs="Arial"/>
          <w:color w:val="000000" w:themeColor="text1"/>
          <w:sz w:val="22"/>
        </w:rPr>
        <w:t>á</w:t>
      </w:r>
      <w:r w:rsidRPr="00564E86">
        <w:rPr>
          <w:rFonts w:ascii="Arial" w:eastAsia="Calibri" w:hAnsi="Arial" w:cs="Arial"/>
          <w:color w:val="000000" w:themeColor="text1"/>
          <w:sz w:val="22"/>
        </w:rPr>
        <w:t xml:space="preserve">usula penal por </w:t>
      </w:r>
      <w:r>
        <w:rPr>
          <w:rFonts w:ascii="Arial" w:eastAsia="Calibri" w:hAnsi="Arial" w:cs="Arial"/>
          <w:color w:val="000000" w:themeColor="text1"/>
          <w:sz w:val="22"/>
        </w:rPr>
        <w:t>este</w:t>
      </w:r>
      <w:r w:rsidRPr="00564E86">
        <w:rPr>
          <w:rFonts w:ascii="Arial" w:eastAsia="Calibri" w:hAnsi="Arial" w:cs="Arial"/>
          <w:color w:val="000000" w:themeColor="text1"/>
          <w:sz w:val="22"/>
        </w:rPr>
        <w:t xml:space="preserve"> incumplimiento. </w:t>
      </w:r>
    </w:p>
    <w:p w14:paraId="31D685B3" w14:textId="77777777" w:rsidR="00DC42F8" w:rsidRPr="00564E86" w:rsidRDefault="00DC42F8" w:rsidP="00DC42F8">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 xml:space="preserve">De este modo, la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ntidad en el «Anexo 5 – Minuta del Contrato» determina el valor de la multa en el evento </w:t>
      </w:r>
      <w:r>
        <w:rPr>
          <w:rFonts w:ascii="Arial" w:eastAsia="Calibri" w:hAnsi="Arial" w:cs="Arial"/>
          <w:color w:val="000000" w:themeColor="text1"/>
          <w:sz w:val="22"/>
        </w:rPr>
        <w:t xml:space="preserve">en </w:t>
      </w:r>
      <w:r w:rsidRPr="00564E86">
        <w:rPr>
          <w:rFonts w:ascii="Arial" w:eastAsia="Calibri" w:hAnsi="Arial" w:cs="Arial"/>
          <w:color w:val="000000" w:themeColor="text1"/>
          <w:sz w:val="22"/>
        </w:rPr>
        <w:t xml:space="preserve">que se incumplan los ofrecimientos realizados en el factor de calidad. La imposición de multas tiene fundamento </w:t>
      </w:r>
      <w:r>
        <w:rPr>
          <w:rFonts w:ascii="Arial" w:eastAsia="Calibri" w:hAnsi="Arial" w:cs="Arial"/>
          <w:color w:val="000000" w:themeColor="text1"/>
          <w:sz w:val="22"/>
        </w:rPr>
        <w:t xml:space="preserve">en </w:t>
      </w:r>
      <w:r w:rsidRPr="00564E86">
        <w:rPr>
          <w:rFonts w:ascii="Arial" w:eastAsia="Calibri" w:hAnsi="Arial" w:cs="Arial"/>
          <w:color w:val="000000" w:themeColor="text1"/>
          <w:sz w:val="22"/>
        </w:rPr>
        <w:t xml:space="preserve">el artículo 1602 del Código Civil </w:t>
      </w:r>
      <w:r>
        <w:rPr>
          <w:rFonts w:ascii="Arial" w:eastAsia="Calibri" w:hAnsi="Arial" w:cs="Arial"/>
          <w:color w:val="000000" w:themeColor="text1"/>
          <w:sz w:val="22"/>
        </w:rPr>
        <w:t xml:space="preserve">que </w:t>
      </w:r>
      <w:r w:rsidRPr="00564E86">
        <w:rPr>
          <w:rFonts w:ascii="Arial" w:eastAsia="Calibri" w:hAnsi="Arial" w:cs="Arial"/>
          <w:color w:val="000000" w:themeColor="text1"/>
          <w:sz w:val="22"/>
        </w:rPr>
        <w:t>señala que todo contrato legalmente celebrado es ley para los contratantes y no puede ser invalidado sino por su consentimiento mutuo o por causas legales</w:t>
      </w:r>
      <w:r w:rsidRPr="00564E86">
        <w:rPr>
          <w:rStyle w:val="Refdenotaalpie"/>
          <w:rFonts w:ascii="Arial" w:eastAsia="Calibri" w:hAnsi="Arial" w:cs="Arial"/>
          <w:color w:val="000000" w:themeColor="text1"/>
          <w:sz w:val="22"/>
        </w:rPr>
        <w:footnoteReference w:id="2"/>
      </w:r>
      <w:r w:rsidRPr="00564E86">
        <w:rPr>
          <w:rFonts w:ascii="Arial" w:eastAsia="Calibri" w:hAnsi="Arial" w:cs="Arial"/>
          <w:color w:val="000000" w:themeColor="text1"/>
          <w:sz w:val="22"/>
        </w:rPr>
        <w:t xml:space="preserve">. En este sentido, si el oferente realiza un ofrecimiento en el «Factor de </w:t>
      </w:r>
      <w:r>
        <w:rPr>
          <w:rFonts w:ascii="Arial" w:eastAsia="Calibri" w:hAnsi="Arial" w:cs="Arial"/>
          <w:color w:val="000000" w:themeColor="text1"/>
          <w:sz w:val="22"/>
        </w:rPr>
        <w:t>c</w:t>
      </w:r>
      <w:r w:rsidRPr="00564E86">
        <w:rPr>
          <w:rFonts w:ascii="Arial" w:eastAsia="Calibri" w:hAnsi="Arial" w:cs="Arial"/>
          <w:color w:val="000000" w:themeColor="text1"/>
          <w:sz w:val="22"/>
        </w:rPr>
        <w:t xml:space="preserve">alidad» y resulta adjudicatario del </w:t>
      </w:r>
      <w:r>
        <w:rPr>
          <w:rFonts w:ascii="Arial" w:eastAsia="Calibri" w:hAnsi="Arial" w:cs="Arial"/>
          <w:color w:val="000000" w:themeColor="text1"/>
          <w:sz w:val="22"/>
        </w:rPr>
        <w:t>p</w:t>
      </w:r>
      <w:r w:rsidRPr="00564E86">
        <w:rPr>
          <w:rFonts w:ascii="Arial" w:eastAsia="Calibri" w:hAnsi="Arial" w:cs="Arial"/>
          <w:color w:val="000000" w:themeColor="text1"/>
          <w:sz w:val="22"/>
        </w:rPr>
        <w:t>roce</w:t>
      </w:r>
      <w:r>
        <w:rPr>
          <w:rFonts w:ascii="Arial" w:eastAsia="Calibri" w:hAnsi="Arial" w:cs="Arial"/>
          <w:color w:val="000000" w:themeColor="text1"/>
          <w:sz w:val="22"/>
        </w:rPr>
        <w:t>dimiento</w:t>
      </w:r>
      <w:r w:rsidRPr="00564E86">
        <w:rPr>
          <w:rFonts w:ascii="Arial" w:eastAsia="Calibri" w:hAnsi="Arial" w:cs="Arial"/>
          <w:color w:val="000000" w:themeColor="text1"/>
          <w:sz w:val="22"/>
        </w:rPr>
        <w:t xml:space="preserve"> de </w:t>
      </w:r>
      <w:r>
        <w:rPr>
          <w:rFonts w:ascii="Arial" w:eastAsia="Calibri" w:hAnsi="Arial" w:cs="Arial"/>
          <w:color w:val="000000" w:themeColor="text1"/>
          <w:sz w:val="22"/>
        </w:rPr>
        <w:t>c</w:t>
      </w:r>
      <w:r w:rsidRPr="00564E86">
        <w:rPr>
          <w:rFonts w:ascii="Arial" w:eastAsia="Calibri" w:hAnsi="Arial" w:cs="Arial"/>
          <w:color w:val="000000" w:themeColor="text1"/>
          <w:sz w:val="22"/>
        </w:rPr>
        <w:t xml:space="preserve">ontratación, su ofrecimiento se convierte en ley para las partes y por lo tanto es de obligatorio cumplimiento. </w:t>
      </w:r>
    </w:p>
    <w:p w14:paraId="0DD3E84A" w14:textId="7A67C32A" w:rsidR="00DC42F8" w:rsidRPr="00564E86" w:rsidRDefault="00DC42F8" w:rsidP="00DC42F8">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Asimismo, el artículo 1603 del Código Civil indica que los contratos deben ejecutarse de buena fe y</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por consiguiente</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obligan no s</w:t>
      </w:r>
      <w:r>
        <w:rPr>
          <w:rFonts w:ascii="Arial" w:eastAsia="Calibri" w:hAnsi="Arial" w:cs="Arial"/>
          <w:color w:val="000000" w:themeColor="text1"/>
          <w:sz w:val="22"/>
        </w:rPr>
        <w:t>o</w:t>
      </w:r>
      <w:r w:rsidRPr="00564E86">
        <w:rPr>
          <w:rFonts w:ascii="Arial" w:eastAsia="Calibri" w:hAnsi="Arial" w:cs="Arial"/>
          <w:color w:val="000000" w:themeColor="text1"/>
          <w:sz w:val="22"/>
        </w:rPr>
        <w:t xml:space="preserve">lo a lo que en ellos se expresa, sino a todas cosas que emanan de la naturaleza de la obligación, o que por la ley pertenecen a ella. Es así como </w:t>
      </w:r>
      <w:r>
        <w:rPr>
          <w:rFonts w:ascii="Arial" w:eastAsia="Calibri" w:hAnsi="Arial" w:cs="Arial"/>
          <w:color w:val="000000" w:themeColor="text1"/>
          <w:sz w:val="22"/>
        </w:rPr>
        <w:t>los</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 xml:space="preserve">proponentes, </w:t>
      </w:r>
      <w:r w:rsidRPr="00564E86">
        <w:rPr>
          <w:rFonts w:ascii="Arial" w:eastAsia="Calibri" w:hAnsi="Arial" w:cs="Arial"/>
          <w:color w:val="000000" w:themeColor="text1"/>
          <w:sz w:val="22"/>
        </w:rPr>
        <w:t xml:space="preserve">al comprometerse </w:t>
      </w:r>
      <w:r>
        <w:rPr>
          <w:rFonts w:ascii="Arial" w:eastAsia="Calibri" w:hAnsi="Arial" w:cs="Arial"/>
          <w:color w:val="000000" w:themeColor="text1"/>
          <w:sz w:val="22"/>
        </w:rPr>
        <w:t>con</w:t>
      </w:r>
      <w:r w:rsidRPr="00564E86">
        <w:rPr>
          <w:rFonts w:ascii="Arial" w:eastAsia="Calibri" w:hAnsi="Arial" w:cs="Arial"/>
          <w:color w:val="000000" w:themeColor="text1"/>
          <w:sz w:val="22"/>
        </w:rPr>
        <w:t xml:space="preserve"> su oferta a </w:t>
      </w:r>
      <w:r>
        <w:rPr>
          <w:rFonts w:ascii="Arial" w:eastAsia="Calibri" w:hAnsi="Arial" w:cs="Arial"/>
          <w:color w:val="000000" w:themeColor="text1"/>
          <w:sz w:val="22"/>
        </w:rPr>
        <w:t xml:space="preserve">realizar </w:t>
      </w:r>
      <w:r>
        <w:rPr>
          <w:rFonts w:ascii="Arial" w:eastAsia="Calibri" w:hAnsi="Arial" w:cs="Arial"/>
          <w:color w:val="000000" w:themeColor="text1"/>
          <w:sz w:val="22"/>
        </w:rPr>
        <w:lastRenderedPageBreak/>
        <w:t>un mantenimiento adicional,</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adquieren obligaciones adicionales</w:t>
      </w:r>
      <w:r w:rsidRPr="00564E86">
        <w:rPr>
          <w:rFonts w:ascii="Arial" w:eastAsia="Calibri" w:hAnsi="Arial" w:cs="Arial"/>
          <w:color w:val="000000" w:themeColor="text1"/>
          <w:sz w:val="22"/>
        </w:rPr>
        <w:t xml:space="preserve"> que debe</w:t>
      </w:r>
      <w:r>
        <w:rPr>
          <w:rFonts w:ascii="Arial" w:eastAsia="Calibri" w:hAnsi="Arial" w:cs="Arial"/>
          <w:color w:val="000000" w:themeColor="text1"/>
          <w:sz w:val="22"/>
        </w:rPr>
        <w:t>n</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cumplir</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 xml:space="preserve">en la ejecución del contrato, conforme </w:t>
      </w:r>
      <w:r w:rsidR="00644C5E">
        <w:rPr>
          <w:rFonts w:ascii="Arial" w:eastAsia="Calibri" w:hAnsi="Arial" w:cs="Arial"/>
          <w:color w:val="000000" w:themeColor="text1"/>
          <w:sz w:val="22"/>
        </w:rPr>
        <w:t>al principio de</w:t>
      </w:r>
      <w:r w:rsidRPr="00564E86">
        <w:rPr>
          <w:rFonts w:ascii="Arial" w:eastAsia="Calibri" w:hAnsi="Arial" w:cs="Arial"/>
          <w:color w:val="000000" w:themeColor="text1"/>
          <w:sz w:val="22"/>
        </w:rPr>
        <w:t xml:space="preserve"> buena fe</w:t>
      </w:r>
      <w:r w:rsidRPr="00564E86">
        <w:rPr>
          <w:rStyle w:val="Refdenotaalpie"/>
          <w:rFonts w:ascii="Arial" w:eastAsia="Calibri" w:hAnsi="Arial" w:cs="Arial"/>
          <w:color w:val="000000" w:themeColor="text1"/>
          <w:sz w:val="22"/>
        </w:rPr>
        <w:footnoteReference w:id="3"/>
      </w:r>
      <w:r w:rsidRPr="00564E86">
        <w:rPr>
          <w:rFonts w:ascii="Arial" w:eastAsia="Calibri" w:hAnsi="Arial" w:cs="Arial"/>
          <w:color w:val="000000" w:themeColor="text1"/>
          <w:sz w:val="22"/>
        </w:rPr>
        <w:t xml:space="preserve">. </w:t>
      </w:r>
    </w:p>
    <w:p w14:paraId="15832492" w14:textId="77777777" w:rsidR="00DC42F8" w:rsidRPr="00D6221C" w:rsidRDefault="00DC42F8" w:rsidP="00DC42F8">
      <w:pPr>
        <w:tabs>
          <w:tab w:val="left" w:pos="426"/>
        </w:tabs>
        <w:spacing w:line="276" w:lineRule="auto"/>
        <w:jc w:val="both"/>
        <w:rPr>
          <w:rFonts w:ascii="Arial" w:eastAsia="Calibri" w:hAnsi="Arial" w:cs="Arial"/>
          <w:bCs/>
          <w:sz w:val="22"/>
          <w:lang w:val="es-ES"/>
        </w:rPr>
      </w:pPr>
      <w:r w:rsidRPr="00564E86">
        <w:rPr>
          <w:rFonts w:ascii="Arial" w:eastAsia="Calibri" w:hAnsi="Arial" w:cs="Arial"/>
          <w:color w:val="000000" w:themeColor="text1"/>
          <w:sz w:val="22"/>
        </w:rPr>
        <w:tab/>
      </w:r>
      <w:r w:rsidRPr="00564E86">
        <w:rPr>
          <w:rFonts w:ascii="Arial" w:eastAsia="Calibri" w:hAnsi="Arial" w:cs="Arial"/>
          <w:color w:val="000000" w:themeColor="text1"/>
          <w:sz w:val="22"/>
        </w:rPr>
        <w:tab/>
      </w:r>
    </w:p>
    <w:p w14:paraId="33AD4323" w14:textId="77777777" w:rsidR="00DC42F8" w:rsidRDefault="00DC42F8" w:rsidP="00DC42F8">
      <w:pPr>
        <w:pStyle w:val="Prrafodelista"/>
        <w:tabs>
          <w:tab w:val="left" w:pos="284"/>
        </w:tabs>
        <w:spacing w:line="276" w:lineRule="auto"/>
        <w:ind w:left="0"/>
        <w:jc w:val="both"/>
        <w:rPr>
          <w:rFonts w:ascii="Arial" w:eastAsia="Calibri" w:hAnsi="Arial" w:cs="Arial"/>
          <w:sz w:val="22"/>
        </w:rPr>
      </w:pPr>
      <w:r>
        <w:rPr>
          <w:rFonts w:ascii="Arial" w:eastAsia="Calibri" w:hAnsi="Arial" w:cs="Arial"/>
          <w:b/>
          <w:sz w:val="22"/>
        </w:rPr>
        <w:t>3. Respuestas</w:t>
      </w:r>
    </w:p>
    <w:p w14:paraId="18F56537" w14:textId="77777777" w:rsidR="00DC42F8" w:rsidRDefault="00DC42F8" w:rsidP="00DC42F8">
      <w:pPr>
        <w:spacing w:line="276" w:lineRule="auto"/>
        <w:ind w:left="709" w:right="709"/>
        <w:jc w:val="both"/>
        <w:rPr>
          <w:rFonts w:ascii="Arial" w:eastAsia="Calibri" w:hAnsi="Arial" w:cs="Arial"/>
          <w:iCs/>
          <w:sz w:val="22"/>
        </w:rPr>
      </w:pPr>
    </w:p>
    <w:p w14:paraId="65061D64" w14:textId="79B70B01" w:rsidR="00DC42F8" w:rsidRPr="001357DC" w:rsidRDefault="00354531" w:rsidP="001357DC">
      <w:pPr>
        <w:ind w:left="708" w:right="709"/>
        <w:jc w:val="both"/>
        <w:rPr>
          <w:rFonts w:ascii="Arial" w:eastAsia="Calibri" w:hAnsi="Arial" w:cs="Arial"/>
          <w:sz w:val="21"/>
          <w:szCs w:val="21"/>
          <w:highlight w:val="yellow"/>
        </w:rPr>
      </w:pPr>
      <w:r w:rsidRPr="00354531">
        <w:rPr>
          <w:rFonts w:ascii="Arial" w:eastAsia="Calibri" w:hAnsi="Arial" w:cs="Arial"/>
          <w:sz w:val="21"/>
          <w:szCs w:val="21"/>
        </w:rPr>
        <w:t>i) De acuerdo con los «Documentos Tipo – Versión 2» para licitación de obra pública de infraestructura de transporte</w:t>
      </w:r>
      <w:r>
        <w:rPr>
          <w:rFonts w:ascii="Arial" w:eastAsia="Calibri" w:hAnsi="Arial" w:cs="Arial"/>
          <w:sz w:val="21"/>
          <w:szCs w:val="21"/>
        </w:rPr>
        <w:t>,</w:t>
      </w:r>
      <w:r w:rsidRPr="00354531">
        <w:rPr>
          <w:rFonts w:ascii="Arial" w:eastAsia="Calibri" w:hAnsi="Arial" w:cs="Arial"/>
          <w:sz w:val="21"/>
          <w:szCs w:val="21"/>
        </w:rPr>
        <w:t xml:space="preserve"> «[…] En relación a la Experiencia específica exigida en los casos en donde según la matriz 1 se requiera </w:t>
      </w:r>
      <w:r>
        <w:rPr>
          <w:rFonts w:ascii="Arial" w:eastAsia="Calibri" w:hAnsi="Arial" w:cs="Arial"/>
          <w:sz w:val="21"/>
          <w:szCs w:val="21"/>
        </w:rPr>
        <w:t>[…]</w:t>
      </w:r>
      <w:r w:rsidRPr="00354531">
        <w:rPr>
          <w:rFonts w:ascii="Arial" w:eastAsia="Calibri" w:hAnsi="Arial" w:cs="Arial"/>
          <w:sz w:val="21"/>
          <w:szCs w:val="21"/>
        </w:rPr>
        <w:t xml:space="preserve"> “Por lo menos uno (1) de los contratos válidos aportados como experiencia general cuenta con una longitud intervenida que corresponda al 50% de la longitud de vía a construir mediante el presente proceso de contratación”, esta exigencia se debe entender que si se va construir una placa huella se debe aportar un contrato que tenga la longitud exigida en placa huella o se puede interpretar que puede ser en PAVIMENTO ASFALTICO O CONCRETO HIDRÁULICO como lo exige la experiencia general […]»</w:t>
      </w:r>
      <w:r>
        <w:rPr>
          <w:rFonts w:ascii="Arial" w:eastAsia="Calibri" w:hAnsi="Arial" w:cs="Arial"/>
          <w:sz w:val="21"/>
          <w:szCs w:val="21"/>
        </w:rPr>
        <w:t>.</w:t>
      </w:r>
    </w:p>
    <w:p w14:paraId="36A26AB5" w14:textId="77777777" w:rsidR="00DC42F8" w:rsidRPr="001357DC" w:rsidRDefault="00DC42F8" w:rsidP="00DC42F8">
      <w:pPr>
        <w:spacing w:line="276" w:lineRule="auto"/>
        <w:ind w:left="708" w:right="709"/>
        <w:jc w:val="both"/>
        <w:rPr>
          <w:rFonts w:ascii="Arial" w:eastAsia="Calibri" w:hAnsi="Arial" w:cs="Arial"/>
          <w:sz w:val="21"/>
          <w:szCs w:val="21"/>
          <w:highlight w:val="yellow"/>
        </w:rPr>
      </w:pPr>
    </w:p>
    <w:p w14:paraId="5FBA644E" w14:textId="42875A77" w:rsidR="00FD2E39" w:rsidRDefault="00FD2E39" w:rsidP="00FD2E39">
      <w:pPr>
        <w:spacing w:line="276" w:lineRule="auto"/>
        <w:jc w:val="both"/>
        <w:rPr>
          <w:rFonts w:ascii="Arial" w:hAnsi="Arial" w:cs="Arial"/>
          <w:sz w:val="22"/>
          <w:lang w:val="es-CO"/>
        </w:rPr>
      </w:pPr>
      <w:r>
        <w:rPr>
          <w:rFonts w:ascii="Arial" w:hAnsi="Arial" w:cs="Arial"/>
          <w:sz w:val="22"/>
        </w:rPr>
        <w:t xml:space="preserve">De conformidad con el principio de inalterabilidad de los documentos tipo, establecido en el artículo 2.2.1.2.6.1.4 del Decreto 1082 de 2015, en la configuración de los requisitos de </w:t>
      </w:r>
      <w:r w:rsidR="00EA5E70">
        <w:rPr>
          <w:rFonts w:ascii="Arial" w:hAnsi="Arial" w:cs="Arial"/>
          <w:sz w:val="22"/>
        </w:rPr>
        <w:t>«</w:t>
      </w:r>
      <w:r>
        <w:rPr>
          <w:rFonts w:ascii="Arial" w:hAnsi="Arial" w:cs="Arial"/>
          <w:sz w:val="22"/>
        </w:rPr>
        <w:t>experiencia específica</w:t>
      </w:r>
      <w:r w:rsidR="00EA5E70">
        <w:rPr>
          <w:rFonts w:ascii="Arial" w:hAnsi="Arial" w:cs="Arial"/>
          <w:sz w:val="22"/>
          <w:lang w:val="es-CO"/>
        </w:rPr>
        <w:t>»</w:t>
      </w:r>
      <w:r>
        <w:rPr>
          <w:rFonts w:ascii="Arial" w:hAnsi="Arial" w:cs="Arial"/>
          <w:sz w:val="22"/>
        </w:rPr>
        <w:t xml:space="preserve"> para la contratación de obras correspondientes a la actividad «</w:t>
      </w:r>
      <w:r>
        <w:rPr>
          <w:rFonts w:ascii="Arial" w:hAnsi="Arial" w:cs="Arial"/>
          <w:sz w:val="22"/>
          <w:lang w:val="es-CO"/>
        </w:rPr>
        <w:t>2</w:t>
      </w:r>
      <w:r w:rsidR="004017A2" w:rsidRPr="004017A2">
        <w:rPr>
          <w:rFonts w:ascii="Arial" w:hAnsi="Arial" w:cs="Arial"/>
          <w:sz w:val="22"/>
          <w:lang w:val="es-CO"/>
        </w:rPr>
        <w:t>.2 MEJORAMIENTO EN VÍAS TERCIARIAS</w:t>
      </w:r>
      <w:r>
        <w:rPr>
          <w:rFonts w:ascii="Arial" w:hAnsi="Arial" w:cs="Arial"/>
          <w:sz w:val="22"/>
          <w:lang w:val="es-CO"/>
        </w:rPr>
        <w:t xml:space="preserve">», que es una de las actividades que en su </w:t>
      </w:r>
      <w:r w:rsidR="004017A2">
        <w:rPr>
          <w:rFonts w:ascii="Arial" w:hAnsi="Arial" w:cs="Arial"/>
          <w:sz w:val="22"/>
          <w:lang w:val="es-CO"/>
        </w:rPr>
        <w:t>«</w:t>
      </w:r>
      <w:r>
        <w:rPr>
          <w:rFonts w:ascii="Arial" w:hAnsi="Arial" w:cs="Arial"/>
          <w:sz w:val="22"/>
          <w:lang w:val="es-CO"/>
        </w:rPr>
        <w:t>experiencia general</w:t>
      </w:r>
      <w:r w:rsidR="004017A2">
        <w:rPr>
          <w:rFonts w:ascii="Arial" w:hAnsi="Arial" w:cs="Arial"/>
          <w:sz w:val="22"/>
          <w:lang w:val="es-CO"/>
        </w:rPr>
        <w:t>»</w:t>
      </w:r>
      <w:r>
        <w:rPr>
          <w:rFonts w:ascii="Arial" w:hAnsi="Arial" w:cs="Arial"/>
          <w:sz w:val="22"/>
          <w:lang w:val="es-CO"/>
        </w:rPr>
        <w:t xml:space="preserve"> contiene varios materiales como pavimento asfáltico, concreto hidráulico y placa huella, a las entidades públicas les está vedado limitar el requisito a solo uno de los tipos de </w:t>
      </w:r>
      <w:r w:rsidR="00EA5E70">
        <w:rPr>
          <w:rFonts w:ascii="Arial" w:hAnsi="Arial" w:cs="Arial"/>
          <w:sz w:val="22"/>
          <w:lang w:val="es-CO"/>
        </w:rPr>
        <w:t>material</w:t>
      </w:r>
      <w:r>
        <w:rPr>
          <w:rFonts w:ascii="Arial" w:hAnsi="Arial" w:cs="Arial"/>
          <w:sz w:val="22"/>
          <w:lang w:val="es-CO"/>
        </w:rPr>
        <w:t xml:space="preserve"> contemplados en la «Matriz 1 - Experiencia», pues significaría una vulneración del mandato de inalterabilidad</w:t>
      </w:r>
      <w:r w:rsidR="00EA5E70">
        <w:rPr>
          <w:rFonts w:ascii="Arial" w:hAnsi="Arial" w:cs="Arial"/>
          <w:sz w:val="22"/>
          <w:lang w:val="es-CO"/>
        </w:rPr>
        <w:t xml:space="preserve">; por tanto la </w:t>
      </w:r>
      <w:r w:rsidR="00EA5E70">
        <w:rPr>
          <w:rFonts w:ascii="Arial" w:hAnsi="Arial" w:cs="Arial"/>
          <w:sz w:val="22"/>
        </w:rPr>
        <w:t>«experiencia específica</w:t>
      </w:r>
      <w:r w:rsidR="00EA5E70">
        <w:rPr>
          <w:rFonts w:ascii="Arial" w:hAnsi="Arial" w:cs="Arial"/>
          <w:sz w:val="22"/>
          <w:lang w:val="es-CO"/>
        </w:rPr>
        <w:t xml:space="preserve">» se puede acreditar en cualquier material de los mencionados en la </w:t>
      </w:r>
      <w:r w:rsidR="004017A2">
        <w:rPr>
          <w:rFonts w:ascii="Arial" w:hAnsi="Arial" w:cs="Arial"/>
          <w:sz w:val="22"/>
          <w:lang w:val="es-CO"/>
        </w:rPr>
        <w:t>«experiencia general»</w:t>
      </w:r>
      <w:r w:rsidR="00EA5E70">
        <w:rPr>
          <w:rFonts w:ascii="Arial" w:hAnsi="Arial" w:cs="Arial"/>
          <w:sz w:val="22"/>
          <w:lang w:val="es-CO"/>
        </w:rPr>
        <w:t>.</w:t>
      </w:r>
    </w:p>
    <w:p w14:paraId="4A04B7CC" w14:textId="77777777" w:rsidR="00DC42F8" w:rsidRPr="00FD2E39" w:rsidRDefault="00DC42F8" w:rsidP="00DC42F8">
      <w:pPr>
        <w:spacing w:line="276" w:lineRule="auto"/>
        <w:ind w:left="708" w:right="709"/>
        <w:jc w:val="both"/>
        <w:rPr>
          <w:rFonts w:ascii="Arial" w:eastAsia="Calibri" w:hAnsi="Arial" w:cs="Arial"/>
          <w:sz w:val="21"/>
          <w:szCs w:val="21"/>
          <w:highlight w:val="yellow"/>
          <w:lang w:val="es-CO"/>
        </w:rPr>
      </w:pPr>
    </w:p>
    <w:p w14:paraId="574FE367" w14:textId="0382B541" w:rsidR="00DC42F8" w:rsidRPr="002A66C4" w:rsidRDefault="00A3082B" w:rsidP="00DC42F8">
      <w:pPr>
        <w:ind w:left="708" w:right="709"/>
        <w:jc w:val="both"/>
        <w:rPr>
          <w:rFonts w:ascii="Arial" w:eastAsia="Calibri" w:hAnsi="Arial" w:cs="Arial"/>
          <w:sz w:val="21"/>
          <w:szCs w:val="21"/>
        </w:rPr>
      </w:pPr>
      <w:r>
        <w:rPr>
          <w:rFonts w:ascii="Arial" w:eastAsia="Calibri" w:hAnsi="Arial" w:cs="Arial"/>
          <w:sz w:val="21"/>
          <w:szCs w:val="21"/>
        </w:rPr>
        <w:t xml:space="preserve">ii) </w:t>
      </w:r>
      <w:r w:rsidR="001357DC" w:rsidRPr="002A66C4">
        <w:rPr>
          <w:rFonts w:ascii="Arial" w:eastAsia="Calibri" w:hAnsi="Arial" w:cs="Arial"/>
          <w:sz w:val="21"/>
          <w:szCs w:val="21"/>
        </w:rPr>
        <w:t>«[...] En cuanto al mantenimiento adicional exigido por algunas entidades en el factor de calidad, no se cuenta con un tope máximo para comprometerse a un mantenimiento rutinario haciendo de este requerimiento una oportunidad para que algunos proponentes desborden sus ofertas inmensurables. Explicar cómo se podría manejar o si existen limitaciones al respecto».</w:t>
      </w:r>
    </w:p>
    <w:p w14:paraId="2ED3DB3C" w14:textId="77777777" w:rsidR="00DC42F8" w:rsidRPr="001357DC" w:rsidRDefault="00DC42F8" w:rsidP="00DC42F8">
      <w:pPr>
        <w:spacing w:line="276" w:lineRule="auto"/>
        <w:ind w:left="708" w:right="709"/>
        <w:jc w:val="both"/>
        <w:rPr>
          <w:rFonts w:ascii="Arial" w:eastAsia="Calibri" w:hAnsi="Arial" w:cs="Arial"/>
          <w:sz w:val="21"/>
          <w:szCs w:val="21"/>
          <w:highlight w:val="yellow"/>
        </w:rPr>
      </w:pPr>
    </w:p>
    <w:p w14:paraId="1A43BDD3" w14:textId="77777777" w:rsidR="00AB0535" w:rsidRDefault="00395839">
      <w:pPr>
        <w:spacing w:after="120" w:line="276" w:lineRule="auto"/>
        <w:jc w:val="both"/>
        <w:rPr>
          <w:rFonts w:ascii="Arial" w:eastAsia="Calibri" w:hAnsi="Arial" w:cs="Arial"/>
          <w:sz w:val="22"/>
        </w:rPr>
      </w:pPr>
      <w:r>
        <w:rPr>
          <w:rFonts w:ascii="Arial" w:eastAsia="Calibri" w:hAnsi="Arial" w:cs="Arial"/>
          <w:sz w:val="22"/>
        </w:rPr>
        <w:t>E</w:t>
      </w:r>
      <w:r w:rsidRPr="00395839">
        <w:rPr>
          <w:rFonts w:ascii="Arial" w:eastAsia="Calibri" w:hAnsi="Arial" w:cs="Arial"/>
          <w:sz w:val="22"/>
        </w:rPr>
        <w:t>n las licitaciones públicas en las que se aplique el documento base adoptado por la Resolución No. 045 de 2020 –sin las modificaciones introducidas por la Resolución No. 116 de 2020–, el oferente tiene la libertad y autonomía de ofrecer el número de meses durante el cual puede realizar las labores de mantenimiento rutinario de acuerdo con sus capacidades. Es decir, el documento base no limita los ofrecimientos realizados por el oferente, ni faculta a las entidades para hacerlo</w:t>
      </w:r>
      <w:r>
        <w:rPr>
          <w:rFonts w:ascii="Arial" w:eastAsia="Calibri" w:hAnsi="Arial" w:cs="Arial"/>
          <w:sz w:val="22"/>
        </w:rPr>
        <w:t>; pero</w:t>
      </w:r>
      <w:r w:rsidRPr="00395839">
        <w:rPr>
          <w:rFonts w:ascii="Arial" w:eastAsia="Calibri" w:hAnsi="Arial" w:cs="Arial"/>
          <w:sz w:val="22"/>
        </w:rPr>
        <w:t xml:space="preserve"> en el evento que resulte adjudicatario del proceso de contratación, el compromiso del factor de calidad se convierte en una </w:t>
      </w:r>
      <w:r w:rsidRPr="00395839">
        <w:rPr>
          <w:rFonts w:ascii="Arial" w:eastAsia="Calibri" w:hAnsi="Arial" w:cs="Arial"/>
          <w:sz w:val="22"/>
        </w:rPr>
        <w:lastRenderedPageBreak/>
        <w:t>obligación contractual, la cual supone el uso de las facultades sancionatorias en caso de incumplimiento.</w:t>
      </w:r>
    </w:p>
    <w:p w14:paraId="3D4A2355" w14:textId="2BE887BA" w:rsidR="00DC42F8" w:rsidRDefault="00AB0535" w:rsidP="008E63E8">
      <w:pPr>
        <w:spacing w:after="120" w:line="276" w:lineRule="auto"/>
        <w:ind w:firstLine="708"/>
        <w:jc w:val="both"/>
        <w:rPr>
          <w:rFonts w:ascii="Arial" w:eastAsia="Calibri" w:hAnsi="Arial" w:cs="Arial"/>
          <w:sz w:val="21"/>
          <w:szCs w:val="21"/>
        </w:rPr>
      </w:pPr>
      <w:r>
        <w:rPr>
          <w:rFonts w:ascii="Arial" w:eastAsia="Calibri" w:hAnsi="Arial" w:cs="Arial"/>
          <w:sz w:val="22"/>
        </w:rPr>
        <w:t xml:space="preserve">En esta medida, </w:t>
      </w:r>
      <w:r w:rsidR="0009758D">
        <w:rPr>
          <w:rFonts w:ascii="Arial" w:eastAsia="Calibri" w:hAnsi="Arial" w:cs="Arial"/>
          <w:sz w:val="22"/>
        </w:rPr>
        <w:t xml:space="preserve">solo </w:t>
      </w:r>
      <w:r>
        <w:rPr>
          <w:rFonts w:ascii="Arial" w:eastAsia="Calibri" w:hAnsi="Arial" w:cs="Arial"/>
          <w:sz w:val="22"/>
        </w:rPr>
        <w:t>a partir de</w:t>
      </w:r>
      <w:r w:rsidR="00DC42F8" w:rsidRPr="002A66C4">
        <w:rPr>
          <w:rFonts w:ascii="Arial" w:eastAsia="Calibri" w:hAnsi="Arial" w:cs="Arial"/>
          <w:sz w:val="22"/>
        </w:rPr>
        <w:t xml:space="preserve"> </w:t>
      </w:r>
      <w:r w:rsidR="002A66C4" w:rsidRPr="002A66C4">
        <w:rPr>
          <w:rFonts w:ascii="Arial" w:eastAsia="Calibri" w:hAnsi="Arial" w:cs="Arial"/>
          <w:sz w:val="22"/>
        </w:rPr>
        <w:t>la Resolución</w:t>
      </w:r>
      <w:r>
        <w:rPr>
          <w:rFonts w:ascii="Arial" w:eastAsia="Calibri" w:hAnsi="Arial" w:cs="Arial"/>
          <w:sz w:val="22"/>
        </w:rPr>
        <w:t xml:space="preserve"> </w:t>
      </w:r>
      <w:r w:rsidR="002A66C4" w:rsidRPr="002A66C4">
        <w:rPr>
          <w:rFonts w:ascii="Arial" w:eastAsia="Calibri" w:hAnsi="Arial" w:cs="Arial"/>
          <w:sz w:val="22"/>
        </w:rPr>
        <w:t xml:space="preserve">116 del 21 de julio de 2020 </w:t>
      </w:r>
      <w:r w:rsidR="002A66C4">
        <w:rPr>
          <w:rFonts w:ascii="Arial" w:eastAsia="Calibri" w:hAnsi="Arial" w:cs="Arial"/>
          <w:sz w:val="22"/>
        </w:rPr>
        <w:t>se</w:t>
      </w:r>
      <w:r w:rsidR="002A66C4" w:rsidRPr="002A66C4">
        <w:rPr>
          <w:rFonts w:ascii="Arial" w:eastAsia="Calibri" w:hAnsi="Arial" w:cs="Arial"/>
          <w:sz w:val="22"/>
        </w:rPr>
        <w:t xml:space="preserve"> modific</w:t>
      </w:r>
      <w:r>
        <w:rPr>
          <w:rFonts w:ascii="Arial" w:eastAsia="Calibri" w:hAnsi="Arial" w:cs="Arial"/>
          <w:sz w:val="22"/>
        </w:rPr>
        <w:t>an</w:t>
      </w:r>
      <w:r w:rsidR="002A66C4" w:rsidRPr="002A66C4">
        <w:rPr>
          <w:rFonts w:ascii="Arial" w:eastAsia="Calibri" w:hAnsi="Arial" w:cs="Arial"/>
          <w:sz w:val="22"/>
        </w:rPr>
        <w:t xml:space="preserve"> los factores de calidad de los documentos tipo para selección abreviada de menor cuantía y licitación pública </w:t>
      </w:r>
      <w:r>
        <w:rPr>
          <w:rFonts w:ascii="Arial" w:eastAsia="Calibri" w:hAnsi="Arial" w:cs="Arial"/>
          <w:sz w:val="22"/>
        </w:rPr>
        <w:t>–v</w:t>
      </w:r>
      <w:r w:rsidR="002A66C4" w:rsidRPr="002A66C4">
        <w:rPr>
          <w:rFonts w:ascii="Arial" w:eastAsia="Calibri" w:hAnsi="Arial" w:cs="Arial"/>
          <w:sz w:val="22"/>
        </w:rPr>
        <w:t>ersión 2</w:t>
      </w:r>
      <w:r>
        <w:rPr>
          <w:rFonts w:ascii="Arial" w:eastAsia="Calibri" w:hAnsi="Arial" w:cs="Arial"/>
          <w:sz w:val="22"/>
        </w:rPr>
        <w:t>–</w:t>
      </w:r>
      <w:r w:rsidR="002A66C4">
        <w:rPr>
          <w:rFonts w:ascii="Arial" w:eastAsia="Calibri" w:hAnsi="Arial" w:cs="Arial"/>
          <w:sz w:val="22"/>
        </w:rPr>
        <w:t xml:space="preserve">, estableciendo </w:t>
      </w:r>
      <w:r w:rsidR="002A66C4" w:rsidRPr="002A66C4">
        <w:rPr>
          <w:rFonts w:ascii="Arial" w:eastAsia="Calibri" w:hAnsi="Arial" w:cs="Arial"/>
          <w:sz w:val="22"/>
        </w:rPr>
        <w:t>un límite al ofrecimiento del proponente</w:t>
      </w:r>
      <w:r w:rsidR="002A66C4">
        <w:rPr>
          <w:rFonts w:ascii="Arial" w:eastAsia="Calibri" w:hAnsi="Arial" w:cs="Arial"/>
          <w:sz w:val="22"/>
        </w:rPr>
        <w:t xml:space="preserve"> respecto del mantenimiento adicional</w:t>
      </w:r>
      <w:r w:rsidR="002A66C4" w:rsidRPr="002A66C4">
        <w:rPr>
          <w:rFonts w:ascii="Arial" w:eastAsia="Calibri" w:hAnsi="Arial" w:cs="Arial"/>
          <w:sz w:val="22"/>
        </w:rPr>
        <w:t xml:space="preserve"> </w:t>
      </w:r>
      <w:r w:rsidR="0009758D">
        <w:rPr>
          <w:rFonts w:ascii="Arial" w:eastAsia="Calibri" w:hAnsi="Arial" w:cs="Arial"/>
          <w:sz w:val="22"/>
        </w:rPr>
        <w:t>en</w:t>
      </w:r>
      <w:r w:rsidR="002A66C4" w:rsidRPr="002A66C4">
        <w:rPr>
          <w:rFonts w:ascii="Arial" w:eastAsia="Calibri" w:hAnsi="Arial" w:cs="Arial"/>
          <w:sz w:val="22"/>
        </w:rPr>
        <w:t xml:space="preserve"> </w:t>
      </w:r>
      <w:r>
        <w:rPr>
          <w:rFonts w:ascii="Arial" w:eastAsia="Calibri" w:hAnsi="Arial" w:cs="Arial"/>
          <w:sz w:val="22"/>
        </w:rPr>
        <w:t xml:space="preserve">un rango </w:t>
      </w:r>
      <w:r w:rsidR="0009758D">
        <w:rPr>
          <w:rFonts w:ascii="Arial" w:eastAsia="Calibri" w:hAnsi="Arial" w:cs="Arial"/>
          <w:sz w:val="22"/>
        </w:rPr>
        <w:t>de entre el</w:t>
      </w:r>
      <w:r w:rsidR="002A66C4" w:rsidRPr="002A66C4">
        <w:rPr>
          <w:rFonts w:ascii="Arial" w:eastAsia="Calibri" w:hAnsi="Arial" w:cs="Arial"/>
          <w:sz w:val="22"/>
        </w:rPr>
        <w:t xml:space="preserve"> «[…] 30% y 50% del plazo establecido por la entidad para la garantía de estabilidad y calidad de la obra de acuerdo con las disposiciones del artículo 2.2.1.2.3.1.14. del Decreto 1082 de 2015 […]».</w:t>
      </w:r>
    </w:p>
    <w:p w14:paraId="576F9479" w14:textId="77777777" w:rsidR="00DC42F8" w:rsidRDefault="00DC42F8" w:rsidP="00DC42F8">
      <w:pPr>
        <w:spacing w:line="276" w:lineRule="auto"/>
        <w:jc w:val="both"/>
        <w:rPr>
          <w:rFonts w:ascii="Arial" w:eastAsia="Calibri" w:hAnsi="Arial" w:cs="Arial"/>
          <w:sz w:val="22"/>
        </w:rPr>
      </w:pPr>
    </w:p>
    <w:p w14:paraId="6E9FDA3E" w14:textId="77777777" w:rsidR="00DC42F8" w:rsidRDefault="00DC42F8" w:rsidP="00DC42F8">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05847922" w14:textId="77777777" w:rsidR="00DC42F8" w:rsidRDefault="00DC42F8" w:rsidP="00DC42F8">
      <w:pPr>
        <w:spacing w:line="276" w:lineRule="auto"/>
        <w:jc w:val="both"/>
        <w:rPr>
          <w:rFonts w:ascii="Arial" w:eastAsia="Calibri" w:hAnsi="Arial" w:cs="Arial"/>
          <w:sz w:val="22"/>
        </w:rPr>
      </w:pPr>
    </w:p>
    <w:p w14:paraId="4627C386" w14:textId="77777777" w:rsidR="00DC42F8" w:rsidRDefault="00DC42F8" w:rsidP="00DC42F8">
      <w:pPr>
        <w:jc w:val="both"/>
        <w:rPr>
          <w:rFonts w:ascii="Arial" w:eastAsia="Calibri" w:hAnsi="Arial" w:cs="Arial"/>
          <w:sz w:val="22"/>
        </w:rPr>
      </w:pPr>
      <w:r>
        <w:rPr>
          <w:noProof/>
          <w:lang w:val="en-US"/>
        </w:rPr>
        <mc:AlternateContent>
          <mc:Choice Requires="wps">
            <w:drawing>
              <wp:anchor distT="0" distB="0" distL="114300" distR="114300" simplePos="0" relativeHeight="251658752" behindDoc="0" locked="0" layoutInCell="1" allowOverlap="1" wp14:anchorId="164910DA" wp14:editId="0C183006">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A1779F" id="Conector recto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7E84D207" w14:textId="77777777" w:rsidR="00DC42F8" w:rsidRDefault="00DC42F8" w:rsidP="00DC42F8">
      <w:pPr>
        <w:rPr>
          <w:rFonts w:ascii="Arial" w:eastAsia="Times New Roman" w:hAnsi="Arial" w:cs="Arial"/>
          <w:sz w:val="22"/>
          <w:lang w:eastAsia="es-CO"/>
        </w:rPr>
      </w:pPr>
      <w:r>
        <w:rPr>
          <w:rFonts w:ascii="Arial" w:eastAsia="Times New Roman" w:hAnsi="Arial" w:cs="Arial"/>
          <w:sz w:val="22"/>
          <w:lang w:eastAsia="es-CO"/>
        </w:rPr>
        <w:t>Atentamente,</w:t>
      </w:r>
    </w:p>
    <w:p w14:paraId="487A5B64" w14:textId="77777777" w:rsidR="00DC42F8" w:rsidRDefault="00DC42F8" w:rsidP="00DC42F8">
      <w:pPr>
        <w:rPr>
          <w:rFonts w:ascii="Arial" w:eastAsia="Times New Roman" w:hAnsi="Arial" w:cs="Arial"/>
          <w:sz w:val="22"/>
          <w:lang w:eastAsia="es-CO"/>
        </w:rPr>
      </w:pPr>
    </w:p>
    <w:p w14:paraId="1910E71E" w14:textId="6576402E" w:rsidR="00DC42F8" w:rsidRDefault="00D73AFE" w:rsidP="00DC42F8">
      <w:pPr>
        <w:jc w:val="center"/>
        <w:rPr>
          <w:rFonts w:ascii="Arial" w:eastAsia="Times New Roman" w:hAnsi="Arial" w:cs="Arial"/>
          <w:sz w:val="22"/>
          <w:lang w:eastAsia="es-CO"/>
        </w:rPr>
      </w:pPr>
      <w:r>
        <w:rPr>
          <w:noProof/>
        </w:rPr>
        <w:drawing>
          <wp:inline distT="0" distB="0" distL="0" distR="0" wp14:anchorId="04890E5D" wp14:editId="18F8BD9C">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87F30EE" w14:textId="77777777" w:rsidR="00DC42F8" w:rsidRDefault="00DC42F8" w:rsidP="00DC42F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C42F8" w14:paraId="02E89463" w14:textId="77777777" w:rsidTr="008E63E8">
        <w:trPr>
          <w:trHeight w:val="315"/>
        </w:trPr>
        <w:tc>
          <w:tcPr>
            <w:tcW w:w="812" w:type="dxa"/>
            <w:vAlign w:val="center"/>
            <w:hideMark/>
          </w:tcPr>
          <w:p w14:paraId="0284FBCC"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2BC72B6"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52899366"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DC42F8" w14:paraId="5A3045AF" w14:textId="77777777" w:rsidTr="008E63E8">
        <w:trPr>
          <w:trHeight w:val="330"/>
        </w:trPr>
        <w:tc>
          <w:tcPr>
            <w:tcW w:w="812" w:type="dxa"/>
            <w:vAlign w:val="center"/>
            <w:hideMark/>
          </w:tcPr>
          <w:p w14:paraId="2F9155C2"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E7B731" w14:textId="12ABBC2C" w:rsidR="00705A0A" w:rsidRDefault="00070C6A" w:rsidP="00705A0A">
            <w:pPr>
              <w:rPr>
                <w:rFonts w:ascii="Arial" w:eastAsia="Times New Roman" w:hAnsi="Arial" w:cs="Arial"/>
                <w:sz w:val="16"/>
                <w:szCs w:val="16"/>
                <w:lang w:eastAsia="es-ES"/>
              </w:rPr>
            </w:pPr>
            <w:r>
              <w:rPr>
                <w:rFonts w:ascii="Arial" w:eastAsia="Times New Roman" w:hAnsi="Arial" w:cs="Arial"/>
                <w:sz w:val="16"/>
                <w:szCs w:val="16"/>
                <w:lang w:eastAsia="es-ES"/>
              </w:rPr>
              <w:t xml:space="preserve">Juan David Montoya Penagos </w:t>
            </w:r>
          </w:p>
          <w:p w14:paraId="41EDC877" w14:textId="615E900A" w:rsidR="00DC42F8" w:rsidRDefault="00070C6A" w:rsidP="00705A0A">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de la </w:t>
            </w:r>
            <w:r w:rsidR="00705A0A">
              <w:rPr>
                <w:rFonts w:ascii="Arial" w:eastAsia="Times New Roman" w:hAnsi="Arial" w:cs="Arial"/>
                <w:sz w:val="16"/>
                <w:szCs w:val="16"/>
                <w:lang w:eastAsia="es-ES"/>
              </w:rPr>
              <w:t>Subdirec</w:t>
            </w:r>
            <w:r>
              <w:rPr>
                <w:rFonts w:ascii="Arial" w:eastAsia="Times New Roman" w:hAnsi="Arial" w:cs="Arial"/>
                <w:sz w:val="16"/>
                <w:szCs w:val="16"/>
                <w:lang w:eastAsia="es-ES"/>
              </w:rPr>
              <w:t>ción</w:t>
            </w:r>
            <w:r w:rsidR="00705A0A">
              <w:rPr>
                <w:rFonts w:ascii="Arial" w:eastAsia="Times New Roman" w:hAnsi="Arial" w:cs="Arial"/>
                <w:sz w:val="16"/>
                <w:szCs w:val="16"/>
                <w:lang w:eastAsia="es-ES"/>
              </w:rPr>
              <w:t xml:space="preserve"> de Gestión Contractual</w:t>
            </w:r>
          </w:p>
        </w:tc>
      </w:tr>
      <w:tr w:rsidR="00DC42F8" w14:paraId="4E5074C9" w14:textId="77777777" w:rsidTr="008E63E8">
        <w:trPr>
          <w:trHeight w:val="300"/>
        </w:trPr>
        <w:tc>
          <w:tcPr>
            <w:tcW w:w="812" w:type="dxa"/>
            <w:vAlign w:val="center"/>
            <w:hideMark/>
          </w:tcPr>
          <w:p w14:paraId="08EE3D38"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AF3D60"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7BD24FE8" w14:textId="77777777" w:rsidR="00DC42F8" w:rsidRDefault="00DC42F8" w:rsidP="00D64522">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bl>
    <w:p w14:paraId="524C8597" w14:textId="77777777" w:rsidR="00DC42F8" w:rsidRPr="00AC5C82" w:rsidRDefault="00DC42F8" w:rsidP="00DC42F8"/>
    <w:p w14:paraId="5CADE578" w14:textId="77777777" w:rsidR="00DC42F8" w:rsidRPr="000A6BCB" w:rsidRDefault="00DC42F8" w:rsidP="00DC42F8"/>
    <w:bookmarkEnd w:id="0"/>
    <w:p w14:paraId="7EBF297E" w14:textId="77777777" w:rsidR="007B0854" w:rsidRPr="00DC42F8" w:rsidRDefault="007B0854" w:rsidP="00DC42F8"/>
    <w:sectPr w:rsidR="007B0854" w:rsidRPr="00DC42F8"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8C920" w14:textId="77777777" w:rsidR="00C70871" w:rsidRDefault="00C70871">
      <w:r>
        <w:separator/>
      </w:r>
    </w:p>
  </w:endnote>
  <w:endnote w:type="continuationSeparator" w:id="0">
    <w:p w14:paraId="70C0CEB9" w14:textId="77777777" w:rsidR="00C70871" w:rsidRDefault="00C7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54E86E50"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A13C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A13CF">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10AB8" w14:textId="77777777" w:rsidR="00C70871" w:rsidRDefault="00C70871">
      <w:r>
        <w:separator/>
      </w:r>
    </w:p>
  </w:footnote>
  <w:footnote w:type="continuationSeparator" w:id="0">
    <w:p w14:paraId="68C45822" w14:textId="77777777" w:rsidR="00C70871" w:rsidRDefault="00C70871">
      <w:r>
        <w:continuationSeparator/>
      </w:r>
    </w:p>
  </w:footnote>
  <w:footnote w:id="1">
    <w:p w14:paraId="3A3E289C" w14:textId="77777777" w:rsidR="00DC42F8" w:rsidRPr="001227B2" w:rsidRDefault="00DC42F8" w:rsidP="00DC42F8">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Pr>
          <w:rFonts w:ascii="Arial" w:hAnsi="Arial" w:cs="Arial"/>
          <w:sz w:val="19"/>
          <w:szCs w:val="19"/>
        </w:rPr>
        <w:t xml:space="preserve"> </w:t>
      </w:r>
      <w:r w:rsidRPr="001227B2">
        <w:rPr>
          <w:rFonts w:ascii="Arial" w:hAnsi="Arial" w:cs="Arial"/>
          <w:sz w:val="19"/>
          <w:szCs w:val="19"/>
        </w:rPr>
        <w:t>Ley 1150 de 2007: «Artículo 17. Del derecho al debido proceso.  El debido proceso será un principio rector en materia sancionatoria de las actuaciones contractuales.</w:t>
      </w:r>
    </w:p>
    <w:p w14:paraId="7DA8C1C2" w14:textId="77777777" w:rsidR="00DC42F8" w:rsidRPr="001227B2" w:rsidRDefault="00DC42F8" w:rsidP="00DC42F8">
      <w:pPr>
        <w:pStyle w:val="Textonotapie"/>
        <w:ind w:firstLine="708"/>
        <w:jc w:val="both"/>
        <w:rPr>
          <w:rFonts w:ascii="Arial" w:hAnsi="Arial" w:cs="Arial"/>
          <w:sz w:val="19"/>
          <w:szCs w:val="19"/>
        </w:rPr>
      </w:pPr>
      <w:r w:rsidRPr="001227B2">
        <w:rPr>
          <w:rFonts w:ascii="Arial" w:hAnsi="Arial" w:cs="Arial"/>
          <w:sz w:val="19"/>
          <w:szCs w:val="19"/>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4E1E2E8E" w14:textId="77777777" w:rsidR="00DC42F8" w:rsidRPr="001227B2" w:rsidRDefault="00DC42F8" w:rsidP="00DC42F8">
      <w:pPr>
        <w:pStyle w:val="Textonotapie"/>
        <w:ind w:firstLine="708"/>
        <w:jc w:val="both"/>
        <w:rPr>
          <w:rFonts w:ascii="Arial" w:hAnsi="Arial" w:cs="Arial"/>
          <w:sz w:val="19"/>
          <w:szCs w:val="19"/>
        </w:rPr>
      </w:pPr>
      <w:r w:rsidRPr="001227B2">
        <w:rPr>
          <w:rFonts w:ascii="Arial" w:hAnsi="Arial" w:cs="Arial"/>
          <w:sz w:val="19"/>
          <w:szCs w:val="19"/>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76ECD9D2" w14:textId="77777777" w:rsidR="00DC42F8" w:rsidRPr="001227B2" w:rsidRDefault="00DC42F8" w:rsidP="00DC42F8">
      <w:pPr>
        <w:pStyle w:val="Textonotapie"/>
        <w:ind w:firstLine="708"/>
        <w:jc w:val="both"/>
        <w:rPr>
          <w:rFonts w:ascii="Arial" w:hAnsi="Arial" w:cs="Arial"/>
          <w:sz w:val="19"/>
          <w:szCs w:val="19"/>
        </w:rPr>
      </w:pPr>
      <w:r w:rsidRPr="001227B2">
        <w:rPr>
          <w:rFonts w:ascii="Arial" w:hAnsi="Arial" w:cs="Arial"/>
          <w:sz w:val="19"/>
          <w:szCs w:val="19"/>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776D3E21" w14:textId="77777777" w:rsidR="00DC42F8" w:rsidRPr="001227B2" w:rsidRDefault="00DC42F8" w:rsidP="00DC42F8">
      <w:pPr>
        <w:pStyle w:val="Textonotapie"/>
        <w:ind w:firstLine="708"/>
        <w:jc w:val="both"/>
        <w:rPr>
          <w:rFonts w:ascii="Arial" w:hAnsi="Arial" w:cs="Arial"/>
          <w:sz w:val="19"/>
          <w:szCs w:val="19"/>
        </w:rPr>
      </w:pPr>
    </w:p>
  </w:footnote>
  <w:footnote w:id="2">
    <w:p w14:paraId="34F5671C" w14:textId="77777777" w:rsidR="00DC42F8" w:rsidRPr="001227B2" w:rsidRDefault="00DC42F8" w:rsidP="00DC42F8">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sidRPr="001227B2">
        <w:rPr>
          <w:rFonts w:ascii="Arial" w:hAnsi="Arial" w:cs="Arial"/>
          <w:sz w:val="19"/>
          <w:szCs w:val="19"/>
        </w:rPr>
        <w:t xml:space="preserve"> Código Civil: «Artículo 1602. Los Contratos son ley para las partes. Todo contrato legalmente celebrado es una ley para los contratantes, y no puede ser invalidado sino por su consentimiento mutuo o por causas legales».</w:t>
      </w:r>
    </w:p>
    <w:p w14:paraId="45815F09" w14:textId="77777777" w:rsidR="00DC42F8" w:rsidRPr="001227B2" w:rsidRDefault="00DC42F8" w:rsidP="00DC42F8">
      <w:pPr>
        <w:pStyle w:val="Textonotapie"/>
        <w:ind w:firstLine="708"/>
        <w:jc w:val="both"/>
        <w:rPr>
          <w:rFonts w:ascii="Arial" w:hAnsi="Arial" w:cs="Arial"/>
          <w:sz w:val="19"/>
          <w:szCs w:val="19"/>
        </w:rPr>
      </w:pPr>
    </w:p>
  </w:footnote>
  <w:footnote w:id="3">
    <w:p w14:paraId="0F27A926" w14:textId="77777777" w:rsidR="00DC42F8" w:rsidRPr="001227B2" w:rsidRDefault="00DC42F8" w:rsidP="00DC42F8">
      <w:pPr>
        <w:pStyle w:val="Textonotapie"/>
        <w:ind w:firstLine="708"/>
        <w:jc w:val="both"/>
        <w:rPr>
          <w:rFonts w:ascii="Arial" w:hAnsi="Arial" w:cs="Arial"/>
          <w:sz w:val="19"/>
          <w:szCs w:val="19"/>
        </w:rPr>
      </w:pPr>
      <w:r w:rsidRPr="001227B2">
        <w:rPr>
          <w:rStyle w:val="Refdenotaalpie"/>
          <w:rFonts w:ascii="Arial" w:hAnsi="Arial" w:cs="Arial"/>
          <w:sz w:val="19"/>
          <w:szCs w:val="19"/>
        </w:rPr>
        <w:footnoteRef/>
      </w:r>
      <w:r w:rsidRPr="001227B2">
        <w:rPr>
          <w:rFonts w:ascii="Arial" w:hAnsi="Arial" w:cs="Arial"/>
          <w:sz w:val="19"/>
          <w:szCs w:val="19"/>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p w14:paraId="7F90D837" w14:textId="77777777" w:rsidR="00DC42F8" w:rsidRPr="001227B2" w:rsidRDefault="00DC42F8" w:rsidP="00DC42F8">
      <w:pPr>
        <w:pStyle w:val="Textonotapie"/>
        <w:ind w:firstLine="708"/>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6271813"/>
    <w:multiLevelType w:val="multilevel"/>
    <w:tmpl w:val="B23C2270"/>
    <w:lvl w:ilvl="0">
      <w:start w:val="4"/>
      <w:numFmt w:val="decimal"/>
      <w:lvlText w:val="%1."/>
      <w:lvlJc w:val="left"/>
      <w:pPr>
        <w:tabs>
          <w:tab w:val="num" w:pos="720"/>
        </w:tabs>
        <w:ind w:left="720" w:hanging="360"/>
      </w:pPr>
    </w:lvl>
    <w:lvl w:ilvl="1">
      <w:start w:val="8"/>
      <w:numFmt w:val="upp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2045D"/>
    <w:rsid w:val="00020C75"/>
    <w:rsid w:val="00067DC9"/>
    <w:rsid w:val="00070AB6"/>
    <w:rsid w:val="00070C6A"/>
    <w:rsid w:val="000742D9"/>
    <w:rsid w:val="00093667"/>
    <w:rsid w:val="000942EB"/>
    <w:rsid w:val="0009758D"/>
    <w:rsid w:val="000A5448"/>
    <w:rsid w:val="000B103F"/>
    <w:rsid w:val="000F14E8"/>
    <w:rsid w:val="000F74D6"/>
    <w:rsid w:val="00103915"/>
    <w:rsid w:val="00105DDC"/>
    <w:rsid w:val="00122B23"/>
    <w:rsid w:val="001357DC"/>
    <w:rsid w:val="00137FFA"/>
    <w:rsid w:val="00170964"/>
    <w:rsid w:val="00176F30"/>
    <w:rsid w:val="00211734"/>
    <w:rsid w:val="00234B84"/>
    <w:rsid w:val="00282A6C"/>
    <w:rsid w:val="002901A0"/>
    <w:rsid w:val="002A66C4"/>
    <w:rsid w:val="002B2434"/>
    <w:rsid w:val="002F0696"/>
    <w:rsid w:val="003033BA"/>
    <w:rsid w:val="0034680A"/>
    <w:rsid w:val="00354531"/>
    <w:rsid w:val="00373EE9"/>
    <w:rsid w:val="00386456"/>
    <w:rsid w:val="00395839"/>
    <w:rsid w:val="003960AA"/>
    <w:rsid w:val="00397013"/>
    <w:rsid w:val="003A581E"/>
    <w:rsid w:val="004017A2"/>
    <w:rsid w:val="0042495D"/>
    <w:rsid w:val="00427770"/>
    <w:rsid w:val="004422D6"/>
    <w:rsid w:val="00474AFD"/>
    <w:rsid w:val="004A34D2"/>
    <w:rsid w:val="004C3B80"/>
    <w:rsid w:val="00505E1F"/>
    <w:rsid w:val="0051074C"/>
    <w:rsid w:val="00513AF2"/>
    <w:rsid w:val="0054413A"/>
    <w:rsid w:val="005544D4"/>
    <w:rsid w:val="005564CA"/>
    <w:rsid w:val="005921B4"/>
    <w:rsid w:val="0059635F"/>
    <w:rsid w:val="005A79FE"/>
    <w:rsid w:val="005B6B0F"/>
    <w:rsid w:val="00644C5E"/>
    <w:rsid w:val="00655371"/>
    <w:rsid w:val="00655D3A"/>
    <w:rsid w:val="00697665"/>
    <w:rsid w:val="006A7FD0"/>
    <w:rsid w:val="006D7687"/>
    <w:rsid w:val="006E0572"/>
    <w:rsid w:val="00702E02"/>
    <w:rsid w:val="00705631"/>
    <w:rsid w:val="00705A0A"/>
    <w:rsid w:val="00742DD2"/>
    <w:rsid w:val="0075647A"/>
    <w:rsid w:val="007634AD"/>
    <w:rsid w:val="007668A6"/>
    <w:rsid w:val="0078122E"/>
    <w:rsid w:val="007A2D8F"/>
    <w:rsid w:val="007B0854"/>
    <w:rsid w:val="007E70AE"/>
    <w:rsid w:val="007F72CB"/>
    <w:rsid w:val="0083119B"/>
    <w:rsid w:val="00836EAB"/>
    <w:rsid w:val="0085092D"/>
    <w:rsid w:val="00880D4C"/>
    <w:rsid w:val="008D3C54"/>
    <w:rsid w:val="008E1C15"/>
    <w:rsid w:val="008E3F43"/>
    <w:rsid w:val="008E63E8"/>
    <w:rsid w:val="009047C5"/>
    <w:rsid w:val="009142F2"/>
    <w:rsid w:val="00925D64"/>
    <w:rsid w:val="0095385A"/>
    <w:rsid w:val="00964C51"/>
    <w:rsid w:val="009809BE"/>
    <w:rsid w:val="009A3176"/>
    <w:rsid w:val="009E0FBB"/>
    <w:rsid w:val="009E55FC"/>
    <w:rsid w:val="009E5AE9"/>
    <w:rsid w:val="00A10FE9"/>
    <w:rsid w:val="00A13244"/>
    <w:rsid w:val="00A135D1"/>
    <w:rsid w:val="00A24560"/>
    <w:rsid w:val="00A3082B"/>
    <w:rsid w:val="00A34538"/>
    <w:rsid w:val="00A503D6"/>
    <w:rsid w:val="00A50F4E"/>
    <w:rsid w:val="00A71696"/>
    <w:rsid w:val="00AA442B"/>
    <w:rsid w:val="00AB0535"/>
    <w:rsid w:val="00AF2915"/>
    <w:rsid w:val="00B03933"/>
    <w:rsid w:val="00B22E22"/>
    <w:rsid w:val="00B525CB"/>
    <w:rsid w:val="00B552BD"/>
    <w:rsid w:val="00B63CB2"/>
    <w:rsid w:val="00BD49C8"/>
    <w:rsid w:val="00BD52C9"/>
    <w:rsid w:val="00BD78FE"/>
    <w:rsid w:val="00BE2F0E"/>
    <w:rsid w:val="00C13534"/>
    <w:rsid w:val="00C70871"/>
    <w:rsid w:val="00C853D9"/>
    <w:rsid w:val="00CA287E"/>
    <w:rsid w:val="00CC00CD"/>
    <w:rsid w:val="00CD495B"/>
    <w:rsid w:val="00D07E44"/>
    <w:rsid w:val="00D16E39"/>
    <w:rsid w:val="00D22EAD"/>
    <w:rsid w:val="00D256E5"/>
    <w:rsid w:val="00D42891"/>
    <w:rsid w:val="00D60B0D"/>
    <w:rsid w:val="00D72E9D"/>
    <w:rsid w:val="00D73AFE"/>
    <w:rsid w:val="00D82CE5"/>
    <w:rsid w:val="00DA5AB1"/>
    <w:rsid w:val="00DC42F8"/>
    <w:rsid w:val="00DC62E5"/>
    <w:rsid w:val="00DD735D"/>
    <w:rsid w:val="00DE3119"/>
    <w:rsid w:val="00DF236B"/>
    <w:rsid w:val="00E13AB8"/>
    <w:rsid w:val="00E1532A"/>
    <w:rsid w:val="00E33B62"/>
    <w:rsid w:val="00E4122F"/>
    <w:rsid w:val="00E42794"/>
    <w:rsid w:val="00E553C6"/>
    <w:rsid w:val="00E8603C"/>
    <w:rsid w:val="00EA13CF"/>
    <w:rsid w:val="00EA5E70"/>
    <w:rsid w:val="00EF2017"/>
    <w:rsid w:val="00F3674C"/>
    <w:rsid w:val="00F53BED"/>
    <w:rsid w:val="00F70789"/>
    <w:rsid w:val="00F84899"/>
    <w:rsid w:val="00F859F0"/>
    <w:rsid w:val="00FD2E39"/>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A50F4E"/>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1357DC"/>
  </w:style>
  <w:style w:type="character" w:customStyle="1" w:styleId="eop">
    <w:name w:val="eop"/>
    <w:basedOn w:val="Fuentedeprrafopredeter"/>
    <w:rsid w:val="001357DC"/>
  </w:style>
  <w:style w:type="paragraph" w:customStyle="1" w:styleId="paragraph">
    <w:name w:val="paragraph"/>
    <w:basedOn w:val="Normal"/>
    <w:rsid w:val="001357DC"/>
    <w:pPr>
      <w:spacing w:before="100" w:beforeAutospacing="1" w:after="100" w:afterAutospacing="1"/>
    </w:pPr>
    <w:rPr>
      <w:rFonts w:ascii="Times New Roman" w:eastAsia="Times New Roman" w:hAnsi="Times New Roman" w:cs="Times New Roman"/>
      <w:szCs w:val="24"/>
      <w:lang w:val="es-CO" w:eastAsia="es-CO"/>
    </w:rPr>
  </w:style>
  <w:style w:type="paragraph" w:styleId="Textoindependiente">
    <w:name w:val="Body Text"/>
    <w:basedOn w:val="Normal"/>
    <w:link w:val="TextoindependienteCar"/>
    <w:uiPriority w:val="1"/>
    <w:semiHidden/>
    <w:unhideWhenUsed/>
    <w:qFormat/>
    <w:rsid w:val="00FD2E39"/>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semiHidden/>
    <w:rsid w:val="00FD2E39"/>
    <w:rPr>
      <w:rFonts w:ascii="Arial" w:eastAsia="Arial" w:hAnsi="Arial" w:cs="Arial"/>
      <w:lang w:val="es-ES" w:eastAsia="es-ES" w:bidi="es-ES"/>
    </w:rPr>
  </w:style>
  <w:style w:type="paragraph" w:customStyle="1" w:styleId="Default">
    <w:name w:val="Default"/>
    <w:rsid w:val="007A2D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6981760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681014404">
      <w:bodyDiv w:val="1"/>
      <w:marLeft w:val="0"/>
      <w:marRight w:val="0"/>
      <w:marTop w:val="0"/>
      <w:marBottom w:val="0"/>
      <w:divBdr>
        <w:top w:val="none" w:sz="0" w:space="0" w:color="auto"/>
        <w:left w:val="none" w:sz="0" w:space="0" w:color="auto"/>
        <w:bottom w:val="none" w:sz="0" w:space="0" w:color="auto"/>
        <w:right w:val="none" w:sz="0" w:space="0" w:color="auto"/>
      </w:divBdr>
    </w:div>
    <w:div w:id="710153174">
      <w:bodyDiv w:val="1"/>
      <w:marLeft w:val="0"/>
      <w:marRight w:val="0"/>
      <w:marTop w:val="0"/>
      <w:marBottom w:val="0"/>
      <w:divBdr>
        <w:top w:val="none" w:sz="0" w:space="0" w:color="auto"/>
        <w:left w:val="none" w:sz="0" w:space="0" w:color="auto"/>
        <w:bottom w:val="none" w:sz="0" w:space="0" w:color="auto"/>
        <w:right w:val="none" w:sz="0" w:space="0" w:color="auto"/>
      </w:divBdr>
    </w:div>
    <w:div w:id="819813398">
      <w:bodyDiv w:val="1"/>
      <w:marLeft w:val="0"/>
      <w:marRight w:val="0"/>
      <w:marTop w:val="0"/>
      <w:marBottom w:val="0"/>
      <w:divBdr>
        <w:top w:val="none" w:sz="0" w:space="0" w:color="auto"/>
        <w:left w:val="none" w:sz="0" w:space="0" w:color="auto"/>
        <w:bottom w:val="none" w:sz="0" w:space="0" w:color="auto"/>
        <w:right w:val="none" w:sz="0" w:space="0" w:color="auto"/>
      </w:divBdr>
    </w:div>
    <w:div w:id="1056974553">
      <w:bodyDiv w:val="1"/>
      <w:marLeft w:val="0"/>
      <w:marRight w:val="0"/>
      <w:marTop w:val="0"/>
      <w:marBottom w:val="0"/>
      <w:divBdr>
        <w:top w:val="none" w:sz="0" w:space="0" w:color="auto"/>
        <w:left w:val="none" w:sz="0" w:space="0" w:color="auto"/>
        <w:bottom w:val="none" w:sz="0" w:space="0" w:color="auto"/>
        <w:right w:val="none" w:sz="0" w:space="0" w:color="auto"/>
      </w:divBdr>
    </w:div>
    <w:div w:id="1908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0ED2F-0627-47E7-86AB-4E296EEFF76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D8BD8DC6-E6EF-4531-BCD0-83FA4946D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7C014-74A0-44F8-AB65-43ECAFE1C728}">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12</Pages>
  <Words>4882</Words>
  <Characters>26854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2020-08-19T16:17:00Z</dcterms:created>
  <dcterms:modified xsi:type="dcterms:W3CDTF">2020-08-19T18:48:00Z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