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795BA" w14:textId="77777777" w:rsidR="007031F2" w:rsidRPr="00D535E1" w:rsidRDefault="007031F2" w:rsidP="007031F2">
      <w:pPr>
        <w:spacing w:line="276" w:lineRule="auto"/>
        <w:jc w:val="right"/>
        <w:rPr>
          <w:rFonts w:ascii="Arial" w:eastAsia="Calibri" w:hAnsi="Arial" w:cs="Arial"/>
          <w:b/>
          <w:bCs/>
          <w:color w:val="000000" w:themeColor="text1"/>
          <w:sz w:val="22"/>
        </w:rPr>
      </w:pPr>
      <w:bookmarkStart w:id="0" w:name="_Hlk29890381"/>
      <w:bookmarkEnd w:id="0"/>
      <w:r w:rsidRPr="00D535E1">
        <w:rPr>
          <w:rFonts w:ascii="Arial" w:eastAsia="Times New Roman" w:hAnsi="Arial" w:cs="Arial"/>
          <w:b/>
          <w:bCs/>
          <w:color w:val="000000" w:themeColor="text1"/>
          <w:sz w:val="16"/>
          <w:szCs w:val="16"/>
          <w:lang w:eastAsia="es-ES"/>
        </w:rPr>
        <w:t>CCE-DES-FM-17</w:t>
      </w:r>
    </w:p>
    <w:p w14:paraId="0F07AEE1" w14:textId="77777777" w:rsidR="007031F2" w:rsidRPr="001A0E67" w:rsidRDefault="007031F2" w:rsidP="007031F2">
      <w:pPr>
        <w:jc w:val="both"/>
        <w:rPr>
          <w:rFonts w:ascii="Arial" w:hAnsi="Arial" w:cs="Arial"/>
          <w:b/>
          <w:bCs/>
          <w:color w:val="000000" w:themeColor="text1"/>
          <w:sz w:val="16"/>
          <w:szCs w:val="16"/>
          <w:lang w:val="es-ES"/>
        </w:rPr>
      </w:pPr>
    </w:p>
    <w:p w14:paraId="34CCAAF5" w14:textId="766FE639" w:rsidR="007031F2" w:rsidRPr="00D535E1" w:rsidRDefault="007031F2" w:rsidP="007031F2">
      <w:pPr>
        <w:jc w:val="both"/>
        <w:rPr>
          <w:rFonts w:ascii="Arial" w:hAnsi="Arial" w:cs="Arial"/>
          <w:b/>
          <w:bCs/>
          <w:color w:val="000000" w:themeColor="text1"/>
          <w:sz w:val="22"/>
          <w:lang w:val="es-ES"/>
        </w:rPr>
      </w:pPr>
      <w:r w:rsidRPr="00D535E1">
        <w:rPr>
          <w:rFonts w:ascii="Arial" w:hAnsi="Arial" w:cs="Arial"/>
          <w:b/>
          <w:bCs/>
          <w:color w:val="000000" w:themeColor="text1"/>
          <w:sz w:val="22"/>
          <w:lang w:val="es-ES"/>
        </w:rPr>
        <w:t xml:space="preserve">TIPOLOGÍA CONTRACTUAL </w:t>
      </w:r>
      <w:r w:rsidR="008379CE">
        <w:rPr>
          <w:rFonts w:ascii="Arial" w:hAnsi="Arial" w:cs="Arial"/>
          <w:b/>
          <w:bCs/>
          <w:color w:val="000000" w:themeColor="text1"/>
          <w:sz w:val="22"/>
          <w:lang w:val="es-ES"/>
        </w:rPr>
        <w:t xml:space="preserve">– </w:t>
      </w:r>
      <w:r w:rsidR="00D805C0">
        <w:rPr>
          <w:rFonts w:ascii="Arial" w:hAnsi="Arial" w:cs="Arial"/>
          <w:b/>
          <w:bCs/>
          <w:color w:val="000000" w:themeColor="text1"/>
          <w:sz w:val="22"/>
          <w:lang w:val="es-ES"/>
        </w:rPr>
        <w:t>Elección – Entidades contratantes</w:t>
      </w:r>
    </w:p>
    <w:p w14:paraId="2AC73BD7" w14:textId="77777777" w:rsidR="007031F2" w:rsidRPr="00D535E1" w:rsidRDefault="007031F2" w:rsidP="007031F2">
      <w:pPr>
        <w:jc w:val="both"/>
        <w:rPr>
          <w:rFonts w:ascii="Arial" w:hAnsi="Arial" w:cs="Arial"/>
          <w:b/>
          <w:bCs/>
          <w:color w:val="000000" w:themeColor="text1"/>
          <w:sz w:val="21"/>
          <w:szCs w:val="21"/>
          <w:lang w:val="es-ES"/>
        </w:rPr>
      </w:pPr>
    </w:p>
    <w:p w14:paraId="10F225ED" w14:textId="77777777" w:rsidR="003F0DE8" w:rsidRPr="003F0DE8" w:rsidRDefault="003F0DE8" w:rsidP="003F0DE8">
      <w:pPr>
        <w:jc w:val="both"/>
        <w:rPr>
          <w:rFonts w:ascii="Arial" w:hAnsi="Arial" w:cs="Arial"/>
          <w:color w:val="000000" w:themeColor="text1"/>
          <w:sz w:val="20"/>
          <w:szCs w:val="20"/>
          <w:lang w:val="es-ES"/>
        </w:rPr>
      </w:pPr>
      <w:r w:rsidRPr="003F0DE8">
        <w:rPr>
          <w:rFonts w:ascii="Arial" w:hAnsi="Arial" w:cs="Arial"/>
          <w:color w:val="000000" w:themeColor="text1"/>
          <w:sz w:val="20"/>
          <w:szCs w:val="20"/>
          <w:lang w:val="es-ES"/>
        </w:rPr>
        <w:t>En la etapa precontractual, cuando las entidades públicas elaboran los estudios previos, con el objetivo de tramitar con éxito el proceso de contratación que se requiere para satisfacer sus necesidades de bienes, obras o servicios, y con la finalidad de cumplir los cometidos estatales, las mismas deben analizar, según el objeto a contratar, cuál es el tipo de contrato y las obligaciones y prestaciones a pactar, que mejor satisfagan sus intereses.</w:t>
      </w:r>
    </w:p>
    <w:p w14:paraId="34A5C067" w14:textId="500CCF9A" w:rsidR="003F0DE8" w:rsidRPr="003F0DE8" w:rsidRDefault="003F0DE8" w:rsidP="003F0DE8">
      <w:pPr>
        <w:spacing w:before="120"/>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p>
    <w:p w14:paraId="538192C2" w14:textId="3710FEF4" w:rsidR="007031F2" w:rsidRDefault="003F0DE8" w:rsidP="003F0DE8">
      <w:pPr>
        <w:spacing w:before="120"/>
        <w:jc w:val="both"/>
        <w:rPr>
          <w:rFonts w:ascii="Arial" w:hAnsi="Arial" w:cs="Arial"/>
          <w:color w:val="000000" w:themeColor="text1"/>
          <w:sz w:val="20"/>
          <w:szCs w:val="20"/>
          <w:lang w:val="es-ES"/>
        </w:rPr>
      </w:pPr>
      <w:r w:rsidRPr="003F0DE8">
        <w:rPr>
          <w:rFonts w:ascii="Arial" w:hAnsi="Arial" w:cs="Arial"/>
          <w:color w:val="000000" w:themeColor="text1"/>
          <w:sz w:val="20"/>
          <w:szCs w:val="20"/>
          <w:lang w:val="es-ES"/>
        </w:rPr>
        <w:t>Los contratos estatales admiten todas las modalidades, condiciones y estipulaciones que las partes consideren necesarias y convenientes, siempre que no sean contrarias a Constitución, la ley, el orden público, los principios y finalidades del Estatuto General de Contratación de la Administración Pública –desde ahora EGCAP– y los de la buena administración. Lo anterior, en consonancia con lo dispuesto en los artículos 13 y 32 de la Ley 80 de 1993, permite afirmar que las entidades estatales pueden celebrar los contratos necesarios para la consecución de sus fines, ya sean estos nominados y típicos  en la legislación civil y comercial de derecho privado  o en el EGCAP , o bien pueden acudir a los contratos atípicos, donde sus estipulaciones pueden ser puramente de creación de la voluntad de las partes –siempre y cuando no contraríen normas de orden público– o pueden ser mixtas, haciendo uso de estipulaciones que responden a diferentes combinaciones de objetos contractuales.</w:t>
      </w:r>
    </w:p>
    <w:p w14:paraId="22119B0D" w14:textId="77777777" w:rsidR="003F0DE8" w:rsidRPr="003F0DE8" w:rsidRDefault="003F0DE8" w:rsidP="003F0DE8">
      <w:pPr>
        <w:jc w:val="both"/>
        <w:rPr>
          <w:rFonts w:ascii="Arial" w:hAnsi="Arial" w:cs="Arial"/>
          <w:color w:val="000000" w:themeColor="text1"/>
          <w:sz w:val="22"/>
          <w:lang w:val="es-ES"/>
        </w:rPr>
      </w:pPr>
    </w:p>
    <w:p w14:paraId="2CE80AB3" w14:textId="3DE00EF2" w:rsidR="007031F2" w:rsidRPr="00D535E1" w:rsidRDefault="007031F2" w:rsidP="007031F2">
      <w:pPr>
        <w:jc w:val="both"/>
        <w:rPr>
          <w:rFonts w:ascii="Arial" w:hAnsi="Arial" w:cs="Arial"/>
          <w:b/>
          <w:bCs/>
          <w:color w:val="000000" w:themeColor="text1"/>
          <w:sz w:val="22"/>
          <w:lang w:val="es-ES"/>
        </w:rPr>
      </w:pPr>
      <w:r w:rsidRPr="00D535E1">
        <w:rPr>
          <w:rFonts w:ascii="Arial" w:hAnsi="Arial" w:cs="Arial"/>
          <w:b/>
          <w:bCs/>
          <w:color w:val="000000" w:themeColor="text1"/>
          <w:sz w:val="22"/>
          <w:lang w:val="es-ES"/>
        </w:rPr>
        <w:t xml:space="preserve">CONTRATO DE OBRA PÚBLICA </w:t>
      </w:r>
      <w:r w:rsidR="00D805C0" w:rsidRPr="003F0DE8">
        <w:rPr>
          <w:rFonts w:ascii="Arial" w:hAnsi="Arial" w:cs="Arial"/>
          <w:b/>
          <w:bCs/>
          <w:color w:val="000000" w:themeColor="text1"/>
          <w:sz w:val="20"/>
          <w:szCs w:val="20"/>
          <w:lang w:val="es-ES"/>
        </w:rPr>
        <w:t>–</w:t>
      </w:r>
      <w:r w:rsidRPr="00D535E1">
        <w:rPr>
          <w:rFonts w:ascii="Arial" w:hAnsi="Arial" w:cs="Arial"/>
          <w:b/>
          <w:bCs/>
          <w:color w:val="000000" w:themeColor="text1"/>
          <w:sz w:val="22"/>
          <w:lang w:val="es-ES"/>
        </w:rPr>
        <w:t xml:space="preserve"> Noción</w:t>
      </w:r>
    </w:p>
    <w:p w14:paraId="5CEF2FEB" w14:textId="77777777" w:rsidR="007031F2" w:rsidRPr="00D535E1" w:rsidRDefault="007031F2" w:rsidP="007031F2">
      <w:pPr>
        <w:jc w:val="both"/>
        <w:rPr>
          <w:rFonts w:ascii="Arial" w:hAnsi="Arial" w:cs="Arial"/>
          <w:b/>
          <w:bCs/>
          <w:color w:val="000000" w:themeColor="text1"/>
          <w:sz w:val="21"/>
          <w:szCs w:val="21"/>
          <w:lang w:val="es-ES"/>
        </w:rPr>
      </w:pPr>
    </w:p>
    <w:p w14:paraId="32EE984F" w14:textId="77777777" w:rsidR="003F0DE8" w:rsidRPr="003F0DE8" w:rsidRDefault="003F0DE8" w:rsidP="003F0DE8">
      <w:pPr>
        <w:jc w:val="both"/>
        <w:rPr>
          <w:rFonts w:ascii="Arial" w:hAnsi="Arial" w:cs="Arial"/>
          <w:color w:val="000000" w:themeColor="text1"/>
          <w:sz w:val="20"/>
          <w:szCs w:val="20"/>
          <w:lang w:val="es-ES"/>
        </w:rPr>
      </w:pPr>
      <w:r w:rsidRPr="003F0DE8">
        <w:rPr>
          <w:rFonts w:ascii="Arial" w:hAnsi="Arial" w:cs="Arial"/>
          <w:color w:val="000000" w:themeColor="text1"/>
          <w:sz w:val="20"/>
          <w:szCs w:val="20"/>
          <w:lang w:val="es-ES"/>
        </w:rPr>
        <w:t>La definición del contrato de obra pública está prevista en el numeral 1° del artículo 32 de la Ley 80 de 1993, como aquel celebrado por una entidad estatal, cuyo objeto sea la construcción, mantenimiento, instalación y, general, la realización de cualquier otro trabajo material sobre bienes inmuebles, cualquiera que sea la modalidad de ejecución y pago. Al respecto, en sentencia de unificación de la Sala Plena del Consejo de Estado del 25 de febrero de 2020 , se consideró que «[…] debe entenderse que, en términos generales, el contrato de obra pública es el celebrado con entidades de derecho público para la realización de trabajos materiales sobre bienes inmuebles […]».</w:t>
      </w:r>
    </w:p>
    <w:p w14:paraId="3353D232" w14:textId="16905011" w:rsidR="007031F2" w:rsidRDefault="003F0DE8" w:rsidP="003F0DE8">
      <w:pPr>
        <w:spacing w:before="120"/>
        <w:jc w:val="both"/>
        <w:rPr>
          <w:rFonts w:ascii="Arial" w:hAnsi="Arial" w:cs="Arial"/>
          <w:color w:val="000000" w:themeColor="text1"/>
          <w:sz w:val="20"/>
          <w:szCs w:val="20"/>
          <w:lang w:val="es-ES"/>
        </w:rPr>
      </w:pPr>
      <w:r w:rsidRPr="003F0DE8">
        <w:rPr>
          <w:rFonts w:ascii="Arial" w:hAnsi="Arial" w:cs="Arial"/>
          <w:color w:val="000000" w:themeColor="text1"/>
          <w:sz w:val="20"/>
          <w:szCs w:val="20"/>
          <w:lang w:val="es-ES"/>
        </w:rPr>
        <w:t>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 bienes.</w:t>
      </w:r>
    </w:p>
    <w:p w14:paraId="395C5712" w14:textId="77777777" w:rsidR="003F0DE8" w:rsidRPr="003F0DE8" w:rsidRDefault="003F0DE8" w:rsidP="003F0DE8">
      <w:pPr>
        <w:jc w:val="both"/>
        <w:rPr>
          <w:rFonts w:ascii="Arial" w:hAnsi="Arial" w:cs="Arial"/>
          <w:color w:val="000000" w:themeColor="text1"/>
          <w:sz w:val="22"/>
          <w:lang w:val="es-ES"/>
        </w:rPr>
      </w:pPr>
    </w:p>
    <w:p w14:paraId="4A65F38A" w14:textId="788047E7" w:rsidR="007031F2" w:rsidRPr="00D535E1" w:rsidRDefault="007031F2" w:rsidP="007031F2">
      <w:pPr>
        <w:jc w:val="both"/>
        <w:rPr>
          <w:rFonts w:ascii="Arial" w:hAnsi="Arial" w:cs="Arial"/>
          <w:b/>
          <w:bCs/>
          <w:color w:val="000000" w:themeColor="text1"/>
          <w:sz w:val="22"/>
          <w:lang w:val="es-ES"/>
        </w:rPr>
      </w:pPr>
      <w:r w:rsidRPr="00D535E1">
        <w:rPr>
          <w:rFonts w:ascii="Arial" w:hAnsi="Arial" w:cs="Arial"/>
          <w:b/>
          <w:bCs/>
          <w:color w:val="000000" w:themeColor="text1"/>
          <w:sz w:val="22"/>
          <w:lang w:val="es-ES"/>
        </w:rPr>
        <w:t xml:space="preserve">CONTRATO DE OBRA PÚBLICA </w:t>
      </w:r>
      <w:r w:rsidR="00D805C0">
        <w:rPr>
          <w:rFonts w:ascii="Arial" w:hAnsi="Arial" w:cs="Arial"/>
          <w:b/>
          <w:bCs/>
          <w:color w:val="000000" w:themeColor="text1"/>
          <w:sz w:val="20"/>
          <w:szCs w:val="20"/>
          <w:lang w:val="es-ES"/>
        </w:rPr>
        <w:t>–</w:t>
      </w:r>
      <w:r w:rsidR="00AA6DAE">
        <w:rPr>
          <w:rFonts w:ascii="Arial" w:hAnsi="Arial" w:cs="Arial"/>
          <w:b/>
          <w:bCs/>
          <w:color w:val="000000" w:themeColor="text1"/>
          <w:sz w:val="22"/>
          <w:lang w:val="es-ES"/>
        </w:rPr>
        <w:t xml:space="preserve"> Noción </w:t>
      </w:r>
      <w:r w:rsidR="00AA6DAE">
        <w:rPr>
          <w:rFonts w:ascii="Arial" w:eastAsia="Calibri" w:hAnsi="Arial" w:cs="Arial"/>
          <w:b/>
          <w:sz w:val="22"/>
        </w:rPr>
        <w:t xml:space="preserve">– </w:t>
      </w:r>
      <w:r w:rsidRPr="00D535E1">
        <w:rPr>
          <w:rFonts w:ascii="Arial" w:hAnsi="Arial" w:cs="Arial"/>
          <w:b/>
          <w:bCs/>
          <w:color w:val="000000" w:themeColor="text1"/>
          <w:sz w:val="22"/>
          <w:lang w:val="es-ES"/>
        </w:rPr>
        <w:t>«</w:t>
      </w:r>
      <w:r w:rsidR="00AA6DAE">
        <w:rPr>
          <w:rFonts w:ascii="Arial" w:hAnsi="Arial" w:cs="Arial"/>
          <w:b/>
          <w:bCs/>
          <w:color w:val="000000" w:themeColor="text1"/>
          <w:sz w:val="22"/>
          <w:lang w:val="es-ES"/>
        </w:rPr>
        <w:t xml:space="preserve">contrato de </w:t>
      </w:r>
      <w:r w:rsidRPr="00D535E1">
        <w:rPr>
          <w:rFonts w:ascii="Arial" w:hAnsi="Arial" w:cs="Arial"/>
          <w:b/>
          <w:bCs/>
          <w:color w:val="000000" w:themeColor="text1"/>
          <w:sz w:val="22"/>
          <w:lang w:val="es-ES"/>
        </w:rPr>
        <w:t xml:space="preserve">obra» </w:t>
      </w:r>
      <w:r w:rsidR="00AA6DAE">
        <w:rPr>
          <w:rFonts w:ascii="Arial" w:eastAsia="Calibri" w:hAnsi="Arial" w:cs="Arial"/>
          <w:b/>
          <w:sz w:val="22"/>
        </w:rPr>
        <w:t xml:space="preserve">– </w:t>
      </w:r>
      <w:r w:rsidRPr="00D535E1">
        <w:rPr>
          <w:rFonts w:ascii="Arial" w:hAnsi="Arial" w:cs="Arial"/>
          <w:b/>
          <w:bCs/>
          <w:color w:val="000000" w:themeColor="text1"/>
          <w:sz w:val="22"/>
          <w:lang w:val="es-ES"/>
        </w:rPr>
        <w:t>«</w:t>
      </w:r>
      <w:r w:rsidR="00AA6DAE">
        <w:rPr>
          <w:rFonts w:ascii="Arial" w:hAnsi="Arial" w:cs="Arial"/>
          <w:b/>
          <w:bCs/>
          <w:color w:val="000000" w:themeColor="text1"/>
          <w:sz w:val="22"/>
          <w:lang w:val="es-ES"/>
        </w:rPr>
        <w:t xml:space="preserve">contrato de </w:t>
      </w:r>
      <w:r w:rsidRPr="00D535E1">
        <w:rPr>
          <w:rFonts w:ascii="Arial" w:hAnsi="Arial" w:cs="Arial"/>
          <w:b/>
          <w:bCs/>
          <w:color w:val="000000" w:themeColor="text1"/>
          <w:sz w:val="22"/>
          <w:lang w:val="es-ES"/>
        </w:rPr>
        <w:t xml:space="preserve">obra pública» – </w:t>
      </w:r>
      <w:r w:rsidR="00AA6DAE">
        <w:rPr>
          <w:rFonts w:ascii="Arial" w:hAnsi="Arial" w:cs="Arial"/>
          <w:b/>
          <w:bCs/>
          <w:color w:val="000000" w:themeColor="text1"/>
          <w:sz w:val="22"/>
          <w:lang w:val="es-ES"/>
        </w:rPr>
        <w:t xml:space="preserve">Ley 80 de 1993 </w:t>
      </w:r>
      <w:r w:rsidR="00AA6DAE">
        <w:rPr>
          <w:rFonts w:ascii="Arial" w:eastAsia="Calibri" w:hAnsi="Arial" w:cs="Arial"/>
          <w:b/>
          <w:sz w:val="22"/>
        </w:rPr>
        <w:t xml:space="preserve">– Ley 1150 de 2007 – </w:t>
      </w:r>
      <w:r w:rsidRPr="00D535E1">
        <w:rPr>
          <w:rFonts w:ascii="Arial" w:hAnsi="Arial" w:cs="Arial"/>
          <w:b/>
          <w:bCs/>
          <w:color w:val="000000" w:themeColor="text1"/>
          <w:sz w:val="22"/>
          <w:lang w:val="es-ES"/>
        </w:rPr>
        <w:t>Alcance</w:t>
      </w:r>
    </w:p>
    <w:p w14:paraId="443CD51E" w14:textId="77777777" w:rsidR="007031F2" w:rsidRPr="00D535E1" w:rsidRDefault="007031F2" w:rsidP="007031F2">
      <w:pPr>
        <w:jc w:val="both"/>
        <w:rPr>
          <w:rFonts w:ascii="Arial" w:hAnsi="Arial" w:cs="Arial"/>
          <w:b/>
          <w:bCs/>
          <w:color w:val="000000" w:themeColor="text1"/>
          <w:sz w:val="21"/>
          <w:szCs w:val="21"/>
          <w:lang w:val="es-ES"/>
        </w:rPr>
      </w:pPr>
    </w:p>
    <w:p w14:paraId="44BC72E9" w14:textId="709B19E5" w:rsidR="00D0477C" w:rsidRDefault="007031F2" w:rsidP="007031F2">
      <w:pPr>
        <w:jc w:val="both"/>
        <w:rPr>
          <w:rFonts w:ascii="Arial" w:hAnsi="Arial" w:cs="Arial"/>
          <w:color w:val="000000" w:themeColor="text1"/>
          <w:sz w:val="20"/>
          <w:szCs w:val="20"/>
          <w:lang w:val="es-ES"/>
        </w:rPr>
      </w:pPr>
      <w:r w:rsidRPr="00D535E1">
        <w:rPr>
          <w:rFonts w:ascii="Arial" w:hAnsi="Arial" w:cs="Arial"/>
          <w:color w:val="000000" w:themeColor="text1"/>
          <w:sz w:val="20"/>
          <w:szCs w:val="20"/>
          <w:lang w:val="es-ES"/>
        </w:rPr>
        <w:t xml:space="preserve">[…] la </w:t>
      </w:r>
      <w:r w:rsidR="009E19C5" w:rsidRPr="009E19C5">
        <w:rPr>
          <w:rFonts w:ascii="Arial" w:hAnsi="Arial" w:cs="Arial"/>
          <w:color w:val="000000" w:themeColor="text1"/>
          <w:sz w:val="20"/>
          <w:szCs w:val="20"/>
          <w:lang w:val="es-ES"/>
        </w:rPr>
        <w:t xml:space="preserve">Agencia Nacional de Contratación Pública considera que las nociones «contrato de obra» y «contrato de obra pública», utilizadas indistintamente en las Leyes 80 de 1993 y 1150 de 2007, se refieren al contrato de obra pública que regula el numeral 1 del artículo 32 del EGCAP. En otras palabras, el «contrato de obra» y el «contrato de obra pública», para los fines del EGCAP, se refieren a una misma tipología contractual, específicamente, al contrato referido en el numeral 1 del artículo 32 </w:t>
      </w:r>
      <w:r w:rsidR="009E19C5" w:rsidRPr="009E19C5">
        <w:rPr>
          <w:rFonts w:ascii="Arial" w:hAnsi="Arial" w:cs="Arial"/>
          <w:i/>
          <w:color w:val="000000" w:themeColor="text1"/>
          <w:sz w:val="20"/>
          <w:szCs w:val="20"/>
          <w:lang w:val="es-ES"/>
        </w:rPr>
        <w:t>ibídem</w:t>
      </w:r>
      <w:r w:rsidR="009E19C5" w:rsidRPr="009E19C5">
        <w:rPr>
          <w:rFonts w:ascii="Arial" w:hAnsi="Arial" w:cs="Arial"/>
          <w:color w:val="000000" w:themeColor="text1"/>
          <w:sz w:val="20"/>
          <w:szCs w:val="20"/>
          <w:lang w:val="es-ES"/>
        </w:rPr>
        <w:t>.</w:t>
      </w:r>
    </w:p>
    <w:p w14:paraId="093D6653" w14:textId="138B22A5" w:rsidR="009E19C5" w:rsidRDefault="009E19C5" w:rsidP="007031F2">
      <w:pPr>
        <w:jc w:val="both"/>
        <w:rPr>
          <w:rFonts w:ascii="Arial" w:hAnsi="Arial" w:cs="Arial"/>
          <w:color w:val="000000" w:themeColor="text1"/>
          <w:sz w:val="22"/>
          <w:lang w:val="es-ES"/>
        </w:rPr>
      </w:pPr>
    </w:p>
    <w:p w14:paraId="2067531D" w14:textId="7B9444C2" w:rsidR="007031F2" w:rsidRPr="00086C47" w:rsidRDefault="007031F2" w:rsidP="007031F2">
      <w:pPr>
        <w:rPr>
          <w:rFonts w:ascii="Arial" w:eastAsia="Calibri" w:hAnsi="Arial" w:cs="Arial"/>
          <w:b/>
          <w:color w:val="000000" w:themeColor="text1"/>
          <w:sz w:val="22"/>
        </w:rPr>
      </w:pPr>
      <w:r w:rsidRPr="00086C47">
        <w:rPr>
          <w:rFonts w:ascii="Arial" w:eastAsia="Calibri" w:hAnsi="Arial" w:cs="Arial"/>
          <w:color w:val="000000" w:themeColor="text1"/>
          <w:sz w:val="22"/>
        </w:rPr>
        <w:lastRenderedPageBreak/>
        <w:t xml:space="preserve">Bogotá D.C., </w:t>
      </w:r>
      <w:r w:rsidR="00102215" w:rsidRPr="00102215">
        <w:rPr>
          <w:rFonts w:ascii="Arial" w:eastAsia="Calibri" w:hAnsi="Arial" w:cs="Arial"/>
          <w:b/>
          <w:color w:val="000000" w:themeColor="text1"/>
          <w:sz w:val="22"/>
        </w:rPr>
        <w:t>13/08/2020 Hora 11:30:38s</w:t>
      </w:r>
    </w:p>
    <w:p w14:paraId="36EC45E5" w14:textId="77777777" w:rsidR="007031F2" w:rsidRPr="00086C47" w:rsidRDefault="007031F2" w:rsidP="007031F2">
      <w:pPr>
        <w:jc w:val="right"/>
        <w:rPr>
          <w:rFonts w:ascii="Arial" w:eastAsia="Calibri" w:hAnsi="Arial" w:cs="Arial"/>
          <w:b/>
          <w:color w:val="000000" w:themeColor="text1"/>
          <w:sz w:val="22"/>
        </w:rPr>
      </w:pPr>
    </w:p>
    <w:p w14:paraId="21422B2C" w14:textId="55F47E80" w:rsidR="007031F2" w:rsidRPr="00086C47" w:rsidRDefault="007031F2" w:rsidP="007031F2">
      <w:pPr>
        <w:jc w:val="right"/>
        <w:rPr>
          <w:rFonts w:ascii="Arial" w:eastAsia="Calibri" w:hAnsi="Arial" w:cs="Arial"/>
          <w:b/>
          <w:color w:val="000000" w:themeColor="text1"/>
          <w:sz w:val="22"/>
        </w:rPr>
      </w:pPr>
      <w:r w:rsidRPr="00086C47">
        <w:rPr>
          <w:rFonts w:ascii="Arial" w:eastAsia="Calibri" w:hAnsi="Arial" w:cs="Arial"/>
          <w:b/>
          <w:color w:val="000000" w:themeColor="text1"/>
          <w:sz w:val="22"/>
        </w:rPr>
        <w:t xml:space="preserve">N° Radicado: </w:t>
      </w:r>
      <w:r w:rsidR="00102215" w:rsidRPr="00102215">
        <w:rPr>
          <w:rFonts w:ascii="Arial" w:eastAsia="Calibri" w:hAnsi="Arial" w:cs="Arial"/>
          <w:b/>
          <w:color w:val="000000" w:themeColor="text1"/>
          <w:sz w:val="22"/>
        </w:rPr>
        <w:t>2202013000007448</w:t>
      </w:r>
    </w:p>
    <w:p w14:paraId="027F0DAE" w14:textId="77777777" w:rsidR="007031F2" w:rsidRPr="00086C47" w:rsidRDefault="007031F2" w:rsidP="007031F2">
      <w:pPr>
        <w:rPr>
          <w:rFonts w:ascii="Arial" w:eastAsia="Calibri" w:hAnsi="Arial" w:cs="Arial"/>
          <w:color w:val="000000" w:themeColor="text1"/>
          <w:sz w:val="22"/>
        </w:rPr>
      </w:pPr>
    </w:p>
    <w:p w14:paraId="2FE42A23" w14:textId="77777777" w:rsidR="007031F2" w:rsidRPr="00086C47" w:rsidRDefault="007031F2" w:rsidP="007031F2">
      <w:pPr>
        <w:rPr>
          <w:rFonts w:ascii="Arial" w:eastAsia="Calibri" w:hAnsi="Arial" w:cs="Arial"/>
          <w:color w:val="000000" w:themeColor="text1"/>
          <w:sz w:val="22"/>
        </w:rPr>
      </w:pPr>
      <w:r w:rsidRPr="00086C47">
        <w:rPr>
          <w:rFonts w:ascii="Arial" w:eastAsia="Calibri" w:hAnsi="Arial" w:cs="Arial"/>
          <w:color w:val="000000" w:themeColor="text1"/>
          <w:sz w:val="22"/>
        </w:rPr>
        <w:t>Señor</w:t>
      </w:r>
    </w:p>
    <w:p w14:paraId="5F315635" w14:textId="77777777" w:rsidR="007031F2" w:rsidRPr="00086C47" w:rsidRDefault="007031F2" w:rsidP="007031F2">
      <w:pPr>
        <w:rPr>
          <w:rFonts w:ascii="Arial" w:eastAsia="Calibri" w:hAnsi="Arial" w:cs="Arial"/>
          <w:b/>
          <w:color w:val="000000" w:themeColor="text1"/>
          <w:sz w:val="22"/>
        </w:rPr>
      </w:pPr>
      <w:r w:rsidRPr="00086C47">
        <w:rPr>
          <w:rFonts w:ascii="Arial" w:eastAsia="Calibri" w:hAnsi="Arial" w:cs="Arial"/>
          <w:b/>
          <w:color w:val="000000" w:themeColor="text1"/>
          <w:sz w:val="22"/>
        </w:rPr>
        <w:t>Jaime Omar Rincón</w:t>
      </w:r>
    </w:p>
    <w:p w14:paraId="02C512C3" w14:textId="77777777" w:rsidR="007031F2" w:rsidRPr="00086C47" w:rsidRDefault="007031F2" w:rsidP="007031F2">
      <w:pPr>
        <w:rPr>
          <w:rFonts w:ascii="Arial" w:eastAsia="Calibri" w:hAnsi="Arial" w:cs="Arial"/>
          <w:color w:val="000000" w:themeColor="text1"/>
          <w:sz w:val="22"/>
        </w:rPr>
      </w:pPr>
      <w:r w:rsidRPr="00086C47">
        <w:rPr>
          <w:rFonts w:ascii="Arial" w:eastAsia="Calibri" w:hAnsi="Arial" w:cs="Arial"/>
          <w:color w:val="000000" w:themeColor="text1"/>
          <w:sz w:val="22"/>
        </w:rPr>
        <w:t>Bogotá D.C., Cundinamarca</w:t>
      </w:r>
    </w:p>
    <w:p w14:paraId="21442F52" w14:textId="77777777" w:rsidR="00D0477C" w:rsidRDefault="00D0477C" w:rsidP="007031F2">
      <w:pPr>
        <w:rPr>
          <w:rFonts w:ascii="Arial" w:eastAsia="Calibri" w:hAnsi="Arial" w:cs="Arial"/>
          <w:b/>
          <w:color w:val="000000" w:themeColor="text1"/>
          <w:sz w:val="22"/>
        </w:rPr>
      </w:pPr>
    </w:p>
    <w:p w14:paraId="5D6D7EB5" w14:textId="6DE6A6DF" w:rsidR="007031F2" w:rsidRPr="00086C47" w:rsidRDefault="007031F2" w:rsidP="007031F2">
      <w:pPr>
        <w:rPr>
          <w:rFonts w:ascii="Arial" w:eastAsia="Calibri" w:hAnsi="Arial" w:cs="Arial"/>
          <w:b/>
          <w:color w:val="000000" w:themeColor="text1"/>
          <w:sz w:val="22"/>
        </w:rPr>
      </w:pPr>
      <w:r w:rsidRPr="00086C47">
        <w:rPr>
          <w:rFonts w:ascii="Arial" w:eastAsia="Calibri" w:hAnsi="Arial" w:cs="Arial"/>
          <w:b/>
          <w:color w:val="000000" w:themeColor="text1"/>
          <w:sz w:val="22"/>
        </w:rPr>
        <w:t xml:space="preserve">                                      </w:t>
      </w:r>
    </w:p>
    <w:p w14:paraId="4CA2C49D" w14:textId="77777777" w:rsidR="007031F2" w:rsidRPr="00086C47" w:rsidRDefault="007031F2" w:rsidP="007031F2">
      <w:pPr>
        <w:rPr>
          <w:rFonts w:ascii="Arial" w:eastAsia="Calibri" w:hAnsi="Arial" w:cs="Arial"/>
          <w:color w:val="000000" w:themeColor="text1"/>
          <w:sz w:val="22"/>
        </w:rPr>
      </w:pPr>
    </w:p>
    <w:p w14:paraId="1B5DAA3B" w14:textId="77777777" w:rsidR="007031F2" w:rsidRPr="00086C47" w:rsidRDefault="007031F2" w:rsidP="007031F2">
      <w:pPr>
        <w:rPr>
          <w:rFonts w:ascii="Arial" w:eastAsia="Calibri" w:hAnsi="Arial" w:cs="Arial"/>
          <w:b/>
          <w:color w:val="000000" w:themeColor="text1"/>
          <w:sz w:val="22"/>
        </w:rPr>
      </w:pPr>
      <w:r w:rsidRPr="00086C47">
        <w:rPr>
          <w:rFonts w:ascii="Arial" w:eastAsia="Calibri" w:hAnsi="Arial" w:cs="Arial"/>
          <w:color w:val="000000" w:themeColor="text1"/>
          <w:sz w:val="22"/>
        </w:rPr>
        <w:t xml:space="preserve">                                            </w:t>
      </w:r>
      <w:r w:rsidRPr="00086C47">
        <w:rPr>
          <w:rFonts w:ascii="Arial" w:eastAsia="Calibri" w:hAnsi="Arial" w:cs="Arial"/>
          <w:b/>
          <w:color w:val="000000" w:themeColor="text1"/>
          <w:sz w:val="22"/>
        </w:rPr>
        <w:t>Concepto C–530 de 2020</w:t>
      </w:r>
    </w:p>
    <w:p w14:paraId="73586230" w14:textId="77777777" w:rsidR="007031F2" w:rsidRPr="00086C47" w:rsidRDefault="007031F2" w:rsidP="007031F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31F2" w:rsidRPr="00086C47" w14:paraId="72F8987E" w14:textId="77777777" w:rsidTr="00BD57C1">
        <w:tc>
          <w:tcPr>
            <w:tcW w:w="2689" w:type="dxa"/>
            <w:hideMark/>
          </w:tcPr>
          <w:p w14:paraId="20BBB397" w14:textId="77777777" w:rsidR="007031F2" w:rsidRPr="00086C47" w:rsidRDefault="007031F2" w:rsidP="00BD57C1">
            <w:pPr>
              <w:rPr>
                <w:rFonts w:ascii="Arial" w:eastAsia="Calibri" w:hAnsi="Arial" w:cs="Arial"/>
                <w:color w:val="000000" w:themeColor="text1"/>
                <w:sz w:val="22"/>
              </w:rPr>
            </w:pPr>
            <w:r w:rsidRPr="00086C47">
              <w:rPr>
                <w:rFonts w:ascii="Arial" w:eastAsia="Calibri" w:hAnsi="Arial" w:cs="Arial"/>
                <w:b/>
                <w:color w:val="000000" w:themeColor="text1"/>
                <w:sz w:val="22"/>
              </w:rPr>
              <w:t>Temas:</w:t>
            </w:r>
            <w:r w:rsidRPr="00086C47">
              <w:rPr>
                <w:rFonts w:ascii="Arial" w:eastAsia="Calibri" w:hAnsi="Arial" w:cs="Arial"/>
                <w:color w:val="000000" w:themeColor="text1"/>
                <w:sz w:val="22"/>
              </w:rPr>
              <w:t xml:space="preserve">           </w:t>
            </w:r>
          </w:p>
          <w:p w14:paraId="5BE56DE9" w14:textId="77777777" w:rsidR="007031F2" w:rsidRPr="00086C47" w:rsidRDefault="007031F2" w:rsidP="00BD57C1">
            <w:pPr>
              <w:rPr>
                <w:rFonts w:ascii="Arial" w:eastAsia="Calibri" w:hAnsi="Arial" w:cs="Arial"/>
                <w:color w:val="000000" w:themeColor="text1"/>
                <w:sz w:val="22"/>
              </w:rPr>
            </w:pPr>
            <w:r w:rsidRPr="00086C47">
              <w:rPr>
                <w:rFonts w:ascii="Arial" w:eastAsia="Calibri" w:hAnsi="Arial" w:cs="Arial"/>
                <w:color w:val="000000" w:themeColor="text1"/>
                <w:sz w:val="22"/>
              </w:rPr>
              <w:t xml:space="preserve">                           </w:t>
            </w:r>
          </w:p>
        </w:tc>
        <w:tc>
          <w:tcPr>
            <w:tcW w:w="6237" w:type="dxa"/>
            <w:hideMark/>
          </w:tcPr>
          <w:p w14:paraId="0BB67D7B" w14:textId="02C042FA" w:rsidR="007031F2" w:rsidRPr="003F0DE8" w:rsidRDefault="003F0DE8" w:rsidP="003F0DE8">
            <w:pPr>
              <w:jc w:val="both"/>
              <w:rPr>
                <w:rFonts w:ascii="Arial" w:hAnsi="Arial" w:cs="Arial"/>
                <w:color w:val="000000" w:themeColor="text1"/>
                <w:sz w:val="22"/>
                <w:lang w:val="es-ES"/>
              </w:rPr>
            </w:pPr>
            <w:r w:rsidRPr="003F0DE8">
              <w:rPr>
                <w:rFonts w:ascii="Arial" w:hAnsi="Arial" w:cs="Arial"/>
                <w:color w:val="000000" w:themeColor="text1"/>
                <w:sz w:val="22"/>
                <w:lang w:val="es-ES"/>
              </w:rPr>
              <w:t>TIPOLOGÍA CONTRACTUAL – Elección – Entidades contratantes</w:t>
            </w:r>
            <w:r>
              <w:rPr>
                <w:rFonts w:ascii="Arial" w:hAnsi="Arial" w:cs="Arial"/>
                <w:color w:val="000000" w:themeColor="text1"/>
                <w:sz w:val="22"/>
                <w:lang w:val="es-ES"/>
              </w:rPr>
              <w:t xml:space="preserve"> / </w:t>
            </w:r>
            <w:r w:rsidRPr="003F0DE8">
              <w:rPr>
                <w:rFonts w:ascii="Arial" w:hAnsi="Arial" w:cs="Arial"/>
                <w:color w:val="000000" w:themeColor="text1"/>
                <w:sz w:val="22"/>
                <w:lang w:val="es-ES"/>
              </w:rPr>
              <w:t>CONTRATO DE OBRA PÚBLICA – Noción</w:t>
            </w:r>
            <w:r>
              <w:rPr>
                <w:rFonts w:ascii="Arial" w:hAnsi="Arial" w:cs="Arial"/>
                <w:color w:val="000000" w:themeColor="text1"/>
                <w:sz w:val="22"/>
                <w:lang w:val="es-ES"/>
              </w:rPr>
              <w:t xml:space="preserve"> / </w:t>
            </w:r>
            <w:r w:rsidRPr="003F0DE8">
              <w:rPr>
                <w:rFonts w:ascii="Arial" w:hAnsi="Arial" w:cs="Arial"/>
                <w:color w:val="000000" w:themeColor="text1"/>
                <w:sz w:val="22"/>
                <w:lang w:val="es-ES"/>
              </w:rPr>
              <w:t>CONTRATO DE OBRA PÚBLICA – Nociones «obra» y «obra pública» – Alcance</w:t>
            </w:r>
          </w:p>
        </w:tc>
      </w:tr>
      <w:tr w:rsidR="007031F2" w:rsidRPr="00086C47" w14:paraId="2B9ABF7F" w14:textId="77777777" w:rsidTr="00BD57C1">
        <w:tc>
          <w:tcPr>
            <w:tcW w:w="2689" w:type="dxa"/>
          </w:tcPr>
          <w:p w14:paraId="45FF1E8C" w14:textId="77777777" w:rsidR="007031F2" w:rsidRPr="00086C47" w:rsidRDefault="007031F2" w:rsidP="00BD57C1">
            <w:pPr>
              <w:spacing w:before="60"/>
              <w:rPr>
                <w:rFonts w:ascii="Arial" w:eastAsia="Calibri" w:hAnsi="Arial" w:cs="Arial"/>
                <w:b/>
                <w:color w:val="000000" w:themeColor="text1"/>
                <w:sz w:val="22"/>
              </w:rPr>
            </w:pPr>
            <w:r w:rsidRPr="00086C47">
              <w:rPr>
                <w:rFonts w:ascii="Arial" w:eastAsia="Calibri" w:hAnsi="Arial" w:cs="Arial"/>
                <w:b/>
                <w:color w:val="000000" w:themeColor="text1"/>
                <w:sz w:val="22"/>
              </w:rPr>
              <w:t>Radicación:</w:t>
            </w:r>
            <w:r w:rsidRPr="00086C47">
              <w:rPr>
                <w:rFonts w:ascii="Arial" w:eastAsia="Calibri" w:hAnsi="Arial" w:cs="Arial"/>
                <w:color w:val="000000" w:themeColor="text1"/>
                <w:sz w:val="22"/>
              </w:rPr>
              <w:t xml:space="preserve">                              </w:t>
            </w:r>
          </w:p>
        </w:tc>
        <w:tc>
          <w:tcPr>
            <w:tcW w:w="6237" w:type="dxa"/>
          </w:tcPr>
          <w:p w14:paraId="6743B59A" w14:textId="77777777" w:rsidR="007031F2" w:rsidRPr="00086C47" w:rsidRDefault="007031F2" w:rsidP="00BD57C1">
            <w:pPr>
              <w:spacing w:before="60"/>
              <w:jc w:val="both"/>
              <w:rPr>
                <w:rFonts w:ascii="Arial" w:eastAsia="Calibri" w:hAnsi="Arial" w:cs="Arial"/>
                <w:color w:val="000000" w:themeColor="text1"/>
                <w:sz w:val="22"/>
              </w:rPr>
            </w:pPr>
            <w:r w:rsidRPr="00086C47">
              <w:rPr>
                <w:rFonts w:ascii="Arial" w:eastAsia="Calibri" w:hAnsi="Arial" w:cs="Arial"/>
                <w:color w:val="000000" w:themeColor="text1"/>
                <w:sz w:val="22"/>
              </w:rPr>
              <w:t>Respuesta a consulta # 4202013000006644</w:t>
            </w:r>
          </w:p>
        </w:tc>
      </w:tr>
    </w:tbl>
    <w:p w14:paraId="6AB129D9" w14:textId="77777777" w:rsidR="007031F2" w:rsidRPr="00086C47" w:rsidRDefault="007031F2" w:rsidP="007031F2">
      <w:pPr>
        <w:spacing w:before="60"/>
        <w:jc w:val="both"/>
        <w:rPr>
          <w:rFonts w:ascii="Arial" w:eastAsia="Calibri" w:hAnsi="Arial" w:cs="Arial"/>
          <w:color w:val="000000" w:themeColor="text1"/>
          <w:sz w:val="22"/>
        </w:rPr>
      </w:pPr>
    </w:p>
    <w:p w14:paraId="299F6B4F" w14:textId="77777777" w:rsidR="007031F2" w:rsidRPr="00086C47" w:rsidRDefault="007031F2" w:rsidP="007031F2">
      <w:pPr>
        <w:rPr>
          <w:rFonts w:ascii="Arial" w:eastAsia="Calibri" w:hAnsi="Arial" w:cs="Arial"/>
          <w:color w:val="000000" w:themeColor="text1"/>
          <w:sz w:val="22"/>
        </w:rPr>
      </w:pPr>
    </w:p>
    <w:p w14:paraId="63E48ABE" w14:textId="77777777" w:rsidR="007031F2" w:rsidRPr="00086C47" w:rsidRDefault="007031F2" w:rsidP="007031F2">
      <w:pPr>
        <w:rPr>
          <w:rFonts w:ascii="Arial" w:eastAsia="Calibri" w:hAnsi="Arial" w:cs="Arial"/>
          <w:color w:val="000000" w:themeColor="text1"/>
          <w:sz w:val="22"/>
        </w:rPr>
      </w:pPr>
      <w:r w:rsidRPr="00086C47">
        <w:rPr>
          <w:rFonts w:ascii="Arial" w:eastAsia="Calibri" w:hAnsi="Arial" w:cs="Arial"/>
          <w:color w:val="000000" w:themeColor="text1"/>
          <w:sz w:val="22"/>
        </w:rPr>
        <w:t>Estimado señor Rincón,</w:t>
      </w:r>
    </w:p>
    <w:p w14:paraId="3A9DA939" w14:textId="77777777" w:rsidR="007031F2" w:rsidRPr="00086C47" w:rsidRDefault="007031F2" w:rsidP="007031F2">
      <w:pPr>
        <w:rPr>
          <w:rFonts w:ascii="Arial" w:eastAsia="Calibri" w:hAnsi="Arial" w:cs="Arial"/>
          <w:color w:val="000000" w:themeColor="text1"/>
          <w:sz w:val="22"/>
        </w:rPr>
      </w:pPr>
    </w:p>
    <w:p w14:paraId="4D71CC51" w14:textId="77777777" w:rsidR="007031F2" w:rsidRPr="00086C47" w:rsidRDefault="007031F2" w:rsidP="007031F2">
      <w:pPr>
        <w:spacing w:line="276" w:lineRule="auto"/>
        <w:ind w:right="49"/>
        <w:jc w:val="both"/>
        <w:rPr>
          <w:rFonts w:ascii="Arial" w:eastAsia="Calibri" w:hAnsi="Arial" w:cs="Arial"/>
          <w:color w:val="000000" w:themeColor="text1"/>
          <w:sz w:val="22"/>
        </w:rPr>
      </w:pPr>
      <w:r w:rsidRPr="00086C47">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4 de agosto del año 2020. </w:t>
      </w:r>
    </w:p>
    <w:p w14:paraId="21B82CC0" w14:textId="77777777" w:rsidR="007031F2" w:rsidRPr="00086C47" w:rsidRDefault="007031F2" w:rsidP="007031F2">
      <w:pPr>
        <w:spacing w:line="276" w:lineRule="auto"/>
        <w:jc w:val="both"/>
        <w:rPr>
          <w:rFonts w:ascii="Arial" w:eastAsia="Calibri" w:hAnsi="Arial" w:cs="Arial"/>
          <w:color w:val="000000" w:themeColor="text1"/>
          <w:sz w:val="22"/>
        </w:rPr>
      </w:pPr>
    </w:p>
    <w:p w14:paraId="319975C0" w14:textId="77777777" w:rsidR="007031F2" w:rsidRPr="00086C47" w:rsidRDefault="007031F2" w:rsidP="007031F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086C47">
        <w:rPr>
          <w:rFonts w:ascii="Arial" w:eastAsia="Calibri" w:hAnsi="Arial" w:cs="Arial"/>
          <w:b/>
          <w:color w:val="000000" w:themeColor="text1"/>
          <w:sz w:val="22"/>
        </w:rPr>
        <w:t xml:space="preserve">Problemas planteados </w:t>
      </w:r>
    </w:p>
    <w:p w14:paraId="674722D6" w14:textId="77777777" w:rsidR="007031F2" w:rsidRPr="00086C47" w:rsidRDefault="007031F2" w:rsidP="007031F2">
      <w:pPr>
        <w:tabs>
          <w:tab w:val="left" w:pos="426"/>
        </w:tabs>
        <w:spacing w:line="276" w:lineRule="auto"/>
        <w:jc w:val="both"/>
        <w:rPr>
          <w:rFonts w:ascii="Arial" w:eastAsia="Calibri" w:hAnsi="Arial" w:cs="Arial"/>
          <w:b/>
          <w:color w:val="000000" w:themeColor="text1"/>
          <w:sz w:val="22"/>
        </w:rPr>
      </w:pPr>
    </w:p>
    <w:p w14:paraId="2F104EA6" w14:textId="77777777" w:rsidR="007031F2" w:rsidRPr="00086C47" w:rsidRDefault="007031F2" w:rsidP="007031F2">
      <w:pPr>
        <w:tabs>
          <w:tab w:val="left" w:pos="426"/>
        </w:tabs>
        <w:spacing w:line="276" w:lineRule="auto"/>
        <w:jc w:val="both"/>
        <w:rPr>
          <w:rFonts w:ascii="Arial" w:eastAsia="Calibri" w:hAnsi="Arial" w:cs="Arial"/>
          <w:color w:val="000000" w:themeColor="text1"/>
          <w:sz w:val="22"/>
        </w:rPr>
      </w:pPr>
      <w:r w:rsidRPr="00086C47">
        <w:rPr>
          <w:rFonts w:ascii="Arial" w:eastAsia="Calibri" w:hAnsi="Arial" w:cs="Arial"/>
          <w:color w:val="000000" w:themeColor="text1"/>
          <w:sz w:val="22"/>
        </w:rPr>
        <w:t xml:space="preserve">En relación con los parágrafos 2 y 3 del artículo 30 de la Ley 80 de 1993, adicionados por el artículo 1 de la Ley 1882 de 2018, usted </w:t>
      </w:r>
      <w:bookmarkStart w:id="1" w:name="_Hlk45817196"/>
      <w:r w:rsidRPr="00086C47">
        <w:rPr>
          <w:rFonts w:ascii="Arial" w:eastAsia="Calibri" w:hAnsi="Arial" w:cs="Arial"/>
          <w:color w:val="000000" w:themeColor="text1"/>
          <w:sz w:val="22"/>
        </w:rPr>
        <w:t>pregunta cuál es la diferencia entre el «[…] contrato de obra y contrato de obra pública […]».</w:t>
      </w:r>
      <w:bookmarkEnd w:id="1"/>
    </w:p>
    <w:p w14:paraId="1FA60728" w14:textId="77777777" w:rsidR="007031F2" w:rsidRPr="00086C47" w:rsidRDefault="007031F2" w:rsidP="007031F2">
      <w:pPr>
        <w:tabs>
          <w:tab w:val="left" w:pos="426"/>
        </w:tabs>
        <w:spacing w:line="276" w:lineRule="auto"/>
        <w:jc w:val="both"/>
        <w:rPr>
          <w:rFonts w:ascii="Arial" w:eastAsia="Calibri" w:hAnsi="Arial" w:cs="Arial"/>
          <w:color w:val="000000" w:themeColor="text1"/>
          <w:sz w:val="22"/>
        </w:rPr>
      </w:pPr>
    </w:p>
    <w:p w14:paraId="3F6D3CA2" w14:textId="77777777" w:rsidR="007031F2" w:rsidRPr="00086C47" w:rsidRDefault="007031F2" w:rsidP="007031F2">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086C47">
        <w:rPr>
          <w:rFonts w:ascii="Arial" w:eastAsia="Calibri" w:hAnsi="Arial" w:cs="Arial"/>
          <w:b/>
          <w:color w:val="000000" w:themeColor="text1"/>
          <w:sz w:val="22"/>
        </w:rPr>
        <w:t>Consideraciones</w:t>
      </w:r>
    </w:p>
    <w:p w14:paraId="5CBBE80B" w14:textId="77777777" w:rsidR="007031F2" w:rsidRPr="00086C47" w:rsidRDefault="007031F2" w:rsidP="007031F2">
      <w:pPr>
        <w:pStyle w:val="Prrafodelista"/>
        <w:tabs>
          <w:tab w:val="left" w:pos="426"/>
        </w:tabs>
        <w:spacing w:line="276" w:lineRule="auto"/>
        <w:ind w:left="284"/>
        <w:jc w:val="both"/>
        <w:rPr>
          <w:rFonts w:ascii="Arial" w:eastAsia="Calibri" w:hAnsi="Arial" w:cs="Arial"/>
          <w:b/>
          <w:color w:val="000000" w:themeColor="text1"/>
          <w:sz w:val="22"/>
        </w:rPr>
      </w:pPr>
    </w:p>
    <w:p w14:paraId="2FC1DBFE" w14:textId="48755AD8" w:rsidR="007031F2" w:rsidRPr="00DF4EDE" w:rsidRDefault="007031F2" w:rsidP="007031F2">
      <w:pPr>
        <w:spacing w:line="276" w:lineRule="auto"/>
        <w:jc w:val="both"/>
        <w:rPr>
          <w:rFonts w:ascii="Arial" w:eastAsia="Calibri" w:hAnsi="Arial" w:cs="Arial"/>
          <w:bCs/>
          <w:color w:val="000000" w:themeColor="text1"/>
          <w:sz w:val="22"/>
          <w:lang w:val="es-CO"/>
        </w:rPr>
      </w:pPr>
      <w:r w:rsidRPr="00086C47">
        <w:rPr>
          <w:rFonts w:ascii="Arial" w:eastAsia="Calibri" w:hAnsi="Arial" w:cs="Arial"/>
          <w:color w:val="000000" w:themeColor="text1"/>
          <w:sz w:val="22"/>
        </w:rPr>
        <w:t xml:space="preserve">La Agencia </w:t>
      </w:r>
      <w:r w:rsidRPr="00086C47">
        <w:rPr>
          <w:rFonts w:ascii="Arial" w:eastAsia="Calibri" w:hAnsi="Arial" w:cs="Arial"/>
          <w:bCs/>
          <w:color w:val="000000" w:themeColor="text1"/>
          <w:sz w:val="22"/>
        </w:rPr>
        <w:t xml:space="preserve">Nacional de Contratación Pública – Colombia Compra Eficiente se refirió </w:t>
      </w:r>
      <w:r w:rsidR="00D805C0">
        <w:rPr>
          <w:rFonts w:ascii="Arial" w:eastAsia="Calibri" w:hAnsi="Arial" w:cs="Arial"/>
          <w:bCs/>
          <w:color w:val="000000" w:themeColor="text1"/>
          <w:sz w:val="22"/>
        </w:rPr>
        <w:t>a la noción,</w:t>
      </w:r>
      <w:r w:rsidRPr="00086C47">
        <w:rPr>
          <w:rFonts w:ascii="Arial" w:eastAsia="Calibri" w:hAnsi="Arial" w:cs="Arial"/>
          <w:bCs/>
          <w:color w:val="000000" w:themeColor="text1"/>
          <w:sz w:val="22"/>
        </w:rPr>
        <w:t xml:space="preserve"> y explicó cuál es el objeto y las características del contrato de obra pública,</w:t>
      </w:r>
      <w:r w:rsidRPr="00086C47">
        <w:rPr>
          <w:rFonts w:ascii="Arial" w:hAnsi="Arial" w:cs="Arial"/>
          <w:color w:val="000000" w:themeColor="text1"/>
        </w:rPr>
        <w:t xml:space="preserve"> </w:t>
      </w:r>
      <w:r w:rsidRPr="00086C47">
        <w:rPr>
          <w:rFonts w:ascii="Arial" w:eastAsia="Calibri" w:hAnsi="Arial" w:cs="Arial"/>
          <w:bCs/>
          <w:color w:val="000000" w:themeColor="text1"/>
          <w:sz w:val="22"/>
        </w:rPr>
        <w:t>en el concepto del 24 de diciembre del año 2019, el cual fue proferido en el radicado de entrada número</w:t>
      </w:r>
      <w:r w:rsidR="00D805C0">
        <w:rPr>
          <w:rFonts w:ascii="Arial" w:eastAsia="Calibri" w:hAnsi="Arial" w:cs="Arial"/>
          <w:bCs/>
          <w:color w:val="000000" w:themeColor="text1"/>
          <w:sz w:val="22"/>
        </w:rPr>
        <w:t xml:space="preserve"> </w:t>
      </w:r>
      <w:r w:rsidRPr="000B5C01">
        <w:rPr>
          <w:rFonts w:ascii="Arial" w:eastAsia="Calibri" w:hAnsi="Arial" w:cs="Arial"/>
          <w:bCs/>
          <w:color w:val="000000" w:themeColor="text1"/>
          <w:sz w:val="22"/>
        </w:rPr>
        <w:t>4201913000008014, correspondiente al radicado de salida número 2201913000009588</w:t>
      </w:r>
      <w:r w:rsidRPr="000B5C01">
        <w:rPr>
          <w:rFonts w:ascii="Arial" w:eastAsia="Calibri" w:hAnsi="Arial" w:cs="Arial"/>
          <w:color w:val="000000" w:themeColor="text1"/>
          <w:sz w:val="22"/>
        </w:rPr>
        <w:t>. La tesis desarrollada en este concepto</w:t>
      </w:r>
      <w:r w:rsidRPr="00DF4EDE">
        <w:rPr>
          <w:rFonts w:ascii="Arial" w:eastAsia="Calibri" w:hAnsi="Arial" w:cs="Arial"/>
          <w:color w:val="000000" w:themeColor="text1"/>
          <w:sz w:val="22"/>
        </w:rPr>
        <w:t xml:space="preserve"> se expondrá a continuación.</w:t>
      </w:r>
    </w:p>
    <w:p w14:paraId="3B216BA0" w14:textId="77777777" w:rsidR="007031F2" w:rsidRPr="00DF4EDE" w:rsidRDefault="007031F2" w:rsidP="007031F2">
      <w:pPr>
        <w:spacing w:line="276" w:lineRule="auto"/>
        <w:jc w:val="both"/>
        <w:rPr>
          <w:rFonts w:ascii="Arial" w:eastAsia="Calibri" w:hAnsi="Arial" w:cs="Arial"/>
          <w:color w:val="000000" w:themeColor="text1"/>
          <w:sz w:val="22"/>
        </w:rPr>
      </w:pPr>
      <w:r w:rsidRPr="00DF4EDE">
        <w:rPr>
          <w:rFonts w:ascii="Arial" w:eastAsia="Calibri" w:hAnsi="Arial" w:cs="Arial"/>
          <w:color w:val="000000" w:themeColor="text1"/>
          <w:sz w:val="22"/>
        </w:rPr>
        <w:t xml:space="preserve"> </w:t>
      </w:r>
    </w:p>
    <w:p w14:paraId="0C2AB67D" w14:textId="77777777" w:rsidR="007031F2" w:rsidRPr="00DF4EDE" w:rsidRDefault="007031F2" w:rsidP="007031F2">
      <w:pPr>
        <w:spacing w:line="276" w:lineRule="auto"/>
        <w:jc w:val="both"/>
        <w:rPr>
          <w:rFonts w:ascii="Arial" w:eastAsia="Calibri" w:hAnsi="Arial" w:cs="Arial"/>
          <w:b/>
          <w:bCs/>
          <w:color w:val="000000" w:themeColor="text1"/>
          <w:sz w:val="22"/>
        </w:rPr>
      </w:pPr>
      <w:r w:rsidRPr="00DF4EDE">
        <w:rPr>
          <w:rFonts w:ascii="Arial" w:eastAsia="Calibri" w:hAnsi="Arial" w:cs="Arial"/>
          <w:b/>
          <w:bCs/>
          <w:color w:val="000000" w:themeColor="text1"/>
          <w:sz w:val="22"/>
        </w:rPr>
        <w:t xml:space="preserve">2.1. </w:t>
      </w:r>
      <w:r w:rsidRPr="00DF4EDE">
        <w:rPr>
          <w:rFonts w:ascii="Arial" w:hAnsi="Arial" w:cs="Arial"/>
          <w:b/>
          <w:color w:val="000000" w:themeColor="text1"/>
          <w:sz w:val="22"/>
        </w:rPr>
        <w:t xml:space="preserve">La tipología contractual </w:t>
      </w:r>
    </w:p>
    <w:p w14:paraId="5DA79953" w14:textId="77777777" w:rsidR="007031F2" w:rsidRPr="00DF4EDE" w:rsidRDefault="007031F2" w:rsidP="007031F2">
      <w:pPr>
        <w:pStyle w:val="Sinespaciado"/>
        <w:spacing w:line="276" w:lineRule="auto"/>
        <w:jc w:val="both"/>
        <w:rPr>
          <w:rFonts w:ascii="Arial" w:hAnsi="Arial" w:cs="Arial"/>
          <w:color w:val="000000" w:themeColor="text1"/>
          <w:sz w:val="22"/>
        </w:rPr>
      </w:pPr>
    </w:p>
    <w:p w14:paraId="01B1DCAC" w14:textId="4D9809C6" w:rsidR="007031F2" w:rsidRPr="00DF4EDE" w:rsidRDefault="007031F2" w:rsidP="007031F2">
      <w:pPr>
        <w:pStyle w:val="Sinespaciado"/>
        <w:spacing w:line="276" w:lineRule="auto"/>
        <w:jc w:val="both"/>
        <w:rPr>
          <w:rFonts w:ascii="Arial" w:hAnsi="Arial" w:cs="Arial"/>
          <w:color w:val="000000" w:themeColor="text1"/>
          <w:sz w:val="22"/>
        </w:rPr>
      </w:pPr>
      <w:r w:rsidRPr="00DF4EDE">
        <w:rPr>
          <w:rFonts w:ascii="Arial" w:hAnsi="Arial" w:cs="Arial"/>
          <w:color w:val="000000" w:themeColor="text1"/>
          <w:sz w:val="22"/>
        </w:rPr>
        <w:lastRenderedPageBreak/>
        <w:t>En la etapa precontractual, cuando la</w:t>
      </w:r>
      <w:r>
        <w:rPr>
          <w:rFonts w:ascii="Arial" w:hAnsi="Arial" w:cs="Arial"/>
          <w:color w:val="000000" w:themeColor="text1"/>
          <w:sz w:val="22"/>
        </w:rPr>
        <w:t xml:space="preserve">s entidades públicas </w:t>
      </w:r>
      <w:r w:rsidR="00D805C0">
        <w:rPr>
          <w:rFonts w:ascii="Arial" w:hAnsi="Arial" w:cs="Arial"/>
          <w:color w:val="000000" w:themeColor="text1"/>
          <w:sz w:val="22"/>
        </w:rPr>
        <w:t>elaboran</w:t>
      </w:r>
      <w:r>
        <w:rPr>
          <w:rFonts w:ascii="Arial" w:hAnsi="Arial" w:cs="Arial"/>
          <w:color w:val="000000" w:themeColor="text1"/>
          <w:sz w:val="22"/>
        </w:rPr>
        <w:t xml:space="preserve"> </w:t>
      </w:r>
      <w:r w:rsidRPr="00DF4EDE">
        <w:rPr>
          <w:rFonts w:ascii="Arial" w:hAnsi="Arial" w:cs="Arial"/>
          <w:color w:val="000000" w:themeColor="text1"/>
          <w:sz w:val="22"/>
        </w:rPr>
        <w:t>los estudios previos,</w:t>
      </w:r>
      <w:r>
        <w:rPr>
          <w:rFonts w:ascii="Arial" w:hAnsi="Arial" w:cs="Arial"/>
          <w:color w:val="000000" w:themeColor="text1"/>
          <w:sz w:val="22"/>
        </w:rPr>
        <w:t xml:space="preserve"> con el objetivo de</w:t>
      </w:r>
      <w:r w:rsidRPr="00DF4EDE">
        <w:rPr>
          <w:rFonts w:ascii="Arial" w:hAnsi="Arial" w:cs="Arial"/>
          <w:color w:val="000000" w:themeColor="text1"/>
          <w:sz w:val="22"/>
        </w:rPr>
        <w:t xml:space="preserve"> </w:t>
      </w:r>
      <w:r>
        <w:rPr>
          <w:rFonts w:ascii="Arial" w:hAnsi="Arial" w:cs="Arial"/>
          <w:color w:val="000000" w:themeColor="text1"/>
          <w:sz w:val="22"/>
        </w:rPr>
        <w:t xml:space="preserve">tramitar </w:t>
      </w:r>
      <w:r w:rsidRPr="00DF4EDE">
        <w:rPr>
          <w:rFonts w:ascii="Arial" w:hAnsi="Arial" w:cs="Arial"/>
          <w:color w:val="000000" w:themeColor="text1"/>
          <w:sz w:val="22"/>
        </w:rPr>
        <w:t xml:space="preserve">con éxito el proceso de contratación que </w:t>
      </w:r>
      <w:r>
        <w:rPr>
          <w:rFonts w:ascii="Arial" w:hAnsi="Arial" w:cs="Arial"/>
          <w:color w:val="000000" w:themeColor="text1"/>
          <w:sz w:val="22"/>
        </w:rPr>
        <w:t xml:space="preserve">se </w:t>
      </w:r>
      <w:r w:rsidRPr="00DF4EDE">
        <w:rPr>
          <w:rFonts w:ascii="Arial" w:hAnsi="Arial" w:cs="Arial"/>
          <w:color w:val="000000" w:themeColor="text1"/>
          <w:sz w:val="22"/>
        </w:rPr>
        <w:t xml:space="preserve">requiere para satisfacer </w:t>
      </w:r>
      <w:r w:rsidR="00D805C0">
        <w:rPr>
          <w:rFonts w:ascii="Arial" w:hAnsi="Arial" w:cs="Arial"/>
          <w:color w:val="000000" w:themeColor="text1"/>
          <w:sz w:val="22"/>
        </w:rPr>
        <w:t>sus</w:t>
      </w:r>
      <w:r w:rsidR="00D805C0" w:rsidRPr="00DF4EDE">
        <w:rPr>
          <w:rFonts w:ascii="Arial" w:hAnsi="Arial" w:cs="Arial"/>
          <w:color w:val="000000" w:themeColor="text1"/>
          <w:sz w:val="22"/>
        </w:rPr>
        <w:t xml:space="preserve"> </w:t>
      </w:r>
      <w:r w:rsidR="00D805C0">
        <w:rPr>
          <w:rFonts w:ascii="Arial" w:hAnsi="Arial" w:cs="Arial"/>
          <w:color w:val="000000" w:themeColor="text1"/>
          <w:sz w:val="22"/>
        </w:rPr>
        <w:t>necesidades</w:t>
      </w:r>
      <w:r w:rsidRPr="00DF4EDE">
        <w:rPr>
          <w:rFonts w:ascii="Arial" w:hAnsi="Arial" w:cs="Arial"/>
          <w:color w:val="000000" w:themeColor="text1"/>
          <w:sz w:val="22"/>
        </w:rPr>
        <w:t xml:space="preserve"> de bienes, obras o servicios</w:t>
      </w:r>
      <w:r w:rsidR="00D805C0">
        <w:rPr>
          <w:rFonts w:ascii="Arial" w:hAnsi="Arial" w:cs="Arial"/>
          <w:color w:val="000000" w:themeColor="text1"/>
          <w:sz w:val="22"/>
        </w:rPr>
        <w:t>, y</w:t>
      </w:r>
      <w:r w:rsidRPr="00DF4EDE">
        <w:rPr>
          <w:rFonts w:ascii="Arial" w:hAnsi="Arial" w:cs="Arial"/>
          <w:color w:val="000000" w:themeColor="text1"/>
          <w:sz w:val="22"/>
        </w:rPr>
        <w:t xml:space="preserve"> con la finalidad de cumplir los cometidos estatales, </w:t>
      </w:r>
      <w:r>
        <w:rPr>
          <w:rFonts w:ascii="Arial" w:hAnsi="Arial" w:cs="Arial"/>
          <w:color w:val="000000" w:themeColor="text1"/>
          <w:sz w:val="22"/>
        </w:rPr>
        <w:t xml:space="preserve">las mismas </w:t>
      </w:r>
      <w:r w:rsidRPr="00DF4EDE">
        <w:rPr>
          <w:rFonts w:ascii="Arial" w:hAnsi="Arial" w:cs="Arial"/>
          <w:color w:val="000000" w:themeColor="text1"/>
          <w:sz w:val="22"/>
        </w:rPr>
        <w:t>debe</w:t>
      </w:r>
      <w:r>
        <w:rPr>
          <w:rFonts w:ascii="Arial" w:hAnsi="Arial" w:cs="Arial"/>
          <w:color w:val="000000" w:themeColor="text1"/>
          <w:sz w:val="22"/>
        </w:rPr>
        <w:t>n</w:t>
      </w:r>
      <w:r w:rsidRPr="00DF4EDE">
        <w:rPr>
          <w:rFonts w:ascii="Arial" w:hAnsi="Arial" w:cs="Arial"/>
          <w:color w:val="000000" w:themeColor="text1"/>
          <w:sz w:val="22"/>
        </w:rPr>
        <w:t xml:space="preserve"> analizar, según el objeto a contratar, cuál es el tipo de contrato y las obligaciones y prestaciones a pactar, que mejor satisfagan </w:t>
      </w:r>
      <w:r w:rsidR="00D805C0">
        <w:rPr>
          <w:rFonts w:ascii="Arial" w:hAnsi="Arial" w:cs="Arial"/>
          <w:color w:val="000000" w:themeColor="text1"/>
          <w:sz w:val="22"/>
        </w:rPr>
        <w:t>sus</w:t>
      </w:r>
      <w:r w:rsidR="00D805C0" w:rsidRPr="00DF4EDE">
        <w:rPr>
          <w:rFonts w:ascii="Arial" w:hAnsi="Arial" w:cs="Arial"/>
          <w:color w:val="000000" w:themeColor="text1"/>
          <w:sz w:val="22"/>
        </w:rPr>
        <w:t xml:space="preserve"> </w:t>
      </w:r>
      <w:r w:rsidRPr="00DF4EDE">
        <w:rPr>
          <w:rFonts w:ascii="Arial" w:hAnsi="Arial" w:cs="Arial"/>
          <w:color w:val="000000" w:themeColor="text1"/>
          <w:sz w:val="22"/>
        </w:rPr>
        <w:t>intereses.</w:t>
      </w:r>
    </w:p>
    <w:p w14:paraId="1F6B6BF5" w14:textId="5CBBCE97" w:rsidR="007031F2" w:rsidRPr="00DF4EDE" w:rsidRDefault="00D805C0" w:rsidP="007031F2">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Así</w:t>
      </w:r>
      <w:r w:rsidR="007031F2" w:rsidRPr="00DF4EDE">
        <w:rPr>
          <w:rFonts w:ascii="Arial" w:hAnsi="Arial" w:cs="Arial"/>
          <w:color w:val="000000" w:themeColor="text1"/>
          <w:sz w:val="22"/>
        </w:rPr>
        <w:t>, por ejemplo, el artículo 40 de la Ley 80 de 1993 permite que dentro del contenido de un contrato estatal se admitan las estipulaciones conformes con las normas civiles, comerciales y las especiales previstas en dicha ley que correspondan a su esencia y naturaleza. Por eso las entidades pueden celebrar</w:t>
      </w:r>
      <w:r>
        <w:rPr>
          <w:rFonts w:ascii="Arial" w:hAnsi="Arial" w:cs="Arial"/>
          <w:color w:val="000000" w:themeColor="text1"/>
          <w:sz w:val="22"/>
        </w:rPr>
        <w:t>, en principio,</w:t>
      </w:r>
      <w:r w:rsidR="007031F2" w:rsidRPr="00DF4EDE">
        <w:rPr>
          <w:rFonts w:ascii="Arial" w:hAnsi="Arial" w:cs="Arial"/>
          <w:color w:val="000000" w:themeColor="text1"/>
          <w:sz w:val="22"/>
        </w:rPr>
        <w:t xml:space="preserve"> todos los contratos y acuerdos permitidos por la autonomía de la voluntad requeridos para cumplir con los fines estatales.  </w:t>
      </w:r>
    </w:p>
    <w:p w14:paraId="771955B1" w14:textId="63FC4AF9" w:rsidR="007031F2" w:rsidRPr="00DF4EDE" w:rsidRDefault="007031F2" w:rsidP="007031F2">
      <w:pPr>
        <w:pStyle w:val="Sinespaciado"/>
        <w:spacing w:before="120" w:line="276" w:lineRule="auto"/>
        <w:ind w:firstLine="709"/>
        <w:jc w:val="both"/>
        <w:rPr>
          <w:rFonts w:ascii="Arial" w:hAnsi="Arial" w:cs="Arial"/>
          <w:color w:val="000000" w:themeColor="text1"/>
          <w:sz w:val="22"/>
        </w:rPr>
      </w:pPr>
      <w:r w:rsidRPr="00DF4EDE">
        <w:rPr>
          <w:rFonts w:ascii="Arial" w:hAnsi="Arial" w:cs="Arial"/>
          <w:color w:val="000000" w:themeColor="text1"/>
          <w:sz w:val="22"/>
        </w:rPr>
        <w:t xml:space="preserve">Los contratos estatales admiten todas las modalidades, condiciones y estipulaciones que las partes consideren necesarias y convenientes, siempre que no sean contrarias a Constitución, la ley, el orden público, los principios y finalidades del Estatuto General de Contratación </w:t>
      </w:r>
      <w:r>
        <w:rPr>
          <w:rFonts w:ascii="Arial" w:hAnsi="Arial" w:cs="Arial"/>
          <w:color w:val="000000" w:themeColor="text1"/>
          <w:sz w:val="22"/>
        </w:rPr>
        <w:t xml:space="preserve">de la Administración Pública </w:t>
      </w:r>
      <w:r w:rsidR="00D805C0">
        <w:rPr>
          <w:rFonts w:ascii="Arial" w:hAnsi="Arial" w:cs="Arial"/>
          <w:color w:val="000000" w:themeColor="text1"/>
          <w:sz w:val="22"/>
        </w:rPr>
        <w:t>–</w:t>
      </w:r>
      <w:r>
        <w:rPr>
          <w:rFonts w:ascii="Arial" w:hAnsi="Arial" w:cs="Arial"/>
          <w:color w:val="000000" w:themeColor="text1"/>
          <w:sz w:val="22"/>
        </w:rPr>
        <w:t>desde ahora EGCAP</w:t>
      </w:r>
      <w:r w:rsidR="00D805C0">
        <w:rPr>
          <w:rFonts w:ascii="Arial" w:hAnsi="Arial" w:cs="Arial"/>
          <w:color w:val="000000" w:themeColor="text1"/>
          <w:sz w:val="22"/>
        </w:rPr>
        <w:t>–</w:t>
      </w:r>
      <w:r>
        <w:rPr>
          <w:rFonts w:ascii="Arial" w:hAnsi="Arial" w:cs="Arial"/>
          <w:color w:val="000000" w:themeColor="text1"/>
          <w:sz w:val="22"/>
        </w:rPr>
        <w:t xml:space="preserve"> </w:t>
      </w:r>
      <w:r w:rsidRPr="00DF4EDE">
        <w:rPr>
          <w:rFonts w:ascii="Arial" w:hAnsi="Arial" w:cs="Arial"/>
          <w:color w:val="000000" w:themeColor="text1"/>
          <w:sz w:val="22"/>
        </w:rPr>
        <w:t xml:space="preserve">y los de la buena administración. Lo anterior, en consonancia con lo dispuesto en los artículos 13 y 32 de la Ley 80 de 1993, permite </w:t>
      </w:r>
      <w:r>
        <w:rPr>
          <w:rFonts w:ascii="Arial" w:hAnsi="Arial" w:cs="Arial"/>
          <w:color w:val="000000" w:themeColor="text1"/>
          <w:sz w:val="22"/>
        </w:rPr>
        <w:t xml:space="preserve">afirmar </w:t>
      </w:r>
      <w:r w:rsidRPr="00DF4EDE">
        <w:rPr>
          <w:rFonts w:ascii="Arial" w:hAnsi="Arial" w:cs="Arial"/>
          <w:color w:val="000000" w:themeColor="text1"/>
          <w:sz w:val="22"/>
        </w:rPr>
        <w:t>que las entidades estatales pueden celebrar los contratos necesarios para la consecución de sus fines, ya sean estos nominados y típicos</w:t>
      </w:r>
      <w:r w:rsidRPr="00DF4EDE">
        <w:rPr>
          <w:rStyle w:val="Refdenotaalpie"/>
          <w:rFonts w:ascii="Arial" w:hAnsi="Arial" w:cs="Arial"/>
          <w:color w:val="000000" w:themeColor="text1"/>
          <w:sz w:val="22"/>
        </w:rPr>
        <w:footnoteReference w:id="1"/>
      </w:r>
      <w:r w:rsidRPr="00DF4EDE">
        <w:rPr>
          <w:rFonts w:ascii="Arial" w:hAnsi="Arial" w:cs="Arial"/>
          <w:color w:val="000000" w:themeColor="text1"/>
          <w:sz w:val="22"/>
        </w:rPr>
        <w:t xml:space="preserve"> en la legislación civil y comercial de derecho privado</w:t>
      </w:r>
      <w:r w:rsidRPr="00DF4EDE">
        <w:rPr>
          <w:rStyle w:val="Refdenotaalpie"/>
          <w:rFonts w:ascii="Arial" w:hAnsi="Arial" w:cs="Arial"/>
          <w:color w:val="000000" w:themeColor="text1"/>
          <w:sz w:val="22"/>
        </w:rPr>
        <w:footnoteReference w:id="2"/>
      </w:r>
      <w:r w:rsidRPr="00DF4EDE">
        <w:rPr>
          <w:rFonts w:ascii="Arial" w:hAnsi="Arial" w:cs="Arial"/>
          <w:color w:val="000000" w:themeColor="text1"/>
          <w:sz w:val="22"/>
        </w:rPr>
        <w:t xml:space="preserve"> o en el </w:t>
      </w:r>
      <w:r>
        <w:rPr>
          <w:rFonts w:ascii="Arial" w:hAnsi="Arial" w:cs="Arial"/>
          <w:color w:val="000000" w:themeColor="text1"/>
          <w:sz w:val="22"/>
        </w:rPr>
        <w:t>EGCAP</w:t>
      </w:r>
      <w:r w:rsidRPr="00DF4EDE">
        <w:rPr>
          <w:rStyle w:val="Refdenotaalpie"/>
          <w:rFonts w:ascii="Arial" w:hAnsi="Arial" w:cs="Arial"/>
          <w:color w:val="000000" w:themeColor="text1"/>
          <w:sz w:val="22"/>
        </w:rPr>
        <w:footnoteReference w:id="3"/>
      </w:r>
      <w:r w:rsidR="00D805C0">
        <w:rPr>
          <w:rFonts w:ascii="Arial" w:hAnsi="Arial" w:cs="Arial"/>
          <w:color w:val="000000" w:themeColor="text1"/>
          <w:sz w:val="22"/>
        </w:rPr>
        <w:t>,</w:t>
      </w:r>
      <w:r w:rsidRPr="00DF4EDE">
        <w:rPr>
          <w:rFonts w:ascii="Arial" w:hAnsi="Arial" w:cs="Arial"/>
          <w:color w:val="000000" w:themeColor="text1"/>
          <w:sz w:val="22"/>
        </w:rPr>
        <w:t xml:space="preserve"> o bien pueden acudir a los contratos atípicos, donde sus estipulaciones pueden ser puramente de creación de la voluntad de las partes </w:t>
      </w:r>
      <w:r>
        <w:rPr>
          <w:rFonts w:ascii="Arial" w:hAnsi="Arial" w:cs="Arial"/>
          <w:color w:val="000000" w:themeColor="text1"/>
          <w:sz w:val="22"/>
        </w:rPr>
        <w:t>–</w:t>
      </w:r>
      <w:r w:rsidRPr="00DF4EDE">
        <w:rPr>
          <w:rFonts w:ascii="Arial" w:hAnsi="Arial" w:cs="Arial"/>
          <w:color w:val="000000" w:themeColor="text1"/>
          <w:sz w:val="22"/>
        </w:rPr>
        <w:t>siempre y cuando no contraríen normas de orden público</w:t>
      </w:r>
      <w:r>
        <w:rPr>
          <w:rFonts w:ascii="Arial" w:hAnsi="Arial" w:cs="Arial"/>
          <w:color w:val="000000" w:themeColor="text1"/>
          <w:sz w:val="22"/>
        </w:rPr>
        <w:t>–</w:t>
      </w:r>
      <w:r w:rsidRPr="00DF4EDE">
        <w:rPr>
          <w:rFonts w:ascii="Arial" w:hAnsi="Arial" w:cs="Arial"/>
          <w:color w:val="000000" w:themeColor="text1"/>
          <w:sz w:val="22"/>
        </w:rPr>
        <w:t xml:space="preserve"> o pueden ser mixtas, haciendo uso de estipulaciones que responden a diferentes combinaciones de objetos contractuales</w:t>
      </w:r>
      <w:r w:rsidRPr="00DF4EDE">
        <w:rPr>
          <w:rStyle w:val="Refdenotaalpie"/>
          <w:rFonts w:ascii="Arial" w:hAnsi="Arial" w:cs="Arial"/>
          <w:color w:val="000000" w:themeColor="text1"/>
          <w:sz w:val="22"/>
        </w:rPr>
        <w:footnoteReference w:id="4"/>
      </w:r>
      <w:r w:rsidRPr="00DF4EDE">
        <w:rPr>
          <w:rFonts w:ascii="Arial" w:hAnsi="Arial" w:cs="Arial"/>
          <w:color w:val="000000" w:themeColor="text1"/>
          <w:sz w:val="22"/>
        </w:rPr>
        <w:t>.</w:t>
      </w:r>
    </w:p>
    <w:p w14:paraId="21F96748" w14:textId="28652D5D" w:rsidR="007031F2" w:rsidRPr="00615048" w:rsidRDefault="007031F2" w:rsidP="007031F2">
      <w:pPr>
        <w:pStyle w:val="Sinespaciado"/>
        <w:spacing w:before="120" w:line="276" w:lineRule="auto"/>
        <w:ind w:firstLine="709"/>
        <w:jc w:val="both"/>
        <w:rPr>
          <w:rFonts w:ascii="Arial" w:hAnsi="Arial" w:cs="Arial"/>
          <w:color w:val="000000" w:themeColor="text1"/>
          <w:sz w:val="22"/>
        </w:rPr>
      </w:pPr>
      <w:r w:rsidRPr="00DF4EDE">
        <w:rPr>
          <w:rFonts w:ascii="Arial" w:hAnsi="Arial" w:cs="Arial"/>
          <w:color w:val="000000" w:themeColor="text1"/>
          <w:sz w:val="22"/>
        </w:rPr>
        <w:t>La doctrina reconoce este fenómeno entendiendo que «la ley no crea el contrato, sino que reconoce su existencia, afirmación que implica reconocer que, en un principio, todos los contratos que hoy se reputan como típicos eran innominados – atípicos, deviniendo en típicos con la intervención del legislador»</w:t>
      </w:r>
      <w:r w:rsidRPr="00DF4EDE">
        <w:rPr>
          <w:rStyle w:val="Refdenotaalpie"/>
          <w:rFonts w:ascii="Arial" w:hAnsi="Arial" w:cs="Arial"/>
          <w:color w:val="000000" w:themeColor="text1"/>
          <w:sz w:val="22"/>
        </w:rPr>
        <w:footnoteReference w:id="5"/>
      </w:r>
      <w:r w:rsidRPr="00DF4EDE">
        <w:rPr>
          <w:rFonts w:ascii="Arial" w:hAnsi="Arial" w:cs="Arial"/>
          <w:color w:val="000000" w:themeColor="text1"/>
          <w:sz w:val="22"/>
        </w:rPr>
        <w:t xml:space="preserve">. Así mismo, cuando se está ante </w:t>
      </w:r>
      <w:r w:rsidRPr="00DF4EDE">
        <w:rPr>
          <w:rFonts w:ascii="Arial" w:hAnsi="Arial" w:cs="Arial"/>
          <w:color w:val="000000" w:themeColor="text1"/>
          <w:sz w:val="22"/>
        </w:rPr>
        <w:lastRenderedPageBreak/>
        <w:t>la existencia de un contrato complejo</w:t>
      </w:r>
      <w:r w:rsidRPr="00DF4EDE">
        <w:rPr>
          <w:rStyle w:val="Refdenotaalpie"/>
          <w:rFonts w:ascii="Arial" w:hAnsi="Arial" w:cs="Arial"/>
          <w:color w:val="000000" w:themeColor="text1"/>
          <w:sz w:val="22"/>
        </w:rPr>
        <w:footnoteReference w:id="6"/>
      </w:r>
      <w:r w:rsidRPr="00DF4EDE">
        <w:rPr>
          <w:rFonts w:ascii="Arial" w:hAnsi="Arial" w:cs="Arial"/>
          <w:color w:val="000000" w:themeColor="text1"/>
          <w:sz w:val="22"/>
        </w:rPr>
        <w:t>, porque la voluntad de las partes involucra divers</w:t>
      </w:r>
      <w:r w:rsidR="008A3EFA">
        <w:rPr>
          <w:rFonts w:ascii="Arial" w:hAnsi="Arial" w:cs="Arial"/>
          <w:color w:val="000000" w:themeColor="text1"/>
          <w:sz w:val="22"/>
        </w:rPr>
        <w:t>a</w:t>
      </w:r>
      <w:r w:rsidRPr="00DF4EDE">
        <w:rPr>
          <w:rFonts w:ascii="Arial" w:hAnsi="Arial" w:cs="Arial"/>
          <w:color w:val="000000" w:themeColor="text1"/>
          <w:sz w:val="22"/>
        </w:rPr>
        <w:t>s estipulaciones que por lo general son propios de varios tipos contractuales, se dificulta definir el criterio interpretativo para disciplinar el contrato</w:t>
      </w:r>
      <w:r w:rsidR="008A3EFA">
        <w:rPr>
          <w:rFonts w:ascii="Arial" w:hAnsi="Arial" w:cs="Arial"/>
          <w:color w:val="000000" w:themeColor="text1"/>
          <w:sz w:val="22"/>
        </w:rPr>
        <w:t>;</w:t>
      </w:r>
      <w:r w:rsidRPr="00DF4EDE">
        <w:rPr>
          <w:rFonts w:ascii="Arial" w:hAnsi="Arial" w:cs="Arial"/>
          <w:color w:val="000000" w:themeColor="text1"/>
          <w:sz w:val="22"/>
        </w:rPr>
        <w:t xml:space="preserve"> no obstante, hay que desentrañar dicha voluntad de los contratantes y, para el efecto, puede acudirse a la siguiente solución </w:t>
      </w:r>
      <w:r w:rsidRPr="00615048">
        <w:rPr>
          <w:rFonts w:ascii="Arial" w:hAnsi="Arial" w:cs="Arial"/>
          <w:color w:val="000000" w:themeColor="text1"/>
          <w:sz w:val="22"/>
        </w:rPr>
        <w:t>planteada por la Corte Suprema de Justicia, en sentencia de casación de</w:t>
      </w:r>
      <w:r w:rsidR="008A3EFA" w:rsidRPr="008A3EFA">
        <w:rPr>
          <w:rFonts w:ascii="Arial" w:hAnsi="Arial" w:cs="Arial"/>
          <w:color w:val="000000" w:themeColor="text1"/>
          <w:sz w:val="22"/>
        </w:rPr>
        <w:t>l</w:t>
      </w:r>
      <w:r w:rsidRPr="008A3EFA">
        <w:rPr>
          <w:rFonts w:ascii="Arial" w:hAnsi="Arial" w:cs="Arial"/>
          <w:color w:val="000000" w:themeColor="text1"/>
          <w:sz w:val="22"/>
        </w:rPr>
        <w:t xml:space="preserve"> 31 de mayo de 1938</w:t>
      </w:r>
      <w:r w:rsidRPr="00615048">
        <w:rPr>
          <w:rStyle w:val="Refdenotaalpie"/>
          <w:rFonts w:ascii="Arial" w:hAnsi="Arial" w:cs="Arial"/>
          <w:color w:val="000000" w:themeColor="text1"/>
          <w:sz w:val="22"/>
        </w:rPr>
        <w:footnoteReference w:id="7"/>
      </w:r>
      <w:r w:rsidRPr="00615048">
        <w:rPr>
          <w:rFonts w:ascii="Arial" w:hAnsi="Arial" w:cs="Arial"/>
          <w:color w:val="000000" w:themeColor="text1"/>
          <w:sz w:val="22"/>
        </w:rPr>
        <w:t>:</w:t>
      </w:r>
    </w:p>
    <w:p w14:paraId="77FBF1EC" w14:textId="77777777" w:rsidR="007031F2" w:rsidRPr="003F0DE8" w:rsidRDefault="007031F2" w:rsidP="007031F2">
      <w:pPr>
        <w:pStyle w:val="Sinespaciado"/>
        <w:spacing w:line="276" w:lineRule="auto"/>
        <w:jc w:val="both"/>
        <w:rPr>
          <w:rFonts w:ascii="Arial" w:hAnsi="Arial" w:cs="Arial"/>
          <w:color w:val="000000" w:themeColor="text1"/>
          <w:sz w:val="22"/>
        </w:rPr>
      </w:pPr>
    </w:p>
    <w:p w14:paraId="177CD07D" w14:textId="1ACDC00A" w:rsidR="007031F2" w:rsidRPr="00DF4EDE" w:rsidRDefault="007031F2" w:rsidP="007031F2">
      <w:pPr>
        <w:pStyle w:val="Sinespaciado"/>
        <w:ind w:left="709" w:right="709"/>
        <w:jc w:val="both"/>
        <w:rPr>
          <w:rFonts w:ascii="Arial" w:hAnsi="Arial" w:cs="Arial"/>
          <w:color w:val="000000" w:themeColor="text1"/>
          <w:sz w:val="21"/>
          <w:szCs w:val="21"/>
        </w:rPr>
      </w:pPr>
      <w:r w:rsidRPr="00DF4EDE">
        <w:rPr>
          <w:rFonts w:ascii="Arial" w:hAnsi="Arial" w:cs="Arial"/>
          <w:color w:val="000000" w:themeColor="text1"/>
          <w:sz w:val="21"/>
          <w:szCs w:val="21"/>
        </w:rPr>
        <w:t>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esos criterios no han de violentar la voluntad libremente configurada de las partes dentro de los amplios límites a ella trazados por el legislador.</w:t>
      </w:r>
    </w:p>
    <w:p w14:paraId="2A5718AA" w14:textId="77777777" w:rsidR="007031F2" w:rsidRPr="00DF4EDE" w:rsidRDefault="007031F2" w:rsidP="007031F2">
      <w:pPr>
        <w:pStyle w:val="Sinespaciado"/>
        <w:spacing w:line="276" w:lineRule="auto"/>
        <w:ind w:left="709" w:right="709"/>
        <w:jc w:val="both"/>
        <w:rPr>
          <w:rFonts w:ascii="Arial" w:hAnsi="Arial" w:cs="Arial"/>
          <w:color w:val="000000" w:themeColor="text1"/>
          <w:sz w:val="21"/>
          <w:szCs w:val="21"/>
        </w:rPr>
      </w:pPr>
    </w:p>
    <w:p w14:paraId="6A59EFA5" w14:textId="77777777" w:rsidR="007031F2" w:rsidRPr="00DF4EDE" w:rsidRDefault="007031F2" w:rsidP="007031F2">
      <w:pPr>
        <w:pStyle w:val="Sinespaciado"/>
        <w:spacing w:line="276" w:lineRule="auto"/>
        <w:ind w:firstLine="709"/>
        <w:jc w:val="both"/>
        <w:rPr>
          <w:rFonts w:ascii="Arial" w:hAnsi="Arial" w:cs="Arial"/>
          <w:color w:val="000000" w:themeColor="text1"/>
          <w:sz w:val="22"/>
        </w:rPr>
      </w:pPr>
      <w:r w:rsidRPr="00DF4EDE">
        <w:rPr>
          <w:rFonts w:ascii="Arial" w:hAnsi="Arial" w:cs="Arial"/>
          <w:color w:val="000000" w:themeColor="text1"/>
          <w:sz w:val="22"/>
        </w:rPr>
        <w:t>Por su parte, el Consejo de Estado también ha entendido que los contratos estatales pueden calificarse como contratos mixtos cuando involucran prestaciones de igual connotación y, en reciente pronunciamiento</w:t>
      </w:r>
      <w:r w:rsidRPr="00DF4EDE">
        <w:rPr>
          <w:rStyle w:val="Refdenotaalpie"/>
          <w:rFonts w:ascii="Arial" w:hAnsi="Arial" w:cs="Arial"/>
          <w:color w:val="000000" w:themeColor="text1"/>
          <w:sz w:val="22"/>
        </w:rPr>
        <w:footnoteReference w:id="8"/>
      </w:r>
      <w:r w:rsidRPr="00DF4EDE">
        <w:rPr>
          <w:rFonts w:ascii="Arial" w:hAnsi="Arial" w:cs="Arial"/>
          <w:color w:val="000000" w:themeColor="text1"/>
          <w:sz w:val="22"/>
        </w:rPr>
        <w:t xml:space="preserve">, proferido con ocasión de una consulta </w:t>
      </w:r>
      <w:r>
        <w:rPr>
          <w:rFonts w:ascii="Arial" w:hAnsi="Arial" w:cs="Arial"/>
          <w:color w:val="000000" w:themeColor="text1"/>
          <w:sz w:val="22"/>
        </w:rPr>
        <w:t xml:space="preserve">relacionada con </w:t>
      </w:r>
      <w:r w:rsidRPr="00DF4EDE">
        <w:rPr>
          <w:rFonts w:ascii="Arial" w:hAnsi="Arial" w:cs="Arial"/>
          <w:color w:val="000000" w:themeColor="text1"/>
          <w:sz w:val="22"/>
        </w:rPr>
        <w:t>la causación de la estampilla prouniversidades por la suscripción de contratos de suministro de materiales, personal y mantenimientos para las sedes de una entidad, consideró lo siguiente frente a la interpretación de estos contratos:</w:t>
      </w:r>
    </w:p>
    <w:p w14:paraId="174B8E7F" w14:textId="77777777" w:rsidR="007031F2" w:rsidRPr="00DF4EDE" w:rsidRDefault="007031F2" w:rsidP="007031F2">
      <w:pPr>
        <w:pStyle w:val="Sinespaciado"/>
        <w:spacing w:line="276" w:lineRule="auto"/>
        <w:jc w:val="both"/>
        <w:rPr>
          <w:rFonts w:ascii="Arial" w:hAnsi="Arial" w:cs="Arial"/>
          <w:color w:val="000000" w:themeColor="text1"/>
          <w:sz w:val="22"/>
        </w:rPr>
      </w:pPr>
    </w:p>
    <w:p w14:paraId="48A653C9" w14:textId="77777777" w:rsidR="007031F2" w:rsidRPr="00D162D0" w:rsidRDefault="007031F2" w:rsidP="007031F2">
      <w:pPr>
        <w:pStyle w:val="Sinespaciado"/>
        <w:widowControl w:val="0"/>
        <w:autoSpaceDE w:val="0"/>
        <w:autoSpaceDN w:val="0"/>
        <w:ind w:left="709" w:right="709"/>
        <w:jc w:val="both"/>
        <w:rPr>
          <w:rFonts w:ascii="Arial" w:hAnsi="Arial" w:cs="Arial"/>
          <w:color w:val="000000" w:themeColor="text1"/>
          <w:sz w:val="21"/>
          <w:szCs w:val="21"/>
        </w:rPr>
      </w:pPr>
      <w:r w:rsidRPr="00D162D0">
        <w:rPr>
          <w:rFonts w:ascii="Arial" w:hAnsi="Arial" w:cs="Arial"/>
          <w:color w:val="000000" w:themeColor="text1"/>
          <w:sz w:val="21"/>
          <w:szCs w:val="21"/>
        </w:rPr>
        <w:t>Es posible que existan contratos mixtos que contengan prestaciones correspondientes a varios tipos o clases de contratos, que no se encuentran relacionados con otros contratos típicos o atípicos, nominados o innominados a que se refieren los artículos 32 y 40 de la Ley 80 de 1993.</w:t>
      </w:r>
    </w:p>
    <w:p w14:paraId="2FE921F5" w14:textId="77777777" w:rsidR="007031F2" w:rsidRDefault="007031F2" w:rsidP="007031F2">
      <w:pPr>
        <w:pStyle w:val="Sinespaciado"/>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1DC888FA" w14:textId="77777777" w:rsidR="007031F2" w:rsidRPr="00D162D0" w:rsidRDefault="007031F2" w:rsidP="007031F2">
      <w:pPr>
        <w:pStyle w:val="Sinespaciado"/>
        <w:widowControl w:val="0"/>
        <w:autoSpaceDE w:val="0"/>
        <w:autoSpaceDN w:val="0"/>
        <w:spacing w:before="120"/>
        <w:ind w:left="709" w:right="709"/>
        <w:jc w:val="both"/>
        <w:rPr>
          <w:rFonts w:ascii="Arial" w:hAnsi="Arial" w:cs="Arial"/>
          <w:color w:val="000000" w:themeColor="text1"/>
          <w:sz w:val="21"/>
          <w:szCs w:val="21"/>
        </w:rPr>
      </w:pPr>
      <w:r w:rsidRPr="00D162D0">
        <w:rPr>
          <w:rFonts w:ascii="Arial" w:hAnsi="Arial" w:cs="Arial"/>
          <w:color w:val="000000" w:themeColor="text1"/>
          <w:sz w:val="21"/>
          <w:szCs w:val="21"/>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14:paraId="313B918C" w14:textId="4C8A0DA5" w:rsidR="007031F2" w:rsidRPr="00D162D0" w:rsidRDefault="007031F2" w:rsidP="007031F2">
      <w:pPr>
        <w:pStyle w:val="Sinespaciado"/>
        <w:widowControl w:val="0"/>
        <w:autoSpaceDE w:val="0"/>
        <w:autoSpaceDN w:val="0"/>
        <w:spacing w:before="120"/>
        <w:ind w:left="709" w:right="709"/>
        <w:jc w:val="both"/>
        <w:rPr>
          <w:rFonts w:ascii="Arial" w:hAnsi="Arial" w:cs="Arial"/>
          <w:color w:val="000000" w:themeColor="text1"/>
          <w:sz w:val="21"/>
          <w:szCs w:val="21"/>
        </w:rPr>
      </w:pPr>
      <w:r w:rsidRPr="00D162D0">
        <w:rPr>
          <w:rFonts w:ascii="Arial" w:hAnsi="Arial" w:cs="Arial"/>
          <w:color w:val="000000" w:themeColor="text1"/>
          <w:sz w:val="21"/>
          <w:szCs w:val="21"/>
        </w:rPr>
        <w:lastRenderedPageBreak/>
        <w:t>El ejemplo de contratos mixtos más común se refiere, como se señaló, al suministro de equipos necesarios para la prestación del servicio público de la entidad, con prestaciones accesorias y necesarias, relacionadas con su instalación y su puesta en funcionamiento, así como servicios de capacitación de asesoría de la entidad en el uso de los mismos.</w:t>
      </w:r>
    </w:p>
    <w:p w14:paraId="554B8093" w14:textId="77777777" w:rsidR="007031F2" w:rsidRDefault="007031F2" w:rsidP="007031F2">
      <w:pPr>
        <w:pStyle w:val="Sinespaciado"/>
        <w:widowControl w:val="0"/>
        <w:autoSpaceDE w:val="0"/>
        <w:autoSpaceDN w:val="0"/>
        <w:ind w:right="709"/>
        <w:jc w:val="both"/>
        <w:rPr>
          <w:rFonts w:ascii="Arial" w:hAnsi="Arial" w:cs="Arial"/>
          <w:color w:val="000000" w:themeColor="text1"/>
          <w:sz w:val="21"/>
          <w:szCs w:val="21"/>
        </w:rPr>
      </w:pPr>
    </w:p>
    <w:p w14:paraId="4C9063A3" w14:textId="151D6402" w:rsidR="007031F2" w:rsidRPr="00D162D0" w:rsidRDefault="007031F2" w:rsidP="003F0DE8">
      <w:pPr>
        <w:pStyle w:val="Sinespaciado"/>
        <w:widowControl w:val="0"/>
        <w:autoSpaceDE w:val="0"/>
        <w:autoSpaceDN w:val="0"/>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Resulta del caso precisar que la tipología contractual </w:t>
      </w:r>
      <w:r w:rsidRPr="00D162D0">
        <w:rPr>
          <w:rFonts w:ascii="Arial" w:hAnsi="Arial" w:cs="Arial"/>
          <w:color w:val="000000" w:themeColor="text1"/>
          <w:sz w:val="22"/>
        </w:rPr>
        <w:t xml:space="preserve">incide en aspectos como el proceso de selección que debe realizarse; los requisitos habilitantes o ponderables </w:t>
      </w:r>
      <w:r>
        <w:rPr>
          <w:rFonts w:ascii="Arial" w:hAnsi="Arial" w:cs="Arial"/>
          <w:color w:val="000000" w:themeColor="text1"/>
          <w:sz w:val="22"/>
        </w:rPr>
        <w:t>a incorporar</w:t>
      </w:r>
      <w:r w:rsidRPr="00D162D0">
        <w:rPr>
          <w:rFonts w:ascii="Arial" w:hAnsi="Arial" w:cs="Arial"/>
          <w:color w:val="000000" w:themeColor="text1"/>
          <w:sz w:val="22"/>
        </w:rPr>
        <w:t xml:space="preserve"> en el pliego de condiciones para seleccionar de manera objetiva la mejor oferta</w:t>
      </w:r>
      <w:r>
        <w:rPr>
          <w:rFonts w:ascii="Arial" w:hAnsi="Arial" w:cs="Arial"/>
          <w:color w:val="000000" w:themeColor="text1"/>
          <w:sz w:val="22"/>
        </w:rPr>
        <w:t>; y si se debe o no exigir el</w:t>
      </w:r>
      <w:r w:rsidRPr="00D162D0">
        <w:rPr>
          <w:rFonts w:ascii="Arial" w:hAnsi="Arial" w:cs="Arial"/>
          <w:color w:val="000000" w:themeColor="text1"/>
          <w:sz w:val="22"/>
        </w:rPr>
        <w:t xml:space="preserve"> Registro Único de Proponentes </w:t>
      </w:r>
      <w:r>
        <w:rPr>
          <w:rFonts w:ascii="Arial" w:hAnsi="Arial" w:cs="Arial"/>
          <w:color w:val="000000" w:themeColor="text1"/>
          <w:sz w:val="22"/>
        </w:rPr>
        <w:t>–</w:t>
      </w:r>
      <w:r w:rsidRPr="00D162D0">
        <w:rPr>
          <w:rFonts w:ascii="Arial" w:hAnsi="Arial" w:cs="Arial"/>
          <w:color w:val="000000" w:themeColor="text1"/>
          <w:sz w:val="22"/>
        </w:rPr>
        <w:t>RU</w:t>
      </w:r>
      <w:r w:rsidR="00384E8B">
        <w:rPr>
          <w:rFonts w:ascii="Arial" w:hAnsi="Arial" w:cs="Arial"/>
          <w:color w:val="000000" w:themeColor="text1"/>
          <w:sz w:val="22"/>
        </w:rPr>
        <w:t>P</w:t>
      </w:r>
      <w:r>
        <w:rPr>
          <w:rFonts w:ascii="Arial" w:hAnsi="Arial" w:cs="Arial"/>
          <w:color w:val="000000" w:themeColor="text1"/>
          <w:sz w:val="22"/>
        </w:rPr>
        <w:t>–, entre otras cuestiones importantes para el proceso</w:t>
      </w:r>
      <w:r w:rsidR="00384E8B">
        <w:rPr>
          <w:rFonts w:ascii="Arial" w:hAnsi="Arial" w:cs="Arial"/>
          <w:color w:val="000000" w:themeColor="text1"/>
          <w:sz w:val="22"/>
        </w:rPr>
        <w:t xml:space="preserve"> de contratación.</w:t>
      </w:r>
    </w:p>
    <w:p w14:paraId="5A4B550E" w14:textId="77777777" w:rsidR="007031F2" w:rsidRPr="00DF4EDE" w:rsidRDefault="007031F2" w:rsidP="007031F2">
      <w:pPr>
        <w:pStyle w:val="Sinespaciado"/>
        <w:widowControl w:val="0"/>
        <w:autoSpaceDE w:val="0"/>
        <w:autoSpaceDN w:val="0"/>
        <w:spacing w:line="276" w:lineRule="auto"/>
        <w:jc w:val="both"/>
        <w:rPr>
          <w:rFonts w:ascii="Arial" w:hAnsi="Arial" w:cs="Arial"/>
          <w:bCs/>
          <w:color w:val="000000" w:themeColor="text1"/>
          <w:sz w:val="22"/>
        </w:rPr>
      </w:pPr>
    </w:p>
    <w:p w14:paraId="170AE90F" w14:textId="77777777" w:rsidR="007031F2" w:rsidRPr="00DF4EDE" w:rsidRDefault="007031F2" w:rsidP="007031F2">
      <w:pPr>
        <w:pStyle w:val="Sinespaciado"/>
        <w:widowControl w:val="0"/>
        <w:numPr>
          <w:ilvl w:val="1"/>
          <w:numId w:val="14"/>
        </w:numPr>
        <w:autoSpaceDE w:val="0"/>
        <w:autoSpaceDN w:val="0"/>
        <w:spacing w:line="276" w:lineRule="auto"/>
        <w:jc w:val="both"/>
        <w:rPr>
          <w:rFonts w:ascii="Arial" w:hAnsi="Arial" w:cs="Arial"/>
          <w:b/>
          <w:color w:val="000000" w:themeColor="text1"/>
          <w:sz w:val="22"/>
        </w:rPr>
      </w:pPr>
      <w:r w:rsidRPr="00DF4EDE">
        <w:rPr>
          <w:rFonts w:ascii="Arial" w:hAnsi="Arial" w:cs="Arial"/>
          <w:b/>
          <w:color w:val="000000" w:themeColor="text1"/>
          <w:sz w:val="22"/>
        </w:rPr>
        <w:t xml:space="preserve">El contrato de obra pública  </w:t>
      </w:r>
    </w:p>
    <w:p w14:paraId="189B984D" w14:textId="77777777" w:rsidR="007031F2" w:rsidRPr="00DF4EDE" w:rsidRDefault="007031F2" w:rsidP="007031F2">
      <w:pPr>
        <w:pStyle w:val="Sinespaciado"/>
        <w:jc w:val="both"/>
        <w:rPr>
          <w:rFonts w:ascii="Arial" w:hAnsi="Arial" w:cs="Arial"/>
          <w:color w:val="000000" w:themeColor="text1"/>
          <w:sz w:val="22"/>
        </w:rPr>
      </w:pPr>
    </w:p>
    <w:p w14:paraId="242E9020" w14:textId="23925554" w:rsidR="007031F2" w:rsidRPr="00DF4EDE" w:rsidRDefault="007031F2" w:rsidP="003F0DE8">
      <w:pPr>
        <w:pStyle w:val="Cuadrculamedia1-nfasis21"/>
        <w:spacing w:after="120" w:line="276" w:lineRule="auto"/>
        <w:ind w:left="0"/>
        <w:contextualSpacing w:val="0"/>
        <w:jc w:val="both"/>
        <w:rPr>
          <w:rFonts w:ascii="Arial" w:eastAsiaTheme="minorHAnsi" w:hAnsi="Arial" w:cs="Arial"/>
          <w:color w:val="000000" w:themeColor="text1"/>
          <w:lang w:val="es-ES"/>
        </w:rPr>
      </w:pPr>
      <w:r w:rsidRPr="00DF4EDE">
        <w:rPr>
          <w:rFonts w:ascii="Arial" w:eastAsiaTheme="minorHAnsi" w:hAnsi="Arial" w:cs="Arial"/>
          <w:color w:val="000000" w:themeColor="text1"/>
          <w:lang w:val="es-ES"/>
        </w:rPr>
        <w:t>En primer lugar</w:t>
      </w:r>
      <w:r>
        <w:rPr>
          <w:rFonts w:ascii="Arial" w:eastAsiaTheme="minorHAnsi" w:hAnsi="Arial" w:cs="Arial"/>
          <w:color w:val="000000" w:themeColor="text1"/>
          <w:lang w:val="es-ES"/>
        </w:rPr>
        <w:t>,</w:t>
      </w:r>
      <w:r w:rsidRPr="00DF4EDE">
        <w:rPr>
          <w:rFonts w:ascii="Arial" w:eastAsiaTheme="minorHAnsi" w:hAnsi="Arial" w:cs="Arial"/>
          <w:color w:val="000000" w:themeColor="text1"/>
          <w:lang w:val="es-ES"/>
        </w:rPr>
        <w:t xml:space="preserve"> debe tenerse en cuenta que el contrato de obra pública es una tipología de los contratos estatales, entendidos estos últimos como los actos jurídicos generadores de obligaciones celebrados por alguna de las entidades estatales enlistadas en el artículo 2 de la Ley 80 de 1993. Lo anterior resulta de especial relevancia, </w:t>
      </w:r>
      <w:r>
        <w:rPr>
          <w:rFonts w:ascii="Arial" w:eastAsiaTheme="minorHAnsi" w:hAnsi="Arial" w:cs="Arial"/>
          <w:color w:val="000000" w:themeColor="text1"/>
          <w:lang w:val="es-ES"/>
        </w:rPr>
        <w:t>debido a</w:t>
      </w:r>
      <w:r w:rsidRPr="00DF4EDE">
        <w:rPr>
          <w:rFonts w:ascii="Arial" w:eastAsiaTheme="minorHAnsi" w:hAnsi="Arial" w:cs="Arial"/>
          <w:color w:val="000000" w:themeColor="text1"/>
          <w:lang w:val="es-ES"/>
        </w:rPr>
        <w:t xml:space="preserve"> que dicho tipo contractual se diferencia de la definición y regulación prevista en el derecho privado para el contrato de confección de obra material</w:t>
      </w:r>
      <w:r w:rsidR="00384E8B">
        <w:rPr>
          <w:rFonts w:ascii="Arial" w:eastAsiaTheme="minorHAnsi" w:hAnsi="Arial" w:cs="Arial"/>
          <w:color w:val="000000" w:themeColor="text1"/>
          <w:lang w:val="es-ES"/>
        </w:rPr>
        <w:t>,</w:t>
      </w:r>
      <w:r w:rsidRPr="00DF4EDE">
        <w:rPr>
          <w:rFonts w:ascii="Arial" w:eastAsiaTheme="minorHAnsi" w:hAnsi="Arial" w:cs="Arial"/>
          <w:color w:val="000000" w:themeColor="text1"/>
          <w:lang w:val="es-ES"/>
        </w:rPr>
        <w:t xml:space="preserve"> en los términos de los artículos 2053 y siguientes del Código Civil.</w:t>
      </w:r>
    </w:p>
    <w:p w14:paraId="295BE069" w14:textId="3FE03E9F" w:rsidR="007031F2" w:rsidRPr="00BB4378" w:rsidRDefault="007031F2" w:rsidP="007031F2">
      <w:pPr>
        <w:pStyle w:val="Cuadrculamedia1-nfasis21"/>
        <w:spacing w:before="120" w:after="0" w:line="276" w:lineRule="auto"/>
        <w:ind w:left="0" w:firstLine="709"/>
        <w:contextualSpacing w:val="0"/>
        <w:jc w:val="both"/>
        <w:rPr>
          <w:rFonts w:ascii="Arial" w:eastAsiaTheme="minorHAnsi" w:hAnsi="Arial" w:cs="Arial"/>
          <w:color w:val="000000" w:themeColor="text1"/>
          <w:lang w:val="es-ES"/>
        </w:rPr>
      </w:pPr>
      <w:r w:rsidRPr="00DF4EDE">
        <w:rPr>
          <w:rFonts w:ascii="Arial" w:eastAsiaTheme="minorHAnsi" w:hAnsi="Arial" w:cs="Arial"/>
          <w:color w:val="000000" w:themeColor="text1"/>
          <w:lang w:val="es-ES"/>
        </w:rPr>
        <w:t>La definición del contrato de obra pública está prevista en el numeral 1° del artículo 32 de la Ley 80 de 1993, como aqu</w:t>
      </w:r>
      <w:r w:rsidR="00384E8B">
        <w:rPr>
          <w:rFonts w:ascii="Arial" w:eastAsiaTheme="minorHAnsi" w:hAnsi="Arial" w:cs="Arial"/>
          <w:color w:val="000000" w:themeColor="text1"/>
          <w:lang w:val="es-ES"/>
        </w:rPr>
        <w:t>e</w:t>
      </w:r>
      <w:r w:rsidRPr="00DF4EDE">
        <w:rPr>
          <w:rFonts w:ascii="Arial" w:eastAsiaTheme="minorHAnsi" w:hAnsi="Arial" w:cs="Arial"/>
          <w:color w:val="000000" w:themeColor="text1"/>
          <w:lang w:val="es-ES"/>
        </w:rPr>
        <w:t xml:space="preserve">l celebrado por una entidad estatal, cuyo objeto sea la construcción, mantenimiento, instalación y, general, la realización de cualquier otro trabajo material sobre bienes inmuebles, cualquiera que sea la modalidad de ejecución y pago. </w:t>
      </w:r>
      <w:r>
        <w:rPr>
          <w:rFonts w:ascii="Arial" w:eastAsiaTheme="minorHAnsi" w:hAnsi="Arial" w:cs="Arial"/>
          <w:color w:val="000000" w:themeColor="text1"/>
          <w:lang w:val="es-ES"/>
        </w:rPr>
        <w:t>Al respecto, en sentencia de unificación de la Sala Plena del Consejo de Estado del 25 de febrero de 2020</w:t>
      </w:r>
      <w:r>
        <w:rPr>
          <w:rStyle w:val="Refdenotaalpie"/>
          <w:rFonts w:ascii="Arial" w:eastAsiaTheme="minorHAnsi" w:hAnsi="Arial" w:cs="Arial"/>
          <w:color w:val="000000" w:themeColor="text1"/>
          <w:lang w:val="es-ES"/>
        </w:rPr>
        <w:footnoteReference w:id="9"/>
      </w:r>
      <w:r>
        <w:rPr>
          <w:rFonts w:ascii="Arial" w:eastAsiaTheme="minorHAnsi" w:hAnsi="Arial" w:cs="Arial"/>
          <w:color w:val="000000" w:themeColor="text1"/>
          <w:lang w:val="es-ES"/>
        </w:rPr>
        <w:t xml:space="preserve">, se consideró que «[…] </w:t>
      </w:r>
      <w:r w:rsidRPr="00BB4378">
        <w:rPr>
          <w:rFonts w:ascii="Arial" w:eastAsiaTheme="minorHAnsi" w:hAnsi="Arial" w:cs="Arial"/>
          <w:color w:val="000000" w:themeColor="text1"/>
          <w:lang w:val="es-ES"/>
        </w:rPr>
        <w:t>debe entenderse que, en</w:t>
      </w:r>
      <w:r>
        <w:rPr>
          <w:rFonts w:ascii="Arial" w:eastAsiaTheme="minorHAnsi" w:hAnsi="Arial" w:cs="Arial"/>
          <w:color w:val="000000" w:themeColor="text1"/>
          <w:lang w:val="es-ES"/>
        </w:rPr>
        <w:t xml:space="preserve"> </w:t>
      </w:r>
      <w:r w:rsidRPr="00BB4378">
        <w:rPr>
          <w:rFonts w:ascii="Arial" w:eastAsiaTheme="minorHAnsi" w:hAnsi="Arial" w:cs="Arial"/>
          <w:color w:val="000000" w:themeColor="text1"/>
          <w:lang w:val="es-ES"/>
        </w:rPr>
        <w:t>términos generales, el contrato de obra pública es el celebrado con entidades</w:t>
      </w:r>
      <w:r>
        <w:rPr>
          <w:rFonts w:ascii="Arial" w:eastAsiaTheme="minorHAnsi" w:hAnsi="Arial" w:cs="Arial"/>
          <w:color w:val="000000" w:themeColor="text1"/>
          <w:lang w:val="es-ES"/>
        </w:rPr>
        <w:t xml:space="preserve"> </w:t>
      </w:r>
      <w:r w:rsidRPr="00BB4378">
        <w:rPr>
          <w:rFonts w:ascii="Arial" w:eastAsiaTheme="minorHAnsi" w:hAnsi="Arial" w:cs="Arial"/>
          <w:color w:val="000000" w:themeColor="text1"/>
          <w:lang w:val="es-ES"/>
        </w:rPr>
        <w:t>de derecho público para la realización de trabajos materiales sobre bienes</w:t>
      </w:r>
      <w:r>
        <w:rPr>
          <w:rFonts w:ascii="Arial" w:eastAsiaTheme="minorHAnsi" w:hAnsi="Arial" w:cs="Arial"/>
          <w:color w:val="000000" w:themeColor="text1"/>
          <w:lang w:val="es-ES"/>
        </w:rPr>
        <w:t xml:space="preserve"> </w:t>
      </w:r>
      <w:r w:rsidRPr="00BB4378">
        <w:rPr>
          <w:rFonts w:ascii="Arial" w:eastAsiaTheme="minorHAnsi" w:hAnsi="Arial" w:cs="Arial"/>
          <w:color w:val="000000" w:themeColor="text1"/>
          <w:lang w:val="es-ES"/>
        </w:rPr>
        <w:t>inmuebles</w:t>
      </w:r>
      <w:r>
        <w:rPr>
          <w:rFonts w:ascii="Arial" w:eastAsiaTheme="minorHAnsi" w:hAnsi="Arial" w:cs="Arial"/>
          <w:color w:val="000000" w:themeColor="text1"/>
          <w:lang w:val="es-ES"/>
        </w:rPr>
        <w:t xml:space="preserve"> […]».</w:t>
      </w:r>
    </w:p>
    <w:p w14:paraId="44BCEC3E" w14:textId="77777777" w:rsidR="007031F2" w:rsidRPr="00065270" w:rsidRDefault="007031F2" w:rsidP="003F0DE8">
      <w:pPr>
        <w:pStyle w:val="Cuadrculamedia1-nfasis21"/>
        <w:spacing w:before="120" w:after="120" w:line="276" w:lineRule="auto"/>
        <w:ind w:left="0" w:firstLine="709"/>
        <w:contextualSpacing w:val="0"/>
        <w:jc w:val="both"/>
        <w:rPr>
          <w:rFonts w:ascii="Arial" w:eastAsiaTheme="minorHAnsi" w:hAnsi="Arial" w:cs="Arial"/>
          <w:color w:val="000000" w:themeColor="text1"/>
          <w:lang w:val="es-ES"/>
        </w:rPr>
      </w:pPr>
      <w:r>
        <w:rPr>
          <w:rFonts w:ascii="Arial" w:eastAsiaTheme="minorHAnsi" w:hAnsi="Arial" w:cs="Arial"/>
          <w:color w:val="000000" w:themeColor="text1"/>
          <w:lang w:val="es-ES"/>
        </w:rPr>
        <w:t>E</w:t>
      </w:r>
      <w:r w:rsidRPr="00DF4EDE">
        <w:rPr>
          <w:rFonts w:ascii="Arial" w:eastAsiaTheme="minorHAnsi" w:hAnsi="Arial" w:cs="Arial"/>
          <w:color w:val="000000" w:themeColor="text1"/>
          <w:lang w:val="es-ES"/>
        </w:rPr>
        <w:t>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 bienes</w:t>
      </w:r>
      <w:r w:rsidRPr="00DF4EDE">
        <w:rPr>
          <w:rStyle w:val="Refdenotaalpie"/>
          <w:rFonts w:ascii="Arial" w:eastAsiaTheme="minorHAnsi" w:hAnsi="Arial" w:cs="Arial"/>
          <w:color w:val="000000" w:themeColor="text1"/>
          <w:lang w:val="es-ES"/>
        </w:rPr>
        <w:footnoteReference w:id="10"/>
      </w:r>
      <w:r>
        <w:rPr>
          <w:rFonts w:ascii="Arial" w:eastAsiaTheme="minorHAnsi" w:hAnsi="Arial" w:cs="Arial"/>
          <w:color w:val="000000" w:themeColor="text1"/>
          <w:lang w:val="es-ES"/>
        </w:rPr>
        <w:t>.</w:t>
      </w:r>
    </w:p>
    <w:p w14:paraId="5919750A" w14:textId="4FDE9041" w:rsidR="007031F2" w:rsidRPr="004B4EA7" w:rsidRDefault="007031F2" w:rsidP="003F0DE8">
      <w:pPr>
        <w:pStyle w:val="Cuadrculamedia1-nfasis21"/>
        <w:spacing w:after="120" w:line="276" w:lineRule="auto"/>
        <w:ind w:left="0" w:firstLine="709"/>
        <w:contextualSpacing w:val="0"/>
        <w:jc w:val="both"/>
        <w:rPr>
          <w:rFonts w:ascii="Arial" w:eastAsiaTheme="minorHAnsi" w:hAnsi="Arial" w:cs="Arial"/>
          <w:color w:val="000000" w:themeColor="text1"/>
        </w:rPr>
      </w:pPr>
      <w:r>
        <w:rPr>
          <w:rFonts w:ascii="Arial" w:eastAsiaTheme="minorHAnsi" w:hAnsi="Arial" w:cs="Arial"/>
          <w:color w:val="000000" w:themeColor="text1"/>
          <w:lang w:val="es-ES"/>
        </w:rPr>
        <w:lastRenderedPageBreak/>
        <w:t xml:space="preserve">Por otro lado, para los efectos de la pregunta </w:t>
      </w:r>
      <w:r>
        <w:rPr>
          <w:rFonts w:ascii="Arial" w:eastAsiaTheme="minorHAnsi" w:hAnsi="Arial" w:cs="Arial"/>
          <w:i/>
          <w:color w:val="000000" w:themeColor="text1"/>
          <w:lang w:val="es-ES"/>
        </w:rPr>
        <w:t>sub examine</w:t>
      </w:r>
      <w:r>
        <w:rPr>
          <w:rFonts w:ascii="Arial" w:eastAsiaTheme="minorHAnsi" w:hAnsi="Arial" w:cs="Arial"/>
          <w:color w:val="000000" w:themeColor="text1"/>
          <w:lang w:val="es-ES"/>
        </w:rPr>
        <w:t>, es importante precisar que en el EGCAP se mencionan indistintamente las nociones «obra pública» y «obra», sin que ello implique que se está haciendo referencia a dos tipologías contractuales diferentes. En efecto, los artículos 30, parágrafo 3</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32, parágrafo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y 109, inciso 3, de la Ley 80 de 1993, así como los artículos 2, numeral 4, parágrafo 7</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5, numeral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y 28 de la Ley 1150 de 2007, se refieren a la «obra pública»; mientras los artículos 4, numeral 4</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14, numeral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16</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18, inciso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24, numeral 5, literal C</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25, numeral 12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30, parágrafo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y 40, parágrafo, inciso tercero, así como los artículos 2, numeral 2</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6, parágrafo 1</w:t>
      </w:r>
      <w:r w:rsidR="00615048">
        <w:rPr>
          <w:rFonts w:ascii="Arial" w:eastAsiaTheme="minorHAnsi" w:hAnsi="Arial" w:cs="Arial"/>
          <w:color w:val="000000" w:themeColor="text1"/>
          <w:lang w:val="es-ES"/>
        </w:rPr>
        <w:t>;</w:t>
      </w:r>
      <w:r>
        <w:rPr>
          <w:rFonts w:ascii="Arial" w:eastAsiaTheme="minorHAnsi" w:hAnsi="Arial" w:cs="Arial"/>
          <w:color w:val="000000" w:themeColor="text1"/>
          <w:lang w:val="es-ES"/>
        </w:rPr>
        <w:t xml:space="preserve"> y 12 de la Ley 1150 de 2007, se refieren a «obra». Lo mismo se predica de las disposiciones del Decreto 1082 de 2015, como, por ejemplo, en los artículos </w:t>
      </w:r>
      <w:r w:rsidRPr="004B4EA7">
        <w:rPr>
          <w:rFonts w:ascii="Arial" w:eastAsiaTheme="minorHAnsi" w:hAnsi="Arial" w:cs="Arial"/>
          <w:color w:val="000000" w:themeColor="text1"/>
          <w:lang w:val="es-ES"/>
        </w:rPr>
        <w:t>2.2.1.2.1.2.24.</w:t>
      </w:r>
      <w:r>
        <w:rPr>
          <w:rFonts w:ascii="Arial" w:eastAsiaTheme="minorHAnsi" w:hAnsi="Arial" w:cs="Arial"/>
          <w:color w:val="000000" w:themeColor="text1"/>
          <w:lang w:val="es-ES"/>
        </w:rPr>
        <w:t xml:space="preserve"> y </w:t>
      </w:r>
      <w:r w:rsidRPr="004B4EA7">
        <w:rPr>
          <w:rFonts w:ascii="Arial" w:eastAsiaTheme="minorHAnsi" w:hAnsi="Arial" w:cs="Arial"/>
          <w:color w:val="000000" w:themeColor="text1"/>
          <w:lang w:val="es-ES"/>
        </w:rPr>
        <w:t>2.2.1.2.3.1.8.</w:t>
      </w:r>
    </w:p>
    <w:p w14:paraId="40ABE21D" w14:textId="77777777" w:rsidR="007031F2" w:rsidRDefault="007031F2" w:rsidP="007031F2">
      <w:pPr>
        <w:pStyle w:val="Cuadrculamedia1-nfasis21"/>
        <w:spacing w:before="120" w:after="0" w:line="276" w:lineRule="auto"/>
        <w:ind w:left="0" w:firstLine="709"/>
        <w:jc w:val="both"/>
        <w:rPr>
          <w:rFonts w:ascii="Arial" w:eastAsiaTheme="minorHAnsi" w:hAnsi="Arial" w:cs="Arial"/>
          <w:color w:val="000000" w:themeColor="text1"/>
          <w:lang w:val="es-ES"/>
        </w:rPr>
      </w:pPr>
      <w:r>
        <w:rPr>
          <w:rFonts w:ascii="Arial" w:eastAsiaTheme="minorHAnsi" w:hAnsi="Arial" w:cs="Arial"/>
          <w:color w:val="000000" w:themeColor="text1"/>
          <w:lang w:val="es-ES"/>
        </w:rPr>
        <w:t>De todos modos, lo cierto es que se debe entender que, en ambos casos, se está haciendo referencia al «contrato de obra pública» que regula el numeral 1 del artículo 32 de la Ley 80 de 1993, en los siguientes términos:</w:t>
      </w:r>
    </w:p>
    <w:p w14:paraId="1D0E5871" w14:textId="77777777" w:rsidR="007031F2" w:rsidRPr="004B4EA7" w:rsidRDefault="007031F2" w:rsidP="007031F2">
      <w:pPr>
        <w:pStyle w:val="Cuadrculamedia1-nfasis21"/>
        <w:spacing w:after="0" w:line="240" w:lineRule="auto"/>
        <w:ind w:left="709" w:right="709"/>
        <w:jc w:val="both"/>
        <w:rPr>
          <w:rFonts w:ascii="Arial" w:eastAsiaTheme="minorHAnsi" w:hAnsi="Arial" w:cs="Arial"/>
          <w:b/>
          <w:color w:val="000000" w:themeColor="text1"/>
          <w:sz w:val="21"/>
          <w:szCs w:val="21"/>
          <w:lang w:val="es-ES"/>
        </w:rPr>
      </w:pPr>
    </w:p>
    <w:p w14:paraId="4A639BBA"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r w:rsidRPr="004B4EA7">
        <w:rPr>
          <w:rFonts w:ascii="Arial" w:eastAsiaTheme="minorHAnsi" w:hAnsi="Arial" w:cs="Arial"/>
          <w:color w:val="000000" w:themeColor="text1"/>
          <w:sz w:val="21"/>
          <w:szCs w:val="21"/>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A59FCA5"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p>
    <w:p w14:paraId="193E2A20"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r w:rsidRPr="004B4EA7">
        <w:rPr>
          <w:rFonts w:ascii="Arial" w:eastAsiaTheme="minorHAnsi" w:hAnsi="Arial" w:cs="Arial"/>
          <w:color w:val="000000" w:themeColor="text1"/>
          <w:sz w:val="21"/>
          <w:szCs w:val="21"/>
        </w:rPr>
        <w:t>1o. Contrato de Obra</w:t>
      </w:r>
    </w:p>
    <w:p w14:paraId="00E2BB7C"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p>
    <w:p w14:paraId="153F3DD2"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r w:rsidRPr="004B4EA7">
        <w:rPr>
          <w:rFonts w:ascii="Arial" w:eastAsiaTheme="minorHAnsi" w:hAnsi="Arial" w:cs="Arial"/>
          <w:color w:val="000000" w:themeColor="text1"/>
          <w:sz w:val="21"/>
          <w:szCs w:val="21"/>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3633567E" w14:textId="77777777" w:rsidR="007031F2" w:rsidRPr="004B4EA7" w:rsidRDefault="007031F2" w:rsidP="007031F2">
      <w:pPr>
        <w:pStyle w:val="Cuadrculamedia1-nfasis21"/>
        <w:spacing w:line="240" w:lineRule="auto"/>
        <w:ind w:left="709" w:right="709"/>
        <w:jc w:val="both"/>
        <w:rPr>
          <w:rFonts w:ascii="Arial" w:eastAsiaTheme="minorHAnsi" w:hAnsi="Arial" w:cs="Arial"/>
          <w:color w:val="000000" w:themeColor="text1"/>
          <w:sz w:val="21"/>
          <w:szCs w:val="21"/>
        </w:rPr>
      </w:pPr>
    </w:p>
    <w:p w14:paraId="6A89DD66" w14:textId="77777777" w:rsidR="007031F2" w:rsidRPr="004B4EA7" w:rsidRDefault="007031F2" w:rsidP="007031F2">
      <w:pPr>
        <w:pStyle w:val="Cuadrculamedia1-nfasis21"/>
        <w:spacing w:after="0" w:line="240" w:lineRule="auto"/>
        <w:ind w:left="709" w:right="709"/>
        <w:jc w:val="both"/>
        <w:rPr>
          <w:rFonts w:ascii="Arial" w:eastAsiaTheme="minorHAnsi" w:hAnsi="Arial" w:cs="Arial"/>
          <w:color w:val="000000" w:themeColor="text1"/>
          <w:sz w:val="21"/>
          <w:szCs w:val="21"/>
        </w:rPr>
      </w:pPr>
      <w:r w:rsidRPr="004B4EA7">
        <w:rPr>
          <w:rFonts w:ascii="Arial" w:eastAsiaTheme="minorHAnsi" w:hAnsi="Arial" w:cs="Arial"/>
          <w:color w:val="000000" w:themeColor="text1"/>
          <w:sz w:val="21"/>
          <w:szCs w:val="21"/>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w:t>
      </w:r>
      <w:r>
        <w:rPr>
          <w:rFonts w:ascii="Arial" w:eastAsiaTheme="minorHAnsi" w:hAnsi="Arial" w:cs="Arial"/>
          <w:color w:val="000000" w:themeColor="text1"/>
          <w:sz w:val="21"/>
          <w:szCs w:val="21"/>
        </w:rPr>
        <w:t xml:space="preserve"> […]</w:t>
      </w:r>
    </w:p>
    <w:p w14:paraId="45FF8E70" w14:textId="77777777" w:rsidR="007031F2" w:rsidRPr="004B4EA7" w:rsidRDefault="007031F2" w:rsidP="007031F2">
      <w:pPr>
        <w:pStyle w:val="Cuadrculamedia1-nfasis21"/>
        <w:spacing w:after="0" w:line="276" w:lineRule="auto"/>
        <w:ind w:left="0" w:firstLine="708"/>
        <w:jc w:val="both"/>
        <w:rPr>
          <w:rFonts w:ascii="Arial" w:eastAsiaTheme="minorHAnsi" w:hAnsi="Arial" w:cs="Arial"/>
          <w:color w:val="000000" w:themeColor="text1"/>
        </w:rPr>
      </w:pPr>
    </w:p>
    <w:p w14:paraId="7808263E" w14:textId="2850EB80" w:rsidR="007031F2" w:rsidRPr="00D17ECC" w:rsidRDefault="007031F2" w:rsidP="007031F2">
      <w:pPr>
        <w:pStyle w:val="Cuadrculamedia1-nfasis21"/>
        <w:spacing w:after="0" w:line="276" w:lineRule="auto"/>
        <w:ind w:left="0" w:firstLine="708"/>
        <w:jc w:val="both"/>
        <w:rPr>
          <w:rFonts w:ascii="Arial" w:eastAsiaTheme="minorHAnsi" w:hAnsi="Arial" w:cs="Arial"/>
          <w:color w:val="000000" w:themeColor="text1"/>
          <w:lang w:val="es-ES"/>
        </w:rPr>
      </w:pPr>
      <w:r>
        <w:rPr>
          <w:rFonts w:ascii="Arial" w:eastAsiaTheme="minorHAnsi" w:hAnsi="Arial" w:cs="Arial"/>
          <w:color w:val="000000" w:themeColor="text1"/>
          <w:lang w:val="es-ES"/>
        </w:rPr>
        <w:t>Teniendo en cuenta lo anterior</w:t>
      </w:r>
      <w:r w:rsidRPr="003E4295">
        <w:rPr>
          <w:rFonts w:ascii="Arial" w:eastAsiaTheme="minorHAnsi" w:hAnsi="Arial" w:cs="Arial"/>
          <w:color w:val="000000" w:themeColor="text1"/>
          <w:lang w:val="es-ES"/>
        </w:rPr>
        <w:t xml:space="preserve">, </w:t>
      </w:r>
      <w:r>
        <w:rPr>
          <w:rFonts w:ascii="Arial" w:eastAsiaTheme="minorHAnsi" w:hAnsi="Arial" w:cs="Arial"/>
          <w:color w:val="000000" w:themeColor="text1"/>
          <w:lang w:val="es-ES"/>
        </w:rPr>
        <w:t>la Agencia Nacional de Contratación Pública considera que las nociones «contrato</w:t>
      </w:r>
      <w:r w:rsidR="00615048">
        <w:rPr>
          <w:rFonts w:ascii="Arial" w:eastAsiaTheme="minorHAnsi" w:hAnsi="Arial" w:cs="Arial"/>
          <w:color w:val="000000" w:themeColor="text1"/>
          <w:lang w:val="es-ES"/>
        </w:rPr>
        <w:t xml:space="preserve"> de obra</w:t>
      </w:r>
      <w:r>
        <w:rPr>
          <w:rFonts w:ascii="Arial" w:eastAsiaTheme="minorHAnsi" w:hAnsi="Arial" w:cs="Arial"/>
          <w:color w:val="000000" w:themeColor="text1"/>
          <w:lang w:val="es-ES"/>
        </w:rPr>
        <w:t xml:space="preserve">» y «contrato de obra pública», utilizadas indistintamente en las Leyes 80 de 1993 y 1150 de 2007, se refieren al contrato de obra pública que regula el numeral 1 del artículo 32 del EGCAP. En otras palabras, el «contrato de obra» y el «contrato de obra pública», para los fines del EGCAP, se refieren a una misma tipología contractual, específicamente, al contrato referido en el numeral 1 del artículo 32 </w:t>
      </w:r>
      <w:r>
        <w:rPr>
          <w:rFonts w:ascii="Arial" w:eastAsiaTheme="minorHAnsi" w:hAnsi="Arial" w:cs="Arial"/>
          <w:i/>
          <w:color w:val="000000" w:themeColor="text1"/>
          <w:lang w:val="es-ES"/>
        </w:rPr>
        <w:t>ibídem</w:t>
      </w:r>
      <w:r>
        <w:rPr>
          <w:rFonts w:ascii="Arial" w:eastAsiaTheme="minorHAnsi" w:hAnsi="Arial" w:cs="Arial"/>
          <w:color w:val="000000" w:themeColor="text1"/>
          <w:lang w:val="es-ES"/>
        </w:rPr>
        <w:t>.</w:t>
      </w:r>
    </w:p>
    <w:p w14:paraId="6BB00445" w14:textId="35EDFC89" w:rsidR="00784229" w:rsidRDefault="00784229" w:rsidP="007031F2">
      <w:pPr>
        <w:spacing w:line="276" w:lineRule="auto"/>
        <w:jc w:val="both"/>
        <w:rPr>
          <w:rFonts w:ascii="Arial" w:hAnsi="Arial" w:cs="Arial"/>
          <w:color w:val="000000" w:themeColor="text1"/>
          <w:sz w:val="22"/>
          <w:lang w:val="es-CO"/>
        </w:rPr>
      </w:pPr>
    </w:p>
    <w:p w14:paraId="5AA0ACB2" w14:textId="77777777" w:rsidR="007031F2" w:rsidRPr="00086C47" w:rsidRDefault="007031F2" w:rsidP="007031F2">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086C47">
        <w:rPr>
          <w:rFonts w:ascii="Arial" w:eastAsia="Calibri" w:hAnsi="Arial" w:cs="Arial"/>
          <w:b/>
          <w:color w:val="000000" w:themeColor="text1"/>
          <w:sz w:val="22"/>
        </w:rPr>
        <w:t>Respuestas</w:t>
      </w:r>
    </w:p>
    <w:p w14:paraId="610E1C94" w14:textId="77777777" w:rsidR="007031F2" w:rsidRPr="00086C47" w:rsidRDefault="007031F2" w:rsidP="007031F2">
      <w:pPr>
        <w:spacing w:line="276" w:lineRule="auto"/>
        <w:ind w:right="709"/>
        <w:jc w:val="both"/>
        <w:rPr>
          <w:rFonts w:ascii="Arial" w:eastAsia="Calibri" w:hAnsi="Arial" w:cs="Arial"/>
          <w:iCs/>
          <w:color w:val="000000" w:themeColor="text1"/>
          <w:sz w:val="22"/>
        </w:rPr>
      </w:pPr>
    </w:p>
    <w:p w14:paraId="756B3387" w14:textId="77777777" w:rsidR="007031F2" w:rsidRDefault="007031F2" w:rsidP="003F0DE8">
      <w:pPr>
        <w:ind w:left="709" w:right="709"/>
        <w:jc w:val="both"/>
        <w:rPr>
          <w:rFonts w:ascii="Arial" w:eastAsia="Calibri" w:hAnsi="Arial" w:cs="Arial"/>
          <w:color w:val="000000" w:themeColor="text1"/>
          <w:sz w:val="21"/>
          <w:szCs w:val="21"/>
        </w:rPr>
      </w:pPr>
      <w:r w:rsidRPr="00D17ECC">
        <w:rPr>
          <w:rFonts w:ascii="Arial" w:eastAsia="Calibri" w:hAnsi="Arial" w:cs="Arial"/>
          <w:color w:val="000000" w:themeColor="text1"/>
          <w:sz w:val="21"/>
          <w:szCs w:val="21"/>
        </w:rPr>
        <w:t>En relación con los parágrafos 2 y 3 del artículo 30 de la Ley 80 de 1993, adicionados por el artículo 1 de la Ley 1882 de 2018, usted pregunta cuál es la diferencia entre el «[…] contrato de obra y contrato de obra pública […]».</w:t>
      </w:r>
    </w:p>
    <w:p w14:paraId="2CA4B31C" w14:textId="77777777" w:rsidR="007031F2" w:rsidRPr="00086C47" w:rsidRDefault="007031F2" w:rsidP="007031F2">
      <w:pPr>
        <w:spacing w:line="276" w:lineRule="auto"/>
        <w:ind w:left="709" w:right="709"/>
        <w:jc w:val="both"/>
        <w:rPr>
          <w:rFonts w:ascii="Arial" w:eastAsia="Calibri" w:hAnsi="Arial" w:cs="Arial"/>
          <w:color w:val="000000" w:themeColor="text1"/>
          <w:sz w:val="21"/>
          <w:szCs w:val="21"/>
        </w:rPr>
      </w:pPr>
    </w:p>
    <w:p w14:paraId="457816C2" w14:textId="21E5CDDC" w:rsidR="007031F2" w:rsidRPr="00086C47" w:rsidRDefault="007031F2" w:rsidP="007031F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el </w:t>
      </w:r>
      <w:r w:rsidRPr="00D17ECC">
        <w:rPr>
          <w:rFonts w:ascii="Arial" w:eastAsia="Calibri" w:hAnsi="Arial" w:cs="Arial"/>
          <w:color w:val="000000" w:themeColor="text1"/>
          <w:sz w:val="22"/>
        </w:rPr>
        <w:t>E</w:t>
      </w:r>
      <w:r>
        <w:rPr>
          <w:rFonts w:ascii="Arial" w:eastAsia="Calibri" w:hAnsi="Arial" w:cs="Arial"/>
          <w:color w:val="000000" w:themeColor="text1"/>
          <w:sz w:val="22"/>
        </w:rPr>
        <w:t xml:space="preserve">statuto General de Contratación de la Administración Pública </w:t>
      </w:r>
      <w:r w:rsidRPr="00D17ECC">
        <w:rPr>
          <w:rFonts w:ascii="Arial" w:eastAsia="Calibri" w:hAnsi="Arial" w:cs="Arial"/>
          <w:color w:val="000000" w:themeColor="text1"/>
          <w:sz w:val="22"/>
        </w:rPr>
        <w:t xml:space="preserve">se </w:t>
      </w:r>
      <w:r w:rsidR="00615048">
        <w:rPr>
          <w:rFonts w:ascii="Arial" w:eastAsia="Calibri" w:hAnsi="Arial" w:cs="Arial"/>
          <w:color w:val="000000" w:themeColor="text1"/>
          <w:sz w:val="22"/>
        </w:rPr>
        <w:t>utilizan</w:t>
      </w:r>
      <w:r w:rsidR="00615048" w:rsidRPr="00D17ECC">
        <w:rPr>
          <w:rFonts w:ascii="Arial" w:eastAsia="Calibri" w:hAnsi="Arial" w:cs="Arial"/>
          <w:color w:val="000000" w:themeColor="text1"/>
          <w:sz w:val="22"/>
        </w:rPr>
        <w:t xml:space="preserve"> </w:t>
      </w:r>
      <w:r w:rsidRPr="00D17ECC">
        <w:rPr>
          <w:rFonts w:ascii="Arial" w:eastAsia="Calibri" w:hAnsi="Arial" w:cs="Arial"/>
          <w:color w:val="000000" w:themeColor="text1"/>
          <w:sz w:val="22"/>
        </w:rPr>
        <w:t xml:space="preserve">indistintamente las nociones «obra pública» y «obra», sin que ello implique que se está haciendo referencia a dos tipologías contractuales diferentes. En efecto, </w:t>
      </w:r>
      <w:r>
        <w:rPr>
          <w:rFonts w:ascii="Arial" w:eastAsia="Calibri" w:hAnsi="Arial" w:cs="Arial"/>
          <w:color w:val="000000" w:themeColor="text1"/>
          <w:sz w:val="22"/>
        </w:rPr>
        <w:t>el parágrafo 3 del</w:t>
      </w:r>
      <w:r w:rsidRPr="00D17ECC">
        <w:rPr>
          <w:rFonts w:ascii="Arial" w:eastAsia="Calibri" w:hAnsi="Arial" w:cs="Arial"/>
          <w:color w:val="000000" w:themeColor="text1"/>
          <w:sz w:val="22"/>
        </w:rPr>
        <w:t xml:space="preserve"> artículo 30</w:t>
      </w:r>
      <w:r>
        <w:rPr>
          <w:rFonts w:ascii="Arial" w:eastAsia="Calibri" w:hAnsi="Arial" w:cs="Arial"/>
          <w:color w:val="000000" w:themeColor="text1"/>
          <w:sz w:val="22"/>
        </w:rPr>
        <w:t xml:space="preserve"> de la Ley 80 de 1993</w:t>
      </w:r>
      <w:r w:rsidRPr="00D17ECC">
        <w:rPr>
          <w:rFonts w:ascii="Arial" w:eastAsia="Calibri" w:hAnsi="Arial" w:cs="Arial"/>
          <w:color w:val="000000" w:themeColor="text1"/>
          <w:sz w:val="22"/>
        </w:rPr>
        <w:t>, se refier</w:t>
      </w:r>
      <w:r>
        <w:rPr>
          <w:rFonts w:ascii="Arial" w:eastAsia="Calibri" w:hAnsi="Arial" w:cs="Arial"/>
          <w:color w:val="000000" w:themeColor="text1"/>
          <w:sz w:val="22"/>
        </w:rPr>
        <w:t>e</w:t>
      </w:r>
      <w:r w:rsidRPr="00D17ECC">
        <w:rPr>
          <w:rFonts w:ascii="Arial" w:eastAsia="Calibri" w:hAnsi="Arial" w:cs="Arial"/>
          <w:color w:val="000000" w:themeColor="text1"/>
          <w:sz w:val="22"/>
        </w:rPr>
        <w:t xml:space="preserve"> a la «obra pública»; mientras </w:t>
      </w:r>
      <w:r>
        <w:rPr>
          <w:rFonts w:ascii="Arial" w:eastAsia="Calibri" w:hAnsi="Arial" w:cs="Arial"/>
          <w:color w:val="000000" w:themeColor="text1"/>
          <w:sz w:val="22"/>
        </w:rPr>
        <w:t>que el parágrafo 2 de la misma norma</w:t>
      </w:r>
      <w:r w:rsidRPr="00D17ECC">
        <w:rPr>
          <w:rFonts w:ascii="Arial" w:eastAsia="Calibri" w:hAnsi="Arial" w:cs="Arial"/>
          <w:color w:val="000000" w:themeColor="text1"/>
          <w:sz w:val="22"/>
        </w:rPr>
        <w:t>, se refiere a «obra».</w:t>
      </w:r>
      <w:r>
        <w:rPr>
          <w:rFonts w:ascii="Arial" w:eastAsia="Calibri" w:hAnsi="Arial" w:cs="Arial"/>
          <w:color w:val="000000" w:themeColor="text1"/>
          <w:sz w:val="22"/>
        </w:rPr>
        <w:t xml:space="preserve"> Sin embargo, le informamos que esta entidad considera que, </w:t>
      </w:r>
      <w:r w:rsidRPr="00D17ECC">
        <w:rPr>
          <w:rFonts w:ascii="Arial" w:eastAsia="Calibri" w:hAnsi="Arial" w:cs="Arial"/>
          <w:color w:val="000000" w:themeColor="text1"/>
          <w:sz w:val="22"/>
        </w:rPr>
        <w:t xml:space="preserve">en ambos casos, </w:t>
      </w:r>
      <w:r>
        <w:rPr>
          <w:rFonts w:ascii="Arial" w:eastAsia="Calibri" w:hAnsi="Arial" w:cs="Arial"/>
          <w:color w:val="000000" w:themeColor="text1"/>
          <w:sz w:val="22"/>
        </w:rPr>
        <w:t xml:space="preserve">el legislador </w:t>
      </w:r>
      <w:r w:rsidRPr="00D17ECC">
        <w:rPr>
          <w:rFonts w:ascii="Arial" w:eastAsia="Calibri" w:hAnsi="Arial" w:cs="Arial"/>
          <w:color w:val="000000" w:themeColor="text1"/>
          <w:sz w:val="22"/>
        </w:rPr>
        <w:t>está haciendo referencia al contrato que regula el numeral 1 del artículo 32 de la Ley 80 de 1993</w:t>
      </w:r>
      <w:r>
        <w:rPr>
          <w:rFonts w:ascii="Arial" w:eastAsia="Calibri" w:hAnsi="Arial" w:cs="Arial"/>
          <w:color w:val="000000" w:themeColor="text1"/>
          <w:sz w:val="22"/>
        </w:rPr>
        <w:t>.</w:t>
      </w:r>
    </w:p>
    <w:p w14:paraId="2B0DE54C" w14:textId="77777777" w:rsidR="007031F2" w:rsidRPr="00086C47" w:rsidRDefault="007031F2" w:rsidP="007031F2">
      <w:pPr>
        <w:spacing w:line="276" w:lineRule="auto"/>
        <w:jc w:val="both"/>
        <w:rPr>
          <w:rFonts w:ascii="Arial" w:eastAsia="Calibri" w:hAnsi="Arial" w:cs="Arial"/>
          <w:color w:val="000000" w:themeColor="text1"/>
          <w:sz w:val="22"/>
          <w:lang w:val="es-CO"/>
        </w:rPr>
      </w:pPr>
    </w:p>
    <w:p w14:paraId="4F225FC3" w14:textId="77777777" w:rsidR="007031F2" w:rsidRPr="00086C47" w:rsidRDefault="007031F2" w:rsidP="007031F2">
      <w:pPr>
        <w:spacing w:before="120" w:after="120" w:line="276" w:lineRule="auto"/>
        <w:jc w:val="both"/>
        <w:rPr>
          <w:rFonts w:ascii="Arial" w:eastAsia="Calibri" w:hAnsi="Arial" w:cs="Arial"/>
          <w:color w:val="000000" w:themeColor="text1"/>
          <w:sz w:val="22"/>
        </w:rPr>
      </w:pPr>
      <w:r w:rsidRPr="00086C47">
        <w:rPr>
          <w:rFonts w:ascii="Arial" w:eastAsia="Calibri" w:hAnsi="Arial" w:cs="Arial"/>
          <w:color w:val="000000" w:themeColor="text1"/>
          <w:sz w:val="22"/>
        </w:rPr>
        <w:t>Este concepto tiene el alcance previsto en el artículo 28 del Código de Procedimiento Administrativo y de lo Contencioso Administrativo.</w:t>
      </w:r>
    </w:p>
    <w:p w14:paraId="74C09CCB" w14:textId="77777777" w:rsidR="007031F2" w:rsidRPr="00086C47" w:rsidRDefault="007031F2" w:rsidP="007031F2">
      <w:pPr>
        <w:jc w:val="both"/>
        <w:rPr>
          <w:rFonts w:ascii="Arial" w:eastAsia="Calibri" w:hAnsi="Arial" w:cs="Arial"/>
          <w:color w:val="000000" w:themeColor="text1"/>
          <w:sz w:val="22"/>
        </w:rPr>
      </w:pPr>
      <w:r w:rsidRPr="00086C47">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21C435B" wp14:editId="7150EF9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58EA0C"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C4C1999" w14:textId="77777777" w:rsidR="007031F2" w:rsidRPr="00086C47" w:rsidRDefault="007031F2" w:rsidP="007031F2">
      <w:pPr>
        <w:rPr>
          <w:rFonts w:ascii="Arial" w:eastAsia="Times New Roman" w:hAnsi="Arial" w:cs="Arial"/>
          <w:color w:val="000000" w:themeColor="text1"/>
          <w:sz w:val="22"/>
          <w:lang w:eastAsia="es-CO"/>
        </w:rPr>
      </w:pPr>
      <w:r w:rsidRPr="00086C47">
        <w:rPr>
          <w:rFonts w:ascii="Arial" w:eastAsia="Times New Roman" w:hAnsi="Arial" w:cs="Arial"/>
          <w:color w:val="000000" w:themeColor="text1"/>
          <w:sz w:val="22"/>
          <w:lang w:eastAsia="es-CO"/>
        </w:rPr>
        <w:t>Atentamente,</w:t>
      </w:r>
    </w:p>
    <w:p w14:paraId="529EBB22" w14:textId="4638D7CB" w:rsidR="007031F2" w:rsidRPr="00086C47" w:rsidRDefault="0048495C" w:rsidP="007031F2">
      <w:pPr>
        <w:jc w:val="center"/>
        <w:rPr>
          <w:rFonts w:ascii="Arial" w:eastAsia="Times New Roman" w:hAnsi="Arial" w:cs="Arial"/>
          <w:color w:val="000000" w:themeColor="text1"/>
          <w:sz w:val="22"/>
          <w:lang w:eastAsia="es-CO"/>
        </w:rPr>
      </w:pPr>
      <w:r>
        <w:rPr>
          <w:noProof/>
          <w:lang w:val="en-US"/>
        </w:rPr>
        <w:drawing>
          <wp:inline distT="0" distB="0" distL="0" distR="0" wp14:anchorId="0DBB514E" wp14:editId="662AC68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E7DD9B3" w14:textId="77777777" w:rsidR="007031F2" w:rsidRPr="00086C47" w:rsidRDefault="007031F2" w:rsidP="007031F2">
      <w:pP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31F2" w:rsidRPr="00086C47" w14:paraId="11A148BA" w14:textId="77777777" w:rsidTr="00BD57C1">
        <w:trPr>
          <w:trHeight w:val="315"/>
        </w:trPr>
        <w:tc>
          <w:tcPr>
            <w:tcW w:w="488" w:type="dxa"/>
            <w:vAlign w:val="center"/>
            <w:hideMark/>
          </w:tcPr>
          <w:p w14:paraId="2AF92C48"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249548"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David Castellanos Carreño</w:t>
            </w:r>
          </w:p>
          <w:p w14:paraId="7A7FBDCD"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Contratista de la Subdirección de Gestión Contractual</w:t>
            </w:r>
          </w:p>
        </w:tc>
      </w:tr>
      <w:tr w:rsidR="007031F2" w:rsidRPr="00086C47" w14:paraId="1EE7E236" w14:textId="77777777" w:rsidTr="00BD57C1">
        <w:trPr>
          <w:trHeight w:val="330"/>
        </w:trPr>
        <w:tc>
          <w:tcPr>
            <w:tcW w:w="488" w:type="dxa"/>
            <w:vAlign w:val="center"/>
            <w:hideMark/>
          </w:tcPr>
          <w:p w14:paraId="736FC6BB"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27F8DC" w14:textId="488B4590" w:rsidR="007031F2" w:rsidRPr="00086C47" w:rsidRDefault="008379CE" w:rsidP="00BD57C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82CC63" w14:textId="2AE3CC8E" w:rsidR="007031F2" w:rsidRPr="00086C47" w:rsidRDefault="008379CE"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 xml:space="preserve">Contratista </w:t>
            </w:r>
            <w:r>
              <w:rPr>
                <w:rFonts w:ascii="Arial" w:eastAsia="Times New Roman" w:hAnsi="Arial" w:cs="Arial"/>
                <w:color w:val="000000" w:themeColor="text1"/>
                <w:sz w:val="16"/>
                <w:szCs w:val="16"/>
                <w:lang w:eastAsia="es-ES"/>
              </w:rPr>
              <w:t>–</w:t>
            </w:r>
            <w:r w:rsidRPr="00086C47">
              <w:rPr>
                <w:rFonts w:ascii="Arial" w:eastAsia="Times New Roman" w:hAnsi="Arial" w:cs="Arial"/>
                <w:color w:val="000000" w:themeColor="text1"/>
                <w:sz w:val="16"/>
                <w:szCs w:val="16"/>
                <w:lang w:eastAsia="es-ES"/>
              </w:rPr>
              <w:t xml:space="preserve"> Subdirección de Gestión Contractual</w:t>
            </w:r>
          </w:p>
        </w:tc>
      </w:tr>
      <w:tr w:rsidR="007031F2" w:rsidRPr="00086C47" w14:paraId="13C5BF9E" w14:textId="77777777" w:rsidTr="00BD57C1">
        <w:trPr>
          <w:trHeight w:val="300"/>
        </w:trPr>
        <w:tc>
          <w:tcPr>
            <w:tcW w:w="488" w:type="dxa"/>
            <w:vAlign w:val="center"/>
            <w:hideMark/>
          </w:tcPr>
          <w:p w14:paraId="40DDE8FD"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014AB"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Fabián Gonzalo Marín Cortés</w:t>
            </w:r>
          </w:p>
          <w:p w14:paraId="6165A708" w14:textId="77777777" w:rsidR="007031F2" w:rsidRPr="00086C47" w:rsidRDefault="007031F2" w:rsidP="00BD57C1">
            <w:pPr>
              <w:rPr>
                <w:rFonts w:ascii="Arial" w:eastAsia="Times New Roman" w:hAnsi="Arial" w:cs="Arial"/>
                <w:color w:val="000000" w:themeColor="text1"/>
                <w:sz w:val="16"/>
                <w:szCs w:val="16"/>
                <w:lang w:eastAsia="es-ES"/>
              </w:rPr>
            </w:pPr>
            <w:r w:rsidRPr="00086C47">
              <w:rPr>
                <w:rFonts w:ascii="Arial" w:eastAsia="Times New Roman" w:hAnsi="Arial" w:cs="Arial"/>
                <w:color w:val="000000" w:themeColor="text1"/>
                <w:sz w:val="16"/>
                <w:szCs w:val="16"/>
                <w:lang w:eastAsia="es-ES"/>
              </w:rPr>
              <w:t>Subdirector de Gestión Contractual</w:t>
            </w:r>
          </w:p>
        </w:tc>
      </w:tr>
    </w:tbl>
    <w:p w14:paraId="7EBF297E" w14:textId="77777777" w:rsidR="007B0854" w:rsidRPr="007031F2" w:rsidRDefault="007B0854"/>
    <w:sectPr w:rsidR="007B0854" w:rsidRPr="007031F2"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30BE2" w14:textId="77777777" w:rsidR="00266CE7" w:rsidRDefault="00266CE7">
      <w:r>
        <w:separator/>
      </w:r>
    </w:p>
  </w:endnote>
  <w:endnote w:type="continuationSeparator" w:id="0">
    <w:p w14:paraId="7280FFC5" w14:textId="77777777" w:rsidR="00266CE7" w:rsidRDefault="0026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1BE3D00E" w:rsidR="001F790E" w:rsidRDefault="001F790E" w:rsidP="007B0854">
    <w:pPr>
      <w:pStyle w:val="Sinespaciado"/>
      <w:jc w:val="center"/>
      <w:rPr>
        <w:rFonts w:ascii="Arial" w:hAnsi="Arial" w:cs="Arial"/>
        <w:sz w:val="18"/>
        <w:szCs w:val="18"/>
      </w:rPr>
    </w:pPr>
  </w:p>
  <w:p w14:paraId="0DB169D4" w14:textId="77777777" w:rsidR="00151C61" w:rsidRDefault="00151C61" w:rsidP="007B0854">
    <w:pPr>
      <w:pStyle w:val="Sinespaciado"/>
      <w:jc w:val="center"/>
      <w:rPr>
        <w:rFonts w:ascii="Arial" w:hAnsi="Arial" w:cs="Arial"/>
        <w:sz w:val="18"/>
        <w:szCs w:val="18"/>
      </w:rPr>
    </w:pPr>
  </w:p>
  <w:p w14:paraId="312C4A14" w14:textId="7372C7F7" w:rsidR="001F790E" w:rsidRPr="005A79FE" w:rsidRDefault="001F790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A6DAE">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A6DAE">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3F49E18B" w:rsidR="001F790E" w:rsidRDefault="03C30222"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05E76A7" w14:textId="77777777" w:rsidR="00D535E1" w:rsidRDefault="00D535E1" w:rsidP="007B0854">
    <w:pPr>
      <w:pStyle w:val="Piedepgina"/>
      <w:jc w:val="center"/>
      <w:rPr>
        <w:lang w:val="es-ES"/>
      </w:rPr>
    </w:pPr>
  </w:p>
  <w:p w14:paraId="645768A8" w14:textId="77777777" w:rsidR="001F790E" w:rsidRPr="007B0854" w:rsidRDefault="001F790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D7453" w14:textId="77777777" w:rsidR="00266CE7" w:rsidRDefault="00266CE7">
      <w:r>
        <w:separator/>
      </w:r>
    </w:p>
  </w:footnote>
  <w:footnote w:type="continuationSeparator" w:id="0">
    <w:p w14:paraId="167BFE92" w14:textId="77777777" w:rsidR="00266CE7" w:rsidRDefault="00266CE7">
      <w:r>
        <w:continuationSeparator/>
      </w:r>
    </w:p>
  </w:footnote>
  <w:footnote w:id="1">
    <w:p w14:paraId="652AFA1D" w14:textId="77777777"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Que tienen una definición y regulación establecida en la ley.</w:t>
      </w:r>
    </w:p>
    <w:p w14:paraId="3CCA1E26" w14:textId="77777777" w:rsidR="007031F2" w:rsidRPr="00BB4378" w:rsidRDefault="007031F2" w:rsidP="007031F2">
      <w:pPr>
        <w:pStyle w:val="Textonotapie"/>
        <w:jc w:val="both"/>
        <w:rPr>
          <w:rFonts w:ascii="Arial" w:hAnsi="Arial" w:cs="Arial"/>
          <w:iCs/>
          <w:color w:val="000000" w:themeColor="text1"/>
          <w:sz w:val="19"/>
          <w:szCs w:val="19"/>
        </w:rPr>
      </w:pPr>
    </w:p>
  </w:footnote>
  <w:footnote w:id="2">
    <w:p w14:paraId="30F37C0F" w14:textId="77777777"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Por ejemplo: Contratos de compraventa, suministro, depósito, seguro, arrendamiento, mutuo, mandato etc.</w:t>
      </w:r>
    </w:p>
    <w:p w14:paraId="07EB26A4" w14:textId="77777777" w:rsidR="007031F2" w:rsidRPr="00BB4378" w:rsidRDefault="007031F2" w:rsidP="007031F2">
      <w:pPr>
        <w:pStyle w:val="Textonotapie"/>
        <w:jc w:val="both"/>
        <w:rPr>
          <w:rFonts w:ascii="Arial" w:hAnsi="Arial" w:cs="Arial"/>
          <w:iCs/>
          <w:color w:val="000000" w:themeColor="text1"/>
          <w:sz w:val="19"/>
          <w:szCs w:val="19"/>
        </w:rPr>
      </w:pPr>
    </w:p>
  </w:footnote>
  <w:footnote w:id="3">
    <w:p w14:paraId="6336173A" w14:textId="77777777"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Por ejemplo: Contratos de obra pública, prestación de servicios, consultoría, concesión, fiducia pública y encargo fiduciario.</w:t>
      </w:r>
    </w:p>
    <w:p w14:paraId="2D25E802" w14:textId="77777777" w:rsidR="007031F2" w:rsidRPr="00BB4378" w:rsidRDefault="007031F2" w:rsidP="007031F2">
      <w:pPr>
        <w:pStyle w:val="Textonotapie"/>
        <w:jc w:val="both"/>
        <w:rPr>
          <w:rFonts w:ascii="Arial" w:hAnsi="Arial" w:cs="Arial"/>
          <w:color w:val="000000" w:themeColor="text1"/>
          <w:sz w:val="19"/>
          <w:szCs w:val="19"/>
        </w:rPr>
      </w:pPr>
    </w:p>
  </w:footnote>
  <w:footnote w:id="4">
    <w:p w14:paraId="224269B3" w14:textId="462F90D8"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OSPINA MENA, Jesús Marino. Régimen de la Contratación Estatal. Un salto a la contratación l</w:t>
      </w:r>
      <w:r w:rsidR="00047D80">
        <w:rPr>
          <w:rFonts w:ascii="Arial" w:hAnsi="Arial" w:cs="Arial"/>
          <w:iCs/>
          <w:color w:val="000000" w:themeColor="text1"/>
          <w:sz w:val="19"/>
          <w:szCs w:val="19"/>
        </w:rPr>
        <w:t>í</w:t>
      </w:r>
      <w:r w:rsidRPr="00BB4378">
        <w:rPr>
          <w:rFonts w:ascii="Arial" w:hAnsi="Arial" w:cs="Arial"/>
          <w:iCs/>
          <w:color w:val="000000" w:themeColor="text1"/>
          <w:sz w:val="19"/>
          <w:szCs w:val="19"/>
        </w:rPr>
        <w:t>quida</w:t>
      </w:r>
      <w:r w:rsidR="00047D80">
        <w:rPr>
          <w:rFonts w:ascii="Arial" w:hAnsi="Arial" w:cs="Arial"/>
          <w:iCs/>
          <w:color w:val="000000" w:themeColor="text1"/>
          <w:sz w:val="19"/>
          <w:szCs w:val="19"/>
        </w:rPr>
        <w:t>.</w:t>
      </w:r>
      <w:r w:rsidRPr="00BB4378">
        <w:rPr>
          <w:rFonts w:ascii="Arial" w:hAnsi="Arial" w:cs="Arial"/>
          <w:iCs/>
          <w:color w:val="000000" w:themeColor="text1"/>
          <w:sz w:val="19"/>
          <w:szCs w:val="19"/>
        </w:rPr>
        <w:t xml:space="preserve"> </w:t>
      </w:r>
      <w:r w:rsidR="00CA4A96">
        <w:rPr>
          <w:rFonts w:ascii="Arial" w:hAnsi="Arial" w:cs="Arial"/>
          <w:iCs/>
          <w:color w:val="000000" w:themeColor="text1"/>
          <w:sz w:val="19"/>
          <w:szCs w:val="19"/>
        </w:rPr>
        <w:t>Medellín</w:t>
      </w:r>
      <w:r w:rsidR="00047D80">
        <w:rPr>
          <w:rFonts w:ascii="Arial" w:hAnsi="Arial" w:cs="Arial"/>
          <w:iCs/>
          <w:color w:val="000000" w:themeColor="text1"/>
          <w:sz w:val="19"/>
          <w:szCs w:val="19"/>
        </w:rPr>
        <w:t xml:space="preserve">: </w:t>
      </w:r>
      <w:r w:rsidRPr="00BB4378">
        <w:rPr>
          <w:rFonts w:ascii="Arial" w:hAnsi="Arial" w:cs="Arial"/>
          <w:iCs/>
          <w:color w:val="000000" w:themeColor="text1"/>
          <w:sz w:val="19"/>
          <w:szCs w:val="19"/>
        </w:rPr>
        <w:t>Dike</w:t>
      </w:r>
      <w:r w:rsidR="00047D80">
        <w:rPr>
          <w:rFonts w:ascii="Arial" w:hAnsi="Arial" w:cs="Arial"/>
          <w:iCs/>
          <w:color w:val="000000" w:themeColor="text1"/>
          <w:sz w:val="19"/>
          <w:szCs w:val="19"/>
        </w:rPr>
        <w:t>,</w:t>
      </w:r>
      <w:r w:rsidRPr="00BB4378">
        <w:rPr>
          <w:rFonts w:ascii="Arial" w:hAnsi="Arial" w:cs="Arial"/>
          <w:iCs/>
          <w:color w:val="000000" w:themeColor="text1"/>
          <w:sz w:val="19"/>
          <w:szCs w:val="19"/>
        </w:rPr>
        <w:t xml:space="preserve"> 2020</w:t>
      </w:r>
      <w:r w:rsidR="00047D80">
        <w:rPr>
          <w:rFonts w:ascii="Arial" w:hAnsi="Arial" w:cs="Arial"/>
          <w:iCs/>
          <w:color w:val="000000" w:themeColor="text1"/>
          <w:sz w:val="19"/>
          <w:szCs w:val="19"/>
        </w:rPr>
        <w:t>.</w:t>
      </w:r>
      <w:r w:rsidRPr="00BB4378">
        <w:rPr>
          <w:rFonts w:ascii="Arial" w:hAnsi="Arial" w:cs="Arial"/>
          <w:iCs/>
          <w:color w:val="000000" w:themeColor="text1"/>
          <w:sz w:val="19"/>
          <w:szCs w:val="19"/>
        </w:rPr>
        <w:t xml:space="preserve"> p. 164.</w:t>
      </w:r>
    </w:p>
    <w:p w14:paraId="68DDAAC0" w14:textId="77777777" w:rsidR="007031F2" w:rsidRPr="00BB4378" w:rsidRDefault="007031F2" w:rsidP="007031F2">
      <w:pPr>
        <w:pStyle w:val="Textonotapie"/>
        <w:ind w:firstLine="708"/>
        <w:jc w:val="both"/>
        <w:rPr>
          <w:rFonts w:ascii="Arial" w:hAnsi="Arial" w:cs="Arial"/>
          <w:iCs/>
          <w:color w:val="000000" w:themeColor="text1"/>
          <w:sz w:val="19"/>
          <w:szCs w:val="19"/>
        </w:rPr>
      </w:pPr>
    </w:p>
  </w:footnote>
  <w:footnote w:id="5">
    <w:p w14:paraId="1AEC86D5" w14:textId="3B9317FB"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ARRUBLA PAUCAR, Jaime. Contratos Mercantiles</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Tomo III</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Contratos Atípicos</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8 E</w:t>
      </w:r>
      <w:r w:rsidR="002A6CF1">
        <w:rPr>
          <w:rFonts w:ascii="Arial" w:hAnsi="Arial" w:cs="Arial"/>
          <w:iCs/>
          <w:color w:val="000000" w:themeColor="text1"/>
          <w:sz w:val="19"/>
          <w:szCs w:val="19"/>
        </w:rPr>
        <w:t>d</w:t>
      </w:r>
      <w:r>
        <w:rPr>
          <w:rFonts w:ascii="Arial" w:hAnsi="Arial" w:cs="Arial"/>
          <w:iCs/>
          <w:color w:val="000000" w:themeColor="text1"/>
          <w:sz w:val="19"/>
          <w:szCs w:val="19"/>
        </w:rPr>
        <w:t>.</w:t>
      </w:r>
      <w:r w:rsidR="002A6CF1">
        <w:rPr>
          <w:rFonts w:ascii="Arial" w:hAnsi="Arial" w:cs="Arial"/>
          <w:iCs/>
          <w:color w:val="000000" w:themeColor="text1"/>
          <w:sz w:val="19"/>
          <w:szCs w:val="19"/>
        </w:rPr>
        <w:t xml:space="preserve"> Bogotá:</w:t>
      </w:r>
      <w:r w:rsidRPr="00BB4378">
        <w:rPr>
          <w:rFonts w:ascii="Arial" w:hAnsi="Arial" w:cs="Arial"/>
          <w:iCs/>
          <w:color w:val="000000" w:themeColor="text1"/>
          <w:sz w:val="19"/>
          <w:szCs w:val="19"/>
        </w:rPr>
        <w:t xml:space="preserve"> Legis, 2015</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p.23.</w:t>
      </w:r>
    </w:p>
    <w:p w14:paraId="7EFD4F40" w14:textId="77777777" w:rsidR="007031F2" w:rsidRPr="00BB4378" w:rsidRDefault="007031F2" w:rsidP="007031F2">
      <w:pPr>
        <w:pStyle w:val="Textonotapie"/>
        <w:jc w:val="both"/>
        <w:rPr>
          <w:rFonts w:ascii="Arial" w:hAnsi="Arial" w:cs="Arial"/>
          <w:color w:val="000000" w:themeColor="text1"/>
          <w:sz w:val="19"/>
          <w:szCs w:val="19"/>
        </w:rPr>
      </w:pPr>
    </w:p>
  </w:footnote>
  <w:footnote w:id="6">
    <w:p w14:paraId="56D63B17" w14:textId="2F5300FB"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NARVAEZ GARCÍA, José Ignacio, Derecho mercantil colombiano. Obligaciones y contratos mercantiles</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2 Ed</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w:t>
      </w:r>
      <w:r w:rsidR="002A6CF1">
        <w:rPr>
          <w:rFonts w:ascii="Arial" w:hAnsi="Arial" w:cs="Arial"/>
          <w:iCs/>
          <w:color w:val="000000" w:themeColor="text1"/>
          <w:sz w:val="19"/>
          <w:szCs w:val="19"/>
        </w:rPr>
        <w:t xml:space="preserve">Bogotá: </w:t>
      </w:r>
      <w:r w:rsidRPr="00BB4378">
        <w:rPr>
          <w:rFonts w:ascii="Arial" w:hAnsi="Arial" w:cs="Arial"/>
          <w:iCs/>
          <w:color w:val="000000" w:themeColor="text1"/>
          <w:sz w:val="19"/>
          <w:szCs w:val="19"/>
        </w:rPr>
        <w:t>Legis, 2002</w:t>
      </w:r>
      <w:r w:rsidR="002A6CF1">
        <w:rPr>
          <w:rFonts w:ascii="Arial" w:hAnsi="Arial" w:cs="Arial"/>
          <w:iCs/>
          <w:color w:val="000000" w:themeColor="text1"/>
          <w:sz w:val="19"/>
          <w:szCs w:val="19"/>
        </w:rPr>
        <w:t>.</w:t>
      </w:r>
      <w:r w:rsidRPr="00BB4378">
        <w:rPr>
          <w:rFonts w:ascii="Arial" w:hAnsi="Arial" w:cs="Arial"/>
          <w:iCs/>
          <w:color w:val="000000" w:themeColor="text1"/>
          <w:sz w:val="19"/>
          <w:szCs w:val="19"/>
        </w:rPr>
        <w:t xml:space="preserve"> p.67.</w:t>
      </w:r>
    </w:p>
    <w:p w14:paraId="73A5D079" w14:textId="77777777" w:rsidR="007031F2" w:rsidRPr="00BB4378" w:rsidRDefault="007031F2" w:rsidP="007031F2">
      <w:pPr>
        <w:pStyle w:val="Textonotapie"/>
        <w:jc w:val="both"/>
        <w:rPr>
          <w:rFonts w:ascii="Arial" w:hAnsi="Arial" w:cs="Arial"/>
          <w:color w:val="000000" w:themeColor="text1"/>
          <w:sz w:val="19"/>
          <w:szCs w:val="19"/>
        </w:rPr>
      </w:pPr>
    </w:p>
  </w:footnote>
  <w:footnote w:id="7">
    <w:p w14:paraId="3B3B9A1C" w14:textId="672CE164"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Gaceta Judicial T.XLVIII, p.50. Citada por</w:t>
      </w:r>
      <w:r w:rsidR="00E8031F">
        <w:rPr>
          <w:rFonts w:ascii="Arial" w:hAnsi="Arial" w:cs="Arial"/>
          <w:iCs/>
          <w:color w:val="000000" w:themeColor="text1"/>
          <w:sz w:val="19"/>
          <w:szCs w:val="19"/>
        </w:rPr>
        <w:t>:</w:t>
      </w:r>
      <w:r w:rsidRPr="00BB4378">
        <w:rPr>
          <w:rFonts w:ascii="Arial" w:hAnsi="Arial" w:cs="Arial"/>
          <w:iCs/>
          <w:color w:val="000000" w:themeColor="text1"/>
          <w:sz w:val="19"/>
          <w:szCs w:val="19"/>
        </w:rPr>
        <w:t xml:space="preserve"> SUAREZ BELTRÁN, Gonzalo. Estudios de derecho contractual público</w:t>
      </w:r>
      <w:r w:rsidR="00E8031F">
        <w:rPr>
          <w:rFonts w:ascii="Arial" w:hAnsi="Arial" w:cs="Arial"/>
          <w:iCs/>
          <w:color w:val="000000" w:themeColor="text1"/>
          <w:sz w:val="19"/>
          <w:szCs w:val="19"/>
        </w:rPr>
        <w:t>. Bogotá:</w:t>
      </w:r>
      <w:r w:rsidRPr="00BB4378">
        <w:rPr>
          <w:rFonts w:ascii="Arial" w:hAnsi="Arial" w:cs="Arial"/>
          <w:iCs/>
          <w:color w:val="000000" w:themeColor="text1"/>
          <w:sz w:val="19"/>
          <w:szCs w:val="19"/>
        </w:rPr>
        <w:t xml:space="preserve"> Legis, 2014</w:t>
      </w:r>
      <w:r w:rsidR="00E8031F">
        <w:rPr>
          <w:rFonts w:ascii="Arial" w:hAnsi="Arial" w:cs="Arial"/>
          <w:iCs/>
          <w:color w:val="000000" w:themeColor="text1"/>
          <w:sz w:val="19"/>
          <w:szCs w:val="19"/>
        </w:rPr>
        <w:t>.</w:t>
      </w:r>
      <w:r w:rsidRPr="00BB4378">
        <w:rPr>
          <w:rFonts w:ascii="Arial" w:hAnsi="Arial" w:cs="Arial"/>
          <w:iCs/>
          <w:color w:val="000000" w:themeColor="text1"/>
          <w:sz w:val="19"/>
          <w:szCs w:val="19"/>
        </w:rPr>
        <w:t xml:space="preserve"> p.</w:t>
      </w:r>
      <w:r w:rsidR="00E8031F">
        <w:rPr>
          <w:rFonts w:ascii="Arial" w:hAnsi="Arial" w:cs="Arial"/>
          <w:iCs/>
          <w:color w:val="000000" w:themeColor="text1"/>
          <w:sz w:val="19"/>
          <w:szCs w:val="19"/>
        </w:rPr>
        <w:t xml:space="preserve"> </w:t>
      </w:r>
      <w:r w:rsidRPr="00BB4378">
        <w:rPr>
          <w:rFonts w:ascii="Arial" w:hAnsi="Arial" w:cs="Arial"/>
          <w:iCs/>
          <w:color w:val="000000" w:themeColor="text1"/>
          <w:sz w:val="19"/>
          <w:szCs w:val="19"/>
        </w:rPr>
        <w:t>239.</w:t>
      </w:r>
    </w:p>
    <w:p w14:paraId="7893EA3A" w14:textId="77777777" w:rsidR="007031F2" w:rsidRPr="00BB4378" w:rsidRDefault="007031F2" w:rsidP="007031F2">
      <w:pPr>
        <w:pStyle w:val="Textonotapie"/>
        <w:jc w:val="both"/>
        <w:rPr>
          <w:rFonts w:ascii="Arial" w:hAnsi="Arial" w:cs="Arial"/>
          <w:iCs/>
          <w:color w:val="000000" w:themeColor="text1"/>
          <w:sz w:val="19"/>
          <w:szCs w:val="19"/>
        </w:rPr>
      </w:pPr>
    </w:p>
  </w:footnote>
  <w:footnote w:id="8">
    <w:p w14:paraId="5D8DACE7" w14:textId="73FAA54B" w:rsidR="007031F2" w:rsidRPr="00BB4378" w:rsidRDefault="007031F2" w:rsidP="007031F2">
      <w:pPr>
        <w:pStyle w:val="Textonotapie"/>
        <w:ind w:firstLine="708"/>
        <w:jc w:val="both"/>
        <w:rPr>
          <w:rFonts w:ascii="Arial" w:hAnsi="Arial" w:cs="Arial"/>
          <w:color w:val="000000" w:themeColor="text1"/>
          <w:sz w:val="19"/>
          <w:szCs w:val="19"/>
          <w:lang w:val="es-CO"/>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Consejo de Estado</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 xml:space="preserve"> Sala de Consulta y Servicio Civil. Concepto</w:t>
      </w:r>
      <w:r w:rsidRPr="00BB4378">
        <w:rPr>
          <w:rFonts w:ascii="Arial" w:hAnsi="Arial" w:cs="Arial"/>
          <w:bCs/>
          <w:color w:val="000000" w:themeColor="text1"/>
          <w:sz w:val="19"/>
          <w:szCs w:val="19"/>
        </w:rPr>
        <w:t xml:space="preserve"> </w:t>
      </w:r>
      <w:r w:rsidRPr="00BB4378">
        <w:rPr>
          <w:rFonts w:ascii="Arial" w:hAnsi="Arial" w:cs="Arial"/>
          <w:iCs/>
          <w:color w:val="000000" w:themeColor="text1"/>
          <w:sz w:val="19"/>
          <w:szCs w:val="19"/>
        </w:rPr>
        <w:t>de</w:t>
      </w:r>
      <w:r w:rsidR="008A3EFA">
        <w:rPr>
          <w:rFonts w:ascii="Arial" w:hAnsi="Arial" w:cs="Arial"/>
          <w:iCs/>
          <w:color w:val="000000" w:themeColor="text1"/>
          <w:sz w:val="19"/>
          <w:szCs w:val="19"/>
        </w:rPr>
        <w:t>l</w:t>
      </w:r>
      <w:r w:rsidRPr="00BB4378">
        <w:rPr>
          <w:rFonts w:ascii="Arial" w:hAnsi="Arial" w:cs="Arial"/>
          <w:iCs/>
          <w:color w:val="000000" w:themeColor="text1"/>
          <w:sz w:val="19"/>
          <w:szCs w:val="19"/>
        </w:rPr>
        <w:t xml:space="preserve"> 5 de septiembre de 2018</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 xml:space="preserve"> </w:t>
      </w:r>
      <w:r w:rsidR="008A3EFA">
        <w:rPr>
          <w:rFonts w:ascii="Arial" w:hAnsi="Arial" w:cs="Arial"/>
          <w:iCs/>
          <w:color w:val="000000" w:themeColor="text1"/>
          <w:sz w:val="19"/>
          <w:szCs w:val="19"/>
        </w:rPr>
        <w:t>Exp.</w:t>
      </w:r>
      <w:r w:rsidR="00384E8B">
        <w:rPr>
          <w:rFonts w:ascii="Arial" w:hAnsi="Arial" w:cs="Arial"/>
          <w:iCs/>
          <w:color w:val="000000" w:themeColor="text1"/>
          <w:sz w:val="19"/>
          <w:szCs w:val="19"/>
        </w:rPr>
        <w:t xml:space="preserve"> </w:t>
      </w:r>
      <w:r w:rsidRPr="00BB4378">
        <w:rPr>
          <w:rFonts w:ascii="Arial" w:hAnsi="Arial" w:cs="Arial"/>
          <w:iCs/>
          <w:color w:val="000000" w:themeColor="text1"/>
          <w:sz w:val="19"/>
          <w:szCs w:val="19"/>
        </w:rPr>
        <w:t>2</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 xml:space="preserve">386. </w:t>
      </w:r>
      <w:r w:rsidR="008A3EFA" w:rsidRPr="00BB4378">
        <w:rPr>
          <w:rFonts w:ascii="Arial" w:hAnsi="Arial" w:cs="Arial"/>
          <w:iCs/>
          <w:color w:val="000000" w:themeColor="text1"/>
          <w:sz w:val="19"/>
          <w:szCs w:val="19"/>
        </w:rPr>
        <w:t>C.P. Edgar González López</w:t>
      </w:r>
      <w:r w:rsidR="008A3EFA">
        <w:rPr>
          <w:rFonts w:ascii="Arial" w:hAnsi="Arial" w:cs="Arial"/>
          <w:iCs/>
          <w:color w:val="000000" w:themeColor="text1"/>
          <w:sz w:val="19"/>
          <w:szCs w:val="19"/>
        </w:rPr>
        <w:t xml:space="preserve">. </w:t>
      </w:r>
      <w:r w:rsidRPr="00BB4378">
        <w:rPr>
          <w:rFonts w:ascii="Arial" w:hAnsi="Arial" w:cs="Arial"/>
          <w:iCs/>
          <w:color w:val="000000" w:themeColor="text1"/>
          <w:sz w:val="19"/>
          <w:szCs w:val="19"/>
        </w:rPr>
        <w:t>Este concepto reitera pronunciamientos anteriores relacionados con la estampilla pro-universidades, tales como</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 xml:space="preserve"> Conceptos 2</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229 de 2015, 2</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271 de 2016, 2</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229 de 2017, 2</w:t>
      </w:r>
      <w:r w:rsidR="008A3EFA">
        <w:rPr>
          <w:rFonts w:ascii="Arial" w:hAnsi="Arial" w:cs="Arial"/>
          <w:iCs/>
          <w:color w:val="000000" w:themeColor="text1"/>
          <w:sz w:val="19"/>
          <w:szCs w:val="19"/>
        </w:rPr>
        <w:t>.</w:t>
      </w:r>
      <w:r w:rsidRPr="00BB4378">
        <w:rPr>
          <w:rFonts w:ascii="Arial" w:hAnsi="Arial" w:cs="Arial"/>
          <w:iCs/>
          <w:color w:val="000000" w:themeColor="text1"/>
          <w:sz w:val="19"/>
          <w:szCs w:val="19"/>
        </w:rPr>
        <w:t>324 de 2017.</w:t>
      </w:r>
    </w:p>
  </w:footnote>
  <w:footnote w:id="9">
    <w:p w14:paraId="1F2F013F" w14:textId="3ACF0C40" w:rsidR="007031F2" w:rsidRDefault="007031F2" w:rsidP="007031F2">
      <w:pPr>
        <w:pStyle w:val="Textonotapie"/>
        <w:ind w:firstLine="708"/>
        <w:jc w:val="both"/>
        <w:rPr>
          <w:rFonts w:ascii="Arial" w:hAnsi="Arial" w:cs="Arial"/>
          <w:sz w:val="19"/>
          <w:szCs w:val="19"/>
        </w:rPr>
      </w:pPr>
      <w:r w:rsidRPr="00BB4378">
        <w:rPr>
          <w:rStyle w:val="Refdenotaalpie"/>
          <w:rFonts w:ascii="Arial" w:hAnsi="Arial" w:cs="Arial"/>
          <w:sz w:val="19"/>
          <w:szCs w:val="19"/>
        </w:rPr>
        <w:footnoteRef/>
      </w:r>
      <w:r w:rsidRPr="00BB4378">
        <w:rPr>
          <w:rFonts w:ascii="Arial" w:hAnsi="Arial" w:cs="Arial"/>
          <w:sz w:val="19"/>
          <w:szCs w:val="19"/>
        </w:rPr>
        <w:t xml:space="preserve"> </w:t>
      </w:r>
      <w:r>
        <w:rPr>
          <w:rFonts w:ascii="Arial" w:hAnsi="Arial" w:cs="Arial"/>
          <w:sz w:val="19"/>
          <w:szCs w:val="19"/>
        </w:rPr>
        <w:t>Consejo de Estado. Sala Plena. Sentencia de unificación del 25 de febrero de 2020. Exp</w:t>
      </w:r>
      <w:r w:rsidR="00384E8B">
        <w:rPr>
          <w:rFonts w:ascii="Arial" w:hAnsi="Arial" w:cs="Arial"/>
          <w:sz w:val="19"/>
          <w:szCs w:val="19"/>
        </w:rPr>
        <w:t>.</w:t>
      </w:r>
      <w:r>
        <w:rPr>
          <w:rFonts w:ascii="Arial" w:hAnsi="Arial" w:cs="Arial"/>
          <w:sz w:val="19"/>
          <w:szCs w:val="19"/>
        </w:rPr>
        <w:t xml:space="preserve"> </w:t>
      </w:r>
      <w:r w:rsidRPr="00BB4378">
        <w:rPr>
          <w:rFonts w:ascii="Arial" w:hAnsi="Arial" w:cs="Arial"/>
          <w:sz w:val="19"/>
          <w:szCs w:val="19"/>
        </w:rPr>
        <w:t>25000-23-37-000-2014-00721-01(22473) (IJ)</w:t>
      </w:r>
      <w:r>
        <w:rPr>
          <w:rFonts w:ascii="Arial" w:hAnsi="Arial" w:cs="Arial"/>
          <w:sz w:val="19"/>
          <w:szCs w:val="19"/>
        </w:rPr>
        <w:t xml:space="preserve">. </w:t>
      </w:r>
      <w:r w:rsidR="00384E8B">
        <w:rPr>
          <w:rFonts w:ascii="Arial" w:hAnsi="Arial" w:cs="Arial"/>
          <w:sz w:val="19"/>
          <w:szCs w:val="19"/>
        </w:rPr>
        <w:t>C</w:t>
      </w:r>
      <w:r>
        <w:rPr>
          <w:rFonts w:ascii="Arial" w:hAnsi="Arial" w:cs="Arial"/>
          <w:sz w:val="19"/>
          <w:szCs w:val="19"/>
        </w:rPr>
        <w:t xml:space="preserve">.P. William Hernández Gómez. </w:t>
      </w:r>
    </w:p>
    <w:p w14:paraId="46C2297B" w14:textId="77777777" w:rsidR="00384E8B" w:rsidRPr="00BB4378" w:rsidRDefault="00384E8B" w:rsidP="007031F2">
      <w:pPr>
        <w:pStyle w:val="Textonotapie"/>
        <w:ind w:firstLine="708"/>
        <w:jc w:val="both"/>
        <w:rPr>
          <w:rFonts w:ascii="Arial" w:hAnsi="Arial" w:cs="Arial"/>
          <w:sz w:val="19"/>
          <w:szCs w:val="19"/>
          <w:lang w:val="es-ES"/>
        </w:rPr>
      </w:pPr>
    </w:p>
  </w:footnote>
  <w:footnote w:id="10">
    <w:p w14:paraId="694F93DE" w14:textId="5ED74FA1" w:rsidR="007031F2" w:rsidRPr="00BB4378" w:rsidRDefault="007031F2" w:rsidP="007031F2">
      <w:pPr>
        <w:pStyle w:val="Textonotapie"/>
        <w:ind w:firstLine="708"/>
        <w:jc w:val="both"/>
        <w:rPr>
          <w:rFonts w:ascii="Arial" w:hAnsi="Arial" w:cs="Arial"/>
          <w:iCs/>
          <w:color w:val="000000" w:themeColor="text1"/>
          <w:sz w:val="19"/>
          <w:szCs w:val="19"/>
        </w:rPr>
      </w:pPr>
      <w:r w:rsidRPr="00BB4378">
        <w:rPr>
          <w:rStyle w:val="Refdenotaalpie"/>
          <w:rFonts w:ascii="Arial" w:hAnsi="Arial" w:cs="Arial"/>
          <w:color w:val="000000" w:themeColor="text1"/>
          <w:sz w:val="19"/>
          <w:szCs w:val="19"/>
        </w:rPr>
        <w:footnoteRef/>
      </w:r>
      <w:r w:rsidRPr="00BB4378">
        <w:rPr>
          <w:rFonts w:ascii="Arial" w:hAnsi="Arial" w:cs="Arial"/>
          <w:color w:val="000000" w:themeColor="text1"/>
          <w:sz w:val="19"/>
          <w:szCs w:val="19"/>
        </w:rPr>
        <w:t xml:space="preserve"> </w:t>
      </w:r>
      <w:r w:rsidRPr="00BB4378">
        <w:rPr>
          <w:rFonts w:ascii="Arial" w:hAnsi="Arial" w:cs="Arial"/>
          <w:iCs/>
          <w:color w:val="000000" w:themeColor="text1"/>
          <w:sz w:val="19"/>
          <w:szCs w:val="19"/>
        </w:rPr>
        <w:t>OSPINA MENA, Jesús Marino. Op. Cit.</w:t>
      </w:r>
      <w:r w:rsidR="00384E8B">
        <w:rPr>
          <w:rFonts w:ascii="Arial" w:hAnsi="Arial" w:cs="Arial"/>
          <w:iCs/>
          <w:color w:val="000000" w:themeColor="text1"/>
          <w:sz w:val="19"/>
          <w:szCs w:val="19"/>
        </w:rPr>
        <w:t>,</w:t>
      </w:r>
      <w:r w:rsidRPr="00BB4378">
        <w:rPr>
          <w:rFonts w:ascii="Arial" w:hAnsi="Arial" w:cs="Arial"/>
          <w:iCs/>
          <w:color w:val="000000" w:themeColor="text1"/>
          <w:sz w:val="19"/>
          <w:szCs w:val="19"/>
        </w:rPr>
        <w:t xml:space="preserve"> p. 168.</w:t>
      </w:r>
    </w:p>
    <w:p w14:paraId="2CE89E84" w14:textId="77777777" w:rsidR="007031F2" w:rsidRPr="00BB4378" w:rsidRDefault="007031F2" w:rsidP="007031F2">
      <w:pPr>
        <w:pStyle w:val="Textonotapie"/>
        <w:jc w:val="both"/>
        <w:rPr>
          <w:rFonts w:ascii="Arial" w:hAnsi="Arial" w:cs="Arial"/>
          <w:color w:val="000000" w:themeColor="text1"/>
          <w:sz w:val="19"/>
          <w:szCs w:val="19"/>
          <w:lang w:val="es-CO"/>
        </w:rPr>
      </w:pPr>
      <w:r w:rsidRPr="00BB4378">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F790E" w:rsidRDefault="001F790E">
    <w:pPr>
      <w:pStyle w:val="Encabezado"/>
    </w:pPr>
  </w:p>
  <w:p w14:paraId="6A4C7F2C" w14:textId="7D093DBB" w:rsidR="001F790E" w:rsidRDefault="001F790E">
    <w:pPr>
      <w:pStyle w:val="Encabezado"/>
    </w:pPr>
  </w:p>
  <w:p w14:paraId="055F2E1F" w14:textId="0B935ADD" w:rsidR="001F790E" w:rsidRDefault="001F790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F790E" w:rsidRDefault="001F790E">
    <w:pPr>
      <w:pStyle w:val="Encabezado"/>
    </w:pPr>
  </w:p>
  <w:p w14:paraId="3D323BDB" w14:textId="04AF0DE6" w:rsidR="001F790E" w:rsidRDefault="001F790E">
    <w:pPr>
      <w:pStyle w:val="Encabezado"/>
    </w:pPr>
  </w:p>
  <w:p w14:paraId="6520770B" w14:textId="18EB07B5" w:rsidR="001F790E" w:rsidRDefault="001F79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116432"/>
    <w:multiLevelType w:val="hybridMultilevel"/>
    <w:tmpl w:val="4A5E4AA8"/>
    <w:lvl w:ilvl="0" w:tplc="29C6EC48">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0"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1"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250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4"/>
  </w:num>
  <w:num w:numId="2">
    <w:abstractNumId w:val="3"/>
  </w:num>
  <w:num w:numId="3">
    <w:abstractNumId w:val="5"/>
  </w:num>
  <w:num w:numId="4">
    <w:abstractNumId w:val="7"/>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
    <w:lvlOverride w:ilvl="0">
      <w:startOverride w:val="1"/>
    </w:lvlOverride>
  </w:num>
  <w:num w:numId="10">
    <w:abstractNumId w:val="10"/>
  </w:num>
  <w:num w:numId="11">
    <w:abstractNumId w:val="2"/>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12A1B"/>
    <w:rsid w:val="000136DC"/>
    <w:rsid w:val="00016FAC"/>
    <w:rsid w:val="0001726A"/>
    <w:rsid w:val="0001795B"/>
    <w:rsid w:val="00020801"/>
    <w:rsid w:val="00024BE5"/>
    <w:rsid w:val="00026AD9"/>
    <w:rsid w:val="000271AD"/>
    <w:rsid w:val="00027940"/>
    <w:rsid w:val="00027F74"/>
    <w:rsid w:val="000303EC"/>
    <w:rsid w:val="00047D80"/>
    <w:rsid w:val="000503A1"/>
    <w:rsid w:val="00056024"/>
    <w:rsid w:val="00057953"/>
    <w:rsid w:val="0006293E"/>
    <w:rsid w:val="00065270"/>
    <w:rsid w:val="0006625D"/>
    <w:rsid w:val="00070770"/>
    <w:rsid w:val="00071D6E"/>
    <w:rsid w:val="00074BAD"/>
    <w:rsid w:val="0007590A"/>
    <w:rsid w:val="00080D35"/>
    <w:rsid w:val="00081AF3"/>
    <w:rsid w:val="00085CC3"/>
    <w:rsid w:val="00086C47"/>
    <w:rsid w:val="00087888"/>
    <w:rsid w:val="000939E0"/>
    <w:rsid w:val="00093D35"/>
    <w:rsid w:val="000942EB"/>
    <w:rsid w:val="0009651A"/>
    <w:rsid w:val="00096EAB"/>
    <w:rsid w:val="0009712F"/>
    <w:rsid w:val="000A15CB"/>
    <w:rsid w:val="000A1B81"/>
    <w:rsid w:val="000A2C01"/>
    <w:rsid w:val="000A668C"/>
    <w:rsid w:val="000A7E46"/>
    <w:rsid w:val="000B103F"/>
    <w:rsid w:val="000B4FC6"/>
    <w:rsid w:val="000B53D0"/>
    <w:rsid w:val="000B5C01"/>
    <w:rsid w:val="000C0B7C"/>
    <w:rsid w:val="000C2DD2"/>
    <w:rsid w:val="000E1761"/>
    <w:rsid w:val="000E1F13"/>
    <w:rsid w:val="000E68FA"/>
    <w:rsid w:val="000E6962"/>
    <w:rsid w:val="000E6D84"/>
    <w:rsid w:val="000F14E8"/>
    <w:rsid w:val="000F3B04"/>
    <w:rsid w:val="001015E9"/>
    <w:rsid w:val="001017F1"/>
    <w:rsid w:val="00102215"/>
    <w:rsid w:val="00102AA1"/>
    <w:rsid w:val="00103915"/>
    <w:rsid w:val="00106B75"/>
    <w:rsid w:val="001112CF"/>
    <w:rsid w:val="00111438"/>
    <w:rsid w:val="00111636"/>
    <w:rsid w:val="00114236"/>
    <w:rsid w:val="001152BA"/>
    <w:rsid w:val="001214FF"/>
    <w:rsid w:val="001229C6"/>
    <w:rsid w:val="00122B23"/>
    <w:rsid w:val="00124E73"/>
    <w:rsid w:val="00125291"/>
    <w:rsid w:val="00125D4C"/>
    <w:rsid w:val="001344AA"/>
    <w:rsid w:val="00137FFA"/>
    <w:rsid w:val="001425C5"/>
    <w:rsid w:val="00146E1D"/>
    <w:rsid w:val="00151C61"/>
    <w:rsid w:val="00152609"/>
    <w:rsid w:val="001550CF"/>
    <w:rsid w:val="0016135A"/>
    <w:rsid w:val="0016149E"/>
    <w:rsid w:val="00161D78"/>
    <w:rsid w:val="00165EA8"/>
    <w:rsid w:val="00167B9D"/>
    <w:rsid w:val="00167F0C"/>
    <w:rsid w:val="00172E0A"/>
    <w:rsid w:val="00174107"/>
    <w:rsid w:val="00175795"/>
    <w:rsid w:val="00177BAA"/>
    <w:rsid w:val="00180B3B"/>
    <w:rsid w:val="00184E93"/>
    <w:rsid w:val="001900CF"/>
    <w:rsid w:val="001918D6"/>
    <w:rsid w:val="001939B7"/>
    <w:rsid w:val="001963C6"/>
    <w:rsid w:val="0019745D"/>
    <w:rsid w:val="001A08F7"/>
    <w:rsid w:val="001A0DF1"/>
    <w:rsid w:val="001A0E67"/>
    <w:rsid w:val="001A12DC"/>
    <w:rsid w:val="001A27D7"/>
    <w:rsid w:val="001A387A"/>
    <w:rsid w:val="001B3306"/>
    <w:rsid w:val="001B4A46"/>
    <w:rsid w:val="001B528A"/>
    <w:rsid w:val="001B53B4"/>
    <w:rsid w:val="001B6044"/>
    <w:rsid w:val="001B686F"/>
    <w:rsid w:val="001B7618"/>
    <w:rsid w:val="001B7DEA"/>
    <w:rsid w:val="001C219D"/>
    <w:rsid w:val="001C33CB"/>
    <w:rsid w:val="001C722C"/>
    <w:rsid w:val="001D172E"/>
    <w:rsid w:val="001D5E4D"/>
    <w:rsid w:val="001E0042"/>
    <w:rsid w:val="001E0545"/>
    <w:rsid w:val="001E453C"/>
    <w:rsid w:val="001F140A"/>
    <w:rsid w:val="001F1AFA"/>
    <w:rsid w:val="001F2AD0"/>
    <w:rsid w:val="001F3D53"/>
    <w:rsid w:val="001F6AAC"/>
    <w:rsid w:val="001F790E"/>
    <w:rsid w:val="002005CC"/>
    <w:rsid w:val="00203F1A"/>
    <w:rsid w:val="00204114"/>
    <w:rsid w:val="002135F3"/>
    <w:rsid w:val="002146C0"/>
    <w:rsid w:val="00216F1A"/>
    <w:rsid w:val="0021759E"/>
    <w:rsid w:val="00221B85"/>
    <w:rsid w:val="002236DB"/>
    <w:rsid w:val="0022655C"/>
    <w:rsid w:val="00233A24"/>
    <w:rsid w:val="0023484E"/>
    <w:rsid w:val="00234B84"/>
    <w:rsid w:val="00237329"/>
    <w:rsid w:val="002416BA"/>
    <w:rsid w:val="002457FD"/>
    <w:rsid w:val="002478B2"/>
    <w:rsid w:val="00250718"/>
    <w:rsid w:val="00251445"/>
    <w:rsid w:val="00253276"/>
    <w:rsid w:val="00253C1D"/>
    <w:rsid w:val="00254319"/>
    <w:rsid w:val="002563B9"/>
    <w:rsid w:val="00257814"/>
    <w:rsid w:val="00265C96"/>
    <w:rsid w:val="00265CEB"/>
    <w:rsid w:val="00266CE7"/>
    <w:rsid w:val="00272C62"/>
    <w:rsid w:val="00275701"/>
    <w:rsid w:val="00276521"/>
    <w:rsid w:val="00283380"/>
    <w:rsid w:val="00284F66"/>
    <w:rsid w:val="00285D7E"/>
    <w:rsid w:val="00285FED"/>
    <w:rsid w:val="00286A53"/>
    <w:rsid w:val="002877E9"/>
    <w:rsid w:val="002A4F10"/>
    <w:rsid w:val="002A6CF1"/>
    <w:rsid w:val="002B4907"/>
    <w:rsid w:val="002B50DA"/>
    <w:rsid w:val="002B7DD1"/>
    <w:rsid w:val="002C087E"/>
    <w:rsid w:val="002C27C5"/>
    <w:rsid w:val="002C2BF2"/>
    <w:rsid w:val="002D3456"/>
    <w:rsid w:val="002D4BB3"/>
    <w:rsid w:val="002D7E62"/>
    <w:rsid w:val="002D7F92"/>
    <w:rsid w:val="002E1964"/>
    <w:rsid w:val="002E1E7E"/>
    <w:rsid w:val="002F3606"/>
    <w:rsid w:val="002F779E"/>
    <w:rsid w:val="003033BA"/>
    <w:rsid w:val="003046D6"/>
    <w:rsid w:val="00313D9F"/>
    <w:rsid w:val="00314899"/>
    <w:rsid w:val="0032072B"/>
    <w:rsid w:val="00320DFD"/>
    <w:rsid w:val="00332906"/>
    <w:rsid w:val="00332C3C"/>
    <w:rsid w:val="00334B76"/>
    <w:rsid w:val="00337299"/>
    <w:rsid w:val="0034149E"/>
    <w:rsid w:val="00341CE5"/>
    <w:rsid w:val="00342202"/>
    <w:rsid w:val="003429C9"/>
    <w:rsid w:val="00344889"/>
    <w:rsid w:val="0034680A"/>
    <w:rsid w:val="00347661"/>
    <w:rsid w:val="003478E7"/>
    <w:rsid w:val="00353FDF"/>
    <w:rsid w:val="00354545"/>
    <w:rsid w:val="003555B4"/>
    <w:rsid w:val="00362486"/>
    <w:rsid w:val="0036497E"/>
    <w:rsid w:val="00364F1A"/>
    <w:rsid w:val="00377AD6"/>
    <w:rsid w:val="00381B41"/>
    <w:rsid w:val="00383DDA"/>
    <w:rsid w:val="00384B44"/>
    <w:rsid w:val="00384E8B"/>
    <w:rsid w:val="00386456"/>
    <w:rsid w:val="00387241"/>
    <w:rsid w:val="0039010E"/>
    <w:rsid w:val="003901D8"/>
    <w:rsid w:val="00391D93"/>
    <w:rsid w:val="00397FE6"/>
    <w:rsid w:val="003A046A"/>
    <w:rsid w:val="003A25E4"/>
    <w:rsid w:val="003A581E"/>
    <w:rsid w:val="003A651C"/>
    <w:rsid w:val="003B0B16"/>
    <w:rsid w:val="003B55BD"/>
    <w:rsid w:val="003B6F2C"/>
    <w:rsid w:val="003B79A5"/>
    <w:rsid w:val="003C40DD"/>
    <w:rsid w:val="003C4141"/>
    <w:rsid w:val="003C50C9"/>
    <w:rsid w:val="003C62BD"/>
    <w:rsid w:val="003D284B"/>
    <w:rsid w:val="003D40F4"/>
    <w:rsid w:val="003D4F72"/>
    <w:rsid w:val="003E11A8"/>
    <w:rsid w:val="003E14B0"/>
    <w:rsid w:val="003E4295"/>
    <w:rsid w:val="003E516C"/>
    <w:rsid w:val="003E5505"/>
    <w:rsid w:val="003E6682"/>
    <w:rsid w:val="003E7261"/>
    <w:rsid w:val="003E7A20"/>
    <w:rsid w:val="003F0DE8"/>
    <w:rsid w:val="003F0FBE"/>
    <w:rsid w:val="003F28CF"/>
    <w:rsid w:val="003F328D"/>
    <w:rsid w:val="003F5CDD"/>
    <w:rsid w:val="00400083"/>
    <w:rsid w:val="0040059A"/>
    <w:rsid w:val="00407BD2"/>
    <w:rsid w:val="0041043C"/>
    <w:rsid w:val="00411B85"/>
    <w:rsid w:val="00416511"/>
    <w:rsid w:val="004207E3"/>
    <w:rsid w:val="00420D01"/>
    <w:rsid w:val="0042321C"/>
    <w:rsid w:val="004252E8"/>
    <w:rsid w:val="00426EEE"/>
    <w:rsid w:val="00426F4A"/>
    <w:rsid w:val="00432915"/>
    <w:rsid w:val="00435AA2"/>
    <w:rsid w:val="00437BF5"/>
    <w:rsid w:val="00437BF8"/>
    <w:rsid w:val="004422D6"/>
    <w:rsid w:val="00442BFD"/>
    <w:rsid w:val="00444A46"/>
    <w:rsid w:val="00447095"/>
    <w:rsid w:val="00447AC6"/>
    <w:rsid w:val="004507CF"/>
    <w:rsid w:val="0045342C"/>
    <w:rsid w:val="00454B0F"/>
    <w:rsid w:val="0047250D"/>
    <w:rsid w:val="0047444E"/>
    <w:rsid w:val="00474880"/>
    <w:rsid w:val="00476A0B"/>
    <w:rsid w:val="00477BFF"/>
    <w:rsid w:val="0048495C"/>
    <w:rsid w:val="0049505C"/>
    <w:rsid w:val="00496626"/>
    <w:rsid w:val="0049684A"/>
    <w:rsid w:val="00497B27"/>
    <w:rsid w:val="004A34D2"/>
    <w:rsid w:val="004A411B"/>
    <w:rsid w:val="004A488B"/>
    <w:rsid w:val="004B219E"/>
    <w:rsid w:val="004B4A0E"/>
    <w:rsid w:val="004B4EA7"/>
    <w:rsid w:val="004C003F"/>
    <w:rsid w:val="004C0993"/>
    <w:rsid w:val="004C1F93"/>
    <w:rsid w:val="004C5092"/>
    <w:rsid w:val="004D2B08"/>
    <w:rsid w:val="004D2C64"/>
    <w:rsid w:val="004D3473"/>
    <w:rsid w:val="004D7A98"/>
    <w:rsid w:val="004E4142"/>
    <w:rsid w:val="004E5102"/>
    <w:rsid w:val="004F0B50"/>
    <w:rsid w:val="004F32CC"/>
    <w:rsid w:val="004F4EB9"/>
    <w:rsid w:val="00502929"/>
    <w:rsid w:val="005037CD"/>
    <w:rsid w:val="005053B0"/>
    <w:rsid w:val="0051074C"/>
    <w:rsid w:val="0051089A"/>
    <w:rsid w:val="00510BB6"/>
    <w:rsid w:val="00513AF2"/>
    <w:rsid w:val="005152C2"/>
    <w:rsid w:val="00524F8D"/>
    <w:rsid w:val="00533367"/>
    <w:rsid w:val="00535161"/>
    <w:rsid w:val="005418FA"/>
    <w:rsid w:val="0054413A"/>
    <w:rsid w:val="005443C9"/>
    <w:rsid w:val="00545144"/>
    <w:rsid w:val="00545326"/>
    <w:rsid w:val="005457A0"/>
    <w:rsid w:val="00550551"/>
    <w:rsid w:val="00555A52"/>
    <w:rsid w:val="005564CA"/>
    <w:rsid w:val="00561510"/>
    <w:rsid w:val="005626E7"/>
    <w:rsid w:val="00571897"/>
    <w:rsid w:val="005731B5"/>
    <w:rsid w:val="0057389B"/>
    <w:rsid w:val="00574D20"/>
    <w:rsid w:val="00575B77"/>
    <w:rsid w:val="00575D08"/>
    <w:rsid w:val="005770F6"/>
    <w:rsid w:val="005811F1"/>
    <w:rsid w:val="00584E86"/>
    <w:rsid w:val="00590DD9"/>
    <w:rsid w:val="005A0585"/>
    <w:rsid w:val="005A1570"/>
    <w:rsid w:val="005A34F0"/>
    <w:rsid w:val="005A456B"/>
    <w:rsid w:val="005A5275"/>
    <w:rsid w:val="005A79FE"/>
    <w:rsid w:val="005B2AF3"/>
    <w:rsid w:val="005B4AA6"/>
    <w:rsid w:val="005B7215"/>
    <w:rsid w:val="005B7515"/>
    <w:rsid w:val="005C1FFD"/>
    <w:rsid w:val="005C5A22"/>
    <w:rsid w:val="005C5B5C"/>
    <w:rsid w:val="005D29B5"/>
    <w:rsid w:val="005D3445"/>
    <w:rsid w:val="005D474D"/>
    <w:rsid w:val="005D552E"/>
    <w:rsid w:val="005E2F44"/>
    <w:rsid w:val="005E605B"/>
    <w:rsid w:val="005E67FC"/>
    <w:rsid w:val="005E7572"/>
    <w:rsid w:val="005E7A0B"/>
    <w:rsid w:val="005F0C78"/>
    <w:rsid w:val="005F1050"/>
    <w:rsid w:val="005F3431"/>
    <w:rsid w:val="005F4BF5"/>
    <w:rsid w:val="00603BDE"/>
    <w:rsid w:val="00610C94"/>
    <w:rsid w:val="006134DB"/>
    <w:rsid w:val="00615048"/>
    <w:rsid w:val="00620CBF"/>
    <w:rsid w:val="00620E47"/>
    <w:rsid w:val="0062567A"/>
    <w:rsid w:val="006334A8"/>
    <w:rsid w:val="006367B1"/>
    <w:rsid w:val="0063788B"/>
    <w:rsid w:val="006404C9"/>
    <w:rsid w:val="00642D57"/>
    <w:rsid w:val="00647622"/>
    <w:rsid w:val="006524BE"/>
    <w:rsid w:val="00652A5C"/>
    <w:rsid w:val="006533F8"/>
    <w:rsid w:val="00655360"/>
    <w:rsid w:val="00655371"/>
    <w:rsid w:val="006563C3"/>
    <w:rsid w:val="00661835"/>
    <w:rsid w:val="00666AF7"/>
    <w:rsid w:val="00670B1B"/>
    <w:rsid w:val="00672EEC"/>
    <w:rsid w:val="00673789"/>
    <w:rsid w:val="00683085"/>
    <w:rsid w:val="0068338B"/>
    <w:rsid w:val="0069158F"/>
    <w:rsid w:val="00691C58"/>
    <w:rsid w:val="0069678A"/>
    <w:rsid w:val="00697665"/>
    <w:rsid w:val="006A12F4"/>
    <w:rsid w:val="006A3206"/>
    <w:rsid w:val="006A454C"/>
    <w:rsid w:val="006A4F88"/>
    <w:rsid w:val="006A58B8"/>
    <w:rsid w:val="006A64A9"/>
    <w:rsid w:val="006A7FD0"/>
    <w:rsid w:val="006B161A"/>
    <w:rsid w:val="006C084F"/>
    <w:rsid w:val="006C68E5"/>
    <w:rsid w:val="006D23BA"/>
    <w:rsid w:val="006D2CB8"/>
    <w:rsid w:val="006D40DC"/>
    <w:rsid w:val="006D4F07"/>
    <w:rsid w:val="006D7687"/>
    <w:rsid w:val="006E0385"/>
    <w:rsid w:val="006E0572"/>
    <w:rsid w:val="006E1324"/>
    <w:rsid w:val="006E1CCF"/>
    <w:rsid w:val="006E6D63"/>
    <w:rsid w:val="006E6E42"/>
    <w:rsid w:val="00700377"/>
    <w:rsid w:val="007020A1"/>
    <w:rsid w:val="007031F2"/>
    <w:rsid w:val="00703E2C"/>
    <w:rsid w:val="00705631"/>
    <w:rsid w:val="00706399"/>
    <w:rsid w:val="00713DE5"/>
    <w:rsid w:val="00714254"/>
    <w:rsid w:val="00715929"/>
    <w:rsid w:val="00720FE4"/>
    <w:rsid w:val="007210EC"/>
    <w:rsid w:val="0072127D"/>
    <w:rsid w:val="00725AC2"/>
    <w:rsid w:val="00726DBE"/>
    <w:rsid w:val="00727FB6"/>
    <w:rsid w:val="007300F3"/>
    <w:rsid w:val="007404BC"/>
    <w:rsid w:val="00742DD2"/>
    <w:rsid w:val="00752568"/>
    <w:rsid w:val="0075647A"/>
    <w:rsid w:val="007605FC"/>
    <w:rsid w:val="007634AD"/>
    <w:rsid w:val="0076566F"/>
    <w:rsid w:val="007656E6"/>
    <w:rsid w:val="00765BE2"/>
    <w:rsid w:val="00772C6C"/>
    <w:rsid w:val="007741D9"/>
    <w:rsid w:val="007748F6"/>
    <w:rsid w:val="0078122E"/>
    <w:rsid w:val="00783506"/>
    <w:rsid w:val="00784229"/>
    <w:rsid w:val="0078442B"/>
    <w:rsid w:val="00785A12"/>
    <w:rsid w:val="00793845"/>
    <w:rsid w:val="0079520D"/>
    <w:rsid w:val="00796EC8"/>
    <w:rsid w:val="00797DF7"/>
    <w:rsid w:val="007A0D0E"/>
    <w:rsid w:val="007A4C5A"/>
    <w:rsid w:val="007B0854"/>
    <w:rsid w:val="007B0F58"/>
    <w:rsid w:val="007C7638"/>
    <w:rsid w:val="007D0305"/>
    <w:rsid w:val="007E750C"/>
    <w:rsid w:val="007F0D40"/>
    <w:rsid w:val="007F367B"/>
    <w:rsid w:val="007F4347"/>
    <w:rsid w:val="007F72CB"/>
    <w:rsid w:val="00802A13"/>
    <w:rsid w:val="00804CE6"/>
    <w:rsid w:val="00811ED3"/>
    <w:rsid w:val="00813504"/>
    <w:rsid w:val="00816302"/>
    <w:rsid w:val="00817CA8"/>
    <w:rsid w:val="00822D58"/>
    <w:rsid w:val="00826A9D"/>
    <w:rsid w:val="0083119B"/>
    <w:rsid w:val="0083133A"/>
    <w:rsid w:val="00836EAB"/>
    <w:rsid w:val="008379CE"/>
    <w:rsid w:val="00841280"/>
    <w:rsid w:val="00841639"/>
    <w:rsid w:val="00842535"/>
    <w:rsid w:val="00842F23"/>
    <w:rsid w:val="0085092D"/>
    <w:rsid w:val="008509DD"/>
    <w:rsid w:val="0085128C"/>
    <w:rsid w:val="008524B4"/>
    <w:rsid w:val="00853776"/>
    <w:rsid w:val="00854DBB"/>
    <w:rsid w:val="00861408"/>
    <w:rsid w:val="008617E0"/>
    <w:rsid w:val="00865967"/>
    <w:rsid w:val="00873BCF"/>
    <w:rsid w:val="00877366"/>
    <w:rsid w:val="008817ED"/>
    <w:rsid w:val="0088243F"/>
    <w:rsid w:val="0088457C"/>
    <w:rsid w:val="00885AA7"/>
    <w:rsid w:val="00886201"/>
    <w:rsid w:val="00886E59"/>
    <w:rsid w:val="008871CF"/>
    <w:rsid w:val="00887B15"/>
    <w:rsid w:val="00890882"/>
    <w:rsid w:val="008927A8"/>
    <w:rsid w:val="008A0A11"/>
    <w:rsid w:val="008A1BE1"/>
    <w:rsid w:val="008A3EFA"/>
    <w:rsid w:val="008A54C1"/>
    <w:rsid w:val="008A69BA"/>
    <w:rsid w:val="008C41C5"/>
    <w:rsid w:val="008D1B84"/>
    <w:rsid w:val="008D3FBB"/>
    <w:rsid w:val="008D4225"/>
    <w:rsid w:val="008D4C63"/>
    <w:rsid w:val="008D76C2"/>
    <w:rsid w:val="008D776A"/>
    <w:rsid w:val="008E1C15"/>
    <w:rsid w:val="008E3219"/>
    <w:rsid w:val="008F14CC"/>
    <w:rsid w:val="008F2734"/>
    <w:rsid w:val="008F6E4A"/>
    <w:rsid w:val="00900239"/>
    <w:rsid w:val="00900DDB"/>
    <w:rsid w:val="0090136A"/>
    <w:rsid w:val="009030CB"/>
    <w:rsid w:val="009047C5"/>
    <w:rsid w:val="009066C0"/>
    <w:rsid w:val="00907A73"/>
    <w:rsid w:val="00910B86"/>
    <w:rsid w:val="00914F02"/>
    <w:rsid w:val="009176F3"/>
    <w:rsid w:val="00921659"/>
    <w:rsid w:val="00924541"/>
    <w:rsid w:val="0092465E"/>
    <w:rsid w:val="0092478E"/>
    <w:rsid w:val="00930A5C"/>
    <w:rsid w:val="0093193A"/>
    <w:rsid w:val="00931B7E"/>
    <w:rsid w:val="00943B97"/>
    <w:rsid w:val="00944EA4"/>
    <w:rsid w:val="009465F7"/>
    <w:rsid w:val="00946737"/>
    <w:rsid w:val="00946CFA"/>
    <w:rsid w:val="0095385A"/>
    <w:rsid w:val="00955CAC"/>
    <w:rsid w:val="009568DA"/>
    <w:rsid w:val="00956C80"/>
    <w:rsid w:val="00956E82"/>
    <w:rsid w:val="00962034"/>
    <w:rsid w:val="00965849"/>
    <w:rsid w:val="00973F55"/>
    <w:rsid w:val="00976CC3"/>
    <w:rsid w:val="00977088"/>
    <w:rsid w:val="00981B5D"/>
    <w:rsid w:val="00982489"/>
    <w:rsid w:val="009866C8"/>
    <w:rsid w:val="00987F32"/>
    <w:rsid w:val="00990A2F"/>
    <w:rsid w:val="009A353C"/>
    <w:rsid w:val="009B0CB9"/>
    <w:rsid w:val="009B29F8"/>
    <w:rsid w:val="009C2A57"/>
    <w:rsid w:val="009C376A"/>
    <w:rsid w:val="009D54EC"/>
    <w:rsid w:val="009E19C5"/>
    <w:rsid w:val="009E2882"/>
    <w:rsid w:val="009F6B3F"/>
    <w:rsid w:val="00A028FC"/>
    <w:rsid w:val="00A035A4"/>
    <w:rsid w:val="00A036C4"/>
    <w:rsid w:val="00A044A1"/>
    <w:rsid w:val="00A07446"/>
    <w:rsid w:val="00A10135"/>
    <w:rsid w:val="00A118A0"/>
    <w:rsid w:val="00A14F3C"/>
    <w:rsid w:val="00A24560"/>
    <w:rsid w:val="00A253EC"/>
    <w:rsid w:val="00A26D28"/>
    <w:rsid w:val="00A27EFE"/>
    <w:rsid w:val="00A305CD"/>
    <w:rsid w:val="00A34538"/>
    <w:rsid w:val="00A37529"/>
    <w:rsid w:val="00A42A3B"/>
    <w:rsid w:val="00A43FD5"/>
    <w:rsid w:val="00A470F2"/>
    <w:rsid w:val="00A47DA6"/>
    <w:rsid w:val="00A47F59"/>
    <w:rsid w:val="00A5235A"/>
    <w:rsid w:val="00A546CA"/>
    <w:rsid w:val="00A54AB9"/>
    <w:rsid w:val="00A578E2"/>
    <w:rsid w:val="00A61FEE"/>
    <w:rsid w:val="00A6404B"/>
    <w:rsid w:val="00A814D6"/>
    <w:rsid w:val="00A84361"/>
    <w:rsid w:val="00A906DC"/>
    <w:rsid w:val="00A97342"/>
    <w:rsid w:val="00AA03C4"/>
    <w:rsid w:val="00AA18DB"/>
    <w:rsid w:val="00AA442B"/>
    <w:rsid w:val="00AA6CC1"/>
    <w:rsid w:val="00AA6DAE"/>
    <w:rsid w:val="00AB00BD"/>
    <w:rsid w:val="00AB0D4D"/>
    <w:rsid w:val="00AB14CE"/>
    <w:rsid w:val="00AB196B"/>
    <w:rsid w:val="00AB30DF"/>
    <w:rsid w:val="00AB3E40"/>
    <w:rsid w:val="00AB47E2"/>
    <w:rsid w:val="00AB4DF6"/>
    <w:rsid w:val="00AC0EEB"/>
    <w:rsid w:val="00AC3414"/>
    <w:rsid w:val="00AD0B1D"/>
    <w:rsid w:val="00AD22FC"/>
    <w:rsid w:val="00AD47FB"/>
    <w:rsid w:val="00AD48B1"/>
    <w:rsid w:val="00AD5E7A"/>
    <w:rsid w:val="00AD6135"/>
    <w:rsid w:val="00AE19FC"/>
    <w:rsid w:val="00AE4119"/>
    <w:rsid w:val="00AE4E69"/>
    <w:rsid w:val="00AE5B43"/>
    <w:rsid w:val="00AE65B9"/>
    <w:rsid w:val="00AE6D68"/>
    <w:rsid w:val="00AF1ED8"/>
    <w:rsid w:val="00AF5CE1"/>
    <w:rsid w:val="00AF713D"/>
    <w:rsid w:val="00B04843"/>
    <w:rsid w:val="00B1060D"/>
    <w:rsid w:val="00B120C2"/>
    <w:rsid w:val="00B16E58"/>
    <w:rsid w:val="00B17763"/>
    <w:rsid w:val="00B21D6C"/>
    <w:rsid w:val="00B22E22"/>
    <w:rsid w:val="00B258A0"/>
    <w:rsid w:val="00B32C0B"/>
    <w:rsid w:val="00B33D08"/>
    <w:rsid w:val="00B35037"/>
    <w:rsid w:val="00B36E67"/>
    <w:rsid w:val="00B371E9"/>
    <w:rsid w:val="00B4161D"/>
    <w:rsid w:val="00B439B4"/>
    <w:rsid w:val="00B43C9B"/>
    <w:rsid w:val="00B447A6"/>
    <w:rsid w:val="00B50315"/>
    <w:rsid w:val="00B512C3"/>
    <w:rsid w:val="00B5178D"/>
    <w:rsid w:val="00B525CB"/>
    <w:rsid w:val="00B531D7"/>
    <w:rsid w:val="00B53F68"/>
    <w:rsid w:val="00B5556E"/>
    <w:rsid w:val="00B60926"/>
    <w:rsid w:val="00B6143C"/>
    <w:rsid w:val="00B6341F"/>
    <w:rsid w:val="00B637F3"/>
    <w:rsid w:val="00B63CB2"/>
    <w:rsid w:val="00B64278"/>
    <w:rsid w:val="00B71561"/>
    <w:rsid w:val="00B754CA"/>
    <w:rsid w:val="00B75BAA"/>
    <w:rsid w:val="00B75C7C"/>
    <w:rsid w:val="00B80316"/>
    <w:rsid w:val="00B80D60"/>
    <w:rsid w:val="00B8385C"/>
    <w:rsid w:val="00B93287"/>
    <w:rsid w:val="00BA1433"/>
    <w:rsid w:val="00BA549C"/>
    <w:rsid w:val="00BA54F0"/>
    <w:rsid w:val="00BB37BD"/>
    <w:rsid w:val="00BB4378"/>
    <w:rsid w:val="00BC0980"/>
    <w:rsid w:val="00BC3610"/>
    <w:rsid w:val="00BC46FA"/>
    <w:rsid w:val="00BC638A"/>
    <w:rsid w:val="00BD16E4"/>
    <w:rsid w:val="00BD404B"/>
    <w:rsid w:val="00BD5979"/>
    <w:rsid w:val="00BD78FE"/>
    <w:rsid w:val="00BE22E5"/>
    <w:rsid w:val="00BE43C0"/>
    <w:rsid w:val="00BE60C5"/>
    <w:rsid w:val="00BF239F"/>
    <w:rsid w:val="00BF2E6F"/>
    <w:rsid w:val="00BF3E3E"/>
    <w:rsid w:val="00BF46EB"/>
    <w:rsid w:val="00BF52BB"/>
    <w:rsid w:val="00BF59DD"/>
    <w:rsid w:val="00BF6F68"/>
    <w:rsid w:val="00C03D7A"/>
    <w:rsid w:val="00C06C24"/>
    <w:rsid w:val="00C07969"/>
    <w:rsid w:val="00C108FF"/>
    <w:rsid w:val="00C215F9"/>
    <w:rsid w:val="00C21979"/>
    <w:rsid w:val="00C22C1C"/>
    <w:rsid w:val="00C2341D"/>
    <w:rsid w:val="00C236F1"/>
    <w:rsid w:val="00C25356"/>
    <w:rsid w:val="00C2785E"/>
    <w:rsid w:val="00C35CCA"/>
    <w:rsid w:val="00C3789F"/>
    <w:rsid w:val="00C37E77"/>
    <w:rsid w:val="00C40C20"/>
    <w:rsid w:val="00C41A44"/>
    <w:rsid w:val="00C421D2"/>
    <w:rsid w:val="00C43FAA"/>
    <w:rsid w:val="00C4553B"/>
    <w:rsid w:val="00C50FFB"/>
    <w:rsid w:val="00C52AA0"/>
    <w:rsid w:val="00C63537"/>
    <w:rsid w:val="00C75515"/>
    <w:rsid w:val="00C8023B"/>
    <w:rsid w:val="00C81AC2"/>
    <w:rsid w:val="00C82754"/>
    <w:rsid w:val="00C83D45"/>
    <w:rsid w:val="00C878E8"/>
    <w:rsid w:val="00CA0C3E"/>
    <w:rsid w:val="00CA10DC"/>
    <w:rsid w:val="00CA1540"/>
    <w:rsid w:val="00CA287E"/>
    <w:rsid w:val="00CA44C0"/>
    <w:rsid w:val="00CA44E6"/>
    <w:rsid w:val="00CA4A96"/>
    <w:rsid w:val="00CA5FFD"/>
    <w:rsid w:val="00CA6B80"/>
    <w:rsid w:val="00CB084F"/>
    <w:rsid w:val="00CB3DAB"/>
    <w:rsid w:val="00CB532E"/>
    <w:rsid w:val="00CB7FCB"/>
    <w:rsid w:val="00CC00CD"/>
    <w:rsid w:val="00CC5BE0"/>
    <w:rsid w:val="00CC670C"/>
    <w:rsid w:val="00CC786F"/>
    <w:rsid w:val="00CD080F"/>
    <w:rsid w:val="00CD1A2C"/>
    <w:rsid w:val="00CD5F34"/>
    <w:rsid w:val="00CE041B"/>
    <w:rsid w:val="00CF2EF6"/>
    <w:rsid w:val="00CF4690"/>
    <w:rsid w:val="00CF6B14"/>
    <w:rsid w:val="00CF7DE3"/>
    <w:rsid w:val="00D004A0"/>
    <w:rsid w:val="00D03273"/>
    <w:rsid w:val="00D04268"/>
    <w:rsid w:val="00D0477C"/>
    <w:rsid w:val="00D054BD"/>
    <w:rsid w:val="00D06D43"/>
    <w:rsid w:val="00D1185B"/>
    <w:rsid w:val="00D11E53"/>
    <w:rsid w:val="00D15D40"/>
    <w:rsid w:val="00D162D0"/>
    <w:rsid w:val="00D16345"/>
    <w:rsid w:val="00D16E39"/>
    <w:rsid w:val="00D17DCA"/>
    <w:rsid w:val="00D17ECC"/>
    <w:rsid w:val="00D20C61"/>
    <w:rsid w:val="00D24CC2"/>
    <w:rsid w:val="00D250D0"/>
    <w:rsid w:val="00D31F4A"/>
    <w:rsid w:val="00D32C9D"/>
    <w:rsid w:val="00D35D5C"/>
    <w:rsid w:val="00D361D0"/>
    <w:rsid w:val="00D44846"/>
    <w:rsid w:val="00D50796"/>
    <w:rsid w:val="00D5088B"/>
    <w:rsid w:val="00D535E1"/>
    <w:rsid w:val="00D53EA2"/>
    <w:rsid w:val="00D55E8F"/>
    <w:rsid w:val="00D56AB8"/>
    <w:rsid w:val="00D57255"/>
    <w:rsid w:val="00D577D1"/>
    <w:rsid w:val="00D63787"/>
    <w:rsid w:val="00D644AA"/>
    <w:rsid w:val="00D710DF"/>
    <w:rsid w:val="00D72E9D"/>
    <w:rsid w:val="00D73D62"/>
    <w:rsid w:val="00D74389"/>
    <w:rsid w:val="00D74E75"/>
    <w:rsid w:val="00D805C0"/>
    <w:rsid w:val="00D80EB6"/>
    <w:rsid w:val="00D82CE5"/>
    <w:rsid w:val="00D856F4"/>
    <w:rsid w:val="00D9294F"/>
    <w:rsid w:val="00DA5AB1"/>
    <w:rsid w:val="00DA6EE1"/>
    <w:rsid w:val="00DA72B4"/>
    <w:rsid w:val="00DB12BD"/>
    <w:rsid w:val="00DB2EB1"/>
    <w:rsid w:val="00DB44D8"/>
    <w:rsid w:val="00DB49AA"/>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70DC"/>
    <w:rsid w:val="00DF0AB4"/>
    <w:rsid w:val="00DF16DA"/>
    <w:rsid w:val="00DF1DAA"/>
    <w:rsid w:val="00DF236B"/>
    <w:rsid w:val="00DF4EDE"/>
    <w:rsid w:val="00DF5090"/>
    <w:rsid w:val="00DF6ACD"/>
    <w:rsid w:val="00E000C8"/>
    <w:rsid w:val="00E01453"/>
    <w:rsid w:val="00E017C4"/>
    <w:rsid w:val="00E04C9B"/>
    <w:rsid w:val="00E056B2"/>
    <w:rsid w:val="00E10A6D"/>
    <w:rsid w:val="00E13AB8"/>
    <w:rsid w:val="00E13FD3"/>
    <w:rsid w:val="00E14299"/>
    <w:rsid w:val="00E144AB"/>
    <w:rsid w:val="00E21494"/>
    <w:rsid w:val="00E240E7"/>
    <w:rsid w:val="00E3090F"/>
    <w:rsid w:val="00E33B62"/>
    <w:rsid w:val="00E36E37"/>
    <w:rsid w:val="00E449E0"/>
    <w:rsid w:val="00E52D01"/>
    <w:rsid w:val="00E53CA4"/>
    <w:rsid w:val="00E5557F"/>
    <w:rsid w:val="00E5588F"/>
    <w:rsid w:val="00E60196"/>
    <w:rsid w:val="00E616F9"/>
    <w:rsid w:val="00E737A7"/>
    <w:rsid w:val="00E8031F"/>
    <w:rsid w:val="00E832F8"/>
    <w:rsid w:val="00E83789"/>
    <w:rsid w:val="00E91477"/>
    <w:rsid w:val="00E915AC"/>
    <w:rsid w:val="00E9178F"/>
    <w:rsid w:val="00E91DA5"/>
    <w:rsid w:val="00E9754A"/>
    <w:rsid w:val="00E97CC7"/>
    <w:rsid w:val="00EA04EF"/>
    <w:rsid w:val="00EA1131"/>
    <w:rsid w:val="00EA3483"/>
    <w:rsid w:val="00EA704D"/>
    <w:rsid w:val="00EA79EB"/>
    <w:rsid w:val="00EC5F41"/>
    <w:rsid w:val="00ED2EFF"/>
    <w:rsid w:val="00ED3BF4"/>
    <w:rsid w:val="00ED7F90"/>
    <w:rsid w:val="00EE4DB7"/>
    <w:rsid w:val="00EE776B"/>
    <w:rsid w:val="00EF16DD"/>
    <w:rsid w:val="00EF359F"/>
    <w:rsid w:val="00EF66D5"/>
    <w:rsid w:val="00F0292D"/>
    <w:rsid w:val="00F03541"/>
    <w:rsid w:val="00F04CC2"/>
    <w:rsid w:val="00F06B15"/>
    <w:rsid w:val="00F109B1"/>
    <w:rsid w:val="00F1157D"/>
    <w:rsid w:val="00F11EDA"/>
    <w:rsid w:val="00F1301C"/>
    <w:rsid w:val="00F155B7"/>
    <w:rsid w:val="00F24361"/>
    <w:rsid w:val="00F277D0"/>
    <w:rsid w:val="00F36E11"/>
    <w:rsid w:val="00F379A3"/>
    <w:rsid w:val="00F449FE"/>
    <w:rsid w:val="00F44CA3"/>
    <w:rsid w:val="00F46903"/>
    <w:rsid w:val="00F47B8F"/>
    <w:rsid w:val="00F55AA3"/>
    <w:rsid w:val="00F562BD"/>
    <w:rsid w:val="00F608B9"/>
    <w:rsid w:val="00F60DB7"/>
    <w:rsid w:val="00F60E91"/>
    <w:rsid w:val="00F71570"/>
    <w:rsid w:val="00F7558E"/>
    <w:rsid w:val="00F76205"/>
    <w:rsid w:val="00F8177B"/>
    <w:rsid w:val="00F81B47"/>
    <w:rsid w:val="00F83B75"/>
    <w:rsid w:val="00F84899"/>
    <w:rsid w:val="00F859F0"/>
    <w:rsid w:val="00F8789E"/>
    <w:rsid w:val="00F92E29"/>
    <w:rsid w:val="00FA06A3"/>
    <w:rsid w:val="00FA3B5A"/>
    <w:rsid w:val="00FA40C0"/>
    <w:rsid w:val="00FA540E"/>
    <w:rsid w:val="00FA6587"/>
    <w:rsid w:val="00FA65EC"/>
    <w:rsid w:val="00FB3261"/>
    <w:rsid w:val="00FB47F3"/>
    <w:rsid w:val="00FB516F"/>
    <w:rsid w:val="00FC711A"/>
    <w:rsid w:val="00FD3213"/>
    <w:rsid w:val="00FD3A2E"/>
    <w:rsid w:val="00FD4AFF"/>
    <w:rsid w:val="00FD4F56"/>
    <w:rsid w:val="00FD674C"/>
    <w:rsid w:val="00FD7C64"/>
    <w:rsid w:val="00FE0DC4"/>
    <w:rsid w:val="00FE125A"/>
    <w:rsid w:val="00FE141E"/>
    <w:rsid w:val="00FE2A33"/>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customStyle="1" w:styleId="Cuadrculamedia1-nfasis21">
    <w:name w:val="Cuadrícula media 1 - Énfasis 21"/>
    <w:basedOn w:val="Normal"/>
    <w:uiPriority w:val="34"/>
    <w:qFormat/>
    <w:rsid w:val="00086C47"/>
    <w:pPr>
      <w:spacing w:after="160" w:line="259" w:lineRule="auto"/>
      <w:ind w:left="720"/>
      <w:contextualSpacing/>
    </w:pPr>
    <w:rPr>
      <w:rFonts w:ascii="Calibri" w:eastAsia="Calibri" w:hAnsi="Calibri" w:cs="Times New Roman"/>
      <w:sz w:val="22"/>
      <w:lang w:val="es-CO"/>
    </w:rPr>
  </w:style>
  <w:style w:type="paragraph" w:styleId="Revisin">
    <w:name w:val="Revision"/>
    <w:hidden/>
    <w:uiPriority w:val="99"/>
    <w:semiHidden/>
    <w:rsid w:val="003F0DE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6407983">
      <w:bodyDiv w:val="1"/>
      <w:marLeft w:val="0"/>
      <w:marRight w:val="0"/>
      <w:marTop w:val="0"/>
      <w:marBottom w:val="0"/>
      <w:divBdr>
        <w:top w:val="none" w:sz="0" w:space="0" w:color="auto"/>
        <w:left w:val="none" w:sz="0" w:space="0" w:color="auto"/>
        <w:bottom w:val="none" w:sz="0" w:space="0" w:color="auto"/>
        <w:right w:val="none" w:sz="0" w:space="0" w:color="auto"/>
      </w:divBdr>
    </w:div>
    <w:div w:id="589588281">
      <w:bodyDiv w:val="1"/>
      <w:marLeft w:val="0"/>
      <w:marRight w:val="0"/>
      <w:marTop w:val="0"/>
      <w:marBottom w:val="0"/>
      <w:divBdr>
        <w:top w:val="none" w:sz="0" w:space="0" w:color="auto"/>
        <w:left w:val="none" w:sz="0" w:space="0" w:color="auto"/>
        <w:bottom w:val="none" w:sz="0" w:space="0" w:color="auto"/>
        <w:right w:val="none" w:sz="0" w:space="0" w:color="auto"/>
      </w:divBdr>
      <w:divsChild>
        <w:div w:id="1182403269">
          <w:marLeft w:val="0"/>
          <w:marRight w:val="0"/>
          <w:marTop w:val="0"/>
          <w:marBottom w:val="0"/>
          <w:divBdr>
            <w:top w:val="none" w:sz="0" w:space="0" w:color="auto"/>
            <w:left w:val="none" w:sz="0" w:space="0" w:color="auto"/>
            <w:bottom w:val="none" w:sz="0" w:space="0" w:color="auto"/>
            <w:right w:val="none" w:sz="0" w:space="0" w:color="auto"/>
          </w:divBdr>
          <w:divsChild>
            <w:div w:id="1213889196">
              <w:marLeft w:val="0"/>
              <w:marRight w:val="0"/>
              <w:marTop w:val="0"/>
              <w:marBottom w:val="0"/>
              <w:divBdr>
                <w:top w:val="none" w:sz="0" w:space="0" w:color="auto"/>
                <w:left w:val="none" w:sz="0" w:space="0" w:color="auto"/>
                <w:bottom w:val="none" w:sz="0" w:space="0" w:color="auto"/>
                <w:right w:val="none" w:sz="0" w:space="0" w:color="auto"/>
              </w:divBdr>
              <w:divsChild>
                <w:div w:id="391663186">
                  <w:marLeft w:val="0"/>
                  <w:marRight w:val="0"/>
                  <w:marTop w:val="0"/>
                  <w:marBottom w:val="0"/>
                  <w:divBdr>
                    <w:top w:val="none" w:sz="0" w:space="0" w:color="auto"/>
                    <w:left w:val="none" w:sz="0" w:space="0" w:color="auto"/>
                    <w:bottom w:val="none" w:sz="0" w:space="0" w:color="auto"/>
                    <w:right w:val="none" w:sz="0" w:space="0" w:color="auto"/>
                  </w:divBdr>
                  <w:divsChild>
                    <w:div w:id="11756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68559">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5311">
      <w:bodyDiv w:val="1"/>
      <w:marLeft w:val="0"/>
      <w:marRight w:val="0"/>
      <w:marTop w:val="0"/>
      <w:marBottom w:val="0"/>
      <w:divBdr>
        <w:top w:val="none" w:sz="0" w:space="0" w:color="auto"/>
        <w:left w:val="none" w:sz="0" w:space="0" w:color="auto"/>
        <w:bottom w:val="none" w:sz="0" w:space="0" w:color="auto"/>
        <w:right w:val="none" w:sz="0" w:space="0" w:color="auto"/>
      </w:divBdr>
    </w:div>
    <w:div w:id="993753475">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464688488">
      <w:bodyDiv w:val="1"/>
      <w:marLeft w:val="0"/>
      <w:marRight w:val="0"/>
      <w:marTop w:val="0"/>
      <w:marBottom w:val="0"/>
      <w:divBdr>
        <w:top w:val="none" w:sz="0" w:space="0" w:color="auto"/>
        <w:left w:val="none" w:sz="0" w:space="0" w:color="auto"/>
        <w:bottom w:val="none" w:sz="0" w:space="0" w:color="auto"/>
        <w:right w:val="none" w:sz="0" w:space="0" w:color="auto"/>
      </w:divBdr>
      <w:divsChild>
        <w:div w:id="1513688257">
          <w:marLeft w:val="0"/>
          <w:marRight w:val="0"/>
          <w:marTop w:val="0"/>
          <w:marBottom w:val="0"/>
          <w:divBdr>
            <w:top w:val="none" w:sz="0" w:space="0" w:color="auto"/>
            <w:left w:val="none" w:sz="0" w:space="0" w:color="auto"/>
            <w:bottom w:val="none" w:sz="0" w:space="0" w:color="auto"/>
            <w:right w:val="none" w:sz="0" w:space="0" w:color="auto"/>
          </w:divBdr>
          <w:divsChild>
            <w:div w:id="1642422254">
              <w:marLeft w:val="0"/>
              <w:marRight w:val="0"/>
              <w:marTop w:val="0"/>
              <w:marBottom w:val="0"/>
              <w:divBdr>
                <w:top w:val="none" w:sz="0" w:space="0" w:color="auto"/>
                <w:left w:val="none" w:sz="0" w:space="0" w:color="auto"/>
                <w:bottom w:val="none" w:sz="0" w:space="0" w:color="auto"/>
                <w:right w:val="none" w:sz="0" w:space="0" w:color="auto"/>
              </w:divBdr>
              <w:divsChild>
                <w:div w:id="17261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06502668">
      <w:bodyDiv w:val="1"/>
      <w:marLeft w:val="0"/>
      <w:marRight w:val="0"/>
      <w:marTop w:val="0"/>
      <w:marBottom w:val="0"/>
      <w:divBdr>
        <w:top w:val="none" w:sz="0" w:space="0" w:color="auto"/>
        <w:left w:val="none" w:sz="0" w:space="0" w:color="auto"/>
        <w:bottom w:val="none" w:sz="0" w:space="0" w:color="auto"/>
        <w:right w:val="none" w:sz="0" w:space="0" w:color="auto"/>
      </w:divBdr>
      <w:divsChild>
        <w:div w:id="832601053">
          <w:marLeft w:val="0"/>
          <w:marRight w:val="0"/>
          <w:marTop w:val="0"/>
          <w:marBottom w:val="0"/>
          <w:divBdr>
            <w:top w:val="none" w:sz="0" w:space="0" w:color="auto"/>
            <w:left w:val="none" w:sz="0" w:space="0" w:color="auto"/>
            <w:bottom w:val="none" w:sz="0" w:space="0" w:color="auto"/>
            <w:right w:val="none" w:sz="0" w:space="0" w:color="auto"/>
          </w:divBdr>
          <w:divsChild>
            <w:div w:id="771171682">
              <w:marLeft w:val="0"/>
              <w:marRight w:val="0"/>
              <w:marTop w:val="0"/>
              <w:marBottom w:val="0"/>
              <w:divBdr>
                <w:top w:val="none" w:sz="0" w:space="0" w:color="auto"/>
                <w:left w:val="none" w:sz="0" w:space="0" w:color="auto"/>
                <w:bottom w:val="none" w:sz="0" w:space="0" w:color="auto"/>
                <w:right w:val="none" w:sz="0" w:space="0" w:color="auto"/>
              </w:divBdr>
              <w:divsChild>
                <w:div w:id="1040473803">
                  <w:marLeft w:val="0"/>
                  <w:marRight w:val="0"/>
                  <w:marTop w:val="0"/>
                  <w:marBottom w:val="0"/>
                  <w:divBdr>
                    <w:top w:val="none" w:sz="0" w:space="0" w:color="auto"/>
                    <w:left w:val="none" w:sz="0" w:space="0" w:color="auto"/>
                    <w:bottom w:val="none" w:sz="0" w:space="0" w:color="auto"/>
                    <w:right w:val="none" w:sz="0" w:space="0" w:color="auto"/>
                  </w:divBdr>
                  <w:divsChild>
                    <w:div w:id="8441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76908492">
      <w:bodyDiv w:val="1"/>
      <w:marLeft w:val="0"/>
      <w:marRight w:val="0"/>
      <w:marTop w:val="0"/>
      <w:marBottom w:val="0"/>
      <w:divBdr>
        <w:top w:val="none" w:sz="0" w:space="0" w:color="auto"/>
        <w:left w:val="none" w:sz="0" w:space="0" w:color="auto"/>
        <w:bottom w:val="none" w:sz="0" w:space="0" w:color="auto"/>
        <w:right w:val="none" w:sz="0" w:space="0" w:color="auto"/>
      </w:divBdr>
    </w:div>
    <w:div w:id="1994601492">
      <w:bodyDiv w:val="1"/>
      <w:marLeft w:val="0"/>
      <w:marRight w:val="0"/>
      <w:marTop w:val="0"/>
      <w:marBottom w:val="0"/>
      <w:divBdr>
        <w:top w:val="none" w:sz="0" w:space="0" w:color="auto"/>
        <w:left w:val="none" w:sz="0" w:space="0" w:color="auto"/>
        <w:bottom w:val="none" w:sz="0" w:space="0" w:color="auto"/>
        <w:right w:val="none" w:sz="0" w:space="0" w:color="auto"/>
      </w:divBdr>
      <w:divsChild>
        <w:div w:id="1237864663">
          <w:marLeft w:val="0"/>
          <w:marRight w:val="0"/>
          <w:marTop w:val="0"/>
          <w:marBottom w:val="0"/>
          <w:divBdr>
            <w:top w:val="none" w:sz="0" w:space="0" w:color="auto"/>
            <w:left w:val="none" w:sz="0" w:space="0" w:color="auto"/>
            <w:bottom w:val="none" w:sz="0" w:space="0" w:color="auto"/>
            <w:right w:val="none" w:sz="0" w:space="0" w:color="auto"/>
          </w:divBdr>
          <w:divsChild>
            <w:div w:id="122315641">
              <w:marLeft w:val="0"/>
              <w:marRight w:val="0"/>
              <w:marTop w:val="0"/>
              <w:marBottom w:val="0"/>
              <w:divBdr>
                <w:top w:val="none" w:sz="0" w:space="0" w:color="auto"/>
                <w:left w:val="none" w:sz="0" w:space="0" w:color="auto"/>
                <w:bottom w:val="none" w:sz="0" w:space="0" w:color="auto"/>
                <w:right w:val="none" w:sz="0" w:space="0" w:color="auto"/>
              </w:divBdr>
              <w:divsChild>
                <w:div w:id="2301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84E18-7F12-41D5-BBE7-58F7AB18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7</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dcterms:created xsi:type="dcterms:W3CDTF">2020-08-19T16:22:00Z</dcterms:created>
  <dcterms:modified xsi:type="dcterms:W3CDTF">2020-08-19T16:57:00Z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