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F35561" w:rsidRDefault="00BE1E33" w:rsidP="00BE1E33">
      <w:pPr>
        <w:jc w:val="right"/>
        <w:rPr>
          <w:rFonts w:ascii="Arial" w:hAnsi="Arial" w:cs="Arial"/>
          <w:b/>
          <w:sz w:val="16"/>
          <w:szCs w:val="16"/>
          <w:lang w:eastAsia="es-ES"/>
        </w:rPr>
      </w:pPr>
      <w:bookmarkStart w:id="0" w:name="_Hlk28946138"/>
      <w:bookmarkStart w:id="1" w:name="_Hlk29548183"/>
      <w:r w:rsidRPr="00F35561">
        <w:rPr>
          <w:rFonts w:ascii="Arial" w:hAnsi="Arial" w:cs="Arial"/>
          <w:b/>
          <w:sz w:val="16"/>
          <w:szCs w:val="16"/>
          <w:lang w:eastAsia="es-ES"/>
        </w:rPr>
        <w:tab/>
        <w:t>CCE-DES-FM-17</w:t>
      </w:r>
    </w:p>
    <w:p w14:paraId="30106002" w14:textId="77777777" w:rsidR="005204A7" w:rsidRPr="00DC7462" w:rsidRDefault="005204A7" w:rsidP="005204A7">
      <w:pPr>
        <w:jc w:val="both"/>
        <w:rPr>
          <w:rFonts w:ascii="Arial" w:eastAsia="Calibri" w:hAnsi="Arial" w:cs="Arial"/>
          <w:b/>
          <w:sz w:val="16"/>
          <w:szCs w:val="16"/>
        </w:rPr>
      </w:pPr>
    </w:p>
    <w:p w14:paraId="066CAAD2" w14:textId="77777777" w:rsidR="006B479A" w:rsidRPr="00F35561" w:rsidRDefault="006B479A" w:rsidP="006B479A">
      <w:pPr>
        <w:tabs>
          <w:tab w:val="left" w:pos="426"/>
        </w:tabs>
        <w:jc w:val="both"/>
        <w:rPr>
          <w:rFonts w:ascii="Arial" w:hAnsi="Arial" w:cs="Arial"/>
          <w:b/>
          <w:bCs/>
          <w:sz w:val="22"/>
        </w:rPr>
      </w:pPr>
      <w:r w:rsidRPr="00F35561">
        <w:rPr>
          <w:rFonts w:ascii="Arial" w:hAnsi="Arial" w:cs="Arial"/>
          <w:b/>
          <w:bCs/>
          <w:sz w:val="22"/>
        </w:rPr>
        <w:t xml:space="preserve">VISITA AL SITIO DE LA OBRA – Finalidad </w:t>
      </w:r>
    </w:p>
    <w:p w14:paraId="11E1FFE7" w14:textId="77777777" w:rsidR="006B479A" w:rsidRPr="00F35561" w:rsidRDefault="006B479A" w:rsidP="006B479A">
      <w:pPr>
        <w:tabs>
          <w:tab w:val="left" w:pos="426"/>
        </w:tabs>
        <w:jc w:val="both"/>
        <w:rPr>
          <w:rFonts w:ascii="Arial" w:hAnsi="Arial" w:cs="Arial"/>
          <w:b/>
          <w:bCs/>
          <w:sz w:val="20"/>
          <w:szCs w:val="20"/>
        </w:rPr>
      </w:pPr>
    </w:p>
    <w:p w14:paraId="2622EA94" w14:textId="77777777" w:rsidR="006B479A" w:rsidRPr="00F35561" w:rsidRDefault="006B479A" w:rsidP="006B479A">
      <w:pPr>
        <w:tabs>
          <w:tab w:val="left" w:pos="426"/>
        </w:tabs>
        <w:jc w:val="both"/>
        <w:rPr>
          <w:rFonts w:ascii="Arial" w:hAnsi="Arial" w:cs="Arial"/>
          <w:sz w:val="20"/>
          <w:szCs w:val="20"/>
          <w:lang w:val="es-ES"/>
        </w:rPr>
      </w:pPr>
      <w:r w:rsidRPr="00F35561">
        <w:rPr>
          <w:rFonts w:ascii="Arial" w:hAnsi="Arial" w:cs="Arial"/>
          <w:sz w:val="20"/>
          <w:szCs w:val="20"/>
          <w:lang w:val="es-ES"/>
        </w:rPr>
        <w:t xml:space="preserve">Se exige con el propósito de que los proponentes realicen todas las evaluaciones y estimaciones necesarias para presentar la oferta,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 </w:t>
      </w:r>
    </w:p>
    <w:p w14:paraId="248E094F" w14:textId="77777777" w:rsidR="006B479A" w:rsidRPr="00F35561" w:rsidRDefault="006B479A" w:rsidP="006B479A">
      <w:pPr>
        <w:tabs>
          <w:tab w:val="left" w:pos="426"/>
        </w:tabs>
        <w:jc w:val="both"/>
        <w:rPr>
          <w:rFonts w:ascii="Arial" w:hAnsi="Arial" w:cs="Arial"/>
          <w:sz w:val="20"/>
          <w:szCs w:val="20"/>
          <w:lang w:val="es-ES"/>
        </w:rPr>
      </w:pPr>
    </w:p>
    <w:p w14:paraId="7807D17F" w14:textId="77777777" w:rsidR="006B479A" w:rsidRPr="00F35561" w:rsidRDefault="006B479A" w:rsidP="006B479A">
      <w:pPr>
        <w:tabs>
          <w:tab w:val="left" w:pos="426"/>
        </w:tabs>
        <w:jc w:val="both"/>
        <w:rPr>
          <w:rFonts w:ascii="Arial" w:hAnsi="Arial" w:cs="Arial"/>
          <w:b/>
          <w:bCs/>
          <w:sz w:val="22"/>
        </w:rPr>
      </w:pPr>
      <w:r w:rsidRPr="00F35561">
        <w:rPr>
          <w:rFonts w:ascii="Arial" w:hAnsi="Arial" w:cs="Arial"/>
          <w:b/>
          <w:bCs/>
          <w:sz w:val="22"/>
        </w:rPr>
        <w:t xml:space="preserve">VISITA AL SITIO DE LA OBRA – Programación – Fecha </w:t>
      </w:r>
    </w:p>
    <w:p w14:paraId="5EFCDF02" w14:textId="77777777" w:rsidR="006B479A" w:rsidRPr="00B51FA2" w:rsidRDefault="006B479A" w:rsidP="006B479A">
      <w:pPr>
        <w:tabs>
          <w:tab w:val="left" w:pos="426"/>
        </w:tabs>
        <w:jc w:val="both"/>
        <w:rPr>
          <w:rFonts w:ascii="Arial" w:hAnsi="Arial" w:cs="Arial"/>
          <w:b/>
          <w:bCs/>
          <w:sz w:val="20"/>
          <w:szCs w:val="20"/>
        </w:rPr>
      </w:pPr>
    </w:p>
    <w:p w14:paraId="260442E5" w14:textId="77777777" w:rsidR="006B479A" w:rsidRPr="00F35561" w:rsidRDefault="006B479A" w:rsidP="006B479A">
      <w:pPr>
        <w:tabs>
          <w:tab w:val="left" w:pos="426"/>
        </w:tabs>
        <w:jc w:val="both"/>
        <w:rPr>
          <w:rFonts w:ascii="Arial" w:hAnsi="Arial" w:cs="Arial"/>
          <w:sz w:val="20"/>
          <w:szCs w:val="20"/>
          <w:lang w:val="es-ES"/>
        </w:rPr>
      </w:pPr>
      <w:r w:rsidRPr="00F35561">
        <w:rPr>
          <w:rFonts w:ascii="Arial" w:hAnsi="Arial" w:cs="Arial"/>
          <w:sz w:val="20"/>
          <w:szCs w:val="20"/>
          <w:lang w:val="es-ES"/>
        </w:rPr>
        <w:t xml:space="preserve">En ese medida, dadas las implicaciones de la visita, la vinculatoriedad del pliego de condiciones, el carácter no definitivo del proyecto de pliego y los costos en que se incurren para la realización de la visita al sitio de la obra, esta debe programarse en una fecha posterior a la apertura del procedimiento de contratación con el fin de asegurar la eficacia, eficiencia y el efecto útil de las disposiciones, pues sería de poca la utilidad realizar una visita de obra de forma previa a la apertura del proceso, en la medida que nada asegura la expedición del acto administrativo de apertura, y por ende, en caso que la entidad no lo haga, la visita carecería de efectos, sería inocua. </w:t>
      </w:r>
    </w:p>
    <w:p w14:paraId="0C8705A4" w14:textId="77777777" w:rsidR="006B479A" w:rsidRPr="00F35561" w:rsidRDefault="006B479A" w:rsidP="006B479A">
      <w:pPr>
        <w:tabs>
          <w:tab w:val="left" w:pos="426"/>
        </w:tabs>
        <w:jc w:val="both"/>
        <w:rPr>
          <w:rFonts w:ascii="Arial" w:hAnsi="Arial" w:cs="Arial"/>
          <w:sz w:val="20"/>
          <w:szCs w:val="20"/>
          <w:lang w:val="es-ES"/>
        </w:rPr>
      </w:pPr>
    </w:p>
    <w:p w14:paraId="32F00BC4" w14:textId="77777777" w:rsidR="006B479A" w:rsidRPr="00F35561" w:rsidRDefault="006B479A" w:rsidP="006B479A">
      <w:pPr>
        <w:tabs>
          <w:tab w:val="left" w:pos="426"/>
        </w:tabs>
        <w:jc w:val="both"/>
        <w:rPr>
          <w:rFonts w:ascii="Arial" w:hAnsi="Arial" w:cs="Arial"/>
          <w:b/>
          <w:bCs/>
          <w:sz w:val="22"/>
        </w:rPr>
      </w:pPr>
      <w:r w:rsidRPr="00F35561">
        <w:rPr>
          <w:rFonts w:ascii="Arial" w:hAnsi="Arial" w:cs="Arial"/>
          <w:b/>
          <w:bCs/>
          <w:sz w:val="22"/>
        </w:rPr>
        <w:t xml:space="preserve">DOCUMENTOS TIPO – Resolución 080 de 2020 – Suspensión – Visita de obra – Garantías adicionales – Vigencia </w:t>
      </w:r>
    </w:p>
    <w:p w14:paraId="3E0037F8" w14:textId="77777777" w:rsidR="006B479A" w:rsidRPr="00F35561" w:rsidRDefault="006B479A" w:rsidP="006B479A">
      <w:pPr>
        <w:tabs>
          <w:tab w:val="left" w:pos="426"/>
        </w:tabs>
        <w:jc w:val="both"/>
        <w:rPr>
          <w:rFonts w:ascii="Arial" w:hAnsi="Arial" w:cs="Arial"/>
          <w:sz w:val="20"/>
          <w:szCs w:val="20"/>
          <w:lang w:val="es-ES"/>
        </w:rPr>
      </w:pPr>
    </w:p>
    <w:p w14:paraId="296FEFCD" w14:textId="2D7AB16D" w:rsidR="006B479A" w:rsidRPr="00F35561" w:rsidRDefault="006B479A" w:rsidP="006B479A">
      <w:pPr>
        <w:tabs>
          <w:tab w:val="left" w:pos="426"/>
        </w:tabs>
        <w:jc w:val="both"/>
        <w:rPr>
          <w:rFonts w:ascii="Arial" w:hAnsi="Arial" w:cs="Arial"/>
          <w:sz w:val="20"/>
          <w:szCs w:val="20"/>
          <w:lang w:val="es-ES"/>
        </w:rPr>
      </w:pPr>
      <w:r w:rsidRPr="00F35561">
        <w:rPr>
          <w:rFonts w:ascii="Arial" w:hAnsi="Arial" w:cs="Arial"/>
          <w:sz w:val="20"/>
          <w:szCs w:val="20"/>
          <w:lang w:val="es-ES"/>
        </w:rPr>
        <w:t>[</w:t>
      </w:r>
      <w:r w:rsidR="00F35561">
        <w:rPr>
          <w:rFonts w:ascii="Arial" w:hAnsi="Arial" w:cs="Arial"/>
          <w:sz w:val="20"/>
          <w:szCs w:val="20"/>
          <w:lang w:val="es-ES"/>
        </w:rPr>
        <w:t>L]</w:t>
      </w:r>
      <w:r w:rsidRPr="00F35561">
        <w:rPr>
          <w:rFonts w:ascii="Arial" w:hAnsi="Arial" w:cs="Arial"/>
          <w:sz w:val="20"/>
          <w:szCs w:val="20"/>
          <w:lang w:val="es-ES"/>
        </w:rPr>
        <w:t xml:space="preserve">a Agencia Nacional de Contratación Pública – Colombia Compra Eficiente expidió la Resolución No. 080 del 27 de marzo de 2020, a través de la cual suspenden los numerales 3.6 –visita al sitio de la obra– y 4.2.4 –garantías suplementarias o adicionales– de los documentos tipo para los procedimientos de licitación y selección abreviada de menor cuantía. </w:t>
      </w:r>
    </w:p>
    <w:p w14:paraId="464F429F" w14:textId="77777777" w:rsidR="006B479A" w:rsidRPr="00F35561" w:rsidRDefault="006B479A" w:rsidP="006B479A">
      <w:pPr>
        <w:tabs>
          <w:tab w:val="left" w:pos="426"/>
        </w:tabs>
        <w:jc w:val="both"/>
        <w:rPr>
          <w:rFonts w:ascii="Arial" w:hAnsi="Arial" w:cs="Arial"/>
          <w:sz w:val="20"/>
          <w:szCs w:val="20"/>
        </w:rPr>
      </w:pPr>
    </w:p>
    <w:p w14:paraId="69BB9B9C" w14:textId="77777777" w:rsidR="006B479A" w:rsidRPr="00F35561" w:rsidRDefault="006B479A" w:rsidP="006B479A">
      <w:pPr>
        <w:tabs>
          <w:tab w:val="left" w:pos="426"/>
        </w:tabs>
        <w:jc w:val="both"/>
        <w:rPr>
          <w:rFonts w:ascii="Arial" w:hAnsi="Arial" w:cs="Arial"/>
          <w:sz w:val="20"/>
          <w:szCs w:val="20"/>
        </w:rPr>
      </w:pPr>
      <w:r w:rsidRPr="00F35561">
        <w:rPr>
          <w:rFonts w:ascii="Arial" w:hAnsi="Arial" w:cs="Arial"/>
          <w:b/>
          <w:bCs/>
          <w:sz w:val="22"/>
        </w:rPr>
        <w:t>RESOLUCIÓN 080 DE 2020 – Alcance – Vigencia</w:t>
      </w:r>
    </w:p>
    <w:p w14:paraId="5D4DA54F" w14:textId="77777777" w:rsidR="006B479A" w:rsidRPr="00F35561" w:rsidRDefault="006B479A" w:rsidP="006B479A">
      <w:pPr>
        <w:spacing w:line="276" w:lineRule="auto"/>
        <w:jc w:val="both"/>
        <w:rPr>
          <w:rFonts w:ascii="Arial" w:hAnsi="Arial" w:cs="Arial"/>
          <w:sz w:val="20"/>
          <w:szCs w:val="20"/>
        </w:rPr>
      </w:pPr>
    </w:p>
    <w:p w14:paraId="06CBA849" w14:textId="3A05B383" w:rsidR="006B479A" w:rsidRPr="00F35561" w:rsidRDefault="006B479A" w:rsidP="006B479A">
      <w:pPr>
        <w:jc w:val="both"/>
        <w:rPr>
          <w:rFonts w:ascii="Arial" w:hAnsi="Arial" w:cs="Arial"/>
          <w:sz w:val="20"/>
          <w:szCs w:val="20"/>
          <w:lang w:val="es-ES"/>
        </w:rPr>
      </w:pPr>
      <w:r w:rsidRPr="00F35561">
        <w:rPr>
          <w:rFonts w:ascii="Arial" w:hAnsi="Arial" w:cs="Arial"/>
          <w:sz w:val="20"/>
          <w:szCs w:val="20"/>
          <w:lang w:val="es-ES"/>
        </w:rPr>
        <w:t xml:space="preserve">La medida de aislamiento preventivo obligatorio fue inicialmente establecida por el Decreto 457 de 2020; sin embargo, el </w:t>
      </w:r>
      <w:proofErr w:type="gramStart"/>
      <w:r w:rsidRPr="00F35561">
        <w:rPr>
          <w:rFonts w:ascii="Arial" w:hAnsi="Arial" w:cs="Arial"/>
          <w:sz w:val="20"/>
          <w:szCs w:val="20"/>
          <w:lang w:val="es-ES"/>
        </w:rPr>
        <w:t>Presidente</w:t>
      </w:r>
      <w:proofErr w:type="gramEnd"/>
      <w:r w:rsidRPr="00F35561">
        <w:rPr>
          <w:rFonts w:ascii="Arial" w:hAnsi="Arial" w:cs="Arial"/>
          <w:sz w:val="20"/>
          <w:szCs w:val="20"/>
          <w:lang w:val="es-ES"/>
        </w:rPr>
        <w:t xml:space="preserve"> de la República la ha prorrogado en diversas ocasiones. Actualmente, el Decreto 990 de 2020 establece «Ordenar el aislamiento preventivo obligatorio de todas las personas habitantes de la República de Colombia, a partir de las cero horas (00:00a.m.) del día 16 de julio de 2020, hasta las cero horas (00:00 del día 1 de agosto de 2020, en el marco de la emergencia sanitaria por causa del Coronavirus COVID-19». Por tanto, en la medida que la Resolución 080 de 2020 dispone que su vigencia depende de que el </w:t>
      </w:r>
      <w:proofErr w:type="gramStart"/>
      <w:r w:rsidRPr="00F35561">
        <w:rPr>
          <w:rFonts w:ascii="Arial" w:hAnsi="Arial" w:cs="Arial"/>
          <w:sz w:val="20"/>
          <w:szCs w:val="20"/>
          <w:lang w:val="es-ES"/>
        </w:rPr>
        <w:t>Presidente</w:t>
      </w:r>
      <w:proofErr w:type="gramEnd"/>
      <w:r w:rsidRPr="00F35561">
        <w:rPr>
          <w:rFonts w:ascii="Arial" w:hAnsi="Arial" w:cs="Arial"/>
          <w:sz w:val="20"/>
          <w:szCs w:val="20"/>
          <w:lang w:val="es-ES"/>
        </w:rPr>
        <w:t xml:space="preserve"> de la República conserve la medida de aislamiento preventivo obligatorio, la Resolución 080 de 2020 continúa vigente. </w:t>
      </w:r>
    </w:p>
    <w:p w14:paraId="07C47971" w14:textId="03869437" w:rsidR="006B479A" w:rsidRPr="00F35561" w:rsidRDefault="006B479A" w:rsidP="006B479A">
      <w:pPr>
        <w:jc w:val="both"/>
        <w:rPr>
          <w:rFonts w:ascii="Arial" w:hAnsi="Arial" w:cs="Arial"/>
          <w:sz w:val="20"/>
          <w:szCs w:val="20"/>
          <w:lang w:val="es-ES"/>
        </w:rPr>
      </w:pPr>
    </w:p>
    <w:p w14:paraId="5CF0BA7A" w14:textId="6EBE9B8C" w:rsidR="006B479A" w:rsidRPr="00F35561" w:rsidRDefault="006B479A" w:rsidP="006B479A">
      <w:pPr>
        <w:jc w:val="both"/>
        <w:rPr>
          <w:rFonts w:ascii="Arial" w:hAnsi="Arial" w:cs="Arial"/>
          <w:sz w:val="20"/>
          <w:szCs w:val="20"/>
          <w:lang w:val="es-ES"/>
        </w:rPr>
      </w:pPr>
      <w:r w:rsidRPr="00F35561">
        <w:rPr>
          <w:rFonts w:ascii="Arial" w:hAnsi="Arial" w:cs="Arial"/>
          <w:b/>
          <w:bCs/>
          <w:sz w:val="22"/>
        </w:rPr>
        <w:t>RESOLUCIÓN 080 DE 2020 –</w:t>
      </w:r>
      <w:r w:rsidR="00F35561" w:rsidRPr="00F35561">
        <w:rPr>
          <w:rFonts w:ascii="Arial" w:hAnsi="Arial" w:cs="Arial"/>
          <w:b/>
          <w:bCs/>
          <w:sz w:val="22"/>
        </w:rPr>
        <w:t xml:space="preserve"> </w:t>
      </w:r>
      <w:r w:rsidRPr="00F35561">
        <w:rPr>
          <w:rFonts w:ascii="Arial" w:hAnsi="Arial" w:cs="Arial"/>
          <w:b/>
          <w:bCs/>
          <w:sz w:val="22"/>
        </w:rPr>
        <w:t>Garantía suplementaria – Suspensión – Levantamiento</w:t>
      </w:r>
    </w:p>
    <w:p w14:paraId="06A6630A" w14:textId="77777777" w:rsidR="006B479A" w:rsidRPr="00F35561" w:rsidRDefault="006B479A" w:rsidP="006B479A">
      <w:pPr>
        <w:jc w:val="both"/>
        <w:rPr>
          <w:rFonts w:ascii="Arial" w:hAnsi="Arial" w:cs="Arial"/>
          <w:sz w:val="20"/>
          <w:szCs w:val="20"/>
          <w:lang w:val="es-ES"/>
        </w:rPr>
      </w:pPr>
    </w:p>
    <w:p w14:paraId="02E62012" w14:textId="05BA77A7" w:rsidR="006B479A" w:rsidRPr="00F35561" w:rsidRDefault="006B479A" w:rsidP="006B479A">
      <w:pPr>
        <w:spacing w:after="120"/>
        <w:jc w:val="both"/>
        <w:rPr>
          <w:rFonts w:ascii="Arial" w:hAnsi="Arial" w:cs="Arial"/>
          <w:sz w:val="20"/>
          <w:szCs w:val="20"/>
        </w:rPr>
      </w:pPr>
      <w:r w:rsidRPr="00F35561">
        <w:rPr>
          <w:rFonts w:ascii="Arial" w:hAnsi="Arial" w:cs="Arial"/>
          <w:sz w:val="20"/>
          <w:szCs w:val="20"/>
        </w:rPr>
        <w:t>[E]l pasado 21 de julio la Agencia Nacional de Contratación Pública – Colombia Compra Eficiente expidió la Resolución No. 116 de 2020, a través de la cual se modificaron los numerales 4.2.4, 4.2.5, 4.2.6, el literal b del numeral 4.1.4 y los formatos 7 de los documentos tipo de licitación de obra pública de infraestructura de transporte – Versión 2 y de selección abreviada de menor cuantía de infraestructura de transporte. El contenido de esta resolución, de conformidad con su artículo 4, rige a partir de su publicación, la cual fue efectuada el 21 de julio de 2020.</w:t>
      </w:r>
      <w:r w:rsidRPr="00F35561">
        <w:rPr>
          <w:rFonts w:ascii="Arial" w:hAnsi="Arial" w:cs="Arial"/>
          <w:sz w:val="20"/>
          <w:szCs w:val="20"/>
        </w:rPr>
        <w:tab/>
      </w:r>
    </w:p>
    <w:p w14:paraId="51691274" w14:textId="5D8D076D" w:rsidR="006B479A" w:rsidRPr="00F35561" w:rsidRDefault="006B479A" w:rsidP="006B479A">
      <w:pPr>
        <w:jc w:val="both"/>
        <w:rPr>
          <w:rFonts w:ascii="Arial" w:hAnsi="Arial" w:cs="Arial"/>
          <w:sz w:val="18"/>
          <w:szCs w:val="18"/>
          <w:lang w:val="es-ES"/>
        </w:rPr>
      </w:pPr>
      <w:r w:rsidRPr="00F35561">
        <w:rPr>
          <w:rFonts w:ascii="Arial" w:hAnsi="Arial" w:cs="Arial"/>
          <w:sz w:val="20"/>
          <w:szCs w:val="20"/>
        </w:rPr>
        <w:t xml:space="preserve">En ese orden de ideas, tras la expedición y publicación de la Resolución No. 116 de 2020, el numeral 4.2.4, referido al factor de calidad de garantía adicional, debe entenderse que la suspensión </w:t>
      </w:r>
      <w:r w:rsidRPr="00F35561">
        <w:rPr>
          <w:rFonts w:ascii="Arial" w:hAnsi="Arial" w:cs="Arial"/>
          <w:sz w:val="20"/>
          <w:szCs w:val="20"/>
        </w:rPr>
        <w:lastRenderedPageBreak/>
        <w:t>dispuesta por la Resolución No. 080 de 2020 respecto de esta parte del Documento Base ya no se encuentra vigente, en la medida en que el artículo 4 de la Resolución No. 116 de 2020 dispone, sin estipular alguna excepción o condición, que su contenido rige a partir de su publicación. Conforme a esto, desde el 21 de julio de 2020 las entidades estatales que aplican documentos tipos de licitación pública–versión 2– y selección abreviada de menor cuantía para la escogencia de contratistas de obra pública de infraestructura de transporte, están facultadas para incluir en sus pliegos de condiciones el factor de calidad de garantía adicional, con las modificaciones introducidas por la Resolución No. 116 de 2020.</w:t>
      </w:r>
    </w:p>
    <w:p w14:paraId="778F3109" w14:textId="4B592C18" w:rsidR="006B479A" w:rsidRPr="00F35561" w:rsidRDefault="006B479A" w:rsidP="006B479A">
      <w:pPr>
        <w:jc w:val="both"/>
        <w:rPr>
          <w:rFonts w:ascii="Arial" w:hAnsi="Arial" w:cs="Arial"/>
          <w:sz w:val="20"/>
          <w:szCs w:val="20"/>
          <w:lang w:val="es-ES"/>
        </w:rPr>
      </w:pPr>
    </w:p>
    <w:p w14:paraId="66DF8325" w14:textId="15B8C957" w:rsidR="006B479A" w:rsidRPr="00F35561" w:rsidRDefault="006B479A" w:rsidP="006B479A">
      <w:pPr>
        <w:jc w:val="both"/>
        <w:rPr>
          <w:rFonts w:ascii="Arial" w:hAnsi="Arial" w:cs="Arial"/>
          <w:b/>
          <w:bCs/>
          <w:sz w:val="22"/>
          <w:lang w:val="es-ES"/>
        </w:rPr>
      </w:pPr>
      <w:r w:rsidRPr="00F35561">
        <w:rPr>
          <w:rFonts w:ascii="Arial" w:hAnsi="Arial" w:cs="Arial"/>
          <w:b/>
          <w:bCs/>
          <w:sz w:val="22"/>
          <w:lang w:val="es-ES"/>
        </w:rPr>
        <w:t>COVID 19 – Aislamiento obligatorio – Excepciones – Resolución 080 de 2020 –</w:t>
      </w:r>
      <w:r w:rsidR="00F35561" w:rsidRPr="00F35561">
        <w:rPr>
          <w:rFonts w:ascii="Arial" w:hAnsi="Arial" w:cs="Arial"/>
          <w:b/>
          <w:bCs/>
          <w:sz w:val="22"/>
          <w:lang w:val="es-ES"/>
        </w:rPr>
        <w:t xml:space="preserve"> Modificación</w:t>
      </w:r>
    </w:p>
    <w:p w14:paraId="35350295" w14:textId="77777777" w:rsidR="006B479A" w:rsidRPr="00F35561" w:rsidRDefault="006B479A" w:rsidP="006B479A">
      <w:pPr>
        <w:jc w:val="both"/>
        <w:rPr>
          <w:rFonts w:ascii="Arial" w:hAnsi="Arial" w:cs="Arial"/>
          <w:sz w:val="20"/>
          <w:szCs w:val="20"/>
          <w:lang w:val="es-ES"/>
        </w:rPr>
      </w:pPr>
    </w:p>
    <w:p w14:paraId="36FD6378" w14:textId="268ECE18" w:rsidR="006B479A" w:rsidRPr="00F35561" w:rsidRDefault="006B479A" w:rsidP="006B479A">
      <w:pPr>
        <w:spacing w:after="120"/>
        <w:jc w:val="both"/>
        <w:rPr>
          <w:rFonts w:ascii="Arial" w:hAnsi="Arial" w:cs="Arial"/>
          <w:sz w:val="20"/>
          <w:szCs w:val="20"/>
        </w:rPr>
      </w:pPr>
      <w:r w:rsidRPr="00F35561">
        <w:rPr>
          <w:rFonts w:ascii="Arial" w:hAnsi="Arial" w:cs="Arial"/>
          <w:sz w:val="20"/>
          <w:szCs w:val="20"/>
          <w:lang w:val="es-ES_tradnl"/>
        </w:rPr>
        <w:t xml:space="preserve">[E]n los decretos 593 y 990 de 2020, así como en el 1076 del mismo año, en aras de reducir las fricciones entre la implementación de la medida de aislamiento preventivo obligatorio y la satisfacción del </w:t>
      </w:r>
      <w:r w:rsidRPr="00F35561">
        <w:rPr>
          <w:rFonts w:ascii="Arial" w:hAnsi="Arial" w:cs="Arial"/>
          <w:sz w:val="20"/>
          <w:szCs w:val="20"/>
        </w:rPr>
        <w:t>derecho a la vida, a la salud en conexidad con la vida y la supervivencia, se incluyeron una serie de excepciones dirigidas a permitir que los gobernadores y alcaldes en el marco de sus competencias, se abstuvieran de limitar el derecho a la circulación de las personas respecto de determinadas actividades.</w:t>
      </w:r>
    </w:p>
    <w:p w14:paraId="4F85457C" w14:textId="772C2BA3" w:rsidR="006B479A" w:rsidRPr="00F35561" w:rsidRDefault="006B479A" w:rsidP="006B479A">
      <w:pPr>
        <w:jc w:val="both"/>
        <w:rPr>
          <w:rFonts w:ascii="Arial" w:hAnsi="Arial" w:cs="Arial"/>
          <w:sz w:val="20"/>
          <w:szCs w:val="20"/>
          <w:lang w:val="es-ES"/>
        </w:rPr>
      </w:pPr>
      <w:r w:rsidRPr="00F35561">
        <w:rPr>
          <w:rFonts w:ascii="Arial" w:hAnsi="Arial" w:cs="Arial"/>
          <w:sz w:val="20"/>
          <w:szCs w:val="20"/>
          <w:lang w:val="es-ES"/>
        </w:rPr>
        <w:t>Lo dispuesto en los numerales 18 de los artículos 3 de los decretos 593, 990 y 1076 de 2020, en manera alguna puede entenderse como una modificación o levantamiento de la suspensión de los numerales 3.6 y 4.2.4 de los Documentos Base adoptados por las resoluciones Nos. 044 y 045 de 2020, ordenada por la Agencia Nacional de Contratación Pública – Colombia Compra Eficiente a través de la Resolución No. 080 de 2020, en la medida que tales numerales no regulan actividades del sector de la construcción sino aspectos propios de los procesos de selección licitación pública y selección abreviada de menor cuantía para la escogencia de contratistas de obra pública de infraestructura de transporte.</w:t>
      </w:r>
    </w:p>
    <w:p w14:paraId="2036CB1C" w14:textId="7E0745F4" w:rsidR="005C5B7C" w:rsidRPr="00DC7462" w:rsidRDefault="005C5B7C" w:rsidP="005C5B7C">
      <w:pPr>
        <w:jc w:val="both"/>
        <w:rPr>
          <w:rFonts w:ascii="Arial" w:eastAsia="Calibri" w:hAnsi="Arial" w:cs="Arial"/>
          <w:sz w:val="20"/>
          <w:szCs w:val="20"/>
        </w:rPr>
      </w:pPr>
    </w:p>
    <w:p w14:paraId="78139374" w14:textId="77777777" w:rsidR="00F35561" w:rsidRPr="00DC7462" w:rsidRDefault="00F35561" w:rsidP="005C5B7C">
      <w:pPr>
        <w:jc w:val="both"/>
        <w:rPr>
          <w:rFonts w:ascii="Arial" w:eastAsia="Calibri" w:hAnsi="Arial" w:cs="Arial"/>
          <w:sz w:val="20"/>
          <w:szCs w:val="20"/>
        </w:rPr>
      </w:pPr>
    </w:p>
    <w:p w14:paraId="058725D3" w14:textId="53C43634" w:rsidR="000D3EB4" w:rsidRPr="000D3EB4" w:rsidRDefault="000D3EB4" w:rsidP="000D3EB4">
      <w:pPr>
        <w:autoSpaceDE w:val="0"/>
        <w:autoSpaceDN w:val="0"/>
        <w:adjustRightInd w:val="0"/>
        <w:rPr>
          <w:rFonts w:ascii="Arial" w:hAnsi="Arial" w:cs="Arial"/>
          <w:color w:val="000000"/>
          <w:sz w:val="22"/>
          <w:lang w:val="es-CO"/>
        </w:rPr>
      </w:pPr>
      <w:bookmarkStart w:id="2" w:name="_Hlk48719092"/>
      <w:r w:rsidRPr="000D3EB4">
        <w:rPr>
          <w:rFonts w:ascii="Arial" w:hAnsi="Arial" w:cs="Arial"/>
          <w:color w:val="000000"/>
          <w:sz w:val="22"/>
          <w:lang w:val="es-CO"/>
        </w:rPr>
        <w:t xml:space="preserve">Bogotá D.C., </w:t>
      </w:r>
      <w:r w:rsidRPr="000D3EB4">
        <w:rPr>
          <w:rFonts w:ascii="Arial" w:hAnsi="Arial" w:cs="Arial"/>
          <w:b/>
          <w:bCs/>
          <w:color w:val="000000"/>
          <w:sz w:val="22"/>
          <w:lang w:val="es-CO"/>
        </w:rPr>
        <w:t xml:space="preserve">19/08/2020 Hora 8:51:2s </w:t>
      </w:r>
    </w:p>
    <w:p w14:paraId="4ED669B5" w14:textId="2CC2C95A" w:rsidR="00BE1E33" w:rsidRPr="00F35561" w:rsidRDefault="000D3EB4" w:rsidP="000D3EB4">
      <w:pPr>
        <w:jc w:val="right"/>
        <w:rPr>
          <w:rFonts w:ascii="Arial" w:eastAsia="Calibri" w:hAnsi="Arial" w:cs="Arial"/>
          <w:sz w:val="22"/>
        </w:rPr>
      </w:pPr>
      <w:proofErr w:type="spellStart"/>
      <w:r w:rsidRPr="000D3EB4">
        <w:rPr>
          <w:rFonts w:ascii="Arial" w:hAnsi="Arial" w:cs="Arial"/>
          <w:b/>
          <w:bCs/>
          <w:color w:val="000000"/>
          <w:sz w:val="22"/>
          <w:lang w:val="es-CO"/>
        </w:rPr>
        <w:t>N°</w:t>
      </w:r>
      <w:proofErr w:type="spellEnd"/>
      <w:r w:rsidRPr="000D3EB4">
        <w:rPr>
          <w:rFonts w:ascii="Arial" w:hAnsi="Arial" w:cs="Arial"/>
          <w:b/>
          <w:bCs/>
          <w:color w:val="000000"/>
          <w:sz w:val="22"/>
          <w:lang w:val="es-CO"/>
        </w:rPr>
        <w:t xml:space="preserve"> Radicado: 2202013000007602</w:t>
      </w:r>
    </w:p>
    <w:p w14:paraId="12A234ED" w14:textId="34830886" w:rsidR="00BE1E33" w:rsidRDefault="00BE1E33" w:rsidP="00BE1E33">
      <w:pPr>
        <w:rPr>
          <w:rFonts w:ascii="Arial" w:eastAsia="Calibri" w:hAnsi="Arial" w:cs="Arial"/>
          <w:sz w:val="22"/>
        </w:rPr>
      </w:pPr>
    </w:p>
    <w:p w14:paraId="73D51859" w14:textId="5EED2AF4" w:rsidR="00BE1E33" w:rsidRPr="00F35561" w:rsidRDefault="00BE1E33" w:rsidP="00BE1E33">
      <w:pPr>
        <w:rPr>
          <w:rFonts w:ascii="Arial" w:eastAsia="Calibri" w:hAnsi="Arial" w:cs="Arial"/>
          <w:sz w:val="22"/>
        </w:rPr>
      </w:pPr>
      <w:r w:rsidRPr="00F35561">
        <w:rPr>
          <w:rFonts w:ascii="Arial" w:eastAsia="Calibri" w:hAnsi="Arial" w:cs="Arial"/>
          <w:sz w:val="22"/>
        </w:rPr>
        <w:t>Señor</w:t>
      </w:r>
      <w:r w:rsidR="00C050C2" w:rsidRPr="00F35561">
        <w:rPr>
          <w:rFonts w:ascii="Arial" w:eastAsia="Calibri" w:hAnsi="Arial" w:cs="Arial"/>
          <w:sz w:val="22"/>
        </w:rPr>
        <w:t>a</w:t>
      </w:r>
    </w:p>
    <w:p w14:paraId="5D0373D3" w14:textId="54D9C586" w:rsidR="00C050C2" w:rsidRPr="00F35561" w:rsidRDefault="00C050C2" w:rsidP="00BE1E33">
      <w:pPr>
        <w:rPr>
          <w:rFonts w:ascii="Arial" w:eastAsia="Calibri" w:hAnsi="Arial" w:cs="Arial"/>
          <w:b/>
          <w:sz w:val="22"/>
        </w:rPr>
      </w:pPr>
      <w:r w:rsidRPr="00F35561">
        <w:rPr>
          <w:rFonts w:ascii="Arial" w:eastAsia="Calibri" w:hAnsi="Arial" w:cs="Arial"/>
          <w:b/>
          <w:sz w:val="22"/>
        </w:rPr>
        <w:t>Paola Barrero</w:t>
      </w:r>
    </w:p>
    <w:p w14:paraId="095BF112" w14:textId="7B1B3C81" w:rsidR="00BE1E33" w:rsidRPr="00F35561" w:rsidRDefault="00C050C2" w:rsidP="00BE1E33">
      <w:pPr>
        <w:rPr>
          <w:rFonts w:ascii="Arial" w:eastAsia="Calibri" w:hAnsi="Arial" w:cs="Arial"/>
          <w:sz w:val="22"/>
        </w:rPr>
      </w:pPr>
      <w:r w:rsidRPr="00F35561">
        <w:rPr>
          <w:rFonts w:ascii="Arial" w:hAnsi="Arial" w:cs="Arial"/>
          <w:sz w:val="22"/>
          <w:szCs w:val="20"/>
        </w:rPr>
        <w:t>Villavicencio, Meta</w:t>
      </w:r>
    </w:p>
    <w:p w14:paraId="04EF8353" w14:textId="77777777" w:rsidR="00BE1E33" w:rsidRPr="00F35561" w:rsidRDefault="00BE1E33" w:rsidP="00BE1E33">
      <w:pPr>
        <w:rPr>
          <w:rFonts w:ascii="Arial" w:eastAsia="Calibri" w:hAnsi="Arial" w:cs="Arial"/>
          <w:sz w:val="22"/>
        </w:rPr>
      </w:pPr>
    </w:p>
    <w:p w14:paraId="738DBA53" w14:textId="77777777" w:rsidR="00BE1E33" w:rsidRPr="00F35561" w:rsidRDefault="00BE1E33" w:rsidP="00BE1E33">
      <w:pPr>
        <w:rPr>
          <w:rFonts w:ascii="Arial" w:eastAsia="Calibri" w:hAnsi="Arial" w:cs="Arial"/>
          <w:sz w:val="22"/>
        </w:rPr>
      </w:pPr>
    </w:p>
    <w:p w14:paraId="5CEA4ADF" w14:textId="3915817D" w:rsidR="00BE1E33" w:rsidRPr="00F35561" w:rsidRDefault="00BE1E33" w:rsidP="00BE1E33">
      <w:pPr>
        <w:ind w:firstLine="2694"/>
        <w:rPr>
          <w:rFonts w:ascii="Arial" w:eastAsia="Calibri" w:hAnsi="Arial" w:cs="Arial"/>
          <w:b/>
          <w:sz w:val="22"/>
        </w:rPr>
      </w:pPr>
      <w:r w:rsidRPr="00F35561">
        <w:rPr>
          <w:rFonts w:ascii="Arial" w:eastAsia="Calibri" w:hAnsi="Arial" w:cs="Arial"/>
          <w:b/>
          <w:sz w:val="22"/>
        </w:rPr>
        <w:t xml:space="preserve">Concepto C </w:t>
      </w:r>
      <w:r w:rsidR="00490DBF" w:rsidRPr="00F35561">
        <w:rPr>
          <w:rFonts w:ascii="Arial" w:eastAsia="Calibri" w:hAnsi="Arial" w:cs="Arial"/>
          <w:b/>
          <w:sz w:val="22"/>
        </w:rPr>
        <w:t>–</w:t>
      </w:r>
      <w:r w:rsidRPr="00F35561">
        <w:rPr>
          <w:rFonts w:ascii="Arial" w:eastAsia="Calibri" w:hAnsi="Arial" w:cs="Arial"/>
          <w:b/>
          <w:sz w:val="22"/>
        </w:rPr>
        <w:t xml:space="preserve"> </w:t>
      </w:r>
      <w:r w:rsidR="00C050C2" w:rsidRPr="00F35561">
        <w:rPr>
          <w:rFonts w:ascii="Arial" w:eastAsia="Calibri" w:hAnsi="Arial" w:cs="Arial"/>
          <w:b/>
          <w:sz w:val="22"/>
        </w:rPr>
        <w:t>533</w:t>
      </w:r>
      <w:r w:rsidR="000100E8" w:rsidRPr="00F35561">
        <w:rPr>
          <w:rFonts w:ascii="Arial" w:eastAsia="Calibri" w:hAnsi="Arial" w:cs="Arial"/>
          <w:b/>
          <w:sz w:val="22"/>
        </w:rPr>
        <w:t xml:space="preserve"> </w:t>
      </w:r>
      <w:r w:rsidRPr="00F35561">
        <w:rPr>
          <w:rFonts w:ascii="Arial" w:eastAsia="Calibri" w:hAnsi="Arial" w:cs="Arial"/>
          <w:b/>
          <w:sz w:val="22"/>
        </w:rPr>
        <w:t>de 2020</w:t>
      </w:r>
    </w:p>
    <w:p w14:paraId="234727AD" w14:textId="77777777" w:rsidR="00BE1E33" w:rsidRPr="00F35561" w:rsidRDefault="00BE1E33" w:rsidP="00BE1E3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050C2" w:rsidRPr="00F35561" w14:paraId="2553E4F3" w14:textId="77777777" w:rsidTr="00AC43E7">
        <w:tc>
          <w:tcPr>
            <w:tcW w:w="2689" w:type="dxa"/>
            <w:hideMark/>
          </w:tcPr>
          <w:p w14:paraId="7BC9E971" w14:textId="77777777" w:rsidR="00BE1E33" w:rsidRPr="00F35561" w:rsidRDefault="00BE1E33" w:rsidP="00AC43E7">
            <w:pPr>
              <w:rPr>
                <w:rFonts w:ascii="Arial" w:eastAsia="Calibri" w:hAnsi="Arial" w:cs="Arial"/>
                <w:sz w:val="22"/>
              </w:rPr>
            </w:pPr>
            <w:r w:rsidRPr="00F35561">
              <w:rPr>
                <w:rFonts w:ascii="Arial" w:eastAsia="Calibri" w:hAnsi="Arial" w:cs="Arial"/>
                <w:b/>
                <w:sz w:val="22"/>
              </w:rPr>
              <w:t>Temas:</w:t>
            </w:r>
            <w:r w:rsidRPr="00F35561">
              <w:rPr>
                <w:rFonts w:ascii="Arial" w:eastAsia="Calibri" w:hAnsi="Arial" w:cs="Arial"/>
                <w:sz w:val="22"/>
              </w:rPr>
              <w:t xml:space="preserve">           </w:t>
            </w:r>
          </w:p>
          <w:p w14:paraId="0C0D8CD7" w14:textId="77777777" w:rsidR="00BE1E33" w:rsidRPr="00F35561" w:rsidRDefault="00BE1E33" w:rsidP="00AC43E7">
            <w:pPr>
              <w:rPr>
                <w:rFonts w:ascii="Arial" w:eastAsia="Calibri" w:hAnsi="Arial" w:cs="Arial"/>
                <w:sz w:val="22"/>
              </w:rPr>
            </w:pPr>
            <w:r w:rsidRPr="00F35561">
              <w:rPr>
                <w:rFonts w:ascii="Arial" w:eastAsia="Calibri" w:hAnsi="Arial" w:cs="Arial"/>
                <w:sz w:val="22"/>
              </w:rPr>
              <w:t xml:space="preserve">                           </w:t>
            </w:r>
          </w:p>
        </w:tc>
        <w:tc>
          <w:tcPr>
            <w:tcW w:w="6237" w:type="dxa"/>
            <w:hideMark/>
          </w:tcPr>
          <w:p w14:paraId="0F35FDBD" w14:textId="32B69F78" w:rsidR="00BE1E33" w:rsidRPr="00F35561" w:rsidRDefault="00F35561">
            <w:pPr>
              <w:jc w:val="both"/>
              <w:rPr>
                <w:rFonts w:ascii="Arial" w:eastAsia="Calibri" w:hAnsi="Arial" w:cs="Arial"/>
                <w:sz w:val="22"/>
              </w:rPr>
            </w:pPr>
            <w:r w:rsidRPr="00F35561">
              <w:rPr>
                <w:rFonts w:ascii="Arial" w:eastAsia="Calibri" w:hAnsi="Arial" w:cs="Arial"/>
                <w:sz w:val="22"/>
              </w:rPr>
              <w:t>VISITA AL SITIO DE LA OBRA – Finalidad / VISITA AL SITIO DE LA OBRA – Programación – Fecha / DOCUMENTOS TIPO – Resolución 080 de 2020 – Suspensión – Visita de obra – Garantías adicionales – Vigencia / RESOLUCIÓN 080 DE 2020 – Alcance – Vigencia / RESOLUCIÓN 080 DE 2020 – Garantía suplementaria – Suspensión – Levantamiento / COVID 19 – Aislamiento obligatorio – Excepciones – Resolución 080 de 2020 – Modificación</w:t>
            </w:r>
          </w:p>
        </w:tc>
      </w:tr>
      <w:tr w:rsidR="00BD54F6" w:rsidRPr="00F35561" w14:paraId="20F2A3B6" w14:textId="77777777" w:rsidTr="00AC43E7">
        <w:tc>
          <w:tcPr>
            <w:tcW w:w="2689" w:type="dxa"/>
          </w:tcPr>
          <w:p w14:paraId="1E82F4FA" w14:textId="77777777" w:rsidR="00BE1E33" w:rsidRPr="00F35561" w:rsidRDefault="00BE1E33" w:rsidP="00AC43E7">
            <w:pPr>
              <w:spacing w:before="120"/>
              <w:rPr>
                <w:rFonts w:ascii="Arial" w:eastAsia="Calibri" w:hAnsi="Arial" w:cs="Arial"/>
                <w:b/>
                <w:sz w:val="22"/>
              </w:rPr>
            </w:pPr>
            <w:r w:rsidRPr="00F35561">
              <w:rPr>
                <w:rFonts w:ascii="Arial" w:eastAsia="Calibri" w:hAnsi="Arial" w:cs="Arial"/>
                <w:b/>
                <w:sz w:val="22"/>
              </w:rPr>
              <w:t>Radicación:</w:t>
            </w:r>
            <w:r w:rsidRPr="00F35561">
              <w:rPr>
                <w:rFonts w:ascii="Arial" w:eastAsia="Calibri" w:hAnsi="Arial" w:cs="Arial"/>
                <w:sz w:val="22"/>
              </w:rPr>
              <w:t xml:space="preserve">                              </w:t>
            </w:r>
          </w:p>
        </w:tc>
        <w:tc>
          <w:tcPr>
            <w:tcW w:w="6237" w:type="dxa"/>
          </w:tcPr>
          <w:p w14:paraId="20FCE53A" w14:textId="15712363" w:rsidR="00BE1E33" w:rsidRPr="00F35561" w:rsidRDefault="00BE1E33" w:rsidP="00AC43E7">
            <w:pPr>
              <w:spacing w:before="120"/>
              <w:jc w:val="both"/>
              <w:rPr>
                <w:rFonts w:ascii="Arial" w:eastAsia="Calibri" w:hAnsi="Arial" w:cs="Arial"/>
                <w:sz w:val="22"/>
              </w:rPr>
            </w:pPr>
            <w:r w:rsidRPr="00F35561">
              <w:rPr>
                <w:rFonts w:ascii="Arial" w:eastAsia="Calibri" w:hAnsi="Arial" w:cs="Arial"/>
                <w:sz w:val="22"/>
              </w:rPr>
              <w:t xml:space="preserve">Respuesta a consulta </w:t>
            </w:r>
            <w:r w:rsidR="00BD54F6" w:rsidRPr="00F35561">
              <w:rPr>
                <w:rFonts w:ascii="Arial" w:eastAsia="Calibri" w:hAnsi="Arial" w:cs="Arial"/>
                <w:sz w:val="22"/>
              </w:rPr>
              <w:t>4202013000006503</w:t>
            </w:r>
          </w:p>
        </w:tc>
      </w:tr>
      <w:tr w:rsidR="00F35561" w:rsidRPr="00F35561" w14:paraId="27C2F130" w14:textId="77777777" w:rsidTr="00F35561">
        <w:trPr>
          <w:trHeight w:val="68"/>
        </w:trPr>
        <w:tc>
          <w:tcPr>
            <w:tcW w:w="2689" w:type="dxa"/>
          </w:tcPr>
          <w:p w14:paraId="2CAB0965" w14:textId="77777777" w:rsidR="00770D7D" w:rsidRPr="00F35561" w:rsidRDefault="00770D7D" w:rsidP="00AC43E7">
            <w:pPr>
              <w:spacing w:before="120"/>
              <w:rPr>
                <w:rFonts w:ascii="Arial" w:eastAsia="Calibri" w:hAnsi="Arial" w:cs="Arial"/>
                <w:b/>
                <w:sz w:val="22"/>
              </w:rPr>
            </w:pPr>
          </w:p>
        </w:tc>
        <w:tc>
          <w:tcPr>
            <w:tcW w:w="6237" w:type="dxa"/>
          </w:tcPr>
          <w:p w14:paraId="38942E59" w14:textId="77777777" w:rsidR="00770D7D" w:rsidRPr="00F35561" w:rsidRDefault="00770D7D" w:rsidP="00AC43E7">
            <w:pPr>
              <w:spacing w:before="120"/>
              <w:jc w:val="both"/>
              <w:rPr>
                <w:rFonts w:ascii="Arial" w:eastAsia="Calibri" w:hAnsi="Arial" w:cs="Arial"/>
                <w:sz w:val="22"/>
              </w:rPr>
            </w:pPr>
          </w:p>
        </w:tc>
      </w:tr>
    </w:tbl>
    <w:p w14:paraId="417ABDA8" w14:textId="2535E60B" w:rsidR="00BE1E33" w:rsidRPr="00F35561" w:rsidRDefault="00BE1E33" w:rsidP="00BE1E33">
      <w:pPr>
        <w:rPr>
          <w:rFonts w:ascii="Arial" w:eastAsia="Calibri" w:hAnsi="Arial" w:cs="Arial"/>
          <w:sz w:val="22"/>
        </w:rPr>
      </w:pPr>
      <w:r w:rsidRPr="00F35561">
        <w:rPr>
          <w:rFonts w:ascii="Arial" w:eastAsia="Calibri" w:hAnsi="Arial" w:cs="Arial"/>
          <w:sz w:val="22"/>
        </w:rPr>
        <w:lastRenderedPageBreak/>
        <w:t>Estimad</w:t>
      </w:r>
      <w:r w:rsidR="00BD54F6" w:rsidRPr="00F35561">
        <w:rPr>
          <w:rFonts w:ascii="Arial" w:eastAsia="Calibri" w:hAnsi="Arial" w:cs="Arial"/>
          <w:sz w:val="22"/>
        </w:rPr>
        <w:t>a</w:t>
      </w:r>
      <w:r w:rsidR="009C27A9" w:rsidRPr="00F35561">
        <w:rPr>
          <w:rFonts w:ascii="Arial" w:eastAsia="Calibri" w:hAnsi="Arial" w:cs="Arial"/>
          <w:sz w:val="22"/>
        </w:rPr>
        <w:t xml:space="preserve"> </w:t>
      </w:r>
      <w:r w:rsidRPr="00F35561">
        <w:rPr>
          <w:rFonts w:ascii="Arial" w:eastAsia="Calibri" w:hAnsi="Arial" w:cs="Arial"/>
          <w:sz w:val="22"/>
        </w:rPr>
        <w:t>señor</w:t>
      </w:r>
      <w:r w:rsidR="00BD54F6" w:rsidRPr="00F35561">
        <w:rPr>
          <w:rFonts w:ascii="Arial" w:eastAsia="Calibri" w:hAnsi="Arial" w:cs="Arial"/>
          <w:sz w:val="22"/>
        </w:rPr>
        <w:t>a</w:t>
      </w:r>
      <w:r w:rsidRPr="00F35561">
        <w:rPr>
          <w:rFonts w:ascii="Arial" w:eastAsia="Calibri" w:hAnsi="Arial" w:cs="Arial"/>
          <w:sz w:val="22"/>
        </w:rPr>
        <w:t xml:space="preserve"> </w:t>
      </w:r>
      <w:r w:rsidR="00BD54F6" w:rsidRPr="00F35561">
        <w:rPr>
          <w:rFonts w:ascii="Arial" w:eastAsia="Calibri" w:hAnsi="Arial" w:cs="Arial"/>
          <w:sz w:val="22"/>
        </w:rPr>
        <w:t>Barrero</w:t>
      </w:r>
      <w:r w:rsidRPr="00F35561">
        <w:rPr>
          <w:rFonts w:ascii="Arial" w:eastAsia="Calibri" w:hAnsi="Arial" w:cs="Arial"/>
          <w:sz w:val="22"/>
        </w:rPr>
        <w:t>:</w:t>
      </w:r>
    </w:p>
    <w:p w14:paraId="1CCABABD" w14:textId="77777777" w:rsidR="00BE1E33" w:rsidRPr="00F35561" w:rsidRDefault="00BE1E33" w:rsidP="00BE1E33">
      <w:pPr>
        <w:rPr>
          <w:rFonts w:ascii="Arial" w:eastAsia="Calibri" w:hAnsi="Arial" w:cs="Arial"/>
          <w:sz w:val="22"/>
        </w:rPr>
      </w:pPr>
    </w:p>
    <w:p w14:paraId="286A9CEF" w14:textId="03FDBEC6" w:rsidR="00BE1E33" w:rsidRPr="00F35561" w:rsidRDefault="00BE1E33" w:rsidP="00BE1E33">
      <w:pPr>
        <w:spacing w:line="276" w:lineRule="auto"/>
        <w:jc w:val="both"/>
        <w:rPr>
          <w:rFonts w:ascii="Arial" w:eastAsia="Calibri" w:hAnsi="Arial" w:cs="Arial"/>
          <w:sz w:val="22"/>
        </w:rPr>
      </w:pPr>
      <w:r w:rsidRPr="00F35561">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BD54F6" w:rsidRPr="00F35561">
        <w:rPr>
          <w:rFonts w:ascii="Arial" w:eastAsia="Calibri" w:hAnsi="Arial" w:cs="Arial"/>
          <w:sz w:val="22"/>
        </w:rPr>
        <w:t>31</w:t>
      </w:r>
      <w:r w:rsidR="00FC1567" w:rsidRPr="00F35561">
        <w:rPr>
          <w:rFonts w:ascii="Arial" w:eastAsia="Calibri" w:hAnsi="Arial" w:cs="Arial"/>
          <w:sz w:val="22"/>
        </w:rPr>
        <w:t xml:space="preserve"> de ju</w:t>
      </w:r>
      <w:r w:rsidR="00A24499" w:rsidRPr="00F35561">
        <w:rPr>
          <w:rFonts w:ascii="Arial" w:eastAsia="Calibri" w:hAnsi="Arial" w:cs="Arial"/>
          <w:sz w:val="22"/>
        </w:rPr>
        <w:t>l</w:t>
      </w:r>
      <w:r w:rsidR="00FC1567" w:rsidRPr="00F35561">
        <w:rPr>
          <w:rFonts w:ascii="Arial" w:eastAsia="Calibri" w:hAnsi="Arial" w:cs="Arial"/>
          <w:sz w:val="22"/>
        </w:rPr>
        <w:t>io</w:t>
      </w:r>
      <w:r w:rsidRPr="00F35561">
        <w:rPr>
          <w:rFonts w:ascii="Arial" w:eastAsia="Calibri" w:hAnsi="Arial" w:cs="Arial"/>
          <w:sz w:val="22"/>
        </w:rPr>
        <w:t xml:space="preserve"> de 2020. </w:t>
      </w:r>
    </w:p>
    <w:p w14:paraId="1D13401D" w14:textId="77777777" w:rsidR="00BE1E33" w:rsidRPr="00F35561" w:rsidRDefault="00BE1E33" w:rsidP="00BE1E33">
      <w:pPr>
        <w:spacing w:line="276" w:lineRule="auto"/>
        <w:jc w:val="both"/>
        <w:rPr>
          <w:rFonts w:ascii="Arial" w:eastAsia="Calibri" w:hAnsi="Arial" w:cs="Arial"/>
          <w:sz w:val="22"/>
        </w:rPr>
      </w:pPr>
    </w:p>
    <w:p w14:paraId="068F505C" w14:textId="77777777" w:rsidR="00BE1E33" w:rsidRPr="00F35561" w:rsidRDefault="00BE1E33" w:rsidP="00BE1E33">
      <w:pPr>
        <w:pStyle w:val="Prrafodelista"/>
        <w:numPr>
          <w:ilvl w:val="0"/>
          <w:numId w:val="1"/>
        </w:numPr>
        <w:tabs>
          <w:tab w:val="left" w:pos="284"/>
        </w:tabs>
        <w:spacing w:line="276" w:lineRule="auto"/>
        <w:ind w:left="0" w:firstLine="0"/>
        <w:jc w:val="both"/>
        <w:rPr>
          <w:rFonts w:ascii="Arial" w:eastAsia="Calibri" w:hAnsi="Arial" w:cs="Arial"/>
          <w:b/>
          <w:sz w:val="22"/>
        </w:rPr>
      </w:pPr>
      <w:r w:rsidRPr="00F35561">
        <w:rPr>
          <w:rFonts w:ascii="Arial" w:eastAsia="Calibri" w:hAnsi="Arial" w:cs="Arial"/>
          <w:b/>
          <w:sz w:val="22"/>
        </w:rPr>
        <w:t xml:space="preserve">Problemas planteados </w:t>
      </w:r>
    </w:p>
    <w:p w14:paraId="430A9943" w14:textId="77777777" w:rsidR="00BE1E33" w:rsidRPr="00F35561" w:rsidRDefault="00BE1E33" w:rsidP="00BE1E33">
      <w:pPr>
        <w:tabs>
          <w:tab w:val="left" w:pos="426"/>
        </w:tabs>
        <w:spacing w:line="276" w:lineRule="auto"/>
        <w:jc w:val="both"/>
        <w:rPr>
          <w:rFonts w:ascii="Arial" w:eastAsia="Calibri" w:hAnsi="Arial" w:cs="Arial"/>
          <w:b/>
          <w:sz w:val="22"/>
        </w:rPr>
      </w:pPr>
    </w:p>
    <w:p w14:paraId="3F39E90B" w14:textId="5C1CF14A" w:rsidR="00C66B67" w:rsidRPr="00F35561" w:rsidRDefault="00C66B67" w:rsidP="00C66B67">
      <w:pPr>
        <w:tabs>
          <w:tab w:val="left" w:pos="709"/>
        </w:tabs>
        <w:spacing w:after="120" w:line="276" w:lineRule="auto"/>
        <w:jc w:val="both"/>
        <w:rPr>
          <w:rFonts w:ascii="Arial" w:eastAsia="Calibri" w:hAnsi="Arial" w:cs="Arial"/>
          <w:sz w:val="22"/>
        </w:rPr>
      </w:pPr>
      <w:r w:rsidRPr="00F35561">
        <w:rPr>
          <w:rFonts w:ascii="Arial" w:eastAsia="Calibri" w:hAnsi="Arial" w:cs="Arial"/>
          <w:sz w:val="22"/>
        </w:rPr>
        <w:t xml:space="preserve">En su petición se refiere a la suspensión decretada por el Articulo 1 de la Resolución No. 080 de 2020, respecto del numeral 3.6 de los </w:t>
      </w:r>
      <w:r w:rsidR="000725F9" w:rsidRPr="00F35561">
        <w:rPr>
          <w:rFonts w:ascii="Arial" w:eastAsia="Calibri" w:hAnsi="Arial" w:cs="Arial"/>
          <w:sz w:val="22"/>
        </w:rPr>
        <w:t xml:space="preserve">documentos base </w:t>
      </w:r>
      <w:r w:rsidRPr="00F35561">
        <w:rPr>
          <w:rFonts w:ascii="Arial" w:eastAsia="Calibri" w:hAnsi="Arial" w:cs="Arial"/>
          <w:sz w:val="22"/>
        </w:rPr>
        <w:t>implementados por la Resoluciones No. 044 y 045 de 2020, con vigencia «</w:t>
      </w:r>
      <w:r w:rsidR="004D7C02">
        <w:rPr>
          <w:rFonts w:ascii="Arial" w:eastAsia="Calibri" w:hAnsi="Arial" w:cs="Arial"/>
          <w:sz w:val="22"/>
        </w:rPr>
        <w:t xml:space="preserve">[…] </w:t>
      </w:r>
      <w:r w:rsidRPr="00F35561">
        <w:rPr>
          <w:rFonts w:ascii="Arial" w:eastAsia="Calibri" w:hAnsi="Arial" w:cs="Arial"/>
          <w:sz w:val="22"/>
        </w:rPr>
        <w:t xml:space="preserve">mientras el </w:t>
      </w:r>
      <w:proofErr w:type="gramStart"/>
      <w:r w:rsidRPr="00F35561">
        <w:rPr>
          <w:rFonts w:ascii="Arial" w:eastAsia="Calibri" w:hAnsi="Arial" w:cs="Arial"/>
          <w:sz w:val="22"/>
        </w:rPr>
        <w:t>Presidente</w:t>
      </w:r>
      <w:proofErr w:type="gramEnd"/>
      <w:r w:rsidRPr="00F35561">
        <w:rPr>
          <w:rFonts w:ascii="Arial" w:eastAsia="Calibri" w:hAnsi="Arial" w:cs="Arial"/>
          <w:sz w:val="22"/>
        </w:rPr>
        <w:t xml:space="preserve"> de la República conserve la medida de aislamiento preventivo obligatorio, prevista en el numeral Decreto 457 del 26</w:t>
      </w:r>
      <w:r w:rsidR="000725F9">
        <w:rPr>
          <w:rFonts w:ascii="Arial" w:eastAsia="Calibri" w:hAnsi="Arial" w:cs="Arial"/>
          <w:sz w:val="22"/>
        </w:rPr>
        <w:t xml:space="preserve"> </w:t>
      </w:r>
      <w:r w:rsidRPr="00F35561">
        <w:rPr>
          <w:rFonts w:ascii="Arial" w:eastAsia="Calibri" w:hAnsi="Arial" w:cs="Arial"/>
          <w:sz w:val="22"/>
        </w:rPr>
        <w:t>de marzo de 2020 o la norma que lo modifique</w:t>
      </w:r>
      <w:r w:rsidR="004D7C02">
        <w:rPr>
          <w:rFonts w:ascii="Arial" w:eastAsia="Calibri" w:hAnsi="Arial" w:cs="Arial"/>
          <w:sz w:val="22"/>
        </w:rPr>
        <w:t xml:space="preserve"> […]</w:t>
      </w:r>
      <w:r w:rsidRPr="00F35561">
        <w:rPr>
          <w:rFonts w:ascii="Arial" w:eastAsia="Calibri" w:hAnsi="Arial" w:cs="Arial"/>
          <w:sz w:val="22"/>
        </w:rPr>
        <w:t xml:space="preserve">». En ese contexto, se refiere </w:t>
      </w:r>
      <w:r w:rsidR="004D7C02">
        <w:rPr>
          <w:rFonts w:ascii="Arial" w:eastAsia="Calibri" w:hAnsi="Arial" w:cs="Arial"/>
          <w:sz w:val="22"/>
        </w:rPr>
        <w:t>al</w:t>
      </w:r>
      <w:r w:rsidRPr="00F35561">
        <w:rPr>
          <w:rFonts w:ascii="Arial" w:eastAsia="Calibri" w:hAnsi="Arial" w:cs="Arial"/>
          <w:sz w:val="22"/>
        </w:rPr>
        <w:t xml:space="preserve"> artículo 3</w:t>
      </w:r>
      <w:r w:rsidR="004D7C02">
        <w:rPr>
          <w:rFonts w:ascii="Arial" w:eastAsia="Calibri" w:hAnsi="Arial" w:cs="Arial"/>
          <w:sz w:val="22"/>
        </w:rPr>
        <w:t>.18</w:t>
      </w:r>
      <w:r w:rsidRPr="00F35561">
        <w:rPr>
          <w:rFonts w:ascii="Arial" w:eastAsia="Calibri" w:hAnsi="Arial" w:cs="Arial"/>
          <w:sz w:val="22"/>
        </w:rPr>
        <w:t xml:space="preserve"> de los Decretos 593 y 990 de 2020, </w:t>
      </w:r>
      <w:r w:rsidR="00647E75">
        <w:rPr>
          <w:rFonts w:ascii="Arial" w:eastAsia="Calibri" w:hAnsi="Arial" w:cs="Arial"/>
          <w:sz w:val="22"/>
        </w:rPr>
        <w:t>indagando sobre la</w:t>
      </w:r>
      <w:r w:rsidRPr="00F35561">
        <w:rPr>
          <w:rFonts w:ascii="Arial" w:eastAsia="Calibri" w:hAnsi="Arial" w:cs="Arial"/>
          <w:sz w:val="22"/>
        </w:rPr>
        <w:t xml:space="preserve"> posible modificación de la Resolución No. 080 de 2020.</w:t>
      </w:r>
    </w:p>
    <w:p w14:paraId="1EBED483" w14:textId="7B8FD582" w:rsidR="00185441" w:rsidRPr="00F35561" w:rsidRDefault="00C66B67" w:rsidP="00C66B67">
      <w:pPr>
        <w:tabs>
          <w:tab w:val="left" w:pos="709"/>
        </w:tabs>
        <w:spacing w:line="276" w:lineRule="auto"/>
        <w:jc w:val="both"/>
        <w:rPr>
          <w:rFonts w:ascii="Arial" w:eastAsia="Calibri" w:hAnsi="Arial" w:cs="Arial"/>
          <w:sz w:val="22"/>
        </w:rPr>
      </w:pPr>
      <w:r w:rsidRPr="00F35561">
        <w:rPr>
          <w:rFonts w:ascii="Arial" w:eastAsia="Calibri" w:hAnsi="Arial" w:cs="Arial"/>
          <w:sz w:val="22"/>
        </w:rPr>
        <w:tab/>
        <w:t xml:space="preserve">Conforme a lo anterior, </w:t>
      </w:r>
      <w:r w:rsidR="00712471">
        <w:rPr>
          <w:rFonts w:ascii="Arial" w:eastAsia="Calibri" w:hAnsi="Arial" w:cs="Arial"/>
          <w:sz w:val="22"/>
        </w:rPr>
        <w:t>realiza las siguientes preguntas</w:t>
      </w:r>
      <w:r w:rsidRPr="00F35561">
        <w:rPr>
          <w:rFonts w:ascii="Arial" w:eastAsia="Calibri" w:hAnsi="Arial" w:cs="Arial"/>
          <w:sz w:val="22"/>
        </w:rPr>
        <w:t>: i) ¿</w:t>
      </w:r>
      <w:r w:rsidR="00510E95">
        <w:rPr>
          <w:rFonts w:ascii="Arial" w:eastAsia="Calibri" w:hAnsi="Arial" w:cs="Arial"/>
          <w:sz w:val="22"/>
        </w:rPr>
        <w:t xml:space="preserve">para efectos de </w:t>
      </w:r>
      <w:r w:rsidR="00510E95" w:rsidRPr="00F35561">
        <w:rPr>
          <w:rFonts w:ascii="Arial" w:eastAsia="Calibri" w:hAnsi="Arial" w:cs="Arial"/>
          <w:sz w:val="22"/>
        </w:rPr>
        <w:t>la suspensión del numeral 3.6 del Documento Base decretada por la Resolución No. 080 de 2020</w:t>
      </w:r>
      <w:r w:rsidR="00510E95">
        <w:rPr>
          <w:rFonts w:ascii="Arial" w:eastAsia="Calibri" w:hAnsi="Arial" w:cs="Arial"/>
          <w:sz w:val="22"/>
        </w:rPr>
        <w:t xml:space="preserve">, </w:t>
      </w:r>
      <w:r w:rsidRPr="00F35561">
        <w:rPr>
          <w:rFonts w:ascii="Arial" w:eastAsia="Calibri" w:hAnsi="Arial" w:cs="Arial"/>
          <w:sz w:val="22"/>
        </w:rPr>
        <w:t xml:space="preserve">la medida de aislamiento preventivo obligatorio dispuesta por el Decreto 457 de 2020 </w:t>
      </w:r>
      <w:r w:rsidR="00712471">
        <w:rPr>
          <w:rFonts w:ascii="Arial" w:eastAsia="Calibri" w:hAnsi="Arial" w:cs="Arial"/>
          <w:sz w:val="22"/>
        </w:rPr>
        <w:t>e</w:t>
      </w:r>
      <w:r w:rsidR="00712471" w:rsidRPr="00F35561">
        <w:rPr>
          <w:rFonts w:ascii="Arial" w:eastAsia="Calibri" w:hAnsi="Arial" w:cs="Arial"/>
          <w:sz w:val="22"/>
        </w:rPr>
        <w:t>st</w:t>
      </w:r>
      <w:r w:rsidR="00712471">
        <w:rPr>
          <w:rFonts w:ascii="Arial" w:eastAsia="Calibri" w:hAnsi="Arial" w:cs="Arial"/>
          <w:sz w:val="22"/>
        </w:rPr>
        <w:t>á</w:t>
      </w:r>
      <w:r w:rsidR="00712471" w:rsidRPr="00F35561">
        <w:rPr>
          <w:rFonts w:ascii="Arial" w:eastAsia="Calibri" w:hAnsi="Arial" w:cs="Arial"/>
          <w:sz w:val="22"/>
        </w:rPr>
        <w:t xml:space="preserve"> vigente</w:t>
      </w:r>
      <w:r w:rsidRPr="00F35561">
        <w:rPr>
          <w:rFonts w:ascii="Arial" w:eastAsia="Calibri" w:hAnsi="Arial" w:cs="Arial"/>
          <w:sz w:val="22"/>
        </w:rPr>
        <w:t>?</w:t>
      </w:r>
      <w:r w:rsidR="00510E95">
        <w:rPr>
          <w:rFonts w:ascii="Arial" w:eastAsia="Calibri" w:hAnsi="Arial" w:cs="Arial"/>
          <w:sz w:val="22"/>
        </w:rPr>
        <w:t>,</w:t>
      </w:r>
      <w:r w:rsidRPr="00F35561">
        <w:rPr>
          <w:rFonts w:ascii="Arial" w:eastAsia="Calibri" w:hAnsi="Arial" w:cs="Arial"/>
          <w:sz w:val="22"/>
        </w:rPr>
        <w:t xml:space="preserve"> y </w:t>
      </w:r>
      <w:proofErr w:type="spellStart"/>
      <w:r w:rsidRPr="00F35561">
        <w:rPr>
          <w:rFonts w:ascii="Arial" w:eastAsia="Calibri" w:hAnsi="Arial" w:cs="Arial"/>
          <w:sz w:val="22"/>
        </w:rPr>
        <w:t>ii</w:t>
      </w:r>
      <w:proofErr w:type="spellEnd"/>
      <w:r w:rsidRPr="00F35561">
        <w:rPr>
          <w:rFonts w:ascii="Arial" w:eastAsia="Calibri" w:hAnsi="Arial" w:cs="Arial"/>
          <w:sz w:val="22"/>
        </w:rPr>
        <w:t>) ¿</w:t>
      </w:r>
      <w:r w:rsidR="00510E95">
        <w:rPr>
          <w:rFonts w:ascii="Arial" w:eastAsia="Calibri" w:hAnsi="Arial" w:cs="Arial"/>
          <w:sz w:val="22"/>
        </w:rPr>
        <w:t>el</w:t>
      </w:r>
      <w:r w:rsidRPr="00F35561">
        <w:rPr>
          <w:rFonts w:ascii="Arial" w:eastAsia="Calibri" w:hAnsi="Arial" w:cs="Arial"/>
          <w:sz w:val="22"/>
        </w:rPr>
        <w:t xml:space="preserve"> artículo 3</w:t>
      </w:r>
      <w:r w:rsidR="00510E95">
        <w:rPr>
          <w:rFonts w:ascii="Arial" w:eastAsia="Calibri" w:hAnsi="Arial" w:cs="Arial"/>
          <w:sz w:val="22"/>
        </w:rPr>
        <w:t>.18</w:t>
      </w:r>
      <w:r w:rsidRPr="00F35561">
        <w:rPr>
          <w:rFonts w:ascii="Arial" w:eastAsia="Calibri" w:hAnsi="Arial" w:cs="Arial"/>
          <w:sz w:val="22"/>
        </w:rPr>
        <w:t xml:space="preserve"> de los Decretos 593 y 990 de 2020 modifica la Resolución No. 080 de 2020</w:t>
      </w:r>
      <w:r w:rsidR="00BD58D8" w:rsidRPr="00F35561">
        <w:rPr>
          <w:rFonts w:ascii="Arial" w:eastAsia="Calibri" w:hAnsi="Arial" w:cs="Arial"/>
          <w:sz w:val="22"/>
        </w:rPr>
        <w:t>?</w:t>
      </w:r>
    </w:p>
    <w:p w14:paraId="26839495" w14:textId="77777777" w:rsidR="00C66B67" w:rsidRPr="00F35561" w:rsidRDefault="00C66B67" w:rsidP="00C66B67">
      <w:pPr>
        <w:tabs>
          <w:tab w:val="left" w:pos="709"/>
        </w:tabs>
        <w:spacing w:line="276" w:lineRule="auto"/>
        <w:jc w:val="both"/>
        <w:rPr>
          <w:rFonts w:ascii="Arial" w:eastAsia="Calibri" w:hAnsi="Arial" w:cs="Arial"/>
          <w:sz w:val="22"/>
        </w:rPr>
      </w:pPr>
    </w:p>
    <w:p w14:paraId="000CB06F" w14:textId="77777777" w:rsidR="00BE1E33" w:rsidRPr="00F35561"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rPr>
      </w:pPr>
      <w:r w:rsidRPr="00F35561">
        <w:rPr>
          <w:rFonts w:ascii="Arial" w:eastAsia="Calibri" w:hAnsi="Arial" w:cs="Arial"/>
          <w:b/>
          <w:sz w:val="22"/>
        </w:rPr>
        <w:t>Consideraciones</w:t>
      </w:r>
    </w:p>
    <w:p w14:paraId="3D1B023B" w14:textId="77777777" w:rsidR="00EA3892" w:rsidRPr="00F35561" w:rsidRDefault="00EA3892" w:rsidP="00EA3892">
      <w:pPr>
        <w:spacing w:line="276" w:lineRule="auto"/>
        <w:jc w:val="both"/>
        <w:rPr>
          <w:rFonts w:ascii="Arial" w:eastAsia="Calibri" w:hAnsi="Arial" w:cs="Arial"/>
          <w:sz w:val="22"/>
        </w:rPr>
      </w:pPr>
    </w:p>
    <w:p w14:paraId="4BE34C86" w14:textId="57FEC38D" w:rsidR="00FC1567" w:rsidRPr="00F35561" w:rsidRDefault="00BB5B0E" w:rsidP="00FC1567">
      <w:pPr>
        <w:spacing w:after="120" w:line="276" w:lineRule="auto"/>
        <w:jc w:val="both"/>
        <w:rPr>
          <w:rFonts w:ascii="Arial" w:eastAsia="Calibri" w:hAnsi="Arial" w:cs="Arial"/>
          <w:sz w:val="22"/>
        </w:rPr>
      </w:pPr>
      <w:r w:rsidRPr="00F35561">
        <w:rPr>
          <w:rFonts w:ascii="Arial" w:eastAsia="Calibri" w:hAnsi="Arial" w:cs="Arial"/>
          <w:sz w:val="22"/>
        </w:rPr>
        <w:t xml:space="preserve">Para responder </w:t>
      </w:r>
      <w:r w:rsidR="008A1950" w:rsidRPr="00F35561">
        <w:rPr>
          <w:rFonts w:ascii="Arial" w:eastAsia="Calibri" w:hAnsi="Arial" w:cs="Arial"/>
          <w:sz w:val="22"/>
        </w:rPr>
        <w:t>los</w:t>
      </w:r>
      <w:r w:rsidRPr="00F35561">
        <w:rPr>
          <w:rFonts w:ascii="Arial" w:eastAsia="Calibri" w:hAnsi="Arial" w:cs="Arial"/>
          <w:sz w:val="22"/>
        </w:rPr>
        <w:t xml:space="preserve"> </w:t>
      </w:r>
      <w:r w:rsidR="00EA3892" w:rsidRPr="00F35561">
        <w:rPr>
          <w:rFonts w:ascii="Arial" w:eastAsia="Calibri" w:hAnsi="Arial" w:cs="Arial"/>
          <w:sz w:val="22"/>
        </w:rPr>
        <w:t>interrogante</w:t>
      </w:r>
      <w:r w:rsidR="008A1950" w:rsidRPr="00F35561">
        <w:rPr>
          <w:rFonts w:ascii="Arial" w:eastAsia="Calibri" w:hAnsi="Arial" w:cs="Arial"/>
          <w:sz w:val="22"/>
        </w:rPr>
        <w:t>s</w:t>
      </w:r>
      <w:r w:rsidR="00EA3892" w:rsidRPr="00F35561">
        <w:rPr>
          <w:rFonts w:ascii="Arial" w:eastAsia="Calibri" w:hAnsi="Arial" w:cs="Arial"/>
          <w:sz w:val="22"/>
        </w:rPr>
        <w:t xml:space="preserve"> </w:t>
      </w:r>
      <w:r w:rsidRPr="00F35561">
        <w:rPr>
          <w:rFonts w:ascii="Arial" w:eastAsia="Calibri" w:hAnsi="Arial" w:cs="Arial"/>
          <w:sz w:val="22"/>
        </w:rPr>
        <w:t>plantead</w:t>
      </w:r>
      <w:r w:rsidR="00EA3892" w:rsidRPr="00F35561">
        <w:rPr>
          <w:rFonts w:ascii="Arial" w:eastAsia="Calibri" w:hAnsi="Arial" w:cs="Arial"/>
          <w:sz w:val="22"/>
        </w:rPr>
        <w:t>o</w:t>
      </w:r>
      <w:r w:rsidR="008A1950" w:rsidRPr="00F35561">
        <w:rPr>
          <w:rFonts w:ascii="Arial" w:eastAsia="Calibri" w:hAnsi="Arial" w:cs="Arial"/>
          <w:sz w:val="22"/>
        </w:rPr>
        <w:t>s</w:t>
      </w:r>
      <w:r w:rsidRPr="00F35561">
        <w:rPr>
          <w:rFonts w:ascii="Arial" w:eastAsia="Calibri" w:hAnsi="Arial" w:cs="Arial"/>
          <w:sz w:val="22"/>
        </w:rPr>
        <w:t>, se analizarán los siguientes temas: i)</w:t>
      </w:r>
      <w:r w:rsidR="008A1950" w:rsidRPr="00F35561">
        <w:rPr>
          <w:rFonts w:ascii="Arial" w:eastAsia="Calibri" w:hAnsi="Arial" w:cs="Arial"/>
          <w:sz w:val="22"/>
        </w:rPr>
        <w:t xml:space="preserve"> </w:t>
      </w:r>
      <w:r w:rsidR="00510E95">
        <w:rPr>
          <w:rFonts w:ascii="Arial" w:eastAsia="Calibri" w:hAnsi="Arial" w:cs="Arial"/>
          <w:sz w:val="22"/>
        </w:rPr>
        <w:t>v</w:t>
      </w:r>
      <w:r w:rsidR="008A1950" w:rsidRPr="00F35561">
        <w:rPr>
          <w:rFonts w:ascii="Arial" w:eastAsia="Calibri" w:hAnsi="Arial" w:cs="Arial"/>
          <w:sz w:val="22"/>
        </w:rPr>
        <w:t>isita al sitio de la obra en los documentos tipo</w:t>
      </w:r>
      <w:r w:rsidRPr="00F35561">
        <w:rPr>
          <w:rFonts w:ascii="Arial" w:eastAsia="Calibri" w:hAnsi="Arial" w:cs="Arial"/>
          <w:sz w:val="22"/>
        </w:rPr>
        <w:t xml:space="preserve">, </w:t>
      </w:r>
      <w:r w:rsidR="008A1950" w:rsidRPr="00F35561">
        <w:rPr>
          <w:rFonts w:ascii="Arial" w:eastAsia="Calibri" w:hAnsi="Arial" w:cs="Arial"/>
          <w:sz w:val="22"/>
        </w:rPr>
        <w:t xml:space="preserve">y </w:t>
      </w:r>
      <w:proofErr w:type="spellStart"/>
      <w:r w:rsidRPr="00F35561">
        <w:rPr>
          <w:rFonts w:ascii="Arial" w:eastAsia="Calibri" w:hAnsi="Arial" w:cs="Arial"/>
          <w:sz w:val="22"/>
        </w:rPr>
        <w:t>ii</w:t>
      </w:r>
      <w:proofErr w:type="spellEnd"/>
      <w:r w:rsidRPr="00F35561">
        <w:rPr>
          <w:rFonts w:ascii="Arial" w:eastAsia="Calibri" w:hAnsi="Arial" w:cs="Arial"/>
          <w:sz w:val="22"/>
        </w:rPr>
        <w:t xml:space="preserve">) </w:t>
      </w:r>
      <w:r w:rsidR="006B479A" w:rsidRPr="00F35561">
        <w:rPr>
          <w:rFonts w:ascii="Arial" w:eastAsia="Calibri" w:hAnsi="Arial" w:cs="Arial"/>
          <w:sz w:val="22"/>
        </w:rPr>
        <w:t>el aislamiento preventivo obligatorio y la Resolución No. 080 de 2020.</w:t>
      </w:r>
    </w:p>
    <w:p w14:paraId="4B69D79E" w14:textId="19D6C300" w:rsidR="00747898" w:rsidRPr="00F35561" w:rsidRDefault="008A1950" w:rsidP="00B51FA2">
      <w:pPr>
        <w:tabs>
          <w:tab w:val="left" w:pos="426"/>
        </w:tabs>
        <w:spacing w:line="276" w:lineRule="auto"/>
        <w:jc w:val="both"/>
        <w:rPr>
          <w:lang w:val="es-ES_tradnl"/>
        </w:rPr>
      </w:pPr>
      <w:r w:rsidRPr="00F35561">
        <w:rPr>
          <w:rFonts w:ascii="Arial" w:eastAsia="Calibri" w:hAnsi="Arial" w:cs="Arial"/>
          <w:bCs/>
          <w:sz w:val="22"/>
        </w:rPr>
        <w:tab/>
      </w:r>
      <w:r w:rsidRPr="00F35561">
        <w:rPr>
          <w:rFonts w:ascii="Arial" w:eastAsia="Calibri" w:hAnsi="Arial" w:cs="Arial"/>
          <w:bCs/>
          <w:sz w:val="22"/>
        </w:rPr>
        <w:tab/>
        <w:t>La Agencia Nacional de Contratación Pública – Colombia Compra Eficiente se refirió a la visita al sitio de la obra en los conceptos C-240 del 16 de abril de 2020, C-277 del 26 de mayo de 2020, C-363 del 23 de junio de 2020, C-476 del 24 de julio de 2020, C-505 del 28 de julio de 2020, en los que se estudiaron las particularidades de este requisito habilitante incluido en la «Documentos Base</w:t>
      </w:r>
      <w:r w:rsidR="00510E95">
        <w:rPr>
          <w:rFonts w:ascii="Arial" w:eastAsia="Calibri" w:hAnsi="Arial" w:cs="Arial"/>
          <w:bCs/>
          <w:sz w:val="22"/>
        </w:rPr>
        <w:t xml:space="preserve"> </w:t>
      </w:r>
      <w:r w:rsidR="00510E95" w:rsidRPr="00F35561">
        <w:rPr>
          <w:rFonts w:ascii="Arial" w:eastAsia="Calibri" w:hAnsi="Arial" w:cs="Arial"/>
          <w:bCs/>
          <w:sz w:val="22"/>
        </w:rPr>
        <w:t>–</w:t>
      </w:r>
      <w:r w:rsidR="00510E95">
        <w:rPr>
          <w:rFonts w:ascii="Arial" w:eastAsia="Calibri" w:hAnsi="Arial" w:cs="Arial"/>
          <w:bCs/>
          <w:sz w:val="22"/>
        </w:rPr>
        <w:t xml:space="preserve"> </w:t>
      </w:r>
      <w:r w:rsidR="00510E95" w:rsidRPr="00F35561">
        <w:rPr>
          <w:rFonts w:ascii="Arial" w:eastAsia="Calibri" w:hAnsi="Arial" w:cs="Arial"/>
          <w:bCs/>
          <w:sz w:val="22"/>
        </w:rPr>
        <w:t>Versión 2</w:t>
      </w:r>
      <w:r w:rsidRPr="00F35561">
        <w:rPr>
          <w:rFonts w:ascii="Arial" w:eastAsia="Calibri" w:hAnsi="Arial" w:cs="Arial"/>
          <w:bCs/>
          <w:sz w:val="22"/>
        </w:rPr>
        <w:t xml:space="preserve">» para los procesos de licitación </w:t>
      </w:r>
      <w:r w:rsidR="00510E95">
        <w:rPr>
          <w:rFonts w:ascii="Arial" w:eastAsia="Calibri" w:hAnsi="Arial" w:cs="Arial"/>
          <w:bCs/>
          <w:sz w:val="22"/>
        </w:rPr>
        <w:t>–</w:t>
      </w:r>
      <w:r w:rsidRPr="00F35561">
        <w:rPr>
          <w:rFonts w:ascii="Arial" w:eastAsia="Calibri" w:hAnsi="Arial" w:cs="Arial"/>
          <w:bCs/>
          <w:sz w:val="22"/>
        </w:rPr>
        <w:t xml:space="preserve">Resolución No. 045 de 2020– y selección abreviada de menor cuantía para obra pública de infraestructura de transporte –Resolución 044 de 2020–. </w:t>
      </w:r>
      <w:r w:rsidR="00510E95" w:rsidRPr="00F35561">
        <w:rPr>
          <w:rFonts w:ascii="Arial" w:eastAsia="Calibri" w:hAnsi="Arial" w:cs="Arial"/>
          <w:sz w:val="22"/>
        </w:rPr>
        <w:t xml:space="preserve">De otra parte, esta </w:t>
      </w:r>
      <w:r w:rsidR="00510E95" w:rsidRPr="00F35561">
        <w:rPr>
          <w:rFonts w:ascii="Arial" w:hAnsi="Arial" w:cs="Arial"/>
          <w:sz w:val="22"/>
          <w:lang w:val="es-ES_tradnl"/>
        </w:rPr>
        <w:t xml:space="preserve">Agencia, en los conceptos C-248 del 19 de marzo de 2020, C-243 del 24 de marzo de 2020, C-245, C-247, C-253 y C-254 del 7 de abril de 2020 y C-262 del 27 de abril de 2020, C-376 del 30 de junio de 2020 y C-495 del 30 de julio de 2020, entre otros, </w:t>
      </w:r>
      <w:r w:rsidR="00510E95">
        <w:rPr>
          <w:rFonts w:ascii="Arial" w:hAnsi="Arial" w:cs="Arial"/>
          <w:sz w:val="22"/>
          <w:lang w:val="es-ES_tradnl"/>
        </w:rPr>
        <w:t xml:space="preserve">se pronunció </w:t>
      </w:r>
      <w:r w:rsidR="00510E95" w:rsidRPr="00F35561">
        <w:rPr>
          <w:rFonts w:ascii="Arial" w:hAnsi="Arial" w:cs="Arial"/>
          <w:sz w:val="22"/>
          <w:lang w:val="es-ES_tradnl"/>
        </w:rPr>
        <w:t xml:space="preserve">sobre ciertos aspectos del desarrollo de la actividad contractual durante la pandemia desatada por el COVID 19 y el estado de emergencia sanitaria declarado </w:t>
      </w:r>
      <w:r w:rsidR="00510E95">
        <w:rPr>
          <w:rFonts w:ascii="Arial" w:hAnsi="Arial" w:cs="Arial"/>
          <w:sz w:val="22"/>
          <w:lang w:val="es-ES_tradnl"/>
        </w:rPr>
        <w:t>como</w:t>
      </w:r>
      <w:r w:rsidR="00510E95" w:rsidRPr="00F35561">
        <w:rPr>
          <w:rFonts w:ascii="Arial" w:hAnsi="Arial" w:cs="Arial"/>
          <w:sz w:val="22"/>
          <w:lang w:val="es-ES_tradnl"/>
        </w:rPr>
        <w:t xml:space="preserve"> consecuencia de esta. </w:t>
      </w:r>
      <w:r w:rsidRPr="00F35561">
        <w:rPr>
          <w:rFonts w:ascii="Arial" w:eastAsia="Calibri" w:hAnsi="Arial" w:cs="Arial"/>
          <w:bCs/>
          <w:sz w:val="22"/>
        </w:rPr>
        <w:t>La tesis expuesta en estos conceptos se reitera a continuación:</w:t>
      </w:r>
      <w:r w:rsidR="00FC1567" w:rsidRPr="00F35561">
        <w:rPr>
          <w:rFonts w:eastAsia="Calibri"/>
        </w:rPr>
        <w:tab/>
      </w:r>
      <w:r w:rsidR="00417F88" w:rsidRPr="00F35561">
        <w:rPr>
          <w:rFonts w:eastAsia="Calibri"/>
        </w:rPr>
        <w:t xml:space="preserve"> </w:t>
      </w:r>
    </w:p>
    <w:p w14:paraId="7188074A" w14:textId="77777777" w:rsidR="00FC1567" w:rsidRPr="00F35561" w:rsidRDefault="00FC1567">
      <w:pPr>
        <w:spacing w:line="276" w:lineRule="auto"/>
        <w:jc w:val="both"/>
        <w:rPr>
          <w:rFonts w:ascii="Arial" w:eastAsia="Calibri" w:hAnsi="Arial" w:cs="Arial"/>
          <w:sz w:val="22"/>
        </w:rPr>
      </w:pPr>
    </w:p>
    <w:p w14:paraId="0A8C8AC9" w14:textId="65B294E7" w:rsidR="00FC1567" w:rsidRPr="00F35561" w:rsidRDefault="00FC1567" w:rsidP="00FC1567">
      <w:pPr>
        <w:spacing w:line="276" w:lineRule="auto"/>
        <w:jc w:val="both"/>
        <w:rPr>
          <w:rFonts w:ascii="Arial" w:eastAsia="Calibri" w:hAnsi="Arial" w:cs="Arial"/>
          <w:b/>
          <w:bCs/>
          <w:sz w:val="22"/>
        </w:rPr>
      </w:pPr>
      <w:r w:rsidRPr="00F35561">
        <w:rPr>
          <w:rFonts w:ascii="Arial" w:eastAsia="Calibri" w:hAnsi="Arial" w:cs="Arial"/>
          <w:b/>
          <w:bCs/>
          <w:sz w:val="22"/>
        </w:rPr>
        <w:t xml:space="preserve">2.1. </w:t>
      </w:r>
      <w:r w:rsidR="00C050C2" w:rsidRPr="00F35561">
        <w:rPr>
          <w:rFonts w:ascii="Arial" w:eastAsia="Calibri" w:hAnsi="Arial" w:cs="Arial"/>
          <w:b/>
          <w:bCs/>
          <w:sz w:val="22"/>
        </w:rPr>
        <w:t>Visita al sitio de la obra</w:t>
      </w:r>
      <w:r w:rsidR="00F35561" w:rsidRPr="00F35561">
        <w:rPr>
          <w:rFonts w:ascii="Arial" w:eastAsia="Calibri" w:hAnsi="Arial" w:cs="Arial"/>
          <w:b/>
          <w:bCs/>
          <w:sz w:val="22"/>
        </w:rPr>
        <w:t xml:space="preserve"> en los documentos tipo</w:t>
      </w:r>
    </w:p>
    <w:p w14:paraId="415C7D9E" w14:textId="77777777" w:rsidR="00C050C2" w:rsidRPr="00F35561" w:rsidRDefault="00C050C2" w:rsidP="00FC1567">
      <w:pPr>
        <w:spacing w:line="276" w:lineRule="auto"/>
        <w:jc w:val="both"/>
        <w:rPr>
          <w:rFonts w:ascii="Arial" w:eastAsia="Calibri" w:hAnsi="Arial" w:cs="Arial"/>
          <w:b/>
          <w:bCs/>
          <w:sz w:val="22"/>
        </w:rPr>
      </w:pPr>
    </w:p>
    <w:p w14:paraId="55231035" w14:textId="77777777" w:rsidR="00C050C2" w:rsidRPr="00F35561" w:rsidRDefault="00C050C2" w:rsidP="008A1950">
      <w:pPr>
        <w:spacing w:after="120" w:line="276" w:lineRule="auto"/>
        <w:jc w:val="both"/>
        <w:rPr>
          <w:rFonts w:ascii="Arial" w:hAnsi="Arial" w:cs="Arial"/>
          <w:sz w:val="22"/>
        </w:rPr>
      </w:pPr>
      <w:r w:rsidRPr="00F35561">
        <w:rPr>
          <w:rFonts w:ascii="Arial" w:hAnsi="Arial" w:cs="Arial"/>
          <w:sz w:val="22"/>
        </w:rPr>
        <w:t>En el «Documento Base o Pliego Tipo» se incluyó la visita de la obra como potestativa de la entidad, quien de acuerdo con la complejidad del objeto contractual evalúa si se realiza y si la asistencia es obligatoria para los proponentes. De requerirla, la entidad lo justificará en los estudios previos, ajustándose a lo previsto en los «Documentos Tipo», donde se establecen reglas para su realización, mediante las cuales se evita su utilización para prácticas indebidas.</w:t>
      </w:r>
    </w:p>
    <w:p w14:paraId="3D319A0B" w14:textId="77777777" w:rsidR="00C050C2" w:rsidRPr="00F35561" w:rsidRDefault="00C050C2" w:rsidP="00C050C2">
      <w:pPr>
        <w:spacing w:line="276" w:lineRule="auto"/>
        <w:ind w:firstLine="708"/>
        <w:jc w:val="both"/>
        <w:rPr>
          <w:rFonts w:ascii="Arial" w:hAnsi="Arial" w:cs="Arial"/>
          <w:sz w:val="22"/>
        </w:rPr>
      </w:pPr>
      <w:r w:rsidRPr="00F35561">
        <w:rPr>
          <w:rFonts w:ascii="Arial" w:hAnsi="Arial" w:cs="Arial"/>
          <w:sz w:val="22"/>
        </w:rPr>
        <w:t>Sobre la capacidad de exigir la visita al sitio de la obra en los pliegos de condiciones como requisito para presentar la oferta, el Consejo de Estado –en Sentencia del 5 de junio de 2008– se pronunció sobre su legalidad. Señaló que esta exigencia garantiza la consistencia económica de las ofertas, así como la cumplida ejecución del objeto contractual y, por lo tanto, es posible incluirla en los pliegos de condiciones. Además, explicó que es una medida idónea, necesaria y ponderada para la estructuración de las ofertas por parte de los proponentes</w:t>
      </w:r>
      <w:r w:rsidRPr="00F35561">
        <w:rPr>
          <w:rFonts w:ascii="Arial" w:eastAsia="Calibri" w:hAnsi="Arial" w:cs="Arial"/>
          <w:vertAlign w:val="superscript"/>
          <w:lang w:val="es-ES"/>
        </w:rPr>
        <w:footnoteReference w:id="1"/>
      </w:r>
      <w:r w:rsidRPr="00F35561">
        <w:rPr>
          <w:rFonts w:ascii="Arial" w:eastAsia="Calibri" w:hAnsi="Arial" w:cs="Arial"/>
          <w:iCs/>
          <w:sz w:val="21"/>
          <w:szCs w:val="21"/>
          <w:lang w:val="es-ES"/>
        </w:rPr>
        <w:t>.</w:t>
      </w:r>
      <w:r w:rsidRPr="00F35561">
        <w:rPr>
          <w:rFonts w:ascii="Arial" w:eastAsia="Calibri" w:hAnsi="Arial" w:cs="Arial"/>
          <w:i/>
          <w:sz w:val="21"/>
          <w:szCs w:val="21"/>
          <w:lang w:val="es-ES"/>
        </w:rPr>
        <w:t xml:space="preserve"> </w:t>
      </w:r>
      <w:r w:rsidRPr="00F35561">
        <w:rPr>
          <w:rFonts w:ascii="Arial" w:hAnsi="Arial" w:cs="Arial"/>
          <w:sz w:val="22"/>
        </w:rPr>
        <w:t>Por su parte, en Sentencia del 28 de junio de 2019, el Consejo de Estado reconoció que la visita tiene como propósito que los oferentes conozcan el lugar físico donde el contrato se ejecutará, razón por la cual:</w:t>
      </w:r>
    </w:p>
    <w:p w14:paraId="32EF7B34" w14:textId="77777777" w:rsidR="00C050C2" w:rsidRPr="00F35561" w:rsidRDefault="00C050C2" w:rsidP="00C050C2">
      <w:pPr>
        <w:spacing w:line="276" w:lineRule="auto"/>
        <w:ind w:firstLine="708"/>
        <w:jc w:val="both"/>
        <w:rPr>
          <w:rFonts w:ascii="Arial" w:hAnsi="Arial" w:cs="Arial"/>
          <w:sz w:val="22"/>
        </w:rPr>
      </w:pPr>
    </w:p>
    <w:p w14:paraId="28564040" w14:textId="77777777" w:rsidR="00C050C2" w:rsidRPr="00F35561" w:rsidRDefault="00C050C2" w:rsidP="00C050C2">
      <w:pPr>
        <w:ind w:left="708" w:right="558"/>
        <w:jc w:val="both"/>
        <w:rPr>
          <w:rFonts w:ascii="Arial" w:eastAsia="Calibri" w:hAnsi="Arial" w:cs="Arial"/>
          <w:sz w:val="21"/>
          <w:szCs w:val="21"/>
          <w:lang w:val="es-ES"/>
        </w:rPr>
      </w:pPr>
      <w:r w:rsidRPr="00F35561">
        <w:rPr>
          <w:rFonts w:ascii="Arial" w:hAnsi="Arial" w:cs="Arial"/>
          <w:sz w:val="21"/>
          <w:szCs w:val="21"/>
        </w:rPr>
        <w:t>[…] no sólo tiene trascendencia durante el procedimiento precontractual, sino que incide en las etapas ulteriores a este, a tal punto que, si el contratista</w:t>
      </w:r>
      <w:r w:rsidRPr="00F35561">
        <w:rPr>
          <w:rFonts w:ascii="Arial" w:eastAsia="Calibri" w:hAnsi="Arial" w:cs="Arial"/>
          <w:sz w:val="21"/>
          <w:szCs w:val="21"/>
          <w:lang w:val="es-ES"/>
        </w:rPr>
        <w:t xml:space="preserve"> desde esta etapa conocía de las situaciones que presentaba el terreno en donde se construiría la obra o se prestaría el servicio resulta improcedente cualquier reclamación posterior fundada en situaciones de las que, con la visita realizada al sitio de las obras, debía estar informado</w:t>
      </w:r>
      <w:r w:rsidRPr="00F35561">
        <w:rPr>
          <w:rFonts w:ascii="Arial" w:eastAsia="Calibri" w:hAnsi="Arial" w:cs="Arial"/>
          <w:sz w:val="21"/>
          <w:szCs w:val="21"/>
          <w:vertAlign w:val="superscript"/>
          <w:lang w:val="es-ES"/>
        </w:rPr>
        <w:footnoteReference w:id="2"/>
      </w:r>
      <w:r w:rsidRPr="00F35561">
        <w:rPr>
          <w:rFonts w:ascii="Arial" w:eastAsia="Calibri" w:hAnsi="Arial" w:cs="Arial"/>
          <w:sz w:val="21"/>
          <w:szCs w:val="21"/>
          <w:lang w:val="es-ES"/>
        </w:rPr>
        <w:t xml:space="preserve">. </w:t>
      </w:r>
    </w:p>
    <w:p w14:paraId="0FEBA03C" w14:textId="77777777" w:rsidR="00C050C2" w:rsidRPr="00F35561" w:rsidRDefault="00C050C2" w:rsidP="00C050C2">
      <w:pPr>
        <w:ind w:left="708" w:right="558"/>
        <w:jc w:val="both"/>
        <w:rPr>
          <w:rFonts w:ascii="Arial" w:eastAsia="Calibri" w:hAnsi="Arial" w:cs="Arial"/>
          <w:sz w:val="21"/>
          <w:szCs w:val="21"/>
          <w:lang w:val="es-ES"/>
        </w:rPr>
      </w:pPr>
    </w:p>
    <w:p w14:paraId="5D6ECE20" w14:textId="77777777" w:rsidR="00C050C2" w:rsidRPr="00F35561" w:rsidRDefault="00C050C2" w:rsidP="00C050C2">
      <w:pPr>
        <w:spacing w:line="276" w:lineRule="auto"/>
        <w:ind w:firstLine="708"/>
        <w:jc w:val="both"/>
        <w:rPr>
          <w:rFonts w:ascii="Arial" w:eastAsia="Calibri" w:hAnsi="Arial" w:cs="Arial"/>
          <w:sz w:val="22"/>
          <w:lang w:val="es-ES"/>
        </w:rPr>
      </w:pPr>
      <w:r w:rsidRPr="00F35561">
        <w:rPr>
          <w:rFonts w:ascii="Arial" w:eastAsia="Calibri" w:hAnsi="Arial" w:cs="Arial"/>
          <w:sz w:val="22"/>
          <w:lang w:val="es-ES"/>
        </w:rPr>
        <w:t xml:space="preserve">Conforme a lo anterior, la jurisprudencia reconoce la importancia de visitar la obra y la capacidad de las entidades de exigirla como requisito habilitante en los pliegos de condiciones, pues permite que los proponentes conozcan e inspeccionen la zona para investigar la disponibilidad de los materiales de construcción, mano de obra, transporte y las fuentes de abastecimiento de materiales para su explotación y elaboración de agregados, lo cual permite que cuenten con mejor información sobre sus capacidades reales para ejecutar la obra. </w:t>
      </w:r>
    </w:p>
    <w:p w14:paraId="7EE68188" w14:textId="77777777" w:rsidR="00C050C2" w:rsidRPr="00F35561" w:rsidRDefault="00C050C2" w:rsidP="00C050C2">
      <w:pPr>
        <w:spacing w:before="120" w:line="276" w:lineRule="auto"/>
        <w:ind w:firstLine="708"/>
        <w:jc w:val="both"/>
        <w:rPr>
          <w:rFonts w:ascii="Arial" w:eastAsia="Calibri" w:hAnsi="Arial" w:cs="Arial"/>
          <w:sz w:val="22"/>
          <w:lang w:val="es-ES"/>
        </w:rPr>
      </w:pPr>
      <w:r w:rsidRPr="00F35561">
        <w:rPr>
          <w:rFonts w:ascii="Arial" w:eastAsia="Calibri" w:hAnsi="Arial" w:cs="Arial"/>
          <w:sz w:val="22"/>
          <w:lang w:val="es-ES"/>
        </w:rPr>
        <w:lastRenderedPageBreak/>
        <w:t xml:space="preserve">Pese a lo anterior, no es posible establecer condiciones arbitrarias al exigir la visita de la obra. Por ejemplo, en Sentencia del 14 de febrero de 2018, el Consejo de Estado considera irrazonable que solo la pueda realizar el representante legal de la persona jurídica, por ser una medida desproporcionada que limita la posibilidad de que actúe a través de un mandatario. De esta forma, explica </w:t>
      </w:r>
      <w:proofErr w:type="gramStart"/>
      <w:r w:rsidRPr="00F35561">
        <w:rPr>
          <w:rFonts w:ascii="Arial" w:eastAsia="Calibri" w:hAnsi="Arial" w:cs="Arial"/>
          <w:sz w:val="22"/>
          <w:lang w:val="es-ES"/>
        </w:rPr>
        <w:t>que</w:t>
      </w:r>
      <w:proofErr w:type="gramEnd"/>
      <w:r w:rsidRPr="00F35561">
        <w:rPr>
          <w:rFonts w:ascii="Arial" w:eastAsia="Calibri" w:hAnsi="Arial" w:cs="Arial"/>
          <w:sz w:val="22"/>
          <w:lang w:val="es-ES"/>
        </w:rPr>
        <w:t xml:space="preserve"> si bien la vista de la obra garantiza la presentación de ofertas idóneas, en ningún caso se podrá utilizar para descalificar una propuesta por exigir que deba realizarla el representante legal de la persona jurídica</w:t>
      </w:r>
      <w:r w:rsidRPr="00F35561">
        <w:rPr>
          <w:rFonts w:ascii="Arial" w:eastAsia="Calibri" w:hAnsi="Arial" w:cs="Arial"/>
          <w:sz w:val="22"/>
          <w:vertAlign w:val="superscript"/>
          <w:lang w:val="es-ES"/>
        </w:rPr>
        <w:footnoteReference w:id="3"/>
      </w:r>
      <w:r w:rsidRPr="00F35561">
        <w:rPr>
          <w:rFonts w:ascii="Arial" w:eastAsia="Calibri" w:hAnsi="Arial" w:cs="Arial"/>
          <w:sz w:val="22"/>
          <w:lang w:val="es-ES"/>
        </w:rPr>
        <w:t xml:space="preserve">.  </w:t>
      </w:r>
    </w:p>
    <w:p w14:paraId="6C042B6D" w14:textId="77777777" w:rsidR="00C050C2" w:rsidRPr="00F35561" w:rsidRDefault="00C050C2" w:rsidP="00C050C2">
      <w:pPr>
        <w:spacing w:before="120" w:line="276" w:lineRule="auto"/>
        <w:ind w:firstLine="709"/>
        <w:jc w:val="both"/>
        <w:rPr>
          <w:rFonts w:ascii="Arial" w:eastAsia="Calibri" w:hAnsi="Arial" w:cs="Arial"/>
          <w:sz w:val="22"/>
          <w:lang w:val="es-ES"/>
        </w:rPr>
      </w:pPr>
      <w:r w:rsidRPr="00F35561">
        <w:rPr>
          <w:rFonts w:ascii="Arial" w:eastAsia="Calibri" w:hAnsi="Arial" w:cs="Arial"/>
          <w:sz w:val="22"/>
          <w:lang w:val="es-ES"/>
        </w:rPr>
        <w:t xml:space="preserve">Con fundamento en lo anterior, la exigencia de la visita al sitio de la obra es viable y útil siempre que se fijen reglas claras y proporcionales que eviten el direccionamiento de los contratos. En este sentido, la Agencia Nacional de Contratación Pública, de acuerdo con lo señalado por la jurisprudencia y los órganos de control, atendiendo a las preocupaciones expresadas por la ciudadanía, estableció las siguientes reglas en la segunda versión de los «Documentos Tipo» para evitar un uso desproporcionado e irracional de este requisito: </w:t>
      </w:r>
    </w:p>
    <w:p w14:paraId="7702D986" w14:textId="77777777" w:rsidR="00C050C2" w:rsidRPr="00F35561" w:rsidRDefault="00C050C2" w:rsidP="00C050C2">
      <w:pPr>
        <w:spacing w:before="120" w:after="120" w:line="276" w:lineRule="auto"/>
        <w:ind w:firstLine="709"/>
        <w:jc w:val="both"/>
        <w:rPr>
          <w:rFonts w:ascii="Arial" w:eastAsia="Calibri" w:hAnsi="Arial" w:cs="Arial"/>
          <w:sz w:val="22"/>
          <w:lang w:val="es-ES"/>
        </w:rPr>
      </w:pPr>
      <w:r w:rsidRPr="00F35561">
        <w:rPr>
          <w:rFonts w:ascii="Arial" w:eastAsia="Calibri" w:hAnsi="Arial" w:cs="Arial"/>
          <w:lang w:val="es-ES"/>
        </w:rPr>
        <w:t xml:space="preserve">i) La </w:t>
      </w:r>
      <w:r w:rsidRPr="00F35561">
        <w:rPr>
          <w:rFonts w:ascii="Arial" w:eastAsia="Calibri" w:hAnsi="Arial" w:cs="Arial"/>
          <w:sz w:val="22"/>
          <w:lang w:val="es-ES"/>
        </w:rPr>
        <w:t>entidad incluirá este requisito cuando en los estudios previos se justifique su necesidad.</w:t>
      </w:r>
    </w:p>
    <w:p w14:paraId="435FDD4B" w14:textId="77777777" w:rsidR="00C050C2" w:rsidRPr="00F35561" w:rsidRDefault="00C050C2" w:rsidP="00C050C2">
      <w:pPr>
        <w:spacing w:before="120" w:after="120" w:line="276" w:lineRule="auto"/>
        <w:ind w:firstLine="709"/>
        <w:jc w:val="both"/>
        <w:rPr>
          <w:rFonts w:ascii="Arial" w:eastAsia="Calibri" w:hAnsi="Arial" w:cs="Arial"/>
          <w:sz w:val="22"/>
          <w:lang w:val="es-ES"/>
        </w:rPr>
      </w:pPr>
      <w:proofErr w:type="spellStart"/>
      <w:r w:rsidRPr="00F35561">
        <w:rPr>
          <w:rFonts w:ascii="Arial" w:eastAsia="Calibri" w:hAnsi="Arial" w:cs="Arial"/>
          <w:sz w:val="22"/>
          <w:lang w:val="es-ES"/>
        </w:rPr>
        <w:t>ii</w:t>
      </w:r>
      <w:proofErr w:type="spellEnd"/>
      <w:r w:rsidRPr="00F35561">
        <w:rPr>
          <w:rFonts w:ascii="Arial" w:eastAsia="Calibri" w:hAnsi="Arial" w:cs="Arial"/>
          <w:sz w:val="22"/>
          <w:lang w:val="es-ES"/>
        </w:rPr>
        <w:t>) Desde la publicación del «proyecto de pliego» de condiciones se define si es obligatorio o no asistir a la visita, lo cual significa que no es posible incluirla a partir del «pliego definitivo».</w:t>
      </w:r>
    </w:p>
    <w:p w14:paraId="4FB96A93" w14:textId="77777777" w:rsidR="00C050C2" w:rsidRPr="00F35561" w:rsidRDefault="00C050C2" w:rsidP="00C050C2">
      <w:pPr>
        <w:spacing w:before="120" w:after="120" w:line="276" w:lineRule="auto"/>
        <w:ind w:firstLine="709"/>
        <w:jc w:val="both"/>
        <w:rPr>
          <w:rFonts w:ascii="Arial" w:eastAsia="Calibri" w:hAnsi="Arial" w:cs="Arial"/>
          <w:sz w:val="22"/>
          <w:lang w:val="es-ES"/>
        </w:rPr>
      </w:pPr>
      <w:proofErr w:type="spellStart"/>
      <w:r w:rsidRPr="00F35561">
        <w:rPr>
          <w:rFonts w:ascii="Arial" w:eastAsia="Calibri" w:hAnsi="Arial" w:cs="Arial"/>
          <w:sz w:val="22"/>
          <w:lang w:val="es-ES"/>
        </w:rPr>
        <w:t>iii</w:t>
      </w:r>
      <w:proofErr w:type="spellEnd"/>
      <w:r w:rsidRPr="00F35561">
        <w:rPr>
          <w:rFonts w:ascii="Arial" w:eastAsia="Calibri" w:hAnsi="Arial" w:cs="Arial"/>
          <w:sz w:val="22"/>
          <w:lang w:val="es-ES"/>
        </w:rPr>
        <w:t xml:space="preserve">) Se exige con el propósito de que los proponentes realicen todas las evaluaciones y estimaciones necesarias para presentar la oferta,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 </w:t>
      </w:r>
    </w:p>
    <w:p w14:paraId="173A6B90" w14:textId="77777777" w:rsidR="00C050C2" w:rsidRPr="00F35561" w:rsidRDefault="00C050C2" w:rsidP="00C050C2">
      <w:pPr>
        <w:spacing w:before="120" w:after="120" w:line="276" w:lineRule="auto"/>
        <w:ind w:firstLine="709"/>
        <w:jc w:val="both"/>
        <w:rPr>
          <w:rFonts w:ascii="Arial" w:eastAsia="Calibri" w:hAnsi="Arial" w:cs="Arial"/>
          <w:sz w:val="22"/>
          <w:lang w:val="es-ES"/>
        </w:rPr>
      </w:pPr>
      <w:proofErr w:type="spellStart"/>
      <w:r w:rsidRPr="00F35561">
        <w:rPr>
          <w:rFonts w:ascii="Arial" w:eastAsia="Calibri" w:hAnsi="Arial" w:cs="Arial"/>
          <w:sz w:val="22"/>
          <w:lang w:val="es-ES"/>
        </w:rPr>
        <w:t>iv</w:t>
      </w:r>
      <w:proofErr w:type="spellEnd"/>
      <w:r w:rsidRPr="00F35561">
        <w:rPr>
          <w:rFonts w:ascii="Arial" w:eastAsia="Calibri" w:hAnsi="Arial" w:cs="Arial"/>
          <w:sz w:val="22"/>
          <w:lang w:val="es-ES"/>
        </w:rPr>
        <w:t>) No es necesario que quien asista sea el representante legal de la persona jurídica o la persona natural que presentará la oferta, por lo que se podrá encomendar la asistencia a cualquier persona que tenga el título de ingeniero, por medio de una autorización simple, suscrita por alguno de aquellos, sin necesidad de autenticaciones o presentación personal ante notario. Esta persona, de conformidad con lo establecido en el documento tipo, además deberá identificarse presentando su documento de identidad y tarjeta profesional de ingeniero, cuestión que se explicará más adelante.</w:t>
      </w:r>
    </w:p>
    <w:p w14:paraId="373D24D7" w14:textId="77777777" w:rsidR="00C050C2" w:rsidRPr="00F35561" w:rsidRDefault="00C050C2" w:rsidP="00C050C2">
      <w:pPr>
        <w:spacing w:before="120" w:after="120" w:line="276" w:lineRule="auto"/>
        <w:ind w:firstLine="709"/>
        <w:jc w:val="both"/>
        <w:rPr>
          <w:rFonts w:ascii="Arial" w:eastAsia="Calibri" w:hAnsi="Arial" w:cs="Arial"/>
          <w:sz w:val="22"/>
          <w:lang w:val="es-ES"/>
        </w:rPr>
      </w:pPr>
      <w:r w:rsidRPr="00F35561">
        <w:rPr>
          <w:rFonts w:ascii="Arial" w:eastAsia="Calibri" w:hAnsi="Arial" w:cs="Arial"/>
          <w:sz w:val="22"/>
          <w:lang w:val="es-ES"/>
        </w:rPr>
        <w:t xml:space="preserve">v) Cuando la oferta la presente un proponente plural, la visita debe realizarla al menos uno (1) de los futuros integrantes. En estos casos tampoco es necesario que asista </w:t>
      </w:r>
      <w:r w:rsidRPr="00F35561">
        <w:rPr>
          <w:rFonts w:ascii="Arial" w:eastAsia="Calibri" w:hAnsi="Arial" w:cs="Arial"/>
          <w:sz w:val="22"/>
          <w:lang w:val="es-ES"/>
        </w:rPr>
        <w:lastRenderedPageBreak/>
        <w:t>el representante legal de la persona jurídica o la persona natural miembro del proponente plural, por lo que podrá encomendar la asistencia a cualquier persona que tenga el título de ingeniero, por medio de una autorización simple suscrita por alguno de aquellos, sin necesidad de autenticaciones o presentaciones personales ante notario.</w:t>
      </w:r>
    </w:p>
    <w:p w14:paraId="3FBB286B" w14:textId="77777777" w:rsidR="00C050C2" w:rsidRPr="00F35561" w:rsidRDefault="00C050C2" w:rsidP="00C050C2">
      <w:pPr>
        <w:spacing w:before="120" w:after="120" w:line="276" w:lineRule="auto"/>
        <w:ind w:firstLine="709"/>
        <w:jc w:val="both"/>
        <w:rPr>
          <w:rFonts w:ascii="Arial" w:eastAsia="Calibri" w:hAnsi="Arial" w:cs="Arial"/>
          <w:sz w:val="22"/>
          <w:lang w:val="es-ES"/>
        </w:rPr>
      </w:pPr>
      <w:r w:rsidRPr="00F35561">
        <w:rPr>
          <w:rFonts w:ascii="Arial" w:eastAsia="Calibri" w:hAnsi="Arial" w:cs="Arial"/>
          <w:sz w:val="22"/>
          <w:lang w:val="es-ES"/>
        </w:rPr>
        <w:t xml:space="preserve">vi) Al momento de establecer la fecha y hora de la visita deberá considerar que: a) no es posible modificar la fecha de la visita al sitio de la obra, salvo por razones de fuerza mayor o caso fortuito; b) cuando extraordinariamente se cambie, la decisión se adoptará con mínimo un día hábil de antelación a la fecha que se va a modificar, y la visita se reprogramará para una fecha mínimo 7 días hábiles después de la programada inicialmente;  c) la entidad garantizará las condiciones de seguridad al momento de visitar la zona; y d) la visita deberá programarse después de la apertura efectiva del proceso de contratación. </w:t>
      </w:r>
    </w:p>
    <w:p w14:paraId="0A0A6252" w14:textId="0F075517" w:rsidR="00C050C2" w:rsidRPr="00F35561" w:rsidRDefault="00C050C2" w:rsidP="00C050C2">
      <w:pPr>
        <w:spacing w:before="120" w:after="120" w:line="276" w:lineRule="auto"/>
        <w:ind w:firstLine="709"/>
        <w:jc w:val="both"/>
        <w:rPr>
          <w:rFonts w:ascii="Arial" w:eastAsia="Calibri" w:hAnsi="Arial" w:cs="Arial"/>
          <w:sz w:val="22"/>
          <w:lang w:val="es-ES"/>
        </w:rPr>
      </w:pPr>
      <w:r w:rsidRPr="00F35561">
        <w:rPr>
          <w:rFonts w:ascii="Arial" w:eastAsia="Calibri" w:hAnsi="Arial" w:cs="Arial"/>
          <w:sz w:val="22"/>
          <w:lang w:val="es-ES"/>
        </w:rPr>
        <w:t xml:space="preserve">Frente a este último aspecto debe tenerse en cuenta lo establecido por el documento tipo. El numeral 3.6 en el inciso primero establece que «La Entidad Estatal deberá incluir este acápite cuando se justifique su necesidad en los estudios previos. Desde la publicación del proyecto de pliego de condiciones se debe definir si es obligatorio o no asistir a la visita»; además el siguiente inciso </w:t>
      </w:r>
      <w:proofErr w:type="gramStart"/>
      <w:r w:rsidRPr="00F35561">
        <w:rPr>
          <w:rFonts w:ascii="Arial" w:eastAsia="Calibri" w:hAnsi="Arial" w:cs="Arial"/>
          <w:sz w:val="22"/>
          <w:lang w:val="es-ES"/>
        </w:rPr>
        <w:t>del mismo</w:t>
      </w:r>
      <w:proofErr w:type="gramEnd"/>
      <w:r w:rsidRPr="00F35561">
        <w:rPr>
          <w:rFonts w:ascii="Arial" w:eastAsia="Calibri" w:hAnsi="Arial" w:cs="Arial"/>
          <w:sz w:val="22"/>
          <w:lang w:val="es-ES"/>
        </w:rPr>
        <w:t xml:space="preserve"> numeral dispone que «[…] la Entidad establecerá en el cronograma del proceso la fecha y hora para realizar la visita al sitio de la obra». </w:t>
      </w:r>
    </w:p>
    <w:p w14:paraId="4B6AA846" w14:textId="77777777" w:rsidR="00C050C2" w:rsidRPr="00F35561" w:rsidRDefault="00C050C2" w:rsidP="00C050C2">
      <w:pPr>
        <w:spacing w:before="120" w:after="120" w:line="276" w:lineRule="auto"/>
        <w:ind w:firstLine="709"/>
        <w:jc w:val="both"/>
        <w:rPr>
          <w:rFonts w:ascii="Arial" w:eastAsia="Calibri" w:hAnsi="Arial" w:cs="Arial"/>
          <w:sz w:val="22"/>
          <w:lang w:val="es-ES"/>
        </w:rPr>
      </w:pPr>
      <w:r w:rsidRPr="00F35561">
        <w:rPr>
          <w:rFonts w:ascii="Arial" w:eastAsia="Calibri" w:hAnsi="Arial" w:cs="Arial"/>
          <w:sz w:val="22"/>
          <w:lang w:val="es-ES"/>
        </w:rPr>
        <w:t xml:space="preserve">De esta forma, se evidencia que el «Documento base» busca que la visita de obra se realice de forma posterior a la apertura del proceso; precisamente, el proyecto de pliego de condiciones únicamente establece la obligatoriedad o no de asistir a la visita, sin determinar una fecha para su realización en esta etapa del procedimiento. Por su parte, cuando el pliego prescribe que la fecha y hora para realizar la visita al sitio de la obra se establecerá en el cronograma del proceso se refiere al que se presenta en el pliego de condiciones definitivo, más no a un proyecto de cronograma incluido en el prepliego. </w:t>
      </w:r>
    </w:p>
    <w:p w14:paraId="55C66004" w14:textId="1A8762DC" w:rsidR="00C050C2" w:rsidRPr="00F35561" w:rsidRDefault="00C050C2" w:rsidP="00C050C2">
      <w:pPr>
        <w:spacing w:before="120" w:after="120" w:line="276" w:lineRule="auto"/>
        <w:ind w:firstLine="709"/>
        <w:jc w:val="both"/>
        <w:rPr>
          <w:rFonts w:ascii="Arial" w:eastAsia="Calibri" w:hAnsi="Arial" w:cs="Arial"/>
          <w:sz w:val="22"/>
          <w:lang w:val="es-ES"/>
        </w:rPr>
      </w:pPr>
      <w:r w:rsidRPr="00F35561">
        <w:rPr>
          <w:rFonts w:ascii="Arial" w:eastAsia="Calibri" w:hAnsi="Arial" w:cs="Arial"/>
          <w:sz w:val="22"/>
          <w:lang w:val="es-ES"/>
        </w:rPr>
        <w:t xml:space="preserve"> Adicionalmente, cabe resaltar que la Ley 1150 de 2007, artículo 8, inciso 2, dispone que la publicación del proyecto de pliego de condiciones no genera obligación para la entidad de expedir el acto de apertura del procedimiento de selección</w:t>
      </w:r>
      <w:r w:rsidR="00BC51F5" w:rsidRPr="00F35561">
        <w:rPr>
          <w:rStyle w:val="Refdenotaalpie"/>
          <w:rFonts w:ascii="Arial" w:eastAsia="Calibri" w:hAnsi="Arial" w:cs="Arial"/>
          <w:sz w:val="22"/>
          <w:lang w:val="es-ES"/>
        </w:rPr>
        <w:footnoteReference w:id="4"/>
      </w:r>
      <w:r w:rsidRPr="00F35561">
        <w:rPr>
          <w:rFonts w:ascii="Arial" w:eastAsia="Calibri" w:hAnsi="Arial" w:cs="Arial"/>
          <w:sz w:val="22"/>
          <w:lang w:val="es-ES"/>
        </w:rPr>
        <w:t xml:space="preserve">. En ese medida, dadas las implicaciones de la visita, la vinculatoriedad del pliego de condiciones, el carácter no definitivo del proyecto de pliego y los costos en que se incurren para la realización de la visita al sitio de la obra, esta debe programarse en una fecha posterior a la apertura del procedimiento de contratación con el fin de asegurar la eficacia, eficiencia y el efecto útil de las disposiciones, </w:t>
      </w:r>
      <w:bookmarkStart w:id="3" w:name="_Hlk45791356"/>
      <w:r w:rsidRPr="00F35561">
        <w:rPr>
          <w:rFonts w:ascii="Arial" w:eastAsia="Calibri" w:hAnsi="Arial" w:cs="Arial"/>
          <w:sz w:val="22"/>
          <w:lang w:val="es-ES"/>
        </w:rPr>
        <w:t>pues sería de poca la utilidad realizar una visita de obra de forma previa a la apertura del proceso, en la medida que nada asegura la expedición del acto administrativo de apertura, y por ende, en caso que la entidad no lo haga, la visita carecería de efectos</w:t>
      </w:r>
      <w:bookmarkEnd w:id="3"/>
      <w:r w:rsidRPr="00F35561">
        <w:rPr>
          <w:rFonts w:ascii="Arial" w:eastAsia="Calibri" w:hAnsi="Arial" w:cs="Arial"/>
          <w:sz w:val="22"/>
          <w:lang w:val="es-ES"/>
        </w:rPr>
        <w:t xml:space="preserve">, sería inocua. </w:t>
      </w:r>
    </w:p>
    <w:p w14:paraId="365E6A72" w14:textId="77777777" w:rsidR="00C050C2" w:rsidRPr="00F35561" w:rsidRDefault="00C050C2" w:rsidP="00C050C2">
      <w:pPr>
        <w:spacing w:before="120" w:after="120" w:line="276" w:lineRule="auto"/>
        <w:ind w:firstLine="708"/>
        <w:jc w:val="both"/>
        <w:rPr>
          <w:rStyle w:val="normaltextrun"/>
          <w:rFonts w:ascii="Arial" w:hAnsi="Arial" w:cs="Arial"/>
          <w:sz w:val="22"/>
          <w:shd w:val="clear" w:color="auto" w:fill="FFFFFF"/>
        </w:rPr>
      </w:pPr>
      <w:r w:rsidRPr="00F35561">
        <w:rPr>
          <w:rFonts w:ascii="Arial" w:eastAsia="Calibri" w:hAnsi="Arial" w:cs="Arial"/>
          <w:sz w:val="22"/>
          <w:lang w:val="es-ES"/>
        </w:rPr>
        <w:lastRenderedPageBreak/>
        <w:t xml:space="preserve">Así las cosas, </w:t>
      </w:r>
      <w:r w:rsidRPr="00F35561">
        <w:rPr>
          <w:rFonts w:ascii="Arial" w:eastAsia="Calibri" w:hAnsi="Arial" w:cs="Arial"/>
          <w:sz w:val="22"/>
        </w:rPr>
        <w:t>con la expedición del acto administrativo de apertura, momento en el cual se publica el pliego de condiciones definitivo, frente al cual también se pueden presentar observaciones y/o solicitudes de aclaración, la programación de la visita al sitio de la obra en un momento posterior a la apertura del proceso de selección garantiza que los proponentes, después de asistir a la visita, realicen observaciones al pliego de condiciones que generen su modificación a través de adendas</w:t>
      </w:r>
      <w:r w:rsidRPr="00F35561">
        <w:rPr>
          <w:rStyle w:val="normaltextrun"/>
          <w:rFonts w:ascii="Arial" w:hAnsi="Arial" w:cs="Arial"/>
          <w:sz w:val="22"/>
          <w:shd w:val="clear" w:color="auto" w:fill="FFFFFF"/>
        </w:rPr>
        <w:t xml:space="preserve">. </w:t>
      </w:r>
    </w:p>
    <w:p w14:paraId="5F266DF4" w14:textId="30D6FC7E" w:rsidR="00C050C2" w:rsidRPr="00F35561" w:rsidRDefault="00C050C2" w:rsidP="00C050C2">
      <w:pPr>
        <w:pStyle w:val="Prrafodelista"/>
        <w:tabs>
          <w:tab w:val="left" w:pos="426"/>
        </w:tabs>
        <w:spacing w:before="120" w:line="276" w:lineRule="auto"/>
        <w:ind w:left="0"/>
        <w:contextualSpacing w:val="0"/>
        <w:jc w:val="both"/>
        <w:rPr>
          <w:rFonts w:ascii="Arial" w:eastAsia="Calibri" w:hAnsi="Arial" w:cs="Arial"/>
          <w:sz w:val="22"/>
        </w:rPr>
      </w:pPr>
      <w:r w:rsidRPr="00F35561">
        <w:rPr>
          <w:rFonts w:ascii="Arial" w:eastAsia="Calibri" w:hAnsi="Arial" w:cs="Arial"/>
          <w:sz w:val="22"/>
          <w:lang w:val="es-ES"/>
        </w:rPr>
        <w:tab/>
      </w:r>
      <w:r w:rsidRPr="00F35561">
        <w:rPr>
          <w:rFonts w:ascii="Arial" w:eastAsia="Calibri" w:hAnsi="Arial" w:cs="Arial"/>
          <w:sz w:val="22"/>
          <w:lang w:val="es-ES"/>
        </w:rPr>
        <w:tab/>
      </w:r>
      <w:r w:rsidR="00914236" w:rsidRPr="00F35561">
        <w:rPr>
          <w:rFonts w:ascii="Arial" w:eastAsia="Calibri" w:hAnsi="Arial" w:cs="Arial"/>
          <w:sz w:val="22"/>
          <w:lang w:val="es-ES"/>
        </w:rPr>
        <w:t xml:space="preserve">Ahora bien, </w:t>
      </w:r>
      <w:r w:rsidRPr="00F35561">
        <w:rPr>
          <w:rFonts w:ascii="Arial" w:eastAsia="Calibri" w:hAnsi="Arial" w:cs="Arial"/>
          <w:sz w:val="22"/>
        </w:rPr>
        <w:t xml:space="preserve">la Agencia Nacional de Contratación Pública – Colombia Compra Eficiente expidió la Resolución No. 080 del 27 de marzo de 2020, a través de la cual suspenden los numerales 3.6 –visita al sitio de la obra– y 4.2.4 –garantías suplementarias o adicionales– de los documentos tipo para los procedimientos de licitación y selección abreviada de menor cuantía. Esta medida durará mientras el </w:t>
      </w:r>
      <w:proofErr w:type="gramStart"/>
      <w:r w:rsidRPr="00F35561">
        <w:rPr>
          <w:rFonts w:ascii="Arial" w:eastAsia="Calibri" w:hAnsi="Arial" w:cs="Arial"/>
          <w:sz w:val="22"/>
        </w:rPr>
        <w:t>Presidente</w:t>
      </w:r>
      <w:proofErr w:type="gramEnd"/>
      <w:r w:rsidRPr="00F35561">
        <w:rPr>
          <w:rFonts w:ascii="Arial" w:eastAsia="Calibri" w:hAnsi="Arial" w:cs="Arial"/>
          <w:sz w:val="22"/>
        </w:rPr>
        <w:t xml:space="preserve"> de la República conserva la medida de aislamiento preventivo obligatorio, sin perjuicio del estudio económico que pueda hacer la Agencia Nacional de Contratación Pública al impacto negativo que sufra el mercado de obras de infraestructura, para extender esta medida más allá de la declaratoria de la pandemia. Esta resolución se expidió con motivo a la pandemia del Coronavirus que está enfrentando el país estos últimos meses, y por la restricción de los desplazamientos aéreos y terrestres, generándose así mayores costos y dificultades para las micro, pequeñas, medianas y grandes empresas de construcción de infraestructura. En este orden de ideas, </w:t>
      </w:r>
      <w:r w:rsidR="00914236" w:rsidRPr="00F35561">
        <w:rPr>
          <w:rFonts w:ascii="Arial" w:eastAsia="Calibri" w:hAnsi="Arial" w:cs="Arial"/>
          <w:sz w:val="22"/>
        </w:rPr>
        <w:t xml:space="preserve">de conformidad con la Resolución No. 080 de 2020, </w:t>
      </w:r>
      <w:r w:rsidRPr="00F35561">
        <w:rPr>
          <w:rFonts w:ascii="Arial" w:eastAsia="Calibri" w:hAnsi="Arial" w:cs="Arial"/>
          <w:sz w:val="22"/>
        </w:rPr>
        <w:t xml:space="preserve">las entidades </w:t>
      </w:r>
      <w:bookmarkStart w:id="4" w:name="_Hlk46822903"/>
      <w:r w:rsidRPr="00F35561">
        <w:rPr>
          <w:rFonts w:ascii="Arial" w:eastAsia="Calibri" w:hAnsi="Arial" w:cs="Arial"/>
          <w:sz w:val="22"/>
        </w:rPr>
        <w:t>no podrán exigir garantías adicionales ni visitas al sitio de la obra en los procedimientos de contratación mientras se encuentran suspendidos estos numerales en los documentos tipo</w:t>
      </w:r>
      <w:bookmarkEnd w:id="4"/>
      <w:r w:rsidRPr="00F35561">
        <w:rPr>
          <w:rFonts w:ascii="Arial" w:eastAsia="Calibri" w:hAnsi="Arial" w:cs="Arial"/>
          <w:sz w:val="22"/>
        </w:rPr>
        <w:t xml:space="preserve">.  </w:t>
      </w:r>
    </w:p>
    <w:p w14:paraId="42A12EF6" w14:textId="56E85A9A" w:rsidR="00914236" w:rsidRPr="00F35561" w:rsidRDefault="00914236" w:rsidP="00C050C2">
      <w:pPr>
        <w:pStyle w:val="Prrafodelista"/>
        <w:tabs>
          <w:tab w:val="left" w:pos="426"/>
        </w:tabs>
        <w:spacing w:before="120" w:line="276" w:lineRule="auto"/>
        <w:ind w:left="0"/>
        <w:contextualSpacing w:val="0"/>
        <w:jc w:val="both"/>
        <w:rPr>
          <w:rFonts w:ascii="Arial" w:hAnsi="Arial" w:cs="Arial"/>
          <w:sz w:val="22"/>
        </w:rPr>
      </w:pPr>
      <w:r w:rsidRPr="00F35561">
        <w:rPr>
          <w:rFonts w:ascii="Arial" w:eastAsia="Calibri" w:hAnsi="Arial" w:cs="Arial"/>
          <w:sz w:val="22"/>
        </w:rPr>
        <w:tab/>
      </w:r>
      <w:r w:rsidR="00C67820">
        <w:rPr>
          <w:rFonts w:ascii="Arial" w:eastAsia="Calibri" w:hAnsi="Arial" w:cs="Arial"/>
          <w:sz w:val="22"/>
        </w:rPr>
        <w:tab/>
      </w:r>
      <w:r w:rsidRPr="00F35561">
        <w:rPr>
          <w:rFonts w:ascii="Arial" w:eastAsia="Calibri" w:hAnsi="Arial" w:cs="Arial"/>
          <w:sz w:val="22"/>
        </w:rPr>
        <w:t xml:space="preserve">No obstante, </w:t>
      </w:r>
      <w:r w:rsidR="00036D3B" w:rsidRPr="00F35561">
        <w:rPr>
          <w:rFonts w:ascii="Arial" w:eastAsia="Calibri" w:hAnsi="Arial" w:cs="Arial"/>
          <w:sz w:val="22"/>
        </w:rPr>
        <w:t>el pasado 21 de julio</w:t>
      </w:r>
      <w:r w:rsidR="00650B72">
        <w:rPr>
          <w:rFonts w:ascii="Arial" w:eastAsia="Calibri" w:hAnsi="Arial" w:cs="Arial"/>
          <w:sz w:val="22"/>
        </w:rPr>
        <w:t>,</w:t>
      </w:r>
      <w:r w:rsidR="00036D3B" w:rsidRPr="00F35561">
        <w:rPr>
          <w:rFonts w:ascii="Arial" w:eastAsia="Calibri" w:hAnsi="Arial" w:cs="Arial"/>
          <w:sz w:val="22"/>
        </w:rPr>
        <w:t xml:space="preserve"> la Agencia Nacional de Contratación Pública – Colombia Compra Eficiente expidió la Resolución No. 116 de 2020, a través de la cual se modificaron los numerales 4.2.4, 4.2.5, 4.2.6, el literal b del numeral 4.1.4 y los formatos 7 </w:t>
      </w:r>
      <w:r w:rsidR="00036D3B" w:rsidRPr="00F35561">
        <w:rPr>
          <w:rFonts w:ascii="Arial" w:hAnsi="Arial" w:cs="Arial"/>
          <w:sz w:val="22"/>
        </w:rPr>
        <w:t xml:space="preserve">de los documentos tipo de licitación de obra pública de infraestructura de transporte – Versión 2 y de selección abreviada de menor cuantía de infraestructura de transporte. El contenido de esta resolución, de conformidad con </w:t>
      </w:r>
      <w:r w:rsidR="00650B72">
        <w:rPr>
          <w:rFonts w:ascii="Arial" w:hAnsi="Arial" w:cs="Arial"/>
          <w:sz w:val="22"/>
        </w:rPr>
        <w:t>el</w:t>
      </w:r>
      <w:r w:rsidR="00036D3B" w:rsidRPr="00F35561">
        <w:rPr>
          <w:rFonts w:ascii="Arial" w:hAnsi="Arial" w:cs="Arial"/>
          <w:sz w:val="22"/>
        </w:rPr>
        <w:t xml:space="preserve"> artículo 4, rige a partir de su publicación, la cual fue efectuada el 21 de julio de 2020.</w:t>
      </w:r>
      <w:r w:rsidR="00036D3B" w:rsidRPr="00F35561">
        <w:rPr>
          <w:rFonts w:ascii="Arial" w:hAnsi="Arial" w:cs="Arial"/>
          <w:sz w:val="22"/>
        </w:rPr>
        <w:tab/>
      </w:r>
    </w:p>
    <w:p w14:paraId="7377FCF8" w14:textId="17D35163" w:rsidR="00036D3B" w:rsidRPr="00F35561" w:rsidRDefault="00036D3B" w:rsidP="00C050C2">
      <w:pPr>
        <w:pStyle w:val="Prrafodelista"/>
        <w:tabs>
          <w:tab w:val="left" w:pos="426"/>
        </w:tabs>
        <w:spacing w:before="120" w:line="276" w:lineRule="auto"/>
        <w:ind w:left="0"/>
        <w:contextualSpacing w:val="0"/>
        <w:jc w:val="both"/>
        <w:rPr>
          <w:rFonts w:ascii="Arial" w:hAnsi="Arial" w:cs="Arial"/>
          <w:sz w:val="22"/>
        </w:rPr>
      </w:pPr>
      <w:r w:rsidRPr="00F35561">
        <w:rPr>
          <w:rFonts w:ascii="Arial" w:hAnsi="Arial" w:cs="Arial"/>
          <w:sz w:val="22"/>
        </w:rPr>
        <w:tab/>
        <w:t xml:space="preserve">En ese orden de ideas, </w:t>
      </w:r>
      <w:r w:rsidR="00650B72">
        <w:rPr>
          <w:rFonts w:ascii="Arial" w:hAnsi="Arial" w:cs="Arial"/>
          <w:sz w:val="22"/>
        </w:rPr>
        <w:t>con</w:t>
      </w:r>
      <w:r w:rsidR="007E577A" w:rsidRPr="00F35561">
        <w:rPr>
          <w:rFonts w:ascii="Arial" w:hAnsi="Arial" w:cs="Arial"/>
          <w:sz w:val="22"/>
        </w:rPr>
        <w:t xml:space="preserve"> la Resolución No. 116 de 2020, el numeral 4.2.4, referido al factor de calidad de garantía adicional, </w:t>
      </w:r>
      <w:r w:rsidR="00650B72">
        <w:rPr>
          <w:rFonts w:ascii="Arial" w:hAnsi="Arial" w:cs="Arial"/>
          <w:sz w:val="22"/>
        </w:rPr>
        <w:t>no está vigente</w:t>
      </w:r>
      <w:r w:rsidR="007E577A" w:rsidRPr="00F35561">
        <w:rPr>
          <w:rFonts w:ascii="Arial" w:hAnsi="Arial" w:cs="Arial"/>
          <w:sz w:val="22"/>
        </w:rPr>
        <w:t xml:space="preserve"> la suspensión dispuesta por la Resolución No. 080 de 2020 respecto de esta parte del Documento Base, en la medida en que el artículo 4 de la Resolución No. 116 de 2020 dispone, sin estipular alguna excepción o condición, que su contenido rige a partir de su publicación.</w:t>
      </w:r>
      <w:r w:rsidR="00281DCD" w:rsidRPr="00F35561">
        <w:rPr>
          <w:rFonts w:ascii="Arial" w:hAnsi="Arial" w:cs="Arial"/>
          <w:sz w:val="22"/>
        </w:rPr>
        <w:t xml:space="preserve"> Conforme a esto, desde el 21 de julio de 2020</w:t>
      </w:r>
      <w:r w:rsidR="00650B72">
        <w:rPr>
          <w:rFonts w:ascii="Arial" w:hAnsi="Arial" w:cs="Arial"/>
          <w:sz w:val="22"/>
        </w:rPr>
        <w:t>,</w:t>
      </w:r>
      <w:r w:rsidR="00281DCD" w:rsidRPr="00F35561">
        <w:rPr>
          <w:rFonts w:ascii="Arial" w:hAnsi="Arial" w:cs="Arial"/>
          <w:sz w:val="22"/>
        </w:rPr>
        <w:t xml:space="preserve"> las entidades estatales que aplican </w:t>
      </w:r>
      <w:r w:rsidR="002A78AC">
        <w:rPr>
          <w:rFonts w:ascii="Arial" w:hAnsi="Arial" w:cs="Arial"/>
          <w:sz w:val="22"/>
        </w:rPr>
        <w:t>d</w:t>
      </w:r>
      <w:r w:rsidR="00650B72" w:rsidRPr="00F35561">
        <w:rPr>
          <w:rFonts w:ascii="Arial" w:hAnsi="Arial" w:cs="Arial"/>
          <w:sz w:val="22"/>
        </w:rPr>
        <w:t xml:space="preserve">ocumentos </w:t>
      </w:r>
      <w:r w:rsidR="002A78AC">
        <w:rPr>
          <w:rFonts w:ascii="Arial" w:hAnsi="Arial" w:cs="Arial"/>
          <w:sz w:val="22"/>
        </w:rPr>
        <w:t>t</w:t>
      </w:r>
      <w:r w:rsidR="00650B72" w:rsidRPr="00F35561">
        <w:rPr>
          <w:rFonts w:ascii="Arial" w:hAnsi="Arial" w:cs="Arial"/>
          <w:sz w:val="22"/>
        </w:rPr>
        <w:t>ipo</w:t>
      </w:r>
      <w:r w:rsidR="00281DCD" w:rsidRPr="00F35561">
        <w:rPr>
          <w:rFonts w:ascii="Arial" w:hAnsi="Arial" w:cs="Arial"/>
          <w:sz w:val="22"/>
        </w:rPr>
        <w:t xml:space="preserve"> de licitación pública</w:t>
      </w:r>
      <w:r w:rsidR="002A78AC">
        <w:rPr>
          <w:rFonts w:ascii="Arial" w:hAnsi="Arial" w:cs="Arial"/>
          <w:sz w:val="22"/>
        </w:rPr>
        <w:t xml:space="preserve"> </w:t>
      </w:r>
      <w:r w:rsidR="00281DCD" w:rsidRPr="00F35561">
        <w:rPr>
          <w:rFonts w:ascii="Arial" w:hAnsi="Arial" w:cs="Arial"/>
          <w:sz w:val="22"/>
        </w:rPr>
        <w:t>–versión 2– y</w:t>
      </w:r>
      <w:r w:rsidR="002A78AC">
        <w:rPr>
          <w:rFonts w:ascii="Arial" w:hAnsi="Arial" w:cs="Arial"/>
          <w:sz w:val="22"/>
        </w:rPr>
        <w:t xml:space="preserve"> de</w:t>
      </w:r>
      <w:r w:rsidR="00281DCD" w:rsidRPr="00F35561">
        <w:rPr>
          <w:rFonts w:ascii="Arial" w:hAnsi="Arial" w:cs="Arial"/>
          <w:sz w:val="22"/>
        </w:rPr>
        <w:t xml:space="preserve"> selección abreviada de menor cuantía para contrat</w:t>
      </w:r>
      <w:r w:rsidR="00650B72">
        <w:rPr>
          <w:rFonts w:ascii="Arial" w:hAnsi="Arial" w:cs="Arial"/>
          <w:sz w:val="22"/>
        </w:rPr>
        <w:t>o</w:t>
      </w:r>
      <w:r w:rsidR="00281DCD" w:rsidRPr="00F35561">
        <w:rPr>
          <w:rFonts w:ascii="Arial" w:hAnsi="Arial" w:cs="Arial"/>
          <w:sz w:val="22"/>
        </w:rPr>
        <w:t xml:space="preserve">s de obra pública de infraestructura de transporte están facultadas para incluir en </w:t>
      </w:r>
      <w:r w:rsidR="002A78AC">
        <w:rPr>
          <w:rFonts w:ascii="Arial" w:hAnsi="Arial" w:cs="Arial"/>
          <w:sz w:val="22"/>
        </w:rPr>
        <w:t>los</w:t>
      </w:r>
      <w:r w:rsidR="00281DCD" w:rsidRPr="00F35561">
        <w:rPr>
          <w:rFonts w:ascii="Arial" w:hAnsi="Arial" w:cs="Arial"/>
          <w:sz w:val="22"/>
        </w:rPr>
        <w:t xml:space="preserve"> pliegos de condiciones el factor de calidad de garantía adicional, con las modificaciones introducidas por la Resolución No. 116 de 2020.</w:t>
      </w:r>
    </w:p>
    <w:p w14:paraId="5A27AADB" w14:textId="508CDFC5" w:rsidR="00281DCD" w:rsidRPr="00F35561" w:rsidRDefault="00281DCD" w:rsidP="00C050C2">
      <w:pPr>
        <w:pStyle w:val="Prrafodelista"/>
        <w:tabs>
          <w:tab w:val="left" w:pos="426"/>
        </w:tabs>
        <w:spacing w:before="120" w:line="276" w:lineRule="auto"/>
        <w:ind w:left="0"/>
        <w:contextualSpacing w:val="0"/>
        <w:jc w:val="both"/>
        <w:rPr>
          <w:rFonts w:ascii="Arial" w:eastAsia="Calibri" w:hAnsi="Arial" w:cs="Arial"/>
          <w:sz w:val="22"/>
        </w:rPr>
      </w:pPr>
      <w:r w:rsidRPr="00F35561">
        <w:rPr>
          <w:rFonts w:ascii="Arial" w:hAnsi="Arial" w:cs="Arial"/>
          <w:sz w:val="22"/>
        </w:rPr>
        <w:lastRenderedPageBreak/>
        <w:tab/>
      </w:r>
      <w:r w:rsidR="00CA143D" w:rsidRPr="00F35561">
        <w:rPr>
          <w:rFonts w:ascii="Arial" w:hAnsi="Arial" w:cs="Arial"/>
          <w:sz w:val="22"/>
        </w:rPr>
        <w:t xml:space="preserve">Por el contrario, </w:t>
      </w:r>
      <w:r w:rsidR="00650B72">
        <w:rPr>
          <w:rFonts w:ascii="Arial" w:hAnsi="Arial" w:cs="Arial"/>
          <w:sz w:val="22"/>
        </w:rPr>
        <w:t>en lo relacionado con</w:t>
      </w:r>
      <w:r w:rsidRPr="00F35561">
        <w:rPr>
          <w:rFonts w:ascii="Arial" w:hAnsi="Arial" w:cs="Arial"/>
          <w:sz w:val="22"/>
        </w:rPr>
        <w:t xml:space="preserve"> la suspensión del numeral 3.6 del documento base no </w:t>
      </w:r>
      <w:r w:rsidR="00650B72">
        <w:rPr>
          <w:rFonts w:ascii="Arial" w:hAnsi="Arial" w:cs="Arial"/>
          <w:sz w:val="22"/>
        </w:rPr>
        <w:t>es</w:t>
      </w:r>
      <w:r w:rsidR="00650B72" w:rsidRPr="00F35561">
        <w:rPr>
          <w:rFonts w:ascii="Arial" w:hAnsi="Arial" w:cs="Arial"/>
          <w:sz w:val="22"/>
        </w:rPr>
        <w:t xml:space="preserve"> </w:t>
      </w:r>
      <w:r w:rsidRPr="00F35561">
        <w:rPr>
          <w:rFonts w:ascii="Arial" w:hAnsi="Arial" w:cs="Arial"/>
          <w:sz w:val="22"/>
        </w:rPr>
        <w:t>posible una conclusión similar</w:t>
      </w:r>
      <w:r w:rsidR="00650B72">
        <w:rPr>
          <w:rFonts w:ascii="Arial" w:hAnsi="Arial" w:cs="Arial"/>
          <w:sz w:val="22"/>
        </w:rPr>
        <w:t>,</w:t>
      </w:r>
      <w:r w:rsidRPr="00F35561">
        <w:rPr>
          <w:rFonts w:ascii="Arial" w:hAnsi="Arial" w:cs="Arial"/>
          <w:sz w:val="22"/>
        </w:rPr>
        <w:t xml:space="preserve"> ya que ni la Resolución No. 116 de 2020 ni alguna otra expedida por </w:t>
      </w:r>
      <w:r w:rsidR="00926895">
        <w:rPr>
          <w:rFonts w:ascii="Arial" w:hAnsi="Arial" w:cs="Arial"/>
          <w:sz w:val="22"/>
        </w:rPr>
        <w:t>l</w:t>
      </w:r>
      <w:r w:rsidRPr="00F35561">
        <w:rPr>
          <w:rFonts w:ascii="Arial" w:hAnsi="Arial" w:cs="Arial"/>
          <w:sz w:val="22"/>
        </w:rPr>
        <w:t xml:space="preserve">a entidad </w:t>
      </w:r>
      <w:r w:rsidR="00926895">
        <w:rPr>
          <w:rFonts w:ascii="Arial" w:hAnsi="Arial" w:cs="Arial"/>
          <w:sz w:val="22"/>
        </w:rPr>
        <w:t>modifican</w:t>
      </w:r>
      <w:r w:rsidR="00650B72">
        <w:rPr>
          <w:rFonts w:ascii="Arial" w:hAnsi="Arial" w:cs="Arial"/>
          <w:sz w:val="22"/>
        </w:rPr>
        <w:t xml:space="preserve"> el</w:t>
      </w:r>
      <w:r w:rsidRPr="00F35561">
        <w:rPr>
          <w:rFonts w:ascii="Arial" w:hAnsi="Arial" w:cs="Arial"/>
          <w:sz w:val="22"/>
        </w:rPr>
        <w:t xml:space="preserve"> numeral que regula </w:t>
      </w:r>
      <w:r w:rsidR="00650B72">
        <w:rPr>
          <w:rFonts w:ascii="Arial" w:hAnsi="Arial" w:cs="Arial"/>
          <w:sz w:val="22"/>
        </w:rPr>
        <w:t>la</w:t>
      </w:r>
      <w:r w:rsidRPr="00F35561">
        <w:rPr>
          <w:rFonts w:ascii="Arial" w:hAnsi="Arial" w:cs="Arial"/>
          <w:sz w:val="22"/>
        </w:rPr>
        <w:t xml:space="preserve"> visita al sitio de la obra. Conforme a esto, la </w:t>
      </w:r>
      <w:r w:rsidR="00CA143D" w:rsidRPr="00F35561">
        <w:rPr>
          <w:rFonts w:ascii="Arial" w:hAnsi="Arial" w:cs="Arial"/>
          <w:sz w:val="22"/>
        </w:rPr>
        <w:t>suspensión</w:t>
      </w:r>
      <w:r w:rsidRPr="00F35561">
        <w:rPr>
          <w:rFonts w:ascii="Arial" w:hAnsi="Arial" w:cs="Arial"/>
          <w:sz w:val="22"/>
        </w:rPr>
        <w:t xml:space="preserve"> dispuesta por la Resolución No. 080 de 2020 se mantiene en los términos en los que fue establecida en el artículo 1 de </w:t>
      </w:r>
      <w:r w:rsidR="00926895">
        <w:rPr>
          <w:rFonts w:ascii="Arial" w:hAnsi="Arial" w:cs="Arial"/>
          <w:sz w:val="22"/>
        </w:rPr>
        <w:t>este acto administrativo</w:t>
      </w:r>
      <w:r w:rsidRPr="00F35561">
        <w:rPr>
          <w:rFonts w:ascii="Arial" w:hAnsi="Arial" w:cs="Arial"/>
          <w:sz w:val="22"/>
        </w:rPr>
        <w:t xml:space="preserve">, que </w:t>
      </w:r>
      <w:r w:rsidR="00CA143D" w:rsidRPr="00F35561">
        <w:rPr>
          <w:rFonts w:ascii="Arial" w:hAnsi="Arial" w:cs="Arial"/>
          <w:sz w:val="22"/>
        </w:rPr>
        <w:t xml:space="preserve">la extendían durante la vigencia de la medida de aislamiento preventivo obligatorio decretada por el Decreto 457 de 2020 y las normas que lo modifiquen.  </w:t>
      </w:r>
    </w:p>
    <w:p w14:paraId="763F8C22" w14:textId="29E28645" w:rsidR="006B479A" w:rsidRPr="00F35561" w:rsidRDefault="00914236" w:rsidP="00747898">
      <w:pPr>
        <w:pStyle w:val="Prrafodelista"/>
        <w:tabs>
          <w:tab w:val="left" w:pos="426"/>
        </w:tabs>
        <w:spacing w:line="276" w:lineRule="auto"/>
        <w:ind w:left="0"/>
        <w:contextualSpacing w:val="0"/>
        <w:jc w:val="both"/>
        <w:rPr>
          <w:rFonts w:ascii="Arial" w:eastAsia="Calibri" w:hAnsi="Arial" w:cs="Arial"/>
          <w:sz w:val="22"/>
          <w:lang w:val="es-ES_tradnl"/>
        </w:rPr>
      </w:pPr>
      <w:r w:rsidRPr="00F35561">
        <w:rPr>
          <w:rFonts w:ascii="Arial" w:eastAsia="Calibri" w:hAnsi="Arial" w:cs="Arial"/>
          <w:sz w:val="22"/>
        </w:rPr>
        <w:tab/>
      </w:r>
    </w:p>
    <w:p w14:paraId="48E560A8" w14:textId="2C99EE1F" w:rsidR="00EF5B40" w:rsidRPr="00F35561" w:rsidRDefault="00A862CB" w:rsidP="00EF5B40">
      <w:pPr>
        <w:spacing w:line="276" w:lineRule="auto"/>
        <w:jc w:val="both"/>
        <w:rPr>
          <w:rFonts w:ascii="Arial" w:eastAsia="Calibri" w:hAnsi="Arial" w:cs="Arial"/>
          <w:b/>
          <w:bCs/>
          <w:sz w:val="22"/>
        </w:rPr>
      </w:pPr>
      <w:r w:rsidRPr="00F35561">
        <w:rPr>
          <w:rFonts w:ascii="Arial" w:eastAsia="Calibri" w:hAnsi="Arial" w:cs="Arial"/>
          <w:b/>
          <w:bCs/>
          <w:sz w:val="22"/>
        </w:rPr>
        <w:t>2.</w:t>
      </w:r>
      <w:r w:rsidR="00764EA5" w:rsidRPr="00F35561">
        <w:rPr>
          <w:rFonts w:ascii="Arial" w:eastAsia="Calibri" w:hAnsi="Arial" w:cs="Arial"/>
          <w:b/>
          <w:bCs/>
          <w:sz w:val="22"/>
        </w:rPr>
        <w:t>2</w:t>
      </w:r>
      <w:r w:rsidRPr="00F35561">
        <w:rPr>
          <w:rFonts w:ascii="Arial" w:eastAsia="Calibri" w:hAnsi="Arial" w:cs="Arial"/>
          <w:b/>
          <w:bCs/>
          <w:sz w:val="22"/>
        </w:rPr>
        <w:t xml:space="preserve">. </w:t>
      </w:r>
      <w:r w:rsidR="008A1950" w:rsidRPr="00F35561">
        <w:rPr>
          <w:rFonts w:ascii="Arial" w:eastAsia="Calibri" w:hAnsi="Arial" w:cs="Arial"/>
          <w:b/>
          <w:bCs/>
          <w:sz w:val="22"/>
        </w:rPr>
        <w:t xml:space="preserve">El aislamiento preventivo obligatorio </w:t>
      </w:r>
      <w:r w:rsidR="00A32C1F" w:rsidRPr="00F35561">
        <w:rPr>
          <w:rFonts w:ascii="Arial" w:eastAsia="Calibri" w:hAnsi="Arial" w:cs="Arial"/>
          <w:b/>
          <w:bCs/>
          <w:sz w:val="22"/>
        </w:rPr>
        <w:t>y la Resolución No. 080 de 2020</w:t>
      </w:r>
    </w:p>
    <w:p w14:paraId="7689FB51" w14:textId="77777777" w:rsidR="00747898" w:rsidRPr="00F35561" w:rsidRDefault="00747898" w:rsidP="00747898">
      <w:pPr>
        <w:pStyle w:val="Prrafodelista"/>
        <w:spacing w:line="276" w:lineRule="auto"/>
        <w:ind w:left="0" w:firstLine="709"/>
        <w:contextualSpacing w:val="0"/>
        <w:jc w:val="both"/>
        <w:rPr>
          <w:rFonts w:ascii="Arial" w:hAnsi="Arial" w:cs="Arial"/>
          <w:sz w:val="22"/>
          <w:lang w:val="es-ES_tradnl"/>
        </w:rPr>
      </w:pPr>
    </w:p>
    <w:p w14:paraId="27240881" w14:textId="68BEF362" w:rsidR="00116898" w:rsidRDefault="00116898" w:rsidP="00B51FA2">
      <w:pPr>
        <w:pStyle w:val="Prrafodelista"/>
        <w:spacing w:after="120" w:line="276" w:lineRule="auto"/>
        <w:ind w:left="0"/>
        <w:contextualSpacing w:val="0"/>
        <w:jc w:val="both"/>
        <w:rPr>
          <w:rFonts w:ascii="Arial" w:hAnsi="Arial" w:cs="Arial"/>
          <w:sz w:val="22"/>
          <w:lang w:val="es-ES_tradnl"/>
        </w:rPr>
      </w:pPr>
      <w:r>
        <w:rPr>
          <w:rFonts w:ascii="Arial" w:hAnsi="Arial" w:cs="Arial"/>
          <w:sz w:val="22"/>
          <w:lang w:val="es-ES_tradnl"/>
        </w:rPr>
        <w:t>E</w:t>
      </w:r>
      <w:r w:rsidR="00EA7D96" w:rsidRPr="00F35561">
        <w:rPr>
          <w:rFonts w:ascii="Arial" w:hAnsi="Arial" w:cs="Arial"/>
          <w:sz w:val="22"/>
          <w:lang w:val="es-ES_tradnl"/>
        </w:rPr>
        <w:t>l mundo –y particularmente Colombia– atraviesa una situación grave en materia de salud, causada por la pandemia del virus COVID-19, declarada así por la Organización Mundial de la Salud (OMS) el 11 de marzo de 2020</w:t>
      </w:r>
      <w:r w:rsidR="00EA7D96" w:rsidRPr="00F35561">
        <w:rPr>
          <w:rStyle w:val="Refdenotaalpie"/>
          <w:rFonts w:ascii="Arial" w:hAnsi="Arial" w:cs="Arial"/>
          <w:sz w:val="22"/>
          <w:lang w:val="es-ES_tradnl"/>
        </w:rPr>
        <w:footnoteReference w:id="5"/>
      </w:r>
      <w:r w:rsidR="00EA7D96" w:rsidRPr="00F35561">
        <w:rPr>
          <w:rFonts w:ascii="Arial" w:hAnsi="Arial" w:cs="Arial"/>
          <w:sz w:val="22"/>
          <w:lang w:val="es-ES_tradnl"/>
        </w:rPr>
        <w:t>.</w:t>
      </w:r>
      <w:r w:rsidR="00BB13AF">
        <w:rPr>
          <w:rFonts w:ascii="Arial" w:eastAsia="Calibri" w:hAnsi="Arial" w:cs="Arial"/>
          <w:sz w:val="22"/>
          <w:lang w:val="es-ES_tradnl"/>
        </w:rPr>
        <w:t xml:space="preserve"> </w:t>
      </w:r>
      <w:r w:rsidR="00EA7D96" w:rsidRPr="00F35561">
        <w:rPr>
          <w:rFonts w:ascii="Arial" w:eastAsia="Calibri" w:hAnsi="Arial" w:cs="Arial"/>
          <w:sz w:val="22"/>
          <w:lang w:val="es-ES_tradnl"/>
        </w:rPr>
        <w:t>Desde</w:t>
      </w:r>
      <w:r w:rsidR="00EA7D96" w:rsidRPr="00F35561">
        <w:rPr>
          <w:rFonts w:ascii="Arial" w:hAnsi="Arial" w:cs="Arial"/>
          <w:sz w:val="22"/>
          <w:lang w:val="es-ES_tradnl"/>
        </w:rPr>
        <w:t xml:space="preserve"> que se </w:t>
      </w:r>
      <w:r>
        <w:rPr>
          <w:rFonts w:ascii="Arial" w:hAnsi="Arial" w:cs="Arial"/>
          <w:color w:val="000000"/>
          <w:sz w:val="22"/>
          <w:shd w:val="clear" w:color="auto" w:fill="FFFFFF"/>
        </w:rPr>
        <w:t>conoció</w:t>
      </w:r>
      <w:r w:rsidR="00EA7D96" w:rsidRPr="00F35561">
        <w:rPr>
          <w:rFonts w:ascii="Arial" w:hAnsi="Arial" w:cs="Arial"/>
          <w:sz w:val="22"/>
          <w:lang w:val="es-ES_tradnl"/>
        </w:rPr>
        <w:t xml:space="preserv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00EA7D96" w:rsidRPr="00F35561">
        <w:rPr>
          <w:rStyle w:val="Refdenotaalpie"/>
          <w:rFonts w:ascii="Arial" w:hAnsi="Arial" w:cs="Arial"/>
          <w:sz w:val="22"/>
          <w:lang w:val="es-ES_tradnl"/>
        </w:rPr>
        <w:footnoteReference w:id="6"/>
      </w:r>
      <w:r w:rsidR="00EA7D96" w:rsidRPr="00F35561">
        <w:rPr>
          <w:rFonts w:ascii="Arial" w:hAnsi="Arial" w:cs="Arial"/>
          <w:sz w:val="22"/>
          <w:lang w:val="es-ES_tradnl"/>
        </w:rPr>
        <w:t>. A partir de esta fecha, el Ministerio, al igual que otras autoridades, han exp</w:t>
      </w:r>
      <w:r>
        <w:rPr>
          <w:rFonts w:ascii="Arial" w:hAnsi="Arial" w:cs="Arial"/>
          <w:sz w:val="22"/>
          <w:lang w:val="es-ES_tradnl"/>
        </w:rPr>
        <w:t>e</w:t>
      </w:r>
      <w:r w:rsidR="00EA7D96" w:rsidRPr="00F35561">
        <w:rPr>
          <w:rFonts w:ascii="Arial" w:hAnsi="Arial" w:cs="Arial"/>
          <w:sz w:val="22"/>
          <w:lang w:val="es-ES_tradnl"/>
        </w:rPr>
        <w:t xml:space="preserve">dido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w:t>
      </w:r>
    </w:p>
    <w:p w14:paraId="1FF39BFA" w14:textId="1F51E392" w:rsidR="00EA7D96" w:rsidRDefault="00EA7D96" w:rsidP="009C1244">
      <w:pPr>
        <w:pStyle w:val="Prrafodelista"/>
        <w:spacing w:before="120" w:after="120" w:line="276" w:lineRule="auto"/>
        <w:ind w:left="0" w:firstLine="709"/>
        <w:contextualSpacing w:val="0"/>
        <w:jc w:val="both"/>
        <w:rPr>
          <w:rFonts w:ascii="Arial" w:hAnsi="Arial" w:cs="Arial"/>
          <w:sz w:val="22"/>
          <w:lang w:val="es-ES_tradnl"/>
        </w:rPr>
      </w:pPr>
      <w:r w:rsidRPr="00F35561">
        <w:rPr>
          <w:rFonts w:ascii="Arial" w:hAnsi="Arial" w:cs="Arial"/>
          <w:sz w:val="22"/>
          <w:lang w:val="es-ES_tradnl"/>
        </w:rPr>
        <w:t>El 17 de marzo, el presidente de la república decretó</w:t>
      </w:r>
      <w:r w:rsidRPr="00F35561">
        <w:rPr>
          <w:rStyle w:val="Refdenotaalpie"/>
          <w:rFonts w:ascii="Arial" w:hAnsi="Arial" w:cs="Arial"/>
          <w:sz w:val="22"/>
          <w:lang w:val="es-ES_tradnl"/>
        </w:rPr>
        <w:footnoteReference w:id="7"/>
      </w:r>
      <w:r w:rsidRPr="00F35561">
        <w:rPr>
          <w:rFonts w:ascii="Arial" w:hAnsi="Arial" w:cs="Arial"/>
          <w:sz w:val="22"/>
          <w:lang w:val="es-ES_tradnl"/>
        </w:rPr>
        <w:t xml:space="preserve"> el Estado de emergencia económica, social y ecológica, con fundamento en el artículo 215 de la Constitución</w:t>
      </w:r>
      <w:r w:rsidRPr="00F35561">
        <w:rPr>
          <w:rStyle w:val="Refdenotaalpie"/>
          <w:rFonts w:ascii="Arial" w:hAnsi="Arial" w:cs="Arial"/>
          <w:sz w:val="22"/>
          <w:lang w:val="es-ES_tradnl"/>
        </w:rPr>
        <w:footnoteReference w:id="8"/>
      </w:r>
      <w:r w:rsidRPr="00F35561">
        <w:rPr>
          <w:rFonts w:ascii="Arial" w:hAnsi="Arial" w:cs="Arial"/>
          <w:sz w:val="22"/>
          <w:lang w:val="es-ES_tradnl"/>
        </w:rPr>
        <w:t>, ordenando, como primera medida, el aislamiento preventivo de los mayores de 70 años desde el viernes 20 de marzo a las 7:00 a.m., hasta el 31 de mayo de 2020</w:t>
      </w:r>
      <w:r w:rsidRPr="00F35561">
        <w:rPr>
          <w:rStyle w:val="Refdenotaalpie"/>
          <w:rFonts w:ascii="Arial" w:hAnsi="Arial" w:cs="Arial"/>
          <w:sz w:val="22"/>
          <w:lang w:val="es-ES_tradnl"/>
        </w:rPr>
        <w:footnoteReference w:id="9"/>
      </w:r>
      <w:r w:rsidRPr="00F35561">
        <w:rPr>
          <w:rFonts w:ascii="Arial" w:hAnsi="Arial" w:cs="Arial"/>
          <w:sz w:val="22"/>
          <w:lang w:val="es-ES_tradnl"/>
        </w:rPr>
        <w:t xml:space="preserve">. </w:t>
      </w:r>
      <w:r w:rsidRPr="00F35561">
        <w:rPr>
          <w:rFonts w:ascii="Arial" w:hAnsi="Arial" w:cs="Arial"/>
          <w:sz w:val="22"/>
          <w:lang w:val="es-ES_tradnl"/>
        </w:rPr>
        <w:lastRenderedPageBreak/>
        <w:t>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w:t>
      </w:r>
      <w:r w:rsidR="00116898">
        <w:rPr>
          <w:rFonts w:ascii="Arial" w:hAnsi="Arial" w:cs="Arial"/>
          <w:sz w:val="22"/>
          <w:lang w:val="es-ES_tradnl"/>
        </w:rPr>
        <w:t>.</w:t>
      </w:r>
    </w:p>
    <w:p w14:paraId="29178BE7" w14:textId="3A174B81" w:rsidR="00CF3CFB" w:rsidRPr="00B51FA2" w:rsidRDefault="00CF3CFB" w:rsidP="00B51FA2">
      <w:pPr>
        <w:spacing w:before="120" w:after="120" w:line="276" w:lineRule="auto"/>
        <w:ind w:firstLine="709"/>
        <w:jc w:val="both"/>
        <w:rPr>
          <w:rFonts w:ascii="Arial" w:eastAsia="Calibri" w:hAnsi="Arial" w:cs="Arial"/>
          <w:bCs/>
          <w:sz w:val="22"/>
          <w:lang w:val="es-CO"/>
        </w:rPr>
      </w:pPr>
      <w:r>
        <w:rPr>
          <w:rFonts w:ascii="Arial" w:eastAsia="Calibri" w:hAnsi="Arial" w:cs="Arial"/>
          <w:bCs/>
          <w:sz w:val="22"/>
          <w:lang w:val="es-CO"/>
        </w:rPr>
        <w:t xml:space="preserve">A la fecha, la extensión del aislamiento obligatorio se ha prorrogado mediante ocho (8) Decretos: i) el Decreto 531 del 8 de abril de 2020, el cual ordenó el aislamiento desde las cero horas (00:00 </w:t>
      </w:r>
      <w:proofErr w:type="spellStart"/>
      <w:r>
        <w:rPr>
          <w:rFonts w:ascii="Arial" w:eastAsia="Calibri" w:hAnsi="Arial" w:cs="Arial"/>
          <w:bCs/>
          <w:sz w:val="22"/>
          <w:lang w:val="es-CO"/>
        </w:rPr>
        <w:t>a.m</w:t>
      </w:r>
      <w:proofErr w:type="spellEnd"/>
      <w:r>
        <w:rPr>
          <w:rFonts w:ascii="Arial" w:eastAsia="Calibri" w:hAnsi="Arial" w:cs="Arial"/>
          <w:bCs/>
          <w:sz w:val="22"/>
          <w:lang w:val="es-CO"/>
        </w:rPr>
        <w:t xml:space="preserve">) del día 13 de abril de 2020, hasta las cero horas (00:00 </w:t>
      </w:r>
      <w:proofErr w:type="spellStart"/>
      <w:r>
        <w:rPr>
          <w:rFonts w:ascii="Arial" w:eastAsia="Calibri" w:hAnsi="Arial" w:cs="Arial"/>
          <w:bCs/>
          <w:sz w:val="22"/>
          <w:lang w:val="es-CO"/>
        </w:rPr>
        <w:t>a.m</w:t>
      </w:r>
      <w:proofErr w:type="spellEnd"/>
      <w:r>
        <w:rPr>
          <w:rFonts w:ascii="Arial" w:eastAsia="Calibri" w:hAnsi="Arial" w:cs="Arial"/>
          <w:bCs/>
          <w:sz w:val="22"/>
          <w:lang w:val="es-CO"/>
        </w:rPr>
        <w:t xml:space="preserve">) del día 27 de abril de 2020; </w:t>
      </w:r>
      <w:proofErr w:type="spellStart"/>
      <w:r>
        <w:rPr>
          <w:rFonts w:ascii="Arial" w:eastAsia="Calibri" w:hAnsi="Arial" w:cs="Arial"/>
          <w:bCs/>
          <w:sz w:val="22"/>
          <w:lang w:val="es-CO"/>
        </w:rPr>
        <w:t>ii</w:t>
      </w:r>
      <w:proofErr w:type="spellEnd"/>
      <w:r>
        <w:rPr>
          <w:rFonts w:ascii="Arial" w:eastAsia="Calibri" w:hAnsi="Arial" w:cs="Arial"/>
          <w:bCs/>
          <w:sz w:val="22"/>
          <w:lang w:val="es-CO"/>
        </w:rPr>
        <w:t xml:space="preserve">) el Decreto 593 del 24 de abril de 2020, el cual ordenó el aislamiento desde las cero horas (00:00 </w:t>
      </w:r>
      <w:proofErr w:type="spellStart"/>
      <w:r>
        <w:rPr>
          <w:rFonts w:ascii="Arial" w:eastAsia="Calibri" w:hAnsi="Arial" w:cs="Arial"/>
          <w:bCs/>
          <w:sz w:val="22"/>
          <w:lang w:val="es-CO"/>
        </w:rPr>
        <w:t>a.m</w:t>
      </w:r>
      <w:proofErr w:type="spellEnd"/>
      <w:r>
        <w:rPr>
          <w:rFonts w:ascii="Arial" w:eastAsia="Calibri" w:hAnsi="Arial" w:cs="Arial"/>
          <w:bCs/>
          <w:sz w:val="22"/>
          <w:lang w:val="es-CO"/>
        </w:rPr>
        <w:t xml:space="preserve">) del día 27 de abril de 2020, hasta las cero horas (00:00 </w:t>
      </w:r>
      <w:proofErr w:type="spellStart"/>
      <w:r>
        <w:rPr>
          <w:rFonts w:ascii="Arial" w:eastAsia="Calibri" w:hAnsi="Arial" w:cs="Arial"/>
          <w:bCs/>
          <w:sz w:val="22"/>
          <w:lang w:val="es-CO"/>
        </w:rPr>
        <w:t>a.m</w:t>
      </w:r>
      <w:proofErr w:type="spellEnd"/>
      <w:r>
        <w:rPr>
          <w:rFonts w:ascii="Arial" w:eastAsia="Calibri" w:hAnsi="Arial" w:cs="Arial"/>
          <w:bCs/>
          <w:sz w:val="22"/>
          <w:lang w:val="es-CO"/>
        </w:rPr>
        <w:t xml:space="preserve">) del día 11 de mayo de 2020; </w:t>
      </w:r>
      <w:proofErr w:type="spellStart"/>
      <w:r>
        <w:rPr>
          <w:rFonts w:ascii="Arial" w:eastAsia="Calibri" w:hAnsi="Arial" w:cs="Arial"/>
          <w:bCs/>
          <w:sz w:val="22"/>
          <w:lang w:val="es-CO"/>
        </w:rPr>
        <w:t>ii</w:t>
      </w:r>
      <w:r w:rsidR="00082F0F">
        <w:rPr>
          <w:rFonts w:ascii="Arial" w:eastAsia="Calibri" w:hAnsi="Arial" w:cs="Arial"/>
          <w:bCs/>
          <w:sz w:val="22"/>
          <w:lang w:val="es-CO"/>
        </w:rPr>
        <w:t>i</w:t>
      </w:r>
      <w:proofErr w:type="spellEnd"/>
      <w:r>
        <w:rPr>
          <w:rFonts w:ascii="Arial" w:eastAsia="Calibri" w:hAnsi="Arial" w:cs="Arial"/>
          <w:bCs/>
          <w:sz w:val="22"/>
          <w:lang w:val="es-CO"/>
        </w:rPr>
        <w:t xml:space="preserve">) el Decreto 636 del 6 de mayo de 2020, por medio del cual se ordenó el aislamiento preventivo obligatorio entre las cero horas (00:00 </w:t>
      </w:r>
      <w:proofErr w:type="spellStart"/>
      <w:r>
        <w:rPr>
          <w:rFonts w:ascii="Arial" w:eastAsia="Calibri" w:hAnsi="Arial" w:cs="Arial"/>
          <w:bCs/>
          <w:sz w:val="22"/>
          <w:lang w:val="es-CO"/>
        </w:rPr>
        <w:t>a.m</w:t>
      </w:r>
      <w:proofErr w:type="spellEnd"/>
      <w:r>
        <w:rPr>
          <w:rFonts w:ascii="Arial" w:eastAsia="Calibri" w:hAnsi="Arial" w:cs="Arial"/>
          <w:bCs/>
          <w:sz w:val="22"/>
          <w:lang w:val="es-CO"/>
        </w:rPr>
        <w:t xml:space="preserve">) del día 11 de mayo de 2020, hasta las cero horas (00:00 </w:t>
      </w:r>
      <w:proofErr w:type="spellStart"/>
      <w:r>
        <w:rPr>
          <w:rFonts w:ascii="Arial" w:eastAsia="Calibri" w:hAnsi="Arial" w:cs="Arial"/>
          <w:bCs/>
          <w:sz w:val="22"/>
          <w:lang w:val="es-CO"/>
        </w:rPr>
        <w:t>a.m</w:t>
      </w:r>
      <w:proofErr w:type="spellEnd"/>
      <w:r>
        <w:rPr>
          <w:rFonts w:ascii="Arial" w:eastAsia="Calibri" w:hAnsi="Arial" w:cs="Arial"/>
          <w:bCs/>
          <w:sz w:val="22"/>
          <w:lang w:val="es-CO"/>
        </w:rPr>
        <w:t xml:space="preserve">) del día 25 de mayo de 2020; </w:t>
      </w:r>
      <w:proofErr w:type="spellStart"/>
      <w:r>
        <w:rPr>
          <w:rFonts w:ascii="Arial" w:eastAsia="Calibri" w:hAnsi="Arial" w:cs="Arial"/>
          <w:bCs/>
          <w:sz w:val="22"/>
          <w:lang w:val="es-CO"/>
        </w:rPr>
        <w:t>i</w:t>
      </w:r>
      <w:r w:rsidR="00082F0F">
        <w:rPr>
          <w:rFonts w:ascii="Arial" w:eastAsia="Calibri" w:hAnsi="Arial" w:cs="Arial"/>
          <w:bCs/>
          <w:sz w:val="22"/>
          <w:lang w:val="es-CO"/>
        </w:rPr>
        <w:t>v</w:t>
      </w:r>
      <w:proofErr w:type="spellEnd"/>
      <w:r>
        <w:rPr>
          <w:rFonts w:ascii="Arial" w:eastAsia="Calibri" w:hAnsi="Arial" w:cs="Arial"/>
          <w:bCs/>
          <w:sz w:val="22"/>
          <w:lang w:val="es-CO"/>
        </w:rPr>
        <w:t xml:space="preserve">) el Decreto 689 del 22 de mayo de 2020 que lo amplió hasta las cero horas (00:00 </w:t>
      </w:r>
      <w:proofErr w:type="spellStart"/>
      <w:r>
        <w:rPr>
          <w:rFonts w:ascii="Arial" w:eastAsia="Calibri" w:hAnsi="Arial" w:cs="Arial"/>
          <w:bCs/>
          <w:sz w:val="22"/>
          <w:lang w:val="es-CO"/>
        </w:rPr>
        <w:t>a.m</w:t>
      </w:r>
      <w:proofErr w:type="spellEnd"/>
      <w:r>
        <w:rPr>
          <w:rFonts w:ascii="Arial" w:eastAsia="Calibri" w:hAnsi="Arial" w:cs="Arial"/>
          <w:bCs/>
          <w:sz w:val="22"/>
          <w:lang w:val="es-CO"/>
        </w:rPr>
        <w:t xml:space="preserve">) del día 31 de mayo de 2020; v) el Decreto 749 del 28 de mayo de 2020, el cual dispuso el aislamiento preventivo obligatorio entre las cero horas </w:t>
      </w:r>
      <w:bookmarkStart w:id="5" w:name="_Hlk46941906"/>
      <w:r>
        <w:rPr>
          <w:rFonts w:ascii="Arial" w:eastAsia="Calibri" w:hAnsi="Arial" w:cs="Arial"/>
          <w:bCs/>
          <w:sz w:val="22"/>
          <w:lang w:val="es-CO"/>
        </w:rPr>
        <w:t>(00:00 a.m.) del día 1 de junio de 2020</w:t>
      </w:r>
      <w:bookmarkEnd w:id="5"/>
      <w:r>
        <w:rPr>
          <w:rFonts w:ascii="Arial" w:eastAsia="Calibri" w:hAnsi="Arial" w:cs="Arial"/>
          <w:bCs/>
          <w:sz w:val="22"/>
          <w:lang w:val="es-CO"/>
        </w:rPr>
        <w:t>, hasta las cero horas (00:00) del día 1 de julio de 2020; v</w:t>
      </w:r>
      <w:r w:rsidR="00082F0F">
        <w:rPr>
          <w:rFonts w:ascii="Arial" w:eastAsia="Calibri" w:hAnsi="Arial" w:cs="Arial"/>
          <w:bCs/>
          <w:sz w:val="22"/>
          <w:lang w:val="es-CO"/>
        </w:rPr>
        <w:t>i</w:t>
      </w:r>
      <w:r>
        <w:rPr>
          <w:rFonts w:ascii="Arial" w:eastAsia="Calibri" w:hAnsi="Arial" w:cs="Arial"/>
          <w:bCs/>
          <w:sz w:val="22"/>
          <w:lang w:val="es-CO"/>
        </w:rPr>
        <w:t xml:space="preserve">) el Decreto 878 del 25 de junio de 2020 amplió el aislamiento preventivo obligatorio hasta las (00:00 a.m.) del día 15 de julio de 2020; </w:t>
      </w:r>
      <w:proofErr w:type="spellStart"/>
      <w:r>
        <w:rPr>
          <w:rFonts w:ascii="Arial" w:eastAsia="Calibri" w:hAnsi="Arial" w:cs="Arial"/>
          <w:bCs/>
          <w:sz w:val="22"/>
          <w:lang w:val="es-CO"/>
        </w:rPr>
        <w:t>v</w:t>
      </w:r>
      <w:r w:rsidR="00082F0F">
        <w:rPr>
          <w:rFonts w:ascii="Arial" w:eastAsia="Calibri" w:hAnsi="Arial" w:cs="Arial"/>
          <w:bCs/>
          <w:sz w:val="22"/>
          <w:lang w:val="es-CO"/>
        </w:rPr>
        <w:t>i</w:t>
      </w:r>
      <w:r>
        <w:rPr>
          <w:rFonts w:ascii="Arial" w:eastAsia="Calibri" w:hAnsi="Arial" w:cs="Arial"/>
          <w:bCs/>
          <w:sz w:val="22"/>
          <w:lang w:val="es-CO"/>
        </w:rPr>
        <w:t>i</w:t>
      </w:r>
      <w:proofErr w:type="spellEnd"/>
      <w:r>
        <w:rPr>
          <w:rFonts w:ascii="Arial" w:eastAsia="Calibri" w:hAnsi="Arial" w:cs="Arial"/>
          <w:bCs/>
          <w:sz w:val="22"/>
          <w:lang w:val="es-CO"/>
        </w:rPr>
        <w:t xml:space="preserve">) el Decreto 990 del 9 de julio de 2020, el cual ordenó el aislamiento preventivo obligatorio entre las (00:00 a.m.) del día 16 de julio de 2020, hasta las (00:00 a.m.) del día 1º de agosto de 2020; y </w:t>
      </w:r>
      <w:proofErr w:type="spellStart"/>
      <w:r>
        <w:rPr>
          <w:rFonts w:ascii="Arial" w:eastAsia="Calibri" w:hAnsi="Arial" w:cs="Arial"/>
          <w:bCs/>
          <w:sz w:val="22"/>
          <w:lang w:val="es-CO"/>
        </w:rPr>
        <w:t>vii</w:t>
      </w:r>
      <w:r w:rsidR="00082F0F">
        <w:rPr>
          <w:rFonts w:ascii="Arial" w:eastAsia="Calibri" w:hAnsi="Arial" w:cs="Arial"/>
          <w:bCs/>
          <w:sz w:val="22"/>
          <w:lang w:val="es-CO"/>
        </w:rPr>
        <w:t>i</w:t>
      </w:r>
      <w:proofErr w:type="spellEnd"/>
      <w:r>
        <w:rPr>
          <w:rFonts w:ascii="Arial" w:eastAsia="Calibri" w:hAnsi="Arial" w:cs="Arial"/>
          <w:bCs/>
          <w:sz w:val="22"/>
          <w:lang w:val="es-CO"/>
        </w:rPr>
        <w:t xml:space="preserve">) el Decreto 1076 del 28 de julio de 2020, el cual dispuso el aislamiento preventivo obligatorio entre las (00:00 a.m.) del día 1º de agosto de 2020, hasta las (00:00 a.m.) del día 1º de septiembre de 2020.  </w:t>
      </w:r>
    </w:p>
    <w:p w14:paraId="5A16D668" w14:textId="7A57757F" w:rsidR="009C1244" w:rsidRPr="00F35561" w:rsidRDefault="009C1244" w:rsidP="009C1244">
      <w:pPr>
        <w:pStyle w:val="Prrafodelista"/>
        <w:spacing w:before="120" w:after="120" w:line="276" w:lineRule="auto"/>
        <w:ind w:left="0" w:firstLine="709"/>
        <w:contextualSpacing w:val="0"/>
        <w:jc w:val="both"/>
        <w:rPr>
          <w:rFonts w:ascii="Arial" w:hAnsi="Arial" w:cs="Arial"/>
          <w:sz w:val="22"/>
          <w:lang w:val="es-ES_tradnl"/>
        </w:rPr>
      </w:pPr>
      <w:r w:rsidRPr="00F35561">
        <w:rPr>
          <w:rFonts w:ascii="Arial" w:hAnsi="Arial" w:cs="Arial"/>
          <w:sz w:val="22"/>
          <w:lang w:val="es-ES_tradnl"/>
        </w:rPr>
        <w:t xml:space="preserve">Conforme a esto, la medida de aislamiento preventivo obligatorio en principio dispuesta por el Decreto 457 de 2020, aún se encuentra vigente en virtud de los </w:t>
      </w:r>
      <w:proofErr w:type="gramStart"/>
      <w:r w:rsidRPr="00F35561">
        <w:rPr>
          <w:rFonts w:ascii="Arial" w:hAnsi="Arial" w:cs="Arial"/>
          <w:sz w:val="22"/>
          <w:lang w:val="es-ES_tradnl"/>
        </w:rPr>
        <w:t>decretos</w:t>
      </w:r>
      <w:r w:rsidR="005D4E6A" w:rsidRPr="00F35561">
        <w:rPr>
          <w:rFonts w:ascii="Arial" w:hAnsi="Arial" w:cs="Arial"/>
          <w:sz w:val="22"/>
          <w:lang w:val="es-ES_tradnl"/>
        </w:rPr>
        <w:t xml:space="preserve"> </w:t>
      </w:r>
      <w:r w:rsidRPr="00F35561">
        <w:rPr>
          <w:rFonts w:ascii="Arial" w:hAnsi="Arial" w:cs="Arial"/>
          <w:sz w:val="22"/>
          <w:lang w:val="es-ES_tradnl"/>
        </w:rPr>
        <w:t xml:space="preserve"> antes</w:t>
      </w:r>
      <w:proofErr w:type="gramEnd"/>
      <w:r w:rsidRPr="00F35561">
        <w:rPr>
          <w:rFonts w:ascii="Arial" w:hAnsi="Arial" w:cs="Arial"/>
          <w:sz w:val="22"/>
          <w:lang w:val="es-ES_tradnl"/>
        </w:rPr>
        <w:t xml:space="preserve"> enunciados, particularmente del Decreto 1076 de 2020 que extendió la vigencia de la medida hasta el 1 de septiembre de 2020.</w:t>
      </w:r>
    </w:p>
    <w:p w14:paraId="341DA8AE" w14:textId="019096C6" w:rsidR="007F52E3" w:rsidRPr="00F35561" w:rsidRDefault="009C1244" w:rsidP="00B51FA2">
      <w:pPr>
        <w:pStyle w:val="Prrafodelista"/>
        <w:spacing w:before="120" w:line="276" w:lineRule="auto"/>
        <w:ind w:left="0" w:firstLine="709"/>
        <w:contextualSpacing w:val="0"/>
        <w:jc w:val="both"/>
        <w:rPr>
          <w:rFonts w:ascii="Arial" w:hAnsi="Arial" w:cs="Arial"/>
          <w:sz w:val="22"/>
        </w:rPr>
      </w:pPr>
      <w:r w:rsidRPr="00F35561">
        <w:rPr>
          <w:rFonts w:ascii="Arial" w:hAnsi="Arial" w:cs="Arial"/>
          <w:sz w:val="22"/>
          <w:lang w:val="es-ES_tradnl"/>
        </w:rPr>
        <w:t>Ahora bien, los decretos 593 y 990 de 2020</w:t>
      </w:r>
      <w:r w:rsidR="000E6B27">
        <w:rPr>
          <w:rFonts w:ascii="Arial" w:hAnsi="Arial" w:cs="Arial"/>
          <w:sz w:val="22"/>
          <w:lang w:val="es-ES_tradnl"/>
        </w:rPr>
        <w:t xml:space="preserve"> –al igual que</w:t>
      </w:r>
      <w:r w:rsidRPr="00F35561">
        <w:rPr>
          <w:rFonts w:ascii="Arial" w:hAnsi="Arial" w:cs="Arial"/>
          <w:sz w:val="22"/>
          <w:lang w:val="es-ES_tradnl"/>
        </w:rPr>
        <w:t xml:space="preserve"> el</w:t>
      </w:r>
      <w:r w:rsidR="000E6B27">
        <w:rPr>
          <w:rFonts w:ascii="Arial" w:hAnsi="Arial" w:cs="Arial"/>
          <w:sz w:val="22"/>
          <w:lang w:val="es-ES_tradnl"/>
        </w:rPr>
        <w:t xml:space="preserve"> Decreto</w:t>
      </w:r>
      <w:r w:rsidRPr="00F35561">
        <w:rPr>
          <w:rFonts w:ascii="Arial" w:hAnsi="Arial" w:cs="Arial"/>
          <w:sz w:val="22"/>
          <w:lang w:val="es-ES_tradnl"/>
        </w:rPr>
        <w:t xml:space="preserve"> 1076 </w:t>
      </w:r>
      <w:r w:rsidR="000E6B27">
        <w:rPr>
          <w:rFonts w:ascii="Arial" w:hAnsi="Arial" w:cs="Arial"/>
          <w:sz w:val="22"/>
          <w:lang w:val="es-ES_tradnl"/>
        </w:rPr>
        <w:t>de 2020–</w:t>
      </w:r>
      <w:r w:rsidRPr="00F35561">
        <w:rPr>
          <w:rFonts w:ascii="Arial" w:hAnsi="Arial" w:cs="Arial"/>
          <w:sz w:val="22"/>
          <w:lang w:val="es-ES_tradnl"/>
        </w:rPr>
        <w:t xml:space="preserve"> en aras de </w:t>
      </w:r>
      <w:r w:rsidR="007F52E3" w:rsidRPr="00F35561">
        <w:rPr>
          <w:rFonts w:ascii="Arial" w:hAnsi="Arial" w:cs="Arial"/>
          <w:sz w:val="22"/>
          <w:lang w:val="es-ES_tradnl"/>
        </w:rPr>
        <w:t>reducir las fricciones entre la implementación de la medida de aislamiento preventivo obligatorio y la satisfacción de</w:t>
      </w:r>
      <w:r w:rsidR="00F70E97" w:rsidRPr="00F35561">
        <w:rPr>
          <w:rFonts w:ascii="Arial" w:hAnsi="Arial" w:cs="Arial"/>
          <w:sz w:val="22"/>
          <w:lang w:val="es-ES_tradnl"/>
        </w:rPr>
        <w:t>l</w:t>
      </w:r>
      <w:r w:rsidR="007F52E3" w:rsidRPr="00F35561">
        <w:rPr>
          <w:rFonts w:ascii="Arial" w:hAnsi="Arial" w:cs="Arial"/>
          <w:sz w:val="22"/>
          <w:lang w:val="es-ES_tradnl"/>
        </w:rPr>
        <w:t xml:space="preserve"> </w:t>
      </w:r>
      <w:r w:rsidRPr="00F35561">
        <w:rPr>
          <w:rFonts w:ascii="Arial" w:hAnsi="Arial" w:cs="Arial"/>
          <w:sz w:val="22"/>
        </w:rPr>
        <w:t>derecho a la vida</w:t>
      </w:r>
      <w:r w:rsidR="000E6B27">
        <w:rPr>
          <w:rFonts w:ascii="Arial" w:hAnsi="Arial" w:cs="Arial"/>
          <w:sz w:val="22"/>
        </w:rPr>
        <w:t>,</w:t>
      </w:r>
      <w:r w:rsidRPr="00F35561">
        <w:rPr>
          <w:rFonts w:ascii="Arial" w:hAnsi="Arial" w:cs="Arial"/>
          <w:sz w:val="22"/>
        </w:rPr>
        <w:t xml:space="preserve"> la salud</w:t>
      </w:r>
      <w:r w:rsidR="000E6B27">
        <w:rPr>
          <w:rFonts w:ascii="Arial" w:hAnsi="Arial" w:cs="Arial"/>
          <w:sz w:val="22"/>
        </w:rPr>
        <w:t>, entre otros</w:t>
      </w:r>
      <w:r w:rsidRPr="00F35561">
        <w:rPr>
          <w:rFonts w:ascii="Arial" w:hAnsi="Arial" w:cs="Arial"/>
          <w:sz w:val="22"/>
        </w:rPr>
        <w:t>,</w:t>
      </w:r>
      <w:r w:rsidR="007F52E3" w:rsidRPr="00F35561">
        <w:rPr>
          <w:rFonts w:ascii="Arial" w:hAnsi="Arial" w:cs="Arial"/>
          <w:sz w:val="22"/>
        </w:rPr>
        <w:t xml:space="preserve"> incluyeron una serie de excepciones </w:t>
      </w:r>
      <w:r w:rsidR="000E6B27">
        <w:rPr>
          <w:rFonts w:ascii="Arial" w:hAnsi="Arial" w:cs="Arial"/>
          <w:sz w:val="22"/>
        </w:rPr>
        <w:t>permitiendo</w:t>
      </w:r>
      <w:r w:rsidR="007F52E3" w:rsidRPr="00F35561">
        <w:rPr>
          <w:rFonts w:ascii="Arial" w:hAnsi="Arial" w:cs="Arial"/>
          <w:sz w:val="22"/>
        </w:rPr>
        <w:t xml:space="preserve"> que los gobernadores y alcaldes</w:t>
      </w:r>
      <w:r w:rsidR="000E6B27">
        <w:rPr>
          <w:rFonts w:ascii="Arial" w:hAnsi="Arial" w:cs="Arial"/>
          <w:sz w:val="22"/>
        </w:rPr>
        <w:t>,</w:t>
      </w:r>
      <w:r w:rsidR="007F52E3" w:rsidRPr="00F35561">
        <w:rPr>
          <w:rFonts w:ascii="Arial" w:hAnsi="Arial" w:cs="Arial"/>
          <w:sz w:val="22"/>
        </w:rPr>
        <w:t xml:space="preserve"> en el marco de sus competencias, se abstuvieran de limitar el derecho a la circulación de las personas </w:t>
      </w:r>
      <w:r w:rsidR="000E6B27">
        <w:rPr>
          <w:rFonts w:ascii="Arial" w:hAnsi="Arial" w:cs="Arial"/>
          <w:sz w:val="22"/>
        </w:rPr>
        <w:t>frente a</w:t>
      </w:r>
      <w:r w:rsidR="007F52E3" w:rsidRPr="00F35561">
        <w:rPr>
          <w:rFonts w:ascii="Arial" w:hAnsi="Arial" w:cs="Arial"/>
          <w:sz w:val="22"/>
        </w:rPr>
        <w:t xml:space="preserve"> determinadas actividades.</w:t>
      </w:r>
      <w:r w:rsidRPr="00F35561">
        <w:rPr>
          <w:rFonts w:ascii="Arial" w:hAnsi="Arial" w:cs="Arial"/>
          <w:sz w:val="22"/>
        </w:rPr>
        <w:t xml:space="preserve"> </w:t>
      </w:r>
      <w:r w:rsidR="000E6B27">
        <w:rPr>
          <w:rFonts w:ascii="Arial" w:hAnsi="Arial" w:cs="Arial"/>
          <w:sz w:val="22"/>
        </w:rPr>
        <w:t>Por ello</w:t>
      </w:r>
      <w:r w:rsidR="007F52E3" w:rsidRPr="00F35561">
        <w:rPr>
          <w:rFonts w:ascii="Arial" w:hAnsi="Arial" w:cs="Arial"/>
          <w:sz w:val="22"/>
        </w:rPr>
        <w:t>, el numeral 18 del artículo 3 del Decreto 593 de 2020 dispuso</w:t>
      </w:r>
      <w:r w:rsidR="000E6B27">
        <w:rPr>
          <w:rFonts w:ascii="Arial" w:hAnsi="Arial" w:cs="Arial"/>
          <w:sz w:val="22"/>
        </w:rPr>
        <w:t xml:space="preserve"> que</w:t>
      </w:r>
      <w:r w:rsidR="007F52E3" w:rsidRPr="00F35561">
        <w:rPr>
          <w:rFonts w:ascii="Arial" w:hAnsi="Arial" w:cs="Arial"/>
          <w:sz w:val="22"/>
        </w:rPr>
        <w:t>:</w:t>
      </w:r>
    </w:p>
    <w:p w14:paraId="17490828" w14:textId="77777777" w:rsidR="00F70E97" w:rsidRPr="00F35561" w:rsidRDefault="00F70E97" w:rsidP="00F70E97">
      <w:pPr>
        <w:pStyle w:val="Prrafodelista"/>
        <w:spacing w:line="276" w:lineRule="auto"/>
        <w:ind w:left="709" w:right="709"/>
        <w:contextualSpacing w:val="0"/>
        <w:jc w:val="both"/>
        <w:rPr>
          <w:rFonts w:ascii="Arial" w:hAnsi="Arial" w:cs="Arial"/>
          <w:sz w:val="21"/>
          <w:szCs w:val="21"/>
        </w:rPr>
      </w:pPr>
    </w:p>
    <w:p w14:paraId="78FA6D1C" w14:textId="22F4C907" w:rsidR="00F70E97" w:rsidRPr="00BB13AF" w:rsidRDefault="007F52E3">
      <w:pPr>
        <w:pStyle w:val="Prrafodelista"/>
        <w:ind w:left="709" w:right="709"/>
        <w:contextualSpacing w:val="0"/>
        <w:jc w:val="both"/>
      </w:pPr>
      <w:r w:rsidRPr="00F35561">
        <w:rPr>
          <w:rFonts w:ascii="Arial" w:hAnsi="Arial" w:cs="Arial"/>
          <w:sz w:val="21"/>
          <w:szCs w:val="21"/>
        </w:rPr>
        <w:t>Artículo 3. Garantías para la medida de aislamiento, Para que el aislamiento preventivo obligatorio garantice el derecho a la vida, a la salud en conexidad con la vida y la supervivencia, los gobernadores y alcaldes, en el marco de la emergencia sanitaria por causa del Coronavirus COVID-19, permitirán el derecho de circulación de las personas en los siguientes casos o actividades:</w:t>
      </w:r>
    </w:p>
    <w:p w14:paraId="2DC56BBB" w14:textId="23D0D3A2" w:rsidR="00F70E97" w:rsidRPr="00B23831" w:rsidRDefault="007F52E3" w:rsidP="00B51FA2">
      <w:pPr>
        <w:pStyle w:val="Prrafodelista"/>
        <w:spacing w:after="120"/>
        <w:ind w:left="709" w:right="709"/>
        <w:contextualSpacing w:val="0"/>
        <w:jc w:val="both"/>
      </w:pPr>
      <w:r w:rsidRPr="00F35561">
        <w:rPr>
          <w:rFonts w:ascii="Arial" w:hAnsi="Arial" w:cs="Arial"/>
          <w:sz w:val="21"/>
          <w:szCs w:val="21"/>
        </w:rPr>
        <w:t>[…]</w:t>
      </w:r>
    </w:p>
    <w:p w14:paraId="700D56A6" w14:textId="3A38BD5D" w:rsidR="007F52E3" w:rsidRPr="00F35561" w:rsidRDefault="007F52E3" w:rsidP="006B479A">
      <w:pPr>
        <w:pStyle w:val="Prrafodelista"/>
        <w:ind w:left="709" w:right="709"/>
        <w:contextualSpacing w:val="0"/>
        <w:jc w:val="both"/>
        <w:rPr>
          <w:rFonts w:ascii="Arial" w:hAnsi="Arial" w:cs="Arial"/>
          <w:sz w:val="21"/>
          <w:szCs w:val="21"/>
        </w:rPr>
      </w:pPr>
      <w:r w:rsidRPr="00F35561">
        <w:rPr>
          <w:rFonts w:ascii="Arial" w:hAnsi="Arial" w:cs="Arial"/>
          <w:sz w:val="21"/>
          <w:szCs w:val="21"/>
        </w:rPr>
        <w:lastRenderedPageBreak/>
        <w:t xml:space="preserve">18. La ejecución de obras de infraestructura de transporte y obra pública, así como la cadena de suministros de materiales e insumos relacionados con la ejecución de </w:t>
      </w:r>
      <w:proofErr w:type="gramStart"/>
      <w:r w:rsidRPr="00F35561">
        <w:rPr>
          <w:rFonts w:ascii="Arial" w:hAnsi="Arial" w:cs="Arial"/>
          <w:sz w:val="21"/>
          <w:szCs w:val="21"/>
        </w:rPr>
        <w:t>las mismas</w:t>
      </w:r>
      <w:proofErr w:type="gramEnd"/>
      <w:r w:rsidRPr="00F35561">
        <w:rPr>
          <w:rFonts w:ascii="Arial" w:hAnsi="Arial" w:cs="Arial"/>
          <w:sz w:val="21"/>
          <w:szCs w:val="21"/>
        </w:rPr>
        <w:t xml:space="preserve">. </w:t>
      </w:r>
    </w:p>
    <w:p w14:paraId="4732FC7F" w14:textId="0A357A50" w:rsidR="007F52E3" w:rsidRPr="00F35561" w:rsidRDefault="007F52E3" w:rsidP="00F70E97">
      <w:pPr>
        <w:pStyle w:val="Prrafodelista"/>
        <w:spacing w:line="276" w:lineRule="auto"/>
        <w:ind w:left="0" w:firstLine="709"/>
        <w:contextualSpacing w:val="0"/>
        <w:jc w:val="both"/>
        <w:rPr>
          <w:rFonts w:ascii="Arial" w:hAnsi="Arial" w:cs="Arial"/>
          <w:sz w:val="22"/>
        </w:rPr>
      </w:pPr>
      <w:r w:rsidRPr="00F35561">
        <w:rPr>
          <w:rFonts w:ascii="Arial" w:hAnsi="Arial" w:cs="Arial"/>
          <w:sz w:val="22"/>
        </w:rPr>
        <w:t xml:space="preserve"> </w:t>
      </w:r>
    </w:p>
    <w:p w14:paraId="40A21280" w14:textId="1D53B4C6" w:rsidR="007F52E3" w:rsidRPr="00F35561" w:rsidRDefault="007F52E3" w:rsidP="00F70E97">
      <w:pPr>
        <w:spacing w:line="276" w:lineRule="auto"/>
        <w:ind w:firstLine="708"/>
        <w:jc w:val="both"/>
        <w:rPr>
          <w:rFonts w:ascii="Arial" w:hAnsi="Arial" w:cs="Arial"/>
          <w:sz w:val="22"/>
        </w:rPr>
      </w:pPr>
      <w:r w:rsidRPr="00F35561">
        <w:rPr>
          <w:rFonts w:ascii="Arial" w:hAnsi="Arial" w:cs="Arial"/>
          <w:sz w:val="22"/>
        </w:rPr>
        <w:t xml:space="preserve">En el numeral </w:t>
      </w:r>
      <w:r w:rsidR="00F70E97" w:rsidRPr="00F35561">
        <w:rPr>
          <w:rFonts w:ascii="Arial" w:hAnsi="Arial" w:cs="Arial"/>
          <w:sz w:val="22"/>
        </w:rPr>
        <w:t xml:space="preserve">18 del artículo 3 del Decreto 990 de 2020, con idéntica redacción en el Decreto 1076, </w:t>
      </w:r>
      <w:r w:rsidR="000E6B27">
        <w:rPr>
          <w:rFonts w:ascii="Arial" w:hAnsi="Arial" w:cs="Arial"/>
          <w:sz w:val="22"/>
        </w:rPr>
        <w:t>estableció lo siguiente</w:t>
      </w:r>
      <w:r w:rsidR="00F70E97" w:rsidRPr="00F35561">
        <w:rPr>
          <w:rFonts w:ascii="Arial" w:hAnsi="Arial" w:cs="Arial"/>
          <w:sz w:val="22"/>
        </w:rPr>
        <w:t xml:space="preserve">: </w:t>
      </w:r>
    </w:p>
    <w:p w14:paraId="0636FA66" w14:textId="474F876D" w:rsidR="00F70E97" w:rsidRPr="00F35561" w:rsidRDefault="00F70E97" w:rsidP="006B479A">
      <w:pPr>
        <w:jc w:val="both"/>
        <w:rPr>
          <w:rFonts w:ascii="Arial" w:hAnsi="Arial" w:cs="Arial"/>
          <w:sz w:val="22"/>
        </w:rPr>
      </w:pPr>
    </w:p>
    <w:p w14:paraId="2F51F9AB" w14:textId="77777777" w:rsidR="00F70E97" w:rsidRPr="00F35561" w:rsidRDefault="00F70E97" w:rsidP="006B479A">
      <w:pPr>
        <w:pStyle w:val="Prrafodelista"/>
        <w:ind w:left="709" w:right="709"/>
        <w:contextualSpacing w:val="0"/>
        <w:jc w:val="both"/>
        <w:rPr>
          <w:rFonts w:ascii="Arial" w:hAnsi="Arial" w:cs="Arial"/>
          <w:sz w:val="21"/>
          <w:szCs w:val="21"/>
        </w:rPr>
      </w:pPr>
      <w:r w:rsidRPr="00F35561">
        <w:rPr>
          <w:rFonts w:ascii="Arial" w:hAnsi="Arial" w:cs="Arial"/>
          <w:sz w:val="21"/>
          <w:szCs w:val="21"/>
        </w:rPr>
        <w:t>Artículo 3. Garantías para la medida de aislamiento, Para que el aislamiento preventivo obligatorio garantice el derecho a la vida, a la salud en conexidad con la vida y la supervivencia, los gobernadores y alcaldes, en el marco de la emergencia sanitaria por causa del Coronavirus COVID-19, permitirán el derecho de circulación de las personas en los siguientes casos o actividades:</w:t>
      </w:r>
    </w:p>
    <w:p w14:paraId="76E3EAC3" w14:textId="77777777" w:rsidR="00F70E97" w:rsidRPr="00F35561" w:rsidRDefault="00F70E97" w:rsidP="006B479A">
      <w:pPr>
        <w:pStyle w:val="Prrafodelista"/>
        <w:ind w:left="709" w:right="709"/>
        <w:contextualSpacing w:val="0"/>
        <w:jc w:val="both"/>
        <w:rPr>
          <w:rFonts w:ascii="Arial" w:hAnsi="Arial" w:cs="Arial"/>
          <w:sz w:val="21"/>
          <w:szCs w:val="21"/>
        </w:rPr>
      </w:pPr>
    </w:p>
    <w:p w14:paraId="20B22C49" w14:textId="77777777" w:rsidR="00F70E97" w:rsidRPr="00F35561" w:rsidRDefault="00F70E97" w:rsidP="006B479A">
      <w:pPr>
        <w:pStyle w:val="Prrafodelista"/>
        <w:ind w:left="709" w:right="709"/>
        <w:contextualSpacing w:val="0"/>
        <w:jc w:val="both"/>
        <w:rPr>
          <w:rFonts w:ascii="Arial" w:hAnsi="Arial" w:cs="Arial"/>
          <w:sz w:val="21"/>
          <w:szCs w:val="21"/>
        </w:rPr>
      </w:pPr>
      <w:r w:rsidRPr="00F35561">
        <w:rPr>
          <w:rFonts w:ascii="Arial" w:hAnsi="Arial" w:cs="Arial"/>
          <w:sz w:val="21"/>
          <w:szCs w:val="21"/>
        </w:rPr>
        <w:t>[…]</w:t>
      </w:r>
    </w:p>
    <w:p w14:paraId="7F674ACA" w14:textId="77777777" w:rsidR="00F70E97" w:rsidRPr="00F35561" w:rsidRDefault="00F70E97" w:rsidP="006B479A">
      <w:pPr>
        <w:ind w:left="709" w:right="709"/>
        <w:jc w:val="both"/>
        <w:rPr>
          <w:rFonts w:ascii="Arial" w:hAnsi="Arial" w:cs="Arial"/>
          <w:sz w:val="21"/>
          <w:szCs w:val="21"/>
        </w:rPr>
      </w:pPr>
    </w:p>
    <w:p w14:paraId="18E32F6B" w14:textId="6E59A04B" w:rsidR="00F70E97" w:rsidRPr="00F35561" w:rsidRDefault="00F70E97" w:rsidP="006B479A">
      <w:pPr>
        <w:ind w:left="709" w:right="709"/>
        <w:jc w:val="both"/>
        <w:rPr>
          <w:rFonts w:ascii="Arial" w:hAnsi="Arial" w:cs="Arial"/>
          <w:sz w:val="21"/>
          <w:szCs w:val="21"/>
        </w:rPr>
      </w:pPr>
      <w:r w:rsidRPr="00F35561">
        <w:rPr>
          <w:rFonts w:ascii="Arial" w:hAnsi="Arial" w:cs="Arial"/>
          <w:sz w:val="21"/>
          <w:szCs w:val="21"/>
        </w:rPr>
        <w:t xml:space="preserve">18. Las actividades del sector de la construcción, ejecución de obras civiles y la remodelación en inmuebles, así como el suministro de materiales e insumas exclusivamente destinados a la ejecución de </w:t>
      </w:r>
      <w:proofErr w:type="gramStart"/>
      <w:r w:rsidRPr="00F35561">
        <w:rPr>
          <w:rFonts w:ascii="Arial" w:hAnsi="Arial" w:cs="Arial"/>
          <w:sz w:val="21"/>
          <w:szCs w:val="21"/>
        </w:rPr>
        <w:t>las mismas</w:t>
      </w:r>
      <w:proofErr w:type="gramEnd"/>
      <w:r w:rsidRPr="00F35561">
        <w:rPr>
          <w:rFonts w:ascii="Arial" w:hAnsi="Arial" w:cs="Arial"/>
          <w:sz w:val="21"/>
          <w:szCs w:val="21"/>
        </w:rPr>
        <w:t>.</w:t>
      </w:r>
    </w:p>
    <w:p w14:paraId="0E3B32D5" w14:textId="77777777" w:rsidR="00F70E97" w:rsidRPr="00F35561" w:rsidRDefault="00F70E97" w:rsidP="00B51FA2">
      <w:pPr>
        <w:pStyle w:val="Prrafodelista"/>
        <w:spacing w:line="276" w:lineRule="auto"/>
        <w:ind w:left="0" w:firstLine="709"/>
        <w:contextualSpacing w:val="0"/>
        <w:jc w:val="both"/>
        <w:rPr>
          <w:rFonts w:ascii="Arial" w:hAnsi="Arial" w:cs="Arial"/>
          <w:sz w:val="22"/>
        </w:rPr>
      </w:pPr>
    </w:p>
    <w:p w14:paraId="087487F1" w14:textId="3A211DF6" w:rsidR="007F52E3" w:rsidRPr="00F35561" w:rsidRDefault="00F70E97" w:rsidP="00F70E97">
      <w:pPr>
        <w:pStyle w:val="Prrafodelista"/>
        <w:spacing w:after="120" w:line="276" w:lineRule="auto"/>
        <w:ind w:left="0" w:firstLine="709"/>
        <w:contextualSpacing w:val="0"/>
        <w:jc w:val="both"/>
        <w:rPr>
          <w:rFonts w:ascii="Arial" w:hAnsi="Arial" w:cs="Arial"/>
          <w:sz w:val="22"/>
        </w:rPr>
      </w:pPr>
      <w:r w:rsidRPr="00F35561">
        <w:rPr>
          <w:rFonts w:ascii="Arial" w:hAnsi="Arial" w:cs="Arial"/>
          <w:sz w:val="22"/>
        </w:rPr>
        <w:t>En ese orden de ideas, el desarrollo de actividades del sector de la construcción, de manera general</w:t>
      </w:r>
      <w:r w:rsidR="00614A3A" w:rsidRPr="00F35561">
        <w:rPr>
          <w:rFonts w:ascii="Arial" w:hAnsi="Arial" w:cs="Arial"/>
          <w:sz w:val="22"/>
        </w:rPr>
        <w:t>,</w:t>
      </w:r>
      <w:r w:rsidRPr="00F35561">
        <w:rPr>
          <w:rFonts w:ascii="Arial" w:hAnsi="Arial" w:cs="Arial"/>
          <w:sz w:val="22"/>
        </w:rPr>
        <w:t xml:space="preserve"> se encuentra </w:t>
      </w:r>
      <w:r w:rsidR="00614A3A" w:rsidRPr="00F35561">
        <w:rPr>
          <w:rFonts w:ascii="Arial" w:hAnsi="Arial" w:cs="Arial"/>
          <w:sz w:val="22"/>
        </w:rPr>
        <w:t xml:space="preserve">exceptuado de la medida de aislamiento obligatorio vigente a la fecha, particularmente las actividades correspondientes a la ejecución de obras civiles, remodelación de inmuebles y el suministro de los insumos que demandan estas actividades. En virtud de esto, aunque se encuentre vigente la medida, resulta posible que se realicen este tipo de actividades, sin que ello per se signifique una infracción al mandato general de confinamiento obligatorio. </w:t>
      </w:r>
    </w:p>
    <w:p w14:paraId="57CDFE3E" w14:textId="4D01620E" w:rsidR="00B00BA7" w:rsidRPr="00F35561" w:rsidRDefault="000E6B27" w:rsidP="00737300">
      <w:pPr>
        <w:pStyle w:val="Prrafodelista"/>
        <w:spacing w:after="120" w:line="276" w:lineRule="auto"/>
        <w:ind w:left="0" w:firstLine="709"/>
        <w:contextualSpacing w:val="0"/>
        <w:jc w:val="both"/>
        <w:rPr>
          <w:rFonts w:ascii="Arial" w:hAnsi="Arial" w:cs="Arial"/>
          <w:sz w:val="22"/>
        </w:rPr>
      </w:pPr>
      <w:r>
        <w:rPr>
          <w:rFonts w:ascii="Arial" w:hAnsi="Arial" w:cs="Arial"/>
          <w:sz w:val="22"/>
        </w:rPr>
        <w:t>Como se observa</w:t>
      </w:r>
      <w:r w:rsidR="009D7EB1" w:rsidRPr="00F35561">
        <w:rPr>
          <w:rFonts w:ascii="Arial" w:hAnsi="Arial" w:cs="Arial"/>
          <w:sz w:val="22"/>
        </w:rPr>
        <w:t xml:space="preserve">, las actividades </w:t>
      </w:r>
      <w:r>
        <w:rPr>
          <w:rFonts w:ascii="Arial" w:hAnsi="Arial" w:cs="Arial"/>
          <w:sz w:val="22"/>
        </w:rPr>
        <w:t>incluidas en</w:t>
      </w:r>
      <w:r w:rsidR="009D7EB1" w:rsidRPr="00F35561">
        <w:rPr>
          <w:rFonts w:ascii="Arial" w:hAnsi="Arial" w:cs="Arial"/>
          <w:sz w:val="22"/>
        </w:rPr>
        <w:t xml:space="preserve"> la excepción del artículo 3</w:t>
      </w:r>
      <w:r>
        <w:rPr>
          <w:rFonts w:ascii="Arial" w:hAnsi="Arial" w:cs="Arial"/>
          <w:sz w:val="22"/>
        </w:rPr>
        <w:t>.18</w:t>
      </w:r>
      <w:r w:rsidR="009D7EB1" w:rsidRPr="00F35561">
        <w:rPr>
          <w:rFonts w:ascii="Arial" w:hAnsi="Arial" w:cs="Arial"/>
          <w:sz w:val="22"/>
        </w:rPr>
        <w:t xml:space="preserve"> del Decreto 1076 de 2020 son las del sector de la construcción</w:t>
      </w:r>
      <w:r w:rsidR="00AC0ED7" w:rsidRPr="00F35561">
        <w:rPr>
          <w:rFonts w:ascii="Arial" w:hAnsi="Arial" w:cs="Arial"/>
          <w:sz w:val="22"/>
        </w:rPr>
        <w:t xml:space="preserve">, esto es, las dirigidas a producir </w:t>
      </w:r>
      <w:r w:rsidR="00747898" w:rsidRPr="00F35561">
        <w:rPr>
          <w:rFonts w:ascii="Arial" w:hAnsi="Arial" w:cs="Arial"/>
          <w:sz w:val="22"/>
        </w:rPr>
        <w:t xml:space="preserve">o intervenir </w:t>
      </w:r>
      <w:r w:rsidR="00AC0ED7" w:rsidRPr="00F35561">
        <w:rPr>
          <w:rFonts w:ascii="Arial" w:hAnsi="Arial" w:cs="Arial"/>
          <w:sz w:val="22"/>
        </w:rPr>
        <w:t xml:space="preserve">bienes tangibles, concretamente inmuebles, </w:t>
      </w:r>
      <w:r w:rsidR="00B00BA7" w:rsidRPr="00F35561">
        <w:rPr>
          <w:rFonts w:ascii="Arial" w:hAnsi="Arial" w:cs="Arial"/>
          <w:sz w:val="22"/>
        </w:rPr>
        <w:t>las cuales consisten mayormente en el desarrollo de obras civiles, a las que la norma suma el suministro de materiales e insumos.</w:t>
      </w:r>
      <w:r w:rsidR="00737300" w:rsidRPr="00F35561">
        <w:rPr>
          <w:rFonts w:ascii="Arial" w:hAnsi="Arial" w:cs="Arial"/>
          <w:sz w:val="22"/>
        </w:rPr>
        <w:t xml:space="preserve"> Conforme a esto, d</w:t>
      </w:r>
      <w:r w:rsidR="00B00BA7" w:rsidRPr="00F35561">
        <w:rPr>
          <w:rFonts w:ascii="Arial" w:hAnsi="Arial" w:cs="Arial"/>
          <w:sz w:val="22"/>
        </w:rPr>
        <w:t>entro de</w:t>
      </w:r>
      <w:r w:rsidR="00737300" w:rsidRPr="00F35561">
        <w:rPr>
          <w:rFonts w:ascii="Arial" w:hAnsi="Arial" w:cs="Arial"/>
          <w:sz w:val="22"/>
        </w:rPr>
        <w:t xml:space="preserve">l ámbito de aplicación de esta excepción, no pueden entenderse incluidas </w:t>
      </w:r>
      <w:r w:rsidR="00B00BA7" w:rsidRPr="00F35561">
        <w:rPr>
          <w:rFonts w:ascii="Arial" w:hAnsi="Arial" w:cs="Arial"/>
          <w:sz w:val="22"/>
        </w:rPr>
        <w:t>actividades</w:t>
      </w:r>
      <w:r w:rsidR="00737300" w:rsidRPr="00F35561">
        <w:rPr>
          <w:rFonts w:ascii="Arial" w:hAnsi="Arial" w:cs="Arial"/>
          <w:sz w:val="22"/>
        </w:rPr>
        <w:t xml:space="preserve"> que,</w:t>
      </w:r>
      <w:r w:rsidR="00B00BA7" w:rsidRPr="00F35561">
        <w:rPr>
          <w:rFonts w:ascii="Arial" w:hAnsi="Arial" w:cs="Arial"/>
          <w:sz w:val="22"/>
        </w:rPr>
        <w:t xml:space="preserve"> si bien </w:t>
      </w:r>
      <w:r w:rsidR="00737300" w:rsidRPr="00F35561">
        <w:rPr>
          <w:rFonts w:ascii="Arial" w:hAnsi="Arial" w:cs="Arial"/>
          <w:sz w:val="22"/>
        </w:rPr>
        <w:t xml:space="preserve">guardan cierta relación con el sector de la construcción, no están directamente asociadas </w:t>
      </w:r>
      <w:r w:rsidR="00747898" w:rsidRPr="00F35561">
        <w:rPr>
          <w:rFonts w:ascii="Arial" w:hAnsi="Arial" w:cs="Arial"/>
          <w:sz w:val="22"/>
        </w:rPr>
        <w:t>a ella.</w:t>
      </w:r>
    </w:p>
    <w:p w14:paraId="40D50951" w14:textId="681C0557" w:rsidR="00737300" w:rsidRPr="00F35561" w:rsidRDefault="0066284A" w:rsidP="00737300">
      <w:pPr>
        <w:pStyle w:val="Prrafodelista"/>
        <w:spacing w:after="120" w:line="276" w:lineRule="auto"/>
        <w:ind w:left="0" w:firstLine="709"/>
        <w:contextualSpacing w:val="0"/>
        <w:jc w:val="both"/>
        <w:rPr>
          <w:rFonts w:ascii="Arial" w:hAnsi="Arial" w:cs="Arial"/>
          <w:sz w:val="22"/>
        </w:rPr>
      </w:pPr>
      <w:r w:rsidRPr="00F35561">
        <w:rPr>
          <w:rFonts w:ascii="Arial" w:hAnsi="Arial" w:cs="Arial"/>
          <w:sz w:val="22"/>
        </w:rPr>
        <w:t>La</w:t>
      </w:r>
      <w:r w:rsidR="00737300" w:rsidRPr="00F35561">
        <w:rPr>
          <w:rFonts w:ascii="Arial" w:hAnsi="Arial" w:cs="Arial"/>
          <w:sz w:val="22"/>
        </w:rPr>
        <w:t xml:space="preserve"> visita al sitio de la</w:t>
      </w:r>
      <w:r w:rsidR="00747898" w:rsidRPr="00F35561">
        <w:rPr>
          <w:rFonts w:ascii="Arial" w:hAnsi="Arial" w:cs="Arial"/>
          <w:sz w:val="22"/>
        </w:rPr>
        <w:t xml:space="preserve"> </w:t>
      </w:r>
      <w:r w:rsidR="00737300" w:rsidRPr="00F35561">
        <w:rPr>
          <w:rFonts w:ascii="Arial" w:hAnsi="Arial" w:cs="Arial"/>
          <w:sz w:val="22"/>
        </w:rPr>
        <w:t>obra, regulada en el numeral 3.6 de los Documentos Base para licitación pública –</w:t>
      </w:r>
      <w:r w:rsidR="005F49B4">
        <w:rPr>
          <w:rFonts w:ascii="Arial" w:hAnsi="Arial" w:cs="Arial"/>
          <w:sz w:val="22"/>
        </w:rPr>
        <w:t>v</w:t>
      </w:r>
      <w:r w:rsidR="00737300" w:rsidRPr="00F35561">
        <w:rPr>
          <w:rFonts w:ascii="Arial" w:hAnsi="Arial" w:cs="Arial"/>
          <w:sz w:val="22"/>
        </w:rPr>
        <w:t xml:space="preserve">ersión 2– y selección abreviada de menor cuantía </w:t>
      </w:r>
      <w:r w:rsidR="005F49B4">
        <w:rPr>
          <w:rFonts w:ascii="Arial" w:hAnsi="Arial" w:cs="Arial"/>
          <w:sz w:val="22"/>
        </w:rPr>
        <w:t>para</w:t>
      </w:r>
      <w:r w:rsidR="00737300" w:rsidRPr="00F35561">
        <w:rPr>
          <w:rFonts w:ascii="Arial" w:hAnsi="Arial" w:cs="Arial"/>
          <w:sz w:val="22"/>
        </w:rPr>
        <w:t xml:space="preserve"> infraestructura de transporte, es un ejemplo de una actividad </w:t>
      </w:r>
      <w:r w:rsidR="003D0825" w:rsidRPr="00F35561">
        <w:rPr>
          <w:rFonts w:ascii="Arial" w:hAnsi="Arial" w:cs="Arial"/>
          <w:sz w:val="22"/>
        </w:rPr>
        <w:t>que,</w:t>
      </w:r>
      <w:r w:rsidR="00737300" w:rsidRPr="00F35561">
        <w:rPr>
          <w:rFonts w:ascii="Arial" w:hAnsi="Arial" w:cs="Arial"/>
          <w:sz w:val="22"/>
        </w:rPr>
        <w:t xml:space="preserve"> si bien guarda cierta relación con </w:t>
      </w:r>
      <w:r w:rsidRPr="00F35561">
        <w:rPr>
          <w:rFonts w:ascii="Arial" w:hAnsi="Arial" w:cs="Arial"/>
          <w:sz w:val="22"/>
        </w:rPr>
        <w:t>la construcción</w:t>
      </w:r>
      <w:r w:rsidR="00737300" w:rsidRPr="00F35561">
        <w:rPr>
          <w:rFonts w:ascii="Arial" w:hAnsi="Arial" w:cs="Arial"/>
          <w:sz w:val="22"/>
        </w:rPr>
        <w:t xml:space="preserve">, no podría entenderse cobijada por la referida excepción, </w:t>
      </w:r>
      <w:r w:rsidR="005F49B4">
        <w:rPr>
          <w:rFonts w:ascii="Arial" w:hAnsi="Arial" w:cs="Arial"/>
          <w:sz w:val="22"/>
        </w:rPr>
        <w:t>ya que su realización no</w:t>
      </w:r>
      <w:r w:rsidRPr="00F35561">
        <w:rPr>
          <w:rFonts w:ascii="Arial" w:hAnsi="Arial" w:cs="Arial"/>
          <w:sz w:val="22"/>
        </w:rPr>
        <w:t xml:space="preserve"> supone el desarrollo de actividades constructivas.  </w:t>
      </w:r>
    </w:p>
    <w:p w14:paraId="71A75CAE" w14:textId="0CFC0CC7" w:rsidR="005D4E6A" w:rsidRPr="00F35561" w:rsidRDefault="0066284A" w:rsidP="00737300">
      <w:pPr>
        <w:pStyle w:val="Prrafodelista"/>
        <w:spacing w:after="120" w:line="276" w:lineRule="auto"/>
        <w:ind w:left="0" w:firstLine="709"/>
        <w:contextualSpacing w:val="0"/>
        <w:jc w:val="both"/>
        <w:rPr>
          <w:rFonts w:ascii="Arial" w:hAnsi="Arial" w:cs="Arial"/>
          <w:sz w:val="22"/>
        </w:rPr>
      </w:pPr>
      <w:r w:rsidRPr="00F35561">
        <w:rPr>
          <w:rFonts w:ascii="Arial" w:hAnsi="Arial" w:cs="Arial"/>
          <w:sz w:val="22"/>
        </w:rPr>
        <w:t xml:space="preserve">Así pues, la posibilidad de desarrollar actividades del sector de la construcción durante la vigencia de la medida de aislamiento preventivo obligatorio, a la que se abrió la puerta con las excepciones contempladas en los decretos </w:t>
      </w:r>
      <w:r w:rsidR="005F49B4">
        <w:rPr>
          <w:rFonts w:ascii="Arial" w:hAnsi="Arial" w:cs="Arial"/>
          <w:sz w:val="22"/>
        </w:rPr>
        <w:t>anteriormente citados</w:t>
      </w:r>
      <w:r w:rsidRPr="00F35561">
        <w:rPr>
          <w:rFonts w:ascii="Arial" w:hAnsi="Arial" w:cs="Arial"/>
          <w:sz w:val="22"/>
        </w:rPr>
        <w:t xml:space="preserve">, no supone una modificación de la suspensión ordenada por esta entidad respecto del numeral 3.6 de </w:t>
      </w:r>
      <w:r w:rsidRPr="00F35561">
        <w:rPr>
          <w:rFonts w:ascii="Arial" w:hAnsi="Arial" w:cs="Arial"/>
          <w:sz w:val="22"/>
        </w:rPr>
        <w:lastRenderedPageBreak/>
        <w:t xml:space="preserve">los </w:t>
      </w:r>
      <w:r w:rsidR="005F49B4" w:rsidRPr="00F35561">
        <w:rPr>
          <w:rFonts w:ascii="Arial" w:hAnsi="Arial" w:cs="Arial"/>
          <w:sz w:val="22"/>
        </w:rPr>
        <w:t>pliegos tip</w:t>
      </w:r>
      <w:r w:rsidRPr="00F35561">
        <w:rPr>
          <w:rFonts w:ascii="Arial" w:hAnsi="Arial" w:cs="Arial"/>
          <w:sz w:val="22"/>
        </w:rPr>
        <w:t>o para licitación pública –</w:t>
      </w:r>
      <w:r w:rsidR="005F49B4">
        <w:rPr>
          <w:rFonts w:ascii="Arial" w:hAnsi="Arial" w:cs="Arial"/>
          <w:sz w:val="22"/>
        </w:rPr>
        <w:t>v</w:t>
      </w:r>
      <w:r w:rsidRPr="00F35561">
        <w:rPr>
          <w:rFonts w:ascii="Arial" w:hAnsi="Arial" w:cs="Arial"/>
          <w:sz w:val="22"/>
        </w:rPr>
        <w:t xml:space="preserve">ersión 2– y selección abreviada de menor cuantía de obra pública de infraestructura de transporte. </w:t>
      </w:r>
    </w:p>
    <w:p w14:paraId="2AD58C88" w14:textId="0E0B58DC" w:rsidR="0066284A" w:rsidRPr="00F35561" w:rsidRDefault="005D4E6A" w:rsidP="00737300">
      <w:pPr>
        <w:pStyle w:val="Prrafodelista"/>
        <w:spacing w:after="120" w:line="276" w:lineRule="auto"/>
        <w:ind w:left="0" w:firstLine="709"/>
        <w:contextualSpacing w:val="0"/>
        <w:jc w:val="both"/>
        <w:rPr>
          <w:rFonts w:ascii="Arial" w:hAnsi="Arial" w:cs="Arial"/>
          <w:sz w:val="22"/>
        </w:rPr>
      </w:pPr>
      <w:r w:rsidRPr="00F35561">
        <w:rPr>
          <w:rFonts w:ascii="Arial" w:hAnsi="Arial" w:cs="Arial"/>
          <w:sz w:val="22"/>
        </w:rPr>
        <w:t xml:space="preserve">En consecuencia, </w:t>
      </w:r>
      <w:r w:rsidR="005F49B4">
        <w:rPr>
          <w:rFonts w:ascii="Arial" w:hAnsi="Arial" w:cs="Arial"/>
          <w:sz w:val="22"/>
        </w:rPr>
        <w:t>dado</w:t>
      </w:r>
      <w:r w:rsidRPr="00F35561">
        <w:rPr>
          <w:rFonts w:ascii="Arial" w:hAnsi="Arial" w:cs="Arial"/>
          <w:sz w:val="22"/>
        </w:rPr>
        <w:t xml:space="preserve"> que la medida de aislamiento preventivo obligatorio </w:t>
      </w:r>
      <w:r w:rsidR="005F49B4">
        <w:rPr>
          <w:rFonts w:ascii="Arial" w:hAnsi="Arial" w:cs="Arial"/>
          <w:sz w:val="22"/>
        </w:rPr>
        <w:t>se ha prorrogado</w:t>
      </w:r>
      <w:r w:rsidRPr="00F35561">
        <w:rPr>
          <w:rFonts w:ascii="Arial" w:hAnsi="Arial" w:cs="Arial"/>
          <w:sz w:val="22"/>
        </w:rPr>
        <w:t xml:space="preserve">, extendiéndose hasta el 1 de septiembre de 2020 </w:t>
      </w:r>
      <w:r w:rsidR="000935BB">
        <w:rPr>
          <w:rFonts w:ascii="Arial" w:hAnsi="Arial" w:cs="Arial"/>
          <w:sz w:val="22"/>
        </w:rPr>
        <w:t>conforme al</w:t>
      </w:r>
      <w:r w:rsidRPr="00F35561">
        <w:rPr>
          <w:rFonts w:ascii="Arial" w:hAnsi="Arial" w:cs="Arial"/>
          <w:sz w:val="22"/>
        </w:rPr>
        <w:t xml:space="preserve"> artículo 1 del Decreto 1076 de 2020, la suspensión decretada por la Resolución No. 080 de 2020 sobre el numeral 3.6 </w:t>
      </w:r>
      <w:r w:rsidR="002C3025">
        <w:rPr>
          <w:rFonts w:ascii="Arial" w:hAnsi="Arial" w:cs="Arial"/>
          <w:sz w:val="22"/>
        </w:rPr>
        <w:t>de los</w:t>
      </w:r>
      <w:r w:rsidRPr="00F35561">
        <w:rPr>
          <w:rFonts w:ascii="Arial" w:hAnsi="Arial" w:cs="Arial"/>
          <w:sz w:val="22"/>
        </w:rPr>
        <w:t xml:space="preserve"> </w:t>
      </w:r>
      <w:r w:rsidR="005F49B4" w:rsidRPr="00F35561">
        <w:rPr>
          <w:rFonts w:ascii="Arial" w:hAnsi="Arial" w:cs="Arial"/>
          <w:sz w:val="22"/>
        </w:rPr>
        <w:t>documento</w:t>
      </w:r>
      <w:r w:rsidR="002C3025">
        <w:rPr>
          <w:rFonts w:ascii="Arial" w:hAnsi="Arial" w:cs="Arial"/>
          <w:sz w:val="22"/>
        </w:rPr>
        <w:t>s</w:t>
      </w:r>
      <w:r w:rsidR="005F49B4" w:rsidRPr="00F35561">
        <w:rPr>
          <w:rFonts w:ascii="Arial" w:hAnsi="Arial" w:cs="Arial"/>
          <w:sz w:val="22"/>
        </w:rPr>
        <w:t xml:space="preserve"> base</w:t>
      </w:r>
      <w:r w:rsidR="002C3025">
        <w:rPr>
          <w:rFonts w:ascii="Arial" w:hAnsi="Arial" w:cs="Arial"/>
          <w:sz w:val="22"/>
        </w:rPr>
        <w:t xml:space="preserve"> mencionados</w:t>
      </w:r>
      <w:r w:rsidRPr="00F35561">
        <w:rPr>
          <w:rFonts w:ascii="Arial" w:hAnsi="Arial" w:cs="Arial"/>
          <w:sz w:val="22"/>
        </w:rPr>
        <w:t xml:space="preserve"> se encuentra </w:t>
      </w:r>
      <w:r w:rsidR="004D60E2">
        <w:rPr>
          <w:rFonts w:ascii="Arial" w:hAnsi="Arial" w:cs="Arial"/>
          <w:sz w:val="22"/>
        </w:rPr>
        <w:t>vigente la fecha de presente concepto. En esta medida,</w:t>
      </w:r>
      <w:r w:rsidRPr="00F35561">
        <w:rPr>
          <w:rFonts w:ascii="Arial" w:hAnsi="Arial" w:cs="Arial"/>
          <w:sz w:val="22"/>
        </w:rPr>
        <w:t xml:space="preserve"> las entidades</w:t>
      </w:r>
      <w:r w:rsidR="00747898" w:rsidRPr="00F35561">
        <w:rPr>
          <w:rFonts w:ascii="Arial" w:hAnsi="Arial" w:cs="Arial"/>
          <w:sz w:val="22"/>
        </w:rPr>
        <w:t xml:space="preserve"> estatales</w:t>
      </w:r>
      <w:r w:rsidRPr="00F35561">
        <w:rPr>
          <w:rFonts w:ascii="Arial" w:hAnsi="Arial" w:cs="Arial"/>
          <w:sz w:val="22"/>
        </w:rPr>
        <w:t xml:space="preserve"> que adelanten proce</w:t>
      </w:r>
      <w:r w:rsidR="004D60E2">
        <w:rPr>
          <w:rFonts w:ascii="Arial" w:hAnsi="Arial" w:cs="Arial"/>
          <w:sz w:val="22"/>
        </w:rPr>
        <w:t>dimientos</w:t>
      </w:r>
      <w:r w:rsidRPr="00F35561">
        <w:rPr>
          <w:rFonts w:ascii="Arial" w:hAnsi="Arial" w:cs="Arial"/>
          <w:sz w:val="22"/>
        </w:rPr>
        <w:t xml:space="preserve"> de selección con los documentos tipo adoptados </w:t>
      </w:r>
      <w:r w:rsidR="004D60E2">
        <w:rPr>
          <w:rFonts w:ascii="Arial" w:hAnsi="Arial" w:cs="Arial"/>
          <w:sz w:val="22"/>
        </w:rPr>
        <w:t>mediante</w:t>
      </w:r>
      <w:r w:rsidRPr="00F35561">
        <w:rPr>
          <w:rFonts w:ascii="Arial" w:hAnsi="Arial" w:cs="Arial"/>
          <w:sz w:val="22"/>
        </w:rPr>
        <w:t xml:space="preserve"> las resoluciones Nos. 044 y 045 de 2020, no están facultadas para incluir </w:t>
      </w:r>
      <w:r w:rsidR="004D60E2">
        <w:rPr>
          <w:rFonts w:ascii="Arial" w:hAnsi="Arial" w:cs="Arial"/>
          <w:sz w:val="22"/>
        </w:rPr>
        <w:t>la</w:t>
      </w:r>
      <w:r w:rsidRPr="00F35561">
        <w:rPr>
          <w:rFonts w:ascii="Arial" w:hAnsi="Arial" w:cs="Arial"/>
          <w:sz w:val="22"/>
        </w:rPr>
        <w:t xml:space="preserve"> visita al sitio de la obra. </w:t>
      </w:r>
    </w:p>
    <w:p w14:paraId="05CA267D" w14:textId="13B17742" w:rsidR="00BD58D8" w:rsidRPr="00F35561" w:rsidRDefault="00BD58D8" w:rsidP="00737300">
      <w:pPr>
        <w:pStyle w:val="Prrafodelista"/>
        <w:spacing w:after="120" w:line="276" w:lineRule="auto"/>
        <w:ind w:left="0" w:firstLine="709"/>
        <w:contextualSpacing w:val="0"/>
        <w:jc w:val="both"/>
        <w:rPr>
          <w:rFonts w:ascii="Arial" w:hAnsi="Arial" w:cs="Arial"/>
          <w:sz w:val="22"/>
        </w:rPr>
      </w:pPr>
      <w:r w:rsidRPr="00F35561">
        <w:rPr>
          <w:rFonts w:ascii="Arial" w:hAnsi="Arial" w:cs="Arial"/>
          <w:sz w:val="22"/>
        </w:rPr>
        <w:t>Se descarta también que las excepciones establecidas en los numerales 18 del artículo 3 de los decretos 593, 990 y 1076</w:t>
      </w:r>
      <w:r w:rsidR="00650B72">
        <w:rPr>
          <w:rFonts w:ascii="Arial" w:hAnsi="Arial" w:cs="Arial"/>
          <w:sz w:val="22"/>
        </w:rPr>
        <w:t xml:space="preserve"> supongan</w:t>
      </w:r>
      <w:r w:rsidRPr="00F35561">
        <w:rPr>
          <w:rFonts w:ascii="Arial" w:hAnsi="Arial" w:cs="Arial"/>
          <w:sz w:val="22"/>
        </w:rPr>
        <w:t xml:space="preserve"> una modificación de la Resoluci</w:t>
      </w:r>
      <w:r w:rsidR="00A32C1F" w:rsidRPr="00F35561">
        <w:rPr>
          <w:rFonts w:ascii="Arial" w:hAnsi="Arial" w:cs="Arial"/>
          <w:sz w:val="22"/>
        </w:rPr>
        <w:t xml:space="preserve">ón No. 080 de 2020, en lo que </w:t>
      </w:r>
      <w:r w:rsidR="00650B72">
        <w:rPr>
          <w:rFonts w:ascii="Arial" w:hAnsi="Arial" w:cs="Arial"/>
          <w:sz w:val="22"/>
        </w:rPr>
        <w:t>se refiere a</w:t>
      </w:r>
      <w:r w:rsidR="00A32C1F" w:rsidRPr="00F35561">
        <w:rPr>
          <w:rFonts w:ascii="Arial" w:hAnsi="Arial" w:cs="Arial"/>
          <w:sz w:val="22"/>
        </w:rPr>
        <w:t xml:space="preserve">l numeral 4.2.4. de los </w:t>
      </w:r>
      <w:r w:rsidR="00926895" w:rsidRPr="00F35561">
        <w:rPr>
          <w:rFonts w:ascii="Arial" w:hAnsi="Arial" w:cs="Arial"/>
          <w:sz w:val="22"/>
        </w:rPr>
        <w:t xml:space="preserve">documentos base </w:t>
      </w:r>
      <w:r w:rsidR="00A32C1F" w:rsidRPr="00F35561">
        <w:rPr>
          <w:rFonts w:ascii="Arial" w:hAnsi="Arial" w:cs="Arial"/>
          <w:sz w:val="22"/>
        </w:rPr>
        <w:t>de licitación pública –Versión 2– y selección abreviada de menor cuantía para contrat</w:t>
      </w:r>
      <w:r w:rsidR="00650B72">
        <w:rPr>
          <w:rFonts w:ascii="Arial" w:hAnsi="Arial" w:cs="Arial"/>
          <w:sz w:val="22"/>
        </w:rPr>
        <w:t>o</w:t>
      </w:r>
      <w:r w:rsidR="00A32C1F" w:rsidRPr="00F35561">
        <w:rPr>
          <w:rFonts w:ascii="Arial" w:hAnsi="Arial" w:cs="Arial"/>
          <w:sz w:val="22"/>
        </w:rPr>
        <w:t xml:space="preserve">s de obra pública de infraestructura de transporte, ya que el contenido de dicho numeral </w:t>
      </w:r>
      <w:r w:rsidR="00650B72">
        <w:rPr>
          <w:rFonts w:ascii="Arial" w:hAnsi="Arial" w:cs="Arial"/>
          <w:sz w:val="22"/>
        </w:rPr>
        <w:t>–</w:t>
      </w:r>
      <w:r w:rsidR="00926895">
        <w:rPr>
          <w:rFonts w:ascii="Arial" w:hAnsi="Arial" w:cs="Arial"/>
          <w:sz w:val="22"/>
        </w:rPr>
        <w:t>en lo relacionados con</w:t>
      </w:r>
      <w:r w:rsidR="00650B72">
        <w:rPr>
          <w:rFonts w:ascii="Arial" w:hAnsi="Arial" w:cs="Arial"/>
          <w:sz w:val="22"/>
        </w:rPr>
        <w:t xml:space="preserve"> las</w:t>
      </w:r>
      <w:r w:rsidR="00A32C1F" w:rsidRPr="00F35561">
        <w:rPr>
          <w:rFonts w:ascii="Arial" w:hAnsi="Arial" w:cs="Arial"/>
          <w:sz w:val="22"/>
        </w:rPr>
        <w:t xml:space="preserve"> garantías suplementarias o adicionales</w:t>
      </w:r>
      <w:r w:rsidR="00650B72">
        <w:rPr>
          <w:rFonts w:ascii="Arial" w:hAnsi="Arial" w:cs="Arial"/>
          <w:sz w:val="22"/>
        </w:rPr>
        <w:t>–</w:t>
      </w:r>
      <w:r w:rsidR="00A32C1F" w:rsidRPr="00F35561">
        <w:rPr>
          <w:rFonts w:ascii="Arial" w:hAnsi="Arial" w:cs="Arial"/>
          <w:sz w:val="22"/>
        </w:rPr>
        <w:t xml:space="preserve"> tampoco se refiere a una actividad propia del sector de la construcción, sino </w:t>
      </w:r>
      <w:r w:rsidR="006B479A" w:rsidRPr="00F35561">
        <w:rPr>
          <w:rFonts w:ascii="Arial" w:hAnsi="Arial" w:cs="Arial"/>
          <w:sz w:val="22"/>
        </w:rPr>
        <w:t xml:space="preserve">a </w:t>
      </w:r>
      <w:r w:rsidR="00A32C1F" w:rsidRPr="00F35561">
        <w:rPr>
          <w:rFonts w:ascii="Arial" w:hAnsi="Arial" w:cs="Arial"/>
          <w:sz w:val="22"/>
        </w:rPr>
        <w:t xml:space="preserve">un factor de calidad contemplado </w:t>
      </w:r>
      <w:r w:rsidR="006B479A" w:rsidRPr="00F35561">
        <w:rPr>
          <w:rFonts w:ascii="Arial" w:hAnsi="Arial" w:cs="Arial"/>
          <w:sz w:val="22"/>
        </w:rPr>
        <w:t>para</w:t>
      </w:r>
      <w:r w:rsidR="00A32C1F" w:rsidRPr="00F35561">
        <w:rPr>
          <w:rFonts w:ascii="Arial" w:hAnsi="Arial" w:cs="Arial"/>
          <w:sz w:val="22"/>
        </w:rPr>
        <w:t xml:space="preserve"> </w:t>
      </w:r>
      <w:r w:rsidR="00650B72">
        <w:rPr>
          <w:rFonts w:ascii="Arial" w:hAnsi="Arial" w:cs="Arial"/>
          <w:sz w:val="22"/>
        </w:rPr>
        <w:t>estos procedimientos</w:t>
      </w:r>
      <w:r w:rsidR="00A32C1F" w:rsidRPr="00F35561">
        <w:rPr>
          <w:rFonts w:ascii="Arial" w:hAnsi="Arial" w:cs="Arial"/>
          <w:sz w:val="22"/>
        </w:rPr>
        <w:t xml:space="preserve"> de selección.</w:t>
      </w:r>
      <w:r w:rsidRPr="00F35561">
        <w:rPr>
          <w:rFonts w:ascii="Arial" w:hAnsi="Arial" w:cs="Arial"/>
          <w:sz w:val="22"/>
        </w:rPr>
        <w:t xml:space="preserve"> </w:t>
      </w:r>
    </w:p>
    <w:p w14:paraId="433F8A7B" w14:textId="458933EA" w:rsidR="00A32C1F" w:rsidRPr="00F35561" w:rsidRDefault="00A32C1F" w:rsidP="00686DE1">
      <w:pPr>
        <w:pStyle w:val="Prrafodelista"/>
        <w:spacing w:line="276" w:lineRule="auto"/>
        <w:ind w:left="0" w:firstLine="709"/>
        <w:contextualSpacing w:val="0"/>
        <w:jc w:val="both"/>
        <w:rPr>
          <w:rFonts w:ascii="Arial" w:hAnsi="Arial" w:cs="Arial"/>
          <w:sz w:val="22"/>
        </w:rPr>
      </w:pPr>
      <w:r w:rsidRPr="00F35561">
        <w:rPr>
          <w:rFonts w:ascii="Arial" w:hAnsi="Arial" w:cs="Arial"/>
          <w:sz w:val="22"/>
        </w:rPr>
        <w:t xml:space="preserve">Sin embargo, conforme </w:t>
      </w:r>
      <w:r w:rsidR="007F333F">
        <w:rPr>
          <w:rFonts w:ascii="Arial" w:hAnsi="Arial" w:cs="Arial"/>
          <w:sz w:val="22"/>
        </w:rPr>
        <w:t>a lo explicado</w:t>
      </w:r>
      <w:r w:rsidRPr="00F35561">
        <w:rPr>
          <w:rFonts w:ascii="Arial" w:hAnsi="Arial" w:cs="Arial"/>
          <w:sz w:val="22"/>
        </w:rPr>
        <w:t xml:space="preserve"> en el primer acápite del presente concepto, de conformidad con el artículo 4 de la Resolución No. 116 de 2020, </w:t>
      </w:r>
      <w:r w:rsidR="003D0825">
        <w:rPr>
          <w:rFonts w:ascii="Arial" w:hAnsi="Arial" w:cs="Arial"/>
          <w:sz w:val="22"/>
        </w:rPr>
        <w:t xml:space="preserve"> </w:t>
      </w:r>
      <w:r w:rsidR="003D0825" w:rsidRPr="003D0825">
        <w:rPr>
          <w:rFonts w:ascii="Arial" w:hAnsi="Arial" w:cs="Arial"/>
          <w:sz w:val="22"/>
        </w:rPr>
        <w:t>la suspensión dispuesta la Resolución No. 080 de 2020 respecto del numeral 4.2.4 finalizó el 21 de julio de 2020, por lo que a partir de dicha fecha las entidades estatales que adelanten procesos de selección con documentos tipos de licitación pública –Versión 2– y selección abreviada de menor cuantía para contratos de obra pública de infraestructura de transporte están facultadas para incluir este factor de calidad en sus pliegos de condiciones».</w:t>
      </w:r>
      <w:r w:rsidR="00686DE1" w:rsidRPr="00F35561">
        <w:rPr>
          <w:rFonts w:ascii="Arial" w:hAnsi="Arial" w:cs="Arial"/>
          <w:sz w:val="22"/>
        </w:rPr>
        <w:t xml:space="preserve"> </w:t>
      </w:r>
    </w:p>
    <w:p w14:paraId="1E681F3C" w14:textId="77777777" w:rsidR="008A1950" w:rsidRPr="00F35561" w:rsidRDefault="008A1950" w:rsidP="00715F0D">
      <w:pPr>
        <w:spacing w:line="276" w:lineRule="auto"/>
        <w:jc w:val="both"/>
        <w:rPr>
          <w:rFonts w:ascii="Arial" w:eastAsia="Calibri" w:hAnsi="Arial" w:cs="Arial"/>
          <w:sz w:val="22"/>
        </w:rPr>
      </w:pPr>
    </w:p>
    <w:p w14:paraId="4DAE4437" w14:textId="77777777" w:rsidR="00BE1E33" w:rsidRPr="00F35561" w:rsidRDefault="00BE1E33" w:rsidP="00BE1E33">
      <w:pPr>
        <w:pStyle w:val="Prrafodelista"/>
        <w:numPr>
          <w:ilvl w:val="0"/>
          <w:numId w:val="1"/>
        </w:numPr>
        <w:tabs>
          <w:tab w:val="left" w:pos="284"/>
        </w:tabs>
        <w:spacing w:line="276" w:lineRule="auto"/>
        <w:ind w:left="0" w:firstLine="0"/>
        <w:rPr>
          <w:rFonts w:ascii="Arial" w:hAnsi="Arial" w:cs="Arial"/>
          <w:b/>
          <w:bCs/>
          <w:sz w:val="22"/>
          <w:lang w:val="es-CO"/>
        </w:rPr>
      </w:pPr>
      <w:r w:rsidRPr="00F35561">
        <w:rPr>
          <w:rFonts w:ascii="Arial" w:hAnsi="Arial" w:cs="Arial"/>
          <w:b/>
          <w:bCs/>
          <w:sz w:val="22"/>
          <w:lang w:val="es-CO"/>
        </w:rPr>
        <w:t xml:space="preserve">Respuesta </w:t>
      </w:r>
    </w:p>
    <w:p w14:paraId="61E80AB7" w14:textId="77777777" w:rsidR="00704124" w:rsidRPr="00F35561" w:rsidRDefault="00704124" w:rsidP="00BE1E33">
      <w:pPr>
        <w:spacing w:line="276" w:lineRule="auto"/>
        <w:ind w:right="709"/>
        <w:jc w:val="both"/>
        <w:rPr>
          <w:rFonts w:ascii="Arial" w:hAnsi="Arial" w:cs="Arial"/>
          <w:sz w:val="21"/>
          <w:szCs w:val="21"/>
          <w:u w:val="double"/>
          <w:lang w:val="es-CO"/>
        </w:rPr>
      </w:pPr>
    </w:p>
    <w:p w14:paraId="012C9BED" w14:textId="0C84B069" w:rsidR="00704124" w:rsidRPr="00F35561" w:rsidRDefault="0084529E" w:rsidP="006B479A">
      <w:pPr>
        <w:ind w:left="709" w:right="709"/>
        <w:jc w:val="both"/>
        <w:rPr>
          <w:rFonts w:ascii="Arial" w:eastAsia="Calibri" w:hAnsi="Arial" w:cs="Arial"/>
          <w:sz w:val="21"/>
          <w:szCs w:val="21"/>
        </w:rPr>
      </w:pPr>
      <w:r w:rsidRPr="0084529E">
        <w:rPr>
          <w:rFonts w:ascii="Arial" w:eastAsia="Calibri" w:hAnsi="Arial" w:cs="Arial"/>
          <w:sz w:val="21"/>
          <w:szCs w:val="21"/>
        </w:rPr>
        <w:t>i) ¿para efectos de la suspensión del numeral 3.6 del Documento Base decretada por la Resolución No. 080 de 2020, la medida de aislamiento preventivo obligatorio dispuesta por el Decreto 457 de 2020 está vigente?</w:t>
      </w:r>
    </w:p>
    <w:p w14:paraId="4CF3C29F" w14:textId="77777777" w:rsidR="008A1950" w:rsidRPr="00F35561" w:rsidRDefault="008A1950" w:rsidP="008A1950">
      <w:pPr>
        <w:spacing w:line="276" w:lineRule="auto"/>
        <w:ind w:left="709" w:right="709"/>
        <w:jc w:val="both"/>
        <w:rPr>
          <w:rFonts w:ascii="Arial" w:eastAsia="Calibri" w:hAnsi="Arial" w:cs="Arial"/>
          <w:sz w:val="22"/>
        </w:rPr>
      </w:pPr>
    </w:p>
    <w:p w14:paraId="48D1BACB" w14:textId="57B9A538" w:rsidR="008A1950" w:rsidRPr="00F35561" w:rsidRDefault="008A1950" w:rsidP="008A1950">
      <w:pPr>
        <w:spacing w:line="276" w:lineRule="auto"/>
        <w:jc w:val="both"/>
        <w:rPr>
          <w:rFonts w:ascii="Arial" w:eastAsia="Calibri" w:hAnsi="Arial" w:cs="Arial"/>
          <w:sz w:val="22"/>
        </w:rPr>
      </w:pPr>
      <w:r w:rsidRPr="00F35561">
        <w:rPr>
          <w:rFonts w:ascii="Arial" w:eastAsia="Calibri" w:hAnsi="Arial" w:cs="Arial"/>
          <w:sz w:val="22"/>
        </w:rPr>
        <w:t xml:space="preserve">La medida de aislamiento preventivo obligatorio fue inicialmente establecida por el Decreto 457 de 2020; sin embargo, el </w:t>
      </w:r>
      <w:r w:rsidR="00827D80">
        <w:rPr>
          <w:rFonts w:ascii="Arial" w:eastAsia="Calibri" w:hAnsi="Arial" w:cs="Arial"/>
          <w:sz w:val="22"/>
        </w:rPr>
        <w:t>Gobierno</w:t>
      </w:r>
      <w:r w:rsidRPr="00F35561">
        <w:rPr>
          <w:rFonts w:ascii="Arial" w:eastAsia="Calibri" w:hAnsi="Arial" w:cs="Arial"/>
          <w:sz w:val="22"/>
        </w:rPr>
        <w:t xml:space="preserve"> la ha prorrogado en diversas ocasiones. Actualmente, el Decreto 1076 de 2020 </w:t>
      </w:r>
      <w:r w:rsidR="0084529E">
        <w:rPr>
          <w:rFonts w:ascii="Arial" w:eastAsia="Calibri" w:hAnsi="Arial" w:cs="Arial"/>
          <w:sz w:val="22"/>
        </w:rPr>
        <w:t>dispone</w:t>
      </w:r>
      <w:r w:rsidR="0084529E" w:rsidRPr="00F35561">
        <w:rPr>
          <w:rFonts w:ascii="Arial" w:eastAsia="Calibri" w:hAnsi="Arial" w:cs="Arial"/>
          <w:sz w:val="22"/>
        </w:rPr>
        <w:t xml:space="preserve"> </w:t>
      </w:r>
      <w:r w:rsidRPr="00F35561">
        <w:rPr>
          <w:rFonts w:ascii="Arial" w:eastAsia="Calibri" w:hAnsi="Arial" w:cs="Arial"/>
          <w:sz w:val="22"/>
        </w:rPr>
        <w:t xml:space="preserve">«Ordenar el aislamiento preventivo obligatorio de todas las personas habitantes de la República de Colombia, a partir de las cero horas (00:00 a.m.) del día 1 de agosto de 2020, hasta las cero horas (00:00 del día 1 de septiembre de 2020, en el marco de la emergencia sanitaria por causa del Coronavirus COVID-19». Por tanto, </w:t>
      </w:r>
      <w:r w:rsidR="0084529E">
        <w:rPr>
          <w:rFonts w:ascii="Arial" w:eastAsia="Calibri" w:hAnsi="Arial" w:cs="Arial"/>
          <w:sz w:val="22"/>
        </w:rPr>
        <w:t>como</w:t>
      </w:r>
      <w:r w:rsidR="00827D80">
        <w:rPr>
          <w:rFonts w:ascii="Arial" w:eastAsia="Calibri" w:hAnsi="Arial" w:cs="Arial"/>
          <w:sz w:val="22"/>
        </w:rPr>
        <w:t xml:space="preserve"> el artículo 1 de</w:t>
      </w:r>
      <w:r w:rsidRPr="00F35561">
        <w:rPr>
          <w:rFonts w:ascii="Arial" w:eastAsia="Calibri" w:hAnsi="Arial" w:cs="Arial"/>
          <w:sz w:val="22"/>
        </w:rPr>
        <w:t xml:space="preserve"> la Resolución 080 de 2020 </w:t>
      </w:r>
      <w:r w:rsidR="0084529E">
        <w:rPr>
          <w:rFonts w:ascii="Arial" w:eastAsia="Calibri" w:hAnsi="Arial" w:cs="Arial"/>
          <w:sz w:val="22"/>
        </w:rPr>
        <w:t>prescribe</w:t>
      </w:r>
      <w:r w:rsidR="0084529E" w:rsidRPr="00F35561">
        <w:rPr>
          <w:rFonts w:ascii="Arial" w:eastAsia="Calibri" w:hAnsi="Arial" w:cs="Arial"/>
          <w:sz w:val="22"/>
        </w:rPr>
        <w:t xml:space="preserve"> </w:t>
      </w:r>
      <w:r w:rsidRPr="00F35561">
        <w:rPr>
          <w:rFonts w:ascii="Arial" w:eastAsia="Calibri" w:hAnsi="Arial" w:cs="Arial"/>
          <w:sz w:val="22"/>
        </w:rPr>
        <w:t xml:space="preserve">que su vigencia depende de que el </w:t>
      </w:r>
      <w:proofErr w:type="gramStart"/>
      <w:r w:rsidRPr="00F35561">
        <w:rPr>
          <w:rFonts w:ascii="Arial" w:eastAsia="Calibri" w:hAnsi="Arial" w:cs="Arial"/>
          <w:sz w:val="22"/>
        </w:rPr>
        <w:t>Presidente</w:t>
      </w:r>
      <w:proofErr w:type="gramEnd"/>
      <w:r w:rsidRPr="00F35561">
        <w:rPr>
          <w:rFonts w:ascii="Arial" w:eastAsia="Calibri" w:hAnsi="Arial" w:cs="Arial"/>
          <w:sz w:val="22"/>
        </w:rPr>
        <w:t xml:space="preserve"> de la República conserve la medida de aislamiento </w:t>
      </w:r>
      <w:r w:rsidRPr="00F35561">
        <w:rPr>
          <w:rFonts w:ascii="Arial" w:eastAsia="Calibri" w:hAnsi="Arial" w:cs="Arial"/>
          <w:sz w:val="22"/>
        </w:rPr>
        <w:lastRenderedPageBreak/>
        <w:t xml:space="preserve">preventivo obligatorio, </w:t>
      </w:r>
      <w:r w:rsidR="00827D80" w:rsidRPr="00F35561">
        <w:rPr>
          <w:rFonts w:ascii="Arial" w:eastAsia="Calibri" w:hAnsi="Arial" w:cs="Arial"/>
          <w:sz w:val="22"/>
        </w:rPr>
        <w:t xml:space="preserve">continúa vigente </w:t>
      </w:r>
      <w:r w:rsidRPr="00F35561">
        <w:rPr>
          <w:rFonts w:ascii="Arial" w:eastAsia="Calibri" w:hAnsi="Arial" w:cs="Arial"/>
          <w:sz w:val="22"/>
        </w:rPr>
        <w:t xml:space="preserve">la </w:t>
      </w:r>
      <w:r w:rsidR="00827D80">
        <w:rPr>
          <w:rFonts w:ascii="Arial" w:eastAsia="Calibri" w:hAnsi="Arial" w:cs="Arial"/>
          <w:sz w:val="22"/>
        </w:rPr>
        <w:t xml:space="preserve">suspensión del numeral 3.6 de los documentos tipo adoptados mediante las Resoluciones </w:t>
      </w:r>
      <w:r w:rsidR="00827D80" w:rsidRPr="00F35561">
        <w:rPr>
          <w:rFonts w:ascii="Arial" w:eastAsia="Calibri" w:hAnsi="Arial" w:cs="Arial"/>
          <w:sz w:val="22"/>
        </w:rPr>
        <w:t>No. 044 y 045 de 2020</w:t>
      </w:r>
      <w:r w:rsidRPr="00F35561">
        <w:rPr>
          <w:rFonts w:ascii="Arial" w:eastAsia="Calibri" w:hAnsi="Arial" w:cs="Arial"/>
          <w:sz w:val="22"/>
        </w:rPr>
        <w:t xml:space="preserve">. </w:t>
      </w:r>
    </w:p>
    <w:p w14:paraId="2A26567E" w14:textId="1BD0FBDD" w:rsidR="008A1950" w:rsidRPr="00F35561" w:rsidRDefault="008A1950" w:rsidP="00704124">
      <w:pPr>
        <w:spacing w:line="276" w:lineRule="auto"/>
        <w:ind w:firstLine="708"/>
        <w:jc w:val="both"/>
        <w:rPr>
          <w:rFonts w:ascii="Arial" w:eastAsia="Calibri" w:hAnsi="Arial" w:cs="Arial"/>
          <w:sz w:val="22"/>
        </w:rPr>
      </w:pPr>
    </w:p>
    <w:p w14:paraId="3B5B09D4" w14:textId="26926D38" w:rsidR="008A1950" w:rsidRPr="00F35561" w:rsidRDefault="008A1950" w:rsidP="006B479A">
      <w:pPr>
        <w:ind w:left="709" w:right="709"/>
        <w:jc w:val="both"/>
        <w:rPr>
          <w:rFonts w:ascii="Arial" w:eastAsia="Calibri" w:hAnsi="Arial" w:cs="Arial"/>
          <w:sz w:val="21"/>
          <w:szCs w:val="21"/>
        </w:rPr>
      </w:pPr>
      <w:proofErr w:type="spellStart"/>
      <w:r w:rsidRPr="00F35561">
        <w:rPr>
          <w:rFonts w:ascii="Arial" w:eastAsia="Calibri" w:hAnsi="Arial" w:cs="Arial"/>
          <w:sz w:val="21"/>
          <w:szCs w:val="21"/>
        </w:rPr>
        <w:t>ii</w:t>
      </w:r>
      <w:proofErr w:type="spellEnd"/>
      <w:r w:rsidRPr="00F35561">
        <w:rPr>
          <w:rFonts w:ascii="Arial" w:eastAsia="Calibri" w:hAnsi="Arial" w:cs="Arial"/>
          <w:sz w:val="21"/>
          <w:szCs w:val="21"/>
        </w:rPr>
        <w:t xml:space="preserve">) </w:t>
      </w:r>
      <w:r w:rsidR="00B835DC" w:rsidRPr="00B835DC">
        <w:rPr>
          <w:rFonts w:ascii="Arial" w:eastAsia="Calibri" w:hAnsi="Arial" w:cs="Arial"/>
          <w:sz w:val="21"/>
          <w:szCs w:val="21"/>
        </w:rPr>
        <w:t>¿el artículo 3.18 de los Decretos 593 y 990 de 2020 modifica la Resolución No. 080 de 2020?</w:t>
      </w:r>
    </w:p>
    <w:p w14:paraId="6B577FF1" w14:textId="16D42E8C" w:rsidR="008A1950" w:rsidRPr="00F35561" w:rsidRDefault="008A1950" w:rsidP="00704124">
      <w:pPr>
        <w:spacing w:line="276" w:lineRule="auto"/>
        <w:ind w:firstLine="708"/>
        <w:jc w:val="both"/>
        <w:rPr>
          <w:rFonts w:ascii="Arial" w:eastAsia="Calibri" w:hAnsi="Arial" w:cs="Arial"/>
          <w:sz w:val="22"/>
        </w:rPr>
      </w:pPr>
    </w:p>
    <w:p w14:paraId="5B0B1E86" w14:textId="5EAD2CD9" w:rsidR="00185441" w:rsidRPr="00F35561" w:rsidRDefault="00686DE1" w:rsidP="00686DE1">
      <w:pPr>
        <w:spacing w:after="120" w:line="276" w:lineRule="auto"/>
        <w:jc w:val="both"/>
        <w:rPr>
          <w:rFonts w:ascii="Arial" w:eastAsia="Calibri" w:hAnsi="Arial" w:cs="Arial"/>
          <w:sz w:val="22"/>
        </w:rPr>
      </w:pPr>
      <w:r w:rsidRPr="00F35561">
        <w:rPr>
          <w:rFonts w:ascii="Arial" w:eastAsia="Calibri" w:hAnsi="Arial" w:cs="Arial"/>
          <w:sz w:val="21"/>
          <w:szCs w:val="21"/>
        </w:rPr>
        <w:t>L</w:t>
      </w:r>
      <w:r w:rsidRPr="00F35561">
        <w:rPr>
          <w:rFonts w:ascii="Arial" w:eastAsia="Calibri" w:hAnsi="Arial" w:cs="Arial"/>
          <w:sz w:val="22"/>
        </w:rPr>
        <w:t xml:space="preserve">o dispuesto </w:t>
      </w:r>
      <w:r w:rsidR="00B835DC">
        <w:rPr>
          <w:rFonts w:ascii="Arial" w:eastAsia="Calibri" w:hAnsi="Arial" w:cs="Arial"/>
          <w:sz w:val="22"/>
        </w:rPr>
        <w:t>en el artículo 3.18 de</w:t>
      </w:r>
      <w:r w:rsidRPr="00F35561">
        <w:rPr>
          <w:rFonts w:ascii="Arial" w:eastAsia="Calibri" w:hAnsi="Arial" w:cs="Arial"/>
          <w:sz w:val="22"/>
        </w:rPr>
        <w:t xml:space="preserve"> los </w:t>
      </w:r>
      <w:r w:rsidR="00B835DC">
        <w:rPr>
          <w:rFonts w:ascii="Arial" w:eastAsia="Calibri" w:hAnsi="Arial" w:cs="Arial"/>
          <w:sz w:val="22"/>
        </w:rPr>
        <w:t>D</w:t>
      </w:r>
      <w:r w:rsidRPr="00F35561">
        <w:rPr>
          <w:rFonts w:ascii="Arial" w:eastAsia="Calibri" w:hAnsi="Arial" w:cs="Arial"/>
          <w:sz w:val="22"/>
        </w:rPr>
        <w:t>ecretos 593</w:t>
      </w:r>
      <w:r w:rsidR="00B835DC">
        <w:rPr>
          <w:rFonts w:ascii="Arial" w:eastAsia="Calibri" w:hAnsi="Arial" w:cs="Arial"/>
          <w:sz w:val="22"/>
        </w:rPr>
        <w:t xml:space="preserve"> y</w:t>
      </w:r>
      <w:r w:rsidRPr="00F35561">
        <w:rPr>
          <w:rFonts w:ascii="Arial" w:eastAsia="Calibri" w:hAnsi="Arial" w:cs="Arial"/>
          <w:sz w:val="22"/>
        </w:rPr>
        <w:t xml:space="preserve"> 990</w:t>
      </w:r>
      <w:r w:rsidR="00B835DC">
        <w:rPr>
          <w:rFonts w:ascii="Arial" w:eastAsia="Calibri" w:hAnsi="Arial" w:cs="Arial"/>
          <w:sz w:val="22"/>
        </w:rPr>
        <w:t xml:space="preserve"> de 2020</w:t>
      </w:r>
      <w:r w:rsidRPr="00F35561">
        <w:rPr>
          <w:rFonts w:ascii="Arial" w:eastAsia="Calibri" w:hAnsi="Arial" w:cs="Arial"/>
          <w:sz w:val="22"/>
        </w:rPr>
        <w:t xml:space="preserve"> </w:t>
      </w:r>
      <w:r w:rsidR="00B835DC">
        <w:rPr>
          <w:rFonts w:ascii="Arial" w:eastAsia="Calibri" w:hAnsi="Arial" w:cs="Arial"/>
          <w:sz w:val="22"/>
        </w:rPr>
        <w:t xml:space="preserve">–al igual que el artículo 3.18 del Decreto </w:t>
      </w:r>
      <w:r w:rsidRPr="00F35561">
        <w:rPr>
          <w:rFonts w:ascii="Arial" w:eastAsia="Calibri" w:hAnsi="Arial" w:cs="Arial"/>
          <w:sz w:val="22"/>
        </w:rPr>
        <w:t xml:space="preserve">1076 de 2020, </w:t>
      </w:r>
      <w:r w:rsidR="00B835DC">
        <w:rPr>
          <w:rFonts w:ascii="Arial" w:eastAsia="Calibri" w:hAnsi="Arial" w:cs="Arial"/>
          <w:sz w:val="22"/>
        </w:rPr>
        <w:t xml:space="preserve">que regula actualmente las excepciones al confinamiento obligatorio– no </w:t>
      </w:r>
      <w:r w:rsidR="003646DE">
        <w:rPr>
          <w:rFonts w:ascii="Arial" w:eastAsia="Calibri" w:hAnsi="Arial" w:cs="Arial"/>
          <w:sz w:val="22"/>
        </w:rPr>
        <w:t>es</w:t>
      </w:r>
      <w:r w:rsidRPr="00F35561">
        <w:rPr>
          <w:rFonts w:ascii="Arial" w:eastAsia="Calibri" w:hAnsi="Arial" w:cs="Arial"/>
          <w:sz w:val="22"/>
        </w:rPr>
        <w:t xml:space="preserve"> una modificación o levantamiento de la suspensión de los numerales 3.6 y 4.2.4</w:t>
      </w:r>
      <w:r w:rsidR="00220FBA" w:rsidRPr="00F35561">
        <w:rPr>
          <w:rFonts w:ascii="Arial" w:eastAsia="Calibri" w:hAnsi="Arial" w:cs="Arial"/>
          <w:sz w:val="22"/>
        </w:rPr>
        <w:t xml:space="preserve"> de los </w:t>
      </w:r>
      <w:r w:rsidR="00B835DC" w:rsidRPr="00F35561">
        <w:rPr>
          <w:rFonts w:ascii="Arial" w:eastAsia="Calibri" w:hAnsi="Arial" w:cs="Arial"/>
          <w:sz w:val="22"/>
        </w:rPr>
        <w:t>documentos base</w:t>
      </w:r>
      <w:r w:rsidR="00220FBA" w:rsidRPr="00F35561">
        <w:rPr>
          <w:rFonts w:ascii="Arial" w:eastAsia="Calibri" w:hAnsi="Arial" w:cs="Arial"/>
          <w:sz w:val="22"/>
        </w:rPr>
        <w:t xml:space="preserve"> adoptados por las </w:t>
      </w:r>
      <w:r w:rsidR="00B835DC">
        <w:rPr>
          <w:rFonts w:ascii="Arial" w:eastAsia="Calibri" w:hAnsi="Arial" w:cs="Arial"/>
          <w:sz w:val="22"/>
        </w:rPr>
        <w:t>R</w:t>
      </w:r>
      <w:r w:rsidR="00220FBA" w:rsidRPr="00F35561">
        <w:rPr>
          <w:rFonts w:ascii="Arial" w:eastAsia="Calibri" w:hAnsi="Arial" w:cs="Arial"/>
          <w:sz w:val="22"/>
        </w:rPr>
        <w:t xml:space="preserve">esoluciones No. 044 y 045 de 2020, </w:t>
      </w:r>
      <w:r w:rsidRPr="00F35561">
        <w:rPr>
          <w:rFonts w:ascii="Arial" w:eastAsia="Calibri" w:hAnsi="Arial" w:cs="Arial"/>
          <w:sz w:val="22"/>
        </w:rPr>
        <w:t xml:space="preserve">ordenada por </w:t>
      </w:r>
      <w:r w:rsidR="00220FBA" w:rsidRPr="00F35561">
        <w:rPr>
          <w:rFonts w:ascii="Arial" w:eastAsia="Calibri" w:hAnsi="Arial" w:cs="Arial"/>
          <w:sz w:val="22"/>
        </w:rPr>
        <w:t>la Agencia Nacional de Contratación Pública – Colombia Compra Eficiente</w:t>
      </w:r>
      <w:r w:rsidRPr="00F35561">
        <w:rPr>
          <w:rFonts w:ascii="Arial" w:eastAsia="Calibri" w:hAnsi="Arial" w:cs="Arial"/>
          <w:sz w:val="22"/>
        </w:rPr>
        <w:t xml:space="preserve"> </w:t>
      </w:r>
      <w:r w:rsidR="00220FBA" w:rsidRPr="00F35561">
        <w:rPr>
          <w:rFonts w:ascii="Arial" w:eastAsia="Calibri" w:hAnsi="Arial" w:cs="Arial"/>
          <w:sz w:val="22"/>
        </w:rPr>
        <w:t xml:space="preserve">a través de la </w:t>
      </w:r>
      <w:r w:rsidRPr="00F35561">
        <w:rPr>
          <w:rFonts w:ascii="Arial" w:eastAsia="Calibri" w:hAnsi="Arial" w:cs="Arial"/>
          <w:sz w:val="22"/>
        </w:rPr>
        <w:t>Resolución No. 080 de 2020</w:t>
      </w:r>
      <w:r w:rsidR="003646DE">
        <w:rPr>
          <w:rFonts w:ascii="Arial" w:eastAsia="Calibri" w:hAnsi="Arial" w:cs="Arial"/>
          <w:sz w:val="22"/>
        </w:rPr>
        <w:t>. Lo anterior,</w:t>
      </w:r>
      <w:r w:rsidRPr="00F35561">
        <w:rPr>
          <w:rFonts w:ascii="Arial" w:eastAsia="Calibri" w:hAnsi="Arial" w:cs="Arial"/>
          <w:sz w:val="22"/>
        </w:rPr>
        <w:t xml:space="preserve"> en la medida que </w:t>
      </w:r>
      <w:r w:rsidR="003646DE">
        <w:rPr>
          <w:rFonts w:ascii="Arial" w:eastAsia="Calibri" w:hAnsi="Arial" w:cs="Arial"/>
          <w:sz w:val="22"/>
        </w:rPr>
        <w:t>los</w:t>
      </w:r>
      <w:r w:rsidR="003646DE" w:rsidRPr="00F35561">
        <w:rPr>
          <w:rFonts w:ascii="Arial" w:eastAsia="Calibri" w:hAnsi="Arial" w:cs="Arial"/>
          <w:sz w:val="22"/>
        </w:rPr>
        <w:t xml:space="preserve"> </w:t>
      </w:r>
      <w:r w:rsidRPr="00F35561">
        <w:rPr>
          <w:rFonts w:ascii="Arial" w:eastAsia="Calibri" w:hAnsi="Arial" w:cs="Arial"/>
          <w:sz w:val="22"/>
        </w:rPr>
        <w:t>numerales</w:t>
      </w:r>
      <w:r w:rsidR="003646DE">
        <w:rPr>
          <w:rFonts w:ascii="Arial" w:eastAsia="Calibri" w:hAnsi="Arial" w:cs="Arial"/>
          <w:sz w:val="22"/>
        </w:rPr>
        <w:t xml:space="preserve"> citados</w:t>
      </w:r>
      <w:r w:rsidRPr="00F35561">
        <w:rPr>
          <w:rFonts w:ascii="Arial" w:eastAsia="Calibri" w:hAnsi="Arial" w:cs="Arial"/>
          <w:sz w:val="22"/>
        </w:rPr>
        <w:t xml:space="preserve"> no </w:t>
      </w:r>
      <w:r w:rsidR="003646DE">
        <w:rPr>
          <w:rFonts w:ascii="Arial" w:eastAsia="Calibri" w:hAnsi="Arial" w:cs="Arial"/>
          <w:sz w:val="22"/>
        </w:rPr>
        <w:t>implican el desarrollo de actividades constructivas,</w:t>
      </w:r>
      <w:r w:rsidRPr="00F35561">
        <w:rPr>
          <w:rFonts w:ascii="Arial" w:eastAsia="Calibri" w:hAnsi="Arial" w:cs="Arial"/>
          <w:sz w:val="22"/>
        </w:rPr>
        <w:t xml:space="preserve"> sino aspectos propios de los proce</w:t>
      </w:r>
      <w:r w:rsidR="003646DE">
        <w:rPr>
          <w:rFonts w:ascii="Arial" w:eastAsia="Calibri" w:hAnsi="Arial" w:cs="Arial"/>
          <w:sz w:val="22"/>
        </w:rPr>
        <w:t>dimientos</w:t>
      </w:r>
      <w:r w:rsidRPr="00F35561">
        <w:rPr>
          <w:rFonts w:ascii="Arial" w:eastAsia="Calibri" w:hAnsi="Arial" w:cs="Arial"/>
          <w:sz w:val="22"/>
        </w:rPr>
        <w:t xml:space="preserve"> de selección</w:t>
      </w:r>
      <w:r w:rsidR="00220FBA" w:rsidRPr="00F35561">
        <w:rPr>
          <w:rFonts w:ascii="Arial" w:eastAsia="Calibri" w:hAnsi="Arial" w:cs="Arial"/>
          <w:sz w:val="22"/>
        </w:rPr>
        <w:t xml:space="preserve"> licitación pública y selección abreviada de menor cuantía para la escogencia de contratistas de obra pública de infraestructura de transporte. </w:t>
      </w:r>
    </w:p>
    <w:p w14:paraId="3F7C2B3D" w14:textId="260779C0" w:rsidR="00686DE1" w:rsidRPr="00F35561" w:rsidRDefault="00686DE1" w:rsidP="00220FBA">
      <w:pPr>
        <w:spacing w:after="120" w:line="276" w:lineRule="auto"/>
        <w:jc w:val="both"/>
        <w:rPr>
          <w:rFonts w:ascii="Arial" w:eastAsia="Calibri" w:hAnsi="Arial" w:cs="Arial"/>
          <w:sz w:val="22"/>
        </w:rPr>
      </w:pPr>
      <w:r w:rsidRPr="00F35561">
        <w:rPr>
          <w:rFonts w:ascii="Arial" w:eastAsia="Calibri" w:hAnsi="Arial" w:cs="Arial"/>
          <w:sz w:val="22"/>
        </w:rPr>
        <w:tab/>
        <w:t xml:space="preserve">Sin embargo, </w:t>
      </w:r>
      <w:r w:rsidR="00220FBA" w:rsidRPr="00F35561">
        <w:rPr>
          <w:rFonts w:ascii="Arial" w:eastAsia="Calibri" w:hAnsi="Arial" w:cs="Arial"/>
          <w:sz w:val="22"/>
        </w:rPr>
        <w:t>con</w:t>
      </w:r>
      <w:r w:rsidRPr="00F35561">
        <w:rPr>
          <w:rFonts w:ascii="Arial" w:eastAsia="Calibri" w:hAnsi="Arial" w:cs="Arial"/>
          <w:sz w:val="22"/>
        </w:rPr>
        <w:t xml:space="preserve"> la expedición de la Resolución No. 116 de 2020,</w:t>
      </w:r>
      <w:r w:rsidR="00220FBA" w:rsidRPr="00F35561">
        <w:rPr>
          <w:rFonts w:ascii="Arial" w:eastAsia="Calibri" w:hAnsi="Arial" w:cs="Arial"/>
          <w:sz w:val="22"/>
        </w:rPr>
        <w:t xml:space="preserve"> la cual modifica, entre otros, el numeral 4.2.4 de</w:t>
      </w:r>
      <w:r w:rsidR="00E17E15">
        <w:rPr>
          <w:rFonts w:ascii="Arial" w:eastAsia="Calibri" w:hAnsi="Arial" w:cs="Arial"/>
          <w:sz w:val="22"/>
        </w:rPr>
        <w:t>l</w:t>
      </w:r>
      <w:r w:rsidR="00220FBA" w:rsidRPr="00F35561">
        <w:rPr>
          <w:rFonts w:ascii="Arial" w:eastAsia="Calibri" w:hAnsi="Arial" w:cs="Arial"/>
          <w:sz w:val="22"/>
        </w:rPr>
        <w:t xml:space="preserve"> </w:t>
      </w:r>
      <w:r w:rsidR="00E17E15" w:rsidRPr="00F35561">
        <w:rPr>
          <w:rFonts w:ascii="Arial" w:eastAsia="Calibri" w:hAnsi="Arial" w:cs="Arial"/>
          <w:sz w:val="22"/>
        </w:rPr>
        <w:t>documento base</w:t>
      </w:r>
      <w:r w:rsidR="00220FBA" w:rsidRPr="00F35561">
        <w:rPr>
          <w:rFonts w:ascii="Arial" w:eastAsia="Calibri" w:hAnsi="Arial" w:cs="Arial"/>
          <w:sz w:val="22"/>
        </w:rPr>
        <w:t xml:space="preserve">, </w:t>
      </w:r>
      <w:r w:rsidRPr="00F35561">
        <w:rPr>
          <w:rFonts w:ascii="Arial" w:eastAsia="Calibri" w:hAnsi="Arial" w:cs="Arial"/>
          <w:sz w:val="22"/>
        </w:rPr>
        <w:t>la suspensión de</w:t>
      </w:r>
      <w:r w:rsidR="00220FBA" w:rsidRPr="00F35561">
        <w:rPr>
          <w:rFonts w:ascii="Arial" w:eastAsia="Calibri" w:hAnsi="Arial" w:cs="Arial"/>
          <w:sz w:val="22"/>
        </w:rPr>
        <w:t xml:space="preserve"> </w:t>
      </w:r>
      <w:proofErr w:type="gramStart"/>
      <w:r w:rsidR="003D0825">
        <w:rPr>
          <w:rFonts w:ascii="Arial" w:eastAsia="Calibri" w:hAnsi="Arial" w:cs="Arial"/>
          <w:sz w:val="22"/>
        </w:rPr>
        <w:t>este numeral ordenada</w:t>
      </w:r>
      <w:proofErr w:type="gramEnd"/>
      <w:r w:rsidRPr="00F35561">
        <w:rPr>
          <w:rFonts w:ascii="Arial" w:eastAsia="Calibri" w:hAnsi="Arial" w:cs="Arial"/>
          <w:sz w:val="22"/>
        </w:rPr>
        <w:t xml:space="preserve"> por la Resolución No. 080 de 2020</w:t>
      </w:r>
      <w:r w:rsidR="003D0825">
        <w:rPr>
          <w:rFonts w:ascii="Arial" w:eastAsia="Calibri" w:hAnsi="Arial" w:cs="Arial"/>
          <w:sz w:val="22"/>
        </w:rPr>
        <w:t>,</w:t>
      </w:r>
      <w:r w:rsidRPr="00F35561">
        <w:rPr>
          <w:rFonts w:ascii="Arial" w:eastAsia="Calibri" w:hAnsi="Arial" w:cs="Arial"/>
          <w:sz w:val="22"/>
        </w:rPr>
        <w:t xml:space="preserve"> </w:t>
      </w:r>
      <w:r w:rsidR="003D0825">
        <w:rPr>
          <w:rFonts w:ascii="Arial" w:eastAsia="Calibri" w:hAnsi="Arial" w:cs="Arial"/>
          <w:sz w:val="22"/>
        </w:rPr>
        <w:t>ha finalizad</w:t>
      </w:r>
      <w:r w:rsidR="003D0825" w:rsidRPr="003D0825">
        <w:rPr>
          <w:rFonts w:ascii="Arial" w:eastAsia="Calibri" w:hAnsi="Arial" w:cs="Arial"/>
          <w:sz w:val="22"/>
        </w:rPr>
        <w:t>o</w:t>
      </w:r>
      <w:r w:rsidR="00220FBA" w:rsidRPr="003D0825">
        <w:rPr>
          <w:rFonts w:ascii="Arial" w:eastAsia="Calibri" w:hAnsi="Arial" w:cs="Arial"/>
          <w:sz w:val="22"/>
        </w:rPr>
        <w:t xml:space="preserve">. </w:t>
      </w:r>
      <w:r w:rsidR="003D0825" w:rsidRPr="003D0825">
        <w:rPr>
          <w:rFonts w:ascii="Arial" w:eastAsia="Calibri" w:hAnsi="Arial" w:cs="Arial"/>
          <w:sz w:val="22"/>
        </w:rPr>
        <w:t>Dicha</w:t>
      </w:r>
      <w:r w:rsidR="003D0825">
        <w:rPr>
          <w:rFonts w:ascii="Arial" w:eastAsia="Calibri" w:hAnsi="Arial" w:cs="Arial"/>
          <w:sz w:val="22"/>
        </w:rPr>
        <w:t xml:space="preserve"> finalización, </w:t>
      </w:r>
      <w:r w:rsidR="00220FBA" w:rsidRPr="00F35561">
        <w:rPr>
          <w:rFonts w:ascii="Arial" w:eastAsia="Calibri" w:hAnsi="Arial" w:cs="Arial"/>
          <w:sz w:val="22"/>
        </w:rPr>
        <w:t>de conformidad con el artículo 4 de la Resolución 116, es efectiv</w:t>
      </w:r>
      <w:r w:rsidR="003D0825">
        <w:rPr>
          <w:rFonts w:ascii="Arial" w:eastAsia="Calibri" w:hAnsi="Arial" w:cs="Arial"/>
          <w:sz w:val="22"/>
        </w:rPr>
        <w:t>a</w:t>
      </w:r>
      <w:r w:rsidR="00220FBA" w:rsidRPr="00F35561">
        <w:rPr>
          <w:rFonts w:ascii="Arial" w:eastAsia="Calibri" w:hAnsi="Arial" w:cs="Arial"/>
          <w:sz w:val="22"/>
        </w:rPr>
        <w:t xml:space="preserve"> a partir del 21 de julio de 2020, fecha de </w:t>
      </w:r>
      <w:proofErr w:type="gramStart"/>
      <w:r w:rsidR="00220FBA" w:rsidRPr="00F35561">
        <w:rPr>
          <w:rFonts w:ascii="Arial" w:eastAsia="Calibri" w:hAnsi="Arial" w:cs="Arial"/>
          <w:sz w:val="22"/>
        </w:rPr>
        <w:t>entrada en vigencia</w:t>
      </w:r>
      <w:proofErr w:type="gramEnd"/>
      <w:r w:rsidR="00220FBA" w:rsidRPr="00F35561">
        <w:rPr>
          <w:rFonts w:ascii="Arial" w:eastAsia="Calibri" w:hAnsi="Arial" w:cs="Arial"/>
          <w:sz w:val="22"/>
        </w:rPr>
        <w:t xml:space="preserve"> de las modificaciones introducidas por esta última resolución.</w:t>
      </w:r>
    </w:p>
    <w:p w14:paraId="058531A6" w14:textId="77777777" w:rsidR="00220FBA" w:rsidRPr="00F35561" w:rsidRDefault="00220FBA" w:rsidP="00220FBA">
      <w:pPr>
        <w:spacing w:line="276" w:lineRule="auto"/>
        <w:jc w:val="both"/>
        <w:rPr>
          <w:rFonts w:ascii="Arial" w:eastAsia="Calibri" w:hAnsi="Arial" w:cs="Arial"/>
          <w:sz w:val="22"/>
        </w:rPr>
      </w:pPr>
    </w:p>
    <w:p w14:paraId="66CE4DD8" w14:textId="637473A3" w:rsidR="00BE1E33" w:rsidRPr="00F35561" w:rsidRDefault="00E05344" w:rsidP="00220FBA">
      <w:pPr>
        <w:spacing w:after="120" w:line="276" w:lineRule="auto"/>
        <w:jc w:val="both"/>
        <w:rPr>
          <w:rFonts w:ascii="Arial" w:eastAsia="Calibri" w:hAnsi="Arial" w:cs="Arial"/>
          <w:sz w:val="22"/>
        </w:rPr>
      </w:pPr>
      <w:r w:rsidRPr="00F35561">
        <w:rPr>
          <w:rFonts w:ascii="Arial" w:eastAsia="Calibri" w:hAnsi="Arial" w:cs="Arial"/>
          <w:sz w:val="22"/>
        </w:rPr>
        <w:t>Este concepto tiene el alcance previsto en el artículo 28 del Código de Procedimiento Administrativo y de lo Contencioso Administrativo</w:t>
      </w:r>
      <w:r w:rsidR="00BE1E33" w:rsidRPr="00F35561">
        <w:rPr>
          <w:rFonts w:ascii="Arial" w:eastAsia="Calibri" w:hAnsi="Arial" w:cs="Arial"/>
          <w:sz w:val="22"/>
        </w:rPr>
        <w:t>.</w:t>
      </w:r>
    </w:p>
    <w:p w14:paraId="138D33A2" w14:textId="77777777" w:rsidR="00BE1E33" w:rsidRPr="00F35561" w:rsidRDefault="00BE1E33" w:rsidP="00BE1E33">
      <w:pPr>
        <w:ind w:firstLine="709"/>
        <w:jc w:val="both"/>
        <w:rPr>
          <w:rFonts w:ascii="Arial" w:eastAsia="Calibri" w:hAnsi="Arial" w:cs="Arial"/>
          <w:sz w:val="22"/>
        </w:rPr>
      </w:pPr>
    </w:p>
    <w:p w14:paraId="2B02915D" w14:textId="77777777" w:rsidR="00BE1E33" w:rsidRPr="00F35561" w:rsidRDefault="00BE1E33" w:rsidP="00BE1E33">
      <w:pPr>
        <w:jc w:val="both"/>
        <w:rPr>
          <w:rFonts w:ascii="Arial" w:eastAsia="Times New Roman" w:hAnsi="Arial" w:cs="Arial"/>
          <w:sz w:val="22"/>
          <w:lang w:eastAsia="es-CO"/>
        </w:rPr>
      </w:pPr>
      <w:r w:rsidRPr="00F35561">
        <w:rPr>
          <w:rFonts w:ascii="Arial" w:eastAsia="Times New Roman" w:hAnsi="Arial" w:cs="Arial"/>
          <w:sz w:val="22"/>
          <w:lang w:eastAsia="es-CO"/>
        </w:rPr>
        <w:t>Atentamente,</w:t>
      </w:r>
    </w:p>
    <w:bookmarkEnd w:id="0"/>
    <w:bookmarkEnd w:id="1"/>
    <w:p w14:paraId="1C8F6984" w14:textId="0DA7C4A7" w:rsidR="00BE1E33" w:rsidRPr="00F35561" w:rsidRDefault="00305134" w:rsidP="00BE1E33">
      <w:pPr>
        <w:jc w:val="center"/>
        <w:rPr>
          <w:rFonts w:ascii="Arial" w:eastAsia="Times New Roman" w:hAnsi="Arial" w:cs="Arial"/>
          <w:sz w:val="18"/>
          <w:szCs w:val="20"/>
          <w:lang w:eastAsia="es-CO"/>
        </w:rPr>
      </w:pPr>
      <w:r>
        <w:rPr>
          <w:noProof/>
        </w:rPr>
        <w:drawing>
          <wp:inline distT="0" distB="0" distL="0" distR="0" wp14:anchorId="782FF3D6" wp14:editId="62AA4948">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724B0300" w14:textId="77777777" w:rsidR="00730CDB" w:rsidRPr="00F35561" w:rsidRDefault="00730CDB" w:rsidP="00BE1E33">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050C2" w:rsidRPr="00F35561" w14:paraId="7E5CB93D" w14:textId="77777777" w:rsidTr="00AC43E7">
        <w:trPr>
          <w:trHeight w:val="315"/>
        </w:trPr>
        <w:tc>
          <w:tcPr>
            <w:tcW w:w="812" w:type="dxa"/>
            <w:vAlign w:val="center"/>
            <w:hideMark/>
          </w:tcPr>
          <w:p w14:paraId="44CFA06E" w14:textId="77777777" w:rsidR="00BE1E33" w:rsidRPr="00F35561" w:rsidRDefault="00BE1E33" w:rsidP="00AC43E7">
            <w:pPr>
              <w:rPr>
                <w:rFonts w:ascii="Arial" w:eastAsia="Times New Roman" w:hAnsi="Arial" w:cs="Arial"/>
                <w:sz w:val="16"/>
                <w:szCs w:val="16"/>
                <w:lang w:eastAsia="es-ES"/>
              </w:rPr>
            </w:pPr>
            <w:r w:rsidRPr="00F35561">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7D135994" w:rsidR="00BE1E33" w:rsidRPr="00F35561" w:rsidRDefault="00704124" w:rsidP="00AC43E7">
            <w:pPr>
              <w:rPr>
                <w:rFonts w:ascii="Arial" w:eastAsia="Times New Roman" w:hAnsi="Arial" w:cs="Arial"/>
                <w:sz w:val="16"/>
                <w:szCs w:val="16"/>
                <w:lang w:eastAsia="es-ES"/>
              </w:rPr>
            </w:pPr>
            <w:r w:rsidRPr="00F35561">
              <w:rPr>
                <w:rFonts w:ascii="Arial" w:eastAsia="Times New Roman" w:hAnsi="Arial" w:cs="Arial"/>
                <w:sz w:val="16"/>
                <w:szCs w:val="16"/>
                <w:lang w:eastAsia="es-ES"/>
              </w:rPr>
              <w:t>Alejandro Sarmiento Cantillo</w:t>
            </w:r>
          </w:p>
          <w:p w14:paraId="6C4A6DA1" w14:textId="5897BB3C" w:rsidR="00982E99" w:rsidRPr="00F35561" w:rsidRDefault="00982E99" w:rsidP="00AC43E7">
            <w:pPr>
              <w:rPr>
                <w:rFonts w:ascii="Arial" w:eastAsia="Times New Roman" w:hAnsi="Arial" w:cs="Arial"/>
                <w:sz w:val="16"/>
                <w:szCs w:val="16"/>
                <w:lang w:eastAsia="es-ES"/>
              </w:rPr>
            </w:pPr>
            <w:r w:rsidRPr="00F35561">
              <w:rPr>
                <w:rFonts w:ascii="Arial" w:eastAsia="Times New Roman" w:hAnsi="Arial" w:cs="Arial"/>
                <w:sz w:val="16"/>
                <w:szCs w:val="16"/>
                <w:lang w:eastAsia="es-ES"/>
              </w:rPr>
              <w:t>Contratista de la Subdirección de Gestión Contractual</w:t>
            </w:r>
          </w:p>
        </w:tc>
      </w:tr>
      <w:tr w:rsidR="00C050C2" w:rsidRPr="00F35561" w14:paraId="092BCD16" w14:textId="77777777" w:rsidTr="00AC43E7">
        <w:trPr>
          <w:trHeight w:val="330"/>
        </w:trPr>
        <w:tc>
          <w:tcPr>
            <w:tcW w:w="812" w:type="dxa"/>
            <w:vAlign w:val="center"/>
            <w:hideMark/>
          </w:tcPr>
          <w:p w14:paraId="463B4DD3" w14:textId="77777777" w:rsidR="00BE1E33" w:rsidRPr="00F35561" w:rsidRDefault="00BE1E33" w:rsidP="00AC43E7">
            <w:pPr>
              <w:rPr>
                <w:rFonts w:ascii="Arial" w:eastAsia="Times New Roman" w:hAnsi="Arial" w:cs="Arial"/>
                <w:sz w:val="16"/>
                <w:szCs w:val="16"/>
                <w:lang w:eastAsia="es-ES"/>
              </w:rPr>
            </w:pPr>
            <w:r w:rsidRPr="00F35561">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144DF2E1" w:rsidR="00730CDB" w:rsidRPr="00F35561" w:rsidRDefault="003646DE" w:rsidP="00730CDB">
            <w:pPr>
              <w:rPr>
                <w:rFonts w:ascii="Arial" w:eastAsia="Times New Roman" w:hAnsi="Arial" w:cs="Arial"/>
                <w:sz w:val="16"/>
                <w:szCs w:val="16"/>
                <w:lang w:eastAsia="es-ES"/>
              </w:rPr>
            </w:pPr>
            <w:r>
              <w:rPr>
                <w:rFonts w:ascii="Arial" w:eastAsia="Times New Roman" w:hAnsi="Arial" w:cs="Arial"/>
                <w:sz w:val="16"/>
                <w:szCs w:val="16"/>
                <w:lang w:eastAsia="es-ES"/>
              </w:rPr>
              <w:t xml:space="preserve">Juan David Montoya Penagos </w:t>
            </w:r>
          </w:p>
          <w:p w14:paraId="72718C99" w14:textId="0D6B6A33" w:rsidR="00BE1E33" w:rsidRPr="00F35561" w:rsidRDefault="004B39AA" w:rsidP="00730CDB">
            <w:pPr>
              <w:rPr>
                <w:rFonts w:ascii="Arial" w:eastAsia="Times New Roman" w:hAnsi="Arial" w:cs="Arial"/>
                <w:sz w:val="16"/>
                <w:szCs w:val="16"/>
                <w:lang w:eastAsia="es-ES"/>
              </w:rPr>
            </w:pPr>
            <w:r w:rsidRPr="00F35561">
              <w:rPr>
                <w:rFonts w:ascii="Arial" w:eastAsia="Times New Roman" w:hAnsi="Arial" w:cs="Arial"/>
                <w:sz w:val="16"/>
                <w:szCs w:val="16"/>
                <w:lang w:eastAsia="es-ES"/>
              </w:rPr>
              <w:t>Contratista</w:t>
            </w:r>
            <w:r w:rsidR="003646DE">
              <w:rPr>
                <w:rFonts w:ascii="Arial" w:eastAsia="Times New Roman" w:hAnsi="Arial" w:cs="Arial"/>
                <w:sz w:val="16"/>
                <w:szCs w:val="16"/>
                <w:lang w:eastAsia="es-ES"/>
              </w:rPr>
              <w:t xml:space="preserve"> de la</w:t>
            </w:r>
            <w:r w:rsidRPr="00F35561">
              <w:rPr>
                <w:rFonts w:ascii="Arial" w:eastAsia="Times New Roman" w:hAnsi="Arial" w:cs="Arial"/>
                <w:sz w:val="16"/>
                <w:szCs w:val="16"/>
                <w:lang w:eastAsia="es-ES"/>
              </w:rPr>
              <w:t xml:space="preserve"> </w:t>
            </w:r>
            <w:r w:rsidR="00730CDB" w:rsidRPr="00F35561">
              <w:rPr>
                <w:rFonts w:ascii="Arial" w:eastAsia="Times New Roman" w:hAnsi="Arial" w:cs="Arial"/>
                <w:sz w:val="16"/>
                <w:szCs w:val="16"/>
                <w:lang w:eastAsia="es-ES"/>
              </w:rPr>
              <w:t>Subdirec</w:t>
            </w:r>
            <w:r w:rsidRPr="00F35561">
              <w:rPr>
                <w:rFonts w:ascii="Arial" w:eastAsia="Times New Roman" w:hAnsi="Arial" w:cs="Arial"/>
                <w:sz w:val="16"/>
                <w:szCs w:val="16"/>
                <w:lang w:eastAsia="es-ES"/>
              </w:rPr>
              <w:t>ción</w:t>
            </w:r>
            <w:r w:rsidR="00730CDB" w:rsidRPr="00F35561">
              <w:rPr>
                <w:rFonts w:ascii="Arial" w:eastAsia="Times New Roman" w:hAnsi="Arial" w:cs="Arial"/>
                <w:sz w:val="16"/>
                <w:szCs w:val="16"/>
                <w:lang w:eastAsia="es-ES"/>
              </w:rPr>
              <w:t xml:space="preserve"> de Gestión Contractual</w:t>
            </w:r>
          </w:p>
        </w:tc>
      </w:tr>
      <w:tr w:rsidR="00982E99" w:rsidRPr="00F35561" w14:paraId="57DAFEF9" w14:textId="77777777" w:rsidTr="00AC43E7">
        <w:trPr>
          <w:trHeight w:val="300"/>
        </w:trPr>
        <w:tc>
          <w:tcPr>
            <w:tcW w:w="812" w:type="dxa"/>
            <w:vAlign w:val="center"/>
            <w:hideMark/>
          </w:tcPr>
          <w:p w14:paraId="70677013" w14:textId="77777777" w:rsidR="00BE1E33" w:rsidRPr="00F35561" w:rsidRDefault="00BE1E33" w:rsidP="00AC43E7">
            <w:pPr>
              <w:rPr>
                <w:rFonts w:ascii="Arial" w:eastAsia="Times New Roman" w:hAnsi="Arial" w:cs="Arial"/>
                <w:sz w:val="16"/>
                <w:szCs w:val="16"/>
                <w:lang w:eastAsia="es-ES"/>
              </w:rPr>
            </w:pPr>
            <w:r w:rsidRPr="00F35561">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F35561" w:rsidRDefault="00BE1E33" w:rsidP="00AC43E7">
            <w:pPr>
              <w:rPr>
                <w:rFonts w:ascii="Arial" w:eastAsia="Times New Roman" w:hAnsi="Arial" w:cs="Arial"/>
                <w:sz w:val="16"/>
                <w:szCs w:val="16"/>
                <w:lang w:eastAsia="es-ES"/>
              </w:rPr>
            </w:pPr>
            <w:r w:rsidRPr="00F35561">
              <w:rPr>
                <w:rFonts w:ascii="Arial" w:eastAsia="Times New Roman" w:hAnsi="Arial" w:cs="Arial"/>
                <w:sz w:val="16"/>
                <w:szCs w:val="16"/>
                <w:lang w:eastAsia="es-ES"/>
              </w:rPr>
              <w:t>Fabián Gonzalo Marín Cortés</w:t>
            </w:r>
          </w:p>
          <w:p w14:paraId="75BC677C" w14:textId="77777777" w:rsidR="00BE1E33" w:rsidRPr="00F35561" w:rsidRDefault="00BE1E33" w:rsidP="00AC43E7">
            <w:pPr>
              <w:rPr>
                <w:rFonts w:ascii="Arial" w:eastAsia="Times New Roman" w:hAnsi="Arial" w:cs="Arial"/>
                <w:sz w:val="16"/>
                <w:szCs w:val="16"/>
                <w:lang w:eastAsia="es-ES"/>
              </w:rPr>
            </w:pPr>
            <w:r w:rsidRPr="00F35561">
              <w:rPr>
                <w:rFonts w:ascii="Arial" w:eastAsia="Times New Roman" w:hAnsi="Arial" w:cs="Arial"/>
                <w:sz w:val="16"/>
                <w:szCs w:val="16"/>
                <w:lang w:eastAsia="es-ES"/>
              </w:rPr>
              <w:t>Subdirector de Gestión Contractual</w:t>
            </w:r>
          </w:p>
        </w:tc>
      </w:tr>
      <w:bookmarkEnd w:id="2"/>
    </w:tbl>
    <w:p w14:paraId="07748B46" w14:textId="77777777" w:rsidR="00BE1E33" w:rsidRPr="00F35561" w:rsidRDefault="00BE1E33" w:rsidP="00BE1E33">
      <w:pPr>
        <w:rPr>
          <w:rFonts w:ascii="Arial" w:hAnsi="Arial" w:cs="Arial"/>
        </w:rPr>
      </w:pPr>
    </w:p>
    <w:p w14:paraId="085A31AB" w14:textId="77777777" w:rsidR="006C5955" w:rsidRPr="00F35561" w:rsidRDefault="006C5955" w:rsidP="00BE1E33"/>
    <w:sectPr w:rsidR="006C5955" w:rsidRPr="00F35561"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ABE37" w14:textId="77777777" w:rsidR="00C37EB0" w:rsidRDefault="00C37EB0" w:rsidP="008C487C">
      <w:r>
        <w:separator/>
      </w:r>
    </w:p>
  </w:endnote>
  <w:endnote w:type="continuationSeparator" w:id="0">
    <w:p w14:paraId="31E7EAA5" w14:textId="77777777" w:rsidR="00C37EB0" w:rsidRDefault="00C37EB0"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52A1" w14:textId="77777777" w:rsidR="00A32C1F" w:rsidRDefault="00A32C1F" w:rsidP="00AC43E7">
    <w:pPr>
      <w:pStyle w:val="Sinespaciado"/>
      <w:jc w:val="right"/>
      <w:rPr>
        <w:rFonts w:ascii="Arial" w:hAnsi="Arial" w:cs="Arial"/>
        <w:sz w:val="18"/>
        <w:szCs w:val="18"/>
      </w:rPr>
    </w:pPr>
  </w:p>
  <w:p w14:paraId="3D3EB348" w14:textId="3FD24F78" w:rsidR="00A32C1F" w:rsidRPr="008217B7" w:rsidRDefault="00A32C1F"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91C2A">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91C2A">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29709EEF" w14:textId="77777777" w:rsidR="00A32C1F" w:rsidRDefault="00A32C1F" w:rsidP="00AC43E7">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A32C1F" w:rsidRPr="00305134" w:rsidRDefault="00A32C1F" w:rsidP="00AC43E7">
    <w:pPr>
      <w:pStyle w:val="Piedepgina"/>
      <w:jc w:val="center"/>
      <w:rPr>
        <w:sz w:val="12"/>
        <w:szCs w:val="12"/>
        <w:lang w:val="es-ES"/>
      </w:rPr>
    </w:pPr>
  </w:p>
  <w:p w14:paraId="428179B1" w14:textId="77777777" w:rsidR="00A32C1F" w:rsidRPr="00305134" w:rsidRDefault="00A32C1F" w:rsidP="00AC43E7">
    <w:pPr>
      <w:pStyle w:val="Piedepgina"/>
      <w:jc w:val="center"/>
      <w:rPr>
        <w:sz w:val="12"/>
        <w:szCs w:val="1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0FC78" w14:textId="77777777" w:rsidR="00C37EB0" w:rsidRDefault="00C37EB0" w:rsidP="008C487C">
      <w:r>
        <w:separator/>
      </w:r>
    </w:p>
  </w:footnote>
  <w:footnote w:type="continuationSeparator" w:id="0">
    <w:p w14:paraId="02BAE0C8" w14:textId="77777777" w:rsidR="00C37EB0" w:rsidRDefault="00C37EB0" w:rsidP="008C487C">
      <w:r>
        <w:continuationSeparator/>
      </w:r>
    </w:p>
  </w:footnote>
  <w:footnote w:id="1">
    <w:p w14:paraId="605521F9" w14:textId="77777777" w:rsidR="00A32C1F" w:rsidRPr="00056734" w:rsidRDefault="00A32C1F" w:rsidP="00C050C2">
      <w:pPr>
        <w:ind w:firstLine="708"/>
        <w:jc w:val="both"/>
        <w:rPr>
          <w:rFonts w:ascii="Arial" w:eastAsia="Times New Roman" w:hAnsi="Arial" w:cs="Arial"/>
          <w:sz w:val="19"/>
          <w:szCs w:val="19"/>
          <w:lang w:val="es-ES_tradnl" w:eastAsia="es-CO"/>
        </w:rPr>
      </w:pPr>
      <w:r w:rsidRPr="00056734">
        <w:rPr>
          <w:rStyle w:val="Refdenotaalpie"/>
          <w:rFonts w:ascii="Arial" w:hAnsi="Arial" w:cs="Arial"/>
          <w:sz w:val="19"/>
          <w:szCs w:val="19"/>
        </w:rPr>
        <w:footnoteRef/>
      </w:r>
      <w:r w:rsidRPr="00056734">
        <w:rPr>
          <w:rFonts w:ascii="Arial" w:hAnsi="Arial" w:cs="Arial"/>
          <w:sz w:val="19"/>
          <w:szCs w:val="19"/>
        </w:rPr>
        <w:t xml:space="preserve"> En esta medida, la jurisprudencia explica que: «[…] la previsión en torno a la visita a la zona de las obras, […] constituye en una exigencia razonable enderezada a garantizar la consistencia técnica y económica de las ofertas, así como la cumplida ejecución del objeto contractual, con lo cual no se trata de una imposición carente de toda justificación jurídicamente atendible no infringe, por tanto, el principio de interdicción de la arbitrariedad, tampoco resulta desproporcionada es una alternativa idónea, necesaria y ponderada en aras de la consecución de la finalidad propuesta y, habida cuenta de que impone, con carácter general, una carga a los particulares, carga que se orienta a una finalidad constitucional y legalmente prevista, de superior entidad, resulta plenamente razonable» (</w:t>
      </w:r>
      <w:r w:rsidRPr="00056734">
        <w:rPr>
          <w:rFonts w:ascii="Arial" w:hAnsi="Arial" w:cs="Arial"/>
          <w:sz w:val="19"/>
          <w:szCs w:val="19"/>
          <w:lang w:val="es-ES"/>
        </w:rPr>
        <w:t>CONSEJO DE ESTADO. Sección Tercera. Sentencia del 5 de junio de 2008. Expediente No. 8431. C.P. Mauricio Fajardo Gómez).</w:t>
      </w:r>
    </w:p>
    <w:p w14:paraId="3D0542B8" w14:textId="77777777" w:rsidR="00A32C1F" w:rsidRPr="00056734" w:rsidRDefault="00A32C1F" w:rsidP="00C050C2">
      <w:pPr>
        <w:pStyle w:val="Textonotapie"/>
        <w:jc w:val="both"/>
        <w:rPr>
          <w:rFonts w:ascii="Arial" w:eastAsia="Calibri" w:hAnsi="Arial" w:cs="Arial"/>
          <w:sz w:val="19"/>
          <w:szCs w:val="19"/>
          <w:lang w:val="es-ES"/>
        </w:rPr>
      </w:pPr>
    </w:p>
  </w:footnote>
  <w:footnote w:id="2">
    <w:p w14:paraId="0DDD70F4" w14:textId="77777777" w:rsidR="00A32C1F" w:rsidRPr="00056734" w:rsidRDefault="00A32C1F" w:rsidP="00C050C2">
      <w:pPr>
        <w:pStyle w:val="Textonotapie"/>
        <w:ind w:firstLine="708"/>
        <w:jc w:val="both"/>
        <w:rPr>
          <w:rFonts w:ascii="Arial" w:hAnsi="Arial" w:cs="Arial"/>
          <w:sz w:val="19"/>
          <w:szCs w:val="19"/>
          <w:lang w:val="es-ES"/>
        </w:rPr>
      </w:pPr>
      <w:r w:rsidRPr="00056734">
        <w:rPr>
          <w:rStyle w:val="Refdenotaalpie"/>
          <w:rFonts w:ascii="Arial" w:hAnsi="Arial" w:cs="Arial"/>
          <w:sz w:val="19"/>
          <w:szCs w:val="19"/>
        </w:rPr>
        <w:footnoteRef/>
      </w:r>
      <w:r w:rsidRPr="00056734">
        <w:rPr>
          <w:rFonts w:ascii="Arial" w:hAnsi="Arial" w:cs="Arial"/>
          <w:sz w:val="19"/>
          <w:szCs w:val="19"/>
        </w:rPr>
        <w:t xml:space="preserve"> </w:t>
      </w:r>
      <w:r w:rsidRPr="00056734">
        <w:rPr>
          <w:rFonts w:ascii="Arial" w:hAnsi="Arial" w:cs="Arial"/>
          <w:sz w:val="19"/>
          <w:szCs w:val="19"/>
          <w:lang w:val="es-ES"/>
        </w:rPr>
        <w:t>CONSEJO DE ESTADO. Sección Tercera. Subsección C. Sentencia del 28 de junio de 2019. Expediente No. 42.326. C.P. Jaime Enrique Rodríguez Navas</w:t>
      </w:r>
    </w:p>
    <w:p w14:paraId="0342E788" w14:textId="77777777" w:rsidR="00A32C1F" w:rsidRPr="00056734" w:rsidRDefault="00A32C1F" w:rsidP="00C050C2">
      <w:pPr>
        <w:pStyle w:val="Textonotapie"/>
        <w:jc w:val="both"/>
        <w:rPr>
          <w:rFonts w:ascii="Arial" w:hAnsi="Arial" w:cs="Arial"/>
          <w:sz w:val="19"/>
          <w:szCs w:val="19"/>
          <w:lang w:val="es-ES"/>
        </w:rPr>
      </w:pPr>
    </w:p>
  </w:footnote>
  <w:footnote w:id="3">
    <w:p w14:paraId="38B90A4C" w14:textId="77777777" w:rsidR="00A32C1F" w:rsidRPr="00056734" w:rsidRDefault="00A32C1F" w:rsidP="00C050C2">
      <w:pPr>
        <w:pStyle w:val="Textonotapie"/>
        <w:ind w:firstLine="708"/>
        <w:jc w:val="both"/>
        <w:rPr>
          <w:rFonts w:ascii="Arial" w:eastAsia="Times New Roman" w:hAnsi="Arial" w:cs="Arial"/>
          <w:sz w:val="19"/>
          <w:szCs w:val="19"/>
          <w:lang w:val="es-ES_tradnl" w:eastAsia="es-CO"/>
        </w:rPr>
      </w:pPr>
      <w:r w:rsidRPr="00056734">
        <w:rPr>
          <w:rStyle w:val="Refdenotaalpie"/>
          <w:rFonts w:ascii="Arial" w:hAnsi="Arial" w:cs="Arial"/>
          <w:sz w:val="19"/>
          <w:szCs w:val="19"/>
        </w:rPr>
        <w:footnoteRef/>
      </w:r>
      <w:r w:rsidRPr="00056734">
        <w:rPr>
          <w:rFonts w:ascii="Arial" w:hAnsi="Arial" w:cs="Arial"/>
          <w:sz w:val="19"/>
          <w:szCs w:val="19"/>
        </w:rPr>
        <w:t xml:space="preserve"> </w:t>
      </w:r>
      <w:r w:rsidRPr="00056734">
        <w:rPr>
          <w:rFonts w:ascii="Arial" w:hAnsi="Arial" w:cs="Arial"/>
          <w:sz w:val="19"/>
          <w:szCs w:val="19"/>
          <w:lang w:val="es-ES"/>
        </w:rPr>
        <w:t>CONSEJO DE ESTADO. Sección Tercera. Subsección B. Sentencia del 14 de febrero de 2018. Expediente No. 37.485. C.P. Ramiro Pazos Guerrero</w:t>
      </w:r>
    </w:p>
    <w:p w14:paraId="2DCCE0CD" w14:textId="77777777" w:rsidR="00A32C1F" w:rsidRPr="00056734" w:rsidRDefault="00A32C1F" w:rsidP="00C050C2">
      <w:pPr>
        <w:pStyle w:val="Textonotapie"/>
        <w:rPr>
          <w:rFonts w:ascii="Arial" w:eastAsia="Calibri" w:hAnsi="Arial" w:cs="Arial"/>
          <w:b/>
          <w:bCs/>
          <w:sz w:val="19"/>
          <w:szCs w:val="19"/>
          <w:lang w:val="es-ES"/>
        </w:rPr>
      </w:pPr>
    </w:p>
  </w:footnote>
  <w:footnote w:id="4">
    <w:p w14:paraId="2B5486A8" w14:textId="77777777" w:rsidR="00BC51F5" w:rsidRPr="009941DE" w:rsidRDefault="00BC51F5" w:rsidP="00BC51F5">
      <w:pPr>
        <w:pStyle w:val="Textonotapie"/>
        <w:ind w:firstLine="708"/>
        <w:jc w:val="both"/>
        <w:rPr>
          <w:rFonts w:ascii="Arial" w:hAnsi="Arial" w:cs="Arial"/>
          <w:sz w:val="19"/>
          <w:szCs w:val="19"/>
          <w:lang w:val="es-ES"/>
        </w:rPr>
      </w:pPr>
      <w:r>
        <w:rPr>
          <w:rStyle w:val="Refdenotaalpie"/>
        </w:rPr>
        <w:footnoteRef/>
      </w:r>
      <w:r>
        <w:t xml:space="preserve"> </w:t>
      </w:r>
      <w:r w:rsidRPr="009941DE">
        <w:rPr>
          <w:rFonts w:ascii="Arial" w:hAnsi="Arial" w:cs="Arial"/>
          <w:sz w:val="19"/>
          <w:szCs w:val="19"/>
          <w:lang w:val="es-ES"/>
        </w:rPr>
        <w:t>La publicación de los proyectos de pliegos de condiciones o sus equivalentes no genera obligación para la entidad de dar apertura al proceso de selección.</w:t>
      </w:r>
    </w:p>
  </w:footnote>
  <w:footnote w:id="5">
    <w:p w14:paraId="5FB39385" w14:textId="77777777" w:rsidR="00A32C1F" w:rsidRPr="00BC7761" w:rsidRDefault="00A32C1F" w:rsidP="00EA7D96">
      <w:pPr>
        <w:pStyle w:val="Textonotapie"/>
        <w:ind w:firstLine="709"/>
        <w:jc w:val="both"/>
        <w:rPr>
          <w:rFonts w:ascii="Arial" w:hAnsi="Arial" w:cs="Arial"/>
          <w:color w:val="000000" w:themeColor="text1"/>
          <w:sz w:val="19"/>
          <w:szCs w:val="19"/>
        </w:rPr>
      </w:pPr>
      <w:r w:rsidRPr="00BC7761">
        <w:rPr>
          <w:rStyle w:val="Refdenotaalpie"/>
          <w:rFonts w:ascii="Arial" w:hAnsi="Arial" w:cs="Arial"/>
          <w:color w:val="000000" w:themeColor="text1"/>
          <w:sz w:val="19"/>
          <w:szCs w:val="19"/>
        </w:rPr>
        <w:footnoteRef/>
      </w:r>
      <w:r w:rsidRPr="00BC7761">
        <w:rPr>
          <w:rFonts w:ascii="Arial" w:hAnsi="Arial" w:cs="Arial"/>
          <w:color w:val="000000" w:themeColor="text1"/>
          <w:sz w:val="19"/>
          <w:szCs w:val="19"/>
        </w:rPr>
        <w:t xml:space="preserve"> En sitio web: https://www.who.int/es/news-room/detail/16-03-2020-icc-who-joint-statement-an-unprecedented-private-sector-call-to-action-to-tackle-covid-19.</w:t>
      </w:r>
    </w:p>
    <w:p w14:paraId="072F3D05" w14:textId="77777777" w:rsidR="00A32C1F" w:rsidRPr="00BC7761" w:rsidRDefault="00A32C1F" w:rsidP="00EA7D96">
      <w:pPr>
        <w:pStyle w:val="Textonotapie"/>
        <w:ind w:firstLine="709"/>
        <w:jc w:val="both"/>
        <w:rPr>
          <w:rFonts w:ascii="Arial" w:hAnsi="Arial" w:cs="Arial"/>
          <w:color w:val="000000" w:themeColor="text1"/>
          <w:sz w:val="19"/>
          <w:szCs w:val="19"/>
          <w:lang w:val="es-ES"/>
        </w:rPr>
      </w:pPr>
    </w:p>
  </w:footnote>
  <w:footnote w:id="6">
    <w:p w14:paraId="3A44AB47" w14:textId="77777777" w:rsidR="00A32C1F" w:rsidRPr="00BC7761" w:rsidRDefault="00A32C1F" w:rsidP="00EA7D96">
      <w:pPr>
        <w:pStyle w:val="Textonotapie"/>
        <w:ind w:firstLine="709"/>
        <w:jc w:val="both"/>
        <w:rPr>
          <w:rFonts w:ascii="Arial" w:hAnsi="Arial" w:cs="Arial"/>
          <w:color w:val="000000" w:themeColor="text1"/>
          <w:sz w:val="19"/>
          <w:szCs w:val="19"/>
          <w:lang w:val="es-ES"/>
        </w:rPr>
      </w:pPr>
      <w:r w:rsidRPr="00BC7761">
        <w:rPr>
          <w:rStyle w:val="Refdenotaalpie"/>
          <w:rFonts w:ascii="Arial" w:hAnsi="Arial" w:cs="Arial"/>
          <w:color w:val="000000" w:themeColor="text1"/>
          <w:sz w:val="19"/>
          <w:szCs w:val="19"/>
        </w:rPr>
        <w:footnoteRef/>
      </w:r>
      <w:r w:rsidRPr="00BC7761">
        <w:rPr>
          <w:rFonts w:ascii="Arial" w:hAnsi="Arial" w:cs="Arial"/>
          <w:color w:val="000000" w:themeColor="text1"/>
          <w:sz w:val="19"/>
          <w:szCs w:val="19"/>
        </w:rPr>
        <w:t xml:space="preserve"> </w:t>
      </w:r>
      <w:r w:rsidRPr="00BC7761">
        <w:rPr>
          <w:rFonts w:ascii="Arial" w:hAnsi="Arial" w:cs="Arial"/>
          <w:color w:val="000000" w:themeColor="text1"/>
          <w:sz w:val="19"/>
          <w:szCs w:val="19"/>
          <w:lang w:val="es-ES"/>
        </w:rPr>
        <w:t>En sitio web: https://www.minsalud.gov.co/Paginas/Colombia-confirma-su-primer-caso-de-COVID-19.aspx.</w:t>
      </w:r>
    </w:p>
  </w:footnote>
  <w:footnote w:id="7">
    <w:p w14:paraId="776BA10D" w14:textId="77777777" w:rsidR="00A32C1F" w:rsidRPr="00BC7761" w:rsidRDefault="00A32C1F" w:rsidP="00EA7D96">
      <w:pPr>
        <w:pStyle w:val="Textonotapie"/>
        <w:ind w:firstLine="709"/>
        <w:jc w:val="both"/>
        <w:rPr>
          <w:rFonts w:ascii="Arial" w:hAnsi="Arial" w:cs="Arial"/>
          <w:color w:val="000000" w:themeColor="text1"/>
          <w:sz w:val="19"/>
          <w:szCs w:val="19"/>
        </w:rPr>
      </w:pPr>
    </w:p>
    <w:p w14:paraId="770E5CE4" w14:textId="77777777" w:rsidR="00A32C1F" w:rsidRPr="00BC7761" w:rsidRDefault="00A32C1F" w:rsidP="00EA7D96">
      <w:pPr>
        <w:pStyle w:val="Textonotapie"/>
        <w:ind w:firstLine="709"/>
        <w:jc w:val="both"/>
        <w:rPr>
          <w:rFonts w:ascii="Arial" w:hAnsi="Arial" w:cs="Arial"/>
          <w:color w:val="000000" w:themeColor="text1"/>
          <w:sz w:val="19"/>
          <w:szCs w:val="19"/>
          <w:lang w:val="es-ES"/>
        </w:rPr>
      </w:pPr>
      <w:r w:rsidRPr="00BC7761">
        <w:rPr>
          <w:rStyle w:val="Refdenotaalpie"/>
          <w:rFonts w:ascii="Arial" w:hAnsi="Arial" w:cs="Arial"/>
          <w:color w:val="000000" w:themeColor="text1"/>
          <w:sz w:val="19"/>
          <w:szCs w:val="19"/>
        </w:rPr>
        <w:footnoteRef/>
      </w:r>
      <w:r w:rsidRPr="00BC7761">
        <w:rPr>
          <w:rFonts w:ascii="Arial" w:hAnsi="Arial" w:cs="Arial"/>
          <w:color w:val="000000" w:themeColor="text1"/>
          <w:sz w:val="19"/>
          <w:szCs w:val="19"/>
        </w:rPr>
        <w:t xml:space="preserve"> </w:t>
      </w:r>
      <w:r w:rsidRPr="00BC7761">
        <w:rPr>
          <w:rFonts w:ascii="Arial" w:hAnsi="Arial" w:cs="Arial"/>
          <w:color w:val="000000" w:themeColor="text1"/>
          <w:sz w:val="19"/>
          <w:szCs w:val="19"/>
          <w:lang w:val="es-ES"/>
        </w:rPr>
        <w:t>Decreto 417 del 17 de marzo de 2020.</w:t>
      </w:r>
    </w:p>
    <w:p w14:paraId="7D0E89B1" w14:textId="77777777" w:rsidR="00A32C1F" w:rsidRPr="00BC7761" w:rsidRDefault="00A32C1F" w:rsidP="00EA7D96">
      <w:pPr>
        <w:pStyle w:val="Textonotapie"/>
        <w:ind w:firstLine="709"/>
        <w:jc w:val="both"/>
        <w:rPr>
          <w:rFonts w:ascii="Arial" w:hAnsi="Arial" w:cs="Arial"/>
          <w:color w:val="000000" w:themeColor="text1"/>
          <w:sz w:val="19"/>
          <w:szCs w:val="19"/>
          <w:lang w:val="es-ES"/>
        </w:rPr>
      </w:pPr>
    </w:p>
  </w:footnote>
  <w:footnote w:id="8">
    <w:p w14:paraId="31C536AD" w14:textId="77777777" w:rsidR="00A32C1F" w:rsidRPr="00BC7761" w:rsidRDefault="00A32C1F" w:rsidP="00EA7D96">
      <w:pPr>
        <w:pStyle w:val="Textonotapie"/>
        <w:ind w:firstLine="709"/>
        <w:jc w:val="both"/>
        <w:rPr>
          <w:rFonts w:ascii="Arial" w:hAnsi="Arial" w:cs="Arial"/>
          <w:color w:val="000000" w:themeColor="text1"/>
          <w:sz w:val="19"/>
          <w:szCs w:val="19"/>
        </w:rPr>
      </w:pPr>
      <w:r w:rsidRPr="00BC7761">
        <w:rPr>
          <w:rStyle w:val="Refdenotaalpie"/>
          <w:rFonts w:ascii="Arial" w:hAnsi="Arial" w:cs="Arial"/>
          <w:color w:val="000000" w:themeColor="text1"/>
          <w:sz w:val="19"/>
          <w:szCs w:val="19"/>
        </w:rPr>
        <w:footnoteRef/>
      </w:r>
      <w:r w:rsidRPr="00BC7761">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75CF498F" w14:textId="77777777" w:rsidR="00A32C1F" w:rsidRPr="00BC7761" w:rsidRDefault="00A32C1F" w:rsidP="00EA7D96">
      <w:pPr>
        <w:pStyle w:val="Textonotapie"/>
        <w:ind w:firstLine="709"/>
        <w:jc w:val="both"/>
        <w:rPr>
          <w:rFonts w:ascii="Arial" w:hAnsi="Arial" w:cs="Arial"/>
          <w:color w:val="000000" w:themeColor="text1"/>
          <w:sz w:val="19"/>
          <w:szCs w:val="19"/>
        </w:rPr>
      </w:pPr>
      <w:r w:rsidRPr="00BC7761">
        <w:rPr>
          <w:rFonts w:ascii="Arial" w:hAnsi="Arial" w:cs="Arial"/>
          <w:color w:val="000000" w:themeColor="text1"/>
          <w:sz w:val="19"/>
          <w:szCs w:val="19"/>
        </w:rPr>
        <w:t>[…]».</w:t>
      </w:r>
    </w:p>
    <w:p w14:paraId="2C45F46D" w14:textId="77777777" w:rsidR="00A32C1F" w:rsidRPr="00BC7761" w:rsidRDefault="00A32C1F" w:rsidP="00EA7D96">
      <w:pPr>
        <w:pStyle w:val="Textonotapie"/>
        <w:ind w:firstLine="709"/>
        <w:jc w:val="both"/>
        <w:rPr>
          <w:rFonts w:ascii="Arial" w:hAnsi="Arial" w:cs="Arial"/>
          <w:color w:val="000000" w:themeColor="text1"/>
          <w:sz w:val="19"/>
          <w:szCs w:val="19"/>
          <w:lang w:val="es-ES"/>
        </w:rPr>
      </w:pPr>
    </w:p>
  </w:footnote>
  <w:footnote w:id="9">
    <w:p w14:paraId="12BECEA5" w14:textId="77777777" w:rsidR="00A32C1F" w:rsidRPr="00BC7761" w:rsidRDefault="00A32C1F" w:rsidP="00EA7D96">
      <w:pPr>
        <w:pStyle w:val="Textonotapie"/>
        <w:ind w:firstLine="709"/>
        <w:jc w:val="both"/>
        <w:rPr>
          <w:rFonts w:ascii="Arial" w:hAnsi="Arial" w:cs="Arial"/>
          <w:color w:val="000000" w:themeColor="text1"/>
          <w:sz w:val="19"/>
          <w:szCs w:val="19"/>
          <w:lang w:val="es-ES"/>
        </w:rPr>
      </w:pPr>
      <w:r w:rsidRPr="00BC7761">
        <w:rPr>
          <w:rStyle w:val="Refdenotaalpie"/>
          <w:rFonts w:ascii="Arial" w:hAnsi="Arial" w:cs="Arial"/>
          <w:color w:val="000000" w:themeColor="text1"/>
          <w:sz w:val="19"/>
          <w:szCs w:val="19"/>
        </w:rPr>
        <w:footnoteRef/>
      </w:r>
      <w:r w:rsidRPr="00BC7761">
        <w:rPr>
          <w:rFonts w:ascii="Arial" w:hAnsi="Arial" w:cs="Arial"/>
          <w:color w:val="000000" w:themeColor="text1"/>
          <w:sz w:val="19"/>
          <w:szCs w:val="19"/>
        </w:rPr>
        <w:t xml:space="preserve"> En: https://twitter.com/IvanDuque/status/1240114356911734791.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A32C1F" w:rsidRDefault="00A32C1F">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BE0"/>
    <w:rsid w:val="000047EA"/>
    <w:rsid w:val="000072CE"/>
    <w:rsid w:val="000100E8"/>
    <w:rsid w:val="00010A06"/>
    <w:rsid w:val="00010D30"/>
    <w:rsid w:val="00021180"/>
    <w:rsid w:val="00021FB8"/>
    <w:rsid w:val="00023057"/>
    <w:rsid w:val="00024771"/>
    <w:rsid w:val="0003091B"/>
    <w:rsid w:val="000333A2"/>
    <w:rsid w:val="00034108"/>
    <w:rsid w:val="0003625C"/>
    <w:rsid w:val="00036D3B"/>
    <w:rsid w:val="00036E73"/>
    <w:rsid w:val="00040C88"/>
    <w:rsid w:val="00040D6E"/>
    <w:rsid w:val="00042C0C"/>
    <w:rsid w:val="00043A4D"/>
    <w:rsid w:val="00044FF2"/>
    <w:rsid w:val="000466AC"/>
    <w:rsid w:val="00047050"/>
    <w:rsid w:val="00051D31"/>
    <w:rsid w:val="000522A1"/>
    <w:rsid w:val="00054813"/>
    <w:rsid w:val="00054B43"/>
    <w:rsid w:val="00054E9A"/>
    <w:rsid w:val="00061E34"/>
    <w:rsid w:val="00061EE4"/>
    <w:rsid w:val="00062B0D"/>
    <w:rsid w:val="0006519B"/>
    <w:rsid w:val="000725F9"/>
    <w:rsid w:val="000763E2"/>
    <w:rsid w:val="00076F69"/>
    <w:rsid w:val="00082F0F"/>
    <w:rsid w:val="00086A16"/>
    <w:rsid w:val="00090AF7"/>
    <w:rsid w:val="00091570"/>
    <w:rsid w:val="00091D8F"/>
    <w:rsid w:val="000929DE"/>
    <w:rsid w:val="000935BB"/>
    <w:rsid w:val="00093E58"/>
    <w:rsid w:val="00097CD6"/>
    <w:rsid w:val="000A1DBA"/>
    <w:rsid w:val="000A3B96"/>
    <w:rsid w:val="000A6338"/>
    <w:rsid w:val="000A6B6F"/>
    <w:rsid w:val="000C01AB"/>
    <w:rsid w:val="000C0E39"/>
    <w:rsid w:val="000C3D66"/>
    <w:rsid w:val="000C51AF"/>
    <w:rsid w:val="000C5830"/>
    <w:rsid w:val="000C5C37"/>
    <w:rsid w:val="000D088F"/>
    <w:rsid w:val="000D3EB4"/>
    <w:rsid w:val="000E335A"/>
    <w:rsid w:val="000E4A3C"/>
    <w:rsid w:val="000E5BB2"/>
    <w:rsid w:val="000E6867"/>
    <w:rsid w:val="000E6B27"/>
    <w:rsid w:val="000F1B34"/>
    <w:rsid w:val="000F1E3D"/>
    <w:rsid w:val="000F211E"/>
    <w:rsid w:val="00100179"/>
    <w:rsid w:val="00100AEC"/>
    <w:rsid w:val="00103CA7"/>
    <w:rsid w:val="001056C0"/>
    <w:rsid w:val="00107607"/>
    <w:rsid w:val="00110B59"/>
    <w:rsid w:val="00112597"/>
    <w:rsid w:val="00116898"/>
    <w:rsid w:val="0012074A"/>
    <w:rsid w:val="0012181C"/>
    <w:rsid w:val="001321AB"/>
    <w:rsid w:val="00140E57"/>
    <w:rsid w:val="00141B19"/>
    <w:rsid w:val="00141C64"/>
    <w:rsid w:val="001427E8"/>
    <w:rsid w:val="00142E4E"/>
    <w:rsid w:val="0014462B"/>
    <w:rsid w:val="00146D5B"/>
    <w:rsid w:val="001501ED"/>
    <w:rsid w:val="0015466A"/>
    <w:rsid w:val="00156A3B"/>
    <w:rsid w:val="001573F8"/>
    <w:rsid w:val="00163EED"/>
    <w:rsid w:val="00164E79"/>
    <w:rsid w:val="00166C81"/>
    <w:rsid w:val="0017603D"/>
    <w:rsid w:val="00181A3E"/>
    <w:rsid w:val="001851A7"/>
    <w:rsid w:val="00185441"/>
    <w:rsid w:val="001865DB"/>
    <w:rsid w:val="00194C50"/>
    <w:rsid w:val="00196FB5"/>
    <w:rsid w:val="001B2E5D"/>
    <w:rsid w:val="001B53BD"/>
    <w:rsid w:val="001B5E36"/>
    <w:rsid w:val="001C1D25"/>
    <w:rsid w:val="001C2AE5"/>
    <w:rsid w:val="001D0359"/>
    <w:rsid w:val="001D38A0"/>
    <w:rsid w:val="001D5ECE"/>
    <w:rsid w:val="001D7420"/>
    <w:rsid w:val="001E123B"/>
    <w:rsid w:val="001E1C6D"/>
    <w:rsid w:val="001E3F37"/>
    <w:rsid w:val="001E44A9"/>
    <w:rsid w:val="001E5745"/>
    <w:rsid w:val="001E5DBB"/>
    <w:rsid w:val="001E7044"/>
    <w:rsid w:val="001F1051"/>
    <w:rsid w:val="001F1A2D"/>
    <w:rsid w:val="001F34A8"/>
    <w:rsid w:val="001F40B2"/>
    <w:rsid w:val="001F4B99"/>
    <w:rsid w:val="00200F92"/>
    <w:rsid w:val="002034AD"/>
    <w:rsid w:val="00203BF1"/>
    <w:rsid w:val="00203F46"/>
    <w:rsid w:val="00207033"/>
    <w:rsid w:val="00210D66"/>
    <w:rsid w:val="00212E91"/>
    <w:rsid w:val="00217339"/>
    <w:rsid w:val="00220FBA"/>
    <w:rsid w:val="00222204"/>
    <w:rsid w:val="0022306C"/>
    <w:rsid w:val="002239B4"/>
    <w:rsid w:val="002259A0"/>
    <w:rsid w:val="00227C2D"/>
    <w:rsid w:val="00227D08"/>
    <w:rsid w:val="0023008F"/>
    <w:rsid w:val="0023180C"/>
    <w:rsid w:val="00234C6C"/>
    <w:rsid w:val="0023576D"/>
    <w:rsid w:val="0023728A"/>
    <w:rsid w:val="00237522"/>
    <w:rsid w:val="00244A28"/>
    <w:rsid w:val="002466F4"/>
    <w:rsid w:val="00247EBA"/>
    <w:rsid w:val="0025095A"/>
    <w:rsid w:val="00251547"/>
    <w:rsid w:val="002532DE"/>
    <w:rsid w:val="00265031"/>
    <w:rsid w:val="00266277"/>
    <w:rsid w:val="00270009"/>
    <w:rsid w:val="002711ED"/>
    <w:rsid w:val="002723C7"/>
    <w:rsid w:val="00273277"/>
    <w:rsid w:val="002807AD"/>
    <w:rsid w:val="00281DCD"/>
    <w:rsid w:val="00283163"/>
    <w:rsid w:val="0028403E"/>
    <w:rsid w:val="002848E0"/>
    <w:rsid w:val="00284C12"/>
    <w:rsid w:val="00286834"/>
    <w:rsid w:val="00286FAD"/>
    <w:rsid w:val="0029724D"/>
    <w:rsid w:val="00297358"/>
    <w:rsid w:val="002A153A"/>
    <w:rsid w:val="002A2A80"/>
    <w:rsid w:val="002A6417"/>
    <w:rsid w:val="002A6631"/>
    <w:rsid w:val="002A78AC"/>
    <w:rsid w:val="002B282F"/>
    <w:rsid w:val="002B2BF3"/>
    <w:rsid w:val="002B4B30"/>
    <w:rsid w:val="002B56DF"/>
    <w:rsid w:val="002B79E1"/>
    <w:rsid w:val="002B7D1F"/>
    <w:rsid w:val="002C004E"/>
    <w:rsid w:val="002C3025"/>
    <w:rsid w:val="002C3CAC"/>
    <w:rsid w:val="002C441F"/>
    <w:rsid w:val="002D06BB"/>
    <w:rsid w:val="002D413A"/>
    <w:rsid w:val="002E320B"/>
    <w:rsid w:val="002E67C5"/>
    <w:rsid w:val="002E7BC2"/>
    <w:rsid w:val="002F1C33"/>
    <w:rsid w:val="002F2416"/>
    <w:rsid w:val="002F2DB4"/>
    <w:rsid w:val="002F63BB"/>
    <w:rsid w:val="002F6C10"/>
    <w:rsid w:val="002F6DBB"/>
    <w:rsid w:val="002F701E"/>
    <w:rsid w:val="003001AC"/>
    <w:rsid w:val="00302F9F"/>
    <w:rsid w:val="00303EC5"/>
    <w:rsid w:val="00304386"/>
    <w:rsid w:val="00305134"/>
    <w:rsid w:val="00312203"/>
    <w:rsid w:val="00312A01"/>
    <w:rsid w:val="00312B8F"/>
    <w:rsid w:val="00326B54"/>
    <w:rsid w:val="0033366E"/>
    <w:rsid w:val="00334E97"/>
    <w:rsid w:val="003373C2"/>
    <w:rsid w:val="003401FE"/>
    <w:rsid w:val="00340A7A"/>
    <w:rsid w:val="003417F0"/>
    <w:rsid w:val="00341ECA"/>
    <w:rsid w:val="00344791"/>
    <w:rsid w:val="00350A47"/>
    <w:rsid w:val="003535D2"/>
    <w:rsid w:val="00356B57"/>
    <w:rsid w:val="0036125C"/>
    <w:rsid w:val="003646DE"/>
    <w:rsid w:val="00377CD3"/>
    <w:rsid w:val="00381DFA"/>
    <w:rsid w:val="00387D0F"/>
    <w:rsid w:val="00390DCF"/>
    <w:rsid w:val="00396821"/>
    <w:rsid w:val="003A06BB"/>
    <w:rsid w:val="003A2944"/>
    <w:rsid w:val="003A7877"/>
    <w:rsid w:val="003B0DEF"/>
    <w:rsid w:val="003C12E6"/>
    <w:rsid w:val="003C2074"/>
    <w:rsid w:val="003C3ADB"/>
    <w:rsid w:val="003C4F6C"/>
    <w:rsid w:val="003C611C"/>
    <w:rsid w:val="003C6AE8"/>
    <w:rsid w:val="003C7207"/>
    <w:rsid w:val="003D0670"/>
    <w:rsid w:val="003D0825"/>
    <w:rsid w:val="003D0E4A"/>
    <w:rsid w:val="003D0E7D"/>
    <w:rsid w:val="003D11B5"/>
    <w:rsid w:val="003D134C"/>
    <w:rsid w:val="003D4164"/>
    <w:rsid w:val="003D50C3"/>
    <w:rsid w:val="003D69A5"/>
    <w:rsid w:val="003E14F9"/>
    <w:rsid w:val="003E659F"/>
    <w:rsid w:val="003F309F"/>
    <w:rsid w:val="003F3119"/>
    <w:rsid w:val="003F4E8A"/>
    <w:rsid w:val="003F6D32"/>
    <w:rsid w:val="00402143"/>
    <w:rsid w:val="00411760"/>
    <w:rsid w:val="004161D4"/>
    <w:rsid w:val="0041633C"/>
    <w:rsid w:val="0041784E"/>
    <w:rsid w:val="00417F88"/>
    <w:rsid w:val="004208F0"/>
    <w:rsid w:val="00421EA9"/>
    <w:rsid w:val="004266E5"/>
    <w:rsid w:val="00430B5A"/>
    <w:rsid w:val="00431C20"/>
    <w:rsid w:val="004344F0"/>
    <w:rsid w:val="004409DA"/>
    <w:rsid w:val="0044207D"/>
    <w:rsid w:val="004439E2"/>
    <w:rsid w:val="00447FE5"/>
    <w:rsid w:val="00451231"/>
    <w:rsid w:val="004526D3"/>
    <w:rsid w:val="00452E90"/>
    <w:rsid w:val="00456D35"/>
    <w:rsid w:val="00457CF2"/>
    <w:rsid w:val="004617B8"/>
    <w:rsid w:val="00462A87"/>
    <w:rsid w:val="00463CA6"/>
    <w:rsid w:val="00463E5F"/>
    <w:rsid w:val="0046504E"/>
    <w:rsid w:val="0046701D"/>
    <w:rsid w:val="00467620"/>
    <w:rsid w:val="00467C7C"/>
    <w:rsid w:val="004758FE"/>
    <w:rsid w:val="00476C17"/>
    <w:rsid w:val="00480836"/>
    <w:rsid w:val="004830C8"/>
    <w:rsid w:val="004837AB"/>
    <w:rsid w:val="00483A2F"/>
    <w:rsid w:val="00490DBF"/>
    <w:rsid w:val="00491C25"/>
    <w:rsid w:val="00491F16"/>
    <w:rsid w:val="004925C8"/>
    <w:rsid w:val="00493256"/>
    <w:rsid w:val="0049739C"/>
    <w:rsid w:val="004A128C"/>
    <w:rsid w:val="004A1865"/>
    <w:rsid w:val="004A1C13"/>
    <w:rsid w:val="004A5E72"/>
    <w:rsid w:val="004A6EE1"/>
    <w:rsid w:val="004B07EC"/>
    <w:rsid w:val="004B1BEE"/>
    <w:rsid w:val="004B2AB8"/>
    <w:rsid w:val="004B39AA"/>
    <w:rsid w:val="004B5B9E"/>
    <w:rsid w:val="004B7C92"/>
    <w:rsid w:val="004C0E5D"/>
    <w:rsid w:val="004C10D1"/>
    <w:rsid w:val="004D05B1"/>
    <w:rsid w:val="004D1293"/>
    <w:rsid w:val="004D1ADE"/>
    <w:rsid w:val="004D32BB"/>
    <w:rsid w:val="004D60E2"/>
    <w:rsid w:val="004D770C"/>
    <w:rsid w:val="004D7C02"/>
    <w:rsid w:val="004E0D21"/>
    <w:rsid w:val="004E370E"/>
    <w:rsid w:val="004E7EAE"/>
    <w:rsid w:val="004F00F9"/>
    <w:rsid w:val="004F31BC"/>
    <w:rsid w:val="004F4387"/>
    <w:rsid w:val="004F6F82"/>
    <w:rsid w:val="00510BF5"/>
    <w:rsid w:val="00510E95"/>
    <w:rsid w:val="00510EDC"/>
    <w:rsid w:val="00513233"/>
    <w:rsid w:val="00515547"/>
    <w:rsid w:val="005204A7"/>
    <w:rsid w:val="00521BA7"/>
    <w:rsid w:val="005237BA"/>
    <w:rsid w:val="00524924"/>
    <w:rsid w:val="005252E2"/>
    <w:rsid w:val="005379AD"/>
    <w:rsid w:val="00546920"/>
    <w:rsid w:val="005505C3"/>
    <w:rsid w:val="005511D5"/>
    <w:rsid w:val="00552A39"/>
    <w:rsid w:val="00554A31"/>
    <w:rsid w:val="005609D5"/>
    <w:rsid w:val="005678B1"/>
    <w:rsid w:val="00570F6B"/>
    <w:rsid w:val="005725CA"/>
    <w:rsid w:val="00575DC6"/>
    <w:rsid w:val="00575FF2"/>
    <w:rsid w:val="005760C8"/>
    <w:rsid w:val="00577CD4"/>
    <w:rsid w:val="005820AB"/>
    <w:rsid w:val="00585FB5"/>
    <w:rsid w:val="00590EE1"/>
    <w:rsid w:val="00591586"/>
    <w:rsid w:val="00592DB1"/>
    <w:rsid w:val="00595363"/>
    <w:rsid w:val="00595A2B"/>
    <w:rsid w:val="005A17D2"/>
    <w:rsid w:val="005A5E4A"/>
    <w:rsid w:val="005B7357"/>
    <w:rsid w:val="005C5055"/>
    <w:rsid w:val="005C5B7C"/>
    <w:rsid w:val="005C673B"/>
    <w:rsid w:val="005D1AC3"/>
    <w:rsid w:val="005D4CDB"/>
    <w:rsid w:val="005D4E6A"/>
    <w:rsid w:val="005E247C"/>
    <w:rsid w:val="005E7BBC"/>
    <w:rsid w:val="005F12C4"/>
    <w:rsid w:val="005F19B1"/>
    <w:rsid w:val="005F49B4"/>
    <w:rsid w:val="005F5D19"/>
    <w:rsid w:val="005F6CBF"/>
    <w:rsid w:val="006005B5"/>
    <w:rsid w:val="00600E42"/>
    <w:rsid w:val="006018AA"/>
    <w:rsid w:val="00612D14"/>
    <w:rsid w:val="006135E6"/>
    <w:rsid w:val="00614A3A"/>
    <w:rsid w:val="006300E0"/>
    <w:rsid w:val="00632E10"/>
    <w:rsid w:val="00632EA5"/>
    <w:rsid w:val="00635CBC"/>
    <w:rsid w:val="00637F5E"/>
    <w:rsid w:val="00644F52"/>
    <w:rsid w:val="00647E75"/>
    <w:rsid w:val="00650B72"/>
    <w:rsid w:val="006525FD"/>
    <w:rsid w:val="00653B17"/>
    <w:rsid w:val="00654483"/>
    <w:rsid w:val="006563B5"/>
    <w:rsid w:val="0065701C"/>
    <w:rsid w:val="006604A6"/>
    <w:rsid w:val="00662792"/>
    <w:rsid w:val="0066284A"/>
    <w:rsid w:val="00664620"/>
    <w:rsid w:val="00667868"/>
    <w:rsid w:val="00671B54"/>
    <w:rsid w:val="0067265E"/>
    <w:rsid w:val="00673DB8"/>
    <w:rsid w:val="006754AC"/>
    <w:rsid w:val="00675BFE"/>
    <w:rsid w:val="0067691D"/>
    <w:rsid w:val="0067783B"/>
    <w:rsid w:val="006818B6"/>
    <w:rsid w:val="006824B8"/>
    <w:rsid w:val="0068288E"/>
    <w:rsid w:val="006843B8"/>
    <w:rsid w:val="006852EB"/>
    <w:rsid w:val="00686DE1"/>
    <w:rsid w:val="00687167"/>
    <w:rsid w:val="00691C2A"/>
    <w:rsid w:val="006929BA"/>
    <w:rsid w:val="00692ABF"/>
    <w:rsid w:val="00692BBD"/>
    <w:rsid w:val="00693313"/>
    <w:rsid w:val="0069332A"/>
    <w:rsid w:val="00694209"/>
    <w:rsid w:val="00697718"/>
    <w:rsid w:val="00697A99"/>
    <w:rsid w:val="006A1226"/>
    <w:rsid w:val="006A172E"/>
    <w:rsid w:val="006A3329"/>
    <w:rsid w:val="006A7743"/>
    <w:rsid w:val="006B13E2"/>
    <w:rsid w:val="006B150B"/>
    <w:rsid w:val="006B1785"/>
    <w:rsid w:val="006B317D"/>
    <w:rsid w:val="006B479A"/>
    <w:rsid w:val="006B6C6A"/>
    <w:rsid w:val="006B7F25"/>
    <w:rsid w:val="006C15D5"/>
    <w:rsid w:val="006C1C02"/>
    <w:rsid w:val="006C234F"/>
    <w:rsid w:val="006C2D0C"/>
    <w:rsid w:val="006C3D0C"/>
    <w:rsid w:val="006C5955"/>
    <w:rsid w:val="006D3570"/>
    <w:rsid w:val="006D3624"/>
    <w:rsid w:val="006D39A8"/>
    <w:rsid w:val="006D519D"/>
    <w:rsid w:val="006E13EF"/>
    <w:rsid w:val="006E2AB8"/>
    <w:rsid w:val="006E4EE7"/>
    <w:rsid w:val="006E65C2"/>
    <w:rsid w:val="006F31BC"/>
    <w:rsid w:val="006F3802"/>
    <w:rsid w:val="006F39D0"/>
    <w:rsid w:val="006F4E05"/>
    <w:rsid w:val="006F64D1"/>
    <w:rsid w:val="006F661B"/>
    <w:rsid w:val="006F7746"/>
    <w:rsid w:val="00702DAA"/>
    <w:rsid w:val="00704124"/>
    <w:rsid w:val="0070582B"/>
    <w:rsid w:val="00707A9D"/>
    <w:rsid w:val="00711157"/>
    <w:rsid w:val="00712471"/>
    <w:rsid w:val="00714800"/>
    <w:rsid w:val="00715B7E"/>
    <w:rsid w:val="00715F0D"/>
    <w:rsid w:val="00717930"/>
    <w:rsid w:val="0072152F"/>
    <w:rsid w:val="00721C21"/>
    <w:rsid w:val="007229FD"/>
    <w:rsid w:val="00730CDB"/>
    <w:rsid w:val="007323E9"/>
    <w:rsid w:val="00736945"/>
    <w:rsid w:val="00736C89"/>
    <w:rsid w:val="00737300"/>
    <w:rsid w:val="00741965"/>
    <w:rsid w:val="0074421C"/>
    <w:rsid w:val="00745641"/>
    <w:rsid w:val="00745744"/>
    <w:rsid w:val="00745A21"/>
    <w:rsid w:val="007464B2"/>
    <w:rsid w:val="00747898"/>
    <w:rsid w:val="0075032A"/>
    <w:rsid w:val="00750C12"/>
    <w:rsid w:val="00754433"/>
    <w:rsid w:val="00763652"/>
    <w:rsid w:val="00764BF7"/>
    <w:rsid w:val="00764EA5"/>
    <w:rsid w:val="007650D8"/>
    <w:rsid w:val="00766030"/>
    <w:rsid w:val="00766CBE"/>
    <w:rsid w:val="00770D7D"/>
    <w:rsid w:val="00771030"/>
    <w:rsid w:val="00772497"/>
    <w:rsid w:val="007745AE"/>
    <w:rsid w:val="007754C3"/>
    <w:rsid w:val="007768FE"/>
    <w:rsid w:val="007902C3"/>
    <w:rsid w:val="00790BB8"/>
    <w:rsid w:val="00791377"/>
    <w:rsid w:val="007915BB"/>
    <w:rsid w:val="007931A9"/>
    <w:rsid w:val="00795C86"/>
    <w:rsid w:val="007A45E7"/>
    <w:rsid w:val="007A564F"/>
    <w:rsid w:val="007B1754"/>
    <w:rsid w:val="007B4AAA"/>
    <w:rsid w:val="007C6894"/>
    <w:rsid w:val="007D3B8C"/>
    <w:rsid w:val="007D4EED"/>
    <w:rsid w:val="007D62C7"/>
    <w:rsid w:val="007D6D97"/>
    <w:rsid w:val="007E001D"/>
    <w:rsid w:val="007E577A"/>
    <w:rsid w:val="007F333F"/>
    <w:rsid w:val="007F52E3"/>
    <w:rsid w:val="007F5F0C"/>
    <w:rsid w:val="007F7AC6"/>
    <w:rsid w:val="008007EE"/>
    <w:rsid w:val="00803061"/>
    <w:rsid w:val="00804FCE"/>
    <w:rsid w:val="008057D4"/>
    <w:rsid w:val="00807EEE"/>
    <w:rsid w:val="008103E9"/>
    <w:rsid w:val="008135F4"/>
    <w:rsid w:val="00813893"/>
    <w:rsid w:val="00814330"/>
    <w:rsid w:val="0082266E"/>
    <w:rsid w:val="008234E2"/>
    <w:rsid w:val="00824361"/>
    <w:rsid w:val="00825FD3"/>
    <w:rsid w:val="00826793"/>
    <w:rsid w:val="00827D80"/>
    <w:rsid w:val="0083146F"/>
    <w:rsid w:val="008327EE"/>
    <w:rsid w:val="00833F8E"/>
    <w:rsid w:val="0083539E"/>
    <w:rsid w:val="00836E71"/>
    <w:rsid w:val="00837EBE"/>
    <w:rsid w:val="00842E74"/>
    <w:rsid w:val="00843BE5"/>
    <w:rsid w:val="0084529E"/>
    <w:rsid w:val="008535C9"/>
    <w:rsid w:val="008546FE"/>
    <w:rsid w:val="008561E0"/>
    <w:rsid w:val="00856B64"/>
    <w:rsid w:val="00860A39"/>
    <w:rsid w:val="0086177D"/>
    <w:rsid w:val="00862463"/>
    <w:rsid w:val="00863DD9"/>
    <w:rsid w:val="00865960"/>
    <w:rsid w:val="00866446"/>
    <w:rsid w:val="0086741B"/>
    <w:rsid w:val="00870933"/>
    <w:rsid w:val="00871568"/>
    <w:rsid w:val="00872D25"/>
    <w:rsid w:val="008806D0"/>
    <w:rsid w:val="00881CD2"/>
    <w:rsid w:val="00885C88"/>
    <w:rsid w:val="00886E66"/>
    <w:rsid w:val="00886F29"/>
    <w:rsid w:val="00887A55"/>
    <w:rsid w:val="00887AE5"/>
    <w:rsid w:val="008917A3"/>
    <w:rsid w:val="00891A49"/>
    <w:rsid w:val="00897DAB"/>
    <w:rsid w:val="008A0633"/>
    <w:rsid w:val="008A1950"/>
    <w:rsid w:val="008A275F"/>
    <w:rsid w:val="008A311D"/>
    <w:rsid w:val="008A3386"/>
    <w:rsid w:val="008A53F2"/>
    <w:rsid w:val="008B09B1"/>
    <w:rsid w:val="008B6430"/>
    <w:rsid w:val="008B7A53"/>
    <w:rsid w:val="008C24B6"/>
    <w:rsid w:val="008C487C"/>
    <w:rsid w:val="008C4C28"/>
    <w:rsid w:val="008D11E3"/>
    <w:rsid w:val="008D13CA"/>
    <w:rsid w:val="008D28AD"/>
    <w:rsid w:val="008D3473"/>
    <w:rsid w:val="008D575A"/>
    <w:rsid w:val="008D7A9D"/>
    <w:rsid w:val="008E0FCC"/>
    <w:rsid w:val="008E21A3"/>
    <w:rsid w:val="008E2FE3"/>
    <w:rsid w:val="008E5698"/>
    <w:rsid w:val="008E5F34"/>
    <w:rsid w:val="008E7D3F"/>
    <w:rsid w:val="008F00CF"/>
    <w:rsid w:val="008F0CAC"/>
    <w:rsid w:val="008F2267"/>
    <w:rsid w:val="008F3EE2"/>
    <w:rsid w:val="008F4B08"/>
    <w:rsid w:val="008F5D4C"/>
    <w:rsid w:val="008F67FD"/>
    <w:rsid w:val="00903E02"/>
    <w:rsid w:val="00905A7E"/>
    <w:rsid w:val="00905B18"/>
    <w:rsid w:val="00905B2F"/>
    <w:rsid w:val="00914236"/>
    <w:rsid w:val="009211CB"/>
    <w:rsid w:val="009231E0"/>
    <w:rsid w:val="00923548"/>
    <w:rsid w:val="00923B70"/>
    <w:rsid w:val="00925293"/>
    <w:rsid w:val="00926895"/>
    <w:rsid w:val="00926B0D"/>
    <w:rsid w:val="00926B26"/>
    <w:rsid w:val="00930B6C"/>
    <w:rsid w:val="00930E4B"/>
    <w:rsid w:val="0093764D"/>
    <w:rsid w:val="009436DA"/>
    <w:rsid w:val="0094508D"/>
    <w:rsid w:val="00946E85"/>
    <w:rsid w:val="0094787E"/>
    <w:rsid w:val="00947C5C"/>
    <w:rsid w:val="009506A7"/>
    <w:rsid w:val="0095113A"/>
    <w:rsid w:val="00954CF5"/>
    <w:rsid w:val="009605FA"/>
    <w:rsid w:val="0096646C"/>
    <w:rsid w:val="00967230"/>
    <w:rsid w:val="00972087"/>
    <w:rsid w:val="00972C13"/>
    <w:rsid w:val="0097456D"/>
    <w:rsid w:val="00974A47"/>
    <w:rsid w:val="00976BF4"/>
    <w:rsid w:val="009812D7"/>
    <w:rsid w:val="00982E99"/>
    <w:rsid w:val="009928FA"/>
    <w:rsid w:val="009947D1"/>
    <w:rsid w:val="00996159"/>
    <w:rsid w:val="00997104"/>
    <w:rsid w:val="009A3AC9"/>
    <w:rsid w:val="009A5714"/>
    <w:rsid w:val="009A5DA7"/>
    <w:rsid w:val="009B1AEC"/>
    <w:rsid w:val="009B1B0D"/>
    <w:rsid w:val="009B7329"/>
    <w:rsid w:val="009C0F6B"/>
    <w:rsid w:val="009C1244"/>
    <w:rsid w:val="009C1FFE"/>
    <w:rsid w:val="009C27A9"/>
    <w:rsid w:val="009C68EF"/>
    <w:rsid w:val="009D16ED"/>
    <w:rsid w:val="009D1D57"/>
    <w:rsid w:val="009D226A"/>
    <w:rsid w:val="009D4F8F"/>
    <w:rsid w:val="009D79AA"/>
    <w:rsid w:val="009D7EB1"/>
    <w:rsid w:val="009E2544"/>
    <w:rsid w:val="009E2770"/>
    <w:rsid w:val="009E467C"/>
    <w:rsid w:val="009E4710"/>
    <w:rsid w:val="009E4A43"/>
    <w:rsid w:val="009E6225"/>
    <w:rsid w:val="009F0069"/>
    <w:rsid w:val="009F2261"/>
    <w:rsid w:val="009F27DC"/>
    <w:rsid w:val="009F3537"/>
    <w:rsid w:val="009F6ADC"/>
    <w:rsid w:val="009F78A4"/>
    <w:rsid w:val="00A032F8"/>
    <w:rsid w:val="00A10347"/>
    <w:rsid w:val="00A14C36"/>
    <w:rsid w:val="00A158AB"/>
    <w:rsid w:val="00A24499"/>
    <w:rsid w:val="00A25657"/>
    <w:rsid w:val="00A304BE"/>
    <w:rsid w:val="00A329B6"/>
    <w:rsid w:val="00A32C1F"/>
    <w:rsid w:val="00A34946"/>
    <w:rsid w:val="00A367A1"/>
    <w:rsid w:val="00A40178"/>
    <w:rsid w:val="00A415D2"/>
    <w:rsid w:val="00A460BA"/>
    <w:rsid w:val="00A46FE1"/>
    <w:rsid w:val="00A510F6"/>
    <w:rsid w:val="00A54828"/>
    <w:rsid w:val="00A57F74"/>
    <w:rsid w:val="00A651C9"/>
    <w:rsid w:val="00A67D0F"/>
    <w:rsid w:val="00A70E2D"/>
    <w:rsid w:val="00A73161"/>
    <w:rsid w:val="00A73338"/>
    <w:rsid w:val="00A740E7"/>
    <w:rsid w:val="00A74621"/>
    <w:rsid w:val="00A80739"/>
    <w:rsid w:val="00A83829"/>
    <w:rsid w:val="00A862C0"/>
    <w:rsid w:val="00A862CB"/>
    <w:rsid w:val="00A87EE1"/>
    <w:rsid w:val="00A9000F"/>
    <w:rsid w:val="00A91A20"/>
    <w:rsid w:val="00A9229F"/>
    <w:rsid w:val="00A95100"/>
    <w:rsid w:val="00AA0652"/>
    <w:rsid w:val="00AA2A39"/>
    <w:rsid w:val="00AA2C16"/>
    <w:rsid w:val="00AA4BD0"/>
    <w:rsid w:val="00AA615B"/>
    <w:rsid w:val="00AA6272"/>
    <w:rsid w:val="00AB0DED"/>
    <w:rsid w:val="00AB14AB"/>
    <w:rsid w:val="00AC0C81"/>
    <w:rsid w:val="00AC0ED7"/>
    <w:rsid w:val="00AC1B48"/>
    <w:rsid w:val="00AC29D6"/>
    <w:rsid w:val="00AC43E7"/>
    <w:rsid w:val="00AD1E1B"/>
    <w:rsid w:val="00AD26EF"/>
    <w:rsid w:val="00AD40D4"/>
    <w:rsid w:val="00AD4481"/>
    <w:rsid w:val="00AD4BD5"/>
    <w:rsid w:val="00AD54C3"/>
    <w:rsid w:val="00AD7725"/>
    <w:rsid w:val="00AE0018"/>
    <w:rsid w:val="00AE0522"/>
    <w:rsid w:val="00AE668A"/>
    <w:rsid w:val="00AE6858"/>
    <w:rsid w:val="00AE7EF0"/>
    <w:rsid w:val="00AF0A55"/>
    <w:rsid w:val="00AF2EFF"/>
    <w:rsid w:val="00AF41B6"/>
    <w:rsid w:val="00AF497F"/>
    <w:rsid w:val="00AF5C62"/>
    <w:rsid w:val="00AF643C"/>
    <w:rsid w:val="00AF6B2F"/>
    <w:rsid w:val="00AF7270"/>
    <w:rsid w:val="00AF727E"/>
    <w:rsid w:val="00B00055"/>
    <w:rsid w:val="00B00BA7"/>
    <w:rsid w:val="00B11F92"/>
    <w:rsid w:val="00B120A7"/>
    <w:rsid w:val="00B1352E"/>
    <w:rsid w:val="00B13C71"/>
    <w:rsid w:val="00B14450"/>
    <w:rsid w:val="00B1586E"/>
    <w:rsid w:val="00B17BC5"/>
    <w:rsid w:val="00B20582"/>
    <w:rsid w:val="00B2158C"/>
    <w:rsid w:val="00B217CA"/>
    <w:rsid w:val="00B23831"/>
    <w:rsid w:val="00B24E57"/>
    <w:rsid w:val="00B26DBB"/>
    <w:rsid w:val="00B30D96"/>
    <w:rsid w:val="00B42262"/>
    <w:rsid w:val="00B42B2C"/>
    <w:rsid w:val="00B5123E"/>
    <w:rsid w:val="00B51B58"/>
    <w:rsid w:val="00B51FA2"/>
    <w:rsid w:val="00B522C4"/>
    <w:rsid w:val="00B52B0E"/>
    <w:rsid w:val="00B5337D"/>
    <w:rsid w:val="00B533F4"/>
    <w:rsid w:val="00B54444"/>
    <w:rsid w:val="00B62BEA"/>
    <w:rsid w:val="00B64B90"/>
    <w:rsid w:val="00B65290"/>
    <w:rsid w:val="00B70E26"/>
    <w:rsid w:val="00B726D5"/>
    <w:rsid w:val="00B72758"/>
    <w:rsid w:val="00B7517F"/>
    <w:rsid w:val="00B835DC"/>
    <w:rsid w:val="00B861DA"/>
    <w:rsid w:val="00B86CB5"/>
    <w:rsid w:val="00B86D58"/>
    <w:rsid w:val="00B8744D"/>
    <w:rsid w:val="00B8745F"/>
    <w:rsid w:val="00B90754"/>
    <w:rsid w:val="00B91B78"/>
    <w:rsid w:val="00B93013"/>
    <w:rsid w:val="00B936F7"/>
    <w:rsid w:val="00B9416B"/>
    <w:rsid w:val="00B9572C"/>
    <w:rsid w:val="00B9782C"/>
    <w:rsid w:val="00B97D95"/>
    <w:rsid w:val="00B97E3C"/>
    <w:rsid w:val="00BA0158"/>
    <w:rsid w:val="00BA04F9"/>
    <w:rsid w:val="00BA7E78"/>
    <w:rsid w:val="00BB0833"/>
    <w:rsid w:val="00BB0EA7"/>
    <w:rsid w:val="00BB13AF"/>
    <w:rsid w:val="00BB1FC7"/>
    <w:rsid w:val="00BB4CDF"/>
    <w:rsid w:val="00BB595B"/>
    <w:rsid w:val="00BB59F9"/>
    <w:rsid w:val="00BB5B0E"/>
    <w:rsid w:val="00BC15B8"/>
    <w:rsid w:val="00BC51F5"/>
    <w:rsid w:val="00BC5279"/>
    <w:rsid w:val="00BC6C4E"/>
    <w:rsid w:val="00BC7B6A"/>
    <w:rsid w:val="00BD0EAC"/>
    <w:rsid w:val="00BD31AB"/>
    <w:rsid w:val="00BD4AA0"/>
    <w:rsid w:val="00BD500C"/>
    <w:rsid w:val="00BD54F6"/>
    <w:rsid w:val="00BD58A7"/>
    <w:rsid w:val="00BD58D8"/>
    <w:rsid w:val="00BD6EE4"/>
    <w:rsid w:val="00BE1E33"/>
    <w:rsid w:val="00BE2AD3"/>
    <w:rsid w:val="00BE36F7"/>
    <w:rsid w:val="00BE65AD"/>
    <w:rsid w:val="00BF19F3"/>
    <w:rsid w:val="00BF2443"/>
    <w:rsid w:val="00C01BC4"/>
    <w:rsid w:val="00C050C2"/>
    <w:rsid w:val="00C07755"/>
    <w:rsid w:val="00C07B5E"/>
    <w:rsid w:val="00C10D3E"/>
    <w:rsid w:val="00C10DE8"/>
    <w:rsid w:val="00C110D4"/>
    <w:rsid w:val="00C12201"/>
    <w:rsid w:val="00C12946"/>
    <w:rsid w:val="00C12AD2"/>
    <w:rsid w:val="00C1405A"/>
    <w:rsid w:val="00C14F61"/>
    <w:rsid w:val="00C30E1E"/>
    <w:rsid w:val="00C31412"/>
    <w:rsid w:val="00C362A0"/>
    <w:rsid w:val="00C365AF"/>
    <w:rsid w:val="00C367CD"/>
    <w:rsid w:val="00C37EB0"/>
    <w:rsid w:val="00C42740"/>
    <w:rsid w:val="00C4526C"/>
    <w:rsid w:val="00C50B1B"/>
    <w:rsid w:val="00C50C99"/>
    <w:rsid w:val="00C52801"/>
    <w:rsid w:val="00C5395E"/>
    <w:rsid w:val="00C57D3F"/>
    <w:rsid w:val="00C60C0C"/>
    <w:rsid w:val="00C61C54"/>
    <w:rsid w:val="00C6210F"/>
    <w:rsid w:val="00C66B67"/>
    <w:rsid w:val="00C67820"/>
    <w:rsid w:val="00C703AD"/>
    <w:rsid w:val="00C745C6"/>
    <w:rsid w:val="00C750BA"/>
    <w:rsid w:val="00C7706E"/>
    <w:rsid w:val="00C826EF"/>
    <w:rsid w:val="00C82B16"/>
    <w:rsid w:val="00C8442D"/>
    <w:rsid w:val="00C85287"/>
    <w:rsid w:val="00C85FA6"/>
    <w:rsid w:val="00C95AC9"/>
    <w:rsid w:val="00C964DE"/>
    <w:rsid w:val="00C96F18"/>
    <w:rsid w:val="00CA143D"/>
    <w:rsid w:val="00CA4545"/>
    <w:rsid w:val="00CA51AC"/>
    <w:rsid w:val="00CA51DE"/>
    <w:rsid w:val="00CA5790"/>
    <w:rsid w:val="00CA634C"/>
    <w:rsid w:val="00CA652B"/>
    <w:rsid w:val="00CA75F5"/>
    <w:rsid w:val="00CA7BFF"/>
    <w:rsid w:val="00CC0C56"/>
    <w:rsid w:val="00CC11B6"/>
    <w:rsid w:val="00CC4245"/>
    <w:rsid w:val="00CD23FE"/>
    <w:rsid w:val="00CE35D5"/>
    <w:rsid w:val="00CF09D9"/>
    <w:rsid w:val="00CF109B"/>
    <w:rsid w:val="00CF182A"/>
    <w:rsid w:val="00CF1A76"/>
    <w:rsid w:val="00CF326B"/>
    <w:rsid w:val="00CF3CFB"/>
    <w:rsid w:val="00D029D8"/>
    <w:rsid w:val="00D0300E"/>
    <w:rsid w:val="00D0763E"/>
    <w:rsid w:val="00D11186"/>
    <w:rsid w:val="00D12644"/>
    <w:rsid w:val="00D134CC"/>
    <w:rsid w:val="00D142E0"/>
    <w:rsid w:val="00D14C1E"/>
    <w:rsid w:val="00D24682"/>
    <w:rsid w:val="00D24F06"/>
    <w:rsid w:val="00D25AEF"/>
    <w:rsid w:val="00D31785"/>
    <w:rsid w:val="00D32391"/>
    <w:rsid w:val="00D349EE"/>
    <w:rsid w:val="00D35298"/>
    <w:rsid w:val="00D36296"/>
    <w:rsid w:val="00D36DC3"/>
    <w:rsid w:val="00D4126F"/>
    <w:rsid w:val="00D418AD"/>
    <w:rsid w:val="00D42C1B"/>
    <w:rsid w:val="00D44227"/>
    <w:rsid w:val="00D46629"/>
    <w:rsid w:val="00D51D54"/>
    <w:rsid w:val="00D527DA"/>
    <w:rsid w:val="00D56D47"/>
    <w:rsid w:val="00D57835"/>
    <w:rsid w:val="00D60CF3"/>
    <w:rsid w:val="00D613F3"/>
    <w:rsid w:val="00D655FB"/>
    <w:rsid w:val="00D70FB4"/>
    <w:rsid w:val="00D73854"/>
    <w:rsid w:val="00D73A38"/>
    <w:rsid w:val="00D74A1C"/>
    <w:rsid w:val="00D761DB"/>
    <w:rsid w:val="00D815C1"/>
    <w:rsid w:val="00D82E7D"/>
    <w:rsid w:val="00D85C85"/>
    <w:rsid w:val="00D85E33"/>
    <w:rsid w:val="00D866EC"/>
    <w:rsid w:val="00D9096A"/>
    <w:rsid w:val="00D928CF"/>
    <w:rsid w:val="00D92F6C"/>
    <w:rsid w:val="00D95879"/>
    <w:rsid w:val="00D97A6B"/>
    <w:rsid w:val="00DA2FA3"/>
    <w:rsid w:val="00DA7875"/>
    <w:rsid w:val="00DB0AD7"/>
    <w:rsid w:val="00DB2CA8"/>
    <w:rsid w:val="00DB751D"/>
    <w:rsid w:val="00DC09BD"/>
    <w:rsid w:val="00DC162E"/>
    <w:rsid w:val="00DC35CE"/>
    <w:rsid w:val="00DC3B1E"/>
    <w:rsid w:val="00DC4C93"/>
    <w:rsid w:val="00DC679E"/>
    <w:rsid w:val="00DC7462"/>
    <w:rsid w:val="00DD0E98"/>
    <w:rsid w:val="00DD14BC"/>
    <w:rsid w:val="00DD4D47"/>
    <w:rsid w:val="00DE3F87"/>
    <w:rsid w:val="00DE5013"/>
    <w:rsid w:val="00DE64DE"/>
    <w:rsid w:val="00DE73B4"/>
    <w:rsid w:val="00DE787B"/>
    <w:rsid w:val="00DE7AB4"/>
    <w:rsid w:val="00DF4D86"/>
    <w:rsid w:val="00DF63E3"/>
    <w:rsid w:val="00DF6B09"/>
    <w:rsid w:val="00E00B41"/>
    <w:rsid w:val="00E01D84"/>
    <w:rsid w:val="00E048AB"/>
    <w:rsid w:val="00E05344"/>
    <w:rsid w:val="00E104CD"/>
    <w:rsid w:val="00E111AA"/>
    <w:rsid w:val="00E137BB"/>
    <w:rsid w:val="00E17E15"/>
    <w:rsid w:val="00E20266"/>
    <w:rsid w:val="00E235DD"/>
    <w:rsid w:val="00E23B80"/>
    <w:rsid w:val="00E261CD"/>
    <w:rsid w:val="00E2726B"/>
    <w:rsid w:val="00E30356"/>
    <w:rsid w:val="00E3199C"/>
    <w:rsid w:val="00E34732"/>
    <w:rsid w:val="00E41E74"/>
    <w:rsid w:val="00E42D0B"/>
    <w:rsid w:val="00E43A1A"/>
    <w:rsid w:val="00E441BF"/>
    <w:rsid w:val="00E5029D"/>
    <w:rsid w:val="00E528C8"/>
    <w:rsid w:val="00E56980"/>
    <w:rsid w:val="00E56B59"/>
    <w:rsid w:val="00E56C0A"/>
    <w:rsid w:val="00E6247A"/>
    <w:rsid w:val="00E62D29"/>
    <w:rsid w:val="00E64988"/>
    <w:rsid w:val="00E64A38"/>
    <w:rsid w:val="00E66FFF"/>
    <w:rsid w:val="00E719F6"/>
    <w:rsid w:val="00E725EE"/>
    <w:rsid w:val="00E72ACE"/>
    <w:rsid w:val="00E7345E"/>
    <w:rsid w:val="00E756AC"/>
    <w:rsid w:val="00E8168D"/>
    <w:rsid w:val="00E8381A"/>
    <w:rsid w:val="00E847F2"/>
    <w:rsid w:val="00E87596"/>
    <w:rsid w:val="00E87794"/>
    <w:rsid w:val="00E9480E"/>
    <w:rsid w:val="00E96422"/>
    <w:rsid w:val="00E97B21"/>
    <w:rsid w:val="00EA3892"/>
    <w:rsid w:val="00EA5A59"/>
    <w:rsid w:val="00EA62F1"/>
    <w:rsid w:val="00EA7D96"/>
    <w:rsid w:val="00EB331D"/>
    <w:rsid w:val="00EB34E7"/>
    <w:rsid w:val="00EB3D8F"/>
    <w:rsid w:val="00EB75EC"/>
    <w:rsid w:val="00ED0FE3"/>
    <w:rsid w:val="00ED1DBA"/>
    <w:rsid w:val="00ED3F7E"/>
    <w:rsid w:val="00ED4715"/>
    <w:rsid w:val="00ED47DC"/>
    <w:rsid w:val="00ED7ACF"/>
    <w:rsid w:val="00EE3B97"/>
    <w:rsid w:val="00EF2CA6"/>
    <w:rsid w:val="00EF5B40"/>
    <w:rsid w:val="00EF7502"/>
    <w:rsid w:val="00F02034"/>
    <w:rsid w:val="00F03884"/>
    <w:rsid w:val="00F03E21"/>
    <w:rsid w:val="00F0411C"/>
    <w:rsid w:val="00F117B1"/>
    <w:rsid w:val="00F11DEE"/>
    <w:rsid w:val="00F134F9"/>
    <w:rsid w:val="00F2461C"/>
    <w:rsid w:val="00F24C62"/>
    <w:rsid w:val="00F24FC8"/>
    <w:rsid w:val="00F26D0F"/>
    <w:rsid w:val="00F331F0"/>
    <w:rsid w:val="00F34138"/>
    <w:rsid w:val="00F35561"/>
    <w:rsid w:val="00F35E57"/>
    <w:rsid w:val="00F42E7F"/>
    <w:rsid w:val="00F44566"/>
    <w:rsid w:val="00F460A6"/>
    <w:rsid w:val="00F4673F"/>
    <w:rsid w:val="00F47ACE"/>
    <w:rsid w:val="00F47FCE"/>
    <w:rsid w:val="00F501D2"/>
    <w:rsid w:val="00F510FB"/>
    <w:rsid w:val="00F5266F"/>
    <w:rsid w:val="00F52BC9"/>
    <w:rsid w:val="00F557C0"/>
    <w:rsid w:val="00F56447"/>
    <w:rsid w:val="00F56A1D"/>
    <w:rsid w:val="00F5798C"/>
    <w:rsid w:val="00F61A04"/>
    <w:rsid w:val="00F64055"/>
    <w:rsid w:val="00F6564C"/>
    <w:rsid w:val="00F70E97"/>
    <w:rsid w:val="00F710C6"/>
    <w:rsid w:val="00F722BD"/>
    <w:rsid w:val="00F72873"/>
    <w:rsid w:val="00F73620"/>
    <w:rsid w:val="00F758ED"/>
    <w:rsid w:val="00F81854"/>
    <w:rsid w:val="00F87415"/>
    <w:rsid w:val="00F91CF0"/>
    <w:rsid w:val="00F9481A"/>
    <w:rsid w:val="00F956D1"/>
    <w:rsid w:val="00F9687F"/>
    <w:rsid w:val="00F97F15"/>
    <w:rsid w:val="00FA08DE"/>
    <w:rsid w:val="00FA0CF5"/>
    <w:rsid w:val="00FA2D9D"/>
    <w:rsid w:val="00FA770D"/>
    <w:rsid w:val="00FB328E"/>
    <w:rsid w:val="00FB3430"/>
    <w:rsid w:val="00FB5E18"/>
    <w:rsid w:val="00FC1567"/>
    <w:rsid w:val="00FC2626"/>
    <w:rsid w:val="00FC3766"/>
    <w:rsid w:val="00FC4572"/>
    <w:rsid w:val="00FC755D"/>
    <w:rsid w:val="00FD179B"/>
    <w:rsid w:val="00FD386C"/>
    <w:rsid w:val="00FD3922"/>
    <w:rsid w:val="00FD3E72"/>
    <w:rsid w:val="00FD6452"/>
    <w:rsid w:val="00FE2B90"/>
    <w:rsid w:val="00FF0A4E"/>
    <w:rsid w:val="00FF14A6"/>
    <w:rsid w:val="00FF1DEB"/>
    <w:rsid w:val="00FF37A3"/>
    <w:rsid w:val="00FF3968"/>
    <w:rsid w:val="00FF3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1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character" w:customStyle="1" w:styleId="normaltextrun">
    <w:name w:val="normaltextrun"/>
    <w:basedOn w:val="Fuentedeprrafopredeter"/>
    <w:rsid w:val="00C05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817724364">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7AB92-D415-4670-B6CF-CDEC16B7D26D}">
  <ds:schemaRefs>
    <ds:schemaRef ds:uri="http://schemas.openxmlformats.org/officeDocument/2006/bibliography"/>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5114</Words>
  <Characters>28132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4</cp:revision>
  <cp:lastPrinted>2020-03-17T17:42:00Z</cp:lastPrinted>
  <dcterms:created xsi:type="dcterms:W3CDTF">2020-08-19T16:57:00Z</dcterms:created>
  <dcterms:modified xsi:type="dcterms:W3CDTF">2020-08-19T18:32:00Z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